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6.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3.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4.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5.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6.xml" ContentType="application/vnd.openxmlformats-officedocument.drawingml.chartshapes+xml"/>
  <Override PartName="/word/header27.xml" ContentType="application/vnd.openxmlformats-officedocument.wordprocessingml.header+xml"/>
  <Override PartName="/word/footer17.xml" ContentType="application/vnd.openxmlformats-officedocument.wordprocessingml.footer+xml"/>
  <Override PartName="/word/header28.xml" ContentType="application/vnd.openxmlformats-officedocument.wordprocessingml.head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9528A6" w14:textId="660DCDAE" w:rsidR="00C97798" w:rsidRPr="009D4627" w:rsidRDefault="00021EB6" w:rsidP="00021EB6">
      <w:pPr>
        <w:spacing w:before="0" w:after="0" w:line="240" w:lineRule="auto"/>
        <w:jc w:val="center"/>
      </w:pPr>
      <w:bookmarkStart w:id="0" w:name="_Ref62130596"/>
      <w:bookmarkStart w:id="1" w:name="_Toc17911566"/>
      <w:r w:rsidRPr="009D4627">
        <w:rPr>
          <w:noProof/>
          <w:lang w:eastAsia="zh-CN"/>
        </w:rPr>
        <w:drawing>
          <wp:inline distT="0" distB="0" distL="0" distR="0" wp14:anchorId="55D74E30" wp14:editId="475C01D6">
            <wp:extent cx="3036570" cy="1104265"/>
            <wp:effectExtent l="0" t="0" r="0" b="635"/>
            <wp:docPr id="456" name="Picture 456"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inline>
        </w:drawing>
      </w:r>
      <w:r w:rsidR="00110BE0" w:rsidRPr="009D4627">
        <w:t xml:space="preserve">  </w:t>
      </w:r>
    </w:p>
    <w:p w14:paraId="6F6CBD64" w14:textId="7360B034" w:rsidR="00C97798" w:rsidRPr="009D4627" w:rsidRDefault="00C97798" w:rsidP="00021EB6">
      <w:pPr>
        <w:spacing w:before="0" w:after="0" w:line="240" w:lineRule="auto"/>
        <w:jc w:val="center"/>
      </w:pPr>
    </w:p>
    <w:p w14:paraId="5F54A10E" w14:textId="4CB3765E" w:rsidR="00021EB6" w:rsidRPr="009D4627" w:rsidRDefault="00021EB6" w:rsidP="00021EB6">
      <w:pPr>
        <w:spacing w:before="0" w:after="0" w:line="240" w:lineRule="auto"/>
        <w:jc w:val="center"/>
      </w:pPr>
    </w:p>
    <w:p w14:paraId="7D1984AA" w14:textId="570363EB" w:rsidR="00021EB6" w:rsidRPr="009D4627" w:rsidRDefault="00021EB6" w:rsidP="00021EB6">
      <w:pPr>
        <w:spacing w:before="0" w:after="0" w:line="240" w:lineRule="auto"/>
        <w:jc w:val="center"/>
      </w:pPr>
    </w:p>
    <w:p w14:paraId="381D1972" w14:textId="4F65F38B" w:rsidR="00021EB6" w:rsidRPr="009D4627" w:rsidRDefault="00021EB6" w:rsidP="00021EB6">
      <w:pPr>
        <w:spacing w:before="0" w:after="0" w:line="240" w:lineRule="auto"/>
        <w:jc w:val="center"/>
      </w:pPr>
    </w:p>
    <w:p w14:paraId="153D0021" w14:textId="603AA34A" w:rsidR="00021EB6" w:rsidRPr="009D4627" w:rsidRDefault="00021EB6" w:rsidP="00021EB6">
      <w:pPr>
        <w:spacing w:before="0" w:after="0" w:line="240" w:lineRule="auto"/>
        <w:jc w:val="center"/>
      </w:pPr>
    </w:p>
    <w:p w14:paraId="1E07590C" w14:textId="77777777" w:rsidR="00021EB6" w:rsidRPr="009D4627" w:rsidRDefault="00021EB6" w:rsidP="00021EB6">
      <w:pPr>
        <w:spacing w:before="0" w:after="0" w:line="240" w:lineRule="auto"/>
        <w:jc w:val="center"/>
      </w:pPr>
    </w:p>
    <w:p w14:paraId="40C5970E" w14:textId="178A0294" w:rsidR="00C97798" w:rsidRPr="009D4627" w:rsidRDefault="00C97798" w:rsidP="00021EB6">
      <w:pPr>
        <w:spacing w:before="0" w:after="0" w:line="240" w:lineRule="auto"/>
        <w:jc w:val="center"/>
        <w:rPr>
          <w:rFonts w:eastAsia="Batang"/>
          <w:color w:val="auto"/>
          <w:sz w:val="28"/>
          <w:szCs w:val="28"/>
          <w:lang w:val="en-MY" w:eastAsia="en-MY"/>
        </w:rPr>
      </w:pPr>
      <w:r w:rsidRPr="009D4627">
        <w:rPr>
          <w:rFonts w:eastAsia="Batang"/>
          <w:b/>
          <w:bCs/>
          <w:color w:val="000000"/>
          <w:sz w:val="28"/>
          <w:szCs w:val="28"/>
          <w:lang w:val="en-MY" w:eastAsia="en-MY"/>
        </w:rPr>
        <w:t>The use of high-resolution eye</w:t>
      </w:r>
      <w:r w:rsidR="00337889" w:rsidRPr="009D4627">
        <w:rPr>
          <w:rFonts w:eastAsia="Batang"/>
          <w:b/>
          <w:bCs/>
          <w:color w:val="000000"/>
          <w:sz w:val="28"/>
          <w:szCs w:val="28"/>
          <w:lang w:val="en-MY" w:eastAsia="en-MY"/>
        </w:rPr>
        <w:t>-</w:t>
      </w:r>
      <w:r w:rsidRPr="009D4627">
        <w:rPr>
          <w:rFonts w:eastAsia="Batang"/>
          <w:b/>
          <w:bCs/>
          <w:color w:val="000000"/>
          <w:sz w:val="28"/>
          <w:szCs w:val="28"/>
          <w:lang w:val="en-MY" w:eastAsia="en-MY"/>
        </w:rPr>
        <w:t>tracking to determine the impact of ocular nerve palsy on ocular movements and recovery.</w:t>
      </w:r>
    </w:p>
    <w:p w14:paraId="5FFDDE96" w14:textId="4B3F82B7" w:rsidR="00C97798" w:rsidRPr="009D4627" w:rsidRDefault="00C97798" w:rsidP="00021EB6">
      <w:pPr>
        <w:spacing w:before="0" w:after="0" w:line="240" w:lineRule="auto"/>
        <w:jc w:val="center"/>
        <w:rPr>
          <w:sz w:val="28"/>
          <w:szCs w:val="28"/>
        </w:rPr>
      </w:pPr>
    </w:p>
    <w:p w14:paraId="5E8680D8" w14:textId="5931F25A" w:rsidR="00021EB6" w:rsidRPr="009D4627" w:rsidRDefault="00021EB6" w:rsidP="00021EB6">
      <w:pPr>
        <w:spacing w:before="0" w:after="0" w:line="240" w:lineRule="auto"/>
        <w:jc w:val="center"/>
        <w:rPr>
          <w:sz w:val="28"/>
          <w:szCs w:val="28"/>
        </w:rPr>
      </w:pPr>
    </w:p>
    <w:p w14:paraId="3546BC7E" w14:textId="75B9FE9E" w:rsidR="00021EB6" w:rsidRPr="009D4627" w:rsidRDefault="00021EB6" w:rsidP="00021EB6">
      <w:pPr>
        <w:spacing w:before="0" w:after="0" w:line="240" w:lineRule="auto"/>
        <w:jc w:val="center"/>
        <w:rPr>
          <w:sz w:val="28"/>
          <w:szCs w:val="28"/>
        </w:rPr>
      </w:pPr>
    </w:p>
    <w:p w14:paraId="7B69F339" w14:textId="77777777" w:rsidR="00021EB6" w:rsidRPr="009D4627" w:rsidRDefault="00021EB6" w:rsidP="00021EB6">
      <w:pPr>
        <w:spacing w:before="0" w:after="0" w:line="240" w:lineRule="auto"/>
        <w:jc w:val="center"/>
        <w:rPr>
          <w:sz w:val="28"/>
          <w:szCs w:val="28"/>
        </w:rPr>
      </w:pPr>
    </w:p>
    <w:p w14:paraId="1103D07F" w14:textId="7A0C84A9" w:rsidR="00646972" w:rsidRPr="009D4627" w:rsidRDefault="00646972" w:rsidP="00021EB6">
      <w:pPr>
        <w:spacing w:before="0" w:after="0" w:line="240" w:lineRule="auto"/>
        <w:jc w:val="center"/>
        <w:rPr>
          <w:b/>
          <w:bCs/>
          <w:sz w:val="28"/>
          <w:szCs w:val="28"/>
        </w:rPr>
      </w:pPr>
      <w:r w:rsidRPr="009D4627">
        <w:rPr>
          <w:b/>
          <w:bCs/>
          <w:sz w:val="28"/>
          <w:szCs w:val="28"/>
        </w:rPr>
        <w:t>Noor Wafirah Shafee</w:t>
      </w:r>
    </w:p>
    <w:p w14:paraId="4D4A44F9" w14:textId="409242FC" w:rsidR="00937713" w:rsidRPr="009D4627" w:rsidRDefault="00937713" w:rsidP="00021EB6">
      <w:pPr>
        <w:spacing w:before="0" w:after="0" w:line="240" w:lineRule="auto"/>
        <w:jc w:val="center"/>
        <w:rPr>
          <w:sz w:val="28"/>
          <w:szCs w:val="28"/>
        </w:rPr>
      </w:pPr>
    </w:p>
    <w:p w14:paraId="46208EB2" w14:textId="6A0F11A3" w:rsidR="00021EB6" w:rsidRPr="009D4627" w:rsidRDefault="00021EB6" w:rsidP="00021EB6">
      <w:pPr>
        <w:spacing w:before="0" w:after="0" w:line="240" w:lineRule="auto"/>
        <w:jc w:val="center"/>
        <w:rPr>
          <w:sz w:val="28"/>
          <w:szCs w:val="28"/>
        </w:rPr>
      </w:pPr>
    </w:p>
    <w:p w14:paraId="5F248549" w14:textId="171A3104" w:rsidR="00021EB6" w:rsidRPr="009D4627" w:rsidRDefault="00021EB6" w:rsidP="00021EB6">
      <w:pPr>
        <w:spacing w:before="0" w:after="0" w:line="240" w:lineRule="auto"/>
        <w:jc w:val="center"/>
        <w:rPr>
          <w:sz w:val="28"/>
          <w:szCs w:val="28"/>
        </w:rPr>
      </w:pPr>
    </w:p>
    <w:p w14:paraId="62D724B7" w14:textId="72A87E82" w:rsidR="00021EB6" w:rsidRPr="009D4627" w:rsidRDefault="00021EB6" w:rsidP="00021EB6">
      <w:pPr>
        <w:spacing w:before="0" w:after="0" w:line="240" w:lineRule="auto"/>
        <w:jc w:val="center"/>
        <w:rPr>
          <w:sz w:val="28"/>
          <w:szCs w:val="28"/>
        </w:rPr>
      </w:pPr>
    </w:p>
    <w:p w14:paraId="450A2EFF" w14:textId="32B9CA86" w:rsidR="00021EB6" w:rsidRPr="009D4627" w:rsidRDefault="00021EB6" w:rsidP="00021EB6">
      <w:pPr>
        <w:spacing w:before="0" w:after="0" w:line="240" w:lineRule="auto"/>
        <w:jc w:val="center"/>
        <w:rPr>
          <w:sz w:val="28"/>
          <w:szCs w:val="28"/>
        </w:rPr>
      </w:pPr>
    </w:p>
    <w:p w14:paraId="6201FF26" w14:textId="77777777" w:rsidR="00021EB6" w:rsidRPr="009D4627" w:rsidRDefault="00021EB6" w:rsidP="00021EB6">
      <w:pPr>
        <w:autoSpaceDE w:val="0"/>
        <w:autoSpaceDN w:val="0"/>
        <w:adjustRightInd w:val="0"/>
        <w:spacing w:before="0" w:after="0" w:line="240" w:lineRule="auto"/>
        <w:jc w:val="center"/>
      </w:pPr>
      <w:r w:rsidRPr="009D4627">
        <w:t>A thesis submitted in partial fulfilment of the requirements for the degree of</w:t>
      </w:r>
    </w:p>
    <w:p w14:paraId="778456EE" w14:textId="7B7E4A35" w:rsidR="00021EB6" w:rsidRPr="009D4627" w:rsidRDefault="00021EB6" w:rsidP="00021EB6">
      <w:pPr>
        <w:spacing w:before="0" w:line="240" w:lineRule="auto"/>
        <w:jc w:val="center"/>
      </w:pPr>
      <w:r w:rsidRPr="009D4627">
        <w:t>Doctor of Philosophy</w:t>
      </w:r>
    </w:p>
    <w:p w14:paraId="36F1D6C1" w14:textId="77777777" w:rsidR="00021EB6" w:rsidRPr="009D4627" w:rsidRDefault="00021EB6" w:rsidP="00021EB6">
      <w:pPr>
        <w:spacing w:before="0" w:line="240" w:lineRule="auto"/>
        <w:jc w:val="center"/>
        <w:rPr>
          <w:sz w:val="28"/>
          <w:szCs w:val="28"/>
        </w:rPr>
      </w:pPr>
    </w:p>
    <w:p w14:paraId="4568B9AE" w14:textId="15CDCF5C" w:rsidR="00021EB6" w:rsidRPr="009D4627" w:rsidRDefault="00021EB6" w:rsidP="00021EB6">
      <w:pPr>
        <w:shd w:val="clear" w:color="auto" w:fill="FFFFFF"/>
        <w:spacing w:before="0" w:line="240" w:lineRule="auto"/>
        <w:jc w:val="center"/>
        <w:rPr>
          <w:rFonts w:eastAsia="Times New Roman"/>
          <w:color w:val="222222"/>
          <w:lang w:val="en-MY" w:eastAsia="en-MY"/>
        </w:rPr>
      </w:pPr>
    </w:p>
    <w:p w14:paraId="0F693127" w14:textId="0FED1867" w:rsidR="00021EB6" w:rsidRPr="009D4627" w:rsidRDefault="00021EB6" w:rsidP="00021EB6">
      <w:pPr>
        <w:shd w:val="clear" w:color="auto" w:fill="FFFFFF"/>
        <w:spacing w:before="0" w:after="0" w:line="240" w:lineRule="auto"/>
        <w:jc w:val="center"/>
        <w:rPr>
          <w:rFonts w:eastAsia="Times New Roman"/>
          <w:color w:val="222222"/>
          <w:sz w:val="36"/>
          <w:szCs w:val="36"/>
          <w:lang w:val="en-MY" w:eastAsia="en-MY"/>
        </w:rPr>
      </w:pPr>
      <w:r w:rsidRPr="009D4627">
        <w:rPr>
          <w:rFonts w:eastAsia="Times New Roman"/>
          <w:color w:val="222222"/>
          <w:lang w:val="en-MY" w:eastAsia="en-MY"/>
        </w:rPr>
        <w:t>The University of Sheffield</w:t>
      </w:r>
    </w:p>
    <w:p w14:paraId="257A80C7" w14:textId="2AA4CD6A" w:rsidR="00646972" w:rsidRPr="009D4627" w:rsidRDefault="00646972" w:rsidP="00021EB6">
      <w:pPr>
        <w:shd w:val="clear" w:color="auto" w:fill="FFFFFF"/>
        <w:spacing w:before="0" w:after="0" w:line="240" w:lineRule="auto"/>
        <w:jc w:val="center"/>
        <w:rPr>
          <w:rFonts w:eastAsia="Times New Roman"/>
          <w:color w:val="222222"/>
          <w:lang w:val="en-MY" w:eastAsia="en-MY"/>
        </w:rPr>
      </w:pPr>
      <w:r w:rsidRPr="009D4627">
        <w:rPr>
          <w:rFonts w:eastAsia="Times New Roman"/>
          <w:color w:val="222222"/>
          <w:lang w:val="en-MY" w:eastAsia="en-MY"/>
        </w:rPr>
        <w:t>Health Sciences School</w:t>
      </w:r>
    </w:p>
    <w:p w14:paraId="67AB0D42" w14:textId="2060A20F" w:rsidR="00646972" w:rsidRPr="009D4627" w:rsidRDefault="00646972" w:rsidP="00ED23BC">
      <w:pPr>
        <w:shd w:val="clear" w:color="auto" w:fill="FFFFFF"/>
        <w:spacing w:before="0" w:line="276" w:lineRule="auto"/>
        <w:jc w:val="center"/>
        <w:rPr>
          <w:rFonts w:eastAsia="Times New Roman"/>
          <w:color w:val="222222"/>
          <w:lang w:val="en-MY" w:eastAsia="en-MY"/>
        </w:rPr>
      </w:pPr>
      <w:r w:rsidRPr="009D4627">
        <w:rPr>
          <w:rFonts w:eastAsia="Times New Roman"/>
          <w:color w:val="222222"/>
          <w:lang w:val="en-MY" w:eastAsia="en-MY"/>
        </w:rPr>
        <w:t xml:space="preserve">Division of Ophthalmology </w:t>
      </w:r>
      <w:r w:rsidR="00ED23BC" w:rsidRPr="009D4627">
        <w:rPr>
          <w:rFonts w:eastAsia="Times New Roman"/>
          <w:color w:val="222222"/>
          <w:lang w:val="en-MY" w:eastAsia="en-MY"/>
        </w:rPr>
        <w:t>and</w:t>
      </w:r>
      <w:r w:rsidRPr="009D4627">
        <w:rPr>
          <w:rFonts w:eastAsia="Times New Roman"/>
          <w:color w:val="222222"/>
          <w:lang w:val="en-MY" w:eastAsia="en-MY"/>
        </w:rPr>
        <w:t xml:space="preserve"> Orthoptics</w:t>
      </w:r>
    </w:p>
    <w:p w14:paraId="28289B4F" w14:textId="7AB089BA" w:rsidR="00646972" w:rsidRPr="009D4627" w:rsidRDefault="00646972" w:rsidP="00ED23BC">
      <w:pPr>
        <w:shd w:val="clear" w:color="auto" w:fill="FFFFFF"/>
        <w:spacing w:before="0" w:after="0" w:line="276" w:lineRule="auto"/>
        <w:jc w:val="center"/>
        <w:rPr>
          <w:rFonts w:eastAsia="Times New Roman"/>
          <w:color w:val="222222"/>
          <w:lang w:val="en-MY" w:eastAsia="en-MY"/>
        </w:rPr>
      </w:pPr>
    </w:p>
    <w:p w14:paraId="61A0902A" w14:textId="77777777" w:rsidR="00ED23BC" w:rsidRPr="009D4627" w:rsidRDefault="00ED23BC" w:rsidP="00ED23BC">
      <w:pPr>
        <w:shd w:val="clear" w:color="auto" w:fill="FFFFFF"/>
        <w:spacing w:before="0" w:after="0" w:line="276" w:lineRule="auto"/>
        <w:jc w:val="center"/>
        <w:rPr>
          <w:rFonts w:eastAsia="Times New Roman"/>
          <w:color w:val="222222"/>
          <w:lang w:val="en-MY" w:eastAsia="en-MY"/>
        </w:rPr>
      </w:pPr>
    </w:p>
    <w:p w14:paraId="165ABA54" w14:textId="6D0638B3" w:rsidR="005B643A" w:rsidRDefault="002A3D67" w:rsidP="00143DBD">
      <w:pPr>
        <w:spacing w:after="0" w:line="276" w:lineRule="auto"/>
        <w:jc w:val="center"/>
        <w:rPr>
          <w:b/>
          <w:bCs/>
          <w:sz w:val="32"/>
          <w:szCs w:val="32"/>
        </w:rPr>
      </w:pPr>
      <w:r w:rsidRPr="009D4627">
        <w:t>July 2021</w:t>
      </w:r>
      <w:bookmarkStart w:id="2" w:name="_Hlk77239270"/>
    </w:p>
    <w:p w14:paraId="689C835B" w14:textId="31AADA45" w:rsidR="00414732" w:rsidRPr="00414732" w:rsidRDefault="00414732" w:rsidP="00414732">
      <w:pPr>
        <w:tabs>
          <w:tab w:val="center" w:pos="4513"/>
          <w:tab w:val="left" w:pos="5520"/>
        </w:tabs>
        <w:jc w:val="left"/>
        <w:rPr>
          <w:sz w:val="32"/>
          <w:szCs w:val="32"/>
        </w:rPr>
        <w:sectPr w:rsidR="00414732" w:rsidRPr="00414732" w:rsidSect="00447B08">
          <w:headerReference w:type="default" r:id="rId9"/>
          <w:footerReference w:type="default" r:id="rId10"/>
          <w:headerReference w:type="first" r:id="rId11"/>
          <w:footerReference w:type="first" r:id="rId12"/>
          <w:pgSz w:w="11906" w:h="16838" w:code="9"/>
          <w:pgMar w:top="1440" w:right="1440" w:bottom="1440" w:left="1440" w:header="708" w:footer="708" w:gutter="0"/>
          <w:pgNumType w:fmt="lowerRoman" w:start="1"/>
          <w:cols w:space="708"/>
          <w:titlePg/>
          <w:docGrid w:linePitch="360"/>
        </w:sectPr>
      </w:pPr>
      <w:r>
        <w:rPr>
          <w:sz w:val="32"/>
          <w:szCs w:val="32"/>
        </w:rPr>
        <w:tab/>
      </w:r>
    </w:p>
    <w:p w14:paraId="211238ED" w14:textId="2CB944A9" w:rsidR="00937713" w:rsidRPr="009D4627" w:rsidRDefault="00337889" w:rsidP="00937713">
      <w:pPr>
        <w:jc w:val="center"/>
        <w:rPr>
          <w:b/>
          <w:bCs/>
          <w:sz w:val="32"/>
          <w:szCs w:val="32"/>
        </w:rPr>
      </w:pPr>
      <w:r w:rsidRPr="009D4627">
        <w:rPr>
          <w:b/>
          <w:bCs/>
          <w:sz w:val="32"/>
          <w:szCs w:val="32"/>
        </w:rPr>
        <w:lastRenderedPageBreak/>
        <w:t>Ac</w:t>
      </w:r>
      <w:r w:rsidR="00937713" w:rsidRPr="009D4627">
        <w:rPr>
          <w:b/>
          <w:bCs/>
          <w:sz w:val="32"/>
          <w:szCs w:val="32"/>
        </w:rPr>
        <w:t>knowledgements</w:t>
      </w:r>
    </w:p>
    <w:p w14:paraId="73724902" w14:textId="77777777" w:rsidR="00E47D4D" w:rsidRPr="009D4627" w:rsidRDefault="00E47D4D" w:rsidP="00EC745C">
      <w:pPr>
        <w:spacing w:before="0"/>
        <w:rPr>
          <w:color w:val="000000"/>
          <w:shd w:val="clear" w:color="auto" w:fill="FFFFFF"/>
        </w:rPr>
      </w:pPr>
      <w:r w:rsidRPr="009D4627">
        <w:rPr>
          <w:color w:val="000000"/>
          <w:shd w:val="clear" w:color="auto" w:fill="FFFFFF"/>
        </w:rPr>
        <w:t xml:space="preserve">First and foremost, I am extremely grateful to my supervisors, </w:t>
      </w:r>
      <w:proofErr w:type="spellStart"/>
      <w:r w:rsidRPr="009D4627">
        <w:rPr>
          <w:color w:val="000000"/>
          <w:shd w:val="clear" w:color="auto" w:fill="FFFFFF"/>
        </w:rPr>
        <w:t>Dr.</w:t>
      </w:r>
      <w:proofErr w:type="spellEnd"/>
      <w:r w:rsidRPr="009D4627">
        <w:rPr>
          <w:color w:val="000000"/>
          <w:shd w:val="clear" w:color="auto" w:fill="FFFFFF"/>
        </w:rPr>
        <w:t xml:space="preserve"> Helen Griffiths, Prof. Helen Davis and my clinical educator, </w:t>
      </w:r>
      <w:proofErr w:type="spellStart"/>
      <w:r w:rsidRPr="009D4627">
        <w:rPr>
          <w:color w:val="000000"/>
          <w:shd w:val="clear" w:color="auto" w:fill="FFFFFF"/>
        </w:rPr>
        <w:t>Dr.</w:t>
      </w:r>
      <w:proofErr w:type="spellEnd"/>
      <w:r w:rsidRPr="009D4627">
        <w:rPr>
          <w:color w:val="000000"/>
          <w:shd w:val="clear" w:color="auto" w:fill="FFFFFF"/>
        </w:rPr>
        <w:t xml:space="preserve"> Simon Hickman for their invaluable advice, continuous support, and patience during my PhD study. Their immense knowledge and plentiful experience have encouraged me in my academic research and daily life. </w:t>
      </w:r>
    </w:p>
    <w:p w14:paraId="04BF4151" w14:textId="445EF0AE" w:rsidR="00B7277B" w:rsidRPr="009D4627" w:rsidRDefault="00E47D4D" w:rsidP="00A043A1">
      <w:pPr>
        <w:rPr>
          <w:color w:val="000000"/>
          <w:shd w:val="clear" w:color="auto" w:fill="FFFFFF"/>
        </w:rPr>
      </w:pPr>
      <w:r w:rsidRPr="009D4627">
        <w:rPr>
          <w:color w:val="000000"/>
          <w:shd w:val="clear" w:color="auto" w:fill="FFFFFF"/>
        </w:rPr>
        <w:t>I would like to thank all the Division of Ophthalmology and Orthoptics members, the University of Sheffield</w:t>
      </w:r>
      <w:r w:rsidR="0002466D" w:rsidRPr="009D4627">
        <w:rPr>
          <w:color w:val="000000"/>
          <w:shd w:val="clear" w:color="auto" w:fill="FFFFFF"/>
        </w:rPr>
        <w:t>;</w:t>
      </w:r>
      <w:r w:rsidRPr="009D4627">
        <w:rPr>
          <w:color w:val="000000"/>
          <w:shd w:val="clear" w:color="auto" w:fill="FFFFFF"/>
        </w:rPr>
        <w:t xml:space="preserve"> the Ophthalmology Department, Royal Hallamshire Hospital</w:t>
      </w:r>
      <w:r w:rsidR="0002466D" w:rsidRPr="009D4627">
        <w:rPr>
          <w:color w:val="000000"/>
          <w:shd w:val="clear" w:color="auto" w:fill="FFFFFF"/>
        </w:rPr>
        <w:t xml:space="preserve">; and SR Research </w:t>
      </w:r>
      <w:proofErr w:type="spellStart"/>
      <w:r w:rsidR="0002466D" w:rsidRPr="009D4627">
        <w:rPr>
          <w:color w:val="000000"/>
          <w:shd w:val="clear" w:color="auto" w:fill="FFFFFF"/>
        </w:rPr>
        <w:t>EyeLink</w:t>
      </w:r>
      <w:proofErr w:type="spellEnd"/>
      <w:r w:rsidR="0002466D" w:rsidRPr="009D4627">
        <w:rPr>
          <w:color w:val="000000"/>
          <w:shd w:val="clear" w:color="auto" w:fill="FFFFFF"/>
          <w:vertAlign w:val="superscript"/>
        </w:rPr>
        <w:t xml:space="preserve">® </w:t>
      </w:r>
      <w:r w:rsidRPr="009D4627">
        <w:rPr>
          <w:color w:val="000000"/>
          <w:shd w:val="clear" w:color="auto" w:fill="FFFFFF"/>
        </w:rPr>
        <w:t>for their technical support on my study. Their kind help and support have made my study and life in the UK wonderful</w:t>
      </w:r>
      <w:r w:rsidR="00B7277B" w:rsidRPr="009D4627">
        <w:rPr>
          <w:color w:val="000000"/>
          <w:shd w:val="clear" w:color="auto" w:fill="FFFFFF"/>
        </w:rPr>
        <w:t xml:space="preserve">. </w:t>
      </w:r>
    </w:p>
    <w:p w14:paraId="5765FB2D" w14:textId="63950425" w:rsidR="00F50AA9" w:rsidRPr="009D4627" w:rsidRDefault="00F50AA9" w:rsidP="00A043A1">
      <w:pPr>
        <w:rPr>
          <w:color w:val="000000"/>
          <w:shd w:val="clear" w:color="auto" w:fill="FFFFFF"/>
        </w:rPr>
      </w:pPr>
      <w:r w:rsidRPr="009D4627">
        <w:rPr>
          <w:color w:val="000000"/>
          <w:shd w:val="clear" w:color="auto" w:fill="FFFFFF"/>
        </w:rPr>
        <w:t>I would particularly like to thank all participants and 10 patients, who agreed to participate in this study.</w:t>
      </w:r>
      <w:r w:rsidR="00107B44" w:rsidRPr="009D4627">
        <w:rPr>
          <w:color w:val="000000"/>
          <w:shd w:val="clear" w:color="auto" w:fill="FFFFFF"/>
        </w:rPr>
        <w:t xml:space="preserve"> </w:t>
      </w:r>
    </w:p>
    <w:p w14:paraId="0ED579F5" w14:textId="7DC7070A" w:rsidR="00B7277B" w:rsidRPr="009D4627" w:rsidRDefault="00E47D4D" w:rsidP="00A043A1">
      <w:pPr>
        <w:rPr>
          <w:color w:val="000000"/>
          <w:shd w:val="clear" w:color="auto" w:fill="FFFFFF"/>
        </w:rPr>
      </w:pPr>
      <w:r w:rsidRPr="009D4627">
        <w:rPr>
          <w:color w:val="000000"/>
          <w:shd w:val="clear" w:color="auto" w:fill="FFFFFF"/>
        </w:rPr>
        <w:t>In addition, I would also like to thank the Ministry of Higher Education, Malaysia and International Islamic University Malaysia for their scholarship that allowed me to pursue this PhD journey</w:t>
      </w:r>
      <w:r w:rsidR="00B7277B" w:rsidRPr="009D4627">
        <w:rPr>
          <w:color w:val="000000"/>
          <w:shd w:val="clear" w:color="auto" w:fill="FFFFFF"/>
        </w:rPr>
        <w:t>.</w:t>
      </w:r>
    </w:p>
    <w:p w14:paraId="21CBF24A" w14:textId="4E0C4E4C" w:rsidR="00782558" w:rsidRPr="009D4627" w:rsidRDefault="00E47D4D" w:rsidP="00A043A1">
      <w:pPr>
        <w:rPr>
          <w:b/>
          <w:bCs/>
        </w:rPr>
      </w:pPr>
      <w:r w:rsidRPr="009D4627">
        <w:rPr>
          <w:color w:val="000000"/>
          <w:shd w:val="clear" w:color="auto" w:fill="FFFFFF"/>
        </w:rPr>
        <w:t>Finally, I would like to express my utmost gratitude to my parents, siblings, and children. I also appreciate all the support I received from the rest of my closed-family members and friends. Without their tremendous understanding and encouragement in the past few years, it would be impossible for me to complete my PhD journey</w:t>
      </w:r>
      <w:r w:rsidR="0002466D" w:rsidRPr="009D4627">
        <w:rPr>
          <w:color w:val="000000"/>
          <w:shd w:val="clear" w:color="auto" w:fill="FFFFFF"/>
        </w:rPr>
        <w:t xml:space="preserve">, especially through the extremely challenging writing process throughout the worldwide spread of the COVID-19 </w:t>
      </w:r>
      <w:r w:rsidR="00583F3E" w:rsidRPr="009D4627">
        <w:rPr>
          <w:color w:val="000000"/>
          <w:shd w:val="clear" w:color="auto" w:fill="FFFFFF"/>
        </w:rPr>
        <w:t>pandemic</w:t>
      </w:r>
      <w:r w:rsidR="0002466D" w:rsidRPr="009D4627">
        <w:rPr>
          <w:color w:val="000000"/>
          <w:shd w:val="clear" w:color="auto" w:fill="FFFFFF"/>
        </w:rPr>
        <w:t>.</w:t>
      </w:r>
    </w:p>
    <w:bookmarkEnd w:id="2"/>
    <w:p w14:paraId="4EE91319" w14:textId="77777777" w:rsidR="00ED23BC" w:rsidRDefault="00ED23BC" w:rsidP="00A043A1">
      <w:pPr>
        <w:rPr>
          <w:b/>
          <w:bCs/>
        </w:rPr>
      </w:pPr>
    </w:p>
    <w:p w14:paraId="0FE91E8A" w14:textId="77777777" w:rsidR="00943092" w:rsidRDefault="00943092" w:rsidP="00943092">
      <w:pPr>
        <w:spacing w:line="240" w:lineRule="auto"/>
        <w:jc w:val="center"/>
        <w:rPr>
          <w:b/>
          <w:bCs/>
          <w:sz w:val="32"/>
          <w:szCs w:val="32"/>
        </w:rPr>
        <w:sectPr w:rsidR="00943092" w:rsidSect="00525C37">
          <w:headerReference w:type="default" r:id="rId13"/>
          <w:pgSz w:w="11906" w:h="16838" w:code="9"/>
          <w:pgMar w:top="1440" w:right="1440" w:bottom="1440" w:left="1440" w:header="708" w:footer="708" w:gutter="0"/>
          <w:pgNumType w:fmt="lowerRoman"/>
          <w:cols w:space="708"/>
          <w:docGrid w:linePitch="360"/>
        </w:sectPr>
      </w:pPr>
    </w:p>
    <w:p w14:paraId="00E68160" w14:textId="2AC838DD" w:rsidR="00943092" w:rsidRPr="009D4627" w:rsidRDefault="00005D3D" w:rsidP="00005D3D">
      <w:pPr>
        <w:spacing w:before="0" w:after="0" w:line="240" w:lineRule="auto"/>
        <w:jc w:val="center"/>
        <w:rPr>
          <w:b/>
          <w:bCs/>
          <w:sz w:val="32"/>
          <w:szCs w:val="32"/>
        </w:rPr>
      </w:pPr>
      <w:r>
        <w:rPr>
          <w:b/>
          <w:bCs/>
          <w:sz w:val="32"/>
          <w:szCs w:val="32"/>
        </w:rPr>
        <w:lastRenderedPageBreak/>
        <w:t>D</w:t>
      </w:r>
      <w:r w:rsidR="00943092" w:rsidRPr="009D4627">
        <w:rPr>
          <w:b/>
          <w:bCs/>
          <w:sz w:val="32"/>
          <w:szCs w:val="32"/>
        </w:rPr>
        <w:t>eclaration</w:t>
      </w:r>
    </w:p>
    <w:p w14:paraId="25FDF2C1" w14:textId="77777777" w:rsidR="00943092" w:rsidRPr="009D4627" w:rsidRDefault="00943092" w:rsidP="00943092">
      <w:pPr>
        <w:spacing w:line="240" w:lineRule="auto"/>
        <w:jc w:val="center"/>
        <w:rPr>
          <w:b/>
          <w:bCs/>
          <w:sz w:val="32"/>
          <w:szCs w:val="32"/>
        </w:rPr>
      </w:pPr>
    </w:p>
    <w:p w14:paraId="2FDF44F8" w14:textId="5FC6BCBF" w:rsidR="00943092" w:rsidRPr="009D4627" w:rsidRDefault="00943092" w:rsidP="00943092">
      <w:pPr>
        <w:jc w:val="center"/>
        <w:rPr>
          <w:b/>
          <w:bCs/>
        </w:rPr>
        <w:sectPr w:rsidR="00943092" w:rsidRPr="009D4627" w:rsidSect="00525C37">
          <w:headerReference w:type="first" r:id="rId14"/>
          <w:pgSz w:w="11906" w:h="16838" w:code="9"/>
          <w:pgMar w:top="1440" w:right="1440" w:bottom="1440" w:left="1440" w:header="708" w:footer="708" w:gutter="0"/>
          <w:pgNumType w:fmt="lowerRoman"/>
          <w:cols w:space="708"/>
          <w:docGrid w:linePitch="360"/>
        </w:sectPr>
      </w:pPr>
      <w:r w:rsidRPr="009D4627">
        <w:t>I, the author, confirm that the Thesis is my own work. I am aware of the University’s Guidance on the Use of Unfair Means (</w:t>
      </w:r>
      <w:hyperlink r:id="rId15" w:history="1">
        <w:r w:rsidRPr="009D4627">
          <w:rPr>
            <w:rStyle w:val="Hyperlink"/>
          </w:rPr>
          <w:t>www.sheffield.ac.uk/ssid/unfair-means</w:t>
        </w:r>
      </w:hyperlink>
      <w:r w:rsidRPr="009D4627">
        <w:t>).  This work has not previously been presented for an award at this, or any other, university</w:t>
      </w:r>
      <w:r>
        <w:t>.</w:t>
      </w:r>
    </w:p>
    <w:p w14:paraId="45D35173" w14:textId="357A2C85" w:rsidR="00ED23BC" w:rsidRPr="009D4627" w:rsidRDefault="00ED23BC" w:rsidP="00AC0E63">
      <w:pPr>
        <w:spacing w:after="0"/>
        <w:jc w:val="center"/>
        <w:rPr>
          <w:b/>
          <w:bCs/>
          <w:sz w:val="32"/>
          <w:szCs w:val="32"/>
        </w:rPr>
      </w:pPr>
      <w:bookmarkStart w:id="3" w:name="_Hlk77755359"/>
      <w:bookmarkStart w:id="4" w:name="_Hlk98568330"/>
      <w:r w:rsidRPr="009D4627">
        <w:rPr>
          <w:b/>
          <w:bCs/>
          <w:sz w:val="32"/>
          <w:szCs w:val="32"/>
        </w:rPr>
        <w:lastRenderedPageBreak/>
        <w:t>Abstract</w:t>
      </w:r>
    </w:p>
    <w:p w14:paraId="1153B301" w14:textId="200F042B" w:rsidR="00C44598" w:rsidRPr="009D4627" w:rsidRDefault="00C44598" w:rsidP="00EC745C">
      <w:pPr>
        <w:spacing w:before="0" w:after="0"/>
      </w:pPr>
      <w:bookmarkStart w:id="5" w:name="_Hlk76988858"/>
      <w:bookmarkEnd w:id="3"/>
      <w:r w:rsidRPr="009D4627">
        <w:rPr>
          <w:b/>
          <w:bCs/>
        </w:rPr>
        <w:t xml:space="preserve">Introduction: </w:t>
      </w:r>
      <w:r w:rsidR="000844F8" w:rsidRPr="009D4627">
        <w:t>Recent technology allows precise eye movement measurement, improving diagnosis, management, and intervention planning.</w:t>
      </w:r>
      <w:r w:rsidRPr="009D4627">
        <w:t xml:space="preserve"> Such programmes are rarely used in clinical practice due to limited programmes and analysis techniques. </w:t>
      </w:r>
      <w:r w:rsidRPr="009D4627">
        <w:rPr>
          <w:b/>
          <w:bCs/>
        </w:rPr>
        <w:t>Aims:</w:t>
      </w:r>
      <w:r w:rsidRPr="009D4627">
        <w:t xml:space="preserve"> To develop testing paradigms and analysis techniques to record eye movements in a clinical setting and to monitor the impact of recently acquired ocular nerve palsies on eye movement systems within four months of onset. </w:t>
      </w:r>
      <w:r w:rsidRPr="009D4627">
        <w:rPr>
          <w:b/>
          <w:bCs/>
        </w:rPr>
        <w:t xml:space="preserve">Methods: </w:t>
      </w:r>
      <w:r w:rsidRPr="009D4627">
        <w:t xml:space="preserve">Thirty-five age-matched healthy control participants aged 19-79 years were divided into three age categories; 18-39 years, 40-59 years and </w:t>
      </w:r>
      <w:r w:rsidR="006C25C7">
        <w:t>&gt;</w:t>
      </w:r>
      <w:r w:rsidRPr="009D4627">
        <w:t xml:space="preserve">60 years. The fixation, smooth pursuit and saccades were recorded. </w:t>
      </w:r>
      <w:r w:rsidR="00142C5C" w:rsidRPr="009D4627">
        <w:t xml:space="preserve">Ten patients, </w:t>
      </w:r>
      <w:r w:rsidR="000E3A0E" w:rsidRPr="009D4627">
        <w:rPr>
          <w:rFonts w:eastAsia="Times New Roman"/>
          <w:color w:val="auto"/>
          <w:lang w:eastAsia="en-MY"/>
        </w:rPr>
        <w:t>mean age 72.4 ±10.5 years</w:t>
      </w:r>
      <w:r w:rsidR="00142C5C" w:rsidRPr="009D4627">
        <w:t xml:space="preserve">, </w:t>
      </w:r>
      <w:r w:rsidR="006C25C7">
        <w:t xml:space="preserve">who </w:t>
      </w:r>
      <w:r w:rsidR="00142C5C" w:rsidRPr="009D4627">
        <w:t>had acquired ocular nerve palsy related to diabetes, hypertension, and high cholesterol</w:t>
      </w:r>
      <w:r w:rsidRPr="009D4627">
        <w:t xml:space="preserve"> were enrolled</w:t>
      </w:r>
      <w:r w:rsidR="006C25C7">
        <w:t>.</w:t>
      </w:r>
      <w:r w:rsidR="00C50147">
        <w:t xml:space="preserve"> </w:t>
      </w:r>
      <w:r w:rsidR="006C25C7">
        <w:t>They</w:t>
      </w:r>
      <w:r w:rsidR="00C50147">
        <w:t xml:space="preserve"> </w:t>
      </w:r>
      <w:r w:rsidRPr="009D4627">
        <w:t xml:space="preserve">completed five eye movement recording measurements (in weeks 2, 4, 8, 12 and 16 post-onset) of the affected eye using </w:t>
      </w:r>
      <w:proofErr w:type="spellStart"/>
      <w:r w:rsidRPr="009D4627">
        <w:t>EyeLink</w:t>
      </w:r>
      <w:proofErr w:type="spellEnd"/>
      <w:r w:rsidRPr="009D4627">
        <w:t xml:space="preserve"> 1000 Plus with a 500 Hz sampling rate. </w:t>
      </w:r>
      <w:r w:rsidR="00C50147">
        <w:t>Ethical</w:t>
      </w:r>
      <w:r w:rsidRPr="009D4627">
        <w:t xml:space="preserve"> approval </w:t>
      </w:r>
      <w:r w:rsidR="00C50147">
        <w:t xml:space="preserve">was obtained </w:t>
      </w:r>
      <w:r w:rsidRPr="009D4627">
        <w:t>from the Research Ethics Committee NHS</w:t>
      </w:r>
      <w:r w:rsidR="00C50147">
        <w:t>,</w:t>
      </w:r>
      <w:r w:rsidRPr="009D4627">
        <w:t xml:space="preserve"> Health Research Approval. </w:t>
      </w:r>
      <w:r w:rsidRPr="009D4627">
        <w:rPr>
          <w:b/>
          <w:bCs/>
        </w:rPr>
        <w:t xml:space="preserve">Results: </w:t>
      </w:r>
      <w:r w:rsidR="005640CC" w:rsidRPr="005640CC">
        <w:rPr>
          <w:bCs/>
        </w:rPr>
        <w:t>An increase in smooth pursuit root means square error and prolonged saccadic latency, tested horizontally and vertically, were identified in the old age healthy volunteers (p&lt;0.05)</w:t>
      </w:r>
      <w:r w:rsidRPr="009D4627">
        <w:t xml:space="preserve">. The saccadic gain of the older age group reduced at larger </w:t>
      </w:r>
      <w:r w:rsidR="005640CC">
        <w:t>horizontal</w:t>
      </w:r>
      <w:r w:rsidR="00A35C71" w:rsidRPr="009D4627">
        <w:t xml:space="preserve"> </w:t>
      </w:r>
      <w:r w:rsidRPr="009D4627">
        <w:t>amplitude</w:t>
      </w:r>
      <w:r w:rsidR="005640CC">
        <w:t xml:space="preserve"> and upward saccades (p&lt;0.05)</w:t>
      </w:r>
      <w:r w:rsidRPr="009D4627">
        <w:t xml:space="preserve">. </w:t>
      </w:r>
      <w:r w:rsidR="00857417">
        <w:t>Conversely</w:t>
      </w:r>
      <w:r w:rsidR="00A35C71">
        <w:t xml:space="preserve">, the horizontal and downward saccadic peak velocity increased with ageing. </w:t>
      </w:r>
      <w:r w:rsidR="00A26136" w:rsidRPr="00A26136">
        <w:t xml:space="preserve">All ten patients with microvascular ocular nerve palsy had impaired </w:t>
      </w:r>
      <w:r w:rsidR="008F2994">
        <w:t>smooth pursuit</w:t>
      </w:r>
      <w:r w:rsidR="00A26136" w:rsidRPr="00A26136">
        <w:t xml:space="preserve"> and saccadic performance at baseline, with varying recovery rates over 4 months.</w:t>
      </w:r>
      <w:r w:rsidRPr="009D4627">
        <w:t xml:space="preserve"> </w:t>
      </w:r>
      <w:r w:rsidR="00857417">
        <w:t>These were commensurate with the clinical findings.</w:t>
      </w:r>
      <w:r w:rsidR="006B24FC">
        <w:t xml:space="preserve"> </w:t>
      </w:r>
      <w:r w:rsidRPr="009D4627">
        <w:rPr>
          <w:b/>
          <w:bCs/>
        </w:rPr>
        <w:t xml:space="preserve">Conclusion: </w:t>
      </w:r>
      <w:r w:rsidR="009B2977" w:rsidRPr="009B2977">
        <w:t xml:space="preserve">The EMR technique, programmes, and analysis strategies are simple-to-use technology that generates a permanent record and reproducible results. Additionally, it </w:t>
      </w:r>
      <w:r w:rsidR="009B2977">
        <w:t xml:space="preserve">can </w:t>
      </w:r>
      <w:r w:rsidR="009B2977" w:rsidRPr="009B2977">
        <w:t xml:space="preserve">assist clinicians in making decisions during the recovery period of patients with </w:t>
      </w:r>
      <w:r w:rsidR="009B2977">
        <w:t xml:space="preserve">acquired </w:t>
      </w:r>
      <w:r w:rsidR="009B2977" w:rsidRPr="009B2977">
        <w:t>ocular nerve palsies.</w:t>
      </w:r>
      <w:r w:rsidRPr="009D4627">
        <w:t xml:space="preserve"> The findings yielded encouraging results which merit further investigation and development.</w:t>
      </w:r>
      <w:bookmarkEnd w:id="5"/>
      <w:r w:rsidR="00EC745C" w:rsidRPr="009D4627">
        <w:t xml:space="preserve"> </w:t>
      </w:r>
      <w:bookmarkEnd w:id="4"/>
    </w:p>
    <w:p w14:paraId="06032ADE" w14:textId="77777777" w:rsidR="004C434C" w:rsidRPr="009D4627" w:rsidRDefault="004C434C" w:rsidP="004B0997">
      <w:pPr>
        <w:jc w:val="left"/>
        <w:rPr>
          <w:b/>
          <w:bCs/>
        </w:rPr>
        <w:sectPr w:rsidR="004C434C" w:rsidRPr="009D4627" w:rsidSect="00525C37">
          <w:headerReference w:type="default" r:id="rId16"/>
          <w:pgSz w:w="11906" w:h="16838" w:code="9"/>
          <w:pgMar w:top="1440" w:right="1440" w:bottom="1440" w:left="1440" w:header="708" w:footer="708" w:gutter="0"/>
          <w:pgNumType w:fmt="lowerRoman"/>
          <w:cols w:space="708"/>
          <w:docGrid w:linePitch="360"/>
        </w:sectPr>
      </w:pPr>
    </w:p>
    <w:p w14:paraId="5E399C5B" w14:textId="32EC94AF" w:rsidR="000E5835" w:rsidRPr="000E5835" w:rsidRDefault="000E5835" w:rsidP="00876DD7">
      <w:pPr>
        <w:pStyle w:val="TOC1"/>
        <w:rPr>
          <w:bCs/>
        </w:rPr>
      </w:pPr>
      <w:r>
        <w:lastRenderedPageBreak/>
        <w:t>Table of contents</w:t>
      </w:r>
    </w:p>
    <w:p w14:paraId="651E875D" w14:textId="0C1C26B2" w:rsidR="00E268F6" w:rsidRDefault="00D50A4B">
      <w:pPr>
        <w:pStyle w:val="TOC1"/>
        <w:rPr>
          <w:rFonts w:asciiTheme="minorHAnsi" w:eastAsiaTheme="minorEastAsia" w:hAnsiTheme="minorHAnsi" w:cstheme="minorBidi"/>
          <w:b w:val="0"/>
          <w:caps w:val="0"/>
          <w:color w:val="auto"/>
          <w:sz w:val="22"/>
          <w:szCs w:val="22"/>
          <w:lang w:val="en-MY" w:eastAsia="en-MY"/>
        </w:rPr>
      </w:pPr>
      <w:r>
        <w:fldChar w:fldCharType="begin"/>
      </w:r>
      <w:r>
        <w:instrText xml:space="preserve"> TOC \o "4-6" \h \z \u \t "Heading 1,1,Heading 2,2,Heading 3,3" </w:instrText>
      </w:r>
      <w:r>
        <w:fldChar w:fldCharType="separate"/>
      </w:r>
      <w:hyperlink w:anchor="_Toc103344653" w:history="1">
        <w:r w:rsidR="00E268F6" w:rsidRPr="00995769">
          <w:rPr>
            <w:rStyle w:val="Hyperlink"/>
            <w:bCs/>
          </w:rPr>
          <w:t>Chapter 1:</w:t>
        </w:r>
        <w:r w:rsidR="00E268F6" w:rsidRPr="00995769">
          <w:rPr>
            <w:rStyle w:val="Hyperlink"/>
          </w:rPr>
          <w:t xml:space="preserve"> Literature review</w:t>
        </w:r>
        <w:r w:rsidR="00E268F6">
          <w:rPr>
            <w:webHidden/>
          </w:rPr>
          <w:tab/>
        </w:r>
        <w:r w:rsidR="00E268F6">
          <w:rPr>
            <w:webHidden/>
          </w:rPr>
          <w:fldChar w:fldCharType="begin"/>
        </w:r>
        <w:r w:rsidR="00E268F6">
          <w:rPr>
            <w:webHidden/>
          </w:rPr>
          <w:instrText xml:space="preserve"> PAGEREF _Toc103344653 \h </w:instrText>
        </w:r>
        <w:r w:rsidR="00E268F6">
          <w:rPr>
            <w:webHidden/>
          </w:rPr>
        </w:r>
        <w:r w:rsidR="00E268F6">
          <w:rPr>
            <w:webHidden/>
          </w:rPr>
          <w:fldChar w:fldCharType="separate"/>
        </w:r>
        <w:r w:rsidR="00E268F6">
          <w:rPr>
            <w:webHidden/>
          </w:rPr>
          <w:t>1</w:t>
        </w:r>
        <w:r w:rsidR="00E268F6">
          <w:rPr>
            <w:webHidden/>
          </w:rPr>
          <w:fldChar w:fldCharType="end"/>
        </w:r>
      </w:hyperlink>
    </w:p>
    <w:p w14:paraId="5F3BEA94" w14:textId="06DD09EC"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54" w:history="1">
        <w:r w:rsidRPr="00995769">
          <w:rPr>
            <w:rStyle w:val="Hyperlink"/>
            <w:noProof/>
          </w:rPr>
          <w:t>1.1 Introduction and clinical background</w:t>
        </w:r>
        <w:r>
          <w:rPr>
            <w:noProof/>
            <w:webHidden/>
          </w:rPr>
          <w:tab/>
        </w:r>
        <w:r>
          <w:rPr>
            <w:noProof/>
            <w:webHidden/>
          </w:rPr>
          <w:fldChar w:fldCharType="begin"/>
        </w:r>
        <w:r>
          <w:rPr>
            <w:noProof/>
            <w:webHidden/>
          </w:rPr>
          <w:instrText xml:space="preserve"> PAGEREF _Toc103344654 \h </w:instrText>
        </w:r>
        <w:r>
          <w:rPr>
            <w:noProof/>
            <w:webHidden/>
          </w:rPr>
        </w:r>
        <w:r>
          <w:rPr>
            <w:noProof/>
            <w:webHidden/>
          </w:rPr>
          <w:fldChar w:fldCharType="separate"/>
        </w:r>
        <w:r>
          <w:rPr>
            <w:noProof/>
            <w:webHidden/>
          </w:rPr>
          <w:t>1</w:t>
        </w:r>
        <w:r>
          <w:rPr>
            <w:noProof/>
            <w:webHidden/>
          </w:rPr>
          <w:fldChar w:fldCharType="end"/>
        </w:r>
      </w:hyperlink>
    </w:p>
    <w:p w14:paraId="18A309E8" w14:textId="0A8AE1F4"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55" w:history="1">
        <w:r w:rsidRPr="00995769">
          <w:rPr>
            <w:rStyle w:val="Hyperlink"/>
            <w:noProof/>
          </w:rPr>
          <w:t>1.2 Type of eye movements</w:t>
        </w:r>
        <w:r>
          <w:rPr>
            <w:noProof/>
            <w:webHidden/>
          </w:rPr>
          <w:tab/>
        </w:r>
        <w:r>
          <w:rPr>
            <w:noProof/>
            <w:webHidden/>
          </w:rPr>
          <w:fldChar w:fldCharType="begin"/>
        </w:r>
        <w:r>
          <w:rPr>
            <w:noProof/>
            <w:webHidden/>
          </w:rPr>
          <w:instrText xml:space="preserve"> PAGEREF _Toc103344655 \h </w:instrText>
        </w:r>
        <w:r>
          <w:rPr>
            <w:noProof/>
            <w:webHidden/>
          </w:rPr>
        </w:r>
        <w:r>
          <w:rPr>
            <w:noProof/>
            <w:webHidden/>
          </w:rPr>
          <w:fldChar w:fldCharType="separate"/>
        </w:r>
        <w:r>
          <w:rPr>
            <w:noProof/>
            <w:webHidden/>
          </w:rPr>
          <w:t>2</w:t>
        </w:r>
        <w:r>
          <w:rPr>
            <w:noProof/>
            <w:webHidden/>
          </w:rPr>
          <w:fldChar w:fldCharType="end"/>
        </w:r>
      </w:hyperlink>
    </w:p>
    <w:p w14:paraId="41BFD077" w14:textId="03B3681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56" w:history="1">
        <w:r w:rsidRPr="00995769">
          <w:rPr>
            <w:rStyle w:val="Hyperlink"/>
            <w:noProof/>
          </w:rPr>
          <w:t>1.2.1 Fixations</w:t>
        </w:r>
        <w:r>
          <w:rPr>
            <w:noProof/>
            <w:webHidden/>
          </w:rPr>
          <w:tab/>
        </w:r>
        <w:r>
          <w:rPr>
            <w:noProof/>
            <w:webHidden/>
          </w:rPr>
          <w:fldChar w:fldCharType="begin"/>
        </w:r>
        <w:r>
          <w:rPr>
            <w:noProof/>
            <w:webHidden/>
          </w:rPr>
          <w:instrText xml:space="preserve"> PAGEREF _Toc103344656 \h </w:instrText>
        </w:r>
        <w:r>
          <w:rPr>
            <w:noProof/>
            <w:webHidden/>
          </w:rPr>
        </w:r>
        <w:r>
          <w:rPr>
            <w:noProof/>
            <w:webHidden/>
          </w:rPr>
          <w:fldChar w:fldCharType="separate"/>
        </w:r>
        <w:r>
          <w:rPr>
            <w:noProof/>
            <w:webHidden/>
          </w:rPr>
          <w:t>2</w:t>
        </w:r>
        <w:r>
          <w:rPr>
            <w:noProof/>
            <w:webHidden/>
          </w:rPr>
          <w:fldChar w:fldCharType="end"/>
        </w:r>
      </w:hyperlink>
    </w:p>
    <w:p w14:paraId="76AD2E22" w14:textId="688FB623" w:rsidR="00E268F6" w:rsidRDefault="00E268F6">
      <w:pPr>
        <w:pStyle w:val="TOC4"/>
        <w:rPr>
          <w:rFonts w:asciiTheme="minorHAnsi" w:eastAsiaTheme="minorEastAsia" w:hAnsiTheme="minorHAnsi" w:cstheme="minorBidi"/>
          <w:noProof/>
          <w:color w:val="auto"/>
          <w:sz w:val="22"/>
          <w:szCs w:val="22"/>
          <w:lang w:val="en-MY" w:eastAsia="en-MY"/>
        </w:rPr>
      </w:pPr>
      <w:hyperlink w:anchor="_Toc103344657" w:history="1">
        <w:r w:rsidRPr="00995769">
          <w:rPr>
            <w:rStyle w:val="Hyperlink"/>
            <w:bCs/>
            <w:noProof/>
          </w:rPr>
          <w:t>1.2.1.1</w:t>
        </w:r>
        <w:r w:rsidRPr="00995769">
          <w:rPr>
            <w:rStyle w:val="Hyperlink"/>
            <w:noProof/>
          </w:rPr>
          <w:t xml:space="preserve"> Tremor</w:t>
        </w:r>
        <w:r>
          <w:rPr>
            <w:rStyle w:val="Hyperlink"/>
            <w:noProof/>
          </w:rPr>
          <w:t xml:space="preserve"> …………………………………………………………………………..</w:t>
        </w:r>
        <w:r>
          <w:rPr>
            <w:noProof/>
            <w:webHidden/>
          </w:rPr>
          <w:fldChar w:fldCharType="begin"/>
        </w:r>
        <w:r>
          <w:rPr>
            <w:noProof/>
            <w:webHidden/>
          </w:rPr>
          <w:instrText xml:space="preserve"> PAGEREF _Toc103344657 \h </w:instrText>
        </w:r>
        <w:r>
          <w:rPr>
            <w:noProof/>
            <w:webHidden/>
          </w:rPr>
        </w:r>
        <w:r>
          <w:rPr>
            <w:noProof/>
            <w:webHidden/>
          </w:rPr>
          <w:fldChar w:fldCharType="separate"/>
        </w:r>
        <w:r>
          <w:rPr>
            <w:noProof/>
            <w:webHidden/>
          </w:rPr>
          <w:t>3</w:t>
        </w:r>
        <w:r>
          <w:rPr>
            <w:noProof/>
            <w:webHidden/>
          </w:rPr>
          <w:fldChar w:fldCharType="end"/>
        </w:r>
      </w:hyperlink>
    </w:p>
    <w:p w14:paraId="6CCFC470" w14:textId="78046DD9" w:rsidR="00E268F6" w:rsidRDefault="00E268F6">
      <w:pPr>
        <w:pStyle w:val="TOC4"/>
        <w:rPr>
          <w:rFonts w:asciiTheme="minorHAnsi" w:eastAsiaTheme="minorEastAsia" w:hAnsiTheme="minorHAnsi" w:cstheme="minorBidi"/>
          <w:noProof/>
          <w:color w:val="auto"/>
          <w:sz w:val="22"/>
          <w:szCs w:val="22"/>
          <w:lang w:val="en-MY" w:eastAsia="en-MY"/>
        </w:rPr>
      </w:pPr>
      <w:hyperlink w:anchor="_Toc103344658" w:history="1">
        <w:r w:rsidRPr="00995769">
          <w:rPr>
            <w:rStyle w:val="Hyperlink"/>
            <w:bCs/>
            <w:noProof/>
          </w:rPr>
          <w:t>1.2.1.2</w:t>
        </w:r>
        <w:r w:rsidRPr="00995769">
          <w:rPr>
            <w:rStyle w:val="Hyperlink"/>
            <w:noProof/>
          </w:rPr>
          <w:t xml:space="preserve"> Microsaccades</w:t>
        </w:r>
        <w:r>
          <w:rPr>
            <w:rStyle w:val="Hyperlink"/>
            <w:noProof/>
          </w:rPr>
          <w:t xml:space="preserve"> …………………………………………………………………..</w:t>
        </w:r>
        <w:r>
          <w:rPr>
            <w:noProof/>
            <w:webHidden/>
          </w:rPr>
          <w:fldChar w:fldCharType="begin"/>
        </w:r>
        <w:r>
          <w:rPr>
            <w:noProof/>
            <w:webHidden/>
          </w:rPr>
          <w:instrText xml:space="preserve"> PAGEREF _Toc103344658 \h </w:instrText>
        </w:r>
        <w:r>
          <w:rPr>
            <w:noProof/>
            <w:webHidden/>
          </w:rPr>
        </w:r>
        <w:r>
          <w:rPr>
            <w:noProof/>
            <w:webHidden/>
          </w:rPr>
          <w:fldChar w:fldCharType="separate"/>
        </w:r>
        <w:r>
          <w:rPr>
            <w:noProof/>
            <w:webHidden/>
          </w:rPr>
          <w:t>4</w:t>
        </w:r>
        <w:r>
          <w:rPr>
            <w:noProof/>
            <w:webHidden/>
          </w:rPr>
          <w:fldChar w:fldCharType="end"/>
        </w:r>
      </w:hyperlink>
    </w:p>
    <w:p w14:paraId="79AFE0B7" w14:textId="095183F5" w:rsidR="00E268F6" w:rsidRDefault="00E268F6">
      <w:pPr>
        <w:pStyle w:val="TOC4"/>
        <w:rPr>
          <w:rFonts w:asciiTheme="minorHAnsi" w:eastAsiaTheme="minorEastAsia" w:hAnsiTheme="minorHAnsi" w:cstheme="minorBidi"/>
          <w:noProof/>
          <w:color w:val="auto"/>
          <w:sz w:val="22"/>
          <w:szCs w:val="22"/>
          <w:lang w:val="en-MY" w:eastAsia="en-MY"/>
        </w:rPr>
      </w:pPr>
      <w:hyperlink w:anchor="_Toc103344659" w:history="1">
        <w:r w:rsidRPr="00995769">
          <w:rPr>
            <w:rStyle w:val="Hyperlink"/>
            <w:bCs/>
            <w:noProof/>
          </w:rPr>
          <w:t>1.2.1.3</w:t>
        </w:r>
        <w:r w:rsidRPr="00995769">
          <w:rPr>
            <w:rStyle w:val="Hyperlink"/>
            <w:noProof/>
          </w:rPr>
          <w:t xml:space="preserve"> Drift</w:t>
        </w:r>
        <w:r>
          <w:rPr>
            <w:rStyle w:val="Hyperlink"/>
            <w:noProof/>
          </w:rPr>
          <w:t xml:space="preserve"> ……………………………………………………………………………..</w:t>
        </w:r>
        <w:r>
          <w:rPr>
            <w:noProof/>
            <w:webHidden/>
          </w:rPr>
          <w:fldChar w:fldCharType="begin"/>
        </w:r>
        <w:r>
          <w:rPr>
            <w:noProof/>
            <w:webHidden/>
          </w:rPr>
          <w:instrText xml:space="preserve"> PAGEREF _Toc103344659 \h </w:instrText>
        </w:r>
        <w:r>
          <w:rPr>
            <w:noProof/>
            <w:webHidden/>
          </w:rPr>
        </w:r>
        <w:r>
          <w:rPr>
            <w:noProof/>
            <w:webHidden/>
          </w:rPr>
          <w:fldChar w:fldCharType="separate"/>
        </w:r>
        <w:r>
          <w:rPr>
            <w:noProof/>
            <w:webHidden/>
          </w:rPr>
          <w:t>4</w:t>
        </w:r>
        <w:r>
          <w:rPr>
            <w:noProof/>
            <w:webHidden/>
          </w:rPr>
          <w:fldChar w:fldCharType="end"/>
        </w:r>
      </w:hyperlink>
    </w:p>
    <w:p w14:paraId="6B4CB933" w14:textId="407DDFC3"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60" w:history="1">
        <w:r w:rsidRPr="00995769">
          <w:rPr>
            <w:rStyle w:val="Hyperlink"/>
            <w:noProof/>
          </w:rPr>
          <w:t>1.2.2 SP</w:t>
        </w:r>
        <w:r>
          <w:rPr>
            <w:noProof/>
            <w:webHidden/>
          </w:rPr>
          <w:tab/>
        </w:r>
        <w:r>
          <w:rPr>
            <w:noProof/>
            <w:webHidden/>
          </w:rPr>
          <w:fldChar w:fldCharType="begin"/>
        </w:r>
        <w:r>
          <w:rPr>
            <w:noProof/>
            <w:webHidden/>
          </w:rPr>
          <w:instrText xml:space="preserve"> PAGEREF _Toc103344660 \h </w:instrText>
        </w:r>
        <w:r>
          <w:rPr>
            <w:noProof/>
            <w:webHidden/>
          </w:rPr>
        </w:r>
        <w:r>
          <w:rPr>
            <w:noProof/>
            <w:webHidden/>
          </w:rPr>
          <w:fldChar w:fldCharType="separate"/>
        </w:r>
        <w:r>
          <w:rPr>
            <w:noProof/>
            <w:webHidden/>
          </w:rPr>
          <w:t>5</w:t>
        </w:r>
        <w:r>
          <w:rPr>
            <w:noProof/>
            <w:webHidden/>
          </w:rPr>
          <w:fldChar w:fldCharType="end"/>
        </w:r>
      </w:hyperlink>
    </w:p>
    <w:p w14:paraId="7969C8F1" w14:textId="6FDC3C56"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61" w:history="1">
        <w:r w:rsidRPr="00995769">
          <w:rPr>
            <w:rStyle w:val="Hyperlink"/>
            <w:noProof/>
          </w:rPr>
          <w:t>1.2.3 Saccades</w:t>
        </w:r>
        <w:r>
          <w:rPr>
            <w:noProof/>
            <w:webHidden/>
          </w:rPr>
          <w:tab/>
        </w:r>
        <w:r>
          <w:rPr>
            <w:noProof/>
            <w:webHidden/>
          </w:rPr>
          <w:fldChar w:fldCharType="begin"/>
        </w:r>
        <w:r>
          <w:rPr>
            <w:noProof/>
            <w:webHidden/>
          </w:rPr>
          <w:instrText xml:space="preserve"> PAGEREF _Toc103344661 \h </w:instrText>
        </w:r>
        <w:r>
          <w:rPr>
            <w:noProof/>
            <w:webHidden/>
          </w:rPr>
        </w:r>
        <w:r>
          <w:rPr>
            <w:noProof/>
            <w:webHidden/>
          </w:rPr>
          <w:fldChar w:fldCharType="separate"/>
        </w:r>
        <w:r>
          <w:rPr>
            <w:noProof/>
            <w:webHidden/>
          </w:rPr>
          <w:t>8</w:t>
        </w:r>
        <w:r>
          <w:rPr>
            <w:noProof/>
            <w:webHidden/>
          </w:rPr>
          <w:fldChar w:fldCharType="end"/>
        </w:r>
      </w:hyperlink>
    </w:p>
    <w:p w14:paraId="6A4EC9A6" w14:textId="380A58F7" w:rsidR="00E268F6" w:rsidRDefault="00E268F6">
      <w:pPr>
        <w:pStyle w:val="TOC4"/>
        <w:rPr>
          <w:rFonts w:asciiTheme="minorHAnsi" w:eastAsiaTheme="minorEastAsia" w:hAnsiTheme="minorHAnsi" w:cstheme="minorBidi"/>
          <w:noProof/>
          <w:color w:val="auto"/>
          <w:sz w:val="22"/>
          <w:szCs w:val="22"/>
          <w:lang w:val="en-MY" w:eastAsia="en-MY"/>
        </w:rPr>
      </w:pPr>
      <w:hyperlink w:anchor="_Toc103344662" w:history="1">
        <w:r w:rsidRPr="00995769">
          <w:rPr>
            <w:rStyle w:val="Hyperlink"/>
            <w:bCs/>
            <w:noProof/>
          </w:rPr>
          <w:t>1.2.3.1</w:t>
        </w:r>
        <w:r w:rsidRPr="00995769">
          <w:rPr>
            <w:rStyle w:val="Hyperlink"/>
            <w:noProof/>
          </w:rPr>
          <w:t xml:space="preserve"> Saccadic latency</w:t>
        </w:r>
        <w:r>
          <w:rPr>
            <w:rStyle w:val="Hyperlink"/>
            <w:noProof/>
          </w:rPr>
          <w:t xml:space="preserve"> ……………………………………………………………….</w:t>
        </w:r>
        <w:r>
          <w:rPr>
            <w:noProof/>
            <w:webHidden/>
          </w:rPr>
          <w:fldChar w:fldCharType="begin"/>
        </w:r>
        <w:r>
          <w:rPr>
            <w:noProof/>
            <w:webHidden/>
          </w:rPr>
          <w:instrText xml:space="preserve"> PAGEREF _Toc103344662 \h </w:instrText>
        </w:r>
        <w:r>
          <w:rPr>
            <w:noProof/>
            <w:webHidden/>
          </w:rPr>
        </w:r>
        <w:r>
          <w:rPr>
            <w:noProof/>
            <w:webHidden/>
          </w:rPr>
          <w:fldChar w:fldCharType="separate"/>
        </w:r>
        <w:r>
          <w:rPr>
            <w:noProof/>
            <w:webHidden/>
          </w:rPr>
          <w:t>10</w:t>
        </w:r>
        <w:r>
          <w:rPr>
            <w:noProof/>
            <w:webHidden/>
          </w:rPr>
          <w:fldChar w:fldCharType="end"/>
        </w:r>
      </w:hyperlink>
    </w:p>
    <w:p w14:paraId="6B9AC822" w14:textId="6F99A153" w:rsidR="00E268F6" w:rsidRDefault="00E268F6">
      <w:pPr>
        <w:pStyle w:val="TOC4"/>
        <w:rPr>
          <w:rFonts w:asciiTheme="minorHAnsi" w:eastAsiaTheme="minorEastAsia" w:hAnsiTheme="minorHAnsi" w:cstheme="minorBidi"/>
          <w:noProof/>
          <w:color w:val="auto"/>
          <w:sz w:val="22"/>
          <w:szCs w:val="22"/>
          <w:lang w:val="en-MY" w:eastAsia="en-MY"/>
        </w:rPr>
      </w:pPr>
      <w:hyperlink w:anchor="_Toc103344663" w:history="1">
        <w:r w:rsidRPr="00995769">
          <w:rPr>
            <w:rStyle w:val="Hyperlink"/>
            <w:bCs/>
            <w:noProof/>
          </w:rPr>
          <w:t>1.2.3.2</w:t>
        </w:r>
        <w:r w:rsidRPr="00995769">
          <w:rPr>
            <w:rStyle w:val="Hyperlink"/>
            <w:noProof/>
          </w:rPr>
          <w:t xml:space="preserve"> Saccadic peak velocity</w:t>
        </w:r>
        <w:r>
          <w:rPr>
            <w:rStyle w:val="Hyperlink"/>
            <w:noProof/>
          </w:rPr>
          <w:t xml:space="preserve"> ………………………………………………………...</w:t>
        </w:r>
        <w:r>
          <w:rPr>
            <w:noProof/>
            <w:webHidden/>
          </w:rPr>
          <w:fldChar w:fldCharType="begin"/>
        </w:r>
        <w:r>
          <w:rPr>
            <w:noProof/>
            <w:webHidden/>
          </w:rPr>
          <w:instrText xml:space="preserve"> PAGEREF _Toc103344663 \h </w:instrText>
        </w:r>
        <w:r>
          <w:rPr>
            <w:noProof/>
            <w:webHidden/>
          </w:rPr>
        </w:r>
        <w:r>
          <w:rPr>
            <w:noProof/>
            <w:webHidden/>
          </w:rPr>
          <w:fldChar w:fldCharType="separate"/>
        </w:r>
        <w:r>
          <w:rPr>
            <w:noProof/>
            <w:webHidden/>
          </w:rPr>
          <w:t>12</w:t>
        </w:r>
        <w:r>
          <w:rPr>
            <w:noProof/>
            <w:webHidden/>
          </w:rPr>
          <w:fldChar w:fldCharType="end"/>
        </w:r>
      </w:hyperlink>
    </w:p>
    <w:p w14:paraId="2BFCB099" w14:textId="200E9152" w:rsidR="00E268F6" w:rsidRDefault="00E268F6">
      <w:pPr>
        <w:pStyle w:val="TOC4"/>
        <w:rPr>
          <w:rFonts w:asciiTheme="minorHAnsi" w:eastAsiaTheme="minorEastAsia" w:hAnsiTheme="minorHAnsi" w:cstheme="minorBidi"/>
          <w:noProof/>
          <w:color w:val="auto"/>
          <w:sz w:val="22"/>
          <w:szCs w:val="22"/>
          <w:lang w:val="en-MY" w:eastAsia="en-MY"/>
        </w:rPr>
      </w:pPr>
      <w:hyperlink w:anchor="_Toc103344664" w:history="1">
        <w:r w:rsidRPr="00995769">
          <w:rPr>
            <w:rStyle w:val="Hyperlink"/>
            <w:bCs/>
            <w:noProof/>
          </w:rPr>
          <w:t>1.2.3.3</w:t>
        </w:r>
        <w:r w:rsidRPr="00995769">
          <w:rPr>
            <w:rStyle w:val="Hyperlink"/>
            <w:noProof/>
          </w:rPr>
          <w:t xml:space="preserve"> Saccadic gain</w:t>
        </w:r>
        <w:r>
          <w:rPr>
            <w:rStyle w:val="Hyperlink"/>
            <w:noProof/>
          </w:rPr>
          <w:t xml:space="preserve"> …………………………………………………………………..</w:t>
        </w:r>
        <w:r>
          <w:rPr>
            <w:noProof/>
            <w:webHidden/>
          </w:rPr>
          <w:fldChar w:fldCharType="begin"/>
        </w:r>
        <w:r>
          <w:rPr>
            <w:noProof/>
            <w:webHidden/>
          </w:rPr>
          <w:instrText xml:space="preserve"> PAGEREF _Toc103344664 \h </w:instrText>
        </w:r>
        <w:r>
          <w:rPr>
            <w:noProof/>
            <w:webHidden/>
          </w:rPr>
        </w:r>
        <w:r>
          <w:rPr>
            <w:noProof/>
            <w:webHidden/>
          </w:rPr>
          <w:fldChar w:fldCharType="separate"/>
        </w:r>
        <w:r>
          <w:rPr>
            <w:noProof/>
            <w:webHidden/>
          </w:rPr>
          <w:t>13</w:t>
        </w:r>
        <w:r>
          <w:rPr>
            <w:noProof/>
            <w:webHidden/>
          </w:rPr>
          <w:fldChar w:fldCharType="end"/>
        </w:r>
      </w:hyperlink>
    </w:p>
    <w:p w14:paraId="180F94F5" w14:textId="6BC0D78E"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65" w:history="1">
        <w:r w:rsidRPr="00995769">
          <w:rPr>
            <w:rStyle w:val="Hyperlink"/>
            <w:noProof/>
          </w:rPr>
          <w:t>1.3 Current clinical assessments routine of eye movements and their limitations</w:t>
        </w:r>
        <w:r>
          <w:rPr>
            <w:noProof/>
            <w:webHidden/>
          </w:rPr>
          <w:tab/>
        </w:r>
        <w:r>
          <w:rPr>
            <w:noProof/>
            <w:webHidden/>
          </w:rPr>
          <w:fldChar w:fldCharType="begin"/>
        </w:r>
        <w:r>
          <w:rPr>
            <w:noProof/>
            <w:webHidden/>
          </w:rPr>
          <w:instrText xml:space="preserve"> PAGEREF _Toc103344665 \h </w:instrText>
        </w:r>
        <w:r>
          <w:rPr>
            <w:noProof/>
            <w:webHidden/>
          </w:rPr>
        </w:r>
        <w:r>
          <w:rPr>
            <w:noProof/>
            <w:webHidden/>
          </w:rPr>
          <w:fldChar w:fldCharType="separate"/>
        </w:r>
        <w:r>
          <w:rPr>
            <w:noProof/>
            <w:webHidden/>
          </w:rPr>
          <w:t>15</w:t>
        </w:r>
        <w:r>
          <w:rPr>
            <w:noProof/>
            <w:webHidden/>
          </w:rPr>
          <w:fldChar w:fldCharType="end"/>
        </w:r>
      </w:hyperlink>
    </w:p>
    <w:p w14:paraId="28D23766" w14:textId="0E15E5EE"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66" w:history="1">
        <w:r w:rsidRPr="00995769">
          <w:rPr>
            <w:rStyle w:val="Hyperlink"/>
            <w:noProof/>
          </w:rPr>
          <w:t>1.3.1 Testing fixations</w:t>
        </w:r>
        <w:r>
          <w:rPr>
            <w:noProof/>
            <w:webHidden/>
          </w:rPr>
          <w:tab/>
        </w:r>
        <w:r>
          <w:rPr>
            <w:noProof/>
            <w:webHidden/>
          </w:rPr>
          <w:fldChar w:fldCharType="begin"/>
        </w:r>
        <w:r>
          <w:rPr>
            <w:noProof/>
            <w:webHidden/>
          </w:rPr>
          <w:instrText xml:space="preserve"> PAGEREF _Toc103344666 \h </w:instrText>
        </w:r>
        <w:r>
          <w:rPr>
            <w:noProof/>
            <w:webHidden/>
          </w:rPr>
        </w:r>
        <w:r>
          <w:rPr>
            <w:noProof/>
            <w:webHidden/>
          </w:rPr>
          <w:fldChar w:fldCharType="separate"/>
        </w:r>
        <w:r>
          <w:rPr>
            <w:noProof/>
            <w:webHidden/>
          </w:rPr>
          <w:t>15</w:t>
        </w:r>
        <w:r>
          <w:rPr>
            <w:noProof/>
            <w:webHidden/>
          </w:rPr>
          <w:fldChar w:fldCharType="end"/>
        </w:r>
      </w:hyperlink>
    </w:p>
    <w:p w14:paraId="23A406F8" w14:textId="6804F713"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67" w:history="1">
        <w:r w:rsidRPr="00995769">
          <w:rPr>
            <w:rStyle w:val="Hyperlink"/>
            <w:noProof/>
          </w:rPr>
          <w:t>1.3.2 Testing SP</w:t>
        </w:r>
        <w:r>
          <w:rPr>
            <w:noProof/>
            <w:webHidden/>
          </w:rPr>
          <w:tab/>
        </w:r>
        <w:r>
          <w:rPr>
            <w:noProof/>
            <w:webHidden/>
          </w:rPr>
          <w:fldChar w:fldCharType="begin"/>
        </w:r>
        <w:r>
          <w:rPr>
            <w:noProof/>
            <w:webHidden/>
          </w:rPr>
          <w:instrText xml:space="preserve"> PAGEREF _Toc103344667 \h </w:instrText>
        </w:r>
        <w:r>
          <w:rPr>
            <w:noProof/>
            <w:webHidden/>
          </w:rPr>
        </w:r>
        <w:r>
          <w:rPr>
            <w:noProof/>
            <w:webHidden/>
          </w:rPr>
          <w:fldChar w:fldCharType="separate"/>
        </w:r>
        <w:r>
          <w:rPr>
            <w:noProof/>
            <w:webHidden/>
          </w:rPr>
          <w:t>16</w:t>
        </w:r>
        <w:r>
          <w:rPr>
            <w:noProof/>
            <w:webHidden/>
          </w:rPr>
          <w:fldChar w:fldCharType="end"/>
        </w:r>
      </w:hyperlink>
    </w:p>
    <w:p w14:paraId="66AC136F" w14:textId="2A58BF81"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68" w:history="1">
        <w:r w:rsidRPr="00995769">
          <w:rPr>
            <w:rStyle w:val="Hyperlink"/>
            <w:noProof/>
          </w:rPr>
          <w:t>1.3.3 Testing saccades</w:t>
        </w:r>
        <w:r>
          <w:rPr>
            <w:noProof/>
            <w:webHidden/>
          </w:rPr>
          <w:tab/>
        </w:r>
        <w:r>
          <w:rPr>
            <w:noProof/>
            <w:webHidden/>
          </w:rPr>
          <w:fldChar w:fldCharType="begin"/>
        </w:r>
        <w:r>
          <w:rPr>
            <w:noProof/>
            <w:webHidden/>
          </w:rPr>
          <w:instrText xml:space="preserve"> PAGEREF _Toc103344668 \h </w:instrText>
        </w:r>
        <w:r>
          <w:rPr>
            <w:noProof/>
            <w:webHidden/>
          </w:rPr>
        </w:r>
        <w:r>
          <w:rPr>
            <w:noProof/>
            <w:webHidden/>
          </w:rPr>
          <w:fldChar w:fldCharType="separate"/>
        </w:r>
        <w:r>
          <w:rPr>
            <w:noProof/>
            <w:webHidden/>
          </w:rPr>
          <w:t>18</w:t>
        </w:r>
        <w:r>
          <w:rPr>
            <w:noProof/>
            <w:webHidden/>
          </w:rPr>
          <w:fldChar w:fldCharType="end"/>
        </w:r>
      </w:hyperlink>
    </w:p>
    <w:p w14:paraId="72728421" w14:textId="2655378B"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69" w:history="1">
        <w:r w:rsidRPr="00995769">
          <w:rPr>
            <w:rStyle w:val="Hyperlink"/>
            <w:noProof/>
          </w:rPr>
          <w:t>1.4 Future requirements</w:t>
        </w:r>
        <w:r>
          <w:rPr>
            <w:noProof/>
            <w:webHidden/>
          </w:rPr>
          <w:tab/>
        </w:r>
        <w:r>
          <w:rPr>
            <w:noProof/>
            <w:webHidden/>
          </w:rPr>
          <w:fldChar w:fldCharType="begin"/>
        </w:r>
        <w:r>
          <w:rPr>
            <w:noProof/>
            <w:webHidden/>
          </w:rPr>
          <w:instrText xml:space="preserve"> PAGEREF _Toc103344669 \h </w:instrText>
        </w:r>
        <w:r>
          <w:rPr>
            <w:noProof/>
            <w:webHidden/>
          </w:rPr>
        </w:r>
        <w:r>
          <w:rPr>
            <w:noProof/>
            <w:webHidden/>
          </w:rPr>
          <w:fldChar w:fldCharType="separate"/>
        </w:r>
        <w:r>
          <w:rPr>
            <w:noProof/>
            <w:webHidden/>
          </w:rPr>
          <w:t>20</w:t>
        </w:r>
        <w:r>
          <w:rPr>
            <w:noProof/>
            <w:webHidden/>
          </w:rPr>
          <w:fldChar w:fldCharType="end"/>
        </w:r>
      </w:hyperlink>
    </w:p>
    <w:p w14:paraId="2E43DB07" w14:textId="573FB15A"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70" w:history="1">
        <w:r w:rsidRPr="00995769">
          <w:rPr>
            <w:rStyle w:val="Hyperlink"/>
            <w:noProof/>
          </w:rPr>
          <w:t>1.5 EMR</w:t>
        </w:r>
        <w:r>
          <w:rPr>
            <w:noProof/>
            <w:webHidden/>
          </w:rPr>
          <w:tab/>
        </w:r>
        <w:r>
          <w:rPr>
            <w:noProof/>
            <w:webHidden/>
          </w:rPr>
          <w:fldChar w:fldCharType="begin"/>
        </w:r>
        <w:r>
          <w:rPr>
            <w:noProof/>
            <w:webHidden/>
          </w:rPr>
          <w:instrText xml:space="preserve"> PAGEREF _Toc103344670 \h </w:instrText>
        </w:r>
        <w:r>
          <w:rPr>
            <w:noProof/>
            <w:webHidden/>
          </w:rPr>
        </w:r>
        <w:r>
          <w:rPr>
            <w:noProof/>
            <w:webHidden/>
          </w:rPr>
          <w:fldChar w:fldCharType="separate"/>
        </w:r>
        <w:r>
          <w:rPr>
            <w:noProof/>
            <w:webHidden/>
          </w:rPr>
          <w:t>21</w:t>
        </w:r>
        <w:r>
          <w:rPr>
            <w:noProof/>
            <w:webHidden/>
          </w:rPr>
          <w:fldChar w:fldCharType="end"/>
        </w:r>
      </w:hyperlink>
    </w:p>
    <w:p w14:paraId="7C366AE4" w14:textId="68ACADC7"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1" w:history="1">
        <w:r w:rsidRPr="00995769">
          <w:rPr>
            <w:rStyle w:val="Hyperlink"/>
            <w:noProof/>
          </w:rPr>
          <w:t>1.5.1 Review of objective eye recording methods</w:t>
        </w:r>
        <w:r>
          <w:rPr>
            <w:noProof/>
            <w:webHidden/>
          </w:rPr>
          <w:tab/>
        </w:r>
        <w:r>
          <w:rPr>
            <w:noProof/>
            <w:webHidden/>
          </w:rPr>
          <w:fldChar w:fldCharType="begin"/>
        </w:r>
        <w:r>
          <w:rPr>
            <w:noProof/>
            <w:webHidden/>
          </w:rPr>
          <w:instrText xml:space="preserve"> PAGEREF _Toc103344671 \h </w:instrText>
        </w:r>
        <w:r>
          <w:rPr>
            <w:noProof/>
            <w:webHidden/>
          </w:rPr>
        </w:r>
        <w:r>
          <w:rPr>
            <w:noProof/>
            <w:webHidden/>
          </w:rPr>
          <w:fldChar w:fldCharType="separate"/>
        </w:r>
        <w:r>
          <w:rPr>
            <w:noProof/>
            <w:webHidden/>
          </w:rPr>
          <w:t>21</w:t>
        </w:r>
        <w:r>
          <w:rPr>
            <w:noProof/>
            <w:webHidden/>
          </w:rPr>
          <w:fldChar w:fldCharType="end"/>
        </w:r>
      </w:hyperlink>
    </w:p>
    <w:p w14:paraId="4EAF9461" w14:textId="15271F9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2" w:history="1">
        <w:r w:rsidRPr="00995769">
          <w:rPr>
            <w:rStyle w:val="Hyperlink"/>
            <w:noProof/>
          </w:rPr>
          <w:t>1.5.2 Ageing and EMR</w:t>
        </w:r>
        <w:r>
          <w:rPr>
            <w:noProof/>
            <w:webHidden/>
          </w:rPr>
          <w:tab/>
        </w:r>
        <w:r>
          <w:rPr>
            <w:noProof/>
            <w:webHidden/>
          </w:rPr>
          <w:fldChar w:fldCharType="begin"/>
        </w:r>
        <w:r>
          <w:rPr>
            <w:noProof/>
            <w:webHidden/>
          </w:rPr>
          <w:instrText xml:space="preserve"> PAGEREF _Toc103344672 \h </w:instrText>
        </w:r>
        <w:r>
          <w:rPr>
            <w:noProof/>
            <w:webHidden/>
          </w:rPr>
        </w:r>
        <w:r>
          <w:rPr>
            <w:noProof/>
            <w:webHidden/>
          </w:rPr>
          <w:fldChar w:fldCharType="separate"/>
        </w:r>
        <w:r>
          <w:rPr>
            <w:noProof/>
            <w:webHidden/>
          </w:rPr>
          <w:t>28</w:t>
        </w:r>
        <w:r>
          <w:rPr>
            <w:noProof/>
            <w:webHidden/>
          </w:rPr>
          <w:fldChar w:fldCharType="end"/>
        </w:r>
      </w:hyperlink>
    </w:p>
    <w:p w14:paraId="40DC2847" w14:textId="152F1327"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3" w:history="1">
        <w:r w:rsidRPr="00995769">
          <w:rPr>
            <w:rStyle w:val="Hyperlink"/>
            <w:noProof/>
          </w:rPr>
          <w:t>1.5.3 Clinical indications for EMRs</w:t>
        </w:r>
        <w:r>
          <w:rPr>
            <w:noProof/>
            <w:webHidden/>
          </w:rPr>
          <w:tab/>
        </w:r>
        <w:r>
          <w:rPr>
            <w:noProof/>
            <w:webHidden/>
          </w:rPr>
          <w:fldChar w:fldCharType="begin"/>
        </w:r>
        <w:r>
          <w:rPr>
            <w:noProof/>
            <w:webHidden/>
          </w:rPr>
          <w:instrText xml:space="preserve"> PAGEREF _Toc103344673 \h </w:instrText>
        </w:r>
        <w:r>
          <w:rPr>
            <w:noProof/>
            <w:webHidden/>
          </w:rPr>
        </w:r>
        <w:r>
          <w:rPr>
            <w:noProof/>
            <w:webHidden/>
          </w:rPr>
          <w:fldChar w:fldCharType="separate"/>
        </w:r>
        <w:r>
          <w:rPr>
            <w:noProof/>
            <w:webHidden/>
          </w:rPr>
          <w:t>36</w:t>
        </w:r>
        <w:r>
          <w:rPr>
            <w:noProof/>
            <w:webHidden/>
          </w:rPr>
          <w:fldChar w:fldCharType="end"/>
        </w:r>
      </w:hyperlink>
    </w:p>
    <w:p w14:paraId="5901F9DE" w14:textId="4D8A4EE3"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74" w:history="1">
        <w:r w:rsidRPr="00995769">
          <w:rPr>
            <w:rStyle w:val="Hyperlink"/>
            <w:noProof/>
          </w:rPr>
          <w:t>1.6 Ocular nerve palsies</w:t>
        </w:r>
        <w:r>
          <w:rPr>
            <w:noProof/>
            <w:webHidden/>
          </w:rPr>
          <w:tab/>
        </w:r>
        <w:r>
          <w:rPr>
            <w:noProof/>
            <w:webHidden/>
          </w:rPr>
          <w:fldChar w:fldCharType="begin"/>
        </w:r>
        <w:r>
          <w:rPr>
            <w:noProof/>
            <w:webHidden/>
          </w:rPr>
          <w:instrText xml:space="preserve"> PAGEREF _Toc103344674 \h </w:instrText>
        </w:r>
        <w:r>
          <w:rPr>
            <w:noProof/>
            <w:webHidden/>
          </w:rPr>
        </w:r>
        <w:r>
          <w:rPr>
            <w:noProof/>
            <w:webHidden/>
          </w:rPr>
          <w:fldChar w:fldCharType="separate"/>
        </w:r>
        <w:r>
          <w:rPr>
            <w:noProof/>
            <w:webHidden/>
          </w:rPr>
          <w:t>40</w:t>
        </w:r>
        <w:r>
          <w:rPr>
            <w:noProof/>
            <w:webHidden/>
          </w:rPr>
          <w:fldChar w:fldCharType="end"/>
        </w:r>
      </w:hyperlink>
    </w:p>
    <w:p w14:paraId="3BDB9DD4" w14:textId="0623BE1D"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75" w:history="1">
        <w:r w:rsidRPr="00995769">
          <w:rPr>
            <w:rStyle w:val="Hyperlink"/>
            <w:noProof/>
          </w:rPr>
          <w:t>1.7 Types of ocular nerve palsies</w:t>
        </w:r>
        <w:r>
          <w:rPr>
            <w:noProof/>
            <w:webHidden/>
          </w:rPr>
          <w:tab/>
        </w:r>
        <w:r>
          <w:rPr>
            <w:noProof/>
            <w:webHidden/>
          </w:rPr>
          <w:fldChar w:fldCharType="begin"/>
        </w:r>
        <w:r>
          <w:rPr>
            <w:noProof/>
            <w:webHidden/>
          </w:rPr>
          <w:instrText xml:space="preserve"> PAGEREF _Toc103344675 \h </w:instrText>
        </w:r>
        <w:r>
          <w:rPr>
            <w:noProof/>
            <w:webHidden/>
          </w:rPr>
        </w:r>
        <w:r>
          <w:rPr>
            <w:noProof/>
            <w:webHidden/>
          </w:rPr>
          <w:fldChar w:fldCharType="separate"/>
        </w:r>
        <w:r>
          <w:rPr>
            <w:noProof/>
            <w:webHidden/>
          </w:rPr>
          <w:t>41</w:t>
        </w:r>
        <w:r>
          <w:rPr>
            <w:noProof/>
            <w:webHidden/>
          </w:rPr>
          <w:fldChar w:fldCharType="end"/>
        </w:r>
      </w:hyperlink>
    </w:p>
    <w:p w14:paraId="7342A23B" w14:textId="5F799F76"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6" w:history="1">
        <w:r w:rsidRPr="00995769">
          <w:rPr>
            <w:rStyle w:val="Hyperlink"/>
            <w:noProof/>
          </w:rPr>
          <w:t>1.7.1 EMR in ocular nerve palsies</w:t>
        </w:r>
        <w:r>
          <w:rPr>
            <w:noProof/>
            <w:webHidden/>
          </w:rPr>
          <w:tab/>
        </w:r>
        <w:r>
          <w:rPr>
            <w:noProof/>
            <w:webHidden/>
          </w:rPr>
          <w:fldChar w:fldCharType="begin"/>
        </w:r>
        <w:r>
          <w:rPr>
            <w:noProof/>
            <w:webHidden/>
          </w:rPr>
          <w:instrText xml:space="preserve"> PAGEREF _Toc103344676 \h </w:instrText>
        </w:r>
        <w:r>
          <w:rPr>
            <w:noProof/>
            <w:webHidden/>
          </w:rPr>
        </w:r>
        <w:r>
          <w:rPr>
            <w:noProof/>
            <w:webHidden/>
          </w:rPr>
          <w:fldChar w:fldCharType="separate"/>
        </w:r>
        <w:r>
          <w:rPr>
            <w:noProof/>
            <w:webHidden/>
          </w:rPr>
          <w:t>43</w:t>
        </w:r>
        <w:r>
          <w:rPr>
            <w:noProof/>
            <w:webHidden/>
          </w:rPr>
          <w:fldChar w:fldCharType="end"/>
        </w:r>
      </w:hyperlink>
    </w:p>
    <w:p w14:paraId="5E56B7EE" w14:textId="4A24943A"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7" w:history="1">
        <w:r w:rsidRPr="00995769">
          <w:rPr>
            <w:rStyle w:val="Hyperlink"/>
            <w:noProof/>
          </w:rPr>
          <w:t>1.7.2 Patient care pathway</w:t>
        </w:r>
        <w:r>
          <w:rPr>
            <w:noProof/>
            <w:webHidden/>
          </w:rPr>
          <w:tab/>
        </w:r>
        <w:r>
          <w:rPr>
            <w:noProof/>
            <w:webHidden/>
          </w:rPr>
          <w:fldChar w:fldCharType="begin"/>
        </w:r>
        <w:r>
          <w:rPr>
            <w:noProof/>
            <w:webHidden/>
          </w:rPr>
          <w:instrText xml:space="preserve"> PAGEREF _Toc103344677 \h </w:instrText>
        </w:r>
        <w:r>
          <w:rPr>
            <w:noProof/>
            <w:webHidden/>
          </w:rPr>
        </w:r>
        <w:r>
          <w:rPr>
            <w:noProof/>
            <w:webHidden/>
          </w:rPr>
          <w:fldChar w:fldCharType="separate"/>
        </w:r>
        <w:r>
          <w:rPr>
            <w:noProof/>
            <w:webHidden/>
          </w:rPr>
          <w:t>46</w:t>
        </w:r>
        <w:r>
          <w:rPr>
            <w:noProof/>
            <w:webHidden/>
          </w:rPr>
          <w:fldChar w:fldCharType="end"/>
        </w:r>
      </w:hyperlink>
    </w:p>
    <w:p w14:paraId="3FDB0119" w14:textId="548E2C0E"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8" w:history="1">
        <w:r w:rsidRPr="00995769">
          <w:rPr>
            <w:rStyle w:val="Hyperlink"/>
            <w:noProof/>
          </w:rPr>
          <w:t>1.7.3 Observational period of recovery</w:t>
        </w:r>
        <w:r>
          <w:rPr>
            <w:noProof/>
            <w:webHidden/>
          </w:rPr>
          <w:tab/>
        </w:r>
        <w:r>
          <w:rPr>
            <w:noProof/>
            <w:webHidden/>
          </w:rPr>
          <w:fldChar w:fldCharType="begin"/>
        </w:r>
        <w:r>
          <w:rPr>
            <w:noProof/>
            <w:webHidden/>
          </w:rPr>
          <w:instrText xml:space="preserve"> PAGEREF _Toc103344678 \h </w:instrText>
        </w:r>
        <w:r>
          <w:rPr>
            <w:noProof/>
            <w:webHidden/>
          </w:rPr>
        </w:r>
        <w:r>
          <w:rPr>
            <w:noProof/>
            <w:webHidden/>
          </w:rPr>
          <w:fldChar w:fldCharType="separate"/>
        </w:r>
        <w:r>
          <w:rPr>
            <w:noProof/>
            <w:webHidden/>
          </w:rPr>
          <w:t>49</w:t>
        </w:r>
        <w:r>
          <w:rPr>
            <w:noProof/>
            <w:webHidden/>
          </w:rPr>
          <w:fldChar w:fldCharType="end"/>
        </w:r>
      </w:hyperlink>
    </w:p>
    <w:p w14:paraId="4FC5FB8A" w14:textId="5F919A36"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79" w:history="1">
        <w:r w:rsidRPr="00995769">
          <w:rPr>
            <w:rStyle w:val="Hyperlink"/>
            <w:noProof/>
          </w:rPr>
          <w:t>1.7.4 Summary</w:t>
        </w:r>
        <w:r>
          <w:rPr>
            <w:noProof/>
            <w:webHidden/>
          </w:rPr>
          <w:tab/>
        </w:r>
        <w:r>
          <w:rPr>
            <w:noProof/>
            <w:webHidden/>
          </w:rPr>
          <w:fldChar w:fldCharType="begin"/>
        </w:r>
        <w:r>
          <w:rPr>
            <w:noProof/>
            <w:webHidden/>
          </w:rPr>
          <w:instrText xml:space="preserve"> PAGEREF _Toc103344679 \h </w:instrText>
        </w:r>
        <w:r>
          <w:rPr>
            <w:noProof/>
            <w:webHidden/>
          </w:rPr>
        </w:r>
        <w:r>
          <w:rPr>
            <w:noProof/>
            <w:webHidden/>
          </w:rPr>
          <w:fldChar w:fldCharType="separate"/>
        </w:r>
        <w:r>
          <w:rPr>
            <w:noProof/>
            <w:webHidden/>
          </w:rPr>
          <w:t>54</w:t>
        </w:r>
        <w:r>
          <w:rPr>
            <w:noProof/>
            <w:webHidden/>
          </w:rPr>
          <w:fldChar w:fldCharType="end"/>
        </w:r>
      </w:hyperlink>
    </w:p>
    <w:p w14:paraId="794FC6B4" w14:textId="04323A0B"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680" w:history="1">
        <w:r w:rsidRPr="00995769">
          <w:rPr>
            <w:rStyle w:val="Hyperlink"/>
            <w:bCs/>
          </w:rPr>
          <w:t>Chapter 2:</w:t>
        </w:r>
        <w:r w:rsidRPr="00995769">
          <w:rPr>
            <w:rStyle w:val="Hyperlink"/>
          </w:rPr>
          <w:t xml:space="preserve"> Materials and methods</w:t>
        </w:r>
        <w:r>
          <w:rPr>
            <w:webHidden/>
          </w:rPr>
          <w:tab/>
        </w:r>
        <w:r>
          <w:rPr>
            <w:webHidden/>
          </w:rPr>
          <w:fldChar w:fldCharType="begin"/>
        </w:r>
        <w:r>
          <w:rPr>
            <w:webHidden/>
          </w:rPr>
          <w:instrText xml:space="preserve"> PAGEREF _Toc103344680 \h </w:instrText>
        </w:r>
        <w:r>
          <w:rPr>
            <w:webHidden/>
          </w:rPr>
        </w:r>
        <w:r>
          <w:rPr>
            <w:webHidden/>
          </w:rPr>
          <w:fldChar w:fldCharType="separate"/>
        </w:r>
        <w:r>
          <w:rPr>
            <w:webHidden/>
          </w:rPr>
          <w:t>56</w:t>
        </w:r>
        <w:r>
          <w:rPr>
            <w:webHidden/>
          </w:rPr>
          <w:fldChar w:fldCharType="end"/>
        </w:r>
      </w:hyperlink>
    </w:p>
    <w:p w14:paraId="0486E4F9" w14:textId="50EB5D05"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81" w:history="1">
        <w:r w:rsidRPr="00995769">
          <w:rPr>
            <w:rStyle w:val="Hyperlink"/>
            <w:noProof/>
          </w:rPr>
          <w:t>2.1 Equipment and tool</w:t>
        </w:r>
        <w:r>
          <w:rPr>
            <w:noProof/>
            <w:webHidden/>
          </w:rPr>
          <w:tab/>
        </w:r>
        <w:r>
          <w:rPr>
            <w:noProof/>
            <w:webHidden/>
          </w:rPr>
          <w:fldChar w:fldCharType="begin"/>
        </w:r>
        <w:r>
          <w:rPr>
            <w:noProof/>
            <w:webHidden/>
          </w:rPr>
          <w:instrText xml:space="preserve"> PAGEREF _Toc103344681 \h </w:instrText>
        </w:r>
        <w:r>
          <w:rPr>
            <w:noProof/>
            <w:webHidden/>
          </w:rPr>
        </w:r>
        <w:r>
          <w:rPr>
            <w:noProof/>
            <w:webHidden/>
          </w:rPr>
          <w:fldChar w:fldCharType="separate"/>
        </w:r>
        <w:r>
          <w:rPr>
            <w:noProof/>
            <w:webHidden/>
          </w:rPr>
          <w:t>56</w:t>
        </w:r>
        <w:r>
          <w:rPr>
            <w:noProof/>
            <w:webHidden/>
          </w:rPr>
          <w:fldChar w:fldCharType="end"/>
        </w:r>
      </w:hyperlink>
    </w:p>
    <w:p w14:paraId="460AE86B" w14:textId="355496F2"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82" w:history="1">
        <w:r w:rsidRPr="00995769">
          <w:rPr>
            <w:rStyle w:val="Hyperlink"/>
            <w:noProof/>
          </w:rPr>
          <w:t>2.2 EyeLink 1000 Plus eye tracker</w:t>
        </w:r>
        <w:r>
          <w:rPr>
            <w:noProof/>
            <w:webHidden/>
          </w:rPr>
          <w:tab/>
        </w:r>
        <w:r>
          <w:rPr>
            <w:noProof/>
            <w:webHidden/>
          </w:rPr>
          <w:fldChar w:fldCharType="begin"/>
        </w:r>
        <w:r>
          <w:rPr>
            <w:noProof/>
            <w:webHidden/>
          </w:rPr>
          <w:instrText xml:space="preserve"> PAGEREF _Toc103344682 \h </w:instrText>
        </w:r>
        <w:r>
          <w:rPr>
            <w:noProof/>
            <w:webHidden/>
          </w:rPr>
        </w:r>
        <w:r>
          <w:rPr>
            <w:noProof/>
            <w:webHidden/>
          </w:rPr>
          <w:fldChar w:fldCharType="separate"/>
        </w:r>
        <w:r>
          <w:rPr>
            <w:noProof/>
            <w:webHidden/>
          </w:rPr>
          <w:t>56</w:t>
        </w:r>
        <w:r>
          <w:rPr>
            <w:noProof/>
            <w:webHidden/>
          </w:rPr>
          <w:fldChar w:fldCharType="end"/>
        </w:r>
      </w:hyperlink>
    </w:p>
    <w:p w14:paraId="2B83210C" w14:textId="460BA362"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83" w:history="1">
        <w:r w:rsidRPr="00995769">
          <w:rPr>
            <w:rStyle w:val="Hyperlink"/>
            <w:noProof/>
          </w:rPr>
          <w:t>2.3 EyeLink® Data Viewer</w:t>
        </w:r>
        <w:r>
          <w:rPr>
            <w:noProof/>
            <w:webHidden/>
          </w:rPr>
          <w:tab/>
        </w:r>
        <w:r>
          <w:rPr>
            <w:noProof/>
            <w:webHidden/>
          </w:rPr>
          <w:fldChar w:fldCharType="begin"/>
        </w:r>
        <w:r>
          <w:rPr>
            <w:noProof/>
            <w:webHidden/>
          </w:rPr>
          <w:instrText xml:space="preserve"> PAGEREF _Toc103344683 \h </w:instrText>
        </w:r>
        <w:r>
          <w:rPr>
            <w:noProof/>
            <w:webHidden/>
          </w:rPr>
        </w:r>
        <w:r>
          <w:rPr>
            <w:noProof/>
            <w:webHidden/>
          </w:rPr>
          <w:fldChar w:fldCharType="separate"/>
        </w:r>
        <w:r>
          <w:rPr>
            <w:noProof/>
            <w:webHidden/>
          </w:rPr>
          <w:t>57</w:t>
        </w:r>
        <w:r>
          <w:rPr>
            <w:noProof/>
            <w:webHidden/>
          </w:rPr>
          <w:fldChar w:fldCharType="end"/>
        </w:r>
      </w:hyperlink>
    </w:p>
    <w:p w14:paraId="60978A78" w14:textId="165AC647"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84" w:history="1">
        <w:r w:rsidRPr="00995769">
          <w:rPr>
            <w:rStyle w:val="Hyperlink"/>
            <w:noProof/>
          </w:rPr>
          <w:t>2.3.1</w:t>
        </w:r>
        <w:r w:rsidRPr="00995769">
          <w:rPr>
            <w:rStyle w:val="Hyperlink"/>
            <w:noProof/>
            <w:lang w:val="en-US"/>
          </w:rPr>
          <w:t xml:space="preserve"> Participant and display set-up</w:t>
        </w:r>
        <w:r>
          <w:rPr>
            <w:noProof/>
            <w:webHidden/>
          </w:rPr>
          <w:tab/>
        </w:r>
        <w:r>
          <w:rPr>
            <w:noProof/>
            <w:webHidden/>
          </w:rPr>
          <w:fldChar w:fldCharType="begin"/>
        </w:r>
        <w:r>
          <w:rPr>
            <w:noProof/>
            <w:webHidden/>
          </w:rPr>
          <w:instrText xml:space="preserve"> PAGEREF _Toc103344684 \h </w:instrText>
        </w:r>
        <w:r>
          <w:rPr>
            <w:noProof/>
            <w:webHidden/>
          </w:rPr>
        </w:r>
        <w:r>
          <w:rPr>
            <w:noProof/>
            <w:webHidden/>
          </w:rPr>
          <w:fldChar w:fldCharType="separate"/>
        </w:r>
        <w:r>
          <w:rPr>
            <w:noProof/>
            <w:webHidden/>
          </w:rPr>
          <w:t>57</w:t>
        </w:r>
        <w:r>
          <w:rPr>
            <w:noProof/>
            <w:webHidden/>
          </w:rPr>
          <w:fldChar w:fldCharType="end"/>
        </w:r>
      </w:hyperlink>
    </w:p>
    <w:p w14:paraId="30A817E1" w14:textId="6C8DF108"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85" w:history="1">
        <w:r w:rsidRPr="00995769">
          <w:rPr>
            <w:rStyle w:val="Hyperlink"/>
            <w:noProof/>
          </w:rPr>
          <w:t>2.3.2 Focus set-up</w:t>
        </w:r>
        <w:r>
          <w:rPr>
            <w:noProof/>
            <w:webHidden/>
          </w:rPr>
          <w:tab/>
        </w:r>
        <w:r>
          <w:rPr>
            <w:noProof/>
            <w:webHidden/>
          </w:rPr>
          <w:fldChar w:fldCharType="begin"/>
        </w:r>
        <w:r>
          <w:rPr>
            <w:noProof/>
            <w:webHidden/>
          </w:rPr>
          <w:instrText xml:space="preserve"> PAGEREF _Toc103344685 \h </w:instrText>
        </w:r>
        <w:r>
          <w:rPr>
            <w:noProof/>
            <w:webHidden/>
          </w:rPr>
        </w:r>
        <w:r>
          <w:rPr>
            <w:noProof/>
            <w:webHidden/>
          </w:rPr>
          <w:fldChar w:fldCharType="separate"/>
        </w:r>
        <w:r>
          <w:rPr>
            <w:noProof/>
            <w:webHidden/>
          </w:rPr>
          <w:t>59</w:t>
        </w:r>
        <w:r>
          <w:rPr>
            <w:noProof/>
            <w:webHidden/>
          </w:rPr>
          <w:fldChar w:fldCharType="end"/>
        </w:r>
      </w:hyperlink>
    </w:p>
    <w:p w14:paraId="3BA8D700" w14:textId="6F13CC78"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86" w:history="1">
        <w:r w:rsidRPr="00995769">
          <w:rPr>
            <w:rStyle w:val="Hyperlink"/>
            <w:noProof/>
          </w:rPr>
          <w:t>2.3.3 Calibration and validation</w:t>
        </w:r>
        <w:r>
          <w:rPr>
            <w:noProof/>
            <w:webHidden/>
          </w:rPr>
          <w:tab/>
        </w:r>
        <w:r>
          <w:rPr>
            <w:noProof/>
            <w:webHidden/>
          </w:rPr>
          <w:fldChar w:fldCharType="begin"/>
        </w:r>
        <w:r>
          <w:rPr>
            <w:noProof/>
            <w:webHidden/>
          </w:rPr>
          <w:instrText xml:space="preserve"> PAGEREF _Toc103344686 \h </w:instrText>
        </w:r>
        <w:r>
          <w:rPr>
            <w:noProof/>
            <w:webHidden/>
          </w:rPr>
        </w:r>
        <w:r>
          <w:rPr>
            <w:noProof/>
            <w:webHidden/>
          </w:rPr>
          <w:fldChar w:fldCharType="separate"/>
        </w:r>
        <w:r>
          <w:rPr>
            <w:noProof/>
            <w:webHidden/>
          </w:rPr>
          <w:t>60</w:t>
        </w:r>
        <w:r>
          <w:rPr>
            <w:noProof/>
            <w:webHidden/>
          </w:rPr>
          <w:fldChar w:fldCharType="end"/>
        </w:r>
      </w:hyperlink>
    </w:p>
    <w:p w14:paraId="574CE0AF" w14:textId="1D387D6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87" w:history="1">
        <w:r w:rsidRPr="00995769">
          <w:rPr>
            <w:rStyle w:val="Hyperlink"/>
            <w:noProof/>
          </w:rPr>
          <w:t>2.3.4 Drift check</w:t>
        </w:r>
        <w:r>
          <w:rPr>
            <w:noProof/>
            <w:webHidden/>
          </w:rPr>
          <w:tab/>
        </w:r>
        <w:r>
          <w:rPr>
            <w:noProof/>
            <w:webHidden/>
          </w:rPr>
          <w:fldChar w:fldCharType="begin"/>
        </w:r>
        <w:r>
          <w:rPr>
            <w:noProof/>
            <w:webHidden/>
          </w:rPr>
          <w:instrText xml:space="preserve"> PAGEREF _Toc103344687 \h </w:instrText>
        </w:r>
        <w:r>
          <w:rPr>
            <w:noProof/>
            <w:webHidden/>
          </w:rPr>
        </w:r>
        <w:r>
          <w:rPr>
            <w:noProof/>
            <w:webHidden/>
          </w:rPr>
          <w:fldChar w:fldCharType="separate"/>
        </w:r>
        <w:r>
          <w:rPr>
            <w:noProof/>
            <w:webHidden/>
          </w:rPr>
          <w:t>61</w:t>
        </w:r>
        <w:r>
          <w:rPr>
            <w:noProof/>
            <w:webHidden/>
          </w:rPr>
          <w:fldChar w:fldCharType="end"/>
        </w:r>
      </w:hyperlink>
    </w:p>
    <w:p w14:paraId="3B547091" w14:textId="63E48715"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88" w:history="1">
        <w:r w:rsidRPr="00995769">
          <w:rPr>
            <w:rStyle w:val="Hyperlink"/>
            <w:noProof/>
          </w:rPr>
          <w:t>2.3.5 Target</w:t>
        </w:r>
        <w:r>
          <w:rPr>
            <w:noProof/>
            <w:webHidden/>
          </w:rPr>
          <w:tab/>
        </w:r>
        <w:r>
          <w:rPr>
            <w:noProof/>
            <w:webHidden/>
          </w:rPr>
          <w:fldChar w:fldCharType="begin"/>
        </w:r>
        <w:r>
          <w:rPr>
            <w:noProof/>
            <w:webHidden/>
          </w:rPr>
          <w:instrText xml:space="preserve"> PAGEREF _Toc103344688 \h </w:instrText>
        </w:r>
        <w:r>
          <w:rPr>
            <w:noProof/>
            <w:webHidden/>
          </w:rPr>
        </w:r>
        <w:r>
          <w:rPr>
            <w:noProof/>
            <w:webHidden/>
          </w:rPr>
          <w:fldChar w:fldCharType="separate"/>
        </w:r>
        <w:r>
          <w:rPr>
            <w:noProof/>
            <w:webHidden/>
          </w:rPr>
          <w:t>61</w:t>
        </w:r>
        <w:r>
          <w:rPr>
            <w:noProof/>
            <w:webHidden/>
          </w:rPr>
          <w:fldChar w:fldCharType="end"/>
        </w:r>
      </w:hyperlink>
    </w:p>
    <w:p w14:paraId="316F4018" w14:textId="2A6490EA"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89" w:history="1">
        <w:r w:rsidRPr="00995769">
          <w:rPr>
            <w:rStyle w:val="Hyperlink"/>
            <w:noProof/>
          </w:rPr>
          <w:t>2.4 EMR</w:t>
        </w:r>
        <w:r>
          <w:rPr>
            <w:noProof/>
            <w:webHidden/>
          </w:rPr>
          <w:tab/>
        </w:r>
        <w:r>
          <w:rPr>
            <w:noProof/>
            <w:webHidden/>
          </w:rPr>
          <w:fldChar w:fldCharType="begin"/>
        </w:r>
        <w:r>
          <w:rPr>
            <w:noProof/>
            <w:webHidden/>
          </w:rPr>
          <w:instrText xml:space="preserve"> PAGEREF _Toc103344689 \h </w:instrText>
        </w:r>
        <w:r>
          <w:rPr>
            <w:noProof/>
            <w:webHidden/>
          </w:rPr>
        </w:r>
        <w:r>
          <w:rPr>
            <w:noProof/>
            <w:webHidden/>
          </w:rPr>
          <w:fldChar w:fldCharType="separate"/>
        </w:r>
        <w:r>
          <w:rPr>
            <w:noProof/>
            <w:webHidden/>
          </w:rPr>
          <w:t>62</w:t>
        </w:r>
        <w:r>
          <w:rPr>
            <w:noProof/>
            <w:webHidden/>
          </w:rPr>
          <w:fldChar w:fldCharType="end"/>
        </w:r>
      </w:hyperlink>
    </w:p>
    <w:p w14:paraId="13FAB542" w14:textId="70213F2A"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0" w:history="1">
        <w:r w:rsidRPr="00995769">
          <w:rPr>
            <w:rStyle w:val="Hyperlink"/>
            <w:noProof/>
          </w:rPr>
          <w:t>2.4.1 Fixation</w:t>
        </w:r>
        <w:r>
          <w:rPr>
            <w:noProof/>
            <w:webHidden/>
          </w:rPr>
          <w:tab/>
        </w:r>
        <w:r>
          <w:rPr>
            <w:noProof/>
            <w:webHidden/>
          </w:rPr>
          <w:fldChar w:fldCharType="begin"/>
        </w:r>
        <w:r>
          <w:rPr>
            <w:noProof/>
            <w:webHidden/>
          </w:rPr>
          <w:instrText xml:space="preserve"> PAGEREF _Toc103344690 \h </w:instrText>
        </w:r>
        <w:r>
          <w:rPr>
            <w:noProof/>
            <w:webHidden/>
          </w:rPr>
        </w:r>
        <w:r>
          <w:rPr>
            <w:noProof/>
            <w:webHidden/>
          </w:rPr>
          <w:fldChar w:fldCharType="separate"/>
        </w:r>
        <w:r>
          <w:rPr>
            <w:noProof/>
            <w:webHidden/>
          </w:rPr>
          <w:t>63</w:t>
        </w:r>
        <w:r>
          <w:rPr>
            <w:noProof/>
            <w:webHidden/>
          </w:rPr>
          <w:fldChar w:fldCharType="end"/>
        </w:r>
      </w:hyperlink>
    </w:p>
    <w:p w14:paraId="140864F8" w14:textId="6E4E1373"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1" w:history="1">
        <w:r w:rsidRPr="00995769">
          <w:rPr>
            <w:rStyle w:val="Hyperlink"/>
            <w:noProof/>
          </w:rPr>
          <w:t>2.4.2 SP</w:t>
        </w:r>
        <w:r>
          <w:rPr>
            <w:noProof/>
            <w:webHidden/>
          </w:rPr>
          <w:tab/>
        </w:r>
        <w:r>
          <w:rPr>
            <w:noProof/>
            <w:webHidden/>
          </w:rPr>
          <w:fldChar w:fldCharType="begin"/>
        </w:r>
        <w:r>
          <w:rPr>
            <w:noProof/>
            <w:webHidden/>
          </w:rPr>
          <w:instrText xml:space="preserve"> PAGEREF _Toc103344691 \h </w:instrText>
        </w:r>
        <w:r>
          <w:rPr>
            <w:noProof/>
            <w:webHidden/>
          </w:rPr>
        </w:r>
        <w:r>
          <w:rPr>
            <w:noProof/>
            <w:webHidden/>
          </w:rPr>
          <w:fldChar w:fldCharType="separate"/>
        </w:r>
        <w:r>
          <w:rPr>
            <w:noProof/>
            <w:webHidden/>
          </w:rPr>
          <w:t>64</w:t>
        </w:r>
        <w:r>
          <w:rPr>
            <w:noProof/>
            <w:webHidden/>
          </w:rPr>
          <w:fldChar w:fldCharType="end"/>
        </w:r>
      </w:hyperlink>
    </w:p>
    <w:p w14:paraId="21163638" w14:textId="6C6BC3E2"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2" w:history="1">
        <w:r w:rsidRPr="00995769">
          <w:rPr>
            <w:rStyle w:val="Hyperlink"/>
            <w:noProof/>
          </w:rPr>
          <w:t>2.4.3 Saccade</w:t>
        </w:r>
        <w:r>
          <w:rPr>
            <w:noProof/>
            <w:webHidden/>
          </w:rPr>
          <w:tab/>
        </w:r>
        <w:r>
          <w:rPr>
            <w:noProof/>
            <w:webHidden/>
          </w:rPr>
          <w:fldChar w:fldCharType="begin"/>
        </w:r>
        <w:r>
          <w:rPr>
            <w:noProof/>
            <w:webHidden/>
          </w:rPr>
          <w:instrText xml:space="preserve"> PAGEREF _Toc103344692 \h </w:instrText>
        </w:r>
        <w:r>
          <w:rPr>
            <w:noProof/>
            <w:webHidden/>
          </w:rPr>
        </w:r>
        <w:r>
          <w:rPr>
            <w:noProof/>
            <w:webHidden/>
          </w:rPr>
          <w:fldChar w:fldCharType="separate"/>
        </w:r>
        <w:r>
          <w:rPr>
            <w:noProof/>
            <w:webHidden/>
          </w:rPr>
          <w:t>67</w:t>
        </w:r>
        <w:r>
          <w:rPr>
            <w:noProof/>
            <w:webHidden/>
          </w:rPr>
          <w:fldChar w:fldCharType="end"/>
        </w:r>
      </w:hyperlink>
    </w:p>
    <w:p w14:paraId="6C2AB7B1" w14:textId="4F2B4D95"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93" w:history="1">
        <w:r w:rsidRPr="00995769">
          <w:rPr>
            <w:rStyle w:val="Hyperlink"/>
            <w:noProof/>
          </w:rPr>
          <w:t>2.5 Data analysis</w:t>
        </w:r>
        <w:r>
          <w:rPr>
            <w:noProof/>
            <w:webHidden/>
          </w:rPr>
          <w:tab/>
        </w:r>
        <w:r>
          <w:rPr>
            <w:noProof/>
            <w:webHidden/>
          </w:rPr>
          <w:fldChar w:fldCharType="begin"/>
        </w:r>
        <w:r>
          <w:rPr>
            <w:noProof/>
            <w:webHidden/>
          </w:rPr>
          <w:instrText xml:space="preserve"> PAGEREF _Toc103344693 \h </w:instrText>
        </w:r>
        <w:r>
          <w:rPr>
            <w:noProof/>
            <w:webHidden/>
          </w:rPr>
        </w:r>
        <w:r>
          <w:rPr>
            <w:noProof/>
            <w:webHidden/>
          </w:rPr>
          <w:fldChar w:fldCharType="separate"/>
        </w:r>
        <w:r>
          <w:rPr>
            <w:noProof/>
            <w:webHidden/>
          </w:rPr>
          <w:t>68</w:t>
        </w:r>
        <w:r>
          <w:rPr>
            <w:noProof/>
            <w:webHidden/>
          </w:rPr>
          <w:fldChar w:fldCharType="end"/>
        </w:r>
      </w:hyperlink>
    </w:p>
    <w:p w14:paraId="3DD5E7BA" w14:textId="01DCC564"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4" w:history="1">
        <w:r w:rsidRPr="00995769">
          <w:rPr>
            <w:rStyle w:val="Hyperlink"/>
            <w:noProof/>
          </w:rPr>
          <w:t>2.5.1 Dwell time within three AOIs</w:t>
        </w:r>
        <w:r>
          <w:rPr>
            <w:noProof/>
            <w:webHidden/>
          </w:rPr>
          <w:tab/>
        </w:r>
        <w:r>
          <w:rPr>
            <w:noProof/>
            <w:webHidden/>
          </w:rPr>
          <w:fldChar w:fldCharType="begin"/>
        </w:r>
        <w:r>
          <w:rPr>
            <w:noProof/>
            <w:webHidden/>
          </w:rPr>
          <w:instrText xml:space="preserve"> PAGEREF _Toc103344694 \h </w:instrText>
        </w:r>
        <w:r>
          <w:rPr>
            <w:noProof/>
            <w:webHidden/>
          </w:rPr>
        </w:r>
        <w:r>
          <w:rPr>
            <w:noProof/>
            <w:webHidden/>
          </w:rPr>
          <w:fldChar w:fldCharType="separate"/>
        </w:r>
        <w:r>
          <w:rPr>
            <w:noProof/>
            <w:webHidden/>
          </w:rPr>
          <w:t>69</w:t>
        </w:r>
        <w:r>
          <w:rPr>
            <w:noProof/>
            <w:webHidden/>
          </w:rPr>
          <w:fldChar w:fldCharType="end"/>
        </w:r>
      </w:hyperlink>
    </w:p>
    <w:p w14:paraId="5227B019" w14:textId="251D6C7B"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5" w:history="1">
        <w:r w:rsidRPr="00995769">
          <w:rPr>
            <w:rStyle w:val="Hyperlink"/>
            <w:noProof/>
          </w:rPr>
          <w:t>2.5.2 SP gain, RMSE and durations</w:t>
        </w:r>
        <w:r>
          <w:rPr>
            <w:noProof/>
            <w:webHidden/>
          </w:rPr>
          <w:tab/>
        </w:r>
        <w:r>
          <w:rPr>
            <w:noProof/>
            <w:webHidden/>
          </w:rPr>
          <w:fldChar w:fldCharType="begin"/>
        </w:r>
        <w:r>
          <w:rPr>
            <w:noProof/>
            <w:webHidden/>
          </w:rPr>
          <w:instrText xml:space="preserve"> PAGEREF _Toc103344695 \h </w:instrText>
        </w:r>
        <w:r>
          <w:rPr>
            <w:noProof/>
            <w:webHidden/>
          </w:rPr>
        </w:r>
        <w:r>
          <w:rPr>
            <w:noProof/>
            <w:webHidden/>
          </w:rPr>
          <w:fldChar w:fldCharType="separate"/>
        </w:r>
        <w:r>
          <w:rPr>
            <w:noProof/>
            <w:webHidden/>
          </w:rPr>
          <w:t>70</w:t>
        </w:r>
        <w:r>
          <w:rPr>
            <w:noProof/>
            <w:webHidden/>
          </w:rPr>
          <w:fldChar w:fldCharType="end"/>
        </w:r>
      </w:hyperlink>
    </w:p>
    <w:p w14:paraId="579B8DA4" w14:textId="34B1B696"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6" w:history="1">
        <w:r w:rsidRPr="00995769">
          <w:rPr>
            <w:rStyle w:val="Hyperlink"/>
            <w:noProof/>
          </w:rPr>
          <w:t>2.5.3 Saccadic latency, peak velocity and gain</w:t>
        </w:r>
        <w:r>
          <w:rPr>
            <w:noProof/>
            <w:webHidden/>
          </w:rPr>
          <w:tab/>
        </w:r>
        <w:r>
          <w:rPr>
            <w:noProof/>
            <w:webHidden/>
          </w:rPr>
          <w:fldChar w:fldCharType="begin"/>
        </w:r>
        <w:r>
          <w:rPr>
            <w:noProof/>
            <w:webHidden/>
          </w:rPr>
          <w:instrText xml:space="preserve"> PAGEREF _Toc103344696 \h </w:instrText>
        </w:r>
        <w:r>
          <w:rPr>
            <w:noProof/>
            <w:webHidden/>
          </w:rPr>
        </w:r>
        <w:r>
          <w:rPr>
            <w:noProof/>
            <w:webHidden/>
          </w:rPr>
          <w:fldChar w:fldCharType="separate"/>
        </w:r>
        <w:r>
          <w:rPr>
            <w:noProof/>
            <w:webHidden/>
          </w:rPr>
          <w:t>72</w:t>
        </w:r>
        <w:r>
          <w:rPr>
            <w:noProof/>
            <w:webHidden/>
          </w:rPr>
          <w:fldChar w:fldCharType="end"/>
        </w:r>
      </w:hyperlink>
    </w:p>
    <w:p w14:paraId="0595AF43" w14:textId="1800968E"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697" w:history="1">
        <w:r w:rsidRPr="00995769">
          <w:rPr>
            <w:rStyle w:val="Hyperlink"/>
            <w:bCs/>
          </w:rPr>
          <w:t>Chapter 3:</w:t>
        </w:r>
        <w:r w:rsidRPr="00995769">
          <w:rPr>
            <w:rStyle w:val="Hyperlink"/>
          </w:rPr>
          <w:t xml:space="preserve"> Normative Eye Movements</w:t>
        </w:r>
        <w:r>
          <w:rPr>
            <w:webHidden/>
          </w:rPr>
          <w:tab/>
        </w:r>
        <w:r>
          <w:rPr>
            <w:webHidden/>
          </w:rPr>
          <w:fldChar w:fldCharType="begin"/>
        </w:r>
        <w:r>
          <w:rPr>
            <w:webHidden/>
          </w:rPr>
          <w:instrText xml:space="preserve"> PAGEREF _Toc103344697 \h </w:instrText>
        </w:r>
        <w:r>
          <w:rPr>
            <w:webHidden/>
          </w:rPr>
        </w:r>
        <w:r>
          <w:rPr>
            <w:webHidden/>
          </w:rPr>
          <w:fldChar w:fldCharType="separate"/>
        </w:r>
        <w:r>
          <w:rPr>
            <w:webHidden/>
          </w:rPr>
          <w:t>74</w:t>
        </w:r>
        <w:r>
          <w:rPr>
            <w:webHidden/>
          </w:rPr>
          <w:fldChar w:fldCharType="end"/>
        </w:r>
      </w:hyperlink>
    </w:p>
    <w:p w14:paraId="5A715948" w14:textId="147FEB3F"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698" w:history="1">
        <w:r w:rsidRPr="00995769">
          <w:rPr>
            <w:rStyle w:val="Hyperlink"/>
            <w:noProof/>
          </w:rPr>
          <w:t>3.1 Experiment 1: To describe normative EMRs in three adult age groups</w:t>
        </w:r>
        <w:r>
          <w:rPr>
            <w:noProof/>
            <w:webHidden/>
          </w:rPr>
          <w:tab/>
        </w:r>
        <w:r>
          <w:rPr>
            <w:noProof/>
            <w:webHidden/>
          </w:rPr>
          <w:fldChar w:fldCharType="begin"/>
        </w:r>
        <w:r>
          <w:rPr>
            <w:noProof/>
            <w:webHidden/>
          </w:rPr>
          <w:instrText xml:space="preserve"> PAGEREF _Toc103344698 \h </w:instrText>
        </w:r>
        <w:r>
          <w:rPr>
            <w:noProof/>
            <w:webHidden/>
          </w:rPr>
        </w:r>
        <w:r>
          <w:rPr>
            <w:noProof/>
            <w:webHidden/>
          </w:rPr>
          <w:fldChar w:fldCharType="separate"/>
        </w:r>
        <w:r>
          <w:rPr>
            <w:noProof/>
            <w:webHidden/>
          </w:rPr>
          <w:t>74</w:t>
        </w:r>
        <w:r>
          <w:rPr>
            <w:noProof/>
            <w:webHidden/>
          </w:rPr>
          <w:fldChar w:fldCharType="end"/>
        </w:r>
      </w:hyperlink>
    </w:p>
    <w:p w14:paraId="497B04FC" w14:textId="6C249CA0" w:rsidR="00E268F6" w:rsidRDefault="00E268F6">
      <w:pPr>
        <w:pStyle w:val="TOC3"/>
        <w:rPr>
          <w:rFonts w:asciiTheme="minorHAnsi" w:eastAsiaTheme="minorEastAsia" w:hAnsiTheme="minorHAnsi" w:cstheme="minorBidi"/>
          <w:noProof/>
          <w:color w:val="auto"/>
          <w:sz w:val="22"/>
          <w:szCs w:val="22"/>
          <w:lang w:val="en-MY" w:eastAsia="en-MY"/>
        </w:rPr>
      </w:pPr>
      <w:hyperlink w:anchor="_Toc103344699" w:history="1">
        <w:r w:rsidRPr="00995769">
          <w:rPr>
            <w:rStyle w:val="Hyperlink"/>
            <w:noProof/>
          </w:rPr>
          <w:t>3.1.1 Aims of the study</w:t>
        </w:r>
        <w:r>
          <w:rPr>
            <w:noProof/>
            <w:webHidden/>
          </w:rPr>
          <w:tab/>
        </w:r>
        <w:r>
          <w:rPr>
            <w:noProof/>
            <w:webHidden/>
          </w:rPr>
          <w:fldChar w:fldCharType="begin"/>
        </w:r>
        <w:r>
          <w:rPr>
            <w:noProof/>
            <w:webHidden/>
          </w:rPr>
          <w:instrText xml:space="preserve"> PAGEREF _Toc103344699 \h </w:instrText>
        </w:r>
        <w:r>
          <w:rPr>
            <w:noProof/>
            <w:webHidden/>
          </w:rPr>
        </w:r>
        <w:r>
          <w:rPr>
            <w:noProof/>
            <w:webHidden/>
          </w:rPr>
          <w:fldChar w:fldCharType="separate"/>
        </w:r>
        <w:r>
          <w:rPr>
            <w:noProof/>
            <w:webHidden/>
          </w:rPr>
          <w:t>75</w:t>
        </w:r>
        <w:r>
          <w:rPr>
            <w:noProof/>
            <w:webHidden/>
          </w:rPr>
          <w:fldChar w:fldCharType="end"/>
        </w:r>
      </w:hyperlink>
    </w:p>
    <w:p w14:paraId="0F7B0B9F" w14:textId="57E96AE3"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0" w:history="1">
        <w:r w:rsidRPr="00995769">
          <w:rPr>
            <w:rStyle w:val="Hyperlink"/>
            <w:noProof/>
          </w:rPr>
          <w:t>3.1.2 Null hypothesis</w:t>
        </w:r>
        <w:r>
          <w:rPr>
            <w:noProof/>
            <w:webHidden/>
          </w:rPr>
          <w:tab/>
        </w:r>
        <w:r>
          <w:rPr>
            <w:noProof/>
            <w:webHidden/>
          </w:rPr>
          <w:fldChar w:fldCharType="begin"/>
        </w:r>
        <w:r>
          <w:rPr>
            <w:noProof/>
            <w:webHidden/>
          </w:rPr>
          <w:instrText xml:space="preserve"> PAGEREF _Toc103344700 \h </w:instrText>
        </w:r>
        <w:r>
          <w:rPr>
            <w:noProof/>
            <w:webHidden/>
          </w:rPr>
        </w:r>
        <w:r>
          <w:rPr>
            <w:noProof/>
            <w:webHidden/>
          </w:rPr>
          <w:fldChar w:fldCharType="separate"/>
        </w:r>
        <w:r>
          <w:rPr>
            <w:noProof/>
            <w:webHidden/>
          </w:rPr>
          <w:t>76</w:t>
        </w:r>
        <w:r>
          <w:rPr>
            <w:noProof/>
            <w:webHidden/>
          </w:rPr>
          <w:fldChar w:fldCharType="end"/>
        </w:r>
      </w:hyperlink>
    </w:p>
    <w:p w14:paraId="7E797E97" w14:textId="18E72D38"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01" w:history="1">
        <w:r w:rsidRPr="00995769">
          <w:rPr>
            <w:rStyle w:val="Hyperlink"/>
            <w:noProof/>
          </w:rPr>
          <w:t>3.2 Methods</w:t>
        </w:r>
        <w:r>
          <w:rPr>
            <w:noProof/>
            <w:webHidden/>
          </w:rPr>
          <w:tab/>
        </w:r>
        <w:r>
          <w:rPr>
            <w:noProof/>
            <w:webHidden/>
          </w:rPr>
          <w:fldChar w:fldCharType="begin"/>
        </w:r>
        <w:r>
          <w:rPr>
            <w:noProof/>
            <w:webHidden/>
          </w:rPr>
          <w:instrText xml:space="preserve"> PAGEREF _Toc103344701 \h </w:instrText>
        </w:r>
        <w:r>
          <w:rPr>
            <w:noProof/>
            <w:webHidden/>
          </w:rPr>
        </w:r>
        <w:r>
          <w:rPr>
            <w:noProof/>
            <w:webHidden/>
          </w:rPr>
          <w:fldChar w:fldCharType="separate"/>
        </w:r>
        <w:r>
          <w:rPr>
            <w:noProof/>
            <w:webHidden/>
          </w:rPr>
          <w:t>76</w:t>
        </w:r>
        <w:r>
          <w:rPr>
            <w:noProof/>
            <w:webHidden/>
          </w:rPr>
          <w:fldChar w:fldCharType="end"/>
        </w:r>
      </w:hyperlink>
    </w:p>
    <w:p w14:paraId="15FA7107" w14:textId="4C78E10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2" w:history="1">
        <w:r w:rsidRPr="00995769">
          <w:rPr>
            <w:rStyle w:val="Hyperlink"/>
            <w:noProof/>
          </w:rPr>
          <w:t>3.2.1 Ethics and consent</w:t>
        </w:r>
        <w:r>
          <w:rPr>
            <w:noProof/>
            <w:webHidden/>
          </w:rPr>
          <w:tab/>
        </w:r>
        <w:r>
          <w:rPr>
            <w:noProof/>
            <w:webHidden/>
          </w:rPr>
          <w:fldChar w:fldCharType="begin"/>
        </w:r>
        <w:r>
          <w:rPr>
            <w:noProof/>
            <w:webHidden/>
          </w:rPr>
          <w:instrText xml:space="preserve"> PAGEREF _Toc103344702 \h </w:instrText>
        </w:r>
        <w:r>
          <w:rPr>
            <w:noProof/>
            <w:webHidden/>
          </w:rPr>
        </w:r>
        <w:r>
          <w:rPr>
            <w:noProof/>
            <w:webHidden/>
          </w:rPr>
          <w:fldChar w:fldCharType="separate"/>
        </w:r>
        <w:r>
          <w:rPr>
            <w:noProof/>
            <w:webHidden/>
          </w:rPr>
          <w:t>77</w:t>
        </w:r>
        <w:r>
          <w:rPr>
            <w:noProof/>
            <w:webHidden/>
          </w:rPr>
          <w:fldChar w:fldCharType="end"/>
        </w:r>
      </w:hyperlink>
    </w:p>
    <w:p w14:paraId="43CECAEC" w14:textId="33607985"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3" w:history="1">
        <w:r w:rsidRPr="00995769">
          <w:rPr>
            <w:rStyle w:val="Hyperlink"/>
            <w:noProof/>
          </w:rPr>
          <w:t>3.2.2 Data Analysis</w:t>
        </w:r>
        <w:r>
          <w:rPr>
            <w:noProof/>
            <w:webHidden/>
          </w:rPr>
          <w:tab/>
        </w:r>
        <w:r>
          <w:rPr>
            <w:noProof/>
            <w:webHidden/>
          </w:rPr>
          <w:fldChar w:fldCharType="begin"/>
        </w:r>
        <w:r>
          <w:rPr>
            <w:noProof/>
            <w:webHidden/>
          </w:rPr>
          <w:instrText xml:space="preserve"> PAGEREF _Toc103344703 \h </w:instrText>
        </w:r>
        <w:r>
          <w:rPr>
            <w:noProof/>
            <w:webHidden/>
          </w:rPr>
        </w:r>
        <w:r>
          <w:rPr>
            <w:noProof/>
            <w:webHidden/>
          </w:rPr>
          <w:fldChar w:fldCharType="separate"/>
        </w:r>
        <w:r>
          <w:rPr>
            <w:noProof/>
            <w:webHidden/>
          </w:rPr>
          <w:t>78</w:t>
        </w:r>
        <w:r>
          <w:rPr>
            <w:noProof/>
            <w:webHidden/>
          </w:rPr>
          <w:fldChar w:fldCharType="end"/>
        </w:r>
      </w:hyperlink>
    </w:p>
    <w:p w14:paraId="6F4B8E1B" w14:textId="23927F5A"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4" w:history="1">
        <w:r w:rsidRPr="00995769">
          <w:rPr>
            <w:rStyle w:val="Hyperlink"/>
            <w:noProof/>
          </w:rPr>
          <w:t>3.2.3 Removing the outliers</w:t>
        </w:r>
        <w:r>
          <w:rPr>
            <w:noProof/>
            <w:webHidden/>
          </w:rPr>
          <w:tab/>
        </w:r>
        <w:r>
          <w:rPr>
            <w:noProof/>
            <w:webHidden/>
          </w:rPr>
          <w:fldChar w:fldCharType="begin"/>
        </w:r>
        <w:r>
          <w:rPr>
            <w:noProof/>
            <w:webHidden/>
          </w:rPr>
          <w:instrText xml:space="preserve"> PAGEREF _Toc103344704 \h </w:instrText>
        </w:r>
        <w:r>
          <w:rPr>
            <w:noProof/>
            <w:webHidden/>
          </w:rPr>
        </w:r>
        <w:r>
          <w:rPr>
            <w:noProof/>
            <w:webHidden/>
          </w:rPr>
          <w:fldChar w:fldCharType="separate"/>
        </w:r>
        <w:r>
          <w:rPr>
            <w:noProof/>
            <w:webHidden/>
          </w:rPr>
          <w:t>79</w:t>
        </w:r>
        <w:r>
          <w:rPr>
            <w:noProof/>
            <w:webHidden/>
          </w:rPr>
          <w:fldChar w:fldCharType="end"/>
        </w:r>
      </w:hyperlink>
    </w:p>
    <w:p w14:paraId="4097A1DD" w14:textId="453B8924"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05" w:history="1">
        <w:r w:rsidRPr="00995769">
          <w:rPr>
            <w:rStyle w:val="Hyperlink"/>
            <w:noProof/>
          </w:rPr>
          <w:t>3.3 Results</w:t>
        </w:r>
        <w:r>
          <w:rPr>
            <w:noProof/>
            <w:webHidden/>
          </w:rPr>
          <w:tab/>
        </w:r>
        <w:r>
          <w:rPr>
            <w:noProof/>
            <w:webHidden/>
          </w:rPr>
          <w:fldChar w:fldCharType="begin"/>
        </w:r>
        <w:r>
          <w:rPr>
            <w:noProof/>
            <w:webHidden/>
          </w:rPr>
          <w:instrText xml:space="preserve"> PAGEREF _Toc103344705 \h </w:instrText>
        </w:r>
        <w:r>
          <w:rPr>
            <w:noProof/>
            <w:webHidden/>
          </w:rPr>
        </w:r>
        <w:r>
          <w:rPr>
            <w:noProof/>
            <w:webHidden/>
          </w:rPr>
          <w:fldChar w:fldCharType="separate"/>
        </w:r>
        <w:r>
          <w:rPr>
            <w:noProof/>
            <w:webHidden/>
          </w:rPr>
          <w:t>80</w:t>
        </w:r>
        <w:r>
          <w:rPr>
            <w:noProof/>
            <w:webHidden/>
          </w:rPr>
          <w:fldChar w:fldCharType="end"/>
        </w:r>
      </w:hyperlink>
    </w:p>
    <w:p w14:paraId="14295F19" w14:textId="69475418"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6" w:history="1">
        <w:r w:rsidRPr="00995769">
          <w:rPr>
            <w:rStyle w:val="Hyperlink"/>
            <w:noProof/>
          </w:rPr>
          <w:t>3.3.1 Effect of ageing on the fixation eye movements.</w:t>
        </w:r>
        <w:r>
          <w:rPr>
            <w:noProof/>
            <w:webHidden/>
          </w:rPr>
          <w:tab/>
        </w:r>
        <w:r>
          <w:rPr>
            <w:noProof/>
            <w:webHidden/>
          </w:rPr>
          <w:fldChar w:fldCharType="begin"/>
        </w:r>
        <w:r>
          <w:rPr>
            <w:noProof/>
            <w:webHidden/>
          </w:rPr>
          <w:instrText xml:space="preserve"> PAGEREF _Toc103344706 \h </w:instrText>
        </w:r>
        <w:r>
          <w:rPr>
            <w:noProof/>
            <w:webHidden/>
          </w:rPr>
        </w:r>
        <w:r>
          <w:rPr>
            <w:noProof/>
            <w:webHidden/>
          </w:rPr>
          <w:fldChar w:fldCharType="separate"/>
        </w:r>
        <w:r>
          <w:rPr>
            <w:noProof/>
            <w:webHidden/>
          </w:rPr>
          <w:t>80</w:t>
        </w:r>
        <w:r>
          <w:rPr>
            <w:noProof/>
            <w:webHidden/>
          </w:rPr>
          <w:fldChar w:fldCharType="end"/>
        </w:r>
      </w:hyperlink>
    </w:p>
    <w:p w14:paraId="12320452" w14:textId="28C8706A"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7" w:history="1">
        <w:r w:rsidRPr="00995769">
          <w:rPr>
            <w:rStyle w:val="Hyperlink"/>
            <w:noProof/>
          </w:rPr>
          <w:t>3.3.2 The effect of ageing on horizontal SP</w:t>
        </w:r>
        <w:r>
          <w:rPr>
            <w:noProof/>
            <w:webHidden/>
          </w:rPr>
          <w:tab/>
        </w:r>
        <w:r>
          <w:rPr>
            <w:noProof/>
            <w:webHidden/>
          </w:rPr>
          <w:fldChar w:fldCharType="begin"/>
        </w:r>
        <w:r>
          <w:rPr>
            <w:noProof/>
            <w:webHidden/>
          </w:rPr>
          <w:instrText xml:space="preserve"> PAGEREF _Toc103344707 \h </w:instrText>
        </w:r>
        <w:r>
          <w:rPr>
            <w:noProof/>
            <w:webHidden/>
          </w:rPr>
        </w:r>
        <w:r>
          <w:rPr>
            <w:noProof/>
            <w:webHidden/>
          </w:rPr>
          <w:fldChar w:fldCharType="separate"/>
        </w:r>
        <w:r>
          <w:rPr>
            <w:noProof/>
            <w:webHidden/>
          </w:rPr>
          <w:t>84</w:t>
        </w:r>
        <w:r>
          <w:rPr>
            <w:noProof/>
            <w:webHidden/>
          </w:rPr>
          <w:fldChar w:fldCharType="end"/>
        </w:r>
      </w:hyperlink>
    </w:p>
    <w:p w14:paraId="23DC8725" w14:textId="06CE88A8"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8" w:history="1">
        <w:r w:rsidRPr="00995769">
          <w:rPr>
            <w:rStyle w:val="Hyperlink"/>
            <w:noProof/>
          </w:rPr>
          <w:t>3.3.3 The effect of ageing on vertical SP</w:t>
        </w:r>
        <w:r>
          <w:rPr>
            <w:noProof/>
            <w:webHidden/>
          </w:rPr>
          <w:tab/>
        </w:r>
        <w:r>
          <w:rPr>
            <w:noProof/>
            <w:webHidden/>
          </w:rPr>
          <w:fldChar w:fldCharType="begin"/>
        </w:r>
        <w:r>
          <w:rPr>
            <w:noProof/>
            <w:webHidden/>
          </w:rPr>
          <w:instrText xml:space="preserve"> PAGEREF _Toc103344708 \h </w:instrText>
        </w:r>
        <w:r>
          <w:rPr>
            <w:noProof/>
            <w:webHidden/>
          </w:rPr>
        </w:r>
        <w:r>
          <w:rPr>
            <w:noProof/>
            <w:webHidden/>
          </w:rPr>
          <w:fldChar w:fldCharType="separate"/>
        </w:r>
        <w:r>
          <w:rPr>
            <w:noProof/>
            <w:webHidden/>
          </w:rPr>
          <w:t>90</w:t>
        </w:r>
        <w:r>
          <w:rPr>
            <w:noProof/>
            <w:webHidden/>
          </w:rPr>
          <w:fldChar w:fldCharType="end"/>
        </w:r>
      </w:hyperlink>
    </w:p>
    <w:p w14:paraId="5E39699C" w14:textId="3011308B"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09" w:history="1">
        <w:r w:rsidRPr="00995769">
          <w:rPr>
            <w:rStyle w:val="Hyperlink"/>
            <w:noProof/>
          </w:rPr>
          <w:t>3.3.4 The effect of ageing on horizontal saccadic performance</w:t>
        </w:r>
        <w:r>
          <w:rPr>
            <w:noProof/>
            <w:webHidden/>
          </w:rPr>
          <w:tab/>
        </w:r>
        <w:r>
          <w:rPr>
            <w:noProof/>
            <w:webHidden/>
          </w:rPr>
          <w:fldChar w:fldCharType="begin"/>
        </w:r>
        <w:r>
          <w:rPr>
            <w:noProof/>
            <w:webHidden/>
          </w:rPr>
          <w:instrText xml:space="preserve"> PAGEREF _Toc103344709 \h </w:instrText>
        </w:r>
        <w:r>
          <w:rPr>
            <w:noProof/>
            <w:webHidden/>
          </w:rPr>
        </w:r>
        <w:r>
          <w:rPr>
            <w:noProof/>
            <w:webHidden/>
          </w:rPr>
          <w:fldChar w:fldCharType="separate"/>
        </w:r>
        <w:r>
          <w:rPr>
            <w:noProof/>
            <w:webHidden/>
          </w:rPr>
          <w:t>95</w:t>
        </w:r>
        <w:r>
          <w:rPr>
            <w:noProof/>
            <w:webHidden/>
          </w:rPr>
          <w:fldChar w:fldCharType="end"/>
        </w:r>
      </w:hyperlink>
    </w:p>
    <w:p w14:paraId="5B957756" w14:textId="350442F9"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10" w:history="1">
        <w:r w:rsidRPr="00995769">
          <w:rPr>
            <w:rStyle w:val="Hyperlink"/>
            <w:noProof/>
          </w:rPr>
          <w:t>3.3.5 The effect of ageing on vertical saccadic performance</w:t>
        </w:r>
        <w:r>
          <w:rPr>
            <w:noProof/>
            <w:webHidden/>
          </w:rPr>
          <w:tab/>
        </w:r>
        <w:r>
          <w:rPr>
            <w:noProof/>
            <w:webHidden/>
          </w:rPr>
          <w:fldChar w:fldCharType="begin"/>
        </w:r>
        <w:r>
          <w:rPr>
            <w:noProof/>
            <w:webHidden/>
          </w:rPr>
          <w:instrText xml:space="preserve"> PAGEREF _Toc103344710 \h </w:instrText>
        </w:r>
        <w:r>
          <w:rPr>
            <w:noProof/>
            <w:webHidden/>
          </w:rPr>
        </w:r>
        <w:r>
          <w:rPr>
            <w:noProof/>
            <w:webHidden/>
          </w:rPr>
          <w:fldChar w:fldCharType="separate"/>
        </w:r>
        <w:r>
          <w:rPr>
            <w:noProof/>
            <w:webHidden/>
          </w:rPr>
          <w:t>101</w:t>
        </w:r>
        <w:r>
          <w:rPr>
            <w:noProof/>
            <w:webHidden/>
          </w:rPr>
          <w:fldChar w:fldCharType="end"/>
        </w:r>
      </w:hyperlink>
    </w:p>
    <w:p w14:paraId="10100D24" w14:textId="1F37C5E9"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11" w:history="1">
        <w:r w:rsidRPr="00995769">
          <w:rPr>
            <w:rStyle w:val="Hyperlink"/>
            <w:noProof/>
          </w:rPr>
          <w:t>3.4 Discussion</w:t>
        </w:r>
        <w:r>
          <w:rPr>
            <w:noProof/>
            <w:webHidden/>
          </w:rPr>
          <w:tab/>
        </w:r>
        <w:r>
          <w:rPr>
            <w:noProof/>
            <w:webHidden/>
          </w:rPr>
          <w:fldChar w:fldCharType="begin"/>
        </w:r>
        <w:r>
          <w:rPr>
            <w:noProof/>
            <w:webHidden/>
          </w:rPr>
          <w:instrText xml:space="preserve"> PAGEREF _Toc103344711 \h </w:instrText>
        </w:r>
        <w:r>
          <w:rPr>
            <w:noProof/>
            <w:webHidden/>
          </w:rPr>
        </w:r>
        <w:r>
          <w:rPr>
            <w:noProof/>
            <w:webHidden/>
          </w:rPr>
          <w:fldChar w:fldCharType="separate"/>
        </w:r>
        <w:r>
          <w:rPr>
            <w:noProof/>
            <w:webHidden/>
          </w:rPr>
          <w:t>105</w:t>
        </w:r>
        <w:r>
          <w:rPr>
            <w:noProof/>
            <w:webHidden/>
          </w:rPr>
          <w:fldChar w:fldCharType="end"/>
        </w:r>
      </w:hyperlink>
    </w:p>
    <w:p w14:paraId="52D4CAF6" w14:textId="04E5E3D8"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12" w:history="1">
        <w:r w:rsidRPr="00995769">
          <w:rPr>
            <w:rStyle w:val="Hyperlink"/>
            <w:noProof/>
          </w:rPr>
          <w:t>3.4.1 Fixation</w:t>
        </w:r>
        <w:r>
          <w:rPr>
            <w:noProof/>
            <w:webHidden/>
          </w:rPr>
          <w:tab/>
        </w:r>
        <w:r>
          <w:rPr>
            <w:noProof/>
            <w:webHidden/>
          </w:rPr>
          <w:fldChar w:fldCharType="begin"/>
        </w:r>
        <w:r>
          <w:rPr>
            <w:noProof/>
            <w:webHidden/>
          </w:rPr>
          <w:instrText xml:space="preserve"> PAGEREF _Toc103344712 \h </w:instrText>
        </w:r>
        <w:r>
          <w:rPr>
            <w:noProof/>
            <w:webHidden/>
          </w:rPr>
        </w:r>
        <w:r>
          <w:rPr>
            <w:noProof/>
            <w:webHidden/>
          </w:rPr>
          <w:fldChar w:fldCharType="separate"/>
        </w:r>
        <w:r>
          <w:rPr>
            <w:noProof/>
            <w:webHidden/>
          </w:rPr>
          <w:t>106</w:t>
        </w:r>
        <w:r>
          <w:rPr>
            <w:noProof/>
            <w:webHidden/>
          </w:rPr>
          <w:fldChar w:fldCharType="end"/>
        </w:r>
      </w:hyperlink>
    </w:p>
    <w:p w14:paraId="487B11A3" w14:textId="1592E1D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13" w:history="1">
        <w:r w:rsidRPr="00995769">
          <w:rPr>
            <w:rStyle w:val="Hyperlink"/>
            <w:noProof/>
          </w:rPr>
          <w:t>3.4.2 Saccade</w:t>
        </w:r>
        <w:r>
          <w:rPr>
            <w:noProof/>
            <w:webHidden/>
          </w:rPr>
          <w:tab/>
        </w:r>
        <w:r>
          <w:rPr>
            <w:noProof/>
            <w:webHidden/>
          </w:rPr>
          <w:fldChar w:fldCharType="begin"/>
        </w:r>
        <w:r>
          <w:rPr>
            <w:noProof/>
            <w:webHidden/>
          </w:rPr>
          <w:instrText xml:space="preserve"> PAGEREF _Toc103344713 \h </w:instrText>
        </w:r>
        <w:r>
          <w:rPr>
            <w:noProof/>
            <w:webHidden/>
          </w:rPr>
        </w:r>
        <w:r>
          <w:rPr>
            <w:noProof/>
            <w:webHidden/>
          </w:rPr>
          <w:fldChar w:fldCharType="separate"/>
        </w:r>
        <w:r>
          <w:rPr>
            <w:noProof/>
            <w:webHidden/>
          </w:rPr>
          <w:t>107</w:t>
        </w:r>
        <w:r>
          <w:rPr>
            <w:noProof/>
            <w:webHidden/>
          </w:rPr>
          <w:fldChar w:fldCharType="end"/>
        </w:r>
      </w:hyperlink>
    </w:p>
    <w:p w14:paraId="346084FD" w14:textId="194E108A"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14" w:history="1">
        <w:r w:rsidRPr="00995769">
          <w:rPr>
            <w:rStyle w:val="Hyperlink"/>
            <w:noProof/>
          </w:rPr>
          <w:t>3.4.3 Additional factors affecting EMR performance in the elderly</w:t>
        </w:r>
        <w:r>
          <w:rPr>
            <w:noProof/>
            <w:webHidden/>
          </w:rPr>
          <w:tab/>
        </w:r>
        <w:r>
          <w:rPr>
            <w:noProof/>
            <w:webHidden/>
          </w:rPr>
          <w:fldChar w:fldCharType="begin"/>
        </w:r>
        <w:r>
          <w:rPr>
            <w:noProof/>
            <w:webHidden/>
          </w:rPr>
          <w:instrText xml:space="preserve"> PAGEREF _Toc103344714 \h </w:instrText>
        </w:r>
        <w:r>
          <w:rPr>
            <w:noProof/>
            <w:webHidden/>
          </w:rPr>
        </w:r>
        <w:r>
          <w:rPr>
            <w:noProof/>
            <w:webHidden/>
          </w:rPr>
          <w:fldChar w:fldCharType="separate"/>
        </w:r>
        <w:r>
          <w:rPr>
            <w:noProof/>
            <w:webHidden/>
          </w:rPr>
          <w:t>110</w:t>
        </w:r>
        <w:r>
          <w:rPr>
            <w:noProof/>
            <w:webHidden/>
          </w:rPr>
          <w:fldChar w:fldCharType="end"/>
        </w:r>
      </w:hyperlink>
    </w:p>
    <w:p w14:paraId="75DAB187" w14:textId="2E6F75A9"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15" w:history="1">
        <w:r w:rsidRPr="00995769">
          <w:rPr>
            <w:rStyle w:val="Hyperlink"/>
            <w:noProof/>
          </w:rPr>
          <w:t>3.5 Conclusion</w:t>
        </w:r>
        <w:r>
          <w:rPr>
            <w:noProof/>
            <w:webHidden/>
          </w:rPr>
          <w:tab/>
        </w:r>
        <w:r>
          <w:rPr>
            <w:noProof/>
            <w:webHidden/>
          </w:rPr>
          <w:fldChar w:fldCharType="begin"/>
        </w:r>
        <w:r>
          <w:rPr>
            <w:noProof/>
            <w:webHidden/>
          </w:rPr>
          <w:instrText xml:space="preserve"> PAGEREF _Toc103344715 \h </w:instrText>
        </w:r>
        <w:r>
          <w:rPr>
            <w:noProof/>
            <w:webHidden/>
          </w:rPr>
        </w:r>
        <w:r>
          <w:rPr>
            <w:noProof/>
            <w:webHidden/>
          </w:rPr>
          <w:fldChar w:fldCharType="separate"/>
        </w:r>
        <w:r>
          <w:rPr>
            <w:noProof/>
            <w:webHidden/>
          </w:rPr>
          <w:t>111</w:t>
        </w:r>
        <w:r>
          <w:rPr>
            <w:noProof/>
            <w:webHidden/>
          </w:rPr>
          <w:fldChar w:fldCharType="end"/>
        </w:r>
      </w:hyperlink>
    </w:p>
    <w:p w14:paraId="61D97D27" w14:textId="16AE0972"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16" w:history="1">
        <w:r w:rsidRPr="00995769">
          <w:rPr>
            <w:rStyle w:val="Hyperlink"/>
            <w:noProof/>
          </w:rPr>
          <w:t>3.5.1 Limitations of the study and future works</w:t>
        </w:r>
        <w:r>
          <w:rPr>
            <w:noProof/>
            <w:webHidden/>
          </w:rPr>
          <w:tab/>
        </w:r>
        <w:r>
          <w:rPr>
            <w:noProof/>
            <w:webHidden/>
          </w:rPr>
          <w:fldChar w:fldCharType="begin"/>
        </w:r>
        <w:r>
          <w:rPr>
            <w:noProof/>
            <w:webHidden/>
          </w:rPr>
          <w:instrText xml:space="preserve"> PAGEREF _Toc103344716 \h </w:instrText>
        </w:r>
        <w:r>
          <w:rPr>
            <w:noProof/>
            <w:webHidden/>
          </w:rPr>
        </w:r>
        <w:r>
          <w:rPr>
            <w:noProof/>
            <w:webHidden/>
          </w:rPr>
          <w:fldChar w:fldCharType="separate"/>
        </w:r>
        <w:r>
          <w:rPr>
            <w:noProof/>
            <w:webHidden/>
          </w:rPr>
          <w:t>112</w:t>
        </w:r>
        <w:r>
          <w:rPr>
            <w:noProof/>
            <w:webHidden/>
          </w:rPr>
          <w:fldChar w:fldCharType="end"/>
        </w:r>
      </w:hyperlink>
    </w:p>
    <w:p w14:paraId="6FA33DC5" w14:textId="18142954"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717" w:history="1">
        <w:r w:rsidRPr="00995769">
          <w:rPr>
            <w:rStyle w:val="Hyperlink"/>
            <w:bCs/>
          </w:rPr>
          <w:t>Chapter 4:</w:t>
        </w:r>
        <w:r w:rsidRPr="00995769">
          <w:rPr>
            <w:rStyle w:val="Hyperlink"/>
          </w:rPr>
          <w:t xml:space="preserve"> Validation of recording techniques</w:t>
        </w:r>
        <w:r>
          <w:rPr>
            <w:webHidden/>
          </w:rPr>
          <w:tab/>
        </w:r>
        <w:r>
          <w:rPr>
            <w:webHidden/>
          </w:rPr>
          <w:fldChar w:fldCharType="begin"/>
        </w:r>
        <w:r>
          <w:rPr>
            <w:webHidden/>
          </w:rPr>
          <w:instrText xml:space="preserve"> PAGEREF _Toc103344717 \h </w:instrText>
        </w:r>
        <w:r>
          <w:rPr>
            <w:webHidden/>
          </w:rPr>
        </w:r>
        <w:r>
          <w:rPr>
            <w:webHidden/>
          </w:rPr>
          <w:fldChar w:fldCharType="separate"/>
        </w:r>
        <w:r>
          <w:rPr>
            <w:webHidden/>
          </w:rPr>
          <w:t>113</w:t>
        </w:r>
        <w:r>
          <w:rPr>
            <w:webHidden/>
          </w:rPr>
          <w:fldChar w:fldCharType="end"/>
        </w:r>
      </w:hyperlink>
    </w:p>
    <w:p w14:paraId="6485B164" w14:textId="152C4085"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18" w:history="1">
        <w:r w:rsidRPr="00995769">
          <w:rPr>
            <w:rStyle w:val="Hyperlink"/>
            <w:noProof/>
          </w:rPr>
          <w:t>4.1 Experiment 2: The effect of target size on eye movements</w:t>
        </w:r>
        <w:r>
          <w:rPr>
            <w:noProof/>
            <w:webHidden/>
          </w:rPr>
          <w:tab/>
        </w:r>
        <w:r>
          <w:rPr>
            <w:noProof/>
            <w:webHidden/>
          </w:rPr>
          <w:fldChar w:fldCharType="begin"/>
        </w:r>
        <w:r>
          <w:rPr>
            <w:noProof/>
            <w:webHidden/>
          </w:rPr>
          <w:instrText xml:space="preserve"> PAGEREF _Toc103344718 \h </w:instrText>
        </w:r>
        <w:r>
          <w:rPr>
            <w:noProof/>
            <w:webHidden/>
          </w:rPr>
        </w:r>
        <w:r>
          <w:rPr>
            <w:noProof/>
            <w:webHidden/>
          </w:rPr>
          <w:fldChar w:fldCharType="separate"/>
        </w:r>
        <w:r>
          <w:rPr>
            <w:noProof/>
            <w:webHidden/>
          </w:rPr>
          <w:t>114</w:t>
        </w:r>
        <w:r>
          <w:rPr>
            <w:noProof/>
            <w:webHidden/>
          </w:rPr>
          <w:fldChar w:fldCharType="end"/>
        </w:r>
      </w:hyperlink>
    </w:p>
    <w:p w14:paraId="77F328DC" w14:textId="357C635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19" w:history="1">
        <w:r w:rsidRPr="00995769">
          <w:rPr>
            <w:rStyle w:val="Hyperlink"/>
            <w:noProof/>
          </w:rPr>
          <w:t>4.1.1 Introduction</w:t>
        </w:r>
        <w:r>
          <w:rPr>
            <w:noProof/>
            <w:webHidden/>
          </w:rPr>
          <w:tab/>
        </w:r>
        <w:r>
          <w:rPr>
            <w:noProof/>
            <w:webHidden/>
          </w:rPr>
          <w:fldChar w:fldCharType="begin"/>
        </w:r>
        <w:r>
          <w:rPr>
            <w:noProof/>
            <w:webHidden/>
          </w:rPr>
          <w:instrText xml:space="preserve"> PAGEREF _Toc103344719 \h </w:instrText>
        </w:r>
        <w:r>
          <w:rPr>
            <w:noProof/>
            <w:webHidden/>
          </w:rPr>
        </w:r>
        <w:r>
          <w:rPr>
            <w:noProof/>
            <w:webHidden/>
          </w:rPr>
          <w:fldChar w:fldCharType="separate"/>
        </w:r>
        <w:r>
          <w:rPr>
            <w:noProof/>
            <w:webHidden/>
          </w:rPr>
          <w:t>114</w:t>
        </w:r>
        <w:r>
          <w:rPr>
            <w:noProof/>
            <w:webHidden/>
          </w:rPr>
          <w:fldChar w:fldCharType="end"/>
        </w:r>
      </w:hyperlink>
    </w:p>
    <w:p w14:paraId="46737077" w14:textId="72BA5521"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0" w:history="1">
        <w:r w:rsidRPr="00995769">
          <w:rPr>
            <w:rStyle w:val="Hyperlink"/>
            <w:bCs/>
            <w:noProof/>
          </w:rPr>
          <w:t>4.1.1.1</w:t>
        </w:r>
        <w:r w:rsidRPr="00995769">
          <w:rPr>
            <w:rStyle w:val="Hyperlink"/>
            <w:noProof/>
          </w:rPr>
          <w:t xml:space="preserve"> Null hypothesis</w:t>
        </w:r>
        <w:r>
          <w:rPr>
            <w:rStyle w:val="Hyperlink"/>
            <w:noProof/>
          </w:rPr>
          <w:t xml:space="preserve"> ……………………………………………………………….</w:t>
        </w:r>
        <w:r>
          <w:rPr>
            <w:noProof/>
            <w:webHidden/>
          </w:rPr>
          <w:fldChar w:fldCharType="begin"/>
        </w:r>
        <w:r>
          <w:rPr>
            <w:noProof/>
            <w:webHidden/>
          </w:rPr>
          <w:instrText xml:space="preserve"> PAGEREF _Toc103344720 \h </w:instrText>
        </w:r>
        <w:r>
          <w:rPr>
            <w:noProof/>
            <w:webHidden/>
          </w:rPr>
        </w:r>
        <w:r>
          <w:rPr>
            <w:noProof/>
            <w:webHidden/>
          </w:rPr>
          <w:fldChar w:fldCharType="separate"/>
        </w:r>
        <w:r>
          <w:rPr>
            <w:noProof/>
            <w:webHidden/>
          </w:rPr>
          <w:t>114</w:t>
        </w:r>
        <w:r>
          <w:rPr>
            <w:noProof/>
            <w:webHidden/>
          </w:rPr>
          <w:fldChar w:fldCharType="end"/>
        </w:r>
      </w:hyperlink>
    </w:p>
    <w:p w14:paraId="55AE587A" w14:textId="12E2BC10"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21" w:history="1">
        <w:r w:rsidRPr="00995769">
          <w:rPr>
            <w:rStyle w:val="Hyperlink"/>
            <w:noProof/>
          </w:rPr>
          <w:t>4.1.2 Method</w:t>
        </w:r>
        <w:r>
          <w:rPr>
            <w:noProof/>
            <w:webHidden/>
          </w:rPr>
          <w:tab/>
        </w:r>
        <w:r>
          <w:rPr>
            <w:noProof/>
            <w:webHidden/>
          </w:rPr>
          <w:fldChar w:fldCharType="begin"/>
        </w:r>
        <w:r>
          <w:rPr>
            <w:noProof/>
            <w:webHidden/>
          </w:rPr>
          <w:instrText xml:space="preserve"> PAGEREF _Toc103344721 \h </w:instrText>
        </w:r>
        <w:r>
          <w:rPr>
            <w:noProof/>
            <w:webHidden/>
          </w:rPr>
        </w:r>
        <w:r>
          <w:rPr>
            <w:noProof/>
            <w:webHidden/>
          </w:rPr>
          <w:fldChar w:fldCharType="separate"/>
        </w:r>
        <w:r>
          <w:rPr>
            <w:noProof/>
            <w:webHidden/>
          </w:rPr>
          <w:t>114</w:t>
        </w:r>
        <w:r>
          <w:rPr>
            <w:noProof/>
            <w:webHidden/>
          </w:rPr>
          <w:fldChar w:fldCharType="end"/>
        </w:r>
      </w:hyperlink>
    </w:p>
    <w:p w14:paraId="1C851298" w14:textId="62E0E003"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2" w:history="1">
        <w:r w:rsidRPr="00995769">
          <w:rPr>
            <w:rStyle w:val="Hyperlink"/>
            <w:bCs/>
            <w:noProof/>
          </w:rPr>
          <w:t>4.1.2.1</w:t>
        </w:r>
        <w:r w:rsidRPr="00995769">
          <w:rPr>
            <w:rStyle w:val="Hyperlink"/>
            <w:noProof/>
          </w:rPr>
          <w:t xml:space="preserve"> Ethical approval</w:t>
        </w:r>
        <w:r>
          <w:rPr>
            <w:rStyle w:val="Hyperlink"/>
            <w:noProof/>
          </w:rPr>
          <w:t xml:space="preserve"> ………………………………………………………………</w:t>
        </w:r>
        <w:r>
          <w:rPr>
            <w:noProof/>
            <w:webHidden/>
          </w:rPr>
          <w:fldChar w:fldCharType="begin"/>
        </w:r>
        <w:r>
          <w:rPr>
            <w:noProof/>
            <w:webHidden/>
          </w:rPr>
          <w:instrText xml:space="preserve"> PAGEREF _Toc103344722 \h </w:instrText>
        </w:r>
        <w:r>
          <w:rPr>
            <w:noProof/>
            <w:webHidden/>
          </w:rPr>
        </w:r>
        <w:r>
          <w:rPr>
            <w:noProof/>
            <w:webHidden/>
          </w:rPr>
          <w:fldChar w:fldCharType="separate"/>
        </w:r>
        <w:r>
          <w:rPr>
            <w:noProof/>
            <w:webHidden/>
          </w:rPr>
          <w:t>114</w:t>
        </w:r>
        <w:r>
          <w:rPr>
            <w:noProof/>
            <w:webHidden/>
          </w:rPr>
          <w:fldChar w:fldCharType="end"/>
        </w:r>
      </w:hyperlink>
    </w:p>
    <w:p w14:paraId="382715A1" w14:textId="3D654C07"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3" w:history="1">
        <w:r w:rsidRPr="00995769">
          <w:rPr>
            <w:rStyle w:val="Hyperlink"/>
            <w:bCs/>
            <w:noProof/>
          </w:rPr>
          <w:t>4.1.2.2</w:t>
        </w:r>
        <w:r w:rsidRPr="00995769">
          <w:rPr>
            <w:rStyle w:val="Hyperlink"/>
            <w:noProof/>
          </w:rPr>
          <w:t xml:space="preserve"> Participants</w:t>
        </w:r>
        <w:r>
          <w:rPr>
            <w:rStyle w:val="Hyperlink"/>
            <w:noProof/>
          </w:rPr>
          <w:t xml:space="preserve"> …………………………………………………………………...</w:t>
        </w:r>
        <w:r>
          <w:rPr>
            <w:noProof/>
            <w:webHidden/>
          </w:rPr>
          <w:fldChar w:fldCharType="begin"/>
        </w:r>
        <w:r>
          <w:rPr>
            <w:noProof/>
            <w:webHidden/>
          </w:rPr>
          <w:instrText xml:space="preserve"> PAGEREF _Toc103344723 \h </w:instrText>
        </w:r>
        <w:r>
          <w:rPr>
            <w:noProof/>
            <w:webHidden/>
          </w:rPr>
        </w:r>
        <w:r>
          <w:rPr>
            <w:noProof/>
            <w:webHidden/>
          </w:rPr>
          <w:fldChar w:fldCharType="separate"/>
        </w:r>
        <w:r>
          <w:rPr>
            <w:noProof/>
            <w:webHidden/>
          </w:rPr>
          <w:t>115</w:t>
        </w:r>
        <w:r>
          <w:rPr>
            <w:noProof/>
            <w:webHidden/>
          </w:rPr>
          <w:fldChar w:fldCharType="end"/>
        </w:r>
      </w:hyperlink>
    </w:p>
    <w:p w14:paraId="4E75951C" w14:textId="7CEBE840"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4" w:history="1">
        <w:r w:rsidRPr="00995769">
          <w:rPr>
            <w:rStyle w:val="Hyperlink"/>
            <w:bCs/>
            <w:noProof/>
          </w:rPr>
          <w:t>4.1.2.3</w:t>
        </w:r>
        <w:r w:rsidRPr="00995769">
          <w:rPr>
            <w:rStyle w:val="Hyperlink"/>
            <w:noProof/>
          </w:rPr>
          <w:t xml:space="preserve"> EMR procedures</w:t>
        </w:r>
        <w:r>
          <w:rPr>
            <w:rStyle w:val="Hyperlink"/>
            <w:noProof/>
          </w:rPr>
          <w:t xml:space="preserve"> ……………………………………………………………...</w:t>
        </w:r>
        <w:r>
          <w:rPr>
            <w:noProof/>
            <w:webHidden/>
          </w:rPr>
          <w:fldChar w:fldCharType="begin"/>
        </w:r>
        <w:r>
          <w:rPr>
            <w:noProof/>
            <w:webHidden/>
          </w:rPr>
          <w:instrText xml:space="preserve"> PAGEREF _Toc103344724 \h </w:instrText>
        </w:r>
        <w:r>
          <w:rPr>
            <w:noProof/>
            <w:webHidden/>
          </w:rPr>
        </w:r>
        <w:r>
          <w:rPr>
            <w:noProof/>
            <w:webHidden/>
          </w:rPr>
          <w:fldChar w:fldCharType="separate"/>
        </w:r>
        <w:r>
          <w:rPr>
            <w:noProof/>
            <w:webHidden/>
          </w:rPr>
          <w:t>115</w:t>
        </w:r>
        <w:r>
          <w:rPr>
            <w:noProof/>
            <w:webHidden/>
          </w:rPr>
          <w:fldChar w:fldCharType="end"/>
        </w:r>
      </w:hyperlink>
    </w:p>
    <w:p w14:paraId="0FE621ED" w14:textId="2B2AFB24"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5" w:history="1">
        <w:r w:rsidRPr="00995769">
          <w:rPr>
            <w:rStyle w:val="Hyperlink"/>
            <w:bCs/>
            <w:noProof/>
          </w:rPr>
          <w:t>4.1.2.4</w:t>
        </w:r>
        <w:r w:rsidRPr="00995769">
          <w:rPr>
            <w:rStyle w:val="Hyperlink"/>
            <w:noProof/>
          </w:rPr>
          <w:t xml:space="preserve"> Data analysis</w:t>
        </w:r>
        <w:r>
          <w:rPr>
            <w:rStyle w:val="Hyperlink"/>
            <w:noProof/>
          </w:rPr>
          <w:t xml:space="preserve"> ………………………………………………………………….</w:t>
        </w:r>
        <w:r>
          <w:rPr>
            <w:noProof/>
            <w:webHidden/>
          </w:rPr>
          <w:fldChar w:fldCharType="begin"/>
        </w:r>
        <w:r>
          <w:rPr>
            <w:noProof/>
            <w:webHidden/>
          </w:rPr>
          <w:instrText xml:space="preserve"> PAGEREF _Toc103344725 \h </w:instrText>
        </w:r>
        <w:r>
          <w:rPr>
            <w:noProof/>
            <w:webHidden/>
          </w:rPr>
        </w:r>
        <w:r>
          <w:rPr>
            <w:noProof/>
            <w:webHidden/>
          </w:rPr>
          <w:fldChar w:fldCharType="separate"/>
        </w:r>
        <w:r>
          <w:rPr>
            <w:noProof/>
            <w:webHidden/>
          </w:rPr>
          <w:t>116</w:t>
        </w:r>
        <w:r>
          <w:rPr>
            <w:noProof/>
            <w:webHidden/>
          </w:rPr>
          <w:fldChar w:fldCharType="end"/>
        </w:r>
      </w:hyperlink>
    </w:p>
    <w:p w14:paraId="0AB030E8" w14:textId="4D03D470"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26" w:history="1">
        <w:r w:rsidRPr="00995769">
          <w:rPr>
            <w:rStyle w:val="Hyperlink"/>
            <w:noProof/>
          </w:rPr>
          <w:t>4.1.3 Results</w:t>
        </w:r>
        <w:r>
          <w:rPr>
            <w:rStyle w:val="Hyperlink"/>
            <w:noProof/>
          </w:rPr>
          <w:t>………………………………………………………………………………..</w:t>
        </w:r>
        <w:r>
          <w:rPr>
            <w:noProof/>
            <w:webHidden/>
          </w:rPr>
          <w:tab/>
          <w:t>.</w:t>
        </w:r>
        <w:r>
          <w:rPr>
            <w:noProof/>
            <w:webHidden/>
          </w:rPr>
          <w:fldChar w:fldCharType="begin"/>
        </w:r>
        <w:r>
          <w:rPr>
            <w:noProof/>
            <w:webHidden/>
          </w:rPr>
          <w:instrText xml:space="preserve"> PAGEREF _Toc103344726 \h </w:instrText>
        </w:r>
        <w:r>
          <w:rPr>
            <w:noProof/>
            <w:webHidden/>
          </w:rPr>
        </w:r>
        <w:r>
          <w:rPr>
            <w:noProof/>
            <w:webHidden/>
          </w:rPr>
          <w:fldChar w:fldCharType="separate"/>
        </w:r>
        <w:r>
          <w:rPr>
            <w:noProof/>
            <w:webHidden/>
          </w:rPr>
          <w:t>116</w:t>
        </w:r>
        <w:r>
          <w:rPr>
            <w:noProof/>
            <w:webHidden/>
          </w:rPr>
          <w:fldChar w:fldCharType="end"/>
        </w:r>
      </w:hyperlink>
    </w:p>
    <w:p w14:paraId="2450E36A" w14:textId="092FB7C6"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7" w:history="1">
        <w:r w:rsidRPr="00995769">
          <w:rPr>
            <w:rStyle w:val="Hyperlink"/>
            <w:bCs/>
            <w:noProof/>
          </w:rPr>
          <w:t>4.1.3.1</w:t>
        </w:r>
        <w:r w:rsidRPr="00995769">
          <w:rPr>
            <w:rStyle w:val="Hyperlink"/>
            <w:noProof/>
          </w:rPr>
          <w:t xml:space="preserve"> The effect of target size and fixation position on the fixation eye movements.</w:t>
        </w:r>
        <w:r>
          <w:rPr>
            <w:rStyle w:val="Hyperlink"/>
            <w:noProof/>
          </w:rPr>
          <w:t>.</w:t>
        </w:r>
        <w:r>
          <w:rPr>
            <w:noProof/>
            <w:webHidden/>
          </w:rPr>
          <w:fldChar w:fldCharType="begin"/>
        </w:r>
        <w:r>
          <w:rPr>
            <w:noProof/>
            <w:webHidden/>
          </w:rPr>
          <w:instrText xml:space="preserve"> PAGEREF _Toc103344727 \h </w:instrText>
        </w:r>
        <w:r>
          <w:rPr>
            <w:noProof/>
            <w:webHidden/>
          </w:rPr>
        </w:r>
        <w:r>
          <w:rPr>
            <w:noProof/>
            <w:webHidden/>
          </w:rPr>
          <w:fldChar w:fldCharType="separate"/>
        </w:r>
        <w:r>
          <w:rPr>
            <w:noProof/>
            <w:webHidden/>
          </w:rPr>
          <w:t>117</w:t>
        </w:r>
        <w:r>
          <w:rPr>
            <w:noProof/>
            <w:webHidden/>
          </w:rPr>
          <w:fldChar w:fldCharType="end"/>
        </w:r>
      </w:hyperlink>
    </w:p>
    <w:p w14:paraId="4E3116A6" w14:textId="34F6852B"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8" w:history="1">
        <w:r w:rsidRPr="00995769">
          <w:rPr>
            <w:rStyle w:val="Hyperlink"/>
            <w:bCs/>
            <w:noProof/>
          </w:rPr>
          <w:t>4.1.3.2</w:t>
        </w:r>
        <w:r w:rsidRPr="00995769">
          <w:rPr>
            <w:rStyle w:val="Hyperlink"/>
            <w:noProof/>
          </w:rPr>
          <w:t xml:space="preserve"> The effect of target size on horizontal SP</w:t>
        </w:r>
        <w:r>
          <w:rPr>
            <w:rStyle w:val="Hyperlink"/>
            <w:noProof/>
          </w:rPr>
          <w:t xml:space="preserve"> ……………………………………..</w:t>
        </w:r>
        <w:r>
          <w:rPr>
            <w:noProof/>
            <w:webHidden/>
          </w:rPr>
          <w:fldChar w:fldCharType="begin"/>
        </w:r>
        <w:r>
          <w:rPr>
            <w:noProof/>
            <w:webHidden/>
          </w:rPr>
          <w:instrText xml:space="preserve"> PAGEREF _Toc103344728 \h </w:instrText>
        </w:r>
        <w:r>
          <w:rPr>
            <w:noProof/>
            <w:webHidden/>
          </w:rPr>
        </w:r>
        <w:r>
          <w:rPr>
            <w:noProof/>
            <w:webHidden/>
          </w:rPr>
          <w:fldChar w:fldCharType="separate"/>
        </w:r>
        <w:r>
          <w:rPr>
            <w:noProof/>
            <w:webHidden/>
          </w:rPr>
          <w:t>118</w:t>
        </w:r>
        <w:r>
          <w:rPr>
            <w:noProof/>
            <w:webHidden/>
          </w:rPr>
          <w:fldChar w:fldCharType="end"/>
        </w:r>
      </w:hyperlink>
    </w:p>
    <w:p w14:paraId="4C3EC089" w14:textId="11D139F0"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29" w:history="1">
        <w:r w:rsidRPr="00995769">
          <w:rPr>
            <w:rStyle w:val="Hyperlink"/>
            <w:bCs/>
            <w:noProof/>
          </w:rPr>
          <w:t>4.1.3.3</w:t>
        </w:r>
        <w:r w:rsidRPr="00995769">
          <w:rPr>
            <w:rStyle w:val="Hyperlink"/>
            <w:noProof/>
          </w:rPr>
          <w:t xml:space="preserve"> The effect of target size on vertical SP</w:t>
        </w:r>
        <w:r>
          <w:rPr>
            <w:rStyle w:val="Hyperlink"/>
            <w:noProof/>
          </w:rPr>
          <w:t xml:space="preserve"> ………………………………………..</w:t>
        </w:r>
        <w:r>
          <w:rPr>
            <w:noProof/>
            <w:webHidden/>
          </w:rPr>
          <w:fldChar w:fldCharType="begin"/>
        </w:r>
        <w:r>
          <w:rPr>
            <w:noProof/>
            <w:webHidden/>
          </w:rPr>
          <w:instrText xml:space="preserve"> PAGEREF _Toc103344729 \h </w:instrText>
        </w:r>
        <w:r>
          <w:rPr>
            <w:noProof/>
            <w:webHidden/>
          </w:rPr>
        </w:r>
        <w:r>
          <w:rPr>
            <w:noProof/>
            <w:webHidden/>
          </w:rPr>
          <w:fldChar w:fldCharType="separate"/>
        </w:r>
        <w:r>
          <w:rPr>
            <w:noProof/>
            <w:webHidden/>
          </w:rPr>
          <w:t>120</w:t>
        </w:r>
        <w:r>
          <w:rPr>
            <w:noProof/>
            <w:webHidden/>
          </w:rPr>
          <w:fldChar w:fldCharType="end"/>
        </w:r>
      </w:hyperlink>
    </w:p>
    <w:p w14:paraId="1E6D26A2" w14:textId="73CD9E24"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30" w:history="1">
        <w:r w:rsidRPr="00995769">
          <w:rPr>
            <w:rStyle w:val="Hyperlink"/>
            <w:bCs/>
            <w:noProof/>
          </w:rPr>
          <w:t>4.1.3.4</w:t>
        </w:r>
        <w:r w:rsidRPr="00995769">
          <w:rPr>
            <w:rStyle w:val="Hyperlink"/>
            <w:noProof/>
          </w:rPr>
          <w:t xml:space="preserve"> The effect of target size on horizontal saccades</w:t>
        </w:r>
        <w:r>
          <w:rPr>
            <w:rStyle w:val="Hyperlink"/>
            <w:noProof/>
          </w:rPr>
          <w:t xml:space="preserve"> ………………………………</w:t>
        </w:r>
        <w:r>
          <w:rPr>
            <w:noProof/>
            <w:webHidden/>
          </w:rPr>
          <w:fldChar w:fldCharType="begin"/>
        </w:r>
        <w:r>
          <w:rPr>
            <w:noProof/>
            <w:webHidden/>
          </w:rPr>
          <w:instrText xml:space="preserve"> PAGEREF _Toc103344730 \h </w:instrText>
        </w:r>
        <w:r>
          <w:rPr>
            <w:noProof/>
            <w:webHidden/>
          </w:rPr>
        </w:r>
        <w:r>
          <w:rPr>
            <w:noProof/>
            <w:webHidden/>
          </w:rPr>
          <w:fldChar w:fldCharType="separate"/>
        </w:r>
        <w:r>
          <w:rPr>
            <w:noProof/>
            <w:webHidden/>
          </w:rPr>
          <w:t>123</w:t>
        </w:r>
        <w:r>
          <w:rPr>
            <w:noProof/>
            <w:webHidden/>
          </w:rPr>
          <w:fldChar w:fldCharType="end"/>
        </w:r>
      </w:hyperlink>
    </w:p>
    <w:p w14:paraId="5C6FC6AD" w14:textId="4F0CFA9A"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31" w:history="1">
        <w:r w:rsidRPr="00995769">
          <w:rPr>
            <w:rStyle w:val="Hyperlink"/>
            <w:bCs/>
            <w:noProof/>
          </w:rPr>
          <w:t>4.1.3.5</w:t>
        </w:r>
        <w:r w:rsidRPr="00995769">
          <w:rPr>
            <w:rStyle w:val="Hyperlink"/>
            <w:noProof/>
          </w:rPr>
          <w:t xml:space="preserve"> The effect of target size on vertical saccades</w:t>
        </w:r>
        <w:r>
          <w:rPr>
            <w:rStyle w:val="Hyperlink"/>
            <w:noProof/>
          </w:rPr>
          <w:t xml:space="preserve"> …………………………………</w:t>
        </w:r>
        <w:r>
          <w:rPr>
            <w:noProof/>
            <w:webHidden/>
          </w:rPr>
          <w:fldChar w:fldCharType="begin"/>
        </w:r>
        <w:r>
          <w:rPr>
            <w:noProof/>
            <w:webHidden/>
          </w:rPr>
          <w:instrText xml:space="preserve"> PAGEREF _Toc103344731 \h </w:instrText>
        </w:r>
        <w:r>
          <w:rPr>
            <w:noProof/>
            <w:webHidden/>
          </w:rPr>
        </w:r>
        <w:r>
          <w:rPr>
            <w:noProof/>
            <w:webHidden/>
          </w:rPr>
          <w:fldChar w:fldCharType="separate"/>
        </w:r>
        <w:r>
          <w:rPr>
            <w:noProof/>
            <w:webHidden/>
          </w:rPr>
          <w:t>126</w:t>
        </w:r>
        <w:r>
          <w:rPr>
            <w:noProof/>
            <w:webHidden/>
          </w:rPr>
          <w:fldChar w:fldCharType="end"/>
        </w:r>
      </w:hyperlink>
    </w:p>
    <w:p w14:paraId="4725D308" w14:textId="7FAD19D5"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32" w:history="1">
        <w:r w:rsidRPr="00995769">
          <w:rPr>
            <w:rStyle w:val="Hyperlink"/>
            <w:noProof/>
          </w:rPr>
          <w:t>4.1.4 Discussion and conclusion</w:t>
        </w:r>
        <w:r>
          <w:rPr>
            <w:noProof/>
            <w:webHidden/>
          </w:rPr>
          <w:tab/>
        </w:r>
        <w:r>
          <w:rPr>
            <w:noProof/>
            <w:webHidden/>
          </w:rPr>
          <w:fldChar w:fldCharType="begin"/>
        </w:r>
        <w:r>
          <w:rPr>
            <w:noProof/>
            <w:webHidden/>
          </w:rPr>
          <w:instrText xml:space="preserve"> PAGEREF _Toc103344732 \h </w:instrText>
        </w:r>
        <w:r>
          <w:rPr>
            <w:noProof/>
            <w:webHidden/>
          </w:rPr>
        </w:r>
        <w:r>
          <w:rPr>
            <w:noProof/>
            <w:webHidden/>
          </w:rPr>
          <w:fldChar w:fldCharType="separate"/>
        </w:r>
        <w:r>
          <w:rPr>
            <w:noProof/>
            <w:webHidden/>
          </w:rPr>
          <w:t>128</w:t>
        </w:r>
        <w:r>
          <w:rPr>
            <w:noProof/>
            <w:webHidden/>
          </w:rPr>
          <w:fldChar w:fldCharType="end"/>
        </w:r>
      </w:hyperlink>
    </w:p>
    <w:p w14:paraId="111DC13C" w14:textId="08B23765"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33" w:history="1">
        <w:r w:rsidRPr="00995769">
          <w:rPr>
            <w:rStyle w:val="Hyperlink"/>
            <w:noProof/>
          </w:rPr>
          <w:t>4.2 Experiment 3: Binocular versus monocular EMR eye movement characteristics</w:t>
        </w:r>
        <w:r>
          <w:rPr>
            <w:noProof/>
            <w:webHidden/>
          </w:rPr>
          <w:tab/>
        </w:r>
        <w:r>
          <w:rPr>
            <w:noProof/>
            <w:webHidden/>
          </w:rPr>
          <w:fldChar w:fldCharType="begin"/>
        </w:r>
        <w:r>
          <w:rPr>
            <w:noProof/>
            <w:webHidden/>
          </w:rPr>
          <w:instrText xml:space="preserve"> PAGEREF _Toc103344733 \h </w:instrText>
        </w:r>
        <w:r>
          <w:rPr>
            <w:noProof/>
            <w:webHidden/>
          </w:rPr>
        </w:r>
        <w:r>
          <w:rPr>
            <w:noProof/>
            <w:webHidden/>
          </w:rPr>
          <w:fldChar w:fldCharType="separate"/>
        </w:r>
        <w:r>
          <w:rPr>
            <w:noProof/>
            <w:webHidden/>
          </w:rPr>
          <w:t>131</w:t>
        </w:r>
        <w:r>
          <w:rPr>
            <w:noProof/>
            <w:webHidden/>
          </w:rPr>
          <w:fldChar w:fldCharType="end"/>
        </w:r>
      </w:hyperlink>
    </w:p>
    <w:p w14:paraId="3D8AE0C8" w14:textId="285BF69C"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34" w:history="1">
        <w:r w:rsidRPr="00995769">
          <w:rPr>
            <w:rStyle w:val="Hyperlink"/>
            <w:noProof/>
          </w:rPr>
          <w:t>4.2.1 Introduction</w:t>
        </w:r>
        <w:r>
          <w:rPr>
            <w:noProof/>
            <w:webHidden/>
          </w:rPr>
          <w:tab/>
        </w:r>
        <w:r>
          <w:rPr>
            <w:noProof/>
            <w:webHidden/>
          </w:rPr>
          <w:fldChar w:fldCharType="begin"/>
        </w:r>
        <w:r>
          <w:rPr>
            <w:noProof/>
            <w:webHidden/>
          </w:rPr>
          <w:instrText xml:space="preserve"> PAGEREF _Toc103344734 \h </w:instrText>
        </w:r>
        <w:r>
          <w:rPr>
            <w:noProof/>
            <w:webHidden/>
          </w:rPr>
        </w:r>
        <w:r>
          <w:rPr>
            <w:noProof/>
            <w:webHidden/>
          </w:rPr>
          <w:fldChar w:fldCharType="separate"/>
        </w:r>
        <w:r>
          <w:rPr>
            <w:noProof/>
            <w:webHidden/>
          </w:rPr>
          <w:t>131</w:t>
        </w:r>
        <w:r>
          <w:rPr>
            <w:noProof/>
            <w:webHidden/>
          </w:rPr>
          <w:fldChar w:fldCharType="end"/>
        </w:r>
      </w:hyperlink>
    </w:p>
    <w:p w14:paraId="13DE2529" w14:textId="6A5F2907"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35" w:history="1">
        <w:r w:rsidRPr="00995769">
          <w:rPr>
            <w:rStyle w:val="Hyperlink"/>
            <w:bCs/>
            <w:noProof/>
          </w:rPr>
          <w:t>4.2.1.1</w:t>
        </w:r>
        <w:r w:rsidRPr="00995769">
          <w:rPr>
            <w:rStyle w:val="Hyperlink"/>
            <w:noProof/>
          </w:rPr>
          <w:t xml:space="preserve"> Null hypothesis</w:t>
        </w:r>
        <w:r>
          <w:rPr>
            <w:rStyle w:val="Hyperlink"/>
            <w:noProof/>
          </w:rPr>
          <w:t xml:space="preserve"> ……………………………………………………………….</w:t>
        </w:r>
        <w:r>
          <w:rPr>
            <w:noProof/>
            <w:webHidden/>
          </w:rPr>
          <w:fldChar w:fldCharType="begin"/>
        </w:r>
        <w:r>
          <w:rPr>
            <w:noProof/>
            <w:webHidden/>
          </w:rPr>
          <w:instrText xml:space="preserve"> PAGEREF _Toc103344735 \h </w:instrText>
        </w:r>
        <w:r>
          <w:rPr>
            <w:noProof/>
            <w:webHidden/>
          </w:rPr>
        </w:r>
        <w:r>
          <w:rPr>
            <w:noProof/>
            <w:webHidden/>
          </w:rPr>
          <w:fldChar w:fldCharType="separate"/>
        </w:r>
        <w:r>
          <w:rPr>
            <w:noProof/>
            <w:webHidden/>
          </w:rPr>
          <w:t>132</w:t>
        </w:r>
        <w:r>
          <w:rPr>
            <w:noProof/>
            <w:webHidden/>
          </w:rPr>
          <w:fldChar w:fldCharType="end"/>
        </w:r>
      </w:hyperlink>
    </w:p>
    <w:p w14:paraId="4C445AD4" w14:textId="51DDFEE2"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36" w:history="1">
        <w:r w:rsidRPr="00995769">
          <w:rPr>
            <w:rStyle w:val="Hyperlink"/>
            <w:noProof/>
          </w:rPr>
          <w:t>4.2.2 Method</w:t>
        </w:r>
        <w:r>
          <w:rPr>
            <w:noProof/>
            <w:webHidden/>
          </w:rPr>
          <w:tab/>
        </w:r>
        <w:r>
          <w:rPr>
            <w:noProof/>
            <w:webHidden/>
          </w:rPr>
          <w:fldChar w:fldCharType="begin"/>
        </w:r>
        <w:r>
          <w:rPr>
            <w:noProof/>
            <w:webHidden/>
          </w:rPr>
          <w:instrText xml:space="preserve"> PAGEREF _Toc103344736 \h </w:instrText>
        </w:r>
        <w:r>
          <w:rPr>
            <w:noProof/>
            <w:webHidden/>
          </w:rPr>
        </w:r>
        <w:r>
          <w:rPr>
            <w:noProof/>
            <w:webHidden/>
          </w:rPr>
          <w:fldChar w:fldCharType="separate"/>
        </w:r>
        <w:r>
          <w:rPr>
            <w:noProof/>
            <w:webHidden/>
          </w:rPr>
          <w:t>132</w:t>
        </w:r>
        <w:r>
          <w:rPr>
            <w:noProof/>
            <w:webHidden/>
          </w:rPr>
          <w:fldChar w:fldCharType="end"/>
        </w:r>
      </w:hyperlink>
    </w:p>
    <w:p w14:paraId="755D550C" w14:textId="1AE6C312"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37" w:history="1">
        <w:r w:rsidRPr="00995769">
          <w:rPr>
            <w:rStyle w:val="Hyperlink"/>
            <w:bCs/>
            <w:noProof/>
          </w:rPr>
          <w:t>4.2.2.1</w:t>
        </w:r>
        <w:r w:rsidRPr="00995769">
          <w:rPr>
            <w:rStyle w:val="Hyperlink"/>
            <w:noProof/>
          </w:rPr>
          <w:t xml:space="preserve"> Participants</w:t>
        </w:r>
        <w:r>
          <w:rPr>
            <w:rStyle w:val="Hyperlink"/>
            <w:noProof/>
          </w:rPr>
          <w:t xml:space="preserve"> …………………………………………………………………...</w:t>
        </w:r>
        <w:r>
          <w:rPr>
            <w:noProof/>
            <w:webHidden/>
          </w:rPr>
          <w:fldChar w:fldCharType="begin"/>
        </w:r>
        <w:r>
          <w:rPr>
            <w:noProof/>
            <w:webHidden/>
          </w:rPr>
          <w:instrText xml:space="preserve"> PAGEREF _Toc103344737 \h </w:instrText>
        </w:r>
        <w:r>
          <w:rPr>
            <w:noProof/>
            <w:webHidden/>
          </w:rPr>
        </w:r>
        <w:r>
          <w:rPr>
            <w:noProof/>
            <w:webHidden/>
          </w:rPr>
          <w:fldChar w:fldCharType="separate"/>
        </w:r>
        <w:r>
          <w:rPr>
            <w:noProof/>
            <w:webHidden/>
          </w:rPr>
          <w:t>132</w:t>
        </w:r>
        <w:r>
          <w:rPr>
            <w:noProof/>
            <w:webHidden/>
          </w:rPr>
          <w:fldChar w:fldCharType="end"/>
        </w:r>
      </w:hyperlink>
    </w:p>
    <w:p w14:paraId="1894ABFE" w14:textId="74B55B8B"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38" w:history="1">
        <w:r w:rsidRPr="00995769">
          <w:rPr>
            <w:rStyle w:val="Hyperlink"/>
            <w:bCs/>
            <w:noProof/>
          </w:rPr>
          <w:t>4.2.2.2</w:t>
        </w:r>
        <w:r w:rsidRPr="00995769">
          <w:rPr>
            <w:rStyle w:val="Hyperlink"/>
            <w:noProof/>
          </w:rPr>
          <w:t xml:space="preserve"> Procedure</w:t>
        </w:r>
        <w:r>
          <w:rPr>
            <w:rStyle w:val="Hyperlink"/>
            <w:noProof/>
          </w:rPr>
          <w:t xml:space="preserve"> ……………………………………………………………………..</w:t>
        </w:r>
        <w:r>
          <w:rPr>
            <w:noProof/>
            <w:webHidden/>
          </w:rPr>
          <w:fldChar w:fldCharType="begin"/>
        </w:r>
        <w:r>
          <w:rPr>
            <w:noProof/>
            <w:webHidden/>
          </w:rPr>
          <w:instrText xml:space="preserve"> PAGEREF _Toc103344738 \h </w:instrText>
        </w:r>
        <w:r>
          <w:rPr>
            <w:noProof/>
            <w:webHidden/>
          </w:rPr>
        </w:r>
        <w:r>
          <w:rPr>
            <w:noProof/>
            <w:webHidden/>
          </w:rPr>
          <w:fldChar w:fldCharType="separate"/>
        </w:r>
        <w:r>
          <w:rPr>
            <w:noProof/>
            <w:webHidden/>
          </w:rPr>
          <w:t>132</w:t>
        </w:r>
        <w:r>
          <w:rPr>
            <w:noProof/>
            <w:webHidden/>
          </w:rPr>
          <w:fldChar w:fldCharType="end"/>
        </w:r>
      </w:hyperlink>
    </w:p>
    <w:p w14:paraId="1A96E1DA" w14:textId="407A4E9E"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39" w:history="1">
        <w:r w:rsidRPr="00995769">
          <w:rPr>
            <w:rStyle w:val="Hyperlink"/>
            <w:bCs/>
            <w:noProof/>
          </w:rPr>
          <w:t>4.2.2.3</w:t>
        </w:r>
        <w:r w:rsidRPr="00995769">
          <w:rPr>
            <w:rStyle w:val="Hyperlink"/>
            <w:noProof/>
          </w:rPr>
          <w:t xml:space="preserve"> Data analysis</w:t>
        </w:r>
        <w:r>
          <w:rPr>
            <w:rStyle w:val="Hyperlink"/>
            <w:noProof/>
          </w:rPr>
          <w:t xml:space="preserve"> ………………………………………………………………….</w:t>
        </w:r>
        <w:r>
          <w:rPr>
            <w:noProof/>
            <w:webHidden/>
          </w:rPr>
          <w:fldChar w:fldCharType="begin"/>
        </w:r>
        <w:r>
          <w:rPr>
            <w:noProof/>
            <w:webHidden/>
          </w:rPr>
          <w:instrText xml:space="preserve"> PAGEREF _Toc103344739 \h </w:instrText>
        </w:r>
        <w:r>
          <w:rPr>
            <w:noProof/>
            <w:webHidden/>
          </w:rPr>
        </w:r>
        <w:r>
          <w:rPr>
            <w:noProof/>
            <w:webHidden/>
          </w:rPr>
          <w:fldChar w:fldCharType="separate"/>
        </w:r>
        <w:r>
          <w:rPr>
            <w:noProof/>
            <w:webHidden/>
          </w:rPr>
          <w:t>133</w:t>
        </w:r>
        <w:r>
          <w:rPr>
            <w:noProof/>
            <w:webHidden/>
          </w:rPr>
          <w:fldChar w:fldCharType="end"/>
        </w:r>
      </w:hyperlink>
    </w:p>
    <w:p w14:paraId="296332FA" w14:textId="3D457C6E"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40" w:history="1">
        <w:r w:rsidRPr="00995769">
          <w:rPr>
            <w:rStyle w:val="Hyperlink"/>
            <w:bCs/>
            <w:noProof/>
          </w:rPr>
          <w:t>4.2.2.4</w:t>
        </w:r>
        <w:r w:rsidRPr="00995769">
          <w:rPr>
            <w:rStyle w:val="Hyperlink"/>
            <w:noProof/>
          </w:rPr>
          <w:t xml:space="preserve"> The fixation, SP, and saccadic eye movement behaviours of RE and LE were compared when they were recorded binocularly</w:t>
        </w:r>
        <w:r w:rsidR="00260178">
          <w:rPr>
            <w:rStyle w:val="Hyperlink"/>
            <w:noProof/>
          </w:rPr>
          <w:t xml:space="preserve"> ……………………………………..</w:t>
        </w:r>
        <w:r>
          <w:rPr>
            <w:noProof/>
            <w:webHidden/>
          </w:rPr>
          <w:fldChar w:fldCharType="begin"/>
        </w:r>
        <w:r>
          <w:rPr>
            <w:noProof/>
            <w:webHidden/>
          </w:rPr>
          <w:instrText xml:space="preserve"> PAGEREF _Toc103344740 \h </w:instrText>
        </w:r>
        <w:r>
          <w:rPr>
            <w:noProof/>
            <w:webHidden/>
          </w:rPr>
        </w:r>
        <w:r>
          <w:rPr>
            <w:noProof/>
            <w:webHidden/>
          </w:rPr>
          <w:fldChar w:fldCharType="separate"/>
        </w:r>
        <w:r>
          <w:rPr>
            <w:noProof/>
            <w:webHidden/>
          </w:rPr>
          <w:t>134</w:t>
        </w:r>
        <w:r>
          <w:rPr>
            <w:noProof/>
            <w:webHidden/>
          </w:rPr>
          <w:fldChar w:fldCharType="end"/>
        </w:r>
      </w:hyperlink>
    </w:p>
    <w:p w14:paraId="5DA75EEF" w14:textId="23C15FB4"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41" w:history="1">
        <w:r w:rsidRPr="00995769">
          <w:rPr>
            <w:rStyle w:val="Hyperlink"/>
            <w:noProof/>
          </w:rPr>
          <w:t>4.2.3 Discussion and conclusion</w:t>
        </w:r>
        <w:r>
          <w:rPr>
            <w:noProof/>
            <w:webHidden/>
          </w:rPr>
          <w:tab/>
        </w:r>
        <w:r>
          <w:rPr>
            <w:noProof/>
            <w:webHidden/>
          </w:rPr>
          <w:fldChar w:fldCharType="begin"/>
        </w:r>
        <w:r>
          <w:rPr>
            <w:noProof/>
            <w:webHidden/>
          </w:rPr>
          <w:instrText xml:space="preserve"> PAGEREF _Toc103344741 \h </w:instrText>
        </w:r>
        <w:r>
          <w:rPr>
            <w:noProof/>
            <w:webHidden/>
          </w:rPr>
        </w:r>
        <w:r>
          <w:rPr>
            <w:noProof/>
            <w:webHidden/>
          </w:rPr>
          <w:fldChar w:fldCharType="separate"/>
        </w:r>
        <w:r>
          <w:rPr>
            <w:noProof/>
            <w:webHidden/>
          </w:rPr>
          <w:t>136</w:t>
        </w:r>
        <w:r>
          <w:rPr>
            <w:noProof/>
            <w:webHidden/>
          </w:rPr>
          <w:fldChar w:fldCharType="end"/>
        </w:r>
      </w:hyperlink>
    </w:p>
    <w:p w14:paraId="78F1E6EA" w14:textId="3862860F"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742" w:history="1">
        <w:r w:rsidRPr="00995769">
          <w:rPr>
            <w:rStyle w:val="Hyperlink"/>
            <w:bCs/>
          </w:rPr>
          <w:t>Chapter 5:</w:t>
        </w:r>
        <w:r w:rsidRPr="00995769">
          <w:rPr>
            <w:rStyle w:val="Hyperlink"/>
          </w:rPr>
          <w:t xml:space="preserve"> Eye movements in recent-onset ONP.</w:t>
        </w:r>
        <w:r>
          <w:rPr>
            <w:webHidden/>
          </w:rPr>
          <w:tab/>
        </w:r>
        <w:r>
          <w:rPr>
            <w:webHidden/>
          </w:rPr>
          <w:fldChar w:fldCharType="begin"/>
        </w:r>
        <w:r>
          <w:rPr>
            <w:webHidden/>
          </w:rPr>
          <w:instrText xml:space="preserve"> PAGEREF _Toc103344742 \h </w:instrText>
        </w:r>
        <w:r>
          <w:rPr>
            <w:webHidden/>
          </w:rPr>
        </w:r>
        <w:r>
          <w:rPr>
            <w:webHidden/>
          </w:rPr>
          <w:fldChar w:fldCharType="separate"/>
        </w:r>
        <w:r>
          <w:rPr>
            <w:webHidden/>
          </w:rPr>
          <w:t>138</w:t>
        </w:r>
        <w:r>
          <w:rPr>
            <w:webHidden/>
          </w:rPr>
          <w:fldChar w:fldCharType="end"/>
        </w:r>
      </w:hyperlink>
    </w:p>
    <w:p w14:paraId="73349504" w14:textId="5CC7E845"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43" w:history="1">
        <w:r w:rsidRPr="00995769">
          <w:rPr>
            <w:rStyle w:val="Hyperlink"/>
            <w:noProof/>
          </w:rPr>
          <w:t>5.1 Experiment 4:  Monitoring eye movements of recent onset ONP patients using a high-resolution eye movement recorder.</w:t>
        </w:r>
        <w:r>
          <w:rPr>
            <w:noProof/>
            <w:webHidden/>
          </w:rPr>
          <w:tab/>
        </w:r>
        <w:r>
          <w:rPr>
            <w:noProof/>
            <w:webHidden/>
          </w:rPr>
          <w:fldChar w:fldCharType="begin"/>
        </w:r>
        <w:r>
          <w:rPr>
            <w:noProof/>
            <w:webHidden/>
          </w:rPr>
          <w:instrText xml:space="preserve"> PAGEREF _Toc103344743 \h </w:instrText>
        </w:r>
        <w:r>
          <w:rPr>
            <w:noProof/>
            <w:webHidden/>
          </w:rPr>
        </w:r>
        <w:r>
          <w:rPr>
            <w:noProof/>
            <w:webHidden/>
          </w:rPr>
          <w:fldChar w:fldCharType="separate"/>
        </w:r>
        <w:r>
          <w:rPr>
            <w:noProof/>
            <w:webHidden/>
          </w:rPr>
          <w:t>138</w:t>
        </w:r>
        <w:r>
          <w:rPr>
            <w:noProof/>
            <w:webHidden/>
          </w:rPr>
          <w:fldChar w:fldCharType="end"/>
        </w:r>
      </w:hyperlink>
    </w:p>
    <w:p w14:paraId="4345BDF4" w14:textId="21635D5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44" w:history="1">
        <w:r w:rsidRPr="00995769">
          <w:rPr>
            <w:rStyle w:val="Hyperlink"/>
            <w:noProof/>
          </w:rPr>
          <w:t>5.1.1 Introduction</w:t>
        </w:r>
        <w:r>
          <w:rPr>
            <w:noProof/>
            <w:webHidden/>
          </w:rPr>
          <w:tab/>
        </w:r>
        <w:r>
          <w:rPr>
            <w:noProof/>
            <w:webHidden/>
          </w:rPr>
          <w:fldChar w:fldCharType="begin"/>
        </w:r>
        <w:r>
          <w:rPr>
            <w:noProof/>
            <w:webHidden/>
          </w:rPr>
          <w:instrText xml:space="preserve"> PAGEREF _Toc103344744 \h </w:instrText>
        </w:r>
        <w:r>
          <w:rPr>
            <w:noProof/>
            <w:webHidden/>
          </w:rPr>
        </w:r>
        <w:r>
          <w:rPr>
            <w:noProof/>
            <w:webHidden/>
          </w:rPr>
          <w:fldChar w:fldCharType="separate"/>
        </w:r>
        <w:r>
          <w:rPr>
            <w:noProof/>
            <w:webHidden/>
          </w:rPr>
          <w:t>138</w:t>
        </w:r>
        <w:r>
          <w:rPr>
            <w:noProof/>
            <w:webHidden/>
          </w:rPr>
          <w:fldChar w:fldCharType="end"/>
        </w:r>
      </w:hyperlink>
    </w:p>
    <w:p w14:paraId="65950B16" w14:textId="4FC8618E"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45" w:history="1">
        <w:r w:rsidRPr="00995769">
          <w:rPr>
            <w:rStyle w:val="Hyperlink"/>
            <w:noProof/>
          </w:rPr>
          <w:t>5.1.2 Aims of the study</w:t>
        </w:r>
        <w:r>
          <w:rPr>
            <w:noProof/>
            <w:webHidden/>
          </w:rPr>
          <w:tab/>
        </w:r>
        <w:r>
          <w:rPr>
            <w:noProof/>
            <w:webHidden/>
          </w:rPr>
          <w:fldChar w:fldCharType="begin"/>
        </w:r>
        <w:r>
          <w:rPr>
            <w:noProof/>
            <w:webHidden/>
          </w:rPr>
          <w:instrText xml:space="preserve"> PAGEREF _Toc103344745 \h </w:instrText>
        </w:r>
        <w:r>
          <w:rPr>
            <w:noProof/>
            <w:webHidden/>
          </w:rPr>
        </w:r>
        <w:r>
          <w:rPr>
            <w:noProof/>
            <w:webHidden/>
          </w:rPr>
          <w:fldChar w:fldCharType="separate"/>
        </w:r>
        <w:r>
          <w:rPr>
            <w:noProof/>
            <w:webHidden/>
          </w:rPr>
          <w:t>139</w:t>
        </w:r>
        <w:r>
          <w:rPr>
            <w:noProof/>
            <w:webHidden/>
          </w:rPr>
          <w:fldChar w:fldCharType="end"/>
        </w:r>
      </w:hyperlink>
    </w:p>
    <w:p w14:paraId="21D735D8" w14:textId="23F9BB22"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46" w:history="1">
        <w:r w:rsidRPr="00995769">
          <w:rPr>
            <w:rStyle w:val="Hyperlink"/>
            <w:noProof/>
          </w:rPr>
          <w:t>5.2 Method</w:t>
        </w:r>
        <w:r>
          <w:rPr>
            <w:noProof/>
            <w:webHidden/>
          </w:rPr>
          <w:tab/>
        </w:r>
        <w:r>
          <w:rPr>
            <w:noProof/>
            <w:webHidden/>
          </w:rPr>
          <w:fldChar w:fldCharType="begin"/>
        </w:r>
        <w:r>
          <w:rPr>
            <w:noProof/>
            <w:webHidden/>
          </w:rPr>
          <w:instrText xml:space="preserve"> PAGEREF _Toc103344746 \h </w:instrText>
        </w:r>
        <w:r>
          <w:rPr>
            <w:noProof/>
            <w:webHidden/>
          </w:rPr>
        </w:r>
        <w:r>
          <w:rPr>
            <w:noProof/>
            <w:webHidden/>
          </w:rPr>
          <w:fldChar w:fldCharType="separate"/>
        </w:r>
        <w:r>
          <w:rPr>
            <w:noProof/>
            <w:webHidden/>
          </w:rPr>
          <w:t>140</w:t>
        </w:r>
        <w:r>
          <w:rPr>
            <w:noProof/>
            <w:webHidden/>
          </w:rPr>
          <w:fldChar w:fldCharType="end"/>
        </w:r>
      </w:hyperlink>
    </w:p>
    <w:p w14:paraId="583953B1" w14:textId="3F43BA0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47" w:history="1">
        <w:r w:rsidRPr="00995769">
          <w:rPr>
            <w:rStyle w:val="Hyperlink"/>
            <w:noProof/>
          </w:rPr>
          <w:t>5.2.1 Ethical approval</w:t>
        </w:r>
        <w:r>
          <w:rPr>
            <w:noProof/>
            <w:webHidden/>
          </w:rPr>
          <w:tab/>
        </w:r>
        <w:r>
          <w:rPr>
            <w:noProof/>
            <w:webHidden/>
          </w:rPr>
          <w:fldChar w:fldCharType="begin"/>
        </w:r>
        <w:r>
          <w:rPr>
            <w:noProof/>
            <w:webHidden/>
          </w:rPr>
          <w:instrText xml:space="preserve"> PAGEREF _Toc103344747 \h </w:instrText>
        </w:r>
        <w:r>
          <w:rPr>
            <w:noProof/>
            <w:webHidden/>
          </w:rPr>
        </w:r>
        <w:r>
          <w:rPr>
            <w:noProof/>
            <w:webHidden/>
          </w:rPr>
          <w:fldChar w:fldCharType="separate"/>
        </w:r>
        <w:r>
          <w:rPr>
            <w:noProof/>
            <w:webHidden/>
          </w:rPr>
          <w:t>140</w:t>
        </w:r>
        <w:r>
          <w:rPr>
            <w:noProof/>
            <w:webHidden/>
          </w:rPr>
          <w:fldChar w:fldCharType="end"/>
        </w:r>
      </w:hyperlink>
    </w:p>
    <w:p w14:paraId="2A4C9E4B" w14:textId="5404010B"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48" w:history="1">
        <w:r w:rsidRPr="00995769">
          <w:rPr>
            <w:rStyle w:val="Hyperlink"/>
            <w:noProof/>
          </w:rPr>
          <w:t>5.2.2 Patients</w:t>
        </w:r>
        <w:r>
          <w:rPr>
            <w:noProof/>
            <w:webHidden/>
          </w:rPr>
          <w:tab/>
        </w:r>
        <w:r>
          <w:rPr>
            <w:noProof/>
            <w:webHidden/>
          </w:rPr>
          <w:fldChar w:fldCharType="begin"/>
        </w:r>
        <w:r>
          <w:rPr>
            <w:noProof/>
            <w:webHidden/>
          </w:rPr>
          <w:instrText xml:space="preserve"> PAGEREF _Toc103344748 \h </w:instrText>
        </w:r>
        <w:r>
          <w:rPr>
            <w:noProof/>
            <w:webHidden/>
          </w:rPr>
        </w:r>
        <w:r>
          <w:rPr>
            <w:noProof/>
            <w:webHidden/>
          </w:rPr>
          <w:fldChar w:fldCharType="separate"/>
        </w:r>
        <w:r>
          <w:rPr>
            <w:noProof/>
            <w:webHidden/>
          </w:rPr>
          <w:t>140</w:t>
        </w:r>
        <w:r>
          <w:rPr>
            <w:noProof/>
            <w:webHidden/>
          </w:rPr>
          <w:fldChar w:fldCharType="end"/>
        </w:r>
      </w:hyperlink>
    </w:p>
    <w:p w14:paraId="586179C9" w14:textId="0D514E74"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49" w:history="1">
        <w:r w:rsidRPr="00995769">
          <w:rPr>
            <w:rStyle w:val="Hyperlink"/>
            <w:noProof/>
          </w:rPr>
          <w:t>5.2.3 Data analysis</w:t>
        </w:r>
        <w:r>
          <w:rPr>
            <w:noProof/>
            <w:webHidden/>
          </w:rPr>
          <w:tab/>
        </w:r>
        <w:r>
          <w:rPr>
            <w:noProof/>
            <w:webHidden/>
          </w:rPr>
          <w:fldChar w:fldCharType="begin"/>
        </w:r>
        <w:r>
          <w:rPr>
            <w:noProof/>
            <w:webHidden/>
          </w:rPr>
          <w:instrText xml:space="preserve"> PAGEREF _Toc103344749 \h </w:instrText>
        </w:r>
        <w:r>
          <w:rPr>
            <w:noProof/>
            <w:webHidden/>
          </w:rPr>
        </w:r>
        <w:r>
          <w:rPr>
            <w:noProof/>
            <w:webHidden/>
          </w:rPr>
          <w:fldChar w:fldCharType="separate"/>
        </w:r>
        <w:r>
          <w:rPr>
            <w:noProof/>
            <w:webHidden/>
          </w:rPr>
          <w:t>142</w:t>
        </w:r>
        <w:r>
          <w:rPr>
            <w:noProof/>
            <w:webHidden/>
          </w:rPr>
          <w:fldChar w:fldCharType="end"/>
        </w:r>
      </w:hyperlink>
    </w:p>
    <w:p w14:paraId="2E8A0C5B" w14:textId="52D654E6"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50" w:history="1">
        <w:r w:rsidRPr="00995769">
          <w:rPr>
            <w:rStyle w:val="Hyperlink"/>
            <w:noProof/>
          </w:rPr>
          <w:t>5.3 Results and Discussion</w:t>
        </w:r>
        <w:r>
          <w:rPr>
            <w:noProof/>
            <w:webHidden/>
          </w:rPr>
          <w:tab/>
        </w:r>
        <w:r>
          <w:rPr>
            <w:noProof/>
            <w:webHidden/>
          </w:rPr>
          <w:fldChar w:fldCharType="begin"/>
        </w:r>
        <w:r>
          <w:rPr>
            <w:noProof/>
            <w:webHidden/>
          </w:rPr>
          <w:instrText xml:space="preserve"> PAGEREF _Toc103344750 \h </w:instrText>
        </w:r>
        <w:r>
          <w:rPr>
            <w:noProof/>
            <w:webHidden/>
          </w:rPr>
        </w:r>
        <w:r>
          <w:rPr>
            <w:noProof/>
            <w:webHidden/>
          </w:rPr>
          <w:fldChar w:fldCharType="separate"/>
        </w:r>
        <w:r>
          <w:rPr>
            <w:noProof/>
            <w:webHidden/>
          </w:rPr>
          <w:t>145</w:t>
        </w:r>
        <w:r>
          <w:rPr>
            <w:noProof/>
            <w:webHidden/>
          </w:rPr>
          <w:fldChar w:fldCharType="end"/>
        </w:r>
      </w:hyperlink>
    </w:p>
    <w:p w14:paraId="0108CDF6" w14:textId="6AF74696"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51" w:history="1">
        <w:r w:rsidRPr="00995769">
          <w:rPr>
            <w:rStyle w:val="Hyperlink"/>
            <w:noProof/>
          </w:rPr>
          <w:t>5.3.1 Fixation eye movements of ONP patients</w:t>
        </w:r>
        <w:r>
          <w:rPr>
            <w:noProof/>
            <w:webHidden/>
          </w:rPr>
          <w:tab/>
        </w:r>
        <w:r>
          <w:rPr>
            <w:noProof/>
            <w:webHidden/>
          </w:rPr>
          <w:fldChar w:fldCharType="begin"/>
        </w:r>
        <w:r>
          <w:rPr>
            <w:noProof/>
            <w:webHidden/>
          </w:rPr>
          <w:instrText xml:space="preserve"> PAGEREF _Toc103344751 \h </w:instrText>
        </w:r>
        <w:r>
          <w:rPr>
            <w:noProof/>
            <w:webHidden/>
          </w:rPr>
        </w:r>
        <w:r>
          <w:rPr>
            <w:noProof/>
            <w:webHidden/>
          </w:rPr>
          <w:fldChar w:fldCharType="separate"/>
        </w:r>
        <w:r>
          <w:rPr>
            <w:noProof/>
            <w:webHidden/>
          </w:rPr>
          <w:t>145</w:t>
        </w:r>
        <w:r>
          <w:rPr>
            <w:noProof/>
            <w:webHidden/>
          </w:rPr>
          <w:fldChar w:fldCharType="end"/>
        </w:r>
      </w:hyperlink>
    </w:p>
    <w:p w14:paraId="49D2141C" w14:textId="0F6BB466"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52" w:history="1">
        <w:r w:rsidRPr="00995769">
          <w:rPr>
            <w:rStyle w:val="Hyperlink"/>
            <w:bCs/>
            <w:noProof/>
            <w:lang w:eastAsia="en-MY"/>
          </w:rPr>
          <w:t>5.3.1.1</w:t>
        </w:r>
        <w:r w:rsidRPr="00995769">
          <w:rPr>
            <w:rStyle w:val="Hyperlink"/>
            <w:noProof/>
            <w:lang w:eastAsia="en-MY"/>
          </w:rPr>
          <w:t xml:space="preserve"> Independent samples t-tests comparing affected and unaffected eyes</w:t>
        </w:r>
        <w:r w:rsidR="00260178">
          <w:rPr>
            <w:rStyle w:val="Hyperlink"/>
            <w:noProof/>
            <w:lang w:eastAsia="en-MY"/>
          </w:rPr>
          <w:t xml:space="preserve"> ……….</w:t>
        </w:r>
        <w:r>
          <w:rPr>
            <w:noProof/>
            <w:webHidden/>
          </w:rPr>
          <w:fldChar w:fldCharType="begin"/>
        </w:r>
        <w:r>
          <w:rPr>
            <w:noProof/>
            <w:webHidden/>
          </w:rPr>
          <w:instrText xml:space="preserve"> PAGEREF _Toc103344752 \h </w:instrText>
        </w:r>
        <w:r>
          <w:rPr>
            <w:noProof/>
            <w:webHidden/>
          </w:rPr>
        </w:r>
        <w:r>
          <w:rPr>
            <w:noProof/>
            <w:webHidden/>
          </w:rPr>
          <w:fldChar w:fldCharType="separate"/>
        </w:r>
        <w:r>
          <w:rPr>
            <w:noProof/>
            <w:webHidden/>
          </w:rPr>
          <w:t>145</w:t>
        </w:r>
        <w:r>
          <w:rPr>
            <w:noProof/>
            <w:webHidden/>
          </w:rPr>
          <w:fldChar w:fldCharType="end"/>
        </w:r>
      </w:hyperlink>
    </w:p>
    <w:p w14:paraId="1B5A436D" w14:textId="37382A8B"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53" w:history="1">
        <w:r w:rsidRPr="00995769">
          <w:rPr>
            <w:rStyle w:val="Hyperlink"/>
            <w:bCs/>
            <w:noProof/>
          </w:rPr>
          <w:t>5.3.1.2</w:t>
        </w:r>
        <w:r w:rsidRPr="00995769">
          <w:rPr>
            <w:rStyle w:val="Hyperlink"/>
            <w:noProof/>
          </w:rPr>
          <w:t xml:space="preserve"> Linear regression to predict changes of percentage DT across time</w:t>
        </w:r>
        <w:r w:rsidR="00260178">
          <w:rPr>
            <w:rStyle w:val="Hyperlink"/>
            <w:noProof/>
          </w:rPr>
          <w:t xml:space="preserve"> …………</w:t>
        </w:r>
        <w:r>
          <w:rPr>
            <w:noProof/>
            <w:webHidden/>
          </w:rPr>
          <w:fldChar w:fldCharType="begin"/>
        </w:r>
        <w:r>
          <w:rPr>
            <w:noProof/>
            <w:webHidden/>
          </w:rPr>
          <w:instrText xml:space="preserve"> PAGEREF _Toc103344753 \h </w:instrText>
        </w:r>
        <w:r>
          <w:rPr>
            <w:noProof/>
            <w:webHidden/>
          </w:rPr>
        </w:r>
        <w:r>
          <w:rPr>
            <w:noProof/>
            <w:webHidden/>
          </w:rPr>
          <w:fldChar w:fldCharType="separate"/>
        </w:r>
        <w:r>
          <w:rPr>
            <w:noProof/>
            <w:webHidden/>
          </w:rPr>
          <w:t>146</w:t>
        </w:r>
        <w:r>
          <w:rPr>
            <w:noProof/>
            <w:webHidden/>
          </w:rPr>
          <w:fldChar w:fldCharType="end"/>
        </w:r>
      </w:hyperlink>
    </w:p>
    <w:p w14:paraId="70D975F3" w14:textId="185335BC"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54" w:history="1">
        <w:r w:rsidRPr="00995769">
          <w:rPr>
            <w:rStyle w:val="Hyperlink"/>
            <w:noProof/>
          </w:rPr>
          <w:t>5.3.2 Horizontal smooth pursuits of ONP patients</w:t>
        </w:r>
        <w:r>
          <w:rPr>
            <w:noProof/>
            <w:webHidden/>
          </w:rPr>
          <w:tab/>
        </w:r>
        <w:r>
          <w:rPr>
            <w:noProof/>
            <w:webHidden/>
          </w:rPr>
          <w:fldChar w:fldCharType="begin"/>
        </w:r>
        <w:r>
          <w:rPr>
            <w:noProof/>
            <w:webHidden/>
          </w:rPr>
          <w:instrText xml:space="preserve"> PAGEREF _Toc103344754 \h </w:instrText>
        </w:r>
        <w:r>
          <w:rPr>
            <w:noProof/>
            <w:webHidden/>
          </w:rPr>
        </w:r>
        <w:r>
          <w:rPr>
            <w:noProof/>
            <w:webHidden/>
          </w:rPr>
          <w:fldChar w:fldCharType="separate"/>
        </w:r>
        <w:r>
          <w:rPr>
            <w:noProof/>
            <w:webHidden/>
          </w:rPr>
          <w:t>147</w:t>
        </w:r>
        <w:r>
          <w:rPr>
            <w:noProof/>
            <w:webHidden/>
          </w:rPr>
          <w:fldChar w:fldCharType="end"/>
        </w:r>
      </w:hyperlink>
    </w:p>
    <w:p w14:paraId="618EE4CF" w14:textId="7C1678A3"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55" w:history="1">
        <w:r w:rsidRPr="00995769">
          <w:rPr>
            <w:rStyle w:val="Hyperlink"/>
            <w:bCs/>
            <w:noProof/>
            <w:lang w:eastAsia="en-MY"/>
          </w:rPr>
          <w:t>5.3.2.1</w:t>
        </w:r>
        <w:r w:rsidRPr="00995769">
          <w:rPr>
            <w:rStyle w:val="Hyperlink"/>
            <w:noProof/>
            <w:lang w:eastAsia="en-MY"/>
          </w:rPr>
          <w:t xml:space="preserve"> Independent samples t-tests comparing affected and unaffected eyes</w:t>
        </w:r>
        <w:r w:rsidR="00260178">
          <w:rPr>
            <w:rStyle w:val="Hyperlink"/>
            <w:noProof/>
            <w:lang w:eastAsia="en-MY"/>
          </w:rPr>
          <w:t xml:space="preserve"> ……….</w:t>
        </w:r>
        <w:r>
          <w:rPr>
            <w:noProof/>
            <w:webHidden/>
          </w:rPr>
          <w:fldChar w:fldCharType="begin"/>
        </w:r>
        <w:r>
          <w:rPr>
            <w:noProof/>
            <w:webHidden/>
          </w:rPr>
          <w:instrText xml:space="preserve"> PAGEREF _Toc103344755 \h </w:instrText>
        </w:r>
        <w:r>
          <w:rPr>
            <w:noProof/>
            <w:webHidden/>
          </w:rPr>
        </w:r>
        <w:r>
          <w:rPr>
            <w:noProof/>
            <w:webHidden/>
          </w:rPr>
          <w:fldChar w:fldCharType="separate"/>
        </w:r>
        <w:r>
          <w:rPr>
            <w:noProof/>
            <w:webHidden/>
          </w:rPr>
          <w:t>147</w:t>
        </w:r>
        <w:r>
          <w:rPr>
            <w:noProof/>
            <w:webHidden/>
          </w:rPr>
          <w:fldChar w:fldCharType="end"/>
        </w:r>
      </w:hyperlink>
    </w:p>
    <w:p w14:paraId="41ECCB04" w14:textId="729C6051"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56" w:history="1">
        <w:r w:rsidRPr="00995769">
          <w:rPr>
            <w:rStyle w:val="Hyperlink"/>
            <w:bCs/>
            <w:noProof/>
          </w:rPr>
          <w:t>5.3.2.2</w:t>
        </w:r>
        <w:r w:rsidRPr="00995769">
          <w:rPr>
            <w:rStyle w:val="Hyperlink"/>
            <w:noProof/>
          </w:rPr>
          <w:t xml:space="preserve"> Two factor repeated-measures ANOVA</w:t>
        </w:r>
        <w:r w:rsidR="00260178">
          <w:rPr>
            <w:rStyle w:val="Hyperlink"/>
            <w:noProof/>
          </w:rPr>
          <w:t xml:space="preserve"> ……………………………………..</w:t>
        </w:r>
        <w:r>
          <w:rPr>
            <w:noProof/>
            <w:webHidden/>
          </w:rPr>
          <w:fldChar w:fldCharType="begin"/>
        </w:r>
        <w:r>
          <w:rPr>
            <w:noProof/>
            <w:webHidden/>
          </w:rPr>
          <w:instrText xml:space="preserve"> PAGEREF _Toc103344756 \h </w:instrText>
        </w:r>
        <w:r>
          <w:rPr>
            <w:noProof/>
            <w:webHidden/>
          </w:rPr>
        </w:r>
        <w:r>
          <w:rPr>
            <w:noProof/>
            <w:webHidden/>
          </w:rPr>
          <w:fldChar w:fldCharType="separate"/>
        </w:r>
        <w:r>
          <w:rPr>
            <w:noProof/>
            <w:webHidden/>
          </w:rPr>
          <w:t>148</w:t>
        </w:r>
        <w:r>
          <w:rPr>
            <w:noProof/>
            <w:webHidden/>
          </w:rPr>
          <w:fldChar w:fldCharType="end"/>
        </w:r>
      </w:hyperlink>
    </w:p>
    <w:p w14:paraId="34352EEC" w14:textId="00E51A16"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57" w:history="1">
        <w:r w:rsidRPr="00995769">
          <w:rPr>
            <w:rStyle w:val="Hyperlink"/>
            <w:bCs/>
            <w:noProof/>
          </w:rPr>
          <w:t>5.3.2.3</w:t>
        </w:r>
        <w:r w:rsidRPr="00995769">
          <w:rPr>
            <w:rStyle w:val="Hyperlink"/>
            <w:noProof/>
          </w:rPr>
          <w:t xml:space="preserve"> Linear regression to predict changes of eye movement with time</w:t>
        </w:r>
        <w:r w:rsidR="00260178">
          <w:rPr>
            <w:rStyle w:val="Hyperlink"/>
            <w:noProof/>
          </w:rPr>
          <w:t xml:space="preserve"> …………...</w:t>
        </w:r>
        <w:r>
          <w:rPr>
            <w:noProof/>
            <w:webHidden/>
          </w:rPr>
          <w:fldChar w:fldCharType="begin"/>
        </w:r>
        <w:r>
          <w:rPr>
            <w:noProof/>
            <w:webHidden/>
          </w:rPr>
          <w:instrText xml:space="preserve"> PAGEREF _Toc103344757 \h </w:instrText>
        </w:r>
        <w:r>
          <w:rPr>
            <w:noProof/>
            <w:webHidden/>
          </w:rPr>
        </w:r>
        <w:r>
          <w:rPr>
            <w:noProof/>
            <w:webHidden/>
          </w:rPr>
          <w:fldChar w:fldCharType="separate"/>
        </w:r>
        <w:r>
          <w:rPr>
            <w:noProof/>
            <w:webHidden/>
          </w:rPr>
          <w:t>149</w:t>
        </w:r>
        <w:r>
          <w:rPr>
            <w:noProof/>
            <w:webHidden/>
          </w:rPr>
          <w:fldChar w:fldCharType="end"/>
        </w:r>
      </w:hyperlink>
    </w:p>
    <w:p w14:paraId="7755DEBC" w14:textId="6DB2091D"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58" w:history="1">
        <w:r w:rsidRPr="00995769">
          <w:rPr>
            <w:rStyle w:val="Hyperlink"/>
            <w:bCs/>
            <w:noProof/>
          </w:rPr>
          <w:t>5.3.2.4</w:t>
        </w:r>
        <w:r w:rsidRPr="00995769">
          <w:rPr>
            <w:rStyle w:val="Hyperlink"/>
            <w:noProof/>
          </w:rPr>
          <w:t xml:space="preserve"> One-sample t-test to observe the recovery of eye movements</w:t>
        </w:r>
        <w:r w:rsidR="00260178">
          <w:rPr>
            <w:rStyle w:val="Hyperlink"/>
            <w:noProof/>
          </w:rPr>
          <w:t xml:space="preserve"> ……………….</w:t>
        </w:r>
        <w:r>
          <w:rPr>
            <w:noProof/>
            <w:webHidden/>
          </w:rPr>
          <w:fldChar w:fldCharType="begin"/>
        </w:r>
        <w:r>
          <w:rPr>
            <w:noProof/>
            <w:webHidden/>
          </w:rPr>
          <w:instrText xml:space="preserve"> PAGEREF _Toc103344758 \h </w:instrText>
        </w:r>
        <w:r>
          <w:rPr>
            <w:noProof/>
            <w:webHidden/>
          </w:rPr>
        </w:r>
        <w:r>
          <w:rPr>
            <w:noProof/>
            <w:webHidden/>
          </w:rPr>
          <w:fldChar w:fldCharType="separate"/>
        </w:r>
        <w:r>
          <w:rPr>
            <w:noProof/>
            <w:webHidden/>
          </w:rPr>
          <w:t>150</w:t>
        </w:r>
        <w:r>
          <w:rPr>
            <w:noProof/>
            <w:webHidden/>
          </w:rPr>
          <w:fldChar w:fldCharType="end"/>
        </w:r>
      </w:hyperlink>
    </w:p>
    <w:p w14:paraId="344ECBAF" w14:textId="5AD48823"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59" w:history="1">
        <w:r w:rsidRPr="00995769">
          <w:rPr>
            <w:rStyle w:val="Hyperlink"/>
            <w:noProof/>
          </w:rPr>
          <w:t>5.3.3 Vertical smooth pursuit of ONP patients</w:t>
        </w:r>
        <w:r>
          <w:rPr>
            <w:noProof/>
            <w:webHidden/>
          </w:rPr>
          <w:tab/>
        </w:r>
        <w:r>
          <w:rPr>
            <w:noProof/>
            <w:webHidden/>
          </w:rPr>
          <w:fldChar w:fldCharType="begin"/>
        </w:r>
        <w:r>
          <w:rPr>
            <w:noProof/>
            <w:webHidden/>
          </w:rPr>
          <w:instrText xml:space="preserve"> PAGEREF _Toc103344759 \h </w:instrText>
        </w:r>
        <w:r>
          <w:rPr>
            <w:noProof/>
            <w:webHidden/>
          </w:rPr>
        </w:r>
        <w:r>
          <w:rPr>
            <w:noProof/>
            <w:webHidden/>
          </w:rPr>
          <w:fldChar w:fldCharType="separate"/>
        </w:r>
        <w:r>
          <w:rPr>
            <w:noProof/>
            <w:webHidden/>
          </w:rPr>
          <w:t>151</w:t>
        </w:r>
        <w:r>
          <w:rPr>
            <w:noProof/>
            <w:webHidden/>
          </w:rPr>
          <w:fldChar w:fldCharType="end"/>
        </w:r>
      </w:hyperlink>
    </w:p>
    <w:p w14:paraId="4DE8B5F1" w14:textId="0A166FAE"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0" w:history="1">
        <w:r w:rsidRPr="00995769">
          <w:rPr>
            <w:rStyle w:val="Hyperlink"/>
            <w:bCs/>
            <w:noProof/>
            <w:lang w:eastAsia="en-MY"/>
          </w:rPr>
          <w:t>5.3.3.1</w:t>
        </w:r>
        <w:r w:rsidRPr="00995769">
          <w:rPr>
            <w:rStyle w:val="Hyperlink"/>
            <w:noProof/>
            <w:lang w:eastAsia="en-MY"/>
          </w:rPr>
          <w:t xml:space="preserve"> Independent samples t-tests comparing affected and unaffected eyes</w:t>
        </w:r>
        <w:r w:rsidR="00260178">
          <w:rPr>
            <w:rStyle w:val="Hyperlink"/>
            <w:noProof/>
            <w:lang w:eastAsia="en-MY"/>
          </w:rPr>
          <w:t xml:space="preserve"> ……….</w:t>
        </w:r>
        <w:r>
          <w:rPr>
            <w:noProof/>
            <w:webHidden/>
          </w:rPr>
          <w:fldChar w:fldCharType="begin"/>
        </w:r>
        <w:r>
          <w:rPr>
            <w:noProof/>
            <w:webHidden/>
          </w:rPr>
          <w:instrText xml:space="preserve"> PAGEREF _Toc103344760 \h </w:instrText>
        </w:r>
        <w:r>
          <w:rPr>
            <w:noProof/>
            <w:webHidden/>
          </w:rPr>
        </w:r>
        <w:r>
          <w:rPr>
            <w:noProof/>
            <w:webHidden/>
          </w:rPr>
          <w:fldChar w:fldCharType="separate"/>
        </w:r>
        <w:r>
          <w:rPr>
            <w:noProof/>
            <w:webHidden/>
          </w:rPr>
          <w:t>151</w:t>
        </w:r>
        <w:r>
          <w:rPr>
            <w:noProof/>
            <w:webHidden/>
          </w:rPr>
          <w:fldChar w:fldCharType="end"/>
        </w:r>
      </w:hyperlink>
    </w:p>
    <w:p w14:paraId="7398AF52" w14:textId="7DA03652"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1" w:history="1">
        <w:r w:rsidRPr="00995769">
          <w:rPr>
            <w:rStyle w:val="Hyperlink"/>
            <w:bCs/>
            <w:noProof/>
            <w:lang w:eastAsia="en-MY"/>
          </w:rPr>
          <w:t>5.3.3.2</w:t>
        </w:r>
        <w:r w:rsidRPr="00995769">
          <w:rPr>
            <w:rStyle w:val="Hyperlink"/>
            <w:noProof/>
          </w:rPr>
          <w:t xml:space="preserve"> Two factor repeated-measures ANOVA</w:t>
        </w:r>
        <w:r w:rsidR="00260178">
          <w:rPr>
            <w:rStyle w:val="Hyperlink"/>
            <w:noProof/>
          </w:rPr>
          <w:t xml:space="preserve"> ……………………………………..</w:t>
        </w:r>
        <w:r>
          <w:rPr>
            <w:noProof/>
            <w:webHidden/>
          </w:rPr>
          <w:fldChar w:fldCharType="begin"/>
        </w:r>
        <w:r>
          <w:rPr>
            <w:noProof/>
            <w:webHidden/>
          </w:rPr>
          <w:instrText xml:space="preserve"> PAGEREF _Toc103344761 \h </w:instrText>
        </w:r>
        <w:r>
          <w:rPr>
            <w:noProof/>
            <w:webHidden/>
          </w:rPr>
        </w:r>
        <w:r>
          <w:rPr>
            <w:noProof/>
            <w:webHidden/>
          </w:rPr>
          <w:fldChar w:fldCharType="separate"/>
        </w:r>
        <w:r>
          <w:rPr>
            <w:noProof/>
            <w:webHidden/>
          </w:rPr>
          <w:t>152</w:t>
        </w:r>
        <w:r>
          <w:rPr>
            <w:noProof/>
            <w:webHidden/>
          </w:rPr>
          <w:fldChar w:fldCharType="end"/>
        </w:r>
      </w:hyperlink>
    </w:p>
    <w:p w14:paraId="438AD5A6" w14:textId="574C7BF7"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2" w:history="1">
        <w:r w:rsidRPr="00995769">
          <w:rPr>
            <w:rStyle w:val="Hyperlink"/>
            <w:bCs/>
            <w:noProof/>
            <w:lang w:val="en-MY"/>
          </w:rPr>
          <w:t>5.3.3.3</w:t>
        </w:r>
        <w:r w:rsidRPr="00995769">
          <w:rPr>
            <w:rStyle w:val="Hyperlink"/>
            <w:noProof/>
          </w:rPr>
          <w:t xml:space="preserve"> Linear regression to predict changes of eye movement with time</w:t>
        </w:r>
        <w:r w:rsidR="00260178">
          <w:rPr>
            <w:rStyle w:val="Hyperlink"/>
            <w:noProof/>
          </w:rPr>
          <w:t xml:space="preserve"> …………...</w:t>
        </w:r>
        <w:r>
          <w:rPr>
            <w:noProof/>
            <w:webHidden/>
          </w:rPr>
          <w:fldChar w:fldCharType="begin"/>
        </w:r>
        <w:r>
          <w:rPr>
            <w:noProof/>
            <w:webHidden/>
          </w:rPr>
          <w:instrText xml:space="preserve"> PAGEREF _Toc103344762 \h </w:instrText>
        </w:r>
        <w:r>
          <w:rPr>
            <w:noProof/>
            <w:webHidden/>
          </w:rPr>
        </w:r>
        <w:r>
          <w:rPr>
            <w:noProof/>
            <w:webHidden/>
          </w:rPr>
          <w:fldChar w:fldCharType="separate"/>
        </w:r>
        <w:r>
          <w:rPr>
            <w:noProof/>
            <w:webHidden/>
          </w:rPr>
          <w:t>153</w:t>
        </w:r>
        <w:r>
          <w:rPr>
            <w:noProof/>
            <w:webHidden/>
          </w:rPr>
          <w:fldChar w:fldCharType="end"/>
        </w:r>
      </w:hyperlink>
    </w:p>
    <w:p w14:paraId="40331AB2" w14:textId="7762A7B0"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3" w:history="1">
        <w:r w:rsidRPr="00995769">
          <w:rPr>
            <w:rStyle w:val="Hyperlink"/>
            <w:bCs/>
            <w:noProof/>
            <w:lang w:eastAsia="en-MY"/>
          </w:rPr>
          <w:t>5.3.3.4</w:t>
        </w:r>
        <w:r w:rsidRPr="00995769">
          <w:rPr>
            <w:rStyle w:val="Hyperlink"/>
            <w:noProof/>
          </w:rPr>
          <w:t xml:space="preserve"> One-sample t-test to observe the recovery of eye movements</w:t>
        </w:r>
        <w:r w:rsidR="00260178">
          <w:rPr>
            <w:rStyle w:val="Hyperlink"/>
            <w:noProof/>
          </w:rPr>
          <w:t xml:space="preserve"> ……………….</w:t>
        </w:r>
        <w:r>
          <w:rPr>
            <w:noProof/>
            <w:webHidden/>
          </w:rPr>
          <w:fldChar w:fldCharType="begin"/>
        </w:r>
        <w:r>
          <w:rPr>
            <w:noProof/>
            <w:webHidden/>
          </w:rPr>
          <w:instrText xml:space="preserve"> PAGEREF _Toc103344763 \h </w:instrText>
        </w:r>
        <w:r>
          <w:rPr>
            <w:noProof/>
            <w:webHidden/>
          </w:rPr>
        </w:r>
        <w:r>
          <w:rPr>
            <w:noProof/>
            <w:webHidden/>
          </w:rPr>
          <w:fldChar w:fldCharType="separate"/>
        </w:r>
        <w:r>
          <w:rPr>
            <w:noProof/>
            <w:webHidden/>
          </w:rPr>
          <w:t>153</w:t>
        </w:r>
        <w:r>
          <w:rPr>
            <w:noProof/>
            <w:webHidden/>
          </w:rPr>
          <w:fldChar w:fldCharType="end"/>
        </w:r>
      </w:hyperlink>
    </w:p>
    <w:p w14:paraId="0393ECE5" w14:textId="17CDAE2F"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64" w:history="1">
        <w:r w:rsidRPr="00995769">
          <w:rPr>
            <w:rStyle w:val="Hyperlink"/>
            <w:noProof/>
          </w:rPr>
          <w:t>5.3.4 Horizontal saccadic eye movements of ONP patients</w:t>
        </w:r>
        <w:r>
          <w:rPr>
            <w:noProof/>
            <w:webHidden/>
          </w:rPr>
          <w:tab/>
        </w:r>
        <w:r>
          <w:rPr>
            <w:noProof/>
            <w:webHidden/>
          </w:rPr>
          <w:fldChar w:fldCharType="begin"/>
        </w:r>
        <w:r>
          <w:rPr>
            <w:noProof/>
            <w:webHidden/>
          </w:rPr>
          <w:instrText xml:space="preserve"> PAGEREF _Toc103344764 \h </w:instrText>
        </w:r>
        <w:r>
          <w:rPr>
            <w:noProof/>
            <w:webHidden/>
          </w:rPr>
        </w:r>
        <w:r>
          <w:rPr>
            <w:noProof/>
            <w:webHidden/>
          </w:rPr>
          <w:fldChar w:fldCharType="separate"/>
        </w:r>
        <w:r>
          <w:rPr>
            <w:noProof/>
            <w:webHidden/>
          </w:rPr>
          <w:t>154</w:t>
        </w:r>
        <w:r>
          <w:rPr>
            <w:noProof/>
            <w:webHidden/>
          </w:rPr>
          <w:fldChar w:fldCharType="end"/>
        </w:r>
      </w:hyperlink>
    </w:p>
    <w:p w14:paraId="5CF3B294" w14:textId="64E40D5F"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5" w:history="1">
        <w:r w:rsidRPr="00995769">
          <w:rPr>
            <w:rStyle w:val="Hyperlink"/>
            <w:bCs/>
            <w:noProof/>
          </w:rPr>
          <w:t>5.3.4.1</w:t>
        </w:r>
        <w:r w:rsidRPr="00995769">
          <w:rPr>
            <w:rStyle w:val="Hyperlink"/>
            <w:noProof/>
            <w:lang w:eastAsia="en-MY"/>
          </w:rPr>
          <w:t xml:space="preserve"> Independent samples t-tests comparing affected and unaffected eyes</w:t>
        </w:r>
        <w:r w:rsidR="00260178">
          <w:rPr>
            <w:rStyle w:val="Hyperlink"/>
            <w:noProof/>
            <w:lang w:eastAsia="en-MY"/>
          </w:rPr>
          <w:t xml:space="preserve"> ……….</w:t>
        </w:r>
        <w:r>
          <w:rPr>
            <w:noProof/>
            <w:webHidden/>
          </w:rPr>
          <w:fldChar w:fldCharType="begin"/>
        </w:r>
        <w:r>
          <w:rPr>
            <w:noProof/>
            <w:webHidden/>
          </w:rPr>
          <w:instrText xml:space="preserve"> PAGEREF _Toc103344765 \h </w:instrText>
        </w:r>
        <w:r>
          <w:rPr>
            <w:noProof/>
            <w:webHidden/>
          </w:rPr>
        </w:r>
        <w:r>
          <w:rPr>
            <w:noProof/>
            <w:webHidden/>
          </w:rPr>
          <w:fldChar w:fldCharType="separate"/>
        </w:r>
        <w:r>
          <w:rPr>
            <w:noProof/>
            <w:webHidden/>
          </w:rPr>
          <w:t>154</w:t>
        </w:r>
        <w:r>
          <w:rPr>
            <w:noProof/>
            <w:webHidden/>
          </w:rPr>
          <w:fldChar w:fldCharType="end"/>
        </w:r>
      </w:hyperlink>
    </w:p>
    <w:p w14:paraId="0C16CA1C" w14:textId="2D67DBF7"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6" w:history="1">
        <w:r w:rsidRPr="00995769">
          <w:rPr>
            <w:rStyle w:val="Hyperlink"/>
            <w:bCs/>
            <w:noProof/>
            <w:lang w:eastAsia="en-MY"/>
          </w:rPr>
          <w:t>5.3.4.2</w:t>
        </w:r>
        <w:r w:rsidRPr="00995769">
          <w:rPr>
            <w:rStyle w:val="Hyperlink"/>
            <w:noProof/>
          </w:rPr>
          <w:t xml:space="preserve"> Two factor repeated-measures ANOVA</w:t>
        </w:r>
        <w:r w:rsidR="00260178">
          <w:rPr>
            <w:rStyle w:val="Hyperlink"/>
            <w:noProof/>
          </w:rPr>
          <w:t xml:space="preserve"> ……………………………………..</w:t>
        </w:r>
        <w:r>
          <w:rPr>
            <w:noProof/>
            <w:webHidden/>
          </w:rPr>
          <w:fldChar w:fldCharType="begin"/>
        </w:r>
        <w:r>
          <w:rPr>
            <w:noProof/>
            <w:webHidden/>
          </w:rPr>
          <w:instrText xml:space="preserve"> PAGEREF _Toc103344766 \h </w:instrText>
        </w:r>
        <w:r>
          <w:rPr>
            <w:noProof/>
            <w:webHidden/>
          </w:rPr>
        </w:r>
        <w:r>
          <w:rPr>
            <w:noProof/>
            <w:webHidden/>
          </w:rPr>
          <w:fldChar w:fldCharType="separate"/>
        </w:r>
        <w:r>
          <w:rPr>
            <w:noProof/>
            <w:webHidden/>
          </w:rPr>
          <w:t>156</w:t>
        </w:r>
        <w:r>
          <w:rPr>
            <w:noProof/>
            <w:webHidden/>
          </w:rPr>
          <w:fldChar w:fldCharType="end"/>
        </w:r>
      </w:hyperlink>
    </w:p>
    <w:p w14:paraId="61544EB0" w14:textId="6B5731B6"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7" w:history="1">
        <w:r w:rsidRPr="00995769">
          <w:rPr>
            <w:rStyle w:val="Hyperlink"/>
            <w:bCs/>
            <w:noProof/>
          </w:rPr>
          <w:t>5.3.4.3</w:t>
        </w:r>
        <w:r w:rsidRPr="00995769">
          <w:rPr>
            <w:rStyle w:val="Hyperlink"/>
            <w:noProof/>
          </w:rPr>
          <w:t xml:space="preserve"> Linear regression to predict changes of eye movement with time</w:t>
        </w:r>
        <w:r w:rsidR="00260178">
          <w:rPr>
            <w:rStyle w:val="Hyperlink"/>
            <w:noProof/>
          </w:rPr>
          <w:t xml:space="preserve"> …………...</w:t>
        </w:r>
        <w:r>
          <w:rPr>
            <w:noProof/>
            <w:webHidden/>
          </w:rPr>
          <w:fldChar w:fldCharType="begin"/>
        </w:r>
        <w:r>
          <w:rPr>
            <w:noProof/>
            <w:webHidden/>
          </w:rPr>
          <w:instrText xml:space="preserve"> PAGEREF _Toc103344767 \h </w:instrText>
        </w:r>
        <w:r>
          <w:rPr>
            <w:noProof/>
            <w:webHidden/>
          </w:rPr>
        </w:r>
        <w:r>
          <w:rPr>
            <w:noProof/>
            <w:webHidden/>
          </w:rPr>
          <w:fldChar w:fldCharType="separate"/>
        </w:r>
        <w:r>
          <w:rPr>
            <w:noProof/>
            <w:webHidden/>
          </w:rPr>
          <w:t>158</w:t>
        </w:r>
        <w:r>
          <w:rPr>
            <w:noProof/>
            <w:webHidden/>
          </w:rPr>
          <w:fldChar w:fldCharType="end"/>
        </w:r>
      </w:hyperlink>
    </w:p>
    <w:p w14:paraId="7A5BB0D1" w14:textId="6D53359B"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68" w:history="1">
        <w:r w:rsidRPr="00995769">
          <w:rPr>
            <w:rStyle w:val="Hyperlink"/>
            <w:bCs/>
            <w:noProof/>
            <w:lang w:eastAsia="en-MY"/>
          </w:rPr>
          <w:t>5.3.4.4</w:t>
        </w:r>
        <w:r w:rsidRPr="00995769">
          <w:rPr>
            <w:rStyle w:val="Hyperlink"/>
            <w:noProof/>
          </w:rPr>
          <w:t xml:space="preserve"> One-sample t-test to observe the recovery of eye movements</w:t>
        </w:r>
        <w:r w:rsidR="00260178">
          <w:rPr>
            <w:rStyle w:val="Hyperlink"/>
            <w:noProof/>
          </w:rPr>
          <w:t xml:space="preserve"> ……………….</w:t>
        </w:r>
        <w:r>
          <w:rPr>
            <w:noProof/>
            <w:webHidden/>
          </w:rPr>
          <w:fldChar w:fldCharType="begin"/>
        </w:r>
        <w:r>
          <w:rPr>
            <w:noProof/>
            <w:webHidden/>
          </w:rPr>
          <w:instrText xml:space="preserve"> PAGEREF _Toc103344768 \h </w:instrText>
        </w:r>
        <w:r>
          <w:rPr>
            <w:noProof/>
            <w:webHidden/>
          </w:rPr>
        </w:r>
        <w:r>
          <w:rPr>
            <w:noProof/>
            <w:webHidden/>
          </w:rPr>
          <w:fldChar w:fldCharType="separate"/>
        </w:r>
        <w:r>
          <w:rPr>
            <w:noProof/>
            <w:webHidden/>
          </w:rPr>
          <w:t>159</w:t>
        </w:r>
        <w:r>
          <w:rPr>
            <w:noProof/>
            <w:webHidden/>
          </w:rPr>
          <w:fldChar w:fldCharType="end"/>
        </w:r>
      </w:hyperlink>
    </w:p>
    <w:p w14:paraId="2A9B3DEF" w14:textId="71918B0B" w:rsidR="00E268F6" w:rsidRDefault="00E268F6">
      <w:pPr>
        <w:pStyle w:val="TOC3"/>
        <w:rPr>
          <w:rFonts w:asciiTheme="minorHAnsi" w:eastAsiaTheme="minorEastAsia" w:hAnsiTheme="minorHAnsi" w:cstheme="minorBidi"/>
          <w:noProof/>
          <w:color w:val="auto"/>
          <w:sz w:val="22"/>
          <w:szCs w:val="22"/>
          <w:lang w:val="en-MY" w:eastAsia="en-MY"/>
        </w:rPr>
      </w:pPr>
      <w:hyperlink w:anchor="_Toc103344769" w:history="1">
        <w:r w:rsidRPr="00995769">
          <w:rPr>
            <w:rStyle w:val="Hyperlink"/>
            <w:noProof/>
          </w:rPr>
          <w:t>5.3.5 Vertical saccadic eye movements of ONP patients</w:t>
        </w:r>
        <w:r>
          <w:rPr>
            <w:noProof/>
            <w:webHidden/>
          </w:rPr>
          <w:tab/>
        </w:r>
        <w:r>
          <w:rPr>
            <w:noProof/>
            <w:webHidden/>
          </w:rPr>
          <w:fldChar w:fldCharType="begin"/>
        </w:r>
        <w:r>
          <w:rPr>
            <w:noProof/>
            <w:webHidden/>
          </w:rPr>
          <w:instrText xml:space="preserve"> PAGEREF _Toc103344769 \h </w:instrText>
        </w:r>
        <w:r>
          <w:rPr>
            <w:noProof/>
            <w:webHidden/>
          </w:rPr>
        </w:r>
        <w:r>
          <w:rPr>
            <w:noProof/>
            <w:webHidden/>
          </w:rPr>
          <w:fldChar w:fldCharType="separate"/>
        </w:r>
        <w:r>
          <w:rPr>
            <w:noProof/>
            <w:webHidden/>
          </w:rPr>
          <w:t>160</w:t>
        </w:r>
        <w:r>
          <w:rPr>
            <w:noProof/>
            <w:webHidden/>
          </w:rPr>
          <w:fldChar w:fldCharType="end"/>
        </w:r>
      </w:hyperlink>
    </w:p>
    <w:p w14:paraId="20A3C4FB" w14:textId="2C152543"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70" w:history="1">
        <w:r w:rsidRPr="00995769">
          <w:rPr>
            <w:rStyle w:val="Hyperlink"/>
            <w:bCs/>
            <w:noProof/>
            <w:lang w:eastAsia="en-MY"/>
          </w:rPr>
          <w:t>5.3.5.1</w:t>
        </w:r>
        <w:r w:rsidRPr="00995769">
          <w:rPr>
            <w:rStyle w:val="Hyperlink"/>
            <w:noProof/>
            <w:lang w:eastAsia="en-MY"/>
          </w:rPr>
          <w:t xml:space="preserve"> Independent samples t-tests comparing affected and unaffected eyes</w:t>
        </w:r>
        <w:r w:rsidR="00260178">
          <w:rPr>
            <w:rStyle w:val="Hyperlink"/>
            <w:noProof/>
            <w:lang w:eastAsia="en-MY"/>
          </w:rPr>
          <w:t xml:space="preserve"> ……….</w:t>
        </w:r>
        <w:r>
          <w:rPr>
            <w:noProof/>
            <w:webHidden/>
          </w:rPr>
          <w:fldChar w:fldCharType="begin"/>
        </w:r>
        <w:r>
          <w:rPr>
            <w:noProof/>
            <w:webHidden/>
          </w:rPr>
          <w:instrText xml:space="preserve"> PAGEREF _Toc103344770 \h </w:instrText>
        </w:r>
        <w:r>
          <w:rPr>
            <w:noProof/>
            <w:webHidden/>
          </w:rPr>
        </w:r>
        <w:r>
          <w:rPr>
            <w:noProof/>
            <w:webHidden/>
          </w:rPr>
          <w:fldChar w:fldCharType="separate"/>
        </w:r>
        <w:r>
          <w:rPr>
            <w:noProof/>
            <w:webHidden/>
          </w:rPr>
          <w:t>160</w:t>
        </w:r>
        <w:r>
          <w:rPr>
            <w:noProof/>
            <w:webHidden/>
          </w:rPr>
          <w:fldChar w:fldCharType="end"/>
        </w:r>
      </w:hyperlink>
    </w:p>
    <w:p w14:paraId="45C88BC7" w14:textId="33284CC0"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71" w:history="1">
        <w:r w:rsidRPr="00995769">
          <w:rPr>
            <w:rStyle w:val="Hyperlink"/>
            <w:bCs/>
            <w:noProof/>
            <w:lang w:eastAsia="en-MY"/>
          </w:rPr>
          <w:t>5.3.5.2</w:t>
        </w:r>
        <w:r w:rsidRPr="00995769">
          <w:rPr>
            <w:rStyle w:val="Hyperlink"/>
            <w:noProof/>
          </w:rPr>
          <w:t xml:space="preserve"> Two factor repeated-measures ANOVA</w:t>
        </w:r>
        <w:r w:rsidR="00260178">
          <w:rPr>
            <w:rStyle w:val="Hyperlink"/>
            <w:noProof/>
          </w:rPr>
          <w:t xml:space="preserve"> ……………………………………..</w:t>
        </w:r>
        <w:r>
          <w:rPr>
            <w:noProof/>
            <w:webHidden/>
          </w:rPr>
          <w:fldChar w:fldCharType="begin"/>
        </w:r>
        <w:r>
          <w:rPr>
            <w:noProof/>
            <w:webHidden/>
          </w:rPr>
          <w:instrText xml:space="preserve"> PAGEREF _Toc103344771 \h </w:instrText>
        </w:r>
        <w:r>
          <w:rPr>
            <w:noProof/>
            <w:webHidden/>
          </w:rPr>
        </w:r>
        <w:r>
          <w:rPr>
            <w:noProof/>
            <w:webHidden/>
          </w:rPr>
          <w:fldChar w:fldCharType="separate"/>
        </w:r>
        <w:r>
          <w:rPr>
            <w:noProof/>
            <w:webHidden/>
          </w:rPr>
          <w:t>161</w:t>
        </w:r>
        <w:r>
          <w:rPr>
            <w:noProof/>
            <w:webHidden/>
          </w:rPr>
          <w:fldChar w:fldCharType="end"/>
        </w:r>
      </w:hyperlink>
    </w:p>
    <w:p w14:paraId="39A72CC8" w14:textId="579FB4CA"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72" w:history="1">
        <w:r w:rsidRPr="00995769">
          <w:rPr>
            <w:rStyle w:val="Hyperlink"/>
            <w:bCs/>
            <w:noProof/>
          </w:rPr>
          <w:t>5.3.5.3</w:t>
        </w:r>
        <w:r w:rsidRPr="00995769">
          <w:rPr>
            <w:rStyle w:val="Hyperlink"/>
            <w:noProof/>
          </w:rPr>
          <w:t xml:space="preserve"> Linear regression to predict changes of eye movement with time</w:t>
        </w:r>
        <w:r w:rsidR="00260178">
          <w:rPr>
            <w:rStyle w:val="Hyperlink"/>
            <w:noProof/>
          </w:rPr>
          <w:t xml:space="preserve"> …………...</w:t>
        </w:r>
        <w:r>
          <w:rPr>
            <w:noProof/>
            <w:webHidden/>
          </w:rPr>
          <w:fldChar w:fldCharType="begin"/>
        </w:r>
        <w:r>
          <w:rPr>
            <w:noProof/>
            <w:webHidden/>
          </w:rPr>
          <w:instrText xml:space="preserve"> PAGEREF _Toc103344772 \h </w:instrText>
        </w:r>
        <w:r>
          <w:rPr>
            <w:noProof/>
            <w:webHidden/>
          </w:rPr>
        </w:r>
        <w:r>
          <w:rPr>
            <w:noProof/>
            <w:webHidden/>
          </w:rPr>
          <w:fldChar w:fldCharType="separate"/>
        </w:r>
        <w:r>
          <w:rPr>
            <w:noProof/>
            <w:webHidden/>
          </w:rPr>
          <w:t>162</w:t>
        </w:r>
        <w:r>
          <w:rPr>
            <w:noProof/>
            <w:webHidden/>
          </w:rPr>
          <w:fldChar w:fldCharType="end"/>
        </w:r>
      </w:hyperlink>
    </w:p>
    <w:p w14:paraId="5D6DC62D" w14:textId="2CAB06CC" w:rsidR="00E268F6" w:rsidRDefault="00E268F6">
      <w:pPr>
        <w:pStyle w:val="TOC4"/>
        <w:rPr>
          <w:rFonts w:asciiTheme="minorHAnsi" w:eastAsiaTheme="minorEastAsia" w:hAnsiTheme="minorHAnsi" w:cstheme="minorBidi"/>
          <w:noProof/>
          <w:color w:val="auto"/>
          <w:sz w:val="22"/>
          <w:szCs w:val="22"/>
          <w:lang w:val="en-MY" w:eastAsia="en-MY"/>
        </w:rPr>
      </w:pPr>
      <w:hyperlink w:anchor="_Toc103344773" w:history="1">
        <w:r w:rsidRPr="00995769">
          <w:rPr>
            <w:rStyle w:val="Hyperlink"/>
            <w:bCs/>
            <w:noProof/>
          </w:rPr>
          <w:t>5.3.5.4</w:t>
        </w:r>
        <w:r w:rsidRPr="00995769">
          <w:rPr>
            <w:rStyle w:val="Hyperlink"/>
            <w:noProof/>
          </w:rPr>
          <w:t xml:space="preserve"> One-sample t-test to observe the recovery of eye movements</w:t>
        </w:r>
        <w:r w:rsidR="00260178">
          <w:rPr>
            <w:rStyle w:val="Hyperlink"/>
            <w:noProof/>
          </w:rPr>
          <w:t xml:space="preserve"> ……………….</w:t>
        </w:r>
        <w:r>
          <w:rPr>
            <w:noProof/>
            <w:webHidden/>
          </w:rPr>
          <w:fldChar w:fldCharType="begin"/>
        </w:r>
        <w:r>
          <w:rPr>
            <w:noProof/>
            <w:webHidden/>
          </w:rPr>
          <w:instrText xml:space="preserve"> PAGEREF _Toc103344773 \h </w:instrText>
        </w:r>
        <w:r>
          <w:rPr>
            <w:noProof/>
            <w:webHidden/>
          </w:rPr>
        </w:r>
        <w:r>
          <w:rPr>
            <w:noProof/>
            <w:webHidden/>
          </w:rPr>
          <w:fldChar w:fldCharType="separate"/>
        </w:r>
        <w:r>
          <w:rPr>
            <w:noProof/>
            <w:webHidden/>
          </w:rPr>
          <w:t>162</w:t>
        </w:r>
        <w:r>
          <w:rPr>
            <w:noProof/>
            <w:webHidden/>
          </w:rPr>
          <w:fldChar w:fldCharType="end"/>
        </w:r>
      </w:hyperlink>
    </w:p>
    <w:p w14:paraId="57589E2A" w14:textId="0F1BBA6E"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74" w:history="1">
        <w:r w:rsidRPr="00995769">
          <w:rPr>
            <w:rStyle w:val="Hyperlink"/>
            <w:noProof/>
          </w:rPr>
          <w:t>5.4 Discussion</w:t>
        </w:r>
        <w:r>
          <w:rPr>
            <w:noProof/>
            <w:webHidden/>
          </w:rPr>
          <w:tab/>
        </w:r>
        <w:r>
          <w:rPr>
            <w:noProof/>
            <w:webHidden/>
          </w:rPr>
          <w:fldChar w:fldCharType="begin"/>
        </w:r>
        <w:r>
          <w:rPr>
            <w:noProof/>
            <w:webHidden/>
          </w:rPr>
          <w:instrText xml:space="preserve"> PAGEREF _Toc103344774 \h </w:instrText>
        </w:r>
        <w:r>
          <w:rPr>
            <w:noProof/>
            <w:webHidden/>
          </w:rPr>
        </w:r>
        <w:r>
          <w:rPr>
            <w:noProof/>
            <w:webHidden/>
          </w:rPr>
          <w:fldChar w:fldCharType="separate"/>
        </w:r>
        <w:r>
          <w:rPr>
            <w:noProof/>
            <w:webHidden/>
          </w:rPr>
          <w:t>164</w:t>
        </w:r>
        <w:r>
          <w:rPr>
            <w:noProof/>
            <w:webHidden/>
          </w:rPr>
          <w:fldChar w:fldCharType="end"/>
        </w:r>
      </w:hyperlink>
    </w:p>
    <w:p w14:paraId="7DB887B9" w14:textId="0145680D"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75" w:history="1">
        <w:r w:rsidRPr="00995769">
          <w:rPr>
            <w:rStyle w:val="Hyperlink"/>
            <w:noProof/>
          </w:rPr>
          <w:t>5.5 Conclusion</w:t>
        </w:r>
        <w:r>
          <w:rPr>
            <w:noProof/>
            <w:webHidden/>
          </w:rPr>
          <w:tab/>
        </w:r>
        <w:r>
          <w:rPr>
            <w:noProof/>
            <w:webHidden/>
          </w:rPr>
          <w:fldChar w:fldCharType="begin"/>
        </w:r>
        <w:r>
          <w:rPr>
            <w:noProof/>
            <w:webHidden/>
          </w:rPr>
          <w:instrText xml:space="preserve"> PAGEREF _Toc103344775 \h </w:instrText>
        </w:r>
        <w:r>
          <w:rPr>
            <w:noProof/>
            <w:webHidden/>
          </w:rPr>
        </w:r>
        <w:r>
          <w:rPr>
            <w:noProof/>
            <w:webHidden/>
          </w:rPr>
          <w:fldChar w:fldCharType="separate"/>
        </w:r>
        <w:r>
          <w:rPr>
            <w:noProof/>
            <w:webHidden/>
          </w:rPr>
          <w:t>169</w:t>
        </w:r>
        <w:r>
          <w:rPr>
            <w:noProof/>
            <w:webHidden/>
          </w:rPr>
          <w:fldChar w:fldCharType="end"/>
        </w:r>
      </w:hyperlink>
    </w:p>
    <w:p w14:paraId="2B3BB593" w14:textId="54879E35"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776" w:history="1">
        <w:r w:rsidRPr="00995769">
          <w:rPr>
            <w:rStyle w:val="Hyperlink"/>
            <w:bCs/>
          </w:rPr>
          <w:t>Chapter 6:</w:t>
        </w:r>
        <w:r w:rsidRPr="00995769">
          <w:rPr>
            <w:rStyle w:val="Hyperlink"/>
          </w:rPr>
          <w:t xml:space="preserve"> Final discussion and conclusions</w:t>
        </w:r>
        <w:r>
          <w:rPr>
            <w:webHidden/>
          </w:rPr>
          <w:tab/>
        </w:r>
        <w:r>
          <w:rPr>
            <w:webHidden/>
          </w:rPr>
          <w:fldChar w:fldCharType="begin"/>
        </w:r>
        <w:r>
          <w:rPr>
            <w:webHidden/>
          </w:rPr>
          <w:instrText xml:space="preserve"> PAGEREF _Toc103344776 \h </w:instrText>
        </w:r>
        <w:r>
          <w:rPr>
            <w:webHidden/>
          </w:rPr>
        </w:r>
        <w:r>
          <w:rPr>
            <w:webHidden/>
          </w:rPr>
          <w:fldChar w:fldCharType="separate"/>
        </w:r>
        <w:r>
          <w:rPr>
            <w:webHidden/>
          </w:rPr>
          <w:t>170</w:t>
        </w:r>
        <w:r>
          <w:rPr>
            <w:webHidden/>
          </w:rPr>
          <w:fldChar w:fldCharType="end"/>
        </w:r>
      </w:hyperlink>
    </w:p>
    <w:p w14:paraId="2CB19B80" w14:textId="5C07594E"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77" w:history="1">
        <w:r w:rsidRPr="00995769">
          <w:rPr>
            <w:rStyle w:val="Hyperlink"/>
            <w:noProof/>
          </w:rPr>
          <w:t>6.1 Introduction</w:t>
        </w:r>
        <w:r>
          <w:rPr>
            <w:noProof/>
            <w:webHidden/>
          </w:rPr>
          <w:tab/>
        </w:r>
        <w:r>
          <w:rPr>
            <w:noProof/>
            <w:webHidden/>
          </w:rPr>
          <w:fldChar w:fldCharType="begin"/>
        </w:r>
        <w:r>
          <w:rPr>
            <w:noProof/>
            <w:webHidden/>
          </w:rPr>
          <w:instrText xml:space="preserve"> PAGEREF _Toc103344777 \h </w:instrText>
        </w:r>
        <w:r>
          <w:rPr>
            <w:noProof/>
            <w:webHidden/>
          </w:rPr>
        </w:r>
        <w:r>
          <w:rPr>
            <w:noProof/>
            <w:webHidden/>
          </w:rPr>
          <w:fldChar w:fldCharType="separate"/>
        </w:r>
        <w:r>
          <w:rPr>
            <w:noProof/>
            <w:webHidden/>
          </w:rPr>
          <w:t>170</w:t>
        </w:r>
        <w:r>
          <w:rPr>
            <w:noProof/>
            <w:webHidden/>
          </w:rPr>
          <w:fldChar w:fldCharType="end"/>
        </w:r>
      </w:hyperlink>
    </w:p>
    <w:p w14:paraId="34A741D6" w14:textId="283E5D9D"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78" w:history="1">
        <w:r w:rsidRPr="00995769">
          <w:rPr>
            <w:rStyle w:val="Hyperlink"/>
            <w:noProof/>
          </w:rPr>
          <w:t>6.2 Assessment of the effect of changing target size and recording method (binocular and monocular) on the eye movement criteria</w:t>
        </w:r>
        <w:r>
          <w:rPr>
            <w:noProof/>
            <w:webHidden/>
          </w:rPr>
          <w:tab/>
        </w:r>
        <w:r>
          <w:rPr>
            <w:noProof/>
            <w:webHidden/>
          </w:rPr>
          <w:fldChar w:fldCharType="begin"/>
        </w:r>
        <w:r>
          <w:rPr>
            <w:noProof/>
            <w:webHidden/>
          </w:rPr>
          <w:instrText xml:space="preserve"> PAGEREF _Toc103344778 \h </w:instrText>
        </w:r>
        <w:r>
          <w:rPr>
            <w:noProof/>
            <w:webHidden/>
          </w:rPr>
        </w:r>
        <w:r>
          <w:rPr>
            <w:noProof/>
            <w:webHidden/>
          </w:rPr>
          <w:fldChar w:fldCharType="separate"/>
        </w:r>
        <w:r>
          <w:rPr>
            <w:noProof/>
            <w:webHidden/>
          </w:rPr>
          <w:t>172</w:t>
        </w:r>
        <w:r>
          <w:rPr>
            <w:noProof/>
            <w:webHidden/>
          </w:rPr>
          <w:fldChar w:fldCharType="end"/>
        </w:r>
      </w:hyperlink>
    </w:p>
    <w:p w14:paraId="0F957B66" w14:textId="259B4011"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79" w:history="1">
        <w:r w:rsidRPr="00995769">
          <w:rPr>
            <w:rStyle w:val="Hyperlink"/>
            <w:noProof/>
          </w:rPr>
          <w:t>6.3 Assessment of eye movement improvement during the potential recovery period among ocular nerve palsies</w:t>
        </w:r>
        <w:r>
          <w:rPr>
            <w:noProof/>
            <w:webHidden/>
          </w:rPr>
          <w:tab/>
        </w:r>
        <w:r>
          <w:rPr>
            <w:noProof/>
            <w:webHidden/>
          </w:rPr>
          <w:fldChar w:fldCharType="begin"/>
        </w:r>
        <w:r>
          <w:rPr>
            <w:noProof/>
            <w:webHidden/>
          </w:rPr>
          <w:instrText xml:space="preserve"> PAGEREF _Toc103344779 \h </w:instrText>
        </w:r>
        <w:r>
          <w:rPr>
            <w:noProof/>
            <w:webHidden/>
          </w:rPr>
        </w:r>
        <w:r>
          <w:rPr>
            <w:noProof/>
            <w:webHidden/>
          </w:rPr>
          <w:fldChar w:fldCharType="separate"/>
        </w:r>
        <w:r>
          <w:rPr>
            <w:noProof/>
            <w:webHidden/>
          </w:rPr>
          <w:t>174</w:t>
        </w:r>
        <w:r>
          <w:rPr>
            <w:noProof/>
            <w:webHidden/>
          </w:rPr>
          <w:fldChar w:fldCharType="end"/>
        </w:r>
      </w:hyperlink>
    </w:p>
    <w:p w14:paraId="74ABA48F" w14:textId="621882EE"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80" w:history="1">
        <w:r w:rsidRPr="00995769">
          <w:rPr>
            <w:rStyle w:val="Hyperlink"/>
            <w:noProof/>
          </w:rPr>
          <w:t>6.4 Patients' verbal comments about the EMR in monitoring their conditions.</w:t>
        </w:r>
        <w:r>
          <w:rPr>
            <w:noProof/>
            <w:webHidden/>
          </w:rPr>
          <w:tab/>
        </w:r>
        <w:r>
          <w:rPr>
            <w:noProof/>
            <w:webHidden/>
          </w:rPr>
          <w:fldChar w:fldCharType="begin"/>
        </w:r>
        <w:r>
          <w:rPr>
            <w:noProof/>
            <w:webHidden/>
          </w:rPr>
          <w:instrText xml:space="preserve"> PAGEREF _Toc103344780 \h </w:instrText>
        </w:r>
        <w:r>
          <w:rPr>
            <w:noProof/>
            <w:webHidden/>
          </w:rPr>
        </w:r>
        <w:r>
          <w:rPr>
            <w:noProof/>
            <w:webHidden/>
          </w:rPr>
          <w:fldChar w:fldCharType="separate"/>
        </w:r>
        <w:r>
          <w:rPr>
            <w:noProof/>
            <w:webHidden/>
          </w:rPr>
          <w:t>179</w:t>
        </w:r>
        <w:r>
          <w:rPr>
            <w:noProof/>
            <w:webHidden/>
          </w:rPr>
          <w:fldChar w:fldCharType="end"/>
        </w:r>
      </w:hyperlink>
    </w:p>
    <w:p w14:paraId="77D4FE1A" w14:textId="2B30C8B2"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81" w:history="1">
        <w:r w:rsidRPr="00995769">
          <w:rPr>
            <w:rStyle w:val="Hyperlink"/>
            <w:noProof/>
          </w:rPr>
          <w:t>6.5 Limitations</w:t>
        </w:r>
        <w:r>
          <w:rPr>
            <w:noProof/>
            <w:webHidden/>
          </w:rPr>
          <w:tab/>
        </w:r>
        <w:r>
          <w:rPr>
            <w:noProof/>
            <w:webHidden/>
          </w:rPr>
          <w:fldChar w:fldCharType="begin"/>
        </w:r>
        <w:r>
          <w:rPr>
            <w:noProof/>
            <w:webHidden/>
          </w:rPr>
          <w:instrText xml:space="preserve"> PAGEREF _Toc103344781 \h </w:instrText>
        </w:r>
        <w:r>
          <w:rPr>
            <w:noProof/>
            <w:webHidden/>
          </w:rPr>
        </w:r>
        <w:r>
          <w:rPr>
            <w:noProof/>
            <w:webHidden/>
          </w:rPr>
          <w:fldChar w:fldCharType="separate"/>
        </w:r>
        <w:r>
          <w:rPr>
            <w:noProof/>
            <w:webHidden/>
          </w:rPr>
          <w:t>179</w:t>
        </w:r>
        <w:r>
          <w:rPr>
            <w:noProof/>
            <w:webHidden/>
          </w:rPr>
          <w:fldChar w:fldCharType="end"/>
        </w:r>
      </w:hyperlink>
    </w:p>
    <w:p w14:paraId="41252AE6" w14:textId="2F74002E"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82" w:history="1">
        <w:r w:rsidRPr="00995769">
          <w:rPr>
            <w:rStyle w:val="Hyperlink"/>
            <w:noProof/>
          </w:rPr>
          <w:t>6.6 Future research</w:t>
        </w:r>
        <w:r>
          <w:rPr>
            <w:noProof/>
            <w:webHidden/>
          </w:rPr>
          <w:tab/>
        </w:r>
        <w:r>
          <w:rPr>
            <w:noProof/>
            <w:webHidden/>
          </w:rPr>
          <w:fldChar w:fldCharType="begin"/>
        </w:r>
        <w:r>
          <w:rPr>
            <w:noProof/>
            <w:webHidden/>
          </w:rPr>
          <w:instrText xml:space="preserve"> PAGEREF _Toc103344782 \h </w:instrText>
        </w:r>
        <w:r>
          <w:rPr>
            <w:noProof/>
            <w:webHidden/>
          </w:rPr>
        </w:r>
        <w:r>
          <w:rPr>
            <w:noProof/>
            <w:webHidden/>
          </w:rPr>
          <w:fldChar w:fldCharType="separate"/>
        </w:r>
        <w:r>
          <w:rPr>
            <w:noProof/>
            <w:webHidden/>
          </w:rPr>
          <w:t>182</w:t>
        </w:r>
        <w:r>
          <w:rPr>
            <w:noProof/>
            <w:webHidden/>
          </w:rPr>
          <w:fldChar w:fldCharType="end"/>
        </w:r>
      </w:hyperlink>
    </w:p>
    <w:p w14:paraId="49EB9258" w14:textId="0C2BF311" w:rsidR="00E268F6" w:rsidRDefault="00E268F6">
      <w:pPr>
        <w:pStyle w:val="TOC2"/>
        <w:rPr>
          <w:rFonts w:asciiTheme="minorHAnsi" w:eastAsiaTheme="minorEastAsia" w:hAnsiTheme="minorHAnsi" w:cstheme="minorBidi"/>
          <w:bCs w:val="0"/>
          <w:noProof/>
          <w:color w:val="auto"/>
          <w:sz w:val="22"/>
          <w:szCs w:val="22"/>
          <w:lang w:val="en-MY" w:eastAsia="en-MY"/>
        </w:rPr>
      </w:pPr>
      <w:hyperlink w:anchor="_Toc103344783" w:history="1">
        <w:r w:rsidRPr="00995769">
          <w:rPr>
            <w:rStyle w:val="Hyperlink"/>
            <w:noProof/>
          </w:rPr>
          <w:t>6.7 Summary</w:t>
        </w:r>
        <w:r>
          <w:rPr>
            <w:noProof/>
            <w:webHidden/>
          </w:rPr>
          <w:tab/>
        </w:r>
        <w:r>
          <w:rPr>
            <w:noProof/>
            <w:webHidden/>
          </w:rPr>
          <w:fldChar w:fldCharType="begin"/>
        </w:r>
        <w:r>
          <w:rPr>
            <w:noProof/>
            <w:webHidden/>
          </w:rPr>
          <w:instrText xml:space="preserve"> PAGEREF _Toc103344783 \h </w:instrText>
        </w:r>
        <w:r>
          <w:rPr>
            <w:noProof/>
            <w:webHidden/>
          </w:rPr>
        </w:r>
        <w:r>
          <w:rPr>
            <w:noProof/>
            <w:webHidden/>
          </w:rPr>
          <w:fldChar w:fldCharType="separate"/>
        </w:r>
        <w:r>
          <w:rPr>
            <w:noProof/>
            <w:webHidden/>
          </w:rPr>
          <w:t>182</w:t>
        </w:r>
        <w:r>
          <w:rPr>
            <w:noProof/>
            <w:webHidden/>
          </w:rPr>
          <w:fldChar w:fldCharType="end"/>
        </w:r>
      </w:hyperlink>
    </w:p>
    <w:p w14:paraId="6D5A1D2C" w14:textId="4A93DCB4"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784" w:history="1">
        <w:r w:rsidRPr="00995769">
          <w:rPr>
            <w:rStyle w:val="Hyperlink"/>
          </w:rPr>
          <w:t>Appendices</w:t>
        </w:r>
        <w:r>
          <w:rPr>
            <w:webHidden/>
          </w:rPr>
          <w:tab/>
        </w:r>
        <w:r>
          <w:rPr>
            <w:webHidden/>
          </w:rPr>
          <w:fldChar w:fldCharType="begin"/>
        </w:r>
        <w:r>
          <w:rPr>
            <w:webHidden/>
          </w:rPr>
          <w:instrText xml:space="preserve"> PAGEREF _Toc103344784 \h </w:instrText>
        </w:r>
        <w:r>
          <w:rPr>
            <w:webHidden/>
          </w:rPr>
        </w:r>
        <w:r>
          <w:rPr>
            <w:webHidden/>
          </w:rPr>
          <w:fldChar w:fldCharType="separate"/>
        </w:r>
        <w:r>
          <w:rPr>
            <w:webHidden/>
          </w:rPr>
          <w:t>183</w:t>
        </w:r>
        <w:r>
          <w:rPr>
            <w:webHidden/>
          </w:rPr>
          <w:fldChar w:fldCharType="end"/>
        </w:r>
      </w:hyperlink>
    </w:p>
    <w:p w14:paraId="351E0DB5" w14:textId="221B53BF"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785" w:history="1">
        <w:r w:rsidRPr="00995769">
          <w:rPr>
            <w:rStyle w:val="Hyperlink"/>
          </w:rPr>
          <w:t>Abbreviations</w:t>
        </w:r>
        <w:r>
          <w:rPr>
            <w:webHidden/>
          </w:rPr>
          <w:tab/>
        </w:r>
        <w:r>
          <w:rPr>
            <w:webHidden/>
          </w:rPr>
          <w:fldChar w:fldCharType="begin"/>
        </w:r>
        <w:r>
          <w:rPr>
            <w:webHidden/>
          </w:rPr>
          <w:instrText xml:space="preserve"> PAGEREF _Toc103344785 \h </w:instrText>
        </w:r>
        <w:r>
          <w:rPr>
            <w:webHidden/>
          </w:rPr>
        </w:r>
        <w:r>
          <w:rPr>
            <w:webHidden/>
          </w:rPr>
          <w:fldChar w:fldCharType="separate"/>
        </w:r>
        <w:r>
          <w:rPr>
            <w:webHidden/>
          </w:rPr>
          <w:t>254</w:t>
        </w:r>
        <w:r>
          <w:rPr>
            <w:webHidden/>
          </w:rPr>
          <w:fldChar w:fldCharType="end"/>
        </w:r>
      </w:hyperlink>
    </w:p>
    <w:p w14:paraId="5D00A1CF" w14:textId="787F01B3" w:rsidR="00E268F6" w:rsidRDefault="00E268F6">
      <w:pPr>
        <w:pStyle w:val="TOC1"/>
        <w:rPr>
          <w:rFonts w:asciiTheme="minorHAnsi" w:eastAsiaTheme="minorEastAsia" w:hAnsiTheme="minorHAnsi" w:cstheme="minorBidi"/>
          <w:b w:val="0"/>
          <w:caps w:val="0"/>
          <w:color w:val="auto"/>
          <w:sz w:val="22"/>
          <w:szCs w:val="22"/>
          <w:lang w:val="en-MY" w:eastAsia="en-MY"/>
        </w:rPr>
      </w:pPr>
      <w:hyperlink w:anchor="_Toc103344786" w:history="1">
        <w:r w:rsidRPr="00995769">
          <w:rPr>
            <w:rStyle w:val="Hyperlink"/>
          </w:rPr>
          <w:t>References</w:t>
        </w:r>
        <w:r>
          <w:rPr>
            <w:webHidden/>
          </w:rPr>
          <w:tab/>
        </w:r>
        <w:r>
          <w:rPr>
            <w:webHidden/>
          </w:rPr>
          <w:fldChar w:fldCharType="begin"/>
        </w:r>
        <w:r>
          <w:rPr>
            <w:webHidden/>
          </w:rPr>
          <w:instrText xml:space="preserve"> PAGEREF _Toc103344786 \h </w:instrText>
        </w:r>
        <w:r>
          <w:rPr>
            <w:webHidden/>
          </w:rPr>
        </w:r>
        <w:r>
          <w:rPr>
            <w:webHidden/>
          </w:rPr>
          <w:fldChar w:fldCharType="separate"/>
        </w:r>
        <w:r>
          <w:rPr>
            <w:webHidden/>
          </w:rPr>
          <w:t>256</w:t>
        </w:r>
        <w:r>
          <w:rPr>
            <w:webHidden/>
          </w:rPr>
          <w:fldChar w:fldCharType="end"/>
        </w:r>
      </w:hyperlink>
    </w:p>
    <w:p w14:paraId="7C7D6A24" w14:textId="7C4C5FDB" w:rsidR="00D50A4B" w:rsidRDefault="00D50A4B" w:rsidP="003B5592">
      <w:pPr>
        <w:spacing w:after="0"/>
        <w:jc w:val="left"/>
        <w:rPr>
          <w:b/>
          <w:bCs/>
          <w:noProof/>
          <w:szCs w:val="32"/>
        </w:rPr>
      </w:pPr>
      <w:r>
        <w:rPr>
          <w:b/>
          <w:bCs/>
          <w:noProof/>
          <w:szCs w:val="32"/>
        </w:rPr>
        <w:fldChar w:fldCharType="end"/>
      </w:r>
    </w:p>
    <w:p w14:paraId="7818EF26" w14:textId="6F9B7B44" w:rsidR="000E5835" w:rsidRDefault="000E5835" w:rsidP="003B5592">
      <w:pPr>
        <w:spacing w:after="0"/>
        <w:jc w:val="left"/>
        <w:rPr>
          <w:b/>
          <w:bCs/>
          <w:noProof/>
          <w:szCs w:val="32"/>
        </w:rPr>
      </w:pPr>
    </w:p>
    <w:p w14:paraId="3C7F3503" w14:textId="77777777" w:rsidR="001543C7" w:rsidRDefault="001543C7" w:rsidP="003B5592">
      <w:pPr>
        <w:spacing w:after="0"/>
        <w:jc w:val="left"/>
        <w:rPr>
          <w:b/>
          <w:bCs/>
        </w:rPr>
        <w:sectPr w:rsidR="001543C7" w:rsidSect="00525C37">
          <w:headerReference w:type="default" r:id="rId17"/>
          <w:pgSz w:w="11906" w:h="16838" w:code="9"/>
          <w:pgMar w:top="1440" w:right="1440" w:bottom="1440" w:left="1440" w:header="708" w:footer="708" w:gutter="0"/>
          <w:pgNumType w:fmt="lowerRoman"/>
          <w:cols w:space="708"/>
          <w:docGrid w:linePitch="360"/>
        </w:sectPr>
      </w:pPr>
    </w:p>
    <w:p w14:paraId="0027E77C" w14:textId="21029E3E" w:rsidR="002726F1" w:rsidRPr="009D4627" w:rsidRDefault="004C434C" w:rsidP="007515C8">
      <w:pPr>
        <w:spacing w:before="0" w:line="240" w:lineRule="auto"/>
        <w:jc w:val="left"/>
        <w:rPr>
          <w:b/>
          <w:bCs/>
        </w:rPr>
      </w:pPr>
      <w:r w:rsidRPr="009D4627">
        <w:rPr>
          <w:b/>
          <w:bCs/>
        </w:rPr>
        <w:lastRenderedPageBreak/>
        <w:t>L</w:t>
      </w:r>
      <w:r w:rsidR="002726F1" w:rsidRPr="009D4627">
        <w:rPr>
          <w:b/>
          <w:bCs/>
        </w:rPr>
        <w:t xml:space="preserve">ist of </w:t>
      </w:r>
      <w:r w:rsidR="00D91AAB" w:rsidRPr="009D4627">
        <w:rPr>
          <w:b/>
          <w:bCs/>
        </w:rPr>
        <w:t>F</w:t>
      </w:r>
      <w:r w:rsidR="002726F1" w:rsidRPr="009D4627">
        <w:rPr>
          <w:b/>
          <w:bCs/>
        </w:rPr>
        <w:t>igures</w:t>
      </w:r>
    </w:p>
    <w:p w14:paraId="60654467" w14:textId="23C50121" w:rsidR="009B2977" w:rsidRDefault="002D49AA">
      <w:pPr>
        <w:pStyle w:val="TableofFigures"/>
        <w:rPr>
          <w:rFonts w:asciiTheme="minorHAnsi" w:eastAsiaTheme="minorEastAsia" w:hAnsiTheme="minorHAnsi" w:cstheme="minorBidi"/>
          <w:bCs w:val="0"/>
          <w:color w:val="auto"/>
          <w:sz w:val="22"/>
          <w:szCs w:val="22"/>
          <w:lang w:val="en-MY"/>
        </w:rPr>
      </w:pPr>
      <w:r w:rsidRPr="009D4627">
        <w:rPr>
          <w:rFonts w:ascii="Times New Roman" w:hAnsi="Times New Roman" w:cs="Times New Roman"/>
        </w:rPr>
        <w:fldChar w:fldCharType="begin"/>
      </w:r>
      <w:r w:rsidRPr="009D4627">
        <w:rPr>
          <w:rFonts w:ascii="Times New Roman" w:hAnsi="Times New Roman" w:cs="Times New Roman"/>
        </w:rPr>
        <w:instrText xml:space="preserve"> TOC \h \z \c "Figure 1." </w:instrText>
      </w:r>
      <w:r w:rsidRPr="009D4627">
        <w:rPr>
          <w:rFonts w:ascii="Times New Roman" w:hAnsi="Times New Roman" w:cs="Times New Roman"/>
        </w:rPr>
        <w:fldChar w:fldCharType="separate"/>
      </w:r>
      <w:hyperlink w:anchor="_Toc98570002" w:history="1">
        <w:r w:rsidR="009B2977" w:rsidRPr="00497A64">
          <w:rPr>
            <w:rStyle w:val="Hyperlink"/>
          </w:rPr>
          <w:t>Figure 1.1</w:t>
        </w:r>
        <w:r w:rsidR="009B2977" w:rsidRPr="00497A64">
          <w:rPr>
            <w:rStyle w:val="Hyperlink"/>
            <w:b/>
          </w:rPr>
          <w:t>:</w:t>
        </w:r>
        <w:r w:rsidR="009B2977" w:rsidRPr="00497A64">
          <w:rPr>
            <w:rStyle w:val="Hyperlink"/>
          </w:rPr>
          <w:t xml:space="preserve"> Result of a subject's eye movement while fixating on a stationary target for three different durations of fixation. a) 10 sec, b) 30 sec, and c) 60 sec of fixation.</w:t>
        </w:r>
        <w:r w:rsidR="009B2977">
          <w:rPr>
            <w:webHidden/>
          </w:rPr>
          <w:tab/>
        </w:r>
        <w:r w:rsidR="009B2977">
          <w:rPr>
            <w:webHidden/>
          </w:rPr>
          <w:fldChar w:fldCharType="begin"/>
        </w:r>
        <w:r w:rsidR="009B2977">
          <w:rPr>
            <w:webHidden/>
          </w:rPr>
          <w:instrText xml:space="preserve"> PAGEREF _Toc98570002 \h </w:instrText>
        </w:r>
        <w:r w:rsidR="009B2977">
          <w:rPr>
            <w:webHidden/>
          </w:rPr>
        </w:r>
        <w:r w:rsidR="009B2977">
          <w:rPr>
            <w:webHidden/>
          </w:rPr>
          <w:fldChar w:fldCharType="separate"/>
        </w:r>
        <w:r w:rsidR="00260178">
          <w:rPr>
            <w:webHidden/>
          </w:rPr>
          <w:t>3</w:t>
        </w:r>
        <w:r w:rsidR="009B2977">
          <w:rPr>
            <w:webHidden/>
          </w:rPr>
          <w:fldChar w:fldCharType="end"/>
        </w:r>
      </w:hyperlink>
    </w:p>
    <w:p w14:paraId="27FDFA69" w14:textId="3D9BDBF7" w:rsidR="009B2977" w:rsidRDefault="007E7CC8">
      <w:pPr>
        <w:pStyle w:val="TableofFigures"/>
        <w:rPr>
          <w:rFonts w:asciiTheme="minorHAnsi" w:eastAsiaTheme="minorEastAsia" w:hAnsiTheme="minorHAnsi" w:cstheme="minorBidi"/>
          <w:bCs w:val="0"/>
          <w:color w:val="auto"/>
          <w:sz w:val="22"/>
          <w:szCs w:val="22"/>
          <w:lang w:val="en-MY"/>
        </w:rPr>
      </w:pPr>
      <w:hyperlink w:anchor="_Toc98570003" w:history="1">
        <w:r w:rsidR="009B2977" w:rsidRPr="00497A64">
          <w:rPr>
            <w:rStyle w:val="Hyperlink"/>
          </w:rPr>
          <w:t>Figure 1.2: Illustration of ocular drift and microsaccades made by RE and LE while fixating on a stationary target for 15 sec.</w:t>
        </w:r>
        <w:r w:rsidR="009B2977">
          <w:rPr>
            <w:webHidden/>
          </w:rPr>
          <w:tab/>
        </w:r>
        <w:r w:rsidR="009B2977">
          <w:rPr>
            <w:webHidden/>
          </w:rPr>
          <w:fldChar w:fldCharType="begin"/>
        </w:r>
        <w:r w:rsidR="009B2977">
          <w:rPr>
            <w:webHidden/>
          </w:rPr>
          <w:instrText xml:space="preserve"> PAGEREF _Toc98570003 \h </w:instrText>
        </w:r>
        <w:r w:rsidR="009B2977">
          <w:rPr>
            <w:webHidden/>
          </w:rPr>
        </w:r>
        <w:r w:rsidR="009B2977">
          <w:rPr>
            <w:webHidden/>
          </w:rPr>
          <w:fldChar w:fldCharType="separate"/>
        </w:r>
        <w:r w:rsidR="00260178">
          <w:rPr>
            <w:webHidden/>
          </w:rPr>
          <w:t>4</w:t>
        </w:r>
        <w:r w:rsidR="009B2977">
          <w:rPr>
            <w:webHidden/>
          </w:rPr>
          <w:fldChar w:fldCharType="end"/>
        </w:r>
      </w:hyperlink>
    </w:p>
    <w:p w14:paraId="557C6390" w14:textId="71BF0FBB" w:rsidR="009B2977" w:rsidRDefault="007E7CC8">
      <w:pPr>
        <w:pStyle w:val="TableofFigures"/>
        <w:rPr>
          <w:rFonts w:asciiTheme="minorHAnsi" w:eastAsiaTheme="minorEastAsia" w:hAnsiTheme="minorHAnsi" w:cstheme="minorBidi"/>
          <w:bCs w:val="0"/>
          <w:color w:val="auto"/>
          <w:sz w:val="22"/>
          <w:szCs w:val="22"/>
          <w:lang w:val="en-MY"/>
        </w:rPr>
      </w:pPr>
      <w:hyperlink w:anchor="_Toc98570004" w:history="1">
        <w:r w:rsidR="009B2977" w:rsidRPr="00497A64">
          <w:rPr>
            <w:rStyle w:val="Hyperlink"/>
          </w:rPr>
          <w:t>Figure 1.3: A sample of SP eye recording of a control participant taken at 16°/sec target velocity moving horizontally. The x-axis is the time in ms, while the y-axis is the target position in the degrees. Upward deflections of the curve indicate leftward movements. Data collected from the current study.</w:t>
        </w:r>
        <w:r w:rsidR="009B2977">
          <w:rPr>
            <w:webHidden/>
          </w:rPr>
          <w:tab/>
        </w:r>
        <w:r w:rsidR="009B2977">
          <w:rPr>
            <w:webHidden/>
          </w:rPr>
          <w:fldChar w:fldCharType="begin"/>
        </w:r>
        <w:r w:rsidR="009B2977">
          <w:rPr>
            <w:webHidden/>
          </w:rPr>
          <w:instrText xml:space="preserve"> PAGEREF _Toc98570004 \h </w:instrText>
        </w:r>
        <w:r w:rsidR="009B2977">
          <w:rPr>
            <w:webHidden/>
          </w:rPr>
        </w:r>
        <w:r w:rsidR="009B2977">
          <w:rPr>
            <w:webHidden/>
          </w:rPr>
          <w:fldChar w:fldCharType="separate"/>
        </w:r>
        <w:r w:rsidR="00260178">
          <w:rPr>
            <w:webHidden/>
          </w:rPr>
          <w:t>6</w:t>
        </w:r>
        <w:r w:rsidR="009B2977">
          <w:rPr>
            <w:webHidden/>
          </w:rPr>
          <w:fldChar w:fldCharType="end"/>
        </w:r>
      </w:hyperlink>
    </w:p>
    <w:p w14:paraId="200467DA" w14:textId="6FBE3658" w:rsidR="009B2977" w:rsidRDefault="007E7CC8">
      <w:pPr>
        <w:pStyle w:val="TableofFigures"/>
        <w:rPr>
          <w:rFonts w:asciiTheme="minorHAnsi" w:eastAsiaTheme="minorEastAsia" w:hAnsiTheme="minorHAnsi" w:cstheme="minorBidi"/>
          <w:bCs w:val="0"/>
          <w:color w:val="auto"/>
          <w:sz w:val="22"/>
          <w:szCs w:val="22"/>
          <w:lang w:val="en-MY"/>
        </w:rPr>
      </w:pPr>
      <w:hyperlink w:anchor="_Toc98570005" w:history="1">
        <w:r w:rsidR="009B2977" w:rsidRPr="00497A64">
          <w:rPr>
            <w:rStyle w:val="Hyperlink"/>
          </w:rPr>
          <w:t>Figure 1.4: Sample of horizontal SP recording on a control participant taken from the current study. A) Shows the SP movements at low velocity (8°/sec), representing an accurate SP. B) Refers to the SP movements at the higher velocity (36°/sec), leading to several CUS and SWJ nystagmus.</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_Toc98570005 \h </w:instrText>
        </w:r>
        <w:r w:rsidR="009B2977">
          <w:rPr>
            <w:webHidden/>
          </w:rPr>
        </w:r>
        <w:r w:rsidR="009B2977">
          <w:rPr>
            <w:webHidden/>
          </w:rPr>
          <w:fldChar w:fldCharType="separate"/>
        </w:r>
        <w:r w:rsidR="00260178">
          <w:rPr>
            <w:webHidden/>
          </w:rPr>
          <w:t>7</w:t>
        </w:r>
        <w:r w:rsidR="009B2977">
          <w:rPr>
            <w:webHidden/>
          </w:rPr>
          <w:fldChar w:fldCharType="end"/>
        </w:r>
      </w:hyperlink>
    </w:p>
    <w:p w14:paraId="6410D62F" w14:textId="04BFE2F7" w:rsidR="009B2977" w:rsidRDefault="007E7CC8">
      <w:pPr>
        <w:pStyle w:val="TableofFigures"/>
        <w:rPr>
          <w:rFonts w:asciiTheme="minorHAnsi" w:eastAsiaTheme="minorEastAsia" w:hAnsiTheme="minorHAnsi" w:cstheme="minorBidi"/>
          <w:bCs w:val="0"/>
          <w:color w:val="auto"/>
          <w:sz w:val="22"/>
          <w:szCs w:val="22"/>
          <w:lang w:val="en-MY"/>
        </w:rPr>
      </w:pPr>
      <w:hyperlink w:anchor="_Toc98570006" w:history="1">
        <w:r w:rsidR="009B2977" w:rsidRPr="00497A64">
          <w:rPr>
            <w:rStyle w:val="Hyperlink"/>
          </w:rPr>
          <w:t>Figure 1.5: A sample of horizontal saccadic movements made by a healthy young participant from the current study.</w:t>
        </w:r>
        <w:r w:rsidR="009B2977">
          <w:rPr>
            <w:webHidden/>
          </w:rPr>
          <w:tab/>
        </w:r>
        <w:r w:rsidR="009B2977">
          <w:rPr>
            <w:webHidden/>
          </w:rPr>
          <w:fldChar w:fldCharType="begin"/>
        </w:r>
        <w:r w:rsidR="009B2977">
          <w:rPr>
            <w:webHidden/>
          </w:rPr>
          <w:instrText xml:space="preserve"> PAGEREF _Toc98570006 \h </w:instrText>
        </w:r>
        <w:r w:rsidR="009B2977">
          <w:rPr>
            <w:webHidden/>
          </w:rPr>
        </w:r>
        <w:r w:rsidR="009B2977">
          <w:rPr>
            <w:webHidden/>
          </w:rPr>
          <w:fldChar w:fldCharType="separate"/>
        </w:r>
        <w:r w:rsidR="00260178">
          <w:rPr>
            <w:webHidden/>
          </w:rPr>
          <w:t>9</w:t>
        </w:r>
        <w:r w:rsidR="009B2977">
          <w:rPr>
            <w:webHidden/>
          </w:rPr>
          <w:fldChar w:fldCharType="end"/>
        </w:r>
      </w:hyperlink>
    </w:p>
    <w:p w14:paraId="74F5A78E" w14:textId="600D0B40" w:rsidR="009B2977" w:rsidRDefault="007E7CC8">
      <w:pPr>
        <w:pStyle w:val="TableofFigures"/>
        <w:rPr>
          <w:rFonts w:asciiTheme="minorHAnsi" w:eastAsiaTheme="minorEastAsia" w:hAnsiTheme="minorHAnsi" w:cstheme="minorBidi"/>
          <w:bCs w:val="0"/>
          <w:color w:val="auto"/>
          <w:sz w:val="22"/>
          <w:szCs w:val="22"/>
          <w:lang w:val="en-MY"/>
        </w:rPr>
      </w:pPr>
      <w:hyperlink w:anchor="_Toc98570007" w:history="1">
        <w:r w:rsidR="009B2977" w:rsidRPr="00497A64">
          <w:rPr>
            <w:rStyle w:val="Hyperlink"/>
          </w:rPr>
          <w:t>Figure 1.6: The main sequence of saccades showing the relationship of peak velocity to the saccadic amplitudes for 26 saccadic movements by a single subject.</w:t>
        </w:r>
        <w:r w:rsidR="009B2977">
          <w:rPr>
            <w:webHidden/>
          </w:rPr>
          <w:tab/>
        </w:r>
        <w:r w:rsidR="009B2977">
          <w:rPr>
            <w:webHidden/>
          </w:rPr>
          <w:fldChar w:fldCharType="begin"/>
        </w:r>
        <w:r w:rsidR="009B2977">
          <w:rPr>
            <w:webHidden/>
          </w:rPr>
          <w:instrText xml:space="preserve"> PAGEREF _Toc98570007 \h </w:instrText>
        </w:r>
        <w:r w:rsidR="009B2977">
          <w:rPr>
            <w:webHidden/>
          </w:rPr>
        </w:r>
        <w:r w:rsidR="009B2977">
          <w:rPr>
            <w:webHidden/>
          </w:rPr>
          <w:fldChar w:fldCharType="separate"/>
        </w:r>
        <w:r w:rsidR="00260178">
          <w:rPr>
            <w:webHidden/>
          </w:rPr>
          <w:t>13</w:t>
        </w:r>
        <w:r w:rsidR="009B2977">
          <w:rPr>
            <w:webHidden/>
          </w:rPr>
          <w:fldChar w:fldCharType="end"/>
        </w:r>
      </w:hyperlink>
    </w:p>
    <w:p w14:paraId="0F29F4AA" w14:textId="5584BABA" w:rsidR="009B2977" w:rsidRDefault="007E7CC8">
      <w:pPr>
        <w:pStyle w:val="TableofFigures"/>
        <w:rPr>
          <w:rFonts w:asciiTheme="minorHAnsi" w:eastAsiaTheme="minorEastAsia" w:hAnsiTheme="minorHAnsi" w:cstheme="minorBidi"/>
          <w:bCs w:val="0"/>
          <w:color w:val="auto"/>
          <w:sz w:val="22"/>
          <w:szCs w:val="22"/>
          <w:lang w:val="en-MY"/>
        </w:rPr>
      </w:pPr>
      <w:hyperlink w:anchor="_Toc98570008" w:history="1">
        <w:r w:rsidR="009B2977" w:rsidRPr="00497A64">
          <w:rPr>
            <w:rStyle w:val="Hyperlink"/>
          </w:rPr>
          <w:t>Figure 1.7: Samples of dysmetric saccadic eye movements among healthy control group from the current study. Figure a) illustrates the hypometric saccadic eye movements and b) illustrates the hypermetric saccadic eye movements.</w:t>
        </w:r>
        <w:r w:rsidR="009B2977">
          <w:rPr>
            <w:webHidden/>
          </w:rPr>
          <w:tab/>
        </w:r>
        <w:r w:rsidR="009B2977">
          <w:rPr>
            <w:webHidden/>
          </w:rPr>
          <w:fldChar w:fldCharType="begin"/>
        </w:r>
        <w:r w:rsidR="009B2977">
          <w:rPr>
            <w:webHidden/>
          </w:rPr>
          <w:instrText xml:space="preserve"> PAGEREF _Toc98570008 \h </w:instrText>
        </w:r>
        <w:r w:rsidR="009B2977">
          <w:rPr>
            <w:webHidden/>
          </w:rPr>
        </w:r>
        <w:r w:rsidR="009B2977">
          <w:rPr>
            <w:webHidden/>
          </w:rPr>
          <w:fldChar w:fldCharType="separate"/>
        </w:r>
        <w:r w:rsidR="00260178">
          <w:rPr>
            <w:webHidden/>
          </w:rPr>
          <w:t>14</w:t>
        </w:r>
        <w:r w:rsidR="009B2977">
          <w:rPr>
            <w:webHidden/>
          </w:rPr>
          <w:fldChar w:fldCharType="end"/>
        </w:r>
      </w:hyperlink>
    </w:p>
    <w:p w14:paraId="579BDDD2" w14:textId="62A7C62B" w:rsidR="009B2977" w:rsidRDefault="007E7CC8">
      <w:pPr>
        <w:pStyle w:val="TableofFigures"/>
        <w:rPr>
          <w:rFonts w:asciiTheme="minorHAnsi" w:eastAsiaTheme="minorEastAsia" w:hAnsiTheme="minorHAnsi" w:cstheme="minorBidi"/>
          <w:bCs w:val="0"/>
          <w:color w:val="auto"/>
          <w:sz w:val="22"/>
          <w:szCs w:val="22"/>
          <w:lang w:val="en-MY"/>
        </w:rPr>
      </w:pPr>
      <w:hyperlink w:anchor="_Toc98570009" w:history="1">
        <w:r w:rsidR="009B2977" w:rsidRPr="00497A64">
          <w:rPr>
            <w:rStyle w:val="Hyperlink"/>
          </w:rPr>
          <w:t>Figure 1.8: The effect of target size on the mean saccadic gain tested on 12 young adults.</w:t>
        </w:r>
        <w:r w:rsidR="009B2977">
          <w:rPr>
            <w:webHidden/>
          </w:rPr>
          <w:tab/>
        </w:r>
        <w:r w:rsidR="009B2977">
          <w:rPr>
            <w:webHidden/>
          </w:rPr>
          <w:fldChar w:fldCharType="begin"/>
        </w:r>
        <w:r w:rsidR="009B2977">
          <w:rPr>
            <w:webHidden/>
          </w:rPr>
          <w:instrText xml:space="preserve"> PAGEREF _Toc98570009 \h </w:instrText>
        </w:r>
        <w:r w:rsidR="009B2977">
          <w:rPr>
            <w:webHidden/>
          </w:rPr>
        </w:r>
        <w:r w:rsidR="009B2977">
          <w:rPr>
            <w:webHidden/>
          </w:rPr>
          <w:fldChar w:fldCharType="separate"/>
        </w:r>
        <w:r w:rsidR="00260178">
          <w:rPr>
            <w:webHidden/>
          </w:rPr>
          <w:t>15</w:t>
        </w:r>
        <w:r w:rsidR="009B2977">
          <w:rPr>
            <w:webHidden/>
          </w:rPr>
          <w:fldChar w:fldCharType="end"/>
        </w:r>
      </w:hyperlink>
    </w:p>
    <w:p w14:paraId="1199A6BF" w14:textId="0351B5CB" w:rsidR="009B2977" w:rsidRDefault="007E7CC8">
      <w:pPr>
        <w:pStyle w:val="TableofFigures"/>
        <w:rPr>
          <w:rFonts w:asciiTheme="minorHAnsi" w:eastAsiaTheme="minorEastAsia" w:hAnsiTheme="minorHAnsi" w:cstheme="minorBidi"/>
          <w:bCs w:val="0"/>
          <w:color w:val="auto"/>
          <w:sz w:val="22"/>
          <w:szCs w:val="22"/>
          <w:lang w:val="en-MY"/>
        </w:rPr>
      </w:pPr>
      <w:hyperlink w:anchor="_Toc98570010" w:history="1">
        <w:r w:rsidR="009B2977" w:rsidRPr="00497A64">
          <w:rPr>
            <w:rStyle w:val="Hyperlink"/>
          </w:rPr>
          <w:t>Figure 1.9: Example of an abnormal ocular motility test with a right CN VI palsy. Figure (a) right esotropia in PP, (b) abduction deficit of the RE and (c) normal adduction of the RE.</w:t>
        </w:r>
        <w:r w:rsidR="009B2977">
          <w:rPr>
            <w:webHidden/>
          </w:rPr>
          <w:tab/>
        </w:r>
        <w:r w:rsidR="009B2977">
          <w:rPr>
            <w:webHidden/>
          </w:rPr>
          <w:fldChar w:fldCharType="begin"/>
        </w:r>
        <w:r w:rsidR="009B2977">
          <w:rPr>
            <w:webHidden/>
          </w:rPr>
          <w:instrText xml:space="preserve"> PAGEREF _Toc98570010 \h </w:instrText>
        </w:r>
        <w:r w:rsidR="009B2977">
          <w:rPr>
            <w:webHidden/>
          </w:rPr>
        </w:r>
        <w:r w:rsidR="009B2977">
          <w:rPr>
            <w:webHidden/>
          </w:rPr>
          <w:fldChar w:fldCharType="separate"/>
        </w:r>
        <w:r w:rsidR="00260178">
          <w:rPr>
            <w:webHidden/>
          </w:rPr>
          <w:t>17</w:t>
        </w:r>
        <w:r w:rsidR="009B2977">
          <w:rPr>
            <w:webHidden/>
          </w:rPr>
          <w:fldChar w:fldCharType="end"/>
        </w:r>
      </w:hyperlink>
    </w:p>
    <w:p w14:paraId="4E9E9E9D" w14:textId="64732AD6" w:rsidR="009B2977" w:rsidRDefault="007E7CC8" w:rsidP="001543C7">
      <w:pPr>
        <w:pStyle w:val="TableofFigures"/>
        <w:spacing w:after="0"/>
        <w:rPr>
          <w:rFonts w:asciiTheme="minorHAnsi" w:eastAsiaTheme="minorEastAsia" w:hAnsiTheme="minorHAnsi" w:cstheme="minorBidi"/>
          <w:bCs w:val="0"/>
          <w:color w:val="auto"/>
          <w:sz w:val="22"/>
          <w:szCs w:val="22"/>
          <w:lang w:val="en-MY"/>
        </w:rPr>
      </w:pPr>
      <w:hyperlink w:anchor="_Toc98570011" w:history="1">
        <w:r w:rsidR="009B2977" w:rsidRPr="00497A64">
          <w:rPr>
            <w:rStyle w:val="Hyperlink"/>
          </w:rPr>
          <w:t>Figure 1.10: The investigation of the RE ductions, based on observation of the amount of visible sclera.</w:t>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_Toc98570011 \h </w:instrText>
        </w:r>
        <w:r w:rsidR="009B2977">
          <w:rPr>
            <w:webHidden/>
          </w:rPr>
        </w:r>
        <w:r w:rsidR="009B2977">
          <w:rPr>
            <w:webHidden/>
          </w:rPr>
          <w:fldChar w:fldCharType="separate"/>
        </w:r>
        <w:r w:rsidR="00260178">
          <w:rPr>
            <w:webHidden/>
          </w:rPr>
          <w:t>18</w:t>
        </w:r>
        <w:r w:rsidR="009B2977">
          <w:rPr>
            <w:webHidden/>
          </w:rPr>
          <w:fldChar w:fldCharType="end"/>
        </w:r>
      </w:hyperlink>
    </w:p>
    <w:p w14:paraId="3637D3D6" w14:textId="2B3F2814" w:rsidR="009B2977" w:rsidRDefault="007E7CC8">
      <w:pPr>
        <w:pStyle w:val="TableofFigures"/>
        <w:rPr>
          <w:rFonts w:asciiTheme="minorHAnsi" w:eastAsiaTheme="minorEastAsia" w:hAnsiTheme="minorHAnsi" w:cstheme="minorBidi"/>
          <w:bCs w:val="0"/>
          <w:color w:val="auto"/>
          <w:sz w:val="22"/>
          <w:szCs w:val="22"/>
          <w:lang w:val="en-MY"/>
        </w:rPr>
      </w:pPr>
      <w:hyperlink w:anchor="_Toc98570012" w:history="1">
        <w:r w:rsidR="009B2977" w:rsidRPr="00497A64">
          <w:rPr>
            <w:rStyle w:val="Hyperlink"/>
          </w:rPr>
          <w:t>Figure 1.11: Subjective saccadic eye movement testing used in the eye clinic. Figure a) Horizontal leftward saccade and b) vertical upward saccade. Saccades are examined by asking the patient to look from one target to another.</w:t>
        </w:r>
        <w:r w:rsidR="009B2977">
          <w:rPr>
            <w:webHidden/>
          </w:rPr>
          <w:tab/>
        </w:r>
        <w:r w:rsidR="009B2977">
          <w:rPr>
            <w:webHidden/>
          </w:rPr>
          <w:fldChar w:fldCharType="begin"/>
        </w:r>
        <w:r w:rsidR="009B2977">
          <w:rPr>
            <w:webHidden/>
          </w:rPr>
          <w:instrText xml:space="preserve"> PAGEREF _Toc98570012 \h </w:instrText>
        </w:r>
        <w:r w:rsidR="009B2977">
          <w:rPr>
            <w:webHidden/>
          </w:rPr>
        </w:r>
        <w:r w:rsidR="009B2977">
          <w:rPr>
            <w:webHidden/>
          </w:rPr>
          <w:fldChar w:fldCharType="separate"/>
        </w:r>
        <w:r w:rsidR="00260178">
          <w:rPr>
            <w:webHidden/>
          </w:rPr>
          <w:t>19</w:t>
        </w:r>
        <w:r w:rsidR="009B2977">
          <w:rPr>
            <w:webHidden/>
          </w:rPr>
          <w:fldChar w:fldCharType="end"/>
        </w:r>
      </w:hyperlink>
    </w:p>
    <w:p w14:paraId="16C69AAD" w14:textId="0E07560A" w:rsidR="009B2977" w:rsidRDefault="007E7CC8">
      <w:pPr>
        <w:pStyle w:val="TableofFigures"/>
        <w:rPr>
          <w:rFonts w:asciiTheme="minorHAnsi" w:eastAsiaTheme="minorEastAsia" w:hAnsiTheme="minorHAnsi" w:cstheme="minorBidi"/>
          <w:bCs w:val="0"/>
          <w:color w:val="auto"/>
          <w:sz w:val="22"/>
          <w:szCs w:val="22"/>
          <w:lang w:val="en-MY"/>
        </w:rPr>
      </w:pPr>
      <w:hyperlink w:anchor="_Toc98570013" w:history="1">
        <w:r w:rsidR="009B2977" w:rsidRPr="00497A64">
          <w:rPr>
            <w:rStyle w:val="Hyperlink"/>
          </w:rPr>
          <w:t xml:space="preserve">Figure 1.12: Experimental set-up for the magnetic search coil </w:t>
        </w:r>
        <w:r w:rsidR="007515C8">
          <w:rPr>
            <w:rStyle w:val="Hyperlink"/>
          </w:rPr>
          <w:tab/>
        </w:r>
        <w:r w:rsidR="009B2977">
          <w:rPr>
            <w:webHidden/>
          </w:rPr>
          <w:fldChar w:fldCharType="begin"/>
        </w:r>
        <w:r w:rsidR="009B2977">
          <w:rPr>
            <w:webHidden/>
          </w:rPr>
          <w:instrText xml:space="preserve"> PAGEREF _Toc98570013 \h </w:instrText>
        </w:r>
        <w:r w:rsidR="009B2977">
          <w:rPr>
            <w:webHidden/>
          </w:rPr>
        </w:r>
        <w:r w:rsidR="009B2977">
          <w:rPr>
            <w:webHidden/>
          </w:rPr>
          <w:fldChar w:fldCharType="separate"/>
        </w:r>
        <w:r w:rsidR="00260178">
          <w:rPr>
            <w:webHidden/>
          </w:rPr>
          <w:t>22</w:t>
        </w:r>
        <w:r w:rsidR="009B2977">
          <w:rPr>
            <w:webHidden/>
          </w:rPr>
          <w:fldChar w:fldCharType="end"/>
        </w:r>
      </w:hyperlink>
    </w:p>
    <w:p w14:paraId="5C28A1D5" w14:textId="012A86AA" w:rsidR="009B2977" w:rsidRDefault="007E7CC8">
      <w:pPr>
        <w:pStyle w:val="TableofFigures"/>
        <w:rPr>
          <w:rFonts w:asciiTheme="minorHAnsi" w:eastAsiaTheme="minorEastAsia" w:hAnsiTheme="minorHAnsi" w:cstheme="minorBidi"/>
          <w:bCs w:val="0"/>
          <w:color w:val="auto"/>
          <w:sz w:val="22"/>
          <w:szCs w:val="22"/>
          <w:lang w:val="en-MY"/>
        </w:rPr>
      </w:pPr>
      <w:hyperlink w:anchor="_Toc98570014" w:history="1">
        <w:r w:rsidR="009B2977" w:rsidRPr="00497A64">
          <w:rPr>
            <w:rStyle w:val="Hyperlink"/>
          </w:rPr>
          <w:t>Figure 1.13: Scleral search coil in the eye</w:t>
        </w:r>
        <w:r w:rsidR="009B2977">
          <w:rPr>
            <w:webHidden/>
          </w:rPr>
          <w:tab/>
        </w:r>
        <w:r w:rsidR="009B2977">
          <w:rPr>
            <w:webHidden/>
          </w:rPr>
          <w:fldChar w:fldCharType="begin"/>
        </w:r>
        <w:r w:rsidR="009B2977">
          <w:rPr>
            <w:webHidden/>
          </w:rPr>
          <w:instrText xml:space="preserve"> PAGEREF _Toc98570014 \h </w:instrText>
        </w:r>
        <w:r w:rsidR="009B2977">
          <w:rPr>
            <w:webHidden/>
          </w:rPr>
        </w:r>
        <w:r w:rsidR="009B2977">
          <w:rPr>
            <w:webHidden/>
          </w:rPr>
          <w:fldChar w:fldCharType="separate"/>
        </w:r>
        <w:r w:rsidR="00260178">
          <w:rPr>
            <w:webHidden/>
          </w:rPr>
          <w:t>22</w:t>
        </w:r>
        <w:r w:rsidR="009B2977">
          <w:rPr>
            <w:webHidden/>
          </w:rPr>
          <w:fldChar w:fldCharType="end"/>
        </w:r>
      </w:hyperlink>
    </w:p>
    <w:p w14:paraId="1DD5510E" w14:textId="022F9B64" w:rsidR="009B2977" w:rsidRDefault="007E7CC8">
      <w:pPr>
        <w:pStyle w:val="TableofFigures"/>
        <w:rPr>
          <w:rFonts w:asciiTheme="minorHAnsi" w:eastAsiaTheme="minorEastAsia" w:hAnsiTheme="minorHAnsi" w:cstheme="minorBidi"/>
          <w:bCs w:val="0"/>
          <w:color w:val="auto"/>
          <w:sz w:val="22"/>
          <w:szCs w:val="22"/>
          <w:lang w:val="en-MY"/>
        </w:rPr>
      </w:pPr>
      <w:hyperlink w:anchor="_Toc98570015" w:history="1">
        <w:r w:rsidR="009B2977" w:rsidRPr="00497A64">
          <w:rPr>
            <w:rStyle w:val="Hyperlink"/>
          </w:rPr>
          <w:t>Figure 1.14: Simultaneous EMR using two methods: video (EyeLink) shown as the thick black line versus coil (scleral search coil) shown as the thin grey line</w:t>
        </w:r>
        <w:r w:rsidR="009B2977">
          <w:rPr>
            <w:webHidden/>
          </w:rPr>
          <w:tab/>
        </w:r>
        <w:r w:rsidR="009B2977">
          <w:rPr>
            <w:webHidden/>
          </w:rPr>
          <w:fldChar w:fldCharType="begin"/>
        </w:r>
        <w:r w:rsidR="009B2977">
          <w:rPr>
            <w:webHidden/>
          </w:rPr>
          <w:instrText xml:space="preserve"> PAGEREF _Toc98570015 \h </w:instrText>
        </w:r>
        <w:r w:rsidR="009B2977">
          <w:rPr>
            <w:webHidden/>
          </w:rPr>
        </w:r>
        <w:r w:rsidR="009B2977">
          <w:rPr>
            <w:webHidden/>
          </w:rPr>
          <w:fldChar w:fldCharType="separate"/>
        </w:r>
        <w:r w:rsidR="00260178">
          <w:rPr>
            <w:webHidden/>
          </w:rPr>
          <w:t>25</w:t>
        </w:r>
        <w:r w:rsidR="009B2977">
          <w:rPr>
            <w:webHidden/>
          </w:rPr>
          <w:fldChar w:fldCharType="end"/>
        </w:r>
      </w:hyperlink>
    </w:p>
    <w:p w14:paraId="1B935669" w14:textId="0C1326D1" w:rsidR="009B2977" w:rsidRDefault="007E7CC8">
      <w:pPr>
        <w:pStyle w:val="TableofFigures"/>
        <w:rPr>
          <w:rFonts w:asciiTheme="minorHAnsi" w:eastAsiaTheme="minorEastAsia" w:hAnsiTheme="minorHAnsi" w:cstheme="minorBidi"/>
          <w:bCs w:val="0"/>
          <w:color w:val="auto"/>
          <w:sz w:val="22"/>
          <w:szCs w:val="22"/>
          <w:lang w:val="en-MY"/>
        </w:rPr>
      </w:pPr>
      <w:hyperlink w:anchor="_Toc98570016" w:history="1">
        <w:r w:rsidR="009B2977" w:rsidRPr="00497A64">
          <w:rPr>
            <w:rStyle w:val="Hyperlink"/>
          </w:rPr>
          <w:t>Figure 1.15: Comparing the main sequence of amplitude-peak velocity between the magnetic search coil (MSC) and the Orbit infrared (IR) eye recorder.</w:t>
        </w:r>
        <w:r w:rsidR="009B2977">
          <w:rPr>
            <w:webHidden/>
          </w:rPr>
          <w:tab/>
        </w:r>
        <w:r w:rsidR="009B2977">
          <w:rPr>
            <w:webHidden/>
          </w:rPr>
          <w:fldChar w:fldCharType="begin"/>
        </w:r>
        <w:r w:rsidR="009B2977">
          <w:rPr>
            <w:webHidden/>
          </w:rPr>
          <w:instrText xml:space="preserve"> PAGEREF _Toc98570016 \h </w:instrText>
        </w:r>
        <w:r w:rsidR="009B2977">
          <w:rPr>
            <w:webHidden/>
          </w:rPr>
        </w:r>
        <w:r w:rsidR="009B2977">
          <w:rPr>
            <w:webHidden/>
          </w:rPr>
          <w:fldChar w:fldCharType="separate"/>
        </w:r>
        <w:r w:rsidR="00260178">
          <w:rPr>
            <w:webHidden/>
          </w:rPr>
          <w:t>26</w:t>
        </w:r>
        <w:r w:rsidR="009B2977">
          <w:rPr>
            <w:webHidden/>
          </w:rPr>
          <w:fldChar w:fldCharType="end"/>
        </w:r>
      </w:hyperlink>
    </w:p>
    <w:p w14:paraId="7E66C931" w14:textId="0A944366" w:rsidR="009B2977" w:rsidRDefault="007E7CC8">
      <w:pPr>
        <w:pStyle w:val="TableofFigures"/>
        <w:rPr>
          <w:rFonts w:asciiTheme="minorHAnsi" w:eastAsiaTheme="minorEastAsia" w:hAnsiTheme="minorHAnsi" w:cstheme="minorBidi"/>
          <w:bCs w:val="0"/>
          <w:color w:val="auto"/>
          <w:sz w:val="22"/>
          <w:szCs w:val="22"/>
          <w:lang w:val="en-MY"/>
        </w:rPr>
      </w:pPr>
      <w:hyperlink w:anchor="_Toc98570017" w:history="1">
        <w:r w:rsidR="009B2977" w:rsidRPr="00497A64">
          <w:rPr>
            <w:rStyle w:val="Hyperlink"/>
          </w:rPr>
          <w:t>Figure 1.16: Examples of SWJ vs pendular nystagmus waveforms recorded in PP</w:t>
        </w:r>
        <w:r w:rsidR="009B2977" w:rsidRPr="00497A64">
          <w:rPr>
            <w:rStyle w:val="Hyperlink"/>
            <w:b/>
          </w:rPr>
          <w:t>.</w:t>
        </w:r>
        <w:r w:rsidR="009B2977">
          <w:rPr>
            <w:webHidden/>
          </w:rPr>
          <w:tab/>
        </w:r>
        <w:r w:rsidR="009B2977">
          <w:rPr>
            <w:webHidden/>
          </w:rPr>
          <w:fldChar w:fldCharType="begin"/>
        </w:r>
        <w:r w:rsidR="009B2977">
          <w:rPr>
            <w:webHidden/>
          </w:rPr>
          <w:instrText xml:space="preserve"> PAGEREF _Toc98570017 \h </w:instrText>
        </w:r>
        <w:r w:rsidR="009B2977">
          <w:rPr>
            <w:webHidden/>
          </w:rPr>
        </w:r>
        <w:r w:rsidR="009B2977">
          <w:rPr>
            <w:webHidden/>
          </w:rPr>
          <w:fldChar w:fldCharType="separate"/>
        </w:r>
        <w:r w:rsidR="00260178">
          <w:rPr>
            <w:webHidden/>
          </w:rPr>
          <w:t>36</w:t>
        </w:r>
        <w:r w:rsidR="009B2977">
          <w:rPr>
            <w:webHidden/>
          </w:rPr>
          <w:fldChar w:fldCharType="end"/>
        </w:r>
      </w:hyperlink>
    </w:p>
    <w:p w14:paraId="48414ED7" w14:textId="2BA71FBF" w:rsidR="009B2977" w:rsidRDefault="007E7CC8">
      <w:pPr>
        <w:pStyle w:val="TableofFigures"/>
        <w:rPr>
          <w:rFonts w:asciiTheme="minorHAnsi" w:eastAsiaTheme="minorEastAsia" w:hAnsiTheme="minorHAnsi" w:cstheme="minorBidi"/>
          <w:bCs w:val="0"/>
          <w:color w:val="auto"/>
          <w:sz w:val="22"/>
          <w:szCs w:val="22"/>
          <w:lang w:val="en-MY"/>
        </w:rPr>
      </w:pPr>
      <w:hyperlink w:anchor="_Toc98570018" w:history="1">
        <w:r w:rsidR="009B2977" w:rsidRPr="00497A64">
          <w:rPr>
            <w:rStyle w:val="Hyperlink"/>
          </w:rPr>
          <w:t>Figure 1.17: Two graphs showing the saccadic attributes of different neurological disorders</w:t>
        </w:r>
        <w:r w:rsidR="009B2977">
          <w:rPr>
            <w:webHidden/>
          </w:rPr>
          <w:tab/>
        </w:r>
        <w:r w:rsidR="009B2977">
          <w:rPr>
            <w:webHidden/>
          </w:rPr>
          <w:tab/>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_Toc98570018 \h </w:instrText>
        </w:r>
        <w:r w:rsidR="009B2977">
          <w:rPr>
            <w:webHidden/>
          </w:rPr>
        </w:r>
        <w:r w:rsidR="009B2977">
          <w:rPr>
            <w:webHidden/>
          </w:rPr>
          <w:fldChar w:fldCharType="separate"/>
        </w:r>
        <w:r w:rsidR="00260178">
          <w:rPr>
            <w:webHidden/>
          </w:rPr>
          <w:t>38</w:t>
        </w:r>
        <w:r w:rsidR="009B2977">
          <w:rPr>
            <w:webHidden/>
          </w:rPr>
          <w:fldChar w:fldCharType="end"/>
        </w:r>
      </w:hyperlink>
    </w:p>
    <w:p w14:paraId="0C7A79A2" w14:textId="6FDB1BB2" w:rsidR="009B2977" w:rsidRDefault="007E7CC8">
      <w:pPr>
        <w:pStyle w:val="TableofFigures"/>
        <w:rPr>
          <w:rFonts w:asciiTheme="minorHAnsi" w:eastAsiaTheme="minorEastAsia" w:hAnsiTheme="minorHAnsi" w:cstheme="minorBidi"/>
          <w:bCs w:val="0"/>
          <w:color w:val="auto"/>
          <w:sz w:val="22"/>
          <w:szCs w:val="22"/>
          <w:lang w:val="en-MY"/>
        </w:rPr>
      </w:pPr>
      <w:hyperlink w:anchor="_Toc98570019" w:history="1">
        <w:r w:rsidR="009B2977" w:rsidRPr="00497A64">
          <w:rPr>
            <w:rStyle w:val="Hyperlink"/>
          </w:rPr>
          <w:t>Figure 1.18: Comparison of EOG recording of SP eye movements between schizophrenia and healthy controls</w:t>
        </w:r>
        <w:r w:rsidR="005F31D9">
          <w:rPr>
            <w:rStyle w:val="Hyperlink"/>
          </w:rPr>
          <w:tab/>
        </w:r>
        <w:r w:rsidR="009B2977">
          <w:rPr>
            <w:webHidden/>
          </w:rPr>
          <w:tab/>
        </w:r>
        <w:r w:rsidR="009B2977">
          <w:rPr>
            <w:webHidden/>
          </w:rPr>
          <w:fldChar w:fldCharType="begin"/>
        </w:r>
        <w:r w:rsidR="009B2977">
          <w:rPr>
            <w:webHidden/>
          </w:rPr>
          <w:instrText xml:space="preserve"> PAGEREF _Toc98570019 \h </w:instrText>
        </w:r>
        <w:r w:rsidR="009B2977">
          <w:rPr>
            <w:webHidden/>
          </w:rPr>
        </w:r>
        <w:r w:rsidR="009B2977">
          <w:rPr>
            <w:webHidden/>
          </w:rPr>
          <w:fldChar w:fldCharType="separate"/>
        </w:r>
        <w:r w:rsidR="00260178">
          <w:rPr>
            <w:webHidden/>
          </w:rPr>
          <w:t>39</w:t>
        </w:r>
        <w:r w:rsidR="009B2977">
          <w:rPr>
            <w:webHidden/>
          </w:rPr>
          <w:fldChar w:fldCharType="end"/>
        </w:r>
      </w:hyperlink>
    </w:p>
    <w:p w14:paraId="5198E210" w14:textId="4E818F79" w:rsidR="009B2977" w:rsidRDefault="007E7CC8">
      <w:pPr>
        <w:pStyle w:val="TableofFigures"/>
        <w:rPr>
          <w:rFonts w:asciiTheme="minorHAnsi" w:eastAsiaTheme="minorEastAsia" w:hAnsiTheme="minorHAnsi" w:cstheme="minorBidi"/>
          <w:bCs w:val="0"/>
          <w:color w:val="auto"/>
          <w:sz w:val="22"/>
          <w:szCs w:val="22"/>
          <w:lang w:val="en-MY"/>
        </w:rPr>
      </w:pPr>
      <w:hyperlink w:anchor="_Toc98570020" w:history="1">
        <w:r w:rsidR="009B2977" w:rsidRPr="00497A64">
          <w:rPr>
            <w:rStyle w:val="Hyperlink"/>
          </w:rPr>
          <w:t>Figure 1.19: Sample of the velocity traces recorded in a left CN VI palsy patient.</w:t>
        </w:r>
        <w:r w:rsidR="009B2977">
          <w:rPr>
            <w:webHidden/>
          </w:rPr>
          <w:tab/>
        </w:r>
        <w:r w:rsidR="009B2977">
          <w:rPr>
            <w:webHidden/>
          </w:rPr>
          <w:fldChar w:fldCharType="begin"/>
        </w:r>
        <w:r w:rsidR="009B2977">
          <w:rPr>
            <w:webHidden/>
          </w:rPr>
          <w:instrText xml:space="preserve"> PAGEREF _Toc98570020 \h </w:instrText>
        </w:r>
        <w:r w:rsidR="009B2977">
          <w:rPr>
            <w:webHidden/>
          </w:rPr>
        </w:r>
        <w:r w:rsidR="009B2977">
          <w:rPr>
            <w:webHidden/>
          </w:rPr>
          <w:fldChar w:fldCharType="separate"/>
        </w:r>
        <w:r w:rsidR="00260178">
          <w:rPr>
            <w:webHidden/>
          </w:rPr>
          <w:t>43</w:t>
        </w:r>
        <w:r w:rsidR="009B2977">
          <w:rPr>
            <w:webHidden/>
          </w:rPr>
          <w:fldChar w:fldCharType="end"/>
        </w:r>
      </w:hyperlink>
    </w:p>
    <w:p w14:paraId="597E6A3F" w14:textId="5F77D335" w:rsidR="009B2977" w:rsidRPr="009B2977" w:rsidRDefault="002D49AA">
      <w:pPr>
        <w:pStyle w:val="TableofFigures"/>
      </w:pPr>
      <w:r w:rsidRPr="009D4627">
        <w:fldChar w:fldCharType="end"/>
      </w:r>
      <w:r w:rsidR="00225FAE" w:rsidRPr="009D4627">
        <w:fldChar w:fldCharType="begin"/>
      </w:r>
      <w:r w:rsidR="00225FAE" w:rsidRPr="009D4627">
        <w:instrText xml:space="preserve"> TOC \h \z \c "Figure 2." </w:instrText>
      </w:r>
      <w:r w:rsidR="00225FAE" w:rsidRPr="009D4627">
        <w:fldChar w:fldCharType="separate"/>
      </w:r>
      <w:hyperlink w:anchor="_Toc98569949" w:history="1">
        <w:r w:rsidR="009B2977" w:rsidRPr="00C5722C">
          <w:rPr>
            <w:rStyle w:val="Hyperlink"/>
          </w:rPr>
          <w:t>Figure 2.1: Schematic diagram of participant's positioning distance relative to a display monitor.</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_Toc98569949 \h </w:instrText>
        </w:r>
        <w:r w:rsidR="009B2977">
          <w:rPr>
            <w:webHidden/>
          </w:rPr>
        </w:r>
        <w:r w:rsidR="009B2977">
          <w:rPr>
            <w:webHidden/>
          </w:rPr>
          <w:fldChar w:fldCharType="separate"/>
        </w:r>
        <w:r w:rsidR="00260178">
          <w:rPr>
            <w:webHidden/>
          </w:rPr>
          <w:t>57</w:t>
        </w:r>
        <w:r w:rsidR="009B2977">
          <w:rPr>
            <w:webHidden/>
          </w:rPr>
          <w:fldChar w:fldCharType="end"/>
        </w:r>
      </w:hyperlink>
    </w:p>
    <w:p w14:paraId="61BECE26" w14:textId="0B88D179" w:rsidR="009B2977" w:rsidRDefault="007E7CC8">
      <w:pPr>
        <w:pStyle w:val="TableofFigures"/>
        <w:rPr>
          <w:rFonts w:asciiTheme="minorHAnsi" w:eastAsiaTheme="minorEastAsia" w:hAnsiTheme="minorHAnsi" w:cstheme="minorBidi"/>
          <w:bCs w:val="0"/>
          <w:color w:val="auto"/>
          <w:sz w:val="22"/>
          <w:szCs w:val="22"/>
          <w:lang w:val="en-MY"/>
        </w:rPr>
      </w:pPr>
      <w:hyperlink w:anchor="_Toc98569950" w:history="1">
        <w:r w:rsidR="009B2977" w:rsidRPr="00C5722C">
          <w:rPr>
            <w:rStyle w:val="Hyperlink"/>
          </w:rPr>
          <w:t>Figure 2.2: Participant set-up during eye recording.</w:t>
        </w:r>
        <w:r w:rsidR="009B2977">
          <w:rPr>
            <w:webHidden/>
          </w:rPr>
          <w:tab/>
        </w:r>
        <w:r w:rsidR="009B2977">
          <w:rPr>
            <w:webHidden/>
          </w:rPr>
          <w:fldChar w:fldCharType="begin"/>
        </w:r>
        <w:r w:rsidR="009B2977">
          <w:rPr>
            <w:webHidden/>
          </w:rPr>
          <w:instrText xml:space="preserve"> PAGEREF _Toc98569950 \h </w:instrText>
        </w:r>
        <w:r w:rsidR="009B2977">
          <w:rPr>
            <w:webHidden/>
          </w:rPr>
        </w:r>
        <w:r w:rsidR="009B2977">
          <w:rPr>
            <w:webHidden/>
          </w:rPr>
          <w:fldChar w:fldCharType="separate"/>
        </w:r>
        <w:r w:rsidR="00260178">
          <w:rPr>
            <w:webHidden/>
          </w:rPr>
          <w:t>58</w:t>
        </w:r>
        <w:r w:rsidR="009B2977">
          <w:rPr>
            <w:webHidden/>
          </w:rPr>
          <w:fldChar w:fldCharType="end"/>
        </w:r>
      </w:hyperlink>
    </w:p>
    <w:p w14:paraId="6FF76AC8" w14:textId="452DC2A6" w:rsidR="009B2977" w:rsidRDefault="007E7CC8">
      <w:pPr>
        <w:pStyle w:val="TableofFigures"/>
        <w:rPr>
          <w:rFonts w:asciiTheme="minorHAnsi" w:eastAsiaTheme="minorEastAsia" w:hAnsiTheme="minorHAnsi" w:cstheme="minorBidi"/>
          <w:bCs w:val="0"/>
          <w:color w:val="auto"/>
          <w:sz w:val="22"/>
          <w:szCs w:val="22"/>
          <w:lang w:val="en-MY"/>
        </w:rPr>
      </w:pPr>
      <w:hyperlink w:anchor="_Toc98569951" w:history="1">
        <w:r w:rsidR="009B2977" w:rsidRPr="00C5722C">
          <w:rPr>
            <w:rStyle w:val="Hyperlink"/>
          </w:rPr>
          <w:t>Figure 2.3: Potential range of pupil threshold for focus setting using the EyeLink 1000 Plus eye movement recorder</w:t>
        </w:r>
        <w:r w:rsidR="009B2977">
          <w:rPr>
            <w:webHidden/>
          </w:rPr>
          <w:tab/>
        </w:r>
        <w:r w:rsidR="009B2977">
          <w:rPr>
            <w:webHidden/>
          </w:rPr>
          <w:fldChar w:fldCharType="begin"/>
        </w:r>
        <w:r w:rsidR="009B2977">
          <w:rPr>
            <w:webHidden/>
          </w:rPr>
          <w:instrText xml:space="preserve"> PAGEREF _Toc98569951 \h </w:instrText>
        </w:r>
        <w:r w:rsidR="009B2977">
          <w:rPr>
            <w:webHidden/>
          </w:rPr>
        </w:r>
        <w:r w:rsidR="009B2977">
          <w:rPr>
            <w:webHidden/>
          </w:rPr>
          <w:fldChar w:fldCharType="separate"/>
        </w:r>
        <w:r w:rsidR="00260178">
          <w:rPr>
            <w:webHidden/>
          </w:rPr>
          <w:t>59</w:t>
        </w:r>
        <w:r w:rsidR="009B2977">
          <w:rPr>
            <w:webHidden/>
          </w:rPr>
          <w:fldChar w:fldCharType="end"/>
        </w:r>
      </w:hyperlink>
    </w:p>
    <w:p w14:paraId="01C878D7" w14:textId="5A1C7A00" w:rsidR="009B2977" w:rsidRDefault="007E7CC8">
      <w:pPr>
        <w:pStyle w:val="TableofFigures"/>
        <w:rPr>
          <w:rFonts w:asciiTheme="minorHAnsi" w:eastAsiaTheme="minorEastAsia" w:hAnsiTheme="minorHAnsi" w:cstheme="minorBidi"/>
          <w:bCs w:val="0"/>
          <w:color w:val="auto"/>
          <w:sz w:val="22"/>
          <w:szCs w:val="22"/>
          <w:lang w:val="en-MY"/>
        </w:rPr>
      </w:pPr>
      <w:hyperlink w:anchor="_Toc98569952" w:history="1">
        <w:r w:rsidR="009B2977" w:rsidRPr="00C5722C">
          <w:rPr>
            <w:rStyle w:val="Hyperlink"/>
          </w:rPr>
          <w:t>Figure 2.4: A sample output displayed on the host PC of five-point validation tested binocularly</w:t>
        </w:r>
        <w:r w:rsidR="005F31D9">
          <w:rPr>
            <w:rStyle w:val="Hyperlink"/>
          </w:rPr>
          <w:tab/>
        </w:r>
        <w:r w:rsidR="005F31D9">
          <w:rPr>
            <w:rStyle w:val="Hyperlink"/>
          </w:rPr>
          <w:tab/>
        </w:r>
        <w:r w:rsidR="005F31D9">
          <w:rPr>
            <w:rStyle w:val="Hyperlink"/>
          </w:rPr>
          <w:tab/>
        </w:r>
        <w:r w:rsidR="005F31D9">
          <w:rPr>
            <w:rStyle w:val="Hyperlink"/>
          </w:rPr>
          <w:tab/>
        </w:r>
        <w:r w:rsidR="009B2977">
          <w:rPr>
            <w:webHidden/>
          </w:rPr>
          <w:tab/>
        </w:r>
        <w:r w:rsidR="009B2977">
          <w:rPr>
            <w:webHidden/>
          </w:rPr>
          <w:fldChar w:fldCharType="begin"/>
        </w:r>
        <w:r w:rsidR="009B2977">
          <w:rPr>
            <w:webHidden/>
          </w:rPr>
          <w:instrText xml:space="preserve"> PAGEREF _Toc98569952 \h </w:instrText>
        </w:r>
        <w:r w:rsidR="009B2977">
          <w:rPr>
            <w:webHidden/>
          </w:rPr>
        </w:r>
        <w:r w:rsidR="009B2977">
          <w:rPr>
            <w:webHidden/>
          </w:rPr>
          <w:fldChar w:fldCharType="separate"/>
        </w:r>
        <w:r w:rsidR="00260178">
          <w:rPr>
            <w:webHidden/>
          </w:rPr>
          <w:t>60</w:t>
        </w:r>
        <w:r w:rsidR="009B2977">
          <w:rPr>
            <w:webHidden/>
          </w:rPr>
          <w:fldChar w:fldCharType="end"/>
        </w:r>
      </w:hyperlink>
    </w:p>
    <w:p w14:paraId="02D07F17" w14:textId="5E12B606" w:rsidR="009B2977" w:rsidRDefault="007E7CC8">
      <w:pPr>
        <w:pStyle w:val="TableofFigures"/>
        <w:rPr>
          <w:rFonts w:asciiTheme="minorHAnsi" w:eastAsiaTheme="minorEastAsia" w:hAnsiTheme="minorHAnsi" w:cstheme="minorBidi"/>
          <w:bCs w:val="0"/>
          <w:color w:val="auto"/>
          <w:sz w:val="22"/>
          <w:szCs w:val="22"/>
          <w:lang w:val="en-MY"/>
        </w:rPr>
      </w:pPr>
      <w:hyperlink w:anchor="_Toc98569953" w:history="1">
        <w:r w:rsidR="009B2977" w:rsidRPr="00C5722C">
          <w:rPr>
            <w:rStyle w:val="Hyperlink"/>
          </w:rPr>
          <w:t>Figure 2.5: Calculation of fixation centre target sizes used in this study.</w:t>
        </w:r>
        <w:r w:rsidR="009B2977">
          <w:rPr>
            <w:webHidden/>
          </w:rPr>
          <w:tab/>
        </w:r>
        <w:r w:rsidR="009B2977">
          <w:rPr>
            <w:webHidden/>
          </w:rPr>
          <w:fldChar w:fldCharType="begin"/>
        </w:r>
        <w:r w:rsidR="009B2977">
          <w:rPr>
            <w:webHidden/>
          </w:rPr>
          <w:instrText xml:space="preserve"> PAGEREF _Toc98569953 \h </w:instrText>
        </w:r>
        <w:r w:rsidR="009B2977">
          <w:rPr>
            <w:webHidden/>
          </w:rPr>
        </w:r>
        <w:r w:rsidR="009B2977">
          <w:rPr>
            <w:webHidden/>
          </w:rPr>
          <w:fldChar w:fldCharType="separate"/>
        </w:r>
        <w:r w:rsidR="00260178">
          <w:rPr>
            <w:webHidden/>
          </w:rPr>
          <w:t>62</w:t>
        </w:r>
        <w:r w:rsidR="009B2977">
          <w:rPr>
            <w:webHidden/>
          </w:rPr>
          <w:fldChar w:fldCharType="end"/>
        </w:r>
      </w:hyperlink>
    </w:p>
    <w:p w14:paraId="13A84491" w14:textId="6A1A4679" w:rsidR="009B2977" w:rsidRDefault="007E7CC8">
      <w:pPr>
        <w:pStyle w:val="TableofFigures"/>
        <w:rPr>
          <w:rFonts w:asciiTheme="minorHAnsi" w:eastAsiaTheme="minorEastAsia" w:hAnsiTheme="minorHAnsi" w:cstheme="minorBidi"/>
          <w:bCs w:val="0"/>
          <w:color w:val="auto"/>
          <w:sz w:val="22"/>
          <w:szCs w:val="22"/>
          <w:lang w:val="en-MY"/>
        </w:rPr>
      </w:pPr>
      <w:hyperlink w:anchor="_Toc98569954" w:history="1">
        <w:r w:rsidR="009B2977" w:rsidRPr="00C5722C">
          <w:rPr>
            <w:rStyle w:val="Hyperlink"/>
          </w:rPr>
          <w:t>Figure 2.6: The coordinates of each fixation testing position presented in the PPD unit. During the test, only one stationary target was presented at a time for 30 sec. Each recording session started with the fixation target at the PP, left, right, up, and downgaze.</w:t>
        </w:r>
        <w:r w:rsidR="009B2977">
          <w:rPr>
            <w:webHidden/>
          </w:rPr>
          <w:tab/>
        </w:r>
        <w:r w:rsidR="009B2977">
          <w:rPr>
            <w:webHidden/>
          </w:rPr>
          <w:fldChar w:fldCharType="begin"/>
        </w:r>
        <w:r w:rsidR="009B2977">
          <w:rPr>
            <w:webHidden/>
          </w:rPr>
          <w:instrText xml:space="preserve"> PAGEREF _Toc98569954 \h </w:instrText>
        </w:r>
        <w:r w:rsidR="009B2977">
          <w:rPr>
            <w:webHidden/>
          </w:rPr>
        </w:r>
        <w:r w:rsidR="009B2977">
          <w:rPr>
            <w:webHidden/>
          </w:rPr>
          <w:fldChar w:fldCharType="separate"/>
        </w:r>
        <w:r w:rsidR="00260178">
          <w:rPr>
            <w:webHidden/>
          </w:rPr>
          <w:t>63</w:t>
        </w:r>
        <w:r w:rsidR="009B2977">
          <w:rPr>
            <w:webHidden/>
          </w:rPr>
          <w:fldChar w:fldCharType="end"/>
        </w:r>
      </w:hyperlink>
    </w:p>
    <w:p w14:paraId="395B236C" w14:textId="2EF7AE5E" w:rsidR="009B2977" w:rsidRDefault="007E7CC8">
      <w:pPr>
        <w:pStyle w:val="TableofFigures"/>
        <w:rPr>
          <w:rFonts w:asciiTheme="minorHAnsi" w:eastAsiaTheme="minorEastAsia" w:hAnsiTheme="minorHAnsi" w:cstheme="minorBidi"/>
          <w:bCs w:val="0"/>
          <w:color w:val="auto"/>
          <w:sz w:val="22"/>
          <w:szCs w:val="22"/>
          <w:lang w:val="en-MY"/>
        </w:rPr>
      </w:pPr>
      <w:hyperlink w:anchor="_Toc98569955" w:history="1">
        <w:r w:rsidR="009B2977" w:rsidRPr="00C5722C">
          <w:rPr>
            <w:rStyle w:val="Hyperlink"/>
          </w:rPr>
          <w:t>Figure 2.7: A sample of complete four cycles sinusoidal waveform for ± 10° horizontal SP EMR moving at 0.2 Hz frequency = 8°/sec mean velocity</w:t>
        </w:r>
        <w:r w:rsidR="009B2977">
          <w:rPr>
            <w:webHidden/>
          </w:rPr>
          <w:tab/>
        </w:r>
        <w:r w:rsidR="009B2977">
          <w:rPr>
            <w:webHidden/>
          </w:rPr>
          <w:fldChar w:fldCharType="begin"/>
        </w:r>
        <w:r w:rsidR="009B2977">
          <w:rPr>
            <w:webHidden/>
          </w:rPr>
          <w:instrText xml:space="preserve"> PAGEREF _Toc98569955 \h </w:instrText>
        </w:r>
        <w:r w:rsidR="009B2977">
          <w:rPr>
            <w:webHidden/>
          </w:rPr>
        </w:r>
        <w:r w:rsidR="009B2977">
          <w:rPr>
            <w:webHidden/>
          </w:rPr>
          <w:fldChar w:fldCharType="separate"/>
        </w:r>
        <w:r w:rsidR="00260178">
          <w:rPr>
            <w:webHidden/>
          </w:rPr>
          <w:t>65</w:t>
        </w:r>
        <w:r w:rsidR="009B2977">
          <w:rPr>
            <w:webHidden/>
          </w:rPr>
          <w:fldChar w:fldCharType="end"/>
        </w:r>
      </w:hyperlink>
    </w:p>
    <w:p w14:paraId="786AB3A7" w14:textId="143B2BEB" w:rsidR="009B2977" w:rsidRDefault="007E7CC8">
      <w:pPr>
        <w:pStyle w:val="TableofFigures"/>
        <w:rPr>
          <w:rFonts w:asciiTheme="minorHAnsi" w:eastAsiaTheme="minorEastAsia" w:hAnsiTheme="minorHAnsi" w:cstheme="minorBidi"/>
          <w:bCs w:val="0"/>
          <w:color w:val="auto"/>
          <w:sz w:val="22"/>
          <w:szCs w:val="22"/>
          <w:lang w:val="en-MY"/>
        </w:rPr>
      </w:pPr>
      <w:hyperlink w:anchor="_Toc98569956" w:history="1">
        <w:r w:rsidR="009B2977" w:rsidRPr="00C5722C">
          <w:rPr>
            <w:rStyle w:val="Hyperlink"/>
          </w:rPr>
          <w:t>Figure 2.8: A sample of complete four cycles</w:t>
        </w:r>
        <w:r w:rsidR="009B2977" w:rsidRPr="00C5722C">
          <w:rPr>
            <w:rStyle w:val="Hyperlink"/>
            <w:b/>
          </w:rPr>
          <w:t xml:space="preserve"> </w:t>
        </w:r>
        <w:r w:rsidR="009B2977" w:rsidRPr="00C5722C">
          <w:rPr>
            <w:rStyle w:val="Hyperlink"/>
          </w:rPr>
          <w:t>sinusoidal waveform for ±8° vertical SP EMR moving at 0.25 Hz frequency = 8°/sec mean velocity</w:t>
        </w:r>
        <w:r w:rsidR="009B2977">
          <w:rPr>
            <w:webHidden/>
          </w:rPr>
          <w:tab/>
        </w:r>
        <w:r w:rsidR="009B2977">
          <w:rPr>
            <w:webHidden/>
          </w:rPr>
          <w:fldChar w:fldCharType="begin"/>
        </w:r>
        <w:r w:rsidR="009B2977">
          <w:rPr>
            <w:webHidden/>
          </w:rPr>
          <w:instrText xml:space="preserve"> PAGEREF _Toc98569956 \h </w:instrText>
        </w:r>
        <w:r w:rsidR="009B2977">
          <w:rPr>
            <w:webHidden/>
          </w:rPr>
        </w:r>
        <w:r w:rsidR="009B2977">
          <w:rPr>
            <w:webHidden/>
          </w:rPr>
          <w:fldChar w:fldCharType="separate"/>
        </w:r>
        <w:r w:rsidR="00260178">
          <w:rPr>
            <w:webHidden/>
          </w:rPr>
          <w:t>66</w:t>
        </w:r>
        <w:r w:rsidR="009B2977">
          <w:rPr>
            <w:webHidden/>
          </w:rPr>
          <w:fldChar w:fldCharType="end"/>
        </w:r>
      </w:hyperlink>
    </w:p>
    <w:p w14:paraId="307AF7FE" w14:textId="2149AE21" w:rsidR="009B2977" w:rsidRDefault="007E7CC8">
      <w:pPr>
        <w:pStyle w:val="TableofFigures"/>
        <w:rPr>
          <w:rFonts w:asciiTheme="minorHAnsi" w:eastAsiaTheme="minorEastAsia" w:hAnsiTheme="minorHAnsi" w:cstheme="minorBidi"/>
          <w:bCs w:val="0"/>
          <w:color w:val="auto"/>
          <w:sz w:val="22"/>
          <w:szCs w:val="22"/>
          <w:lang w:val="en-MY"/>
        </w:rPr>
      </w:pPr>
      <w:hyperlink w:anchor="_Toc98569957" w:history="1">
        <w:r w:rsidR="009B2977" w:rsidRPr="00C5722C">
          <w:rPr>
            <w:rStyle w:val="Hyperlink"/>
          </w:rPr>
          <w:t>Figure 2.9: The target arrangement for horizontal and vertical saccade amplitudes. Only one target was presented at a time for the horizontal and vertical saccade tests.</w:t>
        </w:r>
        <w:r w:rsidR="009B2977">
          <w:rPr>
            <w:webHidden/>
          </w:rPr>
          <w:tab/>
        </w:r>
        <w:r w:rsidR="009B2977">
          <w:rPr>
            <w:webHidden/>
          </w:rPr>
          <w:fldChar w:fldCharType="begin"/>
        </w:r>
        <w:r w:rsidR="009B2977">
          <w:rPr>
            <w:webHidden/>
          </w:rPr>
          <w:instrText xml:space="preserve"> PAGEREF _Toc98569957 \h </w:instrText>
        </w:r>
        <w:r w:rsidR="009B2977">
          <w:rPr>
            <w:webHidden/>
          </w:rPr>
        </w:r>
        <w:r w:rsidR="009B2977">
          <w:rPr>
            <w:webHidden/>
          </w:rPr>
          <w:fldChar w:fldCharType="separate"/>
        </w:r>
        <w:r w:rsidR="00260178">
          <w:rPr>
            <w:webHidden/>
          </w:rPr>
          <w:t>68</w:t>
        </w:r>
        <w:r w:rsidR="009B2977">
          <w:rPr>
            <w:webHidden/>
          </w:rPr>
          <w:fldChar w:fldCharType="end"/>
        </w:r>
      </w:hyperlink>
    </w:p>
    <w:p w14:paraId="78889B85" w14:textId="1232D7A7" w:rsidR="009B2977" w:rsidRDefault="007E7CC8">
      <w:pPr>
        <w:pStyle w:val="TableofFigures"/>
        <w:rPr>
          <w:rFonts w:asciiTheme="minorHAnsi" w:eastAsiaTheme="minorEastAsia" w:hAnsiTheme="minorHAnsi" w:cstheme="minorBidi"/>
          <w:bCs w:val="0"/>
          <w:color w:val="auto"/>
          <w:sz w:val="22"/>
          <w:szCs w:val="22"/>
          <w:lang w:val="en-MY"/>
        </w:rPr>
      </w:pPr>
      <w:hyperlink w:anchor="_Toc98569958" w:history="1">
        <w:r w:rsidR="009B2977" w:rsidRPr="00C5722C">
          <w:rPr>
            <w:rStyle w:val="Hyperlink"/>
          </w:rPr>
          <w:t>Figure 2.10: Illustration of three AOIs created for the fixation analysis for the three target sizes.</w:t>
        </w:r>
        <w:r w:rsidR="009B2977">
          <w:rPr>
            <w:webHidden/>
          </w:rPr>
          <w:tab/>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_Toc98569958 \h </w:instrText>
        </w:r>
        <w:r w:rsidR="009B2977">
          <w:rPr>
            <w:webHidden/>
          </w:rPr>
        </w:r>
        <w:r w:rsidR="009B2977">
          <w:rPr>
            <w:webHidden/>
          </w:rPr>
          <w:fldChar w:fldCharType="separate"/>
        </w:r>
        <w:r w:rsidR="00260178">
          <w:rPr>
            <w:webHidden/>
          </w:rPr>
          <w:t>69</w:t>
        </w:r>
        <w:r w:rsidR="009B2977">
          <w:rPr>
            <w:webHidden/>
          </w:rPr>
          <w:fldChar w:fldCharType="end"/>
        </w:r>
      </w:hyperlink>
    </w:p>
    <w:p w14:paraId="2BC32BC3" w14:textId="16D7334C" w:rsidR="009B2977" w:rsidRDefault="007E7CC8">
      <w:pPr>
        <w:pStyle w:val="TableofFigures"/>
        <w:rPr>
          <w:rFonts w:asciiTheme="minorHAnsi" w:eastAsiaTheme="minorEastAsia" w:hAnsiTheme="minorHAnsi" w:cstheme="minorBidi"/>
          <w:bCs w:val="0"/>
          <w:color w:val="auto"/>
          <w:sz w:val="22"/>
          <w:szCs w:val="22"/>
          <w:lang w:val="en-MY"/>
        </w:rPr>
      </w:pPr>
      <w:hyperlink w:anchor="_Toc98569959" w:history="1">
        <w:r w:rsidR="009B2977" w:rsidRPr="00C5722C">
          <w:rPr>
            <w:rStyle w:val="Hyperlink"/>
          </w:rPr>
          <w:t>Figure 2.11: A sample of SP eye movements performed by a healthy control participant from this study. The x-axis shows the time in ms and the y-axis shows the position of the target in PPD. A change towards the smaller numbers on the y-axis indicates the target moving to the left, while a change towards the bigger numbers indicates a target moving to the right.</w:t>
        </w:r>
        <w:r w:rsidR="009B2977">
          <w:rPr>
            <w:webHidden/>
          </w:rPr>
          <w:tab/>
        </w:r>
        <w:r w:rsidR="009B2977">
          <w:rPr>
            <w:webHidden/>
          </w:rPr>
          <w:fldChar w:fldCharType="begin"/>
        </w:r>
        <w:r w:rsidR="009B2977">
          <w:rPr>
            <w:webHidden/>
          </w:rPr>
          <w:instrText xml:space="preserve"> PAGEREF _Toc98569959 \h </w:instrText>
        </w:r>
        <w:r w:rsidR="009B2977">
          <w:rPr>
            <w:webHidden/>
          </w:rPr>
        </w:r>
        <w:r w:rsidR="009B2977">
          <w:rPr>
            <w:webHidden/>
          </w:rPr>
          <w:fldChar w:fldCharType="separate"/>
        </w:r>
        <w:r w:rsidR="00260178">
          <w:rPr>
            <w:webHidden/>
          </w:rPr>
          <w:t>71</w:t>
        </w:r>
        <w:r w:rsidR="009B2977">
          <w:rPr>
            <w:webHidden/>
          </w:rPr>
          <w:fldChar w:fldCharType="end"/>
        </w:r>
      </w:hyperlink>
    </w:p>
    <w:p w14:paraId="7972A7C9" w14:textId="7D3E45FC" w:rsidR="009B2977" w:rsidRDefault="007E7CC8">
      <w:pPr>
        <w:pStyle w:val="TableofFigures"/>
        <w:rPr>
          <w:rFonts w:asciiTheme="minorHAnsi" w:eastAsiaTheme="minorEastAsia" w:hAnsiTheme="minorHAnsi" w:cstheme="minorBidi"/>
          <w:bCs w:val="0"/>
          <w:color w:val="auto"/>
          <w:sz w:val="22"/>
          <w:szCs w:val="22"/>
          <w:lang w:val="en-MY"/>
        </w:rPr>
      </w:pPr>
      <w:hyperlink w:anchor="_Toc98569960" w:history="1">
        <w:r w:rsidR="009B2977" w:rsidRPr="00C5722C">
          <w:rPr>
            <w:rStyle w:val="Hyperlink"/>
          </w:rPr>
          <w:t>Figure 2.12: A sample of 10° horizontal leftward saccades of the RE from a healthy participant.</w:t>
        </w:r>
        <w:r w:rsidR="009B2977">
          <w:rPr>
            <w:webHidden/>
          </w:rPr>
          <w:tab/>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_Toc98569960 \h </w:instrText>
        </w:r>
        <w:r w:rsidR="009B2977">
          <w:rPr>
            <w:webHidden/>
          </w:rPr>
        </w:r>
        <w:r w:rsidR="009B2977">
          <w:rPr>
            <w:webHidden/>
          </w:rPr>
          <w:fldChar w:fldCharType="separate"/>
        </w:r>
        <w:r w:rsidR="00260178">
          <w:rPr>
            <w:webHidden/>
          </w:rPr>
          <w:t>72</w:t>
        </w:r>
        <w:r w:rsidR="009B2977">
          <w:rPr>
            <w:webHidden/>
          </w:rPr>
          <w:fldChar w:fldCharType="end"/>
        </w:r>
      </w:hyperlink>
    </w:p>
    <w:p w14:paraId="7A3B8C92" w14:textId="31718D97" w:rsidR="009B2977" w:rsidRPr="009B2977" w:rsidRDefault="00225FAE">
      <w:pPr>
        <w:pStyle w:val="TableofFigures"/>
      </w:pPr>
      <w:r w:rsidRPr="009D4627">
        <w:fldChar w:fldCharType="end"/>
      </w:r>
      <w:r w:rsidR="009E1B3C" w:rsidRPr="009D4627">
        <w:fldChar w:fldCharType="begin"/>
      </w:r>
      <w:r w:rsidR="009E1B3C" w:rsidRPr="009D4627">
        <w:instrText xml:space="preserve"> TOC \h \z \c "Figure 3." </w:instrText>
      </w:r>
      <w:r w:rsidR="009E1B3C" w:rsidRPr="009D4627">
        <w:fldChar w:fldCharType="separate"/>
      </w:r>
      <w:hyperlink w:anchor="_Toc98569890" w:history="1">
        <w:r w:rsidR="009B2977" w:rsidRPr="005F0157">
          <w:rPr>
            <w:rStyle w:val="Hyperlink"/>
          </w:rPr>
          <w:t>Figure 3.1: Bar graphs illustrating the group median percentage DT, represented on the y axis, between three age groups shown by the legend within the specific AOI.</w:t>
        </w:r>
        <w:r w:rsidR="009B2977">
          <w:rPr>
            <w:webHidden/>
          </w:rPr>
          <w:tab/>
        </w:r>
        <w:r w:rsidR="009B2977">
          <w:rPr>
            <w:webHidden/>
          </w:rPr>
          <w:fldChar w:fldCharType="begin"/>
        </w:r>
        <w:r w:rsidR="009B2977">
          <w:rPr>
            <w:webHidden/>
          </w:rPr>
          <w:instrText xml:space="preserve"> PAGEREF _Toc98569890 \h </w:instrText>
        </w:r>
        <w:r w:rsidR="009B2977">
          <w:rPr>
            <w:webHidden/>
          </w:rPr>
        </w:r>
        <w:r w:rsidR="009B2977">
          <w:rPr>
            <w:webHidden/>
          </w:rPr>
          <w:fldChar w:fldCharType="separate"/>
        </w:r>
        <w:r w:rsidR="00260178">
          <w:rPr>
            <w:webHidden/>
          </w:rPr>
          <w:t>82</w:t>
        </w:r>
        <w:r w:rsidR="009B2977">
          <w:rPr>
            <w:webHidden/>
          </w:rPr>
          <w:fldChar w:fldCharType="end"/>
        </w:r>
      </w:hyperlink>
    </w:p>
    <w:p w14:paraId="598CC8C7" w14:textId="17F3DF39" w:rsidR="009B2977" w:rsidRDefault="007E7CC8">
      <w:pPr>
        <w:pStyle w:val="TableofFigures"/>
        <w:rPr>
          <w:rFonts w:asciiTheme="minorHAnsi" w:eastAsiaTheme="minorEastAsia" w:hAnsiTheme="minorHAnsi" w:cstheme="minorBidi"/>
          <w:bCs w:val="0"/>
          <w:color w:val="auto"/>
          <w:sz w:val="22"/>
          <w:szCs w:val="22"/>
          <w:lang w:val="en-MY"/>
        </w:rPr>
      </w:pPr>
      <w:hyperlink w:anchor="_Toc98569891" w:history="1">
        <w:r w:rsidR="009B2977" w:rsidRPr="005F0157">
          <w:rPr>
            <w:rStyle w:val="Hyperlink"/>
          </w:rPr>
          <w:t>Figure 3.2: A bar graph displays the median percentage DT of three age groups (young, middle and old age) according to the three AOIs (1°, 2° and &gt;2°).</w:t>
        </w:r>
        <w:r w:rsidR="009B2977">
          <w:rPr>
            <w:webHidden/>
          </w:rPr>
          <w:tab/>
        </w:r>
        <w:r w:rsidR="009B2977">
          <w:rPr>
            <w:webHidden/>
          </w:rPr>
          <w:fldChar w:fldCharType="begin"/>
        </w:r>
        <w:r w:rsidR="009B2977">
          <w:rPr>
            <w:webHidden/>
          </w:rPr>
          <w:instrText xml:space="preserve"> PAGEREF _Toc98569891 \h </w:instrText>
        </w:r>
        <w:r w:rsidR="009B2977">
          <w:rPr>
            <w:webHidden/>
          </w:rPr>
        </w:r>
        <w:r w:rsidR="009B2977">
          <w:rPr>
            <w:webHidden/>
          </w:rPr>
          <w:fldChar w:fldCharType="separate"/>
        </w:r>
        <w:r w:rsidR="00260178">
          <w:rPr>
            <w:webHidden/>
          </w:rPr>
          <w:t>84</w:t>
        </w:r>
        <w:r w:rsidR="009B2977">
          <w:rPr>
            <w:webHidden/>
          </w:rPr>
          <w:fldChar w:fldCharType="end"/>
        </w:r>
      </w:hyperlink>
    </w:p>
    <w:p w14:paraId="08FF715C" w14:textId="78825796" w:rsidR="009B2977" w:rsidRDefault="007E7CC8">
      <w:pPr>
        <w:pStyle w:val="TableofFigures"/>
        <w:rPr>
          <w:rFonts w:asciiTheme="minorHAnsi" w:eastAsiaTheme="minorEastAsia" w:hAnsiTheme="minorHAnsi" w:cstheme="minorBidi"/>
          <w:bCs w:val="0"/>
          <w:color w:val="auto"/>
          <w:sz w:val="22"/>
          <w:szCs w:val="22"/>
          <w:lang w:val="en-MY"/>
        </w:rPr>
      </w:pPr>
      <w:hyperlink w:anchor="_Toc98569892" w:history="1">
        <w:r w:rsidR="009B2977" w:rsidRPr="005F0157">
          <w:rPr>
            <w:rStyle w:val="Hyperlink"/>
          </w:rPr>
          <w:t>Figure 3.3: The scatterplots showing horizontal SP gain according to trial frequency for three age groups.</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_Toc98569892 \h </w:instrText>
        </w:r>
        <w:r w:rsidR="009B2977">
          <w:rPr>
            <w:webHidden/>
          </w:rPr>
        </w:r>
        <w:r w:rsidR="009B2977">
          <w:rPr>
            <w:webHidden/>
          </w:rPr>
          <w:fldChar w:fldCharType="separate"/>
        </w:r>
        <w:r w:rsidR="00260178">
          <w:rPr>
            <w:webHidden/>
          </w:rPr>
          <w:t>87</w:t>
        </w:r>
        <w:r w:rsidR="009B2977">
          <w:rPr>
            <w:webHidden/>
          </w:rPr>
          <w:fldChar w:fldCharType="end"/>
        </w:r>
      </w:hyperlink>
    </w:p>
    <w:p w14:paraId="4AAC7B96" w14:textId="6E530FB8" w:rsidR="009B2977" w:rsidRDefault="007E7CC8">
      <w:pPr>
        <w:pStyle w:val="TableofFigures"/>
        <w:rPr>
          <w:rFonts w:asciiTheme="minorHAnsi" w:eastAsiaTheme="minorEastAsia" w:hAnsiTheme="minorHAnsi" w:cstheme="minorBidi"/>
          <w:bCs w:val="0"/>
          <w:color w:val="auto"/>
          <w:sz w:val="22"/>
          <w:szCs w:val="22"/>
          <w:lang w:val="en-MY"/>
        </w:rPr>
      </w:pPr>
      <w:hyperlink w:anchor="_Toc98569893" w:history="1">
        <w:r w:rsidR="009B2977" w:rsidRPr="005F0157">
          <w:rPr>
            <w:rStyle w:val="Hyperlink"/>
          </w:rPr>
          <w:t>Figure 3.4: The scatterplots showing horizontal SP RMSE according to trial frequency for three age groups.</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_Toc98569893 \h </w:instrText>
        </w:r>
        <w:r w:rsidR="009B2977">
          <w:rPr>
            <w:webHidden/>
          </w:rPr>
        </w:r>
        <w:r w:rsidR="009B2977">
          <w:rPr>
            <w:webHidden/>
          </w:rPr>
          <w:fldChar w:fldCharType="separate"/>
        </w:r>
        <w:r w:rsidR="00260178">
          <w:rPr>
            <w:webHidden/>
          </w:rPr>
          <w:t>88</w:t>
        </w:r>
        <w:r w:rsidR="009B2977">
          <w:rPr>
            <w:webHidden/>
          </w:rPr>
          <w:fldChar w:fldCharType="end"/>
        </w:r>
      </w:hyperlink>
    </w:p>
    <w:p w14:paraId="560E06ED" w14:textId="424228BB" w:rsidR="009B2977" w:rsidRDefault="007E7CC8">
      <w:pPr>
        <w:pStyle w:val="TableofFigures"/>
        <w:rPr>
          <w:rFonts w:asciiTheme="minorHAnsi" w:eastAsiaTheme="minorEastAsia" w:hAnsiTheme="minorHAnsi" w:cstheme="minorBidi"/>
          <w:bCs w:val="0"/>
          <w:color w:val="auto"/>
          <w:sz w:val="22"/>
          <w:szCs w:val="22"/>
          <w:lang w:val="en-MY"/>
        </w:rPr>
      </w:pPr>
      <w:hyperlink w:anchor="_Toc98569894" w:history="1">
        <w:r w:rsidR="009B2977" w:rsidRPr="005F0157">
          <w:rPr>
            <w:rStyle w:val="Hyperlink"/>
          </w:rPr>
          <w:t>Figure 3.5: The scatterplots showing horizontal SP duration according to trial frequency for three age groups</w:t>
        </w:r>
        <w:r w:rsidR="009B2977">
          <w:rPr>
            <w:webHidden/>
          </w:rPr>
          <w:tab/>
        </w:r>
        <w:r w:rsidR="009B2977">
          <w:rPr>
            <w:webHidden/>
          </w:rPr>
          <w:tab/>
        </w:r>
        <w:r w:rsidR="009B2977">
          <w:rPr>
            <w:webHidden/>
          </w:rPr>
          <w:fldChar w:fldCharType="begin"/>
        </w:r>
        <w:r w:rsidR="009B2977">
          <w:rPr>
            <w:webHidden/>
          </w:rPr>
          <w:instrText xml:space="preserve"> PAGEREF _Toc98569894 \h </w:instrText>
        </w:r>
        <w:r w:rsidR="009B2977">
          <w:rPr>
            <w:webHidden/>
          </w:rPr>
        </w:r>
        <w:r w:rsidR="009B2977">
          <w:rPr>
            <w:webHidden/>
          </w:rPr>
          <w:fldChar w:fldCharType="separate"/>
        </w:r>
        <w:r w:rsidR="00260178">
          <w:rPr>
            <w:webHidden/>
          </w:rPr>
          <w:t>89</w:t>
        </w:r>
        <w:r w:rsidR="009B2977">
          <w:rPr>
            <w:webHidden/>
          </w:rPr>
          <w:fldChar w:fldCharType="end"/>
        </w:r>
      </w:hyperlink>
    </w:p>
    <w:p w14:paraId="732C9F57" w14:textId="1B27FB20" w:rsidR="009B2977" w:rsidRDefault="007E7CC8">
      <w:pPr>
        <w:pStyle w:val="TableofFigures"/>
        <w:rPr>
          <w:rFonts w:asciiTheme="minorHAnsi" w:eastAsiaTheme="minorEastAsia" w:hAnsiTheme="minorHAnsi" w:cstheme="minorBidi"/>
          <w:bCs w:val="0"/>
          <w:color w:val="auto"/>
          <w:sz w:val="22"/>
          <w:szCs w:val="22"/>
          <w:lang w:val="en-MY"/>
        </w:rPr>
      </w:pPr>
      <w:hyperlink w:anchor="_Toc98569895" w:history="1">
        <w:r w:rsidR="009B2977" w:rsidRPr="005F0157">
          <w:rPr>
            <w:rStyle w:val="Hyperlink"/>
          </w:rPr>
          <w:t>Figure 3.6: The scatterplots showing horizontal SP gain according to trial frequency for three age groups.</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_Toc98569895 \h </w:instrText>
        </w:r>
        <w:r w:rsidR="009B2977">
          <w:rPr>
            <w:webHidden/>
          </w:rPr>
        </w:r>
        <w:r w:rsidR="009B2977">
          <w:rPr>
            <w:webHidden/>
          </w:rPr>
          <w:fldChar w:fldCharType="separate"/>
        </w:r>
        <w:r w:rsidR="00260178">
          <w:rPr>
            <w:webHidden/>
          </w:rPr>
          <w:t>92</w:t>
        </w:r>
        <w:r w:rsidR="009B2977">
          <w:rPr>
            <w:webHidden/>
          </w:rPr>
          <w:fldChar w:fldCharType="end"/>
        </w:r>
      </w:hyperlink>
    </w:p>
    <w:p w14:paraId="11E9C65E" w14:textId="2A006926" w:rsidR="009B2977" w:rsidRDefault="007E7CC8">
      <w:pPr>
        <w:pStyle w:val="TableofFigures"/>
        <w:rPr>
          <w:rFonts w:asciiTheme="minorHAnsi" w:eastAsiaTheme="minorEastAsia" w:hAnsiTheme="minorHAnsi" w:cstheme="minorBidi"/>
          <w:bCs w:val="0"/>
          <w:color w:val="auto"/>
          <w:sz w:val="22"/>
          <w:szCs w:val="22"/>
          <w:lang w:val="en-MY"/>
        </w:rPr>
      </w:pPr>
      <w:hyperlink w:anchor="_Toc98569896" w:history="1">
        <w:r w:rsidR="009B2977" w:rsidRPr="005F0157">
          <w:rPr>
            <w:rStyle w:val="Hyperlink"/>
          </w:rPr>
          <w:t>Figure 3.7: The scatterplots showing vertical SP RMSE according to trial frequency for three age groups.</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_Toc98569896 \h </w:instrText>
        </w:r>
        <w:r w:rsidR="009B2977">
          <w:rPr>
            <w:webHidden/>
          </w:rPr>
        </w:r>
        <w:r w:rsidR="009B2977">
          <w:rPr>
            <w:webHidden/>
          </w:rPr>
          <w:fldChar w:fldCharType="separate"/>
        </w:r>
        <w:r w:rsidR="00260178">
          <w:rPr>
            <w:webHidden/>
          </w:rPr>
          <w:t>93</w:t>
        </w:r>
        <w:r w:rsidR="009B2977">
          <w:rPr>
            <w:webHidden/>
          </w:rPr>
          <w:fldChar w:fldCharType="end"/>
        </w:r>
      </w:hyperlink>
    </w:p>
    <w:p w14:paraId="506BBE11" w14:textId="7E9EC9D0" w:rsidR="009B2977" w:rsidRDefault="007E7CC8">
      <w:pPr>
        <w:pStyle w:val="TableofFigures"/>
        <w:rPr>
          <w:rFonts w:asciiTheme="minorHAnsi" w:eastAsiaTheme="minorEastAsia" w:hAnsiTheme="minorHAnsi" w:cstheme="minorBidi"/>
          <w:bCs w:val="0"/>
          <w:color w:val="auto"/>
          <w:sz w:val="22"/>
          <w:szCs w:val="22"/>
          <w:lang w:val="en-MY"/>
        </w:rPr>
      </w:pPr>
      <w:hyperlink w:anchor="_Toc98569897" w:history="1">
        <w:r w:rsidR="009B2977" w:rsidRPr="005F0157">
          <w:rPr>
            <w:rStyle w:val="Hyperlink"/>
          </w:rPr>
          <w:t>Figure 3.8: The scatterplots showing vertical SP duration according to trial frequency for three age groups.</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_Toc98569897 \h </w:instrText>
        </w:r>
        <w:r w:rsidR="009B2977">
          <w:rPr>
            <w:webHidden/>
          </w:rPr>
        </w:r>
        <w:r w:rsidR="009B2977">
          <w:rPr>
            <w:webHidden/>
          </w:rPr>
          <w:fldChar w:fldCharType="separate"/>
        </w:r>
        <w:r w:rsidR="00260178">
          <w:rPr>
            <w:webHidden/>
          </w:rPr>
          <w:t>94</w:t>
        </w:r>
        <w:r w:rsidR="009B2977">
          <w:rPr>
            <w:webHidden/>
          </w:rPr>
          <w:fldChar w:fldCharType="end"/>
        </w:r>
      </w:hyperlink>
    </w:p>
    <w:p w14:paraId="50677BAD" w14:textId="7E54505B" w:rsidR="009B2977" w:rsidRDefault="007E7CC8">
      <w:pPr>
        <w:pStyle w:val="TableofFigures"/>
        <w:rPr>
          <w:rFonts w:asciiTheme="minorHAnsi" w:eastAsiaTheme="minorEastAsia" w:hAnsiTheme="minorHAnsi" w:cstheme="minorBidi"/>
          <w:bCs w:val="0"/>
          <w:color w:val="auto"/>
          <w:sz w:val="22"/>
          <w:szCs w:val="22"/>
          <w:lang w:val="en-MY"/>
        </w:rPr>
      </w:pPr>
      <w:hyperlink w:anchor="_Toc98569898" w:history="1">
        <w:r w:rsidR="009B2977" w:rsidRPr="005F0157">
          <w:rPr>
            <w:rStyle w:val="Hyperlink"/>
          </w:rPr>
          <w:t>Figure 3.9: The scatterplots show the horizontal saccadic latency of young, middle, and old age groups with 72 saccadic trials at three pooled saccadic amplitude sizes (±5 = small, ±10 = medium, and ±15 = large).</w:t>
        </w:r>
        <w:r w:rsidR="009B2977">
          <w:rPr>
            <w:webHidden/>
          </w:rPr>
          <w:tab/>
        </w:r>
        <w:r w:rsidR="009B2977">
          <w:rPr>
            <w:webHidden/>
          </w:rPr>
          <w:fldChar w:fldCharType="begin"/>
        </w:r>
        <w:r w:rsidR="009B2977">
          <w:rPr>
            <w:webHidden/>
          </w:rPr>
          <w:instrText xml:space="preserve"> PAGEREF _Toc98569898 \h </w:instrText>
        </w:r>
        <w:r w:rsidR="009B2977">
          <w:rPr>
            <w:webHidden/>
          </w:rPr>
        </w:r>
        <w:r w:rsidR="009B2977">
          <w:rPr>
            <w:webHidden/>
          </w:rPr>
          <w:fldChar w:fldCharType="separate"/>
        </w:r>
        <w:r w:rsidR="00260178">
          <w:rPr>
            <w:webHidden/>
          </w:rPr>
          <w:t>98</w:t>
        </w:r>
        <w:r w:rsidR="009B2977">
          <w:rPr>
            <w:webHidden/>
          </w:rPr>
          <w:fldChar w:fldCharType="end"/>
        </w:r>
      </w:hyperlink>
    </w:p>
    <w:p w14:paraId="2D006C19" w14:textId="51C6B3A2" w:rsidR="009B2977" w:rsidRDefault="007E7CC8">
      <w:pPr>
        <w:pStyle w:val="TableofFigures"/>
        <w:rPr>
          <w:rFonts w:asciiTheme="minorHAnsi" w:eastAsiaTheme="minorEastAsia" w:hAnsiTheme="minorHAnsi" w:cstheme="minorBidi"/>
          <w:bCs w:val="0"/>
          <w:color w:val="auto"/>
          <w:sz w:val="22"/>
          <w:szCs w:val="22"/>
          <w:lang w:val="en-MY"/>
        </w:rPr>
      </w:pPr>
      <w:hyperlink w:anchor="_Toc98569899" w:history="1">
        <w:r w:rsidR="009B2977" w:rsidRPr="005F0157">
          <w:rPr>
            <w:rStyle w:val="Hyperlink"/>
          </w:rPr>
          <w:t>Figure 3.10: The scatterplots show the horizontal saccadic peak velocity of young, middle, and old age groups with 72 saccadic trials at three pooled saccadic amplitude sizes (±5 = small, ±10 = medium, and ±15 = large).</w:t>
        </w:r>
        <w:r w:rsidR="009B2977">
          <w:rPr>
            <w:webHidden/>
          </w:rPr>
          <w:tab/>
        </w:r>
        <w:r w:rsidR="009B2977">
          <w:rPr>
            <w:webHidden/>
          </w:rPr>
          <w:fldChar w:fldCharType="begin"/>
        </w:r>
        <w:r w:rsidR="009B2977">
          <w:rPr>
            <w:webHidden/>
          </w:rPr>
          <w:instrText xml:space="preserve"> PAGEREF _Toc98569899 \h </w:instrText>
        </w:r>
        <w:r w:rsidR="009B2977">
          <w:rPr>
            <w:webHidden/>
          </w:rPr>
        </w:r>
        <w:r w:rsidR="009B2977">
          <w:rPr>
            <w:webHidden/>
          </w:rPr>
          <w:fldChar w:fldCharType="separate"/>
        </w:r>
        <w:r w:rsidR="00260178">
          <w:rPr>
            <w:webHidden/>
          </w:rPr>
          <w:t>99</w:t>
        </w:r>
        <w:r w:rsidR="009B2977">
          <w:rPr>
            <w:webHidden/>
          </w:rPr>
          <w:fldChar w:fldCharType="end"/>
        </w:r>
      </w:hyperlink>
    </w:p>
    <w:p w14:paraId="043FC32B" w14:textId="0AE5D839" w:rsidR="009B2977" w:rsidRDefault="007E7CC8">
      <w:pPr>
        <w:pStyle w:val="TableofFigures"/>
        <w:rPr>
          <w:rFonts w:asciiTheme="minorHAnsi" w:eastAsiaTheme="minorEastAsia" w:hAnsiTheme="minorHAnsi" w:cstheme="minorBidi"/>
          <w:bCs w:val="0"/>
          <w:color w:val="auto"/>
          <w:sz w:val="22"/>
          <w:szCs w:val="22"/>
          <w:lang w:val="en-MY"/>
        </w:rPr>
      </w:pPr>
      <w:hyperlink w:anchor="_Toc98569900" w:history="1">
        <w:r w:rsidR="009B2977" w:rsidRPr="005F0157">
          <w:rPr>
            <w:rStyle w:val="Hyperlink"/>
          </w:rPr>
          <w:t>Figure 3.11: The scatterplots depict the horizontal saccadic gain of young, middle and old age groups with 72 saccadic trials at three size of pooled saccadic amplitudes (±5 = small, ±10 = medium, and ±15 = large).</w:t>
        </w:r>
        <w:r w:rsidR="009B2977">
          <w:rPr>
            <w:webHidden/>
          </w:rPr>
          <w:tab/>
        </w:r>
        <w:r w:rsidR="009B2977">
          <w:rPr>
            <w:webHidden/>
          </w:rPr>
          <w:fldChar w:fldCharType="begin"/>
        </w:r>
        <w:r w:rsidR="009B2977">
          <w:rPr>
            <w:webHidden/>
          </w:rPr>
          <w:instrText xml:space="preserve"> PAGEREF _Toc98569900 \h </w:instrText>
        </w:r>
        <w:r w:rsidR="009B2977">
          <w:rPr>
            <w:webHidden/>
          </w:rPr>
        </w:r>
        <w:r w:rsidR="009B2977">
          <w:rPr>
            <w:webHidden/>
          </w:rPr>
          <w:fldChar w:fldCharType="separate"/>
        </w:r>
        <w:r w:rsidR="00260178">
          <w:rPr>
            <w:webHidden/>
          </w:rPr>
          <w:t>100</w:t>
        </w:r>
        <w:r w:rsidR="009B2977">
          <w:rPr>
            <w:webHidden/>
          </w:rPr>
          <w:fldChar w:fldCharType="end"/>
        </w:r>
      </w:hyperlink>
    </w:p>
    <w:p w14:paraId="1D2EF20F" w14:textId="772EA57F" w:rsidR="009B2977" w:rsidRDefault="007E7CC8">
      <w:pPr>
        <w:pStyle w:val="TableofFigures"/>
        <w:rPr>
          <w:rFonts w:asciiTheme="minorHAnsi" w:eastAsiaTheme="minorEastAsia" w:hAnsiTheme="minorHAnsi" w:cstheme="minorBidi"/>
          <w:bCs w:val="0"/>
          <w:color w:val="auto"/>
          <w:sz w:val="22"/>
          <w:szCs w:val="22"/>
          <w:lang w:val="en-MY"/>
        </w:rPr>
      </w:pPr>
      <w:hyperlink w:anchor="_Toc98569901" w:history="1">
        <w:r w:rsidR="009B2977" w:rsidRPr="005F0157">
          <w:rPr>
            <w:rStyle w:val="Hyperlink"/>
          </w:rPr>
          <w:t>Figure 3.12: The scatterplots show the vertical saccadic latency of young, middle, and old age groups with 72 saccadic trials at pooled upward and downward saccadic amplitude sizes. Upward amplitude consists of +4, +6 and +8°, while downward amplitude consists of -4, -6 and -8°.</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_Toc98569901 \h </w:instrText>
        </w:r>
        <w:r w:rsidR="009B2977">
          <w:rPr>
            <w:webHidden/>
          </w:rPr>
        </w:r>
        <w:r w:rsidR="009B2977">
          <w:rPr>
            <w:webHidden/>
          </w:rPr>
          <w:fldChar w:fldCharType="separate"/>
        </w:r>
        <w:r w:rsidR="00260178">
          <w:rPr>
            <w:webHidden/>
          </w:rPr>
          <w:t>103</w:t>
        </w:r>
        <w:r w:rsidR="009B2977">
          <w:rPr>
            <w:webHidden/>
          </w:rPr>
          <w:fldChar w:fldCharType="end"/>
        </w:r>
      </w:hyperlink>
    </w:p>
    <w:p w14:paraId="2D08EE16" w14:textId="7727C5E6" w:rsidR="009B2977" w:rsidRDefault="007E7CC8">
      <w:pPr>
        <w:pStyle w:val="TableofFigures"/>
        <w:rPr>
          <w:rFonts w:asciiTheme="minorHAnsi" w:eastAsiaTheme="minorEastAsia" w:hAnsiTheme="minorHAnsi" w:cstheme="minorBidi"/>
          <w:bCs w:val="0"/>
          <w:color w:val="auto"/>
          <w:sz w:val="22"/>
          <w:szCs w:val="22"/>
          <w:lang w:val="en-MY"/>
        </w:rPr>
      </w:pPr>
      <w:hyperlink w:anchor="_Toc98569902" w:history="1">
        <w:r w:rsidR="009B2977" w:rsidRPr="005F0157">
          <w:rPr>
            <w:rStyle w:val="Hyperlink"/>
          </w:rPr>
          <w:t xml:space="preserve">Figure 3.13: The scatterplots show the vertical saccadic peak velocity of young, middle, and old age groups with 72 saccadic trials at pooled upward and downward saccadic amplitude </w:t>
        </w:r>
        <w:r w:rsidR="009B2977" w:rsidRPr="005F0157">
          <w:rPr>
            <w:rStyle w:val="Hyperlink"/>
          </w:rPr>
          <w:lastRenderedPageBreak/>
          <w:t>sizes. Upward amplitude consists of +4, +6 and +8°, while downward amplitude consists of -4, -6 and -8°.</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_Toc98569902 \h </w:instrText>
        </w:r>
        <w:r w:rsidR="009B2977">
          <w:rPr>
            <w:webHidden/>
          </w:rPr>
        </w:r>
        <w:r w:rsidR="009B2977">
          <w:rPr>
            <w:webHidden/>
          </w:rPr>
          <w:fldChar w:fldCharType="separate"/>
        </w:r>
        <w:r w:rsidR="00260178">
          <w:rPr>
            <w:webHidden/>
          </w:rPr>
          <w:t>104</w:t>
        </w:r>
        <w:r w:rsidR="009B2977">
          <w:rPr>
            <w:webHidden/>
          </w:rPr>
          <w:fldChar w:fldCharType="end"/>
        </w:r>
      </w:hyperlink>
    </w:p>
    <w:p w14:paraId="4AA28427" w14:textId="478BD190" w:rsidR="009B2977" w:rsidRDefault="007E7CC8">
      <w:pPr>
        <w:pStyle w:val="TableofFigures"/>
        <w:rPr>
          <w:rFonts w:asciiTheme="minorHAnsi" w:eastAsiaTheme="minorEastAsia" w:hAnsiTheme="minorHAnsi" w:cstheme="minorBidi"/>
          <w:bCs w:val="0"/>
          <w:color w:val="auto"/>
          <w:sz w:val="22"/>
          <w:szCs w:val="22"/>
          <w:lang w:val="en-MY"/>
        </w:rPr>
      </w:pPr>
      <w:hyperlink w:anchor="_Toc98569903" w:history="1">
        <w:r w:rsidR="009B2977" w:rsidRPr="005F0157">
          <w:rPr>
            <w:rStyle w:val="Hyperlink"/>
          </w:rPr>
          <w:t>Figure 3.14: The scatterplots show the vertical saccadic gain of young, middle, and old age groups with 72 saccadic trials at pooled upward and downward saccadic amplitude sizes. Upward amplitude consists of +4, +6 and +8°, while downward amplitude consists of -4, -6 and -8°.</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_Toc98569903 \h </w:instrText>
        </w:r>
        <w:r w:rsidR="009B2977">
          <w:rPr>
            <w:webHidden/>
          </w:rPr>
        </w:r>
        <w:r w:rsidR="009B2977">
          <w:rPr>
            <w:webHidden/>
          </w:rPr>
          <w:fldChar w:fldCharType="separate"/>
        </w:r>
        <w:r w:rsidR="00260178">
          <w:rPr>
            <w:webHidden/>
          </w:rPr>
          <w:t>105</w:t>
        </w:r>
        <w:r w:rsidR="009B2977">
          <w:rPr>
            <w:webHidden/>
          </w:rPr>
          <w:fldChar w:fldCharType="end"/>
        </w:r>
      </w:hyperlink>
    </w:p>
    <w:p w14:paraId="1472CEF0" w14:textId="14E31CBE" w:rsidR="000E5835" w:rsidRPr="000E5835" w:rsidRDefault="009E1B3C">
      <w:pPr>
        <w:pStyle w:val="TableofFigures"/>
      </w:pPr>
      <w:r w:rsidRPr="009D4627">
        <w:fldChar w:fldCharType="end"/>
      </w:r>
      <w:r w:rsidR="00A826BF" w:rsidRPr="009D4627">
        <w:fldChar w:fldCharType="begin"/>
      </w:r>
      <w:r w:rsidR="00A826BF" w:rsidRPr="009D4627">
        <w:instrText xml:space="preserve"> TOC \h \z \c "Figure 4." </w:instrText>
      </w:r>
      <w:r w:rsidR="00A826BF" w:rsidRPr="009D4627">
        <w:fldChar w:fldCharType="separate"/>
      </w:r>
      <w:hyperlink w:anchor="_Toc98967227" w:history="1">
        <w:r w:rsidR="000E5835" w:rsidRPr="0008104F">
          <w:rPr>
            <w:rStyle w:val="Hyperlink"/>
          </w:rPr>
          <w:t>Figure 4.1: Bar graph illustrating the group median percentage DT recorded using three target sizes (0.5, 1.0 and 2.0°) and analysed at three AOIs.</w:t>
        </w:r>
        <w:r w:rsidR="000E5835">
          <w:rPr>
            <w:webHidden/>
          </w:rPr>
          <w:tab/>
        </w:r>
        <w:r w:rsidR="000E5835">
          <w:rPr>
            <w:webHidden/>
          </w:rPr>
          <w:fldChar w:fldCharType="begin"/>
        </w:r>
        <w:r w:rsidR="000E5835">
          <w:rPr>
            <w:webHidden/>
          </w:rPr>
          <w:instrText xml:space="preserve"> PAGEREF _Toc98967227 \h </w:instrText>
        </w:r>
        <w:r w:rsidR="000E5835">
          <w:rPr>
            <w:webHidden/>
          </w:rPr>
        </w:r>
        <w:r w:rsidR="000E5835">
          <w:rPr>
            <w:webHidden/>
          </w:rPr>
          <w:fldChar w:fldCharType="separate"/>
        </w:r>
        <w:r w:rsidR="00260178">
          <w:rPr>
            <w:webHidden/>
          </w:rPr>
          <w:t>117</w:t>
        </w:r>
        <w:r w:rsidR="000E5835">
          <w:rPr>
            <w:webHidden/>
          </w:rPr>
          <w:fldChar w:fldCharType="end"/>
        </w:r>
      </w:hyperlink>
    </w:p>
    <w:p w14:paraId="13799C04" w14:textId="6FCBFC93" w:rsidR="000E5835" w:rsidRDefault="007E7CC8">
      <w:pPr>
        <w:pStyle w:val="TableofFigures"/>
        <w:rPr>
          <w:rFonts w:asciiTheme="minorHAnsi" w:eastAsiaTheme="minorEastAsia" w:hAnsiTheme="minorHAnsi" w:cstheme="minorBidi"/>
          <w:bCs w:val="0"/>
          <w:color w:val="auto"/>
          <w:sz w:val="22"/>
          <w:szCs w:val="22"/>
          <w:lang w:val="en-MY"/>
        </w:rPr>
      </w:pPr>
      <w:hyperlink w:anchor="_Toc98967228" w:history="1">
        <w:r w:rsidR="000E5835" w:rsidRPr="0008104F">
          <w:rPr>
            <w:rStyle w:val="Hyperlink"/>
          </w:rPr>
          <w:t>Figure 4.2: The effect of target size (0.5°, 1.0° and 2.0°) and frequency (0.2, 0.4, 0.6 and 0.8 Hz) on the horizontal SP parameters. The group mean values for a) gain, b) RMSE, and c) SP duration is shown. The legend for each graph specifies the target's size (°). The error bars indicate the standard error of ±1 SE.</w:t>
        </w:r>
        <w:r w:rsidR="000E5835">
          <w:rPr>
            <w:webHidden/>
          </w:rPr>
          <w:tab/>
        </w:r>
        <w:r w:rsidR="000E5835">
          <w:rPr>
            <w:webHidden/>
          </w:rPr>
          <w:fldChar w:fldCharType="begin"/>
        </w:r>
        <w:r w:rsidR="000E5835">
          <w:rPr>
            <w:webHidden/>
          </w:rPr>
          <w:instrText xml:space="preserve"> PAGEREF _Toc98967228 \h </w:instrText>
        </w:r>
        <w:r w:rsidR="000E5835">
          <w:rPr>
            <w:webHidden/>
          </w:rPr>
        </w:r>
        <w:r w:rsidR="000E5835">
          <w:rPr>
            <w:webHidden/>
          </w:rPr>
          <w:fldChar w:fldCharType="separate"/>
        </w:r>
        <w:r w:rsidR="00260178">
          <w:rPr>
            <w:webHidden/>
          </w:rPr>
          <w:t>119</w:t>
        </w:r>
        <w:r w:rsidR="000E5835">
          <w:rPr>
            <w:webHidden/>
          </w:rPr>
          <w:fldChar w:fldCharType="end"/>
        </w:r>
      </w:hyperlink>
    </w:p>
    <w:p w14:paraId="3B6307BA" w14:textId="7EB3E37A" w:rsidR="000E5835" w:rsidRDefault="007E7CC8">
      <w:pPr>
        <w:pStyle w:val="TableofFigures"/>
        <w:rPr>
          <w:rFonts w:asciiTheme="minorHAnsi" w:eastAsiaTheme="minorEastAsia" w:hAnsiTheme="minorHAnsi" w:cstheme="minorBidi"/>
          <w:bCs w:val="0"/>
          <w:color w:val="auto"/>
          <w:sz w:val="22"/>
          <w:szCs w:val="22"/>
          <w:lang w:val="en-MY"/>
        </w:rPr>
      </w:pPr>
      <w:hyperlink w:anchor="_Toc98967229" w:history="1">
        <w:r w:rsidR="000E5835" w:rsidRPr="0008104F">
          <w:rPr>
            <w:rStyle w:val="Hyperlink"/>
          </w:rPr>
          <w:t>Figure 4.3: The effect of target size (0.5°, and 1.0°) and frequency (0.25, 0.50, 0.75 and 1.00 Hz) on the vertical SP parameters. Group mean data are shown for a) gain, while group median are shown for b) RMSE, and (c) SP duration.  Error bars represent ±1 SE.</w:t>
        </w:r>
        <w:r w:rsidR="000E5835">
          <w:rPr>
            <w:webHidden/>
          </w:rPr>
          <w:tab/>
        </w:r>
        <w:r w:rsidR="000E5835">
          <w:rPr>
            <w:webHidden/>
          </w:rPr>
          <w:fldChar w:fldCharType="begin"/>
        </w:r>
        <w:r w:rsidR="000E5835">
          <w:rPr>
            <w:webHidden/>
          </w:rPr>
          <w:instrText xml:space="preserve"> PAGEREF _Toc98967229 \h </w:instrText>
        </w:r>
        <w:r w:rsidR="000E5835">
          <w:rPr>
            <w:webHidden/>
          </w:rPr>
        </w:r>
        <w:r w:rsidR="000E5835">
          <w:rPr>
            <w:webHidden/>
          </w:rPr>
          <w:fldChar w:fldCharType="separate"/>
        </w:r>
        <w:r w:rsidR="00260178">
          <w:rPr>
            <w:webHidden/>
          </w:rPr>
          <w:t>121</w:t>
        </w:r>
        <w:r w:rsidR="000E5835">
          <w:rPr>
            <w:webHidden/>
          </w:rPr>
          <w:fldChar w:fldCharType="end"/>
        </w:r>
      </w:hyperlink>
    </w:p>
    <w:p w14:paraId="612C4A97" w14:textId="766FB4B8" w:rsidR="000E5835" w:rsidRDefault="007E7CC8">
      <w:pPr>
        <w:pStyle w:val="TableofFigures"/>
        <w:rPr>
          <w:rFonts w:asciiTheme="minorHAnsi" w:eastAsiaTheme="minorEastAsia" w:hAnsiTheme="minorHAnsi" w:cstheme="minorBidi"/>
          <w:bCs w:val="0"/>
          <w:color w:val="auto"/>
          <w:sz w:val="22"/>
          <w:szCs w:val="22"/>
          <w:lang w:val="en-MY"/>
        </w:rPr>
      </w:pPr>
      <w:hyperlink w:anchor="_Toc98967230" w:history="1">
        <w:r w:rsidR="000E5835" w:rsidRPr="0008104F">
          <w:rPr>
            <w:rStyle w:val="Hyperlink"/>
          </w:rPr>
          <w:t>Figure 4.4: Bar graphs illustrate the effect of target size and frequency on the horizontal saccadic a) latency, b) peak velocity, and c) gain. The error bars represent ±1 SE.</w:t>
        </w:r>
        <w:r w:rsidR="000E5835">
          <w:rPr>
            <w:webHidden/>
          </w:rPr>
          <w:tab/>
        </w:r>
        <w:r w:rsidR="000E5835">
          <w:rPr>
            <w:webHidden/>
          </w:rPr>
          <w:fldChar w:fldCharType="begin"/>
        </w:r>
        <w:r w:rsidR="000E5835">
          <w:rPr>
            <w:webHidden/>
          </w:rPr>
          <w:instrText xml:space="preserve"> PAGEREF _Toc98967230 \h </w:instrText>
        </w:r>
        <w:r w:rsidR="000E5835">
          <w:rPr>
            <w:webHidden/>
          </w:rPr>
        </w:r>
        <w:r w:rsidR="000E5835">
          <w:rPr>
            <w:webHidden/>
          </w:rPr>
          <w:fldChar w:fldCharType="separate"/>
        </w:r>
        <w:r w:rsidR="00260178">
          <w:rPr>
            <w:webHidden/>
          </w:rPr>
          <w:t>124</w:t>
        </w:r>
        <w:r w:rsidR="000E5835">
          <w:rPr>
            <w:webHidden/>
          </w:rPr>
          <w:fldChar w:fldCharType="end"/>
        </w:r>
      </w:hyperlink>
    </w:p>
    <w:p w14:paraId="7B36671B" w14:textId="498D2C4F" w:rsidR="000E5835" w:rsidRDefault="007E7CC8">
      <w:pPr>
        <w:pStyle w:val="TableofFigures"/>
        <w:rPr>
          <w:rFonts w:asciiTheme="minorHAnsi" w:eastAsiaTheme="minorEastAsia" w:hAnsiTheme="minorHAnsi" w:cstheme="minorBidi"/>
          <w:bCs w:val="0"/>
          <w:color w:val="auto"/>
          <w:sz w:val="22"/>
          <w:szCs w:val="22"/>
          <w:lang w:val="en-MY"/>
        </w:rPr>
      </w:pPr>
      <w:hyperlink w:anchor="_Toc98967231" w:history="1">
        <w:r w:rsidR="000E5835" w:rsidRPr="0008104F">
          <w:rPr>
            <w:rStyle w:val="Hyperlink"/>
          </w:rPr>
          <w:t>Figure 4.5: Bar graphs illustrate the effect of target size and frequency on the vertical saccadic a) latency, b) peak velocity, and c) gain. The error bars represent ± 1 SE.</w:t>
        </w:r>
        <w:r w:rsidR="000E5835">
          <w:rPr>
            <w:webHidden/>
          </w:rPr>
          <w:tab/>
        </w:r>
        <w:r w:rsidR="000E5835">
          <w:rPr>
            <w:webHidden/>
          </w:rPr>
          <w:fldChar w:fldCharType="begin"/>
        </w:r>
        <w:r w:rsidR="000E5835">
          <w:rPr>
            <w:webHidden/>
          </w:rPr>
          <w:instrText xml:space="preserve"> PAGEREF _Toc98967231 \h </w:instrText>
        </w:r>
        <w:r w:rsidR="000E5835">
          <w:rPr>
            <w:webHidden/>
          </w:rPr>
        </w:r>
        <w:r w:rsidR="000E5835">
          <w:rPr>
            <w:webHidden/>
          </w:rPr>
          <w:fldChar w:fldCharType="separate"/>
        </w:r>
        <w:r w:rsidR="00260178">
          <w:rPr>
            <w:webHidden/>
          </w:rPr>
          <w:t>127</w:t>
        </w:r>
        <w:r w:rsidR="000E5835">
          <w:rPr>
            <w:webHidden/>
          </w:rPr>
          <w:fldChar w:fldCharType="end"/>
        </w:r>
      </w:hyperlink>
    </w:p>
    <w:p w14:paraId="3AE2C299" w14:textId="6AD8C1FA" w:rsidR="009B2977" w:rsidRPr="009B2977" w:rsidRDefault="00A826BF">
      <w:pPr>
        <w:pStyle w:val="TableofFigures"/>
      </w:pPr>
      <w:r w:rsidRPr="009D4627">
        <w:fldChar w:fldCharType="end"/>
      </w:r>
      <w:r w:rsidR="005F18B1" w:rsidRPr="009D4627">
        <w:fldChar w:fldCharType="begin"/>
      </w:r>
      <w:r w:rsidR="005F18B1" w:rsidRPr="009D4627">
        <w:instrText xml:space="preserve"> TOC \h \z \c "Figure 5." </w:instrText>
      </w:r>
      <w:r w:rsidR="005F18B1" w:rsidRPr="009D4627">
        <w:fldChar w:fldCharType="separate"/>
      </w:r>
      <w:hyperlink w:anchor="_Toc98569844" w:history="1">
        <w:r w:rsidR="009B2977" w:rsidRPr="00C77BB4">
          <w:rPr>
            <w:rStyle w:val="Hyperlink"/>
          </w:rPr>
          <w:t>Figure 5.1: The line graphs illustrate changes in saccadic a) latency, b) peak velocity, and c) gain in the horizontal direction between saccadic movements to affected and unaffected gazes across the four-month research period.</w:t>
        </w:r>
        <w:r w:rsidR="009B2977">
          <w:rPr>
            <w:webHidden/>
          </w:rPr>
          <w:tab/>
        </w:r>
        <w:r w:rsidR="009B2977">
          <w:rPr>
            <w:webHidden/>
          </w:rPr>
          <w:fldChar w:fldCharType="begin"/>
        </w:r>
        <w:r w:rsidR="009B2977">
          <w:rPr>
            <w:webHidden/>
          </w:rPr>
          <w:instrText xml:space="preserve"> PAGEREF _Toc98569844 \h </w:instrText>
        </w:r>
        <w:r w:rsidR="009B2977">
          <w:rPr>
            <w:webHidden/>
          </w:rPr>
        </w:r>
        <w:r w:rsidR="009B2977">
          <w:rPr>
            <w:webHidden/>
          </w:rPr>
          <w:fldChar w:fldCharType="separate"/>
        </w:r>
        <w:r w:rsidR="00260178">
          <w:rPr>
            <w:webHidden/>
          </w:rPr>
          <w:t>157</w:t>
        </w:r>
        <w:r w:rsidR="009B2977">
          <w:rPr>
            <w:webHidden/>
          </w:rPr>
          <w:fldChar w:fldCharType="end"/>
        </w:r>
      </w:hyperlink>
    </w:p>
    <w:p w14:paraId="285036C8" w14:textId="5CA7DE08" w:rsidR="009B2977" w:rsidRDefault="007E7CC8">
      <w:pPr>
        <w:pStyle w:val="TableofFigures"/>
        <w:rPr>
          <w:rFonts w:asciiTheme="minorHAnsi" w:eastAsiaTheme="minorEastAsia" w:hAnsiTheme="minorHAnsi" w:cstheme="minorBidi"/>
          <w:bCs w:val="0"/>
          <w:color w:val="auto"/>
          <w:sz w:val="22"/>
          <w:szCs w:val="22"/>
          <w:lang w:val="en-MY"/>
        </w:rPr>
      </w:pPr>
      <w:hyperlink w:anchor="_Toc98569845" w:history="1">
        <w:r w:rsidR="009B2977" w:rsidRPr="00C77BB4">
          <w:rPr>
            <w:rStyle w:val="Hyperlink"/>
          </w:rPr>
          <w:t>Figure 5.2: Samples of horizontal SP live trace from DV software of a patient who had left CN VI palsy across 4 months of study period. All images show the SP performance at 0.8 Hz frequency.</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_Toc98569845 \h </w:instrText>
        </w:r>
        <w:r w:rsidR="009B2977">
          <w:rPr>
            <w:webHidden/>
          </w:rPr>
        </w:r>
        <w:r w:rsidR="009B2977">
          <w:rPr>
            <w:webHidden/>
          </w:rPr>
          <w:fldChar w:fldCharType="separate"/>
        </w:r>
        <w:r w:rsidR="00260178">
          <w:rPr>
            <w:webHidden/>
          </w:rPr>
          <w:t>165</w:t>
        </w:r>
        <w:r w:rsidR="009B2977">
          <w:rPr>
            <w:webHidden/>
          </w:rPr>
          <w:fldChar w:fldCharType="end"/>
        </w:r>
      </w:hyperlink>
    </w:p>
    <w:p w14:paraId="28527046" w14:textId="6400E7C8" w:rsidR="009B2977" w:rsidRDefault="007E7CC8">
      <w:pPr>
        <w:pStyle w:val="TableofFigures"/>
        <w:rPr>
          <w:rFonts w:asciiTheme="minorHAnsi" w:eastAsiaTheme="minorEastAsia" w:hAnsiTheme="minorHAnsi" w:cstheme="minorBidi"/>
          <w:bCs w:val="0"/>
          <w:color w:val="auto"/>
          <w:sz w:val="22"/>
          <w:szCs w:val="22"/>
          <w:lang w:val="en-MY"/>
        </w:rPr>
      </w:pPr>
      <w:hyperlink w:anchor="_Toc98569846" w:history="1">
        <w:r w:rsidR="009B2977" w:rsidRPr="00C77BB4">
          <w:rPr>
            <w:rStyle w:val="Hyperlink"/>
          </w:rPr>
          <w:t>Figure 5.3: LE horizontal SP traces for each target frequency (0.2 to 0.8 Hz) for patient ID = 2 with partial left CN III palsy and a sample of one age-matched control participant. SP was shown throughout the study from visits 1 to 5 of the study. The x-axis showed the time in ms, and the y-axis showed the eye position on the screen in the PPD unit. Upward trace = rightward eye movements and downward trace = leftward eye movements.</w:t>
        </w:r>
        <w:r w:rsidR="009B2977">
          <w:rPr>
            <w:webHidden/>
          </w:rPr>
          <w:tab/>
        </w:r>
        <w:r w:rsidR="009B2977">
          <w:rPr>
            <w:webHidden/>
          </w:rPr>
          <w:fldChar w:fldCharType="begin"/>
        </w:r>
        <w:r w:rsidR="009B2977">
          <w:rPr>
            <w:webHidden/>
          </w:rPr>
          <w:instrText xml:space="preserve"> PAGEREF _Toc98569846 \h </w:instrText>
        </w:r>
        <w:r w:rsidR="009B2977">
          <w:rPr>
            <w:webHidden/>
          </w:rPr>
        </w:r>
        <w:r w:rsidR="009B2977">
          <w:rPr>
            <w:webHidden/>
          </w:rPr>
          <w:fldChar w:fldCharType="separate"/>
        </w:r>
        <w:r w:rsidR="00260178">
          <w:rPr>
            <w:webHidden/>
          </w:rPr>
          <w:t>167</w:t>
        </w:r>
        <w:r w:rsidR="009B2977">
          <w:rPr>
            <w:webHidden/>
          </w:rPr>
          <w:fldChar w:fldCharType="end"/>
        </w:r>
      </w:hyperlink>
    </w:p>
    <w:p w14:paraId="423EC089" w14:textId="6232333E" w:rsidR="009B2977" w:rsidRPr="009B2977" w:rsidRDefault="005F18B1" w:rsidP="009B2977">
      <w:pPr>
        <w:spacing w:before="0" w:line="240" w:lineRule="auto"/>
        <w:rPr>
          <w:noProof/>
        </w:rPr>
      </w:pPr>
      <w:r w:rsidRPr="009D4627">
        <w:rPr>
          <w:rFonts w:eastAsia="Times New Roman"/>
          <w:bCs/>
          <w:noProof/>
          <w:lang w:eastAsia="en-MY"/>
        </w:rPr>
        <w:fldChar w:fldCharType="end"/>
      </w:r>
      <w:r w:rsidR="00B94036" w:rsidRPr="009D4627">
        <w:rPr>
          <w:rFonts w:eastAsia="Times New Roman"/>
          <w:bCs/>
          <w:noProof/>
          <w:lang w:eastAsia="en-MY"/>
        </w:rPr>
        <w:fldChar w:fldCharType="begin"/>
      </w:r>
      <w:r w:rsidR="00B94036" w:rsidRPr="009D4627">
        <w:rPr>
          <w:rFonts w:eastAsia="Times New Roman"/>
          <w:bCs/>
          <w:noProof/>
          <w:lang w:eastAsia="en-MY"/>
        </w:rPr>
        <w:instrText xml:space="preserve"> TOC \h \z \c "Figure 6." </w:instrText>
      </w:r>
      <w:r w:rsidR="00B94036" w:rsidRPr="009D4627">
        <w:rPr>
          <w:rFonts w:eastAsia="Times New Roman"/>
          <w:bCs/>
          <w:noProof/>
          <w:lang w:eastAsia="en-MY"/>
        </w:rPr>
        <w:fldChar w:fldCharType="separate"/>
      </w:r>
      <w:hyperlink w:anchor="_Toc98569781" w:history="1">
        <w:r w:rsidR="009B2977" w:rsidRPr="00E92533">
          <w:rPr>
            <w:rStyle w:val="Hyperlink"/>
            <w:noProof/>
          </w:rPr>
          <w:t>Figure 6.1: A sample of output in DV software. Patient’s SP performance of all follow-up visits is imported into a single viewing pane and separated according to trial frequency.</w:t>
        </w:r>
        <w:r w:rsidR="009B2977">
          <w:rPr>
            <w:noProof/>
            <w:webHidden/>
          </w:rPr>
          <w:tab/>
          <w:t>………</w:t>
        </w:r>
        <w:r w:rsidR="009B2977">
          <w:rPr>
            <w:noProof/>
            <w:webHidden/>
          </w:rPr>
          <w:fldChar w:fldCharType="begin"/>
        </w:r>
        <w:r w:rsidR="009B2977">
          <w:rPr>
            <w:noProof/>
            <w:webHidden/>
          </w:rPr>
          <w:instrText xml:space="preserve"> PAGEREF _Toc98569781 \h </w:instrText>
        </w:r>
        <w:r w:rsidR="009B2977">
          <w:rPr>
            <w:noProof/>
            <w:webHidden/>
          </w:rPr>
        </w:r>
        <w:r w:rsidR="009B2977">
          <w:rPr>
            <w:noProof/>
            <w:webHidden/>
          </w:rPr>
          <w:fldChar w:fldCharType="separate"/>
        </w:r>
        <w:r w:rsidR="00260178">
          <w:rPr>
            <w:noProof/>
            <w:webHidden/>
          </w:rPr>
          <w:t>175</w:t>
        </w:r>
        <w:r w:rsidR="009B2977">
          <w:rPr>
            <w:noProof/>
            <w:webHidden/>
          </w:rPr>
          <w:fldChar w:fldCharType="end"/>
        </w:r>
      </w:hyperlink>
    </w:p>
    <w:p w14:paraId="7C6D1D42" w14:textId="3FA5D211" w:rsidR="009B2977" w:rsidRDefault="007E7CC8">
      <w:pPr>
        <w:pStyle w:val="TableofFigures"/>
        <w:rPr>
          <w:rFonts w:asciiTheme="minorHAnsi" w:eastAsiaTheme="minorEastAsia" w:hAnsiTheme="minorHAnsi" w:cstheme="minorBidi"/>
          <w:bCs w:val="0"/>
          <w:color w:val="auto"/>
          <w:sz w:val="22"/>
          <w:szCs w:val="22"/>
          <w:lang w:val="en-MY"/>
        </w:rPr>
      </w:pPr>
      <w:hyperlink w:anchor="_Toc98569782" w:history="1">
        <w:r w:rsidR="009B2977" w:rsidRPr="00E92533">
          <w:rPr>
            <w:rStyle w:val="Hyperlink"/>
          </w:rPr>
          <w:t>Figure 6.2: Example of saccade source data formatted in regular table.</w:t>
        </w:r>
        <w:r w:rsidR="009B2977">
          <w:rPr>
            <w:webHidden/>
          </w:rPr>
          <w:tab/>
        </w:r>
        <w:r w:rsidR="009B2977">
          <w:rPr>
            <w:webHidden/>
          </w:rPr>
          <w:fldChar w:fldCharType="begin"/>
        </w:r>
        <w:r w:rsidR="009B2977">
          <w:rPr>
            <w:webHidden/>
          </w:rPr>
          <w:instrText xml:space="preserve"> PAGEREF _Toc98569782 \h </w:instrText>
        </w:r>
        <w:r w:rsidR="009B2977">
          <w:rPr>
            <w:webHidden/>
          </w:rPr>
        </w:r>
        <w:r w:rsidR="009B2977">
          <w:rPr>
            <w:webHidden/>
          </w:rPr>
          <w:fldChar w:fldCharType="separate"/>
        </w:r>
        <w:r w:rsidR="00260178">
          <w:rPr>
            <w:webHidden/>
          </w:rPr>
          <w:t>176</w:t>
        </w:r>
        <w:r w:rsidR="009B2977">
          <w:rPr>
            <w:webHidden/>
          </w:rPr>
          <w:fldChar w:fldCharType="end"/>
        </w:r>
      </w:hyperlink>
    </w:p>
    <w:p w14:paraId="010876D9" w14:textId="62BB31A5" w:rsidR="009B2977" w:rsidRDefault="007E7CC8">
      <w:pPr>
        <w:pStyle w:val="TableofFigures"/>
        <w:rPr>
          <w:rFonts w:asciiTheme="minorHAnsi" w:eastAsiaTheme="minorEastAsia" w:hAnsiTheme="minorHAnsi" w:cstheme="minorBidi"/>
          <w:bCs w:val="0"/>
          <w:color w:val="auto"/>
          <w:sz w:val="22"/>
          <w:szCs w:val="22"/>
          <w:lang w:val="en-MY"/>
        </w:rPr>
      </w:pPr>
      <w:hyperlink w:anchor="_Toc98569783" w:history="1">
        <w:r w:rsidR="009B2977" w:rsidRPr="00E92533">
          <w:rPr>
            <w:rStyle w:val="Hyperlink"/>
          </w:rPr>
          <w:t>Figure 6.3: Example of pivot table fields. The items under the “Filters”, “Columns”, “Rows” and “Values” can be moves freely to get different data representation.</w:t>
        </w:r>
        <w:r w:rsidR="009B2977">
          <w:rPr>
            <w:webHidden/>
          </w:rPr>
          <w:tab/>
        </w:r>
        <w:r w:rsidR="009B2977">
          <w:rPr>
            <w:webHidden/>
          </w:rPr>
          <w:fldChar w:fldCharType="begin"/>
        </w:r>
        <w:r w:rsidR="009B2977">
          <w:rPr>
            <w:webHidden/>
          </w:rPr>
          <w:instrText xml:space="preserve"> PAGEREF _Toc98569783 \h </w:instrText>
        </w:r>
        <w:r w:rsidR="009B2977">
          <w:rPr>
            <w:webHidden/>
          </w:rPr>
        </w:r>
        <w:r w:rsidR="009B2977">
          <w:rPr>
            <w:webHidden/>
          </w:rPr>
          <w:fldChar w:fldCharType="separate"/>
        </w:r>
        <w:r w:rsidR="00260178">
          <w:rPr>
            <w:webHidden/>
          </w:rPr>
          <w:t>177</w:t>
        </w:r>
        <w:r w:rsidR="009B2977">
          <w:rPr>
            <w:webHidden/>
          </w:rPr>
          <w:fldChar w:fldCharType="end"/>
        </w:r>
      </w:hyperlink>
    </w:p>
    <w:p w14:paraId="3CC41EB3" w14:textId="232DC0FE" w:rsidR="009B2977" w:rsidRDefault="007E7CC8">
      <w:pPr>
        <w:pStyle w:val="TableofFigures"/>
        <w:rPr>
          <w:rFonts w:asciiTheme="minorHAnsi" w:eastAsiaTheme="minorEastAsia" w:hAnsiTheme="minorHAnsi" w:cstheme="minorBidi"/>
          <w:bCs w:val="0"/>
          <w:color w:val="auto"/>
          <w:sz w:val="22"/>
          <w:szCs w:val="22"/>
          <w:lang w:val="en-MY"/>
        </w:rPr>
      </w:pPr>
      <w:hyperlink w:anchor="_Toc98569784" w:history="1">
        <w:r w:rsidR="009B2977" w:rsidRPr="00E92533">
          <w:rPr>
            <w:rStyle w:val="Hyperlink"/>
          </w:rPr>
          <w:t>Figure 6.4: Pivot table on the left-hand side, displaying the average peak velocity of patient IDs 2 and 4 over five visits. Meanwhile, a collapsing pivot table focusing on all patients' performance is presented on the right.</w:t>
        </w:r>
        <w:r w:rsidR="009B2977">
          <w:rPr>
            <w:webHidden/>
          </w:rPr>
          <w:tab/>
        </w:r>
        <w:r w:rsidR="009B2977">
          <w:rPr>
            <w:webHidden/>
          </w:rPr>
          <w:fldChar w:fldCharType="begin"/>
        </w:r>
        <w:r w:rsidR="009B2977">
          <w:rPr>
            <w:webHidden/>
          </w:rPr>
          <w:instrText xml:space="preserve"> PAGEREF _Toc98569784 \h </w:instrText>
        </w:r>
        <w:r w:rsidR="009B2977">
          <w:rPr>
            <w:webHidden/>
          </w:rPr>
        </w:r>
        <w:r w:rsidR="009B2977">
          <w:rPr>
            <w:webHidden/>
          </w:rPr>
          <w:fldChar w:fldCharType="separate"/>
        </w:r>
        <w:r w:rsidR="00260178">
          <w:rPr>
            <w:webHidden/>
          </w:rPr>
          <w:t>178</w:t>
        </w:r>
        <w:r w:rsidR="009B2977">
          <w:rPr>
            <w:webHidden/>
          </w:rPr>
          <w:fldChar w:fldCharType="end"/>
        </w:r>
      </w:hyperlink>
    </w:p>
    <w:p w14:paraId="4ADA97E3" w14:textId="6FCFA4F9" w:rsidR="009B2977" w:rsidRDefault="007E7CC8">
      <w:pPr>
        <w:pStyle w:val="TableofFigures"/>
        <w:rPr>
          <w:rFonts w:asciiTheme="minorHAnsi" w:eastAsiaTheme="minorEastAsia" w:hAnsiTheme="minorHAnsi" w:cstheme="minorBidi"/>
          <w:bCs w:val="0"/>
          <w:color w:val="auto"/>
          <w:sz w:val="22"/>
          <w:szCs w:val="22"/>
          <w:lang w:val="en-MY"/>
        </w:rPr>
      </w:pPr>
      <w:hyperlink w:anchor="_Toc98569785" w:history="1">
        <w:r w:rsidR="009B2977" w:rsidRPr="00E92533">
          <w:rPr>
            <w:rStyle w:val="Hyperlink"/>
          </w:rPr>
          <w:t>Figure 6.5: The top figure illustrates an example of a pivot chart focused on a single patient. The saccadic velocity was evaluated at four different amplitudes (±10° and ±5° horizontally) during five follow-up visits, using a pivot chart. On the bottom, a pivot chart depicts an example of saccadic peak velocity for all ten patients tested at ±5° amplitudes horizontally throughout five follow-up visits.</w:t>
        </w:r>
        <w:r w:rsidR="009B2977">
          <w:rPr>
            <w:webHidden/>
          </w:rPr>
          <w:tab/>
        </w:r>
        <w:r w:rsidR="009B2977">
          <w:rPr>
            <w:webHidden/>
          </w:rPr>
          <w:fldChar w:fldCharType="begin"/>
        </w:r>
        <w:r w:rsidR="009B2977">
          <w:rPr>
            <w:webHidden/>
          </w:rPr>
          <w:instrText xml:space="preserve"> PAGEREF _Toc98569785 \h </w:instrText>
        </w:r>
        <w:r w:rsidR="009B2977">
          <w:rPr>
            <w:webHidden/>
          </w:rPr>
        </w:r>
        <w:r w:rsidR="009B2977">
          <w:rPr>
            <w:webHidden/>
          </w:rPr>
          <w:fldChar w:fldCharType="separate"/>
        </w:r>
        <w:r w:rsidR="00260178">
          <w:rPr>
            <w:webHidden/>
          </w:rPr>
          <w:t>178</w:t>
        </w:r>
        <w:r w:rsidR="009B2977">
          <w:rPr>
            <w:webHidden/>
          </w:rPr>
          <w:fldChar w:fldCharType="end"/>
        </w:r>
      </w:hyperlink>
    </w:p>
    <w:p w14:paraId="3F01C31F" w14:textId="7A316CF8" w:rsidR="009B2977" w:rsidRDefault="007E7CC8">
      <w:pPr>
        <w:pStyle w:val="TableofFigures"/>
        <w:rPr>
          <w:rFonts w:asciiTheme="minorHAnsi" w:eastAsiaTheme="minorEastAsia" w:hAnsiTheme="minorHAnsi" w:cstheme="minorBidi"/>
          <w:bCs w:val="0"/>
          <w:color w:val="auto"/>
          <w:sz w:val="22"/>
          <w:szCs w:val="22"/>
          <w:lang w:val="en-MY"/>
        </w:rPr>
      </w:pPr>
      <w:hyperlink w:anchor="_Toc98569786" w:history="1">
        <w:r w:rsidR="009B2977" w:rsidRPr="00E92533">
          <w:rPr>
            <w:rStyle w:val="Hyperlink"/>
          </w:rPr>
          <w:t>Figure 6.6: A sample SP traces of a patient with right CN VI palsy who had a defective horizontal SP movement. Despite having inaccurate horizontal SP movement, the software recognised that the patient’s eye was smoothly following the target, marked as the SP fixation duration (turquoise bar). The movement was only recognised as CUS when the jump movements are beyond 30° amplitude, which only denoted as the SP movement was interrupted.</w:t>
        </w:r>
        <w:r w:rsidR="009B2977">
          <w:rPr>
            <w:webHidden/>
          </w:rPr>
          <w:tab/>
        </w:r>
        <w:r w:rsidR="009B2977">
          <w:rPr>
            <w:webHidden/>
          </w:rPr>
          <w:tab/>
        </w:r>
        <w:r w:rsidR="009B2977">
          <w:rPr>
            <w:webHidden/>
          </w:rPr>
          <w:tab/>
        </w:r>
        <w:r w:rsidR="009B2977">
          <w:rPr>
            <w:webHidden/>
          </w:rPr>
          <w:tab/>
        </w:r>
        <w:r w:rsidR="009B2977">
          <w:rPr>
            <w:webHidden/>
          </w:rPr>
          <w:fldChar w:fldCharType="begin"/>
        </w:r>
        <w:r w:rsidR="009B2977">
          <w:rPr>
            <w:webHidden/>
          </w:rPr>
          <w:instrText xml:space="preserve"> PAGEREF _Toc98569786 \h </w:instrText>
        </w:r>
        <w:r w:rsidR="009B2977">
          <w:rPr>
            <w:webHidden/>
          </w:rPr>
        </w:r>
        <w:r w:rsidR="009B2977">
          <w:rPr>
            <w:webHidden/>
          </w:rPr>
          <w:fldChar w:fldCharType="separate"/>
        </w:r>
        <w:r w:rsidR="00260178">
          <w:rPr>
            <w:webHidden/>
          </w:rPr>
          <w:t>181</w:t>
        </w:r>
        <w:r w:rsidR="009B2977">
          <w:rPr>
            <w:webHidden/>
          </w:rPr>
          <w:fldChar w:fldCharType="end"/>
        </w:r>
      </w:hyperlink>
    </w:p>
    <w:p w14:paraId="1BEA2240" w14:textId="77218E13" w:rsidR="000B5608" w:rsidRPr="009D4627" w:rsidRDefault="00B94036" w:rsidP="001543C7">
      <w:pPr>
        <w:spacing w:before="0" w:line="240" w:lineRule="auto"/>
        <w:rPr>
          <w:lang w:eastAsia="en-MY"/>
        </w:rPr>
      </w:pPr>
      <w:r w:rsidRPr="009D4627">
        <w:rPr>
          <w:rFonts w:eastAsia="Times New Roman"/>
          <w:bCs/>
          <w:noProof/>
          <w:lang w:eastAsia="en-MY"/>
        </w:rPr>
        <w:fldChar w:fldCharType="end"/>
      </w:r>
    </w:p>
    <w:p w14:paraId="74BB6DEB" w14:textId="77777777" w:rsidR="001543C7" w:rsidRDefault="001543C7" w:rsidP="00A42EA9">
      <w:pPr>
        <w:spacing w:line="240" w:lineRule="auto"/>
        <w:rPr>
          <w:b/>
          <w:bCs/>
        </w:rPr>
        <w:sectPr w:rsidR="001543C7" w:rsidSect="000B5608">
          <w:headerReference w:type="default" r:id="rId18"/>
          <w:pgSz w:w="11906" w:h="16838" w:code="9"/>
          <w:pgMar w:top="1440" w:right="1440" w:bottom="1440" w:left="1440" w:header="708" w:footer="708" w:gutter="0"/>
          <w:pgNumType w:fmt="lowerRoman"/>
          <w:cols w:space="708"/>
          <w:docGrid w:linePitch="360"/>
        </w:sectPr>
      </w:pPr>
    </w:p>
    <w:p w14:paraId="238776E1" w14:textId="39DF4F94" w:rsidR="00DC0E0E" w:rsidRPr="009D4627" w:rsidRDefault="002726F1" w:rsidP="00A42EA9">
      <w:pPr>
        <w:spacing w:line="240" w:lineRule="auto"/>
        <w:rPr>
          <w:b/>
          <w:bCs/>
        </w:rPr>
      </w:pPr>
      <w:r w:rsidRPr="009D4627">
        <w:rPr>
          <w:b/>
          <w:bCs/>
        </w:rPr>
        <w:lastRenderedPageBreak/>
        <w:t>List of Tables</w:t>
      </w:r>
    </w:p>
    <w:p w14:paraId="0A2B1610" w14:textId="2856EAC1" w:rsidR="00DC340E" w:rsidRDefault="000A2C05">
      <w:pPr>
        <w:pStyle w:val="TableofFigures"/>
        <w:rPr>
          <w:rFonts w:asciiTheme="minorHAnsi" w:eastAsiaTheme="minorEastAsia" w:hAnsiTheme="minorHAnsi" w:cstheme="minorBidi"/>
          <w:bCs w:val="0"/>
          <w:color w:val="auto"/>
          <w:sz w:val="22"/>
          <w:szCs w:val="22"/>
          <w:lang w:val="en-MY"/>
        </w:rPr>
      </w:pPr>
      <w:r w:rsidRPr="009D4627">
        <w:fldChar w:fldCharType="begin"/>
      </w:r>
      <w:r w:rsidRPr="009D4627">
        <w:instrText xml:space="preserve"> TOC \h \z \c "Table 1." </w:instrText>
      </w:r>
      <w:r w:rsidRPr="009D4627">
        <w:fldChar w:fldCharType="separate"/>
      </w:r>
      <w:hyperlink w:anchor="_Toc99353928" w:history="1">
        <w:r w:rsidR="00DC340E" w:rsidRPr="008740C4">
          <w:rPr>
            <w:rStyle w:val="Hyperlink"/>
          </w:rPr>
          <w:t>Table 1.1: Comparison study on the effect of scleral search coil lens wear on the eye.</w:t>
        </w:r>
        <w:r w:rsidR="00DC340E">
          <w:rPr>
            <w:webHidden/>
          </w:rPr>
          <w:tab/>
        </w:r>
        <w:r w:rsidR="00DC340E">
          <w:rPr>
            <w:webHidden/>
          </w:rPr>
          <w:fldChar w:fldCharType="begin"/>
        </w:r>
        <w:r w:rsidR="00DC340E">
          <w:rPr>
            <w:webHidden/>
          </w:rPr>
          <w:instrText xml:space="preserve"> PAGEREF _Toc99353928 \h </w:instrText>
        </w:r>
        <w:r w:rsidR="00DC340E">
          <w:rPr>
            <w:webHidden/>
          </w:rPr>
        </w:r>
        <w:r w:rsidR="00DC340E">
          <w:rPr>
            <w:webHidden/>
          </w:rPr>
          <w:fldChar w:fldCharType="separate"/>
        </w:r>
        <w:r w:rsidR="00260178">
          <w:rPr>
            <w:webHidden/>
          </w:rPr>
          <w:t>23</w:t>
        </w:r>
        <w:r w:rsidR="00DC340E">
          <w:rPr>
            <w:webHidden/>
          </w:rPr>
          <w:fldChar w:fldCharType="end"/>
        </w:r>
      </w:hyperlink>
    </w:p>
    <w:p w14:paraId="31FA139E" w14:textId="0C6CB423" w:rsidR="00DC340E" w:rsidRDefault="007E7CC8">
      <w:pPr>
        <w:pStyle w:val="TableofFigures"/>
        <w:rPr>
          <w:rFonts w:asciiTheme="minorHAnsi" w:eastAsiaTheme="minorEastAsia" w:hAnsiTheme="minorHAnsi" w:cstheme="minorBidi"/>
          <w:bCs w:val="0"/>
          <w:color w:val="auto"/>
          <w:sz w:val="22"/>
          <w:szCs w:val="22"/>
          <w:lang w:val="en-MY"/>
        </w:rPr>
      </w:pPr>
      <w:hyperlink w:anchor="_Toc99353929" w:history="1">
        <w:r w:rsidR="00DC340E" w:rsidRPr="008740C4">
          <w:rPr>
            <w:rStyle w:val="Hyperlink"/>
          </w:rPr>
          <w:t>Table 1.2: Summary of the previous findings on age-related normative data for saccadic eye movements</w:t>
        </w:r>
        <w:r w:rsidR="00DC340E">
          <w:rPr>
            <w:rStyle w:val="Hyperlink"/>
          </w:rPr>
          <w:tab/>
        </w:r>
        <w:r w:rsidR="00DC340E">
          <w:rPr>
            <w:rStyle w:val="Hyperlink"/>
          </w:rPr>
          <w:tab/>
        </w:r>
        <w:r w:rsidR="00DC340E">
          <w:rPr>
            <w:rStyle w:val="Hyperlink"/>
          </w:rPr>
          <w:tab/>
        </w:r>
        <w:r w:rsidR="00DC340E">
          <w:rPr>
            <w:rStyle w:val="Hyperlink"/>
          </w:rPr>
          <w:tab/>
        </w:r>
        <w:r w:rsidR="00DC340E">
          <w:rPr>
            <w:webHidden/>
          </w:rPr>
          <w:fldChar w:fldCharType="begin"/>
        </w:r>
        <w:r w:rsidR="00DC340E">
          <w:rPr>
            <w:webHidden/>
          </w:rPr>
          <w:instrText xml:space="preserve"> PAGEREF _Toc99353929 \h </w:instrText>
        </w:r>
        <w:r w:rsidR="00DC340E">
          <w:rPr>
            <w:webHidden/>
          </w:rPr>
        </w:r>
        <w:r w:rsidR="00DC340E">
          <w:rPr>
            <w:webHidden/>
          </w:rPr>
          <w:fldChar w:fldCharType="separate"/>
        </w:r>
        <w:r w:rsidR="00260178">
          <w:rPr>
            <w:webHidden/>
          </w:rPr>
          <w:t>31</w:t>
        </w:r>
        <w:r w:rsidR="00DC340E">
          <w:rPr>
            <w:webHidden/>
          </w:rPr>
          <w:fldChar w:fldCharType="end"/>
        </w:r>
      </w:hyperlink>
    </w:p>
    <w:p w14:paraId="61CF69E4" w14:textId="0285F0C1" w:rsidR="00DC340E" w:rsidRDefault="007E7CC8">
      <w:pPr>
        <w:pStyle w:val="TableofFigures"/>
        <w:rPr>
          <w:rFonts w:asciiTheme="minorHAnsi" w:eastAsiaTheme="minorEastAsia" w:hAnsiTheme="minorHAnsi" w:cstheme="minorBidi"/>
          <w:bCs w:val="0"/>
          <w:color w:val="auto"/>
          <w:sz w:val="22"/>
          <w:szCs w:val="22"/>
          <w:lang w:val="en-MY"/>
        </w:rPr>
      </w:pPr>
      <w:hyperlink w:anchor="_Toc99353930" w:history="1">
        <w:r w:rsidR="00DC340E" w:rsidRPr="008740C4">
          <w:rPr>
            <w:rStyle w:val="Hyperlink"/>
          </w:rPr>
          <w:t>Table 1.3: Summary of the previous findings on age-related normative data for SP movements.</w:t>
        </w:r>
        <w:r w:rsidR="00DC340E">
          <w:rPr>
            <w:webHidden/>
          </w:rPr>
          <w:tab/>
        </w:r>
        <w:r w:rsidR="00DC340E">
          <w:rPr>
            <w:webHidden/>
          </w:rPr>
          <w:tab/>
        </w:r>
        <w:r w:rsidR="00DC340E">
          <w:rPr>
            <w:webHidden/>
          </w:rPr>
          <w:tab/>
        </w:r>
        <w:r w:rsidR="00DC340E">
          <w:rPr>
            <w:webHidden/>
          </w:rPr>
          <w:tab/>
        </w:r>
        <w:r w:rsidR="00DC340E">
          <w:rPr>
            <w:webHidden/>
          </w:rPr>
          <w:tab/>
        </w:r>
        <w:r w:rsidR="00DC340E">
          <w:rPr>
            <w:webHidden/>
          </w:rPr>
          <w:fldChar w:fldCharType="begin"/>
        </w:r>
        <w:r w:rsidR="00DC340E">
          <w:rPr>
            <w:webHidden/>
          </w:rPr>
          <w:instrText xml:space="preserve"> PAGEREF _Toc99353930 \h </w:instrText>
        </w:r>
        <w:r w:rsidR="00DC340E">
          <w:rPr>
            <w:webHidden/>
          </w:rPr>
        </w:r>
        <w:r w:rsidR="00DC340E">
          <w:rPr>
            <w:webHidden/>
          </w:rPr>
          <w:fldChar w:fldCharType="separate"/>
        </w:r>
        <w:r w:rsidR="00260178">
          <w:rPr>
            <w:webHidden/>
          </w:rPr>
          <w:t>33</w:t>
        </w:r>
        <w:r w:rsidR="00DC340E">
          <w:rPr>
            <w:webHidden/>
          </w:rPr>
          <w:fldChar w:fldCharType="end"/>
        </w:r>
      </w:hyperlink>
    </w:p>
    <w:p w14:paraId="6D1E3355" w14:textId="4DFF2F1D" w:rsidR="00DC340E" w:rsidRDefault="007E7CC8">
      <w:pPr>
        <w:pStyle w:val="TableofFigures"/>
        <w:rPr>
          <w:rFonts w:asciiTheme="minorHAnsi" w:eastAsiaTheme="minorEastAsia" w:hAnsiTheme="minorHAnsi" w:cstheme="minorBidi"/>
          <w:bCs w:val="0"/>
          <w:color w:val="auto"/>
          <w:sz w:val="22"/>
          <w:szCs w:val="22"/>
          <w:lang w:val="en-MY"/>
        </w:rPr>
      </w:pPr>
      <w:hyperlink w:anchor="_Toc99353931" w:history="1">
        <w:r w:rsidR="00DC340E" w:rsidRPr="008740C4">
          <w:rPr>
            <w:rStyle w:val="Hyperlink"/>
          </w:rPr>
          <w:t>Table 1.4: SP eye movements performance recorded in normal and schizophrenia patients.</w:t>
        </w:r>
        <w:r w:rsidR="00DC340E">
          <w:rPr>
            <w:webHidden/>
          </w:rPr>
          <w:tab/>
        </w:r>
        <w:r w:rsidR="00DC340E">
          <w:rPr>
            <w:webHidden/>
          </w:rPr>
          <w:fldChar w:fldCharType="begin"/>
        </w:r>
        <w:r w:rsidR="00DC340E">
          <w:rPr>
            <w:webHidden/>
          </w:rPr>
          <w:instrText xml:space="preserve"> PAGEREF _Toc99353931 \h </w:instrText>
        </w:r>
        <w:r w:rsidR="00DC340E">
          <w:rPr>
            <w:webHidden/>
          </w:rPr>
        </w:r>
        <w:r w:rsidR="00DC340E">
          <w:rPr>
            <w:webHidden/>
          </w:rPr>
          <w:fldChar w:fldCharType="separate"/>
        </w:r>
        <w:r w:rsidR="00260178">
          <w:rPr>
            <w:webHidden/>
          </w:rPr>
          <w:t>40</w:t>
        </w:r>
        <w:r w:rsidR="00DC340E">
          <w:rPr>
            <w:webHidden/>
          </w:rPr>
          <w:fldChar w:fldCharType="end"/>
        </w:r>
      </w:hyperlink>
    </w:p>
    <w:p w14:paraId="3AA4261C" w14:textId="18DA70E1" w:rsidR="00DC340E" w:rsidRDefault="007E7CC8">
      <w:pPr>
        <w:pStyle w:val="TableofFigures"/>
        <w:rPr>
          <w:rFonts w:asciiTheme="minorHAnsi" w:eastAsiaTheme="minorEastAsia" w:hAnsiTheme="minorHAnsi" w:cstheme="minorBidi"/>
          <w:bCs w:val="0"/>
          <w:color w:val="auto"/>
          <w:sz w:val="22"/>
          <w:szCs w:val="22"/>
          <w:lang w:val="en-MY"/>
        </w:rPr>
      </w:pPr>
      <w:hyperlink w:anchor="_Toc99353932" w:history="1">
        <w:r w:rsidR="00DC340E" w:rsidRPr="008740C4">
          <w:rPr>
            <w:rStyle w:val="Hyperlink"/>
          </w:rPr>
          <w:t>Table 1.5: Summary of the aetiology and potential rate of recovery for CN III, IV, and VI palsies</w:t>
        </w:r>
        <w:r w:rsidR="00DC340E">
          <w:rPr>
            <w:rStyle w:val="Hyperlink"/>
          </w:rPr>
          <w:tab/>
        </w:r>
        <w:r w:rsidR="00DC340E">
          <w:rPr>
            <w:rStyle w:val="Hyperlink"/>
          </w:rPr>
          <w:tab/>
        </w:r>
        <w:r w:rsidR="00DC340E">
          <w:rPr>
            <w:rStyle w:val="Hyperlink"/>
          </w:rPr>
          <w:tab/>
        </w:r>
        <w:r w:rsidR="00DC340E">
          <w:rPr>
            <w:webHidden/>
          </w:rPr>
          <w:tab/>
        </w:r>
        <w:r w:rsidR="00DC340E">
          <w:rPr>
            <w:webHidden/>
          </w:rPr>
          <w:fldChar w:fldCharType="begin"/>
        </w:r>
        <w:r w:rsidR="00DC340E">
          <w:rPr>
            <w:webHidden/>
          </w:rPr>
          <w:instrText xml:space="preserve"> PAGEREF _Toc99353932 \h </w:instrText>
        </w:r>
        <w:r w:rsidR="00DC340E">
          <w:rPr>
            <w:webHidden/>
          </w:rPr>
        </w:r>
        <w:r w:rsidR="00DC340E">
          <w:rPr>
            <w:webHidden/>
          </w:rPr>
          <w:fldChar w:fldCharType="separate"/>
        </w:r>
        <w:r w:rsidR="00260178">
          <w:rPr>
            <w:webHidden/>
          </w:rPr>
          <w:t>52</w:t>
        </w:r>
        <w:r w:rsidR="00DC340E">
          <w:rPr>
            <w:webHidden/>
          </w:rPr>
          <w:fldChar w:fldCharType="end"/>
        </w:r>
      </w:hyperlink>
    </w:p>
    <w:p w14:paraId="7372F3A8" w14:textId="599C2323" w:rsidR="000E5835" w:rsidRPr="000E5835" w:rsidRDefault="000A2C05">
      <w:pPr>
        <w:pStyle w:val="TableofFigures"/>
      </w:pPr>
      <w:r w:rsidRPr="009D4627">
        <w:fldChar w:fldCharType="end"/>
      </w:r>
      <w:r w:rsidR="00225FAE" w:rsidRPr="009D4627">
        <w:fldChar w:fldCharType="begin"/>
      </w:r>
      <w:r w:rsidR="00225FAE" w:rsidRPr="009D4627">
        <w:instrText xml:space="preserve"> TOC \h \z \c "Table 2." </w:instrText>
      </w:r>
      <w:r w:rsidR="00225FAE" w:rsidRPr="009D4627">
        <w:fldChar w:fldCharType="separate"/>
      </w:r>
      <w:hyperlink w:anchor="_Toc98967291" w:history="1">
        <w:r w:rsidR="000E5835" w:rsidRPr="00920900">
          <w:rPr>
            <w:rStyle w:val="Hyperlink"/>
          </w:rPr>
          <w:t>Table 2.1: EMR paradigms designed for horizontal and vertical SP recording.</w:t>
        </w:r>
        <w:r w:rsidR="000E5835">
          <w:rPr>
            <w:webHidden/>
          </w:rPr>
          <w:tab/>
        </w:r>
        <w:r w:rsidR="000E5835">
          <w:rPr>
            <w:webHidden/>
          </w:rPr>
          <w:fldChar w:fldCharType="begin"/>
        </w:r>
        <w:r w:rsidR="000E5835">
          <w:rPr>
            <w:webHidden/>
          </w:rPr>
          <w:instrText xml:space="preserve"> PAGEREF _Toc98967291 \h </w:instrText>
        </w:r>
        <w:r w:rsidR="000E5835">
          <w:rPr>
            <w:webHidden/>
          </w:rPr>
        </w:r>
        <w:r w:rsidR="000E5835">
          <w:rPr>
            <w:webHidden/>
          </w:rPr>
          <w:fldChar w:fldCharType="separate"/>
        </w:r>
        <w:r w:rsidR="00260178">
          <w:rPr>
            <w:webHidden/>
          </w:rPr>
          <w:t>64</w:t>
        </w:r>
        <w:r w:rsidR="000E5835">
          <w:rPr>
            <w:webHidden/>
          </w:rPr>
          <w:fldChar w:fldCharType="end"/>
        </w:r>
      </w:hyperlink>
    </w:p>
    <w:p w14:paraId="57BA0F21" w14:textId="46C24DB6" w:rsidR="002A6FE6" w:rsidRPr="002A6FE6" w:rsidRDefault="00225FAE">
      <w:pPr>
        <w:pStyle w:val="TableofFigures"/>
      </w:pPr>
      <w:r w:rsidRPr="009D4627">
        <w:fldChar w:fldCharType="end"/>
      </w:r>
      <w:r w:rsidR="009E1B3C" w:rsidRPr="009D4627">
        <w:fldChar w:fldCharType="begin"/>
      </w:r>
      <w:r w:rsidR="009E1B3C" w:rsidRPr="009D4627">
        <w:instrText xml:space="preserve"> TOC \h \z \c "Table 3." </w:instrText>
      </w:r>
      <w:r w:rsidR="009E1B3C" w:rsidRPr="009D4627">
        <w:fldChar w:fldCharType="separate"/>
      </w:r>
      <w:hyperlink w:anchor="_Toc99439393" w:history="1">
        <w:r w:rsidR="002A6FE6" w:rsidRPr="00F30254">
          <w:rPr>
            <w:rStyle w:val="Hyperlink"/>
          </w:rPr>
          <w:t>Table 3.1: A one-way ANOVA was used to examine the effects of age on horizontal SP variables at four horizontal SP frequencies.</w:t>
        </w:r>
        <w:r w:rsidR="002A6FE6">
          <w:rPr>
            <w:webHidden/>
          </w:rPr>
          <w:tab/>
        </w:r>
        <w:r w:rsidR="002A6FE6">
          <w:rPr>
            <w:webHidden/>
          </w:rPr>
          <w:fldChar w:fldCharType="begin"/>
        </w:r>
        <w:r w:rsidR="002A6FE6">
          <w:rPr>
            <w:webHidden/>
          </w:rPr>
          <w:instrText xml:space="preserve"> PAGEREF _Toc99439393 \h </w:instrText>
        </w:r>
        <w:r w:rsidR="002A6FE6">
          <w:rPr>
            <w:webHidden/>
          </w:rPr>
        </w:r>
        <w:r w:rsidR="002A6FE6">
          <w:rPr>
            <w:webHidden/>
          </w:rPr>
          <w:fldChar w:fldCharType="separate"/>
        </w:r>
        <w:r w:rsidR="00260178">
          <w:rPr>
            <w:webHidden/>
          </w:rPr>
          <w:t>85</w:t>
        </w:r>
        <w:r w:rsidR="002A6FE6">
          <w:rPr>
            <w:webHidden/>
          </w:rPr>
          <w:fldChar w:fldCharType="end"/>
        </w:r>
      </w:hyperlink>
    </w:p>
    <w:p w14:paraId="17E34D71" w14:textId="0D4EAEEB" w:rsidR="002A6FE6" w:rsidRDefault="007E7CC8">
      <w:pPr>
        <w:pStyle w:val="TableofFigures"/>
        <w:rPr>
          <w:rFonts w:asciiTheme="minorHAnsi" w:eastAsiaTheme="minorEastAsia" w:hAnsiTheme="minorHAnsi" w:cstheme="minorBidi"/>
          <w:bCs w:val="0"/>
          <w:color w:val="auto"/>
          <w:sz w:val="22"/>
          <w:szCs w:val="22"/>
          <w:lang w:val="en-MY"/>
        </w:rPr>
      </w:pPr>
      <w:hyperlink w:anchor="_Toc99439394" w:history="1">
        <w:r w:rsidR="002A6FE6" w:rsidRPr="00F30254">
          <w:rPr>
            <w:rStyle w:val="Hyperlink"/>
          </w:rPr>
          <w:t>Table 3.2: A one-way ANOVA was used to examine the effects of age on vertical SP variables at four vertical SP frequencies.</w:t>
        </w:r>
        <w:r w:rsidR="002A6FE6">
          <w:rPr>
            <w:webHidden/>
          </w:rPr>
          <w:tab/>
        </w:r>
        <w:r w:rsidR="002A6FE6">
          <w:rPr>
            <w:webHidden/>
          </w:rPr>
          <w:fldChar w:fldCharType="begin"/>
        </w:r>
        <w:r w:rsidR="002A6FE6">
          <w:rPr>
            <w:webHidden/>
          </w:rPr>
          <w:instrText xml:space="preserve"> PAGEREF _Toc99439394 \h </w:instrText>
        </w:r>
        <w:r w:rsidR="002A6FE6">
          <w:rPr>
            <w:webHidden/>
          </w:rPr>
        </w:r>
        <w:r w:rsidR="002A6FE6">
          <w:rPr>
            <w:webHidden/>
          </w:rPr>
          <w:fldChar w:fldCharType="separate"/>
        </w:r>
        <w:r w:rsidR="00260178">
          <w:rPr>
            <w:webHidden/>
          </w:rPr>
          <w:t>90</w:t>
        </w:r>
        <w:r w:rsidR="002A6FE6">
          <w:rPr>
            <w:webHidden/>
          </w:rPr>
          <w:fldChar w:fldCharType="end"/>
        </w:r>
      </w:hyperlink>
    </w:p>
    <w:p w14:paraId="061EA379" w14:textId="54EDF293" w:rsidR="002A6FE6" w:rsidRDefault="007E7CC8">
      <w:pPr>
        <w:pStyle w:val="TableofFigures"/>
        <w:rPr>
          <w:rFonts w:asciiTheme="minorHAnsi" w:eastAsiaTheme="minorEastAsia" w:hAnsiTheme="minorHAnsi" w:cstheme="minorBidi"/>
          <w:bCs w:val="0"/>
          <w:color w:val="auto"/>
          <w:sz w:val="22"/>
          <w:szCs w:val="22"/>
          <w:lang w:val="en-MY"/>
        </w:rPr>
      </w:pPr>
      <w:hyperlink w:anchor="_Toc99439395" w:history="1">
        <w:r w:rsidR="002A6FE6" w:rsidRPr="00F30254">
          <w:rPr>
            <w:rStyle w:val="Hyperlink"/>
          </w:rPr>
          <w:t>Table 3.3: Independent samples t-tests evaluating the differences of the mean values by horizontal saccadic directions.</w:t>
        </w:r>
        <w:r w:rsidR="002A6FE6">
          <w:rPr>
            <w:webHidden/>
          </w:rPr>
          <w:tab/>
        </w:r>
        <w:r w:rsidR="002A6FE6">
          <w:rPr>
            <w:webHidden/>
          </w:rPr>
          <w:fldChar w:fldCharType="begin"/>
        </w:r>
        <w:r w:rsidR="002A6FE6">
          <w:rPr>
            <w:webHidden/>
          </w:rPr>
          <w:instrText xml:space="preserve"> PAGEREF _Toc99439395 \h </w:instrText>
        </w:r>
        <w:r w:rsidR="002A6FE6">
          <w:rPr>
            <w:webHidden/>
          </w:rPr>
        </w:r>
        <w:r w:rsidR="002A6FE6">
          <w:rPr>
            <w:webHidden/>
          </w:rPr>
          <w:fldChar w:fldCharType="separate"/>
        </w:r>
        <w:r w:rsidR="00260178">
          <w:rPr>
            <w:webHidden/>
          </w:rPr>
          <w:t>95</w:t>
        </w:r>
        <w:r w:rsidR="002A6FE6">
          <w:rPr>
            <w:webHidden/>
          </w:rPr>
          <w:fldChar w:fldCharType="end"/>
        </w:r>
      </w:hyperlink>
    </w:p>
    <w:p w14:paraId="60720E01" w14:textId="1B0BA2FA" w:rsidR="002A6FE6" w:rsidRDefault="007E7CC8">
      <w:pPr>
        <w:pStyle w:val="TableofFigures"/>
        <w:rPr>
          <w:rFonts w:asciiTheme="minorHAnsi" w:eastAsiaTheme="minorEastAsia" w:hAnsiTheme="minorHAnsi" w:cstheme="minorBidi"/>
          <w:bCs w:val="0"/>
          <w:color w:val="auto"/>
          <w:sz w:val="22"/>
          <w:szCs w:val="22"/>
          <w:lang w:val="en-MY"/>
        </w:rPr>
      </w:pPr>
      <w:hyperlink w:anchor="_Toc99439396" w:history="1">
        <w:r w:rsidR="002A6FE6" w:rsidRPr="00F30254">
          <w:rPr>
            <w:rStyle w:val="Hyperlink"/>
          </w:rPr>
          <w:t>Table 3.4: Effects of age on horizontal saccadic variables at three amplitude sizes.</w:t>
        </w:r>
        <w:r w:rsidR="002A6FE6">
          <w:rPr>
            <w:webHidden/>
          </w:rPr>
          <w:tab/>
        </w:r>
        <w:r w:rsidR="002A6FE6">
          <w:rPr>
            <w:webHidden/>
          </w:rPr>
          <w:fldChar w:fldCharType="begin"/>
        </w:r>
        <w:r w:rsidR="002A6FE6">
          <w:rPr>
            <w:webHidden/>
          </w:rPr>
          <w:instrText xml:space="preserve"> PAGEREF _Toc99439396 \h </w:instrText>
        </w:r>
        <w:r w:rsidR="002A6FE6">
          <w:rPr>
            <w:webHidden/>
          </w:rPr>
        </w:r>
        <w:r w:rsidR="002A6FE6">
          <w:rPr>
            <w:webHidden/>
          </w:rPr>
          <w:fldChar w:fldCharType="separate"/>
        </w:r>
        <w:r w:rsidR="00260178">
          <w:rPr>
            <w:webHidden/>
          </w:rPr>
          <w:t>96</w:t>
        </w:r>
        <w:r w:rsidR="002A6FE6">
          <w:rPr>
            <w:webHidden/>
          </w:rPr>
          <w:fldChar w:fldCharType="end"/>
        </w:r>
      </w:hyperlink>
    </w:p>
    <w:p w14:paraId="12902D49" w14:textId="2AAB4189" w:rsidR="002A6FE6" w:rsidRDefault="007E7CC8">
      <w:pPr>
        <w:pStyle w:val="TableofFigures"/>
        <w:rPr>
          <w:rFonts w:asciiTheme="minorHAnsi" w:eastAsiaTheme="minorEastAsia" w:hAnsiTheme="minorHAnsi" w:cstheme="minorBidi"/>
          <w:bCs w:val="0"/>
          <w:color w:val="auto"/>
          <w:sz w:val="22"/>
          <w:szCs w:val="22"/>
          <w:lang w:val="en-MY"/>
        </w:rPr>
      </w:pPr>
      <w:hyperlink w:anchor="_Toc99439397" w:history="1">
        <w:r w:rsidR="002A6FE6" w:rsidRPr="00F30254">
          <w:rPr>
            <w:rStyle w:val="Hyperlink"/>
          </w:rPr>
          <w:t>Table 3.5: Examine significant differences in the mean values of saccadic parameters between age groups using post hoc analysis. The multiple-correction Bonferroni test was employed.</w:t>
        </w:r>
        <w:r w:rsidR="002A6FE6">
          <w:rPr>
            <w:webHidden/>
          </w:rPr>
          <w:tab/>
        </w:r>
        <w:r w:rsidR="002A6FE6">
          <w:rPr>
            <w:webHidden/>
          </w:rPr>
          <w:fldChar w:fldCharType="begin"/>
        </w:r>
        <w:r w:rsidR="002A6FE6">
          <w:rPr>
            <w:webHidden/>
          </w:rPr>
          <w:instrText xml:space="preserve"> PAGEREF _Toc99439397 \h </w:instrText>
        </w:r>
        <w:r w:rsidR="002A6FE6">
          <w:rPr>
            <w:webHidden/>
          </w:rPr>
        </w:r>
        <w:r w:rsidR="002A6FE6">
          <w:rPr>
            <w:webHidden/>
          </w:rPr>
          <w:fldChar w:fldCharType="separate"/>
        </w:r>
        <w:r w:rsidR="00260178">
          <w:rPr>
            <w:webHidden/>
          </w:rPr>
          <w:t>97</w:t>
        </w:r>
        <w:r w:rsidR="002A6FE6">
          <w:rPr>
            <w:webHidden/>
          </w:rPr>
          <w:fldChar w:fldCharType="end"/>
        </w:r>
      </w:hyperlink>
    </w:p>
    <w:p w14:paraId="4025F2BB" w14:textId="56D0D93B" w:rsidR="002A6FE6" w:rsidRDefault="007E7CC8">
      <w:pPr>
        <w:pStyle w:val="TableofFigures"/>
        <w:rPr>
          <w:rFonts w:asciiTheme="minorHAnsi" w:eastAsiaTheme="minorEastAsia" w:hAnsiTheme="minorHAnsi" w:cstheme="minorBidi"/>
          <w:bCs w:val="0"/>
          <w:color w:val="auto"/>
          <w:sz w:val="22"/>
          <w:szCs w:val="22"/>
          <w:lang w:val="en-MY"/>
        </w:rPr>
      </w:pPr>
      <w:hyperlink w:anchor="_Toc99439398" w:history="1">
        <w:r w:rsidR="002A6FE6" w:rsidRPr="00F30254">
          <w:rPr>
            <w:rStyle w:val="Hyperlink"/>
          </w:rPr>
          <w:t>Table 3.6: Effect of ageing on the vertical saccadic parameters.</w:t>
        </w:r>
        <w:r w:rsidR="002A6FE6">
          <w:rPr>
            <w:webHidden/>
          </w:rPr>
          <w:tab/>
        </w:r>
        <w:r w:rsidR="002A6FE6">
          <w:rPr>
            <w:webHidden/>
          </w:rPr>
          <w:fldChar w:fldCharType="begin"/>
        </w:r>
        <w:r w:rsidR="002A6FE6">
          <w:rPr>
            <w:webHidden/>
          </w:rPr>
          <w:instrText xml:space="preserve"> PAGEREF _Toc99439398 \h </w:instrText>
        </w:r>
        <w:r w:rsidR="002A6FE6">
          <w:rPr>
            <w:webHidden/>
          </w:rPr>
        </w:r>
        <w:r w:rsidR="002A6FE6">
          <w:rPr>
            <w:webHidden/>
          </w:rPr>
          <w:fldChar w:fldCharType="separate"/>
        </w:r>
        <w:r w:rsidR="00260178">
          <w:rPr>
            <w:webHidden/>
          </w:rPr>
          <w:t>101</w:t>
        </w:r>
        <w:r w:rsidR="002A6FE6">
          <w:rPr>
            <w:webHidden/>
          </w:rPr>
          <w:fldChar w:fldCharType="end"/>
        </w:r>
      </w:hyperlink>
    </w:p>
    <w:p w14:paraId="0ADDC608" w14:textId="2AC06A2A" w:rsidR="002A6FE6" w:rsidRDefault="007E7CC8">
      <w:pPr>
        <w:pStyle w:val="TableofFigures"/>
        <w:rPr>
          <w:rFonts w:asciiTheme="minorHAnsi" w:eastAsiaTheme="minorEastAsia" w:hAnsiTheme="minorHAnsi" w:cstheme="minorBidi"/>
          <w:bCs w:val="0"/>
          <w:color w:val="auto"/>
          <w:sz w:val="22"/>
          <w:szCs w:val="22"/>
          <w:lang w:val="en-MY"/>
        </w:rPr>
      </w:pPr>
      <w:hyperlink w:anchor="_Toc99439399" w:history="1">
        <w:r w:rsidR="002A6FE6" w:rsidRPr="00F30254">
          <w:rPr>
            <w:rStyle w:val="Hyperlink"/>
          </w:rPr>
          <w:t>Table 3.7: The summary of normative data for eye movements measured with EyeLink 1000 Plus of the current study.</w:t>
        </w:r>
        <w:r w:rsidR="002A6FE6">
          <w:rPr>
            <w:webHidden/>
          </w:rPr>
          <w:tab/>
        </w:r>
        <w:r w:rsidR="002A6FE6">
          <w:rPr>
            <w:webHidden/>
          </w:rPr>
          <w:fldChar w:fldCharType="begin"/>
        </w:r>
        <w:r w:rsidR="002A6FE6">
          <w:rPr>
            <w:webHidden/>
          </w:rPr>
          <w:instrText xml:space="preserve"> PAGEREF _Toc99439399 \h </w:instrText>
        </w:r>
        <w:r w:rsidR="002A6FE6">
          <w:rPr>
            <w:webHidden/>
          </w:rPr>
        </w:r>
        <w:r w:rsidR="002A6FE6">
          <w:rPr>
            <w:webHidden/>
          </w:rPr>
          <w:fldChar w:fldCharType="separate"/>
        </w:r>
        <w:r w:rsidR="00260178">
          <w:rPr>
            <w:webHidden/>
          </w:rPr>
          <w:t>109</w:t>
        </w:r>
        <w:r w:rsidR="002A6FE6">
          <w:rPr>
            <w:webHidden/>
          </w:rPr>
          <w:fldChar w:fldCharType="end"/>
        </w:r>
      </w:hyperlink>
    </w:p>
    <w:p w14:paraId="28D9187D" w14:textId="0D43B6E0" w:rsidR="00DF3144" w:rsidRPr="00DF3144" w:rsidRDefault="009E1B3C">
      <w:pPr>
        <w:pStyle w:val="TableofFigures"/>
      </w:pPr>
      <w:r w:rsidRPr="009D4627">
        <w:fldChar w:fldCharType="end"/>
      </w:r>
      <w:r w:rsidR="00A826BF" w:rsidRPr="009D4627">
        <w:fldChar w:fldCharType="begin"/>
      </w:r>
      <w:r w:rsidR="00A826BF" w:rsidRPr="009D4627">
        <w:instrText xml:space="preserve"> TOC \h \z \c "Table 4." </w:instrText>
      </w:r>
      <w:r w:rsidR="00A826BF" w:rsidRPr="009D4627">
        <w:fldChar w:fldCharType="separate"/>
      </w:r>
      <w:hyperlink w:anchor="_Toc99378051" w:history="1">
        <w:r w:rsidR="00DF3144" w:rsidRPr="0054427C">
          <w:rPr>
            <w:rStyle w:val="Hyperlink"/>
          </w:rPr>
          <w:t>Table 4.1: The results of a repeated-measures ANOVA on horizontal SP characteristics tested on three target sizes.</w:t>
        </w:r>
        <w:r w:rsidR="00DF3144">
          <w:rPr>
            <w:webHidden/>
          </w:rPr>
          <w:tab/>
        </w:r>
        <w:r w:rsidR="00DF3144">
          <w:rPr>
            <w:webHidden/>
          </w:rPr>
          <w:fldChar w:fldCharType="begin"/>
        </w:r>
        <w:r w:rsidR="00DF3144">
          <w:rPr>
            <w:webHidden/>
          </w:rPr>
          <w:instrText xml:space="preserve"> PAGEREF _Toc99378051 \h </w:instrText>
        </w:r>
        <w:r w:rsidR="00DF3144">
          <w:rPr>
            <w:webHidden/>
          </w:rPr>
        </w:r>
        <w:r w:rsidR="00DF3144">
          <w:rPr>
            <w:webHidden/>
          </w:rPr>
          <w:fldChar w:fldCharType="separate"/>
        </w:r>
        <w:r w:rsidR="00260178">
          <w:rPr>
            <w:webHidden/>
          </w:rPr>
          <w:t>120</w:t>
        </w:r>
        <w:r w:rsidR="00DF3144">
          <w:rPr>
            <w:webHidden/>
          </w:rPr>
          <w:fldChar w:fldCharType="end"/>
        </w:r>
      </w:hyperlink>
    </w:p>
    <w:p w14:paraId="2B8D45FC" w14:textId="0D6684C3" w:rsidR="00DF3144" w:rsidRDefault="007E7CC8">
      <w:pPr>
        <w:pStyle w:val="TableofFigures"/>
        <w:rPr>
          <w:rFonts w:asciiTheme="minorHAnsi" w:eastAsiaTheme="minorEastAsia" w:hAnsiTheme="minorHAnsi" w:cstheme="minorBidi"/>
          <w:bCs w:val="0"/>
          <w:color w:val="auto"/>
          <w:sz w:val="22"/>
          <w:szCs w:val="22"/>
          <w:lang w:val="en-MY"/>
        </w:rPr>
      </w:pPr>
      <w:hyperlink w:anchor="_Toc99378052" w:history="1">
        <w:r w:rsidR="00DF3144" w:rsidRPr="0054427C">
          <w:rPr>
            <w:rStyle w:val="Hyperlink"/>
          </w:rPr>
          <w:t>Table 4.2: Paired t-test to investigate the effect of SP parameters when recorded using the two target sizes (0.5° and 1.0°) at four vertical SP frequency (0.25, 0.5, 0.75 and 1.0 Hz).</w:t>
        </w:r>
        <w:r w:rsidR="00DF3144">
          <w:rPr>
            <w:webHidden/>
          </w:rPr>
          <w:tab/>
        </w:r>
        <w:r w:rsidR="00DF3144">
          <w:rPr>
            <w:webHidden/>
          </w:rPr>
          <w:fldChar w:fldCharType="begin"/>
        </w:r>
        <w:r w:rsidR="00DF3144">
          <w:rPr>
            <w:webHidden/>
          </w:rPr>
          <w:instrText xml:space="preserve"> PAGEREF _Toc99378052 \h </w:instrText>
        </w:r>
        <w:r w:rsidR="00DF3144">
          <w:rPr>
            <w:webHidden/>
          </w:rPr>
        </w:r>
        <w:r w:rsidR="00DF3144">
          <w:rPr>
            <w:webHidden/>
          </w:rPr>
          <w:fldChar w:fldCharType="separate"/>
        </w:r>
        <w:r w:rsidR="00260178">
          <w:rPr>
            <w:webHidden/>
          </w:rPr>
          <w:t>122</w:t>
        </w:r>
        <w:r w:rsidR="00DF3144">
          <w:rPr>
            <w:webHidden/>
          </w:rPr>
          <w:fldChar w:fldCharType="end"/>
        </w:r>
      </w:hyperlink>
    </w:p>
    <w:p w14:paraId="65C28E77" w14:textId="01666806" w:rsidR="00DF3144" w:rsidRDefault="007E7CC8">
      <w:pPr>
        <w:pStyle w:val="TableofFigures"/>
        <w:rPr>
          <w:rFonts w:asciiTheme="minorHAnsi" w:eastAsiaTheme="minorEastAsia" w:hAnsiTheme="minorHAnsi" w:cstheme="minorBidi"/>
          <w:bCs w:val="0"/>
          <w:color w:val="auto"/>
          <w:sz w:val="22"/>
          <w:szCs w:val="22"/>
          <w:lang w:val="en-MY"/>
        </w:rPr>
      </w:pPr>
      <w:hyperlink w:anchor="_Toc99378053" w:history="1">
        <w:r w:rsidR="00DF3144" w:rsidRPr="0054427C">
          <w:rPr>
            <w:rStyle w:val="Hyperlink"/>
          </w:rPr>
          <w:t>Table 4.3: The results of a repeated-measures ANOVA on horizontal saccadic characteristics tested on three target sizes.</w:t>
        </w:r>
        <w:r w:rsidR="00DF3144">
          <w:rPr>
            <w:webHidden/>
          </w:rPr>
          <w:tab/>
        </w:r>
        <w:r w:rsidR="00DF3144">
          <w:rPr>
            <w:webHidden/>
          </w:rPr>
          <w:fldChar w:fldCharType="begin"/>
        </w:r>
        <w:r w:rsidR="00DF3144">
          <w:rPr>
            <w:webHidden/>
          </w:rPr>
          <w:instrText xml:space="preserve"> PAGEREF _Toc99378053 \h </w:instrText>
        </w:r>
        <w:r w:rsidR="00DF3144">
          <w:rPr>
            <w:webHidden/>
          </w:rPr>
        </w:r>
        <w:r w:rsidR="00DF3144">
          <w:rPr>
            <w:webHidden/>
          </w:rPr>
          <w:fldChar w:fldCharType="separate"/>
        </w:r>
        <w:r w:rsidR="00260178">
          <w:rPr>
            <w:webHidden/>
          </w:rPr>
          <w:t>125</w:t>
        </w:r>
        <w:r w:rsidR="00DF3144">
          <w:rPr>
            <w:webHidden/>
          </w:rPr>
          <w:fldChar w:fldCharType="end"/>
        </w:r>
      </w:hyperlink>
    </w:p>
    <w:p w14:paraId="73E054BA" w14:textId="4108D8ED" w:rsidR="00DF3144" w:rsidRDefault="007E7CC8">
      <w:pPr>
        <w:pStyle w:val="TableofFigures"/>
        <w:rPr>
          <w:rFonts w:asciiTheme="minorHAnsi" w:eastAsiaTheme="minorEastAsia" w:hAnsiTheme="minorHAnsi" w:cstheme="minorBidi"/>
          <w:bCs w:val="0"/>
          <w:color w:val="auto"/>
          <w:sz w:val="22"/>
          <w:szCs w:val="22"/>
          <w:lang w:val="en-MY"/>
        </w:rPr>
      </w:pPr>
      <w:hyperlink w:anchor="_Toc99378054" w:history="1">
        <w:r w:rsidR="00DF3144" w:rsidRPr="0054427C">
          <w:rPr>
            <w:rStyle w:val="Hyperlink"/>
          </w:rPr>
          <w:t>Table 4.4: One-way repeated-measures ANOVA showing the effect of changing target size on the vertical saccadic eye movements.</w:t>
        </w:r>
        <w:r w:rsidR="00DF3144">
          <w:rPr>
            <w:webHidden/>
          </w:rPr>
          <w:tab/>
        </w:r>
        <w:r w:rsidR="00DF3144">
          <w:rPr>
            <w:webHidden/>
          </w:rPr>
          <w:fldChar w:fldCharType="begin"/>
        </w:r>
        <w:r w:rsidR="00DF3144">
          <w:rPr>
            <w:webHidden/>
          </w:rPr>
          <w:instrText xml:space="preserve"> PAGEREF _Toc99378054 \h </w:instrText>
        </w:r>
        <w:r w:rsidR="00DF3144">
          <w:rPr>
            <w:webHidden/>
          </w:rPr>
        </w:r>
        <w:r w:rsidR="00DF3144">
          <w:rPr>
            <w:webHidden/>
          </w:rPr>
          <w:fldChar w:fldCharType="separate"/>
        </w:r>
        <w:r w:rsidR="00260178">
          <w:rPr>
            <w:webHidden/>
          </w:rPr>
          <w:t>128</w:t>
        </w:r>
        <w:r w:rsidR="00DF3144">
          <w:rPr>
            <w:webHidden/>
          </w:rPr>
          <w:fldChar w:fldCharType="end"/>
        </w:r>
      </w:hyperlink>
    </w:p>
    <w:p w14:paraId="001F5A30" w14:textId="6E2FA166" w:rsidR="00DF3144" w:rsidRDefault="007E7CC8">
      <w:pPr>
        <w:pStyle w:val="TableofFigures"/>
        <w:rPr>
          <w:rFonts w:asciiTheme="minorHAnsi" w:eastAsiaTheme="minorEastAsia" w:hAnsiTheme="minorHAnsi" w:cstheme="minorBidi"/>
          <w:bCs w:val="0"/>
          <w:color w:val="auto"/>
          <w:sz w:val="22"/>
          <w:szCs w:val="22"/>
          <w:lang w:val="en-MY"/>
        </w:rPr>
      </w:pPr>
      <w:hyperlink w:anchor="_Toc99378055" w:history="1">
        <w:r w:rsidR="00DF3144" w:rsidRPr="0054427C">
          <w:rPr>
            <w:rStyle w:val="Hyperlink"/>
          </w:rPr>
          <w:t>Table 4.4: Comparison between the RE and LE parameters during binocular recording method using an independent samples t-test and Mann-Whitney U test.</w:t>
        </w:r>
        <w:r w:rsidR="00DF3144">
          <w:rPr>
            <w:webHidden/>
          </w:rPr>
          <w:tab/>
        </w:r>
        <w:r w:rsidR="00DF3144">
          <w:rPr>
            <w:webHidden/>
          </w:rPr>
          <w:fldChar w:fldCharType="begin"/>
        </w:r>
        <w:r w:rsidR="00DF3144">
          <w:rPr>
            <w:webHidden/>
          </w:rPr>
          <w:instrText xml:space="preserve"> PAGEREF _Toc99378055 \h </w:instrText>
        </w:r>
        <w:r w:rsidR="00DF3144">
          <w:rPr>
            <w:webHidden/>
          </w:rPr>
        </w:r>
        <w:r w:rsidR="00DF3144">
          <w:rPr>
            <w:webHidden/>
          </w:rPr>
          <w:fldChar w:fldCharType="separate"/>
        </w:r>
        <w:r w:rsidR="00260178">
          <w:rPr>
            <w:webHidden/>
          </w:rPr>
          <w:t>134</w:t>
        </w:r>
        <w:r w:rsidR="00DF3144">
          <w:rPr>
            <w:webHidden/>
          </w:rPr>
          <w:fldChar w:fldCharType="end"/>
        </w:r>
      </w:hyperlink>
    </w:p>
    <w:p w14:paraId="4DD3853B" w14:textId="1181F2D9" w:rsidR="00DF3144" w:rsidRDefault="007E7CC8">
      <w:pPr>
        <w:pStyle w:val="TableofFigures"/>
        <w:rPr>
          <w:rFonts w:asciiTheme="minorHAnsi" w:eastAsiaTheme="minorEastAsia" w:hAnsiTheme="minorHAnsi" w:cstheme="minorBidi"/>
          <w:bCs w:val="0"/>
          <w:color w:val="auto"/>
          <w:sz w:val="22"/>
          <w:szCs w:val="22"/>
          <w:lang w:val="en-MY"/>
        </w:rPr>
      </w:pPr>
      <w:hyperlink w:anchor="_Toc99378056" w:history="1">
        <w:r w:rsidR="00DF3144" w:rsidRPr="0054427C">
          <w:rPr>
            <w:rStyle w:val="Hyperlink"/>
          </w:rPr>
          <w:t>Table 4.5: The independent samples t-test and the Mann-Whitney U test were used to compare two different recording methods (binocular versus monocular EMR).</w:t>
        </w:r>
        <w:r w:rsidR="00DF3144">
          <w:rPr>
            <w:webHidden/>
          </w:rPr>
          <w:tab/>
        </w:r>
        <w:r w:rsidR="00DF3144">
          <w:rPr>
            <w:webHidden/>
          </w:rPr>
          <w:fldChar w:fldCharType="begin"/>
        </w:r>
        <w:r w:rsidR="00DF3144">
          <w:rPr>
            <w:webHidden/>
          </w:rPr>
          <w:instrText xml:space="preserve"> PAGEREF _Toc99378056 \h </w:instrText>
        </w:r>
        <w:r w:rsidR="00DF3144">
          <w:rPr>
            <w:webHidden/>
          </w:rPr>
        </w:r>
        <w:r w:rsidR="00DF3144">
          <w:rPr>
            <w:webHidden/>
          </w:rPr>
          <w:fldChar w:fldCharType="separate"/>
        </w:r>
        <w:r w:rsidR="00260178">
          <w:rPr>
            <w:webHidden/>
          </w:rPr>
          <w:t>135</w:t>
        </w:r>
        <w:r w:rsidR="00DF3144">
          <w:rPr>
            <w:webHidden/>
          </w:rPr>
          <w:fldChar w:fldCharType="end"/>
        </w:r>
      </w:hyperlink>
    </w:p>
    <w:p w14:paraId="6E928467" w14:textId="207472C8" w:rsidR="00DF3144" w:rsidRPr="00DF3144" w:rsidRDefault="00A826BF" w:rsidP="00DF3144">
      <w:pPr>
        <w:spacing w:before="0" w:line="240" w:lineRule="auto"/>
        <w:rPr>
          <w:noProof/>
        </w:rPr>
      </w:pPr>
      <w:r w:rsidRPr="009D4627">
        <w:rPr>
          <w:lang w:eastAsia="en-MY"/>
        </w:rPr>
        <w:fldChar w:fldCharType="end"/>
      </w:r>
      <w:r w:rsidR="00D171E1" w:rsidRPr="009D4627">
        <w:rPr>
          <w:lang w:eastAsia="en-MY"/>
        </w:rPr>
        <w:fldChar w:fldCharType="begin"/>
      </w:r>
      <w:r w:rsidR="00D171E1" w:rsidRPr="009D4627">
        <w:rPr>
          <w:lang w:eastAsia="en-MY"/>
        </w:rPr>
        <w:instrText xml:space="preserve"> TOC \h \z \c "Table 5." </w:instrText>
      </w:r>
      <w:r w:rsidR="00D171E1" w:rsidRPr="009D4627">
        <w:rPr>
          <w:lang w:eastAsia="en-MY"/>
        </w:rPr>
        <w:fldChar w:fldCharType="separate"/>
      </w:r>
      <w:hyperlink w:anchor="_Toc99378015" w:history="1">
        <w:r w:rsidR="00DF3144" w:rsidRPr="00084268">
          <w:rPr>
            <w:rStyle w:val="Hyperlink"/>
            <w:noProof/>
          </w:rPr>
          <w:t>Table 5.1: Comparison of mean percentage DT between affected and unaffected eye of CN III, IV and VI palsy using independent samples t-tests.</w:t>
        </w:r>
        <w:r w:rsidR="00DF3144">
          <w:rPr>
            <w:noProof/>
            <w:webHidden/>
          </w:rPr>
          <w:tab/>
          <w:t>………………………………………</w:t>
        </w:r>
        <w:r w:rsidR="00DF3144">
          <w:rPr>
            <w:noProof/>
            <w:webHidden/>
          </w:rPr>
          <w:fldChar w:fldCharType="begin"/>
        </w:r>
        <w:r w:rsidR="00DF3144">
          <w:rPr>
            <w:noProof/>
            <w:webHidden/>
          </w:rPr>
          <w:instrText xml:space="preserve"> PAGEREF _Toc99378015 \h </w:instrText>
        </w:r>
        <w:r w:rsidR="00DF3144">
          <w:rPr>
            <w:noProof/>
            <w:webHidden/>
          </w:rPr>
        </w:r>
        <w:r w:rsidR="00DF3144">
          <w:rPr>
            <w:noProof/>
            <w:webHidden/>
          </w:rPr>
          <w:fldChar w:fldCharType="separate"/>
        </w:r>
        <w:r w:rsidR="00260178">
          <w:rPr>
            <w:noProof/>
            <w:webHidden/>
          </w:rPr>
          <w:t>146</w:t>
        </w:r>
        <w:r w:rsidR="00DF3144">
          <w:rPr>
            <w:noProof/>
            <w:webHidden/>
          </w:rPr>
          <w:fldChar w:fldCharType="end"/>
        </w:r>
      </w:hyperlink>
    </w:p>
    <w:p w14:paraId="05EE45E1" w14:textId="72CB82CD" w:rsidR="00DF3144" w:rsidRDefault="007E7CC8">
      <w:pPr>
        <w:pStyle w:val="TableofFigures"/>
        <w:rPr>
          <w:rFonts w:asciiTheme="minorHAnsi" w:eastAsiaTheme="minorEastAsia" w:hAnsiTheme="minorHAnsi" w:cstheme="minorBidi"/>
          <w:bCs w:val="0"/>
          <w:color w:val="auto"/>
          <w:sz w:val="22"/>
          <w:szCs w:val="22"/>
          <w:lang w:val="en-MY"/>
        </w:rPr>
      </w:pPr>
      <w:hyperlink w:anchor="_Toc99378016" w:history="1">
        <w:r w:rsidR="00DF3144" w:rsidRPr="00084268">
          <w:rPr>
            <w:rStyle w:val="Hyperlink"/>
          </w:rPr>
          <w:t>Table 5.2: An independent t-test compares the horizontal SP parameters of the affected and unaffected eyes of acquired onset ONP patients.</w:t>
        </w:r>
        <w:r w:rsidR="00DF3144">
          <w:rPr>
            <w:webHidden/>
          </w:rPr>
          <w:tab/>
        </w:r>
        <w:r w:rsidR="00DF3144">
          <w:rPr>
            <w:webHidden/>
          </w:rPr>
          <w:fldChar w:fldCharType="begin"/>
        </w:r>
        <w:r w:rsidR="00DF3144">
          <w:rPr>
            <w:webHidden/>
          </w:rPr>
          <w:instrText xml:space="preserve"> PAGEREF _Toc99378016 \h </w:instrText>
        </w:r>
        <w:r w:rsidR="00DF3144">
          <w:rPr>
            <w:webHidden/>
          </w:rPr>
        </w:r>
        <w:r w:rsidR="00DF3144">
          <w:rPr>
            <w:webHidden/>
          </w:rPr>
          <w:fldChar w:fldCharType="separate"/>
        </w:r>
        <w:r w:rsidR="00260178">
          <w:rPr>
            <w:webHidden/>
          </w:rPr>
          <w:t>147</w:t>
        </w:r>
        <w:r w:rsidR="00DF3144">
          <w:rPr>
            <w:webHidden/>
          </w:rPr>
          <w:fldChar w:fldCharType="end"/>
        </w:r>
      </w:hyperlink>
    </w:p>
    <w:p w14:paraId="20FB6FEE" w14:textId="1F8FBA7F" w:rsidR="00DF3144" w:rsidRDefault="007E7CC8">
      <w:pPr>
        <w:pStyle w:val="TableofFigures"/>
        <w:rPr>
          <w:rFonts w:asciiTheme="minorHAnsi" w:eastAsiaTheme="minorEastAsia" w:hAnsiTheme="minorHAnsi" w:cstheme="minorBidi"/>
          <w:bCs w:val="0"/>
          <w:color w:val="auto"/>
          <w:sz w:val="22"/>
          <w:szCs w:val="22"/>
          <w:lang w:val="en-MY"/>
        </w:rPr>
      </w:pPr>
      <w:hyperlink w:anchor="_Toc99378017" w:history="1">
        <w:r w:rsidR="00DF3144" w:rsidRPr="00084268">
          <w:rPr>
            <w:rStyle w:val="Hyperlink"/>
          </w:rPr>
          <w:t>Table 5.3: Two factors repeated-measures ANOVA investigating the effect of frequency and visit changes on the horizontal SP parameters.</w:t>
        </w:r>
        <w:r w:rsidR="00DF3144">
          <w:rPr>
            <w:webHidden/>
          </w:rPr>
          <w:tab/>
        </w:r>
        <w:r w:rsidR="00DF3144">
          <w:rPr>
            <w:webHidden/>
          </w:rPr>
          <w:fldChar w:fldCharType="begin"/>
        </w:r>
        <w:r w:rsidR="00DF3144">
          <w:rPr>
            <w:webHidden/>
          </w:rPr>
          <w:instrText xml:space="preserve"> PAGEREF _Toc99378017 \h </w:instrText>
        </w:r>
        <w:r w:rsidR="00DF3144">
          <w:rPr>
            <w:webHidden/>
          </w:rPr>
        </w:r>
        <w:r w:rsidR="00DF3144">
          <w:rPr>
            <w:webHidden/>
          </w:rPr>
          <w:fldChar w:fldCharType="separate"/>
        </w:r>
        <w:r w:rsidR="00260178">
          <w:rPr>
            <w:webHidden/>
          </w:rPr>
          <w:t>149</w:t>
        </w:r>
        <w:r w:rsidR="00DF3144">
          <w:rPr>
            <w:webHidden/>
          </w:rPr>
          <w:fldChar w:fldCharType="end"/>
        </w:r>
      </w:hyperlink>
    </w:p>
    <w:p w14:paraId="6901B0DC" w14:textId="5C956860" w:rsidR="00DF3144" w:rsidRDefault="007E7CC8">
      <w:pPr>
        <w:pStyle w:val="TableofFigures"/>
        <w:rPr>
          <w:rFonts w:asciiTheme="minorHAnsi" w:eastAsiaTheme="minorEastAsia" w:hAnsiTheme="minorHAnsi" w:cstheme="minorBidi"/>
          <w:bCs w:val="0"/>
          <w:color w:val="auto"/>
          <w:sz w:val="22"/>
          <w:szCs w:val="22"/>
          <w:lang w:val="en-MY"/>
        </w:rPr>
      </w:pPr>
      <w:hyperlink w:anchor="_Toc99378018" w:history="1">
        <w:r w:rsidR="00DF3144" w:rsidRPr="00084268">
          <w:rPr>
            <w:rStyle w:val="Hyperlink"/>
          </w:rPr>
          <w:t>Table 5.4: One-sample t-test comparing the affected eyes horizontal SP parameters on the fifth visit with the control group at four frequencies.</w:t>
        </w:r>
        <w:r w:rsidR="00DF3144">
          <w:rPr>
            <w:webHidden/>
          </w:rPr>
          <w:tab/>
        </w:r>
        <w:r w:rsidR="00DF3144">
          <w:rPr>
            <w:webHidden/>
          </w:rPr>
          <w:fldChar w:fldCharType="begin"/>
        </w:r>
        <w:r w:rsidR="00DF3144">
          <w:rPr>
            <w:webHidden/>
          </w:rPr>
          <w:instrText xml:space="preserve"> PAGEREF _Toc99378018 \h </w:instrText>
        </w:r>
        <w:r w:rsidR="00DF3144">
          <w:rPr>
            <w:webHidden/>
          </w:rPr>
        </w:r>
        <w:r w:rsidR="00DF3144">
          <w:rPr>
            <w:webHidden/>
          </w:rPr>
          <w:fldChar w:fldCharType="separate"/>
        </w:r>
        <w:r w:rsidR="00260178">
          <w:rPr>
            <w:webHidden/>
          </w:rPr>
          <w:t>150</w:t>
        </w:r>
        <w:r w:rsidR="00DF3144">
          <w:rPr>
            <w:webHidden/>
          </w:rPr>
          <w:fldChar w:fldCharType="end"/>
        </w:r>
      </w:hyperlink>
    </w:p>
    <w:p w14:paraId="00EAD8FE" w14:textId="2FFAF1B0" w:rsidR="00DF3144" w:rsidRDefault="007E7CC8">
      <w:pPr>
        <w:pStyle w:val="TableofFigures"/>
        <w:rPr>
          <w:rFonts w:asciiTheme="minorHAnsi" w:eastAsiaTheme="minorEastAsia" w:hAnsiTheme="minorHAnsi" w:cstheme="minorBidi"/>
          <w:bCs w:val="0"/>
          <w:color w:val="auto"/>
          <w:sz w:val="22"/>
          <w:szCs w:val="22"/>
          <w:lang w:val="en-MY"/>
        </w:rPr>
      </w:pPr>
      <w:hyperlink w:anchor="_Toc99378019" w:history="1">
        <w:r w:rsidR="00DF3144" w:rsidRPr="00084268">
          <w:rPr>
            <w:rStyle w:val="Hyperlink"/>
          </w:rPr>
          <w:t>Table 5.5: An independent samples t-tests compares the vertical SP parameters of the affected and unaffected eyes of acquired onset ONP patients.</w:t>
        </w:r>
        <w:r w:rsidR="00DF3144">
          <w:rPr>
            <w:webHidden/>
          </w:rPr>
          <w:tab/>
        </w:r>
        <w:r w:rsidR="00DF3144">
          <w:rPr>
            <w:webHidden/>
          </w:rPr>
          <w:fldChar w:fldCharType="begin"/>
        </w:r>
        <w:r w:rsidR="00DF3144">
          <w:rPr>
            <w:webHidden/>
          </w:rPr>
          <w:instrText xml:space="preserve"> PAGEREF _Toc99378019 \h </w:instrText>
        </w:r>
        <w:r w:rsidR="00DF3144">
          <w:rPr>
            <w:webHidden/>
          </w:rPr>
        </w:r>
        <w:r w:rsidR="00DF3144">
          <w:rPr>
            <w:webHidden/>
          </w:rPr>
          <w:fldChar w:fldCharType="separate"/>
        </w:r>
        <w:r w:rsidR="00260178">
          <w:rPr>
            <w:webHidden/>
          </w:rPr>
          <w:t>151</w:t>
        </w:r>
        <w:r w:rsidR="00DF3144">
          <w:rPr>
            <w:webHidden/>
          </w:rPr>
          <w:fldChar w:fldCharType="end"/>
        </w:r>
      </w:hyperlink>
    </w:p>
    <w:p w14:paraId="4C933F6C" w14:textId="1B6A4323" w:rsidR="00DF3144" w:rsidRDefault="007E7CC8">
      <w:pPr>
        <w:pStyle w:val="TableofFigures"/>
        <w:rPr>
          <w:rFonts w:asciiTheme="minorHAnsi" w:eastAsiaTheme="minorEastAsia" w:hAnsiTheme="minorHAnsi" w:cstheme="minorBidi"/>
          <w:bCs w:val="0"/>
          <w:color w:val="auto"/>
          <w:sz w:val="22"/>
          <w:szCs w:val="22"/>
          <w:lang w:val="en-MY"/>
        </w:rPr>
      </w:pPr>
      <w:hyperlink w:anchor="_Toc99378020" w:history="1">
        <w:r w:rsidR="00DF3144" w:rsidRPr="00084268">
          <w:rPr>
            <w:rStyle w:val="Hyperlink"/>
          </w:rPr>
          <w:t>Table 5.6: Two factors repeated-measures ANOVA investigating the effect of frequency and visit changes on the vertical SP parameters.</w:t>
        </w:r>
        <w:r w:rsidR="00DF3144">
          <w:rPr>
            <w:webHidden/>
          </w:rPr>
          <w:tab/>
        </w:r>
        <w:r w:rsidR="00DF3144">
          <w:rPr>
            <w:webHidden/>
          </w:rPr>
          <w:fldChar w:fldCharType="begin"/>
        </w:r>
        <w:r w:rsidR="00DF3144">
          <w:rPr>
            <w:webHidden/>
          </w:rPr>
          <w:instrText xml:space="preserve"> PAGEREF _Toc99378020 \h </w:instrText>
        </w:r>
        <w:r w:rsidR="00DF3144">
          <w:rPr>
            <w:webHidden/>
          </w:rPr>
        </w:r>
        <w:r w:rsidR="00DF3144">
          <w:rPr>
            <w:webHidden/>
          </w:rPr>
          <w:fldChar w:fldCharType="separate"/>
        </w:r>
        <w:r w:rsidR="00260178">
          <w:rPr>
            <w:webHidden/>
          </w:rPr>
          <w:t>153</w:t>
        </w:r>
        <w:r w:rsidR="00DF3144">
          <w:rPr>
            <w:webHidden/>
          </w:rPr>
          <w:fldChar w:fldCharType="end"/>
        </w:r>
      </w:hyperlink>
    </w:p>
    <w:p w14:paraId="47F4E016" w14:textId="6F467964" w:rsidR="00DF3144" w:rsidRDefault="007E7CC8">
      <w:pPr>
        <w:pStyle w:val="TableofFigures"/>
        <w:rPr>
          <w:rFonts w:asciiTheme="minorHAnsi" w:eastAsiaTheme="minorEastAsia" w:hAnsiTheme="minorHAnsi" w:cstheme="minorBidi"/>
          <w:bCs w:val="0"/>
          <w:color w:val="auto"/>
          <w:sz w:val="22"/>
          <w:szCs w:val="22"/>
          <w:lang w:val="en-MY"/>
        </w:rPr>
      </w:pPr>
      <w:hyperlink w:anchor="_Toc99378021" w:history="1">
        <w:r w:rsidR="00DF3144" w:rsidRPr="00084268">
          <w:rPr>
            <w:rStyle w:val="Hyperlink"/>
          </w:rPr>
          <w:t>Table 5.7: One-sample t-test comparing the affected eyes vertical SP parameters on the fifth visit with the control group at four frequencies.</w:t>
        </w:r>
        <w:r w:rsidR="00DF3144">
          <w:rPr>
            <w:webHidden/>
          </w:rPr>
          <w:tab/>
        </w:r>
        <w:r w:rsidR="00DF3144">
          <w:rPr>
            <w:webHidden/>
          </w:rPr>
          <w:fldChar w:fldCharType="begin"/>
        </w:r>
        <w:r w:rsidR="00DF3144">
          <w:rPr>
            <w:webHidden/>
          </w:rPr>
          <w:instrText xml:space="preserve"> PAGEREF _Toc99378021 \h </w:instrText>
        </w:r>
        <w:r w:rsidR="00DF3144">
          <w:rPr>
            <w:webHidden/>
          </w:rPr>
        </w:r>
        <w:r w:rsidR="00DF3144">
          <w:rPr>
            <w:webHidden/>
          </w:rPr>
          <w:fldChar w:fldCharType="separate"/>
        </w:r>
        <w:r w:rsidR="00260178">
          <w:rPr>
            <w:webHidden/>
          </w:rPr>
          <w:t>154</w:t>
        </w:r>
        <w:r w:rsidR="00DF3144">
          <w:rPr>
            <w:webHidden/>
          </w:rPr>
          <w:fldChar w:fldCharType="end"/>
        </w:r>
      </w:hyperlink>
    </w:p>
    <w:p w14:paraId="184586BC" w14:textId="2C8E8393" w:rsidR="00DF3144" w:rsidRDefault="007E7CC8">
      <w:pPr>
        <w:pStyle w:val="TableofFigures"/>
        <w:rPr>
          <w:rFonts w:asciiTheme="minorHAnsi" w:eastAsiaTheme="minorEastAsia" w:hAnsiTheme="minorHAnsi" w:cstheme="minorBidi"/>
          <w:bCs w:val="0"/>
          <w:color w:val="auto"/>
          <w:sz w:val="22"/>
          <w:szCs w:val="22"/>
          <w:lang w:val="en-MY"/>
        </w:rPr>
      </w:pPr>
      <w:hyperlink w:anchor="_Toc99378022" w:history="1">
        <w:r w:rsidR="00DF3144" w:rsidRPr="00084268">
          <w:rPr>
            <w:rStyle w:val="Hyperlink"/>
          </w:rPr>
          <w:t>Table 5.8: The horizontal saccadic latencies, peak velocity, and gain of the affected and unaffected eyes were compared using an independent samples t-tests.</w:t>
        </w:r>
        <w:r w:rsidR="00DF3144">
          <w:rPr>
            <w:webHidden/>
          </w:rPr>
          <w:tab/>
        </w:r>
        <w:r w:rsidR="00DF3144">
          <w:rPr>
            <w:webHidden/>
          </w:rPr>
          <w:fldChar w:fldCharType="begin"/>
        </w:r>
        <w:r w:rsidR="00DF3144">
          <w:rPr>
            <w:webHidden/>
          </w:rPr>
          <w:instrText xml:space="preserve"> PAGEREF _Toc99378022 \h </w:instrText>
        </w:r>
        <w:r w:rsidR="00DF3144">
          <w:rPr>
            <w:webHidden/>
          </w:rPr>
        </w:r>
        <w:r w:rsidR="00DF3144">
          <w:rPr>
            <w:webHidden/>
          </w:rPr>
          <w:fldChar w:fldCharType="separate"/>
        </w:r>
        <w:r w:rsidR="00260178">
          <w:rPr>
            <w:webHidden/>
          </w:rPr>
          <w:t>155</w:t>
        </w:r>
        <w:r w:rsidR="00DF3144">
          <w:rPr>
            <w:webHidden/>
          </w:rPr>
          <w:fldChar w:fldCharType="end"/>
        </w:r>
      </w:hyperlink>
    </w:p>
    <w:p w14:paraId="3E4E8C80" w14:textId="28CFFDFC" w:rsidR="00DF3144" w:rsidRDefault="007E7CC8">
      <w:pPr>
        <w:pStyle w:val="TableofFigures"/>
        <w:rPr>
          <w:rFonts w:asciiTheme="minorHAnsi" w:eastAsiaTheme="minorEastAsia" w:hAnsiTheme="minorHAnsi" w:cstheme="minorBidi"/>
          <w:bCs w:val="0"/>
          <w:color w:val="auto"/>
          <w:sz w:val="22"/>
          <w:szCs w:val="22"/>
          <w:lang w:val="en-MY"/>
        </w:rPr>
      </w:pPr>
      <w:hyperlink w:anchor="_Toc99378023" w:history="1">
        <w:r w:rsidR="00DF3144" w:rsidRPr="00084268">
          <w:rPr>
            <w:rStyle w:val="Hyperlink"/>
          </w:rPr>
          <w:t>Table 5.9: Two factors repeated-measures ANOVA investigating the effect of saccade directions and visits changes on the horizontal saccadic parameters.</w:t>
        </w:r>
        <w:r w:rsidR="00DF3144">
          <w:rPr>
            <w:webHidden/>
          </w:rPr>
          <w:tab/>
        </w:r>
        <w:r w:rsidR="00DF3144">
          <w:rPr>
            <w:webHidden/>
          </w:rPr>
          <w:fldChar w:fldCharType="begin"/>
        </w:r>
        <w:r w:rsidR="00DF3144">
          <w:rPr>
            <w:webHidden/>
          </w:rPr>
          <w:instrText xml:space="preserve"> PAGEREF _Toc99378023 \h </w:instrText>
        </w:r>
        <w:r w:rsidR="00DF3144">
          <w:rPr>
            <w:webHidden/>
          </w:rPr>
        </w:r>
        <w:r w:rsidR="00DF3144">
          <w:rPr>
            <w:webHidden/>
          </w:rPr>
          <w:fldChar w:fldCharType="separate"/>
        </w:r>
        <w:r w:rsidR="00260178">
          <w:rPr>
            <w:webHidden/>
          </w:rPr>
          <w:t>158</w:t>
        </w:r>
        <w:r w:rsidR="00DF3144">
          <w:rPr>
            <w:webHidden/>
          </w:rPr>
          <w:fldChar w:fldCharType="end"/>
        </w:r>
      </w:hyperlink>
    </w:p>
    <w:p w14:paraId="6670D8CC" w14:textId="31B7962E" w:rsidR="00DF3144" w:rsidRDefault="007E7CC8">
      <w:pPr>
        <w:pStyle w:val="TableofFigures"/>
        <w:rPr>
          <w:rFonts w:asciiTheme="minorHAnsi" w:eastAsiaTheme="minorEastAsia" w:hAnsiTheme="minorHAnsi" w:cstheme="minorBidi"/>
          <w:bCs w:val="0"/>
          <w:color w:val="auto"/>
          <w:sz w:val="22"/>
          <w:szCs w:val="22"/>
          <w:lang w:val="en-MY"/>
        </w:rPr>
      </w:pPr>
      <w:hyperlink w:anchor="_Toc99378024" w:history="1">
        <w:r w:rsidR="00DF3144" w:rsidRPr="00084268">
          <w:rPr>
            <w:rStyle w:val="Hyperlink"/>
          </w:rPr>
          <w:t>Table 5.10: One-sample t-test comparing the affected eyes horizontal saccadic parameters on five visits with the control group.</w:t>
        </w:r>
        <w:r w:rsidR="00DF3144">
          <w:rPr>
            <w:webHidden/>
          </w:rPr>
          <w:tab/>
        </w:r>
        <w:r w:rsidR="00DF3144">
          <w:rPr>
            <w:webHidden/>
          </w:rPr>
          <w:fldChar w:fldCharType="begin"/>
        </w:r>
        <w:r w:rsidR="00DF3144">
          <w:rPr>
            <w:webHidden/>
          </w:rPr>
          <w:instrText xml:space="preserve"> PAGEREF _Toc99378024 \h </w:instrText>
        </w:r>
        <w:r w:rsidR="00DF3144">
          <w:rPr>
            <w:webHidden/>
          </w:rPr>
        </w:r>
        <w:r w:rsidR="00DF3144">
          <w:rPr>
            <w:webHidden/>
          </w:rPr>
          <w:fldChar w:fldCharType="separate"/>
        </w:r>
        <w:r w:rsidR="00260178">
          <w:rPr>
            <w:webHidden/>
          </w:rPr>
          <w:t>159</w:t>
        </w:r>
        <w:r w:rsidR="00DF3144">
          <w:rPr>
            <w:webHidden/>
          </w:rPr>
          <w:fldChar w:fldCharType="end"/>
        </w:r>
      </w:hyperlink>
    </w:p>
    <w:p w14:paraId="123A0332" w14:textId="3806046B" w:rsidR="00DF3144" w:rsidRDefault="007E7CC8">
      <w:pPr>
        <w:pStyle w:val="TableofFigures"/>
        <w:rPr>
          <w:rFonts w:asciiTheme="minorHAnsi" w:eastAsiaTheme="minorEastAsia" w:hAnsiTheme="minorHAnsi" w:cstheme="minorBidi"/>
          <w:bCs w:val="0"/>
          <w:color w:val="auto"/>
          <w:sz w:val="22"/>
          <w:szCs w:val="22"/>
          <w:lang w:val="en-MY"/>
        </w:rPr>
      </w:pPr>
      <w:hyperlink w:anchor="_Toc99378025" w:history="1">
        <w:r w:rsidR="00DF3144" w:rsidRPr="00084268">
          <w:rPr>
            <w:rStyle w:val="Hyperlink"/>
          </w:rPr>
          <w:t>Table 5.11: The vertical saccadic latencies, peak velocity, and gain of the affected and unaffected eyes were compared using an independent samples t-tests.</w:t>
        </w:r>
        <w:r w:rsidR="00DF3144">
          <w:rPr>
            <w:webHidden/>
          </w:rPr>
          <w:tab/>
        </w:r>
        <w:r w:rsidR="00DF3144">
          <w:rPr>
            <w:webHidden/>
          </w:rPr>
          <w:fldChar w:fldCharType="begin"/>
        </w:r>
        <w:r w:rsidR="00DF3144">
          <w:rPr>
            <w:webHidden/>
          </w:rPr>
          <w:instrText xml:space="preserve"> PAGEREF _Toc99378025 \h </w:instrText>
        </w:r>
        <w:r w:rsidR="00DF3144">
          <w:rPr>
            <w:webHidden/>
          </w:rPr>
        </w:r>
        <w:r w:rsidR="00DF3144">
          <w:rPr>
            <w:webHidden/>
          </w:rPr>
          <w:fldChar w:fldCharType="separate"/>
        </w:r>
        <w:r w:rsidR="00260178">
          <w:rPr>
            <w:webHidden/>
          </w:rPr>
          <w:t>160</w:t>
        </w:r>
        <w:r w:rsidR="00DF3144">
          <w:rPr>
            <w:webHidden/>
          </w:rPr>
          <w:fldChar w:fldCharType="end"/>
        </w:r>
      </w:hyperlink>
    </w:p>
    <w:p w14:paraId="56995D05" w14:textId="0B2195F0" w:rsidR="00DF3144" w:rsidRDefault="007E7CC8">
      <w:pPr>
        <w:pStyle w:val="TableofFigures"/>
        <w:rPr>
          <w:rFonts w:asciiTheme="minorHAnsi" w:eastAsiaTheme="minorEastAsia" w:hAnsiTheme="minorHAnsi" w:cstheme="minorBidi"/>
          <w:bCs w:val="0"/>
          <w:color w:val="auto"/>
          <w:sz w:val="22"/>
          <w:szCs w:val="22"/>
          <w:lang w:val="en-MY"/>
        </w:rPr>
      </w:pPr>
      <w:hyperlink w:anchor="_Toc99378026" w:history="1">
        <w:r w:rsidR="00DF3144" w:rsidRPr="00084268">
          <w:rPr>
            <w:rStyle w:val="Hyperlink"/>
          </w:rPr>
          <w:t>Table 5.12: Two factors repeated-measures ANOVA investigating the effect of saccade directions and visits changes on the vertical saccadic parameters.</w:t>
        </w:r>
        <w:r w:rsidR="00DF3144">
          <w:rPr>
            <w:webHidden/>
          </w:rPr>
          <w:tab/>
        </w:r>
        <w:r w:rsidR="00DF3144">
          <w:rPr>
            <w:webHidden/>
          </w:rPr>
          <w:fldChar w:fldCharType="begin"/>
        </w:r>
        <w:r w:rsidR="00DF3144">
          <w:rPr>
            <w:webHidden/>
          </w:rPr>
          <w:instrText xml:space="preserve"> PAGEREF _Toc99378026 \h </w:instrText>
        </w:r>
        <w:r w:rsidR="00DF3144">
          <w:rPr>
            <w:webHidden/>
          </w:rPr>
        </w:r>
        <w:r w:rsidR="00DF3144">
          <w:rPr>
            <w:webHidden/>
          </w:rPr>
          <w:fldChar w:fldCharType="separate"/>
        </w:r>
        <w:r w:rsidR="00260178">
          <w:rPr>
            <w:webHidden/>
          </w:rPr>
          <w:t>162</w:t>
        </w:r>
        <w:r w:rsidR="00DF3144">
          <w:rPr>
            <w:webHidden/>
          </w:rPr>
          <w:fldChar w:fldCharType="end"/>
        </w:r>
      </w:hyperlink>
    </w:p>
    <w:p w14:paraId="54926A13" w14:textId="6ADA212C" w:rsidR="00DF3144" w:rsidRDefault="007E7CC8">
      <w:pPr>
        <w:pStyle w:val="TableofFigures"/>
        <w:rPr>
          <w:rFonts w:asciiTheme="minorHAnsi" w:eastAsiaTheme="minorEastAsia" w:hAnsiTheme="minorHAnsi" w:cstheme="minorBidi"/>
          <w:bCs w:val="0"/>
          <w:color w:val="auto"/>
          <w:sz w:val="22"/>
          <w:szCs w:val="22"/>
          <w:lang w:val="en-MY"/>
        </w:rPr>
      </w:pPr>
      <w:hyperlink w:anchor="_Toc99378027" w:history="1">
        <w:r w:rsidR="00DF3144" w:rsidRPr="00084268">
          <w:rPr>
            <w:rStyle w:val="Hyperlink"/>
          </w:rPr>
          <w:t>Table 5.13: One-sample t-test comparing the affected eyes vertical saccadic parameters on five visits with the control group.</w:t>
        </w:r>
        <w:r w:rsidR="00DF3144">
          <w:rPr>
            <w:webHidden/>
          </w:rPr>
          <w:tab/>
        </w:r>
        <w:r w:rsidR="00DF3144">
          <w:rPr>
            <w:webHidden/>
          </w:rPr>
          <w:fldChar w:fldCharType="begin"/>
        </w:r>
        <w:r w:rsidR="00DF3144">
          <w:rPr>
            <w:webHidden/>
          </w:rPr>
          <w:instrText xml:space="preserve"> PAGEREF _Toc99378027 \h </w:instrText>
        </w:r>
        <w:r w:rsidR="00DF3144">
          <w:rPr>
            <w:webHidden/>
          </w:rPr>
        </w:r>
        <w:r w:rsidR="00DF3144">
          <w:rPr>
            <w:webHidden/>
          </w:rPr>
          <w:fldChar w:fldCharType="separate"/>
        </w:r>
        <w:r w:rsidR="00260178">
          <w:rPr>
            <w:webHidden/>
          </w:rPr>
          <w:t>163</w:t>
        </w:r>
        <w:r w:rsidR="00DF3144">
          <w:rPr>
            <w:webHidden/>
          </w:rPr>
          <w:fldChar w:fldCharType="end"/>
        </w:r>
      </w:hyperlink>
    </w:p>
    <w:p w14:paraId="393DB13D" w14:textId="77777777" w:rsidR="007515C8" w:rsidRDefault="00D171E1" w:rsidP="00A42EA9">
      <w:pPr>
        <w:spacing w:before="0" w:line="240" w:lineRule="auto"/>
        <w:rPr>
          <w:lang w:eastAsia="en-MY"/>
        </w:rPr>
        <w:sectPr w:rsidR="007515C8" w:rsidSect="000B5608">
          <w:headerReference w:type="default" r:id="rId19"/>
          <w:pgSz w:w="11906" w:h="16838" w:code="9"/>
          <w:pgMar w:top="1440" w:right="1440" w:bottom="1440" w:left="1440" w:header="708" w:footer="708" w:gutter="0"/>
          <w:pgNumType w:fmt="lowerRoman"/>
          <w:cols w:space="708"/>
          <w:docGrid w:linePitch="360"/>
        </w:sectPr>
      </w:pPr>
      <w:r w:rsidRPr="009D4627">
        <w:rPr>
          <w:lang w:eastAsia="en-MY"/>
        </w:rPr>
        <w:fldChar w:fldCharType="end"/>
      </w:r>
    </w:p>
    <w:p w14:paraId="4ED0633C" w14:textId="22A85470" w:rsidR="00E0424F" w:rsidRPr="009D4627" w:rsidRDefault="000E5835" w:rsidP="00A42EA9">
      <w:pPr>
        <w:spacing w:line="240" w:lineRule="auto"/>
        <w:rPr>
          <w:b/>
          <w:bCs/>
        </w:rPr>
      </w:pPr>
      <w:r>
        <w:rPr>
          <w:b/>
          <w:bCs/>
        </w:rPr>
        <w:lastRenderedPageBreak/>
        <w:t>L</w:t>
      </w:r>
      <w:r w:rsidR="00E0424F" w:rsidRPr="009D4627">
        <w:rPr>
          <w:b/>
          <w:bCs/>
        </w:rPr>
        <w:t>ist of Appendices</w:t>
      </w:r>
    </w:p>
    <w:bookmarkStart w:id="6" w:name="_Toc69994798"/>
    <w:bookmarkStart w:id="7" w:name="_Hlk69995329"/>
    <w:p w14:paraId="7E9DFBF7" w14:textId="352BC554" w:rsidR="000E5835" w:rsidRDefault="00703F33">
      <w:pPr>
        <w:pStyle w:val="TableofFigures"/>
        <w:rPr>
          <w:rFonts w:asciiTheme="minorHAnsi" w:eastAsiaTheme="minorEastAsia" w:hAnsiTheme="minorHAnsi" w:cstheme="minorBidi"/>
          <w:bCs w:val="0"/>
          <w:color w:val="auto"/>
          <w:sz w:val="22"/>
          <w:szCs w:val="22"/>
          <w:lang w:val="en-MY"/>
        </w:rPr>
      </w:pPr>
      <w:r w:rsidRPr="009D4627">
        <w:fldChar w:fldCharType="begin"/>
      </w:r>
      <w:r w:rsidRPr="009D4627">
        <w:instrText xml:space="preserve"> TOC \h \z \c "Appendix 1." </w:instrText>
      </w:r>
      <w:r w:rsidRPr="009D4627">
        <w:fldChar w:fldCharType="separate"/>
      </w:r>
      <w:hyperlink w:anchor="_Toc98967401" w:history="1">
        <w:r w:rsidR="000E5835" w:rsidRPr="000B1058">
          <w:rPr>
            <w:rStyle w:val="Hyperlink"/>
          </w:rPr>
          <w:t>Appendix 1.1: The University of Sheffield ethical approval letter for Chapters 3 and 4.</w:t>
        </w:r>
        <w:r w:rsidR="000E5835">
          <w:rPr>
            <w:webHidden/>
          </w:rPr>
          <w:tab/>
        </w:r>
        <w:r w:rsidR="000E5835">
          <w:rPr>
            <w:webHidden/>
          </w:rPr>
          <w:fldChar w:fldCharType="begin"/>
        </w:r>
        <w:r w:rsidR="000E5835">
          <w:rPr>
            <w:webHidden/>
          </w:rPr>
          <w:instrText xml:space="preserve"> PAGEREF _Toc98967401 \h </w:instrText>
        </w:r>
        <w:r w:rsidR="000E5835">
          <w:rPr>
            <w:webHidden/>
          </w:rPr>
        </w:r>
        <w:r w:rsidR="000E5835">
          <w:rPr>
            <w:webHidden/>
          </w:rPr>
          <w:fldChar w:fldCharType="separate"/>
        </w:r>
        <w:r w:rsidR="00260178">
          <w:rPr>
            <w:webHidden/>
          </w:rPr>
          <w:t>183</w:t>
        </w:r>
        <w:r w:rsidR="000E5835">
          <w:rPr>
            <w:webHidden/>
          </w:rPr>
          <w:fldChar w:fldCharType="end"/>
        </w:r>
      </w:hyperlink>
    </w:p>
    <w:p w14:paraId="0DD84106" w14:textId="1CCC24F8" w:rsidR="000E5835" w:rsidRDefault="007E7CC8">
      <w:pPr>
        <w:pStyle w:val="TableofFigures"/>
        <w:rPr>
          <w:rFonts w:asciiTheme="minorHAnsi" w:eastAsiaTheme="minorEastAsia" w:hAnsiTheme="minorHAnsi" w:cstheme="minorBidi"/>
          <w:bCs w:val="0"/>
          <w:color w:val="auto"/>
          <w:sz w:val="22"/>
          <w:szCs w:val="22"/>
          <w:lang w:val="en-MY"/>
        </w:rPr>
      </w:pPr>
      <w:hyperlink w:anchor="_Toc98967402" w:history="1">
        <w:r w:rsidR="000E5835" w:rsidRPr="000B1058">
          <w:rPr>
            <w:rStyle w:val="Hyperlink"/>
          </w:rPr>
          <w:t>Appendix 1.2: Participant information sheet for Chapter 3 and 4.</w:t>
        </w:r>
        <w:r w:rsidR="000E5835">
          <w:rPr>
            <w:webHidden/>
          </w:rPr>
          <w:tab/>
        </w:r>
        <w:r w:rsidR="000E5835">
          <w:rPr>
            <w:webHidden/>
          </w:rPr>
          <w:fldChar w:fldCharType="begin"/>
        </w:r>
        <w:r w:rsidR="000E5835">
          <w:rPr>
            <w:webHidden/>
          </w:rPr>
          <w:instrText xml:space="preserve"> PAGEREF _Toc98967402 \h </w:instrText>
        </w:r>
        <w:r w:rsidR="000E5835">
          <w:rPr>
            <w:webHidden/>
          </w:rPr>
        </w:r>
        <w:r w:rsidR="000E5835">
          <w:rPr>
            <w:webHidden/>
          </w:rPr>
          <w:fldChar w:fldCharType="separate"/>
        </w:r>
        <w:r w:rsidR="00260178">
          <w:rPr>
            <w:webHidden/>
          </w:rPr>
          <w:t>184</w:t>
        </w:r>
        <w:r w:rsidR="000E5835">
          <w:rPr>
            <w:webHidden/>
          </w:rPr>
          <w:fldChar w:fldCharType="end"/>
        </w:r>
      </w:hyperlink>
    </w:p>
    <w:p w14:paraId="3C433442" w14:textId="62BA1F9D" w:rsidR="000E5835" w:rsidRDefault="007E7CC8">
      <w:pPr>
        <w:pStyle w:val="TableofFigures"/>
        <w:rPr>
          <w:rFonts w:asciiTheme="minorHAnsi" w:eastAsiaTheme="minorEastAsia" w:hAnsiTheme="minorHAnsi" w:cstheme="minorBidi"/>
          <w:bCs w:val="0"/>
          <w:color w:val="auto"/>
          <w:sz w:val="22"/>
          <w:szCs w:val="22"/>
          <w:lang w:val="en-MY"/>
        </w:rPr>
      </w:pPr>
      <w:hyperlink w:anchor="_Toc98967403" w:history="1">
        <w:r w:rsidR="000E5835" w:rsidRPr="000B1058">
          <w:rPr>
            <w:rStyle w:val="Hyperlink"/>
          </w:rPr>
          <w:t>Appendix 1.3: Participant consent form for Chapters 3 and 4.</w:t>
        </w:r>
        <w:r w:rsidR="000E5835">
          <w:rPr>
            <w:webHidden/>
          </w:rPr>
          <w:tab/>
        </w:r>
        <w:r w:rsidR="000E5835">
          <w:rPr>
            <w:webHidden/>
          </w:rPr>
          <w:fldChar w:fldCharType="begin"/>
        </w:r>
        <w:r w:rsidR="000E5835">
          <w:rPr>
            <w:webHidden/>
          </w:rPr>
          <w:instrText xml:space="preserve"> PAGEREF _Toc98967403 \h </w:instrText>
        </w:r>
        <w:r w:rsidR="000E5835">
          <w:rPr>
            <w:webHidden/>
          </w:rPr>
        </w:r>
        <w:r w:rsidR="000E5835">
          <w:rPr>
            <w:webHidden/>
          </w:rPr>
          <w:fldChar w:fldCharType="separate"/>
        </w:r>
        <w:r w:rsidR="00260178">
          <w:rPr>
            <w:webHidden/>
          </w:rPr>
          <w:t>186</w:t>
        </w:r>
        <w:r w:rsidR="000E5835">
          <w:rPr>
            <w:webHidden/>
          </w:rPr>
          <w:fldChar w:fldCharType="end"/>
        </w:r>
      </w:hyperlink>
    </w:p>
    <w:p w14:paraId="7938A0D7" w14:textId="53B1D440" w:rsidR="000E5835" w:rsidRDefault="007E7CC8">
      <w:pPr>
        <w:pStyle w:val="TableofFigures"/>
        <w:rPr>
          <w:rFonts w:asciiTheme="minorHAnsi" w:eastAsiaTheme="minorEastAsia" w:hAnsiTheme="minorHAnsi" w:cstheme="minorBidi"/>
          <w:bCs w:val="0"/>
          <w:color w:val="auto"/>
          <w:sz w:val="22"/>
          <w:szCs w:val="22"/>
          <w:lang w:val="en-MY"/>
        </w:rPr>
      </w:pPr>
      <w:hyperlink w:anchor="_Toc98967404" w:history="1">
        <w:r w:rsidR="000E5835" w:rsidRPr="000B1058">
          <w:rPr>
            <w:rStyle w:val="Hyperlink"/>
          </w:rPr>
          <w:t>Appendix 1.4: Ethical approval letter from Health Research Authority (HRA) for Chapter 5.</w:t>
        </w:r>
        <w:r w:rsidR="000E5835">
          <w:rPr>
            <w:webHidden/>
          </w:rPr>
          <w:tab/>
        </w:r>
        <w:r w:rsidR="000E5835">
          <w:rPr>
            <w:webHidden/>
          </w:rPr>
          <w:tab/>
        </w:r>
        <w:r w:rsidR="000E5835">
          <w:rPr>
            <w:webHidden/>
          </w:rPr>
          <w:tab/>
        </w:r>
        <w:r w:rsidR="000E5835">
          <w:rPr>
            <w:webHidden/>
          </w:rPr>
          <w:tab/>
        </w:r>
        <w:r w:rsidR="000E5835">
          <w:rPr>
            <w:webHidden/>
          </w:rPr>
          <w:tab/>
        </w:r>
        <w:r w:rsidR="000E5835">
          <w:rPr>
            <w:webHidden/>
          </w:rPr>
          <w:tab/>
        </w:r>
        <w:r w:rsidR="000E5835">
          <w:rPr>
            <w:webHidden/>
          </w:rPr>
          <w:fldChar w:fldCharType="begin"/>
        </w:r>
        <w:r w:rsidR="000E5835">
          <w:rPr>
            <w:webHidden/>
          </w:rPr>
          <w:instrText xml:space="preserve"> PAGEREF _Toc98967404 \h </w:instrText>
        </w:r>
        <w:r w:rsidR="000E5835">
          <w:rPr>
            <w:webHidden/>
          </w:rPr>
        </w:r>
        <w:r w:rsidR="000E5835">
          <w:rPr>
            <w:webHidden/>
          </w:rPr>
          <w:fldChar w:fldCharType="separate"/>
        </w:r>
        <w:r w:rsidR="00260178">
          <w:rPr>
            <w:webHidden/>
          </w:rPr>
          <w:t>187</w:t>
        </w:r>
        <w:r w:rsidR="000E5835">
          <w:rPr>
            <w:webHidden/>
          </w:rPr>
          <w:fldChar w:fldCharType="end"/>
        </w:r>
      </w:hyperlink>
    </w:p>
    <w:p w14:paraId="0C7F4248" w14:textId="60D9F246" w:rsidR="000E5835" w:rsidRDefault="007E7CC8">
      <w:pPr>
        <w:pStyle w:val="TableofFigures"/>
        <w:rPr>
          <w:rFonts w:asciiTheme="minorHAnsi" w:eastAsiaTheme="minorEastAsia" w:hAnsiTheme="minorHAnsi" w:cstheme="minorBidi"/>
          <w:bCs w:val="0"/>
          <w:color w:val="auto"/>
          <w:sz w:val="22"/>
          <w:szCs w:val="22"/>
          <w:lang w:val="en-MY"/>
        </w:rPr>
      </w:pPr>
      <w:hyperlink w:anchor="_Toc98967405" w:history="1">
        <w:r w:rsidR="000E5835" w:rsidRPr="000B1058">
          <w:rPr>
            <w:rStyle w:val="Hyperlink"/>
          </w:rPr>
          <w:t>Appendix 1.5: Participant information sheet for Chapter 5.</w:t>
        </w:r>
        <w:r w:rsidR="000E5835">
          <w:rPr>
            <w:webHidden/>
          </w:rPr>
          <w:tab/>
        </w:r>
        <w:r w:rsidR="000E5835">
          <w:rPr>
            <w:webHidden/>
          </w:rPr>
          <w:fldChar w:fldCharType="begin"/>
        </w:r>
        <w:r w:rsidR="000E5835">
          <w:rPr>
            <w:webHidden/>
          </w:rPr>
          <w:instrText xml:space="preserve"> PAGEREF _Toc98967405 \h </w:instrText>
        </w:r>
        <w:r w:rsidR="000E5835">
          <w:rPr>
            <w:webHidden/>
          </w:rPr>
        </w:r>
        <w:r w:rsidR="000E5835">
          <w:rPr>
            <w:webHidden/>
          </w:rPr>
          <w:fldChar w:fldCharType="separate"/>
        </w:r>
        <w:r w:rsidR="00260178">
          <w:rPr>
            <w:webHidden/>
          </w:rPr>
          <w:t>189</w:t>
        </w:r>
        <w:r w:rsidR="000E5835">
          <w:rPr>
            <w:webHidden/>
          </w:rPr>
          <w:fldChar w:fldCharType="end"/>
        </w:r>
      </w:hyperlink>
    </w:p>
    <w:p w14:paraId="091E8679" w14:textId="0E1B3AA1" w:rsidR="000E5835" w:rsidRDefault="007E7CC8">
      <w:pPr>
        <w:pStyle w:val="TableofFigures"/>
        <w:rPr>
          <w:rFonts w:asciiTheme="minorHAnsi" w:eastAsiaTheme="minorEastAsia" w:hAnsiTheme="minorHAnsi" w:cstheme="minorBidi"/>
          <w:bCs w:val="0"/>
          <w:color w:val="auto"/>
          <w:sz w:val="22"/>
          <w:szCs w:val="22"/>
          <w:lang w:val="en-MY"/>
        </w:rPr>
      </w:pPr>
      <w:hyperlink w:anchor="_Toc98967406" w:history="1">
        <w:r w:rsidR="000E5835" w:rsidRPr="000B1058">
          <w:rPr>
            <w:rStyle w:val="Hyperlink"/>
          </w:rPr>
          <w:t xml:space="preserve">Appendix 1.6: </w:t>
        </w:r>
        <w:r w:rsidR="000E5835" w:rsidRPr="000B1058">
          <w:rPr>
            <w:rStyle w:val="Hyperlink"/>
            <w:rFonts w:eastAsiaTheme="majorEastAsia"/>
          </w:rPr>
          <w:t>Participant consent form for Chapter 5.</w:t>
        </w:r>
        <w:r w:rsidR="000E5835">
          <w:rPr>
            <w:webHidden/>
          </w:rPr>
          <w:tab/>
        </w:r>
        <w:r w:rsidR="000E5835">
          <w:rPr>
            <w:webHidden/>
          </w:rPr>
          <w:fldChar w:fldCharType="begin"/>
        </w:r>
        <w:r w:rsidR="000E5835">
          <w:rPr>
            <w:webHidden/>
          </w:rPr>
          <w:instrText xml:space="preserve"> PAGEREF _Toc98967406 \h </w:instrText>
        </w:r>
        <w:r w:rsidR="000E5835">
          <w:rPr>
            <w:webHidden/>
          </w:rPr>
        </w:r>
        <w:r w:rsidR="000E5835">
          <w:rPr>
            <w:webHidden/>
          </w:rPr>
          <w:fldChar w:fldCharType="separate"/>
        </w:r>
        <w:r w:rsidR="00260178">
          <w:rPr>
            <w:webHidden/>
          </w:rPr>
          <w:t>191</w:t>
        </w:r>
        <w:r w:rsidR="000E5835">
          <w:rPr>
            <w:webHidden/>
          </w:rPr>
          <w:fldChar w:fldCharType="end"/>
        </w:r>
      </w:hyperlink>
    </w:p>
    <w:p w14:paraId="6091B507" w14:textId="5920DF79" w:rsidR="000E5835" w:rsidRPr="000E5835" w:rsidRDefault="00703F33">
      <w:pPr>
        <w:pStyle w:val="TableofFigures"/>
      </w:pPr>
      <w:r w:rsidRPr="009D4627">
        <w:fldChar w:fldCharType="end"/>
      </w:r>
      <w:r w:rsidRPr="009D4627">
        <w:fldChar w:fldCharType="begin"/>
      </w:r>
      <w:r w:rsidRPr="009D4627">
        <w:instrText xml:space="preserve"> TOC \h \z \c "Appendix 2." </w:instrText>
      </w:r>
      <w:r w:rsidRPr="009D4627">
        <w:fldChar w:fldCharType="separate"/>
      </w:r>
      <w:hyperlink w:anchor="_Toc98967419" w:history="1">
        <w:r w:rsidR="000E5835" w:rsidRPr="0013001D">
          <w:rPr>
            <w:rStyle w:val="Hyperlink"/>
          </w:rPr>
          <w:t>Appendix 2.1: Fixation data extraction process</w:t>
        </w:r>
        <w:r w:rsidR="000E5835">
          <w:rPr>
            <w:webHidden/>
          </w:rPr>
          <w:tab/>
        </w:r>
        <w:r w:rsidR="000E5835">
          <w:rPr>
            <w:webHidden/>
          </w:rPr>
          <w:fldChar w:fldCharType="begin"/>
        </w:r>
        <w:r w:rsidR="000E5835">
          <w:rPr>
            <w:webHidden/>
          </w:rPr>
          <w:instrText xml:space="preserve"> PAGEREF _Toc98967419 \h </w:instrText>
        </w:r>
        <w:r w:rsidR="000E5835">
          <w:rPr>
            <w:webHidden/>
          </w:rPr>
        </w:r>
        <w:r w:rsidR="000E5835">
          <w:rPr>
            <w:webHidden/>
          </w:rPr>
          <w:fldChar w:fldCharType="separate"/>
        </w:r>
        <w:r w:rsidR="00260178">
          <w:rPr>
            <w:webHidden/>
          </w:rPr>
          <w:t>192</w:t>
        </w:r>
        <w:r w:rsidR="000E5835">
          <w:rPr>
            <w:webHidden/>
          </w:rPr>
          <w:fldChar w:fldCharType="end"/>
        </w:r>
      </w:hyperlink>
    </w:p>
    <w:p w14:paraId="50DAB492" w14:textId="28A59549" w:rsidR="000E5835" w:rsidRDefault="007E7CC8">
      <w:pPr>
        <w:pStyle w:val="TableofFigures"/>
        <w:rPr>
          <w:rFonts w:asciiTheme="minorHAnsi" w:eastAsiaTheme="minorEastAsia" w:hAnsiTheme="minorHAnsi" w:cstheme="minorBidi"/>
          <w:bCs w:val="0"/>
          <w:color w:val="auto"/>
          <w:sz w:val="22"/>
          <w:szCs w:val="22"/>
          <w:lang w:val="en-MY"/>
        </w:rPr>
      </w:pPr>
      <w:hyperlink w:anchor="_Toc98967420" w:history="1">
        <w:r w:rsidR="000E5835" w:rsidRPr="0013001D">
          <w:rPr>
            <w:rStyle w:val="Hyperlink"/>
          </w:rPr>
          <w:t>Appendix 2.2: SP data extraction process</w:t>
        </w:r>
        <w:r w:rsidR="000E5835">
          <w:rPr>
            <w:webHidden/>
          </w:rPr>
          <w:tab/>
        </w:r>
        <w:r w:rsidR="000E5835">
          <w:rPr>
            <w:webHidden/>
          </w:rPr>
          <w:fldChar w:fldCharType="begin"/>
        </w:r>
        <w:r w:rsidR="000E5835">
          <w:rPr>
            <w:webHidden/>
          </w:rPr>
          <w:instrText xml:space="preserve"> PAGEREF _Toc98967420 \h </w:instrText>
        </w:r>
        <w:r w:rsidR="000E5835">
          <w:rPr>
            <w:webHidden/>
          </w:rPr>
        </w:r>
        <w:r w:rsidR="000E5835">
          <w:rPr>
            <w:webHidden/>
          </w:rPr>
          <w:fldChar w:fldCharType="separate"/>
        </w:r>
        <w:r w:rsidR="00260178">
          <w:rPr>
            <w:webHidden/>
          </w:rPr>
          <w:t>193</w:t>
        </w:r>
        <w:r w:rsidR="000E5835">
          <w:rPr>
            <w:webHidden/>
          </w:rPr>
          <w:fldChar w:fldCharType="end"/>
        </w:r>
      </w:hyperlink>
    </w:p>
    <w:p w14:paraId="714E1582" w14:textId="035F3660" w:rsidR="000E5835" w:rsidRDefault="007E7CC8">
      <w:pPr>
        <w:pStyle w:val="TableofFigures"/>
        <w:rPr>
          <w:rFonts w:asciiTheme="minorHAnsi" w:eastAsiaTheme="minorEastAsia" w:hAnsiTheme="minorHAnsi" w:cstheme="minorBidi"/>
          <w:bCs w:val="0"/>
          <w:color w:val="auto"/>
          <w:sz w:val="22"/>
          <w:szCs w:val="22"/>
          <w:lang w:val="en-MY"/>
        </w:rPr>
      </w:pPr>
      <w:hyperlink w:anchor="_Toc98967421" w:history="1">
        <w:r w:rsidR="000E5835" w:rsidRPr="0013001D">
          <w:rPr>
            <w:rStyle w:val="Hyperlink"/>
          </w:rPr>
          <w:t>Appendix 2.3: Saccade data extraction process</w:t>
        </w:r>
        <w:r w:rsidR="000E5835">
          <w:rPr>
            <w:webHidden/>
          </w:rPr>
          <w:tab/>
        </w:r>
        <w:r w:rsidR="000E5835">
          <w:rPr>
            <w:webHidden/>
          </w:rPr>
          <w:fldChar w:fldCharType="begin"/>
        </w:r>
        <w:r w:rsidR="000E5835">
          <w:rPr>
            <w:webHidden/>
          </w:rPr>
          <w:instrText xml:space="preserve"> PAGEREF _Toc98967421 \h </w:instrText>
        </w:r>
        <w:r w:rsidR="000E5835">
          <w:rPr>
            <w:webHidden/>
          </w:rPr>
        </w:r>
        <w:r w:rsidR="000E5835">
          <w:rPr>
            <w:webHidden/>
          </w:rPr>
          <w:fldChar w:fldCharType="separate"/>
        </w:r>
        <w:r w:rsidR="00260178">
          <w:rPr>
            <w:webHidden/>
          </w:rPr>
          <w:t>195</w:t>
        </w:r>
        <w:r w:rsidR="000E5835">
          <w:rPr>
            <w:webHidden/>
          </w:rPr>
          <w:fldChar w:fldCharType="end"/>
        </w:r>
      </w:hyperlink>
    </w:p>
    <w:p w14:paraId="407C4807" w14:textId="05B87EDA" w:rsidR="00876DD7" w:rsidRPr="00876DD7" w:rsidRDefault="00703F33">
      <w:pPr>
        <w:pStyle w:val="TableofFigures"/>
      </w:pPr>
      <w:r w:rsidRPr="009D4627">
        <w:fldChar w:fldCharType="end"/>
      </w:r>
      <w:r w:rsidRPr="009D4627">
        <w:fldChar w:fldCharType="begin"/>
      </w:r>
      <w:r w:rsidRPr="009D4627">
        <w:instrText xml:space="preserve"> TOC \h \z \c "Appendix 3." </w:instrText>
      </w:r>
      <w:r w:rsidRPr="009D4627">
        <w:fldChar w:fldCharType="separate"/>
      </w:r>
      <w:hyperlink w:anchor="_Toc99444689" w:history="1">
        <w:r w:rsidR="00876DD7" w:rsidRPr="00F43488">
          <w:rPr>
            <w:rStyle w:val="Hyperlink"/>
          </w:rPr>
          <w:t>Appendix 3.1: The differences between RE and LE are demonstrated by a independent samples t-tests.</w:t>
        </w:r>
        <w:r w:rsidR="00876DD7">
          <w:rPr>
            <w:webHidden/>
          </w:rPr>
          <w:tab/>
        </w:r>
        <w:r w:rsidR="00876DD7">
          <w:rPr>
            <w:webHidden/>
          </w:rPr>
          <w:tab/>
        </w:r>
        <w:r w:rsidR="00876DD7">
          <w:rPr>
            <w:webHidden/>
          </w:rPr>
          <w:tab/>
        </w:r>
        <w:r w:rsidR="00876DD7">
          <w:rPr>
            <w:webHidden/>
          </w:rPr>
          <w:tab/>
        </w:r>
        <w:r w:rsidR="00876DD7">
          <w:rPr>
            <w:webHidden/>
          </w:rPr>
          <w:fldChar w:fldCharType="begin"/>
        </w:r>
        <w:r w:rsidR="00876DD7">
          <w:rPr>
            <w:webHidden/>
          </w:rPr>
          <w:instrText xml:space="preserve"> PAGEREF _Toc99444689 \h </w:instrText>
        </w:r>
        <w:r w:rsidR="00876DD7">
          <w:rPr>
            <w:webHidden/>
          </w:rPr>
        </w:r>
        <w:r w:rsidR="00876DD7">
          <w:rPr>
            <w:webHidden/>
          </w:rPr>
          <w:fldChar w:fldCharType="separate"/>
        </w:r>
        <w:r w:rsidR="00260178">
          <w:rPr>
            <w:webHidden/>
          </w:rPr>
          <w:t>198</w:t>
        </w:r>
        <w:r w:rsidR="00876DD7">
          <w:rPr>
            <w:webHidden/>
          </w:rPr>
          <w:fldChar w:fldCharType="end"/>
        </w:r>
      </w:hyperlink>
    </w:p>
    <w:p w14:paraId="7AE41B57" w14:textId="214A28E0" w:rsidR="00876DD7" w:rsidRDefault="007E7CC8">
      <w:pPr>
        <w:pStyle w:val="TableofFigures"/>
        <w:rPr>
          <w:rFonts w:asciiTheme="minorHAnsi" w:eastAsiaTheme="minorEastAsia" w:hAnsiTheme="minorHAnsi" w:cstheme="minorBidi"/>
          <w:bCs w:val="0"/>
          <w:color w:val="auto"/>
          <w:sz w:val="22"/>
          <w:szCs w:val="22"/>
          <w:lang w:val="en-MY"/>
        </w:rPr>
      </w:pPr>
      <w:hyperlink w:anchor="_Toc99444690" w:history="1">
        <w:r w:rsidR="00876DD7" w:rsidRPr="00F43488">
          <w:rPr>
            <w:rStyle w:val="Hyperlink"/>
          </w:rPr>
          <w:t>Appendix 3.2: Mean horizontal SP a) gain, b) RMSE (°), and c) SP duration (ms), of individual participant from three age groups (young, middle and older age) with normal BSV. The result of RE was presented.</w:t>
        </w:r>
        <w:r w:rsidR="00876DD7">
          <w:rPr>
            <w:webHidden/>
          </w:rPr>
          <w:tab/>
        </w:r>
        <w:r w:rsidR="00876DD7">
          <w:rPr>
            <w:webHidden/>
          </w:rPr>
          <w:fldChar w:fldCharType="begin"/>
        </w:r>
        <w:r w:rsidR="00876DD7">
          <w:rPr>
            <w:webHidden/>
          </w:rPr>
          <w:instrText xml:space="preserve"> PAGEREF _Toc99444690 \h </w:instrText>
        </w:r>
        <w:r w:rsidR="00876DD7">
          <w:rPr>
            <w:webHidden/>
          </w:rPr>
        </w:r>
        <w:r w:rsidR="00876DD7">
          <w:rPr>
            <w:webHidden/>
          </w:rPr>
          <w:fldChar w:fldCharType="separate"/>
        </w:r>
        <w:r w:rsidR="00260178">
          <w:rPr>
            <w:webHidden/>
          </w:rPr>
          <w:t>199</w:t>
        </w:r>
        <w:r w:rsidR="00876DD7">
          <w:rPr>
            <w:webHidden/>
          </w:rPr>
          <w:fldChar w:fldCharType="end"/>
        </w:r>
      </w:hyperlink>
    </w:p>
    <w:p w14:paraId="1BF9E0E7" w14:textId="01F2FD8D" w:rsidR="00876DD7" w:rsidRDefault="007E7CC8">
      <w:pPr>
        <w:pStyle w:val="TableofFigures"/>
        <w:rPr>
          <w:rFonts w:asciiTheme="minorHAnsi" w:eastAsiaTheme="minorEastAsia" w:hAnsiTheme="minorHAnsi" w:cstheme="minorBidi"/>
          <w:bCs w:val="0"/>
          <w:color w:val="auto"/>
          <w:sz w:val="22"/>
          <w:szCs w:val="22"/>
          <w:lang w:val="en-MY"/>
        </w:rPr>
      </w:pPr>
      <w:hyperlink w:anchor="_Toc99444691" w:history="1">
        <w:r w:rsidR="00876DD7" w:rsidRPr="00F43488">
          <w:rPr>
            <w:rStyle w:val="Hyperlink"/>
          </w:rPr>
          <w:t>Appendix 3.3: Mean vertical SP a) gain, b) RMSE (°), and c) SP duration (ms), of individual participant from three age groups (young, middle and older age) with normal BSV. The result of RE was presented.</w:t>
        </w:r>
        <w:r w:rsidR="00876DD7">
          <w:rPr>
            <w:webHidden/>
          </w:rPr>
          <w:tab/>
        </w:r>
        <w:r w:rsidR="00876DD7">
          <w:rPr>
            <w:webHidden/>
          </w:rPr>
          <w:fldChar w:fldCharType="begin"/>
        </w:r>
        <w:r w:rsidR="00876DD7">
          <w:rPr>
            <w:webHidden/>
          </w:rPr>
          <w:instrText xml:space="preserve"> PAGEREF _Toc99444691 \h </w:instrText>
        </w:r>
        <w:r w:rsidR="00876DD7">
          <w:rPr>
            <w:webHidden/>
          </w:rPr>
        </w:r>
        <w:r w:rsidR="00876DD7">
          <w:rPr>
            <w:webHidden/>
          </w:rPr>
          <w:fldChar w:fldCharType="separate"/>
        </w:r>
        <w:r w:rsidR="00260178">
          <w:rPr>
            <w:webHidden/>
          </w:rPr>
          <w:t>204</w:t>
        </w:r>
        <w:r w:rsidR="00876DD7">
          <w:rPr>
            <w:webHidden/>
          </w:rPr>
          <w:fldChar w:fldCharType="end"/>
        </w:r>
      </w:hyperlink>
    </w:p>
    <w:p w14:paraId="5C35C0FA" w14:textId="4A2654DF" w:rsidR="00876DD7" w:rsidRDefault="007E7CC8">
      <w:pPr>
        <w:pStyle w:val="TableofFigures"/>
        <w:rPr>
          <w:rFonts w:asciiTheme="minorHAnsi" w:eastAsiaTheme="minorEastAsia" w:hAnsiTheme="minorHAnsi" w:cstheme="minorBidi"/>
          <w:bCs w:val="0"/>
          <w:color w:val="auto"/>
          <w:sz w:val="22"/>
          <w:szCs w:val="22"/>
          <w:lang w:val="en-MY"/>
        </w:rPr>
      </w:pPr>
      <w:hyperlink w:anchor="_Toc99444692" w:history="1">
        <w:r w:rsidR="00876DD7" w:rsidRPr="00F43488">
          <w:rPr>
            <w:rStyle w:val="Hyperlink"/>
          </w:rPr>
          <w:t>Appendix 3.4: Mean horizontal saccadic a) latency, b) peak velocity and c) gain, of individual participant from three age groups (young, middle and older) with normal BSV. The result of RE was presented.</w:t>
        </w:r>
        <w:r w:rsidR="00876DD7">
          <w:rPr>
            <w:webHidden/>
          </w:rPr>
          <w:tab/>
        </w:r>
        <w:r w:rsidR="00876DD7">
          <w:rPr>
            <w:webHidden/>
          </w:rPr>
          <w:fldChar w:fldCharType="begin"/>
        </w:r>
        <w:r w:rsidR="00876DD7">
          <w:rPr>
            <w:webHidden/>
          </w:rPr>
          <w:instrText xml:space="preserve"> PAGEREF _Toc99444692 \h </w:instrText>
        </w:r>
        <w:r w:rsidR="00876DD7">
          <w:rPr>
            <w:webHidden/>
          </w:rPr>
        </w:r>
        <w:r w:rsidR="00876DD7">
          <w:rPr>
            <w:webHidden/>
          </w:rPr>
          <w:fldChar w:fldCharType="separate"/>
        </w:r>
        <w:r w:rsidR="00260178">
          <w:rPr>
            <w:webHidden/>
          </w:rPr>
          <w:t>209</w:t>
        </w:r>
        <w:r w:rsidR="00876DD7">
          <w:rPr>
            <w:webHidden/>
          </w:rPr>
          <w:fldChar w:fldCharType="end"/>
        </w:r>
      </w:hyperlink>
    </w:p>
    <w:p w14:paraId="15392677" w14:textId="2CC8CA7E" w:rsidR="00876DD7" w:rsidRDefault="007E7CC8">
      <w:pPr>
        <w:pStyle w:val="TableofFigures"/>
        <w:rPr>
          <w:rFonts w:asciiTheme="minorHAnsi" w:eastAsiaTheme="minorEastAsia" w:hAnsiTheme="minorHAnsi" w:cstheme="minorBidi"/>
          <w:bCs w:val="0"/>
          <w:color w:val="auto"/>
          <w:sz w:val="22"/>
          <w:szCs w:val="22"/>
          <w:lang w:val="en-MY"/>
        </w:rPr>
      </w:pPr>
      <w:hyperlink w:anchor="_Toc99444693" w:history="1">
        <w:r w:rsidR="00876DD7" w:rsidRPr="00F43488">
          <w:rPr>
            <w:rStyle w:val="Hyperlink"/>
          </w:rPr>
          <w:t>Appendix 3.5: Mean vertical saccadic a) latency, b) peak velocity and c) gain, of individual participant from three age groups (young, middle and older) with normal BSV. The result of RE was presented.</w:t>
        </w:r>
        <w:r w:rsidR="00876DD7">
          <w:rPr>
            <w:webHidden/>
          </w:rPr>
          <w:tab/>
        </w:r>
        <w:r w:rsidR="00876DD7">
          <w:rPr>
            <w:webHidden/>
          </w:rPr>
          <w:fldChar w:fldCharType="begin"/>
        </w:r>
        <w:r w:rsidR="00876DD7">
          <w:rPr>
            <w:webHidden/>
          </w:rPr>
          <w:instrText xml:space="preserve"> PAGEREF _Toc99444693 \h </w:instrText>
        </w:r>
        <w:r w:rsidR="00876DD7">
          <w:rPr>
            <w:webHidden/>
          </w:rPr>
        </w:r>
        <w:r w:rsidR="00876DD7">
          <w:rPr>
            <w:webHidden/>
          </w:rPr>
          <w:fldChar w:fldCharType="separate"/>
        </w:r>
        <w:r w:rsidR="00260178">
          <w:rPr>
            <w:webHidden/>
          </w:rPr>
          <w:t>214</w:t>
        </w:r>
        <w:r w:rsidR="00876DD7">
          <w:rPr>
            <w:webHidden/>
          </w:rPr>
          <w:fldChar w:fldCharType="end"/>
        </w:r>
      </w:hyperlink>
    </w:p>
    <w:p w14:paraId="4E833908" w14:textId="7E5A9357" w:rsidR="000E5835" w:rsidRPr="000E5835" w:rsidRDefault="00703F33" w:rsidP="000E5835">
      <w:pPr>
        <w:spacing w:line="240" w:lineRule="auto"/>
        <w:rPr>
          <w:noProof/>
        </w:rPr>
      </w:pPr>
      <w:r w:rsidRPr="009D4627">
        <w:fldChar w:fldCharType="end"/>
      </w:r>
      <w:r w:rsidR="00E84136" w:rsidRPr="009D4627">
        <w:fldChar w:fldCharType="begin"/>
      </w:r>
      <w:r w:rsidR="00E84136" w:rsidRPr="009D4627">
        <w:instrText xml:space="preserve"> TOC \h \z \c "Appendix 4." </w:instrText>
      </w:r>
      <w:r w:rsidR="00E84136" w:rsidRPr="009D4627">
        <w:fldChar w:fldCharType="separate"/>
      </w:r>
      <w:hyperlink w:anchor="_Toc98967461" w:history="1">
        <w:r w:rsidR="000E5835" w:rsidRPr="00785D99">
          <w:rPr>
            <w:rStyle w:val="Hyperlink"/>
            <w:noProof/>
          </w:rPr>
          <w:t>Appendix 4.1: The testing sequence to examine the effect of performing EMR using different target size on the normal young adults (n=19) for Experiment 2</w:t>
        </w:r>
        <w:r w:rsidR="000E5835">
          <w:rPr>
            <w:rStyle w:val="Hyperlink"/>
            <w:noProof/>
          </w:rPr>
          <w:t xml:space="preserve"> …………………………..</w:t>
        </w:r>
        <w:r w:rsidR="000E5835" w:rsidRPr="00785D99">
          <w:rPr>
            <w:rStyle w:val="Hyperlink"/>
            <w:noProof/>
          </w:rPr>
          <w:t>.</w:t>
        </w:r>
        <w:r w:rsidR="000E5835">
          <w:rPr>
            <w:noProof/>
            <w:webHidden/>
          </w:rPr>
          <w:fldChar w:fldCharType="begin"/>
        </w:r>
        <w:r w:rsidR="000E5835">
          <w:rPr>
            <w:noProof/>
            <w:webHidden/>
          </w:rPr>
          <w:instrText xml:space="preserve"> PAGEREF _Toc98967461 \h </w:instrText>
        </w:r>
        <w:r w:rsidR="000E5835">
          <w:rPr>
            <w:noProof/>
            <w:webHidden/>
          </w:rPr>
        </w:r>
        <w:r w:rsidR="000E5835">
          <w:rPr>
            <w:noProof/>
            <w:webHidden/>
          </w:rPr>
          <w:fldChar w:fldCharType="separate"/>
        </w:r>
        <w:r w:rsidR="00260178">
          <w:rPr>
            <w:noProof/>
            <w:webHidden/>
          </w:rPr>
          <w:t>219</w:t>
        </w:r>
        <w:r w:rsidR="000E5835">
          <w:rPr>
            <w:noProof/>
            <w:webHidden/>
          </w:rPr>
          <w:fldChar w:fldCharType="end"/>
        </w:r>
      </w:hyperlink>
    </w:p>
    <w:p w14:paraId="711EBACA" w14:textId="77777777" w:rsidR="00876DD7" w:rsidRDefault="00E84136" w:rsidP="009B2977">
      <w:pPr>
        <w:spacing w:line="240" w:lineRule="auto"/>
        <w:rPr>
          <w:noProof/>
        </w:rPr>
      </w:pPr>
      <w:r w:rsidRPr="009D4627">
        <w:fldChar w:fldCharType="end"/>
      </w:r>
      <w:r w:rsidR="00C94531" w:rsidRPr="009D4627">
        <w:fldChar w:fldCharType="begin"/>
      </w:r>
      <w:r w:rsidR="00C94531" w:rsidRPr="009D4627">
        <w:instrText xml:space="preserve"> TOC \h \z \c "Appendix 5." </w:instrText>
      </w:r>
      <w:r w:rsidR="00C94531" w:rsidRPr="009D4627">
        <w:fldChar w:fldCharType="separate"/>
      </w:r>
    </w:p>
    <w:p w14:paraId="42F0CED2" w14:textId="5B39CF45" w:rsidR="00876DD7" w:rsidRDefault="007E7CC8">
      <w:pPr>
        <w:pStyle w:val="TableofFigures"/>
        <w:rPr>
          <w:rFonts w:asciiTheme="minorHAnsi" w:eastAsiaTheme="minorEastAsia" w:hAnsiTheme="minorHAnsi" w:cstheme="minorBidi"/>
          <w:bCs w:val="0"/>
          <w:color w:val="auto"/>
          <w:sz w:val="22"/>
          <w:szCs w:val="22"/>
          <w:lang w:val="en-MY"/>
        </w:rPr>
      </w:pPr>
      <w:hyperlink w:anchor="_Toc99444763" w:history="1">
        <w:r w:rsidR="00876DD7" w:rsidRPr="004D3326">
          <w:rPr>
            <w:rStyle w:val="Hyperlink"/>
          </w:rPr>
          <w:t>Appendix 5.1: Summary of clinical details of ten patients shown in the order they presented to the clinic.</w:t>
        </w:r>
        <w:r w:rsidR="00876DD7">
          <w:rPr>
            <w:webHidden/>
          </w:rPr>
          <w:tab/>
        </w:r>
        <w:r w:rsidR="00876DD7">
          <w:rPr>
            <w:webHidden/>
          </w:rPr>
          <w:tab/>
        </w:r>
        <w:r w:rsidR="00876DD7">
          <w:rPr>
            <w:webHidden/>
          </w:rPr>
          <w:tab/>
        </w:r>
        <w:r w:rsidR="00876DD7">
          <w:rPr>
            <w:webHidden/>
          </w:rPr>
          <w:tab/>
        </w:r>
        <w:r w:rsidR="00876DD7">
          <w:rPr>
            <w:webHidden/>
          </w:rPr>
          <w:fldChar w:fldCharType="begin"/>
        </w:r>
        <w:r w:rsidR="00876DD7">
          <w:rPr>
            <w:webHidden/>
          </w:rPr>
          <w:instrText xml:space="preserve"> PAGEREF _Toc99444763 \h </w:instrText>
        </w:r>
        <w:r w:rsidR="00876DD7">
          <w:rPr>
            <w:webHidden/>
          </w:rPr>
        </w:r>
        <w:r w:rsidR="00876DD7">
          <w:rPr>
            <w:webHidden/>
          </w:rPr>
          <w:fldChar w:fldCharType="separate"/>
        </w:r>
        <w:r w:rsidR="00260178">
          <w:rPr>
            <w:webHidden/>
          </w:rPr>
          <w:t>221</w:t>
        </w:r>
        <w:r w:rsidR="00876DD7">
          <w:rPr>
            <w:webHidden/>
          </w:rPr>
          <w:fldChar w:fldCharType="end"/>
        </w:r>
      </w:hyperlink>
    </w:p>
    <w:p w14:paraId="2B3B1672" w14:textId="011DEA16" w:rsidR="00876DD7" w:rsidRDefault="007E7CC8">
      <w:pPr>
        <w:pStyle w:val="TableofFigures"/>
        <w:rPr>
          <w:rFonts w:asciiTheme="minorHAnsi" w:eastAsiaTheme="minorEastAsia" w:hAnsiTheme="minorHAnsi" w:cstheme="minorBidi"/>
          <w:bCs w:val="0"/>
          <w:color w:val="auto"/>
          <w:sz w:val="22"/>
          <w:szCs w:val="22"/>
          <w:lang w:val="en-MY"/>
        </w:rPr>
      </w:pPr>
      <w:hyperlink w:anchor="_Toc99444764" w:history="1">
        <w:r w:rsidR="00876DD7" w:rsidRPr="004D3326">
          <w:rPr>
            <w:rStyle w:val="Hyperlink"/>
          </w:rPr>
          <w:t>Appendix 5.2: Sample size calculation</w:t>
        </w:r>
        <w:r w:rsidR="00876DD7">
          <w:rPr>
            <w:webHidden/>
          </w:rPr>
          <w:tab/>
        </w:r>
        <w:r w:rsidR="00876DD7">
          <w:rPr>
            <w:webHidden/>
          </w:rPr>
          <w:fldChar w:fldCharType="begin"/>
        </w:r>
        <w:r w:rsidR="00876DD7">
          <w:rPr>
            <w:webHidden/>
          </w:rPr>
          <w:instrText xml:space="preserve"> PAGEREF _Toc99444764 \h </w:instrText>
        </w:r>
        <w:r w:rsidR="00876DD7">
          <w:rPr>
            <w:webHidden/>
          </w:rPr>
        </w:r>
        <w:r w:rsidR="00876DD7">
          <w:rPr>
            <w:webHidden/>
          </w:rPr>
          <w:fldChar w:fldCharType="separate"/>
        </w:r>
        <w:r w:rsidR="00260178">
          <w:rPr>
            <w:webHidden/>
          </w:rPr>
          <w:t>222</w:t>
        </w:r>
        <w:r w:rsidR="00876DD7">
          <w:rPr>
            <w:webHidden/>
          </w:rPr>
          <w:fldChar w:fldCharType="end"/>
        </w:r>
      </w:hyperlink>
    </w:p>
    <w:p w14:paraId="14D8EA2F" w14:textId="479DA6D0" w:rsidR="00876DD7" w:rsidRDefault="007E7CC8">
      <w:pPr>
        <w:pStyle w:val="TableofFigures"/>
        <w:rPr>
          <w:rFonts w:asciiTheme="minorHAnsi" w:eastAsiaTheme="minorEastAsia" w:hAnsiTheme="minorHAnsi" w:cstheme="minorBidi"/>
          <w:bCs w:val="0"/>
          <w:color w:val="auto"/>
          <w:sz w:val="22"/>
          <w:szCs w:val="22"/>
          <w:lang w:val="en-MY"/>
        </w:rPr>
      </w:pPr>
      <w:hyperlink w:anchor="_Toc99444765" w:history="1">
        <w:r w:rsidR="00876DD7" w:rsidRPr="004D3326">
          <w:rPr>
            <w:rStyle w:val="Hyperlink"/>
          </w:rPr>
          <w:t>Appendix 5.3: Post-hoc analysis with Bonferroni corrections reporting the pairwise comparisons of four trial frequencies and five follow-up visits for horizontal SP parameters.</w:t>
        </w:r>
        <w:r w:rsidR="00876DD7">
          <w:rPr>
            <w:webHidden/>
          </w:rPr>
          <w:tab/>
        </w:r>
        <w:r w:rsidR="00876DD7">
          <w:rPr>
            <w:webHidden/>
          </w:rPr>
          <w:tab/>
        </w:r>
        <w:r w:rsidR="00876DD7">
          <w:rPr>
            <w:webHidden/>
          </w:rPr>
          <w:tab/>
        </w:r>
        <w:r w:rsidR="00876DD7">
          <w:rPr>
            <w:webHidden/>
          </w:rPr>
          <w:tab/>
        </w:r>
        <w:r w:rsidR="00876DD7">
          <w:rPr>
            <w:webHidden/>
          </w:rPr>
          <w:tab/>
        </w:r>
        <w:r w:rsidR="00876DD7">
          <w:rPr>
            <w:webHidden/>
          </w:rPr>
          <w:tab/>
        </w:r>
        <w:r w:rsidR="00876DD7">
          <w:rPr>
            <w:webHidden/>
          </w:rPr>
          <w:fldChar w:fldCharType="begin"/>
        </w:r>
        <w:r w:rsidR="00876DD7">
          <w:rPr>
            <w:webHidden/>
          </w:rPr>
          <w:instrText xml:space="preserve"> PAGEREF _Toc99444765 \h </w:instrText>
        </w:r>
        <w:r w:rsidR="00876DD7">
          <w:rPr>
            <w:webHidden/>
          </w:rPr>
        </w:r>
        <w:r w:rsidR="00876DD7">
          <w:rPr>
            <w:webHidden/>
          </w:rPr>
          <w:fldChar w:fldCharType="separate"/>
        </w:r>
        <w:r w:rsidR="00260178">
          <w:rPr>
            <w:webHidden/>
          </w:rPr>
          <w:t>223</w:t>
        </w:r>
        <w:r w:rsidR="00876DD7">
          <w:rPr>
            <w:webHidden/>
          </w:rPr>
          <w:fldChar w:fldCharType="end"/>
        </w:r>
      </w:hyperlink>
    </w:p>
    <w:p w14:paraId="609CCD96" w14:textId="499C4829" w:rsidR="00876DD7" w:rsidRDefault="007E7CC8">
      <w:pPr>
        <w:pStyle w:val="TableofFigures"/>
        <w:rPr>
          <w:rFonts w:asciiTheme="minorHAnsi" w:eastAsiaTheme="minorEastAsia" w:hAnsiTheme="minorHAnsi" w:cstheme="minorBidi"/>
          <w:bCs w:val="0"/>
          <w:color w:val="auto"/>
          <w:sz w:val="22"/>
          <w:szCs w:val="22"/>
          <w:lang w:val="en-MY"/>
        </w:rPr>
      </w:pPr>
      <w:hyperlink w:anchor="_Toc99444766" w:history="1">
        <w:r w:rsidR="00876DD7" w:rsidRPr="004D3326">
          <w:rPr>
            <w:rStyle w:val="Hyperlink"/>
          </w:rPr>
          <w:t>Appendix 5.4: Post hoc analysis with Bonferroni corrections reporting the pairwise comparisons of four trial frequencies for vertical SP gain and RMSE.</w:t>
        </w:r>
        <w:r w:rsidR="00876DD7">
          <w:rPr>
            <w:webHidden/>
          </w:rPr>
          <w:tab/>
        </w:r>
        <w:r w:rsidR="00876DD7">
          <w:rPr>
            <w:webHidden/>
          </w:rPr>
          <w:fldChar w:fldCharType="begin"/>
        </w:r>
        <w:r w:rsidR="00876DD7">
          <w:rPr>
            <w:webHidden/>
          </w:rPr>
          <w:instrText xml:space="preserve"> PAGEREF _Toc99444766 \h </w:instrText>
        </w:r>
        <w:r w:rsidR="00876DD7">
          <w:rPr>
            <w:webHidden/>
          </w:rPr>
        </w:r>
        <w:r w:rsidR="00876DD7">
          <w:rPr>
            <w:webHidden/>
          </w:rPr>
          <w:fldChar w:fldCharType="separate"/>
        </w:r>
        <w:r w:rsidR="00260178">
          <w:rPr>
            <w:webHidden/>
          </w:rPr>
          <w:t>224</w:t>
        </w:r>
        <w:r w:rsidR="00876DD7">
          <w:rPr>
            <w:webHidden/>
          </w:rPr>
          <w:fldChar w:fldCharType="end"/>
        </w:r>
      </w:hyperlink>
    </w:p>
    <w:p w14:paraId="3B169A80" w14:textId="05783B8B" w:rsidR="00730570" w:rsidRPr="00730570" w:rsidRDefault="00C94531" w:rsidP="00730570">
      <w:pPr>
        <w:spacing w:line="240" w:lineRule="auto"/>
        <w:rPr>
          <w:noProof/>
        </w:rPr>
      </w:pPr>
      <w:r w:rsidRPr="009D4627">
        <w:fldChar w:fldCharType="end"/>
      </w:r>
      <w:r w:rsidR="001A71FA" w:rsidRPr="009D4627">
        <w:fldChar w:fldCharType="begin"/>
      </w:r>
      <w:r w:rsidR="001A71FA" w:rsidRPr="009D4627">
        <w:instrText xml:space="preserve"> TOC \h \z \c "Appendix 6." </w:instrText>
      </w:r>
      <w:r w:rsidR="001A71FA" w:rsidRPr="009D4627">
        <w:fldChar w:fldCharType="separate"/>
      </w:r>
      <w:hyperlink w:anchor="_Toc99356733" w:history="1">
        <w:r w:rsidR="00730570" w:rsidRPr="004D4757">
          <w:rPr>
            <w:rStyle w:val="Hyperlink"/>
            <w:noProof/>
          </w:rPr>
          <w:t>Appendix 6.1: Patient ID: 1</w:t>
        </w:r>
        <w:r w:rsidR="00730570">
          <w:rPr>
            <w:noProof/>
            <w:webHidden/>
          </w:rPr>
          <w:t xml:space="preserve"> …………………………………………………………………</w:t>
        </w:r>
        <w:r w:rsidR="00730570">
          <w:rPr>
            <w:noProof/>
            <w:webHidden/>
          </w:rPr>
          <w:fldChar w:fldCharType="begin"/>
        </w:r>
        <w:r w:rsidR="00730570">
          <w:rPr>
            <w:noProof/>
            <w:webHidden/>
          </w:rPr>
          <w:instrText xml:space="preserve"> PAGEREF _Toc99356733 \h </w:instrText>
        </w:r>
        <w:r w:rsidR="00730570">
          <w:rPr>
            <w:noProof/>
            <w:webHidden/>
          </w:rPr>
        </w:r>
        <w:r w:rsidR="00730570">
          <w:rPr>
            <w:noProof/>
            <w:webHidden/>
          </w:rPr>
          <w:fldChar w:fldCharType="separate"/>
        </w:r>
        <w:r w:rsidR="00260178">
          <w:rPr>
            <w:noProof/>
            <w:webHidden/>
          </w:rPr>
          <w:t>225</w:t>
        </w:r>
        <w:r w:rsidR="00730570">
          <w:rPr>
            <w:noProof/>
            <w:webHidden/>
          </w:rPr>
          <w:fldChar w:fldCharType="end"/>
        </w:r>
      </w:hyperlink>
    </w:p>
    <w:p w14:paraId="6D31EC8D" w14:textId="353E1BB9" w:rsidR="00730570" w:rsidRDefault="007E7CC8">
      <w:pPr>
        <w:pStyle w:val="TableofFigures"/>
        <w:rPr>
          <w:rFonts w:asciiTheme="minorHAnsi" w:eastAsiaTheme="minorEastAsia" w:hAnsiTheme="minorHAnsi" w:cstheme="minorBidi"/>
          <w:bCs w:val="0"/>
          <w:color w:val="auto"/>
          <w:sz w:val="22"/>
          <w:szCs w:val="22"/>
          <w:lang w:val="en-MY"/>
        </w:rPr>
      </w:pPr>
      <w:hyperlink w:anchor="_Toc99356734" w:history="1">
        <w:r w:rsidR="00730570" w:rsidRPr="004D4757">
          <w:rPr>
            <w:rStyle w:val="Hyperlink"/>
          </w:rPr>
          <w:t>Appendix 6.2: Patient ID: 2</w:t>
        </w:r>
        <w:r w:rsidR="00730570">
          <w:rPr>
            <w:webHidden/>
          </w:rPr>
          <w:tab/>
        </w:r>
        <w:r w:rsidR="00730570">
          <w:rPr>
            <w:webHidden/>
          </w:rPr>
          <w:fldChar w:fldCharType="begin"/>
        </w:r>
        <w:r w:rsidR="00730570">
          <w:rPr>
            <w:webHidden/>
          </w:rPr>
          <w:instrText xml:space="preserve"> PAGEREF _Toc99356734 \h </w:instrText>
        </w:r>
        <w:r w:rsidR="00730570">
          <w:rPr>
            <w:webHidden/>
          </w:rPr>
        </w:r>
        <w:r w:rsidR="00730570">
          <w:rPr>
            <w:webHidden/>
          </w:rPr>
          <w:fldChar w:fldCharType="separate"/>
        </w:r>
        <w:r w:rsidR="00260178">
          <w:rPr>
            <w:webHidden/>
          </w:rPr>
          <w:t>228</w:t>
        </w:r>
        <w:r w:rsidR="00730570">
          <w:rPr>
            <w:webHidden/>
          </w:rPr>
          <w:fldChar w:fldCharType="end"/>
        </w:r>
      </w:hyperlink>
    </w:p>
    <w:p w14:paraId="2F4CC513" w14:textId="4E070866" w:rsidR="00730570" w:rsidRDefault="007E7CC8">
      <w:pPr>
        <w:pStyle w:val="TableofFigures"/>
        <w:rPr>
          <w:rFonts w:asciiTheme="minorHAnsi" w:eastAsiaTheme="minorEastAsia" w:hAnsiTheme="minorHAnsi" w:cstheme="minorBidi"/>
          <w:bCs w:val="0"/>
          <w:color w:val="auto"/>
          <w:sz w:val="22"/>
          <w:szCs w:val="22"/>
          <w:lang w:val="en-MY"/>
        </w:rPr>
      </w:pPr>
      <w:hyperlink w:anchor="_Toc99356735" w:history="1">
        <w:r w:rsidR="00730570" w:rsidRPr="004D4757">
          <w:rPr>
            <w:rStyle w:val="Hyperlink"/>
          </w:rPr>
          <w:t>Appendix 6.3:Patient ID: 3</w:t>
        </w:r>
        <w:r w:rsidR="00730570">
          <w:rPr>
            <w:webHidden/>
          </w:rPr>
          <w:tab/>
        </w:r>
        <w:r w:rsidR="00730570">
          <w:rPr>
            <w:webHidden/>
          </w:rPr>
          <w:fldChar w:fldCharType="begin"/>
        </w:r>
        <w:r w:rsidR="00730570">
          <w:rPr>
            <w:webHidden/>
          </w:rPr>
          <w:instrText xml:space="preserve"> PAGEREF _Toc99356735 \h </w:instrText>
        </w:r>
        <w:r w:rsidR="00730570">
          <w:rPr>
            <w:webHidden/>
          </w:rPr>
        </w:r>
        <w:r w:rsidR="00730570">
          <w:rPr>
            <w:webHidden/>
          </w:rPr>
          <w:fldChar w:fldCharType="separate"/>
        </w:r>
        <w:r w:rsidR="00260178">
          <w:rPr>
            <w:webHidden/>
          </w:rPr>
          <w:t>230</w:t>
        </w:r>
        <w:r w:rsidR="00730570">
          <w:rPr>
            <w:webHidden/>
          </w:rPr>
          <w:fldChar w:fldCharType="end"/>
        </w:r>
      </w:hyperlink>
    </w:p>
    <w:p w14:paraId="2F313A74" w14:textId="0089D356" w:rsidR="00730570" w:rsidRDefault="007E7CC8">
      <w:pPr>
        <w:pStyle w:val="TableofFigures"/>
        <w:rPr>
          <w:rFonts w:asciiTheme="minorHAnsi" w:eastAsiaTheme="minorEastAsia" w:hAnsiTheme="minorHAnsi" w:cstheme="minorBidi"/>
          <w:bCs w:val="0"/>
          <w:color w:val="auto"/>
          <w:sz w:val="22"/>
          <w:szCs w:val="22"/>
          <w:lang w:val="en-MY"/>
        </w:rPr>
      </w:pPr>
      <w:hyperlink w:anchor="_Toc99356736" w:history="1">
        <w:r w:rsidR="00730570" w:rsidRPr="004D4757">
          <w:rPr>
            <w:rStyle w:val="Hyperlink"/>
          </w:rPr>
          <w:t>Appendix 6.4: Patient ID: 4</w:t>
        </w:r>
        <w:r w:rsidR="00730570">
          <w:rPr>
            <w:webHidden/>
          </w:rPr>
          <w:tab/>
        </w:r>
        <w:r w:rsidR="00730570">
          <w:rPr>
            <w:webHidden/>
          </w:rPr>
          <w:fldChar w:fldCharType="begin"/>
        </w:r>
        <w:r w:rsidR="00730570">
          <w:rPr>
            <w:webHidden/>
          </w:rPr>
          <w:instrText xml:space="preserve"> PAGEREF _Toc99356736 \h </w:instrText>
        </w:r>
        <w:r w:rsidR="00730570">
          <w:rPr>
            <w:webHidden/>
          </w:rPr>
        </w:r>
        <w:r w:rsidR="00730570">
          <w:rPr>
            <w:webHidden/>
          </w:rPr>
          <w:fldChar w:fldCharType="separate"/>
        </w:r>
        <w:r w:rsidR="00260178">
          <w:rPr>
            <w:webHidden/>
          </w:rPr>
          <w:t>236</w:t>
        </w:r>
        <w:r w:rsidR="00730570">
          <w:rPr>
            <w:webHidden/>
          </w:rPr>
          <w:fldChar w:fldCharType="end"/>
        </w:r>
      </w:hyperlink>
    </w:p>
    <w:p w14:paraId="0E9C31BC" w14:textId="59F16DEB" w:rsidR="00730570" w:rsidRDefault="007E7CC8">
      <w:pPr>
        <w:pStyle w:val="TableofFigures"/>
        <w:rPr>
          <w:rFonts w:asciiTheme="minorHAnsi" w:eastAsiaTheme="minorEastAsia" w:hAnsiTheme="minorHAnsi" w:cstheme="minorBidi"/>
          <w:bCs w:val="0"/>
          <w:color w:val="auto"/>
          <w:sz w:val="22"/>
          <w:szCs w:val="22"/>
          <w:lang w:val="en-MY"/>
        </w:rPr>
      </w:pPr>
      <w:hyperlink w:anchor="_Toc99356737" w:history="1">
        <w:r w:rsidR="00730570" w:rsidRPr="004D4757">
          <w:rPr>
            <w:rStyle w:val="Hyperlink"/>
          </w:rPr>
          <w:t>Appendix 6.5: Patient ID: 5</w:t>
        </w:r>
        <w:r w:rsidR="00730570">
          <w:rPr>
            <w:webHidden/>
          </w:rPr>
          <w:tab/>
        </w:r>
        <w:r w:rsidR="00730570">
          <w:rPr>
            <w:webHidden/>
          </w:rPr>
          <w:fldChar w:fldCharType="begin"/>
        </w:r>
        <w:r w:rsidR="00730570">
          <w:rPr>
            <w:webHidden/>
          </w:rPr>
          <w:instrText xml:space="preserve"> PAGEREF _Toc99356737 \h </w:instrText>
        </w:r>
        <w:r w:rsidR="00730570">
          <w:rPr>
            <w:webHidden/>
          </w:rPr>
        </w:r>
        <w:r w:rsidR="00730570">
          <w:rPr>
            <w:webHidden/>
          </w:rPr>
          <w:fldChar w:fldCharType="separate"/>
        </w:r>
        <w:r w:rsidR="00260178">
          <w:rPr>
            <w:webHidden/>
          </w:rPr>
          <w:t>237</w:t>
        </w:r>
        <w:r w:rsidR="00730570">
          <w:rPr>
            <w:webHidden/>
          </w:rPr>
          <w:fldChar w:fldCharType="end"/>
        </w:r>
      </w:hyperlink>
    </w:p>
    <w:p w14:paraId="192CB89D" w14:textId="7308587D" w:rsidR="00730570" w:rsidRDefault="007E7CC8">
      <w:pPr>
        <w:pStyle w:val="TableofFigures"/>
        <w:rPr>
          <w:rFonts w:asciiTheme="minorHAnsi" w:eastAsiaTheme="minorEastAsia" w:hAnsiTheme="minorHAnsi" w:cstheme="minorBidi"/>
          <w:bCs w:val="0"/>
          <w:color w:val="auto"/>
          <w:sz w:val="22"/>
          <w:szCs w:val="22"/>
          <w:lang w:val="en-MY"/>
        </w:rPr>
      </w:pPr>
      <w:hyperlink w:anchor="_Toc99356738" w:history="1">
        <w:r w:rsidR="00730570" w:rsidRPr="004D4757">
          <w:rPr>
            <w:rStyle w:val="Hyperlink"/>
          </w:rPr>
          <w:t>Appendix 6.6: Patient ID: 6</w:t>
        </w:r>
        <w:r w:rsidR="00730570">
          <w:rPr>
            <w:webHidden/>
          </w:rPr>
          <w:tab/>
        </w:r>
        <w:r w:rsidR="00730570">
          <w:rPr>
            <w:webHidden/>
          </w:rPr>
          <w:fldChar w:fldCharType="begin"/>
        </w:r>
        <w:r w:rsidR="00730570">
          <w:rPr>
            <w:webHidden/>
          </w:rPr>
          <w:instrText xml:space="preserve"> PAGEREF _Toc99356738 \h </w:instrText>
        </w:r>
        <w:r w:rsidR="00730570">
          <w:rPr>
            <w:webHidden/>
          </w:rPr>
        </w:r>
        <w:r w:rsidR="00730570">
          <w:rPr>
            <w:webHidden/>
          </w:rPr>
          <w:fldChar w:fldCharType="separate"/>
        </w:r>
        <w:r w:rsidR="00260178">
          <w:rPr>
            <w:webHidden/>
          </w:rPr>
          <w:t>240</w:t>
        </w:r>
        <w:r w:rsidR="00730570">
          <w:rPr>
            <w:webHidden/>
          </w:rPr>
          <w:fldChar w:fldCharType="end"/>
        </w:r>
      </w:hyperlink>
    </w:p>
    <w:p w14:paraId="63B3252B" w14:textId="4D598CF8" w:rsidR="00730570" w:rsidRDefault="007E7CC8">
      <w:pPr>
        <w:pStyle w:val="TableofFigures"/>
        <w:rPr>
          <w:rFonts w:asciiTheme="minorHAnsi" w:eastAsiaTheme="minorEastAsia" w:hAnsiTheme="minorHAnsi" w:cstheme="minorBidi"/>
          <w:bCs w:val="0"/>
          <w:color w:val="auto"/>
          <w:sz w:val="22"/>
          <w:szCs w:val="22"/>
          <w:lang w:val="en-MY"/>
        </w:rPr>
      </w:pPr>
      <w:hyperlink w:anchor="_Toc99356739" w:history="1">
        <w:r w:rsidR="00730570" w:rsidRPr="004D4757">
          <w:rPr>
            <w:rStyle w:val="Hyperlink"/>
          </w:rPr>
          <w:t>Appendix 6.7: Patient ID: 7</w:t>
        </w:r>
        <w:r w:rsidR="00730570">
          <w:rPr>
            <w:webHidden/>
          </w:rPr>
          <w:tab/>
        </w:r>
        <w:r w:rsidR="00730570">
          <w:rPr>
            <w:webHidden/>
          </w:rPr>
          <w:fldChar w:fldCharType="begin"/>
        </w:r>
        <w:r w:rsidR="00730570">
          <w:rPr>
            <w:webHidden/>
          </w:rPr>
          <w:instrText xml:space="preserve"> PAGEREF _Toc99356739 \h </w:instrText>
        </w:r>
        <w:r w:rsidR="00730570">
          <w:rPr>
            <w:webHidden/>
          </w:rPr>
        </w:r>
        <w:r w:rsidR="00730570">
          <w:rPr>
            <w:webHidden/>
          </w:rPr>
          <w:fldChar w:fldCharType="separate"/>
        </w:r>
        <w:r w:rsidR="00260178">
          <w:rPr>
            <w:webHidden/>
          </w:rPr>
          <w:t>243</w:t>
        </w:r>
        <w:r w:rsidR="00730570">
          <w:rPr>
            <w:webHidden/>
          </w:rPr>
          <w:fldChar w:fldCharType="end"/>
        </w:r>
      </w:hyperlink>
    </w:p>
    <w:p w14:paraId="6AA5BD0F" w14:textId="54270A7E" w:rsidR="00730570" w:rsidRDefault="007E7CC8">
      <w:pPr>
        <w:pStyle w:val="TableofFigures"/>
        <w:rPr>
          <w:rFonts w:asciiTheme="minorHAnsi" w:eastAsiaTheme="minorEastAsia" w:hAnsiTheme="minorHAnsi" w:cstheme="minorBidi"/>
          <w:bCs w:val="0"/>
          <w:color w:val="auto"/>
          <w:sz w:val="22"/>
          <w:szCs w:val="22"/>
          <w:lang w:val="en-MY"/>
        </w:rPr>
      </w:pPr>
      <w:hyperlink w:anchor="_Toc99356740" w:history="1">
        <w:r w:rsidR="00730570" w:rsidRPr="004D4757">
          <w:rPr>
            <w:rStyle w:val="Hyperlink"/>
          </w:rPr>
          <w:t>Appendix 6.8: Patient ID: 8</w:t>
        </w:r>
        <w:r w:rsidR="00730570">
          <w:rPr>
            <w:webHidden/>
          </w:rPr>
          <w:tab/>
        </w:r>
        <w:r w:rsidR="00730570">
          <w:rPr>
            <w:webHidden/>
          </w:rPr>
          <w:fldChar w:fldCharType="begin"/>
        </w:r>
        <w:r w:rsidR="00730570">
          <w:rPr>
            <w:webHidden/>
          </w:rPr>
          <w:instrText xml:space="preserve"> PAGEREF _Toc99356740 \h </w:instrText>
        </w:r>
        <w:r w:rsidR="00730570">
          <w:rPr>
            <w:webHidden/>
          </w:rPr>
        </w:r>
        <w:r w:rsidR="00730570">
          <w:rPr>
            <w:webHidden/>
          </w:rPr>
          <w:fldChar w:fldCharType="separate"/>
        </w:r>
        <w:r w:rsidR="00260178">
          <w:rPr>
            <w:webHidden/>
          </w:rPr>
          <w:t>246</w:t>
        </w:r>
        <w:r w:rsidR="00730570">
          <w:rPr>
            <w:webHidden/>
          </w:rPr>
          <w:fldChar w:fldCharType="end"/>
        </w:r>
      </w:hyperlink>
    </w:p>
    <w:p w14:paraId="7352CB80" w14:textId="0E3517E7" w:rsidR="00730570" w:rsidRDefault="007E7CC8">
      <w:pPr>
        <w:pStyle w:val="TableofFigures"/>
        <w:rPr>
          <w:rFonts w:asciiTheme="minorHAnsi" w:eastAsiaTheme="minorEastAsia" w:hAnsiTheme="minorHAnsi" w:cstheme="minorBidi"/>
          <w:bCs w:val="0"/>
          <w:color w:val="auto"/>
          <w:sz w:val="22"/>
          <w:szCs w:val="22"/>
          <w:lang w:val="en-MY"/>
        </w:rPr>
      </w:pPr>
      <w:hyperlink w:anchor="_Toc99356741" w:history="1">
        <w:r w:rsidR="00730570" w:rsidRPr="004D4757">
          <w:rPr>
            <w:rStyle w:val="Hyperlink"/>
          </w:rPr>
          <w:t>Appendix 6.9: Patient ID: 9</w:t>
        </w:r>
        <w:r w:rsidR="00730570">
          <w:rPr>
            <w:webHidden/>
          </w:rPr>
          <w:tab/>
        </w:r>
        <w:r w:rsidR="00730570">
          <w:rPr>
            <w:webHidden/>
          </w:rPr>
          <w:fldChar w:fldCharType="begin"/>
        </w:r>
        <w:r w:rsidR="00730570">
          <w:rPr>
            <w:webHidden/>
          </w:rPr>
          <w:instrText xml:space="preserve"> PAGEREF _Toc99356741 \h </w:instrText>
        </w:r>
        <w:r w:rsidR="00730570">
          <w:rPr>
            <w:webHidden/>
          </w:rPr>
        </w:r>
        <w:r w:rsidR="00730570">
          <w:rPr>
            <w:webHidden/>
          </w:rPr>
          <w:fldChar w:fldCharType="separate"/>
        </w:r>
        <w:r w:rsidR="00260178">
          <w:rPr>
            <w:webHidden/>
          </w:rPr>
          <w:t>248</w:t>
        </w:r>
        <w:r w:rsidR="00730570">
          <w:rPr>
            <w:webHidden/>
          </w:rPr>
          <w:fldChar w:fldCharType="end"/>
        </w:r>
      </w:hyperlink>
    </w:p>
    <w:p w14:paraId="4A55F2A6" w14:textId="0DEBEC54" w:rsidR="00730570" w:rsidRDefault="007E7CC8">
      <w:pPr>
        <w:pStyle w:val="TableofFigures"/>
        <w:rPr>
          <w:rFonts w:asciiTheme="minorHAnsi" w:eastAsiaTheme="minorEastAsia" w:hAnsiTheme="minorHAnsi" w:cstheme="minorBidi"/>
          <w:bCs w:val="0"/>
          <w:color w:val="auto"/>
          <w:sz w:val="22"/>
          <w:szCs w:val="22"/>
          <w:lang w:val="en-MY"/>
        </w:rPr>
      </w:pPr>
      <w:hyperlink w:anchor="_Toc99356742" w:history="1">
        <w:r w:rsidR="00730570" w:rsidRPr="004D4757">
          <w:rPr>
            <w:rStyle w:val="Hyperlink"/>
          </w:rPr>
          <w:t>Appendix 6.10: Patient ID: 10</w:t>
        </w:r>
        <w:r w:rsidR="00730570">
          <w:rPr>
            <w:webHidden/>
          </w:rPr>
          <w:tab/>
        </w:r>
        <w:r w:rsidR="00730570">
          <w:rPr>
            <w:webHidden/>
          </w:rPr>
          <w:fldChar w:fldCharType="begin"/>
        </w:r>
        <w:r w:rsidR="00730570">
          <w:rPr>
            <w:webHidden/>
          </w:rPr>
          <w:instrText xml:space="preserve"> PAGEREF _Toc99356742 \h </w:instrText>
        </w:r>
        <w:r w:rsidR="00730570">
          <w:rPr>
            <w:webHidden/>
          </w:rPr>
        </w:r>
        <w:r w:rsidR="00730570">
          <w:rPr>
            <w:webHidden/>
          </w:rPr>
          <w:fldChar w:fldCharType="separate"/>
        </w:r>
        <w:r w:rsidR="00260178">
          <w:rPr>
            <w:webHidden/>
          </w:rPr>
          <w:t>250</w:t>
        </w:r>
        <w:r w:rsidR="00730570">
          <w:rPr>
            <w:webHidden/>
          </w:rPr>
          <w:fldChar w:fldCharType="end"/>
        </w:r>
      </w:hyperlink>
    </w:p>
    <w:p w14:paraId="4F8BD445" w14:textId="70189121" w:rsidR="002A3D67" w:rsidRPr="009D4627" w:rsidRDefault="001A71FA" w:rsidP="003B5592">
      <w:pPr>
        <w:spacing w:line="240" w:lineRule="auto"/>
        <w:jc w:val="center"/>
        <w:sectPr w:rsidR="002A3D67" w:rsidRPr="009D4627" w:rsidSect="000B5608">
          <w:pgSz w:w="11906" w:h="16838" w:code="9"/>
          <w:pgMar w:top="1440" w:right="1440" w:bottom="1440" w:left="1440" w:header="708" w:footer="708" w:gutter="0"/>
          <w:pgNumType w:fmt="lowerRoman"/>
          <w:cols w:space="708"/>
          <w:docGrid w:linePitch="360"/>
        </w:sectPr>
      </w:pPr>
      <w:r w:rsidRPr="009D4627">
        <w:fldChar w:fldCharType="end"/>
      </w:r>
    </w:p>
    <w:p w14:paraId="098B56C0" w14:textId="216DE60F" w:rsidR="00547D87" w:rsidRPr="009D4627" w:rsidRDefault="00547D87" w:rsidP="002A7EB3">
      <w:pPr>
        <w:pStyle w:val="Heading1"/>
      </w:pPr>
      <w:bookmarkStart w:id="8" w:name="_Toc98964608"/>
      <w:bookmarkStart w:id="9" w:name="_Toc103344653"/>
      <w:r w:rsidRPr="009D4627">
        <w:lastRenderedPageBreak/>
        <w:t xml:space="preserve">Literature </w:t>
      </w:r>
      <w:r w:rsidR="00533E48">
        <w:t>r</w:t>
      </w:r>
      <w:r w:rsidRPr="009D4627">
        <w:t>eview</w:t>
      </w:r>
      <w:bookmarkEnd w:id="0"/>
      <w:bookmarkEnd w:id="6"/>
      <w:bookmarkEnd w:id="8"/>
      <w:bookmarkEnd w:id="9"/>
    </w:p>
    <w:p w14:paraId="48F41E4E" w14:textId="38F1FB49" w:rsidR="00547D87" w:rsidRPr="009D4627" w:rsidRDefault="00547D87" w:rsidP="00D04E3B">
      <w:pPr>
        <w:pStyle w:val="Heading2"/>
      </w:pPr>
      <w:bookmarkStart w:id="10" w:name="_Toc98964609"/>
      <w:bookmarkStart w:id="11" w:name="_Toc103344654"/>
      <w:r w:rsidRPr="009D4627">
        <w:t>Introduction and clinical background</w:t>
      </w:r>
      <w:bookmarkEnd w:id="10"/>
      <w:bookmarkEnd w:id="11"/>
    </w:p>
    <w:p w14:paraId="7D33EA08" w14:textId="696ED2EA" w:rsidR="00547D87" w:rsidRPr="009D4627" w:rsidRDefault="00547D87" w:rsidP="00390EBC">
      <w:r w:rsidRPr="009D4627">
        <w:t>Objective eye movement recording</w:t>
      </w:r>
      <w:r w:rsidR="00F937E9" w:rsidRPr="009D4627">
        <w:t xml:space="preserve"> (EMR)</w:t>
      </w:r>
      <w:r w:rsidRPr="009D4627">
        <w:t xml:space="preserve"> is currently used in research environments and allows precise eye movements measurement without the need for invasive equipment and head restraints. These accurate, non-invasive recordings enable clinicians to improve clinical diagnosis and management accuracy by looking at specific eye movement parameters such as latency, velocity and gain to generate an accurate record for monitoring and planning interventions. Importantly though, the technique is challenging to use in clinical practice due to a lack of simple, readily available program</w:t>
      </w:r>
      <w:r w:rsidR="00F147BD" w:rsidRPr="009D4627">
        <w:t>me</w:t>
      </w:r>
      <w:r w:rsidRPr="009D4627">
        <w:t xml:space="preserve">s and analysis techniques. </w:t>
      </w:r>
    </w:p>
    <w:p w14:paraId="40BDD706" w14:textId="1C1A0EC1" w:rsidR="00547D87" w:rsidRPr="009D4627" w:rsidRDefault="00547D87" w:rsidP="00390EBC">
      <w:r w:rsidRPr="009D4627">
        <w:t>Hence, this Ph</w:t>
      </w:r>
      <w:r w:rsidR="00AE6F60" w:rsidRPr="009D4627">
        <w:t>D</w:t>
      </w:r>
      <w:r w:rsidRPr="009D4627">
        <w:t xml:space="preserve"> aims to develop a set of eye recording program</w:t>
      </w:r>
      <w:r w:rsidR="00F147BD" w:rsidRPr="009D4627">
        <w:t>me</w:t>
      </w:r>
      <w:r w:rsidR="00AE6F60" w:rsidRPr="009D4627">
        <w:t>s</w:t>
      </w:r>
      <w:r w:rsidRPr="009D4627">
        <w:t xml:space="preserve"> and analysis strategies suitable for clinical objective assessment of patients with eye movement anomalies. Recently, a review of the literature related to </w:t>
      </w:r>
      <w:r w:rsidR="00F937E9" w:rsidRPr="009D4627">
        <w:t>EMR</w:t>
      </w:r>
      <w:r w:rsidRPr="009D4627">
        <w:t>s</w:t>
      </w:r>
      <w:r w:rsidR="00D321D7" w:rsidRPr="009D4627">
        <w:t>'</w:t>
      </w:r>
      <w:r w:rsidRPr="009D4627">
        <w:t xml:space="preserve"> clinical importance suggested consideration of including </w:t>
      </w:r>
      <w:r w:rsidR="00F937E9" w:rsidRPr="009D4627">
        <w:t>EMR</w:t>
      </w:r>
      <w:r w:rsidRPr="009D4627">
        <w:t xml:space="preserve"> as a routine assessment in the clinical setting due to a high value in detecting neurodegenerati</w:t>
      </w:r>
      <w:r w:rsidR="00F147BD" w:rsidRPr="009D4627">
        <w:t>ve</w:t>
      </w:r>
      <w:r w:rsidRPr="009D4627">
        <w:t xml:space="preserve"> diseases such as Huntington's, Alzheimer's, Parkinson's and ocular nerve palsies, monitoring the progression of diseases and observing the response to the treatments given </w:t>
      </w:r>
      <w:r w:rsidRPr="009D4627">
        <w:fldChar w:fldCharType="begin"/>
      </w:r>
      <w:r w:rsidR="00C40138" w:rsidRPr="009D4627">
        <w:instrText xml:space="preserve"> ADDIN EN.CITE &lt;EndNote&gt;&lt;Cite&gt;&lt;Author&gt;Clark&lt;/Author&gt;&lt;Year&gt;2019&lt;/Year&gt;&lt;IDText&gt;The potential and value of objective eye tracking in the ophthalmology clinic&lt;/IDText&gt;&lt;DisplayText&gt;(Clark et al., 2019)&lt;/DisplayText&gt;&lt;record&gt;&lt;isbn&gt;0950222X&lt;/isbn&gt;&lt;titles&gt;&lt;title&gt;The potential and value of objective eye tracking in the ophthalmology clinic&lt;/title&gt;&lt;secondary-title&gt;Eye&lt;/secondary-title&gt;&lt;/titles&gt;&lt;pages&gt;1200-1202&lt;/pages&gt;&lt;number&gt;8&lt;/number&gt;&lt;contributors&gt;&lt;authors&gt;&lt;author&gt;Clark, Rosie&lt;/author&gt;&lt;author&gt;Blundell, James&lt;/author&gt;&lt;author&gt;Dunn, Matt&lt;/author&gt;&lt;author&gt;Erichsen, Jonathan&lt;/author&gt;&lt;author&gt;Giardini, Mario&lt;/author&gt;&lt;author&gt;Gottlob, Irene&lt;/author&gt;&lt;author&gt;Harris, Chris&lt;/author&gt;&lt;author&gt;Lee, Helena&lt;/author&gt;&lt;author&gt;Lee, Mcilreavy&lt;/author&gt;&lt;author&gt;Olson, Andrew&lt;/author&gt;&lt;author&gt;Self, Jay&lt;/author&gt;&lt;author&gt;Vinuela-Navarro, Valldeflors&lt;/author&gt;&lt;author&gt;Waddington, Jonathan&lt;/author&gt;&lt;author&gt;Woodhouse, J.&lt;/author&gt;&lt;author&gt;Gilchrist, Iain&lt;/author&gt;&lt;author&gt;Williams, Cathy&lt;/author&gt;&lt;/authors&gt;&lt;/contributors&gt;&lt;added-date format="utc"&gt;1571826965&lt;/added-date&gt;&lt;pub-location&gt;London&lt;/pub-location&gt;&lt;ref-type name="Journal Article"&gt;17&lt;/ref-type&gt;&lt;dates&gt;&lt;year&gt;2019&lt;/year&gt;&lt;/dates&gt;&lt;rec-number&gt;607&lt;/rec-number&gt;&lt;last-updated-date format="utc"&gt;1571826965&lt;/last-updated-date&gt;&lt;electronic-resource-num&gt;10.1038/s41433-019-0417-z&lt;/electronic-resource-num&gt;&lt;volume&gt;33&lt;/volume&gt;&lt;/record&gt;&lt;/Cite&gt;&lt;/EndNote&gt;</w:instrText>
      </w:r>
      <w:r w:rsidRPr="009D4627">
        <w:fldChar w:fldCharType="separate"/>
      </w:r>
      <w:r w:rsidR="00C40138" w:rsidRPr="009D4627">
        <w:rPr>
          <w:noProof/>
        </w:rPr>
        <w:t>(Clark et al., 2019)</w:t>
      </w:r>
      <w:r w:rsidRPr="009D4627">
        <w:fldChar w:fldCharType="end"/>
      </w:r>
      <w:r w:rsidRPr="009D4627">
        <w:t xml:space="preserve">. </w:t>
      </w:r>
    </w:p>
    <w:p w14:paraId="6088B2A6" w14:textId="690BF984" w:rsidR="00547D87" w:rsidRPr="009D4627" w:rsidRDefault="00547D87" w:rsidP="008B3C40">
      <w:r w:rsidRPr="009D4627">
        <w:t xml:space="preserve">For this study, a review of the literature published up to 30th June 2020 was conducted using the Star Plus database from the University of Sheffield, Web of Science, Science Direct and PubMed databases. The keywords used were abducens/sixth (VI) nerve palsy, trochlear/fourth (VI) nerve palsy, oculomotor/third (III) nerve palsy, ocular movements, saccades, </w:t>
      </w:r>
      <w:r w:rsidR="00D91AAB" w:rsidRPr="009D4627">
        <w:t xml:space="preserve">smooth </w:t>
      </w:r>
      <w:r w:rsidRPr="009D4627">
        <w:t>pursuits</w:t>
      </w:r>
      <w:r w:rsidR="00D91AAB" w:rsidRPr="009D4627">
        <w:t xml:space="preserve"> (SP)</w:t>
      </w:r>
      <w:r w:rsidRPr="009D4627">
        <w:t xml:space="preserve">, recovery, and age-related </w:t>
      </w:r>
      <w:r w:rsidR="00F937E9" w:rsidRPr="009D4627">
        <w:t>EMR</w:t>
      </w:r>
      <w:r w:rsidRPr="009D4627">
        <w:t xml:space="preserve">. The combination of keywords used for each search depended on the subtopic explored (i.e.: 'VI nerve palsy and recovery' was only used to </w:t>
      </w:r>
      <w:r w:rsidRPr="009D4627">
        <w:lastRenderedPageBreak/>
        <w:t>identify the articles about recovery among patients with VI nerve palsy). All papers identified from the searches were then checked for appropriate content by title, with irrelevant documents eliminated. The remaining papers were screened by reading the abstracts to determine the inclusion of accurate information. Finally, relevant articles were imported to the online endnote database for further reading. Additionally, textbooks related to the general concepts were included.</w:t>
      </w:r>
    </w:p>
    <w:p w14:paraId="6ED82575" w14:textId="5F7C667D" w:rsidR="00390EBC" w:rsidRPr="009D4627" w:rsidRDefault="00547D87" w:rsidP="00390EBC">
      <w:r w:rsidRPr="009D4627">
        <w:t xml:space="preserve">This literature review covers types of eye movements, current clinical assessments of eye movements, age-related normative eye movement studies, ocular nerve palsies and evidence of </w:t>
      </w:r>
      <w:r w:rsidR="00F937E9" w:rsidRPr="009D4627">
        <w:t>EMR</w:t>
      </w:r>
      <w:r w:rsidRPr="009D4627">
        <w:t xml:space="preserve"> in the investigation and monitoring of ocular nerve palsy</w:t>
      </w:r>
      <w:r w:rsidR="005C5883" w:rsidRPr="009D4627">
        <w:t xml:space="preserve"> (ONP)</w:t>
      </w:r>
      <w:r w:rsidRPr="009D4627">
        <w:t>.</w:t>
      </w:r>
    </w:p>
    <w:p w14:paraId="7ACE2556" w14:textId="77777777" w:rsidR="00547D87" w:rsidRPr="009D4627" w:rsidRDefault="00547D87" w:rsidP="00D04E3B">
      <w:pPr>
        <w:pStyle w:val="Heading2"/>
      </w:pPr>
      <w:bookmarkStart w:id="12" w:name="_Toc98964610"/>
      <w:bookmarkStart w:id="13" w:name="_Toc103344655"/>
      <w:r w:rsidRPr="009D4627">
        <w:t>Type of eye movements</w:t>
      </w:r>
      <w:bookmarkEnd w:id="12"/>
      <w:bookmarkEnd w:id="13"/>
    </w:p>
    <w:p w14:paraId="7FA6364C" w14:textId="6BB01411" w:rsidR="00547D87" w:rsidRPr="009D4627" w:rsidRDefault="00547D87" w:rsidP="00390EBC">
      <w:pPr>
        <w:rPr>
          <w:b/>
          <w:bCs/>
        </w:rPr>
      </w:pPr>
      <w:r w:rsidRPr="009D4627">
        <w:t>Eye movements may be driven by blur and/or disparity due to a retinal image</w:t>
      </w:r>
      <w:r w:rsidR="00F147BD" w:rsidRPr="009D4627">
        <w:t xml:space="preserve"> being</w:t>
      </w:r>
      <w:r w:rsidRPr="009D4627">
        <w:t xml:space="preserve"> located "off" the fovea. Full, intact eye movement of all eye movement systems </w:t>
      </w:r>
      <w:r w:rsidR="00703FC7" w:rsidRPr="009D4627">
        <w:t>are</w:t>
      </w:r>
      <w:r w:rsidRPr="009D4627">
        <w:t xml:space="preserve"> essential in maintaining accurate foveal fixation while viewing objects in visual space. There are several types of eye movement systems</w:t>
      </w:r>
      <w:r w:rsidR="00703FC7" w:rsidRPr="009D4627">
        <w:t>,</w:t>
      </w:r>
      <w:r w:rsidRPr="009D4627">
        <w:t xml:space="preserve"> which have different characteristics and purpose</w:t>
      </w:r>
      <w:r w:rsidR="00AE6F60" w:rsidRPr="009D4627">
        <w:t>s</w:t>
      </w:r>
      <w:r w:rsidRPr="009D4627">
        <w:t xml:space="preserve">.  This literature review will focus on </w:t>
      </w:r>
      <w:r w:rsidR="00134019" w:rsidRPr="009D4627">
        <w:t>visual fixation,</w:t>
      </w:r>
      <w:r w:rsidRPr="009D4627">
        <w:t xml:space="preserve"> </w:t>
      </w:r>
      <w:r w:rsidR="00D91AAB" w:rsidRPr="009D4627">
        <w:t>SP</w:t>
      </w:r>
      <w:r w:rsidRPr="009D4627">
        <w:t xml:space="preserve"> and </w:t>
      </w:r>
      <w:r w:rsidR="00134019" w:rsidRPr="009D4627">
        <w:t xml:space="preserve">saccades </w:t>
      </w:r>
      <w:r w:rsidRPr="009D4627">
        <w:t>as they are the most widely studied in eye</w:t>
      </w:r>
      <w:r w:rsidR="00AE6F60" w:rsidRPr="009D4627">
        <w:t>-</w:t>
      </w:r>
      <w:r w:rsidRPr="009D4627">
        <w:t xml:space="preserve">tracking research </w:t>
      </w:r>
      <w:r w:rsidRPr="009D4627">
        <w:fldChar w:fldCharType="begin"/>
      </w:r>
      <w:r w:rsidR="00376CCD" w:rsidRPr="009D4627">
        <w:instrText xml:space="preserve"> ADDIN EN.CITE &lt;EndNote&gt;&lt;Cite&gt;&lt;Author&gt;Komogortsev&lt;/Author&gt;&lt;Year&gt;2013&lt;/Year&gt;&lt;IDText&gt;Automated classification and scoring of smooth pursuit eye movements in the presence of fixations and saccades.&lt;/IDText&gt;&lt;DisplayText&gt;(Komogortsev &amp;amp; Karpov, 2013)&lt;/DisplayText&gt;&lt;record&gt;&lt;titles&gt;&lt;title&gt;Automated classification and scoring of smooth pursuit eye movements in the presence of fixations and saccades.&lt;/title&gt;&lt;/titles&gt;&lt;titles&gt;&lt;secondary-title&gt;&lt;style face="italic" font="default" size="100%"&gt;Behav Res&lt;/style&gt;&lt;/secondary-title&gt;&lt;/titles&gt;&lt;pages&gt;203-215&lt;/pages&gt;&lt;contributors&gt;&lt;authors&gt;&lt;author&gt;Komogortsev, O.V.&lt;/author&gt;&lt;author&gt;Karpov, A&lt;/author&gt;&lt;/authors&gt;&lt;/contributors&gt;&lt;added-date format="utc"&gt;1582301422&lt;/added-date&gt;&lt;ref-type name="Journal Article"&gt;17&lt;/ref-type&gt;&lt;dates&gt;&lt;year&gt;2013&lt;/year&gt;&lt;/dates&gt;&lt;rec-number&gt;636&lt;/rec-number&gt;&lt;last-updated-date format="utc"&gt;1582301559&lt;/last-updated-date&gt;&lt;electronic-resource-num&gt;10.3758/s13428-012-0234-9&lt;/electronic-resource-num&gt;&lt;volume&gt;45&lt;/volume&gt;&lt;/record&gt;&lt;/Cite&gt;&lt;/EndNote&gt;</w:instrText>
      </w:r>
      <w:r w:rsidRPr="009D4627">
        <w:fldChar w:fldCharType="separate"/>
      </w:r>
      <w:r w:rsidR="00376CCD" w:rsidRPr="009D4627">
        <w:rPr>
          <w:noProof/>
        </w:rPr>
        <w:t>(Komogortsev &amp; Karpov, 2013)</w:t>
      </w:r>
      <w:r w:rsidRPr="009D4627">
        <w:fldChar w:fldCharType="end"/>
      </w:r>
      <w:r w:rsidRPr="009D4627">
        <w:t>.</w:t>
      </w:r>
    </w:p>
    <w:p w14:paraId="3FE41738" w14:textId="77777777" w:rsidR="00F30129" w:rsidRPr="00D04E3B" w:rsidRDefault="00F30129" w:rsidP="00DC4CA6">
      <w:pPr>
        <w:pStyle w:val="Heading3"/>
      </w:pPr>
      <w:bookmarkStart w:id="14" w:name="_Toc98964611"/>
      <w:bookmarkStart w:id="15" w:name="_Toc103344656"/>
      <w:r w:rsidRPr="00D04E3B">
        <w:t>Fixations</w:t>
      </w:r>
      <w:bookmarkEnd w:id="14"/>
      <w:bookmarkEnd w:id="15"/>
    </w:p>
    <w:p w14:paraId="2C5B9E34" w14:textId="3549A799" w:rsidR="00F30129" w:rsidRPr="009D4627" w:rsidRDefault="00F30129" w:rsidP="00F30129">
      <w:r w:rsidRPr="009D4627">
        <w:rPr>
          <w:rFonts w:eastAsia="Arial"/>
        </w:rPr>
        <w:t>Leigh and Zee (2015) described visual f</w:t>
      </w:r>
      <w:r w:rsidRPr="009D4627">
        <w:t>ixation as small eye movements upon an attempt to fixate a stationary target or hold</w:t>
      </w:r>
      <w:r w:rsidR="00797921" w:rsidRPr="009D4627">
        <w:t>ing</w:t>
      </w:r>
      <w:r w:rsidRPr="009D4627">
        <w:t xml:space="preserve"> fixation while tracking a smooth moving target. The component of small movements involves tremors, drift and </w:t>
      </w:r>
      <w:proofErr w:type="spellStart"/>
      <w:r w:rsidRPr="009D4627">
        <w:t>microsaccades</w:t>
      </w:r>
      <w:proofErr w:type="spellEnd"/>
      <w:r w:rsidRPr="009D4627">
        <w:t>. If the movements are of velocities ≥5°/sec or</w:t>
      </w:r>
      <w:r w:rsidR="00797921" w:rsidRPr="009D4627">
        <w:t xml:space="preserve"> if</w:t>
      </w:r>
      <w:r w:rsidRPr="009D4627">
        <w:t xml:space="preserve"> the retinal image is displaced ≥0.5° from the centre of the fovea</w:t>
      </w:r>
      <w:r w:rsidR="00AE6F60" w:rsidRPr="009D4627">
        <w:t>,</w:t>
      </w:r>
      <w:r w:rsidRPr="009D4627">
        <w:t xml:space="preserve"> it will cause unstable fixation </w:t>
      </w:r>
      <w:r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 </w:instrText>
      </w:r>
      <w:r w:rsidR="00C40138"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(Leigh &amp; Zee, 2015)</w:t>
      </w:r>
      <w:r w:rsidRPr="009D4627">
        <w:fldChar w:fldCharType="end"/>
      </w:r>
      <w:r w:rsidRPr="009D4627">
        <w:t xml:space="preserve">. The consequences of unstable fixation are </w:t>
      </w:r>
      <w:r w:rsidRPr="009D4627">
        <w:lastRenderedPageBreak/>
        <w:t>a rapid decline in visual function</w:t>
      </w:r>
      <w:r w:rsidR="00797921" w:rsidRPr="009D4627">
        <w:t>, producing;</w:t>
      </w:r>
      <w:r w:rsidRPr="009D4627">
        <w:t xml:space="preserve"> reduced vision and</w:t>
      </w:r>
      <w:r w:rsidR="00797921" w:rsidRPr="009D4627">
        <w:t>/or</w:t>
      </w:r>
      <w:r w:rsidRPr="009D4627">
        <w:t xml:space="preserve"> oscillopsia. A study established that unstable fixation causes degradation of visual acuity </w:t>
      </w:r>
      <w:r w:rsidRPr="009D4627">
        <w:fldChar w:fldCharType="begin"/>
      </w:r>
      <w:r w:rsidR="00C40138" w:rsidRPr="009D4627">
        <w:instrText xml:space="preserve"> ADDIN EN.CITE &lt;EndNote&gt;&lt;Cite&gt;&lt;Author&gt;Kosnik&lt;/Author&gt;&lt;Year&gt;1986&lt;/Year&gt;&lt;IDText&gt;Visual fixation stability in older adults&lt;/IDText&gt;&lt;DisplayText&gt;(Kosnik et al., 1986)&lt;/DisplayText&gt;&lt;record&gt;&lt;keywords&gt;&lt;keyword&gt;Adult&lt;/keyword&gt;&lt;keyword&gt;Aged&lt;/keyword&gt;&lt;keyword&gt;Aging&lt;/keyword&gt;&lt;keyword&gt;Fixation, Ocular&lt;/keyword&gt;&lt;keyword&gt;Humans&lt;/keyword&gt;&lt;keyword&gt;Ocular Physiological Phenomena&lt;/keyword&gt;&lt;keyword&gt;Statistics As Topic&lt;/keyword&gt;&lt;/keywords&gt;&lt;isbn&gt;0146-0404&lt;/isbn&gt;&lt;titles&gt;&lt;title&gt;Visual fixation stability in older adults&lt;/title&gt;&lt;secondary-title&gt;Investigative ophthalmology &amp;amp; visual science&lt;/secondary-title&gt;&lt;/titles&gt;&lt;pages&gt;1720-1725&lt;/pages&gt;&lt;number&gt;12&lt;/number&gt;&lt;contributors&gt;&lt;authors&gt;&lt;author&gt;Kosnik, W.&lt;/author&gt;&lt;author&gt;Fikre, J.&lt;/author&gt;&lt;author&gt;Sekuler, R.&lt;/author&gt;&lt;/authors&gt;&lt;/contributors&gt;&lt;added-date format="utc"&gt;1567770570&lt;/added-date&gt;&lt;ref-type name="Journal Article"&gt;17&lt;/ref-type&gt;&lt;dates&gt;&lt;year&gt;1986&lt;/year&gt;&lt;/dates&gt;&lt;rec-number&gt;597&lt;/rec-number&gt;&lt;last-updated-date format="utc"&gt;1567770570&lt;/last-updated-date&gt;&lt;contributors&gt;&lt;secondary-authors&gt;&lt;author&gt;Kosnik, W.&lt;/author&gt;&lt;/secondary-authors&gt;&lt;/contributors&gt;&lt;volume&gt;27&lt;/volume&gt;&lt;/record&gt;&lt;/Cite&gt;&lt;/EndNote&gt;</w:instrText>
      </w:r>
      <w:r w:rsidRPr="009D4627">
        <w:fldChar w:fldCharType="separate"/>
      </w:r>
      <w:r w:rsidR="00C40138" w:rsidRPr="009D4627">
        <w:rPr>
          <w:noProof/>
        </w:rPr>
        <w:t>(Kosnik et al., 1986)</w:t>
      </w:r>
      <w:r w:rsidRPr="009D4627">
        <w:fldChar w:fldCharType="end"/>
      </w:r>
      <w:r w:rsidRPr="009D4627">
        <w:t xml:space="preserve"> and enlargement of the fixational area </w:t>
      </w:r>
      <w:r w:rsidRPr="009D4627">
        <w:fldChar w:fldCharType="begin"/>
      </w:r>
      <w:r w:rsidRPr="009D4627">
        <w:instrText xml:space="preserve"> ADDIN EN.CITE &lt;EndNote&gt;&lt;Cite&gt;&lt;Author&gt;Crossland&lt;/Author&gt;&lt;Year&gt;2002&lt;/Year&gt;&lt;IDText&gt;The Use of an Infrared Eyetracker to Measure Fixation Stability&lt;/IDText&gt;&lt;DisplayText&gt;(Crossland &amp;amp; Rubin, 2002)&lt;/DisplayText&gt;&lt;record&gt;&lt;keywords&gt;&lt;keyword&gt;Biomechanik&lt;/keyword&gt;&lt;keyword&gt;Medizinische Ausrüstung&lt;/keyword&gt;&lt;keyword&gt;Auge (Anatomie)&lt;/keyword&gt;&lt;keyword&gt;Augenbewegung&lt;/keyword&gt;&lt;keyword&gt;Abstand&lt;/keyword&gt;&lt;keyword&gt;Versuchsperson&lt;/keyword&gt;&lt;keyword&gt;Medizinisches Gerät&lt;/keyword&gt;&lt;keyword&gt;Körperbewegung&lt;/keyword&gt;&lt;keyword&gt;Fixieren (Sehen)&lt;/keyword&gt;&lt;keyword&gt;Augenspiegel&lt;/keyword&gt;&lt;keyword&gt;Medicine&lt;/keyword&gt;&lt;/keywords&gt;&lt;isbn&gt;1040-5488&lt;/isbn&gt;&lt;titles&gt;&lt;title&gt;The Use of an Infrared Eyetracker to Measure Fixation Stability&lt;/title&gt;&lt;secondary-title&gt;Optometry and Vision Science&lt;/secondary-title&gt;&lt;/titles&gt;&lt;pages&gt;735-739&lt;/pages&gt;&lt;number&gt;11&lt;/number&gt;&lt;contributors&gt;&lt;authors&gt;&lt;author&gt;Crossland, D. Michael&lt;/author&gt;&lt;author&gt;Rubin, S. And Gary&lt;/author&gt;&lt;/authors&gt;&lt;/contributors&gt;&lt;added-date format="utc"&gt;1583425844&lt;/added-date&gt;&lt;ref-type name="Journal Article"&gt;17&lt;/ref-type&gt;&lt;dates&gt;&lt;year&gt;2002&lt;/year&gt;&lt;/dates&gt;&lt;rec-number&gt;675&lt;/rec-number&gt;&lt;last-updated-date format="utc"&gt;1583425844&lt;/last-updated-date&gt;&lt;electronic-resource-num&gt;10.1097/00006324-200211000-00011&lt;/electronic-resource-num&gt;&lt;volume&gt;79&lt;/volume&gt;&lt;/record&gt;&lt;/Cite&gt;&lt;/EndNote&gt;</w:instrText>
      </w:r>
      <w:r w:rsidRPr="009D4627">
        <w:fldChar w:fldCharType="separate"/>
      </w:r>
      <w:r w:rsidRPr="009D4627">
        <w:rPr>
          <w:noProof/>
        </w:rPr>
        <w:t>(Crossland &amp; Rubin, 2002)</w:t>
      </w:r>
      <w:r w:rsidRPr="009D4627">
        <w:fldChar w:fldCharType="end"/>
      </w:r>
      <w:r w:rsidRPr="009D4627">
        <w:t xml:space="preserve">. The fixational area size has also been shown to increase with increased duration fixating on a stationary target </w:t>
      </w:r>
      <w:r w:rsidRPr="009D4627">
        <w:fldChar w:fldCharType="begin"/>
      </w:r>
      <w:r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Pr="009D4627">
        <w:rPr>
          <w:noProof/>
        </w:rPr>
        <w:t>(Ciuffreda &amp; Tannen, 1995)</w:t>
      </w:r>
      <w:r w:rsidRPr="009D4627">
        <w:fldChar w:fldCharType="end"/>
      </w:r>
      <w:r w:rsidRPr="009D4627">
        <w:t xml:space="preserve">, as demonstrated in </w:t>
      </w:r>
      <w:r w:rsidR="00147455" w:rsidRPr="009D4627">
        <w:t>Figure</w:t>
      </w:r>
      <w:r w:rsidRPr="009D4627">
        <w:t xml:space="preserve"> 1.</w:t>
      </w:r>
      <w:r w:rsidR="00797921" w:rsidRPr="009D4627">
        <w:t>1</w:t>
      </w:r>
      <w:r w:rsidRPr="009D4627">
        <w:t xml:space="preserve">. </w:t>
      </w:r>
    </w:p>
    <w:p w14:paraId="51D10915" w14:textId="08687889" w:rsidR="00F30129" w:rsidRPr="009D4627" w:rsidRDefault="00A2792E" w:rsidP="00F30129">
      <w:pPr>
        <w:spacing w:after="0"/>
        <w:jc w:val="center"/>
        <w:rPr>
          <w:b/>
          <w:bCs/>
        </w:rPr>
      </w:pPr>
      <w:r w:rsidRPr="009D4627">
        <w:rPr>
          <w:noProof/>
        </w:rPr>
        <mc:AlternateContent>
          <mc:Choice Requires="wps">
            <w:drawing>
              <wp:anchor distT="0" distB="0" distL="114300" distR="114300" simplePos="0" relativeHeight="251675648" behindDoc="0" locked="0" layoutInCell="1" allowOverlap="1" wp14:anchorId="54E76159" wp14:editId="16144A76">
                <wp:simplePos x="0" y="0"/>
                <wp:positionH relativeFrom="column">
                  <wp:posOffset>3781425</wp:posOffset>
                </wp:positionH>
                <wp:positionV relativeFrom="paragraph">
                  <wp:posOffset>1442085</wp:posOffset>
                </wp:positionV>
                <wp:extent cx="238125" cy="266700"/>
                <wp:effectExtent l="0" t="0" r="0" b="0"/>
                <wp:wrapNone/>
                <wp:docPr id="24484" name="Oval 24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667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D5828C" w14:textId="458944D4" w:rsidR="00527127" w:rsidRPr="000B26AB" w:rsidRDefault="00527127" w:rsidP="000B26AB">
                            <w:pPr>
                              <w:spacing w:before="0" w:after="0" w:line="240" w:lineRule="auto"/>
                              <w:jc w:val="center"/>
                              <w:rPr>
                                <w:lang w:val="en-US"/>
                              </w:rPr>
                            </w:pPr>
                            <w:r>
                              <w:rPr>
                                <w:lang w:val="en-US"/>
                              </w:rPr>
                              <w:t>c</w:t>
                            </w:r>
                            <w:r w:rsidRPr="000B26AB">
                              <w:rPr>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E76159" id="Oval 24484" o:spid="_x0000_s1026" style="position:absolute;left:0;text-align:left;margin-left:297.75pt;margin-top:113.55pt;width:18.7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" fillcolor="white [3212]" stroked="f" strokeweight="1pt">
                <v:stroke joinstyle="miter"/>
                <v:textbox inset="0,0,0,0">
                  <w:txbxContent>
                    <w:p w14:paraId="66D5828C" w14:textId="458944D4" w:rsidR="00527127" w:rsidRPr="000B26AB" w:rsidRDefault="00527127" w:rsidP="000B26AB">
                      <w:pPr>
                        <w:spacing w:before="0" w:after="0" w:line="240" w:lineRule="auto"/>
                        <w:jc w:val="center"/>
                        <w:rPr>
                          <w:lang w:val="en-US"/>
                        </w:rPr>
                      </w:pPr>
                      <w:r>
                        <w:rPr>
                          <w:lang w:val="en-US"/>
                        </w:rPr>
                        <w:t>c</w:t>
                      </w:r>
                      <w:r w:rsidRPr="000B26AB">
                        <w:rPr>
                          <w:lang w:val="en-US"/>
                        </w:rPr>
                        <w:t>)</w:t>
                      </w:r>
                    </w:p>
                  </w:txbxContent>
                </v:textbox>
              </v:oval>
            </w:pict>
          </mc:Fallback>
        </mc:AlternateContent>
      </w:r>
      <w:r w:rsidRPr="009D4627">
        <w:rPr>
          <w:noProof/>
        </w:rPr>
        <mc:AlternateContent>
          <mc:Choice Requires="wps">
            <w:drawing>
              <wp:anchor distT="0" distB="0" distL="114300" distR="114300" simplePos="0" relativeHeight="251674624" behindDoc="0" locked="0" layoutInCell="1" allowOverlap="1" wp14:anchorId="13B4735B" wp14:editId="23793C41">
                <wp:simplePos x="0" y="0"/>
                <wp:positionH relativeFrom="column">
                  <wp:posOffset>2514600</wp:posOffset>
                </wp:positionH>
                <wp:positionV relativeFrom="paragraph">
                  <wp:posOffset>1384935</wp:posOffset>
                </wp:positionV>
                <wp:extent cx="238125" cy="238125"/>
                <wp:effectExtent l="0" t="0" r="0" b="0"/>
                <wp:wrapNone/>
                <wp:docPr id="24483" name="Oval 24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381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B60C6D" w14:textId="19B1C4D5" w:rsidR="00527127" w:rsidRPr="000B26AB" w:rsidRDefault="00527127" w:rsidP="000B26AB">
                            <w:pPr>
                              <w:spacing w:before="0" w:after="0" w:line="240" w:lineRule="auto"/>
                              <w:jc w:val="center"/>
                              <w:rPr>
                                <w:lang w:val="en-US"/>
                              </w:rPr>
                            </w:pPr>
                            <w:r>
                              <w:rPr>
                                <w:lang w:val="en-US"/>
                              </w:rPr>
                              <w:t>b</w:t>
                            </w:r>
                            <w:r w:rsidRPr="000B26AB">
                              <w:rPr>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B4735B" id="Oval 24483" o:spid="_x0000_s1027" style="position:absolute;left:0;text-align:left;margin-left:198pt;margin-top:109.0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" fillcolor="white [3212]" stroked="f" strokeweight="1pt">
                <v:stroke joinstyle="miter"/>
                <v:textbox inset="0,0,0,0">
                  <w:txbxContent>
                    <w:p w14:paraId="1BB60C6D" w14:textId="19B1C4D5" w:rsidR="00527127" w:rsidRPr="000B26AB" w:rsidRDefault="00527127" w:rsidP="000B26AB">
                      <w:pPr>
                        <w:spacing w:before="0" w:after="0" w:line="240" w:lineRule="auto"/>
                        <w:jc w:val="center"/>
                        <w:rPr>
                          <w:lang w:val="en-US"/>
                        </w:rPr>
                      </w:pPr>
                      <w:r>
                        <w:rPr>
                          <w:lang w:val="en-US"/>
                        </w:rPr>
                        <w:t>b</w:t>
                      </w:r>
                      <w:r w:rsidRPr="000B26AB">
                        <w:rPr>
                          <w:lang w:val="en-US"/>
                        </w:rPr>
                        <w:t>)</w:t>
                      </w:r>
                    </w:p>
                  </w:txbxContent>
                </v:textbox>
              </v:oval>
            </w:pict>
          </mc:Fallback>
        </mc:AlternateContent>
      </w:r>
      <w:r w:rsidRPr="009D4627">
        <w:rPr>
          <w:noProof/>
        </w:rPr>
        <mc:AlternateContent>
          <mc:Choice Requires="wps">
            <w:drawing>
              <wp:anchor distT="0" distB="0" distL="114300" distR="114300" simplePos="0" relativeHeight="251673600" behindDoc="0" locked="0" layoutInCell="1" allowOverlap="1" wp14:anchorId="03B1AF9D" wp14:editId="7D095A9B">
                <wp:simplePos x="0" y="0"/>
                <wp:positionH relativeFrom="column">
                  <wp:posOffset>1019175</wp:posOffset>
                </wp:positionH>
                <wp:positionV relativeFrom="paragraph">
                  <wp:posOffset>499110</wp:posOffset>
                </wp:positionV>
                <wp:extent cx="238125" cy="266700"/>
                <wp:effectExtent l="0" t="0" r="0" b="0"/>
                <wp:wrapNone/>
                <wp:docPr id="24482" name="Oval 24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667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480A17" w14:textId="488670F5" w:rsidR="00527127" w:rsidRPr="000B26AB" w:rsidRDefault="00527127" w:rsidP="000B26AB">
                            <w:pPr>
                              <w:spacing w:before="0" w:after="0" w:line="240" w:lineRule="auto"/>
                              <w:jc w:val="center"/>
                              <w:rPr>
                                <w:lang w:val="en-US"/>
                              </w:rPr>
                            </w:pPr>
                            <w:r w:rsidRPr="000B26AB">
                              <w:rPr>
                                <w:lang w:val="en-US"/>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B1AF9D" id="Oval 24482" o:spid="_x0000_s1028" style="position:absolute;left:0;text-align:left;margin-left:80.25pt;margin-top:39.3pt;width:18.75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" fillcolor="white [3212]" stroked="f" strokeweight="1pt">
                <v:stroke joinstyle="miter"/>
                <v:textbox inset="0,0,0,0">
                  <w:txbxContent>
                    <w:p w14:paraId="5A480A17" w14:textId="488670F5" w:rsidR="00527127" w:rsidRPr="000B26AB" w:rsidRDefault="00527127" w:rsidP="000B26AB">
                      <w:pPr>
                        <w:spacing w:before="0" w:after="0" w:line="240" w:lineRule="auto"/>
                        <w:jc w:val="center"/>
                        <w:rPr>
                          <w:lang w:val="en-US"/>
                        </w:rPr>
                      </w:pPr>
                      <w:r w:rsidRPr="000B26AB">
                        <w:rPr>
                          <w:lang w:val="en-US"/>
                        </w:rPr>
                        <w:t>a)</w:t>
                      </w:r>
                    </w:p>
                  </w:txbxContent>
                </v:textbox>
              </v:oval>
            </w:pict>
          </mc:Fallback>
        </mc:AlternateContent>
      </w:r>
      <w:r w:rsidRPr="009D4627">
        <w:rPr>
          <w:noProof/>
        </w:rPr>
        <mc:AlternateContent>
          <mc:Choice Requires="wpg">
            <w:drawing>
              <wp:inline distT="0" distB="0" distL="0" distR="0" wp14:anchorId="2BD8ED2C" wp14:editId="6AE5FA12">
                <wp:extent cx="4752975" cy="1838325"/>
                <wp:effectExtent l="0" t="0" r="0" b="0"/>
                <wp:docPr id="24478" name="Group 24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2975" cy="1838325"/>
                          <a:chOff x="0" y="0"/>
                          <a:chExt cx="47529" cy="18383"/>
                        </a:xfrm>
                      </wpg:grpSpPr>
                      <pic:pic xmlns:pic="http://schemas.openxmlformats.org/drawingml/2006/picture">
                        <pic:nvPicPr>
                          <pic:cNvPr id="24479" name="Picture 46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906" cy="9239"/>
                          </a:xfrm>
                          <a:prstGeom prst="rect">
                            <a:avLst/>
                          </a:prstGeom>
                          <a:solidFill>
                            <a:schemeClr val="lt1">
                              <a:lumMod val="100000"/>
                              <a:lumOff val="0"/>
                            </a:schemeClr>
                          </a:solidFill>
                        </pic:spPr>
                      </pic:pic>
                      <pic:pic xmlns:pic="http://schemas.openxmlformats.org/drawingml/2006/picture">
                        <pic:nvPicPr>
                          <pic:cNvPr id="24480" name="Picture 46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858" y="0"/>
                            <a:ext cx="12192" cy="16383"/>
                          </a:xfrm>
                          <a:prstGeom prst="rect">
                            <a:avLst/>
                          </a:prstGeom>
                          <a:solidFill>
                            <a:schemeClr val="lt1">
                              <a:lumMod val="100000"/>
                              <a:lumOff val="0"/>
                            </a:schemeClr>
                          </a:solidFill>
                        </pic:spPr>
                      </pic:pic>
                      <pic:pic xmlns:pic="http://schemas.openxmlformats.org/drawingml/2006/picture">
                        <pic:nvPicPr>
                          <pic:cNvPr id="24481" name="Picture 4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4098" y="0"/>
                            <a:ext cx="23431" cy="18383"/>
                          </a:xfrm>
                          <a:prstGeom prst="rect">
                            <a:avLst/>
                          </a:prstGeom>
                          <a:solidFill>
                            <a:schemeClr val="lt1">
                              <a:lumMod val="100000"/>
                              <a:lumOff val="0"/>
                            </a:schemeClr>
                          </a:solidFill>
                        </pic:spPr>
                      </pic:pic>
                    </wpg:wgp>
                  </a:graphicData>
                </a:graphic>
              </wp:inline>
            </w:drawing>
          </mc:Choice>
          <mc:Fallback>
            <w:pict>
              <v:group w14:anchorId="65C91CD6" id="Group 24478" o:spid="_x0000_s1026" style="width:374.25pt;height:144.75pt;mso-position-horizontal-relative:char;mso-position-vertical-relative:line" coordsize="47529,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4" o:spid="_x0000_s1027" type="#_x0000_t75" style="position:absolute;width:9906;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" filled="t" fillcolor="white [3201]">
                  <v:imagedata r:id="rId23" o:title="" croptop="9467f" cropbottom="38411f" cropleft="16579f" cropright="32690f"/>
                </v:shape>
                <v:shape id="Picture 465" o:spid="_x0000_s1028" type="#_x0000_t75" style="position:absolute;left:10858;width:12192;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" filled="t" fillcolor="white [3201]">
                  <v:imagedata r:id="rId23" o:title="" cropbottom="34224f" cropleft="29405f" cropright="16110f"/>
                </v:shape>
                <v:shape id="Picture 466" o:spid="_x0000_s1029" type="#_x0000_t75" style="position:absolute;left:24098;width:2343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" filled="t" fillcolor="white [3201]">
                  <v:imagedata r:id="rId23" o:title="" croptop="30401f" cropleft="17674f" cropright="9385f"/>
                </v:shape>
                <w10:anchorlock/>
              </v:group>
            </w:pict>
          </mc:Fallback>
        </mc:AlternateContent>
      </w:r>
    </w:p>
    <w:p w14:paraId="1659EF1B" w14:textId="7BF82E62" w:rsidR="00F30129" w:rsidRPr="009D4627" w:rsidRDefault="00BB103E" w:rsidP="00C4130D">
      <w:pPr>
        <w:pStyle w:val="Caption"/>
        <w:rPr>
          <w:noProof/>
        </w:rPr>
      </w:pPr>
      <w:bookmarkStart w:id="16" w:name="_Toc73609231"/>
      <w:bookmarkStart w:id="17" w:name="_Toc73804892"/>
      <w:bookmarkStart w:id="18" w:name="_Toc98570002"/>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w:t>
      </w:r>
      <w:r w:rsidR="002E63E9" w:rsidRPr="009D4627">
        <w:rPr>
          <w:noProof/>
        </w:rPr>
        <w:fldChar w:fldCharType="end"/>
      </w:r>
      <w:r w:rsidR="00F30129" w:rsidRPr="009D4627">
        <w:rPr>
          <w:b/>
        </w:rPr>
        <w:t>:</w:t>
      </w:r>
      <w:r w:rsidR="00F30129" w:rsidRPr="009D4627">
        <w:t xml:space="preserve"> Result of a subject's eye movement while fixating on a stationary target for three different durations of fixation.</w:t>
      </w:r>
      <w:bookmarkEnd w:id="16"/>
      <w:bookmarkEnd w:id="17"/>
      <w:r w:rsidR="000B26AB" w:rsidRPr="009D4627">
        <w:t xml:space="preserve"> a</w:t>
      </w:r>
      <w:r w:rsidR="00F30129" w:rsidRPr="009D4627">
        <w:t xml:space="preserve">) 10 sec, </w:t>
      </w:r>
      <w:r w:rsidR="000B26AB" w:rsidRPr="009D4627">
        <w:t>b</w:t>
      </w:r>
      <w:r w:rsidR="00F30129" w:rsidRPr="009D4627">
        <w:t xml:space="preserve">) 30 sec, and </w:t>
      </w:r>
      <w:r w:rsidR="000B26AB" w:rsidRPr="009D4627">
        <w:t>c</w:t>
      </w:r>
      <w:r w:rsidR="00F30129" w:rsidRPr="009D4627">
        <w:t xml:space="preserve">) 60 sec of fixation. From </w:t>
      </w:r>
      <w:proofErr w:type="spellStart"/>
      <w:r w:rsidR="00F30129" w:rsidRPr="009D4627">
        <w:t>Yarbus</w:t>
      </w:r>
      <w:proofErr w:type="spellEnd"/>
      <w:r w:rsidR="00F30129" w:rsidRPr="009D4627">
        <w:t xml:space="preserve"> A. L: Eye movements and vision, New York, 1967, Plenum, as cited in </w:t>
      </w:r>
      <w:proofErr w:type="spellStart"/>
      <w:r w:rsidR="00F30129" w:rsidRPr="009D4627">
        <w:t>Ciuffreda</w:t>
      </w:r>
      <w:proofErr w:type="spellEnd"/>
      <w:r w:rsidR="00F30129" w:rsidRPr="009D4627">
        <w:t xml:space="preserve"> and Tannen: </w:t>
      </w:r>
      <w:r w:rsidR="00F30129" w:rsidRPr="009D4627">
        <w:rPr>
          <w:noProof/>
        </w:rPr>
        <w:t>Eye movement basics for the clinician, Mosby, 1995.</w:t>
      </w:r>
      <w:bookmarkEnd w:id="18"/>
    </w:p>
    <w:p w14:paraId="1C585B58" w14:textId="77777777" w:rsidR="00D91AAB" w:rsidRPr="009D4627" w:rsidRDefault="00D91AAB" w:rsidP="00D91AAB">
      <w:pPr>
        <w:spacing w:after="0"/>
        <w:rPr>
          <w:lang w:val="en-MY"/>
        </w:rPr>
      </w:pPr>
    </w:p>
    <w:p w14:paraId="325CCC40" w14:textId="77777777" w:rsidR="00F30129" w:rsidRPr="009D4627" w:rsidRDefault="00F30129" w:rsidP="00CA4E90">
      <w:pPr>
        <w:pStyle w:val="Heading4"/>
      </w:pPr>
      <w:bookmarkStart w:id="19" w:name="_Toc98964612"/>
      <w:bookmarkStart w:id="20" w:name="_Toc103344657"/>
      <w:r w:rsidRPr="009D4627">
        <w:t>Tremor</w:t>
      </w:r>
      <w:bookmarkEnd w:id="19"/>
      <w:bookmarkEnd w:id="20"/>
      <w:r w:rsidRPr="009D4627">
        <w:t xml:space="preserve"> </w:t>
      </w:r>
    </w:p>
    <w:p w14:paraId="2D14782F" w14:textId="1F4FD50A" w:rsidR="00F30129" w:rsidRPr="009D4627" w:rsidRDefault="00F30129" w:rsidP="00F30129">
      <w:r w:rsidRPr="009D4627">
        <w:t xml:space="preserve">Tremor is the smallest eye movement with an amplitude as small as retinal cone diameters of approximately 20 sec of arc. It </w:t>
      </w:r>
      <w:r w:rsidR="00797921" w:rsidRPr="009D4627">
        <w:t>i</w:t>
      </w:r>
      <w:r w:rsidRPr="009D4627">
        <w:t>s</w:t>
      </w:r>
      <w:r w:rsidR="00797921" w:rsidRPr="009D4627">
        <w:t xml:space="preserve"> a</w:t>
      </w:r>
      <w:r w:rsidRPr="009D4627">
        <w:t xml:space="preserve"> high</w:t>
      </w:r>
      <w:r w:rsidR="00AE6F60" w:rsidRPr="009D4627">
        <w:t>-</w:t>
      </w:r>
      <w:r w:rsidRPr="009D4627">
        <w:t>frequency movement, ranging from ≈ 30</w:t>
      </w:r>
      <w:r w:rsidR="00797921" w:rsidRPr="009D4627">
        <w:t>-</w:t>
      </w:r>
      <w:r w:rsidRPr="009D4627">
        <w:t xml:space="preserve">100 </w:t>
      </w:r>
      <w:r w:rsidR="00D91AAB" w:rsidRPr="009D4627">
        <w:t>hertz (</w:t>
      </w:r>
      <w:r w:rsidRPr="009D4627">
        <w:t>Hz</w:t>
      </w:r>
      <w:r w:rsidR="00D91AAB" w:rsidRPr="009D4627">
        <w:t>)</w:t>
      </w:r>
      <w:r w:rsidRPr="009D4627">
        <w:t xml:space="preserve">, working independently </w:t>
      </w:r>
      <w:r w:rsidR="00797921" w:rsidRPr="009D4627">
        <w:t xml:space="preserve">in </w:t>
      </w:r>
      <w:r w:rsidRPr="009D4627">
        <w:t xml:space="preserve">the two eyes </w:t>
      </w:r>
      <w:r w:rsidRPr="009D4627">
        <w:fldChar w:fldCharType="begin"/>
      </w:r>
      <w:r w:rsidR="00C40138" w:rsidRPr="009D4627">
        <w:instrText xml:space="preserve"> ADDIN EN.CITE &lt;EndNote&gt;&lt;Cite&gt;&lt;Author&gt;Martinez-Conde&lt;/Author&gt;&lt;Year&gt;2004&lt;/Year&gt;&lt;IDText&gt;The role of fixational eye movements in visual perception&lt;/IDText&gt;&lt;DisplayText&gt;(Ciuffreda &amp;amp; Tannen, 1995; Martinez-Conde et al., 2004)&lt;/DisplayText&gt;&lt;record&gt;&lt;keywords&gt;&lt;keyword&gt;Reviews&lt;/keyword&gt;&lt;keyword&gt;Visual Perception&lt;/keyword&gt;&lt;keyword&gt;Sensorimotor Integration&lt;/keyword&gt;&lt;keyword&gt;Information Processing&lt;/keyword&gt;&lt;keyword&gt;Fixation&lt;/keyword&gt;&lt;keyword&gt;Firing Pattern&lt;/keyword&gt;&lt;keyword&gt;Eye Movements&lt;/keyword&gt;&lt;keyword&gt;General and Special Senses&lt;/keyword&gt;&lt;keyword&gt;Eye Movements&lt;/keyword&gt;&lt;keyword&gt;Firing Pattern&lt;/keyword&gt;&lt;/keywords&gt;&lt;isbn&gt;1471-003X&lt;/isbn&gt;&lt;titles&gt;&lt;title&gt;The role of fixational eye movements in visual perception&lt;/title&gt;&lt;secondary-title&gt;Nature Reviews Neuroscience&lt;/secondary-title&gt;&lt;/titles&gt;&lt;pages&gt;229&lt;/pages&gt;&lt;number&gt;3&lt;/number&gt;&lt;contributors&gt;&lt;authors&gt;&lt;author&gt;Martinez-Conde,  Susana&lt;/author&gt;&lt;author&gt;Macknik, Stephen, L.&lt;/author&gt;&lt;author&gt;Hubel,  David, H.&lt;/author&gt;&lt;/authors&gt;&lt;/contributors&gt;&lt;added-date format="utc"&gt;1583489241&lt;/added-date&gt;&lt;ref-type name="Journal Article"&gt;17&lt;/ref-type&gt;&lt;dates&gt;&lt;year&gt;2004&lt;/year&gt;&lt;/dates&gt;&lt;rec-number&gt;678&lt;/rec-number&gt;&lt;last-updated-date format="utc"&gt;1583497977&lt;/last-updated-date&gt;&lt;electronic-resource-num&gt;10.1038/nrn1348&lt;/electronic-resource-num&gt;&lt;volume&gt;5&lt;/volume&gt;&lt;/record&gt;&lt;/Cite&gt;&lt;Cite&gt;&lt;Author&gt;Ciuffreda&lt;/Author&gt;&lt;Year&gt;1995&lt;/Year&gt;&lt;IDText&gt;Eye movement basics for the clinician&lt;/IDText&gt;&lt;record&gt;&lt;titles&gt;&lt;title&gt;Eye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00C40138" w:rsidRPr="009D4627">
        <w:rPr>
          <w:noProof/>
        </w:rPr>
        <w:t>(Ciuffreda &amp; Tannen, 1995; Martinez-Conde et al., 2004)</w:t>
      </w:r>
      <w:r w:rsidRPr="009D4627">
        <w:fldChar w:fldCharType="end"/>
      </w:r>
      <w:r w:rsidRPr="009D4627">
        <w:t xml:space="preserve">. However, the impact of tremors on vision remains unclear </w:t>
      </w:r>
      <w:r w:rsidRPr="009D4627">
        <w:fldChar w:fldCharType="begin"/>
      </w:r>
      <w:r w:rsidR="00945A16" w:rsidRPr="009D4627">
        <w:instrText xml:space="preserve"> ADDIN EN.CITE &lt;EndNote&gt;&lt;Cite&gt;&lt;Author&gt;Martinez-Conde&lt;/Author&gt;&lt;Year&gt;2004&lt;/Year&gt;&lt;IDText&gt;The role of fixational eye movements in visual perception&lt;/IDText&gt;&lt;DisplayText&gt;(Martinez-Conde et al., 2004)&lt;/DisplayText&gt;&lt;record&gt;&lt;keywords&gt;&lt;keyword&gt;Reviews&lt;/keyword&gt;&lt;keyword&gt;Visual Perception&lt;/keyword&gt;&lt;keyword&gt;Sensorimotor Integration&lt;/keyword&gt;&lt;keyword&gt;Information Processing&lt;/keyword&gt;&lt;keyword&gt;Fixation&lt;/keyword&gt;&lt;keyword&gt;Firing Pattern&lt;/keyword&gt;&lt;keyword&gt;Eye Movements&lt;/keyword&gt;&lt;keyword&gt;General and Special Senses&lt;/keyword&gt;&lt;keyword&gt;Eye Movements&lt;/keyword&gt;&lt;keyword&gt;Firing Pattern&lt;/keyword&gt;&lt;/keywords&gt;&lt;isbn&gt;1471-003X&lt;/isbn&gt;&lt;titles&gt;&lt;title&gt;The role of fixational eye movements in visual perception&lt;/title&gt;&lt;secondary-title&gt;Nature Reviews Neuroscience&lt;/secondary-title&gt;&lt;/titles&gt;&lt;pages&gt;229&lt;/pages&gt;&lt;number&gt;3&lt;/number&gt;&lt;contributors&gt;&lt;authors&gt;&lt;author&gt;Martinez-Conde,  Susana&lt;/author&gt;&lt;author&gt;Macknik, Stephen, L.&lt;/author&gt;&lt;author&gt;Hubel,  David, H.&lt;/author&gt;&lt;/authors&gt;&lt;/contributors&gt;&lt;added-date format="utc"&gt;1583489241&lt;/added-date&gt;&lt;ref-type name="Journal Article"&gt;17&lt;/ref-type&gt;&lt;dates&gt;&lt;year&gt;2004&lt;/year&gt;&lt;/dates&gt;&lt;rec-number&gt;678&lt;/rec-number&gt;&lt;last-updated-date format="utc"&gt;1583497977&lt;/last-updated-date&gt;&lt;electronic-resource-num&gt;10.1038/nrn1348&lt;/electronic-resource-num&gt;&lt;volume&gt;5&lt;/volume&gt;&lt;/record&gt;&lt;/Cite&gt;&lt;/EndNote&gt;</w:instrText>
      </w:r>
      <w:r w:rsidRPr="009D4627">
        <w:fldChar w:fldCharType="separate"/>
      </w:r>
      <w:r w:rsidR="00945A16" w:rsidRPr="009D4627">
        <w:rPr>
          <w:noProof/>
        </w:rPr>
        <w:t>(Martinez-Conde et al., 2004)</w:t>
      </w:r>
      <w:r w:rsidRPr="009D4627">
        <w:fldChar w:fldCharType="end"/>
      </w:r>
      <w:r w:rsidRPr="009D4627">
        <w:t xml:space="preserve">, and some </w:t>
      </w:r>
      <w:r w:rsidR="00797921" w:rsidRPr="009D4627">
        <w:t xml:space="preserve">have </w:t>
      </w:r>
      <w:r w:rsidRPr="009D4627">
        <w:t xml:space="preserve">reported that it might not have any adverse effect on vision </w:t>
      </w:r>
      <w:r w:rsidRPr="009D4627">
        <w:fldChar w:fldCharType="begin"/>
      </w:r>
      <w:r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Pr="009D4627">
        <w:rPr>
          <w:noProof/>
        </w:rPr>
        <w:t>(Ciuffreda &amp; Tannen, 1995)</w:t>
      </w:r>
      <w:r w:rsidRPr="009D4627">
        <w:fldChar w:fldCharType="end"/>
      </w:r>
      <w:r w:rsidRPr="009D4627">
        <w:t xml:space="preserve">. </w:t>
      </w:r>
    </w:p>
    <w:p w14:paraId="0553811D" w14:textId="4389B488" w:rsidR="00F30129" w:rsidRPr="009D4627" w:rsidRDefault="00F30129" w:rsidP="00CA4E90">
      <w:pPr>
        <w:pStyle w:val="Heading4"/>
      </w:pPr>
      <w:bookmarkStart w:id="21" w:name="_Toc98964613"/>
      <w:bookmarkStart w:id="22" w:name="_Toc103344658"/>
      <w:proofErr w:type="spellStart"/>
      <w:r w:rsidRPr="009D4627">
        <w:lastRenderedPageBreak/>
        <w:t>Microsaccade</w:t>
      </w:r>
      <w:r w:rsidR="00D91AAB" w:rsidRPr="009D4627">
        <w:t>s</w:t>
      </w:r>
      <w:bookmarkEnd w:id="21"/>
      <w:bookmarkEnd w:id="22"/>
      <w:proofErr w:type="spellEnd"/>
    </w:p>
    <w:p w14:paraId="6F8CE76F" w14:textId="36A2D9BB" w:rsidR="00F30129" w:rsidRPr="009D4627" w:rsidRDefault="00D91AAB" w:rsidP="00F30129">
      <w:proofErr w:type="spellStart"/>
      <w:r w:rsidRPr="009D4627">
        <w:t>Microsaccades</w:t>
      </w:r>
      <w:proofErr w:type="spellEnd"/>
      <w:r w:rsidRPr="009D4627">
        <w:t xml:space="preserve"> are small involuntary </w:t>
      </w:r>
      <w:r w:rsidR="008D0D8E" w:rsidRPr="009D4627">
        <w:t>saccad</w:t>
      </w:r>
      <w:r w:rsidR="00944720" w:rsidRPr="009D4627">
        <w:t>ic</w:t>
      </w:r>
      <w:r w:rsidRPr="009D4627">
        <w:t xml:space="preserve"> movements generated while fixating on a stationary target. They have a duration ranging from 10-25 milliseconds (</w:t>
      </w:r>
      <w:proofErr w:type="spellStart"/>
      <w:r w:rsidRPr="009D4627">
        <w:t>ms</w:t>
      </w:r>
      <w:proofErr w:type="spellEnd"/>
      <w:r w:rsidRPr="009D4627">
        <w:t xml:space="preserve">) </w:t>
      </w:r>
      <w:r w:rsidRPr="009D4627">
        <w:fldChar w:fldCharType="begin">
          <w:fldData xml:space="preserve">PEVuZE5vdGU+PENpdGU+PEF1dGhvcj5DaXVmZnJlZGE8L0F1dGhvcj48WWVhcj4xOTk1PC9ZZWFy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</w:fldData>
        </w:fldChar>
      </w:r>
      <w:r w:rsidR="00C40138" w:rsidRPr="009D4627">
        <w:instrText xml:space="preserve"> ADDIN EN.CITE </w:instrText>
      </w:r>
      <w:r w:rsidR="00C40138" w:rsidRPr="009D4627">
        <w:fldChar w:fldCharType="begin">
          <w:fldData xml:space="preserve">PEVuZE5vdGU+PENpdGU+PEF1dGhvcj5DaXVmZnJlZGE8L0F1dGhvcj48WWVhcj4xOTk1PC9ZZWFy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(Ciuffreda &amp; Tannen, 1995; Leigh &amp; Zee, 2015)</w:t>
      </w:r>
      <w:r w:rsidRPr="009D4627">
        <w:fldChar w:fldCharType="end"/>
      </w:r>
      <w:r w:rsidRPr="009D4627">
        <w:t xml:space="preserve">. A study of 10 healthy adults, mean age of 43.4 years, reported that </w:t>
      </w:r>
      <w:proofErr w:type="spellStart"/>
      <w:r w:rsidRPr="009D4627">
        <w:t>microsaccades</w:t>
      </w:r>
      <w:proofErr w:type="spellEnd"/>
      <w:r w:rsidRPr="009D4627">
        <w:t xml:space="preserve"> are almost identical between </w:t>
      </w:r>
      <w:r w:rsidR="00AE6F60" w:rsidRPr="009D4627">
        <w:t xml:space="preserve">the </w:t>
      </w:r>
      <w:r w:rsidRPr="009D4627">
        <w:t xml:space="preserve">right </w:t>
      </w:r>
      <w:r w:rsidR="00D67222" w:rsidRPr="009D4627">
        <w:t xml:space="preserve">eye (RE) </w:t>
      </w:r>
      <w:r w:rsidRPr="009D4627">
        <w:t>and left eye</w:t>
      </w:r>
      <w:r w:rsidR="00D67222" w:rsidRPr="009D4627">
        <w:t xml:space="preserve"> (LE)</w:t>
      </w:r>
      <w:r w:rsidRPr="009D4627">
        <w:t xml:space="preserve">, suggesting </w:t>
      </w:r>
      <w:r w:rsidR="00AE6F60" w:rsidRPr="009D4627">
        <w:t xml:space="preserve">that </w:t>
      </w:r>
      <w:r w:rsidRPr="009D4627">
        <w:t xml:space="preserve">conjugate eye movements are produced </w:t>
      </w:r>
      <w:r w:rsidRPr="009D4627">
        <w:fldChar w:fldCharType="begin"/>
      </w:r>
      <w:r w:rsidR="00C40138" w:rsidRPr="009D4627">
        <w:instrText xml:space="preserve"> ADDIN EN.CITE &lt;EndNote&gt;&lt;Cite&gt;&lt;Author&gt;Møller&lt;/Author&gt;&lt;Year&gt;2002&lt;/Year&gt;&lt;IDText&gt;Binocular quantification and characterization of microsaccades&lt;/IDText&gt;&lt;DisplayText&gt;(Møller et al., 2002)&lt;/DisplayText&gt;&lt;record&gt;&lt;keywords&gt;&lt;keyword&gt;Medicine&lt;/keyword&gt;&lt;/keywords&gt;&lt;isbn&gt;0721-832X&lt;/isbn&gt;&lt;titles&gt;&lt;title&gt;Binocular quantification and characterization of microsaccades&lt;/title&gt;&lt;secondary-title&gt;Graefe’s Archive for Clinical and Experimental Ophthalmology&lt;/secondary-title&gt;&lt;/titles&gt;&lt;pages&gt;765-770&lt;/pages&gt;&lt;number&gt;9&lt;/number&gt;&lt;contributors&gt;&lt;authors&gt;&lt;author&gt;Møller, F.&lt;/author&gt;&lt;author&gt;Laursen, M.&lt;/author&gt;&lt;author&gt;Tygesen, J.&lt;/author&gt;&lt;author&gt;Sjølie, A.&lt;/author&gt;&lt;/authors&gt;&lt;/contributors&gt;&lt;added-date format="utc"&gt;1583506767&lt;/added-date&gt;&lt;pub-location&gt;Berlin/Heidelberg&lt;/pub-location&gt;&lt;ref-type name="Journal Article"&gt;17&lt;/ref-type&gt;&lt;dates&gt;&lt;year&gt;2002&lt;/year&gt;&lt;/dates&gt;&lt;rec-number&gt;682&lt;/rec-number&gt;&lt;last-updated-date format="utc"&gt;1583506767&lt;/last-updated-date&gt;&lt;electronic-resource-num&gt;10.1007/s00417-002-0519-2&lt;/electronic-resource-num&gt;&lt;volume&gt;240&lt;/volume&gt;&lt;/record&gt;&lt;/Cite&gt;&lt;/EndNote&gt;</w:instrText>
      </w:r>
      <w:r w:rsidRPr="009D4627">
        <w:fldChar w:fldCharType="separate"/>
      </w:r>
      <w:r w:rsidR="00C40138" w:rsidRPr="009D4627">
        <w:rPr>
          <w:noProof/>
        </w:rPr>
        <w:t>(Møller et al., 2002)</w:t>
      </w:r>
      <w:r w:rsidRPr="009D4627">
        <w:fldChar w:fldCharType="end"/>
      </w:r>
      <w:r w:rsidRPr="009D4627">
        <w:t>.</w:t>
      </w:r>
      <w:r w:rsidR="00F30129" w:rsidRPr="009D4627">
        <w:t xml:space="preserve"> </w:t>
      </w:r>
    </w:p>
    <w:p w14:paraId="4FF5079A" w14:textId="77777777" w:rsidR="00F30129" w:rsidRPr="009D4627" w:rsidRDefault="00F30129" w:rsidP="00CA4E90">
      <w:pPr>
        <w:pStyle w:val="Heading4"/>
      </w:pPr>
      <w:bookmarkStart w:id="23" w:name="_Toc98964614"/>
      <w:bookmarkStart w:id="24" w:name="_Toc103344659"/>
      <w:r w:rsidRPr="009D4627">
        <w:t>Drift</w:t>
      </w:r>
      <w:bookmarkEnd w:id="23"/>
      <w:bookmarkEnd w:id="24"/>
    </w:p>
    <w:p w14:paraId="14B8A8BE" w14:textId="29E61979" w:rsidR="00B94036" w:rsidRPr="009D4627" w:rsidRDefault="00D91AAB" w:rsidP="00F30129">
      <w:r w:rsidRPr="009D4627">
        <w:t xml:space="preserve">Drift refers to the slow eye movements between </w:t>
      </w:r>
      <w:proofErr w:type="spellStart"/>
      <w:r w:rsidRPr="009D4627">
        <w:t>microsaccades</w:t>
      </w:r>
      <w:proofErr w:type="spellEnd"/>
      <w:r w:rsidRPr="009D4627">
        <w:t xml:space="preserve"> during attempted fixation </w:t>
      </w:r>
      <w:r w:rsidRPr="009D4627">
        <w:fldChar w:fldCharType="begin"/>
      </w:r>
      <w:r w:rsidR="00C40138" w:rsidRPr="009D4627">
        <w:instrText xml:space="preserve"> ADDIN EN.CITE &lt;EndNote&gt;&lt;Cite&gt;&lt;Author&gt;Otero-Millan&lt;/Author&gt;&lt;Year&gt;2014&lt;/Year&gt;&lt;IDText&gt;Fixational eye movements and binocular vision&lt;/IDText&gt;&lt;DisplayText&gt;(Otero-Millan et al., 2014)&lt;/DisplayText&gt;&lt;record&gt;&lt;keywords&gt;&lt;keyword&gt;United States–Us&lt;/keyword&gt;&lt;keyword&gt;Eye Movements&lt;/keyword&gt;&lt;keyword&gt;Vision&lt;/keyword&gt;&lt;keyword&gt;Neurosciences&lt;/keyword&gt;&lt;keyword&gt;Eye&lt;/keyword&gt;&lt;keyword&gt;Binocular Vision&lt;/keyword&gt;&lt;keyword&gt;Tremor&lt;/keyword&gt;&lt;keyword&gt;Barrow Neurological Institute&lt;/keyword&gt;&lt;keyword&gt;Microsaccades&lt;/keyword&gt;&lt;keyword&gt;Drift&lt;/keyword&gt;&lt;keyword&gt;Disparity&lt;/keyword&gt;&lt;keyword&gt;Fixation, Ocular&lt;/keyword&gt;&lt;keyword&gt;Amblyopia&lt;/keyword&gt;&lt;/keywords&gt;&lt;titles&gt;&lt;title&gt;Fixational eye movements and binocular vision&lt;/title&gt;&lt;secondary-title&gt;Frontiers in Integrative Neuroscience&lt;/secondary-title&gt;&lt;/titles&gt;&lt;contributors&gt;&lt;authors&gt;&lt;author&gt;Otero-Millan, Jorge&lt;/author&gt;&lt;author&gt;Macknik, Stephen&lt;/author&gt;&lt;author&gt;Martinez-Conde, Susana&lt;/author&gt;&lt;/authors&gt;&lt;/contributors&gt;&lt;added-date format="utc"&gt;1583510359&lt;/added-date&gt;&lt;pub-location&gt;Lausanne&lt;/pub-location&gt;&lt;ref-type name="Journal Article"&gt;17&lt;/ref-type&gt;&lt;dates&gt;&lt;year&gt;2014&lt;/year&gt;&lt;/dates&gt;&lt;rec-number&gt;683&lt;/rec-number&gt;&lt;last-updated-date format="utc"&gt;1583510359&lt;/last-updated-date&gt;&lt;electronic-resource-num&gt;10.3389/fnint.2014.00052&lt;/electronic-resource-num&gt;&lt;volume&gt;8&lt;/volume&gt;&lt;/record&gt;&lt;/Cite&gt;&lt;/EndNote&gt;</w:instrText>
      </w:r>
      <w:r w:rsidRPr="009D4627">
        <w:fldChar w:fldCharType="separate"/>
      </w:r>
      <w:r w:rsidR="00C40138" w:rsidRPr="009D4627">
        <w:rPr>
          <w:noProof/>
        </w:rPr>
        <w:t>(Otero-Millan et al., 2014)</w:t>
      </w:r>
      <w:r w:rsidRPr="009D4627">
        <w:fldChar w:fldCharType="end"/>
      </w:r>
      <w:r w:rsidRPr="009D4627">
        <w:t xml:space="preserve">. When attempting visual fixation, drift produces slower and smaller movements than </w:t>
      </w:r>
      <w:proofErr w:type="spellStart"/>
      <w:r w:rsidRPr="009D4627">
        <w:t>microsaccades</w:t>
      </w:r>
      <w:proofErr w:type="spellEnd"/>
      <w:r w:rsidRPr="009D4627">
        <w:t xml:space="preserve"> (&lt;0.13° amplitude and &lt;0.5°/sec velocity) (Rolfs, 2019 as cited by </w:t>
      </w:r>
      <w:r w:rsidRPr="009D4627">
        <w:fldChar w:fldCharType="begin"/>
      </w:r>
      <w:r w:rsidR="00945A16" w:rsidRPr="009D4627">
        <w:instrText xml:space="preserve"> ADDIN EN.CITE &lt;EndNote&gt;&lt;Cite&gt;&lt;Author&gt;Otero-Millan&lt;/Author&gt;&lt;Year&gt;2014&lt;/Year&gt;&lt;IDText&gt;Fixational eye movements and binocular vision&lt;/IDText&gt;&lt;DisplayText&gt;(Otero-Millan et al., 2014)&lt;/DisplayText&gt;&lt;record&gt;&lt;keywords&gt;&lt;keyword&gt;United States–Us&lt;/keyword&gt;&lt;keyword&gt;Eye Movements&lt;/keyword&gt;&lt;keyword&gt;Vision&lt;/keyword&gt;&lt;keyword&gt;Neurosciences&lt;/keyword&gt;&lt;keyword&gt;Eye&lt;/keyword&gt;&lt;keyword&gt;Binocular Vision&lt;/keyword&gt;&lt;keyword&gt;Tremor&lt;/keyword&gt;&lt;keyword&gt;Barrow Neurological Institute&lt;/keyword&gt;&lt;keyword&gt;Microsaccades&lt;/keyword&gt;&lt;keyword&gt;Drift&lt;/keyword&gt;&lt;keyword&gt;Disparity&lt;/keyword&gt;&lt;keyword&gt;Fixation, Ocular&lt;/keyword&gt;&lt;keyword&gt;Amblyopia&lt;/keyword&gt;&lt;/keywords&gt;&lt;titles&gt;&lt;title&gt;Fixational eye movements and binocular vision&lt;/title&gt;&lt;secondary-title&gt;Frontiers in Integrative Neuroscience&lt;/secondary-title&gt;&lt;/titles&gt;&lt;contributors&gt;&lt;authors&gt;&lt;author&gt;Otero-Millan, Jorge&lt;/author&gt;&lt;author&gt;Macknik, Stephen&lt;/author&gt;&lt;author&gt;Martinez-Conde, Susana&lt;/author&gt;&lt;/authors&gt;&lt;/contributors&gt;&lt;added-date format="utc"&gt;1583510359&lt;/added-date&gt;&lt;pub-location&gt;Lausanne&lt;/pub-location&gt;&lt;ref-type name="Journal Article"&gt;17&lt;/ref-type&gt;&lt;dates&gt;&lt;year&gt;2014&lt;/year&gt;&lt;/dates&gt;&lt;rec-number&gt;683&lt;/rec-number&gt;&lt;last-updated-date format="utc"&gt;1583510359&lt;/last-updated-date&gt;&lt;electronic-resource-num&gt;10.3389/fnint.2014.00052&lt;/electronic-resource-num&gt;&lt;volume&gt;8&lt;/volume&gt;&lt;/record&gt;&lt;/Cite&gt;&lt;/EndNote&gt;</w:instrText>
      </w:r>
      <w:r w:rsidRPr="009D4627">
        <w:fldChar w:fldCharType="separate"/>
      </w:r>
      <w:r w:rsidR="00945A16" w:rsidRPr="009D4627">
        <w:rPr>
          <w:noProof/>
        </w:rPr>
        <w:t>(Otero-Millan et al., 2014)</w:t>
      </w:r>
      <w:r w:rsidRPr="009D4627">
        <w:fldChar w:fldCharType="end"/>
      </w:r>
      <w:r w:rsidRPr="009D4627">
        <w:t xml:space="preserve">. It also contributes to maintaining accurate fixation or compensating for poor </w:t>
      </w:r>
      <w:proofErr w:type="spellStart"/>
      <w:r w:rsidRPr="009D4627">
        <w:t>microsaccades</w:t>
      </w:r>
      <w:proofErr w:type="spellEnd"/>
      <w:r w:rsidRPr="009D4627">
        <w:t xml:space="preserve"> </w:t>
      </w:r>
      <w:r w:rsidRPr="009D4627">
        <w:fldChar w:fldCharType="begin"/>
      </w:r>
      <w:r w:rsidR="00945A16" w:rsidRPr="009D4627">
        <w:instrText xml:space="preserve"> ADDIN EN.CITE &lt;EndNote&gt;&lt;Cite&gt;&lt;Author&gt;Martinez-Conde&lt;/Author&gt;&lt;Year&gt;2004&lt;/Year&gt;&lt;IDText&gt;The role of fixational eye movements in visual perception&lt;/IDText&gt;&lt;DisplayText&gt;(Martinez-Conde et al., 2004)&lt;/DisplayText&gt;&lt;record&gt;&lt;keywords&gt;&lt;keyword&gt;Reviews&lt;/keyword&gt;&lt;keyword&gt;Visual Perception&lt;/keyword&gt;&lt;keyword&gt;Sensorimotor Integration&lt;/keyword&gt;&lt;keyword&gt;Information Processing&lt;/keyword&gt;&lt;keyword&gt;Fixation&lt;/keyword&gt;&lt;keyword&gt;Firing Pattern&lt;/keyword&gt;&lt;keyword&gt;Eye Movements&lt;/keyword&gt;&lt;keyword&gt;General and Special Senses&lt;/keyword&gt;&lt;keyword&gt;Eye Movements&lt;/keyword&gt;&lt;keyword&gt;Firing Pattern&lt;/keyword&gt;&lt;/keywords&gt;&lt;isbn&gt;1471-003X&lt;/isbn&gt;&lt;titles&gt;&lt;title&gt;The role of fixational eye movements in visual perception&lt;/title&gt;&lt;secondary-title&gt;Nature Reviews Neuroscience&lt;/secondary-title&gt;&lt;/titles&gt;&lt;pages&gt;229&lt;/pages&gt;&lt;number&gt;3&lt;/number&gt;&lt;contributors&gt;&lt;authors&gt;&lt;author&gt;Martinez-Conde,  Susana&lt;/author&gt;&lt;author&gt;Macknik, Stephen, L.&lt;/author&gt;&lt;author&gt;Hubel,  David, H.&lt;/author&gt;&lt;/authors&gt;&lt;/contributors&gt;&lt;added-date format="utc"&gt;1583489241&lt;/added-date&gt;&lt;ref-type name="Journal Article"&gt;17&lt;/ref-type&gt;&lt;dates&gt;&lt;year&gt;2004&lt;/year&gt;&lt;/dates&gt;&lt;rec-number&gt;678&lt;/rec-number&gt;&lt;last-updated-date format="utc"&gt;1583497977&lt;/last-updated-date&gt;&lt;electronic-resource-num&gt;10.1038/nrn1348&lt;/electronic-resource-num&gt;&lt;volume&gt;5&lt;/volume&gt;&lt;/record&gt;&lt;/Cite&gt;&lt;/EndNote&gt;</w:instrText>
      </w:r>
      <w:r w:rsidRPr="009D4627">
        <w:fldChar w:fldCharType="separate"/>
      </w:r>
      <w:r w:rsidR="00945A16" w:rsidRPr="009D4627">
        <w:rPr>
          <w:noProof/>
        </w:rPr>
        <w:t>(Martinez-Conde et al., 2004)</w:t>
      </w:r>
      <w:r w:rsidRPr="009D4627">
        <w:fldChar w:fldCharType="end"/>
      </w:r>
      <w:r w:rsidRPr="009D4627">
        <w:t xml:space="preserve">. The movements are independent in the two eyes </w:t>
      </w:r>
      <w:r w:rsidRPr="009D4627">
        <w:fldChar w:fldCharType="begin"/>
      </w:r>
      <w:r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Pr="009D4627">
        <w:rPr>
          <w:noProof/>
        </w:rPr>
        <w:t>(Ciuffreda &amp; Tannen, 1995)</w:t>
      </w:r>
      <w:r w:rsidRPr="009D4627">
        <w:fldChar w:fldCharType="end"/>
      </w:r>
      <w:r w:rsidRPr="009D4627">
        <w:t xml:space="preserve">. Figure 1.2 illustrates the difference between ocular drift and </w:t>
      </w:r>
      <w:proofErr w:type="spellStart"/>
      <w:r w:rsidRPr="009D4627">
        <w:t>microsaccades</w:t>
      </w:r>
      <w:proofErr w:type="spellEnd"/>
      <w:r w:rsidRPr="009D4627">
        <w:t>.</w:t>
      </w:r>
    </w:p>
    <w:p w14:paraId="6E644DA9" w14:textId="77777777" w:rsidR="00F30129" w:rsidRPr="009D4627" w:rsidRDefault="00F30129" w:rsidP="00AE6F60">
      <w:pPr>
        <w:spacing w:after="0" w:line="240" w:lineRule="auto"/>
        <w:jc w:val="center"/>
      </w:pPr>
      <w:r w:rsidRPr="009D4627">
        <w:rPr>
          <w:noProof/>
          <w:lang w:val="en-US"/>
        </w:rPr>
        <w:drawing>
          <wp:inline distT="0" distB="0" distL="0" distR="0" wp14:anchorId="7643E2E1" wp14:editId="13B777DB">
            <wp:extent cx="5145882" cy="16200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45882" cy="1620000"/>
                    </a:xfrm>
                    <a:prstGeom prst="rect">
                      <a:avLst/>
                    </a:prstGeom>
                    <a:noFill/>
                    <a:ln>
                      <a:noFill/>
                    </a:ln>
                  </pic:spPr>
                </pic:pic>
              </a:graphicData>
            </a:graphic>
          </wp:inline>
        </w:drawing>
      </w:r>
    </w:p>
    <w:p w14:paraId="558210AE" w14:textId="2CDF3193" w:rsidR="00B94036" w:rsidRPr="009D4627" w:rsidRDefault="00BB103E" w:rsidP="00C4130D">
      <w:pPr>
        <w:pStyle w:val="Caption"/>
        <w:rPr>
          <w:noProof/>
        </w:rPr>
      </w:pPr>
      <w:bookmarkStart w:id="25" w:name="_Toc73609232"/>
      <w:bookmarkStart w:id="26" w:name="_Toc73804893"/>
      <w:bookmarkStart w:id="27" w:name="_Toc98570003"/>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2</w:t>
      </w:r>
      <w:r w:rsidR="002E63E9" w:rsidRPr="009D4627">
        <w:rPr>
          <w:noProof/>
        </w:rPr>
        <w:fldChar w:fldCharType="end"/>
      </w:r>
      <w:r w:rsidRPr="009D4627">
        <w:t>:</w:t>
      </w:r>
      <w:r w:rsidR="00F30129" w:rsidRPr="009D4627">
        <w:t xml:space="preserve"> Illustration of ocular drift and </w:t>
      </w:r>
      <w:proofErr w:type="spellStart"/>
      <w:r w:rsidR="00F30129" w:rsidRPr="009D4627">
        <w:t>microsaccades</w:t>
      </w:r>
      <w:proofErr w:type="spellEnd"/>
      <w:r w:rsidR="00F30129" w:rsidRPr="009D4627">
        <w:t xml:space="preserve"> made by </w:t>
      </w:r>
      <w:r w:rsidR="00D91AAB" w:rsidRPr="009D4627">
        <w:t xml:space="preserve">RE </w:t>
      </w:r>
      <w:r w:rsidR="00F30129" w:rsidRPr="009D4627">
        <w:t xml:space="preserve">and </w:t>
      </w:r>
      <w:r w:rsidR="00D91AAB" w:rsidRPr="009D4627">
        <w:t xml:space="preserve">LE </w:t>
      </w:r>
      <w:r w:rsidR="00F30129" w:rsidRPr="009D4627">
        <w:t>while fixating on a stationary target for 15 sec.</w:t>
      </w:r>
      <w:bookmarkEnd w:id="25"/>
      <w:bookmarkEnd w:id="26"/>
      <w:r w:rsidR="00F30129" w:rsidRPr="009D4627">
        <w:t xml:space="preserve"> Drifts are not conjugate movements between the two eyes shown by the first black arrow, but </w:t>
      </w:r>
      <w:proofErr w:type="spellStart"/>
      <w:r w:rsidR="00F30129" w:rsidRPr="009D4627">
        <w:t>microsaccades</w:t>
      </w:r>
      <w:proofErr w:type="spellEnd"/>
      <w:r w:rsidR="00F30129" w:rsidRPr="009D4627">
        <w:t xml:space="preserve"> are conjugate motion. The black arrow on the left shows an ocular drift of the two eyes started with misalignment and finished aligned, </w:t>
      </w:r>
      <w:r w:rsidR="00F30129" w:rsidRPr="009D4627">
        <w:lastRenderedPageBreak/>
        <w:t>whereas the second black arrow shows the two eyes drifted from aligned to misaligned positions. From Otero-Millan et al.,</w:t>
      </w:r>
      <w:r w:rsidR="00F30129" w:rsidRPr="009D4627">
        <w:rPr>
          <w:noProof/>
        </w:rPr>
        <w:t xml:space="preserve"> 2014</w:t>
      </w:r>
      <w:r w:rsidR="00F74481" w:rsidRPr="009D4627">
        <w:rPr>
          <w:noProof/>
        </w:rPr>
        <w:t>.</w:t>
      </w:r>
      <w:bookmarkEnd w:id="27"/>
      <w:r w:rsidR="00B94036" w:rsidRPr="009D4627">
        <w:rPr>
          <w:noProof/>
        </w:rPr>
        <w:t xml:space="preserve"> </w:t>
      </w:r>
    </w:p>
    <w:p w14:paraId="512DD640" w14:textId="61716023" w:rsidR="0002457A" w:rsidRPr="009D4627" w:rsidRDefault="0002457A" w:rsidP="00B94036">
      <w:pPr>
        <w:spacing w:before="0"/>
        <w:rPr>
          <w:noProof/>
          <w:lang w:val="en-MY"/>
        </w:rPr>
      </w:pPr>
      <w:r w:rsidRPr="009D4627">
        <w:rPr>
          <w:i/>
          <w:iCs/>
        </w:rPr>
        <w:t>Note:</w:t>
      </w:r>
      <w:r w:rsidRPr="009D4627">
        <w:rPr>
          <w:b/>
          <w:bCs/>
        </w:rPr>
        <w:t xml:space="preserve"> </w:t>
      </w:r>
      <w:r w:rsidRPr="009D4627">
        <w:rPr>
          <w:b/>
          <w:bCs/>
          <w:i/>
          <w:iCs/>
        </w:rPr>
        <w:sym w:font="Wingdings 3" w:char="F022"/>
      </w:r>
      <w:r w:rsidRPr="009D4627">
        <w:rPr>
          <w:i/>
          <w:iCs/>
        </w:rPr>
        <w:t xml:space="preserve"> ocular drift; </w:t>
      </w:r>
      <w:r w:rsidRPr="009D4627">
        <w:rPr>
          <w:b/>
          <w:bCs/>
          <w:i/>
          <w:iCs/>
          <w:color w:val="70AD47" w:themeColor="accent6"/>
        </w:rPr>
        <w:sym w:font="Wingdings 3" w:char="F022"/>
      </w:r>
      <w:r w:rsidRPr="009D4627">
        <w:rPr>
          <w:b/>
          <w:bCs/>
          <w:i/>
          <w:iCs/>
          <w:color w:val="70AD47" w:themeColor="accent6"/>
        </w:rPr>
        <w:t xml:space="preserve"> </w:t>
      </w:r>
      <w:proofErr w:type="spellStart"/>
      <w:r w:rsidRPr="009D4627">
        <w:rPr>
          <w:i/>
          <w:iCs/>
          <w:color w:val="auto"/>
        </w:rPr>
        <w:t>microsaccade</w:t>
      </w:r>
      <w:proofErr w:type="spellEnd"/>
      <w:r w:rsidRPr="009D4627">
        <w:rPr>
          <w:i/>
          <w:iCs/>
          <w:color w:val="auto"/>
        </w:rPr>
        <w:t xml:space="preserve">; </w:t>
      </w:r>
      <w:r w:rsidRPr="009D4627">
        <w:rPr>
          <w:b/>
          <w:bCs/>
          <w:i/>
          <w:iCs/>
          <w:color w:val="FF0000"/>
        </w:rPr>
        <w:t>—</w:t>
      </w:r>
      <w:r w:rsidRPr="009D4627">
        <w:rPr>
          <w:i/>
          <w:iCs/>
        </w:rPr>
        <w:t xml:space="preserve"> RE; </w:t>
      </w:r>
      <w:r w:rsidRPr="009D4627">
        <w:rPr>
          <w:b/>
          <w:bCs/>
          <w:i/>
          <w:iCs/>
          <w:color w:val="0000FF"/>
        </w:rPr>
        <w:t>—</w:t>
      </w:r>
      <w:r w:rsidRPr="009D4627">
        <w:rPr>
          <w:i/>
          <w:iCs/>
          <w:color w:val="4472C4" w:themeColor="accent1"/>
        </w:rPr>
        <w:t xml:space="preserve"> </w:t>
      </w:r>
      <w:r w:rsidRPr="009D4627">
        <w:rPr>
          <w:i/>
          <w:iCs/>
        </w:rPr>
        <w:t>LE.</w:t>
      </w:r>
    </w:p>
    <w:p w14:paraId="01586A9A" w14:textId="215697E9" w:rsidR="00F30129" w:rsidRPr="009D4627" w:rsidRDefault="00D91AAB" w:rsidP="00B94036">
      <w:r w:rsidRPr="009D4627">
        <w:t xml:space="preserve">In conclusion, stable fixation should constitute a small dispersion area of eye position concerning the target point when attempting fixation </w:t>
      </w:r>
      <w:r w:rsidRPr="009D4627">
        <w:fldChar w:fldCharType="begin"/>
      </w:r>
      <w:r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Pr="009D4627">
        <w:t>(</w:t>
      </w:r>
      <w:proofErr w:type="spellStart"/>
      <w:r w:rsidRPr="009D4627">
        <w:t>Ciuffreda</w:t>
      </w:r>
      <w:proofErr w:type="spellEnd"/>
      <w:r w:rsidRPr="009D4627">
        <w:t xml:space="preserve"> &amp; Tannen, 1995)</w:t>
      </w:r>
      <w:r w:rsidRPr="009D4627">
        <w:fldChar w:fldCharType="end"/>
      </w:r>
      <w:r w:rsidRPr="009D4627">
        <w:t xml:space="preserve">. Fixation stability has been investigated by measuring the bivariate contour ellipse area (BCEA) </w:t>
      </w:r>
      <w:r w:rsidRPr="009D4627">
        <w:fldChar w:fldCharType="begin"/>
      </w:r>
      <w:r w:rsidRPr="009D4627">
        <w:instrText xml:space="preserve"> ADDIN EN.CITE &lt;EndNote&gt;&lt;Cite&gt;&lt;Author&gt;Crossland&lt;/Author&gt;&lt;Year&gt;2002&lt;/Year&gt;&lt;IDText&gt;The Use of an Infrared Eyetracker to Measure Fixation Stability&lt;/IDText&gt;&lt;DisplayText&gt;(Crossland &amp;amp; Rubin, 2002)&lt;/DisplayText&gt;&lt;record&gt;&lt;keywords&gt;&lt;keyword&gt;Biomechanik&lt;/keyword&gt;&lt;keyword&gt;Medizinische Ausrüstung&lt;/keyword&gt;&lt;keyword&gt;Auge (Anatomie)&lt;/keyword&gt;&lt;keyword&gt;Augenbewegung&lt;/keyword&gt;&lt;keyword&gt;Abstand&lt;/keyword&gt;&lt;keyword&gt;Versuchsperson&lt;/keyword&gt;&lt;keyword&gt;Medizinisches Gerät&lt;/keyword&gt;&lt;keyword&gt;Körperbewegung&lt;/keyword&gt;&lt;keyword&gt;Fixieren (Sehen)&lt;/keyword&gt;&lt;keyword&gt;Augenspiegel&lt;/keyword&gt;&lt;keyword&gt;Medicine&lt;/keyword&gt;&lt;/keywords&gt;&lt;isbn&gt;1040-5488&lt;/isbn&gt;&lt;titles&gt;&lt;title&gt;The Use of an Infrared Eyetracker to Measure Fixation Stability&lt;/title&gt;&lt;secondary-title&gt;Optometry and Vision Science&lt;/secondary-title&gt;&lt;/titles&gt;&lt;pages&gt;735-739&lt;/pages&gt;&lt;number&gt;11&lt;/number&gt;&lt;contributors&gt;&lt;authors&gt;&lt;author&gt;Crossland, D. Michael&lt;/author&gt;&lt;author&gt;Rubin, S. And Gary&lt;/author&gt;&lt;/authors&gt;&lt;/contributors&gt;&lt;added-date format="utc"&gt;1583425844&lt;/added-date&gt;&lt;ref-type name="Journal Article"&gt;17&lt;/ref-type&gt;&lt;dates&gt;&lt;year&gt;2002&lt;/year&gt;&lt;/dates&gt;&lt;rec-number&gt;675&lt;/rec-number&gt;&lt;last-updated-date format="utc"&gt;1583425844&lt;/last-updated-date&gt;&lt;electronic-resource-num&gt;10.1097/00006324-200211000-00011&lt;/electronic-resource-num&gt;&lt;volume&gt;79&lt;/volume&gt;&lt;/record&gt;&lt;/Cite&gt;&lt;/EndNote&gt;</w:instrText>
      </w:r>
      <w:r w:rsidRPr="009D4627">
        <w:fldChar w:fldCharType="separate"/>
      </w:r>
      <w:r w:rsidRPr="009D4627">
        <w:t>(Crossland &amp; Rubin, 2002)</w:t>
      </w:r>
      <w:r w:rsidRPr="009D4627">
        <w:fldChar w:fldCharType="end"/>
      </w:r>
      <w:r w:rsidRPr="009D4627">
        <w:t xml:space="preserve">. BCEA refers to eye position measurement in relation to the fixation point measured in the minute arc square unit  </w:t>
      </w:r>
      <w:r w:rsidRPr="009D4627">
        <w:fldChar w:fldCharType="begin"/>
      </w:r>
      <w:r w:rsidR="00945A16" w:rsidRPr="009D4627">
        <w:instrText xml:space="preserve"> ADDIN EN.CITE &lt;EndNote&gt;&lt;Cite&gt;&lt;Author&gt;Otero-Millan&lt;/Author&gt;&lt;Year&gt;2014&lt;/Year&gt;&lt;IDText&gt;Fixational eye movements and binocular vision&lt;/IDText&gt;&lt;DisplayText&gt;(Otero-Millan et al., 2014)&lt;/DisplayText&gt;&lt;record&gt;&lt;keywords&gt;&lt;keyword&gt;United States–Us&lt;/keyword&gt;&lt;keyword&gt;Eye Movements&lt;/keyword&gt;&lt;keyword&gt;Vision&lt;/keyword&gt;&lt;keyword&gt;Neurosciences&lt;/keyword&gt;&lt;keyword&gt;Eye&lt;/keyword&gt;&lt;keyword&gt;Binocular Vision&lt;/keyword&gt;&lt;keyword&gt;Tremor&lt;/keyword&gt;&lt;keyword&gt;Barrow Neurological Institute&lt;/keyword&gt;&lt;keyword&gt;Microsaccades&lt;/keyword&gt;&lt;keyword&gt;Drift&lt;/keyword&gt;&lt;keyword&gt;Disparity&lt;/keyword&gt;&lt;keyword&gt;Fixation, Ocular&lt;/keyword&gt;&lt;keyword&gt;Amblyopia&lt;/keyword&gt;&lt;/keywords&gt;&lt;titles&gt;&lt;title&gt;Fixational eye movements and binocular vision&lt;/title&gt;&lt;secondary-title&gt;Frontiers in Integrative Neuroscience&lt;/secondary-title&gt;&lt;/titles&gt;&lt;contributors&gt;&lt;authors&gt;&lt;author&gt;Otero-Millan, Jorge&lt;/author&gt;&lt;author&gt;Macknik, Stephen&lt;/author&gt;&lt;author&gt;Martinez-Conde, Susana&lt;/author&gt;&lt;/authors&gt;&lt;/contributors&gt;&lt;added-date format="utc"&gt;1583510359&lt;/added-date&gt;&lt;pub-location&gt;Lausanne&lt;/pub-location&gt;&lt;ref-type name="Journal Article"&gt;17&lt;/ref-type&gt;&lt;dates&gt;&lt;year&gt;2014&lt;/year&gt;&lt;/dates&gt;&lt;rec-number&gt;683&lt;/rec-number&gt;&lt;last-updated-date format="utc"&gt;1583510359&lt;/last-updated-date&gt;&lt;electronic-resource-num&gt;10.3389/fnint.2014.00052&lt;/electronic-resource-num&gt;&lt;volume&gt;8&lt;/volume&gt;&lt;/record&gt;&lt;/Cite&gt;&lt;/EndNote&gt;</w:instrText>
      </w:r>
      <w:r w:rsidRPr="009D4627">
        <w:fldChar w:fldCharType="separate"/>
      </w:r>
      <w:r w:rsidR="00945A16" w:rsidRPr="009D4627">
        <w:rPr>
          <w:noProof/>
        </w:rPr>
        <w:t>(Otero-Millan et al., 2014)</w:t>
      </w:r>
      <w:r w:rsidRPr="009D4627">
        <w:fldChar w:fldCharType="end"/>
      </w:r>
      <w:r w:rsidRPr="009D4627">
        <w:t>. Crossland and Rubin (2002) investigated the reliability of measuring BCEA using two instruments (scanning laser ophthalmoscope and infrared eye tracker), which revealed no significant difference in test-retest reliability between those instruments. The study was conducted among six healthy young adults less than 40-years-old.</w:t>
      </w:r>
      <w:r w:rsidR="00F30129" w:rsidRPr="009D4627">
        <w:t xml:space="preserve">   </w:t>
      </w:r>
    </w:p>
    <w:p w14:paraId="0849AA5F" w14:textId="4509F189" w:rsidR="00547D87" w:rsidRPr="009D4627" w:rsidRDefault="000164C3" w:rsidP="00DC4CA6">
      <w:pPr>
        <w:pStyle w:val="Heading3"/>
      </w:pPr>
      <w:bookmarkStart w:id="28" w:name="_Toc98964615"/>
      <w:bookmarkStart w:id="29" w:name="_Toc103344660"/>
      <w:r>
        <w:t>SP</w:t>
      </w:r>
      <w:bookmarkEnd w:id="28"/>
      <w:bookmarkEnd w:id="29"/>
    </w:p>
    <w:p w14:paraId="2F57D6DE" w14:textId="0ACAB44B" w:rsidR="00547D87" w:rsidRPr="009D4627" w:rsidRDefault="00134019" w:rsidP="00390EBC">
      <w:r w:rsidRPr="009D4627">
        <w:t>SP</w:t>
      </w:r>
      <w:r w:rsidR="00547D87" w:rsidRPr="009D4627">
        <w:t xml:space="preserve"> is the continuous voluntary eye movement used to maintain foveal fixation on a smooth moving target. </w:t>
      </w:r>
      <w:r w:rsidR="00D91AAB" w:rsidRPr="009D4627">
        <w:t>SP</w:t>
      </w:r>
      <w:r w:rsidR="00547D87" w:rsidRPr="009D4627">
        <w:t xml:space="preserve"> eye movements require excellent visual attention to track the object of interest. The movements are generated to visually track a smoothly moving object of interest by keeping the object steadily on the fovea so that vision remains clear </w:t>
      </w:r>
      <w:r w:rsidR="00547D87"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 </w:instrText>
      </w:r>
      <w:r w:rsidR="00C40138"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EN.CITE.DATA </w:instrText>
      </w:r>
      <w:r w:rsidR="00C40138" w:rsidRPr="009D4627">
        <w:fldChar w:fldCharType="end"/>
      </w:r>
      <w:r w:rsidR="00547D87" w:rsidRPr="009D4627">
        <w:fldChar w:fldCharType="separate"/>
      </w:r>
      <w:r w:rsidR="00C40138" w:rsidRPr="009D4627">
        <w:rPr>
          <w:noProof/>
        </w:rPr>
        <w:t>(Leigh &amp; Zee, 2015)</w:t>
      </w:r>
      <w:r w:rsidR="00547D87" w:rsidRPr="009D4627">
        <w:fldChar w:fldCharType="end"/>
      </w:r>
      <w:r w:rsidR="00547D87" w:rsidRPr="009D4627">
        <w:t xml:space="preserve">. Any mismatch between eye velocity and target velocity results in a lag or lead of the eye </w:t>
      </w:r>
      <w:r w:rsidR="00AE6F60" w:rsidRPr="009D4627">
        <w:t>with</w:t>
      </w:r>
      <w:r w:rsidR="00547D87" w:rsidRPr="009D4627">
        <w:t xml:space="preserve"> regards </w:t>
      </w:r>
      <w:r w:rsidR="00AE6F60" w:rsidRPr="009D4627">
        <w:t xml:space="preserve">to </w:t>
      </w:r>
      <w:r w:rsidR="00547D87" w:rsidRPr="009D4627">
        <w:t xml:space="preserve">the target position </w:t>
      </w:r>
      <w:r w:rsidR="00547D87" w:rsidRPr="009D4627">
        <w:fldChar w:fldCharType="begin"/>
      </w:r>
      <w:r w:rsidR="00376CCD"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format="utc"&gt;1513593878&lt;/added-date&gt;&lt;ref-type name="Book"&gt;6&lt;/ref-type&gt;&lt;dates&gt;&lt;year&gt;1995&lt;/year&gt;&lt;/dates&gt;&lt;rec-number&gt;198&lt;/rec-number&gt;&lt;publisher&gt;Mosby&lt;/publisher&gt;&lt;last-updated-date format="utc"&gt;1513594060&lt;/last-updated-date&gt;&lt;/record&gt;&lt;/Cite&gt;&lt;/EndNote&gt;</w:instrText>
      </w:r>
      <w:r w:rsidR="00547D87" w:rsidRPr="009D4627">
        <w:fldChar w:fldCharType="separate"/>
      </w:r>
      <w:r w:rsidR="00376CCD" w:rsidRPr="009D4627">
        <w:rPr>
          <w:noProof/>
        </w:rPr>
        <w:t>(Ciuffreda &amp; Tannen, 1995)</w:t>
      </w:r>
      <w:r w:rsidR="00547D87" w:rsidRPr="009D4627">
        <w:fldChar w:fldCharType="end"/>
      </w:r>
      <w:r w:rsidR="00547D87" w:rsidRPr="009D4627">
        <w:t>, which then stimulates corrective saccade(s). Corrective saccades get the eyes back onto the target</w:t>
      </w:r>
      <w:r w:rsidR="00D91AAB" w:rsidRPr="009D4627">
        <w:t>. These are</w:t>
      </w:r>
      <w:r w:rsidR="00547D87" w:rsidRPr="009D4627">
        <w:t xml:space="preserve"> also known as catch-up saccades</w:t>
      </w:r>
      <w:r w:rsidR="007C64BF" w:rsidRPr="009D4627">
        <w:t xml:space="preserve"> (CUS)</w:t>
      </w:r>
      <w:r w:rsidR="00547D87" w:rsidRPr="009D4627">
        <w:t xml:space="preserve"> </w:t>
      </w:r>
      <w:r w:rsidR="00547D87" w:rsidRPr="009D4627">
        <w:fldChar w:fldCharType="begin"/>
      </w:r>
      <w:r w:rsidR="00547D87" w:rsidRPr="009D4627">
        <w:instrText xml:space="preserve"> ADDIN EN.CITE &lt;EndNote&gt;&lt;Cite&gt;&lt;Author&gt;Enderle&lt;/Author&gt;&lt;Year&gt;2010&lt;/Year&gt;&lt;IDText&gt;Models of horizontal eye movements. Part I, Early models of saccades and smooth pursuit [electronic resource]&lt;/IDText&gt;&lt;DisplayText&gt;(Enderle, 2010)&lt;/DisplayText&gt;&lt;record&gt;&lt;keywords&gt;&lt;keyword&gt;Eye -- Movements -- Mathematical models&lt;/keyword&gt;&lt;keyword&gt;Saccadic eye movements -- Mathematical models&lt;/keyword&gt;&lt;keyword&gt;Eye -- Movements&lt;/keyword&gt;&lt;keyword&gt;Face&lt;/keyword&gt;&lt;keyword&gt;Photoreceptors&lt;/keyword&gt;&lt;keyword&gt;Vision&lt;/keyword&gt;&lt;/keywords&gt;&lt;isbn&gt;9781608452330&amp;#xD;1608452336&lt;/isbn&gt;&lt;titles&gt;&lt;title&gt;Models of horizontal eye movements. Part I, Early models of saccades and smooth pursuit [electronic resource]&lt;/title&gt;&lt;secondary-title&gt;Early models of saccades and smooth pursuit&lt;/secondary-title&gt;&lt;/titles&gt;&lt;contributors&gt;&lt;authors&gt;&lt;author&gt;Enderle, John D.&lt;/author&gt;&lt;/authors&gt;&lt;/contributors&gt;&lt;added-date format="utc"&gt;1582385796&lt;/added-date&gt;&lt;pub-location&gt;San Rafael, Calif. (1537 Fourth Street, San Rafael, CA 94901 USA)&lt;/pub-location&gt;&lt;ref-type name="Book"&gt;6&lt;/ref-type&gt;&lt;dates&gt;&lt;year&gt;2010&lt;/year&gt;&lt;/dates&gt;&lt;rec-number&gt;641&lt;/rec-number&gt;&lt;publisher&gt;San Rafael, Calif. 1537 Fourth Street, San Rafael, CA 94901 USA : Morgan &amp;amp; Claypool, c2010&lt;/publisher&gt;&lt;last-updated-date format="utc"&gt;1582385796&lt;/last-updated-date&gt;&lt;/record&gt;&lt;/Cite&gt;&lt;/EndNote&gt;</w:instrText>
      </w:r>
      <w:r w:rsidR="00547D87" w:rsidRPr="009D4627">
        <w:fldChar w:fldCharType="separate"/>
      </w:r>
      <w:r w:rsidR="00547D87" w:rsidRPr="009D4627">
        <w:rPr>
          <w:noProof/>
        </w:rPr>
        <w:t>(Enderle, 2010)</w:t>
      </w:r>
      <w:r w:rsidR="00547D87" w:rsidRPr="009D4627">
        <w:fldChar w:fldCharType="end"/>
      </w:r>
      <w:r w:rsidR="00547D87" w:rsidRPr="009D4627">
        <w:t xml:space="preserve">, as shown in </w:t>
      </w:r>
      <w:r w:rsidR="00D91AAB" w:rsidRPr="009D4627">
        <w:t>Figure</w:t>
      </w:r>
      <w:r w:rsidR="00547D87" w:rsidRPr="009D4627">
        <w:t xml:space="preserve"> 1.</w:t>
      </w:r>
      <w:r w:rsidR="00D91AAB" w:rsidRPr="009D4627">
        <w:t>3</w:t>
      </w:r>
      <w:r w:rsidR="00547D87" w:rsidRPr="009D4627">
        <w:t>.</w:t>
      </w:r>
    </w:p>
    <w:p w14:paraId="57DAC08A" w14:textId="3797D723" w:rsidR="00547D87" w:rsidRPr="009D4627" w:rsidRDefault="00547D87" w:rsidP="00F612DE">
      <w:pPr>
        <w:spacing w:before="0" w:after="0" w:line="240" w:lineRule="auto"/>
        <w:jc w:val="center"/>
      </w:pPr>
      <w:r w:rsidRPr="009D4627">
        <w:rPr>
          <w:noProof/>
          <w:lang w:val="en-US"/>
        </w:rPr>
        <w:lastRenderedPageBreak/>
        <w:drawing>
          <wp:inline distT="0" distB="0" distL="0" distR="0" wp14:anchorId="47BDD171" wp14:editId="007DD505">
            <wp:extent cx="5166847" cy="2773402"/>
            <wp:effectExtent l="0" t="0" r="0" b="825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5174686" cy="2777610"/>
                    </a:xfrm>
                    <a:prstGeom prst="rect">
                      <a:avLst/>
                    </a:prstGeom>
                    <a:noFill/>
                    <a:ln>
                      <a:noFill/>
                    </a:ln>
                  </pic:spPr>
                </pic:pic>
              </a:graphicData>
            </a:graphic>
          </wp:inline>
        </w:drawing>
      </w:r>
    </w:p>
    <w:p w14:paraId="7CEE32D1" w14:textId="55DECC57" w:rsidR="005F57C0" w:rsidRPr="009D4627" w:rsidRDefault="00397DD6" w:rsidP="00C4130D">
      <w:pPr>
        <w:pStyle w:val="Caption"/>
      </w:pPr>
      <w:bookmarkStart w:id="30" w:name="_Toc73609233"/>
      <w:bookmarkStart w:id="31" w:name="_Toc73804894"/>
      <w:bookmarkStart w:id="32" w:name="_Toc98570004"/>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3</w:t>
      </w:r>
      <w:r w:rsidR="002E63E9" w:rsidRPr="009D4627">
        <w:rPr>
          <w:noProof/>
        </w:rPr>
        <w:fldChar w:fldCharType="end"/>
      </w:r>
      <w:r w:rsidRPr="009D4627">
        <w:t>:</w:t>
      </w:r>
      <w:r w:rsidR="00547D87" w:rsidRPr="009D4627">
        <w:t xml:space="preserve"> A sample of </w:t>
      </w:r>
      <w:r w:rsidR="00D91AAB" w:rsidRPr="009D4627">
        <w:t>SP</w:t>
      </w:r>
      <w:r w:rsidR="00547D87" w:rsidRPr="009D4627">
        <w:t xml:space="preserve"> eye recording of a control participant taken at 16°/sec target velocity moving horizontally. </w:t>
      </w:r>
      <w:r w:rsidR="00D91AAB" w:rsidRPr="009D4627">
        <w:t xml:space="preserve">The x-axis is the time in </w:t>
      </w:r>
      <w:proofErr w:type="spellStart"/>
      <w:r w:rsidR="00D91AAB" w:rsidRPr="009D4627">
        <w:t>ms</w:t>
      </w:r>
      <w:proofErr w:type="spellEnd"/>
      <w:r w:rsidR="00D91AAB" w:rsidRPr="009D4627">
        <w:t>, while the y-axis is the target position in the degrees. Upward deflections of the curve indicate leftward movements. Data collected from the current study.</w:t>
      </w:r>
      <w:bookmarkEnd w:id="30"/>
      <w:bookmarkEnd w:id="31"/>
      <w:bookmarkEnd w:id="32"/>
    </w:p>
    <w:p w14:paraId="6678B52C" w14:textId="02A760D8" w:rsidR="00F612DE" w:rsidRPr="009D4627" w:rsidRDefault="00A42EA9" w:rsidP="00C4130D">
      <w:pPr>
        <w:pStyle w:val="Caption"/>
      </w:pPr>
      <w:r w:rsidRPr="009D4627">
        <w:t xml:space="preserve">Note: </w:t>
      </w:r>
      <w:r w:rsidR="00D91AAB" w:rsidRPr="009D4627">
        <w:t>—</w:t>
      </w:r>
      <w:r w:rsidR="00547D87" w:rsidRPr="009D4627">
        <w:t xml:space="preserve"> target position</w:t>
      </w:r>
      <w:r w:rsidRPr="009D4627">
        <w:t xml:space="preserve">; </w:t>
      </w:r>
      <w:r w:rsidR="00D91AAB" w:rsidRPr="009D4627">
        <w:rPr>
          <w:color w:val="FF0000"/>
        </w:rPr>
        <w:t>—</w:t>
      </w:r>
      <w:r w:rsidR="00547D87" w:rsidRPr="009D4627">
        <w:t xml:space="preserve"> eye position</w:t>
      </w:r>
      <w:r w:rsidRPr="009D4627">
        <w:t xml:space="preserve">; </w:t>
      </w:r>
      <w:r w:rsidR="00D91AAB" w:rsidRPr="009D4627">
        <w:rPr>
          <w:color w:val="0033CC"/>
        </w:rPr>
        <w:sym w:font="Wingdings 3" w:char="F087"/>
      </w:r>
      <w:r w:rsidR="00D91AAB" w:rsidRPr="009D4627">
        <w:t xml:space="preserve"> </w:t>
      </w:r>
      <w:r w:rsidR="00547D87" w:rsidRPr="009D4627">
        <w:t xml:space="preserve">a lag of the target with a </w:t>
      </w:r>
      <w:r w:rsidR="007C64BF" w:rsidRPr="009D4627">
        <w:t>CUS</w:t>
      </w:r>
      <w:r w:rsidR="00547D87" w:rsidRPr="009D4627">
        <w:t xml:space="preserve"> to </w:t>
      </w:r>
      <w:r w:rsidR="00D91AAB" w:rsidRPr="009D4627">
        <w:t>re-</w:t>
      </w:r>
      <w:r w:rsidR="00547D87" w:rsidRPr="009D4627">
        <w:t>foveate</w:t>
      </w:r>
      <w:r w:rsidR="00AE6F60" w:rsidRPr="009D4627">
        <w:t xml:space="preserve"> on</w:t>
      </w:r>
      <w:r w:rsidR="00547D87" w:rsidRPr="009D4627">
        <w:t xml:space="preserve"> the target. </w:t>
      </w:r>
    </w:p>
    <w:p w14:paraId="2B1EAACD" w14:textId="70508620" w:rsidR="00547D87" w:rsidRPr="009D4627" w:rsidRDefault="00547D87" w:rsidP="00BC2479">
      <w:r w:rsidRPr="009D4627">
        <w:t xml:space="preserve">Leigh and Zee (2015) discussed quantitative </w:t>
      </w:r>
      <w:r w:rsidR="00D91AAB" w:rsidRPr="009D4627">
        <w:t>SP</w:t>
      </w:r>
      <w:r w:rsidRPr="009D4627">
        <w:t xml:space="preserve"> assessment in more detail. </w:t>
      </w:r>
      <w:r w:rsidR="00D91AAB" w:rsidRPr="009D4627">
        <w:t>It</w:t>
      </w:r>
      <w:r w:rsidRPr="009D4627">
        <w:t xml:space="preserve"> is assessed quantitatively using two approaches </w:t>
      </w:r>
      <w:r w:rsidR="00D91AAB" w:rsidRPr="009D4627">
        <w:t>that</w:t>
      </w:r>
      <w:r w:rsidRPr="009D4627">
        <w:t xml:space="preserve"> evaluat</w:t>
      </w:r>
      <w:r w:rsidR="00D91AAB" w:rsidRPr="009D4627">
        <w:t>e</w:t>
      </w:r>
      <w:r w:rsidRPr="009D4627">
        <w:t xml:space="preserve"> the initiation (onset of </w:t>
      </w:r>
      <w:r w:rsidR="00D91AAB" w:rsidRPr="009D4627">
        <w:t>SP</w:t>
      </w:r>
      <w:r w:rsidRPr="009D4627">
        <w:t xml:space="preserve">) and maintenance (the </w:t>
      </w:r>
      <w:r w:rsidR="00D91AAB" w:rsidRPr="009D4627">
        <w:t>SP</w:t>
      </w:r>
      <w:r w:rsidRPr="009D4627">
        <w:t xml:space="preserve"> behaviour during sustained tracking)</w:t>
      </w:r>
      <w:r w:rsidR="00D91AAB" w:rsidRPr="009D4627">
        <w:t xml:space="preserve"> of the eye movement</w:t>
      </w:r>
      <w:r w:rsidRPr="009D4627">
        <w:t xml:space="preserve">. The former measures the time taken for the eye to initiate the </w:t>
      </w:r>
      <w:r w:rsidR="00D91AAB" w:rsidRPr="009D4627">
        <w:t>SP</w:t>
      </w:r>
      <w:r w:rsidRPr="009D4627">
        <w:t xml:space="preserve"> movement right after the </w:t>
      </w:r>
      <w:r w:rsidR="00F57D01" w:rsidRPr="009D4627">
        <w:t>target</w:t>
      </w:r>
      <w:r w:rsidRPr="009D4627">
        <w:t xml:space="preserve"> </w:t>
      </w:r>
      <w:r w:rsidR="00D91AAB" w:rsidRPr="009D4627">
        <w:t>i</w:t>
      </w:r>
      <w:r w:rsidRPr="009D4627">
        <w:t xml:space="preserve">s shown, known as </w:t>
      </w:r>
      <w:r w:rsidR="00D91AAB" w:rsidRPr="009D4627">
        <w:t xml:space="preserve">the </w:t>
      </w:r>
      <w:r w:rsidR="00444E5B" w:rsidRPr="009D4627">
        <w:t xml:space="preserve">SP </w:t>
      </w:r>
      <w:r w:rsidRPr="009D4627">
        <w:t xml:space="preserve">latency </w:t>
      </w:r>
      <w:r w:rsidRPr="009D4627">
        <w:fldChar w:fldCharType="begin"/>
      </w:r>
      <w:r w:rsidR="00376CCD" w:rsidRPr="009D4627">
        <w:instrText xml:space="preserve"> ADDIN EN.CITE &lt;EndNote&gt;&lt;Cite&gt;&lt;Author&gt;Morrow&lt;/Author&gt;&lt;Year&gt;1993&lt;/Year&gt;&lt;IDText&gt;Smooth pursuit initiation in young and elderly subjects&lt;/IDText&gt;&lt;DisplayText&gt;(Morrow &amp;amp; Sharpe, 1993)&lt;/DisplayText&gt;&lt;record&gt;&lt;keywords&gt;&lt;keyword&gt;Smooth Pursuit&lt;/keyword&gt;&lt;keyword&gt;Aging&lt;/keyword&gt;&lt;keyword&gt;Pursuit Initiation&lt;/keyword&gt;&lt;keyword&gt;Saccades&lt;/keyword&gt;&lt;keyword&gt;Smooth Pursuit&lt;/keyword&gt;&lt;keyword&gt;Aging&lt;/keyword&gt;&lt;keyword&gt;Pursuit Initiation&lt;/keyword&gt;&lt;keyword&gt;Saccades&lt;/keyword&gt;&lt;keyword&gt;Medicine&lt;/keyword&gt;&lt;keyword&gt;Anatomy &amp;amp; Physiology&lt;/keyword&gt;&lt;/keywords&gt;&lt;isbn&gt;0042-6989&lt;/isbn&gt;&lt;titles&gt;&lt;title&gt;Smooth pursuit initiation in young and elderly subjects&lt;/title&gt;&lt;secondary-title&gt;Vision Research&lt;/secondary-title&gt;&lt;/titles&gt;&lt;pages&gt;203-210&lt;/pages&gt;&lt;number&gt;2&lt;/number&gt;&lt;contributors&gt;&lt;authors&gt;&lt;author&gt;Morrow, Mark J.&lt;/author&gt;&lt;author&gt;Sharpe, James A.&lt;/author&gt;&lt;/authors&gt;&lt;/contributors&gt;&lt;added-date format="utc"&gt;1583072961&lt;/added-date&gt;&lt;ref-type name="Journal Article"&gt;17&lt;/ref-type&gt;&lt;dates&gt;&lt;year&gt;1993&lt;/year&gt;&lt;/dates&gt;&lt;rec-number&gt;670&lt;/rec-number&gt;&lt;last-updated-date format="utc"&gt;1583072961&lt;/last-updated-date&gt;&lt;electronic-resource-num&gt;10.1016/0042-6989(93)90158-S&lt;/electronic-resource-num&gt;&lt;volume&gt;33&lt;/volume&gt;&lt;/record&gt;&lt;/Cite&gt;&lt;/EndNote&gt;</w:instrText>
      </w:r>
      <w:r w:rsidRPr="009D4627">
        <w:fldChar w:fldCharType="separate"/>
      </w:r>
      <w:r w:rsidR="00376CCD" w:rsidRPr="009D4627">
        <w:rPr>
          <w:noProof/>
        </w:rPr>
        <w:t>(Morrow &amp; Sharpe, 1993)</w:t>
      </w:r>
      <w:r w:rsidRPr="009D4627">
        <w:fldChar w:fldCharType="end"/>
      </w:r>
      <w:r w:rsidRPr="009D4627">
        <w:t xml:space="preserve">. </w:t>
      </w:r>
      <w:r w:rsidR="007C64BF" w:rsidRPr="009D4627">
        <w:t>The latter involves CUS valuation, root-mean-square error (RMSE) and SP gain. CUS is the same direction as target movement (Ross et al., 1999), and RMSE measures the position of the eye (in degrees) to the target position at a particular time point (Friedman et al., 1995).</w:t>
      </w:r>
      <w:r w:rsidRPr="009D4627">
        <w:t xml:space="preserve"> </w:t>
      </w:r>
    </w:p>
    <w:p w14:paraId="467ECF1D" w14:textId="0867986C" w:rsidR="00547D87" w:rsidRPr="009D4627" w:rsidRDefault="00D91AAB" w:rsidP="00390EBC">
      <w:r w:rsidRPr="009D4627">
        <w:t>Figure</w:t>
      </w:r>
      <w:r w:rsidR="00547D87" w:rsidRPr="009D4627">
        <w:t xml:space="preserve"> 1.</w:t>
      </w:r>
      <w:r w:rsidRPr="009D4627">
        <w:t>4</w:t>
      </w:r>
      <w:r w:rsidR="00547D87" w:rsidRPr="009D4627">
        <w:t xml:space="preserve"> shows an example of an </w:t>
      </w:r>
      <w:r w:rsidR="00F937E9" w:rsidRPr="009D4627">
        <w:t>EMR</w:t>
      </w:r>
      <w:r w:rsidR="00547D87" w:rsidRPr="009D4627">
        <w:t xml:space="preserve"> showing normal </w:t>
      </w:r>
      <w:r w:rsidRPr="009D4627">
        <w:t>SP</w:t>
      </w:r>
      <w:r w:rsidR="00547D87" w:rsidRPr="009D4627">
        <w:t xml:space="preserve">. </w:t>
      </w:r>
      <w:r w:rsidR="00AE6F60" w:rsidRPr="009D4627">
        <w:t>CUS measurement</w:t>
      </w:r>
      <w:r w:rsidR="00547D87" w:rsidRPr="009D4627">
        <w:t xml:space="preserve"> was thought to produce an error in identifying </w:t>
      </w:r>
      <w:r w:rsidRPr="009D4627">
        <w:t xml:space="preserve">SP </w:t>
      </w:r>
      <w:r w:rsidR="00547D87" w:rsidRPr="009D4627">
        <w:t xml:space="preserve">performance, which cannot be used as an alarming clinical sign </w:t>
      </w:r>
      <w:r w:rsidR="00547D87" w:rsidRPr="009D4627">
        <w:fldChar w:fldCharType="begin"/>
      </w:r>
      <w:r w:rsidR="00547D87" w:rsidRPr="009D4627">
        <w:instrText xml:space="preserve"> ADDIN EN.CITE &lt;EndNote&gt;&lt;Cite&gt;&lt;Author&gt;Lueck&lt;/Author&gt;&lt;Year&gt;2005&lt;/Year&gt;&lt;IDText&gt;Nystagmus&lt;/IDText&gt;&lt;DisplayText&gt;(Lueck, 2005)&lt;/DisplayText&gt;&lt;record&gt;&lt;keywords&gt;&lt;keyword&gt;Medicine&lt;/keyword&gt;&lt;/keywords&gt;&lt;isbn&gt;1474-7758&lt;/isbn&gt;&lt;titles&gt;&lt;title&gt;Nystagmus&lt;/title&gt;&lt;secondary-title&gt;Practical Neurology&lt;/secondary-title&gt;&lt;/titles&gt;&lt;pages&gt;288-291&lt;/pages&gt;&lt;number&gt;5&lt;/number&gt;&lt;contributors&gt;&lt;authors&gt;&lt;author&gt;Lueck, Christian J.&lt;/author&gt;&lt;/authors&gt;&lt;/contributors&gt;&lt;added-date format="utc"&gt;1583251605&lt;/added-date&gt;&lt;pub-location&gt;Oxford, UK&lt;/pub-location&gt;&lt;ref-type name="Journal Article"&gt;17&lt;/ref-type&gt;&lt;dates&gt;&lt;year&gt;2005&lt;/year&gt;&lt;/dates&gt;&lt;rec-number&gt;674&lt;/rec-number&gt;&lt;last-updated-date format="utc"&gt;1583251605&lt;/last-updated-date&gt;&lt;electronic-resource-num&gt;10.1111/j.1474-7766.2005.00336.x&lt;/electronic-resource-num&gt;&lt;volume&gt;5&lt;/volume&gt;&lt;/record&gt;&lt;/Cite&gt;&lt;/EndNote&gt;</w:instrText>
      </w:r>
      <w:r w:rsidR="00547D87" w:rsidRPr="009D4627">
        <w:fldChar w:fldCharType="separate"/>
      </w:r>
      <w:r w:rsidR="00547D87" w:rsidRPr="009D4627">
        <w:rPr>
          <w:noProof/>
        </w:rPr>
        <w:t>(Lueck, 2005)</w:t>
      </w:r>
      <w:r w:rsidR="00547D87" w:rsidRPr="009D4627">
        <w:fldChar w:fldCharType="end"/>
      </w:r>
      <w:r w:rsidR="00547D87" w:rsidRPr="009D4627">
        <w:t xml:space="preserve">. It is most likely to include physiological square wave jerks </w:t>
      </w:r>
      <w:r w:rsidR="00147455" w:rsidRPr="009D4627">
        <w:t xml:space="preserve">(SWJ) </w:t>
      </w:r>
      <w:r w:rsidR="00547D87" w:rsidRPr="009D4627">
        <w:t xml:space="preserve">nystagmus, suggesting no </w:t>
      </w:r>
      <w:r w:rsidRPr="009D4627">
        <w:t>SP</w:t>
      </w:r>
      <w:r w:rsidR="00547D87" w:rsidRPr="009D4627">
        <w:t xml:space="preserve"> deficiency, whereby the </w:t>
      </w:r>
      <w:r w:rsidR="00444E5B" w:rsidRPr="009D4627">
        <w:t xml:space="preserve">SP </w:t>
      </w:r>
      <w:r w:rsidR="00547D87" w:rsidRPr="009D4627">
        <w:t xml:space="preserve">gain may not be impaired </w:t>
      </w:r>
      <w:r w:rsidR="00547D87"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 </w:instrText>
      </w:r>
      <w:r w:rsidR="00C40138"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EN.CITE.DATA </w:instrText>
      </w:r>
      <w:r w:rsidR="00C40138" w:rsidRPr="009D4627">
        <w:fldChar w:fldCharType="end"/>
      </w:r>
      <w:r w:rsidR="00547D87" w:rsidRPr="009D4627">
        <w:fldChar w:fldCharType="separate"/>
      </w:r>
      <w:r w:rsidR="00C40138" w:rsidRPr="009D4627">
        <w:rPr>
          <w:noProof/>
        </w:rPr>
        <w:t xml:space="preserve">(Leigh &amp; </w:t>
      </w:r>
      <w:r w:rsidR="00C40138" w:rsidRPr="009D4627">
        <w:rPr>
          <w:noProof/>
        </w:rPr>
        <w:lastRenderedPageBreak/>
        <w:t>Zee, 2015)</w:t>
      </w:r>
      <w:r w:rsidR="00547D87" w:rsidRPr="009D4627">
        <w:fldChar w:fldCharType="end"/>
      </w:r>
      <w:r w:rsidR="00547D87" w:rsidRPr="009D4627">
        <w:t>. Many investigators define physiological SWJ</w:t>
      </w:r>
      <w:r w:rsidR="00547D87" w:rsidRPr="009D4627">
        <w:rPr>
          <w:lang w:val="en-MY"/>
        </w:rPr>
        <w:t xml:space="preserve"> as having amplitudes that usually range between 0.5</w:t>
      </w:r>
      <w:r w:rsidR="000B26AB" w:rsidRPr="009D4627">
        <w:rPr>
          <w:lang w:val="en-MY"/>
        </w:rPr>
        <w:t>°</w:t>
      </w:r>
      <w:r w:rsidR="00547D87" w:rsidRPr="009D4627">
        <w:rPr>
          <w:lang w:val="en-MY"/>
        </w:rPr>
        <w:t xml:space="preserve">-3° (or occasionally up to 10°) and durations of about 200 </w:t>
      </w:r>
      <w:proofErr w:type="spellStart"/>
      <w:r w:rsidR="00547D87" w:rsidRPr="009D4627">
        <w:rPr>
          <w:lang w:val="en-MY"/>
        </w:rPr>
        <w:t>ms</w:t>
      </w:r>
      <w:proofErr w:type="spellEnd"/>
      <w:r w:rsidR="00547D87" w:rsidRPr="009D4627">
        <w:rPr>
          <w:lang w:val="en-MY"/>
        </w:rPr>
        <w:t xml:space="preserve">. </w:t>
      </w:r>
      <w:r w:rsidR="00547D87" w:rsidRPr="009D4627">
        <w:t xml:space="preserve"> SWJ</w:t>
      </w:r>
      <w:r w:rsidR="0002106D" w:rsidRPr="009D4627">
        <w:t>s</w:t>
      </w:r>
      <w:r w:rsidR="00547D87" w:rsidRPr="009D4627">
        <w:t xml:space="preserve"> </w:t>
      </w:r>
      <w:r w:rsidR="0002106D" w:rsidRPr="009D4627">
        <w:t>can</w:t>
      </w:r>
      <w:r w:rsidR="00547D87" w:rsidRPr="009D4627">
        <w:t xml:space="preserve"> be due to stress (physiological) </w:t>
      </w:r>
      <w:r w:rsidR="0002106D" w:rsidRPr="009D4627">
        <w:t xml:space="preserve">or </w:t>
      </w:r>
      <w:r w:rsidR="00547D87" w:rsidRPr="009D4627">
        <w:t>an affective disorder</w:t>
      </w:r>
      <w:r w:rsidR="0002106D" w:rsidRPr="009D4627">
        <w:t>,</w:t>
      </w:r>
      <w:r w:rsidR="00547D87" w:rsidRPr="009D4627">
        <w:t xml:space="preserve"> such as schizophrenia </w:t>
      </w:r>
      <w:r w:rsidR="0002106D" w:rsidRPr="009D4627">
        <w:t xml:space="preserve">or </w:t>
      </w:r>
      <w:r w:rsidR="00547D87" w:rsidRPr="009D4627">
        <w:t xml:space="preserve">dementia (pathological). </w:t>
      </w:r>
    </w:p>
    <w:p w14:paraId="09DC64A1" w14:textId="44F9FAC3" w:rsidR="00547D87" w:rsidRPr="009D4627" w:rsidRDefault="008E1CAC" w:rsidP="00326110">
      <w:pPr>
        <w:spacing w:after="0" w:line="240" w:lineRule="auto"/>
      </w:pPr>
      <w:r w:rsidRPr="009D4627">
        <w:rPr>
          <w:noProof/>
        </w:rPr>
        <mc:AlternateContent>
          <mc:Choice Requires="wps">
            <w:drawing>
              <wp:anchor distT="0" distB="0" distL="114300" distR="114300" simplePos="0" relativeHeight="251667456" behindDoc="0" locked="0" layoutInCell="1" allowOverlap="1" wp14:anchorId="6CE1F2D9" wp14:editId="2E0018E5">
                <wp:simplePos x="0" y="0"/>
                <wp:positionH relativeFrom="column">
                  <wp:posOffset>3208436</wp:posOffset>
                </wp:positionH>
                <wp:positionV relativeFrom="paragraph">
                  <wp:posOffset>1827530</wp:posOffset>
                </wp:positionV>
                <wp:extent cx="1035685" cy="448945"/>
                <wp:effectExtent l="0" t="0" r="12065" b="27305"/>
                <wp:wrapNone/>
                <wp:docPr id="24477" name="Oval 24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685" cy="448945"/>
                        </a:xfrm>
                        <a:prstGeom prst="ellipse">
                          <a:avLst/>
                        </a:prstGeom>
                        <a:solidFill>
                          <a:srgbClr val="FFFF00"/>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A10A" w14:textId="58F5E86D" w:rsidR="00527127" w:rsidRPr="00F612DE" w:rsidRDefault="00527127" w:rsidP="00F612DE">
                            <w:pPr>
                              <w:spacing w:before="0" w:after="0" w:line="240" w:lineRule="auto"/>
                              <w:rPr>
                                <w:sz w:val="20"/>
                                <w:szCs w:val="20"/>
                                <w:lang w:val="en-US"/>
                              </w:rPr>
                            </w:pPr>
                            <w:r>
                              <w:rPr>
                                <w:sz w:val="20"/>
                                <w:szCs w:val="20"/>
                                <w:lang w:val="en-US"/>
                              </w:rPr>
                              <w:t>Trial duration = 5</w:t>
                            </w:r>
                            <w:r w:rsidRPr="00F612DE">
                              <w:rPr>
                                <w:sz w:val="20"/>
                                <w:szCs w:val="20"/>
                                <w:lang w:val="en-US"/>
                              </w:rPr>
                              <w:t>117</w:t>
                            </w:r>
                            <w:r>
                              <w:rPr>
                                <w:sz w:val="20"/>
                                <w:szCs w:val="20"/>
                                <w:lang w:val="en-US"/>
                              </w:rPr>
                              <w:t xml:space="preserve"> </w:t>
                            </w:r>
                            <w:proofErr w:type="spellStart"/>
                            <w:r w:rsidRPr="00F612DE">
                              <w:rPr>
                                <w:sz w:val="20"/>
                                <w:szCs w:val="20"/>
                                <w:lang w:val="en-US"/>
                              </w:rPr>
                              <w:t>ms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CE1F2D9" id="Oval 24477" o:spid="_x0000_s1029" style="position:absolute;left:0;text-align:left;margin-left:252.65pt;margin-top:143.9pt;width:81.55pt;height:3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" fillcolor="yellow" strokecolor="#c00000" strokeweight="1.5pt">
                <v:stroke joinstyle="miter"/>
                <v:path arrowok="t"/>
                <v:textbox inset="0,0,0,0">
                  <w:txbxContent>
                    <w:p w14:paraId="6746A10A" w14:textId="58F5E86D" w:rsidR="00527127" w:rsidRPr="00F612DE" w:rsidRDefault="00527127" w:rsidP="00F612DE">
                      <w:pPr>
                        <w:spacing w:before="0" w:after="0" w:line="240" w:lineRule="auto"/>
                        <w:rPr>
                          <w:sz w:val="20"/>
                          <w:szCs w:val="20"/>
                          <w:lang w:val="en-US"/>
                        </w:rPr>
                      </w:pPr>
                      <w:r>
                        <w:rPr>
                          <w:sz w:val="20"/>
                          <w:szCs w:val="20"/>
                          <w:lang w:val="en-US"/>
                        </w:rPr>
                        <w:t>Trial duration = 5</w:t>
                      </w:r>
                      <w:r w:rsidRPr="00F612DE">
                        <w:rPr>
                          <w:sz w:val="20"/>
                          <w:szCs w:val="20"/>
                          <w:lang w:val="en-US"/>
                        </w:rPr>
                        <w:t>117</w:t>
                      </w:r>
                      <w:r>
                        <w:rPr>
                          <w:sz w:val="20"/>
                          <w:szCs w:val="20"/>
                          <w:lang w:val="en-US"/>
                        </w:rPr>
                        <w:t xml:space="preserve"> </w:t>
                      </w:r>
                      <w:proofErr w:type="spellStart"/>
                      <w:r w:rsidRPr="00F612DE">
                        <w:rPr>
                          <w:sz w:val="20"/>
                          <w:szCs w:val="20"/>
                          <w:lang w:val="en-US"/>
                        </w:rPr>
                        <w:t>ms</w:t>
                      </w:r>
                      <w:proofErr w:type="spellEnd"/>
                    </w:p>
                  </w:txbxContent>
                </v:textbox>
              </v:oval>
            </w:pict>
          </mc:Fallback>
        </mc:AlternateContent>
      </w:r>
      <w:r w:rsidRPr="009D4627">
        <w:rPr>
          <w:noProof/>
        </w:rPr>
        <mc:AlternateContent>
          <mc:Choice Requires="wps">
            <w:drawing>
              <wp:anchor distT="0" distB="0" distL="114300" distR="114300" simplePos="0" relativeHeight="251669504" behindDoc="0" locked="0" layoutInCell="1" allowOverlap="1" wp14:anchorId="270BD3C6" wp14:editId="04ACA1C6">
                <wp:simplePos x="0" y="0"/>
                <wp:positionH relativeFrom="column">
                  <wp:posOffset>142875</wp:posOffset>
                </wp:positionH>
                <wp:positionV relativeFrom="paragraph">
                  <wp:posOffset>1844040</wp:posOffset>
                </wp:positionV>
                <wp:extent cx="1052195" cy="257175"/>
                <wp:effectExtent l="0" t="0" r="0" b="9525"/>
                <wp:wrapNone/>
                <wp:docPr id="24476" name="Oval 24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2195" cy="257175"/>
                        </a:xfrm>
                        <a:prstGeom prst="ellipse">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33A045" w14:textId="3398A1DB" w:rsidR="00527127" w:rsidRPr="00F612DE" w:rsidRDefault="00527127" w:rsidP="00F612DE">
                            <w:pPr>
                              <w:spacing w:before="0" w:after="0" w:line="240" w:lineRule="auto"/>
                              <w:rPr>
                                <w:lang w:val="en-US"/>
                              </w:rPr>
                            </w:pPr>
                            <w:r>
                              <w:rPr>
                                <w:lang w:val="en-US"/>
                              </w:rPr>
                              <w:t xml:space="preserve">B) </w:t>
                            </w:r>
                            <w:r w:rsidRPr="00F612DE">
                              <w:rPr>
                                <w:lang w:val="en-US"/>
                              </w:rPr>
                              <w:t xml:space="preserve">Trial </w:t>
                            </w:r>
                            <w:r>
                              <w:rPr>
                                <w:lang w:val="en-U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BD3C6" id="Oval 24476" o:spid="_x0000_s1030" style="position:absolute;left:0;text-align:left;margin-left:11.25pt;margin-top:145.2pt;width:82.85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" filled="f" stroked="f" strokeweight="1.5pt">
                <v:stroke joinstyle="miter"/>
                <v:textbox inset="0,0,0,0">
                  <w:txbxContent>
                    <w:p w14:paraId="3D33A045" w14:textId="3398A1DB" w:rsidR="00527127" w:rsidRPr="00F612DE" w:rsidRDefault="00527127" w:rsidP="00F612DE">
                      <w:pPr>
                        <w:spacing w:before="0" w:after="0" w:line="240" w:lineRule="auto"/>
                        <w:rPr>
                          <w:lang w:val="en-US"/>
                        </w:rPr>
                      </w:pPr>
                      <w:r>
                        <w:rPr>
                          <w:lang w:val="en-US"/>
                        </w:rPr>
                        <w:t xml:space="preserve">B) </w:t>
                      </w:r>
                      <w:r w:rsidRPr="00F612DE">
                        <w:rPr>
                          <w:lang w:val="en-US"/>
                        </w:rPr>
                        <w:t xml:space="preserve">Trial </w:t>
                      </w:r>
                      <w:r>
                        <w:rPr>
                          <w:lang w:val="en-US"/>
                        </w:rPr>
                        <w:t>4</w:t>
                      </w:r>
                    </w:p>
                  </w:txbxContent>
                </v:textbox>
              </v:oval>
            </w:pict>
          </mc:Fallback>
        </mc:AlternateContent>
      </w:r>
      <w:r w:rsidRPr="009D4627">
        <w:rPr>
          <w:noProof/>
        </w:rPr>
        <mc:AlternateContent>
          <mc:Choice Requires="wps">
            <w:drawing>
              <wp:anchor distT="0" distB="0" distL="114300" distR="114300" simplePos="0" relativeHeight="251668480" behindDoc="0" locked="0" layoutInCell="1" allowOverlap="1" wp14:anchorId="6082D375" wp14:editId="061B1543">
                <wp:simplePos x="0" y="0"/>
                <wp:positionH relativeFrom="column">
                  <wp:posOffset>103505</wp:posOffset>
                </wp:positionH>
                <wp:positionV relativeFrom="paragraph">
                  <wp:posOffset>36830</wp:posOffset>
                </wp:positionV>
                <wp:extent cx="1062990" cy="363220"/>
                <wp:effectExtent l="0" t="0" r="0" b="0"/>
                <wp:wrapNone/>
                <wp:docPr id="24475" name="Oval 24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990" cy="363220"/>
                        </a:xfrm>
                        <a:prstGeom prst="ellipse">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E2896B" w14:textId="688AAC77" w:rsidR="00527127" w:rsidRPr="00F612DE" w:rsidRDefault="00527127" w:rsidP="00F612DE">
                            <w:pPr>
                              <w:spacing w:before="0" w:after="0" w:line="240" w:lineRule="auto"/>
                              <w:jc w:val="left"/>
                              <w:rPr>
                                <w:lang w:val="en-US"/>
                              </w:rPr>
                            </w:pPr>
                            <w:r>
                              <w:rPr>
                                <w:lang w:val="en-US"/>
                              </w:rPr>
                              <w:t xml:space="preserve">A) </w:t>
                            </w:r>
                            <w:r w:rsidRPr="00F612DE">
                              <w:rPr>
                                <w:lang w:val="en-US"/>
                              </w:rPr>
                              <w:t>Trial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82D375" id="Oval 24475" o:spid="_x0000_s1031" style="position:absolute;left:0;text-align:left;margin-left:8.15pt;margin-top:2.9pt;width:83.7pt;height:2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" filled="f" stroked="f" strokeweight="1.5pt">
                <v:stroke joinstyle="miter"/>
                <v:textbox inset="0,0,0,0">
                  <w:txbxContent>
                    <w:p w14:paraId="6CE2896B" w14:textId="688AAC77" w:rsidR="00527127" w:rsidRPr="00F612DE" w:rsidRDefault="00527127" w:rsidP="00F612DE">
                      <w:pPr>
                        <w:spacing w:before="0" w:after="0" w:line="240" w:lineRule="auto"/>
                        <w:jc w:val="left"/>
                        <w:rPr>
                          <w:lang w:val="en-US"/>
                        </w:rPr>
                      </w:pPr>
                      <w:r>
                        <w:rPr>
                          <w:lang w:val="en-US"/>
                        </w:rPr>
                        <w:t xml:space="preserve">A) </w:t>
                      </w:r>
                      <w:r w:rsidRPr="00F612DE">
                        <w:rPr>
                          <w:lang w:val="en-US"/>
                        </w:rPr>
                        <w:t>Trial 1</w:t>
                      </w:r>
                    </w:p>
                  </w:txbxContent>
                </v:textbox>
              </v:oval>
            </w:pict>
          </mc:Fallback>
        </mc:AlternateContent>
      </w:r>
      <w:r w:rsidR="00A2792E" w:rsidRPr="009D4627">
        <w:rPr>
          <w:noProof/>
        </w:rPr>
        <mc:AlternateContent>
          <mc:Choice Requires="wpg">
            <w:drawing>
              <wp:inline distT="0" distB="0" distL="0" distR="0" wp14:anchorId="59CEF37C" wp14:editId="2739E521">
                <wp:extent cx="5580278" cy="5724513"/>
                <wp:effectExtent l="0" t="0" r="20955" b="10160"/>
                <wp:docPr id="24465" name="Group 24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0278" cy="5724513"/>
                          <a:chOff x="1524" y="6191"/>
                          <a:chExt cx="55802" cy="79699"/>
                        </a:xfrm>
                      </wpg:grpSpPr>
                      <wpg:grpSp>
                        <wpg:cNvPr id="24466" name="Group 333"/>
                        <wpg:cNvGrpSpPr>
                          <a:grpSpLocks/>
                        </wpg:cNvGrpSpPr>
                        <wpg:grpSpPr bwMode="auto">
                          <a:xfrm>
                            <a:off x="1524" y="6191"/>
                            <a:ext cx="55802" cy="79699"/>
                            <a:chOff x="1524" y="6191"/>
                            <a:chExt cx="55801" cy="79699"/>
                          </a:xfrm>
                        </wpg:grpSpPr>
                        <wpg:grpSp>
                          <wpg:cNvPr id="24467" name="Group 334"/>
                          <wpg:cNvGrpSpPr>
                            <a:grpSpLocks/>
                          </wpg:cNvGrpSpPr>
                          <wpg:grpSpPr bwMode="auto">
                            <a:xfrm>
                              <a:off x="1524" y="6191"/>
                              <a:ext cx="55801" cy="79699"/>
                              <a:chOff x="1524" y="6191"/>
                              <a:chExt cx="55800" cy="79699"/>
                            </a:xfrm>
                          </wpg:grpSpPr>
                          <pic:pic xmlns:pic="http://schemas.openxmlformats.org/drawingml/2006/picture">
                            <pic:nvPicPr>
                              <pic:cNvPr id="24468" name="Picture 347"/>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1619" y="6191"/>
                                <a:ext cx="53338" cy="23507"/>
                              </a:xfrm>
                              <a:prstGeom prst="rect">
                                <a:avLst/>
                              </a:prstGeom>
                              <a:noFill/>
                            </pic:spPr>
                          </pic:pic>
                          <wps:wsp>
                            <wps:cNvPr id="24469" name="Oval 450"/>
                            <wps:cNvSpPr>
                              <a:spLocks noChangeArrowheads="1"/>
                            </wps:cNvSpPr>
                            <wps:spPr bwMode="auto">
                              <a:xfrm>
                                <a:off x="33631" y="7590"/>
                                <a:ext cx="10355" cy="6558"/>
                              </a:xfrm>
                              <a:prstGeom prst="ellipse">
                                <a:avLst/>
                              </a:prstGeom>
                              <a:solidFill>
                                <a:srgbClr val="FFFF00"/>
                              </a:solidFill>
                              <a:ln w="19050">
                                <a:solidFill>
                                  <a:srgbClr val="C00000"/>
                                </a:solidFill>
                                <a:miter lim="800000"/>
                                <a:headEnd/>
                                <a:tailEnd/>
                              </a:ln>
                            </wps:spPr>
                            <wps:txbx>
                              <w:txbxContent>
                                <w:p w14:paraId="55612837" w14:textId="64A2A0E7" w:rsidR="00527127" w:rsidRPr="00F612DE" w:rsidRDefault="00527127" w:rsidP="00CD372A">
                                  <w:pPr>
                                    <w:spacing w:before="0" w:after="0" w:line="240" w:lineRule="auto"/>
                                    <w:rPr>
                                      <w:sz w:val="20"/>
                                      <w:szCs w:val="20"/>
                                      <w:lang w:val="en-US"/>
                                    </w:rPr>
                                  </w:pPr>
                                  <w:r>
                                    <w:rPr>
                                      <w:sz w:val="20"/>
                                      <w:szCs w:val="20"/>
                                      <w:lang w:val="en-US"/>
                                    </w:rPr>
                                    <w:t xml:space="preserve">Trial duration = </w:t>
                                  </w:r>
                                  <w:r w:rsidRPr="00F612DE">
                                    <w:rPr>
                                      <w:sz w:val="20"/>
                                      <w:szCs w:val="20"/>
                                      <w:lang w:val="en-US"/>
                                    </w:rPr>
                                    <w:t>20117</w:t>
                                  </w:r>
                                  <w:r>
                                    <w:rPr>
                                      <w:sz w:val="20"/>
                                      <w:szCs w:val="20"/>
                                      <w:lang w:val="en-US"/>
                                    </w:rPr>
                                    <w:t xml:space="preserve"> </w:t>
                                  </w:r>
                                  <w:proofErr w:type="spellStart"/>
                                  <w:r w:rsidRPr="00F612DE">
                                    <w:rPr>
                                      <w:sz w:val="20"/>
                                      <w:szCs w:val="20"/>
                                      <w:lang w:val="en-US"/>
                                    </w:rPr>
                                    <w:t>ms</w:t>
                                  </w:r>
                                  <w:proofErr w:type="spellEnd"/>
                                </w:p>
                              </w:txbxContent>
                            </wps:txbx>
                            <wps:bodyPr rot="0" vert="horz" wrap="square" lIns="0" tIns="0" rIns="0" bIns="0" anchor="ctr" anchorCtr="0" upright="1">
                              <a:noAutofit/>
                            </wps:bodyPr>
                          </wps:wsp>
                          <wps:wsp>
                            <wps:cNvPr id="24470" name="Text Box 1969"/>
                            <wps:cNvSpPr txBox="1">
                              <a:spLocks noChangeArrowheads="1"/>
                            </wps:cNvSpPr>
                            <wps:spPr bwMode="auto">
                              <a:xfrm>
                                <a:off x="1524" y="55529"/>
                                <a:ext cx="55800" cy="30361"/>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14:paraId="4A784A84" w14:textId="77777777" w:rsidR="00527127" w:rsidRPr="00AE6F60" w:rsidRDefault="00527127" w:rsidP="00CD372A">
                                  <w:pPr>
                                    <w:spacing w:before="0" w:after="0" w:line="240" w:lineRule="auto"/>
                                    <w:rPr>
                                      <w:sz w:val="22"/>
                                      <w:szCs w:val="22"/>
                                      <w:lang w:val="en-US"/>
                                    </w:rPr>
                                  </w:pPr>
                                  <w:r w:rsidRPr="00AE6F60">
                                    <w:rPr>
                                      <w:sz w:val="22"/>
                                      <w:szCs w:val="22"/>
                                      <w:lang w:val="en-US"/>
                                    </w:rPr>
                                    <w:t>Participant ID: 101101</w:t>
                                  </w:r>
                                </w:p>
                                <w:p w14:paraId="32043C8F" w14:textId="3A8CEA59" w:rsidR="00527127" w:rsidRPr="00AE6F60" w:rsidRDefault="00527127" w:rsidP="00CD372A">
                                  <w:pPr>
                                    <w:spacing w:before="0" w:after="0" w:line="240" w:lineRule="auto"/>
                                    <w:rPr>
                                      <w:sz w:val="22"/>
                                      <w:szCs w:val="22"/>
                                      <w:lang w:val="en-US"/>
                                    </w:rPr>
                                  </w:pPr>
                                  <w:r w:rsidRPr="00AE6F60">
                                    <w:rPr>
                                      <w:sz w:val="22"/>
                                      <w:szCs w:val="22"/>
                                      <w:lang w:val="en-US"/>
                                    </w:rPr>
                                    <w:t xml:space="preserve">A) </w:t>
                                  </w:r>
                                  <w:r w:rsidRPr="00AE6F60">
                                    <w:rPr>
                                      <w:i/>
                                      <w:iCs/>
                                      <w:sz w:val="22"/>
                                      <w:szCs w:val="22"/>
                                      <w:lang w:val="en-US"/>
                                    </w:rPr>
                                    <w:t>Trial 1</w:t>
                                  </w:r>
                                  <w:r w:rsidRPr="00AE6F60">
                                    <w:rPr>
                                      <w:sz w:val="22"/>
                                      <w:szCs w:val="22"/>
                                      <w:lang w:val="en-US"/>
                                    </w:rPr>
                                    <w:t xml:space="preserve"> – Velocity = 8°/sec</w:t>
                                  </w:r>
                                </w:p>
                                <w:p w14:paraId="67941163" w14:textId="77777777" w:rsidR="00527127" w:rsidRPr="00AE6F60" w:rsidRDefault="00527127" w:rsidP="00CD372A">
                                  <w:pPr>
                                    <w:spacing w:before="0" w:after="0" w:line="240" w:lineRule="auto"/>
                                    <w:rPr>
                                      <w:sz w:val="22"/>
                                      <w:szCs w:val="22"/>
                                      <w:lang w:val="en-US"/>
                                    </w:rPr>
                                  </w:pPr>
                                  <w:r w:rsidRPr="00AE6F60">
                                    <w:rPr>
                                      <w:sz w:val="22"/>
                                      <w:szCs w:val="22"/>
                                      <w:lang w:val="en-US"/>
                                    </w:rPr>
                                    <w:t>Mean Gain = 0.956</w:t>
                                  </w:r>
                                </w:p>
                                <w:p w14:paraId="366C0232" w14:textId="77777777" w:rsidR="00527127" w:rsidRPr="00AE6F60" w:rsidRDefault="00527127" w:rsidP="00CD372A">
                                  <w:pPr>
                                    <w:spacing w:before="0" w:after="0" w:line="240" w:lineRule="auto"/>
                                    <w:rPr>
                                      <w:sz w:val="22"/>
                                      <w:szCs w:val="22"/>
                                      <w:lang w:val="en-US"/>
                                    </w:rPr>
                                  </w:pPr>
                                  <w:r w:rsidRPr="00AE6F60">
                                    <w:rPr>
                                      <w:sz w:val="22"/>
                                      <w:szCs w:val="22"/>
                                      <w:lang w:val="en-US"/>
                                    </w:rPr>
                                    <w:t>Mean RMSE = 0.219°</w:t>
                                  </w:r>
                                </w:p>
                                <w:p w14:paraId="689CFBF9" w14:textId="786CE916" w:rsidR="00527127" w:rsidRPr="00AE6F60" w:rsidRDefault="00527127" w:rsidP="00CD372A">
                                  <w:pPr>
                                    <w:spacing w:before="0" w:after="0" w:line="240" w:lineRule="auto"/>
                                    <w:rPr>
                                      <w:sz w:val="22"/>
                                      <w:szCs w:val="22"/>
                                      <w:lang w:val="en-US"/>
                                    </w:rPr>
                                  </w:pPr>
                                  <w:r w:rsidRPr="00AE6F60">
                                    <w:rPr>
                                      <w:sz w:val="22"/>
                                      <w:szCs w:val="22"/>
                                      <w:lang w:val="en-US"/>
                                    </w:rPr>
                                    <w:t>Percentage of SP fixation= Total actual SP fixation / total trial duration</w:t>
                                  </w:r>
                                </w:p>
                                <w:p w14:paraId="697B680E" w14:textId="58B5D51D" w:rsidR="00527127" w:rsidRPr="00AE6F60" w:rsidRDefault="00527127" w:rsidP="00CD372A">
                                  <w:pPr>
                                    <w:spacing w:before="0" w:after="0" w:line="240" w:lineRule="auto"/>
                                    <w:rPr>
                                      <w:sz w:val="22"/>
                                      <w:szCs w:val="22"/>
                                      <w:lang w:val="en-US"/>
                                    </w:rPr>
                                  </w:pP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t xml:space="preserve">= 17352 </w:t>
                                  </w:r>
                                  <w:proofErr w:type="spellStart"/>
                                  <w:r w:rsidRPr="00AE6F60">
                                    <w:rPr>
                                      <w:sz w:val="22"/>
                                      <w:szCs w:val="22"/>
                                      <w:lang w:val="en-US"/>
                                    </w:rPr>
                                    <w:t>ms</w:t>
                                  </w:r>
                                  <w:proofErr w:type="spellEnd"/>
                                  <w:r w:rsidRPr="00AE6F60">
                                    <w:rPr>
                                      <w:sz w:val="22"/>
                                      <w:szCs w:val="22"/>
                                      <w:lang w:val="en-US"/>
                                    </w:rPr>
                                    <w:t xml:space="preserve"> / 20117 </w:t>
                                  </w:r>
                                  <w:proofErr w:type="spellStart"/>
                                  <w:r w:rsidRPr="00AE6F60">
                                    <w:rPr>
                                      <w:sz w:val="22"/>
                                      <w:szCs w:val="22"/>
                                      <w:lang w:val="en-US"/>
                                    </w:rPr>
                                    <w:t>ms</w:t>
                                  </w:r>
                                  <w:proofErr w:type="spellEnd"/>
                                </w:p>
                                <w:p w14:paraId="3E53D0CE" w14:textId="047A71FC" w:rsidR="00527127" w:rsidRPr="00AE6F60" w:rsidRDefault="00527127" w:rsidP="00CD372A">
                                  <w:pPr>
                                    <w:spacing w:before="0" w:after="0" w:line="240" w:lineRule="auto"/>
                                    <w:rPr>
                                      <w:sz w:val="22"/>
                                      <w:szCs w:val="22"/>
                                      <w:lang w:val="en-US"/>
                                    </w:rPr>
                                  </w:pP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t>= 0.863 = 86.3%</w:t>
                                  </w:r>
                                </w:p>
                                <w:p w14:paraId="76B71207" w14:textId="6E1C93A7" w:rsidR="00527127" w:rsidRPr="00AE6F60" w:rsidRDefault="00527127" w:rsidP="00CD372A">
                                  <w:pPr>
                                    <w:spacing w:before="0" w:after="0" w:line="240" w:lineRule="auto"/>
                                    <w:rPr>
                                      <w:sz w:val="22"/>
                                      <w:szCs w:val="22"/>
                                      <w:lang w:val="en-US"/>
                                    </w:rPr>
                                  </w:pPr>
                                  <w:r w:rsidRPr="00AE6F60">
                                    <w:rPr>
                                      <w:sz w:val="22"/>
                                      <w:szCs w:val="22"/>
                                      <w:lang w:val="en-US"/>
                                    </w:rPr>
                                    <w:t>B)</w:t>
                                  </w:r>
                                  <w:r w:rsidRPr="00AE6F60">
                                    <w:rPr>
                                      <w:i/>
                                      <w:iCs/>
                                      <w:sz w:val="22"/>
                                      <w:szCs w:val="22"/>
                                      <w:lang w:val="en-US"/>
                                    </w:rPr>
                                    <w:t xml:space="preserve"> Trial 4</w:t>
                                  </w:r>
                                  <w:r w:rsidRPr="00AE6F60">
                                    <w:rPr>
                                      <w:sz w:val="22"/>
                                      <w:szCs w:val="22"/>
                                      <w:lang w:val="en-US"/>
                                    </w:rPr>
                                    <w:t xml:space="preserve"> – Velocity = 36°/sec</w:t>
                                  </w:r>
                                </w:p>
                                <w:p w14:paraId="683B856F" w14:textId="77777777" w:rsidR="00527127" w:rsidRPr="00AE6F60" w:rsidRDefault="00527127" w:rsidP="00CD372A">
                                  <w:pPr>
                                    <w:spacing w:before="0" w:after="0" w:line="240" w:lineRule="auto"/>
                                    <w:rPr>
                                      <w:sz w:val="22"/>
                                      <w:szCs w:val="22"/>
                                      <w:lang w:val="en-US"/>
                                    </w:rPr>
                                  </w:pPr>
                                  <w:r w:rsidRPr="00AE6F60">
                                    <w:rPr>
                                      <w:sz w:val="22"/>
                                      <w:szCs w:val="22"/>
                                      <w:lang w:val="en-US"/>
                                    </w:rPr>
                                    <w:t>Mean Gain = 0.974</w:t>
                                  </w:r>
                                </w:p>
                                <w:p w14:paraId="4E7AECEF" w14:textId="77777777" w:rsidR="00527127" w:rsidRPr="00AE6F60" w:rsidRDefault="00527127" w:rsidP="00CD372A">
                                  <w:pPr>
                                    <w:spacing w:before="0" w:after="0" w:line="240" w:lineRule="auto"/>
                                    <w:rPr>
                                      <w:sz w:val="22"/>
                                      <w:szCs w:val="22"/>
                                      <w:lang w:val="en-US"/>
                                    </w:rPr>
                                  </w:pPr>
                                  <w:r w:rsidRPr="00AE6F60">
                                    <w:rPr>
                                      <w:sz w:val="22"/>
                                      <w:szCs w:val="22"/>
                                      <w:lang w:val="en-US"/>
                                    </w:rPr>
                                    <w:t>Mean RMSE = 0.935°</w:t>
                                  </w:r>
                                </w:p>
                                <w:p w14:paraId="012282DE" w14:textId="2C05565D" w:rsidR="00527127" w:rsidRPr="00AE6F60" w:rsidRDefault="00527127" w:rsidP="00CD372A">
                                  <w:pPr>
                                    <w:spacing w:before="0" w:after="0" w:line="240" w:lineRule="auto"/>
                                    <w:rPr>
                                      <w:sz w:val="22"/>
                                      <w:szCs w:val="22"/>
                                      <w:lang w:val="en-US"/>
                                    </w:rPr>
                                  </w:pPr>
                                  <w:r w:rsidRPr="00AE6F60">
                                    <w:rPr>
                                      <w:sz w:val="22"/>
                                      <w:szCs w:val="22"/>
                                      <w:lang w:val="en-US"/>
                                    </w:rPr>
                                    <w:t>Percentage of SP fixation</w:t>
                                  </w:r>
                                  <w:r w:rsidRPr="00AE6F60">
                                    <w:rPr>
                                      <w:sz w:val="22"/>
                                      <w:szCs w:val="22"/>
                                      <w:lang w:val="en-US"/>
                                    </w:rPr>
                                    <w:tab/>
                                    <w:t>= Total actual SP fixation / total trial duration</w:t>
                                  </w: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r>
                                  <w:r w:rsidR="008E1CAC">
                                    <w:rPr>
                                      <w:sz w:val="22"/>
                                      <w:szCs w:val="22"/>
                                      <w:lang w:val="en-US"/>
                                    </w:rPr>
                                    <w:tab/>
                                  </w:r>
                                  <w:r w:rsidRPr="00AE6F60">
                                    <w:rPr>
                                      <w:sz w:val="22"/>
                                      <w:szCs w:val="22"/>
                                      <w:lang w:val="en-US"/>
                                    </w:rPr>
                                    <w:t xml:space="preserve">= 3960 </w:t>
                                  </w:r>
                                  <w:proofErr w:type="spellStart"/>
                                  <w:r w:rsidRPr="00AE6F60">
                                    <w:rPr>
                                      <w:sz w:val="22"/>
                                      <w:szCs w:val="22"/>
                                      <w:lang w:val="en-US"/>
                                    </w:rPr>
                                    <w:t>ms</w:t>
                                  </w:r>
                                  <w:proofErr w:type="spellEnd"/>
                                  <w:r w:rsidRPr="00AE6F60">
                                    <w:rPr>
                                      <w:sz w:val="22"/>
                                      <w:szCs w:val="22"/>
                                      <w:lang w:val="en-US"/>
                                    </w:rPr>
                                    <w:t xml:space="preserve"> / 5117 </w:t>
                                  </w:r>
                                  <w:proofErr w:type="spellStart"/>
                                  <w:r w:rsidRPr="00AE6F60">
                                    <w:rPr>
                                      <w:sz w:val="22"/>
                                      <w:szCs w:val="22"/>
                                      <w:lang w:val="en-US"/>
                                    </w:rPr>
                                    <w:t>ms</w:t>
                                  </w:r>
                                  <w:proofErr w:type="spellEnd"/>
                                  <w:r w:rsidRPr="00AE6F60">
                                    <w:rPr>
                                      <w:sz w:val="22"/>
                                      <w:szCs w:val="22"/>
                                      <w:lang w:val="en-US"/>
                                    </w:rPr>
                                    <w:tab/>
                                  </w:r>
                                  <w:r w:rsidRPr="00AE6F60">
                                    <w:rPr>
                                      <w:sz w:val="22"/>
                                      <w:szCs w:val="22"/>
                                      <w:lang w:val="en-US"/>
                                    </w:rPr>
                                    <w:tab/>
                                  </w:r>
                                  <w:r w:rsidRPr="00AE6F60">
                                    <w:rPr>
                                      <w:sz w:val="22"/>
                                      <w:szCs w:val="22"/>
                                      <w:lang w:val="en-US"/>
                                    </w:rPr>
                                    <w:tab/>
                                  </w:r>
                                </w:p>
                                <w:p w14:paraId="56DEE364" w14:textId="33BC1EEC" w:rsidR="00527127" w:rsidRPr="00AE6F60" w:rsidRDefault="00527127" w:rsidP="00CD372A">
                                  <w:pPr>
                                    <w:spacing w:before="0" w:after="0" w:line="240" w:lineRule="auto"/>
                                    <w:ind w:left="2160" w:firstLine="720"/>
                                    <w:rPr>
                                      <w:sz w:val="22"/>
                                      <w:szCs w:val="22"/>
                                      <w:lang w:val="en-US"/>
                                    </w:rPr>
                                  </w:pPr>
                                  <w:r w:rsidRPr="00AE6F60">
                                    <w:rPr>
                                      <w:sz w:val="22"/>
                                      <w:szCs w:val="22"/>
                                      <w:lang w:val="en-US"/>
                                    </w:rPr>
                                    <w:t>= 0.774 = 77.4%</w:t>
                                  </w:r>
                                </w:p>
                              </w:txbxContent>
                            </wps:txbx>
                            <wps:bodyPr rot="0" vert="horz" wrap="square" lIns="91440" tIns="45720" rIns="91440" bIns="45720" anchor="t" anchorCtr="0" upright="1">
                              <a:noAutofit/>
                            </wps:bodyPr>
                          </wps:wsp>
                        </wpg:grpSp>
                        <wps:wsp>
                          <wps:cNvPr id="24471" name="Rectangle 459"/>
                          <wps:cNvSpPr>
                            <a:spLocks noChangeArrowheads="1"/>
                          </wps:cNvSpPr>
                          <wps:spPr bwMode="auto">
                            <a:xfrm>
                              <a:off x="2844" y="27876"/>
                              <a:ext cx="3905" cy="3408"/>
                            </a:xfrm>
                            <a:prstGeom prst="rect">
                              <a:avLst/>
                            </a:prstGeom>
                            <a:noFill/>
                            <a:ln>
                              <a:noFill/>
                            </a:ln>
                          </wps:spPr>
                          <wps:txbx>
                            <w:txbxContent>
                              <w:p w14:paraId="39A18D38" w14:textId="77777777" w:rsidR="00527127" w:rsidRPr="00F23AD4" w:rsidRDefault="00527127" w:rsidP="00F23AD4">
                                <w:pPr>
                                  <w:spacing w:after="0"/>
                                  <w:rPr>
                                    <w:b/>
                                    <w:bCs/>
                                    <w:lang w:val="en-US"/>
                                  </w:rPr>
                                </w:pPr>
                                <w:r w:rsidRPr="00F23AD4">
                                  <w:rPr>
                                    <w:b/>
                                    <w:bCs/>
                                    <w:lang w:val="en-US"/>
                                  </w:rPr>
                                  <w:t>A)</w:t>
                                </w:r>
                              </w:p>
                            </w:txbxContent>
                          </wps:txbx>
                          <wps:bodyPr rot="0" vert="horz" wrap="square" lIns="91440" tIns="45720" rIns="91440" bIns="45720" anchor="ctr" anchorCtr="0" upright="1">
                            <a:noAutofit/>
                          </wps:bodyPr>
                        </wps:wsp>
                      </wpg:grpSp>
                      <wpg:grpSp>
                        <wpg:cNvPr id="24472" name="Group 460"/>
                        <wpg:cNvGrpSpPr>
                          <a:grpSpLocks/>
                        </wpg:cNvGrpSpPr>
                        <wpg:grpSpPr bwMode="auto">
                          <a:xfrm>
                            <a:off x="1524" y="30472"/>
                            <a:ext cx="53251" cy="27903"/>
                            <a:chOff x="-476" y="-2388"/>
                            <a:chExt cx="53251" cy="27903"/>
                          </a:xfrm>
                        </wpg:grpSpPr>
                        <pic:pic xmlns:pic="http://schemas.openxmlformats.org/drawingml/2006/picture">
                          <pic:nvPicPr>
                            <pic:cNvPr id="24473" name="Picture 461"/>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476" y="-2388"/>
                              <a:ext cx="53251" cy="25060"/>
                            </a:xfrm>
                            <a:prstGeom prst="rect">
                              <a:avLst/>
                            </a:prstGeom>
                            <a:noFill/>
                          </pic:spPr>
                        </pic:pic>
                        <wps:wsp>
                          <wps:cNvPr id="24474" name="Rectangle 462"/>
                          <wps:cNvSpPr>
                            <a:spLocks noChangeArrowheads="1"/>
                          </wps:cNvSpPr>
                          <wps:spPr bwMode="auto">
                            <a:xfrm>
                              <a:off x="1145" y="22120"/>
                              <a:ext cx="3905" cy="3395"/>
                            </a:xfrm>
                            <a:prstGeom prst="rect">
                              <a:avLst/>
                            </a:prstGeom>
                            <a:noFill/>
                            <a:ln>
                              <a:noFill/>
                            </a:ln>
                          </wps:spPr>
                          <wps:txbx>
                            <w:txbxContent>
                              <w:p w14:paraId="50495F3F" w14:textId="77777777" w:rsidR="00527127" w:rsidRPr="00F23AD4" w:rsidRDefault="00527127" w:rsidP="00F23AD4">
                                <w:pPr>
                                  <w:spacing w:after="0"/>
                                  <w:rPr>
                                    <w:b/>
                                    <w:bCs/>
                                    <w:lang w:val="en-US"/>
                                  </w:rPr>
                                </w:pPr>
                                <w:r w:rsidRPr="00F23AD4">
                                  <w:rPr>
                                    <w:b/>
                                    <w:bCs/>
                                    <w:lang w:val="en-US"/>
                                  </w:rPr>
                                  <w:t>B)</w:t>
                                </w:r>
                              </w:p>
                            </w:txbxContent>
                          </wps:txbx>
                          <wps:bodyPr rot="0" vert="horz" wrap="square" lIns="91440" tIns="45720" rIns="91440" bIns="45720" anchor="ctr" anchorCtr="0" upright="1">
                            <a:noAutofit/>
                          </wps:bodyPr>
                        </wps:wsp>
                      </wpg:grpSp>
                    </wpg:wgp>
                  </a:graphicData>
                </a:graphic>
              </wp:inline>
            </w:drawing>
          </mc:Choice>
          <mc:Fallback>
            <w:pict>
              <v:group w14:anchorId="59CEF37C" id="Group 24465" o:spid="_x0000_s1032" style="width:439.4pt;height:450.75pt;mso-position-horizontal-relative:char;mso-position-vertical-relative:line" coordorigin="1524,6191" coordsize="55802,79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">
                <v:group id="Group 333" o:spid="_x0000_s1033" style="position:absolute;left:1524;top:6191;width:55802;height:79699" coordorigin="1524,6191" coordsize="55801,7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">
                  <v:group id="Group 334" o:spid="_x0000_s1034" style="position:absolute;left:1524;top:6191;width:55801;height:79699" coordorigin="1524,6191" coordsize="55800,7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7" o:spid="_x0000_s1035" type="#_x0000_t75" style="position:absolute;left:1619;top:6191;width:53338;height:2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">
                      <v:imagedata r:id="rId28" o:title=""/>
                    </v:shape>
                    <v:oval id="Oval 450" o:spid="_x0000_s1036" style="position:absolute;left:33631;top:7590;width:10355;height:6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" fillcolor="yellow" strokecolor="#c00000" strokeweight="1.5pt">
                      <v:stroke joinstyle="miter"/>
                      <v:textbox inset="0,0,0,0">
                        <w:txbxContent>
                          <w:p w14:paraId="55612837" w14:textId="64A2A0E7" w:rsidR="00527127" w:rsidRPr="00F612DE" w:rsidRDefault="00527127" w:rsidP="00CD372A">
                            <w:pPr>
                              <w:spacing w:before="0" w:after="0" w:line="240" w:lineRule="auto"/>
                              <w:rPr>
                                <w:sz w:val="20"/>
                                <w:szCs w:val="20"/>
                                <w:lang w:val="en-US"/>
                              </w:rPr>
                            </w:pPr>
                            <w:r>
                              <w:rPr>
                                <w:sz w:val="20"/>
                                <w:szCs w:val="20"/>
                                <w:lang w:val="en-US"/>
                              </w:rPr>
                              <w:t xml:space="preserve">Trial duration = </w:t>
                            </w:r>
                            <w:r w:rsidRPr="00F612DE">
                              <w:rPr>
                                <w:sz w:val="20"/>
                                <w:szCs w:val="20"/>
                                <w:lang w:val="en-US"/>
                              </w:rPr>
                              <w:t>20117</w:t>
                            </w:r>
                            <w:r>
                              <w:rPr>
                                <w:sz w:val="20"/>
                                <w:szCs w:val="20"/>
                                <w:lang w:val="en-US"/>
                              </w:rPr>
                              <w:t xml:space="preserve"> </w:t>
                            </w:r>
                            <w:proofErr w:type="spellStart"/>
                            <w:r w:rsidRPr="00F612DE">
                              <w:rPr>
                                <w:sz w:val="20"/>
                                <w:szCs w:val="20"/>
                                <w:lang w:val="en-US"/>
                              </w:rPr>
                              <w:t>ms</w:t>
                            </w:r>
                            <w:proofErr w:type="spellEnd"/>
                          </w:p>
                        </w:txbxContent>
                      </v:textbox>
                    </v:oval>
                    <v:shapetype id="_x0000_t202" coordsize="21600,21600" o:spt="202" path="m,l,21600r21600,l21600,xe">
                      <v:stroke joinstyle="miter"/>
                      <v:path gradientshapeok="t" o:connecttype="rect"/>
                    </v:shapetype>
                    <v:shape id="Text Box 1969" o:spid="_x0000_s1037" type="#_x0000_t202" style="position:absolute;left:1524;top:55529;width:55800;height:30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" fillcolor="white [3201]" strokecolor="#4472c4 [3204]" strokeweight="1pt">
                      <v:textbox>
                        <w:txbxContent>
                          <w:p w14:paraId="4A784A84" w14:textId="77777777" w:rsidR="00527127" w:rsidRPr="00AE6F60" w:rsidRDefault="00527127" w:rsidP="00CD372A">
                            <w:pPr>
                              <w:spacing w:before="0" w:after="0" w:line="240" w:lineRule="auto"/>
                              <w:rPr>
                                <w:sz w:val="22"/>
                                <w:szCs w:val="22"/>
                                <w:lang w:val="en-US"/>
                              </w:rPr>
                            </w:pPr>
                            <w:r w:rsidRPr="00AE6F60">
                              <w:rPr>
                                <w:sz w:val="22"/>
                                <w:szCs w:val="22"/>
                                <w:lang w:val="en-US"/>
                              </w:rPr>
                              <w:t>Participant ID: 101101</w:t>
                            </w:r>
                          </w:p>
                          <w:p w14:paraId="32043C8F" w14:textId="3A8CEA59" w:rsidR="00527127" w:rsidRPr="00AE6F60" w:rsidRDefault="00527127" w:rsidP="00CD372A">
                            <w:pPr>
                              <w:spacing w:before="0" w:after="0" w:line="240" w:lineRule="auto"/>
                              <w:rPr>
                                <w:sz w:val="22"/>
                                <w:szCs w:val="22"/>
                                <w:lang w:val="en-US"/>
                              </w:rPr>
                            </w:pPr>
                            <w:r w:rsidRPr="00AE6F60">
                              <w:rPr>
                                <w:sz w:val="22"/>
                                <w:szCs w:val="22"/>
                                <w:lang w:val="en-US"/>
                              </w:rPr>
                              <w:t xml:space="preserve">A) </w:t>
                            </w:r>
                            <w:r w:rsidRPr="00AE6F60">
                              <w:rPr>
                                <w:i/>
                                <w:iCs/>
                                <w:sz w:val="22"/>
                                <w:szCs w:val="22"/>
                                <w:lang w:val="en-US"/>
                              </w:rPr>
                              <w:t>Trial 1</w:t>
                            </w:r>
                            <w:r w:rsidRPr="00AE6F60">
                              <w:rPr>
                                <w:sz w:val="22"/>
                                <w:szCs w:val="22"/>
                                <w:lang w:val="en-US"/>
                              </w:rPr>
                              <w:t xml:space="preserve"> – Velocity = 8°/sec</w:t>
                            </w:r>
                          </w:p>
                          <w:p w14:paraId="67941163" w14:textId="77777777" w:rsidR="00527127" w:rsidRPr="00AE6F60" w:rsidRDefault="00527127" w:rsidP="00CD372A">
                            <w:pPr>
                              <w:spacing w:before="0" w:after="0" w:line="240" w:lineRule="auto"/>
                              <w:rPr>
                                <w:sz w:val="22"/>
                                <w:szCs w:val="22"/>
                                <w:lang w:val="en-US"/>
                              </w:rPr>
                            </w:pPr>
                            <w:r w:rsidRPr="00AE6F60">
                              <w:rPr>
                                <w:sz w:val="22"/>
                                <w:szCs w:val="22"/>
                                <w:lang w:val="en-US"/>
                              </w:rPr>
                              <w:t>Mean Gain = 0.956</w:t>
                            </w:r>
                          </w:p>
                          <w:p w14:paraId="366C0232" w14:textId="77777777" w:rsidR="00527127" w:rsidRPr="00AE6F60" w:rsidRDefault="00527127" w:rsidP="00CD372A">
                            <w:pPr>
                              <w:spacing w:before="0" w:after="0" w:line="240" w:lineRule="auto"/>
                              <w:rPr>
                                <w:sz w:val="22"/>
                                <w:szCs w:val="22"/>
                                <w:lang w:val="en-US"/>
                              </w:rPr>
                            </w:pPr>
                            <w:r w:rsidRPr="00AE6F60">
                              <w:rPr>
                                <w:sz w:val="22"/>
                                <w:szCs w:val="22"/>
                                <w:lang w:val="en-US"/>
                              </w:rPr>
                              <w:t>Mean RMSE = 0.219°</w:t>
                            </w:r>
                          </w:p>
                          <w:p w14:paraId="689CFBF9" w14:textId="786CE916" w:rsidR="00527127" w:rsidRPr="00AE6F60" w:rsidRDefault="00527127" w:rsidP="00CD372A">
                            <w:pPr>
                              <w:spacing w:before="0" w:after="0" w:line="240" w:lineRule="auto"/>
                              <w:rPr>
                                <w:sz w:val="22"/>
                                <w:szCs w:val="22"/>
                                <w:lang w:val="en-US"/>
                              </w:rPr>
                            </w:pPr>
                            <w:r w:rsidRPr="00AE6F60">
                              <w:rPr>
                                <w:sz w:val="22"/>
                                <w:szCs w:val="22"/>
                                <w:lang w:val="en-US"/>
                              </w:rPr>
                              <w:t>Percentage of SP fixation= Total actual SP fixation / total trial duration</w:t>
                            </w:r>
                          </w:p>
                          <w:p w14:paraId="697B680E" w14:textId="58B5D51D" w:rsidR="00527127" w:rsidRPr="00AE6F60" w:rsidRDefault="00527127" w:rsidP="00CD372A">
                            <w:pPr>
                              <w:spacing w:before="0" w:after="0" w:line="240" w:lineRule="auto"/>
                              <w:rPr>
                                <w:sz w:val="22"/>
                                <w:szCs w:val="22"/>
                                <w:lang w:val="en-US"/>
                              </w:rPr>
                            </w:pP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t xml:space="preserve">= 17352 </w:t>
                            </w:r>
                            <w:proofErr w:type="spellStart"/>
                            <w:r w:rsidRPr="00AE6F60">
                              <w:rPr>
                                <w:sz w:val="22"/>
                                <w:szCs w:val="22"/>
                                <w:lang w:val="en-US"/>
                              </w:rPr>
                              <w:t>ms</w:t>
                            </w:r>
                            <w:proofErr w:type="spellEnd"/>
                            <w:r w:rsidRPr="00AE6F60">
                              <w:rPr>
                                <w:sz w:val="22"/>
                                <w:szCs w:val="22"/>
                                <w:lang w:val="en-US"/>
                              </w:rPr>
                              <w:t xml:space="preserve"> / 20117 </w:t>
                            </w:r>
                            <w:proofErr w:type="spellStart"/>
                            <w:r w:rsidRPr="00AE6F60">
                              <w:rPr>
                                <w:sz w:val="22"/>
                                <w:szCs w:val="22"/>
                                <w:lang w:val="en-US"/>
                              </w:rPr>
                              <w:t>ms</w:t>
                            </w:r>
                            <w:proofErr w:type="spellEnd"/>
                          </w:p>
                          <w:p w14:paraId="3E53D0CE" w14:textId="047A71FC" w:rsidR="00527127" w:rsidRPr="00AE6F60" w:rsidRDefault="00527127" w:rsidP="00CD372A">
                            <w:pPr>
                              <w:spacing w:before="0" w:after="0" w:line="240" w:lineRule="auto"/>
                              <w:rPr>
                                <w:sz w:val="22"/>
                                <w:szCs w:val="22"/>
                                <w:lang w:val="en-US"/>
                              </w:rPr>
                            </w:pP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t>= 0.863 = 86.3%</w:t>
                            </w:r>
                          </w:p>
                          <w:p w14:paraId="76B71207" w14:textId="6E1C93A7" w:rsidR="00527127" w:rsidRPr="00AE6F60" w:rsidRDefault="00527127" w:rsidP="00CD372A">
                            <w:pPr>
                              <w:spacing w:before="0" w:after="0" w:line="240" w:lineRule="auto"/>
                              <w:rPr>
                                <w:sz w:val="22"/>
                                <w:szCs w:val="22"/>
                                <w:lang w:val="en-US"/>
                              </w:rPr>
                            </w:pPr>
                            <w:r w:rsidRPr="00AE6F60">
                              <w:rPr>
                                <w:sz w:val="22"/>
                                <w:szCs w:val="22"/>
                                <w:lang w:val="en-US"/>
                              </w:rPr>
                              <w:t>B)</w:t>
                            </w:r>
                            <w:r w:rsidRPr="00AE6F60">
                              <w:rPr>
                                <w:i/>
                                <w:iCs/>
                                <w:sz w:val="22"/>
                                <w:szCs w:val="22"/>
                                <w:lang w:val="en-US"/>
                              </w:rPr>
                              <w:t xml:space="preserve"> Trial 4</w:t>
                            </w:r>
                            <w:r w:rsidRPr="00AE6F60">
                              <w:rPr>
                                <w:sz w:val="22"/>
                                <w:szCs w:val="22"/>
                                <w:lang w:val="en-US"/>
                              </w:rPr>
                              <w:t xml:space="preserve"> – Velocity = 36°/sec</w:t>
                            </w:r>
                          </w:p>
                          <w:p w14:paraId="683B856F" w14:textId="77777777" w:rsidR="00527127" w:rsidRPr="00AE6F60" w:rsidRDefault="00527127" w:rsidP="00CD372A">
                            <w:pPr>
                              <w:spacing w:before="0" w:after="0" w:line="240" w:lineRule="auto"/>
                              <w:rPr>
                                <w:sz w:val="22"/>
                                <w:szCs w:val="22"/>
                                <w:lang w:val="en-US"/>
                              </w:rPr>
                            </w:pPr>
                            <w:r w:rsidRPr="00AE6F60">
                              <w:rPr>
                                <w:sz w:val="22"/>
                                <w:szCs w:val="22"/>
                                <w:lang w:val="en-US"/>
                              </w:rPr>
                              <w:t>Mean Gain = 0.974</w:t>
                            </w:r>
                          </w:p>
                          <w:p w14:paraId="4E7AECEF" w14:textId="77777777" w:rsidR="00527127" w:rsidRPr="00AE6F60" w:rsidRDefault="00527127" w:rsidP="00CD372A">
                            <w:pPr>
                              <w:spacing w:before="0" w:after="0" w:line="240" w:lineRule="auto"/>
                              <w:rPr>
                                <w:sz w:val="22"/>
                                <w:szCs w:val="22"/>
                                <w:lang w:val="en-US"/>
                              </w:rPr>
                            </w:pPr>
                            <w:r w:rsidRPr="00AE6F60">
                              <w:rPr>
                                <w:sz w:val="22"/>
                                <w:szCs w:val="22"/>
                                <w:lang w:val="en-US"/>
                              </w:rPr>
                              <w:t>Mean RMSE = 0.935°</w:t>
                            </w:r>
                          </w:p>
                          <w:p w14:paraId="012282DE" w14:textId="2C05565D" w:rsidR="00527127" w:rsidRPr="00AE6F60" w:rsidRDefault="00527127" w:rsidP="00CD372A">
                            <w:pPr>
                              <w:spacing w:before="0" w:after="0" w:line="240" w:lineRule="auto"/>
                              <w:rPr>
                                <w:sz w:val="22"/>
                                <w:szCs w:val="22"/>
                                <w:lang w:val="en-US"/>
                              </w:rPr>
                            </w:pPr>
                            <w:r w:rsidRPr="00AE6F60">
                              <w:rPr>
                                <w:sz w:val="22"/>
                                <w:szCs w:val="22"/>
                                <w:lang w:val="en-US"/>
                              </w:rPr>
                              <w:t>Percentage of SP fixation</w:t>
                            </w:r>
                            <w:r w:rsidRPr="00AE6F60">
                              <w:rPr>
                                <w:sz w:val="22"/>
                                <w:szCs w:val="22"/>
                                <w:lang w:val="en-US"/>
                              </w:rPr>
                              <w:tab/>
                              <w:t>= Total actual SP fixation / total trial duration</w:t>
                            </w: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r>
                            <w:r w:rsidRPr="00AE6F60">
                              <w:rPr>
                                <w:sz w:val="22"/>
                                <w:szCs w:val="22"/>
                                <w:lang w:val="en-US"/>
                              </w:rPr>
                              <w:tab/>
                            </w:r>
                            <w:r w:rsidR="008E1CAC">
                              <w:rPr>
                                <w:sz w:val="22"/>
                                <w:szCs w:val="22"/>
                                <w:lang w:val="en-US"/>
                              </w:rPr>
                              <w:tab/>
                            </w:r>
                            <w:r w:rsidRPr="00AE6F60">
                              <w:rPr>
                                <w:sz w:val="22"/>
                                <w:szCs w:val="22"/>
                                <w:lang w:val="en-US"/>
                              </w:rPr>
                              <w:t xml:space="preserve">= 3960 </w:t>
                            </w:r>
                            <w:proofErr w:type="spellStart"/>
                            <w:r w:rsidRPr="00AE6F60">
                              <w:rPr>
                                <w:sz w:val="22"/>
                                <w:szCs w:val="22"/>
                                <w:lang w:val="en-US"/>
                              </w:rPr>
                              <w:t>ms</w:t>
                            </w:r>
                            <w:proofErr w:type="spellEnd"/>
                            <w:r w:rsidRPr="00AE6F60">
                              <w:rPr>
                                <w:sz w:val="22"/>
                                <w:szCs w:val="22"/>
                                <w:lang w:val="en-US"/>
                              </w:rPr>
                              <w:t xml:space="preserve"> / 5117 </w:t>
                            </w:r>
                            <w:proofErr w:type="spellStart"/>
                            <w:r w:rsidRPr="00AE6F60">
                              <w:rPr>
                                <w:sz w:val="22"/>
                                <w:szCs w:val="22"/>
                                <w:lang w:val="en-US"/>
                              </w:rPr>
                              <w:t>ms</w:t>
                            </w:r>
                            <w:proofErr w:type="spellEnd"/>
                            <w:r w:rsidRPr="00AE6F60">
                              <w:rPr>
                                <w:sz w:val="22"/>
                                <w:szCs w:val="22"/>
                                <w:lang w:val="en-US"/>
                              </w:rPr>
                              <w:tab/>
                            </w:r>
                            <w:r w:rsidRPr="00AE6F60">
                              <w:rPr>
                                <w:sz w:val="22"/>
                                <w:szCs w:val="22"/>
                                <w:lang w:val="en-US"/>
                              </w:rPr>
                              <w:tab/>
                            </w:r>
                            <w:r w:rsidRPr="00AE6F60">
                              <w:rPr>
                                <w:sz w:val="22"/>
                                <w:szCs w:val="22"/>
                                <w:lang w:val="en-US"/>
                              </w:rPr>
                              <w:tab/>
                            </w:r>
                          </w:p>
                          <w:p w14:paraId="56DEE364" w14:textId="33BC1EEC" w:rsidR="00527127" w:rsidRPr="00AE6F60" w:rsidRDefault="00527127" w:rsidP="00CD372A">
                            <w:pPr>
                              <w:spacing w:before="0" w:after="0" w:line="240" w:lineRule="auto"/>
                              <w:ind w:left="2160" w:firstLine="720"/>
                              <w:rPr>
                                <w:sz w:val="22"/>
                                <w:szCs w:val="22"/>
                                <w:lang w:val="en-US"/>
                              </w:rPr>
                            </w:pPr>
                            <w:r w:rsidRPr="00AE6F60">
                              <w:rPr>
                                <w:sz w:val="22"/>
                                <w:szCs w:val="22"/>
                                <w:lang w:val="en-US"/>
                              </w:rPr>
                              <w:t>= 0.774 = 77.4%</w:t>
                            </w:r>
                          </w:p>
                        </w:txbxContent>
                      </v:textbox>
                    </v:shape>
                  </v:group>
                  <v:rect id="Rectangle 459" o:spid="_x0000_s1038" style="position:absolute;left:2844;top:27876;width:3905;height:3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" filled="f" stroked="f">
                    <v:textbox>
                      <w:txbxContent>
                        <w:p w14:paraId="39A18D38" w14:textId="77777777" w:rsidR="00527127" w:rsidRPr="00F23AD4" w:rsidRDefault="00527127" w:rsidP="00F23AD4">
                          <w:pPr>
                            <w:spacing w:after="0"/>
                            <w:rPr>
                              <w:b/>
                              <w:bCs/>
                              <w:lang w:val="en-US"/>
                            </w:rPr>
                          </w:pPr>
                          <w:r w:rsidRPr="00F23AD4">
                            <w:rPr>
                              <w:b/>
                              <w:bCs/>
                              <w:lang w:val="en-US"/>
                            </w:rPr>
                            <w:t>A)</w:t>
                          </w:r>
                        </w:p>
                      </w:txbxContent>
                    </v:textbox>
                  </v:rect>
                </v:group>
                <v:group id="Group 460" o:spid="_x0000_s1039" style="position:absolute;left:1524;top:30472;width:53251;height:27903" coordorigin="-476,-2388" coordsize="53251,27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">
                  <v:shape id="Picture 461" o:spid="_x0000_s1040" type="#_x0000_t75" style="position:absolute;left:-476;top:-2388;width:53251;height:2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">
                    <v:imagedata r:id="rId29" o:title=""/>
                  </v:shape>
                  <v:rect id="Rectangle 462" o:spid="_x0000_s1041" style="position:absolute;left:1145;top:22120;width:3905;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" filled="f" stroked="f">
                    <v:textbox>
                      <w:txbxContent>
                        <w:p w14:paraId="50495F3F" w14:textId="77777777" w:rsidR="00527127" w:rsidRPr="00F23AD4" w:rsidRDefault="00527127" w:rsidP="00F23AD4">
                          <w:pPr>
                            <w:spacing w:after="0"/>
                            <w:rPr>
                              <w:b/>
                              <w:bCs/>
                              <w:lang w:val="en-US"/>
                            </w:rPr>
                          </w:pPr>
                          <w:r w:rsidRPr="00F23AD4">
                            <w:rPr>
                              <w:b/>
                              <w:bCs/>
                              <w:lang w:val="en-US"/>
                            </w:rPr>
                            <w:t>B)</w:t>
                          </w:r>
                        </w:p>
                      </w:txbxContent>
                    </v:textbox>
                  </v:rect>
                </v:group>
                <w10:anchorlock/>
              </v:group>
            </w:pict>
          </mc:Fallback>
        </mc:AlternateContent>
      </w:r>
    </w:p>
    <w:p w14:paraId="670D26D7" w14:textId="3EE559E1" w:rsidR="00547D87" w:rsidRDefault="00397DD6" w:rsidP="00C4130D">
      <w:pPr>
        <w:pStyle w:val="Caption"/>
      </w:pPr>
      <w:bookmarkStart w:id="33" w:name="_Toc73609234"/>
      <w:bookmarkStart w:id="34" w:name="_Toc73804895"/>
      <w:bookmarkStart w:id="35" w:name="_Toc98570005"/>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4</w:t>
      </w:r>
      <w:r w:rsidR="002E63E9" w:rsidRPr="009D4627">
        <w:rPr>
          <w:noProof/>
        </w:rPr>
        <w:fldChar w:fldCharType="end"/>
      </w:r>
      <w:r w:rsidRPr="009D4627">
        <w:t xml:space="preserve">: </w:t>
      </w:r>
      <w:r w:rsidR="00547D87" w:rsidRPr="009D4627">
        <w:t xml:space="preserve">Sample of horizontal </w:t>
      </w:r>
      <w:r w:rsidR="00D91AAB" w:rsidRPr="009D4627">
        <w:t>SP</w:t>
      </w:r>
      <w:r w:rsidR="00547D87" w:rsidRPr="009D4627">
        <w:t xml:space="preserve"> recording on a control participant taken from the current study.</w:t>
      </w:r>
      <w:bookmarkEnd w:id="33"/>
      <w:bookmarkEnd w:id="34"/>
      <w:r w:rsidR="00547D87" w:rsidRPr="009D4627">
        <w:t xml:space="preserve"> A) </w:t>
      </w:r>
      <w:r w:rsidR="0002106D" w:rsidRPr="009D4627">
        <w:t>S</w:t>
      </w:r>
      <w:r w:rsidR="00547D87" w:rsidRPr="009D4627">
        <w:t xml:space="preserve">hows the </w:t>
      </w:r>
      <w:r w:rsidR="00AE6F60" w:rsidRPr="009D4627">
        <w:t>SP movements</w:t>
      </w:r>
      <w:r w:rsidR="00547D87" w:rsidRPr="009D4627">
        <w:t xml:space="preserve"> at low velocity (8</w:t>
      </w:r>
      <w:r w:rsidR="00D91AAB" w:rsidRPr="009D4627">
        <w:t>°</w:t>
      </w:r>
      <w:r w:rsidR="00547D87" w:rsidRPr="009D4627">
        <w:t xml:space="preserve">/sec), representing an accurate </w:t>
      </w:r>
      <w:r w:rsidR="00D91AAB" w:rsidRPr="009D4627">
        <w:t>SP</w:t>
      </w:r>
      <w:r w:rsidR="005F57C0" w:rsidRPr="009D4627">
        <w:t>.</w:t>
      </w:r>
      <w:r w:rsidR="00EF0311" w:rsidRPr="009D4627">
        <w:t xml:space="preserve"> </w:t>
      </w:r>
      <w:r w:rsidR="00547D87" w:rsidRPr="009D4627">
        <w:t xml:space="preserve">B) </w:t>
      </w:r>
      <w:r w:rsidR="00BC2479">
        <w:t>R</w:t>
      </w:r>
      <w:r w:rsidR="00547D87" w:rsidRPr="009D4627">
        <w:t xml:space="preserve">efers to the </w:t>
      </w:r>
      <w:r w:rsidR="00D91AAB" w:rsidRPr="009D4627">
        <w:t>SP</w:t>
      </w:r>
      <w:r w:rsidR="00547D87" w:rsidRPr="009D4627">
        <w:t xml:space="preserve"> movement</w:t>
      </w:r>
      <w:r w:rsidR="00AE6F60" w:rsidRPr="009D4627">
        <w:t>s</w:t>
      </w:r>
      <w:r w:rsidR="00547D87" w:rsidRPr="009D4627">
        <w:t xml:space="preserve"> at </w:t>
      </w:r>
      <w:r w:rsidR="00AE6F60" w:rsidRPr="009D4627">
        <w:t>the higher</w:t>
      </w:r>
      <w:r w:rsidR="00547D87" w:rsidRPr="009D4627">
        <w:t xml:space="preserve"> velocity (36</w:t>
      </w:r>
      <w:r w:rsidR="00D91AAB" w:rsidRPr="009D4627">
        <w:t>°</w:t>
      </w:r>
      <w:r w:rsidR="00547D87" w:rsidRPr="009D4627">
        <w:t xml:space="preserve">/sec), </w:t>
      </w:r>
      <w:r w:rsidR="0002106D" w:rsidRPr="009D4627">
        <w:t>leading to</w:t>
      </w:r>
      <w:r w:rsidR="00547D87" w:rsidRPr="009D4627">
        <w:t xml:space="preserve"> several </w:t>
      </w:r>
      <w:r w:rsidR="007C64BF" w:rsidRPr="009D4627">
        <w:t>CUS</w:t>
      </w:r>
      <w:r w:rsidR="00547D87" w:rsidRPr="009D4627">
        <w:t xml:space="preserve"> and SWJ nystagmus.</w:t>
      </w:r>
      <w:bookmarkEnd w:id="35"/>
      <w:r w:rsidR="00547D87" w:rsidRPr="009D4627">
        <w:t xml:space="preserve"> </w:t>
      </w:r>
    </w:p>
    <w:p w14:paraId="3D1FE5A4" w14:textId="77777777" w:rsidR="008E1CAC" w:rsidRPr="008E1CAC" w:rsidRDefault="008E1CAC" w:rsidP="008E1CAC">
      <w:pPr>
        <w:rPr>
          <w:lang w:val="en-MY" w:eastAsia="en-MY"/>
        </w:rPr>
      </w:pPr>
    </w:p>
    <w:p w14:paraId="7E97E257" w14:textId="1AD3B173" w:rsidR="00547D87" w:rsidRPr="009D4627" w:rsidRDefault="00547D87" w:rsidP="008E1CAC">
      <w:r w:rsidRPr="009D4627">
        <w:lastRenderedPageBreak/>
        <w:t xml:space="preserve">Leigh and Zee (2015) concluded that </w:t>
      </w:r>
      <w:r w:rsidR="00D91AAB" w:rsidRPr="009D4627">
        <w:t>SP</w:t>
      </w:r>
      <w:r w:rsidRPr="009D4627">
        <w:t xml:space="preserve"> performance varies greatly when measurements are repeated on the same participants at different times or on different day</w:t>
      </w:r>
      <w:r w:rsidR="0002106D" w:rsidRPr="009D4627">
        <w:t>s</w:t>
      </w:r>
      <w:r w:rsidRPr="009D4627">
        <w:t xml:space="preserve">. </w:t>
      </w:r>
      <w:r w:rsidR="0002106D" w:rsidRPr="009D4627">
        <w:t xml:space="preserve">Many factors can influence </w:t>
      </w:r>
      <w:r w:rsidR="00134019" w:rsidRPr="009D4627">
        <w:t>SP</w:t>
      </w:r>
      <w:r w:rsidR="0002106D" w:rsidRPr="009D4627">
        <w:t xml:space="preserve"> eye movements such as attention; the </w:t>
      </w:r>
      <w:r w:rsidR="00F57D01" w:rsidRPr="009D4627">
        <w:t>target</w:t>
      </w:r>
      <w:r w:rsidR="0002106D" w:rsidRPr="009D4627">
        <w:t xml:space="preserve"> being capable of holding the pursuer’s interest</w:t>
      </w:r>
      <w:r w:rsidRPr="009D4627">
        <w:t xml:space="preserve"> </w:t>
      </w:r>
      <w:r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 </w:instrText>
      </w:r>
      <w:r w:rsidR="00C40138"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(Leigh &amp; Zee, 2015)</w:t>
      </w:r>
      <w:r w:rsidRPr="009D4627">
        <w:fldChar w:fldCharType="end"/>
      </w:r>
      <w:r w:rsidR="0002106D" w:rsidRPr="009D4627">
        <w:t>;</w:t>
      </w:r>
      <w:r w:rsidRPr="009D4627">
        <w:t xml:space="preserve"> </w:t>
      </w:r>
      <w:r w:rsidR="00F57D01" w:rsidRPr="009D4627">
        <w:t>target</w:t>
      </w:r>
      <w:r w:rsidRPr="009D4627">
        <w:t xml:space="preserve"> directionality</w:t>
      </w:r>
      <w:r w:rsidR="0002106D" w:rsidRPr="009D4627">
        <w:t>,</w:t>
      </w:r>
      <w:r w:rsidRPr="009D4627">
        <w:t xml:space="preserve"> either vertical or horizontal </w:t>
      </w:r>
      <w:r w:rsidRPr="009D4627">
        <w:fldChar w:fldCharType="begin"/>
      </w:r>
      <w:r w:rsidR="00945A16" w:rsidRPr="009D4627">
        <w:instrText xml:space="preserve"> ADDIN EN.CITE &lt;EndNote&gt;&lt;Cite&gt;&lt;Author&gt;Rottach&lt;/Author&gt;&lt;Year&gt;1996&lt;/Year&gt;&lt;IDText&gt;Comparison of Horizontal, Vertical and Diagonal Smooth Pursuit Eye Movements in Normal Human Subjects&lt;/IDText&gt;&lt;DisplayText&gt;(Rottach et al., 1996)&lt;/DisplayText&gt;&lt;record&gt;&lt;keywords&gt;&lt;keyword&gt;Smooth Pursuit&lt;/keyword&gt;&lt;keyword&gt;Eye Movements&lt;/keyword&gt;&lt;keyword&gt;Step-Ramps&lt;/keyword&gt;&lt;keyword&gt;Human&lt;/keyword&gt;&lt;/keywords&gt;&lt;isbn&gt;0042-6989&lt;/isbn&gt;&lt;titles&gt;&lt;title&gt;Comparison of Horizontal, Vertical and Diagonal Smooth Pursuit Eye Movements in Normal Human Subjects&lt;/title&gt;&lt;secondary-title&gt;Vision Research&lt;/secondary-title&gt;&lt;/titles&gt;&lt;pages&gt;2189-2195&lt;/pages&gt;&lt;number&gt;14&lt;/number&gt;&lt;contributors&gt;&lt;authors&gt;&lt;author&gt;Rottach, Klaus G.&lt;/author&gt;&lt;author&gt;Zivotofsky, Ari Z.&lt;/author&gt;&lt;author&gt;Das, Vallabh E.&lt;/author&gt;&lt;author&gt;Averbuch-Heller, Lea&lt;/author&gt;&lt;author&gt;Discenna, Alfred O.&lt;/author&gt;&lt;author&gt;Poonyathalang, Anuchit&lt;/author&gt;&lt;author&gt;Leigh, R. John&lt;/author&gt;&lt;/authors&gt;&lt;/contributors&gt;&lt;added-date format="utc"&gt;1567273139&lt;/added-date&gt;&lt;ref-type name="Journal Article"&gt;17&lt;/ref-type&gt;&lt;dates&gt;&lt;year&gt;1996&lt;/year&gt;&lt;/dates&gt;&lt;rec-number&gt;592&lt;/rec-number&gt;&lt;last-updated-date format="utc"&gt;1567273139&lt;/last-updated-date&gt;&lt;electronic-resource-num&gt;10.1016/0042-6989(95)00302-9&lt;/electronic-resource-num&gt;&lt;volume&gt;36&lt;/volume&gt;&lt;/record&gt;&lt;/Cite&gt;&lt;/EndNote&gt;</w:instrText>
      </w:r>
      <w:r w:rsidRPr="009D4627">
        <w:fldChar w:fldCharType="separate"/>
      </w:r>
      <w:r w:rsidR="00945A16" w:rsidRPr="009D4627">
        <w:rPr>
          <w:noProof/>
        </w:rPr>
        <w:t>(Rottach et al., 1996)</w:t>
      </w:r>
      <w:r w:rsidRPr="009D4627">
        <w:fldChar w:fldCharType="end"/>
      </w:r>
      <w:r w:rsidR="0002106D" w:rsidRPr="009D4627">
        <w:t>;</w:t>
      </w:r>
      <w:r w:rsidRPr="009D4627">
        <w:t xml:space="preserve"> and ageing </w:t>
      </w:r>
      <w:r w:rsidRPr="009D4627">
        <w:fldChar w:fldCharType="begin">
          <w:fldData xml:space="preserve">PEVuZE5vdGU+PENpdGU+PEF1dGhvcj5FbmRlcmxlPC9BdXRob3I+PFllYXI+MjAxMDwvWWVhcj48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</w:fldData>
        </w:fldChar>
      </w:r>
      <w:r w:rsidR="00C40138" w:rsidRPr="009D4627">
        <w:instrText xml:space="preserve"> ADDIN EN.CITE </w:instrText>
      </w:r>
      <w:r w:rsidR="00C40138" w:rsidRPr="009D4627">
        <w:fldChar w:fldCharType="begin">
          <w:fldData xml:space="preserve">PEVuZE5vdGU+PENpdGU+PEF1dGhvcj5FbmRlcmxlPC9BdXRob3I+PFllYXI+MjAxMDwvWWVhcj48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(Enderle, 2010; Hutton et al., 1983; Knox et al., 2005; Leigh &amp; Zee, 2015; Ross et al., 1999; Sharpe &amp; Sylvester, 1978)</w:t>
      </w:r>
      <w:r w:rsidRPr="009D4627">
        <w:fldChar w:fldCharType="end"/>
      </w:r>
      <w:r w:rsidRPr="009D4627">
        <w:t>. Other factors include neuroleptics drugs for treating schizophrenia, which ha</w:t>
      </w:r>
      <w:r w:rsidR="00AE6F60" w:rsidRPr="009D4627">
        <w:t>d</w:t>
      </w:r>
      <w:r w:rsidRPr="009D4627">
        <w:t xml:space="preserve"> caused disturbance to the </w:t>
      </w:r>
      <w:r w:rsidR="00D91AAB" w:rsidRPr="009D4627">
        <w:t>SP</w:t>
      </w:r>
      <w:r w:rsidRPr="009D4627">
        <w:t xml:space="preserve"> system </w:t>
      </w:r>
      <w:r w:rsidRPr="009D4627">
        <w:fldChar w:fldCharType="begin"/>
      </w:r>
      <w:r w:rsidR="00C40138" w:rsidRPr="009D4627">
        <w:instrText xml:space="preserve"> ADDIN EN.CITE &lt;EndNote&gt;&lt;Cite&gt;&lt;Author&gt;Friedman&lt;/Author&gt;&lt;Year&gt;1995&lt;/Year&gt;&lt;IDText&gt;Smooth pursuit performance in patients with affective disorders or schizophrenia and normal controls: analysis with specific oculomotor measures, RMS error and qualitative ratings&lt;/IDText&gt;&lt;DisplayText&gt;(Friedman et al., 1995)&lt;/DisplayText&gt;&lt;record&gt;&lt;keywords&gt;&lt;keyword&gt;Pursuit, Smooth&lt;/keyword&gt;&lt;keyword&gt;Schizophrenic Psychology&lt;/keyword&gt;&lt;keyword&gt;Affective Disorders, Psychotic -- Diagnosis&lt;/keyword&gt;&lt;keyword&gt;Depressive Disorder -- Diagnosis&lt;/keyword&gt;&lt;keyword&gt;Schizophrenia -- Diagnosis&lt;/keyword&gt;&lt;/keywords&gt;&lt;isbn&gt;0033-2917&lt;/isbn&gt;&lt;titles&gt;&lt;title&gt;Smooth pursuit performance in patients with affective disorders or schizophrenia and normal controls: analysis with specific oculomotor measures, RMS error and qualitative ratings&lt;/title&gt;&lt;secondary-title&gt;Psychol. Med.&lt;/secondary-title&gt;&lt;/titles&gt;&lt;pages&gt;387-403&lt;/pages&gt;&lt;number&gt;2&lt;/number&gt;&lt;contributors&gt;&lt;authors&gt;&lt;author&gt;Friedman, L.&lt;/author&gt;&lt;author&gt;Jesberger, J. A.&lt;/author&gt;&lt;author&gt;Siever, L. J.&lt;/author&gt;&lt;author&gt;Thompson, P.&lt;/author&gt;&lt;author&gt;Mohs, R.&lt;/author&gt;&lt;author&gt;Meltzer, H. Y.&lt;/author&gt;&lt;/authors&gt;&lt;/contributors&gt;&lt;added-date format="utc"&gt;1582982074&lt;/added-date&gt;&lt;ref-type name="Journal Article"&gt;17&lt;/ref-type&gt;&lt;dates&gt;&lt;year&gt;1995&lt;/year&gt;&lt;/dates&gt;&lt;rec-number&gt;663&lt;/rec-number&gt;&lt;last-updated-date format="utc"&gt;1582982074&lt;/last-updated-date&gt;&lt;electronic-resource-num&gt;10.1017/S003329170003628X&lt;/electronic-resource-num&gt;&lt;volume&gt;25&lt;/volume&gt;&lt;/record&gt;&lt;/Cite&gt;&lt;/EndNote&gt;</w:instrText>
      </w:r>
      <w:r w:rsidRPr="009D4627">
        <w:fldChar w:fldCharType="separate"/>
      </w:r>
      <w:r w:rsidR="00C40138" w:rsidRPr="009D4627">
        <w:rPr>
          <w:noProof/>
        </w:rPr>
        <w:t>(Friedman et al., 1995)</w:t>
      </w:r>
      <w:r w:rsidRPr="009D4627">
        <w:fldChar w:fldCharType="end"/>
      </w:r>
      <w:r w:rsidRPr="009D4627">
        <w:t xml:space="preserve">. </w:t>
      </w:r>
      <w:r w:rsidR="00D91AAB" w:rsidRPr="009D4627">
        <w:t>SP</w:t>
      </w:r>
      <w:r w:rsidRPr="009D4627">
        <w:t xml:space="preserve"> eye movements among </w:t>
      </w:r>
      <w:r w:rsidR="00AE6F60" w:rsidRPr="009D4627">
        <w:t>people with schizophrenia</w:t>
      </w:r>
      <w:r w:rsidRPr="009D4627">
        <w:t xml:space="preserve"> are abnormal, characterised </w:t>
      </w:r>
      <w:r w:rsidR="00D91AAB" w:rsidRPr="009D4627">
        <w:t>by</w:t>
      </w:r>
      <w:r w:rsidRPr="009D4627">
        <w:t xml:space="preserve"> reduced gain, increased </w:t>
      </w:r>
      <w:r w:rsidR="007C64BF" w:rsidRPr="009D4627">
        <w:t>CUS</w:t>
      </w:r>
      <w:r w:rsidRPr="009D4627">
        <w:t xml:space="preserve">, and shorter pursuing time </w:t>
      </w:r>
      <w:r w:rsidRPr="009D4627">
        <w:fldChar w:fldCharType="begin">
          <w:fldData xml:space="preserve">PEVuZE5vdGU+PENpdGU+PEF1dGhvcj5GcmllZG1hbjwvQXV0aG9yPjxZZWFyPjE5OTE8L1llYXI+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</w:fldData>
        </w:fldChar>
      </w:r>
      <w:r w:rsidR="00C40138" w:rsidRPr="009D4627">
        <w:instrText xml:space="preserve"> ADDIN EN.CITE </w:instrText>
      </w:r>
      <w:r w:rsidR="00C40138" w:rsidRPr="009D4627">
        <w:fldChar w:fldCharType="begin">
          <w:fldData xml:space="preserve">PEVuZE5vdGU+PENpdGU+PEF1dGhvcj5GcmllZG1hbjwvQXV0aG9yPjxZZWFyPjE5OTE8L1llYXI+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(Abel et al., 1991; Friedman et al., 1991; Stuve et al., 1997)</w:t>
      </w:r>
      <w:r w:rsidRPr="009D4627">
        <w:fldChar w:fldCharType="end"/>
      </w:r>
      <w:r w:rsidRPr="009D4627">
        <w:t xml:space="preserve">. </w:t>
      </w:r>
    </w:p>
    <w:p w14:paraId="73C44888" w14:textId="3BD2BCC4" w:rsidR="00547D87" w:rsidRPr="009D4627" w:rsidRDefault="00547D87" w:rsidP="00390EBC">
      <w:r w:rsidRPr="009D4627">
        <w:t xml:space="preserve">In summary, </w:t>
      </w:r>
      <w:r w:rsidR="00D91AAB" w:rsidRPr="009D4627">
        <w:t>SP</w:t>
      </w:r>
      <w:r w:rsidRPr="009D4627">
        <w:t xml:space="preserve"> assessment depends on the selection of </w:t>
      </w:r>
      <w:r w:rsidR="0002106D" w:rsidRPr="009D4627">
        <w:t xml:space="preserve">the </w:t>
      </w:r>
      <w:r w:rsidR="00F57D01" w:rsidRPr="009D4627">
        <w:t>target</w:t>
      </w:r>
      <w:r w:rsidRPr="009D4627">
        <w:t xml:space="preserve"> waveform, either sinusoidal or ramp (constant velocity triangular wave). Previous studies have explored normative </w:t>
      </w:r>
      <w:r w:rsidR="00D91AAB" w:rsidRPr="009D4627">
        <w:t>SP</w:t>
      </w:r>
      <w:r w:rsidRPr="009D4627">
        <w:t xml:space="preserve"> among different age groups to investigate the physiological changes due to the ageing process </w:t>
      </w:r>
      <w:r w:rsidRPr="009D4627">
        <w:fldChar w:fldCharType="begin"/>
      </w:r>
      <w:r w:rsidR="00376CCD" w:rsidRPr="009D4627">
        <w:instrText xml:space="preserve"> ADDIN EN.CITE &lt;EndNote&gt;&lt;Cite&gt;&lt;Author&gt;Morrow&lt;/Author&gt;&lt;Year&gt;1993&lt;/Year&gt;&lt;IDText&gt;Smooth pursuit initiation in young and elderly subjects&lt;/IDText&gt;&lt;DisplayText&gt;(Morrow &amp;amp; Sharpe, 1993)&lt;/DisplayText&gt;&lt;record&gt;&lt;keywords&gt;&lt;keyword&gt;Smooth Pursuit&lt;/keyword&gt;&lt;keyword&gt;Aging&lt;/keyword&gt;&lt;keyword&gt;Pursuit Initiation&lt;/keyword&gt;&lt;keyword&gt;Saccades&lt;/keyword&gt;&lt;keyword&gt;Smooth Pursuit&lt;/keyword&gt;&lt;keyword&gt;Aging&lt;/keyword&gt;&lt;keyword&gt;Pursuit Initiation&lt;/keyword&gt;&lt;keyword&gt;Saccades&lt;/keyword&gt;&lt;keyword&gt;Medicine&lt;/keyword&gt;&lt;keyword&gt;Anatomy &amp;amp; Physiology&lt;/keyword&gt;&lt;/keywords&gt;&lt;isbn&gt;0042-6989&lt;/isbn&gt;&lt;titles&gt;&lt;title&gt;Smooth pursuit initiation in young and elderly subjects&lt;/title&gt;&lt;secondary-title&gt;Vision Research&lt;/secondary-title&gt;&lt;/titles&gt;&lt;pages&gt;203-210&lt;/pages&gt;&lt;number&gt;2&lt;/number&gt;&lt;contributors&gt;&lt;authors&gt;&lt;author&gt;Morrow, Mark J.&lt;/author&gt;&lt;author&gt;Sharpe, James A.&lt;/author&gt;&lt;/authors&gt;&lt;/contributors&gt;&lt;added-date format="utc"&gt;1583072961&lt;/added-date&gt;&lt;ref-type name="Journal Article"&gt;17&lt;/ref-type&gt;&lt;dates&gt;&lt;year&gt;1993&lt;/year&gt;&lt;/dates&gt;&lt;rec-number&gt;670&lt;/rec-number&gt;&lt;last-updated-date format="utc"&gt;1583072961&lt;/last-updated-date&gt;&lt;electronic-resource-num&gt;10.1016/0042-6989(93)90158-S&lt;/electronic-resource-num&gt;&lt;volume&gt;33&lt;/volume&gt;&lt;/record&gt;&lt;/Cite&gt;&lt;/EndNote&gt;</w:instrText>
      </w:r>
      <w:r w:rsidRPr="009D4627">
        <w:fldChar w:fldCharType="separate"/>
      </w:r>
      <w:r w:rsidR="00376CCD" w:rsidRPr="009D4627">
        <w:rPr>
          <w:noProof/>
        </w:rPr>
        <w:t>(Morrow &amp; Sharpe, 1993)</w:t>
      </w:r>
      <w:r w:rsidRPr="009D4627">
        <w:fldChar w:fldCharType="end"/>
      </w:r>
      <w:r w:rsidRPr="009D4627">
        <w:t xml:space="preserve">. </w:t>
      </w:r>
      <w:r w:rsidR="0002106D" w:rsidRPr="009D4627">
        <w:t>Studies</w:t>
      </w:r>
      <w:r w:rsidRPr="009D4627">
        <w:t xml:space="preserve"> on the </w:t>
      </w:r>
      <w:r w:rsidR="00D91AAB" w:rsidRPr="009D4627">
        <w:t>SP</w:t>
      </w:r>
      <w:r w:rsidRPr="009D4627">
        <w:t xml:space="preserve"> system </w:t>
      </w:r>
      <w:r w:rsidR="0002106D" w:rsidRPr="009D4627">
        <w:t xml:space="preserve">have </w:t>
      </w:r>
      <w:r w:rsidRPr="009D4627">
        <w:t>also</w:t>
      </w:r>
      <w:r w:rsidR="0002106D" w:rsidRPr="009D4627">
        <w:t xml:space="preserve"> been</w:t>
      </w:r>
      <w:r w:rsidRPr="009D4627">
        <w:t xml:space="preserve"> conducted to establish</w:t>
      </w:r>
      <w:r w:rsidR="0002106D" w:rsidRPr="009D4627">
        <w:t xml:space="preserve"> </w:t>
      </w:r>
      <w:r w:rsidRPr="009D4627">
        <w:t xml:space="preserve">normative data, allowing for the comparison with the pathological groups such as </w:t>
      </w:r>
      <w:r w:rsidR="0002106D" w:rsidRPr="009D4627">
        <w:t xml:space="preserve">those with </w:t>
      </w:r>
      <w:r w:rsidRPr="009D4627">
        <w:t xml:space="preserve">schizophrenia </w:t>
      </w:r>
      <w:r w:rsidRPr="009D4627">
        <w:fldChar w:fldCharType="begin">
          <w:fldData xml:space="preserve">PEVuZE5vdGU+PENpdGU+PEF1dGhvcj5BYmVsPC9BdXRob3I+PFllYXI+MTk5MTwvWWVhcj48SURU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==
</w:fldData>
        </w:fldChar>
      </w:r>
      <w:r w:rsidR="00C40138" w:rsidRPr="009D4627">
        <w:instrText xml:space="preserve"> ADDIN EN.CITE </w:instrText>
      </w:r>
      <w:r w:rsidR="00C40138" w:rsidRPr="009D4627">
        <w:fldChar w:fldCharType="begin">
          <w:fldData xml:space="preserve">PEVuZE5vdGU+PENpdGU+PEF1dGhvcj5BYmVsPC9BdXRob3I+PFllYXI+MTk5MTwvWWVhcj48SURU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==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(Abel et al., 1991; Friedman et al., 1995)</w:t>
      </w:r>
      <w:r w:rsidRPr="009D4627">
        <w:fldChar w:fldCharType="end"/>
      </w:r>
      <w:r w:rsidRPr="009D4627">
        <w:t xml:space="preserve">, abnormal nystagmus </w:t>
      </w:r>
      <w:r w:rsidRPr="009D4627">
        <w:fldChar w:fldCharType="begin"/>
      </w:r>
      <w:r w:rsidR="00C40138" w:rsidRPr="009D4627">
        <w:instrText xml:space="preserve"> ADDIN EN.CITE &lt;EndNote&gt;&lt;Cite&gt;&lt;Author&gt;Papageorgiou&lt;/Author&gt;&lt;Year&gt;2014&lt;/Year&gt;&lt;IDText&gt;Nystagmus in Childhood&lt;/IDText&gt;&lt;DisplayText&gt;(Papageorgiou et al., 2014)&lt;/DisplayText&gt;&lt;record&gt;&lt;keywords&gt;&lt;keyword&gt;Abnormal Head Posture&lt;/keyword&gt;&lt;keyword&gt;Albinism&lt;/keyword&gt;&lt;keyword&gt;Eye Movement Recordings&lt;/keyword&gt;&lt;keyword&gt;Head Posture&lt;/keyword&gt;&lt;keyword&gt;Idiopathic Infantile Nystagmus&lt;/keyword&gt;&lt;keyword&gt;Manifest Latent Nystagmus&lt;/keyword&gt;&lt;keyword&gt;Medicine&lt;/keyword&gt;&lt;/keywords&gt;&lt;isbn&gt;1875-9572&lt;/isbn&gt;&lt;titles&gt;&lt;title&gt;Nystagmus in Childhood&lt;/title&gt;&lt;secondary-title&gt;Pediatrics &amp;amp; Neonatology&lt;/secondary-title&gt;&lt;/titles&gt;&lt;pages&gt;341-351&lt;/pages&gt;&lt;number&gt;5&lt;/number&gt;&lt;contributors&gt;&lt;authors&gt;&lt;author&gt;Papageorgiou, Eleni&lt;/author&gt;&lt;author&gt;McLean, Rebecca J.&lt;/author&gt;&lt;author&gt;Gottlob, Irene&lt;/author&gt;&lt;/authors&gt;&lt;/contributors&gt;&lt;added-date format="utc"&gt;1571825112&lt;/added-date&gt;&lt;ref-type name="Journal Article"&gt;17&lt;/ref-type&gt;&lt;dates&gt;&lt;year&gt;2014&lt;/year&gt;&lt;/dates&gt;&lt;rec-number&gt;606&lt;/rec-number&gt;&lt;last-updated-date format="utc"&gt;1571825112&lt;/last-updated-date&gt;&lt;electronic-resource-num&gt;10.1016/j.pedneo.2014.02.007&lt;/electronic-resource-num&gt;&lt;volume&gt;55&lt;/volume&gt;&lt;/record&gt;&lt;/Cite&gt;&lt;/EndNote&gt;</w:instrText>
      </w:r>
      <w:r w:rsidRPr="009D4627">
        <w:fldChar w:fldCharType="separate"/>
      </w:r>
      <w:r w:rsidR="00C40138" w:rsidRPr="009D4627">
        <w:rPr>
          <w:noProof/>
        </w:rPr>
        <w:t>(Papageorgiou et al., 2014)</w:t>
      </w:r>
      <w:r w:rsidRPr="009D4627">
        <w:fldChar w:fldCharType="end"/>
      </w:r>
      <w:r w:rsidRPr="009D4627">
        <w:t xml:space="preserve"> and other neurological disorders (</w:t>
      </w:r>
      <w:r w:rsidR="003B46EB" w:rsidRPr="009D4627">
        <w:t xml:space="preserve">please </w:t>
      </w:r>
      <w:r w:rsidRPr="009D4627">
        <w:t>refer to section 1.</w:t>
      </w:r>
      <w:r w:rsidR="00D80280" w:rsidRPr="009D4627">
        <w:t>5</w:t>
      </w:r>
      <w:r w:rsidRPr="009D4627">
        <w:t>.</w:t>
      </w:r>
      <w:r w:rsidR="00D80280" w:rsidRPr="009D4627">
        <w:t>3</w:t>
      </w:r>
      <w:r w:rsidRPr="009D4627">
        <w:t xml:space="preserve">). </w:t>
      </w:r>
    </w:p>
    <w:p w14:paraId="20E6A34E" w14:textId="77777777" w:rsidR="00F30129" w:rsidRPr="009D4627" w:rsidRDefault="00F30129" w:rsidP="00DC4CA6">
      <w:pPr>
        <w:pStyle w:val="Heading3"/>
      </w:pPr>
      <w:bookmarkStart w:id="36" w:name="_Toc98964616"/>
      <w:bookmarkStart w:id="37" w:name="_Toc103344661"/>
      <w:r w:rsidRPr="009D4627">
        <w:t>Saccades</w:t>
      </w:r>
      <w:bookmarkEnd w:id="36"/>
      <w:bookmarkEnd w:id="37"/>
    </w:p>
    <w:p w14:paraId="4B13A7B3" w14:textId="5AF0A8DB" w:rsidR="00F30129" w:rsidRPr="009D4627" w:rsidRDefault="00F30129" w:rsidP="00F30129">
      <w:pPr>
        <w:rPr>
          <w:rFonts w:eastAsia="DengXian"/>
          <w:b/>
          <w:bCs/>
          <w:noProof/>
          <w:sz w:val="20"/>
          <w:szCs w:val="20"/>
        </w:rPr>
      </w:pPr>
      <w:r w:rsidRPr="009D4627">
        <w:t>Saccades</w:t>
      </w:r>
      <w:r w:rsidR="0002106D" w:rsidRPr="009D4627">
        <w:t xml:space="preserve"> are generally</w:t>
      </w:r>
      <w:r w:rsidRPr="009D4627">
        <w:t xml:space="preserve"> accurate, ballistic and high</w:t>
      </w:r>
      <w:r w:rsidR="00AE6F60" w:rsidRPr="009D4627">
        <w:t>-</w:t>
      </w:r>
      <w:r w:rsidRPr="009D4627">
        <w:t xml:space="preserve">velocity eye movements that occur due to abrupt change of the visual fixation from one fixation object to a new object of interest </w:t>
      </w:r>
      <w:r w:rsidRPr="009D4627">
        <w:fldChar w:fldCharType="begin"/>
      </w:r>
      <w:r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Pr="009D4627">
        <w:rPr>
          <w:noProof/>
        </w:rPr>
        <w:t>(Ciuffreda &amp; Tannen, 1995)</w:t>
      </w:r>
      <w:r w:rsidRPr="009D4627">
        <w:fldChar w:fldCharType="end"/>
      </w:r>
      <w:r w:rsidRPr="009D4627">
        <w:t xml:space="preserve">. Saccades of less than 15° amplitudes are reported as the most </w:t>
      </w:r>
      <w:r w:rsidR="0002106D" w:rsidRPr="009D4627">
        <w:t>common eye movement</w:t>
      </w:r>
      <w:r w:rsidR="00464806" w:rsidRPr="009D4627">
        <w:t>s</w:t>
      </w:r>
      <w:r w:rsidR="0002106D" w:rsidRPr="009D4627">
        <w:t xml:space="preserve"> </w:t>
      </w:r>
      <w:r w:rsidRPr="009D4627">
        <w:t xml:space="preserve">in daily life </w:t>
      </w:r>
      <w:r w:rsidRPr="009D4627">
        <w:fldChar w:fldCharType="begin"/>
      </w:r>
      <w:r w:rsidR="00C40138" w:rsidRPr="009D4627">
        <w:instrText xml:space="preserve"> ADDIN EN.CITE &lt;EndNote&gt;&lt;Cite&gt;&lt;Author&gt;Bahill&lt;/Author&gt;&lt;Year&gt;1975&lt;/Year&gt;&lt;IDText&gt;Most naturally occurring human saccades have magnitudes of 15 degrees or less.&lt;/IDText&gt;&lt;DisplayText&gt;(A.T. Bahill et al., 1975)&lt;/DisplayText&gt;&lt;record&gt;&lt;titles&gt;&lt;title&gt;Most naturally occurring human saccades have magnitudes of 15 degrees or less.&lt;/title&gt;&lt;/titles&gt;&lt;titles&gt;&lt;secondary-title&gt;&lt;style font="default" size="100%"&gt;I&lt;/style&gt;&lt;style face="italic" font="default" size="100%"&gt;nvestigative Ophthalmology &amp;amp; Visual Science&lt;/style&gt;&lt;/secondary-title&gt;&lt;/titles&gt;&lt;pages&gt;468-469    &lt;/pages&gt;&lt;number&gt;6&lt;/number&gt;&lt;contributors&gt;&lt;authors&gt;&lt;author&gt;Bahill, A.T.&lt;/author&gt;&lt;author&gt;Adler, D.&lt;/author&gt;&lt;author&gt;Stark, L.&lt;/author&gt;&lt;/authors&gt;&lt;/contributors&gt;&lt;added-date format="utc"&gt;1582629240&lt;/added-date&gt;&lt;ref-type name="Journal Article"&gt;17&lt;/ref-type&gt;&lt;dates&gt;&lt;year&gt;1975&lt;/year&gt;&lt;/dates&gt;&lt;rec-number&gt;652&lt;/rec-number&gt;&lt;last-updated-date format="utc"&gt;1582629498&lt;/last-updated-date&gt;&lt;volume&gt;&lt;style font="default" size="100%"&gt;1&lt;/style&gt;&lt;style face="italic" font="default" size="100%"&gt;4&lt;/style&gt;&lt;/volume&gt;&lt;num-vols&gt;6   &lt;/num-vols&gt;&lt;/record&gt;&lt;/Cite&gt;&lt;/EndNote&gt;</w:instrText>
      </w:r>
      <w:r w:rsidRPr="009D4627">
        <w:fldChar w:fldCharType="separate"/>
      </w:r>
      <w:r w:rsidR="00C40138" w:rsidRPr="009D4627">
        <w:rPr>
          <w:noProof/>
        </w:rPr>
        <w:t>(A.T. Bahill et al., 1975)</w:t>
      </w:r>
      <w:r w:rsidRPr="009D4627">
        <w:fldChar w:fldCharType="end"/>
      </w:r>
      <w:r w:rsidRPr="009D4627">
        <w:t xml:space="preserve">. A study reported that normative values of </w:t>
      </w:r>
      <w:r w:rsidR="00D91AAB" w:rsidRPr="009D4627">
        <w:t>saccad</w:t>
      </w:r>
      <w:r w:rsidR="00944720" w:rsidRPr="009D4627">
        <w:t>ic</w:t>
      </w:r>
      <w:r w:rsidRPr="009D4627">
        <w:t xml:space="preserve"> parameters vary depending on age range and testing paradigms </w:t>
      </w:r>
      <w:r w:rsidRPr="009D4627">
        <w:fldChar w:fldCharType="begin"/>
      </w:r>
      <w:r w:rsidR="00C40138" w:rsidRPr="009D4627">
        <w:instrText xml:space="preserve"> ADDIN EN.CITE &lt;EndNote&gt;&lt;Cite&gt;&lt;Author&gt;Hopf&lt;/Author&gt;&lt;Year&gt;2018&lt;/Year&gt;&lt;IDText&gt;Age dependent normative data of vertical and horizontal reflexive saccades&lt;/IDText&gt;&lt;DisplayText&gt;(Hopf et al., 2018)&lt;/DisplayText&gt;&lt;record&gt;&lt;keywords&gt;&lt;keyword&gt;Germany&lt;/keyword&gt;&lt;keyword&gt;Velocity&lt;/keyword&gt;&lt;keyword&gt;Eye Movements&lt;/keyword&gt;&lt;keyword&gt;Age Factors&lt;/keyword&gt;&lt;keyword&gt;Feasibility Studies&lt;/keyword&gt;&lt;keyword&gt;Adolescence&lt;/keyword&gt;&lt;keyword&gt;Age&lt;/keyword&gt;&lt;keyword&gt;Children&lt;/keyword&gt;&lt;keyword&gt;Velocity&lt;/keyword&gt;&lt;keyword&gt;Aging&lt;/keyword&gt;&lt;keyword&gt;Elderly People&lt;/keyword&gt;&lt;keyword&gt;Age&lt;/keyword&gt;&lt;keyword&gt;Displacement&lt;/keyword&gt;&lt;keyword&gt;Recording&lt;/keyword&gt;&lt;keyword&gt;Children&lt;/keyword&gt;&lt;keyword&gt;Older People&lt;/keyword&gt;&lt;keyword&gt;Geriatrics&lt;/keyword&gt;&lt;keyword&gt;Latency&lt;/keyword&gt;&lt;keyword&gt;Elderly&lt;/keyword&gt;&lt;keyword&gt;Confidence Intervals&lt;/keyword&gt;&lt;keyword&gt;Adolescents&lt;/keyword&gt;&lt;keyword&gt;Isometric&lt;/keyword&gt;&lt;keyword&gt;Velocity&lt;/keyword&gt;&lt;keyword&gt;Children&lt;/keyword&gt;&lt;keyword&gt;Eye Movements&lt;/keyword&gt;&lt;keyword&gt;Reaction Time&lt;/keyword&gt;&lt;keyword&gt;Age Groups&lt;/keyword&gt;&lt;keyword&gt;Eyes&lt;/keyword&gt;&lt;keyword&gt;Vision&lt;/keyword&gt;&lt;keyword&gt;Attention&lt;/keyword&gt;&lt;keyword&gt;Elderly&lt;/keyword&gt;&lt;keyword&gt;Visual Acuity&lt;/keyword&gt;&lt;/keywords&gt;&lt;titles&gt;&lt;title&gt;Age dependent normative data of vertical and horizontal reflexive saccades&lt;/title&gt;&lt;secondary-title&gt;PLoS One&lt;/secondary-title&gt;&lt;/titles&gt;&lt;pages&gt;e0204008&lt;/pages&gt;&lt;number&gt;9&lt;/number&gt;&lt;contributors&gt;&lt;authors&gt;&lt;author&gt;Hopf, Susanne&lt;/author&gt;&lt;author&gt;Schmidtmann, Irene&lt;/author&gt;&lt;author&gt;Ashayer, Shahrzad&lt;/author&gt;&lt;author&gt;Pitz, Susanne&lt;/author&gt;&lt;/authors&gt;&lt;/contributors&gt;&lt;added-date format="utc"&gt;1564395907&lt;/added-date&gt;&lt;pub-location&gt;San Francisco&lt;/pub-location&gt;&lt;ref-type name="Journal Article"&gt;17&lt;/ref-type&gt;&lt;dates&gt;&lt;year&gt;2018&lt;/year&gt;&lt;/dates&gt;&lt;rec-number&gt;560&lt;/rec-number&gt;&lt;last-updated-date format="utc"&gt;1564395907&lt;/last-updated-date&gt;&lt;electronic-resource-num&gt;10.1371/journal.pone.0204008&lt;/electronic-resource-num&gt;&lt;volume&gt;13&lt;/volume&gt;&lt;/record&gt;&lt;/Cite&gt;&lt;/EndNote&gt;</w:instrText>
      </w:r>
      <w:r w:rsidRPr="009D4627">
        <w:fldChar w:fldCharType="separate"/>
      </w:r>
      <w:r w:rsidR="00C40138" w:rsidRPr="009D4627">
        <w:rPr>
          <w:noProof/>
        </w:rPr>
        <w:t xml:space="preserve">(Hopf et al., </w:t>
      </w:r>
      <w:r w:rsidR="00C40138" w:rsidRPr="009D4627">
        <w:rPr>
          <w:noProof/>
        </w:rPr>
        <w:lastRenderedPageBreak/>
        <w:t>2018)</w:t>
      </w:r>
      <w:r w:rsidRPr="009D4627">
        <w:fldChar w:fldCharType="end"/>
      </w:r>
      <w:r w:rsidRPr="009D4627">
        <w:t>.  They suggested that saccad</w:t>
      </w:r>
      <w:r w:rsidR="00944720" w:rsidRPr="009D4627">
        <w:t>ic</w:t>
      </w:r>
      <w:r w:rsidRPr="009D4627">
        <w:t xml:space="preserve"> latency </w:t>
      </w:r>
      <w:r w:rsidR="00AE6F60" w:rsidRPr="009D4627">
        <w:t xml:space="preserve">was </w:t>
      </w:r>
      <w:r w:rsidRPr="009D4627">
        <w:t>reduced with ageing, but the gain and velocity were affected by the degree of target displacement regardless of ageing. There are three saccad</w:t>
      </w:r>
      <w:r w:rsidR="00944720" w:rsidRPr="009D4627">
        <w:t>ic</w:t>
      </w:r>
      <w:r w:rsidRPr="009D4627">
        <w:t xml:space="preserve"> parameters to assess saccad</w:t>
      </w:r>
      <w:r w:rsidR="00944720" w:rsidRPr="009D4627">
        <w:t>ic</w:t>
      </w:r>
      <w:r w:rsidRPr="009D4627">
        <w:t xml:space="preserve"> performance quantitatively</w:t>
      </w:r>
      <w:r w:rsidR="00464806" w:rsidRPr="009D4627">
        <w:t>:</w:t>
      </w:r>
      <w:r w:rsidRPr="009D4627">
        <w:t xml:space="preserve"> latency</w:t>
      </w:r>
      <w:r w:rsidR="00AE6F60" w:rsidRPr="009D4627">
        <w:t>,</w:t>
      </w:r>
      <w:r w:rsidRPr="009D4627">
        <w:t xml:space="preserve"> peak velocity and gain </w:t>
      </w:r>
      <w:r w:rsidRPr="009D4627">
        <w:fldChar w:fldCharType="begin"/>
      </w:r>
      <w:r w:rsidRPr="009D4627">
        <w:instrText xml:space="preserve"> ADDIN EN.CITE &lt;EndNote&gt;&lt;Cite&gt;&lt;Author&gt;Hain&lt;/Author&gt;&lt;Year&gt;1997&lt;/Year&gt;&lt;IDText&gt;Interpretation and usefulness of ocular motility testing&lt;/IDText&gt;&lt;DisplayText&gt;(Hain, 1997)&lt;/DisplayText&gt;&lt;record&gt;&lt;titles&gt;&lt;title&gt;Interpretation and usefulness of ocular motility testing&lt;/title&gt;&lt;secondary-title&gt;Handbook of balance function testing&lt;/secondary-title&gt;&lt;/titles&gt;&lt;pages&gt;101-122&lt;/pages&gt;&lt;contributors&gt;&lt;authors&gt;&lt;author&gt;Hain, Timothy C&lt;/author&gt;&lt;/authors&gt;&lt;/contributors&gt;&lt;section&gt;6&lt;/section&gt;&lt;added-date format="utc"&gt;1511978258&lt;/added-date&gt;&lt;pub-location&gt;San Diego, California&lt;/pub-location&gt;&lt;ref-type name="Book Section"&gt;5&lt;/ref-type&gt;&lt;dates&gt;&lt;year&gt;1997&lt;/year&gt;&lt;/dates&gt;&lt;rec-number&gt;197&lt;/rec-number&gt;&lt;last-updated-date format="utc"&gt;1511978510&lt;/last-updated-date&gt;&lt;/record&gt;&lt;/Cite&gt;&lt;/EndNote&gt;</w:instrText>
      </w:r>
      <w:r w:rsidRPr="009D4627">
        <w:fldChar w:fldCharType="separate"/>
      </w:r>
      <w:r w:rsidRPr="009D4627">
        <w:rPr>
          <w:noProof/>
        </w:rPr>
        <w:t>(Hain, 1997)</w:t>
      </w:r>
      <w:r w:rsidRPr="009D4627">
        <w:fldChar w:fldCharType="end"/>
      </w:r>
      <w:r w:rsidRPr="009D4627">
        <w:t xml:space="preserve">, as demonstrated in </w:t>
      </w:r>
      <w:r w:rsidR="00D91AAB" w:rsidRPr="009D4627">
        <w:t>Figure</w:t>
      </w:r>
      <w:r w:rsidRPr="009D4627">
        <w:t xml:space="preserve"> 1.</w:t>
      </w:r>
      <w:r w:rsidR="00D91AAB" w:rsidRPr="009D4627">
        <w:t>5</w:t>
      </w:r>
      <w:r w:rsidRPr="009D4627">
        <w:t>.  This section will introduce the definition and factors affecting each of these parameters.</w:t>
      </w:r>
      <w:r w:rsidRPr="009D4627">
        <w:rPr>
          <w:rFonts w:eastAsia="DengXian"/>
          <w:b/>
          <w:bCs/>
          <w:noProof/>
          <w:sz w:val="20"/>
          <w:szCs w:val="20"/>
        </w:rPr>
        <w:t xml:space="preserve"> </w:t>
      </w:r>
    </w:p>
    <w:p w14:paraId="4C1558FD" w14:textId="5A5D408E" w:rsidR="00F30129" w:rsidRPr="009D4627" w:rsidRDefault="00A2792E" w:rsidP="00397DD6">
      <w:pPr>
        <w:spacing w:line="240" w:lineRule="auto"/>
      </w:pPr>
      <w:r w:rsidRPr="009D4627">
        <w:rPr>
          <w:noProof/>
        </w:rPr>
        <mc:AlternateContent>
          <mc:Choice Requires="wpg">
            <w:drawing>
              <wp:inline distT="0" distB="0" distL="0" distR="0" wp14:anchorId="5A21ECB7" wp14:editId="6E66A431">
                <wp:extent cx="5648325" cy="3402965"/>
                <wp:effectExtent l="0" t="0" r="0" b="0"/>
                <wp:docPr id="24443" name="Group 24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8325" cy="3402965"/>
                          <a:chOff x="0" y="0"/>
                          <a:chExt cx="56483" cy="34028"/>
                        </a:xfrm>
                      </wpg:grpSpPr>
                      <wpg:grpSp>
                        <wpg:cNvPr id="24444" name="Group 8"/>
                        <wpg:cNvGrpSpPr>
                          <a:grpSpLocks/>
                        </wpg:cNvGrpSpPr>
                        <wpg:grpSpPr bwMode="auto">
                          <a:xfrm>
                            <a:off x="0" y="2126"/>
                            <a:ext cx="56483" cy="31902"/>
                            <a:chOff x="0" y="0"/>
                            <a:chExt cx="56483" cy="31902"/>
                          </a:xfrm>
                        </wpg:grpSpPr>
                        <pic:pic xmlns:pic="http://schemas.openxmlformats.org/drawingml/2006/picture">
                          <pic:nvPicPr>
                            <pic:cNvPr id="24445" name="Picture 9"/>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56483" cy="31902"/>
                            </a:xfrm>
                            <a:prstGeom prst="rect">
                              <a:avLst/>
                            </a:prstGeom>
                            <a:noFill/>
                          </pic:spPr>
                        </pic:pic>
                        <wps:wsp>
                          <wps:cNvPr id="24446" name="Text Box 1945"/>
                          <wps:cNvSpPr txBox="1">
                            <a:spLocks noChangeArrowheads="1"/>
                          </wps:cNvSpPr>
                          <wps:spPr bwMode="auto">
                            <a:xfrm>
                              <a:off x="24667" y="24344"/>
                              <a:ext cx="6223" cy="1803"/>
                            </a:xfrm>
                            <a:prstGeom prst="rect">
                              <a:avLst/>
                            </a:prstGeom>
                            <a:solidFill>
                              <a:srgbClr val="FFFFFF"/>
                            </a:solidFill>
                            <a:ln>
                              <a:noFill/>
                            </a:ln>
                          </wps:spPr>
                          <wps:txbx>
                            <w:txbxContent>
                              <w:p w14:paraId="42EDB5C3" w14:textId="77777777" w:rsidR="00527127" w:rsidRDefault="00527127" w:rsidP="00147455">
                                <w:pPr>
                                  <w:spacing w:before="0" w:line="240" w:lineRule="auto"/>
                                  <w:jc w:val="center"/>
                                </w:pPr>
                                <w:r>
                                  <w:t>latency</w:t>
                                </w:r>
                              </w:p>
                            </w:txbxContent>
                          </wps:txbx>
                          <wps:bodyPr rot="0" vert="horz" wrap="square" lIns="0" tIns="0" rIns="0" bIns="0" anchor="t" anchorCtr="0" upright="1">
                            <a:noAutofit/>
                          </wps:bodyPr>
                        </wps:wsp>
                      </wpg:grpSp>
                      <wpg:grpSp>
                        <wpg:cNvPr id="24447" name="Group 11"/>
                        <wpg:cNvGrpSpPr>
                          <a:grpSpLocks/>
                        </wpg:cNvGrpSpPr>
                        <wpg:grpSpPr bwMode="auto">
                          <a:xfrm>
                            <a:off x="1701" y="0"/>
                            <a:ext cx="33591" cy="26262"/>
                            <a:chOff x="0" y="0"/>
                            <a:chExt cx="33591" cy="26262"/>
                          </a:xfrm>
                        </wpg:grpSpPr>
                        <wps:wsp>
                          <wps:cNvPr id="24448" name="Straight Arrow Connector 12"/>
                          <wps:cNvCnPr>
                            <a:cxnSpLocks noChangeShapeType="1"/>
                          </wps:cNvCnPr>
                          <wps:spPr bwMode="auto">
                            <a:xfrm>
                              <a:off x="23710" y="26262"/>
                              <a:ext cx="4253" cy="0"/>
                            </a:xfrm>
                            <a:prstGeom prst="straightConnector1">
                              <a:avLst/>
                            </a:prstGeom>
                            <a:noFill/>
                            <a:ln w="12700">
                              <a:solidFill>
                                <a:schemeClr val="accent1">
                                  <a:lumMod val="50000"/>
                                  <a:lumOff val="0"/>
                                </a:schemeClr>
                              </a:solidFill>
                              <a:miter lim="800000"/>
                              <a:headEnd type="triangle" w="med" len="med"/>
                              <a:tailEnd type="triangle" w="med" len="med"/>
                            </a:ln>
                          </wps:spPr>
                          <wps:bodyPr/>
                        </wps:wsp>
                        <wpg:grpSp>
                          <wpg:cNvPr id="24449" name="Group 1948"/>
                          <wpg:cNvGrpSpPr>
                            <a:grpSpLocks/>
                          </wpg:cNvGrpSpPr>
                          <wpg:grpSpPr bwMode="auto">
                            <a:xfrm>
                              <a:off x="0" y="0"/>
                              <a:ext cx="33591" cy="25047"/>
                              <a:chOff x="0" y="0"/>
                              <a:chExt cx="33591" cy="25047"/>
                            </a:xfrm>
                          </wpg:grpSpPr>
                          <wpg:grpSp>
                            <wpg:cNvPr id="24450" name="Group 1949"/>
                            <wpg:cNvGrpSpPr>
                              <a:grpSpLocks/>
                            </wpg:cNvGrpSpPr>
                            <wpg:grpSpPr bwMode="auto">
                              <a:xfrm>
                                <a:off x="0" y="18819"/>
                                <a:ext cx="4033" cy="1969"/>
                                <a:chOff x="0" y="0"/>
                                <a:chExt cx="403314" cy="196850"/>
                              </a:xfrm>
                            </wpg:grpSpPr>
                            <wps:wsp>
                              <wps:cNvPr id="24451" name="Text Box 1950"/>
                              <wps:cNvSpPr txBox="1">
                                <a:spLocks noChangeArrowheads="1"/>
                              </wps:cNvSpPr>
                              <wps:spPr bwMode="auto">
                                <a:xfrm>
                                  <a:off x="202019" y="0"/>
                                  <a:ext cx="201295" cy="196850"/>
                                </a:xfrm>
                                <a:prstGeom prst="rect">
                                  <a:avLst/>
                                </a:prstGeom>
                                <a:solidFill>
                                  <a:srgbClr val="FFFFFF"/>
                                </a:solidFill>
                                <a:ln>
                                  <a:noFill/>
                                </a:ln>
                              </wps:spPr>
                              <wps:txbx>
                                <w:txbxContent>
                                  <w:p w14:paraId="3462DD1F" w14:textId="77777777" w:rsidR="00527127" w:rsidRPr="001D068E" w:rsidRDefault="00527127" w:rsidP="00147455">
                                    <w:pPr>
                                      <w:spacing w:before="0" w:line="240" w:lineRule="auto"/>
                                    </w:pPr>
                                    <w:r w:rsidRPr="001D068E">
                                      <w:t>(</w:t>
                                    </w:r>
                                    <w:r>
                                      <w:t>a</w:t>
                                    </w:r>
                                    <w:r w:rsidRPr="001D068E">
                                      <w:t>)</w:t>
                                    </w:r>
                                  </w:p>
                                </w:txbxContent>
                              </wps:txbx>
                              <wps:bodyPr rot="0" vert="horz" wrap="square" lIns="0" tIns="0" rIns="0" bIns="0" anchor="ctr" anchorCtr="0" upright="1">
                                <a:noAutofit/>
                              </wps:bodyPr>
                            </wps:wsp>
                            <wps:wsp>
                              <wps:cNvPr id="24452" name="Straight Arrow Connector 18"/>
                              <wps:cNvCnPr>
                                <a:cxnSpLocks noChangeShapeType="1"/>
                              </wps:cNvCnPr>
                              <wps:spPr bwMode="auto">
                                <a:xfrm flipH="1" flipV="1">
                                  <a:off x="0" y="21266"/>
                                  <a:ext cx="233045" cy="94615"/>
                                </a:xfrm>
                                <a:prstGeom prst="straightConnector1">
                                  <a:avLst/>
                                </a:prstGeom>
                                <a:noFill/>
                                <a:ln w="19050">
                                  <a:solidFill>
                                    <a:schemeClr val="accent1">
                                      <a:lumMod val="50000"/>
                                      <a:lumOff val="0"/>
                                    </a:schemeClr>
                                  </a:solidFill>
                                  <a:miter lim="800000"/>
                                  <a:headEnd/>
                                  <a:tailEnd type="triangle" w="med" len="med"/>
                                </a:ln>
                              </wps:spPr>
                              <wps:bodyPr/>
                            </wps:wsp>
                          </wpg:grpSp>
                          <wpg:grpSp>
                            <wpg:cNvPr id="24453" name="Group 19"/>
                            <wpg:cNvGrpSpPr>
                              <a:grpSpLocks/>
                            </wpg:cNvGrpSpPr>
                            <wpg:grpSpPr bwMode="auto">
                              <a:xfrm>
                                <a:off x="28282" y="0"/>
                                <a:ext cx="2013" cy="5459"/>
                                <a:chOff x="0" y="0"/>
                                <a:chExt cx="2012" cy="5460"/>
                              </a:xfrm>
                            </wpg:grpSpPr>
                            <wps:wsp>
                              <wps:cNvPr id="24454" name="Text Box 1953"/>
                              <wps:cNvSpPr txBox="1">
                                <a:spLocks noChangeArrowheads="1"/>
                              </wps:cNvSpPr>
                              <wps:spPr bwMode="auto">
                                <a:xfrm>
                                  <a:off x="0" y="0"/>
                                  <a:ext cx="2012" cy="1981"/>
                                </a:xfrm>
                                <a:prstGeom prst="rect">
                                  <a:avLst/>
                                </a:prstGeom>
                                <a:solidFill>
                                  <a:srgbClr val="FFFFFF"/>
                                </a:solidFill>
                                <a:ln>
                                  <a:noFill/>
                                </a:ln>
                              </wps:spPr>
                              <wps:txbx>
                                <w:txbxContent>
                                  <w:p w14:paraId="4FC9BB96" w14:textId="77777777" w:rsidR="00527127" w:rsidRPr="001D068E" w:rsidRDefault="00527127" w:rsidP="00147455">
                                    <w:pPr>
                                      <w:spacing w:before="0" w:line="240" w:lineRule="auto"/>
                                    </w:pPr>
                                    <w:r w:rsidRPr="001D068E">
                                      <w:t>(</w:t>
                                    </w:r>
                                    <w:r>
                                      <w:t>d</w:t>
                                    </w:r>
                                    <w:r w:rsidRPr="001D068E">
                                      <w:t>)</w:t>
                                    </w:r>
                                  </w:p>
                                </w:txbxContent>
                              </wps:txbx>
                              <wps:bodyPr rot="0" vert="horz" wrap="square" lIns="0" tIns="0" rIns="0" bIns="0" anchor="ctr" anchorCtr="0" upright="1">
                                <a:noAutofit/>
                              </wps:bodyPr>
                            </wps:wsp>
                            <wps:wsp>
                              <wps:cNvPr id="24455" name="Straight Arrow Connector 22"/>
                              <wps:cNvCnPr>
                                <a:cxnSpLocks noChangeShapeType="1"/>
                              </wps:cNvCnPr>
                              <wps:spPr bwMode="auto">
                                <a:xfrm>
                                  <a:off x="1063" y="2126"/>
                                  <a:ext cx="0" cy="3334"/>
                                </a:xfrm>
                                <a:prstGeom prst="straightConnector1">
                                  <a:avLst/>
                                </a:prstGeom>
                                <a:noFill/>
                                <a:ln w="19050">
                                  <a:solidFill>
                                    <a:schemeClr val="accent1">
                                      <a:lumMod val="50000"/>
                                      <a:lumOff val="0"/>
                                    </a:schemeClr>
                                  </a:solidFill>
                                  <a:miter lim="800000"/>
                                  <a:headEnd/>
                                  <a:tailEnd type="triangle" w="med" len="med"/>
                                </a:ln>
                              </wps:spPr>
                              <wps:bodyPr/>
                            </wps:wsp>
                          </wpg:grpSp>
                          <wpg:grpSp>
                            <wpg:cNvPr id="24456" name="Group 23"/>
                            <wpg:cNvGrpSpPr>
                              <a:grpSpLocks/>
                            </wpg:cNvGrpSpPr>
                            <wpg:grpSpPr bwMode="auto">
                              <a:xfrm>
                                <a:off x="31578" y="0"/>
                                <a:ext cx="2013" cy="4686"/>
                                <a:chOff x="0" y="0"/>
                                <a:chExt cx="201295" cy="468669"/>
                              </a:xfrm>
                            </wpg:grpSpPr>
                            <wps:wsp>
                              <wps:cNvPr id="24457" name="Text Box 1956"/>
                              <wps:cNvSpPr txBox="1">
                                <a:spLocks noChangeArrowheads="1"/>
                              </wps:cNvSpPr>
                              <wps:spPr bwMode="auto">
                                <a:xfrm>
                                  <a:off x="0" y="0"/>
                                  <a:ext cx="201295" cy="198083"/>
                                </a:xfrm>
                                <a:prstGeom prst="rect">
                                  <a:avLst/>
                                </a:prstGeom>
                                <a:solidFill>
                                  <a:srgbClr val="FFFFFF"/>
                                </a:solidFill>
                                <a:ln>
                                  <a:noFill/>
                                </a:ln>
                              </wps:spPr>
                              <wps:txbx>
                                <w:txbxContent>
                                  <w:p w14:paraId="092E54B8" w14:textId="77777777" w:rsidR="00527127" w:rsidRPr="001D068E" w:rsidRDefault="00527127" w:rsidP="00147455">
                                    <w:pPr>
                                      <w:spacing w:before="0" w:line="240" w:lineRule="auto"/>
                                    </w:pPr>
                                    <w:r w:rsidRPr="001D068E">
                                      <w:t>(</w:t>
                                    </w:r>
                                    <w:r>
                                      <w:t>e</w:t>
                                    </w:r>
                                    <w:r w:rsidRPr="001D068E">
                                      <w:t>)</w:t>
                                    </w:r>
                                  </w:p>
                                </w:txbxContent>
                              </wps:txbx>
                              <wps:bodyPr rot="0" vert="horz" wrap="square" lIns="0" tIns="0" rIns="0" bIns="0" anchor="ctr" anchorCtr="0" upright="1">
                                <a:noAutofit/>
                              </wps:bodyPr>
                            </wps:wsp>
                            <wps:wsp>
                              <wps:cNvPr id="24458" name="Straight Arrow Connector 25"/>
                              <wps:cNvCnPr>
                                <a:cxnSpLocks noChangeShapeType="1"/>
                              </wps:cNvCnPr>
                              <wps:spPr bwMode="auto">
                                <a:xfrm>
                                  <a:off x="106326" y="202019"/>
                                  <a:ext cx="0" cy="266650"/>
                                </a:xfrm>
                                <a:prstGeom prst="straightConnector1">
                                  <a:avLst/>
                                </a:prstGeom>
                                <a:noFill/>
                                <a:ln w="19050">
                                  <a:solidFill>
                                    <a:schemeClr val="accent1">
                                      <a:lumMod val="50000"/>
                                      <a:lumOff val="0"/>
                                    </a:schemeClr>
                                  </a:solidFill>
                                  <a:miter lim="800000"/>
                                  <a:headEnd/>
                                  <a:tailEnd type="triangle" w="med" len="med"/>
                                </a:ln>
                              </wps:spPr>
                              <wps:bodyPr/>
                            </wps:wsp>
                          </wpg:grpSp>
                          <wpg:grpSp>
                            <wpg:cNvPr id="24459" name="Group 26"/>
                            <wpg:cNvGrpSpPr>
                              <a:grpSpLocks/>
                            </wpg:cNvGrpSpPr>
                            <wpg:grpSpPr bwMode="auto">
                              <a:xfrm>
                                <a:off x="19670" y="22966"/>
                                <a:ext cx="4246" cy="2081"/>
                                <a:chOff x="0" y="0"/>
                                <a:chExt cx="424578" cy="208118"/>
                              </a:xfrm>
                            </wpg:grpSpPr>
                            <wps:wsp>
                              <wps:cNvPr id="24460" name="Text Box 1959"/>
                              <wps:cNvSpPr txBox="1">
                                <a:spLocks noChangeArrowheads="1"/>
                              </wps:cNvSpPr>
                              <wps:spPr bwMode="auto">
                                <a:xfrm>
                                  <a:off x="0" y="10633"/>
                                  <a:ext cx="201295" cy="197485"/>
                                </a:xfrm>
                                <a:prstGeom prst="rect">
                                  <a:avLst/>
                                </a:prstGeom>
                                <a:solidFill>
                                  <a:srgbClr val="FFFFFF"/>
                                </a:solidFill>
                                <a:ln>
                                  <a:noFill/>
                                </a:ln>
                              </wps:spPr>
                              <wps:txbx>
                                <w:txbxContent>
                                  <w:p w14:paraId="5174C78C" w14:textId="77777777" w:rsidR="00527127" w:rsidRPr="001D068E" w:rsidRDefault="00527127" w:rsidP="00147455">
                                    <w:pPr>
                                      <w:spacing w:before="0" w:after="0" w:line="240" w:lineRule="auto"/>
                                    </w:pPr>
                                    <w:r>
                                      <w:t>(b</w:t>
                                    </w:r>
                                    <w:r w:rsidRPr="001D068E">
                                      <w:t>)</w:t>
                                    </w:r>
                                  </w:p>
                                </w:txbxContent>
                              </wps:txbx>
                              <wps:bodyPr rot="0" vert="horz" wrap="square" lIns="0" tIns="0" rIns="0" bIns="0" anchor="ctr" anchorCtr="0" upright="1">
                                <a:noAutofit/>
                              </wps:bodyPr>
                            </wps:wsp>
                            <wps:wsp>
                              <wps:cNvPr id="24461" name="Straight Arrow Connector 28"/>
                              <wps:cNvCnPr>
                                <a:cxnSpLocks noChangeShapeType="1"/>
                              </wps:cNvCnPr>
                              <wps:spPr bwMode="auto">
                                <a:xfrm flipV="1">
                                  <a:off x="180753" y="0"/>
                                  <a:ext cx="243825" cy="85061"/>
                                </a:xfrm>
                                <a:prstGeom prst="straightConnector1">
                                  <a:avLst/>
                                </a:prstGeom>
                                <a:noFill/>
                                <a:ln w="19050">
                                  <a:solidFill>
                                    <a:schemeClr val="accent1">
                                      <a:lumMod val="50000"/>
                                      <a:lumOff val="0"/>
                                    </a:schemeClr>
                                  </a:solidFill>
                                  <a:miter lim="800000"/>
                                  <a:headEnd/>
                                  <a:tailEnd type="triangle" w="med" len="med"/>
                                </a:ln>
                              </wps:spPr>
                              <wps:bodyPr/>
                            </wps:wsp>
                          </wpg:grpSp>
                          <wpg:grpSp>
                            <wpg:cNvPr id="24462" name="Group 29"/>
                            <wpg:cNvGrpSpPr>
                              <a:grpSpLocks/>
                            </wpg:cNvGrpSpPr>
                            <wpg:grpSpPr bwMode="auto">
                              <a:xfrm>
                                <a:off x="28176" y="22647"/>
                                <a:ext cx="4139" cy="1974"/>
                                <a:chOff x="0" y="0"/>
                                <a:chExt cx="413946" cy="197485"/>
                              </a:xfrm>
                            </wpg:grpSpPr>
                            <wps:wsp>
                              <wps:cNvPr id="24463" name="Text Box 1962"/>
                              <wps:cNvSpPr txBox="1">
                                <a:spLocks noChangeArrowheads="1"/>
                              </wps:cNvSpPr>
                              <wps:spPr bwMode="auto">
                                <a:xfrm>
                                  <a:off x="212651" y="0"/>
                                  <a:ext cx="201295" cy="197485"/>
                                </a:xfrm>
                                <a:prstGeom prst="rect">
                                  <a:avLst/>
                                </a:prstGeom>
                                <a:solidFill>
                                  <a:srgbClr val="FFFFFF"/>
                                </a:solidFill>
                                <a:ln>
                                  <a:noFill/>
                                </a:ln>
                              </wps:spPr>
                              <wps:txbx>
                                <w:txbxContent>
                                  <w:p w14:paraId="08182240" w14:textId="77777777" w:rsidR="00527127" w:rsidRPr="001D068E" w:rsidRDefault="00527127" w:rsidP="00147455">
                                    <w:pPr>
                                      <w:spacing w:before="0" w:line="240" w:lineRule="auto"/>
                                    </w:pPr>
                                    <w:r w:rsidRPr="001D068E">
                                      <w:t>(</w:t>
                                    </w:r>
                                    <w:r>
                                      <w:t>c</w:t>
                                    </w:r>
                                    <w:r w:rsidRPr="001D068E">
                                      <w:t>)</w:t>
                                    </w:r>
                                  </w:p>
                                </w:txbxContent>
                              </wps:txbx>
                              <wps:bodyPr rot="0" vert="horz" wrap="square" lIns="0" tIns="0" rIns="0" bIns="0" anchor="ctr" anchorCtr="0" upright="1">
                                <a:noAutofit/>
                              </wps:bodyPr>
                            </wps:wsp>
                            <wps:wsp>
                              <wps:cNvPr id="24464" name="Straight Arrow Connector 31"/>
                              <wps:cNvCnPr>
                                <a:cxnSpLocks noChangeShapeType="1"/>
                              </wps:cNvCnPr>
                              <wps:spPr bwMode="auto">
                                <a:xfrm flipH="1" flipV="1">
                                  <a:off x="0" y="21266"/>
                                  <a:ext cx="233503" cy="95132"/>
                                </a:xfrm>
                                <a:prstGeom prst="straightConnector1">
                                  <a:avLst/>
                                </a:prstGeom>
                                <a:noFill/>
                                <a:ln w="19050">
                                  <a:solidFill>
                                    <a:schemeClr val="accent1">
                                      <a:lumMod val="50000"/>
                                      <a:lumOff val="0"/>
                                    </a:schemeClr>
                                  </a:solidFill>
                                  <a:miter lim="800000"/>
                                  <a:headEnd/>
                                  <a:tailEnd type="triangle" w="med" len="med"/>
                                </a:ln>
                              </wps:spPr>
                              <wps:bodyPr/>
                            </wps:wsp>
                          </wpg:grpSp>
                        </wpg:grpSp>
                      </wpg:grpSp>
                    </wpg:wgp>
                  </a:graphicData>
                </a:graphic>
              </wp:inline>
            </w:drawing>
          </mc:Choice>
          <mc:Fallback>
            <w:pict>
              <v:group w14:anchorId="5A21ECB7" id="Group 24443" o:spid="_x0000_s1042" style="width:444.75pt;height:267.95pt;mso-position-horizontal-relative:char;mso-position-vertical-relative:line" coordsize="56483,34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">
                <v:group id="Group 8" o:spid="_x0000_s1043" style="position:absolute;top:2126;width:56483;height:31902" coordsize="56483,3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">
                  <v:shape id="Picture 9" o:spid="_x0000_s1044" type="#_x0000_t75" style="position:absolute;width:56483;height:31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">
                    <v:imagedata r:id="rId31" o:title=""/>
                  </v:shape>
                  <v:shape id="Text Box 1945" o:spid="_x0000_s1045" type="#_x0000_t202" style="position:absolute;left:24667;top:24344;width:6223;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" stroked="f">
                    <v:textbox inset="0,0,0,0">
                      <w:txbxContent>
                        <w:p w14:paraId="42EDB5C3" w14:textId="77777777" w:rsidR="00527127" w:rsidRDefault="00527127" w:rsidP="00147455">
                          <w:pPr>
                            <w:spacing w:before="0" w:line="240" w:lineRule="auto"/>
                            <w:jc w:val="center"/>
                          </w:pPr>
                          <w:r>
                            <w:t>latency</w:t>
                          </w:r>
                        </w:p>
                      </w:txbxContent>
                    </v:textbox>
                  </v:shape>
                </v:group>
                <v:group id="_x0000_s1046" style="position:absolute;left:1701;width:33591;height:26262" coordsize="33591,26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">
                  <v:shapetype id="_x0000_t32" coordsize="21600,21600" o:spt="32" o:oned="t" path="m,l21600,21600e" filled="f">
                    <v:path arrowok="t" fillok="f" o:connecttype="none"/>
                    <o:lock v:ext="edit" shapetype="t"/>
                  </v:shapetype>
                  <v:shape id="Straight Arrow Connector 12" o:spid="_x0000_s1047" type="#_x0000_t32" style="position:absolute;left:23710;top:26262;width:42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" strokecolor="#1f3763 [1604]" strokeweight="1pt">
                    <v:stroke startarrow="block" endarrow="block" joinstyle="miter"/>
                  </v:shape>
                  <v:group id="Group 1948" o:spid="_x0000_s1048" style="position:absolute;width:33591;height:25047" coordsize="33591,25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">
                    <v:group id="Group 1949" o:spid="_x0000_s1049" style="position:absolute;top:18819;width:4033;height:1969" coordsize="403314,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">
                      <v:shape id="Text Box 1950" o:spid="_x0000_s1050" type="#_x0000_t202" style="position:absolute;left:202019;width:201295;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" stroked="f">
                        <v:textbox inset="0,0,0,0">
                          <w:txbxContent>
                            <w:p w14:paraId="3462DD1F" w14:textId="77777777" w:rsidR="00527127" w:rsidRPr="001D068E" w:rsidRDefault="00527127" w:rsidP="00147455">
                              <w:pPr>
                                <w:spacing w:before="0" w:line="240" w:lineRule="auto"/>
                              </w:pPr>
                              <w:r w:rsidRPr="001D068E">
                                <w:t>(</w:t>
                              </w:r>
                              <w:r>
                                <w:t>a</w:t>
                              </w:r>
                              <w:r w:rsidRPr="001D068E">
                                <w:t>)</w:t>
                              </w:r>
                            </w:p>
                          </w:txbxContent>
                        </v:textbox>
                      </v:shape>
                      <v:shape id="Straight Arrow Connector 18" o:spid="_x0000_s1051" type="#_x0000_t32" style="position:absolute;top:21266;width:233045;height:946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" strokecolor="#1f3763 [1604]" strokeweight="1.5pt">
                        <v:stroke endarrow="block" joinstyle="miter"/>
                      </v:shape>
                    </v:group>
                    <v:group id="Group 19" o:spid="_x0000_s1052" style="position:absolute;left:28282;width:2013;height:5459" coordsize="2012,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">
                      <v:shape id="Text Box 1953" o:spid="_x0000_s1053" type="#_x0000_t202" style="position:absolute;width:2012;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" stroked="f">
                        <v:textbox inset="0,0,0,0">
                          <w:txbxContent>
                            <w:p w14:paraId="4FC9BB96" w14:textId="77777777" w:rsidR="00527127" w:rsidRPr="001D068E" w:rsidRDefault="00527127" w:rsidP="00147455">
                              <w:pPr>
                                <w:spacing w:before="0" w:line="240" w:lineRule="auto"/>
                              </w:pPr>
                              <w:r w:rsidRPr="001D068E">
                                <w:t>(</w:t>
                              </w:r>
                              <w:r>
                                <w:t>d</w:t>
                              </w:r>
                              <w:r w:rsidRPr="001D068E">
                                <w:t>)</w:t>
                              </w:r>
                            </w:p>
                          </w:txbxContent>
                        </v:textbox>
                      </v:shape>
                      <v:shape id="Straight Arrow Connector 22" o:spid="_x0000_s1054" type="#_x0000_t32" style="position:absolute;left:1063;top:2126;width:0;height:3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" strokecolor="#1f3763 [1604]" strokeweight="1.5pt">
                        <v:stroke endarrow="block" joinstyle="miter"/>
                      </v:shape>
                    </v:group>
                    <v:group id="Group 23" o:spid="_x0000_s1055" style="position:absolute;left:31578;width:2013;height:4686" coordsize="201295,468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">
                      <v:shape id="Text Box 1956" o:spid="_x0000_s1056" type="#_x0000_t202" style="position:absolute;width:201295;height:198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" stroked="f">
                        <v:textbox inset="0,0,0,0">
                          <w:txbxContent>
                            <w:p w14:paraId="092E54B8" w14:textId="77777777" w:rsidR="00527127" w:rsidRPr="001D068E" w:rsidRDefault="00527127" w:rsidP="00147455">
                              <w:pPr>
                                <w:spacing w:before="0" w:line="240" w:lineRule="auto"/>
                              </w:pPr>
                              <w:r w:rsidRPr="001D068E">
                                <w:t>(</w:t>
                              </w:r>
                              <w:r>
                                <w:t>e</w:t>
                              </w:r>
                              <w:r w:rsidRPr="001D068E">
                                <w:t>)</w:t>
                              </w:r>
                            </w:p>
                          </w:txbxContent>
                        </v:textbox>
                      </v:shape>
                      <v:shape id="Straight Arrow Connector 25" o:spid="_x0000_s1057" type="#_x0000_t32" style="position:absolute;left:106326;top:202019;width:0;height:2666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" strokecolor="#1f3763 [1604]" strokeweight="1.5pt">
                        <v:stroke endarrow="block" joinstyle="miter"/>
                      </v:shape>
                    </v:group>
                    <v:group id="Group 26" o:spid="_x0000_s1058" style="position:absolute;left:19670;top:22966;width:4246;height:2081" coordsize="424578,20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">
                      <v:shape id="Text Box 1959" o:spid="_x0000_s1059" type="#_x0000_t202" style="position:absolute;top:10633;width:201295;height:197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" stroked="f">
                        <v:textbox inset="0,0,0,0">
                          <w:txbxContent>
                            <w:p w14:paraId="5174C78C" w14:textId="77777777" w:rsidR="00527127" w:rsidRPr="001D068E" w:rsidRDefault="00527127" w:rsidP="00147455">
                              <w:pPr>
                                <w:spacing w:before="0" w:after="0" w:line="240" w:lineRule="auto"/>
                              </w:pPr>
                              <w:r>
                                <w:t>(b</w:t>
                              </w:r>
                              <w:r w:rsidRPr="001D068E">
                                <w:t>)</w:t>
                              </w:r>
                            </w:p>
                          </w:txbxContent>
                        </v:textbox>
                      </v:shape>
                      <v:shape id="Straight Arrow Connector 28" o:spid="_x0000_s1060" type="#_x0000_t32" style="position:absolute;left:180753;width:243825;height:850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" strokecolor="#1f3763 [1604]" strokeweight="1.5pt">
                        <v:stroke endarrow="block" joinstyle="miter"/>
                      </v:shape>
                    </v:group>
                    <v:group id="Group 29" o:spid="_x0000_s1061" style="position:absolute;left:28176;top:22647;width:4139;height:1974" coordsize="413946,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">
                      <v:shape id="Text Box 1962" o:spid="_x0000_s1062" type="#_x0000_t202" style="position:absolute;left:212651;width:201295;height:197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" stroked="f">
                        <v:textbox inset="0,0,0,0">
                          <w:txbxContent>
                            <w:p w14:paraId="08182240" w14:textId="77777777" w:rsidR="00527127" w:rsidRPr="001D068E" w:rsidRDefault="00527127" w:rsidP="00147455">
                              <w:pPr>
                                <w:spacing w:before="0" w:line="240" w:lineRule="auto"/>
                              </w:pPr>
                              <w:r w:rsidRPr="001D068E">
                                <w:t>(</w:t>
                              </w:r>
                              <w:r>
                                <w:t>c</w:t>
                              </w:r>
                              <w:r w:rsidRPr="001D068E">
                                <w:t>)</w:t>
                              </w:r>
                            </w:p>
                          </w:txbxContent>
                        </v:textbox>
                      </v:shape>
                      <v:shape id="Straight Arrow Connector 31" o:spid="_x0000_s1063" type="#_x0000_t32" style="position:absolute;top:21266;width:233503;height:951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" strokecolor="#1f3763 [1604]" strokeweight="1.5pt">
                        <v:stroke endarrow="block" joinstyle="miter"/>
                      </v:shape>
                    </v:group>
                  </v:group>
                </v:group>
                <w10:anchorlock/>
              </v:group>
            </w:pict>
          </mc:Fallback>
        </mc:AlternateContent>
      </w:r>
    </w:p>
    <w:p w14:paraId="6A03CF61" w14:textId="3F7C4A2B" w:rsidR="00F30129" w:rsidRPr="009D4627" w:rsidRDefault="00397DD6" w:rsidP="00C4130D">
      <w:pPr>
        <w:pStyle w:val="Caption"/>
      </w:pPr>
      <w:bookmarkStart w:id="38" w:name="_Toc73609235"/>
      <w:bookmarkStart w:id="39" w:name="_Toc73804896"/>
      <w:bookmarkStart w:id="40" w:name="_Toc98570006"/>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5</w:t>
      </w:r>
      <w:r w:rsidR="002E63E9" w:rsidRPr="009D4627">
        <w:rPr>
          <w:noProof/>
        </w:rPr>
        <w:fldChar w:fldCharType="end"/>
      </w:r>
      <w:r w:rsidRPr="009D4627">
        <w:t>:</w:t>
      </w:r>
      <w:r w:rsidR="00F30129" w:rsidRPr="009D4627">
        <w:t xml:space="preserve"> A sample of horizontal </w:t>
      </w:r>
      <w:r w:rsidR="00D91AAB" w:rsidRPr="009D4627">
        <w:t>saccad</w:t>
      </w:r>
      <w:r w:rsidR="00944720" w:rsidRPr="009D4627">
        <w:t>ic</w:t>
      </w:r>
      <w:r w:rsidR="00F30129" w:rsidRPr="009D4627">
        <w:t xml:space="preserve"> movements made by a healthy young participant from the current study.</w:t>
      </w:r>
      <w:bookmarkEnd w:id="38"/>
      <w:bookmarkEnd w:id="39"/>
      <w:bookmarkEnd w:id="40"/>
      <w:r w:rsidR="00F30129" w:rsidRPr="009D4627">
        <w:t xml:space="preserve"> </w:t>
      </w:r>
    </w:p>
    <w:p w14:paraId="12107B5F" w14:textId="4B2A9FAC" w:rsidR="00365EB1" w:rsidRPr="009D4627" w:rsidRDefault="00464806" w:rsidP="00365EB1">
      <w:pPr>
        <w:spacing w:before="0" w:after="0" w:line="240" w:lineRule="auto"/>
      </w:pPr>
      <w:r w:rsidRPr="009D4627">
        <w:t>The x-axis represents time in milliseconds (</w:t>
      </w:r>
      <w:proofErr w:type="spellStart"/>
      <w:r w:rsidRPr="009D4627">
        <w:t>ms</w:t>
      </w:r>
      <w:proofErr w:type="spellEnd"/>
      <w:r w:rsidRPr="009D4627">
        <w:t xml:space="preserve">) and the y-axis representing the target and eye position in pixel per degree (PPD) units. </w:t>
      </w:r>
      <w:r w:rsidR="00365EB1" w:rsidRPr="009D4627">
        <w:t>Point:</w:t>
      </w:r>
    </w:p>
    <w:p w14:paraId="221F87E6" w14:textId="75B89410" w:rsidR="00365EB1" w:rsidRPr="009D4627" w:rsidRDefault="00464806" w:rsidP="00365EB1">
      <w:pPr>
        <w:spacing w:before="0" w:after="0" w:line="240" w:lineRule="auto"/>
      </w:pPr>
      <w:r w:rsidRPr="009D4627">
        <w:rPr>
          <w:bCs/>
        </w:rPr>
        <w:t>(a)</w:t>
      </w:r>
      <w:r w:rsidRPr="009D4627">
        <w:t xml:space="preserve"> Refers to the </w:t>
      </w:r>
      <w:r w:rsidR="00995715" w:rsidRPr="009D4627">
        <w:t>primary position</w:t>
      </w:r>
      <w:r w:rsidRPr="009D4627">
        <w:t xml:space="preserve"> on the screen; 940 PPD indicates the eye at the screen's centre in the horizontal direction. After 1-2 </w:t>
      </w:r>
      <w:proofErr w:type="spellStart"/>
      <w:r w:rsidRPr="009D4627">
        <w:t>ms</w:t>
      </w:r>
      <w:proofErr w:type="spellEnd"/>
      <w:r w:rsidR="00AE6F60" w:rsidRPr="009D4627">
        <w:t>,</w:t>
      </w:r>
      <w:r w:rsidRPr="009D4627">
        <w:t xml:space="preserve"> the target jumped to 15° leftward. </w:t>
      </w:r>
    </w:p>
    <w:p w14:paraId="1A21EAB5" w14:textId="59249FC0" w:rsidR="00365EB1" w:rsidRPr="009D4627" w:rsidRDefault="00464806" w:rsidP="00365EB1">
      <w:pPr>
        <w:spacing w:before="0" w:after="0" w:line="240" w:lineRule="auto"/>
      </w:pPr>
      <w:r w:rsidRPr="009D4627">
        <w:rPr>
          <w:bCs/>
        </w:rPr>
        <w:t>(b)</w:t>
      </w:r>
      <w:r w:rsidRPr="009D4627">
        <w:rPr>
          <w:b/>
          <w:bCs/>
        </w:rPr>
        <w:t xml:space="preserve"> </w:t>
      </w:r>
      <w:r w:rsidR="00365EB1" w:rsidRPr="009D4627">
        <w:rPr>
          <w:b/>
          <w:bCs/>
          <w:color w:val="66FF33"/>
        </w:rPr>
        <w:t>|</w:t>
      </w:r>
      <w:r w:rsidR="00147455" w:rsidRPr="009D4627">
        <w:t xml:space="preserve"> </w:t>
      </w:r>
      <w:r w:rsidR="00365EB1" w:rsidRPr="009D4627">
        <w:t xml:space="preserve">line </w:t>
      </w:r>
      <w:r w:rsidRPr="009D4627">
        <w:t>mark</w:t>
      </w:r>
      <w:r w:rsidR="00AE6F60" w:rsidRPr="009D4627">
        <w:t>ed</w:t>
      </w:r>
      <w:r w:rsidRPr="009D4627">
        <w:t xml:space="preserve"> when the target was presented</w:t>
      </w:r>
      <w:r w:rsidR="00365EB1" w:rsidRPr="009D4627">
        <w:t>.</w:t>
      </w:r>
    </w:p>
    <w:p w14:paraId="2D131E09" w14:textId="4EFD2CA8" w:rsidR="00365EB1" w:rsidRPr="009D4627" w:rsidRDefault="00464806" w:rsidP="00365EB1">
      <w:pPr>
        <w:spacing w:before="0" w:after="0" w:line="240" w:lineRule="auto"/>
      </w:pPr>
      <w:r w:rsidRPr="009D4627">
        <w:rPr>
          <w:bCs/>
        </w:rPr>
        <w:t>(c)</w:t>
      </w:r>
      <w:r w:rsidRPr="009D4627">
        <w:rPr>
          <w:b/>
          <w:bCs/>
          <w:color w:val="FF0000"/>
        </w:rPr>
        <w:t xml:space="preserve"> </w:t>
      </w:r>
      <w:r w:rsidR="00365EB1" w:rsidRPr="009D4627">
        <w:rPr>
          <w:b/>
          <w:bCs/>
          <w:color w:val="FF0000"/>
        </w:rPr>
        <w:t xml:space="preserve">| </w:t>
      </w:r>
      <w:r w:rsidR="00365EB1" w:rsidRPr="009D4627">
        <w:rPr>
          <w:color w:val="auto"/>
        </w:rPr>
        <w:t>line</w:t>
      </w:r>
      <w:r w:rsidR="00365EB1" w:rsidRPr="009D4627">
        <w:rPr>
          <w:color w:val="FF0000"/>
        </w:rPr>
        <w:t xml:space="preserve"> </w:t>
      </w:r>
      <w:r w:rsidRPr="009D4627">
        <w:t>mark</w:t>
      </w:r>
      <w:r w:rsidR="00AE6F60" w:rsidRPr="009D4627">
        <w:t>ed</w:t>
      </w:r>
      <w:r w:rsidRPr="009D4627">
        <w:t xml:space="preserve"> when the participant initiated a </w:t>
      </w:r>
      <w:r w:rsidR="008D0D8E" w:rsidRPr="009D4627">
        <w:t>saccad</w:t>
      </w:r>
      <w:r w:rsidR="00944720" w:rsidRPr="009D4627">
        <w:t>ic</w:t>
      </w:r>
      <w:r w:rsidRPr="009D4627">
        <w:t xml:space="preserve"> movement.</w:t>
      </w:r>
      <w:r w:rsidR="00365EB1" w:rsidRPr="009D4627">
        <w:t xml:space="preserve"> It</w:t>
      </w:r>
      <w:r w:rsidRPr="009D4627">
        <w:t xml:space="preserve"> </w:t>
      </w:r>
      <w:r w:rsidR="00365EB1" w:rsidRPr="009D4627">
        <w:t>is measured by the distance of saccad</w:t>
      </w:r>
      <w:r w:rsidR="00944720" w:rsidRPr="009D4627">
        <w:t>ic</w:t>
      </w:r>
      <w:r w:rsidR="00365EB1" w:rsidRPr="009D4627">
        <w:t xml:space="preserve"> movement/time (°/</w:t>
      </w:r>
      <w:proofErr w:type="spellStart"/>
      <w:r w:rsidR="00365EB1" w:rsidRPr="009D4627">
        <w:t>ms</w:t>
      </w:r>
      <w:proofErr w:type="spellEnd"/>
      <w:r w:rsidR="00365EB1" w:rsidRPr="009D4627">
        <w:t xml:space="preserve">). The difference between </w:t>
      </w:r>
      <w:r w:rsidR="002C58DB" w:rsidRPr="009D4627">
        <w:t>(</w:t>
      </w:r>
      <w:r w:rsidR="00365EB1" w:rsidRPr="009D4627">
        <w:rPr>
          <w:bCs/>
        </w:rPr>
        <w:t>c</w:t>
      </w:r>
      <w:r w:rsidR="002C58DB" w:rsidRPr="009D4627">
        <w:rPr>
          <w:bCs/>
        </w:rPr>
        <w:t>)</w:t>
      </w:r>
      <w:r w:rsidR="00365EB1" w:rsidRPr="009D4627">
        <w:rPr>
          <w:bCs/>
        </w:rPr>
        <w:t xml:space="preserve"> and </w:t>
      </w:r>
      <w:r w:rsidR="002C58DB" w:rsidRPr="009D4627">
        <w:rPr>
          <w:bCs/>
        </w:rPr>
        <w:t>(</w:t>
      </w:r>
      <w:r w:rsidR="00365EB1" w:rsidRPr="009D4627">
        <w:rPr>
          <w:bCs/>
        </w:rPr>
        <w:t>b</w:t>
      </w:r>
      <w:r w:rsidR="002C58DB" w:rsidRPr="009D4627">
        <w:rPr>
          <w:bCs/>
        </w:rPr>
        <w:t>)</w:t>
      </w:r>
      <w:r w:rsidR="00365EB1" w:rsidRPr="009D4627">
        <w:t xml:space="preserve"> is the </w:t>
      </w:r>
      <w:r w:rsidR="00944720" w:rsidRPr="009D4627">
        <w:t>saccadic</w:t>
      </w:r>
      <w:r w:rsidR="00365EB1" w:rsidRPr="009D4627">
        <w:t xml:space="preserve"> latency.</w:t>
      </w:r>
    </w:p>
    <w:p w14:paraId="128EDE57" w14:textId="0C2FB295" w:rsidR="00365EB1" w:rsidRPr="009D4627" w:rsidRDefault="00464806" w:rsidP="00365EB1">
      <w:pPr>
        <w:spacing w:before="0" w:after="0" w:line="240" w:lineRule="auto"/>
      </w:pPr>
      <w:r w:rsidRPr="009D4627">
        <w:rPr>
          <w:bCs/>
        </w:rPr>
        <w:t>(d)</w:t>
      </w:r>
      <w:r w:rsidRPr="009D4627">
        <w:t xml:space="preserve"> </w:t>
      </w:r>
      <w:r w:rsidR="00365EB1" w:rsidRPr="009D4627">
        <w:t>M</w:t>
      </w:r>
      <w:r w:rsidRPr="009D4627">
        <w:t xml:space="preserve">arks the peak velocity, which was the greatest </w:t>
      </w:r>
      <w:r w:rsidR="00944720" w:rsidRPr="009D4627">
        <w:t>saccadic</w:t>
      </w:r>
      <w:r w:rsidRPr="009D4627">
        <w:t xml:space="preserve"> movement after </w:t>
      </w:r>
      <w:r w:rsidR="00AE6F60" w:rsidRPr="009D4627">
        <w:t>the target was presented (b)</w:t>
      </w:r>
      <w:r w:rsidR="00365EB1" w:rsidRPr="009D4627">
        <w:t xml:space="preserve">. It denotes the actual </w:t>
      </w:r>
      <w:r w:rsidR="00944720" w:rsidRPr="009D4627">
        <w:t>saccadic</w:t>
      </w:r>
      <w:r w:rsidR="00365EB1" w:rsidRPr="009D4627">
        <w:t xml:space="preserve"> amplitude, which was used to calculate the gain. This actual amplitude is divided with the target amplitude (desired point) to get the </w:t>
      </w:r>
      <w:r w:rsidR="00944720" w:rsidRPr="009D4627">
        <w:t>saccadic</w:t>
      </w:r>
      <w:r w:rsidR="00365EB1" w:rsidRPr="009D4627">
        <w:t xml:space="preserve"> gain. </w:t>
      </w:r>
    </w:p>
    <w:p w14:paraId="2F37A48A" w14:textId="26AE0774" w:rsidR="00F30129" w:rsidRDefault="00464806" w:rsidP="00365EB1">
      <w:pPr>
        <w:spacing w:before="0" w:after="0" w:line="240" w:lineRule="auto"/>
      </w:pPr>
      <w:r w:rsidRPr="009D4627">
        <w:rPr>
          <w:bCs/>
        </w:rPr>
        <w:t>(e)</w:t>
      </w:r>
      <w:r w:rsidRPr="009D4627">
        <w:t xml:space="preserve"> </w:t>
      </w:r>
      <w:r w:rsidR="00365EB1" w:rsidRPr="009D4627">
        <w:t>I</w:t>
      </w:r>
      <w:r w:rsidRPr="009D4627">
        <w:t>ndicates the refixation saccades to match the desired target amplitude, where the saccade is aiming for.</w:t>
      </w:r>
      <w:r w:rsidR="00F30129" w:rsidRPr="009D4627">
        <w:t xml:space="preserve"> </w:t>
      </w:r>
    </w:p>
    <w:p w14:paraId="7D60BCC9" w14:textId="77777777" w:rsidR="006F1D69" w:rsidRPr="009D4627" w:rsidRDefault="006F1D69" w:rsidP="00365EB1">
      <w:pPr>
        <w:spacing w:before="0" w:after="0" w:line="240" w:lineRule="auto"/>
      </w:pPr>
    </w:p>
    <w:p w14:paraId="04B015FB" w14:textId="78C2D264" w:rsidR="00F30129" w:rsidRPr="009D4627" w:rsidRDefault="00944720" w:rsidP="00CA4E90">
      <w:pPr>
        <w:pStyle w:val="Heading4"/>
      </w:pPr>
      <w:bookmarkStart w:id="41" w:name="_Toc98964617"/>
      <w:bookmarkStart w:id="42" w:name="_Toc103344662"/>
      <w:r w:rsidRPr="009D4627">
        <w:lastRenderedPageBreak/>
        <w:t>Saccadic</w:t>
      </w:r>
      <w:r w:rsidR="00F30129" w:rsidRPr="009D4627">
        <w:t xml:space="preserve"> latency</w:t>
      </w:r>
      <w:bookmarkEnd w:id="41"/>
      <w:bookmarkEnd w:id="42"/>
    </w:p>
    <w:p w14:paraId="7247FB79" w14:textId="30C2209F" w:rsidR="00F30129" w:rsidRPr="009D4627" w:rsidRDefault="00944720" w:rsidP="00F30129">
      <w:r w:rsidRPr="009D4627">
        <w:t>Saccadic</w:t>
      </w:r>
      <w:r w:rsidR="00F30129" w:rsidRPr="009D4627">
        <w:t xml:space="preserve"> latency is the time difference between the target's appearance at a new point of interest and the eye's onset to initiate the first </w:t>
      </w:r>
      <w:r w:rsidRPr="009D4627">
        <w:t>saccadic</w:t>
      </w:r>
      <w:r w:rsidR="00F30129" w:rsidRPr="009D4627">
        <w:t xml:space="preserve"> movement towards this new target position. A normal range of </w:t>
      </w:r>
      <w:r w:rsidRPr="009D4627">
        <w:t>saccadic</w:t>
      </w:r>
      <w:r w:rsidR="00F30129" w:rsidRPr="009D4627">
        <w:t xml:space="preserve"> latencies has been reported within 100-300 </w:t>
      </w:r>
      <w:proofErr w:type="spellStart"/>
      <w:r w:rsidR="00F30129" w:rsidRPr="009D4627">
        <w:t>ms</w:t>
      </w:r>
      <w:proofErr w:type="spellEnd"/>
      <w:r w:rsidR="00F30129" w:rsidRPr="009D4627">
        <w:t xml:space="preserve"> </w:t>
      </w:r>
      <w:r w:rsidR="00F30129" w:rsidRPr="009D4627">
        <w:fldChar w:fldCharType="begin"/>
      </w:r>
      <w:r w:rsidR="00F30129" w:rsidRPr="009D4627">
        <w:instrText xml:space="preserve"> ADDIN EN.CITE &lt;EndNote&gt;&lt;Cite&gt;&lt;Author&gt;Enderle&lt;/Author&gt;&lt;Year&gt;2010&lt;/Year&gt;&lt;IDText&gt;Models of horizontal eye movements. Part I, Early models of saccades and smooth pursuit [electronic resource]&lt;/IDText&gt;&lt;DisplayText&gt;(Enderle, 2010)&lt;/DisplayText&gt;&lt;record&gt;&lt;keywords&gt;&lt;keyword&gt;Eye -- Movements -- Mathematical models&lt;/keyword&gt;&lt;keyword&gt;Saccadic eye movements -- Mathematical models&lt;/keyword&gt;&lt;keyword&gt;Eye -- Movements&lt;/keyword&gt;&lt;keyword&gt;Face&lt;/keyword&gt;&lt;keyword&gt;Photoreceptors&lt;/keyword&gt;&lt;keyword&gt;Vision&lt;/keyword&gt;&lt;/keywords&gt;&lt;isbn&gt;9781608452330&amp;#xD;1608452336&lt;/isbn&gt;&lt;titles&gt;&lt;title&gt;Models of horizontal eye movements. Part I, Early models of saccades and smooth pursuit [electronic resource]&lt;/title&gt;&lt;secondary-title&gt;Early models of saccades and smooth pursuit&lt;/secondary-title&gt;&lt;/titles&gt;&lt;contributors&gt;&lt;authors&gt;&lt;author&gt;Enderle, John D.&lt;/author&gt;&lt;/authors&gt;&lt;/contributors&gt;&lt;added-date format="utc"&gt;1582385796&lt;/added-date&gt;&lt;pub-location&gt;San Rafael, Calif. (1537 Fourth Street, San Rafael, CA 94901 USA)&lt;/pub-location&gt;&lt;ref-type name="Book"&gt;6&lt;/ref-type&gt;&lt;dates&gt;&lt;year&gt;2010&lt;/year&gt;&lt;/dates&gt;&lt;rec-number&gt;641&lt;/rec-number&gt;&lt;publisher&gt;San Rafael, Calif. 1537 Fourth Street, San Rafael, CA 94901 USA : Morgan &amp;amp; Claypool, c2010&lt;/publisher&gt;&lt;last-updated-date format="utc"&gt;1582385796&lt;/last-updated-date&gt;&lt;/record&gt;&lt;/Cite&gt;&lt;/EndNote&gt;</w:instrText>
      </w:r>
      <w:r w:rsidR="00F30129" w:rsidRPr="009D4627">
        <w:fldChar w:fldCharType="separate"/>
      </w:r>
      <w:r w:rsidR="00F30129" w:rsidRPr="009D4627">
        <w:rPr>
          <w:noProof/>
        </w:rPr>
        <w:t>(Enderle, 2010)</w:t>
      </w:r>
      <w:r w:rsidR="00F30129" w:rsidRPr="009D4627">
        <w:fldChar w:fldCharType="end"/>
      </w:r>
      <w:r w:rsidR="00F30129" w:rsidRPr="009D4627">
        <w:t>. There are various factors known</w:t>
      </w:r>
      <w:r w:rsidR="00464806" w:rsidRPr="009D4627">
        <w:t xml:space="preserve"> to</w:t>
      </w:r>
      <w:r w:rsidR="00F30129" w:rsidRPr="009D4627">
        <w:t xml:space="preserve"> influenc</w:t>
      </w:r>
      <w:r w:rsidR="00464806" w:rsidRPr="009D4627">
        <w:t>e</w:t>
      </w:r>
      <w:r w:rsidR="00F30129" w:rsidRPr="009D4627">
        <w:t xml:space="preserve"> the degree of latency, which will be discussed further. </w:t>
      </w:r>
    </w:p>
    <w:p w14:paraId="39B6BFAB" w14:textId="33AE9901" w:rsidR="00D87FAA" w:rsidRDefault="00D87FAA" w:rsidP="00F30129">
      <w:r w:rsidRPr="00D87FAA">
        <w:t xml:space="preserve">The fixation task influences the saccadic latency of eye movements; when the fixation stimulus is turned off before the target presentation (gap paradigm), the saccadic latency becomes short and express movements occur. Saccadic latency is longer when the fixation stimulus stays on when the target emerges (overlap paradigm) </w:t>
      </w:r>
      <w:r w:rsidR="00CE0149">
        <w:t>(Bucci et al., 2005)</w:t>
      </w:r>
      <w:r w:rsidRPr="00D87FAA">
        <w:t xml:space="preserve">. Reduced saccadic latency occurs as a result of improved sensory processing, oculomotor preparedness, or attentional processes </w:t>
      </w:r>
      <w:r w:rsidR="00CE0149">
        <w:t>(Reut</w:t>
      </w:r>
      <w:r w:rsidR="00D01B07">
        <w:t>er-Lorenz et al., 1991)</w:t>
      </w:r>
      <w:r w:rsidRPr="00D87FAA">
        <w:t xml:space="preserve">. According to one study, the gap paradigm results in shorter latency for all eye movements than the overlap paradigm, but the difference is only significant for saccades at near viewing distances </w:t>
      </w:r>
      <w:r w:rsidR="00D01B07">
        <w:t>(Bucci et al., 2005)</w:t>
      </w:r>
      <w:r w:rsidRPr="00D87FAA">
        <w:t>.</w:t>
      </w:r>
    </w:p>
    <w:p w14:paraId="4E874120" w14:textId="5309CAD2" w:rsidR="00F30129" w:rsidRPr="009D4627" w:rsidRDefault="00F30129" w:rsidP="00F30129">
      <w:r w:rsidRPr="009D4627">
        <w:t>The participants' motivation and attention during eye</w:t>
      </w:r>
      <w:r w:rsidR="00AE6F60" w:rsidRPr="009D4627">
        <w:t>-</w:t>
      </w:r>
      <w:r w:rsidRPr="009D4627">
        <w:t xml:space="preserve">tracking have been suggested could </w:t>
      </w:r>
      <w:r w:rsidR="00464806" w:rsidRPr="009D4627">
        <w:t>affect</w:t>
      </w:r>
      <w:r w:rsidRPr="009D4627">
        <w:t xml:space="preserve"> </w:t>
      </w:r>
      <w:r w:rsidR="00944720" w:rsidRPr="009D4627">
        <w:t>saccadic</w:t>
      </w:r>
      <w:r w:rsidRPr="009D4627">
        <w:t xml:space="preserve"> performance </w:t>
      </w:r>
      <w:r w:rsidRPr="009D4627">
        <w:fldChar w:fldCharType="begin"/>
      </w:r>
      <w:r w:rsidRPr="009D4627">
        <w:instrText xml:space="preserve"> ADDIN EN.CITE &lt;EndNote&gt;&lt;Cite&gt;&lt;Author&gt;Ciuffreda&lt;/Author&gt;&lt;Year&gt;1995&lt;/Year&gt;&lt;IDText&gt;Eye movement basics for the clinician&lt;/IDText&gt;&lt;DisplayText&gt;(Ciuffreda &amp;amp; Tannen, 1995)&lt;/DisplayText&gt;&lt;record&gt;&lt;titles&gt;&lt;title&gt;Eye movement basics for the clinician&lt;/title&gt;&lt;/titles&gt;&lt;contributors&gt;&lt;authors&gt;&lt;author&gt;Ciuffreda, Kenneth J&lt;/author&gt;&lt;author&gt;Tannen, Barry&lt;/author&gt;&lt;/authors&gt;&lt;/contributors&gt;&lt;added-date format="utc"&gt;1513611878&lt;/added-date&gt;&lt;ref-type name="Book"&gt;6&lt;/ref-type&gt;&lt;dates&gt;&lt;year&gt;1995&lt;/year&gt;&lt;/dates&gt;&lt;rec-number&gt;198&lt;/rec-number&gt;&lt;publisher&gt;Mosby&lt;/publisher&gt;&lt;last-updated-date format="utc"&gt;1513612060&lt;/last-updated-date&gt;&lt;/record&gt;&lt;/Cite&gt;&lt;/EndNote&gt;</w:instrText>
      </w:r>
      <w:r w:rsidRPr="009D4627">
        <w:fldChar w:fldCharType="separate"/>
      </w:r>
      <w:r w:rsidRPr="009D4627">
        <w:rPr>
          <w:noProof/>
        </w:rPr>
        <w:t>(Ciuffreda &amp; Tannen, 1995)</w:t>
      </w:r>
      <w:r w:rsidRPr="009D4627">
        <w:fldChar w:fldCharType="end"/>
      </w:r>
      <w:r w:rsidRPr="009D4627">
        <w:t xml:space="preserve">. Therefore, it is recommended to have repeated encouragement to the participants and implement frequent pauses during the eye recording session </w:t>
      </w:r>
      <w:r w:rsidRPr="009D4627">
        <w:fldChar w:fldCharType="begin"/>
      </w:r>
      <w:r w:rsidR="00C40138" w:rsidRPr="009D4627">
        <w:instrText xml:space="preserve"> ADDIN EN.CITE &lt;EndNote&gt;&lt;Cite&gt;&lt;Author&gt;Abel&lt;/Author&gt;&lt;Year&gt;1983&lt;/Year&gt;&lt;IDText&gt;The effects of age on normal saccadic characteristics and their variability&lt;/IDText&gt;&lt;DisplayText&gt;(Abel et al., 1983)&lt;/DisplayText&gt;&lt;record&gt;&lt;keywords&gt;&lt;keyword&gt;Age Factor&lt;/keyword&gt;&lt;keyword&gt;Oculometers&lt;/keyword&gt;&lt;keyword&gt;Periodic Variations&lt;/keyword&gt;&lt;keyword&gt;Reflectance&lt;/keyword&gt;&lt;keyword&gt;Saccadic Eye Movements&lt;/keyword&gt;&lt;keyword&gt;Clinical Medicine&lt;/keyword&gt;&lt;keyword&gt;Neurology&lt;/keyword&gt;&lt;keyword&gt;Refractivity&lt;/keyword&gt;&lt;keyword&gt;Sensorimotor Performance&lt;/keyword&gt;&lt;keyword&gt;Velocity&lt;/keyword&gt;&lt;keyword&gt;Aerospace Medicine (Ah)&lt;/keyword&gt;&lt;keyword&gt;Article&lt;/keyword&gt;&lt;/keywords&gt;&lt;isbn&gt;0042-6989&lt;/isbn&gt;&lt;titles&gt;&lt;title&gt;The effects of age on normal saccadic characteristics and their variability&lt;/title&gt;&lt;secondary-title&gt;Vision Research&lt;/secondary-title&gt;&lt;/titles&gt;&lt;pages&gt;33-37&lt;/pages&gt;&lt;number&gt;1&lt;/number&gt;&lt;contributors&gt;&lt;authors&gt;&lt;author&gt;Abel, Larry A.&lt;/author&gt;&lt;author&gt;Troost, B. Todd&lt;/author&gt;&lt;author&gt;Dell,&lt;/author&gt;&lt;author&gt;amp,&lt;/author&gt;&lt;author&gt;Amp,&lt;/author&gt;&lt;author&gt;Apos,&lt;/author&gt;&lt;author&gt;Osso, Louis F.&lt;/author&gt;&lt;/authors&gt;&lt;/contributors&gt;&lt;added-date format="utc"&gt;1517765123&lt;/added-date&gt;&lt;ref-type name="Journal Article"&gt;17&lt;/ref-type&gt;&lt;dates&gt;&lt;year&gt;1983&lt;/year&gt;&lt;/dates&gt;&lt;rec-number&gt;202&lt;/rec-number&gt;&lt;last-updated-date format="utc"&gt;1517765123&lt;/last-updated-date&gt;&lt;electronic-resource-num&gt;10.1016/0042-6989(83)90038-X&lt;/electronic-resource-num&gt;&lt;volume&gt;23&lt;/volume&gt;&lt;/record&gt;&lt;/Cite&gt;&lt;/EndNote&gt;</w:instrText>
      </w:r>
      <w:r w:rsidRPr="009D4627">
        <w:fldChar w:fldCharType="separate"/>
      </w:r>
      <w:r w:rsidR="00C40138" w:rsidRPr="009D4627">
        <w:rPr>
          <w:noProof/>
        </w:rPr>
        <w:t>(Abel et al., 1983)</w:t>
      </w:r>
      <w:r w:rsidRPr="009D4627">
        <w:fldChar w:fldCharType="end"/>
      </w:r>
      <w:r w:rsidRPr="009D4627">
        <w:t xml:space="preserve">. </w:t>
      </w:r>
    </w:p>
    <w:p w14:paraId="35DA3F51" w14:textId="08724869" w:rsidR="00F30129" w:rsidRPr="009D4627" w:rsidRDefault="00F30129" w:rsidP="00F30129">
      <w:r w:rsidRPr="009D4627">
        <w:t xml:space="preserve">Next, the influence of target size on the </w:t>
      </w:r>
      <w:r w:rsidR="00944720" w:rsidRPr="009D4627">
        <w:t>saccadic</w:t>
      </w:r>
      <w:r w:rsidRPr="009D4627">
        <w:t xml:space="preserve"> latency remains in question. Initially, a study documented no significant difference in the </w:t>
      </w:r>
      <w:r w:rsidR="00944720" w:rsidRPr="009D4627">
        <w:t>saccadic</w:t>
      </w:r>
      <w:r w:rsidRPr="009D4627">
        <w:t xml:space="preserve"> parameters recorded with different target sizes </w:t>
      </w:r>
      <w:r w:rsidRPr="009D4627">
        <w:fldChar w:fldCharType="begin"/>
      </w:r>
      <w:r w:rsidRPr="009D4627">
        <w:instrText xml:space="preserve"> ADDIN EN.CITE &lt;EndNote&gt;&lt;Cite&gt;&lt;Author&gt;Kowler&lt;/Author&gt;&lt;Year&gt;1995&lt;/Year&gt;&lt;IDText&gt;The accuracy and precision of saccades to small and large targets&lt;/IDText&gt;&lt;DisplayText&gt;(Kowler &amp;amp; Blaser, 1995)&lt;/DisplayText&gt;&lt;record&gt;&lt;keywords&gt;&lt;keyword&gt;Saccadic Eye Movement&lt;/keyword&gt;&lt;keyword&gt;Saccades&lt;/keyword&gt;&lt;keyword&gt;Localization&lt;/keyword&gt;&lt;keyword&gt;Saccadic Eye Movement&lt;/keyword&gt;&lt;keyword&gt;Saccades&lt;/keyword&gt;&lt;keyword&gt;Localization&lt;/keyword&gt;&lt;keyword&gt;Medicine&lt;/keyword&gt;&lt;keyword&gt;Anatomy &amp;amp; Physiology&lt;/keyword&gt;&lt;/keywords&gt;&lt;isbn&gt;0042-6989&lt;/isbn&gt;&lt;titles&gt;&lt;title&gt;The accuracy and precision of saccades to small and large targets&lt;/title&gt;&lt;secondary-title&gt;Vision Research&lt;/secondary-title&gt;&lt;/titles&gt;&lt;pages&gt;1741-1754&lt;/pages&gt;&lt;number&gt;12&lt;/number&gt;&lt;contributors&gt;&lt;authors&gt;&lt;author&gt;Kowler, Eileen&lt;/author&gt;&lt;author&gt;Blaser, Erik&lt;/author&gt;&lt;/authors&gt;&lt;/contributors&gt;&lt;added-date format="utc"&gt;1596724326&lt;/added-date&gt;&lt;ref-type name="Journal Article"&gt;17&lt;/ref-type&gt;&lt;dates&gt;&lt;year&gt;1995&lt;/year&gt;&lt;/dates&gt;&lt;rec-number&gt;702&lt;/rec-number&gt;&lt;last-updated-date format="utc"&gt;1596724326&lt;/last-updated-date&gt;&lt;electronic-resource-num&gt;10.1016/0042-6989(94)00255-K&lt;/electronic-resource-num&gt;&lt;volume&gt;35&lt;/volume&gt;&lt;/record&gt;&lt;/Cite&gt;&lt;/EndNote&gt;</w:instrText>
      </w:r>
      <w:r w:rsidRPr="009D4627">
        <w:fldChar w:fldCharType="separate"/>
      </w:r>
      <w:r w:rsidRPr="009D4627">
        <w:rPr>
          <w:noProof/>
        </w:rPr>
        <w:t>(Kowler &amp; Blaser, 1995)</w:t>
      </w:r>
      <w:r w:rsidRPr="009D4627">
        <w:fldChar w:fldCharType="end"/>
      </w:r>
      <w:r w:rsidRPr="009D4627">
        <w:t xml:space="preserve">. Later, other researchers found that </w:t>
      </w:r>
      <w:r w:rsidR="00944720" w:rsidRPr="009D4627">
        <w:t>saccadic</w:t>
      </w:r>
      <w:r w:rsidRPr="009D4627">
        <w:t xml:space="preserve"> latency was significantly prolonged with increasing target size because large targets lead to increased scatter of </w:t>
      </w:r>
      <w:r w:rsidR="00944720" w:rsidRPr="009D4627">
        <w:t>saccadic</w:t>
      </w:r>
      <w:r w:rsidRPr="009D4627">
        <w:t xml:space="preserve"> amplitudes </w:t>
      </w:r>
      <w:r w:rsidRPr="009D4627">
        <w:fldChar w:fldCharType="begin"/>
      </w:r>
      <w:r w:rsidR="00C40138" w:rsidRPr="009D4627">
        <w:instrText xml:space="preserve"> ADDIN EN.CITE &lt;EndNote&gt;&lt;Cite&gt;&lt;Author&gt;Ploner&lt;/Author&gt;&lt;Year&gt;2004&lt;/Year&gt;&lt;IDText&gt;Target Size Modulates Saccadic Eye Movements in Humans&lt;/IDText&gt;&lt;DisplayText&gt;(Ploner et al., 2004)&lt;/DisplayText&gt;&lt;record&gt;&lt;keywords&gt;&lt;keyword&gt;Adult&lt;/keyword&gt;&lt;keyword&gt;Chi-Square Distribution&lt;/keyword&gt;&lt;keyword&gt;Female&lt;/keyword&gt;&lt;keyword&gt;Humans&lt;/keyword&gt;&lt;keyword&gt;Male&lt;/keyword&gt;&lt;keyword&gt;Photic Stimulation&lt;/keyword&gt;&lt;keyword&gt;Saccades&lt;/keyword&gt;&lt;keyword&gt;Statistics, Nonparametric&lt;/keyword&gt;&lt;keyword&gt;Time Factors&lt;/keyword&gt;&lt;keyword&gt;Eye Movements&lt;/keyword&gt;&lt;keyword&gt;Neural Pathways&lt;/keyword&gt;&lt;keyword&gt;Spatial Organization&lt;/keyword&gt;&lt;keyword&gt;Superior Colliculus&lt;/keyword&gt;&lt;keyword&gt;Visual Tracking&lt;/keyword&gt;&lt;keyword&gt;Sensorimotor Measures&lt;/keyword&gt;&lt;keyword&gt;Neuropsychology &amp;amp; Neurology&lt;/keyword&gt;&lt;keyword&gt;Saccadic Eye Movements&lt;/keyword&gt;&lt;keyword&gt;Sensorimotor Transformation&lt;/keyword&gt;&lt;keyword&gt;Superior Colliculus&lt;/keyword&gt;&lt;keyword&gt;Saccade Amplitude&lt;/keyword&gt;&lt;keyword&gt;Neuronal Activity&lt;/keyword&gt;&lt;keyword&gt;Spatially Extended Targets&lt;/keyword&gt;&lt;keyword&gt;Empirical Study&lt;/keyword&gt;&lt;keyword&gt;Quantitative Study&lt;/keyword&gt;&lt;keyword&gt;Human&lt;/keyword&gt;&lt;keyword&gt;Male&lt;/keyword&gt;&lt;keyword&gt;Female&lt;/keyword&gt;&lt;keyword&gt;Adulthood (18 Yrs &amp;amp; Older)&lt;/keyword&gt;&lt;keyword&gt;Article&lt;/keyword&gt;&lt;/keywords&gt;&lt;isbn&gt;0735-7044&lt;/isbn&gt;&lt;titles&gt;&lt;title&gt;Target Size Modulates Saccadic Eye Movements in Humans&lt;/title&gt;&lt;secondary-title&gt;Behavioral Neuroscience&lt;/secondary-title&gt;&lt;/titles&gt;&lt;pages&gt;237-242&lt;/pages&gt;&lt;number&gt;1&lt;/number&gt;&lt;contributors&gt;&lt;authors&gt;&lt;author&gt;Ploner, Christoph J.&lt;/author&gt;&lt;author&gt;Ostendorf, Florian&lt;/author&gt;&lt;author&gt;Dick, Sandra&lt;/author&gt;&lt;/authors&gt;&lt;/contributors&gt;&lt;added-date format="utc"&gt;1583670484&lt;/added-date&gt;&lt;ref-type name="Journal Article"&gt;17&lt;/ref-type&gt;&lt;dates&gt;&lt;year&gt;2004&lt;/year&gt;&lt;/dates&gt;&lt;rec-number&gt;688&lt;/rec-number&gt;&lt;last-updated-date format="utc"&gt;1583670484&lt;/last-updated-date&gt;&lt;electronic-resource-num&gt;10.1037/0735-7044.118.1.237&lt;/electronic-resource-num&gt;&lt;volume&gt;118&lt;/volume&gt;&lt;/record&gt;&lt;/Cite&gt;&lt;/EndNote&gt;</w:instrText>
      </w:r>
      <w:r w:rsidRPr="009D4627">
        <w:fldChar w:fldCharType="separate"/>
      </w:r>
      <w:r w:rsidR="00C40138" w:rsidRPr="009D4627">
        <w:rPr>
          <w:noProof/>
        </w:rPr>
        <w:t>(Ploner et al., 2004)</w:t>
      </w:r>
      <w:r w:rsidRPr="009D4627">
        <w:fldChar w:fldCharType="end"/>
      </w:r>
      <w:r w:rsidRPr="009D4627">
        <w:t xml:space="preserve">. Consequently, it cannot accurately land on the target centre point, increasing the target centre's undershoot </w:t>
      </w:r>
      <w:r w:rsidRPr="009D4627">
        <w:fldChar w:fldCharType="begin"/>
      </w:r>
      <w:r w:rsidR="00945A16" w:rsidRPr="009D4627">
        <w:instrText xml:space="preserve"> ADDIN EN.CITE &lt;EndNote&gt;&lt;Cite&gt;&lt;Author&gt;Ploner&lt;/Author&gt;&lt;Year&gt;2004&lt;/Year&gt;&lt;IDText&gt;Target Size Modulates Saccadic Eye Movements in Humans&lt;/IDText&gt;&lt;DisplayText&gt;(Ploner et al., 2004)&lt;/DisplayText&gt;&lt;record&gt;&lt;keywords&gt;&lt;keyword&gt;Adult&lt;/keyword&gt;&lt;keyword&gt;Chi-Square Distribution&lt;/keyword&gt;&lt;keyword&gt;Female&lt;/keyword&gt;&lt;keyword&gt;Humans&lt;/keyword&gt;&lt;keyword&gt;Male&lt;/keyword&gt;&lt;keyword&gt;Photic Stimulation&lt;/keyword&gt;&lt;keyword&gt;Saccades&lt;/keyword&gt;&lt;keyword&gt;Statistics, Nonparametric&lt;/keyword&gt;&lt;keyword&gt;Time Factors&lt;/keyword&gt;&lt;keyword&gt;Eye Movements&lt;/keyword&gt;&lt;keyword&gt;Neural Pathways&lt;/keyword&gt;&lt;keyword&gt;Spatial Organization&lt;/keyword&gt;&lt;keyword&gt;Superior Colliculus&lt;/keyword&gt;&lt;keyword&gt;Visual Tracking&lt;/keyword&gt;&lt;keyword&gt;Sensorimotor Measures&lt;/keyword&gt;&lt;keyword&gt;Neuropsychology &amp;amp; Neurology&lt;/keyword&gt;&lt;keyword&gt;Saccadic Eye Movements&lt;/keyword&gt;&lt;keyword&gt;Sensorimotor Transformation&lt;/keyword&gt;&lt;keyword&gt;Superior Colliculus&lt;/keyword&gt;&lt;keyword&gt;Saccade Amplitude&lt;/keyword&gt;&lt;keyword&gt;Neuronal Activity&lt;/keyword&gt;&lt;keyword&gt;Spatially Extended Targets&lt;/keyword&gt;&lt;keyword&gt;Empirical Study&lt;/keyword&gt;&lt;keyword&gt;Quantitative Study&lt;/keyword&gt;&lt;keyword&gt;Human&lt;/keyword&gt;&lt;keyword&gt;Male&lt;/keyword&gt;&lt;keyword&gt;Female&lt;/keyword&gt;&lt;keyword&gt;Adulthood (18 Yrs &amp;amp; Older)&lt;/keyword&gt;&lt;keyword&gt;Article&lt;/keyword&gt;&lt;/keywords&gt;&lt;isbn&gt;0735-7044&lt;/isbn&gt;&lt;titles&gt;&lt;title&gt;Target Size Modulates Saccadic Eye Movements in Humans&lt;/title&gt;&lt;secondary-title&gt;Behavioral Neuroscience&lt;/secondary-title&gt;&lt;/titles&gt;&lt;pages&gt;237-242&lt;/pages&gt;&lt;number&gt;1&lt;/number&gt;&lt;contributors&gt;&lt;authors&gt;&lt;author&gt;Ploner, Christoph J.&lt;/author&gt;&lt;author&gt;Ostendorf, Florian&lt;/author&gt;&lt;author&gt;Dick, Sandra&lt;/author&gt;&lt;/authors&gt;&lt;/contributors&gt;&lt;added-date format="utc"&gt;1583670484&lt;/added-date&gt;&lt;ref-type name="Journal Article"&gt;17&lt;/ref-type&gt;&lt;dates&gt;&lt;year&gt;2004&lt;/year&gt;&lt;/dates&gt;&lt;rec-number&gt;688&lt;/rec-number&gt;&lt;last-updated-date format="utc"&gt;1583670484&lt;/last-updated-date&gt;&lt;electronic-resource-num&gt;10.1037/0735-7044.118.1.237&lt;/electronic-resource-num&gt;&lt;volume&gt;118&lt;/volume&gt;&lt;/record&gt;&lt;/Cite&gt;&lt;/EndNote&gt;</w:instrText>
      </w:r>
      <w:r w:rsidRPr="009D4627">
        <w:fldChar w:fldCharType="separate"/>
      </w:r>
      <w:r w:rsidR="00945A16" w:rsidRPr="009D4627">
        <w:rPr>
          <w:noProof/>
        </w:rPr>
        <w:t>(Ploner et al., 2004)</w:t>
      </w:r>
      <w:r w:rsidRPr="009D4627">
        <w:fldChar w:fldCharType="end"/>
      </w:r>
      <w:r w:rsidRPr="009D4627">
        <w:t xml:space="preserve">.  Recently, </w:t>
      </w:r>
      <w:r w:rsidRPr="009D4627">
        <w:lastRenderedPageBreak/>
        <w:t xml:space="preserve">a study found that latency was longer with decreasing target size (Warren et al., 2013). </w:t>
      </w:r>
      <w:r w:rsidR="00464806" w:rsidRPr="009D4627">
        <w:t xml:space="preserve">Those studies contradicting findings could be due to participant selection, the targets used, and the instructions </w:t>
      </w:r>
      <w:r w:rsidR="00AE6F60" w:rsidRPr="009D4627">
        <w:t xml:space="preserve">were </w:t>
      </w:r>
      <w:r w:rsidR="00464806" w:rsidRPr="009D4627">
        <w:t>given to the participants</w:t>
      </w:r>
      <w:r w:rsidRPr="009D4627">
        <w:t xml:space="preserve">. </w:t>
      </w:r>
    </w:p>
    <w:p w14:paraId="10BBE656" w14:textId="6DFD6ABF" w:rsidR="00F30129" w:rsidRPr="009D4627" w:rsidRDefault="00F30129" w:rsidP="00F30129">
      <w:proofErr w:type="spellStart"/>
      <w:r w:rsidRPr="009D4627">
        <w:t>Kowler</w:t>
      </w:r>
      <w:proofErr w:type="spellEnd"/>
      <w:r w:rsidRPr="009D4627">
        <w:t xml:space="preserve"> and Blaser (1995) found that target size did not influence the latency, using the authors as the participants</w:t>
      </w:r>
      <w:r w:rsidR="00464806" w:rsidRPr="009D4627">
        <w:t>,</w:t>
      </w:r>
      <w:r w:rsidRPr="009D4627">
        <w:t xml:space="preserve"> who are very experienced in eye movement research. They </w:t>
      </w:r>
      <w:r w:rsidR="00464806" w:rsidRPr="009D4627">
        <w:t>set out</w:t>
      </w:r>
      <w:r w:rsidRPr="009D4627">
        <w:t xml:space="preserve"> to prolong latency as much as necessary to achieve the best accuracy possible with only a single </w:t>
      </w:r>
      <w:r w:rsidR="00944720" w:rsidRPr="009D4627">
        <w:t>saccadic</w:t>
      </w:r>
      <w:r w:rsidRPr="009D4627">
        <w:t xml:space="preserve"> movement. Additionally, they </w:t>
      </w:r>
      <w:r w:rsidR="00464806" w:rsidRPr="009D4627">
        <w:t>aimed</w:t>
      </w:r>
      <w:r w:rsidRPr="009D4627">
        <w:t xml:space="preserve"> to focus on the form target </w:t>
      </w:r>
      <w:proofErr w:type="gramStart"/>
      <w:r w:rsidRPr="009D4627">
        <w:t>as a whole without</w:t>
      </w:r>
      <w:proofErr w:type="gramEnd"/>
      <w:r w:rsidRPr="009D4627">
        <w:t xml:space="preserve"> aiming toward a specific place within the form. Then, </w:t>
      </w:r>
      <w:proofErr w:type="spellStart"/>
      <w:r w:rsidRPr="009D4627">
        <w:t>Ploner</w:t>
      </w:r>
      <w:proofErr w:type="spellEnd"/>
      <w:r w:rsidRPr="009D4627">
        <w:t xml:space="preserve"> et al. (2004) recruited novice participants and found </w:t>
      </w:r>
      <w:r w:rsidR="00464806" w:rsidRPr="009D4627">
        <w:t xml:space="preserve">that there were </w:t>
      </w:r>
      <w:r w:rsidRPr="009D4627">
        <w:t xml:space="preserve">significantly different </w:t>
      </w:r>
      <w:r w:rsidR="00944720" w:rsidRPr="009D4627">
        <w:t>saccadic</w:t>
      </w:r>
      <w:r w:rsidRPr="009D4627">
        <w:t xml:space="preserve"> latenc</w:t>
      </w:r>
      <w:r w:rsidR="00464806" w:rsidRPr="009D4627">
        <w:t>ies</w:t>
      </w:r>
      <w:r w:rsidRPr="009D4627">
        <w:t xml:space="preserve"> with varying target sizes. They instructed the participants to focus quickly and accurately at </w:t>
      </w:r>
      <w:r w:rsidR="00464806" w:rsidRPr="009D4627">
        <w:t>a</w:t>
      </w:r>
      <w:r w:rsidRPr="009D4627">
        <w:t xml:space="preserve"> small red cross target as soon as it appeared</w:t>
      </w:r>
      <w:r w:rsidR="00464806" w:rsidRPr="009D4627">
        <w:t>,</w:t>
      </w:r>
      <w:r w:rsidRPr="009D4627">
        <w:t xml:space="preserve"> without further instruction. Warren et al. (2013) tested 20 young and 21 old participants and found latency increased with </w:t>
      </w:r>
      <w:r w:rsidR="00AE6F60" w:rsidRPr="009D4627">
        <w:t xml:space="preserve">a </w:t>
      </w:r>
      <w:r w:rsidRPr="009D4627">
        <w:t>smaller target size. They instructed their participants to quickly fixate, without blinking or moving their head, toward</w:t>
      </w:r>
      <w:r w:rsidR="00464806" w:rsidRPr="009D4627">
        <w:t>s</w:t>
      </w:r>
      <w:r w:rsidRPr="009D4627">
        <w:t xml:space="preserve"> any peripheral visual </w:t>
      </w:r>
      <w:r w:rsidR="00F57D01" w:rsidRPr="009D4627">
        <w:t>target</w:t>
      </w:r>
      <w:r w:rsidRPr="009D4627">
        <w:t xml:space="preserve"> that was seen. </w:t>
      </w:r>
    </w:p>
    <w:p w14:paraId="138037E7" w14:textId="47F78A38" w:rsidR="00F30129" w:rsidRPr="009D4627" w:rsidRDefault="00F30129" w:rsidP="00F30129">
      <w:pPr>
        <w:rPr>
          <w:noProof/>
        </w:rPr>
      </w:pPr>
      <w:r w:rsidRPr="009D4627">
        <w:rPr>
          <w:noProof/>
        </w:rPr>
        <w:t xml:space="preserve"> A large study found that </w:t>
      </w:r>
      <w:r w:rsidR="00E71B72" w:rsidRPr="009D4627">
        <w:rPr>
          <w:noProof/>
        </w:rPr>
        <w:t xml:space="preserve">saccadic </w:t>
      </w:r>
      <w:r w:rsidRPr="009D4627">
        <w:rPr>
          <w:noProof/>
        </w:rPr>
        <w:t xml:space="preserve">latency was not affected with a </w:t>
      </w:r>
      <w:r w:rsidR="00944720" w:rsidRPr="009D4627">
        <w:rPr>
          <w:noProof/>
        </w:rPr>
        <w:t>saccadic</w:t>
      </w:r>
      <w:r w:rsidRPr="009D4627">
        <w:rPr>
          <w:noProof/>
        </w:rPr>
        <w:t xml:space="preserve"> amplitude of &lt;20° </w:t>
      </w:r>
      <w:r w:rsidRPr="009D4627">
        <w:rPr>
          <w:noProof/>
        </w:rPr>
        <w:fldChar w:fldCharType="begin"/>
      </w:r>
      <w:r w:rsidR="00C40138" w:rsidRPr="009D4627">
        <w:rPr>
          <w:noProof/>
        </w:rPr>
        <w:instrText xml:space="preserve"> ADDIN EN.CITE &lt;EndNote&gt;&lt;Cite&gt;&lt;Author&gt;Wilson&lt;/Author&gt;&lt;Year&gt;1993&lt;/Year&gt;&lt;IDText&gt;Saccadic eye movement parameters in normal subjects&lt;/IDText&gt;&lt;DisplayText&gt;(Wilson et al., 1993)&lt;/DisplayText&gt;&lt;record&gt;&lt;keywords&gt;&lt;keyword&gt;Saccadic Eye Movements&lt;/keyword&gt;&lt;keyword&gt;Electrooculography&lt;/keyword&gt;&lt;keyword&gt;Normal Controls&lt;/keyword&gt;&lt;keyword&gt;Medicine&lt;/keyword&gt;&lt;/keywords&gt;&lt;isbn&gt;0013-4694&lt;/isbn&gt;&lt;titles&gt;&lt;title&gt;Saccadic eye movement parameters in normal subjects&lt;/title&gt;&lt;secondary-title&gt;Electroencephalography and Clinical Neurophysiology&lt;/secondary-title&gt;&lt;/titles&gt;&lt;pages&gt;69-74&lt;/pages&gt;&lt;number&gt;1&lt;/number&gt;&lt;contributors&gt;&lt;authors&gt;&lt;author&gt;Wilson, Susan J.&lt;/author&gt;&lt;author&gt;Glue, Paul&lt;/author&gt;&lt;author&gt;Ball, David&lt;/author&gt;&lt;author&gt;Nutt, David J.&lt;/author&gt;&lt;/authors&gt;&lt;/contributors&gt;&lt;added-date format="utc"&gt;1582712030&lt;/added-date&gt;&lt;ref-type name="Journal Article"&gt;17&lt;/ref-type&gt;&lt;dates&gt;&lt;year&gt;1993&lt;/year&gt;&lt;/dates&gt;&lt;rec-number&gt;655&lt;/rec-number&gt;&lt;last-updated-date format="utc"&gt;1582712030&lt;/last-updated-date&gt;&lt;electronic-resource-num&gt;10.1016/0013-4694(93)90068-7&lt;/electronic-resource-num&gt;&lt;volume&gt;86&lt;/volume&gt;&lt;/record&gt;&lt;/Cite&gt;&lt;/EndNote&gt;</w:instrText>
      </w:r>
      <w:r w:rsidRPr="009D4627">
        <w:rPr>
          <w:noProof/>
        </w:rPr>
        <w:fldChar w:fldCharType="separate"/>
      </w:r>
      <w:r w:rsidR="00C40138" w:rsidRPr="009D4627">
        <w:rPr>
          <w:noProof/>
        </w:rPr>
        <w:t>(Wilson et al., 1993)</w:t>
      </w:r>
      <w:r w:rsidRPr="009D4627">
        <w:rPr>
          <w:noProof/>
        </w:rPr>
        <w:fldChar w:fldCharType="end"/>
      </w:r>
      <w:r w:rsidRPr="009D4627">
        <w:rPr>
          <w:noProof/>
        </w:rPr>
        <w:t>, but another recent study found a significant increase of latency as the target amplitude increase</w:t>
      </w:r>
      <w:r w:rsidR="00464806" w:rsidRPr="009D4627">
        <w:rPr>
          <w:noProof/>
        </w:rPr>
        <w:t>d</w:t>
      </w:r>
      <w:r w:rsidRPr="009D4627">
        <w:rPr>
          <w:noProof/>
        </w:rPr>
        <w:t xml:space="preserve">  </w:t>
      </w:r>
      <w:r w:rsidRPr="009D4627">
        <w:rPr>
          <w:noProof/>
        </w:rPr>
        <w:fldChar w:fldCharType="begin"/>
      </w:r>
      <w:r w:rsidR="00C40138" w:rsidRPr="009D4627">
        <w:rPr>
          <w:noProof/>
        </w:rPr>
        <w:instrText xml:space="preserve"> ADDIN EN.CITE &lt;EndNote&gt;&lt;Cite&gt;&lt;Author&gt;Warren&lt;/Author&gt;&lt;Year&gt;2013&lt;/Year&gt;&lt;IDText&gt;Perimetric evaluation of saccadic latency, saccadic accuracy, and visual threshold for peripheral visual stimuli in young compared with older adults&lt;/IDText&gt;&lt;DisplayText&gt;(Warren et al., 2013)&lt;/DisplayText&gt;&lt;record&gt;&lt;keywords&gt;&lt;keyword&gt;Automated Perimetry&lt;/keyword&gt;&lt;keyword&gt;Saccades&lt;/keyword&gt;&lt;keyword&gt;Visual Threshold&lt;/keyword&gt;&lt;/keywords&gt;&lt;isbn&gt;01460404&lt;/isbn&gt;&lt;titles&gt;&lt;title&gt;Perimetric evaluation of saccadic latency, saccadic accuracy, and visual threshold for peripheral visual stimuli in young compared with older adults&lt;/title&gt;&lt;secondary-title&gt;Investigative Ophthalmology and Visual Science&lt;/secondary-title&gt;&lt;/titles&gt;&lt;pages&gt;5778-5787&lt;/pages&gt;&lt;number&gt;8&lt;/number&gt;&lt;contributors&gt;&lt;authors&gt;&lt;author&gt;Warren, D. E.&lt;/author&gt;&lt;author&gt;Thurtell, M. J.&lt;/author&gt;&lt;author&gt;Carroll, J. N.&lt;/author&gt;&lt;author&gt;Wall, M.&lt;/author&gt;&lt;/authors&gt;&lt;/contributors&gt;&lt;added-date format="utc"&gt;1518449303&lt;/added-date&gt;&lt;ref-type name="Journal Article"&gt;17&lt;/ref-type&gt;&lt;dates&gt;&lt;year&gt;2013&lt;/year&gt;&lt;/dates&gt;&lt;rec-number&gt;211&lt;/rec-number&gt;&lt;last-updated-date format="utc"&gt;1518449303&lt;/last-updated-date&gt;&lt;electronic-resource-num&gt;10.1167/iovs.13-12032&lt;/electronic-resource-num&gt;&lt;volume&gt;54&lt;/volume&gt;&lt;/record&gt;&lt;/Cite&gt;&lt;/EndNote&gt;</w:instrText>
      </w:r>
      <w:r w:rsidRPr="009D4627">
        <w:rPr>
          <w:noProof/>
        </w:rPr>
        <w:fldChar w:fldCharType="separate"/>
      </w:r>
      <w:r w:rsidR="00C40138" w:rsidRPr="009D4627">
        <w:rPr>
          <w:noProof/>
        </w:rPr>
        <w:t>(Warren et al., 2013)</w:t>
      </w:r>
      <w:r w:rsidRPr="009D4627">
        <w:rPr>
          <w:noProof/>
        </w:rPr>
        <w:fldChar w:fldCharType="end"/>
      </w:r>
      <w:r w:rsidRPr="009D4627">
        <w:rPr>
          <w:noProof/>
        </w:rPr>
        <w:t>. The differences in the findings could be due to several factors. In the former study, the data w</w:t>
      </w:r>
      <w:r w:rsidR="00C13D63" w:rsidRPr="009D4627">
        <w:rPr>
          <w:noProof/>
        </w:rPr>
        <w:t>ere</w:t>
      </w:r>
      <w:r w:rsidRPr="009D4627">
        <w:rPr>
          <w:noProof/>
        </w:rPr>
        <w:t xml:space="preserve"> recorded using </w:t>
      </w:r>
      <w:r w:rsidR="00C13D63" w:rsidRPr="009D4627">
        <w:rPr>
          <w:noProof/>
        </w:rPr>
        <w:t>electrooculography (</w:t>
      </w:r>
      <w:r w:rsidRPr="009D4627">
        <w:rPr>
          <w:noProof/>
        </w:rPr>
        <w:t>EOG</w:t>
      </w:r>
      <w:r w:rsidR="00C13D63" w:rsidRPr="009D4627">
        <w:rPr>
          <w:noProof/>
        </w:rPr>
        <w:t>)</w:t>
      </w:r>
      <w:r w:rsidRPr="009D4627">
        <w:rPr>
          <w:noProof/>
        </w:rPr>
        <w:t xml:space="preserve">, an invasive technique, among 122 participants with a mean age of 36.7 years. However, the latter was performed using the non-invasive EyeLink </w:t>
      </w:r>
      <w:r w:rsidR="00D80280" w:rsidRPr="009D4627">
        <w:rPr>
          <w:noProof/>
        </w:rPr>
        <w:t>IR</w:t>
      </w:r>
      <w:r w:rsidRPr="009D4627">
        <w:rPr>
          <w:noProof/>
        </w:rPr>
        <w:t xml:space="preserve"> video-based eye recording among 20 young (mean age 24</w:t>
      </w:r>
      <w:r w:rsidR="00AE6F60" w:rsidRPr="009D4627">
        <w:rPr>
          <w:noProof/>
        </w:rPr>
        <w:t xml:space="preserve"> </w:t>
      </w:r>
      <w:r w:rsidRPr="009D4627">
        <w:rPr>
          <w:noProof/>
        </w:rPr>
        <w:t>±3</w:t>
      </w:r>
      <w:r w:rsidR="00AE6F60" w:rsidRPr="009D4627">
        <w:rPr>
          <w:noProof/>
        </w:rPr>
        <w:t xml:space="preserve"> years)</w:t>
      </w:r>
      <w:r w:rsidRPr="009D4627">
        <w:rPr>
          <w:noProof/>
        </w:rPr>
        <w:t xml:space="preserve"> and 21 old</w:t>
      </w:r>
      <w:r w:rsidR="00C13D63" w:rsidRPr="009D4627">
        <w:rPr>
          <w:noProof/>
        </w:rPr>
        <w:t>er</w:t>
      </w:r>
      <w:r w:rsidRPr="009D4627">
        <w:rPr>
          <w:noProof/>
        </w:rPr>
        <w:t xml:space="preserve"> (mean age 66</w:t>
      </w:r>
      <w:r w:rsidR="00AE6F60" w:rsidRPr="009D4627">
        <w:rPr>
          <w:noProof/>
        </w:rPr>
        <w:t xml:space="preserve"> </w:t>
      </w:r>
      <w:r w:rsidRPr="009D4627">
        <w:rPr>
          <w:noProof/>
        </w:rPr>
        <w:t>±5</w:t>
      </w:r>
      <w:r w:rsidR="00AE6F60" w:rsidRPr="009D4627">
        <w:rPr>
          <w:noProof/>
        </w:rPr>
        <w:t xml:space="preserve"> years</w:t>
      </w:r>
      <w:r w:rsidRPr="009D4627">
        <w:rPr>
          <w:noProof/>
        </w:rPr>
        <w:t>)</w:t>
      </w:r>
      <w:r w:rsidR="00C13D63" w:rsidRPr="009D4627">
        <w:rPr>
          <w:noProof/>
        </w:rPr>
        <w:t xml:space="preserve"> participants</w:t>
      </w:r>
      <w:r w:rsidRPr="009D4627">
        <w:rPr>
          <w:noProof/>
        </w:rPr>
        <w:t xml:space="preserve">. EOG </w:t>
      </w:r>
      <w:r w:rsidR="00C13D63" w:rsidRPr="009D4627">
        <w:rPr>
          <w:noProof/>
        </w:rPr>
        <w:t xml:space="preserve">is </w:t>
      </w:r>
      <w:r w:rsidRPr="009D4627">
        <w:rPr>
          <w:noProof/>
        </w:rPr>
        <w:t xml:space="preserve">more uncomfortable. </w:t>
      </w:r>
      <w:r w:rsidR="0090613E" w:rsidRPr="009D4627">
        <w:rPr>
          <w:noProof/>
        </w:rPr>
        <w:t>In addition, the former study tested at the bigger amplitude range (15°, 22°, 25°, 30° and 35°) than the latter (±4°, ±12°, ±20° and ±28°).</w:t>
      </w:r>
    </w:p>
    <w:p w14:paraId="38ED5769" w14:textId="2B3DBEAF" w:rsidR="00F30129" w:rsidRPr="009D4627" w:rsidRDefault="00F30129" w:rsidP="00F30129">
      <w:pPr>
        <w:rPr>
          <w:noProof/>
        </w:rPr>
      </w:pPr>
      <w:r w:rsidRPr="009D4627">
        <w:rPr>
          <w:noProof/>
        </w:rPr>
        <w:lastRenderedPageBreak/>
        <w:t xml:space="preserve">Next, </w:t>
      </w:r>
      <w:r w:rsidR="00AE6F60" w:rsidRPr="009D4627">
        <w:rPr>
          <w:noProof/>
        </w:rPr>
        <w:t xml:space="preserve">the </w:t>
      </w:r>
      <w:r w:rsidR="00944720" w:rsidRPr="009D4627">
        <w:rPr>
          <w:noProof/>
        </w:rPr>
        <w:t>saccadic</w:t>
      </w:r>
      <w:r w:rsidRPr="009D4627">
        <w:rPr>
          <w:noProof/>
        </w:rPr>
        <w:t xml:space="preserve"> direction was reported to have a significant influence on the </w:t>
      </w:r>
      <w:r w:rsidR="0090613E" w:rsidRPr="009D4627">
        <w:rPr>
          <w:noProof/>
        </w:rPr>
        <w:t xml:space="preserve">mean </w:t>
      </w:r>
      <w:r w:rsidRPr="009D4627">
        <w:rPr>
          <w:noProof/>
        </w:rPr>
        <w:t xml:space="preserve">horizontal </w:t>
      </w:r>
      <w:r w:rsidR="00944720" w:rsidRPr="009D4627">
        <w:rPr>
          <w:noProof/>
        </w:rPr>
        <w:t>saccadic</w:t>
      </w:r>
      <w:r w:rsidRPr="009D4627">
        <w:rPr>
          <w:noProof/>
        </w:rPr>
        <w:t xml:space="preserve"> latency (leftward</w:t>
      </w:r>
      <w:r w:rsidR="00AE6F60" w:rsidRPr="009D4627">
        <w:rPr>
          <w:noProof/>
        </w:rPr>
        <w:t xml:space="preserve"> </w:t>
      </w:r>
      <w:r w:rsidRPr="009D4627">
        <w:rPr>
          <w:noProof/>
        </w:rPr>
        <w:t>=</w:t>
      </w:r>
      <w:r w:rsidR="00AE6F60" w:rsidRPr="009D4627">
        <w:rPr>
          <w:noProof/>
        </w:rPr>
        <w:t xml:space="preserve"> </w:t>
      </w:r>
      <w:r w:rsidRPr="009D4627">
        <w:rPr>
          <w:noProof/>
        </w:rPr>
        <w:t>173 ms ±30; rightward</w:t>
      </w:r>
      <w:r w:rsidR="00AE6F60" w:rsidRPr="009D4627">
        <w:rPr>
          <w:noProof/>
        </w:rPr>
        <w:t xml:space="preserve"> </w:t>
      </w:r>
      <w:r w:rsidRPr="009D4627">
        <w:rPr>
          <w:noProof/>
        </w:rPr>
        <w:t>=</w:t>
      </w:r>
      <w:r w:rsidR="00AE6F60" w:rsidRPr="009D4627">
        <w:rPr>
          <w:noProof/>
        </w:rPr>
        <w:t xml:space="preserve"> </w:t>
      </w:r>
      <w:r w:rsidRPr="009D4627">
        <w:rPr>
          <w:noProof/>
        </w:rPr>
        <w:t>187 ms ±31), but there was no significant difference</w:t>
      </w:r>
      <w:r w:rsidR="0090613E" w:rsidRPr="009D4627">
        <w:rPr>
          <w:noProof/>
        </w:rPr>
        <w:t xml:space="preserve"> </w:t>
      </w:r>
      <w:r w:rsidR="00AE6F60" w:rsidRPr="009D4627">
        <w:rPr>
          <w:noProof/>
        </w:rPr>
        <w:t>in</w:t>
      </w:r>
      <w:r w:rsidR="0090613E" w:rsidRPr="009D4627">
        <w:rPr>
          <w:noProof/>
        </w:rPr>
        <w:t xml:space="preserve"> the</w:t>
      </w:r>
      <w:r w:rsidRPr="009D4627">
        <w:rPr>
          <w:noProof/>
        </w:rPr>
        <w:t xml:space="preserve"> </w:t>
      </w:r>
      <w:r w:rsidR="0090613E" w:rsidRPr="009D4627">
        <w:rPr>
          <w:noProof/>
        </w:rPr>
        <w:t xml:space="preserve">vertical mean </w:t>
      </w:r>
      <w:r w:rsidR="00944720" w:rsidRPr="009D4627">
        <w:rPr>
          <w:noProof/>
        </w:rPr>
        <w:t>saccadic</w:t>
      </w:r>
      <w:r w:rsidRPr="009D4627">
        <w:rPr>
          <w:noProof/>
        </w:rPr>
        <w:t xml:space="preserve"> latency</w:t>
      </w:r>
      <w:r w:rsidR="0090613E" w:rsidRPr="009D4627">
        <w:rPr>
          <w:noProof/>
        </w:rPr>
        <w:t xml:space="preserve"> (upward</w:t>
      </w:r>
      <w:r w:rsidR="00AE6F60" w:rsidRPr="009D4627">
        <w:rPr>
          <w:noProof/>
        </w:rPr>
        <w:t xml:space="preserve"> </w:t>
      </w:r>
      <w:r w:rsidR="0090613E" w:rsidRPr="009D4627">
        <w:rPr>
          <w:noProof/>
        </w:rPr>
        <w:t>=</w:t>
      </w:r>
      <w:r w:rsidR="00AE6F60" w:rsidRPr="009D4627">
        <w:rPr>
          <w:noProof/>
        </w:rPr>
        <w:t xml:space="preserve"> </w:t>
      </w:r>
      <w:r w:rsidR="0090613E" w:rsidRPr="009D4627">
        <w:rPr>
          <w:noProof/>
        </w:rPr>
        <w:t>86 ms ±32; downward</w:t>
      </w:r>
      <w:r w:rsidR="00AE6F60" w:rsidRPr="009D4627">
        <w:rPr>
          <w:noProof/>
        </w:rPr>
        <w:t xml:space="preserve"> </w:t>
      </w:r>
      <w:r w:rsidR="0090613E" w:rsidRPr="009D4627">
        <w:rPr>
          <w:noProof/>
        </w:rPr>
        <w:t>=</w:t>
      </w:r>
      <w:r w:rsidR="00AE6F60" w:rsidRPr="009D4627">
        <w:rPr>
          <w:noProof/>
        </w:rPr>
        <w:t xml:space="preserve"> </w:t>
      </w:r>
      <w:r w:rsidR="0090613E" w:rsidRPr="009D4627">
        <w:rPr>
          <w:noProof/>
        </w:rPr>
        <w:t xml:space="preserve">184 ms ±32) </w:t>
      </w:r>
      <w:r w:rsidRPr="009D4627">
        <w:rPr>
          <w:noProof/>
        </w:rPr>
        <w:fldChar w:fldCharType="begin">
          <w:fldData xml:space="preserve">PEVuZE5vdGU+PENpdGU+PEF1dGhvcj5Cb25uZXQ8L0F1dGhvcj48WWVhcj4yMDEzPC9ZZWFyPjxJ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</w:fldData>
        </w:fldChar>
      </w:r>
      <w:r w:rsidR="00945A16" w:rsidRPr="009D4627">
        <w:rPr>
          <w:noProof/>
        </w:rPr>
        <w:instrText xml:space="preserve"> ADDIN EN.CITE </w:instrText>
      </w:r>
      <w:r w:rsidR="00945A16" w:rsidRPr="009D4627">
        <w:rPr>
          <w:noProof/>
        </w:rPr>
        <w:fldChar w:fldCharType="begin">
          <w:fldData xml:space="preserve">PEVuZE5vdGU+PENpdGU+PEF1dGhvcj5Cb25uZXQ8L0F1dGhvcj48WWVhcj4yMDEzPC9ZZWFyPjxJ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</w:fldData>
        </w:fldChar>
      </w:r>
      <w:r w:rsidR="00945A16" w:rsidRPr="009D4627">
        <w:rPr>
          <w:noProof/>
        </w:rPr>
        <w:instrText xml:space="preserve"> ADDIN EN.CITE.DATA </w:instrText>
      </w:r>
      <w:r w:rsidR="00945A16" w:rsidRPr="009D4627">
        <w:rPr>
          <w:noProof/>
        </w:rPr>
      </w:r>
      <w:r w:rsidR="00945A16" w:rsidRPr="009D4627">
        <w:rPr>
          <w:noProof/>
        </w:rPr>
        <w:fldChar w:fldCharType="end"/>
      </w:r>
      <w:r w:rsidRPr="009D4627">
        <w:rPr>
          <w:noProof/>
        </w:rPr>
      </w:r>
      <w:r w:rsidRPr="009D4627">
        <w:rPr>
          <w:noProof/>
        </w:rPr>
        <w:fldChar w:fldCharType="separate"/>
      </w:r>
      <w:r w:rsidR="00945A16" w:rsidRPr="009D4627">
        <w:rPr>
          <w:noProof/>
        </w:rPr>
        <w:t>(Bonnet et al., 2013)</w:t>
      </w:r>
      <w:r w:rsidRPr="009D4627">
        <w:rPr>
          <w:noProof/>
        </w:rPr>
        <w:fldChar w:fldCharType="end"/>
      </w:r>
      <w:r w:rsidRPr="009D4627">
        <w:rPr>
          <w:noProof/>
        </w:rPr>
        <w:t>. The study was conducted among 145 participants, mean age of 47.48 ±18.17</w:t>
      </w:r>
      <w:r w:rsidR="00AE6F60" w:rsidRPr="009D4627">
        <w:rPr>
          <w:noProof/>
        </w:rPr>
        <w:t xml:space="preserve"> years</w:t>
      </w:r>
      <w:r w:rsidRPr="009D4627">
        <w:rPr>
          <w:noProof/>
        </w:rPr>
        <w:t xml:space="preserve">. The result was in agreement with an earlier study by Tzelepi et al. (2009). </w:t>
      </w:r>
    </w:p>
    <w:p w14:paraId="043F1D5B" w14:textId="015C4F8E" w:rsidR="00F30129" w:rsidRPr="009D4627" w:rsidRDefault="00AE6F60" w:rsidP="00F30129">
      <w:pPr>
        <w:rPr>
          <w:noProof/>
        </w:rPr>
      </w:pPr>
      <w:r w:rsidRPr="009D4627">
        <w:rPr>
          <w:noProof/>
        </w:rPr>
        <w:t>A p</w:t>
      </w:r>
      <w:r w:rsidR="00F507D7" w:rsidRPr="009D4627">
        <w:rPr>
          <w:noProof/>
        </w:rPr>
        <w:t xml:space="preserve">revious study found the average horizontal </w:t>
      </w:r>
      <w:r w:rsidR="00944720" w:rsidRPr="009D4627">
        <w:rPr>
          <w:noProof/>
        </w:rPr>
        <w:t>saccadic</w:t>
      </w:r>
      <w:r w:rsidR="00F507D7" w:rsidRPr="009D4627">
        <w:rPr>
          <w:noProof/>
        </w:rPr>
        <w:t xml:space="preserve"> latency of 8 young participants (19-26 years old) was 235 ms, while 20 elderly</w:t>
      </w:r>
      <w:r w:rsidR="004F51B2" w:rsidRPr="009D4627">
        <w:rPr>
          <w:noProof/>
        </w:rPr>
        <w:t xml:space="preserve"> participants</w:t>
      </w:r>
      <w:r w:rsidR="00F507D7" w:rsidRPr="009D4627">
        <w:rPr>
          <w:noProof/>
        </w:rPr>
        <w:t xml:space="preserve"> had ≈100 ms longer than young </w:t>
      </w:r>
      <w:r w:rsidR="004F51B2" w:rsidRPr="009D4627">
        <w:rPr>
          <w:noProof/>
        </w:rPr>
        <w:t>participants</w:t>
      </w:r>
      <w:r w:rsidR="00F507D7" w:rsidRPr="009D4627">
        <w:rPr>
          <w:noProof/>
        </w:rPr>
        <w:t xml:space="preserve"> </w:t>
      </w:r>
      <w:r w:rsidR="00F507D7" w:rsidRPr="009D4627">
        <w:rPr>
          <w:noProof/>
        </w:rPr>
        <w:fldChar w:fldCharType="begin"/>
      </w:r>
      <w:r w:rsidR="00C40138" w:rsidRPr="009D4627">
        <w:rPr>
          <w:noProof/>
        </w:rPr>
        <w:instrText xml:space="preserve"> ADDIN EN.CITE &lt;EndNote&gt;&lt;Cite&gt;&lt;Author&gt;Warabi&lt;/Author&gt;&lt;Year&gt;1984&lt;/Year&gt;&lt;IDText&gt;Effect of aging on the accuracy of visually guided saccadic eye movement&lt;/IDText&gt;&lt;DisplayText&gt;(Warabi et al., 1984)&lt;/DisplayText&gt;&lt;record&gt;&lt;isbn&gt;0364-5134&lt;/isbn&gt;&lt;titles&gt;&lt;title&gt;Effect of aging on the accuracy of visually guided saccadic eye movement&lt;/title&gt;&lt;secondary-title&gt;Annals of neurology.&lt;/secondary-title&gt;&lt;/titles&gt;&lt;pages&gt;449-454&lt;/pages&gt;&lt;number&gt;4&lt;/number&gt;&lt;contributors&gt;&lt;authors&gt;&lt;author&gt;Warabi, Tateo&lt;/author&gt;&lt;author&gt;Kase, Manabu&lt;/author&gt;&lt;author&gt;Kato, Takamasa&lt;/author&gt;&lt;/authors&gt;&lt;/contributors&gt;&lt;added-date format="utc"&gt;1564504606&lt;/added-date&gt;&lt;ref-type name="Journal Article"&gt;17&lt;/ref-type&gt;&lt;dates&gt;&lt;year&gt;1984&lt;/year&gt;&lt;/dates&gt;&lt;rec-number&gt;569&lt;/rec-number&gt;&lt;last-updated-date format="utc"&gt;1564504714&lt;/last-updated-date&gt;&lt;electronic-resource-num&gt;10.1002/ana.410160405&amp;#xD;info:doi/10.1002/ana.410160405&lt;/electronic-resource-num&gt;&lt;volume&gt;16&lt;/volume&gt;&lt;/record&gt;&lt;/Cite&gt;&lt;/EndNote&gt;</w:instrText>
      </w:r>
      <w:r w:rsidR="00F507D7" w:rsidRPr="009D4627">
        <w:rPr>
          <w:noProof/>
        </w:rPr>
        <w:fldChar w:fldCharType="separate"/>
      </w:r>
      <w:r w:rsidR="00C40138" w:rsidRPr="009D4627">
        <w:rPr>
          <w:noProof/>
        </w:rPr>
        <w:t>(Warabi et al., 1984)</w:t>
      </w:r>
      <w:r w:rsidR="00F507D7" w:rsidRPr="009D4627">
        <w:rPr>
          <w:noProof/>
        </w:rPr>
        <w:fldChar w:fldCharType="end"/>
      </w:r>
      <w:r w:rsidR="00F507D7" w:rsidRPr="009D4627">
        <w:rPr>
          <w:noProof/>
        </w:rPr>
        <w:t>. Another study found that</w:t>
      </w:r>
      <w:r w:rsidR="004F51B2" w:rsidRPr="009D4627">
        <w:rPr>
          <w:noProof/>
        </w:rPr>
        <w:t xml:space="preserve"> horizontal</w:t>
      </w:r>
      <w:r w:rsidR="00F507D7" w:rsidRPr="009D4627">
        <w:rPr>
          <w:noProof/>
        </w:rPr>
        <w:t xml:space="preserve"> </w:t>
      </w:r>
      <w:r w:rsidR="00944720" w:rsidRPr="009D4627">
        <w:rPr>
          <w:noProof/>
        </w:rPr>
        <w:t>saccadic</w:t>
      </w:r>
      <w:r w:rsidR="00F507D7" w:rsidRPr="009D4627">
        <w:rPr>
          <w:noProof/>
        </w:rPr>
        <w:t xml:space="preserve"> latency prolonged among old participants only at the larger </w:t>
      </w:r>
      <w:r w:rsidR="00944720" w:rsidRPr="009D4627">
        <w:rPr>
          <w:noProof/>
        </w:rPr>
        <w:t>saccadic</w:t>
      </w:r>
      <w:r w:rsidR="00F507D7" w:rsidRPr="009D4627">
        <w:rPr>
          <w:noProof/>
        </w:rPr>
        <w:t xml:space="preserve"> amplitudes,  ≥35° </w:t>
      </w:r>
      <w:r w:rsidR="00F507D7" w:rsidRPr="009D4627">
        <w:rPr>
          <w:noProof/>
        </w:rPr>
        <w:fldChar w:fldCharType="begin"/>
      </w:r>
      <w:r w:rsidR="00945A16" w:rsidRPr="009D4627">
        <w:rPr>
          <w:noProof/>
        </w:rPr>
        <w:instrText xml:space="preserve"> ADDIN EN.CITE &lt;EndNote&gt;&lt;Cite&gt;&lt;Author&gt;Wilson&lt;/Author&gt;&lt;Year&gt;1993&lt;/Year&gt;&lt;IDText&gt;Saccadic eye movement parameters in normal subjects&lt;/IDText&gt;&lt;DisplayText&gt;(Wilson et al., 1993)&lt;/DisplayText&gt;&lt;record&gt;&lt;keywords&gt;&lt;keyword&gt;Saccadic Eye Movements&lt;/keyword&gt;&lt;keyword&gt;Electrooculography&lt;/keyword&gt;&lt;keyword&gt;Normal Controls&lt;/keyword&gt;&lt;keyword&gt;Medicine&lt;/keyword&gt;&lt;/keywords&gt;&lt;isbn&gt;0013-4694&lt;/isbn&gt;&lt;titles&gt;&lt;title&gt;Saccadic eye movement parameters in normal subjects&lt;/title&gt;&lt;secondary-title&gt;Electroencephalography and Clinical Neurophysiology&lt;/secondary-title&gt;&lt;/titles&gt;&lt;pages&gt;69-74&lt;/pages&gt;&lt;number&gt;1&lt;/number&gt;&lt;contributors&gt;&lt;authors&gt;&lt;author&gt;Wilson, Susan J.&lt;/author&gt;&lt;author&gt;Glue, Paul&lt;/author&gt;&lt;author&gt;Ball, David&lt;/author&gt;&lt;author&gt;Nutt, David J.&lt;/author&gt;&lt;/authors&gt;&lt;/contributors&gt;&lt;added-date format="utc"&gt;1582712030&lt;/added-date&gt;&lt;ref-type name="Journal Article"&gt;17&lt;/ref-type&gt;&lt;dates&gt;&lt;year&gt;1993&lt;/year&gt;&lt;/dates&gt;&lt;rec-number&gt;655&lt;/rec-number&gt;&lt;last-updated-date format="utc"&gt;1582712030&lt;/last-updated-date&gt;&lt;electronic-resource-num&gt;10.1016/0013-4694(93)90068-7&lt;/electronic-resource-num&gt;&lt;volume&gt;86&lt;/volume&gt;&lt;/record&gt;&lt;/Cite&gt;&lt;/EndNote&gt;</w:instrText>
      </w:r>
      <w:r w:rsidR="00F507D7" w:rsidRPr="009D4627">
        <w:rPr>
          <w:noProof/>
        </w:rPr>
        <w:fldChar w:fldCharType="separate"/>
      </w:r>
      <w:r w:rsidR="00945A16" w:rsidRPr="009D4627">
        <w:rPr>
          <w:noProof/>
        </w:rPr>
        <w:t>(Wilson et al., 1993)</w:t>
      </w:r>
      <w:r w:rsidR="00F507D7" w:rsidRPr="009D4627">
        <w:rPr>
          <w:noProof/>
        </w:rPr>
        <w:fldChar w:fldCharType="end"/>
      </w:r>
      <w:r w:rsidR="00F507D7" w:rsidRPr="009D4627">
        <w:rPr>
          <w:noProof/>
        </w:rPr>
        <w:t xml:space="preserve">. </w:t>
      </w:r>
      <w:r w:rsidR="0026697B" w:rsidRPr="009D4627">
        <w:rPr>
          <w:noProof/>
        </w:rPr>
        <w:t>Vertical saccades had longer latency than horizontal, but ageing was not influenced it</w:t>
      </w:r>
      <w:r w:rsidR="004F51B2" w:rsidRPr="009D4627">
        <w:rPr>
          <w:noProof/>
        </w:rPr>
        <w:t xml:space="preserve"> </w:t>
      </w:r>
      <w:r w:rsidR="004F51B2" w:rsidRPr="009D4627">
        <w:rPr>
          <w:noProof/>
        </w:rPr>
        <w:fldChar w:fldCharType="begin"/>
      </w:r>
      <w:r w:rsidR="00C40138" w:rsidRPr="009D4627">
        <w:rPr>
          <w:noProof/>
        </w:rPr>
        <w:instrText xml:space="preserve"> ADDIN EN.CITE &lt;EndNote&gt;&lt;Cite&gt;&lt;Author&gt;Irving&lt;/Author&gt;&lt;Year&gt;2018&lt;/Year&gt;&lt;IDText&gt;Difference between vertical and horizontal saccades across the human lifespan&lt;/IDText&gt;&lt;DisplayText&gt;(Irving &amp;amp; Lillakas, 2018)&lt;/DisplayText&gt;&lt;record&gt;&lt;isbn&gt;0014-4835&lt;/isbn&gt;&lt;titles&gt;&lt;title&gt;Difference between vertical and horizontal saccades across the human lifespan&lt;/title&gt;&lt;secondary-title&gt;Experimental eye research.&lt;/secondary-title&gt;&lt;/titles&gt;&lt;pages&gt;38-45&lt;/pages&gt;&lt;contributors&gt;&lt;authors&gt;&lt;author&gt;Irving, Elizabeth L.&lt;/author&gt;&lt;author&gt;Lillakas, Linda&lt;/author&gt;&lt;/authors&gt;&lt;/contributors&gt;&lt;added-date format="utc"&gt;1568025436&lt;/added-date&gt;&lt;pub-location&gt;[London] :&lt;/pub-location&gt;&lt;ref-type name="Journal Article"&gt;17&lt;/ref-type&gt;&lt;dates&gt;&lt;year&gt;2018&lt;/year&gt;&lt;/dates&gt;&lt;rec-number&gt;598&lt;/rec-number&gt;&lt;last-updated-date format="utc"&gt;1582822330&lt;/last-updated-date&gt;&lt;electronic-resource-num&gt;10.1016/j.exer.2018.08.020&amp;#xD;info:doi/10.1016/j.exer.2018.08.020&lt;/electronic-resource-num&gt;&lt;volume&gt;183&lt;/volume&gt;&lt;/record&gt;&lt;/Cite&gt;&lt;/EndNote&gt;</w:instrText>
      </w:r>
      <w:r w:rsidR="004F51B2" w:rsidRPr="009D4627">
        <w:rPr>
          <w:noProof/>
        </w:rPr>
        <w:fldChar w:fldCharType="separate"/>
      </w:r>
      <w:r w:rsidR="00C40138" w:rsidRPr="009D4627">
        <w:rPr>
          <w:noProof/>
        </w:rPr>
        <w:t>(Irving &amp; Lillakas, 2018)</w:t>
      </w:r>
      <w:r w:rsidR="004F51B2" w:rsidRPr="009D4627">
        <w:rPr>
          <w:noProof/>
        </w:rPr>
        <w:fldChar w:fldCharType="end"/>
      </w:r>
      <w:r w:rsidR="0026697B" w:rsidRPr="009D4627">
        <w:rPr>
          <w:noProof/>
        </w:rPr>
        <w:t xml:space="preserve">. </w:t>
      </w:r>
      <w:r w:rsidR="00200D1F" w:rsidRPr="009D4627">
        <w:rPr>
          <w:noProof/>
        </w:rPr>
        <w:t>R</w:t>
      </w:r>
      <w:r w:rsidR="00F30129" w:rsidRPr="009D4627">
        <w:rPr>
          <w:noProof/>
        </w:rPr>
        <w:t>ecent stud</w:t>
      </w:r>
      <w:r w:rsidR="00200D1F" w:rsidRPr="009D4627">
        <w:rPr>
          <w:noProof/>
        </w:rPr>
        <w:t>ies also</w:t>
      </w:r>
      <w:r w:rsidR="00F30129" w:rsidRPr="009D4627">
        <w:rPr>
          <w:noProof/>
        </w:rPr>
        <w:t xml:space="preserve"> reported that ageing </w:t>
      </w:r>
      <w:r w:rsidRPr="009D4627">
        <w:rPr>
          <w:noProof/>
        </w:rPr>
        <w:t>significantly affected</w:t>
      </w:r>
      <w:r w:rsidR="00200D1F" w:rsidRPr="009D4627">
        <w:rPr>
          <w:noProof/>
        </w:rPr>
        <w:t xml:space="preserve"> the</w:t>
      </w:r>
      <w:r w:rsidR="00F30129" w:rsidRPr="009D4627">
        <w:rPr>
          <w:noProof/>
        </w:rPr>
        <w:t xml:space="preserve"> </w:t>
      </w:r>
      <w:r w:rsidR="00944720" w:rsidRPr="009D4627">
        <w:rPr>
          <w:noProof/>
        </w:rPr>
        <w:t>saccadic</w:t>
      </w:r>
      <w:r w:rsidR="00F30129" w:rsidRPr="009D4627">
        <w:rPr>
          <w:noProof/>
        </w:rPr>
        <w:t xml:space="preserve"> latency </w:t>
      </w:r>
      <w:r w:rsidR="00200D1F" w:rsidRPr="009D4627">
        <w:rPr>
          <w:noProof/>
        </w:rPr>
        <w:fldChar w:fldCharType="begin">
          <w:fldData xml:space="preserve">PEVuZE5vdGU+PENpdGU+PEF1dGhvcj5Ib3BmPC9BdXRob3I+PFllYXI+MjAxODwvWWVhcj48SURU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</w:fldData>
        </w:fldChar>
      </w:r>
      <w:r w:rsidR="00C40138" w:rsidRPr="009D4627">
        <w:rPr>
          <w:noProof/>
        </w:rPr>
        <w:instrText xml:space="preserve"> ADDIN EN.CITE </w:instrText>
      </w:r>
      <w:r w:rsidR="00C40138" w:rsidRPr="009D4627">
        <w:rPr>
          <w:noProof/>
        </w:rPr>
        <w:fldChar w:fldCharType="begin">
          <w:fldData xml:space="preserve">PEVuZE5vdGU+PENpdGU+PEF1dGhvcj5Ib3BmPC9BdXRob3I+PFllYXI+MjAxODwvWWVhcj48SURU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</w:fldData>
        </w:fldChar>
      </w:r>
      <w:r w:rsidR="00C40138" w:rsidRPr="009D4627">
        <w:rPr>
          <w:noProof/>
        </w:rPr>
        <w:instrText xml:space="preserve"> ADDIN EN.CITE.DATA </w:instrText>
      </w:r>
      <w:r w:rsidR="00C40138" w:rsidRPr="009D4627">
        <w:rPr>
          <w:noProof/>
        </w:rPr>
      </w:r>
      <w:r w:rsidR="00C40138" w:rsidRPr="009D4627">
        <w:rPr>
          <w:noProof/>
        </w:rPr>
        <w:fldChar w:fldCharType="end"/>
      </w:r>
      <w:r w:rsidR="00200D1F" w:rsidRPr="009D4627">
        <w:rPr>
          <w:noProof/>
        </w:rPr>
      </w:r>
      <w:r w:rsidR="00200D1F" w:rsidRPr="009D4627">
        <w:rPr>
          <w:noProof/>
        </w:rPr>
        <w:fldChar w:fldCharType="separate"/>
      </w:r>
      <w:r w:rsidR="00C40138" w:rsidRPr="009D4627">
        <w:rPr>
          <w:noProof/>
        </w:rPr>
        <w:t>(Hopf et al., 2018; Irving &amp; Lillakas, 2018)</w:t>
      </w:r>
      <w:r w:rsidR="00200D1F" w:rsidRPr="009D4627">
        <w:rPr>
          <w:noProof/>
        </w:rPr>
        <w:fldChar w:fldCharType="end"/>
      </w:r>
      <w:r w:rsidR="00F30129" w:rsidRPr="009D4627">
        <w:rPr>
          <w:noProof/>
        </w:rPr>
        <w:t xml:space="preserve">. The difference could be due to the different number of participants recruited, testing paradigms, education, motivation, and participants' attention level. </w:t>
      </w:r>
      <w:r w:rsidR="00827A53" w:rsidRPr="009D4627">
        <w:rPr>
          <w:noProof/>
        </w:rPr>
        <w:t xml:space="preserve"> </w:t>
      </w:r>
    </w:p>
    <w:p w14:paraId="6E8FAF60" w14:textId="24542A0B" w:rsidR="00F30129" w:rsidRPr="009D4627" w:rsidRDefault="00944720" w:rsidP="00CA4E90">
      <w:pPr>
        <w:pStyle w:val="Heading4"/>
      </w:pPr>
      <w:bookmarkStart w:id="43" w:name="_Toc98964618"/>
      <w:bookmarkStart w:id="44" w:name="_Toc103344663"/>
      <w:r w:rsidRPr="009D4627">
        <w:t>Saccadic</w:t>
      </w:r>
      <w:r w:rsidR="00F30129" w:rsidRPr="009D4627">
        <w:t xml:space="preserve"> peak velocity</w:t>
      </w:r>
      <w:bookmarkEnd w:id="43"/>
      <w:bookmarkEnd w:id="44"/>
    </w:p>
    <w:p w14:paraId="1947FB66" w14:textId="6357C67B" w:rsidR="00F30129" w:rsidRPr="009D4627" w:rsidRDefault="004F51B2" w:rsidP="00F30129">
      <w:pPr>
        <w:rPr>
          <w:rFonts w:eastAsia="DengXian"/>
        </w:rPr>
      </w:pPr>
      <w:r w:rsidRPr="009D4627">
        <w:t xml:space="preserve">Saccadic velocity is a linear function to the </w:t>
      </w:r>
      <w:r w:rsidR="00944720" w:rsidRPr="009D4627">
        <w:t>saccadic</w:t>
      </w:r>
      <w:r w:rsidRPr="009D4627">
        <w:t xml:space="preserve"> amplitude within 5°</w:t>
      </w:r>
      <w:r w:rsidR="003B46EB" w:rsidRPr="009D4627">
        <w:t>-</w:t>
      </w:r>
      <w:r w:rsidRPr="009D4627">
        <w:t xml:space="preserve">15°. It reaches 'soft saturation' as the </w:t>
      </w:r>
      <w:r w:rsidR="00944720" w:rsidRPr="009D4627">
        <w:t>saccadic</w:t>
      </w:r>
      <w:r w:rsidRPr="009D4627">
        <w:t xml:space="preserve"> amplitude increases beyond 20°</w:t>
      </w:r>
      <w:r w:rsidR="00F30129" w:rsidRPr="009D4627">
        <w:t xml:space="preserve"> </w:t>
      </w:r>
      <w:r w:rsidR="00F30129" w:rsidRPr="009D4627">
        <w:fldChar w:fldCharType="begin">
          <w:fldData xml:space="preserve">PEVuZE5vdGU+PENpdGU+PEF1dGhvcj5FbmRlcmxlPC9BdXRob3I+PFllYXI+MjAxMDwvWWVhcj48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</w:fldData>
        </w:fldChar>
      </w:r>
      <w:r w:rsidR="00C40138" w:rsidRPr="009D4627">
        <w:instrText xml:space="preserve"> ADDIN EN.CITE </w:instrText>
      </w:r>
      <w:r w:rsidR="00C40138" w:rsidRPr="009D4627">
        <w:fldChar w:fldCharType="begin">
          <w:fldData xml:space="preserve">PEVuZE5vdGU+PENpdGU+PEF1dGhvcj5FbmRlcmxlPC9BdXRob3I+PFllYXI+MjAxMDwvWWVhcj48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</w:fldData>
        </w:fldChar>
      </w:r>
      <w:r w:rsidR="00C40138" w:rsidRPr="009D4627">
        <w:instrText xml:space="preserve"> ADDIN EN.CITE.DATA </w:instrText>
      </w:r>
      <w:r w:rsidR="00C40138" w:rsidRPr="009D4627">
        <w:fldChar w:fldCharType="end"/>
      </w:r>
      <w:r w:rsidR="00F30129" w:rsidRPr="009D4627">
        <w:fldChar w:fldCharType="separate"/>
      </w:r>
      <w:r w:rsidR="00C40138" w:rsidRPr="009D4627">
        <w:rPr>
          <w:noProof/>
        </w:rPr>
        <w:t>(A. Terry Bahill et al., 1975; Enderle, 2010)</w:t>
      </w:r>
      <w:r w:rsidR="00F30129" w:rsidRPr="009D4627">
        <w:fldChar w:fldCharType="end"/>
      </w:r>
      <w:r w:rsidR="00F30129" w:rsidRPr="009D4627">
        <w:t xml:space="preserve">, </w:t>
      </w:r>
      <w:r w:rsidRPr="009D4627">
        <w:t xml:space="preserve">as shown in Figure 1.6. </w:t>
      </w:r>
      <w:r w:rsidRPr="009D4627">
        <w:rPr>
          <w:rFonts w:eastAsia="DengXian"/>
        </w:rPr>
        <w:t xml:space="preserve">The peak velocity is described as the relationship of peak velocity to the </w:t>
      </w:r>
      <w:r w:rsidR="00944720" w:rsidRPr="009D4627">
        <w:rPr>
          <w:rFonts w:eastAsia="DengXian"/>
        </w:rPr>
        <w:t>saccadic</w:t>
      </w:r>
      <w:r w:rsidRPr="009D4627">
        <w:rPr>
          <w:rFonts w:eastAsia="DengXian"/>
        </w:rPr>
        <w:t xml:space="preserve"> amplitude, known as the </w:t>
      </w:r>
      <w:r w:rsidR="00944720" w:rsidRPr="009D4627">
        <w:rPr>
          <w:rFonts w:eastAsia="DengXian"/>
        </w:rPr>
        <w:t>saccadic</w:t>
      </w:r>
      <w:r w:rsidRPr="009D4627">
        <w:rPr>
          <w:rFonts w:eastAsia="DengXian"/>
        </w:rPr>
        <w:t xml:space="preserve"> main sequence</w:t>
      </w:r>
      <w:r w:rsidR="00F30129" w:rsidRPr="009D4627">
        <w:rPr>
          <w:rFonts w:eastAsia="DengXian"/>
        </w:rPr>
        <w:t xml:space="preserve"> </w:t>
      </w:r>
      <w:r w:rsidR="00F30129" w:rsidRPr="009D4627">
        <w:rPr>
          <w:rFonts w:eastAsia="DengXian"/>
        </w:rPr>
        <w:fldChar w:fldCharType="begin"/>
      </w:r>
      <w:r w:rsidR="00C65289" w:rsidRPr="009D4627">
        <w:rPr>
          <w:rFonts w:eastAsia="DengXian"/>
        </w:rPr>
        <w:instrText xml:space="preserve"> ADDIN EN.CITE &lt;EndNote&gt;&lt;Cite&gt;&lt;Author&gt;Bahill&lt;/Author&gt;&lt;Year&gt;1975&lt;/Year&gt;&lt;IDText&gt;The main sequence, a tool for studying human eye movements&lt;/IDText&gt;&lt;DisplayText&gt;(A. Terry Bahill et al., 1975)&lt;/DisplayText&gt;&lt;record&gt;&lt;keywords&gt;&lt;keyword&gt;Biology&lt;/keyword&gt;&lt;keyword&gt;Mathematics&lt;/keyword&gt;&lt;/keywords&gt;&lt;isbn&gt;0025-5564&lt;/isbn&gt;&lt;titles&gt;&lt;title&gt;The main sequence, a tool for studying human eye movements&lt;/title&gt;&lt;secondary-title&gt;Mathematical Biosciences&lt;/secondary-title&gt;&lt;/titles&gt;&lt;pages&gt;191-204&lt;/pages&gt;&lt;number&gt;3-4&lt;/number&gt;&lt;contributors&gt;&lt;authors&gt;&lt;author&gt;Bahill, A. Terry&lt;/author&gt;&lt;author&gt;Clark, Michael R.&lt;/author&gt;&lt;author&gt;Stark, Lawrence&lt;/author&gt;&lt;/authors&gt;&lt;/contributors&gt;&lt;added-date format="utc"&gt;1582392946&lt;/added-date&gt;&lt;ref-type name="Journal Article"&gt;17&lt;/ref-type&gt;&lt;dates&gt;&lt;year&gt;1975&lt;/year&gt;&lt;/dates&gt;&lt;rec-number&gt;645&lt;/rec-number&gt;&lt;last-updated-date format="utc"&gt;1582392946&lt;/last-updated-date&gt;&lt;electronic-resource-num&gt;10.1016/0025-5564(75)90075-9&lt;/electronic-resource-num&gt;&lt;volume&gt;24&lt;/volume&gt;&lt;/record&gt;&lt;/Cite&gt;&lt;/EndNote&gt;</w:instrText>
      </w:r>
      <w:r w:rsidR="00F30129" w:rsidRPr="009D4627">
        <w:rPr>
          <w:rFonts w:eastAsia="DengXian"/>
        </w:rPr>
        <w:fldChar w:fldCharType="separate"/>
      </w:r>
      <w:r w:rsidR="00C65289" w:rsidRPr="009D4627">
        <w:rPr>
          <w:rFonts w:eastAsia="DengXian"/>
          <w:noProof/>
        </w:rPr>
        <w:t>(A. Terry Bahill et al., 1975)</w:t>
      </w:r>
      <w:r w:rsidR="00F30129" w:rsidRPr="009D4627">
        <w:rPr>
          <w:rFonts w:eastAsia="DengXian"/>
        </w:rPr>
        <w:fldChar w:fldCharType="end"/>
      </w:r>
      <w:r w:rsidR="00F30129" w:rsidRPr="009D4627">
        <w:t xml:space="preserve">. </w:t>
      </w:r>
      <w:r w:rsidR="004F534F" w:rsidRPr="009D4627">
        <w:rPr>
          <w:rFonts w:eastAsia="DengXian"/>
        </w:rPr>
        <w:t xml:space="preserve">The effect of ageing on peak velocity remains debatable (refer </w:t>
      </w:r>
      <w:r w:rsidR="00AE6F60" w:rsidRPr="009D4627">
        <w:rPr>
          <w:rFonts w:eastAsia="DengXian"/>
        </w:rPr>
        <w:t xml:space="preserve">to </w:t>
      </w:r>
      <w:r w:rsidR="004F534F" w:rsidRPr="009D4627">
        <w:rPr>
          <w:rFonts w:eastAsia="DengXian"/>
        </w:rPr>
        <w:t xml:space="preserve">section 1.4.2 for a </w:t>
      </w:r>
      <w:r w:rsidR="00AE6F60" w:rsidRPr="009D4627">
        <w:rPr>
          <w:rFonts w:eastAsia="DengXian"/>
        </w:rPr>
        <w:t>complete</w:t>
      </w:r>
      <w:r w:rsidR="004F534F" w:rsidRPr="009D4627">
        <w:rPr>
          <w:rFonts w:eastAsia="DengXian"/>
        </w:rPr>
        <w:t xml:space="preserve"> discussion of the effects of ageing)</w:t>
      </w:r>
      <w:r w:rsidR="00F30129" w:rsidRPr="009D4627">
        <w:rPr>
          <w:rFonts w:eastAsia="DengXian"/>
        </w:rPr>
        <w:t xml:space="preserve">. </w:t>
      </w:r>
    </w:p>
    <w:p w14:paraId="798445E7" w14:textId="24FCD21E" w:rsidR="00F30129" w:rsidRPr="009D4627" w:rsidRDefault="00F30129" w:rsidP="00326110">
      <w:pPr>
        <w:spacing w:after="0" w:line="240" w:lineRule="auto"/>
        <w:jc w:val="center"/>
        <w:rPr>
          <w:rFonts w:eastAsia="DengXian"/>
        </w:rPr>
      </w:pPr>
      <w:r w:rsidRPr="009D4627">
        <w:rPr>
          <w:noProof/>
          <w:lang w:val="en-US"/>
        </w:rPr>
        <w:lastRenderedPageBreak/>
        <w:drawing>
          <wp:inline distT="0" distB="0" distL="0" distR="0" wp14:anchorId="09EACC72" wp14:editId="72B5D3CC">
            <wp:extent cx="3721395" cy="2416717"/>
            <wp:effectExtent l="0" t="0" r="0" b="317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741028" cy="2429467"/>
                    </a:xfrm>
                    <a:prstGeom prst="rect">
                      <a:avLst/>
                    </a:prstGeom>
                  </pic:spPr>
                </pic:pic>
              </a:graphicData>
            </a:graphic>
          </wp:inline>
        </w:drawing>
      </w:r>
    </w:p>
    <w:p w14:paraId="627AA48E" w14:textId="35B1B5D2" w:rsidR="00F30129" w:rsidRPr="009D4627" w:rsidRDefault="00397DD6" w:rsidP="00C4130D">
      <w:pPr>
        <w:pStyle w:val="Caption"/>
      </w:pPr>
      <w:bookmarkStart w:id="45" w:name="_Toc73609236"/>
      <w:bookmarkStart w:id="46" w:name="_Toc73804897"/>
      <w:bookmarkStart w:id="47" w:name="_Toc98570007"/>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6</w:t>
      </w:r>
      <w:r w:rsidR="002E63E9" w:rsidRPr="009D4627">
        <w:rPr>
          <w:noProof/>
        </w:rPr>
        <w:fldChar w:fldCharType="end"/>
      </w:r>
      <w:r w:rsidRPr="009D4627">
        <w:t xml:space="preserve">: </w:t>
      </w:r>
      <w:r w:rsidR="00F30129" w:rsidRPr="009D4627">
        <w:t>The main sequence of saccades showing the relationship of peak velocity</w:t>
      </w:r>
      <w:r w:rsidR="00D91AAB" w:rsidRPr="009D4627">
        <w:t xml:space="preserve"> to </w:t>
      </w:r>
      <w:r w:rsidR="00F30129" w:rsidRPr="009D4627">
        <w:t xml:space="preserve">the </w:t>
      </w:r>
      <w:r w:rsidR="00944720" w:rsidRPr="009D4627">
        <w:t>saccadic</w:t>
      </w:r>
      <w:r w:rsidR="00F30129" w:rsidRPr="009D4627">
        <w:t xml:space="preserve"> amplitudes for 26 </w:t>
      </w:r>
      <w:r w:rsidR="00944720" w:rsidRPr="009D4627">
        <w:t>saccadic</w:t>
      </w:r>
      <w:r w:rsidR="00F30129" w:rsidRPr="009D4627">
        <w:t xml:space="preserve"> movements by a single subject. From </w:t>
      </w:r>
      <w:proofErr w:type="spellStart"/>
      <w:r w:rsidR="00F30129" w:rsidRPr="009D4627">
        <w:t>Enderle</w:t>
      </w:r>
      <w:proofErr w:type="spellEnd"/>
      <w:r w:rsidR="00F30129" w:rsidRPr="009D4627">
        <w:t>, J. (1988).</w:t>
      </w:r>
      <w:bookmarkEnd w:id="45"/>
      <w:bookmarkEnd w:id="46"/>
      <w:bookmarkEnd w:id="47"/>
      <w:r w:rsidR="00F30129" w:rsidRPr="009D4627">
        <w:t xml:space="preserve"> </w:t>
      </w:r>
    </w:p>
    <w:p w14:paraId="130B2F71" w14:textId="53B0FB9D" w:rsidR="00D91AAB" w:rsidRPr="009D4627" w:rsidRDefault="00D91AAB" w:rsidP="00326110">
      <w:pPr>
        <w:spacing w:line="240" w:lineRule="auto"/>
        <w:rPr>
          <w:i/>
          <w:iCs/>
          <w:color w:val="44546A" w:themeColor="text2"/>
        </w:rPr>
      </w:pPr>
    </w:p>
    <w:p w14:paraId="41D05C5F" w14:textId="3ECC7AE0" w:rsidR="00F30129" w:rsidRDefault="00944720" w:rsidP="00CA4E90">
      <w:pPr>
        <w:pStyle w:val="Heading4"/>
      </w:pPr>
      <w:bookmarkStart w:id="48" w:name="_Toc98964619"/>
      <w:bookmarkStart w:id="49" w:name="_Toc103344664"/>
      <w:r w:rsidRPr="009D4627">
        <w:t>Saccadic</w:t>
      </w:r>
      <w:r w:rsidR="00F30129" w:rsidRPr="009D4627">
        <w:t xml:space="preserve"> </w:t>
      </w:r>
      <w:r w:rsidR="00D91AAB" w:rsidRPr="009D4627">
        <w:t>gain</w:t>
      </w:r>
      <w:bookmarkEnd w:id="48"/>
      <w:bookmarkEnd w:id="49"/>
    </w:p>
    <w:p w14:paraId="4592AFE0" w14:textId="45CC29EB" w:rsidR="00427ADA" w:rsidRPr="00427ADA" w:rsidRDefault="00427ADA" w:rsidP="00427ADA">
      <w:r w:rsidRPr="009D4627">
        <w:rPr>
          <w:lang w:eastAsia="en-GB"/>
        </w:rPr>
        <w:t xml:space="preserve">Effective saccades are accurate with a high gain, in which the saccadic amplitude matches the target amplitude, producing the saccadic gain of 1. Thus, the saccadic gain can be measured by dividing the actual saccadic amplitude by the target amplitude. Abnormal or </w:t>
      </w:r>
      <w:proofErr w:type="spellStart"/>
      <w:r w:rsidRPr="009D4627">
        <w:rPr>
          <w:lang w:eastAsia="en-GB"/>
        </w:rPr>
        <w:t>dysmetric</w:t>
      </w:r>
      <w:proofErr w:type="spellEnd"/>
      <w:r w:rsidRPr="009D4627">
        <w:rPr>
          <w:lang w:eastAsia="en-GB"/>
        </w:rPr>
        <w:t xml:space="preserve"> saccades are inaccurate, either the saccadic amplitude being either too small, &lt;1.0 (</w:t>
      </w:r>
      <w:proofErr w:type="spellStart"/>
      <w:r w:rsidRPr="009D4627">
        <w:rPr>
          <w:lang w:eastAsia="en-GB"/>
        </w:rPr>
        <w:t>hypometric</w:t>
      </w:r>
      <w:proofErr w:type="spellEnd"/>
      <w:r w:rsidRPr="009D4627">
        <w:rPr>
          <w:lang w:eastAsia="en-GB"/>
        </w:rPr>
        <w:t xml:space="preserve">), or too large, &gt;1.0 (hypermetric). </w:t>
      </w:r>
      <w:proofErr w:type="spellStart"/>
      <w:r w:rsidRPr="009D4627">
        <w:rPr>
          <w:lang w:eastAsia="en-GB"/>
        </w:rPr>
        <w:t>Hypometric</w:t>
      </w:r>
      <w:proofErr w:type="spellEnd"/>
      <w:r w:rsidRPr="009D4627">
        <w:rPr>
          <w:lang w:eastAsia="en-GB"/>
        </w:rPr>
        <w:t xml:space="preserve"> saccades undershoot the target, are slower movements than expected due to the reduced amplitude and require a second smaller saccade in the same direction to achieve fixation of the target (Figure 1.7-A). Meanwhile, hypermetric refers to saccades that overshoot from the object of interest, which then requires a reversal movement to regain the foveal fixation (Figure 1.7-B)</w:t>
      </w:r>
      <w:r>
        <w:rPr>
          <w:lang w:eastAsia="en-GB"/>
        </w:rPr>
        <w:t>.</w:t>
      </w:r>
    </w:p>
    <w:p w14:paraId="00B7AC16" w14:textId="5DD01785" w:rsidR="00B94036" w:rsidRDefault="00D01B07" w:rsidP="00427ADA">
      <w:pPr>
        <w:spacing w:line="240" w:lineRule="auto"/>
        <w:rPr>
          <w:lang w:eastAsia="en-GB"/>
        </w:rPr>
      </w:pPr>
      <w:r>
        <w:rPr>
          <w:noProof/>
          <w:lang w:eastAsia="en-GB"/>
        </w:rPr>
        <w:lastRenderedPageBreak/>
        <mc:AlternateContent>
          <mc:Choice Requires="wpg">
            <w:drawing>
              <wp:inline distT="0" distB="0" distL="0" distR="0" wp14:anchorId="5701DEEA" wp14:editId="7C1C4C1E">
                <wp:extent cx="5708015" cy="1809115"/>
                <wp:effectExtent l="19050" t="19050" r="26035" b="19685"/>
                <wp:docPr id="17" name="Group 17"/>
                <wp:cNvGraphicFramePr/>
                <a:graphic xmlns:a="http://schemas.openxmlformats.org/drawingml/2006/main">
                  <a:graphicData uri="http://schemas.microsoft.com/office/word/2010/wordprocessingGroup">
                    <wpg:wgp>
                      <wpg:cNvGrpSpPr/>
                      <wpg:grpSpPr>
                        <a:xfrm>
                          <a:off x="0" y="0"/>
                          <a:ext cx="5708015" cy="1809115"/>
                          <a:chOff x="0" y="0"/>
                          <a:chExt cx="5708015" cy="1809115"/>
                        </a:xfrm>
                      </wpg:grpSpPr>
                      <wpg:grpSp>
                        <wpg:cNvPr id="24437" name="Group 24437"/>
                        <wpg:cNvGrpSpPr>
                          <a:grpSpLocks/>
                        </wpg:cNvGrpSpPr>
                        <wpg:grpSpPr bwMode="auto">
                          <a:xfrm>
                            <a:off x="2828925" y="9525"/>
                            <a:ext cx="2879090" cy="1799590"/>
                            <a:chOff x="0" y="0"/>
                            <a:chExt cx="28790" cy="17995"/>
                          </a:xfrm>
                        </wpg:grpSpPr>
                        <pic:pic xmlns:pic="http://schemas.openxmlformats.org/drawingml/2006/picture">
                          <pic:nvPicPr>
                            <pic:cNvPr id="24438" name="Picture 233"/>
                            <pic:cNvPicPr>
                              <a:picLocks noChangeAspect="1"/>
                            </pic:cNvPicPr>
                          </pic:nvPicPr>
                          <pic:blipFill>
                            <a:blip r:embed="rId33" cstate="screen">
                              <a:extLst>
                                <a:ext uri="{28A0092B-C50C-407E-A947-70E740481C1C}">
                                  <a14:useLocalDpi xmlns:a14="http://schemas.microsoft.com/office/drawing/2010/main" val="0"/>
                                </a:ext>
                              </a:extLst>
                            </a:blip>
                            <a:srcRect/>
                            <a:stretch>
                              <a:fillRect/>
                            </a:stretch>
                          </pic:blipFill>
                          <pic:spPr bwMode="auto">
                            <a:xfrm>
                              <a:off x="0" y="0"/>
                              <a:ext cx="28790" cy="17995"/>
                            </a:xfrm>
                            <a:prstGeom prst="rect">
                              <a:avLst/>
                            </a:prstGeom>
                            <a:noFill/>
                            <a:ln w="9525">
                              <a:solidFill>
                                <a:schemeClr val="tx1">
                                  <a:lumMod val="100000"/>
                                  <a:lumOff val="0"/>
                                </a:schemeClr>
                              </a:solidFill>
                              <a:miter lim="800000"/>
                              <a:headEnd/>
                              <a:tailEnd/>
                            </a:ln>
                          </pic:spPr>
                        </pic:pic>
                        <wps:wsp>
                          <wps:cNvPr id="24439" name="Rectangle 20"/>
                          <wps:cNvSpPr>
                            <a:spLocks noChangeArrowheads="1"/>
                          </wps:cNvSpPr>
                          <wps:spPr bwMode="auto">
                            <a:xfrm>
                              <a:off x="190" y="190"/>
                              <a:ext cx="2445" cy="2337"/>
                            </a:xfrm>
                            <a:prstGeom prst="rect">
                              <a:avLst/>
                            </a:prstGeom>
                            <a:noFill/>
                            <a:ln>
                              <a:noFill/>
                            </a:ln>
                          </wps:spPr>
                          <wps:txbx>
                            <w:txbxContent>
                              <w:p w14:paraId="313193D0" w14:textId="1DA7B3D8" w:rsidR="00527127" w:rsidRPr="00B00533" w:rsidRDefault="00527127" w:rsidP="00ED3B70">
                                <w:pPr>
                                  <w:spacing w:before="0" w:line="240" w:lineRule="auto"/>
                                  <w:jc w:val="center"/>
                                  <w:rPr>
                                    <w:lang w:val="en-US"/>
                                  </w:rPr>
                                </w:pPr>
                                <w:r>
                                  <w:rPr>
                                    <w:lang w:val="en-US"/>
                                  </w:rPr>
                                  <w:t>b)</w:t>
                                </w:r>
                              </w:p>
                            </w:txbxContent>
                          </wps:txbx>
                          <wps:bodyPr rot="0" vert="horz" wrap="square" lIns="0" tIns="0" rIns="0" bIns="0" anchor="ctr" anchorCtr="0" upright="1">
                            <a:noAutofit/>
                          </wps:bodyPr>
                        </wps:wsp>
                      </wpg:grpSp>
                      <wpg:grpSp>
                        <wpg:cNvPr id="24440" name="Group 24440"/>
                        <wpg:cNvGrpSpPr>
                          <a:grpSpLocks/>
                        </wpg:cNvGrpSpPr>
                        <wpg:grpSpPr bwMode="auto">
                          <a:xfrm>
                            <a:off x="0" y="0"/>
                            <a:ext cx="2771775" cy="1809115"/>
                            <a:chOff x="0" y="0"/>
                            <a:chExt cx="28803" cy="18091"/>
                          </a:xfrm>
                        </wpg:grpSpPr>
                        <pic:pic xmlns:pic="http://schemas.openxmlformats.org/drawingml/2006/picture">
                          <pic:nvPicPr>
                            <pic:cNvPr id="24441" name="Picture 291"/>
                            <pic:cNvPicPr>
                              <a:picLocks noChangeAspect="1"/>
                            </pic:cNvPicPr>
                          </pic:nvPicPr>
                          <pic:blipFill>
                            <a:blip r:embed="rId34" cstate="screen">
                              <a:extLst>
                                <a:ext uri="{28A0092B-C50C-407E-A947-70E740481C1C}">
                                  <a14:useLocalDpi xmlns:a14="http://schemas.microsoft.com/office/drawing/2010/main" val="0"/>
                                </a:ext>
                              </a:extLst>
                            </a:blip>
                            <a:srcRect/>
                            <a:stretch>
                              <a:fillRect/>
                            </a:stretch>
                          </pic:blipFill>
                          <pic:spPr bwMode="auto">
                            <a:xfrm>
                              <a:off x="0" y="95"/>
                              <a:ext cx="28803" cy="17996"/>
                            </a:xfrm>
                            <a:prstGeom prst="rect">
                              <a:avLst/>
                            </a:prstGeom>
                            <a:noFill/>
                            <a:ln w="9525">
                              <a:solidFill>
                                <a:schemeClr val="tx1">
                                  <a:lumMod val="100000"/>
                                  <a:lumOff val="0"/>
                                </a:schemeClr>
                              </a:solidFill>
                              <a:miter lim="800000"/>
                              <a:headEnd/>
                              <a:tailEnd/>
                            </a:ln>
                          </pic:spPr>
                        </pic:pic>
                        <wps:wsp>
                          <wps:cNvPr id="24442" name="Rectangle 290"/>
                          <wps:cNvSpPr>
                            <a:spLocks noChangeArrowheads="1"/>
                          </wps:cNvSpPr>
                          <wps:spPr bwMode="auto">
                            <a:xfrm>
                              <a:off x="381" y="0"/>
                              <a:ext cx="2444" cy="2336"/>
                            </a:xfrm>
                            <a:prstGeom prst="rect">
                              <a:avLst/>
                            </a:prstGeom>
                            <a:noFill/>
                            <a:ln>
                              <a:noFill/>
                            </a:ln>
                          </wps:spPr>
                          <wps:txbx>
                            <w:txbxContent>
                              <w:p w14:paraId="1E5D07FD" w14:textId="44154A28" w:rsidR="00527127" w:rsidRPr="00B00533" w:rsidRDefault="00527127" w:rsidP="00B00533">
                                <w:pPr>
                                  <w:spacing w:before="0" w:line="240" w:lineRule="auto"/>
                                  <w:jc w:val="center"/>
                                  <w:rPr>
                                    <w:lang w:val="en-US"/>
                                  </w:rPr>
                                </w:pPr>
                                <w:r>
                                  <w:rPr>
                                    <w:lang w:val="en-US"/>
                                  </w:rPr>
                                  <w:t>a)</w:t>
                                </w:r>
                              </w:p>
                            </w:txbxContent>
                          </wps:txbx>
                          <wps:bodyPr rot="0" vert="horz" wrap="square" lIns="0" tIns="0" rIns="0" bIns="0" anchor="ctr" anchorCtr="0" upright="1">
                            <a:noAutofit/>
                          </wps:bodyPr>
                        </wps:wsp>
                      </wpg:grpSp>
                    </wpg:wgp>
                  </a:graphicData>
                </a:graphic>
              </wp:inline>
            </w:drawing>
          </mc:Choice>
          <mc:Fallback>
            <w:pict>
              <v:group w14:anchorId="5701DEEA" id="Group 17" o:spid="_x0000_s1064" style="width:449.45pt;height:142.45pt;mso-position-horizontal-relative:char;mso-position-vertical-relative:line" coordsize="57080,1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">
                <v:group id="Group 24437" o:spid="_x0000_s1065" style="position:absolute;left:28289;top:95;width:28791;height:17996" coordsize="28790,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">
                  <v:shape id="Picture 233" o:spid="_x0000_s1066" type="#_x0000_t75" style="position:absolute;width:2879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" stroked="t" strokecolor="black [3213]">
                    <v:imagedata r:id="rId35" o:title=""/>
                    <v:path arrowok="t"/>
                  </v:shape>
                  <v:rect id="_x0000_s1067" style="position:absolute;left:190;top:190;width:2445;height:2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" filled="f" stroked="f">
                    <v:textbox inset="0,0,0,0">
                      <w:txbxContent>
                        <w:p w14:paraId="313193D0" w14:textId="1DA7B3D8" w:rsidR="00527127" w:rsidRPr="00B00533" w:rsidRDefault="00527127" w:rsidP="00ED3B70">
                          <w:pPr>
                            <w:spacing w:before="0" w:line="240" w:lineRule="auto"/>
                            <w:jc w:val="center"/>
                            <w:rPr>
                              <w:lang w:val="en-US"/>
                            </w:rPr>
                          </w:pPr>
                          <w:r>
                            <w:rPr>
                              <w:lang w:val="en-US"/>
                            </w:rPr>
                            <w:t>b)</w:t>
                          </w:r>
                        </w:p>
                      </w:txbxContent>
                    </v:textbox>
                  </v:rect>
                </v:group>
                <v:group id="Group 24440" o:spid="_x0000_s1068" style="position:absolute;width:27717;height:18091" coordsize="28803,18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">
                  <v:shape id="Picture 291" o:spid="_x0000_s1069" type="#_x0000_t75" style="position:absolute;top:95;width:2880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" stroked="t" strokecolor="black [3213]">
                    <v:imagedata r:id="rId36" o:title=""/>
                    <v:path arrowok="t"/>
                  </v:shape>
                  <v:rect id="Rectangle 290" o:spid="_x0000_s1070" style="position:absolute;left:381;width:2444;height:2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" filled="f" stroked="f">
                    <v:textbox inset="0,0,0,0">
                      <w:txbxContent>
                        <w:p w14:paraId="1E5D07FD" w14:textId="44154A28" w:rsidR="00527127" w:rsidRPr="00B00533" w:rsidRDefault="00527127" w:rsidP="00B00533">
                          <w:pPr>
                            <w:spacing w:before="0" w:line="240" w:lineRule="auto"/>
                            <w:jc w:val="center"/>
                            <w:rPr>
                              <w:lang w:val="en-US"/>
                            </w:rPr>
                          </w:pPr>
                          <w:r>
                            <w:rPr>
                              <w:lang w:val="en-US"/>
                            </w:rPr>
                            <w:t>a)</w:t>
                          </w:r>
                        </w:p>
                      </w:txbxContent>
                    </v:textbox>
                  </v:rect>
                </v:group>
                <w10:anchorlock/>
              </v:group>
            </w:pict>
          </mc:Fallback>
        </mc:AlternateContent>
      </w:r>
      <w:bookmarkStart w:id="50" w:name="_Toc73804898"/>
    </w:p>
    <w:p w14:paraId="47037110" w14:textId="52A0F6AC" w:rsidR="00397DD6" w:rsidRPr="009D4627" w:rsidRDefault="00397DD6" w:rsidP="006C09DC">
      <w:pPr>
        <w:keepNext/>
        <w:spacing w:before="0" w:after="0" w:line="240" w:lineRule="auto"/>
      </w:pPr>
      <w:bookmarkStart w:id="51" w:name="_Toc98570008"/>
      <w:r w:rsidRPr="009D4627">
        <w:t>Figure 1.</w:t>
      </w:r>
      <w:r w:rsidR="007E7CC8">
        <w:fldChar w:fldCharType="begin"/>
      </w:r>
      <w:r w:rsidR="007E7CC8">
        <w:instrText xml:space="preserve"> SEQ Figure_1. \* ARABIC </w:instrText>
      </w:r>
      <w:r w:rsidR="007E7CC8">
        <w:fldChar w:fldCharType="separate"/>
      </w:r>
      <w:r w:rsidR="00E268F6">
        <w:rPr>
          <w:noProof/>
        </w:rPr>
        <w:t>7</w:t>
      </w:r>
      <w:r w:rsidR="007E7CC8">
        <w:rPr>
          <w:noProof/>
        </w:rPr>
        <w:fldChar w:fldCharType="end"/>
      </w:r>
      <w:r w:rsidRPr="009D4627">
        <w:t xml:space="preserve">: </w:t>
      </w:r>
      <w:r w:rsidR="00327717" w:rsidRPr="009D4627">
        <w:t>Samples</w:t>
      </w:r>
      <w:r w:rsidRPr="009D4627">
        <w:t xml:space="preserve"> of </w:t>
      </w:r>
      <w:proofErr w:type="spellStart"/>
      <w:r w:rsidRPr="009D4627">
        <w:t>dysmetric</w:t>
      </w:r>
      <w:proofErr w:type="spellEnd"/>
      <w:r w:rsidRPr="009D4627">
        <w:t xml:space="preserve"> </w:t>
      </w:r>
      <w:r w:rsidR="00944720" w:rsidRPr="009D4627">
        <w:t>saccadic</w:t>
      </w:r>
      <w:r w:rsidRPr="009D4627">
        <w:t xml:space="preserve"> eye movements among healthy control group from </w:t>
      </w:r>
      <w:r w:rsidR="00AE6F60" w:rsidRPr="009D4627">
        <w:t xml:space="preserve">the </w:t>
      </w:r>
      <w:r w:rsidRPr="009D4627">
        <w:t xml:space="preserve">current study. </w:t>
      </w:r>
      <w:r w:rsidR="00327717" w:rsidRPr="009D4627">
        <w:t xml:space="preserve">Figure </w:t>
      </w:r>
      <w:r w:rsidR="00AE6F60" w:rsidRPr="009D4627">
        <w:t>a</w:t>
      </w:r>
      <w:r w:rsidR="00327717" w:rsidRPr="009D4627">
        <w:t xml:space="preserve">) illustrates the </w:t>
      </w:r>
      <w:proofErr w:type="spellStart"/>
      <w:r w:rsidR="00327717" w:rsidRPr="009D4627">
        <w:t>hypometric</w:t>
      </w:r>
      <w:proofErr w:type="spellEnd"/>
      <w:r w:rsidR="00327717" w:rsidRPr="009D4627">
        <w:t xml:space="preserve"> </w:t>
      </w:r>
      <w:r w:rsidR="00944720" w:rsidRPr="009D4627">
        <w:t>saccadic</w:t>
      </w:r>
      <w:r w:rsidR="00327717" w:rsidRPr="009D4627">
        <w:t xml:space="preserve"> eye movements and </w:t>
      </w:r>
      <w:r w:rsidR="00AE6F60" w:rsidRPr="009D4627">
        <w:t>b</w:t>
      </w:r>
      <w:r w:rsidR="00327717" w:rsidRPr="009D4627">
        <w:t xml:space="preserve">) illustrates the hypermetric </w:t>
      </w:r>
      <w:r w:rsidR="00944720" w:rsidRPr="009D4627">
        <w:t>saccadic</w:t>
      </w:r>
      <w:r w:rsidR="00327717" w:rsidRPr="009D4627">
        <w:t xml:space="preserve"> eye movements.</w:t>
      </w:r>
      <w:bookmarkEnd w:id="50"/>
      <w:bookmarkEnd w:id="51"/>
    </w:p>
    <w:p w14:paraId="7911A159" w14:textId="31B33911" w:rsidR="00397DD6" w:rsidRPr="009D4627" w:rsidRDefault="00A42EA9" w:rsidP="00C4130D">
      <w:pPr>
        <w:pStyle w:val="Caption"/>
      </w:pPr>
      <w:r w:rsidRPr="00A81AC7">
        <w:rPr>
          <w:i/>
        </w:rPr>
        <w:t>Note</w:t>
      </w:r>
      <w:r w:rsidRPr="009D4627">
        <w:t>:</w:t>
      </w:r>
      <w:r w:rsidRPr="009D4627">
        <w:rPr>
          <w:color w:val="00CC00"/>
        </w:rPr>
        <w:t xml:space="preserve"> </w:t>
      </w:r>
      <w:r w:rsidR="00397DD6" w:rsidRPr="009D4627">
        <w:rPr>
          <w:b/>
          <w:bCs/>
          <w:color w:val="00CC00"/>
        </w:rPr>
        <w:t>|</w:t>
      </w:r>
      <w:r w:rsidR="00397DD6" w:rsidRPr="009D4627">
        <w:t xml:space="preserve"> = Shows the time of the </w:t>
      </w:r>
      <w:r w:rsidR="00F57D01" w:rsidRPr="009D4627">
        <w:t>target</w:t>
      </w:r>
      <w:r w:rsidR="00397DD6" w:rsidRPr="009D4627">
        <w:t xml:space="preserve"> </w:t>
      </w:r>
      <w:r w:rsidR="00327717" w:rsidRPr="009D4627">
        <w:t>appeared</w:t>
      </w:r>
      <w:r w:rsidRPr="009D4627">
        <w:t xml:space="preserve">; </w:t>
      </w:r>
      <w:r w:rsidR="00397DD6" w:rsidRPr="009D4627">
        <w:rPr>
          <w:b/>
          <w:bCs/>
          <w:color w:val="FF0000"/>
        </w:rPr>
        <w:t>|</w:t>
      </w:r>
      <w:r w:rsidR="00397DD6" w:rsidRPr="009D4627">
        <w:rPr>
          <w:b/>
          <w:bCs/>
          <w:color w:val="00CC00"/>
        </w:rPr>
        <w:t xml:space="preserve"> </w:t>
      </w:r>
      <w:r w:rsidR="00397DD6" w:rsidRPr="009D4627">
        <w:t xml:space="preserve">= Shows the initiation of </w:t>
      </w:r>
      <w:r w:rsidR="00944720" w:rsidRPr="009D4627">
        <w:t>saccadic</w:t>
      </w:r>
      <w:r w:rsidR="00397DD6" w:rsidRPr="009D4627">
        <w:t xml:space="preserve"> movements by the</w:t>
      </w:r>
      <w:r w:rsidR="00AE6F60" w:rsidRPr="009D4627">
        <w:t xml:space="preserve"> participant</w:t>
      </w:r>
    </w:p>
    <w:p w14:paraId="43A0FD91" w14:textId="1F94DEAA" w:rsidR="00AE6F60" w:rsidRPr="009D4627" w:rsidRDefault="00AE6F60" w:rsidP="00AE6F60">
      <w:pPr>
        <w:spacing w:after="0" w:line="240" w:lineRule="auto"/>
        <w:rPr>
          <w:lang w:val="en-MY" w:eastAsia="en-MY"/>
        </w:rPr>
      </w:pPr>
    </w:p>
    <w:p w14:paraId="1E54C163" w14:textId="18D95084" w:rsidR="00F30129" w:rsidRPr="009D4627" w:rsidRDefault="00F30129" w:rsidP="00F30129">
      <w:pPr>
        <w:rPr>
          <w:lang w:eastAsia="en-GB"/>
        </w:rPr>
      </w:pPr>
      <w:r w:rsidRPr="009D4627">
        <w:rPr>
          <w:lang w:eastAsia="en-GB"/>
        </w:rPr>
        <w:t xml:space="preserve">Warabi et al. (1984) tested eight young (age range </w:t>
      </w:r>
      <w:r w:rsidRPr="009D4627">
        <w:rPr>
          <w:noProof/>
        </w:rPr>
        <w:t xml:space="preserve">19-29 years) and 24 </w:t>
      </w:r>
      <w:r w:rsidR="00B83167" w:rsidRPr="009D4627">
        <w:rPr>
          <w:noProof/>
        </w:rPr>
        <w:t>older</w:t>
      </w:r>
      <w:r w:rsidRPr="009D4627">
        <w:rPr>
          <w:noProof/>
        </w:rPr>
        <w:t xml:space="preserve"> (age range 59-82)</w:t>
      </w:r>
      <w:r w:rsidR="00B83167" w:rsidRPr="009D4627">
        <w:rPr>
          <w:noProof/>
        </w:rPr>
        <w:t xml:space="preserve"> participants</w:t>
      </w:r>
      <w:r w:rsidRPr="009D4627">
        <w:rPr>
          <w:noProof/>
        </w:rPr>
        <w:t>. They found that</w:t>
      </w:r>
      <w:r w:rsidRPr="009D4627">
        <w:rPr>
          <w:lang w:eastAsia="en-GB"/>
        </w:rPr>
        <w:t xml:space="preserve"> the horizontal </w:t>
      </w:r>
      <w:r w:rsidR="00944720" w:rsidRPr="009D4627">
        <w:rPr>
          <w:lang w:eastAsia="en-GB"/>
        </w:rPr>
        <w:t>saccadic</w:t>
      </w:r>
      <w:r w:rsidRPr="009D4627">
        <w:rPr>
          <w:lang w:eastAsia="en-GB"/>
        </w:rPr>
        <w:t xml:space="preserve"> gain was not affected by ageing but </w:t>
      </w:r>
      <w:r w:rsidR="00B83167" w:rsidRPr="009D4627">
        <w:rPr>
          <w:lang w:eastAsia="en-GB"/>
        </w:rPr>
        <w:t xml:space="preserve">was </w:t>
      </w:r>
      <w:r w:rsidRPr="009D4627">
        <w:rPr>
          <w:lang w:eastAsia="en-GB"/>
        </w:rPr>
        <w:t xml:space="preserve">affected </w:t>
      </w:r>
      <w:r w:rsidR="00B83167" w:rsidRPr="009D4627">
        <w:rPr>
          <w:lang w:eastAsia="en-GB"/>
        </w:rPr>
        <w:t>by</w:t>
      </w:r>
      <w:r w:rsidRPr="009D4627">
        <w:rPr>
          <w:lang w:eastAsia="en-GB"/>
        </w:rPr>
        <w:t xml:space="preserve"> increasing target amplitude. They also reported</w:t>
      </w:r>
      <w:r w:rsidR="00B83167" w:rsidRPr="009D4627">
        <w:rPr>
          <w:lang w:eastAsia="en-GB"/>
        </w:rPr>
        <w:t xml:space="preserve"> that</w:t>
      </w:r>
      <w:r w:rsidRPr="009D4627">
        <w:rPr>
          <w:lang w:eastAsia="en-GB"/>
        </w:rPr>
        <w:t xml:space="preserve"> the gain for 10°, 20° and 30° visual angle</w:t>
      </w:r>
      <w:r w:rsidR="00AE6F60" w:rsidRPr="009D4627">
        <w:rPr>
          <w:lang w:eastAsia="en-GB"/>
        </w:rPr>
        <w:t>s</w:t>
      </w:r>
      <w:r w:rsidRPr="009D4627">
        <w:rPr>
          <w:lang w:eastAsia="en-GB"/>
        </w:rPr>
        <w:t xml:space="preserve"> was 0.95, 0.78 and 0.61, respectively. </w:t>
      </w:r>
      <w:proofErr w:type="spellStart"/>
      <w:r w:rsidRPr="009D4627">
        <w:rPr>
          <w:lang w:eastAsia="en-GB"/>
        </w:rPr>
        <w:t>Ploner</w:t>
      </w:r>
      <w:proofErr w:type="spellEnd"/>
      <w:r w:rsidRPr="009D4627">
        <w:rPr>
          <w:lang w:eastAsia="en-GB"/>
        </w:rPr>
        <w:t xml:space="preserve"> et al. (2004) found </w:t>
      </w:r>
      <w:r w:rsidR="00AE6F60" w:rsidRPr="009D4627">
        <w:rPr>
          <w:lang w:eastAsia="en-GB"/>
        </w:rPr>
        <w:t>that the target size difference influenced saccadic gain</w:t>
      </w:r>
      <w:r w:rsidRPr="009D4627">
        <w:rPr>
          <w:lang w:eastAsia="en-GB"/>
        </w:rPr>
        <w:t>. They examined 12 healthy young adults (mean age = 27.2 ±0.9</w:t>
      </w:r>
      <w:r w:rsidR="00AE6F60" w:rsidRPr="009D4627">
        <w:rPr>
          <w:lang w:eastAsia="en-GB"/>
        </w:rPr>
        <w:t xml:space="preserve"> years</w:t>
      </w:r>
      <w:r w:rsidRPr="009D4627">
        <w:rPr>
          <w:lang w:eastAsia="en-GB"/>
        </w:rPr>
        <w:t xml:space="preserve">) and reported the </w:t>
      </w:r>
      <w:r w:rsidR="00B83167" w:rsidRPr="009D4627">
        <w:rPr>
          <w:lang w:eastAsia="en-GB"/>
        </w:rPr>
        <w:t xml:space="preserve">mean </w:t>
      </w:r>
      <w:r w:rsidR="00944720" w:rsidRPr="009D4627">
        <w:rPr>
          <w:lang w:eastAsia="en-GB"/>
        </w:rPr>
        <w:t>saccadic</w:t>
      </w:r>
      <w:r w:rsidRPr="009D4627">
        <w:rPr>
          <w:lang w:eastAsia="en-GB"/>
        </w:rPr>
        <w:t xml:space="preserve"> gains became more </w:t>
      </w:r>
      <w:proofErr w:type="spellStart"/>
      <w:r w:rsidRPr="009D4627">
        <w:rPr>
          <w:lang w:eastAsia="en-GB"/>
        </w:rPr>
        <w:t>hypometric</w:t>
      </w:r>
      <w:proofErr w:type="spellEnd"/>
      <w:r w:rsidRPr="009D4627">
        <w:rPr>
          <w:lang w:eastAsia="en-GB"/>
        </w:rPr>
        <w:t xml:space="preserve"> with increasing target size </w:t>
      </w:r>
      <w:r w:rsidRPr="009D4627">
        <w:rPr>
          <w:lang w:eastAsia="en-GB"/>
        </w:rPr>
        <w:fldChar w:fldCharType="begin"/>
      </w:r>
      <w:r w:rsidR="00945A16" w:rsidRPr="009D4627">
        <w:rPr>
          <w:lang w:eastAsia="en-GB"/>
        </w:rPr>
        <w:instrText xml:space="preserve"> ADDIN EN.CITE &lt;EndNote&gt;&lt;Cite&gt;&lt;Author&gt;Ploner&lt;/Author&gt;&lt;Year&gt;2004&lt;/Year&gt;&lt;IDText&gt;Target Size Modulates Saccadic Eye Movements in Humans&lt;/IDText&gt;&lt;DisplayText&gt;(Ploner et al., 2004)&lt;/DisplayText&gt;&lt;record&gt;&lt;keywords&gt;&lt;keyword&gt;Adult&lt;/keyword&gt;&lt;keyword&gt;Chi-Square Distribution&lt;/keyword&gt;&lt;keyword&gt;Female&lt;/keyword&gt;&lt;keyword&gt;Humans&lt;/keyword&gt;&lt;keyword&gt;Male&lt;/keyword&gt;&lt;keyword&gt;Photic Stimulation&lt;/keyword&gt;&lt;keyword&gt;Saccades&lt;/keyword&gt;&lt;keyword&gt;Statistics, Nonparametric&lt;/keyword&gt;&lt;keyword&gt;Time Factors&lt;/keyword&gt;&lt;keyword&gt;Eye Movements&lt;/keyword&gt;&lt;keyword&gt;Neural Pathways&lt;/keyword&gt;&lt;keyword&gt;Spatial Organization&lt;/keyword&gt;&lt;keyword&gt;Superior Colliculus&lt;/keyword&gt;&lt;keyword&gt;Visual Tracking&lt;/keyword&gt;&lt;keyword&gt;Sensorimotor Measures&lt;/keyword&gt;&lt;keyword&gt;Neuropsychology &amp;amp; Neurology&lt;/keyword&gt;&lt;keyword&gt;Saccadic Eye Movements&lt;/keyword&gt;&lt;keyword&gt;Sensorimotor Transformation&lt;/keyword&gt;&lt;keyword&gt;Superior Colliculus&lt;/keyword&gt;&lt;keyword&gt;Saccade Amplitude&lt;/keyword&gt;&lt;keyword&gt;Neuronal Activity&lt;/keyword&gt;&lt;keyword&gt;Spatially Extended Targets&lt;/keyword&gt;&lt;keyword&gt;Empirical Study&lt;/keyword&gt;&lt;keyword&gt;Quantitative Study&lt;/keyword&gt;&lt;keyword&gt;Human&lt;/keyword&gt;&lt;keyword&gt;Male&lt;/keyword&gt;&lt;keyword&gt;Female&lt;/keyword&gt;&lt;keyword&gt;Adulthood (18 Yrs &amp;amp; Older)&lt;/keyword&gt;&lt;keyword&gt;Article&lt;/keyword&gt;&lt;/keywords&gt;&lt;isbn&gt;0735-7044&lt;/isbn&gt;&lt;titles&gt;&lt;title&gt;Target Size Modulates Saccadic Eye Movements in Humans&lt;/title&gt;&lt;secondary-title&gt;Behavioral Neuroscience&lt;/secondary-title&gt;&lt;/titles&gt;&lt;pages&gt;237-242&lt;/pages&gt;&lt;number&gt;1&lt;/number&gt;&lt;contributors&gt;&lt;authors&gt;&lt;author&gt;Ploner, Christoph J.&lt;/author&gt;&lt;author&gt;Ostendorf, Florian&lt;/author&gt;&lt;author&gt;Dick, Sandra&lt;/author&gt;&lt;/authors&gt;&lt;/contributors&gt;&lt;added-date format="utc"&gt;1583670484&lt;/added-date&gt;&lt;ref-type name="Journal Article"&gt;17&lt;/ref-type&gt;&lt;dates&gt;&lt;year&gt;2004&lt;/year&gt;&lt;/dates&gt;&lt;rec-number&gt;688&lt;/rec-number&gt;&lt;last-updated-date format="utc"&gt;1583670484&lt;/last-updated-date&gt;&lt;electronic-resource-num&gt;10.1037/0735-7044.118.1.237&lt;/electronic-resource-num&gt;&lt;volume&gt;118&lt;/volume&gt;&lt;/record&gt;&lt;/Cite&gt;&lt;/EndNote&gt;</w:instrText>
      </w:r>
      <w:r w:rsidRPr="009D4627">
        <w:rPr>
          <w:lang w:eastAsia="en-GB"/>
        </w:rPr>
        <w:fldChar w:fldCharType="separate"/>
      </w:r>
      <w:r w:rsidR="00945A16" w:rsidRPr="009D4627">
        <w:rPr>
          <w:noProof/>
          <w:lang w:eastAsia="en-GB"/>
        </w:rPr>
        <w:t>(Ploner et al., 2004)</w:t>
      </w:r>
      <w:r w:rsidRPr="009D4627">
        <w:rPr>
          <w:lang w:eastAsia="en-GB"/>
        </w:rPr>
        <w:fldChar w:fldCharType="end"/>
      </w:r>
      <w:r w:rsidRPr="009D4627">
        <w:rPr>
          <w:lang w:eastAsia="en-GB"/>
        </w:rPr>
        <w:t xml:space="preserve">, as shown in </w:t>
      </w:r>
      <w:r w:rsidR="00D91AAB" w:rsidRPr="009D4627">
        <w:rPr>
          <w:lang w:eastAsia="en-GB"/>
        </w:rPr>
        <w:t>Figure</w:t>
      </w:r>
      <w:r w:rsidRPr="009D4627">
        <w:rPr>
          <w:lang w:eastAsia="en-GB"/>
        </w:rPr>
        <w:t xml:space="preserve"> 1.</w:t>
      </w:r>
      <w:r w:rsidR="00B00533" w:rsidRPr="009D4627">
        <w:rPr>
          <w:lang w:eastAsia="en-GB"/>
        </w:rPr>
        <w:t>8</w:t>
      </w:r>
      <w:r w:rsidRPr="009D4627">
        <w:rPr>
          <w:lang w:eastAsia="en-GB"/>
        </w:rPr>
        <w:t xml:space="preserve">. </w:t>
      </w:r>
    </w:p>
    <w:p w14:paraId="348BADA2" w14:textId="77777777" w:rsidR="00F30129" w:rsidRPr="009D4627" w:rsidRDefault="00F30129" w:rsidP="00BC5FD0">
      <w:pPr>
        <w:spacing w:after="0" w:line="240" w:lineRule="auto"/>
        <w:jc w:val="center"/>
      </w:pPr>
      <w:r w:rsidRPr="009D4627">
        <w:rPr>
          <w:noProof/>
          <w:lang w:val="en-US"/>
        </w:rPr>
        <w:drawing>
          <wp:inline distT="0" distB="0" distL="0" distR="0" wp14:anchorId="38531D3B" wp14:editId="2CCEFC0D">
            <wp:extent cx="2262741" cy="1881962"/>
            <wp:effectExtent l="0" t="0" r="4445" b="4445"/>
            <wp:docPr id="408" name="Picture 462"/>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rotWithShape="1">
                    <a:blip r:embed="rId37" cstate="screen">
                      <a:extLst>
                        <a:ext uri="{28A0092B-C50C-407E-A947-70E740481C1C}">
                          <a14:useLocalDpi xmlns:a14="http://schemas.microsoft.com/office/drawing/2010/main" val="0"/>
                        </a:ext>
                      </a:extLst>
                    </a:blip>
                    <a:srcRect t="490"/>
                    <a:stretch/>
                  </pic:blipFill>
                  <pic:spPr bwMode="auto">
                    <a:xfrm>
                      <a:off x="0" y="0"/>
                      <a:ext cx="2270879" cy="1888731"/>
                    </a:xfrm>
                    <a:prstGeom prst="plaque">
                      <a:avLst/>
                    </a:prstGeom>
                    <a:noFill/>
                    <a:ln>
                      <a:noFill/>
                    </a:ln>
                    <a:extLst>
                      <a:ext uri="{53640926-AAD7-44D8-BBD7-CCE9431645EC}">
                        <a14:shadowObscured xmlns:a14="http://schemas.microsoft.com/office/drawing/2010/main"/>
                      </a:ext>
                    </a:extLst>
                  </pic:spPr>
                </pic:pic>
              </a:graphicData>
            </a:graphic>
          </wp:inline>
        </w:drawing>
      </w:r>
    </w:p>
    <w:p w14:paraId="6D91024E" w14:textId="6F61708C" w:rsidR="00F30129" w:rsidRPr="009D4627" w:rsidRDefault="00327717" w:rsidP="00C4130D">
      <w:pPr>
        <w:pStyle w:val="Caption"/>
        <w:rPr>
          <w:noProof/>
        </w:rPr>
      </w:pPr>
      <w:bookmarkStart w:id="52" w:name="_Toc73609237"/>
      <w:bookmarkStart w:id="53" w:name="_Toc73804899"/>
      <w:bookmarkStart w:id="54" w:name="_Toc98570009"/>
      <w:r w:rsidRPr="009D4627">
        <w:lastRenderedPageBreak/>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8</w:t>
      </w:r>
      <w:r w:rsidR="002E63E9" w:rsidRPr="009D4627">
        <w:rPr>
          <w:noProof/>
        </w:rPr>
        <w:fldChar w:fldCharType="end"/>
      </w:r>
      <w:r w:rsidRPr="009D4627">
        <w:t xml:space="preserve">: </w:t>
      </w:r>
      <w:r w:rsidR="00F30129" w:rsidRPr="009D4627">
        <w:rPr>
          <w:noProof/>
        </w:rPr>
        <w:t xml:space="preserve">The effect of target size on the mean </w:t>
      </w:r>
      <w:r w:rsidR="00944720" w:rsidRPr="009D4627">
        <w:rPr>
          <w:noProof/>
        </w:rPr>
        <w:t>saccadic</w:t>
      </w:r>
      <w:r w:rsidR="00F30129" w:rsidRPr="009D4627">
        <w:rPr>
          <w:noProof/>
        </w:rPr>
        <w:t xml:space="preserve"> gain tested on 12 young adults.</w:t>
      </w:r>
      <w:bookmarkEnd w:id="52"/>
      <w:bookmarkEnd w:id="53"/>
      <w:bookmarkEnd w:id="54"/>
      <w:r w:rsidR="00F30129" w:rsidRPr="009D4627">
        <w:rPr>
          <w:noProof/>
        </w:rPr>
        <w:t xml:space="preserve"> </w:t>
      </w:r>
    </w:p>
    <w:p w14:paraId="6F125E19" w14:textId="4123ADA5" w:rsidR="00F30129" w:rsidRPr="009D4627" w:rsidRDefault="00F30129" w:rsidP="00D80280">
      <w:pPr>
        <w:spacing w:before="0" w:after="0"/>
        <w:rPr>
          <w:noProof/>
        </w:rPr>
      </w:pPr>
      <w:r w:rsidRPr="009D4627">
        <w:rPr>
          <w:noProof/>
        </w:rPr>
        <w:t>The bars represent ±1 standard error mean (SEM), **p</w:t>
      </w:r>
      <w:r w:rsidR="00D80280" w:rsidRPr="009D4627">
        <w:rPr>
          <w:noProof/>
        </w:rPr>
        <w:t xml:space="preserve"> </w:t>
      </w:r>
      <w:r w:rsidRPr="009D4627">
        <w:rPr>
          <w:noProof/>
        </w:rPr>
        <w:t>=</w:t>
      </w:r>
      <w:r w:rsidR="00D80280" w:rsidRPr="009D4627">
        <w:rPr>
          <w:noProof/>
        </w:rPr>
        <w:t xml:space="preserve"> </w:t>
      </w:r>
      <w:r w:rsidRPr="009D4627">
        <w:rPr>
          <w:noProof/>
        </w:rPr>
        <w:t xml:space="preserve">0.005. From Ploner et al., 2004. </w:t>
      </w:r>
    </w:p>
    <w:p w14:paraId="51424B52" w14:textId="1B0C8067" w:rsidR="00F30129" w:rsidRPr="009D4627" w:rsidRDefault="00F30129" w:rsidP="00F30129">
      <w:pPr>
        <w:rPr>
          <w:rFonts w:eastAsia="Calibri"/>
          <w:lang w:val="en-US"/>
        </w:rPr>
      </w:pPr>
      <w:r w:rsidRPr="009D4627">
        <w:t xml:space="preserve">In conclusion, </w:t>
      </w:r>
      <w:r w:rsidR="00944720" w:rsidRPr="009D4627">
        <w:t>saccadic</w:t>
      </w:r>
      <w:r w:rsidRPr="009D4627">
        <w:t xml:space="preserve"> parameters in people with no ocular or neurological deficits remain variable depending on different eye movement testing paradigms and participant </w:t>
      </w:r>
      <w:r w:rsidR="00B83167" w:rsidRPr="009D4627">
        <w:t>selec</w:t>
      </w:r>
      <w:r w:rsidRPr="009D4627">
        <w:t>t</w:t>
      </w:r>
      <w:r w:rsidR="00B83167" w:rsidRPr="009D4627">
        <w:t>ion</w:t>
      </w:r>
      <w:r w:rsidRPr="009D4627">
        <w:t>. The former factor refers to the testing paradigms (i.e., size of target amplitudes, target presentation order either random or fixed, the range of testing amplitudes, target to background contrast and room illumination). Meanwhile, the latter factor refer</w:t>
      </w:r>
      <w:r w:rsidR="00B83167" w:rsidRPr="009D4627">
        <w:t>s</w:t>
      </w:r>
      <w:r w:rsidRPr="009D4627">
        <w:t xml:space="preserve"> to participan</w:t>
      </w:r>
      <w:r w:rsidR="00B83167" w:rsidRPr="009D4627">
        <w:t>t</w:t>
      </w:r>
      <w:r w:rsidRPr="009D4627">
        <w:t xml:space="preserve"> </w:t>
      </w:r>
      <w:r w:rsidR="00B83167" w:rsidRPr="009D4627">
        <w:t>factors</w:t>
      </w:r>
      <w:r w:rsidRPr="009D4627">
        <w:t xml:space="preserve"> (i.e., age</w:t>
      </w:r>
      <w:r w:rsidR="00AE6F60" w:rsidRPr="009D4627">
        <w:t>-</w:t>
      </w:r>
      <w:r w:rsidRPr="009D4627">
        <w:t>range</w:t>
      </w:r>
      <w:r w:rsidR="00B83167" w:rsidRPr="009D4627">
        <w:t xml:space="preserve"> and</w:t>
      </w:r>
      <w:r w:rsidRPr="009D4627">
        <w:t xml:space="preserve"> highly experienced to the experiment versus </w:t>
      </w:r>
      <w:r w:rsidR="00B83167" w:rsidRPr="009D4627">
        <w:t>naïve participants</w:t>
      </w:r>
      <w:r w:rsidRPr="009D4627">
        <w:t xml:space="preserve">). All those factors gave rise to the potential variation in eye recording experiments </w:t>
      </w:r>
      <w:r w:rsidR="00B83167" w:rsidRPr="009D4627">
        <w:t xml:space="preserve">if </w:t>
      </w:r>
      <w:r w:rsidRPr="009D4627">
        <w:t>care</w:t>
      </w:r>
      <w:r w:rsidR="00B83167" w:rsidRPr="009D4627">
        <w:t xml:space="preserve"> is not taken</w:t>
      </w:r>
      <w:r w:rsidRPr="009D4627">
        <w:t xml:space="preserve"> to control these confounding variables.  To allow conclusions to be drawn about any abnormality in </w:t>
      </w:r>
      <w:r w:rsidR="00944720" w:rsidRPr="009D4627">
        <w:t>saccadic</w:t>
      </w:r>
      <w:r w:rsidRPr="009D4627">
        <w:t xml:space="preserve"> eye movements, normative data must be established to be used as the comparison within each different lab</w:t>
      </w:r>
      <w:r w:rsidR="00B83167" w:rsidRPr="009D4627">
        <w:t>oratory</w:t>
      </w:r>
      <w:r w:rsidRPr="009D4627">
        <w:t xml:space="preserve"> setting and paradigm used.</w:t>
      </w:r>
      <w:r w:rsidRPr="009D4627">
        <w:rPr>
          <w:rFonts w:eastAsia="Calibri"/>
          <w:lang w:val="en-US"/>
        </w:rPr>
        <w:t xml:space="preserve"> </w:t>
      </w:r>
    </w:p>
    <w:p w14:paraId="452FCB17" w14:textId="77777777" w:rsidR="00547D87" w:rsidRPr="009D4627" w:rsidRDefault="00547D87" w:rsidP="00D04E3B">
      <w:pPr>
        <w:pStyle w:val="Heading2"/>
      </w:pPr>
      <w:bookmarkStart w:id="55" w:name="_Toc98964620"/>
      <w:bookmarkStart w:id="56" w:name="_Toc103344665"/>
      <w:r w:rsidRPr="009D4627">
        <w:t>Current clinical assessments routine of eye movements and their limitations</w:t>
      </w:r>
      <w:bookmarkEnd w:id="55"/>
      <w:bookmarkEnd w:id="56"/>
    </w:p>
    <w:p w14:paraId="6A01021A" w14:textId="1A2922C7" w:rsidR="00547D87" w:rsidRPr="009D4627" w:rsidRDefault="00547D87" w:rsidP="00390EBC">
      <w:r w:rsidRPr="009D4627">
        <w:t>The clinical assessment of eye movements is vital to allow differential diagnosis and management of ocular motility disorders</w:t>
      </w:r>
      <w:r w:rsidR="00720FD7">
        <w:t xml:space="preserve"> </w:t>
      </w:r>
      <w:r w:rsidR="00720FD7">
        <w:fldChar w:fldCharType="begin"/>
      </w:r>
      <w:r w:rsidR="00720FD7">
        <w:instrText xml:space="preserve"> ADDIN EN.CITE &lt;EndNote&gt;&lt;Cite&gt;&lt;Author&gt;Ansons&lt;/Author&gt;&lt;Year&gt;2014&lt;/Year&gt;&lt;IDText&gt;Clinical assessment of ocular movement range. In:  Diagnosis and management of ocular motility disorders&lt;/IDText&gt;&lt;DisplayText&gt;(Ansons &amp;amp; Davis, 2014)&lt;/DisplayText&gt;&lt;record&gt;&lt;titles&gt;&lt;title&gt;Clinical assessment of ocular movement range. In:  Diagnosis and management of ocular motility disorders&lt;/title&gt;&lt;/titles&gt;&lt;contributors&gt;&lt;authors&gt;&lt;author&gt;Ansons, Alec M.&lt;/author&gt;&lt;author&gt;Davis, Helen&lt;/author&gt;&lt;/authors&gt;&lt;/contributors&gt;&lt;section&gt;127-129&lt;/section&gt;&lt;edition&gt;Fourth&lt;/edition&gt;&lt;added-date format="utc"&gt;1647405889&lt;/added-date&gt;&lt;ref-type name="Book"&gt;6&lt;/ref-type&gt;&lt;dates&gt;&lt;year&gt;2014&lt;/year&gt;&lt;/dates&gt;&lt;rec-number&gt;832&lt;/rec-number&gt;&lt;publisher&gt;John Wiley &amp;amp; Sons, Ltd&lt;/publisher&gt;&lt;last-updated-date format="utc"&gt;1647406711&lt;/last-updated-date&gt;&lt;/record&gt;&lt;/Cite&gt;&lt;/EndNote&gt;</w:instrText>
      </w:r>
      <w:r w:rsidR="00720FD7">
        <w:fldChar w:fldCharType="separate"/>
      </w:r>
      <w:r w:rsidR="00720FD7">
        <w:rPr>
          <w:noProof/>
        </w:rPr>
        <w:t>(Ansons &amp; Davis, 2014)</w:t>
      </w:r>
      <w:r w:rsidR="00720FD7">
        <w:fldChar w:fldCharType="end"/>
      </w:r>
      <w:r w:rsidRPr="009D4627">
        <w:t xml:space="preserve">.  </w:t>
      </w:r>
      <w:r w:rsidRPr="009D4627">
        <w:rPr>
          <w:color w:val="000000"/>
          <w:shd w:val="clear" w:color="auto" w:fill="FFFFFF"/>
        </w:rPr>
        <w:t>Diplopia is the most typical subjective complaint associated with a lesion affecting the extraocular muscles, their neuromuscular junctions, the oculomotor nuclei or nerve</w:t>
      </w:r>
      <w:r w:rsidR="00B83167" w:rsidRPr="009D4627">
        <w:rPr>
          <w:color w:val="000000"/>
          <w:shd w:val="clear" w:color="auto" w:fill="FFFFFF"/>
        </w:rPr>
        <w:t>s</w:t>
      </w:r>
      <w:r w:rsidRPr="009D4627">
        <w:rPr>
          <w:color w:val="000000"/>
          <w:shd w:val="clear" w:color="auto" w:fill="FFFFFF"/>
        </w:rPr>
        <w:t xml:space="preserve">, or pathways in the brainstem that maintain alignment of the eyes </w:t>
      </w:r>
      <w:r w:rsidRPr="009D4627">
        <w:rPr>
          <w:color w:val="000000"/>
          <w:shd w:val="clear" w:color="auto" w:fill="FFFFFF"/>
        </w:rPr>
        <w:fldChar w:fldCharType="begin"/>
      </w:r>
      <w:r w:rsidRPr="009D4627">
        <w:rPr>
          <w:color w:val="000000"/>
          <w:shd w:val="clear" w:color="auto" w:fill="FFFFFF"/>
        </w:rPr>
        <w:instrText xml:space="preserve"> ADDIN EN.CITE &lt;EndNote&gt;&lt;Cite&gt;&lt;Author&gt;Wray&lt;/Author&gt;&lt;Year&gt;2014&lt;/Year&gt;&lt;IDText&gt;Eye movement disorders in clinical practice&lt;/IDText&gt;&lt;DisplayText&gt;(Wray, 2014)&lt;/DisplayText&gt;&lt;record&gt;&lt;titles&gt;&lt;title&gt;Eye movement disorders in clinical practice&lt;/title&gt;&lt;/titles&gt;&lt;contributors&gt;&lt;authors&gt;&lt;author&gt;Wray, Shirley H.&lt;/author&gt;&lt;/authors&gt;&lt;/contributors&gt;&lt;added-date format="utc"&gt;1571748912&lt;/added-date&gt;&lt;pub-location&gt;Oxford ; New York&lt;/pub-location&gt;&lt;ref-type name="Book"&gt;6&lt;/ref-type&gt;&lt;dates&gt;&lt;year&gt;2014&lt;/year&gt;&lt;/dates&gt;&lt;rec-number&gt;605&lt;/rec-number&gt;&lt;publisher&gt;Oxford ; New York : Oxford University Press, c2014&lt;/publisher&gt;&lt;last-updated-date format="utc"&gt;1571748912&lt;/last-updated-date&gt;&lt;/record&gt;&lt;/Cite&gt;&lt;/EndNote&gt;</w:instrText>
      </w:r>
      <w:r w:rsidRPr="009D4627">
        <w:rPr>
          <w:color w:val="000000"/>
          <w:shd w:val="clear" w:color="auto" w:fill="FFFFFF"/>
        </w:rPr>
        <w:fldChar w:fldCharType="separate"/>
      </w:r>
      <w:r w:rsidRPr="009D4627">
        <w:rPr>
          <w:noProof/>
          <w:color w:val="000000"/>
          <w:shd w:val="clear" w:color="auto" w:fill="FFFFFF"/>
        </w:rPr>
        <w:t>(Wray, 2014)</w:t>
      </w:r>
      <w:r w:rsidRPr="009D4627">
        <w:rPr>
          <w:color w:val="000000"/>
          <w:shd w:val="clear" w:color="auto" w:fill="FFFFFF"/>
        </w:rPr>
        <w:fldChar w:fldCharType="end"/>
      </w:r>
      <w:r w:rsidRPr="009D4627">
        <w:rPr>
          <w:color w:val="000000"/>
          <w:shd w:val="clear" w:color="auto" w:fill="FFFFFF"/>
        </w:rPr>
        <w:t xml:space="preserve">. </w:t>
      </w:r>
    </w:p>
    <w:p w14:paraId="6F3289DB" w14:textId="77777777" w:rsidR="00D80280" w:rsidRPr="009D4627" w:rsidRDefault="00D80280" w:rsidP="00DC4CA6">
      <w:pPr>
        <w:pStyle w:val="Heading3"/>
      </w:pPr>
      <w:bookmarkStart w:id="57" w:name="_Toc98964621"/>
      <w:bookmarkStart w:id="58" w:name="_Toc103344666"/>
      <w:r w:rsidRPr="009D4627">
        <w:t>Testing fixations</w:t>
      </w:r>
      <w:bookmarkEnd w:id="57"/>
      <w:bookmarkEnd w:id="58"/>
    </w:p>
    <w:p w14:paraId="00DF8DEC" w14:textId="49A6AF8E" w:rsidR="00D80280" w:rsidRPr="009D4627" w:rsidRDefault="00D80280" w:rsidP="00D80280">
      <w:r w:rsidRPr="009D4627">
        <w:t xml:space="preserve">Assessment of fixation is conducted in the eye clinic by instructing the patient to fixate a target in primary </w:t>
      </w:r>
      <w:r w:rsidR="00995715" w:rsidRPr="009D4627">
        <w:t>position (PP)</w:t>
      </w:r>
      <w:r w:rsidRPr="009D4627">
        <w:t>, which might be a light or a detailed target with both eyes open. The examiner must observe if any form of instability, such as nystagmus or saccadic intrusions</w:t>
      </w:r>
      <w:r w:rsidR="00AE6F60" w:rsidRPr="009D4627">
        <w:t>,</w:t>
      </w:r>
      <w:r w:rsidRPr="009D4627">
        <w:t xml:space="preserve"> are </w:t>
      </w:r>
      <w:r w:rsidRPr="009D4627">
        <w:lastRenderedPageBreak/>
        <w:t>present. The same method is repeated with each eye covered to examine if there is any instability when fixating monocularly, indicating the presence of latent nystagmus.</w:t>
      </w:r>
      <w:r w:rsidRPr="009D4627" w:rsidDel="00321342">
        <w:t xml:space="preserve"> </w:t>
      </w:r>
    </w:p>
    <w:p w14:paraId="1B5457DA" w14:textId="7E446B31" w:rsidR="00D80280" w:rsidRPr="009D4627" w:rsidRDefault="00D80280" w:rsidP="00D80280">
      <w:r w:rsidRPr="009D4627">
        <w:t xml:space="preserve">A more precise clinical method to evaluate the fixation stability involves using an ophthalmoscope, known as </w:t>
      </w:r>
      <w:proofErr w:type="spellStart"/>
      <w:r w:rsidRPr="009D4627">
        <w:t>visuoscopy</w:t>
      </w:r>
      <w:proofErr w:type="spellEnd"/>
      <w:r w:rsidRPr="009D4627">
        <w:t xml:space="preserve">. The test is performed with one eye occluded. The patient is instructed to look at the ophthalmoscope light. The examiner evaluates whether the fovea is fixating on the target and can detect any eccentricity or fixation instability. </w:t>
      </w:r>
    </w:p>
    <w:p w14:paraId="0DBAF3C2" w14:textId="77777777" w:rsidR="00D80280" w:rsidRPr="009D4627" w:rsidRDefault="00D80280" w:rsidP="00D80280">
      <w:r w:rsidRPr="009D4627">
        <w:t xml:space="preserve">If any form of nystagmus is observed, the test needs to be repeated monocularly by occluding the non-tested eye. Then, the examiner needs to compare whether the nystagmus increases under monocular conditions, indicating latent nystagmus. Due to the qualitative nature of the assessment, a definite value cannot be assigned to the fixation stability. The lack of a recording system makes it is difficult to monitor changes over time. However, this literature review found no studies to evaluate the accuracy of these qualitative clinical methods. </w:t>
      </w:r>
    </w:p>
    <w:p w14:paraId="097BC1E3" w14:textId="28EC368B" w:rsidR="00547D87" w:rsidRPr="009D4627" w:rsidRDefault="00547D87" w:rsidP="00DC4CA6">
      <w:pPr>
        <w:pStyle w:val="Heading3"/>
      </w:pPr>
      <w:bookmarkStart w:id="59" w:name="_Toc98964622"/>
      <w:bookmarkStart w:id="60" w:name="_Toc103344667"/>
      <w:r w:rsidRPr="009D4627">
        <w:t xml:space="preserve">Testing </w:t>
      </w:r>
      <w:r w:rsidR="000164C3">
        <w:t>SP</w:t>
      </w:r>
      <w:bookmarkEnd w:id="59"/>
      <w:bookmarkEnd w:id="60"/>
      <w:r w:rsidRPr="009D4627">
        <w:t xml:space="preserve"> </w:t>
      </w:r>
    </w:p>
    <w:p w14:paraId="39C9E9E9" w14:textId="2EB23651" w:rsidR="00547D87" w:rsidRPr="009D4627" w:rsidRDefault="00134019" w:rsidP="00390EBC">
      <w:r w:rsidRPr="009D4627">
        <w:t>SP</w:t>
      </w:r>
      <w:r w:rsidR="00547D87" w:rsidRPr="009D4627">
        <w:t xml:space="preserve"> </w:t>
      </w:r>
      <w:r w:rsidR="0038095E" w:rsidRPr="009D4627">
        <w:t>are</w:t>
      </w:r>
      <w:r w:rsidR="00547D87" w:rsidRPr="009D4627">
        <w:t xml:space="preserve"> tested routinely in the eye clinic to evaluate the range and the quality of eye movements qualitatively. There are several methods routinely perform in the clinic to evaluate the </w:t>
      </w:r>
      <w:r w:rsidR="00D80280" w:rsidRPr="009D4627">
        <w:t>SP</w:t>
      </w:r>
      <w:r w:rsidR="00547D87" w:rsidRPr="009D4627">
        <w:t xml:space="preserve"> system. Firstly, </w:t>
      </w:r>
      <w:r w:rsidR="00291915" w:rsidRPr="009D4627">
        <w:t xml:space="preserve">the </w:t>
      </w:r>
      <w:r w:rsidR="00547D87" w:rsidRPr="009D4627">
        <w:t xml:space="preserve">ocular motility test (OMT) is performed by holding a penlight in the patient's midline in the </w:t>
      </w:r>
      <w:r w:rsidR="00F57D01" w:rsidRPr="009D4627">
        <w:t xml:space="preserve">PP </w:t>
      </w:r>
      <w:r w:rsidR="00547D87" w:rsidRPr="009D4627">
        <w:t xml:space="preserve">and instructing them to follow it as it moves smoothly into various positions of gaze, maintaining the penlight at such a distance that the examiner can always observe the corneal reflections in both eyes. At the same time, </w:t>
      </w:r>
      <w:r w:rsidR="00291915" w:rsidRPr="009D4627">
        <w:t xml:space="preserve">the examiner </w:t>
      </w:r>
      <w:r w:rsidR="00547D87" w:rsidRPr="009D4627">
        <w:t>carefully watch</w:t>
      </w:r>
      <w:r w:rsidR="00291915" w:rsidRPr="009D4627">
        <w:t>es</w:t>
      </w:r>
      <w:r w:rsidR="00547D87" w:rsidRPr="009D4627">
        <w:t xml:space="preserve"> for overshoot or undershoot movements in either eye in any direction.  The examination aims to assess </w:t>
      </w:r>
      <w:r w:rsidR="00291915" w:rsidRPr="009D4627">
        <w:t xml:space="preserve">for any </w:t>
      </w:r>
      <w:r w:rsidR="00547D87" w:rsidRPr="009D4627">
        <w:t xml:space="preserve">imbalance of eye movements </w:t>
      </w:r>
      <w:r w:rsidR="00291915" w:rsidRPr="009D4627">
        <w:t>in the</w:t>
      </w:r>
      <w:r w:rsidR="00547D87" w:rsidRPr="009D4627">
        <w:t xml:space="preserve"> nine positions of gaze.</w:t>
      </w:r>
    </w:p>
    <w:p w14:paraId="5B99FAA5" w14:textId="2A71E46F" w:rsidR="00547D87" w:rsidRPr="009D4627" w:rsidRDefault="00547D87" w:rsidP="00390EBC">
      <w:pPr>
        <w:rPr>
          <w:rFonts w:eastAsia="Arial"/>
        </w:rPr>
      </w:pPr>
      <w:r w:rsidRPr="009D4627">
        <w:lastRenderedPageBreak/>
        <w:t xml:space="preserve">Additionally, </w:t>
      </w:r>
      <w:r w:rsidR="00291915" w:rsidRPr="009D4627">
        <w:t>this examination assesses</w:t>
      </w:r>
      <w:r w:rsidRPr="009D4627">
        <w:t xml:space="preserve"> the eyes' accuracy</w:t>
      </w:r>
      <w:r w:rsidR="00291915" w:rsidRPr="009D4627">
        <w:t xml:space="preserve"> </w:t>
      </w:r>
      <w:r w:rsidR="00AE6F60" w:rsidRPr="009D4627">
        <w:t>in</w:t>
      </w:r>
      <w:r w:rsidRPr="009D4627">
        <w:t xml:space="preserve"> follow</w:t>
      </w:r>
      <w:r w:rsidR="00AE6F60" w:rsidRPr="009D4627">
        <w:t>ing</w:t>
      </w:r>
      <w:r w:rsidRPr="009D4627">
        <w:t xml:space="preserve"> the smooth moving target to various gaze positions and indirectly, </w:t>
      </w:r>
      <w:r w:rsidR="00D80280" w:rsidRPr="009D4627">
        <w:t>its</w:t>
      </w:r>
      <w:r w:rsidRPr="009D4627">
        <w:t xml:space="preserve"> visual fixation performance. When the </w:t>
      </w:r>
      <w:r w:rsidR="00444E5B" w:rsidRPr="009D4627">
        <w:t xml:space="preserve">SP </w:t>
      </w:r>
      <w:r w:rsidRPr="009D4627">
        <w:t xml:space="preserve">movement does not match the target velocity, a corrective saccade will be observed during the test, indicating imperfect pursuit. </w:t>
      </w:r>
      <w:r w:rsidRPr="009D4627">
        <w:rPr>
          <w:rFonts w:eastAsia="Arial"/>
        </w:rPr>
        <w:t xml:space="preserve">In this clinical </w:t>
      </w:r>
      <w:r w:rsidR="00291915" w:rsidRPr="009D4627">
        <w:rPr>
          <w:rFonts w:eastAsia="Arial"/>
        </w:rPr>
        <w:t>examination</w:t>
      </w:r>
      <w:r w:rsidRPr="009D4627">
        <w:rPr>
          <w:rFonts w:eastAsia="Arial"/>
        </w:rPr>
        <w:t xml:space="preserve">, any eye movement imbalance </w:t>
      </w:r>
      <w:r w:rsidR="00291915" w:rsidRPr="009D4627">
        <w:rPr>
          <w:rFonts w:eastAsia="Arial"/>
        </w:rPr>
        <w:t xml:space="preserve">can be assessed </w:t>
      </w:r>
      <w:r w:rsidRPr="009D4627">
        <w:rPr>
          <w:rFonts w:eastAsia="Arial"/>
        </w:rPr>
        <w:t>by:</w:t>
      </w:r>
    </w:p>
    <w:p w14:paraId="4C67F78E" w14:textId="6E34FFB2" w:rsidR="004962C8" w:rsidRPr="009D4627" w:rsidRDefault="004962C8" w:rsidP="004962C8">
      <w:pPr>
        <w:pStyle w:val="ListParagraph"/>
        <w:numPr>
          <w:ilvl w:val="0"/>
          <w:numId w:val="14"/>
        </w:numPr>
      </w:pPr>
      <w:r w:rsidRPr="009D4627">
        <w:t>Grading the abnormality of movements, where (-</w:t>
      </w:r>
      <w:proofErr w:type="spellStart"/>
      <w:r w:rsidRPr="009D4627">
        <w:t>ve</w:t>
      </w:r>
      <w:proofErr w:type="spellEnd"/>
      <w:r w:rsidRPr="009D4627">
        <w:t>) indicates undershoot and (+</w:t>
      </w:r>
      <w:proofErr w:type="spellStart"/>
      <w:r w:rsidRPr="009D4627">
        <w:t>ve</w:t>
      </w:r>
      <w:proofErr w:type="spellEnd"/>
      <w:r w:rsidRPr="009D4627">
        <w:t>) indicates overshoot</w:t>
      </w:r>
      <w:r w:rsidR="00720FD7">
        <w:t xml:space="preserve"> </w:t>
      </w:r>
      <w:r w:rsidR="00720FD7">
        <w:fldChar w:fldCharType="begin"/>
      </w:r>
      <w:r w:rsidR="00720FD7">
        <w:instrText xml:space="preserve"> ADDIN EN.CITE &lt;EndNote&gt;&lt;Cite&gt;&lt;Author&gt;Ansons&lt;/Author&gt;&lt;Year&gt;2014&lt;/Year&gt;&lt;IDText&gt;Clinical assessment of ocular movement range. In:  Diagnosis and management of ocular motility disorders&lt;/IDText&gt;&lt;DisplayText&gt;(Ansons &amp;amp; Davis, 2014)&lt;/DisplayText&gt;&lt;record&gt;&lt;titles&gt;&lt;title&gt;Clinical assessment of ocular movement range. In:  Diagnosis and management of ocular motility disorders&lt;/title&gt;&lt;/titles&gt;&lt;contributors&gt;&lt;authors&gt;&lt;author&gt;Ansons, Alec M.&lt;/author&gt;&lt;author&gt;Davis, Helen&lt;/author&gt;&lt;/authors&gt;&lt;/contributors&gt;&lt;section&gt;127-129&lt;/section&gt;&lt;edition&gt;Fourth&lt;/edition&gt;&lt;added-date format="utc"&gt;1647405889&lt;/added-date&gt;&lt;ref-type name="Book"&gt;6&lt;/ref-type&gt;&lt;dates&gt;&lt;year&gt;2014&lt;/year&gt;&lt;/dates&gt;&lt;rec-number&gt;832&lt;/rec-number&gt;&lt;publisher&gt;John Wiley &amp;amp; Sons, Ltd&lt;/publisher&gt;&lt;last-updated-date format="utc"&gt;1647406711&lt;/last-updated-date&gt;&lt;/record&gt;&lt;/Cite&gt;&lt;/EndNote&gt;</w:instrText>
      </w:r>
      <w:r w:rsidR="00720FD7">
        <w:fldChar w:fldCharType="separate"/>
      </w:r>
      <w:r w:rsidR="00720FD7">
        <w:rPr>
          <w:noProof/>
        </w:rPr>
        <w:t>(Ansons &amp; Davis, 2014)</w:t>
      </w:r>
      <w:r w:rsidR="00720FD7">
        <w:fldChar w:fldCharType="end"/>
      </w:r>
      <w:r w:rsidRPr="009D4627">
        <w:t>. In each position, any limitation of duction is recorded using a grading scale of -1 to -4, where -4 indicates no movement beyond the midline, -3 indicates the eye moves about 25%, -2 indicates the eye moves about 50% and -1 indicates the eye moves about 75% of the full expected excursion. Overaction of duction is graded using a scale of +1 to +4.</w:t>
      </w:r>
    </w:p>
    <w:p w14:paraId="3AA95A6D" w14:textId="2687363C" w:rsidR="004962C8" w:rsidRPr="009D4627" w:rsidRDefault="00547D87" w:rsidP="00BE0D92">
      <w:pPr>
        <w:pStyle w:val="ListParagraph"/>
        <w:numPr>
          <w:ilvl w:val="0"/>
          <w:numId w:val="14"/>
        </w:numPr>
      </w:pPr>
      <w:r w:rsidRPr="009D4627">
        <w:t xml:space="preserve">Observing the movement's quality and whether the movement matches the target </w:t>
      </w:r>
      <w:r w:rsidR="00291915" w:rsidRPr="009D4627">
        <w:t xml:space="preserve">or is </w:t>
      </w:r>
      <w:r w:rsidRPr="009D4627">
        <w:t xml:space="preserve">limited or excessive </w:t>
      </w:r>
      <w:r w:rsidRPr="009D4627">
        <w:fldChar w:fldCharType="begin"/>
      </w:r>
      <w:r w:rsidRPr="009D4627">
        <w:instrText xml:space="preserve"> ADDIN EN.CITE &lt;EndNote&gt;&lt;Cite&gt;&lt;Author&gt;Von Noorden&lt;/Author&gt;&lt;Year&gt;2002&lt;/Year&gt;&lt;IDText&gt;Binocular vision and ocular motility : theory and management of strabismus&lt;/IDText&gt;&lt;DisplayText&gt;(Von Noorden, 2002)&lt;/DisplayText&gt;&lt;record&gt;&lt;keywords&gt;&lt;keyword&gt;Strabismus&lt;/keyword&gt;&lt;keyword&gt;Binocular vision&lt;/keyword&gt;&lt;keyword&gt;Eye -- Movements&lt;/keyword&gt;&lt;keyword&gt;Biomechanics&lt;/keyword&gt;&lt;keyword&gt;Rapid eye movement sleep&lt;/keyword&gt;&lt;keyword&gt;Vision&lt;/keyword&gt;&lt;keyword&gt;Panum&amp;apos;s fusional area&lt;/keyword&gt;&lt;keyword&gt;Eye -- Movement disorders&lt;/keyword&gt;&lt;/keywords&gt;&lt;titles&gt;&lt;title&gt;Binocular vision and ocular motility : theory and management of strabismus&lt;/title&gt;&lt;/titles&gt;&lt;contributors&gt;&lt;authors&gt;&lt;author&gt;Von Noorden, Gunter K.&lt;/author&gt;&lt;/authors&gt;&lt;/contributors&gt;&lt;edition&gt;6th ed.&lt;/edition&gt;&lt;added-date format="utc"&gt;1571650129&lt;/added-date&gt;&lt;pub-location&gt;St. Louis, Mo. ; London&lt;/pub-location&gt;&lt;ref-type name="Book"&gt;6&lt;/ref-type&gt;&lt;dates&gt;&lt;year&gt;2002&lt;/year&gt;&lt;/dates&gt;&lt;rec-number&gt;603&lt;/rec-number&gt;&lt;publisher&gt;St. Louis, Mo. ; London : Mosby, c2002&lt;/publisher&gt;&lt;last-updated-date format="utc"&gt;1571650129&lt;/last-updated-date&gt;&lt;contributors&gt;&lt;secondary-authors&gt;&lt;author&gt;Campos, E. C.&lt;/author&gt;&lt;/secondary-authors&gt;&lt;/contributors&gt;&lt;/record&gt;&lt;/Cite&gt;&lt;/EndNote&gt;</w:instrText>
      </w:r>
      <w:r w:rsidRPr="009D4627">
        <w:fldChar w:fldCharType="separate"/>
      </w:r>
      <w:r w:rsidRPr="009D4627">
        <w:rPr>
          <w:noProof/>
        </w:rPr>
        <w:t>(Von Noorden, 2002)</w:t>
      </w:r>
      <w:r w:rsidRPr="009D4627">
        <w:fldChar w:fldCharType="end"/>
      </w:r>
      <w:r w:rsidRPr="009D4627">
        <w:t xml:space="preserve">. </w:t>
      </w:r>
      <w:r w:rsidR="00D91AAB" w:rsidRPr="009D4627">
        <w:t>Figure</w:t>
      </w:r>
      <w:r w:rsidRPr="009D4627">
        <w:t xml:space="preserve"> 1</w:t>
      </w:r>
      <w:r w:rsidR="00327717" w:rsidRPr="009D4627">
        <w:t>.</w:t>
      </w:r>
      <w:r w:rsidR="004962C8" w:rsidRPr="009D4627">
        <w:t>9</w:t>
      </w:r>
      <w:r w:rsidRPr="009D4627">
        <w:t xml:space="preserve"> shows an example </w:t>
      </w:r>
      <w:r w:rsidR="00291915" w:rsidRPr="009D4627">
        <w:t>of</w:t>
      </w:r>
      <w:r w:rsidRPr="009D4627">
        <w:t xml:space="preserve"> limited </w:t>
      </w:r>
      <w:r w:rsidR="00D67222" w:rsidRPr="009D4627">
        <w:t>RE</w:t>
      </w:r>
      <w:r w:rsidR="00291915" w:rsidRPr="009D4627">
        <w:t xml:space="preserve"> </w:t>
      </w:r>
      <w:r w:rsidRPr="009D4627">
        <w:t>abduction.</w:t>
      </w:r>
    </w:p>
    <w:tbl>
      <w:tblPr>
        <w:tblStyle w:val="TableGrid"/>
        <w:tblW w:w="0" w:type="auto"/>
        <w:jc w:val="center"/>
        <w:tblLook w:val="04A0" w:firstRow="1" w:lastRow="0" w:firstColumn="1" w:lastColumn="0" w:noHBand="0" w:noVBand="1"/>
      </w:tblPr>
      <w:tblGrid>
        <w:gridCol w:w="1984"/>
        <w:gridCol w:w="1984"/>
        <w:gridCol w:w="1984"/>
      </w:tblGrid>
      <w:tr w:rsidR="00547D87" w:rsidRPr="009D4627" w14:paraId="5626426D" w14:textId="77777777" w:rsidTr="00816C2F">
        <w:trPr>
          <w:jc w:val="center"/>
        </w:trPr>
        <w:tc>
          <w:tcPr>
            <w:tcW w:w="1984" w:type="dxa"/>
          </w:tcPr>
          <w:p w14:paraId="07D95DA5" w14:textId="235C3273" w:rsidR="00547D87" w:rsidRPr="009D4627" w:rsidRDefault="00A2792E" w:rsidP="00AE6F60">
            <w:pPr>
              <w:pStyle w:val="ListParagraph"/>
              <w:spacing w:line="240" w:lineRule="auto"/>
              <w:ind w:left="0"/>
              <w:jc w:val="left"/>
              <w:rPr>
                <w:noProof/>
              </w:rPr>
            </w:pPr>
            <w:r w:rsidRPr="009D4627">
              <w:rPr>
                <w:noProof/>
              </w:rPr>
              <mc:AlternateContent>
                <mc:Choice Requires="wpg">
                  <w:drawing>
                    <wp:anchor distT="0" distB="0" distL="114300" distR="114300" simplePos="0" relativeHeight="251683840" behindDoc="0" locked="0" layoutInCell="1" allowOverlap="1" wp14:anchorId="336CE32E" wp14:editId="1BA84E00">
                      <wp:simplePos x="0" y="0"/>
                      <wp:positionH relativeFrom="column">
                        <wp:posOffset>88900</wp:posOffset>
                      </wp:positionH>
                      <wp:positionV relativeFrom="paragraph">
                        <wp:posOffset>193675</wp:posOffset>
                      </wp:positionV>
                      <wp:extent cx="904875" cy="171450"/>
                      <wp:effectExtent l="0" t="0" r="9525" b="0"/>
                      <wp:wrapSquare wrapText="bothSides"/>
                      <wp:docPr id="24430" name="Group 24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1"/>
                                <a:chExt cx="904875" cy="171451"/>
                              </a:xfrm>
                            </wpg:grpSpPr>
                            <wpg:grpSp>
                              <wpg:cNvPr id="24431" name="Group 543"/>
                              <wpg:cNvGrpSpPr/>
                              <wpg:grpSpPr>
                                <a:xfrm>
                                  <a:off x="0" y="-1"/>
                                  <a:ext cx="904875" cy="171451"/>
                                  <a:chOff x="0" y="-1"/>
                                  <a:chExt cx="904875" cy="171451"/>
                                </a:xfrm>
                              </wpg:grpSpPr>
                              <wpg:grpSp>
                                <wpg:cNvPr id="24432" name="Group 545"/>
                                <wpg:cNvGrpSpPr/>
                                <wpg:grpSpPr>
                                  <a:xfrm>
                                    <a:off x="0" y="-1"/>
                                    <a:ext cx="390525" cy="171451"/>
                                    <a:chOff x="0" y="-1"/>
                                    <a:chExt cx="390525" cy="171451"/>
                                  </a:xfrm>
                                </wpg:grpSpPr>
                                <wps:wsp>
                                  <wps:cNvPr id="24433" name="Oval 546"/>
                                  <wps:cNvSpPr/>
                                  <wps:spPr>
                                    <a:xfrm>
                                      <a:off x="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34" name="Oval 547"/>
                                  <wps:cNvSpPr/>
                                  <wps:spPr>
                                    <a:xfrm>
                                      <a:off x="152400" y="-1"/>
                                      <a:ext cx="114300" cy="8572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35" name="Oval 564"/>
                                <wps:cNvSpPr/>
                                <wps:spPr>
                                  <a:xfrm>
                                    <a:off x="51435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36" name="Oval 565"/>
                              <wps:cNvSpPr/>
                              <wps:spPr>
                                <a:xfrm>
                                  <a:off x="523875" y="28575"/>
                                  <a:ext cx="133350"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B5CE8E0" id="Group 24430" o:spid="_x0000_s1026" style="position:absolute;margin-left:7pt;margin-top:15.25pt;width:71.25pt;height:13.5pt;z-index:251683840" coordorigin=""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">
                      <v:group id="Group 543" o:spid="_x0000_s1027" style="position:absolute;width:9048;height:1714" coordorigin=""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">
                        <v:group id="Group 545" o:spid="_x0000_s1028" style="position:absolute;width:3905;height:1714" coordorigin=",-1" coordsize="390525,17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">
                          <v:oval id="Oval 546" o:spid="_x0000_s1029"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" fillcolor="white [3201]" strokecolor="black [3200]" strokeweight="1pt">
                            <v:stroke joinstyle="miter"/>
                          </v:oval>
                          <v:oval id="Oval 547" o:spid="_x0000_s1030" style="position:absolute;left:152400;top:-1;width:114300;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" fillcolor="black [3213]" strokecolor="black [3213]" strokeweight="1pt">
                            <v:stroke joinstyle="miter"/>
                          </v:oval>
                        </v:group>
                        <v:oval id="Oval 564" o:spid="_x0000_s1031" style="position:absolute;left:5143;width:390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" fillcolor="white [3201]" strokecolor="black [3200]" strokeweight="1pt">
                          <v:stroke joinstyle="miter"/>
                        </v:oval>
                      </v:group>
                      <v:oval id="Oval 565" o:spid="_x0000_s1032" style="position:absolute;left:5238;top:285;width:1334;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" fillcolor="black [3213]" strokecolor="black [3213]" strokeweight="1pt">
                        <v:stroke joinstyle="miter"/>
                      </v:oval>
                      <w10:wrap type="square"/>
                    </v:group>
                  </w:pict>
                </mc:Fallback>
              </mc:AlternateContent>
            </w:r>
            <w:r w:rsidR="00547D87" w:rsidRPr="009D4627">
              <w:t>(d)</w:t>
            </w:r>
            <w:r w:rsidR="00625DD1" w:rsidRPr="009D4627">
              <w:rPr>
                <w:noProof/>
              </w:rPr>
              <w:t xml:space="preserve"> </w:t>
            </w:r>
          </w:p>
        </w:tc>
        <w:tc>
          <w:tcPr>
            <w:tcW w:w="1984" w:type="dxa"/>
          </w:tcPr>
          <w:p w14:paraId="38EA2C74" w14:textId="363155F8" w:rsidR="00547D87" w:rsidRPr="009D4627" w:rsidRDefault="00A2792E" w:rsidP="00AE6F60">
            <w:pPr>
              <w:spacing w:before="0" w:line="240" w:lineRule="auto"/>
            </w:pPr>
            <w:r w:rsidRPr="009D4627">
              <w:rPr>
                <w:noProof/>
              </w:rPr>
              <mc:AlternateContent>
                <mc:Choice Requires="wpg">
                  <w:drawing>
                    <wp:anchor distT="0" distB="0" distL="114300" distR="114300" simplePos="0" relativeHeight="251684864" behindDoc="0" locked="0" layoutInCell="1" allowOverlap="1" wp14:anchorId="160E121D" wp14:editId="22C51039">
                      <wp:simplePos x="0" y="0"/>
                      <wp:positionH relativeFrom="column">
                        <wp:posOffset>95885</wp:posOffset>
                      </wp:positionH>
                      <wp:positionV relativeFrom="paragraph">
                        <wp:posOffset>198120</wp:posOffset>
                      </wp:positionV>
                      <wp:extent cx="904875" cy="171450"/>
                      <wp:effectExtent l="0" t="0" r="9525" b="0"/>
                      <wp:wrapSquare wrapText="bothSides"/>
                      <wp:docPr id="24423" name="Group 24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0"/>
                              </a:xfrm>
                            </wpg:grpSpPr>
                            <wpg:grpSp>
                              <wpg:cNvPr id="24424" name="Group 567"/>
                              <wpg:cNvGrpSpPr/>
                              <wpg:grpSpPr>
                                <a:xfrm>
                                  <a:off x="0" y="0"/>
                                  <a:ext cx="390525" cy="171450"/>
                                  <a:chOff x="0" y="0"/>
                                  <a:chExt cx="390525" cy="171450"/>
                                </a:xfrm>
                              </wpg:grpSpPr>
                              <wps:wsp>
                                <wps:cNvPr id="24425" name="Oval 568"/>
                                <wps:cNvSpPr/>
                                <wps:spPr>
                                  <a:xfrm>
                                    <a:off x="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26" name="Oval 569"/>
                                <wps:cNvSpPr/>
                                <wps:spPr>
                                  <a:xfrm>
                                    <a:off x="161925" y="9525"/>
                                    <a:ext cx="133350"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427" name="Group 570"/>
                              <wpg:cNvGrpSpPr/>
                              <wpg:grpSpPr>
                                <a:xfrm>
                                  <a:off x="514350" y="0"/>
                                  <a:ext cx="390525" cy="171450"/>
                                  <a:chOff x="0" y="0"/>
                                  <a:chExt cx="390525" cy="171450"/>
                                </a:xfrm>
                              </wpg:grpSpPr>
                              <wps:wsp>
                                <wps:cNvPr id="24428" name="Oval 571"/>
                                <wps:cNvSpPr/>
                                <wps:spPr>
                                  <a:xfrm>
                                    <a:off x="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29" name="Oval 572"/>
                                <wps:cNvSpPr/>
                                <wps:spPr>
                                  <a:xfrm>
                                    <a:off x="133349" y="0"/>
                                    <a:ext cx="123825" cy="8572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2B0EB54" id="Group 24423" o:spid="_x0000_s1026" style="position:absolute;margin-left:7.55pt;margin-top:15.6pt;width:71.25pt;height:13.5pt;z-index:251684864"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">
                      <v:group id="Group 567" o:spid="_x0000_s1027"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">
                        <v:oval id="Oval 568" o:spid="_x0000_s1028"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" fillcolor="white [3201]" strokecolor="black [3213]" strokeweight="1pt">
                          <v:stroke joinstyle="miter"/>
                        </v:oval>
                        <v:oval id="Oval 569" o:spid="_x0000_s1029" style="position:absolute;left:161925;top:9525;width:133350;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" fillcolor="black [3213]" strokecolor="black [3213]" strokeweight="1pt">
                          <v:stroke joinstyle="miter"/>
                        </v:oval>
                      </v:group>
                      <v:group id="Group 570" o:spid="_x0000_s1030" style="position:absolute;left:5143;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">
                        <v:oval id="Oval 571" o:spid="_x0000_s1031"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" fillcolor="white [3201]" strokecolor="black [3213]" strokeweight="1pt">
                          <v:stroke joinstyle="miter"/>
                        </v:oval>
                        <v:oval id="Oval 572" o:spid="_x0000_s1032" style="position:absolute;left:133349;width:123825;height:85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" fillcolor="black [3213]" strokecolor="black [3213]" strokeweight="1pt">
                          <v:stroke joinstyle="miter"/>
                        </v:oval>
                      </v:group>
                      <w10:wrap type="square"/>
                    </v:group>
                  </w:pict>
                </mc:Fallback>
              </mc:AlternateContent>
            </w:r>
            <w:r w:rsidR="00547D87" w:rsidRPr="009D4627">
              <w:t>(h)</w:t>
            </w:r>
            <w:r w:rsidR="00625DD1" w:rsidRPr="009D4627">
              <w:rPr>
                <w:noProof/>
              </w:rPr>
              <w:t xml:space="preserve"> </w:t>
            </w:r>
          </w:p>
        </w:tc>
        <w:tc>
          <w:tcPr>
            <w:tcW w:w="1984" w:type="dxa"/>
          </w:tcPr>
          <w:p w14:paraId="0AB829BF" w14:textId="66F2E96D" w:rsidR="00547D87" w:rsidRPr="009D4627" w:rsidRDefault="00A2792E" w:rsidP="00AE6F60">
            <w:pPr>
              <w:spacing w:before="0" w:line="240" w:lineRule="auto"/>
            </w:pPr>
            <w:r w:rsidRPr="009D4627">
              <w:rPr>
                <w:noProof/>
              </w:rPr>
              <mc:AlternateContent>
                <mc:Choice Requires="wpg">
                  <w:drawing>
                    <wp:anchor distT="0" distB="0" distL="114300" distR="114300" simplePos="0" relativeHeight="251685888" behindDoc="0" locked="0" layoutInCell="1" allowOverlap="1" wp14:anchorId="7AF4C4C5" wp14:editId="7D0C1359">
                      <wp:simplePos x="0" y="0"/>
                      <wp:positionH relativeFrom="column">
                        <wp:posOffset>150495</wp:posOffset>
                      </wp:positionH>
                      <wp:positionV relativeFrom="paragraph">
                        <wp:posOffset>184150</wp:posOffset>
                      </wp:positionV>
                      <wp:extent cx="904875" cy="171450"/>
                      <wp:effectExtent l="0" t="0" r="9525" b="0"/>
                      <wp:wrapSquare wrapText="bothSides"/>
                      <wp:docPr id="24416" name="Group 24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0"/>
                              </a:xfrm>
                            </wpg:grpSpPr>
                            <wpg:grpSp>
                              <wpg:cNvPr id="24417" name="Group 502"/>
                              <wpg:cNvGrpSpPr/>
                              <wpg:grpSpPr>
                                <a:xfrm>
                                  <a:off x="0" y="0"/>
                                  <a:ext cx="904875" cy="171450"/>
                                  <a:chOff x="0" y="0"/>
                                  <a:chExt cx="904875" cy="171450"/>
                                </a:xfrm>
                              </wpg:grpSpPr>
                              <wpg:grpSp>
                                <wpg:cNvPr id="24418" name="Group 503"/>
                                <wpg:cNvGrpSpPr/>
                                <wpg:grpSpPr>
                                  <a:xfrm>
                                    <a:off x="0" y="0"/>
                                    <a:ext cx="390525" cy="171450"/>
                                    <a:chOff x="0" y="0"/>
                                    <a:chExt cx="390525" cy="171450"/>
                                  </a:xfrm>
                                </wpg:grpSpPr>
                                <wps:wsp>
                                  <wps:cNvPr id="24419" name="Oval 504"/>
                                  <wps:cNvSpPr/>
                                  <wps:spPr>
                                    <a:xfrm>
                                      <a:off x="257174" y="24155"/>
                                      <a:ext cx="119405" cy="7841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20" name="Oval 506"/>
                                  <wps:cNvSpPr/>
                                  <wps:spPr>
                                    <a:xfrm>
                                      <a:off x="0" y="0"/>
                                      <a:ext cx="390525" cy="171450"/>
                                    </a:xfrm>
                                    <a:prstGeom prst="ellipse">
                                      <a:avLst/>
                                    </a:prstGeom>
                                    <a:noFill/>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21" name="Oval 507"/>
                                <wps:cNvSpPr/>
                                <wps:spPr>
                                  <a:xfrm>
                                    <a:off x="51435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22" name="Oval 508"/>
                              <wps:cNvSpPr/>
                              <wps:spPr>
                                <a:xfrm>
                                  <a:off x="775411" y="21945"/>
                                  <a:ext cx="119380" cy="7810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744D172" id="Group 24416" o:spid="_x0000_s1026" style="position:absolute;margin-left:11.85pt;margin-top:14.5pt;width:71.25pt;height:13.5pt;z-index:251685888"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">
                      <v:group id="Group 502" o:spid="_x0000_s1027" style="position:absolute;width:9048;height:1714"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">
                        <v:group id="Group 503" o:spid="_x0000_s1028"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">
                          <v:oval id="Oval 504" o:spid="_x0000_s1029" style="position:absolute;left:257174;top:24155;width:119405;height:78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" fillcolor="black [3213]" strokecolor="black [3213]" strokeweight="1pt">
                            <v:stroke joinstyle="miter"/>
                          </v:oval>
                          <v:oval id="Oval 506" o:spid="_x0000_s1030"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" filled="f" strokecolor="black [3213]" strokeweight="1pt">
                            <v:stroke joinstyle="miter"/>
                          </v:oval>
                        </v:group>
                        <v:oval id="Oval 507" o:spid="_x0000_s1031" style="position:absolute;left:5143;width:390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" fillcolor="white [3201]" strokecolor="black [3213]" strokeweight="1pt">
                          <v:stroke joinstyle="miter"/>
                        </v:oval>
                      </v:group>
                      <v:oval id="Oval 508" o:spid="_x0000_s1032" style="position:absolute;left:7754;top:219;width:1193;height: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" fillcolor="black [3213]" strokecolor="black [3213]" strokeweight="1pt">
                        <v:stroke joinstyle="miter"/>
                      </v:oval>
                      <w10:wrap type="square"/>
                    </v:group>
                  </w:pict>
                </mc:Fallback>
              </mc:AlternateContent>
            </w:r>
            <w:r w:rsidR="00547D87" w:rsidRPr="009D4627">
              <w:t>(f)</w:t>
            </w:r>
            <w:r w:rsidR="00625DD1" w:rsidRPr="009D4627">
              <w:rPr>
                <w:noProof/>
              </w:rPr>
              <w:t xml:space="preserve"> </w:t>
            </w:r>
          </w:p>
        </w:tc>
      </w:tr>
      <w:tr w:rsidR="00547D87" w:rsidRPr="009D4627" w14:paraId="7D774C7E" w14:textId="77777777" w:rsidTr="00816C2F">
        <w:trPr>
          <w:jc w:val="center"/>
        </w:trPr>
        <w:tc>
          <w:tcPr>
            <w:tcW w:w="1984" w:type="dxa"/>
          </w:tcPr>
          <w:p w14:paraId="6CBFE4F9" w14:textId="3ADC9F56" w:rsidR="00547D87" w:rsidRPr="009D4627" w:rsidRDefault="00A2792E" w:rsidP="00AE6F60">
            <w:pPr>
              <w:spacing w:before="0" w:line="240" w:lineRule="auto"/>
              <w:jc w:val="left"/>
              <w:rPr>
                <w:noProof/>
              </w:rPr>
            </w:pPr>
            <w:r w:rsidRPr="009D4627">
              <w:rPr>
                <w:noProof/>
              </w:rPr>
              <mc:AlternateContent>
                <mc:Choice Requires="wpg">
                  <w:drawing>
                    <wp:anchor distT="0" distB="0" distL="114300" distR="114300" simplePos="0" relativeHeight="251680768" behindDoc="0" locked="0" layoutInCell="1" allowOverlap="1" wp14:anchorId="3F9408DE" wp14:editId="534F49D2">
                      <wp:simplePos x="0" y="0"/>
                      <wp:positionH relativeFrom="column">
                        <wp:posOffset>107950</wp:posOffset>
                      </wp:positionH>
                      <wp:positionV relativeFrom="paragraph">
                        <wp:posOffset>248285</wp:posOffset>
                      </wp:positionV>
                      <wp:extent cx="904875" cy="313690"/>
                      <wp:effectExtent l="0" t="0" r="9525" b="0"/>
                      <wp:wrapSquare wrapText="bothSides"/>
                      <wp:docPr id="24407" name="Group 24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313690"/>
                                <a:chOff x="0" y="171450"/>
                                <a:chExt cx="904875" cy="314324"/>
                              </a:xfrm>
                            </wpg:grpSpPr>
                            <wpg:grpSp>
                              <wpg:cNvPr id="24408" name="Group 510"/>
                              <wpg:cNvGrpSpPr/>
                              <wpg:grpSpPr>
                                <a:xfrm>
                                  <a:off x="0" y="171450"/>
                                  <a:ext cx="904875" cy="171450"/>
                                  <a:chOff x="0" y="0"/>
                                  <a:chExt cx="904875" cy="171450"/>
                                </a:xfrm>
                              </wpg:grpSpPr>
                              <wpg:grpSp>
                                <wpg:cNvPr id="24409" name="Group 511"/>
                                <wpg:cNvGrpSpPr/>
                                <wpg:grpSpPr>
                                  <a:xfrm>
                                    <a:off x="0" y="0"/>
                                    <a:ext cx="904875" cy="171450"/>
                                    <a:chOff x="0" y="0"/>
                                    <a:chExt cx="904875" cy="171450"/>
                                  </a:xfrm>
                                </wpg:grpSpPr>
                                <wpg:grpSp>
                                  <wpg:cNvPr id="24410" name="Group 512"/>
                                  <wpg:cNvGrpSpPr/>
                                  <wpg:grpSpPr>
                                    <a:xfrm>
                                      <a:off x="0" y="0"/>
                                      <a:ext cx="390525" cy="171450"/>
                                      <a:chOff x="0" y="0"/>
                                      <a:chExt cx="390525" cy="171450"/>
                                    </a:xfrm>
                                  </wpg:grpSpPr>
                                  <wps:wsp>
                                    <wps:cNvPr id="24411" name="Oval 513"/>
                                    <wps:cNvSpPr/>
                                    <wps:spPr>
                                      <a:xfrm>
                                        <a:off x="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12" name="Oval 514"/>
                                    <wps:cNvSpPr/>
                                    <wps:spPr>
                                      <a:xfrm>
                                        <a:off x="142875" y="28575"/>
                                        <a:ext cx="133350"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13" name="Oval 515"/>
                                  <wps:cNvSpPr/>
                                  <wps:spPr>
                                    <a:xfrm>
                                      <a:off x="51435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14" name="Oval 516"/>
                                <wps:cNvSpPr/>
                                <wps:spPr>
                                  <a:xfrm>
                                    <a:off x="526212" y="37201"/>
                                    <a:ext cx="123285" cy="105673"/>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415" name="Straight Arrow Connector 517"/>
                              <wps:cNvCnPr/>
                              <wps:spPr>
                                <a:xfrm flipV="1">
                                  <a:off x="50172" y="314324"/>
                                  <a:ext cx="120835" cy="17145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7FCB1326" id="Group 24407" o:spid="_x0000_s1026" style="position:absolute;margin-left:8.5pt;margin-top:19.55pt;width:71.25pt;height:24.7pt;z-index:251680768" coordorigin=",1714" coordsize="9048,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">
                      <v:group id="Group 510" o:spid="_x0000_s1027" style="position:absolute;top:1714;width:9048;height:1715"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">
                        <v:group id="Group 511" o:spid="_x0000_s1028" style="position:absolute;width:9048;height:1714"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">
                          <v:group id="Group 512" o:spid="_x0000_s1029"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">
                            <v:oval id="Oval 513" o:spid="_x0000_s1030"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" fillcolor="white [3201]" strokecolor="black [3200]" strokeweight="1pt">
                              <v:stroke joinstyle="miter"/>
                            </v:oval>
                            <v:oval id="Oval 514" o:spid="_x0000_s1031" style="position:absolute;left:142875;top:28575;width:13335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" fillcolor="black [3213]" strokecolor="black [3213]" strokeweight="1pt">
                              <v:stroke joinstyle="miter"/>
                            </v:oval>
                          </v:group>
                          <v:oval id="Oval 515" o:spid="_x0000_s1032" style="position:absolute;left:5143;width:390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" fillcolor="white [3201]" strokecolor="black [3200]" strokeweight="1pt">
                            <v:stroke joinstyle="miter"/>
                          </v:oval>
                        </v:group>
                        <v:oval id="Oval 516" o:spid="_x0000_s1033" style="position:absolute;left:5262;top:372;width:1232;height: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" fillcolor="black [3213]" strokecolor="black [3213]" strokeweight="1pt">
                          <v:stroke joinstyle="miter"/>
                        </v:oval>
                      </v:group>
                      <v:shape id="Straight Arrow Connector 517" o:spid="_x0000_s1034" type="#_x0000_t32" style="position:absolute;left:501;top:3143;width:1209;height:17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" strokecolor="red" strokeweight="1.5pt">
                        <v:stroke endarrow="block" joinstyle="miter"/>
                      </v:shape>
                      <w10:wrap type="square"/>
                    </v:group>
                  </w:pict>
                </mc:Fallback>
              </mc:AlternateContent>
            </w:r>
            <w:r w:rsidR="00547D87" w:rsidRPr="009D4627">
              <w:t>(b)</w:t>
            </w:r>
          </w:p>
        </w:tc>
        <w:tc>
          <w:tcPr>
            <w:tcW w:w="1984" w:type="dxa"/>
          </w:tcPr>
          <w:p w14:paraId="1EB8743B" w14:textId="479D9E4E" w:rsidR="00547D87" w:rsidRPr="009D4627" w:rsidRDefault="00A2792E" w:rsidP="00AE6F60">
            <w:pPr>
              <w:spacing w:before="0" w:line="240" w:lineRule="auto"/>
              <w:rPr>
                <w:noProof/>
              </w:rPr>
            </w:pPr>
            <w:r w:rsidRPr="009D4627">
              <w:rPr>
                <w:noProof/>
              </w:rPr>
              <mc:AlternateContent>
                <mc:Choice Requires="wpg">
                  <w:drawing>
                    <wp:anchor distT="0" distB="0" distL="114300" distR="114300" simplePos="0" relativeHeight="251681792" behindDoc="0" locked="0" layoutInCell="1" allowOverlap="1" wp14:anchorId="598F45E0" wp14:editId="23CFED4F">
                      <wp:simplePos x="0" y="0"/>
                      <wp:positionH relativeFrom="column">
                        <wp:posOffset>95885</wp:posOffset>
                      </wp:positionH>
                      <wp:positionV relativeFrom="paragraph">
                        <wp:posOffset>238125</wp:posOffset>
                      </wp:positionV>
                      <wp:extent cx="904875" cy="171450"/>
                      <wp:effectExtent l="0" t="0" r="9525" b="0"/>
                      <wp:wrapSquare wrapText="bothSides"/>
                      <wp:docPr id="24400" name="Group 24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0"/>
                              </a:xfrm>
                            </wpg:grpSpPr>
                            <wpg:grpSp>
                              <wpg:cNvPr id="24401" name="Group 519"/>
                              <wpg:cNvGrpSpPr/>
                              <wpg:grpSpPr>
                                <a:xfrm>
                                  <a:off x="0" y="0"/>
                                  <a:ext cx="390525" cy="171450"/>
                                  <a:chOff x="0" y="0"/>
                                  <a:chExt cx="390525" cy="171450"/>
                                </a:xfrm>
                              </wpg:grpSpPr>
                              <wps:wsp>
                                <wps:cNvPr id="24402" name="Oval 520"/>
                                <wps:cNvSpPr/>
                                <wps:spPr>
                                  <a:xfrm>
                                    <a:off x="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03" name="Oval 521"/>
                                <wps:cNvSpPr/>
                                <wps:spPr>
                                  <a:xfrm>
                                    <a:off x="171450" y="28575"/>
                                    <a:ext cx="133350"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404" name="Group 522"/>
                              <wpg:cNvGrpSpPr/>
                              <wpg:grpSpPr>
                                <a:xfrm>
                                  <a:off x="514350" y="0"/>
                                  <a:ext cx="390525" cy="171450"/>
                                  <a:chOff x="0" y="0"/>
                                  <a:chExt cx="390525" cy="171450"/>
                                </a:xfrm>
                              </wpg:grpSpPr>
                              <wps:wsp>
                                <wps:cNvPr id="24405" name="Oval 523"/>
                                <wps:cNvSpPr/>
                                <wps:spPr>
                                  <a:xfrm>
                                    <a:off x="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06" name="Oval 524"/>
                                <wps:cNvSpPr/>
                                <wps:spPr>
                                  <a:xfrm>
                                    <a:off x="123825" y="28575"/>
                                    <a:ext cx="133350"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3E2E9390" id="Group 24400" o:spid="_x0000_s1026" style="position:absolute;margin-left:7.55pt;margin-top:18.75pt;width:71.25pt;height:13.5pt;z-index:251681792"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">
                      <v:group id="Group 519" o:spid="_x0000_s1027"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">
                        <v:oval id="Oval 520" o:spid="_x0000_s1028"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" fillcolor="white [3201]" strokecolor="black [3213]" strokeweight="1pt">
                          <v:stroke joinstyle="miter"/>
                        </v:oval>
                        <v:oval id="Oval 521" o:spid="_x0000_s1029" style="position:absolute;left:171450;top:28575;width:13335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" fillcolor="black [3213]" strokecolor="black [3213]" strokeweight="1pt">
                          <v:stroke joinstyle="miter"/>
                        </v:oval>
                      </v:group>
                      <v:group id="Group 522" o:spid="_x0000_s1030" style="position:absolute;left:5143;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">
                        <v:oval id="Oval 523" o:spid="_x0000_s1031"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" fillcolor="white [3201]" strokecolor="black [3213]" strokeweight="1pt">
                          <v:stroke joinstyle="miter"/>
                        </v:oval>
                        <v:oval id="Oval 524" o:spid="_x0000_s1032" style="position:absolute;left:123825;top:28575;width:13335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" fillcolor="black [3213]" strokecolor="black [3213]" strokeweight="1pt">
                          <v:stroke joinstyle="miter"/>
                        </v:oval>
                      </v:group>
                      <w10:wrap type="square"/>
                    </v:group>
                  </w:pict>
                </mc:Fallback>
              </mc:AlternateContent>
            </w:r>
            <w:r w:rsidR="00547D87" w:rsidRPr="009D4627">
              <w:t>(a)</w:t>
            </w:r>
          </w:p>
        </w:tc>
        <w:tc>
          <w:tcPr>
            <w:tcW w:w="1984" w:type="dxa"/>
          </w:tcPr>
          <w:p w14:paraId="254FB248" w14:textId="557FC4BA" w:rsidR="00547D87" w:rsidRPr="009D4627" w:rsidRDefault="00A2792E" w:rsidP="00AE6F60">
            <w:pPr>
              <w:spacing w:before="0" w:line="240" w:lineRule="auto"/>
              <w:rPr>
                <w:noProof/>
              </w:rPr>
            </w:pPr>
            <w:r w:rsidRPr="009D4627">
              <w:rPr>
                <w:noProof/>
              </w:rPr>
              <mc:AlternateContent>
                <mc:Choice Requires="wpg">
                  <w:drawing>
                    <wp:anchor distT="0" distB="0" distL="114300" distR="114300" simplePos="0" relativeHeight="251682816" behindDoc="0" locked="0" layoutInCell="1" allowOverlap="1" wp14:anchorId="5E67E522" wp14:editId="7ACFB860">
                      <wp:simplePos x="0" y="0"/>
                      <wp:positionH relativeFrom="column">
                        <wp:posOffset>150495</wp:posOffset>
                      </wp:positionH>
                      <wp:positionV relativeFrom="paragraph">
                        <wp:posOffset>238760</wp:posOffset>
                      </wp:positionV>
                      <wp:extent cx="904875" cy="171450"/>
                      <wp:effectExtent l="0" t="0" r="9525" b="0"/>
                      <wp:wrapSquare wrapText="bothSides"/>
                      <wp:docPr id="24393" name="Group 24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0"/>
                              </a:xfrm>
                            </wpg:grpSpPr>
                            <wpg:grpSp>
                              <wpg:cNvPr id="24394" name="Group 526"/>
                              <wpg:cNvGrpSpPr/>
                              <wpg:grpSpPr>
                                <a:xfrm>
                                  <a:off x="0" y="0"/>
                                  <a:ext cx="904875" cy="171450"/>
                                  <a:chOff x="0" y="0"/>
                                  <a:chExt cx="904875" cy="171450"/>
                                </a:xfrm>
                              </wpg:grpSpPr>
                              <wpg:grpSp>
                                <wpg:cNvPr id="24395" name="Group 527"/>
                                <wpg:cNvGrpSpPr/>
                                <wpg:grpSpPr>
                                  <a:xfrm>
                                    <a:off x="0" y="0"/>
                                    <a:ext cx="390525" cy="171450"/>
                                    <a:chOff x="0" y="0"/>
                                    <a:chExt cx="390525" cy="171450"/>
                                  </a:xfrm>
                                </wpg:grpSpPr>
                                <wps:wsp>
                                  <wps:cNvPr id="24396" name="Oval 528"/>
                                  <wps:cNvSpPr/>
                                  <wps:spPr>
                                    <a:xfrm>
                                      <a:off x="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97" name="Oval 529"/>
                                  <wps:cNvSpPr/>
                                  <wps:spPr>
                                    <a:xfrm>
                                      <a:off x="257175" y="28575"/>
                                      <a:ext cx="133350"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98" name="Oval 530"/>
                                <wps:cNvSpPr/>
                                <wps:spPr>
                                  <a:xfrm>
                                    <a:off x="51435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99" name="Oval 531"/>
                              <wps:cNvSpPr/>
                              <wps:spPr>
                                <a:xfrm flipH="1">
                                  <a:off x="771524" y="28575"/>
                                  <a:ext cx="12382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ABB1104" id="Group 24393" o:spid="_x0000_s1026" style="position:absolute;margin-left:11.85pt;margin-top:18.8pt;width:71.25pt;height:13.5pt;z-index:251682816"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">
                      <v:group id="Group 526" o:spid="_x0000_s1027" style="position:absolute;width:9048;height:1714"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">
                        <v:group id="Group 527" o:spid="_x0000_s1028"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">
                          <v:oval id="Oval 528" o:spid="_x0000_s1029"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" fillcolor="white [3201]" strokecolor="black [3200]" strokeweight="1pt">
                            <v:stroke joinstyle="miter"/>
                          </v:oval>
                          <v:oval id="Oval 529" o:spid="_x0000_s1030" style="position:absolute;left:257175;top:28575;width:133350;height:114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" fillcolor="black [3213]" strokecolor="black [3213]" strokeweight="1pt">
                            <v:stroke joinstyle="miter"/>
                          </v:oval>
                        </v:group>
                        <v:oval id="Oval 530" o:spid="_x0000_s1031" style="position:absolute;left:5143;width:390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" fillcolor="white [3201]" strokecolor="black [3200]" strokeweight="1pt">
                          <v:stroke joinstyle="miter"/>
                        </v:oval>
                      </v:group>
                      <v:oval id="Oval 531" o:spid="_x0000_s1032" style="position:absolute;left:7715;top:285;width:1238;height:11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" fillcolor="black [3213]" strokecolor="black [3213]" strokeweight="1pt">
                        <v:stroke joinstyle="miter"/>
                      </v:oval>
                      <w10:wrap type="square"/>
                    </v:group>
                  </w:pict>
                </mc:Fallback>
              </mc:AlternateContent>
            </w:r>
            <w:r w:rsidR="00547D87" w:rsidRPr="009D4627">
              <w:t>(c)</w:t>
            </w:r>
            <w:r w:rsidR="00625DD1" w:rsidRPr="009D4627">
              <w:rPr>
                <w:noProof/>
              </w:rPr>
              <w:t xml:space="preserve"> </w:t>
            </w:r>
          </w:p>
        </w:tc>
      </w:tr>
      <w:tr w:rsidR="00547D87" w:rsidRPr="009D4627" w14:paraId="4309942C" w14:textId="77777777" w:rsidTr="00816C2F">
        <w:trPr>
          <w:jc w:val="center"/>
        </w:trPr>
        <w:tc>
          <w:tcPr>
            <w:tcW w:w="1984" w:type="dxa"/>
          </w:tcPr>
          <w:p w14:paraId="7BD6C76C" w14:textId="5FEC9134" w:rsidR="00625DD1" w:rsidRPr="009D4627" w:rsidRDefault="00A2792E" w:rsidP="00AE6F60">
            <w:pPr>
              <w:spacing w:before="0" w:line="240" w:lineRule="auto"/>
              <w:jc w:val="left"/>
              <w:rPr>
                <w:noProof/>
              </w:rPr>
            </w:pPr>
            <w:r w:rsidRPr="009D4627">
              <w:rPr>
                <w:noProof/>
              </w:rPr>
              <mc:AlternateContent>
                <mc:Choice Requires="wpg">
                  <w:drawing>
                    <wp:anchor distT="0" distB="0" distL="114300" distR="114300" simplePos="0" relativeHeight="251686912" behindDoc="0" locked="0" layoutInCell="1" allowOverlap="1" wp14:anchorId="7D51DE20" wp14:editId="0DE1426C">
                      <wp:simplePos x="0" y="0"/>
                      <wp:positionH relativeFrom="column">
                        <wp:posOffset>117475</wp:posOffset>
                      </wp:positionH>
                      <wp:positionV relativeFrom="paragraph">
                        <wp:posOffset>182245</wp:posOffset>
                      </wp:positionV>
                      <wp:extent cx="904875" cy="171450"/>
                      <wp:effectExtent l="0" t="0" r="9525" b="0"/>
                      <wp:wrapSquare wrapText="bothSides"/>
                      <wp:docPr id="24386" name="Group 24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0"/>
                              </a:xfrm>
                            </wpg:grpSpPr>
                            <wpg:grpSp>
                              <wpg:cNvPr id="24387" name="Group 533"/>
                              <wpg:cNvGrpSpPr/>
                              <wpg:grpSpPr>
                                <a:xfrm>
                                  <a:off x="0" y="0"/>
                                  <a:ext cx="904875" cy="171450"/>
                                  <a:chOff x="0" y="0"/>
                                  <a:chExt cx="904875" cy="171450"/>
                                </a:xfrm>
                              </wpg:grpSpPr>
                              <wpg:grpSp>
                                <wpg:cNvPr id="24388" name="Group 534"/>
                                <wpg:cNvGrpSpPr/>
                                <wpg:grpSpPr>
                                  <a:xfrm>
                                    <a:off x="0" y="0"/>
                                    <a:ext cx="390525" cy="171450"/>
                                    <a:chOff x="0" y="0"/>
                                    <a:chExt cx="390525" cy="171450"/>
                                  </a:xfrm>
                                </wpg:grpSpPr>
                                <wps:wsp>
                                  <wps:cNvPr id="24389" name="Oval 535"/>
                                  <wps:cNvSpPr/>
                                  <wps:spPr>
                                    <a:xfrm>
                                      <a:off x="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90" name="Oval 536"/>
                                  <wps:cNvSpPr/>
                                  <wps:spPr>
                                    <a:xfrm>
                                      <a:off x="152399" y="85725"/>
                                      <a:ext cx="128931" cy="85724"/>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91" name="Oval 537"/>
                                <wps:cNvSpPr/>
                                <wps:spPr>
                                  <a:xfrm>
                                    <a:off x="514350" y="0"/>
                                    <a:ext cx="390525" cy="1714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92" name="Oval 538"/>
                              <wps:cNvSpPr/>
                              <wps:spPr>
                                <a:xfrm>
                                  <a:off x="533400" y="68885"/>
                                  <a:ext cx="133350"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52F19C" id="Group 24386" o:spid="_x0000_s1026" style="position:absolute;margin-left:9.25pt;margin-top:14.35pt;width:71.25pt;height:13.5pt;z-index:251686912"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">
                      <v:group id="Group 533" o:spid="_x0000_s1027" style="position:absolute;width:9048;height:1714"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">
                        <v:group id="Group 534" o:spid="_x0000_s1028"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">
                          <v:oval id="Oval 535" o:spid="_x0000_s1029"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" fillcolor="white [3201]" strokecolor="black [3200]" strokeweight="1pt">
                            <v:stroke joinstyle="miter"/>
                          </v:oval>
                          <v:oval id="Oval 536" o:spid="_x0000_s1030" style="position:absolute;left:152399;top:85725;width:128931;height:85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" fillcolor="black [3213]" strokecolor="black [3213]" strokeweight="1pt">
                            <v:stroke joinstyle="miter"/>
                          </v:oval>
                        </v:group>
                        <v:oval id="Oval 537" o:spid="_x0000_s1031" style="position:absolute;left:5143;width:390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" fillcolor="white [3201]" strokecolor="black [3200]" strokeweight="1pt">
                          <v:stroke joinstyle="miter"/>
                        </v:oval>
                      </v:group>
                      <v:oval id="Oval 538" o:spid="_x0000_s1032" style="position:absolute;left:5334;top:688;width:1333;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" fillcolor="black [3213]" strokecolor="black [3213]" strokeweight="1pt">
                        <v:stroke joinstyle="miter"/>
                      </v:oval>
                      <w10:wrap type="square"/>
                    </v:group>
                  </w:pict>
                </mc:Fallback>
              </mc:AlternateContent>
            </w:r>
            <w:r w:rsidR="00547D87" w:rsidRPr="009D4627">
              <w:t>(e)</w:t>
            </w:r>
          </w:p>
        </w:tc>
        <w:tc>
          <w:tcPr>
            <w:tcW w:w="1984" w:type="dxa"/>
          </w:tcPr>
          <w:p w14:paraId="79AD7543" w14:textId="6D73F323" w:rsidR="00547D87" w:rsidRPr="009D4627" w:rsidRDefault="00A2792E" w:rsidP="00AE6F60">
            <w:pPr>
              <w:spacing w:before="0" w:line="240" w:lineRule="auto"/>
              <w:jc w:val="left"/>
            </w:pPr>
            <w:r w:rsidRPr="009D4627">
              <w:rPr>
                <w:noProof/>
              </w:rPr>
              <mc:AlternateContent>
                <mc:Choice Requires="wpg">
                  <w:drawing>
                    <wp:anchor distT="0" distB="0" distL="114300" distR="114300" simplePos="0" relativeHeight="251687936" behindDoc="0" locked="0" layoutInCell="1" allowOverlap="1" wp14:anchorId="738BCB65" wp14:editId="15BDF357">
                      <wp:simplePos x="0" y="0"/>
                      <wp:positionH relativeFrom="column">
                        <wp:posOffset>114935</wp:posOffset>
                      </wp:positionH>
                      <wp:positionV relativeFrom="paragraph">
                        <wp:posOffset>178435</wp:posOffset>
                      </wp:positionV>
                      <wp:extent cx="904875" cy="171450"/>
                      <wp:effectExtent l="0" t="0" r="9525" b="0"/>
                      <wp:wrapSquare wrapText="bothSides"/>
                      <wp:docPr id="24379" name="Group 24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1"/>
                              </a:xfrm>
                            </wpg:grpSpPr>
                            <wpg:grpSp>
                              <wpg:cNvPr id="24380" name="Group 540"/>
                              <wpg:cNvGrpSpPr/>
                              <wpg:grpSpPr>
                                <a:xfrm>
                                  <a:off x="0" y="0"/>
                                  <a:ext cx="390525" cy="171450"/>
                                  <a:chOff x="0" y="0"/>
                                  <a:chExt cx="390525" cy="171450"/>
                                </a:xfrm>
                              </wpg:grpSpPr>
                              <wps:wsp>
                                <wps:cNvPr id="24381" name="Oval 541"/>
                                <wps:cNvSpPr/>
                                <wps:spPr>
                                  <a:xfrm>
                                    <a:off x="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82" name="Oval 542"/>
                                <wps:cNvSpPr/>
                                <wps:spPr>
                                  <a:xfrm>
                                    <a:off x="161925" y="95250"/>
                                    <a:ext cx="133350"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383" name="Group 544"/>
                              <wpg:cNvGrpSpPr/>
                              <wpg:grpSpPr>
                                <a:xfrm>
                                  <a:off x="514350" y="0"/>
                                  <a:ext cx="390525" cy="171451"/>
                                  <a:chOff x="0" y="0"/>
                                  <a:chExt cx="390525" cy="171451"/>
                                </a:xfrm>
                              </wpg:grpSpPr>
                              <wps:wsp>
                                <wps:cNvPr id="24384" name="Oval 548"/>
                                <wps:cNvSpPr/>
                                <wps:spPr>
                                  <a:xfrm>
                                    <a:off x="114299" y="85725"/>
                                    <a:ext cx="123825" cy="85726"/>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85" name="Oval 549"/>
                                <wps:cNvSpPr/>
                                <wps:spPr>
                                  <a:xfrm>
                                    <a:off x="0" y="0"/>
                                    <a:ext cx="390525" cy="171450"/>
                                  </a:xfrm>
                                  <a:prstGeom prst="ellipse">
                                    <a:avLst/>
                                  </a:prstGeom>
                                  <a:noFill/>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0D16AC21" id="Group 24379" o:spid="_x0000_s1026" style="position:absolute;margin-left:9.05pt;margin-top:14.05pt;width:71.25pt;height:13.5pt;z-index:251687936"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">
                      <v:group id="Group 540" o:spid="_x0000_s1027"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">
                        <v:oval id="Oval 541" o:spid="_x0000_s1028"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" fillcolor="white [3201]" strokecolor="black [3213]" strokeweight="1pt">
                          <v:stroke joinstyle="miter"/>
                        </v:oval>
                        <v:oval id="Oval 542" o:spid="_x0000_s1029" style="position:absolute;left:161925;top:95250;width:133350;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" fillcolor="black [3213]" strokecolor="black [3213]" strokeweight="1pt">
                          <v:stroke joinstyle="miter"/>
                        </v:oval>
                      </v:group>
                      <v:group id="Group 544" o:spid="_x0000_s1030" style="position:absolute;left:5143;width:3905;height:1714" coordsize="390525,17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">
                        <v:oval id="Oval 548" o:spid="_x0000_s1031" style="position:absolute;left:114299;top:85725;width:123825;height:85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" fillcolor="black [3213]" strokecolor="black [3213]" strokeweight="1pt">
                          <v:stroke joinstyle="miter"/>
                        </v:oval>
                        <v:oval id="Oval 549" o:spid="_x0000_s1032"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" filled="f" strokecolor="black [3213]" strokeweight="1pt">
                          <v:stroke joinstyle="miter"/>
                        </v:oval>
                      </v:group>
                      <w10:wrap type="square"/>
                    </v:group>
                  </w:pict>
                </mc:Fallback>
              </mc:AlternateContent>
            </w:r>
            <w:r w:rsidR="00547D87" w:rsidRPr="009D4627">
              <w:t>(</w:t>
            </w:r>
            <w:proofErr w:type="spellStart"/>
            <w:r w:rsidR="00547D87" w:rsidRPr="009D4627">
              <w:t>i</w:t>
            </w:r>
            <w:proofErr w:type="spellEnd"/>
            <w:r w:rsidR="00547D87" w:rsidRPr="009D4627">
              <w:t>)</w:t>
            </w:r>
            <w:r w:rsidR="00625DD1" w:rsidRPr="009D4627">
              <w:t xml:space="preserve"> </w:t>
            </w:r>
          </w:p>
        </w:tc>
        <w:tc>
          <w:tcPr>
            <w:tcW w:w="1984" w:type="dxa"/>
          </w:tcPr>
          <w:p w14:paraId="0E789570" w14:textId="4B56073B" w:rsidR="00547D87" w:rsidRPr="009D4627" w:rsidRDefault="00A2792E" w:rsidP="00AE6F60">
            <w:pPr>
              <w:spacing w:before="0" w:line="240" w:lineRule="auto"/>
              <w:rPr>
                <w:noProof/>
              </w:rPr>
            </w:pPr>
            <w:r w:rsidRPr="009D4627">
              <w:rPr>
                <w:noProof/>
              </w:rPr>
              <mc:AlternateContent>
                <mc:Choice Requires="wpg">
                  <w:drawing>
                    <wp:anchor distT="0" distB="0" distL="114300" distR="114300" simplePos="0" relativeHeight="251688960" behindDoc="0" locked="0" layoutInCell="1" allowOverlap="1" wp14:anchorId="477A1937" wp14:editId="332D1CBC">
                      <wp:simplePos x="0" y="0"/>
                      <wp:positionH relativeFrom="column">
                        <wp:posOffset>160020</wp:posOffset>
                      </wp:positionH>
                      <wp:positionV relativeFrom="paragraph">
                        <wp:posOffset>184150</wp:posOffset>
                      </wp:positionV>
                      <wp:extent cx="904875" cy="171450"/>
                      <wp:effectExtent l="0" t="0" r="9525" b="0"/>
                      <wp:wrapSquare wrapText="bothSides"/>
                      <wp:docPr id="24372" name="Group 24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171450"/>
                                <a:chOff x="0" y="0"/>
                                <a:chExt cx="904875" cy="171450"/>
                              </a:xfrm>
                            </wpg:grpSpPr>
                            <wpg:grpSp>
                              <wpg:cNvPr id="24373" name="Group 551"/>
                              <wpg:cNvGrpSpPr/>
                              <wpg:grpSpPr>
                                <a:xfrm>
                                  <a:off x="0" y="0"/>
                                  <a:ext cx="904875" cy="171450"/>
                                  <a:chOff x="0" y="0"/>
                                  <a:chExt cx="904875" cy="171450"/>
                                </a:xfrm>
                              </wpg:grpSpPr>
                              <wpg:grpSp>
                                <wpg:cNvPr id="24374" name="Group 552"/>
                                <wpg:cNvGrpSpPr/>
                                <wpg:grpSpPr>
                                  <a:xfrm>
                                    <a:off x="0" y="0"/>
                                    <a:ext cx="390525" cy="171450"/>
                                    <a:chOff x="0" y="0"/>
                                    <a:chExt cx="390525" cy="171450"/>
                                  </a:xfrm>
                                </wpg:grpSpPr>
                                <wps:wsp>
                                  <wps:cNvPr id="24375" name="Oval 553"/>
                                  <wps:cNvSpPr/>
                                  <wps:spPr>
                                    <a:xfrm>
                                      <a:off x="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76" name="Oval 554"/>
                                  <wps:cNvSpPr/>
                                  <wps:spPr>
                                    <a:xfrm>
                                      <a:off x="230810" y="68885"/>
                                      <a:ext cx="133350"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77" name="Oval 555"/>
                                <wps:cNvSpPr/>
                                <wps:spPr>
                                  <a:xfrm>
                                    <a:off x="514350" y="0"/>
                                    <a:ext cx="390525" cy="171450"/>
                                  </a:xfrm>
                                  <a:prstGeom prst="ellipse">
                                    <a:avLst/>
                                  </a:prstGeom>
                                  <a:ln>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378" name="Oval 556"/>
                              <wps:cNvSpPr/>
                              <wps:spPr>
                                <a:xfrm>
                                  <a:off x="762000" y="66675"/>
                                  <a:ext cx="133350"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8E3DB1D" id="Group 24372" o:spid="_x0000_s1026" style="position:absolute;margin-left:12.6pt;margin-top:14.5pt;width:71.25pt;height:13.5pt;z-index:251688960" coordsize="9048,1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">
                      <v:group id="Group 551" o:spid="_x0000_s1027" style="position:absolute;width:9048;height:1714" coordsize="9048,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">
                        <v:group id="Group 552" o:spid="_x0000_s1028" style="position:absolute;width:3905;height:1714" coordsize="3905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">
                          <v:oval id="Oval 553" o:spid="_x0000_s1029" style="position:absolute;width:3905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" fillcolor="white [3201]" strokecolor="black [3213]" strokeweight="1pt">
                            <v:stroke joinstyle="miter"/>
                          </v:oval>
                          <v:oval id="Oval 554" o:spid="_x0000_s1030" style="position:absolute;left:230810;top:68885;width:133350;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" fillcolor="black [3213]" strokecolor="black [3213]" strokeweight="1pt">
                            <v:stroke joinstyle="miter"/>
                          </v:oval>
                        </v:group>
                        <v:oval id="Oval 555" o:spid="_x0000_s1031" style="position:absolute;left:5143;width:3905;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" fillcolor="white [3201]" strokecolor="black [3213]" strokeweight="1pt">
                          <v:stroke joinstyle="miter"/>
                        </v:oval>
                      </v:group>
                      <v:oval id="Oval 556" o:spid="_x0000_s1032" style="position:absolute;left:7620;top:666;width:1333;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" fillcolor="black [3213]" strokecolor="black [3213]" strokeweight="1pt">
                        <v:stroke joinstyle="miter"/>
                      </v:oval>
                      <w10:wrap type="square"/>
                    </v:group>
                  </w:pict>
                </mc:Fallback>
              </mc:AlternateContent>
            </w:r>
            <w:r w:rsidR="00547D87" w:rsidRPr="009D4627">
              <w:t>(g)</w:t>
            </w:r>
            <w:r w:rsidR="00625DD1" w:rsidRPr="009D4627">
              <w:rPr>
                <w:noProof/>
              </w:rPr>
              <w:t xml:space="preserve"> </w:t>
            </w:r>
          </w:p>
        </w:tc>
      </w:tr>
    </w:tbl>
    <w:p w14:paraId="61863572" w14:textId="3A8721EC" w:rsidR="00547D87" w:rsidRPr="009D4627" w:rsidRDefault="00327717" w:rsidP="00C4130D">
      <w:pPr>
        <w:pStyle w:val="Caption"/>
      </w:pPr>
      <w:bookmarkStart w:id="61" w:name="_Toc73609239"/>
      <w:bookmarkStart w:id="62" w:name="_Toc73804901"/>
      <w:bookmarkStart w:id="63" w:name="_Toc98570010"/>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9</w:t>
      </w:r>
      <w:r w:rsidR="002E63E9" w:rsidRPr="009D4627">
        <w:rPr>
          <w:noProof/>
        </w:rPr>
        <w:fldChar w:fldCharType="end"/>
      </w:r>
      <w:r w:rsidRPr="009D4627">
        <w:t xml:space="preserve">: </w:t>
      </w:r>
      <w:r w:rsidR="00547D87" w:rsidRPr="009D4627">
        <w:t xml:space="preserve">Example of </w:t>
      </w:r>
      <w:r w:rsidR="00291915" w:rsidRPr="009D4627">
        <w:t xml:space="preserve">an </w:t>
      </w:r>
      <w:r w:rsidR="00547D87" w:rsidRPr="009D4627">
        <w:t xml:space="preserve">abnormal ocular motility test </w:t>
      </w:r>
      <w:r w:rsidR="00291915" w:rsidRPr="009D4627">
        <w:t>w</w:t>
      </w:r>
      <w:r w:rsidR="00547D87" w:rsidRPr="009D4627">
        <w:t>i</w:t>
      </w:r>
      <w:r w:rsidR="00291915" w:rsidRPr="009D4627">
        <w:t>th</w:t>
      </w:r>
      <w:r w:rsidR="00547D87" w:rsidRPr="009D4627">
        <w:t xml:space="preserve"> a right </w:t>
      </w:r>
      <w:r w:rsidR="00AE6F60" w:rsidRPr="009D4627">
        <w:t>CN VI</w:t>
      </w:r>
      <w:r w:rsidR="00547D87" w:rsidRPr="009D4627">
        <w:t xml:space="preserve"> palsy</w:t>
      </w:r>
      <w:r w:rsidR="005F57C0" w:rsidRPr="009D4627">
        <w:t>.</w:t>
      </w:r>
      <w:bookmarkEnd w:id="61"/>
      <w:bookmarkEnd w:id="62"/>
      <w:r w:rsidR="00855A73" w:rsidRPr="009D4627">
        <w:t xml:space="preserve"> Figure </w:t>
      </w:r>
      <w:r w:rsidR="00547D87" w:rsidRPr="009D4627">
        <w:t xml:space="preserve">(a) </w:t>
      </w:r>
      <w:r w:rsidR="00855A73" w:rsidRPr="009D4627">
        <w:t>r</w:t>
      </w:r>
      <w:r w:rsidR="00547D87" w:rsidRPr="009D4627">
        <w:t>ight esotropia in</w:t>
      </w:r>
      <w:r w:rsidR="00F57D01" w:rsidRPr="009D4627">
        <w:t xml:space="preserve"> PP</w:t>
      </w:r>
      <w:r w:rsidR="00855A73" w:rsidRPr="009D4627">
        <w:t>,</w:t>
      </w:r>
      <w:r w:rsidR="00547D87" w:rsidRPr="009D4627">
        <w:t xml:space="preserve"> (b) </w:t>
      </w:r>
      <w:r w:rsidR="00855A73" w:rsidRPr="009D4627">
        <w:t>a</w:t>
      </w:r>
      <w:r w:rsidR="00547D87" w:rsidRPr="009D4627">
        <w:t xml:space="preserve">bduction deficit of the </w:t>
      </w:r>
      <w:r w:rsidR="00D67222" w:rsidRPr="009D4627">
        <w:t>RE</w:t>
      </w:r>
      <w:r w:rsidR="00547D87" w:rsidRPr="009D4627">
        <w:t xml:space="preserve"> and </w:t>
      </w:r>
      <w:r w:rsidR="00AE6F60" w:rsidRPr="009D4627">
        <w:t>(</w:t>
      </w:r>
      <w:r w:rsidR="00547D87" w:rsidRPr="009D4627">
        <w:t xml:space="preserve">c) normal adduction of the </w:t>
      </w:r>
      <w:r w:rsidR="006C09DC" w:rsidRPr="009D4627">
        <w:t>RE</w:t>
      </w:r>
      <w:r w:rsidR="00547D87" w:rsidRPr="009D4627">
        <w:t>.</w:t>
      </w:r>
      <w:bookmarkEnd w:id="63"/>
    </w:p>
    <w:p w14:paraId="2BF7BD7D" w14:textId="77777777" w:rsidR="00AE6F60" w:rsidRPr="009D4627" w:rsidRDefault="00AE6F60" w:rsidP="00AE6F60">
      <w:pPr>
        <w:spacing w:line="240" w:lineRule="auto"/>
        <w:rPr>
          <w:lang w:val="en-MY" w:eastAsia="en-MY"/>
        </w:rPr>
      </w:pPr>
    </w:p>
    <w:p w14:paraId="7E4570A9" w14:textId="5B8F8C04" w:rsidR="002D6DE6" w:rsidRPr="009D4627" w:rsidRDefault="00547D87" w:rsidP="00BE0D92">
      <w:pPr>
        <w:pStyle w:val="ListParagraph"/>
        <w:numPr>
          <w:ilvl w:val="0"/>
          <w:numId w:val="14"/>
        </w:numPr>
      </w:pPr>
      <w:r w:rsidRPr="009D4627">
        <w:t>Identifying the amount of visible cornea, for example, to grossly judge the normal</w:t>
      </w:r>
      <w:r w:rsidR="00291915" w:rsidRPr="009D4627">
        <w:t>it</w:t>
      </w:r>
      <w:r w:rsidRPr="009D4627">
        <w:t xml:space="preserve">y of adduction and abduction, as shown in </w:t>
      </w:r>
      <w:r w:rsidR="00D91AAB" w:rsidRPr="009D4627">
        <w:t>Figure</w:t>
      </w:r>
      <w:r w:rsidRPr="009D4627">
        <w:t xml:space="preserve"> 1.1</w:t>
      </w:r>
      <w:r w:rsidR="004962C8" w:rsidRPr="009D4627">
        <w:t>0</w:t>
      </w:r>
      <w:r w:rsidRPr="009D4627">
        <w:t>.</w:t>
      </w:r>
    </w:p>
    <w:p w14:paraId="0949F01E" w14:textId="4E7931C5" w:rsidR="00547D87" w:rsidRPr="009D4627" w:rsidRDefault="00A2792E" w:rsidP="00855A73">
      <w:pPr>
        <w:pStyle w:val="ListParagraph"/>
        <w:spacing w:before="0" w:after="0"/>
        <w:jc w:val="center"/>
      </w:pPr>
      <w:r w:rsidRPr="009D4627">
        <w:rPr>
          <w:noProof/>
        </w:rPr>
        <w:lastRenderedPageBreak/>
        <mc:AlternateContent>
          <mc:Choice Requires="wpg">
            <w:drawing>
              <wp:inline distT="0" distB="0" distL="0" distR="0" wp14:anchorId="7E681500" wp14:editId="64B420C0">
                <wp:extent cx="2781300" cy="1786255"/>
                <wp:effectExtent l="0" t="0" r="0" b="0"/>
                <wp:docPr id="24363" name="Group 24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1786255"/>
                          <a:chOff x="0" y="1625"/>
                          <a:chExt cx="27813" cy="16060"/>
                        </a:xfrm>
                      </wpg:grpSpPr>
                      <wpg:grpSp>
                        <wpg:cNvPr id="24364" name="Group 558"/>
                        <wpg:cNvGrpSpPr>
                          <a:grpSpLocks/>
                        </wpg:cNvGrpSpPr>
                        <wpg:grpSpPr bwMode="auto">
                          <a:xfrm>
                            <a:off x="0" y="2445"/>
                            <a:ext cx="27813" cy="15240"/>
                            <a:chOff x="0" y="0"/>
                            <a:chExt cx="40576" cy="26289"/>
                          </a:xfrm>
                        </wpg:grpSpPr>
                        <wpg:grpSp>
                          <wpg:cNvPr id="24365" name="Group 559"/>
                          <wpg:cNvGrpSpPr>
                            <a:grpSpLocks/>
                          </wpg:cNvGrpSpPr>
                          <wpg:grpSpPr bwMode="auto">
                            <a:xfrm>
                              <a:off x="0" y="0"/>
                              <a:ext cx="16573" cy="26289"/>
                              <a:chOff x="0" y="0"/>
                              <a:chExt cx="16573" cy="26289"/>
                            </a:xfrm>
                          </wpg:grpSpPr>
                          <pic:pic xmlns:pic="http://schemas.openxmlformats.org/drawingml/2006/picture">
                            <pic:nvPicPr>
                              <pic:cNvPr id="24366" name="Picture 560"/>
                              <pic:cNvPicPr>
                                <a:picLocks noChangeAspect="1" noChangeArrowheads="1"/>
                              </pic:cNvPicPr>
                            </pic:nvPicPr>
                            <pic:blipFill>
                              <a:blip r:embed="rId38" cstate="screen">
                                <a:extLst>
                                  <a:ext uri="{28A0092B-C50C-407E-A947-70E740481C1C}">
                                    <a14:useLocalDpi xmlns:a14="http://schemas.microsoft.com/office/drawing/2010/main" val="0"/>
                                  </a:ext>
                                </a:extLst>
                              </a:blip>
                              <a:srcRect/>
                              <a:stretch>
                                <a:fillRect/>
                              </a:stretch>
                            </pic:blipFill>
                            <pic:spPr bwMode="auto">
                              <a:xfrm>
                                <a:off x="190" y="2476"/>
                                <a:ext cx="15608" cy="23813"/>
                              </a:xfrm>
                              <a:prstGeom prst="rect">
                                <a:avLst/>
                              </a:prstGeom>
                              <a:noFill/>
                            </pic:spPr>
                          </pic:pic>
                          <wps:wsp>
                            <wps:cNvPr id="24367" name="Rectangle 561"/>
                            <wps:cNvSpPr>
                              <a:spLocks noChangeArrowheads="1"/>
                            </wps:cNvSpPr>
                            <wps:spPr bwMode="auto">
                              <a:xfrm>
                                <a:off x="0" y="0"/>
                                <a:ext cx="16573" cy="2560"/>
                              </a:xfrm>
                              <a:prstGeom prst="rect">
                                <a:avLst/>
                              </a:prstGeom>
                              <a:solidFill>
                                <a:schemeClr val="lt1">
                                  <a:lumMod val="100000"/>
                                  <a:lumOff val="0"/>
                                </a:schemeClr>
                              </a:solidFill>
                              <a:ln>
                                <a:noFill/>
                              </a:ln>
                            </wps:spPr>
                            <wps:txbx>
                              <w:txbxContent>
                                <w:p w14:paraId="506347CC" w14:textId="77777777" w:rsidR="00527127" w:rsidRPr="00186DE4" w:rsidRDefault="00527127" w:rsidP="00390EBC">
                                  <w:r w:rsidRPr="00186DE4">
                                    <w:t>RE Adduction</w:t>
                                  </w:r>
                                </w:p>
                              </w:txbxContent>
                            </wps:txbx>
                            <wps:bodyPr rot="0" vert="horz" wrap="square" lIns="91440" tIns="45720" rIns="91440" bIns="45720" anchor="ctr" anchorCtr="0" upright="1">
                              <a:noAutofit/>
                            </wps:bodyPr>
                          </wps:wsp>
                        </wpg:grpSp>
                        <wpg:grpSp>
                          <wpg:cNvPr id="24368" name="Group 562"/>
                          <wpg:cNvGrpSpPr>
                            <a:grpSpLocks/>
                          </wpg:cNvGrpSpPr>
                          <wpg:grpSpPr bwMode="auto">
                            <a:xfrm>
                              <a:off x="24003" y="0"/>
                              <a:ext cx="16573" cy="25908"/>
                              <a:chOff x="0" y="0"/>
                              <a:chExt cx="16573" cy="25908"/>
                            </a:xfrm>
                          </wpg:grpSpPr>
                          <pic:pic xmlns:pic="http://schemas.openxmlformats.org/drawingml/2006/picture">
                            <pic:nvPicPr>
                              <pic:cNvPr id="24369" name="Picture 563"/>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1238" y="2952"/>
                                <a:ext cx="14478" cy="22956"/>
                              </a:xfrm>
                              <a:prstGeom prst="rect">
                                <a:avLst/>
                              </a:prstGeom>
                              <a:noFill/>
                            </pic:spPr>
                          </pic:pic>
                          <wps:wsp>
                            <wps:cNvPr id="24370" name="Rectangle 573"/>
                            <wps:cNvSpPr>
                              <a:spLocks noChangeArrowheads="1"/>
                            </wps:cNvSpPr>
                            <wps:spPr bwMode="auto">
                              <a:xfrm>
                                <a:off x="0" y="0"/>
                                <a:ext cx="16573" cy="2559"/>
                              </a:xfrm>
                              <a:prstGeom prst="rect">
                                <a:avLst/>
                              </a:prstGeom>
                              <a:solidFill>
                                <a:schemeClr val="lt1">
                                  <a:lumMod val="100000"/>
                                  <a:lumOff val="0"/>
                                </a:schemeClr>
                              </a:solidFill>
                              <a:ln>
                                <a:noFill/>
                              </a:ln>
                            </wps:spPr>
                            <wps:txbx>
                              <w:txbxContent>
                                <w:p w14:paraId="4D4284F1" w14:textId="77777777" w:rsidR="00527127" w:rsidRPr="00186DE4" w:rsidRDefault="00527127" w:rsidP="00390EBC">
                                  <w:r w:rsidRPr="00186DE4">
                                    <w:t>RE A</w:t>
                                  </w:r>
                                  <w:r>
                                    <w:t>b</w:t>
                                  </w:r>
                                  <w:r w:rsidRPr="00186DE4">
                                    <w:t>duction</w:t>
                                  </w:r>
                                </w:p>
                              </w:txbxContent>
                            </wps:txbx>
                            <wps:bodyPr rot="0" vert="horz" wrap="square" lIns="91440" tIns="45720" rIns="91440" bIns="45720" anchor="ctr" anchorCtr="0" upright="1">
                              <a:noAutofit/>
                            </wps:bodyPr>
                          </wps:wsp>
                        </wpg:grpSp>
                      </wpg:grpSp>
                      <wps:wsp>
                        <wps:cNvPr id="24371" name="Text Box 1870"/>
                        <wps:cNvSpPr txBox="1">
                          <a:spLocks noChangeArrowheads="1"/>
                        </wps:cNvSpPr>
                        <wps:spPr bwMode="auto">
                          <a:xfrm>
                            <a:off x="531" y="1625"/>
                            <a:ext cx="25908" cy="2095"/>
                          </a:xfrm>
                          <a:prstGeom prst="rect">
                            <a:avLst/>
                          </a:prstGeom>
                          <a:solidFill>
                            <a:srgbClr val="FFFFFF"/>
                          </a:solidFill>
                          <a:ln>
                            <a:noFill/>
                          </a:ln>
                        </wps:spPr>
                        <wps:txbx>
                          <w:txbxContent>
                            <w:p w14:paraId="01EC851D" w14:textId="77777777" w:rsidR="00527127" w:rsidRPr="00C304D6" w:rsidRDefault="00527127" w:rsidP="00CD372A">
                              <w:pPr>
                                <w:spacing w:before="0"/>
                              </w:pPr>
                              <w:r>
                                <w:t xml:space="preserve">   </w:t>
                              </w:r>
                              <w:r w:rsidRPr="00C304D6">
                                <w:t>Adduction                         Abduction</w:t>
                              </w:r>
                            </w:p>
                          </w:txbxContent>
                        </wps:txbx>
                        <wps:bodyPr rot="0" vert="horz" wrap="square" lIns="0" tIns="0" rIns="0" bIns="0" anchor="t" anchorCtr="0" upright="1">
                          <a:noAutofit/>
                        </wps:bodyPr>
                      </wps:wsp>
                    </wpg:wgp>
                  </a:graphicData>
                </a:graphic>
              </wp:inline>
            </w:drawing>
          </mc:Choice>
          <mc:Fallback>
            <w:pict>
              <v:group w14:anchorId="7E681500" id="Group 24363" o:spid="_x0000_s1071" style="width:219pt;height:140.65pt;mso-position-horizontal-relative:char;mso-position-vertical-relative:line" coordorigin=",1625" coordsize="27813,16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">
                <v:group id="Group 558" o:spid="_x0000_s1072" style="position:absolute;top:2445;width:27813;height:15240" coordsize="40576,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">
                  <v:group id="Group 559" o:spid="_x0000_s1073" style="position:absolute;width:16573;height:26289" coordsize="16573,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">
                    <v:shape id="Picture 560" o:spid="_x0000_s1074" type="#_x0000_t75" style="position:absolute;left:190;top:2476;width:15608;height:2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">
                      <v:imagedata r:id="rId40" o:title=""/>
                    </v:shape>
                    <v:rect id="Rectangle 561" o:spid="_x0000_s1075" style="position:absolute;width:16573;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" fillcolor="white [3201]" stroked="f">
                      <v:textbox>
                        <w:txbxContent>
                          <w:p w14:paraId="506347CC" w14:textId="77777777" w:rsidR="00527127" w:rsidRPr="00186DE4" w:rsidRDefault="00527127" w:rsidP="00390EBC">
                            <w:r w:rsidRPr="00186DE4">
                              <w:t>RE Adduction</w:t>
                            </w:r>
                          </w:p>
                        </w:txbxContent>
                      </v:textbox>
                    </v:rect>
                  </v:group>
                  <v:group id="Group 562" o:spid="_x0000_s1076" style="position:absolute;left:24003;width:16573;height:25908" coordsize="16573,25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">
                    <v:shape id="Picture 563" o:spid="_x0000_s1077" type="#_x0000_t75" style="position:absolute;left:1238;top:2952;width:14478;height:2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">
                      <v:imagedata r:id="rId41" o:title=""/>
                    </v:shape>
                    <v:rect id="Rectangle 573" o:spid="_x0000_s1078" style="position:absolute;width:16573;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" fillcolor="white [3201]" stroked="f">
                      <v:textbox>
                        <w:txbxContent>
                          <w:p w14:paraId="4D4284F1" w14:textId="77777777" w:rsidR="00527127" w:rsidRPr="00186DE4" w:rsidRDefault="00527127" w:rsidP="00390EBC">
                            <w:r w:rsidRPr="00186DE4">
                              <w:t>RE A</w:t>
                            </w:r>
                            <w:r>
                              <w:t>b</w:t>
                            </w:r>
                            <w:r w:rsidRPr="00186DE4">
                              <w:t>duction</w:t>
                            </w:r>
                          </w:p>
                        </w:txbxContent>
                      </v:textbox>
                    </v:rect>
                  </v:group>
                </v:group>
                <v:shape id="Text Box 1870" o:spid="_x0000_s1079" type="#_x0000_t202" style="position:absolute;left:531;top:1625;width:2590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" stroked="f">
                  <v:textbox inset="0,0,0,0">
                    <w:txbxContent>
                      <w:p w14:paraId="01EC851D" w14:textId="77777777" w:rsidR="00527127" w:rsidRPr="00C304D6" w:rsidRDefault="00527127" w:rsidP="00CD372A">
                        <w:pPr>
                          <w:spacing w:before="0"/>
                        </w:pPr>
                        <w:r>
                          <w:t xml:space="preserve">   </w:t>
                        </w:r>
                        <w:r w:rsidRPr="00C304D6">
                          <w:t>Adduction                         Abduction</w:t>
                        </w:r>
                      </w:p>
                    </w:txbxContent>
                  </v:textbox>
                </v:shape>
                <w10:anchorlock/>
              </v:group>
            </w:pict>
          </mc:Fallback>
        </mc:AlternateContent>
      </w:r>
    </w:p>
    <w:p w14:paraId="2A6B2E2F" w14:textId="576DE7C8" w:rsidR="00D67222" w:rsidRPr="009D4627" w:rsidRDefault="004962C8" w:rsidP="00C4130D">
      <w:pPr>
        <w:pStyle w:val="Caption"/>
      </w:pPr>
      <w:bookmarkStart w:id="64" w:name="_Toc73609240"/>
      <w:bookmarkStart w:id="65" w:name="_Toc73804902"/>
      <w:bookmarkStart w:id="66" w:name="_Toc98570011"/>
      <w:r w:rsidRPr="009D4627">
        <w:t>F</w:t>
      </w:r>
      <w:r w:rsidR="00327717" w:rsidRPr="009D4627">
        <w:t>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10</w:t>
      </w:r>
      <w:r w:rsidR="002E63E9" w:rsidRPr="009D4627">
        <w:rPr>
          <w:noProof/>
        </w:rPr>
        <w:fldChar w:fldCharType="end"/>
      </w:r>
      <w:r w:rsidR="00327717" w:rsidRPr="009D4627">
        <w:t xml:space="preserve">: </w:t>
      </w:r>
      <w:r w:rsidR="00547D87" w:rsidRPr="009D4627">
        <w:t>The investigation of the RE ductions, based on observation of the amount of visible sclera.</w:t>
      </w:r>
      <w:bookmarkEnd w:id="64"/>
      <w:bookmarkEnd w:id="65"/>
      <w:bookmarkEnd w:id="66"/>
      <w:r w:rsidR="00547D87" w:rsidRPr="009D4627">
        <w:t xml:space="preserve"> </w:t>
      </w:r>
    </w:p>
    <w:p w14:paraId="748D6ECF" w14:textId="54A9DB6B" w:rsidR="00547D87" w:rsidRPr="009D4627" w:rsidRDefault="00211E13" w:rsidP="00C4130D">
      <w:pPr>
        <w:pStyle w:val="Caption"/>
      </w:pPr>
      <w:r w:rsidRPr="009D4627">
        <w:t>The</w:t>
      </w:r>
      <w:r w:rsidR="00D67222" w:rsidRPr="009D4627">
        <w:t xml:space="preserve"> LE</w:t>
      </w:r>
      <w:r w:rsidRPr="009D4627">
        <w:t xml:space="preserve"> is not shown in the </w:t>
      </w:r>
      <w:r w:rsidR="00855A73" w:rsidRPr="009D4627">
        <w:t xml:space="preserve">above </w:t>
      </w:r>
      <w:r w:rsidRPr="009D4627">
        <w:t xml:space="preserve">figure. The left-hand side illustrates the RE adduction's investigation. A) Normal. B) Overaction. C) Restriction. The right-hand side shows the RE abduction's assessment. D) Normal. E) Overaction. F) Restriction. 'P' is lacrimal punctum location. From </w:t>
      </w:r>
      <w:r w:rsidR="00AE6F60" w:rsidRPr="009D4627">
        <w:t xml:space="preserve">taken </w:t>
      </w:r>
      <w:r w:rsidRPr="009D4627">
        <w:t xml:space="preserve">Von </w:t>
      </w:r>
      <w:proofErr w:type="spellStart"/>
      <w:r w:rsidRPr="009D4627">
        <w:t>Noorden</w:t>
      </w:r>
      <w:proofErr w:type="spellEnd"/>
      <w:r w:rsidRPr="009D4627">
        <w:t xml:space="preserve"> (2002) page 200.</w:t>
      </w:r>
    </w:p>
    <w:p w14:paraId="3B5C5965" w14:textId="77777777" w:rsidR="00AE6F60" w:rsidRPr="009D4627" w:rsidRDefault="00AE6F60" w:rsidP="00AE6F60">
      <w:pPr>
        <w:spacing w:line="240" w:lineRule="auto"/>
        <w:rPr>
          <w:lang w:val="en-MY" w:eastAsia="en-MY"/>
        </w:rPr>
      </w:pPr>
    </w:p>
    <w:p w14:paraId="01C0541A" w14:textId="7D37FDFB" w:rsidR="00547D87" w:rsidRPr="009D4627" w:rsidRDefault="00547D87" w:rsidP="00390EBC">
      <w:r w:rsidRPr="009D4627">
        <w:t>Secondly, the Lees screen is used to diagnose the ocular motility defect observed from the OMT testing. It provides a qualitative measurement of the ocular deviation at different gazes and provides a repeatable record for monitoring purposes. However, this method requires good cooperation from the patient and well-trained clinicians to produce a reliable result.</w:t>
      </w:r>
      <w:r w:rsidR="00041E24">
        <w:t xml:space="preserve"> T</w:t>
      </w:r>
      <w:r w:rsidR="00041E24" w:rsidRPr="009D4627">
        <w:t>his clinical investigation may lead to the miss management if subtle changes of eye movements due to a sinister underlying cause are missed urgent referral.</w:t>
      </w:r>
    </w:p>
    <w:p w14:paraId="19600B31" w14:textId="77777777" w:rsidR="00D80280" w:rsidRPr="009D4627" w:rsidRDefault="00D80280" w:rsidP="00DC4CA6">
      <w:pPr>
        <w:pStyle w:val="Heading3"/>
      </w:pPr>
      <w:bookmarkStart w:id="67" w:name="_Toc98964623"/>
      <w:bookmarkStart w:id="68" w:name="_Toc103344668"/>
      <w:r w:rsidRPr="009D4627">
        <w:t>Testing saccades</w:t>
      </w:r>
      <w:bookmarkEnd w:id="67"/>
      <w:bookmarkEnd w:id="68"/>
    </w:p>
    <w:p w14:paraId="149A0FF9" w14:textId="130BF3DE" w:rsidR="00D80280" w:rsidRPr="009D4627" w:rsidRDefault="00D80280" w:rsidP="00D80280">
      <w:pPr>
        <w:spacing w:after="0"/>
      </w:pPr>
      <w:r w:rsidRPr="009D4627">
        <w:t>Testing saccades is indicated in the clinic when a patient demonstrates or is suspected of having restricted eye movement or presents with ocular symptoms that are thought to be a consequence of a neurological deficit. Saccades are tested by asking the patient to look from one target to another horizontally, followed vertically (Figure 1.</w:t>
      </w:r>
      <w:r w:rsidR="00F937E9" w:rsidRPr="009D4627">
        <w:t>11</w:t>
      </w:r>
      <w:r w:rsidRPr="009D4627">
        <w:t xml:space="preserve">) </w:t>
      </w:r>
      <w:r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 </w:instrText>
      </w:r>
      <w:r w:rsidR="00C40138" w:rsidRPr="009D4627">
        <w:fldChar w:fldCharType="begin">
          <w:fldData xml:space="preserve">PEVuZE5vdGU+PENpdGU+PEF1dGhvcj5MZWlnaDwvQXV0aG9yPjxZZWFyPjIwMTU8L1llYXI+PElE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(Leigh &amp; Zee, 2015)</w:t>
      </w:r>
      <w:r w:rsidRPr="009D4627">
        <w:fldChar w:fldCharType="end"/>
      </w:r>
      <w:r w:rsidRPr="009D4627">
        <w:t xml:space="preserve">.  The clinical examination </w:t>
      </w:r>
      <w:r w:rsidR="00AE6F60" w:rsidRPr="009D4627">
        <w:t>compares</w:t>
      </w:r>
      <w:r w:rsidRPr="009D4627">
        <w:t xml:space="preserve"> the </w:t>
      </w:r>
      <w:r w:rsidR="00944720" w:rsidRPr="009D4627">
        <w:t>saccadic</w:t>
      </w:r>
      <w:r w:rsidRPr="009D4627">
        <w:t xml:space="preserve"> movements in</w:t>
      </w:r>
      <w:r w:rsidR="00AE6F60" w:rsidRPr="009D4627">
        <w:t xml:space="preserve"> the</w:t>
      </w:r>
      <w:r w:rsidRPr="009D4627">
        <w:t xml:space="preserve"> right and left gaze and in </w:t>
      </w:r>
      <w:r w:rsidR="00AE6F60" w:rsidRPr="009D4627">
        <w:t xml:space="preserve">the </w:t>
      </w:r>
      <w:r w:rsidRPr="009D4627">
        <w:t>up</w:t>
      </w:r>
      <w:r w:rsidR="00AE6F60" w:rsidRPr="009D4627">
        <w:t>per</w:t>
      </w:r>
      <w:r w:rsidRPr="009D4627">
        <w:t xml:space="preserve"> and </w:t>
      </w:r>
      <w:r w:rsidRPr="009D4627">
        <w:lastRenderedPageBreak/>
        <w:t xml:space="preserve">downgaze. Leigh and Zee (2015) suggested observing the following criteria during the </w:t>
      </w:r>
      <w:r w:rsidR="00944720" w:rsidRPr="009D4627">
        <w:t>saccadic</w:t>
      </w:r>
      <w:r w:rsidRPr="009D4627">
        <w:t xml:space="preserve"> test by comparing the </w:t>
      </w:r>
      <w:r w:rsidR="00D67222" w:rsidRPr="009D4627">
        <w:t>RE</w:t>
      </w:r>
      <w:r w:rsidRPr="009D4627">
        <w:t xml:space="preserve"> and </w:t>
      </w:r>
      <w:r w:rsidR="00D67222" w:rsidRPr="009D4627">
        <w:t>LE</w:t>
      </w:r>
      <w:r w:rsidRPr="009D4627">
        <w:t>'s performance:</w:t>
      </w:r>
    </w:p>
    <w:p w14:paraId="75638DA2" w14:textId="77777777" w:rsidR="00D80280" w:rsidRPr="009D4627" w:rsidRDefault="00D80280" w:rsidP="00D80280">
      <w:pPr>
        <w:pStyle w:val="ListParagraph"/>
        <w:numPr>
          <w:ilvl w:val="0"/>
          <w:numId w:val="37"/>
        </w:numPr>
      </w:pPr>
      <w:r w:rsidRPr="009D4627">
        <w:t>The reaction time that was initiated</w:t>
      </w:r>
    </w:p>
    <w:p w14:paraId="073D7950" w14:textId="77777777" w:rsidR="00D80280" w:rsidRPr="009D4627" w:rsidRDefault="00D80280" w:rsidP="00D80280">
      <w:pPr>
        <w:pStyle w:val="ListParagraph"/>
        <w:numPr>
          <w:ilvl w:val="0"/>
          <w:numId w:val="37"/>
        </w:numPr>
      </w:pPr>
      <w:r w:rsidRPr="009D4627">
        <w:t>The symmetrical response of the eye velocity (i.e., equal velocity or not)</w:t>
      </w:r>
    </w:p>
    <w:p w14:paraId="5C63B678" w14:textId="16DA462E" w:rsidR="00D80280" w:rsidRPr="009D4627" w:rsidRDefault="00D80280" w:rsidP="00D80280">
      <w:pPr>
        <w:pStyle w:val="ListParagraph"/>
        <w:numPr>
          <w:ilvl w:val="0"/>
          <w:numId w:val="37"/>
        </w:numPr>
      </w:pPr>
      <w:r w:rsidRPr="009D4627">
        <w:t xml:space="preserve">The accuracy of making saccades (i.e., with or without refixation saccades)  </w:t>
      </w:r>
    </w:p>
    <w:p w14:paraId="4464A82A" w14:textId="39914D7A" w:rsidR="00AE6F60" w:rsidRPr="009D4627" w:rsidRDefault="00A2792E" w:rsidP="00AE6F60">
      <w:pPr>
        <w:pStyle w:val="ListParagraph"/>
        <w:spacing w:line="240" w:lineRule="auto"/>
        <w:jc w:val="center"/>
      </w:pPr>
      <w:r w:rsidRPr="009D4627">
        <w:rPr>
          <w:noProof/>
        </w:rPr>
        <mc:AlternateContent>
          <mc:Choice Requires="wpg">
            <w:drawing>
              <wp:inline distT="0" distB="0" distL="0" distR="0" wp14:anchorId="0D795137" wp14:editId="6D595863">
                <wp:extent cx="3340735" cy="1800225"/>
                <wp:effectExtent l="0" t="0" r="0" b="9525"/>
                <wp:docPr id="24330" name="Group 24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0735" cy="1800225"/>
                          <a:chOff x="-651" y="-5525"/>
                          <a:chExt cx="40084" cy="26479"/>
                        </a:xfrm>
                      </wpg:grpSpPr>
                      <wpg:grpSp>
                        <wpg:cNvPr id="24331" name="Group 468"/>
                        <wpg:cNvGrpSpPr>
                          <a:grpSpLocks/>
                        </wpg:cNvGrpSpPr>
                        <wpg:grpSpPr bwMode="auto">
                          <a:xfrm>
                            <a:off x="-651" y="1143"/>
                            <a:ext cx="14363" cy="15049"/>
                            <a:chOff x="-651" y="0"/>
                            <a:chExt cx="14363" cy="15049"/>
                          </a:xfrm>
                        </wpg:grpSpPr>
                        <wpg:grpSp>
                          <wpg:cNvPr id="24332" name="Group 469"/>
                          <wpg:cNvGrpSpPr>
                            <a:grpSpLocks/>
                          </wpg:cNvGrpSpPr>
                          <wpg:grpSpPr bwMode="auto">
                            <a:xfrm>
                              <a:off x="0" y="3810"/>
                              <a:ext cx="13712" cy="11239"/>
                              <a:chOff x="571" y="0"/>
                              <a:chExt cx="13712" cy="11239"/>
                            </a:xfrm>
                          </wpg:grpSpPr>
                          <wps:wsp>
                            <wps:cNvPr id="24333" name="Oval 470"/>
                            <wps:cNvSpPr>
                              <a:spLocks noChangeArrowheads="1"/>
                            </wps:cNvSpPr>
                            <wps:spPr bwMode="auto">
                              <a:xfrm>
                                <a:off x="2571" y="0"/>
                                <a:ext cx="9716" cy="11239"/>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4334" name="Group 471"/>
                            <wpg:cNvGrpSpPr>
                              <a:grpSpLocks/>
                            </wpg:cNvGrpSpPr>
                            <wpg:grpSpPr bwMode="auto">
                              <a:xfrm>
                                <a:off x="3714" y="2952"/>
                                <a:ext cx="2763" cy="1715"/>
                                <a:chOff x="0" y="0"/>
                                <a:chExt cx="276225" cy="171450"/>
                              </a:xfrm>
                            </wpg:grpSpPr>
                            <wps:wsp>
                              <wps:cNvPr id="24335" name="Oval 472"/>
                              <wps:cNvSpPr>
                                <a:spLocks noChangeArrowheads="1"/>
                              </wps:cNvSpPr>
                              <wps:spPr bwMode="auto">
                                <a:xfrm>
                                  <a:off x="0" y="0"/>
                                  <a:ext cx="276225" cy="17145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36" name="Oval 473"/>
                              <wps:cNvSpPr>
                                <a:spLocks noChangeArrowheads="1"/>
                              </wps:cNvSpPr>
                              <wps:spPr bwMode="auto">
                                <a:xfrm>
                                  <a:off x="142875" y="9525"/>
                                  <a:ext cx="95250" cy="152400"/>
                                </a:xfrm>
                                <a:prstGeom prst="ellipse">
                                  <a:avLst/>
                                </a:prstGeom>
                                <a:solidFill>
                                  <a:schemeClr val="dk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24337" name="Group 474"/>
                            <wpg:cNvGrpSpPr>
                              <a:grpSpLocks/>
                            </wpg:cNvGrpSpPr>
                            <wpg:grpSpPr bwMode="auto">
                              <a:xfrm>
                                <a:off x="8286" y="2952"/>
                                <a:ext cx="2763" cy="1715"/>
                                <a:chOff x="0" y="0"/>
                                <a:chExt cx="276225" cy="171450"/>
                              </a:xfrm>
                            </wpg:grpSpPr>
                            <wps:wsp>
                              <wps:cNvPr id="24338" name="Oval 475"/>
                              <wps:cNvSpPr>
                                <a:spLocks noChangeArrowheads="1"/>
                              </wps:cNvSpPr>
                              <wps:spPr bwMode="auto">
                                <a:xfrm>
                                  <a:off x="0" y="0"/>
                                  <a:ext cx="276225" cy="17145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39" name="Oval 476"/>
                              <wps:cNvSpPr>
                                <a:spLocks noChangeArrowheads="1"/>
                              </wps:cNvSpPr>
                              <wps:spPr bwMode="auto">
                                <a:xfrm>
                                  <a:off x="142875" y="19050"/>
                                  <a:ext cx="95250" cy="152400"/>
                                </a:xfrm>
                                <a:prstGeom prst="ellipse">
                                  <a:avLst/>
                                </a:prstGeom>
                                <a:solidFill>
                                  <a:schemeClr val="dk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24340" name="Can 449"/>
                            <wps:cNvSpPr>
                              <a:spLocks noChangeArrowheads="1"/>
                            </wps:cNvSpPr>
                            <wps:spPr bwMode="auto">
                              <a:xfrm>
                                <a:off x="571" y="4094"/>
                                <a:ext cx="456" cy="5999"/>
                              </a:xfrm>
                              <a:prstGeom prst="can">
                                <a:avLst>
                                  <a:gd name="adj" fmla="val 25032"/>
                                </a:avLst>
                              </a:prstGeom>
                              <a:solidFill>
                                <a:srgbClr val="0066FF"/>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41" name="Can 450"/>
                            <wps:cNvSpPr>
                              <a:spLocks noChangeArrowheads="1"/>
                            </wps:cNvSpPr>
                            <wps:spPr bwMode="auto">
                              <a:xfrm>
                                <a:off x="13827" y="4171"/>
                                <a:ext cx="456" cy="6133"/>
                              </a:xfrm>
                              <a:prstGeom prst="can">
                                <a:avLst>
                                  <a:gd name="adj" fmla="val 25031"/>
                                </a:avLst>
                              </a:prstGeom>
                              <a:solidFill>
                                <a:srgbClr val="FF0000"/>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42" name="Straight Connector 479"/>
                            <wps:cNvCnPr>
                              <a:cxnSpLocks noChangeShapeType="1"/>
                            </wps:cNvCnPr>
                            <wps:spPr bwMode="auto">
                              <a:xfrm>
                                <a:off x="5524" y="3905"/>
                                <a:ext cx="8382" cy="0"/>
                              </a:xfrm>
                              <a:prstGeom prst="line">
                                <a:avLst/>
                              </a:prstGeom>
                              <a:noFill/>
                              <a:ln w="6350">
                                <a:solidFill>
                                  <a:schemeClr val="tx1">
                                    <a:lumMod val="100000"/>
                                    <a:lumOff val="0"/>
                                  </a:schemeClr>
                                </a:solidFill>
                                <a:prstDash val="sysDash"/>
                                <a:miter lim="800000"/>
                                <a:headEnd/>
                                <a:tailEnd type="triangle" w="med" len="med"/>
                              </a:ln>
                            </wps:spPr>
                            <wps:bodyPr/>
                          </wps:wsp>
                          <wps:wsp>
                            <wps:cNvPr id="24343" name="Freeform 452"/>
                            <wps:cNvSpPr>
                              <a:spLocks/>
                            </wps:cNvSpPr>
                            <wps:spPr bwMode="auto">
                              <a:xfrm>
                                <a:off x="6762" y="5238"/>
                                <a:ext cx="1470" cy="2078"/>
                              </a:xfrm>
                              <a:custGeom>
                                <a:avLst/>
                                <a:gdLst>
                                  <a:gd name="T0" fmla="*/ 51211 w 147009"/>
                                  <a:gd name="T1" fmla="*/ 0 h 207797"/>
                                  <a:gd name="T2" fmla="*/ 3586 w 147009"/>
                                  <a:gd name="T3" fmla="*/ 190500 h 207797"/>
                                  <a:gd name="T4" fmla="*/ 136936 w 147009"/>
                                  <a:gd name="T5" fmla="*/ 200025 h 207797"/>
                                  <a:gd name="T6" fmla="*/ 127411 w 147009"/>
                                  <a:gd name="T7" fmla="*/ 200025 h 2077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7009" h="207797">
                                    <a:moveTo>
                                      <a:pt x="51211" y="0"/>
                                    </a:moveTo>
                                    <a:cubicBezTo>
                                      <a:pt x="20255" y="78581"/>
                                      <a:pt x="-10701" y="157163"/>
                                      <a:pt x="3586" y="190500"/>
                                    </a:cubicBezTo>
                                    <a:cubicBezTo>
                                      <a:pt x="17873" y="223837"/>
                                      <a:pt x="116299" y="198438"/>
                                      <a:pt x="136936" y="200025"/>
                                    </a:cubicBezTo>
                                    <a:cubicBezTo>
                                      <a:pt x="157573" y="201612"/>
                                      <a:pt x="142492" y="200818"/>
                                      <a:pt x="127411" y="200025"/>
                                    </a:cubicBezTo>
                                  </a:path>
                                </a:pathLst>
                              </a:cu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44" name="Arc 482"/>
                            <wps:cNvSpPr>
                              <a:spLocks/>
                            </wps:cNvSpPr>
                            <wps:spPr bwMode="auto">
                              <a:xfrm rot="8062326">
                                <a:off x="5524" y="6001"/>
                                <a:ext cx="3429" cy="3619"/>
                              </a:xfrm>
                              <a:custGeom>
                                <a:avLst/>
                                <a:gdLst>
                                  <a:gd name="T0" fmla="*/ 171450 w 342900"/>
                                  <a:gd name="T1" fmla="*/ 0 h 361950"/>
                                  <a:gd name="T2" fmla="*/ 342900 w 342900"/>
                                  <a:gd name="T3" fmla="*/ 180975 h 361950"/>
                                  <a:gd name="T4" fmla="*/ 0 60000 65536"/>
                                  <a:gd name="T5" fmla="*/ 0 60000 65536"/>
                                </a:gdLst>
                                <a:ahLst/>
                                <a:cxnLst>
                                  <a:cxn ang="T4">
                                    <a:pos x="T0" y="T1"/>
                                  </a:cxn>
                                  <a:cxn ang="T5">
                                    <a:pos x="T2" y="T3"/>
                                  </a:cxn>
                                </a:cxnLst>
                                <a:rect l="0" t="0" r="r" b="b"/>
                                <a:pathLst>
                                  <a:path w="342900" h="361950" stroke="0">
                                    <a:moveTo>
                                      <a:pt x="171450" y="0"/>
                                    </a:moveTo>
                                    <a:cubicBezTo>
                                      <a:pt x="266139" y="0"/>
                                      <a:pt x="342900" y="81025"/>
                                      <a:pt x="342900" y="180975"/>
                                    </a:cubicBezTo>
                                    <a:lnTo>
                                      <a:pt x="171450" y="180975"/>
                                    </a:lnTo>
                                    <a:lnTo>
                                      <a:pt x="171450" y="0"/>
                                    </a:lnTo>
                                    <a:close/>
                                  </a:path>
                                  <a:path w="342900" h="361950" fill="none">
                                    <a:moveTo>
                                      <a:pt x="171450" y="0"/>
                                    </a:moveTo>
                                    <a:cubicBezTo>
                                      <a:pt x="266139" y="0"/>
                                      <a:pt x="342900" y="81025"/>
                                      <a:pt x="342900" y="180975"/>
                                    </a:cubicBezTo>
                                  </a:path>
                                </a:pathLst>
                              </a:custGeom>
                              <a:noFill/>
                              <a:ln w="635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24345" name="Text Box 1844"/>
                          <wps:cNvSpPr txBox="1">
                            <a:spLocks noChangeArrowheads="1"/>
                          </wps:cNvSpPr>
                          <wps:spPr bwMode="auto">
                            <a:xfrm>
                              <a:off x="-651" y="0"/>
                              <a:ext cx="2285" cy="2381"/>
                            </a:xfrm>
                            <a:prstGeom prst="rect">
                              <a:avLst/>
                            </a:prstGeom>
                            <a:solidFill>
                              <a:srgbClr val="FFFFFF"/>
                            </a:solidFill>
                            <a:ln>
                              <a:noFill/>
                            </a:ln>
                          </wps:spPr>
                          <wps:txbx>
                            <w:txbxContent>
                              <w:p w14:paraId="77E66DF0" w14:textId="77777777" w:rsidR="00074652" w:rsidRPr="004E19C4" w:rsidRDefault="00074652" w:rsidP="00074652">
                                <w:pPr>
                                  <w:spacing w:before="0" w:line="240" w:lineRule="auto"/>
                                </w:pPr>
                                <w:r>
                                  <w:t>a</w:t>
                                </w:r>
                                <w:r w:rsidRPr="004E19C4">
                                  <w:t>)</w:t>
                                </w:r>
                              </w:p>
                            </w:txbxContent>
                          </wps:txbx>
                          <wps:bodyPr rot="0" vert="horz" wrap="square" lIns="0" tIns="0" rIns="0" bIns="0" anchor="t" anchorCtr="0" upright="1">
                            <a:noAutofit/>
                          </wps:bodyPr>
                        </wps:wsp>
                      </wpg:grpSp>
                      <wpg:grpSp>
                        <wpg:cNvPr id="24346" name="Group 484"/>
                        <wpg:cNvGrpSpPr>
                          <a:grpSpLocks/>
                        </wpg:cNvGrpSpPr>
                        <wpg:grpSpPr bwMode="auto">
                          <a:xfrm>
                            <a:off x="27241" y="-5525"/>
                            <a:ext cx="12192" cy="26479"/>
                            <a:chOff x="0" y="-5525"/>
                            <a:chExt cx="12192" cy="26479"/>
                          </a:xfrm>
                        </wpg:grpSpPr>
                        <wpg:grpSp>
                          <wpg:cNvPr id="24347" name="Group 485"/>
                          <wpg:cNvGrpSpPr>
                            <a:grpSpLocks/>
                          </wpg:cNvGrpSpPr>
                          <wpg:grpSpPr bwMode="auto">
                            <a:xfrm>
                              <a:off x="2476" y="-5525"/>
                              <a:ext cx="9716" cy="26479"/>
                              <a:chOff x="0" y="-5526"/>
                              <a:chExt cx="9715" cy="26484"/>
                            </a:xfrm>
                          </wpg:grpSpPr>
                          <wps:wsp>
                            <wps:cNvPr id="24348" name="Can 465"/>
                            <wps:cNvSpPr>
                              <a:spLocks noChangeArrowheads="1"/>
                            </wps:cNvSpPr>
                            <wps:spPr bwMode="auto">
                              <a:xfrm rot="5400000" flipH="1">
                                <a:off x="1929" y="-3142"/>
                                <a:ext cx="5430" cy="661"/>
                              </a:xfrm>
                              <a:prstGeom prst="can">
                                <a:avLst>
                                  <a:gd name="adj" fmla="val 25000"/>
                                </a:avLst>
                              </a:prstGeom>
                              <a:solidFill>
                                <a:srgbClr val="FF0000"/>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49" name="Can 469"/>
                            <wps:cNvSpPr>
                              <a:spLocks noChangeArrowheads="1"/>
                            </wps:cNvSpPr>
                            <wps:spPr bwMode="auto">
                              <a:xfrm rot="5400000">
                                <a:off x="2426" y="18606"/>
                                <a:ext cx="4249" cy="456"/>
                              </a:xfrm>
                              <a:prstGeom prst="can">
                                <a:avLst>
                                  <a:gd name="adj" fmla="val 25000"/>
                                </a:avLst>
                              </a:prstGeom>
                              <a:solidFill>
                                <a:srgbClr val="0066FF"/>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4350" name="Group 488"/>
                            <wpg:cNvGrpSpPr>
                              <a:grpSpLocks/>
                            </wpg:cNvGrpSpPr>
                            <wpg:grpSpPr bwMode="auto">
                              <a:xfrm>
                                <a:off x="0" y="3810"/>
                                <a:ext cx="9715" cy="11239"/>
                                <a:chOff x="0" y="0"/>
                                <a:chExt cx="9715" cy="11239"/>
                              </a:xfrm>
                            </wpg:grpSpPr>
                            <wps:wsp>
                              <wps:cNvPr id="24351" name="Oval 489"/>
                              <wps:cNvSpPr>
                                <a:spLocks noChangeArrowheads="1"/>
                              </wps:cNvSpPr>
                              <wps:spPr bwMode="auto">
                                <a:xfrm>
                                  <a:off x="0" y="0"/>
                                  <a:ext cx="9715" cy="11239"/>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4352" name="Group 490"/>
                              <wpg:cNvGrpSpPr>
                                <a:grpSpLocks/>
                              </wpg:cNvGrpSpPr>
                              <wpg:grpSpPr bwMode="auto">
                                <a:xfrm>
                                  <a:off x="5715" y="2952"/>
                                  <a:ext cx="2762" cy="1715"/>
                                  <a:chOff x="0" y="0"/>
                                  <a:chExt cx="276225" cy="171450"/>
                                </a:xfrm>
                              </wpg:grpSpPr>
                              <wps:wsp>
                                <wps:cNvPr id="24353" name="Oval 491"/>
                                <wps:cNvSpPr>
                                  <a:spLocks noChangeArrowheads="1"/>
                                </wps:cNvSpPr>
                                <wps:spPr bwMode="auto">
                                  <a:xfrm>
                                    <a:off x="0" y="0"/>
                                    <a:ext cx="276225" cy="17145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54" name="Oval 492"/>
                                <wps:cNvSpPr>
                                  <a:spLocks noChangeArrowheads="1"/>
                                </wps:cNvSpPr>
                                <wps:spPr bwMode="auto">
                                  <a:xfrm>
                                    <a:off x="95250" y="0"/>
                                    <a:ext cx="114300" cy="95250"/>
                                  </a:xfrm>
                                  <a:prstGeom prst="ellipse">
                                    <a:avLst/>
                                  </a:prstGeom>
                                  <a:solidFill>
                                    <a:schemeClr val="dk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24355" name="Freeform 471"/>
                              <wps:cNvSpPr>
                                <a:spLocks/>
                              </wps:cNvSpPr>
                              <wps:spPr bwMode="auto">
                                <a:xfrm>
                                  <a:off x="4191" y="5238"/>
                                  <a:ext cx="1470" cy="2078"/>
                                </a:xfrm>
                                <a:custGeom>
                                  <a:avLst/>
                                  <a:gdLst>
                                    <a:gd name="T0" fmla="*/ 51211 w 147009"/>
                                    <a:gd name="T1" fmla="*/ 0 h 207797"/>
                                    <a:gd name="T2" fmla="*/ 3586 w 147009"/>
                                    <a:gd name="T3" fmla="*/ 190500 h 207797"/>
                                    <a:gd name="T4" fmla="*/ 136936 w 147009"/>
                                    <a:gd name="T5" fmla="*/ 200025 h 207797"/>
                                    <a:gd name="T6" fmla="*/ 127411 w 147009"/>
                                    <a:gd name="T7" fmla="*/ 200025 h 2077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7009" h="207797">
                                      <a:moveTo>
                                        <a:pt x="51211" y="0"/>
                                      </a:moveTo>
                                      <a:cubicBezTo>
                                        <a:pt x="20255" y="78581"/>
                                        <a:pt x="-10701" y="157163"/>
                                        <a:pt x="3586" y="190500"/>
                                      </a:cubicBezTo>
                                      <a:cubicBezTo>
                                        <a:pt x="17873" y="223837"/>
                                        <a:pt x="116299" y="198438"/>
                                        <a:pt x="136936" y="200025"/>
                                      </a:cubicBezTo>
                                      <a:cubicBezTo>
                                        <a:pt x="157573" y="201612"/>
                                        <a:pt x="142492" y="200818"/>
                                        <a:pt x="127411" y="200025"/>
                                      </a:cubicBezTo>
                                    </a:path>
                                  </a:pathLst>
                                </a:cu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56" name="Arc 494"/>
                              <wps:cNvSpPr>
                                <a:spLocks/>
                              </wps:cNvSpPr>
                              <wps:spPr bwMode="auto">
                                <a:xfrm rot="8062326">
                                  <a:off x="2952" y="6001"/>
                                  <a:ext cx="3429" cy="3620"/>
                                </a:xfrm>
                                <a:custGeom>
                                  <a:avLst/>
                                  <a:gdLst>
                                    <a:gd name="T0" fmla="*/ 171450 w 342900"/>
                                    <a:gd name="T1" fmla="*/ 0 h 361950"/>
                                    <a:gd name="T2" fmla="*/ 342900 w 342900"/>
                                    <a:gd name="T3" fmla="*/ 180975 h 361950"/>
                                    <a:gd name="T4" fmla="*/ 0 60000 65536"/>
                                    <a:gd name="T5" fmla="*/ 0 60000 65536"/>
                                  </a:gdLst>
                                  <a:ahLst/>
                                  <a:cxnLst>
                                    <a:cxn ang="T4">
                                      <a:pos x="T0" y="T1"/>
                                    </a:cxn>
                                    <a:cxn ang="T5">
                                      <a:pos x="T2" y="T3"/>
                                    </a:cxn>
                                  </a:cxnLst>
                                  <a:rect l="0" t="0" r="r" b="b"/>
                                  <a:pathLst>
                                    <a:path w="342900" h="361950" stroke="0">
                                      <a:moveTo>
                                        <a:pt x="171450" y="0"/>
                                      </a:moveTo>
                                      <a:cubicBezTo>
                                        <a:pt x="266139" y="0"/>
                                        <a:pt x="342900" y="81025"/>
                                        <a:pt x="342900" y="180975"/>
                                      </a:cubicBezTo>
                                      <a:lnTo>
                                        <a:pt x="171450" y="180975"/>
                                      </a:lnTo>
                                      <a:lnTo>
                                        <a:pt x="171450" y="0"/>
                                      </a:lnTo>
                                      <a:close/>
                                    </a:path>
                                    <a:path w="342900" h="361950" fill="none">
                                      <a:moveTo>
                                        <a:pt x="171450" y="0"/>
                                      </a:moveTo>
                                      <a:cubicBezTo>
                                        <a:pt x="266139" y="0"/>
                                        <a:pt x="342900" y="81025"/>
                                        <a:pt x="342900" y="180975"/>
                                      </a:cubicBezTo>
                                    </a:path>
                                  </a:pathLst>
                                </a:custGeom>
                                <a:noFill/>
                                <a:ln w="635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4357" name="Group 495"/>
                              <wpg:cNvGrpSpPr>
                                <a:grpSpLocks/>
                              </wpg:cNvGrpSpPr>
                              <wpg:grpSpPr bwMode="auto">
                                <a:xfrm>
                                  <a:off x="1143" y="2952"/>
                                  <a:ext cx="2762" cy="1715"/>
                                  <a:chOff x="0" y="0"/>
                                  <a:chExt cx="276225" cy="171450"/>
                                </a:xfrm>
                              </wpg:grpSpPr>
                              <wps:wsp>
                                <wps:cNvPr id="24358" name="Oval 496"/>
                                <wps:cNvSpPr>
                                  <a:spLocks noChangeArrowheads="1"/>
                                </wps:cNvSpPr>
                                <wps:spPr bwMode="auto">
                                  <a:xfrm>
                                    <a:off x="0" y="0"/>
                                    <a:ext cx="276225" cy="171450"/>
                                  </a:xfrm>
                                  <a:prstGeom prst="ellipse">
                                    <a:avLst/>
                                  </a:prstGeom>
                                  <a:solidFill>
                                    <a:schemeClr val="l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24359" name="Oval 497"/>
                                <wps:cNvSpPr>
                                  <a:spLocks noChangeArrowheads="1"/>
                                </wps:cNvSpPr>
                                <wps:spPr bwMode="auto">
                                  <a:xfrm>
                                    <a:off x="76200" y="0"/>
                                    <a:ext cx="114300" cy="95250"/>
                                  </a:xfrm>
                                  <a:prstGeom prst="ellipse">
                                    <a:avLst/>
                                  </a:prstGeom>
                                  <a:solidFill>
                                    <a:schemeClr val="dk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s:wsp>
                            <wps:cNvPr id="24360" name="Straight Connector 498"/>
                            <wps:cNvCnPr>
                              <a:cxnSpLocks noChangeShapeType="1"/>
                            </wps:cNvCnPr>
                            <wps:spPr bwMode="auto">
                              <a:xfrm flipV="1">
                                <a:off x="2571" y="476"/>
                                <a:ext cx="2096" cy="6572"/>
                              </a:xfrm>
                              <a:prstGeom prst="line">
                                <a:avLst/>
                              </a:prstGeom>
                              <a:noFill/>
                              <a:ln w="6350">
                                <a:solidFill>
                                  <a:schemeClr val="tx1">
                                    <a:lumMod val="100000"/>
                                    <a:lumOff val="0"/>
                                  </a:schemeClr>
                                </a:solidFill>
                                <a:prstDash val="sysDash"/>
                                <a:miter lim="800000"/>
                                <a:headEnd/>
                                <a:tailEnd/>
                              </a:ln>
                            </wps:spPr>
                            <wps:bodyPr/>
                          </wps:wsp>
                          <wps:wsp>
                            <wps:cNvPr id="24361" name="Straight Connector 499"/>
                            <wps:cNvCnPr>
                              <a:cxnSpLocks noChangeShapeType="1"/>
                            </wps:cNvCnPr>
                            <wps:spPr bwMode="auto">
                              <a:xfrm flipH="1" flipV="1">
                                <a:off x="4667" y="190"/>
                                <a:ext cx="2489" cy="6572"/>
                              </a:xfrm>
                              <a:prstGeom prst="line">
                                <a:avLst/>
                              </a:prstGeom>
                              <a:noFill/>
                              <a:ln w="6350">
                                <a:solidFill>
                                  <a:schemeClr val="tx1">
                                    <a:lumMod val="100000"/>
                                    <a:lumOff val="0"/>
                                  </a:schemeClr>
                                </a:solidFill>
                                <a:prstDash val="sysDash"/>
                                <a:miter lim="800000"/>
                                <a:headEnd/>
                                <a:tailEnd/>
                              </a:ln>
                            </wps:spPr>
                            <wps:bodyPr/>
                          </wps:wsp>
                        </wpg:grpSp>
                        <wps:wsp>
                          <wps:cNvPr id="24362" name="Text Box 1861"/>
                          <wps:cNvSpPr txBox="1">
                            <a:spLocks noChangeArrowheads="1"/>
                          </wps:cNvSpPr>
                          <wps:spPr bwMode="auto">
                            <a:xfrm>
                              <a:off x="0" y="666"/>
                              <a:ext cx="2286" cy="2382"/>
                            </a:xfrm>
                            <a:prstGeom prst="rect">
                              <a:avLst/>
                            </a:prstGeom>
                            <a:solidFill>
                              <a:srgbClr val="FFFFFF"/>
                            </a:solidFill>
                            <a:ln>
                              <a:noFill/>
                            </a:ln>
                          </wps:spPr>
                          <wps:txbx>
                            <w:txbxContent>
                              <w:p w14:paraId="5E14848D" w14:textId="77777777" w:rsidR="00074652" w:rsidRPr="004E19C4" w:rsidRDefault="00074652" w:rsidP="00074652">
                                <w:pPr>
                                  <w:spacing w:before="0" w:line="240" w:lineRule="auto"/>
                                </w:pPr>
                                <w:r>
                                  <w:t>b</w:t>
                                </w:r>
                                <w:r w:rsidRPr="004E19C4">
                                  <w:t>)</w:t>
                                </w:r>
                              </w:p>
                            </w:txbxContent>
                          </wps:txbx>
                          <wps:bodyPr rot="0" vert="horz" wrap="square" lIns="0" tIns="0" rIns="0" bIns="0" anchor="t" anchorCtr="0" upright="1">
                            <a:noAutofit/>
                          </wps:bodyPr>
                        </wps:wsp>
                      </wpg:grpSp>
                    </wpg:wgp>
                  </a:graphicData>
                </a:graphic>
              </wp:inline>
            </w:drawing>
          </mc:Choice>
          <mc:Fallback>
            <w:pict>
              <v:group w14:anchorId="0D795137" id="Group 24330" o:spid="_x0000_s1080" style="width:263.05pt;height:141.75pt;mso-position-horizontal-relative:char;mso-position-vertical-relative:line" coordorigin="-651,-5525" coordsize="40084,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">
                <v:group id="Group 468" o:spid="_x0000_s1081" style="position:absolute;left:-651;top:1143;width:14363;height:15049" coordorigin="-651" coordsize="14363,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">
                  <v:group id="Group 469" o:spid="_x0000_s1082" style="position:absolute;top:3810;width:13712;height:11239" coordorigin="571" coordsize="13712,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">
                    <v:oval id="Oval 470" o:spid="_x0000_s1083" style="position:absolute;left:2571;width:9716;height:1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" fillcolor="white [3201]" strokecolor="black [3213]" strokeweight="1pt">
                      <v:stroke joinstyle="miter"/>
                    </v:oval>
                    <v:group id="Group 471" o:spid="_x0000_s1084" style="position:absolute;left:3714;top:2952;width:2763;height:1715" coordsize="2762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">
                      <v:oval id="Oval 472" o:spid="_x0000_s1085" style="position:absolute;width:2762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" fillcolor="white [3201]" strokecolor="black [3213]" strokeweight="1pt">
                        <v:stroke joinstyle="miter"/>
                      </v:oval>
                      <v:oval id="Oval 473" o:spid="_x0000_s1086" style="position:absolute;left:142875;top:9525;width:95250;height:15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" fillcolor="black [3200]" strokecolor="black [3213]" strokeweight="1pt">
                        <v:stroke joinstyle="miter"/>
                      </v:oval>
                    </v:group>
                    <v:group id="Group 474" o:spid="_x0000_s1087" style="position:absolute;left:8286;top:2952;width:2763;height:1715" coordsize="2762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">
                      <v:oval id="Oval 475" o:spid="_x0000_s1088" style="position:absolute;width:2762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" fillcolor="white [3201]" strokecolor="black [3213]" strokeweight="1pt">
                        <v:stroke joinstyle="miter"/>
                      </v:oval>
                      <v:oval id="Oval 476" o:spid="_x0000_s1089" style="position:absolute;left:142875;top:19050;width:95250;height:15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" fillcolor="black [3200]" strokecolor="black [3213]" strokeweight="1pt">
                        <v:stroke joinstyle="miter"/>
                      </v:oval>
                    </v:group>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449" o:spid="_x0000_s1090" type="#_x0000_t22" style="position:absolute;left:571;top:4094;width:456;height:5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" adj="411" fillcolor="#06f" strokecolor="black [3213]" strokeweight="1pt">
                      <v:stroke joinstyle="miter"/>
                    </v:shape>
                    <v:shape id="Can 450" o:spid="_x0000_s1091" type="#_x0000_t22" style="position:absolute;left:13827;top:4171;width:456;height:6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" adj="402" fillcolor="red" strokecolor="black [3213]" strokeweight="1pt">
                      <v:stroke joinstyle="miter"/>
                    </v:shape>
                    <v:line id="Straight Connector 479" o:spid="_x0000_s1092" style="position:absolute;visibility:visible;mso-wrap-style:square" from="5524,3905" to="13906,3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" strokecolor="black [3213]" strokeweight=".5pt">
                      <v:stroke dashstyle="3 1" endarrow="block" joinstyle="miter"/>
                    </v:line>
                    <v:shape id="Freeform 452" o:spid="_x0000_s1093" style="position:absolute;left:6762;top:5238;width:1470;height:2078;visibility:visible;mso-wrap-style:square;v-text-anchor:middle" coordsize="147009,20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" path="m51211,c20255,78581,-10701,157163,3586,190500v14287,33337,112713,7938,133350,9525c157573,201612,142492,200818,127411,200025e" filled="f" strokecolor="black [3213]" strokeweight="1pt">
                      <v:stroke joinstyle="miter"/>
                      <v:path arrowok="t" o:connecttype="custom" o:connectlocs="512,0;36,1905;1369,2000;1274,2000" o:connectangles="0,0,0,0"/>
                    </v:shape>
                    <v:shape id="Arc 482" o:spid="_x0000_s1094" style="position:absolute;left:5524;top:6001;width:3429;height:3619;rotation:8806210fd;visibility:visible;mso-wrap-style:square;v-text-anchor:middle" coordsize="3429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" path="m171450,nsc266139,,342900,81025,342900,180975r-171450,l171450,xem171450,nfc266139,,342900,81025,342900,180975e" filled="f" strokecolor="black [3213]" strokeweight=".5pt">
                      <v:stroke joinstyle="miter"/>
                      <v:path arrowok="t" o:connecttype="custom" o:connectlocs="1715,0;3429,1810" o:connectangles="0,0"/>
                    </v:shape>
                  </v:group>
                  <v:shape id="Text Box 1844" o:spid="_x0000_s1095" type="#_x0000_t202" style="position:absolute;left:-651;width:228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" stroked="f">
                    <v:textbox inset="0,0,0,0">
                      <w:txbxContent>
                        <w:p w14:paraId="77E66DF0" w14:textId="77777777" w:rsidR="00074652" w:rsidRPr="004E19C4" w:rsidRDefault="00074652" w:rsidP="00074652">
                          <w:pPr>
                            <w:spacing w:before="0" w:line="240" w:lineRule="auto"/>
                          </w:pPr>
                          <w:r>
                            <w:t>a</w:t>
                          </w:r>
                          <w:r w:rsidRPr="004E19C4">
                            <w:t>)</w:t>
                          </w:r>
                        </w:p>
                      </w:txbxContent>
                    </v:textbox>
                  </v:shape>
                </v:group>
                <v:group id="Group 484" o:spid="_x0000_s1096" style="position:absolute;left:27241;top:-5525;width:12192;height:26479" coordorigin=",-5525" coordsize="12192,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">
                  <v:group id="Group 485" o:spid="_x0000_s1097" style="position:absolute;left:2476;top:-5525;width:9716;height:26479" coordorigin=",-5526" coordsize="9715,26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">
                    <v:shape id="Can 465" o:spid="_x0000_s1098" type="#_x0000_t22" style="position:absolute;left:1929;top:-3142;width:5430;height:661;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" fillcolor="red" strokecolor="black [3213]" strokeweight="1pt">
                      <v:stroke joinstyle="miter"/>
                    </v:shape>
                    <v:shape id="Can 469" o:spid="_x0000_s1099" type="#_x0000_t22" style="position:absolute;left:2426;top:18606;width:4249;height:45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" fillcolor="#06f" strokecolor="black [3213]" strokeweight="1pt">
                      <v:stroke joinstyle="miter"/>
                    </v:shape>
                    <v:group id="Group 488" o:spid="_x0000_s1100" style="position:absolute;top:3810;width:9715;height:11239" coordsize="9715,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">
                      <v:oval id="Oval 489" o:spid="_x0000_s1101" style="position:absolute;width:9715;height:1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" fillcolor="white [3201]" strokecolor="black [3213]" strokeweight="1pt">
                        <v:stroke joinstyle="miter"/>
                      </v:oval>
                      <v:group id="Group 490" o:spid="_x0000_s1102" style="position:absolute;left:5715;top:2952;width:2762;height:1715" coordsize="2762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">
                        <v:oval id="Oval 491" o:spid="_x0000_s1103" style="position:absolute;width:2762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" fillcolor="white [3201]" strokecolor="black [3213]" strokeweight="1pt">
                          <v:stroke joinstyle="miter"/>
                        </v:oval>
                        <v:oval id="Oval 492" o:spid="_x0000_s1104" style="position:absolute;left:95250;width:114300;height:9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" fillcolor="black [3200]" strokecolor="black [3213]" strokeweight="1pt">
                          <v:stroke joinstyle="miter"/>
                        </v:oval>
                      </v:group>
                      <v:shape id="Freeform 471" o:spid="_x0000_s1105" style="position:absolute;left:4191;top:5238;width:1470;height:2078;visibility:visible;mso-wrap-style:square;v-text-anchor:middle" coordsize="147009,20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" path="m51211,c20255,78581,-10701,157163,3586,190500v14287,33337,112713,7938,133350,9525c157573,201612,142492,200818,127411,200025e" filled="f" strokecolor="black [3213]" strokeweight="1pt">
                        <v:stroke joinstyle="miter"/>
                        <v:path arrowok="t" o:connecttype="custom" o:connectlocs="512,0;36,1905;1369,2000;1274,2000" o:connectangles="0,0,0,0"/>
                      </v:shape>
                      <v:shape id="Arc 494" o:spid="_x0000_s1106" style="position:absolute;left:2952;top:6001;width:3429;height:3620;rotation:8806210fd;visibility:visible;mso-wrap-style:square;v-text-anchor:middle" coordsize="34290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" path="m171450,nsc266139,,342900,81025,342900,180975r-171450,l171450,xem171450,nfc266139,,342900,81025,342900,180975e" filled="f" strokecolor="black [3213]" strokeweight=".5pt">
                        <v:stroke joinstyle="miter"/>
                        <v:path arrowok="t" o:connecttype="custom" o:connectlocs="1715,0;3429,1810" o:connectangles="0,0"/>
                      </v:shape>
                      <v:group id="Group 495" o:spid="_x0000_s1107" style="position:absolute;left:1143;top:2952;width:2762;height:1715" coordsize="2762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">
                        <v:oval id="Oval 496" o:spid="_x0000_s1108" style="position:absolute;width:276225;height:171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" fillcolor="white [3201]" strokecolor="black [3213]" strokeweight="1pt">
                          <v:stroke joinstyle="miter"/>
                        </v:oval>
                        <v:oval id="Oval 497" o:spid="_x0000_s1109" style="position:absolute;left:76200;width:114300;height:9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" fillcolor="black [3200]" strokecolor="black [3213]" strokeweight="1pt">
                          <v:stroke joinstyle="miter"/>
                        </v:oval>
                      </v:group>
                    </v:group>
                    <v:line id="Straight Connector 498" o:spid="_x0000_s1110" style="position:absolute;flip:y;visibility:visible;mso-wrap-style:square" from="2571,476" to="4667,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" strokecolor="black [3213]" strokeweight=".5pt">
                      <v:stroke dashstyle="3 1" joinstyle="miter"/>
                    </v:line>
                    <v:line id="Straight Connector 499" o:spid="_x0000_s1111" style="position:absolute;flip:x y;visibility:visible;mso-wrap-style:square" from="4667,190" to="7156,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" strokecolor="black [3213]" strokeweight=".5pt">
                      <v:stroke dashstyle="3 1" joinstyle="miter"/>
                    </v:line>
                  </v:group>
                  <v:shape id="Text Box 1861" o:spid="_x0000_s1112" type="#_x0000_t202" style="position:absolute;top:666;width:2286;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" stroked="f">
                    <v:textbox inset="0,0,0,0">
                      <w:txbxContent>
                        <w:p w14:paraId="5E14848D" w14:textId="77777777" w:rsidR="00074652" w:rsidRPr="004E19C4" w:rsidRDefault="00074652" w:rsidP="00074652">
                          <w:pPr>
                            <w:spacing w:before="0" w:line="240" w:lineRule="auto"/>
                          </w:pPr>
                          <w:r>
                            <w:t>b</w:t>
                          </w:r>
                          <w:r w:rsidRPr="004E19C4">
                            <w:t>)</w:t>
                          </w:r>
                        </w:p>
                      </w:txbxContent>
                    </v:textbox>
                  </v:shape>
                </v:group>
                <w10:anchorlock/>
              </v:group>
            </w:pict>
          </mc:Fallback>
        </mc:AlternateContent>
      </w:r>
      <w:bookmarkStart w:id="69" w:name="_Toc73609238"/>
      <w:bookmarkStart w:id="70" w:name="_Toc73804900"/>
    </w:p>
    <w:p w14:paraId="2134650B" w14:textId="77777777" w:rsidR="00AE6F60" w:rsidRPr="009D4627" w:rsidRDefault="00AE6F60" w:rsidP="00AE6F60">
      <w:pPr>
        <w:pStyle w:val="ListParagraph"/>
        <w:spacing w:line="240" w:lineRule="auto"/>
      </w:pPr>
    </w:p>
    <w:p w14:paraId="4D4A0974" w14:textId="18E67D05" w:rsidR="00D80280" w:rsidRPr="009D4627" w:rsidRDefault="00D80280" w:rsidP="00604E58">
      <w:pPr>
        <w:pStyle w:val="ListParagraph"/>
        <w:spacing w:line="240" w:lineRule="auto"/>
        <w:ind w:left="0"/>
      </w:pPr>
      <w:bookmarkStart w:id="71" w:name="_Toc98570012"/>
      <w:r w:rsidRPr="009D4627">
        <w:t>Figure 1.</w:t>
      </w:r>
      <w:r w:rsidR="007E7CC8">
        <w:fldChar w:fldCharType="begin"/>
      </w:r>
      <w:r w:rsidR="007E7CC8">
        <w:instrText xml:space="preserve"> SEQ Figure_1. \* ARABIC </w:instrText>
      </w:r>
      <w:r w:rsidR="007E7CC8">
        <w:fldChar w:fldCharType="separate"/>
      </w:r>
      <w:r w:rsidR="00E268F6">
        <w:rPr>
          <w:noProof/>
        </w:rPr>
        <w:t>11</w:t>
      </w:r>
      <w:r w:rsidR="007E7CC8">
        <w:rPr>
          <w:noProof/>
        </w:rPr>
        <w:fldChar w:fldCharType="end"/>
      </w:r>
      <w:r w:rsidRPr="009D4627">
        <w:t xml:space="preserve">: Subjective </w:t>
      </w:r>
      <w:r w:rsidR="00944720" w:rsidRPr="009D4627">
        <w:t>saccadic</w:t>
      </w:r>
      <w:r w:rsidRPr="009D4627">
        <w:t xml:space="preserve"> eye movement testing used in the eye clinic.</w:t>
      </w:r>
      <w:bookmarkEnd w:id="69"/>
      <w:bookmarkEnd w:id="70"/>
      <w:r w:rsidR="00D46323" w:rsidRPr="009D4627">
        <w:t xml:space="preserve"> </w:t>
      </w:r>
      <w:r w:rsidRPr="009D4627">
        <w:t xml:space="preserve">Figure </w:t>
      </w:r>
      <w:r w:rsidR="00AE6F60" w:rsidRPr="009D4627">
        <w:t>a</w:t>
      </w:r>
      <w:r w:rsidRPr="009D4627">
        <w:t xml:space="preserve">) Horizontal leftward saccade and </w:t>
      </w:r>
      <w:r w:rsidR="00AE6F60" w:rsidRPr="009D4627">
        <w:t>b</w:t>
      </w:r>
      <w:r w:rsidRPr="009D4627">
        <w:t>) vertical upward saccade. Saccades are examined by asking the patient to look from one target to another.</w:t>
      </w:r>
      <w:bookmarkEnd w:id="71"/>
    </w:p>
    <w:p w14:paraId="006E1218" w14:textId="230321C2" w:rsidR="00D80280" w:rsidRPr="009D4627" w:rsidRDefault="00D80280" w:rsidP="00604E58">
      <w:r w:rsidRPr="009D4627">
        <w:rPr>
          <w:iCs/>
        </w:rPr>
        <w:t>Initiating</w:t>
      </w:r>
      <w:r w:rsidRPr="009D4627">
        <w:t xml:space="preserve"> </w:t>
      </w:r>
      <w:r w:rsidR="00944720" w:rsidRPr="009D4627">
        <w:t>saccadic</w:t>
      </w:r>
      <w:r w:rsidRPr="009D4627">
        <w:t xml:space="preserve"> movements can be assessed by the latency between the instruction given or the appearance of a new target and when the eye started to move. Patients who have difficulty initiating saccades may subtly use blinking or head movements to start the gaze shift. Thus, it is essential to check the quick phase of nystagmus using the optokinetic nystagmus (OKN) drum to determine if the reflexive saccades are normal. Voluntary saccades can be observed by asking the patient to fixate alternately between two targets </w:t>
      </w:r>
      <w:r w:rsidRPr="009D4627">
        <w:fldChar w:fldCharType="begin"/>
      </w:r>
      <w:r w:rsidRPr="009D4627">
        <w:instrText xml:space="preserve"> ADDIN EN.CITE &lt;EndNote&gt;&lt;Cite&gt;&lt;Author&gt;Danchaivijitr&lt;/Author&gt;&lt;Year&gt;2004&lt;/Year&gt;&lt;IDText&gt;Diplopia and eye movement disorders&lt;/IDText&gt;&lt;DisplayText&gt;(Danchaivijitr &amp;amp; Kennard, 2004)&lt;/DisplayText&gt;&lt;record&gt;&lt;keywords&gt;&lt;keyword&gt;Medicine&lt;/keyword&gt;&lt;/keywords&gt;&lt;isbn&gt;14737086&amp;#xD;00223050&lt;/isbn&gt;&lt;titles&gt;&lt;title&gt;Diplopia and eye movement disorders&lt;/title&gt;&lt;secondary-title&gt;Neurology in Practice&lt;/secondary-title&gt;&lt;/titles&gt;&lt;pages&gt;iv24-iv31&lt;/pages&gt;&lt;number&gt;4&lt;/number&gt;&lt;contributors&gt;&lt;authors&gt;&lt;author&gt;Danchaivijitr, C.&lt;/author&gt;&lt;author&gt;Kennard, C.&lt;/author&gt;&lt;/authors&gt;&lt;/contributors&gt;&lt;added-date format="utc"&gt;1583683784&lt;/added-date&gt;&lt;ref-type name="Journal Article"&gt;17&lt;/ref-type&gt;&lt;dates&gt;&lt;year&gt;2004&lt;/year&gt;&lt;/dates&gt;&lt;rec-number&gt;691&lt;/rec-number&gt;&lt;last-updated-date format="utc"&gt;1583683784&lt;/last-updated-date&gt;&lt;electronic-resource-num&gt;10.1136/jnnp.2004.053413&lt;/electronic-resource-num&gt;&lt;volume&gt;75&lt;/volume&gt;&lt;/record&gt;&lt;/Cite&gt;&lt;/EndNote&gt;</w:instrText>
      </w:r>
      <w:r w:rsidRPr="009D4627">
        <w:fldChar w:fldCharType="separate"/>
      </w:r>
      <w:r w:rsidRPr="009D4627">
        <w:rPr>
          <w:noProof/>
        </w:rPr>
        <w:t>(Danchaivijitr &amp; Kennard, 2004)</w:t>
      </w:r>
      <w:r w:rsidRPr="009D4627">
        <w:fldChar w:fldCharType="end"/>
      </w:r>
      <w:r w:rsidRPr="009D4627">
        <w:t xml:space="preserve">. The slowing of saccades in one direction can be identified from the test by comparing each eye and each direction of </w:t>
      </w:r>
      <w:r w:rsidR="00944720" w:rsidRPr="009D4627">
        <w:t>saccadic</w:t>
      </w:r>
      <w:r w:rsidRPr="009D4627">
        <w:t xml:space="preserve"> movements. Furthermore, the accuracy of </w:t>
      </w:r>
      <w:r w:rsidR="00944720" w:rsidRPr="009D4627">
        <w:t>saccadic</w:t>
      </w:r>
      <w:r w:rsidRPr="009D4627">
        <w:t xml:space="preserve"> movement is demonstrated by the need for corrective saccades. </w:t>
      </w:r>
    </w:p>
    <w:p w14:paraId="19B8C9AF" w14:textId="3918C8FD" w:rsidR="00D80280" w:rsidRPr="009D4627" w:rsidRDefault="00D80280" w:rsidP="00D80280">
      <w:r w:rsidRPr="009D4627">
        <w:t xml:space="preserve">The finding of abnormal </w:t>
      </w:r>
      <w:r w:rsidR="00944720" w:rsidRPr="009D4627">
        <w:t>saccadic</w:t>
      </w:r>
      <w:r w:rsidRPr="009D4627">
        <w:t xml:space="preserve"> velocity can help the clinician to make a differential diagnosis between neurogenic and mechanical palsy </w:t>
      </w:r>
      <w:r w:rsidRPr="009D4627">
        <w:fldChar w:fldCharType="begin"/>
      </w:r>
      <w:r w:rsidRPr="009D4627">
        <w:instrText xml:space="preserve"> ADDIN EN.CITE &lt;EndNote&gt;&lt;Cite&gt;&lt;Author&gt;Danchaivijitr&lt;/Author&gt;&lt;Year&gt;2004&lt;/Year&gt;&lt;IDText&gt;Diplopia and eye movement disorders&lt;/IDText&gt;&lt;DisplayText&gt;(Danchaivijitr &amp;amp; Kennard, 2004)&lt;/DisplayText&gt;&lt;record&gt;&lt;keywords&gt;&lt;keyword&gt;Medicine&lt;/keyword&gt;&lt;/keywords&gt;&lt;isbn&gt;14737086&amp;#xD;00223050&lt;/isbn&gt;&lt;titles&gt;&lt;title&gt;Diplopia and eye movement disorders&lt;/title&gt;&lt;secondary-title&gt;Neurology in Practice&lt;/secondary-title&gt;&lt;/titles&gt;&lt;pages&gt;iv24-iv31&lt;/pages&gt;&lt;number&gt;4&lt;/number&gt;&lt;contributors&gt;&lt;authors&gt;&lt;author&gt;Danchaivijitr, C.&lt;/author&gt;&lt;author&gt;Kennard, C.&lt;/author&gt;&lt;/authors&gt;&lt;/contributors&gt;&lt;added-date format="utc"&gt;1583683784&lt;/added-date&gt;&lt;ref-type name="Journal Article"&gt;17&lt;/ref-type&gt;&lt;dates&gt;&lt;year&gt;2004&lt;/year&gt;&lt;/dates&gt;&lt;rec-number&gt;691&lt;/rec-number&gt;&lt;last-updated-date format="utc"&gt;1583683784&lt;/last-updated-date&gt;&lt;electronic-resource-num&gt;10.1136/jnnp.2004.053413&lt;/electronic-resource-num&gt;&lt;volume&gt;75&lt;/volume&gt;&lt;/record&gt;&lt;/Cite&gt;&lt;/EndNote&gt;</w:instrText>
      </w:r>
      <w:r w:rsidRPr="009D4627">
        <w:fldChar w:fldCharType="separate"/>
      </w:r>
      <w:r w:rsidRPr="009D4627">
        <w:rPr>
          <w:noProof/>
        </w:rPr>
        <w:t>(Danchaivijitr &amp; Kennard, 2004)</w:t>
      </w:r>
      <w:r w:rsidRPr="009D4627">
        <w:fldChar w:fldCharType="end"/>
      </w:r>
      <w:r w:rsidRPr="009D4627">
        <w:t xml:space="preserve">. If the </w:t>
      </w:r>
      <w:r w:rsidRPr="009D4627">
        <w:lastRenderedPageBreak/>
        <w:t xml:space="preserve">condition is neurogenic, the affected eye moves smoothly but progressively slower than the unaffected eye as the eyes move to the side of the palsy. However, in mechanical palsies, both affected and unaffected eyes move smoothly and symmetrical towards the side of the palsy, but the affected eye will demonstrate a sudden slowing movement when it reaches the obstruction point. It requires a well-trained examiner to detect the difference in velocity. A more invasive force-duction test might be required to differentiate between these two conditions if it remains uncertain.   </w:t>
      </w:r>
    </w:p>
    <w:p w14:paraId="3362F16C" w14:textId="41B2C211" w:rsidR="00547D87" w:rsidRPr="009D4627" w:rsidRDefault="00547D87" w:rsidP="00D04E3B">
      <w:pPr>
        <w:pStyle w:val="Heading2"/>
      </w:pPr>
      <w:bookmarkStart w:id="72" w:name="_Toc98964624"/>
      <w:bookmarkStart w:id="73" w:name="_Toc103344669"/>
      <w:r w:rsidRPr="009D4627">
        <w:t>Future requirements</w:t>
      </w:r>
      <w:bookmarkEnd w:id="72"/>
      <w:bookmarkEnd w:id="73"/>
    </w:p>
    <w:p w14:paraId="70A09ECE" w14:textId="4615AB57" w:rsidR="00041E24" w:rsidRPr="009D4627" w:rsidRDefault="00604E58" w:rsidP="00041E24">
      <w:r w:rsidRPr="00604E58">
        <w:t>The current clinical examination of ocular motility is difficult since it is dependent on the examiner's expertise and the cooperation of the patient, and the assessment is qualitative and subjective.</w:t>
      </w:r>
      <w:r>
        <w:t xml:space="preserve"> </w:t>
      </w:r>
      <w:r w:rsidR="00211E13" w:rsidRPr="009D4627">
        <w:t xml:space="preserve">Therefore, they do not assess any subtle changes in eye movements, allowing early identification of more sinister neurological signs. </w:t>
      </w:r>
      <w:r>
        <w:t>In addition, Jukes et al. (2021) reported that t</w:t>
      </w:r>
      <w:r w:rsidRPr="004E2DA6">
        <w:t xml:space="preserve">he main problems with these tests are that there is not enough time and there is not a standard way to test. </w:t>
      </w:r>
      <w:r w:rsidRPr="00041E24">
        <w:t>They are looking for a quicker, more portable instrument to aid in the clinical examination of eye movement problems</w:t>
      </w:r>
      <w:r>
        <w:t xml:space="preserve"> (Jukes et al., 2021)</w:t>
      </w:r>
      <w:r w:rsidRPr="00041E24">
        <w:t>.</w:t>
      </w:r>
      <w:r w:rsidRPr="009D4627">
        <w:t xml:space="preserve"> </w:t>
      </w:r>
      <w:r w:rsidR="00211E13" w:rsidRPr="009D4627">
        <w:t xml:space="preserve">Objective </w:t>
      </w:r>
      <w:r w:rsidR="00F937E9" w:rsidRPr="009D4627">
        <w:t>EMR</w:t>
      </w:r>
      <w:r w:rsidR="00211E13" w:rsidRPr="009D4627">
        <w:t>, capable of detecting small changes in the complex eye movement parameters, is needed to assist in making diagnoses</w:t>
      </w:r>
      <w:r w:rsidR="00547D87" w:rsidRPr="009D4627">
        <w:t xml:space="preserve">. </w:t>
      </w:r>
    </w:p>
    <w:p w14:paraId="7915FA5A" w14:textId="6132772A" w:rsidR="00211E13" w:rsidRPr="009D4627" w:rsidRDefault="00211E13" w:rsidP="00390EBC">
      <w:r w:rsidRPr="009D4627">
        <w:t xml:space="preserve">More detailed measurements are now possible with improved </w:t>
      </w:r>
      <w:r w:rsidR="00F937E9" w:rsidRPr="009D4627">
        <w:t>EMR</w:t>
      </w:r>
      <w:r w:rsidRPr="009D4627">
        <w:t xml:space="preserve"> technology. The currently emerging techniques in eye movement studies use the principle of a movement-dependent deficit, which involves continuously recording eye movements using an eye movement video recorder</w:t>
      </w:r>
      <w:r w:rsidR="00547D87" w:rsidRPr="009D4627">
        <w:t xml:space="preserve"> </w:t>
      </w:r>
      <w:r w:rsidR="00547D87" w:rsidRPr="009D4627">
        <w:fldChar w:fldCharType="begin"/>
      </w:r>
      <w:r w:rsidR="00C40138" w:rsidRPr="009D4627">
        <w:instrText xml:space="preserve"> ADDIN EN.CITE &lt;EndNote&gt;&lt;Cite&gt;&lt;Author&gt;Tegetmeyer&lt;/Author&gt;&lt;Year&gt;2002&lt;/Year&gt;&lt;IDText&gt;Smooth pursuit eye movements in patients with ocular motor nerve palsies: a preliminary report&lt;/IDText&gt;&lt;DisplayText&gt;(Tegetmeyer et al., 2002)&lt;/DisplayText&gt;&lt;record&gt;&lt;isbn&gt;0927-3972&lt;/isbn&gt;&lt;titles&gt;&lt;title&gt;Smooth pursuit eye movements in patients with ocular motor nerve palsies: a preliminary report&lt;/title&gt;&lt;secondary-title&gt;Strabismus&lt;/secondary-title&gt;&lt;/titles&gt;&lt;pages&gt;75-78&lt;/pages&gt;&lt;number&gt;2&lt;/number&gt;&lt;contributors&gt;&lt;authors&gt;&lt;author&gt;Tegetmeyer, H.&lt;/author&gt;&lt;author&gt;Blaschke, Th&lt;/author&gt;&lt;author&gt;Sterker, I.&lt;/author&gt;&lt;/authors&gt;&lt;/contributors&gt;&lt;added-date format="utc"&gt;1494500524&lt;/added-date&gt;&lt;pub-location&gt;[Buren, the Netherlands] :&lt;/pub-location&gt;&lt;ref-type name="Journal Article"&gt;17&lt;/ref-type&gt;&lt;dates&gt;&lt;year&gt;2002&lt;/year&gt;&lt;/dates&gt;&lt;rec-number&gt;72&lt;/rec-number&gt;&lt;last-updated-date format="utc"&gt;1494500524&lt;/last-updated-date&gt;&lt;volume&gt;10&lt;/volume&gt;&lt;/record&gt;&lt;/Cite&gt;&lt;/EndNote&gt;</w:instrText>
      </w:r>
      <w:r w:rsidR="00547D87" w:rsidRPr="009D4627">
        <w:fldChar w:fldCharType="separate"/>
      </w:r>
      <w:r w:rsidR="00C40138" w:rsidRPr="009D4627">
        <w:rPr>
          <w:noProof/>
        </w:rPr>
        <w:t>(Tegetmeyer et al., 2002)</w:t>
      </w:r>
      <w:r w:rsidR="00547D87" w:rsidRPr="009D4627">
        <w:fldChar w:fldCharType="end"/>
      </w:r>
      <w:r w:rsidR="00AE6F60" w:rsidRPr="009D4627">
        <w:t>,</w:t>
      </w:r>
      <w:r w:rsidR="00547D87" w:rsidRPr="009D4627">
        <w:t xml:space="preserve"> </w:t>
      </w:r>
      <w:r w:rsidRPr="009D4627">
        <w:t xml:space="preserve">a non-operator dependent device. It provides an accurate </w:t>
      </w:r>
      <w:r w:rsidR="00F937E9" w:rsidRPr="009D4627">
        <w:t>EMR</w:t>
      </w:r>
      <w:r w:rsidRPr="009D4627">
        <w:t xml:space="preserve"> using advanced technology to capture</w:t>
      </w:r>
      <w:r w:rsidR="00AE6F60" w:rsidRPr="009D4627">
        <w:t xml:space="preserve"> eye movement performance</w:t>
      </w:r>
      <w:r w:rsidRPr="009D4627">
        <w:t xml:space="preserve">, with </w:t>
      </w:r>
      <w:r w:rsidR="00AE6F60" w:rsidRPr="009D4627">
        <w:t xml:space="preserve">a </w:t>
      </w:r>
      <w:r w:rsidRPr="009D4627">
        <w:t xml:space="preserve">detailed spatial and temporal resolution, including eye position to target position, latency between target </w:t>
      </w:r>
      <w:r w:rsidRPr="009D4627">
        <w:lastRenderedPageBreak/>
        <w:t>motion and eye movement, eye velocity and gain</w:t>
      </w:r>
      <w:r w:rsidR="00547D87" w:rsidRPr="009D4627">
        <w:t xml:space="preserve"> </w:t>
      </w:r>
      <w:r w:rsidR="00547D87" w:rsidRPr="009D4627">
        <w:fldChar w:fldCharType="begin">
          <w:fldData xml:space="preserve">PEVuZE5vdGU+PENpdGU+PEF1dGhvcj5XYWRlPC9BdXRob3I+PFllYXI+MjAxMDwvWWVhcj48SURU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</w:fldData>
        </w:fldChar>
      </w:r>
      <w:r w:rsidR="00376CCD" w:rsidRPr="009D4627">
        <w:instrText xml:space="preserve"> ADDIN EN.CITE </w:instrText>
      </w:r>
      <w:r w:rsidR="00376CCD" w:rsidRPr="009D4627">
        <w:fldChar w:fldCharType="begin">
          <w:fldData xml:space="preserve">PEVuZE5vdGU+PENpdGU+PEF1dGhvcj5XYWRlPC9BdXRob3I+PFllYXI+MjAxMDwvWWVhcj48SURU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</w:fldData>
        </w:fldChar>
      </w:r>
      <w:r w:rsidR="00376CCD" w:rsidRPr="009D4627">
        <w:instrText xml:space="preserve"> ADDIN EN.CITE.DATA </w:instrText>
      </w:r>
      <w:r w:rsidR="00376CCD" w:rsidRPr="009D4627">
        <w:fldChar w:fldCharType="end"/>
      </w:r>
      <w:r w:rsidR="00547D87" w:rsidRPr="009D4627">
        <w:fldChar w:fldCharType="separate"/>
      </w:r>
      <w:r w:rsidR="00376CCD" w:rsidRPr="009D4627">
        <w:rPr>
          <w:noProof/>
        </w:rPr>
        <w:t>(Bedell &amp; Stevenson, 2013; Wade, 2010)</w:t>
      </w:r>
      <w:r w:rsidR="00547D87" w:rsidRPr="009D4627">
        <w:fldChar w:fldCharType="end"/>
      </w:r>
      <w:r w:rsidR="00547D87" w:rsidRPr="009D4627">
        <w:t xml:space="preserve">. </w:t>
      </w:r>
      <w:r w:rsidR="00AE6F60" w:rsidRPr="009D4627">
        <w:t xml:space="preserve">Thus, it improves reliability in documenting eye movement performance and ultimately reduces physician bias and variability. </w:t>
      </w:r>
      <w:r w:rsidRPr="009D4627">
        <w:t xml:space="preserve">Additionally, it provides a permanent record, which is vital for monitoring disease progression. The potential and significance of objective </w:t>
      </w:r>
      <w:r w:rsidR="00F937E9" w:rsidRPr="009D4627">
        <w:t>EMR</w:t>
      </w:r>
      <w:r w:rsidRPr="009D4627">
        <w:t xml:space="preserve"> in the eye clinic are thought to help in </w:t>
      </w:r>
      <w:r w:rsidR="00AE6F60" w:rsidRPr="009D4627">
        <w:t>various</w:t>
      </w:r>
      <w:r w:rsidRPr="009D4627">
        <w:t xml:space="preserve"> clinical situations</w:t>
      </w:r>
      <w:r w:rsidR="00547D87" w:rsidRPr="009D4627">
        <w:t xml:space="preserve"> </w:t>
      </w:r>
      <w:r w:rsidR="00547D87" w:rsidRPr="009D4627">
        <w:fldChar w:fldCharType="begin"/>
      </w:r>
      <w:r w:rsidR="00C40138" w:rsidRPr="009D4627">
        <w:instrText xml:space="preserve"> ADDIN EN.CITE &lt;EndNote&gt;&lt;Cite&gt;&lt;Author&gt;Clark&lt;/Author&gt;&lt;Year&gt;2019&lt;/Year&gt;&lt;IDText&gt;The potential and value of objective eye tracking in the ophthalmology clinic&lt;/IDText&gt;&lt;DisplayText&gt;(Clark et al., 2019)&lt;/DisplayText&gt;&lt;record&gt;&lt;isbn&gt;0950222X&lt;/isbn&gt;&lt;titles&gt;&lt;title&gt;The potential and value of objective eye tracking in the ophthalmology clinic&lt;/title&gt;&lt;secondary-title&gt;Eye&lt;/secondary-title&gt;&lt;/titles&gt;&lt;pages&gt;1200-1202&lt;/pages&gt;&lt;number&gt;8&lt;/number&gt;&lt;contributors&gt;&lt;authors&gt;&lt;author&gt;Clark, Rosie&lt;/author&gt;&lt;author&gt;Blundell, James&lt;/author&gt;&lt;author&gt;Dunn, Matt&lt;/author&gt;&lt;author&gt;Erichsen, Jonathan&lt;/author&gt;&lt;author&gt;Giardini, Mario&lt;/author&gt;&lt;author&gt;Gottlob, Irene&lt;/author&gt;&lt;author&gt;Harris, Chris&lt;/author&gt;&lt;author&gt;Lee, Helena&lt;/author&gt;&lt;author&gt;Lee, Mcilreavy&lt;/author&gt;&lt;author&gt;Olson, Andrew&lt;/author&gt;&lt;author&gt;Self, Jay&lt;/author&gt;&lt;author&gt;Vinuela-Navarro, Valldeflors&lt;/author&gt;&lt;author&gt;Waddington, Jonathan&lt;/author&gt;&lt;author&gt;Woodhouse, J.&lt;/author&gt;&lt;author&gt;Gilchrist, Iain&lt;/author&gt;&lt;author&gt;Williams, Cathy&lt;/author&gt;&lt;/authors&gt;&lt;/contributors&gt;&lt;added-date format="utc"&gt;1571826965&lt;/added-date&gt;&lt;pub-location&gt;London&lt;/pub-location&gt;&lt;ref-type name="Journal Article"&gt;17&lt;/ref-type&gt;&lt;dates&gt;&lt;year&gt;2019&lt;/year&gt;&lt;/dates&gt;&lt;rec-number&gt;607&lt;/rec-number&gt;&lt;last-updated-date format="utc"&gt;1571826965&lt;/last-updated-date&gt;&lt;electronic-resource-num&gt;10.1038/s41433-019-0417-z&lt;/electronic-resource-num&gt;&lt;volume&gt;33&lt;/volume&gt;&lt;/record&gt;&lt;/Cite&gt;&lt;/EndNote&gt;</w:instrText>
      </w:r>
      <w:r w:rsidR="00547D87" w:rsidRPr="009D4627">
        <w:fldChar w:fldCharType="separate"/>
      </w:r>
      <w:r w:rsidR="00C40138" w:rsidRPr="009D4627">
        <w:rPr>
          <w:noProof/>
        </w:rPr>
        <w:t>(Clark et al., 2019)</w:t>
      </w:r>
      <w:r w:rsidR="00547D87" w:rsidRPr="009D4627">
        <w:fldChar w:fldCharType="end"/>
      </w:r>
      <w:r w:rsidR="00547D87" w:rsidRPr="009D4627">
        <w:t xml:space="preserve">. </w:t>
      </w:r>
      <w:r w:rsidRPr="009D4627">
        <w:t>Hence, it could be established as a routine part of clinical investigation, at least in tertiary centres.</w:t>
      </w:r>
    </w:p>
    <w:p w14:paraId="04B45D78" w14:textId="4ADC426D" w:rsidR="00547D87" w:rsidRPr="009D4627" w:rsidRDefault="00547D87" w:rsidP="00D04E3B">
      <w:pPr>
        <w:pStyle w:val="Heading2"/>
      </w:pPr>
      <w:bookmarkStart w:id="74" w:name="_Toc98964625"/>
      <w:bookmarkStart w:id="75" w:name="_Toc103344670"/>
      <w:r w:rsidRPr="009D4627">
        <w:t>E</w:t>
      </w:r>
      <w:r w:rsidR="00BD5064" w:rsidRPr="009D4627">
        <w:t>MR</w:t>
      </w:r>
      <w:bookmarkEnd w:id="74"/>
      <w:bookmarkEnd w:id="75"/>
    </w:p>
    <w:p w14:paraId="3FC0045C" w14:textId="455B18B7" w:rsidR="00547D87" w:rsidRPr="009D4627" w:rsidRDefault="00211E13" w:rsidP="00390EBC">
      <w:r w:rsidRPr="009D4627">
        <w:t>There is potential in the coming years for rapid growth in the detail of the investigation of ocular motor deficiencies within clinical practice. Previous studies</w:t>
      </w:r>
      <w:r w:rsidRPr="009D4627">
        <w:rPr>
          <w:color w:val="000000"/>
        </w:rPr>
        <w:t xml:space="preserve"> reported the significance of </w:t>
      </w:r>
      <w:r w:rsidR="00F937E9" w:rsidRPr="009D4627">
        <w:rPr>
          <w:color w:val="000000"/>
        </w:rPr>
        <w:t>EMR</w:t>
      </w:r>
      <w:r w:rsidRPr="009D4627">
        <w:rPr>
          <w:color w:val="000000"/>
        </w:rPr>
        <w:t xml:space="preserve"> to assist in diagnosing and managing neurodegenerative disorders</w:t>
      </w:r>
      <w:r w:rsidR="00547D87" w:rsidRPr="009D4627">
        <w:rPr>
          <w:color w:val="000000"/>
        </w:rPr>
        <w:t xml:space="preserve"> </w:t>
      </w:r>
      <w:r w:rsidR="00547D87" w:rsidRPr="009D4627">
        <w:rPr>
          <w:color w:val="000000"/>
        </w:rPr>
        <w:fldChar w:fldCharType="begin"/>
      </w:r>
      <w:r w:rsidR="00945A16" w:rsidRPr="009D4627">
        <w:rPr>
          <w:color w:val="000000"/>
        </w:rPr>
        <w:instrText xml:space="preserve"> ADDIN EN.CITE &lt;EndNote&gt;&lt;Cite&gt;&lt;Author&gt;Pinkhardt&lt;/Author&gt;&lt;Year&gt;2008&lt;/Year&gt;&lt;IDText&gt;Differential diagnostic value of eye movement recording in PSP-parkinsonism, Richardson&amp;apos;s syndrome, and idiopathic Parkinson&amp;apos;s disease&lt;/IDText&gt;&lt;DisplayText&gt;(Pinkhardt et al., 2008)&lt;/DisplayText&gt;&lt;record&gt;&lt;keywords&gt;&lt;keyword&gt;Adult–Physiology&lt;/keyword&gt;&lt;keyword&gt;Aged–Diagnosis&lt;/keyword&gt;&lt;keyword&gt;Diagnosis, Differential–Physiopathology&lt;/keyword&gt;&lt;keyword&gt;Eye Movements–Diagnosis&lt;/keyword&gt;&lt;keyword&gt;Humans–Physiopathology&lt;/keyword&gt;&lt;keyword&gt;Middle Aged–Diagnosis&lt;/keyword&gt;&lt;keyword&gt;Parkinson Disease–Physiopathology&lt;/keyword&gt;&lt;keyword&gt;Parkinsonian Disorders–Methods&lt;/keyword&gt;&lt;keyword&gt;Supranuclear Palsy, Progressive–Methods&lt;/keyword&gt;&lt;keyword&gt;Video Recording–Methods&lt;/keyword&gt;&lt;/keywords&gt;&lt;isbn&gt;03405354&lt;/isbn&gt;&lt;titles&gt;&lt;title&gt;Differential diagnostic value of eye movement recording in PSP-parkinsonism, Richardson&amp;apos;s syndrome, and idiopathic Parkinson&amp;apos;s disease&lt;/title&gt;&lt;secondary-title&gt;Journal of neurology&lt;/secondary-title&gt;&lt;/titles&gt;&lt;pages&gt;1916-1925&lt;/pages&gt;&lt;number&gt;12&lt;/number&gt;&lt;contributors&gt;&lt;authors&gt;&lt;author&gt;Pinkhardt, Elmar H.&lt;/author&gt;&lt;author&gt;Jürgens, Reinhart&lt;/author&gt;&lt;author&gt;Becker, Wolfgang&lt;/author&gt;&lt;author&gt;Valdarno, Federica&lt;/author&gt;&lt;author&gt;Ludolph, Albert C.&lt;/author&gt;&lt;author&gt;Kassubek, Jan&lt;/author&gt;&lt;/authors&gt;&lt;/contributors&gt;&lt;added-date format="utc"&gt;1572008421&lt;/added-date&gt;&lt;ref-type name="Journal Article"&gt;17&lt;/ref-type&gt;&lt;dates&gt;&lt;year&gt;2008&lt;/year&gt;&lt;/dates&gt;&lt;rec-number&gt;617&lt;/rec-number&gt;&lt;last-updated-date format="utc"&gt;1572008421&lt;/last-updated-date&gt;&lt;contributors&gt;&lt;secondary-authors&gt;&lt;author&gt;Pinkhardt, Elmar H.&lt;/author&gt;&lt;/secondary-authors&gt;&lt;/contributors&gt;&lt;electronic-resource-num&gt;10.1007/s00415-009-0027-y&lt;/electronic-resource-num&gt;&lt;volume&gt;255&lt;/volume&gt;&lt;/record&gt;&lt;/Cite&gt;&lt;/EndNote&gt;</w:instrText>
      </w:r>
      <w:r w:rsidR="00547D87" w:rsidRPr="009D4627">
        <w:rPr>
          <w:color w:val="000000"/>
        </w:rPr>
        <w:fldChar w:fldCharType="separate"/>
      </w:r>
      <w:r w:rsidR="00945A16" w:rsidRPr="009D4627">
        <w:rPr>
          <w:noProof/>
          <w:color w:val="000000"/>
        </w:rPr>
        <w:t>(Pinkhardt et al., 2008)</w:t>
      </w:r>
      <w:r w:rsidR="00547D87" w:rsidRPr="009D4627">
        <w:rPr>
          <w:color w:val="000000"/>
        </w:rPr>
        <w:fldChar w:fldCharType="end"/>
      </w:r>
      <w:r w:rsidR="00547D87" w:rsidRPr="009D4627">
        <w:rPr>
          <w:color w:val="000000"/>
        </w:rPr>
        <w:t xml:space="preserve">, congenital or childhood nystagmus </w:t>
      </w:r>
      <w:r w:rsidR="00547D87" w:rsidRPr="009D4627">
        <w:rPr>
          <w:color w:val="000000"/>
        </w:rPr>
        <w:fldChar w:fldCharType="begin"/>
      </w:r>
      <w:r w:rsidR="00547D87" w:rsidRPr="009D4627">
        <w:rPr>
          <w:color w:val="000000"/>
        </w:rPr>
        <w:instrText xml:space="preserve"> ADDIN EN.CITE &lt;EndNote&gt;&lt;Cite&gt;&lt;Author&gt;Hussain&lt;/Author&gt;&lt;Year&gt;2016&lt;/Year&gt;&lt;IDText&gt;Diagnosis, assessment and management of nystagmus in childhood&lt;/IDText&gt;&lt;DisplayText&gt;(Hussain, 2016)&lt;/DisplayText&gt;&lt;record&gt;&lt;keywords&gt;&lt;keyword&gt;Abnormal Head Posture&lt;/keyword&gt;&lt;keyword&gt;Acquired Nystagmus&lt;/keyword&gt;&lt;keyword&gt;Albinism&lt;/keyword&gt;&lt;keyword&gt;Infantile Nystagmus&lt;/keyword&gt;&lt;keyword&gt;Nystagmus&lt;/keyword&gt;&lt;keyword&gt;Spasmus Nutans&lt;/keyword&gt;&lt;keyword&gt;Medicine&lt;/keyword&gt;&lt;/keywords&gt;&lt;isbn&gt;1751-7222&lt;/isbn&gt;&lt;titles&gt;&lt;title&gt;Diagnosis, assessment and management of nystagmus in childhood&lt;/title&gt;&lt;secondary-title&gt;Paediatrics and Child Health&lt;/secondary-title&gt;&lt;/titles&gt;&lt;pages&gt;31-36&lt;/pages&gt;&lt;number&gt;1&lt;/number&gt;&lt;contributors&gt;&lt;authors&gt;&lt;author&gt;Hussain, Nahin&lt;/author&gt;&lt;/authors&gt;&lt;/contributors&gt;&lt;added-date format="utc"&gt;1571995724&lt;/added-date&gt;&lt;ref-type name="Journal Article"&gt;17&lt;/ref-type&gt;&lt;dates&gt;&lt;year&gt;2016&lt;/year&gt;&lt;/dates&gt;&lt;rec-number&gt;609&lt;/rec-number&gt;&lt;last-updated-date format="utc"&gt;1571995724&lt;/last-updated-date&gt;&lt;electronic-resource-num&gt;10.1016/j.paed.2015.09.009&lt;/electronic-resource-num&gt;&lt;volume&gt;26&lt;/volume&gt;&lt;/record&gt;&lt;/Cite&gt;&lt;/EndNote&gt;</w:instrText>
      </w:r>
      <w:r w:rsidR="00547D87" w:rsidRPr="009D4627">
        <w:rPr>
          <w:color w:val="000000"/>
        </w:rPr>
        <w:fldChar w:fldCharType="separate"/>
      </w:r>
      <w:r w:rsidR="00547D87" w:rsidRPr="009D4627">
        <w:rPr>
          <w:noProof/>
          <w:color w:val="000000"/>
        </w:rPr>
        <w:t>(Hussain, 2016)</w:t>
      </w:r>
      <w:r w:rsidR="00547D87" w:rsidRPr="009D4627">
        <w:rPr>
          <w:color w:val="000000"/>
        </w:rPr>
        <w:fldChar w:fldCharType="end"/>
      </w:r>
      <w:r w:rsidR="00547D87" w:rsidRPr="009D4627">
        <w:rPr>
          <w:color w:val="000000"/>
        </w:rPr>
        <w:t xml:space="preserve"> and psychiatr</w:t>
      </w:r>
      <w:r w:rsidRPr="009D4627">
        <w:rPr>
          <w:color w:val="000000"/>
        </w:rPr>
        <w:t>ic</w:t>
      </w:r>
      <w:r w:rsidR="00547D87" w:rsidRPr="009D4627">
        <w:rPr>
          <w:color w:val="000000"/>
        </w:rPr>
        <w:t xml:space="preserve"> disorders  </w:t>
      </w:r>
      <w:r w:rsidR="00547D87" w:rsidRPr="009D4627">
        <w:rPr>
          <w:color w:val="000000"/>
        </w:rPr>
        <w:fldChar w:fldCharType="begin"/>
      </w:r>
      <w:r w:rsidR="00C40138" w:rsidRPr="009D4627">
        <w:rPr>
          <w:color w:val="000000"/>
        </w:rPr>
        <w:instrText xml:space="preserve"> ADDIN EN.CITE &lt;EndNote&gt;&lt;Cite&gt;&lt;Author&gt;Abel&lt;/Author&gt;&lt;Year&gt;1991&lt;/Year&gt;&lt;IDText&gt;Quantitative assessment of smooth pursuit gain and catch- up saccades in schizophrenia and affective disorders&lt;/IDText&gt;&lt;DisplayText&gt;(Abel et al., 1991)&lt;/DisplayText&gt;&lt;record&gt;&lt;keywords&gt;&lt;keyword&gt;Pursuit, Smooth&lt;/keyword&gt;&lt;keyword&gt;Reaction Time&lt;/keyword&gt;&lt;keyword&gt;Saccades&lt;/keyword&gt;&lt;keyword&gt;Schizophrenic Psychology&lt;/keyword&gt;&lt;keyword&gt;Bipolar Disorder -- Diagnosis&lt;/keyword&gt;&lt;keyword&gt;Depressive Disorder -- Diagnosis&lt;/keyword&gt;&lt;keyword&gt;Schizophrenia -- Diagnosis&lt;/keyword&gt;&lt;/keywords&gt;&lt;isbn&gt;0006-3223&lt;/isbn&gt;&lt;titles&gt;&lt;title&gt;Quantitative assessment of smooth pursuit gain and catch- up saccades in schizophrenia and affective disorders&lt;/title&gt;&lt;secondary-title&gt;Biological Psychiatry&lt;/secondary-title&gt;&lt;/titles&gt;&lt;pages&gt;1063-1072&lt;/pages&gt;&lt;number&gt;11&lt;/number&gt;&lt;contributors&gt;&lt;authors&gt;&lt;author&gt;Abel, L. A.&lt;/author&gt;&lt;author&gt;Friedman, L.&lt;/author&gt;&lt;author&gt;Jesberger, J.&lt;/author&gt;&lt;author&gt;Malki, A.&lt;/author&gt;&lt;author&gt;Meltzer, H. Y.&lt;/author&gt;&lt;/authors&gt;&lt;/contributors&gt;&lt;added-date format="utc"&gt;1518372006&lt;/added-date&gt;&lt;ref-type name="Journal Article"&gt;17&lt;/ref-type&gt;&lt;dates&gt;&lt;year&gt;1991&lt;/year&gt;&lt;/dates&gt;&lt;rec-number&gt;205&lt;/rec-number&gt;&lt;last-updated-date format="utc"&gt;1518372006&lt;/last-updated-date&gt;&lt;electronic-resource-num&gt;10.1016/0006-3223(91)90248-K&lt;/electronic-resource-num&gt;&lt;volume&gt;29&lt;/volume&gt;&lt;/record&gt;&lt;/Cite&gt;&lt;/EndNote&gt;</w:instrText>
      </w:r>
      <w:r w:rsidR="00547D87" w:rsidRPr="009D4627">
        <w:rPr>
          <w:color w:val="000000"/>
        </w:rPr>
        <w:fldChar w:fldCharType="separate"/>
      </w:r>
      <w:r w:rsidR="00C40138" w:rsidRPr="009D4627">
        <w:rPr>
          <w:noProof/>
          <w:color w:val="000000"/>
        </w:rPr>
        <w:t>(Abel et al., 1991)</w:t>
      </w:r>
      <w:r w:rsidR="00547D87" w:rsidRPr="009D4627">
        <w:rPr>
          <w:color w:val="000000"/>
        </w:rPr>
        <w:fldChar w:fldCharType="end"/>
      </w:r>
      <w:r w:rsidR="00547D87" w:rsidRPr="009D4627">
        <w:rPr>
          <w:color w:val="000000"/>
        </w:rPr>
        <w:t xml:space="preserve">. A </w:t>
      </w:r>
      <w:r w:rsidR="00AE6F60" w:rsidRPr="009D4627">
        <w:rPr>
          <w:color w:val="000000"/>
        </w:rPr>
        <w:t>wid</w:t>
      </w:r>
      <w:r w:rsidR="00547D87" w:rsidRPr="009D4627">
        <w:rPr>
          <w:color w:val="000000"/>
        </w:rPr>
        <w:t xml:space="preserve">e choice of high-resolution video-based infrared eye-tracking devices is now available and becoming affordable, allowing easy and non-invasive recording </w:t>
      </w:r>
      <w:r w:rsidR="00547D87" w:rsidRPr="009D4627">
        <w:rPr>
          <w:color w:val="000000"/>
        </w:rPr>
        <w:fldChar w:fldCharType="begin">
          <w:fldData xml:space="preserve">PEVuZE5vdGU+PENpdGU+PEF1dGhvcj5Cb25uZXQ8L0F1dGhvcj48WWVhcj4yMDEzPC9ZZWFyPjxJ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</w:fldData>
        </w:fldChar>
      </w:r>
      <w:r w:rsidR="00945A16" w:rsidRPr="009D4627">
        <w:rPr>
          <w:color w:val="000000"/>
        </w:rPr>
        <w:instrText xml:space="preserve"> ADDIN EN.CITE </w:instrText>
      </w:r>
      <w:r w:rsidR="00945A16" w:rsidRPr="009D4627">
        <w:rPr>
          <w:color w:val="000000"/>
        </w:rPr>
        <w:fldChar w:fldCharType="begin">
          <w:fldData xml:space="preserve">PEVuZE5vdGU+PENpdGU+PEF1dGhvcj5Cb25uZXQ8L0F1dGhvcj48WWVhcj4yMDEzPC9ZZWFyPjxJ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</w:fldData>
        </w:fldChar>
      </w:r>
      <w:r w:rsidR="00945A16" w:rsidRPr="009D4627">
        <w:rPr>
          <w:color w:val="000000"/>
        </w:rPr>
        <w:instrText xml:space="preserve"> ADDIN EN.CITE.DATA </w:instrText>
      </w:r>
      <w:r w:rsidR="00945A16" w:rsidRPr="009D4627">
        <w:rPr>
          <w:color w:val="000000"/>
        </w:rPr>
      </w:r>
      <w:r w:rsidR="00945A16" w:rsidRPr="009D4627">
        <w:rPr>
          <w:color w:val="000000"/>
        </w:rPr>
        <w:fldChar w:fldCharType="end"/>
      </w:r>
      <w:r w:rsidR="00547D87" w:rsidRPr="009D4627">
        <w:rPr>
          <w:color w:val="000000"/>
        </w:rPr>
      </w:r>
      <w:r w:rsidR="00547D87" w:rsidRPr="009D4627">
        <w:rPr>
          <w:color w:val="000000"/>
        </w:rPr>
        <w:fldChar w:fldCharType="separate"/>
      </w:r>
      <w:r w:rsidR="00945A16" w:rsidRPr="009D4627">
        <w:rPr>
          <w:noProof/>
          <w:color w:val="000000"/>
        </w:rPr>
        <w:t>(Bonnet et al., 2013)</w:t>
      </w:r>
      <w:r w:rsidR="00547D87" w:rsidRPr="009D4627">
        <w:rPr>
          <w:color w:val="000000"/>
        </w:rPr>
        <w:fldChar w:fldCharType="end"/>
      </w:r>
      <w:r w:rsidR="00547D87" w:rsidRPr="009D4627">
        <w:rPr>
          <w:color w:val="000000"/>
        </w:rPr>
        <w:t xml:space="preserve">. </w:t>
      </w:r>
      <w:r w:rsidR="00547D87" w:rsidRPr="009D4627">
        <w:t xml:space="preserve">It is crucial to consider the reliability and acceptability of recording devices available in the market. Moreover, the purpose and the likely implementation of eye recording within a clinical setting need to be clarified. The literature on </w:t>
      </w:r>
      <w:r w:rsidR="00F937E9" w:rsidRPr="009D4627">
        <w:t>EMR</w:t>
      </w:r>
      <w:r w:rsidR="00547D87" w:rsidRPr="009D4627">
        <w:t xml:space="preserve"> methods will therefore be reviewed here.</w:t>
      </w:r>
    </w:p>
    <w:p w14:paraId="3345E72E" w14:textId="77777777" w:rsidR="00547D87" w:rsidRPr="009D4627" w:rsidRDefault="00547D87" w:rsidP="00DC4CA6">
      <w:pPr>
        <w:pStyle w:val="Heading3"/>
      </w:pPr>
      <w:bookmarkStart w:id="76" w:name="_Toc98964626"/>
      <w:bookmarkStart w:id="77" w:name="_Toc103344671"/>
      <w:r w:rsidRPr="009D4627">
        <w:t>Review of objective eye recording methods</w:t>
      </w:r>
      <w:bookmarkEnd w:id="76"/>
      <w:bookmarkEnd w:id="77"/>
    </w:p>
    <w:p w14:paraId="1293DE91" w14:textId="64F2DB9C" w:rsidR="00547D87" w:rsidRPr="009D4627" w:rsidRDefault="00547D87" w:rsidP="00390EBC">
      <w:r w:rsidRPr="009D4627">
        <w:t>Until recently, the gold standard method in research lab</w:t>
      </w:r>
      <w:r w:rsidR="00211E13" w:rsidRPr="009D4627">
        <w:t>oratorie</w:t>
      </w:r>
      <w:r w:rsidRPr="009D4627">
        <w:t>s for recording eye movements was the magnetic scleral search coil</w:t>
      </w:r>
      <w:r w:rsidR="002F1515" w:rsidRPr="009D4627">
        <w:t>,</w:t>
      </w:r>
      <w:r w:rsidRPr="009D4627">
        <w:t xml:space="preserve"> as shown in Figure 1.1</w:t>
      </w:r>
      <w:r w:rsidR="00327717" w:rsidRPr="009D4627">
        <w:t>2</w:t>
      </w:r>
      <w:r w:rsidRPr="009D4627">
        <w:t xml:space="preserve"> </w:t>
      </w:r>
      <w:r w:rsidRPr="009D4627">
        <w:fldChar w:fldCharType="begin"/>
      </w:r>
      <w:r w:rsidR="00C40138" w:rsidRPr="009D4627">
        <w:instrText xml:space="preserve"> ADDIN EN.CITE &lt;EndNote&gt;&lt;Cite&gt;&lt;Author&gt;Collewijn&lt;/Author&gt;&lt;Year&gt;1975&lt;/Year&gt;&lt;IDText&gt;Precise recording of human eye movements&lt;/IDText&gt;&lt;DisplayText&gt;(Collewijn et al., 1975)&lt;/DisplayText&gt;&lt;record&gt;&lt;isbn&gt;0042-6989&lt;/isbn&gt;&lt;titles&gt;&lt;title&gt;Precise recording of human eye movements&lt;/title&gt;&lt;secondary-title&gt;Vision Research&lt;/secondary-title&gt;&lt;/titles&gt;&lt;pages&gt;447,IN5-450,IN5&lt;/pages&gt;&lt;number&gt;3&lt;/number&gt;&lt;contributors&gt;&lt;authors&gt;&lt;author&gt;Collewijn, H.&lt;/author&gt;&lt;author&gt;van Der Mark, F.&lt;/author&gt;&lt;author&gt;Jansen, T. C.&lt;/author&gt;&lt;/authors&gt;&lt;/contributors&gt;&lt;added-date format="utc"&gt;1490288480&lt;/added-date&gt;&lt;ref-type name="Journal Article"&gt;17&lt;/ref-type&gt;&lt;dates&gt;&lt;year&gt;1975&lt;/year&gt;&lt;/dates&gt;&lt;rec-number&gt;22&lt;/rec-number&gt;&lt;last-updated-date format="utc"&gt;1490288480&lt;/last-updated-date&gt;&lt;electronic-resource-num&gt;10.1016/0042-6989(75)90098-X&lt;/electronic-resource-num&gt;&lt;volume&gt;15&lt;/volume&gt;&lt;/record&gt;&lt;/Cite&gt;&lt;/EndNote&gt;</w:instrText>
      </w:r>
      <w:r w:rsidRPr="009D4627">
        <w:fldChar w:fldCharType="separate"/>
      </w:r>
      <w:r w:rsidR="00C40138" w:rsidRPr="009D4627">
        <w:rPr>
          <w:noProof/>
        </w:rPr>
        <w:t>(Collewijn et al., 1975)</w:t>
      </w:r>
      <w:r w:rsidRPr="009D4627">
        <w:fldChar w:fldCharType="end"/>
      </w:r>
      <w:r w:rsidR="002F1515" w:rsidRPr="009D4627">
        <w:t xml:space="preserve">. The </w:t>
      </w:r>
      <w:r w:rsidRPr="009D4627">
        <w:t>system provides high-resolution</w:t>
      </w:r>
      <w:r w:rsidR="002F1515" w:rsidRPr="009D4627">
        <w:t xml:space="preserve"> recordings</w:t>
      </w:r>
      <w:r w:rsidRPr="009D4627">
        <w:t>,</w:t>
      </w:r>
      <w:r w:rsidR="002F1515" w:rsidRPr="009D4627">
        <w:t xml:space="preserve"> </w:t>
      </w:r>
      <w:r w:rsidR="00AE6F60" w:rsidRPr="009D4627">
        <w:t xml:space="preserve">can measure horizontal, vertical and </w:t>
      </w:r>
      <w:proofErr w:type="spellStart"/>
      <w:r w:rsidR="00AE6F60" w:rsidRPr="009D4627">
        <w:t>cyclo</w:t>
      </w:r>
      <w:proofErr w:type="spellEnd"/>
      <w:r w:rsidR="00AE6F60" w:rsidRPr="009D4627">
        <w:t xml:space="preserve"> rotations, and has a pre-calibration procedure that</w:t>
      </w:r>
      <w:r w:rsidRPr="009D4627">
        <w:t xml:space="preserve"> requires no complex calibration.</w:t>
      </w:r>
    </w:p>
    <w:p w14:paraId="30AEA4E6" w14:textId="56C6E0DB" w:rsidR="001808A8" w:rsidRPr="009D4627" w:rsidRDefault="001808A8" w:rsidP="00390EBC">
      <w:r w:rsidRPr="009D4627">
        <w:rPr>
          <w:noProof/>
          <w:lang w:val="en-US"/>
        </w:rPr>
        <w:lastRenderedPageBreak/>
        <w:drawing>
          <wp:anchor distT="0" distB="0" distL="114300" distR="114300" simplePos="0" relativeHeight="251438592" behindDoc="1" locked="0" layoutInCell="1" allowOverlap="1" wp14:anchorId="3A98F096" wp14:editId="17A0CAB9">
            <wp:simplePos x="0" y="0"/>
            <wp:positionH relativeFrom="margin">
              <wp:align>center</wp:align>
            </wp:positionH>
            <wp:positionV relativeFrom="paragraph">
              <wp:posOffset>0</wp:posOffset>
            </wp:positionV>
            <wp:extent cx="1812773" cy="1695450"/>
            <wp:effectExtent l="0" t="0" r="0" b="0"/>
            <wp:wrapTight wrapText="bothSides">
              <wp:wrapPolygon edited="0">
                <wp:start x="0" y="0"/>
                <wp:lineTo x="0" y="21357"/>
                <wp:lineTo x="21343" y="21357"/>
                <wp:lineTo x="21343" y="0"/>
                <wp:lineTo x="0" y="0"/>
              </wp:wrapPolygon>
            </wp:wrapTight>
            <wp:docPr id="410" name="Picture 410" descr="C:\Users\noor\AppData\Local\Microsoft\Windows\INetCache\Content.Word\search co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noor\AppData\Local\Microsoft\Windows\INetCache\Content.Word\search coil.jpeg"/>
                    <pic:cNvPicPr>
                      <a:picLocks noChangeAspect="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1812773" cy="1695450"/>
                    </a:xfrm>
                    <a:prstGeom prst="rect">
                      <a:avLst/>
                    </a:prstGeom>
                    <a:noFill/>
                    <a:ln>
                      <a:noFill/>
                    </a:ln>
                  </pic:spPr>
                </pic:pic>
              </a:graphicData>
            </a:graphic>
          </wp:anchor>
        </w:drawing>
      </w:r>
    </w:p>
    <w:p w14:paraId="0434D480" w14:textId="2F9A3F44" w:rsidR="001808A8" w:rsidRPr="009D4627" w:rsidRDefault="001808A8" w:rsidP="00390EBC"/>
    <w:p w14:paraId="4DCE1846" w14:textId="60F7F5AA" w:rsidR="00547D87" w:rsidRPr="009D4627" w:rsidRDefault="00547D87" w:rsidP="00D46323">
      <w:pPr>
        <w:spacing w:line="240" w:lineRule="auto"/>
      </w:pPr>
    </w:p>
    <w:p w14:paraId="239864EF" w14:textId="77777777" w:rsidR="00E1356D" w:rsidRPr="009D4627" w:rsidRDefault="00E1356D" w:rsidP="00E1356D">
      <w:pPr>
        <w:spacing w:before="0" w:after="0" w:line="240" w:lineRule="auto"/>
      </w:pPr>
    </w:p>
    <w:p w14:paraId="768606B9" w14:textId="457FFB0A" w:rsidR="00547D87" w:rsidRPr="009D4627" w:rsidRDefault="00327717" w:rsidP="00C4130D">
      <w:pPr>
        <w:pStyle w:val="Caption"/>
      </w:pPr>
      <w:bookmarkStart w:id="78" w:name="_Toc73609241"/>
      <w:bookmarkStart w:id="79" w:name="_Toc73804903"/>
      <w:bookmarkStart w:id="80" w:name="_Toc98570013"/>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12</w:t>
      </w:r>
      <w:r w:rsidR="002E63E9" w:rsidRPr="009D4627">
        <w:rPr>
          <w:noProof/>
        </w:rPr>
        <w:fldChar w:fldCharType="end"/>
      </w:r>
      <w:r w:rsidRPr="009D4627">
        <w:t xml:space="preserve">: </w:t>
      </w:r>
      <w:r w:rsidR="00547D87" w:rsidRPr="009D4627">
        <w:t>Experimental set</w:t>
      </w:r>
      <w:r w:rsidR="002F1515" w:rsidRPr="009D4627">
        <w:t>-</w:t>
      </w:r>
      <w:r w:rsidR="00547D87" w:rsidRPr="009D4627">
        <w:t>up for</w:t>
      </w:r>
      <w:r w:rsidR="002F1515" w:rsidRPr="009D4627">
        <w:t xml:space="preserve"> the</w:t>
      </w:r>
      <w:r w:rsidR="00547D87" w:rsidRPr="009D4627">
        <w:t xml:space="preserve"> magnetic search coil. From </w:t>
      </w:r>
      <w:proofErr w:type="spellStart"/>
      <w:r w:rsidR="00547D87" w:rsidRPr="009D4627">
        <w:t>Houben</w:t>
      </w:r>
      <w:proofErr w:type="spellEnd"/>
      <w:r w:rsidR="00547D87" w:rsidRPr="009D4627">
        <w:t xml:space="preserve"> et al. (2006)</w:t>
      </w:r>
      <w:bookmarkEnd w:id="78"/>
      <w:bookmarkEnd w:id="79"/>
      <w:r w:rsidR="002772AD" w:rsidRPr="009D4627">
        <w:t>.</w:t>
      </w:r>
      <w:bookmarkEnd w:id="80"/>
    </w:p>
    <w:p w14:paraId="1BB83C9D" w14:textId="77777777" w:rsidR="00AE6F60" w:rsidRPr="009D4627" w:rsidRDefault="00AE6F60" w:rsidP="00AE6F60">
      <w:pPr>
        <w:spacing w:after="0"/>
        <w:rPr>
          <w:lang w:val="en-MY" w:eastAsia="en-MY"/>
        </w:rPr>
      </w:pPr>
    </w:p>
    <w:p w14:paraId="0EBCEA7C" w14:textId="3DAD863B" w:rsidR="00547D87" w:rsidRPr="009D4627" w:rsidRDefault="00547D87" w:rsidP="002772AD">
      <w:pPr>
        <w:spacing w:before="0"/>
      </w:pPr>
      <w:r w:rsidRPr="009D4627">
        <w:t xml:space="preserve">The scleral search coil uses contact lenses designed with a silicone rubber annulus, an excellent material to ensure the lens's adhesion to the wearer's sclera. </w:t>
      </w:r>
      <w:r w:rsidR="002F1515" w:rsidRPr="009D4627">
        <w:t>Within it</w:t>
      </w:r>
      <w:r w:rsidRPr="009D4627">
        <w:t xml:space="preserve"> is embedded an insulated copper wire induction </w:t>
      </w:r>
      <w:r w:rsidR="002F1515" w:rsidRPr="009D4627">
        <w:t xml:space="preserve">coil </w:t>
      </w:r>
      <w:r w:rsidRPr="009D4627">
        <w:t>(Figure 1.1</w:t>
      </w:r>
      <w:r w:rsidR="00DB6112" w:rsidRPr="009D4627">
        <w:t>3</w:t>
      </w:r>
      <w:r w:rsidRPr="009D4627">
        <w:t>)</w:t>
      </w:r>
      <w:r w:rsidR="002F1515" w:rsidRPr="009D4627">
        <w:t>, which generates</w:t>
      </w:r>
      <w:r w:rsidRPr="009D4627">
        <w:t xml:space="preserve"> an electrical current when placed within a magnetic field. The coil was designed with very low noise (&lt;0.0002°) </w:t>
      </w:r>
      <w:r w:rsidR="002F1515" w:rsidRPr="009D4627">
        <w:t>and</w:t>
      </w:r>
      <w:r w:rsidRPr="009D4627">
        <w:t xml:space="preserve"> produce</w:t>
      </w:r>
      <w:r w:rsidR="00AE6F60" w:rsidRPr="009D4627">
        <w:t>d</w:t>
      </w:r>
      <w:r w:rsidRPr="009D4627">
        <w:t xml:space="preserve"> a high resolution of 15 min of arc </w:t>
      </w:r>
      <w:r w:rsidRPr="009D4627">
        <w:fldChar w:fldCharType="begin">
          <w:fldData xml:space="preserve">PEVuZE5vdGU+PENpdGU+PEF1dGhvcj5Db2xsZXdpam48L0F1dGhvcj48WWVhcj4xOTc1PC9ZZWFy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=
</w:fldData>
        </w:fldChar>
      </w:r>
      <w:r w:rsidR="00C40138" w:rsidRPr="009D4627">
        <w:instrText xml:space="preserve"> ADDIN EN.CITE </w:instrText>
      </w:r>
      <w:r w:rsidR="00C40138" w:rsidRPr="009D4627">
        <w:fldChar w:fldCharType="begin">
          <w:fldData xml:space="preserve">PEVuZE5vdGU+PENpdGU+PEF1dGhvcj5Db2xsZXdpam48L0F1dGhvcj48WWVhcj4xOTc1PC9ZZWFy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=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(Collewijn et al., 1975; Kimmel et al., 2012; Murphy et al., 2001)</w:t>
      </w:r>
      <w:r w:rsidRPr="009D4627">
        <w:fldChar w:fldCharType="end"/>
      </w:r>
      <w:r w:rsidRPr="009D4627">
        <w:t xml:space="preserve">. Although </w:t>
      </w:r>
      <w:r w:rsidR="002F1515" w:rsidRPr="009D4627">
        <w:t xml:space="preserve">it is </w:t>
      </w:r>
      <w:r w:rsidRPr="009D4627">
        <w:t>a gold standard device due to its accuracy, it is an invasive procedure from which difficulties have been documented</w:t>
      </w:r>
      <w:r w:rsidR="002F1515" w:rsidRPr="009D4627">
        <w:t xml:space="preserve">. These </w:t>
      </w:r>
      <w:r w:rsidRPr="009D4627">
        <w:t>include getting co</w:t>
      </w:r>
      <w:r w:rsidR="002F1515" w:rsidRPr="009D4627">
        <w:t>-</w:t>
      </w:r>
      <w:r w:rsidRPr="009D4627">
        <w:t>operation from children and older patients</w:t>
      </w:r>
      <w:r w:rsidR="002F1515" w:rsidRPr="009D4627">
        <w:t xml:space="preserve"> to </w:t>
      </w:r>
      <w:r w:rsidRPr="009D4627">
        <w:t>insert</w:t>
      </w:r>
      <w:r w:rsidR="002F1515" w:rsidRPr="009D4627">
        <w:t xml:space="preserve"> </w:t>
      </w:r>
      <w:r w:rsidRPr="009D4627">
        <w:t xml:space="preserve">the contact coils into their eyes </w:t>
      </w:r>
      <w:r w:rsidRPr="009D4627">
        <w:fldChar w:fldCharType="begin">
          <w:fldData xml:space="preserve">PEVuZE5vdGU+PENpdGU+PEF1dGhvcj5LaW1tZWw8L0F1dGhvcj48WWVhcj4yMDEyPC9ZZWFyPjxJ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</w:fldData>
        </w:fldChar>
      </w:r>
      <w:r w:rsidR="00C40138" w:rsidRPr="009D4627">
        <w:instrText xml:space="preserve"> ADDIN EN.CITE </w:instrText>
      </w:r>
      <w:r w:rsidR="00C40138" w:rsidRPr="009D4627">
        <w:fldChar w:fldCharType="begin">
          <w:fldData xml:space="preserve">PEVuZE5vdGU+PENpdGU+PEF1dGhvcj5LaW1tZWw8L0F1dGhvcj48WWVhcj4yMDEyPC9ZZWFyPjxJ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(Kimmel et al., 2012; van der Geest &amp; Frens, 2002; Zacher et al., 1998)</w:t>
      </w:r>
      <w:r w:rsidRPr="009D4627">
        <w:fldChar w:fldCharType="end"/>
      </w:r>
      <w:r w:rsidRPr="009D4627">
        <w:t xml:space="preserve">. </w:t>
      </w:r>
    </w:p>
    <w:p w14:paraId="068FB38C" w14:textId="454B9FB0" w:rsidR="00327717" w:rsidRPr="009D4627" w:rsidRDefault="00327717" w:rsidP="00390EBC">
      <w:r w:rsidRPr="009D4627">
        <w:rPr>
          <w:noProof/>
          <w:lang w:val="en-US"/>
        </w:rPr>
        <w:drawing>
          <wp:anchor distT="0" distB="0" distL="114300" distR="114300" simplePos="0" relativeHeight="251443712" behindDoc="1" locked="0" layoutInCell="1" allowOverlap="1" wp14:anchorId="314C7B4F" wp14:editId="0E8DDF52">
            <wp:simplePos x="0" y="0"/>
            <wp:positionH relativeFrom="margin">
              <wp:align>center</wp:align>
            </wp:positionH>
            <wp:positionV relativeFrom="paragraph">
              <wp:posOffset>3161</wp:posOffset>
            </wp:positionV>
            <wp:extent cx="2190750" cy="1694484"/>
            <wp:effectExtent l="0" t="0" r="0" b="1270"/>
            <wp:wrapTight wrapText="bothSides">
              <wp:wrapPolygon edited="0">
                <wp:start x="0" y="0"/>
                <wp:lineTo x="0" y="21373"/>
                <wp:lineTo x="21412" y="21373"/>
                <wp:lineTo x="21412" y="0"/>
                <wp:lineTo x="0" y="0"/>
              </wp:wrapPolygon>
            </wp:wrapTight>
            <wp:docPr id="411" name="Picture 411" descr="http://ord1.audiologyonline.com/content/c12000/c12003/072213gnoimpulsefig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ttp://ord1.audiologyonline.com/content/c12000/c12003/072213gnoimpulsefig1-jpg.pn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0750" cy="1694484"/>
                    </a:xfrm>
                    <a:prstGeom prst="rect">
                      <a:avLst/>
                    </a:prstGeom>
                    <a:noFill/>
                    <a:ln>
                      <a:noFill/>
                    </a:ln>
                  </pic:spPr>
                </pic:pic>
              </a:graphicData>
            </a:graphic>
          </wp:anchor>
        </w:drawing>
      </w:r>
    </w:p>
    <w:p w14:paraId="5AB87128" w14:textId="77777777" w:rsidR="002F1515" w:rsidRPr="009D4627" w:rsidRDefault="002F1515" w:rsidP="00390EBC"/>
    <w:p w14:paraId="007C5385" w14:textId="699ED078" w:rsidR="00547D87" w:rsidRPr="009D4627" w:rsidRDefault="00547D87" w:rsidP="00390EBC"/>
    <w:p w14:paraId="3C9CB8D5" w14:textId="2A3837A4" w:rsidR="00547D87" w:rsidRPr="009D4627" w:rsidRDefault="00DB6112" w:rsidP="00C4130D">
      <w:pPr>
        <w:pStyle w:val="Caption"/>
      </w:pPr>
      <w:bookmarkStart w:id="81" w:name="_Toc98570014"/>
      <w:bookmarkStart w:id="82" w:name="_Toc73804904"/>
      <w:bookmarkStart w:id="83" w:name="_Toc73609242"/>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13</w:t>
      </w:r>
      <w:r w:rsidR="002E63E9" w:rsidRPr="009D4627">
        <w:rPr>
          <w:noProof/>
        </w:rPr>
        <w:fldChar w:fldCharType="end"/>
      </w:r>
      <w:r w:rsidRPr="009D4627">
        <w:t xml:space="preserve">: </w:t>
      </w:r>
      <w:r w:rsidR="00547D87" w:rsidRPr="009D4627">
        <w:t>Scleral search coil in the eye.</w:t>
      </w:r>
      <w:r w:rsidR="001808A8" w:rsidRPr="009D4627">
        <w:t xml:space="preserve"> From </w:t>
      </w:r>
      <w:r w:rsidR="001808A8" w:rsidRPr="009D4627">
        <w:fldChar w:fldCharType="begin"/>
      </w:r>
      <w:r w:rsidR="00945A16" w:rsidRPr="009D4627">
        <w:instrText xml:space="preserve"> ADDIN EN.CITE &lt;EndNote&gt;&lt;Cite&gt;&lt;Author&gt;Imai&lt;/Author&gt;&lt;Year&gt;2005&lt;/Year&gt;&lt;IDText&gt;Comparing the accuracy of video-oculography and the scleral search coil system in human eye movement analysis&lt;/IDText&gt;&lt;DisplayText&gt;(Imai et al., 2005)&lt;/DisplayText&gt;&lt;record&gt;&lt;titles&gt;&lt;title&gt;Comparing the accuracy of video-oculography and the scleral search coil system in human eye movement analysis&lt;/title&gt;&lt;secondary-title&gt;Auris Nasus Larynx&lt;/secondary-title&gt;&lt;/titles&gt;&lt;pages&gt;3-9&lt;/pages&gt;&lt;contributors&gt;&lt;authors&gt;&lt;author&gt;Imai, Takao&lt;/author&gt;&lt;author&gt;Sekine, Kazunori&lt;/author&gt;&lt;author&gt;Hattori, Kousuke&lt;/author&gt;&lt;author&gt;Takeda, Noriaki&lt;/author&gt;&lt;author&gt;Koizuka, Izumi&lt;/author&gt;&lt;author&gt;Nakamae, Koji&lt;/author&gt;&lt;author&gt;Miura, Katsuyoshi&lt;/author&gt;&lt;author&gt;Fujioka, Hiromu&lt;/author&gt;&lt;author&gt;Kubo, Takeshi&lt;/author&gt;&lt;/authors&gt;&lt;/contributors&gt;&lt;added-date format="utc"&gt;1504193491&lt;/added-date&gt;&lt;ref-type name="Journal Article"&gt;17&lt;/ref-type&gt;&lt;dates&gt;&lt;year&gt;2005&lt;/year&gt;&lt;/dates&gt;&lt;rec-number&gt;193&lt;/rec-number&gt;&lt;last-updated-date format="utc"&gt;1504194145&lt;/last-updated-date&gt;&lt;electronic-resource-num&gt;10.1016/j.anl.2004.11.009&lt;/electronic-resource-num&gt;&lt;volume&gt;32&lt;/volume&gt;&lt;/record&gt;&lt;/Cite&gt;&lt;/EndNote&gt;</w:instrText>
      </w:r>
      <w:r w:rsidR="001808A8" w:rsidRPr="009D4627">
        <w:fldChar w:fldCharType="separate"/>
      </w:r>
      <w:bookmarkEnd w:id="82"/>
      <w:bookmarkEnd w:id="83"/>
      <w:r w:rsidR="00945A16" w:rsidRPr="009D4627">
        <w:rPr>
          <w:noProof/>
        </w:rPr>
        <w:t>(Imai et al., 2005)</w:t>
      </w:r>
      <w:bookmarkEnd w:id="81"/>
      <w:r w:rsidR="001808A8" w:rsidRPr="009D4627">
        <w:fldChar w:fldCharType="end"/>
      </w:r>
    </w:p>
    <w:p w14:paraId="07D7A298" w14:textId="77777777" w:rsidR="002F1515" w:rsidRPr="009D4627" w:rsidRDefault="002F1515" w:rsidP="00E71B72">
      <w:pPr>
        <w:spacing w:before="0" w:after="0"/>
      </w:pPr>
    </w:p>
    <w:p w14:paraId="636BA0F7" w14:textId="27D05270" w:rsidR="00547D87" w:rsidRPr="009D4627" w:rsidRDefault="00547D87" w:rsidP="002772AD">
      <w:pPr>
        <w:spacing w:before="0"/>
      </w:pPr>
      <w:r w:rsidRPr="009D4627">
        <w:lastRenderedPageBreak/>
        <w:t xml:space="preserve">Previous studies have been conducted to explore the effect of wearing the scleral search coil lens on visual function </w:t>
      </w:r>
      <w:r w:rsidRPr="009D4627">
        <w:fldChar w:fldCharType="begin">
          <w:fldData xml:space="preserve">PEVuZE5vdGU+PENpdGU+PEF1dGhvcj5NdXJwaHk8L0F1dGhvcj48WWVhcj4yMDAxPC9ZZWFyPjxJ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</w:fldData>
        </w:fldChar>
      </w:r>
      <w:r w:rsidR="00C40138" w:rsidRPr="009D4627">
        <w:instrText xml:space="preserve"> ADDIN EN.CITE </w:instrText>
      </w:r>
      <w:r w:rsidR="00C40138" w:rsidRPr="009D4627">
        <w:fldChar w:fldCharType="begin">
          <w:fldData xml:space="preserve">PEVuZE5vdGU+PENpdGU+PEF1dGhvcj5NdXJwaHk8L0F1dGhvcj48WWVhcj4yMDAxPC9ZZWFyPjxJ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(Irving et al., 2003; Murphy et al., 2001)</w:t>
      </w:r>
      <w:r w:rsidRPr="009D4627">
        <w:fldChar w:fldCharType="end"/>
      </w:r>
      <w:r w:rsidR="002F1515" w:rsidRPr="009D4627">
        <w:t>. B</w:t>
      </w:r>
      <w:r w:rsidRPr="009D4627">
        <w:t xml:space="preserve">oth studies recruited six young participants. They measured similar visual function parameters but with slight differences in the measurement interval. The method of measurement is summarised in Table 1.1. </w:t>
      </w:r>
    </w:p>
    <w:p w14:paraId="6E56671F" w14:textId="26EC0BDE" w:rsidR="00547D87" w:rsidRPr="009D4627" w:rsidRDefault="00225FAE" w:rsidP="00C4130D">
      <w:pPr>
        <w:pStyle w:val="Caption"/>
      </w:pPr>
      <w:bookmarkStart w:id="84" w:name="_Toc99353928"/>
      <w:r w:rsidRPr="009D4627">
        <w:t>Table 1.</w:t>
      </w:r>
      <w:r w:rsidR="002E63E9" w:rsidRPr="009D4627">
        <w:fldChar w:fldCharType="begin"/>
      </w:r>
      <w:r w:rsidR="002E63E9" w:rsidRPr="009D4627">
        <w:instrText xml:space="preserve"> SEQ Table_1. \* ARABIC </w:instrText>
      </w:r>
      <w:r w:rsidR="002E63E9" w:rsidRPr="009D4627">
        <w:fldChar w:fldCharType="separate"/>
      </w:r>
      <w:r w:rsidR="00E268F6">
        <w:rPr>
          <w:noProof/>
        </w:rPr>
        <w:t>1</w:t>
      </w:r>
      <w:r w:rsidR="002E63E9" w:rsidRPr="009D4627">
        <w:rPr>
          <w:noProof/>
        </w:rPr>
        <w:fldChar w:fldCharType="end"/>
      </w:r>
      <w:r w:rsidRPr="009D4627">
        <w:t xml:space="preserve">: </w:t>
      </w:r>
      <w:r w:rsidR="00547D87" w:rsidRPr="009D4627">
        <w:t>Comparison study on the effect of scleral search coil lens wear on the eye.</w:t>
      </w:r>
      <w:bookmarkEnd w:id="84"/>
    </w:p>
    <w:tbl>
      <w:tblPr>
        <w:tblStyle w:val="TableGrid"/>
        <w:tblW w:w="9209" w:type="dxa"/>
        <w:tblLook w:val="04A0" w:firstRow="1" w:lastRow="0" w:firstColumn="1" w:lastColumn="0" w:noHBand="0" w:noVBand="1"/>
      </w:tblPr>
      <w:tblGrid>
        <w:gridCol w:w="708"/>
        <w:gridCol w:w="2831"/>
        <w:gridCol w:w="2693"/>
        <w:gridCol w:w="2977"/>
      </w:tblGrid>
      <w:tr w:rsidR="00547D87" w:rsidRPr="009D4627" w14:paraId="56131873" w14:textId="77777777" w:rsidTr="00E71B72">
        <w:trPr>
          <w:cantSplit/>
          <w:trHeight w:val="334"/>
        </w:trPr>
        <w:tc>
          <w:tcPr>
            <w:tcW w:w="708" w:type="dxa"/>
            <w:vMerge w:val="restart"/>
            <w:textDirection w:val="btLr"/>
          </w:tcPr>
          <w:p w14:paraId="03BEF8CA" w14:textId="77777777" w:rsidR="00547D87" w:rsidRPr="009D4627" w:rsidRDefault="00547D87" w:rsidP="00CC31A9">
            <w:pPr>
              <w:spacing w:before="0" w:after="0" w:line="240" w:lineRule="auto"/>
            </w:pPr>
          </w:p>
        </w:tc>
        <w:tc>
          <w:tcPr>
            <w:tcW w:w="2831" w:type="dxa"/>
            <w:vMerge w:val="restart"/>
            <w:vAlign w:val="center"/>
          </w:tcPr>
          <w:p w14:paraId="505B1FD8" w14:textId="14FF90CD" w:rsidR="00547D87" w:rsidRPr="009D4627" w:rsidRDefault="00547D87" w:rsidP="00CC31A9">
            <w:pPr>
              <w:spacing w:before="0" w:after="0" w:line="240" w:lineRule="auto"/>
            </w:pPr>
          </w:p>
        </w:tc>
        <w:tc>
          <w:tcPr>
            <w:tcW w:w="2693" w:type="dxa"/>
            <w:vAlign w:val="center"/>
          </w:tcPr>
          <w:p w14:paraId="52E17FBA" w14:textId="77777777" w:rsidR="00547D87" w:rsidRPr="009D4627" w:rsidRDefault="00547D87" w:rsidP="00CC31A9">
            <w:pPr>
              <w:spacing w:before="0" w:after="0" w:line="240" w:lineRule="auto"/>
            </w:pPr>
            <w:r w:rsidRPr="009D4627">
              <w:t>Murphy et al. (2001)</w:t>
            </w:r>
          </w:p>
        </w:tc>
        <w:tc>
          <w:tcPr>
            <w:tcW w:w="2977" w:type="dxa"/>
            <w:vAlign w:val="center"/>
          </w:tcPr>
          <w:p w14:paraId="2FEDEFBE" w14:textId="4C8B4859" w:rsidR="00547D87" w:rsidRPr="009D4627" w:rsidRDefault="00547D87" w:rsidP="00CC31A9">
            <w:pPr>
              <w:spacing w:before="0" w:after="0" w:line="240" w:lineRule="auto"/>
            </w:pPr>
            <w:r w:rsidRPr="009D4627">
              <w:t>Irving et al.</w:t>
            </w:r>
            <w:r w:rsidR="002F1515" w:rsidRPr="009D4627">
              <w:t xml:space="preserve"> (</w:t>
            </w:r>
            <w:r w:rsidRPr="009D4627">
              <w:t>2003</w:t>
            </w:r>
            <w:r w:rsidR="002F1515" w:rsidRPr="009D4627">
              <w:t>)</w:t>
            </w:r>
          </w:p>
        </w:tc>
      </w:tr>
      <w:tr w:rsidR="00547D87" w:rsidRPr="009D4627" w14:paraId="56998659" w14:textId="77777777" w:rsidTr="00E71B72">
        <w:trPr>
          <w:cantSplit/>
          <w:trHeight w:val="282"/>
        </w:trPr>
        <w:tc>
          <w:tcPr>
            <w:tcW w:w="708" w:type="dxa"/>
            <w:vMerge/>
          </w:tcPr>
          <w:p w14:paraId="359DD81B" w14:textId="77777777" w:rsidR="00547D87" w:rsidRPr="009D4627" w:rsidRDefault="00547D87" w:rsidP="00CC31A9">
            <w:pPr>
              <w:spacing w:before="0" w:after="0" w:line="240" w:lineRule="auto"/>
            </w:pPr>
          </w:p>
        </w:tc>
        <w:tc>
          <w:tcPr>
            <w:tcW w:w="2831" w:type="dxa"/>
            <w:vMerge/>
          </w:tcPr>
          <w:p w14:paraId="037865F8" w14:textId="77777777" w:rsidR="00547D87" w:rsidRPr="009D4627" w:rsidRDefault="00547D87" w:rsidP="00CC31A9">
            <w:pPr>
              <w:spacing w:before="0" w:after="0" w:line="240" w:lineRule="auto"/>
            </w:pPr>
          </w:p>
        </w:tc>
        <w:tc>
          <w:tcPr>
            <w:tcW w:w="2693" w:type="dxa"/>
            <w:vAlign w:val="center"/>
          </w:tcPr>
          <w:p w14:paraId="3CEC8C9F" w14:textId="1CB0114A" w:rsidR="00547D87" w:rsidRPr="009D4627" w:rsidRDefault="00E71B72" w:rsidP="00CC31A9">
            <w:pPr>
              <w:spacing w:before="0" w:after="0" w:line="240" w:lineRule="auto"/>
            </w:pPr>
            <w:r w:rsidRPr="009D4627">
              <w:t xml:space="preserve">n </w:t>
            </w:r>
            <w:r w:rsidR="00547D87" w:rsidRPr="009D4627">
              <w:t>=</w:t>
            </w:r>
            <w:r w:rsidRPr="009D4627">
              <w:t xml:space="preserve"> </w:t>
            </w:r>
            <w:r w:rsidR="00547D87" w:rsidRPr="009D4627">
              <w:t>6 (22.17 years old)</w:t>
            </w:r>
          </w:p>
        </w:tc>
        <w:tc>
          <w:tcPr>
            <w:tcW w:w="2977" w:type="dxa"/>
            <w:vAlign w:val="center"/>
          </w:tcPr>
          <w:p w14:paraId="59DB8C12" w14:textId="2994121C" w:rsidR="00547D87" w:rsidRPr="009D4627" w:rsidRDefault="00E71B72" w:rsidP="00CC31A9">
            <w:pPr>
              <w:spacing w:before="0" w:after="0" w:line="240" w:lineRule="auto"/>
            </w:pPr>
            <w:r w:rsidRPr="009D4627">
              <w:t xml:space="preserve">n </w:t>
            </w:r>
            <w:r w:rsidR="00547D87" w:rsidRPr="009D4627">
              <w:t>=</w:t>
            </w:r>
            <w:r w:rsidRPr="009D4627">
              <w:t xml:space="preserve"> </w:t>
            </w:r>
            <w:r w:rsidR="00547D87" w:rsidRPr="009D4627">
              <w:t>6 (29.5</w:t>
            </w:r>
            <w:r w:rsidRPr="009D4627">
              <w:t xml:space="preserve"> </w:t>
            </w:r>
            <w:r w:rsidR="00547D87" w:rsidRPr="009D4627">
              <w:t>±5.2 years old)</w:t>
            </w:r>
          </w:p>
        </w:tc>
      </w:tr>
      <w:tr w:rsidR="002F1515" w:rsidRPr="009D4627" w14:paraId="4DB9DD9B" w14:textId="77777777" w:rsidTr="00855A73">
        <w:trPr>
          <w:cantSplit/>
          <w:trHeight w:val="271"/>
        </w:trPr>
        <w:tc>
          <w:tcPr>
            <w:tcW w:w="708" w:type="dxa"/>
            <w:vMerge w:val="restart"/>
            <w:tcMar>
              <w:left w:w="57" w:type="dxa"/>
              <w:right w:w="57" w:type="dxa"/>
            </w:tcMar>
            <w:textDirection w:val="btLr"/>
            <w:vAlign w:val="center"/>
          </w:tcPr>
          <w:p w14:paraId="75276126" w14:textId="02C6DBD4" w:rsidR="002F1515" w:rsidRPr="009D4627" w:rsidRDefault="002F1515" w:rsidP="00CC31A9">
            <w:pPr>
              <w:spacing w:before="0" w:after="0" w:line="240" w:lineRule="auto"/>
              <w:jc w:val="center"/>
            </w:pPr>
            <w:r w:rsidRPr="009D4627">
              <w:t>Parameters</w:t>
            </w:r>
          </w:p>
          <w:p w14:paraId="5AC3EF2E" w14:textId="4E6E3656" w:rsidR="002F1515" w:rsidRPr="009D4627" w:rsidRDefault="002F1515" w:rsidP="00CC31A9">
            <w:pPr>
              <w:spacing w:before="0" w:after="0" w:line="240" w:lineRule="auto"/>
              <w:jc w:val="center"/>
            </w:pPr>
            <w:r w:rsidRPr="009D4627">
              <w:t>measured</w:t>
            </w:r>
          </w:p>
          <w:p w14:paraId="29BB924D" w14:textId="77777777" w:rsidR="002F1515" w:rsidRPr="009D4627" w:rsidRDefault="002F1515" w:rsidP="00CC31A9">
            <w:pPr>
              <w:spacing w:before="0" w:after="0" w:line="240" w:lineRule="auto"/>
            </w:pPr>
          </w:p>
        </w:tc>
        <w:tc>
          <w:tcPr>
            <w:tcW w:w="2831" w:type="dxa"/>
            <w:vAlign w:val="center"/>
          </w:tcPr>
          <w:p w14:paraId="3C82107D" w14:textId="6C2EBDF6" w:rsidR="002F1515" w:rsidRPr="009D4627" w:rsidRDefault="002F1515" w:rsidP="00855A73">
            <w:pPr>
              <w:spacing w:before="0" w:after="0" w:line="240" w:lineRule="auto"/>
              <w:jc w:val="left"/>
            </w:pPr>
            <w:r w:rsidRPr="009D4627">
              <w:t>Before insertion</w:t>
            </w:r>
          </w:p>
        </w:tc>
        <w:tc>
          <w:tcPr>
            <w:tcW w:w="2693" w:type="dxa"/>
            <w:vAlign w:val="center"/>
          </w:tcPr>
          <w:p w14:paraId="64BF5D61" w14:textId="4117C0A7" w:rsidR="002F1515" w:rsidRPr="009D4627" w:rsidRDefault="002F1515" w:rsidP="00CC31A9">
            <w:pPr>
              <w:spacing w:before="0" w:after="0" w:line="240" w:lineRule="auto"/>
            </w:pPr>
            <w:r w:rsidRPr="009D4627">
              <w:t>IOP, K, SLB, VA</w:t>
            </w:r>
          </w:p>
        </w:tc>
        <w:tc>
          <w:tcPr>
            <w:tcW w:w="2977" w:type="dxa"/>
            <w:vAlign w:val="center"/>
          </w:tcPr>
          <w:p w14:paraId="1C6E4781" w14:textId="7678F323" w:rsidR="002F1515" w:rsidRPr="009D4627" w:rsidRDefault="002F1515" w:rsidP="00CC31A9">
            <w:pPr>
              <w:spacing w:before="0" w:after="0" w:line="240" w:lineRule="auto"/>
            </w:pPr>
            <w:r w:rsidRPr="009D4627">
              <w:t>IOP, K, SLB, VA</w:t>
            </w:r>
          </w:p>
        </w:tc>
      </w:tr>
      <w:tr w:rsidR="002F1515" w:rsidRPr="009D4627" w14:paraId="31DC3B33" w14:textId="77777777" w:rsidTr="00855A73">
        <w:trPr>
          <w:cantSplit/>
          <w:trHeight w:val="364"/>
        </w:trPr>
        <w:tc>
          <w:tcPr>
            <w:tcW w:w="708" w:type="dxa"/>
            <w:vMerge/>
          </w:tcPr>
          <w:p w14:paraId="6E77508F" w14:textId="77777777" w:rsidR="002F1515" w:rsidRPr="009D4627" w:rsidRDefault="002F1515" w:rsidP="00CC31A9">
            <w:pPr>
              <w:spacing w:before="0" w:after="0" w:line="240" w:lineRule="auto"/>
            </w:pPr>
          </w:p>
        </w:tc>
        <w:tc>
          <w:tcPr>
            <w:tcW w:w="2831" w:type="dxa"/>
            <w:vAlign w:val="center"/>
          </w:tcPr>
          <w:p w14:paraId="1076403B" w14:textId="583A7F27" w:rsidR="002F1515" w:rsidRPr="009D4627" w:rsidRDefault="002F1515" w:rsidP="00855A73">
            <w:pPr>
              <w:spacing w:before="0" w:after="0" w:line="240" w:lineRule="auto"/>
              <w:jc w:val="left"/>
            </w:pPr>
            <w:r w:rsidRPr="009D4627">
              <w:t>15 minutes after insertion</w:t>
            </w:r>
          </w:p>
        </w:tc>
        <w:tc>
          <w:tcPr>
            <w:tcW w:w="2693" w:type="dxa"/>
            <w:vAlign w:val="center"/>
          </w:tcPr>
          <w:p w14:paraId="238ADB19" w14:textId="77777777" w:rsidR="002F1515" w:rsidRPr="009D4627" w:rsidRDefault="002F1515" w:rsidP="00CC31A9">
            <w:pPr>
              <w:spacing w:before="0" w:after="0" w:line="240" w:lineRule="auto"/>
            </w:pPr>
            <w:r w:rsidRPr="009D4627">
              <w:t>VA</w:t>
            </w:r>
          </w:p>
        </w:tc>
        <w:tc>
          <w:tcPr>
            <w:tcW w:w="2977" w:type="dxa"/>
            <w:vAlign w:val="center"/>
          </w:tcPr>
          <w:p w14:paraId="21040262" w14:textId="43B2D67F" w:rsidR="002F1515" w:rsidRPr="009D4627" w:rsidRDefault="002F1515" w:rsidP="00CC31A9">
            <w:pPr>
              <w:spacing w:before="0" w:after="0" w:line="240" w:lineRule="auto"/>
            </w:pPr>
            <w:r w:rsidRPr="009D4627">
              <w:t>IOP, K, SLB, VA</w:t>
            </w:r>
          </w:p>
        </w:tc>
      </w:tr>
      <w:tr w:rsidR="002F1515" w:rsidRPr="009D4627" w14:paraId="33EBDD4B" w14:textId="77777777" w:rsidTr="00855A73">
        <w:trPr>
          <w:cantSplit/>
          <w:trHeight w:val="327"/>
        </w:trPr>
        <w:tc>
          <w:tcPr>
            <w:tcW w:w="708" w:type="dxa"/>
            <w:vMerge/>
          </w:tcPr>
          <w:p w14:paraId="68D7E5F2" w14:textId="77777777" w:rsidR="002F1515" w:rsidRPr="009D4627" w:rsidRDefault="002F1515" w:rsidP="00CC31A9">
            <w:pPr>
              <w:spacing w:before="0" w:after="0" w:line="240" w:lineRule="auto"/>
            </w:pPr>
          </w:p>
        </w:tc>
        <w:tc>
          <w:tcPr>
            <w:tcW w:w="2831" w:type="dxa"/>
            <w:vAlign w:val="center"/>
          </w:tcPr>
          <w:p w14:paraId="5B835E80" w14:textId="572CCD83" w:rsidR="002F1515" w:rsidRPr="009D4627" w:rsidRDefault="002F1515" w:rsidP="00855A73">
            <w:pPr>
              <w:spacing w:before="0" w:after="0" w:line="240" w:lineRule="auto"/>
              <w:jc w:val="left"/>
            </w:pPr>
            <w:r w:rsidRPr="009D4627">
              <w:t>30 minutes after insertion</w:t>
            </w:r>
          </w:p>
        </w:tc>
        <w:tc>
          <w:tcPr>
            <w:tcW w:w="2693" w:type="dxa"/>
            <w:vAlign w:val="center"/>
          </w:tcPr>
          <w:p w14:paraId="59CD4A5C" w14:textId="77777777" w:rsidR="002F1515" w:rsidRPr="009D4627" w:rsidRDefault="002F1515" w:rsidP="00CC31A9">
            <w:pPr>
              <w:spacing w:before="0" w:after="0" w:line="240" w:lineRule="auto"/>
            </w:pPr>
            <w:r w:rsidRPr="009D4627">
              <w:t>VA</w:t>
            </w:r>
          </w:p>
        </w:tc>
        <w:tc>
          <w:tcPr>
            <w:tcW w:w="2977" w:type="dxa"/>
            <w:vAlign w:val="center"/>
          </w:tcPr>
          <w:p w14:paraId="33AAA0E9" w14:textId="0B83A0C3" w:rsidR="002F1515" w:rsidRPr="009D4627" w:rsidRDefault="002F1515" w:rsidP="00CC31A9">
            <w:pPr>
              <w:spacing w:before="0" w:after="0" w:line="240" w:lineRule="auto"/>
            </w:pPr>
            <w:r w:rsidRPr="009D4627">
              <w:t>IOP, K, SLB, VA</w:t>
            </w:r>
          </w:p>
        </w:tc>
      </w:tr>
      <w:tr w:rsidR="002F1515" w:rsidRPr="009D4627" w14:paraId="477159BB" w14:textId="77777777" w:rsidTr="00855A73">
        <w:trPr>
          <w:cantSplit/>
          <w:trHeight w:val="419"/>
        </w:trPr>
        <w:tc>
          <w:tcPr>
            <w:tcW w:w="708" w:type="dxa"/>
            <w:vMerge/>
          </w:tcPr>
          <w:p w14:paraId="7A954721" w14:textId="77777777" w:rsidR="002F1515" w:rsidRPr="009D4627" w:rsidRDefault="002F1515" w:rsidP="00CC31A9">
            <w:pPr>
              <w:spacing w:before="0" w:after="0" w:line="240" w:lineRule="auto"/>
            </w:pPr>
          </w:p>
        </w:tc>
        <w:tc>
          <w:tcPr>
            <w:tcW w:w="2831" w:type="dxa"/>
            <w:vAlign w:val="center"/>
          </w:tcPr>
          <w:p w14:paraId="09DF7EA3" w14:textId="6CD50C54" w:rsidR="002F1515" w:rsidRPr="009D4627" w:rsidRDefault="002F1515" w:rsidP="00855A73">
            <w:pPr>
              <w:spacing w:before="0" w:after="0" w:line="240" w:lineRule="auto"/>
              <w:jc w:val="left"/>
            </w:pPr>
            <w:r w:rsidRPr="009D4627">
              <w:t>After removal</w:t>
            </w:r>
          </w:p>
        </w:tc>
        <w:tc>
          <w:tcPr>
            <w:tcW w:w="2693" w:type="dxa"/>
            <w:vAlign w:val="center"/>
          </w:tcPr>
          <w:p w14:paraId="5E09D861" w14:textId="2C66B0DB" w:rsidR="002F1515" w:rsidRPr="009D4627" w:rsidRDefault="002F1515" w:rsidP="00CC31A9">
            <w:pPr>
              <w:spacing w:before="0" w:after="0" w:line="240" w:lineRule="auto"/>
            </w:pPr>
            <w:r w:rsidRPr="009D4627">
              <w:t>IOP, K, SLB, VA</w:t>
            </w:r>
          </w:p>
        </w:tc>
        <w:tc>
          <w:tcPr>
            <w:tcW w:w="2977" w:type="dxa"/>
            <w:vAlign w:val="center"/>
          </w:tcPr>
          <w:p w14:paraId="3ABEDEAD" w14:textId="4A3EAC50" w:rsidR="002F1515" w:rsidRPr="009D4627" w:rsidRDefault="002F1515" w:rsidP="00CC31A9">
            <w:pPr>
              <w:spacing w:before="0" w:after="0" w:line="240" w:lineRule="auto"/>
            </w:pPr>
            <w:r w:rsidRPr="009D4627">
              <w:t>IOP, K, SLB, VA</w:t>
            </w:r>
          </w:p>
        </w:tc>
      </w:tr>
    </w:tbl>
    <w:p w14:paraId="628C2E54" w14:textId="64152D9F" w:rsidR="00547D87" w:rsidRPr="009D4627" w:rsidRDefault="00E71B72" w:rsidP="00E71B72">
      <w:pPr>
        <w:spacing w:before="0" w:after="0" w:line="240" w:lineRule="auto"/>
      </w:pPr>
      <w:r w:rsidRPr="009D4627">
        <w:t xml:space="preserve">n = number of participants; </w:t>
      </w:r>
      <w:r w:rsidR="002F1515" w:rsidRPr="009D4627">
        <w:t>IOP</w:t>
      </w:r>
      <w:r w:rsidR="00855A73" w:rsidRPr="009D4627">
        <w:t xml:space="preserve"> </w:t>
      </w:r>
      <w:r w:rsidR="002F1515" w:rsidRPr="009D4627">
        <w:t>=</w:t>
      </w:r>
      <w:r w:rsidR="00855A73" w:rsidRPr="009D4627">
        <w:t xml:space="preserve"> </w:t>
      </w:r>
      <w:r w:rsidR="002F1515" w:rsidRPr="009D4627">
        <w:t>intraocular pressure; K</w:t>
      </w:r>
      <w:r w:rsidR="00855A73" w:rsidRPr="009D4627">
        <w:t xml:space="preserve"> </w:t>
      </w:r>
      <w:r w:rsidR="002F1515" w:rsidRPr="009D4627">
        <w:t>=</w:t>
      </w:r>
      <w:r w:rsidR="00855A73" w:rsidRPr="009D4627">
        <w:t xml:space="preserve"> </w:t>
      </w:r>
      <w:r w:rsidR="002F1515" w:rsidRPr="009D4627">
        <w:t>keratometry; SLB</w:t>
      </w:r>
      <w:r w:rsidR="00855A73" w:rsidRPr="009D4627">
        <w:t xml:space="preserve"> </w:t>
      </w:r>
      <w:r w:rsidR="002F1515" w:rsidRPr="009D4627">
        <w:t>=</w:t>
      </w:r>
      <w:r w:rsidR="00855A73" w:rsidRPr="009D4627">
        <w:t xml:space="preserve"> </w:t>
      </w:r>
      <w:r w:rsidR="002F1515" w:rsidRPr="009D4627">
        <w:t xml:space="preserve">slit-lamp </w:t>
      </w:r>
      <w:proofErr w:type="spellStart"/>
      <w:r w:rsidR="002F1515" w:rsidRPr="009D4627">
        <w:t>biomicroscopy</w:t>
      </w:r>
      <w:proofErr w:type="spellEnd"/>
      <w:r w:rsidR="002F1515" w:rsidRPr="009D4627">
        <w:t xml:space="preserve">; </w:t>
      </w:r>
      <w:r w:rsidR="00547D87" w:rsidRPr="009D4627">
        <w:t>VA</w:t>
      </w:r>
      <w:r w:rsidR="00855A73" w:rsidRPr="009D4627">
        <w:t xml:space="preserve"> </w:t>
      </w:r>
      <w:r w:rsidR="00547D87" w:rsidRPr="009D4627">
        <w:t>=</w:t>
      </w:r>
      <w:r w:rsidR="00855A73" w:rsidRPr="009D4627">
        <w:t xml:space="preserve"> </w:t>
      </w:r>
      <w:r w:rsidR="00547D87" w:rsidRPr="009D4627">
        <w:t>visual acuity</w:t>
      </w:r>
    </w:p>
    <w:p w14:paraId="3145977B" w14:textId="77777777" w:rsidR="00E71B72" w:rsidRPr="009D4627" w:rsidRDefault="00E71B72" w:rsidP="00AE6F60">
      <w:pPr>
        <w:spacing w:after="0"/>
      </w:pPr>
    </w:p>
    <w:p w14:paraId="6AF297BC" w14:textId="7C5783FB" w:rsidR="00547D87" w:rsidRPr="009D4627" w:rsidRDefault="00547D87" w:rsidP="00527411">
      <w:pPr>
        <w:spacing w:before="0"/>
      </w:pPr>
      <w:r w:rsidRPr="009D4627">
        <w:t>Murphy et al. (2001) found that the scleral search coil did not affect the lens wearer's visual function, but Irving et al. (2003) found a significant effect of transient blurring of vision caused by the lens wear. The former found that visual function changed after wearing the lens, but the changes</w:t>
      </w:r>
      <w:r w:rsidR="002F1515" w:rsidRPr="009D4627">
        <w:t xml:space="preserve"> measured</w:t>
      </w:r>
      <w:r w:rsidRPr="009D4627">
        <w:t xml:space="preserve"> were not statistically significant. The latter documented a significant reduction of </w:t>
      </w:r>
      <w:r w:rsidR="005C698A" w:rsidRPr="009D4627">
        <w:t>visual acuity (</w:t>
      </w:r>
      <w:r w:rsidRPr="009D4627">
        <w:t>VA</w:t>
      </w:r>
      <w:r w:rsidR="005C698A" w:rsidRPr="009D4627">
        <w:t>)</w:t>
      </w:r>
      <w:r w:rsidRPr="009D4627">
        <w:t xml:space="preserve"> by one line or more from the baseline after the lens insertion</w:t>
      </w:r>
      <w:r w:rsidR="00AE6F60" w:rsidRPr="009D4627">
        <w:t xml:space="preserve"> just</w:t>
      </w:r>
      <w:r w:rsidRPr="009D4627">
        <w:t xml:space="preserve"> before removing the search coil lens. However, the</w:t>
      </w:r>
      <w:r w:rsidR="005C698A" w:rsidRPr="009D4627">
        <w:t xml:space="preserve"> study authors</w:t>
      </w:r>
      <w:r w:rsidRPr="009D4627">
        <w:t xml:space="preserve"> d</w:t>
      </w:r>
      <w:r w:rsidR="005C698A" w:rsidRPr="009D4627">
        <w:t>id</w:t>
      </w:r>
      <w:r w:rsidRPr="009D4627">
        <w:t xml:space="preserve"> not mention the exact range of visual deterioration. Reduced VA was thought to be due to corneal integrity changes seen during lens wear with different severity for different participants. The condition likely happened due to having a </w:t>
      </w:r>
      <w:r w:rsidR="005C698A" w:rsidRPr="009D4627">
        <w:t>lar</w:t>
      </w:r>
      <w:r w:rsidRPr="009D4627">
        <w:t>ge rigid contact lens and coil in the eye. Initially, Murphy et al. (2001) suggested that corneal integrity changes occurred due to prolong</w:t>
      </w:r>
      <w:r w:rsidR="005C698A" w:rsidRPr="009D4627">
        <w:t>ed</w:t>
      </w:r>
      <w:r w:rsidRPr="009D4627">
        <w:t xml:space="preserve"> wearing time, resulting in corneal surface dryness. However, it was refuted by Irving et al. (2003) because </w:t>
      </w:r>
      <w:r w:rsidR="00DB3A02" w:rsidRPr="009D4627">
        <w:lastRenderedPageBreak/>
        <w:t>t</w:t>
      </w:r>
      <w:r w:rsidRPr="009D4627">
        <w:t>hey found th</w:t>
      </w:r>
      <w:r w:rsidR="005C698A" w:rsidRPr="009D4627">
        <w:t>at</w:t>
      </w:r>
      <w:r w:rsidRPr="009D4627">
        <w:t xml:space="preserve"> corneal staining appear</w:t>
      </w:r>
      <w:r w:rsidR="005C698A" w:rsidRPr="009D4627">
        <w:t>ed</w:t>
      </w:r>
      <w:r w:rsidRPr="009D4627">
        <w:t xml:space="preserve"> at the early insertion period, which rejected the theory of corneal dryness. </w:t>
      </w:r>
    </w:p>
    <w:p w14:paraId="4FBEB4C3" w14:textId="2E64FC4F" w:rsidR="00547D87" w:rsidRPr="009D4627" w:rsidRDefault="00547D87" w:rsidP="00390EBC">
      <w:r w:rsidRPr="009D4627">
        <w:t xml:space="preserve">Another argument was that a high visual demand induced by fixating on the accommodative </w:t>
      </w:r>
      <w:r w:rsidR="00F57D01" w:rsidRPr="009D4627">
        <w:t>target</w:t>
      </w:r>
      <w:r w:rsidRPr="009D4627">
        <w:t xml:space="preserve"> caused </w:t>
      </w:r>
      <w:r w:rsidR="005C698A" w:rsidRPr="009D4627">
        <w:t>a</w:t>
      </w:r>
      <w:r w:rsidRPr="009D4627">
        <w:t xml:space="preserve"> reduction of blink rate, which induces corneal staining </w:t>
      </w:r>
      <w:r w:rsidRPr="009D4627">
        <w:fldChar w:fldCharType="begin"/>
      </w:r>
      <w:r w:rsidR="00945A16" w:rsidRPr="009D4627">
        <w:instrText xml:space="preserve"> ADDIN EN.CITE &lt;EndNote&gt;&lt;Cite&gt;&lt;Author&gt;Murphy&lt;/Author&gt;&lt;Year&gt;2001&lt;/Year&gt;&lt;IDText&gt;The effect of scleral search coil lens wear on the eye&lt;/IDText&gt;&lt;DisplayText&gt;(Murphy et al., 2001)&lt;/DisplayText&gt;&lt;record&gt;&lt;dates&gt;&lt;pub-dates&gt;&lt;date&gt;Mar&lt;/date&gt;&lt;/pub-dates&gt;&lt;year&gt;2001&lt;/year&gt;&lt;/dates&gt;&lt;urls&gt;&lt;related-urls&gt;&lt;url&gt;&amp;lt;Go to ISI&amp;gt;://WOS:000167396700021&lt;/url&gt;&lt;/related-urls&gt;&lt;/urls&gt;&lt;isbn&gt;0007-1161&lt;/isbn&gt;&lt;titles&gt;&lt;title&gt;The effect of scleral search coil lens wear on the eye&lt;/title&gt;&lt;secondary-title&gt;British Journal of Ophthalmology&lt;/secondary-title&gt;&lt;/titles&gt;&lt;pages&gt;332-335&lt;/pages&gt;&lt;number&gt;3&lt;/number&gt;&lt;contributors&gt;&lt;authors&gt;&lt;author&gt;Murphy, P. J.&lt;/author&gt;&lt;author&gt;Duncan, A. L.&lt;/author&gt;&lt;author&gt;Glennie, A. J.&lt;/author&gt;&lt;author&gt;Knox, P. C.&lt;/author&gt;&lt;/authors&gt;&lt;/contributors&gt;&lt;added-date format="utc"&gt;1499401251&lt;/added-date&gt;&lt;ref-type name="Journal Article"&gt;17&lt;/ref-type&gt;&lt;rec-number&gt;147&lt;/rec-number&gt;&lt;last-updated-date format="utc"&gt;1499401251&lt;/last-updated-date&gt;&lt;accession-num&gt;WOS:000167396700021&lt;/accession-num&gt;&lt;electronic-resource-num&gt;10.1136/bjo.85.3.332&lt;/electronic-resource-num&gt;&lt;volume&gt;85&lt;/volume&gt;&lt;/record&gt;&lt;/Cite&gt;&lt;/EndNote&gt;</w:instrText>
      </w:r>
      <w:r w:rsidRPr="009D4627">
        <w:fldChar w:fldCharType="separate"/>
      </w:r>
      <w:r w:rsidR="00945A16" w:rsidRPr="009D4627">
        <w:rPr>
          <w:noProof/>
        </w:rPr>
        <w:t>(Murphy et al., 2001)</w:t>
      </w:r>
      <w:r w:rsidRPr="009D4627">
        <w:fldChar w:fldCharType="end"/>
      </w:r>
      <w:r w:rsidRPr="009D4627">
        <w:t xml:space="preserve">. However, </w:t>
      </w:r>
      <w:r w:rsidR="00AE6F60" w:rsidRPr="009D4627">
        <w:t xml:space="preserve">a study refuted </w:t>
      </w:r>
      <w:r w:rsidRPr="009D4627">
        <w:t xml:space="preserve">that </w:t>
      </w:r>
      <w:r w:rsidR="00AE6F60" w:rsidRPr="009D4627">
        <w:t xml:space="preserve">it </w:t>
      </w:r>
      <w:r w:rsidRPr="009D4627">
        <w:t xml:space="preserve">did not use any form of visual fixation, but corneal staining </w:t>
      </w:r>
      <w:r w:rsidR="005C698A" w:rsidRPr="009D4627">
        <w:t xml:space="preserve">was still observed </w:t>
      </w:r>
      <w:r w:rsidRPr="009D4627">
        <w:t xml:space="preserve">at </w:t>
      </w:r>
      <w:r w:rsidR="005C698A" w:rsidRPr="009D4627">
        <w:t xml:space="preserve">a </w:t>
      </w:r>
      <w:r w:rsidRPr="009D4627">
        <w:t xml:space="preserve">very early stage of the experiment </w:t>
      </w:r>
      <w:r w:rsidRPr="009D4627">
        <w:fldChar w:fldCharType="begin"/>
      </w:r>
      <w:r w:rsidR="00C40138" w:rsidRPr="009D4627">
        <w:instrText xml:space="preserve"> ADDIN EN.CITE &lt;EndNote&gt;&lt;Cite&gt;&lt;Author&gt;Irving&lt;/Author&gt;&lt;Year&gt;2003&lt;/Year&gt;&lt;IDText&gt;Effects of scleral search coil wear on visual function&lt;/IDText&gt;&lt;DisplayText&gt;(Irving et al., 2003)&lt;/DisplayText&gt;&lt;record&gt;&lt;dates&gt;&lt;pub-dates&gt;&lt;date&gt;May&lt;/date&gt;&lt;/pub-dates&gt;&lt;year&gt;2003&lt;/year&gt;&lt;/dates&gt;&lt;urls&gt;&lt;related-urls&gt;&lt;url&gt;&amp;lt;Go to ISI&amp;gt;://WOS:000182503700021&lt;/url&gt;&lt;/related-urls&gt;&lt;/urls&gt;&lt;isbn&gt;0146-0404&lt;/isbn&gt;&lt;titles&gt;&lt;title&gt;Effects of scleral search coil wear on visual function&lt;/title&gt;&lt;secondary-title&gt;Investigative Ophthalmology &amp;amp; Visual Science&lt;/secondary-title&gt;&lt;/titles&gt;&lt;pages&gt;1933-1938&lt;/pages&gt;&lt;number&gt;5&lt;/number&gt;&lt;contributors&gt;&lt;authors&gt;&lt;author&gt;Irving, E. L.&lt;/author&gt;&lt;author&gt;Zacher, J. E.&lt;/author&gt;&lt;author&gt;Allison, R. S.&lt;/author&gt;&lt;author&gt;Callender, M. G.&lt;/author&gt;&lt;/authors&gt;&lt;/contributors&gt;&lt;added-date format="utc"&gt;1499401251&lt;/added-date&gt;&lt;ref-type name="Journal Article"&gt;17&lt;/ref-type&gt;&lt;rec-number&gt;146&lt;/rec-number&gt;&lt;last-updated-date format="utc"&gt;1499401251&lt;/last-updated-date&gt;&lt;accession-num&gt;WOS:000182503700021&lt;/accession-num&gt;&lt;electronic-resource-num&gt;10.1167/iovs.01-0926&lt;/electronic-resource-num&gt;&lt;volume&gt;44&lt;/volume&gt;&lt;/record&gt;&lt;/Cite&gt;&lt;/EndNote&gt;</w:instrText>
      </w:r>
      <w:r w:rsidRPr="009D4627">
        <w:fldChar w:fldCharType="separate"/>
      </w:r>
      <w:r w:rsidR="00C40138" w:rsidRPr="009D4627">
        <w:rPr>
          <w:noProof/>
        </w:rPr>
        <w:t>(Irving et al., 2003)</w:t>
      </w:r>
      <w:r w:rsidRPr="009D4627">
        <w:fldChar w:fldCharType="end"/>
      </w:r>
      <w:r w:rsidRPr="009D4627">
        <w:t>. Therefore, th</w:t>
      </w:r>
      <w:r w:rsidR="005C698A" w:rsidRPr="009D4627">
        <w:t>e</w:t>
      </w:r>
      <w:r w:rsidRPr="009D4627">
        <w:t xml:space="preserve">se studies demonstrated that the use of scleral coils potentially induces a detrimental effect on the cornea due to </w:t>
      </w:r>
      <w:r w:rsidR="005C698A" w:rsidRPr="009D4627">
        <w:t>being</w:t>
      </w:r>
      <w:r w:rsidRPr="009D4627">
        <w:t xml:space="preserve"> invasive, even </w:t>
      </w:r>
      <w:r w:rsidR="005C698A" w:rsidRPr="009D4627">
        <w:t xml:space="preserve">before </w:t>
      </w:r>
      <w:r w:rsidRPr="009D4627">
        <w:t>any visual task requiring eye movements. Hence, implementing non-invasive procedures capable of producing a comparable result with the search coil is required for clinical routine testing.</w:t>
      </w:r>
    </w:p>
    <w:p w14:paraId="6CDA35F3" w14:textId="20E65271" w:rsidR="00547D87" w:rsidRPr="009D4627" w:rsidRDefault="00547D87" w:rsidP="00390EBC">
      <w:r w:rsidRPr="009D4627">
        <w:t xml:space="preserve">Infrared (IR) eye movement recorders have a relatively high spatial and temporal resolution, </w:t>
      </w:r>
      <w:r w:rsidR="005C698A" w:rsidRPr="009D4627">
        <w:t xml:space="preserve">allowing good clinical accuracy. Examples include </w:t>
      </w:r>
      <w:r w:rsidRPr="009D4627">
        <w:t xml:space="preserve">Chronos </w:t>
      </w:r>
      <w:r w:rsidRPr="009D4627">
        <w:fldChar w:fldCharType="begin"/>
      </w:r>
      <w:r w:rsidR="00C40138" w:rsidRPr="009D4627">
        <w:instrText xml:space="preserve"> ADDIN EN.CITE &lt;EndNote&gt;&lt;Cite&gt;&lt;Author&gt;Houben&lt;/Author&gt;&lt;Year&gt;2006&lt;/Year&gt;&lt;IDText&gt;Recording three-dimensional eye movements: Scleral search coils versus video oculography&lt;/IDText&gt;&lt;DisplayText&gt;(Houben et al., 2006)&lt;/DisplayText&gt;&lt;record&gt;&lt;dates&gt;&lt;pub-dates&gt;&lt;date&gt;Jan&lt;/date&gt;&lt;/pub-dates&gt;&lt;year&gt;2006&lt;/year&gt;&lt;/dates&gt;&lt;keywords&gt;&lt;keyword&gt;ocular torsion&lt;/keyword&gt;&lt;keyword&gt;listing law&lt;/keyword&gt;&lt;keyword&gt;saccades&lt;/keyword&gt;&lt;keyword&gt;mathematics&lt;/keyword&gt;&lt;keyword&gt;orientation&lt;/keyword&gt;&lt;keyword&gt;&lt;/keyword&gt;&lt;keyword&gt;stability&lt;/keyword&gt;&lt;keyword&gt;humans&lt;/keyword&gt;&lt;keyword&gt;blinks&lt;/keyword&gt;&lt;keyword&gt;Ophthalmology&lt;/keyword&gt;&lt;/keywords&gt;&lt;urls&gt;&lt;related-urls&gt;&lt;url&gt;&amp;lt;Go to ISI&amp;gt;://WOS:000234289700025&lt;/url&gt;&lt;/related-urls&gt;&lt;/urls&gt;&lt;isbn&gt;0146-0404&lt;/isbn&gt;&lt;work-type&gt;Article&lt;/work-type&gt;&lt;titles&gt;&lt;title&gt;Recording three-dimensional eye movements: Scleral search coils versus video oculography&lt;/title&gt;&lt;secondary-title&gt;Investigative Ophthalmology &amp;amp; Visual Science&lt;/secondary-title&gt;&lt;alt-title&gt;Invest. Ophthalmol. Vis. Sci.&lt;/alt-title&gt;&lt;/titles&gt;&lt;pages&gt;179-187&lt;/pages&gt;&lt;number&gt;1&lt;/number&gt;&lt;contributors&gt;&lt;authors&gt;&lt;author&gt;Houben, M. M. J.&lt;/author&gt;&lt;author&gt;Goumans, J.&lt;/author&gt;&lt;author&gt;van der Steen, J.&lt;/author&gt;&lt;/authors&gt;&lt;/contributors&gt;&lt;language&gt;English&lt;/language&gt;&lt;added-date format="utc"&gt;1490793823&lt;/added-date&gt;&lt;ref-type name="Journal Article"&gt;17&lt;/ref-type&gt;&lt;auth-address&gt;Erasmus Univ, Dept Neurosci, Med Ctr, NL-3000 DR Rotterdam, Netherlands. Erasmus Univ, Dept Otorhinolaryngol, Med Ctr, NL-3000 DR Rotterdam, Netherlands.&amp;#xD;van der Steen, J (reprint author), Erasmus Univ, Dept Neurosci, Med Ctr, Room Ee1259,POB 1738, NL-3000 DR Rotterdam, Netherlands.&amp;#xD;j.vandersteen@erasmusmc.nl&lt;/auth-address&gt;&lt;rec-number&gt;29&lt;/rec-number&gt;&lt;last-updated-date format="utc"&gt;1490793823&lt;/last-updated-date&gt;&lt;accession-num&gt;WOS:000234289700025&lt;/accession-num&gt;&lt;electronic-resource-num&gt;10.1167/iovs.05-0234&lt;/electronic-resource-num&gt;&lt;volume&gt;47&lt;/volume&gt;&lt;/record&gt;&lt;/Cite&gt;&lt;/EndNote&gt;</w:instrText>
      </w:r>
      <w:r w:rsidRPr="009D4627">
        <w:fldChar w:fldCharType="separate"/>
      </w:r>
      <w:r w:rsidR="00C40138" w:rsidRPr="009D4627">
        <w:rPr>
          <w:noProof/>
        </w:rPr>
        <w:t>(Houben et al., 2006)</w:t>
      </w:r>
      <w:r w:rsidRPr="009D4627">
        <w:fldChar w:fldCharType="end"/>
      </w:r>
      <w:r w:rsidRPr="009D4627">
        <w:t xml:space="preserve">, </w:t>
      </w:r>
      <w:proofErr w:type="spellStart"/>
      <w:r w:rsidRPr="009D4627">
        <w:t>Oculometrics</w:t>
      </w:r>
      <w:proofErr w:type="spellEnd"/>
      <w:r w:rsidRPr="009D4627">
        <w:t xml:space="preserve"> </w:t>
      </w:r>
      <w:r w:rsidRPr="009D4627">
        <w:fldChar w:fldCharType="begin"/>
      </w:r>
      <w:r w:rsidR="00C40138" w:rsidRPr="009D4627">
        <w:instrText xml:space="preserve"> ADDIN EN.CITE &lt;EndNote&gt;&lt;Cite&gt;&lt;Author&gt;Schmitt&lt;/Author&gt;&lt;Year&gt;2007&lt;/Year&gt;&lt;IDText&gt;Comparing eye movements recorded by search coil and infrared eye tracking&lt;/IDText&gt;&lt;DisplayText&gt;(Schmitt et al., 2007)&lt;/DisplayText&gt;&lt;record&gt;&lt;keywords&gt;&lt;keyword&gt;eye movements&lt;/keyword&gt;&lt;keyword&gt;human&lt;/keyword&gt;&lt;keyword&gt;magnetic search coil&lt;/keyword&gt;&lt;keyword&gt;saccade&lt;/keyword&gt;&lt;keyword&gt;video&lt;/keyword&gt;&lt;keyword&gt;infrared&lt;/keyword&gt;&lt;keyword&gt;eye tracking.&lt;/keyword&gt;&lt;/keywords&gt;&lt;isbn&gt;1387-1307&lt;/isbn&gt;&lt;titles&gt;&lt;title&gt;Comparing eye movements recorded by search coil and infrared eye tracking&lt;/title&gt;&lt;secondary-title&gt;J Clin Monit Comput&lt;/secondary-title&gt;&lt;/titles&gt;&lt;pages&gt;49-53&lt;/pages&gt;&lt;number&gt;1&lt;/number&gt;&lt;contributors&gt;&lt;authors&gt;&lt;author&gt;Schmitt, Kai-Uwe&lt;/author&gt;&lt;author&gt;Muser, Markus&lt;/author&gt;&lt;author&gt;Lanz, Christian&lt;/author&gt;&lt;author&gt;Walz, Felix&lt;/author&gt;&lt;author&gt;Schwarz, Urs&lt;/author&gt;&lt;/authors&gt;&lt;/contributors&gt;&lt;added-date format="utc"&gt;1490361014&lt;/added-date&gt;&lt;pub-location&gt;Dordrecht&lt;/pub-location&gt;&lt;ref-type name="Journal Article"&gt;17&lt;/ref-type&gt;&lt;dates&gt;&lt;year&gt;2007&lt;/year&gt;&lt;/dates&gt;&lt;rec-number&gt;25&lt;/rec-number&gt;&lt;last-updated-date format="utc"&gt;1490361014&lt;/last-updated-date&gt;&lt;electronic-resource-num&gt;10.1007/s10877-006-9057-5&lt;/electronic-resource-num&gt;&lt;volume&gt;21&lt;/volume&gt;&lt;/record&gt;&lt;/Cite&gt;&lt;/EndNote&gt;</w:instrText>
      </w:r>
      <w:r w:rsidRPr="009D4627">
        <w:fldChar w:fldCharType="separate"/>
      </w:r>
      <w:r w:rsidR="00C40138" w:rsidRPr="009D4627">
        <w:rPr>
          <w:noProof/>
        </w:rPr>
        <w:t>(Schmitt et al., 2007)</w:t>
      </w:r>
      <w:r w:rsidRPr="009D4627">
        <w:fldChar w:fldCharType="end"/>
      </w:r>
      <w:r w:rsidRPr="009D4627">
        <w:t xml:space="preserve">, and </w:t>
      </w:r>
      <w:proofErr w:type="spellStart"/>
      <w:r w:rsidRPr="009D4627">
        <w:t>EyeLink</w:t>
      </w:r>
      <w:proofErr w:type="spellEnd"/>
      <w:r w:rsidRPr="009D4627">
        <w:t xml:space="preserve"> system </w:t>
      </w:r>
      <w:r w:rsidRPr="009D4627">
        <w:fldChar w:fldCharType="begin"/>
      </w:r>
      <w:r w:rsidR="00376CCD" w:rsidRPr="009D4627">
        <w:instrText xml:space="preserve"> ADDIN EN.CITE &lt;EndNote&gt;&lt;Cite&gt;&lt;Author&gt;van der Geest&lt;/Author&gt;&lt;Year&gt;2002&lt;/Year&gt;&lt;IDText&gt;Recording eye movements with video-oculography and scleral search coils: A direct comparison of two methods&lt;/IDText&gt;&lt;DisplayText&gt;(van der Geest &amp;amp; Frens, 2002)&lt;/DisplayText&gt;&lt;record&gt;&lt;keywords&gt;&lt;keyword&gt;Human&lt;/keyword&gt;&lt;keyword&gt;Search coil&lt;/keyword&gt;&lt;keyword&gt;Fixation&lt;/keyword&gt;&lt;keyword&gt;Recording technique&lt;/keyword&gt;&lt;keyword&gt;Video-oculography&lt;/keyword&gt;&lt;keyword&gt;Saccade&lt;/keyword&gt;&lt;keyword&gt;Eye movement&lt;/keyword&gt;&lt;keyword&gt;Biochemistry &amp;amp; Molecular Biology&lt;/keyword&gt;&lt;keyword&gt;Neurosciences&lt;/keyword&gt;&lt;keyword&gt;Neurosciences &amp;amp; Neurology&lt;/keyword&gt;&lt;keyword&gt;Life Sciences &amp;amp; Biomedicine&lt;/keyword&gt;&lt;keyword&gt;Biochemical Research Methods&lt;/keyword&gt;&lt;keyword&gt;Science &amp;amp; Technology&lt;/keyword&gt;&lt;keyword&gt;Video Recording - instrumentation&lt;/keyword&gt;&lt;keyword&gt;Eye Movements - physiology&lt;/keyword&gt;&lt;keyword&gt;Photic Stimulation - methods&lt;/keyword&gt;&lt;keyword&gt;Immobilization - physiology&lt;/keyword&gt;&lt;keyword&gt;Humans&lt;/keyword&gt;&lt;keyword&gt;Video Recording - methods&lt;/keyword&gt;&lt;keyword&gt;Male&lt;/keyword&gt;&lt;keyword&gt;Saccades - physiology&lt;/keyword&gt;&lt;keyword&gt;Sclera&lt;/keyword&gt;&lt;/keywords&gt;&lt;isbn&gt;0165-0270&lt;/isbn&gt;&lt;titles&gt;&lt;title&gt;Recording eye movements with video-oculography and scleral search coils: A direct comparison of two methods&lt;/title&gt;&lt;secondary-title&gt;J Neurosci Methods&lt;/secondary-title&gt;&lt;/titles&gt;&lt;pages&gt;185-195&lt;/pages&gt;&lt;number&gt;2&lt;/number&gt;&lt;contributors&gt;&lt;authors&gt;&lt;author&gt;van der Geest, J. N.&lt;/author&gt;&lt;author&gt;Frens, M. A.&lt;/author&gt;&lt;/authors&gt;&lt;/contributors&gt;&lt;added-date format="utc"&gt;1603173206&lt;/added-date&gt;&lt;pub-location&gt;AMSTERDAM&lt;/pub-location&gt;&lt;ref-type name="Journal Article"&gt;17&lt;/ref-type&gt;&lt;dates&gt;&lt;year&gt;2002&lt;/year&gt;&lt;/dates&gt;&lt;rec-number&gt;711&lt;/rec-number&gt;&lt;publisher&gt;AMSTERDAM: Elsevier B.V&lt;/publisher&gt;&lt;last-updated-date format="utc"&gt;1603173253&lt;/last-updated-date&gt;&lt;electronic-resource-num&gt;10.1016/S0165-0270(01)00527-1&lt;/electronic-resource-num&gt;&lt;volume&gt;114&lt;/volume&gt;&lt;/record&gt;&lt;/Cite&gt;&lt;/EndNote&gt;</w:instrText>
      </w:r>
      <w:r w:rsidRPr="009D4627">
        <w:fldChar w:fldCharType="separate"/>
      </w:r>
      <w:r w:rsidR="00376CCD" w:rsidRPr="009D4627">
        <w:rPr>
          <w:noProof/>
        </w:rPr>
        <w:t>(van der Geest &amp; Frens, 2002)</w:t>
      </w:r>
      <w:r w:rsidRPr="009D4627">
        <w:fldChar w:fldCharType="end"/>
      </w:r>
      <w:r w:rsidRPr="009D4627">
        <w:t xml:space="preserve">. </w:t>
      </w:r>
      <w:r w:rsidR="008B7083" w:rsidRPr="009D4627">
        <w:t>Therefore, with advances in technology, a non-invasive video-based eye-tracking system using IR has been used in research settings and has been documented to produce comparable results to the search coil method</w:t>
      </w:r>
      <w:r w:rsidRPr="009D4627">
        <w:t xml:space="preserve"> </w:t>
      </w:r>
      <w:r w:rsidRPr="009D4627">
        <w:fldChar w:fldCharType="begin">
          <w:fldData xml:space="preserve">PEVuZE5vdGU+PENpdGU+PEF1dGhvcj52YW4gZGVyIEdlZXN0PC9BdXRob3I+PFllYXI+MjAwMjwv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</w:fldData>
        </w:fldChar>
      </w:r>
      <w:r w:rsidR="00945A16" w:rsidRPr="009D4627">
        <w:instrText xml:space="preserve"> ADDIN EN.CITE </w:instrText>
      </w:r>
      <w:r w:rsidR="00945A16" w:rsidRPr="009D4627">
        <w:fldChar w:fldCharType="begin">
          <w:fldData xml:space="preserve">PEVuZE5vdGU+PENpdGU+PEF1dGhvcj52YW4gZGVyIEdlZXN0PC9BdXRob3I+PFllYXI+MjAwMjwv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</w:fldData>
        </w:fldChar>
      </w:r>
      <w:r w:rsidR="00945A16" w:rsidRPr="009D4627">
        <w:instrText xml:space="preserve"> ADDIN EN.CITE.DATA </w:instrText>
      </w:r>
      <w:r w:rsidR="00945A16" w:rsidRPr="009D4627">
        <w:fldChar w:fldCharType="end"/>
      </w:r>
      <w:r w:rsidRPr="009D4627">
        <w:fldChar w:fldCharType="separate"/>
      </w:r>
      <w:r w:rsidR="00945A16" w:rsidRPr="009D4627">
        <w:rPr>
          <w:noProof/>
        </w:rPr>
        <w:t>(Houben et al., 2006; Schmitt et al., 2007; van der Geest &amp; Frens, 2002)</w:t>
      </w:r>
      <w:r w:rsidRPr="009D4627">
        <w:fldChar w:fldCharType="end"/>
      </w:r>
      <w:r w:rsidRPr="009D4627">
        <w:t xml:space="preserve">. </w:t>
      </w:r>
    </w:p>
    <w:p w14:paraId="68EDD159" w14:textId="30C980BA" w:rsidR="00547D87" w:rsidRPr="009D4627" w:rsidRDefault="00547D87" w:rsidP="00527411">
      <w:r w:rsidRPr="009D4627">
        <w:t xml:space="preserve">A study conducted to evaluate the two methods of eye recording (i.e., search coil versus </w:t>
      </w:r>
      <w:proofErr w:type="spellStart"/>
      <w:r w:rsidRPr="009D4627">
        <w:t>EyeLink</w:t>
      </w:r>
      <w:proofErr w:type="spellEnd"/>
      <w:r w:rsidRPr="009D4627">
        <w:t xml:space="preserve"> version 2.04, SR Research Ltd/SMI) among four healthy adults found a high </w:t>
      </w:r>
      <w:r w:rsidR="008B7083" w:rsidRPr="009D4627">
        <w:t>correlation between the methods for the measurement of the horizontal and vertical saccadic parameters, including the amplitude, duration and peak velocities</w:t>
      </w:r>
      <w:r w:rsidRPr="009D4627">
        <w:t xml:space="preserve"> </w:t>
      </w:r>
      <w:r w:rsidRPr="009D4627">
        <w:fldChar w:fldCharType="begin"/>
      </w:r>
      <w:r w:rsidR="00376CCD" w:rsidRPr="009D4627">
        <w:instrText xml:space="preserve"> ADDIN EN.CITE &lt;EndNote&gt;&lt;Cite&gt;&lt;Author&gt;van der Geest&lt;/Author&gt;&lt;Year&gt;2002&lt;/Year&gt;&lt;IDText&gt;Recording eye movements with video-oculography and scleral search coils: A direct comparison of two methods&lt;/IDText&gt;&lt;DisplayText&gt;(van der Geest &amp;amp; Frens, 2002)&lt;/DisplayText&gt;&lt;record&gt;&lt;keywords&gt;&lt;keyword&gt;Human&lt;/keyword&gt;&lt;keyword&gt;Search coil&lt;/keyword&gt;&lt;keyword&gt;Fixation&lt;/keyword&gt;&lt;keyword&gt;Recording technique&lt;/keyword&gt;&lt;keyword&gt;Video-oculography&lt;/keyword&gt;&lt;keyword&gt;Saccade&lt;/keyword&gt;&lt;keyword&gt;Eye movement&lt;/keyword&gt;&lt;keyword&gt;Biochemistry &amp;amp; Molecular Biology&lt;/keyword&gt;&lt;keyword&gt;Neurosciences&lt;/keyword&gt;&lt;keyword&gt;Neurosciences &amp;amp; Neurology&lt;/keyword&gt;&lt;keyword&gt;Life Sciences &amp;amp; Biomedicine&lt;/keyword&gt;&lt;keyword&gt;Biochemical Research Methods&lt;/keyword&gt;&lt;keyword&gt;Science &amp;amp; Technology&lt;/keyword&gt;&lt;keyword&gt;Video Recording - instrumentation&lt;/keyword&gt;&lt;keyword&gt;Eye Movements - physiology&lt;/keyword&gt;&lt;keyword&gt;Photic Stimulation - methods&lt;/keyword&gt;&lt;keyword&gt;Immobilization - physiology&lt;/keyword&gt;&lt;keyword&gt;Humans&lt;/keyword&gt;&lt;keyword&gt;Video Recording - methods&lt;/keyword&gt;&lt;keyword&gt;Male&lt;/keyword&gt;&lt;keyword&gt;Saccades - physiology&lt;/keyword&gt;&lt;keyword&gt;Sclera&lt;/keyword&gt;&lt;/keywords&gt;&lt;isbn&gt;0165-0270&lt;/isbn&gt;&lt;titles&gt;&lt;title&gt;Recording eye movements with video-oculography and scleral search coils: A direct comparison of two methods&lt;/title&gt;&lt;secondary-title&gt;J Neurosci Methods&lt;/secondary-title&gt;&lt;/titles&gt;&lt;pages&gt;185-195&lt;/pages&gt;&lt;number&gt;2&lt;/number&gt;&lt;contributors&gt;&lt;authors&gt;&lt;author&gt;van der Geest, J. N.&lt;/author&gt;&lt;author&gt;Frens, M. A.&lt;/author&gt;&lt;/authors&gt;&lt;/contributors&gt;&lt;added-date format="utc"&gt;1603173206&lt;/added-date&gt;&lt;pub-location&gt;AMSTERDAM&lt;/pub-location&gt;&lt;ref-type name="Journal Article"&gt;17&lt;/ref-type&gt;&lt;dates&gt;&lt;year&gt;2002&lt;/year&gt;&lt;/dates&gt;&lt;rec-number&gt;711&lt;/rec-number&gt;&lt;publisher&gt;AMSTERDAM: Elsevier B.V&lt;/publisher&gt;&lt;last-updated-date format="utc"&gt;1603173253&lt;/last-updated-date&gt;&lt;electronic-resource-num&gt;10.1016/S0165-0270(01)00527-1&lt;/electronic-resource-num&gt;&lt;volume&gt;114&lt;/volume&gt;&lt;/record&gt;&lt;/Cite&gt;&lt;/EndNote&gt;</w:instrText>
      </w:r>
      <w:r w:rsidRPr="009D4627">
        <w:fldChar w:fldCharType="separate"/>
      </w:r>
      <w:r w:rsidR="00376CCD" w:rsidRPr="009D4627">
        <w:rPr>
          <w:noProof/>
        </w:rPr>
        <w:t>(van der Geest &amp; Frens, 2002)</w:t>
      </w:r>
      <w:r w:rsidRPr="009D4627">
        <w:fldChar w:fldCharType="end"/>
      </w:r>
      <w:r w:rsidRPr="009D4627">
        <w:t>. They analysed the main sequence relationships (i.e., amplitude</w:t>
      </w:r>
      <w:r w:rsidR="00AE6F60" w:rsidRPr="009D4627">
        <w:t xml:space="preserve"> </w:t>
      </w:r>
      <w:r w:rsidRPr="009D4627">
        <w:t>–</w:t>
      </w:r>
      <w:r w:rsidR="00AE6F60" w:rsidRPr="009D4627">
        <w:t xml:space="preserve"> </w:t>
      </w:r>
      <w:r w:rsidRPr="009D4627">
        <w:t>peak velocity and amplitude</w:t>
      </w:r>
      <w:r w:rsidR="00AE6F60" w:rsidRPr="009D4627">
        <w:t xml:space="preserve"> </w:t>
      </w:r>
      <w:r w:rsidRPr="009D4627">
        <w:t>–</w:t>
      </w:r>
      <w:r w:rsidR="00AE6F60" w:rsidRPr="009D4627">
        <w:t xml:space="preserve"> </w:t>
      </w:r>
      <w:r w:rsidRPr="009D4627">
        <w:t xml:space="preserve">duration). </w:t>
      </w:r>
      <w:r w:rsidR="008B7083" w:rsidRPr="009D4627">
        <w:t>They found that although the video-based eye</w:t>
      </w:r>
      <w:r w:rsidR="00AE6F60" w:rsidRPr="009D4627">
        <w:t>-</w:t>
      </w:r>
      <w:r w:rsidR="008B7083" w:rsidRPr="009D4627">
        <w:t xml:space="preserve">tracker produced </w:t>
      </w:r>
      <w:r w:rsidR="008B7083" w:rsidRPr="009D4627">
        <w:lastRenderedPageBreak/>
        <w:t xml:space="preserve">significantly smaller total values for </w:t>
      </w:r>
      <w:r w:rsidR="00944720" w:rsidRPr="009D4627">
        <w:t>saccadic</w:t>
      </w:r>
      <w:r w:rsidR="008B7083" w:rsidRPr="009D4627">
        <w:t xml:space="preserve"> parameters than the search coil, it did not affect the saccadic performance. The results demonstrated a good correlation for peak velocity measurements and </w:t>
      </w:r>
      <w:r w:rsidR="00944720" w:rsidRPr="009D4627">
        <w:t>saccadic</w:t>
      </w:r>
      <w:r w:rsidR="008B7083" w:rsidRPr="009D4627">
        <w:t xml:space="preserve"> duration up to 30° amplitude between the two instruments. The correlation slopes were 1.075</w:t>
      </w:r>
      <w:r w:rsidR="00AE6F60" w:rsidRPr="009D4627">
        <w:t xml:space="preserve"> </w:t>
      </w:r>
      <w:r w:rsidR="008B7083" w:rsidRPr="009D4627">
        <w:t xml:space="preserve">±0.072 for peak velocity and 1.030 ±0.028 for </w:t>
      </w:r>
      <w:r w:rsidR="00AE6F60" w:rsidRPr="009D4627">
        <w:t xml:space="preserve">the </w:t>
      </w:r>
      <w:r w:rsidR="00944720" w:rsidRPr="009D4627">
        <w:t>saccadic</w:t>
      </w:r>
      <w:r w:rsidR="008B7083" w:rsidRPr="009D4627">
        <w:t xml:space="preserve"> duration, indicating they are comparable in tracking rapid eye movements </w:t>
      </w:r>
      <w:r w:rsidRPr="009D4627">
        <w:fldChar w:fldCharType="begin">
          <w:fldData xml:space="preserve">PEVuZE5vdGU+PENpdGU+PEF1dGhvcj52YW4gZGVyIEdlZXN0PC9BdXRob3I+PFllYXI+MjAwMjwv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</w:fldData>
        </w:fldChar>
      </w:r>
      <w:r w:rsidR="00C40138" w:rsidRPr="009D4627">
        <w:instrText xml:space="preserve"> ADDIN EN.CITE </w:instrText>
      </w:r>
      <w:r w:rsidR="00C40138" w:rsidRPr="009D4627">
        <w:fldChar w:fldCharType="begin">
          <w:fldData xml:space="preserve">PEVuZE5vdGU+PENpdGU+PEF1dGhvcj52YW4gZGVyIEdlZXN0PC9BdXRob3I+PFllYXI+MjAwMjwv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(Houben et al., 2006; Traisk et al., 2005; van der Geest &amp; Frens, 2002)</w:t>
      </w:r>
      <w:r w:rsidRPr="009D4627">
        <w:fldChar w:fldCharType="end"/>
      </w:r>
      <w:r w:rsidRPr="009D4627">
        <w:t>.</w:t>
      </w:r>
      <w:r w:rsidR="00AE6F60" w:rsidRPr="009D4627">
        <w:t xml:space="preserve"> </w:t>
      </w:r>
      <w:r w:rsidRPr="009D4627">
        <w:t xml:space="preserve"> </w:t>
      </w:r>
      <w:r w:rsidR="00AE6F60" w:rsidRPr="009D4627">
        <w:t xml:space="preserve">However, they found a high correlation since they measured from the same subjects. Hence, they were supposed to do a Bland Altman assessment instead of correlation statistics. </w:t>
      </w:r>
      <w:r w:rsidR="008B7083" w:rsidRPr="009D4627">
        <w:t>They also found no significant drift in the video recording, justifying the method's ability to record small or stable fixational eye movements (Figure 1.1</w:t>
      </w:r>
      <w:r w:rsidR="00DB6112" w:rsidRPr="009D4627">
        <w:t>4</w:t>
      </w:r>
      <w:r w:rsidR="008B7083" w:rsidRPr="009D4627">
        <w:t>).</w:t>
      </w:r>
      <w:r w:rsidRPr="009D4627">
        <w:t xml:space="preserve"> </w:t>
      </w:r>
    </w:p>
    <w:p w14:paraId="3F6328A0" w14:textId="77777777" w:rsidR="00547D87" w:rsidRPr="009D4627" w:rsidRDefault="00547D87" w:rsidP="00C4130D">
      <w:pPr>
        <w:pStyle w:val="Caption"/>
      </w:pPr>
      <w:r w:rsidRPr="009D4627">
        <w:rPr>
          <w:noProof/>
        </w:rPr>
        <w:drawing>
          <wp:inline distT="0" distB="0" distL="0" distR="0" wp14:anchorId="0DECC49E" wp14:editId="73BD0488">
            <wp:extent cx="3246824" cy="2390400"/>
            <wp:effectExtent l="0" t="0" r="0" b="0"/>
            <wp:docPr id="412" name="Picture 412" descr="C:\Users\Wafirah Shafee\Downloads\van der ge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afirah Shafee\Downloads\van der geest.gif"/>
                    <pic:cNvPicPr>
                      <a:picLocks noChangeAspect="1" noChangeArrowheads="1"/>
                    </pic:cNvPicPr>
                  </pic:nvPicPr>
                  <pic:blipFill>
                    <a:blip r:embed="rId44" cstate="screen">
                      <a:extLst>
                        <a:ext uri="{28A0092B-C50C-407E-A947-70E740481C1C}">
                          <a14:useLocalDpi xmlns:a14="http://schemas.microsoft.com/office/drawing/2010/main" val="0"/>
                        </a:ext>
                      </a:extLst>
                    </a:blip>
                    <a:srcRect/>
                    <a:stretch>
                      <a:fillRect/>
                    </a:stretch>
                  </pic:blipFill>
                  <pic:spPr bwMode="auto">
                    <a:xfrm>
                      <a:off x="0" y="0"/>
                      <a:ext cx="3246824" cy="2390400"/>
                    </a:xfrm>
                    <a:prstGeom prst="rect">
                      <a:avLst/>
                    </a:prstGeom>
                    <a:noFill/>
                    <a:ln>
                      <a:noFill/>
                    </a:ln>
                  </pic:spPr>
                </pic:pic>
              </a:graphicData>
            </a:graphic>
          </wp:inline>
        </w:drawing>
      </w:r>
    </w:p>
    <w:p w14:paraId="5A1A5EE3" w14:textId="707BAEDF" w:rsidR="00547D87" w:rsidRPr="009D4627" w:rsidRDefault="00DB6112" w:rsidP="00C4130D">
      <w:pPr>
        <w:pStyle w:val="Caption"/>
      </w:pPr>
      <w:bookmarkStart w:id="85" w:name="_Toc73804905"/>
      <w:bookmarkStart w:id="86" w:name="_Toc73609243"/>
      <w:bookmarkStart w:id="87" w:name="_Toc98570015"/>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14</w:t>
      </w:r>
      <w:r w:rsidR="002E63E9" w:rsidRPr="009D4627">
        <w:rPr>
          <w:noProof/>
        </w:rPr>
        <w:fldChar w:fldCharType="end"/>
      </w:r>
      <w:r w:rsidRPr="009D4627">
        <w:t xml:space="preserve">: </w:t>
      </w:r>
      <w:r w:rsidR="008B7083" w:rsidRPr="009D4627">
        <w:t xml:space="preserve">Simultaneous </w:t>
      </w:r>
      <w:r w:rsidRPr="009D4627">
        <w:t>EMR</w:t>
      </w:r>
      <w:r w:rsidR="008B7083" w:rsidRPr="009D4627">
        <w:t xml:space="preserve"> using two methods: video (</w:t>
      </w:r>
      <w:proofErr w:type="spellStart"/>
      <w:r w:rsidR="008B7083" w:rsidRPr="009D4627">
        <w:t>Eye</w:t>
      </w:r>
      <w:r w:rsidRPr="009D4627">
        <w:t>L</w:t>
      </w:r>
      <w:r w:rsidR="008B7083" w:rsidRPr="009D4627">
        <w:t>ink</w:t>
      </w:r>
      <w:proofErr w:type="spellEnd"/>
      <w:r w:rsidR="008B7083" w:rsidRPr="009D4627">
        <w:t>) shown as the thick black line versus coil (scleral search coil) shown as the thin grey line.</w:t>
      </w:r>
      <w:bookmarkEnd w:id="85"/>
      <w:r w:rsidR="00547D87" w:rsidRPr="009D4627">
        <w:t xml:space="preserve"> From van der </w:t>
      </w:r>
      <w:proofErr w:type="spellStart"/>
      <w:r w:rsidR="00547D87" w:rsidRPr="009D4627">
        <w:t>Geest</w:t>
      </w:r>
      <w:proofErr w:type="spellEnd"/>
      <w:r w:rsidR="00547D87" w:rsidRPr="009D4627">
        <w:t xml:space="preserve"> and </w:t>
      </w:r>
      <w:proofErr w:type="spellStart"/>
      <w:r w:rsidR="00547D87" w:rsidRPr="009D4627">
        <w:t>Frens</w:t>
      </w:r>
      <w:proofErr w:type="spellEnd"/>
      <w:r w:rsidR="00547D87" w:rsidRPr="009D4627">
        <w:t>, (2002).</w:t>
      </w:r>
      <w:bookmarkEnd w:id="86"/>
      <w:bookmarkEnd w:id="87"/>
    </w:p>
    <w:p w14:paraId="476F3E8B" w14:textId="756CEC12" w:rsidR="00547D87" w:rsidRPr="009D4627" w:rsidRDefault="008B7083" w:rsidP="00855A73">
      <w:r w:rsidRPr="009D4627">
        <w:t xml:space="preserve">Another study compared </w:t>
      </w:r>
      <w:r w:rsidR="00944720" w:rsidRPr="009D4627">
        <w:t>saccadic</w:t>
      </w:r>
      <w:r w:rsidRPr="009D4627">
        <w:t xml:space="preserve"> properties measured using a search coil and IR (</w:t>
      </w:r>
      <w:r w:rsidRPr="009D4627">
        <w:rPr>
          <w:color w:val="141314"/>
        </w:rPr>
        <w:t>Orbit XY-1000; IOTA, Sweden)</w:t>
      </w:r>
      <w:r w:rsidR="00547D87" w:rsidRPr="009D4627">
        <w:rPr>
          <w:color w:val="141314"/>
        </w:rPr>
        <w:t xml:space="preserve"> </w:t>
      </w:r>
      <w:r w:rsidR="00547D87" w:rsidRPr="009D4627">
        <w:rPr>
          <w:color w:val="141314"/>
        </w:rPr>
        <w:fldChar w:fldCharType="begin">
          <w:fldData xml:space="preserve">PEVuZE5vdGU+PENpdGU+PEF1dGhvcj5UcmFpc2s8L0F1dGhvcj48WWVhcj4yMDA1PC9ZZWFyPjxJ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</w:fldData>
        </w:fldChar>
      </w:r>
      <w:r w:rsidR="00945A16" w:rsidRPr="009D4627">
        <w:rPr>
          <w:color w:val="141314"/>
        </w:rPr>
        <w:instrText xml:space="preserve"> ADDIN EN.CITE </w:instrText>
      </w:r>
      <w:r w:rsidR="00945A16" w:rsidRPr="009D4627">
        <w:rPr>
          <w:color w:val="141314"/>
        </w:rPr>
        <w:fldChar w:fldCharType="begin">
          <w:fldData xml:space="preserve">PEVuZE5vdGU+PENpdGU+PEF1dGhvcj5UcmFpc2s8L0F1dGhvcj48WWVhcj4yMDA1PC9ZZWFyPjxJ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</w:fldData>
        </w:fldChar>
      </w:r>
      <w:r w:rsidR="00945A16" w:rsidRPr="009D4627">
        <w:rPr>
          <w:color w:val="141314"/>
        </w:rPr>
        <w:instrText xml:space="preserve"> ADDIN EN.CITE.DATA </w:instrText>
      </w:r>
      <w:r w:rsidR="00945A16" w:rsidRPr="009D4627">
        <w:rPr>
          <w:color w:val="141314"/>
        </w:rPr>
      </w:r>
      <w:r w:rsidR="00945A16" w:rsidRPr="009D4627">
        <w:rPr>
          <w:color w:val="141314"/>
        </w:rPr>
        <w:fldChar w:fldCharType="end"/>
      </w:r>
      <w:r w:rsidR="00547D87" w:rsidRPr="009D4627">
        <w:rPr>
          <w:color w:val="141314"/>
        </w:rPr>
      </w:r>
      <w:r w:rsidR="00547D87" w:rsidRPr="009D4627">
        <w:rPr>
          <w:color w:val="141314"/>
        </w:rPr>
        <w:fldChar w:fldCharType="separate"/>
      </w:r>
      <w:r w:rsidR="00945A16" w:rsidRPr="009D4627">
        <w:rPr>
          <w:noProof/>
          <w:color w:val="141314"/>
        </w:rPr>
        <w:t>(Traisk et al., 2005)</w:t>
      </w:r>
      <w:r w:rsidR="00547D87" w:rsidRPr="009D4627">
        <w:rPr>
          <w:color w:val="141314"/>
        </w:rPr>
        <w:fldChar w:fldCharType="end"/>
      </w:r>
      <w:r w:rsidR="00547D87" w:rsidRPr="009D4627">
        <w:rPr>
          <w:color w:val="141314"/>
        </w:rPr>
        <w:t>.</w:t>
      </w:r>
      <w:r w:rsidR="00547D87" w:rsidRPr="009D4627">
        <w:t xml:space="preserve"> In this study, </w:t>
      </w:r>
      <w:r w:rsidRPr="009D4627">
        <w:t xml:space="preserve">10 </w:t>
      </w:r>
      <w:r w:rsidR="00547D87" w:rsidRPr="009D4627">
        <w:t xml:space="preserve">healthy adults, mean age 38 years, were recruited. </w:t>
      </w:r>
      <w:r w:rsidR="00EF2F31" w:rsidRPr="009D4627">
        <w:t>Saccade</w:t>
      </w:r>
      <w:r w:rsidR="00944720" w:rsidRPr="009D4627">
        <w:t>s</w:t>
      </w:r>
      <w:r w:rsidR="00EF2F31" w:rsidRPr="009D4627">
        <w:t xml:space="preserve"> were measured within the angular range of ±20° horizontally and ±15° vertically. Both methods recorded saccadic eye movements at 500 Hz binocularly</w:t>
      </w:r>
      <w:r w:rsidR="00547D87" w:rsidRPr="009D4627">
        <w:t xml:space="preserve">. </w:t>
      </w:r>
      <w:r w:rsidR="00EF2F31" w:rsidRPr="009D4627">
        <w:t xml:space="preserve">The findings demonstrated that IR produced higher peak velocity and main sequence curves </w:t>
      </w:r>
      <w:r w:rsidR="00EF2F31" w:rsidRPr="009D4627">
        <w:lastRenderedPageBreak/>
        <w:t>compared with the search coil. They demonstrated that IR's peak velocity was significantly increased at a greater amplitude to</w:t>
      </w:r>
      <w:r w:rsidR="00AE6F60" w:rsidRPr="009D4627">
        <w:t xml:space="preserve"> the</w:t>
      </w:r>
      <w:r w:rsidR="00EF2F31" w:rsidRPr="009D4627">
        <w:t xml:space="preserve"> right and left gaze (Figure 1.1</w:t>
      </w:r>
      <w:r w:rsidR="00DB6112" w:rsidRPr="009D4627">
        <w:t>5</w:t>
      </w:r>
      <w:r w:rsidR="00EF2F31" w:rsidRPr="009D4627">
        <w:t>). They suggested a possible reason for reduced peak velocity for the search coil method was that the contact lens mounted in the eye induced a low pass filter, slowing down the recording process.</w:t>
      </w:r>
    </w:p>
    <w:p w14:paraId="6FBA93BD" w14:textId="77777777" w:rsidR="00547D87" w:rsidRPr="009D4627" w:rsidRDefault="00547D87" w:rsidP="002772AD">
      <w:pPr>
        <w:spacing w:line="240" w:lineRule="auto"/>
        <w:jc w:val="center"/>
        <w:rPr>
          <w:sz w:val="20"/>
          <w:szCs w:val="20"/>
        </w:rPr>
      </w:pPr>
      <w:r w:rsidRPr="009D4627">
        <w:rPr>
          <w:noProof/>
          <w:lang w:val="en-US"/>
        </w:rPr>
        <w:drawing>
          <wp:inline distT="0" distB="0" distL="0" distR="0" wp14:anchorId="58138675" wp14:editId="3563DB01">
            <wp:extent cx="4905375" cy="307242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4911494" cy="3076257"/>
                    </a:xfrm>
                    <a:prstGeom prst="rect">
                      <a:avLst/>
                    </a:prstGeom>
                    <a:ln>
                      <a:noFill/>
                    </a:ln>
                    <a:extLst>
                      <a:ext uri="{53640926-AAD7-44D8-BBD7-CCE9431645EC}">
                        <a14:shadowObscured xmlns:a14="http://schemas.microsoft.com/office/drawing/2010/main"/>
                      </a:ext>
                    </a:extLst>
                  </pic:spPr>
                </pic:pic>
              </a:graphicData>
            </a:graphic>
          </wp:inline>
        </w:drawing>
      </w:r>
    </w:p>
    <w:p w14:paraId="661C0A36" w14:textId="2EF2E3BE" w:rsidR="00AE6F60" w:rsidRPr="009D4627" w:rsidRDefault="00DB6112" w:rsidP="00C4130D">
      <w:pPr>
        <w:pStyle w:val="Caption"/>
      </w:pPr>
      <w:bookmarkStart w:id="88" w:name="_Toc73609244"/>
      <w:bookmarkStart w:id="89" w:name="_Toc73804906"/>
      <w:bookmarkStart w:id="90" w:name="_Toc98570016"/>
      <w:bookmarkStart w:id="91" w:name="_Toc22125964"/>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15</w:t>
      </w:r>
      <w:r w:rsidR="002E63E9" w:rsidRPr="009D4627">
        <w:rPr>
          <w:noProof/>
        </w:rPr>
        <w:fldChar w:fldCharType="end"/>
      </w:r>
      <w:r w:rsidRPr="009D4627">
        <w:t xml:space="preserve">: </w:t>
      </w:r>
      <w:r w:rsidR="00547D87" w:rsidRPr="009D4627">
        <w:t xml:space="preserve">Comparing the main sequence of amplitude-peak velocity between the magnetic search coil </w:t>
      </w:r>
      <w:r w:rsidRPr="009D4627">
        <w:t xml:space="preserve">(MSC) </w:t>
      </w:r>
      <w:r w:rsidR="00547D87" w:rsidRPr="009D4627">
        <w:t>and the Orbit infrared (IR) eye recorder.</w:t>
      </w:r>
      <w:bookmarkEnd w:id="88"/>
      <w:bookmarkEnd w:id="89"/>
      <w:bookmarkEnd w:id="90"/>
      <w:r w:rsidR="00547D87" w:rsidRPr="009D4627">
        <w:t xml:space="preserve"> </w:t>
      </w:r>
    </w:p>
    <w:p w14:paraId="3E9AF977" w14:textId="62B292DB" w:rsidR="00547D87" w:rsidRPr="009D4627" w:rsidRDefault="00547D87" w:rsidP="00C4130D">
      <w:pPr>
        <w:pStyle w:val="Caption"/>
      </w:pPr>
      <w:r w:rsidRPr="009D4627">
        <w:t xml:space="preserve">On the x-axis, </w:t>
      </w:r>
      <w:r w:rsidR="00AE6F60" w:rsidRPr="009D4627">
        <w:t>(-</w:t>
      </w:r>
      <w:proofErr w:type="spellStart"/>
      <w:r w:rsidR="00AE6F60" w:rsidRPr="009D4627">
        <w:t>ve</w:t>
      </w:r>
      <w:proofErr w:type="spellEnd"/>
      <w:r w:rsidR="00AE6F60" w:rsidRPr="009D4627">
        <w:t xml:space="preserve">) amplitudes = </w:t>
      </w:r>
      <w:r w:rsidRPr="009D4627">
        <w:t xml:space="preserve">leftward saccades, </w:t>
      </w:r>
      <w:r w:rsidR="00AE6F60" w:rsidRPr="009D4627">
        <w:t>(+</w:t>
      </w:r>
      <w:proofErr w:type="spellStart"/>
      <w:r w:rsidR="00AE6F60" w:rsidRPr="009D4627">
        <w:t>ve</w:t>
      </w:r>
      <w:proofErr w:type="spellEnd"/>
      <w:r w:rsidR="00AE6F60" w:rsidRPr="009D4627">
        <w:t>) amplitude =</w:t>
      </w:r>
      <w:r w:rsidRPr="009D4627">
        <w:t xml:space="preserve"> rightward saccades. From </w:t>
      </w:r>
      <w:proofErr w:type="spellStart"/>
      <w:r w:rsidRPr="009D4627">
        <w:t>Traisk</w:t>
      </w:r>
      <w:proofErr w:type="spellEnd"/>
      <w:r w:rsidRPr="009D4627">
        <w:t xml:space="preserve"> </w:t>
      </w:r>
      <w:r w:rsidR="00D91AAB" w:rsidRPr="009D4627">
        <w:t>et al.,</w:t>
      </w:r>
      <w:r w:rsidRPr="009D4627">
        <w:t xml:space="preserve"> (2005).</w:t>
      </w:r>
      <w:bookmarkEnd w:id="91"/>
    </w:p>
    <w:p w14:paraId="61CFBCD6" w14:textId="77777777" w:rsidR="00AE6F60" w:rsidRPr="009D4627" w:rsidRDefault="00AE6F60" w:rsidP="00AE6F60">
      <w:pPr>
        <w:spacing w:before="0" w:after="0" w:line="240" w:lineRule="auto"/>
        <w:rPr>
          <w:lang w:val="en-MY" w:eastAsia="en-MY"/>
        </w:rPr>
      </w:pPr>
    </w:p>
    <w:p w14:paraId="50DDF2D0" w14:textId="77777777" w:rsidR="00CC31A9" w:rsidRPr="009D4627" w:rsidRDefault="00CC31A9" w:rsidP="00CC31A9">
      <w:pPr>
        <w:spacing w:before="0" w:after="0" w:line="240" w:lineRule="auto"/>
      </w:pPr>
    </w:p>
    <w:p w14:paraId="5C836EC5" w14:textId="2C265E50" w:rsidR="00547D87" w:rsidRPr="009D4627" w:rsidRDefault="00EF2F31" w:rsidP="00527411">
      <w:pPr>
        <w:spacing w:before="0"/>
      </w:pPr>
      <w:r w:rsidRPr="009D4627">
        <w:t xml:space="preserve">The IR eye tracker increasingly being employed for research is the </w:t>
      </w:r>
      <w:proofErr w:type="spellStart"/>
      <w:r w:rsidRPr="009D4627">
        <w:t>EyeLink</w:t>
      </w:r>
      <w:proofErr w:type="spellEnd"/>
      <w:r w:rsidRPr="009D4627">
        <w:t xml:space="preserve"> 1000 Plus, version 2.06, produced by SR Research Ltd (Ontario, Canada). The system was designed with a high technical specification to enhance eye tracking accuracy. Based on the manufacturer’s data (SR Research), this machine has a maximum monocular sampling rate up to 1000 Hz, with a binocular sampling rate of 500 Hz</w:t>
      </w:r>
      <w:r w:rsidR="00DB6112" w:rsidRPr="009D4627">
        <w:t xml:space="preserve">, </w:t>
      </w:r>
      <w:r w:rsidRPr="009D4627">
        <w:t>an average accuracy of 0.25° to 0.5° and a spatial resolution of 0.01° root-mean-square (RMS)</w:t>
      </w:r>
      <w:r w:rsidR="00547D87" w:rsidRPr="009D4627">
        <w:t>.</w:t>
      </w:r>
      <w:r w:rsidR="00725283" w:rsidRPr="009D4627">
        <w:t xml:space="preserve"> </w:t>
      </w:r>
    </w:p>
    <w:p w14:paraId="384E0892" w14:textId="77777777" w:rsidR="00E00BB8" w:rsidRPr="009D4627" w:rsidRDefault="00E00BB8" w:rsidP="00E00BB8">
      <w:pPr>
        <w:rPr>
          <w:color w:val="auto"/>
        </w:rPr>
      </w:pPr>
      <w:r w:rsidRPr="009D4627">
        <w:rPr>
          <w:color w:val="auto"/>
        </w:rPr>
        <w:lastRenderedPageBreak/>
        <w:t xml:space="preserve">Subjective clinical evaluation is the only way to analyse eye movement patterns in individuals with disorder of consciousness </w:t>
      </w:r>
      <w:r w:rsidRPr="009D4627">
        <w:rPr>
          <w:color w:val="auto"/>
        </w:rPr>
        <w:fldChar w:fldCharType="begin">
          <w:fldData xml:space="preserve">PEVuZE5vdGU+PENpdGU+PEF1dGhvcj5Ucm9qYW5vPC9BdXRob3I+PFllYXI+MjAxMjwvWWVhcj48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</w:fldData>
        </w:fldChar>
      </w:r>
      <w:r w:rsidRPr="009D4627">
        <w:rPr>
          <w:color w:val="auto"/>
        </w:rPr>
        <w:instrText xml:space="preserve"> ADDIN EN.CITE </w:instrText>
      </w:r>
      <w:r w:rsidRPr="009D4627">
        <w:rPr>
          <w:color w:val="auto"/>
        </w:rPr>
        <w:fldChar w:fldCharType="begin">
          <w:fldData xml:space="preserve">PEVuZE5vdGU+PENpdGU+PEF1dGhvcj5Ucm9qYW5vPC9BdXRob3I+PFllYXI+MjAxMjwvWWVhcj48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</w:fldData>
        </w:fldChar>
      </w:r>
      <w:r w:rsidRPr="009D4627">
        <w:rPr>
          <w:color w:val="auto"/>
        </w:rPr>
        <w:instrText xml:space="preserve"> ADDIN EN.CITE.DATA </w:instrText>
      </w:r>
      <w:r w:rsidRPr="009D4627">
        <w:rPr>
          <w:color w:val="auto"/>
        </w:rPr>
      </w:r>
      <w:r w:rsidRPr="009D4627">
        <w:rPr>
          <w:color w:val="auto"/>
        </w:rPr>
        <w:fldChar w:fldCharType="end"/>
      </w:r>
      <w:r w:rsidRPr="009D4627">
        <w:rPr>
          <w:color w:val="auto"/>
        </w:rPr>
      </w:r>
      <w:r w:rsidRPr="009D4627">
        <w:rPr>
          <w:color w:val="auto"/>
        </w:rPr>
        <w:fldChar w:fldCharType="separate"/>
      </w:r>
      <w:r w:rsidRPr="009D4627">
        <w:rPr>
          <w:noProof/>
          <w:color w:val="auto"/>
        </w:rPr>
        <w:t>(Trojano et al., 2012; Wannez et al., 2017)</w:t>
      </w:r>
      <w:r w:rsidRPr="009D4627">
        <w:rPr>
          <w:color w:val="auto"/>
        </w:rPr>
        <w:fldChar w:fldCharType="end"/>
      </w:r>
      <w:r w:rsidRPr="009D4627">
        <w:rPr>
          <w:color w:val="auto"/>
        </w:rPr>
        <w:t xml:space="preserve">. </w:t>
      </w:r>
      <w:proofErr w:type="spellStart"/>
      <w:r w:rsidRPr="009D4627">
        <w:rPr>
          <w:color w:val="auto"/>
        </w:rPr>
        <w:t>Trojano</w:t>
      </w:r>
      <w:proofErr w:type="spellEnd"/>
      <w:r w:rsidRPr="009D4627">
        <w:rPr>
          <w:color w:val="auto"/>
        </w:rPr>
        <w:t xml:space="preserve"> et al. (2012) conducted a study to quantify patients' visual tracking behaviour using the alternative objective EMR method. A computerised IR eye-tracker (</w:t>
      </w:r>
      <w:proofErr w:type="spellStart"/>
      <w:r w:rsidRPr="009D4627">
        <w:rPr>
          <w:color w:val="auto"/>
        </w:rPr>
        <w:t>MyTobii</w:t>
      </w:r>
      <w:proofErr w:type="spellEnd"/>
      <w:r w:rsidRPr="009D4627">
        <w:rPr>
          <w:color w:val="auto"/>
        </w:rPr>
        <w:t xml:space="preserve"> T60, </w:t>
      </w:r>
      <w:proofErr w:type="spellStart"/>
      <w:r w:rsidRPr="009D4627">
        <w:rPr>
          <w:color w:val="auto"/>
        </w:rPr>
        <w:t>Tobii</w:t>
      </w:r>
      <w:proofErr w:type="spellEnd"/>
      <w:r w:rsidRPr="009D4627">
        <w:rPr>
          <w:color w:val="auto"/>
        </w:rPr>
        <w:t xml:space="preserve"> Technology, </w:t>
      </w:r>
      <w:proofErr w:type="spellStart"/>
      <w:r w:rsidRPr="009D4627">
        <w:rPr>
          <w:color w:val="auto"/>
        </w:rPr>
        <w:t>Danderyd</w:t>
      </w:r>
      <w:proofErr w:type="spellEnd"/>
      <w:r w:rsidRPr="009D4627">
        <w:rPr>
          <w:color w:val="auto"/>
        </w:rPr>
        <w:t xml:space="preserve">, Sweden) with a 60 Hz sampling rate was used to quantify participants' eye-tracking patterns. A red circle or a small colour picture slowly moving on a PC monitor served as a stimulus. </w:t>
      </w:r>
      <w:proofErr w:type="spellStart"/>
      <w:r w:rsidRPr="009D4627">
        <w:rPr>
          <w:color w:val="auto"/>
        </w:rPr>
        <w:t>Trojano</w:t>
      </w:r>
      <w:proofErr w:type="spellEnd"/>
      <w:r w:rsidRPr="009D4627">
        <w:rPr>
          <w:color w:val="auto"/>
        </w:rPr>
        <w:t xml:space="preserve"> et al. (2012) discovered that the proportion of fixations on-target versus off-target differed significantly between the vegetative and semi-conscious groups, with the latter having a significantly higher proportion of on-target than the chance level. Another study explored the usefulness of utilising the IR eye tracker to assess the SP of patients with residual consciousness, which may aid clinicians in detecting visual SP more accurately in clinical settings </w:t>
      </w:r>
      <w:r w:rsidRPr="009D4627">
        <w:rPr>
          <w:color w:val="auto"/>
        </w:rPr>
        <w:fldChar w:fldCharType="begin">
          <w:fldData xml:space="preserve">PEVuZE5vdGU+PENpdGU+PEF1dGhvcj5XYW5uZXo8L0F1dGhvcj48WWVhcj4yMDE3PC9ZZWFyPjxJ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</w:fldData>
        </w:fldChar>
      </w:r>
      <w:r w:rsidRPr="009D4627">
        <w:rPr>
          <w:color w:val="auto"/>
        </w:rPr>
        <w:instrText xml:space="preserve"> ADDIN EN.CITE </w:instrText>
      </w:r>
      <w:r w:rsidRPr="009D4627">
        <w:rPr>
          <w:color w:val="auto"/>
        </w:rPr>
        <w:fldChar w:fldCharType="begin">
          <w:fldData xml:space="preserve">PEVuZE5vdGU+PENpdGU+PEF1dGhvcj5XYW5uZXo8L0F1dGhvcj48WWVhcj4yMDE3PC9ZZWFyPjxJ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</w:fldData>
        </w:fldChar>
      </w:r>
      <w:r w:rsidRPr="009D4627">
        <w:rPr>
          <w:color w:val="auto"/>
        </w:rPr>
        <w:instrText xml:space="preserve"> ADDIN EN.CITE.DATA </w:instrText>
      </w:r>
      <w:r w:rsidRPr="009D4627">
        <w:rPr>
          <w:color w:val="auto"/>
        </w:rPr>
      </w:r>
      <w:r w:rsidRPr="009D4627">
        <w:rPr>
          <w:color w:val="auto"/>
        </w:rPr>
        <w:fldChar w:fldCharType="end"/>
      </w:r>
      <w:r w:rsidRPr="009D4627">
        <w:rPr>
          <w:color w:val="auto"/>
        </w:rPr>
      </w:r>
      <w:r w:rsidRPr="009D4627">
        <w:rPr>
          <w:color w:val="auto"/>
        </w:rPr>
        <w:fldChar w:fldCharType="separate"/>
      </w:r>
      <w:r w:rsidRPr="009D4627">
        <w:rPr>
          <w:noProof/>
          <w:color w:val="auto"/>
        </w:rPr>
        <w:t>(Wannez et al., 2017)</w:t>
      </w:r>
      <w:r w:rsidRPr="009D4627">
        <w:rPr>
          <w:color w:val="auto"/>
        </w:rPr>
        <w:fldChar w:fldCharType="end"/>
      </w:r>
      <w:r w:rsidRPr="009D4627">
        <w:rPr>
          <w:color w:val="auto"/>
        </w:rPr>
        <w:t xml:space="preserve">. They found that quantitative visual behavioural analysis using eye trackers can help differentiate disorders of consciousness. </w:t>
      </w:r>
    </w:p>
    <w:p w14:paraId="24ABA846" w14:textId="77777777" w:rsidR="00E00BB8" w:rsidRPr="009D4627" w:rsidRDefault="00E00BB8" w:rsidP="00E00BB8">
      <w:pPr>
        <w:rPr>
          <w:color w:val="auto"/>
        </w:rPr>
      </w:pPr>
      <w:r w:rsidRPr="009D4627">
        <w:rPr>
          <w:color w:val="auto"/>
        </w:rPr>
        <w:t xml:space="preserve">The link between saccadic eye movements and visual pathway function was investigated in 20 insulin-dependent diabetes mellitus patients with no long-term complications and stable metabolic control, as well as 21 age-matched control subjects </w:t>
      </w:r>
      <w:r w:rsidRPr="009D4627">
        <w:rPr>
          <w:color w:val="auto"/>
        </w:rPr>
        <w:fldChar w:fldCharType="begin">
          <w:fldData xml:space="preserve">PEVuZE5vdGU+PENpdGU+PEF1dGhvcj5BbGVzc2FuZHJpbmk8L0F1dGhvcj48WWVhcj4xOTk5PC9Z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</w:fldData>
        </w:fldChar>
      </w:r>
      <w:r w:rsidRPr="009D4627">
        <w:rPr>
          <w:color w:val="auto"/>
        </w:rPr>
        <w:instrText xml:space="preserve"> ADDIN EN.CITE </w:instrText>
      </w:r>
      <w:r w:rsidRPr="009D4627">
        <w:rPr>
          <w:color w:val="auto"/>
        </w:rPr>
        <w:fldChar w:fldCharType="begin">
          <w:fldData xml:space="preserve">PEVuZE5vdGU+PENpdGU+PEF1dGhvcj5BbGVzc2FuZHJpbmk8L0F1dGhvcj48WWVhcj4xOTk5PC9Z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</w:fldData>
        </w:fldChar>
      </w:r>
      <w:r w:rsidRPr="009D4627">
        <w:rPr>
          <w:color w:val="auto"/>
        </w:rPr>
        <w:instrText xml:space="preserve"> ADDIN EN.CITE.DATA </w:instrText>
      </w:r>
      <w:r w:rsidRPr="009D4627">
        <w:rPr>
          <w:color w:val="auto"/>
        </w:rPr>
      </w:r>
      <w:r w:rsidRPr="009D4627">
        <w:rPr>
          <w:color w:val="auto"/>
        </w:rPr>
        <w:fldChar w:fldCharType="end"/>
      </w:r>
      <w:r w:rsidRPr="009D4627">
        <w:rPr>
          <w:color w:val="auto"/>
        </w:rPr>
      </w:r>
      <w:r w:rsidRPr="009D4627">
        <w:rPr>
          <w:color w:val="auto"/>
        </w:rPr>
        <w:fldChar w:fldCharType="separate"/>
      </w:r>
      <w:r w:rsidRPr="009D4627">
        <w:rPr>
          <w:noProof/>
          <w:color w:val="auto"/>
        </w:rPr>
        <w:t>(Alessandrini et al., 1999)</w:t>
      </w:r>
      <w:r w:rsidRPr="009D4627">
        <w:rPr>
          <w:color w:val="auto"/>
        </w:rPr>
        <w:fldChar w:fldCharType="end"/>
      </w:r>
      <w:r w:rsidRPr="009D4627">
        <w:rPr>
          <w:color w:val="auto"/>
        </w:rPr>
        <w:t>. The investigation showed no correlation between the saccadic latency and the patients' visual evoked potentials. The absence of association between the measurements indicates that the patient's saccadic latency delay cannot be attributed primarily to visual pathway dysfunction and may result from broad neuronal involvement.</w:t>
      </w:r>
    </w:p>
    <w:p w14:paraId="68635A19" w14:textId="6341A892" w:rsidR="00E00BB8" w:rsidRPr="009D4627" w:rsidRDefault="00E00BB8" w:rsidP="00E00BB8">
      <w:pPr>
        <w:rPr>
          <w:color w:val="auto"/>
        </w:rPr>
      </w:pPr>
      <w:r w:rsidRPr="009D4627">
        <w:rPr>
          <w:color w:val="auto"/>
        </w:rPr>
        <w:t>Using an IR EMR device (</w:t>
      </w:r>
      <w:proofErr w:type="spellStart"/>
      <w:r w:rsidRPr="009D4627">
        <w:rPr>
          <w:color w:val="auto"/>
        </w:rPr>
        <w:t>AMTech</w:t>
      </w:r>
      <w:proofErr w:type="spellEnd"/>
      <w:r w:rsidRPr="009D4627">
        <w:rPr>
          <w:color w:val="auto"/>
        </w:rPr>
        <w:t xml:space="preserve"> ET4 eye tracking system) with a 200 Hz sampling rate, a study comparing the fixation stability of expert shooters to control subjects was undertaken</w:t>
      </w:r>
      <w:r w:rsidR="00F44B39" w:rsidRPr="009D4627">
        <w:rPr>
          <w:color w:val="auto"/>
        </w:rPr>
        <w:t xml:space="preserve"> </w:t>
      </w:r>
      <w:r w:rsidR="00F44B39" w:rsidRPr="009D4627">
        <w:rPr>
          <w:color w:val="auto"/>
        </w:rPr>
        <w:fldChar w:fldCharType="begin"/>
      </w:r>
      <w:r w:rsidR="00F44B39" w:rsidRPr="009D4627">
        <w:rPr>
          <w:color w:val="auto"/>
        </w:rPr>
        <w:instrText xml:space="preserve"> ADDIN EN.CITE &lt;EndNote&gt;&lt;Cite&gt;&lt;Author&gt;Di Russo&lt;/Author&gt;&lt;Year&gt;2003&lt;/Year&gt;&lt;IDText&gt;Fixation stability and saccadic latency in élite shooters&lt;/IDText&gt;&lt;DisplayText&gt;(Di Russo et al., 2003)&lt;/DisplayText&gt;&lt;record&gt;&lt;isbn&gt;0042-6989&lt;/isbn&gt;&lt;titles&gt;&lt;title&gt;Fixation stability and saccadic latency in élite shooters&lt;/title&gt;&lt;secondary-title&gt;Vision research : an international journal in visual science.&lt;/secondary-title&gt;&lt;/titles&gt;&lt;pages&gt;1837-1845&lt;/pages&gt;&lt;number&gt;17&lt;/number&gt;&lt;contributors&gt;&lt;authors&gt;&lt;author&gt;Di Russo, Francesco&lt;/author&gt;&lt;author&gt;Pitzalis, Sabrina&lt;/author&gt;&lt;author&gt;Spinelli, Donatella&lt;/author&gt;&lt;/authors&gt;&lt;/contributors&gt;&lt;added-date format="utc"&gt;1637643333&lt;/added-date&gt;&lt;pub-location&gt;[Oxford] ; [New York] :&lt;/pub-location&gt;&lt;ref-type name="Journal Article"&gt;17&lt;/ref-type&gt;&lt;dates&gt;&lt;year&gt;2003&lt;/year&gt;&lt;/dates&gt;&lt;rec-number&gt;782&lt;/rec-number&gt;&lt;last-updated-date format="utc"&gt;1637643333&lt;/last-updated-date&gt;&lt;electronic-resource-num&gt;10.1016/s0042-6989(03)00299-2&lt;/electronic-resource-num&gt;&lt;volume&gt;43&lt;/volume&gt;&lt;/record&gt;&lt;/Cite&gt;&lt;/EndNote&gt;</w:instrText>
      </w:r>
      <w:r w:rsidR="00F44B39" w:rsidRPr="009D4627">
        <w:rPr>
          <w:color w:val="auto"/>
        </w:rPr>
        <w:fldChar w:fldCharType="separate"/>
      </w:r>
      <w:r w:rsidR="00F44B39" w:rsidRPr="009D4627">
        <w:rPr>
          <w:noProof/>
          <w:color w:val="auto"/>
        </w:rPr>
        <w:t>(Di Russo et al., 2003)</w:t>
      </w:r>
      <w:r w:rsidR="00F44B39" w:rsidRPr="009D4627">
        <w:rPr>
          <w:color w:val="auto"/>
        </w:rPr>
        <w:fldChar w:fldCharType="end"/>
      </w:r>
      <w:r w:rsidRPr="009D4627">
        <w:rPr>
          <w:color w:val="auto"/>
        </w:rPr>
        <w:t xml:space="preserve">. In the presence and absence of distracters, participants were instructed to retain their fixation as still as possible on an object for 1 minute. In the distracters condition, </w:t>
      </w:r>
      <w:r w:rsidRPr="009D4627">
        <w:rPr>
          <w:color w:val="auto"/>
        </w:rPr>
        <w:lastRenderedPageBreak/>
        <w:t>time had no influence on fixation stability for shooters, and they had more stable fixation than controls.</w:t>
      </w:r>
    </w:p>
    <w:p w14:paraId="468454A9" w14:textId="77777777" w:rsidR="00E00BB8" w:rsidRPr="009D4627" w:rsidRDefault="00E00BB8" w:rsidP="00E00BB8">
      <w:pPr>
        <w:rPr>
          <w:color w:val="auto"/>
        </w:rPr>
      </w:pPr>
      <w:r w:rsidRPr="009D4627">
        <w:rPr>
          <w:color w:val="auto"/>
        </w:rPr>
        <w:t xml:space="preserve">The effects of moderate coffee on oculomotor control and visual perception in non-fatigued persons were investigated in a study </w:t>
      </w:r>
      <w:r w:rsidRPr="009D4627">
        <w:rPr>
          <w:color w:val="auto"/>
        </w:rPr>
        <w:fldChar w:fldCharType="begin">
          <w:fldData xml:space="preserve">PEVuZE5vdGU+PENpdGU+PEF1dGhvcj5Db25uZWxsPC9BdXRob3I+PFllYXI+MjAxNzwvWWVhcj48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</w:fldData>
        </w:fldChar>
      </w:r>
      <w:r w:rsidRPr="009D4627">
        <w:rPr>
          <w:color w:val="auto"/>
        </w:rPr>
        <w:instrText xml:space="preserve"> ADDIN EN.CITE </w:instrText>
      </w:r>
      <w:r w:rsidRPr="009D4627">
        <w:rPr>
          <w:color w:val="auto"/>
        </w:rPr>
        <w:fldChar w:fldCharType="begin">
          <w:fldData xml:space="preserve">PEVuZE5vdGU+PENpdGU+PEF1dGhvcj5Db25uZWxsPC9BdXRob3I+PFllYXI+MjAxNzwvWWVhcj48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</w:fldData>
        </w:fldChar>
      </w:r>
      <w:r w:rsidRPr="009D4627">
        <w:rPr>
          <w:color w:val="auto"/>
        </w:rPr>
        <w:instrText xml:space="preserve"> ADDIN EN.CITE.DATA </w:instrText>
      </w:r>
      <w:r w:rsidRPr="009D4627">
        <w:rPr>
          <w:color w:val="auto"/>
        </w:rPr>
      </w:r>
      <w:r w:rsidRPr="009D4627">
        <w:rPr>
          <w:color w:val="auto"/>
        </w:rPr>
        <w:fldChar w:fldCharType="end"/>
      </w:r>
      <w:r w:rsidRPr="009D4627">
        <w:rPr>
          <w:color w:val="auto"/>
        </w:rPr>
      </w:r>
      <w:r w:rsidRPr="009D4627">
        <w:rPr>
          <w:color w:val="auto"/>
        </w:rPr>
        <w:fldChar w:fldCharType="separate"/>
      </w:r>
      <w:r w:rsidRPr="009D4627">
        <w:rPr>
          <w:noProof/>
          <w:color w:val="auto"/>
        </w:rPr>
        <w:t>(Connell et al., 2017)</w:t>
      </w:r>
      <w:r w:rsidRPr="009D4627">
        <w:rPr>
          <w:color w:val="auto"/>
        </w:rPr>
        <w:fldChar w:fldCharType="end"/>
      </w:r>
      <w:r w:rsidRPr="009D4627">
        <w:rPr>
          <w:color w:val="auto"/>
        </w:rPr>
        <w:t>. IR oculography measured saccades, SP, and optokinetic nystagmus. Caffeine was observed to increase saccadic peak velocities (472°/s) in comparison to a placebo (455°/s). Additionally, caffeine increased optokinetic nystagmus while having no effect on SP eye movements; caffeine affects oculomotor control in awake people. These effects are present in rapid motions but not in slow ones.</w:t>
      </w:r>
    </w:p>
    <w:p w14:paraId="1207FA17" w14:textId="34222AF8" w:rsidR="00E00BB8" w:rsidRPr="009D4627" w:rsidRDefault="00F44B39" w:rsidP="00E00BB8">
      <w:pPr>
        <w:rPr>
          <w:color w:val="auto"/>
        </w:rPr>
      </w:pPr>
      <w:r w:rsidRPr="009D4627">
        <w:rPr>
          <w:color w:val="auto"/>
        </w:rPr>
        <w:t xml:space="preserve">Numerous </w:t>
      </w:r>
      <w:r w:rsidR="00887403">
        <w:rPr>
          <w:color w:val="auto"/>
        </w:rPr>
        <w:t>studies</w:t>
      </w:r>
      <w:r w:rsidRPr="009D4627">
        <w:rPr>
          <w:color w:val="auto"/>
        </w:rPr>
        <w:t xml:space="preserve"> have demonstrated the use of eye movement recording (EMR) technology in assessing the effect of behaviour and attention on fixation stability, </w:t>
      </w:r>
      <w:r w:rsidR="00887403" w:rsidRPr="009D4627">
        <w:rPr>
          <w:color w:val="auto"/>
        </w:rPr>
        <w:t>saccades,</w:t>
      </w:r>
      <w:r w:rsidRPr="009D4627">
        <w:rPr>
          <w:color w:val="auto"/>
        </w:rPr>
        <w:t xml:space="preserve"> and SP eye movements </w:t>
      </w:r>
      <w:r w:rsidRPr="009D4627">
        <w:rPr>
          <w:color w:val="auto"/>
        </w:rPr>
        <w:fldChar w:fldCharType="begin">
          <w:fldData xml:space="preserve">PEVuZE5vdGU+PENpdGU+PEF1dGhvcj5Ucm9qYW5vPC9BdXRob3I+PFllYXI+MjAxMjwvWWVhcj48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</w:fldData>
        </w:fldChar>
      </w:r>
      <w:r w:rsidRPr="009D4627">
        <w:rPr>
          <w:color w:val="auto"/>
        </w:rPr>
        <w:instrText xml:space="preserve"> ADDIN EN.CITE </w:instrText>
      </w:r>
      <w:r w:rsidRPr="009D4627">
        <w:rPr>
          <w:color w:val="auto"/>
        </w:rPr>
        <w:fldChar w:fldCharType="begin">
          <w:fldData xml:space="preserve">PEVuZE5vdGU+PENpdGU+PEF1dGhvcj5Ucm9qYW5vPC9BdXRob3I+PFllYXI+MjAxMjwvWWVhcj48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</w:fldData>
        </w:fldChar>
      </w:r>
      <w:r w:rsidRPr="009D4627">
        <w:rPr>
          <w:color w:val="auto"/>
        </w:rPr>
        <w:instrText xml:space="preserve"> ADDIN EN.CITE.DATA </w:instrText>
      </w:r>
      <w:r w:rsidRPr="009D4627">
        <w:rPr>
          <w:color w:val="auto"/>
        </w:rPr>
      </w:r>
      <w:r w:rsidRPr="009D4627">
        <w:rPr>
          <w:color w:val="auto"/>
        </w:rPr>
        <w:fldChar w:fldCharType="end"/>
      </w:r>
      <w:r w:rsidRPr="009D4627">
        <w:rPr>
          <w:color w:val="auto"/>
        </w:rPr>
      </w:r>
      <w:r w:rsidRPr="009D4627">
        <w:rPr>
          <w:color w:val="auto"/>
        </w:rPr>
        <w:fldChar w:fldCharType="separate"/>
      </w:r>
      <w:r w:rsidRPr="009D4627">
        <w:rPr>
          <w:noProof/>
          <w:color w:val="auto"/>
        </w:rPr>
        <w:t>(Alessandrini et al., 1999; Connell et al., 2017; Di Russo et al., 2003; Trojano et al., 2012; Wannez et al., 2017)</w:t>
      </w:r>
      <w:r w:rsidRPr="009D4627">
        <w:rPr>
          <w:color w:val="auto"/>
        </w:rPr>
        <w:fldChar w:fldCharType="end"/>
      </w:r>
      <w:r w:rsidRPr="009D4627">
        <w:rPr>
          <w:color w:val="auto"/>
        </w:rPr>
        <w:t>.</w:t>
      </w:r>
      <w:r w:rsidR="00E00BB8" w:rsidRPr="009D4627">
        <w:rPr>
          <w:color w:val="auto"/>
        </w:rPr>
        <w:t xml:space="preserve"> Now that EMR can be used in a variety of clinical settings, it may become a standard part of the NHS's clinical investigation repertoire, at least in tertiary care. It is uncertain whether these objective, non-invasive recordings could assist clinicians in improving clinical diagnosis and management by documenting specific eye movement parameters such as gain, peak velocity, and latency for patients with </w:t>
      </w:r>
      <w:r w:rsidR="005C5883" w:rsidRPr="009D4627">
        <w:rPr>
          <w:color w:val="auto"/>
        </w:rPr>
        <w:t>ONP</w:t>
      </w:r>
      <w:r w:rsidR="00E00BB8" w:rsidRPr="009D4627">
        <w:rPr>
          <w:color w:val="auto"/>
        </w:rPr>
        <w:t xml:space="preserve">. </w:t>
      </w:r>
    </w:p>
    <w:p w14:paraId="1B2CA5D8" w14:textId="2C8FA735" w:rsidR="00547D87" w:rsidRPr="009D4627" w:rsidRDefault="00547D87" w:rsidP="00DC4CA6">
      <w:pPr>
        <w:pStyle w:val="Heading3"/>
      </w:pPr>
      <w:bookmarkStart w:id="92" w:name="_Toc98964627"/>
      <w:bookmarkStart w:id="93" w:name="_Toc103344672"/>
      <w:r w:rsidRPr="009D4627">
        <w:t xml:space="preserve">Ageing and </w:t>
      </w:r>
      <w:r w:rsidR="004258CF" w:rsidRPr="009D4627">
        <w:t>EMR</w:t>
      </w:r>
      <w:bookmarkEnd w:id="92"/>
      <w:bookmarkEnd w:id="93"/>
    </w:p>
    <w:p w14:paraId="13F47892" w14:textId="4CF67A37" w:rsidR="00547D87" w:rsidRPr="009D4627" w:rsidRDefault="00547D87" w:rsidP="00390EBC">
      <w:pPr>
        <w:rPr>
          <w:noProof/>
        </w:rPr>
      </w:pPr>
      <w:r w:rsidRPr="009D4627">
        <w:rPr>
          <w:noProof/>
        </w:rPr>
        <w:t xml:space="preserve">Most studies found that older people above 60 years show a general reduction in eye movement performance </w:t>
      </w:r>
      <w:r w:rsidRPr="009D4627">
        <w:rPr>
          <w:noProof/>
        </w:rPr>
        <w:fldChar w:fldCharType="begin">
          <w:fldData xml:space="preserve">PEVuZE5vdGU+PENpdGU+PEF1dGhvcj5Ib3BmPC9BdXRob3I+PFllYXI+MjAxODwvWWVhcj48SURU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</w:fldData>
        </w:fldChar>
      </w:r>
      <w:r w:rsidR="00C40138" w:rsidRPr="009D4627">
        <w:rPr>
          <w:noProof/>
        </w:rPr>
        <w:instrText xml:space="preserve"> ADDIN EN.CITE </w:instrText>
      </w:r>
      <w:r w:rsidR="00C40138" w:rsidRPr="009D4627">
        <w:rPr>
          <w:noProof/>
        </w:rPr>
        <w:fldChar w:fldCharType="begin">
          <w:fldData xml:space="preserve">PEVuZE5vdGU+PENpdGU+PEF1dGhvcj5Ib3BmPC9BdXRob3I+PFllYXI+MjAxODwvWWVhcj48SURU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</w:fldData>
        </w:fldChar>
      </w:r>
      <w:r w:rsidR="00C40138" w:rsidRPr="009D4627">
        <w:rPr>
          <w:noProof/>
        </w:rPr>
        <w:instrText xml:space="preserve"> ADDIN EN.CITE.DATA </w:instrText>
      </w:r>
      <w:r w:rsidR="00C40138" w:rsidRPr="009D4627">
        <w:rPr>
          <w:noProof/>
        </w:rPr>
      </w:r>
      <w:r w:rsidR="00C40138" w:rsidRPr="009D4627">
        <w:rPr>
          <w:noProof/>
        </w:rPr>
        <w:fldChar w:fldCharType="end"/>
      </w:r>
      <w:r w:rsidRPr="009D4627">
        <w:rPr>
          <w:noProof/>
        </w:rPr>
      </w:r>
      <w:r w:rsidRPr="009D4627">
        <w:rPr>
          <w:noProof/>
        </w:rPr>
        <w:fldChar w:fldCharType="separate"/>
      </w:r>
      <w:r w:rsidR="00C40138" w:rsidRPr="009D4627">
        <w:rPr>
          <w:noProof/>
        </w:rPr>
        <w:t>(Hopf et al., 2018; Knox et al., 2005; Munoz et al., 1998)</w:t>
      </w:r>
      <w:r w:rsidRPr="009D4627">
        <w:rPr>
          <w:noProof/>
        </w:rPr>
        <w:fldChar w:fldCharType="end"/>
      </w:r>
      <w:r w:rsidRPr="009D4627">
        <w:rPr>
          <w:noProof/>
        </w:rPr>
        <w:t xml:space="preserve">. The researchers suggested that it could be due to neurological changes </w:t>
      </w:r>
      <w:r w:rsidRPr="009D4627">
        <w:rPr>
          <w:noProof/>
        </w:rPr>
        <w:fldChar w:fldCharType="begin"/>
      </w:r>
      <w:r w:rsidR="00C40138" w:rsidRPr="009D4627">
        <w:rPr>
          <w:noProof/>
        </w:rPr>
        <w:instrText xml:space="preserve"> ADDIN EN.CITE &lt;EndNote&gt;&lt;Cite&gt;&lt;Author&gt;Peltsch&lt;/Author&gt;&lt;Year&gt;2011&lt;/Year&gt;&lt;IDText&gt;Age- related trends in saccade characteristics among the elderly&lt;/IDText&gt;&lt;DisplayText&gt;(Peltsch et al., 2011a)&lt;/DisplayText&gt;&lt;record&gt;&lt;keywords&gt;&lt;keyword&gt;Saccades&lt;/keyword&gt;&lt;keyword&gt;Eye Movements&lt;/keyword&gt;&lt;keyword&gt;Aging&lt;/keyword&gt;&lt;keyword&gt;Oculomotor&lt;/keyword&gt;&lt;keyword&gt;Frontal Inhibition&lt;/keyword&gt;&lt;/keywords&gt;&lt;isbn&gt;0197-4580&lt;/isbn&gt;&lt;titles&gt;&lt;title&gt;Age- related trends in saccade characteristics among the elderly&lt;/title&gt;&lt;secondary-title&gt;Neurobiology of Aging&lt;/secondary-title&gt;&lt;/titles&gt;&lt;pages&gt;669-679&lt;/pages&gt;&lt;number&gt;4&lt;/number&gt;&lt;contributors&gt;&lt;authors&gt;&lt;author&gt;Peltsch, A.&lt;/author&gt;&lt;author&gt;Hemraj, A.&lt;/author&gt;&lt;author&gt;Garcia, A.&lt;/author&gt;&lt;author&gt;Munoz, D. P.&lt;/author&gt;&lt;/authors&gt;&lt;/contributors&gt;&lt;added-date format="utc"&gt;1518422821&lt;/added-date&gt;&lt;ref-type name="Journal Article"&gt;17&lt;/ref-type&gt;&lt;dates&gt;&lt;year&gt;2011&lt;/year&gt;&lt;/dates&gt;&lt;rec-number&gt;206&lt;/rec-number&gt;&lt;last-updated-date format="utc"&gt;1518422821&lt;/last-updated-date&gt;&lt;electronic-resource-num&gt;10.1016/j.neurobiolaging.2009.04.001&lt;/electronic-resource-num&gt;&lt;volume&gt;32&lt;/volume&gt;&lt;/record&gt;&lt;/Cite&gt;&lt;/EndNote&gt;</w:instrText>
      </w:r>
      <w:r w:rsidRPr="009D4627">
        <w:rPr>
          <w:noProof/>
        </w:rPr>
        <w:fldChar w:fldCharType="separate"/>
      </w:r>
      <w:r w:rsidR="00C40138" w:rsidRPr="009D4627">
        <w:rPr>
          <w:noProof/>
        </w:rPr>
        <w:t>(Peltsch et al., 2011a)</w:t>
      </w:r>
      <w:r w:rsidRPr="009D4627">
        <w:rPr>
          <w:noProof/>
        </w:rPr>
        <w:fldChar w:fldCharType="end"/>
      </w:r>
      <w:r w:rsidRPr="009D4627">
        <w:rPr>
          <w:noProof/>
        </w:rPr>
        <w:t xml:space="preserve">, muscular changes </w:t>
      </w:r>
      <w:r w:rsidRPr="009D4627">
        <w:rPr>
          <w:noProof/>
        </w:rPr>
        <w:fldChar w:fldCharType="begin"/>
      </w:r>
      <w:r w:rsidR="00C40138" w:rsidRPr="009D4627">
        <w:rPr>
          <w:noProof/>
        </w:rPr>
        <w:instrText xml:space="preserve"> ADDIN EN.CITE &lt;EndNote&gt;&lt;Cite&gt;&lt;Author&gt;Clark&lt;/Author&gt;&lt;Year&gt;2002&lt;/Year&gt;&lt;IDText&gt;Effect of aging on human rectus extraocular muscle paths demonstrated by magnetic resonance imaging&lt;/IDText&gt;&lt;DisplayText&gt;(Clark &amp;amp; Demer, 2002)&lt;/DisplayText&gt;&lt;record&gt;&lt;keywords&gt;&lt;keyword&gt;Life Sciences &amp;amp; Biomedicine&lt;/keyword&gt;&lt;keyword&gt;Ophthalmology&lt;/keyword&gt;&lt;keyword&gt;Science &amp;amp; Technology&lt;/keyword&gt;&lt;keyword&gt;Orbit - anatomy &amp;amp; histology&lt;/keyword&gt;&lt;keyword&gt;Magnetic Resonance Imaging&lt;/keyword&gt;&lt;keyword&gt;Aging - physiology&lt;/keyword&gt;&lt;keyword&gt;Oculomotor Muscles - physiology&lt;/keyword&gt;&lt;keyword&gt;Humans&lt;/keyword&gt;&lt;keyword&gt;Middle Aged&lt;/keyword&gt;&lt;keyword&gt;Adult&lt;/keyword&gt;&lt;keyword&gt;Aged&lt;/keyword&gt;&lt;keyword&gt;Eye&lt;/keyword&gt;&lt;keyword&gt;Aging&lt;/keyword&gt;&lt;keyword&gt;Physiological aspects&lt;/keyword&gt;&lt;keyword&gt;Human anatomy&lt;/keyword&gt;&lt;keyword&gt;Magnetic resonance imaging&lt;/keyword&gt;&lt;keyword&gt;Index Medicus&lt;/keyword&gt;&lt;keyword&gt;Abridged Index Medicus&lt;/keyword&gt;&lt;/keywords&gt;&lt;isbn&gt;0002-9394&lt;/isbn&gt;&lt;titles&gt;&lt;title&gt;Effect of aging on human rectus extraocular muscle paths demonstrated by magnetic resonance imaging&lt;/title&gt;&lt;secondary-title&gt;Am J Ophthalmol&lt;/secondary-title&gt;&lt;/titles&gt;&lt;pages&gt;872-878&lt;/pages&gt;&lt;number&gt;6&lt;/number&gt;&lt;contributors&gt;&lt;authors&gt;&lt;author&gt;Clark, Robert A.&lt;/author&gt;&lt;author&gt;Demer, Joseph L.&lt;/author&gt;&lt;/authors&gt;&lt;/contributors&gt;&lt;added-date format="utc"&gt;1603243925&lt;/added-date&gt;&lt;pub-location&gt;NEW YORK&lt;/pub-location&gt;&lt;ref-type name="Journal Article"&gt;17&lt;/ref-type&gt;&lt;dates&gt;&lt;year&gt;2002&lt;/year&gt;&lt;/dates&gt;&lt;rec-number&gt;712&lt;/rec-number&gt;&lt;publisher&gt;NEW YORK: Elsevier Inc&lt;/publisher&gt;&lt;last-updated-date format="utc"&gt;1603243925&lt;/last-updated-date&gt;&lt;electronic-resource-num&gt;10.1016/S0002-9394(02)01695-1&lt;/electronic-resource-num&gt;&lt;volume&gt;134&lt;/volume&gt;&lt;/record&gt;&lt;/Cite&gt;&lt;/EndNote&gt;</w:instrText>
      </w:r>
      <w:r w:rsidRPr="009D4627">
        <w:rPr>
          <w:noProof/>
        </w:rPr>
        <w:fldChar w:fldCharType="separate"/>
      </w:r>
      <w:r w:rsidR="00C40138" w:rsidRPr="009D4627">
        <w:rPr>
          <w:noProof/>
        </w:rPr>
        <w:t>(Clark &amp; Demer, 2002)</w:t>
      </w:r>
      <w:r w:rsidRPr="009D4627">
        <w:rPr>
          <w:noProof/>
        </w:rPr>
        <w:fldChar w:fldCharType="end"/>
      </w:r>
      <w:r w:rsidRPr="009D4627">
        <w:rPr>
          <w:noProof/>
        </w:rPr>
        <w:t>, and</w:t>
      </w:r>
      <w:r w:rsidR="00EF2F31" w:rsidRPr="009D4627">
        <w:rPr>
          <w:noProof/>
        </w:rPr>
        <w:t>/or</w:t>
      </w:r>
      <w:r w:rsidRPr="009D4627">
        <w:rPr>
          <w:noProof/>
        </w:rPr>
        <w:t xml:space="preserve"> neuronal processing time </w:t>
      </w:r>
      <w:r w:rsidRPr="009D4627">
        <w:rPr>
          <w:noProof/>
        </w:rPr>
        <w:fldChar w:fldCharType="begin"/>
      </w:r>
      <w:r w:rsidR="00945A16" w:rsidRPr="009D4627">
        <w:rPr>
          <w:noProof/>
        </w:rPr>
        <w:instrText xml:space="preserve"> ADDIN EN.CITE &lt;EndNote&gt;&lt;Cite&gt;&lt;Author&gt;Knox&lt;/Author&gt;&lt;Year&gt;2005&lt;/Year&gt;&lt;IDText&gt;Age- related changes in smooth pursuit initiation&lt;/IDText&gt;&lt;DisplayText&gt;(Knox et al., 2005)&lt;/DisplayText&gt;&lt;record&gt;&lt;keywords&gt;&lt;keyword&gt;Eye movement&lt;/keyword&gt;&lt;keyword&gt;Smooth pursuit&lt;/keyword&gt;&lt;keyword&gt;Attention&lt;/keyword&gt;&lt;keyword&gt;Motion processing&lt;/keyword&gt;&lt;/keywords&gt;&lt;isbn&gt;0014-4819&lt;/isbn&gt;&lt;titles&gt;&lt;title&gt;Age- related changes in smooth pursuit initiation&lt;/title&gt;&lt;secondary-title&gt;Experimental Brain Research&lt;/secondary-title&gt;&lt;/titles&gt;&lt;pages&gt;1-7&lt;/pages&gt;&lt;number&gt;1&lt;/number&gt;&lt;contributors&gt;&lt;authors&gt;&lt;author&gt;Knox, Paul&lt;/author&gt;&lt;author&gt;Davidson, Jillian&lt;/author&gt;&lt;author&gt;Anderson, David&lt;/author&gt;&lt;/authors&gt;&lt;/contributors&gt;&lt;added-date format="utc"&gt;1567770486&lt;/added-date&gt;&lt;pub-location&gt;Berlin/Heidelberg&lt;/pub-location&gt;&lt;ref-type name="Journal Article"&gt;17&lt;/ref-type&gt;&lt;dates&gt;&lt;year&gt;2005&lt;/year&gt;&lt;/dates&gt;&lt;rec-number&gt;596&lt;/rec-number&gt;&lt;last-updated-date format="utc"&gt;1567770486&lt;/last-updated-date&gt;&lt;electronic-resource-num&gt;10.1007/s00221-005-2265-2&lt;/electronic-resource-num&gt;&lt;volume&gt;165&lt;/volume&gt;&lt;/record&gt;&lt;/Cite&gt;&lt;/EndNote&gt;</w:instrText>
      </w:r>
      <w:r w:rsidRPr="009D4627">
        <w:rPr>
          <w:noProof/>
        </w:rPr>
        <w:fldChar w:fldCharType="separate"/>
      </w:r>
      <w:r w:rsidR="00945A16" w:rsidRPr="009D4627">
        <w:rPr>
          <w:noProof/>
        </w:rPr>
        <w:t>(Knox et al., 2005)</w:t>
      </w:r>
      <w:r w:rsidRPr="009D4627">
        <w:rPr>
          <w:noProof/>
        </w:rPr>
        <w:fldChar w:fldCharType="end"/>
      </w:r>
      <w:r w:rsidRPr="009D4627">
        <w:rPr>
          <w:noProof/>
        </w:rPr>
        <w:t xml:space="preserve"> among old adults </w:t>
      </w:r>
      <w:r w:rsidR="00EF2F31" w:rsidRPr="009D4627">
        <w:rPr>
          <w:noProof/>
        </w:rPr>
        <w:t xml:space="preserve">above </w:t>
      </w:r>
      <w:r w:rsidRPr="009D4627">
        <w:rPr>
          <w:noProof/>
        </w:rPr>
        <w:t>60</w:t>
      </w:r>
      <w:r w:rsidR="00EF2F31" w:rsidRPr="009D4627">
        <w:rPr>
          <w:noProof/>
        </w:rPr>
        <w:t xml:space="preserve"> years old</w:t>
      </w:r>
      <w:r w:rsidRPr="009D4627">
        <w:rPr>
          <w:noProof/>
        </w:rPr>
        <w:t xml:space="preserve"> </w:t>
      </w:r>
      <w:r w:rsidRPr="009D4627">
        <w:rPr>
          <w:noProof/>
        </w:rPr>
        <w:fldChar w:fldCharType="begin"/>
      </w:r>
      <w:r w:rsidR="00945A16" w:rsidRPr="009D4627">
        <w:rPr>
          <w:noProof/>
        </w:rPr>
        <w:instrText xml:space="preserve"> ADDIN EN.CITE &lt;EndNote&gt;&lt;Cite&gt;&lt;Author&gt;Peltsch&lt;/Author&gt;&lt;Year&gt;2011&lt;/Year&gt;&lt;IDText&gt;Age- related trends in saccade characteristics among the elderly&lt;/IDText&gt;&lt;DisplayText&gt;(Peltsch et al., 2011a)&lt;/DisplayText&gt;&lt;record&gt;&lt;keywords&gt;&lt;keyword&gt;Saccades&lt;/keyword&gt;&lt;keyword&gt;Eye Movements&lt;/keyword&gt;&lt;keyword&gt;Aging&lt;/keyword&gt;&lt;keyword&gt;Oculomotor&lt;/keyword&gt;&lt;keyword&gt;Frontal Inhibition&lt;/keyword&gt;&lt;/keywords&gt;&lt;isbn&gt;0197-4580&lt;/isbn&gt;&lt;titles&gt;&lt;title&gt;Age- related trends in saccade characteristics among the elderly&lt;/title&gt;&lt;secondary-title&gt;Neurobiology of Aging&lt;/secondary-title&gt;&lt;/titles&gt;&lt;pages&gt;669-679&lt;/pages&gt;&lt;number&gt;4&lt;/number&gt;&lt;contributors&gt;&lt;authors&gt;&lt;author&gt;Peltsch, A.&lt;/author&gt;&lt;author&gt;Hemraj, A.&lt;/author&gt;&lt;author&gt;Garcia, A.&lt;/author&gt;&lt;author&gt;Munoz, D. P.&lt;/author&gt;&lt;/authors&gt;&lt;/contributors&gt;&lt;added-date format="utc"&gt;1518422821&lt;/added-date&gt;&lt;ref-type name="Journal Article"&gt;17&lt;/ref-type&gt;&lt;dates&gt;&lt;year&gt;2011&lt;/year&gt;&lt;/dates&gt;&lt;rec-number&gt;206&lt;/rec-number&gt;&lt;last-updated-date format="utc"&gt;1518422821&lt;/last-updated-date&gt;&lt;electronic-resource-num&gt;10.1016/j.neurobiolaging.2009.04.001&lt;/electronic-resource-num&gt;&lt;volume&gt;32&lt;/volume&gt;&lt;/record&gt;&lt;/Cite&gt;&lt;/EndNote&gt;</w:instrText>
      </w:r>
      <w:r w:rsidRPr="009D4627">
        <w:rPr>
          <w:noProof/>
        </w:rPr>
        <w:fldChar w:fldCharType="separate"/>
      </w:r>
      <w:r w:rsidR="00945A16" w:rsidRPr="009D4627">
        <w:rPr>
          <w:noProof/>
        </w:rPr>
        <w:t>(Peltsch et al., 2011a)</w:t>
      </w:r>
      <w:r w:rsidRPr="009D4627">
        <w:rPr>
          <w:noProof/>
        </w:rPr>
        <w:fldChar w:fldCharType="end"/>
      </w:r>
      <w:r w:rsidRPr="009D4627">
        <w:rPr>
          <w:noProof/>
        </w:rPr>
        <w:t>.</w:t>
      </w:r>
    </w:p>
    <w:p w14:paraId="485B3948" w14:textId="61DD57A6" w:rsidR="00855A73" w:rsidRPr="009D4627" w:rsidRDefault="00547D87" w:rsidP="00390EBC">
      <w:pPr>
        <w:rPr>
          <w:noProof/>
        </w:rPr>
      </w:pPr>
      <w:r w:rsidRPr="009D4627">
        <w:rPr>
          <w:noProof/>
        </w:rPr>
        <w:lastRenderedPageBreak/>
        <w:t xml:space="preserve">Previous studies reported that older adults have longer horizontal </w:t>
      </w:r>
      <w:r w:rsidRPr="009D4627">
        <w:rPr>
          <w:noProof/>
        </w:rPr>
        <w:fldChar w:fldCharType="begin">
          <w:fldData xml:space="preserve">PEVuZE5vdGU+PENpdGU+PEF1dGhvcj5BYmVsPC9BdXRob3I+PFllYXI+MTk4MzwvWWVhcj48SURU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</w:fldData>
        </w:fldChar>
      </w:r>
      <w:r w:rsidR="00C40138" w:rsidRPr="009D4627">
        <w:rPr>
          <w:noProof/>
        </w:rPr>
        <w:instrText xml:space="preserve"> ADDIN EN.CITE </w:instrText>
      </w:r>
      <w:r w:rsidR="00C40138" w:rsidRPr="009D4627">
        <w:rPr>
          <w:noProof/>
        </w:rPr>
        <w:fldChar w:fldCharType="begin">
          <w:fldData xml:space="preserve">PEVuZE5vdGU+PENpdGU+PEF1dGhvcj5BYmVsPC9BdXRob3I+PFllYXI+MTk4MzwvWWVhcj48SURU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</w:fldData>
        </w:fldChar>
      </w:r>
      <w:r w:rsidR="00C40138" w:rsidRPr="009D4627">
        <w:rPr>
          <w:noProof/>
        </w:rPr>
        <w:instrText xml:space="preserve"> ADDIN EN.CITE.DATA </w:instrText>
      </w:r>
      <w:r w:rsidR="00C40138" w:rsidRPr="009D4627">
        <w:rPr>
          <w:noProof/>
        </w:rPr>
      </w:r>
      <w:r w:rsidR="00C40138" w:rsidRPr="009D4627">
        <w:rPr>
          <w:noProof/>
        </w:rPr>
        <w:fldChar w:fldCharType="end"/>
      </w:r>
      <w:r w:rsidRPr="009D4627">
        <w:rPr>
          <w:noProof/>
        </w:rPr>
      </w:r>
      <w:r w:rsidRPr="009D4627">
        <w:rPr>
          <w:noProof/>
        </w:rPr>
        <w:fldChar w:fldCharType="separate"/>
      </w:r>
      <w:r w:rsidR="00C40138" w:rsidRPr="009D4627">
        <w:rPr>
          <w:noProof/>
        </w:rPr>
        <w:t>(Abel et al., 1983; Pitt &amp; Rawles, 1988; Warabi et al., 1984; Wilson et al., 1993)</w:t>
      </w:r>
      <w:r w:rsidRPr="009D4627">
        <w:rPr>
          <w:noProof/>
        </w:rPr>
        <w:fldChar w:fldCharType="end"/>
      </w:r>
      <w:r w:rsidRPr="009D4627">
        <w:rPr>
          <w:noProof/>
        </w:rPr>
        <w:t xml:space="preserve"> and vertical </w:t>
      </w:r>
      <w:r w:rsidR="00944720" w:rsidRPr="009D4627">
        <w:rPr>
          <w:noProof/>
        </w:rPr>
        <w:t>saccadic</w:t>
      </w:r>
      <w:r w:rsidR="00EF2F31" w:rsidRPr="009D4627">
        <w:rPr>
          <w:noProof/>
        </w:rPr>
        <w:t xml:space="preserve"> </w:t>
      </w:r>
      <w:r w:rsidRPr="009D4627">
        <w:rPr>
          <w:noProof/>
        </w:rPr>
        <w:t>latenc</w:t>
      </w:r>
      <w:r w:rsidR="00EF2F31" w:rsidRPr="009D4627">
        <w:rPr>
          <w:noProof/>
        </w:rPr>
        <w:t>ies</w:t>
      </w:r>
      <w:r w:rsidRPr="009D4627">
        <w:rPr>
          <w:noProof/>
        </w:rPr>
        <w:t xml:space="preserve"> </w:t>
      </w:r>
      <w:r w:rsidRPr="009D4627">
        <w:rPr>
          <w:noProof/>
        </w:rPr>
        <w:fldChar w:fldCharType="begin">
          <w:fldData xml:space="preserve">PEVuZE5vdGU+PENpdGU+PEF1dGhvcj5ZYW5nPC9BdXRob3I+PFllYXI+MjAwNjwvWWVhcj48SURU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</w:fldData>
        </w:fldChar>
      </w:r>
      <w:r w:rsidR="00376CCD" w:rsidRPr="009D4627">
        <w:rPr>
          <w:noProof/>
        </w:rPr>
        <w:instrText xml:space="preserve"> ADDIN EN.CITE </w:instrText>
      </w:r>
      <w:r w:rsidR="00376CCD" w:rsidRPr="009D4627">
        <w:rPr>
          <w:noProof/>
        </w:rPr>
        <w:fldChar w:fldCharType="begin">
          <w:fldData xml:space="preserve">PEVuZE5vdGU+PENpdGU+PEF1dGhvcj5ZYW5nPC9BdXRob3I+PFllYXI+MjAwNjwvWWVhcj48SURU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</w:fldData>
        </w:fldChar>
      </w:r>
      <w:r w:rsidR="00376CCD" w:rsidRPr="009D4627">
        <w:rPr>
          <w:noProof/>
        </w:rPr>
        <w:instrText xml:space="preserve"> ADDIN EN.CITE.DATA </w:instrText>
      </w:r>
      <w:r w:rsidR="00376CCD" w:rsidRPr="009D4627">
        <w:rPr>
          <w:noProof/>
        </w:rPr>
      </w:r>
      <w:r w:rsidR="00376CCD" w:rsidRPr="009D4627">
        <w:rPr>
          <w:noProof/>
        </w:rPr>
        <w:fldChar w:fldCharType="end"/>
      </w:r>
      <w:r w:rsidRPr="009D4627">
        <w:rPr>
          <w:noProof/>
        </w:rPr>
      </w:r>
      <w:r w:rsidRPr="009D4627">
        <w:rPr>
          <w:noProof/>
        </w:rPr>
        <w:fldChar w:fldCharType="separate"/>
      </w:r>
      <w:r w:rsidR="00376CCD" w:rsidRPr="009D4627">
        <w:rPr>
          <w:noProof/>
        </w:rPr>
        <w:t>(Huaman &amp; Sharpe, 1993; Yang &amp; Kapoula, 2006)</w:t>
      </w:r>
      <w:r w:rsidRPr="009D4627">
        <w:rPr>
          <w:noProof/>
        </w:rPr>
        <w:fldChar w:fldCharType="end"/>
      </w:r>
      <w:r w:rsidRPr="009D4627">
        <w:rPr>
          <w:noProof/>
        </w:rPr>
        <w:t xml:space="preserve"> than young</w:t>
      </w:r>
      <w:r w:rsidR="00EF2F31" w:rsidRPr="009D4627">
        <w:rPr>
          <w:noProof/>
        </w:rPr>
        <w:t>er</w:t>
      </w:r>
      <w:r w:rsidRPr="009D4627">
        <w:rPr>
          <w:noProof/>
        </w:rPr>
        <w:t xml:space="preserve"> adults. However, a recent study reported no association between ageing and </w:t>
      </w:r>
      <w:r w:rsidR="00944720" w:rsidRPr="009D4627">
        <w:rPr>
          <w:noProof/>
        </w:rPr>
        <w:t>saccadic</w:t>
      </w:r>
      <w:r w:rsidRPr="009D4627">
        <w:rPr>
          <w:noProof/>
        </w:rPr>
        <w:t xml:space="preserve"> latency </w:t>
      </w:r>
      <w:r w:rsidRPr="009D4627">
        <w:rPr>
          <w:noProof/>
        </w:rPr>
        <w:fldChar w:fldCharType="begin"/>
      </w:r>
      <w:r w:rsidR="00C40138" w:rsidRPr="009D4627">
        <w:rPr>
          <w:noProof/>
        </w:rPr>
        <w:instrText xml:space="preserve"> ADDIN EN.CITE &lt;EndNote&gt;&lt;Cite&gt;&lt;Author&gt;Irving&lt;/Author&gt;&lt;Year&gt;2018&lt;/Year&gt;&lt;IDText&gt;Difference between vertical and horizontal saccades across the human lifespan&lt;/IDText&gt;&lt;DisplayText&gt;(Irving &amp;amp; Lillakas, 2018)&lt;/DisplayText&gt;&lt;record&gt;&lt;isbn&gt;0014-4835&lt;/isbn&gt;&lt;titles&gt;&lt;title&gt;Difference between vertical and horizontal saccades across the human lifespan&lt;/title&gt;&lt;secondary-title&gt;Experimental eye research.&lt;/secondary-title&gt;&lt;/titles&gt;&lt;pages&gt;38-45&lt;/pages&gt;&lt;contributors&gt;&lt;authors&gt;&lt;author&gt;Irving, Elizabeth L.&lt;/author&gt;&lt;author&gt;Lillakas, Linda&lt;/author&gt;&lt;/authors&gt;&lt;/contributors&gt;&lt;added-date format="utc"&gt;1568025436&lt;/added-date&gt;&lt;pub-location&gt;[London] :&lt;/pub-location&gt;&lt;ref-type name="Journal Article"&gt;17&lt;/ref-type&gt;&lt;dates&gt;&lt;year&gt;2018&lt;/year&gt;&lt;/dates&gt;&lt;rec-number&gt;598&lt;/rec-number&gt;&lt;last-updated-date format="utc"&gt;1582822330&lt;/last-updated-date&gt;&lt;electronic-resource-num&gt;10.1016/j.exer.2018.08.020&amp;#xD;info:doi/10.1016/j.exer.2018.08.020&lt;/electronic-resource-num&gt;&lt;volume&gt;183&lt;/volume&gt;&lt;/record&gt;&lt;/Cite&gt;&lt;/EndNote&gt;</w:instrText>
      </w:r>
      <w:r w:rsidRPr="009D4627">
        <w:rPr>
          <w:noProof/>
        </w:rPr>
        <w:fldChar w:fldCharType="separate"/>
      </w:r>
      <w:r w:rsidR="00C40138" w:rsidRPr="009D4627">
        <w:rPr>
          <w:noProof/>
        </w:rPr>
        <w:t>(Irving &amp; Lillakas, 2018)</w:t>
      </w:r>
      <w:r w:rsidRPr="009D4627">
        <w:rPr>
          <w:noProof/>
        </w:rPr>
        <w:fldChar w:fldCharType="end"/>
      </w:r>
      <w:r w:rsidRPr="009D4627">
        <w:rPr>
          <w:noProof/>
        </w:rPr>
        <w:t xml:space="preserve">. The differences </w:t>
      </w:r>
      <w:r w:rsidR="00EF2F31" w:rsidRPr="009D4627">
        <w:rPr>
          <w:noProof/>
        </w:rPr>
        <w:t xml:space="preserve">in results </w:t>
      </w:r>
      <w:r w:rsidRPr="009D4627">
        <w:rPr>
          <w:noProof/>
        </w:rPr>
        <w:t xml:space="preserve">could be </w:t>
      </w:r>
      <w:r w:rsidR="00EF2F31" w:rsidRPr="009D4627">
        <w:rPr>
          <w:noProof/>
        </w:rPr>
        <w:t>due to partic</w:t>
      </w:r>
      <w:r w:rsidR="00AE6F60" w:rsidRPr="009D4627">
        <w:rPr>
          <w:noProof/>
        </w:rPr>
        <w:t>i</w:t>
      </w:r>
      <w:r w:rsidR="00EF2F31" w:rsidRPr="009D4627">
        <w:rPr>
          <w:noProof/>
        </w:rPr>
        <w:t xml:space="preserve">pant </w:t>
      </w:r>
      <w:r w:rsidRPr="009D4627">
        <w:rPr>
          <w:noProof/>
        </w:rPr>
        <w:t>selecti</w:t>
      </w:r>
      <w:r w:rsidR="00EF2F31" w:rsidRPr="009D4627">
        <w:rPr>
          <w:noProof/>
        </w:rPr>
        <w:t>on</w:t>
      </w:r>
      <w:r w:rsidRPr="009D4627">
        <w:rPr>
          <w:noProof/>
        </w:rPr>
        <w:t xml:space="preserve">. The study that found ageing deteriorates the latency </w:t>
      </w:r>
      <w:r w:rsidR="00E84FBA" w:rsidRPr="009D4627">
        <w:rPr>
          <w:noProof/>
        </w:rPr>
        <w:t>recruit</w:t>
      </w:r>
      <w:r w:rsidR="00EF2F31" w:rsidRPr="009D4627">
        <w:rPr>
          <w:noProof/>
        </w:rPr>
        <w:t>ed</w:t>
      </w:r>
      <w:r w:rsidR="00E84FBA" w:rsidRPr="009D4627">
        <w:rPr>
          <w:noProof/>
        </w:rPr>
        <w:t xml:space="preserve"> participants with</w:t>
      </w:r>
      <w:r w:rsidR="00EF2F31" w:rsidRPr="009D4627">
        <w:rPr>
          <w:noProof/>
        </w:rPr>
        <w:t xml:space="preserve"> a</w:t>
      </w:r>
      <w:r w:rsidRPr="009D4627">
        <w:rPr>
          <w:noProof/>
        </w:rPr>
        <w:t xml:space="preserve"> </w:t>
      </w:r>
      <w:r w:rsidR="00E84FBA" w:rsidRPr="009D4627">
        <w:rPr>
          <w:noProof/>
        </w:rPr>
        <w:t>greater range of ages.</w:t>
      </w:r>
      <w:r w:rsidRPr="009D4627">
        <w:rPr>
          <w:noProof/>
        </w:rPr>
        <w:t xml:space="preserve"> </w:t>
      </w:r>
      <w:r w:rsidR="00E84FBA" w:rsidRPr="009D4627">
        <w:rPr>
          <w:noProof/>
        </w:rPr>
        <w:t xml:space="preserve">Therefore, </w:t>
      </w:r>
      <w:r w:rsidRPr="009D4627">
        <w:rPr>
          <w:noProof/>
        </w:rPr>
        <w:t xml:space="preserve">it </w:t>
      </w:r>
      <w:r w:rsidR="00EF2F31" w:rsidRPr="009D4627">
        <w:rPr>
          <w:noProof/>
        </w:rPr>
        <w:t>wa</w:t>
      </w:r>
      <w:r w:rsidRPr="009D4627">
        <w:rPr>
          <w:noProof/>
        </w:rPr>
        <w:t>s more sensitive to an age effect. Meanwhile, Irving and Lillakas (2018) recruited participants</w:t>
      </w:r>
      <w:r w:rsidR="00EF2F31" w:rsidRPr="009D4627">
        <w:rPr>
          <w:noProof/>
        </w:rPr>
        <w:t xml:space="preserve"> with an</w:t>
      </w:r>
      <w:r w:rsidRPr="009D4627">
        <w:rPr>
          <w:noProof/>
        </w:rPr>
        <w:t xml:space="preserve"> age range from 3 to 86</w:t>
      </w:r>
      <w:r w:rsidR="008C4259" w:rsidRPr="009D4627">
        <w:rPr>
          <w:noProof/>
        </w:rPr>
        <w:t>-</w:t>
      </w:r>
      <w:r w:rsidRPr="009D4627">
        <w:rPr>
          <w:noProof/>
        </w:rPr>
        <w:t>years</w:t>
      </w:r>
      <w:r w:rsidR="008C4259" w:rsidRPr="009D4627">
        <w:rPr>
          <w:noProof/>
        </w:rPr>
        <w:t>-</w:t>
      </w:r>
      <w:r w:rsidRPr="009D4627">
        <w:rPr>
          <w:noProof/>
        </w:rPr>
        <w:t xml:space="preserve">old. Hence, they tried to present the results </w:t>
      </w:r>
      <w:r w:rsidR="008C4259" w:rsidRPr="009D4627">
        <w:rPr>
          <w:noProof/>
        </w:rPr>
        <w:t xml:space="preserve">grouped </w:t>
      </w:r>
      <w:r w:rsidRPr="009D4627">
        <w:rPr>
          <w:noProof/>
        </w:rPr>
        <w:t xml:space="preserve">according to age. However, </w:t>
      </w:r>
      <w:r w:rsidR="008C4259" w:rsidRPr="009D4627">
        <w:rPr>
          <w:noProof/>
        </w:rPr>
        <w:t>the</w:t>
      </w:r>
      <w:r w:rsidRPr="009D4627">
        <w:rPr>
          <w:noProof/>
        </w:rPr>
        <w:t xml:space="preserve"> young</w:t>
      </w:r>
      <w:r w:rsidR="008C4259" w:rsidRPr="009D4627">
        <w:rPr>
          <w:noProof/>
        </w:rPr>
        <w:t>est pa</w:t>
      </w:r>
      <w:r w:rsidRPr="009D4627">
        <w:rPr>
          <w:noProof/>
        </w:rPr>
        <w:t>rticipants</w:t>
      </w:r>
      <w:r w:rsidR="008C4259" w:rsidRPr="009D4627">
        <w:rPr>
          <w:noProof/>
        </w:rPr>
        <w:t xml:space="preserve"> may have produced n</w:t>
      </w:r>
      <w:r w:rsidRPr="009D4627">
        <w:rPr>
          <w:noProof/>
        </w:rPr>
        <w:t>on-reliable saccades</w:t>
      </w:r>
      <w:r w:rsidR="008C4259" w:rsidRPr="009D4627">
        <w:rPr>
          <w:noProof/>
        </w:rPr>
        <w:t>, since</w:t>
      </w:r>
      <w:r w:rsidRPr="009D4627">
        <w:rPr>
          <w:noProof/>
        </w:rPr>
        <w:t xml:space="preserve"> even with practice</w:t>
      </w:r>
      <w:r w:rsidR="008C4259" w:rsidRPr="009D4627">
        <w:rPr>
          <w:noProof/>
        </w:rPr>
        <w:t>,</w:t>
      </w:r>
      <w:r w:rsidRPr="009D4627">
        <w:rPr>
          <w:noProof/>
        </w:rPr>
        <w:t xml:space="preserve"> </w:t>
      </w:r>
      <w:r w:rsidR="008C4259" w:rsidRPr="009D4627">
        <w:rPr>
          <w:noProof/>
        </w:rPr>
        <w:t xml:space="preserve">the generation of accurate </w:t>
      </w:r>
      <w:r w:rsidRPr="009D4627">
        <w:rPr>
          <w:noProof/>
        </w:rPr>
        <w:t>saccades need</w:t>
      </w:r>
      <w:r w:rsidR="00AE6F60" w:rsidRPr="009D4627">
        <w:rPr>
          <w:noProof/>
        </w:rPr>
        <w:t>s</w:t>
      </w:r>
      <w:r w:rsidRPr="009D4627">
        <w:rPr>
          <w:noProof/>
        </w:rPr>
        <w:t xml:space="preserve"> </w:t>
      </w:r>
      <w:r w:rsidR="00AE6F60" w:rsidRPr="009D4627">
        <w:rPr>
          <w:noProof/>
        </w:rPr>
        <w:t>excellen</w:t>
      </w:r>
      <w:r w:rsidRPr="009D4627">
        <w:rPr>
          <w:noProof/>
        </w:rPr>
        <w:t xml:space="preserve">t attention and understanding. Therefore, the results of this study could be questionable. </w:t>
      </w:r>
    </w:p>
    <w:p w14:paraId="4145EC64" w14:textId="318272F5" w:rsidR="00547D87" w:rsidRPr="009D4627" w:rsidRDefault="00E84FBA" w:rsidP="00390EBC">
      <w:r w:rsidRPr="009D4627">
        <w:t>The</w:t>
      </w:r>
      <w:r w:rsidR="00547D87" w:rsidRPr="009D4627">
        <w:t xml:space="preserve"> variation in </w:t>
      </w:r>
      <w:r w:rsidR="00944720" w:rsidRPr="009D4627">
        <w:t>saccadic</w:t>
      </w:r>
      <w:r w:rsidR="00547D87" w:rsidRPr="009D4627">
        <w:t xml:space="preserve"> peak velocity was also reported to be due to an interaction of ageing and retinal eccentricity, whereby they found that the peak velocity of the elderly only reduced when larger saccade</w:t>
      </w:r>
      <w:r w:rsidR="008C4259" w:rsidRPr="009D4627">
        <w:t>s</w:t>
      </w:r>
      <w:r w:rsidR="00547D87" w:rsidRPr="009D4627">
        <w:t xml:space="preserve"> w</w:t>
      </w:r>
      <w:r w:rsidR="008C4259" w:rsidRPr="009D4627">
        <w:t>ere</w:t>
      </w:r>
      <w:r w:rsidR="00547D87" w:rsidRPr="009D4627">
        <w:t xml:space="preserve"> attempted (i.e., </w:t>
      </w:r>
      <w:r w:rsidR="008C4259" w:rsidRPr="009D4627">
        <w:t>&gt;</w:t>
      </w:r>
      <w:r w:rsidR="00547D87" w:rsidRPr="009D4627">
        <w:t xml:space="preserve">40°) </w:t>
      </w:r>
      <w:r w:rsidR="00547D87" w:rsidRPr="009D4627">
        <w:fldChar w:fldCharType="begin"/>
      </w:r>
      <w:r w:rsidR="00945A16" w:rsidRPr="009D4627">
        <w:instrText xml:space="preserve"> ADDIN EN.CITE &lt;EndNote&gt;&lt;Cite&gt;&lt;Author&gt;Warabi&lt;/Author&gt;&lt;Year&gt;1984&lt;/Year&gt;&lt;IDText&gt;Effect of aging on the accuracy of visually guided saccadic eye movement&lt;/IDText&gt;&lt;DisplayText&gt;(Warabi et al., 1984)&lt;/DisplayText&gt;&lt;record&gt;&lt;isbn&gt;0364-5134&lt;/isbn&gt;&lt;titles&gt;&lt;title&gt;Effect of aging on the accuracy of visually guided saccadic eye movement&lt;/title&gt;&lt;secondary-title&gt;Annals of neurology.&lt;/secondary-title&gt;&lt;/titles&gt;&lt;pages&gt;449-454&lt;/pages&gt;&lt;number&gt;4&lt;/number&gt;&lt;contributors&gt;&lt;authors&gt;&lt;author&gt;Warabi, Tateo&lt;/author&gt;&lt;author&gt;Kase, Manabu&lt;/author&gt;&lt;author&gt;Kato, Takamasa&lt;/author&gt;&lt;/authors&gt;&lt;/contributors&gt;&lt;added-date format="utc"&gt;1564504606&lt;/added-date&gt;&lt;ref-type name="Journal Article"&gt;17&lt;/ref-type&gt;&lt;dates&gt;&lt;year&gt;1984&lt;/year&gt;&lt;/dates&gt;&lt;rec-number&gt;569&lt;/rec-number&gt;&lt;last-updated-date format="utc"&gt;1564504714&lt;/last-updated-date&gt;&lt;electronic-resource-num&gt;10.1002/ana.410160405&amp;#xD;info:doi/10.1002/ana.410160405&lt;/electronic-resource-num&gt;&lt;volume&gt;16&lt;/volume&gt;&lt;/record&gt;&lt;/Cite&gt;&lt;/EndNote&gt;</w:instrText>
      </w:r>
      <w:r w:rsidR="00547D87" w:rsidRPr="009D4627">
        <w:fldChar w:fldCharType="separate"/>
      </w:r>
      <w:r w:rsidR="00945A16" w:rsidRPr="009D4627">
        <w:rPr>
          <w:noProof/>
        </w:rPr>
        <w:t>(Warabi et al., 1984)</w:t>
      </w:r>
      <w:r w:rsidR="00547D87" w:rsidRPr="009D4627">
        <w:fldChar w:fldCharType="end"/>
      </w:r>
      <w:r w:rsidR="00547D87" w:rsidRPr="009D4627">
        <w:t>. Some researchers found no difference between young</w:t>
      </w:r>
      <w:r w:rsidR="008C4259" w:rsidRPr="009D4627">
        <w:t>er</w:t>
      </w:r>
      <w:r w:rsidR="00547D87" w:rsidRPr="009D4627">
        <w:t xml:space="preserve"> </w:t>
      </w:r>
      <w:r w:rsidR="008C4259" w:rsidRPr="009D4627">
        <w:t xml:space="preserve">and older </w:t>
      </w:r>
      <w:r w:rsidR="00547D87" w:rsidRPr="009D4627">
        <w:t xml:space="preserve">adults </w:t>
      </w:r>
      <w:r w:rsidR="00547D87" w:rsidRPr="009D4627">
        <w:fldChar w:fldCharType="begin">
          <w:fldData xml:space="preserve">PEVuZE5vdGU+PENpdGU+PEF1dGhvcj5IZW5yaWtzc29uPC9BdXRob3I+PFllYXI+MTk4MDwvWWVh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</w:fldData>
        </w:fldChar>
      </w:r>
      <w:r w:rsidR="00C40138" w:rsidRPr="009D4627">
        <w:instrText xml:space="preserve"> ADDIN EN.CITE </w:instrText>
      </w:r>
      <w:r w:rsidR="00C40138" w:rsidRPr="009D4627">
        <w:fldChar w:fldCharType="begin">
          <w:fldData xml:space="preserve">PEVuZE5vdGU+PENpdGU+PEF1dGhvcj5IZW5yaWtzc29uPC9BdXRob3I+PFllYXI+MTk4MDwvWWVh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</w:fldData>
        </w:fldChar>
      </w:r>
      <w:r w:rsidR="00C40138" w:rsidRPr="009D4627">
        <w:instrText xml:space="preserve"> ADDIN EN.CITE.DATA </w:instrText>
      </w:r>
      <w:r w:rsidR="00C40138" w:rsidRPr="009D4627">
        <w:fldChar w:fldCharType="end"/>
      </w:r>
      <w:r w:rsidR="00547D87" w:rsidRPr="009D4627">
        <w:fldChar w:fldCharType="separate"/>
      </w:r>
      <w:r w:rsidR="00C40138" w:rsidRPr="009D4627">
        <w:rPr>
          <w:noProof/>
        </w:rPr>
        <w:t>(Abel et al., 1983; Henriksson et al., 1980; Huaman &amp; Sharpe, 1993)</w:t>
      </w:r>
      <w:r w:rsidR="00547D87" w:rsidRPr="009D4627">
        <w:fldChar w:fldCharType="end"/>
      </w:r>
      <w:r w:rsidR="00547D87" w:rsidRPr="009D4627">
        <w:t xml:space="preserve">. A study also reported that the elderly made faster saccades than young adults </w:t>
      </w:r>
      <w:r w:rsidR="00547D87" w:rsidRPr="009D4627">
        <w:fldChar w:fldCharType="begin"/>
      </w:r>
      <w:r w:rsidR="00945A16" w:rsidRPr="009D4627">
        <w:instrText xml:space="preserve"> ADDIN EN.CITE &lt;EndNote&gt;&lt;Cite&gt;&lt;Author&gt;Henriksson&lt;/Author&gt;&lt;Year&gt;1980&lt;/Year&gt;&lt;IDText&gt;Velocity Patterns of Rapid Eye Movements&lt;/IDText&gt;&lt;DisplayText&gt;(Henriksson et al., 1980)&lt;/DisplayText&gt;&lt;record&gt;&lt;isbn&gt;0001-6489&lt;/isbn&gt;&lt;titles&gt;&lt;title&gt;Velocity Patterns of Rapid Eye Movements&lt;/title&gt;&lt;secondary-title&gt;Acta oto-laryngologica.&lt;/secondary-title&gt;&lt;/titles&gt;&lt;pages&gt;504-512&lt;/pages&gt;&lt;number&gt;5-6&lt;/number&gt;&lt;contributors&gt;&lt;authors&gt;&lt;author&gt;Henriksson, N. G.&lt;/author&gt;&lt;author&gt;Pyykko, I.&lt;/author&gt;&lt;author&gt;Schalen, L.&lt;/author&gt;&lt;author&gt;Wennmo, C.&lt;/author&gt;&lt;/authors&gt;&lt;/contributors&gt;&lt;added-date format="utc"&gt;1565771947&lt;/added-date&gt;&lt;pub-location&gt;[Oslo, Norway] :&lt;/pub-location&gt;&lt;ref-type name="Journal Article"&gt;17&lt;/ref-type&gt;&lt;dates&gt;&lt;year&gt;1980&lt;/year&gt;&lt;/dates&gt;&lt;rec-number&gt;576&lt;/rec-number&gt;&lt;last-updated-date format="utc"&gt;1582808665&lt;/last-updated-date&gt;&lt;electronic-resource-num&gt;10.3109/00016488009127168&amp;#xD;info:doi/10.3109/00016488009127168&lt;/electronic-resource-num&gt;&lt;volume&gt;89&lt;/volume&gt;&lt;/record&gt;&lt;/Cite&gt;&lt;/EndNote&gt;</w:instrText>
      </w:r>
      <w:r w:rsidR="00547D87" w:rsidRPr="009D4627">
        <w:fldChar w:fldCharType="separate"/>
      </w:r>
      <w:r w:rsidR="00945A16" w:rsidRPr="009D4627">
        <w:rPr>
          <w:noProof/>
        </w:rPr>
        <w:t>(Henriksson et al., 1980)</w:t>
      </w:r>
      <w:r w:rsidR="00547D87" w:rsidRPr="009D4627">
        <w:fldChar w:fldCharType="end"/>
      </w:r>
      <w:r w:rsidR="00547D87" w:rsidRPr="009D4627">
        <w:t>. In conclusion, previous studies mostly agree</w:t>
      </w:r>
      <w:r w:rsidR="008C4259" w:rsidRPr="009D4627">
        <w:t>d</w:t>
      </w:r>
      <w:r w:rsidR="00547D87" w:rsidRPr="009D4627">
        <w:t xml:space="preserve"> that </w:t>
      </w:r>
      <w:r w:rsidR="00944720" w:rsidRPr="009D4627">
        <w:t>saccadic</w:t>
      </w:r>
      <w:r w:rsidR="00547D87" w:rsidRPr="009D4627">
        <w:t xml:space="preserve"> peak velocity did not decline with increasing age, except when it reached a certain amplitude.</w:t>
      </w:r>
    </w:p>
    <w:p w14:paraId="085E5593" w14:textId="3D9326DE" w:rsidR="00547D87" w:rsidRPr="009D4627" w:rsidRDefault="00547D87" w:rsidP="00390EBC">
      <w:r w:rsidRPr="009D4627">
        <w:t xml:space="preserve">Additionally, </w:t>
      </w:r>
      <w:r w:rsidR="008C4259" w:rsidRPr="009D4627">
        <w:t>the SP</w:t>
      </w:r>
      <w:r w:rsidRPr="009D4627">
        <w:t xml:space="preserve"> eye movement </w:t>
      </w:r>
      <w:r w:rsidR="008C4259" w:rsidRPr="009D4627">
        <w:t xml:space="preserve">system </w:t>
      </w:r>
      <w:r w:rsidRPr="009D4627">
        <w:t xml:space="preserve">was reported as an age-dependent motor system, characterised </w:t>
      </w:r>
      <w:r w:rsidR="008C4259" w:rsidRPr="009D4627">
        <w:t>by</w:t>
      </w:r>
      <w:r w:rsidRPr="009D4627">
        <w:t xml:space="preserve"> increased </w:t>
      </w:r>
      <w:r w:rsidR="008C4259" w:rsidRPr="009D4627">
        <w:t>SP</w:t>
      </w:r>
      <w:r w:rsidRPr="009D4627">
        <w:t xml:space="preserve"> latency, increased rate of </w:t>
      </w:r>
      <w:r w:rsidR="007C64BF" w:rsidRPr="009D4627">
        <w:t>CUS</w:t>
      </w:r>
      <w:r w:rsidRPr="009D4627">
        <w:t xml:space="preserve"> and low</w:t>
      </w:r>
      <w:r w:rsidR="008C4259" w:rsidRPr="009D4627">
        <w:t>er</w:t>
      </w:r>
      <w:r w:rsidRPr="009D4627">
        <w:t xml:space="preserve"> gain score </w:t>
      </w:r>
      <w:r w:rsidRPr="009D4627">
        <w:fldChar w:fldCharType="begin">
          <w:fldData xml:space="preserve">PEVuZE5vdGU+PENpdGU+PEF1dGhvcj5Sb3NzPC9BdXRob3I+PFllYXI+MTk5OTwvWWVhcj48SURU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</w:fldData>
        </w:fldChar>
      </w:r>
      <w:r w:rsidR="00945A16" w:rsidRPr="009D4627">
        <w:instrText xml:space="preserve"> ADDIN EN.CITE </w:instrText>
      </w:r>
      <w:r w:rsidR="00945A16" w:rsidRPr="009D4627">
        <w:fldChar w:fldCharType="begin">
          <w:fldData xml:space="preserve">PEVuZE5vdGU+PENpdGU+PEF1dGhvcj5Sb3NzPC9BdXRob3I+PFllYXI+MTk5OTwvWWVhcj48SURU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</w:fldData>
        </w:fldChar>
      </w:r>
      <w:r w:rsidR="00945A16" w:rsidRPr="009D4627">
        <w:instrText xml:space="preserve"> ADDIN EN.CITE.DATA </w:instrText>
      </w:r>
      <w:r w:rsidR="00945A16" w:rsidRPr="009D4627">
        <w:fldChar w:fldCharType="end"/>
      </w:r>
      <w:r w:rsidRPr="009D4627">
        <w:fldChar w:fldCharType="separate"/>
      </w:r>
      <w:r w:rsidR="00945A16" w:rsidRPr="009D4627">
        <w:rPr>
          <w:noProof/>
        </w:rPr>
        <w:t>(Moschner &amp; Baloh, 1994; Ross et al., 1999)</w:t>
      </w:r>
      <w:r w:rsidRPr="009D4627">
        <w:fldChar w:fldCharType="end"/>
      </w:r>
      <w:r w:rsidRPr="009D4627">
        <w:t xml:space="preserve">. The differences in </w:t>
      </w:r>
      <w:r w:rsidR="00134019" w:rsidRPr="009D4627">
        <w:t>SP</w:t>
      </w:r>
      <w:r w:rsidRPr="009D4627">
        <w:t xml:space="preserve"> gain and latency between the young and old age groups increase</w:t>
      </w:r>
      <w:r w:rsidR="008C4259" w:rsidRPr="009D4627">
        <w:t>s</w:t>
      </w:r>
      <w:r w:rsidRPr="009D4627">
        <w:t xml:space="preserve"> as the target velocity increases </w:t>
      </w:r>
      <w:r w:rsidRPr="009D4627">
        <w:fldChar w:fldCharType="begin"/>
      </w:r>
      <w:r w:rsidR="00376CCD" w:rsidRPr="009D4627">
        <w:instrText xml:space="preserve"> ADDIN EN.CITE &lt;EndNote&gt;&lt;Cite&gt;&lt;Author&gt;Moschner&lt;/Author&gt;&lt;Year&gt;1994&lt;/Year&gt;&lt;IDText&gt;Age- related changes in visual tracking&lt;/IDText&gt;&lt;DisplayText&gt;(Moschner &amp;amp; Baloh, 1994)&lt;/DisplayText&gt;&lt;record&gt;&lt;keywords&gt;&lt;keyword&gt;Medical Research&lt;/keyword&gt;&lt;keyword&gt;Eyes &amp;amp; Eyesight&lt;/keyword&gt;&lt;keyword&gt;Aging &amp;amp; Longevity&lt;/keyword&gt;&lt;/keywords&gt;&lt;isbn&gt;00221422&lt;/isbn&gt;&lt;titles&gt;&lt;title&gt;Age- related changes in visual tracking&lt;/title&gt;&lt;secondary-title&gt;Journal of Gerontology&lt;/secondary-title&gt;&lt;/titles&gt;&lt;pages&gt;M235&lt;/pages&gt;&lt;number&gt;5&lt;/number&gt;&lt;contributors&gt;&lt;authors&gt;&lt;author&gt;Moschner,&lt;/author&gt;&lt;author&gt;Baloh, R. W.&lt;/author&gt;&lt;/authors&gt;&lt;/contributors&gt;&lt;added-date format="utc"&gt;1564420507&lt;/added-date&gt;&lt;pub-location&gt;Oxford&lt;/pub-location&gt;&lt;ref-type name="Journal Article"&gt;17&lt;/ref-type&gt;&lt;dates&gt;&lt;year&gt;1994&lt;/year&gt;&lt;/dates&gt;&lt;rec-number&gt;566&lt;/rec-number&gt;&lt;last-updated-date format="utc"&gt;1564420507&lt;/last-updated-date&gt;&lt;electronic-resource-num&gt;10.1093/geronj/49.5.M235&lt;/electronic-resource-num&gt;&lt;volume&gt;49&lt;/volume&gt;&lt;/record&gt;&lt;/Cite&gt;&lt;/EndNote&gt;</w:instrText>
      </w:r>
      <w:r w:rsidRPr="009D4627">
        <w:fldChar w:fldCharType="separate"/>
      </w:r>
      <w:r w:rsidR="00376CCD" w:rsidRPr="009D4627">
        <w:rPr>
          <w:noProof/>
        </w:rPr>
        <w:t>(Moschner &amp; Baloh, 1994)</w:t>
      </w:r>
      <w:r w:rsidRPr="009D4627">
        <w:fldChar w:fldCharType="end"/>
      </w:r>
      <w:r w:rsidRPr="009D4627">
        <w:t xml:space="preserve">. Hence, </w:t>
      </w:r>
      <w:r w:rsidRPr="009D4627">
        <w:lastRenderedPageBreak/>
        <w:t xml:space="preserve">older people show less tracking ability </w:t>
      </w:r>
      <w:r w:rsidR="008C4259" w:rsidRPr="009D4627">
        <w:t>for</w:t>
      </w:r>
      <w:r w:rsidRPr="009D4627">
        <w:t xml:space="preserve"> faster moving objects. Their eye velocity was slower than target velocity, resulting in low </w:t>
      </w:r>
      <w:r w:rsidR="00134019" w:rsidRPr="009D4627">
        <w:t>SP</w:t>
      </w:r>
      <w:r w:rsidRPr="009D4627">
        <w:t xml:space="preserve"> gain. </w:t>
      </w:r>
    </w:p>
    <w:p w14:paraId="0597AC50" w14:textId="0756EE10" w:rsidR="000B5608" w:rsidRPr="009D4627" w:rsidRDefault="00547D87" w:rsidP="00855A73">
      <w:pPr>
        <w:spacing w:before="0" w:after="0"/>
      </w:pPr>
      <w:r w:rsidRPr="009D4627">
        <w:t xml:space="preserve">However, Morrow and Sharpe (1993) found that </w:t>
      </w:r>
      <w:r w:rsidR="00666F37" w:rsidRPr="009D4627">
        <w:t>SP</w:t>
      </w:r>
      <w:r w:rsidRPr="009D4627">
        <w:t xml:space="preserve"> </w:t>
      </w:r>
      <w:r w:rsidR="00666F37" w:rsidRPr="009D4627">
        <w:t>did</w:t>
      </w:r>
      <w:r w:rsidRPr="009D4627">
        <w:t xml:space="preserve"> not significantly var</w:t>
      </w:r>
      <w:r w:rsidR="00666F37" w:rsidRPr="009D4627">
        <w:t xml:space="preserve">y </w:t>
      </w:r>
      <w:r w:rsidRPr="009D4627">
        <w:t>with increasing age and target velocity. The difference in their study was the selection of target velocity. They compared 20 and 40°/s target speed</w:t>
      </w:r>
      <w:r w:rsidR="00666F37" w:rsidRPr="009D4627">
        <w:t>s</w:t>
      </w:r>
      <w:r w:rsidRPr="009D4627">
        <w:t xml:space="preserve">, which both are already fast. That range of target speed is hard to follow accurately, even by a good eye tracker </w:t>
      </w:r>
      <w:r w:rsidRPr="009D4627">
        <w:fldChar w:fldCharType="begin"/>
      </w:r>
      <w:r w:rsidR="00C40138" w:rsidRPr="009D4627">
        <w:instrText xml:space="preserve"> ADDIN EN.CITE &lt;EndNote&gt;&lt;Cite&gt;&lt;Author&gt;Hutton&lt;/Author&gt;&lt;Year&gt;1983&lt;/Year&gt;&lt;IDText&gt;Variables affecting eye tracking performance&lt;/IDText&gt;&lt;DisplayText&gt;(Hutton et al., 1983)&lt;/DisplayText&gt;&lt;record&gt;&lt;keywords&gt;&lt;keyword&gt;Eye Movements&lt;/keyword&gt;&lt;/keywords&gt;&lt;isbn&gt;0013-4694&lt;/isbn&gt;&lt;titles&gt;&lt;title&gt;Variables affecting eye tracking performance&lt;/title&gt;&lt;secondary-title&gt;Electroencephalography and Clinical Neurophysiology&lt;/secondary-title&gt;&lt;/titles&gt;&lt;pages&gt;414-419&lt;/pages&gt;&lt;number&gt;5&lt;/number&gt;&lt;contributors&gt;&lt;authors&gt;&lt;author&gt;Hutton, J. Thomas&lt;/author&gt;&lt;author&gt;Nagel, J. A.&lt;/author&gt;&lt;author&gt;Loewenson, R. B.&lt;/author&gt;&lt;/authors&gt;&lt;/contributors&gt;&lt;added-date format="utc"&gt;1565364993&lt;/added-date&gt;&lt;ref-type name="Journal Article"&gt;17&lt;/ref-type&gt;&lt;dates&gt;&lt;year&gt;1983&lt;/year&gt;&lt;/dates&gt;&lt;rec-number&gt;575&lt;/rec-number&gt;&lt;last-updated-date format="utc"&gt;1565364993&lt;/last-updated-date&gt;&lt;electronic-resource-num&gt;10.1016/0013-4694(83)90223-7&lt;/electronic-resource-num&gt;&lt;volume&gt;56&lt;/volume&gt;&lt;/record&gt;&lt;/Cite&gt;&lt;/EndNote&gt;</w:instrText>
      </w:r>
      <w:r w:rsidRPr="009D4627">
        <w:fldChar w:fldCharType="separate"/>
      </w:r>
      <w:r w:rsidR="00C40138" w:rsidRPr="009D4627">
        <w:rPr>
          <w:noProof/>
        </w:rPr>
        <w:t>(Hutton et al., 1983)</w:t>
      </w:r>
      <w:r w:rsidRPr="009D4627">
        <w:fldChar w:fldCharType="end"/>
      </w:r>
      <w:r w:rsidRPr="009D4627">
        <w:t>. That might be the reason they could not find any differences between the two age groups of participants. Many researchers used a broader range of target velocity, started from very slow to faster velocit</w:t>
      </w:r>
      <w:r w:rsidR="00666F37" w:rsidRPr="009D4627">
        <w:t>ies</w:t>
      </w:r>
      <w:r w:rsidRPr="009D4627">
        <w:t xml:space="preserve"> to assess the </w:t>
      </w:r>
      <w:r w:rsidR="00666F37" w:rsidRPr="009D4627">
        <w:t>SP</w:t>
      </w:r>
      <w:r w:rsidRPr="009D4627">
        <w:t xml:space="preserve"> behaviours between their experimental groups, such as between 6 and 12°/s </w:t>
      </w:r>
      <w:r w:rsidRPr="009D4627">
        <w:fldChar w:fldCharType="begin"/>
      </w:r>
      <w:r w:rsidR="00C40138" w:rsidRPr="009D4627">
        <w:instrText xml:space="preserve"> ADDIN EN.CITE &lt;EndNote&gt;&lt;Cite&gt;&lt;Author&gt;Sakuma&lt;/Author&gt;&lt;Year&gt;2000&lt;/Year&gt;&lt;IDText&gt;Aging effects upon smooth pursuit induced by step–ramp stimulation&lt;/IDText&gt;&lt;DisplayText&gt;(Sakuma et al., 2000)&lt;/DisplayText&gt;&lt;record&gt;&lt;keywords&gt;&lt;keyword&gt;Smooth pursuit&lt;/keyword&gt;&lt;keyword&gt;Aging effects&lt;/keyword&gt;&lt;keyword&gt;Step–ramp stimulation&lt;/keyword&gt;&lt;keyword&gt;Step-ramp stimulation&lt;/keyword&gt;&lt;keyword&gt;Retina - physiology&lt;/keyword&gt;&lt;keyword&gt;Eye Movements - physiology&lt;/keyword&gt;&lt;keyword&gt;Aging - physiology&lt;/keyword&gt;&lt;keyword&gt;Photic Stimulation - methods&lt;/keyword&gt;&lt;keyword&gt;Humans&lt;/keyword&gt;&lt;keyword&gt;Middle Aged&lt;/keyword&gt;&lt;keyword&gt;Pursuit, Smooth - physiology&lt;/keyword&gt;&lt;keyword&gt;Adult&lt;/keyword&gt;&lt;keyword&gt;Reaction Time&lt;/keyword&gt;&lt;keyword&gt;Aged&lt;/keyword&gt;&lt;keyword&gt;Acceleration&lt;/keyword&gt;&lt;keyword&gt;Index Medicus&lt;/keyword&gt;&lt;keyword&gt;Space life sciences&lt;/keyword&gt;&lt;/keywords&gt;&lt;isbn&gt;0385-8146&lt;/isbn&gt;&lt;titles&gt;&lt;title&gt;Aging effects upon smooth pursuit induced by step–ramp stimulation&lt;/title&gt;&lt;secondary-title&gt;Auris Nasus Larynx&lt;/secondary-title&gt;&lt;/titles&gt;&lt;pages&gt;195-200&lt;/pages&gt;&lt;number&gt;3&lt;/number&gt;&lt;contributors&gt;&lt;authors&gt;&lt;author&gt;Sakuma, Atsushi&lt;/author&gt;&lt;author&gt;Ogino, Sadao&lt;/author&gt;&lt;author&gt;Takahashi, Kaoruko&lt;/author&gt;&lt;author&gt;Kato, Isao&lt;/author&gt;&lt;/authors&gt;&lt;/contributors&gt;&lt;added-date format="utc"&gt;1603328308&lt;/added-date&gt;&lt;pub-location&gt;Netherlands&lt;/pub-location&gt;&lt;ref-type name="Journal Article"&gt;17&lt;/ref-type&gt;&lt;dates&gt;&lt;year&gt;2000&lt;/year&gt;&lt;/dates&gt;&lt;rec-number&gt;713&lt;/rec-number&gt;&lt;publisher&gt;Netherlands: Elsevier Ireland Ltd&lt;/publisher&gt;&lt;last-updated-date format="utc"&gt;1603328308&lt;/last-updated-date&gt;&lt;electronic-resource-num&gt;10.1016/S0385-8146(00)00051-1&lt;/electronic-resource-num&gt;&lt;volume&gt;27&lt;/volume&gt;&lt;/record&gt;&lt;/Cite&gt;&lt;/EndNote&gt;</w:instrText>
      </w:r>
      <w:r w:rsidRPr="009D4627">
        <w:fldChar w:fldCharType="separate"/>
      </w:r>
      <w:r w:rsidR="00C40138" w:rsidRPr="009D4627">
        <w:rPr>
          <w:noProof/>
        </w:rPr>
        <w:t>(Sakuma et al., 2000)</w:t>
      </w:r>
      <w:r w:rsidRPr="009D4627">
        <w:fldChar w:fldCharType="end"/>
      </w:r>
      <w:r w:rsidRPr="009D4627">
        <w:t xml:space="preserve">, 5 to 100°/s </w:t>
      </w:r>
      <w:r w:rsidRPr="009D4627">
        <w:fldChar w:fldCharType="begin"/>
      </w:r>
      <w:r w:rsidR="00376CCD" w:rsidRPr="009D4627">
        <w:instrText xml:space="preserve"> ADDIN EN.CITE &lt;EndNote&gt;&lt;Cite&gt;&lt;Author&gt;Sharpe&lt;/Author&gt;&lt;Year&gt;1978&lt;/Year&gt;&lt;IDText&gt;EFFECT OF AGING ON HORIZONTAL SMOOTH PURSUIT&lt;/IDText&gt;&lt;DisplayText&gt;(Sharpe &amp;amp; Sylvester, 1978)&lt;/DisplayText&gt;&lt;record&gt;&lt;dates&gt;&lt;pub-dates&gt;&lt;date&gt;1978&lt;/date&gt;&lt;/pub-dates&gt;&lt;year&gt;1978&lt;/year&gt;&lt;/dates&gt;&lt;urls&gt;&lt;related-urls&gt;&lt;url&gt;&amp;lt;Go to ISI&amp;gt;://WOS:A1978EZ62400011&lt;/url&gt;&lt;/related-urls&gt;&lt;/urls&gt;&lt;isbn&gt;0146-0404&lt;/isbn&gt;&lt;titles&gt;&lt;title&gt;EFFECT OF AGING ON HORIZONTAL SMOOTH PURSUIT&lt;/title&gt;&lt;secondary-title&gt;Investigative Ophthalmology &amp;amp; Visual Science&lt;/secondary-title&gt;&lt;/titles&gt;&lt;pages&gt;465-468&lt;/pages&gt;&lt;number&gt;5&lt;/number&gt;&lt;contributors&gt;&lt;authors&gt;&lt;author&gt;Sharpe, J. A.&lt;/author&gt;&lt;author&gt;Sylvester, T. O.&lt;/author&gt;&lt;/authors&gt;&lt;/contributors&gt;&lt;added-date format="utc"&gt;1518722687&lt;/added-date&gt;&lt;ref-type name="Journal Article"&gt;17&lt;/ref-type&gt;&lt;rec-number&gt;382&lt;/rec-number&gt;&lt;last-updated-date format="utc"&gt;1566221052&lt;/last-updated-date&gt;&lt;accession-num&gt;WOS:A1978EZ62400011&lt;/accession-num&gt;&lt;volume&gt;17&lt;/volume&gt;&lt;/record&gt;&lt;/Cite&gt;&lt;/EndNote&gt;</w:instrText>
      </w:r>
      <w:r w:rsidRPr="009D4627">
        <w:fldChar w:fldCharType="separate"/>
      </w:r>
      <w:r w:rsidR="00376CCD" w:rsidRPr="009D4627">
        <w:rPr>
          <w:noProof/>
        </w:rPr>
        <w:t>(Sharpe &amp; Sylvester, 1978)</w:t>
      </w:r>
      <w:r w:rsidRPr="009D4627">
        <w:fldChar w:fldCharType="end"/>
      </w:r>
      <w:r w:rsidRPr="009D4627">
        <w:t xml:space="preserve">, 5 to 40°/s </w:t>
      </w:r>
      <w:r w:rsidRPr="009D4627">
        <w:fldChar w:fldCharType="begin"/>
      </w:r>
      <w:r w:rsidR="00376CCD" w:rsidRPr="009D4627">
        <w:instrText xml:space="preserve"> ADDIN EN.CITE &lt;EndNote&gt;&lt;Cite&gt;&lt;Author&gt;Terry Bahill&lt;/Author&gt;&lt;Year&gt;1983&lt;/Year&gt;&lt;IDText&gt;Smooth pursuit eye movements in response to predictable target motions&lt;/IDText&gt;&lt;DisplayText&gt;(Terry Bahill &amp;amp; McDonald, 1983)&lt;/DisplayText&gt;&lt;record&gt;&lt;keywords&gt;&lt;keyword&gt;Human&lt;/keyword&gt;&lt;keyword&gt;Smooth Pursuit&lt;/keyword&gt;&lt;keyword&gt;Eye Movements&lt;/keyword&gt;&lt;keyword&gt;Prediction&lt;/keyword&gt;&lt;keyword&gt;Error&lt;/keyword&gt;&lt;keyword&gt;Correlation&lt;/keyword&gt;&lt;keyword&gt;Latency&lt;/keyword&gt;&lt;keyword&gt;Learning&lt;/keyword&gt;&lt;/keywords&gt;&lt;isbn&gt;0042-6989&lt;/isbn&gt;&lt;titles&gt;&lt;title&gt;Smooth pursuit eye movements in response to predictable target motions&lt;/title&gt;&lt;secondary-title&gt;Vision Research&lt;/secondary-title&gt;&lt;/titles&gt;&lt;pages&gt;1573-1583&lt;/pages&gt;&lt;number&gt;12&lt;/number&gt;&lt;contributors&gt;&lt;authors&gt;&lt;author&gt;Terry Bahill, A.&lt;/author&gt;&lt;author&gt;McDonald, Jack D.&lt;/author&gt;&lt;/authors&gt;&lt;/contributors&gt;&lt;added-date format="utc"&gt;1521649042&lt;/added-date&gt;&lt;ref-type name="Journal Article"&gt;17&lt;/ref-type&gt;&lt;dates&gt;&lt;year&gt;1983&lt;/year&gt;&lt;/dates&gt;&lt;rec-number&gt;542&lt;/rec-number&gt;&lt;last-updated-date format="utc"&gt;1521649042&lt;/last-updated-date&gt;&lt;electronic-resource-num&gt;10.1016/0042-6989(83)90171-2&lt;/electronic-resource-num&gt;&lt;volume&gt;23&lt;/volume&gt;&lt;/record&gt;&lt;/Cite&gt;&lt;/EndNote&gt;</w:instrText>
      </w:r>
      <w:r w:rsidRPr="009D4627">
        <w:fldChar w:fldCharType="separate"/>
      </w:r>
      <w:r w:rsidR="00376CCD" w:rsidRPr="009D4627">
        <w:rPr>
          <w:noProof/>
        </w:rPr>
        <w:t>(Terry Bahill &amp; McDonald, 1983)</w:t>
      </w:r>
      <w:r w:rsidRPr="009D4627">
        <w:fldChar w:fldCharType="end"/>
      </w:r>
      <w:r w:rsidRPr="009D4627">
        <w:t xml:space="preserve"> and 10 to 36°/s </w:t>
      </w:r>
      <w:r w:rsidRPr="009D4627">
        <w:fldChar w:fldCharType="begin"/>
      </w:r>
      <w:r w:rsidR="00C40138" w:rsidRPr="009D4627">
        <w:instrText xml:space="preserve"> ADDIN EN.CITE &lt;EndNote&gt;&lt;Cite&gt;&lt;Author&gt;Hutton&lt;/Author&gt;&lt;Year&gt;1998&lt;/Year&gt;&lt;IDText&gt;Smooth pursuit and saccadic abnormalities in first-episode schizophrenia&lt;/IDText&gt;&lt;DisplayText&gt;(Hutton et al., 1998)&lt;/DisplayText&gt;&lt;record&gt;&lt;isbn&gt;0033-2917&lt;/isbn&gt;&lt;titles&gt;&lt;title&gt;Smooth pursuit and saccadic abnormalities in first-episode schizophrenia&lt;/title&gt;&lt;secondary-title&gt;Psychological Medicine&lt;/secondary-title&gt;&lt;/titles&gt;&lt;pages&gt;685-692&lt;/pages&gt;&lt;number&gt;3&lt;/number&gt;&lt;contributors&gt;&lt;authors&gt;&lt;author&gt;Hutton, S. B.&lt;/author&gt;&lt;author&gt;Crawford, T. J.&lt;/author&gt;&lt;author&gt;Puri, B. K.&lt;/author&gt;&lt;author&gt;Duncan, L. J.&lt;/author&gt;&lt;author&gt;Chapman, M.&lt;/author&gt;&lt;author&gt;Kennard, C.&lt;/author&gt;&lt;author&gt;Barnes, T. R. E.&lt;/author&gt;&lt;author&gt;Joyce, E. M.&lt;/author&gt;&lt;/authors&gt;&lt;/contributors&gt;&lt;added-date format="utc"&gt;1490299066&lt;/added-date&gt;&lt;ref-type name="Journal Article"&gt;17&lt;/ref-type&gt;&lt;dates&gt;&lt;year&gt;1998&lt;/year&gt;&lt;/dates&gt;&lt;rec-number&gt;21&lt;/rec-number&gt;&lt;last-updated-date format="utc"&gt;1490299066&lt;/last-updated-date&gt;&lt;volume&gt;28&lt;/volume&gt;&lt;/record&gt;&lt;/Cite&gt;&lt;/EndNote&gt;</w:instrText>
      </w:r>
      <w:r w:rsidRPr="009D4627">
        <w:fldChar w:fldCharType="separate"/>
      </w:r>
      <w:r w:rsidR="00C40138" w:rsidRPr="009D4627">
        <w:rPr>
          <w:noProof/>
        </w:rPr>
        <w:t>(Hutton et al., 1998)</w:t>
      </w:r>
      <w:r w:rsidRPr="009D4627">
        <w:fldChar w:fldCharType="end"/>
      </w:r>
      <w:r w:rsidRPr="009D4627">
        <w:t xml:space="preserve">.  Studies looking into age-related </w:t>
      </w:r>
      <w:r w:rsidR="00944720" w:rsidRPr="009D4627">
        <w:t>saccadic</w:t>
      </w:r>
      <w:r w:rsidRPr="009D4627">
        <w:t xml:space="preserve"> eye movement</w:t>
      </w:r>
      <w:r w:rsidR="00666F37" w:rsidRPr="009D4627">
        <w:t>s</w:t>
      </w:r>
      <w:r w:rsidRPr="009D4627">
        <w:t xml:space="preserve"> and age-related </w:t>
      </w:r>
      <w:r w:rsidR="00444E5B" w:rsidRPr="009D4627">
        <w:t xml:space="preserve">SP </w:t>
      </w:r>
      <w:r w:rsidRPr="009D4627">
        <w:t>eye movement</w:t>
      </w:r>
      <w:r w:rsidR="00666F37" w:rsidRPr="009D4627">
        <w:t>s</w:t>
      </w:r>
      <w:r w:rsidRPr="009D4627">
        <w:t xml:space="preserve"> were summarised in Table</w:t>
      </w:r>
      <w:r w:rsidR="00666F37" w:rsidRPr="009D4627">
        <w:t>s</w:t>
      </w:r>
      <w:r w:rsidRPr="009D4627">
        <w:t xml:space="preserve"> 1.2 and 1.3, respectively</w:t>
      </w:r>
      <w:r w:rsidR="000B5608" w:rsidRPr="009D4627">
        <w:t>.</w:t>
      </w:r>
    </w:p>
    <w:p w14:paraId="0C67D4A8" w14:textId="77777777" w:rsidR="000B5608" w:rsidRPr="009D4627" w:rsidRDefault="000B5608" w:rsidP="00390EBC"/>
    <w:p w14:paraId="29CCEE26" w14:textId="77777777" w:rsidR="000B5608" w:rsidRPr="009D4627" w:rsidRDefault="000B5608" w:rsidP="00390EBC"/>
    <w:p w14:paraId="3BBC6EF5" w14:textId="77777777" w:rsidR="000B5608" w:rsidRPr="009D4627" w:rsidRDefault="000B5608" w:rsidP="00390EBC"/>
    <w:p w14:paraId="6CC9B8D8" w14:textId="77777777" w:rsidR="000B5608" w:rsidRPr="009D4627" w:rsidRDefault="000B5608" w:rsidP="00390EBC"/>
    <w:p w14:paraId="53E67989" w14:textId="46F980A9" w:rsidR="000B5608" w:rsidRPr="009D4627" w:rsidRDefault="000B5608" w:rsidP="00390EBC">
      <w:pPr>
        <w:sectPr w:rsidR="000B5608" w:rsidRPr="009D4627" w:rsidSect="000B5608">
          <w:headerReference w:type="default" r:id="rId46"/>
          <w:footerReference w:type="default" r:id="rId47"/>
          <w:pgSz w:w="11906" w:h="16838" w:code="9"/>
          <w:pgMar w:top="1440" w:right="1440" w:bottom="1440" w:left="1440" w:header="709" w:footer="709" w:gutter="0"/>
          <w:pgNumType w:start="1"/>
          <w:cols w:space="708"/>
          <w:docGrid w:linePitch="360"/>
        </w:sectPr>
      </w:pPr>
    </w:p>
    <w:p w14:paraId="244A5703" w14:textId="75FCD0D7" w:rsidR="00E1356D" w:rsidRPr="009D4627" w:rsidRDefault="00225FAE" w:rsidP="00C4130D">
      <w:pPr>
        <w:pStyle w:val="Caption"/>
      </w:pPr>
      <w:bookmarkStart w:id="94" w:name="_Toc99353929"/>
      <w:r w:rsidRPr="009D4627">
        <w:lastRenderedPageBreak/>
        <w:t>Table 1.</w:t>
      </w:r>
      <w:r w:rsidR="002E63E9" w:rsidRPr="009D4627">
        <w:fldChar w:fldCharType="begin"/>
      </w:r>
      <w:r w:rsidR="002E63E9" w:rsidRPr="009D4627">
        <w:instrText xml:space="preserve"> SEQ Table_1. \* ARABIC </w:instrText>
      </w:r>
      <w:r w:rsidR="002E63E9" w:rsidRPr="009D4627">
        <w:fldChar w:fldCharType="separate"/>
      </w:r>
      <w:r w:rsidR="00E268F6">
        <w:rPr>
          <w:noProof/>
        </w:rPr>
        <w:t>2</w:t>
      </w:r>
      <w:r w:rsidR="002E63E9" w:rsidRPr="009D4627">
        <w:rPr>
          <w:noProof/>
        </w:rPr>
        <w:fldChar w:fldCharType="end"/>
      </w:r>
      <w:r w:rsidRPr="009D4627">
        <w:t xml:space="preserve">: </w:t>
      </w:r>
      <w:r w:rsidR="00E1356D" w:rsidRPr="009D4627">
        <w:t>Summary of the previous finding</w:t>
      </w:r>
      <w:r w:rsidR="00666F37" w:rsidRPr="009D4627">
        <w:t>s</w:t>
      </w:r>
      <w:r w:rsidR="00E1356D" w:rsidRPr="009D4627">
        <w:t xml:space="preserve"> on age-related normative data f</w:t>
      </w:r>
      <w:r w:rsidR="00666F37" w:rsidRPr="009D4627">
        <w:t>or</w:t>
      </w:r>
      <w:r w:rsidR="00E1356D" w:rsidRPr="009D4627">
        <w:t xml:space="preserve"> </w:t>
      </w:r>
      <w:r w:rsidR="00944720" w:rsidRPr="009D4627">
        <w:t>saccadic</w:t>
      </w:r>
      <w:r w:rsidR="00E1356D" w:rsidRPr="009D4627">
        <w:t xml:space="preserve"> eye movements.</w:t>
      </w:r>
      <w:bookmarkEnd w:id="94"/>
    </w:p>
    <w:tbl>
      <w:tblPr>
        <w:tblStyle w:val="TableGrid"/>
        <w:tblW w:w="14035" w:type="dxa"/>
        <w:tblLayout w:type="fixed"/>
        <w:tblLook w:val="04A0" w:firstRow="1" w:lastRow="0" w:firstColumn="1" w:lastColumn="0" w:noHBand="0" w:noVBand="1"/>
      </w:tblPr>
      <w:tblGrid>
        <w:gridCol w:w="1255"/>
        <w:gridCol w:w="2430"/>
        <w:gridCol w:w="1130"/>
        <w:gridCol w:w="2551"/>
        <w:gridCol w:w="1418"/>
        <w:gridCol w:w="5251"/>
      </w:tblGrid>
      <w:tr w:rsidR="00547D87" w:rsidRPr="009D4627" w14:paraId="0E1C19A8" w14:textId="77777777" w:rsidTr="00067115">
        <w:tc>
          <w:tcPr>
            <w:tcW w:w="1255" w:type="dxa"/>
          </w:tcPr>
          <w:p w14:paraId="113E8669" w14:textId="7B942BAA" w:rsidR="00547D87" w:rsidRPr="009D4627" w:rsidRDefault="00E1356D" w:rsidP="00CC31A9">
            <w:pPr>
              <w:spacing w:before="0" w:after="0" w:line="240" w:lineRule="auto"/>
              <w:rPr>
                <w:b/>
                <w:bCs/>
                <w:sz w:val="20"/>
                <w:szCs w:val="20"/>
              </w:rPr>
            </w:pPr>
            <w:bookmarkStart w:id="95" w:name="_Hlk54188707"/>
            <w:r w:rsidRPr="009D4627">
              <w:rPr>
                <w:b/>
                <w:bCs/>
                <w:sz w:val="20"/>
                <w:szCs w:val="20"/>
              </w:rPr>
              <w:t>A</w:t>
            </w:r>
            <w:r w:rsidR="00547D87" w:rsidRPr="009D4627">
              <w:rPr>
                <w:b/>
                <w:bCs/>
                <w:sz w:val="20"/>
                <w:szCs w:val="20"/>
              </w:rPr>
              <w:t>uthor and Year</w:t>
            </w:r>
          </w:p>
        </w:tc>
        <w:tc>
          <w:tcPr>
            <w:tcW w:w="2430" w:type="dxa"/>
          </w:tcPr>
          <w:p w14:paraId="26B71D53" w14:textId="77777777" w:rsidR="00547D87" w:rsidRPr="009D4627" w:rsidRDefault="00547D87" w:rsidP="00CC31A9">
            <w:pPr>
              <w:spacing w:before="0" w:after="0" w:line="240" w:lineRule="auto"/>
              <w:jc w:val="left"/>
              <w:rPr>
                <w:b/>
                <w:bCs/>
                <w:sz w:val="20"/>
                <w:szCs w:val="20"/>
              </w:rPr>
            </w:pPr>
            <w:r w:rsidRPr="009D4627">
              <w:rPr>
                <w:b/>
                <w:bCs/>
                <w:sz w:val="20"/>
                <w:szCs w:val="20"/>
              </w:rPr>
              <w:t xml:space="preserve">Participants </w:t>
            </w:r>
          </w:p>
        </w:tc>
        <w:tc>
          <w:tcPr>
            <w:tcW w:w="1130" w:type="dxa"/>
          </w:tcPr>
          <w:p w14:paraId="59ECAEF3" w14:textId="1E576DE7" w:rsidR="00547D87" w:rsidRPr="009D4627" w:rsidRDefault="00547D87" w:rsidP="00CC31A9">
            <w:pPr>
              <w:spacing w:before="0" w:after="0" w:line="240" w:lineRule="auto"/>
              <w:rPr>
                <w:b/>
                <w:bCs/>
                <w:sz w:val="20"/>
                <w:szCs w:val="20"/>
              </w:rPr>
            </w:pPr>
            <w:r w:rsidRPr="009D4627">
              <w:rPr>
                <w:b/>
                <w:bCs/>
                <w:sz w:val="20"/>
                <w:szCs w:val="20"/>
              </w:rPr>
              <w:t xml:space="preserve">Eye Recording </w:t>
            </w:r>
          </w:p>
        </w:tc>
        <w:tc>
          <w:tcPr>
            <w:tcW w:w="2551" w:type="dxa"/>
          </w:tcPr>
          <w:p w14:paraId="68008A26" w14:textId="77777777" w:rsidR="00547D87" w:rsidRPr="009D4627" w:rsidRDefault="00547D87" w:rsidP="00CC31A9">
            <w:pPr>
              <w:spacing w:before="0" w:after="0" w:line="240" w:lineRule="auto"/>
              <w:jc w:val="left"/>
              <w:rPr>
                <w:b/>
                <w:bCs/>
                <w:sz w:val="20"/>
                <w:szCs w:val="20"/>
              </w:rPr>
            </w:pPr>
            <w:r w:rsidRPr="009D4627">
              <w:rPr>
                <w:b/>
                <w:bCs/>
                <w:sz w:val="20"/>
                <w:szCs w:val="20"/>
              </w:rPr>
              <w:t>Stimuli</w:t>
            </w:r>
          </w:p>
        </w:tc>
        <w:tc>
          <w:tcPr>
            <w:tcW w:w="1418" w:type="dxa"/>
          </w:tcPr>
          <w:p w14:paraId="77C0C6E4" w14:textId="78B1E47E" w:rsidR="00547D87" w:rsidRPr="009D4627" w:rsidRDefault="00944720" w:rsidP="00CC31A9">
            <w:pPr>
              <w:spacing w:before="0" w:after="0" w:line="240" w:lineRule="auto"/>
              <w:jc w:val="left"/>
              <w:rPr>
                <w:b/>
                <w:bCs/>
                <w:sz w:val="20"/>
                <w:szCs w:val="20"/>
              </w:rPr>
            </w:pPr>
            <w:r w:rsidRPr="009D4627">
              <w:rPr>
                <w:b/>
                <w:bCs/>
                <w:sz w:val="20"/>
                <w:szCs w:val="20"/>
              </w:rPr>
              <w:t>Saccadic</w:t>
            </w:r>
            <w:r w:rsidR="00547D87" w:rsidRPr="009D4627">
              <w:rPr>
                <w:b/>
                <w:bCs/>
                <w:sz w:val="20"/>
                <w:szCs w:val="20"/>
              </w:rPr>
              <w:t xml:space="preserve"> parameters </w:t>
            </w:r>
          </w:p>
        </w:tc>
        <w:tc>
          <w:tcPr>
            <w:tcW w:w="5251" w:type="dxa"/>
          </w:tcPr>
          <w:p w14:paraId="399B1908" w14:textId="77777777" w:rsidR="00547D87" w:rsidRPr="009D4627" w:rsidRDefault="00547D87" w:rsidP="00CC31A9">
            <w:pPr>
              <w:spacing w:before="0" w:after="0" w:line="240" w:lineRule="auto"/>
              <w:jc w:val="left"/>
              <w:rPr>
                <w:b/>
                <w:bCs/>
                <w:sz w:val="20"/>
                <w:szCs w:val="20"/>
              </w:rPr>
            </w:pPr>
            <w:r w:rsidRPr="009D4627">
              <w:rPr>
                <w:b/>
                <w:bCs/>
                <w:sz w:val="20"/>
                <w:szCs w:val="20"/>
              </w:rPr>
              <w:t>Findings and conclusion</w:t>
            </w:r>
          </w:p>
        </w:tc>
      </w:tr>
      <w:tr w:rsidR="00547D87" w:rsidRPr="009D4627" w14:paraId="51CC9EE5" w14:textId="77777777" w:rsidTr="00067115">
        <w:tc>
          <w:tcPr>
            <w:tcW w:w="1255" w:type="dxa"/>
          </w:tcPr>
          <w:p w14:paraId="6710FC06" w14:textId="77777777" w:rsidR="00547D87" w:rsidRPr="009D4627" w:rsidRDefault="00547D87" w:rsidP="00CC31A9">
            <w:pPr>
              <w:spacing w:before="0" w:after="0" w:line="240" w:lineRule="auto"/>
              <w:rPr>
                <w:sz w:val="20"/>
                <w:szCs w:val="20"/>
              </w:rPr>
            </w:pPr>
            <w:proofErr w:type="spellStart"/>
            <w:r w:rsidRPr="009D4627">
              <w:rPr>
                <w:sz w:val="20"/>
                <w:szCs w:val="20"/>
              </w:rPr>
              <w:t>Henriksson</w:t>
            </w:r>
            <w:proofErr w:type="spellEnd"/>
            <w:r w:rsidRPr="009D4627">
              <w:rPr>
                <w:sz w:val="20"/>
                <w:szCs w:val="20"/>
              </w:rPr>
              <w:t xml:space="preserve"> et al. (1980)</w:t>
            </w:r>
          </w:p>
        </w:tc>
        <w:tc>
          <w:tcPr>
            <w:tcW w:w="2430" w:type="dxa"/>
          </w:tcPr>
          <w:p w14:paraId="11A162A6" w14:textId="1EA37C8F" w:rsidR="00547D87" w:rsidRPr="009D4627" w:rsidRDefault="00547D87" w:rsidP="00CC31A9">
            <w:pPr>
              <w:spacing w:before="0" w:after="0" w:line="240" w:lineRule="auto"/>
              <w:jc w:val="left"/>
              <w:rPr>
                <w:sz w:val="20"/>
                <w:szCs w:val="20"/>
              </w:rPr>
            </w:pPr>
            <w:r w:rsidRPr="009D4627">
              <w:rPr>
                <w:sz w:val="20"/>
                <w:szCs w:val="20"/>
              </w:rPr>
              <w:t>20 healthy subjects, age</w:t>
            </w:r>
            <w:r w:rsidR="00666F37" w:rsidRPr="009D4627">
              <w:rPr>
                <w:sz w:val="20"/>
                <w:szCs w:val="20"/>
              </w:rPr>
              <w:t>d</w:t>
            </w:r>
            <w:r w:rsidRPr="009D4627">
              <w:rPr>
                <w:sz w:val="20"/>
                <w:szCs w:val="20"/>
              </w:rPr>
              <w:t xml:space="preserve"> 23-72</w:t>
            </w:r>
          </w:p>
        </w:tc>
        <w:tc>
          <w:tcPr>
            <w:tcW w:w="1130" w:type="dxa"/>
          </w:tcPr>
          <w:p w14:paraId="7752466E" w14:textId="77777777" w:rsidR="00547D87" w:rsidRPr="009D4627" w:rsidRDefault="00547D87" w:rsidP="00CC31A9">
            <w:pPr>
              <w:spacing w:before="0" w:after="0" w:line="240" w:lineRule="auto"/>
              <w:rPr>
                <w:sz w:val="20"/>
                <w:szCs w:val="20"/>
              </w:rPr>
            </w:pPr>
            <w:r w:rsidRPr="009D4627">
              <w:rPr>
                <w:sz w:val="20"/>
                <w:szCs w:val="20"/>
              </w:rPr>
              <w:t>EOG</w:t>
            </w:r>
          </w:p>
        </w:tc>
        <w:tc>
          <w:tcPr>
            <w:tcW w:w="2551" w:type="dxa"/>
          </w:tcPr>
          <w:p w14:paraId="2A64D8C8" w14:textId="77777777"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 xml:space="preserve">Different </w:t>
            </w:r>
            <w:proofErr w:type="spellStart"/>
            <w:r w:rsidRPr="009D4627">
              <w:rPr>
                <w:sz w:val="20"/>
                <w:szCs w:val="20"/>
              </w:rPr>
              <w:t>colours</w:t>
            </w:r>
            <w:proofErr w:type="spellEnd"/>
            <w:r w:rsidRPr="009D4627">
              <w:rPr>
                <w:sz w:val="20"/>
                <w:szCs w:val="20"/>
              </w:rPr>
              <w:t xml:space="preserve"> of LED located at ±5°, ±10°, ±20°, ±30°, ±40° and ±60° horizontally.</w:t>
            </w:r>
          </w:p>
        </w:tc>
        <w:tc>
          <w:tcPr>
            <w:tcW w:w="1418" w:type="dxa"/>
          </w:tcPr>
          <w:p w14:paraId="79DD3D01" w14:textId="77777777" w:rsidR="00547D87" w:rsidRPr="009D4627" w:rsidRDefault="00547D87" w:rsidP="00CC31A9">
            <w:pPr>
              <w:spacing w:before="0" w:after="0" w:line="240" w:lineRule="auto"/>
              <w:jc w:val="left"/>
              <w:rPr>
                <w:sz w:val="20"/>
                <w:szCs w:val="20"/>
              </w:rPr>
            </w:pPr>
            <w:r w:rsidRPr="009D4627">
              <w:rPr>
                <w:sz w:val="20"/>
                <w:szCs w:val="20"/>
              </w:rPr>
              <w:t>Horizontal peak velocity</w:t>
            </w:r>
          </w:p>
          <w:p w14:paraId="377A5317" w14:textId="77777777" w:rsidR="00547D87" w:rsidRPr="009D4627" w:rsidRDefault="00547D87" w:rsidP="00CC31A9">
            <w:pPr>
              <w:pStyle w:val="ListParagraph"/>
              <w:spacing w:before="0" w:after="0" w:line="240" w:lineRule="auto"/>
              <w:jc w:val="left"/>
              <w:rPr>
                <w:sz w:val="20"/>
                <w:szCs w:val="20"/>
              </w:rPr>
            </w:pPr>
          </w:p>
        </w:tc>
        <w:tc>
          <w:tcPr>
            <w:tcW w:w="5251" w:type="dxa"/>
          </w:tcPr>
          <w:p w14:paraId="6AD2596B" w14:textId="6275944C"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Peak velocity increased as the </w:t>
            </w:r>
            <w:r w:rsidR="00944720" w:rsidRPr="009D4627">
              <w:rPr>
                <w:sz w:val="20"/>
                <w:szCs w:val="20"/>
              </w:rPr>
              <w:t>saccadic</w:t>
            </w:r>
            <w:r w:rsidRPr="009D4627">
              <w:rPr>
                <w:sz w:val="20"/>
                <w:szCs w:val="20"/>
              </w:rPr>
              <w:t xml:space="preserve"> amplitudes increase</w:t>
            </w:r>
            <w:r w:rsidR="00666F37" w:rsidRPr="009D4627">
              <w:rPr>
                <w:sz w:val="20"/>
                <w:szCs w:val="20"/>
              </w:rPr>
              <w:t>d</w:t>
            </w:r>
            <w:r w:rsidRPr="009D4627">
              <w:rPr>
                <w:sz w:val="20"/>
                <w:szCs w:val="20"/>
              </w:rPr>
              <w:t xml:space="preserve">, but it was </w:t>
            </w:r>
            <w:r w:rsidRPr="009D4627">
              <w:rPr>
                <w:b/>
                <w:bCs/>
                <w:sz w:val="20"/>
                <w:szCs w:val="20"/>
              </w:rPr>
              <w:t>not significantly affected</w:t>
            </w:r>
            <w:r w:rsidRPr="009D4627">
              <w:rPr>
                <w:sz w:val="20"/>
                <w:szCs w:val="20"/>
              </w:rPr>
              <w:t xml:space="preserve"> by ageing.</w:t>
            </w:r>
          </w:p>
          <w:p w14:paraId="22BD4353" w14:textId="77777777"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The peak velocity in normal room illumination recorded at 20° was 340°/sec increased to 500 °/sec at 60° amplitude</w:t>
            </w:r>
          </w:p>
        </w:tc>
      </w:tr>
      <w:tr w:rsidR="00547D87" w:rsidRPr="009D4627" w14:paraId="79286F11" w14:textId="77777777" w:rsidTr="00067115">
        <w:tc>
          <w:tcPr>
            <w:tcW w:w="1255" w:type="dxa"/>
          </w:tcPr>
          <w:p w14:paraId="31F88591" w14:textId="77777777" w:rsidR="00547D87" w:rsidRPr="009D4627" w:rsidRDefault="00547D87" w:rsidP="00CC31A9">
            <w:pPr>
              <w:spacing w:before="0" w:after="0" w:line="240" w:lineRule="auto"/>
              <w:rPr>
                <w:sz w:val="20"/>
                <w:szCs w:val="20"/>
              </w:rPr>
            </w:pPr>
            <w:r w:rsidRPr="009D4627">
              <w:rPr>
                <w:sz w:val="20"/>
                <w:szCs w:val="20"/>
              </w:rPr>
              <w:t>Spooner et al. (1980)</w:t>
            </w:r>
          </w:p>
        </w:tc>
        <w:tc>
          <w:tcPr>
            <w:tcW w:w="2430" w:type="dxa"/>
          </w:tcPr>
          <w:p w14:paraId="2628E55E" w14:textId="29C9B447" w:rsidR="00547D87" w:rsidRPr="009D4627" w:rsidRDefault="00547D87" w:rsidP="00CC31A9">
            <w:pPr>
              <w:pStyle w:val="ListParagraph"/>
              <w:numPr>
                <w:ilvl w:val="0"/>
                <w:numId w:val="15"/>
              </w:numPr>
              <w:spacing w:before="0" w:after="0" w:line="240" w:lineRule="auto"/>
              <w:ind w:left="188" w:hanging="188"/>
              <w:jc w:val="left"/>
              <w:rPr>
                <w:sz w:val="20"/>
                <w:szCs w:val="20"/>
              </w:rPr>
            </w:pPr>
            <w:r w:rsidRPr="009D4627">
              <w:rPr>
                <w:sz w:val="20"/>
                <w:szCs w:val="20"/>
              </w:rPr>
              <w:t>25 normal Y adults (mean age =</w:t>
            </w:r>
            <w:r w:rsidR="00666F37" w:rsidRPr="009D4627">
              <w:rPr>
                <w:sz w:val="20"/>
                <w:szCs w:val="20"/>
              </w:rPr>
              <w:t xml:space="preserve"> </w:t>
            </w:r>
            <w:r w:rsidRPr="009D4627">
              <w:rPr>
                <w:sz w:val="20"/>
                <w:szCs w:val="20"/>
              </w:rPr>
              <w:t xml:space="preserve">42 years) </w:t>
            </w:r>
          </w:p>
          <w:p w14:paraId="725261BB" w14:textId="3ED0E2AC" w:rsidR="00547D87" w:rsidRPr="009D4627" w:rsidRDefault="00547D87" w:rsidP="00CC31A9">
            <w:pPr>
              <w:pStyle w:val="ListParagraph"/>
              <w:numPr>
                <w:ilvl w:val="0"/>
                <w:numId w:val="15"/>
              </w:numPr>
              <w:spacing w:before="0" w:after="0" w:line="240" w:lineRule="auto"/>
              <w:ind w:left="188" w:hanging="188"/>
              <w:jc w:val="left"/>
              <w:rPr>
                <w:sz w:val="20"/>
                <w:szCs w:val="20"/>
              </w:rPr>
            </w:pPr>
            <w:r w:rsidRPr="009D4627">
              <w:rPr>
                <w:sz w:val="20"/>
                <w:szCs w:val="20"/>
              </w:rPr>
              <w:t>14 normal O (mean age</w:t>
            </w:r>
            <w:r w:rsidR="00666F37" w:rsidRPr="009D4627">
              <w:rPr>
                <w:sz w:val="20"/>
                <w:szCs w:val="20"/>
              </w:rPr>
              <w:t xml:space="preserve"> </w:t>
            </w:r>
            <w:r w:rsidRPr="009D4627">
              <w:rPr>
                <w:sz w:val="20"/>
                <w:szCs w:val="20"/>
              </w:rPr>
              <w:t>=</w:t>
            </w:r>
            <w:r w:rsidR="00666F37" w:rsidRPr="009D4627">
              <w:rPr>
                <w:sz w:val="20"/>
                <w:szCs w:val="20"/>
              </w:rPr>
              <w:t xml:space="preserve"> </w:t>
            </w:r>
            <w:r w:rsidRPr="009D4627">
              <w:rPr>
                <w:sz w:val="20"/>
                <w:szCs w:val="20"/>
              </w:rPr>
              <w:t>65</w:t>
            </w:r>
            <w:r w:rsidR="00666F37" w:rsidRPr="009D4627">
              <w:rPr>
                <w:sz w:val="20"/>
                <w:szCs w:val="20"/>
              </w:rPr>
              <w:t xml:space="preserve"> </w:t>
            </w:r>
            <w:r w:rsidRPr="009D4627">
              <w:rPr>
                <w:sz w:val="20"/>
                <w:szCs w:val="20"/>
              </w:rPr>
              <w:t xml:space="preserve">years) </w:t>
            </w:r>
          </w:p>
        </w:tc>
        <w:tc>
          <w:tcPr>
            <w:tcW w:w="1130" w:type="dxa"/>
          </w:tcPr>
          <w:p w14:paraId="5D7C36C5" w14:textId="77777777" w:rsidR="00547D87" w:rsidRPr="009D4627" w:rsidRDefault="00547D87" w:rsidP="00CC31A9">
            <w:pPr>
              <w:spacing w:before="0" w:after="0" w:line="240" w:lineRule="auto"/>
              <w:rPr>
                <w:sz w:val="20"/>
                <w:szCs w:val="20"/>
              </w:rPr>
            </w:pPr>
            <w:r w:rsidRPr="009D4627">
              <w:rPr>
                <w:sz w:val="20"/>
                <w:szCs w:val="20"/>
              </w:rPr>
              <w:t>EOG</w:t>
            </w:r>
          </w:p>
        </w:tc>
        <w:tc>
          <w:tcPr>
            <w:tcW w:w="2551" w:type="dxa"/>
          </w:tcPr>
          <w:p w14:paraId="014E1CE1" w14:textId="3836D3EE" w:rsidR="00547D87" w:rsidRPr="009D4627" w:rsidRDefault="00547D87" w:rsidP="00CC31A9">
            <w:pPr>
              <w:pStyle w:val="ListParagraph"/>
              <w:numPr>
                <w:ilvl w:val="0"/>
                <w:numId w:val="21"/>
              </w:numPr>
              <w:spacing w:before="0" w:after="0" w:line="240" w:lineRule="auto"/>
              <w:ind w:left="181" w:hanging="181"/>
              <w:jc w:val="left"/>
              <w:rPr>
                <w:sz w:val="20"/>
                <w:szCs w:val="20"/>
              </w:rPr>
            </w:pPr>
            <w:r w:rsidRPr="009D4627">
              <w:rPr>
                <w:sz w:val="20"/>
                <w:szCs w:val="20"/>
              </w:rPr>
              <w:t xml:space="preserve">A luminous point on the television was presented in random stepwise jumps of 3-36° amplitudes. No further description of the target was given. </w:t>
            </w:r>
          </w:p>
        </w:tc>
        <w:tc>
          <w:tcPr>
            <w:tcW w:w="1418" w:type="dxa"/>
          </w:tcPr>
          <w:p w14:paraId="2CB69A23" w14:textId="77777777" w:rsidR="00547D87" w:rsidRPr="009D4627" w:rsidRDefault="00547D87" w:rsidP="00CC31A9">
            <w:pPr>
              <w:spacing w:before="0" w:after="0" w:line="240" w:lineRule="auto"/>
              <w:jc w:val="left"/>
              <w:rPr>
                <w:sz w:val="20"/>
                <w:szCs w:val="20"/>
              </w:rPr>
            </w:pPr>
            <w:r w:rsidRPr="009D4627">
              <w:rPr>
                <w:sz w:val="20"/>
                <w:szCs w:val="20"/>
              </w:rPr>
              <w:t>Horizontal</w:t>
            </w:r>
          </w:p>
          <w:p w14:paraId="7444059B" w14:textId="77777777" w:rsidR="00547D87" w:rsidRPr="009D4627" w:rsidRDefault="00547D87" w:rsidP="00CC31A9">
            <w:pPr>
              <w:pStyle w:val="ListParagraph"/>
              <w:numPr>
                <w:ilvl w:val="0"/>
                <w:numId w:val="16"/>
              </w:numPr>
              <w:spacing w:before="0" w:after="0" w:line="240" w:lineRule="auto"/>
              <w:ind w:left="171" w:hanging="218"/>
              <w:jc w:val="left"/>
              <w:rPr>
                <w:sz w:val="20"/>
                <w:szCs w:val="20"/>
              </w:rPr>
            </w:pPr>
            <w:r w:rsidRPr="009D4627">
              <w:rPr>
                <w:sz w:val="20"/>
                <w:szCs w:val="20"/>
              </w:rPr>
              <w:t>Peak velocity</w:t>
            </w:r>
          </w:p>
          <w:p w14:paraId="70980F4B" w14:textId="77777777" w:rsidR="00547D87" w:rsidRPr="009D4627" w:rsidRDefault="00547D87" w:rsidP="00CC31A9">
            <w:pPr>
              <w:pStyle w:val="ListParagraph"/>
              <w:numPr>
                <w:ilvl w:val="0"/>
                <w:numId w:val="16"/>
              </w:numPr>
              <w:spacing w:before="0" w:after="0" w:line="240" w:lineRule="auto"/>
              <w:ind w:left="171" w:hanging="218"/>
              <w:jc w:val="left"/>
              <w:rPr>
                <w:sz w:val="20"/>
                <w:szCs w:val="20"/>
              </w:rPr>
            </w:pPr>
            <w:r w:rsidRPr="009D4627">
              <w:rPr>
                <w:sz w:val="20"/>
                <w:szCs w:val="20"/>
              </w:rPr>
              <w:t xml:space="preserve">Latency </w:t>
            </w:r>
          </w:p>
        </w:tc>
        <w:tc>
          <w:tcPr>
            <w:tcW w:w="5251" w:type="dxa"/>
          </w:tcPr>
          <w:p w14:paraId="148F9BC5" w14:textId="44E0B95A" w:rsidR="00547D87" w:rsidRPr="009D4627" w:rsidRDefault="00547D87" w:rsidP="00CC31A9">
            <w:pPr>
              <w:pStyle w:val="ListParagraph"/>
              <w:numPr>
                <w:ilvl w:val="0"/>
                <w:numId w:val="21"/>
              </w:numPr>
              <w:spacing w:before="0" w:after="0" w:line="240" w:lineRule="auto"/>
              <w:ind w:left="182" w:hanging="218"/>
              <w:jc w:val="left"/>
              <w:rPr>
                <w:sz w:val="20"/>
                <w:szCs w:val="20"/>
              </w:rPr>
            </w:pPr>
            <w:r w:rsidRPr="009D4627">
              <w:rPr>
                <w:sz w:val="20"/>
                <w:szCs w:val="20"/>
              </w:rPr>
              <w:t xml:space="preserve">Performance in the </w:t>
            </w:r>
            <w:r w:rsidRPr="009D4627">
              <w:rPr>
                <w:b/>
                <w:bCs/>
                <w:sz w:val="20"/>
                <w:szCs w:val="20"/>
              </w:rPr>
              <w:t>elderly was</w:t>
            </w:r>
            <w:r w:rsidRPr="009D4627">
              <w:rPr>
                <w:sz w:val="20"/>
                <w:szCs w:val="20"/>
              </w:rPr>
              <w:t xml:space="preserve"> </w:t>
            </w:r>
            <w:r w:rsidRPr="009D4627">
              <w:rPr>
                <w:b/>
                <w:bCs/>
                <w:sz w:val="20"/>
                <w:szCs w:val="20"/>
              </w:rPr>
              <w:t>reduced</w:t>
            </w:r>
            <w:r w:rsidRPr="009D4627">
              <w:rPr>
                <w:sz w:val="20"/>
                <w:szCs w:val="20"/>
              </w:rPr>
              <w:t xml:space="preserve"> in comparison </w:t>
            </w:r>
            <w:r w:rsidR="00666F37" w:rsidRPr="009D4627">
              <w:rPr>
                <w:sz w:val="20"/>
                <w:szCs w:val="20"/>
              </w:rPr>
              <w:t>with</w:t>
            </w:r>
            <w:r w:rsidRPr="009D4627">
              <w:rPr>
                <w:sz w:val="20"/>
                <w:szCs w:val="20"/>
              </w:rPr>
              <w:t xml:space="preserve"> </w:t>
            </w:r>
            <w:r w:rsidR="00666F37" w:rsidRPr="009D4627">
              <w:rPr>
                <w:sz w:val="20"/>
                <w:szCs w:val="20"/>
              </w:rPr>
              <w:t>Y</w:t>
            </w:r>
            <w:r w:rsidRPr="009D4627">
              <w:rPr>
                <w:sz w:val="20"/>
                <w:szCs w:val="20"/>
              </w:rPr>
              <w:t xml:space="preserve"> adults. </w:t>
            </w:r>
          </w:p>
          <w:p w14:paraId="6457A137" w14:textId="77777777" w:rsidR="00547D87" w:rsidRPr="009D4627" w:rsidRDefault="00547D87" w:rsidP="00CC31A9">
            <w:pPr>
              <w:pStyle w:val="ListParagraph"/>
              <w:numPr>
                <w:ilvl w:val="0"/>
                <w:numId w:val="21"/>
              </w:numPr>
              <w:spacing w:before="0" w:after="0" w:line="240" w:lineRule="auto"/>
              <w:ind w:left="182" w:hanging="218"/>
              <w:jc w:val="left"/>
              <w:rPr>
                <w:sz w:val="20"/>
                <w:szCs w:val="20"/>
              </w:rPr>
            </w:pPr>
            <w:r w:rsidRPr="009D4627">
              <w:rPr>
                <w:sz w:val="20"/>
                <w:szCs w:val="20"/>
              </w:rPr>
              <w:t>Mean peak velocity (°/s) and latency between age groups:</w:t>
            </w:r>
          </w:p>
          <w:tbl>
            <w:tblPr>
              <w:tblStyle w:val="TableGrid"/>
              <w:tblW w:w="0" w:type="auto"/>
              <w:tblInd w:w="67" w:type="dxa"/>
              <w:tblLayout w:type="fixed"/>
              <w:tblLook w:val="04A0" w:firstRow="1" w:lastRow="0" w:firstColumn="1" w:lastColumn="0" w:noHBand="0" w:noVBand="1"/>
            </w:tblPr>
            <w:tblGrid>
              <w:gridCol w:w="1266"/>
              <w:gridCol w:w="1886"/>
              <w:gridCol w:w="1417"/>
            </w:tblGrid>
            <w:tr w:rsidR="00547D87" w:rsidRPr="009D4627" w14:paraId="058178AA" w14:textId="77777777" w:rsidTr="0099065C">
              <w:tc>
                <w:tcPr>
                  <w:tcW w:w="1266" w:type="dxa"/>
                  <w:tcBorders>
                    <w:tl2br w:val="nil"/>
                  </w:tcBorders>
                </w:tcPr>
                <w:p w14:paraId="10D0B438" w14:textId="77777777" w:rsidR="00547D87" w:rsidRPr="009D4627" w:rsidRDefault="00547D87" w:rsidP="00CC31A9">
                  <w:pPr>
                    <w:pStyle w:val="ListParagraph"/>
                    <w:spacing w:before="0" w:after="0" w:line="240" w:lineRule="auto"/>
                    <w:ind w:left="182" w:hanging="218"/>
                    <w:jc w:val="left"/>
                    <w:rPr>
                      <w:sz w:val="20"/>
                      <w:szCs w:val="20"/>
                    </w:rPr>
                  </w:pPr>
                  <w:r w:rsidRPr="009D4627">
                    <w:rPr>
                      <w:sz w:val="20"/>
                      <w:szCs w:val="20"/>
                    </w:rPr>
                    <w:t>Group</w:t>
                  </w:r>
                </w:p>
              </w:tc>
              <w:tc>
                <w:tcPr>
                  <w:tcW w:w="1886" w:type="dxa"/>
                </w:tcPr>
                <w:p w14:paraId="319E77C6" w14:textId="77777777" w:rsidR="00547D87" w:rsidRPr="009D4627" w:rsidRDefault="00547D87" w:rsidP="00CC31A9">
                  <w:pPr>
                    <w:spacing w:before="0" w:after="0" w:line="240" w:lineRule="auto"/>
                    <w:ind w:left="182" w:hanging="218"/>
                    <w:jc w:val="left"/>
                    <w:rPr>
                      <w:sz w:val="20"/>
                      <w:szCs w:val="20"/>
                    </w:rPr>
                  </w:pPr>
                  <w:r w:rsidRPr="009D4627">
                    <w:rPr>
                      <w:sz w:val="20"/>
                      <w:szCs w:val="20"/>
                    </w:rPr>
                    <w:t>Peak velocity (°/s)</w:t>
                  </w:r>
                </w:p>
              </w:tc>
              <w:tc>
                <w:tcPr>
                  <w:tcW w:w="1417" w:type="dxa"/>
                </w:tcPr>
                <w:p w14:paraId="2765BFF2" w14:textId="77777777" w:rsidR="00547D87" w:rsidRPr="009D4627" w:rsidRDefault="00547D87" w:rsidP="00CC31A9">
                  <w:pPr>
                    <w:spacing w:before="0" w:after="0" w:line="240" w:lineRule="auto"/>
                    <w:ind w:left="182" w:hanging="218"/>
                    <w:jc w:val="left"/>
                    <w:rPr>
                      <w:sz w:val="20"/>
                      <w:szCs w:val="20"/>
                    </w:rPr>
                  </w:pPr>
                  <w:r w:rsidRPr="009D4627">
                    <w:rPr>
                      <w:sz w:val="20"/>
                      <w:szCs w:val="20"/>
                    </w:rPr>
                    <w:t>Latency (</w:t>
                  </w:r>
                  <w:proofErr w:type="spellStart"/>
                  <w:r w:rsidRPr="009D4627">
                    <w:rPr>
                      <w:sz w:val="20"/>
                      <w:szCs w:val="20"/>
                    </w:rPr>
                    <w:t>ms</w:t>
                  </w:r>
                  <w:proofErr w:type="spellEnd"/>
                  <w:r w:rsidRPr="009D4627">
                    <w:rPr>
                      <w:sz w:val="20"/>
                      <w:szCs w:val="20"/>
                    </w:rPr>
                    <w:t>)</w:t>
                  </w:r>
                </w:p>
              </w:tc>
            </w:tr>
            <w:tr w:rsidR="00547D87" w:rsidRPr="009D4627" w14:paraId="7EA13769" w14:textId="77777777" w:rsidTr="0099065C">
              <w:tc>
                <w:tcPr>
                  <w:tcW w:w="1266" w:type="dxa"/>
                </w:tcPr>
                <w:p w14:paraId="52FECBC0" w14:textId="77777777" w:rsidR="00547D87" w:rsidRPr="009D4627" w:rsidRDefault="00547D87" w:rsidP="00CC31A9">
                  <w:pPr>
                    <w:spacing w:before="0" w:after="0" w:line="240" w:lineRule="auto"/>
                    <w:ind w:left="182" w:hanging="218"/>
                    <w:jc w:val="left"/>
                    <w:rPr>
                      <w:sz w:val="20"/>
                      <w:szCs w:val="20"/>
                    </w:rPr>
                  </w:pPr>
                  <w:r w:rsidRPr="009D4627">
                    <w:rPr>
                      <w:sz w:val="20"/>
                      <w:szCs w:val="20"/>
                    </w:rPr>
                    <w:t>Y</w:t>
                  </w:r>
                </w:p>
              </w:tc>
              <w:tc>
                <w:tcPr>
                  <w:tcW w:w="1886" w:type="dxa"/>
                </w:tcPr>
                <w:p w14:paraId="13DB7538" w14:textId="77777777" w:rsidR="00547D87" w:rsidRPr="009D4627" w:rsidRDefault="00547D87" w:rsidP="00CC31A9">
                  <w:pPr>
                    <w:spacing w:before="0" w:after="0" w:line="240" w:lineRule="auto"/>
                    <w:ind w:left="182" w:hanging="218"/>
                    <w:jc w:val="left"/>
                    <w:rPr>
                      <w:sz w:val="20"/>
                      <w:szCs w:val="20"/>
                    </w:rPr>
                  </w:pPr>
                  <w:r w:rsidRPr="009D4627">
                    <w:rPr>
                      <w:sz w:val="20"/>
                      <w:szCs w:val="20"/>
                    </w:rPr>
                    <w:t>551 ± 65.0</w:t>
                  </w:r>
                </w:p>
              </w:tc>
              <w:tc>
                <w:tcPr>
                  <w:tcW w:w="1417" w:type="dxa"/>
                </w:tcPr>
                <w:p w14:paraId="652CB178" w14:textId="77777777" w:rsidR="00547D87" w:rsidRPr="009D4627" w:rsidRDefault="00547D87" w:rsidP="00CC31A9">
                  <w:pPr>
                    <w:pStyle w:val="ListParagraph"/>
                    <w:spacing w:before="0" w:after="0" w:line="240" w:lineRule="auto"/>
                    <w:ind w:left="182" w:hanging="218"/>
                    <w:jc w:val="left"/>
                    <w:rPr>
                      <w:sz w:val="20"/>
                      <w:szCs w:val="20"/>
                    </w:rPr>
                  </w:pPr>
                  <w:r w:rsidRPr="009D4627">
                    <w:rPr>
                      <w:sz w:val="20"/>
                      <w:szCs w:val="20"/>
                    </w:rPr>
                    <w:t>179 ± 27.4</w:t>
                  </w:r>
                </w:p>
              </w:tc>
            </w:tr>
            <w:tr w:rsidR="00547D87" w:rsidRPr="009D4627" w14:paraId="6094776B" w14:textId="77777777" w:rsidTr="0099065C">
              <w:tc>
                <w:tcPr>
                  <w:tcW w:w="1266" w:type="dxa"/>
                </w:tcPr>
                <w:p w14:paraId="09D7A9CA" w14:textId="77777777" w:rsidR="00547D87" w:rsidRPr="009D4627" w:rsidRDefault="00547D87" w:rsidP="00CC31A9">
                  <w:pPr>
                    <w:pStyle w:val="ListParagraph"/>
                    <w:spacing w:before="0" w:after="0" w:line="240" w:lineRule="auto"/>
                    <w:ind w:left="182" w:hanging="218"/>
                    <w:jc w:val="left"/>
                    <w:rPr>
                      <w:sz w:val="20"/>
                      <w:szCs w:val="20"/>
                    </w:rPr>
                  </w:pPr>
                  <w:r w:rsidRPr="009D4627">
                    <w:rPr>
                      <w:sz w:val="20"/>
                      <w:szCs w:val="20"/>
                    </w:rPr>
                    <w:t>O</w:t>
                  </w:r>
                </w:p>
              </w:tc>
              <w:tc>
                <w:tcPr>
                  <w:tcW w:w="1886" w:type="dxa"/>
                </w:tcPr>
                <w:p w14:paraId="31995A90" w14:textId="77777777" w:rsidR="00547D87" w:rsidRPr="009D4627" w:rsidRDefault="00547D87" w:rsidP="00CC31A9">
                  <w:pPr>
                    <w:pStyle w:val="ListParagraph"/>
                    <w:spacing w:before="0" w:after="0" w:line="240" w:lineRule="auto"/>
                    <w:ind w:left="182" w:hanging="218"/>
                    <w:jc w:val="left"/>
                    <w:rPr>
                      <w:sz w:val="20"/>
                      <w:szCs w:val="20"/>
                    </w:rPr>
                  </w:pPr>
                  <w:r w:rsidRPr="009D4627">
                    <w:rPr>
                      <w:sz w:val="20"/>
                      <w:szCs w:val="20"/>
                    </w:rPr>
                    <w:t>487 ± 85.5</w:t>
                  </w:r>
                </w:p>
              </w:tc>
              <w:tc>
                <w:tcPr>
                  <w:tcW w:w="1417" w:type="dxa"/>
                </w:tcPr>
                <w:p w14:paraId="63341848" w14:textId="77777777" w:rsidR="00547D87" w:rsidRPr="009D4627" w:rsidRDefault="00547D87" w:rsidP="00CC31A9">
                  <w:pPr>
                    <w:pStyle w:val="ListParagraph"/>
                    <w:spacing w:before="0" w:after="0" w:line="240" w:lineRule="auto"/>
                    <w:ind w:left="182" w:hanging="218"/>
                    <w:jc w:val="left"/>
                    <w:rPr>
                      <w:sz w:val="20"/>
                      <w:szCs w:val="20"/>
                    </w:rPr>
                  </w:pPr>
                  <w:r w:rsidRPr="009D4627">
                    <w:rPr>
                      <w:sz w:val="20"/>
                      <w:szCs w:val="20"/>
                    </w:rPr>
                    <w:t>219 ± 32.2</w:t>
                  </w:r>
                </w:p>
              </w:tc>
            </w:tr>
          </w:tbl>
          <w:p w14:paraId="3AB627FA" w14:textId="77777777" w:rsidR="00547D87" w:rsidRPr="009D4627" w:rsidRDefault="00547D87" w:rsidP="00CC31A9">
            <w:pPr>
              <w:spacing w:before="0" w:after="0" w:line="240" w:lineRule="auto"/>
              <w:ind w:left="182" w:hanging="218"/>
              <w:jc w:val="left"/>
              <w:rPr>
                <w:sz w:val="20"/>
                <w:szCs w:val="20"/>
              </w:rPr>
            </w:pPr>
          </w:p>
        </w:tc>
      </w:tr>
      <w:tr w:rsidR="00547D87" w:rsidRPr="009D4627" w14:paraId="16631B9F" w14:textId="77777777" w:rsidTr="00067115">
        <w:tc>
          <w:tcPr>
            <w:tcW w:w="1255" w:type="dxa"/>
          </w:tcPr>
          <w:p w14:paraId="1F39E9CC" w14:textId="77777777" w:rsidR="00547D87" w:rsidRPr="009D4627" w:rsidRDefault="00547D87" w:rsidP="00CC31A9">
            <w:pPr>
              <w:spacing w:before="0" w:after="0" w:line="240" w:lineRule="auto"/>
              <w:rPr>
                <w:sz w:val="20"/>
                <w:szCs w:val="20"/>
              </w:rPr>
            </w:pPr>
            <w:r w:rsidRPr="009D4627">
              <w:rPr>
                <w:sz w:val="20"/>
                <w:szCs w:val="20"/>
              </w:rPr>
              <w:t>Abel et al. (1983)</w:t>
            </w:r>
          </w:p>
        </w:tc>
        <w:tc>
          <w:tcPr>
            <w:tcW w:w="2430" w:type="dxa"/>
          </w:tcPr>
          <w:p w14:paraId="0BCAEC16" w14:textId="77777777" w:rsidR="00547D87" w:rsidRPr="009D4627" w:rsidRDefault="00547D87" w:rsidP="00CC31A9">
            <w:pPr>
              <w:pStyle w:val="ListParagraph"/>
              <w:numPr>
                <w:ilvl w:val="0"/>
                <w:numId w:val="30"/>
              </w:numPr>
              <w:spacing w:before="0" w:after="0" w:line="240" w:lineRule="auto"/>
              <w:ind w:left="188" w:hanging="188"/>
              <w:jc w:val="left"/>
              <w:rPr>
                <w:sz w:val="20"/>
                <w:szCs w:val="20"/>
              </w:rPr>
            </w:pPr>
            <w:r w:rsidRPr="009D4627">
              <w:rPr>
                <w:sz w:val="20"/>
                <w:szCs w:val="20"/>
              </w:rPr>
              <w:t>23 Y, aged 18-37 (mean=25.7 ± 4.7)</w:t>
            </w:r>
          </w:p>
          <w:p w14:paraId="02CFCB95" w14:textId="77777777" w:rsidR="00547D87" w:rsidRPr="009D4627" w:rsidRDefault="00547D87" w:rsidP="00CC31A9">
            <w:pPr>
              <w:pStyle w:val="ListParagraph"/>
              <w:numPr>
                <w:ilvl w:val="0"/>
                <w:numId w:val="30"/>
              </w:numPr>
              <w:spacing w:before="0" w:after="0" w:line="240" w:lineRule="auto"/>
              <w:ind w:left="188" w:hanging="188"/>
              <w:jc w:val="left"/>
              <w:rPr>
                <w:sz w:val="20"/>
                <w:szCs w:val="20"/>
              </w:rPr>
            </w:pPr>
            <w:r w:rsidRPr="009D4627">
              <w:rPr>
                <w:sz w:val="20"/>
                <w:szCs w:val="20"/>
              </w:rPr>
              <w:t>17 O, aged 59-87 (mean=72.0 ± 7.9)</w:t>
            </w:r>
          </w:p>
        </w:tc>
        <w:tc>
          <w:tcPr>
            <w:tcW w:w="1130" w:type="dxa"/>
          </w:tcPr>
          <w:p w14:paraId="78C1C075" w14:textId="77777777" w:rsidR="00547D87" w:rsidRPr="009D4627" w:rsidRDefault="00547D87" w:rsidP="00CC31A9">
            <w:pPr>
              <w:spacing w:before="0" w:after="0" w:line="240" w:lineRule="auto"/>
              <w:rPr>
                <w:sz w:val="20"/>
                <w:szCs w:val="20"/>
              </w:rPr>
            </w:pPr>
            <w:r w:rsidRPr="009D4627">
              <w:rPr>
                <w:sz w:val="20"/>
                <w:szCs w:val="20"/>
              </w:rPr>
              <w:t>EOG</w:t>
            </w:r>
          </w:p>
        </w:tc>
        <w:tc>
          <w:tcPr>
            <w:tcW w:w="2551" w:type="dxa"/>
          </w:tcPr>
          <w:p w14:paraId="3C014497" w14:textId="693618DD"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 xml:space="preserve">Red </w:t>
            </w:r>
            <w:r w:rsidR="00170AFE" w:rsidRPr="009D4627">
              <w:rPr>
                <w:sz w:val="20"/>
                <w:szCs w:val="20"/>
              </w:rPr>
              <w:t>light-emitting diodes (</w:t>
            </w:r>
            <w:r w:rsidRPr="009D4627">
              <w:rPr>
                <w:sz w:val="20"/>
                <w:szCs w:val="20"/>
              </w:rPr>
              <w:t>LED</w:t>
            </w:r>
            <w:r w:rsidR="00170AFE" w:rsidRPr="009D4627">
              <w:rPr>
                <w:sz w:val="20"/>
                <w:szCs w:val="20"/>
              </w:rPr>
              <w:t>)</w:t>
            </w:r>
            <w:r w:rsidRPr="009D4627">
              <w:rPr>
                <w:sz w:val="20"/>
                <w:szCs w:val="20"/>
              </w:rPr>
              <w:t xml:space="preserve"> </w:t>
            </w:r>
            <w:r w:rsidR="00F57D01" w:rsidRPr="009D4627">
              <w:rPr>
                <w:sz w:val="20"/>
                <w:szCs w:val="20"/>
              </w:rPr>
              <w:t>target</w:t>
            </w:r>
            <w:r w:rsidRPr="009D4627">
              <w:rPr>
                <w:sz w:val="20"/>
                <w:szCs w:val="20"/>
              </w:rPr>
              <w:t xml:space="preserve"> presented at ±1°, 3°, 5°, 10°, 15° and 20°. </w:t>
            </w:r>
          </w:p>
          <w:p w14:paraId="17B1179F" w14:textId="638880AB"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 xml:space="preserve">Random order with 3 s </w:t>
            </w:r>
            <w:proofErr w:type="gramStart"/>
            <w:r w:rsidR="00AE6F60" w:rsidRPr="009D4627">
              <w:rPr>
                <w:sz w:val="20"/>
                <w:szCs w:val="20"/>
              </w:rPr>
              <w:t>inter</w:t>
            </w:r>
            <w:proofErr w:type="gramEnd"/>
            <w:r w:rsidR="00AE6F60" w:rsidRPr="009D4627">
              <w:rPr>
                <w:sz w:val="20"/>
                <w:szCs w:val="20"/>
              </w:rPr>
              <w:t xml:space="preserve"> </w:t>
            </w:r>
            <w:r w:rsidR="00F57D01" w:rsidRPr="009D4627">
              <w:rPr>
                <w:sz w:val="20"/>
                <w:szCs w:val="20"/>
              </w:rPr>
              <w:t>target</w:t>
            </w:r>
            <w:r w:rsidRPr="009D4627">
              <w:rPr>
                <w:sz w:val="20"/>
                <w:szCs w:val="20"/>
              </w:rPr>
              <w:t xml:space="preserve"> interval</w:t>
            </w:r>
          </w:p>
        </w:tc>
        <w:tc>
          <w:tcPr>
            <w:tcW w:w="1418" w:type="dxa"/>
          </w:tcPr>
          <w:p w14:paraId="7FE3DC2A" w14:textId="77777777" w:rsidR="00547D87" w:rsidRPr="009D4627" w:rsidRDefault="00547D87" w:rsidP="00CC31A9">
            <w:pPr>
              <w:spacing w:before="0" w:after="0" w:line="240" w:lineRule="auto"/>
              <w:jc w:val="left"/>
              <w:rPr>
                <w:sz w:val="20"/>
                <w:szCs w:val="20"/>
              </w:rPr>
            </w:pPr>
            <w:r w:rsidRPr="009D4627">
              <w:rPr>
                <w:sz w:val="20"/>
                <w:szCs w:val="20"/>
              </w:rPr>
              <w:t>Horizontal</w:t>
            </w:r>
          </w:p>
          <w:p w14:paraId="63823A4E" w14:textId="77777777" w:rsidR="00547D87" w:rsidRPr="009D4627" w:rsidRDefault="00547D87" w:rsidP="00CC31A9">
            <w:pPr>
              <w:pStyle w:val="ListParagraph"/>
              <w:numPr>
                <w:ilvl w:val="0"/>
                <w:numId w:val="32"/>
              </w:numPr>
              <w:spacing w:before="0" w:after="0" w:line="240" w:lineRule="auto"/>
              <w:ind w:left="171" w:hanging="218"/>
              <w:jc w:val="left"/>
              <w:rPr>
                <w:sz w:val="20"/>
                <w:szCs w:val="20"/>
              </w:rPr>
            </w:pPr>
            <w:r w:rsidRPr="009D4627">
              <w:rPr>
                <w:sz w:val="20"/>
                <w:szCs w:val="20"/>
              </w:rPr>
              <w:t>Latency</w:t>
            </w:r>
          </w:p>
          <w:p w14:paraId="1603B6B4" w14:textId="77777777" w:rsidR="00547D87" w:rsidRPr="009D4627" w:rsidRDefault="00547D87" w:rsidP="00CC31A9">
            <w:pPr>
              <w:pStyle w:val="ListParagraph"/>
              <w:numPr>
                <w:ilvl w:val="0"/>
                <w:numId w:val="32"/>
              </w:numPr>
              <w:spacing w:before="0" w:after="0" w:line="240" w:lineRule="auto"/>
              <w:ind w:left="171" w:hanging="218"/>
              <w:jc w:val="left"/>
              <w:rPr>
                <w:sz w:val="20"/>
                <w:szCs w:val="20"/>
              </w:rPr>
            </w:pPr>
            <w:r w:rsidRPr="009D4627">
              <w:rPr>
                <w:sz w:val="20"/>
                <w:szCs w:val="20"/>
              </w:rPr>
              <w:t>Velocity</w:t>
            </w:r>
          </w:p>
        </w:tc>
        <w:tc>
          <w:tcPr>
            <w:tcW w:w="5251" w:type="dxa"/>
          </w:tcPr>
          <w:p w14:paraId="2784CE3D" w14:textId="5406289D"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b/>
                <w:bCs/>
                <w:sz w:val="20"/>
                <w:szCs w:val="20"/>
              </w:rPr>
              <w:t>Significant longer</w:t>
            </w:r>
            <w:r w:rsidRPr="009D4627">
              <w:rPr>
                <w:sz w:val="20"/>
                <w:szCs w:val="20"/>
              </w:rPr>
              <w:t xml:space="preserve"> latency </w:t>
            </w:r>
            <w:r w:rsidR="00666F37" w:rsidRPr="009D4627">
              <w:rPr>
                <w:sz w:val="20"/>
                <w:szCs w:val="20"/>
              </w:rPr>
              <w:t>for O</w:t>
            </w:r>
            <w:r w:rsidRPr="009D4627">
              <w:rPr>
                <w:sz w:val="20"/>
                <w:szCs w:val="20"/>
              </w:rPr>
              <w:t xml:space="preserve"> compared </w:t>
            </w:r>
            <w:r w:rsidR="00666F37" w:rsidRPr="009D4627">
              <w:rPr>
                <w:sz w:val="20"/>
                <w:szCs w:val="20"/>
              </w:rPr>
              <w:t xml:space="preserve">with Y </w:t>
            </w:r>
            <w:r w:rsidRPr="009D4627">
              <w:rPr>
                <w:sz w:val="20"/>
                <w:szCs w:val="20"/>
              </w:rPr>
              <w:t>adults. Mean latency of:</w:t>
            </w:r>
          </w:p>
          <w:p w14:paraId="2CE8D281" w14:textId="77777777" w:rsidR="00547D87" w:rsidRPr="009D4627" w:rsidRDefault="00547D87" w:rsidP="00CC31A9">
            <w:pPr>
              <w:pStyle w:val="ListParagraph"/>
              <w:numPr>
                <w:ilvl w:val="0"/>
                <w:numId w:val="31"/>
              </w:numPr>
              <w:spacing w:before="0" w:after="0" w:line="240" w:lineRule="auto"/>
              <w:ind w:left="466" w:hanging="218"/>
              <w:jc w:val="left"/>
              <w:rPr>
                <w:sz w:val="20"/>
                <w:szCs w:val="20"/>
              </w:rPr>
            </w:pPr>
            <w:r w:rsidRPr="009D4627">
              <w:rPr>
                <w:sz w:val="20"/>
                <w:szCs w:val="20"/>
              </w:rPr>
              <w:t xml:space="preserve">Y = 229.8 ± 62.5 </w:t>
            </w:r>
            <w:proofErr w:type="spellStart"/>
            <w:r w:rsidRPr="009D4627">
              <w:rPr>
                <w:sz w:val="20"/>
                <w:szCs w:val="20"/>
              </w:rPr>
              <w:t>ms</w:t>
            </w:r>
            <w:proofErr w:type="spellEnd"/>
          </w:p>
          <w:p w14:paraId="7AE05841" w14:textId="77777777" w:rsidR="00547D87" w:rsidRPr="009D4627" w:rsidRDefault="00547D87" w:rsidP="00CC31A9">
            <w:pPr>
              <w:pStyle w:val="ListParagraph"/>
              <w:numPr>
                <w:ilvl w:val="0"/>
                <w:numId w:val="31"/>
              </w:numPr>
              <w:spacing w:before="0" w:after="0" w:line="240" w:lineRule="auto"/>
              <w:ind w:left="466" w:hanging="218"/>
              <w:jc w:val="left"/>
              <w:rPr>
                <w:sz w:val="20"/>
                <w:szCs w:val="20"/>
              </w:rPr>
            </w:pPr>
            <w:r w:rsidRPr="009D4627">
              <w:rPr>
                <w:sz w:val="20"/>
                <w:szCs w:val="20"/>
              </w:rPr>
              <w:t xml:space="preserve">O = 275.2 ± 74.7 </w:t>
            </w:r>
            <w:proofErr w:type="spellStart"/>
            <w:r w:rsidRPr="009D4627">
              <w:rPr>
                <w:sz w:val="20"/>
                <w:szCs w:val="20"/>
              </w:rPr>
              <w:t>ms</w:t>
            </w:r>
            <w:proofErr w:type="spellEnd"/>
          </w:p>
          <w:p w14:paraId="0BA6BB10" w14:textId="77777777"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Velocity was not affected by ageing.</w:t>
            </w:r>
          </w:p>
        </w:tc>
      </w:tr>
      <w:tr w:rsidR="00547D87" w:rsidRPr="009D4627" w14:paraId="29F1344A" w14:textId="77777777" w:rsidTr="00067115">
        <w:tc>
          <w:tcPr>
            <w:tcW w:w="1255" w:type="dxa"/>
          </w:tcPr>
          <w:p w14:paraId="73276F30" w14:textId="77777777" w:rsidR="00547D87" w:rsidRPr="009D4627" w:rsidRDefault="00547D87" w:rsidP="00CC31A9">
            <w:pPr>
              <w:spacing w:before="0" w:after="0" w:line="240" w:lineRule="auto"/>
              <w:rPr>
                <w:sz w:val="20"/>
                <w:szCs w:val="20"/>
              </w:rPr>
            </w:pPr>
            <w:r w:rsidRPr="009D4627">
              <w:rPr>
                <w:sz w:val="20"/>
                <w:szCs w:val="20"/>
              </w:rPr>
              <w:t>Warabi et al. (1984)</w:t>
            </w:r>
          </w:p>
        </w:tc>
        <w:tc>
          <w:tcPr>
            <w:tcW w:w="2430" w:type="dxa"/>
          </w:tcPr>
          <w:p w14:paraId="4AE168C4" w14:textId="77777777" w:rsidR="00547D87" w:rsidRPr="009D4627" w:rsidRDefault="00547D87" w:rsidP="00CC31A9">
            <w:pPr>
              <w:spacing w:before="0" w:after="0" w:line="240" w:lineRule="auto"/>
              <w:ind w:left="188" w:hanging="188"/>
              <w:jc w:val="left"/>
              <w:rPr>
                <w:sz w:val="20"/>
                <w:szCs w:val="20"/>
              </w:rPr>
            </w:pPr>
            <w:r w:rsidRPr="009D4627">
              <w:rPr>
                <w:sz w:val="20"/>
                <w:szCs w:val="20"/>
              </w:rPr>
              <w:t>Compared 2 groups of healthy participants</w:t>
            </w:r>
          </w:p>
          <w:p w14:paraId="447D096F" w14:textId="77777777" w:rsidR="00547D87" w:rsidRPr="009D4627" w:rsidRDefault="00547D87" w:rsidP="00CC31A9">
            <w:pPr>
              <w:pStyle w:val="ListParagraph"/>
              <w:numPr>
                <w:ilvl w:val="0"/>
                <w:numId w:val="24"/>
              </w:numPr>
              <w:spacing w:before="0" w:after="0" w:line="240" w:lineRule="auto"/>
              <w:ind w:left="188" w:hanging="188"/>
              <w:jc w:val="left"/>
              <w:rPr>
                <w:sz w:val="20"/>
                <w:szCs w:val="20"/>
              </w:rPr>
            </w:pPr>
            <w:r w:rsidRPr="009D4627">
              <w:rPr>
                <w:sz w:val="20"/>
                <w:szCs w:val="20"/>
              </w:rPr>
              <w:t>8 Y (19-26 years)</w:t>
            </w:r>
          </w:p>
          <w:p w14:paraId="0BDFC630" w14:textId="77777777" w:rsidR="00547D87" w:rsidRPr="009D4627" w:rsidRDefault="00547D87" w:rsidP="00CC31A9">
            <w:pPr>
              <w:pStyle w:val="ListParagraph"/>
              <w:numPr>
                <w:ilvl w:val="0"/>
                <w:numId w:val="24"/>
              </w:numPr>
              <w:spacing w:before="0" w:after="0" w:line="240" w:lineRule="auto"/>
              <w:ind w:left="188" w:hanging="188"/>
              <w:jc w:val="left"/>
              <w:rPr>
                <w:sz w:val="20"/>
                <w:szCs w:val="20"/>
              </w:rPr>
            </w:pPr>
            <w:r w:rsidRPr="009D4627">
              <w:rPr>
                <w:sz w:val="20"/>
                <w:szCs w:val="20"/>
              </w:rPr>
              <w:t xml:space="preserve">24 O (59-82 years) </w:t>
            </w:r>
          </w:p>
        </w:tc>
        <w:tc>
          <w:tcPr>
            <w:tcW w:w="1130" w:type="dxa"/>
          </w:tcPr>
          <w:p w14:paraId="22C2D144" w14:textId="77777777" w:rsidR="00547D87" w:rsidRPr="009D4627" w:rsidRDefault="00547D87" w:rsidP="00CC31A9">
            <w:pPr>
              <w:spacing w:before="0" w:after="0" w:line="240" w:lineRule="auto"/>
              <w:rPr>
                <w:sz w:val="20"/>
                <w:szCs w:val="20"/>
              </w:rPr>
            </w:pPr>
            <w:r w:rsidRPr="009D4627">
              <w:rPr>
                <w:sz w:val="20"/>
                <w:szCs w:val="20"/>
              </w:rPr>
              <w:t>EOG</w:t>
            </w:r>
          </w:p>
        </w:tc>
        <w:tc>
          <w:tcPr>
            <w:tcW w:w="2551" w:type="dxa"/>
          </w:tcPr>
          <w:p w14:paraId="26E2EF87" w14:textId="1E867F33" w:rsidR="00547D87" w:rsidRPr="009D4627" w:rsidRDefault="00547D87" w:rsidP="00CC31A9">
            <w:pPr>
              <w:pStyle w:val="ListParagraph"/>
              <w:spacing w:before="0" w:after="0" w:line="240" w:lineRule="auto"/>
              <w:ind w:left="181" w:hanging="181"/>
              <w:jc w:val="left"/>
              <w:rPr>
                <w:sz w:val="20"/>
                <w:szCs w:val="20"/>
              </w:rPr>
            </w:pPr>
            <w:r w:rsidRPr="009D4627">
              <w:rPr>
                <w:sz w:val="20"/>
                <w:szCs w:val="20"/>
              </w:rPr>
              <w:t>- LED presented in random order (within ±20 ° horizontally)</w:t>
            </w:r>
          </w:p>
          <w:p w14:paraId="6B0BCF01" w14:textId="06BD073A" w:rsidR="00547D87" w:rsidRPr="009D4627" w:rsidRDefault="00547D87" w:rsidP="00CC31A9">
            <w:pPr>
              <w:pStyle w:val="ListParagraph"/>
              <w:spacing w:before="0" w:after="0" w:line="240" w:lineRule="auto"/>
              <w:ind w:left="181" w:hanging="181"/>
              <w:jc w:val="left"/>
              <w:rPr>
                <w:sz w:val="20"/>
                <w:szCs w:val="20"/>
              </w:rPr>
            </w:pPr>
            <w:r w:rsidRPr="009D4627">
              <w:rPr>
                <w:sz w:val="20"/>
                <w:szCs w:val="20"/>
              </w:rPr>
              <w:t>- random inter</w:t>
            </w:r>
            <w:r w:rsidR="00AE6F60" w:rsidRPr="009D4627">
              <w:rPr>
                <w:sz w:val="20"/>
                <w:szCs w:val="20"/>
              </w:rPr>
              <w:t xml:space="preserve"> </w:t>
            </w:r>
            <w:r w:rsidR="00F57D01" w:rsidRPr="009D4627">
              <w:rPr>
                <w:sz w:val="20"/>
                <w:szCs w:val="20"/>
              </w:rPr>
              <w:t>target</w:t>
            </w:r>
            <w:r w:rsidRPr="009D4627">
              <w:rPr>
                <w:sz w:val="20"/>
                <w:szCs w:val="20"/>
              </w:rPr>
              <w:t xml:space="preserve"> interval</w:t>
            </w:r>
          </w:p>
        </w:tc>
        <w:tc>
          <w:tcPr>
            <w:tcW w:w="1418" w:type="dxa"/>
          </w:tcPr>
          <w:p w14:paraId="3F1145B6" w14:textId="77777777" w:rsidR="00547D87" w:rsidRPr="009D4627" w:rsidRDefault="00547D87" w:rsidP="00CC31A9">
            <w:pPr>
              <w:spacing w:before="0" w:after="0" w:line="240" w:lineRule="auto"/>
              <w:jc w:val="left"/>
              <w:rPr>
                <w:sz w:val="20"/>
                <w:szCs w:val="20"/>
              </w:rPr>
            </w:pPr>
            <w:r w:rsidRPr="009D4627">
              <w:rPr>
                <w:sz w:val="20"/>
                <w:szCs w:val="20"/>
              </w:rPr>
              <w:t>Horizontal</w:t>
            </w:r>
          </w:p>
          <w:p w14:paraId="14AC23C6" w14:textId="77777777" w:rsidR="00547D87" w:rsidRPr="009D4627" w:rsidRDefault="00547D87" w:rsidP="00CC31A9">
            <w:pPr>
              <w:pStyle w:val="ListParagraph"/>
              <w:numPr>
                <w:ilvl w:val="0"/>
                <w:numId w:val="25"/>
              </w:numPr>
              <w:spacing w:before="0" w:after="0" w:line="240" w:lineRule="auto"/>
              <w:ind w:left="171" w:hanging="218"/>
              <w:jc w:val="left"/>
              <w:rPr>
                <w:sz w:val="20"/>
                <w:szCs w:val="20"/>
              </w:rPr>
            </w:pPr>
            <w:r w:rsidRPr="009D4627">
              <w:rPr>
                <w:sz w:val="20"/>
                <w:szCs w:val="20"/>
              </w:rPr>
              <w:t>Peak velocity</w:t>
            </w:r>
          </w:p>
          <w:p w14:paraId="2AE50F70" w14:textId="77777777" w:rsidR="00547D87" w:rsidRPr="009D4627" w:rsidRDefault="00547D87" w:rsidP="00CC31A9">
            <w:pPr>
              <w:pStyle w:val="ListParagraph"/>
              <w:numPr>
                <w:ilvl w:val="0"/>
                <w:numId w:val="25"/>
              </w:numPr>
              <w:spacing w:before="0" w:after="0" w:line="240" w:lineRule="auto"/>
              <w:ind w:left="171" w:hanging="218"/>
              <w:jc w:val="left"/>
              <w:rPr>
                <w:sz w:val="20"/>
                <w:szCs w:val="20"/>
              </w:rPr>
            </w:pPr>
            <w:r w:rsidRPr="009D4627">
              <w:rPr>
                <w:sz w:val="20"/>
                <w:szCs w:val="20"/>
              </w:rPr>
              <w:t>Latency</w:t>
            </w:r>
          </w:p>
          <w:p w14:paraId="308E117B" w14:textId="77777777" w:rsidR="00547D87" w:rsidRPr="009D4627" w:rsidRDefault="00547D87" w:rsidP="00CC31A9">
            <w:pPr>
              <w:pStyle w:val="ListParagraph"/>
              <w:numPr>
                <w:ilvl w:val="0"/>
                <w:numId w:val="25"/>
              </w:numPr>
              <w:spacing w:before="0" w:after="0" w:line="240" w:lineRule="auto"/>
              <w:ind w:left="171" w:hanging="218"/>
              <w:jc w:val="left"/>
              <w:rPr>
                <w:sz w:val="20"/>
                <w:szCs w:val="20"/>
              </w:rPr>
            </w:pPr>
            <w:r w:rsidRPr="009D4627">
              <w:rPr>
                <w:sz w:val="20"/>
                <w:szCs w:val="20"/>
              </w:rPr>
              <w:t>Gain</w:t>
            </w:r>
          </w:p>
        </w:tc>
        <w:tc>
          <w:tcPr>
            <w:tcW w:w="5251" w:type="dxa"/>
          </w:tcPr>
          <w:p w14:paraId="554174B3" w14:textId="2FF8A3AC"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The latency of the </w:t>
            </w:r>
            <w:r w:rsidR="00666F37" w:rsidRPr="009D4627">
              <w:rPr>
                <w:sz w:val="20"/>
                <w:szCs w:val="20"/>
              </w:rPr>
              <w:t>Y</w:t>
            </w:r>
            <w:r w:rsidRPr="009D4627">
              <w:rPr>
                <w:sz w:val="20"/>
                <w:szCs w:val="20"/>
              </w:rPr>
              <w:t xml:space="preserve"> vs </w:t>
            </w:r>
            <w:r w:rsidR="00666F37" w:rsidRPr="009D4627">
              <w:rPr>
                <w:sz w:val="20"/>
                <w:szCs w:val="20"/>
              </w:rPr>
              <w:t>O</w:t>
            </w:r>
            <w:r w:rsidRPr="009D4627">
              <w:rPr>
                <w:sz w:val="20"/>
                <w:szCs w:val="20"/>
              </w:rPr>
              <w:t xml:space="preserve"> group was 235 </w:t>
            </w:r>
            <w:proofErr w:type="spellStart"/>
            <w:r w:rsidRPr="009D4627">
              <w:rPr>
                <w:sz w:val="20"/>
                <w:szCs w:val="20"/>
              </w:rPr>
              <w:t>ms</w:t>
            </w:r>
            <w:proofErr w:type="spellEnd"/>
            <w:r w:rsidRPr="009D4627">
              <w:rPr>
                <w:sz w:val="20"/>
                <w:szCs w:val="20"/>
              </w:rPr>
              <w:t xml:space="preserve"> vs 335 </w:t>
            </w:r>
            <w:proofErr w:type="spellStart"/>
            <w:r w:rsidRPr="009D4627">
              <w:rPr>
                <w:sz w:val="20"/>
                <w:szCs w:val="20"/>
              </w:rPr>
              <w:t>ms</w:t>
            </w:r>
            <w:proofErr w:type="spellEnd"/>
          </w:p>
          <w:p w14:paraId="4B26C8C6" w14:textId="3EFD8E94"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Although the </w:t>
            </w:r>
            <w:r w:rsidRPr="009D4627">
              <w:rPr>
                <w:b/>
                <w:bCs/>
                <w:sz w:val="20"/>
                <w:szCs w:val="20"/>
              </w:rPr>
              <w:t>velocity was reduc</w:t>
            </w:r>
            <w:r w:rsidR="007E5281" w:rsidRPr="009D4627">
              <w:rPr>
                <w:b/>
                <w:bCs/>
                <w:sz w:val="20"/>
                <w:szCs w:val="20"/>
              </w:rPr>
              <w:t>ed</w:t>
            </w:r>
            <w:r w:rsidRPr="009D4627">
              <w:rPr>
                <w:sz w:val="20"/>
                <w:szCs w:val="20"/>
              </w:rPr>
              <w:t xml:space="preserve"> among the </w:t>
            </w:r>
            <w:r w:rsidR="007E5281" w:rsidRPr="009D4627">
              <w:rPr>
                <w:sz w:val="20"/>
                <w:szCs w:val="20"/>
              </w:rPr>
              <w:t>O group</w:t>
            </w:r>
            <w:r w:rsidRPr="009D4627">
              <w:rPr>
                <w:sz w:val="20"/>
                <w:szCs w:val="20"/>
              </w:rPr>
              <w:t xml:space="preserve"> and the </w:t>
            </w:r>
            <w:r w:rsidRPr="009D4627">
              <w:rPr>
                <w:b/>
                <w:bCs/>
                <w:sz w:val="20"/>
                <w:szCs w:val="20"/>
              </w:rPr>
              <w:t>latency was longer</w:t>
            </w:r>
            <w:r w:rsidRPr="009D4627">
              <w:rPr>
                <w:sz w:val="20"/>
                <w:szCs w:val="20"/>
              </w:rPr>
              <w:t xml:space="preserve">, they could program an accurate saccade similar to </w:t>
            </w:r>
            <w:r w:rsidR="007E5281" w:rsidRPr="009D4627">
              <w:rPr>
                <w:sz w:val="20"/>
                <w:szCs w:val="20"/>
              </w:rPr>
              <w:t>Y a</w:t>
            </w:r>
            <w:r w:rsidRPr="009D4627">
              <w:rPr>
                <w:sz w:val="20"/>
                <w:szCs w:val="20"/>
              </w:rPr>
              <w:t xml:space="preserve">dults. </w:t>
            </w:r>
          </w:p>
        </w:tc>
      </w:tr>
      <w:tr w:rsidR="00547D87" w:rsidRPr="009D4627" w14:paraId="73F8B22C" w14:textId="77777777" w:rsidTr="00067115">
        <w:tc>
          <w:tcPr>
            <w:tcW w:w="1255" w:type="dxa"/>
          </w:tcPr>
          <w:p w14:paraId="256FC4FD" w14:textId="77777777" w:rsidR="00547D87" w:rsidRPr="009D4627" w:rsidRDefault="00547D87" w:rsidP="00CC31A9">
            <w:pPr>
              <w:spacing w:before="0" w:after="0" w:line="240" w:lineRule="auto"/>
              <w:rPr>
                <w:sz w:val="20"/>
                <w:szCs w:val="20"/>
              </w:rPr>
            </w:pPr>
            <w:proofErr w:type="spellStart"/>
            <w:r w:rsidRPr="009D4627">
              <w:rPr>
                <w:sz w:val="20"/>
                <w:szCs w:val="20"/>
              </w:rPr>
              <w:t>Huaman</w:t>
            </w:r>
            <w:proofErr w:type="spellEnd"/>
            <w:r w:rsidRPr="009D4627">
              <w:rPr>
                <w:sz w:val="20"/>
                <w:szCs w:val="20"/>
              </w:rPr>
              <w:t xml:space="preserve"> &amp; Sharpe (1993)</w:t>
            </w:r>
          </w:p>
        </w:tc>
        <w:tc>
          <w:tcPr>
            <w:tcW w:w="2430" w:type="dxa"/>
          </w:tcPr>
          <w:p w14:paraId="4BE4EA09" w14:textId="77777777" w:rsidR="00547D87" w:rsidRPr="009D4627" w:rsidRDefault="00547D87" w:rsidP="00CC31A9">
            <w:pPr>
              <w:spacing w:before="0" w:after="0" w:line="240" w:lineRule="auto"/>
              <w:ind w:left="188" w:hanging="188"/>
              <w:jc w:val="left"/>
              <w:rPr>
                <w:sz w:val="20"/>
                <w:szCs w:val="20"/>
              </w:rPr>
            </w:pPr>
            <w:r w:rsidRPr="009D4627">
              <w:rPr>
                <w:sz w:val="20"/>
                <w:szCs w:val="20"/>
              </w:rPr>
              <w:t>Compared 3 groups of normal:</w:t>
            </w:r>
          </w:p>
          <w:p w14:paraId="27F34A17" w14:textId="77777777" w:rsidR="00547D87" w:rsidRPr="009D4627" w:rsidRDefault="00547D87" w:rsidP="00CC31A9">
            <w:pPr>
              <w:pStyle w:val="ListParagraph"/>
              <w:numPr>
                <w:ilvl w:val="0"/>
                <w:numId w:val="18"/>
              </w:numPr>
              <w:spacing w:before="0" w:after="0" w:line="240" w:lineRule="auto"/>
              <w:ind w:left="188" w:hanging="188"/>
              <w:jc w:val="left"/>
              <w:rPr>
                <w:sz w:val="20"/>
                <w:szCs w:val="20"/>
              </w:rPr>
            </w:pPr>
            <w:r w:rsidRPr="009D4627">
              <w:rPr>
                <w:sz w:val="20"/>
                <w:szCs w:val="20"/>
              </w:rPr>
              <w:t>13 Y (mean age = 28.3 ± 4.6)</w:t>
            </w:r>
          </w:p>
          <w:p w14:paraId="3B6E20A2" w14:textId="77777777" w:rsidR="00547D87" w:rsidRPr="009D4627" w:rsidRDefault="00547D87" w:rsidP="00CC31A9">
            <w:pPr>
              <w:pStyle w:val="ListParagraph"/>
              <w:numPr>
                <w:ilvl w:val="0"/>
                <w:numId w:val="18"/>
              </w:numPr>
              <w:spacing w:before="0" w:after="0" w:line="240" w:lineRule="auto"/>
              <w:ind w:left="188" w:hanging="188"/>
              <w:jc w:val="left"/>
              <w:rPr>
                <w:sz w:val="20"/>
                <w:szCs w:val="20"/>
              </w:rPr>
            </w:pPr>
            <w:r w:rsidRPr="009D4627">
              <w:rPr>
                <w:sz w:val="20"/>
                <w:szCs w:val="20"/>
              </w:rPr>
              <w:t>10 middle-aged (mean age = 49.8 ± 9.0)</w:t>
            </w:r>
          </w:p>
          <w:p w14:paraId="0AE6BD3F" w14:textId="77777777" w:rsidR="00547D87" w:rsidRPr="009D4627" w:rsidRDefault="00547D87" w:rsidP="00CC31A9">
            <w:pPr>
              <w:pStyle w:val="ListParagraph"/>
              <w:numPr>
                <w:ilvl w:val="0"/>
                <w:numId w:val="18"/>
              </w:numPr>
              <w:spacing w:before="0" w:after="0" w:line="240" w:lineRule="auto"/>
              <w:ind w:left="188" w:hanging="188"/>
              <w:jc w:val="left"/>
              <w:rPr>
                <w:sz w:val="20"/>
                <w:szCs w:val="20"/>
              </w:rPr>
            </w:pPr>
            <w:r w:rsidRPr="009D4627">
              <w:rPr>
                <w:sz w:val="20"/>
                <w:szCs w:val="20"/>
              </w:rPr>
              <w:t>16 O (mean aged = 71.9 ± 5.5)</w:t>
            </w:r>
          </w:p>
        </w:tc>
        <w:tc>
          <w:tcPr>
            <w:tcW w:w="1130" w:type="dxa"/>
          </w:tcPr>
          <w:p w14:paraId="50F6DDEC" w14:textId="77777777" w:rsidR="00547D87" w:rsidRPr="009D4627" w:rsidRDefault="00547D87" w:rsidP="00CC31A9">
            <w:pPr>
              <w:spacing w:before="0" w:after="0" w:line="240" w:lineRule="auto"/>
              <w:rPr>
                <w:sz w:val="20"/>
                <w:szCs w:val="20"/>
              </w:rPr>
            </w:pPr>
            <w:r w:rsidRPr="009D4627">
              <w:rPr>
                <w:sz w:val="20"/>
                <w:szCs w:val="20"/>
              </w:rPr>
              <w:t>Magnetic search coil</w:t>
            </w:r>
          </w:p>
        </w:tc>
        <w:tc>
          <w:tcPr>
            <w:tcW w:w="2551" w:type="dxa"/>
          </w:tcPr>
          <w:p w14:paraId="29AC7DE1" w14:textId="0A97D2BB" w:rsidR="00547D87" w:rsidRPr="009D4627" w:rsidRDefault="00547D87" w:rsidP="00CC31A9">
            <w:pPr>
              <w:pStyle w:val="ListParagraph"/>
              <w:numPr>
                <w:ilvl w:val="0"/>
                <w:numId w:val="20"/>
              </w:numPr>
              <w:spacing w:before="0" w:after="0" w:line="240" w:lineRule="auto"/>
              <w:ind w:left="181" w:hanging="181"/>
              <w:jc w:val="left"/>
              <w:rPr>
                <w:sz w:val="20"/>
                <w:szCs w:val="20"/>
              </w:rPr>
            </w:pPr>
            <w:r w:rsidRPr="009D4627">
              <w:rPr>
                <w:sz w:val="20"/>
                <w:szCs w:val="20"/>
              </w:rPr>
              <w:t>0.25° laser spot</w:t>
            </w:r>
            <w:r w:rsidR="00170AFE" w:rsidRPr="009D4627">
              <w:rPr>
                <w:sz w:val="20"/>
                <w:szCs w:val="20"/>
              </w:rPr>
              <w:t>.</w:t>
            </w:r>
            <w:r w:rsidRPr="009D4627">
              <w:rPr>
                <w:sz w:val="20"/>
                <w:szCs w:val="20"/>
              </w:rPr>
              <w:t xml:space="preserve"> </w:t>
            </w:r>
          </w:p>
          <w:p w14:paraId="5965DDBB" w14:textId="52171249" w:rsidR="00547D87" w:rsidRPr="009D4627" w:rsidRDefault="00547D87" w:rsidP="00CC31A9">
            <w:pPr>
              <w:pStyle w:val="ListParagraph"/>
              <w:numPr>
                <w:ilvl w:val="0"/>
                <w:numId w:val="20"/>
              </w:numPr>
              <w:spacing w:before="0" w:after="0" w:line="240" w:lineRule="auto"/>
              <w:ind w:left="181" w:hanging="181"/>
              <w:jc w:val="left"/>
              <w:rPr>
                <w:sz w:val="20"/>
                <w:szCs w:val="20"/>
              </w:rPr>
            </w:pPr>
            <w:r w:rsidRPr="009D4627">
              <w:rPr>
                <w:sz w:val="20"/>
                <w:szCs w:val="20"/>
              </w:rPr>
              <w:t xml:space="preserve">Amplitude: ±10, ±20 </w:t>
            </w:r>
            <w:r w:rsidR="00170AFE" w:rsidRPr="009D4627">
              <w:rPr>
                <w:sz w:val="20"/>
                <w:szCs w:val="20"/>
              </w:rPr>
              <w:t>and</w:t>
            </w:r>
            <w:r w:rsidRPr="009D4627">
              <w:rPr>
                <w:sz w:val="20"/>
                <w:szCs w:val="20"/>
              </w:rPr>
              <w:t xml:space="preserve"> ±30°.</w:t>
            </w:r>
          </w:p>
          <w:p w14:paraId="33F8233B" w14:textId="0459F850" w:rsidR="00547D87" w:rsidRPr="009D4627" w:rsidRDefault="00547D87" w:rsidP="00CC31A9">
            <w:pPr>
              <w:pStyle w:val="ListParagraph"/>
              <w:numPr>
                <w:ilvl w:val="0"/>
                <w:numId w:val="20"/>
              </w:numPr>
              <w:spacing w:before="0" w:after="0" w:line="240" w:lineRule="auto"/>
              <w:ind w:left="181" w:hanging="181"/>
              <w:jc w:val="left"/>
              <w:rPr>
                <w:sz w:val="20"/>
                <w:szCs w:val="20"/>
              </w:rPr>
            </w:pPr>
            <w:r w:rsidRPr="009D4627">
              <w:rPr>
                <w:sz w:val="20"/>
                <w:szCs w:val="20"/>
              </w:rPr>
              <w:t xml:space="preserve">Target presentation: 3 s interval with predictable amplitude (i.e., the order </w:t>
            </w:r>
            <w:r w:rsidR="00170AFE" w:rsidRPr="009D4627">
              <w:rPr>
                <w:sz w:val="20"/>
                <w:szCs w:val="20"/>
              </w:rPr>
              <w:t>all s</w:t>
            </w:r>
            <w:r w:rsidRPr="009D4627">
              <w:rPr>
                <w:sz w:val="20"/>
                <w:szCs w:val="20"/>
              </w:rPr>
              <w:t xml:space="preserve">tarted </w:t>
            </w:r>
            <w:r w:rsidR="00170AFE" w:rsidRPr="009D4627">
              <w:rPr>
                <w:sz w:val="20"/>
                <w:szCs w:val="20"/>
              </w:rPr>
              <w:t>at</w:t>
            </w:r>
            <w:r w:rsidRPr="009D4627">
              <w:rPr>
                <w:sz w:val="20"/>
                <w:szCs w:val="20"/>
              </w:rPr>
              <w:t xml:space="preserve"> 10° step</w:t>
            </w:r>
            <w:r w:rsidR="00170AFE" w:rsidRPr="009D4627">
              <w:rPr>
                <w:sz w:val="20"/>
                <w:szCs w:val="20"/>
              </w:rPr>
              <w:t>s</w:t>
            </w:r>
            <w:r w:rsidRPr="009D4627">
              <w:rPr>
                <w:sz w:val="20"/>
                <w:szCs w:val="20"/>
              </w:rPr>
              <w:t>, then 20° and finally 30°.</w:t>
            </w:r>
          </w:p>
        </w:tc>
        <w:tc>
          <w:tcPr>
            <w:tcW w:w="1418" w:type="dxa"/>
          </w:tcPr>
          <w:p w14:paraId="516C4F2C" w14:textId="77777777" w:rsidR="00547D87" w:rsidRPr="009D4627" w:rsidRDefault="00547D87" w:rsidP="00CC31A9">
            <w:pPr>
              <w:spacing w:before="0" w:after="0" w:line="240" w:lineRule="auto"/>
              <w:jc w:val="left"/>
              <w:rPr>
                <w:sz w:val="20"/>
                <w:szCs w:val="20"/>
              </w:rPr>
            </w:pPr>
            <w:r w:rsidRPr="009D4627">
              <w:rPr>
                <w:sz w:val="20"/>
                <w:szCs w:val="20"/>
              </w:rPr>
              <w:t>Vertical</w:t>
            </w:r>
          </w:p>
          <w:p w14:paraId="4326226D" w14:textId="77777777" w:rsidR="00547D87" w:rsidRPr="009D4627" w:rsidRDefault="00547D87" w:rsidP="00CC31A9">
            <w:pPr>
              <w:pStyle w:val="ListParagraph"/>
              <w:numPr>
                <w:ilvl w:val="0"/>
                <w:numId w:val="17"/>
              </w:numPr>
              <w:spacing w:before="0" w:after="0" w:line="240" w:lineRule="auto"/>
              <w:ind w:left="171" w:hanging="218"/>
              <w:jc w:val="left"/>
              <w:rPr>
                <w:sz w:val="20"/>
                <w:szCs w:val="20"/>
              </w:rPr>
            </w:pPr>
            <w:r w:rsidRPr="009D4627">
              <w:rPr>
                <w:sz w:val="20"/>
                <w:szCs w:val="20"/>
              </w:rPr>
              <w:t>Peak velocity</w:t>
            </w:r>
          </w:p>
          <w:p w14:paraId="29038877" w14:textId="77777777" w:rsidR="00547D87" w:rsidRPr="009D4627" w:rsidRDefault="00547D87" w:rsidP="00CC31A9">
            <w:pPr>
              <w:pStyle w:val="ListParagraph"/>
              <w:numPr>
                <w:ilvl w:val="0"/>
                <w:numId w:val="17"/>
              </w:numPr>
              <w:spacing w:before="0" w:after="0" w:line="240" w:lineRule="auto"/>
              <w:ind w:left="171" w:hanging="218"/>
              <w:jc w:val="left"/>
              <w:rPr>
                <w:sz w:val="20"/>
                <w:szCs w:val="20"/>
              </w:rPr>
            </w:pPr>
            <w:r w:rsidRPr="009D4627">
              <w:rPr>
                <w:sz w:val="20"/>
                <w:szCs w:val="20"/>
              </w:rPr>
              <w:t>Latency</w:t>
            </w:r>
          </w:p>
          <w:p w14:paraId="0797010B" w14:textId="77777777" w:rsidR="00547D87" w:rsidRPr="009D4627" w:rsidRDefault="00547D87" w:rsidP="00CC31A9">
            <w:pPr>
              <w:pStyle w:val="ListParagraph"/>
              <w:numPr>
                <w:ilvl w:val="0"/>
                <w:numId w:val="17"/>
              </w:numPr>
              <w:spacing w:before="0" w:after="0" w:line="240" w:lineRule="auto"/>
              <w:ind w:left="171" w:hanging="218"/>
              <w:jc w:val="left"/>
              <w:rPr>
                <w:sz w:val="20"/>
                <w:szCs w:val="20"/>
              </w:rPr>
            </w:pPr>
            <w:r w:rsidRPr="009D4627">
              <w:rPr>
                <w:sz w:val="20"/>
                <w:szCs w:val="20"/>
              </w:rPr>
              <w:t>Gain</w:t>
            </w:r>
          </w:p>
        </w:tc>
        <w:tc>
          <w:tcPr>
            <w:tcW w:w="5251" w:type="dxa"/>
          </w:tcPr>
          <w:p w14:paraId="470FC53C" w14:textId="77777777" w:rsidR="00547D87" w:rsidRPr="009D4627" w:rsidRDefault="00547D87" w:rsidP="00CC31A9">
            <w:pPr>
              <w:pStyle w:val="ListParagraph"/>
              <w:numPr>
                <w:ilvl w:val="0"/>
                <w:numId w:val="20"/>
              </w:numPr>
              <w:spacing w:before="0" w:after="0" w:line="240" w:lineRule="auto"/>
              <w:ind w:left="182" w:hanging="218"/>
              <w:jc w:val="left"/>
              <w:rPr>
                <w:sz w:val="20"/>
                <w:szCs w:val="20"/>
              </w:rPr>
            </w:pPr>
            <w:r w:rsidRPr="009D4627">
              <w:rPr>
                <w:b/>
                <w:bCs/>
                <w:sz w:val="20"/>
                <w:szCs w:val="20"/>
              </w:rPr>
              <w:t>No significant difference</w:t>
            </w:r>
            <w:r w:rsidRPr="009D4627">
              <w:rPr>
                <w:sz w:val="20"/>
                <w:szCs w:val="20"/>
              </w:rPr>
              <w:t xml:space="preserve"> in peak velocity between all three groups.</w:t>
            </w:r>
          </w:p>
          <w:p w14:paraId="430E5827" w14:textId="08591D6C" w:rsidR="00547D87" w:rsidRPr="009D4627" w:rsidRDefault="00547D87" w:rsidP="00CC31A9">
            <w:pPr>
              <w:pStyle w:val="ListParagraph"/>
              <w:numPr>
                <w:ilvl w:val="0"/>
                <w:numId w:val="20"/>
              </w:numPr>
              <w:spacing w:before="0" w:after="0" w:line="240" w:lineRule="auto"/>
              <w:ind w:left="182" w:hanging="218"/>
              <w:jc w:val="left"/>
              <w:rPr>
                <w:sz w:val="20"/>
                <w:szCs w:val="20"/>
              </w:rPr>
            </w:pPr>
            <w:r w:rsidRPr="009D4627">
              <w:rPr>
                <w:sz w:val="20"/>
                <w:szCs w:val="20"/>
              </w:rPr>
              <w:t xml:space="preserve">Y group </w:t>
            </w:r>
            <w:r w:rsidR="007E5281" w:rsidRPr="009D4627">
              <w:rPr>
                <w:sz w:val="20"/>
                <w:szCs w:val="20"/>
              </w:rPr>
              <w:t xml:space="preserve">had </w:t>
            </w:r>
            <w:r w:rsidRPr="009D4627">
              <w:rPr>
                <w:sz w:val="20"/>
                <w:szCs w:val="20"/>
              </w:rPr>
              <w:t>significantly faster upward saccades than downward.</w:t>
            </w:r>
          </w:p>
          <w:p w14:paraId="1B7F0BE9" w14:textId="4BC84830" w:rsidR="00547D87" w:rsidRPr="009D4627" w:rsidRDefault="00AE6F60" w:rsidP="00CC31A9">
            <w:pPr>
              <w:pStyle w:val="ListParagraph"/>
              <w:numPr>
                <w:ilvl w:val="0"/>
                <w:numId w:val="20"/>
              </w:numPr>
              <w:spacing w:before="0" w:after="0" w:line="240" w:lineRule="auto"/>
              <w:ind w:left="182" w:hanging="218"/>
              <w:jc w:val="left"/>
              <w:rPr>
                <w:sz w:val="20"/>
                <w:szCs w:val="20"/>
              </w:rPr>
            </w:pPr>
            <w:r w:rsidRPr="009D4627">
              <w:rPr>
                <w:sz w:val="20"/>
                <w:szCs w:val="20"/>
              </w:rPr>
              <w:t>The s</w:t>
            </w:r>
            <w:r w:rsidR="00944720" w:rsidRPr="009D4627">
              <w:rPr>
                <w:sz w:val="20"/>
                <w:szCs w:val="20"/>
              </w:rPr>
              <w:t>accadic</w:t>
            </w:r>
            <w:r w:rsidR="00547D87" w:rsidRPr="009D4627">
              <w:rPr>
                <w:sz w:val="20"/>
                <w:szCs w:val="20"/>
              </w:rPr>
              <w:t xml:space="preserve"> gain was significantly reduced</w:t>
            </w:r>
            <w:r w:rsidR="00170AFE" w:rsidRPr="009D4627">
              <w:rPr>
                <w:sz w:val="20"/>
                <w:szCs w:val="20"/>
              </w:rPr>
              <w:t xml:space="preserve"> and </w:t>
            </w:r>
            <w:r w:rsidR="00944720" w:rsidRPr="009D4627">
              <w:rPr>
                <w:sz w:val="20"/>
                <w:szCs w:val="20"/>
              </w:rPr>
              <w:t>saccadic</w:t>
            </w:r>
            <w:r w:rsidR="00170AFE" w:rsidRPr="009D4627">
              <w:rPr>
                <w:sz w:val="20"/>
                <w:szCs w:val="20"/>
              </w:rPr>
              <w:t xml:space="preserve"> latency was significantly prolonged</w:t>
            </w:r>
            <w:r w:rsidR="00547D87" w:rsidRPr="009D4627">
              <w:rPr>
                <w:sz w:val="20"/>
                <w:szCs w:val="20"/>
              </w:rPr>
              <w:t xml:space="preserve"> </w:t>
            </w:r>
            <w:r w:rsidR="00170AFE" w:rsidRPr="009D4627">
              <w:rPr>
                <w:sz w:val="20"/>
                <w:szCs w:val="20"/>
              </w:rPr>
              <w:t xml:space="preserve">in </w:t>
            </w:r>
            <w:r w:rsidRPr="009D4627">
              <w:rPr>
                <w:sz w:val="20"/>
                <w:szCs w:val="20"/>
              </w:rPr>
              <w:t xml:space="preserve">the </w:t>
            </w:r>
            <w:r w:rsidR="00170AFE" w:rsidRPr="009D4627">
              <w:rPr>
                <w:sz w:val="20"/>
                <w:szCs w:val="20"/>
              </w:rPr>
              <w:t>O group</w:t>
            </w:r>
            <w:r w:rsidR="00547D87" w:rsidRPr="009D4627">
              <w:rPr>
                <w:sz w:val="20"/>
                <w:szCs w:val="20"/>
              </w:rPr>
              <w:t xml:space="preserve">. </w:t>
            </w:r>
          </w:p>
        </w:tc>
      </w:tr>
      <w:tr w:rsidR="00547D87" w:rsidRPr="009D4627" w14:paraId="5C5CA0D0" w14:textId="77777777" w:rsidTr="00067115">
        <w:tc>
          <w:tcPr>
            <w:tcW w:w="1255" w:type="dxa"/>
          </w:tcPr>
          <w:p w14:paraId="26D83B98" w14:textId="77777777" w:rsidR="00547D87" w:rsidRPr="009D4627" w:rsidRDefault="00547D87" w:rsidP="00CC31A9">
            <w:pPr>
              <w:spacing w:before="0" w:after="0" w:line="240" w:lineRule="auto"/>
              <w:rPr>
                <w:sz w:val="20"/>
                <w:szCs w:val="20"/>
              </w:rPr>
            </w:pPr>
            <w:r w:rsidRPr="009D4627">
              <w:rPr>
                <w:sz w:val="20"/>
                <w:szCs w:val="20"/>
              </w:rPr>
              <w:t>Wilson et al. (1993)</w:t>
            </w:r>
          </w:p>
        </w:tc>
        <w:tc>
          <w:tcPr>
            <w:tcW w:w="2430" w:type="dxa"/>
          </w:tcPr>
          <w:p w14:paraId="50730890" w14:textId="77777777" w:rsidR="00547D87" w:rsidRPr="009D4627" w:rsidRDefault="00547D87" w:rsidP="00CC31A9">
            <w:pPr>
              <w:spacing w:before="0" w:after="0" w:line="240" w:lineRule="auto"/>
              <w:jc w:val="left"/>
              <w:rPr>
                <w:sz w:val="20"/>
                <w:szCs w:val="20"/>
              </w:rPr>
            </w:pPr>
            <w:r w:rsidRPr="009D4627">
              <w:rPr>
                <w:sz w:val="20"/>
                <w:szCs w:val="20"/>
              </w:rPr>
              <w:t>122 normal adults, aged 16-72 (mean age=36.7)</w:t>
            </w:r>
          </w:p>
        </w:tc>
        <w:tc>
          <w:tcPr>
            <w:tcW w:w="1130" w:type="dxa"/>
          </w:tcPr>
          <w:p w14:paraId="681C6E0D" w14:textId="77777777" w:rsidR="00547D87" w:rsidRPr="009D4627" w:rsidRDefault="00547D87" w:rsidP="00CC31A9">
            <w:pPr>
              <w:spacing w:before="0" w:after="0" w:line="240" w:lineRule="auto"/>
              <w:rPr>
                <w:sz w:val="20"/>
                <w:szCs w:val="20"/>
              </w:rPr>
            </w:pPr>
            <w:r w:rsidRPr="009D4627">
              <w:rPr>
                <w:sz w:val="20"/>
                <w:szCs w:val="20"/>
              </w:rPr>
              <w:t>EOG</w:t>
            </w:r>
          </w:p>
        </w:tc>
        <w:tc>
          <w:tcPr>
            <w:tcW w:w="2551" w:type="dxa"/>
          </w:tcPr>
          <w:p w14:paraId="25B6DE96" w14:textId="6179D03F"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 xml:space="preserve">LED presented </w:t>
            </w:r>
            <w:r w:rsidR="00CA5C71" w:rsidRPr="009D4627">
              <w:rPr>
                <w:sz w:val="20"/>
                <w:szCs w:val="20"/>
              </w:rPr>
              <w:t>at</w:t>
            </w:r>
            <w:r w:rsidRPr="009D4627">
              <w:rPr>
                <w:sz w:val="20"/>
                <w:szCs w:val="20"/>
              </w:rPr>
              <w:t xml:space="preserve"> 1.5 s intervals starting from the largest amplitude (40°) </w:t>
            </w:r>
            <w:r w:rsidR="00CA5C71" w:rsidRPr="009D4627">
              <w:rPr>
                <w:sz w:val="20"/>
                <w:szCs w:val="20"/>
              </w:rPr>
              <w:t xml:space="preserve">then </w:t>
            </w:r>
            <w:r w:rsidRPr="009D4627">
              <w:rPr>
                <w:sz w:val="20"/>
                <w:szCs w:val="20"/>
              </w:rPr>
              <w:t xml:space="preserve">gradually reducing </w:t>
            </w:r>
            <w:r w:rsidRPr="009D4627">
              <w:rPr>
                <w:sz w:val="20"/>
                <w:szCs w:val="20"/>
              </w:rPr>
              <w:lastRenderedPageBreak/>
              <w:t>amplitude</w:t>
            </w:r>
            <w:r w:rsidR="00CA5C71" w:rsidRPr="009D4627">
              <w:rPr>
                <w:sz w:val="20"/>
                <w:szCs w:val="20"/>
              </w:rPr>
              <w:t xml:space="preserve">s </w:t>
            </w:r>
            <w:r w:rsidRPr="009D4627">
              <w:rPr>
                <w:sz w:val="20"/>
                <w:szCs w:val="20"/>
              </w:rPr>
              <w:t>(35°, 30°, 25°, 20° and 15°).</w:t>
            </w:r>
          </w:p>
          <w:p w14:paraId="7385EF9D" w14:textId="77777777" w:rsidR="00547D87" w:rsidRPr="009D4627" w:rsidRDefault="00547D87" w:rsidP="00CC31A9">
            <w:pPr>
              <w:pStyle w:val="ListParagraph"/>
              <w:spacing w:before="0" w:after="0" w:line="240" w:lineRule="auto"/>
              <w:ind w:left="181" w:hanging="181"/>
              <w:jc w:val="left"/>
              <w:rPr>
                <w:sz w:val="20"/>
                <w:szCs w:val="20"/>
              </w:rPr>
            </w:pPr>
          </w:p>
        </w:tc>
        <w:tc>
          <w:tcPr>
            <w:tcW w:w="1418" w:type="dxa"/>
          </w:tcPr>
          <w:p w14:paraId="7446530B" w14:textId="77777777" w:rsidR="00547D87" w:rsidRPr="009D4627" w:rsidRDefault="00547D87" w:rsidP="00CC31A9">
            <w:pPr>
              <w:spacing w:before="0" w:after="0" w:line="240" w:lineRule="auto"/>
              <w:jc w:val="left"/>
              <w:rPr>
                <w:sz w:val="20"/>
                <w:szCs w:val="20"/>
              </w:rPr>
            </w:pPr>
            <w:r w:rsidRPr="009D4627">
              <w:rPr>
                <w:sz w:val="20"/>
                <w:szCs w:val="20"/>
              </w:rPr>
              <w:lastRenderedPageBreak/>
              <w:t>Horizontal</w:t>
            </w:r>
          </w:p>
          <w:p w14:paraId="48ECB452" w14:textId="77777777" w:rsidR="00547D87" w:rsidRPr="009D4627" w:rsidRDefault="00547D87" w:rsidP="00CC31A9">
            <w:pPr>
              <w:pStyle w:val="ListParagraph"/>
              <w:numPr>
                <w:ilvl w:val="0"/>
                <w:numId w:val="22"/>
              </w:numPr>
              <w:spacing w:before="0" w:after="0" w:line="240" w:lineRule="auto"/>
              <w:ind w:left="171" w:hanging="218"/>
              <w:jc w:val="left"/>
              <w:rPr>
                <w:sz w:val="20"/>
                <w:szCs w:val="20"/>
              </w:rPr>
            </w:pPr>
            <w:r w:rsidRPr="009D4627">
              <w:rPr>
                <w:sz w:val="20"/>
                <w:szCs w:val="20"/>
              </w:rPr>
              <w:t>Peak velocity</w:t>
            </w:r>
          </w:p>
          <w:p w14:paraId="3BCE9A36" w14:textId="77777777" w:rsidR="00547D87" w:rsidRPr="009D4627" w:rsidRDefault="00547D87" w:rsidP="00CC31A9">
            <w:pPr>
              <w:pStyle w:val="ListParagraph"/>
              <w:numPr>
                <w:ilvl w:val="0"/>
                <w:numId w:val="22"/>
              </w:numPr>
              <w:spacing w:before="0" w:after="0" w:line="240" w:lineRule="auto"/>
              <w:ind w:left="171" w:hanging="218"/>
              <w:jc w:val="left"/>
              <w:rPr>
                <w:sz w:val="20"/>
                <w:szCs w:val="20"/>
              </w:rPr>
            </w:pPr>
            <w:r w:rsidRPr="009D4627">
              <w:rPr>
                <w:sz w:val="20"/>
                <w:szCs w:val="20"/>
              </w:rPr>
              <w:t>Latency</w:t>
            </w:r>
          </w:p>
          <w:p w14:paraId="7FFEDD15" w14:textId="77777777" w:rsidR="00547D87" w:rsidRPr="009D4627" w:rsidRDefault="00547D87" w:rsidP="00CC31A9">
            <w:pPr>
              <w:pStyle w:val="ListParagraph"/>
              <w:numPr>
                <w:ilvl w:val="0"/>
                <w:numId w:val="22"/>
              </w:numPr>
              <w:spacing w:before="0" w:after="0" w:line="240" w:lineRule="auto"/>
              <w:ind w:left="171" w:hanging="218"/>
              <w:jc w:val="left"/>
              <w:rPr>
                <w:sz w:val="20"/>
                <w:szCs w:val="20"/>
              </w:rPr>
            </w:pPr>
            <w:r w:rsidRPr="009D4627">
              <w:rPr>
                <w:sz w:val="20"/>
                <w:szCs w:val="20"/>
              </w:rPr>
              <w:t>Gain</w:t>
            </w:r>
          </w:p>
        </w:tc>
        <w:tc>
          <w:tcPr>
            <w:tcW w:w="5251" w:type="dxa"/>
          </w:tcPr>
          <w:p w14:paraId="6F747C2A" w14:textId="77777777"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Peak velocity significantly increased at larger amplitudes, but accuracy and latency remain consistent.</w:t>
            </w:r>
          </w:p>
          <w:p w14:paraId="62CC5C1B" w14:textId="3E754C4D" w:rsidR="00547D87" w:rsidRPr="009D4627" w:rsidRDefault="00AE6F60" w:rsidP="00CC31A9">
            <w:pPr>
              <w:pStyle w:val="ListParagraph"/>
              <w:numPr>
                <w:ilvl w:val="0"/>
                <w:numId w:val="19"/>
              </w:numPr>
              <w:spacing w:before="0" w:after="0" w:line="240" w:lineRule="auto"/>
              <w:ind w:left="182" w:hanging="218"/>
              <w:jc w:val="left"/>
              <w:rPr>
                <w:sz w:val="20"/>
                <w:szCs w:val="20"/>
              </w:rPr>
            </w:pPr>
            <w:r w:rsidRPr="009D4627">
              <w:rPr>
                <w:sz w:val="20"/>
                <w:szCs w:val="20"/>
              </w:rPr>
              <w:t>The p</w:t>
            </w:r>
            <w:r w:rsidR="00547D87" w:rsidRPr="009D4627">
              <w:rPr>
                <w:sz w:val="20"/>
                <w:szCs w:val="20"/>
              </w:rPr>
              <w:t xml:space="preserve">eak velocity of O people </w:t>
            </w:r>
            <w:r w:rsidRPr="009D4627">
              <w:rPr>
                <w:sz w:val="20"/>
                <w:szCs w:val="20"/>
              </w:rPr>
              <w:t>was</w:t>
            </w:r>
            <w:r w:rsidR="00547D87" w:rsidRPr="009D4627">
              <w:rPr>
                <w:sz w:val="20"/>
                <w:szCs w:val="20"/>
              </w:rPr>
              <w:t xml:space="preserve"> slower at larger </w:t>
            </w:r>
            <w:r w:rsidR="00944720" w:rsidRPr="009D4627">
              <w:rPr>
                <w:sz w:val="20"/>
                <w:szCs w:val="20"/>
              </w:rPr>
              <w:t>saccadic</w:t>
            </w:r>
            <w:r w:rsidR="00547D87" w:rsidRPr="009D4627">
              <w:rPr>
                <w:sz w:val="20"/>
                <w:szCs w:val="20"/>
              </w:rPr>
              <w:t xml:space="preserve"> amplitudes.</w:t>
            </w:r>
          </w:p>
          <w:p w14:paraId="54F65398" w14:textId="77777777"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Peak velocity for O participants recorded at:</w:t>
            </w:r>
          </w:p>
          <w:p w14:paraId="08F1DB9E" w14:textId="77777777" w:rsidR="00547D87" w:rsidRPr="009D4627" w:rsidRDefault="00547D87" w:rsidP="00CC31A9">
            <w:pPr>
              <w:pStyle w:val="ListParagraph"/>
              <w:numPr>
                <w:ilvl w:val="0"/>
                <w:numId w:val="23"/>
              </w:numPr>
              <w:spacing w:before="0" w:after="0" w:line="240" w:lineRule="auto"/>
              <w:ind w:left="466" w:hanging="218"/>
              <w:jc w:val="left"/>
              <w:rPr>
                <w:sz w:val="20"/>
                <w:szCs w:val="20"/>
              </w:rPr>
            </w:pPr>
            <w:r w:rsidRPr="009D4627">
              <w:rPr>
                <w:sz w:val="20"/>
                <w:szCs w:val="20"/>
              </w:rPr>
              <w:lastRenderedPageBreak/>
              <w:t>15 ° = 300-350 °/sec</w:t>
            </w:r>
          </w:p>
          <w:p w14:paraId="4182F75E" w14:textId="77777777" w:rsidR="00547D87" w:rsidRPr="009D4627" w:rsidRDefault="00547D87" w:rsidP="00CC31A9">
            <w:pPr>
              <w:pStyle w:val="ListParagraph"/>
              <w:numPr>
                <w:ilvl w:val="0"/>
                <w:numId w:val="23"/>
              </w:numPr>
              <w:spacing w:before="0" w:after="0" w:line="240" w:lineRule="auto"/>
              <w:ind w:left="466" w:hanging="218"/>
              <w:jc w:val="left"/>
              <w:rPr>
                <w:sz w:val="20"/>
                <w:szCs w:val="20"/>
              </w:rPr>
            </w:pPr>
            <w:r w:rsidRPr="009D4627">
              <w:rPr>
                <w:sz w:val="20"/>
                <w:szCs w:val="20"/>
              </w:rPr>
              <w:t>25 ° = 425-475 °/sec</w:t>
            </w:r>
          </w:p>
          <w:p w14:paraId="5858A91D" w14:textId="77777777" w:rsidR="00547D87" w:rsidRPr="009D4627" w:rsidRDefault="00547D87" w:rsidP="00CC31A9">
            <w:pPr>
              <w:pStyle w:val="ListParagraph"/>
              <w:numPr>
                <w:ilvl w:val="0"/>
                <w:numId w:val="23"/>
              </w:numPr>
              <w:spacing w:before="0" w:after="0" w:line="240" w:lineRule="auto"/>
              <w:ind w:left="466" w:hanging="218"/>
              <w:jc w:val="left"/>
              <w:rPr>
                <w:sz w:val="20"/>
                <w:szCs w:val="20"/>
              </w:rPr>
            </w:pPr>
            <w:r w:rsidRPr="009D4627">
              <w:rPr>
                <w:sz w:val="20"/>
                <w:szCs w:val="20"/>
              </w:rPr>
              <w:t>35 ° = 475-525 °/sec</w:t>
            </w:r>
          </w:p>
        </w:tc>
      </w:tr>
      <w:tr w:rsidR="00547D87" w:rsidRPr="009D4627" w14:paraId="07809831" w14:textId="77777777" w:rsidTr="00067115">
        <w:tc>
          <w:tcPr>
            <w:tcW w:w="1255" w:type="dxa"/>
          </w:tcPr>
          <w:p w14:paraId="68923F40" w14:textId="77777777" w:rsidR="00547D87" w:rsidRPr="009D4627" w:rsidRDefault="00547D87" w:rsidP="00CC31A9">
            <w:pPr>
              <w:spacing w:before="0" w:after="0" w:line="240" w:lineRule="auto"/>
              <w:rPr>
                <w:sz w:val="20"/>
                <w:szCs w:val="20"/>
              </w:rPr>
            </w:pPr>
            <w:r w:rsidRPr="009D4627">
              <w:rPr>
                <w:sz w:val="20"/>
                <w:szCs w:val="20"/>
              </w:rPr>
              <w:t xml:space="preserve">Yang and </w:t>
            </w:r>
            <w:proofErr w:type="spellStart"/>
            <w:r w:rsidRPr="009D4627">
              <w:rPr>
                <w:sz w:val="20"/>
                <w:szCs w:val="20"/>
              </w:rPr>
              <w:t>Kapoula</w:t>
            </w:r>
            <w:proofErr w:type="spellEnd"/>
            <w:r w:rsidRPr="009D4627">
              <w:rPr>
                <w:sz w:val="20"/>
                <w:szCs w:val="20"/>
              </w:rPr>
              <w:t xml:space="preserve"> (2006)</w:t>
            </w:r>
          </w:p>
        </w:tc>
        <w:tc>
          <w:tcPr>
            <w:tcW w:w="2430" w:type="dxa"/>
          </w:tcPr>
          <w:p w14:paraId="4D916579" w14:textId="77777777" w:rsidR="00547D87" w:rsidRPr="009D4627" w:rsidRDefault="00547D87" w:rsidP="00CC31A9">
            <w:pPr>
              <w:pStyle w:val="ListParagraph"/>
              <w:numPr>
                <w:ilvl w:val="0"/>
                <w:numId w:val="27"/>
              </w:numPr>
              <w:spacing w:before="0" w:after="0" w:line="240" w:lineRule="auto"/>
              <w:ind w:left="188" w:hanging="219"/>
              <w:jc w:val="left"/>
              <w:rPr>
                <w:sz w:val="20"/>
                <w:szCs w:val="20"/>
              </w:rPr>
            </w:pPr>
            <w:r w:rsidRPr="009D4627">
              <w:rPr>
                <w:sz w:val="20"/>
                <w:szCs w:val="20"/>
              </w:rPr>
              <w:t>11 Y, aged 20-28 (mean=23 ± 2)</w:t>
            </w:r>
          </w:p>
          <w:p w14:paraId="5DEEAA06" w14:textId="77777777" w:rsidR="00547D87" w:rsidRPr="009D4627" w:rsidRDefault="00547D87" w:rsidP="00CC31A9">
            <w:pPr>
              <w:pStyle w:val="ListParagraph"/>
              <w:numPr>
                <w:ilvl w:val="0"/>
                <w:numId w:val="27"/>
              </w:numPr>
              <w:spacing w:before="0" w:after="0" w:line="240" w:lineRule="auto"/>
              <w:ind w:left="188" w:hanging="219"/>
              <w:jc w:val="left"/>
              <w:rPr>
                <w:sz w:val="20"/>
                <w:szCs w:val="20"/>
              </w:rPr>
            </w:pPr>
            <w:r w:rsidRPr="009D4627">
              <w:rPr>
                <w:sz w:val="20"/>
                <w:szCs w:val="20"/>
              </w:rPr>
              <w:t xml:space="preserve">11 O, aged 63-83 (mean=70 ± 8) </w:t>
            </w:r>
          </w:p>
          <w:p w14:paraId="27FD8491" w14:textId="77777777" w:rsidR="00547D87" w:rsidRPr="009D4627" w:rsidRDefault="00547D87" w:rsidP="00CC31A9">
            <w:pPr>
              <w:spacing w:before="0" w:after="0" w:line="240" w:lineRule="auto"/>
              <w:jc w:val="left"/>
              <w:rPr>
                <w:sz w:val="20"/>
                <w:szCs w:val="20"/>
              </w:rPr>
            </w:pPr>
          </w:p>
        </w:tc>
        <w:tc>
          <w:tcPr>
            <w:tcW w:w="1130" w:type="dxa"/>
          </w:tcPr>
          <w:p w14:paraId="43D38717" w14:textId="77777777" w:rsidR="00547D87" w:rsidRPr="009D4627" w:rsidRDefault="00547D87" w:rsidP="00CC31A9">
            <w:pPr>
              <w:spacing w:before="0" w:after="0" w:line="240" w:lineRule="auto"/>
              <w:rPr>
                <w:sz w:val="20"/>
                <w:szCs w:val="20"/>
              </w:rPr>
            </w:pPr>
            <w:r w:rsidRPr="009D4627">
              <w:rPr>
                <w:sz w:val="20"/>
                <w:szCs w:val="20"/>
              </w:rPr>
              <w:t>Video-based system</w:t>
            </w:r>
          </w:p>
        </w:tc>
        <w:tc>
          <w:tcPr>
            <w:tcW w:w="2551" w:type="dxa"/>
          </w:tcPr>
          <w:p w14:paraId="24F26416" w14:textId="77777777"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5 LEDs (</w:t>
            </w:r>
            <w:proofErr w:type="spellStart"/>
            <w:r w:rsidRPr="009D4627">
              <w:rPr>
                <w:sz w:val="20"/>
                <w:szCs w:val="20"/>
              </w:rPr>
              <w:t>centre</w:t>
            </w:r>
            <w:proofErr w:type="spellEnd"/>
            <w:r w:rsidRPr="009D4627">
              <w:rPr>
                <w:sz w:val="20"/>
                <w:szCs w:val="20"/>
              </w:rPr>
              <w:t>, ±7.5° and ±15° vertically)</w:t>
            </w:r>
          </w:p>
          <w:p w14:paraId="01F65499" w14:textId="4F5EC512"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Random inter-</w:t>
            </w:r>
            <w:r w:rsidR="00F57D01" w:rsidRPr="009D4627">
              <w:rPr>
                <w:sz w:val="20"/>
                <w:szCs w:val="20"/>
              </w:rPr>
              <w:t>target</w:t>
            </w:r>
            <w:r w:rsidRPr="009D4627">
              <w:rPr>
                <w:sz w:val="20"/>
                <w:szCs w:val="20"/>
              </w:rPr>
              <w:t xml:space="preserve"> interval and order</w:t>
            </w:r>
          </w:p>
          <w:p w14:paraId="62181253" w14:textId="77777777" w:rsidR="00547D87" w:rsidRPr="009D4627" w:rsidRDefault="00547D87" w:rsidP="00CC31A9">
            <w:pPr>
              <w:spacing w:before="0" w:after="0" w:line="240" w:lineRule="auto"/>
              <w:ind w:left="181" w:hanging="181"/>
              <w:jc w:val="left"/>
              <w:rPr>
                <w:sz w:val="20"/>
                <w:szCs w:val="20"/>
              </w:rPr>
            </w:pPr>
          </w:p>
        </w:tc>
        <w:tc>
          <w:tcPr>
            <w:tcW w:w="1418" w:type="dxa"/>
          </w:tcPr>
          <w:p w14:paraId="5083E274" w14:textId="77777777" w:rsidR="00547D87" w:rsidRPr="009D4627" w:rsidRDefault="00547D87" w:rsidP="00CC31A9">
            <w:pPr>
              <w:spacing w:before="0" w:after="0" w:line="240" w:lineRule="auto"/>
              <w:jc w:val="left"/>
              <w:rPr>
                <w:sz w:val="20"/>
                <w:szCs w:val="20"/>
              </w:rPr>
            </w:pPr>
            <w:r w:rsidRPr="009D4627">
              <w:rPr>
                <w:sz w:val="20"/>
                <w:szCs w:val="20"/>
              </w:rPr>
              <w:t>Vertical</w:t>
            </w:r>
          </w:p>
          <w:p w14:paraId="6E9366FC" w14:textId="77777777" w:rsidR="00547D87" w:rsidRPr="009D4627" w:rsidRDefault="00547D87" w:rsidP="00CC31A9">
            <w:pPr>
              <w:pStyle w:val="ListParagraph"/>
              <w:numPr>
                <w:ilvl w:val="0"/>
                <w:numId w:val="28"/>
              </w:numPr>
              <w:spacing w:before="0" w:after="0" w:line="240" w:lineRule="auto"/>
              <w:ind w:left="171" w:hanging="218"/>
              <w:jc w:val="left"/>
              <w:rPr>
                <w:sz w:val="20"/>
                <w:szCs w:val="20"/>
              </w:rPr>
            </w:pPr>
            <w:r w:rsidRPr="009D4627">
              <w:rPr>
                <w:sz w:val="20"/>
                <w:szCs w:val="20"/>
              </w:rPr>
              <w:t>Latency</w:t>
            </w:r>
          </w:p>
          <w:p w14:paraId="27E2D280" w14:textId="77777777" w:rsidR="00547D87" w:rsidRPr="009D4627" w:rsidRDefault="00547D87" w:rsidP="00CC31A9">
            <w:pPr>
              <w:pStyle w:val="ListParagraph"/>
              <w:numPr>
                <w:ilvl w:val="0"/>
                <w:numId w:val="28"/>
              </w:numPr>
              <w:spacing w:before="0" w:after="0" w:line="240" w:lineRule="auto"/>
              <w:ind w:left="171" w:hanging="218"/>
              <w:jc w:val="left"/>
              <w:rPr>
                <w:sz w:val="20"/>
                <w:szCs w:val="20"/>
              </w:rPr>
            </w:pPr>
            <w:r w:rsidRPr="009D4627">
              <w:rPr>
                <w:sz w:val="20"/>
                <w:szCs w:val="20"/>
              </w:rPr>
              <w:t>Gain</w:t>
            </w:r>
          </w:p>
        </w:tc>
        <w:tc>
          <w:tcPr>
            <w:tcW w:w="5251" w:type="dxa"/>
          </w:tcPr>
          <w:p w14:paraId="43B24334" w14:textId="41619101"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Vertical </w:t>
            </w:r>
            <w:r w:rsidRPr="009D4627">
              <w:rPr>
                <w:b/>
                <w:bCs/>
                <w:sz w:val="20"/>
                <w:szCs w:val="20"/>
              </w:rPr>
              <w:t>latency was significantly longer in O</w:t>
            </w:r>
            <w:r w:rsidRPr="009D4627">
              <w:rPr>
                <w:sz w:val="20"/>
                <w:szCs w:val="20"/>
              </w:rPr>
              <w:t xml:space="preserve"> compared </w:t>
            </w:r>
            <w:r w:rsidR="00170AFE" w:rsidRPr="009D4627">
              <w:rPr>
                <w:sz w:val="20"/>
                <w:szCs w:val="20"/>
              </w:rPr>
              <w:t>with</w:t>
            </w:r>
            <w:r w:rsidRPr="009D4627">
              <w:rPr>
                <w:sz w:val="20"/>
                <w:szCs w:val="20"/>
              </w:rPr>
              <w:t xml:space="preserve"> Y adults. However, the gain was not affected by ageing.</w:t>
            </w:r>
          </w:p>
          <w:p w14:paraId="28C8FF67" w14:textId="77777777" w:rsidR="00547D87" w:rsidRPr="009D4627" w:rsidRDefault="00547D87" w:rsidP="00CC31A9">
            <w:pPr>
              <w:pStyle w:val="ListParagraph"/>
              <w:numPr>
                <w:ilvl w:val="0"/>
                <w:numId w:val="29"/>
              </w:numPr>
              <w:spacing w:before="0" w:after="0" w:line="240" w:lineRule="auto"/>
              <w:ind w:left="466" w:hanging="218"/>
              <w:jc w:val="left"/>
              <w:rPr>
                <w:sz w:val="20"/>
                <w:szCs w:val="20"/>
              </w:rPr>
            </w:pPr>
            <w:r w:rsidRPr="009D4627">
              <w:rPr>
                <w:sz w:val="20"/>
                <w:szCs w:val="20"/>
              </w:rPr>
              <w:t>Y = 1.008 ± 0.007</w:t>
            </w:r>
          </w:p>
          <w:p w14:paraId="41FAE045" w14:textId="77777777" w:rsidR="00547D87" w:rsidRPr="009D4627" w:rsidRDefault="00547D87" w:rsidP="00CC31A9">
            <w:pPr>
              <w:pStyle w:val="ListParagraph"/>
              <w:numPr>
                <w:ilvl w:val="0"/>
                <w:numId w:val="29"/>
              </w:numPr>
              <w:spacing w:before="0" w:after="0" w:line="240" w:lineRule="auto"/>
              <w:ind w:left="466" w:hanging="218"/>
              <w:jc w:val="left"/>
              <w:rPr>
                <w:sz w:val="20"/>
                <w:szCs w:val="20"/>
              </w:rPr>
            </w:pPr>
            <w:r w:rsidRPr="009D4627">
              <w:rPr>
                <w:sz w:val="20"/>
                <w:szCs w:val="20"/>
              </w:rPr>
              <w:t>O = 0.984 ± 0.07</w:t>
            </w:r>
          </w:p>
          <w:p w14:paraId="507A8657" w14:textId="34FCEC8E"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O can produce accurate saccades with </w:t>
            </w:r>
            <w:r w:rsidR="00AE6F60" w:rsidRPr="009D4627">
              <w:rPr>
                <w:sz w:val="20"/>
                <w:szCs w:val="20"/>
              </w:rPr>
              <w:t xml:space="preserve">a </w:t>
            </w:r>
            <w:r w:rsidRPr="009D4627">
              <w:rPr>
                <w:sz w:val="20"/>
                <w:szCs w:val="20"/>
              </w:rPr>
              <w:t>longer preparation time (latency).</w:t>
            </w:r>
          </w:p>
        </w:tc>
      </w:tr>
      <w:tr w:rsidR="00547D87" w:rsidRPr="009D4627" w14:paraId="61CD63C8" w14:textId="77777777" w:rsidTr="00067115">
        <w:tc>
          <w:tcPr>
            <w:tcW w:w="1255" w:type="dxa"/>
          </w:tcPr>
          <w:p w14:paraId="6B5B4872" w14:textId="77777777" w:rsidR="00547D87" w:rsidRPr="009D4627" w:rsidRDefault="00547D87" w:rsidP="00CC31A9">
            <w:pPr>
              <w:spacing w:before="0" w:after="0" w:line="240" w:lineRule="auto"/>
              <w:rPr>
                <w:sz w:val="20"/>
                <w:szCs w:val="20"/>
              </w:rPr>
            </w:pPr>
            <w:r w:rsidRPr="009D4627">
              <w:rPr>
                <w:sz w:val="20"/>
                <w:szCs w:val="20"/>
              </w:rPr>
              <w:t>Bonnet et al. (2013)</w:t>
            </w:r>
          </w:p>
        </w:tc>
        <w:tc>
          <w:tcPr>
            <w:tcW w:w="2430" w:type="dxa"/>
          </w:tcPr>
          <w:p w14:paraId="27F7238B" w14:textId="77777777" w:rsidR="00547D87" w:rsidRPr="009D4627" w:rsidRDefault="00547D87" w:rsidP="00CC31A9">
            <w:pPr>
              <w:spacing w:before="0" w:after="0" w:line="240" w:lineRule="auto"/>
              <w:jc w:val="left"/>
              <w:rPr>
                <w:sz w:val="20"/>
                <w:szCs w:val="20"/>
              </w:rPr>
            </w:pPr>
            <w:r w:rsidRPr="009D4627">
              <w:rPr>
                <w:sz w:val="20"/>
                <w:szCs w:val="20"/>
              </w:rPr>
              <w:t>145 normal, aged 19-82 (mean age=47.48 ± 18.17).</w:t>
            </w:r>
          </w:p>
          <w:p w14:paraId="4F1B5526" w14:textId="77777777" w:rsidR="00547D87" w:rsidRPr="009D4627" w:rsidRDefault="00547D87" w:rsidP="00CC31A9">
            <w:pPr>
              <w:spacing w:before="0" w:after="0" w:line="240" w:lineRule="auto"/>
              <w:jc w:val="left"/>
              <w:rPr>
                <w:sz w:val="20"/>
                <w:szCs w:val="20"/>
              </w:rPr>
            </w:pPr>
            <w:r w:rsidRPr="009D4627">
              <w:rPr>
                <w:sz w:val="20"/>
                <w:szCs w:val="20"/>
              </w:rPr>
              <w:t>Further divided into 6 age group by decades</w:t>
            </w:r>
          </w:p>
          <w:p w14:paraId="669E81D9" w14:textId="77777777" w:rsidR="00547D87" w:rsidRPr="009D4627" w:rsidRDefault="00547D87" w:rsidP="00CC31A9">
            <w:pPr>
              <w:spacing w:before="0" w:after="0" w:line="240" w:lineRule="auto"/>
              <w:jc w:val="left"/>
              <w:rPr>
                <w:sz w:val="20"/>
                <w:szCs w:val="20"/>
              </w:rPr>
            </w:pPr>
            <w:r w:rsidRPr="009D4627">
              <w:rPr>
                <w:sz w:val="20"/>
                <w:szCs w:val="20"/>
              </w:rPr>
              <w:t>(19-29, 30-39, 40-49, 50-59, 60-69 and 70-82)</w:t>
            </w:r>
          </w:p>
        </w:tc>
        <w:tc>
          <w:tcPr>
            <w:tcW w:w="1130" w:type="dxa"/>
          </w:tcPr>
          <w:p w14:paraId="69E84303" w14:textId="77777777" w:rsidR="00547D87" w:rsidRPr="009D4627" w:rsidRDefault="00547D87" w:rsidP="00CC31A9">
            <w:pPr>
              <w:spacing w:before="0" w:after="0" w:line="240" w:lineRule="auto"/>
              <w:rPr>
                <w:sz w:val="20"/>
                <w:szCs w:val="20"/>
              </w:rPr>
            </w:pPr>
            <w:r w:rsidRPr="009D4627">
              <w:rPr>
                <w:sz w:val="20"/>
                <w:szCs w:val="20"/>
              </w:rPr>
              <w:t>Video-based system</w:t>
            </w:r>
          </w:p>
        </w:tc>
        <w:tc>
          <w:tcPr>
            <w:tcW w:w="2551" w:type="dxa"/>
          </w:tcPr>
          <w:p w14:paraId="0E5FBA7C" w14:textId="07F04608" w:rsidR="00547D87" w:rsidRPr="009D4627" w:rsidRDefault="00547D87" w:rsidP="00CC31A9">
            <w:pPr>
              <w:pStyle w:val="ListParagraph"/>
              <w:numPr>
                <w:ilvl w:val="0"/>
                <w:numId w:val="19"/>
              </w:numPr>
              <w:spacing w:before="0" w:after="0" w:line="240" w:lineRule="auto"/>
              <w:ind w:left="181" w:hanging="181"/>
              <w:jc w:val="left"/>
              <w:rPr>
                <w:sz w:val="20"/>
                <w:szCs w:val="20"/>
              </w:rPr>
            </w:pPr>
            <w:r w:rsidRPr="009D4627">
              <w:rPr>
                <w:sz w:val="20"/>
                <w:szCs w:val="20"/>
              </w:rPr>
              <w:t>5 LEDs (</w:t>
            </w:r>
            <w:proofErr w:type="spellStart"/>
            <w:r w:rsidRPr="009D4627">
              <w:rPr>
                <w:sz w:val="20"/>
                <w:szCs w:val="20"/>
              </w:rPr>
              <w:t>centre</w:t>
            </w:r>
            <w:proofErr w:type="spellEnd"/>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green light, ±13° horizontally and vertically</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red lights. The peripheral lights were presented in random order.</w:t>
            </w:r>
          </w:p>
        </w:tc>
        <w:tc>
          <w:tcPr>
            <w:tcW w:w="1418" w:type="dxa"/>
          </w:tcPr>
          <w:p w14:paraId="0981EC36" w14:textId="77777777" w:rsidR="00547D87" w:rsidRPr="009D4627" w:rsidRDefault="00547D87" w:rsidP="00CC31A9">
            <w:pPr>
              <w:spacing w:before="0" w:after="0" w:line="240" w:lineRule="auto"/>
              <w:jc w:val="left"/>
              <w:rPr>
                <w:sz w:val="20"/>
                <w:szCs w:val="20"/>
              </w:rPr>
            </w:pPr>
            <w:r w:rsidRPr="009D4627">
              <w:rPr>
                <w:sz w:val="20"/>
                <w:szCs w:val="20"/>
              </w:rPr>
              <w:t>Horizontal and vertical</w:t>
            </w:r>
          </w:p>
          <w:p w14:paraId="584F79D4" w14:textId="77777777" w:rsidR="00547D87" w:rsidRPr="009D4627" w:rsidRDefault="00547D87" w:rsidP="00CC31A9">
            <w:pPr>
              <w:pStyle w:val="ListParagraph"/>
              <w:numPr>
                <w:ilvl w:val="0"/>
                <w:numId w:val="26"/>
              </w:numPr>
              <w:spacing w:before="0" w:after="0" w:line="240" w:lineRule="auto"/>
              <w:ind w:left="171" w:hanging="236"/>
              <w:jc w:val="left"/>
              <w:rPr>
                <w:sz w:val="20"/>
                <w:szCs w:val="20"/>
              </w:rPr>
            </w:pPr>
            <w:r w:rsidRPr="009D4627">
              <w:rPr>
                <w:sz w:val="20"/>
                <w:szCs w:val="20"/>
              </w:rPr>
              <w:t>Peak velocity</w:t>
            </w:r>
          </w:p>
          <w:p w14:paraId="7C01AC47" w14:textId="77777777" w:rsidR="00547D87" w:rsidRPr="009D4627" w:rsidRDefault="00547D87" w:rsidP="00CC31A9">
            <w:pPr>
              <w:pStyle w:val="ListParagraph"/>
              <w:numPr>
                <w:ilvl w:val="0"/>
                <w:numId w:val="26"/>
              </w:numPr>
              <w:spacing w:before="0" w:after="0" w:line="240" w:lineRule="auto"/>
              <w:ind w:left="171" w:hanging="236"/>
              <w:jc w:val="left"/>
              <w:rPr>
                <w:sz w:val="20"/>
                <w:szCs w:val="20"/>
              </w:rPr>
            </w:pPr>
            <w:r w:rsidRPr="009D4627">
              <w:rPr>
                <w:sz w:val="20"/>
                <w:szCs w:val="20"/>
              </w:rPr>
              <w:t>Latency</w:t>
            </w:r>
          </w:p>
          <w:p w14:paraId="673B2011" w14:textId="77777777" w:rsidR="00547D87" w:rsidRPr="009D4627" w:rsidRDefault="00547D87" w:rsidP="00CC31A9">
            <w:pPr>
              <w:pStyle w:val="ListParagraph"/>
              <w:numPr>
                <w:ilvl w:val="0"/>
                <w:numId w:val="26"/>
              </w:numPr>
              <w:spacing w:before="0" w:after="0" w:line="240" w:lineRule="auto"/>
              <w:ind w:left="171" w:hanging="236"/>
              <w:jc w:val="left"/>
              <w:rPr>
                <w:sz w:val="20"/>
                <w:szCs w:val="20"/>
              </w:rPr>
            </w:pPr>
            <w:r w:rsidRPr="009D4627">
              <w:rPr>
                <w:sz w:val="20"/>
                <w:szCs w:val="20"/>
              </w:rPr>
              <w:t>Gain</w:t>
            </w:r>
          </w:p>
        </w:tc>
        <w:tc>
          <w:tcPr>
            <w:tcW w:w="5251" w:type="dxa"/>
          </w:tcPr>
          <w:p w14:paraId="624A2B2D" w14:textId="341BA8AF"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Results were </w:t>
            </w:r>
            <w:proofErr w:type="spellStart"/>
            <w:r w:rsidRPr="009D4627">
              <w:rPr>
                <w:sz w:val="20"/>
                <w:szCs w:val="20"/>
              </w:rPr>
              <w:t>analysed</w:t>
            </w:r>
            <w:proofErr w:type="spellEnd"/>
            <w:r w:rsidRPr="009D4627">
              <w:rPr>
                <w:sz w:val="20"/>
                <w:szCs w:val="20"/>
              </w:rPr>
              <w:t xml:space="preserve"> by saccad</w:t>
            </w:r>
            <w:r w:rsidR="00944720" w:rsidRPr="009D4627">
              <w:rPr>
                <w:sz w:val="20"/>
                <w:szCs w:val="20"/>
              </w:rPr>
              <w:t>ic</w:t>
            </w:r>
            <w:r w:rsidRPr="009D4627">
              <w:rPr>
                <w:sz w:val="20"/>
                <w:szCs w:val="20"/>
              </w:rPr>
              <w:t xml:space="preserve"> direction (i.e., rightward, leftward, upward and downward).</w:t>
            </w:r>
          </w:p>
          <w:p w14:paraId="526758FB" w14:textId="660BE178"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O participants (≥60 years) show</w:t>
            </w:r>
            <w:r w:rsidR="00170AFE" w:rsidRPr="009D4627">
              <w:rPr>
                <w:sz w:val="20"/>
                <w:szCs w:val="20"/>
              </w:rPr>
              <w:t>ed</w:t>
            </w:r>
            <w:r w:rsidRPr="009D4627">
              <w:rPr>
                <w:sz w:val="20"/>
                <w:szCs w:val="20"/>
              </w:rPr>
              <w:t xml:space="preserve"> </w:t>
            </w:r>
            <w:r w:rsidRPr="009D4627">
              <w:rPr>
                <w:b/>
                <w:bCs/>
                <w:sz w:val="20"/>
                <w:szCs w:val="20"/>
              </w:rPr>
              <w:t>significantly</w:t>
            </w:r>
            <w:r w:rsidRPr="009D4627">
              <w:rPr>
                <w:sz w:val="20"/>
                <w:szCs w:val="20"/>
              </w:rPr>
              <w:t xml:space="preserve"> </w:t>
            </w:r>
            <w:r w:rsidRPr="009D4627">
              <w:rPr>
                <w:b/>
                <w:bCs/>
                <w:sz w:val="20"/>
                <w:szCs w:val="20"/>
              </w:rPr>
              <w:t xml:space="preserve">prolonged </w:t>
            </w:r>
            <w:r w:rsidRPr="009D4627">
              <w:rPr>
                <w:sz w:val="20"/>
                <w:szCs w:val="20"/>
              </w:rPr>
              <w:t>leftward saccade</w:t>
            </w:r>
            <w:r w:rsidR="00170AFE" w:rsidRPr="009D4627">
              <w:rPr>
                <w:sz w:val="20"/>
                <w:szCs w:val="20"/>
              </w:rPr>
              <w:t>s</w:t>
            </w:r>
            <w:r w:rsidRPr="009D4627">
              <w:rPr>
                <w:sz w:val="20"/>
                <w:szCs w:val="20"/>
              </w:rPr>
              <w:t xml:space="preserve">, </w:t>
            </w:r>
            <w:r w:rsidRPr="009D4627">
              <w:rPr>
                <w:b/>
                <w:bCs/>
                <w:sz w:val="20"/>
                <w:szCs w:val="20"/>
              </w:rPr>
              <w:t>decreased peak velocity</w:t>
            </w:r>
            <w:r w:rsidRPr="009D4627">
              <w:rPr>
                <w:sz w:val="20"/>
                <w:szCs w:val="20"/>
              </w:rPr>
              <w:t xml:space="preserve"> of upward and </w:t>
            </w:r>
            <w:r w:rsidRPr="009D4627">
              <w:rPr>
                <w:b/>
                <w:bCs/>
                <w:sz w:val="20"/>
                <w:szCs w:val="20"/>
              </w:rPr>
              <w:t>reduced gain</w:t>
            </w:r>
            <w:r w:rsidRPr="009D4627">
              <w:rPr>
                <w:sz w:val="20"/>
                <w:szCs w:val="20"/>
              </w:rPr>
              <w:t xml:space="preserve"> of leftward and downward saccades.</w:t>
            </w:r>
          </w:p>
        </w:tc>
      </w:tr>
      <w:tr w:rsidR="00547D87" w:rsidRPr="009D4627" w14:paraId="661F78FC" w14:textId="77777777" w:rsidTr="00067115">
        <w:tc>
          <w:tcPr>
            <w:tcW w:w="1255" w:type="dxa"/>
          </w:tcPr>
          <w:p w14:paraId="1F79DE41" w14:textId="77777777" w:rsidR="00547D87" w:rsidRPr="009D4627" w:rsidRDefault="00547D87" w:rsidP="00CC31A9">
            <w:pPr>
              <w:spacing w:before="0" w:after="0" w:line="240" w:lineRule="auto"/>
              <w:rPr>
                <w:sz w:val="20"/>
                <w:szCs w:val="20"/>
              </w:rPr>
            </w:pPr>
            <w:r w:rsidRPr="009D4627">
              <w:rPr>
                <w:sz w:val="20"/>
                <w:szCs w:val="20"/>
              </w:rPr>
              <w:t xml:space="preserve">Irving and </w:t>
            </w:r>
            <w:proofErr w:type="spellStart"/>
            <w:r w:rsidRPr="009D4627">
              <w:rPr>
                <w:sz w:val="20"/>
                <w:szCs w:val="20"/>
              </w:rPr>
              <w:t>Lillakas</w:t>
            </w:r>
            <w:proofErr w:type="spellEnd"/>
            <w:r w:rsidRPr="009D4627">
              <w:rPr>
                <w:sz w:val="20"/>
                <w:szCs w:val="20"/>
              </w:rPr>
              <w:t xml:space="preserve"> (2018)</w:t>
            </w:r>
          </w:p>
        </w:tc>
        <w:tc>
          <w:tcPr>
            <w:tcW w:w="2430" w:type="dxa"/>
          </w:tcPr>
          <w:p w14:paraId="21501AFD" w14:textId="77777777" w:rsidR="00547D87" w:rsidRPr="009D4627" w:rsidRDefault="00547D87" w:rsidP="00CC31A9">
            <w:pPr>
              <w:spacing w:before="0" w:after="0" w:line="240" w:lineRule="auto"/>
              <w:jc w:val="left"/>
              <w:rPr>
                <w:sz w:val="20"/>
                <w:szCs w:val="20"/>
              </w:rPr>
            </w:pPr>
            <w:r w:rsidRPr="009D4627">
              <w:rPr>
                <w:sz w:val="20"/>
                <w:szCs w:val="20"/>
              </w:rPr>
              <w:t>131 normal, aged 3-86</w:t>
            </w:r>
          </w:p>
        </w:tc>
        <w:tc>
          <w:tcPr>
            <w:tcW w:w="1130" w:type="dxa"/>
          </w:tcPr>
          <w:p w14:paraId="1928184E" w14:textId="77777777" w:rsidR="00547D87" w:rsidRPr="009D4627" w:rsidRDefault="00547D87" w:rsidP="00CC31A9">
            <w:pPr>
              <w:spacing w:before="0" w:after="0" w:line="240" w:lineRule="auto"/>
              <w:rPr>
                <w:sz w:val="20"/>
                <w:szCs w:val="20"/>
              </w:rPr>
            </w:pPr>
            <w:r w:rsidRPr="009D4627">
              <w:rPr>
                <w:sz w:val="20"/>
                <w:szCs w:val="20"/>
              </w:rPr>
              <w:t>Video-based system</w:t>
            </w:r>
          </w:p>
        </w:tc>
        <w:tc>
          <w:tcPr>
            <w:tcW w:w="2551" w:type="dxa"/>
          </w:tcPr>
          <w:p w14:paraId="32392B40" w14:textId="77777777" w:rsidR="00547D87" w:rsidRPr="009D4627" w:rsidRDefault="00547D87" w:rsidP="00CC31A9">
            <w:pPr>
              <w:spacing w:before="0" w:after="0" w:line="240" w:lineRule="auto"/>
              <w:jc w:val="left"/>
              <w:rPr>
                <w:sz w:val="20"/>
                <w:szCs w:val="20"/>
              </w:rPr>
            </w:pPr>
          </w:p>
        </w:tc>
        <w:tc>
          <w:tcPr>
            <w:tcW w:w="1418" w:type="dxa"/>
          </w:tcPr>
          <w:p w14:paraId="563CF198" w14:textId="77777777" w:rsidR="00547D87" w:rsidRPr="009D4627" w:rsidRDefault="00547D87" w:rsidP="00CC31A9">
            <w:pPr>
              <w:spacing w:before="0" w:after="0" w:line="240" w:lineRule="auto"/>
              <w:jc w:val="left"/>
              <w:rPr>
                <w:sz w:val="20"/>
                <w:szCs w:val="20"/>
              </w:rPr>
            </w:pPr>
            <w:r w:rsidRPr="009D4627">
              <w:rPr>
                <w:sz w:val="20"/>
                <w:szCs w:val="20"/>
              </w:rPr>
              <w:t>Horizontal and vertical</w:t>
            </w:r>
          </w:p>
          <w:p w14:paraId="7B0D28A9" w14:textId="77777777" w:rsidR="00547D87" w:rsidRPr="009D4627" w:rsidRDefault="00547D87" w:rsidP="00CC31A9">
            <w:pPr>
              <w:pStyle w:val="ListParagraph"/>
              <w:numPr>
                <w:ilvl w:val="0"/>
                <w:numId w:val="26"/>
              </w:numPr>
              <w:spacing w:before="0" w:after="0" w:line="240" w:lineRule="auto"/>
              <w:ind w:left="171" w:hanging="171"/>
              <w:jc w:val="left"/>
              <w:rPr>
                <w:sz w:val="20"/>
                <w:szCs w:val="20"/>
              </w:rPr>
            </w:pPr>
            <w:r w:rsidRPr="009D4627">
              <w:rPr>
                <w:sz w:val="20"/>
                <w:szCs w:val="20"/>
              </w:rPr>
              <w:t>Peak velocity</w:t>
            </w:r>
          </w:p>
          <w:p w14:paraId="42DDD06F" w14:textId="77777777" w:rsidR="00547D87" w:rsidRPr="009D4627" w:rsidRDefault="00547D87" w:rsidP="00CC31A9">
            <w:pPr>
              <w:pStyle w:val="ListParagraph"/>
              <w:numPr>
                <w:ilvl w:val="0"/>
                <w:numId w:val="26"/>
              </w:numPr>
              <w:spacing w:before="0" w:after="0" w:line="240" w:lineRule="auto"/>
              <w:ind w:left="171" w:hanging="171"/>
              <w:jc w:val="left"/>
              <w:rPr>
                <w:sz w:val="20"/>
                <w:szCs w:val="20"/>
              </w:rPr>
            </w:pPr>
            <w:r w:rsidRPr="009D4627">
              <w:rPr>
                <w:sz w:val="20"/>
                <w:szCs w:val="20"/>
              </w:rPr>
              <w:t>Latency</w:t>
            </w:r>
          </w:p>
          <w:p w14:paraId="529201AC" w14:textId="77777777" w:rsidR="00547D87" w:rsidRPr="009D4627" w:rsidRDefault="00547D87" w:rsidP="00CC31A9">
            <w:pPr>
              <w:pStyle w:val="ListParagraph"/>
              <w:numPr>
                <w:ilvl w:val="0"/>
                <w:numId w:val="26"/>
              </w:numPr>
              <w:spacing w:before="0" w:after="0" w:line="240" w:lineRule="auto"/>
              <w:ind w:left="171" w:hanging="171"/>
              <w:jc w:val="left"/>
              <w:rPr>
                <w:sz w:val="20"/>
                <w:szCs w:val="20"/>
              </w:rPr>
            </w:pPr>
            <w:r w:rsidRPr="009D4627">
              <w:rPr>
                <w:sz w:val="20"/>
                <w:szCs w:val="20"/>
              </w:rPr>
              <w:t>Gain</w:t>
            </w:r>
          </w:p>
        </w:tc>
        <w:tc>
          <w:tcPr>
            <w:tcW w:w="5251" w:type="dxa"/>
          </w:tcPr>
          <w:p w14:paraId="46570B09" w14:textId="77777777"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Vertical latency and peak velocity were </w:t>
            </w:r>
            <w:r w:rsidRPr="009D4627">
              <w:rPr>
                <w:b/>
                <w:bCs/>
                <w:sz w:val="20"/>
                <w:szCs w:val="20"/>
              </w:rPr>
              <w:t>not significantly influenced by ageing.</w:t>
            </w:r>
          </w:p>
          <w:p w14:paraId="144F3329" w14:textId="7322E4A1"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Age significantly reduced the upward </w:t>
            </w:r>
            <w:r w:rsidR="00944720" w:rsidRPr="009D4627">
              <w:rPr>
                <w:sz w:val="20"/>
                <w:szCs w:val="20"/>
              </w:rPr>
              <w:t>saccadic</w:t>
            </w:r>
            <w:r w:rsidRPr="009D4627">
              <w:rPr>
                <w:sz w:val="20"/>
                <w:szCs w:val="20"/>
              </w:rPr>
              <w:t xml:space="preserve"> gain.</w:t>
            </w:r>
          </w:p>
          <w:p w14:paraId="3D6A6C09" w14:textId="1103BD84"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Vertical saccades were more </w:t>
            </w:r>
            <w:proofErr w:type="spellStart"/>
            <w:r w:rsidRPr="009D4627">
              <w:rPr>
                <w:sz w:val="20"/>
                <w:szCs w:val="20"/>
              </w:rPr>
              <w:t>hypometric</w:t>
            </w:r>
            <w:proofErr w:type="spellEnd"/>
            <w:r w:rsidRPr="009D4627">
              <w:rPr>
                <w:sz w:val="20"/>
                <w:szCs w:val="20"/>
              </w:rPr>
              <w:t xml:space="preserve"> compared </w:t>
            </w:r>
            <w:r w:rsidR="00170AFE" w:rsidRPr="009D4627">
              <w:rPr>
                <w:sz w:val="20"/>
                <w:szCs w:val="20"/>
              </w:rPr>
              <w:t>with</w:t>
            </w:r>
            <w:r w:rsidRPr="009D4627">
              <w:rPr>
                <w:sz w:val="20"/>
                <w:szCs w:val="20"/>
              </w:rPr>
              <w:t xml:space="preserve"> horizontal saccades.</w:t>
            </w:r>
          </w:p>
          <w:p w14:paraId="36BF5B54" w14:textId="4FCC368D" w:rsidR="00547D87" w:rsidRPr="009D4627" w:rsidRDefault="00547D87" w:rsidP="00CC31A9">
            <w:pPr>
              <w:pStyle w:val="ListParagraph"/>
              <w:numPr>
                <w:ilvl w:val="0"/>
                <w:numId w:val="19"/>
              </w:numPr>
              <w:spacing w:before="0" w:after="0" w:line="240" w:lineRule="auto"/>
              <w:ind w:left="182" w:hanging="218"/>
              <w:jc w:val="left"/>
              <w:rPr>
                <w:sz w:val="20"/>
                <w:szCs w:val="20"/>
              </w:rPr>
            </w:pPr>
            <w:r w:rsidRPr="009D4627">
              <w:rPr>
                <w:sz w:val="20"/>
                <w:szCs w:val="20"/>
              </w:rPr>
              <w:t xml:space="preserve">Vertical saccades had longer latency than horizontal, but ageing </w:t>
            </w:r>
            <w:r w:rsidR="00170AFE" w:rsidRPr="009D4627">
              <w:rPr>
                <w:sz w:val="20"/>
                <w:szCs w:val="20"/>
              </w:rPr>
              <w:t>did</w:t>
            </w:r>
            <w:r w:rsidRPr="009D4627">
              <w:rPr>
                <w:sz w:val="20"/>
                <w:szCs w:val="20"/>
              </w:rPr>
              <w:t xml:space="preserve"> not influence </w:t>
            </w:r>
            <w:r w:rsidR="00AE6F60" w:rsidRPr="009D4627">
              <w:rPr>
                <w:sz w:val="20"/>
                <w:szCs w:val="20"/>
              </w:rPr>
              <w:t>them</w:t>
            </w:r>
            <w:r w:rsidRPr="009D4627">
              <w:rPr>
                <w:sz w:val="20"/>
                <w:szCs w:val="20"/>
              </w:rPr>
              <w:t>.</w:t>
            </w:r>
          </w:p>
        </w:tc>
      </w:tr>
    </w:tbl>
    <w:bookmarkEnd w:id="95"/>
    <w:p w14:paraId="4FDAC967" w14:textId="1244FEDD" w:rsidR="003E36B2" w:rsidRPr="009D4627" w:rsidRDefault="00666F37" w:rsidP="00C4130D">
      <w:pPr>
        <w:pStyle w:val="Caption"/>
      </w:pPr>
      <w:r w:rsidRPr="009D4627">
        <w:t xml:space="preserve">Y = young; O = old; </w:t>
      </w:r>
      <w:r w:rsidR="00CA5C71" w:rsidRPr="009D4627">
        <w:t>EOG = electrooculography; LED = light-emitting diodes</w:t>
      </w:r>
    </w:p>
    <w:p w14:paraId="585180C9" w14:textId="77777777" w:rsidR="003E36B2" w:rsidRPr="009D4627" w:rsidRDefault="003E36B2" w:rsidP="00C4130D">
      <w:pPr>
        <w:pStyle w:val="Caption"/>
      </w:pPr>
    </w:p>
    <w:p w14:paraId="5DE3A3EC" w14:textId="77777777" w:rsidR="003E36B2" w:rsidRPr="009D4627" w:rsidRDefault="003E36B2" w:rsidP="00C4130D">
      <w:pPr>
        <w:pStyle w:val="Caption"/>
      </w:pPr>
    </w:p>
    <w:p w14:paraId="076FD440" w14:textId="77777777" w:rsidR="003E36B2" w:rsidRPr="009D4627" w:rsidRDefault="003E36B2" w:rsidP="00C4130D">
      <w:pPr>
        <w:pStyle w:val="Caption"/>
      </w:pPr>
    </w:p>
    <w:p w14:paraId="5532BFDC" w14:textId="426FA44A" w:rsidR="003E36B2" w:rsidRPr="009D4627" w:rsidRDefault="003E36B2" w:rsidP="00C4130D">
      <w:pPr>
        <w:pStyle w:val="Caption"/>
      </w:pPr>
    </w:p>
    <w:p w14:paraId="4FFE89AB" w14:textId="77777777" w:rsidR="003B5592" w:rsidRPr="009D4627" w:rsidRDefault="003B5592" w:rsidP="003B5592">
      <w:pPr>
        <w:rPr>
          <w:lang w:val="en-MY" w:eastAsia="en-MY"/>
        </w:rPr>
      </w:pPr>
    </w:p>
    <w:p w14:paraId="7419919D" w14:textId="7434AA1C" w:rsidR="00547D87" w:rsidRPr="009D4627" w:rsidRDefault="00225FAE" w:rsidP="00C4130D">
      <w:pPr>
        <w:pStyle w:val="Caption"/>
      </w:pPr>
      <w:bookmarkStart w:id="96" w:name="_Toc99353930"/>
      <w:r w:rsidRPr="009D4627">
        <w:lastRenderedPageBreak/>
        <w:t>Table 1.</w:t>
      </w:r>
      <w:r w:rsidR="002E63E9" w:rsidRPr="009D4627">
        <w:fldChar w:fldCharType="begin"/>
      </w:r>
      <w:r w:rsidR="002E63E9" w:rsidRPr="009D4627">
        <w:instrText xml:space="preserve"> SEQ Table_1. \* ARABIC </w:instrText>
      </w:r>
      <w:r w:rsidR="002E63E9" w:rsidRPr="009D4627">
        <w:fldChar w:fldCharType="separate"/>
      </w:r>
      <w:r w:rsidR="00E268F6">
        <w:rPr>
          <w:noProof/>
        </w:rPr>
        <w:t>3</w:t>
      </w:r>
      <w:r w:rsidR="002E63E9" w:rsidRPr="009D4627">
        <w:rPr>
          <w:noProof/>
        </w:rPr>
        <w:fldChar w:fldCharType="end"/>
      </w:r>
      <w:r w:rsidRPr="009D4627">
        <w:t xml:space="preserve">: </w:t>
      </w:r>
      <w:r w:rsidR="00547D87" w:rsidRPr="009D4627">
        <w:t>Summary of the previous finding</w:t>
      </w:r>
      <w:r w:rsidR="00CA5C71" w:rsidRPr="009D4627">
        <w:t>s</w:t>
      </w:r>
      <w:r w:rsidR="00547D87" w:rsidRPr="009D4627">
        <w:t xml:space="preserve"> on age-related normative data f</w:t>
      </w:r>
      <w:r w:rsidR="00CA5C71" w:rsidRPr="009D4627">
        <w:t>or</w:t>
      </w:r>
      <w:r w:rsidR="00547D87" w:rsidRPr="009D4627">
        <w:t xml:space="preserve"> </w:t>
      </w:r>
      <w:r w:rsidR="007951B7" w:rsidRPr="009D4627">
        <w:t>SP</w:t>
      </w:r>
      <w:r w:rsidR="00547D87" w:rsidRPr="009D4627">
        <w:t xml:space="preserve"> movements.</w:t>
      </w:r>
      <w:bookmarkEnd w:id="96"/>
    </w:p>
    <w:tbl>
      <w:tblPr>
        <w:tblStyle w:val="TableGrid"/>
        <w:tblW w:w="14001" w:type="dxa"/>
        <w:tblLook w:val="04A0" w:firstRow="1" w:lastRow="0" w:firstColumn="1" w:lastColumn="0" w:noHBand="0" w:noVBand="1"/>
      </w:tblPr>
      <w:tblGrid>
        <w:gridCol w:w="1020"/>
        <w:gridCol w:w="1850"/>
        <w:gridCol w:w="1113"/>
        <w:gridCol w:w="1918"/>
        <w:gridCol w:w="1907"/>
        <w:gridCol w:w="6193"/>
      </w:tblGrid>
      <w:tr w:rsidR="00547D87" w:rsidRPr="009D4627" w14:paraId="5FB1EA9B" w14:textId="77777777" w:rsidTr="0099065C">
        <w:tc>
          <w:tcPr>
            <w:tcW w:w="1020" w:type="dxa"/>
          </w:tcPr>
          <w:p w14:paraId="13F42F25" w14:textId="77777777" w:rsidR="00547D87" w:rsidRPr="009D4627" w:rsidRDefault="00547D87" w:rsidP="00CC31A9">
            <w:pPr>
              <w:spacing w:before="0" w:after="0" w:line="240" w:lineRule="auto"/>
              <w:jc w:val="left"/>
              <w:rPr>
                <w:b/>
                <w:bCs/>
                <w:sz w:val="20"/>
                <w:szCs w:val="20"/>
              </w:rPr>
            </w:pPr>
            <w:r w:rsidRPr="009D4627">
              <w:rPr>
                <w:b/>
                <w:bCs/>
                <w:sz w:val="20"/>
                <w:szCs w:val="20"/>
              </w:rPr>
              <w:t>Author and Year</w:t>
            </w:r>
          </w:p>
        </w:tc>
        <w:tc>
          <w:tcPr>
            <w:tcW w:w="1850" w:type="dxa"/>
          </w:tcPr>
          <w:p w14:paraId="19C162B4" w14:textId="77777777" w:rsidR="00547D87" w:rsidRPr="009D4627" w:rsidRDefault="00547D87" w:rsidP="00CC31A9">
            <w:pPr>
              <w:spacing w:before="0" w:after="0" w:line="240" w:lineRule="auto"/>
              <w:jc w:val="left"/>
              <w:rPr>
                <w:b/>
                <w:bCs/>
                <w:sz w:val="20"/>
                <w:szCs w:val="20"/>
              </w:rPr>
            </w:pPr>
            <w:r w:rsidRPr="009D4627">
              <w:rPr>
                <w:b/>
                <w:bCs/>
                <w:sz w:val="20"/>
                <w:szCs w:val="20"/>
              </w:rPr>
              <w:t xml:space="preserve">Participants </w:t>
            </w:r>
          </w:p>
        </w:tc>
        <w:tc>
          <w:tcPr>
            <w:tcW w:w="1113" w:type="dxa"/>
          </w:tcPr>
          <w:p w14:paraId="2AF45913" w14:textId="77777777" w:rsidR="00547D87" w:rsidRPr="009D4627" w:rsidRDefault="00547D87" w:rsidP="00CC31A9">
            <w:pPr>
              <w:spacing w:before="0" w:after="0" w:line="240" w:lineRule="auto"/>
              <w:jc w:val="left"/>
              <w:rPr>
                <w:b/>
                <w:bCs/>
                <w:sz w:val="20"/>
                <w:szCs w:val="20"/>
              </w:rPr>
            </w:pPr>
            <w:r w:rsidRPr="009D4627">
              <w:rPr>
                <w:b/>
                <w:bCs/>
                <w:sz w:val="20"/>
                <w:szCs w:val="20"/>
              </w:rPr>
              <w:t>Eye Recording method</w:t>
            </w:r>
          </w:p>
        </w:tc>
        <w:tc>
          <w:tcPr>
            <w:tcW w:w="1918" w:type="dxa"/>
          </w:tcPr>
          <w:p w14:paraId="7B0A04E4" w14:textId="77777777" w:rsidR="00547D87" w:rsidRPr="009D4627" w:rsidRDefault="00547D87" w:rsidP="00CC31A9">
            <w:pPr>
              <w:spacing w:before="0" w:after="0" w:line="240" w:lineRule="auto"/>
              <w:jc w:val="left"/>
              <w:rPr>
                <w:b/>
                <w:bCs/>
                <w:sz w:val="20"/>
                <w:szCs w:val="20"/>
              </w:rPr>
            </w:pPr>
            <w:r w:rsidRPr="009D4627">
              <w:rPr>
                <w:b/>
                <w:bCs/>
                <w:sz w:val="20"/>
                <w:szCs w:val="20"/>
              </w:rPr>
              <w:t>Stimuli</w:t>
            </w:r>
          </w:p>
        </w:tc>
        <w:tc>
          <w:tcPr>
            <w:tcW w:w="1907" w:type="dxa"/>
          </w:tcPr>
          <w:p w14:paraId="4A6A9A9C" w14:textId="50847094" w:rsidR="00547D87" w:rsidRPr="009D4627" w:rsidRDefault="00444E5B" w:rsidP="00CC31A9">
            <w:pPr>
              <w:spacing w:before="0" w:after="0" w:line="240" w:lineRule="auto"/>
              <w:jc w:val="left"/>
              <w:rPr>
                <w:b/>
                <w:bCs/>
                <w:sz w:val="20"/>
                <w:szCs w:val="20"/>
              </w:rPr>
            </w:pPr>
            <w:r w:rsidRPr="009D4627">
              <w:rPr>
                <w:b/>
                <w:bCs/>
                <w:sz w:val="20"/>
                <w:szCs w:val="20"/>
              </w:rPr>
              <w:t xml:space="preserve">SP </w:t>
            </w:r>
            <w:r w:rsidR="00547D87" w:rsidRPr="009D4627">
              <w:rPr>
                <w:b/>
                <w:bCs/>
                <w:sz w:val="20"/>
                <w:szCs w:val="20"/>
              </w:rPr>
              <w:t xml:space="preserve">parameters </w:t>
            </w:r>
          </w:p>
        </w:tc>
        <w:tc>
          <w:tcPr>
            <w:tcW w:w="6193" w:type="dxa"/>
          </w:tcPr>
          <w:p w14:paraId="76BA2F35" w14:textId="77777777" w:rsidR="00547D87" w:rsidRPr="009D4627" w:rsidRDefault="00547D87" w:rsidP="00CC31A9">
            <w:pPr>
              <w:spacing w:before="0" w:after="0" w:line="240" w:lineRule="auto"/>
              <w:jc w:val="left"/>
              <w:rPr>
                <w:b/>
                <w:bCs/>
                <w:sz w:val="20"/>
                <w:szCs w:val="20"/>
              </w:rPr>
            </w:pPr>
            <w:r w:rsidRPr="009D4627">
              <w:rPr>
                <w:b/>
                <w:bCs/>
                <w:sz w:val="20"/>
                <w:szCs w:val="20"/>
              </w:rPr>
              <w:t>Findings and conclusion</w:t>
            </w:r>
          </w:p>
        </w:tc>
      </w:tr>
      <w:tr w:rsidR="00547D87" w:rsidRPr="009D4627" w14:paraId="13FBE789" w14:textId="77777777" w:rsidTr="0099065C">
        <w:tc>
          <w:tcPr>
            <w:tcW w:w="1020" w:type="dxa"/>
          </w:tcPr>
          <w:p w14:paraId="47821AF1" w14:textId="77777777" w:rsidR="00547D87" w:rsidRPr="009D4627" w:rsidRDefault="00547D87" w:rsidP="00CC31A9">
            <w:pPr>
              <w:spacing w:before="0" w:after="0" w:line="240" w:lineRule="auto"/>
              <w:jc w:val="left"/>
              <w:rPr>
                <w:sz w:val="20"/>
                <w:szCs w:val="20"/>
              </w:rPr>
            </w:pPr>
            <w:r w:rsidRPr="009D4627">
              <w:rPr>
                <w:sz w:val="20"/>
                <w:szCs w:val="20"/>
              </w:rPr>
              <w:t>Sharpe and Sylvester (1978)</w:t>
            </w:r>
          </w:p>
        </w:tc>
        <w:tc>
          <w:tcPr>
            <w:tcW w:w="1850" w:type="dxa"/>
          </w:tcPr>
          <w:p w14:paraId="65507933" w14:textId="5B0E0C7F" w:rsidR="00547D87" w:rsidRPr="009D4627" w:rsidRDefault="00547D87" w:rsidP="00CC31A9">
            <w:pPr>
              <w:spacing w:before="0" w:after="0" w:line="240" w:lineRule="auto"/>
              <w:jc w:val="left"/>
              <w:rPr>
                <w:sz w:val="20"/>
                <w:szCs w:val="20"/>
              </w:rPr>
            </w:pPr>
            <w:r w:rsidRPr="009D4627">
              <w:rPr>
                <w:sz w:val="20"/>
                <w:szCs w:val="20"/>
              </w:rPr>
              <w:t>Y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15)</w:t>
            </w:r>
          </w:p>
          <w:p w14:paraId="5B4677B6" w14:textId="03975FE8" w:rsidR="00547D87" w:rsidRPr="009D4627" w:rsidRDefault="00547D87" w:rsidP="00CC31A9">
            <w:pPr>
              <w:spacing w:before="0" w:after="0" w:line="240" w:lineRule="auto"/>
              <w:jc w:val="left"/>
              <w:rPr>
                <w:sz w:val="20"/>
                <w:szCs w:val="20"/>
              </w:rPr>
            </w:pPr>
            <w:r w:rsidRPr="009D4627">
              <w:rPr>
                <w:sz w:val="20"/>
                <w:szCs w:val="20"/>
              </w:rPr>
              <w:t>Age range 19</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32</w:t>
            </w:r>
          </w:p>
          <w:p w14:paraId="396B6752" w14:textId="77777777" w:rsidR="00547D87" w:rsidRPr="009D4627" w:rsidRDefault="00547D87" w:rsidP="00CC31A9">
            <w:pPr>
              <w:spacing w:before="0" w:after="0" w:line="240" w:lineRule="auto"/>
              <w:jc w:val="left"/>
              <w:rPr>
                <w:sz w:val="20"/>
                <w:szCs w:val="20"/>
              </w:rPr>
            </w:pPr>
            <w:r w:rsidRPr="009D4627">
              <w:rPr>
                <w:sz w:val="20"/>
                <w:szCs w:val="20"/>
              </w:rPr>
              <w:t>(</w:t>
            </w:r>
            <w:proofErr w:type="gramStart"/>
            <w:r w:rsidRPr="009D4627">
              <w:rPr>
                <w:sz w:val="20"/>
                <w:szCs w:val="20"/>
              </w:rPr>
              <w:t>mean</w:t>
            </w:r>
            <w:proofErr w:type="gramEnd"/>
            <w:r w:rsidRPr="009D4627">
              <w:rPr>
                <w:sz w:val="20"/>
                <w:szCs w:val="20"/>
              </w:rPr>
              <w:t xml:space="preserve"> age 23)</w:t>
            </w:r>
          </w:p>
          <w:p w14:paraId="68678556" w14:textId="77777777" w:rsidR="00547D87" w:rsidRPr="009D4627" w:rsidRDefault="00547D87" w:rsidP="00CC31A9">
            <w:pPr>
              <w:spacing w:before="0" w:after="0" w:line="240" w:lineRule="auto"/>
              <w:jc w:val="left"/>
              <w:rPr>
                <w:sz w:val="20"/>
                <w:szCs w:val="20"/>
              </w:rPr>
            </w:pPr>
          </w:p>
          <w:p w14:paraId="66731832" w14:textId="7433538D" w:rsidR="00547D87" w:rsidRPr="009D4627" w:rsidRDefault="00547D87" w:rsidP="00CC31A9">
            <w:pPr>
              <w:spacing w:before="0" w:after="0" w:line="240" w:lineRule="auto"/>
              <w:jc w:val="left"/>
              <w:rPr>
                <w:sz w:val="20"/>
                <w:szCs w:val="20"/>
              </w:rPr>
            </w:pPr>
            <w:r w:rsidRPr="009D4627">
              <w:rPr>
                <w:sz w:val="20"/>
                <w:szCs w:val="20"/>
              </w:rPr>
              <w:t>O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10)</w:t>
            </w:r>
          </w:p>
          <w:p w14:paraId="68741BD7" w14:textId="116A3879" w:rsidR="00547D87" w:rsidRPr="009D4627" w:rsidRDefault="00547D87" w:rsidP="00CC31A9">
            <w:pPr>
              <w:spacing w:before="0" w:after="0" w:line="240" w:lineRule="auto"/>
              <w:jc w:val="left"/>
              <w:rPr>
                <w:sz w:val="20"/>
                <w:szCs w:val="20"/>
              </w:rPr>
            </w:pPr>
            <w:r w:rsidRPr="009D4627">
              <w:rPr>
                <w:sz w:val="20"/>
                <w:szCs w:val="20"/>
              </w:rPr>
              <w:t>Age range 65</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77</w:t>
            </w:r>
          </w:p>
          <w:p w14:paraId="495CF39A" w14:textId="77777777" w:rsidR="00547D87" w:rsidRPr="009D4627" w:rsidRDefault="00547D87" w:rsidP="00CC31A9">
            <w:pPr>
              <w:spacing w:before="0" w:after="0" w:line="240" w:lineRule="auto"/>
              <w:jc w:val="left"/>
              <w:rPr>
                <w:sz w:val="20"/>
                <w:szCs w:val="20"/>
              </w:rPr>
            </w:pPr>
            <w:r w:rsidRPr="009D4627">
              <w:rPr>
                <w:sz w:val="20"/>
                <w:szCs w:val="20"/>
              </w:rPr>
              <w:t>(</w:t>
            </w:r>
            <w:proofErr w:type="gramStart"/>
            <w:r w:rsidRPr="009D4627">
              <w:rPr>
                <w:sz w:val="20"/>
                <w:szCs w:val="20"/>
              </w:rPr>
              <w:t>mean</w:t>
            </w:r>
            <w:proofErr w:type="gramEnd"/>
            <w:r w:rsidRPr="009D4627">
              <w:rPr>
                <w:sz w:val="20"/>
                <w:szCs w:val="20"/>
              </w:rPr>
              <w:t xml:space="preserve"> age 72)</w:t>
            </w:r>
          </w:p>
        </w:tc>
        <w:tc>
          <w:tcPr>
            <w:tcW w:w="1113" w:type="dxa"/>
          </w:tcPr>
          <w:p w14:paraId="0DFA3563" w14:textId="77777777" w:rsidR="00547D87" w:rsidRPr="009D4627" w:rsidRDefault="00547D87" w:rsidP="00CC31A9">
            <w:pPr>
              <w:spacing w:before="0" w:after="0" w:line="240" w:lineRule="auto"/>
              <w:jc w:val="left"/>
              <w:rPr>
                <w:sz w:val="20"/>
                <w:szCs w:val="20"/>
              </w:rPr>
            </w:pPr>
            <w:r w:rsidRPr="009D4627">
              <w:rPr>
                <w:sz w:val="20"/>
                <w:szCs w:val="20"/>
              </w:rPr>
              <w:t>EOG</w:t>
            </w:r>
          </w:p>
        </w:tc>
        <w:tc>
          <w:tcPr>
            <w:tcW w:w="1918" w:type="dxa"/>
          </w:tcPr>
          <w:p w14:paraId="52DED3A8" w14:textId="77777777" w:rsidR="00547D87" w:rsidRPr="009D4627" w:rsidRDefault="00547D87" w:rsidP="00CC31A9">
            <w:pPr>
              <w:pStyle w:val="ListParagraph"/>
              <w:numPr>
                <w:ilvl w:val="0"/>
                <w:numId w:val="33"/>
              </w:numPr>
              <w:spacing w:before="0" w:after="0" w:line="240" w:lineRule="auto"/>
              <w:ind w:left="135" w:hanging="142"/>
              <w:jc w:val="left"/>
              <w:rPr>
                <w:sz w:val="20"/>
                <w:szCs w:val="20"/>
              </w:rPr>
            </w:pPr>
            <w:r w:rsidRPr="009D4627">
              <w:rPr>
                <w:sz w:val="20"/>
                <w:szCs w:val="20"/>
              </w:rPr>
              <w:t>A laser spot subtended 0.25° of visual angle.</w:t>
            </w:r>
          </w:p>
          <w:p w14:paraId="496AB2D1" w14:textId="0719C977" w:rsidR="00547D87" w:rsidRPr="009D4627" w:rsidRDefault="00547D87" w:rsidP="00CC31A9">
            <w:pPr>
              <w:pStyle w:val="ListParagraph"/>
              <w:numPr>
                <w:ilvl w:val="0"/>
                <w:numId w:val="33"/>
              </w:numPr>
              <w:spacing w:before="0" w:after="0" w:line="240" w:lineRule="auto"/>
              <w:ind w:left="135" w:hanging="142"/>
              <w:jc w:val="left"/>
              <w:rPr>
                <w:sz w:val="20"/>
                <w:szCs w:val="20"/>
              </w:rPr>
            </w:pPr>
            <w:r w:rsidRPr="009D4627">
              <w:rPr>
                <w:sz w:val="20"/>
                <w:szCs w:val="20"/>
              </w:rPr>
              <w:t xml:space="preserve">Triangular wave (Predictable) of ±10° amplitude from the </w:t>
            </w:r>
            <w:r w:rsidR="00995715" w:rsidRPr="009D4627">
              <w:rPr>
                <w:sz w:val="20"/>
                <w:szCs w:val="20"/>
              </w:rPr>
              <w:t>PP</w:t>
            </w:r>
            <w:r w:rsidRPr="009D4627">
              <w:rPr>
                <w:sz w:val="20"/>
                <w:szCs w:val="20"/>
              </w:rPr>
              <w:t>, then moving at nine frequencies (5, 10, 20, 30,40, 50, 60, 80, and 100°/sec)</w:t>
            </w:r>
          </w:p>
        </w:tc>
        <w:tc>
          <w:tcPr>
            <w:tcW w:w="1907" w:type="dxa"/>
          </w:tcPr>
          <w:p w14:paraId="1D5ACD27" w14:textId="0A9EBAB9" w:rsidR="00547D87" w:rsidRPr="009D4627" w:rsidRDefault="000D1311" w:rsidP="00CC31A9">
            <w:pPr>
              <w:pStyle w:val="ListParagraph"/>
              <w:numPr>
                <w:ilvl w:val="0"/>
                <w:numId w:val="35"/>
              </w:numPr>
              <w:spacing w:before="0" w:after="0" w:line="240" w:lineRule="auto"/>
              <w:ind w:left="194" w:hanging="218"/>
              <w:jc w:val="left"/>
              <w:rPr>
                <w:sz w:val="20"/>
                <w:szCs w:val="20"/>
              </w:rPr>
            </w:pPr>
            <w:r w:rsidRPr="009D4627">
              <w:rPr>
                <w:sz w:val="20"/>
                <w:szCs w:val="20"/>
              </w:rPr>
              <w:t>SP</w:t>
            </w:r>
            <w:r w:rsidR="00547D87" w:rsidRPr="009D4627">
              <w:rPr>
                <w:sz w:val="20"/>
                <w:szCs w:val="20"/>
              </w:rPr>
              <w:t xml:space="preserve"> latency </w:t>
            </w:r>
          </w:p>
          <w:p w14:paraId="3F7D00BF" w14:textId="7C8C9450" w:rsidR="00547D87" w:rsidRPr="009D4627" w:rsidRDefault="000D1311" w:rsidP="00CC31A9">
            <w:pPr>
              <w:pStyle w:val="ListParagraph"/>
              <w:numPr>
                <w:ilvl w:val="0"/>
                <w:numId w:val="35"/>
              </w:numPr>
              <w:spacing w:before="0" w:after="0" w:line="240" w:lineRule="auto"/>
              <w:ind w:left="194" w:hanging="218"/>
              <w:jc w:val="left"/>
              <w:rPr>
                <w:sz w:val="20"/>
                <w:szCs w:val="20"/>
              </w:rPr>
            </w:pPr>
            <w:r w:rsidRPr="009D4627">
              <w:rPr>
                <w:sz w:val="20"/>
                <w:szCs w:val="20"/>
              </w:rPr>
              <w:t>SP</w:t>
            </w:r>
            <w:r w:rsidR="00547D87" w:rsidRPr="009D4627">
              <w:rPr>
                <w:sz w:val="20"/>
                <w:szCs w:val="20"/>
              </w:rPr>
              <w:t xml:space="preserve"> velocity</w:t>
            </w:r>
          </w:p>
          <w:p w14:paraId="39928657" w14:textId="77777777" w:rsidR="00547D87" w:rsidRPr="009D4627" w:rsidRDefault="00547D87" w:rsidP="00CC31A9">
            <w:pPr>
              <w:spacing w:before="0" w:after="0" w:line="240" w:lineRule="auto"/>
              <w:ind w:left="194" w:hanging="218"/>
              <w:jc w:val="left"/>
              <w:rPr>
                <w:sz w:val="20"/>
                <w:szCs w:val="20"/>
              </w:rPr>
            </w:pPr>
          </w:p>
        </w:tc>
        <w:tc>
          <w:tcPr>
            <w:tcW w:w="6193" w:type="dxa"/>
          </w:tcPr>
          <w:p w14:paraId="4538811C" w14:textId="1BE762CE" w:rsidR="00547D87" w:rsidRPr="009D4627" w:rsidRDefault="000D1311" w:rsidP="00CC31A9">
            <w:pPr>
              <w:pStyle w:val="ListParagraph"/>
              <w:numPr>
                <w:ilvl w:val="0"/>
                <w:numId w:val="33"/>
              </w:numPr>
              <w:spacing w:before="0" w:after="0" w:line="240" w:lineRule="auto"/>
              <w:ind w:left="219" w:hanging="218"/>
              <w:jc w:val="left"/>
              <w:rPr>
                <w:sz w:val="20"/>
                <w:szCs w:val="20"/>
              </w:rPr>
            </w:pPr>
            <w:r w:rsidRPr="009D4627">
              <w:rPr>
                <w:sz w:val="20"/>
                <w:szCs w:val="20"/>
              </w:rPr>
              <w:t>Ageing caused a significantly increased SP latency and reduced SP gain with increasing target velocity</w:t>
            </w:r>
            <w:r w:rsidR="00547D87" w:rsidRPr="009D4627">
              <w:rPr>
                <w:sz w:val="20"/>
                <w:szCs w:val="20"/>
              </w:rPr>
              <w:t>.</w:t>
            </w:r>
          </w:p>
          <w:p w14:paraId="55506CEF" w14:textId="4ABA1173" w:rsidR="000D1311" w:rsidRPr="009D4627" w:rsidRDefault="000D1311" w:rsidP="00CC31A9">
            <w:pPr>
              <w:pStyle w:val="ListParagraph"/>
              <w:numPr>
                <w:ilvl w:val="0"/>
                <w:numId w:val="33"/>
              </w:numPr>
              <w:spacing w:before="0" w:after="0" w:line="240" w:lineRule="auto"/>
              <w:ind w:left="219" w:hanging="218"/>
              <w:jc w:val="left"/>
              <w:rPr>
                <w:sz w:val="20"/>
                <w:szCs w:val="20"/>
              </w:rPr>
            </w:pPr>
            <w:r w:rsidRPr="009D4627">
              <w:rPr>
                <w:sz w:val="20"/>
                <w:szCs w:val="20"/>
              </w:rPr>
              <w:t xml:space="preserve">The number of </w:t>
            </w:r>
            <w:r w:rsidR="007C64BF" w:rsidRPr="009D4627">
              <w:rPr>
                <w:sz w:val="20"/>
                <w:szCs w:val="20"/>
              </w:rPr>
              <w:t>CUS</w:t>
            </w:r>
            <w:r w:rsidRPr="009D4627">
              <w:rPr>
                <w:sz w:val="20"/>
                <w:szCs w:val="20"/>
              </w:rPr>
              <w:t xml:space="preserve"> increased with increasing target velocities and were significantly higher in O than Y adults</w:t>
            </w:r>
            <w:r w:rsidR="00547D87" w:rsidRPr="009D4627">
              <w:rPr>
                <w:sz w:val="20"/>
                <w:szCs w:val="20"/>
              </w:rPr>
              <w:t>.</w:t>
            </w:r>
          </w:p>
          <w:p w14:paraId="470269EE" w14:textId="77777777" w:rsidR="000D1311" w:rsidRPr="009D4627" w:rsidRDefault="000D1311" w:rsidP="00CC31A9">
            <w:pPr>
              <w:pStyle w:val="ListParagraph"/>
              <w:spacing w:before="0" w:after="0" w:line="240" w:lineRule="auto"/>
              <w:ind w:left="219"/>
              <w:jc w:val="left"/>
              <w:rPr>
                <w:sz w:val="20"/>
                <w:szCs w:val="20"/>
              </w:rPr>
            </w:pPr>
          </w:p>
          <w:p w14:paraId="48B7BD38" w14:textId="77641397" w:rsidR="00547D87" w:rsidRPr="009D4627" w:rsidRDefault="000D1311" w:rsidP="00CC31A9">
            <w:pPr>
              <w:spacing w:before="0" w:after="0" w:line="240" w:lineRule="auto"/>
              <w:ind w:left="1"/>
              <w:jc w:val="left"/>
              <w:rPr>
                <w:sz w:val="20"/>
                <w:szCs w:val="20"/>
              </w:rPr>
            </w:pPr>
            <w:r w:rsidRPr="009D4627">
              <w:rPr>
                <w:sz w:val="20"/>
                <w:szCs w:val="20"/>
              </w:rPr>
              <w:t>S</w:t>
            </w:r>
            <w:r w:rsidR="00547D87" w:rsidRPr="009D4627">
              <w:rPr>
                <w:sz w:val="20"/>
                <w:szCs w:val="20"/>
              </w:rPr>
              <w:t>P latencies (</w:t>
            </w:r>
            <w:proofErr w:type="spellStart"/>
            <w:r w:rsidR="00547D87" w:rsidRPr="009D4627">
              <w:rPr>
                <w:sz w:val="20"/>
                <w:szCs w:val="20"/>
              </w:rPr>
              <w:t>ms</w:t>
            </w:r>
            <w:proofErr w:type="spellEnd"/>
            <w:r w:rsidR="00547D87" w:rsidRPr="009D4627">
              <w:rPr>
                <w:sz w:val="20"/>
                <w:szCs w:val="20"/>
              </w:rPr>
              <w:t>):</w:t>
            </w:r>
          </w:p>
          <w:tbl>
            <w:tblPr>
              <w:tblStyle w:val="TableGrid"/>
              <w:tblW w:w="0" w:type="auto"/>
              <w:tblInd w:w="67" w:type="dxa"/>
              <w:tblLook w:val="04A0" w:firstRow="1" w:lastRow="0" w:firstColumn="1" w:lastColumn="0" w:noHBand="0" w:noVBand="1"/>
            </w:tblPr>
            <w:tblGrid>
              <w:gridCol w:w="1625"/>
              <w:gridCol w:w="1255"/>
              <w:gridCol w:w="1255"/>
              <w:gridCol w:w="1256"/>
            </w:tblGrid>
            <w:tr w:rsidR="00547D87" w:rsidRPr="009D4627" w14:paraId="50DCBD58" w14:textId="77777777" w:rsidTr="00357ADB">
              <w:tc>
                <w:tcPr>
                  <w:tcW w:w="0" w:type="auto"/>
                  <w:tcBorders>
                    <w:tl2br w:val="single" w:sz="4" w:space="0" w:color="auto"/>
                  </w:tcBorders>
                </w:tcPr>
                <w:p w14:paraId="4BE2D6A0" w14:textId="77777777" w:rsidR="00547D87" w:rsidRPr="009D4627" w:rsidRDefault="00547D87" w:rsidP="00CC31A9">
                  <w:pPr>
                    <w:pStyle w:val="ListParagraph"/>
                    <w:spacing w:before="0" w:after="0" w:line="240" w:lineRule="auto"/>
                    <w:jc w:val="left"/>
                    <w:rPr>
                      <w:sz w:val="20"/>
                      <w:szCs w:val="20"/>
                    </w:rPr>
                  </w:pPr>
                  <w:r w:rsidRPr="009D4627">
                    <w:rPr>
                      <w:sz w:val="20"/>
                      <w:szCs w:val="20"/>
                    </w:rPr>
                    <w:t>Velocity</w:t>
                  </w:r>
                </w:p>
                <w:p w14:paraId="58508453" w14:textId="133C4C71" w:rsidR="00547D87" w:rsidRPr="009D4627" w:rsidRDefault="00357ADB" w:rsidP="00CC31A9">
                  <w:pPr>
                    <w:spacing w:before="0" w:after="0" w:line="240" w:lineRule="auto"/>
                    <w:jc w:val="left"/>
                    <w:rPr>
                      <w:sz w:val="20"/>
                      <w:szCs w:val="20"/>
                    </w:rPr>
                  </w:pPr>
                  <w:r w:rsidRPr="009D4627">
                    <w:rPr>
                      <w:sz w:val="20"/>
                      <w:szCs w:val="20"/>
                    </w:rPr>
                    <w:t>Age</w:t>
                  </w:r>
                  <w:r w:rsidR="00240140" w:rsidRPr="009D4627">
                    <w:rPr>
                      <w:sz w:val="20"/>
                      <w:szCs w:val="20"/>
                    </w:rPr>
                    <w:t xml:space="preserve"> </w:t>
                  </w:r>
                  <w:r w:rsidR="00547D87" w:rsidRPr="009D4627">
                    <w:rPr>
                      <w:sz w:val="20"/>
                      <w:szCs w:val="20"/>
                    </w:rPr>
                    <w:t>Group</w:t>
                  </w:r>
                </w:p>
              </w:tc>
              <w:tc>
                <w:tcPr>
                  <w:tcW w:w="1255" w:type="dxa"/>
                </w:tcPr>
                <w:p w14:paraId="23F159F1" w14:textId="21348749" w:rsidR="00547D87" w:rsidRPr="009D4627" w:rsidRDefault="00547D87" w:rsidP="00CC31A9">
                  <w:pPr>
                    <w:spacing w:before="0" w:after="0" w:line="240" w:lineRule="auto"/>
                    <w:jc w:val="left"/>
                    <w:rPr>
                      <w:sz w:val="20"/>
                      <w:szCs w:val="20"/>
                    </w:rPr>
                  </w:pPr>
                  <w:r w:rsidRPr="009D4627">
                    <w:rPr>
                      <w:sz w:val="20"/>
                      <w:szCs w:val="20"/>
                    </w:rPr>
                    <w:t>5°/s</w:t>
                  </w:r>
                </w:p>
              </w:tc>
              <w:tc>
                <w:tcPr>
                  <w:tcW w:w="1255" w:type="dxa"/>
                </w:tcPr>
                <w:p w14:paraId="7D143AB4" w14:textId="0903B161" w:rsidR="00547D87" w:rsidRPr="009D4627" w:rsidRDefault="00547D87" w:rsidP="00CC31A9">
                  <w:pPr>
                    <w:spacing w:before="0" w:after="0" w:line="240" w:lineRule="auto"/>
                    <w:jc w:val="left"/>
                    <w:rPr>
                      <w:sz w:val="20"/>
                      <w:szCs w:val="20"/>
                    </w:rPr>
                  </w:pPr>
                  <w:r w:rsidRPr="009D4627">
                    <w:rPr>
                      <w:sz w:val="20"/>
                      <w:szCs w:val="20"/>
                    </w:rPr>
                    <w:t>10°/s</w:t>
                  </w:r>
                </w:p>
              </w:tc>
              <w:tc>
                <w:tcPr>
                  <w:tcW w:w="1256" w:type="dxa"/>
                </w:tcPr>
                <w:p w14:paraId="0C1D0886" w14:textId="7736B67C" w:rsidR="00547D87" w:rsidRPr="009D4627" w:rsidRDefault="00547D87" w:rsidP="00CC31A9">
                  <w:pPr>
                    <w:spacing w:before="0" w:after="0" w:line="240" w:lineRule="auto"/>
                    <w:jc w:val="left"/>
                    <w:rPr>
                      <w:sz w:val="20"/>
                      <w:szCs w:val="20"/>
                    </w:rPr>
                  </w:pPr>
                  <w:r w:rsidRPr="009D4627">
                    <w:rPr>
                      <w:sz w:val="20"/>
                      <w:szCs w:val="20"/>
                    </w:rPr>
                    <w:t>20°/s</w:t>
                  </w:r>
                </w:p>
              </w:tc>
            </w:tr>
            <w:tr w:rsidR="00547D87" w:rsidRPr="009D4627" w14:paraId="74866991" w14:textId="77777777" w:rsidTr="00357ADB">
              <w:tc>
                <w:tcPr>
                  <w:tcW w:w="0" w:type="auto"/>
                </w:tcPr>
                <w:p w14:paraId="3F58A971" w14:textId="77777777" w:rsidR="00547D87" w:rsidRPr="009D4627" w:rsidRDefault="00547D87" w:rsidP="00CC31A9">
                  <w:pPr>
                    <w:spacing w:before="0" w:after="0" w:line="240" w:lineRule="auto"/>
                    <w:jc w:val="left"/>
                    <w:rPr>
                      <w:sz w:val="20"/>
                      <w:szCs w:val="20"/>
                    </w:rPr>
                  </w:pPr>
                  <w:r w:rsidRPr="009D4627">
                    <w:rPr>
                      <w:sz w:val="20"/>
                      <w:szCs w:val="20"/>
                    </w:rPr>
                    <w:t>Y</w:t>
                  </w:r>
                </w:p>
              </w:tc>
              <w:tc>
                <w:tcPr>
                  <w:tcW w:w="1255" w:type="dxa"/>
                </w:tcPr>
                <w:p w14:paraId="47693109" w14:textId="6DB8934D" w:rsidR="00547D87" w:rsidRPr="009D4627" w:rsidRDefault="00547D87" w:rsidP="00CC31A9">
                  <w:pPr>
                    <w:spacing w:before="0" w:after="0" w:line="240" w:lineRule="auto"/>
                    <w:jc w:val="left"/>
                    <w:rPr>
                      <w:sz w:val="20"/>
                      <w:szCs w:val="20"/>
                    </w:rPr>
                  </w:pPr>
                  <w:r w:rsidRPr="009D4627">
                    <w:rPr>
                      <w:sz w:val="20"/>
                      <w:szCs w:val="20"/>
                    </w:rPr>
                    <w:t>131 ±</w:t>
                  </w:r>
                  <w:r w:rsidR="000D1311" w:rsidRPr="009D4627">
                    <w:rPr>
                      <w:sz w:val="20"/>
                      <w:szCs w:val="20"/>
                    </w:rPr>
                    <w:t xml:space="preserve"> </w:t>
                  </w:r>
                  <w:r w:rsidRPr="009D4627">
                    <w:rPr>
                      <w:sz w:val="20"/>
                      <w:szCs w:val="20"/>
                    </w:rPr>
                    <w:t>23</w:t>
                  </w:r>
                </w:p>
              </w:tc>
              <w:tc>
                <w:tcPr>
                  <w:tcW w:w="1255" w:type="dxa"/>
                </w:tcPr>
                <w:p w14:paraId="298B1012" w14:textId="2F22BAB7" w:rsidR="00547D87" w:rsidRPr="009D4627" w:rsidRDefault="00547D87" w:rsidP="00CC31A9">
                  <w:pPr>
                    <w:pStyle w:val="ListParagraph"/>
                    <w:spacing w:before="0" w:after="0" w:line="240" w:lineRule="auto"/>
                    <w:ind w:left="0"/>
                    <w:jc w:val="left"/>
                    <w:rPr>
                      <w:sz w:val="20"/>
                      <w:szCs w:val="20"/>
                    </w:rPr>
                  </w:pPr>
                  <w:r w:rsidRPr="009D4627">
                    <w:rPr>
                      <w:sz w:val="20"/>
                      <w:szCs w:val="20"/>
                    </w:rPr>
                    <w:t>138</w:t>
                  </w:r>
                  <w:r w:rsidR="000B4B47"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21</w:t>
                  </w:r>
                </w:p>
              </w:tc>
              <w:tc>
                <w:tcPr>
                  <w:tcW w:w="1256" w:type="dxa"/>
                </w:tcPr>
                <w:p w14:paraId="56F4484C" w14:textId="5ABDE11D" w:rsidR="00547D87" w:rsidRPr="009D4627" w:rsidRDefault="00547D87" w:rsidP="00CC31A9">
                  <w:pPr>
                    <w:pStyle w:val="ListParagraph"/>
                    <w:spacing w:before="0" w:after="0" w:line="240" w:lineRule="auto"/>
                    <w:ind w:left="0"/>
                    <w:jc w:val="left"/>
                    <w:rPr>
                      <w:sz w:val="20"/>
                      <w:szCs w:val="20"/>
                    </w:rPr>
                  </w:pPr>
                  <w:r w:rsidRPr="009D4627">
                    <w:rPr>
                      <w:sz w:val="20"/>
                      <w:szCs w:val="20"/>
                    </w:rPr>
                    <w:t>134</w:t>
                  </w:r>
                  <w:r w:rsidR="000B4B47"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34</w:t>
                  </w:r>
                </w:p>
              </w:tc>
            </w:tr>
            <w:tr w:rsidR="00547D87" w:rsidRPr="009D4627" w14:paraId="28B70487" w14:textId="77777777" w:rsidTr="00357ADB">
              <w:tc>
                <w:tcPr>
                  <w:tcW w:w="0" w:type="auto"/>
                </w:tcPr>
                <w:p w14:paraId="638CD756" w14:textId="77777777" w:rsidR="00547D87" w:rsidRPr="009D4627" w:rsidRDefault="00547D87" w:rsidP="00CC31A9">
                  <w:pPr>
                    <w:pStyle w:val="ListParagraph"/>
                    <w:spacing w:before="0" w:after="0" w:line="240" w:lineRule="auto"/>
                    <w:ind w:left="34"/>
                    <w:jc w:val="left"/>
                    <w:rPr>
                      <w:sz w:val="20"/>
                      <w:szCs w:val="20"/>
                    </w:rPr>
                  </w:pPr>
                  <w:r w:rsidRPr="009D4627">
                    <w:rPr>
                      <w:sz w:val="20"/>
                      <w:szCs w:val="20"/>
                    </w:rPr>
                    <w:t>O</w:t>
                  </w:r>
                </w:p>
              </w:tc>
              <w:tc>
                <w:tcPr>
                  <w:tcW w:w="1255" w:type="dxa"/>
                </w:tcPr>
                <w:p w14:paraId="2D2DDB3B" w14:textId="5CF7F299" w:rsidR="00547D87" w:rsidRPr="009D4627" w:rsidRDefault="00547D87" w:rsidP="00CC31A9">
                  <w:pPr>
                    <w:pStyle w:val="ListParagraph"/>
                    <w:spacing w:before="0" w:after="0" w:line="240" w:lineRule="auto"/>
                    <w:ind w:left="0"/>
                    <w:jc w:val="left"/>
                    <w:rPr>
                      <w:sz w:val="20"/>
                      <w:szCs w:val="20"/>
                    </w:rPr>
                  </w:pPr>
                  <w:r w:rsidRPr="009D4627">
                    <w:rPr>
                      <w:sz w:val="20"/>
                      <w:szCs w:val="20"/>
                    </w:rPr>
                    <w:t>176 ±</w:t>
                  </w:r>
                  <w:r w:rsidR="000D1311" w:rsidRPr="009D4627">
                    <w:rPr>
                      <w:sz w:val="20"/>
                      <w:szCs w:val="20"/>
                    </w:rPr>
                    <w:t xml:space="preserve"> </w:t>
                  </w:r>
                  <w:r w:rsidRPr="009D4627">
                    <w:rPr>
                      <w:sz w:val="20"/>
                      <w:szCs w:val="20"/>
                    </w:rPr>
                    <w:t>33</w:t>
                  </w:r>
                </w:p>
              </w:tc>
              <w:tc>
                <w:tcPr>
                  <w:tcW w:w="1255" w:type="dxa"/>
                </w:tcPr>
                <w:p w14:paraId="534029DE" w14:textId="6261BDDE" w:rsidR="00547D87" w:rsidRPr="009D4627" w:rsidRDefault="00547D87" w:rsidP="00CC31A9">
                  <w:pPr>
                    <w:pStyle w:val="ListParagraph"/>
                    <w:spacing w:before="0" w:after="0" w:line="240" w:lineRule="auto"/>
                    <w:ind w:left="0"/>
                    <w:jc w:val="left"/>
                    <w:rPr>
                      <w:sz w:val="20"/>
                      <w:szCs w:val="20"/>
                    </w:rPr>
                  </w:pPr>
                  <w:r w:rsidRPr="009D4627">
                    <w:rPr>
                      <w:sz w:val="20"/>
                      <w:szCs w:val="20"/>
                    </w:rPr>
                    <w:t>183</w:t>
                  </w:r>
                  <w:r w:rsidR="000B4B47"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49</w:t>
                  </w:r>
                </w:p>
              </w:tc>
              <w:tc>
                <w:tcPr>
                  <w:tcW w:w="1256" w:type="dxa"/>
                </w:tcPr>
                <w:p w14:paraId="5F9315C5" w14:textId="0FB5EE64" w:rsidR="00547D87" w:rsidRPr="009D4627" w:rsidRDefault="00547D87" w:rsidP="00CC31A9">
                  <w:pPr>
                    <w:pStyle w:val="ListParagraph"/>
                    <w:spacing w:before="0" w:after="0" w:line="240" w:lineRule="auto"/>
                    <w:ind w:left="0"/>
                    <w:jc w:val="left"/>
                    <w:rPr>
                      <w:sz w:val="20"/>
                      <w:szCs w:val="20"/>
                    </w:rPr>
                  </w:pPr>
                  <w:r w:rsidRPr="009D4627">
                    <w:rPr>
                      <w:sz w:val="20"/>
                      <w:szCs w:val="20"/>
                    </w:rPr>
                    <w:t>169</w:t>
                  </w:r>
                  <w:r w:rsidR="000B4B47"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37</w:t>
                  </w:r>
                </w:p>
              </w:tc>
            </w:tr>
            <w:tr w:rsidR="00547D87" w:rsidRPr="009D4627" w14:paraId="2FBEF503" w14:textId="77777777" w:rsidTr="00357ADB">
              <w:tc>
                <w:tcPr>
                  <w:tcW w:w="0" w:type="auto"/>
                </w:tcPr>
                <w:p w14:paraId="10358058" w14:textId="77777777" w:rsidR="00547D87" w:rsidRPr="009D4627" w:rsidRDefault="00547D87" w:rsidP="00CC31A9">
                  <w:pPr>
                    <w:pStyle w:val="ListParagraph"/>
                    <w:spacing w:before="0" w:after="0" w:line="240" w:lineRule="auto"/>
                    <w:ind w:left="34"/>
                    <w:jc w:val="left"/>
                    <w:rPr>
                      <w:sz w:val="20"/>
                      <w:szCs w:val="20"/>
                    </w:rPr>
                  </w:pPr>
                  <w:r w:rsidRPr="009D4627">
                    <w:rPr>
                      <w:sz w:val="20"/>
                      <w:szCs w:val="20"/>
                    </w:rPr>
                    <w:t>Difference</w:t>
                  </w:r>
                </w:p>
              </w:tc>
              <w:tc>
                <w:tcPr>
                  <w:tcW w:w="1255" w:type="dxa"/>
                </w:tcPr>
                <w:p w14:paraId="6F896684" w14:textId="77777777" w:rsidR="00547D87" w:rsidRPr="009D4627" w:rsidRDefault="00547D87" w:rsidP="00CC31A9">
                  <w:pPr>
                    <w:pStyle w:val="ListParagraph"/>
                    <w:spacing w:before="0" w:after="0" w:line="240" w:lineRule="auto"/>
                    <w:ind w:left="0"/>
                    <w:jc w:val="left"/>
                    <w:rPr>
                      <w:sz w:val="20"/>
                      <w:szCs w:val="20"/>
                    </w:rPr>
                  </w:pPr>
                  <w:r w:rsidRPr="009D4627">
                    <w:rPr>
                      <w:sz w:val="20"/>
                      <w:szCs w:val="20"/>
                    </w:rPr>
                    <w:t>45</w:t>
                  </w:r>
                </w:p>
              </w:tc>
              <w:tc>
                <w:tcPr>
                  <w:tcW w:w="1255" w:type="dxa"/>
                </w:tcPr>
                <w:p w14:paraId="052EB8CA" w14:textId="77777777" w:rsidR="00547D87" w:rsidRPr="009D4627" w:rsidRDefault="00547D87" w:rsidP="00CC31A9">
                  <w:pPr>
                    <w:pStyle w:val="ListParagraph"/>
                    <w:spacing w:before="0" w:after="0" w:line="240" w:lineRule="auto"/>
                    <w:ind w:left="0"/>
                    <w:jc w:val="left"/>
                    <w:rPr>
                      <w:sz w:val="20"/>
                      <w:szCs w:val="20"/>
                    </w:rPr>
                  </w:pPr>
                  <w:r w:rsidRPr="009D4627">
                    <w:rPr>
                      <w:sz w:val="20"/>
                      <w:szCs w:val="20"/>
                    </w:rPr>
                    <w:t>45</w:t>
                  </w:r>
                </w:p>
              </w:tc>
              <w:tc>
                <w:tcPr>
                  <w:tcW w:w="1256" w:type="dxa"/>
                </w:tcPr>
                <w:p w14:paraId="6C73C0F9" w14:textId="77777777" w:rsidR="00547D87" w:rsidRPr="009D4627" w:rsidRDefault="00547D87" w:rsidP="00CC31A9">
                  <w:pPr>
                    <w:pStyle w:val="ListParagraph"/>
                    <w:spacing w:before="0" w:after="0" w:line="240" w:lineRule="auto"/>
                    <w:ind w:left="0"/>
                    <w:jc w:val="left"/>
                    <w:rPr>
                      <w:sz w:val="20"/>
                      <w:szCs w:val="20"/>
                    </w:rPr>
                  </w:pPr>
                  <w:r w:rsidRPr="009D4627">
                    <w:rPr>
                      <w:sz w:val="20"/>
                      <w:szCs w:val="20"/>
                    </w:rPr>
                    <w:t>35</w:t>
                  </w:r>
                </w:p>
              </w:tc>
            </w:tr>
          </w:tbl>
          <w:p w14:paraId="4BCA44F0" w14:textId="77777777" w:rsidR="00547D87" w:rsidRPr="009D4627" w:rsidRDefault="00547D87" w:rsidP="00CC31A9">
            <w:pPr>
              <w:pStyle w:val="ListParagraph"/>
              <w:spacing w:before="0" w:after="0" w:line="240" w:lineRule="auto"/>
              <w:jc w:val="left"/>
              <w:rPr>
                <w:sz w:val="20"/>
                <w:szCs w:val="20"/>
              </w:rPr>
            </w:pPr>
          </w:p>
          <w:p w14:paraId="29C384A7" w14:textId="6D423D3F" w:rsidR="00547D87" w:rsidRPr="009D4627" w:rsidRDefault="000D1311" w:rsidP="00CC31A9">
            <w:pPr>
              <w:spacing w:before="0" w:after="0" w:line="240" w:lineRule="auto"/>
              <w:jc w:val="left"/>
              <w:rPr>
                <w:sz w:val="20"/>
                <w:szCs w:val="20"/>
              </w:rPr>
            </w:pPr>
            <w:r w:rsidRPr="009D4627">
              <w:rPr>
                <w:sz w:val="20"/>
                <w:szCs w:val="20"/>
              </w:rPr>
              <w:t>S</w:t>
            </w:r>
            <w:r w:rsidR="00547D87" w:rsidRPr="009D4627">
              <w:rPr>
                <w:sz w:val="20"/>
                <w:szCs w:val="20"/>
              </w:rPr>
              <w:t>P gains:</w:t>
            </w:r>
          </w:p>
          <w:tbl>
            <w:tblPr>
              <w:tblStyle w:val="TableGrid"/>
              <w:tblW w:w="0" w:type="auto"/>
              <w:tblInd w:w="67" w:type="dxa"/>
              <w:tblLook w:val="04A0" w:firstRow="1" w:lastRow="0" w:firstColumn="1" w:lastColumn="0" w:noHBand="0" w:noVBand="1"/>
            </w:tblPr>
            <w:tblGrid>
              <w:gridCol w:w="1636"/>
              <w:gridCol w:w="1246"/>
              <w:gridCol w:w="1246"/>
              <w:gridCol w:w="1247"/>
            </w:tblGrid>
            <w:tr w:rsidR="00547D87" w:rsidRPr="009D4627" w14:paraId="653BF528" w14:textId="77777777" w:rsidTr="00240140">
              <w:tc>
                <w:tcPr>
                  <w:tcW w:w="1636" w:type="dxa"/>
                  <w:tcBorders>
                    <w:tl2br w:val="single" w:sz="4" w:space="0" w:color="auto"/>
                  </w:tcBorders>
                </w:tcPr>
                <w:p w14:paraId="4CC4CFDC" w14:textId="77777777" w:rsidR="00547D87" w:rsidRPr="009D4627" w:rsidRDefault="00547D87" w:rsidP="00CC31A9">
                  <w:pPr>
                    <w:pStyle w:val="ListParagraph"/>
                    <w:spacing w:before="0" w:after="0" w:line="240" w:lineRule="auto"/>
                    <w:jc w:val="left"/>
                    <w:rPr>
                      <w:sz w:val="20"/>
                      <w:szCs w:val="20"/>
                    </w:rPr>
                  </w:pPr>
                  <w:r w:rsidRPr="009D4627">
                    <w:rPr>
                      <w:sz w:val="20"/>
                      <w:szCs w:val="20"/>
                    </w:rPr>
                    <w:t>Velocity</w:t>
                  </w:r>
                </w:p>
                <w:p w14:paraId="356718EB" w14:textId="558A016F" w:rsidR="00547D87" w:rsidRPr="009D4627" w:rsidRDefault="00240140" w:rsidP="00CC31A9">
                  <w:pPr>
                    <w:spacing w:before="0" w:after="0" w:line="240" w:lineRule="auto"/>
                    <w:jc w:val="left"/>
                    <w:rPr>
                      <w:sz w:val="20"/>
                      <w:szCs w:val="20"/>
                    </w:rPr>
                  </w:pPr>
                  <w:r w:rsidRPr="009D4627">
                    <w:rPr>
                      <w:sz w:val="20"/>
                      <w:szCs w:val="20"/>
                    </w:rPr>
                    <w:t xml:space="preserve">Age </w:t>
                  </w:r>
                  <w:r w:rsidR="00547D87" w:rsidRPr="009D4627">
                    <w:rPr>
                      <w:sz w:val="20"/>
                      <w:szCs w:val="20"/>
                    </w:rPr>
                    <w:t>Group</w:t>
                  </w:r>
                </w:p>
              </w:tc>
              <w:tc>
                <w:tcPr>
                  <w:tcW w:w="1246" w:type="dxa"/>
                </w:tcPr>
                <w:p w14:paraId="4F33BBB9" w14:textId="6CEC6386" w:rsidR="00547D87" w:rsidRPr="009D4627" w:rsidRDefault="00547D87" w:rsidP="00CC31A9">
                  <w:pPr>
                    <w:spacing w:before="0" w:after="0" w:line="240" w:lineRule="auto"/>
                    <w:ind w:left="-30"/>
                    <w:jc w:val="left"/>
                    <w:rPr>
                      <w:sz w:val="20"/>
                      <w:szCs w:val="20"/>
                    </w:rPr>
                  </w:pPr>
                  <w:r w:rsidRPr="009D4627">
                    <w:rPr>
                      <w:sz w:val="20"/>
                      <w:szCs w:val="20"/>
                    </w:rPr>
                    <w:t>5°/s</w:t>
                  </w:r>
                </w:p>
              </w:tc>
              <w:tc>
                <w:tcPr>
                  <w:tcW w:w="1246" w:type="dxa"/>
                </w:tcPr>
                <w:p w14:paraId="0EB58592" w14:textId="43B2F494" w:rsidR="00547D87" w:rsidRPr="009D4627" w:rsidRDefault="00547D87" w:rsidP="00CC31A9">
                  <w:pPr>
                    <w:spacing w:before="0" w:after="0" w:line="240" w:lineRule="auto"/>
                    <w:ind w:left="-30"/>
                    <w:jc w:val="left"/>
                    <w:rPr>
                      <w:sz w:val="20"/>
                      <w:szCs w:val="20"/>
                    </w:rPr>
                  </w:pPr>
                  <w:r w:rsidRPr="009D4627">
                    <w:rPr>
                      <w:sz w:val="20"/>
                      <w:szCs w:val="20"/>
                    </w:rPr>
                    <w:t>10°/s</w:t>
                  </w:r>
                </w:p>
              </w:tc>
              <w:tc>
                <w:tcPr>
                  <w:tcW w:w="1247" w:type="dxa"/>
                </w:tcPr>
                <w:p w14:paraId="64D1F1F3" w14:textId="435DB6FE" w:rsidR="00547D87" w:rsidRPr="009D4627" w:rsidRDefault="00547D87" w:rsidP="00CC31A9">
                  <w:pPr>
                    <w:spacing w:before="0" w:after="0" w:line="240" w:lineRule="auto"/>
                    <w:ind w:left="-30"/>
                    <w:jc w:val="left"/>
                    <w:rPr>
                      <w:sz w:val="20"/>
                      <w:szCs w:val="20"/>
                    </w:rPr>
                  </w:pPr>
                  <w:r w:rsidRPr="009D4627">
                    <w:rPr>
                      <w:sz w:val="20"/>
                      <w:szCs w:val="20"/>
                    </w:rPr>
                    <w:t>20°/s</w:t>
                  </w:r>
                </w:p>
              </w:tc>
            </w:tr>
            <w:tr w:rsidR="00547D87" w:rsidRPr="009D4627" w14:paraId="4BD64BC7" w14:textId="77777777" w:rsidTr="00240140">
              <w:tc>
                <w:tcPr>
                  <w:tcW w:w="1636" w:type="dxa"/>
                </w:tcPr>
                <w:p w14:paraId="4838DF5D" w14:textId="77777777" w:rsidR="00547D87" w:rsidRPr="009D4627" w:rsidRDefault="00547D87" w:rsidP="00CC31A9">
                  <w:pPr>
                    <w:spacing w:before="0" w:after="0" w:line="240" w:lineRule="auto"/>
                    <w:jc w:val="left"/>
                    <w:rPr>
                      <w:sz w:val="20"/>
                      <w:szCs w:val="20"/>
                    </w:rPr>
                  </w:pPr>
                  <w:r w:rsidRPr="009D4627">
                    <w:rPr>
                      <w:sz w:val="20"/>
                      <w:szCs w:val="20"/>
                    </w:rPr>
                    <w:t>Y</w:t>
                  </w:r>
                </w:p>
              </w:tc>
              <w:tc>
                <w:tcPr>
                  <w:tcW w:w="1246" w:type="dxa"/>
                </w:tcPr>
                <w:p w14:paraId="48DDD8D6" w14:textId="77777777" w:rsidR="00547D87" w:rsidRPr="009D4627" w:rsidRDefault="00547D87" w:rsidP="00CC31A9">
                  <w:pPr>
                    <w:spacing w:before="0" w:after="0" w:line="240" w:lineRule="auto"/>
                    <w:ind w:left="-30"/>
                    <w:jc w:val="left"/>
                    <w:rPr>
                      <w:sz w:val="20"/>
                      <w:szCs w:val="20"/>
                    </w:rPr>
                  </w:pPr>
                  <w:r w:rsidRPr="009D4627">
                    <w:rPr>
                      <w:sz w:val="20"/>
                      <w:szCs w:val="20"/>
                    </w:rPr>
                    <w:t>0.98</w:t>
                  </w:r>
                </w:p>
              </w:tc>
              <w:tc>
                <w:tcPr>
                  <w:tcW w:w="1246" w:type="dxa"/>
                </w:tcPr>
                <w:p w14:paraId="01D472B9" w14:textId="77777777" w:rsidR="00547D87" w:rsidRPr="009D4627" w:rsidRDefault="00547D87" w:rsidP="00CC31A9">
                  <w:pPr>
                    <w:pStyle w:val="ListParagraph"/>
                    <w:spacing w:before="0" w:after="0" w:line="240" w:lineRule="auto"/>
                    <w:ind w:left="-30"/>
                    <w:jc w:val="left"/>
                    <w:rPr>
                      <w:sz w:val="20"/>
                      <w:szCs w:val="20"/>
                    </w:rPr>
                  </w:pPr>
                  <w:r w:rsidRPr="009D4627">
                    <w:rPr>
                      <w:sz w:val="20"/>
                      <w:szCs w:val="20"/>
                    </w:rPr>
                    <w:t>0.96</w:t>
                  </w:r>
                </w:p>
              </w:tc>
              <w:tc>
                <w:tcPr>
                  <w:tcW w:w="1247" w:type="dxa"/>
                </w:tcPr>
                <w:p w14:paraId="4E41C2AD" w14:textId="77777777" w:rsidR="00547D87" w:rsidRPr="009D4627" w:rsidRDefault="00547D87" w:rsidP="00CC31A9">
                  <w:pPr>
                    <w:pStyle w:val="ListParagraph"/>
                    <w:spacing w:before="0" w:after="0" w:line="240" w:lineRule="auto"/>
                    <w:ind w:left="-30"/>
                    <w:jc w:val="left"/>
                    <w:rPr>
                      <w:sz w:val="20"/>
                      <w:szCs w:val="20"/>
                    </w:rPr>
                  </w:pPr>
                  <w:r w:rsidRPr="009D4627">
                    <w:rPr>
                      <w:sz w:val="20"/>
                      <w:szCs w:val="20"/>
                    </w:rPr>
                    <w:t>0.98</w:t>
                  </w:r>
                </w:p>
              </w:tc>
            </w:tr>
            <w:tr w:rsidR="00547D87" w:rsidRPr="009D4627" w14:paraId="5FD80C86" w14:textId="77777777" w:rsidTr="00240140">
              <w:tc>
                <w:tcPr>
                  <w:tcW w:w="1636" w:type="dxa"/>
                </w:tcPr>
                <w:p w14:paraId="7725F578" w14:textId="77777777" w:rsidR="00547D87" w:rsidRPr="009D4627" w:rsidRDefault="00547D87" w:rsidP="00CC31A9">
                  <w:pPr>
                    <w:pStyle w:val="ListParagraph"/>
                    <w:spacing w:before="0" w:after="0" w:line="240" w:lineRule="auto"/>
                    <w:ind w:left="0"/>
                    <w:jc w:val="left"/>
                    <w:rPr>
                      <w:sz w:val="20"/>
                      <w:szCs w:val="20"/>
                    </w:rPr>
                  </w:pPr>
                  <w:r w:rsidRPr="009D4627">
                    <w:rPr>
                      <w:sz w:val="20"/>
                      <w:szCs w:val="20"/>
                    </w:rPr>
                    <w:t>O</w:t>
                  </w:r>
                </w:p>
              </w:tc>
              <w:tc>
                <w:tcPr>
                  <w:tcW w:w="1246" w:type="dxa"/>
                </w:tcPr>
                <w:p w14:paraId="0646F72E" w14:textId="77777777" w:rsidR="00547D87" w:rsidRPr="009D4627" w:rsidRDefault="00547D87" w:rsidP="00CC31A9">
                  <w:pPr>
                    <w:pStyle w:val="ListParagraph"/>
                    <w:spacing w:before="0" w:after="0" w:line="240" w:lineRule="auto"/>
                    <w:ind w:left="-30"/>
                    <w:jc w:val="left"/>
                    <w:rPr>
                      <w:sz w:val="20"/>
                      <w:szCs w:val="20"/>
                    </w:rPr>
                  </w:pPr>
                  <w:r w:rsidRPr="009D4627">
                    <w:rPr>
                      <w:sz w:val="20"/>
                      <w:szCs w:val="20"/>
                    </w:rPr>
                    <w:t>0.94</w:t>
                  </w:r>
                </w:p>
              </w:tc>
              <w:tc>
                <w:tcPr>
                  <w:tcW w:w="1246" w:type="dxa"/>
                </w:tcPr>
                <w:p w14:paraId="6B85597A" w14:textId="77777777" w:rsidR="00547D87" w:rsidRPr="009D4627" w:rsidRDefault="00547D87" w:rsidP="00CC31A9">
                  <w:pPr>
                    <w:pStyle w:val="ListParagraph"/>
                    <w:spacing w:before="0" w:after="0" w:line="240" w:lineRule="auto"/>
                    <w:ind w:left="-30"/>
                    <w:jc w:val="left"/>
                    <w:rPr>
                      <w:sz w:val="20"/>
                      <w:szCs w:val="20"/>
                    </w:rPr>
                  </w:pPr>
                  <w:r w:rsidRPr="009D4627">
                    <w:rPr>
                      <w:sz w:val="20"/>
                      <w:szCs w:val="20"/>
                    </w:rPr>
                    <w:t>0.78</w:t>
                  </w:r>
                </w:p>
              </w:tc>
              <w:tc>
                <w:tcPr>
                  <w:tcW w:w="1247" w:type="dxa"/>
                </w:tcPr>
                <w:p w14:paraId="75C69F3E" w14:textId="77777777" w:rsidR="00547D87" w:rsidRPr="009D4627" w:rsidRDefault="00547D87" w:rsidP="00CC31A9">
                  <w:pPr>
                    <w:pStyle w:val="ListParagraph"/>
                    <w:spacing w:before="0" w:after="0" w:line="240" w:lineRule="auto"/>
                    <w:ind w:left="-30"/>
                    <w:jc w:val="left"/>
                    <w:rPr>
                      <w:sz w:val="20"/>
                      <w:szCs w:val="20"/>
                    </w:rPr>
                  </w:pPr>
                  <w:r w:rsidRPr="009D4627">
                    <w:rPr>
                      <w:sz w:val="20"/>
                      <w:szCs w:val="20"/>
                    </w:rPr>
                    <w:t>0.70</w:t>
                  </w:r>
                </w:p>
              </w:tc>
            </w:tr>
          </w:tbl>
          <w:p w14:paraId="7E656C62" w14:textId="77777777" w:rsidR="00547D87" w:rsidRPr="009D4627" w:rsidRDefault="00547D87" w:rsidP="00CC31A9">
            <w:pPr>
              <w:spacing w:before="0" w:after="0" w:line="240" w:lineRule="auto"/>
              <w:jc w:val="left"/>
              <w:rPr>
                <w:sz w:val="20"/>
                <w:szCs w:val="20"/>
              </w:rPr>
            </w:pPr>
          </w:p>
        </w:tc>
      </w:tr>
      <w:tr w:rsidR="00547D87" w:rsidRPr="009D4627" w14:paraId="74D7B138" w14:textId="77777777" w:rsidTr="0099065C">
        <w:tc>
          <w:tcPr>
            <w:tcW w:w="1020" w:type="dxa"/>
          </w:tcPr>
          <w:p w14:paraId="41EE3708" w14:textId="77777777" w:rsidR="00547D87" w:rsidRPr="009D4627" w:rsidRDefault="00547D87" w:rsidP="00CC31A9">
            <w:pPr>
              <w:spacing w:before="0" w:after="0" w:line="240" w:lineRule="auto"/>
              <w:jc w:val="left"/>
              <w:rPr>
                <w:sz w:val="20"/>
                <w:szCs w:val="20"/>
              </w:rPr>
            </w:pPr>
            <w:r w:rsidRPr="009D4627">
              <w:rPr>
                <w:sz w:val="20"/>
                <w:szCs w:val="20"/>
              </w:rPr>
              <w:t>Hutton et al. (1983)</w:t>
            </w:r>
          </w:p>
        </w:tc>
        <w:tc>
          <w:tcPr>
            <w:tcW w:w="1850" w:type="dxa"/>
          </w:tcPr>
          <w:p w14:paraId="6AC1F396" w14:textId="77777777" w:rsidR="00547D87" w:rsidRPr="009D4627" w:rsidRDefault="00547D87" w:rsidP="00CC31A9">
            <w:pPr>
              <w:spacing w:before="0" w:after="0" w:line="240" w:lineRule="auto"/>
              <w:jc w:val="left"/>
              <w:rPr>
                <w:sz w:val="20"/>
                <w:szCs w:val="20"/>
              </w:rPr>
            </w:pPr>
            <w:r w:rsidRPr="009D4627">
              <w:rPr>
                <w:sz w:val="20"/>
                <w:szCs w:val="20"/>
              </w:rPr>
              <w:t>Total participants, n=52</w:t>
            </w:r>
          </w:p>
          <w:p w14:paraId="2DAABED9" w14:textId="77777777" w:rsidR="00547D87" w:rsidRPr="009D4627" w:rsidRDefault="00547D87" w:rsidP="00CC31A9">
            <w:pPr>
              <w:spacing w:before="0" w:after="0" w:line="240" w:lineRule="auto"/>
              <w:jc w:val="left"/>
              <w:rPr>
                <w:sz w:val="20"/>
                <w:szCs w:val="20"/>
              </w:rPr>
            </w:pPr>
          </w:p>
          <w:p w14:paraId="0A686041" w14:textId="0ADF0DDE" w:rsidR="00547D87" w:rsidRPr="009D4627" w:rsidRDefault="00547D87" w:rsidP="00CC31A9">
            <w:pPr>
              <w:pStyle w:val="ListParagraph"/>
              <w:numPr>
                <w:ilvl w:val="0"/>
                <w:numId w:val="35"/>
              </w:numPr>
              <w:spacing w:before="0" w:after="0" w:line="240" w:lineRule="auto"/>
              <w:ind w:left="155" w:hanging="142"/>
              <w:jc w:val="left"/>
              <w:rPr>
                <w:sz w:val="20"/>
                <w:szCs w:val="20"/>
              </w:rPr>
            </w:pPr>
            <w:r w:rsidRPr="009D4627">
              <w:rPr>
                <w:sz w:val="20"/>
                <w:szCs w:val="20"/>
              </w:rPr>
              <w:t>O men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17) Age range 56</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84 years (mean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68.9)</w:t>
            </w:r>
          </w:p>
          <w:p w14:paraId="614153C9" w14:textId="03E178BF" w:rsidR="00547D87" w:rsidRPr="009D4627" w:rsidRDefault="00547D87" w:rsidP="00CC31A9">
            <w:pPr>
              <w:pStyle w:val="ListParagraph"/>
              <w:numPr>
                <w:ilvl w:val="0"/>
                <w:numId w:val="35"/>
              </w:numPr>
              <w:spacing w:before="0" w:after="0" w:line="240" w:lineRule="auto"/>
              <w:ind w:left="155" w:hanging="142"/>
              <w:jc w:val="left"/>
              <w:rPr>
                <w:sz w:val="20"/>
                <w:szCs w:val="20"/>
              </w:rPr>
            </w:pPr>
            <w:r w:rsidRPr="009D4627">
              <w:rPr>
                <w:sz w:val="20"/>
                <w:szCs w:val="20"/>
              </w:rPr>
              <w:t>O women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16) Age range 58</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78 years (mean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66.9)</w:t>
            </w:r>
          </w:p>
          <w:p w14:paraId="22382C60" w14:textId="40A6C36F" w:rsidR="00547D87" w:rsidRPr="009D4627" w:rsidRDefault="00547D87" w:rsidP="00CC31A9">
            <w:pPr>
              <w:pStyle w:val="ListParagraph"/>
              <w:numPr>
                <w:ilvl w:val="0"/>
                <w:numId w:val="35"/>
              </w:numPr>
              <w:spacing w:before="0" w:after="0" w:line="240" w:lineRule="auto"/>
              <w:ind w:left="155" w:hanging="142"/>
              <w:jc w:val="left"/>
              <w:rPr>
                <w:sz w:val="20"/>
                <w:szCs w:val="20"/>
              </w:rPr>
            </w:pPr>
            <w:r w:rsidRPr="009D4627">
              <w:rPr>
                <w:sz w:val="20"/>
                <w:szCs w:val="20"/>
              </w:rPr>
              <w:t>Y men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11) Age range 24</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36 (mean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 xml:space="preserve">29.6) </w:t>
            </w:r>
          </w:p>
          <w:p w14:paraId="600B16FF" w14:textId="43879989" w:rsidR="00547D87" w:rsidRPr="009D4627" w:rsidRDefault="00547D87" w:rsidP="00CC31A9">
            <w:pPr>
              <w:pStyle w:val="ListParagraph"/>
              <w:numPr>
                <w:ilvl w:val="0"/>
                <w:numId w:val="35"/>
              </w:numPr>
              <w:spacing w:before="0" w:after="0" w:line="240" w:lineRule="auto"/>
              <w:ind w:left="155" w:hanging="142"/>
              <w:jc w:val="left"/>
              <w:rPr>
                <w:sz w:val="20"/>
                <w:szCs w:val="20"/>
              </w:rPr>
            </w:pPr>
            <w:r w:rsidRPr="009D4627">
              <w:rPr>
                <w:sz w:val="20"/>
                <w:szCs w:val="20"/>
              </w:rPr>
              <w:lastRenderedPageBreak/>
              <w:t>Y women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8) Age range 23</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29 (mean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26.9)</w:t>
            </w:r>
          </w:p>
        </w:tc>
        <w:tc>
          <w:tcPr>
            <w:tcW w:w="1113" w:type="dxa"/>
          </w:tcPr>
          <w:p w14:paraId="272B2102" w14:textId="77777777" w:rsidR="00547D87" w:rsidRPr="009D4627" w:rsidRDefault="00547D87" w:rsidP="00CC31A9">
            <w:pPr>
              <w:spacing w:before="0" w:after="0" w:line="240" w:lineRule="auto"/>
              <w:jc w:val="left"/>
              <w:rPr>
                <w:sz w:val="20"/>
                <w:szCs w:val="20"/>
              </w:rPr>
            </w:pPr>
          </w:p>
          <w:p w14:paraId="144F6255" w14:textId="77777777" w:rsidR="003B5592" w:rsidRPr="009D4627" w:rsidRDefault="003B5592" w:rsidP="003B5592">
            <w:pPr>
              <w:rPr>
                <w:sz w:val="20"/>
                <w:szCs w:val="20"/>
              </w:rPr>
            </w:pPr>
          </w:p>
          <w:p w14:paraId="6763A2AF" w14:textId="77777777" w:rsidR="003B5592" w:rsidRPr="009D4627" w:rsidRDefault="003B5592" w:rsidP="003B5592">
            <w:pPr>
              <w:rPr>
                <w:sz w:val="20"/>
                <w:szCs w:val="20"/>
              </w:rPr>
            </w:pPr>
          </w:p>
          <w:p w14:paraId="60E616CE" w14:textId="77777777" w:rsidR="003B5592" w:rsidRPr="009D4627" w:rsidRDefault="003B5592" w:rsidP="003B5592">
            <w:pPr>
              <w:rPr>
                <w:sz w:val="20"/>
                <w:szCs w:val="20"/>
              </w:rPr>
            </w:pPr>
          </w:p>
          <w:p w14:paraId="5693C19E" w14:textId="77777777" w:rsidR="003B5592" w:rsidRPr="009D4627" w:rsidRDefault="003B5592" w:rsidP="003B5592">
            <w:pPr>
              <w:rPr>
                <w:sz w:val="20"/>
                <w:szCs w:val="20"/>
              </w:rPr>
            </w:pPr>
          </w:p>
          <w:p w14:paraId="247E105A" w14:textId="7605C642" w:rsidR="003B5592" w:rsidRPr="009D4627" w:rsidRDefault="003B5592" w:rsidP="003B5592">
            <w:pPr>
              <w:rPr>
                <w:sz w:val="20"/>
                <w:szCs w:val="20"/>
              </w:rPr>
            </w:pPr>
          </w:p>
        </w:tc>
        <w:tc>
          <w:tcPr>
            <w:tcW w:w="1918" w:type="dxa"/>
          </w:tcPr>
          <w:p w14:paraId="13460CC3" w14:textId="77777777" w:rsidR="00547D87" w:rsidRPr="009D4627" w:rsidRDefault="00547D87" w:rsidP="00CC31A9">
            <w:pPr>
              <w:pStyle w:val="ListParagraph"/>
              <w:spacing w:before="0" w:after="0" w:line="240" w:lineRule="auto"/>
              <w:ind w:left="135"/>
              <w:jc w:val="left"/>
              <w:rPr>
                <w:sz w:val="20"/>
                <w:szCs w:val="20"/>
              </w:rPr>
            </w:pPr>
            <w:r w:rsidRPr="009D4627">
              <w:rPr>
                <w:sz w:val="20"/>
                <w:szCs w:val="20"/>
              </w:rPr>
              <w:lastRenderedPageBreak/>
              <w:t>Two frequencies of sinusoidal wave stimuli, 0.2 and 0.4 Hz across 23° visual arc</w:t>
            </w:r>
          </w:p>
          <w:p w14:paraId="016453EF" w14:textId="77777777" w:rsidR="00547D87" w:rsidRPr="009D4627" w:rsidRDefault="00547D87" w:rsidP="00CC31A9">
            <w:pPr>
              <w:pStyle w:val="ListParagraph"/>
              <w:spacing w:before="0" w:after="0" w:line="240" w:lineRule="auto"/>
              <w:ind w:left="135"/>
              <w:jc w:val="left"/>
              <w:rPr>
                <w:sz w:val="20"/>
                <w:szCs w:val="20"/>
              </w:rPr>
            </w:pPr>
          </w:p>
          <w:p w14:paraId="00F4A90E" w14:textId="77777777" w:rsidR="00547D87" w:rsidRPr="009D4627" w:rsidRDefault="00547D87" w:rsidP="00CC31A9">
            <w:pPr>
              <w:pStyle w:val="ListParagraph"/>
              <w:spacing w:before="0" w:after="0" w:line="240" w:lineRule="auto"/>
              <w:jc w:val="left"/>
              <w:rPr>
                <w:sz w:val="20"/>
                <w:szCs w:val="20"/>
              </w:rPr>
            </w:pPr>
          </w:p>
          <w:p w14:paraId="45063E87" w14:textId="77777777" w:rsidR="00547D87" w:rsidRPr="009D4627" w:rsidRDefault="00547D87" w:rsidP="00CC31A9">
            <w:pPr>
              <w:pStyle w:val="ListParagraph"/>
              <w:spacing w:before="0" w:after="0" w:line="240" w:lineRule="auto"/>
              <w:jc w:val="left"/>
              <w:rPr>
                <w:sz w:val="20"/>
                <w:szCs w:val="20"/>
              </w:rPr>
            </w:pPr>
          </w:p>
        </w:tc>
        <w:tc>
          <w:tcPr>
            <w:tcW w:w="1907" w:type="dxa"/>
          </w:tcPr>
          <w:p w14:paraId="1B99881D" w14:textId="662F2F7F" w:rsidR="00547D87" w:rsidRPr="009D4627" w:rsidRDefault="007C64BF" w:rsidP="00CC31A9">
            <w:pPr>
              <w:pStyle w:val="ListParagraph"/>
              <w:numPr>
                <w:ilvl w:val="0"/>
                <w:numId w:val="40"/>
              </w:numPr>
              <w:spacing w:before="0" w:after="0" w:line="240" w:lineRule="auto"/>
              <w:ind w:left="194" w:hanging="218"/>
              <w:jc w:val="left"/>
              <w:rPr>
                <w:sz w:val="20"/>
                <w:szCs w:val="20"/>
              </w:rPr>
            </w:pPr>
            <w:r w:rsidRPr="009D4627">
              <w:rPr>
                <w:sz w:val="20"/>
                <w:szCs w:val="20"/>
              </w:rPr>
              <w:t>CUS</w:t>
            </w:r>
            <w:r w:rsidR="00547D87" w:rsidRPr="009D4627">
              <w:rPr>
                <w:sz w:val="20"/>
                <w:szCs w:val="20"/>
              </w:rPr>
              <w:t xml:space="preserve"> index</w:t>
            </w:r>
          </w:p>
        </w:tc>
        <w:tc>
          <w:tcPr>
            <w:tcW w:w="6193" w:type="dxa"/>
          </w:tcPr>
          <w:p w14:paraId="6C077B34" w14:textId="596E7ABE" w:rsidR="00547D87" w:rsidRPr="009D4627" w:rsidRDefault="00EE5F66" w:rsidP="00CC31A9">
            <w:pPr>
              <w:pStyle w:val="ListParagraph"/>
              <w:numPr>
                <w:ilvl w:val="0"/>
                <w:numId w:val="41"/>
              </w:numPr>
              <w:spacing w:before="0" w:after="0" w:line="240" w:lineRule="auto"/>
              <w:ind w:left="202" w:hanging="218"/>
              <w:jc w:val="left"/>
              <w:rPr>
                <w:sz w:val="20"/>
                <w:szCs w:val="20"/>
              </w:rPr>
            </w:pPr>
            <w:r w:rsidRPr="009D4627">
              <w:rPr>
                <w:sz w:val="20"/>
                <w:szCs w:val="20"/>
              </w:rPr>
              <w:t>Eye-tracking performance could be affected by multiple factors such as age, gender and target velocity</w:t>
            </w:r>
            <w:r w:rsidR="00547D87" w:rsidRPr="009D4627">
              <w:rPr>
                <w:sz w:val="20"/>
                <w:szCs w:val="20"/>
              </w:rPr>
              <w:t xml:space="preserve">. </w:t>
            </w:r>
          </w:p>
          <w:p w14:paraId="760E5C58" w14:textId="2DA7B73D" w:rsidR="00547D87" w:rsidRPr="009D4627" w:rsidRDefault="00EE5F66" w:rsidP="00CC31A9">
            <w:pPr>
              <w:pStyle w:val="ListParagraph"/>
              <w:numPr>
                <w:ilvl w:val="0"/>
                <w:numId w:val="41"/>
              </w:numPr>
              <w:spacing w:before="0" w:after="0" w:line="240" w:lineRule="auto"/>
              <w:ind w:left="202" w:hanging="218"/>
              <w:jc w:val="left"/>
              <w:rPr>
                <w:sz w:val="20"/>
                <w:szCs w:val="20"/>
              </w:rPr>
            </w:pPr>
            <w:r w:rsidRPr="009D4627">
              <w:rPr>
                <w:sz w:val="20"/>
                <w:szCs w:val="20"/>
              </w:rPr>
              <w:t>The SP system was vulnerable to increasing age</w:t>
            </w:r>
            <w:r w:rsidR="00547D87" w:rsidRPr="009D4627">
              <w:rPr>
                <w:sz w:val="20"/>
                <w:szCs w:val="20"/>
              </w:rPr>
              <w:t>.</w:t>
            </w:r>
          </w:p>
          <w:p w14:paraId="1FF98FE3" w14:textId="21518B8D" w:rsidR="00547D87" w:rsidRPr="009D4627" w:rsidRDefault="00EE5F66" w:rsidP="00CC31A9">
            <w:pPr>
              <w:pStyle w:val="ListParagraph"/>
              <w:numPr>
                <w:ilvl w:val="0"/>
                <w:numId w:val="41"/>
              </w:numPr>
              <w:spacing w:before="0" w:after="0" w:line="240" w:lineRule="auto"/>
              <w:ind w:left="202" w:hanging="218"/>
              <w:jc w:val="left"/>
              <w:rPr>
                <w:sz w:val="20"/>
                <w:szCs w:val="20"/>
              </w:rPr>
            </w:pPr>
            <w:r w:rsidRPr="009D4627">
              <w:rPr>
                <w:sz w:val="20"/>
                <w:szCs w:val="20"/>
              </w:rPr>
              <w:t>Gender was thought to affect eye tracking performance due to poor tracking performance in older women, but the result was not conclusive</w:t>
            </w:r>
            <w:r w:rsidR="00547D87" w:rsidRPr="009D4627">
              <w:rPr>
                <w:sz w:val="20"/>
                <w:szCs w:val="20"/>
              </w:rPr>
              <w:t>.</w:t>
            </w:r>
          </w:p>
          <w:p w14:paraId="4411AAF1" w14:textId="3AE6E505" w:rsidR="00547D87" w:rsidRPr="009D4627" w:rsidRDefault="00EE5F66" w:rsidP="00CC31A9">
            <w:pPr>
              <w:pStyle w:val="ListParagraph"/>
              <w:numPr>
                <w:ilvl w:val="0"/>
                <w:numId w:val="41"/>
              </w:numPr>
              <w:spacing w:before="0" w:after="0" w:line="240" w:lineRule="auto"/>
              <w:ind w:left="202" w:hanging="218"/>
              <w:jc w:val="left"/>
              <w:rPr>
                <w:sz w:val="20"/>
                <w:szCs w:val="20"/>
              </w:rPr>
            </w:pPr>
            <w:r w:rsidRPr="009D4627">
              <w:rPr>
                <w:sz w:val="20"/>
                <w:szCs w:val="20"/>
              </w:rPr>
              <w:t>Poor eye tracking people could follow the target motion at the slowest velocity reasonably well. However, the fastest target velocity of 36°/s appeared to be very hard to follow, even for good eye trackers</w:t>
            </w:r>
            <w:r w:rsidR="00547D87" w:rsidRPr="009D4627">
              <w:rPr>
                <w:sz w:val="20"/>
                <w:szCs w:val="20"/>
              </w:rPr>
              <w:t xml:space="preserve">. </w:t>
            </w:r>
          </w:p>
        </w:tc>
      </w:tr>
      <w:tr w:rsidR="00547D87" w:rsidRPr="009D4627" w14:paraId="2C6101EC" w14:textId="77777777" w:rsidTr="0099065C">
        <w:tc>
          <w:tcPr>
            <w:tcW w:w="1020" w:type="dxa"/>
          </w:tcPr>
          <w:p w14:paraId="11B6B11A" w14:textId="77777777" w:rsidR="00547D87" w:rsidRPr="009D4627" w:rsidRDefault="00547D87" w:rsidP="00CC31A9">
            <w:pPr>
              <w:spacing w:before="0" w:after="0" w:line="240" w:lineRule="auto"/>
              <w:jc w:val="left"/>
              <w:rPr>
                <w:sz w:val="20"/>
                <w:szCs w:val="20"/>
              </w:rPr>
            </w:pPr>
            <w:r w:rsidRPr="009D4627">
              <w:rPr>
                <w:sz w:val="20"/>
                <w:szCs w:val="20"/>
              </w:rPr>
              <w:t>Morrow and Sharpe (1993)</w:t>
            </w:r>
          </w:p>
        </w:tc>
        <w:tc>
          <w:tcPr>
            <w:tcW w:w="1850" w:type="dxa"/>
          </w:tcPr>
          <w:p w14:paraId="28B4DA62" w14:textId="5D8DB9A4" w:rsidR="00547D87" w:rsidRPr="009D4627" w:rsidRDefault="00547D87" w:rsidP="00CC31A9">
            <w:pPr>
              <w:pStyle w:val="ListParagraph"/>
              <w:numPr>
                <w:ilvl w:val="0"/>
                <w:numId w:val="38"/>
              </w:numPr>
              <w:spacing w:before="0" w:after="0" w:line="240" w:lineRule="auto"/>
              <w:ind w:left="138" w:hanging="138"/>
              <w:jc w:val="left"/>
              <w:rPr>
                <w:sz w:val="20"/>
                <w:szCs w:val="20"/>
              </w:rPr>
            </w:pPr>
            <w:r w:rsidRPr="009D4627">
              <w:rPr>
                <w:sz w:val="20"/>
                <w:szCs w:val="20"/>
              </w:rPr>
              <w:t>Y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6): Age range 29</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35 (mean age 31)</w:t>
            </w:r>
          </w:p>
          <w:p w14:paraId="3D2AB453" w14:textId="2AED2435" w:rsidR="00547D87" w:rsidRPr="009D4627" w:rsidRDefault="00547D87" w:rsidP="00CC31A9">
            <w:pPr>
              <w:pStyle w:val="ListParagraph"/>
              <w:numPr>
                <w:ilvl w:val="0"/>
                <w:numId w:val="38"/>
              </w:numPr>
              <w:spacing w:before="0" w:after="0" w:line="240" w:lineRule="auto"/>
              <w:ind w:left="138" w:hanging="138"/>
              <w:jc w:val="left"/>
              <w:rPr>
                <w:sz w:val="20"/>
                <w:szCs w:val="20"/>
              </w:rPr>
            </w:pPr>
            <w:r w:rsidRPr="009D4627">
              <w:rPr>
                <w:sz w:val="20"/>
                <w:szCs w:val="20"/>
              </w:rPr>
              <w:t>O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5): Age range 60</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76 (mean age 67)</w:t>
            </w:r>
          </w:p>
        </w:tc>
        <w:tc>
          <w:tcPr>
            <w:tcW w:w="1113" w:type="dxa"/>
          </w:tcPr>
          <w:p w14:paraId="2A549C03" w14:textId="77777777" w:rsidR="00547D87" w:rsidRPr="009D4627" w:rsidRDefault="00547D87" w:rsidP="00CC31A9">
            <w:pPr>
              <w:spacing w:before="0" w:after="0" w:line="240" w:lineRule="auto"/>
              <w:jc w:val="left"/>
              <w:rPr>
                <w:sz w:val="20"/>
                <w:szCs w:val="20"/>
              </w:rPr>
            </w:pPr>
            <w:r w:rsidRPr="009D4627">
              <w:rPr>
                <w:sz w:val="20"/>
                <w:szCs w:val="20"/>
              </w:rPr>
              <w:t>Magnetic search coil</w:t>
            </w:r>
          </w:p>
        </w:tc>
        <w:tc>
          <w:tcPr>
            <w:tcW w:w="1918" w:type="dxa"/>
          </w:tcPr>
          <w:p w14:paraId="0AF1D9FD" w14:textId="0F408B27" w:rsidR="00547D87" w:rsidRPr="009D4627" w:rsidRDefault="00547D87" w:rsidP="00CC31A9">
            <w:pPr>
              <w:pStyle w:val="ListParagraph"/>
              <w:numPr>
                <w:ilvl w:val="0"/>
                <w:numId w:val="33"/>
              </w:numPr>
              <w:spacing w:before="0" w:after="0" w:line="240" w:lineRule="auto"/>
              <w:ind w:left="168" w:hanging="218"/>
              <w:jc w:val="left"/>
              <w:rPr>
                <w:sz w:val="20"/>
                <w:szCs w:val="20"/>
              </w:rPr>
            </w:pPr>
            <w:r w:rsidRPr="009D4627">
              <w:rPr>
                <w:sz w:val="20"/>
                <w:szCs w:val="20"/>
              </w:rPr>
              <w:t>A laser spot which subtend</w:t>
            </w:r>
            <w:r w:rsidR="000D1311" w:rsidRPr="009D4627">
              <w:rPr>
                <w:sz w:val="20"/>
                <w:szCs w:val="20"/>
              </w:rPr>
              <w:t>ed</w:t>
            </w:r>
            <w:r w:rsidRPr="009D4627">
              <w:rPr>
                <w:sz w:val="20"/>
                <w:szCs w:val="20"/>
              </w:rPr>
              <w:t xml:space="preserve"> 0.25° of visual angle</w:t>
            </w:r>
          </w:p>
          <w:p w14:paraId="7B44698B" w14:textId="01630F6D" w:rsidR="00547D87" w:rsidRPr="009D4627" w:rsidRDefault="00547D87" w:rsidP="00CC31A9">
            <w:pPr>
              <w:pStyle w:val="ListParagraph"/>
              <w:numPr>
                <w:ilvl w:val="0"/>
                <w:numId w:val="33"/>
              </w:numPr>
              <w:spacing w:before="0" w:after="0" w:line="240" w:lineRule="auto"/>
              <w:ind w:left="168" w:hanging="218"/>
              <w:jc w:val="left"/>
              <w:rPr>
                <w:sz w:val="20"/>
                <w:szCs w:val="20"/>
              </w:rPr>
            </w:pPr>
            <w:r w:rsidRPr="009D4627">
              <w:rPr>
                <w:sz w:val="20"/>
                <w:szCs w:val="20"/>
              </w:rPr>
              <w:t xml:space="preserve">Step-ramp </w:t>
            </w:r>
            <w:r w:rsidR="00F57D01" w:rsidRPr="009D4627">
              <w:rPr>
                <w:sz w:val="20"/>
                <w:szCs w:val="20"/>
              </w:rPr>
              <w:t>target</w:t>
            </w:r>
            <w:r w:rsidRPr="009D4627">
              <w:rPr>
                <w:sz w:val="20"/>
                <w:szCs w:val="20"/>
              </w:rPr>
              <w:t xml:space="preserve"> with two constant velocities (i.e., 20 and 40</w:t>
            </w:r>
            <w:r w:rsidR="000D1311" w:rsidRPr="009D4627">
              <w:rPr>
                <w:sz w:val="20"/>
                <w:szCs w:val="20"/>
              </w:rPr>
              <w:t>°/s</w:t>
            </w:r>
            <w:r w:rsidRPr="009D4627">
              <w:rPr>
                <w:sz w:val="20"/>
                <w:szCs w:val="20"/>
              </w:rPr>
              <w:t>)</w:t>
            </w:r>
          </w:p>
        </w:tc>
        <w:tc>
          <w:tcPr>
            <w:tcW w:w="1907" w:type="dxa"/>
          </w:tcPr>
          <w:p w14:paraId="0A91E0E7" w14:textId="533682C4" w:rsidR="00547D87" w:rsidRPr="009D4627" w:rsidRDefault="00547D87" w:rsidP="00CC31A9">
            <w:pPr>
              <w:pStyle w:val="ListParagraph"/>
              <w:numPr>
                <w:ilvl w:val="0"/>
                <w:numId w:val="39"/>
              </w:numPr>
              <w:spacing w:before="0" w:after="0" w:line="240" w:lineRule="auto"/>
              <w:ind w:left="103" w:hanging="142"/>
              <w:jc w:val="left"/>
              <w:rPr>
                <w:sz w:val="20"/>
                <w:szCs w:val="20"/>
              </w:rPr>
            </w:pPr>
            <w:r w:rsidRPr="009D4627">
              <w:rPr>
                <w:sz w:val="20"/>
                <w:szCs w:val="20"/>
              </w:rPr>
              <w:t>S</w:t>
            </w:r>
            <w:r w:rsidR="000D1311" w:rsidRPr="009D4627">
              <w:rPr>
                <w:sz w:val="20"/>
                <w:szCs w:val="20"/>
              </w:rPr>
              <w:t>P</w:t>
            </w:r>
            <w:r w:rsidRPr="009D4627">
              <w:rPr>
                <w:sz w:val="20"/>
                <w:szCs w:val="20"/>
              </w:rPr>
              <w:t xml:space="preserve"> latency (</w:t>
            </w:r>
            <w:proofErr w:type="spellStart"/>
            <w:r w:rsidRPr="009D4627">
              <w:rPr>
                <w:sz w:val="20"/>
                <w:szCs w:val="20"/>
              </w:rPr>
              <w:t>ms</w:t>
            </w:r>
            <w:proofErr w:type="spellEnd"/>
            <w:r w:rsidRPr="009D4627">
              <w:rPr>
                <w:sz w:val="20"/>
                <w:szCs w:val="20"/>
              </w:rPr>
              <w:t>)</w:t>
            </w:r>
          </w:p>
          <w:p w14:paraId="196DA482" w14:textId="77777777" w:rsidR="00547D87" w:rsidRPr="009D4627" w:rsidRDefault="00547D87" w:rsidP="00CC31A9">
            <w:pPr>
              <w:pStyle w:val="ListParagraph"/>
              <w:spacing w:before="0" w:after="0" w:line="240" w:lineRule="auto"/>
              <w:ind w:left="103" w:hanging="142"/>
              <w:jc w:val="left"/>
              <w:rPr>
                <w:sz w:val="20"/>
                <w:szCs w:val="20"/>
              </w:rPr>
            </w:pPr>
          </w:p>
        </w:tc>
        <w:tc>
          <w:tcPr>
            <w:tcW w:w="6193" w:type="dxa"/>
          </w:tcPr>
          <w:p w14:paraId="1E4CD79C" w14:textId="55EF2283" w:rsidR="00547D87" w:rsidRPr="009D4627" w:rsidRDefault="00EE5F66" w:rsidP="00CC31A9">
            <w:pPr>
              <w:pStyle w:val="ListParagraph"/>
              <w:numPr>
                <w:ilvl w:val="0"/>
                <w:numId w:val="34"/>
              </w:numPr>
              <w:spacing w:before="0" w:after="0" w:line="240" w:lineRule="auto"/>
              <w:ind w:left="270" w:hanging="270"/>
              <w:jc w:val="left"/>
              <w:rPr>
                <w:sz w:val="20"/>
                <w:szCs w:val="20"/>
              </w:rPr>
            </w:pPr>
            <w:r w:rsidRPr="009D4627">
              <w:rPr>
                <w:sz w:val="20"/>
                <w:szCs w:val="20"/>
              </w:rPr>
              <w:t>S</w:t>
            </w:r>
            <w:r w:rsidR="00547D87" w:rsidRPr="009D4627">
              <w:rPr>
                <w:sz w:val="20"/>
                <w:szCs w:val="20"/>
              </w:rPr>
              <w:t xml:space="preserve">P latency was </w:t>
            </w:r>
            <w:r w:rsidR="00547D87" w:rsidRPr="009D4627">
              <w:rPr>
                <w:b/>
                <w:bCs/>
                <w:sz w:val="20"/>
                <w:szCs w:val="20"/>
              </w:rPr>
              <w:t>not significantly affected</w:t>
            </w:r>
            <w:r w:rsidR="00547D87" w:rsidRPr="009D4627">
              <w:rPr>
                <w:sz w:val="20"/>
                <w:szCs w:val="20"/>
              </w:rPr>
              <w:t xml:space="preserve"> by increasing age and target velocity.</w:t>
            </w:r>
          </w:p>
          <w:p w14:paraId="520BEBC2" w14:textId="77777777" w:rsidR="00EE5F66" w:rsidRPr="009D4627" w:rsidRDefault="00EE5F66" w:rsidP="00CC31A9">
            <w:pPr>
              <w:pStyle w:val="ListParagraph"/>
              <w:spacing w:before="0" w:after="0" w:line="240" w:lineRule="auto"/>
              <w:ind w:left="270"/>
              <w:jc w:val="left"/>
              <w:rPr>
                <w:sz w:val="20"/>
                <w:szCs w:val="20"/>
              </w:rPr>
            </w:pPr>
          </w:p>
          <w:p w14:paraId="04F840FC" w14:textId="62AE909E" w:rsidR="00547D87" w:rsidRPr="009D4627" w:rsidRDefault="00EE5F66" w:rsidP="00CC31A9">
            <w:pPr>
              <w:spacing w:before="0" w:after="0" w:line="240" w:lineRule="auto"/>
              <w:jc w:val="left"/>
              <w:rPr>
                <w:sz w:val="20"/>
                <w:szCs w:val="20"/>
              </w:rPr>
            </w:pPr>
            <w:r w:rsidRPr="009D4627">
              <w:rPr>
                <w:sz w:val="20"/>
                <w:szCs w:val="20"/>
              </w:rPr>
              <w:t>S</w:t>
            </w:r>
            <w:r w:rsidR="00547D87" w:rsidRPr="009D4627">
              <w:rPr>
                <w:sz w:val="20"/>
                <w:szCs w:val="20"/>
              </w:rPr>
              <w:t>P latency (</w:t>
            </w:r>
            <w:proofErr w:type="spellStart"/>
            <w:r w:rsidR="00547D87" w:rsidRPr="009D4627">
              <w:rPr>
                <w:sz w:val="20"/>
                <w:szCs w:val="20"/>
              </w:rPr>
              <w:t>ms</w:t>
            </w:r>
            <w:proofErr w:type="spellEnd"/>
            <w:r w:rsidR="00547D87" w:rsidRPr="009D4627">
              <w:rPr>
                <w:sz w:val="20"/>
                <w:szCs w:val="20"/>
              </w:rPr>
              <w:t>):</w:t>
            </w:r>
          </w:p>
          <w:tbl>
            <w:tblPr>
              <w:tblStyle w:val="TableGrid"/>
              <w:tblW w:w="0" w:type="auto"/>
              <w:tblInd w:w="144" w:type="dxa"/>
              <w:tblLook w:val="04A0" w:firstRow="1" w:lastRow="0" w:firstColumn="1" w:lastColumn="0" w:noHBand="0" w:noVBand="1"/>
            </w:tblPr>
            <w:tblGrid>
              <w:gridCol w:w="1625"/>
              <w:gridCol w:w="1221"/>
              <w:gridCol w:w="1276"/>
            </w:tblGrid>
            <w:tr w:rsidR="00547D87" w:rsidRPr="009D4627" w14:paraId="3AA5B6EB" w14:textId="77777777" w:rsidTr="00EE5F66">
              <w:tc>
                <w:tcPr>
                  <w:tcW w:w="0" w:type="auto"/>
                  <w:tcBorders>
                    <w:tl2br w:val="single" w:sz="4" w:space="0" w:color="auto"/>
                  </w:tcBorders>
                </w:tcPr>
                <w:p w14:paraId="42E1B7B2" w14:textId="77777777" w:rsidR="00547D87" w:rsidRPr="009D4627" w:rsidRDefault="00547D87" w:rsidP="00CC31A9">
                  <w:pPr>
                    <w:pStyle w:val="ListParagraph"/>
                    <w:spacing w:before="0" w:after="0" w:line="240" w:lineRule="auto"/>
                    <w:jc w:val="left"/>
                    <w:rPr>
                      <w:sz w:val="20"/>
                      <w:szCs w:val="20"/>
                    </w:rPr>
                  </w:pPr>
                  <w:r w:rsidRPr="009D4627">
                    <w:rPr>
                      <w:sz w:val="20"/>
                      <w:szCs w:val="20"/>
                    </w:rPr>
                    <w:t>Velocity</w:t>
                  </w:r>
                </w:p>
                <w:p w14:paraId="685111AF" w14:textId="3854FBD1" w:rsidR="00547D87" w:rsidRPr="009D4627" w:rsidRDefault="00547D87" w:rsidP="00CC31A9">
                  <w:pPr>
                    <w:pStyle w:val="ListParagraph"/>
                    <w:spacing w:before="0" w:after="0" w:line="240" w:lineRule="auto"/>
                    <w:ind w:left="0"/>
                    <w:jc w:val="left"/>
                    <w:rPr>
                      <w:sz w:val="20"/>
                      <w:szCs w:val="20"/>
                    </w:rPr>
                  </w:pPr>
                  <w:r w:rsidRPr="009D4627">
                    <w:rPr>
                      <w:sz w:val="20"/>
                      <w:szCs w:val="20"/>
                    </w:rPr>
                    <w:t>Age</w:t>
                  </w:r>
                  <w:r w:rsidR="00067115" w:rsidRPr="009D4627">
                    <w:rPr>
                      <w:sz w:val="20"/>
                      <w:szCs w:val="20"/>
                    </w:rPr>
                    <w:t xml:space="preserve"> group</w:t>
                  </w:r>
                </w:p>
              </w:tc>
              <w:tc>
                <w:tcPr>
                  <w:tcW w:w="1221" w:type="dxa"/>
                </w:tcPr>
                <w:p w14:paraId="0920679B" w14:textId="5DEEDE94" w:rsidR="00547D87" w:rsidRPr="009D4627" w:rsidRDefault="00547D87" w:rsidP="00CC31A9">
                  <w:pPr>
                    <w:spacing w:before="0" w:after="0" w:line="240" w:lineRule="auto"/>
                    <w:jc w:val="left"/>
                    <w:rPr>
                      <w:sz w:val="20"/>
                      <w:szCs w:val="20"/>
                    </w:rPr>
                  </w:pPr>
                  <w:r w:rsidRPr="009D4627">
                    <w:rPr>
                      <w:sz w:val="20"/>
                      <w:szCs w:val="20"/>
                    </w:rPr>
                    <w:t>20°/s</w:t>
                  </w:r>
                </w:p>
              </w:tc>
              <w:tc>
                <w:tcPr>
                  <w:tcW w:w="1276" w:type="dxa"/>
                </w:tcPr>
                <w:p w14:paraId="3B33508B" w14:textId="2FDDC429" w:rsidR="00547D87" w:rsidRPr="009D4627" w:rsidRDefault="00547D87" w:rsidP="00CC31A9">
                  <w:pPr>
                    <w:spacing w:before="0" w:after="0" w:line="240" w:lineRule="auto"/>
                    <w:jc w:val="left"/>
                    <w:rPr>
                      <w:sz w:val="20"/>
                      <w:szCs w:val="20"/>
                    </w:rPr>
                  </w:pPr>
                  <w:r w:rsidRPr="009D4627">
                    <w:rPr>
                      <w:sz w:val="20"/>
                      <w:szCs w:val="20"/>
                    </w:rPr>
                    <w:t>40°/s</w:t>
                  </w:r>
                </w:p>
              </w:tc>
            </w:tr>
            <w:tr w:rsidR="00547D87" w:rsidRPr="009D4627" w14:paraId="26C61A62" w14:textId="77777777" w:rsidTr="00EE5F66">
              <w:tc>
                <w:tcPr>
                  <w:tcW w:w="0" w:type="auto"/>
                </w:tcPr>
                <w:p w14:paraId="026727B9" w14:textId="77777777" w:rsidR="00547D87" w:rsidRPr="009D4627" w:rsidRDefault="00547D87" w:rsidP="00CC31A9">
                  <w:pPr>
                    <w:spacing w:before="0" w:after="0" w:line="240" w:lineRule="auto"/>
                    <w:jc w:val="center"/>
                    <w:rPr>
                      <w:sz w:val="20"/>
                      <w:szCs w:val="20"/>
                    </w:rPr>
                  </w:pPr>
                  <w:r w:rsidRPr="009D4627">
                    <w:rPr>
                      <w:sz w:val="20"/>
                      <w:szCs w:val="20"/>
                    </w:rPr>
                    <w:t>Y</w:t>
                  </w:r>
                </w:p>
              </w:tc>
              <w:tc>
                <w:tcPr>
                  <w:tcW w:w="1221" w:type="dxa"/>
                </w:tcPr>
                <w:p w14:paraId="4A6B8939" w14:textId="535AD686" w:rsidR="00547D87" w:rsidRPr="009D4627" w:rsidRDefault="00547D87" w:rsidP="00CC31A9">
                  <w:pPr>
                    <w:spacing w:before="0" w:after="0" w:line="240" w:lineRule="auto"/>
                    <w:rPr>
                      <w:sz w:val="20"/>
                      <w:szCs w:val="20"/>
                    </w:rPr>
                  </w:pPr>
                  <w:r w:rsidRPr="009D4627">
                    <w:rPr>
                      <w:sz w:val="20"/>
                      <w:szCs w:val="20"/>
                    </w:rPr>
                    <w:t>137</w:t>
                  </w:r>
                  <w:r w:rsidR="00EE5F66" w:rsidRPr="009D4627">
                    <w:rPr>
                      <w:sz w:val="20"/>
                      <w:szCs w:val="20"/>
                    </w:rPr>
                    <w:t xml:space="preserve"> </w:t>
                  </w:r>
                  <w:r w:rsidRPr="009D4627">
                    <w:rPr>
                      <w:sz w:val="20"/>
                      <w:szCs w:val="20"/>
                    </w:rPr>
                    <w:t>±</w:t>
                  </w:r>
                  <w:r w:rsidR="00EE5F66" w:rsidRPr="009D4627">
                    <w:rPr>
                      <w:sz w:val="20"/>
                      <w:szCs w:val="20"/>
                    </w:rPr>
                    <w:t xml:space="preserve"> </w:t>
                  </w:r>
                  <w:r w:rsidRPr="009D4627">
                    <w:rPr>
                      <w:sz w:val="20"/>
                      <w:szCs w:val="20"/>
                    </w:rPr>
                    <w:t>41</w:t>
                  </w:r>
                </w:p>
              </w:tc>
              <w:tc>
                <w:tcPr>
                  <w:tcW w:w="1276" w:type="dxa"/>
                </w:tcPr>
                <w:p w14:paraId="1A7C1F36" w14:textId="4C1921D9" w:rsidR="00547D87" w:rsidRPr="009D4627" w:rsidRDefault="00547D87" w:rsidP="00CC31A9">
                  <w:pPr>
                    <w:pStyle w:val="ListParagraph"/>
                    <w:spacing w:before="0" w:after="0" w:line="240" w:lineRule="auto"/>
                    <w:ind w:left="0"/>
                    <w:jc w:val="left"/>
                    <w:rPr>
                      <w:sz w:val="20"/>
                      <w:szCs w:val="20"/>
                    </w:rPr>
                  </w:pPr>
                  <w:r w:rsidRPr="009D4627">
                    <w:rPr>
                      <w:sz w:val="20"/>
                      <w:szCs w:val="20"/>
                    </w:rPr>
                    <w:t>132</w:t>
                  </w:r>
                  <w:r w:rsidR="00EE5F66" w:rsidRPr="009D4627">
                    <w:rPr>
                      <w:sz w:val="20"/>
                      <w:szCs w:val="20"/>
                    </w:rPr>
                    <w:t xml:space="preserve"> </w:t>
                  </w:r>
                  <w:r w:rsidRPr="009D4627">
                    <w:rPr>
                      <w:sz w:val="20"/>
                      <w:szCs w:val="20"/>
                    </w:rPr>
                    <w:t>±</w:t>
                  </w:r>
                  <w:r w:rsidR="00EE5F66" w:rsidRPr="009D4627">
                    <w:rPr>
                      <w:sz w:val="20"/>
                      <w:szCs w:val="20"/>
                    </w:rPr>
                    <w:t xml:space="preserve"> </w:t>
                  </w:r>
                  <w:r w:rsidRPr="009D4627">
                    <w:rPr>
                      <w:sz w:val="20"/>
                      <w:szCs w:val="20"/>
                    </w:rPr>
                    <w:t>40</w:t>
                  </w:r>
                </w:p>
              </w:tc>
            </w:tr>
            <w:tr w:rsidR="00547D87" w:rsidRPr="009D4627" w14:paraId="45BB70CF" w14:textId="77777777" w:rsidTr="00EE5F66">
              <w:tc>
                <w:tcPr>
                  <w:tcW w:w="0" w:type="auto"/>
                </w:tcPr>
                <w:p w14:paraId="18EEEB2F" w14:textId="77777777" w:rsidR="00547D87" w:rsidRPr="009D4627" w:rsidRDefault="00547D87" w:rsidP="00CC31A9">
                  <w:pPr>
                    <w:pStyle w:val="ListParagraph"/>
                    <w:spacing w:before="0" w:after="0" w:line="240" w:lineRule="auto"/>
                    <w:ind w:left="0"/>
                    <w:jc w:val="center"/>
                    <w:rPr>
                      <w:sz w:val="20"/>
                      <w:szCs w:val="20"/>
                    </w:rPr>
                  </w:pPr>
                  <w:r w:rsidRPr="009D4627">
                    <w:rPr>
                      <w:sz w:val="20"/>
                      <w:szCs w:val="20"/>
                    </w:rPr>
                    <w:t>O</w:t>
                  </w:r>
                </w:p>
              </w:tc>
              <w:tc>
                <w:tcPr>
                  <w:tcW w:w="1221" w:type="dxa"/>
                </w:tcPr>
                <w:p w14:paraId="20C12BCA" w14:textId="085EBD9A" w:rsidR="00547D87" w:rsidRPr="009D4627" w:rsidRDefault="00547D87" w:rsidP="00CC31A9">
                  <w:pPr>
                    <w:pStyle w:val="ListParagraph"/>
                    <w:spacing w:before="0" w:after="0" w:line="240" w:lineRule="auto"/>
                    <w:ind w:left="0"/>
                    <w:rPr>
                      <w:sz w:val="20"/>
                      <w:szCs w:val="20"/>
                    </w:rPr>
                  </w:pPr>
                  <w:r w:rsidRPr="009D4627">
                    <w:rPr>
                      <w:sz w:val="20"/>
                      <w:szCs w:val="20"/>
                    </w:rPr>
                    <w:t>130</w:t>
                  </w:r>
                  <w:r w:rsidR="00EE5F66" w:rsidRPr="009D4627">
                    <w:rPr>
                      <w:sz w:val="20"/>
                      <w:szCs w:val="20"/>
                    </w:rPr>
                    <w:t xml:space="preserve"> </w:t>
                  </w:r>
                  <w:r w:rsidRPr="009D4627">
                    <w:rPr>
                      <w:sz w:val="20"/>
                      <w:szCs w:val="20"/>
                    </w:rPr>
                    <w:t>±</w:t>
                  </w:r>
                  <w:r w:rsidR="00EE5F66" w:rsidRPr="009D4627">
                    <w:rPr>
                      <w:sz w:val="20"/>
                      <w:szCs w:val="20"/>
                    </w:rPr>
                    <w:t xml:space="preserve"> </w:t>
                  </w:r>
                  <w:r w:rsidRPr="009D4627">
                    <w:rPr>
                      <w:sz w:val="20"/>
                      <w:szCs w:val="20"/>
                    </w:rPr>
                    <w:t>35</w:t>
                  </w:r>
                </w:p>
              </w:tc>
              <w:tc>
                <w:tcPr>
                  <w:tcW w:w="1276" w:type="dxa"/>
                </w:tcPr>
                <w:p w14:paraId="2DB9A353" w14:textId="2306C326" w:rsidR="00547D87" w:rsidRPr="009D4627" w:rsidRDefault="00547D87" w:rsidP="00CC31A9">
                  <w:pPr>
                    <w:pStyle w:val="ListParagraph"/>
                    <w:spacing w:before="0" w:after="0" w:line="240" w:lineRule="auto"/>
                    <w:ind w:left="0"/>
                    <w:jc w:val="left"/>
                    <w:rPr>
                      <w:sz w:val="20"/>
                      <w:szCs w:val="20"/>
                    </w:rPr>
                  </w:pPr>
                  <w:r w:rsidRPr="009D4627">
                    <w:rPr>
                      <w:sz w:val="20"/>
                      <w:szCs w:val="20"/>
                    </w:rPr>
                    <w:t>135</w:t>
                  </w:r>
                  <w:r w:rsidR="00EE5F66" w:rsidRPr="009D4627">
                    <w:rPr>
                      <w:sz w:val="20"/>
                      <w:szCs w:val="20"/>
                    </w:rPr>
                    <w:t xml:space="preserve"> </w:t>
                  </w:r>
                  <w:r w:rsidRPr="009D4627">
                    <w:rPr>
                      <w:sz w:val="20"/>
                      <w:szCs w:val="20"/>
                    </w:rPr>
                    <w:t>±</w:t>
                  </w:r>
                  <w:r w:rsidR="00EE5F66" w:rsidRPr="009D4627">
                    <w:rPr>
                      <w:sz w:val="20"/>
                      <w:szCs w:val="20"/>
                    </w:rPr>
                    <w:t xml:space="preserve"> </w:t>
                  </w:r>
                  <w:r w:rsidRPr="009D4627">
                    <w:rPr>
                      <w:sz w:val="20"/>
                      <w:szCs w:val="20"/>
                    </w:rPr>
                    <w:t>37</w:t>
                  </w:r>
                </w:p>
              </w:tc>
            </w:tr>
          </w:tbl>
          <w:p w14:paraId="42E37DE1" w14:textId="77777777" w:rsidR="00547D87" w:rsidRPr="009D4627" w:rsidRDefault="00547D87" w:rsidP="00CC31A9">
            <w:pPr>
              <w:spacing w:before="0" w:after="0" w:line="240" w:lineRule="auto"/>
              <w:jc w:val="left"/>
              <w:rPr>
                <w:sz w:val="20"/>
                <w:szCs w:val="20"/>
              </w:rPr>
            </w:pPr>
          </w:p>
        </w:tc>
      </w:tr>
      <w:tr w:rsidR="00547D87" w:rsidRPr="009D4627" w14:paraId="0B56BD68" w14:textId="77777777" w:rsidTr="0099065C">
        <w:tc>
          <w:tcPr>
            <w:tcW w:w="1020" w:type="dxa"/>
          </w:tcPr>
          <w:p w14:paraId="209384C4" w14:textId="77777777" w:rsidR="00547D87" w:rsidRPr="009D4627" w:rsidRDefault="00547D87" w:rsidP="00CC31A9">
            <w:pPr>
              <w:spacing w:before="0" w:after="0" w:line="240" w:lineRule="auto"/>
              <w:jc w:val="left"/>
              <w:rPr>
                <w:sz w:val="20"/>
                <w:szCs w:val="20"/>
              </w:rPr>
            </w:pPr>
            <w:proofErr w:type="spellStart"/>
            <w:r w:rsidRPr="009D4627">
              <w:rPr>
                <w:sz w:val="20"/>
                <w:szCs w:val="20"/>
              </w:rPr>
              <w:t>Rottach</w:t>
            </w:r>
            <w:proofErr w:type="spellEnd"/>
            <w:r w:rsidRPr="009D4627">
              <w:rPr>
                <w:sz w:val="20"/>
                <w:szCs w:val="20"/>
              </w:rPr>
              <w:t xml:space="preserve"> et al. (1996)</w:t>
            </w:r>
          </w:p>
        </w:tc>
        <w:tc>
          <w:tcPr>
            <w:tcW w:w="1850" w:type="dxa"/>
          </w:tcPr>
          <w:p w14:paraId="5659185C" w14:textId="2AB396D5" w:rsidR="00547D87" w:rsidRPr="009D4627" w:rsidRDefault="00547D87" w:rsidP="00CC31A9">
            <w:pPr>
              <w:spacing w:before="0" w:after="0" w:line="240" w:lineRule="auto"/>
              <w:jc w:val="left"/>
              <w:rPr>
                <w:sz w:val="20"/>
                <w:szCs w:val="20"/>
              </w:rPr>
            </w:pPr>
            <w:r w:rsidRPr="009D4627">
              <w:rPr>
                <w:sz w:val="20"/>
                <w:szCs w:val="20"/>
              </w:rPr>
              <w:t>Y adults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5)</w:t>
            </w:r>
          </w:p>
          <w:p w14:paraId="3308745D" w14:textId="255B7845" w:rsidR="00547D87" w:rsidRPr="009D4627" w:rsidRDefault="00547D87" w:rsidP="00CC31A9">
            <w:pPr>
              <w:spacing w:before="0" w:after="0" w:line="240" w:lineRule="auto"/>
              <w:jc w:val="left"/>
              <w:rPr>
                <w:sz w:val="20"/>
                <w:szCs w:val="20"/>
              </w:rPr>
            </w:pPr>
            <w:r w:rsidRPr="009D4627">
              <w:rPr>
                <w:sz w:val="20"/>
                <w:szCs w:val="20"/>
              </w:rPr>
              <w:t>Age range 29</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48</w:t>
            </w:r>
          </w:p>
        </w:tc>
        <w:tc>
          <w:tcPr>
            <w:tcW w:w="1113" w:type="dxa"/>
          </w:tcPr>
          <w:p w14:paraId="6664DFAF" w14:textId="77777777" w:rsidR="00547D87" w:rsidRPr="009D4627" w:rsidRDefault="00547D87" w:rsidP="00CC31A9">
            <w:pPr>
              <w:spacing w:before="0" w:after="0" w:line="240" w:lineRule="auto"/>
              <w:jc w:val="left"/>
              <w:rPr>
                <w:sz w:val="20"/>
                <w:szCs w:val="20"/>
              </w:rPr>
            </w:pPr>
            <w:r w:rsidRPr="009D4627">
              <w:rPr>
                <w:sz w:val="20"/>
                <w:szCs w:val="20"/>
              </w:rPr>
              <w:t>Magnetic search coil</w:t>
            </w:r>
          </w:p>
        </w:tc>
        <w:tc>
          <w:tcPr>
            <w:tcW w:w="1918" w:type="dxa"/>
          </w:tcPr>
          <w:p w14:paraId="46E63CDA" w14:textId="77777777" w:rsidR="00547D87" w:rsidRPr="009D4627" w:rsidRDefault="00547D87" w:rsidP="00CC31A9">
            <w:pPr>
              <w:pStyle w:val="ListParagraph"/>
              <w:numPr>
                <w:ilvl w:val="0"/>
                <w:numId w:val="46"/>
              </w:numPr>
              <w:spacing w:before="0" w:after="0" w:line="240" w:lineRule="auto"/>
              <w:ind w:left="168" w:hanging="218"/>
              <w:jc w:val="left"/>
              <w:rPr>
                <w:sz w:val="20"/>
                <w:szCs w:val="20"/>
              </w:rPr>
            </w:pPr>
            <w:r w:rsidRPr="009D4627">
              <w:rPr>
                <w:sz w:val="20"/>
                <w:szCs w:val="20"/>
              </w:rPr>
              <w:t>A laser spot subtended a 0.1° visual angle.</w:t>
            </w:r>
          </w:p>
          <w:p w14:paraId="09B94FD7" w14:textId="62E318F0" w:rsidR="00547D87" w:rsidRPr="009D4627" w:rsidRDefault="00547D87" w:rsidP="00CC31A9">
            <w:pPr>
              <w:pStyle w:val="ListParagraph"/>
              <w:numPr>
                <w:ilvl w:val="0"/>
                <w:numId w:val="46"/>
              </w:numPr>
              <w:spacing w:before="0" w:after="0" w:line="240" w:lineRule="auto"/>
              <w:ind w:left="168" w:hanging="218"/>
              <w:jc w:val="left"/>
              <w:rPr>
                <w:sz w:val="20"/>
                <w:szCs w:val="20"/>
              </w:rPr>
            </w:pPr>
            <w:r w:rsidRPr="009D4627">
              <w:rPr>
                <w:sz w:val="20"/>
                <w:szCs w:val="20"/>
              </w:rPr>
              <w:t xml:space="preserve">Sinusoidal wave </w:t>
            </w:r>
            <w:r w:rsidRPr="009D4627">
              <w:rPr>
                <w:sz w:val="20"/>
                <w:szCs w:val="20"/>
              </w:rPr>
              <w:sym w:font="Wingdings" w:char="F0E0"/>
            </w:r>
            <w:r w:rsidRPr="009D4627">
              <w:rPr>
                <w:sz w:val="20"/>
                <w:szCs w:val="20"/>
              </w:rPr>
              <w:t xml:space="preserve"> ±20° amplitude with 0.4 Hz frequency.</w:t>
            </w:r>
          </w:p>
          <w:p w14:paraId="25389A03" w14:textId="72D8008D" w:rsidR="00547D87" w:rsidRPr="009D4627" w:rsidRDefault="00547D87" w:rsidP="00CC31A9">
            <w:pPr>
              <w:pStyle w:val="ListParagraph"/>
              <w:numPr>
                <w:ilvl w:val="0"/>
                <w:numId w:val="46"/>
              </w:numPr>
              <w:spacing w:before="0" w:after="0" w:line="240" w:lineRule="auto"/>
              <w:ind w:left="168" w:hanging="218"/>
              <w:jc w:val="left"/>
              <w:rPr>
                <w:sz w:val="20"/>
                <w:szCs w:val="20"/>
              </w:rPr>
            </w:pPr>
            <w:r w:rsidRPr="009D4627">
              <w:rPr>
                <w:sz w:val="20"/>
                <w:szCs w:val="20"/>
              </w:rPr>
              <w:t>Target move</w:t>
            </w:r>
            <w:r w:rsidR="000D1311" w:rsidRPr="009D4627">
              <w:rPr>
                <w:sz w:val="20"/>
                <w:szCs w:val="20"/>
              </w:rPr>
              <w:t>d</w:t>
            </w:r>
            <w:r w:rsidRPr="009D4627">
              <w:rPr>
                <w:sz w:val="20"/>
                <w:szCs w:val="20"/>
              </w:rPr>
              <w:t xml:space="preserve"> in the horizontal and vertical direction. </w:t>
            </w:r>
          </w:p>
          <w:p w14:paraId="077933B2" w14:textId="2C265728" w:rsidR="00547D87" w:rsidRPr="009D4627" w:rsidRDefault="00547D87" w:rsidP="00CC31A9">
            <w:pPr>
              <w:pStyle w:val="ListParagraph"/>
              <w:numPr>
                <w:ilvl w:val="0"/>
                <w:numId w:val="46"/>
              </w:numPr>
              <w:spacing w:before="0" w:after="0" w:line="240" w:lineRule="auto"/>
              <w:ind w:left="168" w:hanging="218"/>
              <w:jc w:val="left"/>
              <w:rPr>
                <w:sz w:val="20"/>
                <w:szCs w:val="20"/>
              </w:rPr>
            </w:pPr>
            <w:r w:rsidRPr="009D4627">
              <w:rPr>
                <w:sz w:val="20"/>
                <w:szCs w:val="20"/>
              </w:rPr>
              <w:t xml:space="preserve">Triangular wave (step-ramp) </w:t>
            </w:r>
            <w:r w:rsidRPr="009D4627">
              <w:rPr>
                <w:sz w:val="20"/>
                <w:szCs w:val="20"/>
              </w:rPr>
              <w:sym w:font="Wingdings" w:char="F0E0"/>
            </w:r>
            <w:r w:rsidRPr="009D4627">
              <w:rPr>
                <w:sz w:val="20"/>
                <w:szCs w:val="20"/>
              </w:rPr>
              <w:t xml:space="preserve"> ±20° amplitude at a constant velocity of 35.5°/sec. </w:t>
            </w:r>
          </w:p>
          <w:p w14:paraId="4FC0D588" w14:textId="19D2694E" w:rsidR="00547D87" w:rsidRPr="009D4627" w:rsidRDefault="00547D87" w:rsidP="00CC31A9">
            <w:pPr>
              <w:pStyle w:val="ListParagraph"/>
              <w:numPr>
                <w:ilvl w:val="0"/>
                <w:numId w:val="46"/>
              </w:numPr>
              <w:spacing w:before="0" w:after="0" w:line="240" w:lineRule="auto"/>
              <w:ind w:left="168" w:hanging="218"/>
              <w:jc w:val="left"/>
              <w:rPr>
                <w:sz w:val="20"/>
                <w:szCs w:val="20"/>
              </w:rPr>
            </w:pPr>
            <w:r w:rsidRPr="009D4627">
              <w:rPr>
                <w:sz w:val="20"/>
                <w:szCs w:val="20"/>
              </w:rPr>
              <w:t>The direction and time interval (1.0</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 xml:space="preserve">2.25 sec) between the stationary and the onset of the motion were </w:t>
            </w:r>
            <w:proofErr w:type="spellStart"/>
            <w:r w:rsidRPr="009D4627">
              <w:rPr>
                <w:sz w:val="20"/>
                <w:szCs w:val="20"/>
              </w:rPr>
              <w:t>randomised</w:t>
            </w:r>
            <w:proofErr w:type="spellEnd"/>
            <w:r w:rsidRPr="009D4627">
              <w:rPr>
                <w:sz w:val="20"/>
                <w:szCs w:val="20"/>
              </w:rPr>
              <w:t xml:space="preserve">. </w:t>
            </w:r>
          </w:p>
        </w:tc>
        <w:tc>
          <w:tcPr>
            <w:tcW w:w="1907" w:type="dxa"/>
          </w:tcPr>
          <w:p w14:paraId="33CCA025" w14:textId="7763196C" w:rsidR="00547D87" w:rsidRPr="009D4627" w:rsidRDefault="000D1311" w:rsidP="00CC31A9">
            <w:pPr>
              <w:pStyle w:val="ListParagraph"/>
              <w:numPr>
                <w:ilvl w:val="0"/>
                <w:numId w:val="45"/>
              </w:numPr>
              <w:spacing w:before="0" w:after="0" w:line="240" w:lineRule="auto"/>
              <w:ind w:left="103" w:hanging="142"/>
              <w:jc w:val="left"/>
              <w:rPr>
                <w:sz w:val="20"/>
                <w:szCs w:val="20"/>
              </w:rPr>
            </w:pPr>
            <w:r w:rsidRPr="009D4627">
              <w:rPr>
                <w:sz w:val="20"/>
                <w:szCs w:val="20"/>
              </w:rPr>
              <w:t>S</w:t>
            </w:r>
            <w:r w:rsidR="00547D87" w:rsidRPr="009D4627">
              <w:rPr>
                <w:sz w:val="20"/>
                <w:szCs w:val="20"/>
              </w:rPr>
              <w:t>P gain</w:t>
            </w:r>
          </w:p>
          <w:p w14:paraId="4C2867D5" w14:textId="285E8ED6" w:rsidR="00547D87" w:rsidRPr="009D4627" w:rsidRDefault="000D1311" w:rsidP="00CC31A9">
            <w:pPr>
              <w:pStyle w:val="ListParagraph"/>
              <w:numPr>
                <w:ilvl w:val="0"/>
                <w:numId w:val="45"/>
              </w:numPr>
              <w:spacing w:before="0" w:after="0" w:line="240" w:lineRule="auto"/>
              <w:ind w:left="103" w:hanging="142"/>
              <w:jc w:val="left"/>
              <w:rPr>
                <w:sz w:val="20"/>
                <w:szCs w:val="20"/>
              </w:rPr>
            </w:pPr>
            <w:r w:rsidRPr="009D4627">
              <w:rPr>
                <w:sz w:val="20"/>
                <w:szCs w:val="20"/>
              </w:rPr>
              <w:t>S</w:t>
            </w:r>
            <w:r w:rsidR="00547D87" w:rsidRPr="009D4627">
              <w:rPr>
                <w:sz w:val="20"/>
                <w:szCs w:val="20"/>
              </w:rPr>
              <w:t>P latency</w:t>
            </w:r>
          </w:p>
        </w:tc>
        <w:tc>
          <w:tcPr>
            <w:tcW w:w="6193" w:type="dxa"/>
          </w:tcPr>
          <w:p w14:paraId="45243FA7" w14:textId="6855A1C0" w:rsidR="00547D87" w:rsidRPr="009D4627" w:rsidRDefault="00547D87" w:rsidP="00CC31A9">
            <w:pPr>
              <w:pStyle w:val="ListParagraph"/>
              <w:numPr>
                <w:ilvl w:val="0"/>
                <w:numId w:val="42"/>
              </w:numPr>
              <w:spacing w:before="0" w:after="0" w:line="240" w:lineRule="auto"/>
              <w:ind w:left="270" w:hanging="270"/>
              <w:jc w:val="left"/>
              <w:rPr>
                <w:sz w:val="20"/>
                <w:szCs w:val="20"/>
              </w:rPr>
            </w:pPr>
            <w:r w:rsidRPr="009D4627">
              <w:rPr>
                <w:sz w:val="20"/>
                <w:szCs w:val="20"/>
              </w:rPr>
              <w:t xml:space="preserve">The vertical gain was significantly lower than </w:t>
            </w:r>
            <w:r w:rsidR="00AE6F60" w:rsidRPr="009D4627">
              <w:rPr>
                <w:sz w:val="20"/>
                <w:szCs w:val="20"/>
              </w:rPr>
              <w:t xml:space="preserve">the </w:t>
            </w:r>
            <w:r w:rsidRPr="009D4627">
              <w:rPr>
                <w:sz w:val="20"/>
                <w:szCs w:val="20"/>
              </w:rPr>
              <w:t>horizontal gain for predictable target motions.</w:t>
            </w:r>
          </w:p>
          <w:p w14:paraId="1AAACB61" w14:textId="77777777" w:rsidR="00547D87" w:rsidRPr="009D4627" w:rsidRDefault="00547D87" w:rsidP="00CC31A9">
            <w:pPr>
              <w:pStyle w:val="ListParagraph"/>
              <w:numPr>
                <w:ilvl w:val="0"/>
                <w:numId w:val="42"/>
              </w:numPr>
              <w:spacing w:before="0" w:after="0" w:line="240" w:lineRule="auto"/>
              <w:ind w:left="270" w:hanging="270"/>
              <w:jc w:val="left"/>
              <w:rPr>
                <w:sz w:val="20"/>
                <w:szCs w:val="20"/>
              </w:rPr>
            </w:pPr>
            <w:r w:rsidRPr="009D4627">
              <w:rPr>
                <w:sz w:val="20"/>
                <w:szCs w:val="20"/>
              </w:rPr>
              <w:t xml:space="preserve">The downward gain was lower than the upward gain. </w:t>
            </w:r>
          </w:p>
          <w:p w14:paraId="2548F652" w14:textId="7AF42351" w:rsidR="00547D87" w:rsidRPr="009D4627" w:rsidRDefault="00547D87" w:rsidP="00CC31A9">
            <w:pPr>
              <w:pStyle w:val="ListParagraph"/>
              <w:numPr>
                <w:ilvl w:val="0"/>
                <w:numId w:val="42"/>
              </w:numPr>
              <w:spacing w:before="0" w:after="0" w:line="240" w:lineRule="auto"/>
              <w:ind w:left="270" w:hanging="270"/>
              <w:jc w:val="left"/>
              <w:rPr>
                <w:sz w:val="20"/>
                <w:szCs w:val="20"/>
              </w:rPr>
            </w:pPr>
            <w:r w:rsidRPr="009D4627">
              <w:rPr>
                <w:sz w:val="20"/>
                <w:szCs w:val="20"/>
              </w:rPr>
              <w:t xml:space="preserve">Eye movements in </w:t>
            </w:r>
            <w:r w:rsidR="00EE5F66" w:rsidRPr="009D4627">
              <w:rPr>
                <w:sz w:val="20"/>
                <w:szCs w:val="20"/>
              </w:rPr>
              <w:t xml:space="preserve">the </w:t>
            </w:r>
            <w:r w:rsidRPr="009D4627">
              <w:rPr>
                <w:sz w:val="20"/>
                <w:szCs w:val="20"/>
              </w:rPr>
              <w:t xml:space="preserve">horizontal direction were superior compared </w:t>
            </w:r>
            <w:r w:rsidR="00EE5F66" w:rsidRPr="009D4627">
              <w:rPr>
                <w:sz w:val="20"/>
                <w:szCs w:val="20"/>
              </w:rPr>
              <w:t>with the</w:t>
            </w:r>
            <w:r w:rsidRPr="009D4627">
              <w:rPr>
                <w:sz w:val="20"/>
                <w:szCs w:val="20"/>
              </w:rPr>
              <w:t xml:space="preserve"> vertical direction regardless of the target features.</w:t>
            </w:r>
          </w:p>
          <w:p w14:paraId="7B1E7676" w14:textId="048B307D" w:rsidR="00547D87" w:rsidRPr="009D4627" w:rsidRDefault="00EE5F66" w:rsidP="00CC31A9">
            <w:pPr>
              <w:pStyle w:val="ListParagraph"/>
              <w:numPr>
                <w:ilvl w:val="0"/>
                <w:numId w:val="42"/>
              </w:numPr>
              <w:spacing w:before="0" w:after="0" w:line="240" w:lineRule="auto"/>
              <w:ind w:left="270" w:hanging="270"/>
              <w:jc w:val="left"/>
              <w:rPr>
                <w:sz w:val="20"/>
                <w:szCs w:val="20"/>
              </w:rPr>
            </w:pPr>
            <w:r w:rsidRPr="009D4627">
              <w:rPr>
                <w:sz w:val="20"/>
                <w:szCs w:val="20"/>
              </w:rPr>
              <w:t>S</w:t>
            </w:r>
            <w:r w:rsidR="00547D87" w:rsidRPr="009D4627">
              <w:rPr>
                <w:sz w:val="20"/>
                <w:szCs w:val="20"/>
              </w:rPr>
              <w:t xml:space="preserve">P latency showed no significant difference between horizontal and vertical (203 and 207 </w:t>
            </w:r>
            <w:proofErr w:type="spellStart"/>
            <w:r w:rsidR="00547D87" w:rsidRPr="009D4627">
              <w:rPr>
                <w:sz w:val="20"/>
                <w:szCs w:val="20"/>
              </w:rPr>
              <w:t>ms</w:t>
            </w:r>
            <w:proofErr w:type="spellEnd"/>
            <w:r w:rsidR="00547D87" w:rsidRPr="009D4627">
              <w:rPr>
                <w:sz w:val="20"/>
                <w:szCs w:val="20"/>
              </w:rPr>
              <w:t>, respectively)</w:t>
            </w:r>
          </w:p>
          <w:p w14:paraId="5AB3826E" w14:textId="2632106F" w:rsidR="00547D87" w:rsidRPr="009D4627" w:rsidRDefault="00547D87" w:rsidP="00CC31A9">
            <w:pPr>
              <w:pStyle w:val="ListParagraph"/>
              <w:numPr>
                <w:ilvl w:val="0"/>
                <w:numId w:val="42"/>
              </w:numPr>
              <w:spacing w:before="0" w:after="0" w:line="240" w:lineRule="auto"/>
              <w:ind w:left="270" w:hanging="270"/>
              <w:jc w:val="left"/>
              <w:rPr>
                <w:sz w:val="20"/>
                <w:szCs w:val="20"/>
              </w:rPr>
            </w:pPr>
            <w:r w:rsidRPr="009D4627">
              <w:rPr>
                <w:sz w:val="20"/>
                <w:szCs w:val="20"/>
              </w:rPr>
              <w:t xml:space="preserve">Abnormal </w:t>
            </w:r>
            <w:r w:rsidR="00EE5F66" w:rsidRPr="009D4627">
              <w:rPr>
                <w:sz w:val="20"/>
                <w:szCs w:val="20"/>
              </w:rPr>
              <w:t>SP</w:t>
            </w:r>
            <w:r w:rsidRPr="009D4627">
              <w:rPr>
                <w:sz w:val="20"/>
                <w:szCs w:val="20"/>
              </w:rPr>
              <w:t xml:space="preserve"> initiation and maintenance may suggest a different site of lesions. Some people had better </w:t>
            </w:r>
            <w:r w:rsidR="00444E5B" w:rsidRPr="009D4627">
              <w:rPr>
                <w:sz w:val="20"/>
                <w:szCs w:val="20"/>
              </w:rPr>
              <w:t xml:space="preserve">SP </w:t>
            </w:r>
            <w:r w:rsidRPr="009D4627">
              <w:rPr>
                <w:sz w:val="20"/>
                <w:szCs w:val="20"/>
              </w:rPr>
              <w:t>initiation but lower maintenance</w:t>
            </w:r>
            <w:r w:rsidR="00AE6F60" w:rsidRPr="009D4627">
              <w:rPr>
                <w:sz w:val="20"/>
                <w:szCs w:val="20"/>
              </w:rPr>
              <w:t>,</w:t>
            </w:r>
            <w:r w:rsidRPr="009D4627">
              <w:rPr>
                <w:sz w:val="20"/>
                <w:szCs w:val="20"/>
              </w:rPr>
              <w:t xml:space="preserve"> and some had vice versa.   </w:t>
            </w:r>
          </w:p>
          <w:p w14:paraId="339F8FA7" w14:textId="465559AD" w:rsidR="00547D87" w:rsidRPr="009D4627" w:rsidRDefault="00547D87" w:rsidP="00CC31A9">
            <w:pPr>
              <w:pStyle w:val="ListParagraph"/>
              <w:numPr>
                <w:ilvl w:val="0"/>
                <w:numId w:val="42"/>
              </w:numPr>
              <w:spacing w:before="0" w:after="0" w:line="240" w:lineRule="auto"/>
              <w:ind w:left="270" w:hanging="270"/>
              <w:jc w:val="left"/>
              <w:rPr>
                <w:sz w:val="20"/>
                <w:szCs w:val="20"/>
              </w:rPr>
            </w:pPr>
            <w:r w:rsidRPr="009D4627">
              <w:rPr>
                <w:sz w:val="20"/>
                <w:szCs w:val="20"/>
              </w:rPr>
              <w:t>Different circuits controlled horizontal and vertical</w:t>
            </w:r>
            <w:r w:rsidR="00EE5F66" w:rsidRPr="009D4627">
              <w:rPr>
                <w:sz w:val="20"/>
                <w:szCs w:val="20"/>
              </w:rPr>
              <w:t xml:space="preserve"> SP</w:t>
            </w:r>
            <w:r w:rsidRPr="009D4627">
              <w:rPr>
                <w:sz w:val="20"/>
                <w:szCs w:val="20"/>
              </w:rPr>
              <w:t>.</w:t>
            </w:r>
          </w:p>
        </w:tc>
      </w:tr>
      <w:tr w:rsidR="00547D87" w:rsidRPr="009D4627" w14:paraId="1EDA9854" w14:textId="77777777" w:rsidTr="0099065C">
        <w:tc>
          <w:tcPr>
            <w:tcW w:w="1020" w:type="dxa"/>
          </w:tcPr>
          <w:p w14:paraId="19ACFA0D" w14:textId="77777777" w:rsidR="00547D87" w:rsidRPr="009D4627" w:rsidRDefault="00547D87" w:rsidP="00CC31A9">
            <w:pPr>
              <w:spacing w:before="0" w:after="0" w:line="240" w:lineRule="auto"/>
              <w:jc w:val="left"/>
              <w:rPr>
                <w:sz w:val="20"/>
                <w:szCs w:val="20"/>
              </w:rPr>
            </w:pPr>
            <w:r w:rsidRPr="009D4627">
              <w:rPr>
                <w:sz w:val="20"/>
                <w:szCs w:val="20"/>
              </w:rPr>
              <w:lastRenderedPageBreak/>
              <w:t>Ross et al. (1999)</w:t>
            </w:r>
          </w:p>
        </w:tc>
        <w:tc>
          <w:tcPr>
            <w:tcW w:w="1850" w:type="dxa"/>
          </w:tcPr>
          <w:p w14:paraId="1C019233" w14:textId="44510A0E" w:rsidR="00547D87" w:rsidRPr="009D4627" w:rsidRDefault="00547D87" w:rsidP="00CC31A9">
            <w:pPr>
              <w:spacing w:before="0" w:after="0" w:line="240" w:lineRule="auto"/>
              <w:jc w:val="left"/>
              <w:rPr>
                <w:sz w:val="20"/>
                <w:szCs w:val="20"/>
              </w:rPr>
            </w:pPr>
            <w:r w:rsidRPr="009D4627">
              <w:rPr>
                <w:sz w:val="20"/>
                <w:szCs w:val="20"/>
              </w:rPr>
              <w:t>Controls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 xml:space="preserve">64) </w:t>
            </w:r>
          </w:p>
          <w:p w14:paraId="03528154" w14:textId="135C92FE" w:rsidR="00547D87" w:rsidRPr="009D4627" w:rsidRDefault="00547D87" w:rsidP="00CC31A9">
            <w:pPr>
              <w:spacing w:before="0" w:after="0" w:line="240" w:lineRule="auto"/>
              <w:jc w:val="left"/>
              <w:rPr>
                <w:sz w:val="20"/>
                <w:szCs w:val="20"/>
              </w:rPr>
            </w:pPr>
            <w:r w:rsidRPr="009D4627">
              <w:rPr>
                <w:sz w:val="20"/>
                <w:szCs w:val="20"/>
              </w:rPr>
              <w:t>Age range 18</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79</w:t>
            </w:r>
          </w:p>
          <w:p w14:paraId="0F381BFB" w14:textId="77777777" w:rsidR="00547D87" w:rsidRPr="009D4627" w:rsidRDefault="00547D87" w:rsidP="00CC31A9">
            <w:pPr>
              <w:spacing w:before="0" w:after="0" w:line="240" w:lineRule="auto"/>
              <w:jc w:val="left"/>
              <w:rPr>
                <w:sz w:val="20"/>
                <w:szCs w:val="20"/>
              </w:rPr>
            </w:pPr>
          </w:p>
          <w:p w14:paraId="769622F5" w14:textId="422039F0" w:rsidR="00547D87" w:rsidRPr="009D4627" w:rsidRDefault="00547D87" w:rsidP="00CC31A9">
            <w:pPr>
              <w:spacing w:before="0" w:after="0" w:line="240" w:lineRule="auto"/>
              <w:jc w:val="left"/>
              <w:rPr>
                <w:sz w:val="20"/>
                <w:szCs w:val="20"/>
              </w:rPr>
            </w:pPr>
            <w:r w:rsidRPr="009D4627">
              <w:rPr>
                <w:sz w:val="20"/>
                <w:szCs w:val="20"/>
              </w:rPr>
              <w:t>Schizophrenic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58) (adults)</w:t>
            </w:r>
          </w:p>
          <w:p w14:paraId="78C7F960" w14:textId="77777777" w:rsidR="00547D87" w:rsidRPr="009D4627" w:rsidRDefault="00547D87" w:rsidP="00CC31A9">
            <w:pPr>
              <w:spacing w:before="0" w:after="0" w:line="240" w:lineRule="auto"/>
              <w:jc w:val="left"/>
              <w:rPr>
                <w:sz w:val="20"/>
                <w:szCs w:val="20"/>
              </w:rPr>
            </w:pPr>
          </w:p>
          <w:p w14:paraId="2AB6D921" w14:textId="77777777" w:rsidR="00547D87" w:rsidRPr="009D4627" w:rsidRDefault="00547D87" w:rsidP="00CC31A9">
            <w:pPr>
              <w:spacing w:before="0" w:after="0" w:line="240" w:lineRule="auto"/>
              <w:jc w:val="left"/>
              <w:rPr>
                <w:sz w:val="20"/>
                <w:szCs w:val="20"/>
              </w:rPr>
            </w:pPr>
          </w:p>
        </w:tc>
        <w:tc>
          <w:tcPr>
            <w:tcW w:w="1113" w:type="dxa"/>
          </w:tcPr>
          <w:p w14:paraId="43B48734" w14:textId="77777777" w:rsidR="00547D87" w:rsidRPr="009D4627" w:rsidRDefault="00547D87" w:rsidP="00CC31A9">
            <w:pPr>
              <w:spacing w:before="0" w:after="0" w:line="240" w:lineRule="auto"/>
              <w:jc w:val="left"/>
              <w:rPr>
                <w:sz w:val="20"/>
                <w:szCs w:val="20"/>
              </w:rPr>
            </w:pPr>
            <w:r w:rsidRPr="009D4627">
              <w:rPr>
                <w:sz w:val="20"/>
                <w:szCs w:val="20"/>
              </w:rPr>
              <w:t>Video-based eye recorder</w:t>
            </w:r>
          </w:p>
        </w:tc>
        <w:tc>
          <w:tcPr>
            <w:tcW w:w="1918" w:type="dxa"/>
          </w:tcPr>
          <w:p w14:paraId="7FB3A2EA" w14:textId="69AD4B90" w:rsidR="00547D87" w:rsidRPr="009D4627" w:rsidRDefault="00547D87" w:rsidP="00CC31A9">
            <w:pPr>
              <w:pStyle w:val="ListParagraph"/>
              <w:spacing w:before="0" w:after="0" w:line="240" w:lineRule="auto"/>
              <w:ind w:left="168"/>
              <w:jc w:val="left"/>
              <w:rPr>
                <w:sz w:val="20"/>
                <w:szCs w:val="20"/>
              </w:rPr>
            </w:pPr>
            <w:r w:rsidRPr="009D4627">
              <w:rPr>
                <w:sz w:val="20"/>
                <w:szCs w:val="20"/>
              </w:rPr>
              <w:t xml:space="preserve">Trapezoidal pattern wave was used (i.e., </w:t>
            </w:r>
            <w:r w:rsidR="00AE6F60" w:rsidRPr="009D4627">
              <w:rPr>
                <w:sz w:val="20"/>
                <w:szCs w:val="20"/>
              </w:rPr>
              <w:t xml:space="preserve">the </w:t>
            </w:r>
            <w:r w:rsidR="00F57D01" w:rsidRPr="009D4627">
              <w:rPr>
                <w:sz w:val="20"/>
                <w:szCs w:val="20"/>
              </w:rPr>
              <w:t>target</w:t>
            </w:r>
            <w:r w:rsidRPr="009D4627">
              <w:rPr>
                <w:sz w:val="20"/>
                <w:szCs w:val="20"/>
              </w:rPr>
              <w:t xml:space="preserve"> moved back and forth) at a constant velocity of 16.7°/sec, over 30° amplitude and 1.4 s</w:t>
            </w:r>
            <w:r w:rsidR="000D1311" w:rsidRPr="009D4627">
              <w:rPr>
                <w:sz w:val="20"/>
                <w:szCs w:val="20"/>
              </w:rPr>
              <w:t>ec</w:t>
            </w:r>
            <w:r w:rsidRPr="009D4627">
              <w:rPr>
                <w:sz w:val="20"/>
                <w:szCs w:val="20"/>
              </w:rPr>
              <w:t xml:space="preserve"> pause between ramps.</w:t>
            </w:r>
          </w:p>
        </w:tc>
        <w:tc>
          <w:tcPr>
            <w:tcW w:w="1907" w:type="dxa"/>
          </w:tcPr>
          <w:p w14:paraId="297DE0B9" w14:textId="2CB5C5F6" w:rsidR="00547D87" w:rsidRPr="009D4627" w:rsidRDefault="00547D87" w:rsidP="00CC31A9">
            <w:pPr>
              <w:pStyle w:val="ListParagraph"/>
              <w:numPr>
                <w:ilvl w:val="0"/>
                <w:numId w:val="36"/>
              </w:numPr>
              <w:spacing w:before="0" w:after="0" w:line="240" w:lineRule="auto"/>
              <w:ind w:left="103" w:hanging="142"/>
              <w:jc w:val="left"/>
              <w:rPr>
                <w:sz w:val="20"/>
                <w:szCs w:val="20"/>
              </w:rPr>
            </w:pPr>
            <w:r w:rsidRPr="009D4627">
              <w:rPr>
                <w:sz w:val="20"/>
                <w:szCs w:val="20"/>
              </w:rPr>
              <w:t>S</w:t>
            </w:r>
            <w:r w:rsidR="000D1311" w:rsidRPr="009D4627">
              <w:rPr>
                <w:sz w:val="20"/>
                <w:szCs w:val="20"/>
              </w:rPr>
              <w:t>P</w:t>
            </w:r>
            <w:r w:rsidRPr="009D4627">
              <w:rPr>
                <w:sz w:val="20"/>
                <w:szCs w:val="20"/>
              </w:rPr>
              <w:t xml:space="preserve"> gain</w:t>
            </w:r>
          </w:p>
          <w:p w14:paraId="5D22DA78" w14:textId="6C1861F7" w:rsidR="00547D87" w:rsidRPr="009D4627" w:rsidRDefault="007C64BF" w:rsidP="00CC31A9">
            <w:pPr>
              <w:pStyle w:val="ListParagraph"/>
              <w:numPr>
                <w:ilvl w:val="0"/>
                <w:numId w:val="36"/>
              </w:numPr>
              <w:spacing w:before="0" w:after="0" w:line="240" w:lineRule="auto"/>
              <w:ind w:left="103" w:hanging="142"/>
              <w:jc w:val="left"/>
              <w:rPr>
                <w:sz w:val="20"/>
                <w:szCs w:val="20"/>
              </w:rPr>
            </w:pPr>
            <w:r w:rsidRPr="009D4627">
              <w:rPr>
                <w:sz w:val="20"/>
                <w:szCs w:val="20"/>
              </w:rPr>
              <w:t>CUS</w:t>
            </w:r>
          </w:p>
        </w:tc>
        <w:tc>
          <w:tcPr>
            <w:tcW w:w="6193" w:type="dxa"/>
          </w:tcPr>
          <w:p w14:paraId="1D240F74" w14:textId="15B2B007" w:rsidR="00547D87" w:rsidRPr="009D4627" w:rsidRDefault="00547D87" w:rsidP="00CC31A9">
            <w:pPr>
              <w:pStyle w:val="ListParagraph"/>
              <w:numPr>
                <w:ilvl w:val="0"/>
                <w:numId w:val="34"/>
              </w:numPr>
              <w:spacing w:before="0" w:after="0" w:line="240" w:lineRule="auto"/>
              <w:ind w:left="269" w:hanging="269"/>
              <w:jc w:val="left"/>
              <w:rPr>
                <w:sz w:val="20"/>
                <w:szCs w:val="20"/>
              </w:rPr>
            </w:pPr>
            <w:r w:rsidRPr="009D4627">
              <w:rPr>
                <w:b/>
                <w:bCs/>
                <w:sz w:val="20"/>
                <w:szCs w:val="20"/>
              </w:rPr>
              <w:t xml:space="preserve">Ageing caused deterioration </w:t>
            </w:r>
            <w:r w:rsidR="00EE5F66" w:rsidRPr="009D4627">
              <w:rPr>
                <w:sz w:val="20"/>
                <w:szCs w:val="20"/>
              </w:rPr>
              <w:t>of SP</w:t>
            </w:r>
            <w:r w:rsidRPr="009D4627">
              <w:rPr>
                <w:sz w:val="20"/>
                <w:szCs w:val="20"/>
              </w:rPr>
              <w:t xml:space="preserve"> performance, specifically beyond 55</w:t>
            </w:r>
            <w:r w:rsidR="00EE5F66" w:rsidRPr="009D4627">
              <w:rPr>
                <w:sz w:val="20"/>
                <w:szCs w:val="20"/>
              </w:rPr>
              <w:t>-</w:t>
            </w:r>
            <w:r w:rsidRPr="009D4627">
              <w:rPr>
                <w:sz w:val="20"/>
                <w:szCs w:val="20"/>
              </w:rPr>
              <w:t>years</w:t>
            </w:r>
            <w:r w:rsidR="00EE5F66" w:rsidRPr="009D4627">
              <w:rPr>
                <w:sz w:val="20"/>
                <w:szCs w:val="20"/>
              </w:rPr>
              <w:t>-</w:t>
            </w:r>
            <w:r w:rsidRPr="009D4627">
              <w:rPr>
                <w:sz w:val="20"/>
                <w:szCs w:val="20"/>
              </w:rPr>
              <w:t>old.</w:t>
            </w:r>
          </w:p>
          <w:p w14:paraId="0B719129" w14:textId="73430CB9" w:rsidR="00547D87" w:rsidRPr="009D4627" w:rsidRDefault="00547D87" w:rsidP="00CC31A9">
            <w:pPr>
              <w:pStyle w:val="ListParagraph"/>
              <w:numPr>
                <w:ilvl w:val="0"/>
                <w:numId w:val="34"/>
              </w:numPr>
              <w:spacing w:before="0" w:after="0" w:line="240" w:lineRule="auto"/>
              <w:ind w:left="269" w:hanging="269"/>
              <w:jc w:val="left"/>
              <w:rPr>
                <w:sz w:val="20"/>
                <w:szCs w:val="20"/>
              </w:rPr>
            </w:pPr>
            <w:r w:rsidRPr="009D4627">
              <w:rPr>
                <w:sz w:val="20"/>
                <w:szCs w:val="20"/>
              </w:rPr>
              <w:t xml:space="preserve">Schizophrenia patients showed </w:t>
            </w:r>
            <w:r w:rsidR="00AE6F60" w:rsidRPr="009D4627">
              <w:rPr>
                <w:sz w:val="20"/>
                <w:szCs w:val="20"/>
              </w:rPr>
              <w:t>more unsatisfactory</w:t>
            </w:r>
            <w:r w:rsidRPr="009D4627">
              <w:rPr>
                <w:sz w:val="20"/>
                <w:szCs w:val="20"/>
              </w:rPr>
              <w:t xml:space="preserve"> </w:t>
            </w:r>
            <w:r w:rsidR="00EE5F66" w:rsidRPr="009D4627">
              <w:rPr>
                <w:sz w:val="20"/>
                <w:szCs w:val="20"/>
              </w:rPr>
              <w:t>SP</w:t>
            </w:r>
            <w:r w:rsidRPr="009D4627">
              <w:rPr>
                <w:sz w:val="20"/>
                <w:szCs w:val="20"/>
              </w:rPr>
              <w:t xml:space="preserve"> performance than controls. </w:t>
            </w:r>
          </w:p>
        </w:tc>
      </w:tr>
      <w:tr w:rsidR="00547D87" w:rsidRPr="009D4627" w14:paraId="58755F74" w14:textId="77777777" w:rsidTr="0099065C">
        <w:tc>
          <w:tcPr>
            <w:tcW w:w="1020" w:type="dxa"/>
          </w:tcPr>
          <w:p w14:paraId="43129E77" w14:textId="77777777" w:rsidR="00547D87" w:rsidRPr="009D4627" w:rsidRDefault="00547D87" w:rsidP="00CC31A9">
            <w:pPr>
              <w:spacing w:before="0" w:after="0" w:line="240" w:lineRule="auto"/>
              <w:jc w:val="left"/>
              <w:rPr>
                <w:sz w:val="20"/>
                <w:szCs w:val="20"/>
              </w:rPr>
            </w:pPr>
            <w:r w:rsidRPr="009D4627">
              <w:rPr>
                <w:sz w:val="20"/>
                <w:szCs w:val="20"/>
              </w:rPr>
              <w:t>Knox et al. (2005)</w:t>
            </w:r>
          </w:p>
        </w:tc>
        <w:tc>
          <w:tcPr>
            <w:tcW w:w="1850" w:type="dxa"/>
          </w:tcPr>
          <w:p w14:paraId="3C560DCD" w14:textId="75C47CA3" w:rsidR="00547D87" w:rsidRPr="009D4627" w:rsidRDefault="00547D87" w:rsidP="00CC31A9">
            <w:pPr>
              <w:spacing w:before="0" w:after="0" w:line="240" w:lineRule="auto"/>
              <w:jc w:val="left"/>
              <w:rPr>
                <w:sz w:val="20"/>
                <w:szCs w:val="20"/>
              </w:rPr>
            </w:pPr>
            <w:r w:rsidRPr="009D4627">
              <w:rPr>
                <w:sz w:val="20"/>
                <w:szCs w:val="20"/>
              </w:rPr>
              <w:t>Y (n</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10)</w:t>
            </w:r>
          </w:p>
          <w:p w14:paraId="4C5C51C1" w14:textId="0E958824" w:rsidR="00547D87" w:rsidRPr="009D4627" w:rsidRDefault="00547D87" w:rsidP="00CC31A9">
            <w:pPr>
              <w:spacing w:before="0" w:after="0" w:line="240" w:lineRule="auto"/>
              <w:jc w:val="left"/>
              <w:rPr>
                <w:sz w:val="20"/>
                <w:szCs w:val="20"/>
              </w:rPr>
            </w:pPr>
            <w:r w:rsidRPr="009D4627">
              <w:rPr>
                <w:sz w:val="20"/>
                <w:szCs w:val="20"/>
              </w:rPr>
              <w:t>Age range 19</w:t>
            </w:r>
            <w:r w:rsidR="00CA5C71" w:rsidRPr="009D4627">
              <w:rPr>
                <w:sz w:val="20"/>
                <w:szCs w:val="20"/>
              </w:rPr>
              <w:t xml:space="preserve"> </w:t>
            </w:r>
            <w:r w:rsidRPr="009D4627">
              <w:rPr>
                <w:sz w:val="20"/>
                <w:szCs w:val="20"/>
              </w:rPr>
              <w:t>-</w:t>
            </w:r>
            <w:r w:rsidR="00CA5C71" w:rsidRPr="009D4627">
              <w:rPr>
                <w:sz w:val="20"/>
                <w:szCs w:val="20"/>
              </w:rPr>
              <w:t xml:space="preserve"> </w:t>
            </w:r>
            <w:r w:rsidRPr="009D4627">
              <w:rPr>
                <w:sz w:val="20"/>
                <w:szCs w:val="20"/>
              </w:rPr>
              <w:t>26</w:t>
            </w:r>
          </w:p>
          <w:p w14:paraId="0CB9429E" w14:textId="371EF090" w:rsidR="00547D87" w:rsidRPr="009D4627" w:rsidRDefault="00547D87" w:rsidP="00CC31A9">
            <w:pPr>
              <w:spacing w:before="0" w:after="0" w:line="240" w:lineRule="auto"/>
              <w:jc w:val="left"/>
              <w:rPr>
                <w:sz w:val="20"/>
                <w:szCs w:val="20"/>
              </w:rPr>
            </w:pPr>
            <w:r w:rsidRPr="009D4627">
              <w:rPr>
                <w:sz w:val="20"/>
                <w:szCs w:val="20"/>
              </w:rPr>
              <w:t>(</w:t>
            </w:r>
            <w:proofErr w:type="gramStart"/>
            <w:r w:rsidRPr="009D4627">
              <w:rPr>
                <w:sz w:val="20"/>
                <w:szCs w:val="20"/>
              </w:rPr>
              <w:t>mean</w:t>
            </w:r>
            <w:proofErr w:type="gramEnd"/>
            <w:r w:rsidRPr="009D4627">
              <w:rPr>
                <w:sz w:val="20"/>
                <w:szCs w:val="20"/>
              </w:rPr>
              <w:t xml:space="preserve"> age</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21</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2)</w:t>
            </w:r>
          </w:p>
          <w:p w14:paraId="3A3D5149" w14:textId="77777777" w:rsidR="00547D87" w:rsidRPr="009D4627" w:rsidRDefault="00547D87" w:rsidP="00CC31A9">
            <w:pPr>
              <w:spacing w:before="0" w:after="0" w:line="240" w:lineRule="auto"/>
              <w:jc w:val="left"/>
              <w:rPr>
                <w:sz w:val="20"/>
                <w:szCs w:val="20"/>
              </w:rPr>
            </w:pPr>
          </w:p>
          <w:p w14:paraId="5D642599" w14:textId="3F2FA930" w:rsidR="00547D87" w:rsidRPr="009D4627" w:rsidRDefault="00547D87" w:rsidP="00CC31A9">
            <w:pPr>
              <w:spacing w:before="0" w:after="0" w:line="240" w:lineRule="auto"/>
              <w:jc w:val="left"/>
              <w:rPr>
                <w:sz w:val="20"/>
                <w:szCs w:val="20"/>
              </w:rPr>
            </w:pPr>
            <w:r w:rsidRPr="009D4627">
              <w:rPr>
                <w:sz w:val="20"/>
                <w:szCs w:val="20"/>
              </w:rPr>
              <w:t>O (n</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15)</w:t>
            </w:r>
          </w:p>
          <w:p w14:paraId="660354BE" w14:textId="4E71629E" w:rsidR="00547D87" w:rsidRPr="009D4627" w:rsidRDefault="00547D87" w:rsidP="00CC31A9">
            <w:pPr>
              <w:spacing w:before="0" w:after="0" w:line="240" w:lineRule="auto"/>
              <w:jc w:val="left"/>
              <w:rPr>
                <w:sz w:val="20"/>
                <w:szCs w:val="20"/>
              </w:rPr>
            </w:pPr>
            <w:r w:rsidRPr="009D4627">
              <w:rPr>
                <w:sz w:val="20"/>
                <w:szCs w:val="20"/>
              </w:rPr>
              <w:t>Age range 64</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81</w:t>
            </w:r>
          </w:p>
          <w:p w14:paraId="28D6E806" w14:textId="433B8A6B" w:rsidR="00547D87" w:rsidRPr="009D4627" w:rsidRDefault="00547D87" w:rsidP="00CC31A9">
            <w:pPr>
              <w:spacing w:before="0" w:after="0" w:line="240" w:lineRule="auto"/>
              <w:jc w:val="left"/>
              <w:rPr>
                <w:sz w:val="20"/>
                <w:szCs w:val="20"/>
              </w:rPr>
            </w:pPr>
            <w:r w:rsidRPr="009D4627">
              <w:rPr>
                <w:sz w:val="20"/>
                <w:szCs w:val="20"/>
              </w:rPr>
              <w:t>(</w:t>
            </w:r>
            <w:proofErr w:type="gramStart"/>
            <w:r w:rsidRPr="009D4627">
              <w:rPr>
                <w:sz w:val="20"/>
                <w:szCs w:val="20"/>
              </w:rPr>
              <w:t>mean</w:t>
            </w:r>
            <w:proofErr w:type="gramEnd"/>
            <w:r w:rsidRPr="009D4627">
              <w:rPr>
                <w:sz w:val="20"/>
                <w:szCs w:val="20"/>
              </w:rPr>
              <w:t xml:space="preserve"> age</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72</w:t>
            </w:r>
            <w:r w:rsidR="000D1311" w:rsidRPr="009D4627">
              <w:rPr>
                <w:sz w:val="20"/>
                <w:szCs w:val="20"/>
              </w:rPr>
              <w:t xml:space="preserve"> </w:t>
            </w:r>
            <w:r w:rsidRPr="009D4627">
              <w:rPr>
                <w:sz w:val="20"/>
                <w:szCs w:val="20"/>
              </w:rPr>
              <w:t>±</w:t>
            </w:r>
            <w:r w:rsidR="000D1311" w:rsidRPr="009D4627">
              <w:rPr>
                <w:sz w:val="20"/>
                <w:szCs w:val="20"/>
              </w:rPr>
              <w:t xml:space="preserve"> </w:t>
            </w:r>
            <w:r w:rsidRPr="009D4627">
              <w:rPr>
                <w:sz w:val="20"/>
                <w:szCs w:val="20"/>
              </w:rPr>
              <w:t>6)</w:t>
            </w:r>
          </w:p>
          <w:p w14:paraId="578FF057" w14:textId="77777777" w:rsidR="00547D87" w:rsidRPr="009D4627" w:rsidRDefault="00547D87" w:rsidP="00CC31A9">
            <w:pPr>
              <w:spacing w:before="0" w:after="0" w:line="240" w:lineRule="auto"/>
              <w:jc w:val="left"/>
              <w:rPr>
                <w:sz w:val="20"/>
                <w:szCs w:val="20"/>
              </w:rPr>
            </w:pPr>
          </w:p>
        </w:tc>
        <w:tc>
          <w:tcPr>
            <w:tcW w:w="1113" w:type="dxa"/>
          </w:tcPr>
          <w:p w14:paraId="4804225B" w14:textId="77777777" w:rsidR="00547D87" w:rsidRPr="009D4627" w:rsidRDefault="00547D87" w:rsidP="00CC31A9">
            <w:pPr>
              <w:spacing w:before="0" w:after="0" w:line="240" w:lineRule="auto"/>
              <w:jc w:val="left"/>
              <w:rPr>
                <w:sz w:val="20"/>
                <w:szCs w:val="20"/>
                <w:lang w:val="sv-SE"/>
              </w:rPr>
            </w:pPr>
            <w:r w:rsidRPr="009D4627">
              <w:rPr>
                <w:sz w:val="20"/>
                <w:szCs w:val="20"/>
                <w:lang w:val="sv-SE"/>
              </w:rPr>
              <w:t>Non-invasive laser-based eye tracker (IRIS, Skalar)</w:t>
            </w:r>
          </w:p>
        </w:tc>
        <w:tc>
          <w:tcPr>
            <w:tcW w:w="1918" w:type="dxa"/>
          </w:tcPr>
          <w:p w14:paraId="61A6D459" w14:textId="045E60C3" w:rsidR="00547D87" w:rsidRPr="009D4627" w:rsidRDefault="00547D87" w:rsidP="00CC31A9">
            <w:pPr>
              <w:pStyle w:val="ListParagraph"/>
              <w:spacing w:before="0" w:after="0" w:line="240" w:lineRule="auto"/>
              <w:ind w:left="168"/>
              <w:jc w:val="left"/>
              <w:rPr>
                <w:sz w:val="20"/>
                <w:szCs w:val="20"/>
              </w:rPr>
            </w:pPr>
            <w:r w:rsidRPr="009D4627">
              <w:rPr>
                <w:sz w:val="20"/>
                <w:szCs w:val="20"/>
              </w:rPr>
              <w:t xml:space="preserve">Step ramp </w:t>
            </w:r>
            <w:r w:rsidR="00F57D01" w:rsidRPr="009D4627">
              <w:rPr>
                <w:sz w:val="20"/>
                <w:szCs w:val="20"/>
              </w:rPr>
              <w:t>target</w:t>
            </w:r>
            <w:r w:rsidRPr="009D4627">
              <w:rPr>
                <w:sz w:val="20"/>
                <w:szCs w:val="20"/>
              </w:rPr>
              <w:t xml:space="preserve"> with constant velocity, 14°/sec.</w:t>
            </w:r>
          </w:p>
        </w:tc>
        <w:tc>
          <w:tcPr>
            <w:tcW w:w="1907" w:type="dxa"/>
          </w:tcPr>
          <w:p w14:paraId="582D4B9F" w14:textId="6EA841D6" w:rsidR="00547D87" w:rsidRPr="009D4627" w:rsidRDefault="00547D87" w:rsidP="00CC31A9">
            <w:pPr>
              <w:pStyle w:val="ListParagraph"/>
              <w:numPr>
                <w:ilvl w:val="0"/>
                <w:numId w:val="44"/>
              </w:numPr>
              <w:spacing w:before="0" w:after="0" w:line="240" w:lineRule="auto"/>
              <w:ind w:left="227" w:hanging="227"/>
              <w:jc w:val="left"/>
              <w:rPr>
                <w:sz w:val="20"/>
                <w:szCs w:val="20"/>
              </w:rPr>
            </w:pPr>
            <w:r w:rsidRPr="009D4627">
              <w:rPr>
                <w:sz w:val="20"/>
                <w:szCs w:val="20"/>
              </w:rPr>
              <w:t xml:space="preserve">Qualitative assessment by observing the ability to track the </w:t>
            </w:r>
            <w:r w:rsidR="00F57D01" w:rsidRPr="009D4627">
              <w:rPr>
                <w:sz w:val="20"/>
                <w:szCs w:val="20"/>
              </w:rPr>
              <w:t>target</w:t>
            </w:r>
            <w:r w:rsidRPr="009D4627">
              <w:rPr>
                <w:sz w:val="20"/>
                <w:szCs w:val="20"/>
              </w:rPr>
              <w:t xml:space="preserve"> with/without fatigue and distraction.</w:t>
            </w:r>
          </w:p>
          <w:p w14:paraId="5CBB052D" w14:textId="082103A6" w:rsidR="00547D87" w:rsidRPr="009D4627" w:rsidRDefault="000D1311" w:rsidP="00CC31A9">
            <w:pPr>
              <w:pStyle w:val="ListParagraph"/>
              <w:numPr>
                <w:ilvl w:val="0"/>
                <w:numId w:val="44"/>
              </w:numPr>
              <w:spacing w:before="0" w:after="0" w:line="240" w:lineRule="auto"/>
              <w:ind w:left="227" w:hanging="227"/>
              <w:jc w:val="left"/>
              <w:rPr>
                <w:sz w:val="20"/>
                <w:szCs w:val="20"/>
              </w:rPr>
            </w:pPr>
            <w:r w:rsidRPr="009D4627">
              <w:rPr>
                <w:sz w:val="20"/>
                <w:szCs w:val="20"/>
              </w:rPr>
              <w:t>SP</w:t>
            </w:r>
            <w:r w:rsidR="00547D87" w:rsidRPr="009D4627">
              <w:rPr>
                <w:sz w:val="20"/>
                <w:szCs w:val="20"/>
              </w:rPr>
              <w:t xml:space="preserve"> latency</w:t>
            </w:r>
          </w:p>
        </w:tc>
        <w:tc>
          <w:tcPr>
            <w:tcW w:w="6193" w:type="dxa"/>
          </w:tcPr>
          <w:p w14:paraId="0DC27734" w14:textId="0B8D0E45" w:rsidR="00547D87" w:rsidRPr="009D4627" w:rsidRDefault="00547D87" w:rsidP="00CC31A9">
            <w:pPr>
              <w:pStyle w:val="ListParagraph"/>
              <w:numPr>
                <w:ilvl w:val="0"/>
                <w:numId w:val="43"/>
              </w:numPr>
              <w:spacing w:before="0" w:after="0" w:line="240" w:lineRule="auto"/>
              <w:ind w:left="161" w:hanging="161"/>
              <w:jc w:val="left"/>
              <w:rPr>
                <w:sz w:val="20"/>
                <w:szCs w:val="20"/>
              </w:rPr>
            </w:pPr>
            <w:r w:rsidRPr="009D4627">
              <w:rPr>
                <w:sz w:val="20"/>
                <w:szCs w:val="20"/>
              </w:rPr>
              <w:t>S</w:t>
            </w:r>
            <w:r w:rsidR="00EE5F66" w:rsidRPr="009D4627">
              <w:rPr>
                <w:sz w:val="20"/>
                <w:szCs w:val="20"/>
              </w:rPr>
              <w:t>P</w:t>
            </w:r>
            <w:r w:rsidRPr="009D4627">
              <w:rPr>
                <w:sz w:val="20"/>
                <w:szCs w:val="20"/>
              </w:rPr>
              <w:t xml:space="preserve"> performance between </w:t>
            </w:r>
            <w:r w:rsidR="00EE5F66" w:rsidRPr="009D4627">
              <w:rPr>
                <w:sz w:val="20"/>
                <w:szCs w:val="20"/>
              </w:rPr>
              <w:t>Y</w:t>
            </w:r>
            <w:r w:rsidRPr="009D4627">
              <w:rPr>
                <w:sz w:val="20"/>
                <w:szCs w:val="20"/>
              </w:rPr>
              <w:t xml:space="preserve"> and </w:t>
            </w:r>
            <w:r w:rsidR="00EE5F66" w:rsidRPr="009D4627">
              <w:rPr>
                <w:sz w:val="20"/>
                <w:szCs w:val="20"/>
              </w:rPr>
              <w:t>O</w:t>
            </w:r>
            <w:r w:rsidRPr="009D4627">
              <w:rPr>
                <w:sz w:val="20"/>
                <w:szCs w:val="20"/>
              </w:rPr>
              <w:t xml:space="preserve"> age groups was </w:t>
            </w:r>
            <w:r w:rsidRPr="009D4627">
              <w:rPr>
                <w:b/>
                <w:bCs/>
                <w:sz w:val="20"/>
                <w:szCs w:val="20"/>
              </w:rPr>
              <w:t>not different</w:t>
            </w:r>
            <w:r w:rsidRPr="009D4627">
              <w:rPr>
                <w:sz w:val="20"/>
                <w:szCs w:val="20"/>
              </w:rPr>
              <w:t xml:space="preserve"> qualitatively. </w:t>
            </w:r>
          </w:p>
          <w:p w14:paraId="7863AFEC" w14:textId="27D089CD" w:rsidR="00547D87" w:rsidRPr="009D4627" w:rsidRDefault="00547D87" w:rsidP="00CC31A9">
            <w:pPr>
              <w:pStyle w:val="ListParagraph"/>
              <w:numPr>
                <w:ilvl w:val="0"/>
                <w:numId w:val="43"/>
              </w:numPr>
              <w:spacing w:before="0" w:after="0" w:line="240" w:lineRule="auto"/>
              <w:ind w:left="161" w:hanging="161"/>
              <w:jc w:val="left"/>
              <w:rPr>
                <w:sz w:val="20"/>
                <w:szCs w:val="20"/>
              </w:rPr>
            </w:pPr>
            <w:r w:rsidRPr="009D4627">
              <w:rPr>
                <w:sz w:val="20"/>
                <w:szCs w:val="20"/>
              </w:rPr>
              <w:t xml:space="preserve">The O group </w:t>
            </w:r>
            <w:r w:rsidR="00EE5F66" w:rsidRPr="009D4627">
              <w:rPr>
                <w:sz w:val="20"/>
                <w:szCs w:val="20"/>
              </w:rPr>
              <w:t>took a significant</w:t>
            </w:r>
            <w:r w:rsidRPr="009D4627">
              <w:rPr>
                <w:sz w:val="20"/>
                <w:szCs w:val="20"/>
              </w:rPr>
              <w:t xml:space="preserve"> 55 </w:t>
            </w:r>
            <w:proofErr w:type="spellStart"/>
            <w:r w:rsidRPr="009D4627">
              <w:rPr>
                <w:sz w:val="20"/>
                <w:szCs w:val="20"/>
              </w:rPr>
              <w:t>ms</w:t>
            </w:r>
            <w:proofErr w:type="spellEnd"/>
            <w:r w:rsidRPr="009D4627">
              <w:rPr>
                <w:sz w:val="20"/>
                <w:szCs w:val="20"/>
              </w:rPr>
              <w:t xml:space="preserve"> longer than the Y group to initiate </w:t>
            </w:r>
            <w:r w:rsidR="00EE5F66" w:rsidRPr="009D4627">
              <w:rPr>
                <w:sz w:val="20"/>
                <w:szCs w:val="20"/>
              </w:rPr>
              <w:t>SP</w:t>
            </w:r>
            <w:r w:rsidRPr="009D4627">
              <w:rPr>
                <w:sz w:val="20"/>
                <w:szCs w:val="20"/>
              </w:rPr>
              <w:t xml:space="preserve"> movements.</w:t>
            </w:r>
          </w:p>
          <w:p w14:paraId="2360ED1E" w14:textId="02B0C646" w:rsidR="00547D87" w:rsidRPr="009D4627" w:rsidRDefault="00EE5F66" w:rsidP="00CC31A9">
            <w:pPr>
              <w:pStyle w:val="ListParagraph"/>
              <w:numPr>
                <w:ilvl w:val="0"/>
                <w:numId w:val="43"/>
              </w:numPr>
              <w:spacing w:before="0" w:after="0" w:line="240" w:lineRule="auto"/>
              <w:ind w:left="161" w:hanging="161"/>
              <w:jc w:val="left"/>
              <w:rPr>
                <w:sz w:val="20"/>
                <w:szCs w:val="20"/>
              </w:rPr>
            </w:pPr>
            <w:r w:rsidRPr="009D4627">
              <w:rPr>
                <w:sz w:val="20"/>
                <w:szCs w:val="20"/>
              </w:rPr>
              <w:t>SP</w:t>
            </w:r>
            <w:r w:rsidR="00547D87" w:rsidRPr="009D4627">
              <w:rPr>
                <w:sz w:val="20"/>
                <w:szCs w:val="20"/>
              </w:rPr>
              <w:t xml:space="preserve"> latency was significantly prolonged in the elderly. </w:t>
            </w:r>
          </w:p>
        </w:tc>
      </w:tr>
    </w:tbl>
    <w:p w14:paraId="31194618" w14:textId="77777777" w:rsidR="007F2C8F" w:rsidRPr="009D4627" w:rsidRDefault="007F2C8F" w:rsidP="00DC4CA6">
      <w:pPr>
        <w:pStyle w:val="Heading3"/>
        <w:sectPr w:rsidR="007F2C8F" w:rsidRPr="009D4627" w:rsidSect="0007333B">
          <w:headerReference w:type="default" r:id="rId48"/>
          <w:footerReference w:type="default" r:id="rId49"/>
          <w:pgSz w:w="16838" w:h="11906" w:orient="landscape" w:code="9"/>
          <w:pgMar w:top="1440" w:right="1440" w:bottom="1440" w:left="1440" w:header="709" w:footer="170" w:gutter="0"/>
          <w:cols w:space="708"/>
          <w:docGrid w:linePitch="360"/>
        </w:sectPr>
      </w:pPr>
    </w:p>
    <w:p w14:paraId="70E975F2" w14:textId="2912A6CC" w:rsidR="00547D87" w:rsidRPr="009D4627" w:rsidRDefault="00547D87" w:rsidP="00DC4CA6">
      <w:pPr>
        <w:pStyle w:val="Heading3"/>
      </w:pPr>
      <w:bookmarkStart w:id="97" w:name="_Toc98964628"/>
      <w:bookmarkStart w:id="98" w:name="_Toc103344673"/>
      <w:r w:rsidRPr="009D4627">
        <w:lastRenderedPageBreak/>
        <w:t xml:space="preserve">Clinical indications for </w:t>
      </w:r>
      <w:r w:rsidR="004258CF" w:rsidRPr="009D4627">
        <w:t>EMR</w:t>
      </w:r>
      <w:r w:rsidRPr="009D4627">
        <w:t>s</w:t>
      </w:r>
      <w:bookmarkEnd w:id="97"/>
      <w:bookmarkEnd w:id="98"/>
    </w:p>
    <w:p w14:paraId="15CBEEF7" w14:textId="7DD8938A" w:rsidR="00547D87" w:rsidRPr="009D4627" w:rsidRDefault="00547D87" w:rsidP="00390EBC">
      <w:r w:rsidRPr="009D4627">
        <w:t xml:space="preserve">Objective eye-movement recordings are capable of detecting, diagnosing, documenting and managing subtle eye movements disturbance (i.e., slow, inaccurate and imprecise saccades, defective </w:t>
      </w:r>
      <w:r w:rsidR="00134019" w:rsidRPr="009D4627">
        <w:t>SP</w:t>
      </w:r>
      <w:r w:rsidRPr="009D4627">
        <w:t xml:space="preserve"> and various forms of nystagmus)  across a variety of neurological abnormalities, including peripheral and central vestibular imbalances, and brainstem, cerebellar and cortical lesions and malformations </w:t>
      </w:r>
      <w:r w:rsidRPr="009D4627">
        <w:fldChar w:fldCharType="begin"/>
      </w:r>
      <w:r w:rsidR="00376CCD" w:rsidRPr="009D4627">
        <w:instrText xml:space="preserve"> ADDIN EN.CITE &lt;EndNote&gt;&lt;Cite&gt;&lt;Author&gt;Bedell&lt;/Author&gt;&lt;Year&gt;2013&lt;/Year&gt;&lt;IDText&gt;Eye movement testing in clinical examination&lt;/IDText&gt;&lt;DisplayText&gt;(Bedell &amp;amp; Stevenson, 2013)&lt;/DisplayText&gt;&lt;record&gt;&lt;dates&gt;&lt;pub-dates&gt;&lt;date&gt;Sep&lt;/date&gt;&lt;/pub-dates&gt;&lt;year&gt;2013&lt;/year&gt;&lt;/dates&gt;&lt;keywords&gt;&lt;keyword&gt;Eye movement&lt;/keyword&gt;&lt;keyword&gt;Eye tracking&lt;/keyword&gt;&lt;keyword&gt;Instrumentation&lt;/keyword&gt;&lt;keyword&gt;Clinical testing&lt;/keyword&gt;&lt;keyword&gt;scanning laser ophthalmoscope&lt;/keyword&gt;&lt;keyword&gt;preferred retinal loci&lt;/keyword&gt;&lt;keyword&gt;scleral search&lt;/keyword&gt;&lt;keyword&gt;coils&lt;/keyword&gt;&lt;keyword&gt;congenital nystagmus&lt;/keyword&gt;&lt;keyword&gt;fixation stability&lt;/keyword&gt;&lt;keyword&gt;video-oculography&lt;/keyword&gt;&lt;keyword&gt;&lt;/keyword&gt;&lt;keyword&gt;macular scotoma&lt;/keyword&gt;&lt;keyword&gt;ocular torsion&lt;/keyword&gt;&lt;keyword&gt;tracking&lt;/keyword&gt;&lt;keyword&gt;resolution&lt;/keyword&gt;&lt;keyword&gt;Neurosciences &amp;amp; Neurology&lt;/keyword&gt;&lt;keyword&gt;Ophthalmology&lt;/keyword&gt;&lt;/keywords&gt;&lt;urls&gt;&lt;related-urls&gt;&lt;url&gt;&amp;lt;Go to ISI&amp;gt;://WOS:000323464400006&lt;/url&gt;&lt;/related-urls&gt;&lt;/urls&gt;&lt;isbn&gt;0042-6989&lt;/isbn&gt;&lt;work-type&gt;Article&lt;/work-type&gt;&lt;titles&gt;&lt;title&gt;Eye movement testing in clinical examination&lt;/title&gt;&lt;secondary-title&gt;Vision Research&lt;/secondary-title&gt;&lt;alt-title&gt;Vision Res.&lt;/alt-title&gt;&lt;/titles&gt;&lt;pages&gt;32-37&lt;/pages&gt;&lt;contributors&gt;&lt;authors&gt;&lt;author&gt;Bedell, H. E.&lt;/author&gt;&lt;author&gt;Stevenson, S. B.&lt;/author&gt;&lt;/authors&gt;&lt;/contributors&gt;&lt;language&gt;English&lt;/language&gt;&lt;added-date format="utc"&gt;1490196647&lt;/added-date&gt;&lt;ref-type name="Journal Article"&gt;17&lt;/ref-type&gt;&lt;auth-address&gt;[Bedell, Harold E.&amp;#xD;Stevenson, Scott B.] Univ Houston, Coll Optometry, Houston, TX 77204 USA. [Bedell, Harold E.] Univ Houston, Ctr Neuroengn &amp;amp; Cognit Sci, Houston, TX 77204 USA.&amp;#xD;Bedell, HE (reprint author), Univ Houston, Coll Optometry, Houston, TX 77204 USA.&amp;#xD;HBedell@Optometry.uh.Edu&lt;/auth-address&gt;&lt;rec-number&gt;19&lt;/rec-number&gt;&lt;last-updated-date format="utc"&gt;1490196647&lt;/last-updated-date&gt;&lt;accession-num&gt;WOS:000323464400006&lt;/accession-num&gt;&lt;electronic-resource-num&gt;10.1016/j.visres.2013.02.001&lt;/electronic-resource-num&gt;&lt;volume&gt;90&lt;/volume&gt;&lt;/record&gt;&lt;/Cite&gt;&lt;/EndNote&gt;</w:instrText>
      </w:r>
      <w:r w:rsidRPr="009D4627">
        <w:fldChar w:fldCharType="separate"/>
      </w:r>
      <w:r w:rsidR="00376CCD" w:rsidRPr="009D4627">
        <w:rPr>
          <w:noProof/>
        </w:rPr>
        <w:t>(Bedell &amp; Stevenson, 2013)</w:t>
      </w:r>
      <w:r w:rsidRPr="009D4627">
        <w:fldChar w:fldCharType="end"/>
      </w:r>
      <w:r w:rsidRPr="009D4627">
        <w:t xml:space="preserve">. </w:t>
      </w:r>
    </w:p>
    <w:p w14:paraId="1F1E8E04" w14:textId="7EDBE1F9" w:rsidR="00547D87" w:rsidRPr="009D4627" w:rsidRDefault="00547D87" w:rsidP="00390EBC">
      <w:r w:rsidRPr="009D4627">
        <w:t xml:space="preserve">Nystagmus is one of the oculomotor disorders that </w:t>
      </w:r>
      <w:r w:rsidR="00EE5F66" w:rsidRPr="009D4627">
        <w:t>can be</w:t>
      </w:r>
      <w:r w:rsidRPr="009D4627">
        <w:t xml:space="preserve"> clinically assessed using </w:t>
      </w:r>
      <w:r w:rsidR="00F937E9" w:rsidRPr="009D4627">
        <w:t>EMR</w:t>
      </w:r>
      <w:r w:rsidRPr="009D4627">
        <w:t xml:space="preserve"> to help in diagnosi</w:t>
      </w:r>
      <w:r w:rsidR="00EE5F66" w:rsidRPr="009D4627">
        <w:t>s</w:t>
      </w:r>
      <w:r w:rsidRPr="009D4627">
        <w:t xml:space="preserve"> and manag</w:t>
      </w:r>
      <w:r w:rsidR="00EE5F66" w:rsidRPr="009D4627">
        <w:t xml:space="preserve">ement </w:t>
      </w:r>
      <w:r w:rsidRPr="009D4627">
        <w:fldChar w:fldCharType="begin"/>
      </w:r>
      <w:r w:rsidR="00C40138" w:rsidRPr="009D4627">
        <w:instrText xml:space="preserve"> ADDIN EN.CITE &lt;EndNote&gt;&lt;Cite&gt;&lt;Author&gt;Rosengren&lt;/Author&gt;&lt;Year&gt;2020&lt;/Year&gt;&lt;IDText&gt;A robustmethod for calibration of eye tracking data recorded during nystagmus&lt;/IDText&gt;&lt;DisplayText&gt;(Rosengren et al., 2020)&lt;/DisplayText&gt;&lt;record&gt;&lt;keywords&gt;&lt;keyword&gt;Psychology, Experimental&lt;/keyword&gt;&lt;keyword&gt;Social Sciences&lt;/keyword&gt;&lt;keyword&gt;Psychology&lt;/keyword&gt;&lt;keyword&gt;Psychology, Mathematical&lt;/keyword&gt;&lt;/keywords&gt;&lt;isbn&gt;1554-351X&lt;/isbn&gt;&lt;titles&gt;&lt;title&gt;A robustmethod for calibration of eye tracking data recorded during nystagmus&lt;/title&gt;&lt;secondary-title&gt;Behavior research methods&lt;/secondary-title&gt;&lt;/titles&gt;&lt;pages&gt;36-50&lt;/pages&gt;&lt;number&gt;1&lt;/number&gt;&lt;contributors&gt;&lt;authors&gt;&lt;author&gt;Rosengren, William&lt;/author&gt;&lt;author&gt;Nystrom, Marcus&lt;/author&gt;&lt;author&gt;Hammar, Bjorn&lt;/author&gt;&lt;author&gt;Stridh, Martin&lt;/author&gt;&lt;/authors&gt;&lt;/contributors&gt;&lt;added-date format="utc"&gt;1603331328&lt;/added-date&gt;&lt;pub-location&gt;NEW YORK&lt;/pub-location&gt;&lt;ref-type name="Journal Article"&gt;17&lt;/ref-type&gt;&lt;dates&gt;&lt;year&gt;2020&lt;/year&gt;&lt;/dates&gt;&lt;rec-number&gt;714&lt;/rec-number&gt;&lt;publisher&gt;NEW YORK: SPRINGER&lt;/publisher&gt;&lt;last-updated-date format="utc"&gt;1603331328&lt;/last-updated-date&gt;&lt;electronic-resource-num&gt;10.3758/s13428-019-01199-0&lt;/electronic-resource-num&gt;&lt;volume&gt;52&lt;/volume&gt;&lt;/record&gt;&lt;/Cite&gt;&lt;/EndNote&gt;</w:instrText>
      </w:r>
      <w:r w:rsidRPr="009D4627">
        <w:fldChar w:fldCharType="separate"/>
      </w:r>
      <w:r w:rsidR="00C40138" w:rsidRPr="009D4627">
        <w:rPr>
          <w:noProof/>
        </w:rPr>
        <w:t>(Rosengren et al., 2020)</w:t>
      </w:r>
      <w:r w:rsidRPr="009D4627">
        <w:fldChar w:fldCharType="end"/>
      </w:r>
      <w:r w:rsidRPr="009D4627">
        <w:t xml:space="preserve">. The technology of </w:t>
      </w:r>
      <w:r w:rsidR="00F937E9" w:rsidRPr="009D4627">
        <w:t>EMR</w:t>
      </w:r>
      <w:r w:rsidRPr="009D4627">
        <w:t xml:space="preserve"> is one of the most reliable methods that generate repeatable diagnosis and identifies the exact waveform to assist in the differential diagnosis of acquired and childhood nystagmus </w:t>
      </w:r>
      <w:r w:rsidRPr="009D4627">
        <w:fldChar w:fldCharType="begin">
          <w:fldData xml:space="preserve">PEVuZE5vdGU+PENpdGU+PEF1dGhvcj5IZXJ0bGU8L0F1dGhvcj48WWVhcj4yMDE3PC9ZZWFyPjxJ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</w:fldData>
        </w:fldChar>
      </w:r>
      <w:r w:rsidR="00945A16" w:rsidRPr="009D4627">
        <w:instrText xml:space="preserve"> ADDIN EN.CITE </w:instrText>
      </w:r>
      <w:r w:rsidR="00945A16" w:rsidRPr="009D4627">
        <w:fldChar w:fldCharType="begin">
          <w:fldData xml:space="preserve">PEVuZE5vdGU+PENpdGU+PEF1dGhvcj5IZXJ0bGU8L0F1dGhvcj48WWVhcj4yMDE3PC9ZZWFyPjxJ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</w:fldData>
        </w:fldChar>
      </w:r>
      <w:r w:rsidR="00945A16" w:rsidRPr="009D4627">
        <w:instrText xml:space="preserve"> ADDIN EN.CITE.DATA </w:instrText>
      </w:r>
      <w:r w:rsidR="00945A16" w:rsidRPr="009D4627">
        <w:fldChar w:fldCharType="end"/>
      </w:r>
      <w:r w:rsidRPr="009D4627">
        <w:fldChar w:fldCharType="separate"/>
      </w:r>
      <w:r w:rsidR="00945A16" w:rsidRPr="009D4627">
        <w:rPr>
          <w:noProof/>
        </w:rPr>
        <w:t>(Hertle, 2017; Papageorgiou et al., 2014)</w:t>
      </w:r>
      <w:r w:rsidRPr="009D4627">
        <w:fldChar w:fldCharType="end"/>
      </w:r>
      <w:r w:rsidRPr="009D4627">
        <w:t xml:space="preserve">. </w:t>
      </w:r>
      <w:r w:rsidR="00AE6F60" w:rsidRPr="009D4627">
        <w:t>For example, identifying the characteristic accelerating waveform of infantile nystagmus syndrome (INS) could avoid the need for the urgent investigations</w:t>
      </w:r>
      <w:r w:rsidR="00EE5F66" w:rsidRPr="009D4627">
        <w:t xml:space="preserve"> required for </w:t>
      </w:r>
      <w:r w:rsidRPr="009D4627">
        <w:t xml:space="preserve">acquired nystagmus, as shown in </w:t>
      </w:r>
      <w:r w:rsidR="00D91AAB" w:rsidRPr="009D4627">
        <w:t>Figure</w:t>
      </w:r>
      <w:r w:rsidRPr="009D4627">
        <w:t xml:space="preserve"> 1.1</w:t>
      </w:r>
      <w:r w:rsidR="00DB6112" w:rsidRPr="009D4627">
        <w:t>6</w:t>
      </w:r>
      <w:r w:rsidR="0061775D" w:rsidRPr="009D4627">
        <w:t xml:space="preserve"> </w:t>
      </w:r>
      <w:r w:rsidRPr="009D4627">
        <w:t xml:space="preserve">A) and B). Hence, it saves time and money for patients and the </w:t>
      </w:r>
      <w:r w:rsidR="00756B48" w:rsidRPr="009D4627">
        <w:t>health service</w:t>
      </w:r>
      <w:r w:rsidRPr="009D4627">
        <w:t xml:space="preserve"> </w:t>
      </w:r>
      <w:r w:rsidRPr="009D4627">
        <w:fldChar w:fldCharType="begin"/>
      </w:r>
      <w:r w:rsidR="00C40138" w:rsidRPr="009D4627">
        <w:instrText xml:space="preserve"> ADDIN EN.CITE &lt;EndNote&gt;&lt;Cite&gt;&lt;Author&gt;Clark&lt;/Author&gt;&lt;Year&gt;2019&lt;/Year&gt;&lt;IDText&gt;The potential and value of objective eye tracking in the ophthalmology clinic&lt;/IDText&gt;&lt;DisplayText&gt;(Clark et al., 2019)&lt;/DisplayText&gt;&lt;record&gt;&lt;isbn&gt;0950222X&lt;/isbn&gt;&lt;titles&gt;&lt;title&gt;The potential and value of objective eye tracking in the ophthalmology clinic&lt;/title&gt;&lt;secondary-title&gt;Eye&lt;/secondary-title&gt;&lt;/titles&gt;&lt;pages&gt;1200-1202&lt;/pages&gt;&lt;number&gt;8&lt;/number&gt;&lt;contributors&gt;&lt;authors&gt;&lt;author&gt;Clark, Rosie&lt;/author&gt;&lt;author&gt;Blundell, James&lt;/author&gt;&lt;author&gt;Dunn, Matt&lt;/author&gt;&lt;author&gt;Erichsen, Jonathan&lt;/author&gt;&lt;author&gt;Giardini, Mario&lt;/author&gt;&lt;author&gt;Gottlob, Irene&lt;/author&gt;&lt;author&gt;Harris, Chris&lt;/author&gt;&lt;author&gt;Lee, Helena&lt;/author&gt;&lt;author&gt;Lee, Mcilreavy&lt;/author&gt;&lt;author&gt;Olson, Andrew&lt;/author&gt;&lt;author&gt;Self, Jay&lt;/author&gt;&lt;author&gt;Vinuela-Navarro, Valldeflors&lt;/author&gt;&lt;author&gt;Waddington, Jonathan&lt;/author&gt;&lt;author&gt;Woodhouse, J.&lt;/author&gt;&lt;author&gt;Gilchrist, Iain&lt;/author&gt;&lt;author&gt;Williams, Cathy&lt;/author&gt;&lt;/authors&gt;&lt;/contributors&gt;&lt;added-date format="utc"&gt;1571826965&lt;/added-date&gt;&lt;pub-location&gt;London&lt;/pub-location&gt;&lt;ref-type name="Journal Article"&gt;17&lt;/ref-type&gt;&lt;dates&gt;&lt;year&gt;2019&lt;/year&gt;&lt;/dates&gt;&lt;rec-number&gt;607&lt;/rec-number&gt;&lt;last-updated-date format="utc"&gt;1571826965&lt;/last-updated-date&gt;&lt;electronic-resource-num&gt;10.1038/s41433-019-0417-z&lt;/electronic-resource-num&gt;&lt;volume&gt;33&lt;/volume&gt;&lt;/record&gt;&lt;/Cite&gt;&lt;/EndNote&gt;</w:instrText>
      </w:r>
      <w:r w:rsidRPr="009D4627">
        <w:fldChar w:fldCharType="separate"/>
      </w:r>
      <w:r w:rsidR="00C40138" w:rsidRPr="009D4627">
        <w:rPr>
          <w:noProof/>
        </w:rPr>
        <w:t>(Clark et al., 2019)</w:t>
      </w:r>
      <w:r w:rsidRPr="009D4627">
        <w:fldChar w:fldCharType="end"/>
      </w:r>
      <w:r w:rsidRPr="009D4627">
        <w:t xml:space="preserve">. </w:t>
      </w:r>
    </w:p>
    <w:p w14:paraId="723B03AB" w14:textId="4398EA00" w:rsidR="00547D87" w:rsidRPr="009D4627" w:rsidRDefault="00A2792E" w:rsidP="00067115">
      <w:pPr>
        <w:spacing w:after="0" w:line="240" w:lineRule="auto"/>
      </w:pPr>
      <w:r w:rsidRPr="009D4627">
        <w:rPr>
          <w:noProof/>
        </w:rPr>
        <mc:AlternateContent>
          <mc:Choice Requires="wpg">
            <w:drawing>
              <wp:inline distT="0" distB="0" distL="0" distR="0" wp14:anchorId="17923891" wp14:editId="52D58A1B">
                <wp:extent cx="5630545" cy="1799590"/>
                <wp:effectExtent l="0" t="19050" r="8255" b="0"/>
                <wp:docPr id="24323" name="Group 24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0545" cy="1799590"/>
                          <a:chOff x="0" y="0"/>
                          <a:chExt cx="56486" cy="17830"/>
                        </a:xfrm>
                      </wpg:grpSpPr>
                      <wpg:grpSp>
                        <wpg:cNvPr id="24324" name="Group 385"/>
                        <wpg:cNvGrpSpPr>
                          <a:grpSpLocks/>
                        </wpg:cNvGrpSpPr>
                        <wpg:grpSpPr bwMode="auto">
                          <a:xfrm>
                            <a:off x="0" y="0"/>
                            <a:ext cx="36087" cy="12528"/>
                            <a:chOff x="0" y="-117"/>
                            <a:chExt cx="36087" cy="12528"/>
                          </a:xfrm>
                        </wpg:grpSpPr>
                        <pic:pic xmlns:pic="http://schemas.openxmlformats.org/drawingml/2006/picture">
                          <pic:nvPicPr>
                            <pic:cNvPr id="24325" name="Picture 395"/>
                            <pic:cNvPicPr>
                              <a:picLocks noChangeAspect="1"/>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a:off x="190" y="-117"/>
                              <a:ext cx="35897" cy="12527"/>
                            </a:xfrm>
                            <a:prstGeom prst="rect">
                              <a:avLst/>
                            </a:prstGeom>
                            <a:noFill/>
                            <a:ln w="9525">
                              <a:solidFill>
                                <a:schemeClr val="tx1">
                                  <a:lumMod val="100000"/>
                                  <a:lumOff val="0"/>
                                </a:schemeClr>
                              </a:solidFill>
                              <a:miter lim="800000"/>
                              <a:headEnd/>
                              <a:tailEnd/>
                            </a:ln>
                          </pic:spPr>
                        </pic:pic>
                        <wps:wsp>
                          <wps:cNvPr id="24326" name="Rectangle 396"/>
                          <wps:cNvSpPr>
                            <a:spLocks noChangeArrowheads="1"/>
                          </wps:cNvSpPr>
                          <wps:spPr bwMode="auto">
                            <a:xfrm>
                              <a:off x="0" y="0"/>
                              <a:ext cx="2667" cy="2152"/>
                            </a:xfrm>
                            <a:prstGeom prst="rect">
                              <a:avLst/>
                            </a:prstGeom>
                            <a:noFill/>
                            <a:ln>
                              <a:noFill/>
                            </a:ln>
                          </wps:spPr>
                          <wps:txbx>
                            <w:txbxContent>
                              <w:p w14:paraId="566D10EC" w14:textId="0358A83F" w:rsidR="00527127" w:rsidRPr="0036354C" w:rsidRDefault="00527127" w:rsidP="0061775D">
                                <w:pPr>
                                  <w:spacing w:before="0" w:line="240" w:lineRule="auto"/>
                                  <w:jc w:val="center"/>
                                  <w:rPr>
                                    <w:lang w:val="en-US"/>
                                  </w:rPr>
                                </w:pPr>
                                <w:r>
                                  <w:rPr>
                                    <w:lang w:val="en-US"/>
                                  </w:rPr>
                                  <w:t>a)</w:t>
                                </w:r>
                              </w:p>
                            </w:txbxContent>
                          </wps:txbx>
                          <wps:bodyPr rot="0" vert="horz" wrap="square" lIns="0" tIns="0" rIns="0" bIns="0" anchor="ctr" anchorCtr="0" upright="1">
                            <a:noAutofit/>
                          </wps:bodyPr>
                        </wps:wsp>
                      </wpg:grpSp>
                      <wpg:grpSp>
                        <wpg:cNvPr id="24327" name="Group 397"/>
                        <wpg:cNvGrpSpPr>
                          <a:grpSpLocks/>
                        </wpg:cNvGrpSpPr>
                        <wpg:grpSpPr bwMode="auto">
                          <a:xfrm>
                            <a:off x="37074" y="0"/>
                            <a:ext cx="19412" cy="17830"/>
                            <a:chOff x="0" y="0"/>
                            <a:chExt cx="19411" cy="17830"/>
                          </a:xfrm>
                        </wpg:grpSpPr>
                        <pic:pic xmlns:pic="http://schemas.openxmlformats.org/drawingml/2006/picture">
                          <pic:nvPicPr>
                            <pic:cNvPr id="24328" name="Picture 398"/>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11" cy="17830"/>
                            </a:xfrm>
                            <a:prstGeom prst="rect">
                              <a:avLst/>
                            </a:prstGeom>
                            <a:noFill/>
                            <a:ln w="9525">
                              <a:solidFill>
                                <a:schemeClr val="tx1">
                                  <a:lumMod val="100000"/>
                                  <a:lumOff val="0"/>
                                </a:schemeClr>
                              </a:solidFill>
                              <a:miter lim="800000"/>
                              <a:headEnd/>
                              <a:tailEnd/>
                            </a:ln>
                          </pic:spPr>
                        </pic:pic>
                        <wps:wsp>
                          <wps:cNvPr id="24329" name="Rectangle 399"/>
                          <wps:cNvSpPr>
                            <a:spLocks noChangeArrowheads="1"/>
                          </wps:cNvSpPr>
                          <wps:spPr bwMode="auto">
                            <a:xfrm>
                              <a:off x="12" y="220"/>
                              <a:ext cx="2382" cy="2049"/>
                            </a:xfrm>
                            <a:prstGeom prst="rect">
                              <a:avLst/>
                            </a:prstGeom>
                            <a:noFill/>
                            <a:ln>
                              <a:noFill/>
                            </a:ln>
                          </wps:spPr>
                          <wps:txbx>
                            <w:txbxContent>
                              <w:p w14:paraId="77E5BA2B" w14:textId="5D2E5928" w:rsidR="00527127" w:rsidRPr="0036354C" w:rsidRDefault="00527127" w:rsidP="0061775D">
                                <w:pPr>
                                  <w:spacing w:before="0" w:line="240" w:lineRule="auto"/>
                                  <w:jc w:val="center"/>
                                  <w:rPr>
                                    <w:lang w:val="en-US"/>
                                  </w:rPr>
                                </w:pPr>
                                <w:r>
                                  <w:rPr>
                                    <w:lang w:val="en-US"/>
                                  </w:rPr>
                                  <w:t>b)</w:t>
                                </w:r>
                              </w:p>
                            </w:txbxContent>
                          </wps:txbx>
                          <wps:bodyPr rot="0" vert="horz" wrap="square" lIns="0" tIns="0" rIns="0" bIns="0" anchor="ctr" anchorCtr="0" upright="1">
                            <a:noAutofit/>
                          </wps:bodyPr>
                        </wps:wsp>
                      </wpg:grpSp>
                    </wpg:wgp>
                  </a:graphicData>
                </a:graphic>
              </wp:inline>
            </w:drawing>
          </mc:Choice>
          <mc:Fallback>
            <w:pict>
              <v:group w14:anchorId="17923891" id="Group 24323" o:spid="_x0000_s1113" style="width:443.35pt;height:141.7pt;mso-position-horizontal-relative:char;mso-position-vertical-relative:line" coordsize="56486,178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">
                <v:group id="Group 385" o:spid="_x0000_s1114" style="position:absolute;width:36087;height:12528" coordorigin=",-117" coordsize="36087,12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">
                  <v:shape id="Picture 395" o:spid="_x0000_s1115" type="#_x0000_t75" style="position:absolute;left:190;top:-117;width:35897;height:1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" stroked="t" strokecolor="black [3213]">
                    <v:imagedata r:id="rId52" o:title=""/>
                    <v:path arrowok="t"/>
                  </v:shape>
                  <v:rect id="Rectangle 396" o:spid="_x0000_s1116" style="position:absolute;width:2667;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" filled="f" stroked="f">
                    <v:textbox inset="0,0,0,0">
                      <w:txbxContent>
                        <w:p w14:paraId="566D10EC" w14:textId="0358A83F" w:rsidR="00527127" w:rsidRPr="0036354C" w:rsidRDefault="00527127" w:rsidP="0061775D">
                          <w:pPr>
                            <w:spacing w:before="0" w:line="240" w:lineRule="auto"/>
                            <w:jc w:val="center"/>
                            <w:rPr>
                              <w:lang w:val="en-US"/>
                            </w:rPr>
                          </w:pPr>
                          <w:r>
                            <w:rPr>
                              <w:lang w:val="en-US"/>
                            </w:rPr>
                            <w:t>a)</w:t>
                          </w:r>
                        </w:p>
                      </w:txbxContent>
                    </v:textbox>
                  </v:rect>
                </v:group>
                <v:group id="Group 397" o:spid="_x0000_s1117" style="position:absolute;left:37074;width:19412;height:17830" coordsize="19411,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">
                  <v:shape id="Picture 398" o:spid="_x0000_s1118" type="#_x0000_t75" style="position:absolute;width:19411;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" stroked="t" strokecolor="black [3213]">
                    <v:imagedata r:id="rId53" o:title=""/>
                    <v:path arrowok="t"/>
                  </v:shape>
                  <v:rect id="Rectangle 399" o:spid="_x0000_s1119" style="position:absolute;left:12;top:220;width:2382;height:2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" filled="f" stroked="f">
                    <v:textbox inset="0,0,0,0">
                      <w:txbxContent>
                        <w:p w14:paraId="77E5BA2B" w14:textId="5D2E5928" w:rsidR="00527127" w:rsidRPr="0036354C" w:rsidRDefault="00527127" w:rsidP="0061775D">
                          <w:pPr>
                            <w:spacing w:before="0" w:line="240" w:lineRule="auto"/>
                            <w:jc w:val="center"/>
                            <w:rPr>
                              <w:lang w:val="en-US"/>
                            </w:rPr>
                          </w:pPr>
                          <w:r>
                            <w:rPr>
                              <w:lang w:val="en-US"/>
                            </w:rPr>
                            <w:t>b)</w:t>
                          </w:r>
                        </w:p>
                      </w:txbxContent>
                    </v:textbox>
                  </v:rect>
                </v:group>
                <w10:anchorlock/>
              </v:group>
            </w:pict>
          </mc:Fallback>
        </mc:AlternateContent>
      </w:r>
    </w:p>
    <w:p w14:paraId="0FC95C40" w14:textId="3A147EE8" w:rsidR="00AE6F60" w:rsidRPr="009D4627" w:rsidRDefault="00DB6112" w:rsidP="00C4130D">
      <w:pPr>
        <w:pStyle w:val="Caption"/>
        <w:rPr>
          <w:b/>
        </w:rPr>
      </w:pPr>
      <w:bookmarkStart w:id="99" w:name="_Toc73609245"/>
      <w:bookmarkStart w:id="100" w:name="_Toc73804907"/>
      <w:bookmarkStart w:id="101" w:name="_Toc98570017"/>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16</w:t>
      </w:r>
      <w:r w:rsidR="002E63E9" w:rsidRPr="009D4627">
        <w:rPr>
          <w:noProof/>
        </w:rPr>
        <w:fldChar w:fldCharType="end"/>
      </w:r>
      <w:r w:rsidRPr="009D4627">
        <w:t xml:space="preserve">: </w:t>
      </w:r>
      <w:r w:rsidR="00240140" w:rsidRPr="009D4627">
        <w:t xml:space="preserve">Examples of </w:t>
      </w:r>
      <w:r w:rsidR="00756B48" w:rsidRPr="009D4627">
        <w:t>SWJ</w:t>
      </w:r>
      <w:r w:rsidR="00240140" w:rsidRPr="009D4627">
        <w:t xml:space="preserve"> vs pendular nystagmus waveforms recorded in </w:t>
      </w:r>
      <w:r w:rsidR="00F57D01" w:rsidRPr="009D4627">
        <w:t>PP</w:t>
      </w:r>
      <w:r w:rsidR="00240140" w:rsidRPr="009D4627">
        <w:rPr>
          <w:b/>
        </w:rPr>
        <w:t>.</w:t>
      </w:r>
      <w:bookmarkEnd w:id="99"/>
      <w:bookmarkEnd w:id="100"/>
      <w:bookmarkEnd w:id="101"/>
      <w:r w:rsidR="00F57D01" w:rsidRPr="009D4627">
        <w:rPr>
          <w:b/>
        </w:rPr>
        <w:t xml:space="preserve"> </w:t>
      </w:r>
    </w:p>
    <w:p w14:paraId="335F3209" w14:textId="59EA3FFF" w:rsidR="00547D87" w:rsidRPr="009D4627" w:rsidRDefault="00AE6F60" w:rsidP="00C4130D">
      <w:pPr>
        <w:pStyle w:val="Caption"/>
      </w:pPr>
      <w:r w:rsidRPr="009D4627">
        <w:rPr>
          <w:b/>
        </w:rPr>
        <w:t>a</w:t>
      </w:r>
      <w:r w:rsidR="00547D87" w:rsidRPr="009D4627">
        <w:rPr>
          <w:b/>
        </w:rPr>
        <w:t>)</w:t>
      </w:r>
      <w:r w:rsidR="00547D87" w:rsidRPr="009D4627">
        <w:t xml:space="preserve"> Example of horizontal </w:t>
      </w:r>
      <w:r w:rsidR="00756B48" w:rsidRPr="009D4627">
        <w:t>SWJ of</w:t>
      </w:r>
      <w:r w:rsidR="00547D87" w:rsidRPr="009D4627">
        <w:t>f infantile nystagmus is shown with increasing-velocity waveforms</w:t>
      </w:r>
      <w:r w:rsidR="00756B48" w:rsidRPr="009D4627">
        <w:t>.</w:t>
      </w:r>
      <w:r w:rsidR="00547D87" w:rsidRPr="009D4627">
        <w:t xml:space="preserve"> From Abel and </w:t>
      </w:r>
      <w:proofErr w:type="spellStart"/>
      <w:r w:rsidR="00547D87" w:rsidRPr="009D4627">
        <w:t>Malesic</w:t>
      </w:r>
      <w:proofErr w:type="spellEnd"/>
      <w:r w:rsidR="00547D87" w:rsidRPr="009D4627">
        <w:t xml:space="preserve"> (2007)</w:t>
      </w:r>
      <w:r w:rsidR="00756B48" w:rsidRPr="009D4627">
        <w:t>.</w:t>
      </w:r>
      <w:r w:rsidR="00547D87" w:rsidRPr="009D4627">
        <w:t xml:space="preserve"> </w:t>
      </w:r>
      <w:r w:rsidRPr="009D4627">
        <w:rPr>
          <w:b/>
        </w:rPr>
        <w:t>b</w:t>
      </w:r>
      <w:r w:rsidR="00547D87" w:rsidRPr="009D4627">
        <w:rPr>
          <w:b/>
        </w:rPr>
        <w:t>)</w:t>
      </w:r>
      <w:r w:rsidR="00547D87" w:rsidRPr="009D4627">
        <w:t xml:space="preserve"> </w:t>
      </w:r>
      <w:r w:rsidR="00756B48" w:rsidRPr="009D4627">
        <w:t>S</w:t>
      </w:r>
      <w:r w:rsidR="00547D87" w:rsidRPr="009D4627">
        <w:t>hows acquired pendular nystagmus w</w:t>
      </w:r>
      <w:r w:rsidR="00756B48" w:rsidRPr="009D4627">
        <w:t>here</w:t>
      </w:r>
      <w:r w:rsidR="00547D87" w:rsidRPr="009D4627">
        <w:t xml:space="preserve"> the velocity tend</w:t>
      </w:r>
      <w:r w:rsidR="00756B48" w:rsidRPr="009D4627">
        <w:t>s</w:t>
      </w:r>
      <w:r w:rsidR="00547D87" w:rsidRPr="009D4627">
        <w:t xml:space="preserve"> to remain reasonably constant</w:t>
      </w:r>
      <w:r w:rsidR="00240140" w:rsidRPr="009D4627">
        <w:t xml:space="preserve">. </w:t>
      </w:r>
      <w:r w:rsidRPr="009D4627">
        <w:t>Image taken f</w:t>
      </w:r>
      <w:r w:rsidR="00547D87" w:rsidRPr="009D4627">
        <w:t xml:space="preserve">rom </w:t>
      </w:r>
      <w:proofErr w:type="spellStart"/>
      <w:r w:rsidR="00547D87" w:rsidRPr="009D4627">
        <w:t>Strupp</w:t>
      </w:r>
      <w:proofErr w:type="spellEnd"/>
      <w:r w:rsidR="00547D87" w:rsidRPr="009D4627">
        <w:t xml:space="preserve"> et al. (2011). </w:t>
      </w:r>
    </w:p>
    <w:p w14:paraId="18B04D10" w14:textId="77777777" w:rsidR="00F57D01" w:rsidRPr="009D4627" w:rsidRDefault="00F57D01" w:rsidP="00F57D01">
      <w:pPr>
        <w:rPr>
          <w:lang w:val="en-MY"/>
        </w:rPr>
      </w:pPr>
    </w:p>
    <w:p w14:paraId="774B6324" w14:textId="522C7240" w:rsidR="00547D87" w:rsidRPr="009D4627" w:rsidRDefault="00547D87" w:rsidP="00390EBC">
      <w:r w:rsidRPr="009D4627">
        <w:lastRenderedPageBreak/>
        <w:t xml:space="preserve">An objective </w:t>
      </w:r>
      <w:r w:rsidR="00F937E9" w:rsidRPr="009D4627">
        <w:t>EMR</w:t>
      </w:r>
      <w:r w:rsidRPr="009D4627">
        <w:t xml:space="preserve"> can also help the clinician differentiate between Parkinson's disease (PD) and </w:t>
      </w:r>
      <w:r w:rsidR="00756B48" w:rsidRPr="009D4627">
        <w:t>p</w:t>
      </w:r>
      <w:r w:rsidRPr="009D4627">
        <w:t xml:space="preserve">rogressive supranuclear palsy (PSP) </w:t>
      </w:r>
      <w:r w:rsidRPr="009D4627">
        <w:fldChar w:fldCharType="begin">
          <w:fldData xml:space="preserve">PEVuZE5vdGU+PENpdGU+PEF1dGhvcj5NYXJ4PC9BdXRob3I+PFllYXI+MjAxMjwvWWVhcj48SURU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</w:fldData>
        </w:fldChar>
      </w:r>
      <w:r w:rsidR="00945A16" w:rsidRPr="009D4627">
        <w:instrText xml:space="preserve"> ADDIN EN.CITE </w:instrText>
      </w:r>
      <w:r w:rsidR="00945A16" w:rsidRPr="009D4627">
        <w:fldChar w:fldCharType="begin">
          <w:fldData xml:space="preserve">PEVuZE5vdGU+PENpdGU+PEF1dGhvcj5NYXJ4PC9BdXRob3I+PFllYXI+MjAxMjwvWWVhcj48SURU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</w:fldData>
        </w:fldChar>
      </w:r>
      <w:r w:rsidR="00945A16" w:rsidRPr="009D4627">
        <w:instrText xml:space="preserve"> ADDIN EN.CITE.DATA </w:instrText>
      </w:r>
      <w:r w:rsidR="00945A16" w:rsidRPr="009D4627">
        <w:fldChar w:fldCharType="end"/>
      </w:r>
      <w:r w:rsidRPr="009D4627">
        <w:fldChar w:fldCharType="separate"/>
      </w:r>
      <w:r w:rsidR="00945A16" w:rsidRPr="009D4627">
        <w:rPr>
          <w:noProof/>
        </w:rPr>
        <w:t>(Marx et al., 2012)</w:t>
      </w:r>
      <w:r w:rsidRPr="009D4627">
        <w:fldChar w:fldCharType="end"/>
      </w:r>
      <w:r w:rsidRPr="009D4627">
        <w:t xml:space="preserve">. Marx et al. (2012) studied the eye movements of 10 possible PSP patients, 11 diagnosed PD patients, and </w:t>
      </w:r>
      <w:r w:rsidR="00756B48" w:rsidRPr="009D4627">
        <w:t>10</w:t>
      </w:r>
      <w:r w:rsidRPr="009D4627">
        <w:t xml:space="preserve"> age-matched healthy control participants using the </w:t>
      </w:r>
      <w:proofErr w:type="spellStart"/>
      <w:r w:rsidRPr="009D4627">
        <w:t>EyeSeeCam</w:t>
      </w:r>
      <w:proofErr w:type="spellEnd"/>
      <w:r w:rsidRPr="009D4627">
        <w:t xml:space="preserve">. </w:t>
      </w:r>
      <w:r w:rsidR="00AE6F60" w:rsidRPr="009D4627">
        <w:t>The neurological specialists also evaluated patien</w:t>
      </w:r>
      <w:r w:rsidRPr="009D4627">
        <w:t xml:space="preserve">ts. The saccades were tested at </w:t>
      </w:r>
      <w:r w:rsidR="00756B48" w:rsidRPr="009D4627">
        <w:t>five</w:t>
      </w:r>
      <w:r w:rsidRPr="009D4627">
        <w:t xml:space="preserve"> points (i.e., </w:t>
      </w:r>
      <w:r w:rsidR="00995715" w:rsidRPr="009D4627">
        <w:t>PP</w:t>
      </w:r>
      <w:r w:rsidRPr="009D4627">
        <w:t xml:space="preserve"> and four at ±8.5° horizontally and vertically). They found a significantly slower peak velocity f</w:t>
      </w:r>
      <w:r w:rsidR="00756B48" w:rsidRPr="009D4627">
        <w:t>or</w:t>
      </w:r>
      <w:r w:rsidRPr="009D4627">
        <w:t xml:space="preserve"> PSP </w:t>
      </w:r>
      <w:r w:rsidR="00AE6F60" w:rsidRPr="009D4627">
        <w:t>than</w:t>
      </w:r>
      <w:r w:rsidRPr="009D4627">
        <w:t xml:space="preserve"> PD and healthy control</w:t>
      </w:r>
      <w:r w:rsidR="00756B48" w:rsidRPr="009D4627">
        <w:t>s</w:t>
      </w:r>
      <w:r w:rsidRPr="009D4627">
        <w:t xml:space="preserve"> (</w:t>
      </w:r>
      <w:r w:rsidR="00D91AAB" w:rsidRPr="009D4627">
        <w:t>Figure</w:t>
      </w:r>
      <w:r w:rsidRPr="009D4627">
        <w:t xml:space="preserve"> 1.1</w:t>
      </w:r>
      <w:r w:rsidR="0061775D" w:rsidRPr="009D4627">
        <w:t xml:space="preserve">7 </w:t>
      </w:r>
      <w:r w:rsidR="00AE6F60" w:rsidRPr="009D4627">
        <w:t>a</w:t>
      </w:r>
      <w:r w:rsidRPr="009D4627">
        <w:t xml:space="preserve">), which was similar to </w:t>
      </w:r>
      <w:r w:rsidR="00756B48" w:rsidRPr="009D4627">
        <w:t>an</w:t>
      </w:r>
      <w:r w:rsidRPr="009D4627">
        <w:t xml:space="preserve"> earlier study performed using the magnetic scleral search coil technique </w:t>
      </w:r>
      <w:r w:rsidRPr="009D4627">
        <w:fldChar w:fldCharType="begin"/>
      </w:r>
      <w:r w:rsidR="00945A16" w:rsidRPr="009D4627">
        <w:instrText xml:space="preserve"> ADDIN EN.CITE &lt;EndNote&gt;&lt;Cite&gt;&lt;Author&gt;Bhidayasiri&lt;/Author&gt;&lt;Year&gt;2001&lt;/Year&gt;&lt;IDText&gt;Pathophysiology of slow vertical saccades in progressive supranuclear palsy&lt;/IDText&gt;&lt;DisplayText&gt;(Bhidayasiri et al., 2001)&lt;/DisplayText&gt;&lt;record&gt;&lt;keywords&gt;&lt;keyword&gt;Aged–Physiology&lt;/keyword&gt;&lt;keyword&gt;Female–Diagnosis&lt;/keyword&gt;&lt;keyword&gt;Humans–Physiopathology&lt;/keyword&gt;&lt;keyword&gt;Male–Physiopathology&lt;/keyword&gt;&lt;keyword&gt;Middle Aged–Physiopathology&lt;/keyword&gt;&lt;keyword&gt;Neurons–Physiology&lt;/keyword&gt;&lt;keyword&gt;Parkinsonian Disorders–Diagnosis&lt;/keyword&gt;&lt;keyword&gt;Pons–Physiopathology&lt;/keyword&gt;&lt;keyword&gt;Reticular Formation–Physiopathology&lt;/keyword&gt;&lt;keyword&gt;Saccades–Physiopathology&lt;/keyword&gt;&lt;keyword&gt;Supranuclear Palsy, Progressive–Physiopathology&lt;/keyword&gt;&lt;keyword&gt;Abridged&lt;/keyword&gt;&lt;/keywords&gt;&lt;isbn&gt;0028-3878&lt;/isbn&gt;&lt;titles&gt;&lt;title&gt;Pathophysiology of slow vertical saccades in progressive supranuclear palsy&lt;/title&gt;&lt;secondary-title&gt;Neurology: Journal of the American Heart Association&lt;/secondary-title&gt;&lt;/titles&gt;&lt;pages&gt;2070-2077&lt;/pages&gt;&lt;number&gt;11&lt;/number&gt;&lt;contributors&gt;&lt;authors&gt;&lt;author&gt;Bhidayasiri, R.&lt;/author&gt;&lt;author&gt;Riley, D. E.&lt;/author&gt;&lt;author&gt;Somers, J. T.&lt;/author&gt;&lt;author&gt;Lerner, A. J.&lt;/author&gt;&lt;author&gt;Büttner-Ennever, J. A.&lt;/author&gt;&lt;author&gt;Leigh, R. J.&lt;/author&gt;&lt;/authors&gt;&lt;/contributors&gt;&lt;added-date format="utc"&gt;1572003654&lt;/added-date&gt;&lt;ref-type name="Journal Article"&gt;17&lt;/ref-type&gt;&lt;dates&gt;&lt;year&gt;2001&lt;/year&gt;&lt;/dates&gt;&lt;rec-number&gt;614&lt;/rec-number&gt;&lt;last-updated-date format="utc"&gt;1572003654&lt;/last-updated-date&gt;&lt;electronic-resource-num&gt;10.1212/WNL.57.11.2070&lt;/electronic-resource-num&gt;&lt;volume&gt;57&lt;/volume&gt;&lt;/record&gt;&lt;/Cite&gt;&lt;/EndNote&gt;</w:instrText>
      </w:r>
      <w:r w:rsidRPr="009D4627">
        <w:fldChar w:fldCharType="separate"/>
      </w:r>
      <w:r w:rsidR="00945A16" w:rsidRPr="009D4627">
        <w:rPr>
          <w:noProof/>
        </w:rPr>
        <w:t>(Bhidayasiri et al., 2001)</w:t>
      </w:r>
      <w:r w:rsidRPr="009D4627">
        <w:fldChar w:fldCharType="end"/>
      </w:r>
      <w:r w:rsidRPr="009D4627">
        <w:t xml:space="preserve">.  Therefore, the results confirmed that an objective eye recording could produce reliable results to help the clinician make the </w:t>
      </w:r>
      <w:r w:rsidR="00756B48" w:rsidRPr="009D4627">
        <w:t>d</w:t>
      </w:r>
      <w:r w:rsidRPr="009D4627">
        <w:t xml:space="preserve">iagnosis regardless of the device used. </w:t>
      </w:r>
      <w:proofErr w:type="spellStart"/>
      <w:r w:rsidRPr="009D4627">
        <w:t>Bhidayasiri</w:t>
      </w:r>
      <w:proofErr w:type="spellEnd"/>
      <w:r w:rsidRPr="009D4627">
        <w:t xml:space="preserve"> et al. (2001) investigated a broader spectrum of vertical gaze palsy syndromes, which include</w:t>
      </w:r>
      <w:r w:rsidR="00756B48" w:rsidRPr="009D4627">
        <w:t>d</w:t>
      </w:r>
      <w:r w:rsidRPr="009D4627">
        <w:t xml:space="preserve"> multiple system atrophy (MSA) and cortic</w:t>
      </w:r>
      <w:r w:rsidR="00756B48" w:rsidRPr="009D4627">
        <w:t>o</w:t>
      </w:r>
      <w:r w:rsidRPr="009D4627">
        <w:t xml:space="preserve">-basal ganglionic degeneration (CBGD). Anderson et al. (2008) characterised MSA as </w:t>
      </w:r>
      <w:r w:rsidR="00756B48" w:rsidRPr="009D4627">
        <w:t xml:space="preserve">having </w:t>
      </w:r>
      <w:r w:rsidRPr="009D4627">
        <w:t xml:space="preserve">gaze-evoked nystagmus, downbeat nystagmus, </w:t>
      </w:r>
      <w:r w:rsidR="00756B48" w:rsidRPr="009D4627">
        <w:t>SWJ</w:t>
      </w:r>
      <w:r w:rsidRPr="009D4627">
        <w:t xml:space="preserve">, and mild </w:t>
      </w:r>
      <w:proofErr w:type="spellStart"/>
      <w:r w:rsidRPr="009D4627">
        <w:t>hypometric</w:t>
      </w:r>
      <w:proofErr w:type="spellEnd"/>
      <w:r w:rsidRPr="009D4627">
        <w:t xml:space="preserve"> saccades (</w:t>
      </w:r>
      <w:r w:rsidR="00D91AAB" w:rsidRPr="009D4627">
        <w:t>Figure</w:t>
      </w:r>
      <w:r w:rsidRPr="009D4627">
        <w:t xml:space="preserve"> 1.1</w:t>
      </w:r>
      <w:r w:rsidR="0061775D" w:rsidRPr="009D4627">
        <w:t xml:space="preserve">7 </w:t>
      </w:r>
      <w:r w:rsidR="00AE6F60" w:rsidRPr="009D4627">
        <w:t>b</w:t>
      </w:r>
      <w:r w:rsidRPr="009D4627">
        <w:t xml:space="preserve">). They suggested </w:t>
      </w:r>
      <w:r w:rsidR="00756B48" w:rsidRPr="009D4627">
        <w:t xml:space="preserve">that </w:t>
      </w:r>
      <w:r w:rsidRPr="009D4627">
        <w:t>careful clinical observation</w:t>
      </w:r>
      <w:r w:rsidRPr="009D4627">
        <w:rPr>
          <w:rStyle w:val="CommentReference"/>
          <w:sz w:val="24"/>
          <w:szCs w:val="24"/>
          <w:lang w:eastAsia="zh-CN"/>
        </w:rPr>
        <w:t xml:space="preserve">, including objective </w:t>
      </w:r>
      <w:r w:rsidR="00F937E9" w:rsidRPr="009D4627">
        <w:rPr>
          <w:rStyle w:val="CommentReference"/>
          <w:sz w:val="24"/>
          <w:szCs w:val="24"/>
          <w:lang w:eastAsia="zh-CN"/>
        </w:rPr>
        <w:t>EMR</w:t>
      </w:r>
      <w:r w:rsidRPr="009D4627">
        <w:rPr>
          <w:rStyle w:val="CommentReference"/>
          <w:sz w:val="24"/>
          <w:szCs w:val="24"/>
          <w:lang w:eastAsia="zh-CN"/>
        </w:rPr>
        <w:t xml:space="preserve">s, </w:t>
      </w:r>
      <w:r w:rsidR="00756B48" w:rsidRPr="009D4627">
        <w:rPr>
          <w:rStyle w:val="CommentReference"/>
          <w:sz w:val="24"/>
          <w:szCs w:val="24"/>
          <w:lang w:eastAsia="zh-CN"/>
        </w:rPr>
        <w:t>c</w:t>
      </w:r>
      <w:r w:rsidRPr="009D4627">
        <w:rPr>
          <w:rStyle w:val="CommentReference"/>
          <w:sz w:val="24"/>
          <w:szCs w:val="24"/>
          <w:lang w:eastAsia="zh-CN"/>
        </w:rPr>
        <w:t>o</w:t>
      </w:r>
      <w:r w:rsidR="00756B48" w:rsidRPr="009D4627">
        <w:rPr>
          <w:rStyle w:val="CommentReference"/>
          <w:sz w:val="24"/>
          <w:szCs w:val="24"/>
          <w:lang w:eastAsia="zh-CN"/>
        </w:rPr>
        <w:t>uld</w:t>
      </w:r>
      <w:r w:rsidRPr="009D4627">
        <w:rPr>
          <w:rStyle w:val="CommentReference"/>
          <w:sz w:val="24"/>
          <w:szCs w:val="24"/>
          <w:lang w:eastAsia="zh-CN"/>
        </w:rPr>
        <w:t xml:space="preserve"> identify</w:t>
      </w:r>
      <w:r w:rsidRPr="009D4627">
        <w:t xml:space="preserve"> oculomotor features to assist in </w:t>
      </w:r>
      <w:r w:rsidR="00756B48" w:rsidRPr="009D4627">
        <w:t>making the appropriate</w:t>
      </w:r>
      <w:r w:rsidRPr="009D4627">
        <w:t xml:space="preserve"> diagnosis.</w:t>
      </w:r>
    </w:p>
    <w:p w14:paraId="08A94786" w14:textId="584BF157" w:rsidR="003E36B2" w:rsidRPr="009D4627" w:rsidRDefault="003E36B2" w:rsidP="00390EBC"/>
    <w:p w14:paraId="74768DAA" w14:textId="77777777" w:rsidR="00AE6F60" w:rsidRPr="009D4627" w:rsidRDefault="00AE6F60" w:rsidP="00390EBC"/>
    <w:p w14:paraId="352EF38A" w14:textId="2DA9DA14" w:rsidR="00600AD3" w:rsidRPr="009D4627" w:rsidRDefault="00A2792E" w:rsidP="00600AD3">
      <w:pPr>
        <w:tabs>
          <w:tab w:val="left" w:pos="993"/>
        </w:tabs>
        <w:spacing w:line="240" w:lineRule="auto"/>
        <w:jc w:val="center"/>
      </w:pPr>
      <w:r w:rsidRPr="009D4627">
        <w:rPr>
          <w:noProof/>
        </w:rPr>
        <w:lastRenderedPageBreak/>
        <mc:AlternateContent>
          <mc:Choice Requires="wps">
            <w:drawing>
              <wp:anchor distT="0" distB="0" distL="114300" distR="114300" simplePos="0" relativeHeight="251665408" behindDoc="0" locked="0" layoutInCell="1" allowOverlap="1" wp14:anchorId="075651A2" wp14:editId="6520185B">
                <wp:simplePos x="0" y="0"/>
                <wp:positionH relativeFrom="column">
                  <wp:posOffset>583565</wp:posOffset>
                </wp:positionH>
                <wp:positionV relativeFrom="paragraph">
                  <wp:posOffset>9525</wp:posOffset>
                </wp:positionV>
                <wp:extent cx="223520" cy="201930"/>
                <wp:effectExtent l="0" t="0" r="0" b="0"/>
                <wp:wrapNone/>
                <wp:docPr id="24322" name="Rectangle 24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20" cy="201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5CEE6D" w14:textId="7C147834" w:rsidR="00527127" w:rsidRPr="00600AD3" w:rsidRDefault="00527127" w:rsidP="00600AD3">
                            <w:pPr>
                              <w:spacing w:before="0" w:after="0" w:line="240" w:lineRule="auto"/>
                              <w:jc w:val="center"/>
                              <w:rPr>
                                <w:lang w:val="en-US"/>
                              </w:rPr>
                            </w:pPr>
                            <w:r>
                              <w:rPr>
                                <w:lang w:val="en-US"/>
                              </w:rPr>
                              <w:t>a</w:t>
                            </w:r>
                            <w:r w:rsidRPr="00600AD3">
                              <w:rPr>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651A2" id="Rectangle 24322" o:spid="_x0000_s1120" style="position:absolute;left:0;text-align:left;margin-left:45.95pt;margin-top:.75pt;width:17.6pt;height:15.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" filled="f" stroked="f" strokeweight="1pt">
                <v:textbox inset="0,0,0,0">
                  <w:txbxContent>
                    <w:p w14:paraId="445CEE6D" w14:textId="7C147834" w:rsidR="00527127" w:rsidRPr="00600AD3" w:rsidRDefault="00527127" w:rsidP="00600AD3">
                      <w:pPr>
                        <w:spacing w:before="0" w:after="0" w:line="240" w:lineRule="auto"/>
                        <w:jc w:val="center"/>
                        <w:rPr>
                          <w:lang w:val="en-US"/>
                        </w:rPr>
                      </w:pPr>
                      <w:r>
                        <w:rPr>
                          <w:lang w:val="en-US"/>
                        </w:rPr>
                        <w:t>a</w:t>
                      </w:r>
                      <w:r w:rsidRPr="00600AD3">
                        <w:rPr>
                          <w:lang w:val="en-US"/>
                        </w:rPr>
                        <w:t>)</w:t>
                      </w:r>
                    </w:p>
                  </w:txbxContent>
                </v:textbox>
              </v:rect>
            </w:pict>
          </mc:Fallback>
        </mc:AlternateContent>
      </w:r>
      <w:r w:rsidRPr="009D4627">
        <w:rPr>
          <w:noProof/>
        </w:rPr>
        <mc:AlternateContent>
          <mc:Choice Requires="wps">
            <w:drawing>
              <wp:anchor distT="0" distB="0" distL="114300" distR="114300" simplePos="0" relativeHeight="251627520" behindDoc="0" locked="0" layoutInCell="1" allowOverlap="1" wp14:anchorId="0F77C950" wp14:editId="1B534024">
                <wp:simplePos x="0" y="0"/>
                <wp:positionH relativeFrom="column">
                  <wp:posOffset>5372100</wp:posOffset>
                </wp:positionH>
                <wp:positionV relativeFrom="paragraph">
                  <wp:posOffset>1562100</wp:posOffset>
                </wp:positionV>
                <wp:extent cx="219075" cy="200025"/>
                <wp:effectExtent l="0" t="0" r="0" b="0"/>
                <wp:wrapNone/>
                <wp:docPr id="24321" name="Rectangle 24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 cy="200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D86BA8" w14:textId="170C5756" w:rsidR="00527127" w:rsidRPr="00DC27E1" w:rsidRDefault="00527127" w:rsidP="00390EBC">
                            <w:pPr>
                              <w:rPr>
                                <w:lang w:val="en-US"/>
                              </w:rPr>
                            </w:pPr>
                            <w:r>
                              <w:rPr>
                                <w:lang w:val="en-US"/>
                              </w:rPr>
                              <w:t>B</w:t>
                            </w:r>
                            <w:r w:rsidRPr="00DC27E1">
                              <w:rPr>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7C950" id="Rectangle 24321" o:spid="_x0000_s1121" style="position:absolute;left:0;text-align:left;margin-left:423pt;margin-top:123pt;width:17.25pt;height:15.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" filled="f" stroked="f" strokeweight="1pt">
                <v:textbox inset="0,0,0,0">
                  <w:txbxContent>
                    <w:p w14:paraId="55D86BA8" w14:textId="170C5756" w:rsidR="00527127" w:rsidRPr="00DC27E1" w:rsidRDefault="00527127" w:rsidP="00390EBC">
                      <w:pPr>
                        <w:rPr>
                          <w:lang w:val="en-US"/>
                        </w:rPr>
                      </w:pPr>
                      <w:r>
                        <w:rPr>
                          <w:lang w:val="en-US"/>
                        </w:rPr>
                        <w:t>B</w:t>
                      </w:r>
                      <w:r w:rsidRPr="00DC27E1">
                        <w:rPr>
                          <w:lang w:val="en-US"/>
                        </w:rPr>
                        <w:t>)</w:t>
                      </w:r>
                    </w:p>
                  </w:txbxContent>
                </v:textbox>
              </v:rect>
            </w:pict>
          </mc:Fallback>
        </mc:AlternateContent>
      </w:r>
      <w:r w:rsidRPr="009D4627">
        <w:rPr>
          <w:noProof/>
        </w:rPr>
        <mc:AlternateContent>
          <mc:Choice Requires="wps">
            <w:drawing>
              <wp:anchor distT="0" distB="0" distL="114300" distR="114300" simplePos="0" relativeHeight="251626496" behindDoc="0" locked="0" layoutInCell="1" allowOverlap="1" wp14:anchorId="6D467CF6" wp14:editId="63D059D3">
                <wp:simplePos x="0" y="0"/>
                <wp:positionH relativeFrom="column">
                  <wp:posOffset>2162175</wp:posOffset>
                </wp:positionH>
                <wp:positionV relativeFrom="paragraph">
                  <wp:posOffset>1705610</wp:posOffset>
                </wp:positionV>
                <wp:extent cx="219075" cy="200025"/>
                <wp:effectExtent l="0" t="0" r="0" b="0"/>
                <wp:wrapNone/>
                <wp:docPr id="24320" name="Rectangle 24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 cy="200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7A5B1" w14:textId="77777777" w:rsidR="00527127" w:rsidRPr="00DC27E1" w:rsidRDefault="00527127" w:rsidP="00390EBC">
                            <w:pPr>
                              <w:rPr>
                                <w:lang w:val="en-US"/>
                              </w:rPr>
                            </w:pPr>
                            <w:r w:rsidRPr="00DC27E1">
                              <w:rPr>
                                <w:lang w:val="en-US"/>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67CF6" id="Rectangle 24320" o:spid="_x0000_s1122" style="position:absolute;left:0;text-align:left;margin-left:170.25pt;margin-top:134.3pt;width:17.25pt;height:15.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" filled="f" stroked="f" strokeweight="1pt">
                <v:textbox inset="0,0,0,0">
                  <w:txbxContent>
                    <w:p w14:paraId="0907A5B1" w14:textId="77777777" w:rsidR="00527127" w:rsidRPr="00DC27E1" w:rsidRDefault="00527127" w:rsidP="00390EBC">
                      <w:pPr>
                        <w:rPr>
                          <w:lang w:val="en-US"/>
                        </w:rPr>
                      </w:pPr>
                      <w:r w:rsidRPr="00DC27E1">
                        <w:rPr>
                          <w:lang w:val="en-US"/>
                        </w:rPr>
                        <w:t>A)</w:t>
                      </w:r>
                    </w:p>
                  </w:txbxContent>
                </v:textbox>
              </v:rect>
            </w:pict>
          </mc:Fallback>
        </mc:AlternateContent>
      </w:r>
      <w:r w:rsidR="00AE6F60" w:rsidRPr="009D4627">
        <w:object w:dxaOrig="10695" w:dyaOrig="8925" w14:anchorId="4C2A3219">
          <v:shape id="_x0000_i1025" type="#_x0000_t75" style="width:238.5pt;height:193.65pt" o:ole="">
            <v:imagedata r:id="rId54" o:title=""/>
          </v:shape>
          <o:OLEObject Type="Embed" ProgID="PBrush" ShapeID="_x0000_i1025" DrawAspect="Content" ObjectID="_1713960076" r:id="rId55"/>
        </w:object>
      </w:r>
      <w:r w:rsidR="00DC27E1" w:rsidRPr="009D4627">
        <w:t xml:space="preserve">   </w:t>
      </w:r>
    </w:p>
    <w:p w14:paraId="2B35DB48" w14:textId="2A7615C7" w:rsidR="00DC27E1" w:rsidRPr="009D4627" w:rsidRDefault="00A2792E" w:rsidP="00600AD3">
      <w:pPr>
        <w:spacing w:line="240" w:lineRule="auto"/>
        <w:jc w:val="center"/>
      </w:pPr>
      <w:r w:rsidRPr="009D4627">
        <w:rPr>
          <w:noProof/>
        </w:rPr>
        <mc:AlternateContent>
          <mc:Choice Requires="wps">
            <w:drawing>
              <wp:anchor distT="0" distB="0" distL="114300" distR="114300" simplePos="0" relativeHeight="251666432" behindDoc="0" locked="0" layoutInCell="1" allowOverlap="1" wp14:anchorId="565A7E78" wp14:editId="4B12EF0F">
                <wp:simplePos x="0" y="0"/>
                <wp:positionH relativeFrom="column">
                  <wp:posOffset>582930</wp:posOffset>
                </wp:positionH>
                <wp:positionV relativeFrom="paragraph">
                  <wp:posOffset>12065</wp:posOffset>
                </wp:positionV>
                <wp:extent cx="222885" cy="201930"/>
                <wp:effectExtent l="0" t="0" r="0" b="0"/>
                <wp:wrapNone/>
                <wp:docPr id="24319" name="Rectangle 24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2019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A76677" w14:textId="184AC2D1" w:rsidR="00527127" w:rsidRPr="00600AD3" w:rsidRDefault="00527127" w:rsidP="00600AD3">
                            <w:pPr>
                              <w:spacing w:before="0" w:after="0" w:line="240" w:lineRule="auto"/>
                              <w:jc w:val="center"/>
                              <w:rPr>
                                <w:lang w:val="en-US"/>
                              </w:rPr>
                            </w:pPr>
                            <w:r>
                              <w:rPr>
                                <w:lang w:val="en-US"/>
                              </w:rPr>
                              <w:t>b</w:t>
                            </w:r>
                            <w:r w:rsidRPr="00600AD3">
                              <w:rPr>
                                <w:lang w:val="en-US"/>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A7E78" id="Rectangle 24319" o:spid="_x0000_s1123" style="position:absolute;left:0;text-align:left;margin-left:45.9pt;margin-top:.95pt;width:17.55pt;height:15.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" filled="f" stroked="f" strokeweight="1pt">
                <v:textbox inset="0,0,0,0">
                  <w:txbxContent>
                    <w:p w14:paraId="3EA76677" w14:textId="184AC2D1" w:rsidR="00527127" w:rsidRPr="00600AD3" w:rsidRDefault="00527127" w:rsidP="00600AD3">
                      <w:pPr>
                        <w:spacing w:before="0" w:after="0" w:line="240" w:lineRule="auto"/>
                        <w:jc w:val="center"/>
                        <w:rPr>
                          <w:lang w:val="en-US"/>
                        </w:rPr>
                      </w:pPr>
                      <w:r>
                        <w:rPr>
                          <w:lang w:val="en-US"/>
                        </w:rPr>
                        <w:t>b</w:t>
                      </w:r>
                      <w:r w:rsidRPr="00600AD3">
                        <w:rPr>
                          <w:lang w:val="en-US"/>
                        </w:rPr>
                        <w:t>)</w:t>
                      </w:r>
                    </w:p>
                  </w:txbxContent>
                </v:textbox>
              </v:rect>
            </w:pict>
          </mc:Fallback>
        </mc:AlternateContent>
      </w:r>
      <w:r w:rsidR="00600AD3" w:rsidRPr="009D4627">
        <w:object w:dxaOrig="10290" w:dyaOrig="7785" w14:anchorId="235EC971">
          <v:shape id="_x0000_i1026" type="#_x0000_t75" style="width:301.5pt;height:222.25pt" o:ole="">
            <v:imagedata r:id="rId56" o:title=""/>
          </v:shape>
          <o:OLEObject Type="Embed" ProgID="PBrush" ShapeID="_x0000_i1026" DrawAspect="Content" ObjectID="_1713960077" r:id="rId57"/>
        </w:object>
      </w:r>
    </w:p>
    <w:p w14:paraId="4C1780DB" w14:textId="7E66F65C" w:rsidR="00240140" w:rsidRPr="009D4627" w:rsidRDefault="0061775D" w:rsidP="00C4130D">
      <w:pPr>
        <w:pStyle w:val="Caption"/>
      </w:pPr>
      <w:bookmarkStart w:id="102" w:name="_Toc73609246"/>
      <w:bookmarkStart w:id="103" w:name="_Toc73804908"/>
      <w:bookmarkStart w:id="104" w:name="_Toc98570018"/>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17</w:t>
      </w:r>
      <w:r w:rsidR="002E63E9" w:rsidRPr="009D4627">
        <w:rPr>
          <w:noProof/>
        </w:rPr>
        <w:fldChar w:fldCharType="end"/>
      </w:r>
      <w:r w:rsidRPr="009D4627">
        <w:t xml:space="preserve">: </w:t>
      </w:r>
      <w:r w:rsidR="00547D87" w:rsidRPr="009D4627">
        <w:t xml:space="preserve">Two graphs showing the </w:t>
      </w:r>
      <w:r w:rsidR="00944720" w:rsidRPr="009D4627">
        <w:t>saccadic</w:t>
      </w:r>
      <w:r w:rsidR="00547D87" w:rsidRPr="009D4627">
        <w:t xml:space="preserve"> attributes of different neurological disorders.</w:t>
      </w:r>
      <w:bookmarkEnd w:id="102"/>
      <w:bookmarkEnd w:id="103"/>
      <w:bookmarkEnd w:id="104"/>
      <w:r w:rsidR="00547D87" w:rsidRPr="009D4627">
        <w:t xml:space="preserve"> </w:t>
      </w:r>
    </w:p>
    <w:p w14:paraId="7A3745DE" w14:textId="308EACE9" w:rsidR="00547D87" w:rsidRPr="009D4627" w:rsidRDefault="00AE6F60" w:rsidP="00AE6F60">
      <w:pPr>
        <w:spacing w:before="0" w:after="0" w:line="240" w:lineRule="auto"/>
      </w:pPr>
      <w:r w:rsidRPr="009D4627">
        <w:t>a</w:t>
      </w:r>
      <w:r w:rsidR="00547D87" w:rsidRPr="009D4627">
        <w:t xml:space="preserve">) A study to evaluate the </w:t>
      </w:r>
      <w:r w:rsidR="00944720" w:rsidRPr="009D4627">
        <w:t>saccadic</w:t>
      </w:r>
      <w:r w:rsidR="00547D87" w:rsidRPr="009D4627">
        <w:t xml:space="preserve"> performance between Parkinson's disease (PD) and </w:t>
      </w:r>
      <w:r w:rsidR="00600AD3" w:rsidRPr="009D4627">
        <w:t>p</w:t>
      </w:r>
      <w:r w:rsidR="00547D87" w:rsidRPr="009D4627">
        <w:t xml:space="preserve">rogressive supranuclear palsy (PSP) by comparing them </w:t>
      </w:r>
      <w:r w:rsidR="00600AD3" w:rsidRPr="009D4627">
        <w:t>with</w:t>
      </w:r>
      <w:r w:rsidR="00547D87" w:rsidRPr="009D4627">
        <w:t xml:space="preserve"> healthy control</w:t>
      </w:r>
      <w:r w:rsidR="00600AD3" w:rsidRPr="009D4627">
        <w:t>s</w:t>
      </w:r>
      <w:r w:rsidR="00547D87" w:rsidRPr="009D4627">
        <w:t xml:space="preserve"> (HC). </w:t>
      </w:r>
      <w:r w:rsidR="00600AD3" w:rsidRPr="009D4627">
        <w:t>F</w:t>
      </w:r>
      <w:r w:rsidR="00547D87" w:rsidRPr="009D4627">
        <w:t xml:space="preserve">rom Marx et al. (2012). </w:t>
      </w:r>
      <w:r w:rsidRPr="009D4627">
        <w:t>b</w:t>
      </w:r>
      <w:r w:rsidR="00547D87" w:rsidRPr="009D4627">
        <w:t xml:space="preserve">) A study to assess vertical gaze disorder </w:t>
      </w:r>
      <w:r w:rsidR="00600AD3" w:rsidRPr="009D4627">
        <w:t>in</w:t>
      </w:r>
      <w:r w:rsidR="00547D87" w:rsidRPr="009D4627">
        <w:t xml:space="preserve"> PSP, PD, multiple system atrophy (MSA), and </w:t>
      </w:r>
      <w:bookmarkStart w:id="105" w:name="_Hlk54346278"/>
      <w:r w:rsidR="00547D87" w:rsidRPr="009D4627">
        <w:t>cortic</w:t>
      </w:r>
      <w:r w:rsidR="002B4590" w:rsidRPr="009D4627">
        <w:t>o</w:t>
      </w:r>
      <w:r w:rsidR="00547D87" w:rsidRPr="009D4627">
        <w:t>-basal ganglionic degeneration (CBGD)</w:t>
      </w:r>
      <w:bookmarkEnd w:id="105"/>
      <w:r w:rsidR="00547D87" w:rsidRPr="009D4627">
        <w:t xml:space="preserve">. </w:t>
      </w:r>
      <w:r w:rsidR="002B4590" w:rsidRPr="009D4627">
        <w:t xml:space="preserve">From </w:t>
      </w:r>
      <w:proofErr w:type="spellStart"/>
      <w:r w:rsidR="00547D87" w:rsidRPr="009D4627">
        <w:t>Bhidayasiri</w:t>
      </w:r>
      <w:proofErr w:type="spellEnd"/>
      <w:r w:rsidR="00547D87" w:rsidRPr="009D4627">
        <w:t xml:space="preserve"> et al. (2001).</w:t>
      </w:r>
    </w:p>
    <w:p w14:paraId="1702E29A" w14:textId="54030402" w:rsidR="00547D87" w:rsidRPr="009D4627" w:rsidRDefault="002B4590" w:rsidP="00390EBC">
      <w:r w:rsidRPr="009D4627">
        <w:t>In addition</w:t>
      </w:r>
      <w:r w:rsidR="00547D87" w:rsidRPr="009D4627">
        <w:t xml:space="preserve">, </w:t>
      </w:r>
      <w:r w:rsidR="0061775D" w:rsidRPr="009D4627">
        <w:t>EMR</w:t>
      </w:r>
      <w:r w:rsidR="00547D87" w:rsidRPr="009D4627">
        <w:t xml:space="preserve"> has been used to differentiate between Gaucher </w:t>
      </w:r>
      <w:r w:rsidRPr="009D4627">
        <w:t>d</w:t>
      </w:r>
      <w:r w:rsidR="00547D87" w:rsidRPr="009D4627">
        <w:t xml:space="preserve">isease (GD) type 1 and type 3 </w:t>
      </w:r>
      <w:r w:rsidR="00547D87" w:rsidRPr="009D4627">
        <w:fldChar w:fldCharType="begin"/>
      </w:r>
      <w:r w:rsidR="00C40138" w:rsidRPr="009D4627">
        <w:instrText xml:space="preserve"> ADDIN EN.CITE &lt;EndNote&gt;&lt;Cite&gt;&lt;Author&gt;Harris&lt;/Author&gt;&lt;Year&gt;1999&lt;/Year&gt;&lt;IDText&gt;Ocular Motor Abnormalities in Gaucher Disease&lt;/IDText&gt;&lt;DisplayText&gt;(Harris et al., 1999)&lt;/DisplayText&gt;&lt;record&gt;&lt;dates&gt;&lt;pub-dates&gt;&lt;date&gt;//&amp;#xD;12.03.2007&lt;/date&gt;&lt;/pub-dates&gt;&lt;year&gt;1999&lt;/year&gt;&lt;/dates&gt;&lt;isbn&gt;0174-304X&lt;/isbn&gt;&lt;titles&gt;&lt;title&gt;Ocular Motor Abnormalities in Gaucher Disease&lt;/title&gt;&lt;secondary-title&gt;Neuropediatrics&lt;/secondary-title&gt;&lt;/titles&gt;&lt;pages&gt;289-293&lt;/pages&gt;&lt;number&gt;06&lt;/number&gt;&lt;contributors&gt;&lt;authors&gt;&lt;author&gt;Harris, C. M.&lt;/author&gt;&lt;author&gt;Taylor, D. S. I.&lt;/author&gt;&lt;author&gt;Vellodi, A.&lt;/author&gt;&lt;/authors&gt;&lt;/contributors&gt;&lt;section&gt;289&lt;/section&gt;&lt;language&gt;En&lt;/language&gt;&lt;added-date format="utc"&gt;1572006306&lt;/added-date&gt;&lt;ref-type name="Journal Article"&gt;17&lt;/ref-type&gt;&lt;rec-number&gt;615&lt;/rec-number&gt;&lt;last-updated-date format="utc"&gt;1572006306&lt;/last-updated-date&gt;&lt;electronic-resource-num&gt;10.1055/s-2007-973507&lt;/electronic-resource-num&gt;&lt;volume&gt;30&lt;/volume&gt;&lt;/record&gt;&lt;/Cite&gt;&lt;/EndNote&gt;</w:instrText>
      </w:r>
      <w:r w:rsidR="00547D87" w:rsidRPr="009D4627">
        <w:fldChar w:fldCharType="separate"/>
      </w:r>
      <w:r w:rsidR="00C40138" w:rsidRPr="009D4627">
        <w:rPr>
          <w:noProof/>
        </w:rPr>
        <w:t>(Harris et al., 1999)</w:t>
      </w:r>
      <w:r w:rsidR="00547D87" w:rsidRPr="009D4627">
        <w:fldChar w:fldCharType="end"/>
      </w:r>
      <w:r w:rsidR="00547D87" w:rsidRPr="009D4627">
        <w:t xml:space="preserve">.  </w:t>
      </w:r>
      <w:r w:rsidRPr="009D4627">
        <w:t>GD is a lysosomal storage disorder consisting of three clinical subtypes: type 1 - chronic non-neuropathic disease; type 2 - an acute infantile disease; and type 3 - a juvenile form</w:t>
      </w:r>
      <w:r w:rsidR="00547D87" w:rsidRPr="009D4627">
        <w:t xml:space="preserve"> </w:t>
      </w:r>
      <w:r w:rsidR="00547D87" w:rsidRPr="009D4627">
        <w:fldChar w:fldCharType="begin">
          <w:fldData xml:space="preserve">PEVuZE5vdGU+PENpdGU+PEF1dGhvcj5Fcmlrc29uPC9BdXRob3I+PFllYXI+MjAwNjwvWWVhcj48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</w:fldData>
        </w:fldChar>
      </w:r>
      <w:r w:rsidR="00C40138" w:rsidRPr="009D4627">
        <w:instrText xml:space="preserve"> ADDIN EN.CITE </w:instrText>
      </w:r>
      <w:r w:rsidR="00C40138" w:rsidRPr="009D4627">
        <w:fldChar w:fldCharType="begin">
          <w:fldData xml:space="preserve">PEVuZE5vdGU+PENpdGU+PEF1dGhvcj5Fcmlrc29uPC9BdXRob3I+PFllYXI+MjAwNjwvWWVhcj48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</w:fldData>
        </w:fldChar>
      </w:r>
      <w:r w:rsidR="00C40138" w:rsidRPr="009D4627">
        <w:instrText xml:space="preserve"> ADDIN EN.CITE.DATA </w:instrText>
      </w:r>
      <w:r w:rsidR="00C40138" w:rsidRPr="009D4627">
        <w:fldChar w:fldCharType="end"/>
      </w:r>
      <w:r w:rsidR="00547D87" w:rsidRPr="009D4627">
        <w:fldChar w:fldCharType="separate"/>
      </w:r>
      <w:r w:rsidR="00C40138" w:rsidRPr="009D4627">
        <w:rPr>
          <w:noProof/>
        </w:rPr>
        <w:t>(Erikson et al., 2006)</w:t>
      </w:r>
      <w:r w:rsidR="00547D87" w:rsidRPr="009D4627">
        <w:fldChar w:fldCharType="end"/>
      </w:r>
      <w:r w:rsidR="00547D87" w:rsidRPr="009D4627">
        <w:t>. They are all autosomal recessive</w:t>
      </w:r>
      <w:r w:rsidRPr="009D4627">
        <w:t xml:space="preserve"> in inheritance</w:t>
      </w:r>
      <w:r w:rsidR="00547D87" w:rsidRPr="009D4627">
        <w:t xml:space="preserve">. GD2 </w:t>
      </w:r>
      <w:r w:rsidRPr="009D4627">
        <w:t xml:space="preserve">is </w:t>
      </w:r>
      <w:r w:rsidR="00547D87" w:rsidRPr="009D4627">
        <w:t>a severe neurological condition that generally le</w:t>
      </w:r>
      <w:r w:rsidRPr="009D4627">
        <w:t>a</w:t>
      </w:r>
      <w:r w:rsidR="00547D87" w:rsidRPr="009D4627">
        <w:t>d</w:t>
      </w:r>
      <w:r w:rsidRPr="009D4627">
        <w:t>s</w:t>
      </w:r>
      <w:r w:rsidR="00547D87" w:rsidRPr="009D4627">
        <w:t xml:space="preserve"> to death </w:t>
      </w:r>
      <w:r w:rsidR="00547D87" w:rsidRPr="009D4627">
        <w:fldChar w:fldCharType="begin"/>
      </w:r>
      <w:r w:rsidR="00945A16" w:rsidRPr="009D4627">
        <w:instrText xml:space="preserve"> ADDIN EN.CITE &lt;EndNote&gt;&lt;Cite&gt;&lt;Author&gt;Harris&lt;/Author&gt;&lt;Year&gt;1999&lt;/Year&gt;&lt;IDText&gt;Ocular Motor Abnormalities in Gaucher Disease&lt;/IDText&gt;&lt;DisplayText&gt;(Harris et al., 1999)&lt;/DisplayText&gt;&lt;record&gt;&lt;dates&gt;&lt;pub-dates&gt;&lt;date&gt;//&amp;#xD;12.03.2007&lt;/date&gt;&lt;/pub-dates&gt;&lt;year&gt;1999&lt;/year&gt;&lt;/dates&gt;&lt;isbn&gt;0174-304X&lt;/isbn&gt;&lt;titles&gt;&lt;title&gt;Ocular Motor Abnormalities in Gaucher Disease&lt;/title&gt;&lt;secondary-title&gt;Neuropediatrics&lt;/secondary-title&gt;&lt;/titles&gt;&lt;pages&gt;289-293&lt;/pages&gt;&lt;number&gt;06&lt;/number&gt;&lt;contributors&gt;&lt;authors&gt;&lt;author&gt;Harris, C. M.&lt;/author&gt;&lt;author&gt;Taylor, D. S. I.&lt;/author&gt;&lt;author&gt;Vellodi, A.&lt;/author&gt;&lt;/authors&gt;&lt;/contributors&gt;&lt;section&gt;289&lt;/section&gt;&lt;language&gt;En&lt;/language&gt;&lt;added-date format="utc"&gt;1572006306&lt;/added-date&gt;&lt;ref-type name="Journal Article"&gt;17&lt;/ref-type&gt;&lt;rec-number&gt;615&lt;/rec-number&gt;&lt;last-updated-date format="utc"&gt;1572006306&lt;/last-updated-date&gt;&lt;electronic-resource-num&gt;10.1055/s-2007-973507&lt;/electronic-resource-num&gt;&lt;volume&gt;30&lt;/volume&gt;&lt;/record&gt;&lt;/Cite&gt;&lt;/EndNote&gt;</w:instrText>
      </w:r>
      <w:r w:rsidR="00547D87" w:rsidRPr="009D4627">
        <w:fldChar w:fldCharType="separate"/>
      </w:r>
      <w:r w:rsidR="00945A16" w:rsidRPr="009D4627">
        <w:rPr>
          <w:noProof/>
        </w:rPr>
        <w:t>(Harris et al., 1999)</w:t>
      </w:r>
      <w:r w:rsidR="00547D87" w:rsidRPr="009D4627">
        <w:fldChar w:fldCharType="end"/>
      </w:r>
      <w:r w:rsidR="00547D87" w:rsidRPr="009D4627">
        <w:t xml:space="preserve">.  In the same </w:t>
      </w:r>
      <w:r w:rsidR="00547D87" w:rsidRPr="009D4627">
        <w:lastRenderedPageBreak/>
        <w:t xml:space="preserve">study by Harris et al. (1999), they </w:t>
      </w:r>
      <w:r w:rsidRPr="009D4627">
        <w:t>reporte</w:t>
      </w:r>
      <w:r w:rsidR="00547D87" w:rsidRPr="009D4627">
        <w:t xml:space="preserve">d that GD3 </w:t>
      </w:r>
      <w:r w:rsidRPr="009D4627">
        <w:t xml:space="preserve">shows </w:t>
      </w:r>
      <w:r w:rsidR="00944720" w:rsidRPr="009D4627">
        <w:t>saccadic</w:t>
      </w:r>
      <w:r w:rsidR="00547D87" w:rsidRPr="009D4627">
        <w:t xml:space="preserve"> initiation failure, the earliest neurological signs that can be detected. </w:t>
      </w:r>
      <w:r w:rsidR="00AE6F60" w:rsidRPr="009D4627">
        <w:t xml:space="preserve">Although this is not universal, children may adopt head thrusts or </w:t>
      </w:r>
      <w:proofErr w:type="spellStart"/>
      <w:r w:rsidR="00AE6F60" w:rsidRPr="009D4627">
        <w:t>synkinetic</w:t>
      </w:r>
      <w:proofErr w:type="spellEnd"/>
      <w:r w:rsidR="00AE6F60" w:rsidRPr="009D4627">
        <w:t xml:space="preserve"> blinks to compensate for the saccadic failure</w:t>
      </w:r>
      <w:r w:rsidR="00547D87" w:rsidRPr="009D4627">
        <w:t xml:space="preserve">. They also reported the progression of GD3 could be halted with high-dose </w:t>
      </w:r>
      <w:r w:rsidRPr="009D4627">
        <w:t>enzyme replacement therapy (</w:t>
      </w:r>
      <w:r w:rsidR="00547D87" w:rsidRPr="009D4627">
        <w:t>ERT</w:t>
      </w:r>
      <w:r w:rsidRPr="009D4627">
        <w:t>)</w:t>
      </w:r>
      <w:r w:rsidR="00547D87" w:rsidRPr="009D4627">
        <w:t xml:space="preserve"> if the condition is detected at the early stage. </w:t>
      </w:r>
      <w:r w:rsidR="009837DE" w:rsidRPr="009D4627">
        <w:t xml:space="preserve">Therefore, this could be a reversible neurological condition. Hence, newly diagnosed children with GD should have </w:t>
      </w:r>
      <w:r w:rsidR="00AE6F60" w:rsidRPr="009D4627">
        <w:t>an objective EMR</w:t>
      </w:r>
      <w:r w:rsidR="009837DE" w:rsidRPr="009D4627">
        <w:t xml:space="preserve"> to decide whether they have </w:t>
      </w:r>
      <w:r w:rsidR="00944720" w:rsidRPr="009D4627">
        <w:t>saccadic</w:t>
      </w:r>
      <w:r w:rsidR="009837DE" w:rsidRPr="009D4627">
        <w:t xml:space="preserve"> initiation failure</w:t>
      </w:r>
      <w:r w:rsidR="00547D87" w:rsidRPr="009D4627">
        <w:t xml:space="preserve"> </w:t>
      </w:r>
      <w:r w:rsidR="00547D87" w:rsidRPr="009D4627">
        <w:fldChar w:fldCharType="begin"/>
      </w:r>
      <w:r w:rsidR="00945A16" w:rsidRPr="009D4627">
        <w:instrText xml:space="preserve"> ADDIN EN.CITE &lt;EndNote&gt;&lt;Cite&gt;&lt;Author&gt;Harris&lt;/Author&gt;&lt;Year&gt;1999&lt;/Year&gt;&lt;IDText&gt;Ocular Motor Abnormalities in Gaucher Disease&lt;/IDText&gt;&lt;DisplayText&gt;(Harris et al., 1999)&lt;/DisplayText&gt;&lt;record&gt;&lt;dates&gt;&lt;pub-dates&gt;&lt;date&gt;//&amp;#xD;12.03.2007&lt;/date&gt;&lt;/pub-dates&gt;&lt;year&gt;1999&lt;/year&gt;&lt;/dates&gt;&lt;isbn&gt;0174-304X&lt;/isbn&gt;&lt;titles&gt;&lt;title&gt;Ocular Motor Abnormalities in Gaucher Disease&lt;/title&gt;&lt;secondary-title&gt;Neuropediatrics&lt;/secondary-title&gt;&lt;/titles&gt;&lt;pages&gt;289-293&lt;/pages&gt;&lt;number&gt;06&lt;/number&gt;&lt;contributors&gt;&lt;authors&gt;&lt;author&gt;Harris, C. M.&lt;/author&gt;&lt;author&gt;Taylor, D. S. I.&lt;/author&gt;&lt;author&gt;Vellodi, A.&lt;/author&gt;&lt;/authors&gt;&lt;/contributors&gt;&lt;section&gt;289&lt;/section&gt;&lt;language&gt;En&lt;/language&gt;&lt;added-date format="utc"&gt;1572006306&lt;/added-date&gt;&lt;ref-type name="Journal Article"&gt;17&lt;/ref-type&gt;&lt;rec-number&gt;615&lt;/rec-number&gt;&lt;last-updated-date format="utc"&gt;1572006306&lt;/last-updated-date&gt;&lt;electronic-resource-num&gt;10.1055/s-2007-973507&lt;/electronic-resource-num&gt;&lt;volume&gt;30&lt;/volume&gt;&lt;/record&gt;&lt;/Cite&gt;&lt;/EndNote&gt;</w:instrText>
      </w:r>
      <w:r w:rsidR="00547D87" w:rsidRPr="009D4627">
        <w:fldChar w:fldCharType="separate"/>
      </w:r>
      <w:r w:rsidR="00945A16" w:rsidRPr="009D4627">
        <w:rPr>
          <w:noProof/>
        </w:rPr>
        <w:t>(Harris et al., 1999)</w:t>
      </w:r>
      <w:r w:rsidR="00547D87" w:rsidRPr="009D4627">
        <w:fldChar w:fldCharType="end"/>
      </w:r>
      <w:r w:rsidR="00547D87" w:rsidRPr="009D4627">
        <w:t xml:space="preserve">. </w:t>
      </w:r>
      <w:r w:rsidR="009837DE" w:rsidRPr="009D4627">
        <w:t>The significance of differentiating between GD1 and GD3 is that it affects the management of the condition. If GD3 is wrongly treated at the early stage, it might lead to severe, irreversible neurological damage</w:t>
      </w:r>
      <w:r w:rsidR="00547D87" w:rsidRPr="009D4627">
        <w:t xml:space="preserve">. </w:t>
      </w:r>
    </w:p>
    <w:p w14:paraId="30A2F690" w14:textId="24FFE344" w:rsidR="00547D87" w:rsidRPr="009D4627" w:rsidRDefault="00547D87" w:rsidP="00390EBC">
      <w:r w:rsidRPr="009D4627">
        <w:t xml:space="preserve">In psychiatry, schizophrenia has </w:t>
      </w:r>
      <w:r w:rsidR="00AE6F60" w:rsidRPr="009D4627">
        <w:t>produced</w:t>
      </w:r>
      <w:r w:rsidRPr="009D4627">
        <w:t xml:space="preserve"> abnormal </w:t>
      </w:r>
      <w:r w:rsidR="009837DE" w:rsidRPr="009D4627">
        <w:t>SP</w:t>
      </w:r>
      <w:r w:rsidRPr="009D4627">
        <w:t xml:space="preserve"> compared </w:t>
      </w:r>
      <w:r w:rsidR="009837DE" w:rsidRPr="009D4627">
        <w:t>with</w:t>
      </w:r>
      <w:r w:rsidRPr="009D4627">
        <w:t xml:space="preserve"> age-matched control groups </w:t>
      </w:r>
      <w:r w:rsidRPr="009D4627">
        <w:fldChar w:fldCharType="begin"/>
      </w:r>
      <w:r w:rsidR="00945A16" w:rsidRPr="009D4627">
        <w:instrText xml:space="preserve"> ADDIN EN.CITE &lt;EndNote&gt;&lt;Cite&gt;&lt;Author&gt;Benson&lt;/Author&gt;&lt;Year&gt;2012&lt;/Year&gt;&lt;IDText&gt;Simple Viewing Tests Can Detect Eye Movement Abnormalities That Distinguish Schizophrenia Cases from Controls with Exceptional Accuracy&lt;/IDText&gt;&lt;DisplayText&gt;(Benson et al., 2012)&lt;/DisplayText&gt;&lt;record&gt;&lt;keywords&gt;&lt;keyword&gt;Classification&lt;/keyword&gt;&lt;keyword&gt;Eye-Movement Phenotype&lt;/keyword&gt;&lt;keyword&gt;Neural Network&lt;/keyword&gt;&lt;keyword&gt;Predictive Model&lt;/keyword&gt;&lt;keyword&gt;Risk Marker&lt;/keyword&gt;&lt;keyword&gt;Schizophrenia&lt;/keyword&gt;&lt;keyword&gt;Medicine&lt;/keyword&gt;&lt;keyword&gt;Biology&lt;/keyword&gt;&lt;keyword&gt;Chemistry&lt;/keyword&gt;&lt;/keywords&gt;&lt;isbn&gt;0006-3223&lt;/isbn&gt;&lt;titles&gt;&lt;title&gt;Simple Viewing Tests Can Detect Eye Movement Abnormalities That Distinguish Schizophrenia Cases from Controls with Exceptional Accuracy&lt;/title&gt;&lt;secondary-title&gt;Biological Psychiatry&lt;/secondary-title&gt;&lt;/titles&gt;&lt;pages&gt;716-724&lt;/pages&gt;&lt;number&gt;9&lt;/number&gt;&lt;contributors&gt;&lt;authors&gt;&lt;author&gt;Benson, Philip J.&lt;/author&gt;&lt;author&gt;Beedie, Sara A.&lt;/author&gt;&lt;author&gt;Shephard, Elizabeth&lt;/author&gt;&lt;author&gt;Giegling, Ina&lt;/author&gt;&lt;author&gt;Rujescu, Dan&lt;/author&gt;&lt;author&gt;St. Clair, David&lt;/author&gt;&lt;/authors&gt;&lt;/contributors&gt;&lt;added-date format="utc"&gt;1572010211&lt;/added-date&gt;&lt;ref-type name="Journal Article"&gt;17&lt;/ref-type&gt;&lt;dates&gt;&lt;year&gt;2012&lt;/year&gt;&lt;/dates&gt;&lt;rec-number&gt;618&lt;/rec-number&gt;&lt;last-updated-date format="utc"&gt;1572010211&lt;/last-updated-date&gt;&lt;electronic-resource-num&gt;10.1016/j.biopsych.2012.04.019&lt;/electronic-resource-num&gt;&lt;volume&gt;72&lt;/volume&gt;&lt;/record&gt;&lt;/Cite&gt;&lt;/EndNote&gt;</w:instrText>
      </w:r>
      <w:r w:rsidRPr="009D4627">
        <w:fldChar w:fldCharType="separate"/>
      </w:r>
      <w:r w:rsidR="00945A16" w:rsidRPr="009D4627">
        <w:rPr>
          <w:noProof/>
        </w:rPr>
        <w:t>(Benson et al., 2012)</w:t>
      </w:r>
      <w:r w:rsidRPr="009D4627">
        <w:fldChar w:fldCharType="end"/>
      </w:r>
      <w:r w:rsidRPr="009D4627">
        <w:t xml:space="preserve">.  </w:t>
      </w:r>
      <w:r w:rsidR="009837DE" w:rsidRPr="009D4627">
        <w:t>These are</w:t>
      </w:r>
      <w:r w:rsidRPr="009D4627">
        <w:t xml:space="preserve"> characteris</w:t>
      </w:r>
      <w:r w:rsidR="009837DE" w:rsidRPr="009D4627">
        <w:t>tically</w:t>
      </w:r>
      <w:r w:rsidRPr="009D4627">
        <w:t xml:space="preserve"> </w:t>
      </w:r>
      <w:r w:rsidR="007C64BF" w:rsidRPr="009D4627">
        <w:t>CUS</w:t>
      </w:r>
      <w:r w:rsidRPr="009D4627">
        <w:t>, anticipatory saccades</w:t>
      </w:r>
      <w:r w:rsidR="00AE6F60" w:rsidRPr="009D4627">
        <w:t xml:space="preserve"> </w:t>
      </w:r>
      <w:r w:rsidRPr="009D4627">
        <w:t xml:space="preserve">and  SWJ, </w:t>
      </w:r>
      <w:r w:rsidRPr="009D4627">
        <w:fldChar w:fldCharType="begin"/>
      </w:r>
      <w:r w:rsidR="00C40138" w:rsidRPr="009D4627">
        <w:instrText xml:space="preserve"> ADDIN EN.CITE &lt;EndNote&gt;&lt;Cite&gt;&lt;Author&gt;Sharma&lt;/Author&gt;&lt;Year&gt;2000&lt;/Year&gt;&lt;IDText&gt;Eye tracking disturbances in schizophrenia&lt;/IDText&gt;&lt;DisplayText&gt;(Sharma et al., 2000)&lt;/DisplayText&gt;&lt;record&gt;&lt;keywords&gt;&lt;keyword&gt;Schizophrenia&lt;/keyword&gt;&lt;keyword&gt;Saccades&lt;/keyword&gt;&lt;keyword&gt;Pursuit&lt;/keyword&gt;&lt;keyword&gt;Eye tracking&lt;/keyword&gt;&lt;keyword&gt;Eye-movement&lt;/keyword&gt;&lt;keyword&gt;Electrooculography&lt;/keyword&gt;&lt;keyword&gt;Ocular Motility Disorders - etiology&lt;/keyword&gt;&lt;keyword&gt;Eye Movements - physiology&lt;/keyword&gt;&lt;keyword&gt;Schizophrenia - physiopathology&lt;/keyword&gt;&lt;keyword&gt;Humans&lt;/keyword&gt;&lt;keyword&gt;Adult&lt;/keyword&gt;&lt;keyword&gt;Oculomotor Muscles - physiopathology&lt;/keyword&gt;&lt;keyword&gt;Schizophrenia - complications&lt;/keyword&gt;&lt;keyword&gt;Ocular Motility Disorders - physiopathology&lt;/keyword&gt;&lt;keyword&gt;Case studies&lt;/keyword&gt;&lt;keyword&gt;Eye diseases&lt;/keyword&gt;&lt;keyword&gt;Health aspects&lt;/keyword&gt;&lt;keyword&gt;Risk factors&lt;/keyword&gt;&lt;keyword&gt;Index Medicus&lt;/keyword&gt;&lt;keyword&gt;physiopathology&lt;/keyword&gt;&lt;keyword&gt;Comparative Study&lt;/keyword&gt;&lt;keyword&gt;Ocular Motility Disorders&lt;/keyword&gt;&lt;keyword&gt;Eye Movements&lt;/keyword&gt;&lt;keyword&gt;physiology&lt;/keyword&gt;&lt;keyword&gt;Oculomotor Muscles&lt;/keyword&gt;&lt;keyword&gt;etiology&lt;/keyword&gt;&lt;/keywords&gt;&lt;isbn&gt;0301-4738&lt;/isbn&gt;&lt;titles&gt;&lt;title&gt;Eye tracking disturbances in schizophrenia&lt;/title&gt;&lt;secondary-title&gt;Indian J Ophthalmol&lt;/secondary-title&gt;&lt;/titles&gt;&lt;pages&gt;15-19&lt;/pages&gt;&lt;number&gt;1&lt;/number&gt;&lt;contributors&gt;&lt;authors&gt;&lt;author&gt;Sharma, Pradeep&lt;/author&gt;&lt;author&gt;Aslam, Baljeet Saba&lt;/author&gt;&lt;author&gt;Saxena, Shekhar&lt;/author&gt;&lt;/authors&gt;&lt;/contributors&gt;&lt;added-date format="utc"&gt;1603679726&lt;/added-date&gt;&lt;pub-location&gt;India&lt;/pub-location&gt;&lt;ref-type name="Journal Article"&gt;17&lt;/ref-type&gt;&lt;dates&gt;&lt;year&gt;2000&lt;/year&gt;&lt;/dates&gt;&lt;rec-number&gt;722&lt;/rec-number&gt;&lt;publisher&gt;India: Medknow Publications and Media Pvt. Ltd&lt;/publisher&gt;&lt;last-updated-date format="utc"&gt;1603679726&lt;/last-updated-date&gt;&lt;volume&gt;48&lt;/volume&gt;&lt;/record&gt;&lt;/Cite&gt;&lt;/EndNote&gt;</w:instrText>
      </w:r>
      <w:r w:rsidRPr="009D4627">
        <w:fldChar w:fldCharType="separate"/>
      </w:r>
      <w:r w:rsidR="00C40138" w:rsidRPr="009D4627">
        <w:rPr>
          <w:noProof/>
        </w:rPr>
        <w:t>(Sharma et al., 2000)</w:t>
      </w:r>
      <w:r w:rsidRPr="009D4627">
        <w:fldChar w:fldCharType="end"/>
      </w:r>
      <w:r w:rsidRPr="009D4627">
        <w:t xml:space="preserve">, as shown in </w:t>
      </w:r>
      <w:r w:rsidR="00D91AAB" w:rsidRPr="009D4627">
        <w:t>Figure</w:t>
      </w:r>
      <w:r w:rsidRPr="009D4627">
        <w:t xml:space="preserve"> 1.1</w:t>
      </w:r>
      <w:r w:rsidR="0061775D" w:rsidRPr="009D4627">
        <w:t>8</w:t>
      </w:r>
      <w:r w:rsidRPr="009D4627">
        <w:t xml:space="preserve">. </w:t>
      </w:r>
    </w:p>
    <w:p w14:paraId="0F235D81" w14:textId="4223DC20" w:rsidR="00D91DC7" w:rsidRPr="009D4627" w:rsidRDefault="0061775D" w:rsidP="00C4130D">
      <w:pPr>
        <w:pStyle w:val="Caption"/>
      </w:pPr>
      <w:r w:rsidRPr="009D4627">
        <w:rPr>
          <w:noProof/>
        </w:rPr>
        <w:drawing>
          <wp:inline distT="0" distB="0" distL="0" distR="0" wp14:anchorId="4177332D" wp14:editId="3069F282">
            <wp:extent cx="4773930" cy="1706245"/>
            <wp:effectExtent l="0" t="0" r="7620" b="825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screen">
                      <a:extLst>
                        <a:ext uri="{28A0092B-C50C-407E-A947-70E740481C1C}">
                          <a14:useLocalDpi xmlns:a14="http://schemas.microsoft.com/office/drawing/2010/main" val="0"/>
                        </a:ext>
                      </a:extLst>
                    </a:blip>
                    <a:srcRect/>
                    <a:stretch/>
                  </pic:blipFill>
                  <pic:spPr bwMode="auto">
                    <a:xfrm>
                      <a:off x="0" y="0"/>
                      <a:ext cx="4773930" cy="1706245"/>
                    </a:xfrm>
                    <a:prstGeom prst="rect">
                      <a:avLst/>
                    </a:prstGeom>
                    <a:noFill/>
                    <a:ln>
                      <a:noFill/>
                    </a:ln>
                    <a:extLst>
                      <a:ext uri="{53640926-AAD7-44D8-BBD7-CCE9431645EC}">
                        <a14:shadowObscured xmlns:a14="http://schemas.microsoft.com/office/drawing/2010/main"/>
                      </a:ext>
                    </a:extLst>
                  </pic:spPr>
                </pic:pic>
              </a:graphicData>
            </a:graphic>
          </wp:inline>
        </w:drawing>
      </w:r>
    </w:p>
    <w:p w14:paraId="7A93F2FF" w14:textId="1D52C98E" w:rsidR="001B035C" w:rsidRPr="009D4627" w:rsidRDefault="0061775D" w:rsidP="00C4130D">
      <w:pPr>
        <w:pStyle w:val="Caption"/>
      </w:pPr>
      <w:bookmarkStart w:id="106" w:name="_Toc73609247"/>
      <w:bookmarkStart w:id="107" w:name="_Toc73804909"/>
      <w:bookmarkStart w:id="108" w:name="_Toc98570019"/>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18</w:t>
      </w:r>
      <w:r w:rsidR="002E63E9" w:rsidRPr="009D4627">
        <w:rPr>
          <w:noProof/>
        </w:rPr>
        <w:fldChar w:fldCharType="end"/>
      </w:r>
      <w:r w:rsidRPr="009D4627">
        <w:t xml:space="preserve">: </w:t>
      </w:r>
      <w:r w:rsidR="00547D87" w:rsidRPr="009D4627">
        <w:t xml:space="preserve">Comparison of EOG recording of </w:t>
      </w:r>
      <w:r w:rsidR="009837DE" w:rsidRPr="009D4627">
        <w:t>SP</w:t>
      </w:r>
      <w:r w:rsidR="00547D87" w:rsidRPr="009D4627">
        <w:t xml:space="preserve"> eye movements between </w:t>
      </w:r>
      <w:r w:rsidR="009837DE" w:rsidRPr="009D4627">
        <w:t>s</w:t>
      </w:r>
      <w:r w:rsidR="001B035C" w:rsidRPr="009D4627">
        <w:t>chizophrenia and healthy control</w:t>
      </w:r>
      <w:r w:rsidR="009837DE" w:rsidRPr="009D4627">
        <w:t>s</w:t>
      </w:r>
      <w:r w:rsidR="001B035C" w:rsidRPr="009D4627">
        <w:t>.</w:t>
      </w:r>
      <w:bookmarkEnd w:id="106"/>
      <w:r w:rsidR="001B035C" w:rsidRPr="009D4627">
        <w:t xml:space="preserve"> </w:t>
      </w:r>
      <w:r w:rsidR="009837DE" w:rsidRPr="009D4627">
        <w:t>From Sharma et al. (2000).</w:t>
      </w:r>
      <w:bookmarkEnd w:id="107"/>
      <w:bookmarkEnd w:id="108"/>
    </w:p>
    <w:p w14:paraId="1BD5ED37" w14:textId="5C9566CF" w:rsidR="00547D87" w:rsidRPr="009D4627" w:rsidRDefault="00547D87" w:rsidP="00C4130D">
      <w:pPr>
        <w:pStyle w:val="Caption"/>
      </w:pPr>
      <w:r w:rsidRPr="009D4627">
        <w:t>A</w:t>
      </w:r>
      <w:r w:rsidR="009837DE" w:rsidRPr="009D4627">
        <w:t>)</w:t>
      </w:r>
      <w:r w:rsidR="00067115" w:rsidRPr="009D4627">
        <w:t xml:space="preserve"> </w:t>
      </w:r>
      <w:r w:rsidRPr="009D4627">
        <w:t xml:space="preserve">Schizophrenia, illustrating </w:t>
      </w:r>
      <w:r w:rsidR="009837DE" w:rsidRPr="009D4627">
        <w:t>both</w:t>
      </w:r>
      <w:r w:rsidRPr="009D4627">
        <w:t xml:space="preserve"> CUS and </w:t>
      </w:r>
      <w:r w:rsidR="009837DE" w:rsidRPr="009D4627">
        <w:t>anticipatory saccades.</w:t>
      </w:r>
      <w:r w:rsidRPr="009D4627">
        <w:t xml:space="preserve"> B</w:t>
      </w:r>
      <w:r w:rsidR="009837DE" w:rsidRPr="009D4627">
        <w:t>)</w:t>
      </w:r>
      <w:r w:rsidRPr="009D4627">
        <w:t xml:space="preserve"> </w:t>
      </w:r>
      <w:r w:rsidR="009837DE" w:rsidRPr="009D4627">
        <w:t>SP</w:t>
      </w:r>
      <w:r w:rsidRPr="009D4627">
        <w:t xml:space="preserve"> eye recording in healthy control</w:t>
      </w:r>
      <w:r w:rsidR="009837DE" w:rsidRPr="009D4627">
        <w:t>.</w:t>
      </w:r>
    </w:p>
    <w:p w14:paraId="3B6DAFCD" w14:textId="77777777" w:rsidR="00AE6F60" w:rsidRPr="009D4627" w:rsidRDefault="00AE6F60" w:rsidP="00AE6F60">
      <w:pPr>
        <w:rPr>
          <w:lang w:val="en-MY" w:eastAsia="en-MY"/>
        </w:rPr>
      </w:pPr>
    </w:p>
    <w:p w14:paraId="2C16B4AD" w14:textId="6A34ADFD" w:rsidR="00547D87" w:rsidRPr="009D4627" w:rsidRDefault="00547D87" w:rsidP="00390EBC">
      <w:r w:rsidRPr="009D4627">
        <w:lastRenderedPageBreak/>
        <w:t xml:space="preserve">Another study reported that </w:t>
      </w:r>
      <w:r w:rsidR="009837DE" w:rsidRPr="009D4627">
        <w:t>s</w:t>
      </w:r>
      <w:r w:rsidRPr="009D4627">
        <w:t xml:space="preserve">chizophrenia </w:t>
      </w:r>
      <w:r w:rsidR="009837DE" w:rsidRPr="009D4627">
        <w:t xml:space="preserve">patients </w:t>
      </w:r>
      <w:r w:rsidRPr="009D4627">
        <w:t xml:space="preserve">had defective </w:t>
      </w:r>
      <w:r w:rsidR="001C44D0" w:rsidRPr="009D4627">
        <w:t>SP</w:t>
      </w:r>
      <w:r w:rsidRPr="009D4627">
        <w:t xml:space="preserve"> eye movements </w:t>
      </w:r>
      <w:r w:rsidRPr="009D4627">
        <w:fldChar w:fldCharType="begin"/>
      </w:r>
      <w:r w:rsidR="00C40138" w:rsidRPr="009D4627">
        <w:instrText xml:space="preserve"> ADDIN EN.CITE &lt;EndNote&gt;&lt;Cite&gt;&lt;Author&gt;Campana&lt;/Author&gt;&lt;Year&gt;1999&lt;/Year&gt;&lt;IDText&gt;An Artificial Neural Network That Uses Eye-Tracking Performance to Identify Patients With Schizophrenia&lt;/IDText&gt;&lt;DisplayText&gt;(Campana et al., 1999)&lt;/DisplayText&gt;&lt;record&gt;&lt;keywords&gt;&lt;keyword&gt;Back-propagation neural network&lt;/keyword&gt;&lt;keyword&gt;Eye tracking&lt;/keyword&gt;&lt;keyword&gt;Life Sciences &amp;amp; Biomedicine&lt;/keyword&gt;&lt;keyword&gt;Psychiatry&lt;/keyword&gt;&lt;keyword&gt;Science &amp;amp; Technology&lt;/keyword&gt;&lt;keyword&gt;Schizophrenia - diagnosis&lt;/keyword&gt;&lt;keyword&gt;Antipsychotic Agents - therapeutic use&lt;/keyword&gt;&lt;keyword&gt;Humans&lt;/keyword&gt;&lt;keyword&gt;Adult&lt;/keyword&gt;&lt;keyword&gt;Female&lt;/keyword&gt;&lt;keyword&gt;Male&lt;/keyword&gt;&lt;keyword&gt;Saccades - physiology&lt;/keyword&gt;&lt;keyword&gt;Random Allocation&lt;/keyword&gt;&lt;keyword&gt;Schizophrenia - drug therapy&lt;/keyword&gt;&lt;keyword&gt;Neural Networks (Computer)&lt;/keyword&gt;&lt;keyword&gt;Index Medicus&lt;/keyword&gt;&lt;/keywords&gt;&lt;isbn&gt;0586-7614&lt;/isbn&gt;&lt;titles&gt;&lt;title&gt;An Artificial Neural Network That Uses Eye-Tracking Performance to Identify Patients With Schizophrenia&lt;/title&gt;&lt;secondary-title&gt;Schizophr Bull&lt;/secondary-title&gt;&lt;/titles&gt;&lt;pages&gt;789-799&lt;/pages&gt;&lt;number&gt;4&lt;/number&gt;&lt;contributors&gt;&lt;authors&gt;&lt;author&gt;Campana, Arturo&lt;/author&gt;&lt;author&gt;Duci, Alessandro&lt;/author&gt;&lt;author&gt;Gambini, Orsola&lt;/author&gt;&lt;author&gt;Scarone, Silvio&lt;/author&gt;&lt;/authors&gt;&lt;/contributors&gt;&lt;added-date format="utc"&gt;1603683908&lt;/added-date&gt;&lt;pub-location&gt;WASHINGTON&lt;/pub-location&gt;&lt;ref-type name="Journal Article"&gt;17&lt;/ref-type&gt;&lt;dates&gt;&lt;year&gt;1999&lt;/year&gt;&lt;/dates&gt;&lt;rec-number&gt;723&lt;/rec-number&gt;&lt;publisher&gt;WASHINGTON: National Institute of Mental Health&lt;/publisher&gt;&lt;last-updated-date format="utc"&gt;1603683908&lt;/last-updated-date&gt;&lt;electronic-resource-num&gt;10.1093/oxfordjournals.schbul.a033419&lt;/electronic-resource-num&gt;&lt;volume&gt;25&lt;/volume&gt;&lt;/record&gt;&lt;/Cite&gt;&lt;/EndNote&gt;</w:instrText>
      </w:r>
      <w:r w:rsidRPr="009D4627">
        <w:fldChar w:fldCharType="separate"/>
      </w:r>
      <w:r w:rsidR="00C40138" w:rsidRPr="009D4627">
        <w:rPr>
          <w:noProof/>
        </w:rPr>
        <w:t>(Campana et al., 1999)</w:t>
      </w:r>
      <w:r w:rsidRPr="009D4627">
        <w:fldChar w:fldCharType="end"/>
      </w:r>
      <w:r w:rsidRPr="009D4627">
        <w:t xml:space="preserve">. They found a significant slower peak velocity, lower peak gain, and higher </w:t>
      </w:r>
      <w:r w:rsidR="003B5592" w:rsidRPr="009D4627">
        <w:t>CUS</w:t>
      </w:r>
      <w:r w:rsidRPr="009D4627">
        <w:t xml:space="preserve"> among</w:t>
      </w:r>
      <w:r w:rsidR="001C44D0" w:rsidRPr="009D4627">
        <w:t xml:space="preserve"> the</w:t>
      </w:r>
      <w:r w:rsidRPr="009D4627">
        <w:t xml:space="preserve"> schizophrenia</w:t>
      </w:r>
      <w:r w:rsidR="001C44D0" w:rsidRPr="009D4627">
        <w:t xml:space="preserve"> group</w:t>
      </w:r>
      <w:r w:rsidRPr="009D4627">
        <w:t xml:space="preserve"> than a healthy control group (</w:t>
      </w:r>
      <w:r w:rsidR="00D91DC7" w:rsidRPr="009D4627">
        <w:t>Table 1.4</w:t>
      </w:r>
      <w:r w:rsidRPr="009D4627">
        <w:t xml:space="preserve">). They suggested that </w:t>
      </w:r>
      <w:r w:rsidR="00F937E9" w:rsidRPr="009D4627">
        <w:t>EMR</w:t>
      </w:r>
      <w:r w:rsidRPr="009D4627">
        <w:t xml:space="preserve"> can differentiate schizophrenia and healthy individuals, allowing for early treatment and support </w:t>
      </w:r>
      <w:r w:rsidR="001C44D0" w:rsidRPr="009D4627">
        <w:t>f</w:t>
      </w:r>
      <w:r w:rsidRPr="009D4627">
        <w:t>o</w:t>
      </w:r>
      <w:r w:rsidR="001C44D0" w:rsidRPr="009D4627">
        <w:t>r</w:t>
      </w:r>
      <w:r w:rsidRPr="009D4627">
        <w:t xml:space="preserve"> the patient. Therefore, </w:t>
      </w:r>
      <w:r w:rsidR="00F937E9" w:rsidRPr="009D4627">
        <w:t>EMR</w:t>
      </w:r>
      <w:r w:rsidRPr="009D4627">
        <w:t xml:space="preserve"> has been shown to help screen for neurodegenerative diseases, enabling effective management </w:t>
      </w:r>
      <w:r w:rsidR="001C44D0" w:rsidRPr="009D4627">
        <w:t xml:space="preserve">to be </w:t>
      </w:r>
      <w:r w:rsidRPr="009D4627">
        <w:t>given to the patients.</w:t>
      </w:r>
    </w:p>
    <w:p w14:paraId="09E98433" w14:textId="6477129A" w:rsidR="00D91DC7" w:rsidRPr="009D4627" w:rsidRDefault="00225FAE" w:rsidP="00C4130D">
      <w:pPr>
        <w:pStyle w:val="Caption"/>
      </w:pPr>
      <w:bookmarkStart w:id="109" w:name="_Toc99353931"/>
      <w:r w:rsidRPr="009D4627">
        <w:t>Table 1.</w:t>
      </w:r>
      <w:r w:rsidR="002E63E9" w:rsidRPr="009D4627">
        <w:fldChar w:fldCharType="begin"/>
      </w:r>
      <w:r w:rsidR="002E63E9" w:rsidRPr="009D4627">
        <w:instrText xml:space="preserve"> SEQ Table_1. \* ARABIC </w:instrText>
      </w:r>
      <w:r w:rsidR="002E63E9" w:rsidRPr="009D4627">
        <w:fldChar w:fldCharType="separate"/>
      </w:r>
      <w:r w:rsidR="00E268F6">
        <w:rPr>
          <w:noProof/>
        </w:rPr>
        <w:t>4</w:t>
      </w:r>
      <w:r w:rsidR="002E63E9" w:rsidRPr="009D4627">
        <w:rPr>
          <w:noProof/>
        </w:rPr>
        <w:fldChar w:fldCharType="end"/>
      </w:r>
      <w:r w:rsidRPr="009D4627">
        <w:t xml:space="preserve">: </w:t>
      </w:r>
      <w:r w:rsidR="001C44D0" w:rsidRPr="009D4627">
        <w:t>SP</w:t>
      </w:r>
      <w:r w:rsidR="00D91DC7" w:rsidRPr="009D4627">
        <w:t xml:space="preserve"> eye movements performance recorded in normal and schizophrenia patients. From Campana et al. </w:t>
      </w:r>
      <w:r w:rsidR="001B035C" w:rsidRPr="009D4627">
        <w:t>(</w:t>
      </w:r>
      <w:r w:rsidR="00D91DC7" w:rsidRPr="009D4627">
        <w:t>1999</w:t>
      </w:r>
      <w:r w:rsidR="001B035C" w:rsidRPr="009D4627">
        <w:t>)</w:t>
      </w:r>
      <w:r w:rsidR="00D91DC7" w:rsidRPr="009D4627">
        <w:t>.</w:t>
      </w:r>
      <w:bookmarkEnd w:id="109"/>
    </w:p>
    <w:tbl>
      <w:tblPr>
        <w:tblStyle w:val="TableGrid"/>
        <w:tblW w:w="0" w:type="auto"/>
        <w:tblLook w:val="04A0" w:firstRow="1" w:lastRow="0" w:firstColumn="1" w:lastColumn="0" w:noHBand="0" w:noVBand="1"/>
      </w:tblPr>
      <w:tblGrid>
        <w:gridCol w:w="1311"/>
        <w:gridCol w:w="2325"/>
        <w:gridCol w:w="1791"/>
        <w:gridCol w:w="2511"/>
        <w:gridCol w:w="1078"/>
      </w:tblGrid>
      <w:tr w:rsidR="00940AE5" w:rsidRPr="009D4627" w14:paraId="205B9885" w14:textId="77777777" w:rsidTr="009A2702">
        <w:tc>
          <w:tcPr>
            <w:tcW w:w="1311" w:type="dxa"/>
          </w:tcPr>
          <w:p w14:paraId="28384825" w14:textId="403A792F" w:rsidR="009A2702" w:rsidRPr="009D4627" w:rsidRDefault="00F57D01" w:rsidP="00CC31A9">
            <w:pPr>
              <w:spacing w:before="0" w:after="0" w:line="240" w:lineRule="auto"/>
              <w:jc w:val="left"/>
              <w:rPr>
                <w:color w:val="auto"/>
              </w:rPr>
            </w:pPr>
            <w:r w:rsidRPr="009D4627">
              <w:rPr>
                <w:color w:val="auto"/>
              </w:rPr>
              <w:t>Target</w:t>
            </w:r>
            <w:r w:rsidR="009A2702" w:rsidRPr="009D4627">
              <w:rPr>
                <w:color w:val="auto"/>
              </w:rPr>
              <w:t xml:space="preserve"> Frequency</w:t>
            </w:r>
          </w:p>
        </w:tc>
        <w:tc>
          <w:tcPr>
            <w:tcW w:w="2325" w:type="dxa"/>
          </w:tcPr>
          <w:p w14:paraId="123468F1" w14:textId="028B3A46" w:rsidR="009A2702" w:rsidRPr="009D4627" w:rsidRDefault="009A2702" w:rsidP="00CC31A9">
            <w:pPr>
              <w:spacing w:before="0" w:after="0" w:line="240" w:lineRule="auto"/>
              <w:jc w:val="left"/>
              <w:rPr>
                <w:color w:val="auto"/>
              </w:rPr>
            </w:pPr>
            <w:r w:rsidRPr="009D4627">
              <w:rPr>
                <w:color w:val="auto"/>
              </w:rPr>
              <w:t>Mean (SD) SP eye movement measurements</w:t>
            </w:r>
          </w:p>
        </w:tc>
        <w:tc>
          <w:tcPr>
            <w:tcW w:w="1791" w:type="dxa"/>
          </w:tcPr>
          <w:p w14:paraId="3BA55948" w14:textId="77777777" w:rsidR="009A2702" w:rsidRPr="009D4627" w:rsidRDefault="009A2702" w:rsidP="00CC31A9">
            <w:pPr>
              <w:spacing w:before="0" w:after="0" w:line="240" w:lineRule="auto"/>
              <w:jc w:val="left"/>
              <w:rPr>
                <w:color w:val="auto"/>
              </w:rPr>
            </w:pPr>
            <w:r w:rsidRPr="009D4627">
              <w:rPr>
                <w:color w:val="auto"/>
              </w:rPr>
              <w:t xml:space="preserve">Normal subjects </w:t>
            </w:r>
          </w:p>
          <w:p w14:paraId="7FAAB38C" w14:textId="41FA5540" w:rsidR="009A2702" w:rsidRPr="009D4627" w:rsidRDefault="009A2702" w:rsidP="00CC31A9">
            <w:pPr>
              <w:spacing w:before="0" w:after="0" w:line="240" w:lineRule="auto"/>
              <w:jc w:val="left"/>
              <w:rPr>
                <w:color w:val="auto"/>
              </w:rPr>
            </w:pPr>
            <w:r w:rsidRPr="009D4627">
              <w:rPr>
                <w:color w:val="auto"/>
              </w:rPr>
              <w:t>(n = 65)</w:t>
            </w:r>
          </w:p>
        </w:tc>
        <w:tc>
          <w:tcPr>
            <w:tcW w:w="2511" w:type="dxa"/>
          </w:tcPr>
          <w:p w14:paraId="44CDB170" w14:textId="77777777" w:rsidR="009A2702" w:rsidRPr="009D4627" w:rsidRDefault="009A2702" w:rsidP="00CC31A9">
            <w:pPr>
              <w:spacing w:before="0" w:after="0" w:line="240" w:lineRule="auto"/>
              <w:jc w:val="left"/>
              <w:rPr>
                <w:color w:val="auto"/>
              </w:rPr>
            </w:pPr>
            <w:r w:rsidRPr="009D4627">
              <w:rPr>
                <w:color w:val="auto"/>
              </w:rPr>
              <w:t xml:space="preserve">Schizophrenia patients </w:t>
            </w:r>
          </w:p>
          <w:p w14:paraId="52B7056F" w14:textId="515F019C" w:rsidR="009A2702" w:rsidRPr="009D4627" w:rsidRDefault="009A2702" w:rsidP="00CC31A9">
            <w:pPr>
              <w:spacing w:before="0" w:after="0" w:line="240" w:lineRule="auto"/>
              <w:jc w:val="left"/>
              <w:rPr>
                <w:color w:val="auto"/>
              </w:rPr>
            </w:pPr>
            <w:r w:rsidRPr="009D4627">
              <w:rPr>
                <w:color w:val="auto"/>
              </w:rPr>
              <w:t>(n = 65)</w:t>
            </w:r>
          </w:p>
        </w:tc>
        <w:tc>
          <w:tcPr>
            <w:tcW w:w="1078" w:type="dxa"/>
          </w:tcPr>
          <w:p w14:paraId="52584BAA" w14:textId="55EFE84D" w:rsidR="009A2702" w:rsidRPr="009D4627" w:rsidRDefault="009A2702" w:rsidP="00CC31A9">
            <w:pPr>
              <w:spacing w:before="0" w:after="0" w:line="240" w:lineRule="auto"/>
              <w:jc w:val="left"/>
              <w:rPr>
                <w:color w:val="auto"/>
              </w:rPr>
            </w:pPr>
            <w:r w:rsidRPr="009D4627">
              <w:rPr>
                <w:color w:val="auto"/>
              </w:rPr>
              <w:t>p</w:t>
            </w:r>
            <w:r w:rsidRPr="009D4627">
              <w:rPr>
                <w:color w:val="auto"/>
                <w:vertAlign w:val="superscript"/>
              </w:rPr>
              <w:t>1</w:t>
            </w:r>
          </w:p>
        </w:tc>
      </w:tr>
      <w:tr w:rsidR="00940AE5" w:rsidRPr="009D4627" w14:paraId="4CC4F563" w14:textId="77777777" w:rsidTr="009A2702">
        <w:tc>
          <w:tcPr>
            <w:tcW w:w="1311" w:type="dxa"/>
            <w:vMerge w:val="restart"/>
          </w:tcPr>
          <w:p w14:paraId="74F6DF09" w14:textId="2F6A948F" w:rsidR="009A2702" w:rsidRPr="009D4627" w:rsidRDefault="009A2702" w:rsidP="00CC31A9">
            <w:pPr>
              <w:spacing w:before="0" w:after="0" w:line="240" w:lineRule="auto"/>
              <w:jc w:val="left"/>
              <w:rPr>
                <w:color w:val="auto"/>
              </w:rPr>
            </w:pPr>
            <w:r w:rsidRPr="009D4627">
              <w:rPr>
                <w:color w:val="auto"/>
              </w:rPr>
              <w:t>0.4 Hz</w:t>
            </w:r>
          </w:p>
        </w:tc>
        <w:tc>
          <w:tcPr>
            <w:tcW w:w="2325" w:type="dxa"/>
          </w:tcPr>
          <w:p w14:paraId="3DD7495E" w14:textId="2264ED11" w:rsidR="009A2702" w:rsidRPr="009D4627" w:rsidRDefault="009A2702" w:rsidP="00CC31A9">
            <w:pPr>
              <w:spacing w:before="0" w:after="0" w:line="240" w:lineRule="auto"/>
              <w:jc w:val="left"/>
              <w:rPr>
                <w:color w:val="auto"/>
              </w:rPr>
            </w:pPr>
            <w:r w:rsidRPr="009D4627">
              <w:rPr>
                <w:color w:val="auto"/>
              </w:rPr>
              <w:t>PV (40°/sec)</w:t>
            </w:r>
          </w:p>
        </w:tc>
        <w:tc>
          <w:tcPr>
            <w:tcW w:w="1791" w:type="dxa"/>
          </w:tcPr>
          <w:p w14:paraId="0726609C" w14:textId="359BA910" w:rsidR="009A2702" w:rsidRPr="009D4627" w:rsidRDefault="009A2702" w:rsidP="00CC31A9">
            <w:pPr>
              <w:spacing w:before="0" w:after="0" w:line="240" w:lineRule="auto"/>
              <w:jc w:val="left"/>
              <w:rPr>
                <w:color w:val="auto"/>
              </w:rPr>
            </w:pPr>
            <w:r w:rsidRPr="009D4627">
              <w:rPr>
                <w:color w:val="auto"/>
              </w:rPr>
              <w:t>33.31 (5.00)</w:t>
            </w:r>
          </w:p>
        </w:tc>
        <w:tc>
          <w:tcPr>
            <w:tcW w:w="2511" w:type="dxa"/>
          </w:tcPr>
          <w:p w14:paraId="665502C2" w14:textId="2F88CE0C" w:rsidR="009A2702" w:rsidRPr="009D4627" w:rsidRDefault="009A2702" w:rsidP="00CC31A9">
            <w:pPr>
              <w:spacing w:before="0" w:after="0" w:line="240" w:lineRule="auto"/>
              <w:jc w:val="left"/>
              <w:rPr>
                <w:color w:val="auto"/>
              </w:rPr>
            </w:pPr>
            <w:r w:rsidRPr="009D4627">
              <w:rPr>
                <w:color w:val="auto"/>
              </w:rPr>
              <w:t>29.55 (8.09)</w:t>
            </w:r>
          </w:p>
        </w:tc>
        <w:tc>
          <w:tcPr>
            <w:tcW w:w="1078" w:type="dxa"/>
          </w:tcPr>
          <w:p w14:paraId="6657AE42" w14:textId="58DD4FB1" w:rsidR="009A2702" w:rsidRPr="009D4627" w:rsidRDefault="009A2702" w:rsidP="00CC31A9">
            <w:pPr>
              <w:spacing w:before="0" w:after="0" w:line="240" w:lineRule="auto"/>
              <w:jc w:val="left"/>
              <w:rPr>
                <w:color w:val="auto"/>
              </w:rPr>
            </w:pPr>
            <w:r w:rsidRPr="009D4627">
              <w:rPr>
                <w:color w:val="auto"/>
              </w:rPr>
              <w:t>0.002</w:t>
            </w:r>
            <w:r w:rsidR="00E71B72" w:rsidRPr="009D4627">
              <w:rPr>
                <w:color w:val="auto"/>
              </w:rPr>
              <w:t>*</w:t>
            </w:r>
          </w:p>
        </w:tc>
      </w:tr>
      <w:tr w:rsidR="00940AE5" w:rsidRPr="009D4627" w14:paraId="01716AE7" w14:textId="77777777" w:rsidTr="009A2702">
        <w:tc>
          <w:tcPr>
            <w:tcW w:w="1311" w:type="dxa"/>
            <w:vMerge/>
          </w:tcPr>
          <w:p w14:paraId="3B06C7E2" w14:textId="77777777" w:rsidR="009A2702" w:rsidRPr="009D4627" w:rsidRDefault="009A2702" w:rsidP="00CC31A9">
            <w:pPr>
              <w:spacing w:before="0" w:after="0" w:line="240" w:lineRule="auto"/>
              <w:jc w:val="left"/>
              <w:rPr>
                <w:color w:val="auto"/>
              </w:rPr>
            </w:pPr>
          </w:p>
        </w:tc>
        <w:tc>
          <w:tcPr>
            <w:tcW w:w="2325" w:type="dxa"/>
          </w:tcPr>
          <w:p w14:paraId="0E2EF8AE" w14:textId="771500E8" w:rsidR="009A2702" w:rsidRPr="009D4627" w:rsidRDefault="009A2702" w:rsidP="00CC31A9">
            <w:pPr>
              <w:spacing w:before="0" w:after="0" w:line="240" w:lineRule="auto"/>
              <w:jc w:val="left"/>
              <w:rPr>
                <w:color w:val="auto"/>
              </w:rPr>
            </w:pPr>
            <w:proofErr w:type="spellStart"/>
            <w:r w:rsidRPr="009D4627">
              <w:rPr>
                <w:color w:val="auto"/>
              </w:rPr>
              <w:t>pGA</w:t>
            </w:r>
            <w:proofErr w:type="spellEnd"/>
          </w:p>
        </w:tc>
        <w:tc>
          <w:tcPr>
            <w:tcW w:w="1791" w:type="dxa"/>
          </w:tcPr>
          <w:p w14:paraId="3B06DAF1" w14:textId="2C1E771C" w:rsidR="009A2702" w:rsidRPr="009D4627" w:rsidRDefault="009A2702" w:rsidP="00CC31A9">
            <w:pPr>
              <w:spacing w:before="0" w:after="0" w:line="240" w:lineRule="auto"/>
              <w:jc w:val="left"/>
              <w:rPr>
                <w:color w:val="auto"/>
              </w:rPr>
            </w:pPr>
            <w:r w:rsidRPr="009D4627">
              <w:rPr>
                <w:color w:val="auto"/>
              </w:rPr>
              <w:t>0.83 (0.13)</w:t>
            </w:r>
          </w:p>
        </w:tc>
        <w:tc>
          <w:tcPr>
            <w:tcW w:w="2511" w:type="dxa"/>
          </w:tcPr>
          <w:p w14:paraId="110A1E14" w14:textId="549F1646" w:rsidR="009A2702" w:rsidRPr="009D4627" w:rsidRDefault="009A2702" w:rsidP="00CC31A9">
            <w:pPr>
              <w:spacing w:before="0" w:after="0" w:line="240" w:lineRule="auto"/>
              <w:jc w:val="left"/>
              <w:rPr>
                <w:color w:val="auto"/>
              </w:rPr>
            </w:pPr>
            <w:r w:rsidRPr="009D4627">
              <w:rPr>
                <w:color w:val="auto"/>
              </w:rPr>
              <w:t>0.73 (0.20)</w:t>
            </w:r>
          </w:p>
        </w:tc>
        <w:tc>
          <w:tcPr>
            <w:tcW w:w="1078" w:type="dxa"/>
          </w:tcPr>
          <w:p w14:paraId="4C30A687" w14:textId="3D47140A" w:rsidR="009A2702" w:rsidRPr="009D4627" w:rsidRDefault="009A2702" w:rsidP="00CC31A9">
            <w:pPr>
              <w:spacing w:before="0" w:after="0" w:line="240" w:lineRule="auto"/>
              <w:jc w:val="left"/>
              <w:rPr>
                <w:color w:val="auto"/>
              </w:rPr>
            </w:pPr>
            <w:r w:rsidRPr="009D4627">
              <w:rPr>
                <w:color w:val="auto"/>
              </w:rPr>
              <w:t>0.002</w:t>
            </w:r>
            <w:r w:rsidR="00E71B72" w:rsidRPr="009D4627">
              <w:rPr>
                <w:color w:val="auto"/>
              </w:rPr>
              <w:t>*</w:t>
            </w:r>
          </w:p>
        </w:tc>
      </w:tr>
      <w:tr w:rsidR="00940AE5" w:rsidRPr="009D4627" w14:paraId="438529D5" w14:textId="77777777" w:rsidTr="009A2702">
        <w:tc>
          <w:tcPr>
            <w:tcW w:w="1311" w:type="dxa"/>
            <w:vMerge/>
          </w:tcPr>
          <w:p w14:paraId="771EDBEF" w14:textId="77777777" w:rsidR="009A2702" w:rsidRPr="009D4627" w:rsidRDefault="009A2702" w:rsidP="00CC31A9">
            <w:pPr>
              <w:spacing w:before="0" w:after="0" w:line="240" w:lineRule="auto"/>
              <w:jc w:val="left"/>
              <w:rPr>
                <w:color w:val="auto"/>
              </w:rPr>
            </w:pPr>
          </w:p>
        </w:tc>
        <w:tc>
          <w:tcPr>
            <w:tcW w:w="2325" w:type="dxa"/>
          </w:tcPr>
          <w:p w14:paraId="75E84C9E" w14:textId="4C24B368" w:rsidR="009A2702" w:rsidRPr="009D4627" w:rsidRDefault="009A2702" w:rsidP="00CC31A9">
            <w:pPr>
              <w:spacing w:before="0" w:after="0" w:line="240" w:lineRule="auto"/>
              <w:jc w:val="left"/>
              <w:rPr>
                <w:color w:val="auto"/>
              </w:rPr>
            </w:pPr>
            <w:r w:rsidRPr="009D4627">
              <w:rPr>
                <w:color w:val="auto"/>
              </w:rPr>
              <w:t>SACC</w:t>
            </w:r>
          </w:p>
        </w:tc>
        <w:tc>
          <w:tcPr>
            <w:tcW w:w="1791" w:type="dxa"/>
          </w:tcPr>
          <w:p w14:paraId="6BD04B3F" w14:textId="2D9DD145" w:rsidR="009A2702" w:rsidRPr="009D4627" w:rsidRDefault="009A2702" w:rsidP="00CC31A9">
            <w:pPr>
              <w:spacing w:before="0" w:after="0" w:line="240" w:lineRule="auto"/>
              <w:jc w:val="left"/>
              <w:rPr>
                <w:color w:val="auto"/>
              </w:rPr>
            </w:pPr>
            <w:r w:rsidRPr="009D4627">
              <w:rPr>
                <w:color w:val="auto"/>
              </w:rPr>
              <w:t>25.63 (14.48)</w:t>
            </w:r>
          </w:p>
        </w:tc>
        <w:tc>
          <w:tcPr>
            <w:tcW w:w="2511" w:type="dxa"/>
          </w:tcPr>
          <w:p w14:paraId="30E3A7D9" w14:textId="2BCCC8DB" w:rsidR="009A2702" w:rsidRPr="009D4627" w:rsidRDefault="009A2702" w:rsidP="00CC31A9">
            <w:pPr>
              <w:spacing w:before="0" w:after="0" w:line="240" w:lineRule="auto"/>
              <w:jc w:val="left"/>
              <w:rPr>
                <w:color w:val="auto"/>
              </w:rPr>
            </w:pPr>
            <w:r w:rsidRPr="009D4627">
              <w:rPr>
                <w:color w:val="auto"/>
              </w:rPr>
              <w:t>41.77 (19.08)</w:t>
            </w:r>
          </w:p>
        </w:tc>
        <w:tc>
          <w:tcPr>
            <w:tcW w:w="1078" w:type="dxa"/>
          </w:tcPr>
          <w:p w14:paraId="28AB0254" w14:textId="5F04D928" w:rsidR="009A2702" w:rsidRPr="009D4627" w:rsidRDefault="00E71B72" w:rsidP="00CC31A9">
            <w:pPr>
              <w:spacing w:before="0" w:after="0" w:line="240" w:lineRule="auto"/>
              <w:jc w:val="left"/>
              <w:rPr>
                <w:color w:val="auto"/>
              </w:rPr>
            </w:pPr>
            <w:r w:rsidRPr="009D4627">
              <w:rPr>
                <w:color w:val="auto"/>
              </w:rPr>
              <w:t>&lt;</w:t>
            </w:r>
            <w:r w:rsidR="009A2702" w:rsidRPr="009D4627">
              <w:rPr>
                <w:color w:val="auto"/>
              </w:rPr>
              <w:t>0.00</w:t>
            </w:r>
            <w:r w:rsidRPr="009D4627">
              <w:rPr>
                <w:color w:val="auto"/>
              </w:rPr>
              <w:t>1*</w:t>
            </w:r>
          </w:p>
        </w:tc>
      </w:tr>
      <w:tr w:rsidR="00940AE5" w:rsidRPr="009D4627" w14:paraId="1DF3DA0E" w14:textId="77777777" w:rsidTr="009A2702">
        <w:tc>
          <w:tcPr>
            <w:tcW w:w="1311" w:type="dxa"/>
            <w:vMerge w:val="restart"/>
          </w:tcPr>
          <w:p w14:paraId="66A297A2" w14:textId="6452C014" w:rsidR="009A2702" w:rsidRPr="009D4627" w:rsidRDefault="009A2702" w:rsidP="00CC31A9">
            <w:pPr>
              <w:spacing w:before="0" w:after="0" w:line="240" w:lineRule="auto"/>
              <w:jc w:val="left"/>
              <w:rPr>
                <w:color w:val="auto"/>
              </w:rPr>
            </w:pPr>
            <w:r w:rsidRPr="009D4627">
              <w:rPr>
                <w:color w:val="auto"/>
              </w:rPr>
              <w:t>0.2 Hz</w:t>
            </w:r>
          </w:p>
        </w:tc>
        <w:tc>
          <w:tcPr>
            <w:tcW w:w="2325" w:type="dxa"/>
          </w:tcPr>
          <w:p w14:paraId="06A01818" w14:textId="621C5CC0" w:rsidR="009A2702" w:rsidRPr="009D4627" w:rsidRDefault="009A2702" w:rsidP="00CC31A9">
            <w:pPr>
              <w:spacing w:before="0" w:after="0" w:line="240" w:lineRule="auto"/>
              <w:jc w:val="left"/>
              <w:rPr>
                <w:color w:val="auto"/>
              </w:rPr>
            </w:pPr>
            <w:r w:rsidRPr="009D4627">
              <w:rPr>
                <w:color w:val="auto"/>
              </w:rPr>
              <w:t>PV (20°/sec)</w:t>
            </w:r>
          </w:p>
        </w:tc>
        <w:tc>
          <w:tcPr>
            <w:tcW w:w="1791" w:type="dxa"/>
          </w:tcPr>
          <w:p w14:paraId="46C8F5F5" w14:textId="1A7EAE45" w:rsidR="009A2702" w:rsidRPr="009D4627" w:rsidRDefault="009A2702" w:rsidP="00CC31A9">
            <w:pPr>
              <w:spacing w:before="0" w:after="0" w:line="240" w:lineRule="auto"/>
              <w:jc w:val="left"/>
              <w:rPr>
                <w:color w:val="auto"/>
              </w:rPr>
            </w:pPr>
            <w:r w:rsidRPr="009D4627">
              <w:rPr>
                <w:color w:val="auto"/>
              </w:rPr>
              <w:t>16.11 (2.74)</w:t>
            </w:r>
          </w:p>
        </w:tc>
        <w:tc>
          <w:tcPr>
            <w:tcW w:w="2511" w:type="dxa"/>
          </w:tcPr>
          <w:p w14:paraId="26909C69" w14:textId="390E0F83" w:rsidR="009A2702" w:rsidRPr="009D4627" w:rsidRDefault="009A2702" w:rsidP="00CC31A9">
            <w:pPr>
              <w:spacing w:before="0" w:after="0" w:line="240" w:lineRule="auto"/>
              <w:jc w:val="left"/>
              <w:rPr>
                <w:color w:val="auto"/>
              </w:rPr>
            </w:pPr>
            <w:r w:rsidRPr="009D4627">
              <w:rPr>
                <w:color w:val="auto"/>
              </w:rPr>
              <w:t>14.66 (3.67)</w:t>
            </w:r>
          </w:p>
        </w:tc>
        <w:tc>
          <w:tcPr>
            <w:tcW w:w="1078" w:type="dxa"/>
          </w:tcPr>
          <w:p w14:paraId="14CD2AE9" w14:textId="12ED1ED5" w:rsidR="009A2702" w:rsidRPr="009D4627" w:rsidRDefault="009A2702" w:rsidP="00CC31A9">
            <w:pPr>
              <w:spacing w:before="0" w:after="0" w:line="240" w:lineRule="auto"/>
              <w:jc w:val="left"/>
              <w:rPr>
                <w:color w:val="auto"/>
              </w:rPr>
            </w:pPr>
            <w:r w:rsidRPr="009D4627">
              <w:rPr>
                <w:color w:val="auto"/>
              </w:rPr>
              <w:t>0.012</w:t>
            </w:r>
            <w:r w:rsidR="00E71B72" w:rsidRPr="009D4627">
              <w:rPr>
                <w:color w:val="auto"/>
              </w:rPr>
              <w:t>*</w:t>
            </w:r>
          </w:p>
        </w:tc>
      </w:tr>
      <w:tr w:rsidR="00940AE5" w:rsidRPr="009D4627" w14:paraId="71474EC2" w14:textId="77777777" w:rsidTr="009A2702">
        <w:tc>
          <w:tcPr>
            <w:tcW w:w="1311" w:type="dxa"/>
            <w:vMerge/>
          </w:tcPr>
          <w:p w14:paraId="2F010169" w14:textId="77777777" w:rsidR="009A2702" w:rsidRPr="009D4627" w:rsidRDefault="009A2702" w:rsidP="00CC31A9">
            <w:pPr>
              <w:spacing w:before="0" w:after="0" w:line="240" w:lineRule="auto"/>
              <w:jc w:val="left"/>
              <w:rPr>
                <w:color w:val="auto"/>
              </w:rPr>
            </w:pPr>
          </w:p>
        </w:tc>
        <w:tc>
          <w:tcPr>
            <w:tcW w:w="2325" w:type="dxa"/>
          </w:tcPr>
          <w:p w14:paraId="549FE712" w14:textId="2ADB232E" w:rsidR="009A2702" w:rsidRPr="009D4627" w:rsidRDefault="009A2702" w:rsidP="00CC31A9">
            <w:pPr>
              <w:spacing w:before="0" w:after="0" w:line="240" w:lineRule="auto"/>
              <w:jc w:val="left"/>
              <w:rPr>
                <w:color w:val="auto"/>
              </w:rPr>
            </w:pPr>
            <w:proofErr w:type="spellStart"/>
            <w:r w:rsidRPr="009D4627">
              <w:rPr>
                <w:color w:val="auto"/>
              </w:rPr>
              <w:t>pGA</w:t>
            </w:r>
            <w:proofErr w:type="spellEnd"/>
          </w:p>
        </w:tc>
        <w:tc>
          <w:tcPr>
            <w:tcW w:w="1791" w:type="dxa"/>
          </w:tcPr>
          <w:p w14:paraId="157073C9" w14:textId="2AD54C21" w:rsidR="009A2702" w:rsidRPr="009D4627" w:rsidRDefault="009A2702" w:rsidP="00CC31A9">
            <w:pPr>
              <w:spacing w:before="0" w:after="0" w:line="240" w:lineRule="auto"/>
              <w:jc w:val="left"/>
              <w:rPr>
                <w:color w:val="auto"/>
              </w:rPr>
            </w:pPr>
            <w:r w:rsidRPr="009D4627">
              <w:rPr>
                <w:color w:val="auto"/>
              </w:rPr>
              <w:t>0.80 (0.14)</w:t>
            </w:r>
          </w:p>
        </w:tc>
        <w:tc>
          <w:tcPr>
            <w:tcW w:w="2511" w:type="dxa"/>
          </w:tcPr>
          <w:p w14:paraId="16169C1F" w14:textId="58490E7B" w:rsidR="009A2702" w:rsidRPr="009D4627" w:rsidRDefault="009A2702" w:rsidP="00CC31A9">
            <w:pPr>
              <w:spacing w:before="0" w:after="0" w:line="240" w:lineRule="auto"/>
              <w:jc w:val="left"/>
              <w:rPr>
                <w:color w:val="auto"/>
              </w:rPr>
            </w:pPr>
            <w:r w:rsidRPr="009D4627">
              <w:rPr>
                <w:color w:val="auto"/>
              </w:rPr>
              <w:t>0.73 (0.18)</w:t>
            </w:r>
          </w:p>
        </w:tc>
        <w:tc>
          <w:tcPr>
            <w:tcW w:w="1078" w:type="dxa"/>
          </w:tcPr>
          <w:p w14:paraId="7C700A47" w14:textId="2DC47DD0" w:rsidR="009A2702" w:rsidRPr="009D4627" w:rsidRDefault="009A2702" w:rsidP="00CC31A9">
            <w:pPr>
              <w:spacing w:before="0" w:after="0" w:line="240" w:lineRule="auto"/>
              <w:jc w:val="left"/>
              <w:rPr>
                <w:color w:val="auto"/>
              </w:rPr>
            </w:pPr>
            <w:r w:rsidRPr="009D4627">
              <w:rPr>
                <w:color w:val="auto"/>
              </w:rPr>
              <w:t>0.012</w:t>
            </w:r>
            <w:r w:rsidR="00E71B72" w:rsidRPr="009D4627">
              <w:rPr>
                <w:color w:val="auto"/>
              </w:rPr>
              <w:t>*</w:t>
            </w:r>
          </w:p>
        </w:tc>
      </w:tr>
      <w:tr w:rsidR="00940AE5" w:rsidRPr="009D4627" w14:paraId="59CC8B5E" w14:textId="77777777" w:rsidTr="009A2702">
        <w:tc>
          <w:tcPr>
            <w:tcW w:w="1311" w:type="dxa"/>
            <w:vMerge/>
          </w:tcPr>
          <w:p w14:paraId="57A56A2D" w14:textId="77777777" w:rsidR="009A2702" w:rsidRPr="009D4627" w:rsidRDefault="009A2702" w:rsidP="00CC31A9">
            <w:pPr>
              <w:spacing w:before="0" w:after="0" w:line="240" w:lineRule="auto"/>
              <w:jc w:val="left"/>
              <w:rPr>
                <w:color w:val="auto"/>
              </w:rPr>
            </w:pPr>
          </w:p>
        </w:tc>
        <w:tc>
          <w:tcPr>
            <w:tcW w:w="2325" w:type="dxa"/>
          </w:tcPr>
          <w:p w14:paraId="7FE72A5E" w14:textId="33E1527C" w:rsidR="009A2702" w:rsidRPr="009D4627" w:rsidRDefault="009A2702" w:rsidP="00CC31A9">
            <w:pPr>
              <w:spacing w:before="0" w:after="0" w:line="240" w:lineRule="auto"/>
              <w:jc w:val="left"/>
              <w:rPr>
                <w:color w:val="auto"/>
              </w:rPr>
            </w:pPr>
            <w:r w:rsidRPr="009D4627">
              <w:rPr>
                <w:color w:val="auto"/>
              </w:rPr>
              <w:t>SACC</w:t>
            </w:r>
          </w:p>
        </w:tc>
        <w:tc>
          <w:tcPr>
            <w:tcW w:w="1791" w:type="dxa"/>
          </w:tcPr>
          <w:p w14:paraId="6251592C" w14:textId="58F7239B" w:rsidR="009A2702" w:rsidRPr="009D4627" w:rsidRDefault="009A2702" w:rsidP="00CC31A9">
            <w:pPr>
              <w:spacing w:before="0" w:after="0" w:line="240" w:lineRule="auto"/>
              <w:jc w:val="left"/>
              <w:rPr>
                <w:color w:val="auto"/>
              </w:rPr>
            </w:pPr>
            <w:r w:rsidRPr="009D4627">
              <w:rPr>
                <w:color w:val="auto"/>
              </w:rPr>
              <w:t>11.72 (13.53)</w:t>
            </w:r>
          </w:p>
        </w:tc>
        <w:tc>
          <w:tcPr>
            <w:tcW w:w="2511" w:type="dxa"/>
          </w:tcPr>
          <w:p w14:paraId="65D6E518" w14:textId="499A8C87" w:rsidR="009A2702" w:rsidRPr="009D4627" w:rsidRDefault="009A2702" w:rsidP="00CC31A9">
            <w:pPr>
              <w:spacing w:before="0" w:after="0" w:line="240" w:lineRule="auto"/>
              <w:jc w:val="left"/>
              <w:rPr>
                <w:color w:val="auto"/>
              </w:rPr>
            </w:pPr>
            <w:r w:rsidRPr="009D4627">
              <w:rPr>
                <w:color w:val="auto"/>
              </w:rPr>
              <w:t>22.49 (21.52)</w:t>
            </w:r>
          </w:p>
        </w:tc>
        <w:tc>
          <w:tcPr>
            <w:tcW w:w="1078" w:type="dxa"/>
          </w:tcPr>
          <w:p w14:paraId="001FAA15" w14:textId="661B6363" w:rsidR="009A2702" w:rsidRPr="009D4627" w:rsidRDefault="009A2702" w:rsidP="00CC31A9">
            <w:pPr>
              <w:spacing w:before="0" w:after="0" w:line="240" w:lineRule="auto"/>
              <w:jc w:val="left"/>
              <w:rPr>
                <w:color w:val="auto"/>
              </w:rPr>
            </w:pPr>
            <w:r w:rsidRPr="009D4627">
              <w:rPr>
                <w:color w:val="auto"/>
              </w:rPr>
              <w:t>0.001</w:t>
            </w:r>
            <w:r w:rsidR="00E71B72" w:rsidRPr="009D4627">
              <w:rPr>
                <w:color w:val="auto"/>
              </w:rPr>
              <w:t>*</w:t>
            </w:r>
          </w:p>
        </w:tc>
      </w:tr>
      <w:tr w:rsidR="00940AE5" w:rsidRPr="009D4627" w14:paraId="4977044B" w14:textId="77777777" w:rsidTr="009A2702">
        <w:tc>
          <w:tcPr>
            <w:tcW w:w="1311" w:type="dxa"/>
            <w:vMerge w:val="restart"/>
          </w:tcPr>
          <w:p w14:paraId="170B87A5" w14:textId="652F0D75" w:rsidR="00F522B2" w:rsidRPr="009D4627" w:rsidRDefault="00F522B2" w:rsidP="00CC31A9">
            <w:pPr>
              <w:spacing w:before="0" w:after="0" w:line="240" w:lineRule="auto"/>
              <w:jc w:val="left"/>
              <w:rPr>
                <w:color w:val="auto"/>
              </w:rPr>
            </w:pPr>
            <w:r w:rsidRPr="009D4627">
              <w:rPr>
                <w:color w:val="auto"/>
              </w:rPr>
              <w:t>0.1 Hz</w:t>
            </w:r>
          </w:p>
        </w:tc>
        <w:tc>
          <w:tcPr>
            <w:tcW w:w="2325" w:type="dxa"/>
          </w:tcPr>
          <w:p w14:paraId="305F756C" w14:textId="7D9092C0" w:rsidR="00F522B2" w:rsidRPr="009D4627" w:rsidRDefault="00F522B2" w:rsidP="00CC31A9">
            <w:pPr>
              <w:spacing w:before="0" w:after="0" w:line="240" w:lineRule="auto"/>
              <w:jc w:val="left"/>
              <w:rPr>
                <w:color w:val="auto"/>
              </w:rPr>
            </w:pPr>
            <w:r w:rsidRPr="009D4627">
              <w:rPr>
                <w:color w:val="auto"/>
              </w:rPr>
              <w:t>PV (10°/sec)</w:t>
            </w:r>
          </w:p>
        </w:tc>
        <w:tc>
          <w:tcPr>
            <w:tcW w:w="1791" w:type="dxa"/>
          </w:tcPr>
          <w:p w14:paraId="592877B7" w14:textId="3A60D409" w:rsidR="00F522B2" w:rsidRPr="009D4627" w:rsidRDefault="00F522B2" w:rsidP="00CC31A9">
            <w:pPr>
              <w:spacing w:before="0" w:after="0" w:line="240" w:lineRule="auto"/>
              <w:jc w:val="left"/>
              <w:rPr>
                <w:color w:val="auto"/>
              </w:rPr>
            </w:pPr>
            <w:r w:rsidRPr="009D4627">
              <w:rPr>
                <w:color w:val="auto"/>
              </w:rPr>
              <w:t>7.59 (1.51)</w:t>
            </w:r>
          </w:p>
        </w:tc>
        <w:tc>
          <w:tcPr>
            <w:tcW w:w="2511" w:type="dxa"/>
          </w:tcPr>
          <w:p w14:paraId="00858C43" w14:textId="7094AC43" w:rsidR="00F522B2" w:rsidRPr="009D4627" w:rsidRDefault="00F522B2" w:rsidP="00CC31A9">
            <w:pPr>
              <w:spacing w:before="0" w:after="0" w:line="240" w:lineRule="auto"/>
              <w:jc w:val="left"/>
              <w:rPr>
                <w:color w:val="auto"/>
              </w:rPr>
            </w:pPr>
            <w:r w:rsidRPr="009D4627">
              <w:rPr>
                <w:color w:val="auto"/>
              </w:rPr>
              <w:t>6.90 (2.00)</w:t>
            </w:r>
          </w:p>
        </w:tc>
        <w:tc>
          <w:tcPr>
            <w:tcW w:w="1078" w:type="dxa"/>
          </w:tcPr>
          <w:p w14:paraId="1E62A595" w14:textId="43C0AA1A" w:rsidR="00F522B2" w:rsidRPr="009D4627" w:rsidRDefault="00F522B2" w:rsidP="00CC31A9">
            <w:pPr>
              <w:spacing w:before="0" w:after="0" w:line="240" w:lineRule="auto"/>
              <w:jc w:val="left"/>
              <w:rPr>
                <w:color w:val="auto"/>
              </w:rPr>
            </w:pPr>
            <w:r w:rsidRPr="009D4627">
              <w:rPr>
                <w:color w:val="auto"/>
              </w:rPr>
              <w:t>0.027</w:t>
            </w:r>
            <w:r w:rsidR="00E71B72" w:rsidRPr="009D4627">
              <w:rPr>
                <w:color w:val="auto"/>
              </w:rPr>
              <w:t>*</w:t>
            </w:r>
          </w:p>
        </w:tc>
      </w:tr>
      <w:tr w:rsidR="00940AE5" w:rsidRPr="009D4627" w14:paraId="238BA061" w14:textId="77777777" w:rsidTr="009A2702">
        <w:tc>
          <w:tcPr>
            <w:tcW w:w="1311" w:type="dxa"/>
            <w:vMerge/>
          </w:tcPr>
          <w:p w14:paraId="645DF4F3" w14:textId="77777777" w:rsidR="00F522B2" w:rsidRPr="009D4627" w:rsidRDefault="00F522B2" w:rsidP="00CC31A9">
            <w:pPr>
              <w:spacing w:before="0" w:after="0" w:line="240" w:lineRule="auto"/>
              <w:jc w:val="left"/>
              <w:rPr>
                <w:color w:val="auto"/>
              </w:rPr>
            </w:pPr>
          </w:p>
        </w:tc>
        <w:tc>
          <w:tcPr>
            <w:tcW w:w="2325" w:type="dxa"/>
          </w:tcPr>
          <w:p w14:paraId="038AEC04" w14:textId="6AC67754" w:rsidR="00F522B2" w:rsidRPr="009D4627" w:rsidRDefault="00F522B2" w:rsidP="00CC31A9">
            <w:pPr>
              <w:spacing w:before="0" w:after="0" w:line="240" w:lineRule="auto"/>
              <w:jc w:val="left"/>
              <w:rPr>
                <w:color w:val="auto"/>
              </w:rPr>
            </w:pPr>
            <w:proofErr w:type="spellStart"/>
            <w:r w:rsidRPr="009D4627">
              <w:rPr>
                <w:color w:val="auto"/>
              </w:rPr>
              <w:t>pGA</w:t>
            </w:r>
            <w:proofErr w:type="spellEnd"/>
          </w:p>
        </w:tc>
        <w:tc>
          <w:tcPr>
            <w:tcW w:w="1791" w:type="dxa"/>
          </w:tcPr>
          <w:p w14:paraId="038D11D9" w14:textId="2D72B30C" w:rsidR="00F522B2" w:rsidRPr="009D4627" w:rsidRDefault="00F522B2" w:rsidP="00CC31A9">
            <w:pPr>
              <w:spacing w:before="0" w:after="0" w:line="240" w:lineRule="auto"/>
              <w:jc w:val="left"/>
              <w:rPr>
                <w:color w:val="auto"/>
              </w:rPr>
            </w:pPr>
            <w:r w:rsidRPr="009D4627">
              <w:rPr>
                <w:color w:val="auto"/>
              </w:rPr>
              <w:t>0.76 (0.14)</w:t>
            </w:r>
          </w:p>
        </w:tc>
        <w:tc>
          <w:tcPr>
            <w:tcW w:w="2511" w:type="dxa"/>
          </w:tcPr>
          <w:p w14:paraId="55F274BE" w14:textId="585B4EA7" w:rsidR="00F522B2" w:rsidRPr="009D4627" w:rsidRDefault="00F522B2" w:rsidP="00CC31A9">
            <w:pPr>
              <w:spacing w:before="0" w:after="0" w:line="240" w:lineRule="auto"/>
              <w:jc w:val="left"/>
              <w:rPr>
                <w:color w:val="auto"/>
              </w:rPr>
            </w:pPr>
            <w:r w:rsidRPr="009D4627">
              <w:rPr>
                <w:color w:val="auto"/>
              </w:rPr>
              <w:t>0.68 (0.20)</w:t>
            </w:r>
          </w:p>
        </w:tc>
        <w:tc>
          <w:tcPr>
            <w:tcW w:w="1078" w:type="dxa"/>
          </w:tcPr>
          <w:p w14:paraId="51757EBB" w14:textId="514A78D1" w:rsidR="00F522B2" w:rsidRPr="009D4627" w:rsidRDefault="00F522B2" w:rsidP="00CC31A9">
            <w:pPr>
              <w:spacing w:before="0" w:after="0" w:line="240" w:lineRule="auto"/>
              <w:jc w:val="left"/>
              <w:rPr>
                <w:color w:val="auto"/>
              </w:rPr>
            </w:pPr>
            <w:r w:rsidRPr="009D4627">
              <w:rPr>
                <w:color w:val="auto"/>
              </w:rPr>
              <w:t>0.014</w:t>
            </w:r>
            <w:r w:rsidR="00E71B72" w:rsidRPr="009D4627">
              <w:rPr>
                <w:color w:val="auto"/>
              </w:rPr>
              <w:t>*</w:t>
            </w:r>
          </w:p>
        </w:tc>
      </w:tr>
      <w:tr w:rsidR="00940AE5" w:rsidRPr="009D4627" w14:paraId="682D007F" w14:textId="77777777" w:rsidTr="009A2702">
        <w:tc>
          <w:tcPr>
            <w:tcW w:w="1311" w:type="dxa"/>
            <w:vMerge/>
          </w:tcPr>
          <w:p w14:paraId="130BCC1E" w14:textId="77777777" w:rsidR="00F522B2" w:rsidRPr="009D4627" w:rsidRDefault="00F522B2" w:rsidP="00CC31A9">
            <w:pPr>
              <w:spacing w:before="0" w:after="0" w:line="240" w:lineRule="auto"/>
              <w:jc w:val="left"/>
              <w:rPr>
                <w:color w:val="auto"/>
              </w:rPr>
            </w:pPr>
          </w:p>
        </w:tc>
        <w:tc>
          <w:tcPr>
            <w:tcW w:w="2325" w:type="dxa"/>
          </w:tcPr>
          <w:p w14:paraId="46A26394" w14:textId="5ADCCD25" w:rsidR="00F522B2" w:rsidRPr="009D4627" w:rsidRDefault="00F522B2" w:rsidP="00CC31A9">
            <w:pPr>
              <w:spacing w:before="0" w:after="0" w:line="240" w:lineRule="auto"/>
              <w:jc w:val="left"/>
              <w:rPr>
                <w:color w:val="auto"/>
              </w:rPr>
            </w:pPr>
            <w:r w:rsidRPr="009D4627">
              <w:rPr>
                <w:color w:val="auto"/>
              </w:rPr>
              <w:t>SACC</w:t>
            </w:r>
          </w:p>
        </w:tc>
        <w:tc>
          <w:tcPr>
            <w:tcW w:w="1791" w:type="dxa"/>
          </w:tcPr>
          <w:p w14:paraId="5ED305F2" w14:textId="24B1C816" w:rsidR="00F522B2" w:rsidRPr="009D4627" w:rsidRDefault="00F522B2" w:rsidP="00CC31A9">
            <w:pPr>
              <w:spacing w:before="0" w:after="0" w:line="240" w:lineRule="auto"/>
              <w:jc w:val="left"/>
              <w:rPr>
                <w:color w:val="auto"/>
              </w:rPr>
            </w:pPr>
            <w:r w:rsidRPr="009D4627">
              <w:rPr>
                <w:color w:val="auto"/>
              </w:rPr>
              <w:t>7.18 (10.88)</w:t>
            </w:r>
          </w:p>
        </w:tc>
        <w:tc>
          <w:tcPr>
            <w:tcW w:w="2511" w:type="dxa"/>
          </w:tcPr>
          <w:p w14:paraId="6098054E" w14:textId="399056CC" w:rsidR="00F522B2" w:rsidRPr="009D4627" w:rsidRDefault="00F522B2" w:rsidP="00CC31A9">
            <w:pPr>
              <w:spacing w:before="0" w:after="0" w:line="240" w:lineRule="auto"/>
              <w:jc w:val="left"/>
              <w:rPr>
                <w:color w:val="auto"/>
              </w:rPr>
            </w:pPr>
            <w:r w:rsidRPr="009D4627">
              <w:rPr>
                <w:color w:val="auto"/>
              </w:rPr>
              <w:t>17.89 (1.86)</w:t>
            </w:r>
          </w:p>
        </w:tc>
        <w:tc>
          <w:tcPr>
            <w:tcW w:w="1078" w:type="dxa"/>
          </w:tcPr>
          <w:p w14:paraId="43106CDC" w14:textId="3109CDCE" w:rsidR="00F522B2" w:rsidRPr="009D4627" w:rsidRDefault="00F522B2" w:rsidP="00CC31A9">
            <w:pPr>
              <w:spacing w:before="0" w:after="0" w:line="240" w:lineRule="auto"/>
              <w:jc w:val="left"/>
              <w:rPr>
                <w:color w:val="auto"/>
              </w:rPr>
            </w:pPr>
            <w:r w:rsidRPr="009D4627">
              <w:rPr>
                <w:color w:val="auto"/>
              </w:rPr>
              <w:t>0.000</w:t>
            </w:r>
            <w:r w:rsidR="00E71B72" w:rsidRPr="009D4627">
              <w:rPr>
                <w:color w:val="auto"/>
              </w:rPr>
              <w:t>*</w:t>
            </w:r>
          </w:p>
        </w:tc>
      </w:tr>
    </w:tbl>
    <w:p w14:paraId="5685A9AD" w14:textId="674767DD" w:rsidR="001C44D0" w:rsidRPr="009D4627" w:rsidRDefault="001C44D0" w:rsidP="00F522B2">
      <w:pPr>
        <w:spacing w:before="0" w:after="0" w:line="240" w:lineRule="auto"/>
      </w:pPr>
      <w:r w:rsidRPr="009D4627">
        <w:t xml:space="preserve">SD = standard deviation, PV = peak velocity, </w:t>
      </w:r>
      <w:proofErr w:type="spellStart"/>
      <w:r w:rsidRPr="009D4627">
        <w:t>pGA</w:t>
      </w:r>
      <w:proofErr w:type="spellEnd"/>
      <w:r w:rsidRPr="009D4627">
        <w:t xml:space="preserve"> = peak gain, </w:t>
      </w:r>
      <w:r w:rsidR="00F522B2" w:rsidRPr="009D4627">
        <w:t xml:space="preserve">SACC = number of saccades. </w:t>
      </w:r>
    </w:p>
    <w:p w14:paraId="7A8494DF" w14:textId="77777777" w:rsidR="001262AA" w:rsidRPr="009D4627" w:rsidRDefault="00F522B2" w:rsidP="00E71B72">
      <w:pPr>
        <w:spacing w:before="0" w:after="0" w:line="240" w:lineRule="auto"/>
      </w:pPr>
      <w:r w:rsidRPr="009D4627">
        <w:rPr>
          <w:color w:val="auto"/>
          <w:vertAlign w:val="superscript"/>
        </w:rPr>
        <w:t>1</w:t>
      </w:r>
      <w:r w:rsidRPr="009D4627">
        <w:t xml:space="preserve"> </w:t>
      </w:r>
      <w:r w:rsidR="00E71B72" w:rsidRPr="009D4627">
        <w:t>= b</w:t>
      </w:r>
      <w:r w:rsidRPr="009D4627">
        <w:t xml:space="preserve">ased on </w:t>
      </w:r>
      <w:r w:rsidRPr="009D4627">
        <w:rPr>
          <w:i/>
          <w:iCs/>
        </w:rPr>
        <w:t>t</w:t>
      </w:r>
      <w:r w:rsidRPr="009D4627">
        <w:t>-test</w:t>
      </w:r>
      <w:r w:rsidR="001262AA" w:rsidRPr="009D4627">
        <w:t xml:space="preserve">; </w:t>
      </w:r>
    </w:p>
    <w:p w14:paraId="4C4A45C0" w14:textId="4B5034C2" w:rsidR="00E71B72" w:rsidRPr="009D4627" w:rsidRDefault="00E71B72" w:rsidP="00E71B72">
      <w:pPr>
        <w:spacing w:before="0" w:after="0" w:line="240" w:lineRule="auto"/>
      </w:pPr>
      <w:r w:rsidRPr="009D4627">
        <w:t xml:space="preserve">*Data are significant </w:t>
      </w:r>
      <w:r w:rsidR="001262AA" w:rsidRPr="009D4627">
        <w:t>at p&lt;0.05</w:t>
      </w:r>
    </w:p>
    <w:p w14:paraId="735B3C2D" w14:textId="77777777" w:rsidR="00E71B72" w:rsidRPr="009D4627" w:rsidRDefault="00E71B72" w:rsidP="00E71B72">
      <w:pPr>
        <w:spacing w:before="0" w:line="240" w:lineRule="auto"/>
      </w:pPr>
    </w:p>
    <w:p w14:paraId="739A2C45" w14:textId="77777777" w:rsidR="00547D87" w:rsidRPr="009D4627" w:rsidRDefault="00547D87" w:rsidP="00D04E3B">
      <w:pPr>
        <w:pStyle w:val="Heading2"/>
      </w:pPr>
      <w:bookmarkStart w:id="110" w:name="_Toc98964629"/>
      <w:bookmarkStart w:id="111" w:name="_Toc103344674"/>
      <w:r w:rsidRPr="009D4627">
        <w:t>Ocular nerve palsies</w:t>
      </w:r>
      <w:bookmarkEnd w:id="110"/>
      <w:bookmarkEnd w:id="111"/>
    </w:p>
    <w:p w14:paraId="5451EC65" w14:textId="3787A734" w:rsidR="00547D87" w:rsidRPr="009D4627" w:rsidRDefault="00547D87" w:rsidP="00390EBC">
      <w:r w:rsidRPr="009D4627">
        <w:t>Three nerve</w:t>
      </w:r>
      <w:r w:rsidR="00F522B2" w:rsidRPr="009D4627">
        <w:t>s</w:t>
      </w:r>
      <w:r w:rsidRPr="009D4627">
        <w:t xml:space="preserve"> innervate eye movements</w:t>
      </w:r>
      <w:r w:rsidR="00F522B2" w:rsidRPr="009D4627">
        <w:t>:</w:t>
      </w:r>
      <w:r w:rsidRPr="009D4627">
        <w:t xml:space="preserve"> cranial nerve three (CN III)</w:t>
      </w:r>
      <w:r w:rsidR="00AE6F60" w:rsidRPr="009D4627">
        <w:t>,</w:t>
      </w:r>
      <w:r w:rsidRPr="009D4627">
        <w:t xml:space="preserve"> four (IV</w:t>
      </w:r>
      <w:r w:rsidR="00F522B2" w:rsidRPr="009D4627">
        <w:t>)</w:t>
      </w:r>
      <w:r w:rsidR="00AE6F60" w:rsidRPr="009D4627">
        <w:t>,</w:t>
      </w:r>
      <w:r w:rsidRPr="009D4627">
        <w:t xml:space="preserve"> and six (VI). The clinical presentations of ocular nerve palsies will be reviewed to explore the potential importance of </w:t>
      </w:r>
      <w:r w:rsidR="00F937E9" w:rsidRPr="009D4627">
        <w:t>EMR</w:t>
      </w:r>
      <w:r w:rsidRPr="009D4627">
        <w:t xml:space="preserve"> in this </w:t>
      </w:r>
      <w:proofErr w:type="gramStart"/>
      <w:r w:rsidRPr="009D4627">
        <w:t>particular group</w:t>
      </w:r>
      <w:proofErr w:type="gramEnd"/>
      <w:r w:rsidRPr="009D4627">
        <w:t xml:space="preserve"> of patients. The aetiology of ocular nerve palsies will </w:t>
      </w:r>
      <w:r w:rsidR="00F522B2" w:rsidRPr="009D4627">
        <w:t xml:space="preserve">also </w:t>
      </w:r>
      <w:r w:rsidRPr="009D4627">
        <w:t xml:space="preserve">be reviewed to explain the </w:t>
      </w:r>
      <w:r w:rsidR="00F522B2" w:rsidRPr="009D4627">
        <w:t>PhD’s</w:t>
      </w:r>
      <w:r w:rsidRPr="009D4627">
        <w:t xml:space="preserve"> relevance in detecting eye movement disorders, indicating the specific aetiologies and </w:t>
      </w:r>
      <w:r w:rsidR="00D91DC7" w:rsidRPr="009D4627">
        <w:t>signal</w:t>
      </w:r>
      <w:r w:rsidR="00F522B2" w:rsidRPr="009D4627">
        <w:t>s</w:t>
      </w:r>
      <w:r w:rsidRPr="009D4627">
        <w:t xml:space="preserve"> for early intervention. </w:t>
      </w:r>
    </w:p>
    <w:p w14:paraId="61DCED13" w14:textId="77777777" w:rsidR="00547D87" w:rsidRPr="009D4627" w:rsidRDefault="00547D87" w:rsidP="00D04E3B">
      <w:pPr>
        <w:pStyle w:val="Heading2"/>
      </w:pPr>
      <w:bookmarkStart w:id="112" w:name="_Toc98964630"/>
      <w:bookmarkStart w:id="113" w:name="_Toc103344675"/>
      <w:r w:rsidRPr="009D4627">
        <w:lastRenderedPageBreak/>
        <w:t>Types of ocular nerve palsies</w:t>
      </w:r>
      <w:bookmarkEnd w:id="112"/>
      <w:bookmarkEnd w:id="113"/>
    </w:p>
    <w:p w14:paraId="0919C54D" w14:textId="12FCD3B6" w:rsidR="00547D87" w:rsidRPr="009D4627" w:rsidRDefault="00AE6F60" w:rsidP="00390EBC">
      <w:r w:rsidRPr="009D4627">
        <w:t>CN III</w:t>
      </w:r>
      <w:r w:rsidR="00547D87" w:rsidRPr="009D4627">
        <w:t xml:space="preserve"> consists of somatic and visceral motor components. The somatic component innervates four out of </w:t>
      </w:r>
      <w:r w:rsidR="00F522B2" w:rsidRPr="009D4627">
        <w:t xml:space="preserve">the </w:t>
      </w:r>
      <w:r w:rsidR="00547D87" w:rsidRPr="009D4627">
        <w:t>six extraocular muscles</w:t>
      </w:r>
      <w:r w:rsidRPr="009D4627">
        <w:t>:</w:t>
      </w:r>
      <w:r w:rsidR="00547D87" w:rsidRPr="009D4627">
        <w:t xml:space="preserve"> the medial rectus, superior rectus, inferior oblique, and inferior rectus </w:t>
      </w:r>
      <w:r w:rsidR="00547D87" w:rsidRPr="009D4627">
        <w:fldChar w:fldCharType="begin"/>
      </w:r>
      <w:r w:rsidR="00547D87" w:rsidRPr="009D4627">
        <w:instrText xml:space="preserve"> ADDIN EN.CITE &lt;EndNote&gt;&lt;Cite&gt;&lt;Author&gt;Wilson-Pauwels&lt;/Author&gt;&lt;Year&gt;2002&lt;/Year&gt;&lt;IDText&gt;Cranial nerves : In health and disease&lt;/IDText&gt;&lt;DisplayText&gt;(Wilson-Pauwels, 2002)&lt;/DisplayText&gt;&lt;record&gt;&lt;keywords&gt;&lt;keyword&gt;Nerves, Cranial&lt;/keyword&gt;&lt;keyword&gt;Cranial nerves&lt;/keyword&gt;&lt;keyword&gt;Nerves, Peripheral&lt;/keyword&gt;&lt;/keywords&gt;&lt;titles&gt;&lt;title&gt;Cranial nerves : In health and disease&lt;/title&gt;&lt;/titles&gt;&lt;contributors&gt;&lt;authors&gt;&lt;author&gt;Wilson-Pauwels, Linda&lt;/author&gt;&lt;/authors&gt;&lt;/contributors&gt;&lt;edition&gt;2nd&lt;/edition&gt;&lt;added-date format="utc"&gt;1497451771&lt;/added-date&gt;&lt;pub-location&gt;Hamilton, Ont. ; London&lt;/pub-location&gt;&lt;ref-type name="Book"&gt;6&lt;/ref-type&gt;&lt;dates&gt;&lt;year&gt;2002&lt;/year&gt;&lt;/dates&gt;&lt;rec-number&gt;123&lt;/rec-number&gt;&lt;last-updated-date format="utc"&gt;1571739886&lt;/last-updated-date&gt;&lt;/record&gt;&lt;/Cite&gt;&lt;/EndNote&gt;</w:instrText>
      </w:r>
      <w:r w:rsidR="00547D87" w:rsidRPr="009D4627">
        <w:fldChar w:fldCharType="separate"/>
      </w:r>
      <w:r w:rsidR="00547D87" w:rsidRPr="009D4627">
        <w:rPr>
          <w:noProof/>
        </w:rPr>
        <w:t>(Wilson-Pauwels, 2002)</w:t>
      </w:r>
      <w:r w:rsidR="00547D87" w:rsidRPr="009D4627">
        <w:fldChar w:fldCharType="end"/>
      </w:r>
      <w:r w:rsidR="00547D87" w:rsidRPr="009D4627">
        <w:t xml:space="preserve">. They are responsible for the eye's movement into adduction, elevation, depression, and torsional movements. Additionally, it supplies the </w:t>
      </w:r>
      <w:proofErr w:type="spellStart"/>
      <w:r w:rsidR="00547D87" w:rsidRPr="009D4627">
        <w:t>levator</w:t>
      </w:r>
      <w:proofErr w:type="spellEnd"/>
      <w:r w:rsidR="00547D87" w:rsidRPr="009D4627">
        <w:t xml:space="preserve"> palpebral superioris to elevate the upper eyelid. </w:t>
      </w:r>
      <w:r w:rsidR="00F522B2" w:rsidRPr="009D4627">
        <w:t xml:space="preserve">Meanwhile, the visceral component innervates the constrictor pupillae and ciliary muscles responsible for controlling pupil miosis and accommodation (focusing power of the eye while engaging in near tasks), respectively. A complete </w:t>
      </w:r>
      <w:r w:rsidRPr="009D4627">
        <w:t>CN III</w:t>
      </w:r>
      <w:r w:rsidR="00F522B2" w:rsidRPr="009D4627">
        <w:t xml:space="preserve"> palsy causes the affected eye to present with limitation of adduction, elevation, and depression, with complete ptosis and a dilated pupil. Meanwhile, a partial </w:t>
      </w:r>
      <w:r w:rsidRPr="009D4627">
        <w:t>CN III</w:t>
      </w:r>
      <w:r w:rsidR="00F522B2" w:rsidRPr="009D4627">
        <w:t xml:space="preserve"> palsy may involve these gaze directions with var</w:t>
      </w:r>
      <w:r w:rsidRPr="009D4627">
        <w:t>ying</w:t>
      </w:r>
      <w:r w:rsidR="00F522B2" w:rsidRPr="009D4627">
        <w:t xml:space="preserve"> severity, with or without pupillary involvement </w:t>
      </w:r>
      <w:r w:rsidR="00547D87" w:rsidRPr="009D4627">
        <w:fldChar w:fldCharType="begin"/>
      </w:r>
      <w:r w:rsidR="00547D87" w:rsidRPr="009D4627">
        <w:instrText xml:space="preserve"> ADDIN EN.CITE &lt;EndNote&gt;&lt;Cite&gt;&lt;Author&gt;Rucker&lt;/Author&gt;&lt;Year&gt;2007&lt;/Year&gt;&lt;IDText&gt;Oculomotor Disorders&lt;/IDText&gt;&lt;DisplayText&gt;(Rucker, 2007)&lt;/DisplayText&gt;&lt;record&gt;&lt;keywords&gt;&lt;keyword&gt;Eye movements,&lt;/keyword&gt;&lt;keyword&gt;Binocular diplopia,&lt;/keyword&gt;&lt;keyword&gt;Oscillopsia,&lt;/keyword&gt;&lt;keyword&gt;Nystagmus&lt;/keyword&gt;&lt;/keywords&gt;&lt;isbn&gt;0271-8235&lt;/isbn&gt;&lt;titles&gt;&lt;title&gt;Oculomotor Disorders&lt;/title&gt;&lt;secondary-title&gt;Seminars in Neurology&lt;/secondary-title&gt;&lt;/titles&gt;&lt;pages&gt;14&lt;/pages&gt;&lt;number&gt;3&lt;/number&gt;&lt;contributors&gt;&lt;authors&gt;&lt;author&gt;Rucker, Janet C.&lt;/author&gt;&lt;/authors&gt;&lt;/contributors&gt;&lt;section&gt;244&lt;/section&gt;&lt;custom7&gt;3&lt;/custom7&gt;&lt;added-date format="utc"&gt;1502783244&lt;/added-date&gt;&lt;ref-type name="Journal Article"&gt;17&lt;/ref-type&gt;&lt;auth-address&gt;Department of Neurological Sciences, Rush University, Chicago, Illinois&lt;/auth-address&gt;&lt;dates&gt;&lt;year&gt;2007&lt;/year&gt;&lt;/dates&gt;&lt;rec-number&gt;182&lt;/rec-number&gt;&lt;last-updated-date format="utc"&gt;1502783677&lt;/last-updated-date&gt;&lt;electronic-resource-num&gt;10.1055/s-2007-979682&lt;/electronic-resource-num&gt;&lt;volume&gt;27&lt;/volume&gt;&lt;/record&gt;&lt;/Cite&gt;&lt;/EndNote&gt;</w:instrText>
      </w:r>
      <w:r w:rsidR="00547D87" w:rsidRPr="009D4627">
        <w:fldChar w:fldCharType="separate"/>
      </w:r>
      <w:r w:rsidR="00547D87" w:rsidRPr="009D4627">
        <w:rPr>
          <w:noProof/>
        </w:rPr>
        <w:t>(Rucker, 2007)</w:t>
      </w:r>
      <w:r w:rsidR="00547D87" w:rsidRPr="009D4627">
        <w:fldChar w:fldCharType="end"/>
      </w:r>
      <w:r w:rsidR="00547D87" w:rsidRPr="009D4627">
        <w:t xml:space="preserve">. </w:t>
      </w:r>
    </w:p>
    <w:p w14:paraId="11A84D9E" w14:textId="77777777" w:rsidR="00177A0D" w:rsidRPr="009D4627" w:rsidRDefault="00177A0D" w:rsidP="00390EBC">
      <w:r w:rsidRPr="009D4627">
        <w:t xml:space="preserve">CN IV only has a somatic motor element supplying the superior oblique muscle, which depresses, intorts, and abducts the eye as a prime mover. Thus, a CN IV palsy causes </w:t>
      </w:r>
      <w:proofErr w:type="spellStart"/>
      <w:r w:rsidRPr="009D4627">
        <w:t>underaction</w:t>
      </w:r>
      <w:proofErr w:type="spellEnd"/>
      <w:r w:rsidRPr="009D4627">
        <w:t xml:space="preserve"> of the superior oblique muscle</w:t>
      </w:r>
      <w:r w:rsidR="00547D87" w:rsidRPr="009D4627">
        <w:t xml:space="preserve"> </w:t>
      </w:r>
      <w:r w:rsidR="00547D87" w:rsidRPr="009D4627">
        <w:fldChar w:fldCharType="begin"/>
      </w:r>
      <w:r w:rsidR="00547D87" w:rsidRPr="009D4627">
        <w:instrText xml:space="preserve"> ADDIN EN.CITE &lt;EndNote&gt;&lt;Cite&gt;&lt;Author&gt;Rucker&lt;/Author&gt;&lt;Year&gt;2007&lt;/Year&gt;&lt;IDText&gt;Oculomotor Disorders&lt;/IDText&gt;&lt;DisplayText&gt;(Rucker, 2007)&lt;/DisplayText&gt;&lt;record&gt;&lt;keywords&gt;&lt;keyword&gt;Eye movements,&lt;/keyword&gt;&lt;keyword&gt;Binocular diplopia,&lt;/keyword&gt;&lt;keyword&gt;Oscillopsia,&lt;/keyword&gt;&lt;keyword&gt;Nystagmus&lt;/keyword&gt;&lt;/keywords&gt;&lt;isbn&gt;0271-8235&lt;/isbn&gt;&lt;titles&gt;&lt;title&gt;Oculomotor Disorders&lt;/title&gt;&lt;secondary-title&gt;Seminars in Neurology&lt;/secondary-title&gt;&lt;/titles&gt;&lt;pages&gt;14&lt;/pages&gt;&lt;number&gt;3&lt;/number&gt;&lt;contributors&gt;&lt;authors&gt;&lt;author&gt;Rucker, Janet C.&lt;/author&gt;&lt;/authors&gt;&lt;/contributors&gt;&lt;section&gt;244&lt;/section&gt;&lt;custom7&gt;3&lt;/custom7&gt;&lt;added-date format="utc"&gt;1502783244&lt;/added-date&gt;&lt;ref-type name="Journal Article"&gt;17&lt;/ref-type&gt;&lt;auth-address&gt;Department of Neurological Sciences, Rush University, Chicago, Illinois&lt;/auth-address&gt;&lt;dates&gt;&lt;year&gt;2007&lt;/year&gt;&lt;/dates&gt;&lt;rec-number&gt;182&lt;/rec-number&gt;&lt;last-updated-date format="utc"&gt;1502783677&lt;/last-updated-date&gt;&lt;electronic-resource-num&gt;10.1055/s-2007-979682&lt;/electronic-resource-num&gt;&lt;volume&gt;27&lt;/volume&gt;&lt;/record&gt;&lt;/Cite&gt;&lt;/EndNote&gt;</w:instrText>
      </w:r>
      <w:r w:rsidR="00547D87" w:rsidRPr="009D4627">
        <w:fldChar w:fldCharType="separate"/>
      </w:r>
      <w:r w:rsidR="00547D87" w:rsidRPr="009D4627">
        <w:rPr>
          <w:noProof/>
        </w:rPr>
        <w:t>(Rucker, 2007)</w:t>
      </w:r>
      <w:r w:rsidR="00547D87" w:rsidRPr="009D4627">
        <w:fldChar w:fldCharType="end"/>
      </w:r>
      <w:r w:rsidR="00547D87" w:rsidRPr="009D4627">
        <w:t xml:space="preserve">. </w:t>
      </w:r>
    </w:p>
    <w:p w14:paraId="34954D35" w14:textId="2BC614E0" w:rsidR="00547D87" w:rsidRPr="009D4627" w:rsidRDefault="00AE6F60" w:rsidP="00390EBC">
      <w:r w:rsidRPr="009D4627">
        <w:t>CN VI</w:t>
      </w:r>
      <w:r w:rsidR="00547D87" w:rsidRPr="009D4627">
        <w:t xml:space="preserve"> also innervates somatic motor elements only</w:t>
      </w:r>
      <w:r w:rsidR="00177A0D" w:rsidRPr="009D4627">
        <w:t xml:space="preserve"> to</w:t>
      </w:r>
      <w:r w:rsidR="00547D87" w:rsidRPr="009D4627">
        <w:t xml:space="preserve"> the lateral rectus muscle to abduct the eye </w:t>
      </w:r>
      <w:r w:rsidR="00547D87" w:rsidRPr="009D4627">
        <w:fldChar w:fldCharType="begin"/>
      </w:r>
      <w:r w:rsidR="00547D87" w:rsidRPr="009D4627">
        <w:instrText xml:space="preserve"> ADDIN EN.CITE &lt;EndNote&gt;&lt;Cite&gt;&lt;Author&gt;Wilson-Pauwels&lt;/Author&gt;&lt;Year&gt;2002&lt;/Year&gt;&lt;IDText&gt;Cranial nerves : In health and disease&lt;/IDText&gt;&lt;DisplayText&gt;(Wilson-Pauwels, 2002)&lt;/DisplayText&gt;&lt;record&gt;&lt;keywords&gt;&lt;keyword&gt;Nerves, Cranial&lt;/keyword&gt;&lt;keyword&gt;Cranial nerves&lt;/keyword&gt;&lt;keyword&gt;Nerves, Peripheral&lt;/keyword&gt;&lt;/keywords&gt;&lt;titles&gt;&lt;title&gt;Cranial nerves : In health and disease&lt;/title&gt;&lt;/titles&gt;&lt;contributors&gt;&lt;authors&gt;&lt;author&gt;Wilson-Pauwels, Linda&lt;/author&gt;&lt;/authors&gt;&lt;/contributors&gt;&lt;edition&gt;2nd&lt;/edition&gt;&lt;added-date format="utc"&gt;1497451771&lt;/added-date&gt;&lt;pub-location&gt;Hamilton, Ont. ; London&lt;/pub-location&gt;&lt;ref-type name="Book"&gt;6&lt;/ref-type&gt;&lt;dates&gt;&lt;year&gt;2002&lt;/year&gt;&lt;/dates&gt;&lt;rec-number&gt;123&lt;/rec-number&gt;&lt;last-updated-date format="utc"&gt;1571739886&lt;/last-updated-date&gt;&lt;/record&gt;&lt;/Cite&gt;&lt;/EndNote&gt;</w:instrText>
      </w:r>
      <w:r w:rsidR="00547D87" w:rsidRPr="009D4627">
        <w:fldChar w:fldCharType="separate"/>
      </w:r>
      <w:r w:rsidR="00547D87" w:rsidRPr="009D4627">
        <w:rPr>
          <w:noProof/>
        </w:rPr>
        <w:t>(Wilson-Pauwels, 2002)</w:t>
      </w:r>
      <w:r w:rsidR="00547D87" w:rsidRPr="009D4627">
        <w:fldChar w:fldCharType="end"/>
      </w:r>
      <w:r w:rsidR="00547D87" w:rsidRPr="009D4627">
        <w:t xml:space="preserve">. </w:t>
      </w:r>
      <w:r w:rsidR="00177A0D" w:rsidRPr="009D4627">
        <w:t>Lesions of this nerve cause</w:t>
      </w:r>
      <w:r w:rsidRPr="009D4627">
        <w:t>s</w:t>
      </w:r>
      <w:r w:rsidR="00177A0D" w:rsidRPr="009D4627">
        <w:t xml:space="preserve"> an abduction deficit and esotropia of the affected eye, worsening with fixation distance.</w:t>
      </w:r>
    </w:p>
    <w:p w14:paraId="7B03FEB8" w14:textId="4E806C45" w:rsidR="00547D87" w:rsidRPr="009D4627" w:rsidRDefault="00177A0D" w:rsidP="00390EBC">
      <w:r w:rsidRPr="009D4627">
        <w:t>Ocular misalignment and double vision are the classic presenting sign and symptom</w:t>
      </w:r>
      <w:r w:rsidR="00AE6F60" w:rsidRPr="009D4627">
        <w:t>s</w:t>
      </w:r>
      <w:r w:rsidRPr="009D4627">
        <w:t xml:space="preserve"> in patients with </w:t>
      </w:r>
      <w:r w:rsidR="005C5883" w:rsidRPr="009D4627">
        <w:t>ONP</w:t>
      </w:r>
      <w:r w:rsidRPr="009D4627">
        <w:t xml:space="preserve">. Current clinical assessment relies upon subjective examination of eye movements to diagnose and monitor the disease's progression. The recent development of technology in </w:t>
      </w:r>
      <w:r w:rsidR="00F937E9" w:rsidRPr="009D4627">
        <w:t>EMR</w:t>
      </w:r>
      <w:r w:rsidRPr="009D4627">
        <w:t xml:space="preserve"> may provide an opportunity to implement more advanced measurement</w:t>
      </w:r>
      <w:r w:rsidR="00AE6F60" w:rsidRPr="009D4627">
        <w:t>s</w:t>
      </w:r>
      <w:r w:rsidRPr="009D4627">
        <w:t xml:space="preserve"> and assess eye </w:t>
      </w:r>
      <w:r w:rsidRPr="009D4627">
        <w:lastRenderedPageBreak/>
        <w:t xml:space="preserve">movement deficits, which could benefit management strategies </w:t>
      </w:r>
      <w:r w:rsidR="00AE6F60" w:rsidRPr="009D4627">
        <w:t>for</w:t>
      </w:r>
      <w:r w:rsidRPr="009D4627">
        <w:t xml:space="preserve"> better prognosis and provide more information to patients</w:t>
      </w:r>
      <w:r w:rsidR="00547D87" w:rsidRPr="009D4627">
        <w:t xml:space="preserve"> </w:t>
      </w:r>
      <w:r w:rsidR="00547D87" w:rsidRPr="009D4627">
        <w:fldChar w:fldCharType="begin"/>
      </w:r>
      <w:r w:rsidR="00C40138" w:rsidRPr="009D4627">
        <w:instrText xml:space="preserve"> ADDIN EN.CITE &lt;EndNote&gt;&lt;Cite&gt;&lt;Author&gt;Clark&lt;/Author&gt;&lt;Year&gt;2019&lt;/Year&gt;&lt;IDText&gt;The potential and value of objective eye tracking in the ophthalmology clinic&lt;/IDText&gt;&lt;DisplayText&gt;(Clark et al., 2019)&lt;/DisplayText&gt;&lt;record&gt;&lt;isbn&gt;0950222X&lt;/isbn&gt;&lt;titles&gt;&lt;title&gt;The potential and value of objective eye tracking in the ophthalmology clinic&lt;/title&gt;&lt;secondary-title&gt;Eye&lt;/secondary-title&gt;&lt;/titles&gt;&lt;pages&gt;1200-1202&lt;/pages&gt;&lt;number&gt;8&lt;/number&gt;&lt;contributors&gt;&lt;authors&gt;&lt;author&gt;Clark, Rosie&lt;/author&gt;&lt;author&gt;Blundell, James&lt;/author&gt;&lt;author&gt;Dunn, Matt&lt;/author&gt;&lt;author&gt;Erichsen, Jonathan&lt;/author&gt;&lt;author&gt;Giardini, Mario&lt;/author&gt;&lt;author&gt;Gottlob, Irene&lt;/author&gt;&lt;author&gt;Harris, Chris&lt;/author&gt;&lt;author&gt;Lee, Helena&lt;/author&gt;&lt;author&gt;Lee, Mcilreavy&lt;/author&gt;&lt;author&gt;Olson, Andrew&lt;/author&gt;&lt;author&gt;Self, Jay&lt;/author&gt;&lt;author&gt;Vinuela-Navarro, Valldeflors&lt;/author&gt;&lt;author&gt;Waddington, Jonathan&lt;/author&gt;&lt;author&gt;Woodhouse, J.&lt;/author&gt;&lt;author&gt;Gilchrist, Iain&lt;/author&gt;&lt;author&gt;Williams, Cathy&lt;/author&gt;&lt;/authors&gt;&lt;/contributors&gt;&lt;added-date format="utc"&gt;1571826965&lt;/added-date&gt;&lt;pub-location&gt;London&lt;/pub-location&gt;&lt;ref-type name="Journal Article"&gt;17&lt;/ref-type&gt;&lt;dates&gt;&lt;year&gt;2019&lt;/year&gt;&lt;/dates&gt;&lt;rec-number&gt;607&lt;/rec-number&gt;&lt;last-updated-date format="utc"&gt;1571826965&lt;/last-updated-date&gt;&lt;electronic-resource-num&gt;10.1038/s41433-019-0417-z&lt;/electronic-resource-num&gt;&lt;volume&gt;33&lt;/volume&gt;&lt;/record&gt;&lt;/Cite&gt;&lt;/EndNote&gt;</w:instrText>
      </w:r>
      <w:r w:rsidR="00547D87" w:rsidRPr="009D4627">
        <w:fldChar w:fldCharType="separate"/>
      </w:r>
      <w:r w:rsidR="00C40138" w:rsidRPr="009D4627">
        <w:rPr>
          <w:noProof/>
        </w:rPr>
        <w:t>(Clark et al., 2019)</w:t>
      </w:r>
      <w:r w:rsidR="00547D87" w:rsidRPr="009D4627">
        <w:fldChar w:fldCharType="end"/>
      </w:r>
      <w:r w:rsidR="00547D87" w:rsidRPr="009D4627">
        <w:t>.</w:t>
      </w:r>
    </w:p>
    <w:p w14:paraId="08607D75" w14:textId="5D32A9FE" w:rsidR="00547D87" w:rsidRPr="009D4627" w:rsidRDefault="00AE6F60" w:rsidP="00390EBC">
      <w:proofErr w:type="spellStart"/>
      <w:r w:rsidRPr="00E82E69">
        <w:rPr>
          <w:lang w:val="fr-FR"/>
        </w:rPr>
        <w:t>Various</w:t>
      </w:r>
      <w:proofErr w:type="spellEnd"/>
      <w:r w:rsidRPr="00E82E69">
        <w:rPr>
          <w:lang w:val="fr-FR"/>
        </w:rPr>
        <w:t xml:space="preserve"> </w:t>
      </w:r>
      <w:proofErr w:type="spellStart"/>
      <w:r w:rsidRPr="00E82E69">
        <w:rPr>
          <w:lang w:val="fr-FR"/>
        </w:rPr>
        <w:t>aetiologies</w:t>
      </w:r>
      <w:proofErr w:type="spellEnd"/>
      <w:r w:rsidRPr="00E82E69">
        <w:rPr>
          <w:lang w:val="fr-FR"/>
        </w:rPr>
        <w:t xml:space="preserve"> cause </w:t>
      </w:r>
      <w:proofErr w:type="spellStart"/>
      <w:r w:rsidRPr="00E82E69">
        <w:rPr>
          <w:lang w:val="fr-FR"/>
        </w:rPr>
        <w:t>ocular</w:t>
      </w:r>
      <w:proofErr w:type="spellEnd"/>
      <w:r w:rsidRPr="00E82E69">
        <w:rPr>
          <w:lang w:val="fr-FR"/>
        </w:rPr>
        <w:t xml:space="preserve"> nerve </w:t>
      </w:r>
      <w:proofErr w:type="spellStart"/>
      <w:r w:rsidRPr="00E82E69">
        <w:rPr>
          <w:lang w:val="fr-FR"/>
        </w:rPr>
        <w:t>pals</w:t>
      </w:r>
      <w:r w:rsidR="00177A0D" w:rsidRPr="00E82E69">
        <w:rPr>
          <w:lang w:val="fr-FR"/>
        </w:rPr>
        <w:t>ies</w:t>
      </w:r>
      <w:proofErr w:type="spellEnd"/>
      <w:r w:rsidR="00177A0D" w:rsidRPr="00E82E69">
        <w:rPr>
          <w:lang w:val="fr-FR"/>
        </w:rPr>
        <w:t xml:space="preserve">. </w:t>
      </w:r>
      <w:r w:rsidR="00177A0D" w:rsidRPr="009D4627">
        <w:t>Consequently, there are a variety of management strategies for the patients. Tiffin et al. (1996) reported that most ocular nerve palsies, ≈ 67% including CN III, IV, and VI palsies, are caused by either vascular disease or an undetermined aetiology. They concluded that the undetermined aetiology was also presumably from a vascular origin. Their finding was consistent with another large study reporting 54% of ocular nerve palsies had either a vascular or an undetermined origin</w:t>
      </w:r>
      <w:r w:rsidR="00547D87" w:rsidRPr="009D4627">
        <w:t xml:space="preserve"> </w:t>
      </w:r>
      <w:r w:rsidR="00547D87" w:rsidRPr="009D4627">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dWxvbW90b3I8L2tleXdvcmQ+PGtleXdvcmQ+dHJvY2hsZWFyPC9rZXl3b3JkPjxrZXl3b3JkPmFk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</w:fldData>
        </w:fldChar>
      </w:r>
      <w:r w:rsidR="00C40138" w:rsidRPr="009D4627">
        <w:instrText xml:space="preserve"> ADDIN EN.CITE </w:instrText>
      </w:r>
      <w:r w:rsidR="00C40138" w:rsidRPr="009D4627">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dWxvbW90b3I8L2tleXdvcmQ+PGtleXdvcmQ+dHJvY2hsZWFyPC9rZXl3b3JkPjxrZXl3b3JkPmFk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</w:fldData>
        </w:fldChar>
      </w:r>
      <w:r w:rsidR="00C40138" w:rsidRPr="009D4627">
        <w:instrText xml:space="preserve"> ADDIN EN.CITE.DATA </w:instrText>
      </w:r>
      <w:r w:rsidR="00C40138" w:rsidRPr="009D4627">
        <w:fldChar w:fldCharType="end"/>
      </w:r>
      <w:r w:rsidR="00547D87" w:rsidRPr="009D4627">
        <w:fldChar w:fldCharType="separate"/>
      </w:r>
      <w:r w:rsidR="00C40138" w:rsidRPr="009D4627">
        <w:rPr>
          <w:noProof/>
        </w:rPr>
        <w:t>(Park et al., 2008)</w:t>
      </w:r>
      <w:r w:rsidR="00547D87" w:rsidRPr="009D4627">
        <w:fldChar w:fldCharType="end"/>
      </w:r>
      <w:r w:rsidR="00547D87" w:rsidRPr="009D4627">
        <w:t xml:space="preserve">. </w:t>
      </w:r>
      <w:r w:rsidR="00177A0D" w:rsidRPr="009D4627">
        <w:t>This study was conducted in Seoul, Korea, involving a total of 206 patients</w:t>
      </w:r>
      <w:r w:rsidR="00547D87" w:rsidRPr="009D4627">
        <w:t>.</w:t>
      </w:r>
    </w:p>
    <w:p w14:paraId="4C2CC089" w14:textId="31CE0297" w:rsidR="00177A0D" w:rsidRPr="009D4627" w:rsidRDefault="00177A0D" w:rsidP="00390EBC">
      <w:r w:rsidRPr="009D4627">
        <w:t>Moreover, when ocular nerve palsies occur in the over 50</w:t>
      </w:r>
      <w:r w:rsidR="00AE6F60" w:rsidRPr="009D4627">
        <w:t>-year-</w:t>
      </w:r>
      <w:r w:rsidRPr="009D4627">
        <w:t>old age group</w:t>
      </w:r>
      <w:r w:rsidR="00AE6F60" w:rsidRPr="009D4627">
        <w:t>,</w:t>
      </w:r>
      <w:r w:rsidRPr="009D4627">
        <w:t xml:space="preserve"> they are often presumed to be due to vascular disease</w:t>
      </w:r>
      <w:r w:rsidR="00547D87" w:rsidRPr="009D4627">
        <w:t xml:space="preserve"> </w:t>
      </w:r>
      <w:r w:rsidR="00547D87" w:rsidRPr="009D4627">
        <w:fldChar w:fldCharType="begin"/>
      </w:r>
      <w:r w:rsidR="00C40138" w:rsidRPr="009D4627">
        <w:instrText xml:space="preserve"> ADDIN EN.CITE &lt;EndNote&gt;&lt;Cite&gt;&lt;Author&gt;Akagi&lt;/Author&gt;&lt;Year&gt;2008&lt;/Year&gt;&lt;IDText&gt;Cause and prognosis of neurologically isolated third, fourth, or sixth cranial nerve dysfunction in cases of oculomotor palsy&lt;/IDText&gt;&lt;DisplayText&gt;(Akagi et al., 2008)&lt;/DisplayText&gt;&lt;record&gt;&lt;dates&gt;&lt;pub-dates&gt;&lt;date&gt;Feb&lt;/date&gt;&lt;/pub-dates&gt;&lt;year&gt;2008&lt;/year&gt;&lt;/dates&gt;&lt;keywords&gt;&lt;keyword&gt;anisocoria&lt;/keyword&gt;&lt;keyword&gt;diplopia&lt;/keyword&gt;&lt;keyword&gt;nerve palsy&lt;/keyword&gt;&lt;keyword&gt;ptosis&lt;/keyword&gt;&lt;keyword&gt;magnetic-resonance angiography&lt;/keyword&gt;&lt;keyword&gt;emerging role&lt;/keyword&gt;&lt;keyword&gt;paralysis&lt;/keyword&gt;&lt;keyword&gt;management&lt;/keyword&gt;&lt;keyword&gt;&lt;/keyword&gt;&lt;keyword&gt;trochlear&lt;/keyword&gt;&lt;keyword&gt;Ophthalmology&lt;/keyword&gt;&lt;/keywords&gt;&lt;urls&gt;&lt;related-urls&gt;&lt;url&gt;&amp;lt;Go to ISI&amp;gt;://WOS:000254438700005&lt;/url&gt;&lt;/related-urls&gt;&lt;/urls&gt;&lt;isbn&gt;0021-5155&lt;/isbn&gt;&lt;work-type&gt;Article&lt;/work-type&gt;&lt;titles&gt;&lt;title&gt;Cause and prognosis of neurologically isolated third, fourth, or sixth cranial nerve dysfunction in cases of oculomotor palsy&lt;/title&gt;&lt;secondary-title&gt;Japanese Journal of Ophthalmology&lt;/secondary-title&gt;&lt;alt-title&gt;Jpn. J. Ophthalmol.&lt;/alt-title&gt;&lt;/titles&gt;&lt;pages&gt;32-35&lt;/pages&gt;&lt;number&gt;1&lt;/number&gt;&lt;contributors&gt;&lt;authors&gt;&lt;author&gt;Akagi, T.&lt;/author&gt;&lt;author&gt;Miyamoto, K.&lt;/author&gt;&lt;author&gt;Kashii, S.&lt;/author&gt;&lt;author&gt;Yoshimura, N.&lt;/author&gt;&lt;/authors&gt;&lt;/contributors&gt;&lt;language&gt;English&lt;/language&gt;&lt;added-date format="utc"&gt;1495874785&lt;/added-date&gt;&lt;ref-type name="Journal Article"&gt;17&lt;/ref-type&gt;&lt;auth-address&gt;[Kashii, Satoshi] Osaka Red Cross Hosp, Dept Ophthalmol, Osaka 5438555, Japan. [Akagi, Tadamichi&amp;#xD;Miyamoto, Kazuaki&amp;#xD;Kashii, Satoshi&amp;#xD;Yoshimura, Nagahisa] Kyoto Univ, Grad Sch Med, Dept Ophthalmol &amp;amp; Visual Sci, Kyoto, Japan.&amp;#xD;Kashii, S (reprint author), Osaka Red Cross Hosp, Dept Ophthalmol, Osaka 5438555, Japan.&lt;/auth-address&gt;&lt;rec-number&gt;100&lt;/rec-number&gt;&lt;last-updated-date format="utc"&gt;1495874785&lt;/last-updated-date&gt;&lt;accession-num&gt;WOS:000254438700005&lt;/accession-num&gt;&lt;electronic-resource-num&gt;10.1007/s10384-007-0489-3&lt;/electronic-resource-num&gt;&lt;volume&gt;52&lt;/volume&gt;&lt;/record&gt;&lt;/Cite&gt;&lt;/EndNote&gt;</w:instrText>
      </w:r>
      <w:r w:rsidR="00547D87" w:rsidRPr="009D4627">
        <w:fldChar w:fldCharType="separate"/>
      </w:r>
      <w:r w:rsidR="00C40138" w:rsidRPr="009D4627">
        <w:rPr>
          <w:noProof/>
        </w:rPr>
        <w:t>(Akagi et al., 2008)</w:t>
      </w:r>
      <w:r w:rsidR="00547D87" w:rsidRPr="009D4627">
        <w:fldChar w:fldCharType="end"/>
      </w:r>
      <w:r w:rsidR="00547D87" w:rsidRPr="009D4627">
        <w:t xml:space="preserve">. Akagi et al. (2008) </w:t>
      </w:r>
      <w:r w:rsidRPr="009D4627">
        <w:t xml:space="preserve">reported that </w:t>
      </w:r>
      <w:r w:rsidR="00AE6F60" w:rsidRPr="009D4627">
        <w:t>most</w:t>
      </w:r>
      <w:r w:rsidRPr="009D4627">
        <w:t xml:space="preserve"> of the </w:t>
      </w:r>
      <w:r w:rsidR="00AE6F60" w:rsidRPr="009D4627">
        <w:t>CN III and IV</w:t>
      </w:r>
      <w:r w:rsidRPr="009D4627">
        <w:t xml:space="preserve"> palsy patients below 49-years-old were affected by head trauma, and </w:t>
      </w:r>
      <w:r w:rsidR="00AE6F60" w:rsidRPr="009D4627">
        <w:t>most</w:t>
      </w:r>
      <w:r w:rsidRPr="009D4627">
        <w:t xml:space="preserve"> of the sixth nerve palsy patients below 49-years-old were found to be caused either by an organic lesion or a congenital condition. The study reviewed the medical records of 221 patients with isolated </w:t>
      </w:r>
      <w:r w:rsidR="00AE6F60" w:rsidRPr="009D4627">
        <w:t>CN III, IV and VI</w:t>
      </w:r>
      <w:r w:rsidRPr="009D4627">
        <w:t xml:space="preserve"> palsies</w:t>
      </w:r>
      <w:r w:rsidR="00547D87" w:rsidRPr="009D4627">
        <w:t xml:space="preserve">. </w:t>
      </w:r>
    </w:p>
    <w:p w14:paraId="039F3282" w14:textId="1D56D4A4" w:rsidR="00547D87" w:rsidRPr="009D4627" w:rsidRDefault="00177A0D" w:rsidP="00390EBC">
      <w:r w:rsidRPr="009D4627">
        <w:t xml:space="preserve">However, these previous studies were conducted retrospectively by reviewing the medical records of patients presenting with </w:t>
      </w:r>
      <w:r w:rsidR="00940AE5" w:rsidRPr="009D4627">
        <w:t>ONP</w:t>
      </w:r>
      <w:r w:rsidRPr="009D4627">
        <w:t xml:space="preserve"> and classifying whether, from clinical observation, the condition recovered or not.  They classified the recovery stages by the change of deviation angle compared with the initial measurements (onset), measured using the prism cover test</w:t>
      </w:r>
      <w:r w:rsidR="00995715" w:rsidRPr="009D4627">
        <w:t xml:space="preserve"> (PCT)</w:t>
      </w:r>
      <w:r w:rsidRPr="009D4627">
        <w:t xml:space="preserve"> technique, at </w:t>
      </w:r>
      <w:r w:rsidR="00995715" w:rsidRPr="009D4627">
        <w:t>PP</w:t>
      </w:r>
      <w:r w:rsidRPr="009D4627">
        <w:t xml:space="preserve"> fixation. Complete recovery was indicated by complete recovery of the deviation angle measured with the </w:t>
      </w:r>
      <w:r w:rsidR="00995715" w:rsidRPr="009D4627">
        <w:t>PCT</w:t>
      </w:r>
      <w:r w:rsidRPr="009D4627">
        <w:t>. Partial recovery was defined as the reduction of deviation angle by &gt;10 prism dioptres</w:t>
      </w:r>
      <w:r w:rsidR="008B3533" w:rsidRPr="009D4627">
        <w:t xml:space="preserve"> (</w:t>
      </w:r>
      <w:r w:rsidR="008B3533" w:rsidRPr="009D4627">
        <w:rPr>
          <w:vertAlign w:val="superscript"/>
        </w:rPr>
        <w:t>∆</w:t>
      </w:r>
      <w:r w:rsidR="008B3533" w:rsidRPr="009D4627">
        <w:t>D)</w:t>
      </w:r>
      <w:r w:rsidRPr="009D4627">
        <w:t xml:space="preserve"> from the initial examination, while lack of recovery indicated the absence of partial or complete recovery</w:t>
      </w:r>
      <w:r w:rsidR="00547D87" w:rsidRPr="009D4627">
        <w:t xml:space="preserve">. </w:t>
      </w:r>
    </w:p>
    <w:p w14:paraId="6A8383D6" w14:textId="47335111" w:rsidR="00547D87" w:rsidRPr="009D4627" w:rsidRDefault="004258CF" w:rsidP="00DC4CA6">
      <w:pPr>
        <w:pStyle w:val="Heading3"/>
      </w:pPr>
      <w:bookmarkStart w:id="114" w:name="_Toc98964631"/>
      <w:bookmarkStart w:id="115" w:name="_Toc103344676"/>
      <w:r w:rsidRPr="009D4627">
        <w:lastRenderedPageBreak/>
        <w:t>EMR</w:t>
      </w:r>
      <w:r w:rsidR="00547D87" w:rsidRPr="009D4627">
        <w:t xml:space="preserve"> in ocular nerve palsies</w:t>
      </w:r>
      <w:bookmarkEnd w:id="114"/>
      <w:bookmarkEnd w:id="115"/>
    </w:p>
    <w:p w14:paraId="1EF2B5E7" w14:textId="721DD0ED" w:rsidR="00547D87" w:rsidRPr="009D4627" w:rsidRDefault="00177A0D" w:rsidP="00390EBC">
      <w:pPr>
        <w:rPr>
          <w:rFonts w:eastAsia="Arial"/>
        </w:rPr>
      </w:pPr>
      <w:r w:rsidRPr="009D4627">
        <w:rPr>
          <w:rFonts w:eastAsia="Arial"/>
          <w:noProof/>
        </w:rPr>
        <w:t>A previous study</w:t>
      </w:r>
      <w:r w:rsidRPr="009D4627">
        <w:t xml:space="preserve"> reported that </w:t>
      </w:r>
      <w:r w:rsidR="00AE6F60" w:rsidRPr="009D4627">
        <w:t>CN VI</w:t>
      </w:r>
      <w:r w:rsidRPr="009D4627">
        <w:t xml:space="preserve"> palsy leads to defective </w:t>
      </w:r>
      <w:r w:rsidR="00944720" w:rsidRPr="009D4627">
        <w:t>saccadic</w:t>
      </w:r>
      <w:r w:rsidRPr="009D4627">
        <w:t xml:space="preserve"> velocit</w:t>
      </w:r>
      <w:r w:rsidR="00547D87" w:rsidRPr="009D4627">
        <w:t xml:space="preserve">y </w:t>
      </w:r>
      <w:r w:rsidR="00547D87" w:rsidRPr="009D4627">
        <w:fldChar w:fldCharType="begin"/>
      </w:r>
      <w:r w:rsidR="00C40138" w:rsidRPr="009D4627">
        <w:instrText xml:space="preserve"> ADDIN EN.CITE &lt;EndNote&gt;&lt;Cite&gt;&lt;Author&gt;Metz&lt;/Author&gt;&lt;Year&gt;1970&lt;/Year&gt;&lt;IDText&gt;Ocular saccades in lateral rectus palsy&lt;/IDText&gt;&lt;DisplayText&gt;(Metz et al., 1970)&lt;/DisplayText&gt;&lt;record&gt;&lt;keywords&gt;&lt;keyword&gt;Medicine&lt;/keyword&gt;&lt;/keywords&gt;&lt;isbn&gt;0003-9950&lt;/isbn&gt;&lt;titles&gt;&lt;title&gt;Ocular saccades in lateral rectus palsy&lt;/title&gt;&lt;secondary-title&gt;Archives of Ophthalmology&lt;/secondary-title&gt;&lt;/titles&gt;&lt;pages&gt;453-460&lt;/pages&gt;&lt;number&gt;4&lt;/number&gt;&lt;contributors&gt;&lt;authors&gt;&lt;author&gt;Metz, Henry S.&lt;/author&gt;&lt;author&gt;Scott, Alan B.&lt;/author&gt;&lt;author&gt;Meara, David&lt;/author&gt;&lt;author&gt;Stewart, H. Lee&lt;/author&gt;&lt;/authors&gt;&lt;/contributors&gt;&lt;added-date format="utc"&gt;1497370858&lt;/added-date&gt;&lt;ref-type name="Journal Article"&gt;17&lt;/ref-type&gt;&lt;dates&gt;&lt;year&gt;1970&lt;/year&gt;&lt;/dates&gt;&lt;rec-number&gt;118&lt;/rec-number&gt;&lt;last-updated-date format="utc"&gt;1499733089&lt;/last-updated-date&gt;&lt;electronic-resource-num&gt;10.1001/archopht.1970.00990040455010&lt;/electronic-resource-num&gt;&lt;volume&gt;84&lt;/volume&gt;&lt;/record&gt;&lt;/Cite&gt;&lt;/EndNote&gt;</w:instrText>
      </w:r>
      <w:r w:rsidR="00547D87" w:rsidRPr="009D4627">
        <w:fldChar w:fldCharType="separate"/>
      </w:r>
      <w:r w:rsidR="00C40138" w:rsidRPr="009D4627">
        <w:rPr>
          <w:noProof/>
        </w:rPr>
        <w:t>(Metz et al., 1970)</w:t>
      </w:r>
      <w:r w:rsidR="00547D87" w:rsidRPr="009D4627">
        <w:fldChar w:fldCharType="end"/>
      </w:r>
      <w:r w:rsidR="00547D87" w:rsidRPr="009D4627">
        <w:rPr>
          <w:rFonts w:eastAsia="Arial"/>
        </w:rPr>
        <w:t xml:space="preserve">. Metz et al. (1970) </w:t>
      </w:r>
      <w:r w:rsidRPr="009D4627">
        <w:rPr>
          <w:rFonts w:eastAsia="Arial"/>
        </w:rPr>
        <w:t>studied a 28-year-old patient with a left, recently acquired lateral rectus palsy due to head trauma.</w:t>
      </w:r>
      <w:r w:rsidR="00547D87" w:rsidRPr="009D4627">
        <w:rPr>
          <w:rFonts w:eastAsia="Arial"/>
        </w:rPr>
        <w:t xml:space="preserve"> </w:t>
      </w:r>
      <w:r w:rsidR="00F223AB" w:rsidRPr="009D4627">
        <w:rPr>
          <w:rFonts w:eastAsia="Arial"/>
        </w:rPr>
        <w:t xml:space="preserve">The eye movements were recorded once, using EOG, </w:t>
      </w:r>
      <w:r w:rsidR="00AE6F60" w:rsidRPr="009D4627">
        <w:rPr>
          <w:rFonts w:eastAsia="Arial"/>
        </w:rPr>
        <w:t>two</w:t>
      </w:r>
      <w:r w:rsidR="00F223AB" w:rsidRPr="009D4627">
        <w:rPr>
          <w:rFonts w:eastAsia="Arial"/>
        </w:rPr>
        <w:t xml:space="preserve"> months after the injury. At that stage, the patient had a left esotropia in </w:t>
      </w:r>
      <w:r w:rsidR="00995715" w:rsidRPr="009D4627">
        <w:rPr>
          <w:rFonts w:eastAsia="Arial"/>
        </w:rPr>
        <w:t>PP</w:t>
      </w:r>
      <w:r w:rsidR="00F223AB" w:rsidRPr="009D4627">
        <w:rPr>
          <w:rFonts w:eastAsia="Arial"/>
        </w:rPr>
        <w:t xml:space="preserve"> (30</w:t>
      </w:r>
      <w:r w:rsidR="008B3533" w:rsidRPr="009D4627">
        <w:rPr>
          <w:vertAlign w:val="superscript"/>
        </w:rPr>
        <w:t>∆</w:t>
      </w:r>
      <w:r w:rsidR="008B3533" w:rsidRPr="009D4627">
        <w:t>D)</w:t>
      </w:r>
      <w:r w:rsidR="00F223AB" w:rsidRPr="009D4627">
        <w:rPr>
          <w:rFonts w:eastAsia="Arial"/>
        </w:rPr>
        <w:t xml:space="preserve"> but binocular </w:t>
      </w:r>
      <w:r w:rsidR="00AE6F60" w:rsidRPr="009D4627">
        <w:rPr>
          <w:rFonts w:eastAsia="Arial"/>
        </w:rPr>
        <w:t xml:space="preserve">single </w:t>
      </w:r>
      <w:r w:rsidR="00F223AB" w:rsidRPr="009D4627">
        <w:rPr>
          <w:rFonts w:eastAsia="Arial"/>
        </w:rPr>
        <w:t>vision</w:t>
      </w:r>
      <w:r w:rsidR="00AE6F60" w:rsidRPr="009D4627">
        <w:rPr>
          <w:rFonts w:eastAsia="Arial"/>
        </w:rPr>
        <w:t xml:space="preserve"> (BSV)</w:t>
      </w:r>
      <w:r w:rsidR="00F223AB" w:rsidRPr="009D4627">
        <w:rPr>
          <w:rFonts w:eastAsia="Arial"/>
        </w:rPr>
        <w:t xml:space="preserve"> in dextro-version. The </w:t>
      </w:r>
      <w:r w:rsidR="00D67222" w:rsidRPr="009D4627">
        <w:rPr>
          <w:rFonts w:eastAsia="Arial"/>
        </w:rPr>
        <w:t>LE</w:t>
      </w:r>
      <w:r w:rsidR="00F223AB" w:rsidRPr="009D4627">
        <w:rPr>
          <w:rFonts w:eastAsia="Arial"/>
        </w:rPr>
        <w:t xml:space="preserve"> could not abduct beyond the midline, and the forced-duction test showed a mild restriction to the horizontal movement. They recorded and compared the unaffected RE and affected LE separately. The result of the unaffected RE revealed equal </w:t>
      </w:r>
      <w:r w:rsidR="00944720" w:rsidRPr="009D4627">
        <w:rPr>
          <w:rFonts w:eastAsia="Arial"/>
        </w:rPr>
        <w:t>saccadic</w:t>
      </w:r>
      <w:r w:rsidR="00F223AB" w:rsidRPr="009D4627">
        <w:rPr>
          <w:rFonts w:eastAsia="Arial"/>
        </w:rPr>
        <w:t xml:space="preserve"> velocity to the right and left (Figure 1.1</w:t>
      </w:r>
      <w:r w:rsidR="0061775D" w:rsidRPr="009D4627">
        <w:rPr>
          <w:rFonts w:eastAsia="Arial"/>
        </w:rPr>
        <w:t>9</w:t>
      </w:r>
      <w:r w:rsidR="00F223AB" w:rsidRPr="009D4627">
        <w:rPr>
          <w:rFonts w:eastAsia="Arial"/>
        </w:rPr>
        <w:t xml:space="preserve"> </w:t>
      </w:r>
      <w:r w:rsidR="00AE6F60" w:rsidRPr="009D4627">
        <w:rPr>
          <w:rFonts w:eastAsia="Arial"/>
        </w:rPr>
        <w:t>a</w:t>
      </w:r>
      <w:r w:rsidR="00F223AB" w:rsidRPr="009D4627">
        <w:rPr>
          <w:rFonts w:eastAsia="Arial"/>
        </w:rPr>
        <w:t xml:space="preserve">).  However, the </w:t>
      </w:r>
      <w:r w:rsidR="00944720" w:rsidRPr="009D4627">
        <w:rPr>
          <w:rFonts w:eastAsia="Arial"/>
        </w:rPr>
        <w:t>saccadic</w:t>
      </w:r>
      <w:r w:rsidR="00F223AB" w:rsidRPr="009D4627">
        <w:rPr>
          <w:rFonts w:eastAsia="Arial"/>
        </w:rPr>
        <w:t xml:space="preserve"> velocity of the affected LE was slower when the eye moved in abduction (left gaze) compared with the adduction (right gaze) (Figure 1.1</w:t>
      </w:r>
      <w:r w:rsidR="0061775D" w:rsidRPr="009D4627">
        <w:rPr>
          <w:rFonts w:eastAsia="Arial"/>
        </w:rPr>
        <w:t>9</w:t>
      </w:r>
      <w:r w:rsidR="00F223AB" w:rsidRPr="009D4627">
        <w:rPr>
          <w:rFonts w:eastAsia="Arial"/>
        </w:rPr>
        <w:t xml:space="preserve"> </w:t>
      </w:r>
      <w:r w:rsidR="00AE6F60" w:rsidRPr="009D4627">
        <w:rPr>
          <w:rFonts w:eastAsia="Arial"/>
        </w:rPr>
        <w:t>b</w:t>
      </w:r>
      <w:r w:rsidR="00F223AB" w:rsidRPr="009D4627">
        <w:rPr>
          <w:rFonts w:eastAsia="Arial"/>
        </w:rPr>
        <w:t xml:space="preserve">). This experiment strongly suggests that sixth nerve palsy affects </w:t>
      </w:r>
      <w:r w:rsidR="00944720" w:rsidRPr="009D4627">
        <w:rPr>
          <w:rFonts w:eastAsia="Arial"/>
        </w:rPr>
        <w:t>saccadic</w:t>
      </w:r>
      <w:r w:rsidR="00F223AB" w:rsidRPr="009D4627">
        <w:rPr>
          <w:rFonts w:eastAsia="Arial"/>
        </w:rPr>
        <w:t xml:space="preserve"> velocity towards the side of the palsy</w:t>
      </w:r>
      <w:r w:rsidR="00547D87" w:rsidRPr="009D4627">
        <w:rPr>
          <w:rFonts w:eastAsia="Arial"/>
        </w:rPr>
        <w:t xml:space="preserve">.       </w:t>
      </w:r>
    </w:p>
    <w:p w14:paraId="6039196F" w14:textId="75C4AE2D" w:rsidR="00547D87" w:rsidRPr="009D4627" w:rsidRDefault="00A2792E" w:rsidP="002D49AA">
      <w:pPr>
        <w:spacing w:after="0" w:line="240" w:lineRule="auto"/>
        <w:rPr>
          <w:lang w:val="en-US"/>
        </w:rPr>
      </w:pPr>
      <w:r w:rsidRPr="009D4627">
        <w:rPr>
          <w:noProof/>
        </w:rPr>
        <mc:AlternateContent>
          <mc:Choice Requires="wpg">
            <w:drawing>
              <wp:inline distT="0" distB="0" distL="0" distR="0" wp14:anchorId="72BA0106" wp14:editId="6B8939D1">
                <wp:extent cx="4944745" cy="2472690"/>
                <wp:effectExtent l="0" t="0" r="8255" b="3810"/>
                <wp:docPr id="24312" name="Group 24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4745" cy="2472690"/>
                          <a:chOff x="-759" y="1528"/>
                          <a:chExt cx="49458" cy="24737"/>
                        </a:xfrm>
                      </wpg:grpSpPr>
                      <wpg:grpSp>
                        <wpg:cNvPr id="24313" name="Group 401"/>
                        <wpg:cNvGrpSpPr>
                          <a:grpSpLocks/>
                        </wpg:cNvGrpSpPr>
                        <wpg:grpSpPr bwMode="auto">
                          <a:xfrm>
                            <a:off x="12035" y="1528"/>
                            <a:ext cx="23657" cy="14300"/>
                            <a:chOff x="-1732" y="1183"/>
                            <a:chExt cx="23656" cy="14318"/>
                          </a:xfrm>
                        </wpg:grpSpPr>
                        <pic:pic xmlns:pic="http://schemas.openxmlformats.org/drawingml/2006/picture">
                          <pic:nvPicPr>
                            <pic:cNvPr id="24314" name="Picture 402"/>
                            <pic:cNvPicPr>
                              <a:picLocks noChangeAspect="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601" y="1570"/>
                              <a:ext cx="21323" cy="13931"/>
                            </a:xfrm>
                            <a:prstGeom prst="rect">
                              <a:avLst/>
                            </a:prstGeom>
                            <a:noFill/>
                            <a:ln w="9525">
                              <a:solidFill>
                                <a:schemeClr val="tx1">
                                  <a:lumMod val="100000"/>
                                  <a:lumOff val="0"/>
                                </a:schemeClr>
                              </a:solidFill>
                              <a:miter lim="800000"/>
                              <a:headEnd/>
                              <a:tailEnd/>
                            </a:ln>
                          </pic:spPr>
                        </pic:pic>
                        <wps:wsp>
                          <wps:cNvPr id="24315" name="Rectangle 403"/>
                          <wps:cNvSpPr>
                            <a:spLocks noChangeArrowheads="1"/>
                          </wps:cNvSpPr>
                          <wps:spPr bwMode="auto">
                            <a:xfrm>
                              <a:off x="-1732" y="1183"/>
                              <a:ext cx="1746" cy="1952"/>
                            </a:xfrm>
                            <a:prstGeom prst="rect">
                              <a:avLst/>
                            </a:prstGeom>
                            <a:noFill/>
                            <a:ln>
                              <a:noFill/>
                            </a:ln>
                          </wps:spPr>
                          <wps:txbx>
                            <w:txbxContent>
                              <w:p w14:paraId="58C1BB3E" w14:textId="19B4226A" w:rsidR="00527127" w:rsidRPr="00D91DC7" w:rsidRDefault="00527127" w:rsidP="0061775D">
                                <w:pPr>
                                  <w:spacing w:before="0" w:line="240" w:lineRule="auto"/>
                                  <w:jc w:val="center"/>
                                  <w:rPr>
                                    <w:lang w:val="en-US"/>
                                  </w:rPr>
                                </w:pPr>
                                <w:r>
                                  <w:rPr>
                                    <w:lang w:val="en-US"/>
                                  </w:rPr>
                                  <w:t>a</w:t>
                                </w:r>
                                <w:r w:rsidRPr="00D91DC7">
                                  <w:rPr>
                                    <w:lang w:val="en-US"/>
                                  </w:rPr>
                                  <w:t>)</w:t>
                                </w:r>
                              </w:p>
                            </w:txbxContent>
                          </wps:txbx>
                          <wps:bodyPr rot="0" vert="horz" wrap="square" lIns="0" tIns="0" rIns="0" bIns="0" anchor="ctr" anchorCtr="0" upright="1">
                            <a:noAutofit/>
                          </wps:bodyPr>
                        </wps:wsp>
                      </wpg:grpSp>
                      <wpg:grpSp>
                        <wpg:cNvPr id="24316" name="Group 404"/>
                        <wpg:cNvGrpSpPr>
                          <a:grpSpLocks/>
                        </wpg:cNvGrpSpPr>
                        <wpg:grpSpPr bwMode="auto">
                          <a:xfrm>
                            <a:off x="-759" y="15949"/>
                            <a:ext cx="49458" cy="10316"/>
                            <a:chOff x="-2490" y="-2340"/>
                            <a:chExt cx="49458" cy="10323"/>
                          </a:xfrm>
                        </wpg:grpSpPr>
                        <pic:pic xmlns:pic="http://schemas.openxmlformats.org/drawingml/2006/picture">
                          <pic:nvPicPr>
                            <pic:cNvPr id="24317" name="Picture 405"/>
                            <pic:cNvPicPr>
                              <a:picLocks noChangeAspect="1"/>
                            </pic:cNvPicPr>
                          </pic:nvPicPr>
                          <pic:blipFill>
                            <a:blip r:embed="rId60" cstate="screen">
                              <a:extLst>
                                <a:ext uri="{28A0092B-C50C-407E-A947-70E740481C1C}">
                                  <a14:useLocalDpi xmlns:a14="http://schemas.microsoft.com/office/drawing/2010/main" val="0"/>
                                </a:ext>
                              </a:extLst>
                            </a:blip>
                            <a:srcRect/>
                            <a:stretch>
                              <a:fillRect/>
                            </a:stretch>
                          </pic:blipFill>
                          <pic:spPr bwMode="auto">
                            <a:xfrm>
                              <a:off x="212" y="-1916"/>
                              <a:ext cx="46755" cy="9899"/>
                            </a:xfrm>
                            <a:prstGeom prst="rect">
                              <a:avLst/>
                            </a:prstGeom>
                            <a:noFill/>
                            <a:ln w="9525">
                              <a:solidFill>
                                <a:schemeClr val="tx1">
                                  <a:lumMod val="100000"/>
                                  <a:lumOff val="0"/>
                                </a:schemeClr>
                              </a:solidFill>
                              <a:miter lim="800000"/>
                              <a:headEnd/>
                              <a:tailEnd/>
                            </a:ln>
                          </pic:spPr>
                        </pic:pic>
                        <wps:wsp>
                          <wps:cNvPr id="24318" name="Rectangle 406"/>
                          <wps:cNvSpPr>
                            <a:spLocks noChangeArrowheads="1"/>
                          </wps:cNvSpPr>
                          <wps:spPr bwMode="auto">
                            <a:xfrm>
                              <a:off x="-2490" y="-2340"/>
                              <a:ext cx="2702" cy="2471"/>
                            </a:xfrm>
                            <a:prstGeom prst="rect">
                              <a:avLst/>
                            </a:prstGeom>
                            <a:noFill/>
                            <a:ln>
                              <a:noFill/>
                            </a:ln>
                          </wps:spPr>
                          <wps:txbx>
                            <w:txbxContent>
                              <w:p w14:paraId="781303AB" w14:textId="3E49708D" w:rsidR="00527127" w:rsidRPr="00D91DC7" w:rsidRDefault="00527127" w:rsidP="0061775D">
                                <w:pPr>
                                  <w:spacing w:before="0" w:line="240" w:lineRule="auto"/>
                                  <w:jc w:val="center"/>
                                  <w:rPr>
                                    <w:lang w:val="en-US"/>
                                  </w:rPr>
                                </w:pPr>
                                <w:r>
                                  <w:rPr>
                                    <w:lang w:val="en-US"/>
                                  </w:rPr>
                                  <w:t>b</w:t>
                                </w:r>
                                <w:r w:rsidRPr="00D91DC7">
                                  <w:rPr>
                                    <w:lang w:val="en-US"/>
                                  </w:rPr>
                                  <w:t>)</w:t>
                                </w:r>
                              </w:p>
                            </w:txbxContent>
                          </wps:txbx>
                          <wps:bodyPr rot="0" vert="horz" wrap="square" lIns="0" tIns="0" rIns="0" bIns="0" anchor="ctr" anchorCtr="0" upright="1">
                            <a:noAutofit/>
                          </wps:bodyPr>
                        </wps:wsp>
                      </wpg:grpSp>
                    </wpg:wgp>
                  </a:graphicData>
                </a:graphic>
              </wp:inline>
            </w:drawing>
          </mc:Choice>
          <mc:Fallback>
            <w:pict>
              <v:group w14:anchorId="72BA0106" id="Group 24312" o:spid="_x0000_s1124" style="width:389.35pt;height:194.7pt;mso-position-horizontal-relative:char;mso-position-vertical-relative:line" coordorigin="-759,1528" coordsize="49458,24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">
                <v:group id="Group 401" o:spid="_x0000_s1125" style="position:absolute;left:12035;top:1528;width:23657;height:14300" coordorigin="-1732,1183" coordsize="23656,1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">
                  <v:shape id="Picture 402" o:spid="_x0000_s1126" type="#_x0000_t75" style="position:absolute;left:601;top:1570;width:21323;height:1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" stroked="t" strokecolor="black [3213]">
                    <v:imagedata r:id="rId61" o:title=""/>
                    <v:path arrowok="t"/>
                  </v:shape>
                  <v:rect id="Rectangle 403" o:spid="_x0000_s1127" style="position:absolute;left:-1732;top:1183;width:1746;height:1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" filled="f" stroked="f">
                    <v:textbox inset="0,0,0,0">
                      <w:txbxContent>
                        <w:p w14:paraId="58C1BB3E" w14:textId="19B4226A" w:rsidR="00527127" w:rsidRPr="00D91DC7" w:rsidRDefault="00527127" w:rsidP="0061775D">
                          <w:pPr>
                            <w:spacing w:before="0" w:line="240" w:lineRule="auto"/>
                            <w:jc w:val="center"/>
                            <w:rPr>
                              <w:lang w:val="en-US"/>
                            </w:rPr>
                          </w:pPr>
                          <w:r>
                            <w:rPr>
                              <w:lang w:val="en-US"/>
                            </w:rPr>
                            <w:t>a</w:t>
                          </w:r>
                          <w:r w:rsidRPr="00D91DC7">
                            <w:rPr>
                              <w:lang w:val="en-US"/>
                            </w:rPr>
                            <w:t>)</w:t>
                          </w:r>
                        </w:p>
                      </w:txbxContent>
                    </v:textbox>
                  </v:rect>
                </v:group>
                <v:group id="Group 404" o:spid="_x0000_s1128" style="position:absolute;left:-759;top:15949;width:49458;height:10316" coordorigin="-2490,-2340" coordsize="49458,10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">
                  <v:shape id="Picture 405" o:spid="_x0000_s1129" type="#_x0000_t75" style="position:absolute;left:212;top:-1916;width:46755;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" stroked="t" strokecolor="black [3213]">
                    <v:imagedata r:id="rId62" o:title=""/>
                    <v:path arrowok="t"/>
                  </v:shape>
                  <v:rect id="Rectangle 406" o:spid="_x0000_s1130" style="position:absolute;left:-2490;top:-2340;width:2702;height: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" filled="f" stroked="f">
                    <v:textbox inset="0,0,0,0">
                      <w:txbxContent>
                        <w:p w14:paraId="781303AB" w14:textId="3E49708D" w:rsidR="00527127" w:rsidRPr="00D91DC7" w:rsidRDefault="00527127" w:rsidP="0061775D">
                          <w:pPr>
                            <w:spacing w:before="0" w:line="240" w:lineRule="auto"/>
                            <w:jc w:val="center"/>
                            <w:rPr>
                              <w:lang w:val="en-US"/>
                            </w:rPr>
                          </w:pPr>
                          <w:r>
                            <w:rPr>
                              <w:lang w:val="en-US"/>
                            </w:rPr>
                            <w:t>b</w:t>
                          </w:r>
                          <w:r w:rsidRPr="00D91DC7">
                            <w:rPr>
                              <w:lang w:val="en-US"/>
                            </w:rPr>
                            <w:t>)</w:t>
                          </w:r>
                        </w:p>
                      </w:txbxContent>
                    </v:textbox>
                  </v:rect>
                </v:group>
                <w10:anchorlock/>
              </v:group>
            </w:pict>
          </mc:Fallback>
        </mc:AlternateContent>
      </w:r>
    </w:p>
    <w:p w14:paraId="493FBA2D" w14:textId="042DB963" w:rsidR="001B035C" w:rsidRPr="009D4627" w:rsidRDefault="0061775D" w:rsidP="00C4130D">
      <w:pPr>
        <w:pStyle w:val="Caption"/>
      </w:pPr>
      <w:bookmarkStart w:id="116" w:name="_Toc73609248"/>
      <w:bookmarkStart w:id="117" w:name="_Toc73804910"/>
      <w:bookmarkStart w:id="118" w:name="_Toc98570020"/>
      <w:r w:rsidRPr="009D4627">
        <w:t>Figure 1.</w:t>
      </w:r>
      <w:r w:rsidR="002E63E9" w:rsidRPr="009D4627">
        <w:fldChar w:fldCharType="begin"/>
      </w:r>
      <w:r w:rsidR="002E63E9" w:rsidRPr="009D4627">
        <w:instrText xml:space="preserve"> SEQ Figure_1. \* ARABIC </w:instrText>
      </w:r>
      <w:r w:rsidR="002E63E9" w:rsidRPr="009D4627">
        <w:fldChar w:fldCharType="separate"/>
      </w:r>
      <w:r w:rsidR="00E268F6">
        <w:rPr>
          <w:noProof/>
        </w:rPr>
        <w:t>19</w:t>
      </w:r>
      <w:r w:rsidR="002E63E9" w:rsidRPr="009D4627">
        <w:rPr>
          <w:noProof/>
        </w:rPr>
        <w:fldChar w:fldCharType="end"/>
      </w:r>
      <w:r w:rsidRPr="009D4627">
        <w:t xml:space="preserve">: </w:t>
      </w:r>
      <w:r w:rsidR="001B035C" w:rsidRPr="009D4627">
        <w:t>Sample of t</w:t>
      </w:r>
      <w:r w:rsidR="00547D87" w:rsidRPr="009D4627">
        <w:t xml:space="preserve">he velocity traces recorded in a left </w:t>
      </w:r>
      <w:r w:rsidR="00AE6F60" w:rsidRPr="009D4627">
        <w:t>CN VI</w:t>
      </w:r>
      <w:r w:rsidR="00F223AB" w:rsidRPr="009D4627">
        <w:t xml:space="preserve"> </w:t>
      </w:r>
      <w:r w:rsidR="00547D87" w:rsidRPr="009D4627">
        <w:t>palsy patient.</w:t>
      </w:r>
      <w:bookmarkEnd w:id="116"/>
      <w:bookmarkEnd w:id="117"/>
      <w:bookmarkEnd w:id="118"/>
      <w:r w:rsidR="00547D87" w:rsidRPr="009D4627">
        <w:t xml:space="preserve"> </w:t>
      </w:r>
    </w:p>
    <w:p w14:paraId="0991B236" w14:textId="0CF21DD8" w:rsidR="00547D87" w:rsidRPr="009D4627" w:rsidRDefault="00F223AB" w:rsidP="00C4130D">
      <w:pPr>
        <w:pStyle w:val="Caption"/>
        <w:rPr>
          <w:noProof/>
        </w:rPr>
      </w:pPr>
      <w:r w:rsidRPr="009D4627">
        <w:t>The upward tracing represents the leftward saccade in both figures,</w:t>
      </w:r>
      <w:r w:rsidRPr="009D4627">
        <w:rPr>
          <w:noProof/>
        </w:rPr>
        <w:t xml:space="preserve"> and the downward tracing represents the rightward saccade. </w:t>
      </w:r>
      <w:r w:rsidR="00AE6F60" w:rsidRPr="009D4627">
        <w:rPr>
          <w:noProof/>
        </w:rPr>
        <w:t>a</w:t>
      </w:r>
      <w:r w:rsidRPr="009D4627">
        <w:t xml:space="preserve">) </w:t>
      </w:r>
      <w:r w:rsidRPr="009D4627">
        <w:rPr>
          <w:noProof/>
        </w:rPr>
        <w:t xml:space="preserve">Velocity trace for saccades of the unaffected RE, illustrating equal </w:t>
      </w:r>
      <w:r w:rsidR="00944720" w:rsidRPr="009D4627">
        <w:rPr>
          <w:noProof/>
        </w:rPr>
        <w:t>saccadic</w:t>
      </w:r>
      <w:r w:rsidRPr="009D4627">
        <w:rPr>
          <w:noProof/>
        </w:rPr>
        <w:t xml:space="preserve"> velocity for RE abduction and adduction. </w:t>
      </w:r>
      <w:r w:rsidR="00AE6F60" w:rsidRPr="009D4627">
        <w:rPr>
          <w:noProof/>
        </w:rPr>
        <w:t>b</w:t>
      </w:r>
      <w:r w:rsidRPr="009D4627">
        <w:t xml:space="preserve">) </w:t>
      </w:r>
      <w:r w:rsidR="00944720" w:rsidRPr="009D4627">
        <w:t>Saccadic</w:t>
      </w:r>
      <w:r w:rsidRPr="009D4627">
        <w:t xml:space="preserve"> velocity trace from the affected LE illustrat</w:t>
      </w:r>
      <w:r w:rsidR="00AE6F60" w:rsidRPr="009D4627">
        <w:t>es significant LE abduction deficits</w:t>
      </w:r>
      <w:r w:rsidRPr="009D4627">
        <w:t>. From Metz et al. (1970)</w:t>
      </w:r>
      <w:r w:rsidR="00547D87" w:rsidRPr="009D4627">
        <w:rPr>
          <w:noProof/>
        </w:rPr>
        <w:t xml:space="preserve">. </w:t>
      </w:r>
    </w:p>
    <w:p w14:paraId="0149FBD0" w14:textId="77777777" w:rsidR="002D49AA" w:rsidRPr="009D4627" w:rsidRDefault="002D49AA" w:rsidP="001262AA">
      <w:pPr>
        <w:spacing w:line="240" w:lineRule="auto"/>
        <w:rPr>
          <w:lang w:val="en-MY"/>
        </w:rPr>
      </w:pPr>
    </w:p>
    <w:p w14:paraId="68EDF2A1" w14:textId="0FDA74A4" w:rsidR="00547D87" w:rsidRPr="009D4627" w:rsidRDefault="00F223AB" w:rsidP="00390EBC">
      <w:r w:rsidRPr="009D4627">
        <w:lastRenderedPageBreak/>
        <w:t xml:space="preserve">Another study was performed to compare </w:t>
      </w:r>
      <w:r w:rsidR="00944720" w:rsidRPr="009D4627">
        <w:t>saccadic</w:t>
      </w:r>
      <w:r w:rsidRPr="009D4627">
        <w:t xml:space="preserve"> dynamics according to the site of the lesion: peripheral versus central CN VI palsy</w:t>
      </w:r>
      <w:r w:rsidR="00547D87" w:rsidRPr="009D4627">
        <w:t xml:space="preserve"> </w:t>
      </w:r>
      <w:r w:rsidR="00547D87" w:rsidRPr="009D4627">
        <w:fldChar w:fldCharType="begin"/>
      </w:r>
      <w:r w:rsidR="00C40138" w:rsidRPr="009D4627">
        <w:instrText xml:space="preserve"> ADDIN EN.CITE &lt;EndNote&gt;&lt;Cite&gt;&lt;Author&gt;Wong&lt;/Author&gt;&lt;Year&gt;2006&lt;/Year&gt;&lt;IDText&gt;Saccade dynamics in peripheral vs central sixth nerve palsies&lt;/IDText&gt;&lt;DisplayText&gt;(Wong et al., 2006)&lt;/DisplayText&gt;&lt;record&gt;&lt;isbn&gt;0028-3878&lt;/isbn&gt;&lt;titles&gt;&lt;title&gt;Saccade dynamics in peripheral vs central sixth nerve palsies&lt;/title&gt;&lt;secondary-title&gt;NEUROLOGY&lt;/secondary-title&gt;&lt;/titles&gt;&lt;pages&gt;1390-1398&lt;/pages&gt;&lt;number&gt;9&lt;/number&gt;&lt;contributors&gt;&lt;authors&gt;&lt;author&gt;Wong, Agnes M. F.&lt;/author&gt;&lt;author&gt;McReelis, Kylen&lt;/author&gt;&lt;author&gt;Sharpe, James A.&lt;/author&gt;&lt;/authors&gt;&lt;/contributors&gt;&lt;added-date format="utc"&gt;1493725137&lt;/added-date&gt;&lt;pub-location&gt;[Hagerstown, MD] :&lt;/pub-location&gt;&lt;ref-type name="Journal Article"&gt;17&lt;/ref-type&gt;&lt;dates&gt;&lt;year&gt;2006&lt;/year&gt;&lt;/dates&gt;&lt;rec-number&gt;48&lt;/rec-number&gt;&lt;last-updated-date format="utc"&gt;1493725137&lt;/last-updated-date&gt;&lt;electronic-resource-num&gt;10.1212/01.wnl.0000210448.47652.50&lt;/electronic-resource-num&gt;&lt;volume&gt;66&lt;/volume&gt;&lt;/record&gt;&lt;/Cite&gt;&lt;/EndNote&gt;</w:instrText>
      </w:r>
      <w:r w:rsidR="00547D87" w:rsidRPr="009D4627">
        <w:fldChar w:fldCharType="separate"/>
      </w:r>
      <w:r w:rsidR="00C40138" w:rsidRPr="009D4627">
        <w:rPr>
          <w:noProof/>
        </w:rPr>
        <w:t>(Wong et al., 2006)</w:t>
      </w:r>
      <w:r w:rsidR="00547D87" w:rsidRPr="009D4627">
        <w:fldChar w:fldCharType="end"/>
      </w:r>
      <w:r w:rsidR="00547D87" w:rsidRPr="009D4627">
        <w:t xml:space="preserve">. </w:t>
      </w:r>
      <w:r w:rsidR="0042191B" w:rsidRPr="009D4627">
        <w:t xml:space="preserve">The peripheral nerve palsy was described as those affected by vascular anomalies or an undetermined cause. Central palsies were caused by brain tumours, cavernomas, or demyelinating diseases. Each of the lesion sites was further divided into acute and chronic conditions. Wong et al. (2006) recruited 19 patients with unilateral </w:t>
      </w:r>
      <w:r w:rsidR="00AE6F60" w:rsidRPr="009D4627">
        <w:t>CN VI</w:t>
      </w:r>
      <w:r w:rsidR="0042191B" w:rsidRPr="009D4627">
        <w:t xml:space="preserve"> palsy and 10 participants as a healthy control group (mean age of 49 ± 12 years). The patient group was further divided into acute and chronic peripheral nerve palsy (52 ± 18-year-old and 63 ±10-year-old, respectively). All patients received magnetic resonance imaging (MRI) and computerized tomography (CT) scan procedures to confirm the site of the lesion.</w:t>
      </w:r>
      <w:r w:rsidR="00547D87" w:rsidRPr="009D4627">
        <w:t xml:space="preserve"> </w:t>
      </w:r>
      <w:r w:rsidR="0042191B" w:rsidRPr="009D4627">
        <w:t xml:space="preserve">Patients with normal imaging results were then classified as peripheral </w:t>
      </w:r>
      <w:r w:rsidR="00AE6F60" w:rsidRPr="009D4627">
        <w:t>CN VI</w:t>
      </w:r>
      <w:r w:rsidR="0042191B" w:rsidRPr="009D4627">
        <w:t xml:space="preserve"> palsy (n=14), and abnormal imaging results were categorised as central </w:t>
      </w:r>
      <w:r w:rsidR="00AE6F60" w:rsidRPr="009D4627">
        <w:t>CN VI</w:t>
      </w:r>
      <w:r w:rsidR="0042191B" w:rsidRPr="009D4627">
        <w:t xml:space="preserve"> palsy (n=5). Three of the central palsies were caused by cavernomas, while the other two had multiple sclerosis. Patients presenting with diplopia of more than a month’s duration were classified as having a chronic palsy, while those having diplopia of less than a month were classified as having an acute palsy.</w:t>
      </w:r>
      <w:r w:rsidR="00547D87" w:rsidRPr="009D4627">
        <w:t xml:space="preserve"> </w:t>
      </w:r>
      <w:r w:rsidR="0042191B" w:rsidRPr="009D4627">
        <w:t>Eye movements were recorded at both the time of and two months after presentation. They measured centrifugal (from the centre to an abducted position) and centripetal saccades (from the abducted to the centre position). The stimuli were presented with 3 sec intervals ±10° horizontally.</w:t>
      </w:r>
      <w:r w:rsidR="00547D87" w:rsidRPr="009D4627">
        <w:t xml:space="preserve"> </w:t>
      </w:r>
      <w:r w:rsidR="0042191B" w:rsidRPr="009D4627">
        <w:t>They reported that the peripheral nerve palsy group showed an increase in peak velocities after two months from the initial visit, regardless of whether there was an acute or chronic palsy, although the peak velocity did not reach the control group level. For the central nerve palsy group, the result demonstrated a consistent reduction of peak velocities</w:t>
      </w:r>
      <w:r w:rsidR="00547D87" w:rsidRPr="009D4627">
        <w:t xml:space="preserve">. </w:t>
      </w:r>
      <w:r w:rsidR="0042191B" w:rsidRPr="009D4627">
        <w:t>These deficits were shown only in the centrifugal saccade results, as they reported that centripetal saccades of the paretic eye had normal peak velocities and saccadic durations for both central and peripheral palsies.</w:t>
      </w:r>
      <w:r w:rsidR="00547D87" w:rsidRPr="009D4627">
        <w:t xml:space="preserve"> </w:t>
      </w:r>
      <w:r w:rsidR="0042191B" w:rsidRPr="009D4627">
        <w:t xml:space="preserve">In conclusion, Wong et al. (2006) suggested that the </w:t>
      </w:r>
      <w:r w:rsidR="0042191B" w:rsidRPr="009D4627">
        <w:lastRenderedPageBreak/>
        <w:t xml:space="preserve">peripheral </w:t>
      </w:r>
      <w:r w:rsidR="006415D3" w:rsidRPr="009D4627">
        <w:t>sixth nerve</w:t>
      </w:r>
      <w:r w:rsidR="0042191B" w:rsidRPr="009D4627">
        <w:t xml:space="preserve"> palsies would show some improvement within two months from the disease onset</w:t>
      </w:r>
      <w:r w:rsidR="00547D87" w:rsidRPr="009D4627">
        <w:t xml:space="preserve">. </w:t>
      </w:r>
    </w:p>
    <w:p w14:paraId="16E6B9B8" w14:textId="66457C77" w:rsidR="00547D87" w:rsidRPr="009D4627" w:rsidRDefault="0042191B" w:rsidP="00390EBC">
      <w:r w:rsidRPr="009D4627">
        <w:t xml:space="preserve">A preliminary cross-sectional study was performed to examine </w:t>
      </w:r>
      <w:r w:rsidR="00134019" w:rsidRPr="009D4627">
        <w:t>SP</w:t>
      </w:r>
      <w:r w:rsidRPr="009D4627">
        <w:t xml:space="preserve"> properties among 30 patients diagnosed with unilateral </w:t>
      </w:r>
      <w:r w:rsidR="00AE6F60" w:rsidRPr="009D4627">
        <w:t>CN III, IV and VI</w:t>
      </w:r>
      <w:r w:rsidRPr="009D4627">
        <w:t xml:space="preserve"> palsies</w:t>
      </w:r>
      <w:r w:rsidR="00547D87" w:rsidRPr="009D4627">
        <w:t xml:space="preserve"> </w:t>
      </w:r>
      <w:r w:rsidR="00547D87" w:rsidRPr="009D4627">
        <w:fldChar w:fldCharType="begin"/>
      </w:r>
      <w:r w:rsidR="00945A16" w:rsidRPr="009D4627">
        <w:instrText xml:space="preserve"> ADDIN EN.CITE &lt;EndNote&gt;&lt;Cite&gt;&lt;Author&gt;Tegetmeyer&lt;/Author&gt;&lt;Year&gt;2002&lt;/Year&gt;&lt;IDText&gt;Smooth pursuit eye movements in patients with ocular motor nerve palsies: a preliminary report&lt;/IDText&gt;&lt;DisplayText&gt;(Tegetmeyer et al., 2002)&lt;/DisplayText&gt;&lt;record&gt;&lt;isbn&gt;0927-3972&lt;/isbn&gt;&lt;titles&gt;&lt;title&gt;Smooth pursuit eye movements in patients with ocular motor nerve palsies: a preliminary report&lt;/title&gt;&lt;secondary-title&gt;Strabismus&lt;/secondary-title&gt;&lt;/titles&gt;&lt;pages&gt;75-78&lt;/pages&gt;&lt;number&gt;2&lt;/number&gt;&lt;contributors&gt;&lt;authors&gt;&lt;author&gt;Tegetmeyer, H.&lt;/author&gt;&lt;author&gt;Blaschke, Th&lt;/author&gt;&lt;author&gt;Sterker, I.&lt;/author&gt;&lt;/authors&gt;&lt;/contributors&gt;&lt;added-date format="utc"&gt;1494500524&lt;/added-date&gt;&lt;pub-location&gt;[Buren, the Netherlands] :&lt;/pub-location&gt;&lt;ref-type name="Journal Article"&gt;17&lt;/ref-type&gt;&lt;dates&gt;&lt;year&gt;2002&lt;/year&gt;&lt;/dates&gt;&lt;rec-number&gt;72&lt;/rec-number&gt;&lt;last-updated-date format="utc"&gt;1494500524&lt;/last-updated-date&gt;&lt;volume&gt;10&lt;/volume&gt;&lt;/record&gt;&lt;/Cite&gt;&lt;/EndNote&gt;</w:instrText>
      </w:r>
      <w:r w:rsidR="00547D87" w:rsidRPr="009D4627">
        <w:fldChar w:fldCharType="separate"/>
      </w:r>
      <w:r w:rsidR="00945A16" w:rsidRPr="009D4627">
        <w:rPr>
          <w:noProof/>
        </w:rPr>
        <w:t>(Tegetmeyer et al., 2002)</w:t>
      </w:r>
      <w:r w:rsidR="00547D87" w:rsidRPr="009D4627">
        <w:fldChar w:fldCharType="end"/>
      </w:r>
      <w:r w:rsidR="00547D87" w:rsidRPr="009D4627">
        <w:t xml:space="preserve">. </w:t>
      </w:r>
      <w:r w:rsidRPr="009D4627">
        <w:t xml:space="preserve">The study was conducted using a two-dimensional video-oculography </w:t>
      </w:r>
      <w:r w:rsidR="00547D87" w:rsidRPr="009D4627">
        <w:t>(</w:t>
      </w:r>
      <w:r w:rsidR="006415D3" w:rsidRPr="009D4627">
        <w:t>2D-</w:t>
      </w:r>
      <w:r w:rsidR="00547D87" w:rsidRPr="009D4627">
        <w:t>VOG</w:t>
      </w:r>
      <w:r w:rsidRPr="009D4627">
        <w:t>),</w:t>
      </w:r>
      <w:r w:rsidR="00547D87" w:rsidRPr="009D4627">
        <w:t xml:space="preserve"> </w:t>
      </w:r>
      <w:r w:rsidR="006415D3" w:rsidRPr="009D4627">
        <w:t>(</w:t>
      </w:r>
      <w:proofErr w:type="spellStart"/>
      <w:r w:rsidR="00547D87" w:rsidRPr="009D4627">
        <w:t>SensoMotoric</w:t>
      </w:r>
      <w:proofErr w:type="spellEnd"/>
      <w:r w:rsidR="00547D87" w:rsidRPr="009D4627">
        <w:t xml:space="preserve"> Instrument, Germany</w:t>
      </w:r>
      <w:r w:rsidR="006415D3" w:rsidRPr="009D4627">
        <w:t>)</w:t>
      </w:r>
      <w:r w:rsidR="00547D87" w:rsidRPr="009D4627">
        <w:t xml:space="preserve">. </w:t>
      </w:r>
      <w:r w:rsidR="006415D3" w:rsidRPr="009D4627">
        <w:t xml:space="preserve">The participants viewed a </w:t>
      </w:r>
      <w:r w:rsidR="00F57D01" w:rsidRPr="009D4627">
        <w:t>target</w:t>
      </w:r>
      <w:r w:rsidR="006415D3" w:rsidRPr="009D4627">
        <w:t xml:space="preserve"> presented on a screen with a constant velocity (10°/sec) within a range of ±10° in the horizontal, vertical, and oblique directions. Both the unaffected and affected eyes were tested monocularly. SP gain (the relationship between the target velocity to the eye velocity) was analysed. They found that the SP gain among ocular nerve palsies, regardless of the type of nerve palsy, differed depending on the fixating eye. The affected eye showed minimal movements and reduced SP gain with a series of refixation saccades.</w:t>
      </w:r>
      <w:r w:rsidR="00547D87" w:rsidRPr="009D4627">
        <w:t xml:space="preserve"> </w:t>
      </w:r>
    </w:p>
    <w:p w14:paraId="4A8D5976" w14:textId="4D4C0CDD" w:rsidR="00547D87" w:rsidRPr="009D4627" w:rsidRDefault="006415D3" w:rsidP="00390EBC">
      <w:r w:rsidRPr="009D4627">
        <w:t xml:space="preserve">Later, the same authors conducted another study to evaluate the impact of unilateral ocular motor nerve palsies on </w:t>
      </w:r>
      <w:r w:rsidR="00134019" w:rsidRPr="009D4627">
        <w:t>SP</w:t>
      </w:r>
      <w:r w:rsidRPr="009D4627">
        <w:t xml:space="preserve"> eye movements </w:t>
      </w:r>
      <w:r w:rsidRPr="009D4627">
        <w:fldChar w:fldCharType="begin">
          <w:fldData xml:space="preserve">PEVuZE5vdGU+PENpdGU+PEF1dGhvcj5UZWdldG1leWVyPC9BdXRob3I+PFllYXI+MjAwNzwvWWVh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</w:fldData>
        </w:fldChar>
      </w:r>
      <w:r w:rsidR="00C40138" w:rsidRPr="009D4627">
        <w:instrText xml:space="preserve"> ADDIN EN.CITE </w:instrText>
      </w:r>
      <w:r w:rsidR="00C40138" w:rsidRPr="009D4627">
        <w:fldChar w:fldCharType="begin">
          <w:fldData xml:space="preserve">PEVuZE5vdGU+PENpdGU+PEF1dGhvcj5UZWdldG1leWVyPC9BdXRob3I+PFllYXI+MjAwNzwvWWVh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(Tegetmeyer et al., 2007)</w:t>
      </w:r>
      <w:r w:rsidRPr="009D4627">
        <w:fldChar w:fldCharType="end"/>
      </w:r>
      <w:r w:rsidRPr="009D4627">
        <w:t xml:space="preserve">. The horizontal and vertical </w:t>
      </w:r>
      <w:r w:rsidR="00134019" w:rsidRPr="009D4627">
        <w:t>SP</w:t>
      </w:r>
      <w:r w:rsidRPr="009D4627">
        <w:t>s of 14 unilateral sixth nerve palsy patients, aged between 25 and 80, were recorded usin</w:t>
      </w:r>
      <w:r w:rsidR="00547D87" w:rsidRPr="009D4627">
        <w:t xml:space="preserve">g 2D-VOG.  </w:t>
      </w:r>
      <w:r w:rsidRPr="009D4627">
        <w:t>The recording was performed monocularly while the patients were seated with their heads restrained at the chin. A target of 1° diameter size, moved ± 10° horizontally and vertically at A constant velocity of 10°/</w:t>
      </w:r>
      <w:r w:rsidR="00547D87" w:rsidRPr="009D4627">
        <w:t xml:space="preserve">s. </w:t>
      </w:r>
      <w:r w:rsidRPr="009D4627">
        <w:t xml:space="preserve">They found that the paretic eyes were far behind the target and there </w:t>
      </w:r>
      <w:proofErr w:type="gramStart"/>
      <w:r w:rsidRPr="009D4627">
        <w:t>were</w:t>
      </w:r>
      <w:proofErr w:type="gramEnd"/>
      <w:r w:rsidRPr="009D4627">
        <w:t xml:space="preserve"> a significant increase of refixation saccades when moving towards the paretic muscle plane.</w:t>
      </w:r>
      <w:r w:rsidR="00547D87" w:rsidRPr="009D4627">
        <w:t xml:space="preserve"> </w:t>
      </w:r>
      <w:r w:rsidRPr="009D4627">
        <w:t xml:space="preserve">Their findings suggested that fixing with the paretic eye causes increasing retinal slip and position error. Consequently, it causes an increase of </w:t>
      </w:r>
      <w:r w:rsidR="00444E5B" w:rsidRPr="009D4627">
        <w:t xml:space="preserve">SP </w:t>
      </w:r>
      <w:r w:rsidRPr="009D4627">
        <w:t xml:space="preserve">gain and </w:t>
      </w:r>
      <w:r w:rsidR="003B5592" w:rsidRPr="009D4627">
        <w:t>CUS</w:t>
      </w:r>
      <w:r w:rsidRPr="009D4627">
        <w:t xml:space="preserve"> to compensate for the palsied muscle.</w:t>
      </w:r>
      <w:r w:rsidR="00547D87" w:rsidRPr="009D4627">
        <w:t xml:space="preserve"> </w:t>
      </w:r>
    </w:p>
    <w:p w14:paraId="4AB45CAE" w14:textId="455BFB39" w:rsidR="00547D87" w:rsidRPr="009D4627" w:rsidRDefault="006415D3" w:rsidP="00390EBC">
      <w:r w:rsidRPr="009D4627">
        <w:lastRenderedPageBreak/>
        <w:t xml:space="preserve">Whilst deficits in </w:t>
      </w:r>
      <w:r w:rsidR="00134019" w:rsidRPr="009D4627">
        <w:t>SP</w:t>
      </w:r>
      <w:r w:rsidRPr="009D4627">
        <w:t xml:space="preserve">s and saccades have been recorded, the value of these measurements in diagnosis and management of patients have not been considered. There has been no study conducted prospectively to evaluate any eye movement changes during the potential recovery period, which could indicate early whether the condition is recovering or otherwise. Therefore, what is needed is a series of repeated </w:t>
      </w:r>
      <w:r w:rsidR="00F937E9" w:rsidRPr="009D4627">
        <w:t>EMR</w:t>
      </w:r>
      <w:r w:rsidRPr="009D4627">
        <w:t xml:space="preserve"> within a more extended observational period to detect any subtle eye movement changes during the potential recovery phase so that any investigations can be scheduled efficiently and in a timely manner. Evidence from early observation of EMR could improve management strategies, resulting in better prognosis and outcomes. During the potential recovery period, the monitoring process could identify when full recovery occurs or, if not fully recovered, whether the condition worsens or remains unchanged</w:t>
      </w:r>
      <w:r w:rsidR="00547D87" w:rsidRPr="009D4627">
        <w:t xml:space="preserve">. </w:t>
      </w:r>
    </w:p>
    <w:p w14:paraId="3B1BA156" w14:textId="77777777" w:rsidR="00547D87" w:rsidRPr="009D4627" w:rsidRDefault="00547D87" w:rsidP="00DC4CA6">
      <w:pPr>
        <w:pStyle w:val="Heading3"/>
      </w:pPr>
      <w:bookmarkStart w:id="119" w:name="_Toc98964632"/>
      <w:bookmarkStart w:id="120" w:name="_Toc103344677"/>
      <w:r w:rsidRPr="009D4627">
        <w:t>Patient care pathway</w:t>
      </w:r>
      <w:bookmarkEnd w:id="119"/>
      <w:bookmarkEnd w:id="120"/>
    </w:p>
    <w:p w14:paraId="181654F9" w14:textId="77777777" w:rsidR="00597FB8" w:rsidRPr="009D4627" w:rsidRDefault="00597FB8" w:rsidP="00597FB8">
      <w:r w:rsidRPr="009D4627">
        <w:t xml:space="preserve">Currently, the primary aim for managing ocular nerve palsies in the early stages, following onset is to improve visual function by eliminating diplopia in PP and within a central area of fixation while monitoring the eye movements to look for any sign of spontaneous recovery, stability or worsening of the eye condition </w:t>
      </w:r>
      <w:r w:rsidRPr="009D4627">
        <w:fldChar w:fldCharType="begin"/>
      </w:r>
      <w:r w:rsidRPr="009D4627">
        <w:instrText xml:space="preserve"> ADDIN EN.CITE &lt;EndNote&gt;&lt;Cite&gt;&lt;Author&gt;Jivraj&lt;/Author&gt;&lt;Year&gt;2015&lt;/Year&gt;&lt;IDText&gt;Treatment of ocular motor palsies&lt;/IDText&gt;&lt;DisplayText&gt;(Jivraj &amp;amp; Patel, 2015)&lt;/DisplayText&gt;&lt;record&gt;&lt;keywords&gt;&lt;keyword&gt;Ocular motor palsies&lt;/keyword&gt;&lt;keyword&gt;Visual function&lt;/keyword&gt;&lt;keyword&gt;Fresnel prism&lt;/keyword&gt;&lt;keyword&gt;Botulinum toxin&lt;/keyword&gt;&lt;keyword&gt;Surgical management&lt;/keyword&gt;&lt;keyword&gt;Pediatric&lt;/keyword&gt;&lt;/keywords&gt;&lt;urls&gt;&lt;related-urls&gt;&lt;/related-urls&gt;&lt;/urls&gt;&lt;isbn&gt;1092-8480&lt;/isbn&gt;&lt;titles&gt;&lt;title&gt;Treatment of ocular motor palsies&lt;/title&gt;&lt;secondary-title&gt;Current Treatment Options in Neurology&lt;/secondary-title&gt;&lt;/titles&gt;&lt;pages&gt;1-15&lt;/pages&gt;&lt;number&gt;3&lt;/number&gt;&lt;contributors&gt;&lt;authors&gt;&lt;author&gt;Jivraj, Imran&lt;/author&gt;&lt;author&gt;Patel, Vivek&lt;/author&gt;&lt;/authors&gt;&lt;/contributors&gt;&lt;added-date format="utc"&gt;1498815677&lt;/added-date&gt;&lt;pub-location&gt;Boston&lt;/pub-location&gt;&lt;ref-type name="Journal Article"&gt;17&lt;/ref-type&gt;&lt;dates&gt;&lt;year&gt;2015&lt;/year&gt;&lt;/dates&gt;&lt;rec-number&gt;140&lt;/rec-number&gt;&lt;last-updated-date format="utc"&gt;1499730989&lt;/last-updated-date&gt;&lt;electronic-resource-num&gt;10.1007/s11940-015-0338-5&lt;/electronic-resource-num&gt;&lt;volume&gt;17&lt;/volume&gt;&lt;/record&gt;&lt;/Cite&gt;&lt;/EndNote&gt;</w:instrText>
      </w:r>
      <w:r w:rsidRPr="009D4627">
        <w:fldChar w:fldCharType="separate"/>
      </w:r>
      <w:r w:rsidRPr="009D4627">
        <w:rPr>
          <w:noProof/>
        </w:rPr>
        <w:t>(Jivraj &amp; Patel, 2015)</w:t>
      </w:r>
      <w:r w:rsidRPr="009D4627">
        <w:fldChar w:fldCharType="end"/>
      </w:r>
      <w:r w:rsidRPr="009D4627">
        <w:t xml:space="preserve">. Additionally, a provisional diagnosis needs to be considered and a decision taken as to whether further investigation including neuroimaging needs to occur at presentation. The need for urgent neuroimaging in older patients with isolated cranial neuropathies presumably microvascular aetiology is still debated and </w:t>
      </w:r>
      <w:r w:rsidRPr="009D4627">
        <w:rPr>
          <w:lang w:val="en"/>
        </w:rPr>
        <w:t>requires physicians to consider the risks and benefits of careful observation with prompt testing</w:t>
      </w:r>
      <w:r w:rsidRPr="009D4627">
        <w:t xml:space="preserve"> </w:t>
      </w:r>
      <w:r w:rsidRPr="009D4627">
        <w:fldChar w:fldCharType="begin"/>
      </w:r>
      <w:r w:rsidRPr="009D4627">
        <w:instrText xml:space="preserve"> ADDIN EN.CITE &lt;EndNote&gt;&lt;Cite&gt;&lt;Author&gt;Pineles&lt;/Author&gt;&lt;Year&gt;2018&lt;/Year&gt;&lt;IDText&gt;Isolated Ocular Motor Nerve Palsies&lt;/IDText&gt;&lt;DisplayText&gt;(Pineles &amp;amp; Velez, 2018)&lt;/DisplayText&gt;&lt;record&gt;&lt;keywords&gt;&lt;keyword&gt;cranial nerve palsy&lt;/keyword&gt;&lt;keyword&gt;diplopia&lt;/keyword&gt;&lt;keyword&gt;Strabismus&lt;/keyword&gt;&lt;keyword&gt;Neuroimaging - methods&lt;/keyword&gt;&lt;keyword&gt;Humans&lt;/keyword&gt;&lt;keyword&gt;Risk Factors&lt;/keyword&gt;&lt;keyword&gt;Clinical Protocols&lt;/keyword&gt;&lt;keyword&gt;Strabismus - diagnosis&lt;/keyword&gt;&lt;keyword&gt;Child, Preschool&lt;/keyword&gt;&lt;keyword&gt;Oculomotor Nerve Diseases - etiology&lt;/keyword&gt;&lt;keyword&gt;Abducens Nerve Diseases - etiology&lt;/keyword&gt;&lt;keyword&gt;Oculomotor Nerve Diseases - diagnosis&lt;/keyword&gt;&lt;keyword&gt;Trochlear Nerve Diseases - diagnosis&lt;/keyword&gt;&lt;keyword&gt;Algorithms&lt;/keyword&gt;&lt;keyword&gt;Adult&lt;/keyword&gt;&lt;keyword&gt;Trochlear Nerve Diseases - etiology&lt;/keyword&gt;&lt;keyword&gt;Abducens Nerve Diseases - diagnosis&lt;/keyword&gt;&lt;keyword&gt;Child&lt;/keyword&gt;&lt;keyword&gt;Diplopia - diagnosis&lt;/keyword&gt;&lt;/keywords&gt;&lt;isbn&gt;2576-117X&lt;/isbn&gt;&lt;titles&gt;&lt;title&gt;Isolated Ocular Motor Nerve Palsies&lt;/title&gt;&lt;secondary-title&gt;J Binocul Vis Ocul Motil&lt;/secondary-title&gt;&lt;/titles&gt;&lt;pages&gt;70-77&lt;/pages&gt;&lt;number&gt;3&lt;/number&gt;&lt;contributors&gt;&lt;authors&gt;&lt;author&gt;Pineles, Stacy L.&lt;/author&gt;&lt;author&gt;Velez, Federico G.&lt;/author&gt;&lt;/authors&gt;&lt;/contributors&gt;&lt;added-date format="utc"&gt;1622907307&lt;/added-date&gt;&lt;pub-location&gt;United States&lt;/pub-location&gt;&lt;ref-type name="Journal Article"&gt;17&lt;/ref-type&gt;&lt;dates&gt;&lt;year&gt;2018&lt;/year&gt;&lt;/dates&gt;&lt;rec-number&gt;749&lt;/rec-number&gt;&lt;publisher&gt;United States: Taylor &amp;amp; Francis&lt;/publisher&gt;&lt;last-updated-date format="utc"&gt;1622907307&lt;/last-updated-date&gt;&lt;electronic-resource-num&gt;10.1080/2576117X.2018.1481266&lt;/electronic-resource-num&gt;&lt;volume&gt;68&lt;/volume&gt;&lt;/record&gt;&lt;/Cite&gt;&lt;/EndNote&gt;</w:instrText>
      </w:r>
      <w:r w:rsidRPr="009D4627">
        <w:fldChar w:fldCharType="separate"/>
      </w:r>
      <w:r w:rsidRPr="009D4627">
        <w:rPr>
          <w:noProof/>
        </w:rPr>
        <w:t>(Pineles &amp; Velez, 2018)</w:t>
      </w:r>
      <w:r w:rsidRPr="009D4627">
        <w:fldChar w:fldCharType="end"/>
      </w:r>
      <w:r w:rsidRPr="009D4627">
        <w:t xml:space="preserve">. </w:t>
      </w:r>
    </w:p>
    <w:p w14:paraId="2BC6A202" w14:textId="77777777" w:rsidR="00597FB8" w:rsidRPr="009D4627" w:rsidRDefault="00597FB8" w:rsidP="00597FB8">
      <w:r w:rsidRPr="009D4627">
        <w:lastRenderedPageBreak/>
        <w:t xml:space="preserve">Risk stratification should include patient-specific data such as age, vascular risk factors, duration of symptoms, comorbid medical problems, and the specific type of CN palsy, with CNIII and CNVI palsies generally requiring greater concern than CNIV palsies. </w:t>
      </w:r>
    </w:p>
    <w:p w14:paraId="7E42007D" w14:textId="77777777" w:rsidR="00597FB8" w:rsidRPr="009D4627" w:rsidRDefault="00597FB8" w:rsidP="00597FB8">
      <w:r w:rsidRPr="009D4627">
        <w:t xml:space="preserve">Recently, Jivraj and Patel (2015) outlined the treatment for ocular nerve palsies. At onset, the initial management may be monocular occlusion of the paretic eye to eliminate binocular diplopia if patients could not join the diplopia due to large separation of images (&gt;30 PD) or variable deviation angle. There are several options for occlusion, including a patch or applying tape to one of the lenses of a pair of spectacles. </w:t>
      </w:r>
    </w:p>
    <w:p w14:paraId="4519AC7A" w14:textId="77777777" w:rsidR="00597FB8" w:rsidRPr="009D4627" w:rsidRDefault="00597FB8" w:rsidP="00597FB8">
      <w:r w:rsidRPr="009D4627">
        <w:t xml:space="preserve">Alternatively, prismatic correction could eliminate diplopia, improve visual function, and restore binocularity in some patients with temporary or permanent ocular deviations. Options are either prescribing a Fresnel prism or incorporating the prism into the spectacles. Prism correction is usually tolerated in patients with the angle of deviation up to 20 to 25 </w:t>
      </w:r>
      <w:r w:rsidRPr="009D4627">
        <w:rPr>
          <w:vertAlign w:val="superscript"/>
        </w:rPr>
        <w:t>∆</w:t>
      </w:r>
      <w:r w:rsidRPr="009D4627">
        <w:t>D horizontally and 10 to 15</w:t>
      </w:r>
      <w:r w:rsidRPr="009D4627">
        <w:rPr>
          <w:vertAlign w:val="superscript"/>
        </w:rPr>
        <w:t>∆</w:t>
      </w:r>
      <w:r w:rsidRPr="009D4627">
        <w:t>D vertically. The aim is to reduce prism strength until no longer needed or if no further reduction and stable, then possible surgical intervention or prism incorporated if preferred and angle 15</w:t>
      </w:r>
      <w:r w:rsidRPr="009D4627">
        <w:rPr>
          <w:vertAlign w:val="superscript"/>
        </w:rPr>
        <w:t>∆</w:t>
      </w:r>
      <w:r w:rsidRPr="009D4627">
        <w:t xml:space="preserve">D or less. Planning the surgical approach is based on residual extraocular muscle function, careful measurements, and an understanding of patient expectations. </w:t>
      </w:r>
    </w:p>
    <w:p w14:paraId="04FAA1E9" w14:textId="4EAFA825" w:rsidR="00597FB8" w:rsidRPr="009D4627" w:rsidRDefault="00597FB8" w:rsidP="00597FB8">
      <w:r w:rsidRPr="009D4627">
        <w:t xml:space="preserve">For cases of CN III palsy, careful observation is indicated to discriminate between compressive CN III palsy and microvascular CN III palsy. Intracranial aneurysms are the most feared cause of compressive CN III palsy because they can indicate a real neurological emergency due to the risk of subarachnoid haemorrhage </w:t>
      </w:r>
      <w:r w:rsidRPr="009D4627">
        <w:fldChar w:fldCharType="begin">
          <w:fldData xml:space="preserve">PEVuZE5vdGU+PENpdGU+PEF1dGhvcj5GYW5nPC9BdXRob3I+PFllYXI+MjAxNjwvWWVhcj48SURU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=
</w:fldData>
        </w:fldChar>
      </w:r>
      <w:r w:rsidRPr="009D4627">
        <w:instrText xml:space="preserve"> ADDIN EN.CITE </w:instrText>
      </w:r>
      <w:r w:rsidRPr="009D4627">
        <w:fldChar w:fldCharType="begin">
          <w:fldData xml:space="preserve">PEVuZE5vdGU+PENpdGU+PEF1dGhvcj5GYW5nPC9BdXRob3I+PFllYXI+MjAxNjwvWWVhcj48SURU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=
</w:fldData>
        </w:fldChar>
      </w:r>
      <w:r w:rsidRPr="009D4627">
        <w:instrText xml:space="preserve"> ADDIN EN.CITE.DATA </w:instrText>
      </w:r>
      <w:r w:rsidRPr="009D4627">
        <w:fldChar w:fldCharType="end"/>
      </w:r>
      <w:r w:rsidRPr="009D4627">
        <w:fldChar w:fldCharType="separate"/>
      </w:r>
      <w:r w:rsidRPr="009D4627">
        <w:rPr>
          <w:noProof/>
        </w:rPr>
        <w:t>(Fang et al., 2016)</w:t>
      </w:r>
      <w:r w:rsidRPr="009D4627">
        <w:fldChar w:fldCharType="end"/>
      </w:r>
      <w:r w:rsidRPr="009D4627">
        <w:t xml:space="preserve">. Fang et al. (2016) reported that 1/3 of cases of CN III palsy caused by aneurysms were from posterior communicating artery aneurysms. The most common misconception is that arterial aneurysms can only occur in cases </w:t>
      </w:r>
      <w:r w:rsidRPr="009D4627">
        <w:lastRenderedPageBreak/>
        <w:t xml:space="preserve">where there is mydriasis </w:t>
      </w:r>
      <w:r w:rsidRPr="009D4627">
        <w:fldChar w:fldCharType="begin"/>
      </w:r>
      <w:r w:rsidRPr="009D4627">
        <w:instrText xml:space="preserve"> ADDIN EN.CITE &lt;EndNote&gt;&lt;Cite&gt;&lt;Author&gt;Pineles&lt;/Author&gt;&lt;Year&gt;2018&lt;/Year&gt;&lt;IDText&gt;Isolated Ocular Motor Nerve Palsies&lt;/IDText&gt;&lt;DisplayText&gt;(Pineles &amp;amp; Velez, 2018)&lt;/DisplayText&gt;&lt;record&gt;&lt;keywords&gt;&lt;keyword&gt;cranial nerve palsy&lt;/keyword&gt;&lt;keyword&gt;diplopia&lt;/keyword&gt;&lt;keyword&gt;Strabismus&lt;/keyword&gt;&lt;keyword&gt;Neuroimaging - methods&lt;/keyword&gt;&lt;keyword&gt;Humans&lt;/keyword&gt;&lt;keyword&gt;Risk Factors&lt;/keyword&gt;&lt;keyword&gt;Clinical Protocols&lt;/keyword&gt;&lt;keyword&gt;Strabismus - diagnosis&lt;/keyword&gt;&lt;keyword&gt;Child, Preschool&lt;/keyword&gt;&lt;keyword&gt;Oculomotor Nerve Diseases - etiology&lt;/keyword&gt;&lt;keyword&gt;Abducens Nerve Diseases - etiology&lt;/keyword&gt;&lt;keyword&gt;Oculomotor Nerve Diseases - diagnosis&lt;/keyword&gt;&lt;keyword&gt;Trochlear Nerve Diseases - diagnosis&lt;/keyword&gt;&lt;keyword&gt;Algorithms&lt;/keyword&gt;&lt;keyword&gt;Adult&lt;/keyword&gt;&lt;keyword&gt;Trochlear Nerve Diseases - etiology&lt;/keyword&gt;&lt;keyword&gt;Abducens Nerve Diseases - diagnosis&lt;/keyword&gt;&lt;keyword&gt;Child&lt;/keyword&gt;&lt;keyword&gt;Diplopia - diagnosis&lt;/keyword&gt;&lt;/keywords&gt;&lt;isbn&gt;2576-117X&lt;/isbn&gt;&lt;titles&gt;&lt;title&gt;Isolated Ocular Motor Nerve Palsies&lt;/title&gt;&lt;secondary-title&gt;J Binocul Vis Ocul Motil&lt;/secondary-title&gt;&lt;/titles&gt;&lt;pages&gt;70-77&lt;/pages&gt;&lt;number&gt;3&lt;/number&gt;&lt;contributors&gt;&lt;authors&gt;&lt;author&gt;Pineles, Stacy L.&lt;/author&gt;&lt;author&gt;Velez, Federico G.&lt;/author&gt;&lt;/authors&gt;&lt;/contributors&gt;&lt;added-date format="utc"&gt;1622907307&lt;/added-date&gt;&lt;pub-location&gt;United States&lt;/pub-location&gt;&lt;ref-type name="Journal Article"&gt;17&lt;/ref-type&gt;&lt;dates&gt;&lt;year&gt;2018&lt;/year&gt;&lt;/dates&gt;&lt;rec-number&gt;749&lt;/rec-number&gt;&lt;publisher&gt;United States: Taylor &amp;amp; Francis&lt;/publisher&gt;&lt;last-updated-date format="utc"&gt;1622907307&lt;/last-updated-date&gt;&lt;electronic-resource-num&gt;10.1080/2576117X.2018.1481266&lt;/electronic-resource-num&gt;&lt;volume&gt;68&lt;/volume&gt;&lt;/record&gt;&lt;/Cite&gt;&lt;/EndNote&gt;</w:instrText>
      </w:r>
      <w:r w:rsidRPr="009D4627">
        <w:fldChar w:fldCharType="separate"/>
      </w:r>
      <w:r w:rsidRPr="009D4627">
        <w:rPr>
          <w:noProof/>
        </w:rPr>
        <w:t>(Pineles &amp; Velez, 2018)</w:t>
      </w:r>
      <w:r w:rsidRPr="009D4627">
        <w:fldChar w:fldCharType="end"/>
      </w:r>
      <w:r w:rsidRPr="009D4627">
        <w:t xml:space="preserve">. Although pupil involvement is more common in compressive lesions, pupil involvement is seen in some cases of microvascular CN III palsy, and pupil sparing is seen in some cases of compressive lesions, including aneurysms </w:t>
      </w:r>
      <w:r w:rsidRPr="009D4627">
        <w:fldChar w:fldCharType="begin">
          <w:fldData xml:space="preserve">PEVuZE5vdGU+PENpdGU+PEF1dGhvcj5SYWRpYTwvQXV0aG9yPjxZZWFyPjIwMTc8L1llYXI+PElE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</w:fldData>
        </w:fldChar>
      </w:r>
      <w:r w:rsidR="00C40138" w:rsidRPr="009D4627">
        <w:instrText xml:space="preserve"> ADDIN EN.CITE </w:instrText>
      </w:r>
      <w:r w:rsidR="00C40138" w:rsidRPr="009D4627">
        <w:fldChar w:fldCharType="begin">
          <w:fldData xml:space="preserve">PEVuZE5vdGU+PENpdGU+PEF1dGhvcj5SYWRpYTwvQXV0aG9yPjxZZWFyPjIwMTc8L1llYXI+PElE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(Fang et al., 2016; Radia et al., 2017)</w:t>
      </w:r>
      <w:r w:rsidRPr="009D4627">
        <w:fldChar w:fldCharType="end"/>
      </w:r>
      <w:r w:rsidRPr="009D4627">
        <w:t xml:space="preserve">. </w:t>
      </w:r>
    </w:p>
    <w:p w14:paraId="1D303F2D" w14:textId="4C43A381" w:rsidR="00597FB8" w:rsidRPr="009D4627" w:rsidRDefault="00597FB8" w:rsidP="00597FB8">
      <w:r w:rsidRPr="009D4627">
        <w:t xml:space="preserve">Therefore, it has been proposed all acute CN III palsy must have a CT or  magnetic resonance angiography (MRA) on the same day to rule out the possibility of life-threatening aneurysms, regardless of pupil signs </w:t>
      </w:r>
      <w:r w:rsidRPr="009D4627">
        <w:fldChar w:fldCharType="begin"/>
      </w:r>
      <w:r w:rsidRPr="009D4627">
        <w:instrText xml:space="preserve"> ADDIN EN.CITE &lt;EndNote&gt;&lt;Cite&gt;&lt;Author&gt;Radia&lt;/Author&gt;&lt;Year&gt;2017&lt;/Year&gt;&lt;IDText&gt;Examination of a third nerve palsy&lt;/IDText&gt;&lt;DisplayText&gt;(Radia et al., 2017)&lt;/DisplayText&gt;&lt;record&gt;&lt;keywords&gt;&lt;keyword&gt;Core Training for Doctors&lt;/keyword&gt;&lt;keyword&gt;Medicine, General &amp;amp; Internal&lt;/keyword&gt;&lt;keyword&gt;Life Sciences &amp;amp; Biomedicine&lt;/keyword&gt;&lt;keyword&gt;General &amp;amp; Internal Medicine&lt;/keyword&gt;&lt;keyword&gt;Science &amp;amp; Technology&lt;/keyword&gt;&lt;/keywords&gt;&lt;isbn&gt;1750-8460&lt;/isbn&gt;&lt;titles&gt;&lt;title&gt;Examination of a third nerve palsy&lt;/title&gt;&lt;secondary-title&gt;Br J Hosp Med (Lond)&lt;/secondary-title&gt;&lt;/titles&gt;&lt;pages&gt;C188-C192&lt;/pages&gt;&lt;number&gt;12&lt;/number&gt;&lt;contributors&gt;&lt;authors&gt;&lt;author&gt;Radia, Meera&lt;/author&gt;&lt;author&gt;Stahl, Matthew&lt;/author&gt;&lt;author&gt;Arunakirinathan, Meena&lt;/author&gt;&lt;author&gt;Kadhim, Mustafa&lt;/author&gt;&lt;/authors&gt;&lt;/contributors&gt;&lt;added-date format="utc"&gt;1625969102&lt;/added-date&gt;&lt;pub-location&gt;London&lt;/pub-location&gt;&lt;ref-type name="Journal Article"&gt;17&lt;/ref-type&gt;&lt;dates&gt;&lt;year&gt;2017&lt;/year&gt;&lt;/dates&gt;&lt;rec-number&gt;761&lt;/rec-number&gt;&lt;publisher&gt;London: MA Healthcare&lt;/publisher&gt;&lt;last-updated-date format="utc"&gt;1625969102&lt;/last-updated-date&gt;&lt;electronic-resource-num&gt;10.12968/hmed.2017.78.12.C188&lt;/electronic-resource-num&gt;&lt;volume&gt;78&lt;/volume&gt;&lt;/record&gt;&lt;/Cite&gt;&lt;/EndNote&gt;</w:instrText>
      </w:r>
      <w:r w:rsidRPr="009D4627">
        <w:fldChar w:fldCharType="separate"/>
      </w:r>
      <w:r w:rsidRPr="009D4627">
        <w:rPr>
          <w:noProof/>
        </w:rPr>
        <w:t>(Radia et al., 2017)</w:t>
      </w:r>
      <w:r w:rsidRPr="009D4627">
        <w:fldChar w:fldCharType="end"/>
      </w:r>
      <w:r w:rsidRPr="009D4627">
        <w:t xml:space="preserve">. MRA is an effective non-invasive imaging technique, which has evolved into a potentially useful tool in clinical use, especially for imaging of small vessels without contrast agents </w:t>
      </w:r>
      <w:r w:rsidRPr="009D4627">
        <w:fldChar w:fldCharType="begin">
          <w:fldData xml:space="preserve">PEVuZE5vdGU+PENpdGU+PEF1dGhvcj5QYXJrPC9BdXRob3I+PFllYXI+MjAxNzwvWWVhcj48SURU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</w:fldData>
        </w:fldChar>
      </w:r>
      <w:r w:rsidR="00C40138" w:rsidRPr="009D4627">
        <w:instrText xml:space="preserve"> ADDIN EN.CITE </w:instrText>
      </w:r>
      <w:r w:rsidR="00C40138" w:rsidRPr="009D4627">
        <w:fldChar w:fldCharType="begin">
          <w:fldData xml:space="preserve">PEVuZE5vdGU+PENpdGU+PEF1dGhvcj5QYXJrPC9BdXRob3I+PFllYXI+MjAxNzwvWWVhcj48SURU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(Park et al., 2017)</w:t>
      </w:r>
      <w:r w:rsidRPr="009D4627">
        <w:fldChar w:fldCharType="end"/>
      </w:r>
      <w:r w:rsidRPr="009D4627">
        <w:t xml:space="preserve">. Park and Kang (2017) reported that it provides a better diagnosis of peripheral and/or cerebrovascular diseases such as arterial malformations and aneurysms. Meanwhile, MRI of the brain and orbit with contrast is indicated if the lesion associated with the brainstem stroke or tumour, cavernous </w:t>
      </w:r>
      <w:proofErr w:type="gramStart"/>
      <w:r w:rsidRPr="009D4627">
        <w:t>sinus</w:t>
      </w:r>
      <w:proofErr w:type="gramEnd"/>
      <w:r w:rsidRPr="009D4627">
        <w:t xml:space="preserve"> or orbital apex lesion. Another study suggested to consider early neuroimaging if the patients are younger than 50 years old, have a history of head trauma, have no history of vascular risk factors, or have poor pupillary reaction </w:t>
      </w:r>
      <w:r w:rsidRPr="009D4627">
        <w:fldChar w:fldCharType="begin"/>
      </w:r>
      <w:r w:rsidR="00C40138" w:rsidRPr="009D4627">
        <w:instrText xml:space="preserve"> ADDIN EN.CITE &lt;EndNote&gt;&lt;Cite&gt;&lt;Author&gt;Witthayaweerasak&lt;/Author&gt;&lt;Year&gt;2020&lt;/Year&gt;&lt;IDText&gt;Clinical prediction score for early neuroimaging in acquired isolated oculomotor nerve palsy&lt;/IDText&gt;&lt;DisplayText&gt;(Witthayaweerasak et al., 2020)&lt;/DisplayText&gt;&lt;record&gt;&lt;keywords&gt;&lt;keyword&gt;Neuroimaging&lt;/keyword&gt;&lt;keyword&gt;Oculomotor nerve palsy&lt;/keyword&gt;&lt;keyword&gt;Predictor&lt;/keyword&gt;&lt;keyword&gt;Third nerve palsy&lt;/keyword&gt;&lt;keyword&gt;Medical imaging&lt;/keyword&gt;&lt;keyword&gt;Motility&lt;/keyword&gt;&lt;keyword&gt;Aneurysms&lt;/keyword&gt;&lt;keyword&gt;Cardiovascular disease&lt;/keyword&gt;&lt;keyword&gt;Infections&lt;/keyword&gt;&lt;keyword&gt;Inflammation&lt;/keyword&gt;&lt;keyword&gt;Neurosurgery&lt;/keyword&gt;&lt;keyword&gt;Patients&lt;/keyword&gt;&lt;keyword&gt;Risk factors&lt;/keyword&gt;&lt;keyword&gt;Studies&lt;/keyword&gt;&lt;keyword&gt;Ethics&lt;/keyword&gt;&lt;keyword&gt;Head injuries&lt;/keyword&gt;&lt;keyword&gt;Magnetic resonance imaging&lt;/keyword&gt;&lt;keyword&gt;Ischemia&lt;/keyword&gt;&lt;keyword&gt;Etiology&lt;/keyword&gt;&lt;keyword&gt;Diplopia&lt;/keyword&gt;&lt;keyword&gt;Age&lt;/keyword&gt;&lt;keyword&gt;Neurological disorders&lt;/keyword&gt;&lt;keyword&gt;third nerve palsy&lt;/keyword&gt;&lt;keyword&gt;oculomotor nerve palsy&lt;/keyword&gt;&lt;keyword&gt;predictor&lt;/keyword&gt;&lt;keyword&gt;Original Research&lt;/keyword&gt;&lt;keyword&gt;neuroimaging&lt;/keyword&gt;&lt;/keywords&gt;&lt;isbn&gt;1179-2744&lt;/isbn&gt;&lt;titles&gt;&lt;title&gt;Clinical prediction score for early neuroimaging in acquired isolated oculomotor nerve palsy&lt;/title&gt;&lt;secondary-title&gt;Eye and brain&lt;/secondary-title&gt;&lt;/titles&gt;&lt;pages&gt;89-95&lt;/pages&gt;&lt;contributors&gt;&lt;authors&gt;&lt;author&gt;Witthayaweerasak, Juthamat&lt;/author&gt;&lt;author&gt;Tansuebchueasai, Natchada&lt;/author&gt;&lt;author&gt;Aui-Aree, Nipat&lt;/author&gt;&lt;/authors&gt;&lt;/contributors&gt;&lt;added-date format="utc"&gt;1625963775&lt;/added-date&gt;&lt;pub-location&gt;Macclesfield&lt;/pub-location&gt;&lt;ref-type name="Journal Article"&gt;17&lt;/ref-type&gt;&lt;dates&gt;&lt;year&gt;2020&lt;/year&gt;&lt;/dates&gt;&lt;rec-number&gt;753&lt;/rec-number&gt;&lt;publisher&gt;Macclesfield: Taylor &amp;amp; Francis Ltd&lt;/publisher&gt;&lt;last-updated-date format="utc"&gt;1625963775&lt;/last-updated-date&gt;&lt;electronic-resource-num&gt;10.2147/EB.S253305&lt;/electronic-resource-num&gt;&lt;volume&gt;12&lt;/volume&gt;&lt;/record&gt;&lt;/Cite&gt;&lt;/EndNote&gt;</w:instrText>
      </w:r>
      <w:r w:rsidRPr="009D4627">
        <w:fldChar w:fldCharType="separate"/>
      </w:r>
      <w:r w:rsidR="00C40138" w:rsidRPr="009D4627">
        <w:rPr>
          <w:noProof/>
        </w:rPr>
        <w:t>(Witthayaweerasak et al., 2020)</w:t>
      </w:r>
      <w:r w:rsidRPr="009D4627">
        <w:fldChar w:fldCharType="end"/>
      </w:r>
      <w:r w:rsidRPr="009D4627">
        <w:t>.</w:t>
      </w:r>
    </w:p>
    <w:p w14:paraId="0EA60917" w14:textId="16FA58E0" w:rsidR="00995715" w:rsidRPr="009D4627" w:rsidRDefault="00597FB8" w:rsidP="00597FB8">
      <w:r w:rsidRPr="009D4627">
        <w:t xml:space="preserve">For CN IV and VI palsies that are presumed to have a microvascular origin due to age and associated conditions at the onset (e.g., hypertension or diabetes mellitus), it is recommended to schedule a follow-up visit within 6 to 8 weeks after the onset, as the improvement of ocular movements is expected to be observed within that duration </w:t>
      </w:r>
      <w:r w:rsidRPr="009D4627">
        <w:fldChar w:fldCharType="begin"/>
      </w:r>
      <w:r w:rsidRPr="009D4627">
        <w:instrText xml:space="preserve"> ADDIN EN.CITE &lt;EndNote&gt;&lt;Cite&gt;&lt;Author&gt;Jivraj&lt;/Author&gt;&lt;Year&gt;2015&lt;/Year&gt;&lt;IDText&gt;Treatment of ocular motor palsies&lt;/IDText&gt;&lt;DisplayText&gt;(Jivraj &amp;amp; Patel, 2015)&lt;/DisplayText&gt;&lt;record&gt;&lt;keywords&gt;&lt;keyword&gt;Ocular motor palsies&lt;/keyword&gt;&lt;keyword&gt;Visual function&lt;/keyword&gt;&lt;keyword&gt;Fresnel prism&lt;/keyword&gt;&lt;keyword&gt;Botulinum toxin&lt;/keyword&gt;&lt;keyword&gt;Surgical management&lt;/keyword&gt;&lt;keyword&gt;Pediatric&lt;/keyword&gt;&lt;/keywords&gt;&lt;urls&gt;&lt;related-urls&gt;&lt;/related-urls&gt;&lt;/urls&gt;&lt;isbn&gt;1092-8480&lt;/isbn&gt;&lt;titles&gt;&lt;title&gt;Treatment of ocular motor palsies&lt;/title&gt;&lt;secondary-title&gt;Current Treatment Options in Neurology&lt;/secondary-title&gt;&lt;/titles&gt;&lt;pages&gt;1-15&lt;/pages&gt;&lt;number&gt;3&lt;/number&gt;&lt;contributors&gt;&lt;authors&gt;&lt;author&gt;Jivraj, Imran&lt;/author&gt;&lt;author&gt;Patel, Vivek&lt;/author&gt;&lt;/authors&gt;&lt;/contributors&gt;&lt;added-date format="utc"&gt;1498815677&lt;/added-date&gt;&lt;pub-location&gt;Boston&lt;/pub-location&gt;&lt;ref-type name="Journal Article"&gt;17&lt;/ref-type&gt;&lt;dates&gt;&lt;year&gt;2015&lt;/year&gt;&lt;/dates&gt;&lt;rec-number&gt;140&lt;/rec-number&gt;&lt;last-updated-date format="utc"&gt;1499730989&lt;/last-updated-date&gt;&lt;electronic-resource-num&gt;10.1007/s11940-015-0338-5&lt;/electronic-resource-num&gt;&lt;volume&gt;17&lt;/volume&gt;&lt;/record&gt;&lt;/Cite&gt;&lt;/EndNote&gt;</w:instrText>
      </w:r>
      <w:r w:rsidRPr="009D4627">
        <w:fldChar w:fldCharType="separate"/>
      </w:r>
      <w:r w:rsidRPr="009D4627">
        <w:rPr>
          <w:noProof/>
        </w:rPr>
        <w:t>(Jivraj &amp; Patel, 2015)</w:t>
      </w:r>
      <w:r w:rsidRPr="009D4627">
        <w:fldChar w:fldCharType="end"/>
      </w:r>
      <w:r w:rsidRPr="009D4627">
        <w:t>. An extensive examination of visual function and other relevant neurological testing is indicated at each follow-up visit to evaluate the disease progression. Neuroimaging, therefore, is unnecessary in purely microvascular CN IV and VI palsies since the condition typically will spontaneously recove</w:t>
      </w:r>
      <w:r w:rsidR="00253E9F" w:rsidRPr="009D4627">
        <w:t>r</w:t>
      </w:r>
      <w:r w:rsidR="00995715" w:rsidRPr="009D4627">
        <w:t xml:space="preserve">. </w:t>
      </w:r>
    </w:p>
    <w:p w14:paraId="3CFA6D12" w14:textId="77777777" w:rsidR="00547D87" w:rsidRPr="009D4627" w:rsidRDefault="00547D87" w:rsidP="00DC4CA6">
      <w:pPr>
        <w:pStyle w:val="Heading3"/>
      </w:pPr>
      <w:bookmarkStart w:id="121" w:name="_Toc98964633"/>
      <w:bookmarkStart w:id="122" w:name="_Toc103344678"/>
      <w:r w:rsidRPr="009D4627">
        <w:lastRenderedPageBreak/>
        <w:t>Observational period of recovery</w:t>
      </w:r>
      <w:bookmarkEnd w:id="121"/>
      <w:bookmarkEnd w:id="122"/>
    </w:p>
    <w:p w14:paraId="5181319B" w14:textId="6E00717C" w:rsidR="00597FB8" w:rsidRPr="009D4627" w:rsidRDefault="00597FB8" w:rsidP="00597FB8">
      <w:r w:rsidRPr="009D4627">
        <w:t xml:space="preserve">The aetiology of ocular nerve palsies has been reported to influence the potential recovery </w:t>
      </w:r>
      <w:r w:rsidRPr="009D4627">
        <w:fldChar w:fldCharType="begin">
          <w:fldData xml:space="preserve">PEVuZE5vdGU+PENpdGU+PEF1dGhvcj5LaW5nPC9BdXRob3I+PFllYXI+MTk5NTwvWWVhcj48SURU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</w:fldData>
        </w:fldChar>
      </w:r>
      <w:r w:rsidR="00C40138" w:rsidRPr="009D4627">
        <w:instrText xml:space="preserve"> ADDIN EN.CITE </w:instrText>
      </w:r>
      <w:r w:rsidR="00C40138" w:rsidRPr="009D4627">
        <w:fldChar w:fldCharType="begin">
          <w:fldData xml:space="preserve">PEVuZE5vdGU+PENpdGU+PEF1dGhvcj5LaW5nPC9BdXRob3I+PFllYXI+MTk5NTwvWWVhcj48SURU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(Akagi et al., 2008; King et al., 1995; Rush &amp; Younge, 1981)</w:t>
      </w:r>
      <w:r w:rsidRPr="009D4627">
        <w:fldChar w:fldCharType="end"/>
      </w:r>
      <w:r w:rsidRPr="009D4627">
        <w:t xml:space="preserve">. A long prospective cohort study was conducted to observe the spontaneous recovery rate among 213 cases of acute unilateral isolated CN VI palsy (excluding traumatic injury) with a mean age of 56.3 years (age range 5-93 years) </w:t>
      </w:r>
      <w:r w:rsidRPr="009D4627">
        <w:fldChar w:fldCharType="begin"/>
      </w:r>
      <w:r w:rsidRPr="009D4627">
        <w:instrText xml:space="preserve"> ADDIN EN.CITE &lt;EndNote&gt;&lt;Cite&gt;&lt;Author&gt;Anthony&lt;/Author&gt;&lt;Year&gt;1995&lt;/Year&gt;&lt;IDText&gt;Spontaneous recovery rates for unilateral sixth nerve palsies&lt;/IDText&gt;&lt;DisplayText&gt;(King et al., 1995)&lt;/DisplayText&gt;&lt;record&gt;&lt;keywords&gt;&lt;keyword&gt;Medicine&lt;/keyword&gt;&lt;/keywords&gt;&lt;isbn&gt;0950-222X&lt;/isbn&gt;&lt;titles&gt;&lt;title&gt;Spontaneous recovery rates for unilateral sixth nerve palsies&lt;/title&gt;&lt;secondary-title&gt;Eye&lt;/secondary-title&gt;&lt;/titles&gt;&lt;pages&gt;476&lt;/pages&gt;&lt;number&gt;4&lt;/number&gt;&lt;contributors&gt;&lt;authors&gt;&lt;author&gt;King, Anthony J&lt;/author&gt;&lt;author&gt;Stacey, Emma&lt;/author&gt;&lt;author&gt;Stephenson, Gail&lt;/author&gt;&lt;author&gt;Trimble, Roger B&lt;/author&gt;&lt;/authors&gt;&lt;/contributors&gt;&lt;added-date format="utc"&gt;1495892624&lt;/added-date&gt;&lt;ref-type name="Journal Article"&gt;17&lt;/ref-type&gt;&lt;dates&gt;&lt;year&gt;1995&lt;/year&gt;&lt;/dates&gt;&lt;rec-number&gt;110&lt;/rec-number&gt;&lt;last-updated-date format="utc"&gt;1499926397&lt;/last-updated-date&gt;&lt;electronic-resource-num&gt;10.1038/eye.1995.110&lt;/electronic-resource-num&gt;&lt;volume&gt;9&lt;/volume&gt;&lt;/record&gt;&lt;/Cite&gt;&lt;/EndNote&gt;</w:instrText>
      </w:r>
      <w:r w:rsidRPr="009D4627">
        <w:fldChar w:fldCharType="separate"/>
      </w:r>
      <w:r w:rsidRPr="009D4627">
        <w:rPr>
          <w:noProof/>
        </w:rPr>
        <w:t>(King et al., 1995)</w:t>
      </w:r>
      <w:r w:rsidRPr="009D4627">
        <w:fldChar w:fldCharType="end"/>
      </w:r>
      <w:r w:rsidRPr="009D4627">
        <w:t xml:space="preserve">.  The patients were recruited from eye casualties and referrals to the eye departments from general practice. Patients referred from tertiary units and other specialists were excluded to avoid the inclusion of chronic and severe brain pathology, because these are known to have less chance of spontaneous recovery </w:t>
      </w:r>
      <w:r w:rsidRPr="009D4627">
        <w:fldChar w:fldCharType="begin"/>
      </w:r>
      <w:r w:rsidRPr="009D4627">
        <w:instrText xml:space="preserve"> ADDIN EN.CITE &lt;EndNote&gt;&lt;Cite&gt;&lt;Author&gt;Wong&lt;/Author&gt;&lt;Year&gt;2006&lt;/Year&gt;&lt;IDText&gt;Saccade dynamics in peripheral vs central sixth nerve palsies&lt;/IDText&gt;&lt;DisplayText&gt;(Rush &amp;amp; Younge, 1981; Wong et al., 2006)&lt;/DisplayText&gt;&lt;record&gt;&lt;isbn&gt;0028-3878&lt;/isbn&gt;&lt;titles&gt;&lt;title&gt;Saccade dynamics in peripheral vs central sixth nerve palsies&lt;/title&gt;&lt;secondary-title&gt;NEUROLOGY&lt;/secondary-title&gt;&lt;/titles&gt;&lt;pages&gt;1390-1398&lt;/pages&gt;&lt;number&gt;9&lt;/number&gt;&lt;contributors&gt;&lt;authors&gt;&lt;author&gt;Wong, Agnes M. F.&lt;/author&gt;&lt;author&gt;McReelis, Kylen&lt;/author&gt;&lt;author&gt;Sharpe, James A.&lt;/author&gt;&lt;/authors&gt;&lt;/contributors&gt;&lt;added-date format="utc"&gt;1493725137&lt;/added-date&gt;&lt;pub-location&gt;[Hagerstown, MD] :&lt;/pub-location&gt;&lt;ref-type name="Journal Article"&gt;17&lt;/ref-type&gt;&lt;dates&gt;&lt;year&gt;2006&lt;/year&gt;&lt;/dates&gt;&lt;rec-number&gt;48&lt;/rec-number&gt;&lt;last-updated-date format="utc"&gt;1493725137&lt;/last-updated-date&gt;&lt;electronic-resource-num&gt;10.1212/01.wnl.0000210448.47652.50&lt;/electronic-resource-num&gt;&lt;volume&gt;66&lt;/volume&gt;&lt;/record&gt;&lt;/Cite&gt;&lt;Cite&gt;&lt;Author&gt;Rush&lt;/Author&gt;&lt;Year&gt;1981&lt;/Year&gt;&lt;IDText&gt;Paralysis of cranial nerves III, IV, and VI. Cause and prognosis in 1,000 cases&lt;/IDText&gt;&lt;record&gt;&lt;keywords&gt;&lt;keyword&gt;Abducens Nerve&lt;/keyword&gt;&lt;keyword&gt;Oculomotor Nerve&lt;/keyword&gt;&lt;keyword&gt;Trochlear Nerve&lt;/keyword&gt;&lt;keyword&gt;Facial Paralysis -- Etiology&lt;/keyword&gt;&lt;keyword&gt;Ophthalmoplegia -- Etiology&lt;/keyword&gt;&lt;/keywords&gt;&lt;isbn&gt;0003-9950&lt;/isbn&gt;&lt;titles&gt;&lt;title&gt;Paralysis of cranial nerves III, IV, and VI. Cause and prognosis in 1,000 cases&lt;/title&gt;&lt;secondary-title&gt;Archives of ophthalmology (Chicago, Ill. : 1960)&lt;/secondary-title&gt;&lt;/titles&gt;&lt;pages&gt;76&lt;/pages&gt;&lt;number&gt;1&lt;/number&gt;&lt;contributors&gt;&lt;authors&gt;&lt;author&gt;Rush, J. A.&lt;/author&gt;&lt;author&gt;Younge, B. R.&lt;/author&gt;&lt;/authors&gt;&lt;/contributors&gt;&lt;added-date format="utc"&gt;1495208794&lt;/added-date&gt;&lt;ref-type name="Journal Article"&gt;17&lt;/ref-type&gt;&lt;dates&gt;&lt;year&gt;1981&lt;/year&gt;&lt;/dates&gt;&lt;rec-number&gt;88&lt;/rec-number&gt;&lt;last-updated-date format="utc"&gt;1495208794&lt;/last-updated-date&gt;&lt;electronic-resource-num&gt;10.1001/archopht.1981.03930010078006&lt;/electronic-resource-num&gt;&lt;volume&gt;99&lt;/volume&gt;&lt;/record&gt;&lt;/Cite&gt;&lt;/EndNote&gt;</w:instrText>
      </w:r>
      <w:r w:rsidRPr="009D4627">
        <w:fldChar w:fldCharType="separate"/>
      </w:r>
      <w:r w:rsidRPr="009D4627">
        <w:rPr>
          <w:noProof/>
        </w:rPr>
        <w:t>(Rush &amp; Younge, 1981; Wong et al., 2006)</w:t>
      </w:r>
      <w:r w:rsidRPr="009D4627">
        <w:fldChar w:fldCharType="end"/>
      </w:r>
      <w:r w:rsidRPr="009D4627">
        <w:t xml:space="preserve">. The follow-up intervals were scheduled to be after 8, 16, 24, 52 weeks from the initial visit. The definitions to categorise cases as recovered or unrecovered were not stated. They found that 78.4% (167/213) of CN VI palsies recovered after an average of 9.7 weeks. Among the recovered cases, 84.4% (141/167) showed full recovery within 16 weeks. This finding suggested that detailed investigation, including MRI, is warranted if cases had not shown signs of </w:t>
      </w:r>
      <w:proofErr w:type="spellStart"/>
      <w:r w:rsidRPr="009D4627">
        <w:t>recoveryafter</w:t>
      </w:r>
      <w:proofErr w:type="spellEnd"/>
      <w:r w:rsidRPr="009D4627">
        <w:t xml:space="preserve"> 16 weeks to exclude severe underlying pathology. Their results show a higher recovery percentage than Rush and Younge (1981), which reported only 48.3% (483/1000) recovery rate, but the recovery period was not specified due to the retrospective study design. The results were analysed based on the questionnaires distributed to the patients. </w:t>
      </w:r>
    </w:p>
    <w:p w14:paraId="6458F54D" w14:textId="772FAB1A" w:rsidR="00597FB8" w:rsidRPr="009D4627" w:rsidRDefault="00597FB8" w:rsidP="00597FB8">
      <w:r w:rsidRPr="009D4627">
        <w:t xml:space="preserve">This difference in the results is probably because Rush and Younge (1981) included all ocular nerve palsies regardless of their aetiology, such as vasculopathy, aneurysm, neoplasm, trauma, and other brain pathologies. King et al. (1995), excluded aetiologies of brain pathology and trauma, increased their recovery rate to 59.2%. Therefore, it appears that the aetiology of the </w:t>
      </w:r>
      <w:r w:rsidR="00940AE5" w:rsidRPr="009D4627">
        <w:t>ONP</w:t>
      </w:r>
      <w:r w:rsidRPr="009D4627">
        <w:t xml:space="preserve"> influences the rate and number of patients recovering. Besides, the study conducted by </w:t>
      </w:r>
      <w:r w:rsidRPr="009D4627">
        <w:lastRenderedPageBreak/>
        <w:t xml:space="preserve">Rush and Younge (1981) was a retrospective study while King et al. (1995) carried out a prospective study; the latter could be more reliable in monitoring the disease progression. </w:t>
      </w:r>
    </w:p>
    <w:p w14:paraId="43C77DB0" w14:textId="0218D84F" w:rsidR="00597FB8" w:rsidRPr="009D4627" w:rsidRDefault="00597FB8" w:rsidP="00597FB8">
      <w:r w:rsidRPr="009D4627">
        <w:t xml:space="preserve">A retrospective study conducted to identify factors affecting recovery among 206 patients diagnosed with either acute CN III, IV, or VI palsies </w:t>
      </w:r>
      <w:r w:rsidRPr="009D4627">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dWxvbW90b3I8L2tleXdvcmQ+PGtleXdvcmQ+dHJvY2hsZWFyPC9rZXl3b3JkPjxrZXl3b3JkPmFk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</w:fldData>
        </w:fldChar>
      </w:r>
      <w:r w:rsidR="00C40138" w:rsidRPr="009D4627">
        <w:instrText xml:space="preserve"> ADDIN EN.CITE </w:instrText>
      </w:r>
      <w:r w:rsidR="00C40138" w:rsidRPr="009D4627">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dWxvbW90b3I8L2tleXdvcmQ+PGtleXdvcmQ+dHJvY2hsZWFyPC9rZXl3b3JkPjxrZXl3b3JkPmFk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(Park et al., 2008)</w:t>
      </w:r>
      <w:r w:rsidRPr="009D4627">
        <w:fldChar w:fldCharType="end"/>
      </w:r>
      <w:r w:rsidRPr="009D4627">
        <w:t xml:space="preserve"> included vascular, trauma, neoplasm, aneurysm, undetermined and 'other' causes. Among those causes, the vascular group had the highest mean age, which was 63.9 years old. This finding was in agreement with </w:t>
      </w:r>
      <w:r w:rsidRPr="009D4627">
        <w:fldChar w:fldCharType="begin"/>
      </w:r>
      <w:r w:rsidRPr="009D4627">
        <w:instrText xml:space="preserve"> ADDIN EN.CITE &lt;EndNote&gt;&lt;Cite&gt;&lt;Author&gt;Akagi&lt;/Author&gt;&lt;Year&gt;2008&lt;/Year&gt;&lt;IDText&gt;Cause and prognosis of neurologically isolated third, fourth, or sixth cranial nerve dysfunction in cases of oculomotor palsy&lt;/IDText&gt;&lt;DisplayText&gt;(Akagi et al., 2008)&lt;/DisplayText&gt;&lt;record&gt;&lt;dates&gt;&lt;pub-dates&gt;&lt;date&gt;Feb&lt;/date&gt;&lt;/pub-dates&gt;&lt;year&gt;2008&lt;/year&gt;&lt;/dates&gt;&lt;keywords&gt;&lt;keyword&gt;anisocoria&lt;/keyword&gt;&lt;keyword&gt;diplopia&lt;/keyword&gt;&lt;keyword&gt;nerve palsy&lt;/keyword&gt;&lt;keyword&gt;ptosis&lt;/keyword&gt;&lt;keyword&gt;magnetic-resonance angiography&lt;/keyword&gt;&lt;keyword&gt;emerging role&lt;/keyword&gt;&lt;keyword&gt;paralysis&lt;/keyword&gt;&lt;keyword&gt;management&lt;/keyword&gt;&lt;keyword&gt;trochlear&lt;/keyword&gt;&lt;keyword&gt;Ophthalmology&lt;/keyword&gt;&lt;/keywords&gt;&lt;urls&gt;&lt;related-urls&gt;&lt;url&gt;&amp;lt;Go to ISI&amp;gt;://WOS:000254438700005&lt;/url&gt;&lt;/related-urls&gt;&lt;/urls&gt;&lt;isbn&gt;0021-5155&lt;/isbn&gt;&lt;work-type&gt;Article&lt;/work-type&gt;&lt;titles&gt;&lt;title&gt;Cause and prognosis of neurologically isolated third, fourth, or sixth cranial nerve dysfunction in cases of oculomotor palsy&lt;/title&gt;&lt;secondary-title&gt;Japanese Journal of Ophthalmology&lt;/secondary-title&gt;&lt;alt-title&gt;Jpn. J. Ophthalmol.&lt;/alt-title&gt;&lt;/titles&gt;&lt;pages&gt;32-35&lt;/pages&gt;&lt;number&gt;1&lt;/number&gt;&lt;contributors&gt;&lt;authors&gt;&lt;author&gt;Akagi, T.&lt;/author&gt;&lt;author&gt;Miyamoto, K.&lt;/author&gt;&lt;author&gt;Kashii, S.&lt;/author&gt;&lt;author&gt;Yoshimura, N.&lt;/author&gt;&lt;/authors&gt;&lt;/contributors&gt;&lt;language&gt;English&lt;/language&gt;&lt;added-date format="utc"&gt;1495874785&lt;/added-date&gt;&lt;ref-type name="Journal Article"&gt;17&lt;/ref-type&gt;&lt;auth-address&gt;[Kashii, Satoshi] Osaka Red Cross Hosp, Dept Ophthalmol, Osaka 5438555, Japan. [Akagi, Tadamichi&amp;#xD;Miyamoto, Kazuaki&amp;#xD;Kashii, Satoshi&amp;#xD;Yoshimura, Nagahisa] Kyoto Univ, Grad Sch Med, Dept Ophthalmol &amp;amp; Visual Sci, Kyoto, Japan.&amp;#xD;Kashii, S (reprint author), Osaka Red Cross Hosp, Dept Ophthalmol, Osaka 5438555, Japan.&lt;/auth-address&gt;&lt;rec-number&gt;100&lt;/rec-number&gt;&lt;last-updated-date format="utc"&gt;1495874785&lt;/last-updated-date&gt;&lt;accession-num&gt;WOS:000254438700005&lt;/accession-num&gt;&lt;electronic-resource-num&gt;10.1007/s10384-007-0489-3&lt;/electronic-resource-num&gt;&lt;volume&gt;52&lt;/volume&gt;&lt;/record&gt;&lt;/Cite&gt;&lt;/EndNote&gt;</w:instrText>
      </w:r>
      <w:r w:rsidRPr="009D4627">
        <w:fldChar w:fldCharType="separate"/>
      </w:r>
      <w:r w:rsidRPr="009D4627">
        <w:rPr>
          <w:noProof/>
        </w:rPr>
        <w:t>(Akagi et al., 2008)</w:t>
      </w:r>
      <w:r w:rsidRPr="009D4627">
        <w:fldChar w:fldCharType="end"/>
      </w:r>
      <w:r w:rsidRPr="009D4627">
        <w:t xml:space="preserve">, which classified the different causes of CN VI palsy to be affected by age, whereby above 50 years the cause was highly likely to be due to a vascular problem, between 20-49 years associated with an organic lesion and below 20 years old normally due to head trauma or congenital disability. </w:t>
      </w:r>
    </w:p>
    <w:p w14:paraId="572DA64C" w14:textId="52308C45" w:rsidR="00597FB8" w:rsidRPr="009D4627" w:rsidRDefault="00597FB8" w:rsidP="00597FB8">
      <w:r w:rsidRPr="009D4627">
        <w:rPr>
          <w:noProof/>
        </w:rPr>
        <w:t>Park et al. (2008)</w:t>
      </w:r>
      <w:r w:rsidRPr="009D4627">
        <w:t xml:space="preserve"> assessed the ocular movements with gross assessment using ocular motility testing. An assessment was completed at the initial visit with follow-up after at least 6 months. However, specific follow-up time intervals were not reported. The results were analysed based on recovery stages, either complete or partial. A complete recovery was defined as a measurement of 0</w:t>
      </w:r>
      <w:r w:rsidRPr="009D4627">
        <w:rPr>
          <w:vertAlign w:val="superscript"/>
        </w:rPr>
        <w:t>∆</w:t>
      </w:r>
      <w:r w:rsidRPr="009D4627">
        <w:t>D of PCT in PP, no other ocular motor restriction being presented and no diplopia reported. In comparison, a partial recovery was defined as the PCT result showing a reduction by more than 10</w:t>
      </w:r>
      <w:r w:rsidRPr="009D4627">
        <w:rPr>
          <w:vertAlign w:val="superscript"/>
        </w:rPr>
        <w:t>∆</w:t>
      </w:r>
      <w:r w:rsidRPr="009D4627">
        <w:t xml:space="preserve">D from onset. Park et al. (2008) found complete recovery within 6 months among 13 of 19 (68%) with CN III palsy, 12 of 23 (52.2%) with CN IV palsy, and 46 of 63 (73%) with CN VI. They also demonstrated that isolated </w:t>
      </w:r>
      <w:r w:rsidR="00940AE5" w:rsidRPr="009D4627">
        <w:t>ONP</w:t>
      </w:r>
      <w:r w:rsidRPr="009D4627">
        <w:t xml:space="preserve"> with a deviation angle of ≤30 prism dioptres at onset </w:t>
      </w:r>
      <w:proofErr w:type="gramStart"/>
      <w:r w:rsidRPr="009D4627">
        <w:t>was</w:t>
      </w:r>
      <w:proofErr w:type="gramEnd"/>
      <w:r w:rsidRPr="009D4627">
        <w:t xml:space="preserve"> likely to undergo complete recovery provided the underlying cause had been treated. However, it should be noted that the mean age of patients was nearly 50-years-old, therefore, most of their patients had a </w:t>
      </w:r>
      <w:proofErr w:type="spellStart"/>
      <w:r w:rsidRPr="009D4627">
        <w:t>vasculopathic</w:t>
      </w:r>
      <w:proofErr w:type="spellEnd"/>
      <w:r w:rsidRPr="009D4627">
        <w:t xml:space="preserve"> or undetermined aetiology of the nerve palsy. As a result, a high spontaneous recovery rate regardless of CN III, IV, or VI palsies was discovered in the study </w:t>
      </w:r>
      <w:r w:rsidRPr="009D4627">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dWxvbW90b3I8L2tleXdvcmQ+PGtleXdvcmQ+PC9rZXl3b3JkPjxrZXl3b3JkPnRyb2NobGVhcjwv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</w:fldData>
        </w:fldChar>
      </w:r>
      <w:r w:rsidR="00C40138" w:rsidRPr="009D4627">
        <w:instrText xml:space="preserve"> ADDIN EN.CITE </w:instrText>
      </w:r>
      <w:r w:rsidR="00C40138" w:rsidRPr="009D4627">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dWxvbW90b3I8L2tleXdvcmQ+PGtleXdvcmQ+PC9rZXl3b3JkPjxrZXl3b3JkPnRyb2NobGVhcjwv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(Park et al., 2008)</w:t>
      </w:r>
      <w:r w:rsidRPr="009D4627">
        <w:fldChar w:fldCharType="end"/>
      </w:r>
      <w:r w:rsidRPr="009D4627">
        <w:t xml:space="preserve">. Their findings are comparable to </w:t>
      </w:r>
      <w:r w:rsidRPr="009D4627">
        <w:lastRenderedPageBreak/>
        <w:t xml:space="preserve">previous studies with an average age of 50-years-old and above </w:t>
      </w:r>
      <w:r w:rsidRPr="009D4627">
        <w:fldChar w:fldCharType="begin">
          <w:fldData xml:space="preserve">PEVuZE5vdGU+PENpdGU+PEF1dGhvcj5CZXJsaXQ8L0F1dGhvcj48WWVhcj4xOTkxPC9ZZWFyPjxJ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</w:fldData>
        </w:fldChar>
      </w:r>
      <w:r w:rsidR="00C40138" w:rsidRPr="009D4627">
        <w:instrText xml:space="preserve"> ADDIN EN.CITE </w:instrText>
      </w:r>
      <w:r w:rsidR="00C40138" w:rsidRPr="009D4627">
        <w:fldChar w:fldCharType="begin">
          <w:fldData xml:space="preserve">PEVuZE5vdGU+PENpdGU+PEF1dGhvcj5CZXJsaXQ8L0F1dGhvcj48WWVhcj4xOTkxPC9ZZWFyPjxJ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(Akagi et al., 2008; Berlit, 1991; Tiffin et al., 1996)</w:t>
      </w:r>
      <w:r w:rsidRPr="009D4627">
        <w:fldChar w:fldCharType="end"/>
      </w:r>
      <w:r w:rsidRPr="009D4627">
        <w:t xml:space="preserve">. </w:t>
      </w:r>
    </w:p>
    <w:p w14:paraId="0D5197E4" w14:textId="77777777" w:rsidR="00597FB8" w:rsidRPr="009D4627" w:rsidRDefault="00597FB8" w:rsidP="00597FB8">
      <w:r w:rsidRPr="009D4627">
        <w:t xml:space="preserve">Recently, there was a study investigated the clinical outcomes and aetiology of an acute vertical diplopia cases in 80 adults </w:t>
      </w:r>
      <w:r w:rsidRPr="009D4627">
        <w:fldChar w:fldCharType="begin"/>
      </w:r>
      <w:r w:rsidRPr="009D4627">
        <w:instrText xml:space="preserve"> ADDIN EN.CITE &lt;EndNote&gt;&lt;Cite&gt;&lt;Author&gt;Oh&lt;/Author&gt;&lt;Year&gt;2020&lt;/Year&gt;&lt;IDText&gt;Clinical outcomes and aetiology of fourth cranial nerve palsy with acute vertical diplopia in adults&lt;/IDText&gt;&lt;DisplayText&gt;(Oh &amp;amp; Oh, 2020)&lt;/DisplayText&gt;&lt;record&gt;&lt;keywords&gt;&lt;keyword&gt;Life Sciences &amp;amp; Biomedicine&lt;/keyword&gt;&lt;keyword&gt;Ophthalmology&lt;/keyword&gt;&lt;keyword&gt;Science &amp;amp; Technology&lt;/keyword&gt;&lt;keyword&gt;Index Medicus&lt;/keyword&gt;&lt;keyword&gt;Outcomes research&lt;/keyword&gt;&lt;keyword&gt;Neurological disorders&lt;/keyword&gt;&lt;/keywords&gt;&lt;isbn&gt;0950-222X&lt;/isbn&gt;&lt;titles&gt;&lt;title&gt;Clinical outcomes and aetiology of fourth cranial nerve palsy with acute vertical diplopia in adults&lt;/title&gt;&lt;secondary-title&gt;Eye (Lond)&lt;/secondary-title&gt;&lt;/titles&gt;&lt;pages&gt;1842-1847&lt;/pages&gt;&lt;number&gt;10&lt;/number&gt;&lt;contributors&gt;&lt;authors&gt;&lt;author&gt;Oh, Shin Yeop&lt;/author&gt;&lt;author&gt;Oh, Sei Yeul&lt;/author&gt;&lt;/authors&gt;&lt;/contributors&gt;&lt;added-date format="utc"&gt;1612526892&lt;/added-date&gt;&lt;pub-location&gt;LONDON&lt;/pub-location&gt;&lt;ref-type name="Journal Article"&gt;17&lt;/ref-type&gt;&lt;dates&gt;&lt;year&gt;2020&lt;/year&gt;&lt;/dates&gt;&lt;rec-number&gt;733&lt;/rec-number&gt;&lt;publisher&gt;LONDON: NATURE PUBLISHING GROUP&lt;/publisher&gt;&lt;last-updated-date format="utc"&gt;1612526892&lt;/last-updated-date&gt;&lt;electronic-resource-num&gt;10.1038/s41433-019-0749-8&lt;/electronic-resource-num&gt;&lt;volume&gt;34&lt;/volume&gt;&lt;/record&gt;&lt;/Cite&gt;&lt;/EndNote&gt;</w:instrText>
      </w:r>
      <w:r w:rsidRPr="009D4627">
        <w:fldChar w:fldCharType="separate"/>
      </w:r>
      <w:r w:rsidRPr="009D4627">
        <w:rPr>
          <w:noProof/>
        </w:rPr>
        <w:t>(Oh &amp; Oh, 2020)</w:t>
      </w:r>
      <w:r w:rsidRPr="009D4627">
        <w:fldChar w:fldCharType="end"/>
      </w:r>
      <w:r w:rsidRPr="009D4627">
        <w:t>. The overall rate of complete recovery within 1.5 months of onset was 78.8% of the CN IV palsy and most had a vascular aetiology. However, the study emphasised that the prognosis for CN IV palsy varies depending on the aetiology of the palsy.</w:t>
      </w:r>
    </w:p>
    <w:p w14:paraId="63CCDE12" w14:textId="0E3CB6FC" w:rsidR="00547D87" w:rsidRPr="009D4627" w:rsidRDefault="00597FB8" w:rsidP="00597FB8">
      <w:r w:rsidRPr="009D4627">
        <w:t xml:space="preserve">Those studies mentioned above reported the recovery status by retrospectively reviewing the patients' medical records and relying on the positioned-dependent deficit eye movement test to determine whether the recovery was taken place or not. Previous studies documented changes in eye movements following the onset of ocular nerve palsies, but the limitation was retrospective methodology, making the findings questionable. Other limitations from the previous studies were the lack of detailed analysis of eye movement changes and infrequent reporting following onset. </w:t>
      </w:r>
      <w:r w:rsidRPr="009D4627">
        <w:rPr>
          <w:rFonts w:eastAsia="Arial"/>
        </w:rPr>
        <w:t>This observation period is poorly documented in the literature, with no studies providing a detailed recording of changes to eye movement systems. Further prospective cohort studies are needed to document subtle eye movement changes, such as after 2 weeks, 4 weeks, 6 weeks, and up to 3 months following onset, to better understand the ‘recovery’ period. Table 1.4 summarised the previous studies concerning aetiology of ocular nerve palsies and their recovery process</w:t>
      </w:r>
      <w:r w:rsidR="00547D87" w:rsidRPr="009D4627">
        <w:rPr>
          <w:rFonts w:eastAsia="Arial"/>
        </w:rPr>
        <w:t xml:space="preserve">. </w:t>
      </w:r>
      <w:r w:rsidR="00547D87" w:rsidRPr="009D4627">
        <w:t xml:space="preserve"> </w:t>
      </w:r>
    </w:p>
    <w:p w14:paraId="45A8B944" w14:textId="77777777" w:rsidR="005F451A" w:rsidRPr="009D4627" w:rsidRDefault="005F451A" w:rsidP="00C4130D">
      <w:pPr>
        <w:pStyle w:val="Caption"/>
        <w:sectPr w:rsidR="005F451A" w:rsidRPr="009D4627" w:rsidSect="0007333B">
          <w:headerReference w:type="default" r:id="rId63"/>
          <w:footerReference w:type="default" r:id="rId64"/>
          <w:pgSz w:w="11906" w:h="16838" w:code="9"/>
          <w:pgMar w:top="1440" w:right="1440" w:bottom="1440" w:left="1440" w:header="709" w:footer="709" w:gutter="0"/>
          <w:cols w:space="708"/>
          <w:docGrid w:linePitch="360"/>
        </w:sectPr>
      </w:pPr>
    </w:p>
    <w:p w14:paraId="769A0730" w14:textId="0CD16E0F" w:rsidR="00597FB8" w:rsidRPr="009D4627" w:rsidRDefault="00597FB8" w:rsidP="00C4130D">
      <w:pPr>
        <w:pStyle w:val="Caption"/>
        <w:rPr>
          <w:b/>
        </w:rPr>
      </w:pPr>
      <w:bookmarkStart w:id="123" w:name="_Toc99353932"/>
      <w:r w:rsidRPr="009D4627">
        <w:lastRenderedPageBreak/>
        <w:t>Table 1.</w:t>
      </w:r>
      <w:r w:rsidR="002E63E9" w:rsidRPr="009D4627">
        <w:fldChar w:fldCharType="begin"/>
      </w:r>
      <w:r w:rsidR="002E63E9" w:rsidRPr="009D4627">
        <w:instrText xml:space="preserve"> SEQ Table_1. \* ARABIC </w:instrText>
      </w:r>
      <w:r w:rsidR="002E63E9" w:rsidRPr="009D4627">
        <w:fldChar w:fldCharType="separate"/>
      </w:r>
      <w:r w:rsidR="00E268F6">
        <w:rPr>
          <w:noProof/>
        </w:rPr>
        <w:t>5</w:t>
      </w:r>
      <w:r w:rsidR="002E63E9" w:rsidRPr="009D4627">
        <w:rPr>
          <w:noProof/>
        </w:rPr>
        <w:fldChar w:fldCharType="end"/>
      </w:r>
      <w:r w:rsidRPr="009D4627">
        <w:t>: Summary of the aetiology and potential rate of recovery for CN III, IV, and VI palsies.</w:t>
      </w:r>
      <w:bookmarkEnd w:id="123"/>
    </w:p>
    <w:tbl>
      <w:tblPr>
        <w:tblStyle w:val="TableGrid"/>
        <w:tblW w:w="5000" w:type="pct"/>
        <w:tblLook w:val="04A0" w:firstRow="1" w:lastRow="0" w:firstColumn="1" w:lastColumn="0" w:noHBand="0" w:noVBand="1"/>
      </w:tblPr>
      <w:tblGrid>
        <w:gridCol w:w="1830"/>
        <w:gridCol w:w="2252"/>
        <w:gridCol w:w="2776"/>
        <w:gridCol w:w="2561"/>
        <w:gridCol w:w="1776"/>
        <w:gridCol w:w="1374"/>
        <w:gridCol w:w="1379"/>
      </w:tblGrid>
      <w:tr w:rsidR="00597FB8" w:rsidRPr="009D4627" w14:paraId="4CC49B9D" w14:textId="77777777" w:rsidTr="00597FB8">
        <w:tc>
          <w:tcPr>
            <w:tcW w:w="664" w:type="pct"/>
          </w:tcPr>
          <w:p w14:paraId="0E12AEC8" w14:textId="77777777" w:rsidR="00597FB8" w:rsidRPr="009D4627" w:rsidRDefault="00597FB8" w:rsidP="00597FB8">
            <w:pPr>
              <w:spacing w:before="0" w:after="0" w:line="240" w:lineRule="auto"/>
              <w:jc w:val="left"/>
              <w:rPr>
                <w:b/>
                <w:bCs/>
              </w:rPr>
            </w:pPr>
            <w:r w:rsidRPr="009D4627">
              <w:rPr>
                <w:b/>
                <w:bCs/>
              </w:rPr>
              <w:t>Author(s)</w:t>
            </w:r>
          </w:p>
          <w:p w14:paraId="7DC7E952" w14:textId="77777777" w:rsidR="00597FB8" w:rsidRPr="009D4627" w:rsidRDefault="00597FB8" w:rsidP="00597FB8">
            <w:pPr>
              <w:spacing w:before="0" w:after="0" w:line="240" w:lineRule="auto"/>
              <w:jc w:val="left"/>
              <w:rPr>
                <w:b/>
                <w:bCs/>
              </w:rPr>
            </w:pPr>
            <w:r w:rsidRPr="009D4627">
              <w:rPr>
                <w:b/>
                <w:bCs/>
              </w:rPr>
              <w:t>Year</w:t>
            </w:r>
          </w:p>
          <w:p w14:paraId="794EF79B" w14:textId="77777777" w:rsidR="00597FB8" w:rsidRPr="009D4627" w:rsidRDefault="00597FB8" w:rsidP="00597FB8">
            <w:pPr>
              <w:spacing w:before="0" w:after="0" w:line="240" w:lineRule="auto"/>
              <w:jc w:val="left"/>
              <w:rPr>
                <w:b/>
                <w:bCs/>
              </w:rPr>
            </w:pPr>
            <w:r w:rsidRPr="009D4627">
              <w:rPr>
                <w:b/>
                <w:bCs/>
              </w:rPr>
              <w:t>(Study location)</w:t>
            </w:r>
          </w:p>
          <w:p w14:paraId="657DE939" w14:textId="77777777" w:rsidR="00597FB8" w:rsidRPr="009D4627" w:rsidRDefault="00597FB8" w:rsidP="00597FB8">
            <w:pPr>
              <w:spacing w:before="0" w:after="0" w:line="240" w:lineRule="auto"/>
              <w:jc w:val="left"/>
              <w:rPr>
                <w:b/>
                <w:bCs/>
              </w:rPr>
            </w:pPr>
          </w:p>
        </w:tc>
        <w:tc>
          <w:tcPr>
            <w:tcW w:w="815" w:type="pct"/>
          </w:tcPr>
          <w:p w14:paraId="2A69098C" w14:textId="77777777" w:rsidR="00597FB8" w:rsidRPr="009D4627" w:rsidRDefault="00597FB8" w:rsidP="00597FB8">
            <w:pPr>
              <w:spacing w:before="0" w:after="0" w:line="240" w:lineRule="auto"/>
              <w:jc w:val="left"/>
              <w:rPr>
                <w:b/>
                <w:bCs/>
              </w:rPr>
            </w:pPr>
            <w:r w:rsidRPr="009D4627">
              <w:rPr>
                <w:b/>
                <w:bCs/>
              </w:rPr>
              <w:t>Study Design</w:t>
            </w:r>
          </w:p>
        </w:tc>
        <w:tc>
          <w:tcPr>
            <w:tcW w:w="1003" w:type="pct"/>
          </w:tcPr>
          <w:p w14:paraId="1AA01189" w14:textId="77777777" w:rsidR="00597FB8" w:rsidRPr="009D4627" w:rsidRDefault="00597FB8" w:rsidP="00597FB8">
            <w:pPr>
              <w:spacing w:before="0" w:after="0" w:line="240" w:lineRule="auto"/>
              <w:jc w:val="left"/>
              <w:rPr>
                <w:b/>
                <w:bCs/>
              </w:rPr>
            </w:pPr>
            <w:r w:rsidRPr="009D4627">
              <w:rPr>
                <w:b/>
                <w:bCs/>
              </w:rPr>
              <w:t>Participants</w:t>
            </w:r>
          </w:p>
        </w:tc>
        <w:tc>
          <w:tcPr>
            <w:tcW w:w="926" w:type="pct"/>
          </w:tcPr>
          <w:p w14:paraId="09CD67CD" w14:textId="77777777" w:rsidR="00597FB8" w:rsidRPr="009D4627" w:rsidRDefault="00597FB8" w:rsidP="00597FB8">
            <w:pPr>
              <w:spacing w:before="0" w:after="0" w:line="240" w:lineRule="auto"/>
              <w:jc w:val="left"/>
              <w:rPr>
                <w:b/>
                <w:bCs/>
              </w:rPr>
            </w:pPr>
            <w:proofErr w:type="spellStart"/>
            <w:r w:rsidRPr="009D4627">
              <w:rPr>
                <w:b/>
                <w:bCs/>
              </w:rPr>
              <w:t>Aetiology</w:t>
            </w:r>
            <w:proofErr w:type="spellEnd"/>
          </w:p>
        </w:tc>
        <w:tc>
          <w:tcPr>
            <w:tcW w:w="1592" w:type="pct"/>
            <w:gridSpan w:val="3"/>
          </w:tcPr>
          <w:p w14:paraId="2813CB56" w14:textId="77777777" w:rsidR="00597FB8" w:rsidRPr="009D4627" w:rsidRDefault="00597FB8" w:rsidP="00597FB8">
            <w:pPr>
              <w:spacing w:before="0" w:after="0" w:line="240" w:lineRule="auto"/>
              <w:jc w:val="left"/>
              <w:rPr>
                <w:b/>
                <w:bCs/>
              </w:rPr>
            </w:pPr>
            <w:r w:rsidRPr="009D4627">
              <w:rPr>
                <w:b/>
                <w:bCs/>
              </w:rPr>
              <w:t>Results</w:t>
            </w:r>
          </w:p>
          <w:p w14:paraId="1A6C6DFF" w14:textId="77777777" w:rsidR="00597FB8" w:rsidRPr="009D4627" w:rsidRDefault="00597FB8" w:rsidP="00597FB8">
            <w:pPr>
              <w:spacing w:before="0" w:after="0" w:line="240" w:lineRule="auto"/>
              <w:jc w:val="left"/>
              <w:rPr>
                <w:b/>
                <w:bCs/>
              </w:rPr>
            </w:pPr>
          </w:p>
        </w:tc>
      </w:tr>
      <w:tr w:rsidR="00597FB8" w:rsidRPr="009D4627" w14:paraId="337CD246" w14:textId="77777777" w:rsidTr="00597FB8">
        <w:tc>
          <w:tcPr>
            <w:tcW w:w="664" w:type="pct"/>
          </w:tcPr>
          <w:p w14:paraId="2D92B6EB" w14:textId="77777777" w:rsidR="00597FB8" w:rsidRPr="009D4627" w:rsidRDefault="00597FB8" w:rsidP="00597FB8">
            <w:pPr>
              <w:spacing w:before="0" w:after="0" w:line="240" w:lineRule="auto"/>
              <w:jc w:val="left"/>
            </w:pPr>
            <w:r w:rsidRPr="009D4627">
              <w:t>Rush and Younge</w:t>
            </w:r>
          </w:p>
          <w:p w14:paraId="708029E3" w14:textId="77777777" w:rsidR="00597FB8" w:rsidRPr="009D4627" w:rsidRDefault="00597FB8" w:rsidP="00597FB8">
            <w:pPr>
              <w:spacing w:before="0" w:after="0" w:line="240" w:lineRule="auto"/>
              <w:jc w:val="left"/>
            </w:pPr>
            <w:r w:rsidRPr="009D4627">
              <w:t>1981</w:t>
            </w:r>
          </w:p>
          <w:p w14:paraId="7FD3E578" w14:textId="77777777" w:rsidR="00597FB8" w:rsidRPr="009D4627" w:rsidRDefault="00597FB8" w:rsidP="00597FB8">
            <w:pPr>
              <w:spacing w:before="0" w:after="0" w:line="240" w:lineRule="auto"/>
              <w:jc w:val="left"/>
            </w:pPr>
            <w:r w:rsidRPr="009D4627">
              <w:t>(Minnesota, USA)</w:t>
            </w:r>
          </w:p>
          <w:p w14:paraId="7F171E1B" w14:textId="77777777" w:rsidR="00597FB8" w:rsidRPr="009D4627" w:rsidRDefault="00597FB8" w:rsidP="00597FB8">
            <w:pPr>
              <w:spacing w:before="0" w:after="0" w:line="240" w:lineRule="auto"/>
              <w:jc w:val="left"/>
            </w:pPr>
          </w:p>
        </w:tc>
        <w:tc>
          <w:tcPr>
            <w:tcW w:w="815" w:type="pct"/>
          </w:tcPr>
          <w:p w14:paraId="34EAF934" w14:textId="77777777" w:rsidR="00597FB8" w:rsidRPr="009D4627" w:rsidRDefault="00597FB8" w:rsidP="00597FB8">
            <w:pPr>
              <w:spacing w:before="0" w:after="0" w:line="240" w:lineRule="auto"/>
              <w:jc w:val="left"/>
            </w:pPr>
            <w:r w:rsidRPr="009D4627">
              <w:t>Retrospective (medical records reviewed)</w:t>
            </w:r>
          </w:p>
        </w:tc>
        <w:tc>
          <w:tcPr>
            <w:tcW w:w="1003" w:type="pct"/>
          </w:tcPr>
          <w:p w14:paraId="3567226C" w14:textId="77777777" w:rsidR="00597FB8" w:rsidRPr="009D4627" w:rsidRDefault="00597FB8" w:rsidP="00C171FA">
            <w:pPr>
              <w:pStyle w:val="ListParagraph"/>
              <w:numPr>
                <w:ilvl w:val="0"/>
                <w:numId w:val="121"/>
              </w:numPr>
              <w:spacing w:before="0" w:after="0" w:line="240" w:lineRule="auto"/>
              <w:ind w:left="175" w:hanging="218"/>
              <w:jc w:val="left"/>
            </w:pPr>
            <w:r w:rsidRPr="009D4627">
              <w:t>III = 29% (290/1000)</w:t>
            </w:r>
          </w:p>
          <w:p w14:paraId="50A05D9A" w14:textId="77777777" w:rsidR="00597FB8" w:rsidRPr="009D4627" w:rsidRDefault="00597FB8" w:rsidP="00C171FA">
            <w:pPr>
              <w:pStyle w:val="ListParagraph"/>
              <w:numPr>
                <w:ilvl w:val="0"/>
                <w:numId w:val="121"/>
              </w:numPr>
              <w:spacing w:before="0" w:after="0" w:line="240" w:lineRule="auto"/>
              <w:ind w:left="175" w:hanging="218"/>
              <w:jc w:val="left"/>
            </w:pPr>
            <w:r w:rsidRPr="009D4627">
              <w:t>IV = 17% (172/1000)</w:t>
            </w:r>
          </w:p>
          <w:p w14:paraId="3333CB04" w14:textId="77777777" w:rsidR="00597FB8" w:rsidRPr="009D4627" w:rsidRDefault="00597FB8" w:rsidP="00C171FA">
            <w:pPr>
              <w:pStyle w:val="ListParagraph"/>
              <w:numPr>
                <w:ilvl w:val="0"/>
                <w:numId w:val="121"/>
              </w:numPr>
              <w:spacing w:before="0" w:after="0" w:line="240" w:lineRule="auto"/>
              <w:ind w:left="175" w:hanging="218"/>
              <w:jc w:val="left"/>
            </w:pPr>
            <w:r w:rsidRPr="009D4627">
              <w:t>VI = 42% (419/1000)</w:t>
            </w:r>
          </w:p>
          <w:p w14:paraId="65002BC5" w14:textId="77777777" w:rsidR="00597FB8" w:rsidRPr="009D4627" w:rsidRDefault="00597FB8" w:rsidP="00C171FA">
            <w:pPr>
              <w:pStyle w:val="ListParagraph"/>
              <w:numPr>
                <w:ilvl w:val="0"/>
                <w:numId w:val="121"/>
              </w:numPr>
              <w:spacing w:before="0" w:after="0" w:line="240" w:lineRule="auto"/>
              <w:ind w:left="175" w:hanging="218"/>
              <w:jc w:val="left"/>
            </w:pPr>
            <w:r w:rsidRPr="009D4627">
              <w:t>Multiple = 12% (119/1000)</w:t>
            </w:r>
          </w:p>
          <w:p w14:paraId="529C242B" w14:textId="77777777" w:rsidR="00597FB8" w:rsidRPr="009D4627" w:rsidRDefault="00597FB8" w:rsidP="00597FB8">
            <w:pPr>
              <w:spacing w:before="0" w:after="0" w:line="240" w:lineRule="auto"/>
              <w:jc w:val="left"/>
            </w:pPr>
          </w:p>
          <w:p w14:paraId="4B246C46" w14:textId="77777777" w:rsidR="00597FB8" w:rsidRPr="009D4627" w:rsidRDefault="00597FB8" w:rsidP="00597FB8">
            <w:pPr>
              <w:spacing w:before="0" w:after="0" w:line="240" w:lineRule="auto"/>
              <w:jc w:val="left"/>
            </w:pPr>
            <w:r w:rsidRPr="009D4627">
              <w:t>75% &gt;35 years</w:t>
            </w:r>
          </w:p>
        </w:tc>
        <w:tc>
          <w:tcPr>
            <w:tcW w:w="926" w:type="pct"/>
          </w:tcPr>
          <w:p w14:paraId="4F5A8D6C" w14:textId="77777777" w:rsidR="00597FB8" w:rsidRPr="009D4627" w:rsidRDefault="00597FB8" w:rsidP="00597FB8">
            <w:pPr>
              <w:spacing w:before="0" w:after="0" w:line="240" w:lineRule="auto"/>
              <w:jc w:val="left"/>
            </w:pPr>
            <w:r w:rsidRPr="009D4627">
              <w:t xml:space="preserve">Vascular &amp; undetermined cases </w:t>
            </w:r>
          </w:p>
          <w:p w14:paraId="5FF059D3" w14:textId="77777777" w:rsidR="00597FB8" w:rsidRPr="009D4627" w:rsidRDefault="00597FB8" w:rsidP="00597FB8">
            <w:pPr>
              <w:spacing w:before="0" w:after="0" w:line="240" w:lineRule="auto"/>
              <w:jc w:val="left"/>
            </w:pPr>
            <w:r w:rsidRPr="009D4627">
              <w:t>III = 44% (127/290)</w:t>
            </w:r>
          </w:p>
          <w:p w14:paraId="22B2DB94" w14:textId="77777777" w:rsidR="00597FB8" w:rsidRPr="009D4627" w:rsidRDefault="00597FB8" w:rsidP="00597FB8">
            <w:pPr>
              <w:spacing w:before="0" w:after="0" w:line="240" w:lineRule="auto"/>
              <w:jc w:val="left"/>
            </w:pPr>
            <w:r w:rsidRPr="009D4627">
              <w:t>IV = 55% (94/172)</w:t>
            </w:r>
          </w:p>
          <w:p w14:paraId="429E9422" w14:textId="77777777" w:rsidR="00597FB8" w:rsidRPr="009D4627" w:rsidRDefault="00597FB8" w:rsidP="00597FB8">
            <w:pPr>
              <w:spacing w:before="0" w:after="0" w:line="240" w:lineRule="auto"/>
              <w:jc w:val="left"/>
            </w:pPr>
            <w:r w:rsidRPr="009D4627">
              <w:t>VI = 47% (198/419)</w:t>
            </w:r>
          </w:p>
          <w:p w14:paraId="58A5AE3F" w14:textId="77777777" w:rsidR="00597FB8" w:rsidRPr="009D4627" w:rsidRDefault="00597FB8" w:rsidP="00597FB8">
            <w:pPr>
              <w:spacing w:before="0" w:after="0" w:line="240" w:lineRule="auto"/>
              <w:jc w:val="left"/>
            </w:pPr>
          </w:p>
          <w:p w14:paraId="671A952E" w14:textId="77777777" w:rsidR="00597FB8" w:rsidRPr="009D4627" w:rsidRDefault="00597FB8" w:rsidP="00597FB8">
            <w:pPr>
              <w:spacing w:before="0" w:after="0" w:line="240" w:lineRule="auto"/>
              <w:jc w:val="left"/>
            </w:pPr>
            <w:r w:rsidRPr="009D4627">
              <w:t xml:space="preserve">The remaining cases had </w:t>
            </w:r>
            <w:proofErr w:type="spellStart"/>
            <w:r w:rsidRPr="009D4627">
              <w:t>aetiology</w:t>
            </w:r>
            <w:proofErr w:type="spellEnd"/>
            <w:r w:rsidRPr="009D4627">
              <w:t xml:space="preserve"> of either aneurysm, head trauma, or neoplasm</w:t>
            </w:r>
          </w:p>
          <w:p w14:paraId="01D9EDF1" w14:textId="77777777" w:rsidR="00597FB8" w:rsidRPr="009D4627" w:rsidRDefault="00597FB8" w:rsidP="00597FB8">
            <w:pPr>
              <w:spacing w:before="0" w:after="0" w:line="240" w:lineRule="auto"/>
              <w:jc w:val="left"/>
            </w:pPr>
          </w:p>
        </w:tc>
        <w:tc>
          <w:tcPr>
            <w:tcW w:w="1592" w:type="pct"/>
            <w:gridSpan w:val="3"/>
          </w:tcPr>
          <w:p w14:paraId="2089DD11" w14:textId="77777777" w:rsidR="00597FB8" w:rsidRPr="009D4627" w:rsidRDefault="00597FB8" w:rsidP="00597FB8">
            <w:pPr>
              <w:pStyle w:val="ListParagraph"/>
              <w:numPr>
                <w:ilvl w:val="0"/>
                <w:numId w:val="11"/>
              </w:numPr>
              <w:spacing w:before="0" w:after="0" w:line="240" w:lineRule="auto"/>
              <w:ind w:left="199" w:hanging="218"/>
              <w:jc w:val="left"/>
            </w:pPr>
            <w:r w:rsidRPr="009D4627">
              <w:t xml:space="preserve">Total cases (over </w:t>
            </w:r>
            <w:proofErr w:type="gramStart"/>
            <w:r w:rsidRPr="009D4627">
              <w:t>12 year</w:t>
            </w:r>
            <w:proofErr w:type="gramEnd"/>
            <w:r w:rsidRPr="009D4627">
              <w:t xml:space="preserve"> period) including all </w:t>
            </w:r>
            <w:proofErr w:type="spellStart"/>
            <w:r w:rsidRPr="009D4627">
              <w:t>aetiologies</w:t>
            </w:r>
            <w:proofErr w:type="spellEnd"/>
            <w:r w:rsidRPr="009D4627">
              <w:t xml:space="preserve"> showing recovery: partial or full = 48% (483/1000) </w:t>
            </w:r>
          </w:p>
          <w:p w14:paraId="63F29697" w14:textId="77777777" w:rsidR="00597FB8" w:rsidRPr="009D4627" w:rsidRDefault="00597FB8" w:rsidP="00597FB8">
            <w:pPr>
              <w:pStyle w:val="ListParagraph"/>
              <w:numPr>
                <w:ilvl w:val="0"/>
                <w:numId w:val="11"/>
              </w:numPr>
              <w:spacing w:before="0" w:after="0" w:line="240" w:lineRule="auto"/>
              <w:ind w:left="199" w:hanging="218"/>
              <w:jc w:val="left"/>
            </w:pPr>
            <w:r w:rsidRPr="009D4627">
              <w:t>The recovery for each group of ocular nerve palsies was:</w:t>
            </w:r>
          </w:p>
          <w:p w14:paraId="6C87FF49" w14:textId="77777777" w:rsidR="00597FB8" w:rsidRPr="009D4627" w:rsidRDefault="00597FB8" w:rsidP="00597FB8">
            <w:pPr>
              <w:pStyle w:val="ListParagraph"/>
              <w:numPr>
                <w:ilvl w:val="1"/>
                <w:numId w:val="11"/>
              </w:numPr>
              <w:spacing w:before="0" w:after="0" w:line="240" w:lineRule="auto"/>
              <w:ind w:left="483" w:hanging="77"/>
              <w:jc w:val="left"/>
            </w:pPr>
            <w:r w:rsidRPr="009D4627">
              <w:t>III=48% (140/290)</w:t>
            </w:r>
          </w:p>
          <w:p w14:paraId="38598AF5" w14:textId="77777777" w:rsidR="00597FB8" w:rsidRPr="009D4627" w:rsidRDefault="00597FB8" w:rsidP="00597FB8">
            <w:pPr>
              <w:pStyle w:val="ListParagraph"/>
              <w:numPr>
                <w:ilvl w:val="1"/>
                <w:numId w:val="11"/>
              </w:numPr>
              <w:spacing w:before="0" w:after="0" w:line="240" w:lineRule="auto"/>
              <w:ind w:left="483" w:hanging="77"/>
              <w:jc w:val="left"/>
            </w:pPr>
            <w:r w:rsidRPr="009D4627">
              <w:t>IV=53% (92/172)</w:t>
            </w:r>
          </w:p>
          <w:p w14:paraId="5E34A129" w14:textId="77777777" w:rsidR="00597FB8" w:rsidRPr="009D4627" w:rsidRDefault="00597FB8" w:rsidP="00597FB8">
            <w:pPr>
              <w:pStyle w:val="ListParagraph"/>
              <w:numPr>
                <w:ilvl w:val="1"/>
                <w:numId w:val="11"/>
              </w:numPr>
              <w:spacing w:before="0" w:after="0" w:line="240" w:lineRule="auto"/>
              <w:ind w:left="483" w:hanging="77"/>
              <w:jc w:val="left"/>
            </w:pPr>
            <w:r w:rsidRPr="009D4627">
              <w:t>VI=50% (208/419)</w:t>
            </w:r>
          </w:p>
          <w:p w14:paraId="241778AA" w14:textId="77777777" w:rsidR="00597FB8" w:rsidRPr="009D4627" w:rsidRDefault="00597FB8" w:rsidP="00597FB8">
            <w:pPr>
              <w:pStyle w:val="ListParagraph"/>
              <w:numPr>
                <w:ilvl w:val="1"/>
                <w:numId w:val="11"/>
              </w:numPr>
              <w:spacing w:before="0" w:after="0" w:line="240" w:lineRule="auto"/>
              <w:ind w:left="483" w:hanging="77"/>
              <w:jc w:val="left"/>
            </w:pPr>
            <w:r w:rsidRPr="009D4627">
              <w:t>Multiple=36% (43/119)</w:t>
            </w:r>
          </w:p>
        </w:tc>
      </w:tr>
      <w:tr w:rsidR="00597FB8" w:rsidRPr="009D4627" w14:paraId="3A0486D2" w14:textId="77777777" w:rsidTr="00597FB8">
        <w:tc>
          <w:tcPr>
            <w:tcW w:w="664" w:type="pct"/>
          </w:tcPr>
          <w:p w14:paraId="569B89F7" w14:textId="77777777" w:rsidR="00597FB8" w:rsidRPr="009D4627" w:rsidRDefault="00597FB8" w:rsidP="00597FB8">
            <w:pPr>
              <w:spacing w:before="0" w:after="0" w:line="240" w:lineRule="auto"/>
              <w:jc w:val="left"/>
              <w:rPr>
                <w:lang w:val="nl-NL"/>
              </w:rPr>
            </w:pPr>
            <w:r w:rsidRPr="009D4627">
              <w:rPr>
                <w:lang w:val="nl-NL"/>
              </w:rPr>
              <w:t>King et al.</w:t>
            </w:r>
          </w:p>
          <w:p w14:paraId="2808ADF6" w14:textId="77777777" w:rsidR="00597FB8" w:rsidRPr="009D4627" w:rsidRDefault="00597FB8" w:rsidP="00597FB8">
            <w:pPr>
              <w:spacing w:before="0" w:after="0" w:line="240" w:lineRule="auto"/>
              <w:jc w:val="left"/>
              <w:rPr>
                <w:lang w:val="nl-NL"/>
              </w:rPr>
            </w:pPr>
            <w:r w:rsidRPr="009D4627">
              <w:rPr>
                <w:lang w:val="nl-NL"/>
              </w:rPr>
              <w:t>1995</w:t>
            </w:r>
          </w:p>
          <w:p w14:paraId="7006790D" w14:textId="77777777" w:rsidR="00597FB8" w:rsidRPr="009D4627" w:rsidRDefault="00597FB8" w:rsidP="00597FB8">
            <w:pPr>
              <w:spacing w:before="0" w:after="0" w:line="240" w:lineRule="auto"/>
              <w:jc w:val="left"/>
              <w:rPr>
                <w:lang w:val="nl-NL"/>
              </w:rPr>
            </w:pPr>
            <w:r w:rsidRPr="009D4627">
              <w:rPr>
                <w:lang w:val="nl-NL"/>
              </w:rPr>
              <w:t>(Liverpool, UK)</w:t>
            </w:r>
          </w:p>
        </w:tc>
        <w:tc>
          <w:tcPr>
            <w:tcW w:w="815" w:type="pct"/>
          </w:tcPr>
          <w:p w14:paraId="435EDAE3" w14:textId="77777777" w:rsidR="00597FB8" w:rsidRPr="009D4627" w:rsidRDefault="00597FB8" w:rsidP="00597FB8">
            <w:pPr>
              <w:spacing w:before="0" w:after="0" w:line="240" w:lineRule="auto"/>
              <w:jc w:val="left"/>
            </w:pPr>
            <w:r w:rsidRPr="009D4627">
              <w:t xml:space="preserve">Cohort prospective </w:t>
            </w:r>
          </w:p>
          <w:p w14:paraId="29001759" w14:textId="77777777" w:rsidR="00597FB8" w:rsidRPr="009D4627" w:rsidRDefault="00597FB8" w:rsidP="00597FB8">
            <w:pPr>
              <w:spacing w:before="0" w:after="0" w:line="240" w:lineRule="auto"/>
              <w:jc w:val="left"/>
            </w:pPr>
            <w:r w:rsidRPr="009D4627">
              <w:t>(</w:t>
            </w:r>
            <w:proofErr w:type="gramStart"/>
            <w:r w:rsidRPr="009D4627">
              <w:t>medical</w:t>
            </w:r>
            <w:proofErr w:type="gramEnd"/>
            <w:r w:rsidRPr="009D4627">
              <w:t xml:space="preserve"> records reviewed)</w:t>
            </w:r>
          </w:p>
        </w:tc>
        <w:tc>
          <w:tcPr>
            <w:tcW w:w="1003" w:type="pct"/>
          </w:tcPr>
          <w:p w14:paraId="038C85DB" w14:textId="77777777" w:rsidR="00597FB8" w:rsidRPr="009D4627" w:rsidRDefault="00597FB8" w:rsidP="00597FB8">
            <w:pPr>
              <w:spacing w:before="0" w:after="0" w:line="240" w:lineRule="auto"/>
              <w:jc w:val="left"/>
            </w:pPr>
            <w:r w:rsidRPr="009D4627">
              <w:t>Unilateral VI (n = 213)</w:t>
            </w:r>
          </w:p>
          <w:p w14:paraId="40F7D1D7" w14:textId="77777777" w:rsidR="00597FB8" w:rsidRPr="009D4627" w:rsidRDefault="00597FB8" w:rsidP="00597FB8">
            <w:pPr>
              <w:spacing w:before="0" w:after="0" w:line="240" w:lineRule="auto"/>
              <w:jc w:val="left"/>
            </w:pPr>
          </w:p>
          <w:p w14:paraId="7E39F02E" w14:textId="77777777" w:rsidR="00597FB8" w:rsidRPr="009D4627" w:rsidRDefault="00597FB8" w:rsidP="00597FB8">
            <w:pPr>
              <w:spacing w:before="0" w:after="0" w:line="240" w:lineRule="auto"/>
              <w:jc w:val="left"/>
            </w:pPr>
            <w:r w:rsidRPr="009D4627">
              <w:t>Mean age = 56.3 years</w:t>
            </w:r>
          </w:p>
        </w:tc>
        <w:tc>
          <w:tcPr>
            <w:tcW w:w="926" w:type="pct"/>
          </w:tcPr>
          <w:p w14:paraId="0FC01511" w14:textId="77777777" w:rsidR="00597FB8" w:rsidRPr="009D4627" w:rsidRDefault="00597FB8" w:rsidP="00597FB8">
            <w:pPr>
              <w:spacing w:before="0" w:after="0" w:line="240" w:lineRule="auto"/>
              <w:jc w:val="left"/>
            </w:pPr>
            <w:r w:rsidRPr="009D4627">
              <w:t xml:space="preserve">All recovery cases of VI were vascular and non-recovered had severe pathology such as neoplasm, </w:t>
            </w:r>
            <w:proofErr w:type="spellStart"/>
            <w:r w:rsidRPr="009D4627">
              <w:t>tumour</w:t>
            </w:r>
            <w:proofErr w:type="spellEnd"/>
            <w:r w:rsidRPr="009D4627">
              <w:t>, brain stem stroke, aneurysm</w:t>
            </w:r>
          </w:p>
          <w:p w14:paraId="56F4E67F" w14:textId="77777777" w:rsidR="00597FB8" w:rsidRPr="009D4627" w:rsidRDefault="00597FB8" w:rsidP="00597FB8">
            <w:pPr>
              <w:spacing w:before="0" w:after="0" w:line="240" w:lineRule="auto"/>
              <w:jc w:val="left"/>
            </w:pPr>
          </w:p>
        </w:tc>
        <w:tc>
          <w:tcPr>
            <w:tcW w:w="1592" w:type="pct"/>
            <w:gridSpan w:val="3"/>
          </w:tcPr>
          <w:p w14:paraId="0C3B6E42" w14:textId="77777777" w:rsidR="00597FB8" w:rsidRPr="009D4627" w:rsidRDefault="00597FB8" w:rsidP="00597FB8">
            <w:pPr>
              <w:pStyle w:val="ListParagraph"/>
              <w:numPr>
                <w:ilvl w:val="0"/>
                <w:numId w:val="10"/>
              </w:numPr>
              <w:spacing w:before="0" w:after="0" w:line="240" w:lineRule="auto"/>
              <w:ind w:left="199" w:hanging="218"/>
              <w:jc w:val="left"/>
            </w:pPr>
            <w:r w:rsidRPr="009D4627">
              <w:t xml:space="preserve">78% recovered </w:t>
            </w:r>
            <w:r w:rsidRPr="009D4627">
              <w:sym w:font="Wingdings" w:char="F0E0"/>
            </w:r>
            <w:r w:rsidRPr="009D4627">
              <w:t xml:space="preserve"> up to 10 weeks (mean recovery time); </w:t>
            </w:r>
          </w:p>
          <w:p w14:paraId="5F017E77" w14:textId="77777777" w:rsidR="00597FB8" w:rsidRPr="009D4627" w:rsidRDefault="00597FB8" w:rsidP="00597FB8">
            <w:pPr>
              <w:pStyle w:val="ListParagraph"/>
              <w:numPr>
                <w:ilvl w:val="0"/>
                <w:numId w:val="10"/>
              </w:numPr>
              <w:spacing w:before="0" w:after="0" w:line="240" w:lineRule="auto"/>
              <w:ind w:left="199" w:hanging="218"/>
              <w:jc w:val="left"/>
            </w:pPr>
            <w:r w:rsidRPr="009D4627">
              <w:t xml:space="preserve">85% </w:t>
            </w:r>
            <w:r w:rsidRPr="009D4627">
              <w:sym w:font="Wingdings" w:char="F0E0"/>
            </w:r>
            <w:r w:rsidRPr="009D4627">
              <w:t xml:space="preserve"> total recovery case up to 16 weeks</w:t>
            </w:r>
          </w:p>
          <w:p w14:paraId="575D86AD" w14:textId="77777777" w:rsidR="00597FB8" w:rsidRPr="009D4627" w:rsidRDefault="00597FB8" w:rsidP="00597FB8">
            <w:pPr>
              <w:pStyle w:val="ListParagraph"/>
              <w:numPr>
                <w:ilvl w:val="0"/>
                <w:numId w:val="10"/>
              </w:numPr>
              <w:spacing w:before="0" w:after="0" w:line="240" w:lineRule="auto"/>
              <w:ind w:left="199" w:hanging="218"/>
              <w:jc w:val="left"/>
            </w:pPr>
            <w:r w:rsidRPr="009D4627">
              <w:t xml:space="preserve">16% non-recovered </w:t>
            </w:r>
            <w:r w:rsidRPr="009D4627">
              <w:sym w:font="Wingdings" w:char="F0E0"/>
            </w:r>
            <w:r w:rsidRPr="009D4627">
              <w:t xml:space="preserve"> had severe underlying pathology</w:t>
            </w:r>
          </w:p>
        </w:tc>
      </w:tr>
      <w:tr w:rsidR="00597FB8" w:rsidRPr="009D4627" w14:paraId="66418544" w14:textId="77777777" w:rsidTr="00597FB8">
        <w:tc>
          <w:tcPr>
            <w:tcW w:w="664" w:type="pct"/>
          </w:tcPr>
          <w:p w14:paraId="5AB4F650" w14:textId="77777777" w:rsidR="00597FB8" w:rsidRPr="009D4627" w:rsidRDefault="00597FB8" w:rsidP="00597FB8">
            <w:pPr>
              <w:spacing w:before="0" w:after="0" w:line="240" w:lineRule="auto"/>
              <w:jc w:val="left"/>
            </w:pPr>
            <w:r w:rsidRPr="009D4627">
              <w:t>Park et al.</w:t>
            </w:r>
          </w:p>
          <w:p w14:paraId="6B5A3499" w14:textId="77777777" w:rsidR="00597FB8" w:rsidRPr="009D4627" w:rsidRDefault="00597FB8" w:rsidP="00597FB8">
            <w:pPr>
              <w:spacing w:before="0" w:after="0" w:line="240" w:lineRule="auto"/>
              <w:jc w:val="left"/>
            </w:pPr>
            <w:r w:rsidRPr="009D4627">
              <w:t>2008</w:t>
            </w:r>
          </w:p>
          <w:p w14:paraId="7EA0D41B" w14:textId="77777777" w:rsidR="00597FB8" w:rsidRPr="009D4627" w:rsidRDefault="00597FB8" w:rsidP="00597FB8">
            <w:pPr>
              <w:spacing w:before="0" w:after="0" w:line="240" w:lineRule="auto"/>
              <w:jc w:val="left"/>
            </w:pPr>
            <w:r w:rsidRPr="009D4627">
              <w:t>(Seoul, Korea)</w:t>
            </w:r>
          </w:p>
        </w:tc>
        <w:tc>
          <w:tcPr>
            <w:tcW w:w="815" w:type="pct"/>
          </w:tcPr>
          <w:p w14:paraId="7AF5F9D4" w14:textId="77777777" w:rsidR="00597FB8" w:rsidRPr="009D4627" w:rsidRDefault="00597FB8" w:rsidP="00597FB8">
            <w:pPr>
              <w:spacing w:before="0" w:after="0" w:line="240" w:lineRule="auto"/>
              <w:jc w:val="left"/>
            </w:pPr>
            <w:r w:rsidRPr="009D4627">
              <w:t>Retrospective (medical records reviewed)</w:t>
            </w:r>
          </w:p>
        </w:tc>
        <w:tc>
          <w:tcPr>
            <w:tcW w:w="1003" w:type="pct"/>
          </w:tcPr>
          <w:p w14:paraId="497E3B1E" w14:textId="77777777" w:rsidR="00597FB8" w:rsidRPr="009D4627" w:rsidRDefault="00597FB8" w:rsidP="00597FB8">
            <w:pPr>
              <w:spacing w:before="0" w:after="0" w:line="240" w:lineRule="auto"/>
              <w:jc w:val="left"/>
            </w:pPr>
            <w:r w:rsidRPr="009D4627">
              <w:t>III = 23% (48/206)</w:t>
            </w:r>
          </w:p>
          <w:p w14:paraId="0AAEC68B" w14:textId="77777777" w:rsidR="00597FB8" w:rsidRPr="009D4627" w:rsidRDefault="00597FB8" w:rsidP="00597FB8">
            <w:pPr>
              <w:spacing w:before="0" w:after="0" w:line="240" w:lineRule="auto"/>
              <w:jc w:val="left"/>
            </w:pPr>
            <w:r w:rsidRPr="009D4627">
              <w:t>IV = 22% (46/206)</w:t>
            </w:r>
          </w:p>
          <w:p w14:paraId="6E037166" w14:textId="77777777" w:rsidR="00597FB8" w:rsidRPr="009D4627" w:rsidRDefault="00597FB8" w:rsidP="00597FB8">
            <w:pPr>
              <w:spacing w:before="0" w:after="0" w:line="240" w:lineRule="auto"/>
              <w:jc w:val="left"/>
            </w:pPr>
            <w:r w:rsidRPr="009D4627">
              <w:t>VI = 52% (108/206)</w:t>
            </w:r>
          </w:p>
          <w:p w14:paraId="15224B05" w14:textId="77777777" w:rsidR="00597FB8" w:rsidRPr="009D4627" w:rsidRDefault="00597FB8" w:rsidP="00597FB8">
            <w:pPr>
              <w:spacing w:before="0" w:after="0" w:line="240" w:lineRule="auto"/>
              <w:jc w:val="left"/>
            </w:pPr>
            <w:r w:rsidRPr="009D4627">
              <w:t>Multiple = 2% (4/206)</w:t>
            </w:r>
          </w:p>
          <w:p w14:paraId="5FA4C71F" w14:textId="77777777" w:rsidR="00597FB8" w:rsidRPr="009D4627" w:rsidRDefault="00597FB8" w:rsidP="00597FB8">
            <w:pPr>
              <w:spacing w:before="0" w:after="0" w:line="240" w:lineRule="auto"/>
              <w:jc w:val="left"/>
            </w:pPr>
          </w:p>
          <w:p w14:paraId="4F77D4F7" w14:textId="77777777" w:rsidR="00597FB8" w:rsidRPr="009D4627" w:rsidRDefault="00597FB8" w:rsidP="00597FB8">
            <w:pPr>
              <w:spacing w:before="0" w:after="0" w:line="240" w:lineRule="auto"/>
              <w:jc w:val="left"/>
            </w:pPr>
            <w:r w:rsidRPr="009D4627">
              <w:lastRenderedPageBreak/>
              <w:t>Mean age for all patients = 48 years</w:t>
            </w:r>
          </w:p>
          <w:p w14:paraId="4331E65D" w14:textId="77777777" w:rsidR="00597FB8" w:rsidRPr="009D4627" w:rsidRDefault="00597FB8" w:rsidP="00597FB8">
            <w:pPr>
              <w:spacing w:before="0" w:after="0" w:line="240" w:lineRule="auto"/>
              <w:jc w:val="left"/>
            </w:pPr>
          </w:p>
          <w:p w14:paraId="6C5F676F" w14:textId="77777777" w:rsidR="00597FB8" w:rsidRPr="009D4627" w:rsidRDefault="00597FB8" w:rsidP="00597FB8">
            <w:pPr>
              <w:spacing w:before="0" w:after="0" w:line="240" w:lineRule="auto"/>
              <w:jc w:val="left"/>
            </w:pPr>
            <w:r w:rsidRPr="009D4627">
              <w:t>Mean age for vascular group = 64 years</w:t>
            </w:r>
          </w:p>
        </w:tc>
        <w:tc>
          <w:tcPr>
            <w:tcW w:w="926" w:type="pct"/>
          </w:tcPr>
          <w:p w14:paraId="230FEB83" w14:textId="77777777" w:rsidR="00597FB8" w:rsidRPr="009D4627" w:rsidRDefault="00597FB8" w:rsidP="00597FB8">
            <w:pPr>
              <w:spacing w:before="0" w:after="0" w:line="240" w:lineRule="auto"/>
              <w:jc w:val="left"/>
            </w:pPr>
            <w:r w:rsidRPr="009D4627">
              <w:lastRenderedPageBreak/>
              <w:t>Vascular &amp; undetermined cases for:</w:t>
            </w:r>
          </w:p>
          <w:p w14:paraId="34CAC081" w14:textId="77777777" w:rsidR="00597FB8" w:rsidRPr="009D4627" w:rsidRDefault="00597FB8" w:rsidP="00597FB8">
            <w:pPr>
              <w:spacing w:before="0" w:after="0" w:line="240" w:lineRule="auto"/>
              <w:jc w:val="left"/>
            </w:pPr>
            <w:r w:rsidRPr="009D4627">
              <w:t>III = 54% (26/48)</w:t>
            </w:r>
          </w:p>
          <w:p w14:paraId="6147EC61" w14:textId="77777777" w:rsidR="00597FB8" w:rsidRPr="009D4627" w:rsidRDefault="00597FB8" w:rsidP="00597FB8">
            <w:pPr>
              <w:spacing w:before="0" w:after="0" w:line="240" w:lineRule="auto"/>
              <w:jc w:val="left"/>
            </w:pPr>
            <w:r w:rsidRPr="009D4627">
              <w:t>IV = 65% (30/46)</w:t>
            </w:r>
          </w:p>
          <w:p w14:paraId="1F442513" w14:textId="77777777" w:rsidR="00597FB8" w:rsidRPr="009D4627" w:rsidRDefault="00597FB8" w:rsidP="00597FB8">
            <w:pPr>
              <w:spacing w:before="0" w:after="0" w:line="240" w:lineRule="auto"/>
              <w:jc w:val="left"/>
            </w:pPr>
            <w:r w:rsidRPr="009D4627">
              <w:t>VI = 52% (56/108)</w:t>
            </w:r>
          </w:p>
          <w:p w14:paraId="144F0998" w14:textId="77777777" w:rsidR="00597FB8" w:rsidRPr="009D4627" w:rsidRDefault="00597FB8" w:rsidP="00597FB8">
            <w:pPr>
              <w:spacing w:before="0" w:after="0" w:line="240" w:lineRule="auto"/>
              <w:jc w:val="left"/>
            </w:pPr>
          </w:p>
          <w:p w14:paraId="372FCED5" w14:textId="77777777" w:rsidR="00597FB8" w:rsidRPr="009D4627" w:rsidRDefault="00597FB8" w:rsidP="00597FB8">
            <w:pPr>
              <w:spacing w:before="0" w:after="0" w:line="240" w:lineRule="auto"/>
              <w:jc w:val="left"/>
            </w:pPr>
            <w:r w:rsidRPr="009D4627">
              <w:lastRenderedPageBreak/>
              <w:t xml:space="preserve">The remaining cases had an </w:t>
            </w:r>
            <w:proofErr w:type="spellStart"/>
            <w:r w:rsidRPr="009D4627">
              <w:t>aetiology</w:t>
            </w:r>
            <w:proofErr w:type="spellEnd"/>
            <w:r w:rsidRPr="009D4627">
              <w:t xml:space="preserve"> of either aneurysm, head trauma, or neoplasm </w:t>
            </w:r>
          </w:p>
          <w:p w14:paraId="401E8736" w14:textId="77777777" w:rsidR="00597FB8" w:rsidRPr="009D4627" w:rsidRDefault="00597FB8" w:rsidP="00597FB8">
            <w:pPr>
              <w:spacing w:before="0" w:after="0" w:line="240" w:lineRule="auto"/>
              <w:jc w:val="left"/>
            </w:pPr>
          </w:p>
        </w:tc>
        <w:tc>
          <w:tcPr>
            <w:tcW w:w="1592" w:type="pct"/>
            <w:gridSpan w:val="3"/>
          </w:tcPr>
          <w:p w14:paraId="6E36078B" w14:textId="77777777" w:rsidR="00597FB8" w:rsidRPr="009D4627" w:rsidRDefault="00597FB8" w:rsidP="00597FB8">
            <w:pPr>
              <w:pStyle w:val="ListParagraph"/>
              <w:numPr>
                <w:ilvl w:val="0"/>
                <w:numId w:val="12"/>
              </w:numPr>
              <w:spacing w:before="0" w:after="0" w:line="240" w:lineRule="auto"/>
              <w:ind w:left="199" w:hanging="218"/>
              <w:jc w:val="left"/>
            </w:pPr>
            <w:r w:rsidRPr="009D4627">
              <w:lastRenderedPageBreak/>
              <w:t xml:space="preserve">52% of the total cases showing recovery, including partial or complete </w:t>
            </w:r>
          </w:p>
          <w:p w14:paraId="29CC530A" w14:textId="77777777" w:rsidR="00597FB8" w:rsidRPr="009D4627" w:rsidRDefault="00597FB8" w:rsidP="00597FB8">
            <w:pPr>
              <w:pStyle w:val="ListParagraph"/>
              <w:numPr>
                <w:ilvl w:val="0"/>
                <w:numId w:val="12"/>
              </w:numPr>
              <w:spacing w:before="0" w:after="0" w:line="240" w:lineRule="auto"/>
              <w:ind w:left="199" w:hanging="218"/>
              <w:jc w:val="left"/>
            </w:pPr>
            <w:r w:rsidRPr="009D4627">
              <w:t>The recovery distribution for each group of ocular nerve palsies was:</w:t>
            </w:r>
          </w:p>
          <w:p w14:paraId="1E9A5DB5" w14:textId="77777777" w:rsidR="00597FB8" w:rsidRPr="009D4627" w:rsidRDefault="00597FB8" w:rsidP="00597FB8">
            <w:pPr>
              <w:pStyle w:val="ListParagraph"/>
              <w:numPr>
                <w:ilvl w:val="1"/>
                <w:numId w:val="12"/>
              </w:numPr>
              <w:spacing w:before="0" w:after="0" w:line="240" w:lineRule="auto"/>
              <w:ind w:left="483" w:hanging="142"/>
              <w:jc w:val="left"/>
            </w:pPr>
            <w:r w:rsidRPr="009D4627">
              <w:t xml:space="preserve">III = 68% </w:t>
            </w:r>
          </w:p>
          <w:p w14:paraId="2309AFA3" w14:textId="77777777" w:rsidR="00597FB8" w:rsidRPr="009D4627" w:rsidRDefault="00597FB8" w:rsidP="00597FB8">
            <w:pPr>
              <w:pStyle w:val="ListParagraph"/>
              <w:numPr>
                <w:ilvl w:val="1"/>
                <w:numId w:val="12"/>
              </w:numPr>
              <w:spacing w:before="0" w:after="0" w:line="240" w:lineRule="auto"/>
              <w:ind w:left="483" w:hanging="142"/>
              <w:jc w:val="left"/>
            </w:pPr>
            <w:r w:rsidRPr="009D4627">
              <w:t xml:space="preserve">IV = 52% </w:t>
            </w:r>
          </w:p>
          <w:p w14:paraId="45A3D39C" w14:textId="77777777" w:rsidR="00597FB8" w:rsidRPr="009D4627" w:rsidRDefault="00597FB8" w:rsidP="00597FB8">
            <w:pPr>
              <w:pStyle w:val="ListParagraph"/>
              <w:numPr>
                <w:ilvl w:val="1"/>
                <w:numId w:val="12"/>
              </w:numPr>
              <w:spacing w:before="0" w:after="0" w:line="240" w:lineRule="auto"/>
              <w:ind w:left="483" w:hanging="142"/>
              <w:jc w:val="left"/>
            </w:pPr>
            <w:r w:rsidRPr="009D4627">
              <w:lastRenderedPageBreak/>
              <w:t xml:space="preserve">VI = 73% </w:t>
            </w:r>
          </w:p>
          <w:p w14:paraId="38F9E7E1" w14:textId="77777777" w:rsidR="00597FB8" w:rsidRPr="009D4627" w:rsidRDefault="00597FB8" w:rsidP="00597FB8">
            <w:pPr>
              <w:pStyle w:val="ListParagraph"/>
              <w:numPr>
                <w:ilvl w:val="1"/>
                <w:numId w:val="12"/>
              </w:numPr>
              <w:spacing w:before="0" w:after="0" w:line="240" w:lineRule="auto"/>
              <w:ind w:left="483" w:hanging="142"/>
              <w:jc w:val="left"/>
            </w:pPr>
            <w:r w:rsidRPr="009D4627">
              <w:t>Multiple = 67%</w:t>
            </w:r>
          </w:p>
        </w:tc>
      </w:tr>
      <w:tr w:rsidR="00597FB8" w:rsidRPr="009D4627" w14:paraId="419B4E32" w14:textId="77777777" w:rsidTr="00597FB8">
        <w:tc>
          <w:tcPr>
            <w:tcW w:w="664" w:type="pct"/>
          </w:tcPr>
          <w:p w14:paraId="7AA27C6F" w14:textId="77777777" w:rsidR="00597FB8" w:rsidRPr="009D4627" w:rsidRDefault="00597FB8" w:rsidP="00597FB8">
            <w:pPr>
              <w:spacing w:before="0" w:after="0" w:line="240" w:lineRule="auto"/>
              <w:jc w:val="left"/>
            </w:pPr>
            <w:r w:rsidRPr="009D4627">
              <w:t>Akagi et al.</w:t>
            </w:r>
          </w:p>
          <w:p w14:paraId="468C9C65" w14:textId="77777777" w:rsidR="00597FB8" w:rsidRPr="009D4627" w:rsidRDefault="00597FB8" w:rsidP="00597FB8">
            <w:pPr>
              <w:spacing w:before="0" w:after="0" w:line="240" w:lineRule="auto"/>
              <w:jc w:val="left"/>
            </w:pPr>
            <w:r w:rsidRPr="009D4627">
              <w:t>2008</w:t>
            </w:r>
          </w:p>
          <w:p w14:paraId="1B58A217" w14:textId="77777777" w:rsidR="00597FB8" w:rsidRPr="009D4627" w:rsidRDefault="00597FB8" w:rsidP="00597FB8">
            <w:pPr>
              <w:spacing w:before="0" w:after="0" w:line="240" w:lineRule="auto"/>
              <w:jc w:val="left"/>
            </w:pPr>
            <w:r w:rsidRPr="009D4627">
              <w:t>(Osaka, Japan)</w:t>
            </w:r>
          </w:p>
        </w:tc>
        <w:tc>
          <w:tcPr>
            <w:tcW w:w="815" w:type="pct"/>
          </w:tcPr>
          <w:p w14:paraId="324F0634" w14:textId="77777777" w:rsidR="00597FB8" w:rsidRPr="009D4627" w:rsidRDefault="00597FB8" w:rsidP="00597FB8">
            <w:pPr>
              <w:spacing w:before="0" w:after="0" w:line="240" w:lineRule="auto"/>
              <w:jc w:val="left"/>
            </w:pPr>
            <w:r w:rsidRPr="009D4627">
              <w:t>Retrospective (medical records reviewed)</w:t>
            </w:r>
          </w:p>
        </w:tc>
        <w:tc>
          <w:tcPr>
            <w:tcW w:w="1003" w:type="pct"/>
          </w:tcPr>
          <w:p w14:paraId="1CADB50F" w14:textId="77777777" w:rsidR="00597FB8" w:rsidRPr="009D4627" w:rsidRDefault="00597FB8" w:rsidP="00597FB8">
            <w:pPr>
              <w:spacing w:before="0" w:after="0" w:line="240" w:lineRule="auto"/>
              <w:jc w:val="left"/>
            </w:pPr>
            <w:r w:rsidRPr="009D4627">
              <w:t>III = 29% (63/221)</w:t>
            </w:r>
          </w:p>
          <w:p w14:paraId="4F07D4D1" w14:textId="77777777" w:rsidR="00597FB8" w:rsidRPr="009D4627" w:rsidRDefault="00597FB8" w:rsidP="00597FB8">
            <w:pPr>
              <w:spacing w:before="0" w:after="0" w:line="240" w:lineRule="auto"/>
              <w:jc w:val="left"/>
            </w:pPr>
            <w:r w:rsidRPr="009D4627">
              <w:t>IV = 19% (41/221)</w:t>
            </w:r>
          </w:p>
          <w:p w14:paraId="7A7C43FE" w14:textId="77777777" w:rsidR="00597FB8" w:rsidRPr="009D4627" w:rsidRDefault="00597FB8" w:rsidP="00597FB8">
            <w:pPr>
              <w:spacing w:before="0" w:after="0" w:line="240" w:lineRule="auto"/>
              <w:jc w:val="left"/>
            </w:pPr>
            <w:r w:rsidRPr="009D4627">
              <w:t>VI = 52% (117/221)</w:t>
            </w:r>
          </w:p>
          <w:p w14:paraId="0C4960F6" w14:textId="77777777" w:rsidR="00597FB8" w:rsidRPr="009D4627" w:rsidRDefault="00597FB8" w:rsidP="00597FB8">
            <w:pPr>
              <w:spacing w:before="0" w:after="0" w:line="240" w:lineRule="auto"/>
              <w:jc w:val="left"/>
            </w:pPr>
          </w:p>
          <w:p w14:paraId="7619703E" w14:textId="77777777" w:rsidR="00597FB8" w:rsidRPr="009D4627" w:rsidRDefault="00597FB8" w:rsidP="00597FB8">
            <w:pPr>
              <w:spacing w:before="0" w:after="0" w:line="240" w:lineRule="auto"/>
              <w:jc w:val="left"/>
            </w:pPr>
            <w:r w:rsidRPr="009D4627">
              <w:t>Age distribution:</w:t>
            </w:r>
          </w:p>
          <w:p w14:paraId="48F3E12D" w14:textId="77777777" w:rsidR="00597FB8" w:rsidRPr="009D4627" w:rsidRDefault="00597FB8" w:rsidP="00597FB8">
            <w:pPr>
              <w:spacing w:before="0" w:after="0" w:line="240" w:lineRule="auto"/>
              <w:jc w:val="left"/>
            </w:pPr>
            <w:r w:rsidRPr="009D4627">
              <w:t>62% ≥50 years</w:t>
            </w:r>
          </w:p>
          <w:p w14:paraId="0C806DF1" w14:textId="1E3C6876" w:rsidR="00597FB8" w:rsidRPr="009D4627" w:rsidRDefault="00597FB8" w:rsidP="00C95CDC">
            <w:pPr>
              <w:spacing w:before="0" w:after="0" w:line="240" w:lineRule="auto"/>
              <w:jc w:val="left"/>
            </w:pPr>
            <w:r w:rsidRPr="009D4627">
              <w:t>38% ≤49 years</w:t>
            </w:r>
          </w:p>
        </w:tc>
        <w:tc>
          <w:tcPr>
            <w:tcW w:w="926" w:type="pct"/>
          </w:tcPr>
          <w:p w14:paraId="36066FDF" w14:textId="77777777" w:rsidR="00597FB8" w:rsidRPr="009D4627" w:rsidRDefault="00597FB8" w:rsidP="00597FB8">
            <w:pPr>
              <w:spacing w:before="0" w:after="0" w:line="240" w:lineRule="auto"/>
              <w:jc w:val="left"/>
            </w:pPr>
            <w:r w:rsidRPr="009D4627">
              <w:t>Vascular (III, IV, VI) = 35% (77/221)</w:t>
            </w:r>
          </w:p>
        </w:tc>
        <w:tc>
          <w:tcPr>
            <w:tcW w:w="1592" w:type="pct"/>
            <w:gridSpan w:val="3"/>
          </w:tcPr>
          <w:p w14:paraId="2FFE9621" w14:textId="77777777" w:rsidR="00597FB8" w:rsidRPr="009D4627" w:rsidRDefault="00597FB8" w:rsidP="00597FB8">
            <w:pPr>
              <w:pStyle w:val="ListParagraph"/>
              <w:numPr>
                <w:ilvl w:val="0"/>
                <w:numId w:val="9"/>
              </w:numPr>
              <w:spacing w:before="0" w:after="0" w:line="240" w:lineRule="auto"/>
              <w:ind w:left="199" w:hanging="218"/>
              <w:jc w:val="left"/>
            </w:pPr>
            <w:r w:rsidRPr="009D4627">
              <w:t>III = 90% completely recovered within 3 months</w:t>
            </w:r>
          </w:p>
          <w:p w14:paraId="54D23AD7" w14:textId="77777777" w:rsidR="00597FB8" w:rsidRPr="009D4627" w:rsidRDefault="00597FB8" w:rsidP="00597FB8">
            <w:pPr>
              <w:pStyle w:val="ListParagraph"/>
              <w:numPr>
                <w:ilvl w:val="0"/>
                <w:numId w:val="9"/>
              </w:numPr>
              <w:spacing w:before="0" w:after="0" w:line="240" w:lineRule="auto"/>
              <w:ind w:left="199" w:hanging="218"/>
              <w:jc w:val="left"/>
            </w:pPr>
            <w:r w:rsidRPr="009D4627">
              <w:t>IV = 60% complete recovery within 12 months</w:t>
            </w:r>
          </w:p>
          <w:p w14:paraId="2028358E" w14:textId="77777777" w:rsidR="00597FB8" w:rsidRPr="009D4627" w:rsidRDefault="00597FB8" w:rsidP="00597FB8">
            <w:pPr>
              <w:pStyle w:val="ListParagraph"/>
              <w:numPr>
                <w:ilvl w:val="0"/>
                <w:numId w:val="9"/>
              </w:numPr>
              <w:spacing w:before="0" w:after="0" w:line="240" w:lineRule="auto"/>
              <w:ind w:left="199" w:hanging="218"/>
              <w:jc w:val="left"/>
            </w:pPr>
            <w:r w:rsidRPr="009D4627">
              <w:t>VI= 100% complete recovery at 3 months</w:t>
            </w:r>
          </w:p>
        </w:tc>
      </w:tr>
      <w:tr w:rsidR="00597FB8" w:rsidRPr="009D4627" w14:paraId="307DC342" w14:textId="77777777" w:rsidTr="00597FB8">
        <w:trPr>
          <w:trHeight w:val="225"/>
        </w:trPr>
        <w:tc>
          <w:tcPr>
            <w:tcW w:w="664" w:type="pct"/>
            <w:vMerge w:val="restart"/>
          </w:tcPr>
          <w:p w14:paraId="7E13A42F" w14:textId="77777777" w:rsidR="00597FB8" w:rsidRPr="009D4627" w:rsidRDefault="00597FB8" w:rsidP="00597FB8">
            <w:pPr>
              <w:spacing w:before="0" w:after="0" w:line="240" w:lineRule="auto"/>
              <w:jc w:val="left"/>
            </w:pPr>
            <w:proofErr w:type="gramStart"/>
            <w:r w:rsidRPr="009D4627">
              <w:t>Oh</w:t>
            </w:r>
            <w:proofErr w:type="gramEnd"/>
            <w:r w:rsidRPr="009D4627">
              <w:t xml:space="preserve"> and Oh (2020)</w:t>
            </w:r>
          </w:p>
        </w:tc>
        <w:tc>
          <w:tcPr>
            <w:tcW w:w="815" w:type="pct"/>
            <w:vMerge w:val="restart"/>
          </w:tcPr>
          <w:p w14:paraId="528E9EFA" w14:textId="77777777" w:rsidR="00597FB8" w:rsidRPr="009D4627" w:rsidRDefault="00597FB8" w:rsidP="00597FB8">
            <w:pPr>
              <w:spacing w:before="0" w:after="0" w:line="240" w:lineRule="auto"/>
              <w:jc w:val="left"/>
            </w:pPr>
            <w:r w:rsidRPr="009D4627">
              <w:t>Retrospective (medical records reviewed)</w:t>
            </w:r>
          </w:p>
        </w:tc>
        <w:tc>
          <w:tcPr>
            <w:tcW w:w="1003" w:type="pct"/>
            <w:vMerge w:val="restart"/>
          </w:tcPr>
          <w:p w14:paraId="4475B90F" w14:textId="77777777" w:rsidR="00597FB8" w:rsidRPr="009D4627" w:rsidRDefault="00597FB8" w:rsidP="00597FB8">
            <w:pPr>
              <w:spacing w:before="0" w:after="0" w:line="240" w:lineRule="auto"/>
              <w:jc w:val="left"/>
            </w:pPr>
            <w:r w:rsidRPr="009D4627">
              <w:t>80 adults with acute vertical diplopia (CN IV only)</w:t>
            </w:r>
          </w:p>
          <w:p w14:paraId="73493EED" w14:textId="77777777" w:rsidR="00597FB8" w:rsidRPr="009D4627" w:rsidRDefault="00597FB8" w:rsidP="00597FB8">
            <w:pPr>
              <w:spacing w:before="0" w:after="0" w:line="240" w:lineRule="auto"/>
              <w:jc w:val="left"/>
            </w:pPr>
          </w:p>
          <w:p w14:paraId="5BFFF911" w14:textId="77777777" w:rsidR="00597FB8" w:rsidRPr="009D4627" w:rsidRDefault="00597FB8" w:rsidP="00597FB8">
            <w:pPr>
              <w:spacing w:before="0" w:after="0" w:line="240" w:lineRule="auto"/>
              <w:jc w:val="left"/>
            </w:pPr>
            <w:r w:rsidRPr="009D4627">
              <w:t>Mean age:</w:t>
            </w:r>
          </w:p>
          <w:p w14:paraId="0602DB78" w14:textId="77777777" w:rsidR="00597FB8" w:rsidRPr="009D4627" w:rsidRDefault="00597FB8" w:rsidP="00597FB8">
            <w:pPr>
              <w:spacing w:before="0" w:after="0" w:line="240" w:lineRule="auto"/>
              <w:jc w:val="left"/>
            </w:pPr>
            <w:r w:rsidRPr="009D4627">
              <w:t>59.96 ± 11.87 years (range: 30–82)</w:t>
            </w:r>
          </w:p>
        </w:tc>
        <w:tc>
          <w:tcPr>
            <w:tcW w:w="926" w:type="pct"/>
            <w:vMerge w:val="restart"/>
          </w:tcPr>
          <w:p w14:paraId="36AA395A" w14:textId="77777777" w:rsidR="00597FB8" w:rsidRPr="009D4627" w:rsidRDefault="00597FB8" w:rsidP="00C171FA">
            <w:pPr>
              <w:pStyle w:val="ListParagraph"/>
              <w:numPr>
                <w:ilvl w:val="0"/>
                <w:numId w:val="122"/>
              </w:numPr>
              <w:spacing w:before="0" w:after="0" w:line="240" w:lineRule="auto"/>
              <w:ind w:left="104" w:hanging="142"/>
              <w:jc w:val="left"/>
            </w:pPr>
            <w:r w:rsidRPr="009D4627">
              <w:t>Vascular = 48 (60%)</w:t>
            </w:r>
          </w:p>
          <w:p w14:paraId="3B66F25C" w14:textId="77777777" w:rsidR="00597FB8" w:rsidRPr="009D4627" w:rsidRDefault="00597FB8" w:rsidP="00C171FA">
            <w:pPr>
              <w:pStyle w:val="ListParagraph"/>
              <w:numPr>
                <w:ilvl w:val="0"/>
                <w:numId w:val="122"/>
              </w:numPr>
              <w:spacing w:before="0" w:after="0" w:line="240" w:lineRule="auto"/>
              <w:ind w:left="104" w:hanging="142"/>
              <w:jc w:val="left"/>
            </w:pPr>
            <w:r w:rsidRPr="009D4627">
              <w:t>Trauma = 17 (21.25%)</w:t>
            </w:r>
          </w:p>
          <w:p w14:paraId="776C83E4" w14:textId="77777777" w:rsidR="00597FB8" w:rsidRPr="009D4627" w:rsidRDefault="00597FB8" w:rsidP="00C171FA">
            <w:pPr>
              <w:pStyle w:val="ListParagraph"/>
              <w:numPr>
                <w:ilvl w:val="0"/>
                <w:numId w:val="122"/>
              </w:numPr>
              <w:spacing w:before="0" w:after="0" w:line="240" w:lineRule="auto"/>
              <w:ind w:left="104" w:hanging="142"/>
              <w:jc w:val="left"/>
            </w:pPr>
            <w:r w:rsidRPr="009D4627">
              <w:t>Brain lesion = 4 (5%)</w:t>
            </w:r>
          </w:p>
          <w:p w14:paraId="190CC52E" w14:textId="77777777" w:rsidR="00597FB8" w:rsidRPr="009D4627" w:rsidRDefault="00597FB8" w:rsidP="00C171FA">
            <w:pPr>
              <w:pStyle w:val="ListParagraph"/>
              <w:numPr>
                <w:ilvl w:val="0"/>
                <w:numId w:val="122"/>
              </w:numPr>
              <w:spacing w:before="0" w:after="0" w:line="240" w:lineRule="auto"/>
              <w:ind w:left="104" w:hanging="142"/>
              <w:jc w:val="left"/>
            </w:pPr>
            <w:r w:rsidRPr="009D4627">
              <w:t>Late decompensation = 4 (5%)</w:t>
            </w:r>
          </w:p>
          <w:p w14:paraId="19F53939" w14:textId="77777777" w:rsidR="00597FB8" w:rsidRPr="009D4627" w:rsidRDefault="00597FB8" w:rsidP="00C171FA">
            <w:pPr>
              <w:pStyle w:val="ListParagraph"/>
              <w:numPr>
                <w:ilvl w:val="0"/>
                <w:numId w:val="122"/>
              </w:numPr>
              <w:spacing w:before="0" w:after="0" w:line="240" w:lineRule="auto"/>
              <w:ind w:left="104" w:hanging="142"/>
              <w:jc w:val="left"/>
            </w:pPr>
            <w:r w:rsidRPr="009D4627">
              <w:t>Others = 4 (5%)</w:t>
            </w:r>
          </w:p>
          <w:p w14:paraId="6FA10C6E" w14:textId="77777777" w:rsidR="00597FB8" w:rsidRPr="009D4627" w:rsidRDefault="00597FB8" w:rsidP="00C171FA">
            <w:pPr>
              <w:pStyle w:val="ListParagraph"/>
              <w:numPr>
                <w:ilvl w:val="0"/>
                <w:numId w:val="122"/>
              </w:numPr>
              <w:spacing w:before="0" w:after="0" w:line="240" w:lineRule="auto"/>
              <w:ind w:left="104" w:hanging="142"/>
              <w:jc w:val="left"/>
            </w:pPr>
            <w:r w:rsidRPr="009D4627">
              <w:t>Undetermined = 3 (3.75%)</w:t>
            </w:r>
          </w:p>
          <w:p w14:paraId="1066D82B" w14:textId="77777777" w:rsidR="00597FB8" w:rsidRPr="009D4627" w:rsidRDefault="00597FB8" w:rsidP="00597FB8">
            <w:pPr>
              <w:spacing w:before="0" w:after="0" w:line="240" w:lineRule="auto"/>
              <w:jc w:val="left"/>
            </w:pPr>
          </w:p>
          <w:p w14:paraId="547F9501" w14:textId="77777777" w:rsidR="00597FB8" w:rsidRPr="009D4627" w:rsidRDefault="00597FB8" w:rsidP="00597FB8">
            <w:pPr>
              <w:spacing w:before="0" w:after="0" w:line="240" w:lineRule="auto"/>
              <w:jc w:val="left"/>
            </w:pPr>
          </w:p>
          <w:p w14:paraId="3D8427B9" w14:textId="77777777" w:rsidR="00597FB8" w:rsidRPr="009D4627" w:rsidRDefault="00597FB8" w:rsidP="00597FB8">
            <w:pPr>
              <w:spacing w:before="0" w:after="0" w:line="240" w:lineRule="auto"/>
              <w:jc w:val="left"/>
            </w:pPr>
          </w:p>
          <w:p w14:paraId="11F4AE50" w14:textId="77777777" w:rsidR="00597FB8" w:rsidRPr="009D4627" w:rsidRDefault="00597FB8" w:rsidP="00597FB8">
            <w:pPr>
              <w:spacing w:before="0" w:after="0" w:line="240" w:lineRule="auto"/>
              <w:jc w:val="left"/>
            </w:pPr>
          </w:p>
        </w:tc>
        <w:tc>
          <w:tcPr>
            <w:tcW w:w="1592" w:type="pct"/>
            <w:gridSpan w:val="3"/>
          </w:tcPr>
          <w:p w14:paraId="72CFFF30" w14:textId="77777777" w:rsidR="00597FB8" w:rsidRPr="009D4627" w:rsidRDefault="00597FB8" w:rsidP="00597FB8">
            <w:pPr>
              <w:spacing w:before="0" w:after="0" w:line="240" w:lineRule="auto"/>
              <w:jc w:val="left"/>
            </w:pPr>
            <w:r w:rsidRPr="009D4627">
              <w:t>Recovery rate was observed:</w:t>
            </w:r>
          </w:p>
        </w:tc>
      </w:tr>
      <w:tr w:rsidR="00597FB8" w:rsidRPr="009D4627" w14:paraId="4BCA5127" w14:textId="77777777" w:rsidTr="00597FB8">
        <w:trPr>
          <w:trHeight w:val="225"/>
        </w:trPr>
        <w:tc>
          <w:tcPr>
            <w:tcW w:w="664" w:type="pct"/>
            <w:vMerge/>
          </w:tcPr>
          <w:p w14:paraId="63B88754" w14:textId="77777777" w:rsidR="00597FB8" w:rsidRPr="009D4627" w:rsidRDefault="00597FB8" w:rsidP="00597FB8">
            <w:pPr>
              <w:spacing w:before="0" w:after="0" w:line="240" w:lineRule="auto"/>
              <w:jc w:val="left"/>
            </w:pPr>
          </w:p>
        </w:tc>
        <w:tc>
          <w:tcPr>
            <w:tcW w:w="815" w:type="pct"/>
            <w:vMerge/>
          </w:tcPr>
          <w:p w14:paraId="392C7EE1" w14:textId="77777777" w:rsidR="00597FB8" w:rsidRPr="009D4627" w:rsidRDefault="00597FB8" w:rsidP="00597FB8">
            <w:pPr>
              <w:spacing w:before="0" w:after="0" w:line="240" w:lineRule="auto"/>
              <w:jc w:val="left"/>
            </w:pPr>
          </w:p>
        </w:tc>
        <w:tc>
          <w:tcPr>
            <w:tcW w:w="1003" w:type="pct"/>
            <w:vMerge/>
          </w:tcPr>
          <w:p w14:paraId="7B0C3DA6" w14:textId="77777777" w:rsidR="00597FB8" w:rsidRPr="009D4627" w:rsidRDefault="00597FB8" w:rsidP="00597FB8">
            <w:pPr>
              <w:spacing w:before="0" w:after="0" w:line="240" w:lineRule="auto"/>
              <w:jc w:val="left"/>
            </w:pPr>
          </w:p>
        </w:tc>
        <w:tc>
          <w:tcPr>
            <w:tcW w:w="926" w:type="pct"/>
            <w:vMerge/>
          </w:tcPr>
          <w:p w14:paraId="1FA60730"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3F6E75E8" w14:textId="77777777" w:rsidR="00597FB8" w:rsidRPr="009D4627" w:rsidRDefault="00597FB8" w:rsidP="00597FB8">
            <w:pPr>
              <w:spacing w:before="0" w:after="0" w:line="240" w:lineRule="auto"/>
              <w:jc w:val="left"/>
            </w:pPr>
          </w:p>
        </w:tc>
        <w:tc>
          <w:tcPr>
            <w:tcW w:w="500" w:type="pct"/>
          </w:tcPr>
          <w:p w14:paraId="0BAE2B56" w14:textId="77777777" w:rsidR="00597FB8" w:rsidRPr="009D4627" w:rsidRDefault="00597FB8" w:rsidP="00597FB8">
            <w:pPr>
              <w:spacing w:before="0" w:after="0" w:line="240" w:lineRule="auto"/>
              <w:jc w:val="left"/>
            </w:pPr>
            <w:r w:rsidRPr="009D4627">
              <w:t>Complete recovery (1.5 months)</w:t>
            </w:r>
          </w:p>
          <w:p w14:paraId="33C144DB" w14:textId="77777777" w:rsidR="00597FB8" w:rsidRPr="009D4627" w:rsidRDefault="00597FB8" w:rsidP="00597FB8">
            <w:pPr>
              <w:spacing w:before="0" w:after="0" w:line="240" w:lineRule="auto"/>
              <w:jc w:val="left"/>
              <w:rPr>
                <w:i/>
                <w:iCs/>
              </w:rPr>
            </w:pPr>
            <w:r w:rsidRPr="009D4627">
              <w:rPr>
                <w:i/>
                <w:iCs/>
              </w:rPr>
              <w:t>(n = 63)</w:t>
            </w:r>
          </w:p>
        </w:tc>
        <w:tc>
          <w:tcPr>
            <w:tcW w:w="502" w:type="pct"/>
          </w:tcPr>
          <w:p w14:paraId="187B4B65" w14:textId="77777777" w:rsidR="00597FB8" w:rsidRPr="009D4627" w:rsidRDefault="00597FB8" w:rsidP="00597FB8">
            <w:pPr>
              <w:spacing w:before="0" w:after="0" w:line="240" w:lineRule="auto"/>
              <w:jc w:val="left"/>
            </w:pPr>
            <w:r w:rsidRPr="009D4627">
              <w:t>Partial (4 months) + non-recovery</w:t>
            </w:r>
          </w:p>
          <w:p w14:paraId="4D082042" w14:textId="77777777" w:rsidR="00597FB8" w:rsidRPr="009D4627" w:rsidRDefault="00597FB8" w:rsidP="00597FB8">
            <w:pPr>
              <w:spacing w:before="0" w:after="0" w:line="240" w:lineRule="auto"/>
              <w:jc w:val="left"/>
              <w:rPr>
                <w:i/>
                <w:iCs/>
              </w:rPr>
            </w:pPr>
            <w:r w:rsidRPr="009D4627">
              <w:rPr>
                <w:i/>
                <w:iCs/>
              </w:rPr>
              <w:t>(n = 17)</w:t>
            </w:r>
          </w:p>
        </w:tc>
      </w:tr>
      <w:tr w:rsidR="00597FB8" w:rsidRPr="009D4627" w14:paraId="2ECD6909" w14:textId="77777777" w:rsidTr="00597FB8">
        <w:trPr>
          <w:trHeight w:val="225"/>
        </w:trPr>
        <w:tc>
          <w:tcPr>
            <w:tcW w:w="664" w:type="pct"/>
            <w:vMerge/>
          </w:tcPr>
          <w:p w14:paraId="2B982275" w14:textId="77777777" w:rsidR="00597FB8" w:rsidRPr="009D4627" w:rsidRDefault="00597FB8" w:rsidP="00597FB8">
            <w:pPr>
              <w:spacing w:before="0" w:after="0" w:line="240" w:lineRule="auto"/>
              <w:jc w:val="left"/>
            </w:pPr>
          </w:p>
        </w:tc>
        <w:tc>
          <w:tcPr>
            <w:tcW w:w="815" w:type="pct"/>
            <w:vMerge/>
          </w:tcPr>
          <w:p w14:paraId="066E9B74" w14:textId="77777777" w:rsidR="00597FB8" w:rsidRPr="009D4627" w:rsidRDefault="00597FB8" w:rsidP="00597FB8">
            <w:pPr>
              <w:spacing w:before="0" w:after="0" w:line="240" w:lineRule="auto"/>
              <w:jc w:val="left"/>
            </w:pPr>
          </w:p>
        </w:tc>
        <w:tc>
          <w:tcPr>
            <w:tcW w:w="1003" w:type="pct"/>
            <w:vMerge/>
          </w:tcPr>
          <w:p w14:paraId="5C4E666A" w14:textId="77777777" w:rsidR="00597FB8" w:rsidRPr="009D4627" w:rsidRDefault="00597FB8" w:rsidP="00597FB8">
            <w:pPr>
              <w:spacing w:before="0" w:after="0" w:line="240" w:lineRule="auto"/>
              <w:jc w:val="left"/>
            </w:pPr>
          </w:p>
        </w:tc>
        <w:tc>
          <w:tcPr>
            <w:tcW w:w="926" w:type="pct"/>
            <w:vMerge/>
          </w:tcPr>
          <w:p w14:paraId="46BBCFF7"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2E26204E" w14:textId="77777777" w:rsidR="00597FB8" w:rsidRPr="009D4627" w:rsidRDefault="00597FB8" w:rsidP="00597FB8">
            <w:pPr>
              <w:spacing w:before="0" w:after="0" w:line="240" w:lineRule="auto"/>
              <w:jc w:val="left"/>
            </w:pPr>
            <w:r w:rsidRPr="009D4627">
              <w:t>Vascular</w:t>
            </w:r>
          </w:p>
        </w:tc>
        <w:tc>
          <w:tcPr>
            <w:tcW w:w="500" w:type="pct"/>
          </w:tcPr>
          <w:p w14:paraId="07B2278E" w14:textId="77777777" w:rsidR="00597FB8" w:rsidRPr="009D4627" w:rsidRDefault="00597FB8" w:rsidP="00597FB8">
            <w:pPr>
              <w:spacing w:before="0" w:after="0" w:line="240" w:lineRule="auto"/>
              <w:jc w:val="left"/>
            </w:pPr>
            <w:r w:rsidRPr="009D4627">
              <w:t>44</w:t>
            </w:r>
          </w:p>
        </w:tc>
        <w:tc>
          <w:tcPr>
            <w:tcW w:w="502" w:type="pct"/>
          </w:tcPr>
          <w:p w14:paraId="58A4368B" w14:textId="77777777" w:rsidR="00597FB8" w:rsidRPr="009D4627" w:rsidRDefault="00597FB8" w:rsidP="00597FB8">
            <w:pPr>
              <w:spacing w:before="0" w:after="0" w:line="240" w:lineRule="auto"/>
              <w:jc w:val="left"/>
            </w:pPr>
            <w:r w:rsidRPr="009D4627">
              <w:t>4</w:t>
            </w:r>
          </w:p>
        </w:tc>
      </w:tr>
      <w:tr w:rsidR="00597FB8" w:rsidRPr="009D4627" w14:paraId="7C722313" w14:textId="77777777" w:rsidTr="00597FB8">
        <w:trPr>
          <w:trHeight w:val="225"/>
        </w:trPr>
        <w:tc>
          <w:tcPr>
            <w:tcW w:w="664" w:type="pct"/>
            <w:vMerge/>
          </w:tcPr>
          <w:p w14:paraId="19433F63" w14:textId="77777777" w:rsidR="00597FB8" w:rsidRPr="009D4627" w:rsidRDefault="00597FB8" w:rsidP="00597FB8">
            <w:pPr>
              <w:spacing w:before="0" w:after="0" w:line="240" w:lineRule="auto"/>
              <w:jc w:val="left"/>
            </w:pPr>
          </w:p>
        </w:tc>
        <w:tc>
          <w:tcPr>
            <w:tcW w:w="815" w:type="pct"/>
            <w:vMerge/>
          </w:tcPr>
          <w:p w14:paraId="43E36685" w14:textId="77777777" w:rsidR="00597FB8" w:rsidRPr="009D4627" w:rsidRDefault="00597FB8" w:rsidP="00597FB8">
            <w:pPr>
              <w:spacing w:before="0" w:after="0" w:line="240" w:lineRule="auto"/>
              <w:jc w:val="left"/>
            </w:pPr>
          </w:p>
        </w:tc>
        <w:tc>
          <w:tcPr>
            <w:tcW w:w="1003" w:type="pct"/>
            <w:vMerge/>
          </w:tcPr>
          <w:p w14:paraId="05E0E6F1" w14:textId="77777777" w:rsidR="00597FB8" w:rsidRPr="009D4627" w:rsidRDefault="00597FB8" w:rsidP="00597FB8">
            <w:pPr>
              <w:spacing w:before="0" w:after="0" w:line="240" w:lineRule="auto"/>
              <w:jc w:val="left"/>
            </w:pPr>
          </w:p>
        </w:tc>
        <w:tc>
          <w:tcPr>
            <w:tcW w:w="926" w:type="pct"/>
            <w:vMerge/>
          </w:tcPr>
          <w:p w14:paraId="2008713D"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7EECE1C9" w14:textId="77777777" w:rsidR="00597FB8" w:rsidRPr="009D4627" w:rsidRDefault="00597FB8" w:rsidP="00597FB8">
            <w:pPr>
              <w:spacing w:before="0" w:after="0" w:line="240" w:lineRule="auto"/>
              <w:jc w:val="left"/>
            </w:pPr>
            <w:r w:rsidRPr="009D4627">
              <w:t>Trauma</w:t>
            </w:r>
          </w:p>
        </w:tc>
        <w:tc>
          <w:tcPr>
            <w:tcW w:w="500" w:type="pct"/>
          </w:tcPr>
          <w:p w14:paraId="609ED7CD" w14:textId="77777777" w:rsidR="00597FB8" w:rsidRPr="009D4627" w:rsidRDefault="00597FB8" w:rsidP="00597FB8">
            <w:pPr>
              <w:spacing w:before="0" w:after="0" w:line="240" w:lineRule="auto"/>
              <w:jc w:val="left"/>
            </w:pPr>
            <w:r w:rsidRPr="009D4627">
              <w:t>11</w:t>
            </w:r>
          </w:p>
        </w:tc>
        <w:tc>
          <w:tcPr>
            <w:tcW w:w="502" w:type="pct"/>
          </w:tcPr>
          <w:p w14:paraId="48C9B002" w14:textId="77777777" w:rsidR="00597FB8" w:rsidRPr="009D4627" w:rsidRDefault="00597FB8" w:rsidP="00597FB8">
            <w:pPr>
              <w:spacing w:before="0" w:after="0" w:line="240" w:lineRule="auto"/>
              <w:jc w:val="left"/>
            </w:pPr>
            <w:r w:rsidRPr="009D4627">
              <w:t>6</w:t>
            </w:r>
          </w:p>
        </w:tc>
      </w:tr>
      <w:tr w:rsidR="00597FB8" w:rsidRPr="009D4627" w14:paraId="3F394636" w14:textId="77777777" w:rsidTr="00597FB8">
        <w:trPr>
          <w:trHeight w:val="225"/>
        </w:trPr>
        <w:tc>
          <w:tcPr>
            <w:tcW w:w="664" w:type="pct"/>
            <w:vMerge/>
          </w:tcPr>
          <w:p w14:paraId="41B894C0" w14:textId="77777777" w:rsidR="00597FB8" w:rsidRPr="009D4627" w:rsidRDefault="00597FB8" w:rsidP="00597FB8">
            <w:pPr>
              <w:spacing w:before="0" w:after="0" w:line="240" w:lineRule="auto"/>
              <w:jc w:val="left"/>
            </w:pPr>
          </w:p>
        </w:tc>
        <w:tc>
          <w:tcPr>
            <w:tcW w:w="815" w:type="pct"/>
            <w:vMerge/>
          </w:tcPr>
          <w:p w14:paraId="612F6589" w14:textId="77777777" w:rsidR="00597FB8" w:rsidRPr="009D4627" w:rsidRDefault="00597FB8" w:rsidP="00597FB8">
            <w:pPr>
              <w:spacing w:before="0" w:after="0" w:line="240" w:lineRule="auto"/>
              <w:jc w:val="left"/>
            </w:pPr>
          </w:p>
        </w:tc>
        <w:tc>
          <w:tcPr>
            <w:tcW w:w="1003" w:type="pct"/>
            <w:vMerge/>
          </w:tcPr>
          <w:p w14:paraId="72572629" w14:textId="77777777" w:rsidR="00597FB8" w:rsidRPr="009D4627" w:rsidRDefault="00597FB8" w:rsidP="00597FB8">
            <w:pPr>
              <w:spacing w:before="0" w:after="0" w:line="240" w:lineRule="auto"/>
              <w:jc w:val="left"/>
            </w:pPr>
          </w:p>
        </w:tc>
        <w:tc>
          <w:tcPr>
            <w:tcW w:w="926" w:type="pct"/>
            <w:vMerge/>
          </w:tcPr>
          <w:p w14:paraId="145FFA98"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411D4AE5" w14:textId="77777777" w:rsidR="00597FB8" w:rsidRPr="009D4627" w:rsidRDefault="00597FB8" w:rsidP="00597FB8">
            <w:pPr>
              <w:spacing w:before="0" w:after="0" w:line="240" w:lineRule="auto"/>
              <w:jc w:val="left"/>
            </w:pPr>
            <w:r w:rsidRPr="009D4627">
              <w:t>Brain lesion</w:t>
            </w:r>
          </w:p>
        </w:tc>
        <w:tc>
          <w:tcPr>
            <w:tcW w:w="500" w:type="pct"/>
          </w:tcPr>
          <w:p w14:paraId="1BCF1D71" w14:textId="77777777" w:rsidR="00597FB8" w:rsidRPr="009D4627" w:rsidRDefault="00597FB8" w:rsidP="00597FB8">
            <w:pPr>
              <w:spacing w:before="0" w:after="0" w:line="240" w:lineRule="auto"/>
              <w:jc w:val="left"/>
            </w:pPr>
            <w:r w:rsidRPr="009D4627">
              <w:t>3</w:t>
            </w:r>
          </w:p>
        </w:tc>
        <w:tc>
          <w:tcPr>
            <w:tcW w:w="502" w:type="pct"/>
          </w:tcPr>
          <w:p w14:paraId="73A94141" w14:textId="77777777" w:rsidR="00597FB8" w:rsidRPr="009D4627" w:rsidRDefault="00597FB8" w:rsidP="00597FB8">
            <w:pPr>
              <w:spacing w:before="0" w:after="0" w:line="240" w:lineRule="auto"/>
              <w:jc w:val="left"/>
            </w:pPr>
            <w:r w:rsidRPr="009D4627">
              <w:t>1</w:t>
            </w:r>
          </w:p>
        </w:tc>
      </w:tr>
      <w:tr w:rsidR="00597FB8" w:rsidRPr="009D4627" w14:paraId="4B9B5F8A" w14:textId="77777777" w:rsidTr="00597FB8">
        <w:trPr>
          <w:trHeight w:val="225"/>
        </w:trPr>
        <w:tc>
          <w:tcPr>
            <w:tcW w:w="664" w:type="pct"/>
            <w:vMerge/>
          </w:tcPr>
          <w:p w14:paraId="1347592A" w14:textId="77777777" w:rsidR="00597FB8" w:rsidRPr="009D4627" w:rsidRDefault="00597FB8" w:rsidP="00597FB8">
            <w:pPr>
              <w:spacing w:before="0" w:after="0" w:line="240" w:lineRule="auto"/>
              <w:jc w:val="left"/>
            </w:pPr>
          </w:p>
        </w:tc>
        <w:tc>
          <w:tcPr>
            <w:tcW w:w="815" w:type="pct"/>
            <w:vMerge/>
          </w:tcPr>
          <w:p w14:paraId="3334680A" w14:textId="77777777" w:rsidR="00597FB8" w:rsidRPr="009D4627" w:rsidRDefault="00597FB8" w:rsidP="00597FB8">
            <w:pPr>
              <w:spacing w:before="0" w:after="0" w:line="240" w:lineRule="auto"/>
              <w:jc w:val="left"/>
            </w:pPr>
          </w:p>
        </w:tc>
        <w:tc>
          <w:tcPr>
            <w:tcW w:w="1003" w:type="pct"/>
            <w:vMerge/>
          </w:tcPr>
          <w:p w14:paraId="7C8821EB" w14:textId="77777777" w:rsidR="00597FB8" w:rsidRPr="009D4627" w:rsidRDefault="00597FB8" w:rsidP="00597FB8">
            <w:pPr>
              <w:spacing w:before="0" w:after="0" w:line="240" w:lineRule="auto"/>
              <w:jc w:val="left"/>
            </w:pPr>
          </w:p>
        </w:tc>
        <w:tc>
          <w:tcPr>
            <w:tcW w:w="926" w:type="pct"/>
            <w:vMerge/>
          </w:tcPr>
          <w:p w14:paraId="0D8A2FDB"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095AA53A" w14:textId="77777777" w:rsidR="00597FB8" w:rsidRPr="009D4627" w:rsidRDefault="00597FB8" w:rsidP="00597FB8">
            <w:pPr>
              <w:spacing w:before="0" w:after="0" w:line="240" w:lineRule="auto"/>
              <w:jc w:val="left"/>
            </w:pPr>
            <w:r w:rsidRPr="009D4627">
              <w:t>Late decompensation</w:t>
            </w:r>
          </w:p>
        </w:tc>
        <w:tc>
          <w:tcPr>
            <w:tcW w:w="500" w:type="pct"/>
          </w:tcPr>
          <w:p w14:paraId="75814C2D" w14:textId="77777777" w:rsidR="00597FB8" w:rsidRPr="009D4627" w:rsidRDefault="00597FB8" w:rsidP="00597FB8">
            <w:pPr>
              <w:spacing w:before="0" w:after="0" w:line="240" w:lineRule="auto"/>
              <w:jc w:val="left"/>
            </w:pPr>
            <w:r w:rsidRPr="009D4627">
              <w:t>0</w:t>
            </w:r>
          </w:p>
        </w:tc>
        <w:tc>
          <w:tcPr>
            <w:tcW w:w="502" w:type="pct"/>
          </w:tcPr>
          <w:p w14:paraId="7C545DB2" w14:textId="77777777" w:rsidR="00597FB8" w:rsidRPr="009D4627" w:rsidRDefault="00597FB8" w:rsidP="00597FB8">
            <w:pPr>
              <w:spacing w:before="0" w:after="0" w:line="240" w:lineRule="auto"/>
              <w:jc w:val="left"/>
            </w:pPr>
            <w:r w:rsidRPr="009D4627">
              <w:t>4</w:t>
            </w:r>
          </w:p>
        </w:tc>
      </w:tr>
      <w:tr w:rsidR="00597FB8" w:rsidRPr="009D4627" w14:paraId="715D6235" w14:textId="77777777" w:rsidTr="00597FB8">
        <w:trPr>
          <w:trHeight w:val="225"/>
        </w:trPr>
        <w:tc>
          <w:tcPr>
            <w:tcW w:w="664" w:type="pct"/>
            <w:vMerge/>
          </w:tcPr>
          <w:p w14:paraId="22ACFDF0" w14:textId="77777777" w:rsidR="00597FB8" w:rsidRPr="009D4627" w:rsidRDefault="00597FB8" w:rsidP="00597FB8">
            <w:pPr>
              <w:spacing w:before="0" w:after="0" w:line="240" w:lineRule="auto"/>
              <w:jc w:val="left"/>
            </w:pPr>
          </w:p>
        </w:tc>
        <w:tc>
          <w:tcPr>
            <w:tcW w:w="815" w:type="pct"/>
            <w:vMerge/>
          </w:tcPr>
          <w:p w14:paraId="61969AA1" w14:textId="77777777" w:rsidR="00597FB8" w:rsidRPr="009D4627" w:rsidRDefault="00597FB8" w:rsidP="00597FB8">
            <w:pPr>
              <w:spacing w:before="0" w:after="0" w:line="240" w:lineRule="auto"/>
              <w:jc w:val="left"/>
            </w:pPr>
          </w:p>
        </w:tc>
        <w:tc>
          <w:tcPr>
            <w:tcW w:w="1003" w:type="pct"/>
            <w:vMerge/>
          </w:tcPr>
          <w:p w14:paraId="69B70666" w14:textId="77777777" w:rsidR="00597FB8" w:rsidRPr="009D4627" w:rsidRDefault="00597FB8" w:rsidP="00597FB8">
            <w:pPr>
              <w:spacing w:before="0" w:after="0" w:line="240" w:lineRule="auto"/>
              <w:jc w:val="left"/>
            </w:pPr>
          </w:p>
        </w:tc>
        <w:tc>
          <w:tcPr>
            <w:tcW w:w="926" w:type="pct"/>
            <w:vMerge/>
          </w:tcPr>
          <w:p w14:paraId="2D7D772F"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415210C7" w14:textId="77777777" w:rsidR="00597FB8" w:rsidRPr="009D4627" w:rsidRDefault="00597FB8" w:rsidP="00597FB8">
            <w:pPr>
              <w:spacing w:before="0" w:after="0" w:line="240" w:lineRule="auto"/>
              <w:jc w:val="left"/>
            </w:pPr>
            <w:r w:rsidRPr="009D4627">
              <w:t>Others</w:t>
            </w:r>
          </w:p>
        </w:tc>
        <w:tc>
          <w:tcPr>
            <w:tcW w:w="500" w:type="pct"/>
          </w:tcPr>
          <w:p w14:paraId="045A7FCF" w14:textId="77777777" w:rsidR="00597FB8" w:rsidRPr="009D4627" w:rsidRDefault="00597FB8" w:rsidP="00597FB8">
            <w:pPr>
              <w:spacing w:before="0" w:after="0" w:line="240" w:lineRule="auto"/>
              <w:jc w:val="left"/>
            </w:pPr>
            <w:r w:rsidRPr="009D4627">
              <w:t>3</w:t>
            </w:r>
          </w:p>
        </w:tc>
        <w:tc>
          <w:tcPr>
            <w:tcW w:w="502" w:type="pct"/>
          </w:tcPr>
          <w:p w14:paraId="1EE5CFB0" w14:textId="77777777" w:rsidR="00597FB8" w:rsidRPr="009D4627" w:rsidRDefault="00597FB8" w:rsidP="00597FB8">
            <w:pPr>
              <w:spacing w:before="0" w:after="0" w:line="240" w:lineRule="auto"/>
              <w:jc w:val="left"/>
            </w:pPr>
            <w:r w:rsidRPr="009D4627">
              <w:t>1</w:t>
            </w:r>
          </w:p>
        </w:tc>
      </w:tr>
      <w:tr w:rsidR="00597FB8" w:rsidRPr="009D4627" w14:paraId="07AD443E" w14:textId="77777777" w:rsidTr="00597FB8">
        <w:trPr>
          <w:trHeight w:val="225"/>
        </w:trPr>
        <w:tc>
          <w:tcPr>
            <w:tcW w:w="664" w:type="pct"/>
            <w:vMerge/>
          </w:tcPr>
          <w:p w14:paraId="268D9234" w14:textId="77777777" w:rsidR="00597FB8" w:rsidRPr="009D4627" w:rsidRDefault="00597FB8" w:rsidP="00597FB8">
            <w:pPr>
              <w:spacing w:before="0" w:after="0" w:line="240" w:lineRule="auto"/>
              <w:jc w:val="left"/>
            </w:pPr>
          </w:p>
        </w:tc>
        <w:tc>
          <w:tcPr>
            <w:tcW w:w="815" w:type="pct"/>
            <w:vMerge/>
          </w:tcPr>
          <w:p w14:paraId="202E8D9D" w14:textId="77777777" w:rsidR="00597FB8" w:rsidRPr="009D4627" w:rsidRDefault="00597FB8" w:rsidP="00597FB8">
            <w:pPr>
              <w:spacing w:before="0" w:after="0" w:line="240" w:lineRule="auto"/>
              <w:jc w:val="left"/>
            </w:pPr>
          </w:p>
        </w:tc>
        <w:tc>
          <w:tcPr>
            <w:tcW w:w="1003" w:type="pct"/>
            <w:vMerge/>
          </w:tcPr>
          <w:p w14:paraId="34FB86C5" w14:textId="77777777" w:rsidR="00597FB8" w:rsidRPr="009D4627" w:rsidRDefault="00597FB8" w:rsidP="00597FB8">
            <w:pPr>
              <w:spacing w:before="0" w:after="0" w:line="240" w:lineRule="auto"/>
              <w:jc w:val="left"/>
            </w:pPr>
          </w:p>
        </w:tc>
        <w:tc>
          <w:tcPr>
            <w:tcW w:w="926" w:type="pct"/>
            <w:vMerge/>
          </w:tcPr>
          <w:p w14:paraId="306DF907" w14:textId="77777777" w:rsidR="00597FB8" w:rsidRPr="009D4627" w:rsidRDefault="00597FB8" w:rsidP="00C171FA">
            <w:pPr>
              <w:pStyle w:val="ListParagraph"/>
              <w:numPr>
                <w:ilvl w:val="0"/>
                <w:numId w:val="122"/>
              </w:numPr>
              <w:spacing w:before="0" w:after="0" w:line="240" w:lineRule="auto"/>
              <w:ind w:left="104" w:hanging="142"/>
              <w:jc w:val="left"/>
            </w:pPr>
          </w:p>
        </w:tc>
        <w:tc>
          <w:tcPr>
            <w:tcW w:w="590" w:type="pct"/>
          </w:tcPr>
          <w:p w14:paraId="05F743A2" w14:textId="77777777" w:rsidR="00597FB8" w:rsidRPr="009D4627" w:rsidRDefault="00597FB8" w:rsidP="00597FB8">
            <w:pPr>
              <w:spacing w:before="0" w:after="0" w:line="240" w:lineRule="auto"/>
              <w:jc w:val="left"/>
            </w:pPr>
            <w:r w:rsidRPr="009D4627">
              <w:t>Undetermined</w:t>
            </w:r>
          </w:p>
        </w:tc>
        <w:tc>
          <w:tcPr>
            <w:tcW w:w="500" w:type="pct"/>
          </w:tcPr>
          <w:p w14:paraId="79EA5944" w14:textId="77777777" w:rsidR="00597FB8" w:rsidRPr="009D4627" w:rsidRDefault="00597FB8" w:rsidP="00597FB8">
            <w:pPr>
              <w:spacing w:before="0" w:after="0" w:line="240" w:lineRule="auto"/>
              <w:jc w:val="left"/>
            </w:pPr>
            <w:r w:rsidRPr="009D4627">
              <w:t>2</w:t>
            </w:r>
          </w:p>
        </w:tc>
        <w:tc>
          <w:tcPr>
            <w:tcW w:w="502" w:type="pct"/>
          </w:tcPr>
          <w:p w14:paraId="2E6F877B" w14:textId="77777777" w:rsidR="00597FB8" w:rsidRPr="009D4627" w:rsidRDefault="00597FB8" w:rsidP="00597FB8">
            <w:pPr>
              <w:spacing w:before="0" w:after="0" w:line="240" w:lineRule="auto"/>
              <w:jc w:val="left"/>
            </w:pPr>
            <w:r w:rsidRPr="009D4627">
              <w:t>1</w:t>
            </w:r>
          </w:p>
        </w:tc>
      </w:tr>
      <w:tr w:rsidR="00597FB8" w:rsidRPr="009D4627" w14:paraId="57B1F0D2" w14:textId="77777777" w:rsidTr="00597FB8">
        <w:trPr>
          <w:trHeight w:val="460"/>
        </w:trPr>
        <w:tc>
          <w:tcPr>
            <w:tcW w:w="664" w:type="pct"/>
            <w:vMerge/>
            <w:tcBorders>
              <w:bottom w:val="single" w:sz="4" w:space="0" w:color="auto"/>
            </w:tcBorders>
          </w:tcPr>
          <w:p w14:paraId="1D1FA7BD" w14:textId="77777777" w:rsidR="00597FB8" w:rsidRPr="009D4627" w:rsidRDefault="00597FB8" w:rsidP="00597FB8">
            <w:pPr>
              <w:spacing w:before="0" w:after="0" w:line="240" w:lineRule="auto"/>
              <w:jc w:val="left"/>
            </w:pPr>
          </w:p>
        </w:tc>
        <w:tc>
          <w:tcPr>
            <w:tcW w:w="815" w:type="pct"/>
            <w:vMerge/>
            <w:tcBorders>
              <w:bottom w:val="single" w:sz="4" w:space="0" w:color="auto"/>
            </w:tcBorders>
          </w:tcPr>
          <w:p w14:paraId="6272AD63" w14:textId="77777777" w:rsidR="00597FB8" w:rsidRPr="009D4627" w:rsidRDefault="00597FB8" w:rsidP="00597FB8">
            <w:pPr>
              <w:spacing w:before="0" w:after="0" w:line="240" w:lineRule="auto"/>
              <w:jc w:val="left"/>
            </w:pPr>
          </w:p>
        </w:tc>
        <w:tc>
          <w:tcPr>
            <w:tcW w:w="1003" w:type="pct"/>
            <w:vMerge/>
            <w:tcBorders>
              <w:bottom w:val="single" w:sz="4" w:space="0" w:color="auto"/>
            </w:tcBorders>
          </w:tcPr>
          <w:p w14:paraId="6472A3DA" w14:textId="77777777" w:rsidR="00597FB8" w:rsidRPr="009D4627" w:rsidRDefault="00597FB8" w:rsidP="00597FB8">
            <w:pPr>
              <w:spacing w:before="0" w:after="0" w:line="240" w:lineRule="auto"/>
              <w:jc w:val="left"/>
            </w:pPr>
          </w:p>
        </w:tc>
        <w:tc>
          <w:tcPr>
            <w:tcW w:w="926" w:type="pct"/>
            <w:vMerge/>
            <w:tcBorders>
              <w:bottom w:val="single" w:sz="4" w:space="0" w:color="auto"/>
            </w:tcBorders>
          </w:tcPr>
          <w:p w14:paraId="1D04C9D3" w14:textId="77777777" w:rsidR="00597FB8" w:rsidRPr="009D4627" w:rsidRDefault="00597FB8" w:rsidP="00C171FA">
            <w:pPr>
              <w:pStyle w:val="ListParagraph"/>
              <w:numPr>
                <w:ilvl w:val="0"/>
                <w:numId w:val="122"/>
              </w:numPr>
              <w:spacing w:before="0" w:after="0" w:line="240" w:lineRule="auto"/>
              <w:ind w:left="104" w:hanging="142"/>
              <w:jc w:val="left"/>
            </w:pPr>
          </w:p>
        </w:tc>
        <w:tc>
          <w:tcPr>
            <w:tcW w:w="1592" w:type="pct"/>
            <w:gridSpan w:val="3"/>
            <w:tcBorders>
              <w:bottom w:val="single" w:sz="4" w:space="0" w:color="auto"/>
            </w:tcBorders>
          </w:tcPr>
          <w:p w14:paraId="5BBF5F25" w14:textId="77777777" w:rsidR="00597FB8" w:rsidRPr="009D4627" w:rsidRDefault="00597FB8" w:rsidP="00597FB8">
            <w:pPr>
              <w:spacing w:before="0" w:after="0" w:line="240" w:lineRule="auto"/>
              <w:jc w:val="left"/>
            </w:pPr>
            <w:r w:rsidRPr="009D4627">
              <w:t xml:space="preserve">* </w:t>
            </w:r>
            <w:proofErr w:type="gramStart"/>
            <w:r w:rsidRPr="009D4627">
              <w:t>late</w:t>
            </w:r>
            <w:proofErr w:type="gramEnd"/>
            <w:r w:rsidRPr="009D4627">
              <w:t xml:space="preserve"> decompensation is </w:t>
            </w:r>
            <w:proofErr w:type="spellStart"/>
            <w:r w:rsidRPr="009D4627">
              <w:t>categorised</w:t>
            </w:r>
            <w:proofErr w:type="spellEnd"/>
            <w:r w:rsidRPr="009D4627">
              <w:t xml:space="preserve"> as a patient without vascular risk factors or trauma, age younger than 40 years or unilateral visual loss. </w:t>
            </w:r>
          </w:p>
        </w:tc>
      </w:tr>
    </w:tbl>
    <w:p w14:paraId="2050FA48" w14:textId="77777777" w:rsidR="00547D87" w:rsidRPr="009D4627" w:rsidRDefault="00547D87" w:rsidP="00CC31A9">
      <w:pPr>
        <w:spacing w:after="0"/>
      </w:pPr>
    </w:p>
    <w:p w14:paraId="21365EBD" w14:textId="77777777" w:rsidR="005F451A" w:rsidRPr="009D4627" w:rsidRDefault="005F451A" w:rsidP="00DC4CA6">
      <w:pPr>
        <w:pStyle w:val="Heading3"/>
        <w:sectPr w:rsidR="005F451A" w:rsidRPr="009D4627" w:rsidSect="005F451A">
          <w:headerReference w:type="default" r:id="rId65"/>
          <w:footerReference w:type="default" r:id="rId66"/>
          <w:pgSz w:w="16838" w:h="11906" w:orient="landscape" w:code="9"/>
          <w:pgMar w:top="1440" w:right="1440" w:bottom="1440" w:left="1440" w:header="709" w:footer="709" w:gutter="0"/>
          <w:cols w:space="708"/>
          <w:docGrid w:linePitch="360"/>
        </w:sectPr>
      </w:pPr>
    </w:p>
    <w:p w14:paraId="5D9E545A" w14:textId="052FC489" w:rsidR="00547D87" w:rsidRPr="009D4627" w:rsidRDefault="00547D87" w:rsidP="00DC4CA6">
      <w:pPr>
        <w:pStyle w:val="Heading3"/>
      </w:pPr>
      <w:bookmarkStart w:id="124" w:name="_Toc98964634"/>
      <w:bookmarkStart w:id="125" w:name="_Toc103344679"/>
      <w:r w:rsidRPr="009D4627">
        <w:lastRenderedPageBreak/>
        <w:t>Summary</w:t>
      </w:r>
      <w:bookmarkEnd w:id="124"/>
      <w:bookmarkEnd w:id="125"/>
      <w:r w:rsidRPr="009D4627">
        <w:t xml:space="preserve"> </w:t>
      </w:r>
    </w:p>
    <w:p w14:paraId="0350EEA9" w14:textId="77777777" w:rsidR="00597FB8" w:rsidRPr="009D4627" w:rsidRDefault="00597FB8" w:rsidP="00597FB8">
      <w:r w:rsidRPr="009D4627">
        <w:t xml:space="preserve">There is evidence documenting the impact of CN VI palsy on saccade dynamics </w:t>
      </w:r>
      <w:r w:rsidRPr="009D4627">
        <w:fldChar w:fldCharType="begin"/>
      </w:r>
      <w:r w:rsidRPr="009D4627">
        <w:instrText xml:space="preserve"> ADDIN EN.CITE &lt;EndNote&gt;&lt;Cite&gt;&lt;Author&gt;Wong&lt;/Author&gt;&lt;Year&gt;2006&lt;/Year&gt;&lt;IDText&gt;Saccade dynamics in peripheral vs central sixth nerve palsies&lt;/IDText&gt;&lt;DisplayText&gt;(Wong et al., 2006)&lt;/DisplayText&gt;&lt;record&gt;&lt;isbn&gt;0028-3878&lt;/isbn&gt;&lt;titles&gt;&lt;title&gt;Saccade dynamics in peripheral vs central sixth nerve palsies&lt;/title&gt;&lt;secondary-title&gt;NEUROLOGY&lt;/secondary-title&gt;&lt;/titles&gt;&lt;pages&gt;1390-1398&lt;/pages&gt;&lt;number&gt;9&lt;/number&gt;&lt;contributors&gt;&lt;authors&gt;&lt;author&gt;Wong, Agnes M. F.&lt;/author&gt;&lt;author&gt;McReelis, Kylen&lt;/author&gt;&lt;author&gt;Sharpe, James A.&lt;/author&gt;&lt;/authors&gt;&lt;/contributors&gt;&lt;added-date format="utc"&gt;1493725137&lt;/added-date&gt;&lt;pub-location&gt;[Hagerstown, MD] :&lt;/pub-location&gt;&lt;ref-type name="Journal Article"&gt;17&lt;/ref-type&gt;&lt;dates&gt;&lt;year&gt;2006&lt;/year&gt;&lt;/dates&gt;&lt;rec-number&gt;48&lt;/rec-number&gt;&lt;last-updated-date format="utc"&gt;1493725137&lt;/last-updated-date&gt;&lt;electronic-resource-num&gt;10.1212/01.wnl.0000210448.47652.50&lt;/electronic-resource-num&gt;&lt;volume&gt;66&lt;/volume&gt;&lt;/record&gt;&lt;/Cite&gt;&lt;/EndNote&gt;</w:instrText>
      </w:r>
      <w:r w:rsidRPr="009D4627">
        <w:fldChar w:fldCharType="separate"/>
      </w:r>
      <w:r w:rsidRPr="009D4627">
        <w:rPr>
          <w:noProof/>
        </w:rPr>
        <w:t>(Wong et al., 2006)</w:t>
      </w:r>
      <w:r w:rsidRPr="009D4627">
        <w:fldChar w:fldCharType="end"/>
      </w:r>
      <w:r w:rsidRPr="009D4627">
        <w:t xml:space="preserve"> but there is a lack of detailed information on the impact of CN III and IV palsies on eye movement dynamics.  </w:t>
      </w:r>
      <w:proofErr w:type="gramStart"/>
      <w:r w:rsidRPr="009D4627">
        <w:t>In particular, there</w:t>
      </w:r>
      <w:proofErr w:type="gramEnd"/>
      <w:r w:rsidRPr="009D4627">
        <w:t xml:space="preserve"> is a lack of studies that carefully evaluate the change of ocular movement parameters, specifically the dynamics of saccadic, SP, and fixation eye movements, during the immediate period after onset using high-resolution eye recording. Previous studies have been conducted using cross-sectional methods observing the saccades and pursuits movements in the horizontal direction only at a single visit </w:t>
      </w:r>
      <w:r w:rsidRPr="009D4627">
        <w:fldChar w:fldCharType="begin">
          <w:fldData xml:space="preserve">PEVuZE5vdGU+PENpdGU+PEF1dGhvcj5TYW1hZGFuaTwvQXV0aG9yPjxZZWFyPjIwMTU8L1llYXI+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</w:fldData>
        </w:fldChar>
      </w:r>
      <w:r w:rsidRPr="009D4627">
        <w:instrText xml:space="preserve"> ADDIN EN.CITE </w:instrText>
      </w:r>
      <w:r w:rsidRPr="009D4627">
        <w:fldChar w:fldCharType="begin">
          <w:fldData xml:space="preserve">PEVuZE5vdGU+PENpdGU+PEF1dGhvcj5TYW1hZGFuaTwvQXV0aG9yPjxZZWFyPjIwMTU8L1llYXI+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</w:fldData>
        </w:fldChar>
      </w:r>
      <w:r w:rsidRPr="009D4627">
        <w:instrText xml:space="preserve"> ADDIN EN.CITE.DATA </w:instrText>
      </w:r>
      <w:r w:rsidRPr="009D4627">
        <w:fldChar w:fldCharType="end"/>
      </w:r>
      <w:r w:rsidRPr="009D4627">
        <w:fldChar w:fldCharType="separate"/>
      </w:r>
      <w:r w:rsidRPr="009D4627">
        <w:rPr>
          <w:noProof/>
        </w:rPr>
        <w:t>(Samadani et al., 2015; Tegetmeyer et al., 2002; Wong et al., 2006)</w:t>
      </w:r>
      <w:r w:rsidRPr="009D4627">
        <w:fldChar w:fldCharType="end"/>
      </w:r>
      <w:r w:rsidRPr="009D4627">
        <w:t>. A more detailed investigation of eye movement changes during the potential recovery period has not yet been explored.</w:t>
      </w:r>
    </w:p>
    <w:p w14:paraId="52E08E07" w14:textId="77777777" w:rsidR="00597FB8" w:rsidRPr="009D4627" w:rsidRDefault="00597FB8" w:rsidP="00597FB8">
      <w:r w:rsidRPr="009D4627">
        <w:t xml:space="preserve">With the advancement of the technology, objective eye recording can be introduced, but there is a lack of evidence to determine this new method's accuracy to assess eye movement abnormalities caused by ocular nerve palsies. Additionally, accurate documentation of the condition's stabilisation is needed to determine the correct timing for further treatment, such as ocular muscle surgery, botulinum toxin, or incorporation of prisms into glasses. A method to determine a lack of recovery may help to expedite treatment and reduce the time patients suffer the deliberating symptom of diplopia. </w:t>
      </w:r>
    </w:p>
    <w:p w14:paraId="0BB58B13" w14:textId="77777777" w:rsidR="00597FB8" w:rsidRPr="009D4627" w:rsidRDefault="00597FB8" w:rsidP="00597FB8">
      <w:pPr>
        <w:rPr>
          <w:iCs/>
        </w:rPr>
      </w:pPr>
      <w:r w:rsidRPr="009D4627">
        <w:t xml:space="preserve">Non-invasive EMR using the </w:t>
      </w:r>
      <w:proofErr w:type="spellStart"/>
      <w:r w:rsidRPr="009D4627">
        <w:t>EyeLink</w:t>
      </w:r>
      <w:proofErr w:type="spellEnd"/>
      <w:r w:rsidRPr="009D4627">
        <w:t xml:space="preserve"> 1000 Plus have been shown to produce comparable results to the search coil method </w:t>
      </w:r>
      <w:r w:rsidRPr="009D4627">
        <w:fldChar w:fldCharType="begin">
          <w:fldData xml:space="preserve">PEVuZE5vdGU+PENpdGU+PEF1dGhvcj5Ib3ViZW48L0F1dGhvcj48WWVhcj4yMDA2PC9ZZWFyPjxJ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</w:fldData>
        </w:fldChar>
      </w:r>
      <w:r w:rsidRPr="009D4627">
        <w:instrText xml:space="preserve"> ADDIN EN.CITE </w:instrText>
      </w:r>
      <w:r w:rsidRPr="009D4627">
        <w:fldChar w:fldCharType="begin">
          <w:fldData xml:space="preserve">PEVuZE5vdGU+PENpdGU+PEF1dGhvcj5Ib3ViZW48L0F1dGhvcj48WWVhcj4yMDA2PC9ZZWFyPjxJ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</w:fldData>
        </w:fldChar>
      </w:r>
      <w:r w:rsidRPr="009D4627">
        <w:instrText xml:space="preserve"> ADDIN EN.CITE.DATA </w:instrText>
      </w:r>
      <w:r w:rsidRPr="009D4627">
        <w:fldChar w:fldCharType="end"/>
      </w:r>
      <w:r w:rsidRPr="009D4627">
        <w:fldChar w:fldCharType="separate"/>
      </w:r>
      <w:r w:rsidRPr="009D4627">
        <w:rPr>
          <w:noProof/>
        </w:rPr>
        <w:t>(Houben et al., 2006; Schmitt et al., 2007)</w:t>
      </w:r>
      <w:r w:rsidRPr="009D4627">
        <w:fldChar w:fldCharType="end"/>
      </w:r>
      <w:r w:rsidRPr="009D4627">
        <w:t>. However, those studies were conducted among normal participants. T</w:t>
      </w:r>
      <w:r w:rsidRPr="009D4627">
        <w:rPr>
          <w:iCs/>
        </w:rPr>
        <w:t xml:space="preserve">he </w:t>
      </w:r>
      <w:proofErr w:type="spellStart"/>
      <w:r w:rsidRPr="009D4627">
        <w:rPr>
          <w:iCs/>
        </w:rPr>
        <w:t>EyeLink</w:t>
      </w:r>
      <w:proofErr w:type="spellEnd"/>
      <w:r w:rsidRPr="009D4627">
        <w:rPr>
          <w:iCs/>
        </w:rPr>
        <w:t xml:space="preserve"> 1000 Plus eye movement recorder's feasibility to be implemented as a standard measure for clinical assessment of ocular nerve palsies patients is yet to be investigated.</w:t>
      </w:r>
    </w:p>
    <w:p w14:paraId="4EA50AEE" w14:textId="6DA90F66" w:rsidR="00597FB8" w:rsidRPr="009D4627" w:rsidRDefault="00597FB8" w:rsidP="00597FB8">
      <w:r w:rsidRPr="009D4627">
        <w:rPr>
          <w:shd w:val="clear" w:color="auto" w:fill="FFFFFF"/>
        </w:rPr>
        <w:lastRenderedPageBreak/>
        <w:t xml:space="preserve">Despite many studies reporting the normal values of EMR parameters, the normative database is still not complete due to differences in the testing paradigms and eye trackers used.  This database is important to act a control data, allowing comparison with EMRs of </w:t>
      </w:r>
      <w:r w:rsidR="00940AE5" w:rsidRPr="009D4627">
        <w:rPr>
          <w:shd w:val="clear" w:color="auto" w:fill="FFFFFF"/>
        </w:rPr>
        <w:t>ONP</w:t>
      </w:r>
      <w:r w:rsidRPr="009D4627">
        <w:rPr>
          <w:shd w:val="clear" w:color="auto" w:fill="FFFFFF"/>
        </w:rPr>
        <w:t xml:space="preserve"> patients. Furthermore, </w:t>
      </w:r>
      <w:r w:rsidRPr="009D4627">
        <w:rPr>
          <w:color w:val="131413"/>
        </w:rPr>
        <w:t>objective eye recording methods have not been used widely in clinics to monitor ocular nerve palsies' progression, although the disease is well known to impact the eye movement system. An evaluation of the feasibility and the potential gain is required before such investment in equipment, training, and patient time can be considered.</w:t>
      </w:r>
    </w:p>
    <w:bookmarkEnd w:id="7"/>
    <w:p w14:paraId="0D17E564" w14:textId="77777777" w:rsidR="00547D87" w:rsidRPr="009D4627" w:rsidRDefault="00547D87" w:rsidP="00390EBC"/>
    <w:p w14:paraId="2D4BD040" w14:textId="77777777" w:rsidR="00686098" w:rsidRPr="009D4627" w:rsidRDefault="00686098" w:rsidP="002A7EB3">
      <w:pPr>
        <w:pStyle w:val="Heading1"/>
        <w:sectPr w:rsidR="00686098" w:rsidRPr="009D4627" w:rsidSect="0007333B">
          <w:headerReference w:type="default" r:id="rId67"/>
          <w:footerReference w:type="default" r:id="rId68"/>
          <w:pgSz w:w="11906" w:h="16838" w:code="9"/>
          <w:pgMar w:top="1440" w:right="1440" w:bottom="1440" w:left="1440" w:header="709" w:footer="709" w:gutter="0"/>
          <w:cols w:space="708"/>
          <w:docGrid w:linePitch="360"/>
        </w:sectPr>
      </w:pPr>
      <w:bookmarkStart w:id="126" w:name="_Ref62131168"/>
      <w:bookmarkStart w:id="127" w:name="_Toc69994799"/>
    </w:p>
    <w:p w14:paraId="1EA7AF83" w14:textId="03BBF669" w:rsidR="00547D87" w:rsidRPr="009D4627" w:rsidRDefault="00547D87" w:rsidP="002A7EB3">
      <w:pPr>
        <w:pStyle w:val="Heading1"/>
      </w:pPr>
      <w:bookmarkStart w:id="128" w:name="_Toc98964635"/>
      <w:bookmarkStart w:id="129" w:name="_Toc103344680"/>
      <w:r w:rsidRPr="009D4627">
        <w:lastRenderedPageBreak/>
        <w:t>Materials and methods</w:t>
      </w:r>
      <w:bookmarkEnd w:id="126"/>
      <w:bookmarkEnd w:id="127"/>
      <w:bookmarkEnd w:id="128"/>
      <w:bookmarkEnd w:id="129"/>
    </w:p>
    <w:p w14:paraId="33BD2987" w14:textId="7F720124" w:rsidR="00547D87" w:rsidRPr="009D4627" w:rsidRDefault="00547D87" w:rsidP="00CC31A9">
      <w:r w:rsidRPr="009D4627">
        <w:t>This chapter describes the equipment, laboratory set-up, eye movement program</w:t>
      </w:r>
      <w:r w:rsidR="00BE0D92" w:rsidRPr="009D4627">
        <w:t>me</w:t>
      </w:r>
      <w:r w:rsidRPr="009D4627">
        <w:t xml:space="preserve">s, and paradigms used in this study to record </w:t>
      </w:r>
      <w:r w:rsidR="00F57D01" w:rsidRPr="009D4627">
        <w:t xml:space="preserve">the </w:t>
      </w:r>
      <w:r w:rsidRPr="009D4627">
        <w:t>specific type of eye movement</w:t>
      </w:r>
      <w:r w:rsidR="00BE0D92" w:rsidRPr="009D4627">
        <w:t>s</w:t>
      </w:r>
      <w:r w:rsidRPr="009D4627">
        <w:t xml:space="preserve">. Additionally, it outlines and discusses the data extraction process and the analysis techniques used. </w:t>
      </w:r>
    </w:p>
    <w:p w14:paraId="39DEA857" w14:textId="2102F652" w:rsidR="00547D87" w:rsidRPr="009D4627" w:rsidRDefault="00547D87" w:rsidP="00D04E3B">
      <w:pPr>
        <w:pStyle w:val="Heading2"/>
      </w:pPr>
      <w:bookmarkStart w:id="130" w:name="_Toc98964636"/>
      <w:bookmarkStart w:id="131" w:name="_Toc103344681"/>
      <w:r w:rsidRPr="009D4627">
        <w:t>Equipment and tool</w:t>
      </w:r>
      <w:bookmarkEnd w:id="130"/>
      <w:bookmarkEnd w:id="131"/>
    </w:p>
    <w:p w14:paraId="2DECD977" w14:textId="254C0F87" w:rsidR="00547D87" w:rsidRPr="009D4627" w:rsidRDefault="00547D87" w:rsidP="00D04E3B">
      <w:pPr>
        <w:pStyle w:val="Heading2"/>
      </w:pPr>
      <w:bookmarkStart w:id="132" w:name="_Toc98964637"/>
      <w:bookmarkStart w:id="133" w:name="_Toc103344682"/>
      <w:proofErr w:type="spellStart"/>
      <w:r w:rsidRPr="009D4627">
        <w:t>EyeLink</w:t>
      </w:r>
      <w:proofErr w:type="spellEnd"/>
      <w:r w:rsidRPr="009D4627">
        <w:t xml:space="preserve"> 1000</w:t>
      </w:r>
      <w:r w:rsidR="00BE0D92" w:rsidRPr="009D4627">
        <w:t xml:space="preserve"> Plus</w:t>
      </w:r>
      <w:r w:rsidRPr="009D4627">
        <w:t xml:space="preserve"> eye tracker</w:t>
      </w:r>
      <w:bookmarkEnd w:id="132"/>
      <w:bookmarkEnd w:id="133"/>
    </w:p>
    <w:p w14:paraId="50B74D9F" w14:textId="665489E7" w:rsidR="00547D87" w:rsidRPr="009D4627" w:rsidRDefault="00056407" w:rsidP="00390EBC">
      <w:r w:rsidRPr="009D4627">
        <w:rPr>
          <w:rFonts w:eastAsia="Arial Unicode MS"/>
          <w:lang w:val="en-US"/>
        </w:rPr>
        <w:t xml:space="preserve">Eye movements were recorded using an IR video-based eye tracker, </w:t>
      </w:r>
      <w:proofErr w:type="spellStart"/>
      <w:r w:rsidRPr="009D4627">
        <w:rPr>
          <w:rFonts w:eastAsia="Arial Unicode MS"/>
          <w:lang w:val="en-US"/>
        </w:rPr>
        <w:t>EyeLink</w:t>
      </w:r>
      <w:proofErr w:type="spellEnd"/>
      <w:r w:rsidRPr="009D4627">
        <w:rPr>
          <w:rFonts w:eastAsia="Arial Unicode MS"/>
          <w:lang w:val="en-US"/>
        </w:rPr>
        <w:t xml:space="preserve"> 1000 Plus, SR Research, Mississauga, Ontario, Canada. It is a high-resolution device with a maximum sampling rate for monocular and binocular recordings of 1000 and 500 Hz, respectively. The reported accuracy is &lt;1</w:t>
      </w:r>
      <w:r w:rsidRPr="00E82E69">
        <w:rPr>
          <w:rFonts w:eastAsia="Arial Unicode MS"/>
        </w:rPr>
        <w:t xml:space="preserve">° </w:t>
      </w:r>
      <w:r w:rsidRPr="009D4627">
        <w:fldChar w:fldCharType="begin"/>
      </w:r>
      <w:r w:rsidR="00C40138" w:rsidRPr="009D4627">
        <w:instrText xml:space="preserve"> ADDIN EN.CITE &lt;EndNote&gt;&lt;Cite&gt;&lt;Author&gt;Barsingerhorn&lt;/Author&gt;&lt;Year&gt;2018&lt;/Year&gt;&lt;RecNum&gt;694&lt;/RecNum&gt;&lt;DisplayText&gt;(Barsingerhorn et al., 2018)&lt;/DisplayText&gt;&lt;record&gt;&lt;keywords&gt;&lt;keyword&gt;Eyetracking&lt;/keyword&gt;&lt;keyword&gt;Eye movements&lt;/keyword&gt;&lt;keyword&gt;Stereo eyetracking&lt;/keyword&gt;&lt;keyword&gt;Head movement&lt;/keyword&gt;&lt;/keywords&gt;&lt;isbn&gt;1554351X&lt;/isbn&gt;&lt;titles&gt;&lt;title&gt;Development and validation of a high-speed stereoscopic eyetracker&lt;/title&gt;&lt;secondary-title&gt;Behavior Research Methods&lt;/secondary-title&gt;&lt;/titles&gt;&lt;pages&gt;2480-2497&lt;/pages&gt;&lt;number&gt;6&lt;/number&gt;&lt;contributors&gt;&lt;authors&gt;&lt;author&gt;Barsingerhorn, Annemiek&lt;/author&gt;&lt;author&gt;Boonstra, F.&lt;/author&gt;&lt;author&gt;Goossens, Jeroen&lt;/author&gt;&lt;/authors&gt;&lt;/contributors&gt;&lt;added-date format="utc"&gt;1584092265&lt;/added-date&gt;&lt;pub-location&gt;New York&lt;/pub-location&gt;&lt;ref-type name="Journal Article"&gt;17&lt;/ref-type&gt;&lt;dates&gt;&lt;year&gt;2018&lt;/year&gt;&lt;/dates&gt;&lt;rec-number&gt;694&lt;/rec-number&gt;&lt;last-updated-date format="utc"&gt;1584092265&lt;/last-updated-date&gt;&lt;electronic-resource-num&gt;10.3758/s13428-018-1026-7&lt;/electronic-resource-num&gt;&lt;volume&gt;50&lt;/volume&gt;&lt;/record&gt;&lt;/Cite&gt;&lt;/EndNote&gt;</w:instrText>
      </w:r>
      <w:r w:rsidRPr="009D4627">
        <w:fldChar w:fldCharType="separate"/>
      </w:r>
      <w:r w:rsidR="00C40138" w:rsidRPr="009D4627">
        <w:rPr>
          <w:noProof/>
        </w:rPr>
        <w:t>(Barsingerhorn et al., 2018)</w:t>
      </w:r>
      <w:r w:rsidRPr="009D4627">
        <w:fldChar w:fldCharType="end"/>
      </w:r>
      <w:r w:rsidRPr="009D4627">
        <w:rPr>
          <w:rFonts w:eastAsia="Arial Unicode MS"/>
          <w:lang w:val="en-US"/>
        </w:rPr>
        <w:t>, and the spatial resolution is 0.01</w:t>
      </w:r>
      <w:r w:rsidRPr="00E82E69">
        <w:rPr>
          <w:rFonts w:eastAsia="Arial Unicode MS"/>
        </w:rPr>
        <w:t>° RMS</w:t>
      </w:r>
      <w:r w:rsidRPr="009D4627">
        <w:rPr>
          <w:rFonts w:eastAsia="Arial Unicode MS"/>
          <w:lang w:val="en-US"/>
        </w:rPr>
        <w:t>, as specified by the manufacturer. This non-invasive eye movement recorder uses an IR video-oculography system to track eye movements</w:t>
      </w:r>
      <w:r w:rsidR="00547D87" w:rsidRPr="009D4627">
        <w:t xml:space="preserve">. </w:t>
      </w:r>
    </w:p>
    <w:p w14:paraId="11F45C15" w14:textId="37075C42" w:rsidR="00547D87" w:rsidRPr="009D4627" w:rsidRDefault="00056407" w:rsidP="00390EBC">
      <w:r w:rsidRPr="009D4627">
        <w:rPr>
          <w:rFonts w:eastAsia="Arial Unicode MS"/>
          <w:lang w:val="en-US"/>
        </w:rPr>
        <w:t xml:space="preserve">There were five types of EMR </w:t>
      </w:r>
      <w:proofErr w:type="spellStart"/>
      <w:r w:rsidRPr="009D4627">
        <w:rPr>
          <w:rFonts w:eastAsia="Arial Unicode MS"/>
          <w:lang w:val="en-US"/>
        </w:rPr>
        <w:t>programmes</w:t>
      </w:r>
      <w:proofErr w:type="spellEnd"/>
      <w:r w:rsidRPr="009D4627">
        <w:rPr>
          <w:rFonts w:eastAsia="Arial Unicode MS"/>
          <w:lang w:val="en-US"/>
        </w:rPr>
        <w:t xml:space="preserve"> developed for this study in order to measure fixation, horizontal and vertical SP, as well as horizontal and vertical saccades (see section 2.3). These </w:t>
      </w:r>
      <w:proofErr w:type="spellStart"/>
      <w:r w:rsidRPr="009D4627">
        <w:rPr>
          <w:rFonts w:eastAsia="Arial Unicode MS"/>
          <w:lang w:val="en-US"/>
        </w:rPr>
        <w:t>programmes</w:t>
      </w:r>
      <w:proofErr w:type="spellEnd"/>
      <w:r w:rsidRPr="009D4627">
        <w:rPr>
          <w:rFonts w:eastAsia="Arial Unicode MS"/>
          <w:lang w:val="en-US"/>
        </w:rPr>
        <w:t xml:space="preserve"> were developed using the Experiment Builder software by SR Research version 2.2.1. The </w:t>
      </w:r>
      <w:proofErr w:type="spellStart"/>
      <w:r w:rsidRPr="009D4627">
        <w:rPr>
          <w:rFonts w:eastAsia="Arial Unicode MS"/>
          <w:lang w:val="en-US"/>
        </w:rPr>
        <w:t>programmes</w:t>
      </w:r>
      <w:proofErr w:type="spellEnd"/>
      <w:r w:rsidRPr="009D4627">
        <w:rPr>
          <w:rFonts w:eastAsia="Arial Unicode MS"/>
          <w:lang w:val="en-US"/>
        </w:rPr>
        <w:t xml:space="preserve"> were set-up using a 60 pixels per degree (PPD) screen for stimuli presentation. Data output and analysis were obtained from the Data Viewer (DV) software</w:t>
      </w:r>
      <w:r w:rsidR="00547D87" w:rsidRPr="009D4627">
        <w:t>.</w:t>
      </w:r>
    </w:p>
    <w:p w14:paraId="7154D182" w14:textId="5BF56511" w:rsidR="00547D87" w:rsidRPr="009D4627" w:rsidRDefault="00547D87" w:rsidP="00D04E3B">
      <w:pPr>
        <w:pStyle w:val="Heading2"/>
      </w:pPr>
      <w:bookmarkStart w:id="134" w:name="_Toc98964638"/>
      <w:bookmarkStart w:id="135" w:name="_Toc103344683"/>
      <w:proofErr w:type="spellStart"/>
      <w:r w:rsidRPr="009D4627">
        <w:lastRenderedPageBreak/>
        <w:t>EyeLink</w:t>
      </w:r>
      <w:proofErr w:type="spellEnd"/>
      <w:r w:rsidRPr="009D4627">
        <w:t>® Data Viewer</w:t>
      </w:r>
      <w:bookmarkEnd w:id="134"/>
      <w:bookmarkEnd w:id="135"/>
    </w:p>
    <w:p w14:paraId="1465F500" w14:textId="1650EF93" w:rsidR="00056407" w:rsidRPr="009D4627" w:rsidRDefault="00056407" w:rsidP="00056407">
      <w:pPr>
        <w:pStyle w:val="Body"/>
      </w:pPr>
      <w:r w:rsidRPr="009D4627">
        <w:rPr>
          <w:rFonts w:eastAsia="Arial Unicode MS"/>
          <w:lang w:val="en-US"/>
        </w:rPr>
        <w:t xml:space="preserve">All eye movement data files were saved in the </w:t>
      </w:r>
      <w:proofErr w:type="spellStart"/>
      <w:r w:rsidRPr="009D4627">
        <w:rPr>
          <w:rFonts w:eastAsia="Arial Unicode MS"/>
          <w:lang w:val="en-US"/>
        </w:rPr>
        <w:t>EyeLink</w:t>
      </w:r>
      <w:proofErr w:type="spellEnd"/>
      <w:r w:rsidRPr="009D4627">
        <w:rPr>
          <w:rFonts w:eastAsia="Arial Unicode MS"/>
          <w:lang w:val="en-US"/>
        </w:rPr>
        <w:t xml:space="preserve"> data files (</w:t>
      </w:r>
      <w:r w:rsidRPr="009D4627">
        <w:rPr>
          <w:rFonts w:eastAsia="Arial Unicode MS"/>
          <w:i/>
          <w:iCs/>
          <w:lang w:val="en-US"/>
        </w:rPr>
        <w:t>.</w:t>
      </w:r>
      <w:proofErr w:type="spellStart"/>
      <w:r w:rsidRPr="009D4627">
        <w:rPr>
          <w:rFonts w:eastAsia="Arial Unicode MS"/>
          <w:i/>
          <w:iCs/>
          <w:lang w:val="en-US"/>
        </w:rPr>
        <w:t>edf</w:t>
      </w:r>
      <w:proofErr w:type="spellEnd"/>
      <w:r w:rsidRPr="009D4627">
        <w:rPr>
          <w:rFonts w:eastAsia="Arial Unicode MS"/>
          <w:lang w:val="en-US"/>
        </w:rPr>
        <w:t xml:space="preserve">) format. </w:t>
      </w:r>
      <w:proofErr w:type="spellStart"/>
      <w:r w:rsidRPr="009D4627">
        <w:rPr>
          <w:rFonts w:eastAsia="Arial Unicode MS"/>
          <w:lang w:val="en-US"/>
        </w:rPr>
        <w:t>EyeLink</w:t>
      </w:r>
      <w:proofErr w:type="spellEnd"/>
      <w:r w:rsidRPr="009D4627">
        <w:rPr>
          <w:rFonts w:eastAsia="Arial Unicode MS"/>
          <w:sz w:val="16"/>
          <w:szCs w:val="16"/>
          <w:lang w:val="en-US"/>
        </w:rPr>
        <w:t xml:space="preserve">® </w:t>
      </w:r>
      <w:r w:rsidRPr="009D4627">
        <w:rPr>
          <w:rFonts w:eastAsia="Arial Unicode MS"/>
          <w:lang w:val="en-US"/>
        </w:rPr>
        <w:t xml:space="preserve">DV is a specific tool allowing users to display, filter, and create output reports from </w:t>
      </w:r>
      <w:r w:rsidRPr="009D4627">
        <w:rPr>
          <w:rFonts w:eastAsia="Arial Unicode MS"/>
          <w:i/>
          <w:iCs/>
          <w:lang w:val="en-US"/>
        </w:rPr>
        <w:t>.</w:t>
      </w:r>
      <w:proofErr w:type="spellStart"/>
      <w:r w:rsidRPr="009D4627">
        <w:rPr>
          <w:rFonts w:eastAsia="Arial Unicode MS"/>
          <w:i/>
          <w:iCs/>
          <w:lang w:val="en-US"/>
        </w:rPr>
        <w:t>edf</w:t>
      </w:r>
      <w:proofErr w:type="spellEnd"/>
      <w:r w:rsidRPr="009D4627">
        <w:rPr>
          <w:rFonts w:eastAsia="Arial Unicode MS"/>
          <w:lang w:val="en-US"/>
        </w:rPr>
        <w:t xml:space="preserve"> data files recorded with the </w:t>
      </w:r>
      <w:proofErr w:type="spellStart"/>
      <w:r w:rsidRPr="009D4627">
        <w:rPr>
          <w:rFonts w:eastAsia="Arial Unicode MS"/>
          <w:lang w:val="en-US"/>
        </w:rPr>
        <w:t>EyeLink</w:t>
      </w:r>
      <w:proofErr w:type="spellEnd"/>
      <w:r w:rsidRPr="009D4627">
        <w:rPr>
          <w:rFonts w:eastAsia="Arial Unicode MS"/>
          <w:lang w:val="en-US"/>
        </w:rPr>
        <w:t xml:space="preserve"> 1000 Plus eye tracker </w:t>
      </w:r>
      <w:r w:rsidRPr="009D4627">
        <w:fldChar w:fldCharType="begin"/>
      </w:r>
      <w:r w:rsidR="00725283" w:rsidRPr="009D4627">
        <w:instrText xml:space="preserve"> ADDIN EN.CITE &lt;EndNote&gt;&lt;Cite&gt;&lt;Author&gt;SR_Research&lt;/Author&gt;&lt;Year&gt;2018&lt;/Year&gt;&lt;RecNum&gt;175&lt;/RecNum&gt;&lt;DisplayText&gt;(SR_Research, 2018)&lt;/DisplayText&gt;&lt;record&gt;&lt;titles&gt;&lt;title&gt;EyeLink Data Viewer 3.1.246 [Computer software]&lt;/title&gt;&lt;/titles&gt;&lt;contributors&gt;&lt;authors&gt;&lt;author&gt;SR_Research&lt;/author&gt;&lt;/authors&gt;&lt;/contributors&gt;&lt;added-date format="utc"&gt;1499948672&lt;/added-date&gt;&lt;pub-location&gt;Mississauga, Ontario, Canada&lt;/pub-location&gt;&lt;ref-type name="Computer Program"&gt;9&lt;/ref-type&gt;&lt;dates&gt;&lt;year&gt;2018&lt;/year&gt;&lt;/dates&gt;&lt;rec-number&gt;175&lt;/rec-number&gt;&lt;publisher&gt;SR Research Ltd.&lt;/publisher&gt;&lt;last-updated-date format="utc"&gt;1604310256&lt;/last-updated-date&gt;&lt;/record&gt;&lt;/Cite&gt;&lt;/EndNote&gt;</w:instrText>
      </w:r>
      <w:r w:rsidRPr="009D4627">
        <w:fldChar w:fldCharType="separate"/>
      </w:r>
      <w:r w:rsidR="00725283" w:rsidRPr="009D4627">
        <w:rPr>
          <w:noProof/>
        </w:rPr>
        <w:t>(SR_Research, 2018)</w:t>
      </w:r>
      <w:r w:rsidRPr="009D4627">
        <w:fldChar w:fldCharType="end"/>
      </w:r>
      <w:r w:rsidRPr="009D4627">
        <w:rPr>
          <w:rFonts w:eastAsia="Arial Unicode MS"/>
          <w:lang w:val="en-US"/>
        </w:rPr>
        <w:t xml:space="preserve">. Please refer to Appendix 2.1, 2.2, and 2.3 for the details of DV used in this study to extract data for further statistical analysis.  </w:t>
      </w:r>
    </w:p>
    <w:p w14:paraId="2674AF28" w14:textId="1A4A43F8" w:rsidR="00056407" w:rsidRPr="009D4627" w:rsidRDefault="00056407" w:rsidP="00DC4CA6">
      <w:pPr>
        <w:pStyle w:val="Heading3"/>
      </w:pPr>
      <w:bookmarkStart w:id="136" w:name="_gjdgxs"/>
      <w:bookmarkStart w:id="137" w:name="_Toc103344684"/>
      <w:bookmarkEnd w:id="136"/>
      <w:r w:rsidRPr="009D4627">
        <w:rPr>
          <w:lang w:val="en-US"/>
        </w:rPr>
        <w:t>Participant and display set-up</w:t>
      </w:r>
      <w:bookmarkEnd w:id="137"/>
    </w:p>
    <w:p w14:paraId="7F6253C3" w14:textId="6570672C" w:rsidR="00547D87" w:rsidRPr="009D4627" w:rsidRDefault="00056407" w:rsidP="00056407">
      <w:r w:rsidRPr="009D4627">
        <w:rPr>
          <w:rFonts w:eastAsia="Arial Unicode MS"/>
          <w:lang w:val="en-US"/>
        </w:rPr>
        <w:t>Participants were seated at 931 mm from the display computer. The resolution of the display computer was 1920 x 1080, as shown in Figure 2.1</w:t>
      </w:r>
      <w:r w:rsidR="00547D87" w:rsidRPr="009D4627">
        <w:t xml:space="preserve">. </w:t>
      </w:r>
    </w:p>
    <w:p w14:paraId="203E7CD1" w14:textId="510D35C0" w:rsidR="0093064C" w:rsidRPr="009D4627" w:rsidRDefault="00A2792E" w:rsidP="0093064C">
      <w:pPr>
        <w:spacing w:after="0"/>
      </w:pPr>
      <w:r w:rsidRPr="009D4627">
        <w:rPr>
          <w:noProof/>
        </w:rPr>
        <mc:AlternateContent>
          <mc:Choice Requires="wpg">
            <w:drawing>
              <wp:inline distT="0" distB="0" distL="0" distR="0" wp14:anchorId="24DEEA66" wp14:editId="0A7C09E7">
                <wp:extent cx="5731510" cy="2688590"/>
                <wp:effectExtent l="0" t="19050" r="0" b="0"/>
                <wp:docPr id="24292" name="Group 24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1510" cy="2688590"/>
                          <a:chOff x="0" y="0"/>
                          <a:chExt cx="61417" cy="28812"/>
                        </a:xfrm>
                      </wpg:grpSpPr>
                      <pic:pic xmlns:pic="http://schemas.openxmlformats.org/drawingml/2006/picture">
                        <pic:nvPicPr>
                          <pic:cNvPr id="24293" name="Picture 1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5103"/>
                            <a:ext cx="41465" cy="20625"/>
                          </a:xfrm>
                          <a:prstGeom prst="rect">
                            <a:avLst/>
                          </a:prstGeom>
                          <a:noFill/>
                        </pic:spPr>
                      </pic:pic>
                      <wpg:grpSp>
                        <wpg:cNvPr id="24294" name="Group 19511"/>
                        <wpg:cNvGrpSpPr>
                          <a:grpSpLocks/>
                        </wpg:cNvGrpSpPr>
                        <wpg:grpSpPr bwMode="auto">
                          <a:xfrm>
                            <a:off x="38383" y="14885"/>
                            <a:ext cx="22930" cy="2265"/>
                            <a:chOff x="0" y="0"/>
                            <a:chExt cx="22930" cy="2265"/>
                          </a:xfrm>
                        </wpg:grpSpPr>
                        <wps:wsp>
                          <wps:cNvPr id="24295" name="Straight Connector 109"/>
                          <wps:cNvCnPr>
                            <a:cxnSpLocks noChangeShapeType="1"/>
                          </wps:cNvCnPr>
                          <wps:spPr bwMode="auto">
                            <a:xfrm flipV="1">
                              <a:off x="0" y="868"/>
                              <a:ext cx="3535" cy="0"/>
                            </a:xfrm>
                            <a:prstGeom prst="line">
                              <a:avLst/>
                            </a:prstGeom>
                            <a:noFill/>
                            <a:ln w="9525">
                              <a:solidFill>
                                <a:srgbClr val="00B050"/>
                              </a:solidFill>
                              <a:miter lim="800000"/>
                              <a:headEnd/>
                              <a:tailEnd type="arrow" w="med" len="med"/>
                            </a:ln>
                          </wps:spPr>
                          <wps:bodyPr/>
                        </wps:wsp>
                        <wps:wsp>
                          <wps:cNvPr id="24296" name="Rectangle 110"/>
                          <wps:cNvSpPr>
                            <a:spLocks noChangeArrowheads="1"/>
                          </wps:cNvSpPr>
                          <wps:spPr bwMode="auto">
                            <a:xfrm>
                              <a:off x="3721" y="0"/>
                              <a:ext cx="19209" cy="2265"/>
                            </a:xfrm>
                            <a:prstGeom prst="rect">
                              <a:avLst/>
                            </a:prstGeom>
                            <a:solidFill>
                              <a:schemeClr val="lt1">
                                <a:lumMod val="100000"/>
                                <a:lumOff val="0"/>
                              </a:schemeClr>
                            </a:solidFill>
                            <a:ln>
                              <a:noFill/>
                            </a:ln>
                          </wps:spPr>
                          <wps:txbx>
                            <w:txbxContent>
                              <w:p w14:paraId="0491E13E" w14:textId="77777777" w:rsidR="00527127" w:rsidRPr="00883E90" w:rsidRDefault="00527127" w:rsidP="0093064C">
                                <w:pPr>
                                  <w:spacing w:before="0"/>
                                  <w:rPr>
                                    <w:lang w:val="en-US"/>
                                  </w:rPr>
                                </w:pPr>
                                <w:r>
                                  <w:rPr>
                                    <w:lang w:val="en-US"/>
                                  </w:rPr>
                                  <w:t>Display monitor</w:t>
                                </w:r>
                              </w:p>
                            </w:txbxContent>
                          </wps:txbx>
                          <wps:bodyPr rot="0" vert="horz" wrap="square" lIns="0" tIns="0" rIns="0" bIns="0" anchor="ctr" anchorCtr="0" upright="1">
                            <a:noAutofit/>
                          </wps:bodyPr>
                        </wps:wsp>
                      </wpg:grpSp>
                      <wpg:grpSp>
                        <wpg:cNvPr id="24297" name="Group 383"/>
                        <wpg:cNvGrpSpPr>
                          <a:grpSpLocks/>
                        </wpg:cNvGrpSpPr>
                        <wpg:grpSpPr bwMode="auto">
                          <a:xfrm>
                            <a:off x="5847" y="0"/>
                            <a:ext cx="55464" cy="9614"/>
                            <a:chOff x="-106" y="0"/>
                            <a:chExt cx="55463" cy="9614"/>
                          </a:xfrm>
                        </wpg:grpSpPr>
                        <wpg:grpSp>
                          <wpg:cNvPr id="24298" name="Group 1797"/>
                          <wpg:cNvGrpSpPr>
                            <a:grpSpLocks/>
                          </wpg:cNvGrpSpPr>
                          <wpg:grpSpPr bwMode="auto">
                            <a:xfrm>
                              <a:off x="-106" y="906"/>
                              <a:ext cx="36101" cy="8708"/>
                              <a:chOff x="-106" y="144"/>
                              <a:chExt cx="36103" cy="8707"/>
                            </a:xfrm>
                          </wpg:grpSpPr>
                          <wps:wsp>
                            <wps:cNvPr id="24299" name="Straight Connector 88"/>
                            <wps:cNvCnPr>
                              <a:cxnSpLocks noChangeShapeType="1"/>
                            </wps:cNvCnPr>
                            <wps:spPr bwMode="auto">
                              <a:xfrm>
                                <a:off x="-106" y="144"/>
                                <a:ext cx="36103" cy="0"/>
                              </a:xfrm>
                              <a:prstGeom prst="straightConnector1">
                                <a:avLst/>
                              </a:prstGeom>
                              <a:noFill/>
                              <a:ln w="9525">
                                <a:solidFill>
                                  <a:srgbClr val="00B050"/>
                                </a:solidFill>
                                <a:miter lim="800000"/>
                                <a:headEnd/>
                                <a:tailEnd type="arrow" w="med" len="med"/>
                              </a:ln>
                            </wps:spPr>
                            <wps:bodyPr/>
                          </wps:wsp>
                          <wps:wsp>
                            <wps:cNvPr id="24300" name="Straight Connector 86"/>
                            <wps:cNvCnPr>
                              <a:cxnSpLocks noChangeShapeType="1"/>
                            </wps:cNvCnPr>
                            <wps:spPr bwMode="auto">
                              <a:xfrm flipV="1">
                                <a:off x="0" y="212"/>
                                <a:ext cx="0" cy="8640"/>
                              </a:xfrm>
                              <a:prstGeom prst="line">
                                <a:avLst/>
                              </a:prstGeom>
                              <a:noFill/>
                              <a:ln w="9525">
                                <a:solidFill>
                                  <a:srgbClr val="00B050"/>
                                </a:solidFill>
                                <a:miter lim="800000"/>
                                <a:headEnd/>
                                <a:tailEnd/>
                              </a:ln>
                            </wps:spPr>
                            <wps:bodyPr/>
                          </wps:wsp>
                        </wpg:grpSp>
                        <wps:wsp>
                          <wps:cNvPr id="24301" name="Rectangle 89"/>
                          <wps:cNvSpPr>
                            <a:spLocks noChangeArrowheads="1"/>
                          </wps:cNvSpPr>
                          <wps:spPr bwMode="auto">
                            <a:xfrm>
                              <a:off x="36150" y="0"/>
                              <a:ext cx="19207" cy="2265"/>
                            </a:xfrm>
                            <a:prstGeom prst="rect">
                              <a:avLst/>
                            </a:prstGeom>
                            <a:solidFill>
                              <a:schemeClr val="lt1">
                                <a:lumMod val="100000"/>
                                <a:lumOff val="0"/>
                              </a:schemeClr>
                            </a:solidFill>
                            <a:ln>
                              <a:noFill/>
                            </a:ln>
                          </wps:spPr>
                          <wps:txbx>
                            <w:txbxContent>
                              <w:p w14:paraId="6B7AA891" w14:textId="77777777" w:rsidR="00527127" w:rsidRPr="00883E90" w:rsidRDefault="00527127" w:rsidP="0093064C">
                                <w:pPr>
                                  <w:spacing w:before="0"/>
                                  <w:rPr>
                                    <w:lang w:val="en-US"/>
                                  </w:rPr>
                                </w:pPr>
                                <w:r>
                                  <w:rPr>
                                    <w:lang w:val="en-US"/>
                                  </w:rPr>
                                  <w:t>Forehead rest</w:t>
                                </w:r>
                              </w:p>
                            </w:txbxContent>
                          </wps:txbx>
                          <wps:bodyPr rot="0" vert="horz" wrap="square" lIns="0" tIns="0" rIns="0" bIns="0" anchor="ctr" anchorCtr="0" upright="1">
                            <a:noAutofit/>
                          </wps:bodyPr>
                        </wps:wsp>
                      </wpg:grpSp>
                      <wpg:grpSp>
                        <wpg:cNvPr id="24302" name="Group 448"/>
                        <wpg:cNvGrpSpPr>
                          <a:grpSpLocks/>
                        </wpg:cNvGrpSpPr>
                        <wpg:grpSpPr bwMode="auto">
                          <a:xfrm>
                            <a:off x="8080" y="3934"/>
                            <a:ext cx="53337" cy="2852"/>
                            <a:chOff x="0" y="0"/>
                            <a:chExt cx="53337" cy="2852"/>
                          </a:xfrm>
                        </wpg:grpSpPr>
                        <wpg:grpSp>
                          <wpg:cNvPr id="24303" name="Group 415"/>
                          <wpg:cNvGrpSpPr>
                            <a:grpSpLocks/>
                          </wpg:cNvGrpSpPr>
                          <wpg:grpSpPr bwMode="auto">
                            <a:xfrm>
                              <a:off x="0" y="868"/>
                              <a:ext cx="33840" cy="1984"/>
                              <a:chOff x="0" y="0"/>
                              <a:chExt cx="31150" cy="1983"/>
                            </a:xfrm>
                          </wpg:grpSpPr>
                          <wps:wsp>
                            <wps:cNvPr id="24304" name="Straight Connector 66"/>
                            <wps:cNvCnPr>
                              <a:cxnSpLocks noChangeShapeType="1"/>
                            </wps:cNvCnPr>
                            <wps:spPr bwMode="auto">
                              <a:xfrm flipV="1">
                                <a:off x="106" y="0"/>
                                <a:ext cx="0" cy="1983"/>
                              </a:xfrm>
                              <a:prstGeom prst="line">
                                <a:avLst/>
                              </a:prstGeom>
                              <a:noFill/>
                              <a:ln w="9525">
                                <a:solidFill>
                                  <a:srgbClr val="00B050"/>
                                </a:solidFill>
                                <a:miter lim="800000"/>
                                <a:headEnd/>
                                <a:tailEnd/>
                              </a:ln>
                            </wps:spPr>
                            <wps:bodyPr/>
                          </wps:wsp>
                          <wps:wsp>
                            <wps:cNvPr id="24305" name="Straight Connector 68"/>
                            <wps:cNvCnPr>
                              <a:cxnSpLocks noChangeShapeType="1"/>
                            </wps:cNvCnPr>
                            <wps:spPr bwMode="auto">
                              <a:xfrm>
                                <a:off x="0" y="0"/>
                                <a:ext cx="31150" cy="0"/>
                              </a:xfrm>
                              <a:prstGeom prst="line">
                                <a:avLst/>
                              </a:prstGeom>
                              <a:noFill/>
                              <a:ln w="9525">
                                <a:solidFill>
                                  <a:srgbClr val="00B050"/>
                                </a:solidFill>
                                <a:miter lim="800000"/>
                                <a:headEnd/>
                                <a:tailEnd type="arrow" w="med" len="med"/>
                              </a:ln>
                            </wps:spPr>
                            <wps:bodyPr/>
                          </wps:wsp>
                        </wpg:grpSp>
                        <wps:wsp>
                          <wps:cNvPr id="24306" name="Rectangle 82"/>
                          <wps:cNvSpPr>
                            <a:spLocks noChangeArrowheads="1"/>
                          </wps:cNvSpPr>
                          <wps:spPr bwMode="auto">
                            <a:xfrm>
                              <a:off x="34130" y="0"/>
                              <a:ext cx="19207" cy="2265"/>
                            </a:xfrm>
                            <a:prstGeom prst="rect">
                              <a:avLst/>
                            </a:prstGeom>
                            <a:solidFill>
                              <a:schemeClr val="lt1">
                                <a:lumMod val="100000"/>
                                <a:lumOff val="0"/>
                              </a:schemeClr>
                            </a:solidFill>
                            <a:ln>
                              <a:noFill/>
                            </a:ln>
                          </wps:spPr>
                          <wps:txbx>
                            <w:txbxContent>
                              <w:p w14:paraId="5BA1A07C" w14:textId="77777777" w:rsidR="00527127" w:rsidRPr="00883E90" w:rsidRDefault="00527127" w:rsidP="0093064C">
                                <w:pPr>
                                  <w:spacing w:before="0"/>
                                  <w:rPr>
                                    <w:lang w:val="en-US"/>
                                  </w:rPr>
                                </w:pPr>
                                <w:r w:rsidRPr="00883E90">
                                  <w:rPr>
                                    <w:lang w:val="en-US"/>
                                  </w:rPr>
                                  <w:t>Built</w:t>
                                </w:r>
                                <w:r>
                                  <w:rPr>
                                    <w:lang w:val="en-US"/>
                                  </w:rPr>
                                  <w:t>-</w:t>
                                </w:r>
                                <w:r w:rsidRPr="00883E90">
                                  <w:rPr>
                                    <w:lang w:val="en-US"/>
                                  </w:rPr>
                                  <w:t>in tower mount camera</w:t>
                                </w:r>
                              </w:p>
                            </w:txbxContent>
                          </wps:txbx>
                          <wps:bodyPr rot="0" vert="horz" wrap="square" lIns="0" tIns="0" rIns="0" bIns="0" anchor="ctr" anchorCtr="0" upright="1">
                            <a:noAutofit/>
                          </wps:bodyPr>
                        </wps:wsp>
                      </wpg:grpSp>
                      <wpg:grpSp>
                        <wpg:cNvPr id="24307" name="Group 451"/>
                        <wpg:cNvGrpSpPr>
                          <a:grpSpLocks/>
                        </wpg:cNvGrpSpPr>
                        <wpg:grpSpPr bwMode="auto">
                          <a:xfrm>
                            <a:off x="5847" y="17969"/>
                            <a:ext cx="51459" cy="10843"/>
                            <a:chOff x="0" y="0"/>
                            <a:chExt cx="51458" cy="10842"/>
                          </a:xfrm>
                        </wpg:grpSpPr>
                        <wpg:grpSp>
                          <wpg:cNvPr id="24308" name="Group 449"/>
                          <wpg:cNvGrpSpPr>
                            <a:grpSpLocks/>
                          </wpg:cNvGrpSpPr>
                          <wpg:grpSpPr bwMode="auto">
                            <a:xfrm>
                              <a:off x="0" y="0"/>
                              <a:ext cx="36000" cy="8949"/>
                              <a:chOff x="0" y="0"/>
                              <a:chExt cx="32105" cy="8949"/>
                            </a:xfrm>
                          </wpg:grpSpPr>
                          <wps:wsp>
                            <wps:cNvPr id="24309" name="Straight Connector 93"/>
                            <wps:cNvCnPr>
                              <a:cxnSpLocks noChangeShapeType="1"/>
                            </wps:cNvCnPr>
                            <wps:spPr bwMode="auto">
                              <a:xfrm>
                                <a:off x="0" y="0"/>
                                <a:ext cx="0" cy="8892"/>
                              </a:xfrm>
                              <a:prstGeom prst="line">
                                <a:avLst/>
                              </a:prstGeom>
                              <a:noFill/>
                              <a:ln w="9525">
                                <a:solidFill>
                                  <a:srgbClr val="00B050"/>
                                </a:solidFill>
                                <a:miter lim="800000"/>
                                <a:headEnd/>
                                <a:tailEnd/>
                              </a:ln>
                            </wps:spPr>
                            <wps:bodyPr/>
                          </wps:wsp>
                          <wps:wsp>
                            <wps:cNvPr id="24310" name="Straight Connector 104"/>
                            <wps:cNvCnPr>
                              <a:cxnSpLocks noChangeShapeType="1"/>
                            </wps:cNvCnPr>
                            <wps:spPr bwMode="auto">
                              <a:xfrm flipV="1">
                                <a:off x="0" y="8949"/>
                                <a:ext cx="32105" cy="0"/>
                              </a:xfrm>
                              <a:prstGeom prst="line">
                                <a:avLst/>
                              </a:prstGeom>
                              <a:noFill/>
                              <a:ln w="9525">
                                <a:solidFill>
                                  <a:srgbClr val="00B050"/>
                                </a:solidFill>
                                <a:miter lim="800000"/>
                                <a:headEnd/>
                                <a:tailEnd type="arrow" w="med" len="med"/>
                              </a:ln>
                            </wps:spPr>
                            <wps:bodyPr/>
                          </wps:wsp>
                        </wpg:grpSp>
                        <wps:wsp>
                          <wps:cNvPr id="24311" name="Rectangle 105"/>
                          <wps:cNvSpPr>
                            <a:spLocks noChangeArrowheads="1"/>
                          </wps:cNvSpPr>
                          <wps:spPr bwMode="auto">
                            <a:xfrm>
                              <a:off x="36257" y="8080"/>
                              <a:ext cx="15201" cy="2762"/>
                            </a:xfrm>
                            <a:prstGeom prst="rect">
                              <a:avLst/>
                            </a:prstGeom>
                            <a:solidFill>
                              <a:schemeClr val="lt1">
                                <a:lumMod val="100000"/>
                                <a:lumOff val="0"/>
                              </a:schemeClr>
                            </a:solidFill>
                            <a:ln>
                              <a:noFill/>
                            </a:ln>
                          </wps:spPr>
                          <wps:txbx>
                            <w:txbxContent>
                              <w:p w14:paraId="62969EC5" w14:textId="2432F46E" w:rsidR="00527127" w:rsidRPr="00883E90" w:rsidRDefault="00527127" w:rsidP="0093064C">
                                <w:pPr>
                                  <w:spacing w:before="0"/>
                                  <w:rPr>
                                    <w:lang w:val="en-US"/>
                                  </w:rPr>
                                </w:pPr>
                                <w:r>
                                  <w:rPr>
                                    <w:lang w:val="en-US"/>
                                  </w:rPr>
                                  <w:t>Chin rest</w:t>
                                </w:r>
                              </w:p>
                            </w:txbxContent>
                          </wps:txbx>
                          <wps:bodyPr rot="0" vert="horz" wrap="square" lIns="0" tIns="0" rIns="0" bIns="0" anchor="ctr" anchorCtr="0" upright="1">
                            <a:noAutofit/>
                          </wps:bodyPr>
                        </wps:wsp>
                      </wpg:grpSp>
                    </wpg:wgp>
                  </a:graphicData>
                </a:graphic>
              </wp:inline>
            </w:drawing>
          </mc:Choice>
          <mc:Fallback>
            <w:pict>
              <v:group w14:anchorId="24DEEA66" id="Group 24292" o:spid="_x0000_s1131" style="width:451.3pt;height:211.7pt;mso-position-horizontal-relative:char;mso-position-vertical-relative:line" coordsize="61417,28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">
                <v:shape id="Picture 156" o:spid="_x0000_s1132" type="#_x0000_t75" style="position:absolute;top:5103;width:41465;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">
                  <v:imagedata r:id="rId70" o:title=""/>
                </v:shape>
                <v:group id="Group 19511" o:spid="_x0000_s1133" style="position:absolute;left:38383;top:14885;width:22930;height:2265" coordsize="22930,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">
                  <v:line id="Straight Connector 109" o:spid="_x0000_s1134" style="position:absolute;flip:y;visibility:visible;mso-wrap-style:square" from="0,868" to="353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" strokecolor="#00b050">
                    <v:stroke endarrow="open" joinstyle="miter"/>
                  </v:line>
                  <v:rect id="Rectangle 110" o:spid="_x0000_s1135" style="position:absolute;left:3721;width:19209;height: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" fillcolor="white [3201]" stroked="f">
                    <v:textbox inset="0,0,0,0">
                      <w:txbxContent>
                        <w:p w14:paraId="0491E13E" w14:textId="77777777" w:rsidR="00527127" w:rsidRPr="00883E90" w:rsidRDefault="00527127" w:rsidP="0093064C">
                          <w:pPr>
                            <w:spacing w:before="0"/>
                            <w:rPr>
                              <w:lang w:val="en-US"/>
                            </w:rPr>
                          </w:pPr>
                          <w:r>
                            <w:rPr>
                              <w:lang w:val="en-US"/>
                            </w:rPr>
                            <w:t>Display monitor</w:t>
                          </w:r>
                        </w:p>
                      </w:txbxContent>
                    </v:textbox>
                  </v:rect>
                </v:group>
                <v:group id="Group 383" o:spid="_x0000_s1136" style="position:absolute;left:5847;width:55464;height:9614" coordorigin="-106" coordsize="55463,9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">
                  <v:group id="Group 1797" o:spid="_x0000_s1137" style="position:absolute;left:-106;top:906;width:36101;height:8708" coordorigin="-106,144" coordsize="36103,8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">
                    <v:shape id="Straight Connector 88" o:spid="_x0000_s1138" type="#_x0000_t32" style="position:absolute;left:-106;top:144;width:361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" strokecolor="#00b050">
                      <v:stroke endarrow="open" joinstyle="miter"/>
                    </v:shape>
                    <v:line id="Straight Connector 86" o:spid="_x0000_s1139" style="position:absolute;flip:y;visibility:visible;mso-wrap-style:square" from="0,212" to="0,8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" strokecolor="#00b050">
                      <v:stroke joinstyle="miter"/>
                    </v:line>
                  </v:group>
                  <v:rect id="Rectangle 89" o:spid="_x0000_s1140" style="position:absolute;left:36150;width:19207;height: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" fillcolor="white [3201]" stroked="f">
                    <v:textbox inset="0,0,0,0">
                      <w:txbxContent>
                        <w:p w14:paraId="6B7AA891" w14:textId="77777777" w:rsidR="00527127" w:rsidRPr="00883E90" w:rsidRDefault="00527127" w:rsidP="0093064C">
                          <w:pPr>
                            <w:spacing w:before="0"/>
                            <w:rPr>
                              <w:lang w:val="en-US"/>
                            </w:rPr>
                          </w:pPr>
                          <w:r>
                            <w:rPr>
                              <w:lang w:val="en-US"/>
                            </w:rPr>
                            <w:t>Forehead rest</w:t>
                          </w:r>
                        </w:p>
                      </w:txbxContent>
                    </v:textbox>
                  </v:rect>
                </v:group>
                <v:group id="Group 448" o:spid="_x0000_s1141" style="position:absolute;left:8080;top:3934;width:53337;height:2852" coordsize="53337,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">
                  <v:group id="Group 415" o:spid="_x0000_s1142" style="position:absolute;top:868;width:33840;height:1984" coordsize="31150,1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">
                    <v:line id="Straight Connector 66" o:spid="_x0000_s1143" style="position:absolute;flip:y;visibility:visible;mso-wrap-style:square" from="106,0" to="106,1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" strokecolor="#00b050">
                      <v:stroke joinstyle="miter"/>
                    </v:line>
                    <v:line id="Straight Connector 68" o:spid="_x0000_s1144" style="position:absolute;visibility:visible;mso-wrap-style:square" from="0,0" to="31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" strokecolor="#00b050">
                      <v:stroke endarrow="open" joinstyle="miter"/>
                    </v:line>
                  </v:group>
                  <v:rect id="Rectangle 82" o:spid="_x0000_s1145" style="position:absolute;left:34130;width:19207;height:2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" fillcolor="white [3201]" stroked="f">
                    <v:textbox inset="0,0,0,0">
                      <w:txbxContent>
                        <w:p w14:paraId="5BA1A07C" w14:textId="77777777" w:rsidR="00527127" w:rsidRPr="00883E90" w:rsidRDefault="00527127" w:rsidP="0093064C">
                          <w:pPr>
                            <w:spacing w:before="0"/>
                            <w:rPr>
                              <w:lang w:val="en-US"/>
                            </w:rPr>
                          </w:pPr>
                          <w:r w:rsidRPr="00883E90">
                            <w:rPr>
                              <w:lang w:val="en-US"/>
                            </w:rPr>
                            <w:t>Built</w:t>
                          </w:r>
                          <w:r>
                            <w:rPr>
                              <w:lang w:val="en-US"/>
                            </w:rPr>
                            <w:t>-</w:t>
                          </w:r>
                          <w:r w:rsidRPr="00883E90">
                            <w:rPr>
                              <w:lang w:val="en-US"/>
                            </w:rPr>
                            <w:t>in tower mount camera</w:t>
                          </w:r>
                        </w:p>
                      </w:txbxContent>
                    </v:textbox>
                  </v:rect>
                </v:group>
                <v:group id="Group 451" o:spid="_x0000_s1146" style="position:absolute;left:5847;top:17969;width:51459;height:10843" coordsize="51458,10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">
                  <v:group id="Group 449" o:spid="_x0000_s1147" style="position:absolute;width:36000;height:8949" coordsize="32105,8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">
                    <v:line id="Straight Connector 93" o:spid="_x0000_s1148" style="position:absolute;visibility:visible;mso-wrap-style:square" from="0,0" to="0,8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" strokecolor="#00b050">
                      <v:stroke joinstyle="miter"/>
                    </v:line>
                    <v:line id="Straight Connector 104" o:spid="_x0000_s1149" style="position:absolute;flip:y;visibility:visible;mso-wrap-style:square" from="0,8949" to="32105,8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" strokecolor="#00b050">
                      <v:stroke endarrow="open" joinstyle="miter"/>
                    </v:line>
                  </v:group>
                  <v:rect id="Rectangle 105" o:spid="_x0000_s1150" style="position:absolute;left:36257;top:8080;width:1520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" fillcolor="white [3201]" stroked="f">
                    <v:textbox inset="0,0,0,0">
                      <w:txbxContent>
                        <w:p w14:paraId="62969EC5" w14:textId="2432F46E" w:rsidR="00527127" w:rsidRPr="00883E90" w:rsidRDefault="00527127" w:rsidP="0093064C">
                          <w:pPr>
                            <w:spacing w:before="0"/>
                            <w:rPr>
                              <w:lang w:val="en-US"/>
                            </w:rPr>
                          </w:pPr>
                          <w:r>
                            <w:rPr>
                              <w:lang w:val="en-US"/>
                            </w:rPr>
                            <w:t>Chin rest</w:t>
                          </w:r>
                        </w:p>
                      </w:txbxContent>
                    </v:textbox>
                  </v:rect>
                </v:group>
                <w10:anchorlock/>
              </v:group>
            </w:pict>
          </mc:Fallback>
        </mc:AlternateContent>
      </w:r>
    </w:p>
    <w:p w14:paraId="1971277C" w14:textId="4D7876C1" w:rsidR="00CC31A9" w:rsidRPr="009D4627" w:rsidRDefault="0093064C" w:rsidP="00CC31A9">
      <w:pPr>
        <w:spacing w:before="0" w:line="240" w:lineRule="auto"/>
      </w:pPr>
      <w:bookmarkStart w:id="138" w:name="_Toc98569949"/>
      <w:r w:rsidRPr="009D4627">
        <w:t>Figure 2.</w:t>
      </w:r>
      <w:r w:rsidR="007E7CC8">
        <w:fldChar w:fldCharType="begin"/>
      </w:r>
      <w:r w:rsidR="007E7CC8">
        <w:instrText xml:space="preserve"> SEQ Figure_2. \* ARABIC </w:instrText>
      </w:r>
      <w:r w:rsidR="007E7CC8">
        <w:fldChar w:fldCharType="separate"/>
      </w:r>
      <w:r w:rsidR="00E268F6">
        <w:rPr>
          <w:noProof/>
        </w:rPr>
        <w:t>1</w:t>
      </w:r>
      <w:r w:rsidR="007E7CC8">
        <w:rPr>
          <w:noProof/>
        </w:rPr>
        <w:fldChar w:fldCharType="end"/>
      </w:r>
      <w:r w:rsidR="00547D87" w:rsidRPr="009D4627">
        <w:t>: Schematic diagram of participant's positioning distance relative to a display monitor.</w:t>
      </w:r>
      <w:bookmarkEnd w:id="138"/>
    </w:p>
    <w:p w14:paraId="34C305CA" w14:textId="6BF10C48" w:rsidR="00056407" w:rsidRPr="009D4627" w:rsidRDefault="00056407" w:rsidP="00E4570F">
      <w:pPr>
        <w:rPr>
          <w:lang w:val="en-US"/>
        </w:rPr>
      </w:pPr>
      <w:r w:rsidRPr="009D4627">
        <w:rPr>
          <w:lang w:val="en-US"/>
        </w:rPr>
        <w:t xml:space="preserve">The </w:t>
      </w:r>
      <w:proofErr w:type="spellStart"/>
      <w:r w:rsidRPr="009D4627">
        <w:rPr>
          <w:lang w:val="en-US"/>
        </w:rPr>
        <w:t>EyeLink</w:t>
      </w:r>
      <w:proofErr w:type="spellEnd"/>
      <w:r w:rsidRPr="009D4627">
        <w:rPr>
          <w:lang w:val="en-US"/>
        </w:rPr>
        <w:t xml:space="preserve"> 1000 Plus comprises two computers: 1) A host personal computer (PC) dedicated for data collection from the </w:t>
      </w:r>
      <w:proofErr w:type="spellStart"/>
      <w:r w:rsidRPr="009D4627">
        <w:rPr>
          <w:lang w:val="en-US"/>
        </w:rPr>
        <w:t>EyeLink</w:t>
      </w:r>
      <w:proofErr w:type="spellEnd"/>
      <w:r w:rsidRPr="009D4627">
        <w:rPr>
          <w:lang w:val="en-US"/>
        </w:rPr>
        <w:t xml:space="preserve"> camera device; and 2) a display PC for presenting stimuli to the participant and saving the data. They are connected through an Ethernet for communicating the information.</w:t>
      </w:r>
    </w:p>
    <w:p w14:paraId="3BA2D249" w14:textId="41B5E49D" w:rsidR="00547D87" w:rsidRPr="009D4627" w:rsidRDefault="00056407" w:rsidP="00390EBC">
      <w:r w:rsidRPr="009D4627">
        <w:rPr>
          <w:rFonts w:eastAsia="Arial Unicode MS"/>
        </w:rPr>
        <w:lastRenderedPageBreak/>
        <w:t>Pa</w:t>
      </w:r>
      <w:proofErr w:type="spellStart"/>
      <w:r w:rsidRPr="009D4627">
        <w:rPr>
          <w:rFonts w:eastAsia="Arial Unicode MS"/>
          <w:lang w:val="en-US"/>
        </w:rPr>
        <w:t>rticipants</w:t>
      </w:r>
      <w:proofErr w:type="spellEnd"/>
      <w:r w:rsidRPr="009D4627">
        <w:rPr>
          <w:rFonts w:eastAsia="Arial Unicode MS"/>
          <w:lang w:val="en-US"/>
        </w:rPr>
        <w:t xml:space="preserve"> sat on an adjustable office chair, with their chin and forehead against the chin rest and forehead rest, respectively, to reduce head movements. There was no other restraint required or contact with the eyes. The chin and forehead rests were cleaned between each participant with anti-bacterial wipes. The table height and chin rest were adjustable to ensure the participant's eye position was level with the display screen's top quarter. The </w:t>
      </w:r>
      <w:proofErr w:type="spellStart"/>
      <w:r w:rsidRPr="009D4627">
        <w:rPr>
          <w:rFonts w:eastAsia="Arial Unicode MS"/>
          <w:lang w:val="en-US"/>
        </w:rPr>
        <w:t>EyeLink</w:t>
      </w:r>
      <w:proofErr w:type="spellEnd"/>
      <w:r w:rsidRPr="009D4627">
        <w:rPr>
          <w:rFonts w:eastAsia="Arial Unicode MS"/>
          <w:lang w:val="en-US"/>
        </w:rPr>
        <w:t xml:space="preserve"> tower-mounted camera with an IR video-oculography system was used to track eye movements. The camera was mounted on the chin rest tower as provided and set</w:t>
      </w:r>
      <w:r w:rsidR="00EC745C" w:rsidRPr="009D4627">
        <w:rPr>
          <w:rFonts w:eastAsia="Arial Unicode MS"/>
          <w:lang w:val="en-US"/>
        </w:rPr>
        <w:t>-</w:t>
      </w:r>
      <w:r w:rsidRPr="009D4627">
        <w:rPr>
          <w:rFonts w:eastAsia="Arial Unicode MS"/>
          <w:lang w:val="en-US"/>
        </w:rPr>
        <w:t>up by SR research (Figure 2.2)</w:t>
      </w:r>
      <w:r w:rsidR="00547D87" w:rsidRPr="009D4627">
        <w:t xml:space="preserve">.   </w:t>
      </w:r>
    </w:p>
    <w:p w14:paraId="706A0DFD" w14:textId="77777777" w:rsidR="00547D87" w:rsidRPr="009D4627" w:rsidRDefault="00547D87" w:rsidP="00067115">
      <w:pPr>
        <w:spacing w:after="0" w:line="240" w:lineRule="auto"/>
      </w:pPr>
      <w:r w:rsidRPr="009D4627">
        <w:rPr>
          <w:noProof/>
          <w:lang w:val="en-US"/>
        </w:rPr>
        <w:drawing>
          <wp:inline distT="0" distB="0" distL="0" distR="0" wp14:anchorId="000489E4" wp14:editId="3DEAAD6B">
            <wp:extent cx="5731510" cy="3568700"/>
            <wp:effectExtent l="0" t="0" r="254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3568700"/>
                    </a:xfrm>
                    <a:prstGeom prst="rect">
                      <a:avLst/>
                    </a:prstGeom>
                    <a:noFill/>
                    <a:ln>
                      <a:noFill/>
                    </a:ln>
                  </pic:spPr>
                </pic:pic>
              </a:graphicData>
            </a:graphic>
          </wp:inline>
        </w:drawing>
      </w:r>
    </w:p>
    <w:p w14:paraId="49694C7A" w14:textId="52C9C350" w:rsidR="00547D87" w:rsidRDefault="0093064C" w:rsidP="00C4130D">
      <w:pPr>
        <w:pStyle w:val="Caption"/>
      </w:pPr>
      <w:bookmarkStart w:id="139" w:name="_Toc98569950"/>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2</w:t>
      </w:r>
      <w:r w:rsidR="002E63E9" w:rsidRPr="009D4627">
        <w:rPr>
          <w:noProof/>
        </w:rPr>
        <w:fldChar w:fldCharType="end"/>
      </w:r>
      <w:r w:rsidRPr="009D4627">
        <w:t xml:space="preserve">: </w:t>
      </w:r>
      <w:r w:rsidR="00547D87" w:rsidRPr="009D4627">
        <w:t>Pa</w:t>
      </w:r>
      <w:r w:rsidR="00056407" w:rsidRPr="009D4627">
        <w:t>rticipant</w:t>
      </w:r>
      <w:r w:rsidR="00547D87" w:rsidRPr="009D4627">
        <w:t xml:space="preserve"> set-up during eye recording.</w:t>
      </w:r>
      <w:bookmarkEnd w:id="139"/>
      <w:r w:rsidR="009E76DF" w:rsidRPr="009D4627">
        <w:t xml:space="preserve"> </w:t>
      </w:r>
      <w:r w:rsidR="004C18C1" w:rsidRPr="009D4627">
        <w:t xml:space="preserve"> </w:t>
      </w:r>
    </w:p>
    <w:p w14:paraId="6999D560" w14:textId="6577F0C8" w:rsidR="00E4570F" w:rsidRDefault="00E4570F" w:rsidP="00E4570F">
      <w:pPr>
        <w:spacing w:after="0"/>
        <w:rPr>
          <w:lang w:val="en-MY" w:eastAsia="en-MY"/>
        </w:rPr>
      </w:pPr>
    </w:p>
    <w:p w14:paraId="455D13E1" w14:textId="77777777" w:rsidR="00BB6062" w:rsidRPr="00E4570F" w:rsidRDefault="00BB6062" w:rsidP="00E4570F">
      <w:pPr>
        <w:spacing w:after="0"/>
        <w:rPr>
          <w:lang w:val="en-MY" w:eastAsia="en-MY"/>
        </w:rPr>
      </w:pPr>
    </w:p>
    <w:p w14:paraId="6342CF78" w14:textId="181141B4" w:rsidR="00547D87" w:rsidRPr="009D4627" w:rsidRDefault="00547D87" w:rsidP="00DC4CA6">
      <w:pPr>
        <w:pStyle w:val="Heading3"/>
      </w:pPr>
      <w:bookmarkStart w:id="140" w:name="_Toc98964639"/>
      <w:bookmarkStart w:id="141" w:name="_Toc103344685"/>
      <w:r w:rsidRPr="009D4627">
        <w:lastRenderedPageBreak/>
        <w:t>Focus set-up</w:t>
      </w:r>
      <w:bookmarkEnd w:id="140"/>
      <w:bookmarkEnd w:id="141"/>
    </w:p>
    <w:p w14:paraId="3E27BCA0" w14:textId="7A32E7F6" w:rsidR="00547D87" w:rsidRPr="009D4627" w:rsidRDefault="00056407" w:rsidP="00CC31A9">
      <w:pPr>
        <w:spacing w:after="0"/>
      </w:pPr>
      <w:r w:rsidRPr="009D4627">
        <w:rPr>
          <w:rFonts w:eastAsia="Arial Unicode MS"/>
          <w:lang w:val="en-US"/>
        </w:rPr>
        <w:t xml:space="preserve">The pupil and corneal reflection (CR) thresholds were adjusted to </w:t>
      </w:r>
      <w:proofErr w:type="spellStart"/>
      <w:r w:rsidRPr="009D4627">
        <w:rPr>
          <w:rFonts w:eastAsia="Arial Unicode MS"/>
          <w:lang w:val="en-US"/>
        </w:rPr>
        <w:t>optimise</w:t>
      </w:r>
      <w:proofErr w:type="spellEnd"/>
      <w:r w:rsidRPr="009D4627">
        <w:rPr>
          <w:rFonts w:eastAsia="Arial Unicode MS"/>
          <w:lang w:val="en-US"/>
        </w:rPr>
        <w:t xml:space="preserve"> data recording quality. An auto-threshold adjustment command was selected by pressing the letter "A" on the host PC keyboard.  Manual adjustments were also available, which were especially useful for spectacle wearers because of the reflections from the glasses, causing the equipment difficulty to detect the pupils automatically. </w:t>
      </w:r>
      <w:r w:rsidRPr="009D4627">
        <w:rPr>
          <w:rFonts w:eastAsia="Arial Unicode MS"/>
          <w:color w:val="000000"/>
          <w:u w:color="000000"/>
          <w:shd w:val="clear" w:color="auto" w:fill="FFFFFF"/>
          <w:lang w:val="en-US"/>
        </w:rPr>
        <w:t xml:space="preserve">Pupil and CR thresholds were grey-scaled values </w:t>
      </w:r>
      <w:r w:rsidRPr="00E82E69">
        <w:rPr>
          <w:rFonts w:eastAsia="Arial Unicode MS"/>
          <w:color w:val="000000"/>
          <w:u w:color="000000"/>
          <w:shd w:val="clear" w:color="auto" w:fill="FFFFFF"/>
        </w:rPr>
        <w:t>​​</w:t>
      </w:r>
      <w:r w:rsidRPr="009D4627">
        <w:rPr>
          <w:rFonts w:eastAsia="Arial Unicode MS"/>
          <w:color w:val="000000"/>
          <w:u w:color="000000"/>
          <w:shd w:val="clear" w:color="auto" w:fill="FFFFFF"/>
          <w:lang w:val="en-US"/>
        </w:rPr>
        <w:t xml:space="preserve">ranging from 0 (black) to 255 (white). Therefore, the values indicated how "black" or "white" something must be considered a pupil or CR. </w:t>
      </w:r>
      <w:r w:rsidRPr="009D4627">
        <w:rPr>
          <w:rFonts w:eastAsia="Arial Unicode MS"/>
          <w:lang w:val="en-US"/>
        </w:rPr>
        <w:t>A normal range for pupil (black) threshold is between 70-120, and the CR (white) normal threshold range is between 200-240. Figure 2.3 illustrates examples of excellent and poor focus set-up</w:t>
      </w:r>
      <w:r w:rsidR="00547D87" w:rsidRPr="009D4627">
        <w:t>.</w:t>
      </w:r>
    </w:p>
    <w:p w14:paraId="157C2669" w14:textId="4B39573A" w:rsidR="00547D87" w:rsidRPr="009D4627" w:rsidRDefault="00A2792E" w:rsidP="00390EBC">
      <w:r w:rsidRPr="009D4627">
        <w:rPr>
          <w:noProof/>
        </w:rPr>
        <mc:AlternateContent>
          <mc:Choice Requires="wpg">
            <w:drawing>
              <wp:anchor distT="0" distB="0" distL="114300" distR="114300" simplePos="0" relativeHeight="251628544" behindDoc="1" locked="0" layoutInCell="1" allowOverlap="1" wp14:anchorId="59E2A8A5" wp14:editId="0945D0BE">
                <wp:simplePos x="0" y="0"/>
                <wp:positionH relativeFrom="margin">
                  <wp:align>center</wp:align>
                </wp:positionH>
                <wp:positionV relativeFrom="paragraph">
                  <wp:posOffset>112395</wp:posOffset>
                </wp:positionV>
                <wp:extent cx="4907915" cy="3352800"/>
                <wp:effectExtent l="19050" t="19050" r="6985" b="0"/>
                <wp:wrapTight wrapText="bothSides">
                  <wp:wrapPolygon edited="0">
                    <wp:start x="-84" y="-123"/>
                    <wp:lineTo x="-84" y="21600"/>
                    <wp:lineTo x="21631" y="21600"/>
                    <wp:lineTo x="21631" y="-123"/>
                    <wp:lineTo x="-84" y="-123"/>
                  </wp:wrapPolygon>
                </wp:wrapTight>
                <wp:docPr id="24276" name="Group 24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7915" cy="3352800"/>
                          <a:chOff x="381" y="0"/>
                          <a:chExt cx="49079" cy="33528"/>
                        </a:xfrm>
                      </wpg:grpSpPr>
                      <pic:pic xmlns:pic="http://schemas.openxmlformats.org/drawingml/2006/picture">
                        <pic:nvPicPr>
                          <pic:cNvPr id="24277" name="Picture 33"/>
                          <pic:cNvPicPr>
                            <a:picLocks noChangeAspect="1"/>
                          </pic:cNvPicPr>
                        </pic:nvPicPr>
                        <pic:blipFill>
                          <a:blip r:embed="rId72" cstate="screen">
                            <a:extLst>
                              <a:ext uri="{28A0092B-C50C-407E-A947-70E740481C1C}">
                                <a14:useLocalDpi xmlns:a14="http://schemas.microsoft.com/office/drawing/2010/main" val="0"/>
                              </a:ext>
                            </a:extLst>
                          </a:blip>
                          <a:srcRect/>
                          <a:stretch>
                            <a:fillRect/>
                          </a:stretch>
                        </pic:blipFill>
                        <pic:spPr bwMode="auto">
                          <a:xfrm>
                            <a:off x="508" y="18002"/>
                            <a:ext cx="48952" cy="15526"/>
                          </a:xfrm>
                          <a:prstGeom prst="rect">
                            <a:avLst/>
                          </a:prstGeom>
                          <a:noFill/>
                          <a:ln w="9525">
                            <a:solidFill>
                              <a:schemeClr val="tx1">
                                <a:lumMod val="100000"/>
                                <a:lumOff val="0"/>
                              </a:schemeClr>
                            </a:solidFill>
                            <a:miter lim="800000"/>
                            <a:headEnd/>
                            <a:tailEnd/>
                          </a:ln>
                        </pic:spPr>
                      </pic:pic>
                      <pic:pic xmlns:pic="http://schemas.openxmlformats.org/drawingml/2006/picture">
                        <pic:nvPicPr>
                          <pic:cNvPr id="24278" name="Picture 34"/>
                          <pic:cNvPicPr>
                            <a:picLocks noChangeAspect="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381" y="95"/>
                            <a:ext cx="49079" cy="16465"/>
                          </a:xfrm>
                          <a:prstGeom prst="rect">
                            <a:avLst/>
                          </a:prstGeom>
                          <a:noFill/>
                          <a:ln w="9525">
                            <a:solidFill>
                              <a:schemeClr val="tx1">
                                <a:lumMod val="100000"/>
                                <a:lumOff val="0"/>
                              </a:schemeClr>
                            </a:solidFill>
                            <a:miter lim="800000"/>
                            <a:headEnd/>
                            <a:tailEnd/>
                          </a:ln>
                        </pic:spPr>
                      </pic:pic>
                      <wpg:grpSp>
                        <wpg:cNvPr id="24279" name="Group 35"/>
                        <wpg:cNvGrpSpPr>
                          <a:grpSpLocks/>
                        </wpg:cNvGrpSpPr>
                        <wpg:grpSpPr bwMode="auto">
                          <a:xfrm>
                            <a:off x="6667" y="0"/>
                            <a:ext cx="36576" cy="33242"/>
                            <a:chOff x="0" y="0"/>
                            <a:chExt cx="36576" cy="33242"/>
                          </a:xfrm>
                        </wpg:grpSpPr>
                        <wpg:grpSp>
                          <wpg:cNvPr id="24280" name="Group 36"/>
                          <wpg:cNvGrpSpPr>
                            <a:grpSpLocks/>
                          </wpg:cNvGrpSpPr>
                          <wpg:grpSpPr bwMode="auto">
                            <a:xfrm>
                              <a:off x="0" y="0"/>
                              <a:ext cx="36576" cy="2095"/>
                              <a:chOff x="0" y="0"/>
                              <a:chExt cx="36576" cy="2095"/>
                            </a:xfrm>
                          </wpg:grpSpPr>
                          <wps:wsp>
                            <wps:cNvPr id="24281" name="Rectangle 37"/>
                            <wps:cNvSpPr>
                              <a:spLocks noChangeArrowheads="1"/>
                            </wps:cNvSpPr>
                            <wps:spPr bwMode="auto">
                              <a:xfrm>
                                <a:off x="0" y="0"/>
                                <a:ext cx="2762" cy="209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B5E8321" w14:textId="77777777" w:rsidR="00527127" w:rsidRPr="00E0621C" w:rsidRDefault="00527127" w:rsidP="00C301C2">
                                  <w:pPr>
                                    <w:spacing w:before="0" w:after="0"/>
                                    <w:jc w:val="center"/>
                                  </w:pPr>
                                  <w:r w:rsidRPr="00E0621C">
                                    <w:t>A</w:t>
                                  </w:r>
                                </w:p>
                              </w:txbxContent>
                            </wps:txbx>
                            <wps:bodyPr rot="0" vert="horz" wrap="square" lIns="0" tIns="0" rIns="0" bIns="0" anchor="ctr" anchorCtr="0" upright="1">
                              <a:noAutofit/>
                            </wps:bodyPr>
                          </wps:wsp>
                          <wps:wsp>
                            <wps:cNvPr id="24282" name="Rectangle 38"/>
                            <wps:cNvSpPr>
                              <a:spLocks noChangeArrowheads="1"/>
                            </wps:cNvSpPr>
                            <wps:spPr bwMode="auto">
                              <a:xfrm>
                                <a:off x="16859" y="0"/>
                                <a:ext cx="2762" cy="209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269D674" w14:textId="77777777" w:rsidR="00527127" w:rsidRPr="00E0621C" w:rsidRDefault="00527127" w:rsidP="00C301C2">
                                  <w:pPr>
                                    <w:spacing w:before="0"/>
                                    <w:jc w:val="center"/>
                                  </w:pPr>
                                  <w:r>
                                    <w:t>B</w:t>
                                  </w:r>
                                </w:p>
                              </w:txbxContent>
                            </wps:txbx>
                            <wps:bodyPr rot="0" vert="horz" wrap="square" lIns="0" tIns="0" rIns="0" bIns="0" anchor="ctr" anchorCtr="0" upright="1">
                              <a:noAutofit/>
                            </wps:bodyPr>
                          </wps:wsp>
                          <wps:wsp>
                            <wps:cNvPr id="24283" name="Rectangle 39"/>
                            <wps:cNvSpPr>
                              <a:spLocks noChangeArrowheads="1"/>
                            </wps:cNvSpPr>
                            <wps:spPr bwMode="auto">
                              <a:xfrm>
                                <a:off x="33813" y="0"/>
                                <a:ext cx="2763" cy="209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0524E88" w14:textId="77777777" w:rsidR="00527127" w:rsidRPr="00E0621C" w:rsidRDefault="00527127" w:rsidP="00C301C2">
                                  <w:pPr>
                                    <w:spacing w:before="0"/>
                                    <w:jc w:val="center"/>
                                  </w:pPr>
                                  <w:r>
                                    <w:t>C</w:t>
                                  </w:r>
                                </w:p>
                              </w:txbxContent>
                            </wps:txbx>
                            <wps:bodyPr rot="0" vert="horz" wrap="square" lIns="0" tIns="0" rIns="0" bIns="0" anchor="ctr" anchorCtr="0" upright="1">
                              <a:noAutofit/>
                            </wps:bodyPr>
                          </wps:wsp>
                        </wpg:grpSp>
                        <wpg:grpSp>
                          <wpg:cNvPr id="24284" name="Group 40"/>
                          <wpg:cNvGrpSpPr>
                            <a:grpSpLocks/>
                          </wpg:cNvGrpSpPr>
                          <wpg:grpSpPr bwMode="auto">
                            <a:xfrm>
                              <a:off x="0" y="31146"/>
                              <a:ext cx="36576" cy="2096"/>
                              <a:chOff x="0" y="0"/>
                              <a:chExt cx="36576" cy="2095"/>
                            </a:xfrm>
                          </wpg:grpSpPr>
                          <wps:wsp>
                            <wps:cNvPr id="24285" name="Rectangle 41"/>
                            <wps:cNvSpPr>
                              <a:spLocks noChangeArrowheads="1"/>
                            </wps:cNvSpPr>
                            <wps:spPr bwMode="auto">
                              <a:xfrm>
                                <a:off x="0" y="0"/>
                                <a:ext cx="2762" cy="209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DA3D296" w14:textId="77777777" w:rsidR="00527127" w:rsidRPr="00E0621C" w:rsidRDefault="00527127" w:rsidP="00C301C2">
                                  <w:pPr>
                                    <w:spacing w:before="0"/>
                                    <w:jc w:val="center"/>
                                  </w:pPr>
                                  <w:r>
                                    <w:t>D</w:t>
                                  </w:r>
                                </w:p>
                              </w:txbxContent>
                            </wps:txbx>
                            <wps:bodyPr rot="0" vert="horz" wrap="square" lIns="0" tIns="0" rIns="0" bIns="0" anchor="ctr" anchorCtr="0" upright="1">
                              <a:noAutofit/>
                            </wps:bodyPr>
                          </wps:wsp>
                          <wps:wsp>
                            <wps:cNvPr id="24286" name="Rectangle 42"/>
                            <wps:cNvSpPr>
                              <a:spLocks noChangeArrowheads="1"/>
                            </wps:cNvSpPr>
                            <wps:spPr bwMode="auto">
                              <a:xfrm>
                                <a:off x="16954" y="0"/>
                                <a:ext cx="2762" cy="209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06382DD" w14:textId="77777777" w:rsidR="00527127" w:rsidRPr="00E0621C" w:rsidRDefault="00527127" w:rsidP="00C301C2">
                                  <w:pPr>
                                    <w:spacing w:before="0"/>
                                    <w:jc w:val="center"/>
                                  </w:pPr>
                                  <w:r>
                                    <w:t>E</w:t>
                                  </w:r>
                                </w:p>
                              </w:txbxContent>
                            </wps:txbx>
                            <wps:bodyPr rot="0" vert="horz" wrap="square" lIns="0" tIns="0" rIns="0" bIns="0" anchor="ctr" anchorCtr="0" upright="1">
                              <a:noAutofit/>
                            </wps:bodyPr>
                          </wps:wsp>
                          <wps:wsp>
                            <wps:cNvPr id="24287" name="Rectangle 43"/>
                            <wps:cNvSpPr>
                              <a:spLocks noChangeArrowheads="1"/>
                            </wps:cNvSpPr>
                            <wps:spPr bwMode="auto">
                              <a:xfrm>
                                <a:off x="33813" y="0"/>
                                <a:ext cx="2763" cy="209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1FA5894" w14:textId="77777777" w:rsidR="00527127" w:rsidRPr="00E0621C" w:rsidRDefault="00527127" w:rsidP="00C301C2">
                                  <w:pPr>
                                    <w:spacing w:before="0"/>
                                    <w:jc w:val="center"/>
                                  </w:pPr>
                                  <w:r>
                                    <w:t>F</w:t>
                                  </w:r>
                                </w:p>
                              </w:txbxContent>
                            </wps:txbx>
                            <wps:bodyPr rot="0" vert="horz" wrap="square" lIns="0" tIns="0" rIns="0" bIns="0" anchor="ctr" anchorCtr="0" upright="1">
                              <a:noAutofit/>
                            </wps:bodyPr>
                          </wps:wsp>
                        </wpg:grpSp>
                      </wpg:grpSp>
                      <wpg:grpSp>
                        <wpg:cNvPr id="24288" name="Group 1787"/>
                        <wpg:cNvGrpSpPr>
                          <a:grpSpLocks/>
                        </wpg:cNvGrpSpPr>
                        <wpg:grpSpPr bwMode="auto">
                          <a:xfrm>
                            <a:off x="4286" y="14382"/>
                            <a:ext cx="42382" cy="4495"/>
                            <a:chOff x="0" y="0"/>
                            <a:chExt cx="42382" cy="4494"/>
                          </a:xfrm>
                        </wpg:grpSpPr>
                        <wps:wsp>
                          <wps:cNvPr id="24289" name="Rectangle: Rounded Corners 20"/>
                          <wps:cNvSpPr>
                            <a:spLocks noChangeArrowheads="1"/>
                          </wps:cNvSpPr>
                          <wps:spPr bwMode="auto">
                            <a:xfrm>
                              <a:off x="0" y="95"/>
                              <a:ext cx="7073" cy="4399"/>
                            </a:xfrm>
                            <a:prstGeom prst="roundRect">
                              <a:avLst>
                                <a:gd name="adj" fmla="val 16667"/>
                              </a:avLst>
                            </a:prstGeom>
                            <a:solidFill>
                              <a:srgbClr val="FFFF00"/>
                            </a:solidFill>
                            <a:ln w="12700">
                              <a:solidFill>
                                <a:srgbClr val="FFFF00"/>
                              </a:solidFill>
                              <a:miter lim="800000"/>
                              <a:headEnd/>
                              <a:tailEnd/>
                            </a:ln>
                          </wps:spPr>
                          <wps:txbx>
                            <w:txbxContent>
                              <w:p w14:paraId="2CAC1154" w14:textId="77777777" w:rsidR="00527127" w:rsidRPr="00FC7ABF" w:rsidRDefault="00527127" w:rsidP="0093064C">
                                <w:pPr>
                                  <w:spacing w:before="0" w:line="240" w:lineRule="auto"/>
                                  <w:jc w:val="center"/>
                                </w:pPr>
                                <w:r>
                                  <w:t>Threshold t</w:t>
                                </w:r>
                                <w:r w:rsidRPr="00FC7ABF">
                                  <w:t xml:space="preserve">oo </w:t>
                                </w:r>
                                <w:r>
                                  <w:t>l</w:t>
                                </w:r>
                                <w:r w:rsidRPr="00FC7ABF">
                                  <w:t>ow</w:t>
                                </w:r>
                              </w:p>
                            </w:txbxContent>
                          </wps:txbx>
                          <wps:bodyPr rot="0" vert="horz" wrap="square" lIns="0" tIns="0" rIns="0" bIns="0" anchor="ctr" anchorCtr="0" upright="1">
                            <a:noAutofit/>
                          </wps:bodyPr>
                        </wps:wsp>
                        <wps:wsp>
                          <wps:cNvPr id="24290" name="Rectangle: Rounded Corners 21"/>
                          <wps:cNvSpPr>
                            <a:spLocks noChangeArrowheads="1"/>
                          </wps:cNvSpPr>
                          <wps:spPr bwMode="auto">
                            <a:xfrm>
                              <a:off x="17049" y="0"/>
                              <a:ext cx="7074" cy="4399"/>
                            </a:xfrm>
                            <a:prstGeom prst="roundRect">
                              <a:avLst>
                                <a:gd name="adj" fmla="val 16667"/>
                              </a:avLst>
                            </a:prstGeom>
                            <a:solidFill>
                              <a:srgbClr val="FFFF00"/>
                            </a:solidFill>
                            <a:ln w="12700">
                              <a:solidFill>
                                <a:srgbClr val="FFFF00"/>
                              </a:solidFill>
                              <a:miter lim="800000"/>
                              <a:headEnd/>
                              <a:tailEnd/>
                            </a:ln>
                          </wps:spPr>
                          <wps:txbx>
                            <w:txbxContent>
                              <w:p w14:paraId="02DE11E9" w14:textId="27E77F6A" w:rsidR="00527127" w:rsidRPr="00FC7ABF" w:rsidRDefault="00527127" w:rsidP="0093064C">
                                <w:pPr>
                                  <w:spacing w:before="0" w:line="240" w:lineRule="auto"/>
                                  <w:jc w:val="center"/>
                                </w:pPr>
                                <w:r>
                                  <w:t>Good threshold</w:t>
                                </w:r>
                              </w:p>
                            </w:txbxContent>
                          </wps:txbx>
                          <wps:bodyPr rot="0" vert="horz" wrap="square" lIns="0" tIns="0" rIns="0" bIns="0" anchor="ctr" anchorCtr="0" upright="1">
                            <a:noAutofit/>
                          </wps:bodyPr>
                        </wps:wsp>
                        <wps:wsp>
                          <wps:cNvPr id="24291" name="Rectangle: Rounded Corners 22"/>
                          <wps:cNvSpPr>
                            <a:spLocks noChangeArrowheads="1"/>
                          </wps:cNvSpPr>
                          <wps:spPr bwMode="auto">
                            <a:xfrm>
                              <a:off x="32289" y="95"/>
                              <a:ext cx="10093" cy="4399"/>
                            </a:xfrm>
                            <a:prstGeom prst="roundRect">
                              <a:avLst>
                                <a:gd name="adj" fmla="val 16667"/>
                              </a:avLst>
                            </a:prstGeom>
                            <a:solidFill>
                              <a:srgbClr val="FFFF00"/>
                            </a:solidFill>
                            <a:ln w="12700">
                              <a:solidFill>
                                <a:srgbClr val="FFFF00"/>
                              </a:solidFill>
                              <a:miter lim="800000"/>
                              <a:headEnd/>
                              <a:tailEnd/>
                            </a:ln>
                          </wps:spPr>
                          <wps:txbx>
                            <w:txbxContent>
                              <w:p w14:paraId="6D4486BF" w14:textId="759D2027" w:rsidR="00527127" w:rsidRPr="00FC7ABF" w:rsidRDefault="00527127" w:rsidP="0093064C">
                                <w:pPr>
                                  <w:spacing w:before="0" w:line="240" w:lineRule="auto"/>
                                  <w:jc w:val="center"/>
                                </w:pPr>
                                <w:r>
                                  <w:t>Threshold too high</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E2A8A5" id="Group 24276" o:spid="_x0000_s1151" style="position:absolute;left:0;text-align:left;margin-left:0;margin-top:8.85pt;width:386.45pt;height:264pt;z-index:-251687936;mso-position-horizontal:center;mso-position-horizontal-relative:margin;mso-position-vertical-relative:text" coordorigin="381" coordsize="49079,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">
                <v:shape id="Picture 33" o:spid="_x0000_s1152" type="#_x0000_t75" style="position:absolute;left:508;top:18002;width:48952;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" stroked="t" strokecolor="black [3213]">
                  <v:imagedata r:id="rId74" o:title=""/>
                  <v:path arrowok="t"/>
                </v:shape>
                <v:shape id="Picture 34" o:spid="_x0000_s1153" type="#_x0000_t75" style="position:absolute;left:381;top:95;width:49079;height:16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" stroked="t" strokecolor="black [3213]">
                  <v:imagedata r:id="rId75" o:title=""/>
                  <v:path arrowok="t"/>
                </v:shape>
                <v:group id="Group 35" o:spid="_x0000_s1154" style="position:absolute;left:6667;width:36576;height:33242" coordsize="36576,3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">
                  <v:group id="Group 36" o:spid="_x0000_s1155" style="position:absolute;width:36576;height:2095" coordsize="36576,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">
                    <v:rect id="Rectangle 37" o:spid="_x0000_s1156" style="position:absolute;width:2762;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" fillcolor="white [3201]" strokecolor="black [3200]" strokeweight="1pt">
                      <v:textbox inset="0,0,0,0">
                        <w:txbxContent>
                          <w:p w14:paraId="3B5E8321" w14:textId="77777777" w:rsidR="00527127" w:rsidRPr="00E0621C" w:rsidRDefault="00527127" w:rsidP="00C301C2">
                            <w:pPr>
                              <w:spacing w:before="0" w:after="0"/>
                              <w:jc w:val="center"/>
                            </w:pPr>
                            <w:r w:rsidRPr="00E0621C">
                              <w:t>A</w:t>
                            </w:r>
                          </w:p>
                        </w:txbxContent>
                      </v:textbox>
                    </v:rect>
                    <v:rect id="Rectangle 38" o:spid="_x0000_s1157" style="position:absolute;left:16859;width:2762;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" fillcolor="white [3201]" strokecolor="black [3200]" strokeweight="1pt">
                      <v:textbox inset="0,0,0,0">
                        <w:txbxContent>
                          <w:p w14:paraId="3269D674" w14:textId="77777777" w:rsidR="00527127" w:rsidRPr="00E0621C" w:rsidRDefault="00527127" w:rsidP="00C301C2">
                            <w:pPr>
                              <w:spacing w:before="0"/>
                              <w:jc w:val="center"/>
                            </w:pPr>
                            <w:r>
                              <w:t>B</w:t>
                            </w:r>
                          </w:p>
                        </w:txbxContent>
                      </v:textbox>
                    </v:rect>
                    <v:rect id="Rectangle 39" o:spid="_x0000_s1158" style="position:absolute;left:33813;width:2763;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" fillcolor="white [3201]" strokecolor="black [3200]" strokeweight="1pt">
                      <v:textbox inset="0,0,0,0">
                        <w:txbxContent>
                          <w:p w14:paraId="50524E88" w14:textId="77777777" w:rsidR="00527127" w:rsidRPr="00E0621C" w:rsidRDefault="00527127" w:rsidP="00C301C2">
                            <w:pPr>
                              <w:spacing w:before="0"/>
                              <w:jc w:val="center"/>
                            </w:pPr>
                            <w:r>
                              <w:t>C</w:t>
                            </w:r>
                          </w:p>
                        </w:txbxContent>
                      </v:textbox>
                    </v:rect>
                  </v:group>
                  <v:group id="Group 40" o:spid="_x0000_s1159" style="position:absolute;top:31146;width:36576;height:2096" coordsize="36576,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">
                    <v:rect id="_x0000_s1160" style="position:absolute;width:2762;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" fillcolor="white [3201]" strokecolor="black [3200]" strokeweight="1pt">
                      <v:textbox inset="0,0,0,0">
                        <w:txbxContent>
                          <w:p w14:paraId="6DA3D296" w14:textId="77777777" w:rsidR="00527127" w:rsidRPr="00E0621C" w:rsidRDefault="00527127" w:rsidP="00C301C2">
                            <w:pPr>
                              <w:spacing w:before="0"/>
                              <w:jc w:val="center"/>
                            </w:pPr>
                            <w:r>
                              <w:t>D</w:t>
                            </w:r>
                          </w:p>
                        </w:txbxContent>
                      </v:textbox>
                    </v:rect>
                    <v:rect id="_x0000_s1161" style="position:absolute;left:16954;width:2762;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" fillcolor="white [3201]" strokecolor="black [3200]" strokeweight="1pt">
                      <v:textbox inset="0,0,0,0">
                        <w:txbxContent>
                          <w:p w14:paraId="706382DD" w14:textId="77777777" w:rsidR="00527127" w:rsidRPr="00E0621C" w:rsidRDefault="00527127" w:rsidP="00C301C2">
                            <w:pPr>
                              <w:spacing w:before="0"/>
                              <w:jc w:val="center"/>
                            </w:pPr>
                            <w:r>
                              <w:t>E</w:t>
                            </w:r>
                          </w:p>
                        </w:txbxContent>
                      </v:textbox>
                    </v:rect>
                    <v:rect id="Rectangle 43" o:spid="_x0000_s1162" style="position:absolute;left:33813;width:2763;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" fillcolor="white [3201]" strokecolor="black [3200]" strokeweight="1pt">
                      <v:textbox inset="0,0,0,0">
                        <w:txbxContent>
                          <w:p w14:paraId="01FA5894" w14:textId="77777777" w:rsidR="00527127" w:rsidRPr="00E0621C" w:rsidRDefault="00527127" w:rsidP="00C301C2">
                            <w:pPr>
                              <w:spacing w:before="0"/>
                              <w:jc w:val="center"/>
                            </w:pPr>
                            <w:r>
                              <w:t>F</w:t>
                            </w:r>
                          </w:p>
                        </w:txbxContent>
                      </v:textbox>
                    </v:rect>
                  </v:group>
                </v:group>
                <v:group id="Group 1787" o:spid="_x0000_s1163" style="position:absolute;left:4286;top:14382;width:42382;height:4495" coordsize="42382,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">
                  <v:roundrect id="Rectangle: Rounded Corners 20" o:spid="_x0000_s1164" style="position:absolute;top:95;width:7073;height:43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" fillcolor="yellow" strokecolor="yellow" strokeweight="1pt">
                    <v:stroke joinstyle="miter"/>
                    <v:textbox inset="0,0,0,0">
                      <w:txbxContent>
                        <w:p w14:paraId="2CAC1154" w14:textId="77777777" w:rsidR="00527127" w:rsidRPr="00FC7ABF" w:rsidRDefault="00527127" w:rsidP="0093064C">
                          <w:pPr>
                            <w:spacing w:before="0" w:line="240" w:lineRule="auto"/>
                            <w:jc w:val="center"/>
                          </w:pPr>
                          <w:r>
                            <w:t>Threshold t</w:t>
                          </w:r>
                          <w:r w:rsidRPr="00FC7ABF">
                            <w:t xml:space="preserve">oo </w:t>
                          </w:r>
                          <w:r>
                            <w:t>l</w:t>
                          </w:r>
                          <w:r w:rsidRPr="00FC7ABF">
                            <w:t>ow</w:t>
                          </w:r>
                        </w:p>
                      </w:txbxContent>
                    </v:textbox>
                  </v:roundrect>
                  <v:roundrect id="Rectangle: Rounded Corners 21" o:spid="_x0000_s1165" style="position:absolute;left:17049;width:7074;height:43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" fillcolor="yellow" strokecolor="yellow" strokeweight="1pt">
                    <v:stroke joinstyle="miter"/>
                    <v:textbox inset="0,0,0,0">
                      <w:txbxContent>
                        <w:p w14:paraId="02DE11E9" w14:textId="27E77F6A" w:rsidR="00527127" w:rsidRPr="00FC7ABF" w:rsidRDefault="00527127" w:rsidP="0093064C">
                          <w:pPr>
                            <w:spacing w:before="0" w:line="240" w:lineRule="auto"/>
                            <w:jc w:val="center"/>
                          </w:pPr>
                          <w:r>
                            <w:t>Good threshold</w:t>
                          </w:r>
                        </w:p>
                      </w:txbxContent>
                    </v:textbox>
                  </v:roundrect>
                  <v:roundrect id="Rectangle: Rounded Corners 22" o:spid="_x0000_s1166" style="position:absolute;left:32289;top:95;width:10093;height:43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" fillcolor="yellow" strokecolor="yellow" strokeweight="1pt">
                    <v:stroke joinstyle="miter"/>
                    <v:textbox inset="0,0,0,0">
                      <w:txbxContent>
                        <w:p w14:paraId="6D4486BF" w14:textId="759D2027" w:rsidR="00527127" w:rsidRPr="00FC7ABF" w:rsidRDefault="00527127" w:rsidP="0093064C">
                          <w:pPr>
                            <w:spacing w:before="0" w:line="240" w:lineRule="auto"/>
                            <w:jc w:val="center"/>
                          </w:pPr>
                          <w:r>
                            <w:t>Threshold too high</w:t>
                          </w:r>
                        </w:p>
                      </w:txbxContent>
                    </v:textbox>
                  </v:roundrect>
                </v:group>
                <w10:wrap type="tight" anchorx="margin"/>
              </v:group>
            </w:pict>
          </mc:Fallback>
        </mc:AlternateContent>
      </w:r>
    </w:p>
    <w:p w14:paraId="56DA4D47" w14:textId="77777777" w:rsidR="00547D87" w:rsidRPr="009D4627" w:rsidRDefault="00547D87" w:rsidP="00C4130D">
      <w:pPr>
        <w:pStyle w:val="Caption"/>
      </w:pPr>
    </w:p>
    <w:p w14:paraId="1854D629" w14:textId="77777777" w:rsidR="00793E49" w:rsidRPr="009D4627" w:rsidRDefault="00793E49" w:rsidP="00C4130D">
      <w:pPr>
        <w:pStyle w:val="Caption"/>
      </w:pPr>
    </w:p>
    <w:p w14:paraId="23A90BAB" w14:textId="77777777" w:rsidR="00793E49" w:rsidRPr="009D4627" w:rsidRDefault="00793E49" w:rsidP="00C4130D">
      <w:pPr>
        <w:pStyle w:val="Caption"/>
      </w:pPr>
    </w:p>
    <w:p w14:paraId="2D70A445" w14:textId="77777777" w:rsidR="00793E49" w:rsidRPr="009D4627" w:rsidRDefault="00793E49" w:rsidP="00C4130D">
      <w:pPr>
        <w:pStyle w:val="Caption"/>
      </w:pPr>
    </w:p>
    <w:p w14:paraId="1207FA95" w14:textId="77777777" w:rsidR="00793E49" w:rsidRPr="009D4627" w:rsidRDefault="00793E49" w:rsidP="00C4130D">
      <w:pPr>
        <w:pStyle w:val="Caption"/>
      </w:pPr>
    </w:p>
    <w:p w14:paraId="3DEA87E4" w14:textId="77777777" w:rsidR="00793E49" w:rsidRPr="009D4627" w:rsidRDefault="00793E49" w:rsidP="00C4130D">
      <w:pPr>
        <w:pStyle w:val="Caption"/>
      </w:pPr>
    </w:p>
    <w:p w14:paraId="727C5AF6" w14:textId="77777777" w:rsidR="00793E49" w:rsidRPr="009D4627" w:rsidRDefault="00793E49" w:rsidP="00C4130D">
      <w:pPr>
        <w:pStyle w:val="Caption"/>
      </w:pPr>
    </w:p>
    <w:p w14:paraId="0FD39368" w14:textId="2B66F642" w:rsidR="00547D87" w:rsidRPr="009D4627" w:rsidRDefault="008562BE" w:rsidP="00C4130D">
      <w:pPr>
        <w:pStyle w:val="Caption"/>
      </w:pPr>
      <w:bookmarkStart w:id="142" w:name="_Toc98569951"/>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3</w:t>
      </w:r>
      <w:r w:rsidR="002E63E9" w:rsidRPr="009D4627">
        <w:rPr>
          <w:noProof/>
        </w:rPr>
        <w:fldChar w:fldCharType="end"/>
      </w:r>
      <w:r w:rsidRPr="009D4627">
        <w:t xml:space="preserve">: </w:t>
      </w:r>
      <w:r w:rsidR="00547D87" w:rsidRPr="009D4627">
        <w:t xml:space="preserve">Potential range of </w:t>
      </w:r>
      <w:r w:rsidR="001B035C" w:rsidRPr="009D4627">
        <w:t xml:space="preserve">pupil threshold </w:t>
      </w:r>
      <w:r w:rsidR="00547D87" w:rsidRPr="009D4627">
        <w:t>for focus setting</w:t>
      </w:r>
      <w:r w:rsidR="001B035C" w:rsidRPr="009D4627">
        <w:t xml:space="preserve"> using the </w:t>
      </w:r>
      <w:proofErr w:type="spellStart"/>
      <w:r w:rsidR="001B035C" w:rsidRPr="009D4627">
        <w:t>Eye</w:t>
      </w:r>
      <w:r w:rsidR="00134019" w:rsidRPr="009D4627">
        <w:t>L</w:t>
      </w:r>
      <w:r w:rsidR="001B035C" w:rsidRPr="009D4627">
        <w:t>ink</w:t>
      </w:r>
      <w:proofErr w:type="spellEnd"/>
      <w:r w:rsidR="001B035C" w:rsidRPr="009D4627">
        <w:t xml:space="preserve"> 1000</w:t>
      </w:r>
      <w:r w:rsidRPr="009D4627">
        <w:t xml:space="preserve"> Plus</w:t>
      </w:r>
      <w:r w:rsidR="001B035C" w:rsidRPr="009D4627">
        <w:t xml:space="preserve"> eye movement recorder</w:t>
      </w:r>
      <w:r w:rsidR="00547D87" w:rsidRPr="009D4627">
        <w:t xml:space="preserve">. </w:t>
      </w:r>
      <w:r w:rsidR="00F57D01" w:rsidRPr="009D4627">
        <w:t>F</w:t>
      </w:r>
      <w:r w:rsidR="00D91AAB" w:rsidRPr="009D4627">
        <w:t>igure</w:t>
      </w:r>
      <w:r w:rsidR="00547D87" w:rsidRPr="009D4627">
        <w:t xml:space="preserve"> A, B, and C show the pupil threshold setting, and D, E, and F show the CR threshold setting. A and D shows a low pupil and corneal threshold; B and E show an acceptable threshold, and C and F show a high threshold.</w:t>
      </w:r>
      <w:bookmarkEnd w:id="142"/>
    </w:p>
    <w:p w14:paraId="6EAE8ED7" w14:textId="77777777" w:rsidR="00034492" w:rsidRPr="009D4627" w:rsidRDefault="00034492" w:rsidP="00034492">
      <w:pPr>
        <w:rPr>
          <w:lang w:val="en-MY"/>
        </w:rPr>
      </w:pPr>
    </w:p>
    <w:p w14:paraId="2BFB6AA1" w14:textId="3C8AB1B8" w:rsidR="00547D87" w:rsidRPr="009D4627" w:rsidRDefault="00547D87" w:rsidP="00DC4CA6">
      <w:pPr>
        <w:pStyle w:val="Heading3"/>
      </w:pPr>
      <w:bookmarkStart w:id="143" w:name="_1fob9te" w:colFirst="0" w:colLast="0"/>
      <w:bookmarkStart w:id="144" w:name="_Toc98964640"/>
      <w:bookmarkStart w:id="145" w:name="_Toc103344686"/>
      <w:bookmarkEnd w:id="143"/>
      <w:r w:rsidRPr="009D4627">
        <w:lastRenderedPageBreak/>
        <w:t>Calibration and validation</w:t>
      </w:r>
      <w:bookmarkEnd w:id="144"/>
      <w:bookmarkEnd w:id="145"/>
    </w:p>
    <w:p w14:paraId="2CC01D0E" w14:textId="5CD9B548" w:rsidR="00547D87" w:rsidRPr="009D4627" w:rsidRDefault="002D48BF" w:rsidP="00390EBC">
      <w:pPr>
        <w:rPr>
          <w:color w:val="000000"/>
        </w:rPr>
      </w:pPr>
      <w:r w:rsidRPr="009D4627">
        <w:rPr>
          <w:rFonts w:eastAsia="Arial Unicode MS"/>
          <w:lang w:val="en-US"/>
        </w:rPr>
        <w:t xml:space="preserve">The eye movement recorder was calibrated by presenting a stationary target on the display monitor. There were five calibration points (PP, </w:t>
      </w:r>
      <w:r w:rsidRPr="009D4627">
        <w:rPr>
          <w:rFonts w:eastAsia="Arial Unicode MS"/>
        </w:rPr>
        <w:t>±</w:t>
      </w:r>
      <w:r w:rsidRPr="009D4627">
        <w:rPr>
          <w:rFonts w:eastAsia="Arial Unicode MS"/>
          <w:lang w:val="en-US"/>
        </w:rPr>
        <w:t xml:space="preserve"> </w:t>
      </w:r>
      <w:r w:rsidRPr="009D4627">
        <w:rPr>
          <w:rFonts w:eastAsia="Arial Unicode MS"/>
        </w:rPr>
        <w:t>15</w:t>
      </w:r>
      <w:r w:rsidRPr="00E82E69">
        <w:rPr>
          <w:rFonts w:eastAsia="Arial Unicode MS"/>
        </w:rPr>
        <w:t xml:space="preserve">° </w:t>
      </w:r>
      <w:r w:rsidRPr="009D4627">
        <w:rPr>
          <w:rFonts w:eastAsia="Arial Unicode MS"/>
          <w:lang w:val="en-US"/>
        </w:rPr>
        <w:t xml:space="preserve">horizontally, and </w:t>
      </w:r>
      <w:r w:rsidRPr="009D4627">
        <w:rPr>
          <w:rFonts w:eastAsia="Arial Unicode MS"/>
        </w:rPr>
        <w:t>±</w:t>
      </w:r>
      <w:r w:rsidRPr="009D4627">
        <w:rPr>
          <w:rFonts w:eastAsia="Arial Unicode MS"/>
          <w:lang w:val="en-US"/>
        </w:rPr>
        <w:t xml:space="preserve"> </w:t>
      </w:r>
      <w:r w:rsidRPr="009D4627">
        <w:rPr>
          <w:rFonts w:eastAsia="Arial Unicode MS"/>
        </w:rPr>
        <w:t>8</w:t>
      </w:r>
      <w:r w:rsidRPr="00E82E69">
        <w:rPr>
          <w:rFonts w:eastAsia="Arial Unicode MS"/>
        </w:rPr>
        <w:t xml:space="preserve">° </w:t>
      </w:r>
      <w:r w:rsidRPr="009D4627">
        <w:rPr>
          <w:rFonts w:eastAsia="Arial Unicode MS"/>
          <w:lang w:val="en-US"/>
        </w:rPr>
        <w:t>vertically) followed by five validation points in the same position as the calibration points before each actual test run to ensure accuracy of the calibration points. The numerical value presented on the host PC at the end of the validation process indicated the optimum calibration and validation points</w:t>
      </w:r>
      <w:r w:rsidRPr="009D4627">
        <w:rPr>
          <w:rFonts w:eastAsia="Arial Unicode MS"/>
        </w:rPr>
        <w:t xml:space="preserve"> (Figure 2.4)</w:t>
      </w:r>
      <w:r w:rsidR="00547D87" w:rsidRPr="009D4627">
        <w:rPr>
          <w:color w:val="000000"/>
        </w:rPr>
        <w:t xml:space="preserve">. </w:t>
      </w:r>
    </w:p>
    <w:p w14:paraId="61277960" w14:textId="34FF23B6" w:rsidR="00547D87" w:rsidRPr="009D4627" w:rsidRDefault="00547D87" w:rsidP="00995825">
      <w:pPr>
        <w:spacing w:after="0" w:line="240" w:lineRule="auto"/>
        <w:rPr>
          <w:noProof/>
          <w:lang w:eastAsia="en-GB"/>
        </w:rPr>
      </w:pPr>
      <w:r w:rsidRPr="009D4627">
        <w:rPr>
          <w:noProof/>
          <w:lang w:val="en-US"/>
        </w:rPr>
        <w:drawing>
          <wp:inline distT="0" distB="0" distL="0" distR="0" wp14:anchorId="3A856D5B" wp14:editId="08FCBC85">
            <wp:extent cx="5731510" cy="3275330"/>
            <wp:effectExtent l="0" t="0" r="254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5731510" cy="3275330"/>
                    </a:xfrm>
                    <a:prstGeom prst="rect">
                      <a:avLst/>
                    </a:prstGeom>
                    <a:noFill/>
                    <a:ln>
                      <a:noFill/>
                    </a:ln>
                  </pic:spPr>
                </pic:pic>
              </a:graphicData>
            </a:graphic>
          </wp:inline>
        </w:drawing>
      </w:r>
    </w:p>
    <w:p w14:paraId="1A39B4F9" w14:textId="0384E883" w:rsidR="00F57D01" w:rsidRDefault="00EC745C" w:rsidP="00C4130D">
      <w:pPr>
        <w:pStyle w:val="Caption"/>
      </w:pPr>
      <w:bookmarkStart w:id="146" w:name="_Toc98569952"/>
      <w:r w:rsidRPr="009D4627">
        <w:t>Figure 2.</w:t>
      </w:r>
      <w:r w:rsidRPr="009D4627">
        <w:fldChar w:fldCharType="begin"/>
      </w:r>
      <w:r w:rsidRPr="009D4627">
        <w:instrText xml:space="preserve"> SEQ Figure_2. \* ARABIC </w:instrText>
      </w:r>
      <w:r w:rsidRPr="009D4627">
        <w:fldChar w:fldCharType="separate"/>
      </w:r>
      <w:r w:rsidR="00E268F6">
        <w:rPr>
          <w:noProof/>
        </w:rPr>
        <w:t>4</w:t>
      </w:r>
      <w:r w:rsidRPr="009D4627">
        <w:fldChar w:fldCharType="end"/>
      </w:r>
      <w:r w:rsidR="002D48BF" w:rsidRPr="009D4627">
        <w:t>: A sample output displayed on the host PC of five-point validation tested binocularly. (</w:t>
      </w:r>
      <w:r w:rsidR="002D48BF" w:rsidRPr="009D4627">
        <w:rPr>
          <w:b/>
          <w:bCs/>
        </w:rPr>
        <w:t>A</w:t>
      </w:r>
      <w:r w:rsidR="002D48BF" w:rsidRPr="009D4627">
        <w:t>) It should be marked as "OK" to ensure an optimum focus was obtained. The numerical values inside the black rectangle in the middle of the screen are the difference between target positions to the eyes at every validation point, measured in degrees. The difference is known as the gaze-position error. The mean acceptable error should be &lt; 0.5°. (</w:t>
      </w:r>
      <w:r w:rsidR="002D48BF" w:rsidRPr="009D4627">
        <w:rPr>
          <w:b/>
          <w:bCs/>
        </w:rPr>
        <w:t>B</w:t>
      </w:r>
      <w:r w:rsidR="002D48BF" w:rsidRPr="009D4627">
        <w:t>) The maximum acceptable error should be &lt; 1.0°. (</w:t>
      </w:r>
      <w:r w:rsidR="002D48BF" w:rsidRPr="009D4627">
        <w:rPr>
          <w:b/>
          <w:bCs/>
        </w:rPr>
        <w:t>C</w:t>
      </w:r>
      <w:r w:rsidR="002D48BF" w:rsidRPr="009D4627">
        <w:t>) Indicates successful verification and is marked "OK". (</w:t>
      </w:r>
      <w:r w:rsidR="002D48BF" w:rsidRPr="009D4627">
        <w:rPr>
          <w:b/>
          <w:bCs/>
        </w:rPr>
        <w:t>D</w:t>
      </w:r>
      <w:r w:rsidR="002D48BF" w:rsidRPr="009D4627">
        <w:t>) If higher than that value, the validation is marked as "POOR", and recalibration is required</w:t>
      </w:r>
      <w:r w:rsidR="00547D87" w:rsidRPr="009D4627">
        <w:t>.</w:t>
      </w:r>
      <w:bookmarkEnd w:id="146"/>
      <w:r w:rsidR="00547D87" w:rsidRPr="009D4627">
        <w:t xml:space="preserve"> </w:t>
      </w:r>
    </w:p>
    <w:p w14:paraId="3E6E5DA5" w14:textId="77777777" w:rsidR="00BB6062" w:rsidRPr="00BB6062" w:rsidRDefault="00BB6062" w:rsidP="00BB6062">
      <w:pPr>
        <w:rPr>
          <w:lang w:val="en-MY" w:eastAsia="en-MY"/>
        </w:rPr>
      </w:pPr>
    </w:p>
    <w:p w14:paraId="64F82855" w14:textId="272DBA66" w:rsidR="00547D87" w:rsidRPr="009D4627" w:rsidRDefault="00547D87" w:rsidP="00DC4CA6">
      <w:pPr>
        <w:pStyle w:val="Heading3"/>
      </w:pPr>
      <w:bookmarkStart w:id="147" w:name="_Toc98964641"/>
      <w:bookmarkStart w:id="148" w:name="_Toc103344687"/>
      <w:r w:rsidRPr="009D4627">
        <w:lastRenderedPageBreak/>
        <w:t>Drift check</w:t>
      </w:r>
      <w:bookmarkEnd w:id="147"/>
      <w:bookmarkEnd w:id="148"/>
    </w:p>
    <w:p w14:paraId="14BE6968" w14:textId="77777777" w:rsidR="002D48BF" w:rsidRPr="009D4627" w:rsidRDefault="002D48BF" w:rsidP="002D48BF">
      <w:pPr>
        <w:pStyle w:val="Body"/>
      </w:pPr>
      <w:bookmarkStart w:id="149" w:name="_3znysh7" w:colFirst="0" w:colLast="0"/>
      <w:bookmarkStart w:id="150" w:name="_7ibkxu1fpxe8" w:colFirst="0" w:colLast="0"/>
      <w:bookmarkStart w:id="151" w:name="_nnph31xf8o49" w:colFirst="0" w:colLast="0"/>
      <w:bookmarkStart w:id="152" w:name="_voymw426g1ko" w:colFirst="0" w:colLast="0"/>
      <w:bookmarkStart w:id="153" w:name="_bsw7i3zfvyko" w:colFirst="0" w:colLast="0"/>
      <w:bookmarkStart w:id="154" w:name="_vldyqfbelltj" w:colFirst="0" w:colLast="0"/>
      <w:bookmarkEnd w:id="149"/>
      <w:bookmarkEnd w:id="150"/>
      <w:bookmarkEnd w:id="151"/>
      <w:bookmarkEnd w:id="152"/>
      <w:bookmarkEnd w:id="153"/>
      <w:bookmarkEnd w:id="154"/>
      <w:r w:rsidRPr="009D4627">
        <w:rPr>
          <w:rFonts w:eastAsia="Arial Unicode MS"/>
        </w:rPr>
        <w:t>R</w:t>
      </w:r>
      <w:proofErr w:type="spellStart"/>
      <w:r w:rsidRPr="009D4627">
        <w:rPr>
          <w:rFonts w:eastAsia="Arial Unicode MS"/>
          <w:lang w:val="en-US"/>
        </w:rPr>
        <w:t>egular</w:t>
      </w:r>
      <w:proofErr w:type="spellEnd"/>
      <w:r w:rsidRPr="009D4627">
        <w:rPr>
          <w:rFonts w:eastAsia="Arial Unicode MS"/>
          <w:lang w:val="en-US"/>
        </w:rPr>
        <w:t xml:space="preserve"> drift checks were completed to ensure the calibration was valid throughout each EMR examination. The drift checked</w:t>
      </w:r>
      <w:r w:rsidRPr="009D4627">
        <w:rPr>
          <w:rFonts w:eastAsia="Arial Unicode MS"/>
        </w:rPr>
        <w:t xml:space="preserve"> </w:t>
      </w:r>
      <w:r w:rsidRPr="009D4627">
        <w:rPr>
          <w:rFonts w:eastAsia="Arial Unicode MS"/>
          <w:lang w:val="en-US"/>
        </w:rPr>
        <w:t>whether</w:t>
      </w:r>
      <w:r w:rsidRPr="009D4627">
        <w:rPr>
          <w:rFonts w:eastAsia="Arial Unicode MS"/>
        </w:rPr>
        <w:t xml:space="preserve">: </w:t>
      </w:r>
    </w:p>
    <w:p w14:paraId="67DE82A3" w14:textId="77777777" w:rsidR="002D48BF" w:rsidRPr="009D4627" w:rsidRDefault="002D48BF" w:rsidP="00C171FA">
      <w:pPr>
        <w:pStyle w:val="ListParagraph"/>
        <w:numPr>
          <w:ilvl w:val="0"/>
          <w:numId w:val="117"/>
        </w:numPr>
        <w:pBdr>
          <w:top w:val="nil"/>
          <w:left w:val="nil"/>
          <w:bottom w:val="nil"/>
          <w:right w:val="nil"/>
          <w:between w:val="nil"/>
          <w:bar w:val="nil"/>
        </w:pBdr>
        <w:spacing w:before="0" w:line="240" w:lineRule="auto"/>
        <w:contextualSpacing w:val="0"/>
      </w:pPr>
      <w:r w:rsidRPr="009D4627">
        <w:t xml:space="preserve">Fixation occurred before the onset of the target at the PP. </w:t>
      </w:r>
    </w:p>
    <w:p w14:paraId="5E468878" w14:textId="77777777" w:rsidR="002D48BF" w:rsidRPr="009D4627" w:rsidRDefault="002D48BF" w:rsidP="00C171FA">
      <w:pPr>
        <w:pStyle w:val="ListParagraph"/>
        <w:numPr>
          <w:ilvl w:val="0"/>
          <w:numId w:val="117"/>
        </w:numPr>
        <w:pBdr>
          <w:top w:val="nil"/>
          <w:left w:val="nil"/>
          <w:bottom w:val="nil"/>
          <w:right w:val="nil"/>
          <w:between w:val="nil"/>
          <w:bar w:val="nil"/>
        </w:pBdr>
        <w:spacing w:line="240" w:lineRule="auto"/>
        <w:contextualSpacing w:val="0"/>
      </w:pPr>
      <w:r w:rsidRPr="009D4627">
        <w:t>SP occurred before the target appeared at each trial frequency.</w:t>
      </w:r>
    </w:p>
    <w:p w14:paraId="52EE5AF4" w14:textId="77777777" w:rsidR="002D48BF" w:rsidRPr="009D4627" w:rsidRDefault="002D48BF" w:rsidP="00C171FA">
      <w:pPr>
        <w:pStyle w:val="ListParagraph"/>
        <w:numPr>
          <w:ilvl w:val="0"/>
          <w:numId w:val="117"/>
        </w:numPr>
        <w:pBdr>
          <w:top w:val="nil"/>
          <w:left w:val="nil"/>
          <w:bottom w:val="nil"/>
          <w:right w:val="nil"/>
          <w:between w:val="nil"/>
          <w:bar w:val="nil"/>
        </w:pBdr>
        <w:spacing w:line="240" w:lineRule="auto"/>
        <w:contextualSpacing w:val="0"/>
      </w:pPr>
      <w:r w:rsidRPr="009D4627">
        <w:t xml:space="preserve">Saccades occurred following each target presentation. </w:t>
      </w:r>
    </w:p>
    <w:p w14:paraId="186CD899" w14:textId="608BA111" w:rsidR="00547D87" w:rsidRPr="009D4627" w:rsidRDefault="002D48BF" w:rsidP="002D48BF">
      <w:r w:rsidRPr="009D4627">
        <w:rPr>
          <w:rFonts w:eastAsia="Arial Unicode MS"/>
          <w:lang w:val="en-US"/>
        </w:rPr>
        <w:t>If the drift checks revealed a significant error for either eye (average error of &gt;</w:t>
      </w:r>
      <w:r w:rsidRPr="009D4627">
        <w:rPr>
          <w:rFonts w:eastAsia="Arial Unicode MS"/>
        </w:rPr>
        <w:t>0.5</w:t>
      </w:r>
      <w:r w:rsidRPr="00E82E69">
        <w:rPr>
          <w:rFonts w:eastAsia="Arial Unicode MS"/>
        </w:rPr>
        <w:t>°</w:t>
      </w:r>
      <w:r w:rsidRPr="009D4627">
        <w:rPr>
          <w:rFonts w:eastAsia="Arial Unicode MS"/>
          <w:lang w:val="en-US"/>
        </w:rPr>
        <w:t xml:space="preserve"> or maximum error of &gt;</w:t>
      </w:r>
      <w:r w:rsidRPr="009D4627">
        <w:rPr>
          <w:rFonts w:eastAsia="Arial Unicode MS"/>
        </w:rPr>
        <w:t>1.0</w:t>
      </w:r>
      <w:r w:rsidRPr="00E82E69">
        <w:rPr>
          <w:rFonts w:eastAsia="Arial Unicode MS"/>
        </w:rPr>
        <w:t>°</w:t>
      </w:r>
      <w:r w:rsidRPr="009D4627">
        <w:rPr>
          <w:rFonts w:eastAsia="Arial Unicode MS"/>
          <w:lang w:val="en-US"/>
        </w:rPr>
        <w:t xml:space="preserve">), a recalibration process was required to re-track the corneal-pupil location </w:t>
      </w:r>
      <w:r w:rsidR="00EC745C" w:rsidRPr="009D4627">
        <w:rPr>
          <w:rFonts w:eastAsia="Arial Unicode MS"/>
          <w:lang w:val="en-US"/>
        </w:rPr>
        <w:t>relative to</w:t>
      </w:r>
      <w:r w:rsidRPr="009D4627">
        <w:rPr>
          <w:rFonts w:eastAsia="Arial Unicode MS"/>
          <w:lang w:val="en-US"/>
        </w:rPr>
        <w:t xml:space="preserve"> the target position</w:t>
      </w:r>
      <w:r w:rsidR="00547D87" w:rsidRPr="009D4627">
        <w:t>.</w:t>
      </w:r>
    </w:p>
    <w:p w14:paraId="74D68375" w14:textId="78A3CF3E" w:rsidR="00547D87" w:rsidRPr="009D4627" w:rsidRDefault="00547D87" w:rsidP="00DC4CA6">
      <w:pPr>
        <w:pStyle w:val="Heading3"/>
      </w:pPr>
      <w:bookmarkStart w:id="155" w:name="_Toc98964642"/>
      <w:bookmarkStart w:id="156" w:name="_Toc103344688"/>
      <w:r w:rsidRPr="009D4627">
        <w:t>Target</w:t>
      </w:r>
      <w:bookmarkEnd w:id="155"/>
      <w:bookmarkEnd w:id="156"/>
    </w:p>
    <w:p w14:paraId="7B6023B4" w14:textId="564534D8" w:rsidR="00547D87" w:rsidRPr="009D4627" w:rsidRDefault="002D48BF" w:rsidP="00390EBC">
      <w:r w:rsidRPr="009D4627">
        <w:rPr>
          <w:rFonts w:eastAsia="Arial Unicode MS"/>
          <w:lang w:val="en-US"/>
        </w:rPr>
        <w:t xml:space="preserve">The target presented for all experiments within the study was a black cross with a white square in the </w:t>
      </w:r>
      <w:proofErr w:type="spellStart"/>
      <w:r w:rsidRPr="009D4627">
        <w:rPr>
          <w:rFonts w:eastAsia="Arial Unicode MS"/>
          <w:lang w:val="en-US"/>
        </w:rPr>
        <w:t>centre</w:t>
      </w:r>
      <w:proofErr w:type="spellEnd"/>
      <w:r w:rsidRPr="009D4627">
        <w:rPr>
          <w:rFonts w:eastAsia="Arial Unicode MS"/>
          <w:lang w:val="en-US"/>
        </w:rPr>
        <w:t xml:space="preserve"> (Figure 2.5). Three sizes were available and selected based on the participant's visual acuity (VA). The participant was required to fixate precisely at the white square in the middle of the black cross throughout the EMR tests.  The central fixation white square in the 0.5</w:t>
      </w:r>
      <w:r w:rsidRPr="00E82E69">
        <w:rPr>
          <w:rFonts w:eastAsia="Arial Unicode MS"/>
        </w:rPr>
        <w:t>°</w:t>
      </w:r>
      <w:r w:rsidRPr="009D4627">
        <w:rPr>
          <w:rFonts w:eastAsia="Arial Unicode MS"/>
        </w:rPr>
        <w:t>, 1.0</w:t>
      </w:r>
      <w:r w:rsidRPr="00E82E69">
        <w:rPr>
          <w:rFonts w:eastAsia="Arial Unicode MS"/>
        </w:rPr>
        <w:t>°</w:t>
      </w:r>
      <w:r w:rsidRPr="009D4627">
        <w:rPr>
          <w:rFonts w:eastAsia="Arial Unicode MS"/>
          <w:lang w:val="en-US"/>
        </w:rPr>
        <w:t>, and 2.0</w:t>
      </w:r>
      <w:r w:rsidRPr="00E82E69">
        <w:rPr>
          <w:rFonts w:eastAsia="Arial Unicode MS"/>
        </w:rPr>
        <w:t xml:space="preserve">° </w:t>
      </w:r>
      <w:r w:rsidRPr="009D4627">
        <w:rPr>
          <w:rFonts w:eastAsia="Arial Unicode MS"/>
          <w:lang w:val="en-US"/>
        </w:rPr>
        <w:t>black cross subtended a visual angle of 0.03</w:t>
      </w:r>
      <w:r w:rsidRPr="00E82E69">
        <w:rPr>
          <w:rFonts w:eastAsia="Arial Unicode MS"/>
        </w:rPr>
        <w:t>°</w:t>
      </w:r>
      <w:r w:rsidRPr="009D4627">
        <w:rPr>
          <w:rFonts w:eastAsia="Arial Unicode MS"/>
        </w:rPr>
        <w:t>, 0.09</w:t>
      </w:r>
      <w:r w:rsidRPr="00E82E69">
        <w:rPr>
          <w:rFonts w:eastAsia="Arial Unicode MS"/>
        </w:rPr>
        <w:t>°</w:t>
      </w:r>
      <w:r w:rsidRPr="009D4627">
        <w:rPr>
          <w:rFonts w:eastAsia="Arial Unicode MS"/>
          <w:lang w:val="en-US"/>
        </w:rPr>
        <w:t>, and 0.10</w:t>
      </w:r>
      <w:r w:rsidRPr="00E82E69">
        <w:rPr>
          <w:rFonts w:eastAsia="Arial Unicode MS"/>
        </w:rPr>
        <w:t>°</w:t>
      </w:r>
      <w:r w:rsidRPr="009D4627">
        <w:rPr>
          <w:rFonts w:eastAsia="Arial Unicode MS"/>
          <w:lang w:val="en-US"/>
        </w:rPr>
        <w:t>, respectively. The length of the white square sides was manually measured by two examiners using a ruler to avoid measurement errors</w:t>
      </w:r>
      <w:r w:rsidR="00547D87" w:rsidRPr="009D4627">
        <w:t xml:space="preserve">. </w:t>
      </w:r>
    </w:p>
    <w:p w14:paraId="380913B1" w14:textId="4F45433E" w:rsidR="00C95CDC" w:rsidRPr="009D4627" w:rsidRDefault="00C95CDC" w:rsidP="00390EBC"/>
    <w:tbl>
      <w:tblPr>
        <w:tblW w:w="8931" w:type="dxa"/>
        <w:jc w:val="center"/>
        <w:tblBorders>
          <w:top w:val="single" w:sz="4" w:space="0" w:color="auto"/>
          <w:left w:val="single" w:sz="4" w:space="0" w:color="auto"/>
          <w:bottom w:val="single" w:sz="4" w:space="0" w:color="auto"/>
          <w:right w:val="single" w:sz="4" w:space="0" w:color="auto"/>
        </w:tblBorders>
        <w:tblLayout w:type="fixed"/>
        <w:tblLook w:val="0600" w:firstRow="0" w:lastRow="0" w:firstColumn="0" w:lastColumn="0" w:noHBand="1" w:noVBand="1"/>
      </w:tblPr>
      <w:tblGrid>
        <w:gridCol w:w="5944"/>
        <w:gridCol w:w="2987"/>
      </w:tblGrid>
      <w:tr w:rsidR="000D2571" w:rsidRPr="009D4627" w14:paraId="01CB6F4A" w14:textId="77777777" w:rsidTr="000D2571">
        <w:trPr>
          <w:trHeight w:val="2606"/>
          <w:jc w:val="center"/>
        </w:trPr>
        <w:tc>
          <w:tcPr>
            <w:tcW w:w="5944" w:type="dxa"/>
            <w:tcBorders>
              <w:top w:val="single" w:sz="4" w:space="0" w:color="auto"/>
              <w:left w:val="nil"/>
              <w:bottom w:val="single" w:sz="4" w:space="0" w:color="auto"/>
              <w:right w:val="nil"/>
            </w:tcBorders>
            <w:tcMar>
              <w:top w:w="100" w:type="dxa"/>
              <w:left w:w="100" w:type="dxa"/>
              <w:bottom w:w="100" w:type="dxa"/>
              <w:right w:w="100" w:type="dxa"/>
            </w:tcMar>
          </w:tcPr>
          <w:p w14:paraId="197B2968" w14:textId="44313F25" w:rsidR="000D2571" w:rsidRPr="009D4627" w:rsidRDefault="00A2792E" w:rsidP="000D2571">
            <w:pPr>
              <w:spacing w:before="0" w:after="0" w:line="240" w:lineRule="auto"/>
            </w:pPr>
            <w:r w:rsidRPr="009D4627">
              <w:rPr>
                <w:noProof/>
              </w:rPr>
              <w:lastRenderedPageBreak/>
              <mc:AlternateContent>
                <mc:Choice Requires="wpg">
                  <w:drawing>
                    <wp:anchor distT="0" distB="0" distL="114300" distR="114300" simplePos="0" relativeHeight="251671552" behindDoc="1" locked="0" layoutInCell="1" allowOverlap="1" wp14:anchorId="47BE93B6" wp14:editId="1853884B">
                      <wp:simplePos x="0" y="0"/>
                      <wp:positionH relativeFrom="column">
                        <wp:posOffset>0</wp:posOffset>
                      </wp:positionH>
                      <wp:positionV relativeFrom="paragraph">
                        <wp:posOffset>24130</wp:posOffset>
                      </wp:positionV>
                      <wp:extent cx="3044825" cy="1509395"/>
                      <wp:effectExtent l="19050" t="0" r="0" b="0"/>
                      <wp:wrapTight wrapText="bothSides">
                        <wp:wrapPolygon edited="0">
                          <wp:start x="11352" y="0"/>
                          <wp:lineTo x="11352" y="3271"/>
                          <wp:lineTo x="11892" y="4362"/>
                          <wp:lineTo x="13514" y="4362"/>
                          <wp:lineTo x="7162" y="8451"/>
                          <wp:lineTo x="-135" y="10359"/>
                          <wp:lineTo x="-135" y="14176"/>
                          <wp:lineTo x="2297" y="17447"/>
                          <wp:lineTo x="2297" y="18810"/>
                          <wp:lineTo x="11082" y="21536"/>
                          <wp:lineTo x="15001" y="21536"/>
                          <wp:lineTo x="17703" y="21536"/>
                          <wp:lineTo x="18109" y="21536"/>
                          <wp:lineTo x="20541" y="17992"/>
                          <wp:lineTo x="20541" y="17447"/>
                          <wp:lineTo x="21217" y="13358"/>
                          <wp:lineTo x="20947" y="8724"/>
                          <wp:lineTo x="19325" y="4634"/>
                          <wp:lineTo x="20947" y="4362"/>
                          <wp:lineTo x="21487" y="3271"/>
                          <wp:lineTo x="21487" y="0"/>
                          <wp:lineTo x="11352" y="0"/>
                        </wp:wrapPolygon>
                      </wp:wrapTight>
                      <wp:docPr id="24244" name="Group 24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4825" cy="1509395"/>
                                <a:chOff x="-1333" y="-571"/>
                                <a:chExt cx="30621" cy="15795"/>
                              </a:xfrm>
                            </wpg:grpSpPr>
                            <wpg:grpSp>
                              <wpg:cNvPr id="24245" name="Group 382"/>
                              <wpg:cNvGrpSpPr>
                                <a:grpSpLocks/>
                              </wpg:cNvGrpSpPr>
                              <wpg:grpSpPr bwMode="auto">
                                <a:xfrm>
                                  <a:off x="15146" y="-571"/>
                                  <a:ext cx="14142" cy="15795"/>
                                  <a:chOff x="478" y="-571"/>
                                  <a:chExt cx="14141" cy="15795"/>
                                </a:xfrm>
                              </wpg:grpSpPr>
                              <wpg:grpSp>
                                <wpg:cNvPr id="24246" name="Group 368"/>
                                <wpg:cNvGrpSpPr>
                                  <a:grpSpLocks/>
                                </wpg:cNvGrpSpPr>
                                <wpg:grpSpPr bwMode="auto">
                                  <a:xfrm>
                                    <a:off x="670" y="1667"/>
                                    <a:ext cx="13033" cy="13557"/>
                                    <a:chOff x="670" y="1096"/>
                                    <a:chExt cx="13032" cy="13556"/>
                                  </a:xfrm>
                                </wpg:grpSpPr>
                                <wpg:grpSp>
                                  <wpg:cNvPr id="24247" name="Group 369"/>
                                  <wpg:cNvGrpSpPr>
                                    <a:grpSpLocks/>
                                  </wpg:cNvGrpSpPr>
                                  <wpg:grpSpPr bwMode="auto">
                                    <a:xfrm>
                                      <a:off x="1619" y="2095"/>
                                      <a:ext cx="11430" cy="11525"/>
                                      <a:chOff x="0" y="-95"/>
                                      <a:chExt cx="11430" cy="11525"/>
                                    </a:xfrm>
                                  </wpg:grpSpPr>
                                  <wpg:grpSp>
                                    <wpg:cNvPr id="24248" name="Group 370"/>
                                    <wpg:cNvGrpSpPr>
                                      <a:grpSpLocks/>
                                    </wpg:cNvGrpSpPr>
                                    <wpg:grpSpPr bwMode="auto">
                                      <a:xfrm>
                                        <a:off x="0" y="0"/>
                                        <a:ext cx="11430" cy="11430"/>
                                        <a:chOff x="0" y="0"/>
                                        <a:chExt cx="11430" cy="11430"/>
                                      </a:xfrm>
                                    </wpg:grpSpPr>
                                    <wps:wsp>
                                      <wps:cNvPr id="24249" name="Rectangle 371"/>
                                      <wps:cNvSpPr>
                                        <a:spLocks noChangeArrowheads="1"/>
                                      </wps:cNvSpPr>
                                      <wps:spPr bwMode="auto">
                                        <a:xfrm>
                                          <a:off x="0" y="3905"/>
                                          <a:ext cx="11430" cy="4095"/>
                                        </a:xfrm>
                                        <a:prstGeom prst="rect">
                                          <a:avLst/>
                                        </a:prstGeom>
                                        <a:solidFill>
                                          <a:schemeClr val="tx1">
                                            <a:lumMod val="100000"/>
                                            <a:lumOff val="0"/>
                                          </a:schemeClr>
                                        </a:solidFill>
                                        <a:ln>
                                          <a:noFill/>
                                        </a:ln>
                                      </wps:spPr>
                                      <wps:bodyPr rot="0" vert="horz" wrap="square" lIns="91440" tIns="45720" rIns="91440" bIns="45720" anchor="ctr" anchorCtr="0" upright="1">
                                        <a:noAutofit/>
                                      </wps:bodyPr>
                                    </wps:wsp>
                                    <wps:wsp>
                                      <wps:cNvPr id="24250" name="Rectangle 372"/>
                                      <wps:cNvSpPr>
                                        <a:spLocks noChangeArrowheads="1"/>
                                      </wps:cNvSpPr>
                                      <wps:spPr bwMode="auto">
                                        <a:xfrm rot="5400000">
                                          <a:off x="-48" y="3667"/>
                                          <a:ext cx="11430" cy="4096"/>
                                        </a:xfrm>
                                        <a:prstGeom prst="rect">
                                          <a:avLst/>
                                        </a:prstGeom>
                                        <a:solidFill>
                                          <a:schemeClr val="tx1">
                                            <a:lumMod val="100000"/>
                                            <a:lumOff val="0"/>
                                          </a:schemeClr>
                                        </a:solidFill>
                                        <a:ln>
                                          <a:noFill/>
                                        </a:ln>
                                      </wps:spPr>
                                      <wps:bodyPr rot="0" vert="horz" wrap="square" lIns="91440" tIns="45720" rIns="91440" bIns="45720" anchor="ctr" anchorCtr="0" upright="1">
                                        <a:noAutofit/>
                                      </wps:bodyPr>
                                    </wps:wsp>
                                    <wps:wsp>
                                      <wps:cNvPr id="24251" name="Rectangle 373"/>
                                      <wps:cNvSpPr>
                                        <a:spLocks noChangeArrowheads="1"/>
                                      </wps:cNvSpPr>
                                      <wps:spPr bwMode="auto">
                                        <a:xfrm>
                                          <a:off x="3619" y="3905"/>
                                          <a:ext cx="4001" cy="3905"/>
                                        </a:xfrm>
                                        <a:prstGeom prst="rect">
                                          <a:avLst/>
                                        </a:prstGeom>
                                        <a:solidFill>
                                          <a:schemeClr val="bg1">
                                            <a:lumMod val="100000"/>
                                            <a:lumOff val="0"/>
                                          </a:schemeClr>
                                        </a:solidFill>
                                        <a:ln w="6350">
                                          <a:solidFill>
                                            <a:schemeClr val="bg1">
                                              <a:lumMod val="100000"/>
                                              <a:lumOff val="0"/>
                                            </a:schemeClr>
                                          </a:solidFill>
                                          <a:miter lim="800000"/>
                                          <a:headEnd/>
                                          <a:tailEnd/>
                                        </a:ln>
                                      </wps:spPr>
                                      <wps:bodyPr rot="0" vert="horz" wrap="square" lIns="91440" tIns="45720" rIns="91440" bIns="45720" anchor="ctr" anchorCtr="0" upright="1">
                                        <a:noAutofit/>
                                      </wps:bodyPr>
                                    </wps:wsp>
                                  </wpg:grpSp>
                                  <wpg:grpSp>
                                    <wpg:cNvPr id="24252" name="Group 374"/>
                                    <wpg:cNvGrpSpPr>
                                      <a:grpSpLocks/>
                                    </wpg:cNvGrpSpPr>
                                    <wpg:grpSpPr bwMode="auto">
                                      <a:xfrm>
                                        <a:off x="0" y="4095"/>
                                        <a:ext cx="4000" cy="3715"/>
                                        <a:chOff x="-85725" y="0"/>
                                        <a:chExt cx="400050" cy="371475"/>
                                      </a:xfrm>
                                    </wpg:grpSpPr>
                                    <wps:wsp>
                                      <wps:cNvPr id="24253" name="Right Brace 375"/>
                                      <wps:cNvSpPr>
                                        <a:spLocks/>
                                      </wps:cNvSpPr>
                                      <wps:spPr bwMode="auto">
                                        <a:xfrm rot="10800000">
                                          <a:off x="152400" y="0"/>
                                          <a:ext cx="161925" cy="371475"/>
                                        </a:xfrm>
                                        <a:prstGeom prst="rightBrace">
                                          <a:avLst>
                                            <a:gd name="adj1" fmla="val 8337"/>
                                            <a:gd name="adj2" fmla="val 50000"/>
                                          </a:avLst>
                                        </a:prstGeom>
                                        <a:noFill/>
                                        <a:ln w="19050">
                                          <a:solidFill>
                                            <a:srgbClr val="FFFF00"/>
                                          </a:solidFill>
                                          <a:miter lim="800000"/>
                                          <a:headEnd/>
                                          <a:tailEnd/>
                                        </a:ln>
                                      </wps:spPr>
                                      <wps:bodyPr rot="0" vert="horz" wrap="square" lIns="91440" tIns="45720" rIns="91440" bIns="45720" anchor="ctr" anchorCtr="0" upright="1">
                                        <a:noAutofit/>
                                      </wps:bodyPr>
                                    </wps:wsp>
                                    <wps:wsp>
                                      <wps:cNvPr id="24254" name="Rectangle 376"/>
                                      <wps:cNvSpPr>
                                        <a:spLocks noChangeArrowheads="1"/>
                                      </wps:cNvSpPr>
                                      <wps:spPr bwMode="auto">
                                        <a:xfrm>
                                          <a:off x="-85725" y="104775"/>
                                          <a:ext cx="219075" cy="190500"/>
                                        </a:xfrm>
                                        <a:prstGeom prst="rect">
                                          <a:avLst/>
                                        </a:prstGeom>
                                        <a:noFill/>
                                        <a:ln>
                                          <a:noFill/>
                                        </a:ln>
                                      </wps:spPr>
                                      <wps:txbx>
                                        <w:txbxContent>
                                          <w:p w14:paraId="015B4393"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C</w:t>
                                            </w:r>
                                            <w:r w:rsidRPr="00A4565A">
                                              <w:rPr>
                                                <w:color w:val="FFFFFF" w:themeColor="background1"/>
                                                <w:vertAlign w:val="subscript"/>
                                                <w:lang w:val="en-US"/>
                                              </w:rPr>
                                              <w:t>1</w:t>
                                            </w:r>
                                          </w:p>
                                        </w:txbxContent>
                                      </wps:txbx>
                                      <wps:bodyPr rot="0" vert="horz" wrap="square" lIns="0" tIns="0" rIns="0" bIns="0" anchor="ctr" anchorCtr="0" upright="1">
                                        <a:noAutofit/>
                                      </wps:bodyPr>
                                    </wps:wsp>
                                  </wpg:grpSp>
                                  <wpg:grpSp>
                                    <wpg:cNvPr id="24255" name="Group 377"/>
                                    <wpg:cNvGrpSpPr>
                                      <a:grpSpLocks/>
                                    </wpg:cNvGrpSpPr>
                                    <wpg:grpSpPr bwMode="auto">
                                      <a:xfrm rot="5400000">
                                        <a:off x="3548" y="24"/>
                                        <a:ext cx="3952" cy="3714"/>
                                        <a:chOff x="-80965" y="-9525"/>
                                        <a:chExt cx="395290" cy="371475"/>
                                      </a:xfrm>
                                    </wpg:grpSpPr>
                                    <wps:wsp>
                                      <wps:cNvPr id="24256" name="Right Brace 378"/>
                                      <wps:cNvSpPr>
                                        <a:spLocks/>
                                      </wps:cNvSpPr>
                                      <wps:spPr bwMode="auto">
                                        <a:xfrm rot="10800000">
                                          <a:off x="152400" y="-9525"/>
                                          <a:ext cx="161925" cy="371475"/>
                                        </a:xfrm>
                                        <a:prstGeom prst="rightBrace">
                                          <a:avLst>
                                            <a:gd name="adj1" fmla="val 8337"/>
                                            <a:gd name="adj2" fmla="val 50000"/>
                                          </a:avLst>
                                        </a:prstGeom>
                                        <a:noFill/>
                                        <a:ln w="19050">
                                          <a:solidFill>
                                            <a:srgbClr val="FFFF00"/>
                                          </a:solidFill>
                                          <a:miter lim="800000"/>
                                          <a:headEnd/>
                                          <a:tailEnd/>
                                        </a:ln>
                                      </wps:spPr>
                                      <wps:bodyPr rot="0" vert="horz" wrap="square" lIns="91440" tIns="45720" rIns="91440" bIns="45720" anchor="ctr" anchorCtr="0" upright="1">
                                        <a:noAutofit/>
                                      </wps:bodyPr>
                                    </wps:wsp>
                                    <wps:wsp>
                                      <wps:cNvPr id="24257" name="Rectangle 379"/>
                                      <wps:cNvSpPr>
                                        <a:spLocks noChangeArrowheads="1"/>
                                      </wps:cNvSpPr>
                                      <wps:spPr bwMode="auto">
                                        <a:xfrm rot="-5400000">
                                          <a:off x="-109538" y="61911"/>
                                          <a:ext cx="247650" cy="190503"/>
                                        </a:xfrm>
                                        <a:prstGeom prst="rect">
                                          <a:avLst/>
                                        </a:prstGeom>
                                        <a:noFill/>
                                        <a:ln>
                                          <a:noFill/>
                                        </a:ln>
                                      </wps:spPr>
                                      <wps:txbx>
                                        <w:txbxContent>
                                          <w:p w14:paraId="253C0DC2"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D</w:t>
                                            </w:r>
                                            <w:r w:rsidRPr="00A4565A">
                                              <w:rPr>
                                                <w:color w:val="FFFFFF" w:themeColor="background1"/>
                                                <w:vertAlign w:val="subscript"/>
                                                <w:lang w:val="en-US"/>
                                              </w:rPr>
                                              <w:t>1</w:t>
                                            </w:r>
                                          </w:p>
                                        </w:txbxContent>
                                      </wps:txbx>
                                      <wps:bodyPr rot="0" vert="horz" wrap="square" lIns="0" tIns="0" rIns="0" bIns="0" anchor="ctr" anchorCtr="0" upright="1">
                                        <a:noAutofit/>
                                      </wps:bodyPr>
                                    </wps:wsp>
                                  </wpg:grpSp>
                                </wpg:grpSp>
                                <wps:wsp>
                                  <wps:cNvPr id="24258" name="Oval 380"/>
                                  <wps:cNvSpPr>
                                    <a:spLocks noChangeArrowheads="1"/>
                                  </wps:cNvSpPr>
                                  <wps:spPr bwMode="auto">
                                    <a:xfrm>
                                      <a:off x="670" y="1096"/>
                                      <a:ext cx="13033" cy="13556"/>
                                    </a:xfrm>
                                    <a:prstGeom prst="ellipse">
                                      <a:avLst/>
                                    </a:prstGeom>
                                    <a:noFill/>
                                    <a:ln w="6350">
                                      <a:solidFill>
                                        <a:schemeClr val="accent1">
                                          <a:lumMod val="100000"/>
                                          <a:lumOff val="0"/>
                                        </a:schemeClr>
                                      </a:solidFill>
                                      <a:miter lim="800000"/>
                                      <a:headEnd/>
                                      <a:tailEnd/>
                                    </a:ln>
                                  </wps:spPr>
                                  <wps:bodyPr rot="0" vert="horz" wrap="square" lIns="91440" tIns="45720" rIns="91440" bIns="45720" anchor="ctr" anchorCtr="0" upright="1">
                                    <a:noAutofit/>
                                  </wps:bodyPr>
                                </wps:wsp>
                              </wpg:grpSp>
                              <wps:wsp>
                                <wps:cNvPr id="24259" name="Text Box 1758"/>
                                <wps:cNvSpPr txBox="1">
                                  <a:spLocks noChangeArrowheads="1"/>
                                </wps:cNvSpPr>
                                <wps:spPr bwMode="auto">
                                  <a:xfrm>
                                    <a:off x="478" y="-571"/>
                                    <a:ext cx="14141" cy="2571"/>
                                  </a:xfrm>
                                  <a:prstGeom prst="rect">
                                    <a:avLst/>
                                  </a:prstGeom>
                                  <a:solidFill>
                                    <a:srgbClr val="66FFFF"/>
                                  </a:solidFill>
                                  <a:ln>
                                    <a:noFill/>
                                  </a:ln>
                                </wps:spPr>
                                <wps:txbx>
                                  <w:txbxContent>
                                    <w:p w14:paraId="0BE89D87" w14:textId="77777777" w:rsidR="00527127" w:rsidRPr="0060470C" w:rsidRDefault="00527127" w:rsidP="000D2571">
                                      <w:pPr>
                                        <w:spacing w:before="0" w:after="0"/>
                                        <w:jc w:val="center"/>
                                        <w:rPr>
                                          <w:sz w:val="20"/>
                                          <w:szCs w:val="20"/>
                                        </w:rPr>
                                      </w:pPr>
                                      <w:r>
                                        <w:t>Image magnification</w:t>
                                      </w:r>
                                    </w:p>
                                  </w:txbxContent>
                                </wps:txbx>
                                <wps:bodyPr rot="0" vert="horz" wrap="square" lIns="0" tIns="0" rIns="0" bIns="0" anchor="t" anchorCtr="0" upright="1">
                                  <a:noAutofit/>
                                </wps:bodyPr>
                              </wps:wsp>
                            </wpg:grpSp>
                            <wpg:grpSp>
                              <wpg:cNvPr id="24260" name="Group 425"/>
                              <wpg:cNvGrpSpPr>
                                <a:grpSpLocks/>
                              </wpg:cNvGrpSpPr>
                              <wpg:grpSpPr bwMode="auto">
                                <a:xfrm>
                                  <a:off x="-1333" y="6858"/>
                                  <a:ext cx="6015" cy="6191"/>
                                  <a:chOff x="-1333" y="0"/>
                                  <a:chExt cx="6015" cy="6191"/>
                                </a:xfrm>
                              </wpg:grpSpPr>
                              <pic:pic xmlns:pic="http://schemas.openxmlformats.org/drawingml/2006/picture">
                                <pic:nvPicPr>
                                  <pic:cNvPr id="24261" name="Picture 29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24" y="0"/>
                                    <a:ext cx="2858" cy="2857"/>
                                  </a:xfrm>
                                  <a:prstGeom prst="rect">
                                    <a:avLst/>
                                  </a:prstGeom>
                                  <a:noFill/>
                                </pic:spPr>
                              </pic:pic>
                              <wpg:grpSp>
                                <wpg:cNvPr id="24262" name="Group 387"/>
                                <wpg:cNvGrpSpPr>
                                  <a:grpSpLocks/>
                                </wpg:cNvGrpSpPr>
                                <wpg:grpSpPr bwMode="auto">
                                  <a:xfrm>
                                    <a:off x="1920" y="3064"/>
                                    <a:ext cx="2667" cy="3127"/>
                                    <a:chOff x="0" y="476"/>
                                    <a:chExt cx="11334" cy="3057"/>
                                  </a:xfrm>
                                </wpg:grpSpPr>
                                <wps:wsp>
                                  <wps:cNvPr id="24263" name="Straight Connector 388"/>
                                  <wps:cNvCnPr>
                                    <a:cxnSpLocks noChangeShapeType="1"/>
                                  </wps:cNvCnPr>
                                  <wps:spPr bwMode="auto">
                                    <a:xfrm rot="-5400000">
                                      <a:off x="5667" y="-4524"/>
                                      <a:ext cx="0" cy="11334"/>
                                    </a:xfrm>
                                    <a:prstGeom prst="line">
                                      <a:avLst/>
                                    </a:prstGeom>
                                    <a:noFill/>
                                    <a:ln w="19050">
                                      <a:solidFill>
                                        <a:srgbClr val="7030A0"/>
                                      </a:solidFill>
                                      <a:miter lim="800000"/>
                                      <a:headEnd/>
                                      <a:tailEnd/>
                                    </a:ln>
                                  </wps:spPr>
                                  <wps:bodyPr/>
                                </wps:wsp>
                                <wps:wsp>
                                  <wps:cNvPr id="24264" name="Rectangle 389"/>
                                  <wps:cNvSpPr>
                                    <a:spLocks noChangeArrowheads="1"/>
                                  </wps:cNvSpPr>
                                  <wps:spPr bwMode="auto">
                                    <a:xfrm>
                                      <a:off x="1722" y="925"/>
                                      <a:ext cx="8342" cy="2609"/>
                                    </a:xfrm>
                                    <a:prstGeom prst="rect">
                                      <a:avLst/>
                                    </a:prstGeom>
                                    <a:noFill/>
                                    <a:ln>
                                      <a:noFill/>
                                    </a:ln>
                                  </wps:spPr>
                                  <wps:txbx>
                                    <w:txbxContent>
                                      <w:p w14:paraId="75EFFF0C" w14:textId="77777777" w:rsidR="00527127" w:rsidRPr="00461265" w:rsidRDefault="00527127" w:rsidP="000D2571">
                                        <w:pPr>
                                          <w:spacing w:before="0" w:line="240" w:lineRule="auto"/>
                                          <w:rPr>
                                            <w:vertAlign w:val="subscript"/>
                                          </w:rPr>
                                        </w:pPr>
                                        <w:r w:rsidRPr="00820EA9">
                                          <w:t>B</w:t>
                                        </w:r>
                                        <w:r>
                                          <w:rPr>
                                            <w:vertAlign w:val="subscript"/>
                                          </w:rPr>
                                          <w:t>1</w:t>
                                        </w:r>
                                      </w:p>
                                    </w:txbxContent>
                                  </wps:txbx>
                                  <wps:bodyPr rot="0" vert="horz" wrap="square" lIns="0" tIns="0" rIns="0" bIns="0" anchor="ctr" anchorCtr="0" upright="1">
                                    <a:noAutofit/>
                                  </wps:bodyPr>
                                </wps:wsp>
                                <wps:wsp>
                                  <wps:cNvPr id="24265" name="Straight Connector 390"/>
                                  <wps:cNvCnPr>
                                    <a:cxnSpLocks noChangeShapeType="1"/>
                                  </wps:cNvCnPr>
                                  <wps:spPr bwMode="auto">
                                    <a:xfrm rot="5400000">
                                      <a:off x="-667" y="1143"/>
                                      <a:ext cx="1333" cy="0"/>
                                    </a:xfrm>
                                    <a:prstGeom prst="line">
                                      <a:avLst/>
                                    </a:prstGeom>
                                    <a:noFill/>
                                    <a:ln w="19050">
                                      <a:solidFill>
                                        <a:srgbClr val="7030A0"/>
                                      </a:solidFill>
                                      <a:miter lim="800000"/>
                                      <a:headEnd/>
                                      <a:tailEnd/>
                                    </a:ln>
                                  </wps:spPr>
                                  <wps:bodyPr/>
                                </wps:wsp>
                                <wps:wsp>
                                  <wps:cNvPr id="24266" name="Straight Connector 391"/>
                                  <wps:cNvCnPr>
                                    <a:cxnSpLocks noChangeShapeType="1"/>
                                  </wps:cNvCnPr>
                                  <wps:spPr bwMode="auto">
                                    <a:xfrm rot="5400000">
                                      <a:off x="10667" y="1143"/>
                                      <a:ext cx="1333" cy="0"/>
                                    </a:xfrm>
                                    <a:prstGeom prst="line">
                                      <a:avLst/>
                                    </a:prstGeom>
                                    <a:noFill/>
                                    <a:ln w="19050">
                                      <a:solidFill>
                                        <a:srgbClr val="7030A0"/>
                                      </a:solidFill>
                                      <a:miter lim="800000"/>
                                      <a:headEnd/>
                                      <a:tailEnd/>
                                    </a:ln>
                                  </wps:spPr>
                                  <wps:bodyPr/>
                                </wps:wsp>
                              </wpg:grpSp>
                              <wpg:grpSp>
                                <wpg:cNvPr id="24267" name="Group 420"/>
                                <wpg:cNvGrpSpPr>
                                  <a:grpSpLocks/>
                                </wpg:cNvGrpSpPr>
                                <wpg:grpSpPr bwMode="auto">
                                  <a:xfrm rot="5400000">
                                    <a:off x="-1359" y="136"/>
                                    <a:ext cx="2747" cy="2696"/>
                                    <a:chOff x="0" y="476"/>
                                    <a:chExt cx="11675" cy="2637"/>
                                  </a:xfrm>
                                </wpg:grpSpPr>
                                <wps:wsp>
                                  <wps:cNvPr id="24268" name="Straight Connector 421"/>
                                  <wps:cNvCnPr>
                                    <a:cxnSpLocks noChangeShapeType="1"/>
                                  </wps:cNvCnPr>
                                  <wps:spPr bwMode="auto">
                                    <a:xfrm rot="-5400000">
                                      <a:off x="5667" y="-4524"/>
                                      <a:ext cx="0" cy="11334"/>
                                    </a:xfrm>
                                    <a:prstGeom prst="line">
                                      <a:avLst/>
                                    </a:prstGeom>
                                    <a:noFill/>
                                    <a:ln w="19050">
                                      <a:solidFill>
                                        <a:srgbClr val="7030A0"/>
                                      </a:solidFill>
                                      <a:miter lim="800000"/>
                                      <a:headEnd/>
                                      <a:tailEnd/>
                                    </a:ln>
                                  </wps:spPr>
                                  <wps:bodyPr/>
                                </wps:wsp>
                                <wps:wsp>
                                  <wps:cNvPr id="24269" name="Rectangle 422"/>
                                  <wps:cNvSpPr>
                                    <a:spLocks noChangeArrowheads="1"/>
                                  </wps:cNvSpPr>
                                  <wps:spPr bwMode="auto">
                                    <a:xfrm rot="-5400000">
                                      <a:off x="5635" y="-2927"/>
                                      <a:ext cx="2515" cy="9565"/>
                                    </a:xfrm>
                                    <a:prstGeom prst="rect">
                                      <a:avLst/>
                                    </a:prstGeom>
                                    <a:noFill/>
                                    <a:ln>
                                      <a:noFill/>
                                    </a:ln>
                                  </wps:spPr>
                                  <wps:txbx>
                                    <w:txbxContent>
                                      <w:p w14:paraId="13185DFE" w14:textId="77777777" w:rsidR="00527127" w:rsidRPr="00461265" w:rsidRDefault="00527127" w:rsidP="000D2571">
                                        <w:pPr>
                                          <w:spacing w:before="0"/>
                                          <w:rPr>
                                            <w:vertAlign w:val="subscript"/>
                                          </w:rPr>
                                        </w:pPr>
                                        <w:r>
                                          <w:t>A</w:t>
                                        </w:r>
                                        <w:r>
                                          <w:rPr>
                                            <w:vertAlign w:val="subscript"/>
                                          </w:rPr>
                                          <w:t>1</w:t>
                                        </w:r>
                                      </w:p>
                                    </w:txbxContent>
                                  </wps:txbx>
                                  <wps:bodyPr rot="0" vert="horz" wrap="square" lIns="0" tIns="0" rIns="0" bIns="0" anchor="ctr" anchorCtr="0" upright="1">
                                    <a:noAutofit/>
                                  </wps:bodyPr>
                                </wps:wsp>
                                <wps:wsp>
                                  <wps:cNvPr id="24270" name="Straight Connector 423"/>
                                  <wps:cNvCnPr>
                                    <a:cxnSpLocks noChangeShapeType="1"/>
                                  </wps:cNvCnPr>
                                  <wps:spPr bwMode="auto">
                                    <a:xfrm rot="5400000">
                                      <a:off x="-667" y="1143"/>
                                      <a:ext cx="1333" cy="0"/>
                                    </a:xfrm>
                                    <a:prstGeom prst="line">
                                      <a:avLst/>
                                    </a:prstGeom>
                                    <a:noFill/>
                                    <a:ln w="19050">
                                      <a:solidFill>
                                        <a:srgbClr val="7030A0"/>
                                      </a:solidFill>
                                      <a:miter lim="800000"/>
                                      <a:headEnd/>
                                      <a:tailEnd/>
                                    </a:ln>
                                  </wps:spPr>
                                  <wps:bodyPr/>
                                </wps:wsp>
                                <wps:wsp>
                                  <wps:cNvPr id="24271" name="Straight Connector 424"/>
                                  <wps:cNvCnPr>
                                    <a:cxnSpLocks noChangeShapeType="1"/>
                                  </wps:cNvCnPr>
                                  <wps:spPr bwMode="auto">
                                    <a:xfrm rot="5400000">
                                      <a:off x="10667" y="1143"/>
                                      <a:ext cx="1333" cy="0"/>
                                    </a:xfrm>
                                    <a:prstGeom prst="line">
                                      <a:avLst/>
                                    </a:prstGeom>
                                    <a:noFill/>
                                    <a:ln w="19050">
                                      <a:solidFill>
                                        <a:srgbClr val="7030A0"/>
                                      </a:solidFill>
                                      <a:miter lim="800000"/>
                                      <a:headEnd/>
                                      <a:tailEnd/>
                                    </a:ln>
                                  </wps:spPr>
                                  <wps:bodyPr/>
                                </wps:wsp>
                              </wpg:grpSp>
                            </wpg:grpSp>
                            <wpg:grpSp>
                              <wpg:cNvPr id="24272" name="Group 419"/>
                              <wpg:cNvGrpSpPr>
                                <a:grpSpLocks/>
                              </wpg:cNvGrpSpPr>
                              <wpg:grpSpPr bwMode="auto">
                                <a:xfrm>
                                  <a:off x="2708" y="3653"/>
                                  <a:ext cx="14539" cy="9586"/>
                                  <a:chOff x="136" y="319"/>
                                  <a:chExt cx="14539" cy="9585"/>
                                </a:xfrm>
                              </wpg:grpSpPr>
                              <wps:wsp>
                                <wps:cNvPr id="24273" name="Oval 416"/>
                                <wps:cNvSpPr>
                                  <a:spLocks noChangeArrowheads="1"/>
                                </wps:cNvSpPr>
                                <wps:spPr bwMode="auto">
                                  <a:xfrm>
                                    <a:off x="136" y="4354"/>
                                    <a:ext cx="1143" cy="1143"/>
                                  </a:xfrm>
                                  <a:prstGeom prst="ellipse">
                                    <a:avLst/>
                                  </a:prstGeom>
                                  <a:noFill/>
                                  <a:ln w="12700">
                                    <a:solidFill>
                                      <a:srgbClr val="FFFF00"/>
                                    </a:solidFill>
                                    <a:round/>
                                    <a:headEnd/>
                                    <a:tailEnd/>
                                  </a:ln>
                                </wps:spPr>
                                <wps:bodyPr rot="0" vert="horz" wrap="square" lIns="91440" tIns="45720" rIns="91440" bIns="45720" anchor="ctr" anchorCtr="0" upright="1">
                                  <a:noAutofit/>
                                </wps:bodyPr>
                              </wps:wsp>
                              <wps:wsp>
                                <wps:cNvPr id="24274" name="Straight Connector 417"/>
                                <wps:cNvCnPr>
                                  <a:cxnSpLocks noChangeShapeType="1"/>
                                </wps:cNvCnPr>
                                <wps:spPr bwMode="auto">
                                  <a:xfrm flipV="1">
                                    <a:off x="303" y="319"/>
                                    <a:ext cx="14372" cy="4202"/>
                                  </a:xfrm>
                                  <a:prstGeom prst="line">
                                    <a:avLst/>
                                  </a:prstGeom>
                                  <a:noFill/>
                                  <a:ln w="12700">
                                    <a:solidFill>
                                      <a:srgbClr val="FFFF00"/>
                                    </a:solidFill>
                                    <a:round/>
                                    <a:headEnd/>
                                    <a:tailEnd/>
                                  </a:ln>
                                </wps:spPr>
                                <wps:bodyPr/>
                              </wps:wsp>
                              <wps:wsp>
                                <wps:cNvPr id="24275" name="Straight Connector 418"/>
                                <wps:cNvCnPr>
                                  <a:cxnSpLocks noChangeShapeType="1"/>
                                </wps:cNvCnPr>
                                <wps:spPr bwMode="auto">
                                  <a:xfrm>
                                    <a:off x="381" y="5429"/>
                                    <a:ext cx="14294" cy="4476"/>
                                  </a:xfrm>
                                  <a:prstGeom prst="line">
                                    <a:avLst/>
                                  </a:prstGeom>
                                  <a:noFill/>
                                  <a:ln w="12700">
                                    <a:solidFill>
                                      <a:srgbClr val="FFFF00"/>
                                    </a:solidFill>
                                    <a:round/>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47BE93B6" id="Group 24244" o:spid="_x0000_s1167" style="position:absolute;left:0;text-align:left;margin-left:0;margin-top:1.9pt;width:239.75pt;height:118.85pt;z-index:-251644928;mso-position-horizontal-relative:text;mso-position-vertical-relative:text;mso-width-relative:margin;mso-height-relative:margin" coordorigin="-1333,-571" coordsize="30621,15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">
                      <v:group id="Group 382" o:spid="_x0000_s1168" style="position:absolute;left:15146;top:-571;width:14142;height:15795" coordorigin="478,-571" coordsize="14141,1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">
                        <v:group id="Group 368" o:spid="_x0000_s1169" style="position:absolute;left:670;top:1667;width:13033;height:13557" coordorigin="670,1096" coordsize="13032,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">
                          <v:group id="Group 369" o:spid="_x0000_s1170" style="position:absolute;left:1619;top:2095;width:11430;height:11525" coordorigin=",-95" coordsize="11430,1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">
                            <v:group id="Group 370" o:spid="_x0000_s1171" style="position:absolute;width:11430;height:11430"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">
                              <v:rect id="Rectangle 371" o:spid="_x0000_s1172" style="position:absolute;top:3905;width:11430;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" fillcolor="black [3213]" stroked="f"/>
                              <v:rect id="Rectangle 372" o:spid="_x0000_s1173" style="position:absolute;left:-48;top:3667;width:11430;height:4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" fillcolor="black [3213]" stroked="f"/>
                              <v:rect id="Rectangle 373" o:spid="_x0000_s1174" style="position:absolute;left:3619;top:3905;width:4001;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" fillcolor="white [3212]" strokecolor="white [3212]" strokeweight=".5pt"/>
                            </v:group>
                            <v:group id="Group 374" o:spid="_x0000_s1175" style="position:absolute;top:4095;width:4000;height:3715" coordorigin="-85725" coordsize="40005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75" o:spid="_x0000_s1176" type="#_x0000_t88" style="position:absolute;left:152400;width:161925;height:37147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" adj="785" strokecolor="yellow" strokeweight="1.5pt">
                                <v:stroke joinstyle="miter"/>
                              </v:shape>
                              <v:rect id="Rectangle 376" o:spid="_x0000_s1177" style="position:absolute;left:-85725;top:104775;width:219075;height:190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" filled="f" stroked="f">
                                <v:textbox inset="0,0,0,0">
                                  <w:txbxContent>
                                    <w:p w14:paraId="015B4393"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C</w:t>
                                      </w:r>
                                      <w:r w:rsidRPr="00A4565A">
                                        <w:rPr>
                                          <w:color w:val="FFFFFF" w:themeColor="background1"/>
                                          <w:vertAlign w:val="subscript"/>
                                          <w:lang w:val="en-US"/>
                                        </w:rPr>
                                        <w:t>1</w:t>
                                      </w:r>
                                    </w:p>
                                  </w:txbxContent>
                                </v:textbox>
                              </v:rect>
                            </v:group>
                            <v:group id="Group 377" o:spid="_x0000_s1178" style="position:absolute;left:3548;top:24;width:3952;height:3714;rotation:90" coordorigin="-80965,-9525" coordsize="39529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">
                              <v:shape id="Right Brace 378" o:spid="_x0000_s1179" type="#_x0000_t88" style="position:absolute;left:152400;top:-9525;width:161925;height:37147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" adj="785" strokecolor="yellow" strokeweight="1.5pt">
                                <v:stroke joinstyle="miter"/>
                              </v:shape>
                              <v:rect id="Rectangle 379" o:spid="_x0000_s1180" style="position:absolute;left:-109538;top:61911;width:247650;height:1905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" filled="f" stroked="f">
                                <v:textbox inset="0,0,0,0">
                                  <w:txbxContent>
                                    <w:p w14:paraId="253C0DC2"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D</w:t>
                                      </w:r>
                                      <w:r w:rsidRPr="00A4565A">
                                        <w:rPr>
                                          <w:color w:val="FFFFFF" w:themeColor="background1"/>
                                          <w:vertAlign w:val="subscript"/>
                                          <w:lang w:val="en-US"/>
                                        </w:rPr>
                                        <w:t>1</w:t>
                                      </w:r>
                                    </w:p>
                                  </w:txbxContent>
                                </v:textbox>
                              </v:rect>
                            </v:group>
                          </v:group>
                          <v:oval id="Oval 380" o:spid="_x0000_s1181" style="position:absolute;left:670;top:1096;width:13033;height:1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" filled="f" strokecolor="#4472c4 [3204]" strokeweight=".5pt">
                            <v:stroke joinstyle="miter"/>
                          </v:oval>
                        </v:group>
                        <v:shape id="Text Box 1758" o:spid="_x0000_s1182" type="#_x0000_t202" style="position:absolute;left:478;top:-571;width:1414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" fillcolor="#6ff" stroked="f">
                          <v:textbox inset="0,0,0,0">
                            <w:txbxContent>
                              <w:p w14:paraId="0BE89D87" w14:textId="77777777" w:rsidR="00527127" w:rsidRPr="0060470C" w:rsidRDefault="00527127" w:rsidP="000D2571">
                                <w:pPr>
                                  <w:spacing w:before="0" w:after="0"/>
                                  <w:jc w:val="center"/>
                                  <w:rPr>
                                    <w:sz w:val="20"/>
                                    <w:szCs w:val="20"/>
                                  </w:rPr>
                                </w:pPr>
                                <w:r>
                                  <w:t>Image magnification</w:t>
                                </w:r>
                              </w:p>
                            </w:txbxContent>
                          </v:textbox>
                        </v:shape>
                      </v:group>
                      <v:group id="Group 425" o:spid="_x0000_s1183" style="position:absolute;left:-1333;top:6858;width:6015;height:6191" coordorigin="-1333" coordsize="6015,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">
                        <v:shape id="Picture 293" o:spid="_x0000_s1184" type="#_x0000_t75" style="position:absolute;left:1824;width:2858;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">
                          <v:imagedata r:id="rId78" o:title=""/>
                        </v:shape>
                        <v:group id="Group 387" o:spid="_x0000_s1185" style="position:absolute;left:1920;top:3064;width:2667;height:3127" coordorigin=",476" coordsize="11334,3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">
                          <v:line id="Straight Connector 388" o:spid="_x0000_s1186" style="position:absolute;rotation:-90;visibility:visible;mso-wrap-style:square" from="5667,-4524" to="566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" strokecolor="#7030a0" strokeweight="1.5pt">
                            <v:stroke joinstyle="miter"/>
                          </v:line>
                          <v:rect id="Rectangle 389" o:spid="_x0000_s1187" style="position:absolute;left:1722;top:925;width:8342;height:2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" filled="f" stroked="f">
                            <v:textbox inset="0,0,0,0">
                              <w:txbxContent>
                                <w:p w14:paraId="75EFFF0C" w14:textId="77777777" w:rsidR="00527127" w:rsidRPr="00461265" w:rsidRDefault="00527127" w:rsidP="000D2571">
                                  <w:pPr>
                                    <w:spacing w:before="0" w:line="240" w:lineRule="auto"/>
                                    <w:rPr>
                                      <w:vertAlign w:val="subscript"/>
                                    </w:rPr>
                                  </w:pPr>
                                  <w:r w:rsidRPr="00820EA9">
                                    <w:t>B</w:t>
                                  </w:r>
                                  <w:r>
                                    <w:rPr>
                                      <w:vertAlign w:val="subscript"/>
                                    </w:rPr>
                                    <w:t>1</w:t>
                                  </w:r>
                                </w:p>
                              </w:txbxContent>
                            </v:textbox>
                          </v:rect>
                          <v:line id="Straight Connector 390" o:spid="_x0000_s1188" style="position:absolute;rotation:90;visibility:visible;mso-wrap-style:square" from="-667,1143" to="66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" strokecolor="#7030a0" strokeweight="1.5pt">
                            <v:stroke joinstyle="miter"/>
                          </v:line>
                          <v:line id="Straight Connector 391" o:spid="_x0000_s1189" style="position:absolute;rotation:90;visibility:visible;mso-wrap-style:square" from="10667,1143" to="1200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" strokecolor="#7030a0" strokeweight="1.5pt">
                            <v:stroke joinstyle="miter"/>
                          </v:line>
                        </v:group>
                        <v:group id="Group 420" o:spid="_x0000_s1190" style="position:absolute;left:-1359;top:136;width:2747;height:2696;rotation:90" coordorigin=",476" coordsize="11675,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">
                          <v:line id="Straight Connector 421" o:spid="_x0000_s1191" style="position:absolute;rotation:-90;visibility:visible;mso-wrap-style:square" from="5667,-4524" to="566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" strokecolor="#7030a0" strokeweight="1.5pt">
                            <v:stroke joinstyle="miter"/>
                          </v:line>
                          <v:rect id="Rectangle 422" o:spid="_x0000_s1192" style="position:absolute;left:5635;top:-2927;width:2515;height:95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" filled="f" stroked="f">
                            <v:textbox inset="0,0,0,0">
                              <w:txbxContent>
                                <w:p w14:paraId="13185DFE" w14:textId="77777777" w:rsidR="00527127" w:rsidRPr="00461265" w:rsidRDefault="00527127" w:rsidP="000D2571">
                                  <w:pPr>
                                    <w:spacing w:before="0"/>
                                    <w:rPr>
                                      <w:vertAlign w:val="subscript"/>
                                    </w:rPr>
                                  </w:pPr>
                                  <w:r>
                                    <w:t>A</w:t>
                                  </w:r>
                                  <w:r>
                                    <w:rPr>
                                      <w:vertAlign w:val="subscript"/>
                                    </w:rPr>
                                    <w:t>1</w:t>
                                  </w:r>
                                </w:p>
                              </w:txbxContent>
                            </v:textbox>
                          </v:rect>
                          <v:line id="Straight Connector 423" o:spid="_x0000_s1193" style="position:absolute;rotation:90;visibility:visible;mso-wrap-style:square" from="-667,1143" to="66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" strokecolor="#7030a0" strokeweight="1.5pt">
                            <v:stroke joinstyle="miter"/>
                          </v:line>
                          <v:line id="Straight Connector 424" o:spid="_x0000_s1194" style="position:absolute;rotation:90;visibility:visible;mso-wrap-style:square" from="10667,1143" to="1200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" strokecolor="#7030a0" strokeweight="1.5pt">
                            <v:stroke joinstyle="miter"/>
                          </v:line>
                        </v:group>
                      </v:group>
                      <v:group id="Group 419" o:spid="_x0000_s1195" style="position:absolute;left:2708;top:3653;width:14539;height:9586" coordorigin="136,319" coordsize="14539,9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">
                        <v:oval id="Oval 416" o:spid="_x0000_s1196" style="position:absolute;left:136;top:4354;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" filled="f" strokecolor="yellow" strokeweight="1pt"/>
                        <v:line id="Straight Connector 417" o:spid="_x0000_s1197" style="position:absolute;flip:y;visibility:visible;mso-wrap-style:square" from="303,319" to="14675,4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" strokecolor="yellow" strokeweight="1pt"/>
                        <v:line id="Straight Connector 418" o:spid="_x0000_s1198" style="position:absolute;visibility:visible;mso-wrap-style:square" from="381,5429" to="14675,9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" strokecolor="yellow" strokeweight="1pt"/>
                      </v:group>
                      <w10:wrap type="tight"/>
                    </v:group>
                  </w:pict>
                </mc:Fallback>
              </mc:AlternateContent>
            </w:r>
            <w:r w:rsidR="000D2571" w:rsidRPr="009D4627">
              <w:t>0.5° cross</w:t>
            </w:r>
          </w:p>
          <w:p w14:paraId="24F03F0B" w14:textId="77777777" w:rsidR="000D2571" w:rsidRPr="009D4627" w:rsidRDefault="000D2571" w:rsidP="000D2571">
            <w:pPr>
              <w:spacing w:before="0" w:after="0" w:line="240" w:lineRule="auto"/>
            </w:pPr>
          </w:p>
          <w:p w14:paraId="2FAF4EAE" w14:textId="77777777" w:rsidR="000D2571" w:rsidRPr="009D4627" w:rsidRDefault="000D2571" w:rsidP="000D2571">
            <w:pPr>
              <w:spacing w:before="0" w:after="0" w:line="240" w:lineRule="auto"/>
            </w:pPr>
          </w:p>
          <w:p w14:paraId="736A4033" w14:textId="77777777" w:rsidR="000D2571" w:rsidRPr="009D4627" w:rsidRDefault="000D2571" w:rsidP="000D2571">
            <w:pPr>
              <w:spacing w:before="0" w:after="0" w:line="240" w:lineRule="auto"/>
            </w:pPr>
          </w:p>
        </w:tc>
        <w:tc>
          <w:tcPr>
            <w:tcW w:w="2987" w:type="dxa"/>
            <w:tcBorders>
              <w:top w:val="single" w:sz="4" w:space="0" w:color="auto"/>
              <w:left w:val="nil"/>
              <w:bottom w:val="single" w:sz="4" w:space="0" w:color="auto"/>
              <w:right w:val="nil"/>
            </w:tcBorders>
            <w:tcMar>
              <w:top w:w="100" w:type="dxa"/>
              <w:left w:w="100" w:type="dxa"/>
              <w:bottom w:w="100" w:type="dxa"/>
              <w:right w:w="100" w:type="dxa"/>
            </w:tcMar>
          </w:tcPr>
          <w:p w14:paraId="4E2DE04F" w14:textId="77777777" w:rsidR="000D2571" w:rsidRPr="009D4627" w:rsidRDefault="000D2571" w:rsidP="000D2571">
            <w:pPr>
              <w:spacing w:before="0" w:after="0" w:line="240" w:lineRule="auto"/>
              <w:jc w:val="left"/>
              <w:rPr>
                <w:noProof/>
              </w:rPr>
            </w:pPr>
            <w:r w:rsidRPr="009D4627">
              <w:rPr>
                <w:noProof/>
                <w:sz w:val="22"/>
                <w:szCs w:val="22"/>
              </w:rPr>
              <w:t>A</w:t>
            </w:r>
            <w:r w:rsidRPr="009D4627">
              <w:rPr>
                <w:noProof/>
                <w:sz w:val="22"/>
                <w:szCs w:val="22"/>
                <w:vertAlign w:val="subscript"/>
              </w:rPr>
              <w:t>1</w:t>
            </w:r>
            <w:r w:rsidRPr="009D4627">
              <w:rPr>
                <w:noProof/>
                <w:sz w:val="22"/>
                <w:szCs w:val="22"/>
              </w:rPr>
              <w:t xml:space="preserve"> = B</w:t>
            </w:r>
            <w:r w:rsidRPr="009D4627">
              <w:rPr>
                <w:noProof/>
                <w:sz w:val="22"/>
                <w:szCs w:val="22"/>
                <w:vertAlign w:val="subscript"/>
              </w:rPr>
              <w:t>1</w:t>
            </w:r>
            <w:r w:rsidRPr="009D4627">
              <w:rPr>
                <w:noProof/>
                <w:sz w:val="22"/>
                <w:szCs w:val="22"/>
              </w:rPr>
              <w:t xml:space="preserve"> = 8 mm,</w:t>
            </w:r>
          </w:p>
          <w:p w14:paraId="5103133C" w14:textId="77777777" w:rsidR="000D2571" w:rsidRPr="009D4627" w:rsidRDefault="000D2571" w:rsidP="000D2571">
            <w:pPr>
              <w:spacing w:before="0" w:after="0" w:line="240" w:lineRule="auto"/>
              <w:jc w:val="left"/>
              <w:rPr>
                <w:noProof/>
              </w:rPr>
            </w:pPr>
            <w:r w:rsidRPr="009D4627">
              <w:rPr>
                <w:noProof/>
                <w:sz w:val="22"/>
                <w:szCs w:val="22"/>
              </w:rPr>
              <w:t>C</w:t>
            </w:r>
            <w:r w:rsidRPr="009D4627">
              <w:rPr>
                <w:noProof/>
                <w:sz w:val="22"/>
                <w:szCs w:val="22"/>
                <w:vertAlign w:val="subscript"/>
              </w:rPr>
              <w:t>1</w:t>
            </w:r>
            <w:r w:rsidRPr="009D4627">
              <w:rPr>
                <w:noProof/>
                <w:sz w:val="22"/>
                <w:szCs w:val="22"/>
              </w:rPr>
              <w:t xml:space="preserve"> = D</w:t>
            </w:r>
            <w:r w:rsidRPr="009D4627">
              <w:rPr>
                <w:noProof/>
                <w:sz w:val="22"/>
                <w:szCs w:val="22"/>
                <w:vertAlign w:val="subscript"/>
              </w:rPr>
              <w:t>1</w:t>
            </w:r>
            <w:r w:rsidRPr="009D4627">
              <w:rPr>
                <w:noProof/>
                <w:sz w:val="22"/>
                <w:szCs w:val="22"/>
              </w:rPr>
              <w:t xml:space="preserve"> = 0.5 mm</w:t>
            </w:r>
          </w:p>
          <w:p w14:paraId="7E05CB25" w14:textId="77777777" w:rsidR="000D2571" w:rsidRPr="009D4627" w:rsidRDefault="000D2571" w:rsidP="000D2571">
            <w:pPr>
              <w:spacing w:before="0" w:after="0" w:line="240" w:lineRule="auto"/>
              <w:jc w:val="left"/>
              <w:rPr>
                <w:noProof/>
              </w:rPr>
            </w:pPr>
          </w:p>
          <w:p w14:paraId="3F4F4F4A" w14:textId="77777777" w:rsidR="000D2571" w:rsidRPr="009D4627" w:rsidRDefault="000D2571" w:rsidP="000D2571">
            <w:pPr>
              <w:spacing w:before="0" w:after="0" w:line="240" w:lineRule="auto"/>
              <w:jc w:val="left"/>
            </w:pPr>
            <w:r w:rsidRPr="009D4627">
              <w:rPr>
                <w:sz w:val="22"/>
                <w:szCs w:val="22"/>
              </w:rPr>
              <w:t xml:space="preserve">⸫ White square = </w:t>
            </w:r>
          </w:p>
          <w:p w14:paraId="60A1A5AB" w14:textId="77777777" w:rsidR="000D2571" w:rsidRPr="009D4627" w:rsidRDefault="000D2571" w:rsidP="000D2571">
            <w:pPr>
              <w:spacing w:before="0" w:after="0" w:line="240" w:lineRule="auto"/>
              <w:jc w:val="left"/>
            </w:pPr>
            <w:r w:rsidRPr="009D4627">
              <w:rPr>
                <w:sz w:val="22"/>
                <w:szCs w:val="22"/>
              </w:rPr>
              <w:t>C</w:t>
            </w:r>
            <w:r w:rsidRPr="009D4627">
              <w:rPr>
                <w:sz w:val="22"/>
                <w:szCs w:val="22"/>
                <w:vertAlign w:val="subscript"/>
              </w:rPr>
              <w:t>1</w:t>
            </w:r>
            <w:r w:rsidRPr="009D4627">
              <w:rPr>
                <w:sz w:val="22"/>
                <w:szCs w:val="22"/>
              </w:rPr>
              <w:t>/D</w:t>
            </w:r>
            <w:r w:rsidRPr="009D4627">
              <w:rPr>
                <w:sz w:val="22"/>
                <w:szCs w:val="22"/>
                <w:vertAlign w:val="subscript"/>
              </w:rPr>
              <w:t>1</w:t>
            </w:r>
            <w:r w:rsidRPr="009D4627">
              <w:rPr>
                <w:sz w:val="22"/>
                <w:szCs w:val="22"/>
              </w:rPr>
              <w:t>* (cross size in °)</w:t>
            </w:r>
          </w:p>
          <w:p w14:paraId="345D7E84" w14:textId="77777777" w:rsidR="000D2571" w:rsidRPr="009D4627" w:rsidRDefault="000D2571" w:rsidP="000D2571">
            <w:pPr>
              <w:spacing w:before="0" w:after="0" w:line="240" w:lineRule="auto"/>
              <w:jc w:val="left"/>
            </w:pPr>
            <w:r w:rsidRPr="009D4627">
              <w:rPr>
                <w:sz w:val="22"/>
                <w:szCs w:val="22"/>
              </w:rPr>
              <w:t xml:space="preserve">0.5 mm/8 mm x 0.5°cross = </w:t>
            </w:r>
            <w:r w:rsidRPr="009D4627">
              <w:rPr>
                <w:sz w:val="22"/>
                <w:szCs w:val="22"/>
                <w:u w:val="single"/>
              </w:rPr>
              <w:t>0.031°</w:t>
            </w:r>
          </w:p>
        </w:tc>
      </w:tr>
      <w:tr w:rsidR="000D2571" w:rsidRPr="009D4627" w14:paraId="1E4FBD0C" w14:textId="77777777" w:rsidTr="000D2571">
        <w:trPr>
          <w:trHeight w:val="2397"/>
          <w:jc w:val="center"/>
        </w:trPr>
        <w:tc>
          <w:tcPr>
            <w:tcW w:w="5944" w:type="dxa"/>
            <w:tcBorders>
              <w:top w:val="single" w:sz="4" w:space="0" w:color="auto"/>
              <w:left w:val="nil"/>
              <w:bottom w:val="single" w:sz="4" w:space="0" w:color="auto"/>
              <w:right w:val="nil"/>
            </w:tcBorders>
            <w:tcMar>
              <w:top w:w="100" w:type="dxa"/>
              <w:left w:w="100" w:type="dxa"/>
              <w:bottom w:w="100" w:type="dxa"/>
              <w:right w:w="100" w:type="dxa"/>
            </w:tcMar>
          </w:tcPr>
          <w:p w14:paraId="74791B7C" w14:textId="73AECF0B" w:rsidR="000D2571" w:rsidRPr="009D4627" w:rsidRDefault="00A2792E" w:rsidP="000D2571">
            <w:pPr>
              <w:spacing w:before="0" w:after="0" w:line="240" w:lineRule="auto"/>
            </w:pPr>
            <w:r w:rsidRPr="009D4627">
              <w:rPr>
                <w:noProof/>
              </w:rPr>
              <mc:AlternateContent>
                <mc:Choice Requires="wpg">
                  <w:drawing>
                    <wp:anchor distT="0" distB="0" distL="114300" distR="114300" simplePos="0" relativeHeight="251672576" behindDoc="1" locked="0" layoutInCell="1" allowOverlap="1" wp14:anchorId="054F4FC5" wp14:editId="57A07618">
                      <wp:simplePos x="0" y="0"/>
                      <wp:positionH relativeFrom="column">
                        <wp:posOffset>0</wp:posOffset>
                      </wp:positionH>
                      <wp:positionV relativeFrom="paragraph">
                        <wp:posOffset>55245</wp:posOffset>
                      </wp:positionV>
                      <wp:extent cx="2994660" cy="1295400"/>
                      <wp:effectExtent l="19050" t="0" r="0" b="0"/>
                      <wp:wrapTight wrapText="bothSides">
                        <wp:wrapPolygon edited="0">
                          <wp:start x="15664" y="0"/>
                          <wp:lineTo x="9618" y="4765"/>
                          <wp:lineTo x="-137" y="6035"/>
                          <wp:lineTo x="-137" y="13659"/>
                          <wp:lineTo x="687" y="15247"/>
                          <wp:lineTo x="2885" y="20965"/>
                          <wp:lineTo x="15527" y="21600"/>
                          <wp:lineTo x="18275" y="21600"/>
                          <wp:lineTo x="18412" y="21600"/>
                          <wp:lineTo x="19786" y="20329"/>
                          <wp:lineTo x="21573" y="15247"/>
                          <wp:lineTo x="21573" y="8259"/>
                          <wp:lineTo x="21160" y="5082"/>
                          <wp:lineTo x="21298" y="4765"/>
                          <wp:lineTo x="19374" y="1271"/>
                          <wp:lineTo x="18137" y="0"/>
                          <wp:lineTo x="15664" y="0"/>
                        </wp:wrapPolygon>
                      </wp:wrapTight>
                      <wp:docPr id="24214" name="Group 24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4660" cy="1295400"/>
                                <a:chOff x="-1409" y="1377"/>
                                <a:chExt cx="31405" cy="13548"/>
                              </a:xfrm>
                            </wpg:grpSpPr>
                            <wpg:grpSp>
                              <wpg:cNvPr id="24215" name="Group 352"/>
                              <wpg:cNvGrpSpPr>
                                <a:grpSpLocks/>
                              </wpg:cNvGrpSpPr>
                              <wpg:grpSpPr bwMode="auto">
                                <a:xfrm>
                                  <a:off x="16406" y="1377"/>
                                  <a:ext cx="13589" cy="13548"/>
                                  <a:chOff x="499" y="996"/>
                                  <a:chExt cx="13589" cy="13548"/>
                                </a:xfrm>
                              </wpg:grpSpPr>
                              <wpg:grpSp>
                                <wpg:cNvPr id="24216" name="Group 353"/>
                                <wpg:cNvGrpSpPr>
                                  <a:grpSpLocks/>
                                </wpg:cNvGrpSpPr>
                                <wpg:grpSpPr bwMode="auto">
                                  <a:xfrm>
                                    <a:off x="1619" y="2047"/>
                                    <a:ext cx="11430" cy="11573"/>
                                    <a:chOff x="0" y="-142"/>
                                    <a:chExt cx="11430" cy="11572"/>
                                  </a:xfrm>
                                </wpg:grpSpPr>
                                <wpg:grpSp>
                                  <wpg:cNvPr id="24217" name="Group 354"/>
                                  <wpg:cNvGrpSpPr>
                                    <a:grpSpLocks/>
                                  </wpg:cNvGrpSpPr>
                                  <wpg:grpSpPr bwMode="auto">
                                    <a:xfrm>
                                      <a:off x="0" y="0"/>
                                      <a:ext cx="11430" cy="11430"/>
                                      <a:chOff x="0" y="0"/>
                                      <a:chExt cx="11430" cy="11430"/>
                                    </a:xfrm>
                                  </wpg:grpSpPr>
                                  <wps:wsp>
                                    <wps:cNvPr id="24218" name="Rectangle 355"/>
                                    <wps:cNvSpPr>
                                      <a:spLocks noChangeArrowheads="1"/>
                                    </wps:cNvSpPr>
                                    <wps:spPr bwMode="auto">
                                      <a:xfrm>
                                        <a:off x="0" y="3905"/>
                                        <a:ext cx="11430" cy="4095"/>
                                      </a:xfrm>
                                      <a:prstGeom prst="rect">
                                        <a:avLst/>
                                      </a:prstGeom>
                                      <a:solidFill>
                                        <a:schemeClr val="tx1">
                                          <a:lumMod val="100000"/>
                                          <a:lumOff val="0"/>
                                        </a:schemeClr>
                                      </a:solidFill>
                                      <a:ln>
                                        <a:noFill/>
                                      </a:ln>
                                    </wps:spPr>
                                    <wps:bodyPr rot="0" vert="horz" wrap="square" lIns="91440" tIns="45720" rIns="91440" bIns="45720" anchor="ctr" anchorCtr="0" upright="1">
                                      <a:noAutofit/>
                                    </wps:bodyPr>
                                  </wps:wsp>
                                  <wps:wsp>
                                    <wps:cNvPr id="24219" name="Rectangle 356"/>
                                    <wps:cNvSpPr>
                                      <a:spLocks noChangeArrowheads="1"/>
                                    </wps:cNvSpPr>
                                    <wps:spPr bwMode="auto">
                                      <a:xfrm rot="5400000">
                                        <a:off x="-48" y="3667"/>
                                        <a:ext cx="11430" cy="4096"/>
                                      </a:xfrm>
                                      <a:prstGeom prst="rect">
                                        <a:avLst/>
                                      </a:prstGeom>
                                      <a:solidFill>
                                        <a:schemeClr val="tx1">
                                          <a:lumMod val="100000"/>
                                          <a:lumOff val="0"/>
                                        </a:schemeClr>
                                      </a:solidFill>
                                      <a:ln>
                                        <a:noFill/>
                                      </a:ln>
                                    </wps:spPr>
                                    <wps:bodyPr rot="0" vert="horz" wrap="square" lIns="91440" tIns="45720" rIns="91440" bIns="45720" anchor="ctr" anchorCtr="0" upright="1">
                                      <a:noAutofit/>
                                    </wps:bodyPr>
                                  </wps:wsp>
                                  <wps:wsp>
                                    <wps:cNvPr id="24220" name="Rectangle 357"/>
                                    <wps:cNvSpPr>
                                      <a:spLocks noChangeArrowheads="1"/>
                                    </wps:cNvSpPr>
                                    <wps:spPr bwMode="auto">
                                      <a:xfrm>
                                        <a:off x="3619" y="3905"/>
                                        <a:ext cx="4001" cy="3905"/>
                                      </a:xfrm>
                                      <a:prstGeom prst="rect">
                                        <a:avLst/>
                                      </a:prstGeom>
                                      <a:solidFill>
                                        <a:schemeClr val="bg1">
                                          <a:lumMod val="100000"/>
                                          <a:lumOff val="0"/>
                                        </a:schemeClr>
                                      </a:solidFill>
                                      <a:ln w="6350">
                                        <a:solidFill>
                                          <a:schemeClr val="bg1">
                                            <a:lumMod val="100000"/>
                                            <a:lumOff val="0"/>
                                          </a:schemeClr>
                                        </a:solidFill>
                                        <a:miter lim="800000"/>
                                        <a:headEnd/>
                                        <a:tailEnd/>
                                      </a:ln>
                                    </wps:spPr>
                                    <wps:bodyPr rot="0" vert="horz" wrap="square" lIns="91440" tIns="45720" rIns="91440" bIns="45720" anchor="ctr" anchorCtr="0" upright="1">
                                      <a:noAutofit/>
                                    </wps:bodyPr>
                                  </wps:wsp>
                                </wpg:grpSp>
                                <wpg:grpSp>
                                  <wpg:cNvPr id="24221" name="Group 358"/>
                                  <wpg:cNvGrpSpPr>
                                    <a:grpSpLocks/>
                                  </wpg:cNvGrpSpPr>
                                  <wpg:grpSpPr bwMode="auto">
                                    <a:xfrm>
                                      <a:off x="340" y="4095"/>
                                      <a:ext cx="3660" cy="3715"/>
                                      <a:chOff x="-51696" y="0"/>
                                      <a:chExt cx="366021" cy="371475"/>
                                    </a:xfrm>
                                  </wpg:grpSpPr>
                                  <wps:wsp>
                                    <wps:cNvPr id="24222" name="Right Brace 359"/>
                                    <wps:cNvSpPr>
                                      <a:spLocks/>
                                    </wps:cNvSpPr>
                                    <wps:spPr bwMode="auto">
                                      <a:xfrm rot="10800000">
                                        <a:off x="152400" y="0"/>
                                        <a:ext cx="161925" cy="371475"/>
                                      </a:xfrm>
                                      <a:prstGeom prst="rightBrace">
                                        <a:avLst>
                                          <a:gd name="adj1" fmla="val 8337"/>
                                          <a:gd name="adj2" fmla="val 50000"/>
                                        </a:avLst>
                                      </a:prstGeom>
                                      <a:noFill/>
                                      <a:ln w="19050">
                                        <a:solidFill>
                                          <a:srgbClr val="FFFF00"/>
                                        </a:solidFill>
                                        <a:miter lim="800000"/>
                                        <a:headEnd/>
                                        <a:tailEnd/>
                                      </a:ln>
                                    </wps:spPr>
                                    <wps:bodyPr rot="0" vert="horz" wrap="square" lIns="91440" tIns="45720" rIns="91440" bIns="45720" anchor="ctr" anchorCtr="0" upright="1">
                                      <a:noAutofit/>
                                    </wps:bodyPr>
                                  </wps:wsp>
                                  <wps:wsp>
                                    <wps:cNvPr id="24223" name="Rectangle 360"/>
                                    <wps:cNvSpPr>
                                      <a:spLocks noChangeArrowheads="1"/>
                                    </wps:cNvSpPr>
                                    <wps:spPr bwMode="auto">
                                      <a:xfrm>
                                        <a:off x="-51696" y="78125"/>
                                        <a:ext cx="184106" cy="178335"/>
                                      </a:xfrm>
                                      <a:prstGeom prst="rect">
                                        <a:avLst/>
                                      </a:prstGeom>
                                      <a:noFill/>
                                      <a:ln>
                                        <a:noFill/>
                                      </a:ln>
                                    </wps:spPr>
                                    <wps:txbx>
                                      <w:txbxContent>
                                        <w:p w14:paraId="28DAA76D"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C</w:t>
                                          </w:r>
                                          <w:r w:rsidRPr="00A4565A">
                                            <w:rPr>
                                              <w:color w:val="FFFFFF" w:themeColor="background1"/>
                                              <w:vertAlign w:val="subscript"/>
                                              <w:lang w:val="en-US"/>
                                            </w:rPr>
                                            <w:t>2</w:t>
                                          </w:r>
                                        </w:p>
                                      </w:txbxContent>
                                    </wps:txbx>
                                    <wps:bodyPr rot="0" vert="horz" wrap="square" lIns="0" tIns="0" rIns="0" bIns="0" anchor="ctr" anchorCtr="0" upright="1">
                                      <a:noAutofit/>
                                    </wps:bodyPr>
                                  </wps:wsp>
                                </wpg:grpSp>
                                <wpg:grpSp>
                                  <wpg:cNvPr id="24224" name="Group 361"/>
                                  <wpg:cNvGrpSpPr>
                                    <a:grpSpLocks/>
                                  </wpg:cNvGrpSpPr>
                                  <wpg:grpSpPr bwMode="auto">
                                    <a:xfrm rot="5400000">
                                      <a:off x="3524" y="1"/>
                                      <a:ext cx="3999" cy="3714"/>
                                      <a:chOff x="-85725" y="-9525"/>
                                      <a:chExt cx="400050" cy="371475"/>
                                    </a:xfrm>
                                  </wpg:grpSpPr>
                                  <wps:wsp>
                                    <wps:cNvPr id="24225" name="Right Brace 362"/>
                                    <wps:cNvSpPr>
                                      <a:spLocks/>
                                    </wps:cNvSpPr>
                                    <wps:spPr bwMode="auto">
                                      <a:xfrm rot="10800000">
                                        <a:off x="152400" y="-9525"/>
                                        <a:ext cx="161925" cy="371475"/>
                                      </a:xfrm>
                                      <a:prstGeom prst="rightBrace">
                                        <a:avLst>
                                          <a:gd name="adj1" fmla="val 8337"/>
                                          <a:gd name="adj2" fmla="val 50000"/>
                                        </a:avLst>
                                      </a:prstGeom>
                                      <a:noFill/>
                                      <a:ln w="19050">
                                        <a:solidFill>
                                          <a:srgbClr val="FFFF00"/>
                                        </a:solidFill>
                                        <a:miter lim="800000"/>
                                        <a:headEnd/>
                                        <a:tailEnd/>
                                      </a:ln>
                                    </wps:spPr>
                                    <wps:bodyPr rot="0" vert="horz" wrap="square" lIns="91440" tIns="45720" rIns="91440" bIns="45720" anchor="ctr" anchorCtr="0" upright="1">
                                      <a:noAutofit/>
                                    </wps:bodyPr>
                                  </wps:wsp>
                                  <wps:wsp>
                                    <wps:cNvPr id="24226" name="Rectangle 363"/>
                                    <wps:cNvSpPr>
                                      <a:spLocks noChangeArrowheads="1"/>
                                    </wps:cNvSpPr>
                                    <wps:spPr bwMode="auto">
                                      <a:xfrm rot="-5400000">
                                        <a:off x="-115220" y="75294"/>
                                        <a:ext cx="249490" cy="190500"/>
                                      </a:xfrm>
                                      <a:prstGeom prst="rect">
                                        <a:avLst/>
                                      </a:prstGeom>
                                      <a:noFill/>
                                      <a:ln>
                                        <a:noFill/>
                                      </a:ln>
                                    </wps:spPr>
                                    <wps:txbx>
                                      <w:txbxContent>
                                        <w:p w14:paraId="6755C561"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D</w:t>
                                          </w:r>
                                          <w:r w:rsidRPr="00A4565A">
                                            <w:rPr>
                                              <w:color w:val="FFFFFF" w:themeColor="background1"/>
                                              <w:vertAlign w:val="subscript"/>
                                              <w:lang w:val="en-US"/>
                                            </w:rPr>
                                            <w:t>2</w:t>
                                          </w:r>
                                        </w:p>
                                      </w:txbxContent>
                                    </wps:txbx>
                                    <wps:bodyPr rot="0" vert="horz" wrap="square" lIns="0" tIns="0" rIns="0" bIns="0" anchor="ctr" anchorCtr="0" upright="1">
                                      <a:noAutofit/>
                                    </wps:bodyPr>
                                  </wps:wsp>
                                </wpg:grpSp>
                              </wpg:grpSp>
                              <wps:wsp>
                                <wps:cNvPr id="24227" name="Oval 364"/>
                                <wps:cNvSpPr>
                                  <a:spLocks noChangeArrowheads="1"/>
                                </wps:cNvSpPr>
                                <wps:spPr bwMode="auto">
                                  <a:xfrm>
                                    <a:off x="499" y="996"/>
                                    <a:ext cx="13589" cy="13548"/>
                                  </a:xfrm>
                                  <a:prstGeom prst="ellipse">
                                    <a:avLst/>
                                  </a:prstGeom>
                                  <a:noFill/>
                                  <a:ln w="6350">
                                    <a:solidFill>
                                      <a:schemeClr val="accent1">
                                        <a:lumMod val="100000"/>
                                        <a:lumOff val="0"/>
                                      </a:schemeClr>
                                    </a:solidFill>
                                    <a:miter lim="800000"/>
                                    <a:headEnd/>
                                    <a:tailEnd/>
                                  </a:ln>
                                </wps:spPr>
                                <wps:bodyPr rot="0" vert="horz" wrap="square" lIns="91440" tIns="45720" rIns="91440" bIns="45720" anchor="ctr" anchorCtr="0" upright="1">
                                  <a:noAutofit/>
                                </wps:bodyPr>
                              </wps:wsp>
                            </wpg:grpSp>
                            <wpg:grpSp>
                              <wpg:cNvPr id="24228" name="Group 427"/>
                              <wpg:cNvGrpSpPr>
                                <a:grpSpLocks/>
                              </wpg:cNvGrpSpPr>
                              <wpg:grpSpPr bwMode="auto">
                                <a:xfrm>
                                  <a:off x="-1409" y="5238"/>
                                  <a:ext cx="8524" cy="9240"/>
                                  <a:chOff x="-1409" y="0"/>
                                  <a:chExt cx="8525" cy="9239"/>
                                </a:xfrm>
                              </wpg:grpSpPr>
                              <pic:pic xmlns:pic="http://schemas.openxmlformats.org/drawingml/2006/picture">
                                <pic:nvPicPr>
                                  <pic:cNvPr id="24229" name="Picture 29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00" y="0"/>
                                    <a:ext cx="5715" cy="5715"/>
                                  </a:xfrm>
                                  <a:prstGeom prst="rect">
                                    <a:avLst/>
                                  </a:prstGeom>
                                  <a:noFill/>
                                </pic:spPr>
                              </pic:pic>
                              <wpg:grpSp>
                                <wpg:cNvPr id="24230" name="Group 336"/>
                                <wpg:cNvGrpSpPr>
                                  <a:grpSpLocks/>
                                </wpg:cNvGrpSpPr>
                                <wpg:grpSpPr bwMode="auto">
                                  <a:xfrm>
                                    <a:off x="1400" y="6195"/>
                                    <a:ext cx="5715" cy="3044"/>
                                    <a:chOff x="0" y="476"/>
                                    <a:chExt cx="11334" cy="3051"/>
                                  </a:xfrm>
                                </wpg:grpSpPr>
                                <wps:wsp>
                                  <wps:cNvPr id="24231" name="Straight Connector 337"/>
                                  <wps:cNvCnPr>
                                    <a:cxnSpLocks noChangeShapeType="1"/>
                                  </wps:cNvCnPr>
                                  <wps:spPr bwMode="auto">
                                    <a:xfrm rot="-5400000">
                                      <a:off x="5667" y="-4524"/>
                                      <a:ext cx="0" cy="11334"/>
                                    </a:xfrm>
                                    <a:prstGeom prst="line">
                                      <a:avLst/>
                                    </a:prstGeom>
                                    <a:noFill/>
                                    <a:ln w="19050">
                                      <a:solidFill>
                                        <a:srgbClr val="7030A0"/>
                                      </a:solidFill>
                                      <a:miter lim="800000"/>
                                      <a:headEnd/>
                                      <a:tailEnd/>
                                    </a:ln>
                                  </wps:spPr>
                                  <wps:bodyPr/>
                                </wps:wsp>
                                <wps:wsp>
                                  <wps:cNvPr id="24232" name="Rectangle 338"/>
                                  <wps:cNvSpPr>
                                    <a:spLocks noChangeArrowheads="1"/>
                                  </wps:cNvSpPr>
                                  <wps:spPr bwMode="auto">
                                    <a:xfrm>
                                      <a:off x="3720" y="1140"/>
                                      <a:ext cx="5063" cy="2387"/>
                                    </a:xfrm>
                                    <a:prstGeom prst="rect">
                                      <a:avLst/>
                                    </a:prstGeom>
                                    <a:noFill/>
                                    <a:ln>
                                      <a:noFill/>
                                    </a:ln>
                                  </wps:spPr>
                                  <wps:txbx>
                                    <w:txbxContent>
                                      <w:p w14:paraId="608210B3" w14:textId="77777777" w:rsidR="00527127" w:rsidRPr="00FA2263" w:rsidRDefault="00527127" w:rsidP="000D2571">
                                        <w:pPr>
                                          <w:spacing w:before="0"/>
                                          <w:rPr>
                                            <w:vertAlign w:val="subscript"/>
                                            <w:lang w:val="en-US"/>
                                          </w:rPr>
                                        </w:pPr>
                                        <w:r>
                                          <w:rPr>
                                            <w:lang w:val="en-US"/>
                                          </w:rPr>
                                          <w:t>B</w:t>
                                        </w:r>
                                        <w:r>
                                          <w:rPr>
                                            <w:vertAlign w:val="subscript"/>
                                            <w:lang w:val="en-US"/>
                                          </w:rPr>
                                          <w:t>2</w:t>
                                        </w:r>
                                      </w:p>
                                    </w:txbxContent>
                                  </wps:txbx>
                                  <wps:bodyPr rot="0" vert="horz" wrap="square" lIns="0" tIns="0" rIns="0" bIns="0" anchor="ctr" anchorCtr="0" upright="1">
                                    <a:noAutofit/>
                                  </wps:bodyPr>
                                </wps:wsp>
                                <wps:wsp>
                                  <wps:cNvPr id="24233" name="Straight Connector 339"/>
                                  <wps:cNvCnPr>
                                    <a:cxnSpLocks noChangeShapeType="1"/>
                                  </wps:cNvCnPr>
                                  <wps:spPr bwMode="auto">
                                    <a:xfrm rot="5400000">
                                      <a:off x="-667" y="1143"/>
                                      <a:ext cx="1333" cy="0"/>
                                    </a:xfrm>
                                    <a:prstGeom prst="line">
                                      <a:avLst/>
                                    </a:prstGeom>
                                    <a:noFill/>
                                    <a:ln w="19050">
                                      <a:solidFill>
                                        <a:srgbClr val="7030A0"/>
                                      </a:solidFill>
                                      <a:miter lim="800000"/>
                                      <a:headEnd/>
                                      <a:tailEnd/>
                                    </a:ln>
                                  </wps:spPr>
                                  <wps:bodyPr/>
                                </wps:wsp>
                                <wps:wsp>
                                  <wps:cNvPr id="24234" name="Straight Connector 340"/>
                                  <wps:cNvCnPr>
                                    <a:cxnSpLocks noChangeShapeType="1"/>
                                  </wps:cNvCnPr>
                                  <wps:spPr bwMode="auto">
                                    <a:xfrm rot="5400000">
                                      <a:off x="10667" y="1143"/>
                                      <a:ext cx="1333" cy="0"/>
                                    </a:xfrm>
                                    <a:prstGeom prst="line">
                                      <a:avLst/>
                                    </a:prstGeom>
                                    <a:noFill/>
                                    <a:ln w="19050">
                                      <a:solidFill>
                                        <a:srgbClr val="7030A0"/>
                                      </a:solidFill>
                                      <a:miter lim="800000"/>
                                      <a:headEnd/>
                                      <a:tailEnd/>
                                    </a:ln>
                                  </wps:spPr>
                                  <wps:bodyPr/>
                                </wps:wsp>
                              </wpg:grpSp>
                              <wpg:grpSp>
                                <wpg:cNvPr id="24235" name="Group 341"/>
                                <wpg:cNvGrpSpPr>
                                  <a:grpSpLocks/>
                                </wpg:cNvGrpSpPr>
                                <wpg:grpSpPr bwMode="auto">
                                  <a:xfrm rot="5400000">
                                    <a:off x="-2869" y="1526"/>
                                    <a:ext cx="5645" cy="2725"/>
                                    <a:chOff x="0" y="476"/>
                                    <a:chExt cx="11334" cy="2761"/>
                                  </a:xfrm>
                                </wpg:grpSpPr>
                                <wps:wsp>
                                  <wps:cNvPr id="24236" name="Straight Connector 342"/>
                                  <wps:cNvCnPr>
                                    <a:cxnSpLocks noChangeShapeType="1"/>
                                  </wps:cNvCnPr>
                                  <wps:spPr bwMode="auto">
                                    <a:xfrm rot="-5400000">
                                      <a:off x="5667" y="-4524"/>
                                      <a:ext cx="0" cy="11334"/>
                                    </a:xfrm>
                                    <a:prstGeom prst="line">
                                      <a:avLst/>
                                    </a:prstGeom>
                                    <a:noFill/>
                                    <a:ln w="19050">
                                      <a:solidFill>
                                        <a:srgbClr val="7030A0"/>
                                      </a:solidFill>
                                      <a:miter lim="800000"/>
                                      <a:headEnd/>
                                      <a:tailEnd/>
                                    </a:ln>
                                  </wps:spPr>
                                  <wps:bodyPr/>
                                </wps:wsp>
                                <wps:wsp>
                                  <wps:cNvPr id="24237" name="Rectangle 343"/>
                                  <wps:cNvSpPr>
                                    <a:spLocks noChangeArrowheads="1"/>
                                  </wps:cNvSpPr>
                                  <wps:spPr bwMode="auto">
                                    <a:xfrm rot="-5400000">
                                      <a:off x="5256" y="-553"/>
                                      <a:ext cx="2220" cy="5361"/>
                                    </a:xfrm>
                                    <a:prstGeom prst="rect">
                                      <a:avLst/>
                                    </a:prstGeom>
                                    <a:noFill/>
                                    <a:ln>
                                      <a:noFill/>
                                    </a:ln>
                                  </wps:spPr>
                                  <wps:txbx>
                                    <w:txbxContent>
                                      <w:p w14:paraId="78C78388" w14:textId="77777777" w:rsidR="00527127" w:rsidRPr="00FA2263" w:rsidRDefault="00527127" w:rsidP="000D2571">
                                        <w:pPr>
                                          <w:spacing w:before="0"/>
                                          <w:rPr>
                                            <w:vertAlign w:val="subscript"/>
                                            <w:lang w:val="en-US"/>
                                          </w:rPr>
                                        </w:pPr>
                                        <w:r w:rsidRPr="00FA2263">
                                          <w:rPr>
                                            <w:lang w:val="en-US"/>
                                          </w:rPr>
                                          <w:t>A</w:t>
                                        </w:r>
                                        <w:r w:rsidRPr="00FA2263">
                                          <w:rPr>
                                            <w:vertAlign w:val="subscript"/>
                                            <w:lang w:val="en-US"/>
                                          </w:rPr>
                                          <w:t>2</w:t>
                                        </w:r>
                                      </w:p>
                                    </w:txbxContent>
                                  </wps:txbx>
                                  <wps:bodyPr rot="0" vert="horz" wrap="square" lIns="0" tIns="0" rIns="0" bIns="0" anchor="ctr" anchorCtr="0" upright="1">
                                    <a:noAutofit/>
                                  </wps:bodyPr>
                                </wps:wsp>
                                <wps:wsp>
                                  <wps:cNvPr id="24238" name="Straight Connector 344"/>
                                  <wps:cNvCnPr>
                                    <a:cxnSpLocks noChangeShapeType="1"/>
                                  </wps:cNvCnPr>
                                  <wps:spPr bwMode="auto">
                                    <a:xfrm rot="5400000">
                                      <a:off x="-667" y="1143"/>
                                      <a:ext cx="1333" cy="0"/>
                                    </a:xfrm>
                                    <a:prstGeom prst="line">
                                      <a:avLst/>
                                    </a:prstGeom>
                                    <a:noFill/>
                                    <a:ln w="19050">
                                      <a:solidFill>
                                        <a:srgbClr val="7030A0"/>
                                      </a:solidFill>
                                      <a:miter lim="800000"/>
                                      <a:headEnd/>
                                      <a:tailEnd/>
                                    </a:ln>
                                  </wps:spPr>
                                  <wps:bodyPr/>
                                </wps:wsp>
                                <wps:wsp>
                                  <wps:cNvPr id="24239" name="Straight Connector 345"/>
                                  <wps:cNvCnPr>
                                    <a:cxnSpLocks noChangeShapeType="1"/>
                                  </wps:cNvCnPr>
                                  <wps:spPr bwMode="auto">
                                    <a:xfrm rot="5400000">
                                      <a:off x="10667" y="1143"/>
                                      <a:ext cx="1333" cy="0"/>
                                    </a:xfrm>
                                    <a:prstGeom prst="line">
                                      <a:avLst/>
                                    </a:prstGeom>
                                    <a:noFill/>
                                    <a:ln w="19050">
                                      <a:solidFill>
                                        <a:srgbClr val="7030A0"/>
                                      </a:solidFill>
                                      <a:miter lim="800000"/>
                                      <a:headEnd/>
                                      <a:tailEnd/>
                                    </a:ln>
                                  </wps:spPr>
                                  <wps:bodyPr/>
                                </wps:wsp>
                              </wpg:grpSp>
                            </wpg:grpSp>
                            <wpg:grpSp>
                              <wpg:cNvPr id="24240" name="Group 429"/>
                              <wpg:cNvGrpSpPr>
                                <a:grpSpLocks/>
                              </wpg:cNvGrpSpPr>
                              <wpg:grpSpPr bwMode="auto">
                                <a:xfrm>
                                  <a:off x="3048" y="3361"/>
                                  <a:ext cx="15348" cy="9580"/>
                                  <a:chOff x="0" y="694"/>
                                  <a:chExt cx="15348" cy="9580"/>
                                </a:xfrm>
                              </wpg:grpSpPr>
                              <wps:wsp>
                                <wps:cNvPr id="24241" name="Straight Connector 329"/>
                                <wps:cNvCnPr>
                                  <a:cxnSpLocks noChangeShapeType="1"/>
                                </wps:cNvCnPr>
                                <wps:spPr bwMode="auto">
                                  <a:xfrm flipV="1">
                                    <a:off x="1143" y="694"/>
                                    <a:ext cx="14205" cy="3497"/>
                                  </a:xfrm>
                                  <a:prstGeom prst="line">
                                    <a:avLst/>
                                  </a:prstGeom>
                                  <a:noFill/>
                                  <a:ln w="12700">
                                    <a:solidFill>
                                      <a:srgbClr val="FFFF00"/>
                                    </a:solidFill>
                                    <a:miter lim="800000"/>
                                    <a:headEnd/>
                                    <a:tailEnd/>
                                  </a:ln>
                                </wps:spPr>
                                <wps:bodyPr/>
                              </wps:wsp>
                              <wps:wsp>
                                <wps:cNvPr id="24242" name="Oval 328"/>
                                <wps:cNvSpPr>
                                  <a:spLocks noChangeArrowheads="1"/>
                                </wps:cNvSpPr>
                                <wps:spPr bwMode="auto">
                                  <a:xfrm>
                                    <a:off x="0" y="4191"/>
                                    <a:ext cx="2286" cy="2381"/>
                                  </a:xfrm>
                                  <a:prstGeom prst="ellipse">
                                    <a:avLst/>
                                  </a:prstGeom>
                                  <a:noFill/>
                                  <a:ln w="12700">
                                    <a:solidFill>
                                      <a:srgbClr val="FFFF00"/>
                                    </a:solidFill>
                                    <a:miter lim="800000"/>
                                    <a:headEnd/>
                                    <a:tailEnd/>
                                  </a:ln>
                                </wps:spPr>
                                <wps:bodyPr rot="0" vert="horz" wrap="square" lIns="91440" tIns="45720" rIns="91440" bIns="45720" anchor="ctr" anchorCtr="0" upright="1">
                                  <a:noAutofit/>
                                </wps:bodyPr>
                              </wps:wsp>
                              <wps:wsp>
                                <wps:cNvPr id="24243" name="Straight Connector 330"/>
                                <wps:cNvCnPr>
                                  <a:cxnSpLocks noChangeShapeType="1"/>
                                </wps:cNvCnPr>
                                <wps:spPr bwMode="auto">
                                  <a:xfrm>
                                    <a:off x="952" y="6572"/>
                                    <a:ext cx="14396" cy="3702"/>
                                  </a:xfrm>
                                  <a:prstGeom prst="line">
                                    <a:avLst/>
                                  </a:prstGeom>
                                  <a:noFill/>
                                  <a:ln w="12700">
                                    <a:solidFill>
                                      <a:srgbClr val="FFFF00"/>
                                    </a:solidFill>
                                    <a:miter lim="800000"/>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054F4FC5" id="Group 24214" o:spid="_x0000_s1199" style="position:absolute;left:0;text-align:left;margin-left:0;margin-top:4.35pt;width:235.8pt;height:102pt;z-index:-251643904;mso-position-horizontal-relative:text;mso-position-vertical-relative:text;mso-width-relative:margin;mso-height-relative:margin" coordorigin="-1409,1377" coordsize="31405,13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">
                      <v:group id="Group 352" o:spid="_x0000_s1200" style="position:absolute;left:16406;top:1377;width:13589;height:13548" coordorigin="499,996" coordsize="13589,13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">
                        <v:group id="Group 353" o:spid="_x0000_s1201" style="position:absolute;left:1619;top:2047;width:11430;height:11573" coordorigin=",-142" coordsize="11430,11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">
                          <v:group id="Group 354" o:spid="_x0000_s1202" style="position:absolute;width:11430;height:11430"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">
                            <v:rect id="Rectangle 355" o:spid="_x0000_s1203" style="position:absolute;top:3905;width:11430;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" fillcolor="black [3213]" stroked="f"/>
                            <v:rect id="Rectangle 356" o:spid="_x0000_s1204" style="position:absolute;left:-48;top:3667;width:11430;height:4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" fillcolor="black [3213]" stroked="f"/>
                            <v:rect id="Rectangle 357" o:spid="_x0000_s1205" style="position:absolute;left:3619;top:3905;width:4001;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" fillcolor="white [3212]" strokecolor="white [3212]" strokeweight=".5pt"/>
                          </v:group>
                          <v:group id="Group 358" o:spid="_x0000_s1206" style="position:absolute;left:340;top:4095;width:3660;height:3715" coordorigin="-51696" coordsize="366021,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">
                            <v:shape id="Right Brace 359" o:spid="_x0000_s1207" type="#_x0000_t88" style="position:absolute;left:152400;width:161925;height:37147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" adj="785" strokecolor="yellow" strokeweight="1.5pt">
                              <v:stroke joinstyle="miter"/>
                            </v:shape>
                            <v:rect id="Rectangle 360" o:spid="_x0000_s1208" style="position:absolute;left:-51696;top:78125;width:184106;height:178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" filled="f" stroked="f">
                              <v:textbox inset="0,0,0,0">
                                <w:txbxContent>
                                  <w:p w14:paraId="28DAA76D"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C</w:t>
                                    </w:r>
                                    <w:r w:rsidRPr="00A4565A">
                                      <w:rPr>
                                        <w:color w:val="FFFFFF" w:themeColor="background1"/>
                                        <w:vertAlign w:val="subscript"/>
                                        <w:lang w:val="en-US"/>
                                      </w:rPr>
                                      <w:t>2</w:t>
                                    </w:r>
                                  </w:p>
                                </w:txbxContent>
                              </v:textbox>
                            </v:rect>
                          </v:group>
                          <v:group id="Group 361" o:spid="_x0000_s1209" style="position:absolute;left:3524;top:1;width:3999;height:3714;rotation:90" coordorigin="-85725,-9525" coordsize="40005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">
                            <v:shape id="Right Brace 362" o:spid="_x0000_s1210" type="#_x0000_t88" style="position:absolute;left:152400;top:-9525;width:161925;height:37147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" adj="785" strokecolor="yellow" strokeweight="1.5pt">
                              <v:stroke joinstyle="miter"/>
                            </v:shape>
                            <v:rect id="Rectangle 363" o:spid="_x0000_s1211" style="position:absolute;left:-115220;top:75294;width:249490;height:1905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" filled="f" stroked="f">
                              <v:textbox inset="0,0,0,0">
                                <w:txbxContent>
                                  <w:p w14:paraId="6755C561"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D</w:t>
                                    </w:r>
                                    <w:r w:rsidRPr="00A4565A">
                                      <w:rPr>
                                        <w:color w:val="FFFFFF" w:themeColor="background1"/>
                                        <w:vertAlign w:val="subscript"/>
                                        <w:lang w:val="en-US"/>
                                      </w:rPr>
                                      <w:t>2</w:t>
                                    </w:r>
                                  </w:p>
                                </w:txbxContent>
                              </v:textbox>
                            </v:rect>
                          </v:group>
                        </v:group>
                        <v:oval id="Oval 364" o:spid="_x0000_s1212" style="position:absolute;left:499;top:996;width:13589;height:13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" filled="f" strokecolor="#4472c4 [3204]" strokeweight=".5pt">
                          <v:stroke joinstyle="miter"/>
                        </v:oval>
                      </v:group>
                      <v:group id="Group 427" o:spid="_x0000_s1213" style="position:absolute;left:-1409;top:5238;width:8524;height:9240" coordorigin="-1409" coordsize="8525,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">
                        <v:shape id="Picture 294" o:spid="_x0000_s1214" type="#_x0000_t75" style="position:absolute;left:1400;width:5715;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">
                          <v:imagedata r:id="rId80" o:title=""/>
                        </v:shape>
                        <v:group id="Group 336" o:spid="_x0000_s1215" style="position:absolute;left:1400;top:6195;width:5715;height:3044" coordorigin=",476" coordsize="11334,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">
                          <v:line id="Straight Connector 337" o:spid="_x0000_s1216" style="position:absolute;rotation:-90;visibility:visible;mso-wrap-style:square" from="5667,-4524" to="566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" strokecolor="#7030a0" strokeweight="1.5pt">
                            <v:stroke joinstyle="miter"/>
                          </v:line>
                          <v:rect id="Rectangle 338" o:spid="_x0000_s1217" style="position:absolute;left:3720;top:1140;width:5063;height:23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" filled="f" stroked="f">
                            <v:textbox inset="0,0,0,0">
                              <w:txbxContent>
                                <w:p w14:paraId="608210B3" w14:textId="77777777" w:rsidR="00527127" w:rsidRPr="00FA2263" w:rsidRDefault="00527127" w:rsidP="000D2571">
                                  <w:pPr>
                                    <w:spacing w:before="0"/>
                                    <w:rPr>
                                      <w:vertAlign w:val="subscript"/>
                                      <w:lang w:val="en-US"/>
                                    </w:rPr>
                                  </w:pPr>
                                  <w:r>
                                    <w:rPr>
                                      <w:lang w:val="en-US"/>
                                    </w:rPr>
                                    <w:t>B</w:t>
                                  </w:r>
                                  <w:r>
                                    <w:rPr>
                                      <w:vertAlign w:val="subscript"/>
                                      <w:lang w:val="en-US"/>
                                    </w:rPr>
                                    <w:t>2</w:t>
                                  </w:r>
                                </w:p>
                              </w:txbxContent>
                            </v:textbox>
                          </v:rect>
                          <v:line id="Straight Connector 339" o:spid="_x0000_s1218" style="position:absolute;rotation:90;visibility:visible;mso-wrap-style:square" from="-667,1143" to="66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" strokecolor="#7030a0" strokeweight="1.5pt">
                            <v:stroke joinstyle="miter"/>
                          </v:line>
                          <v:line id="Straight Connector 340" o:spid="_x0000_s1219" style="position:absolute;rotation:90;visibility:visible;mso-wrap-style:square" from="10667,1143" to="1200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" strokecolor="#7030a0" strokeweight="1.5pt">
                            <v:stroke joinstyle="miter"/>
                          </v:line>
                        </v:group>
                        <v:group id="Group 341" o:spid="_x0000_s1220" style="position:absolute;left:-2869;top:1526;width:5645;height:2725;rotation:90" coordorigin=",476" coordsize="11334,2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">
                          <v:line id="Straight Connector 342" o:spid="_x0000_s1221" style="position:absolute;rotation:-90;visibility:visible;mso-wrap-style:square" from="5667,-4524" to="566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" strokecolor="#7030a0" strokeweight="1.5pt">
                            <v:stroke joinstyle="miter"/>
                          </v:line>
                          <v:rect id="Rectangle 343" o:spid="_x0000_s1222" style="position:absolute;left:5256;top:-553;width:2220;height:536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" filled="f" stroked="f">
                            <v:textbox inset="0,0,0,0">
                              <w:txbxContent>
                                <w:p w14:paraId="78C78388" w14:textId="77777777" w:rsidR="00527127" w:rsidRPr="00FA2263" w:rsidRDefault="00527127" w:rsidP="000D2571">
                                  <w:pPr>
                                    <w:spacing w:before="0"/>
                                    <w:rPr>
                                      <w:vertAlign w:val="subscript"/>
                                      <w:lang w:val="en-US"/>
                                    </w:rPr>
                                  </w:pPr>
                                  <w:r w:rsidRPr="00FA2263">
                                    <w:rPr>
                                      <w:lang w:val="en-US"/>
                                    </w:rPr>
                                    <w:t>A</w:t>
                                  </w:r>
                                  <w:r w:rsidRPr="00FA2263">
                                    <w:rPr>
                                      <w:vertAlign w:val="subscript"/>
                                      <w:lang w:val="en-US"/>
                                    </w:rPr>
                                    <w:t>2</w:t>
                                  </w:r>
                                </w:p>
                              </w:txbxContent>
                            </v:textbox>
                          </v:rect>
                          <v:line id="Straight Connector 344" o:spid="_x0000_s1223" style="position:absolute;rotation:90;visibility:visible;mso-wrap-style:square" from="-667,1143" to="66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" strokecolor="#7030a0" strokeweight="1.5pt">
                            <v:stroke joinstyle="miter"/>
                          </v:line>
                          <v:line id="Straight Connector 345" o:spid="_x0000_s1224" style="position:absolute;rotation:90;visibility:visible;mso-wrap-style:square" from="10667,1143" to="1200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" strokecolor="#7030a0" strokeweight="1.5pt">
                            <v:stroke joinstyle="miter"/>
                          </v:line>
                        </v:group>
                      </v:group>
                      <v:group id="Group 429" o:spid="_x0000_s1225" style="position:absolute;left:3048;top:3361;width:15348;height:9580" coordorigin=",694" coordsize="15348,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">
                        <v:line id="Straight Connector 329" o:spid="_x0000_s1226" style="position:absolute;flip:y;visibility:visible;mso-wrap-style:square" from="1143,694" to="15348,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" strokecolor="yellow" strokeweight="1pt">
                          <v:stroke joinstyle="miter"/>
                        </v:line>
                        <v:oval id="Oval 328" o:spid="_x0000_s1227" style="position:absolute;top:4191;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" filled="f" strokecolor="yellow" strokeweight="1pt">
                          <v:stroke joinstyle="miter"/>
                        </v:oval>
                        <v:line id="Straight Connector 330" o:spid="_x0000_s1228" style="position:absolute;visibility:visible;mso-wrap-style:square" from="952,6572" to="15348,10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" strokecolor="yellow" strokeweight="1pt">
                          <v:stroke joinstyle="miter"/>
                        </v:line>
                      </v:group>
                      <w10:wrap type="tight"/>
                    </v:group>
                  </w:pict>
                </mc:Fallback>
              </mc:AlternateContent>
            </w:r>
            <w:r w:rsidR="000D2571" w:rsidRPr="009D4627">
              <w:t>1° cross</w:t>
            </w:r>
          </w:p>
          <w:p w14:paraId="65204754" w14:textId="77777777" w:rsidR="000D2571" w:rsidRPr="009D4627" w:rsidRDefault="000D2571" w:rsidP="000D2571">
            <w:pPr>
              <w:spacing w:before="0" w:after="0" w:line="240" w:lineRule="auto"/>
            </w:pPr>
          </w:p>
        </w:tc>
        <w:tc>
          <w:tcPr>
            <w:tcW w:w="2987" w:type="dxa"/>
            <w:tcBorders>
              <w:top w:val="single" w:sz="4" w:space="0" w:color="auto"/>
              <w:left w:val="nil"/>
              <w:bottom w:val="single" w:sz="4" w:space="0" w:color="auto"/>
              <w:right w:val="nil"/>
            </w:tcBorders>
            <w:tcMar>
              <w:top w:w="100" w:type="dxa"/>
              <w:left w:w="100" w:type="dxa"/>
              <w:bottom w:w="100" w:type="dxa"/>
              <w:right w:w="100" w:type="dxa"/>
            </w:tcMar>
          </w:tcPr>
          <w:p w14:paraId="225D45D9" w14:textId="77777777" w:rsidR="000D2571" w:rsidRPr="009D4627" w:rsidRDefault="000D2571" w:rsidP="000D2571">
            <w:pPr>
              <w:spacing w:before="0" w:after="0" w:line="240" w:lineRule="auto"/>
              <w:jc w:val="left"/>
              <w:rPr>
                <w:noProof/>
              </w:rPr>
            </w:pPr>
            <w:r w:rsidRPr="009D4627">
              <w:rPr>
                <w:noProof/>
                <w:sz w:val="22"/>
                <w:szCs w:val="22"/>
              </w:rPr>
              <w:t>A</w:t>
            </w:r>
            <w:r w:rsidRPr="009D4627">
              <w:rPr>
                <w:noProof/>
                <w:sz w:val="22"/>
                <w:szCs w:val="22"/>
                <w:vertAlign w:val="subscript"/>
              </w:rPr>
              <w:t>2</w:t>
            </w:r>
            <w:r w:rsidRPr="009D4627">
              <w:rPr>
                <w:noProof/>
                <w:sz w:val="22"/>
                <w:szCs w:val="22"/>
              </w:rPr>
              <w:t xml:space="preserve"> = B</w:t>
            </w:r>
            <w:r w:rsidRPr="009D4627">
              <w:rPr>
                <w:noProof/>
                <w:sz w:val="22"/>
                <w:szCs w:val="22"/>
                <w:vertAlign w:val="subscript"/>
              </w:rPr>
              <w:t>2</w:t>
            </w:r>
            <w:r w:rsidRPr="009D4627">
              <w:rPr>
                <w:noProof/>
                <w:sz w:val="22"/>
                <w:szCs w:val="22"/>
              </w:rPr>
              <w:t xml:space="preserve"> = 17 mm,</w:t>
            </w:r>
          </w:p>
          <w:p w14:paraId="6F4D519F" w14:textId="77777777" w:rsidR="000D2571" w:rsidRPr="009D4627" w:rsidRDefault="000D2571" w:rsidP="000D2571">
            <w:pPr>
              <w:spacing w:before="0" w:after="0" w:line="240" w:lineRule="auto"/>
              <w:jc w:val="left"/>
              <w:rPr>
                <w:noProof/>
              </w:rPr>
            </w:pPr>
            <w:r w:rsidRPr="009D4627">
              <w:rPr>
                <w:noProof/>
                <w:sz w:val="22"/>
                <w:szCs w:val="22"/>
              </w:rPr>
              <w:t>C</w:t>
            </w:r>
            <w:r w:rsidRPr="009D4627">
              <w:rPr>
                <w:noProof/>
                <w:sz w:val="22"/>
                <w:szCs w:val="22"/>
                <w:vertAlign w:val="subscript"/>
              </w:rPr>
              <w:t>2</w:t>
            </w:r>
            <w:r w:rsidRPr="009D4627">
              <w:rPr>
                <w:noProof/>
                <w:sz w:val="22"/>
                <w:szCs w:val="22"/>
              </w:rPr>
              <w:t xml:space="preserve"> = D</w:t>
            </w:r>
            <w:r w:rsidRPr="009D4627">
              <w:rPr>
                <w:noProof/>
                <w:sz w:val="22"/>
                <w:szCs w:val="22"/>
                <w:vertAlign w:val="subscript"/>
              </w:rPr>
              <w:t>2</w:t>
            </w:r>
            <w:r w:rsidRPr="009D4627">
              <w:rPr>
                <w:noProof/>
                <w:sz w:val="22"/>
                <w:szCs w:val="22"/>
              </w:rPr>
              <w:t xml:space="preserve"> = 1.5 mm</w:t>
            </w:r>
          </w:p>
          <w:p w14:paraId="04413F05" w14:textId="77777777" w:rsidR="000D2571" w:rsidRPr="009D4627" w:rsidRDefault="000D2571" w:rsidP="000D2571">
            <w:pPr>
              <w:spacing w:before="0" w:after="0" w:line="240" w:lineRule="auto"/>
              <w:jc w:val="left"/>
              <w:rPr>
                <w:noProof/>
              </w:rPr>
            </w:pPr>
          </w:p>
          <w:p w14:paraId="561B58D7" w14:textId="77777777" w:rsidR="000D2571" w:rsidRPr="009D4627" w:rsidRDefault="000D2571" w:rsidP="000D2571">
            <w:pPr>
              <w:spacing w:before="0" w:after="0" w:line="240" w:lineRule="auto"/>
              <w:jc w:val="left"/>
            </w:pPr>
            <w:r w:rsidRPr="009D4627">
              <w:rPr>
                <w:sz w:val="22"/>
                <w:szCs w:val="22"/>
              </w:rPr>
              <w:t>⸫ White square =</w:t>
            </w:r>
          </w:p>
          <w:p w14:paraId="722C0885" w14:textId="77777777" w:rsidR="000D2571" w:rsidRPr="009D4627" w:rsidRDefault="000D2571" w:rsidP="000D2571">
            <w:pPr>
              <w:spacing w:before="0" w:after="0" w:line="240" w:lineRule="auto"/>
              <w:jc w:val="left"/>
              <w:rPr>
                <w:rFonts w:eastAsia="Times New Roman"/>
                <w:noProof/>
              </w:rPr>
            </w:pPr>
            <w:r w:rsidRPr="009D4627">
              <w:rPr>
                <w:sz w:val="22"/>
                <w:szCs w:val="22"/>
              </w:rPr>
              <w:t xml:space="preserve">1.5 mm/17 mm x 1° cross = </w:t>
            </w:r>
            <w:r w:rsidRPr="009D4627">
              <w:rPr>
                <w:sz w:val="22"/>
                <w:szCs w:val="22"/>
                <w:u w:val="single"/>
              </w:rPr>
              <w:t>0.088°</w:t>
            </w:r>
          </w:p>
        </w:tc>
      </w:tr>
      <w:tr w:rsidR="000D2571" w:rsidRPr="009D4627" w14:paraId="413BEA4F" w14:textId="77777777" w:rsidTr="000D2571">
        <w:trPr>
          <w:trHeight w:val="2108"/>
          <w:jc w:val="center"/>
        </w:trPr>
        <w:tc>
          <w:tcPr>
            <w:tcW w:w="5944" w:type="dxa"/>
            <w:tcBorders>
              <w:top w:val="single" w:sz="4" w:space="0" w:color="auto"/>
              <w:left w:val="nil"/>
              <w:bottom w:val="single" w:sz="4" w:space="0" w:color="auto"/>
              <w:right w:val="nil"/>
            </w:tcBorders>
            <w:tcMar>
              <w:top w:w="100" w:type="dxa"/>
              <w:left w:w="100" w:type="dxa"/>
              <w:bottom w:w="100" w:type="dxa"/>
              <w:right w:w="100" w:type="dxa"/>
            </w:tcMar>
          </w:tcPr>
          <w:p w14:paraId="74142A08" w14:textId="26AA3C13" w:rsidR="000D2571" w:rsidRPr="009D4627" w:rsidRDefault="00A2792E" w:rsidP="000D2571">
            <w:pPr>
              <w:spacing w:before="0" w:after="0" w:line="240" w:lineRule="auto"/>
              <w:rPr>
                <w:bCs/>
              </w:rPr>
            </w:pPr>
            <w:r w:rsidRPr="009D4627">
              <w:rPr>
                <w:noProof/>
              </w:rPr>
              <mc:AlternateContent>
                <mc:Choice Requires="wpg">
                  <w:drawing>
                    <wp:anchor distT="0" distB="0" distL="114300" distR="114300" simplePos="0" relativeHeight="251670528" behindDoc="0" locked="0" layoutInCell="1" allowOverlap="1" wp14:anchorId="14006CD7" wp14:editId="41DF502F">
                      <wp:simplePos x="0" y="0"/>
                      <wp:positionH relativeFrom="column">
                        <wp:posOffset>29845</wp:posOffset>
                      </wp:positionH>
                      <wp:positionV relativeFrom="paragraph">
                        <wp:posOffset>116840</wp:posOffset>
                      </wp:positionV>
                      <wp:extent cx="3039110" cy="1439545"/>
                      <wp:effectExtent l="0" t="0" r="8890" b="0"/>
                      <wp:wrapNone/>
                      <wp:docPr id="24184" name="Group 24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9110" cy="1439545"/>
                                <a:chOff x="0" y="0"/>
                                <a:chExt cx="30390" cy="14395"/>
                              </a:xfrm>
                            </wpg:grpSpPr>
                            <wpg:grpSp>
                              <wpg:cNvPr id="24185" name="Group 48"/>
                              <wpg:cNvGrpSpPr>
                                <a:grpSpLocks/>
                              </wpg:cNvGrpSpPr>
                              <wpg:grpSpPr bwMode="auto">
                                <a:xfrm>
                                  <a:off x="0" y="1238"/>
                                  <a:ext cx="29089" cy="13157"/>
                                  <a:chOff x="-857" y="2381"/>
                                  <a:chExt cx="33242" cy="15240"/>
                                </a:xfrm>
                              </wpg:grpSpPr>
                              <wpg:grpSp>
                                <wpg:cNvPr id="24186" name="Group 49"/>
                                <wpg:cNvGrpSpPr>
                                  <a:grpSpLocks/>
                                </wpg:cNvGrpSpPr>
                                <wpg:grpSpPr bwMode="auto">
                                  <a:xfrm>
                                    <a:off x="-857" y="3333"/>
                                    <a:ext cx="14192" cy="14288"/>
                                    <a:chOff x="-857" y="0"/>
                                    <a:chExt cx="14192" cy="14287"/>
                                  </a:xfrm>
                                </wpg:grpSpPr>
                                <pic:pic xmlns:pic="http://schemas.openxmlformats.org/drawingml/2006/picture">
                                  <pic:nvPicPr>
                                    <pic:cNvPr id="24187" name="Picture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905" y="0"/>
                                      <a:ext cx="11430" cy="11430"/>
                                    </a:xfrm>
                                    <a:prstGeom prst="rect">
                                      <a:avLst/>
                                    </a:prstGeom>
                                    <a:noFill/>
                                  </pic:spPr>
                                </pic:pic>
                                <wpg:grpSp>
                                  <wpg:cNvPr id="24188" name="Group 51"/>
                                  <wpg:cNvGrpSpPr>
                                    <a:grpSpLocks/>
                                  </wpg:cNvGrpSpPr>
                                  <wpg:grpSpPr bwMode="auto">
                                    <a:xfrm>
                                      <a:off x="-857" y="0"/>
                                      <a:ext cx="2285" cy="11430"/>
                                      <a:chOff x="-857" y="0"/>
                                      <a:chExt cx="2285" cy="11430"/>
                                    </a:xfrm>
                                  </wpg:grpSpPr>
                                  <wps:wsp>
                                    <wps:cNvPr id="24189" name="Straight Connector 52"/>
                                    <wps:cNvCnPr>
                                      <a:cxnSpLocks noChangeShapeType="1"/>
                                    </wps:cNvCnPr>
                                    <wps:spPr bwMode="auto">
                                      <a:xfrm>
                                        <a:off x="762" y="0"/>
                                        <a:ext cx="0" cy="11334"/>
                                      </a:xfrm>
                                      <a:prstGeom prst="line">
                                        <a:avLst/>
                                      </a:prstGeom>
                                      <a:noFill/>
                                      <a:ln w="19050">
                                        <a:solidFill>
                                          <a:srgbClr val="7030A0"/>
                                        </a:solidFill>
                                        <a:miter lim="800000"/>
                                        <a:headEnd/>
                                        <a:tailEnd/>
                                      </a:ln>
                                    </wps:spPr>
                                    <wps:bodyPr/>
                                  </wps:wsp>
                                  <wps:wsp>
                                    <wps:cNvPr id="24190" name="Straight Connector 53"/>
                                    <wps:cNvCnPr>
                                      <a:cxnSpLocks noChangeShapeType="1"/>
                                    </wps:cNvCnPr>
                                    <wps:spPr bwMode="auto">
                                      <a:xfrm>
                                        <a:off x="95" y="95"/>
                                        <a:ext cx="1333" cy="0"/>
                                      </a:xfrm>
                                      <a:prstGeom prst="line">
                                        <a:avLst/>
                                      </a:prstGeom>
                                      <a:noFill/>
                                      <a:ln w="19050">
                                        <a:solidFill>
                                          <a:srgbClr val="7030A0"/>
                                        </a:solidFill>
                                        <a:miter lim="800000"/>
                                        <a:headEnd/>
                                        <a:tailEnd/>
                                      </a:ln>
                                    </wps:spPr>
                                    <wps:bodyPr/>
                                  </wps:wsp>
                                  <wps:wsp>
                                    <wps:cNvPr id="24191" name="Straight Connector 54"/>
                                    <wps:cNvCnPr>
                                      <a:cxnSpLocks noChangeShapeType="1"/>
                                    </wps:cNvCnPr>
                                    <wps:spPr bwMode="auto">
                                      <a:xfrm>
                                        <a:off x="0" y="11430"/>
                                        <a:ext cx="1333" cy="0"/>
                                      </a:xfrm>
                                      <a:prstGeom prst="line">
                                        <a:avLst/>
                                      </a:prstGeom>
                                      <a:noFill/>
                                      <a:ln w="19050">
                                        <a:solidFill>
                                          <a:srgbClr val="7030A0"/>
                                        </a:solidFill>
                                        <a:miter lim="800000"/>
                                        <a:headEnd/>
                                        <a:tailEnd/>
                                      </a:ln>
                                    </wps:spPr>
                                    <wps:bodyPr/>
                                  </wps:wsp>
                                  <wps:wsp>
                                    <wps:cNvPr id="24192" name="Rectangle 55"/>
                                    <wps:cNvSpPr>
                                      <a:spLocks noChangeArrowheads="1"/>
                                    </wps:cNvSpPr>
                                    <wps:spPr bwMode="auto">
                                      <a:xfrm>
                                        <a:off x="-857" y="4476"/>
                                        <a:ext cx="1714" cy="2381"/>
                                      </a:xfrm>
                                      <a:prstGeom prst="rect">
                                        <a:avLst/>
                                      </a:prstGeom>
                                      <a:noFill/>
                                      <a:ln>
                                        <a:noFill/>
                                      </a:ln>
                                    </wps:spPr>
                                    <wps:txbx>
                                      <w:txbxContent>
                                        <w:p w14:paraId="190DF6D0" w14:textId="77777777" w:rsidR="00527127" w:rsidRPr="0076093E" w:rsidRDefault="00527127" w:rsidP="000D2571">
                                          <w:pPr>
                                            <w:rPr>
                                              <w:vertAlign w:val="subscript"/>
                                              <w:lang w:val="en-US"/>
                                            </w:rPr>
                                          </w:pPr>
                                          <w:r>
                                            <w:rPr>
                                              <w:lang w:val="en-US"/>
                                            </w:rPr>
                                            <w:t>A</w:t>
                                          </w:r>
                                          <w:r>
                                            <w:rPr>
                                              <w:vertAlign w:val="subscript"/>
                                              <w:lang w:val="en-US"/>
                                            </w:rPr>
                                            <w:t>3</w:t>
                                          </w:r>
                                        </w:p>
                                      </w:txbxContent>
                                    </wps:txbx>
                                    <wps:bodyPr rot="0" vert="horz" wrap="square" lIns="0" tIns="0" rIns="0" bIns="0" anchor="ctr" anchorCtr="0" upright="1">
                                      <a:noAutofit/>
                                    </wps:bodyPr>
                                  </wps:wsp>
                                </wpg:grpSp>
                                <wpg:grpSp>
                                  <wpg:cNvPr id="24193" name="Group 56"/>
                                  <wpg:cNvGrpSpPr>
                                    <a:grpSpLocks/>
                                  </wpg:cNvGrpSpPr>
                                  <wpg:grpSpPr bwMode="auto">
                                    <a:xfrm>
                                      <a:off x="1905" y="12007"/>
                                      <a:ext cx="11334" cy="2280"/>
                                      <a:chOff x="0" y="476"/>
                                      <a:chExt cx="11334" cy="2280"/>
                                    </a:xfrm>
                                  </wpg:grpSpPr>
                                  <wps:wsp>
                                    <wps:cNvPr id="24194" name="Line 1693"/>
                                    <wps:cNvCnPr>
                                      <a:cxnSpLocks noChangeShapeType="1"/>
                                    </wps:cNvCnPr>
                                    <wps:spPr bwMode="auto">
                                      <a:xfrm rot="-5400000">
                                        <a:off x="5667" y="-4524"/>
                                        <a:ext cx="0" cy="11334"/>
                                      </a:xfrm>
                                      <a:prstGeom prst="line">
                                        <a:avLst/>
                                      </a:prstGeom>
                                      <a:noFill/>
                                      <a:ln w="19050">
                                        <a:solidFill>
                                          <a:srgbClr val="7030A0"/>
                                        </a:solidFill>
                                        <a:miter lim="800000"/>
                                        <a:headEnd/>
                                        <a:tailEnd/>
                                      </a:ln>
                                    </wps:spPr>
                                    <wps:bodyPr/>
                                  </wps:wsp>
                                  <wps:wsp>
                                    <wps:cNvPr id="24195" name="Rectangle 1694"/>
                                    <wps:cNvSpPr>
                                      <a:spLocks noChangeArrowheads="1"/>
                                    </wps:cNvSpPr>
                                    <wps:spPr bwMode="auto">
                                      <a:xfrm>
                                        <a:off x="4475" y="1037"/>
                                        <a:ext cx="2762" cy="1719"/>
                                      </a:xfrm>
                                      <a:prstGeom prst="rect">
                                        <a:avLst/>
                                      </a:prstGeom>
                                      <a:noFill/>
                                      <a:ln>
                                        <a:noFill/>
                                      </a:ln>
                                    </wps:spPr>
                                    <wps:txbx>
                                      <w:txbxContent>
                                        <w:p w14:paraId="47C24D86" w14:textId="77777777" w:rsidR="00527127" w:rsidRPr="0076093E" w:rsidRDefault="00527127" w:rsidP="000D2571">
                                          <w:pPr>
                                            <w:rPr>
                                              <w:vertAlign w:val="subscript"/>
                                              <w:lang w:val="en-US"/>
                                            </w:rPr>
                                          </w:pPr>
                                          <w:r>
                                            <w:rPr>
                                              <w:lang w:val="en-US"/>
                                            </w:rPr>
                                            <w:t>B</w:t>
                                          </w:r>
                                          <w:r>
                                            <w:rPr>
                                              <w:vertAlign w:val="subscript"/>
                                              <w:lang w:val="en-US"/>
                                            </w:rPr>
                                            <w:t>3</w:t>
                                          </w:r>
                                        </w:p>
                                      </w:txbxContent>
                                    </wps:txbx>
                                    <wps:bodyPr rot="0" vert="horz" wrap="square" lIns="0" tIns="0" rIns="0" bIns="0" anchor="ctr" anchorCtr="0" upright="1">
                                      <a:noAutofit/>
                                    </wps:bodyPr>
                                  </wps:wsp>
                                  <wps:wsp>
                                    <wps:cNvPr id="24196" name="Line 1695"/>
                                    <wps:cNvCnPr>
                                      <a:cxnSpLocks noChangeShapeType="1"/>
                                    </wps:cNvCnPr>
                                    <wps:spPr bwMode="auto">
                                      <a:xfrm rot="5400000">
                                        <a:off x="-667" y="1143"/>
                                        <a:ext cx="1333" cy="0"/>
                                      </a:xfrm>
                                      <a:prstGeom prst="line">
                                        <a:avLst/>
                                      </a:prstGeom>
                                      <a:noFill/>
                                      <a:ln w="19050">
                                        <a:solidFill>
                                          <a:srgbClr val="7030A0"/>
                                        </a:solidFill>
                                        <a:miter lim="800000"/>
                                        <a:headEnd/>
                                        <a:tailEnd/>
                                      </a:ln>
                                    </wps:spPr>
                                    <wps:bodyPr/>
                                  </wps:wsp>
                                  <wps:wsp>
                                    <wps:cNvPr id="24197" name="Straight Connector 60"/>
                                    <wps:cNvCnPr>
                                      <a:cxnSpLocks noChangeShapeType="1"/>
                                    </wps:cNvCnPr>
                                    <wps:spPr bwMode="auto">
                                      <a:xfrm rot="5400000">
                                        <a:off x="10667" y="1143"/>
                                        <a:ext cx="1333" cy="0"/>
                                      </a:xfrm>
                                      <a:prstGeom prst="line">
                                        <a:avLst/>
                                      </a:prstGeom>
                                      <a:noFill/>
                                      <a:ln w="19050">
                                        <a:solidFill>
                                          <a:srgbClr val="7030A0"/>
                                        </a:solidFill>
                                        <a:miter lim="800000"/>
                                        <a:headEnd/>
                                        <a:tailEnd/>
                                      </a:ln>
                                    </wps:spPr>
                                    <wps:bodyPr/>
                                  </wps:wsp>
                                </wpg:grpSp>
                              </wpg:grpSp>
                              <wpg:grpSp>
                                <wpg:cNvPr id="24198" name="Group 61"/>
                                <wpg:cNvGrpSpPr>
                                  <a:grpSpLocks/>
                                </wpg:cNvGrpSpPr>
                                <wpg:grpSpPr bwMode="auto">
                                  <a:xfrm>
                                    <a:off x="6381" y="3145"/>
                                    <a:ext cx="15116" cy="10892"/>
                                    <a:chOff x="0" y="-93"/>
                                    <a:chExt cx="15116" cy="10892"/>
                                  </a:xfrm>
                                </wpg:grpSpPr>
                                <wps:wsp>
                                  <wps:cNvPr id="24199" name="Straight Connector 62"/>
                                  <wps:cNvCnPr>
                                    <a:cxnSpLocks noChangeShapeType="1"/>
                                  </wps:cNvCnPr>
                                  <wps:spPr bwMode="auto">
                                    <a:xfrm flipV="1">
                                      <a:off x="1141" y="-93"/>
                                      <a:ext cx="13703" cy="4662"/>
                                    </a:xfrm>
                                    <a:prstGeom prst="line">
                                      <a:avLst/>
                                    </a:prstGeom>
                                    <a:noFill/>
                                    <a:ln w="12700">
                                      <a:solidFill>
                                        <a:srgbClr val="FFFF00"/>
                                      </a:solidFill>
                                      <a:miter lim="800000"/>
                                      <a:headEnd/>
                                      <a:tailEnd/>
                                    </a:ln>
                                  </wps:spPr>
                                  <wps:bodyPr/>
                                </wps:wsp>
                                <wps:wsp>
                                  <wps:cNvPr id="24200" name="Straight Connector 63"/>
                                  <wps:cNvCnPr>
                                    <a:cxnSpLocks noChangeShapeType="1"/>
                                  </wps:cNvCnPr>
                                  <wps:spPr bwMode="auto">
                                    <a:xfrm>
                                      <a:off x="1143" y="6949"/>
                                      <a:ext cx="13973" cy="3849"/>
                                    </a:xfrm>
                                    <a:prstGeom prst="line">
                                      <a:avLst/>
                                    </a:prstGeom>
                                    <a:noFill/>
                                    <a:ln w="12700">
                                      <a:solidFill>
                                        <a:srgbClr val="FFFF00"/>
                                      </a:solidFill>
                                      <a:miter lim="800000"/>
                                      <a:headEnd/>
                                      <a:tailEnd/>
                                    </a:ln>
                                  </wps:spPr>
                                  <wps:bodyPr/>
                                </wps:wsp>
                                <wps:wsp>
                                  <wps:cNvPr id="24201" name="Oval 64"/>
                                  <wps:cNvSpPr>
                                    <a:spLocks noChangeArrowheads="1"/>
                                  </wps:cNvSpPr>
                                  <wps:spPr bwMode="auto">
                                    <a:xfrm>
                                      <a:off x="0" y="4572"/>
                                      <a:ext cx="2286" cy="2381"/>
                                    </a:xfrm>
                                    <a:prstGeom prst="ellipse">
                                      <a:avLst/>
                                    </a:prstGeom>
                                    <a:noFill/>
                                    <a:ln w="12700">
                                      <a:solidFill>
                                        <a:srgbClr val="FFFF00"/>
                                      </a:solidFill>
                                      <a:miter lim="800000"/>
                                      <a:headEnd/>
                                      <a:tailEnd/>
                                    </a:ln>
                                  </wps:spPr>
                                  <wps:bodyPr rot="0" vert="horz" wrap="square" lIns="91440" tIns="45720" rIns="91440" bIns="45720" anchor="ctr" anchorCtr="0" upright="1">
                                    <a:noAutofit/>
                                  </wps:bodyPr>
                                </wps:wsp>
                              </wpg:grpSp>
                              <wpg:grpSp>
                                <wpg:cNvPr id="24202" name="Group 69"/>
                                <wpg:cNvGrpSpPr>
                                  <a:grpSpLocks/>
                                </wpg:cNvGrpSpPr>
                                <wpg:grpSpPr bwMode="auto">
                                  <a:xfrm>
                                    <a:off x="20955" y="2381"/>
                                    <a:ext cx="11430" cy="11430"/>
                                    <a:chOff x="0" y="0"/>
                                    <a:chExt cx="11430" cy="11430"/>
                                  </a:xfrm>
                                </wpg:grpSpPr>
                                <wpg:grpSp>
                                  <wpg:cNvPr id="24203" name="Group 70"/>
                                  <wpg:cNvGrpSpPr>
                                    <a:grpSpLocks/>
                                  </wpg:cNvGrpSpPr>
                                  <wpg:grpSpPr bwMode="auto">
                                    <a:xfrm>
                                      <a:off x="0" y="0"/>
                                      <a:ext cx="11430" cy="11430"/>
                                      <a:chOff x="0" y="0"/>
                                      <a:chExt cx="11430" cy="11430"/>
                                    </a:xfrm>
                                  </wpg:grpSpPr>
                                  <wps:wsp>
                                    <wps:cNvPr id="24204" name="Rectangle 71"/>
                                    <wps:cNvSpPr>
                                      <a:spLocks noChangeArrowheads="1"/>
                                    </wps:cNvSpPr>
                                    <wps:spPr bwMode="auto">
                                      <a:xfrm>
                                        <a:off x="0" y="3905"/>
                                        <a:ext cx="11430" cy="4095"/>
                                      </a:xfrm>
                                      <a:prstGeom prst="rect">
                                        <a:avLst/>
                                      </a:prstGeom>
                                      <a:solidFill>
                                        <a:schemeClr val="tx1">
                                          <a:lumMod val="100000"/>
                                          <a:lumOff val="0"/>
                                        </a:schemeClr>
                                      </a:solidFill>
                                      <a:ln>
                                        <a:noFill/>
                                      </a:ln>
                                    </wps:spPr>
                                    <wps:bodyPr rot="0" vert="horz" wrap="square" lIns="91440" tIns="45720" rIns="91440" bIns="45720" anchor="ctr" anchorCtr="0" upright="1">
                                      <a:noAutofit/>
                                    </wps:bodyPr>
                                  </wps:wsp>
                                  <wps:wsp>
                                    <wps:cNvPr id="24205" name="Rectangle 72"/>
                                    <wps:cNvSpPr>
                                      <a:spLocks noChangeArrowheads="1"/>
                                    </wps:cNvSpPr>
                                    <wps:spPr bwMode="auto">
                                      <a:xfrm rot="5400000">
                                        <a:off x="-48" y="3667"/>
                                        <a:ext cx="11430" cy="4096"/>
                                      </a:xfrm>
                                      <a:prstGeom prst="rect">
                                        <a:avLst/>
                                      </a:prstGeom>
                                      <a:solidFill>
                                        <a:schemeClr val="tx1">
                                          <a:lumMod val="100000"/>
                                          <a:lumOff val="0"/>
                                        </a:schemeClr>
                                      </a:solidFill>
                                      <a:ln>
                                        <a:noFill/>
                                      </a:ln>
                                    </wps:spPr>
                                    <wps:bodyPr rot="0" vert="horz" wrap="square" lIns="91440" tIns="45720" rIns="91440" bIns="45720" anchor="ctr" anchorCtr="0" upright="1">
                                      <a:noAutofit/>
                                    </wps:bodyPr>
                                  </wps:wsp>
                                  <wps:wsp>
                                    <wps:cNvPr id="24206" name="Rectangle 73"/>
                                    <wps:cNvSpPr>
                                      <a:spLocks noChangeArrowheads="1"/>
                                    </wps:cNvSpPr>
                                    <wps:spPr bwMode="auto">
                                      <a:xfrm>
                                        <a:off x="3619" y="3905"/>
                                        <a:ext cx="4001" cy="3905"/>
                                      </a:xfrm>
                                      <a:prstGeom prst="rect">
                                        <a:avLst/>
                                      </a:prstGeom>
                                      <a:solidFill>
                                        <a:schemeClr val="bg1">
                                          <a:lumMod val="100000"/>
                                          <a:lumOff val="0"/>
                                        </a:schemeClr>
                                      </a:solidFill>
                                      <a:ln w="6350">
                                        <a:solidFill>
                                          <a:schemeClr val="bg1">
                                            <a:lumMod val="100000"/>
                                            <a:lumOff val="0"/>
                                          </a:schemeClr>
                                        </a:solidFill>
                                        <a:miter lim="800000"/>
                                        <a:headEnd/>
                                        <a:tailEnd/>
                                      </a:ln>
                                    </wps:spPr>
                                    <wps:bodyPr rot="0" vert="horz" wrap="square" lIns="91440" tIns="45720" rIns="91440" bIns="45720" anchor="ctr" anchorCtr="0" upright="1">
                                      <a:noAutofit/>
                                    </wps:bodyPr>
                                  </wps:wsp>
                                </wpg:grpSp>
                                <wpg:grpSp>
                                  <wpg:cNvPr id="24207" name="Group 74"/>
                                  <wpg:cNvGrpSpPr>
                                    <a:grpSpLocks/>
                                  </wpg:cNvGrpSpPr>
                                  <wpg:grpSpPr bwMode="auto">
                                    <a:xfrm>
                                      <a:off x="91" y="4095"/>
                                      <a:ext cx="3909" cy="3715"/>
                                      <a:chOff x="-76606" y="0"/>
                                      <a:chExt cx="390931" cy="371475"/>
                                    </a:xfrm>
                                  </wpg:grpSpPr>
                                  <wps:wsp>
                                    <wps:cNvPr id="24208" name="Right Brace 75"/>
                                    <wps:cNvSpPr>
                                      <a:spLocks/>
                                    </wps:cNvSpPr>
                                    <wps:spPr bwMode="auto">
                                      <a:xfrm rot="10800000">
                                        <a:off x="152400" y="0"/>
                                        <a:ext cx="161925" cy="371475"/>
                                      </a:xfrm>
                                      <a:prstGeom prst="rightBrace">
                                        <a:avLst>
                                          <a:gd name="adj1" fmla="val 8337"/>
                                          <a:gd name="adj2" fmla="val 50000"/>
                                        </a:avLst>
                                      </a:prstGeom>
                                      <a:noFill/>
                                      <a:ln w="19050">
                                        <a:solidFill>
                                          <a:srgbClr val="FFFF00"/>
                                        </a:solidFill>
                                        <a:miter lim="800000"/>
                                        <a:headEnd/>
                                        <a:tailEnd/>
                                      </a:ln>
                                    </wps:spPr>
                                    <wps:bodyPr rot="0" vert="horz" wrap="square" lIns="91440" tIns="45720" rIns="91440" bIns="45720" anchor="ctr" anchorCtr="0" upright="1">
                                      <a:noAutofit/>
                                    </wps:bodyPr>
                                  </wps:wsp>
                                  <wps:wsp>
                                    <wps:cNvPr id="24209" name="Rectangle 77"/>
                                    <wps:cNvSpPr>
                                      <a:spLocks noChangeArrowheads="1"/>
                                    </wps:cNvSpPr>
                                    <wps:spPr bwMode="auto">
                                      <a:xfrm>
                                        <a:off x="-76606" y="85725"/>
                                        <a:ext cx="309475" cy="228600"/>
                                      </a:xfrm>
                                      <a:prstGeom prst="rect">
                                        <a:avLst/>
                                      </a:prstGeom>
                                      <a:noFill/>
                                      <a:ln>
                                        <a:noFill/>
                                      </a:ln>
                                    </wps:spPr>
                                    <wps:txbx>
                                      <w:txbxContent>
                                        <w:p w14:paraId="0424DDDB" w14:textId="77777777" w:rsidR="00527127" w:rsidRPr="00A4565A" w:rsidRDefault="00527127" w:rsidP="000D2571">
                                          <w:pPr>
                                            <w:spacing w:before="0" w:after="0" w:line="240" w:lineRule="auto"/>
                                            <w:rPr>
                                              <w:color w:val="FFFFFF" w:themeColor="background1"/>
                                              <w:vertAlign w:val="subscript"/>
                                              <w:lang w:val="en-US"/>
                                            </w:rPr>
                                          </w:pPr>
                                          <w:r w:rsidRPr="00A4565A">
                                            <w:rPr>
                                              <w:color w:val="FFFFFF" w:themeColor="background1"/>
                                              <w:lang w:val="en-US"/>
                                            </w:rPr>
                                            <w:t>C</w:t>
                                          </w:r>
                                          <w:r w:rsidRPr="00A4565A">
                                            <w:rPr>
                                              <w:color w:val="FFFFFF" w:themeColor="background1"/>
                                              <w:vertAlign w:val="subscript"/>
                                              <w:lang w:val="en-US"/>
                                            </w:rPr>
                                            <w:t>3</w:t>
                                          </w:r>
                                        </w:p>
                                      </w:txbxContent>
                                    </wps:txbx>
                                    <wps:bodyPr rot="0" vert="horz" wrap="square" lIns="0" tIns="0" rIns="0" bIns="0" anchor="ctr" anchorCtr="0" upright="1">
                                      <a:noAutofit/>
                                    </wps:bodyPr>
                                  </wps:wsp>
                                </wpg:grpSp>
                                <wpg:grpSp>
                                  <wpg:cNvPr id="24210" name="Group 78"/>
                                  <wpg:cNvGrpSpPr>
                                    <a:grpSpLocks/>
                                  </wpg:cNvGrpSpPr>
                                  <wpg:grpSpPr bwMode="auto">
                                    <a:xfrm rot="5400000">
                                      <a:off x="3666" y="143"/>
                                      <a:ext cx="3715" cy="3714"/>
                                      <a:chOff x="-57150" y="-9525"/>
                                      <a:chExt cx="371475" cy="371475"/>
                                    </a:xfrm>
                                  </wpg:grpSpPr>
                                  <wps:wsp>
                                    <wps:cNvPr id="24211" name="Right Brace 79"/>
                                    <wps:cNvSpPr>
                                      <a:spLocks/>
                                    </wps:cNvSpPr>
                                    <wps:spPr bwMode="auto">
                                      <a:xfrm rot="10800000">
                                        <a:off x="152400" y="-9525"/>
                                        <a:ext cx="161925" cy="371475"/>
                                      </a:xfrm>
                                      <a:prstGeom prst="rightBrace">
                                        <a:avLst>
                                          <a:gd name="adj1" fmla="val 8337"/>
                                          <a:gd name="adj2" fmla="val 50000"/>
                                        </a:avLst>
                                      </a:prstGeom>
                                      <a:noFill/>
                                      <a:ln w="19050">
                                        <a:solidFill>
                                          <a:srgbClr val="FFFF00"/>
                                        </a:solidFill>
                                        <a:miter lim="800000"/>
                                        <a:headEnd/>
                                        <a:tailEnd/>
                                      </a:ln>
                                    </wps:spPr>
                                    <wps:bodyPr rot="0" vert="horz" wrap="square" lIns="91440" tIns="45720" rIns="91440" bIns="45720" anchor="ctr" anchorCtr="0" upright="1">
                                      <a:noAutofit/>
                                    </wps:bodyPr>
                                  </wps:wsp>
                                  <wps:wsp>
                                    <wps:cNvPr id="24212" name="Rectangle 80"/>
                                    <wps:cNvSpPr>
                                      <a:spLocks noChangeArrowheads="1"/>
                                    </wps:cNvSpPr>
                                    <wps:spPr bwMode="auto">
                                      <a:xfrm rot="-5400000">
                                        <a:off x="-95243" y="67163"/>
                                        <a:ext cx="266686" cy="190500"/>
                                      </a:xfrm>
                                      <a:prstGeom prst="rect">
                                        <a:avLst/>
                                      </a:prstGeom>
                                      <a:noFill/>
                                      <a:ln>
                                        <a:noFill/>
                                      </a:ln>
                                    </wps:spPr>
                                    <wps:txbx>
                                      <w:txbxContent>
                                        <w:p w14:paraId="155FDBAD"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D</w:t>
                                          </w:r>
                                          <w:r w:rsidRPr="00A4565A">
                                            <w:rPr>
                                              <w:color w:val="FFFFFF" w:themeColor="background1"/>
                                              <w:vertAlign w:val="subscript"/>
                                              <w:lang w:val="en-US"/>
                                            </w:rPr>
                                            <w:t>3</w:t>
                                          </w:r>
                                        </w:p>
                                      </w:txbxContent>
                                    </wps:txbx>
                                    <wps:bodyPr rot="0" vert="horz" wrap="square" lIns="0" tIns="0" rIns="0" bIns="0" anchor="ctr" anchorCtr="0" upright="1">
                                      <a:noAutofit/>
                                    </wps:bodyPr>
                                  </wps:wsp>
                                </wpg:grpSp>
                              </wpg:grpSp>
                            </wpg:grpSp>
                            <wps:wsp>
                              <wps:cNvPr id="24213" name="Oval 2"/>
                              <wps:cNvSpPr>
                                <a:spLocks noChangeArrowheads="1"/>
                              </wps:cNvSpPr>
                              <wps:spPr bwMode="auto">
                                <a:xfrm>
                                  <a:off x="17430" y="0"/>
                                  <a:ext cx="12960" cy="12960"/>
                                </a:xfrm>
                                <a:prstGeom prst="ellipse">
                                  <a:avLst/>
                                </a:prstGeom>
                                <a:noFill/>
                                <a:ln w="6350">
                                  <a:solidFill>
                                    <a:schemeClr val="accent1">
                                      <a:lumMod val="10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06CD7" id="Group 24184" o:spid="_x0000_s1229" style="position:absolute;left:0;text-align:left;margin-left:2.35pt;margin-top:9.2pt;width:239.3pt;height:113.35pt;z-index:251670528;mso-position-horizontal-relative:text;mso-position-vertical-relative:text" coordsize="30390,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">
                      <v:group id="Group 48" o:spid="_x0000_s1230" style="position:absolute;top:1238;width:29089;height:13157" coordorigin="-857,2381" coordsize="33242,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">
                        <v:group id="Group 49" o:spid="_x0000_s1231" style="position:absolute;left:-857;top:3333;width:14192;height:14288" coordorigin="-857" coordsize="14192,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">
                          <v:shape id="Picture 50" o:spid="_x0000_s1232" type="#_x0000_t75" style="position:absolute;left:1905;width:11430;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">
                            <v:imagedata r:id="rId82" o:title=""/>
                          </v:shape>
                          <v:group id="Group 51" o:spid="_x0000_s1233" style="position:absolute;left:-857;width:2285;height:11430" coordorigin="-857" coordsize="228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">
                            <v:line id="Straight Connector 52" o:spid="_x0000_s1234" style="position:absolute;visibility:visible;mso-wrap-style:square" from="762,0" to="762,11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" strokecolor="#7030a0" strokeweight="1.5pt">
                              <v:stroke joinstyle="miter"/>
                            </v:line>
                            <v:line id="Straight Connector 53" o:spid="_x0000_s1235" style="position:absolute;visibility:visible;mso-wrap-style:square" from="95,95" to="1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" strokecolor="#7030a0" strokeweight="1.5pt">
                              <v:stroke joinstyle="miter"/>
                            </v:line>
                            <v:line id="Straight Connector 54" o:spid="_x0000_s1236" style="position:absolute;visibility:visible;mso-wrap-style:square" from="0,11430" to="1333,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" strokecolor="#7030a0" strokeweight="1.5pt">
                              <v:stroke joinstyle="miter"/>
                            </v:line>
                            <v:rect id="Rectangle 55" o:spid="_x0000_s1237" style="position:absolute;left:-857;top:4476;width:1714;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" filled="f" stroked="f">
                              <v:textbox inset="0,0,0,0">
                                <w:txbxContent>
                                  <w:p w14:paraId="190DF6D0" w14:textId="77777777" w:rsidR="00527127" w:rsidRPr="0076093E" w:rsidRDefault="00527127" w:rsidP="000D2571">
                                    <w:pPr>
                                      <w:rPr>
                                        <w:vertAlign w:val="subscript"/>
                                        <w:lang w:val="en-US"/>
                                      </w:rPr>
                                    </w:pPr>
                                    <w:r>
                                      <w:rPr>
                                        <w:lang w:val="en-US"/>
                                      </w:rPr>
                                      <w:t>A</w:t>
                                    </w:r>
                                    <w:r>
                                      <w:rPr>
                                        <w:vertAlign w:val="subscript"/>
                                        <w:lang w:val="en-US"/>
                                      </w:rPr>
                                      <w:t>3</w:t>
                                    </w:r>
                                  </w:p>
                                </w:txbxContent>
                              </v:textbox>
                            </v:rect>
                          </v:group>
                          <v:group id="Group 56" o:spid="_x0000_s1238" style="position:absolute;left:1905;top:12007;width:11334;height:2280" coordorigin=",476" coordsize="11334,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">
                            <v:line id="Line 1693" o:spid="_x0000_s1239" style="position:absolute;rotation:-90;visibility:visible;mso-wrap-style:square" from="5667,-4524" to="5667,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" strokecolor="#7030a0" strokeweight="1.5pt">
                              <v:stroke joinstyle="miter"/>
                            </v:line>
                            <v:rect id="Rectangle 1694" o:spid="_x0000_s1240" style="position:absolute;left:4475;top:1037;width:2762;height:1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" filled="f" stroked="f">
                              <v:textbox inset="0,0,0,0">
                                <w:txbxContent>
                                  <w:p w14:paraId="47C24D86" w14:textId="77777777" w:rsidR="00527127" w:rsidRPr="0076093E" w:rsidRDefault="00527127" w:rsidP="000D2571">
                                    <w:pPr>
                                      <w:rPr>
                                        <w:vertAlign w:val="subscript"/>
                                        <w:lang w:val="en-US"/>
                                      </w:rPr>
                                    </w:pPr>
                                    <w:r>
                                      <w:rPr>
                                        <w:lang w:val="en-US"/>
                                      </w:rPr>
                                      <w:t>B</w:t>
                                    </w:r>
                                    <w:r>
                                      <w:rPr>
                                        <w:vertAlign w:val="subscript"/>
                                        <w:lang w:val="en-US"/>
                                      </w:rPr>
                                      <w:t>3</w:t>
                                    </w:r>
                                  </w:p>
                                </w:txbxContent>
                              </v:textbox>
                            </v:rect>
                            <v:line id="Line 1695" o:spid="_x0000_s1241" style="position:absolute;rotation:90;visibility:visible;mso-wrap-style:square" from="-667,1143" to="66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" strokecolor="#7030a0" strokeweight="1.5pt">
                              <v:stroke joinstyle="miter"/>
                            </v:line>
                            <v:line id="Straight Connector 60" o:spid="_x0000_s1242" style="position:absolute;rotation:90;visibility:visible;mso-wrap-style:square" from="10667,1143" to="1200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" strokecolor="#7030a0" strokeweight="1.5pt">
                              <v:stroke joinstyle="miter"/>
                            </v:line>
                          </v:group>
                        </v:group>
                        <v:group id="Group 61" o:spid="_x0000_s1243" style="position:absolute;left:6381;top:3145;width:15116;height:10892" coordorigin=",-93" coordsize="15116,1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">
                          <v:line id="Straight Connector 62" o:spid="_x0000_s1244" style="position:absolute;flip:y;visibility:visible;mso-wrap-style:square" from="1141,-93" to="14844,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" strokecolor="yellow" strokeweight="1pt">
                            <v:stroke joinstyle="miter"/>
                          </v:line>
                          <v:line id="Straight Connector 63" o:spid="_x0000_s1245" style="position:absolute;visibility:visible;mso-wrap-style:square" from="1143,6949" to="15116,1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" strokecolor="yellow" strokeweight="1pt">
                            <v:stroke joinstyle="miter"/>
                          </v:line>
                          <v:oval id="Oval 64" o:spid="_x0000_s1246" style="position:absolute;top:4572;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" filled="f" strokecolor="yellow" strokeweight="1pt">
                            <v:stroke joinstyle="miter"/>
                          </v:oval>
                        </v:group>
                        <v:group id="Group 69" o:spid="_x0000_s1247" style="position:absolute;left:20955;top:2381;width:11430;height:11430"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">
                          <v:group id="Group 70" o:spid="_x0000_s1248" style="position:absolute;width:11430;height:11430"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">
                            <v:rect id="Rectangle 71" o:spid="_x0000_s1249" style="position:absolute;top:3905;width:11430;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" fillcolor="black [3213]" stroked="f"/>
                            <v:rect id="_x0000_s1250" style="position:absolute;left:-48;top:3667;width:11430;height:4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" fillcolor="black [3213]" stroked="f"/>
                            <v:rect id="Rectangle 73" o:spid="_x0000_s1251" style="position:absolute;left:3619;top:3905;width:4001;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" fillcolor="white [3212]" strokecolor="white [3212]" strokeweight=".5pt"/>
                          </v:group>
                          <v:group id="Group 74" o:spid="_x0000_s1252" style="position:absolute;left:91;top:4095;width:3909;height:3715" coordorigin="-76606" coordsize="390931,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">
                            <v:shape id="Right Brace 75" o:spid="_x0000_s1253" type="#_x0000_t88" style="position:absolute;left:152400;width:161925;height:37147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" adj="785" strokecolor="yellow" strokeweight="1.5pt">
                              <v:stroke joinstyle="miter"/>
                            </v:shape>
                            <v:rect id="Rectangle 77" o:spid="_x0000_s1254" style="position:absolute;left:-76606;top:85725;width:309475;height:228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" filled="f" stroked="f">
                              <v:textbox inset="0,0,0,0">
                                <w:txbxContent>
                                  <w:p w14:paraId="0424DDDB" w14:textId="77777777" w:rsidR="00527127" w:rsidRPr="00A4565A" w:rsidRDefault="00527127" w:rsidP="000D2571">
                                    <w:pPr>
                                      <w:spacing w:before="0" w:after="0" w:line="240" w:lineRule="auto"/>
                                      <w:rPr>
                                        <w:color w:val="FFFFFF" w:themeColor="background1"/>
                                        <w:vertAlign w:val="subscript"/>
                                        <w:lang w:val="en-US"/>
                                      </w:rPr>
                                    </w:pPr>
                                    <w:r w:rsidRPr="00A4565A">
                                      <w:rPr>
                                        <w:color w:val="FFFFFF" w:themeColor="background1"/>
                                        <w:lang w:val="en-US"/>
                                      </w:rPr>
                                      <w:t>C</w:t>
                                    </w:r>
                                    <w:r w:rsidRPr="00A4565A">
                                      <w:rPr>
                                        <w:color w:val="FFFFFF" w:themeColor="background1"/>
                                        <w:vertAlign w:val="subscript"/>
                                        <w:lang w:val="en-US"/>
                                      </w:rPr>
                                      <w:t>3</w:t>
                                    </w:r>
                                  </w:p>
                                </w:txbxContent>
                              </v:textbox>
                            </v:rect>
                          </v:group>
                          <v:group id="Group 78" o:spid="_x0000_s1255" style="position:absolute;left:3666;top:143;width:3715;height:3714;rotation:90" coordorigin="-57150,-9525" coordsize="371475,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">
                            <v:shape id="Right Brace 79" o:spid="_x0000_s1256" type="#_x0000_t88" style="position:absolute;left:152400;top:-9525;width:161925;height:37147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" adj="785" strokecolor="yellow" strokeweight="1.5pt">
                              <v:stroke joinstyle="miter"/>
                            </v:shape>
                            <v:rect id="Rectangle 80" o:spid="_x0000_s1257" style="position:absolute;left:-95243;top:67163;width:266686;height:1905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" filled="f" stroked="f">
                              <v:textbox inset="0,0,0,0">
                                <w:txbxContent>
                                  <w:p w14:paraId="155FDBAD" w14:textId="77777777" w:rsidR="00527127" w:rsidRPr="00A4565A" w:rsidRDefault="00527127" w:rsidP="000D2571">
                                    <w:pPr>
                                      <w:spacing w:before="0" w:line="240" w:lineRule="auto"/>
                                      <w:rPr>
                                        <w:color w:val="FFFFFF" w:themeColor="background1"/>
                                        <w:vertAlign w:val="subscript"/>
                                        <w:lang w:val="en-US"/>
                                      </w:rPr>
                                    </w:pPr>
                                    <w:r w:rsidRPr="00A4565A">
                                      <w:rPr>
                                        <w:color w:val="FFFFFF" w:themeColor="background1"/>
                                        <w:lang w:val="en-US"/>
                                      </w:rPr>
                                      <w:t>D</w:t>
                                    </w:r>
                                    <w:r w:rsidRPr="00A4565A">
                                      <w:rPr>
                                        <w:color w:val="FFFFFF" w:themeColor="background1"/>
                                        <w:vertAlign w:val="subscript"/>
                                        <w:lang w:val="en-US"/>
                                      </w:rPr>
                                      <w:t>3</w:t>
                                    </w:r>
                                  </w:p>
                                </w:txbxContent>
                              </v:textbox>
                            </v:rect>
                          </v:group>
                        </v:group>
                      </v:group>
                      <v:oval id="Oval 2" o:spid="_x0000_s1258" style="position:absolute;left:17430;width:12960;height:12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" filled="f" strokecolor="#4472c4 [3204]" strokeweight=".5pt">
                        <v:stroke joinstyle="miter"/>
                      </v:oval>
                    </v:group>
                  </w:pict>
                </mc:Fallback>
              </mc:AlternateContent>
            </w:r>
            <w:r w:rsidR="000D2571" w:rsidRPr="009D4627">
              <w:t>2° cross</w:t>
            </w:r>
          </w:p>
          <w:p w14:paraId="449D6958" w14:textId="77777777" w:rsidR="000D2571" w:rsidRPr="009D4627" w:rsidRDefault="000D2571" w:rsidP="000D2571">
            <w:pPr>
              <w:spacing w:before="0" w:after="0" w:line="240" w:lineRule="auto"/>
            </w:pPr>
            <w:bookmarkStart w:id="157" w:name="_ur36ba8b2b1k" w:colFirst="0" w:colLast="0"/>
            <w:bookmarkEnd w:id="157"/>
          </w:p>
        </w:tc>
        <w:tc>
          <w:tcPr>
            <w:tcW w:w="2987" w:type="dxa"/>
            <w:tcBorders>
              <w:top w:val="single" w:sz="4" w:space="0" w:color="auto"/>
              <w:left w:val="nil"/>
              <w:bottom w:val="single" w:sz="4" w:space="0" w:color="auto"/>
              <w:right w:val="nil"/>
            </w:tcBorders>
            <w:tcMar>
              <w:top w:w="100" w:type="dxa"/>
              <w:left w:w="100" w:type="dxa"/>
              <w:bottom w:w="100" w:type="dxa"/>
              <w:right w:w="100" w:type="dxa"/>
            </w:tcMar>
          </w:tcPr>
          <w:p w14:paraId="65DF394C" w14:textId="77777777" w:rsidR="000D2571" w:rsidRPr="009D4627" w:rsidRDefault="000D2571" w:rsidP="000D2571">
            <w:pPr>
              <w:spacing w:before="0" w:after="0" w:line="240" w:lineRule="auto"/>
              <w:jc w:val="left"/>
            </w:pPr>
            <w:r w:rsidRPr="009D4627">
              <w:rPr>
                <w:sz w:val="22"/>
                <w:szCs w:val="22"/>
              </w:rPr>
              <w:t>A</w:t>
            </w:r>
            <w:r w:rsidRPr="009D4627">
              <w:rPr>
                <w:sz w:val="22"/>
                <w:szCs w:val="22"/>
                <w:vertAlign w:val="subscript"/>
              </w:rPr>
              <w:t>3</w:t>
            </w:r>
            <w:r w:rsidRPr="009D4627">
              <w:rPr>
                <w:sz w:val="22"/>
                <w:szCs w:val="22"/>
              </w:rPr>
              <w:t xml:space="preserve"> = B</w:t>
            </w:r>
            <w:r w:rsidRPr="009D4627">
              <w:rPr>
                <w:sz w:val="22"/>
                <w:szCs w:val="22"/>
                <w:vertAlign w:val="subscript"/>
              </w:rPr>
              <w:t>3</w:t>
            </w:r>
            <w:r w:rsidRPr="009D4627">
              <w:rPr>
                <w:sz w:val="22"/>
                <w:szCs w:val="22"/>
              </w:rPr>
              <w:t xml:space="preserve"> = 33 mm,</w:t>
            </w:r>
          </w:p>
          <w:p w14:paraId="3FA5FAC4" w14:textId="77777777" w:rsidR="000D2571" w:rsidRPr="009D4627" w:rsidRDefault="000D2571" w:rsidP="000D2571">
            <w:pPr>
              <w:spacing w:before="0" w:after="0" w:line="240" w:lineRule="auto"/>
              <w:jc w:val="left"/>
            </w:pPr>
            <w:r w:rsidRPr="009D4627">
              <w:rPr>
                <w:sz w:val="22"/>
                <w:szCs w:val="22"/>
              </w:rPr>
              <w:t>C</w:t>
            </w:r>
            <w:r w:rsidRPr="009D4627">
              <w:rPr>
                <w:sz w:val="22"/>
                <w:szCs w:val="22"/>
                <w:vertAlign w:val="subscript"/>
              </w:rPr>
              <w:t>3</w:t>
            </w:r>
            <w:r w:rsidRPr="009D4627">
              <w:rPr>
                <w:sz w:val="22"/>
                <w:szCs w:val="22"/>
              </w:rPr>
              <w:t xml:space="preserve"> = D</w:t>
            </w:r>
            <w:r w:rsidRPr="009D4627">
              <w:rPr>
                <w:sz w:val="22"/>
                <w:szCs w:val="22"/>
                <w:vertAlign w:val="subscript"/>
              </w:rPr>
              <w:t>3</w:t>
            </w:r>
            <w:r w:rsidRPr="009D4627">
              <w:rPr>
                <w:sz w:val="22"/>
                <w:szCs w:val="22"/>
              </w:rPr>
              <w:t xml:space="preserve"> = 1.6 mm</w:t>
            </w:r>
          </w:p>
          <w:p w14:paraId="5D920918" w14:textId="77777777" w:rsidR="000D2571" w:rsidRPr="009D4627" w:rsidRDefault="000D2571" w:rsidP="000D2571">
            <w:pPr>
              <w:spacing w:before="0" w:after="0" w:line="240" w:lineRule="auto"/>
              <w:jc w:val="left"/>
            </w:pPr>
          </w:p>
          <w:p w14:paraId="4673BA08" w14:textId="77777777" w:rsidR="000D2571" w:rsidRPr="009D4627" w:rsidRDefault="000D2571" w:rsidP="000D2571">
            <w:pPr>
              <w:spacing w:before="0" w:after="0" w:line="240" w:lineRule="auto"/>
              <w:jc w:val="left"/>
            </w:pPr>
            <w:r w:rsidRPr="009D4627">
              <w:rPr>
                <w:sz w:val="22"/>
                <w:szCs w:val="22"/>
              </w:rPr>
              <w:t>⸫ White square =</w:t>
            </w:r>
          </w:p>
          <w:p w14:paraId="60B4965A" w14:textId="77777777" w:rsidR="000D2571" w:rsidRPr="009D4627" w:rsidRDefault="000D2571" w:rsidP="000D2571">
            <w:pPr>
              <w:spacing w:before="0" w:after="0" w:line="240" w:lineRule="auto"/>
              <w:jc w:val="left"/>
              <w:rPr>
                <w:rFonts w:eastAsia="Times New Roman"/>
              </w:rPr>
            </w:pPr>
            <w:r w:rsidRPr="009D4627">
              <w:rPr>
                <w:sz w:val="22"/>
                <w:szCs w:val="22"/>
              </w:rPr>
              <w:t xml:space="preserve">1.6 mm/3 mm x 2° cross = </w:t>
            </w:r>
            <w:r w:rsidRPr="009D4627">
              <w:rPr>
                <w:sz w:val="22"/>
                <w:szCs w:val="22"/>
                <w:u w:val="single"/>
              </w:rPr>
              <w:t>0.097°</w:t>
            </w:r>
            <w:r w:rsidRPr="009D4627">
              <w:rPr>
                <w:rFonts w:eastAsia="Times New Roman"/>
                <w:sz w:val="22"/>
                <w:szCs w:val="22"/>
              </w:rPr>
              <w:t xml:space="preserve"> </w:t>
            </w:r>
          </w:p>
          <w:p w14:paraId="0AF8E58C" w14:textId="77777777" w:rsidR="000D2571" w:rsidRPr="009D4627" w:rsidRDefault="000D2571" w:rsidP="000D2571">
            <w:pPr>
              <w:spacing w:before="0" w:after="0" w:line="240" w:lineRule="auto"/>
              <w:jc w:val="left"/>
              <w:rPr>
                <w:rFonts w:eastAsia="Times New Roman"/>
              </w:rPr>
            </w:pPr>
          </w:p>
          <w:p w14:paraId="098AE017" w14:textId="77777777" w:rsidR="000D2571" w:rsidRPr="009D4627" w:rsidRDefault="000D2571" w:rsidP="000D2571">
            <w:pPr>
              <w:spacing w:before="0" w:after="0" w:line="240" w:lineRule="auto"/>
              <w:jc w:val="left"/>
              <w:rPr>
                <w:rFonts w:eastAsia="Times New Roman"/>
              </w:rPr>
            </w:pPr>
          </w:p>
          <w:p w14:paraId="2FC3769F" w14:textId="77777777" w:rsidR="000D2571" w:rsidRPr="009D4627" w:rsidRDefault="000D2571" w:rsidP="000D2571">
            <w:pPr>
              <w:spacing w:before="0" w:after="0" w:line="240" w:lineRule="auto"/>
              <w:jc w:val="left"/>
              <w:rPr>
                <w:rFonts w:eastAsia="Times New Roman"/>
              </w:rPr>
            </w:pPr>
          </w:p>
          <w:p w14:paraId="78AA884D" w14:textId="77777777" w:rsidR="000D2571" w:rsidRPr="009D4627" w:rsidRDefault="000D2571" w:rsidP="000D2571">
            <w:pPr>
              <w:spacing w:before="0" w:after="0" w:line="240" w:lineRule="auto"/>
              <w:jc w:val="left"/>
              <w:rPr>
                <w:rFonts w:eastAsia="Times New Roman"/>
              </w:rPr>
            </w:pPr>
          </w:p>
        </w:tc>
      </w:tr>
    </w:tbl>
    <w:p w14:paraId="133DEE21" w14:textId="0D2BE03C" w:rsidR="00547D87" w:rsidRPr="009D4627" w:rsidRDefault="00A4565A" w:rsidP="00C4130D">
      <w:pPr>
        <w:pStyle w:val="Caption"/>
        <w:rPr>
          <w:rFonts w:eastAsia="Times New Roman"/>
        </w:rPr>
      </w:pPr>
      <w:bookmarkStart w:id="158" w:name="_nl9lehp76a7h" w:colFirst="0" w:colLast="0"/>
      <w:bookmarkStart w:id="159" w:name="_Toc98569953"/>
      <w:bookmarkEnd w:id="158"/>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5</w:t>
      </w:r>
      <w:r w:rsidR="002E63E9" w:rsidRPr="009D4627">
        <w:rPr>
          <w:noProof/>
        </w:rPr>
        <w:fldChar w:fldCharType="end"/>
      </w:r>
      <w:r w:rsidRPr="009D4627">
        <w:t xml:space="preserve">: </w:t>
      </w:r>
      <w:r w:rsidR="00547D87" w:rsidRPr="009D4627">
        <w:t xml:space="preserve">Calculation of fixation centre target sizes </w:t>
      </w:r>
      <w:r w:rsidR="00945F5D" w:rsidRPr="009D4627">
        <w:t>used</w:t>
      </w:r>
      <w:r w:rsidR="00547D87" w:rsidRPr="009D4627">
        <w:t xml:space="preserve"> </w:t>
      </w:r>
      <w:r w:rsidR="00547D87" w:rsidRPr="009D4627">
        <w:rPr>
          <w:rFonts w:eastAsia="Times New Roman"/>
        </w:rPr>
        <w:t>in this study.</w:t>
      </w:r>
      <w:bookmarkEnd w:id="159"/>
    </w:p>
    <w:p w14:paraId="07880C6A" w14:textId="77777777" w:rsidR="00EC745C" w:rsidRPr="009D4627" w:rsidRDefault="00EC745C" w:rsidP="00EC745C">
      <w:pPr>
        <w:spacing w:after="0"/>
        <w:rPr>
          <w:lang w:val="en-MY" w:eastAsia="en-MY"/>
        </w:rPr>
      </w:pPr>
    </w:p>
    <w:p w14:paraId="78AE4F9E" w14:textId="6CBDB34F" w:rsidR="00547D87" w:rsidRPr="009D4627" w:rsidRDefault="004258CF" w:rsidP="00D04E3B">
      <w:pPr>
        <w:pStyle w:val="Heading2"/>
      </w:pPr>
      <w:bookmarkStart w:id="160" w:name="_o5sat6gpzi4e" w:colFirst="0" w:colLast="0"/>
      <w:bookmarkStart w:id="161" w:name="_2hztnkrdb0ns" w:colFirst="0" w:colLast="0"/>
      <w:bookmarkStart w:id="162" w:name="_k7m2t4u0q2vw" w:colFirst="0" w:colLast="0"/>
      <w:bookmarkStart w:id="163" w:name="_8r23tz69n7wa" w:colFirst="0" w:colLast="0"/>
      <w:bookmarkStart w:id="164" w:name="_pkdj9oucbc2m" w:colFirst="0" w:colLast="0"/>
      <w:bookmarkStart w:id="165" w:name="_m3x6j9ahlxdn" w:colFirst="0" w:colLast="0"/>
      <w:bookmarkStart w:id="166" w:name="_dgnfthwsrxxl" w:colFirst="0" w:colLast="0"/>
      <w:bookmarkStart w:id="167" w:name="_dh0m1md7mpjk" w:colFirst="0" w:colLast="0"/>
      <w:bookmarkStart w:id="168" w:name="_jln52golczxg" w:colFirst="0" w:colLast="0"/>
      <w:bookmarkStart w:id="169" w:name="_2et92p0" w:colFirst="0" w:colLast="0"/>
      <w:bookmarkStart w:id="170" w:name="_tyjcwt" w:colFirst="0" w:colLast="0"/>
      <w:bookmarkStart w:id="171" w:name="_Toc98964643"/>
      <w:bookmarkStart w:id="172" w:name="_Toc103344689"/>
      <w:bookmarkEnd w:id="160"/>
      <w:bookmarkEnd w:id="161"/>
      <w:bookmarkEnd w:id="162"/>
      <w:bookmarkEnd w:id="163"/>
      <w:bookmarkEnd w:id="164"/>
      <w:bookmarkEnd w:id="165"/>
      <w:bookmarkEnd w:id="166"/>
      <w:bookmarkEnd w:id="167"/>
      <w:bookmarkEnd w:id="168"/>
      <w:bookmarkEnd w:id="169"/>
      <w:bookmarkEnd w:id="170"/>
      <w:r w:rsidRPr="009D4627">
        <w:t>EMR</w:t>
      </w:r>
      <w:bookmarkEnd w:id="171"/>
      <w:bookmarkEnd w:id="172"/>
    </w:p>
    <w:p w14:paraId="4C6D7905" w14:textId="31311322" w:rsidR="00547D87" w:rsidRPr="009D4627" w:rsidRDefault="002D48BF" w:rsidP="00390EBC">
      <w:r w:rsidRPr="009D4627">
        <w:rPr>
          <w:rFonts w:eastAsia="Arial Unicode MS"/>
          <w:lang w:val="en-US"/>
        </w:rPr>
        <w:t>Each EMR session always started with fixation, then SP horizontal, followed by SP vertical, horizontal saccades, and finally vertical saccades. The testing sequences were maintained for all experiments because the fixation and SP EMRs</w:t>
      </w:r>
      <w:r w:rsidRPr="009D4627">
        <w:rPr>
          <w:rFonts w:eastAsia="Arial Unicode MS"/>
        </w:rPr>
        <w:t xml:space="preserve"> </w:t>
      </w:r>
      <w:r w:rsidRPr="009D4627">
        <w:rPr>
          <w:rFonts w:eastAsia="Arial Unicode MS"/>
          <w:lang w:val="en-US"/>
        </w:rPr>
        <w:t xml:space="preserve">had shorter testing durations, and the tasks were easier to complete by the participants. Saccade EMR took longer, which required demand for attention. However, the saccade </w:t>
      </w:r>
      <w:proofErr w:type="spellStart"/>
      <w:r w:rsidRPr="009D4627">
        <w:rPr>
          <w:rFonts w:eastAsia="Arial Unicode MS"/>
          <w:lang w:val="en-US"/>
        </w:rPr>
        <w:t>programmes</w:t>
      </w:r>
      <w:proofErr w:type="spellEnd"/>
      <w:r w:rsidRPr="009D4627">
        <w:rPr>
          <w:rFonts w:eastAsia="Arial Unicode MS"/>
          <w:lang w:val="en-US"/>
        </w:rPr>
        <w:t xml:space="preserve"> were designed by incorporating a drift check for every trial, allowing the participants to have frequent breaks whenever necessary during the </w:t>
      </w:r>
      <w:r w:rsidRPr="009D4627">
        <w:rPr>
          <w:rFonts w:eastAsia="Arial Unicode MS"/>
          <w:lang w:val="en-US"/>
        </w:rPr>
        <w:lastRenderedPageBreak/>
        <w:t>test. It was essential to ensure the saccades made by the participants were the true visually triggered saccades, avoiding anticipatory</w:t>
      </w:r>
      <w:r w:rsidRPr="00E82E69">
        <w:rPr>
          <w:rFonts w:eastAsia="Arial Unicode MS"/>
        </w:rPr>
        <w:t xml:space="preserve"> saccades or eye fatigue</w:t>
      </w:r>
      <w:r w:rsidR="00547D87" w:rsidRPr="009D4627">
        <w:t xml:space="preserve">. </w:t>
      </w:r>
    </w:p>
    <w:p w14:paraId="75A0E4C9" w14:textId="581CC1FC" w:rsidR="00547D87" w:rsidRPr="009D4627" w:rsidRDefault="00547D87" w:rsidP="00DC4CA6">
      <w:pPr>
        <w:pStyle w:val="Heading3"/>
      </w:pPr>
      <w:bookmarkStart w:id="173" w:name="_Toc98964644"/>
      <w:bookmarkStart w:id="174" w:name="_Toc103344690"/>
      <w:r w:rsidRPr="009D4627">
        <w:t>Fixation</w:t>
      </w:r>
      <w:bookmarkEnd w:id="173"/>
      <w:bookmarkEnd w:id="174"/>
    </w:p>
    <w:p w14:paraId="1EC9DA61" w14:textId="14139D96" w:rsidR="002D48BF" w:rsidRPr="009D4627" w:rsidRDefault="002D48BF" w:rsidP="002D48BF">
      <w:pPr>
        <w:pStyle w:val="Body"/>
      </w:pPr>
      <w:r w:rsidRPr="009D4627">
        <w:rPr>
          <w:rFonts w:eastAsia="Arial Unicode MS"/>
          <w:lang w:val="en-US"/>
        </w:rPr>
        <w:t xml:space="preserve">The participant was instructed to fixate precisely at the white area at the </w:t>
      </w:r>
      <w:proofErr w:type="spellStart"/>
      <w:r w:rsidRPr="009D4627">
        <w:rPr>
          <w:rFonts w:eastAsia="Arial Unicode MS"/>
          <w:lang w:val="en-US"/>
        </w:rPr>
        <w:t>centre</w:t>
      </w:r>
      <w:proofErr w:type="spellEnd"/>
      <w:r w:rsidRPr="009D4627">
        <w:rPr>
          <w:rFonts w:eastAsia="Arial Unicode MS"/>
          <w:lang w:val="en-US"/>
        </w:rPr>
        <w:t xml:space="preserve"> of the black cross target (refer to Figure 2.5) and maintain steady fixation as accurately as possible for the test duration. </w:t>
      </w:r>
      <w:r w:rsidR="00EC745C" w:rsidRPr="009D4627">
        <w:rPr>
          <w:rFonts w:eastAsia="Arial Unicode MS"/>
          <w:lang w:val="en-US"/>
        </w:rPr>
        <w:t>As described in Chapter 2 - section 2.2.2, calibration and validation procedures were conducted</w:t>
      </w:r>
      <w:r w:rsidRPr="009D4627">
        <w:rPr>
          <w:rFonts w:eastAsia="Arial Unicode MS"/>
          <w:lang w:val="en-US"/>
        </w:rPr>
        <w:t xml:space="preserve"> before the fixation recording started. The coordinates for each target fixation point were calculated in the PPD unit (Figure 2.6). Only one target was presented on the display monitor at a time, and the order of the target presentation always started at </w:t>
      </w:r>
      <w:r w:rsidR="00995715" w:rsidRPr="009D4627">
        <w:rPr>
          <w:rFonts w:eastAsia="Arial Unicode MS"/>
          <w:lang w:val="en-US"/>
        </w:rPr>
        <w:t>PP</w:t>
      </w:r>
      <w:r w:rsidRPr="009D4627">
        <w:rPr>
          <w:rFonts w:eastAsia="Arial Unicode MS"/>
          <w:lang w:val="en-US"/>
        </w:rPr>
        <w:t>, then 10</w:t>
      </w:r>
      <w:r w:rsidRPr="00E82E69">
        <w:rPr>
          <w:rFonts w:eastAsia="Arial Unicode MS"/>
          <w:lang w:val="en-GB"/>
        </w:rPr>
        <w:t xml:space="preserve">° </w:t>
      </w:r>
      <w:r w:rsidRPr="009D4627">
        <w:rPr>
          <w:rFonts w:eastAsia="Arial Unicode MS"/>
          <w:lang w:val="en-US"/>
        </w:rPr>
        <w:t>leftward, followed by 10</w:t>
      </w:r>
      <w:r w:rsidRPr="00E82E69">
        <w:rPr>
          <w:rFonts w:eastAsia="Arial Unicode MS"/>
          <w:lang w:val="en-GB"/>
        </w:rPr>
        <w:t xml:space="preserve">° </w:t>
      </w:r>
      <w:r w:rsidRPr="009D4627">
        <w:rPr>
          <w:rFonts w:eastAsia="Arial Unicode MS"/>
          <w:lang w:val="en-US"/>
        </w:rPr>
        <w:t>rightward, 8</w:t>
      </w:r>
      <w:r w:rsidRPr="00E82E69">
        <w:rPr>
          <w:rFonts w:eastAsia="Arial Unicode MS"/>
          <w:lang w:val="en-GB"/>
        </w:rPr>
        <w:t xml:space="preserve">° </w:t>
      </w:r>
      <w:r w:rsidRPr="009D4627">
        <w:rPr>
          <w:rFonts w:eastAsia="Arial Unicode MS"/>
          <w:lang w:val="en-US"/>
        </w:rPr>
        <w:t>upward, and finally 8</w:t>
      </w:r>
      <w:r w:rsidRPr="00E82E69">
        <w:rPr>
          <w:rFonts w:eastAsia="Arial Unicode MS"/>
          <w:lang w:val="en-GB"/>
        </w:rPr>
        <w:t xml:space="preserve">° </w:t>
      </w:r>
      <w:r w:rsidRPr="009D4627">
        <w:rPr>
          <w:rFonts w:eastAsia="Arial Unicode MS"/>
        </w:rPr>
        <w:t xml:space="preserve">downward.  </w:t>
      </w:r>
    </w:p>
    <w:p w14:paraId="2E5A62F7" w14:textId="460DC556" w:rsidR="00995825" w:rsidRPr="009D4627" w:rsidRDefault="00A2792E" w:rsidP="00764862">
      <w:pPr>
        <w:spacing w:before="0" w:after="0" w:line="240" w:lineRule="auto"/>
        <w:jc w:val="center"/>
        <w:rPr>
          <w:rFonts w:eastAsia="Times New Roman"/>
        </w:rPr>
      </w:pPr>
      <w:r w:rsidRPr="009D4627">
        <w:rPr>
          <w:noProof/>
        </w:rPr>
        <mc:AlternateContent>
          <mc:Choice Requires="wpg">
            <w:drawing>
              <wp:inline distT="0" distB="0" distL="0" distR="0" wp14:anchorId="2E389082" wp14:editId="2F13F045">
                <wp:extent cx="4946650" cy="2520315"/>
                <wp:effectExtent l="0" t="0" r="6350" b="0"/>
                <wp:docPr id="24164" name="Group 24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6650" cy="2520315"/>
                          <a:chOff x="26932" y="21607"/>
                          <a:chExt cx="53054" cy="32385"/>
                        </a:xfrm>
                      </wpg:grpSpPr>
                      <wpg:grpSp>
                        <wpg:cNvPr id="24165" name="Group 87"/>
                        <wpg:cNvGrpSpPr>
                          <a:grpSpLocks/>
                        </wpg:cNvGrpSpPr>
                        <wpg:grpSpPr bwMode="auto">
                          <a:xfrm>
                            <a:off x="26932" y="21607"/>
                            <a:ext cx="53055" cy="32385"/>
                            <a:chOff x="0" y="0"/>
                            <a:chExt cx="53054" cy="32385"/>
                          </a:xfrm>
                        </wpg:grpSpPr>
                        <wps:wsp>
                          <wps:cNvPr id="24166" name="Rectangle 90"/>
                          <wps:cNvSpPr>
                            <a:spLocks noChangeArrowheads="1"/>
                          </wps:cNvSpPr>
                          <wps:spPr bwMode="auto">
                            <a:xfrm>
                              <a:off x="0" y="0"/>
                              <a:ext cx="53054" cy="32385"/>
                            </a:xfrm>
                            <a:prstGeom prst="rect">
                              <a:avLst/>
                            </a:prstGeom>
                            <a:noFill/>
                            <a:ln>
                              <a:noFill/>
                            </a:ln>
                          </wps:spPr>
                          <wps:txbx>
                            <w:txbxContent>
                              <w:p w14:paraId="1BDC4A26" w14:textId="77777777" w:rsidR="00527127" w:rsidRPr="009C2EAC" w:rsidRDefault="00527127" w:rsidP="00390EBC"/>
                            </w:txbxContent>
                          </wps:txbx>
                          <wps:bodyPr rot="0" vert="horz" wrap="square" lIns="91425" tIns="91425" rIns="91425" bIns="91425" anchor="ctr" anchorCtr="0" upright="1">
                            <a:noAutofit/>
                          </wps:bodyPr>
                        </wps:wsp>
                        <wps:wsp>
                          <wps:cNvPr id="24167" name="Rectangle 91"/>
                          <wps:cNvSpPr>
                            <a:spLocks noChangeArrowheads="1"/>
                          </wps:cNvSpPr>
                          <wps:spPr bwMode="auto">
                            <a:xfrm>
                              <a:off x="0" y="0"/>
                              <a:ext cx="53054" cy="32385"/>
                            </a:xfrm>
                            <a:prstGeom prst="rect">
                              <a:avLst/>
                            </a:prstGeom>
                            <a:solidFill>
                              <a:schemeClr val="lt1">
                                <a:lumMod val="100000"/>
                                <a:lumOff val="0"/>
                              </a:schemeClr>
                            </a:solidFill>
                            <a:ln w="12700">
                              <a:solidFill>
                                <a:schemeClr val="accent6">
                                  <a:lumMod val="100000"/>
                                  <a:lumOff val="0"/>
                                </a:schemeClr>
                              </a:solidFill>
                              <a:miter lim="800000"/>
                              <a:headEnd type="none" w="sm" len="sm"/>
                              <a:tailEnd type="none" w="sm" len="sm"/>
                            </a:ln>
                          </wps:spPr>
                          <wps:txbx>
                            <w:txbxContent>
                              <w:p w14:paraId="67B7E028" w14:textId="77777777" w:rsidR="00527127" w:rsidRPr="009C2EAC" w:rsidRDefault="00527127" w:rsidP="00390EBC"/>
                            </w:txbxContent>
                          </wps:txbx>
                          <wps:bodyPr rot="0" vert="horz" wrap="square" lIns="91425" tIns="91425" rIns="91425" bIns="91425" anchor="ctr" anchorCtr="0" upright="1">
                            <a:noAutofit/>
                          </wps:bodyPr>
                        </wps:wsp>
                        <wpg:grpSp>
                          <wpg:cNvPr id="24168" name="Group 94"/>
                          <wpg:cNvGrpSpPr>
                            <a:grpSpLocks/>
                          </wpg:cNvGrpSpPr>
                          <wpg:grpSpPr bwMode="auto">
                            <a:xfrm>
                              <a:off x="1328" y="531"/>
                              <a:ext cx="49920" cy="31453"/>
                              <a:chOff x="557" y="-410"/>
                              <a:chExt cx="49179" cy="30680"/>
                            </a:xfrm>
                          </wpg:grpSpPr>
                          <wpg:grpSp>
                            <wpg:cNvPr id="24169" name="Group 95"/>
                            <wpg:cNvGrpSpPr>
                              <a:grpSpLocks/>
                            </wpg:cNvGrpSpPr>
                            <wpg:grpSpPr bwMode="auto">
                              <a:xfrm>
                                <a:off x="22795" y="13049"/>
                                <a:ext cx="8733" cy="6557"/>
                                <a:chOff x="-349" y="0"/>
                                <a:chExt cx="8733" cy="6557"/>
                              </a:xfrm>
                            </wpg:grpSpPr>
                            <wps:wsp>
                              <wps:cNvPr id="24170" name="Rectangle 96"/>
                              <wps:cNvSpPr>
                                <a:spLocks noChangeArrowheads="1"/>
                              </wps:cNvSpPr>
                              <wps:spPr bwMode="auto">
                                <a:xfrm>
                                  <a:off x="-349" y="3129"/>
                                  <a:ext cx="8732" cy="3428"/>
                                </a:xfrm>
                                <a:prstGeom prst="rect">
                                  <a:avLst/>
                                </a:prstGeom>
                                <a:solidFill>
                                  <a:schemeClr val="lt1">
                                    <a:lumMod val="100000"/>
                                    <a:lumOff val="0"/>
                                  </a:schemeClr>
                                </a:solidFill>
                                <a:ln>
                                  <a:noFill/>
                                </a:ln>
                              </wps:spPr>
                              <wps:txbx>
                                <w:txbxContent>
                                  <w:p w14:paraId="11C46C82" w14:textId="0AEEFD19" w:rsidR="00527127" w:rsidRPr="00B34CAB" w:rsidRDefault="00527127" w:rsidP="004D6A1D">
                                    <w:pPr>
                                      <w:spacing w:before="0" w:line="240" w:lineRule="auto"/>
                                      <w:jc w:val="left"/>
                                      <w:rPr>
                                        <w:sz w:val="20"/>
                                        <w:szCs w:val="20"/>
                                      </w:rPr>
                                    </w:pPr>
                                    <w:r w:rsidRPr="00B34CAB">
                                      <w:rPr>
                                        <w:sz w:val="20"/>
                                        <w:szCs w:val="20"/>
                                      </w:rPr>
                                      <w:t>(960, 540) P</w:t>
                                    </w:r>
                                    <w:r>
                                      <w:rPr>
                                        <w:sz w:val="20"/>
                                        <w:szCs w:val="20"/>
                                      </w:rPr>
                                      <w:t>P</w:t>
                                    </w:r>
                                  </w:p>
                                  <w:p w14:paraId="37836DB3" w14:textId="77777777" w:rsidR="00527127" w:rsidRPr="00B34CAB" w:rsidRDefault="00527127" w:rsidP="00390EBC">
                                    <w:pPr>
                                      <w:rPr>
                                        <w:sz w:val="20"/>
                                        <w:szCs w:val="20"/>
                                      </w:rPr>
                                    </w:pPr>
                                  </w:p>
                                </w:txbxContent>
                              </wps:txbx>
                              <wps:bodyPr rot="0" vert="horz" wrap="square" lIns="0" tIns="0" rIns="0" bIns="0" anchor="ctr" anchorCtr="0" upright="1">
                                <a:noAutofit/>
                              </wps:bodyPr>
                            </wps:wsp>
                            <pic:pic xmlns:pic="http://schemas.openxmlformats.org/drawingml/2006/picture">
                              <pic:nvPicPr>
                                <pic:cNvPr id="24171" name="Shape 55"/>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4" cy="2838"/>
                                </a:xfrm>
                                <a:prstGeom prst="rect">
                                  <a:avLst/>
                                </a:prstGeom>
                                <a:noFill/>
                              </pic:spPr>
                            </pic:pic>
                          </wpg:grpSp>
                          <wpg:grpSp>
                            <wpg:cNvPr id="24172" name="Group 98"/>
                            <wpg:cNvGrpSpPr>
                              <a:grpSpLocks/>
                            </wpg:cNvGrpSpPr>
                            <wpg:grpSpPr bwMode="auto">
                              <a:xfrm>
                                <a:off x="557" y="12332"/>
                                <a:ext cx="10860" cy="5019"/>
                                <a:chOff x="557" y="-716"/>
                                <a:chExt cx="10859" cy="5019"/>
                              </a:xfrm>
                            </wpg:grpSpPr>
                            <wps:wsp>
                              <wps:cNvPr id="24173" name="Rectangle 99"/>
                              <wps:cNvSpPr>
                                <a:spLocks noChangeArrowheads="1"/>
                              </wps:cNvSpPr>
                              <wps:spPr bwMode="auto">
                                <a:xfrm>
                                  <a:off x="557" y="-716"/>
                                  <a:ext cx="7262" cy="5018"/>
                                </a:xfrm>
                                <a:prstGeom prst="rect">
                                  <a:avLst/>
                                </a:prstGeom>
                                <a:solidFill>
                                  <a:schemeClr val="lt1">
                                    <a:lumMod val="100000"/>
                                    <a:lumOff val="0"/>
                                  </a:schemeClr>
                                </a:solidFill>
                                <a:ln>
                                  <a:noFill/>
                                </a:ln>
                              </wps:spPr>
                              <wps:txbx>
                                <w:txbxContent>
                                  <w:p w14:paraId="7D637939" w14:textId="7AC5B0AE" w:rsidR="00527127" w:rsidRPr="00B34CAB" w:rsidRDefault="00527127" w:rsidP="004D6A1D">
                                    <w:pPr>
                                      <w:spacing w:before="0" w:after="0" w:line="240" w:lineRule="auto"/>
                                      <w:jc w:val="left"/>
                                      <w:rPr>
                                        <w:sz w:val="20"/>
                                        <w:szCs w:val="20"/>
                                      </w:rPr>
                                    </w:pPr>
                                    <w:r w:rsidRPr="00B34CAB">
                                      <w:rPr>
                                        <w:sz w:val="20"/>
                                        <w:szCs w:val="20"/>
                                      </w:rPr>
                                      <w:t>(380, 540)</w:t>
                                    </w:r>
                                    <w:r>
                                      <w:rPr>
                                        <w:sz w:val="20"/>
                                        <w:szCs w:val="20"/>
                                      </w:rPr>
                                      <w:t xml:space="preserve"> 10° left gaze</w:t>
                                    </w:r>
                                  </w:p>
                                </w:txbxContent>
                              </wps:txbx>
                              <wps:bodyPr rot="0" vert="horz" wrap="square" lIns="0" tIns="0" rIns="0" bIns="0" anchor="ctr" anchorCtr="0" upright="1">
                                <a:noAutofit/>
                              </wps:bodyPr>
                            </wps:wsp>
                            <pic:pic xmlns:pic="http://schemas.openxmlformats.org/drawingml/2006/picture">
                              <pic:nvPicPr>
                                <pic:cNvPr id="24174"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572" y="0"/>
                                  <a:ext cx="2845" cy="2838"/>
                                </a:xfrm>
                                <a:prstGeom prst="rect">
                                  <a:avLst/>
                                </a:prstGeom>
                                <a:noFill/>
                              </pic:spPr>
                            </pic:pic>
                          </wpg:grpSp>
                          <wpg:grpSp>
                            <wpg:cNvPr id="24175" name="Group 101"/>
                            <wpg:cNvGrpSpPr>
                              <a:grpSpLocks/>
                            </wpg:cNvGrpSpPr>
                            <wpg:grpSpPr bwMode="auto">
                              <a:xfrm>
                                <a:off x="38290" y="12861"/>
                                <a:ext cx="11447" cy="3930"/>
                                <a:chOff x="0" y="-92"/>
                                <a:chExt cx="11447" cy="3930"/>
                              </a:xfrm>
                            </wpg:grpSpPr>
                            <wps:wsp>
                              <wps:cNvPr id="24176" name="Rectangle 102"/>
                              <wps:cNvSpPr>
                                <a:spLocks noChangeArrowheads="1"/>
                              </wps:cNvSpPr>
                              <wps:spPr bwMode="auto">
                                <a:xfrm>
                                  <a:off x="3426" y="-92"/>
                                  <a:ext cx="8021" cy="3929"/>
                                </a:xfrm>
                                <a:prstGeom prst="rect">
                                  <a:avLst/>
                                </a:prstGeom>
                                <a:solidFill>
                                  <a:schemeClr val="lt1">
                                    <a:lumMod val="100000"/>
                                    <a:lumOff val="0"/>
                                  </a:schemeClr>
                                </a:solidFill>
                                <a:ln>
                                  <a:noFill/>
                                </a:ln>
                              </wps:spPr>
                              <wps:txbx>
                                <w:txbxContent>
                                  <w:p w14:paraId="57AD4FFF" w14:textId="77777777" w:rsidR="00527127" w:rsidRDefault="00527127" w:rsidP="004D6A1D">
                                    <w:pPr>
                                      <w:spacing w:before="0" w:after="0" w:line="240" w:lineRule="auto"/>
                                      <w:jc w:val="left"/>
                                      <w:rPr>
                                        <w:sz w:val="20"/>
                                        <w:szCs w:val="20"/>
                                      </w:rPr>
                                    </w:pPr>
                                    <w:r w:rsidRPr="00B34CAB">
                                      <w:rPr>
                                        <w:sz w:val="20"/>
                                        <w:szCs w:val="20"/>
                                      </w:rPr>
                                      <w:t xml:space="preserve">(1540, 540) </w:t>
                                    </w:r>
                                  </w:p>
                                  <w:p w14:paraId="791F99F2" w14:textId="29A5C618" w:rsidR="00527127" w:rsidRPr="00B34CAB" w:rsidRDefault="00527127" w:rsidP="004D6A1D">
                                    <w:pPr>
                                      <w:spacing w:before="0" w:after="0"/>
                                      <w:jc w:val="left"/>
                                      <w:rPr>
                                        <w:sz w:val="20"/>
                                        <w:szCs w:val="20"/>
                                      </w:rPr>
                                    </w:pPr>
                                    <w:r>
                                      <w:rPr>
                                        <w:sz w:val="20"/>
                                        <w:szCs w:val="20"/>
                                      </w:rPr>
                                      <w:t>10° right gaze</w:t>
                                    </w:r>
                                  </w:p>
                                </w:txbxContent>
                              </wps:txbx>
                              <wps:bodyPr rot="0" vert="horz" wrap="square" lIns="0" tIns="0" rIns="0" bIns="0" anchor="ctr" anchorCtr="0" upright="1">
                                <a:noAutofit/>
                              </wps:bodyPr>
                            </wps:wsp>
                            <pic:pic xmlns:pic="http://schemas.openxmlformats.org/drawingml/2006/picture">
                              <pic:nvPicPr>
                                <pic:cNvPr id="24177"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95"/>
                                  <a:ext cx="2844" cy="2838"/>
                                </a:xfrm>
                                <a:prstGeom prst="rect">
                                  <a:avLst/>
                                </a:prstGeom>
                                <a:noFill/>
                              </pic:spPr>
                            </pic:pic>
                          </wpg:grpSp>
                          <wpg:grpSp>
                            <wpg:cNvPr id="24178" name="Group 113"/>
                            <wpg:cNvGrpSpPr>
                              <a:grpSpLocks/>
                            </wpg:cNvGrpSpPr>
                            <wpg:grpSpPr bwMode="auto">
                              <a:xfrm>
                                <a:off x="21978" y="23336"/>
                                <a:ext cx="8243" cy="6934"/>
                                <a:chOff x="1595" y="0"/>
                                <a:chExt cx="8242" cy="6934"/>
                              </a:xfrm>
                            </wpg:grpSpPr>
                            <wps:wsp>
                              <wps:cNvPr id="24179" name="Rectangle 114"/>
                              <wps:cNvSpPr>
                                <a:spLocks noChangeArrowheads="1"/>
                              </wps:cNvSpPr>
                              <wps:spPr bwMode="auto">
                                <a:xfrm>
                                  <a:off x="1595" y="3143"/>
                                  <a:ext cx="8242" cy="3791"/>
                                </a:xfrm>
                                <a:prstGeom prst="rect">
                                  <a:avLst/>
                                </a:prstGeom>
                                <a:solidFill>
                                  <a:schemeClr val="lt1">
                                    <a:lumMod val="100000"/>
                                    <a:lumOff val="0"/>
                                  </a:schemeClr>
                                </a:solidFill>
                                <a:ln>
                                  <a:noFill/>
                                </a:ln>
                              </wps:spPr>
                              <wps:txbx>
                                <w:txbxContent>
                                  <w:p w14:paraId="5E6361C8" w14:textId="2FC62BC4" w:rsidR="00527127" w:rsidRPr="00B34CAB" w:rsidRDefault="00527127" w:rsidP="004D6A1D">
                                    <w:pPr>
                                      <w:spacing w:before="0" w:after="0" w:line="240" w:lineRule="auto"/>
                                      <w:jc w:val="left"/>
                                      <w:rPr>
                                        <w:sz w:val="20"/>
                                        <w:szCs w:val="20"/>
                                      </w:rPr>
                                    </w:pPr>
                                    <w:r w:rsidRPr="00B34CAB">
                                      <w:rPr>
                                        <w:sz w:val="20"/>
                                        <w:szCs w:val="20"/>
                                      </w:rPr>
                                      <w:t>(960, 940)       8° down</w:t>
                                    </w:r>
                                    <w:r>
                                      <w:rPr>
                                        <w:sz w:val="20"/>
                                        <w:szCs w:val="20"/>
                                      </w:rPr>
                                      <w:t>gaze</w:t>
                                    </w:r>
                                  </w:p>
                                </w:txbxContent>
                              </wps:txbx>
                              <wps:bodyPr rot="0" vert="horz" wrap="square" lIns="0" tIns="0" rIns="0" bIns="0" anchor="ctr" anchorCtr="0" upright="1">
                                <a:noAutofit/>
                              </wps:bodyPr>
                            </wps:wsp>
                            <pic:pic xmlns:pic="http://schemas.openxmlformats.org/drawingml/2006/picture">
                              <pic:nvPicPr>
                                <pic:cNvPr id="24180" name="Shape 64"/>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762" y="0"/>
                                  <a:ext cx="2845" cy="2838"/>
                                </a:xfrm>
                                <a:prstGeom prst="rect">
                                  <a:avLst/>
                                </a:prstGeom>
                                <a:noFill/>
                              </pic:spPr>
                            </pic:pic>
                          </wpg:grpSp>
                          <wpg:grpSp>
                            <wpg:cNvPr id="24181" name="Group 116"/>
                            <wpg:cNvGrpSpPr>
                              <a:grpSpLocks/>
                            </wpg:cNvGrpSpPr>
                            <wpg:grpSpPr bwMode="auto">
                              <a:xfrm>
                                <a:off x="22174" y="-410"/>
                                <a:ext cx="6299" cy="6677"/>
                                <a:chOff x="1219" y="-410"/>
                                <a:chExt cx="6298" cy="6677"/>
                              </a:xfrm>
                            </wpg:grpSpPr>
                            <wps:wsp>
                              <wps:cNvPr id="24182" name="Rectangle 117"/>
                              <wps:cNvSpPr>
                                <a:spLocks noChangeArrowheads="1"/>
                              </wps:cNvSpPr>
                              <wps:spPr bwMode="auto">
                                <a:xfrm>
                                  <a:off x="1219" y="-410"/>
                                  <a:ext cx="6299" cy="3645"/>
                                </a:xfrm>
                                <a:prstGeom prst="rect">
                                  <a:avLst/>
                                </a:prstGeom>
                                <a:solidFill>
                                  <a:schemeClr val="lt1">
                                    <a:lumMod val="100000"/>
                                    <a:lumOff val="0"/>
                                  </a:schemeClr>
                                </a:solidFill>
                                <a:ln>
                                  <a:noFill/>
                                </a:ln>
                              </wps:spPr>
                              <wps:txbx>
                                <w:txbxContent>
                                  <w:p w14:paraId="7F3FBFE4" w14:textId="2BAE6091" w:rsidR="00527127" w:rsidRPr="00B34CAB" w:rsidRDefault="00527127" w:rsidP="004D6A1D">
                                    <w:pPr>
                                      <w:spacing w:before="0" w:after="0" w:line="240" w:lineRule="auto"/>
                                      <w:jc w:val="left"/>
                                      <w:rPr>
                                        <w:sz w:val="20"/>
                                        <w:szCs w:val="20"/>
                                      </w:rPr>
                                    </w:pPr>
                                    <w:r w:rsidRPr="00B34CAB">
                                      <w:rPr>
                                        <w:sz w:val="20"/>
                                        <w:szCs w:val="20"/>
                                      </w:rPr>
                                      <w:t xml:space="preserve">(960, 140) </w:t>
                                    </w:r>
                                    <w:r>
                                      <w:rPr>
                                        <w:sz w:val="20"/>
                                        <w:szCs w:val="20"/>
                                      </w:rPr>
                                      <w:t>8° up gaze</w:t>
                                    </w:r>
                                  </w:p>
                                </w:txbxContent>
                              </wps:txbx>
                              <wps:bodyPr rot="0" vert="horz" wrap="square" lIns="0" tIns="0" rIns="0" bIns="0" anchor="ctr" anchorCtr="0" upright="1">
                                <a:noAutofit/>
                              </wps:bodyPr>
                            </wps:wsp>
                            <pic:pic xmlns:pic="http://schemas.openxmlformats.org/drawingml/2006/picture">
                              <pic:nvPicPr>
                                <pic:cNvPr id="24183" name="Shape 67"/>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190" y="3429"/>
                                  <a:ext cx="2845" cy="2838"/>
                                </a:xfrm>
                                <a:prstGeom prst="rect">
                                  <a:avLst/>
                                </a:prstGeom>
                                <a:noFill/>
                              </pic:spPr>
                            </pic:pic>
                          </wpg:grpSp>
                        </wpg:grpSp>
                      </wpg:grpSp>
                    </wpg:wgp>
                  </a:graphicData>
                </a:graphic>
              </wp:inline>
            </w:drawing>
          </mc:Choice>
          <mc:Fallback>
            <w:pict>
              <v:group w14:anchorId="2E389082" id="Group 24164" o:spid="_x0000_s1259" style="width:389.5pt;height:198.45pt;mso-position-horizontal-relative:char;mso-position-vertical-relative:line" coordorigin="26932,21607" coordsize="53054,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">
                <v:group id="Group 87" o:spid="_x0000_s1260" style="position:absolute;left:26932;top:21607;width:53055;height:32385" coordsize="53054,3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">
                  <v:rect id="Rectangle 90" o:spid="_x0000_s1261" style="position:absolute;width:53054;height:32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" filled="f" stroked="f">
                    <v:textbox inset="2.53958mm,2.53958mm,2.53958mm,2.53958mm">
                      <w:txbxContent>
                        <w:p w14:paraId="1BDC4A26" w14:textId="77777777" w:rsidR="00527127" w:rsidRPr="009C2EAC" w:rsidRDefault="00527127" w:rsidP="00390EBC"/>
                      </w:txbxContent>
                    </v:textbox>
                  </v:rect>
                  <v:rect id="Rectangle 91" o:spid="_x0000_s1262" style="position:absolute;width:53054;height:32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" fillcolor="white [3201]" strokecolor="#70ad47 [3209]" strokeweight="1pt">
                    <v:stroke startarrowwidth="narrow" startarrowlength="short" endarrowwidth="narrow" endarrowlength="short"/>
                    <v:textbox inset="2.53958mm,2.53958mm,2.53958mm,2.53958mm">
                      <w:txbxContent>
                        <w:p w14:paraId="67B7E028" w14:textId="77777777" w:rsidR="00527127" w:rsidRPr="009C2EAC" w:rsidRDefault="00527127" w:rsidP="00390EBC"/>
                      </w:txbxContent>
                    </v:textbox>
                  </v:rect>
                  <v:group id="Group 94" o:spid="_x0000_s1263" style="position:absolute;left:1328;top:531;width:49920;height:31453" coordorigin="557,-410" coordsize="49179,3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">
                    <v:group id="Group 95" o:spid="_x0000_s1264" style="position:absolute;left:22795;top:13049;width:8733;height:6557" coordorigin="-349" coordsize="8733,6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">
                      <v:rect id="Rectangle 96" o:spid="_x0000_s1265" style="position:absolute;left:-349;top:3129;width:873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" fillcolor="white [3201]" stroked="f">
                        <v:textbox inset="0,0,0,0">
                          <w:txbxContent>
                            <w:p w14:paraId="11C46C82" w14:textId="0AEEFD19" w:rsidR="00527127" w:rsidRPr="00B34CAB" w:rsidRDefault="00527127" w:rsidP="004D6A1D">
                              <w:pPr>
                                <w:spacing w:before="0" w:line="240" w:lineRule="auto"/>
                                <w:jc w:val="left"/>
                                <w:rPr>
                                  <w:sz w:val="20"/>
                                  <w:szCs w:val="20"/>
                                </w:rPr>
                              </w:pPr>
                              <w:r w:rsidRPr="00B34CAB">
                                <w:rPr>
                                  <w:sz w:val="20"/>
                                  <w:szCs w:val="20"/>
                                </w:rPr>
                                <w:t>(960, 540) P</w:t>
                              </w:r>
                              <w:r>
                                <w:rPr>
                                  <w:sz w:val="20"/>
                                  <w:szCs w:val="20"/>
                                </w:rPr>
                                <w:t>P</w:t>
                              </w:r>
                            </w:p>
                            <w:p w14:paraId="37836DB3" w14:textId="77777777" w:rsidR="00527127" w:rsidRPr="00B34CAB" w:rsidRDefault="00527127" w:rsidP="00390EBC">
                              <w:pPr>
                                <w:rPr>
                                  <w:sz w:val="20"/>
                                  <w:szCs w:val="20"/>
                                </w:rPr>
                              </w:pPr>
                            </w:p>
                          </w:txbxContent>
                        </v:textbox>
                      </v:rect>
                      <v:shape id="Shape 55" o:spid="_x0000_s1266" type="#_x0000_t75" style="position:absolute;width:2844;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">
                        <v:imagedata r:id="rId84" o:title=""/>
                      </v:shape>
                    </v:group>
                    <v:group id="Group 98" o:spid="_x0000_s1267" style="position:absolute;left:557;top:12332;width:10860;height:5019" coordorigin="557,-716" coordsize="10859,5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">
                      <v:rect id="Rectangle 99" o:spid="_x0000_s1268" style="position:absolute;left:557;top:-716;width:7262;height:5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" fillcolor="white [3201]" stroked="f">
                        <v:textbox inset="0,0,0,0">
                          <w:txbxContent>
                            <w:p w14:paraId="7D637939" w14:textId="7AC5B0AE" w:rsidR="00527127" w:rsidRPr="00B34CAB" w:rsidRDefault="00527127" w:rsidP="004D6A1D">
                              <w:pPr>
                                <w:spacing w:before="0" w:after="0" w:line="240" w:lineRule="auto"/>
                                <w:jc w:val="left"/>
                                <w:rPr>
                                  <w:sz w:val="20"/>
                                  <w:szCs w:val="20"/>
                                </w:rPr>
                              </w:pPr>
                              <w:r w:rsidRPr="00B34CAB">
                                <w:rPr>
                                  <w:sz w:val="20"/>
                                  <w:szCs w:val="20"/>
                                </w:rPr>
                                <w:t>(380, 540)</w:t>
                              </w:r>
                              <w:r>
                                <w:rPr>
                                  <w:sz w:val="20"/>
                                  <w:szCs w:val="20"/>
                                </w:rPr>
                                <w:t xml:space="preserve"> 10° left gaze</w:t>
                              </w:r>
                            </w:p>
                          </w:txbxContent>
                        </v:textbox>
                      </v:rect>
                      <v:shape id="Shape 58" o:spid="_x0000_s1269" type="#_x0000_t75" style="position:absolute;left:8572;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">
                        <v:imagedata r:id="rId84" o:title=""/>
                      </v:shape>
                    </v:group>
                    <v:group id="Group 101" o:spid="_x0000_s1270" style="position:absolute;left:38290;top:12861;width:11447;height:3930" coordorigin=",-92" coordsize="11447,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">
                      <v:rect id="Rectangle 102" o:spid="_x0000_s1271" style="position:absolute;left:3426;top:-92;width:8021;height:3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" fillcolor="white [3201]" stroked="f">
                        <v:textbox inset="0,0,0,0">
                          <w:txbxContent>
                            <w:p w14:paraId="57AD4FFF" w14:textId="77777777" w:rsidR="00527127" w:rsidRDefault="00527127" w:rsidP="004D6A1D">
                              <w:pPr>
                                <w:spacing w:before="0" w:after="0" w:line="240" w:lineRule="auto"/>
                                <w:jc w:val="left"/>
                                <w:rPr>
                                  <w:sz w:val="20"/>
                                  <w:szCs w:val="20"/>
                                </w:rPr>
                              </w:pPr>
                              <w:r w:rsidRPr="00B34CAB">
                                <w:rPr>
                                  <w:sz w:val="20"/>
                                  <w:szCs w:val="20"/>
                                </w:rPr>
                                <w:t xml:space="preserve">(1540, 540) </w:t>
                              </w:r>
                            </w:p>
                            <w:p w14:paraId="791F99F2" w14:textId="29A5C618" w:rsidR="00527127" w:rsidRPr="00B34CAB" w:rsidRDefault="00527127" w:rsidP="004D6A1D">
                              <w:pPr>
                                <w:spacing w:before="0" w:after="0"/>
                                <w:jc w:val="left"/>
                                <w:rPr>
                                  <w:sz w:val="20"/>
                                  <w:szCs w:val="20"/>
                                </w:rPr>
                              </w:pPr>
                              <w:r>
                                <w:rPr>
                                  <w:sz w:val="20"/>
                                  <w:szCs w:val="20"/>
                                </w:rPr>
                                <w:t>10° right gaze</w:t>
                              </w:r>
                            </w:p>
                          </w:txbxContent>
                        </v:textbox>
                      </v:rect>
                      <v:shape id="Shape 61" o:spid="_x0000_s1272" type="#_x0000_t75" style="position:absolute;top:95;width:2844;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">
                        <v:imagedata r:id="rId84" o:title=""/>
                      </v:shape>
                    </v:group>
                    <v:group id="Group 113" o:spid="_x0000_s1273" style="position:absolute;left:21978;top:23336;width:8243;height:6934" coordorigin="1595" coordsize="8242,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">
                      <v:rect id="Rectangle 114" o:spid="_x0000_s1274" style="position:absolute;left:1595;top:3143;width:8242;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" fillcolor="white [3201]" stroked="f">
                        <v:textbox inset="0,0,0,0">
                          <w:txbxContent>
                            <w:p w14:paraId="5E6361C8" w14:textId="2FC62BC4" w:rsidR="00527127" w:rsidRPr="00B34CAB" w:rsidRDefault="00527127" w:rsidP="004D6A1D">
                              <w:pPr>
                                <w:spacing w:before="0" w:after="0" w:line="240" w:lineRule="auto"/>
                                <w:jc w:val="left"/>
                                <w:rPr>
                                  <w:sz w:val="20"/>
                                  <w:szCs w:val="20"/>
                                </w:rPr>
                              </w:pPr>
                              <w:r w:rsidRPr="00B34CAB">
                                <w:rPr>
                                  <w:sz w:val="20"/>
                                  <w:szCs w:val="20"/>
                                </w:rPr>
                                <w:t>(960, 940)       8° down</w:t>
                              </w:r>
                              <w:r>
                                <w:rPr>
                                  <w:sz w:val="20"/>
                                  <w:szCs w:val="20"/>
                                </w:rPr>
                                <w:t>gaze</w:t>
                              </w:r>
                            </w:p>
                          </w:txbxContent>
                        </v:textbox>
                      </v:rect>
                      <v:shape id="Shape 64" o:spid="_x0000_s1275" type="#_x0000_t75" style="position:absolute;left:2762;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">
                        <v:imagedata r:id="rId84" o:title=""/>
                      </v:shape>
                    </v:group>
                    <v:group id="Group 116" o:spid="_x0000_s1276" style="position:absolute;left:22174;top:-410;width:6299;height:6677" coordorigin="1219,-410" coordsize="6298,6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">
                      <v:rect id="Rectangle 117" o:spid="_x0000_s1277" style="position:absolute;left:1219;top:-410;width:6299;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" fillcolor="white [3201]" stroked="f">
                        <v:textbox inset="0,0,0,0">
                          <w:txbxContent>
                            <w:p w14:paraId="7F3FBFE4" w14:textId="2BAE6091" w:rsidR="00527127" w:rsidRPr="00B34CAB" w:rsidRDefault="00527127" w:rsidP="004D6A1D">
                              <w:pPr>
                                <w:spacing w:before="0" w:after="0" w:line="240" w:lineRule="auto"/>
                                <w:jc w:val="left"/>
                                <w:rPr>
                                  <w:sz w:val="20"/>
                                  <w:szCs w:val="20"/>
                                </w:rPr>
                              </w:pPr>
                              <w:r w:rsidRPr="00B34CAB">
                                <w:rPr>
                                  <w:sz w:val="20"/>
                                  <w:szCs w:val="20"/>
                                </w:rPr>
                                <w:t xml:space="preserve">(960, 140) </w:t>
                              </w:r>
                              <w:r>
                                <w:rPr>
                                  <w:sz w:val="20"/>
                                  <w:szCs w:val="20"/>
                                </w:rPr>
                                <w:t>8° up gaze</w:t>
                              </w:r>
                            </w:p>
                          </w:txbxContent>
                        </v:textbox>
                      </v:rect>
                      <v:shape id="Shape 67" o:spid="_x0000_s1278" type="#_x0000_t75" style="position:absolute;left:2190;top:3429;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">
                        <v:imagedata r:id="rId84" o:title=""/>
                      </v:shape>
                    </v:group>
                  </v:group>
                </v:group>
                <w10:anchorlock/>
              </v:group>
            </w:pict>
          </mc:Fallback>
        </mc:AlternateContent>
      </w:r>
    </w:p>
    <w:p w14:paraId="110A8448" w14:textId="42E45BEC" w:rsidR="00547D87" w:rsidRPr="009D4627" w:rsidRDefault="007B0F1C" w:rsidP="00C4130D">
      <w:pPr>
        <w:pStyle w:val="Caption"/>
      </w:pPr>
      <w:bookmarkStart w:id="175" w:name="_Toc98569954"/>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6</w:t>
      </w:r>
      <w:r w:rsidR="002E63E9" w:rsidRPr="009D4627">
        <w:rPr>
          <w:noProof/>
        </w:rPr>
        <w:fldChar w:fldCharType="end"/>
      </w:r>
      <w:r w:rsidRPr="009D4627">
        <w:t xml:space="preserve">: </w:t>
      </w:r>
      <w:r w:rsidR="002D48BF" w:rsidRPr="009D4627">
        <w:t>The coordinates of each fixation testing position presented in the PPD unit. During the test, only one stationary target was presented at a time for 30 sec. Each recording session started with the fixation target at the PP, left, right, up, and downgaze</w:t>
      </w:r>
      <w:r w:rsidR="00547D87" w:rsidRPr="009D4627">
        <w:t>.</w:t>
      </w:r>
      <w:bookmarkEnd w:id="175"/>
      <w:r w:rsidR="00547D87" w:rsidRPr="009D4627">
        <w:t xml:space="preserve"> </w:t>
      </w:r>
    </w:p>
    <w:p w14:paraId="19F9E4CB" w14:textId="35571FE7" w:rsidR="00EC745C" w:rsidRPr="009D4627" w:rsidRDefault="00EC745C" w:rsidP="00BB6062">
      <w:r w:rsidRPr="009D4627">
        <w:rPr>
          <w:lang w:val="en-US"/>
        </w:rPr>
        <w:t xml:space="preserve">The sequence of the presented target was fixed for all participants. Each target position was maintained for 30 sec before it abruptly changed to the next position, known as zero-gap target presentation. The total recording time for the fixation task was approximately 2.5 minutes. </w:t>
      </w:r>
      <w:r w:rsidRPr="009D4627">
        <w:rPr>
          <w:lang w:val="en-US"/>
        </w:rPr>
        <w:lastRenderedPageBreak/>
        <w:t>Throughout the test, encouragement was given to ensure the patient was consciously fixated at the target position, as shown most effectively by Abel et al. (1983)</w:t>
      </w:r>
      <w:r w:rsidRPr="009D4627">
        <w:t>.</w:t>
      </w:r>
    </w:p>
    <w:p w14:paraId="5BE06235" w14:textId="2131FE8C" w:rsidR="00547D87" w:rsidRPr="009D4627" w:rsidRDefault="00BD5064" w:rsidP="00DC4CA6">
      <w:pPr>
        <w:pStyle w:val="Heading3"/>
      </w:pPr>
      <w:bookmarkStart w:id="176" w:name="_3dy6vkm" w:colFirst="0" w:colLast="0"/>
      <w:bookmarkStart w:id="177" w:name="_Toc98964645"/>
      <w:bookmarkStart w:id="178" w:name="_Toc103344691"/>
      <w:bookmarkEnd w:id="176"/>
      <w:r w:rsidRPr="009D4627">
        <w:t>S</w:t>
      </w:r>
      <w:r w:rsidR="000164C3">
        <w:t>P</w:t>
      </w:r>
      <w:bookmarkEnd w:id="177"/>
      <w:bookmarkEnd w:id="178"/>
    </w:p>
    <w:p w14:paraId="2B299BA0" w14:textId="6FBFC509" w:rsidR="002D48BF" w:rsidRPr="009D4627" w:rsidRDefault="002D48BF" w:rsidP="002D48BF">
      <w:pPr>
        <w:pStyle w:val="Body"/>
        <w:rPr>
          <w:rFonts w:eastAsia="Arial Unicode MS"/>
        </w:rPr>
      </w:pPr>
      <w:bookmarkStart w:id="179" w:name="_Toc73915530"/>
      <w:bookmarkStart w:id="180" w:name="_Hlk54842757"/>
      <w:r w:rsidRPr="009D4627">
        <w:rPr>
          <w:rFonts w:eastAsia="Arial Unicode MS"/>
          <w:lang w:val="en-US"/>
        </w:rPr>
        <w:t xml:space="preserve">The SP </w:t>
      </w:r>
      <w:proofErr w:type="spellStart"/>
      <w:r w:rsidRPr="009D4627">
        <w:rPr>
          <w:rFonts w:eastAsia="Arial Unicode MS"/>
          <w:lang w:val="en-US"/>
        </w:rPr>
        <w:t>programmes</w:t>
      </w:r>
      <w:proofErr w:type="spellEnd"/>
      <w:r w:rsidRPr="009D4627">
        <w:rPr>
          <w:rFonts w:eastAsia="Arial Unicode MS"/>
          <w:lang w:val="en-US"/>
        </w:rPr>
        <w:t xml:space="preserve"> were designed by keeping a constant number of cycles (4 cycles per trial) and amplitude (</w:t>
      </w:r>
      <w:r w:rsidRPr="009D4627">
        <w:rPr>
          <w:rFonts w:eastAsia="Arial Unicode MS"/>
        </w:rPr>
        <w:t>±</w:t>
      </w:r>
      <w:r w:rsidRPr="009D4627">
        <w:rPr>
          <w:rFonts w:eastAsia="Arial Unicode MS"/>
          <w:lang w:val="en-US"/>
        </w:rPr>
        <w:t xml:space="preserve"> </w:t>
      </w:r>
      <w:r w:rsidRPr="009D4627">
        <w:rPr>
          <w:rFonts w:eastAsia="Arial Unicode MS"/>
        </w:rPr>
        <w:t>10</w:t>
      </w:r>
      <w:r w:rsidRPr="00E82E69">
        <w:rPr>
          <w:rFonts w:eastAsia="Arial Unicode MS"/>
          <w:lang w:val="en-GB"/>
        </w:rPr>
        <w:t xml:space="preserve">° </w:t>
      </w:r>
      <w:r w:rsidRPr="009D4627">
        <w:rPr>
          <w:rFonts w:eastAsia="Arial Unicode MS"/>
          <w:lang w:val="en-US"/>
        </w:rPr>
        <w:t xml:space="preserve">for horizontal and </w:t>
      </w:r>
      <w:r w:rsidRPr="009D4627">
        <w:rPr>
          <w:rFonts w:eastAsia="Arial Unicode MS"/>
        </w:rPr>
        <w:t>±</w:t>
      </w:r>
      <w:r w:rsidRPr="009D4627">
        <w:rPr>
          <w:rFonts w:eastAsia="Arial Unicode MS"/>
          <w:lang w:val="en-US"/>
        </w:rPr>
        <w:t xml:space="preserve"> </w:t>
      </w:r>
      <w:r w:rsidRPr="009D4627">
        <w:rPr>
          <w:rFonts w:eastAsia="Arial Unicode MS"/>
        </w:rPr>
        <w:t>8</w:t>
      </w:r>
      <w:r w:rsidRPr="00E82E69">
        <w:rPr>
          <w:rFonts w:eastAsia="Arial Unicode MS"/>
          <w:lang w:val="en-GB"/>
        </w:rPr>
        <w:t xml:space="preserve">° </w:t>
      </w:r>
      <w:r w:rsidRPr="009D4627">
        <w:rPr>
          <w:rFonts w:eastAsia="Arial Unicode MS"/>
          <w:lang w:val="en-US"/>
        </w:rPr>
        <w:t xml:space="preserve">for vertical) but altering the frequencies of target motion, producing shorter </w:t>
      </w:r>
      <w:r w:rsidR="00444E5B" w:rsidRPr="009D4627">
        <w:rPr>
          <w:rFonts w:eastAsia="Arial Unicode MS"/>
          <w:lang w:val="en-US"/>
        </w:rPr>
        <w:t xml:space="preserve">SP </w:t>
      </w:r>
      <w:r w:rsidRPr="009D4627">
        <w:rPr>
          <w:rFonts w:eastAsia="Arial Unicode MS"/>
          <w:lang w:val="en-US"/>
        </w:rPr>
        <w:t xml:space="preserve">durations as the frequency increased, as presented in Table 2.1. The total EMR duration was approximately 5 minutes for horizontal and vertical SP, including </w:t>
      </w:r>
      <w:r w:rsidRPr="00E82E69">
        <w:rPr>
          <w:rFonts w:eastAsia="Arial Unicode MS"/>
          <w:lang w:val="en-GB"/>
        </w:rPr>
        <w:t>participant</w:t>
      </w:r>
      <w:r w:rsidRPr="009D4627">
        <w:rPr>
          <w:rFonts w:eastAsia="Arial Unicode MS"/>
          <w:lang w:val="en-US"/>
        </w:rPr>
        <w:t xml:space="preserve"> set-up, calibration, and validation</w:t>
      </w:r>
      <w:r w:rsidRPr="009D4627">
        <w:rPr>
          <w:rFonts w:eastAsia="Arial Unicode MS"/>
        </w:rPr>
        <w:t>.</w:t>
      </w:r>
    </w:p>
    <w:p w14:paraId="56090ACB" w14:textId="52DAA84E" w:rsidR="00C21E4B" w:rsidRPr="009D4627" w:rsidRDefault="00EC745C" w:rsidP="00C4130D">
      <w:pPr>
        <w:pStyle w:val="Caption"/>
      </w:pPr>
      <w:bookmarkStart w:id="181" w:name="_Toc98967291"/>
      <w:r w:rsidRPr="009D4627">
        <w:t>Table 2.</w:t>
      </w:r>
      <w:r w:rsidRPr="009D4627">
        <w:fldChar w:fldCharType="begin"/>
      </w:r>
      <w:r w:rsidRPr="009D4627">
        <w:instrText xml:space="preserve"> SEQ Table_2. \* ARABIC </w:instrText>
      </w:r>
      <w:r w:rsidRPr="009D4627">
        <w:fldChar w:fldCharType="separate"/>
      </w:r>
      <w:r w:rsidR="00E268F6">
        <w:rPr>
          <w:noProof/>
        </w:rPr>
        <w:t>1</w:t>
      </w:r>
      <w:r w:rsidRPr="009D4627">
        <w:fldChar w:fldCharType="end"/>
      </w:r>
      <w:r w:rsidR="002D48BF" w:rsidRPr="009D4627">
        <w:t>: EMR paradigms designed for horizontal and vertical SP recording</w:t>
      </w:r>
      <w:r w:rsidR="00547D87" w:rsidRPr="009D4627">
        <w:t>.</w:t>
      </w:r>
      <w:bookmarkEnd w:id="179"/>
      <w:bookmarkEnd w:id="181"/>
    </w:p>
    <w:tbl>
      <w:tblPr>
        <w:tblStyle w:val="TableGrid"/>
        <w:tblW w:w="5000" w:type="pct"/>
        <w:jc w:val="center"/>
        <w:tblLook w:val="04A0" w:firstRow="1" w:lastRow="0" w:firstColumn="1" w:lastColumn="0" w:noHBand="0" w:noVBand="1"/>
      </w:tblPr>
      <w:tblGrid>
        <w:gridCol w:w="932"/>
        <w:gridCol w:w="2321"/>
        <w:gridCol w:w="3060"/>
        <w:gridCol w:w="2703"/>
      </w:tblGrid>
      <w:tr w:rsidR="00074FBF" w:rsidRPr="009D4627" w14:paraId="5BECEBCC" w14:textId="77777777" w:rsidTr="00F57D01">
        <w:trPr>
          <w:jc w:val="center"/>
        </w:trPr>
        <w:tc>
          <w:tcPr>
            <w:tcW w:w="5000" w:type="pct"/>
            <w:gridSpan w:val="4"/>
            <w:shd w:val="clear" w:color="auto" w:fill="D9D9D9" w:themeFill="background1" w:themeFillShade="D9"/>
          </w:tcPr>
          <w:p w14:paraId="20E3BD96" w14:textId="26714B97" w:rsidR="00074FBF" w:rsidRPr="009D4627" w:rsidRDefault="00074FBF" w:rsidP="00C171FA">
            <w:pPr>
              <w:pStyle w:val="ListParagraph"/>
              <w:numPr>
                <w:ilvl w:val="0"/>
                <w:numId w:val="120"/>
              </w:numPr>
              <w:spacing w:before="0" w:after="0" w:line="240" w:lineRule="auto"/>
              <w:rPr>
                <w:b/>
                <w:bCs/>
                <w:lang w:val="fr-FR"/>
              </w:rPr>
            </w:pPr>
            <w:r w:rsidRPr="009D4627">
              <w:rPr>
                <w:b/>
                <w:bCs/>
              </w:rPr>
              <w:t xml:space="preserve">Horizontal </w:t>
            </w:r>
            <w:r w:rsidR="00444E5B" w:rsidRPr="009D4627">
              <w:rPr>
                <w:b/>
                <w:bCs/>
              </w:rPr>
              <w:t xml:space="preserve">SP </w:t>
            </w:r>
            <w:r w:rsidRPr="009D4627">
              <w:rPr>
                <w:b/>
                <w:bCs/>
              </w:rPr>
              <w:t>(±</w:t>
            </w:r>
            <w:r w:rsidR="008D37EF" w:rsidRPr="009D4627">
              <w:rPr>
                <w:b/>
                <w:bCs/>
              </w:rPr>
              <w:t xml:space="preserve"> </w:t>
            </w:r>
            <w:r w:rsidRPr="009D4627">
              <w:rPr>
                <w:b/>
                <w:bCs/>
              </w:rPr>
              <w:t>10° amplitude)</w:t>
            </w:r>
          </w:p>
        </w:tc>
      </w:tr>
      <w:tr w:rsidR="00547D87" w:rsidRPr="009D4627" w14:paraId="0C510439" w14:textId="77777777" w:rsidTr="00F57D01">
        <w:trPr>
          <w:jc w:val="center"/>
        </w:trPr>
        <w:tc>
          <w:tcPr>
            <w:tcW w:w="517" w:type="pct"/>
          </w:tcPr>
          <w:p w14:paraId="7180478E" w14:textId="580EACB4" w:rsidR="00547D87" w:rsidRPr="009D4627" w:rsidRDefault="00547D87" w:rsidP="00CC31A9">
            <w:pPr>
              <w:spacing w:before="0" w:after="0" w:line="240" w:lineRule="auto"/>
              <w:jc w:val="center"/>
            </w:pPr>
            <w:bookmarkStart w:id="182" w:name="_4d34og8" w:colFirst="0" w:colLast="0"/>
            <w:bookmarkEnd w:id="180"/>
            <w:bookmarkEnd w:id="182"/>
            <w:r w:rsidRPr="009D4627">
              <w:rPr>
                <w:lang w:val="fr-FR"/>
              </w:rPr>
              <w:t>Trial</w:t>
            </w:r>
          </w:p>
        </w:tc>
        <w:tc>
          <w:tcPr>
            <w:tcW w:w="1287" w:type="pct"/>
          </w:tcPr>
          <w:p w14:paraId="6145FF15" w14:textId="77777777" w:rsidR="00547D87" w:rsidRPr="009D4627" w:rsidRDefault="00547D87" w:rsidP="00CC31A9">
            <w:pPr>
              <w:spacing w:before="0" w:after="0" w:line="240" w:lineRule="auto"/>
              <w:jc w:val="center"/>
            </w:pPr>
            <w:r w:rsidRPr="009D4627">
              <w:rPr>
                <w:lang w:val="fr-FR"/>
              </w:rPr>
              <w:t>Frequency (Hz)</w:t>
            </w:r>
          </w:p>
        </w:tc>
        <w:tc>
          <w:tcPr>
            <w:tcW w:w="1697" w:type="pct"/>
          </w:tcPr>
          <w:p w14:paraId="5557A311" w14:textId="19B1932B" w:rsidR="00547D87" w:rsidRPr="009D4627" w:rsidRDefault="00547D87" w:rsidP="00CC31A9">
            <w:pPr>
              <w:spacing w:before="0" w:after="0" w:line="240" w:lineRule="auto"/>
              <w:jc w:val="center"/>
              <w:rPr>
                <w:lang w:val="fr-FR"/>
              </w:rPr>
            </w:pPr>
            <w:proofErr w:type="spellStart"/>
            <w:r w:rsidRPr="009D4627">
              <w:rPr>
                <w:lang w:val="fr-FR"/>
              </w:rPr>
              <w:t>Mean</w:t>
            </w:r>
            <w:proofErr w:type="spellEnd"/>
            <w:r w:rsidRPr="009D4627">
              <w:rPr>
                <w:lang w:val="fr-FR"/>
              </w:rPr>
              <w:t xml:space="preserve"> </w:t>
            </w:r>
            <w:proofErr w:type="spellStart"/>
            <w:r w:rsidRPr="009D4627">
              <w:rPr>
                <w:lang w:val="fr-FR"/>
              </w:rPr>
              <w:t>velocity</w:t>
            </w:r>
            <w:proofErr w:type="spellEnd"/>
            <w:r w:rsidRPr="009D4627">
              <w:rPr>
                <w:lang w:val="fr-FR"/>
              </w:rPr>
              <w:t xml:space="preserve"> (°/s</w:t>
            </w:r>
            <w:r w:rsidR="007B0F1C" w:rsidRPr="009D4627">
              <w:rPr>
                <w:lang w:val="fr-FR"/>
              </w:rPr>
              <w:t>ec</w:t>
            </w:r>
            <w:r w:rsidRPr="009D4627">
              <w:rPr>
                <w:lang w:val="fr-FR"/>
              </w:rPr>
              <w:t>)</w:t>
            </w:r>
          </w:p>
        </w:tc>
        <w:tc>
          <w:tcPr>
            <w:tcW w:w="1499" w:type="pct"/>
          </w:tcPr>
          <w:p w14:paraId="1E17A63C" w14:textId="3D0A69B7" w:rsidR="00547D87" w:rsidRPr="009D4627" w:rsidRDefault="00547D87" w:rsidP="00CC31A9">
            <w:pPr>
              <w:spacing w:before="0" w:after="0" w:line="240" w:lineRule="auto"/>
              <w:jc w:val="center"/>
              <w:rPr>
                <w:lang w:val="fr-FR"/>
              </w:rPr>
            </w:pPr>
            <w:r w:rsidRPr="009D4627">
              <w:rPr>
                <w:lang w:val="fr-FR"/>
              </w:rPr>
              <w:t>Test duration (s</w:t>
            </w:r>
            <w:r w:rsidR="007B0F1C" w:rsidRPr="009D4627">
              <w:rPr>
                <w:lang w:val="fr-FR"/>
              </w:rPr>
              <w:t>ec</w:t>
            </w:r>
            <w:r w:rsidRPr="009D4627">
              <w:rPr>
                <w:lang w:val="fr-FR"/>
              </w:rPr>
              <w:t>)</w:t>
            </w:r>
          </w:p>
        </w:tc>
      </w:tr>
      <w:tr w:rsidR="00547D87" w:rsidRPr="009D4627" w14:paraId="31C0F0A3" w14:textId="77777777" w:rsidTr="00F57D01">
        <w:trPr>
          <w:jc w:val="center"/>
        </w:trPr>
        <w:tc>
          <w:tcPr>
            <w:tcW w:w="517" w:type="pct"/>
          </w:tcPr>
          <w:p w14:paraId="1B1BA992" w14:textId="77777777" w:rsidR="00547D87" w:rsidRPr="009D4627" w:rsidRDefault="00547D87" w:rsidP="00CC31A9">
            <w:pPr>
              <w:spacing w:before="0" w:after="0" w:line="240" w:lineRule="auto"/>
              <w:jc w:val="center"/>
            </w:pPr>
            <w:r w:rsidRPr="009D4627">
              <w:rPr>
                <w:lang w:val="fr-FR"/>
              </w:rPr>
              <w:t>1</w:t>
            </w:r>
          </w:p>
        </w:tc>
        <w:tc>
          <w:tcPr>
            <w:tcW w:w="1287" w:type="pct"/>
          </w:tcPr>
          <w:p w14:paraId="0F44F59F" w14:textId="013BA577" w:rsidR="00547D87" w:rsidRPr="009D4627" w:rsidRDefault="00547D87" w:rsidP="00CC31A9">
            <w:pPr>
              <w:spacing w:before="0" w:after="0" w:line="240" w:lineRule="auto"/>
              <w:jc w:val="center"/>
            </w:pPr>
            <w:r w:rsidRPr="009D4627">
              <w:rPr>
                <w:lang w:val="fr-FR"/>
              </w:rPr>
              <w:t>0.2</w:t>
            </w:r>
          </w:p>
        </w:tc>
        <w:tc>
          <w:tcPr>
            <w:tcW w:w="1697" w:type="pct"/>
          </w:tcPr>
          <w:p w14:paraId="638F9559" w14:textId="77777777" w:rsidR="00547D87" w:rsidRPr="009D4627" w:rsidRDefault="00547D87" w:rsidP="00CC31A9">
            <w:pPr>
              <w:spacing w:before="0" w:after="0" w:line="240" w:lineRule="auto"/>
              <w:jc w:val="center"/>
              <w:rPr>
                <w:lang w:val="fr-FR"/>
              </w:rPr>
            </w:pPr>
            <w:r w:rsidRPr="009D4627">
              <w:rPr>
                <w:lang w:val="fr-FR"/>
              </w:rPr>
              <w:t>8</w:t>
            </w:r>
          </w:p>
        </w:tc>
        <w:tc>
          <w:tcPr>
            <w:tcW w:w="1499" w:type="pct"/>
          </w:tcPr>
          <w:p w14:paraId="16616734" w14:textId="77777777" w:rsidR="00547D87" w:rsidRPr="009D4627" w:rsidRDefault="00547D87" w:rsidP="00CC31A9">
            <w:pPr>
              <w:spacing w:before="0" w:after="0" w:line="240" w:lineRule="auto"/>
              <w:jc w:val="center"/>
              <w:rPr>
                <w:lang w:val="fr-FR"/>
              </w:rPr>
            </w:pPr>
            <w:r w:rsidRPr="009D4627">
              <w:rPr>
                <w:lang w:val="fr-FR"/>
              </w:rPr>
              <w:t>≈20</w:t>
            </w:r>
          </w:p>
        </w:tc>
      </w:tr>
      <w:tr w:rsidR="00547D87" w:rsidRPr="009D4627" w14:paraId="02F862F5" w14:textId="77777777" w:rsidTr="00F57D01">
        <w:trPr>
          <w:jc w:val="center"/>
        </w:trPr>
        <w:tc>
          <w:tcPr>
            <w:tcW w:w="517" w:type="pct"/>
          </w:tcPr>
          <w:p w14:paraId="51DC6046" w14:textId="77777777" w:rsidR="00547D87" w:rsidRPr="009D4627" w:rsidRDefault="00547D87" w:rsidP="00CC31A9">
            <w:pPr>
              <w:spacing w:before="0" w:after="0" w:line="240" w:lineRule="auto"/>
              <w:jc w:val="center"/>
            </w:pPr>
            <w:r w:rsidRPr="009D4627">
              <w:rPr>
                <w:lang w:val="fr-FR"/>
              </w:rPr>
              <w:t>2</w:t>
            </w:r>
          </w:p>
        </w:tc>
        <w:tc>
          <w:tcPr>
            <w:tcW w:w="1287" w:type="pct"/>
          </w:tcPr>
          <w:p w14:paraId="0E664D14" w14:textId="68477AC1" w:rsidR="00547D87" w:rsidRPr="009D4627" w:rsidRDefault="00547D87" w:rsidP="00CC31A9">
            <w:pPr>
              <w:spacing w:before="0" w:after="0" w:line="240" w:lineRule="auto"/>
              <w:jc w:val="center"/>
            </w:pPr>
            <w:r w:rsidRPr="009D4627">
              <w:rPr>
                <w:lang w:val="fr-FR"/>
              </w:rPr>
              <w:t>0.4</w:t>
            </w:r>
          </w:p>
        </w:tc>
        <w:tc>
          <w:tcPr>
            <w:tcW w:w="1697" w:type="pct"/>
          </w:tcPr>
          <w:p w14:paraId="05A79E1C" w14:textId="77777777" w:rsidR="00547D87" w:rsidRPr="009D4627" w:rsidRDefault="00547D87" w:rsidP="00CC31A9">
            <w:pPr>
              <w:spacing w:before="0" w:after="0" w:line="240" w:lineRule="auto"/>
              <w:jc w:val="center"/>
              <w:rPr>
                <w:lang w:val="fr-FR"/>
              </w:rPr>
            </w:pPr>
            <w:r w:rsidRPr="009D4627">
              <w:rPr>
                <w:lang w:val="fr-FR"/>
              </w:rPr>
              <w:t>16</w:t>
            </w:r>
          </w:p>
        </w:tc>
        <w:tc>
          <w:tcPr>
            <w:tcW w:w="1499" w:type="pct"/>
          </w:tcPr>
          <w:p w14:paraId="0A69413C" w14:textId="77777777" w:rsidR="00547D87" w:rsidRPr="009D4627" w:rsidRDefault="00547D87" w:rsidP="00CC31A9">
            <w:pPr>
              <w:spacing w:before="0" w:after="0" w:line="240" w:lineRule="auto"/>
              <w:jc w:val="center"/>
              <w:rPr>
                <w:lang w:val="fr-FR"/>
              </w:rPr>
            </w:pPr>
            <w:r w:rsidRPr="009D4627">
              <w:rPr>
                <w:lang w:val="fr-FR"/>
              </w:rPr>
              <w:t>≈10</w:t>
            </w:r>
          </w:p>
        </w:tc>
      </w:tr>
      <w:tr w:rsidR="00547D87" w:rsidRPr="009D4627" w14:paraId="3CFCF26C" w14:textId="77777777" w:rsidTr="00F57D01">
        <w:trPr>
          <w:jc w:val="center"/>
        </w:trPr>
        <w:tc>
          <w:tcPr>
            <w:tcW w:w="517" w:type="pct"/>
          </w:tcPr>
          <w:p w14:paraId="0DF90169" w14:textId="77777777" w:rsidR="00547D87" w:rsidRPr="009D4627" w:rsidRDefault="00547D87" w:rsidP="00CC31A9">
            <w:pPr>
              <w:spacing w:before="0" w:after="0" w:line="240" w:lineRule="auto"/>
              <w:jc w:val="center"/>
            </w:pPr>
            <w:r w:rsidRPr="009D4627">
              <w:rPr>
                <w:lang w:val="fr-FR"/>
              </w:rPr>
              <w:t>3</w:t>
            </w:r>
          </w:p>
        </w:tc>
        <w:tc>
          <w:tcPr>
            <w:tcW w:w="1287" w:type="pct"/>
          </w:tcPr>
          <w:p w14:paraId="24B7D9AA" w14:textId="193D249E" w:rsidR="00547D87" w:rsidRPr="009D4627" w:rsidRDefault="00547D87" w:rsidP="00CC31A9">
            <w:pPr>
              <w:spacing w:before="0" w:after="0" w:line="240" w:lineRule="auto"/>
              <w:jc w:val="center"/>
            </w:pPr>
            <w:r w:rsidRPr="009D4627">
              <w:rPr>
                <w:lang w:val="fr-FR"/>
              </w:rPr>
              <w:t>0.6</w:t>
            </w:r>
          </w:p>
        </w:tc>
        <w:tc>
          <w:tcPr>
            <w:tcW w:w="1697" w:type="pct"/>
          </w:tcPr>
          <w:p w14:paraId="3C2601EF" w14:textId="77777777" w:rsidR="00547D87" w:rsidRPr="009D4627" w:rsidRDefault="00547D87" w:rsidP="00CC31A9">
            <w:pPr>
              <w:spacing w:before="0" w:after="0" w:line="240" w:lineRule="auto"/>
              <w:jc w:val="center"/>
              <w:rPr>
                <w:lang w:val="fr-FR"/>
              </w:rPr>
            </w:pPr>
            <w:r w:rsidRPr="009D4627">
              <w:rPr>
                <w:lang w:val="fr-FR"/>
              </w:rPr>
              <w:t>24</w:t>
            </w:r>
          </w:p>
        </w:tc>
        <w:tc>
          <w:tcPr>
            <w:tcW w:w="1499" w:type="pct"/>
          </w:tcPr>
          <w:p w14:paraId="192509FD" w14:textId="77777777" w:rsidR="00547D87" w:rsidRPr="009D4627" w:rsidRDefault="00547D87" w:rsidP="00CC31A9">
            <w:pPr>
              <w:spacing w:before="0" w:after="0" w:line="240" w:lineRule="auto"/>
              <w:jc w:val="center"/>
              <w:rPr>
                <w:lang w:val="fr-FR"/>
              </w:rPr>
            </w:pPr>
            <w:r w:rsidRPr="009D4627">
              <w:rPr>
                <w:lang w:val="fr-FR"/>
              </w:rPr>
              <w:t>≈8</w:t>
            </w:r>
          </w:p>
        </w:tc>
      </w:tr>
      <w:tr w:rsidR="00547D87" w:rsidRPr="009D4627" w14:paraId="1185EC61" w14:textId="77777777" w:rsidTr="00F57D01">
        <w:trPr>
          <w:jc w:val="center"/>
        </w:trPr>
        <w:tc>
          <w:tcPr>
            <w:tcW w:w="517" w:type="pct"/>
          </w:tcPr>
          <w:p w14:paraId="4EECE5F6" w14:textId="77777777" w:rsidR="00547D87" w:rsidRPr="009D4627" w:rsidRDefault="00547D87" w:rsidP="00CC31A9">
            <w:pPr>
              <w:spacing w:before="0" w:after="0" w:line="240" w:lineRule="auto"/>
              <w:jc w:val="center"/>
            </w:pPr>
            <w:r w:rsidRPr="009D4627">
              <w:rPr>
                <w:lang w:val="fr-FR"/>
              </w:rPr>
              <w:t>4</w:t>
            </w:r>
          </w:p>
        </w:tc>
        <w:tc>
          <w:tcPr>
            <w:tcW w:w="1287" w:type="pct"/>
          </w:tcPr>
          <w:p w14:paraId="713EE834" w14:textId="59B292EB" w:rsidR="00547D87" w:rsidRPr="009D4627" w:rsidRDefault="00547D87" w:rsidP="00CC31A9">
            <w:pPr>
              <w:spacing w:before="0" w:after="0" w:line="240" w:lineRule="auto"/>
              <w:jc w:val="center"/>
            </w:pPr>
            <w:r w:rsidRPr="009D4627">
              <w:rPr>
                <w:lang w:val="fr-FR"/>
              </w:rPr>
              <w:t>0.8</w:t>
            </w:r>
          </w:p>
        </w:tc>
        <w:tc>
          <w:tcPr>
            <w:tcW w:w="1697" w:type="pct"/>
          </w:tcPr>
          <w:p w14:paraId="155F0AEE" w14:textId="77777777" w:rsidR="00547D87" w:rsidRPr="009D4627" w:rsidRDefault="00547D87" w:rsidP="00CC31A9">
            <w:pPr>
              <w:spacing w:before="0" w:after="0" w:line="240" w:lineRule="auto"/>
              <w:jc w:val="center"/>
              <w:rPr>
                <w:lang w:val="fr-FR"/>
              </w:rPr>
            </w:pPr>
            <w:r w:rsidRPr="009D4627">
              <w:rPr>
                <w:lang w:val="fr-FR"/>
              </w:rPr>
              <w:t>32</w:t>
            </w:r>
          </w:p>
        </w:tc>
        <w:tc>
          <w:tcPr>
            <w:tcW w:w="1499" w:type="pct"/>
          </w:tcPr>
          <w:p w14:paraId="7A32FFA2" w14:textId="77777777" w:rsidR="00547D87" w:rsidRPr="009D4627" w:rsidRDefault="00547D87" w:rsidP="00CC31A9">
            <w:pPr>
              <w:spacing w:before="0" w:after="0" w:line="240" w:lineRule="auto"/>
              <w:jc w:val="center"/>
              <w:rPr>
                <w:lang w:val="fr-FR"/>
              </w:rPr>
            </w:pPr>
            <w:r w:rsidRPr="009D4627">
              <w:rPr>
                <w:lang w:val="fr-FR"/>
              </w:rPr>
              <w:t>≈5</w:t>
            </w:r>
          </w:p>
        </w:tc>
      </w:tr>
      <w:tr w:rsidR="00074FBF" w:rsidRPr="009D4627" w14:paraId="7FD90B2C" w14:textId="77777777" w:rsidTr="00F57D01">
        <w:trPr>
          <w:jc w:val="center"/>
        </w:trPr>
        <w:tc>
          <w:tcPr>
            <w:tcW w:w="5000" w:type="pct"/>
            <w:gridSpan w:val="4"/>
            <w:shd w:val="clear" w:color="auto" w:fill="D9D9D9" w:themeFill="background1" w:themeFillShade="D9"/>
          </w:tcPr>
          <w:p w14:paraId="56A12A1A" w14:textId="636D9E1E" w:rsidR="00074FBF" w:rsidRPr="009D4627" w:rsidRDefault="00074FBF" w:rsidP="00C171FA">
            <w:pPr>
              <w:pStyle w:val="ListParagraph"/>
              <w:numPr>
                <w:ilvl w:val="0"/>
                <w:numId w:val="120"/>
              </w:numPr>
              <w:spacing w:before="0" w:after="0" w:line="240" w:lineRule="auto"/>
              <w:rPr>
                <w:b/>
                <w:bCs/>
                <w:lang w:val="fr-FR"/>
              </w:rPr>
            </w:pPr>
            <w:r w:rsidRPr="009D4627">
              <w:rPr>
                <w:b/>
                <w:bCs/>
              </w:rPr>
              <w:t xml:space="preserve">Vertical </w:t>
            </w:r>
            <w:r w:rsidR="00444E5B" w:rsidRPr="009D4627">
              <w:rPr>
                <w:b/>
                <w:bCs/>
              </w:rPr>
              <w:t xml:space="preserve">SP </w:t>
            </w:r>
            <w:r w:rsidRPr="009D4627">
              <w:rPr>
                <w:b/>
                <w:bCs/>
              </w:rPr>
              <w:t>(±</w:t>
            </w:r>
            <w:r w:rsidR="008D37EF" w:rsidRPr="009D4627">
              <w:rPr>
                <w:b/>
                <w:bCs/>
              </w:rPr>
              <w:t xml:space="preserve"> </w:t>
            </w:r>
            <w:r w:rsidRPr="009D4627">
              <w:rPr>
                <w:b/>
                <w:bCs/>
              </w:rPr>
              <w:t>8° amplitude)</w:t>
            </w:r>
          </w:p>
        </w:tc>
      </w:tr>
      <w:tr w:rsidR="001A024C" w:rsidRPr="009D4627" w14:paraId="09AF0D87" w14:textId="77777777" w:rsidTr="00F57D01">
        <w:trPr>
          <w:jc w:val="center"/>
        </w:trPr>
        <w:tc>
          <w:tcPr>
            <w:tcW w:w="517" w:type="pct"/>
          </w:tcPr>
          <w:p w14:paraId="14FED38D" w14:textId="77777777" w:rsidR="001A024C" w:rsidRPr="009D4627" w:rsidRDefault="001A024C" w:rsidP="00CC31A9">
            <w:pPr>
              <w:spacing w:before="0" w:after="0" w:line="240" w:lineRule="auto"/>
              <w:jc w:val="center"/>
            </w:pPr>
            <w:r w:rsidRPr="009D4627">
              <w:rPr>
                <w:lang w:val="fr-FR"/>
              </w:rPr>
              <w:t>Trial</w:t>
            </w:r>
          </w:p>
        </w:tc>
        <w:tc>
          <w:tcPr>
            <w:tcW w:w="1287" w:type="pct"/>
          </w:tcPr>
          <w:p w14:paraId="0F068751" w14:textId="77777777" w:rsidR="001A024C" w:rsidRPr="009D4627" w:rsidRDefault="001A024C" w:rsidP="00CC31A9">
            <w:pPr>
              <w:spacing w:before="0" w:after="0" w:line="240" w:lineRule="auto"/>
              <w:jc w:val="center"/>
            </w:pPr>
            <w:r w:rsidRPr="009D4627">
              <w:rPr>
                <w:lang w:val="fr-FR"/>
              </w:rPr>
              <w:t>Frequency (Hz)</w:t>
            </w:r>
          </w:p>
        </w:tc>
        <w:tc>
          <w:tcPr>
            <w:tcW w:w="1697" w:type="pct"/>
          </w:tcPr>
          <w:p w14:paraId="0881DFA8" w14:textId="3B56CE2D" w:rsidR="001A024C" w:rsidRPr="009D4627" w:rsidRDefault="001A024C" w:rsidP="00CC31A9">
            <w:pPr>
              <w:spacing w:before="0" w:after="0" w:line="240" w:lineRule="auto"/>
              <w:jc w:val="center"/>
              <w:rPr>
                <w:lang w:val="fr-FR"/>
              </w:rPr>
            </w:pPr>
            <w:proofErr w:type="spellStart"/>
            <w:r w:rsidRPr="009D4627">
              <w:rPr>
                <w:lang w:val="fr-FR"/>
              </w:rPr>
              <w:t>Mean</w:t>
            </w:r>
            <w:proofErr w:type="spellEnd"/>
            <w:r w:rsidRPr="009D4627">
              <w:rPr>
                <w:lang w:val="fr-FR"/>
              </w:rPr>
              <w:t xml:space="preserve"> </w:t>
            </w:r>
            <w:proofErr w:type="spellStart"/>
            <w:r w:rsidRPr="009D4627">
              <w:rPr>
                <w:lang w:val="fr-FR"/>
              </w:rPr>
              <w:t>velocity</w:t>
            </w:r>
            <w:proofErr w:type="spellEnd"/>
            <w:r w:rsidRPr="009D4627">
              <w:rPr>
                <w:lang w:val="fr-FR"/>
              </w:rPr>
              <w:t xml:space="preserve"> (°</w:t>
            </w:r>
            <w:r w:rsidR="007B0F1C" w:rsidRPr="009D4627">
              <w:rPr>
                <w:lang w:val="fr-FR"/>
              </w:rPr>
              <w:t>/sec</w:t>
            </w:r>
            <w:r w:rsidRPr="009D4627">
              <w:rPr>
                <w:lang w:val="fr-FR"/>
              </w:rPr>
              <w:t>)</w:t>
            </w:r>
          </w:p>
        </w:tc>
        <w:tc>
          <w:tcPr>
            <w:tcW w:w="1499" w:type="pct"/>
          </w:tcPr>
          <w:p w14:paraId="796DF077" w14:textId="661522DD" w:rsidR="001A024C" w:rsidRPr="009D4627" w:rsidRDefault="001A024C" w:rsidP="00CC31A9">
            <w:pPr>
              <w:spacing w:before="0" w:after="0" w:line="240" w:lineRule="auto"/>
              <w:jc w:val="center"/>
              <w:rPr>
                <w:lang w:val="fr-FR"/>
              </w:rPr>
            </w:pPr>
            <w:r w:rsidRPr="009D4627">
              <w:rPr>
                <w:lang w:val="fr-FR"/>
              </w:rPr>
              <w:t>Test duration (s</w:t>
            </w:r>
            <w:r w:rsidR="007B0F1C" w:rsidRPr="009D4627">
              <w:rPr>
                <w:lang w:val="fr-FR"/>
              </w:rPr>
              <w:t>ec</w:t>
            </w:r>
            <w:r w:rsidRPr="009D4627">
              <w:rPr>
                <w:lang w:val="fr-FR"/>
              </w:rPr>
              <w:t>)</w:t>
            </w:r>
          </w:p>
        </w:tc>
      </w:tr>
      <w:tr w:rsidR="001A024C" w:rsidRPr="009D4627" w14:paraId="4E989208" w14:textId="77777777" w:rsidTr="00F57D01">
        <w:trPr>
          <w:jc w:val="center"/>
        </w:trPr>
        <w:tc>
          <w:tcPr>
            <w:tcW w:w="517" w:type="pct"/>
          </w:tcPr>
          <w:p w14:paraId="1BA6B71B" w14:textId="77777777" w:rsidR="001A024C" w:rsidRPr="009D4627" w:rsidRDefault="001A024C" w:rsidP="00CC31A9">
            <w:pPr>
              <w:spacing w:before="0" w:after="0" w:line="240" w:lineRule="auto"/>
              <w:jc w:val="center"/>
            </w:pPr>
            <w:r w:rsidRPr="009D4627">
              <w:rPr>
                <w:lang w:val="fr-FR"/>
              </w:rPr>
              <w:t>1</w:t>
            </w:r>
          </w:p>
        </w:tc>
        <w:tc>
          <w:tcPr>
            <w:tcW w:w="1287" w:type="pct"/>
          </w:tcPr>
          <w:p w14:paraId="65CB5016" w14:textId="102FD6F9" w:rsidR="001A024C" w:rsidRPr="009D4627" w:rsidRDefault="001A024C" w:rsidP="00CC31A9">
            <w:pPr>
              <w:spacing w:before="0" w:after="0" w:line="240" w:lineRule="auto"/>
              <w:jc w:val="center"/>
            </w:pPr>
            <w:r w:rsidRPr="009D4627">
              <w:rPr>
                <w:lang w:val="fr-FR"/>
              </w:rPr>
              <w:t>0.25</w:t>
            </w:r>
          </w:p>
        </w:tc>
        <w:tc>
          <w:tcPr>
            <w:tcW w:w="1697" w:type="pct"/>
          </w:tcPr>
          <w:p w14:paraId="43CC4E8F" w14:textId="77777777" w:rsidR="001A024C" w:rsidRPr="009D4627" w:rsidRDefault="001A024C" w:rsidP="00CC31A9">
            <w:pPr>
              <w:spacing w:before="0" w:after="0" w:line="240" w:lineRule="auto"/>
              <w:jc w:val="center"/>
              <w:rPr>
                <w:lang w:val="fr-FR"/>
              </w:rPr>
            </w:pPr>
            <w:r w:rsidRPr="009D4627">
              <w:rPr>
                <w:lang w:val="fr-FR"/>
              </w:rPr>
              <w:t>8</w:t>
            </w:r>
          </w:p>
        </w:tc>
        <w:tc>
          <w:tcPr>
            <w:tcW w:w="1499" w:type="pct"/>
          </w:tcPr>
          <w:p w14:paraId="0FEE9360" w14:textId="77777777" w:rsidR="001A024C" w:rsidRPr="009D4627" w:rsidRDefault="001A024C" w:rsidP="00CC31A9">
            <w:pPr>
              <w:spacing w:before="0" w:after="0" w:line="240" w:lineRule="auto"/>
              <w:jc w:val="center"/>
              <w:rPr>
                <w:lang w:val="fr-FR"/>
              </w:rPr>
            </w:pPr>
            <w:r w:rsidRPr="009D4627">
              <w:rPr>
                <w:lang w:val="fr-FR"/>
              </w:rPr>
              <w:t>≈16</w:t>
            </w:r>
          </w:p>
        </w:tc>
      </w:tr>
      <w:tr w:rsidR="001A024C" w:rsidRPr="009D4627" w14:paraId="38023B81" w14:textId="77777777" w:rsidTr="00F57D01">
        <w:trPr>
          <w:jc w:val="center"/>
        </w:trPr>
        <w:tc>
          <w:tcPr>
            <w:tcW w:w="517" w:type="pct"/>
          </w:tcPr>
          <w:p w14:paraId="4E2713AC" w14:textId="77777777" w:rsidR="001A024C" w:rsidRPr="009D4627" w:rsidRDefault="001A024C" w:rsidP="00CC31A9">
            <w:pPr>
              <w:spacing w:before="0" w:after="0" w:line="240" w:lineRule="auto"/>
              <w:jc w:val="center"/>
            </w:pPr>
            <w:r w:rsidRPr="009D4627">
              <w:rPr>
                <w:lang w:val="fr-FR"/>
              </w:rPr>
              <w:t>2</w:t>
            </w:r>
          </w:p>
        </w:tc>
        <w:tc>
          <w:tcPr>
            <w:tcW w:w="1287" w:type="pct"/>
          </w:tcPr>
          <w:p w14:paraId="4C2A945C" w14:textId="32BB3330" w:rsidR="001A024C" w:rsidRPr="009D4627" w:rsidRDefault="001A024C" w:rsidP="00CC31A9">
            <w:pPr>
              <w:spacing w:before="0" w:after="0" w:line="240" w:lineRule="auto"/>
              <w:jc w:val="center"/>
            </w:pPr>
            <w:r w:rsidRPr="009D4627">
              <w:rPr>
                <w:lang w:val="fr-FR"/>
              </w:rPr>
              <w:t>0.5</w:t>
            </w:r>
          </w:p>
        </w:tc>
        <w:tc>
          <w:tcPr>
            <w:tcW w:w="1697" w:type="pct"/>
          </w:tcPr>
          <w:p w14:paraId="188A7653" w14:textId="77777777" w:rsidR="001A024C" w:rsidRPr="009D4627" w:rsidRDefault="001A024C" w:rsidP="00CC31A9">
            <w:pPr>
              <w:spacing w:before="0" w:after="0" w:line="240" w:lineRule="auto"/>
              <w:jc w:val="center"/>
              <w:rPr>
                <w:lang w:val="fr-FR"/>
              </w:rPr>
            </w:pPr>
            <w:r w:rsidRPr="009D4627">
              <w:rPr>
                <w:lang w:val="fr-FR"/>
              </w:rPr>
              <w:t>16</w:t>
            </w:r>
          </w:p>
        </w:tc>
        <w:tc>
          <w:tcPr>
            <w:tcW w:w="1499" w:type="pct"/>
          </w:tcPr>
          <w:p w14:paraId="12EA0D05" w14:textId="77777777" w:rsidR="001A024C" w:rsidRPr="009D4627" w:rsidRDefault="001A024C" w:rsidP="00CC31A9">
            <w:pPr>
              <w:spacing w:before="0" w:after="0" w:line="240" w:lineRule="auto"/>
              <w:jc w:val="center"/>
              <w:rPr>
                <w:lang w:val="fr-FR"/>
              </w:rPr>
            </w:pPr>
            <w:r w:rsidRPr="009D4627">
              <w:rPr>
                <w:lang w:val="fr-FR"/>
              </w:rPr>
              <w:t>≈8</w:t>
            </w:r>
          </w:p>
        </w:tc>
      </w:tr>
      <w:tr w:rsidR="001A024C" w:rsidRPr="009D4627" w14:paraId="5EF71872" w14:textId="77777777" w:rsidTr="00F57D01">
        <w:trPr>
          <w:jc w:val="center"/>
        </w:trPr>
        <w:tc>
          <w:tcPr>
            <w:tcW w:w="517" w:type="pct"/>
          </w:tcPr>
          <w:p w14:paraId="48B190AA" w14:textId="77777777" w:rsidR="001A024C" w:rsidRPr="009D4627" w:rsidRDefault="001A024C" w:rsidP="00CC31A9">
            <w:pPr>
              <w:spacing w:before="0" w:after="0" w:line="240" w:lineRule="auto"/>
              <w:jc w:val="center"/>
            </w:pPr>
            <w:r w:rsidRPr="009D4627">
              <w:rPr>
                <w:lang w:val="fr-FR"/>
              </w:rPr>
              <w:t>3</w:t>
            </w:r>
          </w:p>
        </w:tc>
        <w:tc>
          <w:tcPr>
            <w:tcW w:w="1287" w:type="pct"/>
          </w:tcPr>
          <w:p w14:paraId="5F07AA90" w14:textId="77777777" w:rsidR="001A024C" w:rsidRPr="009D4627" w:rsidRDefault="001A024C" w:rsidP="00CC31A9">
            <w:pPr>
              <w:spacing w:before="0" w:after="0" w:line="240" w:lineRule="auto"/>
              <w:jc w:val="center"/>
            </w:pPr>
            <w:r w:rsidRPr="009D4627">
              <w:rPr>
                <w:lang w:val="fr-FR"/>
              </w:rPr>
              <w:t>0.75</w:t>
            </w:r>
          </w:p>
        </w:tc>
        <w:tc>
          <w:tcPr>
            <w:tcW w:w="1697" w:type="pct"/>
          </w:tcPr>
          <w:p w14:paraId="44274A3A" w14:textId="77777777" w:rsidR="001A024C" w:rsidRPr="009D4627" w:rsidRDefault="001A024C" w:rsidP="00CC31A9">
            <w:pPr>
              <w:spacing w:before="0" w:after="0" w:line="240" w:lineRule="auto"/>
              <w:jc w:val="center"/>
              <w:rPr>
                <w:lang w:val="fr-FR"/>
              </w:rPr>
            </w:pPr>
            <w:r w:rsidRPr="009D4627">
              <w:rPr>
                <w:lang w:val="fr-FR"/>
              </w:rPr>
              <w:t>24</w:t>
            </w:r>
          </w:p>
        </w:tc>
        <w:tc>
          <w:tcPr>
            <w:tcW w:w="1499" w:type="pct"/>
          </w:tcPr>
          <w:p w14:paraId="32576CD6" w14:textId="77777777" w:rsidR="001A024C" w:rsidRPr="009D4627" w:rsidRDefault="001A024C" w:rsidP="00CC31A9">
            <w:pPr>
              <w:spacing w:before="0" w:after="0" w:line="240" w:lineRule="auto"/>
              <w:jc w:val="center"/>
              <w:rPr>
                <w:lang w:val="fr-FR"/>
              </w:rPr>
            </w:pPr>
            <w:r w:rsidRPr="009D4627">
              <w:rPr>
                <w:lang w:val="fr-FR"/>
              </w:rPr>
              <w:t>≈5</w:t>
            </w:r>
          </w:p>
        </w:tc>
      </w:tr>
      <w:tr w:rsidR="001A024C" w:rsidRPr="009D4627" w14:paraId="64D23AD8" w14:textId="77777777" w:rsidTr="00F57D01">
        <w:trPr>
          <w:jc w:val="center"/>
        </w:trPr>
        <w:tc>
          <w:tcPr>
            <w:tcW w:w="517" w:type="pct"/>
          </w:tcPr>
          <w:p w14:paraId="4871AAED" w14:textId="77777777" w:rsidR="001A024C" w:rsidRPr="009D4627" w:rsidRDefault="001A024C" w:rsidP="00CC31A9">
            <w:pPr>
              <w:spacing w:before="0" w:after="0" w:line="240" w:lineRule="auto"/>
              <w:jc w:val="center"/>
            </w:pPr>
            <w:r w:rsidRPr="009D4627">
              <w:rPr>
                <w:lang w:val="fr-FR"/>
              </w:rPr>
              <w:t>4</w:t>
            </w:r>
          </w:p>
        </w:tc>
        <w:tc>
          <w:tcPr>
            <w:tcW w:w="1287" w:type="pct"/>
          </w:tcPr>
          <w:p w14:paraId="4BB713F3" w14:textId="52A78EE7" w:rsidR="001A024C" w:rsidRPr="009D4627" w:rsidRDefault="001A024C" w:rsidP="00CC31A9">
            <w:pPr>
              <w:spacing w:before="0" w:after="0" w:line="240" w:lineRule="auto"/>
              <w:jc w:val="center"/>
            </w:pPr>
            <w:r w:rsidRPr="009D4627">
              <w:rPr>
                <w:lang w:val="fr-FR"/>
              </w:rPr>
              <w:t>1.0</w:t>
            </w:r>
          </w:p>
        </w:tc>
        <w:tc>
          <w:tcPr>
            <w:tcW w:w="1697" w:type="pct"/>
          </w:tcPr>
          <w:p w14:paraId="4985208D" w14:textId="77777777" w:rsidR="001A024C" w:rsidRPr="009D4627" w:rsidRDefault="001A024C" w:rsidP="00CC31A9">
            <w:pPr>
              <w:spacing w:before="0" w:after="0" w:line="240" w:lineRule="auto"/>
              <w:jc w:val="center"/>
              <w:rPr>
                <w:lang w:val="fr-FR"/>
              </w:rPr>
            </w:pPr>
            <w:r w:rsidRPr="009D4627">
              <w:rPr>
                <w:lang w:val="fr-FR"/>
              </w:rPr>
              <w:t>32</w:t>
            </w:r>
          </w:p>
        </w:tc>
        <w:tc>
          <w:tcPr>
            <w:tcW w:w="1499" w:type="pct"/>
          </w:tcPr>
          <w:p w14:paraId="133EA1CF" w14:textId="77777777" w:rsidR="001A024C" w:rsidRPr="009D4627" w:rsidRDefault="001A024C" w:rsidP="00CC31A9">
            <w:pPr>
              <w:spacing w:before="0" w:after="0" w:line="240" w:lineRule="auto"/>
              <w:jc w:val="center"/>
              <w:rPr>
                <w:lang w:val="fr-FR"/>
              </w:rPr>
            </w:pPr>
            <w:r w:rsidRPr="009D4627">
              <w:rPr>
                <w:lang w:val="fr-FR"/>
              </w:rPr>
              <w:t>≈4</w:t>
            </w:r>
          </w:p>
        </w:tc>
      </w:tr>
    </w:tbl>
    <w:p w14:paraId="358AEC12" w14:textId="5CAA2684" w:rsidR="00501BEE" w:rsidRPr="009D4627" w:rsidRDefault="002D48BF" w:rsidP="00764862">
      <w:pPr>
        <w:rPr>
          <w:rFonts w:eastAsia="Arial"/>
          <w:lang w:val="en-MY"/>
        </w:rPr>
      </w:pPr>
      <w:r w:rsidRPr="009D4627">
        <w:rPr>
          <w:rFonts w:eastAsia="Arial Unicode MS"/>
          <w:lang w:val="en-US"/>
        </w:rPr>
        <w:t>The calibration and validation were conducted before the SP EMR, as described in section 2.2.2. Participants were instructed to fixate</w:t>
      </w:r>
      <w:r w:rsidRPr="009D4627">
        <w:rPr>
          <w:rFonts w:eastAsia="Arial Unicode MS"/>
          <w:b/>
          <w:bCs/>
        </w:rPr>
        <w:t xml:space="preserve"> </w:t>
      </w:r>
      <w:r w:rsidRPr="009D4627">
        <w:rPr>
          <w:rFonts w:eastAsia="Arial Unicode MS"/>
          <w:lang w:val="en-US"/>
        </w:rPr>
        <w:t xml:space="preserve">accurately at the white area at the </w:t>
      </w:r>
      <w:proofErr w:type="spellStart"/>
      <w:r w:rsidRPr="009D4627">
        <w:rPr>
          <w:rFonts w:eastAsia="Arial Unicode MS"/>
          <w:lang w:val="en-US"/>
        </w:rPr>
        <w:t>centre</w:t>
      </w:r>
      <w:proofErr w:type="spellEnd"/>
      <w:r w:rsidRPr="009D4627">
        <w:rPr>
          <w:rFonts w:eastAsia="Arial Unicode MS"/>
          <w:lang w:val="en-US"/>
        </w:rPr>
        <w:t xml:space="preserve"> of a black cross target (Figure 2.</w:t>
      </w:r>
      <w:r w:rsidR="008D37EF" w:rsidRPr="009D4627">
        <w:rPr>
          <w:rFonts w:eastAsia="Arial Unicode MS"/>
          <w:lang w:val="en-US"/>
        </w:rPr>
        <w:t>4</w:t>
      </w:r>
      <w:r w:rsidRPr="009D4627">
        <w:rPr>
          <w:rFonts w:eastAsia="Arial Unicode MS"/>
          <w:lang w:val="en-US"/>
        </w:rPr>
        <w:t>) at all times and follow it as accurately as possible as it moved smoothly across the screen.</w:t>
      </w:r>
      <w:r w:rsidRPr="009D4627">
        <w:rPr>
          <w:rFonts w:eastAsia="Arial Unicode MS"/>
          <w:b/>
          <w:bCs/>
        </w:rPr>
        <w:t xml:space="preserve"> </w:t>
      </w:r>
      <w:r w:rsidRPr="009D4627">
        <w:rPr>
          <w:rFonts w:eastAsia="Arial Unicode MS"/>
          <w:lang w:val="en-US"/>
        </w:rPr>
        <w:t>The EMR began with Trial 1, where the target moved at the lowest frequency and increased to higher frequencies. A drift check was applied at the end of every trial before starting the following trial frequencies. An example of a live trace produced by the DV software for 0.2 Hz horizontal is shown in Figure 2.7</w:t>
      </w:r>
      <w:r w:rsidR="00EC745C" w:rsidRPr="009D4627">
        <w:rPr>
          <w:rFonts w:eastAsia="Arial Unicode MS"/>
          <w:lang w:val="en-US"/>
        </w:rPr>
        <w:t>,</w:t>
      </w:r>
      <w:r w:rsidRPr="009D4627">
        <w:rPr>
          <w:rFonts w:eastAsia="Arial Unicode MS"/>
          <w:lang w:val="en-US"/>
        </w:rPr>
        <w:t xml:space="preserve"> and </w:t>
      </w:r>
      <w:r w:rsidR="00EC745C" w:rsidRPr="009D4627">
        <w:rPr>
          <w:rFonts w:eastAsia="Arial Unicode MS"/>
          <w:lang w:val="en-US"/>
        </w:rPr>
        <w:t xml:space="preserve">for 0.25 Hz vertical is shown in </w:t>
      </w:r>
      <w:r w:rsidRPr="009D4627">
        <w:rPr>
          <w:rFonts w:eastAsia="Arial Unicode MS"/>
          <w:lang w:val="en-US"/>
        </w:rPr>
        <w:t>Figure 2.8</w:t>
      </w:r>
      <w:r w:rsidR="009D6465" w:rsidRPr="009D4627">
        <w:rPr>
          <w:rFonts w:eastAsia="Arial"/>
        </w:rPr>
        <w:t>.</w:t>
      </w:r>
    </w:p>
    <w:p w14:paraId="791DB6CE" w14:textId="77777777" w:rsidR="00501BEE" w:rsidRPr="009D4627" w:rsidRDefault="00501BEE" w:rsidP="004D6A1D">
      <w:pPr>
        <w:spacing w:line="240" w:lineRule="auto"/>
        <w:sectPr w:rsidR="00501BEE" w:rsidRPr="009D4627" w:rsidSect="00477959">
          <w:headerReference w:type="default" r:id="rId85"/>
          <w:pgSz w:w="11906" w:h="16838" w:code="9"/>
          <w:pgMar w:top="1440" w:right="1440" w:bottom="1440" w:left="1440" w:header="709" w:footer="709" w:gutter="0"/>
          <w:cols w:space="708"/>
          <w:docGrid w:linePitch="360"/>
        </w:sectPr>
      </w:pPr>
      <w:bookmarkStart w:id="183" w:name="_1t3h5sf" w:colFirst="0" w:colLast="0"/>
      <w:bookmarkStart w:id="184" w:name="_v0cpr990arm6" w:colFirst="0" w:colLast="0"/>
      <w:bookmarkStart w:id="185" w:name="_eulp59nc7whw" w:colFirst="0" w:colLast="0"/>
      <w:bookmarkStart w:id="186" w:name="_rfu4unp28qrf" w:colFirst="0" w:colLast="0"/>
      <w:bookmarkStart w:id="187" w:name="_iyxgaouw1lwp" w:colFirst="0" w:colLast="0"/>
      <w:bookmarkEnd w:id="183"/>
      <w:bookmarkEnd w:id="184"/>
      <w:bookmarkEnd w:id="185"/>
      <w:bookmarkEnd w:id="186"/>
      <w:bookmarkEnd w:id="187"/>
    </w:p>
    <w:p w14:paraId="63C967D9" w14:textId="3AD5C3D7" w:rsidR="00547D87" w:rsidRPr="009D4627" w:rsidRDefault="00A2792E" w:rsidP="004D6A1D">
      <w:pPr>
        <w:spacing w:line="240" w:lineRule="auto"/>
      </w:pPr>
      <w:r w:rsidRPr="009D4627">
        <w:rPr>
          <w:noProof/>
        </w:rPr>
        <w:lastRenderedPageBreak/>
        <mc:AlternateContent>
          <mc:Choice Requires="wpg">
            <w:drawing>
              <wp:inline distT="0" distB="0" distL="0" distR="0" wp14:anchorId="639A2797" wp14:editId="2AF54EB3">
                <wp:extent cx="8006080" cy="4488180"/>
                <wp:effectExtent l="0" t="0" r="0" b="0"/>
                <wp:docPr id="24149" name="Group 24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6080" cy="4488180"/>
                          <a:chOff x="7021" y="-1028"/>
                          <a:chExt cx="77507" cy="42715"/>
                        </a:xfrm>
                      </wpg:grpSpPr>
                      <wpg:grpSp>
                        <wpg:cNvPr id="24150" name="Group 120"/>
                        <wpg:cNvGrpSpPr>
                          <a:grpSpLocks/>
                        </wpg:cNvGrpSpPr>
                        <wpg:grpSpPr bwMode="auto">
                          <a:xfrm>
                            <a:off x="7021" y="-1028"/>
                            <a:ext cx="77507" cy="42715"/>
                            <a:chOff x="7899" y="-1028"/>
                            <a:chExt cx="77512" cy="42718"/>
                          </a:xfrm>
                        </wpg:grpSpPr>
                        <pic:pic xmlns:pic="http://schemas.openxmlformats.org/drawingml/2006/picture">
                          <pic:nvPicPr>
                            <pic:cNvPr id="24151" name="Picture 121"/>
                            <pic:cNvPicPr>
                              <a:picLocks noChangeAspect="1" noChangeArrowheads="1"/>
                            </pic:cNvPicPr>
                          </pic:nvPicPr>
                          <pic:blipFill>
                            <a:blip r:embed="rId86" cstate="screen">
                              <a:extLst>
                                <a:ext uri="{28A0092B-C50C-407E-A947-70E740481C1C}">
                                  <a14:useLocalDpi xmlns:a14="http://schemas.microsoft.com/office/drawing/2010/main" val="0"/>
                                </a:ext>
                              </a:extLst>
                            </a:blip>
                            <a:srcRect/>
                            <a:stretch>
                              <a:fillRect/>
                            </a:stretch>
                          </pic:blipFill>
                          <pic:spPr bwMode="auto">
                            <a:xfrm>
                              <a:off x="7899" y="1027"/>
                              <a:ext cx="77513" cy="40663"/>
                            </a:xfrm>
                            <a:prstGeom prst="rect">
                              <a:avLst/>
                            </a:prstGeom>
                            <a:noFill/>
                          </pic:spPr>
                        </pic:pic>
                        <wpg:grpSp>
                          <wpg:cNvPr id="24152" name="Group 122"/>
                          <wpg:cNvGrpSpPr>
                            <a:grpSpLocks/>
                          </wpg:cNvGrpSpPr>
                          <wpg:grpSpPr bwMode="auto">
                            <a:xfrm>
                              <a:off x="11503" y="-1028"/>
                              <a:ext cx="38170" cy="36057"/>
                              <a:chOff x="10625" y="-1028"/>
                              <a:chExt cx="38169" cy="36057"/>
                            </a:xfrm>
                          </wpg:grpSpPr>
                          <wpg:grpSp>
                            <wpg:cNvPr id="24153" name="Group 123"/>
                            <wpg:cNvGrpSpPr>
                              <a:grpSpLocks/>
                            </wpg:cNvGrpSpPr>
                            <wpg:grpSpPr bwMode="auto">
                              <a:xfrm>
                                <a:off x="10625" y="11118"/>
                                <a:ext cx="15591" cy="23911"/>
                                <a:chOff x="10625" y="9689"/>
                                <a:chExt cx="15590" cy="23911"/>
                              </a:xfrm>
                            </wpg:grpSpPr>
                            <wpg:grpSp>
                              <wpg:cNvPr id="24154" name="Group 124"/>
                              <wpg:cNvGrpSpPr>
                                <a:grpSpLocks/>
                              </wpg:cNvGrpSpPr>
                              <wpg:grpSpPr bwMode="auto">
                                <a:xfrm>
                                  <a:off x="10625" y="9689"/>
                                  <a:ext cx="15591" cy="23911"/>
                                  <a:chOff x="950" y="2565"/>
                                  <a:chExt cx="15590" cy="23911"/>
                                </a:xfrm>
                              </wpg:grpSpPr>
                              <wpg:grpSp>
                                <wpg:cNvPr id="24155" name="Group 125"/>
                                <wpg:cNvGrpSpPr>
                                  <a:grpSpLocks/>
                                </wpg:cNvGrpSpPr>
                                <wpg:grpSpPr bwMode="auto">
                                  <a:xfrm>
                                    <a:off x="950" y="3151"/>
                                    <a:ext cx="7256" cy="12772"/>
                                    <a:chOff x="950" y="1875"/>
                                    <a:chExt cx="7256" cy="12771"/>
                                  </a:xfrm>
                                </wpg:grpSpPr>
                                <wps:wsp>
                                  <wps:cNvPr id="24156" name="Straight Arrow Connector 126"/>
                                  <wps:cNvCnPr>
                                    <a:cxnSpLocks noChangeShapeType="1"/>
                                  </wps:cNvCnPr>
                                  <wps:spPr bwMode="auto">
                                    <a:xfrm flipV="1">
                                      <a:off x="950" y="1875"/>
                                      <a:ext cx="4004" cy="11538"/>
                                    </a:xfrm>
                                    <a:prstGeom prst="straightConnector1">
                                      <a:avLst/>
                                    </a:prstGeom>
                                    <a:noFill/>
                                    <a:ln w="12700">
                                      <a:solidFill>
                                        <a:srgbClr val="FF0000"/>
                                      </a:solidFill>
                                      <a:prstDash val="sysDash"/>
                                      <a:miter lim="800000"/>
                                      <a:headEnd/>
                                      <a:tailEnd type="triangle" w="med" len="med"/>
                                    </a:ln>
                                  </wps:spPr>
                                  <wps:bodyPr/>
                                </wps:wsp>
                                <wps:wsp>
                                  <wps:cNvPr id="24157" name="Text Box 1656"/>
                                  <wps:cNvSpPr txBox="1">
                                    <a:spLocks noChangeArrowheads="1"/>
                                  </wps:cNvSpPr>
                                  <wps:spPr bwMode="auto">
                                    <a:xfrm>
                                      <a:off x="3126" y="8333"/>
                                      <a:ext cx="5080" cy="6314"/>
                                    </a:xfrm>
                                    <a:prstGeom prst="rect">
                                      <a:avLst/>
                                    </a:prstGeom>
                                    <a:solidFill>
                                      <a:srgbClr val="FFFFFF"/>
                                    </a:solidFill>
                                    <a:ln>
                                      <a:noFill/>
                                    </a:ln>
                                  </wps:spPr>
                                  <wps:txbx>
                                    <w:txbxContent>
                                      <w:p w14:paraId="12954079" w14:textId="77777777" w:rsidR="00527127" w:rsidRPr="009C2EAC" w:rsidRDefault="00527127" w:rsidP="00147523">
                                        <w:pPr>
                                          <w:spacing w:before="0" w:after="0" w:line="240" w:lineRule="auto"/>
                                          <w:rPr>
                                            <w:sz w:val="20"/>
                                            <w:szCs w:val="20"/>
                                          </w:rPr>
                                        </w:pPr>
                                        <w:r w:rsidRPr="009C2EAC">
                                          <w:rPr>
                                            <w:sz w:val="20"/>
                                            <w:szCs w:val="20"/>
                                          </w:rPr>
                                          <w:t>Target moves 10</w:t>
                                        </w:r>
                                        <w:r w:rsidRPr="009C2EAC">
                                          <w:rPr>
                                            <w:rFonts w:cstheme="minorHAnsi"/>
                                            <w:sz w:val="20"/>
                                            <w:szCs w:val="20"/>
                                          </w:rPr>
                                          <w:t>°</w:t>
                                        </w:r>
                                        <w:r w:rsidRPr="009C2EAC">
                                          <w:rPr>
                                            <w:sz w:val="20"/>
                                            <w:szCs w:val="20"/>
                                          </w:rPr>
                                          <w:t xml:space="preserve"> leftward</w:t>
                                        </w:r>
                                      </w:p>
                                    </w:txbxContent>
                                  </wps:txbx>
                                  <wps:bodyPr rot="0" vert="horz" wrap="square" lIns="0" tIns="0" rIns="0" bIns="0" anchor="t" anchorCtr="0" upright="1">
                                    <a:noAutofit/>
                                  </wps:bodyPr>
                                </wps:wsp>
                              </wpg:grpSp>
                              <wpg:grpSp>
                                <wpg:cNvPr id="24158" name="Group 192"/>
                                <wpg:cNvGrpSpPr>
                                  <a:grpSpLocks/>
                                </wpg:cNvGrpSpPr>
                                <wpg:grpSpPr bwMode="auto">
                                  <a:xfrm>
                                    <a:off x="7155" y="2565"/>
                                    <a:ext cx="9385" cy="23911"/>
                                    <a:chOff x="2902" y="2565"/>
                                    <a:chExt cx="9384" cy="23911"/>
                                  </a:xfrm>
                                </wpg:grpSpPr>
                                <wps:wsp>
                                  <wps:cNvPr id="24159" name="Straight Arrow Connector 193"/>
                                  <wps:cNvCnPr>
                                    <a:cxnSpLocks noChangeShapeType="1"/>
                                  </wps:cNvCnPr>
                                  <wps:spPr bwMode="auto">
                                    <a:xfrm>
                                      <a:off x="2902" y="2565"/>
                                      <a:ext cx="7241" cy="23911"/>
                                    </a:xfrm>
                                    <a:prstGeom prst="straightConnector1">
                                      <a:avLst/>
                                    </a:prstGeom>
                                    <a:noFill/>
                                    <a:ln w="12700">
                                      <a:solidFill>
                                        <a:srgbClr val="FF0000"/>
                                      </a:solidFill>
                                      <a:prstDash val="sysDash"/>
                                      <a:miter lim="800000"/>
                                      <a:headEnd/>
                                      <a:tailEnd type="triangle" w="med" len="med"/>
                                    </a:ln>
                                  </wps:spPr>
                                  <wps:bodyPr/>
                                </wps:wsp>
                                <wps:wsp>
                                  <wps:cNvPr id="24160" name="Text Box 1659"/>
                                  <wps:cNvSpPr txBox="1">
                                    <a:spLocks noChangeArrowheads="1"/>
                                  </wps:cNvSpPr>
                                  <wps:spPr bwMode="auto">
                                    <a:xfrm>
                                      <a:off x="4869" y="5124"/>
                                      <a:ext cx="7418" cy="3090"/>
                                    </a:xfrm>
                                    <a:prstGeom prst="rect">
                                      <a:avLst/>
                                    </a:prstGeom>
                                    <a:solidFill>
                                      <a:srgbClr val="FFFFFF"/>
                                    </a:solidFill>
                                    <a:ln>
                                      <a:noFill/>
                                    </a:ln>
                                  </wps:spPr>
                                  <wps:txbx>
                                    <w:txbxContent>
                                      <w:p w14:paraId="13943003" w14:textId="14D4D921" w:rsidR="00527127" w:rsidRPr="009C2EAC" w:rsidRDefault="00527127" w:rsidP="00147523">
                                        <w:pPr>
                                          <w:spacing w:before="0" w:after="0" w:line="240" w:lineRule="auto"/>
                                          <w:jc w:val="left"/>
                                          <w:rPr>
                                            <w:sz w:val="20"/>
                                            <w:szCs w:val="20"/>
                                          </w:rPr>
                                        </w:pPr>
                                        <w:r w:rsidRPr="009C2EAC">
                                          <w:rPr>
                                            <w:sz w:val="20"/>
                                            <w:szCs w:val="20"/>
                                          </w:rPr>
                                          <w:t>Target moves 20</w:t>
                                        </w:r>
                                        <w:r w:rsidRPr="009C2EAC">
                                          <w:rPr>
                                            <w:rFonts w:cstheme="minorHAnsi"/>
                                            <w:sz w:val="20"/>
                                            <w:szCs w:val="20"/>
                                          </w:rPr>
                                          <w:t>° rightward</w:t>
                                        </w:r>
                                      </w:p>
                                    </w:txbxContent>
                                  </wps:txbx>
                                  <wps:bodyPr rot="0" vert="horz" wrap="square" lIns="0" tIns="0" rIns="0" bIns="0" anchor="t" anchorCtr="0" upright="1">
                                    <a:noAutofit/>
                                  </wps:bodyPr>
                                </wps:wsp>
                              </wpg:grpSp>
                            </wpg:grpSp>
                            <wps:wsp>
                              <wps:cNvPr id="24161" name="Text Box 1660"/>
                              <wps:cNvSpPr txBox="1">
                                <a:spLocks noChangeArrowheads="1"/>
                              </wps:cNvSpPr>
                              <wps:spPr bwMode="auto">
                                <a:xfrm>
                                  <a:off x="10890" y="24706"/>
                                  <a:ext cx="7388" cy="4153"/>
                                </a:xfrm>
                                <a:prstGeom prst="rect">
                                  <a:avLst/>
                                </a:prstGeom>
                                <a:solidFill>
                                  <a:srgbClr val="FFFFFF"/>
                                </a:solidFill>
                                <a:ln>
                                  <a:noFill/>
                                </a:ln>
                              </wps:spPr>
                              <wps:txbx>
                                <w:txbxContent>
                                  <w:p w14:paraId="7ADE0FC2" w14:textId="77777777" w:rsidR="00527127" w:rsidRPr="009C2EAC" w:rsidRDefault="00527127" w:rsidP="00147523">
                                    <w:pPr>
                                      <w:spacing w:before="0" w:after="0" w:line="240" w:lineRule="auto"/>
                                      <w:jc w:val="left"/>
                                      <w:rPr>
                                        <w:sz w:val="20"/>
                                        <w:szCs w:val="20"/>
                                      </w:rPr>
                                    </w:pPr>
                                    <w:r w:rsidRPr="009C2EAC">
                                      <w:rPr>
                                        <w:sz w:val="20"/>
                                        <w:szCs w:val="20"/>
                                      </w:rPr>
                                      <w:t xml:space="preserve">Target started at </w:t>
                                    </w:r>
                                    <w:r w:rsidRPr="009C2EAC">
                                      <w:rPr>
                                        <w:rFonts w:cstheme="minorHAnsi"/>
                                        <w:sz w:val="20"/>
                                        <w:szCs w:val="20"/>
                                      </w:rPr>
                                      <w:t>≈</w:t>
                                    </w:r>
                                    <w:r w:rsidRPr="009C2EAC">
                                      <w:rPr>
                                        <w:sz w:val="20"/>
                                        <w:szCs w:val="20"/>
                                      </w:rPr>
                                      <w:t>958 PPD on the y-axis</w:t>
                                    </w:r>
                                  </w:p>
                                </w:txbxContent>
                              </wps:txbx>
                              <wps:bodyPr rot="0" vert="horz" wrap="square" lIns="0" tIns="0" rIns="0" bIns="0" anchor="t" anchorCtr="0" upright="1">
                                <a:noAutofit/>
                              </wps:bodyPr>
                            </wps:wsp>
                          </wpg:grpSp>
                          <wps:wsp>
                            <wps:cNvPr id="24162" name="Text Box 1661"/>
                            <wps:cNvSpPr txBox="1">
                              <a:spLocks noChangeArrowheads="1"/>
                            </wps:cNvSpPr>
                            <wps:spPr bwMode="auto">
                              <a:xfrm>
                                <a:off x="33161" y="-1028"/>
                                <a:ext cx="15634" cy="2055"/>
                              </a:xfrm>
                              <a:prstGeom prst="rect">
                                <a:avLst/>
                              </a:prstGeom>
                              <a:solidFill>
                                <a:srgbClr val="FFFFFF"/>
                              </a:solidFill>
                              <a:ln>
                                <a:noFill/>
                              </a:ln>
                            </wps:spPr>
                            <wps:txbx>
                              <w:txbxContent>
                                <w:p w14:paraId="535A0C71" w14:textId="1349A339" w:rsidR="00527127" w:rsidRPr="00457EF1" w:rsidRDefault="00527127" w:rsidP="00147523">
                                  <w:pPr>
                                    <w:spacing w:before="0"/>
                                  </w:pPr>
                                  <w:r w:rsidRPr="00457EF1">
                                    <w:t>Time (</w:t>
                                  </w:r>
                                  <w:proofErr w:type="spellStart"/>
                                  <w:r w:rsidRPr="00457EF1">
                                    <w:t>m</w:t>
                                  </w:r>
                                  <w:r>
                                    <w:t>s</w:t>
                                  </w:r>
                                  <w:proofErr w:type="spellEnd"/>
                                  <w:r w:rsidRPr="00457EF1">
                                    <w:t>)</w:t>
                                  </w:r>
                                </w:p>
                              </w:txbxContent>
                            </wps:txbx>
                            <wps:bodyPr rot="0" vert="horz" wrap="square" lIns="0" tIns="0" rIns="0" bIns="0" anchor="t" anchorCtr="0" upright="1">
                              <a:noAutofit/>
                            </wps:bodyPr>
                          </wps:wsp>
                        </wpg:grpSp>
                      </wpg:grpSp>
                      <wps:wsp>
                        <wps:cNvPr id="24163" name="Arrow: Up 197"/>
                        <wps:cNvSpPr>
                          <a:spLocks noChangeArrowheads="1"/>
                        </wps:cNvSpPr>
                        <wps:spPr bwMode="auto">
                          <a:xfrm rot="-1602367">
                            <a:off x="10438" y="23124"/>
                            <a:ext cx="1165" cy="2939"/>
                          </a:xfrm>
                          <a:prstGeom prst="upArrow">
                            <a:avLst>
                              <a:gd name="adj1" fmla="val 50000"/>
                              <a:gd name="adj2" fmla="val 50023"/>
                            </a:avLst>
                          </a:prstGeom>
                          <a:solidFill>
                            <a:srgbClr val="0000FF"/>
                          </a:solidFill>
                          <a:ln w="6350">
                            <a:solidFill>
                              <a:srgbClr val="0000FF"/>
                            </a:solidFill>
                            <a:miter lim="800000"/>
                            <a:headEnd/>
                            <a:tailEnd/>
                          </a:ln>
                        </wps:spPr>
                        <wps:bodyPr rot="0" vert="horz" wrap="square" lIns="91440" tIns="45720" rIns="91440" bIns="45720" anchor="ctr" anchorCtr="0" upright="1">
                          <a:noAutofit/>
                        </wps:bodyPr>
                      </wps:wsp>
                    </wpg:wgp>
                  </a:graphicData>
                </a:graphic>
              </wp:inline>
            </w:drawing>
          </mc:Choice>
          <mc:Fallback>
            <w:pict>
              <v:group w14:anchorId="639A2797" id="Group 24149" o:spid="_x0000_s1279" style="width:630.4pt;height:353.4pt;mso-position-horizontal-relative:char;mso-position-vertical-relative:line" coordorigin="7021,-1028" coordsize="77507,4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">
                <v:group id="Group 120" o:spid="_x0000_s1280" style="position:absolute;left:7021;top:-1028;width:77507;height:42715" coordorigin="7899,-1028" coordsize="77512,42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">
                  <v:shape id="Picture 121" o:spid="_x0000_s1281" type="#_x0000_t75" style="position:absolute;left:7899;top:1027;width:77513;height:4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">
                    <v:imagedata r:id="rId87" o:title=""/>
                  </v:shape>
                  <v:group id="Group 122" o:spid="_x0000_s1282" style="position:absolute;left:11503;top:-1028;width:38170;height:36057" coordorigin="10625,-1028" coordsize="38169,3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">
                    <v:group id="Group 123" o:spid="_x0000_s1283" style="position:absolute;left:10625;top:11118;width:15591;height:23911" coordorigin="10625,9689" coordsize="15590,2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">
                      <v:group id="Group 124" o:spid="_x0000_s1284" style="position:absolute;left:10625;top:9689;width:15591;height:23911" coordorigin="950,2565" coordsize="15590,2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">
                        <v:group id="Group 125" o:spid="_x0000_s1285" style="position:absolute;left:950;top:3151;width:7256;height:12772" coordorigin="950,1875" coordsize="7256,12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">
                          <v:shape id="Straight Arrow Connector 126" o:spid="_x0000_s1286" type="#_x0000_t32" style="position:absolute;left:950;top:1875;width:4004;height:115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" strokecolor="red" strokeweight="1pt">
                            <v:stroke dashstyle="3 1" endarrow="block" joinstyle="miter"/>
                          </v:shape>
                          <v:shape id="Text Box 1656" o:spid="_x0000_s1287" type="#_x0000_t202" style="position:absolute;left:3126;top:8333;width:5080;height:6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" stroked="f">
                            <v:textbox inset="0,0,0,0">
                              <w:txbxContent>
                                <w:p w14:paraId="12954079" w14:textId="77777777" w:rsidR="00527127" w:rsidRPr="009C2EAC" w:rsidRDefault="00527127" w:rsidP="00147523">
                                  <w:pPr>
                                    <w:spacing w:before="0" w:after="0" w:line="240" w:lineRule="auto"/>
                                    <w:rPr>
                                      <w:sz w:val="20"/>
                                      <w:szCs w:val="20"/>
                                    </w:rPr>
                                  </w:pPr>
                                  <w:r w:rsidRPr="009C2EAC">
                                    <w:rPr>
                                      <w:sz w:val="20"/>
                                      <w:szCs w:val="20"/>
                                    </w:rPr>
                                    <w:t>Target moves 10</w:t>
                                  </w:r>
                                  <w:r w:rsidRPr="009C2EAC">
                                    <w:rPr>
                                      <w:rFonts w:cstheme="minorHAnsi"/>
                                      <w:sz w:val="20"/>
                                      <w:szCs w:val="20"/>
                                    </w:rPr>
                                    <w:t>°</w:t>
                                  </w:r>
                                  <w:r w:rsidRPr="009C2EAC">
                                    <w:rPr>
                                      <w:sz w:val="20"/>
                                      <w:szCs w:val="20"/>
                                    </w:rPr>
                                    <w:t xml:space="preserve"> leftward</w:t>
                                  </w:r>
                                </w:p>
                              </w:txbxContent>
                            </v:textbox>
                          </v:shape>
                        </v:group>
                        <v:group id="Group 192" o:spid="_x0000_s1288" style="position:absolute;left:7155;top:2565;width:9385;height:23911" coordorigin="2902,2565" coordsize="9384,23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">
                          <v:shape id="Straight Arrow Connector 193" o:spid="_x0000_s1289" type="#_x0000_t32" style="position:absolute;left:2902;top:2565;width:7241;height:239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" strokecolor="red" strokeweight="1pt">
                            <v:stroke dashstyle="3 1" endarrow="block" joinstyle="miter"/>
                          </v:shape>
                          <v:shape id="Text Box 1659" o:spid="_x0000_s1290" type="#_x0000_t202" style="position:absolute;left:4869;top:5124;width:7418;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" stroked="f">
                            <v:textbox inset="0,0,0,0">
                              <w:txbxContent>
                                <w:p w14:paraId="13943003" w14:textId="14D4D921" w:rsidR="00527127" w:rsidRPr="009C2EAC" w:rsidRDefault="00527127" w:rsidP="00147523">
                                  <w:pPr>
                                    <w:spacing w:before="0" w:after="0" w:line="240" w:lineRule="auto"/>
                                    <w:jc w:val="left"/>
                                    <w:rPr>
                                      <w:sz w:val="20"/>
                                      <w:szCs w:val="20"/>
                                    </w:rPr>
                                  </w:pPr>
                                  <w:r w:rsidRPr="009C2EAC">
                                    <w:rPr>
                                      <w:sz w:val="20"/>
                                      <w:szCs w:val="20"/>
                                    </w:rPr>
                                    <w:t>Target moves 20</w:t>
                                  </w:r>
                                  <w:r w:rsidRPr="009C2EAC">
                                    <w:rPr>
                                      <w:rFonts w:cstheme="minorHAnsi"/>
                                      <w:sz w:val="20"/>
                                      <w:szCs w:val="20"/>
                                    </w:rPr>
                                    <w:t>° rightward</w:t>
                                  </w:r>
                                </w:p>
                              </w:txbxContent>
                            </v:textbox>
                          </v:shape>
                        </v:group>
                      </v:group>
                      <v:shape id="Text Box 1660" o:spid="_x0000_s1291" type="#_x0000_t202" style="position:absolute;left:10890;top:24706;width:7388;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" stroked="f">
                        <v:textbox inset="0,0,0,0">
                          <w:txbxContent>
                            <w:p w14:paraId="7ADE0FC2" w14:textId="77777777" w:rsidR="00527127" w:rsidRPr="009C2EAC" w:rsidRDefault="00527127" w:rsidP="00147523">
                              <w:pPr>
                                <w:spacing w:before="0" w:after="0" w:line="240" w:lineRule="auto"/>
                                <w:jc w:val="left"/>
                                <w:rPr>
                                  <w:sz w:val="20"/>
                                  <w:szCs w:val="20"/>
                                </w:rPr>
                              </w:pPr>
                              <w:r w:rsidRPr="009C2EAC">
                                <w:rPr>
                                  <w:sz w:val="20"/>
                                  <w:szCs w:val="20"/>
                                </w:rPr>
                                <w:t xml:space="preserve">Target started at </w:t>
                              </w:r>
                              <w:r w:rsidRPr="009C2EAC">
                                <w:rPr>
                                  <w:rFonts w:cstheme="minorHAnsi"/>
                                  <w:sz w:val="20"/>
                                  <w:szCs w:val="20"/>
                                </w:rPr>
                                <w:t>≈</w:t>
                              </w:r>
                              <w:r w:rsidRPr="009C2EAC">
                                <w:rPr>
                                  <w:sz w:val="20"/>
                                  <w:szCs w:val="20"/>
                                </w:rPr>
                                <w:t>958 PPD on the y-axis</w:t>
                              </w:r>
                            </w:p>
                          </w:txbxContent>
                        </v:textbox>
                      </v:shape>
                    </v:group>
                    <v:shape id="Text Box 1661" o:spid="_x0000_s1292" type="#_x0000_t202" style="position:absolute;left:33161;top:-1028;width:15634;height: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" stroked="f">
                      <v:textbox inset="0,0,0,0">
                        <w:txbxContent>
                          <w:p w14:paraId="535A0C71" w14:textId="1349A339" w:rsidR="00527127" w:rsidRPr="00457EF1" w:rsidRDefault="00527127" w:rsidP="00147523">
                            <w:pPr>
                              <w:spacing w:before="0"/>
                            </w:pPr>
                            <w:r w:rsidRPr="00457EF1">
                              <w:t>Time (</w:t>
                            </w:r>
                            <w:proofErr w:type="spellStart"/>
                            <w:r w:rsidRPr="00457EF1">
                              <w:t>m</w:t>
                            </w:r>
                            <w:r>
                              <w:t>s</w:t>
                            </w:r>
                            <w:proofErr w:type="spellEnd"/>
                            <w:r w:rsidRPr="00457EF1">
                              <w:t>)</w:t>
                            </w:r>
                          </w:p>
                        </w:txbxContent>
                      </v:textbox>
                    </v:shape>
                  </v:group>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97" o:spid="_x0000_s1293" type="#_x0000_t68" style="position:absolute;left:10438;top:23124;width:1165;height:2939;rotation:-17502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" adj="4283" fillcolor="blue" strokecolor="blue" strokeweight=".5pt"/>
                <w10:anchorlock/>
              </v:group>
            </w:pict>
          </mc:Fallback>
        </mc:AlternateContent>
      </w:r>
    </w:p>
    <w:p w14:paraId="40A1CF84" w14:textId="1443CD28" w:rsidR="00547D87" w:rsidRPr="009D4627" w:rsidRDefault="00764862" w:rsidP="00C4130D">
      <w:pPr>
        <w:pStyle w:val="Caption"/>
      </w:pPr>
      <w:bookmarkStart w:id="188" w:name="_Toc98569955"/>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7</w:t>
      </w:r>
      <w:r w:rsidR="002E63E9" w:rsidRPr="009D4627">
        <w:rPr>
          <w:noProof/>
        </w:rPr>
        <w:fldChar w:fldCharType="end"/>
      </w:r>
      <w:r w:rsidRPr="009D4627">
        <w:t xml:space="preserve">: </w:t>
      </w:r>
      <w:r w:rsidR="008D37EF" w:rsidRPr="009D4627">
        <w:t>A sample of complete four cycles sinusoidal waveform for ± 10° horizontal SP EMR moving at 0.2 Hz frequency = 8°/sec mean velocity.</w:t>
      </w:r>
      <w:r w:rsidR="002D48BF" w:rsidRPr="009D4627">
        <w:t xml:space="preserve"> The x-axis shows the time in </w:t>
      </w:r>
      <w:proofErr w:type="spellStart"/>
      <w:r w:rsidR="002D48BF" w:rsidRPr="009D4627">
        <w:t>ms</w:t>
      </w:r>
      <w:proofErr w:type="spellEnd"/>
      <w:r w:rsidR="002D48BF" w:rsidRPr="009D4627">
        <w:t>, and the y-axis shows the pixel's target position per degree. The pixels unit was used for programming the target position. Leftward target motion is represented by the upward tracing (i.e., from 957 to 382 PPD on the y-axis), and rightward target motion is represented by the downward tracing (i.e., from 382 to 1531 PPD)</w:t>
      </w:r>
      <w:r w:rsidR="00547D87" w:rsidRPr="009D4627">
        <w:t>.</w:t>
      </w:r>
      <w:bookmarkEnd w:id="188"/>
    </w:p>
    <w:p w14:paraId="58A6B5CC" w14:textId="77777777" w:rsidR="00995825" w:rsidRPr="009D4627" w:rsidRDefault="00995825" w:rsidP="004D6A1D">
      <w:pPr>
        <w:spacing w:after="0"/>
        <w:sectPr w:rsidR="00995825" w:rsidRPr="009D4627" w:rsidSect="00477959">
          <w:headerReference w:type="default" r:id="rId88"/>
          <w:footerReference w:type="default" r:id="rId89"/>
          <w:pgSz w:w="16838" w:h="11906" w:orient="landscape" w:code="9"/>
          <w:pgMar w:top="1440" w:right="1440" w:bottom="1440" w:left="1440" w:header="709" w:footer="709" w:gutter="0"/>
          <w:cols w:space="708"/>
          <w:docGrid w:linePitch="360"/>
        </w:sectPr>
      </w:pPr>
    </w:p>
    <w:p w14:paraId="1AA2D312" w14:textId="05DB6175" w:rsidR="00547D87" w:rsidRPr="009D4627" w:rsidRDefault="00A2792E" w:rsidP="004D6A1D">
      <w:pPr>
        <w:spacing w:after="0"/>
      </w:pPr>
      <w:r w:rsidRPr="009D4627">
        <w:rPr>
          <w:noProof/>
        </w:rPr>
        <w:lastRenderedPageBreak/>
        <mc:AlternateContent>
          <mc:Choice Requires="wpg">
            <w:drawing>
              <wp:inline distT="0" distB="0" distL="0" distR="0" wp14:anchorId="1A824B73" wp14:editId="1FD8F562">
                <wp:extent cx="8829675" cy="3734435"/>
                <wp:effectExtent l="0" t="0" r="0" b="0"/>
                <wp:docPr id="24134" name="Group 24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9675" cy="3734435"/>
                          <a:chOff x="5561" y="339"/>
                          <a:chExt cx="83427" cy="33893"/>
                        </a:xfrm>
                      </wpg:grpSpPr>
                      <wpg:grpSp>
                        <wpg:cNvPr id="24135" name="Group 199"/>
                        <wpg:cNvGrpSpPr>
                          <a:grpSpLocks/>
                        </wpg:cNvGrpSpPr>
                        <wpg:grpSpPr bwMode="auto">
                          <a:xfrm>
                            <a:off x="5561" y="339"/>
                            <a:ext cx="83427" cy="33893"/>
                            <a:chOff x="7392" y="297"/>
                            <a:chExt cx="78204" cy="29695"/>
                          </a:xfrm>
                        </wpg:grpSpPr>
                        <wpg:grpSp>
                          <wpg:cNvPr id="24136" name="Group 200"/>
                          <wpg:cNvGrpSpPr>
                            <a:grpSpLocks/>
                          </wpg:cNvGrpSpPr>
                          <wpg:grpSpPr bwMode="auto">
                            <a:xfrm>
                              <a:off x="7392" y="297"/>
                              <a:ext cx="78204" cy="29695"/>
                              <a:chOff x="6803" y="746"/>
                              <a:chExt cx="52349" cy="20110"/>
                            </a:xfrm>
                          </wpg:grpSpPr>
                          <pic:pic xmlns:pic="http://schemas.openxmlformats.org/drawingml/2006/picture">
                            <pic:nvPicPr>
                              <pic:cNvPr id="24137" name="Picture 20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6803" y="1901"/>
                                <a:ext cx="52349" cy="18955"/>
                              </a:xfrm>
                              <a:prstGeom prst="rect">
                                <a:avLst/>
                              </a:prstGeom>
                              <a:noFill/>
                            </pic:spPr>
                          </pic:pic>
                          <wpg:grpSp>
                            <wpg:cNvPr id="24138" name="Group 202"/>
                            <wpg:cNvGrpSpPr>
                              <a:grpSpLocks/>
                            </wpg:cNvGrpSpPr>
                            <wpg:grpSpPr bwMode="auto">
                              <a:xfrm>
                                <a:off x="9658" y="746"/>
                                <a:ext cx="28599" cy="16704"/>
                                <a:chOff x="7754" y="1603"/>
                                <a:chExt cx="28602" cy="16705"/>
                              </a:xfrm>
                            </wpg:grpSpPr>
                            <wps:wsp>
                              <wps:cNvPr id="24139" name="Text Box 1638"/>
                              <wps:cNvSpPr txBox="1">
                                <a:spLocks noChangeArrowheads="1"/>
                              </wps:cNvSpPr>
                              <wps:spPr bwMode="auto">
                                <a:xfrm>
                                  <a:off x="7754" y="15197"/>
                                  <a:ext cx="6237" cy="3111"/>
                                </a:xfrm>
                                <a:prstGeom prst="rect">
                                  <a:avLst/>
                                </a:prstGeom>
                                <a:solidFill>
                                  <a:srgbClr val="FFFFFF"/>
                                </a:solidFill>
                                <a:ln>
                                  <a:noFill/>
                                </a:ln>
                              </wps:spPr>
                              <wps:txbx>
                                <w:txbxContent>
                                  <w:p w14:paraId="4217A6CD" w14:textId="1A7C12A3" w:rsidR="00527127" w:rsidRPr="00060483" w:rsidRDefault="00527127" w:rsidP="00060483">
                                    <w:pPr>
                                      <w:spacing w:before="0" w:line="240" w:lineRule="auto"/>
                                      <w:jc w:val="left"/>
                                      <w:rPr>
                                        <w:sz w:val="20"/>
                                        <w:szCs w:val="20"/>
                                      </w:rPr>
                                    </w:pPr>
                                    <w:r w:rsidRPr="00060483">
                                      <w:rPr>
                                        <w:sz w:val="20"/>
                                        <w:szCs w:val="20"/>
                                      </w:rPr>
                                      <w:t xml:space="preserve">Target started at ≈533 </w:t>
                                    </w:r>
                                    <w:r>
                                      <w:rPr>
                                        <w:sz w:val="20"/>
                                        <w:szCs w:val="20"/>
                                      </w:rPr>
                                      <w:t>PPD</w:t>
                                    </w:r>
                                    <w:r w:rsidRPr="00060483">
                                      <w:rPr>
                                        <w:sz w:val="20"/>
                                        <w:szCs w:val="20"/>
                                      </w:rPr>
                                      <w:t xml:space="preserve"> on y-axis </w:t>
                                    </w:r>
                                  </w:p>
                                  <w:p w14:paraId="2066DDB1" w14:textId="77777777" w:rsidR="00527127" w:rsidRPr="00060483" w:rsidRDefault="00527127" w:rsidP="00390EBC">
                                    <w:pPr>
                                      <w:rPr>
                                        <w:sz w:val="20"/>
                                        <w:szCs w:val="20"/>
                                      </w:rPr>
                                    </w:pPr>
                                  </w:p>
                                </w:txbxContent>
                              </wps:txbx>
                              <wps:bodyPr rot="0" vert="horz" wrap="square" lIns="0" tIns="0" rIns="0" bIns="0" anchor="t" anchorCtr="0" upright="1">
                                <a:noAutofit/>
                              </wps:bodyPr>
                            </wps:wsp>
                            <wps:wsp>
                              <wps:cNvPr id="24140" name="Text Box 1639"/>
                              <wps:cNvSpPr txBox="1">
                                <a:spLocks noChangeArrowheads="1"/>
                              </wps:cNvSpPr>
                              <wps:spPr bwMode="auto">
                                <a:xfrm>
                                  <a:off x="27257" y="1603"/>
                                  <a:ext cx="9099" cy="1156"/>
                                </a:xfrm>
                                <a:prstGeom prst="rect">
                                  <a:avLst/>
                                </a:prstGeom>
                                <a:solidFill>
                                  <a:srgbClr val="FFFFFF"/>
                                </a:solidFill>
                                <a:ln>
                                  <a:noFill/>
                                </a:ln>
                              </wps:spPr>
                              <wps:txbx>
                                <w:txbxContent>
                                  <w:p w14:paraId="12454184" w14:textId="5EFA90AC" w:rsidR="00527127" w:rsidRPr="00425942" w:rsidRDefault="00527127" w:rsidP="00147523">
                                    <w:pPr>
                                      <w:spacing w:before="0" w:after="0"/>
                                    </w:pPr>
                                    <w:r w:rsidRPr="00425942">
                                      <w:t xml:space="preserve">Time </w:t>
                                    </w:r>
                                    <w:r>
                                      <w:t>(</w:t>
                                    </w:r>
                                    <w:proofErr w:type="spellStart"/>
                                    <w:r>
                                      <w:t>m</w:t>
                                    </w:r>
                                    <w:r w:rsidRPr="00425942">
                                      <w:t>s</w:t>
                                    </w:r>
                                    <w:proofErr w:type="spellEnd"/>
                                    <w:r w:rsidRPr="00425942">
                                      <w:t>)</w:t>
                                    </w:r>
                                  </w:p>
                                </w:txbxContent>
                              </wps:txbx>
                              <wps:bodyPr rot="0" vert="horz" wrap="square" lIns="0" tIns="0" rIns="0" bIns="0" anchor="t" anchorCtr="0" upright="1">
                                <a:noAutofit/>
                              </wps:bodyPr>
                            </wps:wsp>
                          </wpg:grpSp>
                        </wpg:grpSp>
                        <wpg:grpSp>
                          <wpg:cNvPr id="24141" name="Group 205"/>
                          <wpg:cNvGrpSpPr>
                            <a:grpSpLocks/>
                          </wpg:cNvGrpSpPr>
                          <wpg:grpSpPr bwMode="auto">
                            <a:xfrm>
                              <a:off x="10899" y="6071"/>
                              <a:ext cx="16459" cy="20629"/>
                              <a:chOff x="-2607" y="-4900"/>
                              <a:chExt cx="14719" cy="20070"/>
                            </a:xfrm>
                          </wpg:grpSpPr>
                          <wpg:grpSp>
                            <wpg:cNvPr id="24142" name="Group 206"/>
                            <wpg:cNvGrpSpPr>
                              <a:grpSpLocks/>
                            </wpg:cNvGrpSpPr>
                            <wpg:grpSpPr bwMode="auto">
                              <a:xfrm>
                                <a:off x="-2607" y="-4900"/>
                                <a:ext cx="5752" cy="10140"/>
                                <a:chOff x="-2607" y="-6176"/>
                                <a:chExt cx="5753" cy="10140"/>
                              </a:xfrm>
                            </wpg:grpSpPr>
                            <wps:wsp>
                              <wps:cNvPr id="24143" name="Straight Arrow Connector 207"/>
                              <wps:cNvCnPr>
                                <a:cxnSpLocks noChangeShapeType="1"/>
                              </wps:cNvCnPr>
                              <wps:spPr bwMode="auto">
                                <a:xfrm flipV="1">
                                  <a:off x="-2607" y="-6176"/>
                                  <a:ext cx="3858" cy="10002"/>
                                </a:xfrm>
                                <a:prstGeom prst="straightConnector1">
                                  <a:avLst/>
                                </a:prstGeom>
                                <a:noFill/>
                                <a:ln w="12700">
                                  <a:solidFill>
                                    <a:srgbClr val="FF0000"/>
                                  </a:solidFill>
                                  <a:prstDash val="sysDash"/>
                                  <a:miter lim="800000"/>
                                  <a:headEnd/>
                                  <a:tailEnd type="triangle" w="med" len="med"/>
                                </a:ln>
                              </wps:spPr>
                              <wps:bodyPr/>
                            </wps:wsp>
                            <wps:wsp>
                              <wps:cNvPr id="24144" name="Text Box 1643"/>
                              <wps:cNvSpPr txBox="1">
                                <a:spLocks noChangeArrowheads="1"/>
                              </wps:cNvSpPr>
                              <wps:spPr bwMode="auto">
                                <a:xfrm rot="-4238190">
                                  <a:off x="-1703" y="-884"/>
                                  <a:ext cx="5585" cy="4111"/>
                                </a:xfrm>
                                <a:prstGeom prst="rect">
                                  <a:avLst/>
                                </a:prstGeom>
                                <a:solidFill>
                                  <a:srgbClr val="FFFFFF"/>
                                </a:solidFill>
                                <a:ln>
                                  <a:noFill/>
                                </a:ln>
                              </wps:spPr>
                              <wps:txbx>
                                <w:txbxContent>
                                  <w:p w14:paraId="42942E18" w14:textId="77777777" w:rsidR="00527127" w:rsidRPr="00060483" w:rsidRDefault="00527127" w:rsidP="00147523">
                                    <w:pPr>
                                      <w:spacing w:before="0" w:line="240" w:lineRule="auto"/>
                                      <w:jc w:val="left"/>
                                      <w:rPr>
                                        <w:sz w:val="20"/>
                                        <w:szCs w:val="20"/>
                                      </w:rPr>
                                    </w:pPr>
                                    <w:r w:rsidRPr="00060483">
                                      <w:rPr>
                                        <w:sz w:val="20"/>
                                        <w:szCs w:val="20"/>
                                      </w:rPr>
                                      <w:t>Target moves 8</w:t>
                                    </w:r>
                                    <w:r w:rsidRPr="00060483">
                                      <w:rPr>
                                        <w:rFonts w:ascii="Arial" w:hAnsi="Arial" w:cs="Arial"/>
                                        <w:sz w:val="20"/>
                                        <w:szCs w:val="20"/>
                                      </w:rPr>
                                      <w:t>°</w:t>
                                    </w:r>
                                    <w:r w:rsidRPr="00060483">
                                      <w:rPr>
                                        <w:sz w:val="20"/>
                                        <w:szCs w:val="20"/>
                                      </w:rPr>
                                      <w:t xml:space="preserve"> </w:t>
                                    </w:r>
                                    <w:r w:rsidRPr="00060483">
                                      <w:rPr>
                                        <w:rFonts w:cstheme="minorHAnsi"/>
                                        <w:sz w:val="20"/>
                                        <w:szCs w:val="20"/>
                                      </w:rPr>
                                      <w:t>downward</w:t>
                                    </w:r>
                                  </w:p>
                                </w:txbxContent>
                              </wps:txbx>
                              <wps:bodyPr rot="0" vert="horz" wrap="square" lIns="0" tIns="0" rIns="0" bIns="0" anchor="t" anchorCtr="0" upright="1">
                                <a:noAutofit/>
                              </wps:bodyPr>
                            </wps:wsp>
                          </wpg:grpSp>
                          <wpg:grpSp>
                            <wpg:cNvPr id="24145" name="Group 209"/>
                            <wpg:cNvGrpSpPr>
                              <a:grpSpLocks/>
                            </wpg:cNvGrpSpPr>
                            <wpg:grpSpPr bwMode="auto">
                              <a:xfrm>
                                <a:off x="3141" y="-4735"/>
                                <a:ext cx="8970" cy="19904"/>
                                <a:chOff x="-1111" y="-4735"/>
                                <a:chExt cx="8969" cy="19904"/>
                              </a:xfrm>
                            </wpg:grpSpPr>
                            <wps:wsp>
                              <wps:cNvPr id="24146" name="Straight Arrow Connector 210"/>
                              <wps:cNvCnPr>
                                <a:cxnSpLocks noChangeShapeType="1"/>
                              </wps:cNvCnPr>
                              <wps:spPr bwMode="auto">
                                <a:xfrm>
                                  <a:off x="-1111" y="-4735"/>
                                  <a:ext cx="6548" cy="19904"/>
                                </a:xfrm>
                                <a:prstGeom prst="straightConnector1">
                                  <a:avLst/>
                                </a:prstGeom>
                                <a:noFill/>
                                <a:ln w="12700">
                                  <a:solidFill>
                                    <a:srgbClr val="FF0000"/>
                                  </a:solidFill>
                                  <a:prstDash val="sysDash"/>
                                  <a:miter lim="800000"/>
                                  <a:headEnd/>
                                  <a:tailEnd type="triangle" w="med" len="med"/>
                                </a:ln>
                              </wps:spPr>
                              <wps:bodyPr/>
                            </wps:wsp>
                            <wps:wsp>
                              <wps:cNvPr id="24147" name="Text Box 1646"/>
                              <wps:cNvSpPr txBox="1">
                                <a:spLocks noChangeArrowheads="1"/>
                              </wps:cNvSpPr>
                              <wps:spPr bwMode="auto">
                                <a:xfrm rot="-969880">
                                  <a:off x="934" y="-2512"/>
                                  <a:ext cx="6924" cy="3073"/>
                                </a:xfrm>
                                <a:prstGeom prst="rect">
                                  <a:avLst/>
                                </a:prstGeom>
                                <a:solidFill>
                                  <a:srgbClr val="FFFFFF"/>
                                </a:solidFill>
                                <a:ln>
                                  <a:noFill/>
                                </a:ln>
                              </wps:spPr>
                              <wps:txbx>
                                <w:txbxContent>
                                  <w:p w14:paraId="61D9AAA6" w14:textId="77777777" w:rsidR="00527127" w:rsidRPr="00060483" w:rsidRDefault="00527127" w:rsidP="00147523">
                                    <w:pPr>
                                      <w:spacing w:before="0" w:line="240" w:lineRule="auto"/>
                                      <w:jc w:val="left"/>
                                      <w:rPr>
                                        <w:sz w:val="20"/>
                                        <w:szCs w:val="20"/>
                                      </w:rPr>
                                    </w:pPr>
                                    <w:r w:rsidRPr="00060483">
                                      <w:rPr>
                                        <w:sz w:val="20"/>
                                        <w:szCs w:val="20"/>
                                      </w:rPr>
                                      <w:t>Target moves 16</w:t>
                                    </w:r>
                                    <w:r w:rsidRPr="00060483">
                                      <w:rPr>
                                        <w:rFonts w:cstheme="minorHAnsi"/>
                                        <w:sz w:val="20"/>
                                        <w:szCs w:val="20"/>
                                      </w:rPr>
                                      <w:t>°</w:t>
                                    </w:r>
                                    <w:r w:rsidRPr="00060483">
                                      <w:rPr>
                                        <w:sz w:val="20"/>
                                        <w:szCs w:val="20"/>
                                      </w:rPr>
                                      <w:t xml:space="preserve"> upward</w:t>
                                    </w:r>
                                  </w:p>
                                </w:txbxContent>
                              </wps:txbx>
                              <wps:bodyPr rot="0" vert="horz" wrap="square" lIns="0" tIns="0" rIns="0" bIns="0" anchor="t" anchorCtr="0" upright="1">
                                <a:noAutofit/>
                              </wps:bodyPr>
                            </wps:wsp>
                          </wpg:grpSp>
                        </wpg:grpSp>
                      </wpg:grpSp>
                      <wps:wsp>
                        <wps:cNvPr id="24148" name="Arrow: Up 212"/>
                        <wps:cNvSpPr>
                          <a:spLocks noChangeArrowheads="1"/>
                        </wps:cNvSpPr>
                        <wps:spPr bwMode="auto">
                          <a:xfrm rot="-1176863">
                            <a:off x="9117" y="18903"/>
                            <a:ext cx="1587" cy="4180"/>
                          </a:xfrm>
                          <a:prstGeom prst="upArrow">
                            <a:avLst>
                              <a:gd name="adj1" fmla="val 50000"/>
                              <a:gd name="adj2" fmla="val 50020"/>
                            </a:avLst>
                          </a:prstGeom>
                          <a:solidFill>
                            <a:srgbClr val="0000FF"/>
                          </a:solidFill>
                          <a:ln w="6350">
                            <a:solidFill>
                              <a:srgbClr val="0000FF"/>
                            </a:solidFill>
                            <a:miter lim="800000"/>
                            <a:headEnd/>
                            <a:tailEnd/>
                          </a:ln>
                        </wps:spPr>
                        <wps:bodyPr rot="0" vert="horz" wrap="square" lIns="91440" tIns="45720" rIns="91440" bIns="45720" anchor="ctr" anchorCtr="0" upright="1">
                          <a:noAutofit/>
                        </wps:bodyPr>
                      </wps:wsp>
                    </wpg:wgp>
                  </a:graphicData>
                </a:graphic>
              </wp:inline>
            </w:drawing>
          </mc:Choice>
          <mc:Fallback>
            <w:pict>
              <v:group w14:anchorId="1A824B73" id="Group 24134" o:spid="_x0000_s1294" style="width:695.25pt;height:294.05pt;mso-position-horizontal-relative:char;mso-position-vertical-relative:line" coordorigin="5561,339" coordsize="83427,33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">
                <v:group id="Group 199" o:spid="_x0000_s1295" style="position:absolute;left:5561;top:339;width:83427;height:33893" coordorigin="7392,297" coordsize="78204,2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">
                  <v:group id="Group 200" o:spid="_x0000_s1296" style="position:absolute;left:7392;top:297;width:78204;height:29695" coordorigin="6803,746" coordsize="52349,2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">
                    <v:shape id="Picture 201" o:spid="_x0000_s1297" type="#_x0000_t75" style="position:absolute;left:6803;top:1901;width:52349;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">
                      <v:imagedata r:id="rId91" o:title=""/>
                    </v:shape>
                    <v:group id="Group 202" o:spid="_x0000_s1298" style="position:absolute;left:9658;top:746;width:28599;height:16704" coordorigin="7754,1603" coordsize="28602,1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">
                      <v:shape id="Text Box 1638" o:spid="_x0000_s1299" type="#_x0000_t202" style="position:absolute;left:7754;top:15197;width:6237;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" stroked="f">
                        <v:textbox inset="0,0,0,0">
                          <w:txbxContent>
                            <w:p w14:paraId="4217A6CD" w14:textId="1A7C12A3" w:rsidR="00527127" w:rsidRPr="00060483" w:rsidRDefault="00527127" w:rsidP="00060483">
                              <w:pPr>
                                <w:spacing w:before="0" w:line="240" w:lineRule="auto"/>
                                <w:jc w:val="left"/>
                                <w:rPr>
                                  <w:sz w:val="20"/>
                                  <w:szCs w:val="20"/>
                                </w:rPr>
                              </w:pPr>
                              <w:r w:rsidRPr="00060483">
                                <w:rPr>
                                  <w:sz w:val="20"/>
                                  <w:szCs w:val="20"/>
                                </w:rPr>
                                <w:t xml:space="preserve">Target started at ≈533 </w:t>
                              </w:r>
                              <w:r>
                                <w:rPr>
                                  <w:sz w:val="20"/>
                                  <w:szCs w:val="20"/>
                                </w:rPr>
                                <w:t>PPD</w:t>
                              </w:r>
                              <w:r w:rsidRPr="00060483">
                                <w:rPr>
                                  <w:sz w:val="20"/>
                                  <w:szCs w:val="20"/>
                                </w:rPr>
                                <w:t xml:space="preserve"> on y-axis </w:t>
                              </w:r>
                            </w:p>
                            <w:p w14:paraId="2066DDB1" w14:textId="77777777" w:rsidR="00527127" w:rsidRPr="00060483" w:rsidRDefault="00527127" w:rsidP="00390EBC">
                              <w:pPr>
                                <w:rPr>
                                  <w:sz w:val="20"/>
                                  <w:szCs w:val="20"/>
                                </w:rPr>
                              </w:pPr>
                            </w:p>
                          </w:txbxContent>
                        </v:textbox>
                      </v:shape>
                      <v:shape id="Text Box 1639" o:spid="_x0000_s1300" type="#_x0000_t202" style="position:absolute;left:27257;top:1603;width:9099;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" stroked="f">
                        <v:textbox inset="0,0,0,0">
                          <w:txbxContent>
                            <w:p w14:paraId="12454184" w14:textId="5EFA90AC" w:rsidR="00527127" w:rsidRPr="00425942" w:rsidRDefault="00527127" w:rsidP="00147523">
                              <w:pPr>
                                <w:spacing w:before="0" w:after="0"/>
                              </w:pPr>
                              <w:r w:rsidRPr="00425942">
                                <w:t xml:space="preserve">Time </w:t>
                              </w:r>
                              <w:r>
                                <w:t>(</w:t>
                              </w:r>
                              <w:proofErr w:type="spellStart"/>
                              <w:r>
                                <w:t>m</w:t>
                              </w:r>
                              <w:r w:rsidRPr="00425942">
                                <w:t>s</w:t>
                              </w:r>
                              <w:proofErr w:type="spellEnd"/>
                              <w:r w:rsidRPr="00425942">
                                <w:t>)</w:t>
                              </w:r>
                            </w:p>
                          </w:txbxContent>
                        </v:textbox>
                      </v:shape>
                    </v:group>
                  </v:group>
                  <v:group id="Group 205" o:spid="_x0000_s1301" style="position:absolute;left:10899;top:6071;width:16459;height:20629" coordorigin="-2607,-4900" coordsize="14719,2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">
                    <v:group id="Group 206" o:spid="_x0000_s1302" style="position:absolute;left:-2607;top:-4900;width:5752;height:10140" coordorigin="-2607,-6176" coordsize="5753,1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">
                      <v:shape id="Straight Arrow Connector 207" o:spid="_x0000_s1303" type="#_x0000_t32" style="position:absolute;left:-2607;top:-6176;width:3858;height:100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" strokecolor="red" strokeweight="1pt">
                        <v:stroke dashstyle="3 1" endarrow="block" joinstyle="miter"/>
                      </v:shape>
                      <v:shape id="Text Box 1643" o:spid="_x0000_s1304" type="#_x0000_t202" style="position:absolute;left:-1703;top:-884;width:5585;height:4111;rotation:-46292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" stroked="f">
                        <v:textbox inset="0,0,0,0">
                          <w:txbxContent>
                            <w:p w14:paraId="42942E18" w14:textId="77777777" w:rsidR="00527127" w:rsidRPr="00060483" w:rsidRDefault="00527127" w:rsidP="00147523">
                              <w:pPr>
                                <w:spacing w:before="0" w:line="240" w:lineRule="auto"/>
                                <w:jc w:val="left"/>
                                <w:rPr>
                                  <w:sz w:val="20"/>
                                  <w:szCs w:val="20"/>
                                </w:rPr>
                              </w:pPr>
                              <w:r w:rsidRPr="00060483">
                                <w:rPr>
                                  <w:sz w:val="20"/>
                                  <w:szCs w:val="20"/>
                                </w:rPr>
                                <w:t>Target moves 8</w:t>
                              </w:r>
                              <w:r w:rsidRPr="00060483">
                                <w:rPr>
                                  <w:rFonts w:ascii="Arial" w:hAnsi="Arial" w:cs="Arial"/>
                                  <w:sz w:val="20"/>
                                  <w:szCs w:val="20"/>
                                </w:rPr>
                                <w:t>°</w:t>
                              </w:r>
                              <w:r w:rsidRPr="00060483">
                                <w:rPr>
                                  <w:sz w:val="20"/>
                                  <w:szCs w:val="20"/>
                                </w:rPr>
                                <w:t xml:space="preserve"> </w:t>
                              </w:r>
                              <w:r w:rsidRPr="00060483">
                                <w:rPr>
                                  <w:rFonts w:cstheme="minorHAnsi"/>
                                  <w:sz w:val="20"/>
                                  <w:szCs w:val="20"/>
                                </w:rPr>
                                <w:t>downward</w:t>
                              </w:r>
                            </w:p>
                          </w:txbxContent>
                        </v:textbox>
                      </v:shape>
                    </v:group>
                    <v:group id="Group 209" o:spid="_x0000_s1305" style="position:absolute;left:3141;top:-4735;width:8970;height:19904" coordorigin="-1111,-4735" coordsize="8969,19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">
                      <v:shape id="Straight Arrow Connector 210" o:spid="_x0000_s1306" type="#_x0000_t32" style="position:absolute;left:-1111;top:-4735;width:6548;height:199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" strokecolor="red" strokeweight="1pt">
                        <v:stroke dashstyle="3 1" endarrow="block" joinstyle="miter"/>
                      </v:shape>
                      <v:shape id="Text Box 1646" o:spid="_x0000_s1307" type="#_x0000_t202" style="position:absolute;left:934;top:-2512;width:6924;height:3073;rotation:-105936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" stroked="f">
                        <v:textbox inset="0,0,0,0">
                          <w:txbxContent>
                            <w:p w14:paraId="61D9AAA6" w14:textId="77777777" w:rsidR="00527127" w:rsidRPr="00060483" w:rsidRDefault="00527127" w:rsidP="00147523">
                              <w:pPr>
                                <w:spacing w:before="0" w:line="240" w:lineRule="auto"/>
                                <w:jc w:val="left"/>
                                <w:rPr>
                                  <w:sz w:val="20"/>
                                  <w:szCs w:val="20"/>
                                </w:rPr>
                              </w:pPr>
                              <w:r w:rsidRPr="00060483">
                                <w:rPr>
                                  <w:sz w:val="20"/>
                                  <w:szCs w:val="20"/>
                                </w:rPr>
                                <w:t>Target moves 16</w:t>
                              </w:r>
                              <w:r w:rsidRPr="00060483">
                                <w:rPr>
                                  <w:rFonts w:cstheme="minorHAnsi"/>
                                  <w:sz w:val="20"/>
                                  <w:szCs w:val="20"/>
                                </w:rPr>
                                <w:t>°</w:t>
                              </w:r>
                              <w:r w:rsidRPr="00060483">
                                <w:rPr>
                                  <w:sz w:val="20"/>
                                  <w:szCs w:val="20"/>
                                </w:rPr>
                                <w:t xml:space="preserve"> upward</w:t>
                              </w:r>
                            </w:p>
                          </w:txbxContent>
                        </v:textbox>
                      </v:shape>
                    </v:group>
                  </v:group>
                </v:group>
                <v:shape id="Arrow: Up 212" o:spid="_x0000_s1308" type="#_x0000_t68" style="position:absolute;left:9117;top:18903;width:1587;height:4180;rotation:-12854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" adj="4102" fillcolor="blue" strokecolor="blue" strokeweight=".5pt"/>
                <w10:anchorlock/>
              </v:group>
            </w:pict>
          </mc:Fallback>
        </mc:AlternateContent>
      </w:r>
    </w:p>
    <w:p w14:paraId="73882464" w14:textId="156487EF" w:rsidR="00547D87" w:rsidRPr="009D4627" w:rsidRDefault="00060483" w:rsidP="00C4130D">
      <w:pPr>
        <w:pStyle w:val="Caption"/>
      </w:pPr>
      <w:bookmarkStart w:id="189" w:name="_Toc98569956"/>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8</w:t>
      </w:r>
      <w:r w:rsidR="002E63E9" w:rsidRPr="009D4627">
        <w:rPr>
          <w:noProof/>
        </w:rPr>
        <w:fldChar w:fldCharType="end"/>
      </w:r>
      <w:r w:rsidRPr="009D4627">
        <w:t xml:space="preserve">: </w:t>
      </w:r>
      <w:r w:rsidR="002D48BF" w:rsidRPr="009D4627">
        <w:t>A sample of complete four cycles</w:t>
      </w:r>
      <w:r w:rsidR="002D48BF" w:rsidRPr="009D4627">
        <w:rPr>
          <w:b/>
          <w:bCs/>
        </w:rPr>
        <w:t xml:space="preserve"> </w:t>
      </w:r>
      <w:r w:rsidR="002D48BF" w:rsidRPr="009D4627">
        <w:t xml:space="preserve">sinusoidal waveform for ±8° vertical SP EMR moving at 0.25 Hz frequency = 8°/sec mean velocity. The x-axis shows the time in </w:t>
      </w:r>
      <w:proofErr w:type="spellStart"/>
      <w:r w:rsidR="002D48BF" w:rsidRPr="009D4627">
        <w:t>ms</w:t>
      </w:r>
      <w:proofErr w:type="spellEnd"/>
      <w:r w:rsidR="002D48BF" w:rsidRPr="009D4627">
        <w:t>, and the y-axis shows the pixel's target position per degree. The pixels unit was used for programming the target position. Downward target motion is represented by the upward tracing (i.e., from 574 to 191 PPD on the y-axis), and upward target motion is represented by the downward tracing (i.e., moving from 191 to 957 PPD)</w:t>
      </w:r>
      <w:r w:rsidR="00547D87" w:rsidRPr="009D4627">
        <w:t>.</w:t>
      </w:r>
      <w:bookmarkEnd w:id="189"/>
      <w:r w:rsidR="00547D87" w:rsidRPr="009D4627">
        <w:t xml:space="preserve"> </w:t>
      </w:r>
    </w:p>
    <w:p w14:paraId="432272D3" w14:textId="77777777" w:rsidR="00995825" w:rsidRPr="009D4627" w:rsidRDefault="00995825" w:rsidP="00390EBC">
      <w:pPr>
        <w:sectPr w:rsidR="00995825" w:rsidRPr="009D4627" w:rsidSect="00477959">
          <w:pgSz w:w="16838" w:h="11906" w:orient="landscape" w:code="9"/>
          <w:pgMar w:top="1440" w:right="1440" w:bottom="1440" w:left="1440" w:header="709" w:footer="709" w:gutter="0"/>
          <w:cols w:space="708"/>
          <w:docGrid w:linePitch="360"/>
        </w:sectPr>
      </w:pPr>
    </w:p>
    <w:p w14:paraId="51541BAF" w14:textId="4F5CE943" w:rsidR="00547D87" w:rsidRPr="009D4627" w:rsidRDefault="00547D87" w:rsidP="00DC4CA6">
      <w:pPr>
        <w:pStyle w:val="Heading3"/>
      </w:pPr>
      <w:bookmarkStart w:id="190" w:name="_Toc98964646"/>
      <w:bookmarkStart w:id="191" w:name="_Toc103344692"/>
      <w:r w:rsidRPr="009D4627">
        <w:lastRenderedPageBreak/>
        <w:t>Saccade</w:t>
      </w:r>
      <w:bookmarkEnd w:id="190"/>
      <w:bookmarkEnd w:id="191"/>
    </w:p>
    <w:p w14:paraId="7A43FD92" w14:textId="77B22757" w:rsidR="002D48BF" w:rsidRPr="009D4627" w:rsidRDefault="002D48BF" w:rsidP="002D48BF">
      <w:pPr>
        <w:pStyle w:val="Body"/>
      </w:pPr>
      <w:r w:rsidRPr="009D4627">
        <w:rPr>
          <w:rFonts w:eastAsia="Arial Unicode MS"/>
          <w:lang w:val="en-US"/>
        </w:rPr>
        <w:t>The testing paradigm for saccades was developed with six testing amplitudes horizontally (</w:t>
      </w:r>
      <w:r w:rsidRPr="009D4627">
        <w:rPr>
          <w:rFonts w:eastAsia="Arial Unicode MS"/>
        </w:rPr>
        <w:t>±</w:t>
      </w:r>
      <w:r w:rsidRPr="009D4627">
        <w:rPr>
          <w:rFonts w:eastAsia="Arial Unicode MS"/>
          <w:lang w:val="en-US"/>
        </w:rPr>
        <w:t xml:space="preserve"> </w:t>
      </w:r>
      <w:r w:rsidRPr="009D4627">
        <w:rPr>
          <w:rFonts w:eastAsia="Arial Unicode MS"/>
        </w:rPr>
        <w:t>5</w:t>
      </w:r>
      <w:r w:rsidRPr="00E82E69">
        <w:rPr>
          <w:rFonts w:eastAsia="Arial Unicode MS"/>
          <w:lang w:val="en-GB"/>
        </w:rPr>
        <w:t>°</w:t>
      </w:r>
      <w:r w:rsidRPr="009D4627">
        <w:rPr>
          <w:rFonts w:eastAsia="Arial Unicode MS"/>
        </w:rPr>
        <w:t>, ±</w:t>
      </w:r>
      <w:r w:rsidRPr="009D4627">
        <w:rPr>
          <w:rFonts w:eastAsia="Arial Unicode MS"/>
          <w:lang w:val="en-US"/>
        </w:rPr>
        <w:t xml:space="preserve"> </w:t>
      </w:r>
      <w:r w:rsidRPr="009D4627">
        <w:rPr>
          <w:rFonts w:eastAsia="Arial Unicode MS"/>
        </w:rPr>
        <w:t>10</w:t>
      </w:r>
      <w:r w:rsidRPr="00E82E69">
        <w:rPr>
          <w:rFonts w:eastAsia="Arial Unicode MS"/>
          <w:lang w:val="en-GB"/>
        </w:rPr>
        <w:t xml:space="preserve">° </w:t>
      </w:r>
      <w:r w:rsidRPr="009D4627">
        <w:rPr>
          <w:rFonts w:eastAsia="Arial Unicode MS"/>
          <w:lang w:val="en-US"/>
        </w:rPr>
        <w:t xml:space="preserve">and </w:t>
      </w:r>
      <w:r w:rsidRPr="009D4627">
        <w:rPr>
          <w:rFonts w:eastAsia="Arial Unicode MS"/>
        </w:rPr>
        <w:t>±</w:t>
      </w:r>
      <w:r w:rsidRPr="009D4627">
        <w:rPr>
          <w:rFonts w:eastAsia="Arial Unicode MS"/>
          <w:lang w:val="en-US"/>
        </w:rPr>
        <w:t xml:space="preserve"> </w:t>
      </w:r>
      <w:r w:rsidRPr="009D4627">
        <w:rPr>
          <w:rFonts w:eastAsia="Arial Unicode MS"/>
        </w:rPr>
        <w:t>15</w:t>
      </w:r>
      <w:r w:rsidRPr="00E82E69">
        <w:rPr>
          <w:rFonts w:eastAsia="Arial Unicode MS"/>
          <w:lang w:val="en-GB"/>
        </w:rPr>
        <w:t>°</w:t>
      </w:r>
      <w:r w:rsidRPr="009D4627">
        <w:rPr>
          <w:rFonts w:eastAsia="Arial Unicode MS"/>
          <w:lang w:val="en-US"/>
        </w:rPr>
        <w:t>) and six vertically (</w:t>
      </w:r>
      <w:r w:rsidRPr="009D4627">
        <w:rPr>
          <w:rFonts w:eastAsia="Arial Unicode MS"/>
        </w:rPr>
        <w:t>±</w:t>
      </w:r>
      <w:r w:rsidRPr="009D4627">
        <w:rPr>
          <w:rFonts w:eastAsia="Arial Unicode MS"/>
          <w:lang w:val="en-US"/>
        </w:rPr>
        <w:t xml:space="preserve"> </w:t>
      </w:r>
      <w:r w:rsidRPr="009D4627">
        <w:rPr>
          <w:rFonts w:eastAsia="Arial Unicode MS"/>
        </w:rPr>
        <w:t>4</w:t>
      </w:r>
      <w:r w:rsidRPr="00E82E69">
        <w:rPr>
          <w:rFonts w:eastAsia="Arial Unicode MS"/>
          <w:lang w:val="en-GB"/>
        </w:rPr>
        <w:t>°</w:t>
      </w:r>
      <w:r w:rsidRPr="009D4627">
        <w:rPr>
          <w:rFonts w:eastAsia="Arial Unicode MS"/>
        </w:rPr>
        <w:t>, ±</w:t>
      </w:r>
      <w:r w:rsidRPr="009D4627">
        <w:rPr>
          <w:rFonts w:eastAsia="Arial Unicode MS"/>
          <w:lang w:val="en-US"/>
        </w:rPr>
        <w:t xml:space="preserve"> </w:t>
      </w:r>
      <w:r w:rsidRPr="009D4627">
        <w:rPr>
          <w:rFonts w:eastAsia="Arial Unicode MS"/>
        </w:rPr>
        <w:t>6</w:t>
      </w:r>
      <w:r w:rsidRPr="00E82E69">
        <w:rPr>
          <w:rFonts w:eastAsia="Arial Unicode MS"/>
          <w:lang w:val="en-GB"/>
        </w:rPr>
        <w:t xml:space="preserve">° </w:t>
      </w:r>
      <w:r w:rsidRPr="009D4627">
        <w:rPr>
          <w:rFonts w:eastAsia="Arial Unicode MS"/>
          <w:lang w:val="en-US"/>
        </w:rPr>
        <w:t xml:space="preserve">and </w:t>
      </w:r>
      <w:r w:rsidRPr="009D4627">
        <w:rPr>
          <w:rFonts w:eastAsia="Arial Unicode MS"/>
        </w:rPr>
        <w:t>±</w:t>
      </w:r>
      <w:r w:rsidRPr="009D4627">
        <w:rPr>
          <w:rFonts w:eastAsia="Arial Unicode MS"/>
          <w:lang w:val="en-US"/>
        </w:rPr>
        <w:t xml:space="preserve"> </w:t>
      </w:r>
      <w:r w:rsidRPr="009D4627">
        <w:rPr>
          <w:rFonts w:eastAsia="Arial Unicode MS"/>
        </w:rPr>
        <w:t>8</w:t>
      </w:r>
      <w:r w:rsidRPr="00E82E69">
        <w:rPr>
          <w:rFonts w:eastAsia="Arial Unicode MS"/>
          <w:lang w:val="en-GB"/>
        </w:rPr>
        <w:t>°</w:t>
      </w:r>
      <w:r w:rsidRPr="009D4627">
        <w:rPr>
          <w:rFonts w:eastAsia="Arial Unicode MS"/>
          <w:lang w:val="en-US"/>
        </w:rPr>
        <w:t xml:space="preserve">), as shown in Figure 2.9 A and B. </w:t>
      </w:r>
      <w:r w:rsidR="005B7450" w:rsidRPr="005B7450">
        <w:rPr>
          <w:rFonts w:eastAsia="Arial Unicode MS"/>
          <w:color w:val="auto"/>
          <w:lang w:val="en-US"/>
        </w:rPr>
        <w:t xml:space="preserve">For each amplitude, the target was presented repeatedly in a </w:t>
      </w:r>
      <w:proofErr w:type="spellStart"/>
      <w:r w:rsidR="005B7450" w:rsidRPr="005B7450">
        <w:rPr>
          <w:rFonts w:eastAsia="Arial Unicode MS"/>
          <w:color w:val="auto"/>
          <w:lang w:val="en-US"/>
        </w:rPr>
        <w:t>randomised</w:t>
      </w:r>
      <w:proofErr w:type="spellEnd"/>
      <w:r w:rsidR="005B7450" w:rsidRPr="005B7450">
        <w:rPr>
          <w:rFonts w:eastAsia="Arial Unicode MS"/>
          <w:color w:val="auto"/>
          <w:lang w:val="en-US"/>
        </w:rPr>
        <w:t xml:space="preserve"> sequence, resulting in a total of 72 saccades (12 trials x 6 amplitudes = 72 trials).</w:t>
      </w:r>
      <w:r w:rsidR="005B7450">
        <w:rPr>
          <w:rFonts w:eastAsia="Arial Unicode MS"/>
          <w:color w:val="auto"/>
          <w:lang w:val="en-US"/>
        </w:rPr>
        <w:t xml:space="preserve"> </w:t>
      </w:r>
      <w:r w:rsidR="00C93EDD" w:rsidRPr="009D4627">
        <w:rPr>
          <w:rFonts w:eastAsia="Arial Unicode MS"/>
          <w:lang w:val="en-US"/>
        </w:rPr>
        <w:t xml:space="preserve">The saccadic target was </w:t>
      </w:r>
      <w:proofErr w:type="spellStart"/>
      <w:r w:rsidR="00C93EDD" w:rsidRPr="009D4627">
        <w:rPr>
          <w:rFonts w:eastAsia="Arial Unicode MS"/>
          <w:lang w:val="en-US"/>
        </w:rPr>
        <w:t>randomised</w:t>
      </w:r>
      <w:proofErr w:type="spellEnd"/>
      <w:r w:rsidR="00C93EDD" w:rsidRPr="009D4627">
        <w:rPr>
          <w:rFonts w:eastAsia="Arial Unicode MS"/>
          <w:lang w:val="en-US"/>
        </w:rPr>
        <w:t xml:space="preserve"> in terms of amplitude orders and duration of time spent at the eccentric point, at intervals ranging from 1 to 2 seconds. </w:t>
      </w:r>
      <w:r w:rsidRPr="009D4627">
        <w:rPr>
          <w:rFonts w:eastAsia="Arial Unicode MS"/>
          <w:lang w:val="en-US"/>
        </w:rPr>
        <w:t>A</w:t>
      </w:r>
      <w:r w:rsidRPr="00E82E69">
        <w:rPr>
          <w:rFonts w:eastAsia="Arial Unicode MS"/>
          <w:lang w:val="en-GB"/>
        </w:rPr>
        <w:t xml:space="preserve"> maximum horizontal saccade amplitude of </w:t>
      </w:r>
      <w:r w:rsidRPr="009D4627">
        <w:rPr>
          <w:rFonts w:eastAsia="Arial Unicode MS"/>
        </w:rPr>
        <w:t>±</w:t>
      </w:r>
      <w:r w:rsidRPr="009D4627">
        <w:rPr>
          <w:rFonts w:eastAsia="Arial Unicode MS"/>
          <w:lang w:val="en-US"/>
        </w:rPr>
        <w:t xml:space="preserve"> </w:t>
      </w:r>
      <w:r w:rsidRPr="009D4627">
        <w:rPr>
          <w:rFonts w:eastAsia="Arial Unicode MS"/>
        </w:rPr>
        <w:t>15</w:t>
      </w:r>
      <w:r w:rsidRPr="00E82E69">
        <w:rPr>
          <w:rFonts w:eastAsia="Arial Unicode MS"/>
          <w:lang w:val="en-GB"/>
        </w:rPr>
        <w:t xml:space="preserve">° </w:t>
      </w:r>
      <w:r w:rsidRPr="009D4627">
        <w:rPr>
          <w:rFonts w:eastAsia="Arial Unicode MS"/>
          <w:lang w:val="en-US"/>
        </w:rPr>
        <w:t>was selected to accommodate the display screen size and patient distance, as illustrated in Figure 2.1. It has been reported that the most naturally occurring horizontal saccades occur</w:t>
      </w:r>
      <w:r w:rsidRPr="009D4627">
        <w:rPr>
          <w:rFonts w:eastAsia="Arial Unicode MS"/>
          <w:lang w:val="da-DK"/>
        </w:rPr>
        <w:t xml:space="preserve"> at </w:t>
      </w:r>
      <w:r w:rsidRPr="009D4627">
        <w:rPr>
          <w:rFonts w:eastAsia="Arial Unicode MS"/>
          <w:lang w:val="en-US"/>
        </w:rPr>
        <w:t>an amplitude of 15</w:t>
      </w:r>
      <w:r w:rsidRPr="00E82E69">
        <w:rPr>
          <w:rFonts w:eastAsia="Arial Unicode MS"/>
          <w:lang w:val="en-GB"/>
        </w:rPr>
        <w:t xml:space="preserve">° </w:t>
      </w:r>
      <w:r w:rsidRPr="009D4627">
        <w:fldChar w:fldCharType="begin"/>
      </w:r>
      <w:r w:rsidR="004000DD" w:rsidRPr="009D4627">
        <w:instrText xml:space="preserve"> ADDIN EN.CITE &lt;EndNote&gt;&lt;Cite&gt;&lt;Author&gt;Bahill&lt;/Author&gt;&lt;Year&gt;1975&lt;/Year&gt;&lt;DisplayText&gt;(A.T. Bahill et al., 1975)&lt;/DisplayText&gt;&lt;record&gt;&lt;titles&gt;&lt;title&gt;Most naturally occurring human saccades have magnitudes of 15 degrees or less.&lt;/title&gt;&lt;/titles&gt;&lt;titles&gt;&lt;secondary-title&gt;&lt;style font="default" size="100%"&gt;I&lt;/style&gt;&lt;style face="italic" font="default" size="100%"&gt;nvestigative Ophthalmology &amp;amp; Visual Science&lt;/style&gt;&lt;/secondary-title&gt;&lt;/titles&gt;&lt;pages&gt;468-469    &lt;/pages&gt;&lt;number&gt;6&lt;/number&gt;&lt;contributors&gt;&lt;authors&gt;&lt;author&gt;Bahill, A.T.&lt;/author&gt;&lt;author&gt;Adler, D.&lt;/author&gt;&lt;author&gt;Stark, L.&lt;/author&gt;&lt;/authors&gt;&lt;/contributors&gt;&lt;added-date format="utc"&gt;1582629240&lt;/added-date&gt;&lt;ref-type name="Journal Article"&gt;17&lt;/ref-type&gt;&lt;dates&gt;&lt;year&gt;1975&lt;/year&gt;&lt;/dates&gt;&lt;rec-number&gt;652&lt;/rec-number&gt;&lt;last-updated-date format="utc"&gt;1582629498&lt;/last-updated-date&gt;&lt;volume&gt;&lt;style font="default" size="100%"&gt;1&lt;/style&gt;&lt;style face="italic" font="default" size="100%"&gt;4&lt;/style&gt;&lt;/volume&gt;&lt;num-vols&gt;6   &lt;/num-vols&gt;&lt;/record&gt;&lt;/Cite&gt;&lt;/EndNote&gt;</w:instrText>
      </w:r>
      <w:r w:rsidRPr="009D4627">
        <w:fldChar w:fldCharType="separate"/>
      </w:r>
      <w:r w:rsidR="004000DD" w:rsidRPr="009D4627">
        <w:rPr>
          <w:noProof/>
        </w:rPr>
        <w:t>(A.T. Bahill et al., 1975)</w:t>
      </w:r>
      <w:r w:rsidRPr="009D4627">
        <w:fldChar w:fldCharType="end"/>
      </w:r>
      <w:r w:rsidRPr="009D4627">
        <w:rPr>
          <w:rFonts w:eastAsia="Arial Unicode MS"/>
        </w:rPr>
        <w:t xml:space="preserve">. </w:t>
      </w:r>
    </w:p>
    <w:p w14:paraId="67FFFEA1" w14:textId="14459F60" w:rsidR="004D6A1D" w:rsidRPr="009D4627" w:rsidRDefault="002D48BF" w:rsidP="002D48BF">
      <w:r w:rsidRPr="009D4627">
        <w:rPr>
          <w:rFonts w:eastAsia="Arial Unicode MS"/>
          <w:lang w:val="en-US"/>
        </w:rPr>
        <w:t xml:space="preserve">The EMR started with a calibration and validation test, as described in section 2.2.2. The participants were instructed to look at the white square target in the </w:t>
      </w:r>
      <w:proofErr w:type="spellStart"/>
      <w:r w:rsidRPr="009D4627">
        <w:rPr>
          <w:rFonts w:eastAsia="Arial Unicode MS"/>
          <w:lang w:val="en-US"/>
        </w:rPr>
        <w:t>centre</w:t>
      </w:r>
      <w:proofErr w:type="spellEnd"/>
      <w:r w:rsidRPr="009D4627">
        <w:rPr>
          <w:rFonts w:eastAsia="Arial Unicode MS"/>
          <w:lang w:val="en-US"/>
        </w:rPr>
        <w:t xml:space="preserve"> of the black cross (Figure 2.</w:t>
      </w:r>
      <w:r w:rsidR="008D37EF" w:rsidRPr="009D4627">
        <w:rPr>
          <w:rFonts w:eastAsia="Arial Unicode MS"/>
          <w:lang w:val="en-US"/>
        </w:rPr>
        <w:t>4</w:t>
      </w:r>
      <w:r w:rsidRPr="009D4627">
        <w:rPr>
          <w:rFonts w:eastAsia="Arial Unicode MS"/>
          <w:lang w:val="en-US"/>
        </w:rPr>
        <w:t>). The participants had the test procedure explained in detail before the EMR. The participants were informed that this EMR was designed to study the natural fast eye movements</w:t>
      </w:r>
      <w:r w:rsidR="00EC745C" w:rsidRPr="009D4627">
        <w:rPr>
          <w:rFonts w:eastAsia="Arial Unicode MS"/>
          <w:lang w:val="en-US"/>
        </w:rPr>
        <w:t xml:space="preserve">. A black cross target appears in the </w:t>
      </w:r>
      <w:proofErr w:type="spellStart"/>
      <w:r w:rsidR="00EC745C" w:rsidRPr="009D4627">
        <w:rPr>
          <w:rFonts w:eastAsia="Arial Unicode MS"/>
          <w:lang w:val="en-US"/>
        </w:rPr>
        <w:t>centre</w:t>
      </w:r>
      <w:proofErr w:type="spellEnd"/>
      <w:r w:rsidR="00EC745C" w:rsidRPr="009D4627">
        <w:rPr>
          <w:rFonts w:eastAsia="Arial Unicode MS"/>
          <w:lang w:val="en-US"/>
        </w:rPr>
        <w:t xml:space="preserve"> of the screen for a random period between 1 to 2 seconds before disappearing and suddenly jumping either left or right (for horizontal testing) or up and down (for vertical testing)</w:t>
      </w:r>
      <w:r w:rsidRPr="009D4627">
        <w:rPr>
          <w:rFonts w:eastAsia="Arial Unicode MS"/>
          <w:lang w:val="en-US"/>
        </w:rPr>
        <w:t xml:space="preserve">. It could jump close to the </w:t>
      </w:r>
      <w:proofErr w:type="spellStart"/>
      <w:r w:rsidRPr="009D4627">
        <w:rPr>
          <w:rFonts w:eastAsia="Arial Unicode MS"/>
          <w:lang w:val="en-US"/>
        </w:rPr>
        <w:t>centre</w:t>
      </w:r>
      <w:proofErr w:type="spellEnd"/>
      <w:r w:rsidRPr="009D4627">
        <w:rPr>
          <w:rFonts w:eastAsia="Arial Unicode MS"/>
          <w:lang w:val="en-US"/>
        </w:rPr>
        <w:t xml:space="preserve"> position or towards the edge of the screen. The participants were instructed to be aware and stay focused to avoid missing any target presentation at eccentric positions.  They had to move their eyes as quickly as possible onto the new target position at the eccentric position on the display monitor and accurately focus on the tiny white box at the </w:t>
      </w:r>
      <w:proofErr w:type="spellStart"/>
      <w:r w:rsidRPr="009D4627">
        <w:rPr>
          <w:rFonts w:eastAsia="Arial Unicode MS"/>
          <w:lang w:val="en-US"/>
        </w:rPr>
        <w:t>centre</w:t>
      </w:r>
      <w:proofErr w:type="spellEnd"/>
      <w:r w:rsidRPr="009D4627">
        <w:rPr>
          <w:rFonts w:eastAsia="Arial Unicode MS"/>
          <w:lang w:val="en-US"/>
        </w:rPr>
        <w:t xml:space="preserve"> of the black cross.  At the same time, they were reminded to avoid trying to guess where the next target presentation would occur</w:t>
      </w:r>
      <w:r w:rsidRPr="009D4627">
        <w:rPr>
          <w:rFonts w:eastAsia="Arial Unicode MS"/>
        </w:rPr>
        <w:t xml:space="preserve">. </w:t>
      </w:r>
      <w:r w:rsidRPr="009D4627">
        <w:rPr>
          <w:rFonts w:eastAsia="Arial Unicode MS"/>
          <w:lang w:val="en-US"/>
        </w:rPr>
        <w:t>This</w:t>
      </w:r>
      <w:r w:rsidRPr="009D4627">
        <w:rPr>
          <w:rFonts w:eastAsia="Arial Unicode MS"/>
        </w:rPr>
        <w:t xml:space="preserve"> </w:t>
      </w:r>
      <w:r w:rsidRPr="009D4627">
        <w:rPr>
          <w:rFonts w:eastAsia="Arial Unicode MS"/>
          <w:lang w:val="en-US"/>
        </w:rPr>
        <w:t>was</w:t>
      </w:r>
      <w:r w:rsidRPr="00E82E69">
        <w:rPr>
          <w:rFonts w:eastAsia="Arial Unicode MS"/>
        </w:rPr>
        <w:t xml:space="preserve"> crucial </w:t>
      </w:r>
      <w:r w:rsidRPr="009D4627">
        <w:rPr>
          <w:rFonts w:eastAsia="Arial Unicode MS"/>
          <w:lang w:val="en-US"/>
        </w:rPr>
        <w:t>to measure visually triggered saccadic eye movements’</w:t>
      </w:r>
      <w:r w:rsidRPr="00E82E69">
        <w:rPr>
          <w:rFonts w:eastAsia="Arial Unicode MS"/>
        </w:rPr>
        <w:t xml:space="preserve"> actual performance, avoiding anticipatory </w:t>
      </w:r>
      <w:proofErr w:type="spellStart"/>
      <w:r w:rsidRPr="00E82E69">
        <w:rPr>
          <w:rFonts w:eastAsia="Arial Unicode MS"/>
        </w:rPr>
        <w:t>saccad</w:t>
      </w:r>
      <w:r w:rsidRPr="009D4627">
        <w:rPr>
          <w:rFonts w:eastAsia="Arial Unicode MS"/>
          <w:lang w:val="en-US"/>
        </w:rPr>
        <w:t>ic</w:t>
      </w:r>
      <w:proofErr w:type="spellEnd"/>
      <w:r w:rsidRPr="009D4627">
        <w:rPr>
          <w:rFonts w:eastAsia="Arial Unicode MS"/>
          <w:lang w:val="en-US"/>
        </w:rPr>
        <w:t xml:space="preserve"> movements.</w:t>
      </w:r>
      <w:r w:rsidR="004D6A1D" w:rsidRPr="009D4627">
        <w:t xml:space="preserve"> </w:t>
      </w:r>
    </w:p>
    <w:p w14:paraId="004F6C92" w14:textId="2C713FA6" w:rsidR="00547D87" w:rsidRPr="009D4627" w:rsidRDefault="00A2792E" w:rsidP="00C4130D">
      <w:pPr>
        <w:pStyle w:val="Caption"/>
      </w:pPr>
      <w:bookmarkStart w:id="192" w:name="_Toc98569957"/>
      <w:r w:rsidRPr="009D4627">
        <w:rPr>
          <w:noProof/>
        </w:rPr>
        <w:lastRenderedPageBreak/>
        <mc:AlternateContent>
          <mc:Choice Requires="wpg">
            <w:drawing>
              <wp:anchor distT="0" distB="0" distL="114300" distR="114300" simplePos="0" relativeHeight="251629568" behindDoc="1" locked="0" layoutInCell="1" allowOverlap="1" wp14:anchorId="2C53FEEE" wp14:editId="614A6799">
                <wp:simplePos x="0" y="0"/>
                <wp:positionH relativeFrom="margin">
                  <wp:posOffset>183515</wp:posOffset>
                </wp:positionH>
                <wp:positionV relativeFrom="paragraph">
                  <wp:posOffset>0</wp:posOffset>
                </wp:positionV>
                <wp:extent cx="5314950" cy="5200650"/>
                <wp:effectExtent l="0" t="0" r="0" b="0"/>
                <wp:wrapTight wrapText="bothSides">
                  <wp:wrapPolygon edited="0">
                    <wp:start x="0" y="0"/>
                    <wp:lineTo x="0" y="21600"/>
                    <wp:lineTo x="21600" y="21600"/>
                    <wp:lineTo x="21600" y="0"/>
                    <wp:lineTo x="0" y="0"/>
                  </wp:wrapPolygon>
                </wp:wrapTight>
                <wp:docPr id="24067" name="Group 24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4950" cy="5200650"/>
                          <a:chOff x="0" y="0"/>
                          <a:chExt cx="53149" cy="56388"/>
                        </a:xfrm>
                      </wpg:grpSpPr>
                      <wpg:grpSp>
                        <wpg:cNvPr id="24068" name="Group 214"/>
                        <wpg:cNvGrpSpPr>
                          <a:grpSpLocks/>
                        </wpg:cNvGrpSpPr>
                        <wpg:grpSpPr bwMode="auto">
                          <a:xfrm>
                            <a:off x="0" y="0"/>
                            <a:ext cx="53149" cy="56388"/>
                            <a:chOff x="0" y="0"/>
                            <a:chExt cx="53149" cy="56388"/>
                          </a:xfrm>
                        </wpg:grpSpPr>
                        <wps:wsp>
                          <wps:cNvPr id="24069" name="Straight Connector 215"/>
                          <wps:cNvCnPr>
                            <a:cxnSpLocks noChangeShapeType="1"/>
                          </wps:cNvCnPr>
                          <wps:spPr bwMode="auto">
                            <a:xfrm>
                              <a:off x="95" y="9334"/>
                              <a:ext cx="53054" cy="0"/>
                            </a:xfrm>
                            <a:prstGeom prst="line">
                              <a:avLst/>
                            </a:prstGeom>
                            <a:noFill/>
                            <a:ln w="3175">
                              <a:solidFill>
                                <a:schemeClr val="tx1">
                                  <a:lumMod val="100000"/>
                                  <a:lumOff val="0"/>
                                </a:schemeClr>
                              </a:solidFill>
                              <a:miter lim="800000"/>
                              <a:headEnd/>
                              <a:tailEnd/>
                            </a:ln>
                          </wps:spPr>
                          <wps:bodyPr/>
                        </wps:wsp>
                        <wpg:grpSp>
                          <wpg:cNvPr id="24070" name="Group 1569"/>
                          <wpg:cNvGrpSpPr>
                            <a:grpSpLocks/>
                          </wpg:cNvGrpSpPr>
                          <wpg:grpSpPr bwMode="auto">
                            <a:xfrm>
                              <a:off x="0" y="0"/>
                              <a:ext cx="53149" cy="56388"/>
                              <a:chOff x="0" y="1809"/>
                              <a:chExt cx="53149" cy="56388"/>
                            </a:xfrm>
                          </wpg:grpSpPr>
                          <wps:wsp>
                            <wps:cNvPr id="24071" name="Rectangle 217"/>
                            <wps:cNvSpPr>
                              <a:spLocks noChangeArrowheads="1"/>
                            </wps:cNvSpPr>
                            <wps:spPr bwMode="auto">
                              <a:xfrm>
                                <a:off x="0" y="1809"/>
                                <a:ext cx="53149" cy="56388"/>
                              </a:xfrm>
                              <a:prstGeom prst="rect">
                                <a:avLst/>
                              </a:prstGeom>
                              <a:noFill/>
                              <a:ln w="635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4072" name="Group 218"/>
                            <wpg:cNvGrpSpPr>
                              <a:grpSpLocks/>
                            </wpg:cNvGrpSpPr>
                            <wpg:grpSpPr bwMode="auto">
                              <a:xfrm>
                                <a:off x="952" y="2476"/>
                                <a:ext cx="50984" cy="53867"/>
                                <a:chOff x="0" y="0"/>
                                <a:chExt cx="50984" cy="53867"/>
                              </a:xfrm>
                            </wpg:grpSpPr>
                            <wpg:grpSp>
                              <wpg:cNvPr id="24073" name="Group 219"/>
                              <wpg:cNvGrpSpPr>
                                <a:grpSpLocks/>
                              </wpg:cNvGrpSpPr>
                              <wpg:grpSpPr bwMode="auto">
                                <a:xfrm>
                                  <a:off x="0" y="0"/>
                                  <a:ext cx="50984" cy="6306"/>
                                  <a:chOff x="0" y="0"/>
                                  <a:chExt cx="50984" cy="6306"/>
                                </a:xfrm>
                              </wpg:grpSpPr>
                              <wps:wsp>
                                <wps:cNvPr id="24074" name="Rectangle 220"/>
                                <wps:cNvSpPr>
                                  <a:spLocks noChangeArrowheads="1"/>
                                </wps:cNvSpPr>
                                <wps:spPr bwMode="auto">
                                  <a:xfrm>
                                    <a:off x="0" y="0"/>
                                    <a:ext cx="2000" cy="2571"/>
                                  </a:xfrm>
                                  <a:prstGeom prst="rect">
                                    <a:avLst/>
                                  </a:prstGeom>
                                  <a:noFill/>
                                  <a:ln>
                                    <a:noFill/>
                                  </a:ln>
                                </wps:spPr>
                                <wps:txbx>
                                  <w:txbxContent>
                                    <w:p w14:paraId="731DEBCF" w14:textId="09C50F3A" w:rsidR="00527127" w:rsidRPr="00EE0AD3" w:rsidRDefault="00527127" w:rsidP="00147523">
                                      <w:pPr>
                                        <w:spacing w:before="0" w:line="240" w:lineRule="auto"/>
                                        <w:rPr>
                                          <w:lang w:val="en-US"/>
                                        </w:rPr>
                                      </w:pPr>
                                      <w:r>
                                        <w:rPr>
                                          <w:lang w:val="en-US"/>
                                        </w:rPr>
                                        <w:t>A)</w:t>
                                      </w:r>
                                    </w:p>
                                  </w:txbxContent>
                                </wps:txbx>
                                <wps:bodyPr rot="0" vert="horz" wrap="square" lIns="0" tIns="0" rIns="0" bIns="0" anchor="ctr" anchorCtr="0" upright="1">
                                  <a:noAutofit/>
                                </wps:bodyPr>
                              </wps:wsp>
                              <wpg:grpSp>
                                <wpg:cNvPr id="24075" name="Group 221"/>
                                <wpg:cNvGrpSpPr>
                                  <a:grpSpLocks/>
                                </wpg:cNvGrpSpPr>
                                <wpg:grpSpPr bwMode="auto">
                                  <a:xfrm>
                                    <a:off x="3048" y="476"/>
                                    <a:ext cx="47936" cy="5830"/>
                                    <a:chOff x="0" y="0"/>
                                    <a:chExt cx="47940" cy="5831"/>
                                  </a:xfrm>
                                </wpg:grpSpPr>
                                <wpg:grpSp>
                                  <wpg:cNvPr id="24076" name="Group 222"/>
                                  <wpg:cNvGrpSpPr>
                                    <a:grpSpLocks/>
                                  </wpg:cNvGrpSpPr>
                                  <wpg:grpSpPr bwMode="auto">
                                    <a:xfrm>
                                      <a:off x="19337" y="0"/>
                                      <a:ext cx="9505" cy="5831"/>
                                      <a:chOff x="-3703" y="0"/>
                                      <a:chExt cx="9364" cy="5688"/>
                                    </a:xfrm>
                                  </wpg:grpSpPr>
                                  <wps:wsp>
                                    <wps:cNvPr id="24077" name="Rectangle 223"/>
                                    <wps:cNvSpPr>
                                      <a:spLocks noChangeArrowheads="1"/>
                                    </wps:cNvSpPr>
                                    <wps:spPr bwMode="auto">
                                      <a:xfrm>
                                        <a:off x="-3703" y="3229"/>
                                        <a:ext cx="9363" cy="2459"/>
                                      </a:xfrm>
                                      <a:prstGeom prst="rect">
                                        <a:avLst/>
                                      </a:prstGeom>
                                      <a:solidFill>
                                        <a:schemeClr val="lt1">
                                          <a:lumMod val="100000"/>
                                          <a:lumOff val="0"/>
                                        </a:schemeClr>
                                      </a:solidFill>
                                      <a:ln>
                                        <a:noFill/>
                                      </a:ln>
                                    </wps:spPr>
                                    <wps:txbx>
                                      <w:txbxContent>
                                        <w:p w14:paraId="085230AF" w14:textId="2F44CB36" w:rsidR="00527127" w:rsidRPr="004D6A1D" w:rsidRDefault="00527127" w:rsidP="004D6A1D">
                                          <w:pPr>
                                            <w:spacing w:before="0" w:after="0" w:line="240" w:lineRule="auto"/>
                                            <w:jc w:val="center"/>
                                            <w:rPr>
                                              <w:sz w:val="22"/>
                                              <w:szCs w:val="22"/>
                                            </w:rPr>
                                          </w:pPr>
                                          <w:r>
                                            <w:rPr>
                                              <w:sz w:val="22"/>
                                              <w:szCs w:val="22"/>
                                            </w:rPr>
                                            <w:t>PP</w:t>
                                          </w:r>
                                        </w:p>
                                        <w:p w14:paraId="54225ACD" w14:textId="77777777" w:rsidR="00527127" w:rsidRPr="004D6A1D" w:rsidRDefault="00527127" w:rsidP="00390EBC">
                                          <w:pPr>
                                            <w:rPr>
                                              <w:sz w:val="22"/>
                                              <w:szCs w:val="22"/>
                                            </w:rPr>
                                          </w:pPr>
                                        </w:p>
                                      </w:txbxContent>
                                    </wps:txbx>
                                    <wps:bodyPr rot="0" vert="horz" wrap="square" lIns="0" tIns="0" rIns="0" bIns="0" anchor="ctr" anchorCtr="0" upright="1">
                                      <a:noAutofit/>
                                    </wps:bodyPr>
                                  </wps:wsp>
                                  <pic:pic xmlns:pic="http://schemas.openxmlformats.org/drawingml/2006/picture">
                                    <pic:nvPicPr>
                                      <pic:cNvPr id="24078" name="Shape 55"/>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44" cy="2838"/>
                                      </a:xfrm>
                                      <a:prstGeom prst="rect">
                                        <a:avLst/>
                                      </a:prstGeom>
                                      <a:noFill/>
                                    </pic:spPr>
                                  </pic:pic>
                                </wpg:grpSp>
                                <wpg:grpSp>
                                  <wpg:cNvPr id="24079" name="Group 225"/>
                                  <wpg:cNvGrpSpPr>
                                    <a:grpSpLocks/>
                                  </wpg:cNvGrpSpPr>
                                  <wpg:grpSpPr bwMode="auto">
                                    <a:xfrm>
                                      <a:off x="7716" y="0"/>
                                      <a:ext cx="2921" cy="5289"/>
                                      <a:chOff x="8539" y="0"/>
                                      <a:chExt cx="2878" cy="5161"/>
                                    </a:xfrm>
                                  </wpg:grpSpPr>
                                  <wps:wsp>
                                    <wps:cNvPr id="24080" name="Rectangle 226"/>
                                    <wps:cNvSpPr>
                                      <a:spLocks noChangeArrowheads="1"/>
                                    </wps:cNvSpPr>
                                    <wps:spPr bwMode="auto">
                                      <a:xfrm>
                                        <a:off x="8539" y="3347"/>
                                        <a:ext cx="2706" cy="1814"/>
                                      </a:xfrm>
                                      <a:prstGeom prst="rect">
                                        <a:avLst/>
                                      </a:prstGeom>
                                      <a:solidFill>
                                        <a:schemeClr val="lt1">
                                          <a:lumMod val="100000"/>
                                          <a:lumOff val="0"/>
                                        </a:schemeClr>
                                      </a:solidFill>
                                      <a:ln>
                                        <a:noFill/>
                                      </a:ln>
                                    </wps:spPr>
                                    <wps:txbx>
                                      <w:txbxContent>
                                        <w:p w14:paraId="04F4CC5D" w14:textId="77777777" w:rsidR="00527127" w:rsidRDefault="00527127" w:rsidP="004D6A1D">
                                          <w:pPr>
                                            <w:spacing w:before="0"/>
                                          </w:pPr>
                                          <w:r>
                                            <w:t xml:space="preserve">-10° </w:t>
                                          </w:r>
                                        </w:p>
                                      </w:txbxContent>
                                    </wps:txbx>
                                    <wps:bodyPr rot="0" vert="horz" wrap="square" lIns="0" tIns="0" rIns="0" bIns="0" anchor="ctr" anchorCtr="0" upright="1">
                                      <a:noAutofit/>
                                    </wps:bodyPr>
                                  </wps:wsp>
                                  <pic:pic xmlns:pic="http://schemas.openxmlformats.org/drawingml/2006/picture">
                                    <pic:nvPicPr>
                                      <pic:cNvPr id="24081"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572" y="0"/>
                                        <a:ext cx="2845" cy="2838"/>
                                      </a:xfrm>
                                      <a:prstGeom prst="rect">
                                        <a:avLst/>
                                      </a:prstGeom>
                                      <a:noFill/>
                                    </pic:spPr>
                                  </pic:pic>
                                </wpg:grpSp>
                                <wpg:grpSp>
                                  <wpg:cNvPr id="24082" name="Group 230"/>
                                  <wpg:cNvGrpSpPr>
                                    <a:grpSpLocks/>
                                  </wpg:cNvGrpSpPr>
                                  <wpg:grpSpPr bwMode="auto">
                                    <a:xfrm>
                                      <a:off x="36945" y="0"/>
                                      <a:ext cx="3753" cy="5289"/>
                                      <a:chOff x="-568" y="95"/>
                                      <a:chExt cx="3699" cy="5161"/>
                                    </a:xfrm>
                                  </wpg:grpSpPr>
                                  <wps:wsp>
                                    <wps:cNvPr id="24083" name="Rectangle 231"/>
                                    <wps:cNvSpPr>
                                      <a:spLocks noChangeArrowheads="1"/>
                                    </wps:cNvSpPr>
                                    <wps:spPr bwMode="auto">
                                      <a:xfrm>
                                        <a:off x="-568" y="3026"/>
                                        <a:ext cx="3699" cy="2230"/>
                                      </a:xfrm>
                                      <a:prstGeom prst="rect">
                                        <a:avLst/>
                                      </a:prstGeom>
                                      <a:solidFill>
                                        <a:schemeClr val="lt1">
                                          <a:lumMod val="100000"/>
                                          <a:lumOff val="0"/>
                                        </a:schemeClr>
                                      </a:solidFill>
                                      <a:ln>
                                        <a:noFill/>
                                      </a:ln>
                                    </wps:spPr>
                                    <wps:txbx>
                                      <w:txbxContent>
                                        <w:p w14:paraId="3D19443E" w14:textId="77777777" w:rsidR="00527127" w:rsidRDefault="00527127" w:rsidP="004D6A1D">
                                          <w:pPr>
                                            <w:spacing w:before="0"/>
                                          </w:pPr>
                                          <w:r>
                                            <w:t>+10°</w:t>
                                          </w:r>
                                        </w:p>
                                        <w:p w14:paraId="0D5BCEDA"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084"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95"/>
                                        <a:ext cx="2844" cy="2838"/>
                                      </a:xfrm>
                                      <a:prstGeom prst="rect">
                                        <a:avLst/>
                                      </a:prstGeom>
                                      <a:noFill/>
                                    </pic:spPr>
                                  </pic:pic>
                                </wpg:grpSp>
                                <wpg:grpSp>
                                  <wpg:cNvPr id="24085" name="Group 241"/>
                                  <wpg:cNvGrpSpPr>
                                    <a:grpSpLocks/>
                                  </wpg:cNvGrpSpPr>
                                  <wpg:grpSpPr bwMode="auto">
                                    <a:xfrm>
                                      <a:off x="0" y="0"/>
                                      <a:ext cx="2921" cy="5289"/>
                                      <a:chOff x="8539" y="0"/>
                                      <a:chExt cx="2878" cy="5161"/>
                                    </a:xfrm>
                                  </wpg:grpSpPr>
                                  <wps:wsp>
                                    <wps:cNvPr id="24086" name="Rectangle 242"/>
                                    <wps:cNvSpPr>
                                      <a:spLocks noChangeArrowheads="1"/>
                                    </wps:cNvSpPr>
                                    <wps:spPr bwMode="auto">
                                      <a:xfrm>
                                        <a:off x="8539" y="3347"/>
                                        <a:ext cx="2706" cy="1814"/>
                                      </a:xfrm>
                                      <a:prstGeom prst="rect">
                                        <a:avLst/>
                                      </a:prstGeom>
                                      <a:solidFill>
                                        <a:schemeClr val="lt1">
                                          <a:lumMod val="100000"/>
                                          <a:lumOff val="0"/>
                                        </a:schemeClr>
                                      </a:solidFill>
                                      <a:ln>
                                        <a:noFill/>
                                      </a:ln>
                                    </wps:spPr>
                                    <wps:txbx>
                                      <w:txbxContent>
                                        <w:p w14:paraId="2B228EC8" w14:textId="77777777" w:rsidR="00527127" w:rsidRDefault="00527127" w:rsidP="004D6A1D">
                                          <w:pPr>
                                            <w:spacing w:before="0"/>
                                          </w:pPr>
                                          <w:r>
                                            <w:t xml:space="preserve">-15° </w:t>
                                          </w:r>
                                        </w:p>
                                      </w:txbxContent>
                                    </wps:txbx>
                                    <wps:bodyPr rot="0" vert="horz" wrap="square" lIns="0" tIns="0" rIns="0" bIns="0" anchor="ctr" anchorCtr="0" upright="1">
                                      <a:noAutofit/>
                                    </wps:bodyPr>
                                  </wps:wsp>
                                  <pic:pic xmlns:pic="http://schemas.openxmlformats.org/drawingml/2006/picture">
                                    <pic:nvPicPr>
                                      <pic:cNvPr id="24087"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572" y="0"/>
                                        <a:ext cx="2845" cy="2838"/>
                                      </a:xfrm>
                                      <a:prstGeom prst="rect">
                                        <a:avLst/>
                                      </a:prstGeom>
                                      <a:noFill/>
                                    </pic:spPr>
                                  </pic:pic>
                                </wpg:grpSp>
                                <wpg:grpSp>
                                  <wpg:cNvPr id="24088" name="Group 244"/>
                                  <wpg:cNvGrpSpPr>
                                    <a:grpSpLocks/>
                                  </wpg:cNvGrpSpPr>
                                  <wpg:grpSpPr bwMode="auto">
                                    <a:xfrm>
                                      <a:off x="15433" y="0"/>
                                      <a:ext cx="2921" cy="5289"/>
                                      <a:chOff x="8539" y="0"/>
                                      <a:chExt cx="2878" cy="5161"/>
                                    </a:xfrm>
                                  </wpg:grpSpPr>
                                  <wps:wsp>
                                    <wps:cNvPr id="24089" name="Rectangle 245"/>
                                    <wps:cNvSpPr>
                                      <a:spLocks noChangeArrowheads="1"/>
                                    </wps:cNvSpPr>
                                    <wps:spPr bwMode="auto">
                                      <a:xfrm>
                                        <a:off x="8539" y="3347"/>
                                        <a:ext cx="2706" cy="1814"/>
                                      </a:xfrm>
                                      <a:prstGeom prst="rect">
                                        <a:avLst/>
                                      </a:prstGeom>
                                      <a:solidFill>
                                        <a:schemeClr val="lt1">
                                          <a:lumMod val="100000"/>
                                          <a:lumOff val="0"/>
                                        </a:schemeClr>
                                      </a:solidFill>
                                      <a:ln>
                                        <a:noFill/>
                                      </a:ln>
                                    </wps:spPr>
                                    <wps:txbx>
                                      <w:txbxContent>
                                        <w:p w14:paraId="24B285C3" w14:textId="77777777" w:rsidR="00527127" w:rsidRDefault="00527127" w:rsidP="004D6A1D">
                                          <w:pPr>
                                            <w:spacing w:before="0"/>
                                          </w:pPr>
                                          <w:r>
                                            <w:t xml:space="preserve">-5° </w:t>
                                          </w:r>
                                        </w:p>
                                      </w:txbxContent>
                                    </wps:txbx>
                                    <wps:bodyPr rot="0" vert="horz" wrap="square" lIns="0" tIns="0" rIns="0" bIns="0" anchor="ctr" anchorCtr="0" upright="1">
                                      <a:noAutofit/>
                                    </wps:bodyPr>
                                  </wps:wsp>
                                  <pic:pic xmlns:pic="http://schemas.openxmlformats.org/drawingml/2006/picture">
                                    <pic:nvPicPr>
                                      <pic:cNvPr id="24090"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572" y="0"/>
                                        <a:ext cx="2845" cy="2838"/>
                                      </a:xfrm>
                                      <a:prstGeom prst="rect">
                                        <a:avLst/>
                                      </a:prstGeom>
                                      <a:noFill/>
                                    </pic:spPr>
                                  </pic:pic>
                                </wpg:grpSp>
                                <wpg:grpSp>
                                  <wpg:cNvPr id="24091" name="Group 247"/>
                                  <wpg:cNvGrpSpPr>
                                    <a:grpSpLocks/>
                                  </wpg:cNvGrpSpPr>
                                  <wpg:grpSpPr bwMode="auto">
                                    <a:xfrm>
                                      <a:off x="44187" y="0"/>
                                      <a:ext cx="3753" cy="5430"/>
                                      <a:chOff x="-568" y="95"/>
                                      <a:chExt cx="3699" cy="5299"/>
                                    </a:xfrm>
                                  </wpg:grpSpPr>
                                  <wps:wsp>
                                    <wps:cNvPr id="24092" name="Rectangle 248"/>
                                    <wps:cNvSpPr>
                                      <a:spLocks noChangeArrowheads="1"/>
                                    </wps:cNvSpPr>
                                    <wps:spPr bwMode="auto">
                                      <a:xfrm>
                                        <a:off x="-568" y="3026"/>
                                        <a:ext cx="3699" cy="2368"/>
                                      </a:xfrm>
                                      <a:prstGeom prst="rect">
                                        <a:avLst/>
                                      </a:prstGeom>
                                      <a:solidFill>
                                        <a:schemeClr val="lt1">
                                          <a:lumMod val="100000"/>
                                          <a:lumOff val="0"/>
                                        </a:schemeClr>
                                      </a:solidFill>
                                      <a:ln>
                                        <a:noFill/>
                                      </a:ln>
                                    </wps:spPr>
                                    <wps:txbx>
                                      <w:txbxContent>
                                        <w:p w14:paraId="0E9C65B7" w14:textId="77777777" w:rsidR="00527127" w:rsidRDefault="00527127" w:rsidP="004D6A1D">
                                          <w:pPr>
                                            <w:spacing w:before="0"/>
                                          </w:pPr>
                                          <w:r>
                                            <w:t>+15°</w:t>
                                          </w:r>
                                        </w:p>
                                        <w:p w14:paraId="20F6D6F4"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093"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95"/>
                                        <a:ext cx="2844" cy="2838"/>
                                      </a:xfrm>
                                      <a:prstGeom prst="rect">
                                        <a:avLst/>
                                      </a:prstGeom>
                                      <a:noFill/>
                                    </pic:spPr>
                                  </pic:pic>
                                </wpg:grpSp>
                                <wpg:grpSp>
                                  <wpg:cNvPr id="24094" name="Group 250"/>
                                  <wpg:cNvGrpSpPr>
                                    <a:grpSpLocks/>
                                  </wpg:cNvGrpSpPr>
                                  <wpg:grpSpPr bwMode="auto">
                                    <a:xfrm>
                                      <a:off x="29757" y="0"/>
                                      <a:ext cx="3753" cy="4858"/>
                                      <a:chOff x="-56842" y="9525"/>
                                      <a:chExt cx="369985" cy="474131"/>
                                    </a:xfrm>
                                  </wpg:grpSpPr>
                                  <wps:wsp>
                                    <wps:cNvPr id="24095" name="Rectangle 251"/>
                                    <wps:cNvSpPr>
                                      <a:spLocks noChangeArrowheads="1"/>
                                    </wps:cNvSpPr>
                                    <wps:spPr bwMode="auto">
                                      <a:xfrm>
                                        <a:off x="-56842" y="302672"/>
                                        <a:ext cx="369985" cy="180984"/>
                                      </a:xfrm>
                                      <a:prstGeom prst="rect">
                                        <a:avLst/>
                                      </a:prstGeom>
                                      <a:solidFill>
                                        <a:schemeClr val="lt1">
                                          <a:lumMod val="100000"/>
                                          <a:lumOff val="0"/>
                                        </a:schemeClr>
                                      </a:solidFill>
                                      <a:ln>
                                        <a:noFill/>
                                      </a:ln>
                                    </wps:spPr>
                                    <wps:txbx>
                                      <w:txbxContent>
                                        <w:p w14:paraId="15AF957E" w14:textId="77777777" w:rsidR="00527127" w:rsidRDefault="00527127" w:rsidP="004D6A1D">
                                          <w:pPr>
                                            <w:spacing w:before="0"/>
                                          </w:pPr>
                                          <w:r>
                                            <w:t>+5°</w:t>
                                          </w:r>
                                        </w:p>
                                        <w:p w14:paraId="0C06C89C"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096"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9525"/>
                                        <a:ext cx="284480" cy="283845"/>
                                      </a:xfrm>
                                      <a:prstGeom prst="rect">
                                        <a:avLst/>
                                      </a:prstGeom>
                                      <a:noFill/>
                                    </pic:spPr>
                                  </pic:pic>
                                </wpg:grpSp>
                              </wpg:grpSp>
                            </wpg:grpSp>
                            <wpg:grpSp>
                              <wpg:cNvPr id="24097" name="Group 255"/>
                              <wpg:cNvGrpSpPr>
                                <a:grpSpLocks/>
                              </wpg:cNvGrpSpPr>
                              <wpg:grpSpPr bwMode="auto">
                                <a:xfrm>
                                  <a:off x="20383" y="11004"/>
                                  <a:ext cx="15526" cy="42863"/>
                                  <a:chOff x="-1333" y="-139"/>
                                  <a:chExt cx="15525" cy="42862"/>
                                </a:xfrm>
                              </wpg:grpSpPr>
                              <wps:wsp>
                                <wps:cNvPr id="24098" name="Rectangle 19456"/>
                                <wps:cNvSpPr>
                                  <a:spLocks noChangeArrowheads="1"/>
                                </wps:cNvSpPr>
                                <wps:spPr bwMode="auto">
                                  <a:xfrm>
                                    <a:off x="-1333" y="-139"/>
                                    <a:ext cx="1999" cy="2571"/>
                                  </a:xfrm>
                                  <a:prstGeom prst="rect">
                                    <a:avLst/>
                                  </a:prstGeom>
                                  <a:noFill/>
                                  <a:ln>
                                    <a:noFill/>
                                  </a:ln>
                                </wps:spPr>
                                <wps:txbx>
                                  <w:txbxContent>
                                    <w:p w14:paraId="7ECA3C55" w14:textId="7A736608" w:rsidR="00527127" w:rsidRPr="00EE0AD3" w:rsidRDefault="00527127" w:rsidP="004D6A1D">
                                      <w:pPr>
                                        <w:spacing w:before="0"/>
                                        <w:rPr>
                                          <w:lang w:val="en-US"/>
                                        </w:rPr>
                                      </w:pPr>
                                      <w:r>
                                        <w:rPr>
                                          <w:lang w:val="en-US"/>
                                        </w:rPr>
                                        <w:t>B)</w:t>
                                      </w:r>
                                    </w:p>
                                  </w:txbxContent>
                                </wps:txbx>
                                <wps:bodyPr rot="0" vert="horz" wrap="square" lIns="0" tIns="0" rIns="0" bIns="0" anchor="ctr" anchorCtr="0" upright="1">
                                  <a:noAutofit/>
                                </wps:bodyPr>
                              </wps:wsp>
                              <wpg:grpSp>
                                <wpg:cNvPr id="24099" name="Group 19457"/>
                                <wpg:cNvGrpSpPr>
                                  <a:grpSpLocks/>
                                </wpg:cNvGrpSpPr>
                                <wpg:grpSpPr bwMode="auto">
                                  <a:xfrm>
                                    <a:off x="1542" y="0"/>
                                    <a:ext cx="12650" cy="42722"/>
                                    <a:chOff x="-3124" y="-190"/>
                                    <a:chExt cx="12649" cy="42722"/>
                                  </a:xfrm>
                                </wpg:grpSpPr>
                                <wpg:grpSp>
                                  <wpg:cNvPr id="24100" name="Group 19458"/>
                                  <wpg:cNvGrpSpPr>
                                    <a:grpSpLocks/>
                                  </wpg:cNvGrpSpPr>
                                  <wpg:grpSpPr bwMode="auto">
                                    <a:xfrm>
                                      <a:off x="-3124" y="19431"/>
                                      <a:ext cx="12649" cy="2907"/>
                                      <a:chOff x="-3080" y="-185"/>
                                      <a:chExt cx="12469" cy="2838"/>
                                    </a:xfrm>
                                  </wpg:grpSpPr>
                                  <wps:wsp>
                                    <wps:cNvPr id="24101" name="Rectangle 19459"/>
                                    <wps:cNvSpPr>
                                      <a:spLocks noChangeArrowheads="1"/>
                                    </wps:cNvSpPr>
                                    <wps:spPr bwMode="auto">
                                      <a:xfrm>
                                        <a:off x="751" y="92"/>
                                        <a:ext cx="8638" cy="2313"/>
                                      </a:xfrm>
                                      <a:prstGeom prst="rect">
                                        <a:avLst/>
                                      </a:prstGeom>
                                      <a:solidFill>
                                        <a:schemeClr val="lt1">
                                          <a:lumMod val="100000"/>
                                          <a:lumOff val="0"/>
                                        </a:schemeClr>
                                      </a:solidFill>
                                      <a:ln>
                                        <a:noFill/>
                                      </a:ln>
                                    </wps:spPr>
                                    <wps:txbx>
                                      <w:txbxContent>
                                        <w:p w14:paraId="6516B62B" w14:textId="2BA56F21" w:rsidR="00527127" w:rsidRPr="00796B50" w:rsidRDefault="00527127" w:rsidP="004D6A1D">
                                          <w:pPr>
                                            <w:spacing w:before="0"/>
                                          </w:pPr>
                                          <w:r>
                                            <w:t>PP</w:t>
                                          </w:r>
                                        </w:p>
                                        <w:p w14:paraId="335769FC"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102" name="Shape 55"/>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080" y="-185"/>
                                        <a:ext cx="2845" cy="2837"/>
                                      </a:xfrm>
                                      <a:prstGeom prst="rect">
                                        <a:avLst/>
                                      </a:prstGeom>
                                      <a:noFill/>
                                    </pic:spPr>
                                  </pic:pic>
                                </wpg:grpSp>
                                <wpg:grpSp>
                                  <wpg:cNvPr id="24103" name="Group 19462"/>
                                  <wpg:cNvGrpSpPr>
                                    <a:grpSpLocks/>
                                  </wpg:cNvGrpSpPr>
                                  <wpg:grpSpPr bwMode="auto">
                                    <a:xfrm>
                                      <a:off x="-3124" y="26193"/>
                                      <a:ext cx="6032" cy="2902"/>
                                      <a:chOff x="5480" y="-186"/>
                                      <a:chExt cx="5968" cy="2838"/>
                                    </a:xfrm>
                                  </wpg:grpSpPr>
                                  <wps:wsp>
                                    <wps:cNvPr id="24104" name="Rectangle 19463"/>
                                    <wps:cNvSpPr>
                                      <a:spLocks noChangeArrowheads="1"/>
                                    </wps:cNvSpPr>
                                    <wps:spPr bwMode="auto">
                                      <a:xfrm>
                                        <a:off x="8744" y="0"/>
                                        <a:ext cx="2705" cy="1814"/>
                                      </a:xfrm>
                                      <a:prstGeom prst="rect">
                                        <a:avLst/>
                                      </a:prstGeom>
                                      <a:solidFill>
                                        <a:schemeClr val="lt1">
                                          <a:lumMod val="100000"/>
                                          <a:lumOff val="0"/>
                                        </a:schemeClr>
                                      </a:solidFill>
                                      <a:ln>
                                        <a:noFill/>
                                      </a:ln>
                                    </wps:spPr>
                                    <wps:txbx>
                                      <w:txbxContent>
                                        <w:p w14:paraId="2F495DC2" w14:textId="0A9FCFDE" w:rsidR="00527127" w:rsidRDefault="00527127" w:rsidP="004D6A1D">
                                          <w:pPr>
                                            <w:spacing w:before="0"/>
                                          </w:pPr>
                                          <w:r>
                                            <w:t>-4°</w:t>
                                          </w:r>
                                        </w:p>
                                      </w:txbxContent>
                                    </wps:txbx>
                                    <wps:bodyPr rot="0" vert="horz" wrap="square" lIns="0" tIns="0" rIns="0" bIns="0" anchor="ctr" anchorCtr="0" upright="1">
                                      <a:noAutofit/>
                                    </wps:bodyPr>
                                  </wps:wsp>
                                  <pic:pic xmlns:pic="http://schemas.openxmlformats.org/drawingml/2006/picture">
                                    <pic:nvPicPr>
                                      <pic:cNvPr id="24105"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480" y="-186"/>
                                        <a:ext cx="2845" cy="2838"/>
                                      </a:xfrm>
                                      <a:prstGeom prst="rect">
                                        <a:avLst/>
                                      </a:prstGeom>
                                      <a:noFill/>
                                    </pic:spPr>
                                  </pic:pic>
                                </wpg:grpSp>
                                <wpg:grpSp>
                                  <wpg:cNvPr id="24106" name="Group 19465"/>
                                  <wpg:cNvGrpSpPr>
                                    <a:grpSpLocks/>
                                  </wpg:cNvGrpSpPr>
                                  <wpg:grpSpPr bwMode="auto">
                                    <a:xfrm>
                                      <a:off x="-3124" y="-190"/>
                                      <a:ext cx="7537" cy="2901"/>
                                      <a:chOff x="-3081" y="-91"/>
                                      <a:chExt cx="7433" cy="2838"/>
                                    </a:xfrm>
                                  </wpg:grpSpPr>
                                  <wps:wsp>
                                    <wps:cNvPr id="24107" name="Rectangle 19466"/>
                                    <wps:cNvSpPr>
                                      <a:spLocks noChangeArrowheads="1"/>
                                    </wps:cNvSpPr>
                                    <wps:spPr bwMode="auto">
                                      <a:xfrm>
                                        <a:off x="652" y="609"/>
                                        <a:ext cx="3699" cy="1678"/>
                                      </a:xfrm>
                                      <a:prstGeom prst="rect">
                                        <a:avLst/>
                                      </a:prstGeom>
                                      <a:solidFill>
                                        <a:schemeClr val="lt1">
                                          <a:lumMod val="100000"/>
                                          <a:lumOff val="0"/>
                                        </a:schemeClr>
                                      </a:solidFill>
                                      <a:ln>
                                        <a:noFill/>
                                      </a:ln>
                                    </wps:spPr>
                                    <wps:txbx>
                                      <w:txbxContent>
                                        <w:p w14:paraId="5E45C59D" w14:textId="77777777" w:rsidR="00527127" w:rsidRDefault="00527127" w:rsidP="004D6A1D">
                                          <w:pPr>
                                            <w:spacing w:before="0"/>
                                          </w:pPr>
                                          <w:r>
                                            <w:t>+8°</w:t>
                                          </w:r>
                                        </w:p>
                                        <w:p w14:paraId="35BB1398"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108"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081" y="-91"/>
                                        <a:ext cx="2845" cy="2838"/>
                                      </a:xfrm>
                                      <a:prstGeom prst="rect">
                                        <a:avLst/>
                                      </a:prstGeom>
                                      <a:noFill/>
                                    </pic:spPr>
                                  </pic:pic>
                                </wpg:grpSp>
                                <wpg:grpSp>
                                  <wpg:cNvPr id="24109" name="Group 19468"/>
                                  <wpg:cNvGrpSpPr>
                                    <a:grpSpLocks/>
                                  </wpg:cNvGrpSpPr>
                                  <wpg:grpSpPr bwMode="auto">
                                    <a:xfrm>
                                      <a:off x="-3124" y="39624"/>
                                      <a:ext cx="6308" cy="2908"/>
                                      <a:chOff x="5489" y="-185"/>
                                      <a:chExt cx="6225" cy="2838"/>
                                    </a:xfrm>
                                  </wpg:grpSpPr>
                                  <wps:wsp>
                                    <wps:cNvPr id="24110" name="Rectangle 19469"/>
                                    <wps:cNvSpPr>
                                      <a:spLocks noChangeArrowheads="1"/>
                                    </wps:cNvSpPr>
                                    <wps:spPr bwMode="auto">
                                      <a:xfrm>
                                        <a:off x="9008" y="45"/>
                                        <a:ext cx="2706" cy="1814"/>
                                      </a:xfrm>
                                      <a:prstGeom prst="rect">
                                        <a:avLst/>
                                      </a:prstGeom>
                                      <a:solidFill>
                                        <a:schemeClr val="lt1">
                                          <a:lumMod val="100000"/>
                                          <a:lumOff val="0"/>
                                        </a:schemeClr>
                                      </a:solidFill>
                                      <a:ln>
                                        <a:noFill/>
                                      </a:ln>
                                    </wps:spPr>
                                    <wps:txbx>
                                      <w:txbxContent>
                                        <w:p w14:paraId="3814F88C" w14:textId="567C563E" w:rsidR="00527127" w:rsidRDefault="00527127" w:rsidP="004D6A1D">
                                          <w:pPr>
                                            <w:spacing w:before="0"/>
                                          </w:pPr>
                                          <w:r>
                                            <w:t>-8°</w:t>
                                          </w:r>
                                        </w:p>
                                      </w:txbxContent>
                                    </wps:txbx>
                                    <wps:bodyPr rot="0" vert="horz" wrap="square" lIns="0" tIns="0" rIns="0" bIns="0" anchor="ctr" anchorCtr="0" upright="1">
                                      <a:noAutofit/>
                                    </wps:bodyPr>
                                  </wps:wsp>
                                  <pic:pic xmlns:pic="http://schemas.openxmlformats.org/drawingml/2006/picture">
                                    <pic:nvPicPr>
                                      <pic:cNvPr id="24111"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489" y="-185"/>
                                        <a:ext cx="2845" cy="2837"/>
                                      </a:xfrm>
                                      <a:prstGeom prst="rect">
                                        <a:avLst/>
                                      </a:prstGeom>
                                      <a:noFill/>
                                    </pic:spPr>
                                  </pic:pic>
                                </wpg:grpSp>
                                <wpg:grpSp>
                                  <wpg:cNvPr id="24112" name="Group 19471"/>
                                  <wpg:cNvGrpSpPr>
                                    <a:grpSpLocks/>
                                  </wpg:cNvGrpSpPr>
                                  <wpg:grpSpPr bwMode="auto">
                                    <a:xfrm>
                                      <a:off x="-3124" y="12763"/>
                                      <a:ext cx="6305" cy="2902"/>
                                      <a:chOff x="5485" y="-186"/>
                                      <a:chExt cx="6229" cy="2838"/>
                                    </a:xfrm>
                                  </wpg:grpSpPr>
                                  <wps:wsp>
                                    <wps:cNvPr id="24113" name="Rectangle 19472"/>
                                    <wps:cNvSpPr>
                                      <a:spLocks noChangeArrowheads="1"/>
                                    </wps:cNvSpPr>
                                    <wps:spPr bwMode="auto">
                                      <a:xfrm>
                                        <a:off x="9009" y="275"/>
                                        <a:ext cx="2706" cy="1815"/>
                                      </a:xfrm>
                                      <a:prstGeom prst="rect">
                                        <a:avLst/>
                                      </a:prstGeom>
                                      <a:solidFill>
                                        <a:schemeClr val="lt1">
                                          <a:lumMod val="100000"/>
                                          <a:lumOff val="0"/>
                                        </a:schemeClr>
                                      </a:solidFill>
                                      <a:ln>
                                        <a:noFill/>
                                      </a:ln>
                                    </wps:spPr>
                                    <wps:txbx>
                                      <w:txbxContent>
                                        <w:p w14:paraId="07FF7AA0" w14:textId="40F4CE6C" w:rsidR="00527127" w:rsidRDefault="00527127" w:rsidP="004D6A1D">
                                          <w:pPr>
                                            <w:spacing w:before="0"/>
                                          </w:pPr>
                                          <w:r>
                                            <w:t>+4°</w:t>
                                          </w:r>
                                        </w:p>
                                      </w:txbxContent>
                                    </wps:txbx>
                                    <wps:bodyPr rot="0" vert="horz" wrap="square" lIns="0" tIns="0" rIns="0" bIns="0" anchor="ctr" anchorCtr="0" upright="1">
                                      <a:noAutofit/>
                                    </wps:bodyPr>
                                  </wps:wsp>
                                  <pic:pic xmlns:pic="http://schemas.openxmlformats.org/drawingml/2006/picture">
                                    <pic:nvPicPr>
                                      <pic:cNvPr id="24114" name="Shape 58"/>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485" y="-186"/>
                                        <a:ext cx="2845" cy="2838"/>
                                      </a:xfrm>
                                      <a:prstGeom prst="rect">
                                        <a:avLst/>
                                      </a:prstGeom>
                                      <a:noFill/>
                                    </pic:spPr>
                                  </pic:pic>
                                </wpg:grpSp>
                                <wpg:grpSp>
                                  <wpg:cNvPr id="24115" name="Group 19474"/>
                                  <wpg:cNvGrpSpPr>
                                    <a:grpSpLocks/>
                                  </wpg:cNvGrpSpPr>
                                  <wpg:grpSpPr bwMode="auto">
                                    <a:xfrm>
                                      <a:off x="-3124" y="32956"/>
                                      <a:ext cx="7318" cy="2902"/>
                                      <a:chOff x="-3081" y="-91"/>
                                      <a:chExt cx="7217" cy="2838"/>
                                    </a:xfrm>
                                  </wpg:grpSpPr>
                                  <wps:wsp>
                                    <wps:cNvPr id="24116" name="Rectangle 19475"/>
                                    <wps:cNvSpPr>
                                      <a:spLocks noChangeArrowheads="1"/>
                                    </wps:cNvSpPr>
                                    <wps:spPr bwMode="auto">
                                      <a:xfrm>
                                        <a:off x="436" y="161"/>
                                        <a:ext cx="3700" cy="2493"/>
                                      </a:xfrm>
                                      <a:prstGeom prst="rect">
                                        <a:avLst/>
                                      </a:prstGeom>
                                      <a:solidFill>
                                        <a:schemeClr val="lt1">
                                          <a:lumMod val="100000"/>
                                          <a:lumOff val="0"/>
                                        </a:schemeClr>
                                      </a:solidFill>
                                      <a:ln>
                                        <a:noFill/>
                                      </a:ln>
                                    </wps:spPr>
                                    <wps:txbx>
                                      <w:txbxContent>
                                        <w:p w14:paraId="53746CA0" w14:textId="77777777" w:rsidR="00527127" w:rsidRDefault="00527127" w:rsidP="004D6A1D">
                                          <w:pPr>
                                            <w:spacing w:before="0"/>
                                          </w:pPr>
                                          <w:r>
                                            <w:t>-6°</w:t>
                                          </w:r>
                                        </w:p>
                                        <w:p w14:paraId="34781C41"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117"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081" y="-91"/>
                                        <a:ext cx="2845" cy="2838"/>
                                      </a:xfrm>
                                      <a:prstGeom prst="rect">
                                        <a:avLst/>
                                      </a:prstGeom>
                                      <a:noFill/>
                                    </pic:spPr>
                                  </pic:pic>
                                </wpg:grpSp>
                                <wpg:grpSp>
                                  <wpg:cNvPr id="24118" name="Group 19477"/>
                                  <wpg:cNvGrpSpPr>
                                    <a:grpSpLocks/>
                                  </wpg:cNvGrpSpPr>
                                  <wpg:grpSpPr bwMode="auto">
                                    <a:xfrm>
                                      <a:off x="-3124" y="6096"/>
                                      <a:ext cx="7537" cy="2901"/>
                                      <a:chOff x="-3081" y="-91"/>
                                      <a:chExt cx="7433" cy="2838"/>
                                    </a:xfrm>
                                  </wpg:grpSpPr>
                                  <wps:wsp>
                                    <wps:cNvPr id="24119" name="Rectangle 19478"/>
                                    <wps:cNvSpPr>
                                      <a:spLocks noChangeArrowheads="1"/>
                                    </wps:cNvSpPr>
                                    <wps:spPr bwMode="auto">
                                      <a:xfrm>
                                        <a:off x="652" y="330"/>
                                        <a:ext cx="3699" cy="2001"/>
                                      </a:xfrm>
                                      <a:prstGeom prst="rect">
                                        <a:avLst/>
                                      </a:prstGeom>
                                      <a:solidFill>
                                        <a:schemeClr val="lt1">
                                          <a:lumMod val="100000"/>
                                          <a:lumOff val="0"/>
                                        </a:schemeClr>
                                      </a:solidFill>
                                      <a:ln>
                                        <a:noFill/>
                                      </a:ln>
                                    </wps:spPr>
                                    <wps:txbx>
                                      <w:txbxContent>
                                        <w:p w14:paraId="0D4746E1" w14:textId="77777777" w:rsidR="00527127" w:rsidRDefault="00527127" w:rsidP="004D6A1D">
                                          <w:pPr>
                                            <w:spacing w:before="0"/>
                                          </w:pPr>
                                          <w:r>
                                            <w:t>+6°</w:t>
                                          </w:r>
                                        </w:p>
                                        <w:p w14:paraId="0276E4C2" w14:textId="77777777" w:rsidR="00527127" w:rsidRDefault="00527127" w:rsidP="00390EBC"/>
                                      </w:txbxContent>
                                    </wps:txbx>
                                    <wps:bodyPr rot="0" vert="horz" wrap="square" lIns="0" tIns="0" rIns="0" bIns="0" anchor="ctr" anchorCtr="0" upright="1">
                                      <a:noAutofit/>
                                    </wps:bodyPr>
                                  </wps:wsp>
                                  <pic:pic xmlns:pic="http://schemas.openxmlformats.org/drawingml/2006/picture">
                                    <pic:nvPicPr>
                                      <pic:cNvPr id="24120" name="Shape 61"/>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081" y="-91"/>
                                        <a:ext cx="2845" cy="2838"/>
                                      </a:xfrm>
                                      <a:prstGeom prst="rect">
                                        <a:avLst/>
                                      </a:prstGeom>
                                      <a:noFill/>
                                    </pic:spPr>
                                  </pic:pic>
                                </wpg:grpSp>
                              </wpg:grpSp>
                            </wpg:grpSp>
                          </wpg:grpSp>
                        </wpg:grpSp>
                      </wpg:grpSp>
                      <wpg:grpSp>
                        <wpg:cNvPr id="24121" name="Group 19480"/>
                        <wpg:cNvGrpSpPr>
                          <a:grpSpLocks/>
                        </wpg:cNvGrpSpPr>
                        <wpg:grpSpPr bwMode="auto">
                          <a:xfrm>
                            <a:off x="6572" y="6667"/>
                            <a:ext cx="42767" cy="47054"/>
                            <a:chOff x="0" y="-381"/>
                            <a:chExt cx="42767" cy="47053"/>
                          </a:xfrm>
                        </wpg:grpSpPr>
                        <wpg:grpSp>
                          <wpg:cNvPr id="24122" name="Group 19481"/>
                          <wpg:cNvGrpSpPr>
                            <a:grpSpLocks/>
                          </wpg:cNvGrpSpPr>
                          <wpg:grpSpPr bwMode="auto">
                            <a:xfrm>
                              <a:off x="0" y="0"/>
                              <a:ext cx="15430" cy="2000"/>
                              <a:chOff x="0" y="0"/>
                              <a:chExt cx="15430" cy="2000"/>
                            </a:xfrm>
                          </wpg:grpSpPr>
                          <wps:wsp>
                            <wps:cNvPr id="24123" name="Straight Arrow Connector 19482"/>
                            <wps:cNvCnPr>
                              <a:cxnSpLocks noChangeShapeType="1"/>
                            </wps:cNvCnPr>
                            <wps:spPr bwMode="auto">
                              <a:xfrm flipH="1">
                                <a:off x="0" y="0"/>
                                <a:ext cx="15335" cy="0"/>
                              </a:xfrm>
                              <a:prstGeom prst="straightConnector1">
                                <a:avLst/>
                              </a:prstGeom>
                              <a:noFill/>
                              <a:ln w="6350">
                                <a:solidFill>
                                  <a:srgbClr val="0000FF"/>
                                </a:solidFill>
                                <a:miter lim="800000"/>
                                <a:headEnd/>
                                <a:tailEnd type="triangle" w="med" len="med"/>
                              </a:ln>
                            </wps:spPr>
                            <wps:bodyPr/>
                          </wps:wsp>
                          <wps:wsp>
                            <wps:cNvPr id="24124" name="Text Box 1623"/>
                            <wps:cNvSpPr txBox="1">
                              <a:spLocks noChangeArrowheads="1"/>
                            </wps:cNvSpPr>
                            <wps:spPr bwMode="auto">
                              <a:xfrm>
                                <a:off x="3048" y="190"/>
                                <a:ext cx="12382" cy="1810"/>
                              </a:xfrm>
                              <a:prstGeom prst="rect">
                                <a:avLst/>
                              </a:prstGeom>
                              <a:solidFill>
                                <a:srgbClr val="FFFFFF"/>
                              </a:solidFill>
                              <a:ln>
                                <a:noFill/>
                              </a:ln>
                            </wps:spPr>
                            <wps:txbx>
                              <w:txbxContent>
                                <w:p w14:paraId="7CE76738" w14:textId="77777777" w:rsidR="00527127" w:rsidRPr="000E63D8" w:rsidRDefault="00527127" w:rsidP="00390EBC">
                                  <w:pPr>
                                    <w:rPr>
                                      <w:lang w:val="en-US"/>
                                    </w:rPr>
                                  </w:pPr>
                                  <w:r>
                                    <w:rPr>
                                      <w:lang w:val="en-US"/>
                                    </w:rPr>
                                    <w:t>Leftward saccade</w:t>
                                  </w:r>
                                </w:p>
                              </w:txbxContent>
                            </wps:txbx>
                            <wps:bodyPr rot="0" vert="horz" wrap="square" lIns="0" tIns="0" rIns="0" bIns="0" anchor="t" anchorCtr="0" upright="1">
                              <a:noAutofit/>
                            </wps:bodyPr>
                          </wps:wsp>
                        </wpg:grpSp>
                        <wpg:grpSp>
                          <wpg:cNvPr id="24125" name="Group 19484"/>
                          <wpg:cNvGrpSpPr>
                            <a:grpSpLocks/>
                          </wpg:cNvGrpSpPr>
                          <wpg:grpSpPr bwMode="auto">
                            <a:xfrm>
                              <a:off x="27432" y="-381"/>
                              <a:ext cx="15335" cy="2286"/>
                              <a:chOff x="0" y="-381"/>
                              <a:chExt cx="15335" cy="2286"/>
                            </a:xfrm>
                          </wpg:grpSpPr>
                          <wps:wsp>
                            <wps:cNvPr id="24126" name="Straight Arrow Connector 19485"/>
                            <wps:cNvCnPr>
                              <a:cxnSpLocks noChangeShapeType="1"/>
                            </wps:cNvCnPr>
                            <wps:spPr bwMode="auto">
                              <a:xfrm>
                                <a:off x="0" y="-381"/>
                                <a:ext cx="15335" cy="0"/>
                              </a:xfrm>
                              <a:prstGeom prst="straightConnector1">
                                <a:avLst/>
                              </a:prstGeom>
                              <a:noFill/>
                              <a:ln w="6350">
                                <a:solidFill>
                                  <a:srgbClr val="0000FF"/>
                                </a:solidFill>
                                <a:miter lim="800000"/>
                                <a:headEnd/>
                                <a:tailEnd type="triangle" w="med" len="med"/>
                              </a:ln>
                            </wps:spPr>
                            <wps:bodyPr/>
                          </wps:wsp>
                          <wps:wsp>
                            <wps:cNvPr id="24127" name="Text Box 1626"/>
                            <wps:cNvSpPr txBox="1">
                              <a:spLocks noChangeArrowheads="1"/>
                            </wps:cNvSpPr>
                            <wps:spPr bwMode="auto">
                              <a:xfrm>
                                <a:off x="285" y="-190"/>
                                <a:ext cx="12383" cy="2095"/>
                              </a:xfrm>
                              <a:prstGeom prst="rect">
                                <a:avLst/>
                              </a:prstGeom>
                              <a:solidFill>
                                <a:srgbClr val="FFFFFF"/>
                              </a:solidFill>
                              <a:ln>
                                <a:noFill/>
                              </a:ln>
                            </wps:spPr>
                            <wps:txbx>
                              <w:txbxContent>
                                <w:p w14:paraId="5F54CCCC" w14:textId="77777777" w:rsidR="00527127" w:rsidRPr="000E63D8" w:rsidRDefault="00527127" w:rsidP="00390EBC">
                                  <w:pPr>
                                    <w:rPr>
                                      <w:lang w:val="en-US"/>
                                    </w:rPr>
                                  </w:pPr>
                                  <w:r>
                                    <w:rPr>
                                      <w:lang w:val="en-US"/>
                                    </w:rPr>
                                    <w:t>Rightward saccade</w:t>
                                  </w:r>
                                </w:p>
                              </w:txbxContent>
                            </wps:txbx>
                            <wps:bodyPr rot="0" vert="horz" wrap="square" lIns="0" tIns="0" rIns="0" bIns="0" anchor="t" anchorCtr="0" upright="1">
                              <a:noAutofit/>
                            </wps:bodyPr>
                          </wps:wsp>
                        </wpg:grpSp>
                        <wpg:grpSp>
                          <wpg:cNvPr id="24128" name="Group 19487"/>
                          <wpg:cNvGrpSpPr>
                            <a:grpSpLocks/>
                          </wpg:cNvGrpSpPr>
                          <wpg:grpSpPr bwMode="auto">
                            <a:xfrm>
                              <a:off x="25273" y="27445"/>
                              <a:ext cx="3016" cy="19227"/>
                              <a:chOff x="-1111" y="-3892"/>
                              <a:chExt cx="3016" cy="19227"/>
                            </a:xfrm>
                          </wpg:grpSpPr>
                          <wps:wsp>
                            <wps:cNvPr id="24129" name="Straight Arrow Connector 19488"/>
                            <wps:cNvCnPr>
                              <a:cxnSpLocks noChangeShapeType="1"/>
                            </wps:cNvCnPr>
                            <wps:spPr bwMode="auto">
                              <a:xfrm rot="-5400000" flipH="1" flipV="1">
                                <a:off x="-8779" y="7668"/>
                                <a:ext cx="15335" cy="0"/>
                              </a:xfrm>
                              <a:prstGeom prst="straightConnector1">
                                <a:avLst/>
                              </a:prstGeom>
                              <a:noFill/>
                              <a:ln w="6350">
                                <a:solidFill>
                                  <a:srgbClr val="0000FF"/>
                                </a:solidFill>
                                <a:miter lim="800000"/>
                                <a:headEnd/>
                                <a:tailEnd type="triangle" w="med" len="med"/>
                              </a:ln>
                            </wps:spPr>
                            <wps:bodyPr/>
                          </wps:wsp>
                          <wps:wsp>
                            <wps:cNvPr id="24130" name="Text Box 1629"/>
                            <wps:cNvSpPr txBox="1">
                              <a:spLocks noChangeArrowheads="1"/>
                            </wps:cNvSpPr>
                            <wps:spPr bwMode="auto">
                              <a:xfrm rot="5400000" flipV="1">
                                <a:off x="-7988" y="3467"/>
                                <a:ext cx="17252" cy="2533"/>
                              </a:xfrm>
                              <a:prstGeom prst="rect">
                                <a:avLst/>
                              </a:prstGeom>
                              <a:solidFill>
                                <a:srgbClr val="FFFFFF"/>
                              </a:solidFill>
                              <a:ln>
                                <a:noFill/>
                              </a:ln>
                            </wps:spPr>
                            <wps:txbx>
                              <w:txbxContent>
                                <w:p w14:paraId="14C41E8C" w14:textId="77777777" w:rsidR="00527127" w:rsidRPr="000E63D8" w:rsidRDefault="00527127" w:rsidP="004D6A1D">
                                  <w:pPr>
                                    <w:spacing w:before="0"/>
                                    <w:rPr>
                                      <w:lang w:val="en-US"/>
                                    </w:rPr>
                                  </w:pPr>
                                  <w:r>
                                    <w:rPr>
                                      <w:lang w:val="en-US"/>
                                    </w:rPr>
                                    <w:t>Downward saccade</w:t>
                                  </w:r>
                                </w:p>
                              </w:txbxContent>
                            </wps:txbx>
                            <wps:bodyPr rot="0" vert="horz" wrap="square" lIns="0" tIns="0" rIns="0" bIns="0" anchor="t" anchorCtr="0" upright="1">
                              <a:noAutofit/>
                            </wps:bodyPr>
                          </wps:wsp>
                        </wpg:grpSp>
                        <wpg:grpSp>
                          <wpg:cNvPr id="24131" name="Group 19490"/>
                          <wpg:cNvGrpSpPr>
                            <a:grpSpLocks/>
                          </wpg:cNvGrpSpPr>
                          <wpg:grpSpPr bwMode="auto">
                            <a:xfrm>
                              <a:off x="24669" y="5334"/>
                              <a:ext cx="3937" cy="15335"/>
                              <a:chOff x="-1714" y="0"/>
                              <a:chExt cx="3937" cy="15335"/>
                            </a:xfrm>
                          </wpg:grpSpPr>
                          <wps:wsp>
                            <wps:cNvPr id="24132" name="Straight Arrow Connector 19491"/>
                            <wps:cNvCnPr>
                              <a:cxnSpLocks noChangeShapeType="1"/>
                            </wps:cNvCnPr>
                            <wps:spPr bwMode="auto">
                              <a:xfrm rot="5400000" flipH="1">
                                <a:off x="-9382" y="7668"/>
                                <a:ext cx="15335" cy="0"/>
                              </a:xfrm>
                              <a:prstGeom prst="straightConnector1">
                                <a:avLst/>
                              </a:prstGeom>
                              <a:noFill/>
                              <a:ln w="6350">
                                <a:solidFill>
                                  <a:srgbClr val="0000FF"/>
                                </a:solidFill>
                                <a:miter lim="800000"/>
                                <a:headEnd/>
                                <a:tailEnd type="triangle" w="med" len="med"/>
                              </a:ln>
                            </wps:spPr>
                            <wps:bodyPr/>
                          </wps:wsp>
                          <wps:wsp>
                            <wps:cNvPr id="24133" name="Text Box 1632"/>
                            <wps:cNvSpPr txBox="1">
                              <a:spLocks noChangeArrowheads="1"/>
                            </wps:cNvSpPr>
                            <wps:spPr bwMode="auto">
                              <a:xfrm rot="-5400000">
                                <a:off x="-5373" y="6122"/>
                                <a:ext cx="11761" cy="3428"/>
                              </a:xfrm>
                              <a:prstGeom prst="rect">
                                <a:avLst/>
                              </a:prstGeom>
                              <a:solidFill>
                                <a:srgbClr val="FFFFFF"/>
                              </a:solidFill>
                              <a:ln>
                                <a:noFill/>
                              </a:ln>
                            </wps:spPr>
                            <wps:txbx>
                              <w:txbxContent>
                                <w:p w14:paraId="70541886" w14:textId="77777777" w:rsidR="00527127" w:rsidRPr="000E63D8" w:rsidRDefault="00527127" w:rsidP="004D6A1D">
                                  <w:pPr>
                                    <w:spacing w:before="0" w:after="0"/>
                                    <w:rPr>
                                      <w:lang w:val="en-US"/>
                                    </w:rPr>
                                  </w:pPr>
                                  <w:r>
                                    <w:rPr>
                                      <w:lang w:val="en-US"/>
                                    </w:rPr>
                                    <w:t>Upward saccade</w:t>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C53FEEE" id="Group 24067" o:spid="_x0000_s1309" style="position:absolute;left:0;text-align:left;margin-left:14.45pt;margin-top:0;width:418.5pt;height:409.5pt;z-index:-251686912;mso-position-horizontal-relative:margin;mso-position-vertical-relative:text" coordsize="53149,56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">
                <v:group id="Group 214" o:spid="_x0000_s1310" style="position:absolute;width:53149;height:56388" coordsize="53149,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">
                  <v:line id="Straight Connector 215" o:spid="_x0000_s1311" style="position:absolute;visibility:visible;mso-wrap-style:square" from="95,9334" to="53149,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" strokecolor="black [3213]" strokeweight=".25pt">
                    <v:stroke joinstyle="miter"/>
                  </v:line>
                  <v:group id="Group 1569" o:spid="_x0000_s1312" style="position:absolute;width:53149;height:56388" coordorigin=",1809" coordsize="53149,5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">
                    <v:rect id="Rectangle 217" o:spid="_x0000_s1313" style="position:absolute;top:1809;width:53149;height:56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" filled="f" strokecolor="black [3213]" strokeweight=".5pt"/>
                    <v:group id="Group 218" o:spid="_x0000_s1314" style="position:absolute;left:952;top:2476;width:50984;height:53867" coordsize="50984,5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">
                      <v:group id="Group 219" o:spid="_x0000_s1315" style="position:absolute;width:50984;height:6306" coordsize="50984,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">
                        <v:rect id="Rectangle 220" o:spid="_x0000_s1316" style="position:absolute;width:2000;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" filled="f" stroked="f">
                          <v:textbox inset="0,0,0,0">
                            <w:txbxContent>
                              <w:p w14:paraId="731DEBCF" w14:textId="09C50F3A" w:rsidR="00527127" w:rsidRPr="00EE0AD3" w:rsidRDefault="00527127" w:rsidP="00147523">
                                <w:pPr>
                                  <w:spacing w:before="0" w:line="240" w:lineRule="auto"/>
                                  <w:rPr>
                                    <w:lang w:val="en-US"/>
                                  </w:rPr>
                                </w:pPr>
                                <w:r>
                                  <w:rPr>
                                    <w:lang w:val="en-US"/>
                                  </w:rPr>
                                  <w:t>A)</w:t>
                                </w:r>
                              </w:p>
                            </w:txbxContent>
                          </v:textbox>
                        </v:rect>
                        <v:group id="Group 221" o:spid="_x0000_s1317" style="position:absolute;left:3048;top:476;width:47936;height:5830" coordsize="47940,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">
                          <v:group id="Group 222" o:spid="_x0000_s1318" style="position:absolute;left:19337;width:9505;height:5831" coordorigin="-3703" coordsize="9364,5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">
                            <v:rect id="Rectangle 223" o:spid="_x0000_s1319" style="position:absolute;left:-3703;top:3229;width:9363;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" fillcolor="white [3201]" stroked="f">
                              <v:textbox inset="0,0,0,0">
                                <w:txbxContent>
                                  <w:p w14:paraId="085230AF" w14:textId="2F44CB36" w:rsidR="00527127" w:rsidRPr="004D6A1D" w:rsidRDefault="00527127" w:rsidP="004D6A1D">
                                    <w:pPr>
                                      <w:spacing w:before="0" w:after="0" w:line="240" w:lineRule="auto"/>
                                      <w:jc w:val="center"/>
                                      <w:rPr>
                                        <w:sz w:val="22"/>
                                        <w:szCs w:val="22"/>
                                      </w:rPr>
                                    </w:pPr>
                                    <w:r>
                                      <w:rPr>
                                        <w:sz w:val="22"/>
                                        <w:szCs w:val="22"/>
                                      </w:rPr>
                                      <w:t>PP</w:t>
                                    </w:r>
                                  </w:p>
                                  <w:p w14:paraId="54225ACD" w14:textId="77777777" w:rsidR="00527127" w:rsidRPr="004D6A1D" w:rsidRDefault="00527127" w:rsidP="00390EBC">
                                    <w:pPr>
                                      <w:rPr>
                                        <w:sz w:val="22"/>
                                        <w:szCs w:val="22"/>
                                      </w:rPr>
                                    </w:pPr>
                                  </w:p>
                                </w:txbxContent>
                              </v:textbox>
                            </v:rect>
                            <v:shape id="Shape 55" o:spid="_x0000_s1320" type="#_x0000_t75" style="position:absolute;width:2844;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">
                              <v:imagedata r:id="rId84" o:title=""/>
                            </v:shape>
                          </v:group>
                          <v:group id="Group 225" o:spid="_x0000_s1321" style="position:absolute;left:7716;width:2921;height:5289" coordorigin="8539" coordsize="2878,5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">
                            <v:rect id="Rectangle 226" o:spid="_x0000_s1322" style="position:absolute;left:8539;top:3347;width:2706;height:1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" fillcolor="white [3201]" stroked="f">
                              <v:textbox inset="0,0,0,0">
                                <w:txbxContent>
                                  <w:p w14:paraId="04F4CC5D" w14:textId="77777777" w:rsidR="00527127" w:rsidRDefault="00527127" w:rsidP="004D6A1D">
                                    <w:pPr>
                                      <w:spacing w:before="0"/>
                                    </w:pPr>
                                    <w:r>
                                      <w:t xml:space="preserve">-10° </w:t>
                                    </w:r>
                                  </w:p>
                                </w:txbxContent>
                              </v:textbox>
                            </v:rect>
                            <v:shape id="Shape 58" o:spid="_x0000_s1323" type="#_x0000_t75" style="position:absolute;left:8572;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">
                              <v:imagedata r:id="rId84" o:title=""/>
                            </v:shape>
                          </v:group>
                          <v:group id="Group 230" o:spid="_x0000_s1324" style="position:absolute;left:36945;width:3753;height:5289" coordorigin="-568,95" coordsize="3699,5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">
                            <v:rect id="Rectangle 231" o:spid="_x0000_s1325" style="position:absolute;left:-568;top:3026;width:3699;height:2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" fillcolor="white [3201]" stroked="f">
                              <v:textbox inset="0,0,0,0">
                                <w:txbxContent>
                                  <w:p w14:paraId="3D19443E" w14:textId="77777777" w:rsidR="00527127" w:rsidRDefault="00527127" w:rsidP="004D6A1D">
                                    <w:pPr>
                                      <w:spacing w:before="0"/>
                                    </w:pPr>
                                    <w:r>
                                      <w:t>+10°</w:t>
                                    </w:r>
                                  </w:p>
                                  <w:p w14:paraId="0D5BCEDA" w14:textId="77777777" w:rsidR="00527127" w:rsidRDefault="00527127" w:rsidP="00390EBC"/>
                                </w:txbxContent>
                              </v:textbox>
                            </v:rect>
                            <v:shape id="Shape 61" o:spid="_x0000_s1326" type="#_x0000_t75" style="position:absolute;top:95;width:2844;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">
                              <v:imagedata r:id="rId84" o:title=""/>
                            </v:shape>
                          </v:group>
                          <v:group id="Group 241" o:spid="_x0000_s1327" style="position:absolute;width:2921;height:5289" coordorigin="8539" coordsize="2878,5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">
                            <v:rect id="Rectangle 242" o:spid="_x0000_s1328" style="position:absolute;left:8539;top:3347;width:2706;height:1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" fillcolor="white [3201]" stroked="f">
                              <v:textbox inset="0,0,0,0">
                                <w:txbxContent>
                                  <w:p w14:paraId="2B228EC8" w14:textId="77777777" w:rsidR="00527127" w:rsidRDefault="00527127" w:rsidP="004D6A1D">
                                    <w:pPr>
                                      <w:spacing w:before="0"/>
                                    </w:pPr>
                                    <w:r>
                                      <w:t xml:space="preserve">-15° </w:t>
                                    </w:r>
                                  </w:p>
                                </w:txbxContent>
                              </v:textbox>
                            </v:rect>
                            <v:shape id="Shape 58" o:spid="_x0000_s1329" type="#_x0000_t75" style="position:absolute;left:8572;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">
                              <v:imagedata r:id="rId84" o:title=""/>
                            </v:shape>
                          </v:group>
                          <v:group id="Group 244" o:spid="_x0000_s1330" style="position:absolute;left:15433;width:2921;height:5289" coordorigin="8539" coordsize="2878,5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">
                            <v:rect id="Rectangle 245" o:spid="_x0000_s1331" style="position:absolute;left:8539;top:3347;width:2706;height:1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" fillcolor="white [3201]" stroked="f">
                              <v:textbox inset="0,0,0,0">
                                <w:txbxContent>
                                  <w:p w14:paraId="24B285C3" w14:textId="77777777" w:rsidR="00527127" w:rsidRDefault="00527127" w:rsidP="004D6A1D">
                                    <w:pPr>
                                      <w:spacing w:before="0"/>
                                    </w:pPr>
                                    <w:r>
                                      <w:t xml:space="preserve">-5° </w:t>
                                    </w:r>
                                  </w:p>
                                </w:txbxContent>
                              </v:textbox>
                            </v:rect>
                            <v:shape id="Shape 58" o:spid="_x0000_s1332" type="#_x0000_t75" style="position:absolute;left:8572;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">
                              <v:imagedata r:id="rId84" o:title=""/>
                            </v:shape>
                          </v:group>
                          <v:group id="Group 247" o:spid="_x0000_s1333" style="position:absolute;left:44187;width:3753;height:5430" coordorigin="-568,95" coordsize="3699,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">
                            <v:rect id="Rectangle 248" o:spid="_x0000_s1334" style="position:absolute;left:-568;top:3026;width:3699;height:2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" fillcolor="white [3201]" stroked="f">
                              <v:textbox inset="0,0,0,0">
                                <w:txbxContent>
                                  <w:p w14:paraId="0E9C65B7" w14:textId="77777777" w:rsidR="00527127" w:rsidRDefault="00527127" w:rsidP="004D6A1D">
                                    <w:pPr>
                                      <w:spacing w:before="0"/>
                                    </w:pPr>
                                    <w:r>
                                      <w:t>+15°</w:t>
                                    </w:r>
                                  </w:p>
                                  <w:p w14:paraId="20F6D6F4" w14:textId="77777777" w:rsidR="00527127" w:rsidRDefault="00527127" w:rsidP="00390EBC"/>
                                </w:txbxContent>
                              </v:textbox>
                            </v:rect>
                            <v:shape id="Shape 61" o:spid="_x0000_s1335" type="#_x0000_t75" style="position:absolute;top:95;width:2844;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">
                              <v:imagedata r:id="rId84" o:title=""/>
                            </v:shape>
                          </v:group>
                          <v:group id="Group 250" o:spid="_x0000_s1336" style="position:absolute;left:29757;width:3753;height:4858" coordorigin="-56842,9525" coordsize="369985,47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">
                            <v:rect id="Rectangle 251" o:spid="_x0000_s1337" style="position:absolute;left:-56842;top:302672;width:369985;height:180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" fillcolor="white [3201]" stroked="f">
                              <v:textbox inset="0,0,0,0">
                                <w:txbxContent>
                                  <w:p w14:paraId="15AF957E" w14:textId="77777777" w:rsidR="00527127" w:rsidRDefault="00527127" w:rsidP="004D6A1D">
                                    <w:pPr>
                                      <w:spacing w:before="0"/>
                                    </w:pPr>
                                    <w:r>
                                      <w:t>+5°</w:t>
                                    </w:r>
                                  </w:p>
                                  <w:p w14:paraId="0C06C89C" w14:textId="77777777" w:rsidR="00527127" w:rsidRDefault="00527127" w:rsidP="00390EBC"/>
                                </w:txbxContent>
                              </v:textbox>
                            </v:rect>
                            <v:shape id="Shape 61" o:spid="_x0000_s1338" type="#_x0000_t75" style="position:absolute;top:9525;width:284480;height:28384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">
                              <v:imagedata r:id="rId84" o:title=""/>
                            </v:shape>
                          </v:group>
                        </v:group>
                      </v:group>
                      <v:group id="Group 255" o:spid="_x0000_s1339" style="position:absolute;left:20383;top:11004;width:15526;height:42863" coordorigin="-1333,-139" coordsize="15525,4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">
                        <v:rect id="Rectangle 19456" o:spid="_x0000_s1340" style="position:absolute;left:-1333;top:-139;width:1999;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" filled="f" stroked="f">
                          <v:textbox inset="0,0,0,0">
                            <w:txbxContent>
                              <w:p w14:paraId="7ECA3C55" w14:textId="7A736608" w:rsidR="00527127" w:rsidRPr="00EE0AD3" w:rsidRDefault="00527127" w:rsidP="004D6A1D">
                                <w:pPr>
                                  <w:spacing w:before="0"/>
                                  <w:rPr>
                                    <w:lang w:val="en-US"/>
                                  </w:rPr>
                                </w:pPr>
                                <w:r>
                                  <w:rPr>
                                    <w:lang w:val="en-US"/>
                                  </w:rPr>
                                  <w:t>B)</w:t>
                                </w:r>
                              </w:p>
                            </w:txbxContent>
                          </v:textbox>
                        </v:rect>
                        <v:group id="Group 19457" o:spid="_x0000_s1341" style="position:absolute;left:1542;width:12650;height:42722" coordorigin="-3124,-190" coordsize="12649,4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">
                          <v:group id="Group 19458" o:spid="_x0000_s1342" style="position:absolute;left:-3124;top:19431;width:12649;height:2907" coordorigin="-3080,-185" coordsize="12469,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">
                            <v:rect id="Rectangle 19459" o:spid="_x0000_s1343" style="position:absolute;left:751;top:92;width:8638;height:2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" fillcolor="white [3201]" stroked="f">
                              <v:textbox inset="0,0,0,0">
                                <w:txbxContent>
                                  <w:p w14:paraId="6516B62B" w14:textId="2BA56F21" w:rsidR="00527127" w:rsidRPr="00796B50" w:rsidRDefault="00527127" w:rsidP="004D6A1D">
                                    <w:pPr>
                                      <w:spacing w:before="0"/>
                                    </w:pPr>
                                    <w:r>
                                      <w:t>PP</w:t>
                                    </w:r>
                                  </w:p>
                                  <w:p w14:paraId="335769FC" w14:textId="77777777" w:rsidR="00527127" w:rsidRDefault="00527127" w:rsidP="00390EBC"/>
                                </w:txbxContent>
                              </v:textbox>
                            </v:rect>
                            <v:shape id="Shape 55" o:spid="_x0000_s1344" type="#_x0000_t75" style="position:absolute;left:-3080;top:-185;width:2845;height:28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">
                              <v:imagedata r:id="rId84" o:title=""/>
                            </v:shape>
                          </v:group>
                          <v:group id="Group 19462" o:spid="_x0000_s1345" style="position:absolute;left:-3124;top:26193;width:6032;height:2902" coordorigin="5480,-186" coordsize="5968,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">
                            <v:rect id="Rectangle 19463" o:spid="_x0000_s1346" style="position:absolute;left:8744;width:2705;height:1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" fillcolor="white [3201]" stroked="f">
                              <v:textbox inset="0,0,0,0">
                                <w:txbxContent>
                                  <w:p w14:paraId="2F495DC2" w14:textId="0A9FCFDE" w:rsidR="00527127" w:rsidRDefault="00527127" w:rsidP="004D6A1D">
                                    <w:pPr>
                                      <w:spacing w:before="0"/>
                                    </w:pPr>
                                    <w:r>
                                      <w:t>-4°</w:t>
                                    </w:r>
                                  </w:p>
                                </w:txbxContent>
                              </v:textbox>
                            </v:rect>
                            <v:shape id="Shape 58" o:spid="_x0000_s1347" type="#_x0000_t75" style="position:absolute;left:5480;top:-186;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">
                              <v:imagedata r:id="rId84" o:title=""/>
                            </v:shape>
                          </v:group>
                          <v:group id="Group 19465" o:spid="_x0000_s1348" style="position:absolute;left:-3124;top:-190;width:7537;height:2901" coordorigin="-3081,-91" coordsize="743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">
                            <v:rect id="Rectangle 19466" o:spid="_x0000_s1349" style="position:absolute;left:652;top:609;width:3699;height:1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" fillcolor="white [3201]" stroked="f">
                              <v:textbox inset="0,0,0,0">
                                <w:txbxContent>
                                  <w:p w14:paraId="5E45C59D" w14:textId="77777777" w:rsidR="00527127" w:rsidRDefault="00527127" w:rsidP="004D6A1D">
                                    <w:pPr>
                                      <w:spacing w:before="0"/>
                                    </w:pPr>
                                    <w:r>
                                      <w:t>+8°</w:t>
                                    </w:r>
                                  </w:p>
                                  <w:p w14:paraId="35BB1398" w14:textId="77777777" w:rsidR="00527127" w:rsidRDefault="00527127" w:rsidP="00390EBC"/>
                                </w:txbxContent>
                              </v:textbox>
                            </v:rect>
                            <v:shape id="Shape 61" o:spid="_x0000_s1350" type="#_x0000_t75" style="position:absolute;left:-3081;top:-91;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">
                              <v:imagedata r:id="rId84" o:title=""/>
                            </v:shape>
                          </v:group>
                          <v:group id="Group 19468" o:spid="_x0000_s1351" style="position:absolute;left:-3124;top:39624;width:6308;height:2908" coordorigin="5489,-185" coordsize="6225,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">
                            <v:rect id="Rectangle 19469" o:spid="_x0000_s1352" style="position:absolute;left:9008;top:45;width:2706;height:1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" fillcolor="white [3201]" stroked="f">
                              <v:textbox inset="0,0,0,0">
                                <w:txbxContent>
                                  <w:p w14:paraId="3814F88C" w14:textId="567C563E" w:rsidR="00527127" w:rsidRDefault="00527127" w:rsidP="004D6A1D">
                                    <w:pPr>
                                      <w:spacing w:before="0"/>
                                    </w:pPr>
                                    <w:r>
                                      <w:t>-8°</w:t>
                                    </w:r>
                                  </w:p>
                                </w:txbxContent>
                              </v:textbox>
                            </v:rect>
                            <v:shape id="Shape 58" o:spid="_x0000_s1353" type="#_x0000_t75" style="position:absolute;left:5489;top:-185;width:2845;height:28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">
                              <v:imagedata r:id="rId84" o:title=""/>
                            </v:shape>
                          </v:group>
                          <v:group id="Group 19471" o:spid="_x0000_s1354" style="position:absolute;left:-3124;top:12763;width:6305;height:2902" coordorigin="5485,-186" coordsize="6229,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">
                            <v:rect id="Rectangle 19472" o:spid="_x0000_s1355" style="position:absolute;left:9009;top:275;width:2706;height:1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" fillcolor="white [3201]" stroked="f">
                              <v:textbox inset="0,0,0,0">
                                <w:txbxContent>
                                  <w:p w14:paraId="07FF7AA0" w14:textId="40F4CE6C" w:rsidR="00527127" w:rsidRDefault="00527127" w:rsidP="004D6A1D">
                                    <w:pPr>
                                      <w:spacing w:before="0"/>
                                    </w:pPr>
                                    <w:r>
                                      <w:t>+4°</w:t>
                                    </w:r>
                                  </w:p>
                                </w:txbxContent>
                              </v:textbox>
                            </v:rect>
                            <v:shape id="Shape 58" o:spid="_x0000_s1356" type="#_x0000_t75" style="position:absolute;left:5485;top:-186;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">
                              <v:imagedata r:id="rId84" o:title=""/>
                            </v:shape>
                          </v:group>
                          <v:group id="Group 19474" o:spid="_x0000_s1357" style="position:absolute;left:-3124;top:32956;width:7318;height:2902" coordorigin="-3081,-91" coordsize="7217,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">
                            <v:rect id="Rectangle 19475" o:spid="_x0000_s1358" style="position:absolute;left:436;top:161;width:3700;height:2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" fillcolor="white [3201]" stroked="f">
                              <v:textbox inset="0,0,0,0">
                                <w:txbxContent>
                                  <w:p w14:paraId="53746CA0" w14:textId="77777777" w:rsidR="00527127" w:rsidRDefault="00527127" w:rsidP="004D6A1D">
                                    <w:pPr>
                                      <w:spacing w:before="0"/>
                                    </w:pPr>
                                    <w:r>
                                      <w:t>-6°</w:t>
                                    </w:r>
                                  </w:p>
                                  <w:p w14:paraId="34781C41" w14:textId="77777777" w:rsidR="00527127" w:rsidRDefault="00527127" w:rsidP="00390EBC"/>
                                </w:txbxContent>
                              </v:textbox>
                            </v:rect>
                            <v:shape id="Shape 61" o:spid="_x0000_s1359" type="#_x0000_t75" style="position:absolute;left:-3081;top:-91;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">
                              <v:imagedata r:id="rId84" o:title=""/>
                            </v:shape>
                          </v:group>
                          <v:group id="Group 19477" o:spid="_x0000_s1360" style="position:absolute;left:-3124;top:6096;width:7537;height:2901" coordorigin="-3081,-91" coordsize="743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">
                            <v:rect id="Rectangle 19478" o:spid="_x0000_s1361" style="position:absolute;left:652;top:330;width:3699;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" fillcolor="white [3201]" stroked="f">
                              <v:textbox inset="0,0,0,0">
                                <w:txbxContent>
                                  <w:p w14:paraId="0D4746E1" w14:textId="77777777" w:rsidR="00527127" w:rsidRDefault="00527127" w:rsidP="004D6A1D">
                                    <w:pPr>
                                      <w:spacing w:before="0"/>
                                    </w:pPr>
                                    <w:r>
                                      <w:t>+6°</w:t>
                                    </w:r>
                                  </w:p>
                                  <w:p w14:paraId="0276E4C2" w14:textId="77777777" w:rsidR="00527127" w:rsidRDefault="00527127" w:rsidP="00390EBC"/>
                                </w:txbxContent>
                              </v:textbox>
                            </v:rect>
                            <v:shape id="Shape 61" o:spid="_x0000_s1362" type="#_x0000_t75" style="position:absolute;left:-3081;top:-91;width:2845;height:28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">
                              <v:imagedata r:id="rId84" o:title=""/>
                            </v:shape>
                          </v:group>
                        </v:group>
                      </v:group>
                    </v:group>
                  </v:group>
                </v:group>
                <v:group id="Group 19480" o:spid="_x0000_s1363" style="position:absolute;left:6572;top:6667;width:42767;height:47054" coordorigin=",-381" coordsize="42767,47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">
                  <v:group id="Group 19481" o:spid="_x0000_s1364" style="position:absolute;width:15430;height:2000" coordsize="15430,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">
                    <v:shape id="Straight Arrow Connector 19482" o:spid="_x0000_s1365" type="#_x0000_t32" style="position:absolute;width:1533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" strokecolor="blue" strokeweight=".5pt">
                      <v:stroke endarrow="block" joinstyle="miter"/>
                    </v:shape>
                    <v:shape id="Text Box 1623" o:spid="_x0000_s1366" type="#_x0000_t202" style="position:absolute;left:3048;top:190;width:1238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" stroked="f">
                      <v:textbox inset="0,0,0,0">
                        <w:txbxContent>
                          <w:p w14:paraId="7CE76738" w14:textId="77777777" w:rsidR="00527127" w:rsidRPr="000E63D8" w:rsidRDefault="00527127" w:rsidP="00390EBC">
                            <w:pPr>
                              <w:rPr>
                                <w:lang w:val="en-US"/>
                              </w:rPr>
                            </w:pPr>
                            <w:r>
                              <w:rPr>
                                <w:lang w:val="en-US"/>
                              </w:rPr>
                              <w:t>Leftward saccade</w:t>
                            </w:r>
                          </w:p>
                        </w:txbxContent>
                      </v:textbox>
                    </v:shape>
                  </v:group>
                  <v:group id="Group 19484" o:spid="_x0000_s1367" style="position:absolute;left:27432;top:-381;width:15335;height:2286" coordorigin=",-381" coordsize="1533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">
                    <v:shape id="Straight Arrow Connector 19485" o:spid="_x0000_s1368" type="#_x0000_t32" style="position:absolute;top:-381;width:153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" strokecolor="blue" strokeweight=".5pt">
                      <v:stroke endarrow="block" joinstyle="miter"/>
                    </v:shape>
                    <v:shape id="Text Box 1626" o:spid="_x0000_s1369" type="#_x0000_t202" style="position:absolute;left:285;top:-190;width:12383;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" stroked="f">
                      <v:textbox inset="0,0,0,0">
                        <w:txbxContent>
                          <w:p w14:paraId="5F54CCCC" w14:textId="77777777" w:rsidR="00527127" w:rsidRPr="000E63D8" w:rsidRDefault="00527127" w:rsidP="00390EBC">
                            <w:pPr>
                              <w:rPr>
                                <w:lang w:val="en-US"/>
                              </w:rPr>
                            </w:pPr>
                            <w:r>
                              <w:rPr>
                                <w:lang w:val="en-US"/>
                              </w:rPr>
                              <w:t>Rightward saccade</w:t>
                            </w:r>
                          </w:p>
                        </w:txbxContent>
                      </v:textbox>
                    </v:shape>
                  </v:group>
                  <v:group id="Group 19487" o:spid="_x0000_s1370" style="position:absolute;left:25273;top:27445;width:3016;height:19227" coordorigin="-1111,-3892" coordsize="3016,1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">
                    <v:shape id="Straight Arrow Connector 19488" o:spid="_x0000_s1371" type="#_x0000_t32" style="position:absolute;left:-8779;top:7668;width:15335;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" strokecolor="blue" strokeweight=".5pt">
                      <v:stroke endarrow="block" joinstyle="miter"/>
                    </v:shape>
                    <v:shape id="Text Box 1629" o:spid="_x0000_s1372" type="#_x0000_t202" style="position:absolute;left:-7988;top:3467;width:17252;height:2533;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" stroked="f">
                      <v:textbox inset="0,0,0,0">
                        <w:txbxContent>
                          <w:p w14:paraId="14C41E8C" w14:textId="77777777" w:rsidR="00527127" w:rsidRPr="000E63D8" w:rsidRDefault="00527127" w:rsidP="004D6A1D">
                            <w:pPr>
                              <w:spacing w:before="0"/>
                              <w:rPr>
                                <w:lang w:val="en-US"/>
                              </w:rPr>
                            </w:pPr>
                            <w:r>
                              <w:rPr>
                                <w:lang w:val="en-US"/>
                              </w:rPr>
                              <w:t>Downward saccade</w:t>
                            </w:r>
                          </w:p>
                        </w:txbxContent>
                      </v:textbox>
                    </v:shape>
                  </v:group>
                  <v:group id="Group 19490" o:spid="_x0000_s1373" style="position:absolute;left:24669;top:5334;width:3937;height:15335" coordorigin="-1714" coordsize="3937,15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">
                    <v:shape id="Straight Arrow Connector 19491" o:spid="_x0000_s1374" type="#_x0000_t32" style="position:absolute;left:-9382;top:7668;width:15335;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" strokecolor="blue" strokeweight=".5pt">
                      <v:stroke endarrow="block" joinstyle="miter"/>
                    </v:shape>
                    <v:shape id="Text Box 1632" o:spid="_x0000_s1375" type="#_x0000_t202" style="position:absolute;left:-5373;top:6122;width:11761;height:342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" stroked="f">
                      <v:textbox inset="0,0,0,0">
                        <w:txbxContent>
                          <w:p w14:paraId="70541886" w14:textId="77777777" w:rsidR="00527127" w:rsidRPr="000E63D8" w:rsidRDefault="00527127" w:rsidP="004D6A1D">
                            <w:pPr>
                              <w:spacing w:before="0" w:after="0"/>
                              <w:rPr>
                                <w:lang w:val="en-US"/>
                              </w:rPr>
                            </w:pPr>
                            <w:r>
                              <w:rPr>
                                <w:lang w:val="en-US"/>
                              </w:rPr>
                              <w:t>Upward saccade</w:t>
                            </w:r>
                          </w:p>
                        </w:txbxContent>
                      </v:textbox>
                    </v:shape>
                  </v:group>
                </v:group>
                <w10:wrap type="tight" anchorx="margin"/>
              </v:group>
            </w:pict>
          </mc:Fallback>
        </mc:AlternateContent>
      </w:r>
      <w:r w:rsidR="00060483"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9</w:t>
      </w:r>
      <w:r w:rsidR="002E63E9" w:rsidRPr="009D4627">
        <w:rPr>
          <w:noProof/>
        </w:rPr>
        <w:fldChar w:fldCharType="end"/>
      </w:r>
      <w:r w:rsidR="00060483" w:rsidRPr="009D4627">
        <w:t xml:space="preserve">: </w:t>
      </w:r>
      <w:r w:rsidR="002D48BF" w:rsidRPr="009D4627">
        <w:t>The target arrangement for horizontal and vertical saccade amplitudes. Only one target was presented at a time for the horizontal and vertical saccade tests</w:t>
      </w:r>
      <w:r w:rsidR="00547D87" w:rsidRPr="009D4627">
        <w:t>.</w:t>
      </w:r>
      <w:bookmarkEnd w:id="192"/>
    </w:p>
    <w:p w14:paraId="11DEA222" w14:textId="77777777" w:rsidR="00147523" w:rsidRPr="009D4627" w:rsidRDefault="00147523" w:rsidP="00147523">
      <w:pPr>
        <w:spacing w:before="0" w:line="240" w:lineRule="auto"/>
        <w:jc w:val="center"/>
        <w:rPr>
          <w:sz w:val="20"/>
          <w:szCs w:val="20"/>
        </w:rPr>
      </w:pPr>
    </w:p>
    <w:p w14:paraId="73A1272E" w14:textId="6E51DDD1" w:rsidR="00547D87" w:rsidRPr="009D4627" w:rsidRDefault="00547D87" w:rsidP="00D04E3B">
      <w:pPr>
        <w:pStyle w:val="Heading2"/>
      </w:pPr>
      <w:bookmarkStart w:id="193" w:name="_3rdcrjn" w:colFirst="0" w:colLast="0"/>
      <w:bookmarkStart w:id="194" w:name="_zdpbilq7kyjq" w:colFirst="0" w:colLast="0"/>
      <w:bookmarkStart w:id="195" w:name="_d1e5hklpcygo" w:colFirst="0" w:colLast="0"/>
      <w:bookmarkStart w:id="196" w:name="_26in1rg" w:colFirst="0" w:colLast="0"/>
      <w:bookmarkStart w:id="197" w:name="_Toc98964647"/>
      <w:bookmarkStart w:id="198" w:name="_Toc103344693"/>
      <w:bookmarkEnd w:id="193"/>
      <w:bookmarkEnd w:id="194"/>
      <w:bookmarkEnd w:id="195"/>
      <w:bookmarkEnd w:id="196"/>
      <w:r w:rsidRPr="009D4627">
        <w:t>Data analysis</w:t>
      </w:r>
      <w:bookmarkEnd w:id="197"/>
      <w:bookmarkEnd w:id="198"/>
    </w:p>
    <w:p w14:paraId="5D3B32B0" w14:textId="77777777" w:rsidR="00615606" w:rsidRPr="009D4627" w:rsidRDefault="00615606" w:rsidP="00615606">
      <w:pPr>
        <w:pStyle w:val="Body"/>
        <w:rPr>
          <w:b/>
          <w:bCs/>
        </w:rPr>
      </w:pPr>
      <w:r w:rsidRPr="009D4627">
        <w:rPr>
          <w:rFonts w:eastAsia="Arial Unicode MS"/>
          <w:lang w:val="en-US"/>
        </w:rPr>
        <w:t>Data were extracted using .</w:t>
      </w:r>
      <w:proofErr w:type="spellStart"/>
      <w:r w:rsidRPr="009D4627">
        <w:rPr>
          <w:rFonts w:eastAsia="Arial Unicode MS"/>
          <w:i/>
          <w:iCs/>
        </w:rPr>
        <w:t>edf</w:t>
      </w:r>
      <w:proofErr w:type="spellEnd"/>
      <w:r w:rsidRPr="009D4627">
        <w:rPr>
          <w:rFonts w:eastAsia="Arial Unicode MS"/>
          <w:lang w:val="en-US"/>
        </w:rPr>
        <w:t xml:space="preserve"> files from the DV software provided by SR research, installed in the display PC at the laboratory. This process was performed offline. The extracted data were saved as an Excel spreadsheet on an external hard disk for further statistical analysis.</w:t>
      </w:r>
    </w:p>
    <w:p w14:paraId="226D59D0" w14:textId="4D87253C" w:rsidR="00547D87" w:rsidRPr="009D4627" w:rsidRDefault="00615606" w:rsidP="00615606">
      <w:r w:rsidRPr="009D4627">
        <w:rPr>
          <w:rFonts w:eastAsia="Arial Unicode MS"/>
          <w:lang w:val="en-US"/>
        </w:rPr>
        <w:lastRenderedPageBreak/>
        <w:t xml:space="preserve">Data analysis was performed using Statistical Package for the Social Sciences (SPSS) statistics for Windows, Version 26.0 (IBM Corp., Armonk, New York). </w:t>
      </w:r>
      <w:r w:rsidR="00533BD5" w:rsidRPr="00533BD5">
        <w:rPr>
          <w:rFonts w:eastAsia="Arial Unicode MS"/>
          <w:lang w:val="en-US"/>
        </w:rPr>
        <w:t>The experimental chapters have included detailed descriptions of the statistical tests applied (Chapters 3, 4 and 5).</w:t>
      </w:r>
    </w:p>
    <w:p w14:paraId="26661848" w14:textId="7EE36579" w:rsidR="00547D87" w:rsidRPr="009D4627" w:rsidRDefault="00BC193A" w:rsidP="00DC4CA6">
      <w:pPr>
        <w:pStyle w:val="Heading3"/>
      </w:pPr>
      <w:bookmarkStart w:id="199" w:name="_Toc98964648"/>
      <w:bookmarkStart w:id="200" w:name="_Toc103344694"/>
      <w:r>
        <w:t>Dwell time within three AOIs</w:t>
      </w:r>
      <w:bookmarkEnd w:id="199"/>
      <w:bookmarkEnd w:id="200"/>
    </w:p>
    <w:p w14:paraId="641B2E80" w14:textId="6FAACF8D" w:rsidR="00034492" w:rsidRPr="009D4627" w:rsidRDefault="00615606" w:rsidP="00390EBC">
      <w:r w:rsidRPr="009D4627">
        <w:rPr>
          <w:rFonts w:eastAsia="Arial Unicode MS"/>
          <w:lang w:val="en-US"/>
        </w:rPr>
        <w:t>Standard circular areas of interest</w:t>
      </w:r>
      <w:r w:rsidR="00BC193A">
        <w:rPr>
          <w:rFonts w:eastAsia="Arial Unicode MS"/>
          <w:lang w:val="en-US"/>
        </w:rPr>
        <w:t>s</w:t>
      </w:r>
      <w:r w:rsidRPr="009D4627">
        <w:rPr>
          <w:rFonts w:eastAsia="Arial Unicode MS"/>
          <w:lang w:val="en-US"/>
        </w:rPr>
        <w:t xml:space="preserve"> (AOI</w:t>
      </w:r>
      <w:r w:rsidR="00BC193A">
        <w:rPr>
          <w:rFonts w:eastAsia="Arial Unicode MS"/>
          <w:lang w:val="en-US"/>
        </w:rPr>
        <w:t>s</w:t>
      </w:r>
      <w:r w:rsidRPr="009D4627">
        <w:rPr>
          <w:rFonts w:eastAsia="Arial Unicode MS"/>
          <w:lang w:val="en-US"/>
        </w:rPr>
        <w:t xml:space="preserve">) were set-up for the data extraction process and were applied for all experimental studies. AOIs were created to assess the duration participants kept their eyes within the specific area during the recording period </w:t>
      </w:r>
      <w:r w:rsidRPr="009D4627">
        <w:fldChar w:fldCharType="begin"/>
      </w:r>
      <w:r w:rsidRPr="009D4627">
        <w:instrText xml:space="preserve"> ADDIN EN.CITE &lt;EndNote&gt;&lt;Cite  &gt;&lt;Author&gt;Holmqvist&lt;/Author&gt;&lt;Year&gt;2011&lt;/Year&gt;&lt;RecNum&gt;696&lt;/RecNum&gt;&lt;DisplayText&gt;(Holmqvist, 2011)&lt;/DisplayText&gt;&lt;record&gt;&lt;keywords&gt;&lt;keyword&gt;Human-computer interaction&lt;/keyword&gt;&lt;keyword&gt;Computer graphics&lt;/keyword&gt;&lt;keyword&gt;Computer art&lt;/keyword&gt;&lt;keyword&gt;Graphic arts&lt;/keyword&gt;&lt;keyword&gt;Electronic data processing&lt;/keyword&gt;&lt;keyword&gt;Engineering graphics&lt;/keyword&gt;&lt;keyword&gt;Image processing -- Digital techniques&lt;/keyword&gt;&lt;keyword&gt;Human engineering&lt;/keyword&gt;&lt;keyword&gt;User-centered system design&lt;/keyword&gt;&lt;keyword&gt;User interfaces (Computer systems)&lt;/keyword&gt;&lt;/keywords&gt;&lt;isbn&gt;9780199697083&amp;#13;0199697086&lt;/isbn&gt;&lt;titles&gt;&lt;title&gt;Eye tracking : a comprehensive guide to methods and measures&lt;/title&gt;&lt;/titles&gt;&lt;contributors&gt;&lt;authors&gt;&lt;author&gt;Holmqvist, Kenneth&lt;/author&gt;&lt;/authors&gt;&lt;/contributors&gt;&lt;added-date format="utc"&gt;1584459468&lt;/added-date&gt;&lt;pub-location&gt;Oxford&lt;/pub-location&gt;&lt;ref-type name="Book"&gt;6&lt;/ref-type&gt;&lt;dates&gt;&lt;year&gt;2011&lt;/year&gt;&lt;/dates&gt;&lt;rec-number&gt;696&lt;/rec-number&gt;&lt;publisher&gt;Oxford : Oxford University Press, 2011&lt;/publisher&gt;&lt;last-updated-date format="utc"&gt;1584459468&lt;/last-updated-date&gt;&lt;/record&gt;&lt;/Cite&gt;&lt;/EndNote&gt;</w:instrText>
      </w:r>
      <w:r w:rsidRPr="009D4627">
        <w:fldChar w:fldCharType="separate"/>
      </w:r>
      <w:r w:rsidRPr="009D4627">
        <w:rPr>
          <w:rFonts w:eastAsia="Arial Unicode MS"/>
        </w:rPr>
        <w:t>(</w:t>
      </w:r>
      <w:proofErr w:type="spellStart"/>
      <w:r w:rsidRPr="009D4627">
        <w:rPr>
          <w:rFonts w:eastAsia="Arial Unicode MS"/>
        </w:rPr>
        <w:t>Holmqvist</w:t>
      </w:r>
      <w:proofErr w:type="spellEnd"/>
      <w:r w:rsidRPr="009D4627">
        <w:rPr>
          <w:rFonts w:eastAsia="Arial Unicode MS"/>
        </w:rPr>
        <w:t>, 2011)</w:t>
      </w:r>
      <w:r w:rsidRPr="009D4627">
        <w:fldChar w:fldCharType="end"/>
      </w:r>
      <w:r w:rsidRPr="009D4627">
        <w:rPr>
          <w:rFonts w:eastAsia="Arial Unicode MS"/>
          <w:lang w:val="en-US"/>
        </w:rPr>
        <w:t xml:space="preserve"> or whether the eyes were fixating outside the AOI. Three AOIs were used to </w:t>
      </w:r>
      <w:proofErr w:type="spellStart"/>
      <w:r w:rsidRPr="009D4627">
        <w:rPr>
          <w:rFonts w:eastAsia="Arial Unicode MS"/>
          <w:lang w:val="en-US"/>
        </w:rPr>
        <w:t>analyse</w:t>
      </w:r>
      <w:proofErr w:type="spellEnd"/>
      <w:r w:rsidRPr="009D4627">
        <w:rPr>
          <w:rFonts w:eastAsia="Arial Unicode MS"/>
          <w:lang w:val="en-US"/>
        </w:rPr>
        <w:t xml:space="preserve"> fixation eye movement performance for Experiments 1 to 4. The smallest AOI covered a 1.0</w:t>
      </w:r>
      <w:r w:rsidRPr="009D4627">
        <w:rPr>
          <w:lang w:val="en-US"/>
        </w:rPr>
        <w:t>°</w:t>
      </w:r>
      <w:r w:rsidRPr="009D4627">
        <w:rPr>
          <w:rFonts w:eastAsia="Arial Unicode MS"/>
          <w:lang w:val="en-US"/>
        </w:rPr>
        <w:t xml:space="preserve"> radius from the </w:t>
      </w:r>
      <w:proofErr w:type="spellStart"/>
      <w:r w:rsidRPr="009D4627">
        <w:rPr>
          <w:rFonts w:eastAsia="Arial Unicode MS"/>
          <w:lang w:val="en-US"/>
        </w:rPr>
        <w:t>centre</w:t>
      </w:r>
      <w:proofErr w:type="spellEnd"/>
      <w:r w:rsidRPr="009D4627">
        <w:rPr>
          <w:rFonts w:eastAsia="Arial Unicode MS"/>
          <w:lang w:val="en-US"/>
        </w:rPr>
        <w:t xml:space="preserve"> of the fixation target cross, the medium AOI covered area &gt; </w:t>
      </w:r>
      <w:r w:rsidRPr="009D4627">
        <w:rPr>
          <w:rFonts w:eastAsia="Arial Unicode MS"/>
        </w:rPr>
        <w:t>1</w:t>
      </w:r>
      <w:r w:rsidRPr="00E82E69">
        <w:rPr>
          <w:rFonts w:eastAsia="Arial Unicode MS"/>
        </w:rPr>
        <w:t xml:space="preserve">° </w:t>
      </w:r>
      <w:r w:rsidRPr="009D4627">
        <w:rPr>
          <w:rFonts w:eastAsia="Arial Unicode MS"/>
          <w:lang w:val="en-US"/>
        </w:rPr>
        <w:t>to 2</w:t>
      </w:r>
      <w:r w:rsidRPr="009D4627">
        <w:rPr>
          <w:lang w:val="en-US"/>
        </w:rPr>
        <w:t xml:space="preserve">° </w:t>
      </w:r>
      <w:r w:rsidRPr="009D4627">
        <w:rPr>
          <w:rFonts w:eastAsia="Arial Unicode MS"/>
          <w:lang w:val="en-US"/>
        </w:rPr>
        <w:t>radius, and the large AOI covered an area beyond 2</w:t>
      </w:r>
      <w:r w:rsidRPr="009D4627">
        <w:rPr>
          <w:lang w:val="en-US"/>
        </w:rPr>
        <w:t>°</w:t>
      </w:r>
      <w:r w:rsidRPr="009D4627">
        <w:rPr>
          <w:rFonts w:eastAsia="Arial Unicode MS"/>
          <w:lang w:val="en-US"/>
        </w:rPr>
        <w:t xml:space="preserve"> radius area, as shown in Figure 2.10</w:t>
      </w:r>
      <w:r w:rsidR="00547D87" w:rsidRPr="009D4627">
        <w:t xml:space="preserve">. </w:t>
      </w:r>
    </w:p>
    <w:p w14:paraId="4B7CA023" w14:textId="77777777" w:rsidR="00FF2832" w:rsidRPr="009D4627" w:rsidRDefault="00FF2832" w:rsidP="00074FBF">
      <w:pPr>
        <w:spacing w:before="0" w:after="0" w:line="240" w:lineRule="auto"/>
        <w:jc w:val="center"/>
      </w:pPr>
      <w:r w:rsidRPr="009D4627">
        <w:rPr>
          <w:noProof/>
          <w:lang w:val="en-US"/>
        </w:rPr>
        <w:drawing>
          <wp:inline distT="0" distB="0" distL="0" distR="0" wp14:anchorId="7E733A0E" wp14:editId="7E753EDB">
            <wp:extent cx="4912360" cy="1658620"/>
            <wp:effectExtent l="19050" t="19050" r="21590" b="1778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12360" cy="1658620"/>
                    </a:xfrm>
                    <a:prstGeom prst="rect">
                      <a:avLst/>
                    </a:prstGeom>
                    <a:noFill/>
                    <a:ln>
                      <a:solidFill>
                        <a:schemeClr val="tx1"/>
                      </a:solidFill>
                    </a:ln>
                  </pic:spPr>
                </pic:pic>
              </a:graphicData>
            </a:graphic>
          </wp:inline>
        </w:drawing>
      </w:r>
    </w:p>
    <w:p w14:paraId="5B77E6B8" w14:textId="6A7259B0" w:rsidR="00BC193A" w:rsidRDefault="00DB1DEB" w:rsidP="00BC193A">
      <w:bookmarkStart w:id="201" w:name="_Toc98569958"/>
      <w:r w:rsidRPr="009D4627">
        <w:t>Figure 2.</w:t>
      </w:r>
      <w:r w:rsidR="007E7CC8">
        <w:fldChar w:fldCharType="begin"/>
      </w:r>
      <w:r w:rsidR="007E7CC8">
        <w:instrText xml:space="preserve"> SEQ Figure_2. \* ARABIC </w:instrText>
      </w:r>
      <w:r w:rsidR="007E7CC8">
        <w:fldChar w:fldCharType="separate"/>
      </w:r>
      <w:r w:rsidR="00E268F6">
        <w:rPr>
          <w:noProof/>
        </w:rPr>
        <w:t>10</w:t>
      </w:r>
      <w:r w:rsidR="007E7CC8">
        <w:rPr>
          <w:noProof/>
        </w:rPr>
        <w:fldChar w:fldCharType="end"/>
      </w:r>
      <w:r w:rsidRPr="009D4627">
        <w:t xml:space="preserve">: </w:t>
      </w:r>
      <w:r w:rsidR="00615606" w:rsidRPr="009D4627">
        <w:t>Illustration of three AOIs created for the fixation analysis for the three target sizes.</w:t>
      </w:r>
      <w:bookmarkEnd w:id="201"/>
      <w:r w:rsidR="00615606" w:rsidRPr="009D4627">
        <w:t xml:space="preserve"> </w:t>
      </w:r>
    </w:p>
    <w:p w14:paraId="5BA5A072" w14:textId="123A6334" w:rsidR="00917CD6" w:rsidRPr="009D4627" w:rsidRDefault="00615606" w:rsidP="00BC193A">
      <w:pPr>
        <w:rPr>
          <w:lang w:val="en-US"/>
        </w:rPr>
      </w:pPr>
      <w:r w:rsidRPr="009D4627">
        <w:t>The yellow area represents 1.0° AOI, the red area represents 2.0° AOI and the blue area represents &gt;2° AOI</w:t>
      </w:r>
      <w:r w:rsidR="00DB1DEB" w:rsidRPr="009D4627">
        <w:t>.</w:t>
      </w:r>
      <w:bookmarkStart w:id="202" w:name="_35nkun2" w:colFirst="0" w:colLast="0"/>
      <w:bookmarkEnd w:id="202"/>
      <w:r w:rsidR="00917CD6" w:rsidRPr="009D4627">
        <w:t xml:space="preserve"> </w:t>
      </w:r>
      <w:r w:rsidRPr="009D4627">
        <w:t>F</w:t>
      </w:r>
      <w:proofErr w:type="spellStart"/>
      <w:r w:rsidRPr="009D4627">
        <w:rPr>
          <w:lang w:val="en-US"/>
        </w:rPr>
        <w:t>ixation</w:t>
      </w:r>
      <w:proofErr w:type="spellEnd"/>
      <w:r w:rsidRPr="009D4627">
        <w:rPr>
          <w:lang w:val="en-US"/>
        </w:rPr>
        <w:t xml:space="preserve"> data were extracted using the 'interest area report' generated from the DV, as described in Appendix 2.1. </w:t>
      </w:r>
    </w:p>
    <w:p w14:paraId="6200C7C3" w14:textId="66588605" w:rsidR="00917CD6" w:rsidRPr="009D4627" w:rsidRDefault="00615606" w:rsidP="00390EBC">
      <w:r w:rsidRPr="009D4627">
        <w:rPr>
          <w:rFonts w:eastAsia="Arial Unicode MS"/>
          <w:lang w:val="en-US"/>
        </w:rPr>
        <w:t xml:space="preserve">The fixation performance was examined by quantifying the dwell time (DT) percentage. DT refers to the </w:t>
      </w:r>
      <w:r w:rsidR="00BC193A">
        <w:rPr>
          <w:rFonts w:eastAsia="Arial Unicode MS"/>
          <w:lang w:val="en-US"/>
        </w:rPr>
        <w:t xml:space="preserve">total </w:t>
      </w:r>
      <w:r w:rsidRPr="009D4627">
        <w:rPr>
          <w:rFonts w:eastAsia="Arial Unicode MS"/>
          <w:lang w:val="en-US"/>
        </w:rPr>
        <w:t xml:space="preserve">length of time the eye was fixated in each AOI, excluding the identified </w:t>
      </w:r>
      <w:r w:rsidRPr="009D4627">
        <w:rPr>
          <w:rFonts w:eastAsia="Arial Unicode MS"/>
          <w:lang w:val="en-US"/>
        </w:rPr>
        <w:lastRenderedPageBreak/>
        <w:t>saccadic movements. The saccadic movements were identified based on the saccade threshold of motion (</w:t>
      </w:r>
      <w:r w:rsidRPr="009D4627">
        <w:rPr>
          <w:rFonts w:eastAsia="Arial Unicode MS"/>
        </w:rPr>
        <w:t>≥</w:t>
      </w:r>
      <w:r w:rsidRPr="009D4627">
        <w:rPr>
          <w:rFonts w:eastAsia="Arial Unicode MS"/>
          <w:lang w:val="en-US"/>
        </w:rPr>
        <w:t xml:space="preserve"> </w:t>
      </w:r>
      <w:r w:rsidRPr="009D4627">
        <w:rPr>
          <w:rFonts w:eastAsia="Arial Unicode MS"/>
        </w:rPr>
        <w:t>0.3</w:t>
      </w:r>
      <w:r w:rsidRPr="00E82E69">
        <w:rPr>
          <w:rFonts w:eastAsia="Arial Unicode MS"/>
        </w:rPr>
        <w:t>°), velocity (22°</w:t>
      </w:r>
      <w:r w:rsidRPr="009D4627">
        <w:rPr>
          <w:rFonts w:eastAsia="Arial Unicode MS"/>
          <w:lang w:val="en-US"/>
        </w:rPr>
        <w:t>/sec), and acceleration (8000</w:t>
      </w:r>
      <w:r w:rsidRPr="00E82E69">
        <w:rPr>
          <w:rFonts w:eastAsia="Arial Unicode MS"/>
        </w:rPr>
        <w:t>°</w:t>
      </w:r>
      <w:r w:rsidRPr="009D4627">
        <w:rPr>
          <w:rFonts w:eastAsia="Arial Unicode MS"/>
        </w:rPr>
        <w:t>/sec</w:t>
      </w:r>
      <w:r w:rsidRPr="009D4627">
        <w:rPr>
          <w:rFonts w:eastAsia="Arial Unicode MS"/>
          <w:vertAlign w:val="superscript"/>
        </w:rPr>
        <w:t>2</w:t>
      </w:r>
      <w:r w:rsidRPr="009D4627">
        <w:rPr>
          <w:rFonts w:eastAsia="Arial Unicode MS"/>
        </w:rPr>
        <w:t>)</w:t>
      </w:r>
      <w:r w:rsidR="00547D87" w:rsidRPr="009D4627">
        <w:t xml:space="preserve">. </w:t>
      </w:r>
      <w:r w:rsidR="00917CD6" w:rsidRPr="009D4627">
        <w:rPr>
          <w:szCs w:val="22"/>
        </w:rPr>
        <w:t>Excellen</w:t>
      </w:r>
      <w:r w:rsidR="00E421EF">
        <w:rPr>
          <w:szCs w:val="22"/>
        </w:rPr>
        <w:t>t</w:t>
      </w:r>
      <w:r w:rsidR="00917CD6" w:rsidRPr="009D4627">
        <w:rPr>
          <w:szCs w:val="22"/>
        </w:rPr>
        <w:t xml:space="preserve"> fixation performance requires being able to hold steady fixation very close to the fixation target's centre. Higher percentage DT and smaller AOI indicate better fixation performance.</w:t>
      </w:r>
    </w:p>
    <w:p w14:paraId="6830495C" w14:textId="5B60D7E7" w:rsidR="00547D87" w:rsidRPr="009D4627" w:rsidRDefault="000164C3" w:rsidP="00DC4CA6">
      <w:pPr>
        <w:pStyle w:val="Heading3"/>
      </w:pPr>
      <w:bookmarkStart w:id="203" w:name="_Toc98964650"/>
      <w:bookmarkStart w:id="204" w:name="_Toc103344695"/>
      <w:r>
        <w:t>SP</w:t>
      </w:r>
      <w:r w:rsidR="00444E5B" w:rsidRPr="009D4627">
        <w:t xml:space="preserve"> </w:t>
      </w:r>
      <w:r w:rsidR="00917CD6" w:rsidRPr="009D4627">
        <w:t>gain, RMSE and durations</w:t>
      </w:r>
      <w:bookmarkEnd w:id="203"/>
      <w:bookmarkEnd w:id="204"/>
    </w:p>
    <w:p w14:paraId="588421CC" w14:textId="2493FE79" w:rsidR="00547D87" w:rsidRPr="009D4627" w:rsidRDefault="00EC745C" w:rsidP="00390EBC">
      <w:r w:rsidRPr="009D4627">
        <w:rPr>
          <w:rFonts w:eastAsia="Arial Unicode MS"/>
          <w:lang w:val="en-US"/>
        </w:rPr>
        <w:t>Saccades were distinguished from SP movements for any movement of ≥70°/sec velocity throughout the SP eye movement tests</w:t>
      </w:r>
      <w:r w:rsidR="00615606" w:rsidRPr="009D4627">
        <w:rPr>
          <w:rFonts w:eastAsia="Arial Unicode MS"/>
          <w:lang w:val="en-US"/>
        </w:rPr>
        <w:t>. The identified saccades were removed from the analysis automatically by the DV software. There were three parameters used to evaluate SP performance: g</w:t>
      </w:r>
      <w:r w:rsidR="00615606" w:rsidRPr="00E82E69">
        <w:rPr>
          <w:rFonts w:eastAsia="Arial Unicode MS"/>
        </w:rPr>
        <w:t>ain</w:t>
      </w:r>
      <w:r w:rsidRPr="009D4627">
        <w:rPr>
          <w:rFonts w:eastAsia="Arial Unicode MS"/>
          <w:lang w:val="en-US"/>
        </w:rPr>
        <w:t>,</w:t>
      </w:r>
      <w:r w:rsidR="00615606" w:rsidRPr="00E82E69">
        <w:rPr>
          <w:rFonts w:eastAsia="Arial Unicode MS"/>
        </w:rPr>
        <w:t xml:space="preserve"> RMSE</w:t>
      </w:r>
      <w:r w:rsidRPr="009D4627">
        <w:rPr>
          <w:rFonts w:eastAsia="Arial Unicode MS"/>
          <w:lang w:val="en-US"/>
        </w:rPr>
        <w:t>,</w:t>
      </w:r>
      <w:r w:rsidR="00615606" w:rsidRPr="009D4627">
        <w:rPr>
          <w:rFonts w:eastAsia="Arial Unicode MS"/>
          <w:lang w:val="en-US"/>
        </w:rPr>
        <w:t xml:space="preserve"> and duration of SP segments (in </w:t>
      </w:r>
      <w:proofErr w:type="spellStart"/>
      <w:r w:rsidR="00615606" w:rsidRPr="009D4627">
        <w:rPr>
          <w:rFonts w:eastAsia="Arial Unicode MS"/>
          <w:lang w:val="en-US"/>
        </w:rPr>
        <w:t>ms</w:t>
      </w:r>
      <w:proofErr w:type="spellEnd"/>
      <w:r w:rsidR="00615606" w:rsidRPr="009D4627">
        <w:rPr>
          <w:rFonts w:eastAsia="Arial Unicode MS"/>
          <w:lang w:val="en-US"/>
        </w:rPr>
        <w:t>). SP gain refers to the ratio of eye velocity to target velocity during segments of the SP. The most accurate gain score is 1.0 when the eyes move at the same velocity as the target. When the eyes</w:t>
      </w:r>
      <w:r w:rsidR="00615606" w:rsidRPr="009D4627">
        <w:rPr>
          <w:rFonts w:eastAsia="Arial Unicode MS"/>
        </w:rPr>
        <w:t xml:space="preserve"> </w:t>
      </w:r>
      <w:r w:rsidR="00615606" w:rsidRPr="009D4627">
        <w:rPr>
          <w:rFonts w:eastAsia="Arial Unicode MS"/>
          <w:lang w:val="en-US"/>
        </w:rPr>
        <w:t>move slower than the target, the gain will be less than 1.0, and when the eyes</w:t>
      </w:r>
      <w:r w:rsidR="00615606" w:rsidRPr="009D4627">
        <w:rPr>
          <w:rFonts w:eastAsia="Arial Unicode MS"/>
        </w:rPr>
        <w:t xml:space="preserve"> </w:t>
      </w:r>
      <w:r w:rsidR="00615606" w:rsidRPr="009D4627">
        <w:rPr>
          <w:rFonts w:eastAsia="Arial Unicode MS"/>
          <w:lang w:val="en-US"/>
        </w:rPr>
        <w:t xml:space="preserve">move quicker than the target, the gain will be greater than 1.0. The parameter </w:t>
      </w:r>
      <w:proofErr w:type="spellStart"/>
      <w:r w:rsidR="00615606" w:rsidRPr="009D4627">
        <w:rPr>
          <w:rFonts w:eastAsia="Arial Unicode MS"/>
          <w:lang w:val="en-US"/>
        </w:rPr>
        <w:t>analysed</w:t>
      </w:r>
      <w:proofErr w:type="spellEnd"/>
      <w:r w:rsidR="00615606" w:rsidRPr="009D4627">
        <w:rPr>
          <w:rFonts w:eastAsia="Arial Unicode MS"/>
          <w:lang w:val="en-US"/>
        </w:rPr>
        <w:t xml:space="preserve"> to evaluate </w:t>
      </w:r>
      <w:r w:rsidR="00444E5B" w:rsidRPr="009D4627">
        <w:rPr>
          <w:rFonts w:eastAsia="Arial Unicode MS"/>
          <w:lang w:val="en-US"/>
        </w:rPr>
        <w:t xml:space="preserve">SP </w:t>
      </w:r>
      <w:r w:rsidR="00615606" w:rsidRPr="009D4627">
        <w:rPr>
          <w:rFonts w:eastAsia="Arial Unicode MS"/>
          <w:lang w:val="en-US"/>
        </w:rPr>
        <w:t xml:space="preserve">performance was RMSE, which is the average distance between the target and the </w:t>
      </w:r>
      <w:r w:rsidR="00615606" w:rsidRPr="009D4627">
        <w:rPr>
          <w:rFonts w:eastAsia="Arial Unicode MS"/>
        </w:rPr>
        <w:t>eye</w:t>
      </w:r>
      <w:r w:rsidR="00615606" w:rsidRPr="009D4627">
        <w:rPr>
          <w:rFonts w:eastAsia="Arial Unicode MS"/>
          <w:lang w:val="en-US"/>
        </w:rPr>
        <w:t>s (in degrees of visual angle) during each SP segment. High values of RMSE are produced when the eyes</w:t>
      </w:r>
      <w:r w:rsidR="00615606" w:rsidRPr="009D4627">
        <w:rPr>
          <w:rFonts w:eastAsia="Arial Unicode MS"/>
        </w:rPr>
        <w:t xml:space="preserve"> </w:t>
      </w:r>
      <w:r w:rsidR="00615606" w:rsidRPr="009D4627">
        <w:rPr>
          <w:rFonts w:eastAsia="Arial Unicode MS"/>
          <w:lang w:val="en-US"/>
        </w:rPr>
        <w:t xml:space="preserve">are further away from the target suggesting poor SP performance. The duration of the SP segment (in </w:t>
      </w:r>
      <w:proofErr w:type="spellStart"/>
      <w:r w:rsidR="00615606" w:rsidRPr="009D4627">
        <w:rPr>
          <w:rFonts w:eastAsia="Arial Unicode MS"/>
          <w:lang w:val="en-US"/>
        </w:rPr>
        <w:t>ms</w:t>
      </w:r>
      <w:proofErr w:type="spellEnd"/>
      <w:r w:rsidR="00615606" w:rsidRPr="009D4627">
        <w:rPr>
          <w:rFonts w:eastAsia="Arial Unicode MS"/>
          <w:lang w:val="en-US"/>
        </w:rPr>
        <w:t>) refers to the duration the eyes</w:t>
      </w:r>
      <w:r w:rsidR="00615606" w:rsidRPr="009D4627">
        <w:rPr>
          <w:rFonts w:eastAsia="Arial Unicode MS"/>
        </w:rPr>
        <w:t xml:space="preserve"> </w:t>
      </w:r>
      <w:r w:rsidR="00615606" w:rsidRPr="009D4627">
        <w:rPr>
          <w:rFonts w:eastAsia="Arial Unicode MS"/>
          <w:lang w:val="en-US"/>
        </w:rPr>
        <w:t>stay pursuing the target without any saccades or blinking. From the SP sinusoidal wave tracing, the eye movements were divided into discrete segments. Next, each segment was graded as saccades, pursuits, or blinks</w:t>
      </w:r>
      <w:r w:rsidR="00615606" w:rsidRPr="00E82E69">
        <w:rPr>
          <w:rFonts w:eastAsia="Arial Unicode MS"/>
        </w:rPr>
        <w:t>. Figure 2.11 summarise</w:t>
      </w:r>
      <w:proofErr w:type="spellStart"/>
      <w:r w:rsidR="00615606" w:rsidRPr="009D4627">
        <w:rPr>
          <w:rFonts w:eastAsia="Arial Unicode MS"/>
          <w:lang w:val="en-US"/>
        </w:rPr>
        <w:t>s</w:t>
      </w:r>
      <w:proofErr w:type="spellEnd"/>
      <w:r w:rsidR="00615606" w:rsidRPr="009D4627">
        <w:rPr>
          <w:rFonts w:eastAsia="Arial Unicode MS"/>
          <w:lang w:val="en-US"/>
        </w:rPr>
        <w:t xml:space="preserve"> the SP live trace in DV. The methods used to extract the SP data from the DV into an Excel spreadsheet for further statistical analysis are described in Appendix 2.2</w:t>
      </w:r>
      <w:r w:rsidR="00547D87" w:rsidRPr="009D4627">
        <w:t>.</w:t>
      </w:r>
    </w:p>
    <w:p w14:paraId="6011687F" w14:textId="77777777" w:rsidR="00547D87" w:rsidRPr="009D4627" w:rsidRDefault="00547D87" w:rsidP="00B15538">
      <w:pPr>
        <w:spacing w:line="240" w:lineRule="auto"/>
        <w:jc w:val="center"/>
      </w:pPr>
      <w:r w:rsidRPr="009D4627">
        <w:rPr>
          <w:noProof/>
          <w:lang w:val="en-US"/>
        </w:rPr>
        <w:lastRenderedPageBreak/>
        <w:drawing>
          <wp:inline distT="0" distB="0" distL="0" distR="0" wp14:anchorId="17282526" wp14:editId="72F9556F">
            <wp:extent cx="4501389" cy="252000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screen">
                      <a:extLst>
                        <a:ext uri="{28A0092B-C50C-407E-A947-70E740481C1C}">
                          <a14:useLocalDpi xmlns:a14="http://schemas.microsoft.com/office/drawing/2010/main" val="0"/>
                        </a:ext>
                      </a:extLst>
                    </a:blip>
                    <a:srcRect/>
                    <a:stretch>
                      <a:fillRect/>
                    </a:stretch>
                  </pic:blipFill>
                  <pic:spPr bwMode="auto">
                    <a:xfrm>
                      <a:off x="0" y="0"/>
                      <a:ext cx="4501389" cy="2520000"/>
                    </a:xfrm>
                    <a:prstGeom prst="rect">
                      <a:avLst/>
                    </a:prstGeom>
                    <a:noFill/>
                    <a:ln>
                      <a:noFill/>
                    </a:ln>
                  </pic:spPr>
                </pic:pic>
              </a:graphicData>
            </a:graphic>
          </wp:inline>
        </w:drawing>
      </w:r>
    </w:p>
    <w:p w14:paraId="2EADE079" w14:textId="41838820" w:rsidR="00337889" w:rsidRPr="009D4627" w:rsidRDefault="0029628B" w:rsidP="00C4130D">
      <w:pPr>
        <w:pStyle w:val="Caption"/>
      </w:pPr>
      <w:bookmarkStart w:id="205" w:name="_Toc98569959"/>
      <w:r w:rsidRPr="009D4627">
        <w:t>Figure 2.</w:t>
      </w:r>
      <w:r w:rsidR="002E63E9" w:rsidRPr="009D4627">
        <w:fldChar w:fldCharType="begin"/>
      </w:r>
      <w:r w:rsidR="002E63E9" w:rsidRPr="009D4627">
        <w:instrText xml:space="preserve"> SEQ Figure_2. \* ARABIC </w:instrText>
      </w:r>
      <w:r w:rsidR="002E63E9" w:rsidRPr="009D4627">
        <w:fldChar w:fldCharType="separate"/>
      </w:r>
      <w:r w:rsidR="00E268F6">
        <w:rPr>
          <w:noProof/>
        </w:rPr>
        <w:t>11</w:t>
      </w:r>
      <w:r w:rsidR="002E63E9" w:rsidRPr="009D4627">
        <w:rPr>
          <w:noProof/>
        </w:rPr>
        <w:fldChar w:fldCharType="end"/>
      </w:r>
      <w:r w:rsidRPr="009D4627">
        <w:t xml:space="preserve">: </w:t>
      </w:r>
      <w:r w:rsidR="00615606" w:rsidRPr="009D4627">
        <w:t>A sample of SP eye</w:t>
      </w:r>
      <w:r w:rsidR="00AB1EF1" w:rsidRPr="009D4627">
        <w:t xml:space="preserve"> movements</w:t>
      </w:r>
      <w:r w:rsidR="00615606" w:rsidRPr="009D4627">
        <w:t xml:space="preserve"> performed by a healthy control participant from this study. The x-axis shows the time in </w:t>
      </w:r>
      <w:proofErr w:type="spellStart"/>
      <w:r w:rsidR="00615606" w:rsidRPr="009D4627">
        <w:t>ms</w:t>
      </w:r>
      <w:proofErr w:type="spellEnd"/>
      <w:r w:rsidR="00615606" w:rsidRPr="009D4627">
        <w:t xml:space="preserve"> and the y-axis shows the position of the target in PPD. A change towards the smaller numbers on the y-axis indicates the target moving to the left, while a change towards the bigger numbers indicates a target moving to the right.</w:t>
      </w:r>
      <w:bookmarkEnd w:id="205"/>
      <w:r w:rsidR="00615606" w:rsidRPr="009D4627">
        <w:t xml:space="preserve"> </w:t>
      </w:r>
    </w:p>
    <w:p w14:paraId="3C48007A" w14:textId="24FEAA69" w:rsidR="00337889" w:rsidRPr="009D4627" w:rsidRDefault="00337889" w:rsidP="00C4130D">
      <w:pPr>
        <w:pStyle w:val="Caption"/>
      </w:pPr>
      <w:r w:rsidRPr="003375A5">
        <w:rPr>
          <w:i/>
        </w:rPr>
        <w:t>Note:</w:t>
      </w:r>
      <w:r w:rsidRPr="009D4627">
        <w:t xml:space="preserve"> </w:t>
      </w:r>
      <w:r w:rsidRPr="009D4627">
        <w:rPr>
          <w:b/>
          <w:bCs/>
        </w:rPr>
        <w:t xml:space="preserve">— </w:t>
      </w:r>
      <w:r w:rsidR="00615606" w:rsidRPr="009D4627">
        <w:t>represents the target position</w:t>
      </w:r>
      <w:r w:rsidR="00EC745C" w:rsidRPr="009D4627">
        <w:t xml:space="preserve">; </w:t>
      </w:r>
      <w:r w:rsidRPr="009D4627">
        <w:rPr>
          <w:b/>
          <w:bCs/>
          <w:color w:val="FF0000"/>
        </w:rPr>
        <w:t>—</w:t>
      </w:r>
      <w:r w:rsidRPr="009D4627">
        <w:t xml:space="preserve"> </w:t>
      </w:r>
      <w:r w:rsidR="00615606" w:rsidRPr="009D4627">
        <w:t>represents the eye position</w:t>
      </w:r>
    </w:p>
    <w:p w14:paraId="16E2C4BA" w14:textId="328DCFC8" w:rsidR="00547D87" w:rsidRPr="009D4627" w:rsidRDefault="00615606" w:rsidP="00C4130D">
      <w:pPr>
        <w:pStyle w:val="Caption"/>
      </w:pPr>
      <w:r w:rsidRPr="009D4627">
        <w:t xml:space="preserve">From the graph, at 6466 </w:t>
      </w:r>
      <w:proofErr w:type="spellStart"/>
      <w:r w:rsidRPr="009D4627">
        <w:t>ms</w:t>
      </w:r>
      <w:proofErr w:type="spellEnd"/>
      <w:r w:rsidRPr="009D4627">
        <w:t xml:space="preserve"> on the x-axis (marked with the blue line), the eye is located more leftward, representing a smaller number on point A than the target position showing a bigger number on point B. The difference between these two points is calculated as the RMSE. The horizontal turquoise bars represent the SP segment's duration without saccades, and the vertical yellow bars indicate the saccadic motion detected during the SP motion</w:t>
      </w:r>
      <w:r w:rsidR="00547D87" w:rsidRPr="009D4627">
        <w:t>.</w:t>
      </w:r>
    </w:p>
    <w:p w14:paraId="675B11F0" w14:textId="6D61FC6B" w:rsidR="00B15538" w:rsidRPr="009D4627" w:rsidRDefault="00917CD6" w:rsidP="003375A5">
      <w:pPr>
        <w:rPr>
          <w:lang w:val="en-MY" w:eastAsia="en-MY"/>
        </w:rPr>
      </w:pPr>
      <w:r w:rsidRPr="009D4627">
        <w:t>The SP gain was calculated by taking the ratio of the eye velocity to the target velocity. The gain of 1 indicates that the eye velocity matches the target velocity, &lt;1 indicates that eye velocity is slower than the target velocity, and &gt;1 indicates that the eye velocity is faster than the target velocity.</w:t>
      </w:r>
      <w:r w:rsidR="00B15538" w:rsidRPr="009D4627">
        <w:t xml:space="preserve"> The SP RMSE account for the average distance between the target and eye in degrees of visual angle. An increase of SP RMSE indicates that the eye is further away from the target suggesting poor SP performance. In addition, SP duration demonstrates the SP performance by the length of SP fixations (in </w:t>
      </w:r>
      <w:proofErr w:type="spellStart"/>
      <w:r w:rsidR="00B15538" w:rsidRPr="009D4627">
        <w:t>ms</w:t>
      </w:r>
      <w:proofErr w:type="spellEnd"/>
      <w:r w:rsidR="00B15538" w:rsidRPr="009D4627">
        <w:t>). Shorter periods of SP fixation indicate interruptions by saccades and weaker SP performance.</w:t>
      </w:r>
    </w:p>
    <w:p w14:paraId="47DFB5DF" w14:textId="0015A028" w:rsidR="00547D87" w:rsidRPr="009D4627" w:rsidRDefault="00944720" w:rsidP="00DC4CA6">
      <w:pPr>
        <w:pStyle w:val="Heading3"/>
      </w:pPr>
      <w:bookmarkStart w:id="206" w:name="_2jxsxqh" w:colFirst="0" w:colLast="0"/>
      <w:bookmarkStart w:id="207" w:name="_Toc98964651"/>
      <w:bookmarkStart w:id="208" w:name="_Toc103344696"/>
      <w:bookmarkEnd w:id="206"/>
      <w:r w:rsidRPr="009D4627">
        <w:lastRenderedPageBreak/>
        <w:t>Saccadic</w:t>
      </w:r>
      <w:r w:rsidR="00547D87" w:rsidRPr="009D4627">
        <w:t xml:space="preserve"> </w:t>
      </w:r>
      <w:r w:rsidR="00BC193A">
        <w:t xml:space="preserve">latency, peak </w:t>
      </w:r>
      <w:proofErr w:type="gramStart"/>
      <w:r w:rsidR="00BC193A">
        <w:t>velocity</w:t>
      </w:r>
      <w:proofErr w:type="gramEnd"/>
      <w:r w:rsidR="00BC193A">
        <w:t xml:space="preserve"> and gain</w:t>
      </w:r>
      <w:bookmarkStart w:id="209" w:name="_Hlk73951513"/>
      <w:bookmarkEnd w:id="207"/>
      <w:bookmarkEnd w:id="208"/>
    </w:p>
    <w:p w14:paraId="7A8E370C" w14:textId="2ED9B171" w:rsidR="00547D87" w:rsidRPr="009D4627" w:rsidRDefault="00615606" w:rsidP="00390EBC">
      <w:r w:rsidRPr="009D4627">
        <w:rPr>
          <w:rFonts w:eastAsia="Arial Unicode MS"/>
          <w:lang w:val="en-US"/>
        </w:rPr>
        <w:t xml:space="preserve">In the current study, the saccade performance was evaluated by analysis of saccadic latency, peak velocity, and gain for the target amplitudes of </w:t>
      </w:r>
      <w:r w:rsidRPr="009D4627">
        <w:rPr>
          <w:rFonts w:eastAsia="Arial Unicode MS"/>
        </w:rPr>
        <w:t>±</w:t>
      </w:r>
      <w:r w:rsidRPr="009D4627">
        <w:rPr>
          <w:rFonts w:eastAsia="Arial Unicode MS"/>
          <w:lang w:val="en-US"/>
        </w:rPr>
        <w:t xml:space="preserve"> </w:t>
      </w:r>
      <w:r w:rsidRPr="009D4627">
        <w:rPr>
          <w:rFonts w:eastAsia="Arial Unicode MS"/>
        </w:rPr>
        <w:t>5</w:t>
      </w:r>
      <w:r w:rsidRPr="00E82E69">
        <w:rPr>
          <w:rFonts w:eastAsia="Arial Unicode MS"/>
        </w:rPr>
        <w:t>°</w:t>
      </w:r>
      <w:r w:rsidRPr="009D4627">
        <w:rPr>
          <w:rFonts w:eastAsia="Arial Unicode MS"/>
        </w:rPr>
        <w:t>, ±</w:t>
      </w:r>
      <w:r w:rsidRPr="009D4627">
        <w:rPr>
          <w:rFonts w:eastAsia="Arial Unicode MS"/>
          <w:lang w:val="en-US"/>
        </w:rPr>
        <w:t xml:space="preserve"> </w:t>
      </w:r>
      <w:r w:rsidRPr="009D4627">
        <w:rPr>
          <w:rFonts w:eastAsia="Arial Unicode MS"/>
        </w:rPr>
        <w:t>10</w:t>
      </w:r>
      <w:r w:rsidRPr="00E82E69">
        <w:rPr>
          <w:rFonts w:eastAsia="Arial Unicode MS"/>
        </w:rPr>
        <w:t>°</w:t>
      </w:r>
      <w:r w:rsidRPr="009D4627">
        <w:rPr>
          <w:rFonts w:eastAsia="Arial Unicode MS"/>
        </w:rPr>
        <w:t>, ±</w:t>
      </w:r>
      <w:r w:rsidRPr="009D4627">
        <w:rPr>
          <w:rFonts w:eastAsia="Arial Unicode MS"/>
          <w:lang w:val="en-US"/>
        </w:rPr>
        <w:t xml:space="preserve"> </w:t>
      </w:r>
      <w:r w:rsidRPr="009D4627">
        <w:rPr>
          <w:rFonts w:eastAsia="Arial Unicode MS"/>
        </w:rPr>
        <w:t>5</w:t>
      </w:r>
      <w:r w:rsidRPr="00E82E69">
        <w:rPr>
          <w:rFonts w:eastAsia="Arial Unicode MS"/>
        </w:rPr>
        <w:t xml:space="preserve">° </w:t>
      </w:r>
      <w:r w:rsidRPr="009D4627">
        <w:rPr>
          <w:rFonts w:eastAsia="Arial Unicode MS"/>
          <w:lang w:val="en-US"/>
        </w:rPr>
        <w:t xml:space="preserve">horizontally and </w:t>
      </w:r>
      <w:r w:rsidRPr="009D4627">
        <w:rPr>
          <w:rFonts w:eastAsia="Arial Unicode MS"/>
        </w:rPr>
        <w:t>±</w:t>
      </w:r>
      <w:r w:rsidRPr="009D4627">
        <w:rPr>
          <w:rFonts w:eastAsia="Arial Unicode MS"/>
          <w:lang w:val="en-US"/>
        </w:rPr>
        <w:t xml:space="preserve"> </w:t>
      </w:r>
      <w:r w:rsidRPr="009D4627">
        <w:rPr>
          <w:rFonts w:eastAsia="Arial Unicode MS"/>
        </w:rPr>
        <w:t>4</w:t>
      </w:r>
      <w:r w:rsidRPr="00E82E69">
        <w:rPr>
          <w:rFonts w:eastAsia="Arial Unicode MS"/>
        </w:rPr>
        <w:t>°</w:t>
      </w:r>
      <w:r w:rsidRPr="009D4627">
        <w:rPr>
          <w:rFonts w:eastAsia="Arial Unicode MS"/>
        </w:rPr>
        <w:t>, ±</w:t>
      </w:r>
      <w:r w:rsidRPr="009D4627">
        <w:rPr>
          <w:rFonts w:eastAsia="Arial Unicode MS"/>
          <w:lang w:val="en-US"/>
        </w:rPr>
        <w:t xml:space="preserve"> </w:t>
      </w:r>
      <w:r w:rsidRPr="009D4627">
        <w:rPr>
          <w:rFonts w:eastAsia="Arial Unicode MS"/>
        </w:rPr>
        <w:t>6</w:t>
      </w:r>
      <w:r w:rsidRPr="00E82E69">
        <w:rPr>
          <w:rFonts w:eastAsia="Arial Unicode MS"/>
        </w:rPr>
        <w:t>°</w:t>
      </w:r>
      <w:r w:rsidRPr="009D4627">
        <w:rPr>
          <w:rFonts w:eastAsia="Arial Unicode MS"/>
        </w:rPr>
        <w:t>, ±</w:t>
      </w:r>
      <w:r w:rsidRPr="009D4627">
        <w:rPr>
          <w:rFonts w:eastAsia="Arial Unicode MS"/>
          <w:lang w:val="en-US"/>
        </w:rPr>
        <w:t xml:space="preserve"> </w:t>
      </w:r>
      <w:r w:rsidRPr="009D4627">
        <w:rPr>
          <w:rFonts w:eastAsia="Arial Unicode MS"/>
        </w:rPr>
        <w:t>8</w:t>
      </w:r>
      <w:r w:rsidRPr="00E82E69">
        <w:rPr>
          <w:rFonts w:eastAsia="Arial Unicode MS"/>
        </w:rPr>
        <w:t xml:space="preserve">° </w:t>
      </w:r>
      <w:r w:rsidRPr="009D4627">
        <w:rPr>
          <w:rFonts w:eastAsia="Arial Unicode MS"/>
          <w:lang w:val="en-US"/>
        </w:rPr>
        <w:t>vertically. The definition of each parameter was discussed in section 1.2.3. The methods used to extract the saccade data from the DV are described in Appendix 2.3. Figure 2.12 illustrates an example of a horizontal saccade movement made by a healthy participant from the current study</w:t>
      </w:r>
      <w:r w:rsidR="00547D87" w:rsidRPr="009D4627">
        <w:t>.</w:t>
      </w:r>
    </w:p>
    <w:p w14:paraId="3CE2B8E0" w14:textId="77777777" w:rsidR="00547D87" w:rsidRPr="009D4627" w:rsidRDefault="00547D87" w:rsidP="00147523">
      <w:pPr>
        <w:spacing w:line="240" w:lineRule="auto"/>
      </w:pPr>
      <w:r w:rsidRPr="009D4627">
        <w:rPr>
          <w:noProof/>
          <w:lang w:val="en-US"/>
        </w:rPr>
        <w:drawing>
          <wp:inline distT="0" distB="0" distL="0" distR="0" wp14:anchorId="190D54A8" wp14:editId="624F8985">
            <wp:extent cx="5731510" cy="2577465"/>
            <wp:effectExtent l="0" t="0" r="254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screen">
                      <a:extLst>
                        <a:ext uri="{28A0092B-C50C-407E-A947-70E740481C1C}">
                          <a14:useLocalDpi xmlns:a14="http://schemas.microsoft.com/office/drawing/2010/main" val="0"/>
                        </a:ext>
                      </a:extLst>
                    </a:blip>
                    <a:srcRect/>
                    <a:stretch>
                      <a:fillRect/>
                    </a:stretch>
                  </pic:blipFill>
                  <pic:spPr bwMode="auto">
                    <a:xfrm>
                      <a:off x="0" y="0"/>
                      <a:ext cx="5731510" cy="2577465"/>
                    </a:xfrm>
                    <a:prstGeom prst="rect">
                      <a:avLst/>
                    </a:prstGeom>
                    <a:noFill/>
                    <a:ln>
                      <a:noFill/>
                    </a:ln>
                  </pic:spPr>
                </pic:pic>
              </a:graphicData>
            </a:graphic>
          </wp:inline>
        </w:drawing>
      </w:r>
      <w:r w:rsidRPr="009D4627">
        <w:t xml:space="preserve"> </w:t>
      </w:r>
    </w:p>
    <w:p w14:paraId="4D920B26" w14:textId="632F4D4D" w:rsidR="00BC193A" w:rsidRDefault="0029628B" w:rsidP="00BC193A">
      <w:bookmarkStart w:id="210" w:name="_17dp8vu" w:colFirst="0" w:colLast="0"/>
      <w:bookmarkStart w:id="211" w:name="_Toc98569960"/>
      <w:bookmarkEnd w:id="210"/>
      <w:r w:rsidRPr="009D4627">
        <w:t>Figure 2.</w:t>
      </w:r>
      <w:r w:rsidR="007E7CC8">
        <w:fldChar w:fldCharType="begin"/>
      </w:r>
      <w:r w:rsidR="007E7CC8">
        <w:instrText xml:space="preserve"> SEQ Figure_2. \* ARABIC </w:instrText>
      </w:r>
      <w:r w:rsidR="007E7CC8">
        <w:fldChar w:fldCharType="separate"/>
      </w:r>
      <w:r w:rsidR="00E268F6">
        <w:rPr>
          <w:noProof/>
        </w:rPr>
        <w:t>12</w:t>
      </w:r>
      <w:r w:rsidR="007E7CC8">
        <w:rPr>
          <w:noProof/>
        </w:rPr>
        <w:fldChar w:fldCharType="end"/>
      </w:r>
      <w:r w:rsidRPr="009D4627">
        <w:t xml:space="preserve">: </w:t>
      </w:r>
      <w:r w:rsidR="00615606" w:rsidRPr="009D4627">
        <w:t>A sample of 10° horizontal leftward saccades of the RE from a healthy participant.</w:t>
      </w:r>
      <w:bookmarkEnd w:id="211"/>
      <w:r w:rsidR="00615606" w:rsidRPr="009D4627">
        <w:t xml:space="preserve"> </w:t>
      </w:r>
    </w:p>
    <w:p w14:paraId="60DB4A68" w14:textId="49D36337" w:rsidR="00547D87" w:rsidRPr="009D4627" w:rsidRDefault="00615606" w:rsidP="00BC193A">
      <w:r w:rsidRPr="009D4627">
        <w:t>The x-axis shows the time in '</w:t>
      </w:r>
      <w:proofErr w:type="spellStart"/>
      <w:r w:rsidRPr="009D4627">
        <w:t>ms</w:t>
      </w:r>
      <w:proofErr w:type="spellEnd"/>
      <w:r w:rsidRPr="009D4627">
        <w:t xml:space="preserve">'; the y-axis shows the eye position in the PPD unit.  </w:t>
      </w:r>
      <w:r w:rsidRPr="009D4627">
        <w:rPr>
          <w:b/>
          <w:bCs/>
        </w:rPr>
        <w:t>A</w:t>
      </w:r>
      <w:r w:rsidRPr="009D4627">
        <w:t xml:space="preserve">) Marks the onset of the target presentation at 0 </w:t>
      </w:r>
      <w:proofErr w:type="spellStart"/>
      <w:r w:rsidRPr="009D4627">
        <w:t>ms</w:t>
      </w:r>
      <w:proofErr w:type="spellEnd"/>
      <w:r w:rsidRPr="009D4627">
        <w:t xml:space="preserve">. Therefore, the time before this vertical green line denotes negative values (on the x-axis). </w:t>
      </w:r>
      <w:r w:rsidRPr="009D4627">
        <w:rPr>
          <w:b/>
          <w:bCs/>
        </w:rPr>
        <w:t>B)</w:t>
      </w:r>
      <w:r w:rsidRPr="009D4627">
        <w:t xml:space="preserve"> Indicates when the saccadic movement was initiated. </w:t>
      </w:r>
      <w:r w:rsidRPr="009D4627">
        <w:rPr>
          <w:b/>
          <w:bCs/>
        </w:rPr>
        <w:t>C)</w:t>
      </w:r>
      <w:r w:rsidRPr="009D4627">
        <w:t xml:space="preserve"> refers to the saccadic latency, ≈160 </w:t>
      </w:r>
      <w:proofErr w:type="spellStart"/>
      <w:r w:rsidRPr="009D4627">
        <w:t>ms</w:t>
      </w:r>
      <w:proofErr w:type="spellEnd"/>
      <w:r w:rsidRPr="009D4627">
        <w:t xml:space="preserve"> shown on the x-axis of this graph. The eye moved to left gaze from 571 PPD (fixation line) to 190 PPD, marked as </w:t>
      </w:r>
      <w:r w:rsidRPr="009D4627">
        <w:rPr>
          <w:b/>
          <w:bCs/>
        </w:rPr>
        <w:t>D.</w:t>
      </w:r>
      <w:r w:rsidRPr="009D4627">
        <w:t xml:space="preserve"> This movement was detected as the first saccade after the target's onset when the eye moved at a 0.3° amplitude </w:t>
      </w:r>
      <w:r w:rsidRPr="009D4627">
        <w:lastRenderedPageBreak/>
        <w:t xml:space="preserve">with a velocity threshold of 22°/sec </w:t>
      </w:r>
      <w:r w:rsidRPr="009D4627">
        <w:fldChar w:fldCharType="begin"/>
      </w:r>
      <w:r w:rsidR="00725283" w:rsidRPr="009D4627">
        <w:instrText xml:space="preserve"> ADDIN EN.CITE &lt;EndNote&gt;&lt;Cite&gt;&lt;Author&gt;SR_Research&lt;/Author&gt;&lt;Year&gt;2018&lt;/Year&gt;&lt;RecNum&gt;175&lt;/RecNum&gt;&lt;DisplayText&gt;(SR_Research, 2018)&lt;/DisplayText&gt;&lt;record&gt;&lt;titles&gt;&lt;title&gt;EyeLink Data Viewer 3.1.246 [Computer software]&lt;/title&gt;&lt;/titles&gt;&lt;contributors&gt;&lt;authors&gt;&lt;author&gt;SR_Research&lt;/author&gt;&lt;/authors&gt;&lt;/contributors&gt;&lt;added-date format="utc"&gt;1499948672&lt;/added-date&gt;&lt;pub-location&gt;Mississauga, Ontario, Canada&lt;/pub-location&gt;&lt;ref-type name="Computer Program"&gt;9&lt;/ref-type&gt;&lt;dates&gt;&lt;year&gt;2018&lt;/year&gt;&lt;/dates&gt;&lt;rec-number&gt;175&lt;/rec-number&gt;&lt;publisher&gt;SR Research Ltd.&lt;/publisher&gt;&lt;last-updated-date format="utc"&gt;1604310256&lt;/last-updated-date&gt;&lt;/record&gt;&lt;/Cite&gt;&lt;/EndNote&gt;</w:instrText>
      </w:r>
      <w:r w:rsidRPr="009D4627">
        <w:fldChar w:fldCharType="separate"/>
      </w:r>
      <w:r w:rsidR="00725283" w:rsidRPr="009D4627">
        <w:rPr>
          <w:noProof/>
        </w:rPr>
        <w:t>(SR_Research, 2018)</w:t>
      </w:r>
      <w:r w:rsidRPr="009D4627">
        <w:fldChar w:fldCharType="end"/>
      </w:r>
      <w:r w:rsidR="00B15538" w:rsidRPr="009D4627">
        <w:t>, known as saccadic peak velocity. Saccadic gain is calculated by taking the ratio of saccadic amplitudes to the target amplitude.</w:t>
      </w:r>
    </w:p>
    <w:bookmarkEnd w:id="209"/>
    <w:p w14:paraId="57C25A3C" w14:textId="46BFA855" w:rsidR="00547D87" w:rsidRPr="009D4627" w:rsidRDefault="00547D87" w:rsidP="00390EBC"/>
    <w:p w14:paraId="41A9968D" w14:textId="77777777" w:rsidR="00D9639E" w:rsidRPr="009D4627" w:rsidRDefault="00D9639E" w:rsidP="00390EBC"/>
    <w:p w14:paraId="612B5058" w14:textId="77777777" w:rsidR="009D6465" w:rsidRPr="009D4627" w:rsidRDefault="009D6465" w:rsidP="002A7EB3">
      <w:pPr>
        <w:pStyle w:val="Heading1"/>
        <w:sectPr w:rsidR="009D6465" w:rsidRPr="009D4627" w:rsidSect="00501BEE">
          <w:headerReference w:type="default" r:id="rId95"/>
          <w:footerReference w:type="default" r:id="rId96"/>
          <w:pgSz w:w="11906" w:h="16838" w:code="9"/>
          <w:pgMar w:top="1440" w:right="1440" w:bottom="1440" w:left="1440" w:header="708" w:footer="708" w:gutter="0"/>
          <w:cols w:space="708"/>
          <w:docGrid w:linePitch="360"/>
        </w:sectPr>
      </w:pPr>
      <w:bookmarkStart w:id="212" w:name="_Toc64730801"/>
      <w:bookmarkStart w:id="213" w:name="_Toc69994800"/>
    </w:p>
    <w:p w14:paraId="0B135EFD" w14:textId="60F93EA9" w:rsidR="008816D4" w:rsidRPr="009D4627" w:rsidRDefault="008816D4" w:rsidP="002A7EB3">
      <w:pPr>
        <w:pStyle w:val="Heading1"/>
      </w:pPr>
      <w:bookmarkStart w:id="214" w:name="_Toc98964652"/>
      <w:bookmarkStart w:id="215" w:name="_Toc103344697"/>
      <w:r w:rsidRPr="00BC193A">
        <w:lastRenderedPageBreak/>
        <w:t>Normative</w:t>
      </w:r>
      <w:r w:rsidRPr="009D4627">
        <w:t xml:space="preserve"> Eye Movements</w:t>
      </w:r>
      <w:bookmarkEnd w:id="212"/>
      <w:bookmarkEnd w:id="213"/>
      <w:bookmarkEnd w:id="214"/>
      <w:bookmarkEnd w:id="215"/>
    </w:p>
    <w:p w14:paraId="226447C0" w14:textId="2D82F8B7" w:rsidR="008816D4" w:rsidRPr="009D4627" w:rsidRDefault="008816D4" w:rsidP="00D04E3B">
      <w:pPr>
        <w:pStyle w:val="Heading2"/>
      </w:pPr>
      <w:bookmarkStart w:id="216" w:name="_Toc64730802"/>
      <w:bookmarkStart w:id="217" w:name="_Toc98964653"/>
      <w:bookmarkStart w:id="218" w:name="_Toc103344698"/>
      <w:r w:rsidRPr="009D4627">
        <w:t xml:space="preserve">Experiment 1: To describe normative </w:t>
      </w:r>
      <w:r w:rsidR="006A57A2" w:rsidRPr="009D4627">
        <w:t>EMR</w:t>
      </w:r>
      <w:r w:rsidRPr="009D4627">
        <w:t>s in three adult age groups</w:t>
      </w:r>
      <w:bookmarkEnd w:id="216"/>
      <w:bookmarkEnd w:id="217"/>
      <w:bookmarkEnd w:id="218"/>
    </w:p>
    <w:p w14:paraId="7C214340" w14:textId="517E74E3" w:rsidR="008816D4" w:rsidRPr="009D4627" w:rsidRDefault="00EF301F" w:rsidP="008816D4">
      <w:pPr>
        <w:spacing w:after="160"/>
        <w:rPr>
          <w:szCs w:val="22"/>
        </w:rPr>
      </w:pPr>
      <w:r w:rsidRPr="009D4627">
        <w:rPr>
          <w:szCs w:val="22"/>
        </w:rPr>
        <w:t xml:space="preserve">This study was designed to establish normative data for fixation, </w:t>
      </w:r>
      <w:proofErr w:type="gramStart"/>
      <w:r w:rsidRPr="009D4627">
        <w:rPr>
          <w:szCs w:val="22"/>
        </w:rPr>
        <w:t>SP</w:t>
      </w:r>
      <w:proofErr w:type="gramEnd"/>
      <w:r w:rsidRPr="009D4627">
        <w:rPr>
          <w:szCs w:val="22"/>
        </w:rPr>
        <w:t xml:space="preserve"> and saccades in three different age groups recorded using the </w:t>
      </w:r>
      <w:proofErr w:type="spellStart"/>
      <w:r w:rsidRPr="009D4627">
        <w:rPr>
          <w:szCs w:val="22"/>
        </w:rPr>
        <w:t>EyeLink</w:t>
      </w:r>
      <w:proofErr w:type="spellEnd"/>
      <w:r w:rsidRPr="009D4627">
        <w:rPr>
          <w:szCs w:val="22"/>
        </w:rPr>
        <w:t xml:space="preserve"> 1000 Plus. In addition, the study provided control data for eye movements to enable comparisons with patients with ocular nerve palsies, as discussed in Chapter 5. The study was conducted using the smallest target size visible to the participants.</w:t>
      </w:r>
    </w:p>
    <w:p w14:paraId="7FDFBC35" w14:textId="1C2FCCDF" w:rsidR="00C414EF" w:rsidRPr="009D4627" w:rsidRDefault="008816D4" w:rsidP="00945A16">
      <w:pPr>
        <w:spacing w:after="160"/>
        <w:rPr>
          <w:szCs w:val="22"/>
        </w:rPr>
      </w:pPr>
      <w:r w:rsidRPr="009D4627">
        <w:rPr>
          <w:szCs w:val="22"/>
        </w:rPr>
        <w:t xml:space="preserve">The effect of ageing on </w:t>
      </w:r>
      <w:r w:rsidR="00944720" w:rsidRPr="009D4627">
        <w:rPr>
          <w:szCs w:val="22"/>
        </w:rPr>
        <w:t>saccadic</w:t>
      </w:r>
      <w:r w:rsidRPr="009D4627">
        <w:rPr>
          <w:szCs w:val="22"/>
        </w:rPr>
        <w:t xml:space="preserve"> </w:t>
      </w:r>
      <w:r w:rsidR="00945A16" w:rsidRPr="009D4627">
        <w:rPr>
          <w:szCs w:val="22"/>
        </w:rPr>
        <w:t xml:space="preserve">and SP </w:t>
      </w:r>
      <w:r w:rsidRPr="009D4627">
        <w:rPr>
          <w:szCs w:val="22"/>
        </w:rPr>
        <w:t>performance is a mixed picture</w:t>
      </w:r>
      <w:r w:rsidR="00C414EF" w:rsidRPr="009D4627">
        <w:rPr>
          <w:szCs w:val="22"/>
        </w:rPr>
        <w:t>.</w:t>
      </w:r>
      <w:r w:rsidRPr="009D4627">
        <w:rPr>
          <w:szCs w:val="22"/>
        </w:rPr>
        <w:t xml:space="preserve"> </w:t>
      </w:r>
      <w:r w:rsidR="00C414EF" w:rsidRPr="009D4627">
        <w:rPr>
          <w:szCs w:val="22"/>
        </w:rPr>
        <w:t xml:space="preserve">Some studies </w:t>
      </w:r>
      <w:r w:rsidR="00EF301F" w:rsidRPr="009D4627">
        <w:rPr>
          <w:szCs w:val="22"/>
        </w:rPr>
        <w:t xml:space="preserve">have </w:t>
      </w:r>
      <w:r w:rsidR="00C414EF" w:rsidRPr="009D4627">
        <w:rPr>
          <w:szCs w:val="22"/>
        </w:rPr>
        <w:t xml:space="preserve">reported that the </w:t>
      </w:r>
      <w:r w:rsidR="00944720" w:rsidRPr="009D4627">
        <w:rPr>
          <w:szCs w:val="22"/>
        </w:rPr>
        <w:t>saccadic</w:t>
      </w:r>
      <w:r w:rsidR="00945A16" w:rsidRPr="009D4627">
        <w:rPr>
          <w:szCs w:val="22"/>
        </w:rPr>
        <w:t xml:space="preserve"> </w:t>
      </w:r>
      <w:r w:rsidR="00C414EF" w:rsidRPr="009D4627">
        <w:rPr>
          <w:szCs w:val="22"/>
        </w:rPr>
        <w:t>eye movement</w:t>
      </w:r>
      <w:r w:rsidR="00945A16" w:rsidRPr="009D4627">
        <w:rPr>
          <w:szCs w:val="22"/>
        </w:rPr>
        <w:t>s</w:t>
      </w:r>
      <w:r w:rsidR="00C414EF" w:rsidRPr="009D4627">
        <w:rPr>
          <w:szCs w:val="22"/>
        </w:rPr>
        <w:t xml:space="preserve"> of healthy participants</w:t>
      </w:r>
      <w:r w:rsidR="00EF301F" w:rsidRPr="009D4627">
        <w:rPr>
          <w:szCs w:val="22"/>
        </w:rPr>
        <w:t xml:space="preserve"> ar</w:t>
      </w:r>
      <w:r w:rsidR="00945A16" w:rsidRPr="009D4627">
        <w:rPr>
          <w:szCs w:val="22"/>
        </w:rPr>
        <w:t>e</w:t>
      </w:r>
      <w:r w:rsidR="00C414EF" w:rsidRPr="009D4627">
        <w:rPr>
          <w:szCs w:val="22"/>
        </w:rPr>
        <w:t xml:space="preserve"> influenced by ageing </w:t>
      </w:r>
      <w:r w:rsidR="00C414EF" w:rsidRPr="009D4627">
        <w:rPr>
          <w:szCs w:val="22"/>
        </w:rPr>
        <w:fldChar w:fldCharType="begin">
          <w:fldData xml:space="preserve">PEVuZE5vdGU+PENpdGU+PEF1dGhvcj5BYmVsPC9BdXRob3I+PFllYXI+MTk4MzwvWWVhcj48SURU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</w:fldData>
        </w:fldChar>
      </w:r>
      <w:r w:rsidR="00C40138" w:rsidRPr="009D4627">
        <w:rPr>
          <w:szCs w:val="22"/>
        </w:rPr>
        <w:instrText xml:space="preserve"> ADDIN EN.CITE </w:instrText>
      </w:r>
      <w:r w:rsidR="00C40138" w:rsidRPr="009D4627">
        <w:rPr>
          <w:szCs w:val="22"/>
        </w:rPr>
        <w:fldChar w:fldCharType="begin">
          <w:fldData xml:space="preserve">PEVuZE5vdGU+PENpdGU+PEF1dGhvcj5BYmVsPC9BdXRob3I+PFllYXI+MTk4MzwvWWVhcj48SURU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</w:fldData>
        </w:fldChar>
      </w:r>
      <w:r w:rsidR="00C40138" w:rsidRPr="009D4627">
        <w:rPr>
          <w:szCs w:val="22"/>
        </w:rPr>
        <w:instrText xml:space="preserve"> ADDIN EN.CITE.DATA </w:instrText>
      </w:r>
      <w:r w:rsidR="00C40138" w:rsidRPr="009D4627">
        <w:rPr>
          <w:szCs w:val="22"/>
        </w:rPr>
      </w:r>
      <w:r w:rsidR="00C40138" w:rsidRPr="009D4627">
        <w:rPr>
          <w:szCs w:val="22"/>
        </w:rPr>
        <w:fldChar w:fldCharType="end"/>
      </w:r>
      <w:r w:rsidR="00C414EF" w:rsidRPr="009D4627">
        <w:rPr>
          <w:szCs w:val="22"/>
        </w:rPr>
      </w:r>
      <w:r w:rsidR="00C414EF" w:rsidRPr="009D4627">
        <w:rPr>
          <w:szCs w:val="22"/>
        </w:rPr>
        <w:fldChar w:fldCharType="separate"/>
      </w:r>
      <w:r w:rsidR="00C40138" w:rsidRPr="009D4627">
        <w:rPr>
          <w:noProof/>
          <w:szCs w:val="22"/>
        </w:rPr>
        <w:t>(Abel et al., 1983; Huaman &amp; Sharpe, 1993; Peltsch et al., 2011b)</w:t>
      </w:r>
      <w:r w:rsidR="00C414EF" w:rsidRPr="009D4627">
        <w:rPr>
          <w:szCs w:val="22"/>
        </w:rPr>
        <w:fldChar w:fldCharType="end"/>
      </w:r>
      <w:r w:rsidR="00945A16" w:rsidRPr="009D4627">
        <w:rPr>
          <w:szCs w:val="22"/>
        </w:rPr>
        <w:t>,</w:t>
      </w:r>
      <w:r w:rsidR="00C414EF" w:rsidRPr="009D4627">
        <w:rPr>
          <w:szCs w:val="22"/>
        </w:rPr>
        <w:t xml:space="preserve"> but there was a recent study </w:t>
      </w:r>
      <w:r w:rsidR="00EF301F" w:rsidRPr="009D4627">
        <w:rPr>
          <w:szCs w:val="22"/>
        </w:rPr>
        <w:t xml:space="preserve">that </w:t>
      </w:r>
      <w:r w:rsidR="00C414EF" w:rsidRPr="009D4627">
        <w:rPr>
          <w:szCs w:val="22"/>
        </w:rPr>
        <w:t xml:space="preserve">reported that ageing did not affect the voluntary </w:t>
      </w:r>
      <w:r w:rsidR="00944720" w:rsidRPr="009D4627">
        <w:rPr>
          <w:szCs w:val="22"/>
        </w:rPr>
        <w:t>saccadic</w:t>
      </w:r>
      <w:r w:rsidR="00C414EF" w:rsidRPr="009D4627">
        <w:rPr>
          <w:szCs w:val="22"/>
        </w:rPr>
        <w:t xml:space="preserve"> </w:t>
      </w:r>
      <w:r w:rsidR="00945A16" w:rsidRPr="009D4627">
        <w:rPr>
          <w:szCs w:val="22"/>
        </w:rPr>
        <w:t>latency, peak velocity and gain</w:t>
      </w:r>
      <w:r w:rsidR="00C414EF" w:rsidRPr="009D4627">
        <w:rPr>
          <w:szCs w:val="22"/>
        </w:rPr>
        <w:t xml:space="preserve"> </w:t>
      </w:r>
      <w:r w:rsidR="00C414EF" w:rsidRPr="009D4627">
        <w:rPr>
          <w:szCs w:val="22"/>
        </w:rPr>
        <w:fldChar w:fldCharType="begin"/>
      </w:r>
      <w:r w:rsidR="00945A16" w:rsidRPr="009D4627">
        <w:rPr>
          <w:szCs w:val="22"/>
        </w:rPr>
        <w:instrText xml:space="preserve"> ADDIN EN.CITE &lt;EndNote&gt;&lt;Cite&gt;&lt;Author&gt;Hopf&lt;/Author&gt;&lt;Year&gt;2018&lt;/Year&gt;&lt;IDText&gt;Age dependent normative data of vertical and horizontal reflexive saccades&lt;/IDText&gt;&lt;DisplayText&gt;(Hopf et al., 2018)&lt;/DisplayText&gt;&lt;record&gt;&lt;keywords&gt;&lt;keyword&gt;Germany&lt;/keyword&gt;&lt;keyword&gt;Velocity&lt;/keyword&gt;&lt;keyword&gt;Eye Movements&lt;/keyword&gt;&lt;keyword&gt;Age Factors&lt;/keyword&gt;&lt;keyword&gt;Feasibility Studies&lt;/keyword&gt;&lt;keyword&gt;Adolescence&lt;/keyword&gt;&lt;keyword&gt;Age&lt;/keyword&gt;&lt;keyword&gt;Children&lt;/keyword&gt;&lt;keyword&gt;Velocity&lt;/keyword&gt;&lt;keyword&gt;Aging&lt;/keyword&gt;&lt;keyword&gt;Elderly People&lt;/keyword&gt;&lt;keyword&gt;Age&lt;/keyword&gt;&lt;keyword&gt;Displacement&lt;/keyword&gt;&lt;keyword&gt;Recording&lt;/keyword&gt;&lt;keyword&gt;Children&lt;/keyword&gt;&lt;keyword&gt;Older People&lt;/keyword&gt;&lt;keyword&gt;Geriatrics&lt;/keyword&gt;&lt;keyword&gt;Latency&lt;/keyword&gt;&lt;keyword&gt;Elderly&lt;/keyword&gt;&lt;keyword&gt;Confidence Intervals&lt;/keyword&gt;&lt;keyword&gt;Adolescents&lt;/keyword&gt;&lt;keyword&gt;Isometric&lt;/keyword&gt;&lt;keyword&gt;Velocity&lt;/keyword&gt;&lt;keyword&gt;Children&lt;/keyword&gt;&lt;keyword&gt;Eye Movements&lt;/keyword&gt;&lt;keyword&gt;Reaction Time&lt;/keyword&gt;&lt;keyword&gt;Age Groups&lt;/keyword&gt;&lt;keyword&gt;Eyes&lt;/keyword&gt;&lt;keyword&gt;Vision&lt;/keyword&gt;&lt;keyword&gt;Attention&lt;/keyword&gt;&lt;keyword&gt;Elderly&lt;/keyword&gt;&lt;keyword&gt;Visual Acuity&lt;/keyword&gt;&lt;/keywords&gt;&lt;titles&gt;&lt;title&gt;Age dependent normative data of vertical and horizontal reflexive saccades&lt;/title&gt;&lt;secondary-title&gt;PLoS One&lt;/secondary-title&gt;&lt;/titles&gt;&lt;pages&gt;e0204008&lt;/pages&gt;&lt;number&gt;9&lt;/number&gt;&lt;contributors&gt;&lt;authors&gt;&lt;author&gt;Hopf, Susanne&lt;/author&gt;&lt;author&gt;Schmidtmann, Irene&lt;/author&gt;&lt;author&gt;Ashayer, Shahrzad&lt;/author&gt;&lt;author&gt;Pitz, Susanne&lt;/author&gt;&lt;/authors&gt;&lt;/contributors&gt;&lt;added-date format="utc"&gt;1564395907&lt;/added-date&gt;&lt;pub-location&gt;San Francisco&lt;/pub-location&gt;&lt;ref-type name="Journal Article"&gt;17&lt;/ref-type&gt;&lt;dates&gt;&lt;year&gt;2018&lt;/year&gt;&lt;/dates&gt;&lt;rec-number&gt;560&lt;/rec-number&gt;&lt;last-updated-date format="utc"&gt;1564395907&lt;/last-updated-date&gt;&lt;electronic-resource-num&gt;10.1371/journal.pone.0204008&lt;/electronic-resource-num&gt;&lt;volume&gt;13&lt;/volume&gt;&lt;/record&gt;&lt;/Cite&gt;&lt;/EndNote&gt;</w:instrText>
      </w:r>
      <w:r w:rsidR="00C414EF" w:rsidRPr="009D4627">
        <w:rPr>
          <w:szCs w:val="22"/>
        </w:rPr>
        <w:fldChar w:fldCharType="separate"/>
      </w:r>
      <w:r w:rsidR="00945A16" w:rsidRPr="009D4627">
        <w:rPr>
          <w:noProof/>
          <w:szCs w:val="22"/>
        </w:rPr>
        <w:t>(Hopf et al., 2018)</w:t>
      </w:r>
      <w:r w:rsidR="00C414EF" w:rsidRPr="009D4627">
        <w:rPr>
          <w:szCs w:val="22"/>
        </w:rPr>
        <w:fldChar w:fldCharType="end"/>
      </w:r>
      <w:r w:rsidR="00C414EF" w:rsidRPr="009D4627">
        <w:rPr>
          <w:szCs w:val="22"/>
        </w:rPr>
        <w:t>.</w:t>
      </w:r>
      <w:r w:rsidR="00CC2CD3" w:rsidRPr="009D4627">
        <w:rPr>
          <w:szCs w:val="22"/>
        </w:rPr>
        <w:t xml:space="preserve"> On the other hand,</w:t>
      </w:r>
      <w:r w:rsidR="00C414EF" w:rsidRPr="009D4627">
        <w:rPr>
          <w:szCs w:val="22"/>
        </w:rPr>
        <w:t xml:space="preserve"> </w:t>
      </w:r>
      <w:r w:rsidR="00580C70" w:rsidRPr="009D4627">
        <w:rPr>
          <w:szCs w:val="22"/>
        </w:rPr>
        <w:t xml:space="preserve">Wilson et al. (1993) reported that age influenced </w:t>
      </w:r>
      <w:r w:rsidR="00944720" w:rsidRPr="009D4627">
        <w:rPr>
          <w:szCs w:val="22"/>
        </w:rPr>
        <w:t>saccadic</w:t>
      </w:r>
      <w:r w:rsidR="00580C70" w:rsidRPr="009D4627">
        <w:rPr>
          <w:szCs w:val="22"/>
        </w:rPr>
        <w:t xml:space="preserve"> performance at large </w:t>
      </w:r>
      <w:r w:rsidR="00944720" w:rsidRPr="009D4627">
        <w:rPr>
          <w:szCs w:val="22"/>
        </w:rPr>
        <w:t>saccadic</w:t>
      </w:r>
      <w:r w:rsidR="00580C70" w:rsidRPr="009D4627">
        <w:rPr>
          <w:szCs w:val="22"/>
        </w:rPr>
        <w:t xml:space="preserve"> amplitudes (≥35°).  </w:t>
      </w:r>
    </w:p>
    <w:p w14:paraId="03A0C2BB" w14:textId="693246CD" w:rsidR="00945A16" w:rsidRPr="009D4627" w:rsidRDefault="00C414EF" w:rsidP="00945A16">
      <w:pPr>
        <w:spacing w:after="160"/>
        <w:rPr>
          <w:szCs w:val="22"/>
        </w:rPr>
      </w:pPr>
      <w:proofErr w:type="spellStart"/>
      <w:r w:rsidRPr="009D4627">
        <w:rPr>
          <w:szCs w:val="22"/>
        </w:rPr>
        <w:t>Peltsch</w:t>
      </w:r>
      <w:proofErr w:type="spellEnd"/>
      <w:r w:rsidRPr="009D4627">
        <w:rPr>
          <w:szCs w:val="22"/>
        </w:rPr>
        <w:t xml:space="preserve"> et al. (2011) investigate</w:t>
      </w:r>
      <w:r w:rsidR="00EF301F" w:rsidRPr="009D4627">
        <w:rPr>
          <w:szCs w:val="22"/>
        </w:rPr>
        <w:t>d</w:t>
      </w:r>
      <w:r w:rsidRPr="009D4627">
        <w:rPr>
          <w:szCs w:val="22"/>
        </w:rPr>
        <w:t xml:space="preserve"> the effect of ageing on the </w:t>
      </w:r>
      <w:r w:rsidR="00945A16" w:rsidRPr="009D4627">
        <w:rPr>
          <w:szCs w:val="22"/>
        </w:rPr>
        <w:t xml:space="preserve">horizontal </w:t>
      </w:r>
      <w:r w:rsidR="00944720" w:rsidRPr="009D4627">
        <w:rPr>
          <w:szCs w:val="22"/>
        </w:rPr>
        <w:t>saccadic</w:t>
      </w:r>
      <w:r w:rsidRPr="009D4627">
        <w:rPr>
          <w:szCs w:val="22"/>
        </w:rPr>
        <w:t xml:space="preserve"> latency and </w:t>
      </w:r>
      <w:r w:rsidR="00944720" w:rsidRPr="009D4627">
        <w:rPr>
          <w:szCs w:val="22"/>
        </w:rPr>
        <w:t>saccadic</w:t>
      </w:r>
      <w:r w:rsidRPr="009D4627">
        <w:rPr>
          <w:szCs w:val="22"/>
        </w:rPr>
        <w:t xml:space="preserve"> direction errors. </w:t>
      </w:r>
      <w:r w:rsidR="00945A16" w:rsidRPr="009D4627">
        <w:rPr>
          <w:szCs w:val="22"/>
        </w:rPr>
        <w:t>They recruited older participants</w:t>
      </w:r>
      <w:r w:rsidR="000E514D" w:rsidRPr="009D4627">
        <w:rPr>
          <w:szCs w:val="22"/>
        </w:rPr>
        <w:t xml:space="preserve"> between</w:t>
      </w:r>
      <w:r w:rsidR="00945A16" w:rsidRPr="009D4627">
        <w:rPr>
          <w:szCs w:val="22"/>
        </w:rPr>
        <w:t xml:space="preserve"> 60 </w:t>
      </w:r>
      <w:r w:rsidR="000E514D" w:rsidRPr="009D4627">
        <w:rPr>
          <w:szCs w:val="22"/>
        </w:rPr>
        <w:t>to</w:t>
      </w:r>
      <w:r w:rsidR="00945A16" w:rsidRPr="009D4627">
        <w:rPr>
          <w:szCs w:val="22"/>
        </w:rPr>
        <w:t xml:space="preserve"> 85 years</w:t>
      </w:r>
      <w:r w:rsidR="000E514D" w:rsidRPr="009D4627">
        <w:rPr>
          <w:szCs w:val="22"/>
        </w:rPr>
        <w:t xml:space="preserve"> old</w:t>
      </w:r>
      <w:r w:rsidR="00945A16" w:rsidRPr="009D4627">
        <w:rPr>
          <w:szCs w:val="22"/>
        </w:rPr>
        <w:t>. Participants were grouped into five age groups</w:t>
      </w:r>
      <w:r w:rsidR="006A57A2" w:rsidRPr="009D4627">
        <w:rPr>
          <w:szCs w:val="22"/>
        </w:rPr>
        <w:t>:</w:t>
      </w:r>
      <w:r w:rsidR="00945A16" w:rsidRPr="009D4627">
        <w:rPr>
          <w:szCs w:val="22"/>
        </w:rPr>
        <w:t xml:space="preserve"> (60-64, 65-69, 70-74, 75-79, </w:t>
      </w:r>
      <w:r w:rsidR="00EF301F" w:rsidRPr="009D4627">
        <w:rPr>
          <w:szCs w:val="22"/>
        </w:rPr>
        <w:t xml:space="preserve">and </w:t>
      </w:r>
      <w:r w:rsidR="00945A16" w:rsidRPr="009D4627">
        <w:rPr>
          <w:szCs w:val="22"/>
        </w:rPr>
        <w:t>80</w:t>
      </w:r>
      <w:r w:rsidR="00EF301F" w:rsidRPr="009D4627">
        <w:rPr>
          <w:szCs w:val="22"/>
        </w:rPr>
        <w:t>-</w:t>
      </w:r>
      <w:r w:rsidR="00945A16" w:rsidRPr="009D4627">
        <w:rPr>
          <w:szCs w:val="22"/>
        </w:rPr>
        <w:t>85</w:t>
      </w:r>
      <w:r w:rsidR="006A57A2" w:rsidRPr="009D4627">
        <w:rPr>
          <w:szCs w:val="22"/>
        </w:rPr>
        <w:t xml:space="preserve"> years old</w:t>
      </w:r>
      <w:r w:rsidR="00945A16" w:rsidRPr="009D4627">
        <w:rPr>
          <w:szCs w:val="22"/>
        </w:rPr>
        <w:t xml:space="preserve">). They found that </w:t>
      </w:r>
      <w:r w:rsidR="00944720" w:rsidRPr="009D4627">
        <w:rPr>
          <w:szCs w:val="22"/>
        </w:rPr>
        <w:t>saccadic</w:t>
      </w:r>
      <w:r w:rsidR="00945A16" w:rsidRPr="009D4627">
        <w:rPr>
          <w:szCs w:val="22"/>
        </w:rPr>
        <w:t xml:space="preserve"> latency and the proportion of </w:t>
      </w:r>
      <w:r w:rsidR="00944720" w:rsidRPr="009D4627">
        <w:rPr>
          <w:szCs w:val="22"/>
        </w:rPr>
        <w:t>saccadic</w:t>
      </w:r>
      <w:r w:rsidR="00945A16" w:rsidRPr="009D4627">
        <w:rPr>
          <w:szCs w:val="22"/>
        </w:rPr>
        <w:t xml:space="preserve"> errors increased with age. Another study showed that vertical </w:t>
      </w:r>
      <w:r w:rsidR="00944720" w:rsidRPr="009D4627">
        <w:rPr>
          <w:szCs w:val="22"/>
        </w:rPr>
        <w:t>saccadic</w:t>
      </w:r>
      <w:r w:rsidR="00945A16" w:rsidRPr="009D4627">
        <w:rPr>
          <w:szCs w:val="22"/>
        </w:rPr>
        <w:t xml:space="preserve"> latency was longer for older participants than younger participants </w:t>
      </w:r>
      <w:r w:rsidR="00945A16" w:rsidRPr="009D4627">
        <w:rPr>
          <w:szCs w:val="22"/>
        </w:rPr>
        <w:fldChar w:fldCharType="begin"/>
      </w:r>
      <w:r w:rsidR="00945A16" w:rsidRPr="009D4627">
        <w:rPr>
          <w:szCs w:val="22"/>
        </w:rPr>
        <w:instrText xml:space="preserve"> ADDIN EN.CITE &lt;EndNote&gt;&lt;Cite&gt;&lt;Author&gt;Yang&lt;/Author&gt;&lt;Year&gt;2006&lt;/Year&gt;&lt;IDText&gt;The control of vertical saccades in aged subjects&lt;/IDText&gt;&lt;DisplayText&gt;(Yang &amp;amp; Kapoula, 2006)&lt;/DisplayText&gt;&lt;record&gt;&lt;isbn&gt;0014-4819&lt;/isbn&gt;&lt;titles&gt;&lt;title&gt;The control of vertical saccades in aged subjects&lt;/title&gt;&lt;secondary-title&gt;Experimental brain research.&lt;/secondary-title&gt;&lt;/titles&gt;&lt;pages&gt;67-77&lt;/pages&gt;&lt;number&gt;1&lt;/number&gt;&lt;contributors&gt;&lt;authors&gt;&lt;author&gt;Yang, Qing&lt;/author&gt;&lt;author&gt;Kapoula, Zoï&lt;/author&gt;&lt;/authors&gt;&lt;/contributors&gt;&lt;added-date format="utc"&gt;1566492167&lt;/added-date&gt;&lt;pub-location&gt;Heidelberg :&lt;/pub-location&gt;&lt;ref-type name="Journal Article"&gt;17&lt;/ref-type&gt;&lt;dates&gt;&lt;year&gt;2006&lt;/year&gt;&lt;/dates&gt;&lt;rec-number&gt;588&lt;/rec-number&gt;&lt;last-updated-date format="utc"&gt;1568121248&lt;/last-updated-date&gt;&lt;electronic-resource-num&gt;10.1007/s00221-005-0249-x&amp;#xD;info:doi/10.1007/s00221-005-0249-x&lt;/electronic-resource-num&gt;&lt;volume&gt;171&lt;/volume&gt;&lt;/record&gt;&lt;/Cite&gt;&lt;/EndNote&gt;</w:instrText>
      </w:r>
      <w:r w:rsidR="00945A16" w:rsidRPr="009D4627">
        <w:rPr>
          <w:szCs w:val="22"/>
        </w:rPr>
        <w:fldChar w:fldCharType="separate"/>
      </w:r>
      <w:r w:rsidR="00945A16" w:rsidRPr="009D4627">
        <w:rPr>
          <w:noProof/>
          <w:szCs w:val="22"/>
        </w:rPr>
        <w:t>(Yang &amp; Kapoula, 2006)</w:t>
      </w:r>
      <w:r w:rsidR="00945A16" w:rsidRPr="009D4627">
        <w:rPr>
          <w:szCs w:val="22"/>
        </w:rPr>
        <w:fldChar w:fldCharType="end"/>
      </w:r>
      <w:r w:rsidR="00945A16" w:rsidRPr="009D4627">
        <w:rPr>
          <w:szCs w:val="22"/>
        </w:rPr>
        <w:t>. In addition,</w:t>
      </w:r>
      <w:r w:rsidR="00EF301F" w:rsidRPr="009D4627">
        <w:rPr>
          <w:szCs w:val="22"/>
        </w:rPr>
        <w:t xml:space="preserve"> it has been reported that</w:t>
      </w:r>
      <w:r w:rsidR="00945A16" w:rsidRPr="009D4627">
        <w:rPr>
          <w:szCs w:val="22"/>
        </w:rPr>
        <w:t xml:space="preserve"> </w:t>
      </w:r>
      <w:r w:rsidR="00944720" w:rsidRPr="009D4627">
        <w:rPr>
          <w:szCs w:val="22"/>
        </w:rPr>
        <w:t>saccadic</w:t>
      </w:r>
      <w:r w:rsidR="00945A16" w:rsidRPr="009D4627">
        <w:rPr>
          <w:szCs w:val="22"/>
        </w:rPr>
        <w:t xml:space="preserve"> peak velocity is reduced in the elderly </w:t>
      </w:r>
      <w:r w:rsidR="00945A16" w:rsidRPr="009D4627">
        <w:rPr>
          <w:szCs w:val="22"/>
        </w:rPr>
        <w:fldChar w:fldCharType="begin"/>
      </w:r>
      <w:r w:rsidR="00C40138" w:rsidRPr="009D4627">
        <w:rPr>
          <w:szCs w:val="22"/>
        </w:rPr>
        <w:instrText xml:space="preserve"> ADDIN EN.CITE &lt;EndNote&gt;&lt;Cite&gt;&lt;Author&gt;Abel&lt;/Author&gt;&lt;Year&gt;1983&lt;/Year&gt;&lt;IDText&gt;The effects of age on normal saccadic characteristics and their variability&lt;/IDText&gt;&lt;DisplayText&gt;(Abel et al., 1983)&lt;/DisplayText&gt;&lt;record&gt;&lt;keywords&gt;&lt;keyword&gt;Age Factor&lt;/keyword&gt;&lt;keyword&gt;Oculometers&lt;/keyword&gt;&lt;keyword&gt;Periodic Variations&lt;/keyword&gt;&lt;keyword&gt;Reflectance&lt;/keyword&gt;&lt;keyword&gt;Saccadic Eye Movements&lt;/keyword&gt;&lt;keyword&gt;Clinical Medicine&lt;/keyword&gt;&lt;keyword&gt;Neurology&lt;/keyword&gt;&lt;keyword&gt;Refractivity&lt;/keyword&gt;&lt;keyword&gt;Sensorimotor Performance&lt;/keyword&gt;&lt;keyword&gt;Velocity&lt;/keyword&gt;&lt;keyword&gt;Aerospace Medicine (Ah)&lt;/keyword&gt;&lt;keyword&gt;Article&lt;/keyword&gt;&lt;/keywords&gt;&lt;isbn&gt;0042-6989&lt;/isbn&gt;&lt;titles&gt;&lt;title&gt;The effects of age on normal saccadic characteristics and their variability&lt;/title&gt;&lt;secondary-title&gt;Vision Research&lt;/secondary-title&gt;&lt;/titles&gt;&lt;pages&gt;33-37&lt;/pages&gt;&lt;number&gt;1&lt;/number&gt;&lt;contributors&gt;&lt;authors&gt;&lt;author&gt;Abel, Larry A.&lt;/author&gt;&lt;author&gt;Troost, B. Todd&lt;/author&gt;&lt;author&gt;Dell,&lt;/author&gt;&lt;author&gt;amp,&lt;/author&gt;&lt;author&gt;Amp,&lt;/author&gt;&lt;author&gt;Apos,&lt;/author&gt;&lt;author&gt;Osso, Louis F.&lt;/author&gt;&lt;/authors&gt;&lt;/contributors&gt;&lt;added-date format="utc"&gt;1517765123&lt;/added-date&gt;&lt;ref-type name="Journal Article"&gt;17&lt;/ref-type&gt;&lt;dates&gt;&lt;year&gt;1983&lt;/year&gt;&lt;/dates&gt;&lt;rec-number&gt;202&lt;/rec-number&gt;&lt;last-updated-date format="utc"&gt;1517765123&lt;/last-updated-date&gt;&lt;electronic-resource-num&gt;10.1016/0042-6989(83)90038-X&lt;/electronic-resource-num&gt;&lt;volume&gt;23&lt;/volume&gt;&lt;/record&gt;&lt;/Cite&gt;&lt;/EndNote&gt;</w:instrText>
      </w:r>
      <w:r w:rsidR="00945A16" w:rsidRPr="009D4627">
        <w:rPr>
          <w:szCs w:val="22"/>
        </w:rPr>
        <w:fldChar w:fldCharType="separate"/>
      </w:r>
      <w:r w:rsidR="00C40138" w:rsidRPr="009D4627">
        <w:rPr>
          <w:noProof/>
          <w:szCs w:val="22"/>
        </w:rPr>
        <w:t>(Abel et al., 1983)</w:t>
      </w:r>
      <w:r w:rsidR="00945A16" w:rsidRPr="009D4627">
        <w:rPr>
          <w:szCs w:val="22"/>
        </w:rPr>
        <w:fldChar w:fldCharType="end"/>
      </w:r>
      <w:r w:rsidR="00945A16" w:rsidRPr="009D4627">
        <w:rPr>
          <w:szCs w:val="22"/>
        </w:rPr>
        <w:t xml:space="preserve">, </w:t>
      </w:r>
      <w:r w:rsidR="000E514D" w:rsidRPr="009D4627">
        <w:rPr>
          <w:szCs w:val="22"/>
        </w:rPr>
        <w:t xml:space="preserve">especially at larger </w:t>
      </w:r>
      <w:r w:rsidR="00944720" w:rsidRPr="009D4627">
        <w:rPr>
          <w:szCs w:val="22"/>
        </w:rPr>
        <w:t>saccadic</w:t>
      </w:r>
      <w:r w:rsidR="000E514D" w:rsidRPr="009D4627">
        <w:rPr>
          <w:szCs w:val="22"/>
        </w:rPr>
        <w:t xml:space="preserve"> amplitudes (&gt;20</w:t>
      </w:r>
      <w:r w:rsidR="00945A16" w:rsidRPr="009D4627">
        <w:rPr>
          <w:szCs w:val="22"/>
        </w:rPr>
        <w:t>°</w:t>
      </w:r>
      <w:r w:rsidR="000E514D" w:rsidRPr="009D4627">
        <w:rPr>
          <w:szCs w:val="22"/>
        </w:rPr>
        <w:t>)</w:t>
      </w:r>
      <w:r w:rsidR="00945A16" w:rsidRPr="009D4627">
        <w:rPr>
          <w:szCs w:val="22"/>
        </w:rPr>
        <w:t xml:space="preserve"> </w:t>
      </w:r>
      <w:r w:rsidR="00945A16" w:rsidRPr="009D4627">
        <w:rPr>
          <w:szCs w:val="22"/>
        </w:rPr>
        <w:fldChar w:fldCharType="begin"/>
      </w:r>
      <w:r w:rsidR="00945A16" w:rsidRPr="009D4627">
        <w:rPr>
          <w:szCs w:val="22"/>
        </w:rPr>
        <w:instrText xml:space="preserve"> ADDIN EN.CITE &lt;EndNote&gt;&lt;Cite&gt;&lt;Author&gt;Moschner&lt;/Author&gt;&lt;Year&gt;1994&lt;/Year&gt;&lt;IDText&gt;Age- related changes in visual tracking&lt;/IDText&gt;&lt;DisplayText&gt;(Moschner &amp;amp; Baloh, 1994; Warabi et al., 1984)&lt;/DisplayText&gt;&lt;record&gt;&lt;keywords&gt;&lt;keyword&gt;Medical Research&lt;/keyword&gt;&lt;keyword&gt;Eyes &amp;amp; Eyesight&lt;/keyword&gt;&lt;keyword&gt;Aging &amp;amp; Longevity&lt;/keyword&gt;&lt;/keywords&gt;&lt;isbn&gt;00221422&lt;/isbn&gt;&lt;titles&gt;&lt;title&gt;Age- related changes in visual tracking&lt;/title&gt;&lt;secondary-title&gt;Journal of Gerontology&lt;/secondary-title&gt;&lt;/titles&gt;&lt;pages&gt;M235&lt;/pages&gt;&lt;number&gt;5&lt;/number&gt;&lt;contributors&gt;&lt;authors&gt;&lt;author&gt;Moschner,&lt;/author&gt;&lt;author&gt;Baloh, R. W.&lt;/author&gt;&lt;/authors&gt;&lt;/contributors&gt;&lt;added-date format="utc"&gt;1564420507&lt;/added-date&gt;&lt;pub-location&gt;Oxford&lt;/pub-location&gt;&lt;ref-type name="Journal Article"&gt;17&lt;/ref-type&gt;&lt;dates&gt;&lt;year&gt;1994&lt;/year&gt;&lt;/dates&gt;&lt;rec-number&gt;566&lt;/rec-number&gt;&lt;last-updated-date format="utc"&gt;1564420507&lt;/last-updated-date&gt;&lt;electronic-resource-num&gt;10.1093/geronj/49.5.M235&lt;/electronic-resource-num&gt;&lt;volume&gt;49&lt;/volume&gt;&lt;/record&gt;&lt;/Cite&gt;&lt;Cite&gt;&lt;Author&gt;Warabi&lt;/Author&gt;&lt;Year&gt;1984&lt;/Year&gt;&lt;IDText&gt;Effect of aging on the accuracy of visually guided saccadic eye movement&lt;/IDText&gt;&lt;record&gt;&lt;isbn&gt;0364-5134&lt;/isbn&gt;&lt;titles&gt;&lt;title&gt;Effect of aging on the accuracy of visually guided saccadic eye movement&lt;/title&gt;&lt;secondary-title&gt;Annals of neurology.&lt;/secondary-title&gt;&lt;/titles&gt;&lt;pages&gt;449-454&lt;/pages&gt;&lt;number&gt;4&lt;/number&gt;&lt;contributors&gt;&lt;authors&gt;&lt;author&gt;Warabi, Tateo&lt;/author&gt;&lt;author&gt;Kase, Manabu&lt;/author&gt;&lt;author&gt;Kato, Takamasa&lt;/author&gt;&lt;/authors&gt;&lt;/contributors&gt;&lt;added-date format="utc"&gt;1564504606&lt;/added-date&gt;&lt;ref-type name="Journal Article"&gt;17&lt;/ref-type&gt;&lt;dates&gt;&lt;year&gt;1984&lt;/year&gt;&lt;/dates&gt;&lt;rec-number&gt;569&lt;/rec-number&gt;&lt;last-updated-date format="utc"&gt;1564504714&lt;/last-updated-date&gt;&lt;electronic-resource-num&gt;10.1002/ana.410160405&amp;#xD;info:doi/10.1002/ana.410160405&lt;/electronic-resource-num&gt;&lt;volume&gt;16&lt;/volume&gt;&lt;/record&gt;&lt;/Cite&gt;&lt;/EndNote&gt;</w:instrText>
      </w:r>
      <w:r w:rsidR="00945A16" w:rsidRPr="009D4627">
        <w:rPr>
          <w:szCs w:val="22"/>
        </w:rPr>
        <w:fldChar w:fldCharType="separate"/>
      </w:r>
      <w:r w:rsidR="00945A16" w:rsidRPr="009D4627">
        <w:rPr>
          <w:noProof/>
          <w:szCs w:val="22"/>
        </w:rPr>
        <w:t>(Moschner &amp; Baloh, 1994; Warabi et al., 1984)</w:t>
      </w:r>
      <w:r w:rsidR="00945A16" w:rsidRPr="009D4627">
        <w:rPr>
          <w:szCs w:val="22"/>
        </w:rPr>
        <w:fldChar w:fldCharType="end"/>
      </w:r>
      <w:r w:rsidR="00945A16" w:rsidRPr="009D4627">
        <w:rPr>
          <w:szCs w:val="22"/>
        </w:rPr>
        <w:t xml:space="preserve">. </w:t>
      </w:r>
      <w:r w:rsidR="00945A16" w:rsidRPr="009D4627">
        <w:rPr>
          <w:szCs w:val="22"/>
          <w:lang w:val="en"/>
        </w:rPr>
        <w:t xml:space="preserve">However, another recent study reported that </w:t>
      </w:r>
      <w:r w:rsidR="00944720" w:rsidRPr="009D4627">
        <w:rPr>
          <w:szCs w:val="22"/>
          <w:lang w:val="en"/>
        </w:rPr>
        <w:t>saccadic</w:t>
      </w:r>
      <w:r w:rsidR="00945A16" w:rsidRPr="009D4627">
        <w:rPr>
          <w:szCs w:val="22"/>
          <w:lang w:val="en"/>
        </w:rPr>
        <w:t xml:space="preserve"> peak velocity was not affected by ageing</w:t>
      </w:r>
      <w:r w:rsidR="00945A16" w:rsidRPr="009D4627">
        <w:rPr>
          <w:szCs w:val="22"/>
        </w:rPr>
        <w:t xml:space="preserve"> </w:t>
      </w:r>
      <w:r w:rsidR="00945A16" w:rsidRPr="009D4627">
        <w:rPr>
          <w:szCs w:val="22"/>
        </w:rPr>
        <w:fldChar w:fldCharType="begin"/>
      </w:r>
      <w:r w:rsidR="00945A16" w:rsidRPr="009D4627">
        <w:rPr>
          <w:szCs w:val="22"/>
        </w:rPr>
        <w:instrText xml:space="preserve"> ADDIN EN.CITE &lt;EndNote&gt;&lt;Cite&gt;&lt;Author&gt;Hopf&lt;/Author&gt;&lt;Year&gt;2018&lt;/Year&gt;&lt;IDText&gt;Age dependent normative data of vertical and horizontal reflexive saccades&lt;/IDText&gt;&lt;DisplayText&gt;(Hopf et al., 2018)&lt;/DisplayText&gt;&lt;record&gt;&lt;keywords&gt;&lt;keyword&gt;Germany&lt;/keyword&gt;&lt;keyword&gt;Velocity&lt;/keyword&gt;&lt;keyword&gt;Eye Movements&lt;/keyword&gt;&lt;keyword&gt;Age Factors&lt;/keyword&gt;&lt;keyword&gt;Feasibility Studies&lt;/keyword&gt;&lt;keyword&gt;Adolescence&lt;/keyword&gt;&lt;keyword&gt;Age&lt;/keyword&gt;&lt;keyword&gt;Children&lt;/keyword&gt;&lt;keyword&gt;Velocity&lt;/keyword&gt;&lt;keyword&gt;Aging&lt;/keyword&gt;&lt;keyword&gt;Elderly People&lt;/keyword&gt;&lt;keyword&gt;Age&lt;/keyword&gt;&lt;keyword&gt;Displacement&lt;/keyword&gt;&lt;keyword&gt;Recording&lt;/keyword&gt;&lt;keyword&gt;Children&lt;/keyword&gt;&lt;keyword&gt;Older People&lt;/keyword&gt;&lt;keyword&gt;Geriatrics&lt;/keyword&gt;&lt;keyword&gt;Latency&lt;/keyword&gt;&lt;keyword&gt;Elderly&lt;/keyword&gt;&lt;keyword&gt;Confidence Intervals&lt;/keyword&gt;&lt;keyword&gt;Adolescents&lt;/keyword&gt;&lt;keyword&gt;Isometric&lt;/keyword&gt;&lt;keyword&gt;Velocity&lt;/keyword&gt;&lt;keyword&gt;Children&lt;/keyword&gt;&lt;keyword&gt;Eye Movements&lt;/keyword&gt;&lt;keyword&gt;Reaction Time&lt;/keyword&gt;&lt;keyword&gt;Age Groups&lt;/keyword&gt;&lt;keyword&gt;Eyes&lt;/keyword&gt;&lt;keyword&gt;Vision&lt;/keyword&gt;&lt;keyword&gt;Attention&lt;/keyword&gt;&lt;keyword&gt;Elderly&lt;/keyword&gt;&lt;keyword&gt;Visual Acuity&lt;/keyword&gt;&lt;/keywords&gt;&lt;titles&gt;&lt;title&gt;Age dependent normative data of vertical and horizontal reflexive saccades&lt;/title&gt;&lt;secondary-title&gt;PLoS One&lt;/secondary-title&gt;&lt;/titles&gt;&lt;pages&gt;e0204008&lt;/pages&gt;&lt;number&gt;9&lt;/number&gt;&lt;contributors&gt;&lt;authors&gt;&lt;author&gt;Hopf, Susanne&lt;/author&gt;&lt;author&gt;Schmidtmann, Irene&lt;/author&gt;&lt;author&gt;Ashayer, Shahrzad&lt;/author&gt;&lt;author&gt;Pitz, Susanne&lt;/author&gt;&lt;/authors&gt;&lt;/contributors&gt;&lt;added-date format="utc"&gt;1564395907&lt;/added-date&gt;&lt;pub-location&gt;San Francisco&lt;/pub-location&gt;&lt;ref-type name="Journal Article"&gt;17&lt;/ref-type&gt;&lt;dates&gt;&lt;year&gt;2018&lt;/year&gt;&lt;/dates&gt;&lt;rec-number&gt;560&lt;/rec-number&gt;&lt;last-updated-date format="utc"&gt;1564395907&lt;/last-updated-date&gt;&lt;electronic-resource-num&gt;10.1371/journal.pone.0204008&lt;/electronic-resource-num&gt;&lt;volume&gt;13&lt;/volume&gt;&lt;/record&gt;&lt;/Cite&gt;&lt;/EndNote&gt;</w:instrText>
      </w:r>
      <w:r w:rsidR="00945A16" w:rsidRPr="009D4627">
        <w:rPr>
          <w:szCs w:val="22"/>
        </w:rPr>
        <w:fldChar w:fldCharType="separate"/>
      </w:r>
      <w:r w:rsidR="00945A16" w:rsidRPr="009D4627">
        <w:rPr>
          <w:noProof/>
          <w:szCs w:val="22"/>
        </w:rPr>
        <w:t>(Hopf et al., 2018)</w:t>
      </w:r>
      <w:r w:rsidR="00945A16" w:rsidRPr="009D4627">
        <w:rPr>
          <w:szCs w:val="22"/>
        </w:rPr>
        <w:fldChar w:fldCharType="end"/>
      </w:r>
      <w:r w:rsidR="00945A16" w:rsidRPr="009D4627">
        <w:rPr>
          <w:szCs w:val="22"/>
        </w:rPr>
        <w:t xml:space="preserve">. </w:t>
      </w:r>
      <w:r w:rsidR="00580C70" w:rsidRPr="009D4627">
        <w:rPr>
          <w:szCs w:val="22"/>
        </w:rPr>
        <w:t xml:space="preserve">In </w:t>
      </w:r>
      <w:r w:rsidR="00580C70" w:rsidRPr="009D4627">
        <w:rPr>
          <w:szCs w:val="22"/>
        </w:rPr>
        <w:lastRenderedPageBreak/>
        <w:t xml:space="preserve">addition, </w:t>
      </w:r>
      <w:r w:rsidR="00944720" w:rsidRPr="009D4627">
        <w:rPr>
          <w:szCs w:val="22"/>
        </w:rPr>
        <w:t>saccadic</w:t>
      </w:r>
      <w:r w:rsidR="00580C70" w:rsidRPr="009D4627">
        <w:rPr>
          <w:szCs w:val="22"/>
        </w:rPr>
        <w:t xml:space="preserve"> gains were reported not to differ significantly between young adults and the elderly </w:t>
      </w:r>
      <w:r w:rsidR="00945A16" w:rsidRPr="009D4627">
        <w:rPr>
          <w:szCs w:val="22"/>
        </w:rPr>
        <w:fldChar w:fldCharType="begin">
          <w:fldData xml:space="preserve">PEVuZE5vdGU+PENpdGU+PEF1dGhvcj5Nb3NjaG5lcjwvQXV0aG9yPjxZZWFyPjE5OTQ8L1llYXI+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</w:fldData>
        </w:fldChar>
      </w:r>
      <w:r w:rsidR="00CC2CD3" w:rsidRPr="009D4627">
        <w:rPr>
          <w:szCs w:val="22"/>
        </w:rPr>
        <w:instrText xml:space="preserve"> ADDIN EN.CITE </w:instrText>
      </w:r>
      <w:r w:rsidR="00CC2CD3" w:rsidRPr="009D4627">
        <w:rPr>
          <w:szCs w:val="22"/>
        </w:rPr>
        <w:fldChar w:fldCharType="begin">
          <w:fldData xml:space="preserve">PEVuZE5vdGU+PENpdGU+PEF1dGhvcj5Nb3NjaG5lcjwvQXV0aG9yPjxZZWFyPjE5OTQ8L1llYXI+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</w:fldData>
        </w:fldChar>
      </w:r>
      <w:r w:rsidR="00CC2CD3" w:rsidRPr="009D4627">
        <w:rPr>
          <w:szCs w:val="22"/>
        </w:rPr>
        <w:instrText xml:space="preserve"> ADDIN EN.CITE.DATA </w:instrText>
      </w:r>
      <w:r w:rsidR="00CC2CD3" w:rsidRPr="009D4627">
        <w:rPr>
          <w:szCs w:val="22"/>
        </w:rPr>
      </w:r>
      <w:r w:rsidR="00CC2CD3" w:rsidRPr="009D4627">
        <w:rPr>
          <w:szCs w:val="22"/>
        </w:rPr>
        <w:fldChar w:fldCharType="end"/>
      </w:r>
      <w:r w:rsidR="00945A16" w:rsidRPr="009D4627">
        <w:rPr>
          <w:szCs w:val="22"/>
        </w:rPr>
      </w:r>
      <w:r w:rsidR="00945A16" w:rsidRPr="009D4627">
        <w:rPr>
          <w:szCs w:val="22"/>
        </w:rPr>
        <w:fldChar w:fldCharType="separate"/>
      </w:r>
      <w:r w:rsidR="00CC2CD3" w:rsidRPr="009D4627">
        <w:rPr>
          <w:noProof/>
          <w:szCs w:val="22"/>
        </w:rPr>
        <w:t>(Bono et al., 1996; Hopf et al., 2018; Moschner &amp; Baloh, 1994; Warabi et al., 1984)</w:t>
      </w:r>
      <w:r w:rsidR="00945A16" w:rsidRPr="009D4627">
        <w:rPr>
          <w:szCs w:val="22"/>
        </w:rPr>
        <w:fldChar w:fldCharType="end"/>
      </w:r>
      <w:r w:rsidR="00945A16" w:rsidRPr="009D4627">
        <w:rPr>
          <w:szCs w:val="22"/>
        </w:rPr>
        <w:t>.</w:t>
      </w:r>
    </w:p>
    <w:p w14:paraId="0B27C61A" w14:textId="4704DA80" w:rsidR="00CC2CD3" w:rsidRPr="009D4627" w:rsidRDefault="00CC2CD3" w:rsidP="008816D4">
      <w:pPr>
        <w:spacing w:after="160"/>
        <w:rPr>
          <w:szCs w:val="22"/>
        </w:rPr>
      </w:pPr>
      <w:r w:rsidRPr="009D4627">
        <w:rPr>
          <w:szCs w:val="22"/>
        </w:rPr>
        <w:t xml:space="preserve">SP gains decreased significantly in older participants at all velocities, and differences between young and old participants increase with increasing velocity and acceleration of the target </w:t>
      </w:r>
      <w:r w:rsidRPr="009D4627">
        <w:rPr>
          <w:szCs w:val="22"/>
        </w:rPr>
        <w:fldChar w:fldCharType="begin"/>
      </w:r>
      <w:r w:rsidRPr="009D4627">
        <w:rPr>
          <w:szCs w:val="22"/>
        </w:rPr>
        <w:instrText xml:space="preserve"> ADDIN EN.CITE &lt;EndNote&gt;&lt;Cite&gt;&lt;Author&gt;Moschner&lt;/Author&gt;&lt;Year&gt;1994&lt;/Year&gt;&lt;IDText&gt;Age- related changes in visual tracking&lt;/IDText&gt;&lt;DisplayText&gt;(Moschner &amp;amp; Baloh, 1994)&lt;/DisplayText&gt;&lt;record&gt;&lt;keywords&gt;&lt;keyword&gt;Medical Research&lt;/keyword&gt;&lt;keyword&gt;Eyes &amp;amp; Eyesight&lt;/keyword&gt;&lt;keyword&gt;Aging &amp;amp; Longevity&lt;/keyword&gt;&lt;/keywords&gt;&lt;isbn&gt;00221422&lt;/isbn&gt;&lt;titles&gt;&lt;title&gt;Age- related changes in visual tracking&lt;/title&gt;&lt;secondary-title&gt;Journal of Gerontology&lt;/secondary-title&gt;&lt;/titles&gt;&lt;pages&gt;M235&lt;/pages&gt;&lt;number&gt;5&lt;/number&gt;&lt;contributors&gt;&lt;authors&gt;&lt;author&gt;Moschner,&lt;/author&gt;&lt;author&gt;Baloh, R. W.&lt;/author&gt;&lt;/authors&gt;&lt;/contributors&gt;&lt;added-date format="utc"&gt;1564420507&lt;/added-date&gt;&lt;pub-location&gt;Oxford&lt;/pub-location&gt;&lt;ref-type name="Journal Article"&gt;17&lt;/ref-type&gt;&lt;dates&gt;&lt;year&gt;1994&lt;/year&gt;&lt;/dates&gt;&lt;rec-number&gt;566&lt;/rec-number&gt;&lt;last-updated-date format="utc"&gt;1564420507&lt;/last-updated-date&gt;&lt;electronic-resource-num&gt;10.1093/geronj/49.5.M235&lt;/electronic-resource-num&gt;&lt;volume&gt;49&lt;/volume&gt;&lt;/record&gt;&lt;/Cite&gt;&lt;/EndNote&gt;</w:instrText>
      </w:r>
      <w:r w:rsidRPr="009D4627">
        <w:rPr>
          <w:szCs w:val="22"/>
        </w:rPr>
        <w:fldChar w:fldCharType="separate"/>
      </w:r>
      <w:r w:rsidRPr="009D4627">
        <w:rPr>
          <w:noProof/>
          <w:szCs w:val="22"/>
        </w:rPr>
        <w:t>(Moschner &amp; Baloh, 1994)</w:t>
      </w:r>
      <w:r w:rsidRPr="009D4627">
        <w:rPr>
          <w:szCs w:val="22"/>
        </w:rPr>
        <w:fldChar w:fldCharType="end"/>
      </w:r>
      <w:r w:rsidRPr="009D4627">
        <w:rPr>
          <w:szCs w:val="22"/>
        </w:rPr>
        <w:t xml:space="preserve">. Older people </w:t>
      </w:r>
      <w:r w:rsidR="00EF301F" w:rsidRPr="009D4627">
        <w:rPr>
          <w:szCs w:val="22"/>
        </w:rPr>
        <w:t>have</w:t>
      </w:r>
      <w:r w:rsidRPr="009D4627">
        <w:rPr>
          <w:szCs w:val="22"/>
        </w:rPr>
        <w:t xml:space="preserve"> much slower SP velocity than younger people, especially with a target movement of  ≥</w:t>
      </w:r>
      <w:r w:rsidR="00EF301F" w:rsidRPr="009D4627">
        <w:rPr>
          <w:szCs w:val="22"/>
        </w:rPr>
        <w:t xml:space="preserve"> </w:t>
      </w:r>
      <w:r w:rsidRPr="009D4627">
        <w:rPr>
          <w:szCs w:val="22"/>
        </w:rPr>
        <w:t xml:space="preserve">10°/sec </w:t>
      </w:r>
      <w:r w:rsidRPr="009D4627">
        <w:rPr>
          <w:szCs w:val="22"/>
        </w:rPr>
        <w:fldChar w:fldCharType="begin"/>
      </w:r>
      <w:r w:rsidRPr="009D4627">
        <w:rPr>
          <w:szCs w:val="22"/>
        </w:rPr>
        <w:instrText xml:space="preserve"> ADDIN EN.CITE &lt;EndNote&gt;&lt;Cite&gt;&lt;Author&gt;Sharpe&lt;/Author&gt;&lt;Year&gt;1978&lt;/Year&gt;&lt;IDText&gt;Effect of aging on horizontal smooth pursuit&lt;/IDText&gt;&lt;DisplayText&gt;(Sharpe &amp;amp; Sylvester, 1978)&lt;/DisplayText&gt;&lt;record&gt;&lt;dates&gt;&lt;pub-dates&gt;&lt;date&gt;1978&lt;/date&gt;&lt;/pub-dates&gt;&lt;year&gt;1978&lt;/year&gt;&lt;/dates&gt;&lt;urls&gt;&lt;related-urls&gt;&lt;url&gt;&amp;lt;Go to ISI&amp;gt;://WOS:A1978EZ62400011&lt;/url&gt;&lt;/related-urls&gt;&lt;/urls&gt;&lt;isbn&gt;0146-0404&lt;/isbn&gt;&lt;titles&gt;&lt;title&gt;Effect of aging on horizontal smooth pursuit&lt;/title&gt;&lt;secondary-title&gt;Investigative Ophthalmology &amp;amp; Visual Science&lt;/secondary-title&gt;&lt;/titles&gt;&lt;pages&gt;465-468&lt;/pages&gt;&lt;number&gt;5&lt;/number&gt;&lt;contributors&gt;&lt;authors&gt;&lt;author&gt;Sharpe, J. A.&lt;/author&gt;&lt;author&gt;Sylvester, T. O.&lt;/author&gt;&lt;/authors&gt;&lt;/contributors&gt;&lt;added-date format="utc"&gt;1518722687&lt;/added-date&gt;&lt;ref-type name="Journal Article"&gt;17&lt;/ref-type&gt;&lt;rec-number&gt;382&lt;/rec-number&gt;&lt;last-updated-date format="utc"&gt;1603814794&lt;/last-updated-date&gt;&lt;accession-num&gt;WOS:A1978EZ62400011&lt;/accession-num&gt;&lt;volume&gt;17&lt;/volume&gt;&lt;/record&gt;&lt;/Cite&gt;&lt;/EndNote&gt;</w:instrText>
      </w:r>
      <w:r w:rsidRPr="009D4627">
        <w:rPr>
          <w:szCs w:val="22"/>
        </w:rPr>
        <w:fldChar w:fldCharType="separate"/>
      </w:r>
      <w:r w:rsidRPr="009D4627">
        <w:rPr>
          <w:noProof/>
          <w:szCs w:val="22"/>
        </w:rPr>
        <w:t>(Sharpe &amp; Sylvester, 1978)</w:t>
      </w:r>
      <w:r w:rsidRPr="009D4627">
        <w:rPr>
          <w:szCs w:val="22"/>
        </w:rPr>
        <w:fldChar w:fldCharType="end"/>
      </w:r>
      <w:r w:rsidRPr="009D4627">
        <w:rPr>
          <w:szCs w:val="22"/>
        </w:rPr>
        <w:t>.</w:t>
      </w:r>
    </w:p>
    <w:p w14:paraId="4CBDCC18" w14:textId="735D47BC" w:rsidR="008816D4" w:rsidRPr="009D4627" w:rsidRDefault="008816D4" w:rsidP="008816D4">
      <w:pPr>
        <w:spacing w:after="160"/>
        <w:rPr>
          <w:szCs w:val="22"/>
        </w:rPr>
      </w:pPr>
      <w:r w:rsidRPr="009D4627">
        <w:rPr>
          <w:szCs w:val="22"/>
        </w:rPr>
        <w:t xml:space="preserve">The differences occur mainly due to </w:t>
      </w:r>
      <w:r w:rsidR="00EF301F" w:rsidRPr="009D4627">
        <w:rPr>
          <w:szCs w:val="22"/>
        </w:rPr>
        <w:t xml:space="preserve">the different </w:t>
      </w:r>
      <w:r w:rsidRPr="009D4627">
        <w:rPr>
          <w:szCs w:val="22"/>
        </w:rPr>
        <w:t>testing paradigms used in</w:t>
      </w:r>
      <w:r w:rsidR="00EF301F" w:rsidRPr="009D4627">
        <w:rPr>
          <w:szCs w:val="22"/>
        </w:rPr>
        <w:t xml:space="preserve"> the</w:t>
      </w:r>
      <w:r w:rsidRPr="009D4627">
        <w:rPr>
          <w:szCs w:val="22"/>
        </w:rPr>
        <w:t xml:space="preserve"> various studies. </w:t>
      </w:r>
      <w:r w:rsidR="00580C70" w:rsidRPr="009D4627">
        <w:rPr>
          <w:szCs w:val="22"/>
        </w:rPr>
        <w:t>Despite</w:t>
      </w:r>
      <w:r w:rsidR="00C414EF" w:rsidRPr="009D4627">
        <w:rPr>
          <w:szCs w:val="22"/>
        </w:rPr>
        <w:t xml:space="preserve"> </w:t>
      </w:r>
      <w:r w:rsidR="00EF301F" w:rsidRPr="009D4627">
        <w:rPr>
          <w:szCs w:val="22"/>
        </w:rPr>
        <w:t xml:space="preserve">there being </w:t>
      </w:r>
      <w:r w:rsidR="00C414EF" w:rsidRPr="009D4627">
        <w:rPr>
          <w:szCs w:val="22"/>
        </w:rPr>
        <w:t xml:space="preserve">extensive research on age-related normative data for eye movement performance, using video eye recording methods, different testing paradigms will influence the value of normative data, thus yielding different conclusions. Therefore, normative data consisting of participants from different age groups are required before comparing possible eye movement anomalies for each new test paradigm of </w:t>
      </w:r>
      <w:r w:rsidR="00580C70" w:rsidRPr="009D4627">
        <w:rPr>
          <w:szCs w:val="22"/>
        </w:rPr>
        <w:t>EMR</w:t>
      </w:r>
      <w:r w:rsidR="00C414EF" w:rsidRPr="009D4627">
        <w:rPr>
          <w:szCs w:val="22"/>
        </w:rPr>
        <w:t xml:space="preserve"> </w:t>
      </w:r>
      <w:r w:rsidRPr="009D4627">
        <w:rPr>
          <w:szCs w:val="22"/>
        </w:rPr>
        <w:fldChar w:fldCharType="begin"/>
      </w:r>
      <w:r w:rsidR="00C40138" w:rsidRPr="009D4627">
        <w:rPr>
          <w:szCs w:val="22"/>
        </w:rPr>
        <w:instrText xml:space="preserve"> ADDIN EN.CITE &lt;EndNote&gt;&lt;Cite&gt;&lt;Author&gt;Liversedge&lt;/Author&gt;&lt;Year&gt;2011&lt;/Year&gt;&lt;IDText&gt;Oxford handbook of eye movements&lt;/IDText&gt;&lt;DisplayText&gt;(Liversedge et al., 2011)&lt;/DisplayText&gt;&lt;record&gt;&lt;keywords&gt;&lt;keyword&gt;Eye -- Movements&lt;/keyword&gt;&lt;keyword&gt;Cognitive neuroscience&lt;/keyword&gt;&lt;keyword&gt;Cognitive science&lt;/keyword&gt;&lt;keyword&gt;Neuropsychology&lt;/keyword&gt;&lt;keyword&gt;Biomechanics&lt;/keyword&gt;&lt;keyword&gt;Rapid eye movement sleep&lt;/keyword&gt;&lt;keyword&gt;Electronic books&lt;/keyword&gt;&lt;/keywords&gt;&lt;titles&gt;&lt;title&gt;Oxford handbook of eye movements&lt;/title&gt;&lt;secondary-title&gt;Eye movements&lt;/secondary-title&gt;&lt;/titles&gt;&lt;contributors&gt;&lt;authors&gt;&lt;author&gt;Liversedge, Simon P.&lt;/author&gt;&lt;author&gt;Gilchrist, Iain D.&lt;/author&gt;&lt;author&gt;Everling, Stefan&lt;/author&gt;&lt;/authors&gt;&lt;/contributors&gt;&lt;added-date format="utc"&gt;1566222245&lt;/added-date&gt;&lt;pub-location&gt;Oxford&lt;/pub-location&gt;&lt;ref-type name="Book"&gt;6&lt;/ref-type&gt;&lt;dates&gt;&lt;year&gt;2011&lt;/year&gt;&lt;/dates&gt;&lt;rec-number&gt;582&lt;/rec-number&gt;&lt;publisher&gt;Oxford : Oxford University Press, 2011&lt;/publisher&gt;&lt;last-updated-date format="utc"&gt;1566222863&lt;/last-updated-date&gt;&lt;/record&gt;&lt;/Cite&gt;&lt;/EndNote&gt;</w:instrText>
      </w:r>
      <w:r w:rsidRPr="009D4627">
        <w:rPr>
          <w:szCs w:val="22"/>
        </w:rPr>
        <w:fldChar w:fldCharType="separate"/>
      </w:r>
      <w:r w:rsidR="00C40138" w:rsidRPr="009D4627">
        <w:rPr>
          <w:noProof/>
          <w:szCs w:val="22"/>
        </w:rPr>
        <w:t>(Liversedge et al., 2011)</w:t>
      </w:r>
      <w:r w:rsidRPr="009D4627">
        <w:rPr>
          <w:szCs w:val="22"/>
        </w:rPr>
        <w:fldChar w:fldCharType="end"/>
      </w:r>
      <w:r w:rsidRPr="009D4627">
        <w:rPr>
          <w:szCs w:val="22"/>
        </w:rPr>
        <w:t xml:space="preserve">. </w:t>
      </w:r>
    </w:p>
    <w:p w14:paraId="77B11E36" w14:textId="64A1D62C" w:rsidR="008816D4" w:rsidRPr="009D4627" w:rsidRDefault="008816D4" w:rsidP="00DC4CA6">
      <w:pPr>
        <w:pStyle w:val="Heading3"/>
      </w:pPr>
      <w:bookmarkStart w:id="219" w:name="_Toc64730803"/>
      <w:bookmarkStart w:id="220" w:name="_Toc98964654"/>
      <w:bookmarkStart w:id="221" w:name="_Toc103344699"/>
      <w:r w:rsidRPr="009D4627">
        <w:t>Aim</w:t>
      </w:r>
      <w:r w:rsidR="00EF301F" w:rsidRPr="009D4627">
        <w:t>s</w:t>
      </w:r>
      <w:r w:rsidRPr="009D4627">
        <w:t xml:space="preserve"> of the study</w:t>
      </w:r>
      <w:bookmarkEnd w:id="219"/>
      <w:bookmarkEnd w:id="220"/>
      <w:bookmarkEnd w:id="221"/>
    </w:p>
    <w:p w14:paraId="60E0EC5C" w14:textId="77777777" w:rsidR="008816D4" w:rsidRPr="009D4627" w:rsidRDefault="008816D4" w:rsidP="008816D4">
      <w:pPr>
        <w:spacing w:after="160"/>
        <w:rPr>
          <w:szCs w:val="22"/>
        </w:rPr>
      </w:pPr>
      <w:r w:rsidRPr="009D4627">
        <w:rPr>
          <w:szCs w:val="22"/>
        </w:rPr>
        <w:t xml:space="preserve"> This experimental study was designed to:</w:t>
      </w:r>
    </w:p>
    <w:p w14:paraId="2FD8713F" w14:textId="1A65F0D5" w:rsidR="008816D4" w:rsidRPr="009D4627" w:rsidRDefault="008816D4" w:rsidP="006822EF">
      <w:pPr>
        <w:numPr>
          <w:ilvl w:val="0"/>
          <w:numId w:val="70"/>
        </w:numPr>
        <w:spacing w:after="160"/>
        <w:contextualSpacing/>
        <w:rPr>
          <w:szCs w:val="22"/>
        </w:rPr>
      </w:pPr>
      <w:r w:rsidRPr="009D4627">
        <w:rPr>
          <w:szCs w:val="22"/>
        </w:rPr>
        <w:t xml:space="preserve">Provide normative </w:t>
      </w:r>
      <w:r w:rsidR="00944720" w:rsidRPr="009D4627">
        <w:rPr>
          <w:szCs w:val="22"/>
        </w:rPr>
        <w:t>data for fixation, SP, and s</w:t>
      </w:r>
      <w:r w:rsidRPr="009D4627">
        <w:rPr>
          <w:szCs w:val="22"/>
        </w:rPr>
        <w:t>accad</w:t>
      </w:r>
      <w:r w:rsidR="00944720" w:rsidRPr="009D4627">
        <w:rPr>
          <w:szCs w:val="22"/>
        </w:rPr>
        <w:t>ic</w:t>
      </w:r>
      <w:r w:rsidRPr="009D4627">
        <w:rPr>
          <w:szCs w:val="22"/>
        </w:rPr>
        <w:t xml:space="preserve"> eye movements parameters in three adult age groups; young, middle</w:t>
      </w:r>
      <w:r w:rsidR="00CC2CD3" w:rsidRPr="009D4627">
        <w:rPr>
          <w:szCs w:val="22"/>
        </w:rPr>
        <w:t>, and old</w:t>
      </w:r>
      <w:r w:rsidR="00EF301F" w:rsidRPr="009D4627">
        <w:rPr>
          <w:szCs w:val="22"/>
        </w:rPr>
        <w:t>er</w:t>
      </w:r>
      <w:r w:rsidR="00CC2CD3" w:rsidRPr="009D4627">
        <w:rPr>
          <w:szCs w:val="22"/>
        </w:rPr>
        <w:t xml:space="preserve"> (19 to 39 years, 40 to 59 years, </w:t>
      </w:r>
      <w:r w:rsidR="00EF301F" w:rsidRPr="009D4627">
        <w:rPr>
          <w:szCs w:val="22"/>
        </w:rPr>
        <w:t xml:space="preserve">and </w:t>
      </w:r>
      <w:r w:rsidR="006A57A2" w:rsidRPr="009D4627">
        <w:rPr>
          <w:szCs w:val="22"/>
        </w:rPr>
        <w:t xml:space="preserve">≥ </w:t>
      </w:r>
      <w:r w:rsidR="00CC2CD3" w:rsidRPr="009D4627">
        <w:rPr>
          <w:szCs w:val="22"/>
        </w:rPr>
        <w:t>60 years</w:t>
      </w:r>
      <w:r w:rsidRPr="009D4627">
        <w:rPr>
          <w:szCs w:val="22"/>
        </w:rPr>
        <w:t xml:space="preserve">, respectively). </w:t>
      </w:r>
    </w:p>
    <w:p w14:paraId="1D7D3FFA" w14:textId="77777777" w:rsidR="008816D4" w:rsidRPr="009D4627" w:rsidRDefault="008816D4" w:rsidP="006822EF">
      <w:pPr>
        <w:numPr>
          <w:ilvl w:val="0"/>
          <w:numId w:val="70"/>
        </w:numPr>
        <w:spacing w:after="160"/>
        <w:contextualSpacing/>
        <w:rPr>
          <w:szCs w:val="22"/>
        </w:rPr>
      </w:pPr>
      <w:r w:rsidRPr="009D4627">
        <w:rPr>
          <w:szCs w:val="22"/>
        </w:rPr>
        <w:t xml:space="preserve">Explore any significant changes of eye movement characteristics in healthy participants with increasing age. </w:t>
      </w:r>
    </w:p>
    <w:p w14:paraId="28516BEF" w14:textId="4A150369" w:rsidR="00CC2CD3" w:rsidRPr="009D4627" w:rsidRDefault="008816D4" w:rsidP="00E55535">
      <w:pPr>
        <w:numPr>
          <w:ilvl w:val="0"/>
          <w:numId w:val="70"/>
        </w:numPr>
        <w:spacing w:after="160"/>
        <w:contextualSpacing/>
        <w:rPr>
          <w:szCs w:val="22"/>
        </w:rPr>
      </w:pPr>
      <w:r w:rsidRPr="009D4627">
        <w:rPr>
          <w:szCs w:val="22"/>
        </w:rPr>
        <w:t xml:space="preserve">Develop </w:t>
      </w:r>
      <w:r w:rsidR="00580C70" w:rsidRPr="009D4627">
        <w:rPr>
          <w:szCs w:val="22"/>
        </w:rPr>
        <w:t>EMR</w:t>
      </w:r>
      <w:r w:rsidRPr="009D4627">
        <w:rPr>
          <w:szCs w:val="22"/>
        </w:rPr>
        <w:t xml:space="preserve"> paradigms and analysis </w:t>
      </w:r>
      <w:r w:rsidR="000E514D" w:rsidRPr="009D4627">
        <w:rPr>
          <w:szCs w:val="22"/>
        </w:rPr>
        <w:t xml:space="preserve">methods </w:t>
      </w:r>
      <w:r w:rsidR="000E514D" w:rsidRPr="009D4627">
        <w:rPr>
          <w:szCs w:val="22"/>
          <w:lang w:val="en"/>
        </w:rPr>
        <w:t>appropriate for the clinical evaluation of patients with eye movement anomalies.</w:t>
      </w:r>
    </w:p>
    <w:p w14:paraId="46F7F1F5" w14:textId="39E4121F" w:rsidR="008816D4" w:rsidRPr="009D4627" w:rsidRDefault="008816D4" w:rsidP="00DC4CA6">
      <w:pPr>
        <w:pStyle w:val="Heading3"/>
      </w:pPr>
      <w:bookmarkStart w:id="222" w:name="_Toc16775904"/>
      <w:bookmarkStart w:id="223" w:name="_Toc17911570"/>
      <w:bookmarkStart w:id="224" w:name="_Toc64730804"/>
      <w:bookmarkStart w:id="225" w:name="_Toc98964655"/>
      <w:bookmarkStart w:id="226" w:name="_Toc103344700"/>
      <w:r w:rsidRPr="009D4627">
        <w:lastRenderedPageBreak/>
        <w:t xml:space="preserve">Null </w:t>
      </w:r>
      <w:r w:rsidR="00F10A4F" w:rsidRPr="009D4627">
        <w:t>h</w:t>
      </w:r>
      <w:r w:rsidRPr="009D4627">
        <w:t>ypothesis</w:t>
      </w:r>
      <w:bookmarkEnd w:id="222"/>
      <w:bookmarkEnd w:id="223"/>
      <w:bookmarkEnd w:id="224"/>
      <w:bookmarkEnd w:id="225"/>
      <w:bookmarkEnd w:id="226"/>
    </w:p>
    <w:p w14:paraId="310A1394" w14:textId="20AD6620" w:rsidR="008816D4" w:rsidRPr="009D4627" w:rsidRDefault="00F10A4F" w:rsidP="008816D4">
      <w:pPr>
        <w:spacing w:after="160"/>
        <w:rPr>
          <w:szCs w:val="22"/>
        </w:rPr>
      </w:pPr>
      <w:r w:rsidRPr="009D4627">
        <w:rPr>
          <w:szCs w:val="22"/>
        </w:rPr>
        <w:t>The performance of fixation, SP, and saccadic eye movements will stay unchanged with age</w:t>
      </w:r>
      <w:r w:rsidR="008816D4" w:rsidRPr="009D4627">
        <w:rPr>
          <w:szCs w:val="22"/>
        </w:rPr>
        <w:t>.</w:t>
      </w:r>
    </w:p>
    <w:p w14:paraId="6A9DEADB" w14:textId="7EBB8C2F" w:rsidR="008816D4" w:rsidRPr="009D4627" w:rsidRDefault="008816D4" w:rsidP="00D04E3B">
      <w:pPr>
        <w:pStyle w:val="Heading2"/>
      </w:pPr>
      <w:bookmarkStart w:id="227" w:name="_Toc17911571"/>
      <w:bookmarkStart w:id="228" w:name="_Toc64730805"/>
      <w:bookmarkStart w:id="229" w:name="_Toc98964656"/>
      <w:bookmarkStart w:id="230" w:name="_Toc103344701"/>
      <w:r w:rsidRPr="009D4627">
        <w:t>Methods</w:t>
      </w:r>
      <w:bookmarkEnd w:id="227"/>
      <w:bookmarkEnd w:id="228"/>
      <w:bookmarkEnd w:id="229"/>
      <w:bookmarkEnd w:id="230"/>
    </w:p>
    <w:p w14:paraId="68C281CC" w14:textId="6C470041" w:rsidR="00580C70" w:rsidRPr="009D4627" w:rsidRDefault="008816D4" w:rsidP="008816D4">
      <w:pPr>
        <w:spacing w:after="160"/>
        <w:rPr>
          <w:szCs w:val="22"/>
        </w:rPr>
      </w:pPr>
      <w:r w:rsidRPr="009D4627">
        <w:rPr>
          <w:szCs w:val="22"/>
        </w:rPr>
        <w:t xml:space="preserve">Participants aged over 18 years were recruited to complete </w:t>
      </w:r>
      <w:r w:rsidR="00580C70" w:rsidRPr="009D4627">
        <w:rPr>
          <w:szCs w:val="22"/>
        </w:rPr>
        <w:t>EMR</w:t>
      </w:r>
      <w:r w:rsidRPr="009D4627">
        <w:rPr>
          <w:szCs w:val="22"/>
        </w:rPr>
        <w:t>. Participants were recruited from the undergraduate orthoptic student volunteering scheme</w:t>
      </w:r>
      <w:r w:rsidR="00EC745C" w:rsidRPr="009D4627">
        <w:rPr>
          <w:szCs w:val="22"/>
        </w:rPr>
        <w:t xml:space="preserve"> by emailing</w:t>
      </w:r>
      <w:r w:rsidR="00EF301F" w:rsidRPr="009D4627">
        <w:rPr>
          <w:szCs w:val="22"/>
        </w:rPr>
        <w:t xml:space="preserve"> </w:t>
      </w:r>
      <w:r w:rsidRPr="009D4627">
        <w:rPr>
          <w:szCs w:val="22"/>
        </w:rPr>
        <w:t xml:space="preserve">staff </w:t>
      </w:r>
      <w:r w:rsidR="00DB713A" w:rsidRPr="009D4627">
        <w:rPr>
          <w:szCs w:val="22"/>
        </w:rPr>
        <w:t xml:space="preserve">and staff friends </w:t>
      </w:r>
      <w:r w:rsidRPr="009D4627">
        <w:rPr>
          <w:szCs w:val="22"/>
        </w:rPr>
        <w:t>and relatives. The inclusion criteria for this study include</w:t>
      </w:r>
      <w:r w:rsidR="00DB713A" w:rsidRPr="009D4627">
        <w:rPr>
          <w:szCs w:val="22"/>
        </w:rPr>
        <w:t>d</w:t>
      </w:r>
      <w:r w:rsidR="00580C70" w:rsidRPr="009D4627">
        <w:rPr>
          <w:szCs w:val="22"/>
        </w:rPr>
        <w:t>:</w:t>
      </w:r>
    </w:p>
    <w:p w14:paraId="58045CEB" w14:textId="7AE1A2EA" w:rsidR="00580C70" w:rsidRPr="009D4627" w:rsidRDefault="00580C70" w:rsidP="00C171FA">
      <w:pPr>
        <w:pStyle w:val="ListParagraph"/>
        <w:numPr>
          <w:ilvl w:val="0"/>
          <w:numId w:val="108"/>
        </w:numPr>
        <w:spacing w:after="160"/>
        <w:rPr>
          <w:szCs w:val="22"/>
        </w:rPr>
      </w:pPr>
      <w:r w:rsidRPr="009D4627">
        <w:rPr>
          <w:szCs w:val="22"/>
        </w:rPr>
        <w:t>T</w:t>
      </w:r>
      <w:r w:rsidR="008816D4" w:rsidRPr="009D4627">
        <w:rPr>
          <w:szCs w:val="22"/>
        </w:rPr>
        <w:t xml:space="preserve">he best-corrected </w:t>
      </w:r>
      <w:r w:rsidR="00D62A0D" w:rsidRPr="009D4627">
        <w:rPr>
          <w:szCs w:val="22"/>
        </w:rPr>
        <w:t>VA</w:t>
      </w:r>
      <w:r w:rsidR="008816D4" w:rsidRPr="009D4627">
        <w:rPr>
          <w:szCs w:val="22"/>
        </w:rPr>
        <w:t xml:space="preserve"> for both eyes</w:t>
      </w:r>
      <w:r w:rsidR="00DB713A" w:rsidRPr="009D4627">
        <w:rPr>
          <w:szCs w:val="22"/>
        </w:rPr>
        <w:t xml:space="preserve"> had to be</w:t>
      </w:r>
      <w:r w:rsidR="008816D4" w:rsidRPr="009D4627">
        <w:rPr>
          <w:szCs w:val="22"/>
        </w:rPr>
        <w:t xml:space="preserve"> 0.2 </w:t>
      </w:r>
      <w:proofErr w:type="spellStart"/>
      <w:r w:rsidR="008816D4" w:rsidRPr="009D4627">
        <w:rPr>
          <w:szCs w:val="22"/>
        </w:rPr>
        <w:t>logMAR</w:t>
      </w:r>
      <w:proofErr w:type="spellEnd"/>
      <w:r w:rsidR="0082650E" w:rsidRPr="009D4627">
        <w:rPr>
          <w:szCs w:val="22"/>
        </w:rPr>
        <w:t xml:space="preserve"> or </w:t>
      </w:r>
      <w:r w:rsidR="008816D4" w:rsidRPr="009D4627">
        <w:rPr>
          <w:szCs w:val="22"/>
        </w:rPr>
        <w:t xml:space="preserve">better using </w:t>
      </w:r>
      <w:r w:rsidR="00D62A0D" w:rsidRPr="009D4627">
        <w:rPr>
          <w:szCs w:val="22"/>
        </w:rPr>
        <w:t>Early Treatment Diabetic Retinopathy Study (</w:t>
      </w:r>
      <w:r w:rsidR="008816D4" w:rsidRPr="009D4627">
        <w:rPr>
          <w:szCs w:val="22"/>
        </w:rPr>
        <w:t>EDTRS</w:t>
      </w:r>
      <w:r w:rsidR="00D62A0D" w:rsidRPr="009D4627">
        <w:rPr>
          <w:szCs w:val="22"/>
        </w:rPr>
        <w:t>)</w:t>
      </w:r>
      <w:r w:rsidR="008816D4" w:rsidRPr="009D4627">
        <w:rPr>
          <w:szCs w:val="22"/>
        </w:rPr>
        <w:t xml:space="preserve"> chart</w:t>
      </w:r>
      <w:r w:rsidR="0082650E" w:rsidRPr="009D4627">
        <w:rPr>
          <w:szCs w:val="22"/>
        </w:rPr>
        <w:t>s</w:t>
      </w:r>
      <w:r w:rsidR="00CC2CD3" w:rsidRPr="009D4627">
        <w:rPr>
          <w:szCs w:val="22"/>
        </w:rPr>
        <w:t>.</w:t>
      </w:r>
    </w:p>
    <w:p w14:paraId="28669D71" w14:textId="6104BB62" w:rsidR="00580C70" w:rsidRPr="009D4627" w:rsidRDefault="00580C70" w:rsidP="00C171FA">
      <w:pPr>
        <w:pStyle w:val="ListParagraph"/>
        <w:numPr>
          <w:ilvl w:val="0"/>
          <w:numId w:val="108"/>
        </w:numPr>
        <w:spacing w:after="160"/>
        <w:rPr>
          <w:szCs w:val="22"/>
        </w:rPr>
      </w:pPr>
      <w:r w:rsidRPr="009D4627">
        <w:rPr>
          <w:szCs w:val="22"/>
        </w:rPr>
        <w:t>N</w:t>
      </w:r>
      <w:r w:rsidR="008816D4" w:rsidRPr="009D4627">
        <w:rPr>
          <w:szCs w:val="22"/>
        </w:rPr>
        <w:t>ormal ocular motility</w:t>
      </w:r>
      <w:r w:rsidR="0082650E" w:rsidRPr="009D4627">
        <w:rPr>
          <w:szCs w:val="22"/>
        </w:rPr>
        <w:t xml:space="preserve"> clinically</w:t>
      </w:r>
      <w:r w:rsidR="00CC2CD3" w:rsidRPr="009D4627">
        <w:rPr>
          <w:szCs w:val="22"/>
        </w:rPr>
        <w:t>.</w:t>
      </w:r>
    </w:p>
    <w:p w14:paraId="383BC1E9" w14:textId="18DD2AC6" w:rsidR="00580C70" w:rsidRPr="009D4627" w:rsidRDefault="00EC745C" w:rsidP="00C171FA">
      <w:pPr>
        <w:pStyle w:val="ListParagraph"/>
        <w:numPr>
          <w:ilvl w:val="0"/>
          <w:numId w:val="108"/>
        </w:numPr>
        <w:spacing w:after="160"/>
        <w:rPr>
          <w:szCs w:val="22"/>
        </w:rPr>
      </w:pPr>
      <w:r w:rsidRPr="009D4627">
        <w:rPr>
          <w:szCs w:val="22"/>
        </w:rPr>
        <w:t>There is no underlying ocular, neurological or systemic disease that could affect the outcome</w:t>
      </w:r>
      <w:r w:rsidR="0082650E" w:rsidRPr="009D4627">
        <w:rPr>
          <w:szCs w:val="22"/>
        </w:rPr>
        <w:t xml:space="preserve">. </w:t>
      </w:r>
      <w:r w:rsidR="008816D4" w:rsidRPr="009D4627">
        <w:rPr>
          <w:szCs w:val="22"/>
        </w:rPr>
        <w:t xml:space="preserve">Participants with conditions such as </w:t>
      </w:r>
      <w:r w:rsidR="0082650E" w:rsidRPr="009D4627">
        <w:rPr>
          <w:szCs w:val="22"/>
        </w:rPr>
        <w:t xml:space="preserve">ocular </w:t>
      </w:r>
      <w:r w:rsidR="00C65DBE" w:rsidRPr="009D4627">
        <w:rPr>
          <w:szCs w:val="22"/>
        </w:rPr>
        <w:t>HPT</w:t>
      </w:r>
      <w:r w:rsidR="008816D4" w:rsidRPr="009D4627">
        <w:rPr>
          <w:szCs w:val="22"/>
        </w:rPr>
        <w:t xml:space="preserve"> and cataract</w:t>
      </w:r>
      <w:r w:rsidR="0082650E" w:rsidRPr="009D4627">
        <w:rPr>
          <w:szCs w:val="22"/>
        </w:rPr>
        <w:t>s</w:t>
      </w:r>
      <w:r w:rsidR="008816D4" w:rsidRPr="009D4627">
        <w:rPr>
          <w:szCs w:val="22"/>
        </w:rPr>
        <w:t xml:space="preserve"> were included as these are frequently encountered in the general elderly population in the absence of ocular movement abnormalities. Only those with multiple illnesses, ocular and systemic pathology, and/or taking the medications known to cause the eye movements anomalies were excluded from this study </w:t>
      </w:r>
      <w:r w:rsidR="008816D4" w:rsidRPr="009D4627">
        <w:rPr>
          <w:szCs w:val="22"/>
        </w:rPr>
        <w:fldChar w:fldCharType="begin"/>
      </w:r>
      <w:r w:rsidR="00C40138" w:rsidRPr="009D4627">
        <w:rPr>
          <w:szCs w:val="22"/>
        </w:rPr>
        <w:instrText xml:space="preserve"> ADDIN EN.CITE &lt;EndNote&gt;&lt;Cite&gt;&lt;Author&gt;Irving&lt;/Author&gt;&lt;Year&gt;2006&lt;/Year&gt;&lt;IDText&gt;Horizontal saccade dynamics across the human life span&lt;/IDText&gt;&lt;DisplayText&gt;(Irving et al., 2006)&lt;/DisplayText&gt;&lt;record&gt;&lt;keywords&gt;&lt;keyword&gt;Aging -- Physiology&lt;/keyword&gt;&lt;keyword&gt;Saccades -- Physiology&lt;/keyword&gt;&lt;/keywords&gt;&lt;isbn&gt;01460404&lt;/isbn&gt;&lt;titles&gt;&lt;title&gt;Horizontal saccade dynamics across the human life span&lt;/title&gt;&lt;secondary-title&gt;Investigative Ophthalmology and Visual Science&lt;/secondary-title&gt;&lt;/titles&gt;&lt;pages&gt;2478-2484&lt;/pages&gt;&lt;number&gt;6&lt;/number&gt;&lt;contributors&gt;&lt;authors&gt;&lt;author&gt;Irving, Elizabeth L.&lt;/author&gt;&lt;author&gt;Lillakas, Linda&lt;/author&gt;&lt;author&gt;Babu, Raiju J.&lt;/author&gt;&lt;author&gt;Hutchings, Natalie&lt;/author&gt;&lt;author&gt;Steinbach, Martin J.&lt;/author&gt;&lt;/authors&gt;&lt;/contributors&gt;&lt;added-date format="utc"&gt;1518450528&lt;/added-date&gt;&lt;ref-type name="Journal Article"&gt;17&lt;/ref-type&gt;&lt;dates&gt;&lt;year&gt;2006&lt;/year&gt;&lt;/dates&gt;&lt;rec-number&gt;212&lt;/rec-number&gt;&lt;last-updated-date format="utc"&gt;1518450528&lt;/last-updated-date&gt;&lt;electronic-resource-num&gt;10.1167/iovs.05-1311&lt;/electronic-resource-num&gt;&lt;volume&gt;47&lt;/volume&gt;&lt;/record&gt;&lt;/Cite&gt;&lt;/EndNote&gt;</w:instrText>
      </w:r>
      <w:r w:rsidR="008816D4" w:rsidRPr="009D4627">
        <w:rPr>
          <w:szCs w:val="22"/>
        </w:rPr>
        <w:fldChar w:fldCharType="separate"/>
      </w:r>
      <w:r w:rsidR="00C40138" w:rsidRPr="009D4627">
        <w:rPr>
          <w:noProof/>
          <w:szCs w:val="22"/>
        </w:rPr>
        <w:t>(Irving et al., 2006)</w:t>
      </w:r>
      <w:r w:rsidR="008816D4" w:rsidRPr="009D4627">
        <w:rPr>
          <w:szCs w:val="22"/>
        </w:rPr>
        <w:fldChar w:fldCharType="end"/>
      </w:r>
      <w:r w:rsidR="00CC2CD3" w:rsidRPr="009D4627">
        <w:rPr>
          <w:szCs w:val="22"/>
        </w:rPr>
        <w:t>.</w:t>
      </w:r>
    </w:p>
    <w:p w14:paraId="27E1A50B" w14:textId="722D8C6D" w:rsidR="008816D4" w:rsidRPr="009D4627" w:rsidRDefault="008816D4" w:rsidP="008816D4">
      <w:pPr>
        <w:spacing w:after="160"/>
        <w:rPr>
          <w:szCs w:val="22"/>
        </w:rPr>
      </w:pPr>
      <w:bookmarkStart w:id="231" w:name="_Toc17911573"/>
      <w:r w:rsidRPr="009D4627">
        <w:rPr>
          <w:szCs w:val="22"/>
        </w:rPr>
        <w:t>Eye movements were recorded binocularly for all participants. All participants in the young and middle</w:t>
      </w:r>
      <w:r w:rsidR="008959F5" w:rsidRPr="009D4627">
        <w:rPr>
          <w:szCs w:val="22"/>
        </w:rPr>
        <w:t xml:space="preserve"> </w:t>
      </w:r>
      <w:r w:rsidRPr="009D4627">
        <w:rPr>
          <w:szCs w:val="22"/>
        </w:rPr>
        <w:t xml:space="preserve">age groups were tested using a 0.5° </w:t>
      </w:r>
      <w:r w:rsidR="00F57D01" w:rsidRPr="009D4627">
        <w:rPr>
          <w:szCs w:val="22"/>
        </w:rPr>
        <w:t>target</w:t>
      </w:r>
      <w:r w:rsidRPr="009D4627">
        <w:rPr>
          <w:szCs w:val="22"/>
        </w:rPr>
        <w:t xml:space="preserve"> size. </w:t>
      </w:r>
      <w:r w:rsidR="002A0DB0" w:rsidRPr="009D4627">
        <w:rPr>
          <w:szCs w:val="22"/>
        </w:rPr>
        <w:t>However, participants in the old</w:t>
      </w:r>
      <w:r w:rsidR="0082650E" w:rsidRPr="009D4627">
        <w:rPr>
          <w:szCs w:val="22"/>
        </w:rPr>
        <w:t>er</w:t>
      </w:r>
      <w:r w:rsidR="002A0DB0" w:rsidRPr="009D4627">
        <w:rPr>
          <w:szCs w:val="22"/>
        </w:rPr>
        <w:t xml:space="preserve"> age group were tested using a 1° target size to ensure they </w:t>
      </w:r>
      <w:r w:rsidR="00CC2CD3" w:rsidRPr="009D4627">
        <w:rPr>
          <w:szCs w:val="22"/>
        </w:rPr>
        <w:t>could</w:t>
      </w:r>
      <w:r w:rsidR="002A0DB0" w:rsidRPr="009D4627">
        <w:rPr>
          <w:szCs w:val="22"/>
        </w:rPr>
        <w:t xml:space="preserve"> focus precisely</w:t>
      </w:r>
      <w:r w:rsidR="006A57A2" w:rsidRPr="009D4627">
        <w:rPr>
          <w:szCs w:val="22"/>
        </w:rPr>
        <w:t xml:space="preserve"> </w:t>
      </w:r>
      <w:r w:rsidR="002A0DB0" w:rsidRPr="009D4627">
        <w:rPr>
          <w:szCs w:val="22"/>
        </w:rPr>
        <w:t>on the small cent</w:t>
      </w:r>
      <w:r w:rsidR="00CC2CD3" w:rsidRPr="009D4627">
        <w:rPr>
          <w:szCs w:val="22"/>
        </w:rPr>
        <w:t>re</w:t>
      </w:r>
      <w:r w:rsidR="002A0DB0" w:rsidRPr="009D4627">
        <w:rPr>
          <w:szCs w:val="22"/>
        </w:rPr>
        <w:t xml:space="preserve"> of the black cross</w:t>
      </w:r>
      <w:r w:rsidR="006A57A2" w:rsidRPr="009D4627">
        <w:rPr>
          <w:szCs w:val="22"/>
        </w:rPr>
        <w:t>,</w:t>
      </w:r>
      <w:r w:rsidR="002A0DB0" w:rsidRPr="009D4627">
        <w:rPr>
          <w:szCs w:val="22"/>
        </w:rPr>
        <w:t xml:space="preserve"> </w:t>
      </w:r>
      <w:r w:rsidR="006A57A2" w:rsidRPr="009D4627">
        <w:rPr>
          <w:szCs w:val="22"/>
        </w:rPr>
        <w:t xml:space="preserve">without wearing </w:t>
      </w:r>
      <w:proofErr w:type="spellStart"/>
      <w:r w:rsidR="006A57A2" w:rsidRPr="009D4627">
        <w:rPr>
          <w:szCs w:val="22"/>
        </w:rPr>
        <w:t>presbyopic</w:t>
      </w:r>
      <w:proofErr w:type="spellEnd"/>
      <w:r w:rsidR="006A57A2" w:rsidRPr="009D4627">
        <w:rPr>
          <w:szCs w:val="22"/>
        </w:rPr>
        <w:t xml:space="preserve"> correction, </w:t>
      </w:r>
      <w:r w:rsidR="002A0DB0" w:rsidRPr="009D4627">
        <w:rPr>
          <w:szCs w:val="22"/>
        </w:rPr>
        <w:t>throughout the EMR</w:t>
      </w:r>
      <w:r w:rsidR="006A57A2" w:rsidRPr="009D4627">
        <w:rPr>
          <w:szCs w:val="22"/>
        </w:rPr>
        <w:t>s</w:t>
      </w:r>
      <w:r w:rsidRPr="009D4627">
        <w:rPr>
          <w:szCs w:val="22"/>
        </w:rPr>
        <w:t>. The detail</w:t>
      </w:r>
      <w:r w:rsidR="0082650E" w:rsidRPr="009D4627">
        <w:rPr>
          <w:szCs w:val="22"/>
        </w:rPr>
        <w:t>s</w:t>
      </w:r>
      <w:r w:rsidRPr="009D4627">
        <w:rPr>
          <w:szCs w:val="22"/>
        </w:rPr>
        <w:t xml:space="preserve"> of the eye recording procedures </w:t>
      </w:r>
      <w:r w:rsidR="0082650E" w:rsidRPr="009D4627">
        <w:rPr>
          <w:szCs w:val="22"/>
        </w:rPr>
        <w:t>are</w:t>
      </w:r>
      <w:r w:rsidRPr="009D4627">
        <w:rPr>
          <w:szCs w:val="22"/>
        </w:rPr>
        <w:t xml:space="preserve"> described in </w:t>
      </w:r>
      <w:r w:rsidR="0082650E" w:rsidRPr="009D4627">
        <w:rPr>
          <w:szCs w:val="22"/>
        </w:rPr>
        <w:t>C</w:t>
      </w:r>
      <w:r w:rsidRPr="009D4627">
        <w:rPr>
          <w:szCs w:val="22"/>
        </w:rPr>
        <w:t xml:space="preserve">hapter 2. </w:t>
      </w:r>
    </w:p>
    <w:p w14:paraId="13BA67CB" w14:textId="4839C972" w:rsidR="008816D4" w:rsidRPr="009D4627" w:rsidRDefault="008816D4" w:rsidP="00DC4CA6">
      <w:pPr>
        <w:pStyle w:val="Heading3"/>
      </w:pPr>
      <w:bookmarkStart w:id="232" w:name="_Toc64730806"/>
      <w:bookmarkStart w:id="233" w:name="_Toc98964657"/>
      <w:bookmarkStart w:id="234" w:name="_Toc103344702"/>
      <w:r w:rsidRPr="009D4627">
        <w:lastRenderedPageBreak/>
        <w:t>Ethics and consent</w:t>
      </w:r>
      <w:bookmarkEnd w:id="231"/>
      <w:bookmarkEnd w:id="232"/>
      <w:bookmarkEnd w:id="233"/>
      <w:bookmarkEnd w:id="234"/>
    </w:p>
    <w:p w14:paraId="712C9D2D" w14:textId="482CAD19" w:rsidR="008816D4" w:rsidRPr="009D4627" w:rsidRDefault="008816D4" w:rsidP="008816D4">
      <w:pPr>
        <w:spacing w:after="160"/>
        <w:rPr>
          <w:szCs w:val="22"/>
        </w:rPr>
      </w:pPr>
      <w:r w:rsidRPr="009D4627">
        <w:rPr>
          <w:szCs w:val="22"/>
        </w:rPr>
        <w:t xml:space="preserve">This study received ethical approval from the University of Sheffield Medical School Ethics Committee on 18/04/2017, application reference number 013101 (Appendix </w:t>
      </w:r>
      <w:r w:rsidR="002A0DB0" w:rsidRPr="009D4627">
        <w:rPr>
          <w:szCs w:val="22"/>
        </w:rPr>
        <w:t>1</w:t>
      </w:r>
      <w:r w:rsidRPr="009D4627">
        <w:rPr>
          <w:szCs w:val="22"/>
        </w:rPr>
        <w:t xml:space="preserve">.1). All participants who satisfied the inclusion criteria were given the participant information sheet (Appendix </w:t>
      </w:r>
      <w:r w:rsidR="002A0DB0" w:rsidRPr="009D4627">
        <w:rPr>
          <w:szCs w:val="22"/>
        </w:rPr>
        <w:t>1</w:t>
      </w:r>
      <w:r w:rsidRPr="009D4627">
        <w:rPr>
          <w:szCs w:val="22"/>
        </w:rPr>
        <w:t xml:space="preserve">.2).  Following an opportunity to ask questions, written consent was obtained using the participant consent form (Appendix </w:t>
      </w:r>
      <w:r w:rsidR="002A0DB0" w:rsidRPr="009D4627">
        <w:rPr>
          <w:szCs w:val="22"/>
        </w:rPr>
        <w:t>1</w:t>
      </w:r>
      <w:r w:rsidRPr="009D4627">
        <w:rPr>
          <w:szCs w:val="22"/>
        </w:rPr>
        <w:t xml:space="preserve">.3) if participants were willing to proceed with the study. All information collected during this study was kept confidential. </w:t>
      </w:r>
      <w:r w:rsidR="008A262A" w:rsidRPr="009D4627">
        <w:rPr>
          <w:szCs w:val="22"/>
          <w:lang w:val="en"/>
        </w:rPr>
        <w:t>Participant</w:t>
      </w:r>
      <w:r w:rsidR="00CC2CD3" w:rsidRPr="009D4627">
        <w:rPr>
          <w:szCs w:val="22"/>
          <w:lang w:val="en"/>
        </w:rPr>
        <w:t>s’</w:t>
      </w:r>
      <w:r w:rsidR="008A262A" w:rsidRPr="009D4627">
        <w:rPr>
          <w:szCs w:val="22"/>
          <w:lang w:val="en"/>
        </w:rPr>
        <w:t xml:space="preserve"> documents and records are stored securely on university computers using a coding format so that they cannot be identified by others. </w:t>
      </w:r>
      <w:r w:rsidRPr="009D4627">
        <w:rPr>
          <w:szCs w:val="22"/>
        </w:rPr>
        <w:t xml:space="preserve">All study data </w:t>
      </w:r>
      <w:r w:rsidR="0082650E" w:rsidRPr="009D4627">
        <w:rPr>
          <w:szCs w:val="22"/>
        </w:rPr>
        <w:t>w</w:t>
      </w:r>
      <w:r w:rsidR="00EC745C" w:rsidRPr="009D4627">
        <w:rPr>
          <w:szCs w:val="22"/>
        </w:rPr>
        <w:t>ere</w:t>
      </w:r>
      <w:r w:rsidR="0082650E" w:rsidRPr="009D4627">
        <w:rPr>
          <w:szCs w:val="22"/>
        </w:rPr>
        <w:t xml:space="preserve"> made</w:t>
      </w:r>
      <w:r w:rsidRPr="009D4627">
        <w:rPr>
          <w:szCs w:val="22"/>
        </w:rPr>
        <w:t xml:space="preserve"> anonym</w:t>
      </w:r>
      <w:r w:rsidR="0082650E" w:rsidRPr="009D4627">
        <w:rPr>
          <w:szCs w:val="22"/>
        </w:rPr>
        <w:t>ous</w:t>
      </w:r>
      <w:r w:rsidRPr="009D4627">
        <w:rPr>
          <w:szCs w:val="22"/>
        </w:rPr>
        <w:t xml:space="preserve"> and referred to only by the participants' unique study numbers. The university computer and encrypted memory stick used are both password</w:t>
      </w:r>
      <w:r w:rsidR="008A262A" w:rsidRPr="009D4627">
        <w:rPr>
          <w:szCs w:val="22"/>
        </w:rPr>
        <w:t>s</w:t>
      </w:r>
      <w:r w:rsidRPr="009D4627">
        <w:rPr>
          <w:szCs w:val="22"/>
        </w:rPr>
        <w:t xml:space="preserve"> protected and only accessed by authorised personnel. The encrypted memory stick and investigator site file </w:t>
      </w:r>
      <w:r w:rsidR="0082650E" w:rsidRPr="009D4627">
        <w:rPr>
          <w:szCs w:val="22"/>
        </w:rPr>
        <w:t xml:space="preserve">are </w:t>
      </w:r>
      <w:r w:rsidRPr="009D4627">
        <w:rPr>
          <w:szCs w:val="22"/>
        </w:rPr>
        <w:t xml:space="preserve">kept in a locked office behind multiple swipe card access main doors in the Medical School at the University of Sheffield. Any published information would have the participants' details removed to maintain anonymity.   </w:t>
      </w:r>
    </w:p>
    <w:p w14:paraId="5796BDA9" w14:textId="718A9CE4" w:rsidR="008816D4" w:rsidRPr="009D4627" w:rsidRDefault="008816D4" w:rsidP="008816D4">
      <w:pPr>
        <w:spacing w:after="160"/>
        <w:rPr>
          <w:szCs w:val="22"/>
        </w:rPr>
      </w:pPr>
      <w:r w:rsidRPr="009D4627">
        <w:rPr>
          <w:szCs w:val="22"/>
        </w:rPr>
        <w:t xml:space="preserve">The inclusion criteria were confirmed by performing standard clinical tests involving no direct contact with the eye. </w:t>
      </w:r>
      <w:r w:rsidR="00116E52" w:rsidRPr="009D4627">
        <w:rPr>
          <w:szCs w:val="22"/>
        </w:rPr>
        <w:t>As described, t</w:t>
      </w:r>
      <w:r w:rsidRPr="009D4627">
        <w:rPr>
          <w:szCs w:val="22"/>
        </w:rPr>
        <w:t xml:space="preserve">he </w:t>
      </w:r>
      <w:r w:rsidR="008A262A" w:rsidRPr="009D4627">
        <w:rPr>
          <w:szCs w:val="22"/>
        </w:rPr>
        <w:t>EMR</w:t>
      </w:r>
      <w:r w:rsidRPr="009D4627">
        <w:rPr>
          <w:szCs w:val="22"/>
        </w:rPr>
        <w:t xml:space="preserve"> is non-invasive, requiring participants to put their chin onto a chin and forehead rest without other restraints or contact with the eyes. The chin and forehead rest were cleaned between each participant with anti-bacterial wipes.</w:t>
      </w:r>
    </w:p>
    <w:p w14:paraId="6DB1D05C" w14:textId="77777777" w:rsidR="00A13666" w:rsidRPr="009D4627" w:rsidRDefault="00A13666" w:rsidP="008816D4">
      <w:pPr>
        <w:spacing w:after="160"/>
        <w:rPr>
          <w:szCs w:val="22"/>
        </w:rPr>
      </w:pPr>
    </w:p>
    <w:p w14:paraId="337199E3" w14:textId="081074F9" w:rsidR="008816D4" w:rsidRPr="009D4627" w:rsidRDefault="008816D4" w:rsidP="00DC4CA6">
      <w:pPr>
        <w:pStyle w:val="Heading3"/>
      </w:pPr>
      <w:bookmarkStart w:id="235" w:name="_Toc64730807"/>
      <w:bookmarkStart w:id="236" w:name="_Toc98964658"/>
      <w:bookmarkStart w:id="237" w:name="_Toc103344703"/>
      <w:r w:rsidRPr="009D4627">
        <w:lastRenderedPageBreak/>
        <w:t>Data Analysis</w:t>
      </w:r>
      <w:bookmarkEnd w:id="235"/>
      <w:bookmarkEnd w:id="236"/>
      <w:bookmarkEnd w:id="237"/>
    </w:p>
    <w:p w14:paraId="0E8F156A" w14:textId="77777777" w:rsidR="00D50C28" w:rsidRPr="009D4627" w:rsidRDefault="008816D4" w:rsidP="008816D4">
      <w:pPr>
        <w:spacing w:after="160"/>
        <w:rPr>
          <w:szCs w:val="22"/>
        </w:rPr>
      </w:pPr>
      <w:r w:rsidRPr="009D4627">
        <w:rPr>
          <w:szCs w:val="22"/>
        </w:rPr>
        <w:t xml:space="preserve">Data from </w:t>
      </w:r>
      <w:r w:rsidR="008A262A" w:rsidRPr="009D4627">
        <w:rPr>
          <w:szCs w:val="22"/>
        </w:rPr>
        <w:t>DV</w:t>
      </w:r>
      <w:r w:rsidRPr="009D4627">
        <w:rPr>
          <w:szCs w:val="22"/>
        </w:rPr>
        <w:t xml:space="preserve"> software </w:t>
      </w:r>
      <w:r w:rsidR="006A57A2" w:rsidRPr="009D4627">
        <w:rPr>
          <w:szCs w:val="22"/>
        </w:rPr>
        <w:t xml:space="preserve">for fixation, SP and saccades </w:t>
      </w:r>
      <w:r w:rsidRPr="009D4627">
        <w:rPr>
          <w:szCs w:val="22"/>
        </w:rPr>
        <w:t xml:space="preserve">were </w:t>
      </w:r>
      <w:r w:rsidR="000E514D" w:rsidRPr="009D4627">
        <w:rPr>
          <w:szCs w:val="22"/>
        </w:rPr>
        <w:t xml:space="preserve">extracted and </w:t>
      </w:r>
      <w:r w:rsidRPr="009D4627">
        <w:rPr>
          <w:szCs w:val="22"/>
        </w:rPr>
        <w:t xml:space="preserve">transferred into </w:t>
      </w:r>
      <w:r w:rsidR="006A57A2" w:rsidRPr="009D4627">
        <w:rPr>
          <w:szCs w:val="22"/>
        </w:rPr>
        <w:t xml:space="preserve">the Microsoft </w:t>
      </w:r>
      <w:r w:rsidRPr="009D4627">
        <w:rPr>
          <w:szCs w:val="22"/>
        </w:rPr>
        <w:t>Excel spreadsheet for analysis</w:t>
      </w:r>
      <w:r w:rsidR="006A57A2" w:rsidRPr="009D4627">
        <w:rPr>
          <w:szCs w:val="22"/>
        </w:rPr>
        <w:t xml:space="preserve"> (refer to Appendix 2.1, 2.2 and 2.3 for the data extraction process)</w:t>
      </w:r>
      <w:r w:rsidRPr="009D4627">
        <w:rPr>
          <w:szCs w:val="22"/>
        </w:rPr>
        <w:t xml:space="preserve">. </w:t>
      </w:r>
    </w:p>
    <w:p w14:paraId="1823208A" w14:textId="3EE6B361" w:rsidR="00F10A4F" w:rsidRPr="009D4627" w:rsidRDefault="00A83C0C" w:rsidP="008816D4">
      <w:pPr>
        <w:spacing w:after="160"/>
        <w:rPr>
          <w:szCs w:val="22"/>
        </w:rPr>
      </w:pPr>
      <w:r>
        <w:t>Although</w:t>
      </w:r>
      <w:r w:rsidR="001C2F68" w:rsidRPr="009D4627">
        <w:t xml:space="preserve"> the viewing was done with both eyes open, only the right eye movements were analysed </w:t>
      </w:r>
      <w:r w:rsidR="001C2F68" w:rsidRPr="009D4627">
        <w:fldChar w:fldCharType="begin"/>
      </w:r>
      <w:r w:rsidR="001C2F68" w:rsidRPr="009D4627">
        <w:instrText xml:space="preserve"> ADDIN EN.CITE &lt;EndNote&gt;&lt;Cite&gt;&lt;Author&gt;Henderson&lt;/Author&gt;&lt;Year&gt;1999&lt;/Year&gt;&lt;IDText&gt;The Effects of Semantic Consistency on Eye Movements During Complex Scene Viewing&lt;/IDText&gt;&lt;DisplayText&gt;(Henderson et al., 1999)&lt;/DisplayText&gt;&lt;record&gt;&lt;keywords&gt;&lt;keyword&gt;Psychology&lt;/keyword&gt;&lt;keyword&gt;Psychology, Experimental&lt;/keyword&gt;&lt;keyword&gt;Social Sciences&lt;/keyword&gt;&lt;/keywords&gt;&lt;isbn&gt;0096-1523&lt;/isbn&gt;&lt;titles&gt;&lt;title&gt;The Effects of Semantic Consistency on Eye Movements During Complex Scene Viewing&lt;/title&gt;&lt;secondary-title&gt;Journal of experimental psychology. Human perception and performance&lt;/secondary-title&gt;&lt;/titles&gt;&lt;pages&gt;210-228&lt;/pages&gt;&lt;number&gt;1&lt;/number&gt;&lt;contributors&gt;&lt;authors&gt;&lt;author&gt;Henderson, John M.&lt;/author&gt;&lt;author&gt;Weeks, Phillip A.&lt;/author&gt;&lt;author&gt;Hollingworth, Andrew&lt;/author&gt;&lt;/authors&gt;&lt;/contributors&gt;&lt;added-date format="utc"&gt;1645621621&lt;/added-date&gt;&lt;pub-location&gt;WASHINGTON&lt;/pub-location&gt;&lt;ref-type name="Journal Article"&gt;17&lt;/ref-type&gt;&lt;dates&gt;&lt;year&gt;1999&lt;/year&gt;&lt;/dates&gt;&lt;rec-number&gt;788&lt;/rec-number&gt;&lt;publisher&gt;WASHINGTON: American Psychological Association&lt;/publisher&gt;&lt;last-updated-date format="utc"&gt;1645621621&lt;/last-updated-date&gt;&lt;electronic-resource-num&gt;10.1037/0096-1523.25.1.210&lt;/electronic-resource-num&gt;&lt;volume&gt;25&lt;/volume&gt;&lt;/record&gt;&lt;/Cite&gt;&lt;/EndNote&gt;</w:instrText>
      </w:r>
      <w:r w:rsidR="001C2F68" w:rsidRPr="009D4627">
        <w:fldChar w:fldCharType="separate"/>
      </w:r>
      <w:r w:rsidR="001C2F68" w:rsidRPr="009D4627">
        <w:rPr>
          <w:noProof/>
        </w:rPr>
        <w:t>(Henderson et al., 1999)</w:t>
      </w:r>
      <w:r w:rsidR="001C2F68" w:rsidRPr="009D4627">
        <w:fldChar w:fldCharType="end"/>
      </w:r>
      <w:r w:rsidR="001C2F68" w:rsidRPr="009D4627">
        <w:t>.</w:t>
      </w:r>
      <w:r w:rsidR="00455335" w:rsidRPr="009D4627">
        <w:t xml:space="preserve"> </w:t>
      </w:r>
      <w:r w:rsidR="001C2F68" w:rsidRPr="009D4627">
        <w:t>A</w:t>
      </w:r>
      <w:r>
        <w:t xml:space="preserve"> separate</w:t>
      </w:r>
      <w:r w:rsidR="001C2F68" w:rsidRPr="009D4627">
        <w:t xml:space="preserve"> experiment was conducted to investigate the effect of monocular or binocular tracking. The t-test was used to determine the significance of the differences between monocular and binocular recordings</w:t>
      </w:r>
      <w:r>
        <w:t xml:space="preserve"> and no differences was found</w:t>
      </w:r>
      <w:r w:rsidR="003375A5">
        <w:t xml:space="preserve"> </w:t>
      </w:r>
      <w:r w:rsidR="001C2F68" w:rsidRPr="009D4627">
        <w:t>(refer to section 3.3).</w:t>
      </w:r>
    </w:p>
    <w:p w14:paraId="2829587B" w14:textId="431549B6" w:rsidR="008816D4" w:rsidRDefault="008816D4" w:rsidP="008816D4">
      <w:pPr>
        <w:spacing w:after="160"/>
        <w:rPr>
          <w:szCs w:val="22"/>
        </w:rPr>
      </w:pPr>
      <w:r w:rsidRPr="009D4627">
        <w:rPr>
          <w:szCs w:val="22"/>
        </w:rPr>
        <w:t>Data were arranged according to the age groups, wi</w:t>
      </w:r>
      <w:r w:rsidR="00116E52" w:rsidRPr="009D4627">
        <w:rPr>
          <w:szCs w:val="22"/>
        </w:rPr>
        <w:t>th</w:t>
      </w:r>
      <w:r w:rsidRPr="009D4627">
        <w:rPr>
          <w:szCs w:val="22"/>
        </w:rPr>
        <w:t xml:space="preserve"> calculat</w:t>
      </w:r>
      <w:r w:rsidR="00116E52" w:rsidRPr="009D4627">
        <w:rPr>
          <w:szCs w:val="22"/>
        </w:rPr>
        <w:t>ions for the</w:t>
      </w:r>
      <w:r w:rsidRPr="009D4627">
        <w:rPr>
          <w:szCs w:val="22"/>
        </w:rPr>
        <w:t xml:space="preserve"> mean of the pooled data</w:t>
      </w:r>
      <w:r w:rsidR="000E514D" w:rsidRPr="009D4627">
        <w:rPr>
          <w:szCs w:val="22"/>
        </w:rPr>
        <w:t xml:space="preserve"> </w:t>
      </w:r>
      <w:r w:rsidRPr="009D4627">
        <w:rPr>
          <w:szCs w:val="22"/>
        </w:rPr>
        <w:t>for young</w:t>
      </w:r>
      <w:r w:rsidR="008A262A" w:rsidRPr="009D4627">
        <w:rPr>
          <w:szCs w:val="22"/>
        </w:rPr>
        <w:t xml:space="preserve">, </w:t>
      </w:r>
      <w:r w:rsidR="00C83BC6" w:rsidRPr="009D4627">
        <w:rPr>
          <w:szCs w:val="22"/>
        </w:rPr>
        <w:t>middle,</w:t>
      </w:r>
      <w:r w:rsidRPr="009D4627">
        <w:rPr>
          <w:szCs w:val="22"/>
        </w:rPr>
        <w:t xml:space="preserve"> and old</w:t>
      </w:r>
      <w:r w:rsidR="00116E52" w:rsidRPr="009D4627">
        <w:rPr>
          <w:szCs w:val="22"/>
        </w:rPr>
        <w:t>er</w:t>
      </w:r>
      <w:r w:rsidRPr="009D4627">
        <w:rPr>
          <w:szCs w:val="22"/>
        </w:rPr>
        <w:t xml:space="preserve"> age groups. </w:t>
      </w:r>
      <w:r w:rsidR="008A262A" w:rsidRPr="009D4627">
        <w:rPr>
          <w:szCs w:val="22"/>
        </w:rPr>
        <w:t>Details of the statistical analysis are explained in each section of the eye movement results.</w:t>
      </w:r>
    </w:p>
    <w:p w14:paraId="65DB1260" w14:textId="31680430" w:rsidR="004C0FB0" w:rsidRPr="009D4627" w:rsidRDefault="004C0FB0" w:rsidP="004C0FB0">
      <w:pPr>
        <w:spacing w:after="160"/>
        <w:rPr>
          <w:szCs w:val="22"/>
        </w:rPr>
      </w:pPr>
      <w:r w:rsidRPr="009D4627">
        <w:rPr>
          <w:szCs w:val="22"/>
        </w:rPr>
        <w:t xml:space="preserve">The Shapiro-Wilk test, skewness, P-P plot (probability-probability plot) and histogram have been used to determine if the data were normally distributed </w:t>
      </w:r>
      <w:r w:rsidRPr="009D4627">
        <w:rPr>
          <w:szCs w:val="22"/>
        </w:rPr>
        <w:fldChar w:fldCharType="begin"/>
      </w:r>
      <w:r w:rsidRPr="009D4627">
        <w:rPr>
          <w:szCs w:val="22"/>
        </w:rPr>
        <w:instrText xml:space="preserve"> ADDIN EN.CITE &lt;EndNote&gt;&lt;Cite&gt;&lt;Author&gt;Mishra&lt;/Author&gt;&lt;Year&gt;2019&lt;/Year&gt;&lt;IDText&gt;Descriptive statistics and normality tests for statistical data&lt;/IDText&gt;&lt;DisplayText&gt;(Mishra et al., 2019)&lt;/DisplayText&gt;&lt;record&gt;&lt;keywords&gt;&lt;keyword&gt;Analysis&lt;/keyword&gt;&lt;keyword&gt;Bibliography&lt;/keyword&gt;&lt;keyword&gt;Biomedical research&lt;/keyword&gt;&lt;keyword&gt;Cardiac arrest&lt;/keyword&gt;&lt;keyword&gt;Datasets&lt;/keyword&gt;&lt;keyword&gt;descriptive statistics&lt;/keyword&gt;&lt;keyword&gt;Heterogeneous catalysis&lt;/keyword&gt;&lt;keyword&gt;Hypothesis testing&lt;/keyword&gt;&lt;keyword&gt;Measures of central tendency&lt;/keyword&gt;&lt;keyword&gt;numerical and visual methods&lt;/keyword&gt;&lt;keyword&gt;Original&lt;/keyword&gt;&lt;keyword&gt;Research&lt;/keyword&gt;&lt;keyword&gt;Statistical analysis&lt;/keyword&gt;&lt;keyword&gt;Statistical methods&lt;/keyword&gt;&lt;keyword&gt;test of normality&lt;/keyword&gt;&lt;/keywords&gt;&lt;isbn&gt;0971-9784&lt;/isbn&gt;&lt;titles&gt;&lt;title&gt;Descriptive statistics and normality tests for statistical data&lt;/title&gt;&lt;secondary-title&gt;Annals of cardiac anaesthesia&lt;/secondary-title&gt;&lt;/titles&gt;&lt;pages&gt;67-72&lt;/pages&gt;&lt;number&gt;1&lt;/number&gt;&lt;contributors&gt;&lt;authors&gt;&lt;author&gt;Mishra, Prabhaker&lt;/author&gt;&lt;author&gt;Pandey, Chandra&lt;/author&gt;&lt;author&gt;Singh, Uttam&lt;/author&gt;&lt;author&gt;Gupta, Anshul&lt;/author&gt;&lt;author&gt;Sahu, Chinmoy&lt;/author&gt;&lt;author&gt;Keshri, Amit&lt;/author&gt;&lt;/authors&gt;&lt;/contributors&gt;&lt;added-date format="utc"&gt;1640744211&lt;/added-date&gt;&lt;pub-location&gt;Mumbai&lt;/pub-location&gt;&lt;ref-type name="Journal Article"&gt;17&lt;/ref-type&gt;&lt;dates&gt;&lt;year&gt;2019&lt;/year&gt;&lt;/dates&gt;&lt;rec-number&gt;783&lt;/rec-number&gt;&lt;publisher&gt;Mumbai: Wolters Kluwer India Pvt. Ltd&lt;/publisher&gt;&lt;last-updated-date format="utc"&gt;1640744211&lt;/last-updated-date&gt;&lt;electronic-resource-num&gt;10.4103/aca.ACA_157_18&lt;/electronic-resource-num&gt;&lt;volume&gt;22&lt;/volume&gt;&lt;/record&gt;&lt;/Cite&gt;&lt;/EndNote&gt;</w:instrText>
      </w:r>
      <w:r w:rsidRPr="009D4627">
        <w:rPr>
          <w:szCs w:val="22"/>
        </w:rPr>
        <w:fldChar w:fldCharType="separate"/>
      </w:r>
      <w:r w:rsidRPr="009D4627">
        <w:rPr>
          <w:noProof/>
          <w:szCs w:val="22"/>
        </w:rPr>
        <w:t>(Mishra et al., 2019)</w:t>
      </w:r>
      <w:r w:rsidRPr="009D4627">
        <w:rPr>
          <w:szCs w:val="22"/>
        </w:rPr>
        <w:fldChar w:fldCharType="end"/>
      </w:r>
      <w:r w:rsidRPr="009D4627">
        <w:rPr>
          <w:szCs w:val="22"/>
        </w:rPr>
        <w:t>. The results are consistent with the normal distribution assumption, as demonstrated by the numerical value or by the histogram, which is approximately bell-shaped. As a result, data are compared using parametric testing.</w:t>
      </w:r>
      <w:r>
        <w:rPr>
          <w:szCs w:val="22"/>
        </w:rPr>
        <w:t xml:space="preserve"> </w:t>
      </w:r>
      <w:r w:rsidRPr="009D4627" w:rsidDel="00336C06">
        <w:rPr>
          <w:szCs w:val="22"/>
        </w:rPr>
        <w:t xml:space="preserve"> </w:t>
      </w:r>
      <w:r w:rsidRPr="004C0FB0">
        <w:rPr>
          <w:szCs w:val="22"/>
        </w:rPr>
        <w:t>In cases when the data did not fulfil the normality distribution requirements, non-parametric statistical analyses were employed.</w:t>
      </w:r>
    </w:p>
    <w:p w14:paraId="1DF567A1" w14:textId="3C1B0316" w:rsidR="003C37FF" w:rsidRDefault="003C37FF" w:rsidP="00D72B70">
      <w:pPr>
        <w:spacing w:before="0" w:after="0"/>
        <w:ind w:left="567"/>
        <w:rPr>
          <w:szCs w:val="22"/>
        </w:rPr>
      </w:pPr>
      <w:r w:rsidRPr="003C37FF">
        <w:rPr>
          <w:szCs w:val="22"/>
        </w:rPr>
        <w:t>The one-way ANOVA test was used to determine whether the mean differences in eye movement parameters differed between the different age groups in this study.</w:t>
      </w:r>
      <w:r>
        <w:rPr>
          <w:szCs w:val="22"/>
        </w:rPr>
        <w:t xml:space="preserve"> </w:t>
      </w:r>
      <w:r w:rsidRPr="003C37FF">
        <w:rPr>
          <w:color w:val="3B3F41"/>
        </w:rPr>
        <w:t xml:space="preserve">In order to run a one-way ANOVA, there are six assumptions that </w:t>
      </w:r>
      <w:r w:rsidR="0054247B">
        <w:rPr>
          <w:color w:val="3B3F41"/>
        </w:rPr>
        <w:t xml:space="preserve">must be assessed to ensure the </w:t>
      </w:r>
      <w:r w:rsidR="0054247B">
        <w:rPr>
          <w:color w:val="3B3F41"/>
        </w:rPr>
        <w:lastRenderedPageBreak/>
        <w:t>data can be analysed using this type of analysis.</w:t>
      </w:r>
      <w:r w:rsidR="003375A5">
        <w:rPr>
          <w:color w:val="3B3F41"/>
        </w:rPr>
        <w:t xml:space="preserve"> </w:t>
      </w:r>
      <w:r>
        <w:rPr>
          <w:szCs w:val="22"/>
        </w:rPr>
        <w:t xml:space="preserve">Assumption 1: Data consists of </w:t>
      </w:r>
      <w:r w:rsidRPr="00AF11DD">
        <w:rPr>
          <w:b/>
          <w:bCs/>
          <w:szCs w:val="22"/>
        </w:rPr>
        <w:t>one dependent variable</w:t>
      </w:r>
      <w:r>
        <w:rPr>
          <w:szCs w:val="22"/>
        </w:rPr>
        <w:t xml:space="preserve"> that are measured at the </w:t>
      </w:r>
      <w:r w:rsidRPr="00AF11DD">
        <w:rPr>
          <w:b/>
          <w:bCs/>
          <w:szCs w:val="22"/>
        </w:rPr>
        <w:t>continuous</w:t>
      </w:r>
      <w:r>
        <w:rPr>
          <w:szCs w:val="22"/>
        </w:rPr>
        <w:t xml:space="preserve"> level.</w:t>
      </w:r>
    </w:p>
    <w:p w14:paraId="049CB35C" w14:textId="68A07D70" w:rsidR="003C37FF" w:rsidRDefault="003C37FF" w:rsidP="00D72B70">
      <w:pPr>
        <w:spacing w:before="0" w:after="0"/>
        <w:ind w:left="567"/>
        <w:rPr>
          <w:szCs w:val="22"/>
        </w:rPr>
      </w:pPr>
      <w:r>
        <w:rPr>
          <w:szCs w:val="22"/>
        </w:rPr>
        <w:t xml:space="preserve">Assumption 2: Data consists of </w:t>
      </w:r>
      <w:r w:rsidRPr="00AF11DD">
        <w:rPr>
          <w:b/>
          <w:bCs/>
          <w:szCs w:val="22"/>
        </w:rPr>
        <w:t>one independent variable</w:t>
      </w:r>
      <w:r>
        <w:rPr>
          <w:szCs w:val="22"/>
        </w:rPr>
        <w:t xml:space="preserve"> that consist of </w:t>
      </w:r>
      <w:r w:rsidRPr="00AF11DD">
        <w:rPr>
          <w:b/>
          <w:bCs/>
          <w:szCs w:val="22"/>
        </w:rPr>
        <w:t>two or more categorical</w:t>
      </w:r>
      <w:r>
        <w:rPr>
          <w:szCs w:val="22"/>
        </w:rPr>
        <w:t>, independent groups.</w:t>
      </w:r>
    </w:p>
    <w:p w14:paraId="6FF9229A" w14:textId="3019A737" w:rsidR="00AF11DD" w:rsidRPr="00AF11DD" w:rsidRDefault="00AF11DD" w:rsidP="00D72B70">
      <w:pPr>
        <w:spacing w:before="0" w:after="0"/>
        <w:ind w:left="567"/>
        <w:rPr>
          <w:color w:val="000000"/>
        </w:rPr>
      </w:pPr>
      <w:r>
        <w:rPr>
          <w:szCs w:val="22"/>
        </w:rPr>
        <w:t xml:space="preserve">Assumption 3: Data </w:t>
      </w:r>
      <w:r w:rsidRPr="00AF11DD">
        <w:rPr>
          <w:color w:val="000000"/>
        </w:rPr>
        <w:t>should have </w:t>
      </w:r>
      <w:r w:rsidRPr="00AF11DD">
        <w:rPr>
          <w:rStyle w:val="Strong"/>
          <w:color w:val="444444"/>
        </w:rPr>
        <w:t>independence of observations</w:t>
      </w:r>
      <w:r w:rsidRPr="00AF11DD">
        <w:rPr>
          <w:color w:val="000000"/>
        </w:rPr>
        <w:t xml:space="preserve">, </w:t>
      </w:r>
      <w:r w:rsidR="001D7594" w:rsidRPr="001D7594">
        <w:rPr>
          <w:color w:val="000000"/>
        </w:rPr>
        <w:t>which means that there should be no association between the observations in each independent variable group or between the groups themselves</w:t>
      </w:r>
      <w:r w:rsidR="001D7594">
        <w:rPr>
          <w:color w:val="000000"/>
        </w:rPr>
        <w:t>.</w:t>
      </w:r>
      <w:r w:rsidR="001D7594">
        <w:rPr>
          <w:rFonts w:ascii="proxima-nova" w:hAnsi="proxima-nova"/>
          <w:color w:val="000000"/>
        </w:rPr>
        <w:t> </w:t>
      </w:r>
    </w:p>
    <w:p w14:paraId="63457671" w14:textId="7456A3A3" w:rsidR="00AF11DD" w:rsidRPr="00AF11DD" w:rsidRDefault="00AF11DD" w:rsidP="00D72B70">
      <w:pPr>
        <w:spacing w:before="0" w:after="0"/>
        <w:ind w:left="567"/>
        <w:rPr>
          <w:color w:val="000000"/>
        </w:rPr>
      </w:pPr>
      <w:r w:rsidRPr="00AF11DD">
        <w:rPr>
          <w:color w:val="000000"/>
        </w:rPr>
        <w:t xml:space="preserve">Assumption 4: </w:t>
      </w:r>
      <w:r w:rsidR="001D7594" w:rsidRPr="001D7594">
        <w:rPr>
          <w:color w:val="000000"/>
        </w:rPr>
        <w:t>According to the dependent variable, there should be no statistically significant outliers in any of the categories of independent variable.</w:t>
      </w:r>
    </w:p>
    <w:p w14:paraId="5F21F682" w14:textId="10656019" w:rsidR="00AF11DD" w:rsidRPr="00AF11DD" w:rsidRDefault="00AF11DD" w:rsidP="00D72B70">
      <w:pPr>
        <w:spacing w:before="0" w:after="0"/>
        <w:ind w:left="567"/>
        <w:rPr>
          <w:color w:val="000000"/>
        </w:rPr>
      </w:pPr>
      <w:r w:rsidRPr="00AF11DD">
        <w:rPr>
          <w:szCs w:val="22"/>
        </w:rPr>
        <w:t xml:space="preserve">Assumption 5: </w:t>
      </w:r>
      <w:r w:rsidR="001D7594" w:rsidRPr="001D7594">
        <w:rPr>
          <w:color w:val="000000"/>
        </w:rPr>
        <w:t>For each group of the independent variable, the dependent variable should be approximately normally distributed.</w:t>
      </w:r>
    </w:p>
    <w:p w14:paraId="28EFC3B8" w14:textId="4DEB4B26" w:rsidR="003C37FF" w:rsidRPr="00AF11DD" w:rsidRDefault="00AF11DD" w:rsidP="00D72B70">
      <w:pPr>
        <w:spacing w:before="0" w:after="0"/>
        <w:ind w:left="567"/>
        <w:rPr>
          <w:szCs w:val="22"/>
        </w:rPr>
      </w:pPr>
      <w:r w:rsidRPr="00AF11DD">
        <w:rPr>
          <w:color w:val="000000"/>
        </w:rPr>
        <w:t xml:space="preserve">Assumption 6: </w:t>
      </w:r>
      <w:r w:rsidR="0054247B" w:rsidRPr="0054247B">
        <w:rPr>
          <w:color w:val="000000"/>
        </w:rPr>
        <w:t>The variances in the data should be homogeneous (i.e., the variance of the dependent variable is equal in each group of the independent variable)</w:t>
      </w:r>
      <w:r w:rsidR="0054247B">
        <w:rPr>
          <w:color w:val="000000"/>
        </w:rPr>
        <w:t>.</w:t>
      </w:r>
    </w:p>
    <w:p w14:paraId="23C7C5EF" w14:textId="14810569" w:rsidR="003C37FF" w:rsidRDefault="00C2392C" w:rsidP="008816D4">
      <w:pPr>
        <w:spacing w:after="160"/>
        <w:rPr>
          <w:szCs w:val="22"/>
        </w:rPr>
      </w:pPr>
      <w:r w:rsidRPr="00C2392C">
        <w:rPr>
          <w:szCs w:val="22"/>
        </w:rPr>
        <w:t xml:space="preserve">Whenever the data did not conform to the assumptions, a non-parametric </w:t>
      </w:r>
      <w:r w:rsidR="00464F05">
        <w:rPr>
          <w:szCs w:val="22"/>
        </w:rPr>
        <w:t xml:space="preserve">independent samples </w:t>
      </w:r>
      <w:r w:rsidRPr="00C2392C">
        <w:rPr>
          <w:szCs w:val="22"/>
        </w:rPr>
        <w:t>Kruskal-</w:t>
      </w:r>
      <w:proofErr w:type="gramStart"/>
      <w:r w:rsidRPr="00C2392C">
        <w:rPr>
          <w:szCs w:val="22"/>
        </w:rPr>
        <w:t>Walli</w:t>
      </w:r>
      <w:r w:rsidR="00464F05">
        <w:rPr>
          <w:szCs w:val="22"/>
        </w:rPr>
        <w:t>s</w:t>
      </w:r>
      <w:proofErr w:type="gramEnd"/>
      <w:r w:rsidRPr="00C2392C">
        <w:rPr>
          <w:szCs w:val="22"/>
        </w:rPr>
        <w:t xml:space="preserve"> test was performed.</w:t>
      </w:r>
      <w:r w:rsidR="0054247B">
        <w:rPr>
          <w:szCs w:val="22"/>
        </w:rPr>
        <w:t xml:space="preserve"> </w:t>
      </w:r>
    </w:p>
    <w:p w14:paraId="70DCD72C" w14:textId="2E0B74C9" w:rsidR="00C2392C" w:rsidRDefault="00C809D2" w:rsidP="0040559E">
      <w:r>
        <w:t xml:space="preserve">Further statistical analysis using Pearson correlation was performed to investigate the association of ageing factor with the eye movement parameters. </w:t>
      </w:r>
      <w:r w:rsidR="0040559E" w:rsidRPr="0040559E">
        <w:t xml:space="preserve">Correlation coefficients of </w:t>
      </w:r>
      <w:r w:rsidR="0040559E" w:rsidRPr="0040559E">
        <w:rPr>
          <w:i/>
          <w:iCs/>
        </w:rPr>
        <w:t>r</w:t>
      </w:r>
      <w:r w:rsidR="0040559E" w:rsidRPr="0040559E">
        <w:t xml:space="preserve">&lt;0.3 are regarded poor, </w:t>
      </w:r>
      <w:r w:rsidR="0040559E" w:rsidRPr="0040559E">
        <w:rPr>
          <w:i/>
          <w:iCs/>
        </w:rPr>
        <w:t>r</w:t>
      </w:r>
      <w:r w:rsidR="00C83BC6">
        <w:rPr>
          <w:i/>
          <w:iCs/>
        </w:rPr>
        <w:t xml:space="preserve"> </w:t>
      </w:r>
      <w:r w:rsidR="0040559E">
        <w:rPr>
          <w:i/>
          <w:iCs/>
        </w:rPr>
        <w:t>=</w:t>
      </w:r>
      <w:r w:rsidR="00C83BC6">
        <w:rPr>
          <w:i/>
          <w:iCs/>
        </w:rPr>
        <w:t xml:space="preserve"> </w:t>
      </w:r>
      <w:r w:rsidR="0040559E" w:rsidRPr="0040559E">
        <w:t xml:space="preserve">0.3-0.7 are considered moderate, while </w:t>
      </w:r>
      <w:r w:rsidR="0040559E" w:rsidRPr="0040559E">
        <w:rPr>
          <w:i/>
          <w:iCs/>
        </w:rPr>
        <w:t>r</w:t>
      </w:r>
      <w:r w:rsidR="0040559E" w:rsidRPr="0040559E">
        <w:t>&gt;0.7 are considered strong</w:t>
      </w:r>
      <w:r w:rsidR="00C83BC6">
        <w:t xml:space="preserve"> </w:t>
      </w:r>
      <w:r w:rsidR="00C83BC6">
        <w:fldChar w:fldCharType="begin"/>
      </w:r>
      <w:r w:rsidR="00C83BC6">
        <w:instrText xml:space="preserve"> ADDIN EN.CITE &lt;EndNote&gt;&lt;Cite&gt;&lt;Author&gt;Laerd&lt;/Author&gt;&lt;Year&gt;2013&lt;/Year&gt;&lt;IDText&gt;Laerd Statistics&lt;/IDText&gt;&lt;DisplayText&gt;(Laerd, 2013)&lt;/DisplayText&gt;&lt;record&gt;&lt;urls&gt;&lt;related-urls&gt;&lt;url&gt;https://statistics.laerd.com/premium/spss/lr/linear-regression-in-spss.php&lt;/url&gt;&lt;/related-urls&gt;&lt;/urls&gt;&lt;titles&gt;&lt;title&gt;Laerd Statistics&lt;/title&gt;&lt;/titles&gt;&lt;contributors&gt;&lt;authors&gt;&lt;author&gt;Laerd&lt;/author&gt;&lt;/authors&gt;&lt;/contributors&gt;&lt;added-date format="utc"&gt;1644031849&lt;/added-date&gt;&lt;ref-type name="Web Page"&gt;12&lt;/ref-type&gt;&lt;dates&gt;&lt;year&gt;2013&lt;/year&gt;&lt;/dates&gt;&lt;rec-number&gt;785&lt;/rec-number&gt;&lt;publisher&gt;Lund Research Ltd.&lt;/publisher&gt;&lt;last-updated-date format="utc"&gt;1646106129&lt;/last-updated-date&gt;&lt;/record&gt;&lt;/Cite&gt;&lt;/EndNote&gt;</w:instrText>
      </w:r>
      <w:r w:rsidR="00C83BC6">
        <w:fldChar w:fldCharType="separate"/>
      </w:r>
      <w:r w:rsidR="00C83BC6">
        <w:rPr>
          <w:noProof/>
        </w:rPr>
        <w:t>(Laerd, 2013)</w:t>
      </w:r>
      <w:r w:rsidR="00C83BC6">
        <w:fldChar w:fldCharType="end"/>
      </w:r>
      <w:r w:rsidR="0040559E" w:rsidRPr="0040559E">
        <w:t>.</w:t>
      </w:r>
    </w:p>
    <w:p w14:paraId="088C00FD" w14:textId="63BA5F9B" w:rsidR="006C278F" w:rsidRDefault="006C278F" w:rsidP="00DC4CA6">
      <w:pPr>
        <w:pStyle w:val="Heading3"/>
      </w:pPr>
      <w:bookmarkStart w:id="238" w:name="_Toc98964659"/>
      <w:bookmarkStart w:id="239" w:name="_Toc103344704"/>
      <w:r>
        <w:t>Removing the outliers</w:t>
      </w:r>
      <w:bookmarkEnd w:id="238"/>
      <w:bookmarkEnd w:id="239"/>
    </w:p>
    <w:p w14:paraId="0F54E1CB" w14:textId="0489EDDC" w:rsidR="006C278F" w:rsidRDefault="006C278F" w:rsidP="006C278F">
      <w:pPr>
        <w:rPr>
          <w:szCs w:val="22"/>
        </w:rPr>
      </w:pPr>
      <w:r w:rsidRPr="009D4627">
        <w:rPr>
          <w:szCs w:val="22"/>
        </w:rPr>
        <w:t xml:space="preserve">All negative gain values and extreme value of RMSE (&gt;5.0) were eliminated from the study, accounting for ≈10% of the horizontal SP and ≈8% of the vertical SP data was discarded. The extreme values were detected using the scatter plot of individual participants. </w:t>
      </w:r>
    </w:p>
    <w:p w14:paraId="3A76BABC" w14:textId="24271B34" w:rsidR="006C278F" w:rsidRDefault="006C278F" w:rsidP="006C278F">
      <w:r w:rsidRPr="009D4627">
        <w:lastRenderedPageBreak/>
        <w:t>Any saccadic movements with a latency of less than 80 °/s were excluded from the analysis, as they represent anticipatory saccades rather than visually guided saccades. As a result, 10 % and 13</w:t>
      </w:r>
      <w:r>
        <w:t xml:space="preserve"> </w:t>
      </w:r>
      <w:r w:rsidRPr="009D4627">
        <w:t>% of total horizontal and vertical saccadic trials, respectively, were excluded from analysis due to poor latency.</w:t>
      </w:r>
    </w:p>
    <w:p w14:paraId="4F3A9642" w14:textId="24FF09FB" w:rsidR="008816D4" w:rsidRPr="009D4627" w:rsidRDefault="002A401B" w:rsidP="00D04E3B">
      <w:pPr>
        <w:pStyle w:val="Heading2"/>
      </w:pPr>
      <w:bookmarkStart w:id="240" w:name="_Toc17911575"/>
      <w:bookmarkStart w:id="241" w:name="_Toc64730808"/>
      <w:bookmarkStart w:id="242" w:name="_Toc98964660"/>
      <w:bookmarkStart w:id="243" w:name="_Toc103344705"/>
      <w:r w:rsidRPr="009D4627">
        <w:t>R</w:t>
      </w:r>
      <w:r w:rsidR="008816D4" w:rsidRPr="009D4627">
        <w:t>esults</w:t>
      </w:r>
      <w:bookmarkEnd w:id="240"/>
      <w:bookmarkEnd w:id="241"/>
      <w:bookmarkEnd w:id="242"/>
      <w:bookmarkEnd w:id="243"/>
      <w:r w:rsidR="008816D4" w:rsidRPr="009D4627">
        <w:t xml:space="preserve"> </w:t>
      </w:r>
    </w:p>
    <w:p w14:paraId="15A34389" w14:textId="2557F270" w:rsidR="008816D4" w:rsidRPr="009D4627" w:rsidRDefault="008A262A" w:rsidP="008816D4">
      <w:pPr>
        <w:spacing w:after="160"/>
        <w:rPr>
          <w:szCs w:val="22"/>
        </w:rPr>
      </w:pPr>
      <w:r w:rsidRPr="009D4627">
        <w:rPr>
          <w:szCs w:val="22"/>
        </w:rPr>
        <w:t xml:space="preserve">Fifty-seven healthy control participants aged between 19 </w:t>
      </w:r>
      <w:r w:rsidR="000E514D" w:rsidRPr="009D4627">
        <w:rPr>
          <w:szCs w:val="22"/>
        </w:rPr>
        <w:t xml:space="preserve">to </w:t>
      </w:r>
      <w:r w:rsidRPr="009D4627">
        <w:rPr>
          <w:szCs w:val="22"/>
        </w:rPr>
        <w:t>79 years were recruited and received EMRs to establish normal data for eye movements; young (n = 23), middle (n = 18) and old</w:t>
      </w:r>
      <w:r w:rsidR="00116E52" w:rsidRPr="009D4627">
        <w:rPr>
          <w:szCs w:val="22"/>
        </w:rPr>
        <w:t>er</w:t>
      </w:r>
      <w:r w:rsidRPr="009D4627">
        <w:rPr>
          <w:szCs w:val="22"/>
        </w:rPr>
        <w:t xml:space="preserve"> age (n = 16).</w:t>
      </w:r>
      <w:r w:rsidR="008816D4" w:rsidRPr="009D4627">
        <w:rPr>
          <w:szCs w:val="22"/>
        </w:rPr>
        <w:t xml:space="preserve"> </w:t>
      </w:r>
      <w:r w:rsidR="00116E52" w:rsidRPr="009D4627">
        <w:rPr>
          <w:szCs w:val="22"/>
        </w:rPr>
        <w:t>One</w:t>
      </w:r>
      <w:r w:rsidR="008816D4" w:rsidRPr="009D4627">
        <w:rPr>
          <w:szCs w:val="22"/>
        </w:rPr>
        <w:t xml:space="preserve"> participant from the old</w:t>
      </w:r>
      <w:r w:rsidR="00116E52" w:rsidRPr="009D4627">
        <w:rPr>
          <w:szCs w:val="22"/>
        </w:rPr>
        <w:t>er</w:t>
      </w:r>
      <w:r w:rsidR="008816D4" w:rsidRPr="009D4627">
        <w:rPr>
          <w:szCs w:val="22"/>
        </w:rPr>
        <w:t xml:space="preserve"> age group was </w:t>
      </w:r>
      <w:r w:rsidR="00116E52" w:rsidRPr="009D4627">
        <w:rPr>
          <w:szCs w:val="22"/>
        </w:rPr>
        <w:t xml:space="preserve">subsequently </w:t>
      </w:r>
      <w:r w:rsidR="008816D4" w:rsidRPr="009D4627">
        <w:rPr>
          <w:szCs w:val="22"/>
        </w:rPr>
        <w:t>excluded because she w</w:t>
      </w:r>
      <w:r w:rsidR="00CC2CD3" w:rsidRPr="009D4627">
        <w:rPr>
          <w:szCs w:val="22"/>
        </w:rPr>
        <w:t>ore</w:t>
      </w:r>
      <w:r w:rsidR="008816D4" w:rsidRPr="009D4627">
        <w:rPr>
          <w:szCs w:val="22"/>
        </w:rPr>
        <w:t xml:space="preserve"> the rigid gas permeable (RGP)</w:t>
      </w:r>
      <w:r w:rsidR="00116E52" w:rsidRPr="009D4627">
        <w:rPr>
          <w:szCs w:val="22"/>
        </w:rPr>
        <w:t xml:space="preserve"> contact</w:t>
      </w:r>
      <w:r w:rsidR="008816D4" w:rsidRPr="009D4627">
        <w:rPr>
          <w:szCs w:val="22"/>
        </w:rPr>
        <w:t xml:space="preserve"> lenses</w:t>
      </w:r>
      <w:r w:rsidR="00116E52" w:rsidRPr="009D4627">
        <w:rPr>
          <w:szCs w:val="22"/>
        </w:rPr>
        <w:t>,</w:t>
      </w:r>
      <w:r w:rsidR="008816D4" w:rsidRPr="009D4627">
        <w:rPr>
          <w:szCs w:val="22"/>
        </w:rPr>
        <w:t xml:space="preserve"> which cause</w:t>
      </w:r>
      <w:r w:rsidR="00116E52" w:rsidRPr="009D4627">
        <w:rPr>
          <w:szCs w:val="22"/>
        </w:rPr>
        <w:t>d</w:t>
      </w:r>
      <w:r w:rsidR="008816D4" w:rsidRPr="009D4627">
        <w:rPr>
          <w:szCs w:val="22"/>
        </w:rPr>
        <w:t xml:space="preserve"> abnormal eye recording results, especially towards the eccentric </w:t>
      </w:r>
      <w:r w:rsidR="00116E52" w:rsidRPr="009D4627">
        <w:rPr>
          <w:szCs w:val="22"/>
        </w:rPr>
        <w:t>positions</w:t>
      </w:r>
      <w:r w:rsidR="008816D4" w:rsidRPr="009D4627">
        <w:rPr>
          <w:szCs w:val="22"/>
        </w:rPr>
        <w:t xml:space="preserve"> of horizontal and vertical </w:t>
      </w:r>
      <w:r w:rsidR="00116E52" w:rsidRPr="009D4627">
        <w:rPr>
          <w:szCs w:val="22"/>
        </w:rPr>
        <w:t xml:space="preserve">gaze </w:t>
      </w:r>
      <w:r w:rsidR="008816D4" w:rsidRPr="009D4627">
        <w:rPr>
          <w:szCs w:val="22"/>
        </w:rPr>
        <w:t>directions.</w:t>
      </w:r>
      <w:r w:rsidR="0026496D" w:rsidRPr="009D4627">
        <w:rPr>
          <w:szCs w:val="22"/>
        </w:rPr>
        <w:t xml:space="preserve"> </w:t>
      </w:r>
    </w:p>
    <w:p w14:paraId="7FAC2923" w14:textId="4246C97D" w:rsidR="00AC5B4F" w:rsidRPr="009D4627" w:rsidRDefault="008816D4" w:rsidP="004C0FB0">
      <w:r w:rsidRPr="009D4627">
        <w:t xml:space="preserve">This section describes the performance of fixation, </w:t>
      </w:r>
      <w:r w:rsidR="00CC2CD3" w:rsidRPr="009D4627">
        <w:t>SP</w:t>
      </w:r>
      <w:r w:rsidRPr="009D4627">
        <w:t xml:space="preserve"> and </w:t>
      </w:r>
      <w:r w:rsidR="00944720" w:rsidRPr="009D4627">
        <w:t>saccadic</w:t>
      </w:r>
      <w:r w:rsidRPr="009D4627">
        <w:t xml:space="preserve"> eye movements of healthy participants classified into </w:t>
      </w:r>
      <w:r w:rsidR="00116E52" w:rsidRPr="009D4627">
        <w:t xml:space="preserve">the </w:t>
      </w:r>
      <w:r w:rsidRPr="009D4627">
        <w:t xml:space="preserve">three age groups. </w:t>
      </w:r>
      <w:r w:rsidR="003A74E5" w:rsidRPr="003A74E5">
        <w:t xml:space="preserve">Although the recording provides data for each eye separately, the data from the RE </w:t>
      </w:r>
      <w:r w:rsidR="00887403">
        <w:t>only</w:t>
      </w:r>
      <w:r w:rsidR="00D559BB">
        <w:t xml:space="preserve"> </w:t>
      </w:r>
      <w:r w:rsidR="003A74E5" w:rsidRPr="003A74E5">
        <w:t>were analysed. This is because t-tests found no statistically significant difference between RE and LE in the mean values of all eye movements measured</w:t>
      </w:r>
      <w:r w:rsidR="003A77ED" w:rsidRPr="009D4627">
        <w:t xml:space="preserve"> </w:t>
      </w:r>
      <w:r w:rsidR="00AC5B4F" w:rsidRPr="009D4627">
        <w:t>(Appendix 3</w:t>
      </w:r>
      <w:r w:rsidR="003A77ED" w:rsidRPr="009D4627">
        <w:t>.</w:t>
      </w:r>
      <w:r w:rsidR="001F19C4">
        <w:t>1</w:t>
      </w:r>
      <w:r w:rsidR="00AC5B4F" w:rsidRPr="009D4627">
        <w:t>)</w:t>
      </w:r>
      <w:r w:rsidR="00582F2F" w:rsidRPr="009D4627">
        <w:t>.</w:t>
      </w:r>
    </w:p>
    <w:p w14:paraId="360FF391" w14:textId="51B631F3" w:rsidR="008816D4" w:rsidRPr="009D4627" w:rsidRDefault="008816D4" w:rsidP="00DC4CA6">
      <w:pPr>
        <w:pStyle w:val="Heading3"/>
      </w:pPr>
      <w:bookmarkStart w:id="244" w:name="_Toc64730809"/>
      <w:bookmarkStart w:id="245" w:name="_Toc98964661"/>
      <w:bookmarkStart w:id="246" w:name="_Toc103344706"/>
      <w:r w:rsidRPr="009D4627">
        <w:t>Effect of ageing on the fixation eye movements.</w:t>
      </w:r>
      <w:bookmarkEnd w:id="244"/>
      <w:bookmarkEnd w:id="245"/>
      <w:bookmarkEnd w:id="246"/>
    </w:p>
    <w:p w14:paraId="1F9ABCDC" w14:textId="77CB8050" w:rsidR="008816D4" w:rsidRPr="009D4627" w:rsidRDefault="008816D4" w:rsidP="008816D4">
      <w:pPr>
        <w:spacing w:after="160"/>
        <w:rPr>
          <w:szCs w:val="22"/>
        </w:rPr>
      </w:pPr>
      <w:r w:rsidRPr="009D4627">
        <w:rPr>
          <w:szCs w:val="22"/>
        </w:rPr>
        <w:t>Individual participant median AOI</w:t>
      </w:r>
      <w:r w:rsidR="00EE3798" w:rsidRPr="009D4627">
        <w:rPr>
          <w:szCs w:val="22"/>
        </w:rPr>
        <w:t>s</w:t>
      </w:r>
      <w:r w:rsidRPr="009D4627">
        <w:rPr>
          <w:szCs w:val="22"/>
        </w:rPr>
        <w:t xml:space="preserve"> at five </w:t>
      </w:r>
      <w:r w:rsidR="001F1EA0" w:rsidRPr="009D4627">
        <w:rPr>
          <w:szCs w:val="22"/>
        </w:rPr>
        <w:t>fixation position</w:t>
      </w:r>
      <w:r w:rsidRPr="009D4627">
        <w:rPr>
          <w:szCs w:val="22"/>
        </w:rPr>
        <w:t xml:space="preserve">s was used to calculate the group median, as shown in </w:t>
      </w:r>
      <w:r w:rsidR="00D91AAB" w:rsidRPr="009D4627">
        <w:rPr>
          <w:szCs w:val="22"/>
        </w:rPr>
        <w:t>Figure</w:t>
      </w:r>
      <w:r w:rsidRPr="009D4627">
        <w:rPr>
          <w:szCs w:val="22"/>
        </w:rPr>
        <w:t xml:space="preserve"> 3.1. </w:t>
      </w:r>
      <w:r w:rsidR="0020169B" w:rsidRPr="009D4627">
        <w:t xml:space="preserve">The young and middle age </w:t>
      </w:r>
      <w:proofErr w:type="gramStart"/>
      <w:r w:rsidR="0020169B" w:rsidRPr="009D4627">
        <w:t>groups maintained</w:t>
      </w:r>
      <w:proofErr w:type="gramEnd"/>
      <w:r w:rsidR="0020169B" w:rsidRPr="009D4627">
        <w:t xml:space="preserve"> fixation within 1° of the fixation target centre nearly 100% of the time</w:t>
      </w:r>
      <w:r w:rsidRPr="009D4627">
        <w:rPr>
          <w:szCs w:val="22"/>
        </w:rPr>
        <w:t xml:space="preserve">, signifying excellent fixation at </w:t>
      </w:r>
      <w:r w:rsidR="00F57D01" w:rsidRPr="009D4627">
        <w:rPr>
          <w:szCs w:val="22"/>
        </w:rPr>
        <w:t>PP</w:t>
      </w:r>
      <w:r w:rsidRPr="009D4627">
        <w:rPr>
          <w:szCs w:val="22"/>
        </w:rPr>
        <w:t>, but the old</w:t>
      </w:r>
      <w:r w:rsidR="00EE3798" w:rsidRPr="009D4627">
        <w:rPr>
          <w:szCs w:val="22"/>
        </w:rPr>
        <w:t>er</w:t>
      </w:r>
      <w:r w:rsidRPr="009D4627">
        <w:rPr>
          <w:szCs w:val="22"/>
        </w:rPr>
        <w:t xml:space="preserve"> age group show</w:t>
      </w:r>
      <w:r w:rsidR="00EE3798" w:rsidRPr="009D4627">
        <w:rPr>
          <w:szCs w:val="22"/>
        </w:rPr>
        <w:t>ed</w:t>
      </w:r>
      <w:r w:rsidRPr="009D4627">
        <w:rPr>
          <w:szCs w:val="22"/>
        </w:rPr>
        <w:t xml:space="preserve"> nearly 60% DT</w:t>
      </w:r>
      <w:r w:rsidR="00EE3798" w:rsidRPr="009D4627">
        <w:rPr>
          <w:szCs w:val="22"/>
        </w:rPr>
        <w:t>s</w:t>
      </w:r>
      <w:r w:rsidRPr="009D4627">
        <w:rPr>
          <w:szCs w:val="22"/>
        </w:rPr>
        <w:t xml:space="preserve"> within that area.</w:t>
      </w:r>
      <w:r w:rsidRPr="009D4627">
        <w:rPr>
          <w:b/>
          <w:bCs/>
          <w:szCs w:val="22"/>
        </w:rPr>
        <w:t xml:space="preserve"> </w:t>
      </w:r>
      <w:r w:rsidRPr="009D4627">
        <w:rPr>
          <w:szCs w:val="22"/>
        </w:rPr>
        <w:t xml:space="preserve">On </w:t>
      </w:r>
      <w:r w:rsidR="008E5865" w:rsidRPr="009D4627">
        <w:rPr>
          <w:szCs w:val="22"/>
        </w:rPr>
        <w:t xml:space="preserve">10° </w:t>
      </w:r>
      <w:r w:rsidRPr="009D4627">
        <w:rPr>
          <w:szCs w:val="22"/>
        </w:rPr>
        <w:t>left gaze, young people had reduced DT (≈65%) within 1° AOI, slightly higher than the old</w:t>
      </w:r>
      <w:r w:rsidR="00EE3798" w:rsidRPr="009D4627">
        <w:rPr>
          <w:szCs w:val="22"/>
        </w:rPr>
        <w:t>er</w:t>
      </w:r>
      <w:r w:rsidRPr="009D4627">
        <w:rPr>
          <w:szCs w:val="22"/>
        </w:rPr>
        <w:t xml:space="preserve"> </w:t>
      </w:r>
      <w:r w:rsidR="00EE3798" w:rsidRPr="009D4627">
        <w:rPr>
          <w:szCs w:val="22"/>
        </w:rPr>
        <w:t>participants</w:t>
      </w:r>
      <w:r w:rsidRPr="009D4627">
        <w:rPr>
          <w:szCs w:val="22"/>
        </w:rPr>
        <w:t xml:space="preserve"> (≈60%). The </w:t>
      </w:r>
      <w:r w:rsidRPr="009D4627">
        <w:rPr>
          <w:szCs w:val="22"/>
        </w:rPr>
        <w:lastRenderedPageBreak/>
        <w:t xml:space="preserve">condition changed on </w:t>
      </w:r>
      <w:r w:rsidR="008E5865" w:rsidRPr="009D4627">
        <w:rPr>
          <w:szCs w:val="22"/>
        </w:rPr>
        <w:t xml:space="preserve">10° </w:t>
      </w:r>
      <w:r w:rsidRPr="009D4627">
        <w:rPr>
          <w:szCs w:val="22"/>
        </w:rPr>
        <w:t>right gaze, whereby young people had the highest percentage DT (≈80%) within the smallest AOI among the three groups, and the old</w:t>
      </w:r>
      <w:r w:rsidR="00EE3798" w:rsidRPr="009D4627">
        <w:rPr>
          <w:szCs w:val="22"/>
        </w:rPr>
        <w:t>er</w:t>
      </w:r>
      <w:r w:rsidRPr="009D4627">
        <w:rPr>
          <w:szCs w:val="22"/>
        </w:rPr>
        <w:t xml:space="preserve"> age</w:t>
      </w:r>
      <w:r w:rsidR="00EE3798" w:rsidRPr="009D4627">
        <w:rPr>
          <w:szCs w:val="22"/>
        </w:rPr>
        <w:t xml:space="preserve"> group were</w:t>
      </w:r>
      <w:r w:rsidRPr="009D4627">
        <w:rPr>
          <w:szCs w:val="22"/>
        </w:rPr>
        <w:t xml:space="preserve"> ≈10% lower than</w:t>
      </w:r>
      <w:r w:rsidR="00A83C0C">
        <w:rPr>
          <w:szCs w:val="22"/>
        </w:rPr>
        <w:t xml:space="preserve"> the</w:t>
      </w:r>
      <w:r w:rsidRPr="009D4627">
        <w:rPr>
          <w:szCs w:val="22"/>
        </w:rPr>
        <w:t xml:space="preserve"> middle age (55%). </w:t>
      </w:r>
      <w:r w:rsidR="00EE3798" w:rsidRPr="009D4627">
        <w:rPr>
          <w:szCs w:val="22"/>
        </w:rPr>
        <w:t>On</w:t>
      </w:r>
      <w:r w:rsidR="008E5865" w:rsidRPr="009D4627">
        <w:rPr>
          <w:szCs w:val="22"/>
        </w:rPr>
        <w:t xml:space="preserve"> 8°</w:t>
      </w:r>
      <w:r w:rsidR="003847F2" w:rsidRPr="009D4627">
        <w:rPr>
          <w:szCs w:val="22"/>
        </w:rPr>
        <w:t xml:space="preserve"> </w:t>
      </w:r>
      <w:r w:rsidR="002B1030" w:rsidRPr="009D4627">
        <w:rPr>
          <w:szCs w:val="22"/>
        </w:rPr>
        <w:t>up</w:t>
      </w:r>
      <w:r w:rsidRPr="009D4627">
        <w:rPr>
          <w:szCs w:val="22"/>
        </w:rPr>
        <w:t xml:space="preserve"> gaze, the fixation performance was similar between the three age groups with ≈60</w:t>
      </w:r>
      <w:r w:rsidR="00EE3798" w:rsidRPr="009D4627">
        <w:rPr>
          <w:szCs w:val="22"/>
        </w:rPr>
        <w:t xml:space="preserve"> </w:t>
      </w:r>
      <w:r w:rsidRPr="009D4627">
        <w:rPr>
          <w:szCs w:val="22"/>
        </w:rPr>
        <w:t>-</w:t>
      </w:r>
      <w:r w:rsidR="00EE3798" w:rsidRPr="009D4627">
        <w:rPr>
          <w:szCs w:val="22"/>
        </w:rPr>
        <w:t xml:space="preserve"> </w:t>
      </w:r>
      <w:r w:rsidRPr="009D4627">
        <w:rPr>
          <w:szCs w:val="22"/>
        </w:rPr>
        <w:t xml:space="preserve">70% DT within the smallest AOI. </w:t>
      </w:r>
      <w:r w:rsidR="00EE3798" w:rsidRPr="009D4627">
        <w:rPr>
          <w:szCs w:val="22"/>
        </w:rPr>
        <w:t>On</w:t>
      </w:r>
      <w:r w:rsidRPr="009D4627">
        <w:rPr>
          <w:szCs w:val="22"/>
        </w:rPr>
        <w:t xml:space="preserve"> </w:t>
      </w:r>
      <w:r w:rsidR="002B1030" w:rsidRPr="009D4627">
        <w:rPr>
          <w:szCs w:val="22"/>
        </w:rPr>
        <w:t xml:space="preserve">8° </w:t>
      </w:r>
      <w:r w:rsidRPr="009D4627">
        <w:rPr>
          <w:szCs w:val="22"/>
        </w:rPr>
        <w:t>downgaze, the old</w:t>
      </w:r>
      <w:r w:rsidR="00EE3798" w:rsidRPr="009D4627">
        <w:rPr>
          <w:szCs w:val="22"/>
        </w:rPr>
        <w:t>er</w:t>
      </w:r>
      <w:r w:rsidRPr="009D4627">
        <w:rPr>
          <w:szCs w:val="22"/>
        </w:rPr>
        <w:t xml:space="preserve"> group demonstrated a substantial decline of percentage DT, within the smallest AOI, to less than 20%, and increased DT within the 2° AOI to ≈50%. The fixation of &gt;2° AOI was at a small percentage, ≈&lt;5%, for all age groups at all </w:t>
      </w:r>
      <w:r w:rsidR="001F1EA0" w:rsidRPr="009D4627">
        <w:rPr>
          <w:szCs w:val="22"/>
        </w:rPr>
        <w:t>fixation position</w:t>
      </w:r>
      <w:r w:rsidRPr="009D4627">
        <w:rPr>
          <w:szCs w:val="22"/>
        </w:rPr>
        <w:t>s.</w:t>
      </w:r>
    </w:p>
    <w:p w14:paraId="54FBF431" w14:textId="5FC4F692" w:rsidR="008A262A" w:rsidRPr="009D4627" w:rsidRDefault="008A262A" w:rsidP="008816D4">
      <w:pPr>
        <w:spacing w:after="160"/>
        <w:rPr>
          <w:szCs w:val="22"/>
        </w:rPr>
      </w:pPr>
    </w:p>
    <w:p w14:paraId="56C846FD" w14:textId="77777777" w:rsidR="008A262A" w:rsidRPr="009D4627" w:rsidRDefault="008A262A" w:rsidP="008816D4">
      <w:pPr>
        <w:spacing w:after="160"/>
        <w:rPr>
          <w:szCs w:val="22"/>
        </w:rPr>
        <w:sectPr w:rsidR="008A262A" w:rsidRPr="009D4627" w:rsidSect="00501BEE">
          <w:headerReference w:type="default" r:id="rId97"/>
          <w:pgSz w:w="11906" w:h="16838" w:code="9"/>
          <w:pgMar w:top="1440" w:right="1440" w:bottom="1440" w:left="1440" w:header="708" w:footer="708" w:gutter="0"/>
          <w:cols w:space="708"/>
          <w:docGrid w:linePitch="360"/>
        </w:sectPr>
      </w:pPr>
    </w:p>
    <w:p w14:paraId="399F69F0" w14:textId="64F8E2DC" w:rsidR="002B1030" w:rsidRPr="009D4627" w:rsidRDefault="00EF301F" w:rsidP="002B1030">
      <w:pPr>
        <w:rPr>
          <w:lang w:val="en-MY"/>
        </w:rPr>
      </w:pPr>
      <w:r w:rsidRPr="009D4627">
        <w:rPr>
          <w:noProof/>
          <w:szCs w:val="22"/>
        </w:rPr>
        <w:lastRenderedPageBreak/>
        <w:drawing>
          <wp:anchor distT="0" distB="0" distL="114300" distR="114300" simplePos="0" relativeHeight="251523584" behindDoc="1" locked="0" layoutInCell="1" allowOverlap="1" wp14:anchorId="6BE0791E" wp14:editId="205B9972">
            <wp:simplePos x="0" y="0"/>
            <wp:positionH relativeFrom="margin">
              <wp:posOffset>2983865</wp:posOffset>
            </wp:positionH>
            <wp:positionV relativeFrom="paragraph">
              <wp:posOffset>0</wp:posOffset>
            </wp:positionV>
            <wp:extent cx="2879725" cy="1440000"/>
            <wp:effectExtent l="0" t="0" r="15875" b="8255"/>
            <wp:wrapTight wrapText="bothSides">
              <wp:wrapPolygon edited="0">
                <wp:start x="0" y="0"/>
                <wp:lineTo x="0" y="21438"/>
                <wp:lineTo x="21576" y="21438"/>
                <wp:lineTo x="21576" y="0"/>
                <wp:lineTo x="0" y="0"/>
              </wp:wrapPolygon>
            </wp:wrapTight>
            <wp:docPr id="92" name="Chart 92">
              <a:extLst xmlns:a="http://schemas.openxmlformats.org/drawingml/2006/main">
                <a:ext uri="{FF2B5EF4-FFF2-40B4-BE49-F238E27FC236}">
                  <a16:creationId xmlns:a16="http://schemas.microsoft.com/office/drawing/2014/main" id="{7FC20825-517E-4327-91B3-B7F0C9813A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14:paraId="29429D8B" w14:textId="6C7F5460" w:rsidR="008A262A" w:rsidRPr="009D4627" w:rsidRDefault="008A262A" w:rsidP="008816D4">
      <w:pPr>
        <w:spacing w:after="160"/>
        <w:rPr>
          <w:szCs w:val="22"/>
        </w:rPr>
      </w:pPr>
    </w:p>
    <w:p w14:paraId="6F2ADDBA" w14:textId="09B6C9A0" w:rsidR="00EF301F" w:rsidRPr="009D4627" w:rsidRDefault="00FF7734" w:rsidP="008816D4">
      <w:pPr>
        <w:spacing w:after="160"/>
        <w:rPr>
          <w:szCs w:val="22"/>
        </w:rPr>
      </w:pPr>
      <w:r w:rsidRPr="009D4627">
        <w:rPr>
          <w:noProof/>
          <w:szCs w:val="22"/>
        </w:rPr>
        <w:drawing>
          <wp:anchor distT="0" distB="0" distL="114300" distR="114300" simplePos="0" relativeHeight="251503104" behindDoc="1" locked="0" layoutInCell="1" allowOverlap="1" wp14:anchorId="72E85889" wp14:editId="751A73FE">
            <wp:simplePos x="0" y="0"/>
            <wp:positionH relativeFrom="margin">
              <wp:posOffset>2983865</wp:posOffset>
            </wp:positionH>
            <wp:positionV relativeFrom="paragraph">
              <wp:posOffset>331470</wp:posOffset>
            </wp:positionV>
            <wp:extent cx="2879725" cy="1439545"/>
            <wp:effectExtent l="0" t="0" r="15875" b="8255"/>
            <wp:wrapTight wrapText="bothSides">
              <wp:wrapPolygon edited="0">
                <wp:start x="0" y="0"/>
                <wp:lineTo x="0" y="21438"/>
                <wp:lineTo x="21576" y="21438"/>
                <wp:lineTo x="21576" y="0"/>
                <wp:lineTo x="0" y="0"/>
              </wp:wrapPolygon>
            </wp:wrapTight>
            <wp:docPr id="67" name="Chart 67">
              <a:extLst xmlns:a="http://schemas.openxmlformats.org/drawingml/2006/main">
                <a:ext uri="{FF2B5EF4-FFF2-40B4-BE49-F238E27FC236}">
                  <a16:creationId xmlns:a16="http://schemas.microsoft.com/office/drawing/2014/main" id="{4AC44D9D-BF36-41FF-83BF-EF27717A59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r w:rsidRPr="009D4627">
        <w:rPr>
          <w:noProof/>
          <w:szCs w:val="22"/>
        </w:rPr>
        <w:drawing>
          <wp:anchor distT="0" distB="0" distL="114300" distR="114300" simplePos="0" relativeHeight="251518464" behindDoc="1" locked="0" layoutInCell="1" allowOverlap="1" wp14:anchorId="7BB7DC5B" wp14:editId="12E0BF5A">
            <wp:simplePos x="0" y="0"/>
            <wp:positionH relativeFrom="margin">
              <wp:posOffset>5967730</wp:posOffset>
            </wp:positionH>
            <wp:positionV relativeFrom="paragraph">
              <wp:posOffset>347980</wp:posOffset>
            </wp:positionV>
            <wp:extent cx="2879725" cy="1439545"/>
            <wp:effectExtent l="0" t="0" r="15875" b="8255"/>
            <wp:wrapTight wrapText="bothSides">
              <wp:wrapPolygon edited="0">
                <wp:start x="0" y="0"/>
                <wp:lineTo x="0" y="21438"/>
                <wp:lineTo x="21576" y="21438"/>
                <wp:lineTo x="21576" y="0"/>
                <wp:lineTo x="0" y="0"/>
              </wp:wrapPolygon>
            </wp:wrapTight>
            <wp:docPr id="85" name="Chart 85">
              <a:extLst xmlns:a="http://schemas.openxmlformats.org/drawingml/2006/main">
                <a:ext uri="{FF2B5EF4-FFF2-40B4-BE49-F238E27FC236}">
                  <a16:creationId xmlns:a16="http://schemas.microsoft.com/office/drawing/2014/main" id="{C368DFC7-BEB9-4DF6-BB17-76A6997CE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r w:rsidRPr="009D4627">
        <w:rPr>
          <w:noProof/>
          <w:szCs w:val="22"/>
        </w:rPr>
        <w:drawing>
          <wp:anchor distT="0" distB="0" distL="114300" distR="114300" simplePos="0" relativeHeight="251508224" behindDoc="1" locked="0" layoutInCell="1" allowOverlap="1" wp14:anchorId="5AA3FBA2" wp14:editId="53199EB6">
            <wp:simplePos x="0" y="0"/>
            <wp:positionH relativeFrom="margin">
              <wp:posOffset>0</wp:posOffset>
            </wp:positionH>
            <wp:positionV relativeFrom="paragraph">
              <wp:posOffset>347345</wp:posOffset>
            </wp:positionV>
            <wp:extent cx="2879725" cy="1439545"/>
            <wp:effectExtent l="0" t="0" r="15875" b="8255"/>
            <wp:wrapTight wrapText="bothSides">
              <wp:wrapPolygon edited="0">
                <wp:start x="0" y="0"/>
                <wp:lineTo x="0" y="21438"/>
                <wp:lineTo x="21576" y="21438"/>
                <wp:lineTo x="21576" y="0"/>
                <wp:lineTo x="0" y="0"/>
              </wp:wrapPolygon>
            </wp:wrapTight>
            <wp:docPr id="81" name="Chart 81">
              <a:extLst xmlns:a="http://schemas.openxmlformats.org/drawingml/2006/main">
                <a:ext uri="{FF2B5EF4-FFF2-40B4-BE49-F238E27FC236}">
                  <a16:creationId xmlns:a16="http://schemas.microsoft.com/office/drawing/2014/main" id="{B2694ED2-09C6-4699-9882-635BC270EB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14:paraId="5A081005" w14:textId="4461BCF1" w:rsidR="00EF301F" w:rsidRPr="009D4627" w:rsidRDefault="00FF7734" w:rsidP="008816D4">
      <w:pPr>
        <w:spacing w:after="160"/>
        <w:rPr>
          <w:szCs w:val="22"/>
        </w:rPr>
      </w:pPr>
      <w:r w:rsidRPr="009D4627">
        <w:rPr>
          <w:noProof/>
          <w:szCs w:val="22"/>
        </w:rPr>
        <w:drawing>
          <wp:anchor distT="0" distB="0" distL="114300" distR="114300" simplePos="0" relativeHeight="251528704" behindDoc="1" locked="0" layoutInCell="1" allowOverlap="1" wp14:anchorId="3AAF143A" wp14:editId="18EA7CBE">
            <wp:simplePos x="0" y="0"/>
            <wp:positionH relativeFrom="margin">
              <wp:posOffset>2983865</wp:posOffset>
            </wp:positionH>
            <wp:positionV relativeFrom="paragraph">
              <wp:posOffset>1231265</wp:posOffset>
            </wp:positionV>
            <wp:extent cx="2879725" cy="1439545"/>
            <wp:effectExtent l="0" t="0" r="15875" b="8255"/>
            <wp:wrapTight wrapText="bothSides">
              <wp:wrapPolygon edited="0">
                <wp:start x="0" y="0"/>
                <wp:lineTo x="0" y="21438"/>
                <wp:lineTo x="21576" y="21438"/>
                <wp:lineTo x="21576" y="0"/>
                <wp:lineTo x="0" y="0"/>
              </wp:wrapPolygon>
            </wp:wrapTight>
            <wp:docPr id="106" name="Chart 106">
              <a:extLst xmlns:a="http://schemas.openxmlformats.org/drawingml/2006/main">
                <a:ext uri="{FF2B5EF4-FFF2-40B4-BE49-F238E27FC236}">
                  <a16:creationId xmlns:a16="http://schemas.microsoft.com/office/drawing/2014/main" id="{C89B4436-9E9E-4568-8D50-2C8BFB5DAB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V relativeFrom="margin">
              <wp14:pctHeight>0</wp14:pctHeight>
            </wp14:sizeRelV>
          </wp:anchor>
        </w:drawing>
      </w:r>
    </w:p>
    <w:p w14:paraId="0628CBB4" w14:textId="77777777" w:rsidR="00CC31A9" w:rsidRPr="009D4627" w:rsidRDefault="00CC31A9" w:rsidP="00C4130D">
      <w:pPr>
        <w:pStyle w:val="Caption"/>
      </w:pPr>
      <w:bookmarkStart w:id="247" w:name="_Toc70092419"/>
      <w:bookmarkStart w:id="248" w:name="_Toc74381748"/>
    </w:p>
    <w:p w14:paraId="664299A8" w14:textId="7319730A" w:rsidR="00EC745C" w:rsidRDefault="00EC745C" w:rsidP="00C4130D">
      <w:pPr>
        <w:pStyle w:val="Caption"/>
      </w:pPr>
    </w:p>
    <w:p w14:paraId="325F3C6C" w14:textId="77777777" w:rsidR="00C83BC6" w:rsidRPr="00C83BC6" w:rsidRDefault="00C83BC6" w:rsidP="00C83BC6">
      <w:pPr>
        <w:spacing w:before="0" w:after="0" w:line="276" w:lineRule="auto"/>
        <w:rPr>
          <w:lang w:val="en-MY" w:eastAsia="en-MY"/>
        </w:rPr>
      </w:pPr>
    </w:p>
    <w:p w14:paraId="7C79A50E" w14:textId="77777777" w:rsidR="003375A5" w:rsidRDefault="003375A5" w:rsidP="003375A5">
      <w:pPr>
        <w:spacing w:before="0" w:line="240" w:lineRule="auto"/>
      </w:pPr>
      <w:bookmarkStart w:id="249" w:name="_Toc98569890"/>
    </w:p>
    <w:p w14:paraId="390AFC51" w14:textId="05B9BAAC" w:rsidR="00EF301F" w:rsidRPr="009D4627" w:rsidRDefault="00EF301F" w:rsidP="00FF7734">
      <w:r w:rsidRPr="009D4627">
        <w:t>Figure 3.</w:t>
      </w:r>
      <w:r w:rsidR="007E7CC8">
        <w:fldChar w:fldCharType="begin"/>
      </w:r>
      <w:r w:rsidR="007E7CC8">
        <w:instrText xml:space="preserve"> SEQ Figure_3. \* ARABIC </w:instrText>
      </w:r>
      <w:r w:rsidR="007E7CC8">
        <w:fldChar w:fldCharType="separate"/>
      </w:r>
      <w:r w:rsidR="00E268F6">
        <w:rPr>
          <w:noProof/>
        </w:rPr>
        <w:t>1</w:t>
      </w:r>
      <w:r w:rsidR="007E7CC8">
        <w:rPr>
          <w:noProof/>
        </w:rPr>
        <w:fldChar w:fldCharType="end"/>
      </w:r>
      <w:r w:rsidRPr="009D4627">
        <w:t>: Bar graphs illustrating the group median percentage DT, represented on the y axis, between three age groups shown by the legend within the specific AOI.</w:t>
      </w:r>
      <w:bookmarkEnd w:id="247"/>
      <w:bookmarkEnd w:id="249"/>
      <w:r w:rsidRPr="009D4627">
        <w:t xml:space="preserve"> </w:t>
      </w:r>
      <w:bookmarkEnd w:id="248"/>
    </w:p>
    <w:p w14:paraId="40E3689E" w14:textId="68D391BA" w:rsidR="00EF301F" w:rsidRPr="009D4627" w:rsidRDefault="00EF301F" w:rsidP="008816D4">
      <w:pPr>
        <w:spacing w:after="160"/>
        <w:rPr>
          <w:szCs w:val="22"/>
        </w:rPr>
        <w:sectPr w:rsidR="00EF301F" w:rsidRPr="009D4627" w:rsidSect="008A262A">
          <w:headerReference w:type="default" r:id="rId103"/>
          <w:footerReference w:type="default" r:id="rId104"/>
          <w:pgSz w:w="16838" w:h="11906" w:orient="landscape" w:code="9"/>
          <w:pgMar w:top="1440" w:right="1440" w:bottom="1440" w:left="1440" w:header="708" w:footer="708" w:gutter="0"/>
          <w:cols w:space="708"/>
          <w:docGrid w:linePitch="360"/>
        </w:sectPr>
      </w:pPr>
    </w:p>
    <w:p w14:paraId="0E4BFF91" w14:textId="0CC8C71D" w:rsidR="008816D4" w:rsidRPr="009D4627" w:rsidRDefault="008816D4" w:rsidP="006B2FA7">
      <w:pPr>
        <w:spacing w:after="160"/>
        <w:rPr>
          <w:szCs w:val="22"/>
        </w:rPr>
      </w:pPr>
      <w:r w:rsidRPr="009D4627">
        <w:rPr>
          <w:szCs w:val="22"/>
        </w:rPr>
        <w:lastRenderedPageBreak/>
        <w:t>A Friedman test was run to determine differences in percentage DT between the age groups within similar AOI</w:t>
      </w:r>
      <w:r w:rsidR="00EE3798" w:rsidRPr="009D4627">
        <w:rPr>
          <w:szCs w:val="22"/>
        </w:rPr>
        <w:t>s</w:t>
      </w:r>
      <w:r w:rsidRPr="009D4627">
        <w:rPr>
          <w:szCs w:val="22"/>
        </w:rPr>
        <w:t xml:space="preserve">. The null hypothesis was that the percentage DT distribution was similar for all age groups within 1°, 2° and &gt;2° AOI at five </w:t>
      </w:r>
      <w:r w:rsidR="001F1EA0" w:rsidRPr="009D4627">
        <w:rPr>
          <w:szCs w:val="22"/>
        </w:rPr>
        <w:t>fixation position</w:t>
      </w:r>
      <w:r w:rsidRPr="009D4627">
        <w:rPr>
          <w:szCs w:val="22"/>
        </w:rPr>
        <w:t xml:space="preserve">s. </w:t>
      </w:r>
      <w:r w:rsidR="00EE3798" w:rsidRPr="009D4627">
        <w:rPr>
          <w:szCs w:val="22"/>
        </w:rPr>
        <w:t>The r</w:t>
      </w:r>
      <w:r w:rsidRPr="009D4627">
        <w:rPr>
          <w:szCs w:val="22"/>
        </w:rPr>
        <w:t>esults revealed that the percentage DT was only significantly different between the three age groups at two settings</w:t>
      </w:r>
      <w:r w:rsidR="00EE3798" w:rsidRPr="009D4627">
        <w:rPr>
          <w:szCs w:val="22"/>
        </w:rPr>
        <w:t>:</w:t>
      </w:r>
      <w:r w:rsidRPr="009D4627">
        <w:rPr>
          <w:szCs w:val="22"/>
        </w:rPr>
        <w:t xml:space="preserve"> 1) within the smallest AOI at the </w:t>
      </w:r>
      <w:r w:rsidR="00F57D01" w:rsidRPr="009D4627">
        <w:rPr>
          <w:szCs w:val="22"/>
        </w:rPr>
        <w:t>PP</w:t>
      </w:r>
      <w:r w:rsidR="00EE3798" w:rsidRPr="009D4627">
        <w:rPr>
          <w:szCs w:val="22"/>
        </w:rPr>
        <w:t>;</w:t>
      </w:r>
      <w:r w:rsidRPr="009D4627">
        <w:rPr>
          <w:szCs w:val="22"/>
        </w:rPr>
        <w:t xml:space="preserve"> and 2) within the largest AOI </w:t>
      </w:r>
      <w:r w:rsidR="00EE3798" w:rsidRPr="009D4627">
        <w:rPr>
          <w:szCs w:val="22"/>
        </w:rPr>
        <w:t>on</w:t>
      </w:r>
      <w:r w:rsidRPr="009D4627">
        <w:rPr>
          <w:szCs w:val="22"/>
        </w:rPr>
        <w:t xml:space="preserve"> downgaze. The post-hoc test show</w:t>
      </w:r>
      <w:r w:rsidR="00EE3798" w:rsidRPr="009D4627">
        <w:rPr>
          <w:szCs w:val="22"/>
        </w:rPr>
        <w:t>ed</w:t>
      </w:r>
      <w:r w:rsidRPr="009D4627">
        <w:rPr>
          <w:szCs w:val="22"/>
        </w:rPr>
        <w:t xml:space="preserve"> that the percentage DT of the old</w:t>
      </w:r>
      <w:r w:rsidR="00EE3798" w:rsidRPr="009D4627">
        <w:rPr>
          <w:szCs w:val="22"/>
        </w:rPr>
        <w:t>er</w:t>
      </w:r>
      <w:r w:rsidRPr="009D4627">
        <w:rPr>
          <w:szCs w:val="22"/>
        </w:rPr>
        <w:t xml:space="preserve"> age group was significantly lower than the young and middle</w:t>
      </w:r>
      <w:r w:rsidR="00CC2CD3" w:rsidRPr="009D4627">
        <w:rPr>
          <w:szCs w:val="22"/>
        </w:rPr>
        <w:t xml:space="preserve"> </w:t>
      </w:r>
      <w:r w:rsidRPr="009D4627">
        <w:rPr>
          <w:szCs w:val="22"/>
        </w:rPr>
        <w:t xml:space="preserve">age groups within 1°AOI at </w:t>
      </w:r>
      <w:r w:rsidR="00F57D01" w:rsidRPr="009D4627">
        <w:rPr>
          <w:szCs w:val="22"/>
        </w:rPr>
        <w:t>PP</w:t>
      </w:r>
      <w:r w:rsidRPr="009D4627">
        <w:rPr>
          <w:szCs w:val="22"/>
        </w:rPr>
        <w:t xml:space="preserve"> (p</w:t>
      </w:r>
      <w:r w:rsidR="00EE3798" w:rsidRPr="009D4627">
        <w:rPr>
          <w:szCs w:val="22"/>
        </w:rPr>
        <w:t xml:space="preserve"> </w:t>
      </w:r>
      <w:r w:rsidRPr="009D4627">
        <w:rPr>
          <w:szCs w:val="22"/>
        </w:rPr>
        <w:t>=</w:t>
      </w:r>
      <w:r w:rsidR="00EE3798" w:rsidRPr="009D4627">
        <w:rPr>
          <w:szCs w:val="22"/>
        </w:rPr>
        <w:t xml:space="preserve"> </w:t>
      </w:r>
      <w:r w:rsidRPr="009D4627">
        <w:rPr>
          <w:szCs w:val="22"/>
        </w:rPr>
        <w:t xml:space="preserve">0.028). While </w:t>
      </w:r>
      <w:r w:rsidR="00EE3798" w:rsidRPr="009D4627">
        <w:rPr>
          <w:szCs w:val="22"/>
        </w:rPr>
        <w:t>on</w:t>
      </w:r>
      <w:r w:rsidRPr="009D4627">
        <w:rPr>
          <w:szCs w:val="22"/>
        </w:rPr>
        <w:t xml:space="preserve"> downgaze, the result shows that the young and middle age group</w:t>
      </w:r>
      <w:r w:rsidR="008A262A" w:rsidRPr="009D4627">
        <w:rPr>
          <w:szCs w:val="22"/>
        </w:rPr>
        <w:t>s had significantly fewer</w:t>
      </w:r>
      <w:r w:rsidRPr="009D4627">
        <w:rPr>
          <w:szCs w:val="22"/>
        </w:rPr>
        <w:t xml:space="preserve"> DT</w:t>
      </w:r>
      <w:r w:rsidR="00EE3798" w:rsidRPr="009D4627">
        <w:rPr>
          <w:szCs w:val="22"/>
        </w:rPr>
        <w:t>s</w:t>
      </w:r>
      <w:r w:rsidRPr="009D4627">
        <w:rPr>
          <w:szCs w:val="22"/>
        </w:rPr>
        <w:t xml:space="preserve"> than the old</w:t>
      </w:r>
      <w:r w:rsidR="00EE3798" w:rsidRPr="009D4627">
        <w:rPr>
          <w:szCs w:val="22"/>
        </w:rPr>
        <w:t>er</w:t>
      </w:r>
      <w:r w:rsidRPr="009D4627">
        <w:rPr>
          <w:szCs w:val="22"/>
        </w:rPr>
        <w:t xml:space="preserve"> age</w:t>
      </w:r>
      <w:r w:rsidR="00CC2CD3" w:rsidRPr="009D4627">
        <w:rPr>
          <w:szCs w:val="22"/>
        </w:rPr>
        <w:t xml:space="preserve"> group</w:t>
      </w:r>
      <w:r w:rsidRPr="009D4627">
        <w:rPr>
          <w:szCs w:val="22"/>
        </w:rPr>
        <w:t xml:space="preserve"> (p</w:t>
      </w:r>
      <w:r w:rsidR="00EE3798" w:rsidRPr="009D4627">
        <w:rPr>
          <w:szCs w:val="22"/>
        </w:rPr>
        <w:t xml:space="preserve"> </w:t>
      </w:r>
      <w:r w:rsidRPr="009D4627">
        <w:rPr>
          <w:szCs w:val="22"/>
        </w:rPr>
        <w:t xml:space="preserve">= 0.003 </w:t>
      </w:r>
      <w:r w:rsidR="00CC2CD3" w:rsidRPr="009D4627">
        <w:rPr>
          <w:szCs w:val="22"/>
        </w:rPr>
        <w:t>and</w:t>
      </w:r>
      <w:r w:rsidRPr="009D4627">
        <w:rPr>
          <w:szCs w:val="22"/>
        </w:rPr>
        <w:t xml:space="preserve"> p</w:t>
      </w:r>
      <w:r w:rsidR="00EE3798" w:rsidRPr="009D4627">
        <w:rPr>
          <w:szCs w:val="22"/>
        </w:rPr>
        <w:t xml:space="preserve"> </w:t>
      </w:r>
      <w:r w:rsidRPr="009D4627">
        <w:rPr>
          <w:szCs w:val="22"/>
        </w:rPr>
        <w:t>=</w:t>
      </w:r>
      <w:r w:rsidR="00EE3798" w:rsidRPr="009D4627">
        <w:rPr>
          <w:szCs w:val="22"/>
        </w:rPr>
        <w:t xml:space="preserve"> </w:t>
      </w:r>
      <w:r w:rsidRPr="009D4627">
        <w:rPr>
          <w:szCs w:val="22"/>
        </w:rPr>
        <w:t xml:space="preserve">0.002). </w:t>
      </w:r>
    </w:p>
    <w:p w14:paraId="6ACE4742" w14:textId="6C6CBD17" w:rsidR="005C6E58" w:rsidRPr="009D4627" w:rsidRDefault="00DD54B2" w:rsidP="006B2FA7">
      <w:pPr>
        <w:rPr>
          <w:szCs w:val="22"/>
        </w:rPr>
      </w:pPr>
      <w:r w:rsidRPr="009D4627">
        <w:rPr>
          <w:szCs w:val="22"/>
        </w:rPr>
        <w:t xml:space="preserve">The percentage DT based on </w:t>
      </w:r>
      <w:r w:rsidR="00455335" w:rsidRPr="009D4627">
        <w:rPr>
          <w:szCs w:val="22"/>
        </w:rPr>
        <w:t xml:space="preserve">position of </w:t>
      </w:r>
      <w:r w:rsidRPr="009D4627">
        <w:rPr>
          <w:szCs w:val="22"/>
        </w:rPr>
        <w:t>gaze</w:t>
      </w:r>
      <w:r w:rsidR="00455335" w:rsidRPr="009D4627">
        <w:rPr>
          <w:szCs w:val="22"/>
        </w:rPr>
        <w:t xml:space="preserve"> (POG)</w:t>
      </w:r>
      <w:r w:rsidRPr="009D4627">
        <w:rPr>
          <w:szCs w:val="22"/>
        </w:rPr>
        <w:t xml:space="preserve"> provided no substantial useful contribution. </w:t>
      </w:r>
      <w:r w:rsidR="00AF5129" w:rsidRPr="009D4627">
        <w:rPr>
          <w:szCs w:val="22"/>
        </w:rPr>
        <w:t>As a result, it was decided to analyse percent</w:t>
      </w:r>
      <w:r w:rsidR="006B2FA7" w:rsidRPr="009D4627">
        <w:rPr>
          <w:szCs w:val="22"/>
        </w:rPr>
        <w:t>age</w:t>
      </w:r>
      <w:r w:rsidR="00AF5129" w:rsidRPr="009D4627">
        <w:rPr>
          <w:szCs w:val="22"/>
        </w:rPr>
        <w:t xml:space="preserve"> DT solely based on the area of interest (AOI), without taking </w:t>
      </w:r>
      <w:r w:rsidR="00455335" w:rsidRPr="009D4627">
        <w:rPr>
          <w:szCs w:val="22"/>
        </w:rPr>
        <w:t>POG</w:t>
      </w:r>
      <w:r w:rsidR="00AF5129" w:rsidRPr="009D4627">
        <w:rPr>
          <w:szCs w:val="22"/>
        </w:rPr>
        <w:t xml:space="preserve"> into account. </w:t>
      </w:r>
      <w:r w:rsidR="009C209F" w:rsidRPr="009D4627">
        <w:rPr>
          <w:szCs w:val="22"/>
        </w:rPr>
        <w:t xml:space="preserve">The </w:t>
      </w:r>
      <w:r w:rsidR="007233E2">
        <w:rPr>
          <w:szCs w:val="22"/>
        </w:rPr>
        <w:t xml:space="preserve">median </w:t>
      </w:r>
      <w:r w:rsidR="009C209F" w:rsidRPr="009D4627">
        <w:rPr>
          <w:szCs w:val="22"/>
        </w:rPr>
        <w:t xml:space="preserve">percentage DT within 1° AOI </w:t>
      </w:r>
      <w:r w:rsidR="00287277" w:rsidRPr="009D4627">
        <w:rPr>
          <w:szCs w:val="22"/>
        </w:rPr>
        <w:t xml:space="preserve">(blue bar) </w:t>
      </w:r>
      <w:r w:rsidR="009C209F" w:rsidRPr="009D4627">
        <w:rPr>
          <w:szCs w:val="22"/>
        </w:rPr>
        <w:t>appears to be similar for young and middle-aged adults (65%)</w:t>
      </w:r>
      <w:r w:rsidR="006221E2" w:rsidRPr="009D4627">
        <w:rPr>
          <w:szCs w:val="22"/>
        </w:rPr>
        <w:t xml:space="preserve"> (refer to Figure 3.2)</w:t>
      </w:r>
      <w:r w:rsidR="009C209F" w:rsidRPr="009D4627">
        <w:rPr>
          <w:szCs w:val="22"/>
        </w:rPr>
        <w:t>.</w:t>
      </w:r>
      <w:r w:rsidR="00391D39" w:rsidRPr="009D4627">
        <w:rPr>
          <w:szCs w:val="22"/>
        </w:rPr>
        <w:t xml:space="preserve"> </w:t>
      </w:r>
      <w:r w:rsidR="002518C3" w:rsidRPr="009D4627">
        <w:rPr>
          <w:szCs w:val="22"/>
        </w:rPr>
        <w:t xml:space="preserve">However, it decreased to below 50% in old age. The second AOI (shown in the red bar) appears to be half the </w:t>
      </w:r>
      <w:r w:rsidR="00287277" w:rsidRPr="009D4627">
        <w:rPr>
          <w:szCs w:val="22"/>
        </w:rPr>
        <w:t>1</w:t>
      </w:r>
      <w:r w:rsidR="00F33D6A" w:rsidRPr="009D4627">
        <w:rPr>
          <w:szCs w:val="22"/>
        </w:rPr>
        <w:t>°</w:t>
      </w:r>
      <w:r w:rsidR="002518C3" w:rsidRPr="009D4627">
        <w:rPr>
          <w:szCs w:val="22"/>
        </w:rPr>
        <w:t xml:space="preserve"> AOI (blue bar), and they </w:t>
      </w:r>
      <w:r w:rsidR="00F33D6A" w:rsidRPr="009D4627">
        <w:rPr>
          <w:szCs w:val="22"/>
        </w:rPr>
        <w:t>look</w:t>
      </w:r>
      <w:r w:rsidR="002518C3" w:rsidRPr="009D4627">
        <w:rPr>
          <w:szCs w:val="22"/>
        </w:rPr>
        <w:t xml:space="preserve"> comparable across all age groups.</w:t>
      </w:r>
      <w:r w:rsidR="00C83B46" w:rsidRPr="009D4627">
        <w:rPr>
          <w:szCs w:val="22"/>
        </w:rPr>
        <w:t xml:space="preserve"> </w:t>
      </w:r>
      <w:r w:rsidR="002518C3" w:rsidRPr="009D4627">
        <w:rPr>
          <w:szCs w:val="22"/>
        </w:rPr>
        <w:t xml:space="preserve">Beyond 2° AOI, the </w:t>
      </w:r>
      <w:r w:rsidR="007233E2">
        <w:rPr>
          <w:szCs w:val="22"/>
        </w:rPr>
        <w:t xml:space="preserve">median </w:t>
      </w:r>
      <w:r w:rsidR="002518C3" w:rsidRPr="009D4627">
        <w:rPr>
          <w:szCs w:val="22"/>
        </w:rPr>
        <w:t>percentage DT was less than 10% in young and middle age but increased to 15% in old age.</w:t>
      </w:r>
    </w:p>
    <w:p w14:paraId="200C0E1F" w14:textId="77777777" w:rsidR="00977820" w:rsidRDefault="00977820" w:rsidP="00EC745C">
      <w:pPr>
        <w:spacing w:before="0" w:after="0"/>
        <w:rPr>
          <w:szCs w:val="22"/>
        </w:rPr>
        <w:sectPr w:rsidR="00977820" w:rsidSect="00977820">
          <w:headerReference w:type="default" r:id="rId105"/>
          <w:footerReference w:type="default" r:id="rId106"/>
          <w:pgSz w:w="11906" w:h="16838" w:code="9"/>
          <w:pgMar w:top="1440" w:right="1440" w:bottom="1440" w:left="1440" w:header="709" w:footer="709" w:gutter="0"/>
          <w:cols w:space="708"/>
          <w:docGrid w:linePitch="360"/>
        </w:sectPr>
      </w:pPr>
    </w:p>
    <w:p w14:paraId="42A132F8" w14:textId="0CB645CF" w:rsidR="000947FF" w:rsidRDefault="000947FF" w:rsidP="00523CDD">
      <w:pPr>
        <w:autoSpaceDE w:val="0"/>
        <w:autoSpaceDN w:val="0"/>
        <w:adjustRightInd w:val="0"/>
        <w:spacing w:before="0" w:after="0" w:line="240" w:lineRule="auto"/>
        <w:jc w:val="center"/>
        <w:rPr>
          <w:color w:val="auto"/>
          <w:lang w:val="en-MY"/>
        </w:rPr>
      </w:pPr>
      <w:r>
        <w:rPr>
          <w:noProof/>
          <w:color w:val="auto"/>
          <w:lang w:val="en-MY"/>
        </w:rPr>
        <w:lastRenderedPageBreak/>
        <w:drawing>
          <wp:inline distT="0" distB="0" distL="0" distR="0" wp14:anchorId="0E71E66A" wp14:editId="76C04994">
            <wp:extent cx="3240000" cy="224538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3240000" cy="2245386"/>
                    </a:xfrm>
                    <a:prstGeom prst="rect">
                      <a:avLst/>
                    </a:prstGeom>
                    <a:noFill/>
                    <a:ln>
                      <a:noFill/>
                    </a:ln>
                    <a:extLst>
                      <a:ext uri="{53640926-AAD7-44D8-BBD7-CCE9431645EC}">
                        <a14:shadowObscured xmlns:a14="http://schemas.microsoft.com/office/drawing/2010/main"/>
                      </a:ext>
                    </a:extLst>
                  </pic:spPr>
                </pic:pic>
              </a:graphicData>
            </a:graphic>
          </wp:inline>
        </w:drawing>
      </w:r>
    </w:p>
    <w:p w14:paraId="174672D3" w14:textId="12FCF6C8" w:rsidR="00EB4CF0" w:rsidRPr="009D4627" w:rsidRDefault="006221E2" w:rsidP="00C4130D">
      <w:pPr>
        <w:pStyle w:val="Caption"/>
      </w:pPr>
      <w:bookmarkStart w:id="250" w:name="_Toc98569891"/>
      <w:r w:rsidRPr="009D4627">
        <w:t>Figure 3.</w:t>
      </w:r>
      <w:r w:rsidRPr="009D4627">
        <w:fldChar w:fldCharType="begin"/>
      </w:r>
      <w:r w:rsidRPr="009D4627">
        <w:instrText xml:space="preserve"> SEQ Figure_3. \* ARABIC </w:instrText>
      </w:r>
      <w:r w:rsidRPr="009D4627">
        <w:fldChar w:fldCharType="separate"/>
      </w:r>
      <w:r w:rsidR="00E268F6">
        <w:rPr>
          <w:noProof/>
        </w:rPr>
        <w:t>2</w:t>
      </w:r>
      <w:r w:rsidRPr="009D4627">
        <w:fldChar w:fldCharType="end"/>
      </w:r>
      <w:r w:rsidRPr="009D4627">
        <w:t xml:space="preserve">: </w:t>
      </w:r>
      <w:r w:rsidR="006B2FA7" w:rsidRPr="009D4627">
        <w:t xml:space="preserve">A bar graph displays the </w:t>
      </w:r>
      <w:r w:rsidR="007233E2">
        <w:t xml:space="preserve">median </w:t>
      </w:r>
      <w:r w:rsidR="006B2FA7" w:rsidRPr="009D4627">
        <w:t>percentage DT of three age groups</w:t>
      </w:r>
      <w:r w:rsidR="00523CDD">
        <w:t xml:space="preserve"> (young, middle and old age)</w:t>
      </w:r>
      <w:r w:rsidR="006B2FA7" w:rsidRPr="009D4627">
        <w:t xml:space="preserve"> according to the </w:t>
      </w:r>
      <w:r w:rsidR="00523CDD">
        <w:t xml:space="preserve">three </w:t>
      </w:r>
      <w:r w:rsidR="006B2FA7" w:rsidRPr="009D4627">
        <w:t>AOI</w:t>
      </w:r>
      <w:r w:rsidR="00523CDD">
        <w:t>s (1°, 2° and &gt;2°)</w:t>
      </w:r>
      <w:r w:rsidR="000947FF">
        <w:t>.</w:t>
      </w:r>
      <w:bookmarkEnd w:id="250"/>
    </w:p>
    <w:p w14:paraId="1E6A74A6" w14:textId="77777777" w:rsidR="00345387" w:rsidRPr="009D4627" w:rsidRDefault="00345387" w:rsidP="00EC745C">
      <w:pPr>
        <w:spacing w:before="0" w:after="0"/>
        <w:rPr>
          <w:szCs w:val="22"/>
        </w:rPr>
      </w:pPr>
    </w:p>
    <w:p w14:paraId="771CB648" w14:textId="33E41FF7" w:rsidR="00EB4CF0" w:rsidRPr="009D4627" w:rsidRDefault="003046FB" w:rsidP="00EC745C">
      <w:pPr>
        <w:spacing w:before="0" w:after="0"/>
        <w:rPr>
          <w:szCs w:val="22"/>
        </w:rPr>
      </w:pPr>
      <w:r w:rsidRPr="003046FB">
        <w:rPr>
          <w:szCs w:val="22"/>
        </w:rPr>
        <w:t>Independent-</w:t>
      </w:r>
      <w:r w:rsidR="00C43A49">
        <w:rPr>
          <w:szCs w:val="22"/>
        </w:rPr>
        <w:t>s</w:t>
      </w:r>
      <w:r w:rsidRPr="003046FB">
        <w:rPr>
          <w:szCs w:val="22"/>
        </w:rPr>
        <w:t>amples Kruskal-</w:t>
      </w:r>
      <w:proofErr w:type="gramStart"/>
      <w:r w:rsidRPr="003046FB">
        <w:rPr>
          <w:szCs w:val="22"/>
        </w:rPr>
        <w:t>Wallis</w:t>
      </w:r>
      <w:proofErr w:type="gramEnd"/>
      <w:r w:rsidRPr="003046FB">
        <w:rPr>
          <w:szCs w:val="22"/>
        </w:rPr>
        <w:t xml:space="preserve"> </w:t>
      </w:r>
      <w:r>
        <w:rPr>
          <w:szCs w:val="22"/>
        </w:rPr>
        <w:t xml:space="preserve">test reported </w:t>
      </w:r>
      <w:r w:rsidR="004A5F00">
        <w:rPr>
          <w:szCs w:val="22"/>
        </w:rPr>
        <w:t>t</w:t>
      </w:r>
      <w:r w:rsidRPr="003046FB">
        <w:rPr>
          <w:szCs w:val="22"/>
        </w:rPr>
        <w:t xml:space="preserve">he distribution of </w:t>
      </w:r>
      <w:r>
        <w:rPr>
          <w:szCs w:val="22"/>
        </w:rPr>
        <w:t>m</w:t>
      </w:r>
      <w:r w:rsidRPr="003046FB">
        <w:rPr>
          <w:szCs w:val="22"/>
        </w:rPr>
        <w:t xml:space="preserve">edian </w:t>
      </w:r>
      <w:r w:rsidRPr="009D4627">
        <w:rPr>
          <w:szCs w:val="22"/>
        </w:rPr>
        <w:t xml:space="preserve">percentage DT </w:t>
      </w:r>
      <w:r w:rsidRPr="003046FB">
        <w:rPr>
          <w:szCs w:val="22"/>
        </w:rPr>
        <w:t xml:space="preserve">is the same across </w:t>
      </w:r>
      <w:r>
        <w:rPr>
          <w:szCs w:val="22"/>
        </w:rPr>
        <w:t xml:space="preserve">age </w:t>
      </w:r>
      <w:r w:rsidRPr="003046FB">
        <w:rPr>
          <w:szCs w:val="22"/>
        </w:rPr>
        <w:t xml:space="preserve">categories </w:t>
      </w:r>
      <w:r>
        <w:rPr>
          <w:szCs w:val="22"/>
        </w:rPr>
        <w:t>at 1° AOI</w:t>
      </w:r>
      <w:r w:rsidR="004A5F00">
        <w:rPr>
          <w:szCs w:val="22"/>
        </w:rPr>
        <w:t xml:space="preserve"> and 2° AOI</w:t>
      </w:r>
      <w:r>
        <w:rPr>
          <w:szCs w:val="22"/>
        </w:rPr>
        <w:t xml:space="preserve">, </w:t>
      </w:r>
      <w:r w:rsidRPr="003046FB">
        <w:rPr>
          <w:i/>
          <w:iCs/>
          <w:szCs w:val="22"/>
        </w:rPr>
        <w:t>p</w:t>
      </w:r>
      <w:r>
        <w:rPr>
          <w:szCs w:val="22"/>
        </w:rPr>
        <w:t xml:space="preserve"> = 0.0</w:t>
      </w:r>
      <w:r w:rsidR="004A5F00">
        <w:rPr>
          <w:szCs w:val="22"/>
        </w:rPr>
        <w:t xml:space="preserve">6 and </w:t>
      </w:r>
      <w:r w:rsidR="004A5F00" w:rsidRPr="004A5F00">
        <w:rPr>
          <w:i/>
          <w:iCs/>
          <w:szCs w:val="22"/>
        </w:rPr>
        <w:t>p</w:t>
      </w:r>
      <w:r w:rsidR="004A5F00">
        <w:rPr>
          <w:szCs w:val="22"/>
        </w:rPr>
        <w:t xml:space="preserve"> = 0.30, respectively</w:t>
      </w:r>
      <w:r>
        <w:rPr>
          <w:szCs w:val="22"/>
        </w:rPr>
        <w:t xml:space="preserve">. </w:t>
      </w:r>
      <w:r w:rsidR="004A5F00">
        <w:rPr>
          <w:szCs w:val="22"/>
        </w:rPr>
        <w:t xml:space="preserve">However, </w:t>
      </w:r>
      <w:r w:rsidR="00C43A49">
        <w:rPr>
          <w:szCs w:val="22"/>
        </w:rPr>
        <w:t xml:space="preserve">median percentage distribution was significantly different across ages at &gt;2°AOI, </w:t>
      </w:r>
      <w:r w:rsidR="00C43A49" w:rsidRPr="00C43A49">
        <w:rPr>
          <w:i/>
          <w:iCs/>
          <w:szCs w:val="22"/>
        </w:rPr>
        <w:t>p</w:t>
      </w:r>
      <w:r w:rsidR="00C43A49">
        <w:rPr>
          <w:szCs w:val="22"/>
        </w:rPr>
        <w:t xml:space="preserve"> = 0.02. The significant pairwise </w:t>
      </w:r>
      <w:r>
        <w:rPr>
          <w:szCs w:val="22"/>
        </w:rPr>
        <w:t xml:space="preserve">were detected between the </w:t>
      </w:r>
      <w:proofErr w:type="gramStart"/>
      <w:r>
        <w:rPr>
          <w:szCs w:val="22"/>
        </w:rPr>
        <w:t>Young</w:t>
      </w:r>
      <w:proofErr w:type="gramEnd"/>
      <w:r w:rsidR="00C43A49">
        <w:rPr>
          <w:szCs w:val="22"/>
        </w:rPr>
        <w:t xml:space="preserve"> age:</w:t>
      </w:r>
      <w:r w:rsidR="00874F63">
        <w:rPr>
          <w:szCs w:val="22"/>
        </w:rPr>
        <w:t xml:space="preserve"> </w:t>
      </w:r>
      <w:r w:rsidR="00C43A49">
        <w:rPr>
          <w:szCs w:val="22"/>
        </w:rPr>
        <w:t>1.8%</w:t>
      </w:r>
      <w:r>
        <w:rPr>
          <w:szCs w:val="22"/>
        </w:rPr>
        <w:t xml:space="preserve"> – Old </w:t>
      </w:r>
      <w:r w:rsidR="00C43A49">
        <w:rPr>
          <w:szCs w:val="22"/>
        </w:rPr>
        <w:t>age:</w:t>
      </w:r>
      <w:r w:rsidR="00874F63">
        <w:rPr>
          <w:szCs w:val="22"/>
        </w:rPr>
        <w:t xml:space="preserve"> </w:t>
      </w:r>
      <w:r w:rsidR="00C43A49">
        <w:rPr>
          <w:szCs w:val="22"/>
        </w:rPr>
        <w:t>10.6%</w:t>
      </w:r>
      <w:r w:rsidR="00874F63">
        <w:rPr>
          <w:szCs w:val="22"/>
        </w:rPr>
        <w:t xml:space="preserve">, </w:t>
      </w:r>
      <w:r w:rsidR="00874F63" w:rsidRPr="00874F63">
        <w:rPr>
          <w:i/>
          <w:iCs/>
          <w:szCs w:val="22"/>
        </w:rPr>
        <w:t>p</w:t>
      </w:r>
      <w:r w:rsidR="00874F63">
        <w:rPr>
          <w:szCs w:val="22"/>
        </w:rPr>
        <w:t xml:space="preserve"> = 0.010 and Middle age: 2.1% – Old age: 10.6%, </w:t>
      </w:r>
      <w:r w:rsidR="00874F63" w:rsidRPr="00874F63">
        <w:rPr>
          <w:i/>
          <w:iCs/>
          <w:szCs w:val="22"/>
        </w:rPr>
        <w:t>p</w:t>
      </w:r>
      <w:r w:rsidR="00874F63">
        <w:rPr>
          <w:szCs w:val="22"/>
        </w:rPr>
        <w:t xml:space="preserve"> = 0.014. </w:t>
      </w:r>
      <w:r w:rsidR="006267AA" w:rsidRPr="009D4627">
        <w:rPr>
          <w:szCs w:val="22"/>
        </w:rPr>
        <w:t xml:space="preserve"> </w:t>
      </w:r>
      <w:r w:rsidR="00523CDD">
        <w:rPr>
          <w:szCs w:val="22"/>
        </w:rPr>
        <w:t xml:space="preserve">It showed that </w:t>
      </w:r>
      <w:r w:rsidR="00874F63">
        <w:rPr>
          <w:szCs w:val="22"/>
        </w:rPr>
        <w:t>elderly had increase fixa</w:t>
      </w:r>
      <w:r w:rsidR="006267AA" w:rsidRPr="009D4627">
        <w:rPr>
          <w:szCs w:val="22"/>
        </w:rPr>
        <w:t xml:space="preserve">tion </w:t>
      </w:r>
      <w:r w:rsidR="00874F63">
        <w:rPr>
          <w:szCs w:val="22"/>
        </w:rPr>
        <w:t>time spent within the largest AOI compared to the young and middle age adults.</w:t>
      </w:r>
    </w:p>
    <w:p w14:paraId="3B40BCB2" w14:textId="2A1530A5" w:rsidR="0058450B" w:rsidRPr="009D4627" w:rsidRDefault="006B2FA7" w:rsidP="00210AB2">
      <w:r w:rsidRPr="009D4627">
        <w:t>Pearson's correlation coefficients were analysed to determine the relationship between percentage DT and age.</w:t>
      </w:r>
      <w:r w:rsidR="00125448" w:rsidRPr="009D4627">
        <w:t xml:space="preserve"> </w:t>
      </w:r>
      <w:r w:rsidR="00C0255B" w:rsidRPr="009D4627">
        <w:t xml:space="preserve">It revealed that the percentage DT </w:t>
      </w:r>
      <w:r w:rsidR="006267AA" w:rsidRPr="009D4627">
        <w:t>and ageing were not significantly correlated (</w:t>
      </w:r>
      <w:r w:rsidR="006267AA" w:rsidRPr="009D4627">
        <w:rPr>
          <w:b/>
          <w:bCs/>
        </w:rPr>
        <w:t>1° AOI:</w:t>
      </w:r>
      <w:r w:rsidR="006267AA" w:rsidRPr="009D4627">
        <w:t xml:space="preserve"> </w:t>
      </w:r>
      <w:proofErr w:type="gramStart"/>
      <w:r w:rsidR="006267AA" w:rsidRPr="009D4627">
        <w:rPr>
          <w:i/>
          <w:iCs/>
        </w:rPr>
        <w:t>r</w:t>
      </w:r>
      <w:r w:rsidR="006267AA" w:rsidRPr="009D4627">
        <w:t>(</w:t>
      </w:r>
      <w:proofErr w:type="gramEnd"/>
      <w:r w:rsidR="006267AA" w:rsidRPr="009D4627">
        <w:t xml:space="preserve">55) = -0.23, </w:t>
      </w:r>
      <w:r w:rsidR="006267AA" w:rsidRPr="009D4627">
        <w:rPr>
          <w:i/>
          <w:iCs/>
        </w:rPr>
        <w:t>p</w:t>
      </w:r>
      <w:r w:rsidR="006267AA" w:rsidRPr="009D4627">
        <w:t xml:space="preserve"> = 0.10, </w:t>
      </w:r>
      <w:r w:rsidR="006267AA" w:rsidRPr="009D4627">
        <w:rPr>
          <w:b/>
          <w:bCs/>
        </w:rPr>
        <w:t>2° AOI:</w:t>
      </w:r>
      <w:r w:rsidR="006267AA" w:rsidRPr="009D4627">
        <w:t xml:space="preserve"> </w:t>
      </w:r>
      <w:r w:rsidR="006267AA" w:rsidRPr="009D4627">
        <w:rPr>
          <w:i/>
          <w:iCs/>
        </w:rPr>
        <w:t>r</w:t>
      </w:r>
      <w:r w:rsidR="006267AA" w:rsidRPr="009D4627">
        <w:t xml:space="preserve">(55) = 0.09, </w:t>
      </w:r>
      <w:r w:rsidR="006267AA" w:rsidRPr="009D4627">
        <w:rPr>
          <w:i/>
          <w:iCs/>
        </w:rPr>
        <w:t>p</w:t>
      </w:r>
      <w:r w:rsidR="006267AA" w:rsidRPr="009D4627">
        <w:t xml:space="preserve"> = 0.52, </w:t>
      </w:r>
      <w:r w:rsidR="006267AA" w:rsidRPr="009D4627">
        <w:rPr>
          <w:b/>
          <w:bCs/>
        </w:rPr>
        <w:t>&gt;2° AOI:</w:t>
      </w:r>
      <w:r w:rsidR="006267AA" w:rsidRPr="009D4627">
        <w:t xml:space="preserve"> </w:t>
      </w:r>
      <w:r w:rsidR="006267AA" w:rsidRPr="009D4627">
        <w:rPr>
          <w:i/>
          <w:iCs/>
        </w:rPr>
        <w:t>r</w:t>
      </w:r>
      <w:r w:rsidR="006267AA" w:rsidRPr="009D4627">
        <w:t xml:space="preserve">(55) = 0.27, </w:t>
      </w:r>
      <w:r w:rsidR="006267AA" w:rsidRPr="009D4627">
        <w:rPr>
          <w:i/>
          <w:iCs/>
        </w:rPr>
        <w:t>p</w:t>
      </w:r>
      <w:r w:rsidR="006267AA" w:rsidRPr="009D4627">
        <w:t xml:space="preserve"> = 0.051) . This suggests that ageing cannot account for the variability in percentage DT.</w:t>
      </w:r>
    </w:p>
    <w:p w14:paraId="6456991F" w14:textId="652F2145" w:rsidR="008816D4" w:rsidRPr="009D4627" w:rsidRDefault="008A262A" w:rsidP="00DC4CA6">
      <w:pPr>
        <w:pStyle w:val="Heading3"/>
      </w:pPr>
      <w:bookmarkStart w:id="251" w:name="_Toc55662853"/>
      <w:bookmarkStart w:id="252" w:name="_Toc57300372"/>
      <w:bookmarkStart w:id="253" w:name="_Toc57300480"/>
      <w:bookmarkStart w:id="254" w:name="_Toc64730810"/>
      <w:bookmarkStart w:id="255" w:name="_Toc98964662"/>
      <w:bookmarkStart w:id="256" w:name="_Toc103344707"/>
      <w:r w:rsidRPr="009D4627">
        <w:t>T</w:t>
      </w:r>
      <w:r w:rsidR="008816D4" w:rsidRPr="009D4627">
        <w:t xml:space="preserve">he effect of ageing on horizontal </w:t>
      </w:r>
      <w:bookmarkEnd w:id="251"/>
      <w:bookmarkEnd w:id="252"/>
      <w:bookmarkEnd w:id="253"/>
      <w:bookmarkEnd w:id="254"/>
      <w:r w:rsidR="00CC2CD3" w:rsidRPr="009D4627">
        <w:t>SP</w:t>
      </w:r>
      <w:bookmarkStart w:id="257" w:name="_Toc16775906"/>
      <w:bookmarkStart w:id="258" w:name="_Toc17911577"/>
      <w:bookmarkEnd w:id="255"/>
      <w:bookmarkEnd w:id="256"/>
    </w:p>
    <w:p w14:paraId="04019D60" w14:textId="1B531E52" w:rsidR="008816D4" w:rsidRDefault="004000DD" w:rsidP="008816D4">
      <w:pPr>
        <w:spacing w:after="160"/>
        <w:rPr>
          <w:szCs w:val="22"/>
        </w:rPr>
      </w:pPr>
      <w:r w:rsidRPr="009D4627">
        <w:rPr>
          <w:szCs w:val="22"/>
        </w:rPr>
        <w:t xml:space="preserve">Individual participant means for the three age group participants were calculated for </w:t>
      </w:r>
      <w:r w:rsidR="00356A10" w:rsidRPr="009D4627">
        <w:rPr>
          <w:color w:val="auto"/>
          <w:szCs w:val="22"/>
        </w:rPr>
        <w:t>SP</w:t>
      </w:r>
      <w:r w:rsidR="008816D4" w:rsidRPr="009D4627">
        <w:rPr>
          <w:color w:val="auto"/>
          <w:szCs w:val="22"/>
        </w:rPr>
        <w:t xml:space="preserve"> gain, RMSE, and duration of </w:t>
      </w:r>
      <w:r w:rsidR="00356A10" w:rsidRPr="009D4627">
        <w:rPr>
          <w:color w:val="auto"/>
          <w:szCs w:val="22"/>
        </w:rPr>
        <w:t xml:space="preserve">SP </w:t>
      </w:r>
      <w:r w:rsidR="008816D4" w:rsidRPr="009D4627">
        <w:rPr>
          <w:color w:val="auto"/>
          <w:szCs w:val="22"/>
        </w:rPr>
        <w:t>segment</w:t>
      </w:r>
      <w:r w:rsidR="00DE330E">
        <w:rPr>
          <w:color w:val="auto"/>
          <w:szCs w:val="22"/>
        </w:rPr>
        <w:t xml:space="preserve"> (Appendix 3.2)</w:t>
      </w:r>
      <w:r w:rsidR="008816D4" w:rsidRPr="009D4627">
        <w:rPr>
          <w:color w:val="auto"/>
          <w:szCs w:val="22"/>
        </w:rPr>
        <w:t xml:space="preserve">. </w:t>
      </w:r>
      <w:r w:rsidR="008816D4" w:rsidRPr="009D4627">
        <w:rPr>
          <w:szCs w:val="22"/>
        </w:rPr>
        <w:t xml:space="preserve">Individual means were then used to </w:t>
      </w:r>
      <w:r w:rsidR="008816D4" w:rsidRPr="009D4627">
        <w:rPr>
          <w:szCs w:val="22"/>
        </w:rPr>
        <w:lastRenderedPageBreak/>
        <w:t xml:space="preserve">calculate the group means of </w:t>
      </w:r>
      <w:r w:rsidR="00EE3798" w:rsidRPr="009D4627">
        <w:rPr>
          <w:szCs w:val="22"/>
        </w:rPr>
        <w:t xml:space="preserve">the </w:t>
      </w:r>
      <w:r w:rsidR="008816D4" w:rsidRPr="009D4627">
        <w:rPr>
          <w:szCs w:val="22"/>
        </w:rPr>
        <w:t>three age groups: young (n</w:t>
      </w:r>
      <w:r w:rsidR="008C0788" w:rsidRPr="009D4627">
        <w:rPr>
          <w:szCs w:val="22"/>
        </w:rPr>
        <w:t xml:space="preserve"> </w:t>
      </w:r>
      <w:r w:rsidR="008816D4" w:rsidRPr="009D4627">
        <w:rPr>
          <w:szCs w:val="22"/>
        </w:rPr>
        <w:t>=</w:t>
      </w:r>
      <w:r w:rsidR="008C0788" w:rsidRPr="009D4627">
        <w:rPr>
          <w:szCs w:val="22"/>
        </w:rPr>
        <w:t xml:space="preserve"> </w:t>
      </w:r>
      <w:r w:rsidR="008816D4" w:rsidRPr="009D4627">
        <w:rPr>
          <w:szCs w:val="22"/>
        </w:rPr>
        <w:t>23), middle</w:t>
      </w:r>
      <w:r w:rsidR="00CC2CD3" w:rsidRPr="009D4627">
        <w:rPr>
          <w:szCs w:val="22"/>
        </w:rPr>
        <w:t xml:space="preserve"> </w:t>
      </w:r>
      <w:r w:rsidR="008816D4" w:rsidRPr="009D4627">
        <w:rPr>
          <w:szCs w:val="22"/>
        </w:rPr>
        <w:t>(n</w:t>
      </w:r>
      <w:r w:rsidR="008C0788" w:rsidRPr="009D4627">
        <w:rPr>
          <w:szCs w:val="22"/>
        </w:rPr>
        <w:t xml:space="preserve"> </w:t>
      </w:r>
      <w:r w:rsidR="008816D4" w:rsidRPr="009D4627">
        <w:rPr>
          <w:szCs w:val="22"/>
        </w:rPr>
        <w:t>=</w:t>
      </w:r>
      <w:r w:rsidR="008C0788" w:rsidRPr="009D4627">
        <w:rPr>
          <w:szCs w:val="22"/>
        </w:rPr>
        <w:t xml:space="preserve"> </w:t>
      </w:r>
      <w:r w:rsidR="008816D4" w:rsidRPr="009D4627">
        <w:rPr>
          <w:szCs w:val="22"/>
        </w:rPr>
        <w:t>18), and old</w:t>
      </w:r>
      <w:r w:rsidR="00EE3798" w:rsidRPr="009D4627">
        <w:rPr>
          <w:szCs w:val="22"/>
        </w:rPr>
        <w:t>er</w:t>
      </w:r>
      <w:r w:rsidR="008816D4" w:rsidRPr="009D4627">
        <w:rPr>
          <w:szCs w:val="22"/>
        </w:rPr>
        <w:t xml:space="preserve"> age</w:t>
      </w:r>
      <w:r w:rsidR="00CC2CD3" w:rsidRPr="009D4627">
        <w:rPr>
          <w:szCs w:val="22"/>
        </w:rPr>
        <w:t xml:space="preserve"> participants</w:t>
      </w:r>
      <w:r w:rsidR="008816D4" w:rsidRPr="009D4627">
        <w:rPr>
          <w:szCs w:val="22"/>
        </w:rPr>
        <w:t xml:space="preserve"> (n</w:t>
      </w:r>
      <w:r w:rsidR="008C0788" w:rsidRPr="009D4627">
        <w:rPr>
          <w:szCs w:val="22"/>
        </w:rPr>
        <w:t xml:space="preserve"> </w:t>
      </w:r>
      <w:r w:rsidR="008816D4" w:rsidRPr="009D4627">
        <w:rPr>
          <w:szCs w:val="22"/>
        </w:rPr>
        <w:t>=</w:t>
      </w:r>
      <w:r w:rsidR="008C0788" w:rsidRPr="009D4627">
        <w:rPr>
          <w:szCs w:val="22"/>
        </w:rPr>
        <w:t xml:space="preserve"> </w:t>
      </w:r>
      <w:r w:rsidR="008816D4" w:rsidRPr="009D4627">
        <w:rPr>
          <w:szCs w:val="22"/>
        </w:rPr>
        <w:t>15).</w:t>
      </w:r>
    </w:p>
    <w:bookmarkEnd w:id="257"/>
    <w:bookmarkEnd w:id="258"/>
    <w:p w14:paraId="255B4F31" w14:textId="77777777" w:rsidR="00783D5A" w:rsidRDefault="00B50107" w:rsidP="00783D5A">
      <w:r w:rsidRPr="00B50107">
        <w:t xml:space="preserve">To compare the effects of ageing on horizontal SP parameters, a one-way ANOVA was used. </w:t>
      </w:r>
      <w:r w:rsidR="00151C83">
        <w:t>T</w:t>
      </w:r>
      <w:r w:rsidRPr="00B50107">
        <w:t>here was a statistically significant difference in SP RMSE and duration</w:t>
      </w:r>
      <w:r w:rsidR="00151C83">
        <w:t xml:space="preserve"> between age groups</w:t>
      </w:r>
      <w:r w:rsidRPr="00B50107">
        <w:t>.</w:t>
      </w:r>
      <w:r w:rsidR="00EE1467">
        <w:t xml:space="preserve"> </w:t>
      </w:r>
      <w:r w:rsidR="001F19C4" w:rsidRPr="001F19C4">
        <w:t>However, the SP gain was not different amongst the age groups.</w:t>
      </w:r>
      <w:r w:rsidR="001F19C4">
        <w:t xml:space="preserve"> </w:t>
      </w:r>
      <w:r w:rsidRPr="00B50107">
        <w:t>The one-way ANOVA findings are reported in Table 3.1.</w:t>
      </w:r>
      <w:bookmarkStart w:id="259" w:name="_Toc99439393"/>
      <w:bookmarkStart w:id="260" w:name="_Toc73703221"/>
    </w:p>
    <w:p w14:paraId="3F4CF2C8" w14:textId="4273AEE4" w:rsidR="00567C02" w:rsidRDefault="00AC5BE8" w:rsidP="00783D5A">
      <w:pPr>
        <w:spacing w:line="240" w:lineRule="auto"/>
      </w:pPr>
      <w:r w:rsidRPr="009D4627">
        <w:t>Table 3.</w:t>
      </w:r>
      <w:r w:rsidR="007E7CC8">
        <w:fldChar w:fldCharType="begin"/>
      </w:r>
      <w:r w:rsidR="007E7CC8">
        <w:instrText xml:space="preserve"> SEQ Table_3. \* ARABIC </w:instrText>
      </w:r>
      <w:r w:rsidR="007E7CC8">
        <w:fldChar w:fldCharType="separate"/>
      </w:r>
      <w:r w:rsidR="00E268F6">
        <w:rPr>
          <w:noProof/>
        </w:rPr>
        <w:t>1</w:t>
      </w:r>
      <w:r w:rsidR="007E7CC8">
        <w:rPr>
          <w:noProof/>
        </w:rPr>
        <w:fldChar w:fldCharType="end"/>
      </w:r>
      <w:r w:rsidRPr="009D4627">
        <w:t xml:space="preserve">: </w:t>
      </w:r>
      <w:r w:rsidR="002A6FE6">
        <w:t xml:space="preserve">A </w:t>
      </w:r>
      <w:r w:rsidR="002A6FE6" w:rsidRPr="002A6FE6">
        <w:t xml:space="preserve">one-way ANOVA was used to examine the effects of age on </w:t>
      </w:r>
      <w:r w:rsidR="002A6FE6">
        <w:t>horizont</w:t>
      </w:r>
      <w:r w:rsidR="002A6FE6" w:rsidRPr="002A6FE6">
        <w:t>al SP variables</w:t>
      </w:r>
      <w:r w:rsidR="002A6FE6">
        <w:t xml:space="preserve"> at four horizontal SP frequencies</w:t>
      </w:r>
      <w:r w:rsidR="006A57A2" w:rsidRPr="009D4627">
        <w:t>.</w:t>
      </w:r>
      <w:bookmarkEnd w:id="259"/>
    </w:p>
    <w:tbl>
      <w:tblPr>
        <w:tblW w:w="8845" w:type="dxa"/>
        <w:tblLook w:val="04A0" w:firstRow="1" w:lastRow="0" w:firstColumn="1" w:lastColumn="0" w:noHBand="0" w:noVBand="1"/>
      </w:tblPr>
      <w:tblGrid>
        <w:gridCol w:w="1960"/>
        <w:gridCol w:w="1145"/>
        <w:gridCol w:w="900"/>
        <w:gridCol w:w="940"/>
        <w:gridCol w:w="1320"/>
        <w:gridCol w:w="820"/>
        <w:gridCol w:w="880"/>
        <w:gridCol w:w="880"/>
      </w:tblGrid>
      <w:tr w:rsidR="00567C02" w:rsidRPr="00EE1467" w14:paraId="4FAF1EB3" w14:textId="78F3BE2D" w:rsidTr="00567C02">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A55ED" w14:textId="7847A01B" w:rsidR="00567C02" w:rsidRPr="00EE1467" w:rsidRDefault="008816D4" w:rsidP="00EE1467">
            <w:pPr>
              <w:spacing w:before="0" w:after="0" w:line="240" w:lineRule="auto"/>
              <w:jc w:val="left"/>
              <w:rPr>
                <w:rFonts w:eastAsia="Times New Roman"/>
                <w:color w:val="000000"/>
                <w:sz w:val="22"/>
                <w:szCs w:val="22"/>
                <w:lang w:val="en-MY" w:eastAsia="en-MY"/>
              </w:rPr>
            </w:pPr>
            <w:r w:rsidRPr="009D4627">
              <w:t xml:space="preserve"> </w:t>
            </w:r>
            <w:bookmarkEnd w:id="260"/>
            <w:r w:rsidR="00567C02" w:rsidRPr="00EE1467">
              <w:rPr>
                <w:rFonts w:eastAsia="Times New Roman"/>
                <w:color w:val="000000"/>
                <w:sz w:val="22"/>
                <w:szCs w:val="22"/>
                <w:lang w:val="en-MY" w:eastAsia="en-MY"/>
              </w:rPr>
              <w:t> </w:t>
            </w:r>
          </w:p>
        </w:tc>
        <w:tc>
          <w:tcPr>
            <w:tcW w:w="1145" w:type="dxa"/>
            <w:tcBorders>
              <w:top w:val="single" w:sz="4" w:space="0" w:color="auto"/>
              <w:left w:val="nil"/>
              <w:bottom w:val="single" w:sz="4" w:space="0" w:color="auto"/>
              <w:right w:val="single" w:sz="4" w:space="0" w:color="auto"/>
            </w:tcBorders>
            <w:shd w:val="clear" w:color="auto" w:fill="auto"/>
            <w:noWrap/>
            <w:vAlign w:val="bottom"/>
            <w:hideMark/>
          </w:tcPr>
          <w:p w14:paraId="588F5E08"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Frequency</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0F173931"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SS</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08F9CFF1"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df</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72AAFA6F"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MS</w:t>
            </w:r>
          </w:p>
        </w:tc>
        <w:tc>
          <w:tcPr>
            <w:tcW w:w="820" w:type="dxa"/>
            <w:tcBorders>
              <w:top w:val="single" w:sz="4" w:space="0" w:color="auto"/>
              <w:left w:val="nil"/>
              <w:bottom w:val="single" w:sz="4" w:space="0" w:color="auto"/>
              <w:right w:val="single" w:sz="4" w:space="0" w:color="auto"/>
            </w:tcBorders>
            <w:shd w:val="clear" w:color="auto" w:fill="auto"/>
            <w:noWrap/>
            <w:vAlign w:val="bottom"/>
            <w:hideMark/>
          </w:tcPr>
          <w:p w14:paraId="245662C5"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F</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2117EF84"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i/>
                <w:iCs/>
                <w:color w:val="000000"/>
                <w:sz w:val="22"/>
                <w:szCs w:val="22"/>
                <w:lang w:val="en-MY" w:eastAsia="en-MY"/>
              </w:rPr>
              <w:t>p</w:t>
            </w:r>
            <w:r w:rsidRPr="00EE1467">
              <w:rPr>
                <w:rFonts w:eastAsia="Times New Roman"/>
                <w:color w:val="000000"/>
                <w:sz w:val="22"/>
                <w:szCs w:val="22"/>
                <w:lang w:val="en-MY" w:eastAsia="en-MY"/>
              </w:rPr>
              <w:t>-value</w:t>
            </w:r>
          </w:p>
        </w:tc>
        <w:tc>
          <w:tcPr>
            <w:tcW w:w="880" w:type="dxa"/>
            <w:tcBorders>
              <w:top w:val="single" w:sz="4" w:space="0" w:color="auto"/>
              <w:left w:val="nil"/>
              <w:bottom w:val="single" w:sz="4" w:space="0" w:color="auto"/>
              <w:right w:val="single" w:sz="4" w:space="0" w:color="auto"/>
            </w:tcBorders>
          </w:tcPr>
          <w:p w14:paraId="39D3AC93" w14:textId="77777777" w:rsidR="00567C02" w:rsidRPr="00EE1467" w:rsidRDefault="00567C02" w:rsidP="00EE1467">
            <w:pPr>
              <w:spacing w:before="0" w:after="0" w:line="240" w:lineRule="auto"/>
              <w:jc w:val="left"/>
              <w:rPr>
                <w:rFonts w:eastAsia="Times New Roman"/>
                <w:i/>
                <w:iCs/>
                <w:color w:val="000000"/>
                <w:sz w:val="22"/>
                <w:szCs w:val="22"/>
                <w:lang w:val="en-MY" w:eastAsia="en-MY"/>
              </w:rPr>
            </w:pPr>
          </w:p>
        </w:tc>
      </w:tr>
      <w:tr w:rsidR="00567C02" w:rsidRPr="00EE1467" w14:paraId="76D78C4A" w14:textId="0890505B" w:rsidTr="00567C02">
        <w:trPr>
          <w:trHeight w:val="300"/>
        </w:trPr>
        <w:tc>
          <w:tcPr>
            <w:tcW w:w="1960" w:type="dxa"/>
            <w:vMerge w:val="restart"/>
            <w:tcBorders>
              <w:top w:val="nil"/>
              <w:left w:val="single" w:sz="4" w:space="0" w:color="auto"/>
              <w:bottom w:val="single" w:sz="4" w:space="0" w:color="auto"/>
              <w:right w:val="single" w:sz="4" w:space="0" w:color="auto"/>
            </w:tcBorders>
            <w:shd w:val="clear" w:color="auto" w:fill="auto"/>
            <w:noWrap/>
            <w:hideMark/>
          </w:tcPr>
          <w:p w14:paraId="45128DF6" w14:textId="77777777" w:rsidR="00567C02" w:rsidRPr="00EE1467" w:rsidRDefault="00567C02" w:rsidP="004A09E8">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Horizontal SP gain</w:t>
            </w:r>
          </w:p>
        </w:tc>
        <w:tc>
          <w:tcPr>
            <w:tcW w:w="1145" w:type="dxa"/>
            <w:tcBorders>
              <w:top w:val="nil"/>
              <w:left w:val="nil"/>
              <w:bottom w:val="single" w:sz="4" w:space="0" w:color="auto"/>
              <w:right w:val="single" w:sz="4" w:space="0" w:color="auto"/>
            </w:tcBorders>
            <w:shd w:val="clear" w:color="auto" w:fill="auto"/>
            <w:noWrap/>
            <w:vAlign w:val="bottom"/>
            <w:hideMark/>
          </w:tcPr>
          <w:p w14:paraId="73DCFFDD"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0.2 Hz</w:t>
            </w:r>
          </w:p>
        </w:tc>
        <w:tc>
          <w:tcPr>
            <w:tcW w:w="900" w:type="dxa"/>
            <w:tcBorders>
              <w:top w:val="nil"/>
              <w:left w:val="nil"/>
              <w:bottom w:val="single" w:sz="4" w:space="0" w:color="auto"/>
              <w:right w:val="single" w:sz="4" w:space="0" w:color="auto"/>
            </w:tcBorders>
            <w:shd w:val="clear" w:color="auto" w:fill="auto"/>
            <w:noWrap/>
            <w:vAlign w:val="bottom"/>
            <w:hideMark/>
          </w:tcPr>
          <w:p w14:paraId="0050B7E7"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0.01</w:t>
            </w:r>
          </w:p>
        </w:tc>
        <w:tc>
          <w:tcPr>
            <w:tcW w:w="940" w:type="dxa"/>
            <w:vMerge w:val="restart"/>
            <w:tcBorders>
              <w:top w:val="nil"/>
              <w:left w:val="single" w:sz="4" w:space="0" w:color="auto"/>
              <w:bottom w:val="single" w:sz="4" w:space="0" w:color="auto"/>
              <w:right w:val="single" w:sz="4" w:space="0" w:color="auto"/>
            </w:tcBorders>
            <w:shd w:val="clear" w:color="auto" w:fill="auto"/>
            <w:noWrap/>
            <w:hideMark/>
          </w:tcPr>
          <w:p w14:paraId="33ABBAB6" w14:textId="77777777" w:rsidR="00567C02" w:rsidRPr="00EE1467" w:rsidRDefault="00567C02" w:rsidP="00EE1467">
            <w:pPr>
              <w:spacing w:before="0" w:after="0" w:line="240" w:lineRule="auto"/>
              <w:jc w:val="center"/>
              <w:rPr>
                <w:rFonts w:eastAsia="Times New Roman"/>
                <w:color w:val="000000"/>
                <w:sz w:val="22"/>
                <w:szCs w:val="22"/>
                <w:lang w:val="en-MY" w:eastAsia="en-MY"/>
              </w:rPr>
            </w:pPr>
            <w:r w:rsidRPr="00EE1467">
              <w:rPr>
                <w:rFonts w:eastAsia="Times New Roman"/>
                <w:color w:val="000000"/>
                <w:sz w:val="22"/>
                <w:szCs w:val="22"/>
                <w:lang w:val="en-MY" w:eastAsia="en-MY"/>
              </w:rPr>
              <w:t>2,54</w:t>
            </w:r>
          </w:p>
        </w:tc>
        <w:tc>
          <w:tcPr>
            <w:tcW w:w="1320" w:type="dxa"/>
            <w:tcBorders>
              <w:top w:val="nil"/>
              <w:left w:val="nil"/>
              <w:bottom w:val="single" w:sz="4" w:space="0" w:color="auto"/>
              <w:right w:val="single" w:sz="4" w:space="0" w:color="auto"/>
            </w:tcBorders>
            <w:shd w:val="clear" w:color="auto" w:fill="auto"/>
            <w:noWrap/>
            <w:vAlign w:val="bottom"/>
            <w:hideMark/>
          </w:tcPr>
          <w:p w14:paraId="5E26AEE2"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0.00</w:t>
            </w:r>
          </w:p>
        </w:tc>
        <w:tc>
          <w:tcPr>
            <w:tcW w:w="820" w:type="dxa"/>
            <w:tcBorders>
              <w:top w:val="nil"/>
              <w:left w:val="nil"/>
              <w:bottom w:val="single" w:sz="4" w:space="0" w:color="auto"/>
              <w:right w:val="single" w:sz="4" w:space="0" w:color="auto"/>
            </w:tcBorders>
            <w:shd w:val="clear" w:color="auto" w:fill="auto"/>
            <w:noWrap/>
            <w:vAlign w:val="bottom"/>
            <w:hideMark/>
          </w:tcPr>
          <w:p w14:paraId="0D10095E"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0.96</w:t>
            </w:r>
          </w:p>
        </w:tc>
        <w:tc>
          <w:tcPr>
            <w:tcW w:w="880" w:type="dxa"/>
            <w:tcBorders>
              <w:top w:val="nil"/>
              <w:left w:val="nil"/>
              <w:bottom w:val="single" w:sz="4" w:space="0" w:color="auto"/>
              <w:right w:val="single" w:sz="4" w:space="0" w:color="auto"/>
            </w:tcBorders>
            <w:shd w:val="clear" w:color="auto" w:fill="auto"/>
            <w:noWrap/>
            <w:vAlign w:val="bottom"/>
            <w:hideMark/>
          </w:tcPr>
          <w:p w14:paraId="3B4418E4"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0.39</w:t>
            </w:r>
          </w:p>
        </w:tc>
        <w:tc>
          <w:tcPr>
            <w:tcW w:w="880" w:type="dxa"/>
            <w:tcBorders>
              <w:top w:val="nil"/>
              <w:left w:val="nil"/>
              <w:bottom w:val="single" w:sz="4" w:space="0" w:color="auto"/>
              <w:right w:val="single" w:sz="4" w:space="0" w:color="auto"/>
            </w:tcBorders>
          </w:tcPr>
          <w:p w14:paraId="23677B71" w14:textId="77777777" w:rsidR="00567C02" w:rsidRPr="00EE1467"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1B5DBC7D" w14:textId="53F7635C"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2A1ED385" w14:textId="77777777" w:rsidR="00567C02" w:rsidRPr="00977820" w:rsidRDefault="00567C02" w:rsidP="004A09E8">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7BA57080"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0.4 Hz</w:t>
            </w:r>
          </w:p>
        </w:tc>
        <w:tc>
          <w:tcPr>
            <w:tcW w:w="900" w:type="dxa"/>
            <w:tcBorders>
              <w:top w:val="nil"/>
              <w:left w:val="nil"/>
              <w:bottom w:val="single" w:sz="4" w:space="0" w:color="auto"/>
              <w:right w:val="single" w:sz="4" w:space="0" w:color="auto"/>
            </w:tcBorders>
            <w:shd w:val="clear" w:color="auto" w:fill="auto"/>
            <w:noWrap/>
            <w:vAlign w:val="bottom"/>
            <w:hideMark/>
          </w:tcPr>
          <w:p w14:paraId="14D9E0E1"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0.01</w:t>
            </w:r>
          </w:p>
        </w:tc>
        <w:tc>
          <w:tcPr>
            <w:tcW w:w="940" w:type="dxa"/>
            <w:vMerge/>
            <w:tcBorders>
              <w:top w:val="nil"/>
              <w:left w:val="single" w:sz="4" w:space="0" w:color="auto"/>
              <w:bottom w:val="single" w:sz="4" w:space="0" w:color="auto"/>
              <w:right w:val="single" w:sz="4" w:space="0" w:color="auto"/>
            </w:tcBorders>
            <w:vAlign w:val="center"/>
            <w:hideMark/>
          </w:tcPr>
          <w:p w14:paraId="0594CD51"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38954B08"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0.00</w:t>
            </w:r>
          </w:p>
        </w:tc>
        <w:tc>
          <w:tcPr>
            <w:tcW w:w="820" w:type="dxa"/>
            <w:tcBorders>
              <w:top w:val="nil"/>
              <w:left w:val="nil"/>
              <w:bottom w:val="single" w:sz="4" w:space="0" w:color="auto"/>
              <w:right w:val="single" w:sz="4" w:space="0" w:color="auto"/>
            </w:tcBorders>
            <w:shd w:val="clear" w:color="auto" w:fill="auto"/>
            <w:noWrap/>
            <w:vAlign w:val="bottom"/>
            <w:hideMark/>
          </w:tcPr>
          <w:p w14:paraId="526C4AFF"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0.59</w:t>
            </w:r>
          </w:p>
        </w:tc>
        <w:tc>
          <w:tcPr>
            <w:tcW w:w="880" w:type="dxa"/>
            <w:tcBorders>
              <w:top w:val="nil"/>
              <w:left w:val="nil"/>
              <w:bottom w:val="single" w:sz="4" w:space="0" w:color="auto"/>
              <w:right w:val="single" w:sz="4" w:space="0" w:color="auto"/>
            </w:tcBorders>
            <w:shd w:val="clear" w:color="auto" w:fill="auto"/>
            <w:noWrap/>
            <w:vAlign w:val="bottom"/>
            <w:hideMark/>
          </w:tcPr>
          <w:p w14:paraId="1F85F15B"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0.56</w:t>
            </w:r>
          </w:p>
        </w:tc>
        <w:tc>
          <w:tcPr>
            <w:tcW w:w="880" w:type="dxa"/>
            <w:tcBorders>
              <w:top w:val="nil"/>
              <w:left w:val="nil"/>
              <w:bottom w:val="single" w:sz="4" w:space="0" w:color="auto"/>
              <w:right w:val="single" w:sz="4" w:space="0" w:color="auto"/>
            </w:tcBorders>
          </w:tcPr>
          <w:p w14:paraId="54AB9AEF" w14:textId="77777777" w:rsidR="00567C02" w:rsidRPr="00567C02"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197A028E" w14:textId="5663ACD9"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4EE9CC4D" w14:textId="77777777" w:rsidR="00567C02" w:rsidRPr="00977820" w:rsidRDefault="00567C02" w:rsidP="004A09E8">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7A4F9517"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0.6 Hz</w:t>
            </w:r>
          </w:p>
        </w:tc>
        <w:tc>
          <w:tcPr>
            <w:tcW w:w="900" w:type="dxa"/>
            <w:tcBorders>
              <w:top w:val="nil"/>
              <w:left w:val="nil"/>
              <w:bottom w:val="single" w:sz="4" w:space="0" w:color="auto"/>
              <w:right w:val="single" w:sz="4" w:space="0" w:color="auto"/>
            </w:tcBorders>
            <w:shd w:val="clear" w:color="auto" w:fill="auto"/>
            <w:noWrap/>
            <w:vAlign w:val="bottom"/>
            <w:hideMark/>
          </w:tcPr>
          <w:p w14:paraId="5A177B81"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0.05</w:t>
            </w:r>
          </w:p>
        </w:tc>
        <w:tc>
          <w:tcPr>
            <w:tcW w:w="940" w:type="dxa"/>
            <w:vMerge/>
            <w:tcBorders>
              <w:top w:val="nil"/>
              <w:left w:val="single" w:sz="4" w:space="0" w:color="auto"/>
              <w:bottom w:val="single" w:sz="4" w:space="0" w:color="auto"/>
              <w:right w:val="single" w:sz="4" w:space="0" w:color="auto"/>
            </w:tcBorders>
            <w:vAlign w:val="center"/>
            <w:hideMark/>
          </w:tcPr>
          <w:p w14:paraId="51E9F049"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16B3F3FE"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0.02</w:t>
            </w:r>
          </w:p>
        </w:tc>
        <w:tc>
          <w:tcPr>
            <w:tcW w:w="820" w:type="dxa"/>
            <w:tcBorders>
              <w:top w:val="nil"/>
              <w:left w:val="nil"/>
              <w:bottom w:val="single" w:sz="4" w:space="0" w:color="auto"/>
              <w:right w:val="single" w:sz="4" w:space="0" w:color="auto"/>
            </w:tcBorders>
            <w:shd w:val="clear" w:color="auto" w:fill="auto"/>
            <w:noWrap/>
            <w:vAlign w:val="bottom"/>
            <w:hideMark/>
          </w:tcPr>
          <w:p w14:paraId="10A41817"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2.97</w:t>
            </w:r>
          </w:p>
        </w:tc>
        <w:tc>
          <w:tcPr>
            <w:tcW w:w="880" w:type="dxa"/>
            <w:tcBorders>
              <w:top w:val="nil"/>
              <w:left w:val="nil"/>
              <w:bottom w:val="single" w:sz="4" w:space="0" w:color="auto"/>
              <w:right w:val="single" w:sz="4" w:space="0" w:color="auto"/>
            </w:tcBorders>
            <w:shd w:val="clear" w:color="auto" w:fill="auto"/>
            <w:noWrap/>
            <w:vAlign w:val="bottom"/>
            <w:hideMark/>
          </w:tcPr>
          <w:p w14:paraId="023CE268"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0.06</w:t>
            </w:r>
          </w:p>
        </w:tc>
        <w:tc>
          <w:tcPr>
            <w:tcW w:w="880" w:type="dxa"/>
            <w:tcBorders>
              <w:top w:val="nil"/>
              <w:left w:val="nil"/>
              <w:bottom w:val="single" w:sz="4" w:space="0" w:color="auto"/>
              <w:right w:val="single" w:sz="4" w:space="0" w:color="auto"/>
            </w:tcBorders>
          </w:tcPr>
          <w:p w14:paraId="48EADB7F" w14:textId="77777777" w:rsidR="00567C02" w:rsidRPr="00567C02"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0D48F64D" w14:textId="74F368BB"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79173571" w14:textId="77777777" w:rsidR="00567C02" w:rsidRPr="00977820" w:rsidRDefault="00567C02" w:rsidP="004A09E8">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0A6A2C36"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0.8 Hz</w:t>
            </w:r>
          </w:p>
        </w:tc>
        <w:tc>
          <w:tcPr>
            <w:tcW w:w="900" w:type="dxa"/>
            <w:tcBorders>
              <w:top w:val="nil"/>
              <w:left w:val="nil"/>
              <w:bottom w:val="single" w:sz="4" w:space="0" w:color="auto"/>
              <w:right w:val="single" w:sz="4" w:space="0" w:color="auto"/>
            </w:tcBorders>
            <w:shd w:val="clear" w:color="auto" w:fill="auto"/>
            <w:noWrap/>
            <w:vAlign w:val="bottom"/>
            <w:hideMark/>
          </w:tcPr>
          <w:p w14:paraId="262EC658"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0.04</w:t>
            </w:r>
          </w:p>
        </w:tc>
        <w:tc>
          <w:tcPr>
            <w:tcW w:w="940" w:type="dxa"/>
            <w:vMerge/>
            <w:tcBorders>
              <w:top w:val="nil"/>
              <w:left w:val="single" w:sz="4" w:space="0" w:color="auto"/>
              <w:bottom w:val="single" w:sz="4" w:space="0" w:color="auto"/>
              <w:right w:val="single" w:sz="4" w:space="0" w:color="auto"/>
            </w:tcBorders>
            <w:vAlign w:val="center"/>
            <w:hideMark/>
          </w:tcPr>
          <w:p w14:paraId="6B7BF6AE"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0DB373D0"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0.02</w:t>
            </w:r>
          </w:p>
        </w:tc>
        <w:tc>
          <w:tcPr>
            <w:tcW w:w="820" w:type="dxa"/>
            <w:tcBorders>
              <w:top w:val="nil"/>
              <w:left w:val="nil"/>
              <w:bottom w:val="single" w:sz="4" w:space="0" w:color="auto"/>
              <w:right w:val="single" w:sz="4" w:space="0" w:color="auto"/>
            </w:tcBorders>
            <w:shd w:val="clear" w:color="auto" w:fill="auto"/>
            <w:noWrap/>
            <w:vAlign w:val="bottom"/>
            <w:hideMark/>
          </w:tcPr>
          <w:p w14:paraId="386EBD1E"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1.49</w:t>
            </w:r>
          </w:p>
        </w:tc>
        <w:tc>
          <w:tcPr>
            <w:tcW w:w="880" w:type="dxa"/>
            <w:tcBorders>
              <w:top w:val="nil"/>
              <w:left w:val="nil"/>
              <w:bottom w:val="single" w:sz="4" w:space="0" w:color="auto"/>
              <w:right w:val="single" w:sz="4" w:space="0" w:color="auto"/>
            </w:tcBorders>
            <w:shd w:val="clear" w:color="auto" w:fill="auto"/>
            <w:noWrap/>
            <w:vAlign w:val="bottom"/>
            <w:hideMark/>
          </w:tcPr>
          <w:p w14:paraId="0B59F77A"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0.24</w:t>
            </w:r>
          </w:p>
        </w:tc>
        <w:tc>
          <w:tcPr>
            <w:tcW w:w="880" w:type="dxa"/>
            <w:tcBorders>
              <w:top w:val="nil"/>
              <w:left w:val="nil"/>
              <w:bottom w:val="single" w:sz="4" w:space="0" w:color="auto"/>
              <w:right w:val="single" w:sz="4" w:space="0" w:color="auto"/>
            </w:tcBorders>
          </w:tcPr>
          <w:p w14:paraId="3905C6B8" w14:textId="77777777" w:rsidR="00567C02" w:rsidRPr="00567C02"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484C59A9" w14:textId="2DA55331" w:rsidTr="00567C02">
        <w:trPr>
          <w:trHeight w:val="300"/>
        </w:trPr>
        <w:tc>
          <w:tcPr>
            <w:tcW w:w="1960" w:type="dxa"/>
            <w:vMerge w:val="restart"/>
            <w:tcBorders>
              <w:top w:val="nil"/>
              <w:left w:val="single" w:sz="4" w:space="0" w:color="auto"/>
              <w:bottom w:val="single" w:sz="4" w:space="0" w:color="auto"/>
              <w:right w:val="single" w:sz="4" w:space="0" w:color="auto"/>
            </w:tcBorders>
            <w:shd w:val="clear" w:color="auto" w:fill="auto"/>
            <w:noWrap/>
            <w:hideMark/>
          </w:tcPr>
          <w:p w14:paraId="2C1CC840" w14:textId="77777777" w:rsidR="00567C02" w:rsidRPr="00EE1467" w:rsidRDefault="00567C02" w:rsidP="004A09E8">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Horizontal SP RMSE</w:t>
            </w:r>
          </w:p>
        </w:tc>
        <w:tc>
          <w:tcPr>
            <w:tcW w:w="1145" w:type="dxa"/>
            <w:tcBorders>
              <w:top w:val="nil"/>
              <w:left w:val="nil"/>
              <w:bottom w:val="single" w:sz="4" w:space="0" w:color="auto"/>
              <w:right w:val="single" w:sz="4" w:space="0" w:color="auto"/>
            </w:tcBorders>
            <w:shd w:val="clear" w:color="auto" w:fill="auto"/>
            <w:noWrap/>
            <w:vAlign w:val="bottom"/>
            <w:hideMark/>
          </w:tcPr>
          <w:p w14:paraId="673B0083"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0.2 Hz</w:t>
            </w:r>
          </w:p>
        </w:tc>
        <w:tc>
          <w:tcPr>
            <w:tcW w:w="900" w:type="dxa"/>
            <w:tcBorders>
              <w:top w:val="nil"/>
              <w:left w:val="nil"/>
              <w:bottom w:val="single" w:sz="4" w:space="0" w:color="auto"/>
              <w:right w:val="single" w:sz="4" w:space="0" w:color="auto"/>
            </w:tcBorders>
            <w:shd w:val="clear" w:color="auto" w:fill="auto"/>
            <w:noWrap/>
            <w:vAlign w:val="bottom"/>
            <w:hideMark/>
          </w:tcPr>
          <w:p w14:paraId="5D8F8372"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0.62</w:t>
            </w:r>
          </w:p>
        </w:tc>
        <w:tc>
          <w:tcPr>
            <w:tcW w:w="940" w:type="dxa"/>
            <w:vMerge w:val="restart"/>
            <w:tcBorders>
              <w:top w:val="nil"/>
              <w:left w:val="single" w:sz="4" w:space="0" w:color="auto"/>
              <w:bottom w:val="single" w:sz="4" w:space="0" w:color="auto"/>
              <w:right w:val="single" w:sz="4" w:space="0" w:color="auto"/>
            </w:tcBorders>
            <w:shd w:val="clear" w:color="auto" w:fill="auto"/>
            <w:noWrap/>
            <w:hideMark/>
          </w:tcPr>
          <w:p w14:paraId="65B28ECB" w14:textId="77777777" w:rsidR="00567C02" w:rsidRPr="00EE1467" w:rsidRDefault="00567C02" w:rsidP="00EE1467">
            <w:pPr>
              <w:spacing w:before="0" w:after="0" w:line="240" w:lineRule="auto"/>
              <w:jc w:val="center"/>
              <w:rPr>
                <w:rFonts w:eastAsia="Times New Roman"/>
                <w:color w:val="000000"/>
                <w:sz w:val="22"/>
                <w:szCs w:val="22"/>
                <w:lang w:val="en-MY" w:eastAsia="en-MY"/>
              </w:rPr>
            </w:pPr>
            <w:r w:rsidRPr="00EE1467">
              <w:rPr>
                <w:rFonts w:eastAsia="Times New Roman"/>
                <w:color w:val="000000"/>
                <w:sz w:val="22"/>
                <w:szCs w:val="22"/>
                <w:lang w:val="en-MY" w:eastAsia="en-MY"/>
              </w:rPr>
              <w:t>2,54</w:t>
            </w:r>
          </w:p>
        </w:tc>
        <w:tc>
          <w:tcPr>
            <w:tcW w:w="1320" w:type="dxa"/>
            <w:tcBorders>
              <w:top w:val="nil"/>
              <w:left w:val="nil"/>
              <w:bottom w:val="single" w:sz="4" w:space="0" w:color="auto"/>
              <w:right w:val="single" w:sz="4" w:space="0" w:color="auto"/>
            </w:tcBorders>
            <w:shd w:val="clear" w:color="auto" w:fill="auto"/>
            <w:noWrap/>
            <w:vAlign w:val="bottom"/>
            <w:hideMark/>
          </w:tcPr>
          <w:p w14:paraId="0E1CEE8C"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0.31</w:t>
            </w:r>
          </w:p>
        </w:tc>
        <w:tc>
          <w:tcPr>
            <w:tcW w:w="820" w:type="dxa"/>
            <w:tcBorders>
              <w:top w:val="nil"/>
              <w:left w:val="nil"/>
              <w:bottom w:val="single" w:sz="4" w:space="0" w:color="auto"/>
              <w:right w:val="single" w:sz="4" w:space="0" w:color="auto"/>
            </w:tcBorders>
            <w:shd w:val="clear" w:color="auto" w:fill="auto"/>
            <w:noWrap/>
            <w:vAlign w:val="bottom"/>
            <w:hideMark/>
          </w:tcPr>
          <w:p w14:paraId="06F81A73"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4.22</w:t>
            </w:r>
          </w:p>
        </w:tc>
        <w:tc>
          <w:tcPr>
            <w:tcW w:w="880" w:type="dxa"/>
            <w:tcBorders>
              <w:top w:val="nil"/>
              <w:left w:val="nil"/>
              <w:bottom w:val="single" w:sz="4" w:space="0" w:color="auto"/>
              <w:right w:val="single" w:sz="4" w:space="0" w:color="auto"/>
            </w:tcBorders>
            <w:shd w:val="clear" w:color="auto" w:fill="auto"/>
            <w:noWrap/>
            <w:vAlign w:val="bottom"/>
            <w:hideMark/>
          </w:tcPr>
          <w:p w14:paraId="771B59FB"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0.02*</w:t>
            </w:r>
          </w:p>
        </w:tc>
        <w:tc>
          <w:tcPr>
            <w:tcW w:w="880" w:type="dxa"/>
            <w:tcBorders>
              <w:top w:val="nil"/>
              <w:left w:val="nil"/>
              <w:bottom w:val="single" w:sz="4" w:space="0" w:color="auto"/>
              <w:right w:val="single" w:sz="4" w:space="0" w:color="auto"/>
            </w:tcBorders>
          </w:tcPr>
          <w:p w14:paraId="3A754A2E" w14:textId="77777777" w:rsidR="00567C02" w:rsidRPr="00EE1467" w:rsidRDefault="00567C02" w:rsidP="00EE1467">
            <w:pPr>
              <w:spacing w:before="0" w:after="0" w:line="240" w:lineRule="auto"/>
              <w:jc w:val="left"/>
              <w:rPr>
                <w:rFonts w:eastAsia="Times New Roman"/>
                <w:color w:val="000000"/>
                <w:sz w:val="22"/>
                <w:szCs w:val="22"/>
                <w:lang w:val="en-MY" w:eastAsia="en-MY"/>
              </w:rPr>
            </w:pPr>
          </w:p>
        </w:tc>
      </w:tr>
      <w:tr w:rsidR="00567C02" w:rsidRPr="00EE1467" w14:paraId="689632DC" w14:textId="40AB9636"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1CF1C698" w14:textId="77777777" w:rsidR="00567C02" w:rsidRPr="00977820" w:rsidRDefault="00567C02" w:rsidP="004A09E8">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025C6627"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0.4 Hz</w:t>
            </w:r>
          </w:p>
        </w:tc>
        <w:tc>
          <w:tcPr>
            <w:tcW w:w="900" w:type="dxa"/>
            <w:tcBorders>
              <w:top w:val="nil"/>
              <w:left w:val="nil"/>
              <w:bottom w:val="single" w:sz="4" w:space="0" w:color="auto"/>
              <w:right w:val="single" w:sz="4" w:space="0" w:color="auto"/>
            </w:tcBorders>
            <w:shd w:val="clear" w:color="auto" w:fill="auto"/>
            <w:noWrap/>
            <w:vAlign w:val="bottom"/>
            <w:hideMark/>
          </w:tcPr>
          <w:p w14:paraId="2DC78ABC"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0.85</w:t>
            </w:r>
          </w:p>
        </w:tc>
        <w:tc>
          <w:tcPr>
            <w:tcW w:w="940" w:type="dxa"/>
            <w:vMerge/>
            <w:tcBorders>
              <w:top w:val="nil"/>
              <w:left w:val="single" w:sz="4" w:space="0" w:color="auto"/>
              <w:bottom w:val="single" w:sz="4" w:space="0" w:color="auto"/>
              <w:right w:val="single" w:sz="4" w:space="0" w:color="auto"/>
            </w:tcBorders>
            <w:vAlign w:val="center"/>
            <w:hideMark/>
          </w:tcPr>
          <w:p w14:paraId="5B221A5A"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4659C730"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0.43</w:t>
            </w:r>
          </w:p>
        </w:tc>
        <w:tc>
          <w:tcPr>
            <w:tcW w:w="820" w:type="dxa"/>
            <w:tcBorders>
              <w:top w:val="nil"/>
              <w:left w:val="nil"/>
              <w:bottom w:val="single" w:sz="4" w:space="0" w:color="auto"/>
              <w:right w:val="single" w:sz="4" w:space="0" w:color="auto"/>
            </w:tcBorders>
            <w:shd w:val="clear" w:color="auto" w:fill="auto"/>
            <w:noWrap/>
            <w:vAlign w:val="bottom"/>
            <w:hideMark/>
          </w:tcPr>
          <w:p w14:paraId="7D3B43C4"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4.13</w:t>
            </w:r>
          </w:p>
        </w:tc>
        <w:tc>
          <w:tcPr>
            <w:tcW w:w="880" w:type="dxa"/>
            <w:tcBorders>
              <w:top w:val="nil"/>
              <w:left w:val="nil"/>
              <w:bottom w:val="single" w:sz="4" w:space="0" w:color="auto"/>
              <w:right w:val="single" w:sz="4" w:space="0" w:color="auto"/>
            </w:tcBorders>
            <w:shd w:val="clear" w:color="auto" w:fill="auto"/>
            <w:noWrap/>
            <w:vAlign w:val="bottom"/>
            <w:hideMark/>
          </w:tcPr>
          <w:p w14:paraId="65A3B368"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0.02*</w:t>
            </w:r>
          </w:p>
        </w:tc>
        <w:tc>
          <w:tcPr>
            <w:tcW w:w="880" w:type="dxa"/>
            <w:tcBorders>
              <w:top w:val="nil"/>
              <w:left w:val="nil"/>
              <w:bottom w:val="single" w:sz="4" w:space="0" w:color="auto"/>
              <w:right w:val="single" w:sz="4" w:space="0" w:color="auto"/>
            </w:tcBorders>
          </w:tcPr>
          <w:p w14:paraId="11AE64BF" w14:textId="77777777" w:rsidR="00567C02" w:rsidRPr="00567C02" w:rsidRDefault="00567C02" w:rsidP="00EE1467">
            <w:pPr>
              <w:spacing w:before="0" w:after="0" w:line="240" w:lineRule="auto"/>
              <w:jc w:val="left"/>
              <w:rPr>
                <w:rFonts w:eastAsia="Times New Roman"/>
                <w:color w:val="000000"/>
                <w:sz w:val="22"/>
                <w:szCs w:val="22"/>
                <w:lang w:val="en-MY" w:eastAsia="en-MY"/>
              </w:rPr>
            </w:pPr>
          </w:p>
        </w:tc>
      </w:tr>
      <w:tr w:rsidR="00567C02" w:rsidRPr="00EE1467" w14:paraId="6AB86F91" w14:textId="6A5B9FAB"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65A3E0C6" w14:textId="77777777" w:rsidR="00567C02" w:rsidRPr="00977820" w:rsidRDefault="00567C02" w:rsidP="004A09E8">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5AF2ED69"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0.6 Hz</w:t>
            </w:r>
          </w:p>
        </w:tc>
        <w:tc>
          <w:tcPr>
            <w:tcW w:w="900" w:type="dxa"/>
            <w:tcBorders>
              <w:top w:val="nil"/>
              <w:left w:val="nil"/>
              <w:bottom w:val="single" w:sz="4" w:space="0" w:color="auto"/>
              <w:right w:val="single" w:sz="4" w:space="0" w:color="auto"/>
            </w:tcBorders>
            <w:shd w:val="clear" w:color="auto" w:fill="auto"/>
            <w:noWrap/>
            <w:vAlign w:val="bottom"/>
            <w:hideMark/>
          </w:tcPr>
          <w:p w14:paraId="348ABB0C"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0.82</w:t>
            </w:r>
          </w:p>
        </w:tc>
        <w:tc>
          <w:tcPr>
            <w:tcW w:w="940" w:type="dxa"/>
            <w:vMerge/>
            <w:tcBorders>
              <w:top w:val="nil"/>
              <w:left w:val="single" w:sz="4" w:space="0" w:color="auto"/>
              <w:bottom w:val="single" w:sz="4" w:space="0" w:color="auto"/>
              <w:right w:val="single" w:sz="4" w:space="0" w:color="auto"/>
            </w:tcBorders>
            <w:vAlign w:val="center"/>
            <w:hideMark/>
          </w:tcPr>
          <w:p w14:paraId="49369666"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4E349521"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0.41</w:t>
            </w:r>
          </w:p>
        </w:tc>
        <w:tc>
          <w:tcPr>
            <w:tcW w:w="820" w:type="dxa"/>
            <w:tcBorders>
              <w:top w:val="nil"/>
              <w:left w:val="nil"/>
              <w:bottom w:val="single" w:sz="4" w:space="0" w:color="auto"/>
              <w:right w:val="single" w:sz="4" w:space="0" w:color="auto"/>
            </w:tcBorders>
            <w:shd w:val="clear" w:color="auto" w:fill="auto"/>
            <w:noWrap/>
            <w:vAlign w:val="bottom"/>
            <w:hideMark/>
          </w:tcPr>
          <w:p w14:paraId="5249F72B"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4.07</w:t>
            </w:r>
          </w:p>
        </w:tc>
        <w:tc>
          <w:tcPr>
            <w:tcW w:w="880" w:type="dxa"/>
            <w:tcBorders>
              <w:top w:val="nil"/>
              <w:left w:val="nil"/>
              <w:bottom w:val="single" w:sz="4" w:space="0" w:color="auto"/>
              <w:right w:val="single" w:sz="4" w:space="0" w:color="auto"/>
            </w:tcBorders>
            <w:shd w:val="clear" w:color="auto" w:fill="auto"/>
            <w:noWrap/>
            <w:vAlign w:val="bottom"/>
            <w:hideMark/>
          </w:tcPr>
          <w:p w14:paraId="7A9C00D6"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0.02*</w:t>
            </w:r>
          </w:p>
        </w:tc>
        <w:tc>
          <w:tcPr>
            <w:tcW w:w="880" w:type="dxa"/>
            <w:tcBorders>
              <w:top w:val="nil"/>
              <w:left w:val="nil"/>
              <w:bottom w:val="single" w:sz="4" w:space="0" w:color="auto"/>
              <w:right w:val="single" w:sz="4" w:space="0" w:color="auto"/>
            </w:tcBorders>
          </w:tcPr>
          <w:p w14:paraId="58094A5F" w14:textId="77777777" w:rsidR="00567C02" w:rsidRPr="00567C02" w:rsidRDefault="00567C02" w:rsidP="00EE1467">
            <w:pPr>
              <w:spacing w:before="0" w:after="0" w:line="240" w:lineRule="auto"/>
              <w:jc w:val="left"/>
              <w:rPr>
                <w:rFonts w:eastAsia="Times New Roman"/>
                <w:color w:val="000000"/>
                <w:sz w:val="22"/>
                <w:szCs w:val="22"/>
                <w:lang w:val="en-MY" w:eastAsia="en-MY"/>
              </w:rPr>
            </w:pPr>
          </w:p>
        </w:tc>
      </w:tr>
      <w:tr w:rsidR="00567C02" w:rsidRPr="00EE1467" w14:paraId="51A2480E" w14:textId="777703E3"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1C83B7CD" w14:textId="77777777" w:rsidR="00567C02" w:rsidRPr="00977820" w:rsidRDefault="00567C02" w:rsidP="004A09E8">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042EEC92"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0.8 Hz</w:t>
            </w:r>
          </w:p>
        </w:tc>
        <w:tc>
          <w:tcPr>
            <w:tcW w:w="900" w:type="dxa"/>
            <w:tcBorders>
              <w:top w:val="nil"/>
              <w:left w:val="nil"/>
              <w:bottom w:val="single" w:sz="4" w:space="0" w:color="auto"/>
              <w:right w:val="single" w:sz="4" w:space="0" w:color="auto"/>
            </w:tcBorders>
            <w:shd w:val="clear" w:color="auto" w:fill="auto"/>
            <w:noWrap/>
            <w:vAlign w:val="bottom"/>
            <w:hideMark/>
          </w:tcPr>
          <w:p w14:paraId="17366041"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0.14</w:t>
            </w:r>
          </w:p>
        </w:tc>
        <w:tc>
          <w:tcPr>
            <w:tcW w:w="940" w:type="dxa"/>
            <w:vMerge/>
            <w:tcBorders>
              <w:top w:val="nil"/>
              <w:left w:val="single" w:sz="4" w:space="0" w:color="auto"/>
              <w:bottom w:val="single" w:sz="4" w:space="0" w:color="auto"/>
              <w:right w:val="single" w:sz="4" w:space="0" w:color="auto"/>
            </w:tcBorders>
            <w:vAlign w:val="center"/>
            <w:hideMark/>
          </w:tcPr>
          <w:p w14:paraId="1C174E78"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452A158E"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0.07</w:t>
            </w:r>
          </w:p>
        </w:tc>
        <w:tc>
          <w:tcPr>
            <w:tcW w:w="820" w:type="dxa"/>
            <w:tcBorders>
              <w:top w:val="nil"/>
              <w:left w:val="nil"/>
              <w:bottom w:val="single" w:sz="4" w:space="0" w:color="auto"/>
              <w:right w:val="single" w:sz="4" w:space="0" w:color="auto"/>
            </w:tcBorders>
            <w:shd w:val="clear" w:color="auto" w:fill="auto"/>
            <w:noWrap/>
            <w:vAlign w:val="bottom"/>
            <w:hideMark/>
          </w:tcPr>
          <w:p w14:paraId="7A89B8C2"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0.71</w:t>
            </w:r>
          </w:p>
        </w:tc>
        <w:tc>
          <w:tcPr>
            <w:tcW w:w="880" w:type="dxa"/>
            <w:tcBorders>
              <w:top w:val="nil"/>
              <w:left w:val="nil"/>
              <w:bottom w:val="single" w:sz="4" w:space="0" w:color="auto"/>
              <w:right w:val="single" w:sz="4" w:space="0" w:color="auto"/>
            </w:tcBorders>
            <w:shd w:val="clear" w:color="auto" w:fill="auto"/>
            <w:noWrap/>
            <w:vAlign w:val="bottom"/>
            <w:hideMark/>
          </w:tcPr>
          <w:p w14:paraId="1081D1F5"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0.50</w:t>
            </w:r>
          </w:p>
        </w:tc>
        <w:tc>
          <w:tcPr>
            <w:tcW w:w="880" w:type="dxa"/>
            <w:tcBorders>
              <w:top w:val="nil"/>
              <w:left w:val="nil"/>
              <w:bottom w:val="single" w:sz="4" w:space="0" w:color="auto"/>
              <w:right w:val="single" w:sz="4" w:space="0" w:color="auto"/>
            </w:tcBorders>
          </w:tcPr>
          <w:p w14:paraId="2BDD1274" w14:textId="77777777" w:rsidR="00567C02" w:rsidRPr="00567C02"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274165D9" w14:textId="5B19B0B3" w:rsidTr="00567C02">
        <w:trPr>
          <w:trHeight w:val="300"/>
        </w:trPr>
        <w:tc>
          <w:tcPr>
            <w:tcW w:w="1960" w:type="dxa"/>
            <w:vMerge w:val="restart"/>
            <w:tcBorders>
              <w:top w:val="nil"/>
              <w:left w:val="single" w:sz="4" w:space="0" w:color="auto"/>
              <w:bottom w:val="single" w:sz="4" w:space="0" w:color="auto"/>
              <w:right w:val="single" w:sz="4" w:space="0" w:color="auto"/>
            </w:tcBorders>
            <w:shd w:val="clear" w:color="auto" w:fill="auto"/>
            <w:hideMark/>
          </w:tcPr>
          <w:p w14:paraId="0D28A572" w14:textId="77777777" w:rsidR="00567C02" w:rsidRPr="00EE1467" w:rsidRDefault="00567C02" w:rsidP="004A09E8">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Horizontal SP duration</w:t>
            </w:r>
          </w:p>
        </w:tc>
        <w:tc>
          <w:tcPr>
            <w:tcW w:w="1145" w:type="dxa"/>
            <w:tcBorders>
              <w:top w:val="nil"/>
              <w:left w:val="nil"/>
              <w:bottom w:val="single" w:sz="4" w:space="0" w:color="auto"/>
              <w:right w:val="single" w:sz="4" w:space="0" w:color="auto"/>
            </w:tcBorders>
            <w:shd w:val="clear" w:color="auto" w:fill="auto"/>
            <w:noWrap/>
            <w:vAlign w:val="bottom"/>
            <w:hideMark/>
          </w:tcPr>
          <w:p w14:paraId="6B5FC7F9"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0.2 Hz</w:t>
            </w:r>
          </w:p>
        </w:tc>
        <w:tc>
          <w:tcPr>
            <w:tcW w:w="900" w:type="dxa"/>
            <w:tcBorders>
              <w:top w:val="nil"/>
              <w:left w:val="nil"/>
              <w:bottom w:val="single" w:sz="4" w:space="0" w:color="auto"/>
              <w:right w:val="single" w:sz="4" w:space="0" w:color="auto"/>
            </w:tcBorders>
            <w:shd w:val="clear" w:color="auto" w:fill="auto"/>
            <w:noWrap/>
            <w:vAlign w:val="bottom"/>
            <w:hideMark/>
          </w:tcPr>
          <w:p w14:paraId="54879930"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388213</w:t>
            </w:r>
          </w:p>
        </w:tc>
        <w:tc>
          <w:tcPr>
            <w:tcW w:w="940" w:type="dxa"/>
            <w:vMerge w:val="restart"/>
            <w:tcBorders>
              <w:top w:val="nil"/>
              <w:left w:val="single" w:sz="4" w:space="0" w:color="auto"/>
              <w:bottom w:val="single" w:sz="4" w:space="0" w:color="auto"/>
              <w:right w:val="single" w:sz="4" w:space="0" w:color="auto"/>
            </w:tcBorders>
            <w:shd w:val="clear" w:color="auto" w:fill="auto"/>
            <w:noWrap/>
            <w:hideMark/>
          </w:tcPr>
          <w:p w14:paraId="710C987B" w14:textId="77777777" w:rsidR="00567C02" w:rsidRPr="00EE1467" w:rsidRDefault="00567C02" w:rsidP="00EE1467">
            <w:pPr>
              <w:spacing w:before="0" w:after="0" w:line="240" w:lineRule="auto"/>
              <w:jc w:val="center"/>
              <w:rPr>
                <w:rFonts w:eastAsia="Times New Roman"/>
                <w:color w:val="000000"/>
                <w:sz w:val="22"/>
                <w:szCs w:val="22"/>
                <w:lang w:val="en-MY" w:eastAsia="en-MY"/>
              </w:rPr>
            </w:pPr>
            <w:r w:rsidRPr="00EE1467">
              <w:rPr>
                <w:rFonts w:eastAsia="Times New Roman"/>
                <w:color w:val="000000"/>
                <w:sz w:val="22"/>
                <w:szCs w:val="22"/>
                <w:lang w:val="en-MY" w:eastAsia="en-MY"/>
              </w:rPr>
              <w:t>2,54</w:t>
            </w:r>
          </w:p>
        </w:tc>
        <w:tc>
          <w:tcPr>
            <w:tcW w:w="1320" w:type="dxa"/>
            <w:tcBorders>
              <w:top w:val="nil"/>
              <w:left w:val="nil"/>
              <w:bottom w:val="single" w:sz="4" w:space="0" w:color="auto"/>
              <w:right w:val="single" w:sz="4" w:space="0" w:color="auto"/>
            </w:tcBorders>
            <w:shd w:val="clear" w:color="auto" w:fill="auto"/>
            <w:noWrap/>
            <w:vAlign w:val="bottom"/>
            <w:hideMark/>
          </w:tcPr>
          <w:p w14:paraId="0B42A2EB"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194107</w:t>
            </w:r>
          </w:p>
        </w:tc>
        <w:tc>
          <w:tcPr>
            <w:tcW w:w="820" w:type="dxa"/>
            <w:tcBorders>
              <w:top w:val="nil"/>
              <w:left w:val="nil"/>
              <w:bottom w:val="single" w:sz="4" w:space="0" w:color="auto"/>
              <w:right w:val="single" w:sz="4" w:space="0" w:color="auto"/>
            </w:tcBorders>
            <w:shd w:val="clear" w:color="auto" w:fill="auto"/>
            <w:noWrap/>
            <w:vAlign w:val="bottom"/>
            <w:hideMark/>
          </w:tcPr>
          <w:p w14:paraId="1670CB25" w14:textId="77777777" w:rsidR="00567C02" w:rsidRPr="00EE1467" w:rsidRDefault="00567C02" w:rsidP="00EE1467">
            <w:pPr>
              <w:spacing w:before="0" w:after="0" w:line="240" w:lineRule="auto"/>
              <w:jc w:val="right"/>
              <w:rPr>
                <w:rFonts w:eastAsia="Times New Roman"/>
                <w:color w:val="000000"/>
                <w:sz w:val="22"/>
                <w:szCs w:val="22"/>
                <w:lang w:val="en-MY" w:eastAsia="en-MY"/>
              </w:rPr>
            </w:pPr>
            <w:r w:rsidRPr="00EE1467">
              <w:rPr>
                <w:rFonts w:eastAsia="Times New Roman"/>
                <w:color w:val="000000"/>
                <w:sz w:val="22"/>
                <w:szCs w:val="22"/>
                <w:lang w:val="en-MY" w:eastAsia="en-MY"/>
              </w:rPr>
              <w:t>9.639</w:t>
            </w:r>
          </w:p>
        </w:tc>
        <w:tc>
          <w:tcPr>
            <w:tcW w:w="880" w:type="dxa"/>
            <w:tcBorders>
              <w:top w:val="nil"/>
              <w:left w:val="nil"/>
              <w:bottom w:val="single" w:sz="4" w:space="0" w:color="auto"/>
              <w:right w:val="single" w:sz="4" w:space="0" w:color="auto"/>
            </w:tcBorders>
            <w:shd w:val="clear" w:color="auto" w:fill="auto"/>
            <w:noWrap/>
            <w:vAlign w:val="bottom"/>
            <w:hideMark/>
          </w:tcPr>
          <w:p w14:paraId="002DFFA5" w14:textId="77777777" w:rsidR="00567C02" w:rsidRPr="00EE1467" w:rsidRDefault="00567C02" w:rsidP="00EE1467">
            <w:pPr>
              <w:spacing w:before="0" w:after="0" w:line="240" w:lineRule="auto"/>
              <w:jc w:val="left"/>
              <w:rPr>
                <w:rFonts w:eastAsia="Times New Roman"/>
                <w:color w:val="000000"/>
                <w:sz w:val="22"/>
                <w:szCs w:val="22"/>
                <w:lang w:val="en-MY" w:eastAsia="en-MY"/>
              </w:rPr>
            </w:pPr>
            <w:r w:rsidRPr="00EE1467">
              <w:rPr>
                <w:rFonts w:eastAsia="Times New Roman"/>
                <w:color w:val="000000"/>
                <w:sz w:val="22"/>
                <w:szCs w:val="22"/>
                <w:lang w:val="en-MY" w:eastAsia="en-MY"/>
              </w:rPr>
              <w:t>&lt;0.01*</w:t>
            </w:r>
          </w:p>
        </w:tc>
        <w:tc>
          <w:tcPr>
            <w:tcW w:w="880" w:type="dxa"/>
            <w:tcBorders>
              <w:top w:val="nil"/>
              <w:left w:val="nil"/>
              <w:bottom w:val="single" w:sz="4" w:space="0" w:color="auto"/>
              <w:right w:val="single" w:sz="4" w:space="0" w:color="auto"/>
            </w:tcBorders>
          </w:tcPr>
          <w:p w14:paraId="039CA497" w14:textId="77777777" w:rsidR="00567C02" w:rsidRPr="00EE1467" w:rsidRDefault="00567C02" w:rsidP="00EE1467">
            <w:pPr>
              <w:spacing w:before="0" w:after="0" w:line="240" w:lineRule="auto"/>
              <w:jc w:val="left"/>
              <w:rPr>
                <w:rFonts w:eastAsia="Times New Roman"/>
                <w:color w:val="000000"/>
                <w:sz w:val="22"/>
                <w:szCs w:val="22"/>
                <w:lang w:val="en-MY" w:eastAsia="en-MY"/>
              </w:rPr>
            </w:pPr>
          </w:p>
        </w:tc>
      </w:tr>
      <w:tr w:rsidR="00567C02" w:rsidRPr="00EE1467" w14:paraId="3EC520AA" w14:textId="2B62D500"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600FECDF"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5DFF0C3D"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0.4 Hz</w:t>
            </w:r>
          </w:p>
        </w:tc>
        <w:tc>
          <w:tcPr>
            <w:tcW w:w="900" w:type="dxa"/>
            <w:tcBorders>
              <w:top w:val="nil"/>
              <w:left w:val="nil"/>
              <w:bottom w:val="single" w:sz="4" w:space="0" w:color="auto"/>
              <w:right w:val="single" w:sz="4" w:space="0" w:color="auto"/>
            </w:tcBorders>
            <w:shd w:val="clear" w:color="auto" w:fill="auto"/>
            <w:noWrap/>
            <w:vAlign w:val="bottom"/>
            <w:hideMark/>
          </w:tcPr>
          <w:p w14:paraId="1C856936"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72704</w:t>
            </w:r>
          </w:p>
        </w:tc>
        <w:tc>
          <w:tcPr>
            <w:tcW w:w="940" w:type="dxa"/>
            <w:vMerge/>
            <w:tcBorders>
              <w:top w:val="nil"/>
              <w:left w:val="single" w:sz="4" w:space="0" w:color="auto"/>
              <w:bottom w:val="single" w:sz="4" w:space="0" w:color="auto"/>
              <w:right w:val="single" w:sz="4" w:space="0" w:color="auto"/>
            </w:tcBorders>
            <w:vAlign w:val="center"/>
            <w:hideMark/>
          </w:tcPr>
          <w:p w14:paraId="4522096B"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45D02EAE"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36352</w:t>
            </w:r>
          </w:p>
        </w:tc>
        <w:tc>
          <w:tcPr>
            <w:tcW w:w="820" w:type="dxa"/>
            <w:tcBorders>
              <w:top w:val="nil"/>
              <w:left w:val="nil"/>
              <w:bottom w:val="single" w:sz="4" w:space="0" w:color="auto"/>
              <w:right w:val="single" w:sz="4" w:space="0" w:color="auto"/>
            </w:tcBorders>
            <w:shd w:val="clear" w:color="auto" w:fill="auto"/>
            <w:noWrap/>
            <w:vAlign w:val="bottom"/>
            <w:hideMark/>
          </w:tcPr>
          <w:p w14:paraId="5E9B96C3"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2.011</w:t>
            </w:r>
          </w:p>
        </w:tc>
        <w:tc>
          <w:tcPr>
            <w:tcW w:w="880" w:type="dxa"/>
            <w:tcBorders>
              <w:top w:val="nil"/>
              <w:left w:val="nil"/>
              <w:bottom w:val="single" w:sz="4" w:space="0" w:color="auto"/>
              <w:right w:val="single" w:sz="4" w:space="0" w:color="auto"/>
            </w:tcBorders>
            <w:shd w:val="clear" w:color="auto" w:fill="auto"/>
            <w:noWrap/>
            <w:vAlign w:val="bottom"/>
            <w:hideMark/>
          </w:tcPr>
          <w:p w14:paraId="11F3909B"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0.14</w:t>
            </w:r>
          </w:p>
        </w:tc>
        <w:tc>
          <w:tcPr>
            <w:tcW w:w="880" w:type="dxa"/>
            <w:tcBorders>
              <w:top w:val="nil"/>
              <w:left w:val="nil"/>
              <w:bottom w:val="single" w:sz="4" w:space="0" w:color="auto"/>
              <w:right w:val="single" w:sz="4" w:space="0" w:color="auto"/>
            </w:tcBorders>
          </w:tcPr>
          <w:p w14:paraId="099237EC" w14:textId="77777777" w:rsidR="00567C02" w:rsidRPr="00567C02"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0C4F9892" w14:textId="497800D2"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296D319A"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5D14AECB"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0.6 Hz</w:t>
            </w:r>
          </w:p>
        </w:tc>
        <w:tc>
          <w:tcPr>
            <w:tcW w:w="900" w:type="dxa"/>
            <w:tcBorders>
              <w:top w:val="nil"/>
              <w:left w:val="nil"/>
              <w:bottom w:val="single" w:sz="4" w:space="0" w:color="auto"/>
              <w:right w:val="single" w:sz="4" w:space="0" w:color="auto"/>
            </w:tcBorders>
            <w:shd w:val="clear" w:color="auto" w:fill="auto"/>
            <w:noWrap/>
            <w:vAlign w:val="bottom"/>
            <w:hideMark/>
          </w:tcPr>
          <w:p w14:paraId="7D829761"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4414</w:t>
            </w:r>
          </w:p>
        </w:tc>
        <w:tc>
          <w:tcPr>
            <w:tcW w:w="940" w:type="dxa"/>
            <w:vMerge/>
            <w:tcBorders>
              <w:top w:val="nil"/>
              <w:left w:val="single" w:sz="4" w:space="0" w:color="auto"/>
              <w:bottom w:val="single" w:sz="4" w:space="0" w:color="auto"/>
              <w:right w:val="single" w:sz="4" w:space="0" w:color="auto"/>
            </w:tcBorders>
            <w:vAlign w:val="center"/>
            <w:hideMark/>
          </w:tcPr>
          <w:p w14:paraId="15F66B30"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297AC929"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2207</w:t>
            </w:r>
          </w:p>
        </w:tc>
        <w:tc>
          <w:tcPr>
            <w:tcW w:w="820" w:type="dxa"/>
            <w:tcBorders>
              <w:top w:val="nil"/>
              <w:left w:val="nil"/>
              <w:bottom w:val="single" w:sz="4" w:space="0" w:color="auto"/>
              <w:right w:val="single" w:sz="4" w:space="0" w:color="auto"/>
            </w:tcBorders>
            <w:shd w:val="clear" w:color="auto" w:fill="auto"/>
            <w:noWrap/>
            <w:vAlign w:val="bottom"/>
            <w:hideMark/>
          </w:tcPr>
          <w:p w14:paraId="6683F0A0"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0.526</w:t>
            </w:r>
          </w:p>
        </w:tc>
        <w:tc>
          <w:tcPr>
            <w:tcW w:w="880" w:type="dxa"/>
            <w:tcBorders>
              <w:top w:val="nil"/>
              <w:left w:val="nil"/>
              <w:bottom w:val="single" w:sz="4" w:space="0" w:color="auto"/>
              <w:right w:val="single" w:sz="4" w:space="0" w:color="auto"/>
            </w:tcBorders>
            <w:shd w:val="clear" w:color="auto" w:fill="auto"/>
            <w:noWrap/>
            <w:vAlign w:val="bottom"/>
            <w:hideMark/>
          </w:tcPr>
          <w:p w14:paraId="6EB315F2"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0.59</w:t>
            </w:r>
          </w:p>
        </w:tc>
        <w:tc>
          <w:tcPr>
            <w:tcW w:w="880" w:type="dxa"/>
            <w:tcBorders>
              <w:top w:val="nil"/>
              <w:left w:val="nil"/>
              <w:bottom w:val="single" w:sz="4" w:space="0" w:color="auto"/>
              <w:right w:val="single" w:sz="4" w:space="0" w:color="auto"/>
            </w:tcBorders>
          </w:tcPr>
          <w:p w14:paraId="1BC458F3" w14:textId="77777777" w:rsidR="00567C02" w:rsidRPr="00567C02" w:rsidRDefault="00567C02" w:rsidP="00EE1467">
            <w:pPr>
              <w:spacing w:before="0" w:after="0" w:line="240" w:lineRule="auto"/>
              <w:jc w:val="right"/>
              <w:rPr>
                <w:rFonts w:eastAsia="Times New Roman"/>
                <w:color w:val="000000"/>
                <w:sz w:val="22"/>
                <w:szCs w:val="22"/>
                <w:lang w:val="en-MY" w:eastAsia="en-MY"/>
              </w:rPr>
            </w:pPr>
          </w:p>
        </w:tc>
      </w:tr>
      <w:tr w:rsidR="00567C02" w:rsidRPr="00EE1467" w14:paraId="00954F25" w14:textId="569521E4" w:rsidTr="00567C02">
        <w:trPr>
          <w:trHeight w:val="300"/>
        </w:trPr>
        <w:tc>
          <w:tcPr>
            <w:tcW w:w="1960" w:type="dxa"/>
            <w:vMerge/>
            <w:tcBorders>
              <w:top w:val="nil"/>
              <w:left w:val="single" w:sz="4" w:space="0" w:color="auto"/>
              <w:bottom w:val="single" w:sz="4" w:space="0" w:color="auto"/>
              <w:right w:val="single" w:sz="4" w:space="0" w:color="auto"/>
            </w:tcBorders>
            <w:vAlign w:val="center"/>
            <w:hideMark/>
          </w:tcPr>
          <w:p w14:paraId="149C4AB8"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4AEB37D4"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0.8 Hz</w:t>
            </w:r>
          </w:p>
        </w:tc>
        <w:tc>
          <w:tcPr>
            <w:tcW w:w="900" w:type="dxa"/>
            <w:tcBorders>
              <w:top w:val="nil"/>
              <w:left w:val="nil"/>
              <w:bottom w:val="single" w:sz="4" w:space="0" w:color="auto"/>
              <w:right w:val="single" w:sz="4" w:space="0" w:color="auto"/>
            </w:tcBorders>
            <w:shd w:val="clear" w:color="auto" w:fill="auto"/>
            <w:noWrap/>
            <w:vAlign w:val="bottom"/>
            <w:hideMark/>
          </w:tcPr>
          <w:p w14:paraId="3CC9A8B1"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24446</w:t>
            </w:r>
          </w:p>
        </w:tc>
        <w:tc>
          <w:tcPr>
            <w:tcW w:w="940" w:type="dxa"/>
            <w:vMerge/>
            <w:tcBorders>
              <w:top w:val="nil"/>
              <w:left w:val="single" w:sz="4" w:space="0" w:color="auto"/>
              <w:bottom w:val="single" w:sz="4" w:space="0" w:color="auto"/>
              <w:right w:val="single" w:sz="4" w:space="0" w:color="auto"/>
            </w:tcBorders>
            <w:vAlign w:val="center"/>
            <w:hideMark/>
          </w:tcPr>
          <w:p w14:paraId="1F595EA0" w14:textId="77777777" w:rsidR="00567C02" w:rsidRPr="00977820" w:rsidRDefault="00567C02" w:rsidP="00EE1467">
            <w:pPr>
              <w:spacing w:before="0" w:after="0" w:line="240" w:lineRule="auto"/>
              <w:jc w:val="left"/>
              <w:rPr>
                <w:rFonts w:eastAsia="Times New Roman"/>
                <w:color w:val="000000"/>
                <w:sz w:val="22"/>
                <w:szCs w:val="22"/>
                <w:lang w:val="en-MY" w:eastAsia="en-MY"/>
              </w:rPr>
            </w:pPr>
          </w:p>
        </w:tc>
        <w:tc>
          <w:tcPr>
            <w:tcW w:w="1320" w:type="dxa"/>
            <w:tcBorders>
              <w:top w:val="nil"/>
              <w:left w:val="nil"/>
              <w:bottom w:val="single" w:sz="4" w:space="0" w:color="auto"/>
              <w:right w:val="single" w:sz="4" w:space="0" w:color="auto"/>
            </w:tcBorders>
            <w:shd w:val="clear" w:color="auto" w:fill="auto"/>
            <w:noWrap/>
            <w:vAlign w:val="bottom"/>
            <w:hideMark/>
          </w:tcPr>
          <w:p w14:paraId="428FEF2D"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12223</w:t>
            </w:r>
          </w:p>
        </w:tc>
        <w:tc>
          <w:tcPr>
            <w:tcW w:w="820" w:type="dxa"/>
            <w:tcBorders>
              <w:top w:val="nil"/>
              <w:left w:val="nil"/>
              <w:bottom w:val="single" w:sz="4" w:space="0" w:color="auto"/>
              <w:right w:val="single" w:sz="4" w:space="0" w:color="auto"/>
            </w:tcBorders>
            <w:shd w:val="clear" w:color="auto" w:fill="auto"/>
            <w:noWrap/>
            <w:vAlign w:val="bottom"/>
            <w:hideMark/>
          </w:tcPr>
          <w:p w14:paraId="26D75D07" w14:textId="77777777" w:rsidR="00567C02" w:rsidRPr="00977820" w:rsidRDefault="00567C02" w:rsidP="00EE1467">
            <w:pPr>
              <w:spacing w:before="0" w:after="0" w:line="240" w:lineRule="auto"/>
              <w:jc w:val="right"/>
              <w:rPr>
                <w:rFonts w:eastAsia="Times New Roman"/>
                <w:color w:val="000000"/>
                <w:sz w:val="22"/>
                <w:szCs w:val="22"/>
                <w:lang w:val="en-MY" w:eastAsia="en-MY"/>
              </w:rPr>
            </w:pPr>
            <w:r w:rsidRPr="00977820">
              <w:rPr>
                <w:rFonts w:eastAsia="Times New Roman"/>
                <w:color w:val="000000"/>
                <w:sz w:val="22"/>
                <w:szCs w:val="22"/>
                <w:lang w:val="en-MY" w:eastAsia="en-MY"/>
              </w:rPr>
              <w:t>3.647</w:t>
            </w:r>
          </w:p>
        </w:tc>
        <w:tc>
          <w:tcPr>
            <w:tcW w:w="880" w:type="dxa"/>
            <w:tcBorders>
              <w:top w:val="nil"/>
              <w:left w:val="nil"/>
              <w:bottom w:val="single" w:sz="4" w:space="0" w:color="auto"/>
              <w:right w:val="single" w:sz="4" w:space="0" w:color="auto"/>
            </w:tcBorders>
            <w:shd w:val="clear" w:color="auto" w:fill="auto"/>
            <w:noWrap/>
            <w:vAlign w:val="bottom"/>
            <w:hideMark/>
          </w:tcPr>
          <w:p w14:paraId="2F189A8E" w14:textId="77777777" w:rsidR="00567C02" w:rsidRPr="00977820" w:rsidRDefault="00567C02" w:rsidP="00EE1467">
            <w:pPr>
              <w:spacing w:before="0" w:after="0" w:line="240" w:lineRule="auto"/>
              <w:jc w:val="left"/>
              <w:rPr>
                <w:rFonts w:eastAsia="Times New Roman"/>
                <w:color w:val="000000"/>
                <w:sz w:val="22"/>
                <w:szCs w:val="22"/>
                <w:lang w:val="en-MY" w:eastAsia="en-MY"/>
              </w:rPr>
            </w:pPr>
            <w:r w:rsidRPr="00977820">
              <w:rPr>
                <w:rFonts w:eastAsia="Times New Roman"/>
                <w:color w:val="000000"/>
                <w:sz w:val="22"/>
                <w:szCs w:val="22"/>
                <w:lang w:val="en-MY" w:eastAsia="en-MY"/>
              </w:rPr>
              <w:t>0.03*</w:t>
            </w:r>
          </w:p>
        </w:tc>
        <w:tc>
          <w:tcPr>
            <w:tcW w:w="880" w:type="dxa"/>
            <w:tcBorders>
              <w:top w:val="nil"/>
              <w:left w:val="nil"/>
              <w:bottom w:val="single" w:sz="4" w:space="0" w:color="auto"/>
              <w:right w:val="single" w:sz="4" w:space="0" w:color="auto"/>
            </w:tcBorders>
          </w:tcPr>
          <w:p w14:paraId="324209D6" w14:textId="77777777" w:rsidR="00567C02" w:rsidRPr="00567C02" w:rsidRDefault="00567C02" w:rsidP="00EE1467">
            <w:pPr>
              <w:spacing w:before="0" w:after="0" w:line="240" w:lineRule="auto"/>
              <w:jc w:val="left"/>
              <w:rPr>
                <w:rFonts w:eastAsia="Times New Roman"/>
                <w:color w:val="000000"/>
                <w:sz w:val="22"/>
                <w:szCs w:val="22"/>
                <w:lang w:val="en-MY" w:eastAsia="en-MY"/>
              </w:rPr>
            </w:pPr>
          </w:p>
        </w:tc>
      </w:tr>
    </w:tbl>
    <w:p w14:paraId="31D18263" w14:textId="77777777" w:rsidR="00B50107" w:rsidRPr="009D4627" w:rsidRDefault="00B50107" w:rsidP="00B50107">
      <w:pPr>
        <w:spacing w:before="0" w:after="0" w:line="240" w:lineRule="auto"/>
        <w:rPr>
          <w:color w:val="auto"/>
        </w:rPr>
      </w:pPr>
      <w:r w:rsidRPr="009D4627">
        <w:rPr>
          <w:color w:val="auto"/>
        </w:rPr>
        <w:t>*Data are significant at p&lt;0.05.</w:t>
      </w:r>
    </w:p>
    <w:p w14:paraId="323B8E33" w14:textId="4D3CEA6D" w:rsidR="008816D4" w:rsidRPr="009D4627" w:rsidRDefault="001010A3" w:rsidP="00567C02">
      <w:pPr>
        <w:rPr>
          <w:i/>
          <w:iCs/>
          <w:color w:val="auto"/>
          <w:lang w:val="en-MY"/>
        </w:rPr>
      </w:pPr>
      <w:r w:rsidRPr="001010A3">
        <w:rPr>
          <w:lang w:val="en-MY" w:eastAsia="en-MY"/>
        </w:rPr>
        <w:t>Post hoc analysis of the horizontal SP RMSE using the Bonferroni correction revealed that the two age groups that were substantially different at the first three frequencies were young and elderly people.</w:t>
      </w:r>
      <w:r w:rsidR="0074765D" w:rsidRPr="0074765D">
        <w:rPr>
          <w:lang w:val="en-MY" w:eastAsia="en-MY"/>
        </w:rPr>
        <w:t xml:space="preserve"> However, no significant pairwise difference in SP durations was discovered.</w:t>
      </w:r>
      <w:r w:rsidR="00B578E3">
        <w:rPr>
          <w:lang w:val="en-MY" w:eastAsia="en-MY"/>
        </w:rPr>
        <w:t xml:space="preserve"> </w:t>
      </w:r>
    </w:p>
    <w:p w14:paraId="673F8F4B" w14:textId="779AC9FF" w:rsidR="002C5013" w:rsidRDefault="007B2096" w:rsidP="00A163B5">
      <w:r w:rsidRPr="007B2096">
        <w:rPr>
          <w:szCs w:val="22"/>
        </w:rPr>
        <w:t xml:space="preserve">Pearson's correlations were used to examine the relationship between </w:t>
      </w:r>
      <w:r>
        <w:rPr>
          <w:szCs w:val="22"/>
        </w:rPr>
        <w:t xml:space="preserve">horizontal </w:t>
      </w:r>
      <w:r w:rsidRPr="007B2096">
        <w:rPr>
          <w:szCs w:val="22"/>
        </w:rPr>
        <w:t xml:space="preserve">SP parameters and ageing. Horizontal SP RMSE had a significant association with age, </w:t>
      </w:r>
      <w:r w:rsidRPr="007B2096">
        <w:rPr>
          <w:i/>
          <w:iCs/>
          <w:szCs w:val="22"/>
        </w:rPr>
        <w:t>r</w:t>
      </w:r>
      <w:r w:rsidRPr="007B2096">
        <w:rPr>
          <w:szCs w:val="22"/>
        </w:rPr>
        <w:t xml:space="preserve">(228) = 0.21, </w:t>
      </w:r>
      <w:r w:rsidRPr="007B2096">
        <w:rPr>
          <w:i/>
          <w:iCs/>
          <w:szCs w:val="22"/>
        </w:rPr>
        <w:t>p</w:t>
      </w:r>
      <w:r w:rsidRPr="007B2096">
        <w:rPr>
          <w:szCs w:val="22"/>
        </w:rPr>
        <w:t xml:space="preserve"> </w:t>
      </w:r>
      <w:r>
        <w:rPr>
          <w:szCs w:val="22"/>
        </w:rPr>
        <w:t xml:space="preserve">= </w:t>
      </w:r>
      <w:r w:rsidRPr="007B2096">
        <w:rPr>
          <w:szCs w:val="22"/>
        </w:rPr>
        <w:t>0.01, despite the weak correlation strength between the variables</w:t>
      </w:r>
      <w:r w:rsidRPr="009D4627">
        <w:rPr>
          <w:szCs w:val="22"/>
        </w:rPr>
        <w:t xml:space="preserve"> </w:t>
      </w:r>
      <w:r w:rsidRPr="009D4627">
        <w:rPr>
          <w:szCs w:val="22"/>
        </w:rPr>
        <w:fldChar w:fldCharType="begin"/>
      </w:r>
      <w:r w:rsidRPr="009D4627">
        <w:rPr>
          <w:szCs w:val="22"/>
        </w:rPr>
        <w:instrText xml:space="preserve"> ADDIN EN.CITE &lt;EndNote&gt;&lt;Cite&gt;&lt;Author&gt;Laerd&lt;/Author&gt;&lt;Year&gt;2013&lt;/Year&gt;&lt;IDText&gt;Laerd Statistics&lt;/IDText&gt;&lt;DisplayText&gt;(Laerd, 2013)&lt;/DisplayText&gt;&lt;record&gt;&lt;urls&gt;&lt;related-urls&gt;&lt;url&gt;https://statistics.laerd.com/premium/spss/lr/linear-regression-in-spss.php&lt;/url&gt;&lt;/related-urls&gt;&lt;/urls&gt;&lt;titles&gt;&lt;title&gt;Laerd Statistics&lt;/title&gt;&lt;/titles&gt;&lt;contributors&gt;&lt;authors&gt;&lt;author&gt;Laerd&lt;/author&gt;&lt;/authors&gt;&lt;/contributors&gt;&lt;added-date format="utc"&gt;1644031849&lt;/added-date&gt;&lt;ref-type name="Web Page"&gt;12&lt;/ref-type&gt;&lt;dates&gt;&lt;year&gt;2013&lt;/year&gt;&lt;/dates&gt;&lt;rec-number&gt;785&lt;/rec-number&gt;&lt;publisher&gt;Lund Research Ltd.&lt;/publisher&gt;&lt;last-updated-date format="utc"&gt;1646106129&lt;/last-updated-date&gt;&lt;/record&gt;&lt;/Cite&gt;&lt;/EndNote&gt;</w:instrText>
      </w:r>
      <w:r w:rsidRPr="009D4627">
        <w:rPr>
          <w:szCs w:val="22"/>
        </w:rPr>
        <w:fldChar w:fldCharType="separate"/>
      </w:r>
      <w:r w:rsidRPr="009D4627">
        <w:rPr>
          <w:noProof/>
          <w:szCs w:val="22"/>
        </w:rPr>
        <w:t>(Laerd, 2013)</w:t>
      </w:r>
      <w:r w:rsidRPr="009D4627">
        <w:rPr>
          <w:szCs w:val="22"/>
        </w:rPr>
        <w:fldChar w:fldCharType="end"/>
      </w:r>
      <w:r w:rsidRPr="009D4627">
        <w:rPr>
          <w:szCs w:val="22"/>
        </w:rPr>
        <w:t>.</w:t>
      </w:r>
      <w:r>
        <w:rPr>
          <w:szCs w:val="22"/>
        </w:rPr>
        <w:t xml:space="preserve"> On the other hand, </w:t>
      </w:r>
      <w:r w:rsidRPr="007B2096">
        <w:rPr>
          <w:szCs w:val="22"/>
        </w:rPr>
        <w:t>no relationships between horizontal SP gain and durations were seen with age (</w:t>
      </w:r>
      <w:r w:rsidRPr="007B2096">
        <w:rPr>
          <w:i/>
          <w:iCs/>
          <w:szCs w:val="22"/>
        </w:rPr>
        <w:t>p</w:t>
      </w:r>
      <w:r w:rsidRPr="007B2096">
        <w:rPr>
          <w:szCs w:val="22"/>
        </w:rPr>
        <w:t xml:space="preserve">&gt;0.05). </w:t>
      </w:r>
      <w:r w:rsidRPr="007B2096">
        <w:rPr>
          <w:szCs w:val="22"/>
        </w:rPr>
        <w:lastRenderedPageBreak/>
        <w:t xml:space="preserve">The results indicated that ageing accounted for 21% of the variability in </w:t>
      </w:r>
      <w:r>
        <w:rPr>
          <w:szCs w:val="22"/>
        </w:rPr>
        <w:t xml:space="preserve">horizontal </w:t>
      </w:r>
      <w:r w:rsidRPr="007B2096">
        <w:rPr>
          <w:szCs w:val="22"/>
        </w:rPr>
        <w:t>SP RMSE.</w:t>
      </w:r>
      <w:r w:rsidR="00744F79" w:rsidRPr="006C72C6">
        <w:t>A scatter plot was used for each trial frequency to investigate further the differences in SP parameters between three different age groups</w:t>
      </w:r>
      <w:r w:rsidR="00556845">
        <w:t xml:space="preserve">. </w:t>
      </w:r>
      <w:r w:rsidR="00556845" w:rsidRPr="00556845">
        <w:t>The raw data of 56 people [young (n = 23), middle (n = 18), and old (n = 15)] was used to generate the plot.</w:t>
      </w:r>
      <w:r w:rsidR="00556845">
        <w:t xml:space="preserve"> </w:t>
      </w:r>
    </w:p>
    <w:p w14:paraId="57A94265" w14:textId="7C6CF12F" w:rsidR="002C5013" w:rsidRDefault="002C5013" w:rsidP="00A163B5">
      <w:r w:rsidRPr="002C5013">
        <w:t xml:space="preserve">The </w:t>
      </w:r>
      <w:r>
        <w:t xml:space="preserve">linear slopes of </w:t>
      </w:r>
      <w:r w:rsidRPr="002C5013">
        <w:t xml:space="preserve">horizontal SP gain </w:t>
      </w:r>
      <w:r w:rsidR="001010A3" w:rsidRPr="002C5013">
        <w:t>appear</w:t>
      </w:r>
      <w:r w:rsidRPr="002C5013">
        <w:t xml:space="preserve"> steady throughout the EMR for all age groups at the first three frequencies. However, at the highest frequency, the old age group has a negative linear slope, representing a lower gain, whereas the younger groups have a positive linear slope, demonstrating an improved gain towards the end of the frequency (Figure 3.3).</w:t>
      </w:r>
      <w:r>
        <w:t xml:space="preserve"> </w:t>
      </w:r>
    </w:p>
    <w:p w14:paraId="45D44618" w14:textId="5C8AC25A" w:rsidR="002C5013" w:rsidRDefault="002C5013" w:rsidP="00A163B5">
      <w:r w:rsidRPr="002C5013">
        <w:t>Furthermore, the horizontal SP RMSE of the older age group is consistently higher than younger groups across the first three frequencies of the EMR. At the maximum frequency (0.8 Hz), the younger age groups have a negative slope, indicating a decrease in RMSE, whereas the old age group has a positive linear slope indicating an increase in RMSE across the EMR (Figure 3.4).</w:t>
      </w:r>
    </w:p>
    <w:p w14:paraId="4BF04394" w14:textId="7DE673DC" w:rsidR="00556845" w:rsidRDefault="002C5013" w:rsidP="00A163B5">
      <w:r>
        <w:t xml:space="preserve">Furthermore, horizontal SP duration of 0.2 and 0.4 Hz frequencies are having greater variation </w:t>
      </w:r>
      <w:r w:rsidR="00887403">
        <w:t xml:space="preserve">in </w:t>
      </w:r>
      <w:r>
        <w:t xml:space="preserve">range throughout the EMR especially among young and middle age groups, reflecting that longer smooth pursuit </w:t>
      </w:r>
      <w:r w:rsidR="00887403">
        <w:t xml:space="preserve">movements </w:t>
      </w:r>
      <w:r>
        <w:t xml:space="preserve">are demonstrated without CUS. The linear slopes showing that young age is having the longest SP duration, followed by middle and old age groups. </w:t>
      </w:r>
    </w:p>
    <w:p w14:paraId="6A45BB32" w14:textId="77777777" w:rsidR="007C6B74" w:rsidRDefault="007C6B74" w:rsidP="00281A92">
      <w:pPr>
        <w:spacing w:before="0" w:after="0" w:line="240" w:lineRule="auto"/>
        <w:jc w:val="left"/>
        <w:rPr>
          <w:rFonts w:cstheme="minorBidi"/>
          <w:b/>
          <w:bCs/>
          <w:sz w:val="20"/>
          <w:szCs w:val="20"/>
        </w:rPr>
        <w:sectPr w:rsidR="007C6B74" w:rsidSect="00977820">
          <w:pgSz w:w="11906" w:h="16838" w:code="9"/>
          <w:pgMar w:top="1440" w:right="1440" w:bottom="1440" w:left="1440" w:header="709" w:footer="709" w:gutter="0"/>
          <w:cols w:space="708"/>
          <w:docGrid w:linePitch="360"/>
        </w:sectPr>
      </w:pPr>
    </w:p>
    <w:tbl>
      <w:tblPr>
        <w:tblStyle w:val="ListTable2"/>
        <w:tblW w:w="0" w:type="auto"/>
        <w:tblInd w:w="-284" w:type="dxa"/>
        <w:tblLook w:val="04A0" w:firstRow="1" w:lastRow="0" w:firstColumn="1" w:lastColumn="0" w:noHBand="0" w:noVBand="1"/>
      </w:tblPr>
      <w:tblGrid>
        <w:gridCol w:w="1601"/>
        <w:gridCol w:w="6168"/>
        <w:gridCol w:w="6168"/>
      </w:tblGrid>
      <w:tr w:rsidR="00424033" w14:paraId="529FABA2" w14:textId="77777777" w:rsidTr="007C6B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auto"/>
              <w:bottom w:val="single" w:sz="4" w:space="0" w:color="auto"/>
              <w:right w:val="single" w:sz="4" w:space="0" w:color="auto"/>
            </w:tcBorders>
          </w:tcPr>
          <w:p w14:paraId="371960F1" w14:textId="77777777" w:rsidR="00424033" w:rsidRPr="007C6B74" w:rsidRDefault="00424033" w:rsidP="00281A92">
            <w:pPr>
              <w:spacing w:before="0" w:after="0" w:line="240" w:lineRule="auto"/>
              <w:jc w:val="left"/>
              <w:rPr>
                <w:rFonts w:cstheme="minorBidi"/>
                <w:sz w:val="20"/>
                <w:szCs w:val="20"/>
              </w:rPr>
            </w:pPr>
          </w:p>
        </w:tc>
        <w:tc>
          <w:tcPr>
            <w:tcW w:w="4088" w:type="dxa"/>
            <w:tcBorders>
              <w:top w:val="single" w:sz="4" w:space="0" w:color="auto"/>
              <w:left w:val="single" w:sz="4" w:space="0" w:color="auto"/>
              <w:bottom w:val="single" w:sz="4" w:space="0" w:color="auto"/>
              <w:right w:val="single" w:sz="4" w:space="0" w:color="auto"/>
            </w:tcBorders>
          </w:tcPr>
          <w:p w14:paraId="5CEF04EF" w14:textId="658A8E4A" w:rsidR="00424033" w:rsidRDefault="00424033" w:rsidP="00281A9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0.2 Hz</w:t>
            </w:r>
          </w:p>
        </w:tc>
        <w:tc>
          <w:tcPr>
            <w:tcW w:w="4088" w:type="dxa"/>
            <w:tcBorders>
              <w:top w:val="single" w:sz="4" w:space="0" w:color="auto"/>
              <w:left w:val="single" w:sz="4" w:space="0" w:color="auto"/>
              <w:bottom w:val="single" w:sz="4" w:space="0" w:color="auto"/>
            </w:tcBorders>
          </w:tcPr>
          <w:p w14:paraId="1FC7E4C2" w14:textId="7011963A" w:rsidR="00424033" w:rsidRDefault="00424033" w:rsidP="00281A9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0.4 Hz</w:t>
            </w:r>
          </w:p>
        </w:tc>
      </w:tr>
      <w:tr w:rsidR="007C6B74" w14:paraId="256FC5F3" w14:textId="77777777" w:rsidTr="007C6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auto"/>
              <w:bottom w:val="nil"/>
              <w:right w:val="single" w:sz="4" w:space="0" w:color="auto"/>
            </w:tcBorders>
          </w:tcPr>
          <w:p w14:paraId="528858CA" w14:textId="662E0252" w:rsidR="00424033" w:rsidRPr="007C6B74" w:rsidRDefault="00424033" w:rsidP="00281A92">
            <w:pPr>
              <w:spacing w:before="0" w:after="0" w:line="240" w:lineRule="auto"/>
              <w:jc w:val="left"/>
              <w:rPr>
                <w:rFonts w:cstheme="minorBidi"/>
                <w:sz w:val="20"/>
                <w:szCs w:val="20"/>
              </w:rPr>
            </w:pPr>
            <w:r w:rsidRPr="007C6B74">
              <w:rPr>
                <w:rFonts w:cstheme="minorBidi"/>
                <w:sz w:val="20"/>
                <w:szCs w:val="20"/>
              </w:rPr>
              <w:t>Horizontal SP gain</w:t>
            </w:r>
          </w:p>
          <w:p w14:paraId="170E71A5" w14:textId="72F5CF10" w:rsidR="00424033" w:rsidRPr="007C6B74" w:rsidRDefault="00424033" w:rsidP="00281A92">
            <w:pPr>
              <w:spacing w:before="0" w:after="0" w:line="240" w:lineRule="auto"/>
              <w:jc w:val="left"/>
              <w:rPr>
                <w:rFonts w:cstheme="minorBidi"/>
                <w:b w:val="0"/>
                <w:bCs w:val="0"/>
                <w:sz w:val="20"/>
                <w:szCs w:val="20"/>
              </w:rPr>
            </w:pPr>
          </w:p>
          <w:p w14:paraId="1A2548BA" w14:textId="19BFEF74" w:rsidR="00424033" w:rsidRPr="007C6B74" w:rsidRDefault="00C52683" w:rsidP="00281A92">
            <w:pPr>
              <w:spacing w:before="0" w:after="0" w:line="240" w:lineRule="auto"/>
              <w:jc w:val="left"/>
              <w:rPr>
                <w:rFonts w:cstheme="minorBidi"/>
                <w:sz w:val="20"/>
                <w:szCs w:val="20"/>
              </w:rPr>
            </w:pPr>
            <w:r w:rsidRPr="007C6B74">
              <w:rPr>
                <w:noProof/>
                <w:sz w:val="20"/>
                <w:szCs w:val="20"/>
                <w:lang w:val="en-MY" w:eastAsia="en-MY"/>
              </w:rPr>
              <w:drawing>
                <wp:inline distT="0" distB="0" distL="0" distR="0" wp14:anchorId="735201B7" wp14:editId="1AE1FA22">
                  <wp:extent cx="879894" cy="12382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87157" cy="1248472"/>
                          </a:xfrm>
                          <a:prstGeom prst="rect">
                            <a:avLst/>
                          </a:prstGeom>
                          <a:noFill/>
                          <a:ln>
                            <a:noFill/>
                          </a:ln>
                          <a:extLst>
                            <a:ext uri="{53640926-AAD7-44D8-BBD7-CCE9431645EC}">
                              <a14:shadowObscured xmlns:a14="http://schemas.microsoft.com/office/drawing/2010/main"/>
                            </a:ext>
                          </a:extLst>
                        </pic:spPr>
                      </pic:pic>
                    </a:graphicData>
                  </a:graphic>
                </wp:inline>
              </w:drawing>
            </w:r>
          </w:p>
          <w:p w14:paraId="217C7F6E" w14:textId="77777777" w:rsidR="00424033" w:rsidRPr="007C6B74" w:rsidRDefault="00424033" w:rsidP="00281A92">
            <w:pPr>
              <w:spacing w:before="0" w:after="0" w:line="240" w:lineRule="auto"/>
              <w:jc w:val="left"/>
              <w:rPr>
                <w:rFonts w:cstheme="minorBidi"/>
                <w:b w:val="0"/>
                <w:bCs w:val="0"/>
                <w:sz w:val="20"/>
                <w:szCs w:val="20"/>
              </w:rPr>
            </w:pPr>
          </w:p>
          <w:p w14:paraId="487AF9F3" w14:textId="5BA413AA" w:rsidR="00424033" w:rsidRPr="007C6B74" w:rsidRDefault="00424033" w:rsidP="00281A92">
            <w:pPr>
              <w:spacing w:before="0" w:after="0" w:line="240" w:lineRule="auto"/>
              <w:jc w:val="left"/>
              <w:rPr>
                <w:rFonts w:cstheme="minorBidi"/>
                <w:b w:val="0"/>
                <w:bCs w:val="0"/>
                <w:sz w:val="20"/>
                <w:szCs w:val="20"/>
              </w:rPr>
            </w:pPr>
          </w:p>
          <w:p w14:paraId="53C32FA6" w14:textId="539201BD" w:rsidR="00424033" w:rsidRPr="007C6B74" w:rsidRDefault="00424033" w:rsidP="00281A92">
            <w:pPr>
              <w:spacing w:before="0" w:after="0" w:line="240" w:lineRule="auto"/>
              <w:jc w:val="left"/>
              <w:rPr>
                <w:rFonts w:cstheme="minorBidi"/>
                <w:sz w:val="20"/>
                <w:szCs w:val="20"/>
              </w:rPr>
            </w:pPr>
          </w:p>
        </w:tc>
        <w:tc>
          <w:tcPr>
            <w:tcW w:w="4088" w:type="dxa"/>
            <w:tcBorders>
              <w:top w:val="single" w:sz="4" w:space="0" w:color="auto"/>
              <w:left w:val="single" w:sz="4" w:space="0" w:color="auto"/>
              <w:bottom w:val="single" w:sz="4" w:space="0" w:color="auto"/>
              <w:right w:val="single" w:sz="4" w:space="0" w:color="auto"/>
            </w:tcBorders>
          </w:tcPr>
          <w:p w14:paraId="0058B5FD" w14:textId="6055FBC2" w:rsidR="00424033" w:rsidRDefault="000233A2" w:rsidP="00424033">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4C320B11" wp14:editId="5AADB898">
                  <wp:extent cx="3780000" cy="22308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4088" w:type="dxa"/>
            <w:tcBorders>
              <w:top w:val="single" w:sz="4" w:space="0" w:color="auto"/>
              <w:left w:val="single" w:sz="4" w:space="0" w:color="auto"/>
              <w:bottom w:val="single" w:sz="4" w:space="0" w:color="auto"/>
            </w:tcBorders>
          </w:tcPr>
          <w:p w14:paraId="4D648C86" w14:textId="6C8F2256" w:rsidR="00424033" w:rsidRDefault="000233A2" w:rsidP="00424033">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46B4EB13" wp14:editId="558F8412">
                  <wp:extent cx="3780000" cy="22308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r w:rsidR="00424033" w14:paraId="5440CD38" w14:textId="77777777" w:rsidTr="007C6B74">
        <w:tc>
          <w:tcPr>
            <w:cnfStyle w:val="001000000000" w:firstRow="0" w:lastRow="0" w:firstColumn="1" w:lastColumn="0" w:oddVBand="0" w:evenVBand="0" w:oddHBand="0" w:evenHBand="0" w:firstRowFirstColumn="0" w:firstRowLastColumn="0" w:lastRowFirstColumn="0" w:lastRowLastColumn="0"/>
            <w:tcW w:w="1134" w:type="dxa"/>
            <w:vMerge w:val="restart"/>
            <w:tcBorders>
              <w:top w:val="nil"/>
              <w:right w:val="single" w:sz="4" w:space="0" w:color="auto"/>
            </w:tcBorders>
          </w:tcPr>
          <w:p w14:paraId="306F6AE5" w14:textId="77777777" w:rsidR="00424033" w:rsidRPr="007C6B74" w:rsidRDefault="00424033" w:rsidP="00281A92">
            <w:pPr>
              <w:spacing w:before="0" w:after="0" w:line="240" w:lineRule="auto"/>
              <w:jc w:val="left"/>
              <w:rPr>
                <w:rFonts w:cstheme="minorBidi"/>
                <w:b w:val="0"/>
                <w:bCs w:val="0"/>
                <w:sz w:val="20"/>
                <w:szCs w:val="20"/>
              </w:rPr>
            </w:pPr>
          </w:p>
          <w:p w14:paraId="1CBF92B7" w14:textId="77777777" w:rsidR="00424033" w:rsidRPr="007C6B74" w:rsidRDefault="00424033" w:rsidP="00281A92">
            <w:pPr>
              <w:spacing w:before="0" w:after="0" w:line="240" w:lineRule="auto"/>
              <w:jc w:val="left"/>
              <w:rPr>
                <w:rFonts w:cstheme="minorBidi"/>
                <w:b w:val="0"/>
                <w:bCs w:val="0"/>
                <w:sz w:val="20"/>
                <w:szCs w:val="20"/>
              </w:rPr>
            </w:pPr>
          </w:p>
        </w:tc>
        <w:tc>
          <w:tcPr>
            <w:tcW w:w="4088" w:type="dxa"/>
            <w:tcBorders>
              <w:top w:val="single" w:sz="4" w:space="0" w:color="auto"/>
              <w:left w:val="single" w:sz="4" w:space="0" w:color="auto"/>
              <w:bottom w:val="single" w:sz="4" w:space="0" w:color="auto"/>
              <w:right w:val="single" w:sz="4" w:space="0" w:color="auto"/>
            </w:tcBorders>
          </w:tcPr>
          <w:p w14:paraId="5C19B31B" w14:textId="7B597467" w:rsidR="00424033" w:rsidRPr="00424033" w:rsidRDefault="00424033" w:rsidP="0042403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0.6 Hz</w:t>
            </w:r>
          </w:p>
        </w:tc>
        <w:tc>
          <w:tcPr>
            <w:tcW w:w="4088" w:type="dxa"/>
            <w:tcBorders>
              <w:top w:val="single" w:sz="4" w:space="0" w:color="auto"/>
              <w:left w:val="single" w:sz="4" w:space="0" w:color="auto"/>
              <w:bottom w:val="single" w:sz="4" w:space="0" w:color="auto"/>
            </w:tcBorders>
          </w:tcPr>
          <w:p w14:paraId="4B7B4CDE" w14:textId="10E2020A" w:rsidR="00424033" w:rsidRPr="00424033" w:rsidRDefault="00424033" w:rsidP="0042403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0.8 Hz</w:t>
            </w:r>
          </w:p>
        </w:tc>
      </w:tr>
      <w:tr w:rsidR="007C6B74" w14:paraId="3FA65F25" w14:textId="77777777" w:rsidTr="007C6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vMerge/>
            <w:tcBorders>
              <w:bottom w:val="single" w:sz="4" w:space="0" w:color="auto"/>
              <w:right w:val="single" w:sz="4" w:space="0" w:color="auto"/>
            </w:tcBorders>
          </w:tcPr>
          <w:p w14:paraId="693FA225" w14:textId="4D4CE29E" w:rsidR="00424033" w:rsidRPr="007C6B74" w:rsidRDefault="00424033" w:rsidP="00424033">
            <w:pPr>
              <w:spacing w:before="0" w:after="0" w:line="240" w:lineRule="auto"/>
              <w:jc w:val="left"/>
              <w:rPr>
                <w:rFonts w:cstheme="minorBidi"/>
                <w:sz w:val="20"/>
                <w:szCs w:val="20"/>
              </w:rPr>
            </w:pPr>
          </w:p>
        </w:tc>
        <w:tc>
          <w:tcPr>
            <w:tcW w:w="4088" w:type="dxa"/>
            <w:tcBorders>
              <w:top w:val="single" w:sz="4" w:space="0" w:color="auto"/>
              <w:left w:val="single" w:sz="4" w:space="0" w:color="auto"/>
              <w:bottom w:val="single" w:sz="4" w:space="0" w:color="auto"/>
              <w:right w:val="single" w:sz="4" w:space="0" w:color="auto"/>
            </w:tcBorders>
          </w:tcPr>
          <w:p w14:paraId="2A0EFF67" w14:textId="428639C8" w:rsidR="00424033" w:rsidRPr="0019680A" w:rsidRDefault="000233A2" w:rsidP="00424033">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4DD4047" wp14:editId="7DCA931B">
                  <wp:extent cx="3780000" cy="22308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4088" w:type="dxa"/>
            <w:tcBorders>
              <w:top w:val="single" w:sz="4" w:space="0" w:color="auto"/>
              <w:left w:val="single" w:sz="4" w:space="0" w:color="auto"/>
              <w:bottom w:val="single" w:sz="4" w:space="0" w:color="auto"/>
            </w:tcBorders>
          </w:tcPr>
          <w:p w14:paraId="7F92D946" w14:textId="4844C66C" w:rsidR="00424033" w:rsidRPr="0090042A" w:rsidRDefault="000233A2" w:rsidP="00424033">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A3F6890" wp14:editId="5F7A7A94">
                  <wp:extent cx="3780000" cy="22308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bl>
    <w:p w14:paraId="0F9A3BF2" w14:textId="343AE3E4" w:rsidR="00744F79" w:rsidRDefault="00744F79" w:rsidP="00C4130D">
      <w:pPr>
        <w:pStyle w:val="Caption"/>
      </w:pPr>
      <w:bookmarkStart w:id="261" w:name="_Toc98569892"/>
      <w:r>
        <w:t>Figure 3.</w:t>
      </w:r>
      <w:r>
        <w:fldChar w:fldCharType="begin"/>
      </w:r>
      <w:r>
        <w:instrText xml:space="preserve"> SEQ Figure_3. \* ARABIC </w:instrText>
      </w:r>
      <w:r>
        <w:fldChar w:fldCharType="separate"/>
      </w:r>
      <w:r w:rsidR="00E268F6">
        <w:rPr>
          <w:noProof/>
        </w:rPr>
        <w:t>3</w:t>
      </w:r>
      <w:r>
        <w:fldChar w:fldCharType="end"/>
      </w:r>
      <w:r>
        <w:t xml:space="preserve">: </w:t>
      </w:r>
      <w:r w:rsidR="00424033">
        <w:t>The s</w:t>
      </w:r>
      <w:r w:rsidR="00424033" w:rsidRPr="00424033">
        <w:t>catterplot</w:t>
      </w:r>
      <w:r w:rsidR="00424033">
        <w:t>s</w:t>
      </w:r>
      <w:r w:rsidR="00424033" w:rsidRPr="00424033">
        <w:t xml:space="preserve"> showing horizontal SP gain according to trial frequency for three age groups</w:t>
      </w:r>
      <w:r w:rsidR="00424033">
        <w:t>.</w:t>
      </w:r>
      <w:bookmarkEnd w:id="261"/>
    </w:p>
    <w:p w14:paraId="14840B64" w14:textId="77777777" w:rsidR="00210AB2" w:rsidRPr="00210AB2" w:rsidRDefault="00210AB2" w:rsidP="00210AB2">
      <w:pPr>
        <w:rPr>
          <w:lang w:val="en-MY" w:eastAsia="en-MY"/>
        </w:rPr>
      </w:pPr>
    </w:p>
    <w:tbl>
      <w:tblPr>
        <w:tblStyle w:val="ListTable2"/>
        <w:tblW w:w="0" w:type="auto"/>
        <w:tblInd w:w="-284" w:type="dxa"/>
        <w:tblLook w:val="04A0" w:firstRow="1" w:lastRow="0" w:firstColumn="1" w:lastColumn="0" w:noHBand="0" w:noVBand="1"/>
      </w:tblPr>
      <w:tblGrid>
        <w:gridCol w:w="1626"/>
        <w:gridCol w:w="6308"/>
        <w:gridCol w:w="6308"/>
      </w:tblGrid>
      <w:tr w:rsidR="00424033" w14:paraId="63FA4CE4" w14:textId="77777777" w:rsidTr="00567C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dxa"/>
            <w:tcBorders>
              <w:top w:val="single" w:sz="4" w:space="0" w:color="auto"/>
              <w:bottom w:val="single" w:sz="4" w:space="0" w:color="auto"/>
              <w:right w:val="single" w:sz="4" w:space="0" w:color="auto"/>
            </w:tcBorders>
          </w:tcPr>
          <w:p w14:paraId="094164C1" w14:textId="77777777" w:rsidR="00424033" w:rsidRDefault="00424033" w:rsidP="00CA6304">
            <w:pPr>
              <w:spacing w:before="0" w:after="0" w:line="240" w:lineRule="auto"/>
              <w:jc w:val="left"/>
              <w:rPr>
                <w:rFonts w:cstheme="minorBidi"/>
              </w:rPr>
            </w:pPr>
          </w:p>
        </w:tc>
        <w:tc>
          <w:tcPr>
            <w:tcW w:w="6308" w:type="dxa"/>
            <w:tcBorders>
              <w:top w:val="single" w:sz="4" w:space="0" w:color="auto"/>
              <w:left w:val="single" w:sz="4" w:space="0" w:color="auto"/>
              <w:bottom w:val="single" w:sz="4" w:space="0" w:color="auto"/>
              <w:right w:val="single" w:sz="4" w:space="0" w:color="auto"/>
            </w:tcBorders>
          </w:tcPr>
          <w:p w14:paraId="2CC2FD8E" w14:textId="77777777" w:rsidR="00424033" w:rsidRDefault="00424033"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0.2 Hz</w:t>
            </w:r>
          </w:p>
        </w:tc>
        <w:tc>
          <w:tcPr>
            <w:tcW w:w="6308" w:type="dxa"/>
            <w:tcBorders>
              <w:top w:val="single" w:sz="4" w:space="0" w:color="auto"/>
              <w:left w:val="single" w:sz="4" w:space="0" w:color="auto"/>
              <w:bottom w:val="single" w:sz="4" w:space="0" w:color="auto"/>
            </w:tcBorders>
          </w:tcPr>
          <w:p w14:paraId="4F860854" w14:textId="77777777" w:rsidR="00424033" w:rsidRDefault="00424033"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0.4 Hz</w:t>
            </w:r>
          </w:p>
        </w:tc>
      </w:tr>
      <w:tr w:rsidR="00424033" w14:paraId="017E4F6E" w14:textId="77777777" w:rsidTr="005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dxa"/>
            <w:tcBorders>
              <w:top w:val="single" w:sz="4" w:space="0" w:color="auto"/>
              <w:bottom w:val="nil"/>
              <w:right w:val="single" w:sz="4" w:space="0" w:color="auto"/>
            </w:tcBorders>
          </w:tcPr>
          <w:p w14:paraId="1464A085" w14:textId="4E4F0633" w:rsidR="00424033" w:rsidRDefault="00424033" w:rsidP="00CA6304">
            <w:pPr>
              <w:spacing w:before="0" w:after="0" w:line="240" w:lineRule="auto"/>
              <w:jc w:val="left"/>
              <w:rPr>
                <w:rFonts w:cstheme="minorBidi"/>
              </w:rPr>
            </w:pPr>
            <w:r>
              <w:rPr>
                <w:rFonts w:cstheme="minorBidi"/>
              </w:rPr>
              <w:t>Horizontal SP RMSE</w:t>
            </w:r>
          </w:p>
          <w:p w14:paraId="736ED20C" w14:textId="77777777" w:rsidR="00424033" w:rsidRDefault="00424033" w:rsidP="00CA6304">
            <w:pPr>
              <w:spacing w:before="0" w:after="0" w:line="240" w:lineRule="auto"/>
              <w:jc w:val="left"/>
              <w:rPr>
                <w:rFonts w:cstheme="minorBidi"/>
                <w:b w:val="0"/>
                <w:bCs w:val="0"/>
              </w:rPr>
            </w:pPr>
          </w:p>
          <w:p w14:paraId="7D7D1E5A" w14:textId="529897C0" w:rsidR="00424033" w:rsidRDefault="00C52683" w:rsidP="00CA6304">
            <w:pPr>
              <w:spacing w:before="0" w:after="0" w:line="240" w:lineRule="auto"/>
              <w:jc w:val="left"/>
              <w:rPr>
                <w:rFonts w:cstheme="minorBidi"/>
              </w:rPr>
            </w:pPr>
            <w:r>
              <w:rPr>
                <w:noProof/>
                <w:lang w:val="en-MY" w:eastAsia="en-MY"/>
              </w:rPr>
              <w:drawing>
                <wp:inline distT="0" distB="0" distL="0" distR="0" wp14:anchorId="43026F93" wp14:editId="78BD5EB2">
                  <wp:extent cx="895350" cy="12382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953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4402569C" w14:textId="77777777" w:rsidR="00424033" w:rsidRDefault="00424033" w:rsidP="00CA6304">
            <w:pPr>
              <w:spacing w:before="0" w:after="0" w:line="240" w:lineRule="auto"/>
              <w:jc w:val="left"/>
              <w:rPr>
                <w:rFonts w:cstheme="minorBidi"/>
                <w:b w:val="0"/>
                <w:bCs w:val="0"/>
              </w:rPr>
            </w:pPr>
          </w:p>
          <w:p w14:paraId="28C17883" w14:textId="77777777" w:rsidR="00424033" w:rsidRDefault="00424033" w:rsidP="00CA6304">
            <w:pPr>
              <w:spacing w:before="0" w:after="0" w:line="240" w:lineRule="auto"/>
              <w:jc w:val="left"/>
              <w:rPr>
                <w:rFonts w:cstheme="minorBidi"/>
                <w:b w:val="0"/>
                <w:bCs w:val="0"/>
              </w:rPr>
            </w:pPr>
          </w:p>
          <w:p w14:paraId="21390B44" w14:textId="77777777" w:rsidR="00424033" w:rsidRDefault="00424033" w:rsidP="00CA6304">
            <w:pPr>
              <w:spacing w:before="0" w:after="0" w:line="240" w:lineRule="auto"/>
              <w:jc w:val="left"/>
              <w:rPr>
                <w:rFonts w:cstheme="minorBidi"/>
              </w:rPr>
            </w:pPr>
          </w:p>
        </w:tc>
        <w:tc>
          <w:tcPr>
            <w:tcW w:w="6308" w:type="dxa"/>
            <w:tcBorders>
              <w:top w:val="single" w:sz="4" w:space="0" w:color="auto"/>
              <w:left w:val="single" w:sz="4" w:space="0" w:color="auto"/>
              <w:bottom w:val="single" w:sz="4" w:space="0" w:color="auto"/>
              <w:right w:val="single" w:sz="4" w:space="0" w:color="auto"/>
            </w:tcBorders>
          </w:tcPr>
          <w:p w14:paraId="2471E2BB" w14:textId="1720AEEE" w:rsidR="00424033" w:rsidRDefault="00975B02"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742AEF82" wp14:editId="13E6D830">
                  <wp:extent cx="3780000" cy="223082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6308" w:type="dxa"/>
            <w:tcBorders>
              <w:top w:val="single" w:sz="4" w:space="0" w:color="auto"/>
              <w:left w:val="single" w:sz="4" w:space="0" w:color="auto"/>
              <w:bottom w:val="single" w:sz="4" w:space="0" w:color="auto"/>
            </w:tcBorders>
          </w:tcPr>
          <w:p w14:paraId="4013EE29" w14:textId="18C8B6BB" w:rsidR="00424033" w:rsidRDefault="00975B02"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47D84BFE" wp14:editId="1A00774A">
                  <wp:extent cx="3780000" cy="22308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r w:rsidR="00424033" w14:paraId="2F04F4A4" w14:textId="77777777" w:rsidTr="00567C02">
        <w:tc>
          <w:tcPr>
            <w:cnfStyle w:val="001000000000" w:firstRow="0" w:lastRow="0" w:firstColumn="1" w:lastColumn="0" w:oddVBand="0" w:evenVBand="0" w:oddHBand="0" w:evenHBand="0" w:firstRowFirstColumn="0" w:firstRowLastColumn="0" w:lastRowFirstColumn="0" w:lastRowLastColumn="0"/>
            <w:tcW w:w="1626" w:type="dxa"/>
            <w:vMerge w:val="restart"/>
            <w:tcBorders>
              <w:top w:val="nil"/>
              <w:right w:val="single" w:sz="4" w:space="0" w:color="auto"/>
            </w:tcBorders>
          </w:tcPr>
          <w:p w14:paraId="5902BA48" w14:textId="77777777" w:rsidR="00424033" w:rsidRDefault="00424033" w:rsidP="00CA6304">
            <w:pPr>
              <w:spacing w:before="0" w:after="0" w:line="240" w:lineRule="auto"/>
              <w:jc w:val="left"/>
              <w:rPr>
                <w:rFonts w:cstheme="minorBidi"/>
                <w:b w:val="0"/>
                <w:bCs w:val="0"/>
              </w:rPr>
            </w:pPr>
          </w:p>
          <w:p w14:paraId="58B13D0A" w14:textId="77777777" w:rsidR="00424033" w:rsidRDefault="00424033" w:rsidP="00CA6304">
            <w:pPr>
              <w:spacing w:before="0" w:after="0" w:line="240" w:lineRule="auto"/>
              <w:jc w:val="left"/>
              <w:rPr>
                <w:rFonts w:cstheme="minorBidi"/>
                <w:b w:val="0"/>
                <w:bCs w:val="0"/>
              </w:rPr>
            </w:pPr>
          </w:p>
        </w:tc>
        <w:tc>
          <w:tcPr>
            <w:tcW w:w="6308" w:type="dxa"/>
            <w:tcBorders>
              <w:top w:val="single" w:sz="4" w:space="0" w:color="auto"/>
              <w:left w:val="single" w:sz="4" w:space="0" w:color="auto"/>
              <w:bottom w:val="single" w:sz="4" w:space="0" w:color="auto"/>
              <w:right w:val="single" w:sz="4" w:space="0" w:color="auto"/>
            </w:tcBorders>
          </w:tcPr>
          <w:p w14:paraId="227F7D27" w14:textId="77777777" w:rsidR="00424033" w:rsidRPr="00424033" w:rsidRDefault="00424033"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0.6 Hz</w:t>
            </w:r>
          </w:p>
        </w:tc>
        <w:tc>
          <w:tcPr>
            <w:tcW w:w="6308" w:type="dxa"/>
            <w:tcBorders>
              <w:top w:val="single" w:sz="4" w:space="0" w:color="auto"/>
              <w:left w:val="single" w:sz="4" w:space="0" w:color="auto"/>
              <w:bottom w:val="single" w:sz="4" w:space="0" w:color="auto"/>
            </w:tcBorders>
          </w:tcPr>
          <w:p w14:paraId="0FF116D0" w14:textId="77777777" w:rsidR="00424033" w:rsidRPr="00424033" w:rsidRDefault="00424033"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0.8 Hz</w:t>
            </w:r>
          </w:p>
        </w:tc>
      </w:tr>
      <w:tr w:rsidR="00975B02" w14:paraId="3664CB19" w14:textId="77777777" w:rsidTr="005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dxa"/>
            <w:vMerge/>
            <w:tcBorders>
              <w:bottom w:val="single" w:sz="4" w:space="0" w:color="auto"/>
              <w:right w:val="single" w:sz="4" w:space="0" w:color="auto"/>
            </w:tcBorders>
          </w:tcPr>
          <w:p w14:paraId="6C2A1191" w14:textId="77777777" w:rsidR="00424033" w:rsidRDefault="00424033" w:rsidP="00CA6304">
            <w:pPr>
              <w:spacing w:before="0" w:after="0" w:line="240" w:lineRule="auto"/>
              <w:jc w:val="left"/>
              <w:rPr>
                <w:rFonts w:cstheme="minorBidi"/>
              </w:rPr>
            </w:pPr>
          </w:p>
        </w:tc>
        <w:tc>
          <w:tcPr>
            <w:tcW w:w="6308" w:type="dxa"/>
            <w:tcBorders>
              <w:top w:val="single" w:sz="4" w:space="0" w:color="auto"/>
              <w:left w:val="single" w:sz="4" w:space="0" w:color="auto"/>
              <w:bottom w:val="single" w:sz="4" w:space="0" w:color="auto"/>
              <w:right w:val="single" w:sz="4" w:space="0" w:color="auto"/>
            </w:tcBorders>
          </w:tcPr>
          <w:p w14:paraId="24F0C749" w14:textId="4DE75446" w:rsidR="00424033" w:rsidRPr="0019680A" w:rsidRDefault="00975B02"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A37173B" wp14:editId="1EED2129">
                  <wp:extent cx="3780000" cy="22308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6308" w:type="dxa"/>
            <w:tcBorders>
              <w:top w:val="single" w:sz="4" w:space="0" w:color="auto"/>
              <w:left w:val="single" w:sz="4" w:space="0" w:color="auto"/>
              <w:bottom w:val="single" w:sz="4" w:space="0" w:color="auto"/>
            </w:tcBorders>
          </w:tcPr>
          <w:p w14:paraId="441A0CAB" w14:textId="6387E69B" w:rsidR="00424033" w:rsidRPr="0090042A" w:rsidRDefault="00975B02"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FF0E9E1" wp14:editId="0A1DDC1E">
                  <wp:extent cx="3780000" cy="22308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bl>
    <w:p w14:paraId="426910FD" w14:textId="089B3C49" w:rsidR="00424033" w:rsidRDefault="00424033" w:rsidP="00C4130D">
      <w:pPr>
        <w:pStyle w:val="Caption"/>
      </w:pPr>
      <w:bookmarkStart w:id="262" w:name="_Toc98569893"/>
      <w:r>
        <w:t>Figure 3.</w:t>
      </w:r>
      <w:r>
        <w:fldChar w:fldCharType="begin"/>
      </w:r>
      <w:r>
        <w:instrText xml:space="preserve"> SEQ Figure_3. \* ARABIC </w:instrText>
      </w:r>
      <w:r>
        <w:fldChar w:fldCharType="separate"/>
      </w:r>
      <w:r w:rsidR="00E268F6">
        <w:rPr>
          <w:noProof/>
        </w:rPr>
        <w:t>4</w:t>
      </w:r>
      <w:r>
        <w:fldChar w:fldCharType="end"/>
      </w:r>
      <w:r>
        <w:t>: The s</w:t>
      </w:r>
      <w:r w:rsidRPr="00424033">
        <w:t>catterplot</w:t>
      </w:r>
      <w:r>
        <w:t>s</w:t>
      </w:r>
      <w:r w:rsidRPr="00424033">
        <w:t xml:space="preserve"> showing horizontal SP </w:t>
      </w:r>
      <w:r>
        <w:t>RMSE</w:t>
      </w:r>
      <w:r w:rsidRPr="00424033">
        <w:t xml:space="preserve"> according to trial frequency for three age groups</w:t>
      </w:r>
      <w:r>
        <w:t>.</w:t>
      </w:r>
      <w:bookmarkEnd w:id="262"/>
      <w:r>
        <w:t xml:space="preserve"> </w:t>
      </w:r>
    </w:p>
    <w:p w14:paraId="33CAF567" w14:textId="77777777" w:rsidR="00567C02" w:rsidRPr="00567C02" w:rsidRDefault="00567C02" w:rsidP="00567C02">
      <w:pPr>
        <w:rPr>
          <w:lang w:val="en-MY" w:eastAsia="en-MY"/>
        </w:rPr>
      </w:pPr>
    </w:p>
    <w:tbl>
      <w:tblPr>
        <w:tblStyle w:val="ListTable2"/>
        <w:tblW w:w="0" w:type="auto"/>
        <w:tblInd w:w="-284" w:type="dxa"/>
        <w:tblLook w:val="04A0" w:firstRow="1" w:lastRow="0" w:firstColumn="1" w:lastColumn="0" w:noHBand="0" w:noVBand="1"/>
      </w:tblPr>
      <w:tblGrid>
        <w:gridCol w:w="1626"/>
        <w:gridCol w:w="6308"/>
        <w:gridCol w:w="6308"/>
      </w:tblGrid>
      <w:tr w:rsidR="00424033" w14:paraId="1361D4E4" w14:textId="77777777" w:rsidTr="00567C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dxa"/>
            <w:tcBorders>
              <w:top w:val="single" w:sz="4" w:space="0" w:color="auto"/>
              <w:bottom w:val="single" w:sz="4" w:space="0" w:color="auto"/>
              <w:right w:val="single" w:sz="4" w:space="0" w:color="auto"/>
            </w:tcBorders>
          </w:tcPr>
          <w:p w14:paraId="6FAF9A49" w14:textId="77777777" w:rsidR="00424033" w:rsidRDefault="00424033" w:rsidP="00CA6304">
            <w:pPr>
              <w:spacing w:before="0" w:after="0" w:line="240" w:lineRule="auto"/>
              <w:jc w:val="left"/>
              <w:rPr>
                <w:rFonts w:cstheme="minorBidi"/>
              </w:rPr>
            </w:pPr>
          </w:p>
        </w:tc>
        <w:tc>
          <w:tcPr>
            <w:tcW w:w="6308" w:type="dxa"/>
            <w:tcBorders>
              <w:top w:val="single" w:sz="4" w:space="0" w:color="auto"/>
              <w:left w:val="single" w:sz="4" w:space="0" w:color="auto"/>
              <w:bottom w:val="single" w:sz="4" w:space="0" w:color="auto"/>
              <w:right w:val="single" w:sz="4" w:space="0" w:color="auto"/>
            </w:tcBorders>
          </w:tcPr>
          <w:p w14:paraId="3EBED3D0" w14:textId="77777777" w:rsidR="00424033" w:rsidRDefault="00424033"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0.2 Hz</w:t>
            </w:r>
          </w:p>
        </w:tc>
        <w:tc>
          <w:tcPr>
            <w:tcW w:w="6308" w:type="dxa"/>
            <w:tcBorders>
              <w:top w:val="single" w:sz="4" w:space="0" w:color="auto"/>
              <w:left w:val="single" w:sz="4" w:space="0" w:color="auto"/>
              <w:bottom w:val="single" w:sz="4" w:space="0" w:color="auto"/>
            </w:tcBorders>
          </w:tcPr>
          <w:p w14:paraId="39D09E9E" w14:textId="77777777" w:rsidR="00424033" w:rsidRDefault="00424033"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0.4 Hz</w:t>
            </w:r>
          </w:p>
        </w:tc>
      </w:tr>
      <w:tr w:rsidR="00424033" w14:paraId="08ADCBE6" w14:textId="77777777" w:rsidTr="005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dxa"/>
            <w:tcBorders>
              <w:top w:val="single" w:sz="4" w:space="0" w:color="auto"/>
              <w:bottom w:val="nil"/>
              <w:right w:val="single" w:sz="4" w:space="0" w:color="auto"/>
            </w:tcBorders>
          </w:tcPr>
          <w:p w14:paraId="2B30D8DD" w14:textId="52993D4A" w:rsidR="00424033" w:rsidRDefault="00424033" w:rsidP="00CA6304">
            <w:pPr>
              <w:spacing w:before="0" w:after="0" w:line="240" w:lineRule="auto"/>
              <w:jc w:val="left"/>
              <w:rPr>
                <w:rFonts w:cstheme="minorBidi"/>
              </w:rPr>
            </w:pPr>
            <w:r>
              <w:rPr>
                <w:rFonts w:cstheme="minorBidi"/>
              </w:rPr>
              <w:t>Horizontal SP duration</w:t>
            </w:r>
          </w:p>
          <w:p w14:paraId="09F5D036" w14:textId="77777777" w:rsidR="00C52683" w:rsidRDefault="00C52683" w:rsidP="00CA6304">
            <w:pPr>
              <w:spacing w:before="0" w:after="0" w:line="240" w:lineRule="auto"/>
              <w:jc w:val="left"/>
              <w:rPr>
                <w:b w:val="0"/>
                <w:bCs w:val="0"/>
                <w:noProof/>
                <w:lang w:val="en-MY" w:eastAsia="en-MY"/>
              </w:rPr>
            </w:pPr>
          </w:p>
          <w:p w14:paraId="460650DC" w14:textId="77777777" w:rsidR="00C52683" w:rsidRDefault="00C52683" w:rsidP="00CA6304">
            <w:pPr>
              <w:spacing w:before="0" w:after="0" w:line="240" w:lineRule="auto"/>
              <w:jc w:val="left"/>
              <w:rPr>
                <w:b w:val="0"/>
                <w:bCs w:val="0"/>
                <w:noProof/>
                <w:lang w:val="en-MY" w:eastAsia="en-MY"/>
              </w:rPr>
            </w:pPr>
          </w:p>
          <w:p w14:paraId="0BFC6C4E" w14:textId="2BADCFB6" w:rsidR="00424033" w:rsidRDefault="00C52683" w:rsidP="00CA6304">
            <w:pPr>
              <w:spacing w:before="0" w:after="0" w:line="240" w:lineRule="auto"/>
              <w:jc w:val="left"/>
              <w:rPr>
                <w:rFonts w:cstheme="minorBidi"/>
                <w:b w:val="0"/>
                <w:bCs w:val="0"/>
              </w:rPr>
            </w:pPr>
            <w:r>
              <w:rPr>
                <w:noProof/>
                <w:lang w:val="en-MY" w:eastAsia="en-MY"/>
              </w:rPr>
              <w:drawing>
                <wp:inline distT="0" distB="0" distL="0" distR="0" wp14:anchorId="64B24F8E" wp14:editId="3692238C">
                  <wp:extent cx="895350" cy="12382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953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3C8390D2" w14:textId="77777777" w:rsidR="00424033" w:rsidRDefault="00424033" w:rsidP="00CA6304">
            <w:pPr>
              <w:spacing w:before="0" w:after="0" w:line="240" w:lineRule="auto"/>
              <w:jc w:val="left"/>
              <w:rPr>
                <w:rFonts w:cstheme="minorBidi"/>
              </w:rPr>
            </w:pPr>
          </w:p>
        </w:tc>
        <w:tc>
          <w:tcPr>
            <w:tcW w:w="6308" w:type="dxa"/>
            <w:tcBorders>
              <w:top w:val="single" w:sz="4" w:space="0" w:color="auto"/>
              <w:left w:val="single" w:sz="4" w:space="0" w:color="auto"/>
              <w:bottom w:val="single" w:sz="4" w:space="0" w:color="auto"/>
              <w:right w:val="single" w:sz="4" w:space="0" w:color="auto"/>
            </w:tcBorders>
          </w:tcPr>
          <w:p w14:paraId="1E57A20E" w14:textId="0DDAF13A" w:rsidR="00424033" w:rsidRDefault="00556845"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5BF348FD" wp14:editId="1F6A71A0">
                  <wp:extent cx="3780000" cy="22308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6308" w:type="dxa"/>
            <w:tcBorders>
              <w:top w:val="single" w:sz="4" w:space="0" w:color="auto"/>
              <w:left w:val="single" w:sz="4" w:space="0" w:color="auto"/>
              <w:bottom w:val="single" w:sz="4" w:space="0" w:color="auto"/>
            </w:tcBorders>
          </w:tcPr>
          <w:p w14:paraId="22F0BDCB" w14:textId="6C44DB40" w:rsidR="00424033" w:rsidRDefault="00556845"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7DD75A90" wp14:editId="5195D0B4">
                  <wp:extent cx="3780000" cy="22308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r w:rsidR="00424033" w14:paraId="7098FC30" w14:textId="77777777" w:rsidTr="00567C02">
        <w:tc>
          <w:tcPr>
            <w:cnfStyle w:val="001000000000" w:firstRow="0" w:lastRow="0" w:firstColumn="1" w:lastColumn="0" w:oddVBand="0" w:evenVBand="0" w:oddHBand="0" w:evenHBand="0" w:firstRowFirstColumn="0" w:firstRowLastColumn="0" w:lastRowFirstColumn="0" w:lastRowLastColumn="0"/>
            <w:tcW w:w="1626" w:type="dxa"/>
            <w:vMerge w:val="restart"/>
            <w:tcBorders>
              <w:top w:val="nil"/>
              <w:right w:val="single" w:sz="4" w:space="0" w:color="auto"/>
            </w:tcBorders>
          </w:tcPr>
          <w:p w14:paraId="0E73DE0C" w14:textId="77777777" w:rsidR="00424033" w:rsidRDefault="00424033" w:rsidP="00CA6304">
            <w:pPr>
              <w:spacing w:before="0" w:after="0" w:line="240" w:lineRule="auto"/>
              <w:jc w:val="left"/>
              <w:rPr>
                <w:rFonts w:cstheme="minorBidi"/>
                <w:b w:val="0"/>
                <w:bCs w:val="0"/>
              </w:rPr>
            </w:pPr>
          </w:p>
          <w:p w14:paraId="0E1A1B46" w14:textId="77777777" w:rsidR="00424033" w:rsidRDefault="00424033" w:rsidP="00CA6304">
            <w:pPr>
              <w:spacing w:before="0" w:after="0" w:line="240" w:lineRule="auto"/>
              <w:jc w:val="left"/>
              <w:rPr>
                <w:rFonts w:cstheme="minorBidi"/>
                <w:b w:val="0"/>
                <w:bCs w:val="0"/>
              </w:rPr>
            </w:pPr>
          </w:p>
        </w:tc>
        <w:tc>
          <w:tcPr>
            <w:tcW w:w="6308" w:type="dxa"/>
            <w:tcBorders>
              <w:top w:val="single" w:sz="4" w:space="0" w:color="auto"/>
              <w:left w:val="single" w:sz="4" w:space="0" w:color="auto"/>
              <w:bottom w:val="single" w:sz="4" w:space="0" w:color="auto"/>
              <w:right w:val="single" w:sz="4" w:space="0" w:color="auto"/>
            </w:tcBorders>
          </w:tcPr>
          <w:p w14:paraId="1A9506A7" w14:textId="77777777" w:rsidR="00424033" w:rsidRPr="00424033" w:rsidRDefault="00424033"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0.6 Hz</w:t>
            </w:r>
          </w:p>
        </w:tc>
        <w:tc>
          <w:tcPr>
            <w:tcW w:w="6308" w:type="dxa"/>
            <w:tcBorders>
              <w:top w:val="single" w:sz="4" w:space="0" w:color="auto"/>
              <w:left w:val="single" w:sz="4" w:space="0" w:color="auto"/>
              <w:bottom w:val="single" w:sz="4" w:space="0" w:color="auto"/>
            </w:tcBorders>
          </w:tcPr>
          <w:p w14:paraId="622CED50" w14:textId="77777777" w:rsidR="00424033" w:rsidRPr="00424033" w:rsidRDefault="00424033"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0.8 Hz</w:t>
            </w:r>
          </w:p>
        </w:tc>
      </w:tr>
      <w:tr w:rsidR="00424033" w14:paraId="49ACE796" w14:textId="77777777" w:rsidTr="005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dxa"/>
            <w:vMerge/>
            <w:tcBorders>
              <w:bottom w:val="single" w:sz="4" w:space="0" w:color="auto"/>
              <w:right w:val="single" w:sz="4" w:space="0" w:color="auto"/>
            </w:tcBorders>
          </w:tcPr>
          <w:p w14:paraId="380FAD62" w14:textId="77777777" w:rsidR="00424033" w:rsidRDefault="00424033" w:rsidP="00CA6304">
            <w:pPr>
              <w:spacing w:before="0" w:after="0" w:line="240" w:lineRule="auto"/>
              <w:jc w:val="left"/>
              <w:rPr>
                <w:rFonts w:cstheme="minorBidi"/>
              </w:rPr>
            </w:pPr>
          </w:p>
        </w:tc>
        <w:tc>
          <w:tcPr>
            <w:tcW w:w="6308" w:type="dxa"/>
            <w:tcBorders>
              <w:top w:val="single" w:sz="4" w:space="0" w:color="auto"/>
              <w:left w:val="single" w:sz="4" w:space="0" w:color="auto"/>
              <w:bottom w:val="single" w:sz="4" w:space="0" w:color="auto"/>
              <w:right w:val="single" w:sz="4" w:space="0" w:color="auto"/>
            </w:tcBorders>
          </w:tcPr>
          <w:p w14:paraId="4C7B4A77" w14:textId="3DA13097" w:rsidR="00424033" w:rsidRPr="0019680A" w:rsidRDefault="00556845"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E7FAFD9" wp14:editId="7B747176">
                  <wp:extent cx="3780000" cy="22308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6308" w:type="dxa"/>
            <w:tcBorders>
              <w:top w:val="single" w:sz="4" w:space="0" w:color="auto"/>
              <w:left w:val="single" w:sz="4" w:space="0" w:color="auto"/>
              <w:bottom w:val="single" w:sz="4" w:space="0" w:color="auto"/>
            </w:tcBorders>
          </w:tcPr>
          <w:p w14:paraId="30E4841C" w14:textId="7CEFAA9B" w:rsidR="00424033" w:rsidRPr="0090042A" w:rsidRDefault="00556845"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2D407CD" wp14:editId="3D31C789">
                  <wp:extent cx="3780000" cy="22308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bl>
    <w:p w14:paraId="3BD093DE" w14:textId="1722F633" w:rsidR="00424033" w:rsidRDefault="00424033" w:rsidP="00C4130D">
      <w:pPr>
        <w:pStyle w:val="Caption"/>
      </w:pPr>
      <w:bookmarkStart w:id="263" w:name="_Toc98569894"/>
      <w:r>
        <w:t>Figure 3.</w:t>
      </w:r>
      <w:r>
        <w:fldChar w:fldCharType="begin"/>
      </w:r>
      <w:r>
        <w:instrText xml:space="preserve"> SEQ Figure_3. \* ARABIC </w:instrText>
      </w:r>
      <w:r>
        <w:fldChar w:fldCharType="separate"/>
      </w:r>
      <w:r w:rsidR="00E268F6">
        <w:rPr>
          <w:noProof/>
        </w:rPr>
        <w:t>5</w:t>
      </w:r>
      <w:r>
        <w:fldChar w:fldCharType="end"/>
      </w:r>
      <w:r>
        <w:t>: The s</w:t>
      </w:r>
      <w:r w:rsidRPr="00424033">
        <w:t>catterplot</w:t>
      </w:r>
      <w:r>
        <w:t>s</w:t>
      </w:r>
      <w:r w:rsidRPr="00424033">
        <w:t xml:space="preserve"> showing horizontal SP </w:t>
      </w:r>
      <w:r>
        <w:t>duration</w:t>
      </w:r>
      <w:r w:rsidRPr="00424033">
        <w:t xml:space="preserve"> according to trial frequency for three age groups</w:t>
      </w:r>
      <w:bookmarkEnd w:id="263"/>
    </w:p>
    <w:p w14:paraId="102B6CFF" w14:textId="77777777" w:rsidR="007C6B74" w:rsidRDefault="007C6B74" w:rsidP="00424033">
      <w:pPr>
        <w:rPr>
          <w:lang w:val="en-MY" w:eastAsia="en-MY"/>
        </w:rPr>
        <w:sectPr w:rsidR="007C6B74" w:rsidSect="007C6B74">
          <w:headerReference w:type="default" r:id="rId121"/>
          <w:footerReference w:type="default" r:id="rId122"/>
          <w:pgSz w:w="16838" w:h="11906" w:orient="landscape" w:code="9"/>
          <w:pgMar w:top="1440" w:right="1440" w:bottom="1440" w:left="1440" w:header="709" w:footer="709" w:gutter="0"/>
          <w:cols w:space="708"/>
          <w:docGrid w:linePitch="360"/>
        </w:sectPr>
      </w:pPr>
    </w:p>
    <w:p w14:paraId="1854607B" w14:textId="70DD3B05" w:rsidR="008816D4" w:rsidRPr="009D4627" w:rsidRDefault="007C6B74" w:rsidP="00DC4CA6">
      <w:pPr>
        <w:pStyle w:val="Heading3"/>
      </w:pPr>
      <w:bookmarkStart w:id="264" w:name="_Toc98964663"/>
      <w:bookmarkStart w:id="265" w:name="_Toc103344708"/>
      <w:r>
        <w:lastRenderedPageBreak/>
        <w:t>T</w:t>
      </w:r>
      <w:r w:rsidR="004A09E8">
        <w:t>he effect of ageing on v</w:t>
      </w:r>
      <w:r w:rsidR="008816D4" w:rsidRPr="009D4627">
        <w:t xml:space="preserve">ertical </w:t>
      </w:r>
      <w:r w:rsidR="00230ED5" w:rsidRPr="009D4627">
        <w:t>SP</w:t>
      </w:r>
      <w:bookmarkEnd w:id="264"/>
      <w:bookmarkEnd w:id="265"/>
      <w:r w:rsidR="008816D4" w:rsidRPr="009D4627">
        <w:t xml:space="preserve"> </w:t>
      </w:r>
    </w:p>
    <w:p w14:paraId="780607A0" w14:textId="69B011C2" w:rsidR="008816D4" w:rsidRDefault="004000DD" w:rsidP="008816D4">
      <w:pPr>
        <w:spacing w:after="160"/>
        <w:rPr>
          <w:szCs w:val="22"/>
        </w:rPr>
      </w:pPr>
      <w:r w:rsidRPr="009D4627">
        <w:rPr>
          <w:szCs w:val="22"/>
        </w:rPr>
        <w:t xml:space="preserve">Individual participant means for the three age group participants were calculated for </w:t>
      </w:r>
      <w:r w:rsidRPr="009D4627">
        <w:rPr>
          <w:color w:val="auto"/>
          <w:szCs w:val="22"/>
        </w:rPr>
        <w:t>SP gain, RMSE, and duration of SP segment</w:t>
      </w:r>
      <w:r w:rsidR="00DE330E">
        <w:rPr>
          <w:color w:val="auto"/>
          <w:szCs w:val="22"/>
        </w:rPr>
        <w:t xml:space="preserve"> (Appendix 3.3)</w:t>
      </w:r>
      <w:r w:rsidR="004A09E8">
        <w:rPr>
          <w:color w:val="auto"/>
          <w:szCs w:val="22"/>
        </w:rPr>
        <w:t>.</w:t>
      </w:r>
      <w:r w:rsidR="008816D4" w:rsidRPr="009D4627">
        <w:rPr>
          <w:color w:val="auto"/>
          <w:szCs w:val="22"/>
        </w:rPr>
        <w:t xml:space="preserve"> </w:t>
      </w:r>
      <w:r w:rsidR="008816D4" w:rsidRPr="009D4627">
        <w:rPr>
          <w:szCs w:val="22"/>
        </w:rPr>
        <w:t>Individual means were then used to calculate the group means</w:t>
      </w:r>
      <w:r w:rsidR="00E74999" w:rsidRPr="009D4627">
        <w:rPr>
          <w:szCs w:val="22"/>
        </w:rPr>
        <w:t xml:space="preserve"> for the</w:t>
      </w:r>
      <w:r w:rsidR="008816D4" w:rsidRPr="009D4627">
        <w:rPr>
          <w:szCs w:val="22"/>
        </w:rPr>
        <w:t xml:space="preserve"> three age groups: young (n</w:t>
      </w:r>
      <w:r w:rsidR="008C0788" w:rsidRPr="009D4627">
        <w:rPr>
          <w:szCs w:val="22"/>
        </w:rPr>
        <w:t xml:space="preserve"> </w:t>
      </w:r>
      <w:r w:rsidR="008816D4" w:rsidRPr="009D4627">
        <w:rPr>
          <w:szCs w:val="22"/>
        </w:rPr>
        <w:t>=</w:t>
      </w:r>
      <w:r w:rsidR="008C0788" w:rsidRPr="009D4627">
        <w:rPr>
          <w:szCs w:val="22"/>
        </w:rPr>
        <w:t xml:space="preserve"> </w:t>
      </w:r>
      <w:r w:rsidR="008816D4" w:rsidRPr="009D4627">
        <w:rPr>
          <w:szCs w:val="22"/>
        </w:rPr>
        <w:t>23), middle</w:t>
      </w:r>
      <w:r w:rsidR="006A57A2" w:rsidRPr="009D4627">
        <w:rPr>
          <w:szCs w:val="22"/>
        </w:rPr>
        <w:t xml:space="preserve"> </w:t>
      </w:r>
      <w:r w:rsidR="008816D4" w:rsidRPr="009D4627">
        <w:rPr>
          <w:szCs w:val="22"/>
        </w:rPr>
        <w:t>(n</w:t>
      </w:r>
      <w:r w:rsidR="008C0788" w:rsidRPr="009D4627">
        <w:rPr>
          <w:szCs w:val="22"/>
        </w:rPr>
        <w:t xml:space="preserve"> </w:t>
      </w:r>
      <w:r w:rsidR="008816D4" w:rsidRPr="009D4627">
        <w:rPr>
          <w:szCs w:val="22"/>
        </w:rPr>
        <w:t>=</w:t>
      </w:r>
      <w:r w:rsidR="008C0788" w:rsidRPr="009D4627">
        <w:rPr>
          <w:szCs w:val="22"/>
        </w:rPr>
        <w:t xml:space="preserve"> </w:t>
      </w:r>
      <w:r w:rsidR="008816D4" w:rsidRPr="009D4627">
        <w:rPr>
          <w:szCs w:val="22"/>
        </w:rPr>
        <w:t>18), and old</w:t>
      </w:r>
      <w:r w:rsidR="00E74999" w:rsidRPr="009D4627">
        <w:rPr>
          <w:szCs w:val="22"/>
        </w:rPr>
        <w:t>er</w:t>
      </w:r>
      <w:r w:rsidR="008816D4" w:rsidRPr="009D4627">
        <w:rPr>
          <w:szCs w:val="22"/>
        </w:rPr>
        <w:t xml:space="preserve"> age</w:t>
      </w:r>
      <w:r w:rsidR="006A57A2" w:rsidRPr="009D4627">
        <w:rPr>
          <w:szCs w:val="22"/>
        </w:rPr>
        <w:t xml:space="preserve"> groups</w:t>
      </w:r>
      <w:r w:rsidR="008816D4" w:rsidRPr="009D4627">
        <w:rPr>
          <w:szCs w:val="22"/>
        </w:rPr>
        <w:t xml:space="preserve"> (n</w:t>
      </w:r>
      <w:r w:rsidR="008C0788" w:rsidRPr="009D4627">
        <w:rPr>
          <w:szCs w:val="22"/>
        </w:rPr>
        <w:t xml:space="preserve"> </w:t>
      </w:r>
      <w:r w:rsidR="008816D4" w:rsidRPr="009D4627">
        <w:rPr>
          <w:szCs w:val="22"/>
        </w:rPr>
        <w:t>=</w:t>
      </w:r>
      <w:r w:rsidR="008C0788" w:rsidRPr="009D4627">
        <w:rPr>
          <w:szCs w:val="22"/>
        </w:rPr>
        <w:t xml:space="preserve"> </w:t>
      </w:r>
      <w:r w:rsidR="008816D4" w:rsidRPr="009D4627">
        <w:rPr>
          <w:szCs w:val="22"/>
        </w:rPr>
        <w:t>15).</w:t>
      </w:r>
    </w:p>
    <w:p w14:paraId="59223851" w14:textId="365DD03D" w:rsidR="008905A5" w:rsidRDefault="008905A5" w:rsidP="008905A5">
      <w:pPr>
        <w:spacing w:after="160"/>
      </w:pPr>
      <w:r w:rsidRPr="00B50107">
        <w:t xml:space="preserve">To compare the effects of ageing on </w:t>
      </w:r>
      <w:r w:rsidR="00723ACD">
        <w:t>vertical</w:t>
      </w:r>
      <w:r w:rsidRPr="00B50107">
        <w:t xml:space="preserve"> SP parameters, a one-way ANOVA was used. </w:t>
      </w:r>
      <w:r w:rsidR="00A83C0C">
        <w:t>T</w:t>
      </w:r>
      <w:r w:rsidRPr="00B50107">
        <w:t xml:space="preserve">here was a statistically significant difference in SP </w:t>
      </w:r>
      <w:r w:rsidR="0091194F">
        <w:t>RMSE</w:t>
      </w:r>
      <w:r>
        <w:t xml:space="preserve"> at the </w:t>
      </w:r>
      <w:r w:rsidR="0091194F">
        <w:t xml:space="preserve">first three </w:t>
      </w:r>
      <w:r>
        <w:t>frequenc</w:t>
      </w:r>
      <w:r w:rsidR="0091194F">
        <w:t>ies</w:t>
      </w:r>
      <w:r>
        <w:t xml:space="preserve"> </w:t>
      </w:r>
      <w:r w:rsidRPr="00B50107">
        <w:t xml:space="preserve">and </w:t>
      </w:r>
      <w:r>
        <w:t xml:space="preserve">SP </w:t>
      </w:r>
      <w:r w:rsidR="0091194F">
        <w:t>durations at the third frequency</w:t>
      </w:r>
      <w:r w:rsidR="00A83C0C">
        <w:t xml:space="preserve"> between the ag</w:t>
      </w:r>
      <w:r w:rsidR="001010A3">
        <w:t>e</w:t>
      </w:r>
      <w:r w:rsidR="00A83C0C">
        <w:t xml:space="preserve"> groups</w:t>
      </w:r>
      <w:r w:rsidR="0091194F">
        <w:t>. H</w:t>
      </w:r>
      <w:r w:rsidRPr="001F19C4">
        <w:t xml:space="preserve">owever, the SP </w:t>
      </w:r>
      <w:r w:rsidR="0091194F">
        <w:t>gain</w:t>
      </w:r>
      <w:r w:rsidRPr="001F19C4">
        <w:t xml:space="preserve"> was not different amongst the age groups</w:t>
      </w:r>
      <w:r>
        <w:t xml:space="preserve"> for all frequencies</w:t>
      </w:r>
      <w:r w:rsidRPr="001F19C4">
        <w:t>.</w:t>
      </w:r>
      <w:r>
        <w:t xml:space="preserve"> </w:t>
      </w:r>
      <w:r w:rsidRPr="00B50107">
        <w:t>The one-way ANOVA findings are reported in Table 3.</w:t>
      </w:r>
      <w:r>
        <w:t>2</w:t>
      </w:r>
      <w:r w:rsidRPr="00B50107">
        <w:t>.</w:t>
      </w:r>
    </w:p>
    <w:p w14:paraId="10D762C1" w14:textId="1B32797A" w:rsidR="008905A5" w:rsidRDefault="008905A5" w:rsidP="002A6FE6">
      <w:pPr>
        <w:spacing w:after="160" w:line="240" w:lineRule="auto"/>
      </w:pPr>
      <w:bookmarkStart w:id="266" w:name="_Toc99439394"/>
      <w:r w:rsidRPr="009D4627">
        <w:t>Table 3.</w:t>
      </w:r>
      <w:r w:rsidR="007E7CC8">
        <w:fldChar w:fldCharType="begin"/>
      </w:r>
      <w:r w:rsidR="007E7CC8">
        <w:instrText xml:space="preserve"> SEQ Table_3. \* ARABIC </w:instrText>
      </w:r>
      <w:r w:rsidR="007E7CC8">
        <w:fldChar w:fldCharType="separate"/>
      </w:r>
      <w:r w:rsidR="00E268F6">
        <w:rPr>
          <w:noProof/>
        </w:rPr>
        <w:t>2</w:t>
      </w:r>
      <w:r w:rsidR="007E7CC8">
        <w:rPr>
          <w:noProof/>
        </w:rPr>
        <w:fldChar w:fldCharType="end"/>
      </w:r>
      <w:r w:rsidRPr="009D4627">
        <w:t xml:space="preserve">: </w:t>
      </w:r>
      <w:r w:rsidR="002A6FE6">
        <w:t xml:space="preserve">A </w:t>
      </w:r>
      <w:r w:rsidR="002A6FE6" w:rsidRPr="002A6FE6">
        <w:t>one-way ANOVA was used to examine the effects of age on vertical SP variables</w:t>
      </w:r>
      <w:r w:rsidR="002A6FE6">
        <w:t xml:space="preserve"> at four vertical SP frequencies.</w:t>
      </w:r>
      <w:bookmarkEnd w:id="266"/>
    </w:p>
    <w:tbl>
      <w:tblPr>
        <w:tblW w:w="8425" w:type="dxa"/>
        <w:tblLook w:val="04A0" w:firstRow="1" w:lastRow="0" w:firstColumn="1" w:lastColumn="0" w:noHBand="0" w:noVBand="1"/>
      </w:tblPr>
      <w:tblGrid>
        <w:gridCol w:w="2540"/>
        <w:gridCol w:w="1145"/>
        <w:gridCol w:w="900"/>
        <w:gridCol w:w="960"/>
        <w:gridCol w:w="960"/>
        <w:gridCol w:w="960"/>
        <w:gridCol w:w="960"/>
      </w:tblGrid>
      <w:tr w:rsidR="009A36D2" w:rsidRPr="0091194F" w14:paraId="242FBE08" w14:textId="77777777" w:rsidTr="00281A92">
        <w:trPr>
          <w:trHeight w:val="300"/>
        </w:trPr>
        <w:tc>
          <w:tcPr>
            <w:tcW w:w="2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26904"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 </w:t>
            </w:r>
          </w:p>
        </w:tc>
        <w:tc>
          <w:tcPr>
            <w:tcW w:w="1145" w:type="dxa"/>
            <w:tcBorders>
              <w:top w:val="single" w:sz="4" w:space="0" w:color="auto"/>
              <w:left w:val="nil"/>
              <w:bottom w:val="single" w:sz="4" w:space="0" w:color="auto"/>
              <w:right w:val="single" w:sz="4" w:space="0" w:color="auto"/>
            </w:tcBorders>
            <w:shd w:val="clear" w:color="auto" w:fill="auto"/>
            <w:noWrap/>
            <w:vAlign w:val="bottom"/>
            <w:hideMark/>
          </w:tcPr>
          <w:p w14:paraId="4723AAF3"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Frequency</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3E6206B7"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SS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1A87D89" w14:textId="77777777" w:rsidR="0091194F" w:rsidRPr="0091194F" w:rsidRDefault="0091194F" w:rsidP="00281A92">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df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7E4CF8E"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MS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FFB4BCF"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6981A24"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i/>
                <w:iCs/>
                <w:color w:val="000000"/>
                <w:sz w:val="22"/>
                <w:szCs w:val="22"/>
                <w:lang w:val="en-MY" w:eastAsia="en-MY"/>
              </w:rPr>
              <w:t>p</w:t>
            </w:r>
            <w:r w:rsidRPr="0091194F">
              <w:rPr>
                <w:rFonts w:eastAsia="Times New Roman"/>
                <w:color w:val="000000"/>
                <w:sz w:val="22"/>
                <w:szCs w:val="22"/>
                <w:lang w:val="en-MY" w:eastAsia="en-MY"/>
              </w:rPr>
              <w:t>-value</w:t>
            </w:r>
          </w:p>
        </w:tc>
      </w:tr>
      <w:tr w:rsidR="009A36D2" w:rsidRPr="0091194F" w14:paraId="6EB111FC" w14:textId="77777777" w:rsidTr="00281A92">
        <w:trPr>
          <w:trHeight w:val="300"/>
        </w:trPr>
        <w:tc>
          <w:tcPr>
            <w:tcW w:w="2540" w:type="dxa"/>
            <w:vMerge w:val="restart"/>
            <w:tcBorders>
              <w:top w:val="nil"/>
              <w:left w:val="single" w:sz="4" w:space="0" w:color="auto"/>
              <w:bottom w:val="single" w:sz="4" w:space="0" w:color="auto"/>
              <w:right w:val="single" w:sz="4" w:space="0" w:color="auto"/>
            </w:tcBorders>
            <w:shd w:val="clear" w:color="auto" w:fill="auto"/>
            <w:noWrap/>
            <w:hideMark/>
          </w:tcPr>
          <w:p w14:paraId="569A0269"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Vertical SP gain</w:t>
            </w:r>
          </w:p>
        </w:tc>
        <w:tc>
          <w:tcPr>
            <w:tcW w:w="1145" w:type="dxa"/>
            <w:tcBorders>
              <w:top w:val="nil"/>
              <w:left w:val="nil"/>
              <w:bottom w:val="single" w:sz="4" w:space="0" w:color="auto"/>
              <w:right w:val="single" w:sz="4" w:space="0" w:color="auto"/>
            </w:tcBorders>
            <w:shd w:val="clear" w:color="auto" w:fill="auto"/>
            <w:noWrap/>
            <w:vAlign w:val="bottom"/>
            <w:hideMark/>
          </w:tcPr>
          <w:p w14:paraId="6D5B5740"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0.25 Hz</w:t>
            </w:r>
          </w:p>
        </w:tc>
        <w:tc>
          <w:tcPr>
            <w:tcW w:w="900" w:type="dxa"/>
            <w:tcBorders>
              <w:top w:val="nil"/>
              <w:left w:val="nil"/>
              <w:bottom w:val="single" w:sz="4" w:space="0" w:color="auto"/>
              <w:right w:val="single" w:sz="4" w:space="0" w:color="auto"/>
            </w:tcBorders>
            <w:shd w:val="clear" w:color="auto" w:fill="auto"/>
            <w:noWrap/>
            <w:vAlign w:val="bottom"/>
            <w:hideMark/>
          </w:tcPr>
          <w:p w14:paraId="642F1BA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0.02</w:t>
            </w:r>
          </w:p>
        </w:tc>
        <w:tc>
          <w:tcPr>
            <w:tcW w:w="960" w:type="dxa"/>
            <w:vMerge w:val="restart"/>
            <w:tcBorders>
              <w:top w:val="nil"/>
              <w:left w:val="single" w:sz="4" w:space="0" w:color="auto"/>
              <w:bottom w:val="single" w:sz="4" w:space="0" w:color="000000"/>
              <w:right w:val="single" w:sz="4" w:space="0" w:color="auto"/>
            </w:tcBorders>
            <w:shd w:val="clear" w:color="auto" w:fill="auto"/>
            <w:noWrap/>
            <w:hideMark/>
          </w:tcPr>
          <w:p w14:paraId="7E458533" w14:textId="77777777" w:rsidR="0091194F" w:rsidRPr="0091194F" w:rsidRDefault="0091194F" w:rsidP="00281A92">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2,53</w:t>
            </w:r>
          </w:p>
        </w:tc>
        <w:tc>
          <w:tcPr>
            <w:tcW w:w="960" w:type="dxa"/>
            <w:tcBorders>
              <w:top w:val="nil"/>
              <w:left w:val="nil"/>
              <w:bottom w:val="single" w:sz="4" w:space="0" w:color="auto"/>
              <w:right w:val="single" w:sz="4" w:space="0" w:color="auto"/>
            </w:tcBorders>
            <w:shd w:val="clear" w:color="auto" w:fill="auto"/>
            <w:noWrap/>
            <w:vAlign w:val="bottom"/>
            <w:hideMark/>
          </w:tcPr>
          <w:p w14:paraId="4C13EF1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0.01</w:t>
            </w:r>
          </w:p>
        </w:tc>
        <w:tc>
          <w:tcPr>
            <w:tcW w:w="960" w:type="dxa"/>
            <w:tcBorders>
              <w:top w:val="nil"/>
              <w:left w:val="nil"/>
              <w:bottom w:val="single" w:sz="4" w:space="0" w:color="auto"/>
              <w:right w:val="single" w:sz="4" w:space="0" w:color="auto"/>
            </w:tcBorders>
            <w:shd w:val="clear" w:color="auto" w:fill="auto"/>
            <w:noWrap/>
            <w:vAlign w:val="bottom"/>
            <w:hideMark/>
          </w:tcPr>
          <w:p w14:paraId="33C70444"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1.17</w:t>
            </w:r>
          </w:p>
        </w:tc>
        <w:tc>
          <w:tcPr>
            <w:tcW w:w="960" w:type="dxa"/>
            <w:tcBorders>
              <w:top w:val="nil"/>
              <w:left w:val="nil"/>
              <w:bottom w:val="single" w:sz="4" w:space="0" w:color="auto"/>
              <w:right w:val="single" w:sz="4" w:space="0" w:color="auto"/>
            </w:tcBorders>
            <w:shd w:val="clear" w:color="auto" w:fill="auto"/>
            <w:noWrap/>
            <w:vAlign w:val="bottom"/>
            <w:hideMark/>
          </w:tcPr>
          <w:p w14:paraId="74FB7B2B"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0.32</w:t>
            </w:r>
          </w:p>
        </w:tc>
      </w:tr>
      <w:tr w:rsidR="009A36D2" w:rsidRPr="0091194F" w14:paraId="63C8223B"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1A0BEA02"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561D1323"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0.5 Hz</w:t>
            </w:r>
          </w:p>
        </w:tc>
        <w:tc>
          <w:tcPr>
            <w:tcW w:w="900" w:type="dxa"/>
            <w:tcBorders>
              <w:top w:val="nil"/>
              <w:left w:val="nil"/>
              <w:bottom w:val="single" w:sz="4" w:space="0" w:color="auto"/>
              <w:right w:val="single" w:sz="4" w:space="0" w:color="auto"/>
            </w:tcBorders>
            <w:shd w:val="clear" w:color="auto" w:fill="auto"/>
            <w:noWrap/>
            <w:vAlign w:val="bottom"/>
            <w:hideMark/>
          </w:tcPr>
          <w:p w14:paraId="3473F956"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0.06</w:t>
            </w:r>
          </w:p>
        </w:tc>
        <w:tc>
          <w:tcPr>
            <w:tcW w:w="960" w:type="dxa"/>
            <w:vMerge/>
            <w:tcBorders>
              <w:top w:val="nil"/>
              <w:left w:val="single" w:sz="4" w:space="0" w:color="auto"/>
              <w:bottom w:val="single" w:sz="4" w:space="0" w:color="000000"/>
              <w:right w:val="single" w:sz="4" w:space="0" w:color="auto"/>
            </w:tcBorders>
            <w:vAlign w:val="bottom"/>
            <w:hideMark/>
          </w:tcPr>
          <w:p w14:paraId="603126FD"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58B1B471"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0.03</w:t>
            </w:r>
          </w:p>
        </w:tc>
        <w:tc>
          <w:tcPr>
            <w:tcW w:w="960" w:type="dxa"/>
            <w:tcBorders>
              <w:top w:val="nil"/>
              <w:left w:val="nil"/>
              <w:bottom w:val="single" w:sz="4" w:space="0" w:color="auto"/>
              <w:right w:val="single" w:sz="4" w:space="0" w:color="auto"/>
            </w:tcBorders>
            <w:shd w:val="clear" w:color="auto" w:fill="auto"/>
            <w:noWrap/>
            <w:vAlign w:val="bottom"/>
            <w:hideMark/>
          </w:tcPr>
          <w:p w14:paraId="3464288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1.67</w:t>
            </w:r>
          </w:p>
        </w:tc>
        <w:tc>
          <w:tcPr>
            <w:tcW w:w="960" w:type="dxa"/>
            <w:tcBorders>
              <w:top w:val="nil"/>
              <w:left w:val="nil"/>
              <w:bottom w:val="single" w:sz="4" w:space="0" w:color="auto"/>
              <w:right w:val="single" w:sz="4" w:space="0" w:color="auto"/>
            </w:tcBorders>
            <w:shd w:val="clear" w:color="auto" w:fill="auto"/>
            <w:noWrap/>
            <w:vAlign w:val="bottom"/>
            <w:hideMark/>
          </w:tcPr>
          <w:p w14:paraId="01744001"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0.20</w:t>
            </w:r>
          </w:p>
        </w:tc>
      </w:tr>
      <w:tr w:rsidR="009A36D2" w:rsidRPr="0091194F" w14:paraId="41808D5F"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0FD6104C"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223BF0E7"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0.75 Hz</w:t>
            </w:r>
          </w:p>
        </w:tc>
        <w:tc>
          <w:tcPr>
            <w:tcW w:w="900" w:type="dxa"/>
            <w:tcBorders>
              <w:top w:val="nil"/>
              <w:left w:val="nil"/>
              <w:bottom w:val="single" w:sz="4" w:space="0" w:color="auto"/>
              <w:right w:val="single" w:sz="4" w:space="0" w:color="auto"/>
            </w:tcBorders>
            <w:shd w:val="clear" w:color="auto" w:fill="auto"/>
            <w:noWrap/>
            <w:vAlign w:val="bottom"/>
            <w:hideMark/>
          </w:tcPr>
          <w:p w14:paraId="709597B8"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0.03</w:t>
            </w:r>
          </w:p>
        </w:tc>
        <w:tc>
          <w:tcPr>
            <w:tcW w:w="960" w:type="dxa"/>
            <w:vMerge/>
            <w:tcBorders>
              <w:top w:val="nil"/>
              <w:left w:val="single" w:sz="4" w:space="0" w:color="auto"/>
              <w:bottom w:val="single" w:sz="4" w:space="0" w:color="000000"/>
              <w:right w:val="single" w:sz="4" w:space="0" w:color="auto"/>
            </w:tcBorders>
            <w:vAlign w:val="bottom"/>
            <w:hideMark/>
          </w:tcPr>
          <w:p w14:paraId="35EA6AD3"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7D10F997"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0.01</w:t>
            </w:r>
          </w:p>
        </w:tc>
        <w:tc>
          <w:tcPr>
            <w:tcW w:w="960" w:type="dxa"/>
            <w:tcBorders>
              <w:top w:val="nil"/>
              <w:left w:val="nil"/>
              <w:bottom w:val="single" w:sz="4" w:space="0" w:color="auto"/>
              <w:right w:val="single" w:sz="4" w:space="0" w:color="auto"/>
            </w:tcBorders>
            <w:shd w:val="clear" w:color="auto" w:fill="auto"/>
            <w:noWrap/>
            <w:vAlign w:val="bottom"/>
            <w:hideMark/>
          </w:tcPr>
          <w:p w14:paraId="0F44070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0.44</w:t>
            </w:r>
          </w:p>
        </w:tc>
        <w:tc>
          <w:tcPr>
            <w:tcW w:w="960" w:type="dxa"/>
            <w:tcBorders>
              <w:top w:val="nil"/>
              <w:left w:val="nil"/>
              <w:bottom w:val="single" w:sz="4" w:space="0" w:color="auto"/>
              <w:right w:val="single" w:sz="4" w:space="0" w:color="auto"/>
            </w:tcBorders>
            <w:shd w:val="clear" w:color="auto" w:fill="auto"/>
            <w:noWrap/>
            <w:vAlign w:val="bottom"/>
            <w:hideMark/>
          </w:tcPr>
          <w:p w14:paraId="3FCD4944"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0.64</w:t>
            </w:r>
          </w:p>
        </w:tc>
      </w:tr>
      <w:tr w:rsidR="009A36D2" w:rsidRPr="0091194F" w14:paraId="57E11E82"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7BBC3CEA"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7F79E12E"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1.0 Hz</w:t>
            </w:r>
          </w:p>
        </w:tc>
        <w:tc>
          <w:tcPr>
            <w:tcW w:w="900" w:type="dxa"/>
            <w:tcBorders>
              <w:top w:val="nil"/>
              <w:left w:val="nil"/>
              <w:bottom w:val="single" w:sz="4" w:space="0" w:color="auto"/>
              <w:right w:val="single" w:sz="4" w:space="0" w:color="auto"/>
            </w:tcBorders>
            <w:shd w:val="clear" w:color="auto" w:fill="auto"/>
            <w:noWrap/>
            <w:vAlign w:val="bottom"/>
            <w:hideMark/>
          </w:tcPr>
          <w:p w14:paraId="01C08B7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0.02</w:t>
            </w:r>
          </w:p>
        </w:tc>
        <w:tc>
          <w:tcPr>
            <w:tcW w:w="960" w:type="dxa"/>
            <w:vMerge/>
            <w:tcBorders>
              <w:top w:val="nil"/>
              <w:left w:val="single" w:sz="4" w:space="0" w:color="auto"/>
              <w:bottom w:val="single" w:sz="4" w:space="0" w:color="000000"/>
              <w:right w:val="single" w:sz="4" w:space="0" w:color="auto"/>
            </w:tcBorders>
            <w:vAlign w:val="bottom"/>
            <w:hideMark/>
          </w:tcPr>
          <w:p w14:paraId="52B2068D"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12B23847"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0.01</w:t>
            </w:r>
          </w:p>
        </w:tc>
        <w:tc>
          <w:tcPr>
            <w:tcW w:w="960" w:type="dxa"/>
            <w:tcBorders>
              <w:top w:val="nil"/>
              <w:left w:val="nil"/>
              <w:bottom w:val="single" w:sz="4" w:space="0" w:color="auto"/>
              <w:right w:val="single" w:sz="4" w:space="0" w:color="auto"/>
            </w:tcBorders>
            <w:shd w:val="clear" w:color="auto" w:fill="auto"/>
            <w:noWrap/>
            <w:vAlign w:val="bottom"/>
            <w:hideMark/>
          </w:tcPr>
          <w:p w14:paraId="5A25B93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0.40</w:t>
            </w:r>
          </w:p>
        </w:tc>
        <w:tc>
          <w:tcPr>
            <w:tcW w:w="960" w:type="dxa"/>
            <w:tcBorders>
              <w:top w:val="nil"/>
              <w:left w:val="nil"/>
              <w:bottom w:val="single" w:sz="4" w:space="0" w:color="auto"/>
              <w:right w:val="single" w:sz="4" w:space="0" w:color="auto"/>
            </w:tcBorders>
            <w:shd w:val="clear" w:color="auto" w:fill="auto"/>
            <w:noWrap/>
            <w:vAlign w:val="bottom"/>
            <w:hideMark/>
          </w:tcPr>
          <w:p w14:paraId="74400A89"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0.67</w:t>
            </w:r>
          </w:p>
        </w:tc>
      </w:tr>
      <w:tr w:rsidR="009A36D2" w:rsidRPr="0091194F" w14:paraId="0407CAB1" w14:textId="77777777" w:rsidTr="00281A92">
        <w:trPr>
          <w:trHeight w:val="300"/>
        </w:trPr>
        <w:tc>
          <w:tcPr>
            <w:tcW w:w="2540" w:type="dxa"/>
            <w:vMerge w:val="restart"/>
            <w:tcBorders>
              <w:top w:val="nil"/>
              <w:left w:val="single" w:sz="4" w:space="0" w:color="auto"/>
              <w:bottom w:val="single" w:sz="4" w:space="0" w:color="auto"/>
              <w:right w:val="single" w:sz="4" w:space="0" w:color="auto"/>
            </w:tcBorders>
            <w:shd w:val="clear" w:color="auto" w:fill="auto"/>
            <w:noWrap/>
            <w:hideMark/>
          </w:tcPr>
          <w:p w14:paraId="725C3B10"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Vertical SP RMSE</w:t>
            </w:r>
          </w:p>
        </w:tc>
        <w:tc>
          <w:tcPr>
            <w:tcW w:w="1145" w:type="dxa"/>
            <w:tcBorders>
              <w:top w:val="nil"/>
              <w:left w:val="nil"/>
              <w:bottom w:val="single" w:sz="4" w:space="0" w:color="auto"/>
              <w:right w:val="single" w:sz="4" w:space="0" w:color="auto"/>
            </w:tcBorders>
            <w:shd w:val="clear" w:color="auto" w:fill="auto"/>
            <w:noWrap/>
            <w:vAlign w:val="bottom"/>
            <w:hideMark/>
          </w:tcPr>
          <w:p w14:paraId="5752CCD9"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0.25 Hz</w:t>
            </w:r>
          </w:p>
        </w:tc>
        <w:tc>
          <w:tcPr>
            <w:tcW w:w="900" w:type="dxa"/>
            <w:tcBorders>
              <w:top w:val="nil"/>
              <w:left w:val="nil"/>
              <w:bottom w:val="single" w:sz="4" w:space="0" w:color="auto"/>
              <w:right w:val="single" w:sz="4" w:space="0" w:color="auto"/>
            </w:tcBorders>
            <w:shd w:val="clear" w:color="auto" w:fill="auto"/>
            <w:noWrap/>
            <w:vAlign w:val="bottom"/>
            <w:hideMark/>
          </w:tcPr>
          <w:p w14:paraId="1E897A6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3.15</w:t>
            </w:r>
          </w:p>
        </w:tc>
        <w:tc>
          <w:tcPr>
            <w:tcW w:w="960" w:type="dxa"/>
            <w:vMerge w:val="restart"/>
            <w:tcBorders>
              <w:top w:val="nil"/>
              <w:left w:val="single" w:sz="4" w:space="0" w:color="auto"/>
              <w:bottom w:val="single" w:sz="4" w:space="0" w:color="000000"/>
              <w:right w:val="single" w:sz="4" w:space="0" w:color="auto"/>
            </w:tcBorders>
            <w:shd w:val="clear" w:color="auto" w:fill="auto"/>
            <w:noWrap/>
            <w:hideMark/>
          </w:tcPr>
          <w:p w14:paraId="1B286AAD" w14:textId="77777777" w:rsidR="0091194F" w:rsidRPr="0091194F" w:rsidRDefault="0091194F" w:rsidP="00281A92">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2,53</w:t>
            </w:r>
          </w:p>
        </w:tc>
        <w:tc>
          <w:tcPr>
            <w:tcW w:w="960" w:type="dxa"/>
            <w:tcBorders>
              <w:top w:val="nil"/>
              <w:left w:val="nil"/>
              <w:bottom w:val="single" w:sz="4" w:space="0" w:color="auto"/>
              <w:right w:val="single" w:sz="4" w:space="0" w:color="auto"/>
            </w:tcBorders>
            <w:shd w:val="clear" w:color="auto" w:fill="auto"/>
            <w:noWrap/>
            <w:vAlign w:val="bottom"/>
            <w:hideMark/>
          </w:tcPr>
          <w:p w14:paraId="7891325B"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1.58</w:t>
            </w:r>
          </w:p>
        </w:tc>
        <w:tc>
          <w:tcPr>
            <w:tcW w:w="960" w:type="dxa"/>
            <w:tcBorders>
              <w:top w:val="nil"/>
              <w:left w:val="nil"/>
              <w:bottom w:val="single" w:sz="4" w:space="0" w:color="auto"/>
              <w:right w:val="single" w:sz="4" w:space="0" w:color="auto"/>
            </w:tcBorders>
            <w:shd w:val="clear" w:color="auto" w:fill="auto"/>
            <w:noWrap/>
            <w:vAlign w:val="bottom"/>
            <w:hideMark/>
          </w:tcPr>
          <w:p w14:paraId="7545C025"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8.89</w:t>
            </w:r>
          </w:p>
        </w:tc>
        <w:tc>
          <w:tcPr>
            <w:tcW w:w="960" w:type="dxa"/>
            <w:tcBorders>
              <w:top w:val="nil"/>
              <w:left w:val="nil"/>
              <w:bottom w:val="single" w:sz="4" w:space="0" w:color="auto"/>
              <w:right w:val="single" w:sz="4" w:space="0" w:color="auto"/>
            </w:tcBorders>
            <w:shd w:val="clear" w:color="auto" w:fill="auto"/>
            <w:noWrap/>
            <w:vAlign w:val="bottom"/>
            <w:hideMark/>
          </w:tcPr>
          <w:p w14:paraId="0FE94BA6"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91194F">
              <w:rPr>
                <w:rFonts w:eastAsia="Times New Roman"/>
                <w:color w:val="000000"/>
                <w:sz w:val="22"/>
                <w:szCs w:val="22"/>
                <w:lang w:val="en-MY" w:eastAsia="en-MY"/>
              </w:rPr>
              <w:t>&lt;0.01*</w:t>
            </w:r>
          </w:p>
        </w:tc>
      </w:tr>
      <w:tr w:rsidR="009A36D2" w:rsidRPr="0091194F" w14:paraId="4926220A"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39F7A24C"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6C1A07B6"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0.5 Hz</w:t>
            </w:r>
          </w:p>
        </w:tc>
        <w:tc>
          <w:tcPr>
            <w:tcW w:w="900" w:type="dxa"/>
            <w:tcBorders>
              <w:top w:val="nil"/>
              <w:left w:val="nil"/>
              <w:bottom w:val="single" w:sz="4" w:space="0" w:color="auto"/>
              <w:right w:val="single" w:sz="4" w:space="0" w:color="auto"/>
            </w:tcBorders>
            <w:shd w:val="clear" w:color="auto" w:fill="auto"/>
            <w:noWrap/>
            <w:vAlign w:val="bottom"/>
            <w:hideMark/>
          </w:tcPr>
          <w:p w14:paraId="3DA6C39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3.07</w:t>
            </w:r>
          </w:p>
        </w:tc>
        <w:tc>
          <w:tcPr>
            <w:tcW w:w="960" w:type="dxa"/>
            <w:vMerge/>
            <w:tcBorders>
              <w:top w:val="nil"/>
              <w:left w:val="single" w:sz="4" w:space="0" w:color="auto"/>
              <w:bottom w:val="single" w:sz="4" w:space="0" w:color="000000"/>
              <w:right w:val="single" w:sz="4" w:space="0" w:color="auto"/>
            </w:tcBorders>
            <w:vAlign w:val="bottom"/>
            <w:hideMark/>
          </w:tcPr>
          <w:p w14:paraId="41AB0021"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5830BE44"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1.54</w:t>
            </w:r>
          </w:p>
        </w:tc>
        <w:tc>
          <w:tcPr>
            <w:tcW w:w="960" w:type="dxa"/>
            <w:tcBorders>
              <w:top w:val="nil"/>
              <w:left w:val="nil"/>
              <w:bottom w:val="single" w:sz="4" w:space="0" w:color="auto"/>
              <w:right w:val="single" w:sz="4" w:space="0" w:color="auto"/>
            </w:tcBorders>
            <w:shd w:val="clear" w:color="auto" w:fill="auto"/>
            <w:noWrap/>
            <w:vAlign w:val="bottom"/>
            <w:hideMark/>
          </w:tcPr>
          <w:p w14:paraId="61000D18"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3.88</w:t>
            </w:r>
          </w:p>
        </w:tc>
        <w:tc>
          <w:tcPr>
            <w:tcW w:w="960" w:type="dxa"/>
            <w:tcBorders>
              <w:top w:val="nil"/>
              <w:left w:val="nil"/>
              <w:bottom w:val="single" w:sz="4" w:space="0" w:color="auto"/>
              <w:right w:val="single" w:sz="4" w:space="0" w:color="auto"/>
            </w:tcBorders>
            <w:shd w:val="clear" w:color="auto" w:fill="auto"/>
            <w:noWrap/>
            <w:vAlign w:val="bottom"/>
            <w:hideMark/>
          </w:tcPr>
          <w:p w14:paraId="5A033C1E"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0.03*</w:t>
            </w:r>
          </w:p>
        </w:tc>
      </w:tr>
      <w:tr w:rsidR="009A36D2" w:rsidRPr="0091194F" w14:paraId="3638DA59"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56F4BCFD"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06030A35"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0.75 Hz</w:t>
            </w:r>
          </w:p>
        </w:tc>
        <w:tc>
          <w:tcPr>
            <w:tcW w:w="900" w:type="dxa"/>
            <w:tcBorders>
              <w:top w:val="nil"/>
              <w:left w:val="nil"/>
              <w:bottom w:val="single" w:sz="4" w:space="0" w:color="auto"/>
              <w:right w:val="single" w:sz="4" w:space="0" w:color="auto"/>
            </w:tcBorders>
            <w:shd w:val="clear" w:color="auto" w:fill="auto"/>
            <w:noWrap/>
            <w:vAlign w:val="bottom"/>
            <w:hideMark/>
          </w:tcPr>
          <w:p w14:paraId="3DAB53FE"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3.21</w:t>
            </w:r>
          </w:p>
        </w:tc>
        <w:tc>
          <w:tcPr>
            <w:tcW w:w="960" w:type="dxa"/>
            <w:vMerge/>
            <w:tcBorders>
              <w:top w:val="nil"/>
              <w:left w:val="single" w:sz="4" w:space="0" w:color="auto"/>
              <w:bottom w:val="single" w:sz="4" w:space="0" w:color="000000"/>
              <w:right w:val="single" w:sz="4" w:space="0" w:color="auto"/>
            </w:tcBorders>
            <w:vAlign w:val="bottom"/>
            <w:hideMark/>
          </w:tcPr>
          <w:p w14:paraId="70C20EB6"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5FBB5B58"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1.60</w:t>
            </w:r>
          </w:p>
        </w:tc>
        <w:tc>
          <w:tcPr>
            <w:tcW w:w="960" w:type="dxa"/>
            <w:tcBorders>
              <w:top w:val="nil"/>
              <w:left w:val="nil"/>
              <w:bottom w:val="single" w:sz="4" w:space="0" w:color="auto"/>
              <w:right w:val="single" w:sz="4" w:space="0" w:color="auto"/>
            </w:tcBorders>
            <w:shd w:val="clear" w:color="auto" w:fill="auto"/>
            <w:noWrap/>
            <w:vAlign w:val="bottom"/>
            <w:hideMark/>
          </w:tcPr>
          <w:p w14:paraId="31AC294B"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4.74</w:t>
            </w:r>
          </w:p>
        </w:tc>
        <w:tc>
          <w:tcPr>
            <w:tcW w:w="960" w:type="dxa"/>
            <w:tcBorders>
              <w:top w:val="nil"/>
              <w:left w:val="nil"/>
              <w:bottom w:val="single" w:sz="4" w:space="0" w:color="auto"/>
              <w:right w:val="single" w:sz="4" w:space="0" w:color="auto"/>
            </w:tcBorders>
            <w:shd w:val="clear" w:color="auto" w:fill="auto"/>
            <w:noWrap/>
            <w:vAlign w:val="bottom"/>
            <w:hideMark/>
          </w:tcPr>
          <w:p w14:paraId="34B8F26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0.01*</w:t>
            </w:r>
          </w:p>
        </w:tc>
      </w:tr>
      <w:tr w:rsidR="009A36D2" w:rsidRPr="0091194F" w14:paraId="7BCE7217"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3E1D5C41"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0768EDE0"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1.0 Hz</w:t>
            </w:r>
          </w:p>
        </w:tc>
        <w:tc>
          <w:tcPr>
            <w:tcW w:w="900" w:type="dxa"/>
            <w:tcBorders>
              <w:top w:val="nil"/>
              <w:left w:val="nil"/>
              <w:bottom w:val="single" w:sz="4" w:space="0" w:color="auto"/>
              <w:right w:val="single" w:sz="4" w:space="0" w:color="auto"/>
            </w:tcBorders>
            <w:shd w:val="clear" w:color="auto" w:fill="auto"/>
            <w:noWrap/>
            <w:vAlign w:val="bottom"/>
            <w:hideMark/>
          </w:tcPr>
          <w:p w14:paraId="5F7A700F"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0.82</w:t>
            </w:r>
          </w:p>
        </w:tc>
        <w:tc>
          <w:tcPr>
            <w:tcW w:w="960" w:type="dxa"/>
            <w:vMerge/>
            <w:tcBorders>
              <w:top w:val="nil"/>
              <w:left w:val="single" w:sz="4" w:space="0" w:color="auto"/>
              <w:bottom w:val="single" w:sz="4" w:space="0" w:color="000000"/>
              <w:right w:val="single" w:sz="4" w:space="0" w:color="auto"/>
            </w:tcBorders>
            <w:vAlign w:val="bottom"/>
            <w:hideMark/>
          </w:tcPr>
          <w:p w14:paraId="7729C670"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18AEB279"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0.41</w:t>
            </w:r>
          </w:p>
        </w:tc>
        <w:tc>
          <w:tcPr>
            <w:tcW w:w="960" w:type="dxa"/>
            <w:tcBorders>
              <w:top w:val="nil"/>
              <w:left w:val="nil"/>
              <w:bottom w:val="single" w:sz="4" w:space="0" w:color="auto"/>
              <w:right w:val="single" w:sz="4" w:space="0" w:color="auto"/>
            </w:tcBorders>
            <w:shd w:val="clear" w:color="auto" w:fill="auto"/>
            <w:noWrap/>
            <w:vAlign w:val="bottom"/>
            <w:hideMark/>
          </w:tcPr>
          <w:p w14:paraId="01018222"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1.69</w:t>
            </w:r>
          </w:p>
        </w:tc>
        <w:tc>
          <w:tcPr>
            <w:tcW w:w="960" w:type="dxa"/>
            <w:tcBorders>
              <w:top w:val="nil"/>
              <w:left w:val="nil"/>
              <w:bottom w:val="single" w:sz="4" w:space="0" w:color="auto"/>
              <w:right w:val="single" w:sz="4" w:space="0" w:color="auto"/>
            </w:tcBorders>
            <w:shd w:val="clear" w:color="auto" w:fill="auto"/>
            <w:noWrap/>
            <w:vAlign w:val="bottom"/>
            <w:hideMark/>
          </w:tcPr>
          <w:p w14:paraId="31EA1257"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0.19</w:t>
            </w:r>
          </w:p>
        </w:tc>
      </w:tr>
      <w:tr w:rsidR="009A36D2" w:rsidRPr="0091194F" w14:paraId="3B1450A3" w14:textId="77777777" w:rsidTr="00281A92">
        <w:trPr>
          <w:trHeight w:val="300"/>
        </w:trPr>
        <w:tc>
          <w:tcPr>
            <w:tcW w:w="2540" w:type="dxa"/>
            <w:vMerge w:val="restart"/>
            <w:tcBorders>
              <w:top w:val="nil"/>
              <w:left w:val="single" w:sz="4" w:space="0" w:color="auto"/>
              <w:bottom w:val="single" w:sz="4" w:space="0" w:color="auto"/>
              <w:right w:val="single" w:sz="4" w:space="0" w:color="auto"/>
            </w:tcBorders>
            <w:shd w:val="clear" w:color="auto" w:fill="auto"/>
            <w:hideMark/>
          </w:tcPr>
          <w:p w14:paraId="39FBC392"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Vertical SP duration</w:t>
            </w:r>
          </w:p>
        </w:tc>
        <w:tc>
          <w:tcPr>
            <w:tcW w:w="1145" w:type="dxa"/>
            <w:tcBorders>
              <w:top w:val="nil"/>
              <w:left w:val="nil"/>
              <w:bottom w:val="single" w:sz="4" w:space="0" w:color="auto"/>
              <w:right w:val="single" w:sz="4" w:space="0" w:color="auto"/>
            </w:tcBorders>
            <w:shd w:val="clear" w:color="auto" w:fill="auto"/>
            <w:noWrap/>
            <w:vAlign w:val="bottom"/>
            <w:hideMark/>
          </w:tcPr>
          <w:p w14:paraId="0A8A86CB"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0.25 Hz</w:t>
            </w:r>
          </w:p>
        </w:tc>
        <w:tc>
          <w:tcPr>
            <w:tcW w:w="900" w:type="dxa"/>
            <w:tcBorders>
              <w:top w:val="nil"/>
              <w:left w:val="nil"/>
              <w:bottom w:val="single" w:sz="4" w:space="0" w:color="auto"/>
              <w:right w:val="single" w:sz="4" w:space="0" w:color="auto"/>
            </w:tcBorders>
            <w:shd w:val="clear" w:color="auto" w:fill="auto"/>
            <w:noWrap/>
            <w:vAlign w:val="bottom"/>
            <w:hideMark/>
          </w:tcPr>
          <w:p w14:paraId="7F61C98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8981</w:t>
            </w:r>
          </w:p>
        </w:tc>
        <w:tc>
          <w:tcPr>
            <w:tcW w:w="960" w:type="dxa"/>
            <w:vMerge w:val="restart"/>
            <w:tcBorders>
              <w:top w:val="nil"/>
              <w:left w:val="single" w:sz="4" w:space="0" w:color="auto"/>
              <w:bottom w:val="single" w:sz="4" w:space="0" w:color="000000"/>
              <w:right w:val="single" w:sz="4" w:space="0" w:color="auto"/>
            </w:tcBorders>
            <w:shd w:val="clear" w:color="auto" w:fill="auto"/>
            <w:noWrap/>
            <w:hideMark/>
          </w:tcPr>
          <w:p w14:paraId="657DFBB7" w14:textId="77777777" w:rsidR="0091194F" w:rsidRPr="0091194F" w:rsidRDefault="0091194F" w:rsidP="00281A92">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2,53</w:t>
            </w:r>
          </w:p>
        </w:tc>
        <w:tc>
          <w:tcPr>
            <w:tcW w:w="960" w:type="dxa"/>
            <w:tcBorders>
              <w:top w:val="nil"/>
              <w:left w:val="nil"/>
              <w:bottom w:val="single" w:sz="4" w:space="0" w:color="auto"/>
              <w:right w:val="single" w:sz="4" w:space="0" w:color="auto"/>
            </w:tcBorders>
            <w:shd w:val="clear" w:color="auto" w:fill="auto"/>
            <w:noWrap/>
            <w:vAlign w:val="bottom"/>
            <w:hideMark/>
          </w:tcPr>
          <w:p w14:paraId="2D2E7F1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4490</w:t>
            </w:r>
          </w:p>
        </w:tc>
        <w:tc>
          <w:tcPr>
            <w:tcW w:w="960" w:type="dxa"/>
            <w:tcBorders>
              <w:top w:val="nil"/>
              <w:left w:val="nil"/>
              <w:bottom w:val="single" w:sz="4" w:space="0" w:color="auto"/>
              <w:right w:val="single" w:sz="4" w:space="0" w:color="auto"/>
            </w:tcBorders>
            <w:shd w:val="clear" w:color="auto" w:fill="auto"/>
            <w:noWrap/>
            <w:vAlign w:val="bottom"/>
            <w:hideMark/>
          </w:tcPr>
          <w:p w14:paraId="6BCD4BA5"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0.25</w:t>
            </w:r>
          </w:p>
        </w:tc>
        <w:tc>
          <w:tcPr>
            <w:tcW w:w="960" w:type="dxa"/>
            <w:tcBorders>
              <w:top w:val="nil"/>
              <w:left w:val="nil"/>
              <w:bottom w:val="single" w:sz="4" w:space="0" w:color="auto"/>
              <w:right w:val="single" w:sz="4" w:space="0" w:color="auto"/>
            </w:tcBorders>
            <w:shd w:val="clear" w:color="auto" w:fill="auto"/>
            <w:noWrap/>
            <w:vAlign w:val="bottom"/>
            <w:hideMark/>
          </w:tcPr>
          <w:p w14:paraId="3DDBFA0B"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0.78</w:t>
            </w:r>
          </w:p>
        </w:tc>
      </w:tr>
      <w:tr w:rsidR="009A36D2" w:rsidRPr="0091194F" w14:paraId="12766F40"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1566527C"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11772DA6"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0.5 Hz</w:t>
            </w:r>
          </w:p>
        </w:tc>
        <w:tc>
          <w:tcPr>
            <w:tcW w:w="900" w:type="dxa"/>
            <w:tcBorders>
              <w:top w:val="nil"/>
              <w:left w:val="nil"/>
              <w:bottom w:val="single" w:sz="4" w:space="0" w:color="auto"/>
              <w:right w:val="single" w:sz="4" w:space="0" w:color="auto"/>
            </w:tcBorders>
            <w:shd w:val="clear" w:color="auto" w:fill="auto"/>
            <w:noWrap/>
            <w:vAlign w:val="bottom"/>
            <w:hideMark/>
          </w:tcPr>
          <w:p w14:paraId="241F018A"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18822</w:t>
            </w:r>
          </w:p>
        </w:tc>
        <w:tc>
          <w:tcPr>
            <w:tcW w:w="960" w:type="dxa"/>
            <w:vMerge/>
            <w:tcBorders>
              <w:top w:val="nil"/>
              <w:left w:val="single" w:sz="4" w:space="0" w:color="auto"/>
              <w:bottom w:val="single" w:sz="4" w:space="0" w:color="000000"/>
              <w:right w:val="single" w:sz="4" w:space="0" w:color="auto"/>
            </w:tcBorders>
            <w:vAlign w:val="bottom"/>
            <w:hideMark/>
          </w:tcPr>
          <w:p w14:paraId="548AC281"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6A54B19E"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9411</w:t>
            </w:r>
          </w:p>
        </w:tc>
        <w:tc>
          <w:tcPr>
            <w:tcW w:w="960" w:type="dxa"/>
            <w:tcBorders>
              <w:top w:val="nil"/>
              <w:left w:val="nil"/>
              <w:bottom w:val="single" w:sz="4" w:space="0" w:color="auto"/>
              <w:right w:val="single" w:sz="4" w:space="0" w:color="auto"/>
            </w:tcBorders>
            <w:shd w:val="clear" w:color="auto" w:fill="auto"/>
            <w:noWrap/>
            <w:vAlign w:val="bottom"/>
            <w:hideMark/>
          </w:tcPr>
          <w:p w14:paraId="4E2EE3AC"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1.43</w:t>
            </w:r>
          </w:p>
        </w:tc>
        <w:tc>
          <w:tcPr>
            <w:tcW w:w="960" w:type="dxa"/>
            <w:tcBorders>
              <w:top w:val="nil"/>
              <w:left w:val="nil"/>
              <w:bottom w:val="single" w:sz="4" w:space="0" w:color="auto"/>
              <w:right w:val="single" w:sz="4" w:space="0" w:color="auto"/>
            </w:tcBorders>
            <w:shd w:val="clear" w:color="auto" w:fill="auto"/>
            <w:noWrap/>
            <w:vAlign w:val="bottom"/>
            <w:hideMark/>
          </w:tcPr>
          <w:p w14:paraId="77E11F3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0.25</w:t>
            </w:r>
          </w:p>
        </w:tc>
      </w:tr>
      <w:tr w:rsidR="009A36D2" w:rsidRPr="0091194F" w14:paraId="5D886269"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649692A2"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7F844D61"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0.75 Hz</w:t>
            </w:r>
          </w:p>
        </w:tc>
        <w:tc>
          <w:tcPr>
            <w:tcW w:w="900" w:type="dxa"/>
            <w:tcBorders>
              <w:top w:val="nil"/>
              <w:left w:val="nil"/>
              <w:bottom w:val="single" w:sz="4" w:space="0" w:color="auto"/>
              <w:right w:val="single" w:sz="4" w:space="0" w:color="auto"/>
            </w:tcBorders>
            <w:shd w:val="clear" w:color="auto" w:fill="auto"/>
            <w:noWrap/>
            <w:vAlign w:val="bottom"/>
            <w:hideMark/>
          </w:tcPr>
          <w:p w14:paraId="11997E19"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24921</w:t>
            </w:r>
          </w:p>
        </w:tc>
        <w:tc>
          <w:tcPr>
            <w:tcW w:w="960" w:type="dxa"/>
            <w:vMerge/>
            <w:tcBorders>
              <w:top w:val="nil"/>
              <w:left w:val="single" w:sz="4" w:space="0" w:color="auto"/>
              <w:bottom w:val="single" w:sz="4" w:space="0" w:color="000000"/>
              <w:right w:val="single" w:sz="4" w:space="0" w:color="auto"/>
            </w:tcBorders>
            <w:vAlign w:val="bottom"/>
            <w:hideMark/>
          </w:tcPr>
          <w:p w14:paraId="4887424C"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080746D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12460</w:t>
            </w:r>
          </w:p>
        </w:tc>
        <w:tc>
          <w:tcPr>
            <w:tcW w:w="960" w:type="dxa"/>
            <w:tcBorders>
              <w:top w:val="nil"/>
              <w:left w:val="nil"/>
              <w:bottom w:val="single" w:sz="4" w:space="0" w:color="auto"/>
              <w:right w:val="single" w:sz="4" w:space="0" w:color="auto"/>
            </w:tcBorders>
            <w:shd w:val="clear" w:color="auto" w:fill="auto"/>
            <w:noWrap/>
            <w:vAlign w:val="bottom"/>
            <w:hideMark/>
          </w:tcPr>
          <w:p w14:paraId="1A344DF1"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3.38</w:t>
            </w:r>
          </w:p>
        </w:tc>
        <w:tc>
          <w:tcPr>
            <w:tcW w:w="960" w:type="dxa"/>
            <w:tcBorders>
              <w:top w:val="nil"/>
              <w:left w:val="nil"/>
              <w:bottom w:val="single" w:sz="4" w:space="0" w:color="auto"/>
              <w:right w:val="single" w:sz="4" w:space="0" w:color="auto"/>
            </w:tcBorders>
            <w:shd w:val="clear" w:color="auto" w:fill="auto"/>
            <w:noWrap/>
            <w:vAlign w:val="bottom"/>
            <w:hideMark/>
          </w:tcPr>
          <w:p w14:paraId="639EC8C0"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0.04*</w:t>
            </w:r>
          </w:p>
        </w:tc>
      </w:tr>
      <w:tr w:rsidR="009A36D2" w:rsidRPr="0091194F" w14:paraId="655E1087"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hideMark/>
          </w:tcPr>
          <w:p w14:paraId="54344F3A"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1145" w:type="dxa"/>
            <w:tcBorders>
              <w:top w:val="nil"/>
              <w:left w:val="nil"/>
              <w:bottom w:val="single" w:sz="4" w:space="0" w:color="auto"/>
              <w:right w:val="single" w:sz="4" w:space="0" w:color="auto"/>
            </w:tcBorders>
            <w:shd w:val="clear" w:color="auto" w:fill="auto"/>
            <w:noWrap/>
            <w:vAlign w:val="bottom"/>
            <w:hideMark/>
          </w:tcPr>
          <w:p w14:paraId="75D05249" w14:textId="77777777" w:rsidR="0091194F" w:rsidRPr="0091194F" w:rsidRDefault="0091194F" w:rsidP="00281A92">
            <w:pPr>
              <w:spacing w:before="0" w:after="0" w:line="240" w:lineRule="auto"/>
              <w:jc w:val="left"/>
              <w:rPr>
                <w:rFonts w:eastAsia="Times New Roman"/>
                <w:color w:val="000000"/>
                <w:sz w:val="22"/>
                <w:szCs w:val="22"/>
                <w:lang w:val="en-MY" w:eastAsia="en-MY"/>
              </w:rPr>
            </w:pPr>
            <w:r w:rsidRPr="0091194F">
              <w:rPr>
                <w:rFonts w:eastAsia="Times New Roman"/>
                <w:color w:val="000000"/>
                <w:sz w:val="22"/>
                <w:szCs w:val="22"/>
                <w:lang w:val="en-MY" w:eastAsia="en-MY"/>
              </w:rPr>
              <w:t>1.0 Hz</w:t>
            </w:r>
          </w:p>
        </w:tc>
        <w:tc>
          <w:tcPr>
            <w:tcW w:w="900" w:type="dxa"/>
            <w:tcBorders>
              <w:top w:val="nil"/>
              <w:left w:val="nil"/>
              <w:bottom w:val="single" w:sz="4" w:space="0" w:color="auto"/>
              <w:right w:val="single" w:sz="4" w:space="0" w:color="auto"/>
            </w:tcBorders>
            <w:shd w:val="clear" w:color="auto" w:fill="auto"/>
            <w:noWrap/>
            <w:vAlign w:val="bottom"/>
            <w:hideMark/>
          </w:tcPr>
          <w:p w14:paraId="53F1C224"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5776</w:t>
            </w:r>
          </w:p>
        </w:tc>
        <w:tc>
          <w:tcPr>
            <w:tcW w:w="960" w:type="dxa"/>
            <w:vMerge/>
            <w:tcBorders>
              <w:top w:val="nil"/>
              <w:left w:val="single" w:sz="4" w:space="0" w:color="auto"/>
              <w:bottom w:val="single" w:sz="4" w:space="0" w:color="000000"/>
              <w:right w:val="single" w:sz="4" w:space="0" w:color="auto"/>
            </w:tcBorders>
            <w:vAlign w:val="bottom"/>
            <w:hideMark/>
          </w:tcPr>
          <w:p w14:paraId="7CB1B039" w14:textId="77777777" w:rsidR="0091194F" w:rsidRPr="0091194F" w:rsidRDefault="0091194F" w:rsidP="00281A92">
            <w:pPr>
              <w:spacing w:before="0" w:after="0" w:line="240" w:lineRule="auto"/>
              <w:jc w:val="left"/>
              <w:rPr>
                <w:rFonts w:eastAsia="Times New Roman"/>
                <w:color w:val="000000"/>
                <w:sz w:val="22"/>
                <w:szCs w:val="22"/>
                <w:lang w:val="en-MY" w:eastAsia="en-MY"/>
              </w:rPr>
            </w:pPr>
          </w:p>
        </w:tc>
        <w:tc>
          <w:tcPr>
            <w:tcW w:w="960" w:type="dxa"/>
            <w:tcBorders>
              <w:top w:val="nil"/>
              <w:left w:val="nil"/>
              <w:bottom w:val="single" w:sz="4" w:space="0" w:color="auto"/>
              <w:right w:val="single" w:sz="4" w:space="0" w:color="auto"/>
            </w:tcBorders>
            <w:shd w:val="clear" w:color="auto" w:fill="auto"/>
            <w:noWrap/>
            <w:vAlign w:val="bottom"/>
            <w:hideMark/>
          </w:tcPr>
          <w:p w14:paraId="47C2700B"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2888</w:t>
            </w:r>
          </w:p>
        </w:tc>
        <w:tc>
          <w:tcPr>
            <w:tcW w:w="960" w:type="dxa"/>
            <w:tcBorders>
              <w:top w:val="nil"/>
              <w:left w:val="nil"/>
              <w:bottom w:val="single" w:sz="4" w:space="0" w:color="auto"/>
              <w:right w:val="single" w:sz="4" w:space="0" w:color="auto"/>
            </w:tcBorders>
            <w:shd w:val="clear" w:color="auto" w:fill="auto"/>
            <w:noWrap/>
            <w:vAlign w:val="bottom"/>
            <w:hideMark/>
          </w:tcPr>
          <w:p w14:paraId="09514139"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0.92</w:t>
            </w:r>
          </w:p>
        </w:tc>
        <w:tc>
          <w:tcPr>
            <w:tcW w:w="960" w:type="dxa"/>
            <w:tcBorders>
              <w:top w:val="nil"/>
              <w:left w:val="nil"/>
              <w:bottom w:val="single" w:sz="4" w:space="0" w:color="auto"/>
              <w:right w:val="single" w:sz="4" w:space="0" w:color="auto"/>
            </w:tcBorders>
            <w:shd w:val="clear" w:color="auto" w:fill="auto"/>
            <w:noWrap/>
            <w:vAlign w:val="bottom"/>
            <w:hideMark/>
          </w:tcPr>
          <w:p w14:paraId="0D3FD86A" w14:textId="77777777" w:rsidR="0091194F" w:rsidRPr="0091194F" w:rsidRDefault="0091194F" w:rsidP="00281A92">
            <w:pPr>
              <w:spacing w:before="0" w:after="0" w:line="240" w:lineRule="auto"/>
              <w:jc w:val="right"/>
              <w:rPr>
                <w:rFonts w:eastAsia="Times New Roman"/>
                <w:color w:val="000000"/>
                <w:sz w:val="22"/>
                <w:szCs w:val="22"/>
                <w:lang w:val="en-MY" w:eastAsia="en-MY"/>
              </w:rPr>
            </w:pPr>
            <w:r w:rsidRPr="006A0F05">
              <w:rPr>
                <w:color w:val="000000"/>
                <w:sz w:val="22"/>
                <w:szCs w:val="22"/>
              </w:rPr>
              <w:t>0.40</w:t>
            </w:r>
          </w:p>
        </w:tc>
      </w:tr>
    </w:tbl>
    <w:p w14:paraId="1805BCD7" w14:textId="2A61B241" w:rsidR="008905A5" w:rsidRDefault="0091194F" w:rsidP="008905A5">
      <w:pPr>
        <w:spacing w:after="160"/>
        <w:rPr>
          <w:szCs w:val="22"/>
        </w:rPr>
      </w:pPr>
      <w:r>
        <w:rPr>
          <w:szCs w:val="22"/>
        </w:rPr>
        <w:t>T</w:t>
      </w:r>
      <w:r w:rsidRPr="004A09E8">
        <w:rPr>
          <w:szCs w:val="22"/>
        </w:rPr>
        <w:t>he mean value of vertical SP RMSE</w:t>
      </w:r>
      <w:r w:rsidR="008905A5" w:rsidRPr="004A09E8">
        <w:rPr>
          <w:szCs w:val="22"/>
        </w:rPr>
        <w:t xml:space="preserve"> was significantly different between young and elderly age (</w:t>
      </w:r>
      <w:r w:rsidR="008905A5" w:rsidRPr="008D6CC6">
        <w:rPr>
          <w:i/>
          <w:iCs/>
          <w:szCs w:val="22"/>
        </w:rPr>
        <w:t>p</w:t>
      </w:r>
      <w:r>
        <w:rPr>
          <w:szCs w:val="22"/>
        </w:rPr>
        <w:t>&lt;</w:t>
      </w:r>
      <w:r w:rsidR="008905A5" w:rsidRPr="004A09E8">
        <w:rPr>
          <w:szCs w:val="22"/>
        </w:rPr>
        <w:t>0.01, 95</w:t>
      </w:r>
      <w:r w:rsidR="008905A5">
        <w:rPr>
          <w:szCs w:val="22"/>
        </w:rPr>
        <w:t>%</w:t>
      </w:r>
      <w:r w:rsidR="008905A5" w:rsidRPr="004A09E8">
        <w:rPr>
          <w:szCs w:val="22"/>
        </w:rPr>
        <w:t xml:space="preserve"> CI = -</w:t>
      </w:r>
      <w:r>
        <w:rPr>
          <w:szCs w:val="22"/>
        </w:rPr>
        <w:t>0</w:t>
      </w:r>
      <w:r w:rsidR="008905A5" w:rsidRPr="004A09E8">
        <w:rPr>
          <w:szCs w:val="22"/>
        </w:rPr>
        <w:t>.</w:t>
      </w:r>
      <w:r>
        <w:rPr>
          <w:szCs w:val="22"/>
        </w:rPr>
        <w:t>93</w:t>
      </w:r>
      <w:r w:rsidR="008905A5" w:rsidRPr="004A09E8">
        <w:rPr>
          <w:szCs w:val="22"/>
        </w:rPr>
        <w:t>, -0.</w:t>
      </w:r>
      <w:r>
        <w:rPr>
          <w:szCs w:val="22"/>
        </w:rPr>
        <w:t>24</w:t>
      </w:r>
      <w:r w:rsidR="008905A5" w:rsidRPr="004A09E8">
        <w:rPr>
          <w:szCs w:val="22"/>
        </w:rPr>
        <w:t>)</w:t>
      </w:r>
      <w:r>
        <w:rPr>
          <w:szCs w:val="22"/>
        </w:rPr>
        <w:t xml:space="preserve"> a</w:t>
      </w:r>
      <w:r w:rsidRPr="004A09E8">
        <w:rPr>
          <w:szCs w:val="22"/>
        </w:rPr>
        <w:t>t 0.25 Hz frequency</w:t>
      </w:r>
      <w:r>
        <w:rPr>
          <w:szCs w:val="22"/>
        </w:rPr>
        <w:t xml:space="preserve">, between </w:t>
      </w:r>
      <w:r w:rsidR="008F1986">
        <w:rPr>
          <w:szCs w:val="22"/>
        </w:rPr>
        <w:t>young and middle age (</w:t>
      </w:r>
      <w:r w:rsidR="008F1986" w:rsidRPr="008D6CC6">
        <w:rPr>
          <w:i/>
          <w:iCs/>
          <w:szCs w:val="22"/>
        </w:rPr>
        <w:t>p</w:t>
      </w:r>
      <w:r w:rsidR="008F1986">
        <w:rPr>
          <w:szCs w:val="22"/>
        </w:rPr>
        <w:t xml:space="preserve"> = 0.02, 95% CI = -0.97. -0.07) at 0.75 Hz, </w:t>
      </w:r>
      <w:r w:rsidR="008905A5" w:rsidRPr="004A09E8">
        <w:rPr>
          <w:szCs w:val="22"/>
        </w:rPr>
        <w:t>according to the Bonferroni test for multiple comparisons</w:t>
      </w:r>
      <w:r w:rsidR="008F1986">
        <w:rPr>
          <w:szCs w:val="22"/>
        </w:rPr>
        <w:t xml:space="preserve">. In addition, there was no significant pairwise different for RMSE at the frequency </w:t>
      </w:r>
      <w:r w:rsidR="008F1986">
        <w:rPr>
          <w:szCs w:val="22"/>
        </w:rPr>
        <w:lastRenderedPageBreak/>
        <w:t xml:space="preserve">of 0.50 Hz. </w:t>
      </w:r>
      <w:r w:rsidR="008905A5" w:rsidRPr="004A09E8">
        <w:rPr>
          <w:szCs w:val="22"/>
        </w:rPr>
        <w:t xml:space="preserve">Other pairwise comparisons revealed no statistically significant differences for </w:t>
      </w:r>
      <w:r w:rsidR="008F1986">
        <w:rPr>
          <w:szCs w:val="22"/>
        </w:rPr>
        <w:t>vertical SP gain and durations</w:t>
      </w:r>
      <w:r w:rsidR="008905A5" w:rsidRPr="004A09E8">
        <w:rPr>
          <w:szCs w:val="22"/>
        </w:rPr>
        <w:t>.</w:t>
      </w:r>
    </w:p>
    <w:p w14:paraId="1CDDA3E7" w14:textId="3A368620" w:rsidR="008905A5" w:rsidRDefault="008905A5" w:rsidP="008905A5">
      <w:pPr>
        <w:rPr>
          <w:szCs w:val="22"/>
        </w:rPr>
      </w:pPr>
      <w:r w:rsidRPr="007B2096">
        <w:rPr>
          <w:szCs w:val="22"/>
        </w:rPr>
        <w:t xml:space="preserve">Pearson's correlations were used to examine the </w:t>
      </w:r>
      <w:r>
        <w:rPr>
          <w:szCs w:val="22"/>
        </w:rPr>
        <w:t>associations</w:t>
      </w:r>
      <w:r w:rsidRPr="007B2096">
        <w:rPr>
          <w:szCs w:val="22"/>
        </w:rPr>
        <w:t xml:space="preserve"> between </w:t>
      </w:r>
      <w:r>
        <w:rPr>
          <w:szCs w:val="22"/>
        </w:rPr>
        <w:t xml:space="preserve">vertical </w:t>
      </w:r>
      <w:r w:rsidRPr="007B2096">
        <w:rPr>
          <w:szCs w:val="22"/>
        </w:rPr>
        <w:t xml:space="preserve">SP parameters and ageing. </w:t>
      </w:r>
      <w:r w:rsidRPr="00160637">
        <w:rPr>
          <w:szCs w:val="22"/>
        </w:rPr>
        <w:t xml:space="preserve">Vertical SP RMSE revealed a </w:t>
      </w:r>
      <w:r w:rsidR="00DD1B16">
        <w:rPr>
          <w:szCs w:val="22"/>
        </w:rPr>
        <w:t>weak</w:t>
      </w:r>
      <w:r w:rsidRPr="00160637">
        <w:rPr>
          <w:szCs w:val="22"/>
        </w:rPr>
        <w:t xml:space="preserve"> positive correlation with age, </w:t>
      </w:r>
      <w:r w:rsidRPr="00160637">
        <w:rPr>
          <w:i/>
          <w:iCs/>
          <w:szCs w:val="22"/>
        </w:rPr>
        <w:t>r</w:t>
      </w:r>
      <w:r w:rsidRPr="00160637">
        <w:rPr>
          <w:szCs w:val="22"/>
        </w:rPr>
        <w:t>(224) = 0.</w:t>
      </w:r>
      <w:r w:rsidR="00DD1B16">
        <w:rPr>
          <w:szCs w:val="22"/>
        </w:rPr>
        <w:t>24</w:t>
      </w:r>
      <w:r w:rsidRPr="00160637">
        <w:rPr>
          <w:szCs w:val="22"/>
        </w:rPr>
        <w:t xml:space="preserve">, </w:t>
      </w:r>
      <w:r w:rsidRPr="00160637">
        <w:rPr>
          <w:i/>
          <w:iCs/>
          <w:szCs w:val="22"/>
        </w:rPr>
        <w:t>p</w:t>
      </w:r>
      <w:r>
        <w:rPr>
          <w:i/>
          <w:iCs/>
          <w:szCs w:val="22"/>
        </w:rPr>
        <w:t>&lt;</w:t>
      </w:r>
      <w:r w:rsidRPr="00160637">
        <w:rPr>
          <w:szCs w:val="22"/>
        </w:rPr>
        <w:t>0.01</w:t>
      </w:r>
      <w:r w:rsidRPr="009D4627">
        <w:rPr>
          <w:szCs w:val="22"/>
        </w:rPr>
        <w:t xml:space="preserve"> </w:t>
      </w:r>
      <w:r w:rsidRPr="009D4627">
        <w:rPr>
          <w:szCs w:val="22"/>
        </w:rPr>
        <w:fldChar w:fldCharType="begin"/>
      </w:r>
      <w:r w:rsidRPr="009D4627">
        <w:rPr>
          <w:szCs w:val="22"/>
        </w:rPr>
        <w:instrText xml:space="preserve"> ADDIN EN.CITE &lt;EndNote&gt;&lt;Cite&gt;&lt;Author&gt;Laerd&lt;/Author&gt;&lt;Year&gt;2013&lt;/Year&gt;&lt;IDText&gt;Laerd Statistics&lt;/IDText&gt;&lt;DisplayText&gt;(Laerd, 2013)&lt;/DisplayText&gt;&lt;record&gt;&lt;urls&gt;&lt;related-urls&gt;&lt;url&gt;https://statistics.laerd.com/premium/spss/lr/linear-regression-in-spss.php&lt;/url&gt;&lt;/related-urls&gt;&lt;/urls&gt;&lt;titles&gt;&lt;title&gt;Laerd Statistics&lt;/title&gt;&lt;/titles&gt;&lt;contributors&gt;&lt;authors&gt;&lt;author&gt;Laerd&lt;/author&gt;&lt;/authors&gt;&lt;/contributors&gt;&lt;added-date format="utc"&gt;1644031849&lt;/added-date&gt;&lt;ref-type name="Web Page"&gt;12&lt;/ref-type&gt;&lt;dates&gt;&lt;year&gt;2013&lt;/year&gt;&lt;/dates&gt;&lt;rec-number&gt;785&lt;/rec-number&gt;&lt;publisher&gt;Lund Research Ltd.&lt;/publisher&gt;&lt;last-updated-date format="utc"&gt;1646106129&lt;/last-updated-date&gt;&lt;/record&gt;&lt;/Cite&gt;&lt;/EndNote&gt;</w:instrText>
      </w:r>
      <w:r w:rsidRPr="009D4627">
        <w:rPr>
          <w:szCs w:val="22"/>
        </w:rPr>
        <w:fldChar w:fldCharType="separate"/>
      </w:r>
      <w:r w:rsidRPr="009D4627">
        <w:rPr>
          <w:noProof/>
          <w:szCs w:val="22"/>
        </w:rPr>
        <w:t>(Laerd, 2013)</w:t>
      </w:r>
      <w:r w:rsidRPr="009D4627">
        <w:rPr>
          <w:szCs w:val="22"/>
        </w:rPr>
        <w:fldChar w:fldCharType="end"/>
      </w:r>
      <w:r w:rsidRPr="009D4627">
        <w:rPr>
          <w:szCs w:val="22"/>
        </w:rPr>
        <w:t>.</w:t>
      </w:r>
      <w:r>
        <w:rPr>
          <w:szCs w:val="22"/>
        </w:rPr>
        <w:t xml:space="preserve"> </w:t>
      </w:r>
      <w:r w:rsidRPr="00160637">
        <w:rPr>
          <w:szCs w:val="22"/>
        </w:rPr>
        <w:t xml:space="preserve">The findings suggested that ageing accounted for </w:t>
      </w:r>
      <w:r w:rsidR="00DD1B16">
        <w:rPr>
          <w:szCs w:val="22"/>
        </w:rPr>
        <w:t>24</w:t>
      </w:r>
      <w:r w:rsidRPr="00160637">
        <w:rPr>
          <w:szCs w:val="22"/>
        </w:rPr>
        <w:t>% of the variability in vertical SP RMSE. On the other hand, there were no age-related associations between vertical SP gain and durations (</w:t>
      </w:r>
      <w:r w:rsidRPr="0016744E">
        <w:rPr>
          <w:i/>
          <w:iCs/>
          <w:szCs w:val="22"/>
        </w:rPr>
        <w:t>p</w:t>
      </w:r>
      <w:r w:rsidRPr="00160637">
        <w:rPr>
          <w:szCs w:val="22"/>
        </w:rPr>
        <w:t>&gt;0.05).</w:t>
      </w:r>
    </w:p>
    <w:p w14:paraId="15860B71" w14:textId="6BC310B7" w:rsidR="00852AAB" w:rsidRDefault="0074765D" w:rsidP="008905A5">
      <w:r w:rsidRPr="009D4627">
        <w:t xml:space="preserve">A scatter plot was created for each trial frequency to assess the vertical SP variables between three different age groups. </w:t>
      </w:r>
      <w:r w:rsidR="009E0BDB" w:rsidRPr="009E0BDB">
        <w:t>The vertical SP gain of the young and old age groups has a positive slope, indicating that the young and elderly age groups start with lower gain than the middle age group but increase higher than the middle age group at 10-15 SP fixation n</w:t>
      </w:r>
      <w:r w:rsidR="00887403">
        <w:t>umber</w:t>
      </w:r>
      <w:r w:rsidR="009E0BDB" w:rsidRPr="009E0BDB">
        <w:t xml:space="preserve"> till the test is completed (Figure 3.6).</w:t>
      </w:r>
      <w:r w:rsidR="009E0BDB">
        <w:t xml:space="preserve"> </w:t>
      </w:r>
    </w:p>
    <w:p w14:paraId="5CBDDBCA" w14:textId="356535DE" w:rsidR="00852AAB" w:rsidRDefault="00852AAB" w:rsidP="008905A5">
      <w:r>
        <w:t>T</w:t>
      </w:r>
      <w:r w:rsidR="002861B9" w:rsidRPr="002861B9">
        <w:t xml:space="preserve">he linear slope of the </w:t>
      </w:r>
      <w:r w:rsidR="005F4532">
        <w:t>RMSE</w:t>
      </w:r>
      <w:r w:rsidR="002861B9" w:rsidRPr="002861B9">
        <w:t xml:space="preserve"> </w:t>
      </w:r>
      <w:r>
        <w:t xml:space="preserve">at 0.25 Hz frequency </w:t>
      </w:r>
      <w:r w:rsidR="002861B9" w:rsidRPr="002861B9">
        <w:t>is close to zero for all age groups, indicating that there is no trend of increasing or decreasing RMSE throughout the EMR, with young adults consistently exhibiting the smallest RMSE</w:t>
      </w:r>
      <w:r w:rsidR="008974D9">
        <w:t xml:space="preserve"> (≈0.6)</w:t>
      </w:r>
      <w:r w:rsidR="002861B9" w:rsidRPr="002861B9">
        <w:t>, followed by middle age</w:t>
      </w:r>
      <w:r w:rsidR="008974D9">
        <w:t xml:space="preserve"> (≈0.8)</w:t>
      </w:r>
      <w:r w:rsidR="002861B9" w:rsidRPr="002861B9">
        <w:t xml:space="preserve"> and old age</w:t>
      </w:r>
      <w:r w:rsidR="008974D9">
        <w:t xml:space="preserve"> (≈1.2)</w:t>
      </w:r>
      <w:r w:rsidR="002861B9" w:rsidRPr="002861B9">
        <w:t>.</w:t>
      </w:r>
      <w:r w:rsidR="002861B9">
        <w:t xml:space="preserve"> </w:t>
      </w:r>
      <w:r>
        <w:t xml:space="preserve">Additionally, at the middle at the middle frequencies, the old age showing with slight increase of the linear slope while young </w:t>
      </w:r>
      <w:r w:rsidR="0016744E">
        <w:t>adults</w:t>
      </w:r>
      <w:r>
        <w:t xml:space="preserve"> show the opposite throughout the EMR. At the </w:t>
      </w:r>
      <w:r w:rsidR="008974D9" w:rsidRPr="008974D9">
        <w:t>highest frequency, young adults had a smaller RMSE than middle and old age groups. However, the discrepancies were not as significant as those observed at lower frequencies (Figure 3.7)</w:t>
      </w:r>
      <w:r w:rsidR="008974D9">
        <w:t>.</w:t>
      </w:r>
      <w:r w:rsidR="005F4532">
        <w:t xml:space="preserve"> </w:t>
      </w:r>
    </w:p>
    <w:p w14:paraId="58C45E1A" w14:textId="06D04305" w:rsidR="0074765D" w:rsidRPr="009D4627" w:rsidRDefault="0074765D" w:rsidP="008905A5">
      <w:r w:rsidRPr="009D4627">
        <w:t xml:space="preserve">The SP duration of vertical RMSE did not </w:t>
      </w:r>
      <w:r w:rsidR="005F4532">
        <w:t>differ</w:t>
      </w:r>
      <w:r w:rsidRPr="009D4627">
        <w:t xml:space="preserve"> significantly between the three age groups, except at the lowest frequency, where the </w:t>
      </w:r>
      <w:r w:rsidR="005F4532">
        <w:t>young</w:t>
      </w:r>
      <w:r w:rsidRPr="009D4627">
        <w:t xml:space="preserve"> age</w:t>
      </w:r>
      <w:r w:rsidR="005F4532">
        <w:t xml:space="preserve"> group</w:t>
      </w:r>
      <w:r w:rsidRPr="009D4627">
        <w:t xml:space="preserve"> show a</w:t>
      </w:r>
      <w:r w:rsidR="005F4532">
        <w:t>n increase</w:t>
      </w:r>
      <w:r w:rsidRPr="009D4627">
        <w:t xml:space="preserve"> in their duration score throughout the test</w:t>
      </w:r>
      <w:r w:rsidR="005F4532">
        <w:t xml:space="preserve"> (Figure 3.8)</w:t>
      </w:r>
      <w:r w:rsidRPr="009D4627">
        <w:t>.</w:t>
      </w:r>
    </w:p>
    <w:p w14:paraId="6ED5ED5F" w14:textId="77777777" w:rsidR="00160637" w:rsidRDefault="00160637" w:rsidP="00281A92">
      <w:pPr>
        <w:spacing w:before="0" w:after="0" w:line="240" w:lineRule="auto"/>
        <w:jc w:val="left"/>
        <w:rPr>
          <w:b/>
          <w:bCs/>
        </w:rPr>
        <w:sectPr w:rsidR="00160637" w:rsidSect="00477959">
          <w:headerReference w:type="default" r:id="rId123"/>
          <w:footerReference w:type="default" r:id="rId124"/>
          <w:pgSz w:w="11906" w:h="16838" w:code="9"/>
          <w:pgMar w:top="1440" w:right="1440" w:bottom="1440" w:left="1440" w:header="708" w:footer="708" w:gutter="0"/>
          <w:cols w:space="708"/>
          <w:docGrid w:linePitch="360"/>
        </w:sectPr>
      </w:pPr>
    </w:p>
    <w:tbl>
      <w:tblPr>
        <w:tblStyle w:val="ListTable2"/>
        <w:tblW w:w="0" w:type="auto"/>
        <w:tblInd w:w="-284" w:type="dxa"/>
        <w:tblLook w:val="04A0" w:firstRow="1" w:lastRow="0" w:firstColumn="1" w:lastColumn="0" w:noHBand="0" w:noVBand="1"/>
      </w:tblPr>
      <w:tblGrid>
        <w:gridCol w:w="1596"/>
        <w:gridCol w:w="6323"/>
        <w:gridCol w:w="6323"/>
      </w:tblGrid>
      <w:tr w:rsidR="00950FEC" w14:paraId="6060919C" w14:textId="77777777" w:rsidTr="008974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Borders>
              <w:top w:val="single" w:sz="4" w:space="0" w:color="auto"/>
              <w:bottom w:val="single" w:sz="4" w:space="0" w:color="auto"/>
              <w:right w:val="single" w:sz="4" w:space="0" w:color="auto"/>
            </w:tcBorders>
          </w:tcPr>
          <w:p w14:paraId="16B63BDB" w14:textId="77777777" w:rsidR="00950FEC" w:rsidRDefault="00950FEC"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6822EF76" w14:textId="7ADC3E4C" w:rsidR="00950FEC" w:rsidRDefault="00950FEC"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0.2</w:t>
            </w:r>
            <w:r w:rsidR="00E07F9A">
              <w:rPr>
                <w:rFonts w:cstheme="minorBidi"/>
              </w:rPr>
              <w:t>5</w:t>
            </w:r>
            <w:r>
              <w:rPr>
                <w:rFonts w:cstheme="minorBidi"/>
              </w:rPr>
              <w:t xml:space="preserve"> Hz</w:t>
            </w:r>
          </w:p>
        </w:tc>
        <w:tc>
          <w:tcPr>
            <w:tcW w:w="6323" w:type="dxa"/>
            <w:tcBorders>
              <w:top w:val="single" w:sz="4" w:space="0" w:color="auto"/>
              <w:left w:val="single" w:sz="4" w:space="0" w:color="auto"/>
              <w:bottom w:val="single" w:sz="4" w:space="0" w:color="auto"/>
            </w:tcBorders>
          </w:tcPr>
          <w:p w14:paraId="1F4976D5" w14:textId="014572F1" w:rsidR="00950FEC" w:rsidRDefault="00950FEC"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w:t>
            </w:r>
            <w:r w:rsidR="00E07F9A">
              <w:rPr>
                <w:rFonts w:cstheme="minorBidi"/>
              </w:rPr>
              <w:t>5</w:t>
            </w:r>
            <w:r>
              <w:rPr>
                <w:rFonts w:cstheme="minorBidi"/>
              </w:rPr>
              <w:t xml:space="preserve"> Hz</w:t>
            </w:r>
          </w:p>
        </w:tc>
      </w:tr>
      <w:tr w:rsidR="008974D9" w14:paraId="576A5683" w14:textId="77777777" w:rsidTr="008974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vMerge w:val="restart"/>
            <w:tcBorders>
              <w:top w:val="single" w:sz="4" w:space="0" w:color="auto"/>
              <w:right w:val="single" w:sz="4" w:space="0" w:color="auto"/>
            </w:tcBorders>
          </w:tcPr>
          <w:p w14:paraId="73BEEB68" w14:textId="2FA4CFED" w:rsidR="008974D9" w:rsidRDefault="008974D9" w:rsidP="00CA6304">
            <w:pPr>
              <w:spacing w:before="0" w:after="0" w:line="240" w:lineRule="auto"/>
              <w:jc w:val="left"/>
              <w:rPr>
                <w:rFonts w:cstheme="minorBidi"/>
              </w:rPr>
            </w:pPr>
            <w:r>
              <w:rPr>
                <w:rFonts w:cstheme="minorBidi"/>
              </w:rPr>
              <w:t>Vertical SP gain</w:t>
            </w:r>
          </w:p>
          <w:p w14:paraId="7E59D789" w14:textId="77777777" w:rsidR="008974D9" w:rsidRDefault="008974D9" w:rsidP="00CA6304">
            <w:pPr>
              <w:spacing w:before="0" w:after="0" w:line="240" w:lineRule="auto"/>
              <w:jc w:val="left"/>
              <w:rPr>
                <w:rFonts w:cstheme="minorBidi"/>
                <w:b w:val="0"/>
                <w:bCs w:val="0"/>
              </w:rPr>
            </w:pPr>
          </w:p>
          <w:p w14:paraId="57AE8C31" w14:textId="77777777" w:rsidR="008974D9" w:rsidRDefault="008974D9" w:rsidP="00CA6304">
            <w:pPr>
              <w:spacing w:before="0" w:after="0" w:line="240" w:lineRule="auto"/>
              <w:jc w:val="left"/>
              <w:rPr>
                <w:rFonts w:cstheme="minorBidi"/>
              </w:rPr>
            </w:pPr>
            <w:r>
              <w:rPr>
                <w:noProof/>
                <w:lang w:val="en-MY" w:eastAsia="en-MY"/>
              </w:rPr>
              <w:drawing>
                <wp:inline distT="0" distB="0" distL="0" distR="0" wp14:anchorId="1D688A33" wp14:editId="39C09C6D">
                  <wp:extent cx="895350" cy="12382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953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5E452384" w14:textId="77777777" w:rsidR="008974D9" w:rsidRDefault="008974D9" w:rsidP="00CA6304">
            <w:pPr>
              <w:spacing w:before="0" w:after="0" w:line="240" w:lineRule="auto"/>
              <w:jc w:val="left"/>
              <w:rPr>
                <w:rFonts w:cstheme="minorBidi"/>
                <w:b w:val="0"/>
                <w:bCs w:val="0"/>
              </w:rPr>
            </w:pPr>
          </w:p>
          <w:p w14:paraId="1D70787D" w14:textId="77777777" w:rsidR="008974D9" w:rsidRDefault="008974D9" w:rsidP="00CA6304">
            <w:pPr>
              <w:spacing w:before="0" w:after="0" w:line="240" w:lineRule="auto"/>
              <w:jc w:val="left"/>
              <w:rPr>
                <w:rFonts w:cstheme="minorBidi"/>
                <w:b w:val="0"/>
                <w:bCs w:val="0"/>
              </w:rPr>
            </w:pPr>
          </w:p>
          <w:p w14:paraId="7984BC93" w14:textId="77777777" w:rsidR="008974D9" w:rsidRDefault="008974D9" w:rsidP="00CA6304">
            <w:pPr>
              <w:spacing w:before="0" w:after="0" w:line="240" w:lineRule="auto"/>
              <w:jc w:val="left"/>
              <w:rPr>
                <w:rFonts w:cstheme="minorBidi"/>
                <w:b w:val="0"/>
                <w:bCs w:val="0"/>
              </w:rPr>
            </w:pPr>
          </w:p>
          <w:p w14:paraId="7ECB1EB6"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51661B03" w14:textId="0C6EA9F3" w:rsidR="008974D9"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6D9C7FDC" wp14:editId="2D3DCA48">
                  <wp:extent cx="3960000" cy="2337049"/>
                  <wp:effectExtent l="0" t="0" r="254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c>
          <w:tcPr>
            <w:tcW w:w="6323" w:type="dxa"/>
            <w:tcBorders>
              <w:top w:val="single" w:sz="4" w:space="0" w:color="auto"/>
              <w:left w:val="single" w:sz="4" w:space="0" w:color="auto"/>
              <w:bottom w:val="single" w:sz="4" w:space="0" w:color="auto"/>
            </w:tcBorders>
          </w:tcPr>
          <w:p w14:paraId="55271556" w14:textId="49C394D1" w:rsidR="008974D9"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6B89C7EC" wp14:editId="3685E6FA">
                  <wp:extent cx="3960000" cy="2337049"/>
                  <wp:effectExtent l="0" t="0" r="254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r w:rsidR="008974D9" w14:paraId="1EDA14E6" w14:textId="77777777" w:rsidTr="008974D9">
        <w:tc>
          <w:tcPr>
            <w:cnfStyle w:val="001000000000" w:firstRow="0" w:lastRow="0" w:firstColumn="1" w:lastColumn="0" w:oddVBand="0" w:evenVBand="0" w:oddHBand="0" w:evenHBand="0" w:firstRowFirstColumn="0" w:firstRowLastColumn="0" w:lastRowFirstColumn="0" w:lastRowLastColumn="0"/>
            <w:tcW w:w="1596" w:type="dxa"/>
            <w:vMerge/>
            <w:tcBorders>
              <w:right w:val="single" w:sz="4" w:space="0" w:color="auto"/>
            </w:tcBorders>
          </w:tcPr>
          <w:p w14:paraId="18B12568" w14:textId="77777777" w:rsidR="008974D9" w:rsidRDefault="008974D9" w:rsidP="00CA6304">
            <w:pPr>
              <w:spacing w:before="0" w:after="0" w:line="240" w:lineRule="auto"/>
              <w:jc w:val="left"/>
              <w:rPr>
                <w:rFonts w:cstheme="minorBidi"/>
                <w:b w:val="0"/>
                <w:bCs w:val="0"/>
              </w:rPr>
            </w:pPr>
          </w:p>
        </w:tc>
        <w:tc>
          <w:tcPr>
            <w:tcW w:w="6323" w:type="dxa"/>
            <w:tcBorders>
              <w:top w:val="single" w:sz="4" w:space="0" w:color="auto"/>
              <w:left w:val="single" w:sz="4" w:space="0" w:color="auto"/>
              <w:bottom w:val="single" w:sz="4" w:space="0" w:color="auto"/>
              <w:right w:val="single" w:sz="4" w:space="0" w:color="auto"/>
            </w:tcBorders>
          </w:tcPr>
          <w:p w14:paraId="5EF4D588" w14:textId="2A325D1C" w:rsidR="008974D9" w:rsidRPr="00424033" w:rsidRDefault="008974D9"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0.75 Hz</w:t>
            </w:r>
          </w:p>
        </w:tc>
        <w:tc>
          <w:tcPr>
            <w:tcW w:w="6323" w:type="dxa"/>
            <w:tcBorders>
              <w:top w:val="single" w:sz="4" w:space="0" w:color="auto"/>
              <w:left w:val="single" w:sz="4" w:space="0" w:color="auto"/>
              <w:bottom w:val="single" w:sz="4" w:space="0" w:color="auto"/>
            </w:tcBorders>
          </w:tcPr>
          <w:p w14:paraId="71B09892" w14:textId="2FE863B2" w:rsidR="008974D9" w:rsidRPr="00424033" w:rsidRDefault="008974D9"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1.0 Hz</w:t>
            </w:r>
          </w:p>
        </w:tc>
      </w:tr>
      <w:tr w:rsidR="008974D9" w14:paraId="2A26611E" w14:textId="77777777" w:rsidTr="008974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vMerge/>
            <w:tcBorders>
              <w:bottom w:val="single" w:sz="4" w:space="0" w:color="auto"/>
              <w:right w:val="single" w:sz="4" w:space="0" w:color="auto"/>
            </w:tcBorders>
          </w:tcPr>
          <w:p w14:paraId="2F6078C6"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230606C5" w14:textId="3F21F03E" w:rsidR="008974D9" w:rsidRPr="0019680A"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F125CDB" wp14:editId="49FACED9">
                  <wp:extent cx="3960000" cy="2337049"/>
                  <wp:effectExtent l="0" t="0" r="254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c>
          <w:tcPr>
            <w:tcW w:w="6323" w:type="dxa"/>
            <w:tcBorders>
              <w:top w:val="single" w:sz="4" w:space="0" w:color="auto"/>
              <w:left w:val="single" w:sz="4" w:space="0" w:color="auto"/>
              <w:bottom w:val="single" w:sz="4" w:space="0" w:color="auto"/>
            </w:tcBorders>
          </w:tcPr>
          <w:p w14:paraId="393E67F1" w14:textId="3D461DFB" w:rsidR="008974D9" w:rsidRPr="0090042A"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5131396" wp14:editId="35DE465B">
                  <wp:extent cx="3960000" cy="2337049"/>
                  <wp:effectExtent l="0" t="0" r="254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bl>
    <w:p w14:paraId="1BAFD67A" w14:textId="68214094" w:rsidR="00160637" w:rsidRDefault="00160637" w:rsidP="00E07F9A">
      <w:pPr>
        <w:spacing w:before="0" w:after="160"/>
      </w:pPr>
      <w:bookmarkStart w:id="267" w:name="_Toc98569895"/>
      <w:r w:rsidRPr="009D4627">
        <w:t>Figure 3.</w:t>
      </w:r>
      <w:r w:rsidR="007E7CC8">
        <w:fldChar w:fldCharType="begin"/>
      </w:r>
      <w:r w:rsidR="007E7CC8">
        <w:instrText xml:space="preserve"> SEQ Figure_3. \* ARABIC </w:instrText>
      </w:r>
      <w:r w:rsidR="007E7CC8">
        <w:fldChar w:fldCharType="separate"/>
      </w:r>
      <w:r w:rsidR="00E268F6">
        <w:rPr>
          <w:noProof/>
        </w:rPr>
        <w:t>6</w:t>
      </w:r>
      <w:r w:rsidR="007E7CC8">
        <w:rPr>
          <w:noProof/>
        </w:rPr>
        <w:fldChar w:fldCharType="end"/>
      </w:r>
      <w:r w:rsidRPr="009D4627">
        <w:t xml:space="preserve">: </w:t>
      </w:r>
      <w:r w:rsidR="00E07F9A">
        <w:t>The s</w:t>
      </w:r>
      <w:r w:rsidR="00E07F9A" w:rsidRPr="00424033">
        <w:t>catterplot</w:t>
      </w:r>
      <w:r w:rsidR="00E07F9A">
        <w:t>s</w:t>
      </w:r>
      <w:r w:rsidR="00E07F9A" w:rsidRPr="00424033">
        <w:t xml:space="preserve"> showing horizontal SP gain according to trial frequency for three age groups</w:t>
      </w:r>
      <w:r w:rsidR="00E07F9A">
        <w:t>.</w:t>
      </w:r>
      <w:bookmarkEnd w:id="267"/>
    </w:p>
    <w:p w14:paraId="6F2D56C8" w14:textId="77777777" w:rsidR="009E0BDB" w:rsidRDefault="009E0BDB" w:rsidP="00E07F9A">
      <w:pPr>
        <w:spacing w:before="0" w:after="160"/>
      </w:pPr>
    </w:p>
    <w:tbl>
      <w:tblPr>
        <w:tblStyle w:val="ListTable2"/>
        <w:tblW w:w="0" w:type="auto"/>
        <w:tblInd w:w="-284" w:type="dxa"/>
        <w:tblLook w:val="04A0" w:firstRow="1" w:lastRow="0" w:firstColumn="1" w:lastColumn="0" w:noHBand="0" w:noVBand="1"/>
      </w:tblPr>
      <w:tblGrid>
        <w:gridCol w:w="1626"/>
        <w:gridCol w:w="6308"/>
        <w:gridCol w:w="6308"/>
      </w:tblGrid>
      <w:tr w:rsidR="00AD2B6D" w14:paraId="2EFE8117" w14:textId="77777777" w:rsidTr="009E0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Borders>
              <w:top w:val="single" w:sz="4" w:space="0" w:color="auto"/>
              <w:bottom w:val="single" w:sz="4" w:space="0" w:color="auto"/>
              <w:right w:val="single" w:sz="4" w:space="0" w:color="auto"/>
            </w:tcBorders>
          </w:tcPr>
          <w:p w14:paraId="4E61B71F" w14:textId="77777777" w:rsidR="009E0BDB" w:rsidRDefault="009E0BDB"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15BB0797" w14:textId="77777777" w:rsidR="009E0BDB" w:rsidRDefault="009E0BDB"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0.25 Hz</w:t>
            </w:r>
          </w:p>
        </w:tc>
        <w:tc>
          <w:tcPr>
            <w:tcW w:w="6323" w:type="dxa"/>
            <w:tcBorders>
              <w:top w:val="single" w:sz="4" w:space="0" w:color="auto"/>
              <w:left w:val="single" w:sz="4" w:space="0" w:color="auto"/>
              <w:bottom w:val="single" w:sz="4" w:space="0" w:color="auto"/>
            </w:tcBorders>
          </w:tcPr>
          <w:p w14:paraId="431EF1D7" w14:textId="77777777" w:rsidR="009E0BDB" w:rsidRDefault="009E0BDB"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0.5 Hz</w:t>
            </w:r>
          </w:p>
        </w:tc>
      </w:tr>
      <w:tr w:rsidR="008974D9" w14:paraId="49D1AFA1" w14:textId="77777777" w:rsidTr="00327E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vMerge w:val="restart"/>
            <w:tcBorders>
              <w:top w:val="single" w:sz="4" w:space="0" w:color="auto"/>
              <w:right w:val="single" w:sz="4" w:space="0" w:color="auto"/>
            </w:tcBorders>
          </w:tcPr>
          <w:p w14:paraId="034ED29C" w14:textId="14F99A08" w:rsidR="008974D9" w:rsidRDefault="008974D9" w:rsidP="00CA6304">
            <w:pPr>
              <w:spacing w:before="0" w:after="0" w:line="240" w:lineRule="auto"/>
              <w:jc w:val="left"/>
              <w:rPr>
                <w:rFonts w:cstheme="minorBidi"/>
              </w:rPr>
            </w:pPr>
            <w:r>
              <w:rPr>
                <w:rFonts w:cstheme="minorBidi"/>
              </w:rPr>
              <w:t>Vertical SP RMSE</w:t>
            </w:r>
          </w:p>
          <w:p w14:paraId="01F26259" w14:textId="77777777" w:rsidR="008974D9" w:rsidRDefault="008974D9" w:rsidP="00CA6304">
            <w:pPr>
              <w:spacing w:before="0" w:after="0" w:line="240" w:lineRule="auto"/>
              <w:jc w:val="left"/>
              <w:rPr>
                <w:rFonts w:cstheme="minorBidi"/>
                <w:b w:val="0"/>
                <w:bCs w:val="0"/>
              </w:rPr>
            </w:pPr>
          </w:p>
          <w:p w14:paraId="4AB3A23C" w14:textId="1051F6E1" w:rsidR="008974D9" w:rsidRDefault="008974D9" w:rsidP="00CA6304">
            <w:pPr>
              <w:spacing w:before="0" w:after="0" w:line="240" w:lineRule="auto"/>
              <w:jc w:val="left"/>
              <w:rPr>
                <w:rFonts w:cstheme="minorBidi"/>
              </w:rPr>
            </w:pPr>
            <w:r>
              <w:rPr>
                <w:noProof/>
                <w:lang w:val="en-MY" w:eastAsia="en-MY"/>
              </w:rPr>
              <w:drawing>
                <wp:inline distT="0" distB="0" distL="0" distR="0" wp14:anchorId="3378D80D" wp14:editId="2B3DDDA3">
                  <wp:extent cx="895350" cy="12382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953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6863C795" w14:textId="77777777" w:rsidR="008974D9" w:rsidRDefault="008974D9" w:rsidP="00CA6304">
            <w:pPr>
              <w:spacing w:before="0" w:after="0" w:line="240" w:lineRule="auto"/>
              <w:jc w:val="left"/>
              <w:rPr>
                <w:rFonts w:cstheme="minorBidi"/>
                <w:b w:val="0"/>
                <w:bCs w:val="0"/>
              </w:rPr>
            </w:pPr>
          </w:p>
          <w:p w14:paraId="56EC97FD" w14:textId="2ADC092D" w:rsidR="008974D9" w:rsidRDefault="008974D9" w:rsidP="00CA6304">
            <w:pPr>
              <w:spacing w:before="0" w:after="0" w:line="240" w:lineRule="auto"/>
              <w:jc w:val="left"/>
              <w:rPr>
                <w:rFonts w:cstheme="minorBidi"/>
                <w:b w:val="0"/>
                <w:bCs w:val="0"/>
              </w:rPr>
            </w:pPr>
          </w:p>
          <w:p w14:paraId="4DE7CBD9" w14:textId="77777777" w:rsidR="008974D9" w:rsidRDefault="008974D9" w:rsidP="00CA6304">
            <w:pPr>
              <w:spacing w:before="0" w:after="0" w:line="240" w:lineRule="auto"/>
              <w:jc w:val="left"/>
              <w:rPr>
                <w:rFonts w:cstheme="minorBidi"/>
                <w:b w:val="0"/>
                <w:bCs w:val="0"/>
              </w:rPr>
            </w:pPr>
          </w:p>
          <w:p w14:paraId="4D8F9E39"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19B5DE54" w14:textId="5ADA1112" w:rsidR="008974D9"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0A26198A" wp14:editId="7F6C821D">
                  <wp:extent cx="3780000" cy="223082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9"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6323" w:type="dxa"/>
            <w:tcBorders>
              <w:top w:val="single" w:sz="4" w:space="0" w:color="auto"/>
              <w:left w:val="single" w:sz="4" w:space="0" w:color="auto"/>
              <w:bottom w:val="single" w:sz="4" w:space="0" w:color="auto"/>
            </w:tcBorders>
          </w:tcPr>
          <w:p w14:paraId="711F0C63" w14:textId="0887ADD7" w:rsidR="008974D9"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73B55DFF" wp14:editId="00C892D1">
                  <wp:extent cx="3780000" cy="22308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r w:rsidR="008974D9" w14:paraId="77C6FEB6" w14:textId="77777777" w:rsidTr="00327EC2">
        <w:tc>
          <w:tcPr>
            <w:cnfStyle w:val="001000000000" w:firstRow="0" w:lastRow="0" w:firstColumn="1" w:lastColumn="0" w:oddVBand="0" w:evenVBand="0" w:oddHBand="0" w:evenHBand="0" w:firstRowFirstColumn="0" w:firstRowLastColumn="0" w:lastRowFirstColumn="0" w:lastRowLastColumn="0"/>
            <w:tcW w:w="1596" w:type="dxa"/>
            <w:vMerge/>
            <w:tcBorders>
              <w:right w:val="single" w:sz="4" w:space="0" w:color="auto"/>
            </w:tcBorders>
          </w:tcPr>
          <w:p w14:paraId="4F9DF848" w14:textId="77777777" w:rsidR="008974D9" w:rsidRDefault="008974D9" w:rsidP="00CA6304">
            <w:pPr>
              <w:spacing w:before="0" w:after="0" w:line="240" w:lineRule="auto"/>
              <w:jc w:val="left"/>
              <w:rPr>
                <w:rFonts w:cstheme="minorBidi"/>
                <w:b w:val="0"/>
                <w:bCs w:val="0"/>
              </w:rPr>
            </w:pPr>
          </w:p>
        </w:tc>
        <w:tc>
          <w:tcPr>
            <w:tcW w:w="6323" w:type="dxa"/>
            <w:tcBorders>
              <w:top w:val="single" w:sz="4" w:space="0" w:color="auto"/>
              <w:left w:val="single" w:sz="4" w:space="0" w:color="auto"/>
              <w:bottom w:val="single" w:sz="4" w:space="0" w:color="auto"/>
              <w:right w:val="single" w:sz="4" w:space="0" w:color="auto"/>
            </w:tcBorders>
          </w:tcPr>
          <w:p w14:paraId="7A4AB1CD" w14:textId="77777777" w:rsidR="008974D9" w:rsidRPr="00424033" w:rsidRDefault="008974D9"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0.75 Hz</w:t>
            </w:r>
          </w:p>
        </w:tc>
        <w:tc>
          <w:tcPr>
            <w:tcW w:w="6323" w:type="dxa"/>
            <w:tcBorders>
              <w:top w:val="single" w:sz="4" w:space="0" w:color="auto"/>
              <w:left w:val="single" w:sz="4" w:space="0" w:color="auto"/>
              <w:bottom w:val="single" w:sz="4" w:space="0" w:color="auto"/>
            </w:tcBorders>
          </w:tcPr>
          <w:p w14:paraId="1E9408E6" w14:textId="77777777" w:rsidR="008974D9" w:rsidRPr="00424033" w:rsidRDefault="008974D9"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1.0 Hz</w:t>
            </w:r>
          </w:p>
        </w:tc>
      </w:tr>
      <w:tr w:rsidR="008974D9" w14:paraId="5F952DE1" w14:textId="77777777" w:rsidTr="009E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vMerge/>
            <w:tcBorders>
              <w:bottom w:val="single" w:sz="4" w:space="0" w:color="auto"/>
              <w:right w:val="single" w:sz="4" w:space="0" w:color="auto"/>
            </w:tcBorders>
          </w:tcPr>
          <w:p w14:paraId="432A43BF"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4775CC7B" w14:textId="32E6302E" w:rsidR="008974D9" w:rsidRPr="0019680A"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DCA4019" wp14:editId="29B50E34">
                  <wp:extent cx="3780000" cy="22308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1"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c>
          <w:tcPr>
            <w:tcW w:w="6323" w:type="dxa"/>
            <w:tcBorders>
              <w:top w:val="single" w:sz="4" w:space="0" w:color="auto"/>
              <w:left w:val="single" w:sz="4" w:space="0" w:color="auto"/>
              <w:bottom w:val="single" w:sz="4" w:space="0" w:color="auto"/>
            </w:tcBorders>
          </w:tcPr>
          <w:p w14:paraId="0D325936" w14:textId="001EE252" w:rsidR="008974D9" w:rsidRPr="00233A25" w:rsidRDefault="008974D9" w:rsidP="00233A25">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color w:val="auto"/>
                <w:lang w:val="en-MY"/>
              </w:rPr>
            </w:pPr>
            <w:r>
              <w:rPr>
                <w:noProof/>
                <w:color w:val="auto"/>
                <w:lang w:val="en-MY"/>
              </w:rPr>
              <w:drawing>
                <wp:inline distT="0" distB="0" distL="0" distR="0" wp14:anchorId="1A82E1F9" wp14:editId="21EEB62A">
                  <wp:extent cx="3780000" cy="22308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screen">
                            <a:extLst>
                              <a:ext uri="{28A0092B-C50C-407E-A947-70E740481C1C}">
                                <a14:useLocalDpi xmlns:a14="http://schemas.microsoft.com/office/drawing/2010/main" val="0"/>
                              </a:ext>
                            </a:extLst>
                          </a:blip>
                          <a:srcRect/>
                          <a:stretch>
                            <a:fillRect/>
                          </a:stretch>
                        </pic:blipFill>
                        <pic:spPr bwMode="auto">
                          <a:xfrm>
                            <a:off x="0" y="0"/>
                            <a:ext cx="3780000" cy="2230820"/>
                          </a:xfrm>
                          <a:prstGeom prst="rect">
                            <a:avLst/>
                          </a:prstGeom>
                          <a:noFill/>
                        </pic:spPr>
                      </pic:pic>
                    </a:graphicData>
                  </a:graphic>
                </wp:inline>
              </w:drawing>
            </w:r>
          </w:p>
        </w:tc>
      </w:tr>
    </w:tbl>
    <w:p w14:paraId="7C831204" w14:textId="110716E2" w:rsidR="00160637" w:rsidRDefault="00233A25" w:rsidP="00C4130D">
      <w:pPr>
        <w:pStyle w:val="Caption"/>
      </w:pPr>
      <w:bookmarkStart w:id="268" w:name="_Toc98569896"/>
      <w:r>
        <w:t>F</w:t>
      </w:r>
      <w:r w:rsidR="009E0BDB">
        <w:t>igure 3.</w:t>
      </w:r>
      <w:r w:rsidR="009E0BDB">
        <w:fldChar w:fldCharType="begin"/>
      </w:r>
      <w:r w:rsidR="009E0BDB">
        <w:instrText xml:space="preserve"> SEQ Figure_3. \* ARABIC </w:instrText>
      </w:r>
      <w:r w:rsidR="009E0BDB">
        <w:fldChar w:fldCharType="separate"/>
      </w:r>
      <w:r w:rsidR="00E268F6">
        <w:rPr>
          <w:noProof/>
        </w:rPr>
        <w:t>7</w:t>
      </w:r>
      <w:r w:rsidR="009E0BDB">
        <w:fldChar w:fldCharType="end"/>
      </w:r>
      <w:r w:rsidR="009E0BDB">
        <w:t>: The s</w:t>
      </w:r>
      <w:r w:rsidR="009E0BDB" w:rsidRPr="00424033">
        <w:t>catterplot</w:t>
      </w:r>
      <w:r w:rsidR="009E0BDB">
        <w:t>s</w:t>
      </w:r>
      <w:r w:rsidR="009E0BDB" w:rsidRPr="00424033">
        <w:t xml:space="preserve"> showing </w:t>
      </w:r>
      <w:r w:rsidR="009E0BDB">
        <w:t>vertic</w:t>
      </w:r>
      <w:r w:rsidR="009E0BDB" w:rsidRPr="00424033">
        <w:t xml:space="preserve">al SP </w:t>
      </w:r>
      <w:r w:rsidR="009E0BDB">
        <w:t>RMSE</w:t>
      </w:r>
      <w:r w:rsidR="009E0BDB" w:rsidRPr="00424033">
        <w:t xml:space="preserve"> according to trial frequency for three age groups</w:t>
      </w:r>
      <w:r w:rsidR="009E0BDB">
        <w:t>.</w:t>
      </w:r>
      <w:bookmarkEnd w:id="268"/>
    </w:p>
    <w:p w14:paraId="69DFEBB0" w14:textId="77777777" w:rsidR="009E0BDB" w:rsidRDefault="009E0BDB" w:rsidP="008816D4">
      <w:pPr>
        <w:spacing w:after="160"/>
      </w:pPr>
    </w:p>
    <w:tbl>
      <w:tblPr>
        <w:tblStyle w:val="ListTable2"/>
        <w:tblW w:w="0" w:type="auto"/>
        <w:tblInd w:w="-284" w:type="dxa"/>
        <w:tblLook w:val="04A0" w:firstRow="1" w:lastRow="0" w:firstColumn="1" w:lastColumn="0" w:noHBand="0" w:noVBand="1"/>
      </w:tblPr>
      <w:tblGrid>
        <w:gridCol w:w="1596"/>
        <w:gridCol w:w="6323"/>
        <w:gridCol w:w="6323"/>
      </w:tblGrid>
      <w:tr w:rsidR="008974D9" w14:paraId="0BA4631B" w14:textId="77777777" w:rsidTr="008974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tcBorders>
              <w:top w:val="single" w:sz="4" w:space="0" w:color="auto"/>
              <w:bottom w:val="single" w:sz="4" w:space="0" w:color="auto"/>
              <w:right w:val="single" w:sz="4" w:space="0" w:color="auto"/>
            </w:tcBorders>
          </w:tcPr>
          <w:p w14:paraId="38801531"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24B9C54E" w14:textId="77777777" w:rsidR="008974D9" w:rsidRDefault="008974D9"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0.25 Hz</w:t>
            </w:r>
          </w:p>
        </w:tc>
        <w:tc>
          <w:tcPr>
            <w:tcW w:w="6323" w:type="dxa"/>
            <w:tcBorders>
              <w:top w:val="single" w:sz="4" w:space="0" w:color="auto"/>
              <w:left w:val="single" w:sz="4" w:space="0" w:color="auto"/>
              <w:bottom w:val="single" w:sz="4" w:space="0" w:color="auto"/>
            </w:tcBorders>
          </w:tcPr>
          <w:p w14:paraId="05D30646" w14:textId="77777777" w:rsidR="008974D9" w:rsidRDefault="008974D9" w:rsidP="00CA630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cstheme="minorBidi"/>
              </w:rPr>
            </w:pPr>
            <w:r>
              <w:rPr>
                <w:rFonts w:cstheme="minorBidi"/>
              </w:rPr>
              <w:t>0.5 Hz</w:t>
            </w:r>
          </w:p>
        </w:tc>
      </w:tr>
      <w:tr w:rsidR="008974D9" w14:paraId="37C72695" w14:textId="77777777" w:rsidTr="003F05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vMerge w:val="restart"/>
            <w:tcBorders>
              <w:top w:val="single" w:sz="4" w:space="0" w:color="auto"/>
              <w:right w:val="single" w:sz="4" w:space="0" w:color="auto"/>
            </w:tcBorders>
          </w:tcPr>
          <w:p w14:paraId="4D14C903" w14:textId="5324CBE8" w:rsidR="008974D9" w:rsidRDefault="008974D9" w:rsidP="00CA6304">
            <w:pPr>
              <w:spacing w:before="0" w:after="0" w:line="240" w:lineRule="auto"/>
              <w:jc w:val="left"/>
              <w:rPr>
                <w:rFonts w:cstheme="minorBidi"/>
                <w:b w:val="0"/>
                <w:bCs w:val="0"/>
              </w:rPr>
            </w:pPr>
            <w:r>
              <w:rPr>
                <w:rFonts w:cstheme="minorBidi"/>
              </w:rPr>
              <w:t>Vertical SP duration</w:t>
            </w:r>
          </w:p>
          <w:p w14:paraId="670F79A8" w14:textId="77777777" w:rsidR="008974D9" w:rsidRPr="008974D9" w:rsidRDefault="008974D9" w:rsidP="00CA6304">
            <w:pPr>
              <w:spacing w:before="0" w:after="0" w:line="240" w:lineRule="auto"/>
              <w:jc w:val="left"/>
              <w:rPr>
                <w:rFonts w:cstheme="minorBidi"/>
              </w:rPr>
            </w:pPr>
          </w:p>
          <w:p w14:paraId="4C71E17C" w14:textId="77777777" w:rsidR="008974D9" w:rsidRDefault="008974D9" w:rsidP="00CA6304">
            <w:pPr>
              <w:spacing w:before="0" w:after="0" w:line="240" w:lineRule="auto"/>
              <w:jc w:val="left"/>
              <w:rPr>
                <w:rFonts w:cstheme="minorBidi"/>
              </w:rPr>
            </w:pPr>
            <w:r>
              <w:rPr>
                <w:noProof/>
                <w:lang w:val="en-MY" w:eastAsia="en-MY"/>
              </w:rPr>
              <w:drawing>
                <wp:inline distT="0" distB="0" distL="0" distR="0" wp14:anchorId="3255A1F9" wp14:editId="5DCF1CFF">
                  <wp:extent cx="895350" cy="12382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8953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47E43EC5" w14:textId="77777777" w:rsidR="008974D9" w:rsidRDefault="008974D9" w:rsidP="00CA6304">
            <w:pPr>
              <w:spacing w:before="0" w:after="0" w:line="240" w:lineRule="auto"/>
              <w:jc w:val="left"/>
              <w:rPr>
                <w:rFonts w:cstheme="minorBidi"/>
                <w:b w:val="0"/>
                <w:bCs w:val="0"/>
              </w:rPr>
            </w:pPr>
          </w:p>
          <w:p w14:paraId="1A48D48D" w14:textId="77777777" w:rsidR="008974D9" w:rsidRDefault="008974D9" w:rsidP="00CA6304">
            <w:pPr>
              <w:spacing w:before="0" w:after="0" w:line="240" w:lineRule="auto"/>
              <w:jc w:val="left"/>
              <w:rPr>
                <w:rFonts w:cstheme="minorBidi"/>
                <w:b w:val="0"/>
                <w:bCs w:val="0"/>
              </w:rPr>
            </w:pPr>
          </w:p>
          <w:p w14:paraId="55A9FF2B" w14:textId="77777777" w:rsidR="008974D9" w:rsidRDefault="008974D9" w:rsidP="00CA6304">
            <w:pPr>
              <w:spacing w:before="0" w:after="0" w:line="240" w:lineRule="auto"/>
              <w:jc w:val="left"/>
              <w:rPr>
                <w:rFonts w:cstheme="minorBidi"/>
                <w:b w:val="0"/>
                <w:bCs w:val="0"/>
              </w:rPr>
            </w:pPr>
          </w:p>
          <w:p w14:paraId="770ED58C"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0F236222" w14:textId="7BC671FD" w:rsidR="008974D9"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75B81B1D" wp14:editId="6D983983">
                  <wp:extent cx="3960000" cy="2337049"/>
                  <wp:effectExtent l="0" t="0" r="254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c>
          <w:tcPr>
            <w:tcW w:w="6323" w:type="dxa"/>
            <w:tcBorders>
              <w:top w:val="single" w:sz="4" w:space="0" w:color="auto"/>
              <w:left w:val="single" w:sz="4" w:space="0" w:color="auto"/>
              <w:bottom w:val="single" w:sz="4" w:space="0" w:color="auto"/>
            </w:tcBorders>
          </w:tcPr>
          <w:p w14:paraId="5B787902" w14:textId="675826C7" w:rsidR="008974D9"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rFonts w:cstheme="minorBidi"/>
              </w:rPr>
            </w:pPr>
            <w:r>
              <w:rPr>
                <w:rFonts w:cstheme="minorBidi"/>
                <w:noProof/>
              </w:rPr>
              <w:drawing>
                <wp:inline distT="0" distB="0" distL="0" distR="0" wp14:anchorId="09A68915" wp14:editId="03E35B11">
                  <wp:extent cx="3960000" cy="2337049"/>
                  <wp:effectExtent l="0" t="0" r="254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r w:rsidR="008974D9" w14:paraId="5935617D" w14:textId="77777777" w:rsidTr="003F0527">
        <w:tc>
          <w:tcPr>
            <w:cnfStyle w:val="001000000000" w:firstRow="0" w:lastRow="0" w:firstColumn="1" w:lastColumn="0" w:oddVBand="0" w:evenVBand="0" w:oddHBand="0" w:evenHBand="0" w:firstRowFirstColumn="0" w:firstRowLastColumn="0" w:lastRowFirstColumn="0" w:lastRowLastColumn="0"/>
            <w:tcW w:w="1596" w:type="dxa"/>
            <w:vMerge/>
            <w:tcBorders>
              <w:right w:val="single" w:sz="4" w:space="0" w:color="auto"/>
            </w:tcBorders>
          </w:tcPr>
          <w:p w14:paraId="59210CA6" w14:textId="77777777" w:rsidR="008974D9" w:rsidRDefault="008974D9" w:rsidP="00CA6304">
            <w:pPr>
              <w:spacing w:before="0" w:after="0" w:line="240" w:lineRule="auto"/>
              <w:jc w:val="left"/>
              <w:rPr>
                <w:rFonts w:cstheme="minorBidi"/>
                <w:b w:val="0"/>
                <w:bCs w:val="0"/>
              </w:rPr>
            </w:pPr>
          </w:p>
        </w:tc>
        <w:tc>
          <w:tcPr>
            <w:tcW w:w="6323" w:type="dxa"/>
            <w:tcBorders>
              <w:top w:val="single" w:sz="4" w:space="0" w:color="auto"/>
              <w:left w:val="single" w:sz="4" w:space="0" w:color="auto"/>
              <w:bottom w:val="single" w:sz="4" w:space="0" w:color="auto"/>
              <w:right w:val="single" w:sz="4" w:space="0" w:color="auto"/>
            </w:tcBorders>
          </w:tcPr>
          <w:p w14:paraId="63EF1B3D" w14:textId="77777777" w:rsidR="008974D9" w:rsidRPr="00424033" w:rsidRDefault="008974D9"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0.75 Hz</w:t>
            </w:r>
          </w:p>
        </w:tc>
        <w:tc>
          <w:tcPr>
            <w:tcW w:w="6323" w:type="dxa"/>
            <w:tcBorders>
              <w:top w:val="single" w:sz="4" w:space="0" w:color="auto"/>
              <w:left w:val="single" w:sz="4" w:space="0" w:color="auto"/>
              <w:bottom w:val="single" w:sz="4" w:space="0" w:color="auto"/>
            </w:tcBorders>
          </w:tcPr>
          <w:p w14:paraId="66F4D251" w14:textId="77777777" w:rsidR="008974D9" w:rsidRPr="00424033" w:rsidRDefault="008974D9" w:rsidP="00CA630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noProof/>
              </w:rPr>
            </w:pPr>
            <w:r>
              <w:rPr>
                <w:b/>
                <w:bCs/>
                <w:noProof/>
              </w:rPr>
              <w:t>1.0 Hz</w:t>
            </w:r>
          </w:p>
        </w:tc>
      </w:tr>
      <w:tr w:rsidR="008974D9" w14:paraId="5EE92C4E" w14:textId="77777777" w:rsidTr="008974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6" w:type="dxa"/>
            <w:vMerge/>
            <w:tcBorders>
              <w:bottom w:val="single" w:sz="4" w:space="0" w:color="auto"/>
              <w:right w:val="single" w:sz="4" w:space="0" w:color="auto"/>
            </w:tcBorders>
          </w:tcPr>
          <w:p w14:paraId="6FE9E01C" w14:textId="77777777" w:rsidR="008974D9" w:rsidRDefault="008974D9" w:rsidP="00CA6304">
            <w:pPr>
              <w:spacing w:before="0" w:after="0" w:line="240" w:lineRule="auto"/>
              <w:jc w:val="left"/>
              <w:rPr>
                <w:rFonts w:cstheme="minorBidi"/>
              </w:rPr>
            </w:pPr>
          </w:p>
        </w:tc>
        <w:tc>
          <w:tcPr>
            <w:tcW w:w="6323" w:type="dxa"/>
            <w:tcBorders>
              <w:top w:val="single" w:sz="4" w:space="0" w:color="auto"/>
              <w:left w:val="single" w:sz="4" w:space="0" w:color="auto"/>
              <w:bottom w:val="single" w:sz="4" w:space="0" w:color="auto"/>
              <w:right w:val="single" w:sz="4" w:space="0" w:color="auto"/>
            </w:tcBorders>
          </w:tcPr>
          <w:p w14:paraId="7A477AFE" w14:textId="0507BAC7" w:rsidR="008974D9" w:rsidRPr="0019680A"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E6A6D03" wp14:editId="4429540C">
                  <wp:extent cx="3960000" cy="2337049"/>
                  <wp:effectExtent l="0" t="0" r="254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5"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c>
          <w:tcPr>
            <w:tcW w:w="6323" w:type="dxa"/>
            <w:tcBorders>
              <w:top w:val="single" w:sz="4" w:space="0" w:color="auto"/>
              <w:left w:val="single" w:sz="4" w:space="0" w:color="auto"/>
              <w:bottom w:val="single" w:sz="4" w:space="0" w:color="auto"/>
            </w:tcBorders>
          </w:tcPr>
          <w:p w14:paraId="234666F9" w14:textId="35EB00E9" w:rsidR="008974D9" w:rsidRPr="0090042A" w:rsidRDefault="008974D9" w:rsidP="00CA6304">
            <w:pPr>
              <w:spacing w:before="0" w:after="0" w:line="240" w:lineRule="auto"/>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088689A" wp14:editId="008A2508">
                  <wp:extent cx="3960000" cy="2337049"/>
                  <wp:effectExtent l="0" t="0" r="254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6"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bl>
    <w:p w14:paraId="668BE3BD" w14:textId="04E63DFA" w:rsidR="008974D9" w:rsidRDefault="008974D9" w:rsidP="00C4130D">
      <w:pPr>
        <w:pStyle w:val="Caption"/>
      </w:pPr>
      <w:bookmarkStart w:id="269" w:name="_Toc98569897"/>
      <w:r>
        <w:t>Figure 3.</w:t>
      </w:r>
      <w:r>
        <w:fldChar w:fldCharType="begin"/>
      </w:r>
      <w:r>
        <w:instrText xml:space="preserve"> SEQ Figure_3. \* ARABIC </w:instrText>
      </w:r>
      <w:r>
        <w:fldChar w:fldCharType="separate"/>
      </w:r>
      <w:r w:rsidR="00E268F6">
        <w:rPr>
          <w:noProof/>
        </w:rPr>
        <w:t>8</w:t>
      </w:r>
      <w:r>
        <w:fldChar w:fldCharType="end"/>
      </w:r>
      <w:r>
        <w:t>: The s</w:t>
      </w:r>
      <w:r w:rsidRPr="00424033">
        <w:t>catterplot</w:t>
      </w:r>
      <w:r>
        <w:t>s</w:t>
      </w:r>
      <w:r w:rsidRPr="00424033">
        <w:t xml:space="preserve"> showing </w:t>
      </w:r>
      <w:r>
        <w:t>vertic</w:t>
      </w:r>
      <w:r w:rsidRPr="00424033">
        <w:t xml:space="preserve">al SP </w:t>
      </w:r>
      <w:r>
        <w:t>duration</w:t>
      </w:r>
      <w:r w:rsidRPr="00424033">
        <w:t xml:space="preserve"> according to trial frequency for three age groups</w:t>
      </w:r>
      <w:r>
        <w:t>.</w:t>
      </w:r>
      <w:bookmarkEnd w:id="269"/>
    </w:p>
    <w:p w14:paraId="5C5DF015" w14:textId="6939B970" w:rsidR="008974D9" w:rsidRPr="008974D9" w:rsidRDefault="008974D9" w:rsidP="008974D9">
      <w:pPr>
        <w:sectPr w:rsidR="008974D9" w:rsidRPr="008974D9" w:rsidSect="0074765D">
          <w:headerReference w:type="default" r:id="rId137"/>
          <w:footerReference w:type="default" r:id="rId138"/>
          <w:pgSz w:w="16838" w:h="11906" w:orient="landscape" w:code="9"/>
          <w:pgMar w:top="1440" w:right="1440" w:bottom="1440" w:left="1440" w:header="708" w:footer="708" w:gutter="0"/>
          <w:cols w:space="708"/>
          <w:docGrid w:linePitch="360"/>
        </w:sectPr>
      </w:pPr>
    </w:p>
    <w:p w14:paraId="3CB0964C" w14:textId="5202DA76" w:rsidR="008816D4" w:rsidRPr="009D4627" w:rsidRDefault="008816D4" w:rsidP="00DC4CA6">
      <w:pPr>
        <w:pStyle w:val="Heading3"/>
      </w:pPr>
      <w:bookmarkStart w:id="270" w:name="_Toc64730811"/>
      <w:bookmarkStart w:id="271" w:name="_Toc98964664"/>
      <w:bookmarkStart w:id="272" w:name="_Toc103344709"/>
      <w:r w:rsidRPr="009D4627">
        <w:lastRenderedPageBreak/>
        <w:t>The effect of ageing on horizontal saccad</w:t>
      </w:r>
      <w:r w:rsidR="00C36E30" w:rsidRPr="009D4627">
        <w:t>ic</w:t>
      </w:r>
      <w:r w:rsidRPr="009D4627">
        <w:t xml:space="preserve"> performance</w:t>
      </w:r>
      <w:bookmarkEnd w:id="270"/>
      <w:bookmarkEnd w:id="271"/>
      <w:bookmarkEnd w:id="272"/>
    </w:p>
    <w:p w14:paraId="1C5C949D" w14:textId="0CF1B592" w:rsidR="00856E49" w:rsidRDefault="008816D4" w:rsidP="006C278F">
      <w:pPr>
        <w:rPr>
          <w:szCs w:val="22"/>
        </w:rPr>
      </w:pPr>
      <w:r w:rsidRPr="009D4627">
        <w:rPr>
          <w:szCs w:val="22"/>
        </w:rPr>
        <w:t xml:space="preserve">Individual participant means for </w:t>
      </w:r>
      <w:r w:rsidR="00C36E30" w:rsidRPr="009D4627">
        <w:rPr>
          <w:szCs w:val="22"/>
        </w:rPr>
        <w:t xml:space="preserve">the </w:t>
      </w:r>
      <w:r w:rsidRPr="009D4627">
        <w:rPr>
          <w:szCs w:val="22"/>
        </w:rPr>
        <w:t>three age group participants were calculated for saccad</w:t>
      </w:r>
      <w:r w:rsidR="00C36E30" w:rsidRPr="009D4627">
        <w:rPr>
          <w:szCs w:val="22"/>
        </w:rPr>
        <w:t>ic</w:t>
      </w:r>
      <w:r w:rsidRPr="009D4627">
        <w:rPr>
          <w:szCs w:val="22"/>
        </w:rPr>
        <w:t xml:space="preserve"> latency, peak velocity, and gain for six horizontal saccad</w:t>
      </w:r>
      <w:r w:rsidR="00C36E30" w:rsidRPr="009D4627">
        <w:rPr>
          <w:szCs w:val="22"/>
        </w:rPr>
        <w:t>ic</w:t>
      </w:r>
      <w:r w:rsidRPr="009D4627">
        <w:rPr>
          <w:szCs w:val="22"/>
        </w:rPr>
        <w:t xml:space="preserve"> amplitudes (Appendix 3.</w:t>
      </w:r>
      <w:r w:rsidR="00856E49">
        <w:rPr>
          <w:szCs w:val="22"/>
        </w:rPr>
        <w:t>4</w:t>
      </w:r>
      <w:r w:rsidRPr="009D4627">
        <w:rPr>
          <w:szCs w:val="22"/>
        </w:rPr>
        <w:t xml:space="preserve">). </w:t>
      </w:r>
      <w:r w:rsidR="00856E49">
        <w:rPr>
          <w:szCs w:val="22"/>
        </w:rPr>
        <w:t xml:space="preserve"> </w:t>
      </w:r>
      <w:r w:rsidR="00393BEB">
        <w:rPr>
          <w:szCs w:val="22"/>
        </w:rPr>
        <w:t>Independent samples t-tests</w:t>
      </w:r>
      <w:r w:rsidR="00F11D75" w:rsidRPr="00F11D75">
        <w:rPr>
          <w:szCs w:val="22"/>
        </w:rPr>
        <w:t xml:space="preserve"> confirm a symmetrical pattern between the rightward and leftward saccadic amplitudes</w:t>
      </w:r>
      <w:r w:rsidR="00F11D75">
        <w:rPr>
          <w:szCs w:val="22"/>
        </w:rPr>
        <w:t xml:space="preserve"> </w:t>
      </w:r>
      <w:r w:rsidR="00F00E6E">
        <w:rPr>
          <w:szCs w:val="22"/>
        </w:rPr>
        <w:t>(Table 3.3)</w:t>
      </w:r>
      <w:r w:rsidR="00657045" w:rsidRPr="00657045">
        <w:rPr>
          <w:szCs w:val="22"/>
        </w:rPr>
        <w:t xml:space="preserve">. Thus, independent of the direction of saccades, target amplitudes were classified into the </w:t>
      </w:r>
      <w:r w:rsidR="00D368ED">
        <w:rPr>
          <w:szCs w:val="22"/>
        </w:rPr>
        <w:t>larg</w:t>
      </w:r>
      <w:r w:rsidR="00657045" w:rsidRPr="00657045">
        <w:rPr>
          <w:szCs w:val="22"/>
        </w:rPr>
        <w:t>est, middle, and smallest amplitudes (i.e., +15° and -15° for the largest amplitude, +10° and -10° for the middle amplitude, and +5° and -5° for the smallest amplitude).</w:t>
      </w:r>
    </w:p>
    <w:p w14:paraId="660A9EF0" w14:textId="2497F25F" w:rsidR="00F00E6E" w:rsidRDefault="00F00E6E" w:rsidP="00F00E6E">
      <w:pPr>
        <w:spacing w:after="0"/>
      </w:pPr>
      <w:bookmarkStart w:id="273" w:name="_Toc99439395"/>
      <w:r>
        <w:t>Table 3.</w:t>
      </w:r>
      <w:r w:rsidR="007E7CC8">
        <w:fldChar w:fldCharType="begin"/>
      </w:r>
      <w:r w:rsidR="007E7CC8">
        <w:instrText xml:space="preserve"> SEQ Table_3. \* ARABIC </w:instrText>
      </w:r>
      <w:r w:rsidR="007E7CC8">
        <w:fldChar w:fldCharType="separate"/>
      </w:r>
      <w:r w:rsidR="00E268F6">
        <w:rPr>
          <w:noProof/>
        </w:rPr>
        <w:t>3</w:t>
      </w:r>
      <w:r w:rsidR="007E7CC8">
        <w:rPr>
          <w:noProof/>
        </w:rPr>
        <w:fldChar w:fldCharType="end"/>
      </w:r>
      <w:r>
        <w:t xml:space="preserve">: </w:t>
      </w:r>
      <w:r w:rsidR="00393BEB">
        <w:t>Independent samples t-tests</w:t>
      </w:r>
      <w:r>
        <w:t xml:space="preserve"> evaluating the differences of the mean values by horizontal saccadic directions.</w:t>
      </w:r>
      <w:bookmarkEnd w:id="273"/>
    </w:p>
    <w:tbl>
      <w:tblPr>
        <w:tblW w:w="0" w:type="auto"/>
        <w:jc w:val="center"/>
        <w:tblLook w:val="04A0" w:firstRow="1" w:lastRow="0" w:firstColumn="1" w:lastColumn="0" w:noHBand="0" w:noVBand="1"/>
      </w:tblPr>
      <w:tblGrid>
        <w:gridCol w:w="1985"/>
        <w:gridCol w:w="2126"/>
        <w:gridCol w:w="2126"/>
        <w:gridCol w:w="851"/>
        <w:gridCol w:w="850"/>
        <w:gridCol w:w="1088"/>
      </w:tblGrid>
      <w:tr w:rsidR="00F00E6E" w:rsidRPr="00F00E6E" w14:paraId="363430D4" w14:textId="77777777" w:rsidTr="0016744E">
        <w:trPr>
          <w:trHeight w:val="600"/>
          <w:jc w:val="center"/>
        </w:trPr>
        <w:tc>
          <w:tcPr>
            <w:tcW w:w="1985" w:type="dxa"/>
            <w:tcBorders>
              <w:top w:val="single" w:sz="4" w:space="0" w:color="auto"/>
              <w:left w:val="nil"/>
              <w:bottom w:val="single" w:sz="4" w:space="0" w:color="auto"/>
              <w:right w:val="single" w:sz="4" w:space="0" w:color="auto"/>
            </w:tcBorders>
            <w:shd w:val="clear" w:color="auto" w:fill="auto"/>
            <w:vAlign w:val="bottom"/>
            <w:hideMark/>
          </w:tcPr>
          <w:p w14:paraId="5FD5C64C" w14:textId="6F938C16" w:rsidR="00F00E6E" w:rsidRPr="00F00E6E" w:rsidRDefault="00F00E6E" w:rsidP="00F00E6E">
            <w:pPr>
              <w:spacing w:before="0" w:after="0" w:line="240" w:lineRule="auto"/>
              <w:jc w:val="left"/>
              <w:rPr>
                <w:rFonts w:eastAsia="Times New Roman"/>
                <w:color w:val="000000"/>
                <w:sz w:val="22"/>
                <w:szCs w:val="22"/>
                <w:lang w:val="en-MY" w:eastAsia="en-MY"/>
              </w:rPr>
            </w:pPr>
            <w:r w:rsidRPr="00F00E6E">
              <w:rPr>
                <w:rFonts w:eastAsia="Times New Roman"/>
                <w:color w:val="000000"/>
                <w:sz w:val="22"/>
                <w:szCs w:val="22"/>
                <w:lang w:val="en-MY" w:eastAsia="en-MY"/>
              </w:rPr>
              <w:t>Mean horizontal saccadic parameter</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72530C5" w14:textId="7813E1A3" w:rsidR="00F00E6E" w:rsidRPr="00F00E6E" w:rsidRDefault="00F00E6E" w:rsidP="00F00E6E">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L</w:t>
            </w:r>
            <w:r w:rsidRPr="00F00E6E">
              <w:rPr>
                <w:rFonts w:eastAsia="Times New Roman"/>
                <w:color w:val="000000"/>
                <w:sz w:val="22"/>
                <w:szCs w:val="22"/>
                <w:lang w:val="en-MY" w:eastAsia="en-MY"/>
              </w:rPr>
              <w:t>eftward saccade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CC344" w14:textId="1C5CDFBF" w:rsidR="00F00E6E" w:rsidRPr="00F00E6E" w:rsidRDefault="00F00E6E" w:rsidP="00F00E6E">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R</w:t>
            </w:r>
            <w:r w:rsidRPr="00F00E6E">
              <w:rPr>
                <w:rFonts w:eastAsia="Times New Roman"/>
                <w:color w:val="000000"/>
                <w:sz w:val="22"/>
                <w:szCs w:val="22"/>
                <w:lang w:val="en-MY" w:eastAsia="en-MY"/>
              </w:rPr>
              <w:t>ightward saccade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BEF67" w14:textId="77777777" w:rsidR="00F00E6E" w:rsidRPr="006F1D69" w:rsidRDefault="00F00E6E" w:rsidP="00F00E6E">
            <w:pPr>
              <w:spacing w:before="0" w:after="0" w:line="240" w:lineRule="auto"/>
              <w:jc w:val="center"/>
              <w:rPr>
                <w:rFonts w:eastAsia="Times New Roman"/>
                <w:i/>
                <w:iCs/>
                <w:color w:val="000000"/>
                <w:sz w:val="22"/>
                <w:szCs w:val="22"/>
                <w:lang w:val="en-MY" w:eastAsia="en-MY"/>
              </w:rPr>
            </w:pPr>
            <w:r w:rsidRPr="006F1D69">
              <w:rPr>
                <w:rFonts w:eastAsia="Times New Roman"/>
                <w:i/>
                <w:iCs/>
                <w:color w:val="000000"/>
                <w:sz w:val="22"/>
                <w:szCs w:val="22"/>
                <w:lang w:val="en-MY" w:eastAsia="en-MY"/>
              </w:rPr>
              <w:t>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C2B3E"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df</w:t>
            </w:r>
          </w:p>
        </w:tc>
        <w:tc>
          <w:tcPr>
            <w:tcW w:w="1088" w:type="dxa"/>
            <w:tcBorders>
              <w:top w:val="single" w:sz="4" w:space="0" w:color="auto"/>
              <w:left w:val="single" w:sz="4" w:space="0" w:color="auto"/>
              <w:bottom w:val="single" w:sz="4" w:space="0" w:color="auto"/>
              <w:right w:val="nil"/>
            </w:tcBorders>
            <w:shd w:val="clear" w:color="auto" w:fill="auto"/>
            <w:vAlign w:val="center"/>
            <w:hideMark/>
          </w:tcPr>
          <w:p w14:paraId="50A3C7C8"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6F1D69">
              <w:rPr>
                <w:rFonts w:eastAsia="Times New Roman"/>
                <w:i/>
                <w:iCs/>
                <w:color w:val="000000"/>
                <w:sz w:val="22"/>
                <w:szCs w:val="22"/>
                <w:lang w:val="en-MY" w:eastAsia="en-MY"/>
              </w:rPr>
              <w:t>p</w:t>
            </w:r>
            <w:r w:rsidRPr="00F00E6E">
              <w:rPr>
                <w:rFonts w:eastAsia="Times New Roman"/>
                <w:color w:val="000000"/>
                <w:sz w:val="22"/>
                <w:szCs w:val="22"/>
                <w:lang w:val="en-MY" w:eastAsia="en-MY"/>
              </w:rPr>
              <w:t>-value</w:t>
            </w:r>
          </w:p>
        </w:tc>
      </w:tr>
      <w:tr w:rsidR="00F00E6E" w:rsidRPr="00F00E6E" w14:paraId="2435B064" w14:textId="77777777" w:rsidTr="0016744E">
        <w:trPr>
          <w:trHeight w:val="300"/>
          <w:jc w:val="center"/>
        </w:trPr>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0B420172" w14:textId="77777777" w:rsidR="00F00E6E" w:rsidRPr="00F00E6E" w:rsidRDefault="00F00E6E" w:rsidP="00F00E6E">
            <w:pPr>
              <w:spacing w:before="0" w:after="0" w:line="240" w:lineRule="auto"/>
              <w:jc w:val="left"/>
              <w:rPr>
                <w:rFonts w:eastAsia="Times New Roman"/>
                <w:color w:val="000000"/>
                <w:sz w:val="22"/>
                <w:szCs w:val="22"/>
                <w:lang w:val="en-MY" w:eastAsia="en-MY"/>
              </w:rPr>
            </w:pPr>
            <w:r w:rsidRPr="00F00E6E">
              <w:rPr>
                <w:rFonts w:eastAsia="Times New Roman"/>
                <w:color w:val="000000"/>
                <w:sz w:val="22"/>
                <w:szCs w:val="22"/>
                <w:lang w:val="en-MY" w:eastAsia="en-MY"/>
              </w:rPr>
              <w:t>Latency</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7E3E3060"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191.84</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2DB65"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193.87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3789BB"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-0.48</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3ABB52F"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268</w:t>
            </w:r>
          </w:p>
        </w:tc>
        <w:tc>
          <w:tcPr>
            <w:tcW w:w="1088" w:type="dxa"/>
            <w:tcBorders>
              <w:top w:val="single" w:sz="4" w:space="0" w:color="auto"/>
              <w:left w:val="single" w:sz="4" w:space="0" w:color="auto"/>
              <w:bottom w:val="single" w:sz="4" w:space="0" w:color="auto"/>
              <w:right w:val="nil"/>
            </w:tcBorders>
            <w:shd w:val="clear" w:color="auto" w:fill="auto"/>
            <w:noWrap/>
            <w:vAlign w:val="bottom"/>
            <w:hideMark/>
          </w:tcPr>
          <w:p w14:paraId="3D529548"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0.63</w:t>
            </w:r>
          </w:p>
        </w:tc>
      </w:tr>
      <w:tr w:rsidR="00F00E6E" w:rsidRPr="00F00E6E" w14:paraId="221995AD" w14:textId="77777777" w:rsidTr="0016744E">
        <w:trPr>
          <w:trHeight w:val="300"/>
          <w:jc w:val="center"/>
        </w:trPr>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3ABCBFE0" w14:textId="77777777" w:rsidR="00F00E6E" w:rsidRPr="00F00E6E" w:rsidRDefault="00F00E6E" w:rsidP="00F00E6E">
            <w:pPr>
              <w:spacing w:before="0" w:after="0" w:line="240" w:lineRule="auto"/>
              <w:jc w:val="left"/>
              <w:rPr>
                <w:rFonts w:eastAsia="Times New Roman"/>
                <w:color w:val="000000"/>
                <w:sz w:val="22"/>
                <w:szCs w:val="22"/>
                <w:lang w:val="en-MY" w:eastAsia="en-MY"/>
              </w:rPr>
            </w:pPr>
            <w:r w:rsidRPr="00F00E6E">
              <w:rPr>
                <w:rFonts w:eastAsia="Times New Roman"/>
                <w:color w:val="000000"/>
                <w:sz w:val="22"/>
                <w:szCs w:val="22"/>
                <w:lang w:val="en-MY" w:eastAsia="en-MY"/>
              </w:rPr>
              <w:t>Peak Velocity</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7619BC27"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344.46</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424D2"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349.18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5617C"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-0.42</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E4999AE" w14:textId="77777777" w:rsidR="00F00E6E" w:rsidRPr="00F00E6E" w:rsidRDefault="00F00E6E" w:rsidP="00F00E6E">
            <w:pPr>
              <w:spacing w:before="0" w:after="0" w:line="240" w:lineRule="auto"/>
              <w:jc w:val="center"/>
              <w:rPr>
                <w:rFonts w:eastAsia="Times New Roman"/>
                <w:color w:val="000000"/>
                <w:sz w:val="22"/>
                <w:szCs w:val="22"/>
                <w:lang w:val="en-MY" w:eastAsia="en-MY"/>
              </w:rPr>
            </w:pPr>
          </w:p>
        </w:tc>
        <w:tc>
          <w:tcPr>
            <w:tcW w:w="1088" w:type="dxa"/>
            <w:tcBorders>
              <w:top w:val="single" w:sz="4" w:space="0" w:color="auto"/>
              <w:left w:val="single" w:sz="4" w:space="0" w:color="auto"/>
              <w:bottom w:val="single" w:sz="4" w:space="0" w:color="auto"/>
              <w:right w:val="nil"/>
            </w:tcBorders>
            <w:shd w:val="clear" w:color="auto" w:fill="auto"/>
            <w:noWrap/>
            <w:vAlign w:val="bottom"/>
            <w:hideMark/>
          </w:tcPr>
          <w:p w14:paraId="28997491"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0.67</w:t>
            </w:r>
          </w:p>
        </w:tc>
      </w:tr>
      <w:tr w:rsidR="00F00E6E" w:rsidRPr="00F00E6E" w14:paraId="2486D2DD" w14:textId="77777777" w:rsidTr="0016744E">
        <w:trPr>
          <w:trHeight w:val="300"/>
          <w:jc w:val="center"/>
        </w:trPr>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4A8FCDC3" w14:textId="77777777" w:rsidR="00F00E6E" w:rsidRPr="00F00E6E" w:rsidRDefault="00F00E6E" w:rsidP="00F00E6E">
            <w:pPr>
              <w:spacing w:before="0" w:after="0" w:line="240" w:lineRule="auto"/>
              <w:jc w:val="left"/>
              <w:rPr>
                <w:rFonts w:eastAsia="Times New Roman"/>
                <w:color w:val="000000"/>
                <w:sz w:val="22"/>
                <w:szCs w:val="22"/>
                <w:lang w:val="en-MY" w:eastAsia="en-MY"/>
              </w:rPr>
            </w:pPr>
            <w:r w:rsidRPr="00F00E6E">
              <w:rPr>
                <w:rFonts w:eastAsia="Times New Roman"/>
                <w:color w:val="000000"/>
                <w:sz w:val="22"/>
                <w:szCs w:val="22"/>
                <w:lang w:val="en-MY" w:eastAsia="en-MY"/>
              </w:rPr>
              <w:t>Gain</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09D5895C"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0.90</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347E4"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0.91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9DBE1" w14:textId="77777777" w:rsidR="00F00E6E" w:rsidRPr="00F00E6E" w:rsidRDefault="00F00E6E" w:rsidP="00F00E6E">
            <w:pPr>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-0.49</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EA52FB7" w14:textId="77777777" w:rsidR="00F00E6E" w:rsidRPr="00F00E6E" w:rsidRDefault="00F00E6E" w:rsidP="00F00E6E">
            <w:pPr>
              <w:spacing w:before="0" w:after="0" w:line="240" w:lineRule="auto"/>
              <w:jc w:val="center"/>
              <w:rPr>
                <w:rFonts w:eastAsia="Times New Roman"/>
                <w:color w:val="000000"/>
                <w:sz w:val="22"/>
                <w:szCs w:val="22"/>
                <w:lang w:val="en-MY" w:eastAsia="en-MY"/>
              </w:rPr>
            </w:pPr>
          </w:p>
        </w:tc>
        <w:tc>
          <w:tcPr>
            <w:tcW w:w="1088" w:type="dxa"/>
            <w:tcBorders>
              <w:top w:val="single" w:sz="4" w:space="0" w:color="auto"/>
              <w:left w:val="single" w:sz="4" w:space="0" w:color="auto"/>
              <w:bottom w:val="single" w:sz="4" w:space="0" w:color="auto"/>
              <w:right w:val="nil"/>
            </w:tcBorders>
            <w:shd w:val="clear" w:color="auto" w:fill="auto"/>
            <w:noWrap/>
            <w:vAlign w:val="bottom"/>
            <w:hideMark/>
          </w:tcPr>
          <w:p w14:paraId="62244563" w14:textId="77777777" w:rsidR="00F00E6E" w:rsidRPr="00F00E6E" w:rsidRDefault="00F00E6E" w:rsidP="00F00E6E">
            <w:pPr>
              <w:keepNext/>
              <w:spacing w:before="0" w:after="0" w:line="240" w:lineRule="auto"/>
              <w:jc w:val="center"/>
              <w:rPr>
                <w:rFonts w:eastAsia="Times New Roman"/>
                <w:color w:val="000000"/>
                <w:sz w:val="22"/>
                <w:szCs w:val="22"/>
                <w:lang w:val="en-MY" w:eastAsia="en-MY"/>
              </w:rPr>
            </w:pPr>
            <w:r w:rsidRPr="00F00E6E">
              <w:rPr>
                <w:rFonts w:eastAsia="Times New Roman"/>
                <w:color w:val="000000"/>
                <w:sz w:val="22"/>
                <w:szCs w:val="22"/>
                <w:lang w:val="en-MY" w:eastAsia="en-MY"/>
              </w:rPr>
              <w:t>0.62</w:t>
            </w:r>
          </w:p>
        </w:tc>
      </w:tr>
    </w:tbl>
    <w:p w14:paraId="47AB6F7C" w14:textId="0FE8551E" w:rsidR="00F00E6E" w:rsidRDefault="0016744E" w:rsidP="00C4130D">
      <w:pPr>
        <w:pStyle w:val="Caption"/>
      </w:pPr>
      <w:r>
        <w:rPr>
          <w:i/>
        </w:rPr>
        <w:t>*</w:t>
      </w:r>
      <w:r w:rsidR="00EA5FF0">
        <w:t xml:space="preserve">Data are </w:t>
      </w:r>
      <w:r w:rsidRPr="0016744E">
        <w:t>significant at</w:t>
      </w:r>
      <w:r>
        <w:rPr>
          <w:i/>
        </w:rPr>
        <w:t xml:space="preserve"> p</w:t>
      </w:r>
      <w:r w:rsidR="006F1D69">
        <w:t>&lt;0.05</w:t>
      </w:r>
    </w:p>
    <w:p w14:paraId="0244B406" w14:textId="5F5CF678" w:rsidR="00D368ED" w:rsidRDefault="00856E49" w:rsidP="008816D4">
      <w:pPr>
        <w:spacing w:after="160"/>
      </w:pPr>
      <w:r>
        <w:rPr>
          <w:szCs w:val="22"/>
        </w:rPr>
        <w:t xml:space="preserve">One-way ANOVA </w:t>
      </w:r>
      <w:r w:rsidR="00A83C0C">
        <w:rPr>
          <w:szCs w:val="22"/>
        </w:rPr>
        <w:t xml:space="preserve">was </w:t>
      </w:r>
      <w:r>
        <w:rPr>
          <w:szCs w:val="22"/>
        </w:rPr>
        <w:t xml:space="preserve">carried out to examine the effect of ageing on the horizontal saccadic variables according to different size of saccadic amplitudes. </w:t>
      </w:r>
      <w:r w:rsidR="00E231D1" w:rsidRPr="00E231D1">
        <w:rPr>
          <w:szCs w:val="22"/>
        </w:rPr>
        <w:t xml:space="preserve">The horizontal saccadic latency differed significantly between age groups for all amplitude sizes. </w:t>
      </w:r>
      <w:r w:rsidR="008D6CC6" w:rsidRPr="008D6CC6">
        <w:rPr>
          <w:szCs w:val="22"/>
        </w:rPr>
        <w:t>Additionally, the peak velocity was significantly different between age groups at the middle and largest amplitudes, and the gain was significantly different between age groups at the smallest amplitude. Post hoc analysis revealed that there were differences in peak velocity and gain between the young and old age groups.</w:t>
      </w:r>
      <w:r w:rsidR="008D6CC6">
        <w:rPr>
          <w:szCs w:val="22"/>
        </w:rPr>
        <w:t xml:space="preserve"> </w:t>
      </w:r>
      <w:r w:rsidR="008D6CC6" w:rsidRPr="00B50107">
        <w:t>The one-way ANOVA findings are reported in Table 3.</w:t>
      </w:r>
      <w:r w:rsidR="00F11D75">
        <w:t>4</w:t>
      </w:r>
      <w:r w:rsidR="008D6CC6">
        <w:t>.</w:t>
      </w:r>
    </w:p>
    <w:p w14:paraId="0C683888" w14:textId="77777777" w:rsidR="0016744E" w:rsidRDefault="0016744E" w:rsidP="008816D4">
      <w:pPr>
        <w:spacing w:after="160"/>
        <w:rPr>
          <w:szCs w:val="22"/>
        </w:rPr>
      </w:pPr>
    </w:p>
    <w:p w14:paraId="57230297" w14:textId="06484735" w:rsidR="0016744E" w:rsidRPr="0016744E" w:rsidRDefault="008D6CC6" w:rsidP="00C4130D">
      <w:pPr>
        <w:pStyle w:val="Caption"/>
      </w:pPr>
      <w:bookmarkStart w:id="274" w:name="_Toc99439396"/>
      <w:r>
        <w:lastRenderedPageBreak/>
        <w:t>Table 3.</w:t>
      </w:r>
      <w:r w:rsidR="00F00E6E">
        <w:fldChar w:fldCharType="begin"/>
      </w:r>
      <w:r w:rsidR="00F00E6E">
        <w:instrText xml:space="preserve"> SEQ Table_3. \* ARABIC </w:instrText>
      </w:r>
      <w:r w:rsidR="00F00E6E">
        <w:fldChar w:fldCharType="separate"/>
      </w:r>
      <w:r w:rsidR="00E268F6">
        <w:rPr>
          <w:noProof/>
        </w:rPr>
        <w:t>4</w:t>
      </w:r>
      <w:r w:rsidR="00F00E6E">
        <w:fldChar w:fldCharType="end"/>
      </w:r>
      <w:r>
        <w:t>:</w:t>
      </w:r>
      <w:r w:rsidRPr="009D4627">
        <w:t xml:space="preserve"> </w:t>
      </w:r>
      <w:r w:rsidR="002A6FE6" w:rsidRPr="002A6FE6">
        <w:t>One-way ANOVA was used to assess the effects of age on horizontal saccadic variables at three amplitude sizes.</w:t>
      </w:r>
      <w:bookmarkEnd w:id="274"/>
    </w:p>
    <w:tbl>
      <w:tblPr>
        <w:tblW w:w="8519" w:type="dxa"/>
        <w:tblLook w:val="04A0" w:firstRow="1" w:lastRow="0" w:firstColumn="1" w:lastColumn="0" w:noHBand="0" w:noVBand="1"/>
      </w:tblPr>
      <w:tblGrid>
        <w:gridCol w:w="2127"/>
        <w:gridCol w:w="1571"/>
        <w:gridCol w:w="900"/>
        <w:gridCol w:w="960"/>
        <w:gridCol w:w="1041"/>
        <w:gridCol w:w="960"/>
        <w:gridCol w:w="960"/>
      </w:tblGrid>
      <w:tr w:rsidR="00F366AD" w:rsidRPr="0091194F" w14:paraId="0365BF94" w14:textId="77777777" w:rsidTr="0001066B">
        <w:trPr>
          <w:trHeight w:val="300"/>
        </w:trPr>
        <w:tc>
          <w:tcPr>
            <w:tcW w:w="2127" w:type="dxa"/>
            <w:tcBorders>
              <w:top w:val="single" w:sz="4" w:space="0" w:color="auto"/>
              <w:bottom w:val="single" w:sz="4" w:space="0" w:color="auto"/>
              <w:right w:val="single" w:sz="4" w:space="0" w:color="auto"/>
            </w:tcBorders>
            <w:shd w:val="clear" w:color="auto" w:fill="auto"/>
            <w:noWrap/>
            <w:vAlign w:val="bottom"/>
            <w:hideMark/>
          </w:tcPr>
          <w:p w14:paraId="035A5641" w14:textId="66767D1D" w:rsidR="00F366AD" w:rsidRPr="0091194F" w:rsidRDefault="00F366AD" w:rsidP="00281A92">
            <w:pPr>
              <w:spacing w:before="0" w:after="0" w:line="240" w:lineRule="auto"/>
              <w:jc w:val="left"/>
              <w:rPr>
                <w:rFonts w:eastAsia="Times New Roman"/>
                <w:color w:val="000000"/>
                <w:sz w:val="22"/>
                <w:szCs w:val="22"/>
                <w:lang w:val="en-MY" w:eastAsia="en-MY"/>
              </w:rPr>
            </w:pPr>
            <w:bookmarkStart w:id="275" w:name="_Hlk97379507"/>
            <w:r>
              <w:rPr>
                <w:rFonts w:eastAsia="Times New Roman"/>
                <w:color w:val="000000"/>
                <w:sz w:val="22"/>
                <w:szCs w:val="22"/>
                <w:lang w:val="en-MY" w:eastAsia="en-MY"/>
              </w:rPr>
              <w:t xml:space="preserve">Horizontal saccadic </w:t>
            </w:r>
            <w:r w:rsidR="00F00E6E">
              <w:rPr>
                <w:rFonts w:eastAsia="Times New Roman"/>
                <w:color w:val="000000"/>
                <w:sz w:val="22"/>
                <w:szCs w:val="22"/>
                <w:lang w:val="en-MY" w:eastAsia="en-MY"/>
              </w:rPr>
              <w:t>parameter</w:t>
            </w:r>
          </w:p>
        </w:tc>
        <w:tc>
          <w:tcPr>
            <w:tcW w:w="1571" w:type="dxa"/>
            <w:tcBorders>
              <w:top w:val="single" w:sz="4" w:space="0" w:color="auto"/>
              <w:left w:val="nil"/>
              <w:bottom w:val="single" w:sz="4" w:space="0" w:color="auto"/>
              <w:right w:val="single" w:sz="4" w:space="0" w:color="auto"/>
            </w:tcBorders>
            <w:shd w:val="clear" w:color="auto" w:fill="auto"/>
            <w:noWrap/>
            <w:vAlign w:val="bottom"/>
            <w:hideMark/>
          </w:tcPr>
          <w:p w14:paraId="3BABA666" w14:textId="77777777" w:rsidR="00F366AD" w:rsidRPr="0091194F" w:rsidRDefault="00F366AD" w:rsidP="00281A92">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Amplitude size</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431B6607" w14:textId="77777777" w:rsidR="00F366AD" w:rsidRPr="0091194F" w:rsidRDefault="00F366AD" w:rsidP="0016744E">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SS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D26059E" w14:textId="77777777" w:rsidR="00F366AD" w:rsidRPr="0091194F" w:rsidRDefault="00F366AD" w:rsidP="00281A92">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df</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14:paraId="06B24788" w14:textId="77777777" w:rsidR="00F366AD" w:rsidRPr="0091194F" w:rsidRDefault="00F366AD" w:rsidP="0016744E">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MS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06EEAAD" w14:textId="77777777" w:rsidR="00F366AD" w:rsidRPr="0091194F" w:rsidRDefault="00F366AD" w:rsidP="0016744E">
            <w:pPr>
              <w:spacing w:before="0" w:after="0" w:line="240" w:lineRule="auto"/>
              <w:jc w:val="center"/>
              <w:rPr>
                <w:rFonts w:eastAsia="Times New Roman"/>
                <w:color w:val="000000"/>
                <w:sz w:val="22"/>
                <w:szCs w:val="22"/>
                <w:lang w:val="en-MY" w:eastAsia="en-MY"/>
              </w:rPr>
            </w:pPr>
            <w:r w:rsidRPr="0091194F">
              <w:rPr>
                <w:rFonts w:eastAsia="Times New Roman"/>
                <w:color w:val="000000"/>
                <w:sz w:val="22"/>
                <w:szCs w:val="22"/>
                <w:lang w:val="en-MY" w:eastAsia="en-MY"/>
              </w:rPr>
              <w:t>F</w:t>
            </w:r>
          </w:p>
        </w:tc>
        <w:tc>
          <w:tcPr>
            <w:tcW w:w="960" w:type="dxa"/>
            <w:tcBorders>
              <w:top w:val="single" w:sz="4" w:space="0" w:color="auto"/>
              <w:left w:val="nil"/>
              <w:bottom w:val="single" w:sz="4" w:space="0" w:color="auto"/>
            </w:tcBorders>
            <w:shd w:val="clear" w:color="auto" w:fill="auto"/>
            <w:noWrap/>
            <w:vAlign w:val="bottom"/>
            <w:hideMark/>
          </w:tcPr>
          <w:p w14:paraId="3A2DA027" w14:textId="77777777" w:rsidR="00F366AD" w:rsidRPr="0091194F" w:rsidRDefault="00F366AD" w:rsidP="00281A92">
            <w:pPr>
              <w:spacing w:before="0" w:after="0" w:line="240" w:lineRule="auto"/>
              <w:jc w:val="left"/>
              <w:rPr>
                <w:rFonts w:eastAsia="Times New Roman"/>
                <w:color w:val="000000"/>
                <w:sz w:val="22"/>
                <w:szCs w:val="22"/>
                <w:lang w:val="en-MY" w:eastAsia="en-MY"/>
              </w:rPr>
            </w:pPr>
            <w:r w:rsidRPr="0091194F">
              <w:rPr>
                <w:rFonts w:eastAsia="Times New Roman"/>
                <w:i/>
                <w:iCs/>
                <w:color w:val="000000"/>
                <w:sz w:val="22"/>
                <w:szCs w:val="22"/>
                <w:lang w:val="en-MY" w:eastAsia="en-MY"/>
              </w:rPr>
              <w:t>p</w:t>
            </w:r>
            <w:r w:rsidRPr="0091194F">
              <w:rPr>
                <w:rFonts w:eastAsia="Times New Roman"/>
                <w:color w:val="000000"/>
                <w:sz w:val="22"/>
                <w:szCs w:val="22"/>
                <w:lang w:val="en-MY" w:eastAsia="en-MY"/>
              </w:rPr>
              <w:t>-value</w:t>
            </w:r>
          </w:p>
        </w:tc>
      </w:tr>
      <w:tr w:rsidR="00F366AD" w:rsidRPr="0091194F" w14:paraId="34B4C5E4" w14:textId="77777777" w:rsidTr="0001066B">
        <w:trPr>
          <w:trHeight w:val="300"/>
        </w:trPr>
        <w:tc>
          <w:tcPr>
            <w:tcW w:w="2127" w:type="dxa"/>
            <w:vMerge w:val="restart"/>
            <w:tcBorders>
              <w:top w:val="single" w:sz="4" w:space="0" w:color="auto"/>
              <w:bottom w:val="single" w:sz="4" w:space="0" w:color="auto"/>
              <w:right w:val="single" w:sz="4" w:space="0" w:color="auto"/>
            </w:tcBorders>
            <w:shd w:val="clear" w:color="auto" w:fill="auto"/>
            <w:noWrap/>
            <w:hideMark/>
          </w:tcPr>
          <w:p w14:paraId="717353AD" w14:textId="77777777" w:rsidR="00F366AD" w:rsidRPr="0091194F" w:rsidRDefault="00F366AD" w:rsidP="00281A92">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Latency</w:t>
            </w:r>
          </w:p>
        </w:tc>
        <w:tc>
          <w:tcPr>
            <w:tcW w:w="1571" w:type="dxa"/>
            <w:tcBorders>
              <w:top w:val="nil"/>
              <w:left w:val="nil"/>
              <w:bottom w:val="single" w:sz="4" w:space="0" w:color="auto"/>
              <w:right w:val="single" w:sz="4" w:space="0" w:color="auto"/>
            </w:tcBorders>
            <w:shd w:val="clear" w:color="auto" w:fill="auto"/>
            <w:noWrap/>
            <w:vAlign w:val="bottom"/>
          </w:tcPr>
          <w:p w14:paraId="705DF58D" w14:textId="54651792" w:rsidR="00F366AD" w:rsidRPr="0091194F" w:rsidRDefault="00F366AD" w:rsidP="00281A92">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Smallest</w:t>
            </w:r>
            <w:r w:rsidR="0001066B">
              <w:rPr>
                <w:rFonts w:eastAsia="Times New Roman"/>
                <w:color w:val="000000"/>
                <w:sz w:val="22"/>
                <w:szCs w:val="22"/>
                <w:lang w:val="en-MY" w:eastAsia="en-MY"/>
              </w:rPr>
              <w:t xml:space="preserve"> (±5°)</w:t>
            </w:r>
          </w:p>
        </w:tc>
        <w:tc>
          <w:tcPr>
            <w:tcW w:w="900" w:type="dxa"/>
            <w:tcBorders>
              <w:top w:val="nil"/>
              <w:left w:val="nil"/>
              <w:bottom w:val="single" w:sz="4" w:space="0" w:color="auto"/>
              <w:right w:val="single" w:sz="4" w:space="0" w:color="auto"/>
            </w:tcBorders>
            <w:shd w:val="clear" w:color="auto" w:fill="auto"/>
            <w:noWrap/>
            <w:vAlign w:val="bottom"/>
          </w:tcPr>
          <w:p w14:paraId="5FA21D07" w14:textId="0A88DEE3" w:rsidR="00F366AD" w:rsidRPr="0091194F" w:rsidRDefault="00DD387F" w:rsidP="00281A92">
            <w:pPr>
              <w:spacing w:before="0" w:after="0" w:line="240" w:lineRule="auto"/>
              <w:jc w:val="right"/>
              <w:rPr>
                <w:rFonts w:eastAsia="Times New Roman"/>
                <w:color w:val="000000"/>
                <w:sz w:val="22"/>
                <w:szCs w:val="22"/>
                <w:lang w:val="en-MY" w:eastAsia="en-MY"/>
              </w:rPr>
            </w:pPr>
            <w:r>
              <w:rPr>
                <w:color w:val="000000"/>
                <w:sz w:val="22"/>
                <w:szCs w:val="22"/>
              </w:rPr>
              <w:t>13964</w:t>
            </w:r>
          </w:p>
        </w:tc>
        <w:tc>
          <w:tcPr>
            <w:tcW w:w="960" w:type="dxa"/>
            <w:vMerge w:val="restart"/>
            <w:tcBorders>
              <w:top w:val="nil"/>
              <w:left w:val="single" w:sz="4" w:space="0" w:color="auto"/>
              <w:bottom w:val="single" w:sz="4" w:space="0" w:color="000000"/>
              <w:right w:val="single" w:sz="4" w:space="0" w:color="auto"/>
            </w:tcBorders>
            <w:shd w:val="clear" w:color="auto" w:fill="auto"/>
            <w:noWrap/>
          </w:tcPr>
          <w:p w14:paraId="69408AA7" w14:textId="77777777" w:rsidR="00F366AD" w:rsidRPr="0091194F" w:rsidRDefault="00F366AD" w:rsidP="00281A92">
            <w:pPr>
              <w:spacing w:before="0" w:after="0" w:line="240" w:lineRule="auto"/>
              <w:jc w:val="center"/>
              <w:rPr>
                <w:rFonts w:eastAsia="Times New Roman"/>
                <w:color w:val="000000"/>
                <w:sz w:val="22"/>
                <w:szCs w:val="22"/>
                <w:lang w:val="en-MY" w:eastAsia="en-MY"/>
              </w:rPr>
            </w:pPr>
            <w:r>
              <w:rPr>
                <w:color w:val="000000"/>
                <w:sz w:val="22"/>
                <w:szCs w:val="22"/>
              </w:rPr>
              <w:t>2,87</w:t>
            </w:r>
          </w:p>
        </w:tc>
        <w:tc>
          <w:tcPr>
            <w:tcW w:w="1041" w:type="dxa"/>
            <w:tcBorders>
              <w:top w:val="nil"/>
              <w:left w:val="nil"/>
              <w:bottom w:val="single" w:sz="4" w:space="0" w:color="auto"/>
              <w:right w:val="single" w:sz="4" w:space="0" w:color="auto"/>
            </w:tcBorders>
            <w:shd w:val="clear" w:color="auto" w:fill="auto"/>
            <w:noWrap/>
            <w:vAlign w:val="bottom"/>
          </w:tcPr>
          <w:p w14:paraId="6C142532" w14:textId="4A17BEE7" w:rsidR="00F366AD" w:rsidRPr="0091194F" w:rsidRDefault="00DD387F" w:rsidP="00281A92">
            <w:pPr>
              <w:spacing w:before="0" w:after="0" w:line="240" w:lineRule="auto"/>
              <w:jc w:val="right"/>
              <w:rPr>
                <w:rFonts w:eastAsia="Times New Roman"/>
                <w:color w:val="000000"/>
                <w:sz w:val="22"/>
                <w:szCs w:val="22"/>
                <w:lang w:val="en-MY" w:eastAsia="en-MY"/>
              </w:rPr>
            </w:pPr>
            <w:r>
              <w:rPr>
                <w:color w:val="000000"/>
                <w:sz w:val="22"/>
                <w:szCs w:val="22"/>
              </w:rPr>
              <w:t>6982</w:t>
            </w:r>
          </w:p>
        </w:tc>
        <w:tc>
          <w:tcPr>
            <w:tcW w:w="960" w:type="dxa"/>
            <w:tcBorders>
              <w:top w:val="nil"/>
              <w:left w:val="nil"/>
              <w:bottom w:val="single" w:sz="4" w:space="0" w:color="auto"/>
              <w:right w:val="single" w:sz="4" w:space="0" w:color="auto"/>
            </w:tcBorders>
            <w:shd w:val="clear" w:color="auto" w:fill="auto"/>
            <w:noWrap/>
            <w:vAlign w:val="bottom"/>
          </w:tcPr>
          <w:p w14:paraId="5BE3EB05" w14:textId="33888EF1" w:rsidR="00F366AD" w:rsidRPr="0091194F" w:rsidRDefault="00DD387F" w:rsidP="00281A92">
            <w:pPr>
              <w:spacing w:before="0" w:after="0" w:line="240" w:lineRule="auto"/>
              <w:jc w:val="right"/>
              <w:rPr>
                <w:rFonts w:eastAsia="Times New Roman"/>
                <w:color w:val="000000"/>
                <w:sz w:val="22"/>
                <w:szCs w:val="22"/>
                <w:lang w:val="en-MY" w:eastAsia="en-MY"/>
              </w:rPr>
            </w:pPr>
            <w:r>
              <w:rPr>
                <w:color w:val="000000"/>
                <w:sz w:val="22"/>
                <w:szCs w:val="22"/>
              </w:rPr>
              <w:t>11.24</w:t>
            </w:r>
          </w:p>
        </w:tc>
        <w:tc>
          <w:tcPr>
            <w:tcW w:w="960" w:type="dxa"/>
            <w:tcBorders>
              <w:top w:val="single" w:sz="4" w:space="0" w:color="auto"/>
              <w:left w:val="nil"/>
              <w:bottom w:val="single" w:sz="4" w:space="0" w:color="auto"/>
            </w:tcBorders>
            <w:shd w:val="clear" w:color="auto" w:fill="auto"/>
            <w:noWrap/>
            <w:vAlign w:val="bottom"/>
          </w:tcPr>
          <w:p w14:paraId="51BC0265" w14:textId="77777777" w:rsidR="00F366AD" w:rsidRPr="0091194F" w:rsidRDefault="00F366AD" w:rsidP="00281A92">
            <w:pPr>
              <w:spacing w:before="0" w:after="0" w:line="240" w:lineRule="auto"/>
              <w:jc w:val="right"/>
              <w:rPr>
                <w:rFonts w:eastAsia="Times New Roman"/>
                <w:color w:val="000000"/>
                <w:sz w:val="22"/>
                <w:szCs w:val="22"/>
                <w:lang w:val="en-MY" w:eastAsia="en-MY"/>
              </w:rPr>
            </w:pPr>
            <w:r>
              <w:rPr>
                <w:color w:val="000000"/>
                <w:sz w:val="22"/>
                <w:szCs w:val="22"/>
              </w:rPr>
              <w:t>&lt;0.01*</w:t>
            </w:r>
          </w:p>
        </w:tc>
      </w:tr>
      <w:tr w:rsidR="00F366AD" w:rsidRPr="0091194F" w14:paraId="33349423" w14:textId="77777777" w:rsidTr="0001066B">
        <w:trPr>
          <w:trHeight w:val="300"/>
        </w:trPr>
        <w:tc>
          <w:tcPr>
            <w:tcW w:w="2127" w:type="dxa"/>
            <w:vMerge/>
            <w:tcBorders>
              <w:top w:val="single" w:sz="4" w:space="0" w:color="auto"/>
              <w:bottom w:val="single" w:sz="4" w:space="0" w:color="auto"/>
              <w:right w:val="single" w:sz="4" w:space="0" w:color="auto"/>
            </w:tcBorders>
            <w:vAlign w:val="center"/>
            <w:hideMark/>
          </w:tcPr>
          <w:p w14:paraId="16189692" w14:textId="77777777" w:rsidR="00F366AD" w:rsidRPr="0091194F" w:rsidRDefault="00F366AD" w:rsidP="00281A92">
            <w:pPr>
              <w:spacing w:before="0" w:after="0" w:line="240" w:lineRule="auto"/>
              <w:jc w:val="left"/>
              <w:rPr>
                <w:rFonts w:eastAsia="Times New Roman"/>
                <w:color w:val="000000"/>
                <w:sz w:val="22"/>
                <w:szCs w:val="22"/>
                <w:lang w:val="en-MY" w:eastAsia="en-MY"/>
              </w:rPr>
            </w:pPr>
          </w:p>
        </w:tc>
        <w:tc>
          <w:tcPr>
            <w:tcW w:w="1571" w:type="dxa"/>
            <w:tcBorders>
              <w:top w:val="nil"/>
              <w:left w:val="nil"/>
              <w:bottom w:val="single" w:sz="4" w:space="0" w:color="auto"/>
              <w:right w:val="single" w:sz="4" w:space="0" w:color="auto"/>
            </w:tcBorders>
            <w:shd w:val="clear" w:color="auto" w:fill="auto"/>
            <w:noWrap/>
            <w:vAlign w:val="bottom"/>
            <w:hideMark/>
          </w:tcPr>
          <w:p w14:paraId="4855113E" w14:textId="73F52C28" w:rsidR="00F366AD" w:rsidRPr="0091194F" w:rsidRDefault="00F366AD" w:rsidP="00281A92">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 xml:space="preserve">Middle </w:t>
            </w:r>
            <w:r w:rsidR="0001066B">
              <w:rPr>
                <w:rFonts w:eastAsia="Times New Roman"/>
                <w:color w:val="000000"/>
                <w:sz w:val="22"/>
                <w:szCs w:val="22"/>
                <w:lang w:val="en-MY" w:eastAsia="en-MY"/>
              </w:rPr>
              <w:t>(±10°)</w:t>
            </w:r>
          </w:p>
        </w:tc>
        <w:tc>
          <w:tcPr>
            <w:tcW w:w="900" w:type="dxa"/>
            <w:tcBorders>
              <w:top w:val="nil"/>
              <w:left w:val="nil"/>
              <w:bottom w:val="single" w:sz="4" w:space="0" w:color="auto"/>
              <w:right w:val="single" w:sz="4" w:space="0" w:color="auto"/>
            </w:tcBorders>
            <w:shd w:val="clear" w:color="auto" w:fill="auto"/>
            <w:noWrap/>
            <w:vAlign w:val="bottom"/>
          </w:tcPr>
          <w:p w14:paraId="028345D4" w14:textId="7B772431" w:rsidR="00F366AD" w:rsidRPr="0091194F" w:rsidRDefault="00DD387F" w:rsidP="00281A92">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17667</w:t>
            </w:r>
          </w:p>
        </w:tc>
        <w:tc>
          <w:tcPr>
            <w:tcW w:w="960" w:type="dxa"/>
            <w:vMerge/>
            <w:tcBorders>
              <w:top w:val="nil"/>
              <w:left w:val="single" w:sz="4" w:space="0" w:color="auto"/>
              <w:bottom w:val="single" w:sz="4" w:space="0" w:color="000000"/>
              <w:right w:val="single" w:sz="4" w:space="0" w:color="auto"/>
            </w:tcBorders>
            <w:vAlign w:val="bottom"/>
          </w:tcPr>
          <w:p w14:paraId="011A8261" w14:textId="77777777" w:rsidR="00F366AD" w:rsidRPr="0091194F" w:rsidRDefault="00F366AD" w:rsidP="00281A92">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710864BB" w14:textId="77777777" w:rsidR="00F366AD" w:rsidRPr="0091194F" w:rsidRDefault="00F366AD" w:rsidP="00281A92">
            <w:pPr>
              <w:spacing w:before="0" w:after="0" w:line="240" w:lineRule="auto"/>
              <w:jc w:val="right"/>
              <w:rPr>
                <w:rFonts w:eastAsia="Times New Roman"/>
                <w:color w:val="000000"/>
                <w:sz w:val="22"/>
                <w:szCs w:val="22"/>
                <w:lang w:val="en-MY" w:eastAsia="en-MY"/>
              </w:rPr>
            </w:pPr>
            <w:r>
              <w:rPr>
                <w:color w:val="000000"/>
                <w:sz w:val="22"/>
                <w:szCs w:val="22"/>
              </w:rPr>
              <w:t>8834</w:t>
            </w:r>
          </w:p>
        </w:tc>
        <w:tc>
          <w:tcPr>
            <w:tcW w:w="960" w:type="dxa"/>
            <w:tcBorders>
              <w:top w:val="nil"/>
              <w:left w:val="nil"/>
              <w:bottom w:val="single" w:sz="4" w:space="0" w:color="auto"/>
              <w:right w:val="single" w:sz="4" w:space="0" w:color="auto"/>
            </w:tcBorders>
            <w:shd w:val="clear" w:color="auto" w:fill="auto"/>
            <w:noWrap/>
            <w:vAlign w:val="bottom"/>
          </w:tcPr>
          <w:p w14:paraId="6A0D522F" w14:textId="77777777" w:rsidR="00F366AD" w:rsidRPr="0091194F" w:rsidRDefault="00F366AD" w:rsidP="00281A92">
            <w:pPr>
              <w:spacing w:before="0" w:after="0" w:line="240" w:lineRule="auto"/>
              <w:jc w:val="right"/>
              <w:rPr>
                <w:rFonts w:eastAsia="Times New Roman"/>
                <w:color w:val="000000"/>
                <w:sz w:val="22"/>
                <w:szCs w:val="22"/>
                <w:lang w:val="en-MY" w:eastAsia="en-MY"/>
              </w:rPr>
            </w:pPr>
            <w:r>
              <w:rPr>
                <w:color w:val="000000"/>
                <w:sz w:val="22"/>
                <w:szCs w:val="22"/>
              </w:rPr>
              <w:t>12.52</w:t>
            </w:r>
          </w:p>
        </w:tc>
        <w:tc>
          <w:tcPr>
            <w:tcW w:w="960" w:type="dxa"/>
            <w:tcBorders>
              <w:top w:val="single" w:sz="4" w:space="0" w:color="auto"/>
              <w:left w:val="nil"/>
              <w:bottom w:val="single" w:sz="4" w:space="0" w:color="auto"/>
            </w:tcBorders>
            <w:shd w:val="clear" w:color="auto" w:fill="auto"/>
            <w:noWrap/>
            <w:vAlign w:val="bottom"/>
          </w:tcPr>
          <w:p w14:paraId="1C16D6A1" w14:textId="77777777" w:rsidR="00F366AD" w:rsidRPr="0091194F" w:rsidRDefault="00F366AD" w:rsidP="00281A92">
            <w:pPr>
              <w:spacing w:before="0" w:after="0" w:line="240" w:lineRule="auto"/>
              <w:jc w:val="right"/>
              <w:rPr>
                <w:rFonts w:eastAsia="Times New Roman"/>
                <w:color w:val="000000"/>
                <w:sz w:val="22"/>
                <w:szCs w:val="22"/>
                <w:lang w:val="en-MY" w:eastAsia="en-MY"/>
              </w:rPr>
            </w:pPr>
            <w:r>
              <w:rPr>
                <w:color w:val="000000"/>
                <w:sz w:val="22"/>
                <w:szCs w:val="22"/>
              </w:rPr>
              <w:t>&lt;0.01*</w:t>
            </w:r>
          </w:p>
        </w:tc>
      </w:tr>
      <w:tr w:rsidR="00F366AD" w:rsidRPr="0091194F" w14:paraId="5A8A472E" w14:textId="77777777" w:rsidTr="0001066B">
        <w:trPr>
          <w:trHeight w:val="300"/>
        </w:trPr>
        <w:tc>
          <w:tcPr>
            <w:tcW w:w="2127" w:type="dxa"/>
            <w:vMerge/>
            <w:tcBorders>
              <w:top w:val="single" w:sz="4" w:space="0" w:color="auto"/>
              <w:bottom w:val="single" w:sz="4" w:space="0" w:color="auto"/>
              <w:right w:val="single" w:sz="4" w:space="0" w:color="auto"/>
            </w:tcBorders>
            <w:vAlign w:val="center"/>
            <w:hideMark/>
          </w:tcPr>
          <w:p w14:paraId="0323DEA8" w14:textId="77777777" w:rsidR="00F366AD" w:rsidRPr="0091194F" w:rsidRDefault="00F366AD" w:rsidP="00281A92">
            <w:pPr>
              <w:spacing w:before="0" w:after="0" w:line="240" w:lineRule="auto"/>
              <w:jc w:val="left"/>
              <w:rPr>
                <w:rFonts w:eastAsia="Times New Roman"/>
                <w:color w:val="000000"/>
                <w:sz w:val="22"/>
                <w:szCs w:val="22"/>
                <w:lang w:val="en-MY" w:eastAsia="en-MY"/>
              </w:rPr>
            </w:pPr>
          </w:p>
        </w:tc>
        <w:tc>
          <w:tcPr>
            <w:tcW w:w="1571" w:type="dxa"/>
            <w:tcBorders>
              <w:top w:val="nil"/>
              <w:left w:val="nil"/>
              <w:bottom w:val="single" w:sz="4" w:space="0" w:color="auto"/>
              <w:right w:val="single" w:sz="4" w:space="0" w:color="auto"/>
            </w:tcBorders>
            <w:shd w:val="clear" w:color="auto" w:fill="auto"/>
            <w:noWrap/>
            <w:vAlign w:val="bottom"/>
            <w:hideMark/>
          </w:tcPr>
          <w:p w14:paraId="122181A4" w14:textId="2A406379" w:rsidR="00F366AD" w:rsidRPr="0091194F" w:rsidRDefault="00F366AD" w:rsidP="00281A92">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Largest</w:t>
            </w:r>
            <w:r w:rsidR="0001066B">
              <w:rPr>
                <w:rFonts w:eastAsia="Times New Roman"/>
                <w:color w:val="000000"/>
                <w:sz w:val="22"/>
                <w:szCs w:val="22"/>
                <w:lang w:val="en-MY" w:eastAsia="en-MY"/>
              </w:rPr>
              <w:t xml:space="preserve"> (±15°)</w:t>
            </w:r>
          </w:p>
        </w:tc>
        <w:tc>
          <w:tcPr>
            <w:tcW w:w="900" w:type="dxa"/>
            <w:tcBorders>
              <w:top w:val="nil"/>
              <w:left w:val="nil"/>
              <w:bottom w:val="single" w:sz="4" w:space="0" w:color="auto"/>
              <w:right w:val="single" w:sz="4" w:space="0" w:color="auto"/>
            </w:tcBorders>
            <w:shd w:val="clear" w:color="auto" w:fill="auto"/>
            <w:noWrap/>
            <w:vAlign w:val="bottom"/>
          </w:tcPr>
          <w:p w14:paraId="2A77234F" w14:textId="5AC5E7DD" w:rsidR="00F366AD" w:rsidRPr="0091194F" w:rsidRDefault="00DD387F" w:rsidP="00281A92">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22958</w:t>
            </w:r>
          </w:p>
        </w:tc>
        <w:tc>
          <w:tcPr>
            <w:tcW w:w="960" w:type="dxa"/>
            <w:vMerge/>
            <w:tcBorders>
              <w:top w:val="nil"/>
              <w:left w:val="single" w:sz="4" w:space="0" w:color="auto"/>
              <w:bottom w:val="single" w:sz="4" w:space="0" w:color="000000"/>
              <w:right w:val="single" w:sz="4" w:space="0" w:color="auto"/>
            </w:tcBorders>
            <w:vAlign w:val="bottom"/>
          </w:tcPr>
          <w:p w14:paraId="3792570E" w14:textId="77777777" w:rsidR="00F366AD" w:rsidRPr="0091194F" w:rsidRDefault="00F366AD" w:rsidP="00281A92">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04228743" w14:textId="0C0374D8" w:rsidR="00F366AD" w:rsidRPr="0091194F" w:rsidRDefault="00DD387F" w:rsidP="00281A92">
            <w:pPr>
              <w:spacing w:before="0" w:after="0" w:line="240" w:lineRule="auto"/>
              <w:jc w:val="right"/>
              <w:rPr>
                <w:rFonts w:eastAsia="Times New Roman"/>
                <w:color w:val="000000"/>
                <w:sz w:val="22"/>
                <w:szCs w:val="22"/>
                <w:lang w:val="en-MY" w:eastAsia="en-MY"/>
              </w:rPr>
            </w:pPr>
            <w:r>
              <w:rPr>
                <w:color w:val="000000"/>
                <w:sz w:val="22"/>
                <w:szCs w:val="22"/>
              </w:rPr>
              <w:t>11479</w:t>
            </w:r>
          </w:p>
        </w:tc>
        <w:tc>
          <w:tcPr>
            <w:tcW w:w="960" w:type="dxa"/>
            <w:tcBorders>
              <w:top w:val="nil"/>
              <w:left w:val="nil"/>
              <w:bottom w:val="single" w:sz="4" w:space="0" w:color="auto"/>
              <w:right w:val="single" w:sz="4" w:space="0" w:color="auto"/>
            </w:tcBorders>
            <w:shd w:val="clear" w:color="auto" w:fill="auto"/>
            <w:noWrap/>
            <w:vAlign w:val="bottom"/>
          </w:tcPr>
          <w:p w14:paraId="3BABBA48" w14:textId="18E0903D" w:rsidR="00F366AD" w:rsidRPr="0091194F" w:rsidRDefault="00DD387F" w:rsidP="00281A92">
            <w:pPr>
              <w:spacing w:before="0" w:after="0" w:line="240" w:lineRule="auto"/>
              <w:jc w:val="right"/>
              <w:rPr>
                <w:rFonts w:eastAsia="Times New Roman"/>
                <w:color w:val="000000"/>
                <w:sz w:val="22"/>
                <w:szCs w:val="22"/>
                <w:lang w:val="en-MY" w:eastAsia="en-MY"/>
              </w:rPr>
            </w:pPr>
            <w:r>
              <w:rPr>
                <w:color w:val="000000"/>
                <w:sz w:val="22"/>
                <w:szCs w:val="22"/>
              </w:rPr>
              <w:t>11.78</w:t>
            </w:r>
          </w:p>
        </w:tc>
        <w:tc>
          <w:tcPr>
            <w:tcW w:w="960" w:type="dxa"/>
            <w:tcBorders>
              <w:top w:val="single" w:sz="4" w:space="0" w:color="auto"/>
              <w:left w:val="nil"/>
              <w:bottom w:val="single" w:sz="4" w:space="0" w:color="auto"/>
            </w:tcBorders>
            <w:shd w:val="clear" w:color="auto" w:fill="auto"/>
            <w:noWrap/>
            <w:vAlign w:val="bottom"/>
          </w:tcPr>
          <w:p w14:paraId="461624B0" w14:textId="77777777" w:rsidR="00F366AD" w:rsidRPr="0091194F" w:rsidRDefault="00F366AD" w:rsidP="00281A92">
            <w:pPr>
              <w:spacing w:before="0" w:after="0" w:line="240" w:lineRule="auto"/>
              <w:jc w:val="right"/>
              <w:rPr>
                <w:rFonts w:eastAsia="Times New Roman"/>
                <w:color w:val="000000"/>
                <w:sz w:val="22"/>
                <w:szCs w:val="22"/>
                <w:lang w:val="en-MY" w:eastAsia="en-MY"/>
              </w:rPr>
            </w:pPr>
            <w:r>
              <w:rPr>
                <w:color w:val="000000"/>
                <w:sz w:val="22"/>
                <w:szCs w:val="22"/>
              </w:rPr>
              <w:t>&lt;0.01*</w:t>
            </w:r>
          </w:p>
        </w:tc>
      </w:tr>
      <w:tr w:rsidR="0001066B" w:rsidRPr="0091194F" w14:paraId="5731E892" w14:textId="77777777" w:rsidTr="0001066B">
        <w:trPr>
          <w:trHeight w:val="300"/>
        </w:trPr>
        <w:tc>
          <w:tcPr>
            <w:tcW w:w="2127" w:type="dxa"/>
            <w:vMerge w:val="restart"/>
            <w:tcBorders>
              <w:top w:val="single" w:sz="4" w:space="0" w:color="auto"/>
              <w:bottom w:val="single" w:sz="4" w:space="0" w:color="auto"/>
              <w:right w:val="single" w:sz="4" w:space="0" w:color="auto"/>
            </w:tcBorders>
            <w:shd w:val="clear" w:color="auto" w:fill="auto"/>
            <w:noWrap/>
            <w:hideMark/>
          </w:tcPr>
          <w:p w14:paraId="05D9A859" w14:textId="77777777"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Peak Velocity</w:t>
            </w:r>
          </w:p>
        </w:tc>
        <w:tc>
          <w:tcPr>
            <w:tcW w:w="1571" w:type="dxa"/>
            <w:tcBorders>
              <w:top w:val="nil"/>
              <w:left w:val="nil"/>
              <w:bottom w:val="single" w:sz="4" w:space="0" w:color="auto"/>
              <w:right w:val="single" w:sz="4" w:space="0" w:color="auto"/>
            </w:tcBorders>
            <w:shd w:val="clear" w:color="auto" w:fill="auto"/>
            <w:noWrap/>
            <w:vAlign w:val="bottom"/>
            <w:hideMark/>
          </w:tcPr>
          <w:p w14:paraId="0A1C22BF" w14:textId="3B671A17"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Smallest (±5°)</w:t>
            </w:r>
          </w:p>
        </w:tc>
        <w:tc>
          <w:tcPr>
            <w:tcW w:w="900" w:type="dxa"/>
            <w:tcBorders>
              <w:top w:val="nil"/>
              <w:left w:val="nil"/>
              <w:bottom w:val="single" w:sz="4" w:space="0" w:color="auto"/>
              <w:right w:val="single" w:sz="4" w:space="0" w:color="auto"/>
            </w:tcBorders>
            <w:shd w:val="clear" w:color="auto" w:fill="auto"/>
            <w:noWrap/>
            <w:vAlign w:val="bottom"/>
          </w:tcPr>
          <w:p w14:paraId="746DA6A4" w14:textId="202DB79E"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46619</w:t>
            </w:r>
          </w:p>
        </w:tc>
        <w:tc>
          <w:tcPr>
            <w:tcW w:w="960" w:type="dxa"/>
            <w:vMerge w:val="restart"/>
            <w:tcBorders>
              <w:top w:val="nil"/>
              <w:left w:val="single" w:sz="4" w:space="0" w:color="auto"/>
              <w:bottom w:val="single" w:sz="4" w:space="0" w:color="000000"/>
              <w:right w:val="single" w:sz="4" w:space="0" w:color="auto"/>
            </w:tcBorders>
            <w:shd w:val="clear" w:color="auto" w:fill="auto"/>
            <w:noWrap/>
          </w:tcPr>
          <w:p w14:paraId="2D9ED6B1" w14:textId="77777777" w:rsidR="0001066B" w:rsidRPr="0091194F" w:rsidRDefault="0001066B" w:rsidP="0001066B">
            <w:pPr>
              <w:spacing w:before="0" w:after="0" w:line="240" w:lineRule="auto"/>
              <w:jc w:val="center"/>
              <w:rPr>
                <w:rFonts w:eastAsia="Times New Roman"/>
                <w:color w:val="000000"/>
                <w:sz w:val="22"/>
                <w:szCs w:val="22"/>
                <w:lang w:val="en-MY" w:eastAsia="en-MY"/>
              </w:rPr>
            </w:pPr>
            <w:r>
              <w:rPr>
                <w:color w:val="000000"/>
                <w:sz w:val="22"/>
                <w:szCs w:val="22"/>
              </w:rPr>
              <w:t>2,87</w:t>
            </w:r>
          </w:p>
        </w:tc>
        <w:tc>
          <w:tcPr>
            <w:tcW w:w="1041" w:type="dxa"/>
            <w:tcBorders>
              <w:top w:val="nil"/>
              <w:left w:val="nil"/>
              <w:bottom w:val="single" w:sz="4" w:space="0" w:color="auto"/>
              <w:right w:val="single" w:sz="4" w:space="0" w:color="auto"/>
            </w:tcBorders>
            <w:shd w:val="clear" w:color="auto" w:fill="auto"/>
            <w:noWrap/>
            <w:vAlign w:val="bottom"/>
          </w:tcPr>
          <w:p w14:paraId="419F1A8B" w14:textId="40E25D92"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23310</w:t>
            </w:r>
          </w:p>
        </w:tc>
        <w:tc>
          <w:tcPr>
            <w:tcW w:w="960" w:type="dxa"/>
            <w:tcBorders>
              <w:top w:val="nil"/>
              <w:left w:val="nil"/>
              <w:bottom w:val="single" w:sz="4" w:space="0" w:color="auto"/>
              <w:right w:val="single" w:sz="4" w:space="0" w:color="auto"/>
            </w:tcBorders>
            <w:shd w:val="clear" w:color="auto" w:fill="auto"/>
            <w:noWrap/>
            <w:vAlign w:val="bottom"/>
          </w:tcPr>
          <w:p w14:paraId="0FCA22F6" w14:textId="5E1212A4"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7.29</w:t>
            </w:r>
          </w:p>
        </w:tc>
        <w:tc>
          <w:tcPr>
            <w:tcW w:w="960" w:type="dxa"/>
            <w:tcBorders>
              <w:top w:val="single" w:sz="4" w:space="0" w:color="auto"/>
              <w:left w:val="nil"/>
              <w:bottom w:val="single" w:sz="4" w:space="0" w:color="auto"/>
            </w:tcBorders>
            <w:shd w:val="clear" w:color="auto" w:fill="auto"/>
            <w:noWrap/>
            <w:vAlign w:val="bottom"/>
          </w:tcPr>
          <w:p w14:paraId="58ABF063" w14:textId="2431A091"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&lt;0.01*</w:t>
            </w:r>
          </w:p>
        </w:tc>
      </w:tr>
      <w:tr w:rsidR="0001066B" w:rsidRPr="0091194F" w14:paraId="3C515B53" w14:textId="77777777" w:rsidTr="0001066B">
        <w:trPr>
          <w:trHeight w:val="300"/>
        </w:trPr>
        <w:tc>
          <w:tcPr>
            <w:tcW w:w="2127" w:type="dxa"/>
            <w:vMerge/>
            <w:tcBorders>
              <w:top w:val="single" w:sz="4" w:space="0" w:color="auto"/>
              <w:bottom w:val="single" w:sz="4" w:space="0" w:color="auto"/>
              <w:right w:val="single" w:sz="4" w:space="0" w:color="auto"/>
            </w:tcBorders>
            <w:vAlign w:val="center"/>
            <w:hideMark/>
          </w:tcPr>
          <w:p w14:paraId="30B40461"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571" w:type="dxa"/>
            <w:tcBorders>
              <w:top w:val="nil"/>
              <w:left w:val="nil"/>
              <w:bottom w:val="single" w:sz="4" w:space="0" w:color="auto"/>
              <w:right w:val="single" w:sz="4" w:space="0" w:color="auto"/>
            </w:tcBorders>
            <w:shd w:val="clear" w:color="auto" w:fill="auto"/>
            <w:noWrap/>
            <w:vAlign w:val="bottom"/>
            <w:hideMark/>
          </w:tcPr>
          <w:p w14:paraId="0518C0D4" w14:textId="044D8BC1"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Middle (±10°)</w:t>
            </w:r>
          </w:p>
        </w:tc>
        <w:tc>
          <w:tcPr>
            <w:tcW w:w="900" w:type="dxa"/>
            <w:tcBorders>
              <w:top w:val="nil"/>
              <w:left w:val="nil"/>
              <w:bottom w:val="single" w:sz="4" w:space="0" w:color="auto"/>
              <w:right w:val="single" w:sz="4" w:space="0" w:color="auto"/>
            </w:tcBorders>
            <w:shd w:val="clear" w:color="auto" w:fill="auto"/>
            <w:noWrap/>
            <w:vAlign w:val="bottom"/>
          </w:tcPr>
          <w:p w14:paraId="21AA3259"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47199</w:t>
            </w:r>
          </w:p>
        </w:tc>
        <w:tc>
          <w:tcPr>
            <w:tcW w:w="960" w:type="dxa"/>
            <w:vMerge/>
            <w:tcBorders>
              <w:top w:val="nil"/>
              <w:left w:val="single" w:sz="4" w:space="0" w:color="auto"/>
              <w:bottom w:val="single" w:sz="4" w:space="0" w:color="000000"/>
              <w:right w:val="single" w:sz="4" w:space="0" w:color="auto"/>
            </w:tcBorders>
            <w:vAlign w:val="bottom"/>
          </w:tcPr>
          <w:p w14:paraId="195A560D"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39A402C5"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23599</w:t>
            </w:r>
          </w:p>
        </w:tc>
        <w:tc>
          <w:tcPr>
            <w:tcW w:w="960" w:type="dxa"/>
            <w:tcBorders>
              <w:top w:val="nil"/>
              <w:left w:val="nil"/>
              <w:bottom w:val="single" w:sz="4" w:space="0" w:color="auto"/>
              <w:right w:val="single" w:sz="4" w:space="0" w:color="auto"/>
            </w:tcBorders>
            <w:shd w:val="clear" w:color="auto" w:fill="auto"/>
            <w:noWrap/>
            <w:vAlign w:val="bottom"/>
          </w:tcPr>
          <w:p w14:paraId="640B156F"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6.13</w:t>
            </w:r>
          </w:p>
        </w:tc>
        <w:tc>
          <w:tcPr>
            <w:tcW w:w="960" w:type="dxa"/>
            <w:tcBorders>
              <w:top w:val="single" w:sz="4" w:space="0" w:color="auto"/>
              <w:left w:val="nil"/>
              <w:bottom w:val="single" w:sz="4" w:space="0" w:color="auto"/>
            </w:tcBorders>
            <w:shd w:val="clear" w:color="auto" w:fill="auto"/>
            <w:noWrap/>
            <w:vAlign w:val="bottom"/>
          </w:tcPr>
          <w:p w14:paraId="1842234F"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&lt;0.01*</w:t>
            </w:r>
          </w:p>
        </w:tc>
      </w:tr>
      <w:tr w:rsidR="0001066B" w:rsidRPr="0091194F" w14:paraId="3E6D012B" w14:textId="77777777" w:rsidTr="0001066B">
        <w:trPr>
          <w:trHeight w:val="300"/>
        </w:trPr>
        <w:tc>
          <w:tcPr>
            <w:tcW w:w="2127" w:type="dxa"/>
            <w:vMerge/>
            <w:tcBorders>
              <w:top w:val="single" w:sz="4" w:space="0" w:color="auto"/>
              <w:bottom w:val="single" w:sz="4" w:space="0" w:color="auto"/>
              <w:right w:val="single" w:sz="4" w:space="0" w:color="auto"/>
            </w:tcBorders>
            <w:vAlign w:val="center"/>
            <w:hideMark/>
          </w:tcPr>
          <w:p w14:paraId="18295FE3"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571" w:type="dxa"/>
            <w:tcBorders>
              <w:top w:val="nil"/>
              <w:left w:val="nil"/>
              <w:bottom w:val="single" w:sz="4" w:space="0" w:color="auto"/>
              <w:right w:val="single" w:sz="4" w:space="0" w:color="auto"/>
            </w:tcBorders>
            <w:shd w:val="clear" w:color="auto" w:fill="auto"/>
            <w:noWrap/>
            <w:vAlign w:val="bottom"/>
            <w:hideMark/>
          </w:tcPr>
          <w:p w14:paraId="06504E0D" w14:textId="7A1E7264"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Largest (±15°)</w:t>
            </w:r>
          </w:p>
        </w:tc>
        <w:tc>
          <w:tcPr>
            <w:tcW w:w="900" w:type="dxa"/>
            <w:tcBorders>
              <w:top w:val="nil"/>
              <w:left w:val="nil"/>
              <w:bottom w:val="single" w:sz="4" w:space="0" w:color="auto"/>
              <w:right w:val="single" w:sz="4" w:space="0" w:color="auto"/>
            </w:tcBorders>
            <w:shd w:val="clear" w:color="auto" w:fill="auto"/>
            <w:noWrap/>
            <w:vAlign w:val="bottom"/>
          </w:tcPr>
          <w:p w14:paraId="51CF003E" w14:textId="431E270B"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50639</w:t>
            </w:r>
          </w:p>
        </w:tc>
        <w:tc>
          <w:tcPr>
            <w:tcW w:w="960" w:type="dxa"/>
            <w:vMerge/>
            <w:tcBorders>
              <w:top w:val="nil"/>
              <w:left w:val="single" w:sz="4" w:space="0" w:color="auto"/>
              <w:bottom w:val="single" w:sz="4" w:space="0" w:color="000000"/>
              <w:right w:val="single" w:sz="4" w:space="0" w:color="auto"/>
            </w:tcBorders>
            <w:vAlign w:val="bottom"/>
          </w:tcPr>
          <w:p w14:paraId="0D493B38"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4D718E03" w14:textId="472C8A9F"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25319</w:t>
            </w:r>
          </w:p>
        </w:tc>
        <w:tc>
          <w:tcPr>
            <w:tcW w:w="960" w:type="dxa"/>
            <w:tcBorders>
              <w:top w:val="nil"/>
              <w:left w:val="nil"/>
              <w:bottom w:val="single" w:sz="4" w:space="0" w:color="auto"/>
              <w:right w:val="single" w:sz="4" w:space="0" w:color="auto"/>
            </w:tcBorders>
            <w:shd w:val="clear" w:color="auto" w:fill="auto"/>
            <w:noWrap/>
            <w:vAlign w:val="bottom"/>
          </w:tcPr>
          <w:p w14:paraId="1861EB8C" w14:textId="76620221"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3.18</w:t>
            </w:r>
          </w:p>
        </w:tc>
        <w:tc>
          <w:tcPr>
            <w:tcW w:w="960" w:type="dxa"/>
            <w:tcBorders>
              <w:top w:val="single" w:sz="4" w:space="0" w:color="auto"/>
              <w:left w:val="nil"/>
              <w:bottom w:val="single" w:sz="4" w:space="0" w:color="auto"/>
            </w:tcBorders>
            <w:shd w:val="clear" w:color="auto" w:fill="auto"/>
            <w:noWrap/>
            <w:vAlign w:val="bottom"/>
          </w:tcPr>
          <w:p w14:paraId="7F962742" w14:textId="54054CE1"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0.05</w:t>
            </w:r>
          </w:p>
        </w:tc>
      </w:tr>
      <w:tr w:rsidR="0001066B" w:rsidRPr="0091194F" w14:paraId="41A533DD" w14:textId="77777777" w:rsidTr="0001066B">
        <w:trPr>
          <w:trHeight w:val="300"/>
        </w:trPr>
        <w:tc>
          <w:tcPr>
            <w:tcW w:w="2127" w:type="dxa"/>
            <w:vMerge w:val="restart"/>
            <w:tcBorders>
              <w:top w:val="single" w:sz="4" w:space="0" w:color="auto"/>
              <w:bottom w:val="single" w:sz="4" w:space="0" w:color="auto"/>
              <w:right w:val="single" w:sz="4" w:space="0" w:color="auto"/>
            </w:tcBorders>
            <w:shd w:val="clear" w:color="auto" w:fill="auto"/>
            <w:hideMark/>
          </w:tcPr>
          <w:p w14:paraId="76D2A190" w14:textId="77777777"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Gain</w:t>
            </w:r>
          </w:p>
        </w:tc>
        <w:tc>
          <w:tcPr>
            <w:tcW w:w="1571" w:type="dxa"/>
            <w:tcBorders>
              <w:top w:val="nil"/>
              <w:left w:val="nil"/>
              <w:bottom w:val="single" w:sz="4" w:space="0" w:color="auto"/>
              <w:right w:val="single" w:sz="4" w:space="0" w:color="auto"/>
            </w:tcBorders>
            <w:shd w:val="clear" w:color="auto" w:fill="auto"/>
            <w:noWrap/>
            <w:vAlign w:val="bottom"/>
            <w:hideMark/>
          </w:tcPr>
          <w:p w14:paraId="098D1471" w14:textId="02BD2413"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Smallest (±5°)</w:t>
            </w:r>
          </w:p>
        </w:tc>
        <w:tc>
          <w:tcPr>
            <w:tcW w:w="900" w:type="dxa"/>
            <w:tcBorders>
              <w:top w:val="nil"/>
              <w:left w:val="nil"/>
              <w:bottom w:val="single" w:sz="4" w:space="0" w:color="auto"/>
              <w:right w:val="single" w:sz="4" w:space="0" w:color="auto"/>
            </w:tcBorders>
            <w:shd w:val="clear" w:color="auto" w:fill="auto"/>
            <w:noWrap/>
            <w:vAlign w:val="bottom"/>
          </w:tcPr>
          <w:p w14:paraId="0455E1BC" w14:textId="7B20FD49"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0.004</w:t>
            </w:r>
          </w:p>
        </w:tc>
        <w:tc>
          <w:tcPr>
            <w:tcW w:w="960" w:type="dxa"/>
            <w:vMerge w:val="restart"/>
            <w:tcBorders>
              <w:top w:val="nil"/>
              <w:left w:val="single" w:sz="4" w:space="0" w:color="auto"/>
              <w:bottom w:val="single" w:sz="4" w:space="0" w:color="000000"/>
              <w:right w:val="single" w:sz="4" w:space="0" w:color="auto"/>
            </w:tcBorders>
            <w:shd w:val="clear" w:color="auto" w:fill="auto"/>
            <w:noWrap/>
          </w:tcPr>
          <w:p w14:paraId="6DC1A2FD" w14:textId="77777777" w:rsidR="0001066B" w:rsidRPr="0091194F" w:rsidRDefault="0001066B" w:rsidP="0001066B">
            <w:pPr>
              <w:spacing w:before="0" w:after="0" w:line="240" w:lineRule="auto"/>
              <w:jc w:val="center"/>
              <w:rPr>
                <w:rFonts w:eastAsia="Times New Roman"/>
                <w:color w:val="000000"/>
                <w:sz w:val="22"/>
                <w:szCs w:val="22"/>
                <w:lang w:val="en-MY" w:eastAsia="en-MY"/>
              </w:rPr>
            </w:pPr>
            <w:r>
              <w:rPr>
                <w:color w:val="000000"/>
                <w:sz w:val="22"/>
                <w:szCs w:val="22"/>
              </w:rPr>
              <w:t>2,87</w:t>
            </w:r>
          </w:p>
        </w:tc>
        <w:tc>
          <w:tcPr>
            <w:tcW w:w="1041" w:type="dxa"/>
            <w:tcBorders>
              <w:top w:val="nil"/>
              <w:left w:val="nil"/>
              <w:bottom w:val="single" w:sz="4" w:space="0" w:color="auto"/>
              <w:right w:val="single" w:sz="4" w:space="0" w:color="auto"/>
            </w:tcBorders>
            <w:shd w:val="clear" w:color="auto" w:fill="auto"/>
            <w:noWrap/>
            <w:vAlign w:val="bottom"/>
          </w:tcPr>
          <w:p w14:paraId="3896BEDE" w14:textId="6594BF00"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0.002</w:t>
            </w:r>
          </w:p>
        </w:tc>
        <w:tc>
          <w:tcPr>
            <w:tcW w:w="960" w:type="dxa"/>
            <w:tcBorders>
              <w:top w:val="nil"/>
              <w:left w:val="nil"/>
              <w:bottom w:val="single" w:sz="4" w:space="0" w:color="auto"/>
              <w:right w:val="single" w:sz="4" w:space="0" w:color="auto"/>
            </w:tcBorders>
            <w:shd w:val="clear" w:color="auto" w:fill="auto"/>
            <w:noWrap/>
            <w:vAlign w:val="bottom"/>
          </w:tcPr>
          <w:p w14:paraId="0A252757" w14:textId="7341FA9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0.22</w:t>
            </w:r>
          </w:p>
        </w:tc>
        <w:tc>
          <w:tcPr>
            <w:tcW w:w="960" w:type="dxa"/>
            <w:tcBorders>
              <w:top w:val="single" w:sz="4" w:space="0" w:color="auto"/>
              <w:left w:val="nil"/>
              <w:bottom w:val="single" w:sz="4" w:space="0" w:color="auto"/>
            </w:tcBorders>
            <w:shd w:val="clear" w:color="auto" w:fill="auto"/>
            <w:noWrap/>
            <w:vAlign w:val="bottom"/>
          </w:tcPr>
          <w:p w14:paraId="4E62DC2B" w14:textId="7CB24F8F"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0.81</w:t>
            </w:r>
          </w:p>
        </w:tc>
      </w:tr>
      <w:tr w:rsidR="0001066B" w:rsidRPr="0091194F" w14:paraId="66C521FC" w14:textId="77777777" w:rsidTr="0001066B">
        <w:trPr>
          <w:trHeight w:val="300"/>
        </w:trPr>
        <w:tc>
          <w:tcPr>
            <w:tcW w:w="2127" w:type="dxa"/>
            <w:vMerge/>
            <w:tcBorders>
              <w:top w:val="single" w:sz="4" w:space="0" w:color="auto"/>
              <w:bottom w:val="single" w:sz="4" w:space="0" w:color="auto"/>
              <w:right w:val="single" w:sz="4" w:space="0" w:color="auto"/>
            </w:tcBorders>
            <w:vAlign w:val="center"/>
            <w:hideMark/>
          </w:tcPr>
          <w:p w14:paraId="79C381BE"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571" w:type="dxa"/>
            <w:tcBorders>
              <w:top w:val="nil"/>
              <w:left w:val="nil"/>
              <w:bottom w:val="single" w:sz="4" w:space="0" w:color="auto"/>
              <w:right w:val="single" w:sz="4" w:space="0" w:color="auto"/>
            </w:tcBorders>
            <w:shd w:val="clear" w:color="auto" w:fill="auto"/>
            <w:noWrap/>
            <w:vAlign w:val="bottom"/>
            <w:hideMark/>
          </w:tcPr>
          <w:p w14:paraId="5C555BC5" w14:textId="65A12F45"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Middle (±10°)</w:t>
            </w:r>
          </w:p>
        </w:tc>
        <w:tc>
          <w:tcPr>
            <w:tcW w:w="900" w:type="dxa"/>
            <w:tcBorders>
              <w:top w:val="nil"/>
              <w:left w:val="nil"/>
              <w:bottom w:val="single" w:sz="4" w:space="0" w:color="auto"/>
              <w:right w:val="single" w:sz="4" w:space="0" w:color="auto"/>
            </w:tcBorders>
            <w:shd w:val="clear" w:color="auto" w:fill="auto"/>
            <w:noWrap/>
            <w:vAlign w:val="bottom"/>
          </w:tcPr>
          <w:p w14:paraId="51AE773F"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0.007</w:t>
            </w:r>
          </w:p>
        </w:tc>
        <w:tc>
          <w:tcPr>
            <w:tcW w:w="960" w:type="dxa"/>
            <w:vMerge/>
            <w:tcBorders>
              <w:top w:val="nil"/>
              <w:left w:val="single" w:sz="4" w:space="0" w:color="auto"/>
              <w:bottom w:val="single" w:sz="4" w:space="0" w:color="000000"/>
              <w:right w:val="single" w:sz="4" w:space="0" w:color="auto"/>
            </w:tcBorders>
            <w:vAlign w:val="bottom"/>
          </w:tcPr>
          <w:p w14:paraId="2D218E32"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7B58D3A0"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0.003</w:t>
            </w:r>
          </w:p>
        </w:tc>
        <w:tc>
          <w:tcPr>
            <w:tcW w:w="960" w:type="dxa"/>
            <w:tcBorders>
              <w:top w:val="nil"/>
              <w:left w:val="nil"/>
              <w:bottom w:val="single" w:sz="4" w:space="0" w:color="auto"/>
              <w:right w:val="single" w:sz="4" w:space="0" w:color="auto"/>
            </w:tcBorders>
            <w:shd w:val="clear" w:color="auto" w:fill="auto"/>
            <w:noWrap/>
            <w:vAlign w:val="bottom"/>
          </w:tcPr>
          <w:p w14:paraId="19BB9B8F" w14:textId="42243352"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0.52</w:t>
            </w:r>
          </w:p>
        </w:tc>
        <w:tc>
          <w:tcPr>
            <w:tcW w:w="960" w:type="dxa"/>
            <w:tcBorders>
              <w:top w:val="single" w:sz="4" w:space="0" w:color="auto"/>
              <w:left w:val="nil"/>
              <w:bottom w:val="single" w:sz="4" w:space="0" w:color="auto"/>
            </w:tcBorders>
            <w:shd w:val="clear" w:color="auto" w:fill="auto"/>
            <w:noWrap/>
            <w:vAlign w:val="bottom"/>
          </w:tcPr>
          <w:p w14:paraId="4D4B8F4C" w14:textId="7777777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0.60</w:t>
            </w:r>
          </w:p>
        </w:tc>
      </w:tr>
      <w:tr w:rsidR="0001066B" w:rsidRPr="0091194F" w14:paraId="46276FA8" w14:textId="77777777" w:rsidTr="0001066B">
        <w:trPr>
          <w:trHeight w:val="300"/>
        </w:trPr>
        <w:tc>
          <w:tcPr>
            <w:tcW w:w="2127" w:type="dxa"/>
            <w:vMerge/>
            <w:tcBorders>
              <w:top w:val="single" w:sz="4" w:space="0" w:color="auto"/>
              <w:bottom w:val="single" w:sz="4" w:space="0" w:color="auto"/>
              <w:right w:val="single" w:sz="4" w:space="0" w:color="auto"/>
            </w:tcBorders>
            <w:vAlign w:val="center"/>
            <w:hideMark/>
          </w:tcPr>
          <w:p w14:paraId="33B5B669"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571" w:type="dxa"/>
            <w:tcBorders>
              <w:top w:val="nil"/>
              <w:left w:val="nil"/>
              <w:bottom w:val="single" w:sz="4" w:space="0" w:color="auto"/>
              <w:right w:val="single" w:sz="4" w:space="0" w:color="auto"/>
            </w:tcBorders>
            <w:shd w:val="clear" w:color="auto" w:fill="auto"/>
            <w:noWrap/>
            <w:vAlign w:val="bottom"/>
            <w:hideMark/>
          </w:tcPr>
          <w:p w14:paraId="5D23A944" w14:textId="4546D00A" w:rsidR="0001066B" w:rsidRPr="0091194F" w:rsidRDefault="0001066B" w:rsidP="0001066B">
            <w:pPr>
              <w:spacing w:before="0" w:after="0" w:line="240" w:lineRule="auto"/>
              <w:jc w:val="left"/>
              <w:rPr>
                <w:rFonts w:eastAsia="Times New Roman"/>
                <w:color w:val="000000"/>
                <w:sz w:val="22"/>
                <w:szCs w:val="22"/>
                <w:lang w:val="en-MY" w:eastAsia="en-MY"/>
              </w:rPr>
            </w:pPr>
            <w:r>
              <w:rPr>
                <w:rFonts w:eastAsia="Times New Roman"/>
                <w:color w:val="000000"/>
                <w:sz w:val="22"/>
                <w:szCs w:val="22"/>
                <w:lang w:val="en-MY" w:eastAsia="en-MY"/>
              </w:rPr>
              <w:t>Largest (±15°)</w:t>
            </w:r>
          </w:p>
        </w:tc>
        <w:tc>
          <w:tcPr>
            <w:tcW w:w="900" w:type="dxa"/>
            <w:tcBorders>
              <w:top w:val="nil"/>
              <w:left w:val="nil"/>
              <w:bottom w:val="single" w:sz="4" w:space="0" w:color="auto"/>
              <w:right w:val="single" w:sz="4" w:space="0" w:color="auto"/>
            </w:tcBorders>
            <w:shd w:val="clear" w:color="auto" w:fill="auto"/>
            <w:noWrap/>
            <w:vAlign w:val="bottom"/>
          </w:tcPr>
          <w:p w14:paraId="3C218EB6" w14:textId="0176610A"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0.089</w:t>
            </w:r>
          </w:p>
        </w:tc>
        <w:tc>
          <w:tcPr>
            <w:tcW w:w="960" w:type="dxa"/>
            <w:vMerge/>
            <w:tcBorders>
              <w:top w:val="nil"/>
              <w:left w:val="single" w:sz="4" w:space="0" w:color="auto"/>
              <w:bottom w:val="single" w:sz="4" w:space="0" w:color="000000"/>
              <w:right w:val="single" w:sz="4" w:space="0" w:color="auto"/>
            </w:tcBorders>
            <w:vAlign w:val="bottom"/>
          </w:tcPr>
          <w:p w14:paraId="6E6CC35E" w14:textId="77777777" w:rsidR="0001066B" w:rsidRPr="0091194F" w:rsidRDefault="0001066B" w:rsidP="0001066B">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5D8FD286" w14:textId="16704A07"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0.045</w:t>
            </w:r>
          </w:p>
        </w:tc>
        <w:tc>
          <w:tcPr>
            <w:tcW w:w="960" w:type="dxa"/>
            <w:tcBorders>
              <w:top w:val="nil"/>
              <w:left w:val="nil"/>
              <w:bottom w:val="single" w:sz="4" w:space="0" w:color="auto"/>
              <w:right w:val="single" w:sz="4" w:space="0" w:color="auto"/>
            </w:tcBorders>
            <w:shd w:val="clear" w:color="auto" w:fill="auto"/>
            <w:noWrap/>
            <w:vAlign w:val="bottom"/>
          </w:tcPr>
          <w:p w14:paraId="718C55BD" w14:textId="231F958C"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5.51</w:t>
            </w:r>
          </w:p>
        </w:tc>
        <w:tc>
          <w:tcPr>
            <w:tcW w:w="960" w:type="dxa"/>
            <w:tcBorders>
              <w:top w:val="single" w:sz="4" w:space="0" w:color="auto"/>
              <w:left w:val="nil"/>
              <w:bottom w:val="single" w:sz="4" w:space="0" w:color="auto"/>
            </w:tcBorders>
            <w:shd w:val="clear" w:color="auto" w:fill="auto"/>
            <w:noWrap/>
            <w:vAlign w:val="bottom"/>
          </w:tcPr>
          <w:p w14:paraId="2FC2258D" w14:textId="01A25AE1" w:rsidR="0001066B" w:rsidRPr="0091194F" w:rsidRDefault="0001066B" w:rsidP="0001066B">
            <w:pPr>
              <w:spacing w:before="0" w:after="0" w:line="240" w:lineRule="auto"/>
              <w:jc w:val="right"/>
              <w:rPr>
                <w:rFonts w:eastAsia="Times New Roman"/>
                <w:color w:val="000000"/>
                <w:sz w:val="22"/>
                <w:szCs w:val="22"/>
                <w:lang w:val="en-MY" w:eastAsia="en-MY"/>
              </w:rPr>
            </w:pPr>
            <w:r>
              <w:rPr>
                <w:color w:val="000000"/>
                <w:sz w:val="22"/>
                <w:szCs w:val="22"/>
              </w:rPr>
              <w:t>0.01*</w:t>
            </w:r>
          </w:p>
        </w:tc>
      </w:tr>
    </w:tbl>
    <w:bookmarkEnd w:id="275"/>
    <w:p w14:paraId="53C5378A" w14:textId="6EF78444" w:rsidR="006F1D69" w:rsidRPr="006F1D69" w:rsidRDefault="006F1D69" w:rsidP="002A6FE6">
      <w:pPr>
        <w:spacing w:before="0" w:after="0"/>
        <w:jc w:val="center"/>
      </w:pPr>
      <w:r>
        <w:rPr>
          <w:i/>
          <w:iCs/>
        </w:rPr>
        <w:t>*</w:t>
      </w:r>
      <w:r w:rsidR="00EA5FF0">
        <w:t xml:space="preserve">Data are </w:t>
      </w:r>
      <w:r w:rsidR="0016744E">
        <w:t xml:space="preserve">significant at </w:t>
      </w:r>
      <w:r>
        <w:rPr>
          <w:i/>
          <w:iCs/>
        </w:rPr>
        <w:t>p</w:t>
      </w:r>
      <w:r>
        <w:t>&lt;0.05</w:t>
      </w:r>
    </w:p>
    <w:p w14:paraId="6930143F" w14:textId="49B6FC27" w:rsidR="002A6FE6" w:rsidRPr="009D4627" w:rsidRDefault="005D7398" w:rsidP="002A6FE6">
      <w:r w:rsidRPr="00723ACD">
        <w:t xml:space="preserve">According to the Bonferroni test for multiple comparisons, the mean value of </w:t>
      </w:r>
      <w:r w:rsidR="00952FC2">
        <w:t xml:space="preserve">latency was </w:t>
      </w:r>
      <w:r w:rsidR="00952FC2" w:rsidRPr="00723ACD">
        <w:t xml:space="preserve">significantly different at the smallest, middle and largest amplitudes between </w:t>
      </w:r>
      <w:r w:rsidR="00952FC2">
        <w:t xml:space="preserve">at least two age groups, </w:t>
      </w:r>
      <w:r w:rsidR="00952FC2" w:rsidRPr="00952FC2">
        <w:rPr>
          <w:i/>
        </w:rPr>
        <w:t>p</w:t>
      </w:r>
      <w:r w:rsidR="00952FC2">
        <w:t xml:space="preserve">&lt;0.05. </w:t>
      </w:r>
      <w:r w:rsidR="004A4B59">
        <w:t>In addition, t</w:t>
      </w:r>
      <w:r w:rsidR="004A4B59" w:rsidRPr="004A4B59">
        <w:t xml:space="preserve">he mean peak velocity was also </w:t>
      </w:r>
      <w:r w:rsidR="00A83C0C">
        <w:t>different</w:t>
      </w:r>
      <w:r w:rsidR="004A4B59" w:rsidRPr="004A4B59">
        <w:t xml:space="preserve"> between the two age groups, with older adults having a faster peak velocity than younger adults, as evidenced by the -</w:t>
      </w:r>
      <w:proofErr w:type="spellStart"/>
      <w:r w:rsidR="004A4B59" w:rsidRPr="004A4B59">
        <w:t>ve</w:t>
      </w:r>
      <w:proofErr w:type="spellEnd"/>
      <w:r w:rsidR="004A4B59" w:rsidRPr="004A4B59">
        <w:t xml:space="preserve"> mean differences.</w:t>
      </w:r>
      <w:r w:rsidR="00BF71F1">
        <w:t xml:space="preserve"> Furthermore, the mean gain was significantly different between the young and old age </w:t>
      </w:r>
      <w:r w:rsidR="00203728">
        <w:t>adults</w:t>
      </w:r>
      <w:r w:rsidR="00BF71F1">
        <w:t xml:space="preserve"> at the largest amplitude size. The post hoc analysis </w:t>
      </w:r>
      <w:r w:rsidR="00203728">
        <w:t>is present</w:t>
      </w:r>
      <w:r w:rsidR="00BF71F1">
        <w:t>ed in Table 3.</w:t>
      </w:r>
      <w:proofErr w:type="gramStart"/>
      <w:r w:rsidR="00F11D75">
        <w:t>5</w:t>
      </w:r>
      <w:r w:rsidR="00BF71F1">
        <w:t>.</w:t>
      </w:r>
      <w:r w:rsidR="002A6FE6" w:rsidRPr="009D4627">
        <w:t>Pearson's</w:t>
      </w:r>
      <w:proofErr w:type="gramEnd"/>
      <w:r w:rsidR="002A6FE6" w:rsidRPr="009D4627">
        <w:t xml:space="preserve"> correlations were used to evaluate the correlation between the horizontal saccadic variables (latency, peak velocity and gain) with age. The saccadic latency and peak velocity were found to be positively correlated with age factor, </w:t>
      </w:r>
      <w:r w:rsidR="002A6FE6" w:rsidRPr="00203728">
        <w:rPr>
          <w:i/>
          <w:iCs/>
        </w:rPr>
        <w:t xml:space="preserve">r </w:t>
      </w:r>
      <w:r w:rsidR="002A6FE6" w:rsidRPr="00FB2C5B">
        <w:t xml:space="preserve">= 0.41, </w:t>
      </w:r>
      <w:r w:rsidR="002A6FE6" w:rsidRPr="00203728">
        <w:rPr>
          <w:i/>
          <w:iCs/>
        </w:rPr>
        <w:t>p</w:t>
      </w:r>
      <w:r w:rsidR="002A6FE6" w:rsidRPr="00FB2C5B">
        <w:t xml:space="preserve">&lt;0.01 and </w:t>
      </w:r>
      <w:r w:rsidR="002A6FE6" w:rsidRPr="00203728">
        <w:rPr>
          <w:i/>
          <w:iCs/>
        </w:rPr>
        <w:t>r</w:t>
      </w:r>
      <w:r w:rsidR="002A6FE6" w:rsidRPr="00FB2C5B">
        <w:t xml:space="preserve"> = 0.22, </w:t>
      </w:r>
      <w:r w:rsidR="002A6FE6" w:rsidRPr="00203728">
        <w:rPr>
          <w:i/>
          <w:iCs/>
        </w:rPr>
        <w:t>p</w:t>
      </w:r>
      <w:r w:rsidR="002A6FE6" w:rsidRPr="00FB2C5B">
        <w:t>&lt;0.01,</w:t>
      </w:r>
      <w:r w:rsidR="002A6FE6" w:rsidRPr="009D4627">
        <w:t xml:space="preserve"> respectively</w:t>
      </w:r>
      <w:r w:rsidR="002A6FE6">
        <w:t>. T</w:t>
      </w:r>
      <w:r w:rsidR="002A6FE6" w:rsidRPr="009D4627">
        <w:t xml:space="preserve">he </w:t>
      </w:r>
      <w:r w:rsidR="002A6FE6">
        <w:t>former had a moderate strength of correlations while the latter had poor correlations</w:t>
      </w:r>
      <w:r w:rsidR="002A6FE6" w:rsidRPr="009D4627">
        <w:t>. There is no statistically significant relationship between horizontal saccadic gain and ageing (</w:t>
      </w:r>
      <w:r w:rsidR="002A6FE6" w:rsidRPr="00EA5FF0">
        <w:rPr>
          <w:i/>
          <w:iCs/>
        </w:rPr>
        <w:t>p</w:t>
      </w:r>
      <w:r w:rsidR="002A6FE6" w:rsidRPr="009D4627">
        <w:t>&gt;0.05).</w:t>
      </w:r>
    </w:p>
    <w:p w14:paraId="4933F44D" w14:textId="77777777" w:rsidR="002A6FE6" w:rsidRDefault="002A6FE6" w:rsidP="002A6FE6"/>
    <w:p w14:paraId="066351A1" w14:textId="3C74C4A6" w:rsidR="00BF71F1" w:rsidRDefault="00BF71F1" w:rsidP="00C4130D">
      <w:pPr>
        <w:pStyle w:val="Caption"/>
      </w:pPr>
      <w:bookmarkStart w:id="276" w:name="_Toc99439397"/>
      <w:r>
        <w:lastRenderedPageBreak/>
        <w:t>Table 3.</w:t>
      </w:r>
      <w:r w:rsidR="00F00E6E">
        <w:fldChar w:fldCharType="begin"/>
      </w:r>
      <w:r w:rsidR="00F00E6E">
        <w:instrText xml:space="preserve"> SEQ Table_3. \* ARABIC </w:instrText>
      </w:r>
      <w:r w:rsidR="00F00E6E">
        <w:fldChar w:fldCharType="separate"/>
      </w:r>
      <w:r w:rsidR="00E268F6">
        <w:rPr>
          <w:noProof/>
        </w:rPr>
        <w:t>5</w:t>
      </w:r>
      <w:r w:rsidR="00F00E6E">
        <w:fldChar w:fldCharType="end"/>
      </w:r>
      <w:r>
        <w:t xml:space="preserve">: </w:t>
      </w:r>
      <w:r w:rsidR="004D2AB3" w:rsidRPr="004D2AB3">
        <w:t>Examine significant differences in the mean values of saccadic parameters between age groups using post hoc analysis. The multiple-correction Bonferroni test was employed.</w:t>
      </w:r>
      <w:bookmarkEnd w:id="276"/>
    </w:p>
    <w:tbl>
      <w:tblPr>
        <w:tblW w:w="5000" w:type="pct"/>
        <w:tblLayout w:type="fixed"/>
        <w:tblLook w:val="04A0" w:firstRow="1" w:lastRow="0" w:firstColumn="1" w:lastColumn="0" w:noHBand="0" w:noVBand="1"/>
      </w:tblPr>
      <w:tblGrid>
        <w:gridCol w:w="1173"/>
        <w:gridCol w:w="1237"/>
        <w:gridCol w:w="993"/>
        <w:gridCol w:w="1276"/>
        <w:gridCol w:w="1417"/>
        <w:gridCol w:w="991"/>
        <w:gridCol w:w="993"/>
        <w:gridCol w:w="946"/>
      </w:tblGrid>
      <w:tr w:rsidR="005D7398" w:rsidRPr="005D7398" w14:paraId="20EEA4B9" w14:textId="77777777" w:rsidTr="005D7398">
        <w:trPr>
          <w:trHeight w:val="600"/>
        </w:trPr>
        <w:tc>
          <w:tcPr>
            <w:tcW w:w="650" w:type="pct"/>
            <w:tcBorders>
              <w:top w:val="single" w:sz="4" w:space="0" w:color="auto"/>
              <w:left w:val="nil"/>
              <w:bottom w:val="single" w:sz="4" w:space="0" w:color="auto"/>
              <w:right w:val="single" w:sz="4" w:space="0" w:color="auto"/>
            </w:tcBorders>
            <w:shd w:val="clear" w:color="auto" w:fill="auto"/>
            <w:vAlign w:val="bottom"/>
            <w:hideMark/>
          </w:tcPr>
          <w:p w14:paraId="5D82FF8F" w14:textId="77777777" w:rsidR="005D7398" w:rsidRPr="005D7398" w:rsidRDefault="005D7398" w:rsidP="005D7398">
            <w:pPr>
              <w:spacing w:before="0" w:after="0" w:line="240" w:lineRule="auto"/>
              <w:jc w:val="left"/>
              <w:rPr>
                <w:rFonts w:eastAsia="Times New Roman"/>
                <w:color w:val="000000"/>
                <w:sz w:val="22"/>
                <w:szCs w:val="22"/>
                <w:lang w:val="en-MY" w:eastAsia="en-MY"/>
              </w:rPr>
            </w:pPr>
            <w:r w:rsidRPr="005D7398">
              <w:rPr>
                <w:rFonts w:eastAsia="Times New Roman"/>
                <w:color w:val="000000"/>
                <w:sz w:val="22"/>
                <w:szCs w:val="22"/>
                <w:lang w:val="en-MY" w:eastAsia="en-MY"/>
              </w:rPr>
              <w:t>Horizontal saccadic variable</w:t>
            </w:r>
          </w:p>
        </w:tc>
        <w:tc>
          <w:tcPr>
            <w:tcW w:w="685" w:type="pct"/>
            <w:tcBorders>
              <w:top w:val="single" w:sz="4" w:space="0" w:color="auto"/>
              <w:left w:val="nil"/>
              <w:bottom w:val="single" w:sz="4" w:space="0" w:color="auto"/>
              <w:right w:val="single" w:sz="4" w:space="0" w:color="auto"/>
            </w:tcBorders>
            <w:shd w:val="clear" w:color="auto" w:fill="auto"/>
            <w:noWrap/>
            <w:vAlign w:val="bottom"/>
            <w:hideMark/>
          </w:tcPr>
          <w:p w14:paraId="0592FDF9" w14:textId="77777777" w:rsidR="005D7398" w:rsidRPr="005D7398" w:rsidRDefault="005D7398" w:rsidP="005D7398">
            <w:pPr>
              <w:spacing w:before="0" w:after="0" w:line="240" w:lineRule="auto"/>
              <w:jc w:val="left"/>
              <w:rPr>
                <w:rFonts w:eastAsia="Times New Roman"/>
                <w:color w:val="000000"/>
                <w:sz w:val="22"/>
                <w:szCs w:val="22"/>
                <w:lang w:val="en-MY" w:eastAsia="en-MY"/>
              </w:rPr>
            </w:pPr>
            <w:r w:rsidRPr="005D7398">
              <w:rPr>
                <w:rFonts w:eastAsia="Times New Roman"/>
                <w:color w:val="000000"/>
                <w:sz w:val="22"/>
                <w:szCs w:val="22"/>
                <w:lang w:val="en-MY" w:eastAsia="en-MY"/>
              </w:rPr>
              <w:t>Amplitude size</w:t>
            </w:r>
          </w:p>
        </w:tc>
        <w:tc>
          <w:tcPr>
            <w:tcW w:w="550" w:type="pct"/>
            <w:tcBorders>
              <w:top w:val="single" w:sz="4" w:space="0" w:color="auto"/>
              <w:left w:val="nil"/>
              <w:bottom w:val="single" w:sz="4" w:space="0" w:color="auto"/>
              <w:right w:val="single" w:sz="4" w:space="0" w:color="auto"/>
            </w:tcBorders>
            <w:shd w:val="clear" w:color="auto" w:fill="auto"/>
            <w:vAlign w:val="bottom"/>
            <w:hideMark/>
          </w:tcPr>
          <w:p w14:paraId="7325F7F2" w14:textId="771CF135" w:rsidR="005D7398" w:rsidRPr="005D7398" w:rsidRDefault="005D7398" w:rsidP="005D7398">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(I) Age</w:t>
            </w:r>
            <w:r>
              <w:rPr>
                <w:rFonts w:eastAsia="Times New Roman"/>
                <w:color w:val="000000"/>
                <w:sz w:val="22"/>
                <w:szCs w:val="22"/>
                <w:lang w:val="en-MY" w:eastAsia="en-MY"/>
              </w:rPr>
              <w:t xml:space="preserve"> </w:t>
            </w:r>
            <w:r w:rsidRPr="005D7398">
              <w:rPr>
                <w:rFonts w:eastAsia="Times New Roman"/>
                <w:color w:val="000000"/>
                <w:sz w:val="22"/>
                <w:szCs w:val="22"/>
                <w:lang w:val="en-MY" w:eastAsia="en-MY"/>
              </w:rPr>
              <w:t>Group</w:t>
            </w:r>
          </w:p>
        </w:tc>
        <w:tc>
          <w:tcPr>
            <w:tcW w:w="707" w:type="pct"/>
            <w:tcBorders>
              <w:top w:val="single" w:sz="4" w:space="0" w:color="auto"/>
              <w:left w:val="nil"/>
              <w:bottom w:val="single" w:sz="4" w:space="0" w:color="auto"/>
              <w:right w:val="single" w:sz="4" w:space="0" w:color="auto"/>
            </w:tcBorders>
            <w:shd w:val="clear" w:color="auto" w:fill="auto"/>
            <w:vAlign w:val="bottom"/>
            <w:hideMark/>
          </w:tcPr>
          <w:p w14:paraId="12A5EB7D" w14:textId="3FED02F3" w:rsidR="005D7398" w:rsidRPr="005D7398" w:rsidRDefault="005D7398" w:rsidP="005D7398">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(J) Age</w:t>
            </w:r>
            <w:r>
              <w:rPr>
                <w:rFonts w:eastAsia="Times New Roman"/>
                <w:color w:val="000000"/>
                <w:sz w:val="22"/>
                <w:szCs w:val="22"/>
                <w:lang w:val="en-MY" w:eastAsia="en-MY"/>
              </w:rPr>
              <w:t xml:space="preserve"> </w:t>
            </w:r>
            <w:r w:rsidRPr="005D7398">
              <w:rPr>
                <w:rFonts w:eastAsia="Times New Roman"/>
                <w:color w:val="000000"/>
                <w:sz w:val="22"/>
                <w:szCs w:val="22"/>
                <w:lang w:val="en-MY" w:eastAsia="en-MY"/>
              </w:rPr>
              <w:t>Group</w:t>
            </w:r>
          </w:p>
        </w:tc>
        <w:tc>
          <w:tcPr>
            <w:tcW w:w="785" w:type="pct"/>
            <w:tcBorders>
              <w:top w:val="single" w:sz="4" w:space="0" w:color="auto"/>
              <w:left w:val="nil"/>
              <w:bottom w:val="single" w:sz="4" w:space="0" w:color="auto"/>
              <w:right w:val="single" w:sz="4" w:space="0" w:color="auto"/>
            </w:tcBorders>
            <w:shd w:val="clear" w:color="auto" w:fill="auto"/>
            <w:noWrap/>
            <w:vAlign w:val="bottom"/>
            <w:hideMark/>
          </w:tcPr>
          <w:p w14:paraId="0247D588" w14:textId="77777777" w:rsidR="005D7398" w:rsidRPr="005D7398" w:rsidRDefault="005D7398" w:rsidP="005D7398">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Mean Difference (I-J)</w:t>
            </w:r>
          </w:p>
        </w:tc>
        <w:tc>
          <w:tcPr>
            <w:tcW w:w="549" w:type="pct"/>
            <w:tcBorders>
              <w:top w:val="single" w:sz="4" w:space="0" w:color="auto"/>
              <w:left w:val="nil"/>
              <w:bottom w:val="single" w:sz="4" w:space="0" w:color="auto"/>
              <w:right w:val="single" w:sz="4" w:space="0" w:color="auto"/>
            </w:tcBorders>
            <w:shd w:val="clear" w:color="auto" w:fill="auto"/>
            <w:noWrap/>
            <w:vAlign w:val="bottom"/>
            <w:hideMark/>
          </w:tcPr>
          <w:p w14:paraId="18D781F3" w14:textId="77777777" w:rsidR="005D7398" w:rsidRPr="005D7398" w:rsidRDefault="005D7398" w:rsidP="005D7398">
            <w:pPr>
              <w:spacing w:before="0" w:after="0" w:line="240" w:lineRule="auto"/>
              <w:jc w:val="right"/>
              <w:rPr>
                <w:rFonts w:eastAsia="Times New Roman"/>
                <w:color w:val="000000"/>
                <w:sz w:val="22"/>
                <w:szCs w:val="22"/>
                <w:lang w:val="en-MY" w:eastAsia="en-MY"/>
              </w:rPr>
            </w:pPr>
            <w:r w:rsidRPr="005D7398">
              <w:rPr>
                <w:rFonts w:eastAsia="Times New Roman"/>
                <w:i/>
                <w:iCs/>
                <w:color w:val="000000"/>
                <w:sz w:val="22"/>
                <w:szCs w:val="22"/>
                <w:lang w:val="en-MY" w:eastAsia="en-MY"/>
              </w:rPr>
              <w:t>p</w:t>
            </w:r>
            <w:r w:rsidRPr="005D7398">
              <w:rPr>
                <w:rFonts w:eastAsia="Times New Roman"/>
                <w:color w:val="000000"/>
                <w:sz w:val="22"/>
                <w:szCs w:val="22"/>
                <w:lang w:val="en-MY" w:eastAsia="en-MY"/>
              </w:rPr>
              <w:t>-value</w:t>
            </w:r>
          </w:p>
        </w:tc>
        <w:tc>
          <w:tcPr>
            <w:tcW w:w="1074" w:type="pct"/>
            <w:gridSpan w:val="2"/>
            <w:tcBorders>
              <w:top w:val="single" w:sz="4" w:space="0" w:color="auto"/>
              <w:left w:val="nil"/>
              <w:bottom w:val="single" w:sz="4" w:space="0" w:color="auto"/>
              <w:right w:val="nil"/>
            </w:tcBorders>
            <w:shd w:val="clear" w:color="auto" w:fill="auto"/>
            <w:noWrap/>
            <w:vAlign w:val="bottom"/>
            <w:hideMark/>
          </w:tcPr>
          <w:p w14:paraId="1EA0FBF5" w14:textId="77777777" w:rsidR="005D7398" w:rsidRPr="005D7398" w:rsidRDefault="005D7398" w:rsidP="005D7398">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95% CI</w:t>
            </w:r>
          </w:p>
        </w:tc>
      </w:tr>
      <w:tr w:rsidR="005D7398" w:rsidRPr="005D7398" w14:paraId="0327DD34" w14:textId="77777777" w:rsidTr="005D7398">
        <w:trPr>
          <w:trHeight w:val="300"/>
        </w:trPr>
        <w:tc>
          <w:tcPr>
            <w:tcW w:w="650" w:type="pct"/>
            <w:tcBorders>
              <w:top w:val="nil"/>
              <w:left w:val="nil"/>
              <w:bottom w:val="nil"/>
              <w:right w:val="single" w:sz="4" w:space="0" w:color="auto"/>
            </w:tcBorders>
            <w:shd w:val="clear" w:color="auto" w:fill="BFBFBF" w:themeFill="background1" w:themeFillShade="BF"/>
            <w:noWrap/>
            <w:vAlign w:val="bottom"/>
            <w:hideMark/>
          </w:tcPr>
          <w:p w14:paraId="7E3201F4" w14:textId="5B73B23D" w:rsidR="005D7398" w:rsidRPr="005D7398" w:rsidRDefault="005D7398" w:rsidP="005D7398">
            <w:pPr>
              <w:spacing w:before="0" w:after="0" w:line="240" w:lineRule="auto"/>
              <w:jc w:val="left"/>
              <w:rPr>
                <w:rFonts w:eastAsia="Times New Roman"/>
                <w:color w:val="000000"/>
                <w:sz w:val="22"/>
                <w:szCs w:val="22"/>
                <w:lang w:val="en-MY" w:eastAsia="en-MY"/>
              </w:rPr>
            </w:pPr>
          </w:p>
        </w:tc>
        <w:tc>
          <w:tcPr>
            <w:tcW w:w="685" w:type="pct"/>
            <w:tcBorders>
              <w:top w:val="nil"/>
              <w:left w:val="nil"/>
              <w:bottom w:val="nil"/>
              <w:right w:val="single" w:sz="4" w:space="0" w:color="auto"/>
            </w:tcBorders>
            <w:shd w:val="clear" w:color="auto" w:fill="BFBFBF" w:themeFill="background1" w:themeFillShade="BF"/>
            <w:noWrap/>
            <w:vAlign w:val="bottom"/>
            <w:hideMark/>
          </w:tcPr>
          <w:p w14:paraId="5F81E90C" w14:textId="53D5E8CB" w:rsidR="005D7398" w:rsidRPr="005D7398" w:rsidRDefault="005D7398" w:rsidP="005D7398">
            <w:pPr>
              <w:spacing w:before="0" w:after="0" w:line="240" w:lineRule="auto"/>
              <w:jc w:val="left"/>
              <w:rPr>
                <w:rFonts w:eastAsia="Times New Roman"/>
                <w:color w:val="000000"/>
                <w:sz w:val="22"/>
                <w:szCs w:val="22"/>
                <w:lang w:val="en-MY" w:eastAsia="en-MY"/>
              </w:rPr>
            </w:pPr>
          </w:p>
        </w:tc>
        <w:tc>
          <w:tcPr>
            <w:tcW w:w="550" w:type="pct"/>
            <w:tcBorders>
              <w:top w:val="nil"/>
              <w:left w:val="nil"/>
              <w:bottom w:val="nil"/>
              <w:right w:val="single" w:sz="4" w:space="0" w:color="auto"/>
            </w:tcBorders>
            <w:shd w:val="clear" w:color="auto" w:fill="BFBFBF" w:themeFill="background1" w:themeFillShade="BF"/>
            <w:noWrap/>
            <w:vAlign w:val="bottom"/>
            <w:hideMark/>
          </w:tcPr>
          <w:p w14:paraId="15D6517F" w14:textId="560A9D49" w:rsidR="005D7398" w:rsidRPr="005D7398" w:rsidRDefault="005D7398" w:rsidP="005D7398">
            <w:pPr>
              <w:spacing w:before="0" w:after="0" w:line="240" w:lineRule="auto"/>
              <w:jc w:val="center"/>
              <w:rPr>
                <w:rFonts w:eastAsia="Times New Roman"/>
                <w:color w:val="000000"/>
                <w:sz w:val="22"/>
                <w:szCs w:val="22"/>
                <w:lang w:val="en-MY" w:eastAsia="en-MY"/>
              </w:rPr>
            </w:pPr>
          </w:p>
        </w:tc>
        <w:tc>
          <w:tcPr>
            <w:tcW w:w="707" w:type="pct"/>
            <w:tcBorders>
              <w:top w:val="nil"/>
              <w:left w:val="nil"/>
              <w:bottom w:val="nil"/>
              <w:right w:val="single" w:sz="4" w:space="0" w:color="auto"/>
            </w:tcBorders>
            <w:shd w:val="clear" w:color="auto" w:fill="BFBFBF" w:themeFill="background1" w:themeFillShade="BF"/>
            <w:noWrap/>
            <w:vAlign w:val="bottom"/>
            <w:hideMark/>
          </w:tcPr>
          <w:p w14:paraId="5A012A56" w14:textId="2C83C8BB" w:rsidR="005D7398" w:rsidRPr="005D7398" w:rsidRDefault="005D7398" w:rsidP="005D7398">
            <w:pPr>
              <w:spacing w:before="0" w:after="0" w:line="240" w:lineRule="auto"/>
              <w:jc w:val="center"/>
              <w:rPr>
                <w:rFonts w:eastAsia="Times New Roman"/>
                <w:color w:val="000000"/>
                <w:sz w:val="22"/>
                <w:szCs w:val="22"/>
                <w:lang w:val="en-MY" w:eastAsia="en-MY"/>
              </w:rPr>
            </w:pPr>
          </w:p>
        </w:tc>
        <w:tc>
          <w:tcPr>
            <w:tcW w:w="785" w:type="pct"/>
            <w:tcBorders>
              <w:top w:val="nil"/>
              <w:left w:val="nil"/>
              <w:bottom w:val="nil"/>
              <w:right w:val="single" w:sz="4" w:space="0" w:color="auto"/>
            </w:tcBorders>
            <w:shd w:val="clear" w:color="auto" w:fill="BFBFBF" w:themeFill="background1" w:themeFillShade="BF"/>
            <w:noWrap/>
            <w:vAlign w:val="bottom"/>
            <w:hideMark/>
          </w:tcPr>
          <w:p w14:paraId="79C1FDBB" w14:textId="199C3CE6" w:rsidR="005D7398" w:rsidRPr="005D7398" w:rsidRDefault="005D7398" w:rsidP="005D7398">
            <w:pPr>
              <w:spacing w:before="0" w:after="0" w:line="240" w:lineRule="auto"/>
              <w:jc w:val="center"/>
              <w:rPr>
                <w:rFonts w:eastAsia="Times New Roman"/>
                <w:color w:val="000000"/>
                <w:sz w:val="22"/>
                <w:szCs w:val="22"/>
                <w:lang w:val="en-MY" w:eastAsia="en-MY"/>
              </w:rPr>
            </w:pPr>
          </w:p>
        </w:tc>
        <w:tc>
          <w:tcPr>
            <w:tcW w:w="549" w:type="pct"/>
            <w:tcBorders>
              <w:top w:val="nil"/>
              <w:left w:val="nil"/>
              <w:bottom w:val="nil"/>
              <w:right w:val="single" w:sz="4" w:space="0" w:color="auto"/>
            </w:tcBorders>
            <w:shd w:val="clear" w:color="auto" w:fill="BFBFBF" w:themeFill="background1" w:themeFillShade="BF"/>
            <w:noWrap/>
            <w:vAlign w:val="bottom"/>
            <w:hideMark/>
          </w:tcPr>
          <w:p w14:paraId="222FDCA1" w14:textId="1EFCD185" w:rsidR="005D7398" w:rsidRPr="005D7398" w:rsidRDefault="005D7398" w:rsidP="005D7398">
            <w:pPr>
              <w:spacing w:before="0" w:after="0" w:line="240" w:lineRule="auto"/>
              <w:jc w:val="right"/>
              <w:rPr>
                <w:rFonts w:eastAsia="Times New Roman"/>
                <w:color w:val="000000"/>
                <w:sz w:val="22"/>
                <w:szCs w:val="22"/>
                <w:lang w:val="en-MY" w:eastAsia="en-MY"/>
              </w:rPr>
            </w:pPr>
          </w:p>
        </w:tc>
        <w:tc>
          <w:tcPr>
            <w:tcW w:w="550" w:type="pct"/>
            <w:tcBorders>
              <w:top w:val="nil"/>
              <w:left w:val="nil"/>
              <w:bottom w:val="nil"/>
              <w:right w:val="single" w:sz="4" w:space="0" w:color="auto"/>
            </w:tcBorders>
            <w:shd w:val="clear" w:color="auto" w:fill="auto"/>
            <w:noWrap/>
            <w:vAlign w:val="bottom"/>
            <w:hideMark/>
          </w:tcPr>
          <w:p w14:paraId="212FE355" w14:textId="77777777" w:rsidR="005D7398" w:rsidRPr="005D7398" w:rsidRDefault="005D7398" w:rsidP="005D7398">
            <w:pPr>
              <w:spacing w:before="0" w:after="0" w:line="240" w:lineRule="auto"/>
              <w:jc w:val="left"/>
              <w:rPr>
                <w:rFonts w:eastAsia="Times New Roman"/>
                <w:color w:val="000000"/>
                <w:sz w:val="22"/>
                <w:szCs w:val="22"/>
                <w:lang w:val="en-MY" w:eastAsia="en-MY"/>
              </w:rPr>
            </w:pPr>
            <w:r w:rsidRPr="005D7398">
              <w:rPr>
                <w:rFonts w:eastAsia="Times New Roman"/>
                <w:color w:val="000000"/>
                <w:sz w:val="22"/>
                <w:szCs w:val="22"/>
                <w:lang w:val="en-MY" w:eastAsia="en-MY"/>
              </w:rPr>
              <w:t>Lower Bound</w:t>
            </w:r>
          </w:p>
        </w:tc>
        <w:tc>
          <w:tcPr>
            <w:tcW w:w="524" w:type="pct"/>
            <w:tcBorders>
              <w:top w:val="nil"/>
              <w:left w:val="nil"/>
              <w:bottom w:val="nil"/>
              <w:right w:val="nil"/>
            </w:tcBorders>
            <w:shd w:val="clear" w:color="auto" w:fill="auto"/>
            <w:noWrap/>
            <w:vAlign w:val="bottom"/>
            <w:hideMark/>
          </w:tcPr>
          <w:p w14:paraId="4530FB5C" w14:textId="77777777" w:rsidR="005D7398" w:rsidRPr="005D7398" w:rsidRDefault="005D7398" w:rsidP="005D7398">
            <w:pPr>
              <w:spacing w:before="0" w:after="0" w:line="240" w:lineRule="auto"/>
              <w:jc w:val="left"/>
              <w:rPr>
                <w:rFonts w:eastAsia="Times New Roman"/>
                <w:color w:val="000000"/>
                <w:sz w:val="22"/>
                <w:szCs w:val="22"/>
                <w:lang w:val="en-MY" w:eastAsia="en-MY"/>
              </w:rPr>
            </w:pPr>
            <w:r w:rsidRPr="005D7398">
              <w:rPr>
                <w:rFonts w:eastAsia="Times New Roman"/>
                <w:color w:val="000000"/>
                <w:sz w:val="22"/>
                <w:szCs w:val="22"/>
                <w:lang w:val="en-MY" w:eastAsia="en-MY"/>
              </w:rPr>
              <w:t>Upper Bound</w:t>
            </w:r>
          </w:p>
        </w:tc>
      </w:tr>
      <w:tr w:rsidR="00952FC2" w:rsidRPr="005D7398" w14:paraId="6D52A7FF" w14:textId="77777777" w:rsidTr="00952FC2">
        <w:trPr>
          <w:trHeight w:val="300"/>
        </w:trPr>
        <w:tc>
          <w:tcPr>
            <w:tcW w:w="650" w:type="pct"/>
            <w:vMerge w:val="restart"/>
            <w:tcBorders>
              <w:top w:val="single" w:sz="4" w:space="0" w:color="auto"/>
              <w:left w:val="nil"/>
              <w:right w:val="single" w:sz="4" w:space="0" w:color="auto"/>
            </w:tcBorders>
            <w:shd w:val="clear" w:color="auto" w:fill="auto"/>
            <w:noWrap/>
            <w:hideMark/>
          </w:tcPr>
          <w:p w14:paraId="2B5DD322"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Latency</w:t>
            </w:r>
          </w:p>
        </w:tc>
        <w:tc>
          <w:tcPr>
            <w:tcW w:w="685" w:type="pct"/>
            <w:tcBorders>
              <w:top w:val="single" w:sz="4" w:space="0" w:color="auto"/>
              <w:left w:val="nil"/>
              <w:bottom w:val="single" w:sz="4" w:space="0" w:color="auto"/>
              <w:right w:val="single" w:sz="4" w:space="0" w:color="auto"/>
            </w:tcBorders>
            <w:shd w:val="clear" w:color="auto" w:fill="auto"/>
            <w:noWrap/>
            <w:hideMark/>
          </w:tcPr>
          <w:p w14:paraId="49797E85"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smallest</w:t>
            </w:r>
          </w:p>
        </w:tc>
        <w:tc>
          <w:tcPr>
            <w:tcW w:w="550" w:type="pct"/>
            <w:tcBorders>
              <w:top w:val="single" w:sz="4" w:space="0" w:color="auto"/>
              <w:left w:val="nil"/>
              <w:bottom w:val="single" w:sz="4" w:space="0" w:color="auto"/>
              <w:right w:val="single" w:sz="4" w:space="0" w:color="auto"/>
            </w:tcBorders>
            <w:shd w:val="clear" w:color="auto" w:fill="auto"/>
            <w:noWrap/>
            <w:hideMark/>
          </w:tcPr>
          <w:p w14:paraId="54F78384" w14:textId="330A3067"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Young</w:t>
            </w:r>
          </w:p>
        </w:tc>
        <w:tc>
          <w:tcPr>
            <w:tcW w:w="707" w:type="pct"/>
            <w:tcBorders>
              <w:top w:val="single" w:sz="4" w:space="0" w:color="auto"/>
              <w:left w:val="nil"/>
              <w:bottom w:val="single" w:sz="4" w:space="0" w:color="auto"/>
              <w:right w:val="single" w:sz="4" w:space="0" w:color="auto"/>
            </w:tcBorders>
            <w:shd w:val="clear" w:color="auto" w:fill="auto"/>
            <w:noWrap/>
            <w:hideMark/>
          </w:tcPr>
          <w:p w14:paraId="367D3891" w14:textId="145DF4E3"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single" w:sz="4" w:space="0" w:color="auto"/>
              <w:left w:val="nil"/>
              <w:bottom w:val="single" w:sz="4" w:space="0" w:color="auto"/>
              <w:right w:val="single" w:sz="4" w:space="0" w:color="auto"/>
            </w:tcBorders>
            <w:shd w:val="clear" w:color="auto" w:fill="auto"/>
            <w:noWrap/>
            <w:hideMark/>
          </w:tcPr>
          <w:p w14:paraId="7CEFF5CD"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-30.51</w:t>
            </w:r>
          </w:p>
        </w:tc>
        <w:tc>
          <w:tcPr>
            <w:tcW w:w="549" w:type="pct"/>
            <w:tcBorders>
              <w:top w:val="single" w:sz="4" w:space="0" w:color="auto"/>
              <w:left w:val="nil"/>
              <w:bottom w:val="single" w:sz="4" w:space="0" w:color="auto"/>
              <w:right w:val="single" w:sz="4" w:space="0" w:color="auto"/>
            </w:tcBorders>
            <w:shd w:val="clear" w:color="auto" w:fill="auto"/>
            <w:noWrap/>
            <w:hideMark/>
          </w:tcPr>
          <w:p w14:paraId="1CB5C597"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&lt;0.01*</w:t>
            </w:r>
          </w:p>
        </w:tc>
        <w:tc>
          <w:tcPr>
            <w:tcW w:w="550" w:type="pct"/>
            <w:tcBorders>
              <w:top w:val="single" w:sz="4" w:space="0" w:color="auto"/>
              <w:left w:val="nil"/>
              <w:bottom w:val="single" w:sz="4" w:space="0" w:color="auto"/>
              <w:right w:val="single" w:sz="4" w:space="0" w:color="auto"/>
            </w:tcBorders>
            <w:shd w:val="clear" w:color="auto" w:fill="auto"/>
            <w:noWrap/>
            <w:hideMark/>
          </w:tcPr>
          <w:p w14:paraId="0469FF1C"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-46.21</w:t>
            </w:r>
          </w:p>
        </w:tc>
        <w:tc>
          <w:tcPr>
            <w:tcW w:w="524" w:type="pct"/>
            <w:tcBorders>
              <w:top w:val="single" w:sz="4" w:space="0" w:color="auto"/>
              <w:left w:val="nil"/>
              <w:bottom w:val="single" w:sz="4" w:space="0" w:color="auto"/>
              <w:right w:val="nil"/>
            </w:tcBorders>
            <w:shd w:val="clear" w:color="auto" w:fill="auto"/>
            <w:noWrap/>
            <w:hideMark/>
          </w:tcPr>
          <w:p w14:paraId="716C930F"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-14.80</w:t>
            </w:r>
          </w:p>
        </w:tc>
      </w:tr>
      <w:tr w:rsidR="00952FC2" w:rsidRPr="005D7398" w14:paraId="60BACF92" w14:textId="77777777" w:rsidTr="00952FC2">
        <w:trPr>
          <w:trHeight w:val="300"/>
        </w:trPr>
        <w:tc>
          <w:tcPr>
            <w:tcW w:w="650" w:type="pct"/>
            <w:vMerge/>
            <w:tcBorders>
              <w:left w:val="nil"/>
              <w:right w:val="single" w:sz="4" w:space="0" w:color="auto"/>
            </w:tcBorders>
            <w:shd w:val="clear" w:color="auto" w:fill="auto"/>
            <w:noWrap/>
            <w:hideMark/>
          </w:tcPr>
          <w:p w14:paraId="1703E417" w14:textId="4D423B64"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685" w:type="pct"/>
            <w:vMerge w:val="restart"/>
            <w:tcBorders>
              <w:top w:val="nil"/>
              <w:left w:val="single" w:sz="4" w:space="0" w:color="auto"/>
              <w:bottom w:val="single" w:sz="4" w:space="0" w:color="000000"/>
              <w:right w:val="single" w:sz="4" w:space="0" w:color="auto"/>
            </w:tcBorders>
            <w:shd w:val="clear" w:color="auto" w:fill="auto"/>
            <w:noWrap/>
            <w:hideMark/>
          </w:tcPr>
          <w:p w14:paraId="0B5202FA" w14:textId="017742DC"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m</w:t>
            </w:r>
            <w:r>
              <w:rPr>
                <w:rFonts w:eastAsia="Times New Roman"/>
                <w:color w:val="000000"/>
                <w:sz w:val="22"/>
                <w:szCs w:val="22"/>
                <w:lang w:val="en-MY" w:eastAsia="en-MY"/>
              </w:rPr>
              <w:t>iddle</w:t>
            </w:r>
          </w:p>
        </w:tc>
        <w:tc>
          <w:tcPr>
            <w:tcW w:w="550" w:type="pct"/>
            <w:tcBorders>
              <w:top w:val="nil"/>
              <w:left w:val="nil"/>
              <w:bottom w:val="nil"/>
              <w:right w:val="single" w:sz="4" w:space="0" w:color="auto"/>
            </w:tcBorders>
            <w:shd w:val="clear" w:color="auto" w:fill="auto"/>
            <w:noWrap/>
            <w:hideMark/>
          </w:tcPr>
          <w:p w14:paraId="6448E245" w14:textId="3B5BD283"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Young</w:t>
            </w:r>
          </w:p>
        </w:tc>
        <w:tc>
          <w:tcPr>
            <w:tcW w:w="707" w:type="pct"/>
            <w:tcBorders>
              <w:top w:val="nil"/>
              <w:left w:val="nil"/>
              <w:bottom w:val="nil"/>
              <w:right w:val="single" w:sz="4" w:space="0" w:color="auto"/>
            </w:tcBorders>
            <w:shd w:val="clear" w:color="auto" w:fill="auto"/>
            <w:noWrap/>
            <w:hideMark/>
          </w:tcPr>
          <w:p w14:paraId="5B1D6CC6" w14:textId="2A01E65D"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nil"/>
              <w:left w:val="nil"/>
              <w:bottom w:val="nil"/>
              <w:right w:val="single" w:sz="4" w:space="0" w:color="auto"/>
            </w:tcBorders>
            <w:shd w:val="clear" w:color="auto" w:fill="auto"/>
            <w:noWrap/>
            <w:hideMark/>
          </w:tcPr>
          <w:p w14:paraId="12E2BD80"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-34.3</w:t>
            </w:r>
          </w:p>
        </w:tc>
        <w:tc>
          <w:tcPr>
            <w:tcW w:w="549" w:type="pct"/>
            <w:tcBorders>
              <w:top w:val="nil"/>
              <w:left w:val="nil"/>
              <w:bottom w:val="nil"/>
              <w:right w:val="single" w:sz="4" w:space="0" w:color="auto"/>
            </w:tcBorders>
            <w:shd w:val="clear" w:color="auto" w:fill="auto"/>
            <w:noWrap/>
            <w:hideMark/>
          </w:tcPr>
          <w:p w14:paraId="1F8C9B9D"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&lt;0.01*</w:t>
            </w:r>
          </w:p>
        </w:tc>
        <w:tc>
          <w:tcPr>
            <w:tcW w:w="550" w:type="pct"/>
            <w:tcBorders>
              <w:top w:val="nil"/>
              <w:left w:val="nil"/>
              <w:bottom w:val="nil"/>
              <w:right w:val="single" w:sz="4" w:space="0" w:color="auto"/>
            </w:tcBorders>
            <w:shd w:val="clear" w:color="auto" w:fill="auto"/>
            <w:noWrap/>
            <w:hideMark/>
          </w:tcPr>
          <w:p w14:paraId="703A8DC7"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-51.00</w:t>
            </w:r>
          </w:p>
        </w:tc>
        <w:tc>
          <w:tcPr>
            <w:tcW w:w="524" w:type="pct"/>
            <w:tcBorders>
              <w:top w:val="nil"/>
              <w:left w:val="nil"/>
              <w:bottom w:val="nil"/>
              <w:right w:val="nil"/>
            </w:tcBorders>
            <w:shd w:val="clear" w:color="auto" w:fill="auto"/>
            <w:noWrap/>
            <w:hideMark/>
          </w:tcPr>
          <w:p w14:paraId="115E10E5"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-17.52</w:t>
            </w:r>
          </w:p>
        </w:tc>
      </w:tr>
      <w:tr w:rsidR="00952FC2" w:rsidRPr="005D7398" w14:paraId="4B5526A5" w14:textId="77777777" w:rsidTr="00952FC2">
        <w:trPr>
          <w:trHeight w:val="300"/>
        </w:trPr>
        <w:tc>
          <w:tcPr>
            <w:tcW w:w="650" w:type="pct"/>
            <w:vMerge/>
            <w:tcBorders>
              <w:left w:val="nil"/>
              <w:right w:val="single" w:sz="4" w:space="0" w:color="auto"/>
            </w:tcBorders>
            <w:shd w:val="clear" w:color="auto" w:fill="auto"/>
            <w:noWrap/>
            <w:hideMark/>
          </w:tcPr>
          <w:p w14:paraId="79B9FE95" w14:textId="0DD75055"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685" w:type="pct"/>
            <w:vMerge/>
            <w:tcBorders>
              <w:top w:val="nil"/>
              <w:left w:val="single" w:sz="4" w:space="0" w:color="auto"/>
              <w:bottom w:val="single" w:sz="4" w:space="0" w:color="000000"/>
              <w:right w:val="single" w:sz="4" w:space="0" w:color="auto"/>
            </w:tcBorders>
            <w:hideMark/>
          </w:tcPr>
          <w:p w14:paraId="6F68A591" w14:textId="77777777"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550" w:type="pct"/>
            <w:tcBorders>
              <w:top w:val="nil"/>
              <w:left w:val="nil"/>
              <w:bottom w:val="single" w:sz="4" w:space="0" w:color="auto"/>
              <w:right w:val="single" w:sz="4" w:space="0" w:color="auto"/>
            </w:tcBorders>
            <w:shd w:val="clear" w:color="auto" w:fill="auto"/>
            <w:noWrap/>
            <w:hideMark/>
          </w:tcPr>
          <w:p w14:paraId="1CA4AD3B" w14:textId="369EBAA3"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Middle</w:t>
            </w:r>
          </w:p>
        </w:tc>
        <w:tc>
          <w:tcPr>
            <w:tcW w:w="707" w:type="pct"/>
            <w:tcBorders>
              <w:top w:val="nil"/>
              <w:left w:val="nil"/>
              <w:bottom w:val="single" w:sz="4" w:space="0" w:color="auto"/>
              <w:right w:val="single" w:sz="4" w:space="0" w:color="auto"/>
            </w:tcBorders>
            <w:shd w:val="clear" w:color="auto" w:fill="auto"/>
            <w:noWrap/>
            <w:hideMark/>
          </w:tcPr>
          <w:p w14:paraId="74966628" w14:textId="271BA689"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nil"/>
              <w:left w:val="nil"/>
              <w:bottom w:val="single" w:sz="4" w:space="0" w:color="auto"/>
              <w:right w:val="single" w:sz="4" w:space="0" w:color="auto"/>
            </w:tcBorders>
            <w:shd w:val="clear" w:color="auto" w:fill="auto"/>
            <w:noWrap/>
            <w:hideMark/>
          </w:tcPr>
          <w:p w14:paraId="48D9EF70"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-18.9</w:t>
            </w:r>
          </w:p>
        </w:tc>
        <w:tc>
          <w:tcPr>
            <w:tcW w:w="549" w:type="pct"/>
            <w:tcBorders>
              <w:top w:val="nil"/>
              <w:left w:val="nil"/>
              <w:bottom w:val="single" w:sz="4" w:space="0" w:color="auto"/>
              <w:right w:val="single" w:sz="4" w:space="0" w:color="auto"/>
            </w:tcBorders>
            <w:shd w:val="clear" w:color="auto" w:fill="auto"/>
            <w:noWrap/>
            <w:hideMark/>
          </w:tcPr>
          <w:p w14:paraId="6BC36C88"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0.02*</w:t>
            </w:r>
          </w:p>
        </w:tc>
        <w:tc>
          <w:tcPr>
            <w:tcW w:w="550" w:type="pct"/>
            <w:tcBorders>
              <w:top w:val="nil"/>
              <w:left w:val="nil"/>
              <w:bottom w:val="single" w:sz="4" w:space="0" w:color="auto"/>
              <w:right w:val="single" w:sz="4" w:space="0" w:color="auto"/>
            </w:tcBorders>
            <w:shd w:val="clear" w:color="auto" w:fill="auto"/>
            <w:noWrap/>
            <w:hideMark/>
          </w:tcPr>
          <w:p w14:paraId="43279D3C"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-35.63</w:t>
            </w:r>
          </w:p>
        </w:tc>
        <w:tc>
          <w:tcPr>
            <w:tcW w:w="524" w:type="pct"/>
            <w:tcBorders>
              <w:top w:val="nil"/>
              <w:left w:val="nil"/>
              <w:bottom w:val="single" w:sz="4" w:space="0" w:color="auto"/>
              <w:right w:val="nil"/>
            </w:tcBorders>
            <w:shd w:val="clear" w:color="auto" w:fill="auto"/>
            <w:noWrap/>
            <w:hideMark/>
          </w:tcPr>
          <w:p w14:paraId="61C7DC23"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-2.14</w:t>
            </w:r>
          </w:p>
        </w:tc>
      </w:tr>
      <w:tr w:rsidR="00952FC2" w:rsidRPr="005D7398" w14:paraId="083F9223" w14:textId="77777777" w:rsidTr="00952FC2">
        <w:trPr>
          <w:trHeight w:val="300"/>
        </w:trPr>
        <w:tc>
          <w:tcPr>
            <w:tcW w:w="650" w:type="pct"/>
            <w:vMerge/>
            <w:tcBorders>
              <w:left w:val="nil"/>
              <w:right w:val="single" w:sz="4" w:space="0" w:color="auto"/>
            </w:tcBorders>
            <w:shd w:val="clear" w:color="auto" w:fill="auto"/>
            <w:noWrap/>
            <w:hideMark/>
          </w:tcPr>
          <w:p w14:paraId="1CB8726B" w14:textId="35FFF196"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685" w:type="pct"/>
            <w:vMerge w:val="restart"/>
            <w:tcBorders>
              <w:top w:val="nil"/>
              <w:left w:val="single" w:sz="4" w:space="0" w:color="auto"/>
              <w:bottom w:val="single" w:sz="4" w:space="0" w:color="000000"/>
              <w:right w:val="single" w:sz="4" w:space="0" w:color="auto"/>
            </w:tcBorders>
            <w:shd w:val="clear" w:color="auto" w:fill="auto"/>
            <w:noWrap/>
            <w:hideMark/>
          </w:tcPr>
          <w:p w14:paraId="6B0A2A9E"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largest</w:t>
            </w:r>
          </w:p>
        </w:tc>
        <w:tc>
          <w:tcPr>
            <w:tcW w:w="550" w:type="pct"/>
            <w:tcBorders>
              <w:top w:val="nil"/>
              <w:left w:val="nil"/>
              <w:bottom w:val="nil"/>
              <w:right w:val="single" w:sz="4" w:space="0" w:color="auto"/>
            </w:tcBorders>
            <w:shd w:val="clear" w:color="auto" w:fill="auto"/>
            <w:noWrap/>
            <w:hideMark/>
          </w:tcPr>
          <w:p w14:paraId="0011CEA3" w14:textId="4FEFABDE"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Young</w:t>
            </w:r>
          </w:p>
        </w:tc>
        <w:tc>
          <w:tcPr>
            <w:tcW w:w="707" w:type="pct"/>
            <w:tcBorders>
              <w:top w:val="nil"/>
              <w:left w:val="nil"/>
              <w:bottom w:val="nil"/>
              <w:right w:val="single" w:sz="4" w:space="0" w:color="auto"/>
            </w:tcBorders>
            <w:shd w:val="clear" w:color="auto" w:fill="auto"/>
            <w:noWrap/>
            <w:hideMark/>
          </w:tcPr>
          <w:p w14:paraId="4630F198" w14:textId="000A6A74"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Middle</w:t>
            </w:r>
          </w:p>
        </w:tc>
        <w:tc>
          <w:tcPr>
            <w:tcW w:w="785" w:type="pct"/>
            <w:tcBorders>
              <w:top w:val="nil"/>
              <w:left w:val="nil"/>
              <w:bottom w:val="nil"/>
              <w:right w:val="single" w:sz="4" w:space="0" w:color="auto"/>
            </w:tcBorders>
            <w:shd w:val="clear" w:color="auto" w:fill="auto"/>
            <w:noWrap/>
            <w:hideMark/>
          </w:tcPr>
          <w:p w14:paraId="5EB13EC4"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-22.9</w:t>
            </w:r>
          </w:p>
        </w:tc>
        <w:tc>
          <w:tcPr>
            <w:tcW w:w="549" w:type="pct"/>
            <w:tcBorders>
              <w:top w:val="nil"/>
              <w:left w:val="nil"/>
              <w:bottom w:val="nil"/>
              <w:right w:val="single" w:sz="4" w:space="0" w:color="auto"/>
            </w:tcBorders>
            <w:shd w:val="clear" w:color="auto" w:fill="auto"/>
            <w:noWrap/>
            <w:hideMark/>
          </w:tcPr>
          <w:p w14:paraId="50C1D7EB"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0.02*</w:t>
            </w:r>
          </w:p>
        </w:tc>
        <w:tc>
          <w:tcPr>
            <w:tcW w:w="550" w:type="pct"/>
            <w:tcBorders>
              <w:top w:val="nil"/>
              <w:left w:val="nil"/>
              <w:bottom w:val="nil"/>
              <w:right w:val="single" w:sz="4" w:space="0" w:color="auto"/>
            </w:tcBorders>
            <w:shd w:val="clear" w:color="auto" w:fill="auto"/>
            <w:noWrap/>
            <w:hideMark/>
          </w:tcPr>
          <w:p w14:paraId="37852FBC"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-42.57</w:t>
            </w:r>
          </w:p>
        </w:tc>
        <w:tc>
          <w:tcPr>
            <w:tcW w:w="524" w:type="pct"/>
            <w:tcBorders>
              <w:top w:val="nil"/>
              <w:left w:val="nil"/>
              <w:bottom w:val="nil"/>
              <w:right w:val="nil"/>
            </w:tcBorders>
            <w:shd w:val="clear" w:color="auto" w:fill="auto"/>
            <w:noWrap/>
            <w:hideMark/>
          </w:tcPr>
          <w:p w14:paraId="0B84FF37"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-3.21</w:t>
            </w:r>
          </w:p>
        </w:tc>
      </w:tr>
      <w:tr w:rsidR="00952FC2" w:rsidRPr="005D7398" w14:paraId="2BDEC9FA" w14:textId="77777777" w:rsidTr="00952FC2">
        <w:trPr>
          <w:trHeight w:val="300"/>
        </w:trPr>
        <w:tc>
          <w:tcPr>
            <w:tcW w:w="650" w:type="pct"/>
            <w:vMerge/>
            <w:tcBorders>
              <w:left w:val="nil"/>
              <w:bottom w:val="single" w:sz="4" w:space="0" w:color="auto"/>
              <w:right w:val="single" w:sz="4" w:space="0" w:color="auto"/>
            </w:tcBorders>
            <w:shd w:val="clear" w:color="auto" w:fill="auto"/>
            <w:noWrap/>
            <w:hideMark/>
          </w:tcPr>
          <w:p w14:paraId="09D60230" w14:textId="139EEF2F"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685" w:type="pct"/>
            <w:vMerge/>
            <w:tcBorders>
              <w:top w:val="nil"/>
              <w:left w:val="single" w:sz="4" w:space="0" w:color="auto"/>
              <w:bottom w:val="single" w:sz="4" w:space="0" w:color="000000"/>
              <w:right w:val="single" w:sz="4" w:space="0" w:color="auto"/>
            </w:tcBorders>
            <w:hideMark/>
          </w:tcPr>
          <w:p w14:paraId="721EAB20" w14:textId="77777777"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550" w:type="pct"/>
            <w:tcBorders>
              <w:top w:val="nil"/>
              <w:left w:val="nil"/>
              <w:bottom w:val="single" w:sz="4" w:space="0" w:color="auto"/>
              <w:right w:val="single" w:sz="4" w:space="0" w:color="auto"/>
            </w:tcBorders>
            <w:shd w:val="clear" w:color="auto" w:fill="auto"/>
            <w:noWrap/>
            <w:hideMark/>
          </w:tcPr>
          <w:p w14:paraId="1D97D39A" w14:textId="5E565A94" w:rsidR="00952FC2" w:rsidRPr="005D7398" w:rsidRDefault="00952FC2" w:rsidP="00952FC2">
            <w:pPr>
              <w:spacing w:before="0" w:after="0" w:line="240" w:lineRule="auto"/>
              <w:jc w:val="center"/>
              <w:rPr>
                <w:rFonts w:eastAsia="Times New Roman"/>
                <w:color w:val="000000"/>
                <w:sz w:val="22"/>
                <w:szCs w:val="22"/>
                <w:lang w:val="en-MY" w:eastAsia="en-MY"/>
              </w:rPr>
            </w:pPr>
          </w:p>
        </w:tc>
        <w:tc>
          <w:tcPr>
            <w:tcW w:w="707" w:type="pct"/>
            <w:tcBorders>
              <w:top w:val="nil"/>
              <w:left w:val="nil"/>
              <w:bottom w:val="single" w:sz="4" w:space="0" w:color="auto"/>
              <w:right w:val="single" w:sz="4" w:space="0" w:color="auto"/>
            </w:tcBorders>
            <w:shd w:val="clear" w:color="auto" w:fill="auto"/>
            <w:noWrap/>
            <w:hideMark/>
          </w:tcPr>
          <w:p w14:paraId="649D80DA" w14:textId="6C46B2C3" w:rsidR="00952FC2"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nil"/>
              <w:left w:val="nil"/>
              <w:bottom w:val="single" w:sz="4" w:space="0" w:color="auto"/>
              <w:right w:val="single" w:sz="4" w:space="0" w:color="auto"/>
            </w:tcBorders>
            <w:shd w:val="clear" w:color="auto" w:fill="auto"/>
            <w:noWrap/>
            <w:hideMark/>
          </w:tcPr>
          <w:p w14:paraId="09651719"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-38.9</w:t>
            </w:r>
          </w:p>
        </w:tc>
        <w:tc>
          <w:tcPr>
            <w:tcW w:w="549" w:type="pct"/>
            <w:tcBorders>
              <w:top w:val="nil"/>
              <w:left w:val="nil"/>
              <w:bottom w:val="single" w:sz="4" w:space="0" w:color="auto"/>
              <w:right w:val="single" w:sz="4" w:space="0" w:color="auto"/>
            </w:tcBorders>
            <w:shd w:val="clear" w:color="auto" w:fill="auto"/>
            <w:noWrap/>
            <w:hideMark/>
          </w:tcPr>
          <w:p w14:paraId="0633BCC7"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&lt;0.01*</w:t>
            </w:r>
          </w:p>
        </w:tc>
        <w:tc>
          <w:tcPr>
            <w:tcW w:w="550" w:type="pct"/>
            <w:tcBorders>
              <w:top w:val="nil"/>
              <w:left w:val="nil"/>
              <w:bottom w:val="single" w:sz="4" w:space="0" w:color="auto"/>
              <w:right w:val="single" w:sz="4" w:space="0" w:color="auto"/>
            </w:tcBorders>
            <w:shd w:val="clear" w:color="auto" w:fill="auto"/>
            <w:noWrap/>
            <w:hideMark/>
          </w:tcPr>
          <w:p w14:paraId="09DDD598"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-58.60</w:t>
            </w:r>
          </w:p>
        </w:tc>
        <w:tc>
          <w:tcPr>
            <w:tcW w:w="524" w:type="pct"/>
            <w:tcBorders>
              <w:top w:val="nil"/>
              <w:left w:val="nil"/>
              <w:bottom w:val="single" w:sz="4" w:space="0" w:color="auto"/>
              <w:right w:val="nil"/>
            </w:tcBorders>
            <w:shd w:val="clear" w:color="auto" w:fill="auto"/>
            <w:noWrap/>
            <w:hideMark/>
          </w:tcPr>
          <w:p w14:paraId="1E57DDA5" w14:textId="77777777" w:rsidR="00952FC2" w:rsidRPr="005D7398" w:rsidRDefault="00952FC2"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-19.24</w:t>
            </w:r>
          </w:p>
        </w:tc>
      </w:tr>
      <w:tr w:rsidR="006F1D69" w:rsidRPr="005D7398" w14:paraId="60DAF2F5" w14:textId="77777777" w:rsidTr="00952FC2">
        <w:trPr>
          <w:trHeight w:val="300"/>
        </w:trPr>
        <w:tc>
          <w:tcPr>
            <w:tcW w:w="650" w:type="pct"/>
            <w:vMerge w:val="restart"/>
            <w:tcBorders>
              <w:top w:val="nil"/>
              <w:left w:val="nil"/>
              <w:right w:val="single" w:sz="4" w:space="0" w:color="auto"/>
            </w:tcBorders>
            <w:shd w:val="clear" w:color="auto" w:fill="auto"/>
            <w:noWrap/>
            <w:hideMark/>
          </w:tcPr>
          <w:p w14:paraId="1CF736CB"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Peak Velocity</w:t>
            </w:r>
          </w:p>
        </w:tc>
        <w:tc>
          <w:tcPr>
            <w:tcW w:w="685" w:type="pct"/>
            <w:vMerge w:val="restart"/>
            <w:tcBorders>
              <w:top w:val="nil"/>
              <w:left w:val="single" w:sz="4" w:space="0" w:color="auto"/>
              <w:bottom w:val="single" w:sz="4" w:space="0" w:color="000000"/>
              <w:right w:val="single" w:sz="4" w:space="0" w:color="auto"/>
            </w:tcBorders>
            <w:shd w:val="clear" w:color="auto" w:fill="auto"/>
            <w:noWrap/>
            <w:hideMark/>
          </w:tcPr>
          <w:p w14:paraId="52FDBB59"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smallest</w:t>
            </w:r>
          </w:p>
        </w:tc>
        <w:tc>
          <w:tcPr>
            <w:tcW w:w="550" w:type="pct"/>
            <w:tcBorders>
              <w:top w:val="nil"/>
              <w:left w:val="nil"/>
              <w:bottom w:val="nil"/>
              <w:right w:val="single" w:sz="4" w:space="0" w:color="auto"/>
            </w:tcBorders>
            <w:shd w:val="clear" w:color="auto" w:fill="auto"/>
            <w:noWrap/>
            <w:hideMark/>
          </w:tcPr>
          <w:p w14:paraId="6B09289C" w14:textId="476583FE" w:rsidR="006F1D69" w:rsidRPr="005D7398" w:rsidRDefault="006F1D69" w:rsidP="006F1D69">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Young</w:t>
            </w:r>
          </w:p>
        </w:tc>
        <w:tc>
          <w:tcPr>
            <w:tcW w:w="707" w:type="pct"/>
            <w:tcBorders>
              <w:top w:val="nil"/>
              <w:left w:val="nil"/>
              <w:bottom w:val="nil"/>
              <w:right w:val="single" w:sz="4" w:space="0" w:color="auto"/>
            </w:tcBorders>
            <w:shd w:val="clear" w:color="auto" w:fill="auto"/>
            <w:noWrap/>
            <w:hideMark/>
          </w:tcPr>
          <w:p w14:paraId="5967DC5C" w14:textId="2932D34F" w:rsidR="006F1D69" w:rsidRPr="005D7398" w:rsidRDefault="006F1D69" w:rsidP="006F1D69">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Middle</w:t>
            </w:r>
          </w:p>
        </w:tc>
        <w:tc>
          <w:tcPr>
            <w:tcW w:w="785" w:type="pct"/>
            <w:tcBorders>
              <w:top w:val="nil"/>
              <w:left w:val="nil"/>
              <w:bottom w:val="nil"/>
              <w:right w:val="single" w:sz="4" w:space="0" w:color="auto"/>
            </w:tcBorders>
            <w:shd w:val="clear" w:color="auto" w:fill="auto"/>
            <w:noWrap/>
            <w:hideMark/>
          </w:tcPr>
          <w:p w14:paraId="007DA0A6"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-48.9</w:t>
            </w:r>
          </w:p>
        </w:tc>
        <w:tc>
          <w:tcPr>
            <w:tcW w:w="549" w:type="pct"/>
            <w:tcBorders>
              <w:top w:val="nil"/>
              <w:left w:val="nil"/>
              <w:bottom w:val="nil"/>
              <w:right w:val="single" w:sz="4" w:space="0" w:color="auto"/>
            </w:tcBorders>
            <w:shd w:val="clear" w:color="auto" w:fill="auto"/>
            <w:noWrap/>
            <w:hideMark/>
          </w:tcPr>
          <w:p w14:paraId="6E88B101"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&lt;0.01*</w:t>
            </w:r>
          </w:p>
        </w:tc>
        <w:tc>
          <w:tcPr>
            <w:tcW w:w="550" w:type="pct"/>
            <w:tcBorders>
              <w:top w:val="nil"/>
              <w:left w:val="nil"/>
              <w:bottom w:val="nil"/>
              <w:right w:val="single" w:sz="4" w:space="0" w:color="auto"/>
            </w:tcBorders>
            <w:shd w:val="clear" w:color="auto" w:fill="auto"/>
            <w:noWrap/>
            <w:hideMark/>
          </w:tcPr>
          <w:p w14:paraId="0CFB761E"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-84.58</w:t>
            </w:r>
          </w:p>
        </w:tc>
        <w:tc>
          <w:tcPr>
            <w:tcW w:w="524" w:type="pct"/>
            <w:tcBorders>
              <w:top w:val="nil"/>
              <w:left w:val="nil"/>
              <w:bottom w:val="nil"/>
              <w:right w:val="nil"/>
            </w:tcBorders>
            <w:shd w:val="clear" w:color="auto" w:fill="auto"/>
            <w:noWrap/>
            <w:hideMark/>
          </w:tcPr>
          <w:p w14:paraId="25EF1A91"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-13.27</w:t>
            </w:r>
          </w:p>
        </w:tc>
      </w:tr>
      <w:tr w:rsidR="006F1D69" w:rsidRPr="005D7398" w14:paraId="3C0F76E3" w14:textId="77777777" w:rsidTr="00952FC2">
        <w:trPr>
          <w:trHeight w:val="300"/>
        </w:trPr>
        <w:tc>
          <w:tcPr>
            <w:tcW w:w="650" w:type="pct"/>
            <w:vMerge/>
            <w:tcBorders>
              <w:left w:val="nil"/>
              <w:right w:val="single" w:sz="4" w:space="0" w:color="auto"/>
            </w:tcBorders>
            <w:shd w:val="clear" w:color="auto" w:fill="auto"/>
            <w:noWrap/>
            <w:hideMark/>
          </w:tcPr>
          <w:p w14:paraId="4AA78961" w14:textId="1E89C939"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685" w:type="pct"/>
            <w:vMerge/>
            <w:tcBorders>
              <w:top w:val="nil"/>
              <w:left w:val="single" w:sz="4" w:space="0" w:color="auto"/>
              <w:bottom w:val="single" w:sz="4" w:space="0" w:color="000000"/>
              <w:right w:val="single" w:sz="4" w:space="0" w:color="auto"/>
            </w:tcBorders>
            <w:hideMark/>
          </w:tcPr>
          <w:p w14:paraId="184E290E" w14:textId="77777777"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550" w:type="pct"/>
            <w:tcBorders>
              <w:top w:val="nil"/>
              <w:left w:val="nil"/>
              <w:bottom w:val="single" w:sz="4" w:space="0" w:color="auto"/>
              <w:right w:val="single" w:sz="4" w:space="0" w:color="auto"/>
            </w:tcBorders>
            <w:shd w:val="clear" w:color="auto" w:fill="auto"/>
            <w:noWrap/>
            <w:hideMark/>
          </w:tcPr>
          <w:p w14:paraId="0989B743" w14:textId="31DDD7E0"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707" w:type="pct"/>
            <w:tcBorders>
              <w:top w:val="nil"/>
              <w:left w:val="nil"/>
              <w:bottom w:val="single" w:sz="4" w:space="0" w:color="auto"/>
              <w:right w:val="single" w:sz="4" w:space="0" w:color="auto"/>
            </w:tcBorders>
            <w:shd w:val="clear" w:color="auto" w:fill="auto"/>
            <w:noWrap/>
            <w:hideMark/>
          </w:tcPr>
          <w:p w14:paraId="03482929" w14:textId="658121FD" w:rsidR="006F1D69" w:rsidRPr="005D7398" w:rsidRDefault="006F1D69" w:rsidP="006F1D69">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nil"/>
              <w:left w:val="nil"/>
              <w:bottom w:val="single" w:sz="4" w:space="0" w:color="auto"/>
              <w:right w:val="single" w:sz="4" w:space="0" w:color="auto"/>
            </w:tcBorders>
            <w:shd w:val="clear" w:color="auto" w:fill="auto"/>
            <w:noWrap/>
            <w:hideMark/>
          </w:tcPr>
          <w:p w14:paraId="025FB6A1"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-47.6</w:t>
            </w:r>
          </w:p>
        </w:tc>
        <w:tc>
          <w:tcPr>
            <w:tcW w:w="549" w:type="pct"/>
            <w:tcBorders>
              <w:top w:val="nil"/>
              <w:left w:val="nil"/>
              <w:bottom w:val="single" w:sz="4" w:space="0" w:color="auto"/>
              <w:right w:val="single" w:sz="4" w:space="0" w:color="auto"/>
            </w:tcBorders>
            <w:shd w:val="clear" w:color="auto" w:fill="auto"/>
            <w:noWrap/>
            <w:hideMark/>
          </w:tcPr>
          <w:p w14:paraId="2CEE02D4"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0.01*</w:t>
            </w:r>
          </w:p>
        </w:tc>
        <w:tc>
          <w:tcPr>
            <w:tcW w:w="550" w:type="pct"/>
            <w:tcBorders>
              <w:top w:val="nil"/>
              <w:left w:val="nil"/>
              <w:bottom w:val="single" w:sz="4" w:space="0" w:color="auto"/>
              <w:right w:val="single" w:sz="4" w:space="0" w:color="auto"/>
            </w:tcBorders>
            <w:shd w:val="clear" w:color="auto" w:fill="auto"/>
            <w:noWrap/>
            <w:hideMark/>
          </w:tcPr>
          <w:p w14:paraId="41EF3C4D"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-83.26</w:t>
            </w:r>
          </w:p>
        </w:tc>
        <w:tc>
          <w:tcPr>
            <w:tcW w:w="524" w:type="pct"/>
            <w:tcBorders>
              <w:top w:val="nil"/>
              <w:left w:val="nil"/>
              <w:bottom w:val="single" w:sz="4" w:space="0" w:color="auto"/>
              <w:right w:val="nil"/>
            </w:tcBorders>
            <w:shd w:val="clear" w:color="auto" w:fill="auto"/>
            <w:noWrap/>
            <w:hideMark/>
          </w:tcPr>
          <w:p w14:paraId="11E93E80"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-11.96</w:t>
            </w:r>
          </w:p>
        </w:tc>
      </w:tr>
      <w:tr w:rsidR="006F1D69" w:rsidRPr="005D7398" w14:paraId="27C6CC8F" w14:textId="77777777" w:rsidTr="00952FC2">
        <w:trPr>
          <w:trHeight w:val="300"/>
        </w:trPr>
        <w:tc>
          <w:tcPr>
            <w:tcW w:w="650" w:type="pct"/>
            <w:vMerge/>
            <w:tcBorders>
              <w:left w:val="nil"/>
              <w:right w:val="single" w:sz="4" w:space="0" w:color="auto"/>
            </w:tcBorders>
            <w:shd w:val="clear" w:color="auto" w:fill="auto"/>
            <w:noWrap/>
            <w:hideMark/>
          </w:tcPr>
          <w:p w14:paraId="3850B9C2" w14:textId="356896A1"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685" w:type="pct"/>
            <w:vMerge w:val="restart"/>
            <w:tcBorders>
              <w:top w:val="nil"/>
              <w:left w:val="single" w:sz="4" w:space="0" w:color="auto"/>
              <w:bottom w:val="single" w:sz="4" w:space="0" w:color="000000"/>
              <w:right w:val="single" w:sz="4" w:space="0" w:color="auto"/>
            </w:tcBorders>
            <w:shd w:val="clear" w:color="auto" w:fill="auto"/>
            <w:noWrap/>
            <w:hideMark/>
          </w:tcPr>
          <w:p w14:paraId="0BF31269" w14:textId="66FA763A"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m</w:t>
            </w:r>
            <w:r>
              <w:rPr>
                <w:rFonts w:eastAsia="Times New Roman"/>
                <w:color w:val="000000"/>
                <w:sz w:val="22"/>
                <w:szCs w:val="22"/>
                <w:lang w:val="en-MY" w:eastAsia="en-MY"/>
              </w:rPr>
              <w:t>iddle</w:t>
            </w:r>
          </w:p>
        </w:tc>
        <w:tc>
          <w:tcPr>
            <w:tcW w:w="550" w:type="pct"/>
            <w:tcBorders>
              <w:top w:val="nil"/>
              <w:left w:val="nil"/>
              <w:bottom w:val="nil"/>
              <w:right w:val="single" w:sz="4" w:space="0" w:color="auto"/>
            </w:tcBorders>
            <w:shd w:val="clear" w:color="auto" w:fill="auto"/>
            <w:noWrap/>
            <w:hideMark/>
          </w:tcPr>
          <w:p w14:paraId="0715EBD6" w14:textId="1C871644" w:rsidR="006F1D69" w:rsidRPr="005D7398" w:rsidRDefault="006F1D69" w:rsidP="006F1D69">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Young</w:t>
            </w:r>
          </w:p>
        </w:tc>
        <w:tc>
          <w:tcPr>
            <w:tcW w:w="707" w:type="pct"/>
            <w:tcBorders>
              <w:top w:val="nil"/>
              <w:left w:val="nil"/>
              <w:bottom w:val="nil"/>
              <w:right w:val="single" w:sz="4" w:space="0" w:color="auto"/>
            </w:tcBorders>
            <w:shd w:val="clear" w:color="auto" w:fill="auto"/>
            <w:noWrap/>
            <w:hideMark/>
          </w:tcPr>
          <w:p w14:paraId="6F05323A" w14:textId="2549770D" w:rsidR="006F1D69" w:rsidRPr="005D7398" w:rsidRDefault="006F1D69" w:rsidP="006F1D69">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Middle</w:t>
            </w:r>
          </w:p>
        </w:tc>
        <w:tc>
          <w:tcPr>
            <w:tcW w:w="785" w:type="pct"/>
            <w:tcBorders>
              <w:top w:val="nil"/>
              <w:left w:val="nil"/>
              <w:bottom w:val="nil"/>
              <w:right w:val="single" w:sz="4" w:space="0" w:color="auto"/>
            </w:tcBorders>
            <w:shd w:val="clear" w:color="auto" w:fill="auto"/>
            <w:noWrap/>
            <w:hideMark/>
          </w:tcPr>
          <w:p w14:paraId="3564D1D5"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-46.8</w:t>
            </w:r>
          </w:p>
        </w:tc>
        <w:tc>
          <w:tcPr>
            <w:tcW w:w="549" w:type="pct"/>
            <w:tcBorders>
              <w:top w:val="nil"/>
              <w:left w:val="nil"/>
              <w:bottom w:val="nil"/>
              <w:right w:val="single" w:sz="4" w:space="0" w:color="auto"/>
            </w:tcBorders>
            <w:shd w:val="clear" w:color="auto" w:fill="auto"/>
            <w:noWrap/>
            <w:hideMark/>
          </w:tcPr>
          <w:p w14:paraId="77D2AE78"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0.01*</w:t>
            </w:r>
          </w:p>
        </w:tc>
        <w:tc>
          <w:tcPr>
            <w:tcW w:w="550" w:type="pct"/>
            <w:tcBorders>
              <w:top w:val="nil"/>
              <w:left w:val="nil"/>
              <w:bottom w:val="nil"/>
              <w:right w:val="single" w:sz="4" w:space="0" w:color="auto"/>
            </w:tcBorders>
            <w:shd w:val="clear" w:color="auto" w:fill="auto"/>
            <w:noWrap/>
            <w:hideMark/>
          </w:tcPr>
          <w:p w14:paraId="687C267B"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-85.95</w:t>
            </w:r>
          </w:p>
        </w:tc>
        <w:tc>
          <w:tcPr>
            <w:tcW w:w="524" w:type="pct"/>
            <w:tcBorders>
              <w:top w:val="nil"/>
              <w:left w:val="nil"/>
              <w:bottom w:val="nil"/>
              <w:right w:val="nil"/>
            </w:tcBorders>
            <w:shd w:val="clear" w:color="auto" w:fill="auto"/>
            <w:noWrap/>
            <w:hideMark/>
          </w:tcPr>
          <w:p w14:paraId="7DDD244E"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-7.73</w:t>
            </w:r>
          </w:p>
        </w:tc>
      </w:tr>
      <w:tr w:rsidR="006F1D69" w:rsidRPr="005D7398" w14:paraId="5FE47E86" w14:textId="77777777" w:rsidTr="00952FC2">
        <w:trPr>
          <w:trHeight w:val="300"/>
        </w:trPr>
        <w:tc>
          <w:tcPr>
            <w:tcW w:w="650" w:type="pct"/>
            <w:vMerge/>
            <w:tcBorders>
              <w:left w:val="nil"/>
              <w:bottom w:val="single" w:sz="4" w:space="0" w:color="auto"/>
              <w:right w:val="single" w:sz="4" w:space="0" w:color="auto"/>
            </w:tcBorders>
            <w:shd w:val="clear" w:color="auto" w:fill="auto"/>
            <w:noWrap/>
            <w:hideMark/>
          </w:tcPr>
          <w:p w14:paraId="10A2461F" w14:textId="3976B49A"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685" w:type="pct"/>
            <w:vMerge/>
            <w:tcBorders>
              <w:top w:val="nil"/>
              <w:left w:val="single" w:sz="4" w:space="0" w:color="auto"/>
              <w:bottom w:val="single" w:sz="4" w:space="0" w:color="000000"/>
              <w:right w:val="single" w:sz="4" w:space="0" w:color="auto"/>
            </w:tcBorders>
            <w:hideMark/>
          </w:tcPr>
          <w:p w14:paraId="3C68C145" w14:textId="77777777"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550" w:type="pct"/>
            <w:tcBorders>
              <w:top w:val="nil"/>
              <w:left w:val="nil"/>
              <w:bottom w:val="single" w:sz="4" w:space="0" w:color="auto"/>
              <w:right w:val="single" w:sz="4" w:space="0" w:color="auto"/>
            </w:tcBorders>
            <w:shd w:val="clear" w:color="auto" w:fill="auto"/>
            <w:noWrap/>
            <w:hideMark/>
          </w:tcPr>
          <w:p w14:paraId="19CB3BC7" w14:textId="26AF8CBC" w:rsidR="006F1D69" w:rsidRPr="005D7398" w:rsidRDefault="006F1D69" w:rsidP="006F1D69">
            <w:pPr>
              <w:spacing w:before="0" w:after="0" w:line="240" w:lineRule="auto"/>
              <w:jc w:val="center"/>
              <w:rPr>
                <w:rFonts w:eastAsia="Times New Roman"/>
                <w:color w:val="000000"/>
                <w:sz w:val="22"/>
                <w:szCs w:val="22"/>
                <w:lang w:val="en-MY" w:eastAsia="en-MY"/>
              </w:rPr>
            </w:pPr>
          </w:p>
        </w:tc>
        <w:tc>
          <w:tcPr>
            <w:tcW w:w="707" w:type="pct"/>
            <w:tcBorders>
              <w:top w:val="nil"/>
              <w:left w:val="nil"/>
              <w:bottom w:val="single" w:sz="4" w:space="0" w:color="auto"/>
              <w:right w:val="single" w:sz="4" w:space="0" w:color="auto"/>
            </w:tcBorders>
            <w:shd w:val="clear" w:color="auto" w:fill="auto"/>
            <w:noWrap/>
            <w:hideMark/>
          </w:tcPr>
          <w:p w14:paraId="24C0EE40" w14:textId="6CE121AA" w:rsidR="006F1D69" w:rsidRPr="005D7398" w:rsidRDefault="006F1D69" w:rsidP="006F1D69">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nil"/>
              <w:left w:val="nil"/>
              <w:bottom w:val="single" w:sz="4" w:space="0" w:color="auto"/>
              <w:right w:val="single" w:sz="4" w:space="0" w:color="auto"/>
            </w:tcBorders>
            <w:shd w:val="clear" w:color="auto" w:fill="auto"/>
            <w:noWrap/>
            <w:hideMark/>
          </w:tcPr>
          <w:p w14:paraId="1880E67E"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-50.2</w:t>
            </w:r>
          </w:p>
        </w:tc>
        <w:tc>
          <w:tcPr>
            <w:tcW w:w="549" w:type="pct"/>
            <w:tcBorders>
              <w:top w:val="nil"/>
              <w:left w:val="nil"/>
              <w:bottom w:val="single" w:sz="4" w:space="0" w:color="auto"/>
              <w:right w:val="single" w:sz="4" w:space="0" w:color="auto"/>
            </w:tcBorders>
            <w:shd w:val="clear" w:color="auto" w:fill="auto"/>
            <w:noWrap/>
            <w:hideMark/>
          </w:tcPr>
          <w:p w14:paraId="24173010"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0.01*</w:t>
            </w:r>
          </w:p>
        </w:tc>
        <w:tc>
          <w:tcPr>
            <w:tcW w:w="550" w:type="pct"/>
            <w:tcBorders>
              <w:top w:val="nil"/>
              <w:left w:val="nil"/>
              <w:bottom w:val="single" w:sz="4" w:space="0" w:color="auto"/>
              <w:right w:val="single" w:sz="4" w:space="0" w:color="auto"/>
            </w:tcBorders>
            <w:shd w:val="clear" w:color="auto" w:fill="auto"/>
            <w:noWrap/>
            <w:hideMark/>
          </w:tcPr>
          <w:p w14:paraId="289BA9CF"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-89.26</w:t>
            </w:r>
          </w:p>
        </w:tc>
        <w:tc>
          <w:tcPr>
            <w:tcW w:w="524" w:type="pct"/>
            <w:tcBorders>
              <w:top w:val="nil"/>
              <w:left w:val="nil"/>
              <w:bottom w:val="single" w:sz="4" w:space="0" w:color="auto"/>
              <w:right w:val="nil"/>
            </w:tcBorders>
            <w:shd w:val="clear" w:color="auto" w:fill="auto"/>
            <w:noWrap/>
            <w:hideMark/>
          </w:tcPr>
          <w:p w14:paraId="76CE356D" w14:textId="77777777" w:rsidR="006F1D69" w:rsidRPr="005D7398" w:rsidRDefault="006F1D69" w:rsidP="006F1D69">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-11.04</w:t>
            </w:r>
          </w:p>
        </w:tc>
      </w:tr>
      <w:tr w:rsidR="005D7398" w:rsidRPr="005D7398" w14:paraId="1B986494" w14:textId="77777777" w:rsidTr="00952FC2">
        <w:trPr>
          <w:trHeight w:val="300"/>
        </w:trPr>
        <w:tc>
          <w:tcPr>
            <w:tcW w:w="650" w:type="pct"/>
            <w:tcBorders>
              <w:top w:val="nil"/>
              <w:left w:val="nil"/>
              <w:bottom w:val="single" w:sz="4" w:space="0" w:color="auto"/>
              <w:right w:val="single" w:sz="4" w:space="0" w:color="auto"/>
            </w:tcBorders>
            <w:shd w:val="clear" w:color="auto" w:fill="auto"/>
            <w:noWrap/>
            <w:hideMark/>
          </w:tcPr>
          <w:p w14:paraId="5BD6B21F" w14:textId="77777777" w:rsidR="005D7398" w:rsidRPr="005D7398" w:rsidRDefault="005D7398"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Gain</w:t>
            </w:r>
          </w:p>
        </w:tc>
        <w:tc>
          <w:tcPr>
            <w:tcW w:w="685" w:type="pct"/>
            <w:tcBorders>
              <w:top w:val="nil"/>
              <w:left w:val="nil"/>
              <w:bottom w:val="single" w:sz="4" w:space="0" w:color="auto"/>
              <w:right w:val="single" w:sz="4" w:space="0" w:color="auto"/>
            </w:tcBorders>
            <w:shd w:val="clear" w:color="auto" w:fill="auto"/>
            <w:noWrap/>
            <w:hideMark/>
          </w:tcPr>
          <w:p w14:paraId="567C2820" w14:textId="77777777" w:rsidR="005D7398" w:rsidRPr="005D7398" w:rsidRDefault="005D7398"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largest</w:t>
            </w:r>
          </w:p>
        </w:tc>
        <w:tc>
          <w:tcPr>
            <w:tcW w:w="550" w:type="pct"/>
            <w:tcBorders>
              <w:top w:val="nil"/>
              <w:left w:val="nil"/>
              <w:bottom w:val="single" w:sz="4" w:space="0" w:color="auto"/>
              <w:right w:val="single" w:sz="4" w:space="0" w:color="auto"/>
            </w:tcBorders>
            <w:shd w:val="clear" w:color="auto" w:fill="auto"/>
            <w:noWrap/>
            <w:hideMark/>
          </w:tcPr>
          <w:p w14:paraId="741C3DCC" w14:textId="3E6BFEFF" w:rsidR="005D7398"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Young</w:t>
            </w:r>
          </w:p>
        </w:tc>
        <w:tc>
          <w:tcPr>
            <w:tcW w:w="707" w:type="pct"/>
            <w:tcBorders>
              <w:top w:val="nil"/>
              <w:left w:val="nil"/>
              <w:bottom w:val="single" w:sz="4" w:space="0" w:color="auto"/>
              <w:right w:val="single" w:sz="4" w:space="0" w:color="auto"/>
            </w:tcBorders>
            <w:shd w:val="clear" w:color="auto" w:fill="auto"/>
            <w:noWrap/>
            <w:hideMark/>
          </w:tcPr>
          <w:p w14:paraId="7A7BA3B5" w14:textId="7AEE3608" w:rsidR="005D7398" w:rsidRPr="005D7398" w:rsidRDefault="006F1D69" w:rsidP="00952FC2">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Old</w:t>
            </w:r>
          </w:p>
        </w:tc>
        <w:tc>
          <w:tcPr>
            <w:tcW w:w="785" w:type="pct"/>
            <w:tcBorders>
              <w:top w:val="nil"/>
              <w:left w:val="nil"/>
              <w:bottom w:val="single" w:sz="4" w:space="0" w:color="auto"/>
              <w:right w:val="single" w:sz="4" w:space="0" w:color="auto"/>
            </w:tcBorders>
            <w:shd w:val="clear" w:color="auto" w:fill="auto"/>
            <w:noWrap/>
            <w:hideMark/>
          </w:tcPr>
          <w:p w14:paraId="74444678" w14:textId="77777777" w:rsidR="005D7398" w:rsidRPr="005D7398" w:rsidRDefault="005D7398"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0.07</w:t>
            </w:r>
          </w:p>
        </w:tc>
        <w:tc>
          <w:tcPr>
            <w:tcW w:w="549" w:type="pct"/>
            <w:tcBorders>
              <w:top w:val="nil"/>
              <w:left w:val="nil"/>
              <w:bottom w:val="single" w:sz="4" w:space="0" w:color="auto"/>
              <w:right w:val="single" w:sz="4" w:space="0" w:color="auto"/>
            </w:tcBorders>
            <w:shd w:val="clear" w:color="auto" w:fill="auto"/>
            <w:noWrap/>
            <w:hideMark/>
          </w:tcPr>
          <w:p w14:paraId="7A506333" w14:textId="77777777" w:rsidR="005D7398" w:rsidRPr="005D7398" w:rsidRDefault="005D7398"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0.01*</w:t>
            </w:r>
          </w:p>
        </w:tc>
        <w:tc>
          <w:tcPr>
            <w:tcW w:w="550" w:type="pct"/>
            <w:tcBorders>
              <w:top w:val="nil"/>
              <w:left w:val="nil"/>
              <w:bottom w:val="single" w:sz="4" w:space="0" w:color="auto"/>
              <w:right w:val="single" w:sz="4" w:space="0" w:color="auto"/>
            </w:tcBorders>
            <w:shd w:val="clear" w:color="auto" w:fill="auto"/>
            <w:noWrap/>
            <w:hideMark/>
          </w:tcPr>
          <w:p w14:paraId="78FA943C" w14:textId="77777777" w:rsidR="005D7398" w:rsidRPr="005D7398" w:rsidRDefault="005D7398"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0.02</w:t>
            </w:r>
          </w:p>
        </w:tc>
        <w:tc>
          <w:tcPr>
            <w:tcW w:w="524" w:type="pct"/>
            <w:tcBorders>
              <w:top w:val="nil"/>
              <w:left w:val="nil"/>
              <w:bottom w:val="single" w:sz="4" w:space="0" w:color="auto"/>
              <w:right w:val="nil"/>
            </w:tcBorders>
            <w:shd w:val="clear" w:color="auto" w:fill="auto"/>
            <w:noWrap/>
            <w:hideMark/>
          </w:tcPr>
          <w:p w14:paraId="4015B39D" w14:textId="77777777" w:rsidR="005D7398" w:rsidRPr="005D7398" w:rsidRDefault="005D7398" w:rsidP="00952FC2">
            <w:pPr>
              <w:spacing w:before="0" w:after="0" w:line="240" w:lineRule="auto"/>
              <w:jc w:val="center"/>
              <w:rPr>
                <w:rFonts w:eastAsia="Times New Roman"/>
                <w:color w:val="000000"/>
                <w:sz w:val="22"/>
                <w:szCs w:val="22"/>
                <w:lang w:val="en-MY" w:eastAsia="en-MY"/>
              </w:rPr>
            </w:pPr>
            <w:r w:rsidRPr="005D7398">
              <w:rPr>
                <w:rFonts w:eastAsia="Times New Roman"/>
                <w:color w:val="000000"/>
                <w:sz w:val="22"/>
                <w:szCs w:val="22"/>
                <w:lang w:val="en-MY" w:eastAsia="en-MY"/>
              </w:rPr>
              <w:t>0.13</w:t>
            </w:r>
          </w:p>
        </w:tc>
      </w:tr>
    </w:tbl>
    <w:p w14:paraId="32A4BADE" w14:textId="3A87010C" w:rsidR="006F1D69" w:rsidRDefault="006F1D69" w:rsidP="002A6FE6">
      <w:pPr>
        <w:spacing w:before="0"/>
        <w:jc w:val="center"/>
      </w:pPr>
      <w:r>
        <w:t>*</w:t>
      </w:r>
      <w:r w:rsidR="00EA5FF0">
        <w:t xml:space="preserve">Data are </w:t>
      </w:r>
      <w:r w:rsidR="0016744E">
        <w:t xml:space="preserve">significant at </w:t>
      </w:r>
      <w:r w:rsidRPr="006F1D69">
        <w:rPr>
          <w:i/>
          <w:iCs/>
        </w:rPr>
        <w:t>p</w:t>
      </w:r>
      <w:r>
        <w:t>&lt;0.05</w:t>
      </w:r>
    </w:p>
    <w:p w14:paraId="4C03453A" w14:textId="77777777" w:rsidR="009871A1" w:rsidRDefault="00E71A4A" w:rsidP="006221E2">
      <w:pPr>
        <w:spacing w:before="0" w:after="0"/>
      </w:pPr>
      <w:r w:rsidRPr="009D4627">
        <w:t xml:space="preserve">By pooling the data depending on the degree of target amplitude independent of </w:t>
      </w:r>
      <w:r w:rsidR="00662FC1" w:rsidRPr="009D4627">
        <w:t xml:space="preserve">saccadic </w:t>
      </w:r>
      <w:r w:rsidRPr="009D4627">
        <w:t>direction</w:t>
      </w:r>
      <w:r w:rsidR="00662FC1" w:rsidRPr="009D4627">
        <w:t>s</w:t>
      </w:r>
      <w:r w:rsidRPr="009D4627">
        <w:t xml:space="preserve">, a scatter plot was constructed. Thus, amplitudes of </w:t>
      </w:r>
      <w:r w:rsidR="006B2FA7" w:rsidRPr="009D4627">
        <w:t>±</w:t>
      </w:r>
      <w:r w:rsidRPr="009D4627">
        <w:t>15° were combined into one group, and so on, resulting in three amplitude sizes (</w:t>
      </w:r>
      <w:r w:rsidR="006B2FA7" w:rsidRPr="009D4627">
        <w:t>Figure 3.</w:t>
      </w:r>
      <w:r w:rsidR="00744F79">
        <w:t>5</w:t>
      </w:r>
      <w:r w:rsidRPr="009D4627">
        <w:t>). This enables investigat</w:t>
      </w:r>
      <w:r w:rsidR="00A83C0C">
        <w:t>ion of</w:t>
      </w:r>
      <w:r w:rsidRPr="009D4627">
        <w:t xml:space="preserve"> how ageing affects saccadic variables at various degrees saccadic amplitude in healthy individuals. </w:t>
      </w:r>
    </w:p>
    <w:p w14:paraId="4524DC0C" w14:textId="2F451DB3" w:rsidR="00F91A5C" w:rsidRDefault="00F91A5C" w:rsidP="009871A1">
      <w:r w:rsidRPr="00F91A5C">
        <w:t>The scatterplots reveal that young adults had a shorter horizontal saccadic latency than middle-aged and elderly people</w:t>
      </w:r>
      <w:r w:rsidR="00534119">
        <w:t xml:space="preserve"> for </w:t>
      </w:r>
      <w:r w:rsidR="00811232">
        <w:t xml:space="preserve">all </w:t>
      </w:r>
      <w:r w:rsidR="00534119">
        <w:t>amplitude sizes</w:t>
      </w:r>
      <w:r w:rsidRPr="00F91A5C">
        <w:t>. The condition remained consistent across 72 trials, as evidenced by no apparent negative or positive slope of linear lines</w:t>
      </w:r>
      <w:r w:rsidR="00534119">
        <w:t xml:space="preserve"> (Figure 3.9)</w:t>
      </w:r>
      <w:r w:rsidRPr="00F91A5C">
        <w:t>.</w:t>
      </w:r>
      <w:r w:rsidR="00534119">
        <w:t xml:space="preserve"> </w:t>
      </w:r>
    </w:p>
    <w:p w14:paraId="2F741414" w14:textId="57B19DA3" w:rsidR="00777559" w:rsidRDefault="00777559" w:rsidP="009871A1">
      <w:r w:rsidRPr="00777559">
        <w:t>Furthermore, for all amplitude sizes, young adults exhibit consistently slower peak velocities than middle- and old-aged adults.</w:t>
      </w:r>
      <w:r w:rsidR="00B663AB" w:rsidRPr="00B663AB">
        <w:t xml:space="preserve"> Old age people show an increase in peak velocity from the middle of the test to the end of the 72 trials, while middle-aged adults show a decrease in peak velocity but are still faster than young people</w:t>
      </w:r>
      <w:r w:rsidR="00B663AB">
        <w:t xml:space="preserve"> (Figure 3.10)</w:t>
      </w:r>
      <w:r w:rsidR="00B663AB" w:rsidRPr="00B663AB">
        <w:t>.</w:t>
      </w:r>
    </w:p>
    <w:p w14:paraId="304BA1CC" w14:textId="33F4035D" w:rsidR="00603C09" w:rsidRPr="009D4627" w:rsidRDefault="00B04E83" w:rsidP="009871A1">
      <w:pPr>
        <w:rPr>
          <w:szCs w:val="22"/>
        </w:rPr>
      </w:pPr>
      <w:r w:rsidRPr="009D4627">
        <w:lastRenderedPageBreak/>
        <w:t xml:space="preserve">In addition, </w:t>
      </w:r>
      <w:r w:rsidR="005214D9">
        <w:t>the</w:t>
      </w:r>
      <w:r w:rsidRPr="009D4627">
        <w:t xml:space="preserve"> horizontal saccadic gain </w:t>
      </w:r>
      <w:r w:rsidR="00A83C0C">
        <w:t>was</w:t>
      </w:r>
      <w:r w:rsidR="00662FC1" w:rsidRPr="009D4627">
        <w:t xml:space="preserve"> not </w:t>
      </w:r>
      <w:r w:rsidR="005214D9">
        <w:t>influenced by ageing</w:t>
      </w:r>
      <w:r w:rsidRPr="009D4627">
        <w:t>.</w:t>
      </w:r>
      <w:r w:rsidR="005214D9">
        <w:t xml:space="preserve"> The scatterplots demonstrate that the saccadic gain for all age groups </w:t>
      </w:r>
      <w:r w:rsidR="00EA5FF0">
        <w:t>is</w:t>
      </w:r>
      <w:r w:rsidR="005214D9">
        <w:t xml:space="preserve"> identical to each other at each amplitude size</w:t>
      </w:r>
      <w:r w:rsidR="00F76364">
        <w:t>. However, the gain decreases as the amplitudes increases for all participants (Figure 3.11).</w:t>
      </w:r>
    </w:p>
    <w:tbl>
      <w:tblPr>
        <w:tblStyle w:val="ListTable2"/>
        <w:tblW w:w="5000" w:type="pct"/>
        <w:tblLook w:val="04A0" w:firstRow="1" w:lastRow="0" w:firstColumn="1" w:lastColumn="0" w:noHBand="0" w:noVBand="1"/>
      </w:tblPr>
      <w:tblGrid>
        <w:gridCol w:w="1506"/>
        <w:gridCol w:w="830"/>
        <w:gridCol w:w="6690"/>
      </w:tblGrid>
      <w:tr w:rsidR="009F1900" w:rsidRPr="009D4627" w14:paraId="29F2FF89" w14:textId="77777777" w:rsidTr="009F19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vMerge w:val="restart"/>
            <w:tcBorders>
              <w:right w:val="single" w:sz="4" w:space="0" w:color="auto"/>
            </w:tcBorders>
          </w:tcPr>
          <w:p w14:paraId="71770784" w14:textId="47726906" w:rsidR="009F1900" w:rsidRDefault="009F1900" w:rsidP="00F60B37">
            <w:pPr>
              <w:spacing w:before="0" w:after="0" w:line="240" w:lineRule="auto"/>
              <w:jc w:val="left"/>
              <w:rPr>
                <w:b w:val="0"/>
                <w:bCs w:val="0"/>
              </w:rPr>
            </w:pPr>
            <w:r w:rsidRPr="009D4627">
              <w:t>Horizontal saccadic latency</w:t>
            </w:r>
          </w:p>
          <w:p w14:paraId="0B33E852" w14:textId="77777777" w:rsidR="009F1900" w:rsidRDefault="009F1900" w:rsidP="00F60B37">
            <w:pPr>
              <w:spacing w:before="0" w:after="0" w:line="240" w:lineRule="auto"/>
              <w:jc w:val="left"/>
              <w:rPr>
                <w:b w:val="0"/>
                <w:bCs w:val="0"/>
              </w:rPr>
            </w:pPr>
          </w:p>
          <w:p w14:paraId="33C5531D" w14:textId="6E30F892" w:rsidR="009F1900" w:rsidRPr="009D4627" w:rsidRDefault="009F1900" w:rsidP="00F60B37">
            <w:pPr>
              <w:spacing w:before="0" w:after="0" w:line="240" w:lineRule="auto"/>
              <w:jc w:val="left"/>
            </w:pPr>
            <w:r>
              <w:rPr>
                <w:noProof/>
                <w:lang w:val="en-MY" w:eastAsia="en-MY"/>
              </w:rPr>
              <w:drawing>
                <wp:inline distT="0" distB="0" distL="0" distR="0" wp14:anchorId="67BCF8DE" wp14:editId="4EBB611F">
                  <wp:extent cx="809625" cy="12382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809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7E68442B" w14:textId="5F51DAC5" w:rsidR="009F1900" w:rsidRPr="009D4627" w:rsidRDefault="009F1900" w:rsidP="00F60B37">
            <w:pPr>
              <w:spacing w:before="0" w:after="0" w:line="240" w:lineRule="auto"/>
              <w:jc w:val="left"/>
            </w:pPr>
          </w:p>
        </w:tc>
        <w:tc>
          <w:tcPr>
            <w:tcW w:w="484" w:type="pct"/>
            <w:tcBorders>
              <w:right w:val="single" w:sz="4" w:space="0" w:color="auto"/>
            </w:tcBorders>
          </w:tcPr>
          <w:p w14:paraId="738D173F" w14:textId="5508D0CA" w:rsidR="009F1900" w:rsidRPr="009F1900" w:rsidRDefault="009F1900" w:rsidP="009F190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noProof/>
              </w:rPr>
            </w:pPr>
            <w:r w:rsidRPr="009F1900">
              <w:rPr>
                <w:noProof/>
              </w:rPr>
              <w:t>±5°</w:t>
            </w:r>
          </w:p>
        </w:tc>
        <w:tc>
          <w:tcPr>
            <w:tcW w:w="3731" w:type="pct"/>
            <w:tcBorders>
              <w:left w:val="single" w:sz="4" w:space="0" w:color="auto"/>
            </w:tcBorders>
          </w:tcPr>
          <w:p w14:paraId="46FA8518" w14:textId="78F039E3" w:rsidR="009F1900" w:rsidRPr="009D4627" w:rsidRDefault="00735159" w:rsidP="009F190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1C2E3D95" wp14:editId="799B13FB">
                  <wp:extent cx="3598999" cy="21240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cstate="screen">
                            <a:extLst>
                              <a:ext uri="{28A0092B-C50C-407E-A947-70E740481C1C}">
                                <a14:useLocalDpi xmlns:a14="http://schemas.microsoft.com/office/drawing/2010/main" val="0"/>
                              </a:ext>
                            </a:extLst>
                          </a:blip>
                          <a:srcRect/>
                          <a:stretch>
                            <a:fillRect/>
                          </a:stretch>
                        </pic:blipFill>
                        <pic:spPr bwMode="auto">
                          <a:xfrm>
                            <a:off x="0" y="0"/>
                            <a:ext cx="3598999" cy="2124000"/>
                          </a:xfrm>
                          <a:prstGeom prst="rect">
                            <a:avLst/>
                          </a:prstGeom>
                          <a:noFill/>
                        </pic:spPr>
                      </pic:pic>
                    </a:graphicData>
                  </a:graphic>
                </wp:inline>
              </w:drawing>
            </w:r>
          </w:p>
        </w:tc>
      </w:tr>
      <w:tr w:rsidR="009F1900" w:rsidRPr="009D4627" w14:paraId="4C43574B" w14:textId="77777777" w:rsidTr="009F19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6" w:type="pct"/>
            <w:vMerge/>
            <w:tcBorders>
              <w:right w:val="single" w:sz="4" w:space="0" w:color="auto"/>
            </w:tcBorders>
          </w:tcPr>
          <w:p w14:paraId="18B8C577" w14:textId="77777777" w:rsidR="009F1900" w:rsidRPr="009D4627" w:rsidRDefault="009F1900" w:rsidP="00F60B37">
            <w:pPr>
              <w:spacing w:before="0" w:after="0" w:line="240" w:lineRule="auto"/>
              <w:jc w:val="left"/>
            </w:pPr>
          </w:p>
        </w:tc>
        <w:tc>
          <w:tcPr>
            <w:tcW w:w="484" w:type="pct"/>
            <w:tcBorders>
              <w:right w:val="single" w:sz="4" w:space="0" w:color="auto"/>
            </w:tcBorders>
          </w:tcPr>
          <w:p w14:paraId="54CD93F2" w14:textId="11196A13" w:rsidR="009F1900" w:rsidRPr="009F1900" w:rsidRDefault="009F1900" w:rsidP="009F190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noProof/>
              </w:rPr>
            </w:pPr>
            <w:r w:rsidRPr="009F1900">
              <w:rPr>
                <w:b/>
                <w:bCs/>
                <w:noProof/>
              </w:rPr>
              <w:t>±10°</w:t>
            </w:r>
          </w:p>
        </w:tc>
        <w:tc>
          <w:tcPr>
            <w:tcW w:w="3731" w:type="pct"/>
            <w:tcBorders>
              <w:left w:val="single" w:sz="4" w:space="0" w:color="auto"/>
            </w:tcBorders>
          </w:tcPr>
          <w:p w14:paraId="037C227A" w14:textId="091F6E20" w:rsidR="009F1900" w:rsidRPr="009D4627" w:rsidRDefault="00B94333" w:rsidP="009F1900">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03488A2" wp14:editId="735EBE5D">
                  <wp:extent cx="3598999" cy="2124000"/>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screen">
                            <a:extLst>
                              <a:ext uri="{28A0092B-C50C-407E-A947-70E740481C1C}">
                                <a14:useLocalDpi xmlns:a14="http://schemas.microsoft.com/office/drawing/2010/main" val="0"/>
                              </a:ext>
                            </a:extLst>
                          </a:blip>
                          <a:srcRect/>
                          <a:stretch>
                            <a:fillRect/>
                          </a:stretch>
                        </pic:blipFill>
                        <pic:spPr bwMode="auto">
                          <a:xfrm>
                            <a:off x="0" y="0"/>
                            <a:ext cx="3598999" cy="2124000"/>
                          </a:xfrm>
                          <a:prstGeom prst="rect">
                            <a:avLst/>
                          </a:prstGeom>
                          <a:noFill/>
                        </pic:spPr>
                      </pic:pic>
                    </a:graphicData>
                  </a:graphic>
                </wp:inline>
              </w:drawing>
            </w:r>
          </w:p>
        </w:tc>
      </w:tr>
      <w:tr w:rsidR="009F1900" w:rsidRPr="009D4627" w14:paraId="32DD50D3" w14:textId="77777777" w:rsidTr="009F1900">
        <w:tc>
          <w:tcPr>
            <w:cnfStyle w:val="001000000000" w:firstRow="0" w:lastRow="0" w:firstColumn="1" w:lastColumn="0" w:oddVBand="0" w:evenVBand="0" w:oddHBand="0" w:evenHBand="0" w:firstRowFirstColumn="0" w:firstRowLastColumn="0" w:lastRowFirstColumn="0" w:lastRowLastColumn="0"/>
            <w:tcW w:w="786" w:type="pct"/>
            <w:vMerge/>
            <w:tcBorders>
              <w:right w:val="single" w:sz="4" w:space="0" w:color="auto"/>
            </w:tcBorders>
          </w:tcPr>
          <w:p w14:paraId="4B5AE816" w14:textId="77777777" w:rsidR="009F1900" w:rsidRPr="009D4627" w:rsidRDefault="009F1900" w:rsidP="00F60B37">
            <w:pPr>
              <w:spacing w:before="0" w:after="0" w:line="240" w:lineRule="auto"/>
              <w:jc w:val="left"/>
            </w:pPr>
          </w:p>
        </w:tc>
        <w:tc>
          <w:tcPr>
            <w:tcW w:w="484" w:type="pct"/>
            <w:tcBorders>
              <w:right w:val="single" w:sz="4" w:space="0" w:color="auto"/>
            </w:tcBorders>
          </w:tcPr>
          <w:p w14:paraId="4EA90D00" w14:textId="6DA0623D" w:rsidR="009F1900" w:rsidRPr="009F1900" w:rsidRDefault="009F1900" w:rsidP="009F190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9F1900">
              <w:rPr>
                <w:b/>
                <w:bCs/>
              </w:rPr>
              <w:t>±15°</w:t>
            </w:r>
          </w:p>
        </w:tc>
        <w:tc>
          <w:tcPr>
            <w:tcW w:w="3731" w:type="pct"/>
            <w:tcBorders>
              <w:left w:val="single" w:sz="4" w:space="0" w:color="auto"/>
            </w:tcBorders>
          </w:tcPr>
          <w:p w14:paraId="79865E51" w14:textId="074BE69A" w:rsidR="009F1900" w:rsidRPr="009D4627" w:rsidRDefault="00B94333" w:rsidP="009F1900">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364D4006" wp14:editId="63C0D028">
                  <wp:extent cx="3598999" cy="21240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screen">
                            <a:extLst>
                              <a:ext uri="{28A0092B-C50C-407E-A947-70E740481C1C}">
                                <a14:useLocalDpi xmlns:a14="http://schemas.microsoft.com/office/drawing/2010/main" val="0"/>
                              </a:ext>
                            </a:extLst>
                          </a:blip>
                          <a:srcRect/>
                          <a:stretch>
                            <a:fillRect/>
                          </a:stretch>
                        </pic:blipFill>
                        <pic:spPr bwMode="auto">
                          <a:xfrm>
                            <a:off x="0" y="0"/>
                            <a:ext cx="3598999" cy="2124000"/>
                          </a:xfrm>
                          <a:prstGeom prst="rect">
                            <a:avLst/>
                          </a:prstGeom>
                          <a:noFill/>
                        </pic:spPr>
                      </pic:pic>
                    </a:graphicData>
                  </a:graphic>
                </wp:inline>
              </w:drawing>
            </w:r>
          </w:p>
        </w:tc>
      </w:tr>
    </w:tbl>
    <w:p w14:paraId="16D1277E" w14:textId="11636E0D" w:rsidR="00603C09" w:rsidRDefault="006B2FA7" w:rsidP="00C4130D">
      <w:pPr>
        <w:pStyle w:val="Caption"/>
      </w:pPr>
      <w:bookmarkStart w:id="277" w:name="_Toc98569898"/>
      <w:r w:rsidRPr="009D4627">
        <w:t>Figure 3.</w:t>
      </w:r>
      <w:r w:rsidRPr="009D4627">
        <w:fldChar w:fldCharType="begin"/>
      </w:r>
      <w:r w:rsidRPr="009D4627">
        <w:instrText xml:space="preserve"> SEQ Figure_3. \* ARABIC </w:instrText>
      </w:r>
      <w:r w:rsidRPr="009D4627">
        <w:fldChar w:fldCharType="separate"/>
      </w:r>
      <w:r w:rsidR="00E268F6">
        <w:rPr>
          <w:noProof/>
        </w:rPr>
        <w:t>9</w:t>
      </w:r>
      <w:r w:rsidRPr="009D4627">
        <w:fldChar w:fldCharType="end"/>
      </w:r>
      <w:r w:rsidRPr="009D4627">
        <w:t xml:space="preserve">: </w:t>
      </w:r>
      <w:r w:rsidR="00735159" w:rsidRPr="00735159">
        <w:t xml:space="preserve">The scatterplots show the horizontal saccadic latency of young, middle, and old age groups </w:t>
      </w:r>
      <w:r w:rsidR="009871A1">
        <w:t xml:space="preserve">with 72 saccadic trials </w:t>
      </w:r>
      <w:r w:rsidR="00735159" w:rsidRPr="00735159">
        <w:t>at three pooled saccadic amplitude sizes</w:t>
      </w:r>
      <w:r w:rsidR="00B94333" w:rsidRPr="009D4627">
        <w:t xml:space="preserve"> </w:t>
      </w:r>
      <w:r w:rsidR="00B94333">
        <w:t>(±</w:t>
      </w:r>
      <w:r w:rsidR="00B94333" w:rsidRPr="009D4627">
        <w:t>5</w:t>
      </w:r>
      <w:r w:rsidR="00B94333">
        <w:t xml:space="preserve"> = small</w:t>
      </w:r>
      <w:r w:rsidR="00B94333" w:rsidRPr="009D4627">
        <w:t>, ±10</w:t>
      </w:r>
      <w:r w:rsidR="00B94333">
        <w:t xml:space="preserve"> = medium,</w:t>
      </w:r>
      <w:r w:rsidR="00B94333" w:rsidRPr="009D4627">
        <w:t xml:space="preserve"> and ±15</w:t>
      </w:r>
      <w:r w:rsidR="00B94333">
        <w:t xml:space="preserve"> = large</w:t>
      </w:r>
      <w:r w:rsidR="00B94333" w:rsidRPr="009D4627">
        <w:t>)</w:t>
      </w:r>
      <w:r w:rsidR="009871A1">
        <w:t>.</w:t>
      </w:r>
      <w:bookmarkEnd w:id="277"/>
    </w:p>
    <w:p w14:paraId="15004E49" w14:textId="77777777" w:rsidR="009F1900" w:rsidRDefault="009F1900" w:rsidP="009F1900">
      <w:pPr>
        <w:rPr>
          <w:lang w:val="en-MY" w:eastAsia="en-MY"/>
        </w:rPr>
      </w:pPr>
    </w:p>
    <w:tbl>
      <w:tblPr>
        <w:tblStyle w:val="ListTable2"/>
        <w:tblW w:w="5001" w:type="pct"/>
        <w:tblLook w:val="04A0" w:firstRow="1" w:lastRow="0" w:firstColumn="1" w:lastColumn="0" w:noHBand="0" w:noVBand="1"/>
      </w:tblPr>
      <w:tblGrid>
        <w:gridCol w:w="1506"/>
        <w:gridCol w:w="762"/>
        <w:gridCol w:w="6760"/>
      </w:tblGrid>
      <w:tr w:rsidR="009F1900" w:rsidRPr="009D4627" w14:paraId="66B281B4" w14:textId="77777777" w:rsidTr="002060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val="restart"/>
            <w:tcBorders>
              <w:right w:val="single" w:sz="4" w:space="0" w:color="auto"/>
            </w:tcBorders>
          </w:tcPr>
          <w:p w14:paraId="147C6F59" w14:textId="71DAB8CE" w:rsidR="009F1900" w:rsidRDefault="009F1900" w:rsidP="00B93453">
            <w:pPr>
              <w:spacing w:before="0" w:after="0" w:line="240" w:lineRule="auto"/>
              <w:jc w:val="left"/>
              <w:rPr>
                <w:b w:val="0"/>
                <w:bCs w:val="0"/>
              </w:rPr>
            </w:pPr>
            <w:r w:rsidRPr="009D4627">
              <w:lastRenderedPageBreak/>
              <w:t xml:space="preserve">Horizontal saccadic </w:t>
            </w:r>
            <w:r>
              <w:t>peak velocity</w:t>
            </w:r>
          </w:p>
          <w:p w14:paraId="04C85D90" w14:textId="77777777" w:rsidR="009F1900" w:rsidRDefault="009F1900" w:rsidP="00B93453">
            <w:pPr>
              <w:spacing w:before="0" w:after="0" w:line="240" w:lineRule="auto"/>
              <w:jc w:val="left"/>
              <w:rPr>
                <w:b w:val="0"/>
                <w:bCs w:val="0"/>
              </w:rPr>
            </w:pPr>
          </w:p>
          <w:p w14:paraId="15BA0195" w14:textId="77777777" w:rsidR="009F1900" w:rsidRPr="009D4627" w:rsidRDefault="009F1900" w:rsidP="00B93453">
            <w:pPr>
              <w:spacing w:before="0" w:after="0" w:line="240" w:lineRule="auto"/>
              <w:jc w:val="left"/>
            </w:pPr>
            <w:r>
              <w:rPr>
                <w:noProof/>
                <w:lang w:val="en-MY" w:eastAsia="en-MY"/>
              </w:rPr>
              <w:drawing>
                <wp:inline distT="0" distB="0" distL="0" distR="0" wp14:anchorId="5A692BFB" wp14:editId="5A71BAF2">
                  <wp:extent cx="809625" cy="12382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809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1BDB614F" w14:textId="77777777" w:rsidR="009F1900" w:rsidRPr="009D4627" w:rsidRDefault="009F1900" w:rsidP="00B93453">
            <w:pPr>
              <w:spacing w:before="0" w:after="0" w:line="240" w:lineRule="auto"/>
              <w:jc w:val="left"/>
            </w:pPr>
          </w:p>
        </w:tc>
        <w:tc>
          <w:tcPr>
            <w:tcW w:w="422" w:type="pct"/>
            <w:tcBorders>
              <w:right w:val="single" w:sz="4" w:space="0" w:color="auto"/>
            </w:tcBorders>
          </w:tcPr>
          <w:p w14:paraId="4A30E5AC" w14:textId="77777777" w:rsidR="009F1900" w:rsidRPr="009F1900" w:rsidRDefault="009F1900"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noProof/>
              </w:rPr>
            </w:pPr>
            <w:r w:rsidRPr="009F1900">
              <w:rPr>
                <w:noProof/>
              </w:rPr>
              <w:t>±5°</w:t>
            </w:r>
          </w:p>
        </w:tc>
        <w:tc>
          <w:tcPr>
            <w:tcW w:w="3744" w:type="pct"/>
            <w:tcBorders>
              <w:left w:val="single" w:sz="4" w:space="0" w:color="auto"/>
            </w:tcBorders>
          </w:tcPr>
          <w:p w14:paraId="50E7C662" w14:textId="2175DA3F" w:rsidR="009F1900" w:rsidRPr="009D4627" w:rsidRDefault="00206086"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21AEEF7E" wp14:editId="581DBB97">
                  <wp:extent cx="4140000" cy="244327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screen">
                            <a:extLst>
                              <a:ext uri="{28A0092B-C50C-407E-A947-70E740481C1C}">
                                <a14:useLocalDpi xmlns:a14="http://schemas.microsoft.com/office/drawing/2010/main" val="0"/>
                              </a:ext>
                            </a:extLst>
                          </a:blip>
                          <a:srcRect/>
                          <a:stretch>
                            <a:fillRect/>
                          </a:stretch>
                        </pic:blipFill>
                        <pic:spPr bwMode="auto">
                          <a:xfrm>
                            <a:off x="0" y="0"/>
                            <a:ext cx="4140000" cy="2443279"/>
                          </a:xfrm>
                          <a:prstGeom prst="rect">
                            <a:avLst/>
                          </a:prstGeom>
                          <a:noFill/>
                        </pic:spPr>
                      </pic:pic>
                    </a:graphicData>
                  </a:graphic>
                </wp:inline>
              </w:drawing>
            </w:r>
          </w:p>
        </w:tc>
      </w:tr>
      <w:tr w:rsidR="009F1900" w:rsidRPr="009D4627" w14:paraId="10C98A82" w14:textId="77777777" w:rsidTr="002060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6926CA01" w14:textId="77777777" w:rsidR="009F1900" w:rsidRPr="009D4627" w:rsidRDefault="009F1900" w:rsidP="00B93453">
            <w:pPr>
              <w:spacing w:before="0" w:after="0" w:line="240" w:lineRule="auto"/>
              <w:jc w:val="left"/>
            </w:pPr>
          </w:p>
        </w:tc>
        <w:tc>
          <w:tcPr>
            <w:tcW w:w="422" w:type="pct"/>
            <w:tcBorders>
              <w:right w:val="single" w:sz="4" w:space="0" w:color="auto"/>
            </w:tcBorders>
          </w:tcPr>
          <w:p w14:paraId="10206C9F" w14:textId="77777777" w:rsidR="009F1900" w:rsidRPr="009F1900" w:rsidRDefault="009F1900"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noProof/>
              </w:rPr>
            </w:pPr>
            <w:r w:rsidRPr="009F1900">
              <w:rPr>
                <w:b/>
                <w:bCs/>
                <w:noProof/>
              </w:rPr>
              <w:t>±10°</w:t>
            </w:r>
          </w:p>
        </w:tc>
        <w:tc>
          <w:tcPr>
            <w:tcW w:w="3744" w:type="pct"/>
            <w:tcBorders>
              <w:left w:val="single" w:sz="4" w:space="0" w:color="auto"/>
            </w:tcBorders>
          </w:tcPr>
          <w:p w14:paraId="46F3C496" w14:textId="4223F9D8" w:rsidR="009F1900" w:rsidRPr="009D4627" w:rsidRDefault="00206086"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6BA3026" wp14:editId="07B27C5B">
                  <wp:extent cx="4140000" cy="244327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screen">
                            <a:extLst>
                              <a:ext uri="{28A0092B-C50C-407E-A947-70E740481C1C}">
                                <a14:useLocalDpi xmlns:a14="http://schemas.microsoft.com/office/drawing/2010/main" val="0"/>
                              </a:ext>
                            </a:extLst>
                          </a:blip>
                          <a:srcRect/>
                          <a:stretch>
                            <a:fillRect/>
                          </a:stretch>
                        </pic:blipFill>
                        <pic:spPr bwMode="auto">
                          <a:xfrm>
                            <a:off x="0" y="0"/>
                            <a:ext cx="4140000" cy="2443279"/>
                          </a:xfrm>
                          <a:prstGeom prst="rect">
                            <a:avLst/>
                          </a:prstGeom>
                          <a:noFill/>
                        </pic:spPr>
                      </pic:pic>
                    </a:graphicData>
                  </a:graphic>
                </wp:inline>
              </w:drawing>
            </w:r>
          </w:p>
        </w:tc>
      </w:tr>
      <w:tr w:rsidR="009F1900" w:rsidRPr="009D4627" w14:paraId="580F34CB" w14:textId="77777777" w:rsidTr="00206086">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1ED352CD" w14:textId="77777777" w:rsidR="009F1900" w:rsidRPr="009D4627" w:rsidRDefault="009F1900" w:rsidP="00B93453">
            <w:pPr>
              <w:spacing w:before="0" w:after="0" w:line="240" w:lineRule="auto"/>
              <w:jc w:val="left"/>
            </w:pPr>
          </w:p>
        </w:tc>
        <w:tc>
          <w:tcPr>
            <w:tcW w:w="422" w:type="pct"/>
            <w:tcBorders>
              <w:right w:val="single" w:sz="4" w:space="0" w:color="auto"/>
            </w:tcBorders>
          </w:tcPr>
          <w:p w14:paraId="2C1C5771" w14:textId="77777777" w:rsidR="009F1900" w:rsidRPr="009F1900" w:rsidRDefault="009F1900" w:rsidP="00B9345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9F1900">
              <w:rPr>
                <w:b/>
                <w:bCs/>
              </w:rPr>
              <w:t>±15°</w:t>
            </w:r>
          </w:p>
        </w:tc>
        <w:tc>
          <w:tcPr>
            <w:tcW w:w="3744" w:type="pct"/>
            <w:tcBorders>
              <w:left w:val="single" w:sz="4" w:space="0" w:color="auto"/>
            </w:tcBorders>
          </w:tcPr>
          <w:p w14:paraId="56536324" w14:textId="7E9177CA" w:rsidR="009F1900" w:rsidRPr="009D4627" w:rsidRDefault="00534119" w:rsidP="00B93453">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E8FF99B" wp14:editId="65596322">
                  <wp:extent cx="4140000" cy="244327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screen">
                            <a:extLst>
                              <a:ext uri="{28A0092B-C50C-407E-A947-70E740481C1C}">
                                <a14:useLocalDpi xmlns:a14="http://schemas.microsoft.com/office/drawing/2010/main" val="0"/>
                              </a:ext>
                            </a:extLst>
                          </a:blip>
                          <a:srcRect/>
                          <a:stretch>
                            <a:fillRect/>
                          </a:stretch>
                        </pic:blipFill>
                        <pic:spPr bwMode="auto">
                          <a:xfrm>
                            <a:off x="0" y="0"/>
                            <a:ext cx="4140000" cy="2443279"/>
                          </a:xfrm>
                          <a:prstGeom prst="rect">
                            <a:avLst/>
                          </a:prstGeom>
                          <a:noFill/>
                        </pic:spPr>
                      </pic:pic>
                    </a:graphicData>
                  </a:graphic>
                </wp:inline>
              </w:drawing>
            </w:r>
          </w:p>
        </w:tc>
      </w:tr>
    </w:tbl>
    <w:p w14:paraId="4F29C40C" w14:textId="3484216D" w:rsidR="009F1900" w:rsidRDefault="00B94333" w:rsidP="00C4130D">
      <w:pPr>
        <w:pStyle w:val="Caption"/>
      </w:pPr>
      <w:bookmarkStart w:id="278" w:name="_Toc98569899"/>
      <w:r>
        <w:t>Figure 3.</w:t>
      </w:r>
      <w:r>
        <w:fldChar w:fldCharType="begin"/>
      </w:r>
      <w:r>
        <w:instrText xml:space="preserve"> SEQ Figure_3. \* ARABIC </w:instrText>
      </w:r>
      <w:r>
        <w:fldChar w:fldCharType="separate"/>
      </w:r>
      <w:r w:rsidR="00E268F6">
        <w:rPr>
          <w:noProof/>
        </w:rPr>
        <w:t>10</w:t>
      </w:r>
      <w:r>
        <w:fldChar w:fldCharType="end"/>
      </w:r>
      <w:r>
        <w:t xml:space="preserve">: </w:t>
      </w:r>
      <w:r w:rsidR="00735159" w:rsidRPr="00735159">
        <w:t xml:space="preserve">The scatterplots show the horizontal saccadic </w:t>
      </w:r>
      <w:r w:rsidR="00735159">
        <w:t>peak velocity</w:t>
      </w:r>
      <w:r w:rsidR="00735159" w:rsidRPr="00735159">
        <w:t xml:space="preserve"> of young, middle, and old age groups </w:t>
      </w:r>
      <w:r w:rsidR="009871A1">
        <w:t xml:space="preserve">with 72 saccadic trials </w:t>
      </w:r>
      <w:r w:rsidR="00735159" w:rsidRPr="00735159">
        <w:t>at three pooled saccadic amplitude sizes</w:t>
      </w:r>
      <w:r w:rsidRPr="009D4627">
        <w:t xml:space="preserve"> </w:t>
      </w:r>
      <w:r>
        <w:t>(±</w:t>
      </w:r>
      <w:r w:rsidRPr="009D4627">
        <w:t>5</w:t>
      </w:r>
      <w:r>
        <w:t xml:space="preserve"> = small</w:t>
      </w:r>
      <w:r w:rsidRPr="009D4627">
        <w:t>, ±10</w:t>
      </w:r>
      <w:r>
        <w:t xml:space="preserve"> = medium,</w:t>
      </w:r>
      <w:r w:rsidRPr="009D4627">
        <w:t xml:space="preserve"> and ±15</w:t>
      </w:r>
      <w:r>
        <w:t xml:space="preserve"> = large</w:t>
      </w:r>
      <w:r w:rsidRPr="009D4627">
        <w:t>).</w:t>
      </w:r>
      <w:bookmarkEnd w:id="278"/>
    </w:p>
    <w:p w14:paraId="559527AE" w14:textId="77777777" w:rsidR="00735159" w:rsidRDefault="00735159" w:rsidP="00735159">
      <w:pPr>
        <w:rPr>
          <w:lang w:val="en-MY" w:eastAsia="en-MY"/>
        </w:rPr>
      </w:pPr>
    </w:p>
    <w:tbl>
      <w:tblPr>
        <w:tblStyle w:val="ListTable2"/>
        <w:tblW w:w="5001" w:type="pct"/>
        <w:tblLook w:val="04A0" w:firstRow="1" w:lastRow="0" w:firstColumn="1" w:lastColumn="0" w:noHBand="0" w:noVBand="1"/>
      </w:tblPr>
      <w:tblGrid>
        <w:gridCol w:w="1506"/>
        <w:gridCol w:w="787"/>
        <w:gridCol w:w="6735"/>
      </w:tblGrid>
      <w:tr w:rsidR="00735159" w:rsidRPr="009D4627" w14:paraId="20F5F3C6" w14:textId="77777777" w:rsidTr="007351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val="restart"/>
            <w:tcBorders>
              <w:right w:val="single" w:sz="4" w:space="0" w:color="auto"/>
            </w:tcBorders>
          </w:tcPr>
          <w:p w14:paraId="7F75AD3D" w14:textId="40107A27" w:rsidR="00735159" w:rsidRDefault="00735159" w:rsidP="00B93453">
            <w:pPr>
              <w:spacing w:before="0" w:after="0" w:line="240" w:lineRule="auto"/>
              <w:jc w:val="left"/>
              <w:rPr>
                <w:b w:val="0"/>
                <w:bCs w:val="0"/>
              </w:rPr>
            </w:pPr>
            <w:r w:rsidRPr="009D4627">
              <w:lastRenderedPageBreak/>
              <w:t xml:space="preserve">Horizontal saccadic </w:t>
            </w:r>
            <w:r>
              <w:t>gain</w:t>
            </w:r>
          </w:p>
          <w:p w14:paraId="6083EED3" w14:textId="77777777" w:rsidR="00735159" w:rsidRDefault="00735159" w:rsidP="00B93453">
            <w:pPr>
              <w:spacing w:before="0" w:after="0" w:line="240" w:lineRule="auto"/>
              <w:jc w:val="left"/>
              <w:rPr>
                <w:b w:val="0"/>
                <w:bCs w:val="0"/>
              </w:rPr>
            </w:pPr>
          </w:p>
          <w:p w14:paraId="406E039F" w14:textId="77777777" w:rsidR="00735159" w:rsidRPr="009D4627" w:rsidRDefault="00735159" w:rsidP="00B93453">
            <w:pPr>
              <w:spacing w:before="0" w:after="0" w:line="240" w:lineRule="auto"/>
              <w:jc w:val="left"/>
            </w:pPr>
            <w:r>
              <w:rPr>
                <w:noProof/>
                <w:lang w:val="en-MY" w:eastAsia="en-MY"/>
              </w:rPr>
              <w:drawing>
                <wp:inline distT="0" distB="0" distL="0" distR="0" wp14:anchorId="0483063D" wp14:editId="313CF268">
                  <wp:extent cx="809625" cy="12382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809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578DC4F9" w14:textId="77777777" w:rsidR="00735159" w:rsidRPr="009D4627" w:rsidRDefault="00735159" w:rsidP="00B93453">
            <w:pPr>
              <w:spacing w:before="0" w:after="0" w:line="240" w:lineRule="auto"/>
              <w:jc w:val="left"/>
            </w:pPr>
          </w:p>
        </w:tc>
        <w:tc>
          <w:tcPr>
            <w:tcW w:w="436" w:type="pct"/>
            <w:tcBorders>
              <w:right w:val="single" w:sz="4" w:space="0" w:color="auto"/>
            </w:tcBorders>
          </w:tcPr>
          <w:p w14:paraId="74CA78F8" w14:textId="77777777" w:rsidR="00735159" w:rsidRPr="009F1900" w:rsidRDefault="00735159"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noProof/>
              </w:rPr>
            </w:pPr>
            <w:r w:rsidRPr="009F1900">
              <w:rPr>
                <w:noProof/>
              </w:rPr>
              <w:t>±5°</w:t>
            </w:r>
          </w:p>
        </w:tc>
        <w:tc>
          <w:tcPr>
            <w:tcW w:w="3730" w:type="pct"/>
            <w:tcBorders>
              <w:left w:val="single" w:sz="4" w:space="0" w:color="auto"/>
            </w:tcBorders>
          </w:tcPr>
          <w:p w14:paraId="168FAD3E" w14:textId="10789CBE" w:rsidR="00735159" w:rsidRPr="009D4627" w:rsidRDefault="00B663AB"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5E6CB182" wp14:editId="0A2C5E92">
                  <wp:extent cx="4140000" cy="244327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screen">
                            <a:extLst>
                              <a:ext uri="{28A0092B-C50C-407E-A947-70E740481C1C}">
                                <a14:useLocalDpi xmlns:a14="http://schemas.microsoft.com/office/drawing/2010/main" val="0"/>
                              </a:ext>
                            </a:extLst>
                          </a:blip>
                          <a:srcRect/>
                          <a:stretch>
                            <a:fillRect/>
                          </a:stretch>
                        </pic:blipFill>
                        <pic:spPr bwMode="auto">
                          <a:xfrm>
                            <a:off x="0" y="0"/>
                            <a:ext cx="4140000" cy="2443279"/>
                          </a:xfrm>
                          <a:prstGeom prst="rect">
                            <a:avLst/>
                          </a:prstGeom>
                          <a:noFill/>
                        </pic:spPr>
                      </pic:pic>
                    </a:graphicData>
                  </a:graphic>
                </wp:inline>
              </w:drawing>
            </w:r>
          </w:p>
        </w:tc>
      </w:tr>
      <w:tr w:rsidR="00735159" w:rsidRPr="009D4627" w14:paraId="43CCE364" w14:textId="77777777" w:rsidTr="007351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1695BB03" w14:textId="77777777" w:rsidR="00735159" w:rsidRPr="009D4627" w:rsidRDefault="00735159" w:rsidP="00B93453">
            <w:pPr>
              <w:spacing w:before="0" w:after="0" w:line="240" w:lineRule="auto"/>
              <w:jc w:val="left"/>
            </w:pPr>
          </w:p>
        </w:tc>
        <w:tc>
          <w:tcPr>
            <w:tcW w:w="436" w:type="pct"/>
            <w:tcBorders>
              <w:right w:val="single" w:sz="4" w:space="0" w:color="auto"/>
            </w:tcBorders>
          </w:tcPr>
          <w:p w14:paraId="093431E4" w14:textId="77777777" w:rsidR="00735159" w:rsidRPr="009F1900" w:rsidRDefault="00735159"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b/>
                <w:bCs/>
                <w:noProof/>
              </w:rPr>
            </w:pPr>
            <w:r w:rsidRPr="009F1900">
              <w:rPr>
                <w:b/>
                <w:bCs/>
                <w:noProof/>
              </w:rPr>
              <w:t>±10°</w:t>
            </w:r>
          </w:p>
        </w:tc>
        <w:tc>
          <w:tcPr>
            <w:tcW w:w="3730" w:type="pct"/>
            <w:tcBorders>
              <w:left w:val="single" w:sz="4" w:space="0" w:color="auto"/>
            </w:tcBorders>
          </w:tcPr>
          <w:p w14:paraId="326ABC77" w14:textId="67AE2C89" w:rsidR="00735159" w:rsidRPr="009D4627" w:rsidRDefault="00B663AB"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2B9FB4B" wp14:editId="6334B1E5">
                  <wp:extent cx="4140000" cy="244327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screen">
                            <a:extLst>
                              <a:ext uri="{28A0092B-C50C-407E-A947-70E740481C1C}">
                                <a14:useLocalDpi xmlns:a14="http://schemas.microsoft.com/office/drawing/2010/main" val="0"/>
                              </a:ext>
                            </a:extLst>
                          </a:blip>
                          <a:srcRect/>
                          <a:stretch>
                            <a:fillRect/>
                          </a:stretch>
                        </pic:blipFill>
                        <pic:spPr bwMode="auto">
                          <a:xfrm>
                            <a:off x="0" y="0"/>
                            <a:ext cx="4140000" cy="2443279"/>
                          </a:xfrm>
                          <a:prstGeom prst="rect">
                            <a:avLst/>
                          </a:prstGeom>
                          <a:noFill/>
                        </pic:spPr>
                      </pic:pic>
                    </a:graphicData>
                  </a:graphic>
                </wp:inline>
              </w:drawing>
            </w:r>
          </w:p>
        </w:tc>
      </w:tr>
      <w:tr w:rsidR="00735159" w:rsidRPr="009D4627" w14:paraId="6067ADCA" w14:textId="77777777" w:rsidTr="00735159">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263C5C14" w14:textId="77777777" w:rsidR="00735159" w:rsidRPr="009D4627" w:rsidRDefault="00735159" w:rsidP="00B93453">
            <w:pPr>
              <w:spacing w:before="0" w:after="0" w:line="240" w:lineRule="auto"/>
              <w:jc w:val="left"/>
            </w:pPr>
          </w:p>
        </w:tc>
        <w:tc>
          <w:tcPr>
            <w:tcW w:w="436" w:type="pct"/>
            <w:tcBorders>
              <w:right w:val="single" w:sz="4" w:space="0" w:color="auto"/>
            </w:tcBorders>
          </w:tcPr>
          <w:p w14:paraId="74A5428E" w14:textId="77777777" w:rsidR="00735159" w:rsidRPr="009F1900" w:rsidRDefault="00735159" w:rsidP="00B93453">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b/>
                <w:bCs/>
              </w:rPr>
            </w:pPr>
            <w:r w:rsidRPr="009F1900">
              <w:rPr>
                <w:b/>
                <w:bCs/>
              </w:rPr>
              <w:t>±15°</w:t>
            </w:r>
          </w:p>
        </w:tc>
        <w:tc>
          <w:tcPr>
            <w:tcW w:w="3730" w:type="pct"/>
            <w:tcBorders>
              <w:left w:val="single" w:sz="4" w:space="0" w:color="auto"/>
            </w:tcBorders>
          </w:tcPr>
          <w:p w14:paraId="02F732E2" w14:textId="65FB693A" w:rsidR="00735159" w:rsidRPr="009D4627" w:rsidRDefault="005214D9" w:rsidP="00B93453">
            <w:p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79BCAEAE" wp14:editId="77999A7F">
                  <wp:extent cx="4140000" cy="244327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8" cstate="screen">
                            <a:extLst>
                              <a:ext uri="{28A0092B-C50C-407E-A947-70E740481C1C}">
                                <a14:useLocalDpi xmlns:a14="http://schemas.microsoft.com/office/drawing/2010/main" val="0"/>
                              </a:ext>
                            </a:extLst>
                          </a:blip>
                          <a:srcRect/>
                          <a:stretch>
                            <a:fillRect/>
                          </a:stretch>
                        </pic:blipFill>
                        <pic:spPr bwMode="auto">
                          <a:xfrm>
                            <a:off x="0" y="0"/>
                            <a:ext cx="4140000" cy="2443279"/>
                          </a:xfrm>
                          <a:prstGeom prst="rect">
                            <a:avLst/>
                          </a:prstGeom>
                          <a:noFill/>
                        </pic:spPr>
                      </pic:pic>
                    </a:graphicData>
                  </a:graphic>
                </wp:inline>
              </w:drawing>
            </w:r>
          </w:p>
        </w:tc>
      </w:tr>
    </w:tbl>
    <w:p w14:paraId="3FD0B5B0" w14:textId="445ACB35" w:rsidR="00735159" w:rsidRPr="00735159" w:rsidRDefault="00735159" w:rsidP="00C4130D">
      <w:pPr>
        <w:pStyle w:val="Caption"/>
        <w:sectPr w:rsidR="00735159" w:rsidRPr="00735159" w:rsidSect="009F1900">
          <w:headerReference w:type="default" r:id="rId149"/>
          <w:footerReference w:type="default" r:id="rId150"/>
          <w:pgSz w:w="11906" w:h="16838" w:code="9"/>
          <w:pgMar w:top="1440" w:right="1440" w:bottom="1440" w:left="1440" w:header="708" w:footer="708" w:gutter="0"/>
          <w:cols w:space="708"/>
          <w:docGrid w:linePitch="360"/>
        </w:sectPr>
      </w:pPr>
      <w:bookmarkStart w:id="279" w:name="_Toc98569900"/>
      <w:r>
        <w:t>Figure 3.</w:t>
      </w:r>
      <w:r>
        <w:fldChar w:fldCharType="begin"/>
      </w:r>
      <w:r>
        <w:instrText xml:space="preserve"> SEQ Figure_3. \* ARABIC </w:instrText>
      </w:r>
      <w:r>
        <w:fldChar w:fldCharType="separate"/>
      </w:r>
      <w:r w:rsidR="00E268F6">
        <w:rPr>
          <w:noProof/>
        </w:rPr>
        <w:t>11</w:t>
      </w:r>
      <w:r>
        <w:fldChar w:fldCharType="end"/>
      </w:r>
      <w:r>
        <w:t>: The s</w:t>
      </w:r>
      <w:r w:rsidRPr="009D4627">
        <w:t>catterplot</w:t>
      </w:r>
      <w:r>
        <w:t>s</w:t>
      </w:r>
      <w:r w:rsidRPr="009D4627">
        <w:t xml:space="preserve"> depict the horizontal saccadic </w:t>
      </w:r>
      <w:r>
        <w:t>gain</w:t>
      </w:r>
      <w:r w:rsidRPr="009D4627">
        <w:t xml:space="preserve"> </w:t>
      </w:r>
      <w:r>
        <w:t>of young, middle and old</w:t>
      </w:r>
      <w:r w:rsidRPr="009D4627">
        <w:t xml:space="preserve"> age groups </w:t>
      </w:r>
      <w:r w:rsidR="009871A1">
        <w:t xml:space="preserve">with 72 saccadic trials </w:t>
      </w:r>
      <w:r>
        <w:t xml:space="preserve">at </w:t>
      </w:r>
      <w:r w:rsidRPr="009D4627">
        <w:t xml:space="preserve">three </w:t>
      </w:r>
      <w:r>
        <w:t xml:space="preserve">size of pooled saccadic </w:t>
      </w:r>
      <w:r w:rsidRPr="009D4627">
        <w:t>amplitude</w:t>
      </w:r>
      <w:r>
        <w:t>s</w:t>
      </w:r>
      <w:r w:rsidRPr="009D4627">
        <w:t xml:space="preserve"> </w:t>
      </w:r>
      <w:r>
        <w:t>(±</w:t>
      </w:r>
      <w:r w:rsidRPr="009D4627">
        <w:t>5</w:t>
      </w:r>
      <w:r>
        <w:t xml:space="preserve"> = small</w:t>
      </w:r>
      <w:r w:rsidRPr="009D4627">
        <w:t>, ±10</w:t>
      </w:r>
      <w:r>
        <w:t xml:space="preserve"> = medium,</w:t>
      </w:r>
      <w:r w:rsidRPr="009D4627">
        <w:t xml:space="preserve"> and ±15</w:t>
      </w:r>
      <w:r>
        <w:t xml:space="preserve"> = large</w:t>
      </w:r>
      <w:r w:rsidRPr="009D4627">
        <w:t>).</w:t>
      </w:r>
      <w:bookmarkEnd w:id="279"/>
    </w:p>
    <w:p w14:paraId="3706765D" w14:textId="68FE9725" w:rsidR="008816D4" w:rsidRPr="009D4627" w:rsidRDefault="00FB2C5B" w:rsidP="00DC4CA6">
      <w:pPr>
        <w:pStyle w:val="Heading3"/>
      </w:pPr>
      <w:bookmarkStart w:id="280" w:name="_Toc98964665"/>
      <w:bookmarkStart w:id="281" w:name="_Toc103344710"/>
      <w:r w:rsidRPr="009D4627">
        <w:lastRenderedPageBreak/>
        <w:t xml:space="preserve">The effect of ageing on </w:t>
      </w:r>
      <w:r>
        <w:t>vertic</w:t>
      </w:r>
      <w:r w:rsidRPr="009D4627">
        <w:t>al saccadic performanc</w:t>
      </w:r>
      <w:r>
        <w:t>e</w:t>
      </w:r>
      <w:bookmarkEnd w:id="280"/>
      <w:bookmarkEnd w:id="281"/>
    </w:p>
    <w:p w14:paraId="5EE2C3B3" w14:textId="2E66B9FF" w:rsidR="000A0ED1" w:rsidRDefault="00BC7D51" w:rsidP="006A57A2">
      <w:pPr>
        <w:spacing w:after="160"/>
        <w:rPr>
          <w:szCs w:val="22"/>
        </w:rPr>
      </w:pPr>
      <w:r w:rsidRPr="009D4627">
        <w:rPr>
          <w:szCs w:val="22"/>
        </w:rPr>
        <w:t>Individual participant means for the three age group participants were calculated for saccadic latency, peak velocity, and gain for six vertical saccadic amplitudes (Appendix 3.</w:t>
      </w:r>
      <w:r w:rsidR="00D0688A">
        <w:rPr>
          <w:szCs w:val="22"/>
        </w:rPr>
        <w:t>5</w:t>
      </w:r>
      <w:r w:rsidRPr="009D4627">
        <w:rPr>
          <w:szCs w:val="22"/>
        </w:rPr>
        <w:t xml:space="preserve">). </w:t>
      </w:r>
    </w:p>
    <w:p w14:paraId="34CF4525" w14:textId="311ADA74" w:rsidR="0040559E" w:rsidRDefault="000A0ED1" w:rsidP="00EA5FF0">
      <w:r>
        <w:t xml:space="preserve">One-way ANOVA </w:t>
      </w:r>
      <w:r w:rsidR="00A83C0C">
        <w:t xml:space="preserve">was </w:t>
      </w:r>
      <w:r>
        <w:t xml:space="preserve">carried out to examine the effect of ageing on the vertical saccadic variables </w:t>
      </w:r>
      <w:r w:rsidR="00821C91">
        <w:t>at</w:t>
      </w:r>
      <w:r>
        <w:t xml:space="preserve"> </w:t>
      </w:r>
      <w:r w:rsidR="00821C91">
        <w:t>six vertical</w:t>
      </w:r>
      <w:r>
        <w:t xml:space="preserve"> saccadic amplitudes</w:t>
      </w:r>
      <w:r w:rsidR="00821C91">
        <w:t xml:space="preserve"> (±8°, ±6° and ±4°)</w:t>
      </w:r>
      <w:r>
        <w:t xml:space="preserve">. </w:t>
      </w:r>
      <w:r w:rsidR="0040559E">
        <w:t xml:space="preserve">The mean vertical saccadic latency was significantly different between at least two age groups at all saccadic amplitudes. </w:t>
      </w:r>
      <w:r w:rsidR="00EC4597">
        <w:t>However, t</w:t>
      </w:r>
      <w:r w:rsidR="00892456">
        <w:t xml:space="preserve">he peak velocity was </w:t>
      </w:r>
      <w:r w:rsidR="00EC4597">
        <w:t xml:space="preserve">not </w:t>
      </w:r>
      <w:r w:rsidR="00892456">
        <w:t>significantly different</w:t>
      </w:r>
      <w:r w:rsidR="00EC4597">
        <w:t xml:space="preserve"> between age groups</w:t>
      </w:r>
      <w:r w:rsidR="00892456">
        <w:t xml:space="preserve">. </w:t>
      </w:r>
      <w:r w:rsidR="00EC4597">
        <w:t>Additionally, t</w:t>
      </w:r>
      <w:r w:rsidR="00892456">
        <w:t>he saccadic gain was only significantly different between two age groups at 6° and 8° upward saccad</w:t>
      </w:r>
      <w:r w:rsidR="00EC4597">
        <w:t>es</w:t>
      </w:r>
      <w:r w:rsidR="00892456">
        <w:t>. The result of one-way ANOVA for the effect of aging towards the vertical saccadic eye movements are presented in Table 3.</w:t>
      </w:r>
      <w:r w:rsidR="004A4B59">
        <w:t>6</w:t>
      </w:r>
      <w:r w:rsidR="00892456">
        <w:t>.</w:t>
      </w:r>
    </w:p>
    <w:p w14:paraId="255C2D5F" w14:textId="46571D0E" w:rsidR="00892456" w:rsidRDefault="00892456" w:rsidP="00C4130D">
      <w:pPr>
        <w:pStyle w:val="Caption"/>
      </w:pPr>
      <w:bookmarkStart w:id="282" w:name="_Toc99439398"/>
      <w:r>
        <w:t>Table 3.</w:t>
      </w:r>
      <w:r w:rsidR="00F00E6E">
        <w:fldChar w:fldCharType="begin"/>
      </w:r>
      <w:r w:rsidR="00F00E6E">
        <w:instrText xml:space="preserve"> SEQ Table_3. \* ARABIC </w:instrText>
      </w:r>
      <w:r w:rsidR="00F00E6E">
        <w:fldChar w:fldCharType="separate"/>
      </w:r>
      <w:r w:rsidR="00E268F6">
        <w:rPr>
          <w:noProof/>
        </w:rPr>
        <w:t>6</w:t>
      </w:r>
      <w:r w:rsidR="00F00E6E">
        <w:fldChar w:fldCharType="end"/>
      </w:r>
      <w:r>
        <w:t xml:space="preserve">: </w:t>
      </w:r>
      <w:r w:rsidR="0001066B" w:rsidRPr="0001066B">
        <w:t xml:space="preserve">One-way ANOVA was used to assess the effects of age on </w:t>
      </w:r>
      <w:r w:rsidR="0001066B">
        <w:t>vertica</w:t>
      </w:r>
      <w:r w:rsidR="0001066B" w:rsidRPr="0001066B">
        <w:t xml:space="preserve">l saccadic variables at </w:t>
      </w:r>
      <w:r w:rsidR="0001066B">
        <w:t>six</w:t>
      </w:r>
      <w:r w:rsidR="0001066B" w:rsidRPr="0001066B">
        <w:t xml:space="preserve"> amplitude</w:t>
      </w:r>
      <w:r w:rsidR="00B50D71">
        <w:t>.</w:t>
      </w:r>
      <w:bookmarkEnd w:id="282"/>
      <w:r w:rsidR="0001066B">
        <w:t xml:space="preserve"> (-</w:t>
      </w:r>
      <w:proofErr w:type="spellStart"/>
      <w:r w:rsidR="0001066B">
        <w:t>ve</w:t>
      </w:r>
      <w:proofErr w:type="spellEnd"/>
      <w:r w:rsidR="0001066B">
        <w:t xml:space="preserve"> amplitude = downward saccades; +</w:t>
      </w:r>
      <w:proofErr w:type="spellStart"/>
      <w:r w:rsidR="0001066B">
        <w:t>ve</w:t>
      </w:r>
      <w:proofErr w:type="spellEnd"/>
      <w:r w:rsidR="0001066B">
        <w:t xml:space="preserve"> amplitudes = upward saccades)</w:t>
      </w:r>
    </w:p>
    <w:tbl>
      <w:tblPr>
        <w:tblW w:w="8519" w:type="dxa"/>
        <w:tblLook w:val="04A0" w:firstRow="1" w:lastRow="0" w:firstColumn="1" w:lastColumn="0" w:noHBand="0" w:noVBand="1"/>
      </w:tblPr>
      <w:tblGrid>
        <w:gridCol w:w="2540"/>
        <w:gridCol w:w="1158"/>
        <w:gridCol w:w="900"/>
        <w:gridCol w:w="960"/>
        <w:gridCol w:w="1041"/>
        <w:gridCol w:w="960"/>
        <w:gridCol w:w="960"/>
      </w:tblGrid>
      <w:tr w:rsidR="0040559E" w:rsidRPr="00892456" w14:paraId="593B3346" w14:textId="77777777" w:rsidTr="00281A92">
        <w:trPr>
          <w:trHeight w:val="300"/>
        </w:trPr>
        <w:tc>
          <w:tcPr>
            <w:tcW w:w="2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B6FC66" w14:textId="553F2C53" w:rsidR="0040559E" w:rsidRPr="00892456" w:rsidRDefault="0040559E" w:rsidP="00281A92">
            <w:pPr>
              <w:spacing w:before="0" w:after="0" w:line="240" w:lineRule="auto"/>
              <w:jc w:val="left"/>
              <w:rPr>
                <w:rFonts w:eastAsia="Times New Roman"/>
                <w:color w:val="000000"/>
                <w:sz w:val="22"/>
                <w:szCs w:val="22"/>
                <w:lang w:val="en-MY" w:eastAsia="en-MY"/>
              </w:rPr>
            </w:pPr>
            <w:r w:rsidRPr="00892456">
              <w:rPr>
                <w:rFonts w:eastAsia="Times New Roman"/>
                <w:color w:val="000000"/>
                <w:sz w:val="22"/>
                <w:szCs w:val="22"/>
                <w:lang w:val="en-MY" w:eastAsia="en-MY"/>
              </w:rPr>
              <w:t>Vertical saccadic variable</w:t>
            </w:r>
          </w:p>
        </w:tc>
        <w:tc>
          <w:tcPr>
            <w:tcW w:w="1158" w:type="dxa"/>
            <w:tcBorders>
              <w:top w:val="single" w:sz="4" w:space="0" w:color="auto"/>
              <w:left w:val="nil"/>
              <w:bottom w:val="single" w:sz="4" w:space="0" w:color="auto"/>
              <w:right w:val="single" w:sz="4" w:space="0" w:color="auto"/>
            </w:tcBorders>
            <w:shd w:val="clear" w:color="auto" w:fill="auto"/>
            <w:noWrap/>
            <w:vAlign w:val="bottom"/>
            <w:hideMark/>
          </w:tcPr>
          <w:p w14:paraId="00FDAC47" w14:textId="22122211" w:rsidR="0040559E" w:rsidRPr="00892456" w:rsidRDefault="0040559E" w:rsidP="008A7B98">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Amplitude</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1EC6BD64" w14:textId="77777777" w:rsidR="0040559E" w:rsidRPr="002F5602" w:rsidRDefault="0040559E" w:rsidP="00281A92">
            <w:pPr>
              <w:spacing w:before="0" w:after="0" w:line="240" w:lineRule="auto"/>
              <w:jc w:val="left"/>
              <w:rPr>
                <w:rFonts w:eastAsia="Times New Roman"/>
                <w:color w:val="000000"/>
                <w:sz w:val="22"/>
                <w:szCs w:val="22"/>
                <w:lang w:val="en-MY" w:eastAsia="en-MY"/>
              </w:rPr>
            </w:pPr>
            <w:r w:rsidRPr="002F5602">
              <w:rPr>
                <w:rFonts w:eastAsia="Times New Roman"/>
                <w:color w:val="000000"/>
                <w:sz w:val="22"/>
                <w:szCs w:val="22"/>
                <w:lang w:val="en-MY" w:eastAsia="en-MY"/>
              </w:rPr>
              <w:t>SS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495C7581" w14:textId="77777777" w:rsidR="0040559E" w:rsidRPr="00892456" w:rsidRDefault="0040559E" w:rsidP="00281A92">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df</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14:paraId="7B14A279" w14:textId="77777777" w:rsidR="0040559E" w:rsidRPr="00892456" w:rsidRDefault="0040559E" w:rsidP="00281A92">
            <w:pPr>
              <w:spacing w:before="0" w:after="0" w:line="240" w:lineRule="auto"/>
              <w:jc w:val="left"/>
              <w:rPr>
                <w:rFonts w:eastAsia="Times New Roman"/>
                <w:color w:val="000000"/>
                <w:sz w:val="22"/>
                <w:szCs w:val="22"/>
                <w:lang w:val="en-MY" w:eastAsia="en-MY"/>
              </w:rPr>
            </w:pPr>
            <w:r w:rsidRPr="00892456">
              <w:rPr>
                <w:rFonts w:eastAsia="Times New Roman"/>
                <w:color w:val="000000"/>
                <w:sz w:val="22"/>
                <w:szCs w:val="22"/>
                <w:lang w:val="en-MY" w:eastAsia="en-MY"/>
              </w:rPr>
              <w:t>MS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1AA04ED" w14:textId="77777777" w:rsidR="0040559E" w:rsidRPr="00892456" w:rsidRDefault="0040559E" w:rsidP="00281A92">
            <w:pPr>
              <w:spacing w:before="0" w:after="0" w:line="240" w:lineRule="auto"/>
              <w:jc w:val="left"/>
              <w:rPr>
                <w:rFonts w:eastAsia="Times New Roman"/>
                <w:color w:val="000000"/>
                <w:sz w:val="22"/>
                <w:szCs w:val="22"/>
                <w:lang w:val="en-MY" w:eastAsia="en-MY"/>
              </w:rPr>
            </w:pPr>
            <w:r w:rsidRPr="00892456">
              <w:rPr>
                <w:rFonts w:eastAsia="Times New Roman"/>
                <w:color w:val="000000"/>
                <w:sz w:val="22"/>
                <w:szCs w:val="22"/>
                <w:lang w:val="en-MY" w:eastAsia="en-MY"/>
              </w:rPr>
              <w:t>F</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28BD36F" w14:textId="77777777" w:rsidR="0040559E" w:rsidRPr="00892456" w:rsidRDefault="0040559E" w:rsidP="00281A92">
            <w:pPr>
              <w:spacing w:before="0" w:after="0" w:line="240" w:lineRule="auto"/>
              <w:jc w:val="left"/>
              <w:rPr>
                <w:rFonts w:eastAsia="Times New Roman"/>
                <w:color w:val="000000"/>
                <w:sz w:val="22"/>
                <w:szCs w:val="22"/>
                <w:lang w:val="en-MY" w:eastAsia="en-MY"/>
              </w:rPr>
            </w:pPr>
            <w:r w:rsidRPr="00892456">
              <w:rPr>
                <w:rFonts w:eastAsia="Times New Roman"/>
                <w:i/>
                <w:iCs/>
                <w:color w:val="000000"/>
                <w:sz w:val="22"/>
                <w:szCs w:val="22"/>
                <w:lang w:val="en-MY" w:eastAsia="en-MY"/>
              </w:rPr>
              <w:t>p</w:t>
            </w:r>
            <w:r w:rsidRPr="00892456">
              <w:rPr>
                <w:rFonts w:eastAsia="Times New Roman"/>
                <w:color w:val="000000"/>
                <w:sz w:val="22"/>
                <w:szCs w:val="22"/>
                <w:lang w:val="en-MY" w:eastAsia="en-MY"/>
              </w:rPr>
              <w:t>-value</w:t>
            </w:r>
          </w:p>
        </w:tc>
      </w:tr>
      <w:tr w:rsidR="00892456" w:rsidRPr="00892456" w14:paraId="1F9B99A5" w14:textId="77777777" w:rsidTr="00892456">
        <w:trPr>
          <w:trHeight w:val="300"/>
        </w:trPr>
        <w:tc>
          <w:tcPr>
            <w:tcW w:w="2540" w:type="dxa"/>
            <w:vMerge w:val="restart"/>
            <w:tcBorders>
              <w:top w:val="nil"/>
              <w:left w:val="single" w:sz="4" w:space="0" w:color="auto"/>
              <w:bottom w:val="single" w:sz="4" w:space="0" w:color="auto"/>
              <w:right w:val="single" w:sz="4" w:space="0" w:color="auto"/>
            </w:tcBorders>
            <w:shd w:val="clear" w:color="auto" w:fill="auto"/>
            <w:noWrap/>
            <w:hideMark/>
          </w:tcPr>
          <w:p w14:paraId="4F2AD820" w14:textId="77777777" w:rsidR="00892456" w:rsidRPr="00892456" w:rsidRDefault="00892456" w:rsidP="00892456">
            <w:pPr>
              <w:spacing w:before="0" w:after="0" w:line="240" w:lineRule="auto"/>
              <w:jc w:val="left"/>
              <w:rPr>
                <w:rFonts w:eastAsia="Times New Roman"/>
                <w:color w:val="000000"/>
                <w:sz w:val="22"/>
                <w:szCs w:val="22"/>
                <w:lang w:val="en-MY" w:eastAsia="en-MY"/>
              </w:rPr>
            </w:pPr>
            <w:r w:rsidRPr="00892456">
              <w:rPr>
                <w:rFonts w:eastAsia="Times New Roman"/>
                <w:color w:val="000000"/>
                <w:sz w:val="22"/>
                <w:szCs w:val="22"/>
                <w:lang w:val="en-MY" w:eastAsia="en-MY"/>
              </w:rPr>
              <w:t>Latency</w:t>
            </w:r>
          </w:p>
        </w:tc>
        <w:tc>
          <w:tcPr>
            <w:tcW w:w="1158" w:type="dxa"/>
            <w:tcBorders>
              <w:top w:val="nil"/>
              <w:left w:val="nil"/>
              <w:bottom w:val="single" w:sz="4" w:space="0" w:color="auto"/>
              <w:right w:val="single" w:sz="4" w:space="0" w:color="auto"/>
            </w:tcBorders>
            <w:shd w:val="clear" w:color="auto" w:fill="auto"/>
            <w:noWrap/>
            <w:vAlign w:val="bottom"/>
          </w:tcPr>
          <w:p w14:paraId="39B21958" w14:textId="7BFE4A74"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-8°</w:t>
            </w:r>
          </w:p>
        </w:tc>
        <w:tc>
          <w:tcPr>
            <w:tcW w:w="900" w:type="dxa"/>
            <w:tcBorders>
              <w:top w:val="nil"/>
              <w:left w:val="nil"/>
              <w:bottom w:val="single" w:sz="4" w:space="0" w:color="auto"/>
              <w:right w:val="single" w:sz="4" w:space="0" w:color="auto"/>
            </w:tcBorders>
            <w:shd w:val="clear" w:color="auto" w:fill="auto"/>
            <w:noWrap/>
            <w:vAlign w:val="bottom"/>
          </w:tcPr>
          <w:p w14:paraId="00831705" w14:textId="6D953DF8"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22323</w:t>
            </w:r>
          </w:p>
        </w:tc>
        <w:tc>
          <w:tcPr>
            <w:tcW w:w="960" w:type="dxa"/>
            <w:vMerge w:val="restart"/>
            <w:tcBorders>
              <w:top w:val="nil"/>
              <w:left w:val="single" w:sz="4" w:space="0" w:color="auto"/>
              <w:bottom w:val="single" w:sz="4" w:space="0" w:color="000000"/>
              <w:right w:val="single" w:sz="4" w:space="0" w:color="auto"/>
            </w:tcBorders>
            <w:shd w:val="clear" w:color="auto" w:fill="auto"/>
            <w:noWrap/>
          </w:tcPr>
          <w:p w14:paraId="4016CA52" w14:textId="1E447488"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2,52</w:t>
            </w:r>
          </w:p>
        </w:tc>
        <w:tc>
          <w:tcPr>
            <w:tcW w:w="1041" w:type="dxa"/>
            <w:tcBorders>
              <w:top w:val="nil"/>
              <w:left w:val="nil"/>
              <w:bottom w:val="single" w:sz="4" w:space="0" w:color="auto"/>
              <w:right w:val="single" w:sz="4" w:space="0" w:color="auto"/>
            </w:tcBorders>
            <w:shd w:val="clear" w:color="auto" w:fill="auto"/>
            <w:noWrap/>
            <w:vAlign w:val="bottom"/>
          </w:tcPr>
          <w:p w14:paraId="455C8BC6" w14:textId="26E37D77"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11161</w:t>
            </w:r>
          </w:p>
        </w:tc>
        <w:tc>
          <w:tcPr>
            <w:tcW w:w="960" w:type="dxa"/>
            <w:tcBorders>
              <w:top w:val="nil"/>
              <w:left w:val="nil"/>
              <w:bottom w:val="single" w:sz="4" w:space="0" w:color="auto"/>
              <w:right w:val="single" w:sz="4" w:space="0" w:color="auto"/>
            </w:tcBorders>
            <w:shd w:val="clear" w:color="auto" w:fill="auto"/>
            <w:noWrap/>
            <w:vAlign w:val="bottom"/>
          </w:tcPr>
          <w:p w14:paraId="0A6B0406" w14:textId="456026B1"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13.51</w:t>
            </w:r>
          </w:p>
        </w:tc>
        <w:tc>
          <w:tcPr>
            <w:tcW w:w="960" w:type="dxa"/>
            <w:tcBorders>
              <w:top w:val="nil"/>
              <w:left w:val="nil"/>
              <w:bottom w:val="single" w:sz="4" w:space="0" w:color="auto"/>
              <w:right w:val="single" w:sz="4" w:space="0" w:color="auto"/>
            </w:tcBorders>
            <w:shd w:val="clear" w:color="auto" w:fill="auto"/>
            <w:noWrap/>
            <w:vAlign w:val="bottom"/>
          </w:tcPr>
          <w:p w14:paraId="46860C88" w14:textId="5A190546" w:rsidR="00892456" w:rsidRPr="00892456" w:rsidRDefault="00892456" w:rsidP="00892456">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&lt;0.01*</w:t>
            </w:r>
          </w:p>
        </w:tc>
      </w:tr>
      <w:tr w:rsidR="00892456" w:rsidRPr="00892456" w14:paraId="0F3CFEFB" w14:textId="77777777" w:rsidTr="00892456">
        <w:trPr>
          <w:trHeight w:val="300"/>
        </w:trPr>
        <w:tc>
          <w:tcPr>
            <w:tcW w:w="2540" w:type="dxa"/>
            <w:vMerge/>
            <w:tcBorders>
              <w:top w:val="nil"/>
              <w:left w:val="single" w:sz="4" w:space="0" w:color="auto"/>
              <w:bottom w:val="single" w:sz="4" w:space="0" w:color="auto"/>
              <w:right w:val="single" w:sz="4" w:space="0" w:color="auto"/>
            </w:tcBorders>
            <w:shd w:val="clear" w:color="auto" w:fill="auto"/>
            <w:noWrap/>
          </w:tcPr>
          <w:p w14:paraId="413907D5"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43EE414F" w14:textId="3FD67AC1"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-6°</w:t>
            </w:r>
          </w:p>
        </w:tc>
        <w:tc>
          <w:tcPr>
            <w:tcW w:w="900" w:type="dxa"/>
            <w:tcBorders>
              <w:top w:val="nil"/>
              <w:left w:val="nil"/>
              <w:bottom w:val="single" w:sz="4" w:space="0" w:color="auto"/>
              <w:right w:val="single" w:sz="4" w:space="0" w:color="auto"/>
            </w:tcBorders>
            <w:shd w:val="clear" w:color="auto" w:fill="auto"/>
            <w:noWrap/>
            <w:vAlign w:val="bottom"/>
          </w:tcPr>
          <w:p w14:paraId="264C3FC1" w14:textId="7737D57C" w:rsidR="00892456" w:rsidRPr="002F5602" w:rsidRDefault="00892456" w:rsidP="00892456">
            <w:pPr>
              <w:spacing w:before="0" w:after="0" w:line="240" w:lineRule="auto"/>
              <w:jc w:val="right"/>
              <w:rPr>
                <w:color w:val="000000"/>
                <w:sz w:val="22"/>
                <w:szCs w:val="22"/>
              </w:rPr>
            </w:pPr>
            <w:r w:rsidRPr="002F5602">
              <w:rPr>
                <w:color w:val="000000"/>
                <w:sz w:val="22"/>
                <w:szCs w:val="22"/>
              </w:rPr>
              <w:t>12507</w:t>
            </w:r>
          </w:p>
        </w:tc>
        <w:tc>
          <w:tcPr>
            <w:tcW w:w="960" w:type="dxa"/>
            <w:vMerge/>
            <w:tcBorders>
              <w:top w:val="nil"/>
              <w:left w:val="single" w:sz="4" w:space="0" w:color="auto"/>
              <w:bottom w:val="single" w:sz="4" w:space="0" w:color="000000"/>
              <w:right w:val="single" w:sz="4" w:space="0" w:color="auto"/>
            </w:tcBorders>
            <w:shd w:val="clear" w:color="auto" w:fill="auto"/>
            <w:noWrap/>
            <w:vAlign w:val="bottom"/>
          </w:tcPr>
          <w:p w14:paraId="56369099" w14:textId="77777777" w:rsidR="00892456" w:rsidRPr="00892456" w:rsidRDefault="00892456" w:rsidP="00892456">
            <w:pPr>
              <w:spacing w:before="0" w:after="0" w:line="240" w:lineRule="auto"/>
              <w:jc w:val="center"/>
              <w:rPr>
                <w:color w:val="000000"/>
                <w:sz w:val="22"/>
                <w:szCs w:val="22"/>
              </w:rPr>
            </w:pPr>
          </w:p>
        </w:tc>
        <w:tc>
          <w:tcPr>
            <w:tcW w:w="1041" w:type="dxa"/>
            <w:tcBorders>
              <w:top w:val="nil"/>
              <w:left w:val="nil"/>
              <w:bottom w:val="single" w:sz="4" w:space="0" w:color="auto"/>
              <w:right w:val="single" w:sz="4" w:space="0" w:color="auto"/>
            </w:tcBorders>
            <w:shd w:val="clear" w:color="auto" w:fill="auto"/>
            <w:noWrap/>
            <w:vAlign w:val="bottom"/>
          </w:tcPr>
          <w:p w14:paraId="06563459" w14:textId="1776B8BA" w:rsidR="00892456" w:rsidRPr="00892456" w:rsidRDefault="00892456" w:rsidP="00892456">
            <w:pPr>
              <w:spacing w:before="0" w:after="0" w:line="240" w:lineRule="auto"/>
              <w:jc w:val="right"/>
              <w:rPr>
                <w:color w:val="000000"/>
                <w:sz w:val="22"/>
                <w:szCs w:val="22"/>
              </w:rPr>
            </w:pPr>
            <w:r w:rsidRPr="00892456">
              <w:rPr>
                <w:color w:val="000000"/>
                <w:sz w:val="22"/>
                <w:szCs w:val="22"/>
              </w:rPr>
              <w:t>6254</w:t>
            </w:r>
          </w:p>
        </w:tc>
        <w:tc>
          <w:tcPr>
            <w:tcW w:w="960" w:type="dxa"/>
            <w:tcBorders>
              <w:top w:val="nil"/>
              <w:left w:val="nil"/>
              <w:bottom w:val="single" w:sz="4" w:space="0" w:color="auto"/>
              <w:right w:val="single" w:sz="4" w:space="0" w:color="auto"/>
            </w:tcBorders>
            <w:shd w:val="clear" w:color="auto" w:fill="auto"/>
            <w:noWrap/>
            <w:vAlign w:val="bottom"/>
          </w:tcPr>
          <w:p w14:paraId="3422E9FD" w14:textId="1D4BE25A" w:rsidR="00892456" w:rsidRPr="00892456" w:rsidRDefault="00892456" w:rsidP="00892456">
            <w:pPr>
              <w:spacing w:before="0" w:after="0" w:line="240" w:lineRule="auto"/>
              <w:jc w:val="right"/>
              <w:rPr>
                <w:color w:val="000000"/>
                <w:sz w:val="22"/>
                <w:szCs w:val="22"/>
              </w:rPr>
            </w:pPr>
            <w:r w:rsidRPr="00892456">
              <w:rPr>
                <w:color w:val="000000"/>
                <w:sz w:val="22"/>
                <w:szCs w:val="22"/>
              </w:rPr>
              <w:t>5.73</w:t>
            </w:r>
          </w:p>
        </w:tc>
        <w:tc>
          <w:tcPr>
            <w:tcW w:w="960" w:type="dxa"/>
            <w:tcBorders>
              <w:top w:val="nil"/>
              <w:left w:val="nil"/>
              <w:bottom w:val="single" w:sz="4" w:space="0" w:color="auto"/>
              <w:right w:val="single" w:sz="4" w:space="0" w:color="auto"/>
            </w:tcBorders>
            <w:shd w:val="clear" w:color="auto" w:fill="auto"/>
            <w:noWrap/>
            <w:vAlign w:val="bottom"/>
          </w:tcPr>
          <w:p w14:paraId="3A775678" w14:textId="56A94E65" w:rsidR="00892456" w:rsidRPr="00892456" w:rsidRDefault="00892456" w:rsidP="00892456">
            <w:pPr>
              <w:spacing w:before="0" w:after="0" w:line="240" w:lineRule="auto"/>
              <w:jc w:val="right"/>
              <w:rPr>
                <w:color w:val="000000"/>
                <w:sz w:val="22"/>
                <w:szCs w:val="22"/>
              </w:rPr>
            </w:pPr>
            <w:r w:rsidRPr="00892456">
              <w:rPr>
                <w:color w:val="000000"/>
                <w:sz w:val="22"/>
                <w:szCs w:val="22"/>
              </w:rPr>
              <w:t>0.01</w:t>
            </w:r>
            <w:r>
              <w:rPr>
                <w:color w:val="000000"/>
                <w:sz w:val="22"/>
                <w:szCs w:val="22"/>
              </w:rPr>
              <w:t>*</w:t>
            </w:r>
          </w:p>
        </w:tc>
      </w:tr>
      <w:tr w:rsidR="00892456" w:rsidRPr="00892456" w14:paraId="5805C493" w14:textId="77777777" w:rsidTr="00892456">
        <w:trPr>
          <w:trHeight w:val="300"/>
        </w:trPr>
        <w:tc>
          <w:tcPr>
            <w:tcW w:w="2540" w:type="dxa"/>
            <w:vMerge/>
            <w:tcBorders>
              <w:top w:val="nil"/>
              <w:left w:val="single" w:sz="4" w:space="0" w:color="auto"/>
              <w:bottom w:val="single" w:sz="4" w:space="0" w:color="auto"/>
              <w:right w:val="single" w:sz="4" w:space="0" w:color="auto"/>
            </w:tcBorders>
            <w:vAlign w:val="center"/>
            <w:hideMark/>
          </w:tcPr>
          <w:p w14:paraId="2F62196C"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61760CD7" w14:textId="050676FF"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-4°</w:t>
            </w:r>
          </w:p>
        </w:tc>
        <w:tc>
          <w:tcPr>
            <w:tcW w:w="900" w:type="dxa"/>
            <w:tcBorders>
              <w:top w:val="nil"/>
              <w:left w:val="nil"/>
              <w:bottom w:val="single" w:sz="4" w:space="0" w:color="auto"/>
              <w:right w:val="single" w:sz="4" w:space="0" w:color="auto"/>
            </w:tcBorders>
            <w:shd w:val="clear" w:color="auto" w:fill="auto"/>
            <w:noWrap/>
            <w:vAlign w:val="bottom"/>
          </w:tcPr>
          <w:p w14:paraId="08D76E53" w14:textId="002429B0"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23629</w:t>
            </w:r>
          </w:p>
        </w:tc>
        <w:tc>
          <w:tcPr>
            <w:tcW w:w="960" w:type="dxa"/>
            <w:vMerge/>
            <w:tcBorders>
              <w:top w:val="nil"/>
              <w:left w:val="single" w:sz="4" w:space="0" w:color="auto"/>
              <w:bottom w:val="single" w:sz="4" w:space="0" w:color="000000"/>
              <w:right w:val="single" w:sz="4" w:space="0" w:color="auto"/>
            </w:tcBorders>
            <w:vAlign w:val="bottom"/>
          </w:tcPr>
          <w:p w14:paraId="4BB00DF0"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3C139B56" w14:textId="24784AEF"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11815</w:t>
            </w:r>
          </w:p>
        </w:tc>
        <w:tc>
          <w:tcPr>
            <w:tcW w:w="960" w:type="dxa"/>
            <w:tcBorders>
              <w:top w:val="nil"/>
              <w:left w:val="nil"/>
              <w:bottom w:val="single" w:sz="4" w:space="0" w:color="auto"/>
              <w:right w:val="single" w:sz="4" w:space="0" w:color="auto"/>
            </w:tcBorders>
            <w:shd w:val="clear" w:color="auto" w:fill="auto"/>
            <w:noWrap/>
            <w:vAlign w:val="bottom"/>
          </w:tcPr>
          <w:p w14:paraId="573B0257" w14:textId="7ABAF070"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12.64</w:t>
            </w:r>
          </w:p>
        </w:tc>
        <w:tc>
          <w:tcPr>
            <w:tcW w:w="960" w:type="dxa"/>
            <w:tcBorders>
              <w:top w:val="nil"/>
              <w:left w:val="nil"/>
              <w:bottom w:val="single" w:sz="4" w:space="0" w:color="auto"/>
              <w:right w:val="single" w:sz="4" w:space="0" w:color="auto"/>
            </w:tcBorders>
            <w:shd w:val="clear" w:color="auto" w:fill="auto"/>
            <w:noWrap/>
            <w:vAlign w:val="bottom"/>
          </w:tcPr>
          <w:p w14:paraId="0DD5A41E" w14:textId="731E52A1" w:rsidR="00892456" w:rsidRPr="00892456" w:rsidRDefault="00892456" w:rsidP="00892456">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&lt;0.01*</w:t>
            </w:r>
          </w:p>
        </w:tc>
      </w:tr>
      <w:tr w:rsidR="00892456" w:rsidRPr="00892456" w14:paraId="56AAC3CC"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tcPr>
          <w:p w14:paraId="507534C9"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3B76D238" w14:textId="44E77386"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4°</w:t>
            </w:r>
          </w:p>
        </w:tc>
        <w:tc>
          <w:tcPr>
            <w:tcW w:w="900" w:type="dxa"/>
            <w:tcBorders>
              <w:top w:val="nil"/>
              <w:left w:val="nil"/>
              <w:bottom w:val="single" w:sz="4" w:space="0" w:color="auto"/>
              <w:right w:val="single" w:sz="4" w:space="0" w:color="auto"/>
            </w:tcBorders>
            <w:shd w:val="clear" w:color="auto" w:fill="auto"/>
            <w:noWrap/>
            <w:vAlign w:val="bottom"/>
          </w:tcPr>
          <w:p w14:paraId="586B87F5" w14:textId="46DBA6C5"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14398</w:t>
            </w:r>
          </w:p>
        </w:tc>
        <w:tc>
          <w:tcPr>
            <w:tcW w:w="960" w:type="dxa"/>
            <w:vMerge/>
            <w:tcBorders>
              <w:top w:val="nil"/>
              <w:left w:val="single" w:sz="4" w:space="0" w:color="auto"/>
              <w:bottom w:val="single" w:sz="4" w:space="0" w:color="000000"/>
              <w:right w:val="single" w:sz="4" w:space="0" w:color="auto"/>
            </w:tcBorders>
            <w:vAlign w:val="bottom"/>
          </w:tcPr>
          <w:p w14:paraId="304BA523"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610AEF1A" w14:textId="180BD8B3" w:rsidR="00892456" w:rsidRPr="00892456" w:rsidRDefault="00892456" w:rsidP="00892456">
            <w:pPr>
              <w:spacing w:before="0" w:after="0" w:line="240" w:lineRule="auto"/>
              <w:jc w:val="right"/>
              <w:rPr>
                <w:color w:val="000000"/>
                <w:sz w:val="22"/>
                <w:szCs w:val="22"/>
              </w:rPr>
            </w:pPr>
            <w:r w:rsidRPr="00892456">
              <w:rPr>
                <w:color w:val="000000"/>
                <w:sz w:val="22"/>
                <w:szCs w:val="22"/>
              </w:rPr>
              <w:t>7199</w:t>
            </w:r>
          </w:p>
        </w:tc>
        <w:tc>
          <w:tcPr>
            <w:tcW w:w="960" w:type="dxa"/>
            <w:tcBorders>
              <w:top w:val="nil"/>
              <w:left w:val="nil"/>
              <w:bottom w:val="single" w:sz="4" w:space="0" w:color="auto"/>
              <w:right w:val="single" w:sz="4" w:space="0" w:color="auto"/>
            </w:tcBorders>
            <w:shd w:val="clear" w:color="auto" w:fill="auto"/>
            <w:noWrap/>
            <w:vAlign w:val="bottom"/>
          </w:tcPr>
          <w:p w14:paraId="7B83ABE8" w14:textId="50708E09" w:rsidR="00892456" w:rsidRPr="00892456" w:rsidRDefault="00892456" w:rsidP="00892456">
            <w:pPr>
              <w:spacing w:before="0" w:after="0" w:line="240" w:lineRule="auto"/>
              <w:jc w:val="right"/>
              <w:rPr>
                <w:color w:val="000000"/>
                <w:sz w:val="22"/>
                <w:szCs w:val="22"/>
              </w:rPr>
            </w:pPr>
            <w:r w:rsidRPr="00892456">
              <w:rPr>
                <w:color w:val="000000"/>
                <w:sz w:val="22"/>
                <w:szCs w:val="22"/>
              </w:rPr>
              <w:t>14.39</w:t>
            </w:r>
          </w:p>
        </w:tc>
        <w:tc>
          <w:tcPr>
            <w:tcW w:w="960" w:type="dxa"/>
            <w:tcBorders>
              <w:top w:val="nil"/>
              <w:left w:val="nil"/>
              <w:bottom w:val="single" w:sz="4" w:space="0" w:color="auto"/>
              <w:right w:val="single" w:sz="4" w:space="0" w:color="auto"/>
            </w:tcBorders>
            <w:shd w:val="clear" w:color="auto" w:fill="auto"/>
            <w:noWrap/>
            <w:vAlign w:val="bottom"/>
          </w:tcPr>
          <w:p w14:paraId="0566DFF7" w14:textId="6C7A6888" w:rsidR="00892456" w:rsidRPr="00892456" w:rsidRDefault="00892456" w:rsidP="00892456">
            <w:pPr>
              <w:spacing w:before="0" w:after="0" w:line="240" w:lineRule="auto"/>
              <w:jc w:val="right"/>
              <w:rPr>
                <w:color w:val="000000"/>
                <w:sz w:val="22"/>
                <w:szCs w:val="22"/>
              </w:rPr>
            </w:pPr>
            <w:r>
              <w:rPr>
                <w:rFonts w:eastAsia="Times New Roman"/>
                <w:color w:val="000000"/>
                <w:sz w:val="22"/>
                <w:szCs w:val="22"/>
                <w:lang w:val="en-MY" w:eastAsia="en-MY"/>
              </w:rPr>
              <w:t>&lt;0.01*</w:t>
            </w:r>
          </w:p>
        </w:tc>
      </w:tr>
      <w:tr w:rsidR="00892456" w:rsidRPr="00892456" w14:paraId="1753D635" w14:textId="77777777" w:rsidTr="00281A92">
        <w:trPr>
          <w:trHeight w:val="300"/>
        </w:trPr>
        <w:tc>
          <w:tcPr>
            <w:tcW w:w="2540" w:type="dxa"/>
            <w:vMerge/>
            <w:tcBorders>
              <w:top w:val="nil"/>
              <w:left w:val="single" w:sz="4" w:space="0" w:color="auto"/>
              <w:bottom w:val="single" w:sz="4" w:space="0" w:color="auto"/>
              <w:right w:val="single" w:sz="4" w:space="0" w:color="auto"/>
            </w:tcBorders>
            <w:vAlign w:val="center"/>
          </w:tcPr>
          <w:p w14:paraId="20050367"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7B60491A" w14:textId="1FACFCC8"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6°</w:t>
            </w:r>
          </w:p>
        </w:tc>
        <w:tc>
          <w:tcPr>
            <w:tcW w:w="900" w:type="dxa"/>
            <w:tcBorders>
              <w:top w:val="nil"/>
              <w:left w:val="nil"/>
              <w:bottom w:val="single" w:sz="4" w:space="0" w:color="auto"/>
              <w:right w:val="single" w:sz="4" w:space="0" w:color="auto"/>
            </w:tcBorders>
            <w:shd w:val="clear" w:color="auto" w:fill="auto"/>
            <w:noWrap/>
            <w:vAlign w:val="bottom"/>
          </w:tcPr>
          <w:p w14:paraId="37E15D9C" w14:textId="60BE21D0"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17809</w:t>
            </w:r>
          </w:p>
        </w:tc>
        <w:tc>
          <w:tcPr>
            <w:tcW w:w="960" w:type="dxa"/>
            <w:vMerge/>
            <w:tcBorders>
              <w:top w:val="nil"/>
              <w:left w:val="single" w:sz="4" w:space="0" w:color="auto"/>
              <w:bottom w:val="single" w:sz="4" w:space="0" w:color="000000"/>
              <w:right w:val="single" w:sz="4" w:space="0" w:color="auto"/>
            </w:tcBorders>
            <w:vAlign w:val="bottom"/>
          </w:tcPr>
          <w:p w14:paraId="5BD10A8E"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7D8EBE1A" w14:textId="5B2411DC" w:rsidR="00892456" w:rsidRPr="00892456" w:rsidRDefault="00892456" w:rsidP="00892456">
            <w:pPr>
              <w:spacing w:before="0" w:after="0" w:line="240" w:lineRule="auto"/>
              <w:jc w:val="right"/>
              <w:rPr>
                <w:color w:val="000000"/>
                <w:sz w:val="22"/>
                <w:szCs w:val="22"/>
              </w:rPr>
            </w:pPr>
            <w:r w:rsidRPr="00892456">
              <w:rPr>
                <w:color w:val="000000"/>
                <w:sz w:val="22"/>
                <w:szCs w:val="22"/>
              </w:rPr>
              <w:t>8904</w:t>
            </w:r>
          </w:p>
        </w:tc>
        <w:tc>
          <w:tcPr>
            <w:tcW w:w="960" w:type="dxa"/>
            <w:tcBorders>
              <w:top w:val="nil"/>
              <w:left w:val="nil"/>
              <w:bottom w:val="single" w:sz="4" w:space="0" w:color="auto"/>
              <w:right w:val="single" w:sz="4" w:space="0" w:color="auto"/>
            </w:tcBorders>
            <w:shd w:val="clear" w:color="auto" w:fill="auto"/>
            <w:noWrap/>
            <w:vAlign w:val="bottom"/>
          </w:tcPr>
          <w:p w14:paraId="681FE773" w14:textId="3DDE8A65" w:rsidR="00892456" w:rsidRPr="00892456" w:rsidRDefault="00892456" w:rsidP="00892456">
            <w:pPr>
              <w:spacing w:before="0" w:after="0" w:line="240" w:lineRule="auto"/>
              <w:jc w:val="right"/>
              <w:rPr>
                <w:color w:val="000000"/>
                <w:sz w:val="22"/>
                <w:szCs w:val="22"/>
              </w:rPr>
            </w:pPr>
            <w:r w:rsidRPr="00892456">
              <w:rPr>
                <w:color w:val="000000"/>
                <w:sz w:val="22"/>
                <w:szCs w:val="22"/>
              </w:rPr>
              <w:t>18.80</w:t>
            </w:r>
          </w:p>
        </w:tc>
        <w:tc>
          <w:tcPr>
            <w:tcW w:w="960" w:type="dxa"/>
            <w:tcBorders>
              <w:top w:val="nil"/>
              <w:left w:val="nil"/>
              <w:bottom w:val="single" w:sz="4" w:space="0" w:color="auto"/>
              <w:right w:val="single" w:sz="4" w:space="0" w:color="auto"/>
            </w:tcBorders>
            <w:shd w:val="clear" w:color="auto" w:fill="auto"/>
            <w:noWrap/>
            <w:vAlign w:val="bottom"/>
          </w:tcPr>
          <w:p w14:paraId="2AFF184C" w14:textId="08F94C30" w:rsidR="00892456" w:rsidRPr="00892456" w:rsidRDefault="00892456" w:rsidP="00892456">
            <w:pPr>
              <w:spacing w:before="0" w:after="0" w:line="240" w:lineRule="auto"/>
              <w:jc w:val="right"/>
              <w:rPr>
                <w:color w:val="000000"/>
                <w:sz w:val="22"/>
                <w:szCs w:val="22"/>
              </w:rPr>
            </w:pPr>
            <w:r>
              <w:rPr>
                <w:rFonts w:eastAsia="Times New Roman"/>
                <w:color w:val="000000"/>
                <w:sz w:val="22"/>
                <w:szCs w:val="22"/>
                <w:lang w:val="en-MY" w:eastAsia="en-MY"/>
              </w:rPr>
              <w:t>&lt;0.01*</w:t>
            </w:r>
          </w:p>
        </w:tc>
      </w:tr>
      <w:tr w:rsidR="00892456" w:rsidRPr="00892456" w14:paraId="4023FE60" w14:textId="77777777" w:rsidTr="00977820">
        <w:trPr>
          <w:trHeight w:val="300"/>
        </w:trPr>
        <w:tc>
          <w:tcPr>
            <w:tcW w:w="2540" w:type="dxa"/>
            <w:vMerge/>
            <w:tcBorders>
              <w:top w:val="nil"/>
              <w:left w:val="single" w:sz="4" w:space="0" w:color="auto"/>
              <w:bottom w:val="single" w:sz="4" w:space="0" w:color="auto"/>
              <w:right w:val="single" w:sz="4" w:space="0" w:color="auto"/>
            </w:tcBorders>
            <w:vAlign w:val="center"/>
            <w:hideMark/>
          </w:tcPr>
          <w:p w14:paraId="705325A6"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40D840E0" w14:textId="61C00162"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8°</w:t>
            </w:r>
          </w:p>
        </w:tc>
        <w:tc>
          <w:tcPr>
            <w:tcW w:w="900" w:type="dxa"/>
            <w:tcBorders>
              <w:top w:val="nil"/>
              <w:left w:val="nil"/>
              <w:bottom w:val="single" w:sz="4" w:space="0" w:color="auto"/>
              <w:right w:val="single" w:sz="4" w:space="0" w:color="auto"/>
            </w:tcBorders>
            <w:shd w:val="clear" w:color="auto" w:fill="auto"/>
            <w:noWrap/>
            <w:vAlign w:val="bottom"/>
          </w:tcPr>
          <w:p w14:paraId="433D96AF" w14:textId="573C8E62"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9509</w:t>
            </w:r>
          </w:p>
        </w:tc>
        <w:tc>
          <w:tcPr>
            <w:tcW w:w="960" w:type="dxa"/>
            <w:vMerge/>
            <w:tcBorders>
              <w:top w:val="nil"/>
              <w:left w:val="single" w:sz="4" w:space="0" w:color="auto"/>
              <w:bottom w:val="single" w:sz="4" w:space="0" w:color="000000"/>
              <w:right w:val="single" w:sz="4" w:space="0" w:color="auto"/>
            </w:tcBorders>
            <w:vAlign w:val="bottom"/>
          </w:tcPr>
          <w:p w14:paraId="2CCA9217"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72534003" w14:textId="3EDB4FD0"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4754</w:t>
            </w:r>
          </w:p>
        </w:tc>
        <w:tc>
          <w:tcPr>
            <w:tcW w:w="960" w:type="dxa"/>
            <w:tcBorders>
              <w:top w:val="nil"/>
              <w:left w:val="nil"/>
              <w:bottom w:val="single" w:sz="4" w:space="0" w:color="auto"/>
              <w:right w:val="single" w:sz="4" w:space="0" w:color="auto"/>
            </w:tcBorders>
            <w:shd w:val="clear" w:color="auto" w:fill="auto"/>
            <w:noWrap/>
            <w:vAlign w:val="bottom"/>
          </w:tcPr>
          <w:p w14:paraId="7ECBB41D" w14:textId="72E846B6"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7.10</w:t>
            </w:r>
          </w:p>
        </w:tc>
        <w:tc>
          <w:tcPr>
            <w:tcW w:w="960" w:type="dxa"/>
            <w:tcBorders>
              <w:top w:val="nil"/>
              <w:left w:val="nil"/>
              <w:bottom w:val="single" w:sz="4" w:space="0" w:color="auto"/>
              <w:right w:val="single" w:sz="4" w:space="0" w:color="auto"/>
            </w:tcBorders>
            <w:shd w:val="clear" w:color="auto" w:fill="auto"/>
            <w:noWrap/>
            <w:vAlign w:val="bottom"/>
          </w:tcPr>
          <w:p w14:paraId="67C9B4A5" w14:textId="321782CF" w:rsidR="00892456" w:rsidRPr="00892456" w:rsidRDefault="00892456" w:rsidP="00892456">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&lt;0.01*</w:t>
            </w:r>
          </w:p>
        </w:tc>
      </w:tr>
      <w:tr w:rsidR="00892456" w:rsidRPr="00892456" w14:paraId="5D7DA79E" w14:textId="77777777" w:rsidTr="00977820">
        <w:trPr>
          <w:trHeight w:val="300"/>
        </w:trPr>
        <w:tc>
          <w:tcPr>
            <w:tcW w:w="2540" w:type="dxa"/>
            <w:vMerge w:val="restart"/>
            <w:tcBorders>
              <w:top w:val="nil"/>
              <w:left w:val="single" w:sz="4" w:space="0" w:color="auto"/>
              <w:bottom w:val="single" w:sz="4" w:space="0" w:color="auto"/>
              <w:right w:val="single" w:sz="4" w:space="0" w:color="auto"/>
            </w:tcBorders>
            <w:shd w:val="clear" w:color="auto" w:fill="auto"/>
            <w:noWrap/>
            <w:hideMark/>
          </w:tcPr>
          <w:p w14:paraId="3FE279F3" w14:textId="77777777" w:rsidR="00892456" w:rsidRPr="00892456" w:rsidRDefault="00892456" w:rsidP="00892456">
            <w:pPr>
              <w:spacing w:before="0" w:after="0" w:line="240" w:lineRule="auto"/>
              <w:jc w:val="left"/>
              <w:rPr>
                <w:rFonts w:eastAsia="Times New Roman"/>
                <w:color w:val="000000"/>
                <w:sz w:val="22"/>
                <w:szCs w:val="22"/>
                <w:lang w:val="en-MY" w:eastAsia="en-MY"/>
              </w:rPr>
            </w:pPr>
            <w:r w:rsidRPr="00892456">
              <w:rPr>
                <w:rFonts w:eastAsia="Times New Roman"/>
                <w:color w:val="000000"/>
                <w:sz w:val="22"/>
                <w:szCs w:val="22"/>
                <w:lang w:val="en-MY" w:eastAsia="en-MY"/>
              </w:rPr>
              <w:t>Peak Velocity</w:t>
            </w:r>
          </w:p>
        </w:tc>
        <w:tc>
          <w:tcPr>
            <w:tcW w:w="1158" w:type="dxa"/>
            <w:tcBorders>
              <w:top w:val="nil"/>
              <w:left w:val="nil"/>
              <w:bottom w:val="single" w:sz="4" w:space="0" w:color="auto"/>
              <w:right w:val="single" w:sz="4" w:space="0" w:color="auto"/>
            </w:tcBorders>
            <w:shd w:val="clear" w:color="auto" w:fill="auto"/>
            <w:noWrap/>
            <w:vAlign w:val="bottom"/>
          </w:tcPr>
          <w:p w14:paraId="6E6D2748" w14:textId="498C0F76"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-8°</w:t>
            </w:r>
          </w:p>
        </w:tc>
        <w:tc>
          <w:tcPr>
            <w:tcW w:w="900" w:type="dxa"/>
            <w:tcBorders>
              <w:top w:val="nil"/>
              <w:left w:val="nil"/>
              <w:bottom w:val="single" w:sz="4" w:space="0" w:color="auto"/>
              <w:right w:val="single" w:sz="4" w:space="0" w:color="auto"/>
            </w:tcBorders>
            <w:shd w:val="clear" w:color="auto" w:fill="auto"/>
            <w:noWrap/>
            <w:vAlign w:val="bottom"/>
          </w:tcPr>
          <w:p w14:paraId="6C88E459" w14:textId="38EE01D4"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18008</w:t>
            </w:r>
          </w:p>
        </w:tc>
        <w:tc>
          <w:tcPr>
            <w:tcW w:w="960" w:type="dxa"/>
            <w:vMerge w:val="restart"/>
            <w:tcBorders>
              <w:top w:val="nil"/>
              <w:left w:val="single" w:sz="4" w:space="0" w:color="auto"/>
              <w:bottom w:val="single" w:sz="4" w:space="0" w:color="000000"/>
              <w:right w:val="single" w:sz="4" w:space="0" w:color="auto"/>
            </w:tcBorders>
            <w:shd w:val="clear" w:color="auto" w:fill="auto"/>
            <w:noWrap/>
          </w:tcPr>
          <w:p w14:paraId="5AAD1973" w14:textId="5DF5726C"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2,52</w:t>
            </w:r>
          </w:p>
        </w:tc>
        <w:tc>
          <w:tcPr>
            <w:tcW w:w="1041" w:type="dxa"/>
            <w:tcBorders>
              <w:top w:val="nil"/>
              <w:left w:val="nil"/>
              <w:bottom w:val="single" w:sz="4" w:space="0" w:color="auto"/>
              <w:right w:val="single" w:sz="4" w:space="0" w:color="auto"/>
            </w:tcBorders>
            <w:shd w:val="clear" w:color="auto" w:fill="auto"/>
            <w:noWrap/>
            <w:vAlign w:val="bottom"/>
          </w:tcPr>
          <w:p w14:paraId="3DB63901" w14:textId="1DC8FAA9"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9004</w:t>
            </w:r>
          </w:p>
        </w:tc>
        <w:tc>
          <w:tcPr>
            <w:tcW w:w="960" w:type="dxa"/>
            <w:tcBorders>
              <w:top w:val="nil"/>
              <w:left w:val="nil"/>
              <w:bottom w:val="single" w:sz="4" w:space="0" w:color="auto"/>
              <w:right w:val="single" w:sz="4" w:space="0" w:color="auto"/>
            </w:tcBorders>
            <w:shd w:val="clear" w:color="auto" w:fill="auto"/>
            <w:noWrap/>
            <w:vAlign w:val="bottom"/>
          </w:tcPr>
          <w:p w14:paraId="12B5A83E" w14:textId="7037F41E"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2.32</w:t>
            </w:r>
          </w:p>
        </w:tc>
        <w:tc>
          <w:tcPr>
            <w:tcW w:w="960" w:type="dxa"/>
            <w:tcBorders>
              <w:top w:val="nil"/>
              <w:left w:val="nil"/>
              <w:bottom w:val="single" w:sz="4" w:space="0" w:color="auto"/>
              <w:right w:val="single" w:sz="4" w:space="0" w:color="auto"/>
            </w:tcBorders>
            <w:shd w:val="clear" w:color="auto" w:fill="auto"/>
            <w:noWrap/>
            <w:vAlign w:val="bottom"/>
          </w:tcPr>
          <w:p w14:paraId="5E0413EF" w14:textId="19ADF7E0" w:rsidR="00892456" w:rsidRPr="00892456" w:rsidRDefault="002F5602" w:rsidP="00892456">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0.11</w:t>
            </w:r>
          </w:p>
        </w:tc>
      </w:tr>
      <w:tr w:rsidR="00892456" w:rsidRPr="00892456" w14:paraId="422D8A6B" w14:textId="77777777" w:rsidTr="00977820">
        <w:trPr>
          <w:trHeight w:val="300"/>
        </w:trPr>
        <w:tc>
          <w:tcPr>
            <w:tcW w:w="2540" w:type="dxa"/>
            <w:vMerge/>
            <w:tcBorders>
              <w:top w:val="nil"/>
              <w:left w:val="single" w:sz="4" w:space="0" w:color="auto"/>
              <w:bottom w:val="single" w:sz="4" w:space="0" w:color="auto"/>
              <w:right w:val="single" w:sz="4" w:space="0" w:color="auto"/>
            </w:tcBorders>
            <w:shd w:val="clear" w:color="auto" w:fill="auto"/>
            <w:noWrap/>
          </w:tcPr>
          <w:p w14:paraId="6ADFE5B0"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2A7B8753" w14:textId="1D39FC9C"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-6°</w:t>
            </w:r>
          </w:p>
        </w:tc>
        <w:tc>
          <w:tcPr>
            <w:tcW w:w="900" w:type="dxa"/>
            <w:tcBorders>
              <w:top w:val="nil"/>
              <w:left w:val="nil"/>
              <w:bottom w:val="single" w:sz="4" w:space="0" w:color="auto"/>
              <w:right w:val="single" w:sz="4" w:space="0" w:color="auto"/>
            </w:tcBorders>
            <w:shd w:val="clear" w:color="auto" w:fill="auto"/>
            <w:noWrap/>
            <w:vAlign w:val="bottom"/>
          </w:tcPr>
          <w:p w14:paraId="600354B1" w14:textId="14993BA3"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15789</w:t>
            </w:r>
          </w:p>
        </w:tc>
        <w:tc>
          <w:tcPr>
            <w:tcW w:w="960" w:type="dxa"/>
            <w:vMerge/>
            <w:tcBorders>
              <w:top w:val="nil"/>
              <w:left w:val="single" w:sz="4" w:space="0" w:color="auto"/>
              <w:bottom w:val="single" w:sz="4" w:space="0" w:color="000000"/>
              <w:right w:val="single" w:sz="4" w:space="0" w:color="auto"/>
            </w:tcBorders>
            <w:shd w:val="clear" w:color="auto" w:fill="auto"/>
            <w:noWrap/>
            <w:vAlign w:val="bottom"/>
          </w:tcPr>
          <w:p w14:paraId="7AD4E676" w14:textId="77777777" w:rsidR="00892456" w:rsidRPr="00892456" w:rsidRDefault="00892456" w:rsidP="00892456">
            <w:pPr>
              <w:spacing w:before="0" w:after="0" w:line="240" w:lineRule="auto"/>
              <w:jc w:val="center"/>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549A26BD" w14:textId="0C908E2A"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7894</w:t>
            </w:r>
          </w:p>
        </w:tc>
        <w:tc>
          <w:tcPr>
            <w:tcW w:w="960" w:type="dxa"/>
            <w:tcBorders>
              <w:top w:val="nil"/>
              <w:left w:val="nil"/>
              <w:bottom w:val="single" w:sz="4" w:space="0" w:color="auto"/>
              <w:right w:val="single" w:sz="4" w:space="0" w:color="auto"/>
            </w:tcBorders>
            <w:shd w:val="clear" w:color="auto" w:fill="auto"/>
            <w:noWrap/>
            <w:vAlign w:val="bottom"/>
          </w:tcPr>
          <w:p w14:paraId="38CD13D3" w14:textId="0132E45E"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2.40</w:t>
            </w:r>
          </w:p>
        </w:tc>
        <w:tc>
          <w:tcPr>
            <w:tcW w:w="960" w:type="dxa"/>
            <w:tcBorders>
              <w:top w:val="nil"/>
              <w:left w:val="nil"/>
              <w:bottom w:val="single" w:sz="4" w:space="0" w:color="auto"/>
              <w:right w:val="single" w:sz="4" w:space="0" w:color="auto"/>
            </w:tcBorders>
            <w:shd w:val="clear" w:color="auto" w:fill="auto"/>
            <w:noWrap/>
            <w:vAlign w:val="bottom"/>
          </w:tcPr>
          <w:p w14:paraId="2E7E6676" w14:textId="4D1C3774" w:rsidR="00892456" w:rsidRPr="00892456" w:rsidRDefault="002F5602" w:rsidP="00892456">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0.10</w:t>
            </w:r>
          </w:p>
        </w:tc>
      </w:tr>
      <w:tr w:rsidR="00892456" w:rsidRPr="00892456" w14:paraId="0D4F0521" w14:textId="77777777" w:rsidTr="00977820">
        <w:trPr>
          <w:trHeight w:val="300"/>
        </w:trPr>
        <w:tc>
          <w:tcPr>
            <w:tcW w:w="2540" w:type="dxa"/>
            <w:vMerge/>
            <w:tcBorders>
              <w:top w:val="nil"/>
              <w:left w:val="single" w:sz="4" w:space="0" w:color="auto"/>
              <w:bottom w:val="single" w:sz="4" w:space="0" w:color="auto"/>
              <w:right w:val="single" w:sz="4" w:space="0" w:color="auto"/>
            </w:tcBorders>
            <w:shd w:val="clear" w:color="auto" w:fill="auto"/>
            <w:noWrap/>
          </w:tcPr>
          <w:p w14:paraId="32118136"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6496B115" w14:textId="549C9EDF"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-4°</w:t>
            </w:r>
          </w:p>
        </w:tc>
        <w:tc>
          <w:tcPr>
            <w:tcW w:w="900" w:type="dxa"/>
            <w:tcBorders>
              <w:top w:val="nil"/>
              <w:left w:val="nil"/>
              <w:bottom w:val="single" w:sz="4" w:space="0" w:color="auto"/>
              <w:right w:val="single" w:sz="4" w:space="0" w:color="auto"/>
            </w:tcBorders>
            <w:shd w:val="clear" w:color="auto" w:fill="auto"/>
            <w:noWrap/>
            <w:vAlign w:val="bottom"/>
          </w:tcPr>
          <w:p w14:paraId="041462E0" w14:textId="4AB78F01"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9425</w:t>
            </w:r>
          </w:p>
        </w:tc>
        <w:tc>
          <w:tcPr>
            <w:tcW w:w="960" w:type="dxa"/>
            <w:vMerge/>
            <w:tcBorders>
              <w:top w:val="nil"/>
              <w:left w:val="single" w:sz="4" w:space="0" w:color="auto"/>
              <w:bottom w:val="single" w:sz="4" w:space="0" w:color="000000"/>
              <w:right w:val="single" w:sz="4" w:space="0" w:color="auto"/>
            </w:tcBorders>
            <w:shd w:val="clear" w:color="auto" w:fill="auto"/>
            <w:noWrap/>
            <w:vAlign w:val="bottom"/>
          </w:tcPr>
          <w:p w14:paraId="1D21E299" w14:textId="77777777" w:rsidR="00892456" w:rsidRPr="00892456" w:rsidRDefault="00892456" w:rsidP="00892456">
            <w:pPr>
              <w:spacing w:before="0" w:after="0" w:line="240" w:lineRule="auto"/>
              <w:jc w:val="center"/>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37FEDC67" w14:textId="7EF5E88F"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4713</w:t>
            </w:r>
          </w:p>
        </w:tc>
        <w:tc>
          <w:tcPr>
            <w:tcW w:w="960" w:type="dxa"/>
            <w:tcBorders>
              <w:top w:val="nil"/>
              <w:left w:val="nil"/>
              <w:bottom w:val="single" w:sz="4" w:space="0" w:color="auto"/>
              <w:right w:val="single" w:sz="4" w:space="0" w:color="auto"/>
            </w:tcBorders>
            <w:shd w:val="clear" w:color="auto" w:fill="auto"/>
            <w:noWrap/>
            <w:vAlign w:val="bottom"/>
          </w:tcPr>
          <w:p w14:paraId="475A2692" w14:textId="0D07746A"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1.86</w:t>
            </w:r>
          </w:p>
        </w:tc>
        <w:tc>
          <w:tcPr>
            <w:tcW w:w="960" w:type="dxa"/>
            <w:tcBorders>
              <w:top w:val="nil"/>
              <w:left w:val="nil"/>
              <w:bottom w:val="single" w:sz="4" w:space="0" w:color="auto"/>
              <w:right w:val="single" w:sz="4" w:space="0" w:color="auto"/>
            </w:tcBorders>
            <w:shd w:val="clear" w:color="auto" w:fill="auto"/>
            <w:noWrap/>
            <w:vAlign w:val="bottom"/>
          </w:tcPr>
          <w:p w14:paraId="68868FFE" w14:textId="60776186" w:rsidR="00892456" w:rsidRPr="00892456" w:rsidRDefault="002F5602" w:rsidP="00892456">
            <w:pPr>
              <w:spacing w:before="0" w:after="0" w:line="240" w:lineRule="auto"/>
              <w:jc w:val="right"/>
              <w:rPr>
                <w:rFonts w:eastAsia="Times New Roman"/>
                <w:color w:val="000000"/>
                <w:sz w:val="22"/>
                <w:szCs w:val="22"/>
                <w:lang w:val="en-MY" w:eastAsia="en-MY"/>
              </w:rPr>
            </w:pPr>
            <w:r>
              <w:rPr>
                <w:rFonts w:eastAsia="Times New Roman"/>
                <w:color w:val="000000"/>
                <w:sz w:val="22"/>
                <w:szCs w:val="22"/>
                <w:lang w:val="en-MY" w:eastAsia="en-MY"/>
              </w:rPr>
              <w:t>0.17</w:t>
            </w:r>
          </w:p>
        </w:tc>
      </w:tr>
      <w:tr w:rsidR="00892456" w:rsidRPr="00892456" w14:paraId="4957D31A" w14:textId="77777777" w:rsidTr="00977820">
        <w:trPr>
          <w:trHeight w:val="300"/>
        </w:trPr>
        <w:tc>
          <w:tcPr>
            <w:tcW w:w="2540" w:type="dxa"/>
            <w:vMerge/>
            <w:tcBorders>
              <w:top w:val="nil"/>
              <w:left w:val="single" w:sz="4" w:space="0" w:color="auto"/>
              <w:bottom w:val="single" w:sz="4" w:space="0" w:color="auto"/>
              <w:right w:val="single" w:sz="4" w:space="0" w:color="auto"/>
            </w:tcBorders>
            <w:vAlign w:val="center"/>
            <w:hideMark/>
          </w:tcPr>
          <w:p w14:paraId="3894328A"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28639F51" w14:textId="1787C5AE"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4°</w:t>
            </w:r>
          </w:p>
        </w:tc>
        <w:tc>
          <w:tcPr>
            <w:tcW w:w="900" w:type="dxa"/>
            <w:tcBorders>
              <w:top w:val="nil"/>
              <w:left w:val="nil"/>
              <w:bottom w:val="single" w:sz="4" w:space="0" w:color="auto"/>
              <w:right w:val="single" w:sz="4" w:space="0" w:color="auto"/>
            </w:tcBorders>
            <w:shd w:val="clear" w:color="auto" w:fill="auto"/>
            <w:noWrap/>
            <w:vAlign w:val="bottom"/>
          </w:tcPr>
          <w:p w14:paraId="10E3AF56" w14:textId="06831ED4"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1087</w:t>
            </w:r>
          </w:p>
        </w:tc>
        <w:tc>
          <w:tcPr>
            <w:tcW w:w="960" w:type="dxa"/>
            <w:vMerge/>
            <w:tcBorders>
              <w:top w:val="nil"/>
              <w:left w:val="single" w:sz="4" w:space="0" w:color="auto"/>
              <w:bottom w:val="single" w:sz="4" w:space="0" w:color="000000"/>
              <w:right w:val="single" w:sz="4" w:space="0" w:color="auto"/>
            </w:tcBorders>
            <w:vAlign w:val="bottom"/>
          </w:tcPr>
          <w:p w14:paraId="09CA1F9B"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2A2B3AFA" w14:textId="6F4251C0"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544</w:t>
            </w:r>
          </w:p>
        </w:tc>
        <w:tc>
          <w:tcPr>
            <w:tcW w:w="960" w:type="dxa"/>
            <w:tcBorders>
              <w:top w:val="nil"/>
              <w:left w:val="nil"/>
              <w:bottom w:val="single" w:sz="4" w:space="0" w:color="auto"/>
              <w:right w:val="single" w:sz="4" w:space="0" w:color="auto"/>
            </w:tcBorders>
            <w:shd w:val="clear" w:color="auto" w:fill="auto"/>
            <w:noWrap/>
            <w:vAlign w:val="bottom"/>
          </w:tcPr>
          <w:p w14:paraId="57824F1A" w14:textId="79FE7C7B"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0.21</w:t>
            </w:r>
          </w:p>
        </w:tc>
        <w:tc>
          <w:tcPr>
            <w:tcW w:w="960" w:type="dxa"/>
            <w:tcBorders>
              <w:top w:val="nil"/>
              <w:left w:val="nil"/>
              <w:bottom w:val="single" w:sz="4" w:space="0" w:color="auto"/>
              <w:right w:val="single" w:sz="4" w:space="0" w:color="auto"/>
            </w:tcBorders>
            <w:shd w:val="clear" w:color="auto" w:fill="auto"/>
            <w:noWrap/>
            <w:vAlign w:val="bottom"/>
          </w:tcPr>
          <w:p w14:paraId="3D2180D2" w14:textId="6BF37263"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0.81</w:t>
            </w:r>
          </w:p>
        </w:tc>
      </w:tr>
      <w:tr w:rsidR="00892456" w:rsidRPr="00892456" w14:paraId="7C64964E" w14:textId="77777777" w:rsidTr="008A7B98">
        <w:trPr>
          <w:trHeight w:val="300"/>
        </w:trPr>
        <w:tc>
          <w:tcPr>
            <w:tcW w:w="2540" w:type="dxa"/>
            <w:vMerge/>
            <w:tcBorders>
              <w:top w:val="nil"/>
              <w:left w:val="single" w:sz="4" w:space="0" w:color="auto"/>
              <w:bottom w:val="single" w:sz="4" w:space="0" w:color="auto"/>
              <w:right w:val="single" w:sz="4" w:space="0" w:color="auto"/>
            </w:tcBorders>
            <w:vAlign w:val="center"/>
          </w:tcPr>
          <w:p w14:paraId="66AA54AD"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2F7F6B0F" w14:textId="4EB75091"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6°</w:t>
            </w:r>
          </w:p>
        </w:tc>
        <w:tc>
          <w:tcPr>
            <w:tcW w:w="900" w:type="dxa"/>
            <w:tcBorders>
              <w:top w:val="nil"/>
              <w:left w:val="nil"/>
              <w:bottom w:val="single" w:sz="4" w:space="0" w:color="auto"/>
              <w:right w:val="single" w:sz="4" w:space="0" w:color="auto"/>
            </w:tcBorders>
            <w:shd w:val="clear" w:color="auto" w:fill="auto"/>
            <w:noWrap/>
            <w:vAlign w:val="bottom"/>
          </w:tcPr>
          <w:p w14:paraId="463ADBBE" w14:textId="75784196"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1411</w:t>
            </w:r>
          </w:p>
        </w:tc>
        <w:tc>
          <w:tcPr>
            <w:tcW w:w="960" w:type="dxa"/>
            <w:vMerge/>
            <w:tcBorders>
              <w:top w:val="nil"/>
              <w:left w:val="single" w:sz="4" w:space="0" w:color="auto"/>
              <w:bottom w:val="single" w:sz="4" w:space="0" w:color="000000"/>
              <w:right w:val="single" w:sz="4" w:space="0" w:color="auto"/>
            </w:tcBorders>
            <w:vAlign w:val="bottom"/>
          </w:tcPr>
          <w:p w14:paraId="5B0CD1D4"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15DA88A3" w14:textId="217920FD"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705</w:t>
            </w:r>
          </w:p>
        </w:tc>
        <w:tc>
          <w:tcPr>
            <w:tcW w:w="960" w:type="dxa"/>
            <w:tcBorders>
              <w:top w:val="nil"/>
              <w:left w:val="nil"/>
              <w:bottom w:val="single" w:sz="4" w:space="0" w:color="auto"/>
              <w:right w:val="single" w:sz="4" w:space="0" w:color="auto"/>
            </w:tcBorders>
            <w:shd w:val="clear" w:color="auto" w:fill="auto"/>
            <w:noWrap/>
            <w:vAlign w:val="bottom"/>
          </w:tcPr>
          <w:p w14:paraId="7BB887CA" w14:textId="4AAB91DB"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0.21</w:t>
            </w:r>
          </w:p>
        </w:tc>
        <w:tc>
          <w:tcPr>
            <w:tcW w:w="960" w:type="dxa"/>
            <w:tcBorders>
              <w:top w:val="nil"/>
              <w:left w:val="nil"/>
              <w:bottom w:val="single" w:sz="4" w:space="0" w:color="auto"/>
              <w:right w:val="single" w:sz="4" w:space="0" w:color="auto"/>
            </w:tcBorders>
            <w:shd w:val="clear" w:color="auto" w:fill="auto"/>
            <w:noWrap/>
            <w:vAlign w:val="bottom"/>
          </w:tcPr>
          <w:p w14:paraId="713E4186" w14:textId="1652BBF3"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0.81</w:t>
            </w:r>
          </w:p>
        </w:tc>
      </w:tr>
      <w:tr w:rsidR="00892456" w:rsidRPr="00892456" w14:paraId="70C26E8C" w14:textId="77777777" w:rsidTr="00977820">
        <w:trPr>
          <w:trHeight w:val="300"/>
        </w:trPr>
        <w:tc>
          <w:tcPr>
            <w:tcW w:w="2540" w:type="dxa"/>
            <w:vMerge/>
            <w:tcBorders>
              <w:top w:val="nil"/>
              <w:left w:val="single" w:sz="4" w:space="0" w:color="auto"/>
              <w:bottom w:val="single" w:sz="4" w:space="0" w:color="auto"/>
              <w:right w:val="single" w:sz="4" w:space="0" w:color="auto"/>
            </w:tcBorders>
            <w:vAlign w:val="center"/>
            <w:hideMark/>
          </w:tcPr>
          <w:p w14:paraId="494A6BFB"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471D465D" w14:textId="699AB8E5"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8°</w:t>
            </w:r>
          </w:p>
        </w:tc>
        <w:tc>
          <w:tcPr>
            <w:tcW w:w="900" w:type="dxa"/>
            <w:tcBorders>
              <w:top w:val="nil"/>
              <w:left w:val="nil"/>
              <w:bottom w:val="single" w:sz="4" w:space="0" w:color="auto"/>
              <w:right w:val="single" w:sz="4" w:space="0" w:color="auto"/>
            </w:tcBorders>
            <w:shd w:val="clear" w:color="auto" w:fill="auto"/>
            <w:noWrap/>
            <w:vAlign w:val="bottom"/>
          </w:tcPr>
          <w:p w14:paraId="492130E1" w14:textId="7F01051B"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2187</w:t>
            </w:r>
          </w:p>
        </w:tc>
        <w:tc>
          <w:tcPr>
            <w:tcW w:w="960" w:type="dxa"/>
            <w:vMerge/>
            <w:tcBorders>
              <w:top w:val="nil"/>
              <w:left w:val="single" w:sz="4" w:space="0" w:color="auto"/>
              <w:bottom w:val="single" w:sz="4" w:space="0" w:color="000000"/>
              <w:right w:val="single" w:sz="4" w:space="0" w:color="auto"/>
            </w:tcBorders>
            <w:vAlign w:val="bottom"/>
          </w:tcPr>
          <w:p w14:paraId="195D1270"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22991F57" w14:textId="652DE6F9"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1094</w:t>
            </w:r>
          </w:p>
        </w:tc>
        <w:tc>
          <w:tcPr>
            <w:tcW w:w="960" w:type="dxa"/>
            <w:tcBorders>
              <w:top w:val="nil"/>
              <w:left w:val="nil"/>
              <w:bottom w:val="single" w:sz="4" w:space="0" w:color="auto"/>
              <w:right w:val="single" w:sz="4" w:space="0" w:color="auto"/>
            </w:tcBorders>
            <w:shd w:val="clear" w:color="auto" w:fill="auto"/>
            <w:noWrap/>
            <w:vAlign w:val="bottom"/>
          </w:tcPr>
          <w:p w14:paraId="67541F79" w14:textId="3A7582A2"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0.22</w:t>
            </w:r>
          </w:p>
        </w:tc>
        <w:tc>
          <w:tcPr>
            <w:tcW w:w="960" w:type="dxa"/>
            <w:tcBorders>
              <w:top w:val="nil"/>
              <w:left w:val="nil"/>
              <w:bottom w:val="single" w:sz="4" w:space="0" w:color="auto"/>
              <w:right w:val="single" w:sz="4" w:space="0" w:color="auto"/>
            </w:tcBorders>
            <w:shd w:val="clear" w:color="auto" w:fill="auto"/>
            <w:noWrap/>
            <w:vAlign w:val="bottom"/>
          </w:tcPr>
          <w:p w14:paraId="2148611E" w14:textId="61D44EB0"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0.80</w:t>
            </w:r>
          </w:p>
        </w:tc>
      </w:tr>
      <w:tr w:rsidR="00892456" w:rsidRPr="00892456" w14:paraId="7628F315" w14:textId="77777777" w:rsidTr="00977820">
        <w:trPr>
          <w:trHeight w:val="300"/>
        </w:trPr>
        <w:tc>
          <w:tcPr>
            <w:tcW w:w="2540" w:type="dxa"/>
            <w:vMerge w:val="restart"/>
            <w:tcBorders>
              <w:top w:val="nil"/>
              <w:left w:val="single" w:sz="4" w:space="0" w:color="auto"/>
              <w:bottom w:val="single" w:sz="4" w:space="0" w:color="auto"/>
              <w:right w:val="single" w:sz="4" w:space="0" w:color="auto"/>
            </w:tcBorders>
            <w:shd w:val="clear" w:color="auto" w:fill="auto"/>
            <w:hideMark/>
          </w:tcPr>
          <w:p w14:paraId="6E17E8F8" w14:textId="77777777" w:rsidR="00892456" w:rsidRPr="00892456" w:rsidRDefault="00892456" w:rsidP="00892456">
            <w:pPr>
              <w:spacing w:before="0" w:after="0" w:line="240" w:lineRule="auto"/>
              <w:jc w:val="left"/>
              <w:rPr>
                <w:rFonts w:eastAsia="Times New Roman"/>
                <w:color w:val="000000"/>
                <w:sz w:val="22"/>
                <w:szCs w:val="22"/>
                <w:lang w:val="en-MY" w:eastAsia="en-MY"/>
              </w:rPr>
            </w:pPr>
            <w:r w:rsidRPr="00892456">
              <w:rPr>
                <w:rFonts w:eastAsia="Times New Roman"/>
                <w:color w:val="000000"/>
                <w:sz w:val="22"/>
                <w:szCs w:val="22"/>
                <w:lang w:val="en-MY" w:eastAsia="en-MY"/>
              </w:rPr>
              <w:t>Gain</w:t>
            </w:r>
          </w:p>
        </w:tc>
        <w:tc>
          <w:tcPr>
            <w:tcW w:w="1158" w:type="dxa"/>
            <w:tcBorders>
              <w:top w:val="nil"/>
              <w:left w:val="nil"/>
              <w:bottom w:val="single" w:sz="4" w:space="0" w:color="auto"/>
              <w:right w:val="single" w:sz="4" w:space="0" w:color="auto"/>
            </w:tcBorders>
            <w:shd w:val="clear" w:color="auto" w:fill="auto"/>
            <w:noWrap/>
            <w:vAlign w:val="bottom"/>
          </w:tcPr>
          <w:p w14:paraId="26515287" w14:textId="0EFFD354"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-8°</w:t>
            </w:r>
          </w:p>
        </w:tc>
        <w:tc>
          <w:tcPr>
            <w:tcW w:w="900" w:type="dxa"/>
            <w:tcBorders>
              <w:top w:val="nil"/>
              <w:left w:val="nil"/>
              <w:bottom w:val="single" w:sz="4" w:space="0" w:color="auto"/>
              <w:right w:val="single" w:sz="4" w:space="0" w:color="auto"/>
            </w:tcBorders>
            <w:shd w:val="clear" w:color="auto" w:fill="auto"/>
            <w:noWrap/>
            <w:vAlign w:val="bottom"/>
          </w:tcPr>
          <w:p w14:paraId="18D7D631" w14:textId="0123A754"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0.02</w:t>
            </w:r>
          </w:p>
        </w:tc>
        <w:tc>
          <w:tcPr>
            <w:tcW w:w="960" w:type="dxa"/>
            <w:vMerge w:val="restart"/>
            <w:tcBorders>
              <w:top w:val="nil"/>
              <w:left w:val="single" w:sz="4" w:space="0" w:color="auto"/>
              <w:bottom w:val="single" w:sz="4" w:space="0" w:color="000000"/>
              <w:right w:val="single" w:sz="4" w:space="0" w:color="auto"/>
            </w:tcBorders>
            <w:shd w:val="clear" w:color="auto" w:fill="auto"/>
            <w:noWrap/>
          </w:tcPr>
          <w:p w14:paraId="2B40E4C7" w14:textId="093BD4DE"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2,52</w:t>
            </w:r>
          </w:p>
        </w:tc>
        <w:tc>
          <w:tcPr>
            <w:tcW w:w="1041" w:type="dxa"/>
            <w:tcBorders>
              <w:top w:val="nil"/>
              <w:left w:val="nil"/>
              <w:bottom w:val="single" w:sz="4" w:space="0" w:color="auto"/>
              <w:right w:val="single" w:sz="4" w:space="0" w:color="auto"/>
            </w:tcBorders>
            <w:shd w:val="clear" w:color="auto" w:fill="auto"/>
            <w:noWrap/>
            <w:vAlign w:val="bottom"/>
          </w:tcPr>
          <w:p w14:paraId="73956B00" w14:textId="02CC999C"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0.01</w:t>
            </w:r>
          </w:p>
        </w:tc>
        <w:tc>
          <w:tcPr>
            <w:tcW w:w="960" w:type="dxa"/>
            <w:tcBorders>
              <w:top w:val="nil"/>
              <w:left w:val="nil"/>
              <w:bottom w:val="single" w:sz="4" w:space="0" w:color="auto"/>
              <w:right w:val="single" w:sz="4" w:space="0" w:color="auto"/>
            </w:tcBorders>
            <w:shd w:val="clear" w:color="auto" w:fill="auto"/>
            <w:noWrap/>
            <w:vAlign w:val="bottom"/>
          </w:tcPr>
          <w:p w14:paraId="4636CE7E" w14:textId="7E2D9A62"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0.72</w:t>
            </w:r>
          </w:p>
        </w:tc>
        <w:tc>
          <w:tcPr>
            <w:tcW w:w="960" w:type="dxa"/>
            <w:tcBorders>
              <w:top w:val="nil"/>
              <w:left w:val="nil"/>
              <w:bottom w:val="single" w:sz="4" w:space="0" w:color="auto"/>
              <w:right w:val="single" w:sz="4" w:space="0" w:color="auto"/>
            </w:tcBorders>
            <w:shd w:val="clear" w:color="auto" w:fill="auto"/>
            <w:noWrap/>
            <w:vAlign w:val="bottom"/>
          </w:tcPr>
          <w:p w14:paraId="3F9C9C67" w14:textId="4AC25F68"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w:t>
            </w:r>
            <w:r w:rsidR="00EC4597">
              <w:rPr>
                <w:color w:val="000000"/>
                <w:sz w:val="22"/>
                <w:szCs w:val="22"/>
              </w:rPr>
              <w:t>50</w:t>
            </w:r>
          </w:p>
        </w:tc>
      </w:tr>
      <w:tr w:rsidR="00892456" w:rsidRPr="00892456" w14:paraId="7784E7FF" w14:textId="77777777" w:rsidTr="00977820">
        <w:trPr>
          <w:trHeight w:val="300"/>
        </w:trPr>
        <w:tc>
          <w:tcPr>
            <w:tcW w:w="2540" w:type="dxa"/>
            <w:vMerge/>
            <w:tcBorders>
              <w:top w:val="nil"/>
              <w:left w:val="single" w:sz="4" w:space="0" w:color="auto"/>
              <w:bottom w:val="single" w:sz="4" w:space="0" w:color="auto"/>
              <w:right w:val="single" w:sz="4" w:space="0" w:color="auto"/>
            </w:tcBorders>
            <w:shd w:val="clear" w:color="auto" w:fill="auto"/>
          </w:tcPr>
          <w:p w14:paraId="185810AF"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0584C96B" w14:textId="075AED66"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-6°</w:t>
            </w:r>
          </w:p>
        </w:tc>
        <w:tc>
          <w:tcPr>
            <w:tcW w:w="900" w:type="dxa"/>
            <w:tcBorders>
              <w:top w:val="nil"/>
              <w:left w:val="nil"/>
              <w:bottom w:val="single" w:sz="4" w:space="0" w:color="auto"/>
              <w:right w:val="single" w:sz="4" w:space="0" w:color="auto"/>
            </w:tcBorders>
            <w:shd w:val="clear" w:color="auto" w:fill="auto"/>
            <w:noWrap/>
            <w:vAlign w:val="bottom"/>
          </w:tcPr>
          <w:p w14:paraId="522FB80E" w14:textId="32BA0441"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0.04</w:t>
            </w:r>
          </w:p>
        </w:tc>
        <w:tc>
          <w:tcPr>
            <w:tcW w:w="960" w:type="dxa"/>
            <w:vMerge/>
            <w:tcBorders>
              <w:top w:val="nil"/>
              <w:left w:val="single" w:sz="4" w:space="0" w:color="auto"/>
              <w:bottom w:val="single" w:sz="4" w:space="0" w:color="000000"/>
              <w:right w:val="single" w:sz="4" w:space="0" w:color="auto"/>
            </w:tcBorders>
            <w:shd w:val="clear" w:color="auto" w:fill="auto"/>
            <w:noWrap/>
            <w:vAlign w:val="bottom"/>
          </w:tcPr>
          <w:p w14:paraId="0BB4D50B" w14:textId="77777777" w:rsidR="00892456" w:rsidRPr="00892456" w:rsidRDefault="00892456" w:rsidP="00892456">
            <w:pPr>
              <w:spacing w:before="0" w:after="0" w:line="240" w:lineRule="auto"/>
              <w:jc w:val="center"/>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335DC650" w14:textId="7C5FD4CF"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0.02</w:t>
            </w:r>
          </w:p>
        </w:tc>
        <w:tc>
          <w:tcPr>
            <w:tcW w:w="960" w:type="dxa"/>
            <w:tcBorders>
              <w:top w:val="nil"/>
              <w:left w:val="nil"/>
              <w:bottom w:val="single" w:sz="4" w:space="0" w:color="auto"/>
              <w:right w:val="single" w:sz="4" w:space="0" w:color="auto"/>
            </w:tcBorders>
            <w:shd w:val="clear" w:color="auto" w:fill="auto"/>
            <w:noWrap/>
            <w:vAlign w:val="bottom"/>
          </w:tcPr>
          <w:p w14:paraId="2F8DB132" w14:textId="0373F1F4"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2.52</w:t>
            </w:r>
          </w:p>
        </w:tc>
        <w:tc>
          <w:tcPr>
            <w:tcW w:w="960" w:type="dxa"/>
            <w:tcBorders>
              <w:top w:val="nil"/>
              <w:left w:val="nil"/>
              <w:bottom w:val="single" w:sz="4" w:space="0" w:color="auto"/>
              <w:right w:val="single" w:sz="4" w:space="0" w:color="auto"/>
            </w:tcBorders>
            <w:shd w:val="clear" w:color="auto" w:fill="auto"/>
            <w:noWrap/>
            <w:vAlign w:val="bottom"/>
          </w:tcPr>
          <w:p w14:paraId="69D3A59A" w14:textId="1215CEB9"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0.09</w:t>
            </w:r>
          </w:p>
        </w:tc>
      </w:tr>
      <w:tr w:rsidR="00892456" w:rsidRPr="00892456" w14:paraId="26EB850B" w14:textId="77777777" w:rsidTr="00977820">
        <w:trPr>
          <w:trHeight w:val="300"/>
        </w:trPr>
        <w:tc>
          <w:tcPr>
            <w:tcW w:w="2540" w:type="dxa"/>
            <w:vMerge/>
            <w:tcBorders>
              <w:top w:val="nil"/>
              <w:left w:val="single" w:sz="4" w:space="0" w:color="auto"/>
              <w:bottom w:val="single" w:sz="4" w:space="0" w:color="auto"/>
              <w:right w:val="single" w:sz="4" w:space="0" w:color="auto"/>
            </w:tcBorders>
            <w:shd w:val="clear" w:color="auto" w:fill="auto"/>
          </w:tcPr>
          <w:p w14:paraId="2CDA0543"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4308AB23" w14:textId="46521827"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-4°</w:t>
            </w:r>
          </w:p>
        </w:tc>
        <w:tc>
          <w:tcPr>
            <w:tcW w:w="900" w:type="dxa"/>
            <w:tcBorders>
              <w:top w:val="nil"/>
              <w:left w:val="nil"/>
              <w:bottom w:val="single" w:sz="4" w:space="0" w:color="auto"/>
              <w:right w:val="single" w:sz="4" w:space="0" w:color="auto"/>
            </w:tcBorders>
            <w:shd w:val="clear" w:color="auto" w:fill="auto"/>
            <w:noWrap/>
            <w:vAlign w:val="bottom"/>
          </w:tcPr>
          <w:p w14:paraId="3E9A48B6" w14:textId="69A841B5"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0.05</w:t>
            </w:r>
          </w:p>
        </w:tc>
        <w:tc>
          <w:tcPr>
            <w:tcW w:w="960" w:type="dxa"/>
            <w:vMerge/>
            <w:tcBorders>
              <w:top w:val="nil"/>
              <w:left w:val="single" w:sz="4" w:space="0" w:color="auto"/>
              <w:bottom w:val="single" w:sz="4" w:space="0" w:color="000000"/>
              <w:right w:val="single" w:sz="4" w:space="0" w:color="auto"/>
            </w:tcBorders>
            <w:shd w:val="clear" w:color="auto" w:fill="auto"/>
            <w:noWrap/>
            <w:vAlign w:val="bottom"/>
          </w:tcPr>
          <w:p w14:paraId="3FE456A4" w14:textId="77777777" w:rsidR="00892456" w:rsidRPr="00892456" w:rsidRDefault="00892456" w:rsidP="00892456">
            <w:pPr>
              <w:spacing w:before="0" w:after="0" w:line="240" w:lineRule="auto"/>
              <w:jc w:val="center"/>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35DCBA54" w14:textId="54BC38C5"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0.03</w:t>
            </w:r>
          </w:p>
        </w:tc>
        <w:tc>
          <w:tcPr>
            <w:tcW w:w="960" w:type="dxa"/>
            <w:tcBorders>
              <w:top w:val="nil"/>
              <w:left w:val="nil"/>
              <w:bottom w:val="single" w:sz="4" w:space="0" w:color="auto"/>
              <w:right w:val="single" w:sz="4" w:space="0" w:color="auto"/>
            </w:tcBorders>
            <w:shd w:val="clear" w:color="auto" w:fill="auto"/>
            <w:noWrap/>
            <w:vAlign w:val="bottom"/>
          </w:tcPr>
          <w:p w14:paraId="6FE4FFCE" w14:textId="53DACF3B"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1.98</w:t>
            </w:r>
          </w:p>
        </w:tc>
        <w:tc>
          <w:tcPr>
            <w:tcW w:w="960" w:type="dxa"/>
            <w:tcBorders>
              <w:top w:val="nil"/>
              <w:left w:val="nil"/>
              <w:bottom w:val="single" w:sz="4" w:space="0" w:color="auto"/>
              <w:right w:val="single" w:sz="4" w:space="0" w:color="auto"/>
            </w:tcBorders>
            <w:shd w:val="clear" w:color="auto" w:fill="auto"/>
            <w:noWrap/>
            <w:vAlign w:val="bottom"/>
          </w:tcPr>
          <w:p w14:paraId="3F367321" w14:textId="0C4CF955"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0.15</w:t>
            </w:r>
          </w:p>
        </w:tc>
      </w:tr>
      <w:tr w:rsidR="00892456" w:rsidRPr="00892456" w14:paraId="11AEBDD2" w14:textId="77777777" w:rsidTr="00977820">
        <w:trPr>
          <w:trHeight w:val="300"/>
        </w:trPr>
        <w:tc>
          <w:tcPr>
            <w:tcW w:w="2540" w:type="dxa"/>
            <w:vMerge/>
            <w:tcBorders>
              <w:top w:val="nil"/>
              <w:left w:val="single" w:sz="4" w:space="0" w:color="auto"/>
              <w:bottom w:val="single" w:sz="4" w:space="0" w:color="auto"/>
              <w:right w:val="single" w:sz="4" w:space="0" w:color="auto"/>
            </w:tcBorders>
            <w:shd w:val="clear" w:color="auto" w:fill="auto"/>
          </w:tcPr>
          <w:p w14:paraId="58C811B5"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0E5C3E33" w14:textId="56756F8D"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4°</w:t>
            </w:r>
          </w:p>
        </w:tc>
        <w:tc>
          <w:tcPr>
            <w:tcW w:w="900" w:type="dxa"/>
            <w:tcBorders>
              <w:top w:val="nil"/>
              <w:left w:val="nil"/>
              <w:bottom w:val="single" w:sz="4" w:space="0" w:color="auto"/>
              <w:right w:val="single" w:sz="4" w:space="0" w:color="auto"/>
            </w:tcBorders>
            <w:shd w:val="clear" w:color="auto" w:fill="auto"/>
            <w:noWrap/>
            <w:vAlign w:val="bottom"/>
          </w:tcPr>
          <w:p w14:paraId="03CADE28" w14:textId="0005DEC4"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0.06</w:t>
            </w:r>
          </w:p>
        </w:tc>
        <w:tc>
          <w:tcPr>
            <w:tcW w:w="960" w:type="dxa"/>
            <w:vMerge/>
            <w:tcBorders>
              <w:top w:val="nil"/>
              <w:left w:val="single" w:sz="4" w:space="0" w:color="auto"/>
              <w:bottom w:val="single" w:sz="4" w:space="0" w:color="000000"/>
              <w:right w:val="single" w:sz="4" w:space="0" w:color="auto"/>
            </w:tcBorders>
            <w:shd w:val="clear" w:color="auto" w:fill="auto"/>
            <w:noWrap/>
            <w:vAlign w:val="bottom"/>
          </w:tcPr>
          <w:p w14:paraId="18B95DC7" w14:textId="77777777" w:rsidR="00892456" w:rsidRPr="00892456" w:rsidRDefault="00892456" w:rsidP="00892456">
            <w:pPr>
              <w:spacing w:before="0" w:after="0" w:line="240" w:lineRule="auto"/>
              <w:jc w:val="center"/>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1A4F6C71" w14:textId="2015EA99"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0.03</w:t>
            </w:r>
          </w:p>
        </w:tc>
        <w:tc>
          <w:tcPr>
            <w:tcW w:w="960" w:type="dxa"/>
            <w:tcBorders>
              <w:top w:val="nil"/>
              <w:left w:val="nil"/>
              <w:bottom w:val="single" w:sz="4" w:space="0" w:color="auto"/>
              <w:right w:val="single" w:sz="4" w:space="0" w:color="auto"/>
            </w:tcBorders>
            <w:shd w:val="clear" w:color="auto" w:fill="auto"/>
            <w:noWrap/>
            <w:vAlign w:val="bottom"/>
          </w:tcPr>
          <w:p w14:paraId="73FFFA06" w14:textId="03D5A443"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1.61</w:t>
            </w:r>
          </w:p>
        </w:tc>
        <w:tc>
          <w:tcPr>
            <w:tcW w:w="960" w:type="dxa"/>
            <w:tcBorders>
              <w:top w:val="nil"/>
              <w:left w:val="nil"/>
              <w:bottom w:val="single" w:sz="4" w:space="0" w:color="auto"/>
              <w:right w:val="single" w:sz="4" w:space="0" w:color="auto"/>
            </w:tcBorders>
            <w:shd w:val="clear" w:color="auto" w:fill="auto"/>
            <w:noWrap/>
            <w:vAlign w:val="bottom"/>
          </w:tcPr>
          <w:p w14:paraId="3E27A341" w14:textId="360B460E"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0.21</w:t>
            </w:r>
          </w:p>
        </w:tc>
      </w:tr>
      <w:tr w:rsidR="00892456" w:rsidRPr="00892456" w14:paraId="05AE6763" w14:textId="77777777" w:rsidTr="00977820">
        <w:trPr>
          <w:trHeight w:val="300"/>
        </w:trPr>
        <w:tc>
          <w:tcPr>
            <w:tcW w:w="2540" w:type="dxa"/>
            <w:vMerge/>
            <w:tcBorders>
              <w:top w:val="nil"/>
              <w:left w:val="single" w:sz="4" w:space="0" w:color="auto"/>
              <w:bottom w:val="single" w:sz="4" w:space="0" w:color="auto"/>
              <w:right w:val="single" w:sz="4" w:space="0" w:color="auto"/>
            </w:tcBorders>
            <w:vAlign w:val="center"/>
            <w:hideMark/>
          </w:tcPr>
          <w:p w14:paraId="1C025A67"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2152D8F1" w14:textId="724556D3"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6°</w:t>
            </w:r>
          </w:p>
        </w:tc>
        <w:tc>
          <w:tcPr>
            <w:tcW w:w="900" w:type="dxa"/>
            <w:tcBorders>
              <w:top w:val="nil"/>
              <w:left w:val="nil"/>
              <w:bottom w:val="single" w:sz="4" w:space="0" w:color="auto"/>
              <w:right w:val="single" w:sz="4" w:space="0" w:color="auto"/>
            </w:tcBorders>
            <w:shd w:val="clear" w:color="auto" w:fill="auto"/>
            <w:noWrap/>
            <w:vAlign w:val="bottom"/>
          </w:tcPr>
          <w:p w14:paraId="02595FE2" w14:textId="698B44E6"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0.11</w:t>
            </w:r>
          </w:p>
        </w:tc>
        <w:tc>
          <w:tcPr>
            <w:tcW w:w="960" w:type="dxa"/>
            <w:vMerge/>
            <w:tcBorders>
              <w:top w:val="nil"/>
              <w:left w:val="single" w:sz="4" w:space="0" w:color="auto"/>
              <w:bottom w:val="single" w:sz="4" w:space="0" w:color="000000"/>
              <w:right w:val="single" w:sz="4" w:space="0" w:color="auto"/>
            </w:tcBorders>
            <w:vAlign w:val="bottom"/>
          </w:tcPr>
          <w:p w14:paraId="39C01BC5"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19F63707" w14:textId="7C432754"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0.06</w:t>
            </w:r>
          </w:p>
        </w:tc>
        <w:tc>
          <w:tcPr>
            <w:tcW w:w="960" w:type="dxa"/>
            <w:tcBorders>
              <w:top w:val="nil"/>
              <w:left w:val="nil"/>
              <w:bottom w:val="single" w:sz="4" w:space="0" w:color="auto"/>
              <w:right w:val="single" w:sz="4" w:space="0" w:color="auto"/>
            </w:tcBorders>
            <w:shd w:val="clear" w:color="auto" w:fill="auto"/>
            <w:noWrap/>
            <w:vAlign w:val="bottom"/>
          </w:tcPr>
          <w:p w14:paraId="15A9C596" w14:textId="3748BD39"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3.39</w:t>
            </w:r>
          </w:p>
        </w:tc>
        <w:tc>
          <w:tcPr>
            <w:tcW w:w="960" w:type="dxa"/>
            <w:tcBorders>
              <w:top w:val="nil"/>
              <w:left w:val="nil"/>
              <w:bottom w:val="single" w:sz="4" w:space="0" w:color="auto"/>
              <w:right w:val="single" w:sz="4" w:space="0" w:color="auto"/>
            </w:tcBorders>
            <w:shd w:val="clear" w:color="auto" w:fill="auto"/>
            <w:noWrap/>
            <w:vAlign w:val="bottom"/>
          </w:tcPr>
          <w:p w14:paraId="2D0DCE41" w14:textId="3BC5CF64"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0.04</w:t>
            </w:r>
            <w:r>
              <w:rPr>
                <w:color w:val="000000"/>
                <w:sz w:val="22"/>
                <w:szCs w:val="22"/>
              </w:rPr>
              <w:t>*</w:t>
            </w:r>
          </w:p>
        </w:tc>
      </w:tr>
      <w:tr w:rsidR="00892456" w:rsidRPr="00892456" w14:paraId="1106C4C2" w14:textId="77777777" w:rsidTr="00977820">
        <w:trPr>
          <w:trHeight w:val="300"/>
        </w:trPr>
        <w:tc>
          <w:tcPr>
            <w:tcW w:w="2540" w:type="dxa"/>
            <w:vMerge/>
            <w:tcBorders>
              <w:top w:val="nil"/>
              <w:left w:val="single" w:sz="4" w:space="0" w:color="auto"/>
              <w:bottom w:val="single" w:sz="4" w:space="0" w:color="auto"/>
              <w:right w:val="single" w:sz="4" w:space="0" w:color="auto"/>
            </w:tcBorders>
            <w:vAlign w:val="center"/>
            <w:hideMark/>
          </w:tcPr>
          <w:p w14:paraId="0EC0F74B"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158" w:type="dxa"/>
            <w:tcBorders>
              <w:top w:val="nil"/>
              <w:left w:val="nil"/>
              <w:bottom w:val="single" w:sz="4" w:space="0" w:color="auto"/>
              <w:right w:val="single" w:sz="4" w:space="0" w:color="auto"/>
            </w:tcBorders>
            <w:shd w:val="clear" w:color="auto" w:fill="auto"/>
            <w:noWrap/>
            <w:vAlign w:val="bottom"/>
          </w:tcPr>
          <w:p w14:paraId="1BDB9FD0" w14:textId="6920DE5A" w:rsidR="00892456" w:rsidRPr="00892456" w:rsidRDefault="00892456" w:rsidP="00892456">
            <w:pPr>
              <w:spacing w:before="0" w:after="0" w:line="240" w:lineRule="auto"/>
              <w:jc w:val="center"/>
              <w:rPr>
                <w:rFonts w:eastAsia="Times New Roman"/>
                <w:color w:val="000000"/>
                <w:sz w:val="22"/>
                <w:szCs w:val="22"/>
                <w:lang w:val="en-MY" w:eastAsia="en-MY"/>
              </w:rPr>
            </w:pPr>
            <w:r w:rsidRPr="00892456">
              <w:rPr>
                <w:rFonts w:eastAsia="Times New Roman"/>
                <w:color w:val="000000"/>
                <w:sz w:val="22"/>
                <w:szCs w:val="22"/>
                <w:lang w:val="en-MY" w:eastAsia="en-MY"/>
              </w:rPr>
              <w:t>8°</w:t>
            </w:r>
          </w:p>
        </w:tc>
        <w:tc>
          <w:tcPr>
            <w:tcW w:w="900" w:type="dxa"/>
            <w:tcBorders>
              <w:top w:val="nil"/>
              <w:left w:val="nil"/>
              <w:bottom w:val="single" w:sz="4" w:space="0" w:color="auto"/>
              <w:right w:val="single" w:sz="4" w:space="0" w:color="auto"/>
            </w:tcBorders>
            <w:shd w:val="clear" w:color="auto" w:fill="auto"/>
            <w:noWrap/>
            <w:vAlign w:val="bottom"/>
          </w:tcPr>
          <w:p w14:paraId="538E9E71" w14:textId="3CC38CC6" w:rsidR="00892456" w:rsidRPr="002F5602" w:rsidRDefault="00892456" w:rsidP="00892456">
            <w:pPr>
              <w:spacing w:before="0" w:after="0" w:line="240" w:lineRule="auto"/>
              <w:jc w:val="right"/>
              <w:rPr>
                <w:rFonts w:eastAsia="Times New Roman"/>
                <w:color w:val="000000"/>
                <w:sz w:val="22"/>
                <w:szCs w:val="22"/>
                <w:lang w:val="en-MY" w:eastAsia="en-MY"/>
              </w:rPr>
            </w:pPr>
            <w:r w:rsidRPr="002F5602">
              <w:rPr>
                <w:color w:val="000000"/>
                <w:sz w:val="22"/>
                <w:szCs w:val="22"/>
              </w:rPr>
              <w:t>0.13</w:t>
            </w:r>
          </w:p>
        </w:tc>
        <w:tc>
          <w:tcPr>
            <w:tcW w:w="960" w:type="dxa"/>
            <w:vMerge/>
            <w:tcBorders>
              <w:top w:val="nil"/>
              <w:left w:val="single" w:sz="4" w:space="0" w:color="auto"/>
              <w:bottom w:val="single" w:sz="4" w:space="0" w:color="000000"/>
              <w:right w:val="single" w:sz="4" w:space="0" w:color="auto"/>
            </w:tcBorders>
            <w:vAlign w:val="bottom"/>
          </w:tcPr>
          <w:p w14:paraId="21613184" w14:textId="77777777" w:rsidR="00892456" w:rsidRPr="00892456" w:rsidRDefault="00892456" w:rsidP="00892456">
            <w:pPr>
              <w:spacing w:before="0" w:after="0" w:line="240" w:lineRule="auto"/>
              <w:jc w:val="left"/>
              <w:rPr>
                <w:rFonts w:eastAsia="Times New Roman"/>
                <w:color w:val="000000"/>
                <w:sz w:val="22"/>
                <w:szCs w:val="22"/>
                <w:lang w:val="en-MY" w:eastAsia="en-MY"/>
              </w:rPr>
            </w:pPr>
          </w:p>
        </w:tc>
        <w:tc>
          <w:tcPr>
            <w:tcW w:w="1041" w:type="dxa"/>
            <w:tcBorders>
              <w:top w:val="nil"/>
              <w:left w:val="nil"/>
              <w:bottom w:val="single" w:sz="4" w:space="0" w:color="auto"/>
              <w:right w:val="single" w:sz="4" w:space="0" w:color="auto"/>
            </w:tcBorders>
            <w:shd w:val="clear" w:color="auto" w:fill="auto"/>
            <w:noWrap/>
            <w:vAlign w:val="bottom"/>
          </w:tcPr>
          <w:p w14:paraId="28B54DFA" w14:textId="6A0D4D42"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0.07</w:t>
            </w:r>
          </w:p>
        </w:tc>
        <w:tc>
          <w:tcPr>
            <w:tcW w:w="960" w:type="dxa"/>
            <w:tcBorders>
              <w:top w:val="nil"/>
              <w:left w:val="nil"/>
              <w:bottom w:val="single" w:sz="4" w:space="0" w:color="auto"/>
              <w:right w:val="single" w:sz="4" w:space="0" w:color="auto"/>
            </w:tcBorders>
            <w:shd w:val="clear" w:color="auto" w:fill="auto"/>
            <w:noWrap/>
            <w:vAlign w:val="bottom"/>
          </w:tcPr>
          <w:p w14:paraId="4E7D2C10" w14:textId="1B59C102"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3.81</w:t>
            </w:r>
          </w:p>
        </w:tc>
        <w:tc>
          <w:tcPr>
            <w:tcW w:w="960" w:type="dxa"/>
            <w:tcBorders>
              <w:top w:val="nil"/>
              <w:left w:val="nil"/>
              <w:bottom w:val="single" w:sz="4" w:space="0" w:color="auto"/>
              <w:right w:val="single" w:sz="4" w:space="0" w:color="auto"/>
            </w:tcBorders>
            <w:shd w:val="clear" w:color="auto" w:fill="auto"/>
            <w:noWrap/>
            <w:vAlign w:val="bottom"/>
          </w:tcPr>
          <w:p w14:paraId="33103D27" w14:textId="4FD9A145" w:rsidR="00892456" w:rsidRPr="00892456" w:rsidRDefault="00892456" w:rsidP="00892456">
            <w:pPr>
              <w:spacing w:before="0" w:after="0" w:line="240" w:lineRule="auto"/>
              <w:jc w:val="right"/>
              <w:rPr>
                <w:rFonts w:eastAsia="Times New Roman"/>
                <w:color w:val="000000"/>
                <w:sz w:val="22"/>
                <w:szCs w:val="22"/>
                <w:lang w:val="en-MY" w:eastAsia="en-MY"/>
              </w:rPr>
            </w:pPr>
            <w:r w:rsidRPr="00892456">
              <w:rPr>
                <w:color w:val="000000"/>
                <w:sz w:val="22"/>
                <w:szCs w:val="22"/>
              </w:rPr>
              <w:t>0.03</w:t>
            </w:r>
            <w:r>
              <w:rPr>
                <w:color w:val="000000"/>
                <w:sz w:val="22"/>
                <w:szCs w:val="22"/>
              </w:rPr>
              <w:t>*</w:t>
            </w:r>
          </w:p>
        </w:tc>
      </w:tr>
    </w:tbl>
    <w:p w14:paraId="346C9547" w14:textId="3511D561" w:rsidR="008A7B98" w:rsidRDefault="008A7B98" w:rsidP="0001066B">
      <w:pPr>
        <w:spacing w:before="0" w:after="0" w:line="240" w:lineRule="auto"/>
        <w:jc w:val="center"/>
        <w:rPr>
          <w:szCs w:val="22"/>
        </w:rPr>
      </w:pPr>
      <w:r>
        <w:rPr>
          <w:szCs w:val="22"/>
        </w:rPr>
        <w:t xml:space="preserve">*Data are significant at </w:t>
      </w:r>
      <w:r w:rsidRPr="00EA5FF0">
        <w:rPr>
          <w:i/>
          <w:iCs/>
          <w:szCs w:val="22"/>
        </w:rPr>
        <w:t>p</w:t>
      </w:r>
      <w:r>
        <w:rPr>
          <w:szCs w:val="22"/>
        </w:rPr>
        <w:t>&lt;0.05.</w:t>
      </w:r>
    </w:p>
    <w:p w14:paraId="05FE97C8" w14:textId="3AE6BA99" w:rsidR="002763AC" w:rsidRDefault="007A30EC" w:rsidP="008A7B98">
      <w:pPr>
        <w:spacing w:before="0" w:after="160"/>
        <w:rPr>
          <w:szCs w:val="22"/>
        </w:rPr>
      </w:pPr>
      <w:r w:rsidRPr="007A30EC">
        <w:rPr>
          <w:szCs w:val="22"/>
        </w:rPr>
        <w:lastRenderedPageBreak/>
        <w:t>The post hoc analysis was used to investigate the mean differences between the two age groups that were reflected in the ANOVA tables. At all vertical saccadic amplitudes, the vertical saccadic latency of young people was significantly different from that of older adults, p&lt;0.05. The data demonstrate</w:t>
      </w:r>
      <w:r w:rsidR="00A83C0C">
        <w:rPr>
          <w:szCs w:val="22"/>
        </w:rPr>
        <w:t>s</w:t>
      </w:r>
      <w:r w:rsidRPr="007A30EC">
        <w:rPr>
          <w:szCs w:val="22"/>
        </w:rPr>
        <w:t xml:space="preserve"> that ageing affects vertical saccadic latency. However, the vertical saccadic gain at the two upward saccadic amplitudes was not showing a significant pairwise</w:t>
      </w:r>
      <w:r w:rsidR="00A83C0C">
        <w:rPr>
          <w:szCs w:val="22"/>
        </w:rPr>
        <w:t xml:space="preserve"> comparison</w:t>
      </w:r>
      <w:r w:rsidRPr="007A30EC">
        <w:rPr>
          <w:szCs w:val="22"/>
        </w:rPr>
        <w:t>.</w:t>
      </w:r>
      <w:r w:rsidR="00EC4597">
        <w:rPr>
          <w:szCs w:val="22"/>
        </w:rPr>
        <w:t xml:space="preserve"> </w:t>
      </w:r>
    </w:p>
    <w:p w14:paraId="55CBFF68" w14:textId="73B828BC" w:rsidR="00EC4597" w:rsidRDefault="007A30EC" w:rsidP="008A7B98">
      <w:pPr>
        <w:spacing w:before="0" w:after="160"/>
        <w:rPr>
          <w:szCs w:val="22"/>
        </w:rPr>
      </w:pPr>
      <w:r w:rsidRPr="007A30EC">
        <w:rPr>
          <w:szCs w:val="22"/>
        </w:rPr>
        <w:t xml:space="preserve">Using Pearson correlation analysis, further investigation into the association between ageing and vertical saccadic latency was carried out. The findings showed a moderately positive association between ageing and vertical saccadic latency, with </w:t>
      </w:r>
      <w:proofErr w:type="gramStart"/>
      <w:r w:rsidRPr="00F11D75">
        <w:rPr>
          <w:i/>
          <w:iCs/>
          <w:szCs w:val="22"/>
        </w:rPr>
        <w:t>r</w:t>
      </w:r>
      <w:r w:rsidRPr="007A30EC">
        <w:rPr>
          <w:szCs w:val="22"/>
        </w:rPr>
        <w:t>(</w:t>
      </w:r>
      <w:proofErr w:type="gramEnd"/>
      <w:r w:rsidRPr="007A30EC">
        <w:rPr>
          <w:szCs w:val="22"/>
        </w:rPr>
        <w:t xml:space="preserve">395) = 0.51 and </w:t>
      </w:r>
      <w:r w:rsidR="00F11D75" w:rsidRPr="00F11D75">
        <w:rPr>
          <w:i/>
          <w:iCs/>
          <w:szCs w:val="22"/>
        </w:rPr>
        <w:t>p</w:t>
      </w:r>
      <w:r w:rsidRPr="007A30EC">
        <w:rPr>
          <w:szCs w:val="22"/>
        </w:rPr>
        <w:t>&lt;0.05 being significant.</w:t>
      </w:r>
    </w:p>
    <w:p w14:paraId="1711EACA" w14:textId="77777777" w:rsidR="00897D6F" w:rsidRDefault="007A30EC" w:rsidP="001171CD">
      <w:pPr>
        <w:spacing w:before="240" w:after="160"/>
        <w:rPr>
          <w:szCs w:val="22"/>
        </w:rPr>
      </w:pPr>
      <w:r w:rsidRPr="009D4627">
        <w:rPr>
          <w:szCs w:val="22"/>
        </w:rPr>
        <w:t>A scatterplot for the vertical saccadic dataset</w:t>
      </w:r>
      <w:r w:rsidR="00A83C0C">
        <w:rPr>
          <w:szCs w:val="22"/>
        </w:rPr>
        <w:t xml:space="preserve"> was produced where</w:t>
      </w:r>
      <w:r w:rsidRPr="009D4627">
        <w:rPr>
          <w:szCs w:val="22"/>
        </w:rPr>
        <w:t xml:space="preserve"> data were merged according to saccade direction, i.e., </w:t>
      </w:r>
      <w:r w:rsidR="001171CD" w:rsidRPr="009D4627">
        <w:rPr>
          <w:szCs w:val="22"/>
        </w:rPr>
        <w:t>upward,</w:t>
      </w:r>
      <w:r w:rsidRPr="009D4627">
        <w:rPr>
          <w:szCs w:val="22"/>
        </w:rPr>
        <w:t xml:space="preserve"> or downward gaz</w:t>
      </w:r>
      <w:r w:rsidR="00833214">
        <w:rPr>
          <w:szCs w:val="22"/>
        </w:rPr>
        <w:t>e</w:t>
      </w:r>
      <w:r w:rsidRPr="009D4627">
        <w:rPr>
          <w:szCs w:val="22"/>
        </w:rPr>
        <w:t xml:space="preserve">. This is because vertical saccades have an asymmetrical saccadic response. It demonstrates that across all ages, the upward saccadic latency was consistently longer than the downward latency, with younger adults having a shorter </w:t>
      </w:r>
      <w:r w:rsidR="00E94CEE">
        <w:rPr>
          <w:szCs w:val="22"/>
        </w:rPr>
        <w:t>latency</w:t>
      </w:r>
      <w:r w:rsidRPr="009D4627">
        <w:rPr>
          <w:szCs w:val="22"/>
        </w:rPr>
        <w:t xml:space="preserve"> than older adults</w:t>
      </w:r>
      <w:r w:rsidR="00E94CEE">
        <w:rPr>
          <w:szCs w:val="22"/>
        </w:rPr>
        <w:t xml:space="preserve"> (Figure 3.12)</w:t>
      </w:r>
      <w:r w:rsidRPr="009D4627">
        <w:rPr>
          <w:szCs w:val="22"/>
        </w:rPr>
        <w:t>.</w:t>
      </w:r>
      <w:r w:rsidR="000C5478">
        <w:rPr>
          <w:szCs w:val="22"/>
        </w:rPr>
        <w:t xml:space="preserve"> </w:t>
      </w:r>
    </w:p>
    <w:p w14:paraId="6D16AE0B" w14:textId="5EE88314" w:rsidR="00897D6F" w:rsidRDefault="00AF09F4" w:rsidP="001171CD">
      <w:pPr>
        <w:spacing w:before="240" w:after="160"/>
        <w:rPr>
          <w:szCs w:val="22"/>
        </w:rPr>
      </w:pPr>
      <w:r w:rsidRPr="00AF09F4">
        <w:rPr>
          <w:szCs w:val="22"/>
        </w:rPr>
        <w:t>Furthermore, the vertical saccadic peak velocity in the upward direction is nearly comparable for all age groups (average peak velocity range 240 – 260°/s) across the saccadic trials, although the old age shows slight declining slope</w:t>
      </w:r>
      <w:r>
        <w:rPr>
          <w:szCs w:val="22"/>
        </w:rPr>
        <w:t xml:space="preserve"> reaching</w:t>
      </w:r>
      <w:r w:rsidRPr="00AF09F4">
        <w:rPr>
          <w:szCs w:val="22"/>
        </w:rPr>
        <w:t xml:space="preserve"> ≈230°/s</w:t>
      </w:r>
      <w:r>
        <w:rPr>
          <w:szCs w:val="22"/>
        </w:rPr>
        <w:t>,</w:t>
      </w:r>
      <w:r w:rsidRPr="00AF09F4">
        <w:rPr>
          <w:szCs w:val="22"/>
        </w:rPr>
        <w:t xml:space="preserve"> towards the end of the trials</w:t>
      </w:r>
      <w:r w:rsidR="00897D6F">
        <w:rPr>
          <w:szCs w:val="22"/>
        </w:rPr>
        <w:t xml:space="preserve">. For the downward saccadic peak velocity, the young age group demonstrates the </w:t>
      </w:r>
      <w:r>
        <w:rPr>
          <w:szCs w:val="22"/>
        </w:rPr>
        <w:t>s</w:t>
      </w:r>
      <w:r w:rsidR="00897D6F">
        <w:rPr>
          <w:szCs w:val="22"/>
        </w:rPr>
        <w:t xml:space="preserve">lowest peak velocity compared to the middle and old age groups. In fact, the eldest people </w:t>
      </w:r>
      <w:r w:rsidR="00907D57">
        <w:rPr>
          <w:szCs w:val="22"/>
        </w:rPr>
        <w:t>demonstrate</w:t>
      </w:r>
      <w:r w:rsidR="00897D6F">
        <w:rPr>
          <w:szCs w:val="22"/>
        </w:rPr>
        <w:t xml:space="preserve"> the fastest downward peak velocity </w:t>
      </w:r>
      <w:r w:rsidR="000C5478">
        <w:rPr>
          <w:szCs w:val="22"/>
        </w:rPr>
        <w:t>(Figure 3.13)</w:t>
      </w:r>
      <w:r w:rsidR="000C5478" w:rsidRPr="009D4627">
        <w:rPr>
          <w:szCs w:val="22"/>
        </w:rPr>
        <w:t>.</w:t>
      </w:r>
      <w:r w:rsidR="000C5478">
        <w:rPr>
          <w:szCs w:val="22"/>
        </w:rPr>
        <w:t xml:space="preserve"> </w:t>
      </w:r>
    </w:p>
    <w:p w14:paraId="1468FFA5" w14:textId="7FD3F1F2" w:rsidR="007A30EC" w:rsidRDefault="007A30EC" w:rsidP="001171CD">
      <w:pPr>
        <w:spacing w:before="240" w:after="160"/>
        <w:rPr>
          <w:szCs w:val="22"/>
        </w:rPr>
      </w:pPr>
      <w:r w:rsidRPr="009D4627">
        <w:rPr>
          <w:szCs w:val="22"/>
        </w:rPr>
        <w:t xml:space="preserve">When compared to upward saccades, downward saccades were more accurate across all ages. </w:t>
      </w:r>
      <w:r w:rsidR="0072270D" w:rsidRPr="0072270D">
        <w:rPr>
          <w:szCs w:val="22"/>
        </w:rPr>
        <w:t xml:space="preserve">The old demonstrate more correct downward saccades than the younger participants, whereas </w:t>
      </w:r>
      <w:r w:rsidR="0072270D" w:rsidRPr="0072270D">
        <w:rPr>
          <w:szCs w:val="22"/>
        </w:rPr>
        <w:lastRenderedPageBreak/>
        <w:t xml:space="preserve">the younger people have more accurate upward saccades than the elderly participants. </w:t>
      </w:r>
      <w:r w:rsidR="001171CD">
        <w:rPr>
          <w:szCs w:val="22"/>
        </w:rPr>
        <w:t>(Figure 3.14)</w:t>
      </w:r>
      <w:r w:rsidRPr="009D4627">
        <w:rPr>
          <w:szCs w:val="22"/>
        </w:rPr>
        <w:t>.</w:t>
      </w:r>
    </w:p>
    <w:tbl>
      <w:tblPr>
        <w:tblStyle w:val="ListTable2"/>
        <w:tblW w:w="5001" w:type="pct"/>
        <w:tblLook w:val="04A0" w:firstRow="1" w:lastRow="0" w:firstColumn="1" w:lastColumn="0" w:noHBand="0" w:noVBand="1"/>
      </w:tblPr>
      <w:tblGrid>
        <w:gridCol w:w="1506"/>
        <w:gridCol w:w="904"/>
        <w:gridCol w:w="6618"/>
      </w:tblGrid>
      <w:tr w:rsidR="00833214" w:rsidRPr="009D4627" w14:paraId="02D220BB" w14:textId="77777777" w:rsidTr="00897D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val="restart"/>
            <w:tcBorders>
              <w:right w:val="single" w:sz="4" w:space="0" w:color="auto"/>
            </w:tcBorders>
          </w:tcPr>
          <w:p w14:paraId="02703A3B" w14:textId="3389AF76" w:rsidR="008A4C12" w:rsidRDefault="00833214" w:rsidP="00B93453">
            <w:pPr>
              <w:spacing w:before="0" w:after="0" w:line="240" w:lineRule="auto"/>
              <w:jc w:val="left"/>
              <w:rPr>
                <w:b w:val="0"/>
                <w:bCs w:val="0"/>
              </w:rPr>
            </w:pPr>
            <w:r>
              <w:rPr>
                <w:b w:val="0"/>
                <w:bCs w:val="0"/>
              </w:rPr>
              <w:t>Vertical saccadic latency</w:t>
            </w:r>
          </w:p>
          <w:p w14:paraId="267689E1" w14:textId="77777777" w:rsidR="008A4C12" w:rsidRDefault="008A4C12" w:rsidP="00B93453">
            <w:pPr>
              <w:spacing w:before="0" w:after="0" w:line="240" w:lineRule="auto"/>
              <w:jc w:val="left"/>
              <w:rPr>
                <w:b w:val="0"/>
                <w:bCs w:val="0"/>
              </w:rPr>
            </w:pPr>
          </w:p>
          <w:p w14:paraId="2C94492B" w14:textId="77777777" w:rsidR="008A4C12" w:rsidRPr="009D4627" w:rsidRDefault="008A4C12" w:rsidP="00B93453">
            <w:pPr>
              <w:spacing w:before="0" w:after="0" w:line="240" w:lineRule="auto"/>
              <w:jc w:val="left"/>
            </w:pPr>
            <w:r>
              <w:rPr>
                <w:noProof/>
                <w:lang w:val="en-MY" w:eastAsia="en-MY"/>
              </w:rPr>
              <w:drawing>
                <wp:inline distT="0" distB="0" distL="0" distR="0" wp14:anchorId="26B10253" wp14:editId="5AC8E116">
                  <wp:extent cx="809625" cy="12382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809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4FC7CB97" w14:textId="77777777" w:rsidR="008A4C12" w:rsidRPr="009D4627" w:rsidRDefault="008A4C12" w:rsidP="00B93453">
            <w:pPr>
              <w:spacing w:before="0" w:after="0" w:line="240" w:lineRule="auto"/>
              <w:jc w:val="left"/>
            </w:pPr>
          </w:p>
        </w:tc>
        <w:tc>
          <w:tcPr>
            <w:tcW w:w="501" w:type="pct"/>
            <w:tcBorders>
              <w:right w:val="single" w:sz="4" w:space="0" w:color="auto"/>
            </w:tcBorders>
          </w:tcPr>
          <w:p w14:paraId="3EDA38F2" w14:textId="0D3CA3BB" w:rsidR="008A4C12" w:rsidRPr="00833214" w:rsidRDefault="00833214"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noProof/>
              </w:rPr>
            </w:pPr>
            <w:r w:rsidRPr="00833214">
              <w:rPr>
                <w:b w:val="0"/>
                <w:bCs w:val="0"/>
                <w:noProof/>
              </w:rPr>
              <w:t>Up</w:t>
            </w:r>
          </w:p>
        </w:tc>
        <w:tc>
          <w:tcPr>
            <w:tcW w:w="3665" w:type="pct"/>
            <w:tcBorders>
              <w:left w:val="single" w:sz="4" w:space="0" w:color="auto"/>
            </w:tcBorders>
          </w:tcPr>
          <w:p w14:paraId="54C774A1" w14:textId="4970A84C" w:rsidR="008A4C12" w:rsidRPr="009D4627" w:rsidRDefault="00833214"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26FED958" wp14:editId="676FF902">
                  <wp:extent cx="3960000" cy="2337049"/>
                  <wp:effectExtent l="0" t="0" r="254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r w:rsidR="00833214" w:rsidRPr="009D4627" w14:paraId="24204162" w14:textId="77777777" w:rsidTr="00897D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523E4A0C" w14:textId="77777777" w:rsidR="008A4C12" w:rsidRPr="009D4627" w:rsidRDefault="008A4C12" w:rsidP="00B93453">
            <w:pPr>
              <w:spacing w:before="0" w:after="0" w:line="240" w:lineRule="auto"/>
              <w:jc w:val="left"/>
            </w:pPr>
          </w:p>
        </w:tc>
        <w:tc>
          <w:tcPr>
            <w:tcW w:w="501" w:type="pct"/>
            <w:tcBorders>
              <w:right w:val="single" w:sz="4" w:space="0" w:color="auto"/>
            </w:tcBorders>
          </w:tcPr>
          <w:p w14:paraId="3AAB9D55" w14:textId="58F3C414" w:rsidR="008A4C12" w:rsidRPr="00833214" w:rsidRDefault="00833214"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noProof/>
              </w:rPr>
            </w:pPr>
            <w:r w:rsidRPr="00833214">
              <w:rPr>
                <w:noProof/>
              </w:rPr>
              <w:t>Down</w:t>
            </w:r>
          </w:p>
        </w:tc>
        <w:tc>
          <w:tcPr>
            <w:tcW w:w="3665" w:type="pct"/>
            <w:tcBorders>
              <w:left w:val="single" w:sz="4" w:space="0" w:color="auto"/>
            </w:tcBorders>
          </w:tcPr>
          <w:p w14:paraId="64BF90BB" w14:textId="2D5DE067" w:rsidR="008A4C12" w:rsidRPr="009D4627" w:rsidRDefault="00833214"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15AC69A" wp14:editId="4DB0B0C5">
                  <wp:extent cx="3960000" cy="2337049"/>
                  <wp:effectExtent l="0" t="0" r="254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bl>
    <w:p w14:paraId="2F4792C3" w14:textId="156488C3" w:rsidR="008A4C12" w:rsidRDefault="008A4C12" w:rsidP="00C4130D">
      <w:pPr>
        <w:pStyle w:val="Caption"/>
        <w:rPr>
          <w:szCs w:val="22"/>
        </w:rPr>
      </w:pPr>
      <w:bookmarkStart w:id="283" w:name="_Toc98569901"/>
      <w:r>
        <w:t>Figure 3.</w:t>
      </w:r>
      <w:r>
        <w:fldChar w:fldCharType="begin"/>
      </w:r>
      <w:r>
        <w:instrText xml:space="preserve"> SEQ Figure_3. \* ARABIC </w:instrText>
      </w:r>
      <w:r>
        <w:fldChar w:fldCharType="separate"/>
      </w:r>
      <w:r w:rsidR="00E268F6">
        <w:rPr>
          <w:noProof/>
        </w:rPr>
        <w:t>12</w:t>
      </w:r>
      <w:r>
        <w:fldChar w:fldCharType="end"/>
      </w:r>
      <w:r>
        <w:t xml:space="preserve">: </w:t>
      </w:r>
      <w:r w:rsidRPr="00735159">
        <w:t xml:space="preserve">The scatterplots show the </w:t>
      </w:r>
      <w:r>
        <w:t xml:space="preserve">vertical </w:t>
      </w:r>
      <w:r w:rsidRPr="00735159">
        <w:t xml:space="preserve">saccadic latency of young, middle, and old age groups </w:t>
      </w:r>
      <w:r>
        <w:t xml:space="preserve">with 72 saccadic trials </w:t>
      </w:r>
      <w:r w:rsidRPr="00735159">
        <w:t>at</w:t>
      </w:r>
      <w:r>
        <w:t xml:space="preserve"> </w:t>
      </w:r>
      <w:r w:rsidRPr="00735159">
        <w:t xml:space="preserve">pooled </w:t>
      </w:r>
      <w:r>
        <w:t xml:space="preserve">upward and downward </w:t>
      </w:r>
      <w:r w:rsidRPr="00735159">
        <w:t>saccadic amplitude sizes</w:t>
      </w:r>
      <w:r w:rsidR="00833214">
        <w:t xml:space="preserve">. Upward amplitude consists of </w:t>
      </w:r>
      <w:r>
        <w:t>4</w:t>
      </w:r>
      <w:r w:rsidR="0011707F">
        <w:t>°</w:t>
      </w:r>
      <w:r>
        <w:t>, 6</w:t>
      </w:r>
      <w:r w:rsidR="0011707F">
        <w:t>°</w:t>
      </w:r>
      <w:r w:rsidR="00833214">
        <w:t xml:space="preserve"> and </w:t>
      </w:r>
      <w:r>
        <w:t>8</w:t>
      </w:r>
      <w:r w:rsidR="00833214">
        <w:t>°, while downward amplitude consists of</w:t>
      </w:r>
      <w:r>
        <w:t xml:space="preserve"> -4</w:t>
      </w:r>
      <w:r w:rsidR="0011707F">
        <w:t>°</w:t>
      </w:r>
      <w:r>
        <w:t>, -6</w:t>
      </w:r>
      <w:r w:rsidR="00833214">
        <w:t xml:space="preserve"> and</w:t>
      </w:r>
      <w:r>
        <w:t xml:space="preserve"> -8</w:t>
      </w:r>
      <w:r w:rsidR="00833214">
        <w:t>°</w:t>
      </w:r>
      <w:r>
        <w:t>.</w:t>
      </w:r>
      <w:bookmarkEnd w:id="283"/>
    </w:p>
    <w:p w14:paraId="18A1B8B8" w14:textId="07B84081" w:rsidR="008A4C12" w:rsidRDefault="008A4C12" w:rsidP="008A7B98">
      <w:pPr>
        <w:spacing w:before="0" w:after="160"/>
        <w:rPr>
          <w:szCs w:val="22"/>
        </w:rPr>
      </w:pPr>
    </w:p>
    <w:p w14:paraId="428F4006" w14:textId="5DAF0CD1" w:rsidR="00E94CEE" w:rsidRDefault="00E94CEE" w:rsidP="008A7B98">
      <w:pPr>
        <w:spacing w:before="0" w:after="160"/>
        <w:rPr>
          <w:szCs w:val="22"/>
        </w:rPr>
      </w:pPr>
    </w:p>
    <w:p w14:paraId="1F8B8944" w14:textId="2FD4364E" w:rsidR="00731EDE" w:rsidRDefault="00731EDE" w:rsidP="008A7B98">
      <w:pPr>
        <w:spacing w:before="0" w:after="160"/>
        <w:rPr>
          <w:szCs w:val="22"/>
        </w:rPr>
      </w:pPr>
    </w:p>
    <w:p w14:paraId="7B340ABA" w14:textId="76ADD339" w:rsidR="00731EDE" w:rsidRDefault="00731EDE" w:rsidP="008A7B98">
      <w:pPr>
        <w:spacing w:before="0" w:after="160"/>
        <w:rPr>
          <w:szCs w:val="22"/>
        </w:rPr>
      </w:pPr>
    </w:p>
    <w:tbl>
      <w:tblPr>
        <w:tblStyle w:val="ListTable2"/>
        <w:tblW w:w="5001" w:type="pct"/>
        <w:tblLook w:val="04A0" w:firstRow="1" w:lastRow="0" w:firstColumn="1" w:lastColumn="0" w:noHBand="0" w:noVBand="1"/>
      </w:tblPr>
      <w:tblGrid>
        <w:gridCol w:w="1506"/>
        <w:gridCol w:w="904"/>
        <w:gridCol w:w="6618"/>
      </w:tblGrid>
      <w:tr w:rsidR="00E94CEE" w:rsidRPr="009D4627" w14:paraId="34415FA0" w14:textId="77777777" w:rsidTr="00731E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val="restart"/>
            <w:tcBorders>
              <w:right w:val="single" w:sz="4" w:space="0" w:color="auto"/>
            </w:tcBorders>
          </w:tcPr>
          <w:p w14:paraId="2C0785E8" w14:textId="7B97926F" w:rsidR="00E94CEE" w:rsidRDefault="00E94CEE" w:rsidP="00B93453">
            <w:pPr>
              <w:spacing w:before="0" w:after="0" w:line="240" w:lineRule="auto"/>
              <w:jc w:val="left"/>
              <w:rPr>
                <w:b w:val="0"/>
                <w:bCs w:val="0"/>
              </w:rPr>
            </w:pPr>
            <w:r>
              <w:rPr>
                <w:b w:val="0"/>
                <w:bCs w:val="0"/>
              </w:rPr>
              <w:lastRenderedPageBreak/>
              <w:t>Vertical saccadic peak velocity</w:t>
            </w:r>
          </w:p>
          <w:p w14:paraId="37A8CFF3" w14:textId="77777777" w:rsidR="00E94CEE" w:rsidRDefault="00E94CEE" w:rsidP="00B93453">
            <w:pPr>
              <w:spacing w:before="0" w:after="0" w:line="240" w:lineRule="auto"/>
              <w:jc w:val="left"/>
              <w:rPr>
                <w:b w:val="0"/>
                <w:bCs w:val="0"/>
              </w:rPr>
            </w:pPr>
          </w:p>
          <w:p w14:paraId="623E7FBB" w14:textId="77777777" w:rsidR="00E94CEE" w:rsidRPr="009D4627" w:rsidRDefault="00E94CEE" w:rsidP="00B93453">
            <w:pPr>
              <w:spacing w:before="0" w:after="0" w:line="240" w:lineRule="auto"/>
              <w:jc w:val="left"/>
            </w:pPr>
            <w:r>
              <w:rPr>
                <w:noProof/>
                <w:lang w:val="en-MY" w:eastAsia="en-MY"/>
              </w:rPr>
              <w:drawing>
                <wp:inline distT="0" distB="0" distL="0" distR="0" wp14:anchorId="7BDF28FE" wp14:editId="0E7A56C0">
                  <wp:extent cx="809625" cy="12382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809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12B71CB3" w14:textId="77777777" w:rsidR="00E94CEE" w:rsidRPr="009D4627" w:rsidRDefault="00E94CEE" w:rsidP="00B93453">
            <w:pPr>
              <w:spacing w:before="0" w:after="0" w:line="240" w:lineRule="auto"/>
              <w:jc w:val="left"/>
            </w:pPr>
          </w:p>
        </w:tc>
        <w:tc>
          <w:tcPr>
            <w:tcW w:w="501" w:type="pct"/>
            <w:tcBorders>
              <w:right w:val="single" w:sz="4" w:space="0" w:color="auto"/>
            </w:tcBorders>
          </w:tcPr>
          <w:p w14:paraId="15D4CADC" w14:textId="77777777" w:rsidR="00E94CEE" w:rsidRPr="00833214" w:rsidRDefault="00E94CEE"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noProof/>
              </w:rPr>
            </w:pPr>
            <w:r w:rsidRPr="00833214">
              <w:rPr>
                <w:b w:val="0"/>
                <w:bCs w:val="0"/>
                <w:noProof/>
              </w:rPr>
              <w:t>Up</w:t>
            </w:r>
          </w:p>
        </w:tc>
        <w:tc>
          <w:tcPr>
            <w:tcW w:w="3665" w:type="pct"/>
            <w:tcBorders>
              <w:left w:val="single" w:sz="4" w:space="0" w:color="auto"/>
            </w:tcBorders>
          </w:tcPr>
          <w:p w14:paraId="53FE6DEA" w14:textId="7F2B49ED" w:rsidR="00731EDE" w:rsidRDefault="00731EDE" w:rsidP="00731EDE">
            <w:pPr>
              <w:autoSpaceDE w:val="0"/>
              <w:autoSpaceDN w:val="0"/>
              <w:adjustRightInd w:val="0"/>
              <w:spacing w:before="0" w:after="0" w:line="240" w:lineRule="auto"/>
              <w:jc w:val="left"/>
              <w:cnfStyle w:val="100000000000" w:firstRow="1" w:lastRow="0" w:firstColumn="0" w:lastColumn="0" w:oddVBand="0" w:evenVBand="0" w:oddHBand="0" w:evenHBand="0" w:firstRowFirstColumn="0" w:firstRowLastColumn="0" w:lastRowFirstColumn="0" w:lastRowLastColumn="0"/>
              <w:rPr>
                <w:color w:val="auto"/>
                <w:lang w:val="en-MY"/>
              </w:rPr>
            </w:pPr>
            <w:r>
              <w:rPr>
                <w:noProof/>
                <w:color w:val="auto"/>
                <w:lang w:val="en-MY"/>
              </w:rPr>
              <w:drawing>
                <wp:inline distT="0" distB="0" distL="0" distR="0" wp14:anchorId="145C8728" wp14:editId="065ECDC8">
                  <wp:extent cx="3960000" cy="2337049"/>
                  <wp:effectExtent l="0" t="0" r="254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p w14:paraId="1F770682" w14:textId="77CC01BB" w:rsidR="00E94CEE" w:rsidRPr="009D4627" w:rsidRDefault="00E94CEE"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p>
        </w:tc>
      </w:tr>
      <w:tr w:rsidR="00E94CEE" w:rsidRPr="009D4627" w14:paraId="68FE390A" w14:textId="77777777" w:rsidTr="00731E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4AFE5205" w14:textId="77777777" w:rsidR="00E94CEE" w:rsidRPr="009D4627" w:rsidRDefault="00E94CEE" w:rsidP="00B93453">
            <w:pPr>
              <w:spacing w:before="0" w:after="0" w:line="240" w:lineRule="auto"/>
              <w:jc w:val="left"/>
            </w:pPr>
          </w:p>
        </w:tc>
        <w:tc>
          <w:tcPr>
            <w:tcW w:w="501" w:type="pct"/>
            <w:tcBorders>
              <w:right w:val="single" w:sz="4" w:space="0" w:color="auto"/>
            </w:tcBorders>
          </w:tcPr>
          <w:p w14:paraId="199D5BF1" w14:textId="77777777" w:rsidR="00E94CEE" w:rsidRPr="00833214" w:rsidRDefault="00E94CEE"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noProof/>
              </w:rPr>
            </w:pPr>
            <w:r w:rsidRPr="00833214">
              <w:rPr>
                <w:noProof/>
              </w:rPr>
              <w:t>Down</w:t>
            </w:r>
          </w:p>
        </w:tc>
        <w:tc>
          <w:tcPr>
            <w:tcW w:w="3665" w:type="pct"/>
            <w:tcBorders>
              <w:left w:val="single" w:sz="4" w:space="0" w:color="auto"/>
            </w:tcBorders>
          </w:tcPr>
          <w:p w14:paraId="44DCE306" w14:textId="1B931CC2" w:rsidR="00E94CEE" w:rsidRPr="009D4627" w:rsidRDefault="00731EDE"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B30261E" wp14:editId="7E0936D0">
                  <wp:extent cx="3960000" cy="2337049"/>
                  <wp:effectExtent l="0" t="0" r="254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bl>
    <w:p w14:paraId="4BFFF46C" w14:textId="34C33A3C" w:rsidR="00E94CEE" w:rsidRDefault="00731EDE" w:rsidP="00680A74">
      <w:pPr>
        <w:spacing w:after="160" w:line="240" w:lineRule="auto"/>
        <w:rPr>
          <w:szCs w:val="22"/>
        </w:rPr>
      </w:pPr>
      <w:bookmarkStart w:id="284" w:name="_Toc98569902"/>
      <w:r>
        <w:t>Figure 3.</w:t>
      </w:r>
      <w:r w:rsidR="007E7CC8">
        <w:fldChar w:fldCharType="begin"/>
      </w:r>
      <w:r w:rsidR="007E7CC8">
        <w:instrText xml:space="preserve"> SEQ Figure_3. \* ARABIC </w:instrText>
      </w:r>
      <w:r w:rsidR="007E7CC8">
        <w:fldChar w:fldCharType="separate"/>
      </w:r>
      <w:r w:rsidR="00E268F6">
        <w:rPr>
          <w:noProof/>
        </w:rPr>
        <w:t>13</w:t>
      </w:r>
      <w:r w:rsidR="007E7CC8">
        <w:rPr>
          <w:noProof/>
        </w:rPr>
        <w:fldChar w:fldCharType="end"/>
      </w:r>
      <w:r>
        <w:t xml:space="preserve">: </w:t>
      </w:r>
      <w:r w:rsidRPr="00735159">
        <w:t xml:space="preserve">The scatterplots show the </w:t>
      </w:r>
      <w:r>
        <w:t xml:space="preserve">vertical </w:t>
      </w:r>
      <w:r w:rsidRPr="00735159">
        <w:t xml:space="preserve">saccadic </w:t>
      </w:r>
      <w:r>
        <w:t>peak velocity</w:t>
      </w:r>
      <w:r w:rsidRPr="00735159">
        <w:t xml:space="preserve"> of young, middle, and old age groups </w:t>
      </w:r>
      <w:r>
        <w:t xml:space="preserve">with 72 saccadic trials </w:t>
      </w:r>
      <w:r w:rsidRPr="00735159">
        <w:t>at</w:t>
      </w:r>
      <w:r>
        <w:t xml:space="preserve"> </w:t>
      </w:r>
      <w:r w:rsidRPr="00735159">
        <w:t xml:space="preserve">pooled </w:t>
      </w:r>
      <w:r>
        <w:t xml:space="preserve">upward and downward </w:t>
      </w:r>
      <w:r w:rsidRPr="00735159">
        <w:t>saccadic amplitude sizes</w:t>
      </w:r>
      <w:r>
        <w:t xml:space="preserve">. </w:t>
      </w:r>
      <w:bookmarkEnd w:id="284"/>
      <w:r w:rsidR="0011707F">
        <w:t>Upward amplitude consists of 4°, 6° and 8°, while downward amplitude consists of -4°, -6 and -8°.</w:t>
      </w:r>
    </w:p>
    <w:p w14:paraId="775D3C8B" w14:textId="22E58972" w:rsidR="008A4C12" w:rsidRDefault="008A4C12" w:rsidP="008A7B98">
      <w:pPr>
        <w:spacing w:before="0" w:after="160"/>
        <w:rPr>
          <w:szCs w:val="22"/>
        </w:rPr>
      </w:pPr>
    </w:p>
    <w:p w14:paraId="5AD69F7F" w14:textId="76B1B71B" w:rsidR="001171CD" w:rsidRDefault="001171CD" w:rsidP="008A7B98">
      <w:pPr>
        <w:spacing w:before="0" w:after="160"/>
        <w:rPr>
          <w:szCs w:val="22"/>
        </w:rPr>
      </w:pPr>
    </w:p>
    <w:p w14:paraId="1ACA7D33" w14:textId="7D23A398" w:rsidR="001171CD" w:rsidRDefault="001171CD" w:rsidP="008A7B98">
      <w:pPr>
        <w:spacing w:before="0" w:after="160"/>
        <w:rPr>
          <w:szCs w:val="22"/>
        </w:rPr>
      </w:pPr>
    </w:p>
    <w:p w14:paraId="5B4804B7" w14:textId="78EAEC08" w:rsidR="001171CD" w:rsidRDefault="001171CD" w:rsidP="008A7B98">
      <w:pPr>
        <w:spacing w:before="0" w:after="160"/>
        <w:rPr>
          <w:szCs w:val="22"/>
        </w:rPr>
      </w:pPr>
    </w:p>
    <w:p w14:paraId="676DE7BA" w14:textId="117A3D55" w:rsidR="001171CD" w:rsidRDefault="001171CD" w:rsidP="008A7B98">
      <w:pPr>
        <w:spacing w:before="0" w:after="160"/>
        <w:rPr>
          <w:szCs w:val="22"/>
        </w:rPr>
      </w:pPr>
    </w:p>
    <w:p w14:paraId="198FAE30" w14:textId="5795399A" w:rsidR="001171CD" w:rsidRDefault="001171CD" w:rsidP="008A7B98">
      <w:pPr>
        <w:spacing w:before="0" w:after="160"/>
        <w:rPr>
          <w:szCs w:val="22"/>
        </w:rPr>
      </w:pPr>
    </w:p>
    <w:p w14:paraId="12CF9DFE" w14:textId="33C77970" w:rsidR="001171CD" w:rsidRDefault="001171CD" w:rsidP="008A7B98">
      <w:pPr>
        <w:spacing w:before="0" w:after="160"/>
        <w:rPr>
          <w:szCs w:val="22"/>
        </w:rPr>
      </w:pPr>
    </w:p>
    <w:tbl>
      <w:tblPr>
        <w:tblStyle w:val="ListTable2"/>
        <w:tblW w:w="5001" w:type="pct"/>
        <w:tblLook w:val="04A0" w:firstRow="1" w:lastRow="0" w:firstColumn="1" w:lastColumn="0" w:noHBand="0" w:noVBand="1"/>
      </w:tblPr>
      <w:tblGrid>
        <w:gridCol w:w="1506"/>
        <w:gridCol w:w="904"/>
        <w:gridCol w:w="6618"/>
      </w:tblGrid>
      <w:tr w:rsidR="001171CD" w:rsidRPr="009D4627" w14:paraId="5DA0F7B9" w14:textId="77777777" w:rsidTr="00B934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val="restart"/>
            <w:tcBorders>
              <w:right w:val="single" w:sz="4" w:space="0" w:color="auto"/>
            </w:tcBorders>
          </w:tcPr>
          <w:p w14:paraId="150A6A62" w14:textId="33E4B44B" w:rsidR="001171CD" w:rsidRDefault="001171CD" w:rsidP="00B93453">
            <w:pPr>
              <w:spacing w:before="0" w:after="0" w:line="240" w:lineRule="auto"/>
              <w:jc w:val="left"/>
              <w:rPr>
                <w:b w:val="0"/>
                <w:bCs w:val="0"/>
              </w:rPr>
            </w:pPr>
            <w:r>
              <w:rPr>
                <w:b w:val="0"/>
                <w:bCs w:val="0"/>
              </w:rPr>
              <w:lastRenderedPageBreak/>
              <w:t>Vertical saccadic gain</w:t>
            </w:r>
          </w:p>
          <w:p w14:paraId="4B9FED18" w14:textId="77777777" w:rsidR="001171CD" w:rsidRDefault="001171CD" w:rsidP="00B93453">
            <w:pPr>
              <w:spacing w:before="0" w:after="0" w:line="240" w:lineRule="auto"/>
              <w:jc w:val="left"/>
              <w:rPr>
                <w:b w:val="0"/>
                <w:bCs w:val="0"/>
              </w:rPr>
            </w:pPr>
          </w:p>
          <w:p w14:paraId="51579419" w14:textId="77777777" w:rsidR="001171CD" w:rsidRPr="009D4627" w:rsidRDefault="001171CD" w:rsidP="00B93453">
            <w:pPr>
              <w:spacing w:before="0" w:after="0" w:line="240" w:lineRule="auto"/>
              <w:jc w:val="left"/>
            </w:pPr>
            <w:r>
              <w:rPr>
                <w:noProof/>
                <w:lang w:val="en-MY" w:eastAsia="en-MY"/>
              </w:rPr>
              <w:drawing>
                <wp:inline distT="0" distB="0" distL="0" distR="0" wp14:anchorId="613C607C" wp14:editId="4288BC81">
                  <wp:extent cx="809625" cy="12382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809625"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27D96FE1" w14:textId="77777777" w:rsidR="001171CD" w:rsidRPr="009D4627" w:rsidRDefault="001171CD" w:rsidP="00B93453">
            <w:pPr>
              <w:spacing w:before="0" w:after="0" w:line="240" w:lineRule="auto"/>
              <w:jc w:val="left"/>
            </w:pPr>
          </w:p>
        </w:tc>
        <w:tc>
          <w:tcPr>
            <w:tcW w:w="501" w:type="pct"/>
            <w:tcBorders>
              <w:right w:val="single" w:sz="4" w:space="0" w:color="auto"/>
            </w:tcBorders>
          </w:tcPr>
          <w:p w14:paraId="5BA5DAAF" w14:textId="77777777" w:rsidR="001171CD" w:rsidRPr="00833214" w:rsidRDefault="001171CD"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b w:val="0"/>
                <w:bCs w:val="0"/>
                <w:noProof/>
              </w:rPr>
            </w:pPr>
            <w:r w:rsidRPr="00833214">
              <w:rPr>
                <w:b w:val="0"/>
                <w:bCs w:val="0"/>
                <w:noProof/>
              </w:rPr>
              <w:t>Up</w:t>
            </w:r>
          </w:p>
        </w:tc>
        <w:tc>
          <w:tcPr>
            <w:tcW w:w="3665" w:type="pct"/>
            <w:tcBorders>
              <w:left w:val="single" w:sz="4" w:space="0" w:color="auto"/>
            </w:tcBorders>
          </w:tcPr>
          <w:p w14:paraId="04C36483" w14:textId="0A2DFFC4" w:rsidR="001171CD" w:rsidRDefault="00E40851" w:rsidP="00B93453">
            <w:pPr>
              <w:autoSpaceDE w:val="0"/>
              <w:autoSpaceDN w:val="0"/>
              <w:adjustRightInd w:val="0"/>
              <w:spacing w:before="0" w:after="0" w:line="240" w:lineRule="auto"/>
              <w:jc w:val="left"/>
              <w:cnfStyle w:val="100000000000" w:firstRow="1" w:lastRow="0" w:firstColumn="0" w:lastColumn="0" w:oddVBand="0" w:evenVBand="0" w:oddHBand="0" w:evenHBand="0" w:firstRowFirstColumn="0" w:firstRowLastColumn="0" w:lastRowFirstColumn="0" w:lastRowLastColumn="0"/>
              <w:rPr>
                <w:color w:val="auto"/>
                <w:lang w:val="en-MY"/>
              </w:rPr>
            </w:pPr>
            <w:r>
              <w:rPr>
                <w:noProof/>
                <w:color w:val="auto"/>
                <w:lang w:val="en-MY"/>
              </w:rPr>
              <w:drawing>
                <wp:inline distT="0" distB="0" distL="0" distR="0" wp14:anchorId="075A32DF" wp14:editId="12B46CEB">
                  <wp:extent cx="3960000" cy="2337049"/>
                  <wp:effectExtent l="0" t="0" r="254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p w14:paraId="56F3AF82" w14:textId="77777777" w:rsidR="001171CD" w:rsidRPr="009D4627" w:rsidRDefault="001171CD" w:rsidP="00B93453">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p>
        </w:tc>
      </w:tr>
      <w:tr w:rsidR="001171CD" w:rsidRPr="009D4627" w14:paraId="5A0086B3" w14:textId="77777777" w:rsidTr="00B934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vMerge/>
            <w:tcBorders>
              <w:right w:val="single" w:sz="4" w:space="0" w:color="auto"/>
            </w:tcBorders>
          </w:tcPr>
          <w:p w14:paraId="034C6AD3" w14:textId="77777777" w:rsidR="001171CD" w:rsidRPr="009D4627" w:rsidRDefault="001171CD" w:rsidP="00B93453">
            <w:pPr>
              <w:spacing w:before="0" w:after="0" w:line="240" w:lineRule="auto"/>
              <w:jc w:val="left"/>
            </w:pPr>
          </w:p>
        </w:tc>
        <w:tc>
          <w:tcPr>
            <w:tcW w:w="501" w:type="pct"/>
            <w:tcBorders>
              <w:right w:val="single" w:sz="4" w:space="0" w:color="auto"/>
            </w:tcBorders>
          </w:tcPr>
          <w:p w14:paraId="25AAC25F" w14:textId="77777777" w:rsidR="001171CD" w:rsidRPr="00833214" w:rsidRDefault="001171CD"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noProof/>
              </w:rPr>
            </w:pPr>
            <w:r w:rsidRPr="00833214">
              <w:rPr>
                <w:noProof/>
              </w:rPr>
              <w:t>Down</w:t>
            </w:r>
          </w:p>
        </w:tc>
        <w:tc>
          <w:tcPr>
            <w:tcW w:w="3665" w:type="pct"/>
            <w:tcBorders>
              <w:left w:val="single" w:sz="4" w:space="0" w:color="auto"/>
            </w:tcBorders>
          </w:tcPr>
          <w:p w14:paraId="22EF8651" w14:textId="284B1348" w:rsidR="001171CD" w:rsidRPr="009D4627" w:rsidRDefault="00E40851" w:rsidP="00B93453">
            <w:pPr>
              <w:spacing w:before="0" w:after="0" w:line="240" w:lineRule="auto"/>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C571528" wp14:editId="2EC334DC">
                  <wp:extent cx="3960000" cy="2337049"/>
                  <wp:effectExtent l="0" t="0" r="2540"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6" cstate="screen">
                            <a:extLst>
                              <a:ext uri="{28A0092B-C50C-407E-A947-70E740481C1C}">
                                <a14:useLocalDpi xmlns:a14="http://schemas.microsoft.com/office/drawing/2010/main" val="0"/>
                              </a:ext>
                            </a:extLst>
                          </a:blip>
                          <a:srcRect/>
                          <a:stretch>
                            <a:fillRect/>
                          </a:stretch>
                        </pic:blipFill>
                        <pic:spPr bwMode="auto">
                          <a:xfrm>
                            <a:off x="0" y="0"/>
                            <a:ext cx="3960000" cy="2337049"/>
                          </a:xfrm>
                          <a:prstGeom prst="rect">
                            <a:avLst/>
                          </a:prstGeom>
                          <a:noFill/>
                        </pic:spPr>
                      </pic:pic>
                    </a:graphicData>
                  </a:graphic>
                </wp:inline>
              </w:drawing>
            </w:r>
          </w:p>
        </w:tc>
      </w:tr>
    </w:tbl>
    <w:p w14:paraId="068A82C6" w14:textId="7FC23184" w:rsidR="001171CD" w:rsidRDefault="001171CD" w:rsidP="00C4130D">
      <w:pPr>
        <w:pStyle w:val="Caption"/>
        <w:rPr>
          <w:szCs w:val="22"/>
        </w:rPr>
      </w:pPr>
      <w:bookmarkStart w:id="285" w:name="_Toc98569903"/>
      <w:r>
        <w:t>Figure 3.</w:t>
      </w:r>
      <w:r>
        <w:fldChar w:fldCharType="begin"/>
      </w:r>
      <w:r>
        <w:instrText xml:space="preserve"> SEQ Figure_3. \* ARABIC </w:instrText>
      </w:r>
      <w:r>
        <w:fldChar w:fldCharType="separate"/>
      </w:r>
      <w:r w:rsidR="00E268F6">
        <w:rPr>
          <w:noProof/>
        </w:rPr>
        <w:t>14</w:t>
      </w:r>
      <w:r>
        <w:fldChar w:fldCharType="end"/>
      </w:r>
      <w:r>
        <w:t xml:space="preserve">: </w:t>
      </w:r>
      <w:r w:rsidRPr="00735159">
        <w:t xml:space="preserve">The scatterplots show the </w:t>
      </w:r>
      <w:r>
        <w:t xml:space="preserve">vertical </w:t>
      </w:r>
      <w:r w:rsidRPr="00735159">
        <w:t xml:space="preserve">saccadic </w:t>
      </w:r>
      <w:r>
        <w:t>gain</w:t>
      </w:r>
      <w:r w:rsidRPr="00735159">
        <w:t xml:space="preserve"> of young, middle, and old age groups </w:t>
      </w:r>
      <w:r>
        <w:t xml:space="preserve">with 72 saccadic trials </w:t>
      </w:r>
      <w:r w:rsidRPr="00735159">
        <w:t>at</w:t>
      </w:r>
      <w:r>
        <w:t xml:space="preserve"> </w:t>
      </w:r>
      <w:r w:rsidRPr="00735159">
        <w:t xml:space="preserve">pooled </w:t>
      </w:r>
      <w:r>
        <w:t xml:space="preserve">upward and downward </w:t>
      </w:r>
      <w:r w:rsidRPr="00735159">
        <w:t>saccadic amplitude sizes</w:t>
      </w:r>
      <w:r>
        <w:t xml:space="preserve">. </w:t>
      </w:r>
      <w:bookmarkEnd w:id="285"/>
      <w:r w:rsidR="0011707F">
        <w:t>Upward amplitude consists of 4°, 6° and 8°, while downward amplitude consists of -4°, -6 and -8°.</w:t>
      </w:r>
    </w:p>
    <w:p w14:paraId="3BFD6E48" w14:textId="77777777" w:rsidR="001171CD" w:rsidRDefault="001171CD" w:rsidP="008A7B98">
      <w:pPr>
        <w:spacing w:before="0" w:after="160"/>
        <w:rPr>
          <w:szCs w:val="22"/>
        </w:rPr>
      </w:pPr>
    </w:p>
    <w:p w14:paraId="4319A245" w14:textId="35FFEE85" w:rsidR="008816D4" w:rsidRPr="009D4627" w:rsidRDefault="008816D4" w:rsidP="00D04E3B">
      <w:pPr>
        <w:pStyle w:val="Heading2"/>
      </w:pPr>
      <w:bookmarkStart w:id="286" w:name="_Toc17911581"/>
      <w:bookmarkStart w:id="287" w:name="_Toc64730812"/>
      <w:bookmarkStart w:id="288" w:name="_Toc98964666"/>
      <w:bookmarkStart w:id="289" w:name="_Toc103344711"/>
      <w:r w:rsidRPr="009D4627">
        <w:t>Discussion</w:t>
      </w:r>
      <w:bookmarkEnd w:id="286"/>
      <w:bookmarkEnd w:id="287"/>
      <w:bookmarkEnd w:id="288"/>
      <w:bookmarkEnd w:id="289"/>
    </w:p>
    <w:p w14:paraId="4972F8B3" w14:textId="77777777" w:rsidR="008816D4" w:rsidRPr="009D4627" w:rsidRDefault="008816D4" w:rsidP="008816D4">
      <w:pPr>
        <w:spacing w:after="160"/>
        <w:rPr>
          <w:szCs w:val="22"/>
        </w:rPr>
      </w:pPr>
      <w:r w:rsidRPr="009D4627">
        <w:rPr>
          <w:szCs w:val="22"/>
        </w:rPr>
        <w:t>The experiments were completed to allow the following aims of the study to be achieved:</w:t>
      </w:r>
    </w:p>
    <w:p w14:paraId="5ABBB761" w14:textId="5C2FFE15" w:rsidR="008816D4" w:rsidRPr="009D4627" w:rsidRDefault="008816D4" w:rsidP="006822EF">
      <w:pPr>
        <w:numPr>
          <w:ilvl w:val="0"/>
          <w:numId w:val="71"/>
        </w:numPr>
        <w:spacing w:after="160"/>
        <w:contextualSpacing/>
        <w:rPr>
          <w:szCs w:val="22"/>
        </w:rPr>
      </w:pPr>
      <w:r w:rsidRPr="009D4627">
        <w:rPr>
          <w:szCs w:val="22"/>
        </w:rPr>
        <w:t>Provide normative</w:t>
      </w:r>
      <w:r w:rsidR="001663A2" w:rsidRPr="009D4627">
        <w:rPr>
          <w:szCs w:val="22"/>
        </w:rPr>
        <w:t xml:space="preserve"> data for</w:t>
      </w:r>
      <w:r w:rsidRPr="009D4627">
        <w:rPr>
          <w:szCs w:val="22"/>
        </w:rPr>
        <w:t xml:space="preserve"> fixation, </w:t>
      </w:r>
      <w:proofErr w:type="gramStart"/>
      <w:r w:rsidR="00230ED5" w:rsidRPr="009D4627">
        <w:rPr>
          <w:szCs w:val="22"/>
        </w:rPr>
        <w:t>SP</w:t>
      </w:r>
      <w:r w:rsidRPr="009D4627">
        <w:rPr>
          <w:szCs w:val="22"/>
        </w:rPr>
        <w:t>s</w:t>
      </w:r>
      <w:proofErr w:type="gramEnd"/>
      <w:r w:rsidRPr="009D4627">
        <w:rPr>
          <w:szCs w:val="22"/>
        </w:rPr>
        <w:t xml:space="preserve"> and saccad</w:t>
      </w:r>
      <w:r w:rsidR="001663A2" w:rsidRPr="009D4627">
        <w:rPr>
          <w:szCs w:val="22"/>
        </w:rPr>
        <w:t>ic</w:t>
      </w:r>
      <w:r w:rsidRPr="009D4627">
        <w:rPr>
          <w:szCs w:val="22"/>
        </w:rPr>
        <w:t xml:space="preserve"> eye movement parameters in three adult age groups; young, middle and older (19 to 39 years, 40 to 59 years, 60 years and above, respectively). </w:t>
      </w:r>
    </w:p>
    <w:p w14:paraId="6E76E199" w14:textId="77777777" w:rsidR="008816D4" w:rsidRPr="009D4627" w:rsidRDefault="008816D4" w:rsidP="006822EF">
      <w:pPr>
        <w:numPr>
          <w:ilvl w:val="0"/>
          <w:numId w:val="71"/>
        </w:numPr>
        <w:spacing w:after="160"/>
        <w:contextualSpacing/>
        <w:rPr>
          <w:szCs w:val="22"/>
        </w:rPr>
      </w:pPr>
      <w:r w:rsidRPr="009D4627">
        <w:rPr>
          <w:szCs w:val="22"/>
        </w:rPr>
        <w:lastRenderedPageBreak/>
        <w:t xml:space="preserve">Explore any significant changes of eye movement characteristics in healthy participants with increasing age. </w:t>
      </w:r>
    </w:p>
    <w:p w14:paraId="61B990DC" w14:textId="40CA5D33" w:rsidR="008816D4" w:rsidRPr="009D4627" w:rsidRDefault="00810C57" w:rsidP="006822EF">
      <w:pPr>
        <w:numPr>
          <w:ilvl w:val="0"/>
          <w:numId w:val="71"/>
        </w:numPr>
        <w:spacing w:after="160"/>
        <w:contextualSpacing/>
        <w:rPr>
          <w:szCs w:val="22"/>
        </w:rPr>
      </w:pPr>
      <w:r>
        <w:rPr>
          <w:szCs w:val="22"/>
        </w:rPr>
        <w:t>Propose</w:t>
      </w:r>
      <w:r w:rsidRPr="009D4627">
        <w:rPr>
          <w:szCs w:val="22"/>
        </w:rPr>
        <w:t xml:space="preserve"> </w:t>
      </w:r>
      <w:r w:rsidR="004258CF" w:rsidRPr="009D4627">
        <w:rPr>
          <w:szCs w:val="22"/>
        </w:rPr>
        <w:t>EMR</w:t>
      </w:r>
      <w:r w:rsidR="008816D4" w:rsidRPr="009D4627">
        <w:rPr>
          <w:szCs w:val="22"/>
        </w:rPr>
        <w:t xml:space="preserve"> </w:t>
      </w:r>
      <w:r w:rsidR="00F11D75">
        <w:rPr>
          <w:szCs w:val="22"/>
        </w:rPr>
        <w:t xml:space="preserve">testing </w:t>
      </w:r>
      <w:r w:rsidR="008816D4" w:rsidRPr="009D4627">
        <w:rPr>
          <w:szCs w:val="22"/>
        </w:rPr>
        <w:t>paradigms and methods of analysis suitable for clinical assessment of patients.</w:t>
      </w:r>
    </w:p>
    <w:p w14:paraId="26F71F84" w14:textId="5A937217" w:rsidR="008816D4" w:rsidRPr="009D4627" w:rsidRDefault="00F740FF" w:rsidP="000939C0">
      <w:r w:rsidRPr="009D4627">
        <w:t>The results show that the null hypothesis was rejected due to a statistically significant difference</w:t>
      </w:r>
      <w:r>
        <w:t xml:space="preserve"> for some specific </w:t>
      </w:r>
      <w:r w:rsidRPr="009D4627">
        <w:t>eye movement parameters between the three age groups recruited for this study</w:t>
      </w:r>
      <w:r w:rsidR="008816D4" w:rsidRPr="009D4627">
        <w:t>.</w:t>
      </w:r>
    </w:p>
    <w:p w14:paraId="75079D42" w14:textId="0480F280" w:rsidR="008816D4" w:rsidRPr="009D4627" w:rsidRDefault="008816D4" w:rsidP="00DC4CA6">
      <w:pPr>
        <w:pStyle w:val="Heading3"/>
      </w:pPr>
      <w:bookmarkStart w:id="290" w:name="_Toc98964667"/>
      <w:bookmarkStart w:id="291" w:name="_Toc103344712"/>
      <w:r w:rsidRPr="009D4627">
        <w:t>Fixation</w:t>
      </w:r>
      <w:bookmarkEnd w:id="290"/>
      <w:bookmarkEnd w:id="291"/>
    </w:p>
    <w:p w14:paraId="54C8DD19" w14:textId="413928B3" w:rsidR="008816D4" w:rsidRPr="007C6B74" w:rsidRDefault="00702339" w:rsidP="00075773">
      <w:r w:rsidRPr="007C6B74">
        <w:t xml:space="preserve">The study discovered that POG provides no useful information on the fixation pattern of healthy adults aged 18 to 79 years. Additionally, age did not have a significant effect on fixation performance across all age groups of participants. Indeed, no correlation was seen between ageing and fixation performance. </w:t>
      </w:r>
      <w:r w:rsidR="0093258D" w:rsidRPr="007C6B74">
        <w:t>The result suggested that percentage DT is not susceptible to ageing.</w:t>
      </w:r>
      <w:r w:rsidR="00574235" w:rsidRPr="007C6B74">
        <w:t xml:space="preserve"> A previous study found that fixation stability deteriorated in patients with macula disorders </w:t>
      </w:r>
      <w:r w:rsidR="00574235" w:rsidRPr="007C6B74">
        <w:fldChar w:fldCharType="begin"/>
      </w:r>
      <w:r w:rsidR="00574235" w:rsidRPr="007C6B74">
        <w:instrText xml:space="preserve"> ADDIN EN.CITE &lt;EndNote&gt;&lt;Cite&gt;&lt;Author&gt;Crossland&lt;/Author&gt;&lt;Year&gt;2004&lt;/Year&gt;&lt;IDText&gt;Fixation stability and reading speed in patients with newly developed macular disease&lt;/IDText&gt;&lt;DisplayText&gt;(Crossland et al., 2004)&lt;/DisplayText&gt;&lt;record&gt;&lt;keywords&gt;&lt;keyword&gt;Aged&lt;/keyword&gt;&lt;keyword&gt;Biological and medical sciences&lt;/keyword&gt;&lt;keyword&gt;Child&lt;/keyword&gt;&lt;keyword&gt;Contrast Sensitivity&lt;/keyword&gt;&lt;keyword&gt;Eye Movements&lt;/keyword&gt;&lt;keyword&gt;Fixation, Ocular&lt;/keyword&gt;&lt;keyword&gt;Humans&lt;/keyword&gt;&lt;keyword&gt;Lasers&lt;/keyword&gt;&lt;keyword&gt;low vision&lt;/keyword&gt;&lt;keyword&gt;Macular Degeneration - physiopathology&lt;/keyword&gt;&lt;keyword&gt;Macular Degeneration - psychology&lt;/keyword&gt;&lt;keyword&gt;macular disease&lt;/keyword&gt;&lt;keyword&gt;Medical sciences&lt;/keyword&gt;&lt;keyword&gt;Ophthalmology&lt;/keyword&gt;&lt;keyword&gt;Ophthalmoscopes&lt;/keyword&gt;&lt;keyword&gt;preferred retinal locus&lt;/keyword&gt;&lt;keyword&gt;Reading&lt;/keyword&gt;&lt;keyword&gt;Retinopathies&lt;/keyword&gt;&lt;keyword&gt;Visual Acuity&lt;/keyword&gt;&lt;/keywords&gt;&lt;isbn&gt;0275-5408&lt;/isbn&gt;&lt;titles&gt;&lt;title&gt;Fixation stability and reading speed in patients with newly developed macular disease&lt;/title&gt;&lt;secondary-title&gt;Ophthalmic Physiol Opt&lt;/secondary-title&gt;&lt;/titles&gt;&lt;pages&gt;327-333&lt;/pages&gt;&lt;number&gt;4&lt;/number&gt;&lt;contributors&gt;&lt;authors&gt;&lt;author&gt;Crossland, Michael D.&lt;/author&gt;&lt;author&gt;Culham, Louise E.&lt;/author&gt;&lt;author&gt;Rubin, Gary S.&lt;/author&gt;&lt;/authors&gt;&lt;/contributors&gt;&lt;edition&gt;Received: 16 December 2003 Revised form: 6 April 2004 Accepted: 14 April 2004&lt;/edition&gt;&lt;added-date format="utc"&gt;1646129007&lt;/added-date&gt;&lt;pub-location&gt;Oxford, UK&lt;/pub-location&gt;&lt;ref-type name="Journal Article"&gt;17&lt;/ref-type&gt;&lt;dates&gt;&lt;year&gt;2004&lt;/year&gt;&lt;/dates&gt;&lt;rec-number&gt;800&lt;/rec-number&gt;&lt;publisher&gt;Oxford, UK: Blackwell Science Ltd&lt;/publisher&gt;&lt;last-updated-date format="utc"&gt;1646129007&lt;/last-updated-date&gt;&lt;electronic-resource-num&gt;10.1111/j.1475-1313.2004.00213.x&lt;/electronic-resource-num&gt;&lt;volume&gt;24&lt;/volume&gt;&lt;/record&gt;&lt;/Cite&gt;&lt;/EndNote&gt;</w:instrText>
      </w:r>
      <w:r w:rsidR="00574235" w:rsidRPr="007C6B74">
        <w:fldChar w:fldCharType="separate"/>
      </w:r>
      <w:r w:rsidR="00574235" w:rsidRPr="007C6B74">
        <w:rPr>
          <w:noProof/>
        </w:rPr>
        <w:t>(Crossland et al., 2004)</w:t>
      </w:r>
      <w:r w:rsidR="00574235" w:rsidRPr="007C6B74">
        <w:fldChar w:fldCharType="end"/>
      </w:r>
      <w:r w:rsidR="00574235" w:rsidRPr="007C6B74">
        <w:t xml:space="preserve"> regardless of ageing. The EOM fibres were more affected by ageing. As a result, the degeneration of EOM fibres as a result of ageing should be more apparent in older people' high-velocity </w:t>
      </w:r>
      <w:r w:rsidR="00810C57" w:rsidRPr="007C6B74">
        <w:t xml:space="preserve">type of </w:t>
      </w:r>
      <w:r w:rsidR="00574235" w:rsidRPr="007C6B74">
        <w:t xml:space="preserve">eye movements referred </w:t>
      </w:r>
      <w:r w:rsidR="00A83C0C" w:rsidRPr="007C6B74">
        <w:t xml:space="preserve">to </w:t>
      </w:r>
      <w:r w:rsidR="00574235" w:rsidRPr="007C6B74">
        <w:t>as saccad</w:t>
      </w:r>
      <w:r w:rsidR="00CD2E3F" w:rsidRPr="007C6B74">
        <w:t xml:space="preserve">es </w:t>
      </w:r>
      <w:r w:rsidR="00574235" w:rsidRPr="007C6B74">
        <w:fldChar w:fldCharType="begin"/>
      </w:r>
      <w:r w:rsidR="00574235" w:rsidRPr="007C6B74">
        <w:instrText xml:space="preserve"> ADDIN EN.CITE &lt;EndNote&gt;&lt;Cite&gt;&lt;Author&gt;Kosnik&lt;/Author&gt;&lt;Year&gt;1986&lt;/Year&gt;&lt;IDText&gt;Visual fixation stability in older adults&lt;/IDText&gt;&lt;DisplayText&gt;(Kosnik et al., 1986)&lt;/DisplayText&gt;&lt;record&gt;&lt;keywords&gt;&lt;keyword&gt;Adult&lt;/keyword&gt;&lt;keyword&gt;Aged&lt;/keyword&gt;&lt;keyword&gt;Aging&lt;/keyword&gt;&lt;keyword&gt;Fixation, Ocular&lt;/keyword&gt;&lt;keyword&gt;Humans&lt;/keyword&gt;&lt;keyword&gt;Ocular Physiological Phenomena&lt;/keyword&gt;&lt;keyword&gt;Statistics As Topic&lt;/keyword&gt;&lt;/keywords&gt;&lt;isbn&gt;0146-0404&lt;/isbn&gt;&lt;titles&gt;&lt;title&gt;Visual fixation stability in older adults&lt;/title&gt;&lt;secondary-title&gt;Investigative ophthalmology &amp;amp; visual science&lt;/secondary-title&gt;&lt;/titles&gt;&lt;pages&gt;1720-1725&lt;/pages&gt;&lt;number&gt;12&lt;/number&gt;&lt;contributors&gt;&lt;authors&gt;&lt;author&gt;Kosnik, W.&lt;/author&gt;&lt;author&gt;Fikre, J.&lt;/author&gt;&lt;author&gt;Sekuler, R.&lt;/author&gt;&lt;/authors&gt;&lt;/contributors&gt;&lt;added-date format="utc"&gt;1567770570&lt;/added-date&gt;&lt;ref-type name="Journal Article"&gt;17&lt;/ref-type&gt;&lt;dates&gt;&lt;year&gt;1986&lt;/year&gt;&lt;/dates&gt;&lt;rec-number&gt;597&lt;/rec-number&gt;&lt;last-updated-date format="utc"&gt;1567770570&lt;/last-updated-date&gt;&lt;contributors&gt;&lt;secondary-authors&gt;&lt;author&gt;Kosnik, W.&lt;/author&gt;&lt;/secondary-authors&gt;&lt;/contributors&gt;&lt;volume&gt;27&lt;/volume&gt;&lt;/record&gt;&lt;/Cite&gt;&lt;/EndNote&gt;</w:instrText>
      </w:r>
      <w:r w:rsidR="00574235" w:rsidRPr="007C6B74">
        <w:fldChar w:fldCharType="separate"/>
      </w:r>
      <w:r w:rsidR="00574235" w:rsidRPr="007C6B74">
        <w:rPr>
          <w:noProof/>
        </w:rPr>
        <w:t>(Kosnik et al., 1986)</w:t>
      </w:r>
      <w:r w:rsidR="00574235" w:rsidRPr="007C6B74">
        <w:fldChar w:fldCharType="end"/>
      </w:r>
      <w:r w:rsidR="00574235" w:rsidRPr="007C6B74">
        <w:t>.</w:t>
      </w:r>
    </w:p>
    <w:p w14:paraId="5639FE72" w14:textId="52562AC9" w:rsidR="00767CBD" w:rsidRDefault="00767CBD" w:rsidP="00767CBD">
      <w:r w:rsidRPr="00767CBD">
        <w:t xml:space="preserve">It was </w:t>
      </w:r>
      <w:r w:rsidR="00680A74">
        <w:t>demonstrated</w:t>
      </w:r>
      <w:r w:rsidRPr="00767CBD">
        <w:t xml:space="preserve"> that ageing has an impact on SP RMSE in both the horizontal and vertical directions.</w:t>
      </w:r>
      <w:r w:rsidR="00CD2E3F">
        <w:t xml:space="preserve"> </w:t>
      </w:r>
      <w:r w:rsidRPr="009D4627">
        <w:t>The RMSE measures the error between the eye position relative to the target position to ensure the target is perfectly kept in the fovea</w:t>
      </w:r>
      <w:r w:rsidR="00680A74">
        <w:t>l area</w:t>
      </w:r>
      <w:r w:rsidRPr="009D4627">
        <w:t xml:space="preserve"> during SP movement </w:t>
      </w:r>
      <w:r w:rsidRPr="009D4627">
        <w:fldChar w:fldCharType="begin"/>
      </w:r>
      <w:r w:rsidRPr="009D4627">
        <w:instrText xml:space="preserve"> ADDIN EN.CITE &lt;EndNote&gt;&lt;Cite&gt;&lt;Author&gt;Bahill&lt;/Author&gt;&lt;Year&gt;1983&lt;/Year&gt;&lt;IDText&gt;Smooth pursuit eye movements in response to predictable target motions&lt;/IDText&gt;&lt;DisplayText&gt;(Bahill &amp;amp; McDonald, 1983)&lt;/DisplayText&gt;&lt;record&gt;&lt;keywords&gt;&lt;keyword&gt;Human&lt;/keyword&gt;&lt;keyword&gt;Smooth Pursuit&lt;/keyword&gt;&lt;keyword&gt;Eye Movements&lt;/keyword&gt;&lt;keyword&gt;Prediction&lt;/keyword&gt;&lt;keyword&gt;Error&lt;/keyword&gt;&lt;keyword&gt;Correlation&lt;/keyword&gt;&lt;keyword&gt;Latency&lt;/keyword&gt;&lt;keyword&gt;Learning&lt;/keyword&gt;&lt;/keywords&gt;&lt;isbn&gt;0042-6989&lt;/isbn&gt;&lt;titles&gt;&lt;title&gt;Smooth pursuit eye movements in response to predictable target motions&lt;/title&gt;&lt;secondary-title&gt;Vision Research&lt;/secondary-title&gt;&lt;/titles&gt;&lt;pages&gt;1573-1583&lt;/pages&gt;&lt;number&gt;12&lt;/number&gt;&lt;contributors&gt;&lt;authors&gt;&lt;author&gt;Bahill, A. T&lt;/author&gt;&lt;author&gt;McDonald, Jack D.&lt;/author&gt;&lt;/authors&gt;&lt;/contributors&gt;&lt;added-date format="utc"&gt;1521649042&lt;/added-date&gt;&lt;ref-type name="Journal Article"&gt;17&lt;/ref-type&gt;&lt;dates&gt;&lt;year&gt;1983&lt;/year&gt;&lt;/dates&gt;&lt;rec-number&gt;542&lt;/rec-number&gt;&lt;last-updated-date format="utc"&gt;1624965328&lt;/last-updated-date&gt;&lt;electronic-resource-num&gt;10.1016/0042-6989(83)90171-2&lt;/electronic-resource-num&gt;&lt;volume&gt;23&lt;/volume&gt;&lt;/record&gt;&lt;/Cite&gt;&lt;/EndNote&gt;</w:instrText>
      </w:r>
      <w:r w:rsidRPr="009D4627">
        <w:fldChar w:fldCharType="separate"/>
      </w:r>
      <w:r w:rsidRPr="009D4627">
        <w:rPr>
          <w:noProof/>
        </w:rPr>
        <w:t>(Bahill &amp; McDonald, 1983)</w:t>
      </w:r>
      <w:r w:rsidRPr="009D4627">
        <w:fldChar w:fldCharType="end"/>
      </w:r>
      <w:r w:rsidRPr="009D4627">
        <w:t xml:space="preserve">. </w:t>
      </w:r>
      <w:r w:rsidR="00DB2ADB" w:rsidRPr="00DB2ADB">
        <w:t>According to one study, the RMSE appears to be a biologically significant measure of eye-tracking performance with the potential to identify disease vulnerability</w:t>
      </w:r>
      <w:r w:rsidR="00DB2ADB">
        <w:t xml:space="preserve"> </w:t>
      </w:r>
      <w:r w:rsidR="00DB2ADB">
        <w:fldChar w:fldCharType="begin"/>
      </w:r>
      <w:r w:rsidR="00DB2ADB">
        <w:instrText xml:space="preserve"> ADDIN EN.CITE &lt;EndNote&gt;&lt;Cite&gt;&lt;Author&gt;Clementz&lt;/Author&gt;&lt;Year&gt;1996&lt;/Year&gt;&lt;IDText&gt;The construct validity of root-mean-square error for quantifying smooth-pursuit eye tracking abnormalities in schizophrenia&lt;/IDText&gt;&lt;DisplayText&gt;(Clementz et al., 1996)&lt;/DisplayText&gt;&lt;record&gt;&lt;keywords&gt;&lt;keyword&gt;Smooth Pursuit Eye Tracking&lt;/keyword&gt;&lt;keyword&gt;Schizophrenia&lt;/keyword&gt;&lt;keyword&gt;Family Studies&lt;/keyword&gt;&lt;keyword&gt;Mixture Analysis&lt;/keyword&gt;&lt;/keywords&gt;&lt;isbn&gt;0006-3223&lt;/isbn&gt;&lt;titles&gt;&lt;title&gt;The construct validity of root-mean-square error for quantifying smooth-pursuit eye tracking abnormalities in schizophrenia&lt;/title&gt;&lt;secondary-title&gt;Biological Psychiatry&lt;/secondary-title&gt;&lt;/titles&gt;&lt;pages&gt;448-450&lt;/pages&gt;&lt;number&gt;6&lt;/number&gt;&lt;contributors&gt;&lt;authors&gt;&lt;author&gt;Clementz, Brett A.&lt;/author&gt;&lt;author&gt;Iacono, William G.&lt;/author&gt;&lt;author&gt;Grove, William M.&lt;/author&gt;&lt;/authors&gt;&lt;/contributors&gt;&lt;added-date format="utc"&gt;1567241370&lt;/added-date&gt;&lt;ref-type name="Journal Article"&gt;17&lt;/ref-type&gt;&lt;dates&gt;&lt;year&gt;1996&lt;/year&gt;&lt;/dates&gt;&lt;rec-number&gt;591&lt;/rec-number&gt;&lt;last-updated-date format="utc"&gt;1567241370&lt;/last-updated-date&gt;&lt;electronic-resource-num&gt;10.1016/0006-3223(95)00549-8&lt;/electronic-resource-num&gt;&lt;volume&gt;39&lt;/volume&gt;&lt;/record&gt;&lt;/Cite&gt;&lt;/EndNote&gt;</w:instrText>
      </w:r>
      <w:r w:rsidR="00DB2ADB">
        <w:fldChar w:fldCharType="separate"/>
      </w:r>
      <w:r w:rsidR="00DB2ADB">
        <w:rPr>
          <w:noProof/>
        </w:rPr>
        <w:t>(Clementz et al., 1996)</w:t>
      </w:r>
      <w:r w:rsidR="00DB2ADB">
        <w:fldChar w:fldCharType="end"/>
      </w:r>
      <w:r w:rsidR="00DB2ADB" w:rsidRPr="00DB2ADB">
        <w:t>.</w:t>
      </w:r>
      <w:r w:rsidR="00DB2ADB">
        <w:t xml:space="preserve"> Apart from that, the findings </w:t>
      </w:r>
      <w:r w:rsidR="00A83C0C">
        <w:t>are</w:t>
      </w:r>
      <w:r w:rsidR="00DB2ADB">
        <w:t xml:space="preserve"> very helpful since there was no study </w:t>
      </w:r>
      <w:r w:rsidR="00DB2ADB">
        <w:lastRenderedPageBreak/>
        <w:t xml:space="preserve">presented about the </w:t>
      </w:r>
      <w:r w:rsidR="00C824D2">
        <w:t>age-related</w:t>
      </w:r>
      <w:r w:rsidR="00DB2ADB">
        <w:t xml:space="preserve"> changes to </w:t>
      </w:r>
      <w:r w:rsidR="0011707F">
        <w:t>SP</w:t>
      </w:r>
      <w:r w:rsidR="00DB2ADB">
        <w:t xml:space="preserve"> maintenance phase (i.e., gai</w:t>
      </w:r>
      <w:r w:rsidR="004A7F7D">
        <w:t>n,</w:t>
      </w:r>
      <w:r w:rsidR="00DB2ADB">
        <w:t xml:space="preserve"> RMSE and duration). </w:t>
      </w:r>
      <w:r w:rsidR="00A83C0C">
        <w:t>A p</w:t>
      </w:r>
      <w:r w:rsidR="00DB2ADB">
        <w:t xml:space="preserve">revious study </w:t>
      </w:r>
      <w:r w:rsidR="004A7F7D">
        <w:t xml:space="preserve">has </w:t>
      </w:r>
      <w:r w:rsidR="00DB2ADB">
        <w:t xml:space="preserve">documented on the age-related </w:t>
      </w:r>
      <w:r w:rsidR="0011707F">
        <w:t>SP</w:t>
      </w:r>
      <w:r w:rsidR="00DB2ADB">
        <w:t xml:space="preserve"> initiation phase (i.e., latency) </w:t>
      </w:r>
      <w:r w:rsidR="004A7F7D">
        <w:fldChar w:fldCharType="begin"/>
      </w:r>
      <w:r w:rsidR="004A7F7D">
        <w:instrText xml:space="preserve"> ADDIN EN.CITE &lt;EndNote&gt;&lt;Cite&gt;&lt;Author&gt;Knox&lt;/Author&gt;&lt;Year&gt;2005&lt;/Year&gt;&lt;IDText&gt;Age- related changes in smooth pursuit initiation&lt;/IDText&gt;&lt;DisplayText&gt;(Knox et al., 2005)&lt;/DisplayText&gt;&lt;record&gt;&lt;keywords&gt;&lt;keyword&gt;Eye movement&lt;/keyword&gt;&lt;keyword&gt;Smooth pursuit&lt;/keyword&gt;&lt;keyword&gt;Attention&lt;/keyword&gt;&lt;keyword&gt;Motion processing&lt;/keyword&gt;&lt;/keywords&gt;&lt;isbn&gt;0014-4819&lt;/isbn&gt;&lt;titles&gt;&lt;title&gt;Age- related changes in smooth pursuit initiation&lt;/title&gt;&lt;secondary-title&gt;Experimental Brain Research&lt;/secondary-title&gt;&lt;/titles&gt;&lt;pages&gt;1-7&lt;/pages&gt;&lt;number&gt;1&lt;/number&gt;&lt;contributors&gt;&lt;authors&gt;&lt;author&gt;Knox, Paul&lt;/author&gt;&lt;author&gt;Davidson, Jillian&lt;/author&gt;&lt;author&gt;Anderson, David&lt;/author&gt;&lt;/authors&gt;&lt;/contributors&gt;&lt;added-date format="utc"&gt;1567770486&lt;/added-date&gt;&lt;pub-location&gt;Berlin/Heidelberg&lt;/pub-location&gt;&lt;ref-type name="Journal Article"&gt;17&lt;/ref-type&gt;&lt;dates&gt;&lt;year&gt;2005&lt;/year&gt;&lt;/dates&gt;&lt;rec-number&gt;596&lt;/rec-number&gt;&lt;last-updated-date format="utc"&gt;1567770486&lt;/last-updated-date&gt;&lt;electronic-resource-num&gt;10.1007/s00221-005-2265-2&lt;/electronic-resource-num&gt;&lt;volume&gt;165&lt;/volume&gt;&lt;/record&gt;&lt;/Cite&gt;&lt;/EndNote&gt;</w:instrText>
      </w:r>
      <w:r w:rsidR="004A7F7D">
        <w:fldChar w:fldCharType="separate"/>
      </w:r>
      <w:r w:rsidR="004A7F7D">
        <w:rPr>
          <w:noProof/>
        </w:rPr>
        <w:t>(Knox et al., 2005)</w:t>
      </w:r>
      <w:r w:rsidR="004A7F7D">
        <w:fldChar w:fldCharType="end"/>
      </w:r>
      <w:r w:rsidR="004A7F7D">
        <w:t xml:space="preserve">. </w:t>
      </w:r>
      <w:r w:rsidR="00247C7C" w:rsidRPr="00247C7C">
        <w:t xml:space="preserve">Therefore, the finding suggests that </w:t>
      </w:r>
      <w:r w:rsidR="0011707F">
        <w:t>SP</w:t>
      </w:r>
      <w:r w:rsidR="00247C7C" w:rsidRPr="00247C7C">
        <w:t xml:space="preserve"> maintenance is susceptible to ageing, specifically the RMSE parameter.</w:t>
      </w:r>
    </w:p>
    <w:p w14:paraId="67F10247" w14:textId="6DD3E24C" w:rsidR="00767CBD" w:rsidRPr="009D4627" w:rsidRDefault="00767CBD" w:rsidP="00767CBD">
      <w:proofErr w:type="spellStart"/>
      <w:r w:rsidRPr="009D4627">
        <w:t>Bahill</w:t>
      </w:r>
      <w:proofErr w:type="spellEnd"/>
      <w:r w:rsidRPr="009D4627">
        <w:t xml:space="preserve"> and McDonald (1983) reported that the RMSE tested at 0.20 Hz sinusoidal was 0.32° (n = 8; age range 21 to 37) compared with the current study (n = 23; age range 18 to 39), where the RMSE was slightly higher at 0.</w:t>
      </w:r>
      <w:r w:rsidR="00247C7C">
        <w:t>43</w:t>
      </w:r>
      <w:r w:rsidRPr="009D4627">
        <w:t>°. Differences in testing paradigms were the most likely reason for the differences between the current and previous studies. In the previous study, the SPs were tested in a dark room with participants fixing a bright red LED. Although the testing condition enhanced the previous study's tracking performance, the generated SPs were not equivalent to natural viewing.</w:t>
      </w:r>
    </w:p>
    <w:p w14:paraId="7EE4F0B7" w14:textId="14069915" w:rsidR="00EC745C" w:rsidRPr="009D4627" w:rsidRDefault="00247C7C" w:rsidP="000939C0">
      <w:r>
        <w:t xml:space="preserve">The other two parameters that are responsible for the </w:t>
      </w:r>
      <w:r w:rsidR="0011707F">
        <w:t>SP</w:t>
      </w:r>
      <w:r>
        <w:t xml:space="preserve"> maintenance are </w:t>
      </w:r>
      <w:r w:rsidR="001663A2" w:rsidRPr="009D4627">
        <w:t xml:space="preserve">SP gain </w:t>
      </w:r>
      <w:r w:rsidR="00CD2E3F">
        <w:t>and duration of SP fixation</w:t>
      </w:r>
      <w:r>
        <w:t>. Results demonstrated that they</w:t>
      </w:r>
      <w:r w:rsidR="00CD2E3F">
        <w:t xml:space="preserve"> were</w:t>
      </w:r>
      <w:r w:rsidR="001663A2" w:rsidRPr="009D4627">
        <w:t xml:space="preserve"> not significantly affected by ageing, but horizontal SP gain was </w:t>
      </w:r>
      <w:r w:rsidR="00EC745C" w:rsidRPr="009D4627">
        <w:t>better</w:t>
      </w:r>
      <w:r w:rsidR="001663A2" w:rsidRPr="009D4627">
        <w:t xml:space="preserve"> than vertical SP gain for all age groups, as reported in a previous study </w:t>
      </w:r>
      <w:r w:rsidR="001663A2" w:rsidRPr="009D4627">
        <w:fldChar w:fldCharType="begin"/>
      </w:r>
      <w:r w:rsidR="001663A2" w:rsidRPr="009D4627">
        <w:instrText xml:space="preserve"> ADDIN EN.CITE &lt;EndNote&gt;&lt;Cite&gt;&lt;Author&gt;Rottach&lt;/Author&gt;&lt;Year&gt;1996&lt;/Year&gt;&lt;IDText&gt;Comparison of horizontal, vertical and diagonal smooth pursuit eye movements in normal human subjects&lt;/IDText&gt;&lt;DisplayText&gt;(Rottach et al., 1996)&lt;/DisplayText&gt;&lt;record&gt;&lt;keywords&gt;&lt;keyword&gt;Smooth Pursuit&lt;/keyword&gt;&lt;keyword&gt;Eye Movements&lt;/keyword&gt;&lt;keyword&gt;Step-Ramps&lt;/keyword&gt;&lt;keyword&gt;Human&lt;/keyword&gt;&lt;/keywords&gt;&lt;isbn&gt;0042-6989&lt;/isbn&gt;&lt;titles&gt;&lt;title&gt;Comparison of horizontal, vertical and diagonal smooth pursuit eye movements in normal human subjects&lt;/title&gt;&lt;secondary-title&gt;Vision Research&lt;/secondary-title&gt;&lt;/titles&gt;&lt;pages&gt;2189-2195&lt;/pages&gt;&lt;number&gt;14&lt;/number&gt;&lt;contributors&gt;&lt;authors&gt;&lt;author&gt;Rottach, Klaus G.&lt;/author&gt;&lt;author&gt;Zivotofsky, Ari Z.&lt;/author&gt;&lt;author&gt;Das, Vallabh E.&lt;/author&gt;&lt;author&gt;Averbuch-Heller, Lea&lt;/author&gt;&lt;author&gt;Discenna, Alfred O.&lt;/author&gt;&lt;author&gt;Poonyathalang, Anuchit&lt;/author&gt;&lt;author&gt;Leigh, R. John&lt;/author&gt;&lt;/authors&gt;&lt;/contributors&gt;&lt;added-date format="utc"&gt;1567273139&lt;/added-date&gt;&lt;ref-type name="Journal Article"&gt;17&lt;/ref-type&gt;&lt;dates&gt;&lt;year&gt;1996&lt;/year&gt;&lt;/dates&gt;&lt;rec-number&gt;592&lt;/rec-number&gt;&lt;last-updated-date format="utc"&gt;1603814613&lt;/last-updated-date&gt;&lt;electronic-resource-num&gt;10.1016/0042-6989(95)00302-9&lt;/electronic-resource-num&gt;&lt;volume&gt;36&lt;/volume&gt;&lt;/record&gt;&lt;/Cite&gt;&lt;/EndNote&gt;</w:instrText>
      </w:r>
      <w:r w:rsidR="001663A2" w:rsidRPr="009D4627">
        <w:fldChar w:fldCharType="separate"/>
      </w:r>
      <w:r w:rsidR="001663A2" w:rsidRPr="009D4627">
        <w:rPr>
          <w:noProof/>
        </w:rPr>
        <w:t>(Rottach et al., 1996)</w:t>
      </w:r>
      <w:r w:rsidR="001663A2" w:rsidRPr="009D4627">
        <w:fldChar w:fldCharType="end"/>
      </w:r>
      <w:r w:rsidR="001663A2" w:rsidRPr="009D4627">
        <w:t xml:space="preserve">. It is hypothesised that horizontal SP is used more extensively in our daily life than vertical SP, which has led to </w:t>
      </w:r>
      <w:r w:rsidR="008C1769" w:rsidRPr="009D4627">
        <w:t xml:space="preserve">the </w:t>
      </w:r>
      <w:r w:rsidR="001663A2" w:rsidRPr="009D4627">
        <w:t xml:space="preserve">enhancement of the horizontal SP system </w:t>
      </w:r>
      <w:r w:rsidR="001663A2" w:rsidRPr="009D4627">
        <w:fldChar w:fldCharType="begin"/>
      </w:r>
      <w:r w:rsidR="001663A2" w:rsidRPr="009D4627">
        <w:instrText xml:space="preserve"> ADDIN EN.CITE &lt;EndNote&gt;&lt;Cite&gt;&lt;Author&gt;H.&lt;/Author&gt;&lt;Year&gt;1984&lt;/Year&gt;&lt;IDText&gt;Human smooth and saccadic eye movements during voluntary pursuit of different target motions on different backgrounds&lt;/IDText&gt;&lt;DisplayText&gt;(Collewijn &amp;amp; Tamminga, 1984)&lt;/DisplayText&gt;&lt;record&gt;&lt;keywords&gt;&lt;keyword&gt;Fundamental and applied biological sciences. Psychology&lt;/keyword&gt;&lt;keyword&gt;Vertebrates: nervous system and sense organs&lt;/keyword&gt;&lt;keyword&gt;Biological and medical sciences&lt;/keyword&gt;&lt;keyword&gt;Eye and associated structures. Visual pathways and centers. Vision&lt;/keyword&gt;&lt;keyword&gt;Retina - physiology&lt;/keyword&gt;&lt;keyword&gt;Pursuit, Smooth&lt;/keyword&gt;&lt;keyword&gt;Saccades&lt;/keyword&gt;&lt;keyword&gt;Visual Perception - physiology&lt;/keyword&gt;&lt;keyword&gt;Eye Movements&lt;/keyword&gt;&lt;keyword&gt;Humans&lt;/keyword&gt;&lt;keyword&gt;Middle Aged&lt;/keyword&gt;&lt;keyword&gt;Adult&lt;/keyword&gt;&lt;keyword&gt;Motion Perception - physiology&lt;/keyword&gt;&lt;keyword&gt;Index Medicus&lt;/keyword&gt;&lt;/keywords&gt;&lt;isbn&gt;0022-3751&lt;/isbn&gt;&lt;titles&gt;&lt;title&gt;Human smooth and saccadic eye movements during voluntary pursuit of different target motions on different backgrounds&lt;/title&gt;&lt;secondary-title&gt;J Physiol&lt;/secondary-title&gt;&lt;/titles&gt;&lt;pages&gt;217-250&lt;/pages&gt;&lt;number&gt;1&lt;/number&gt;&lt;contributors&gt;&lt;authors&gt;&lt;author&gt;H. Collewijn&lt;/author&gt;&lt;author&gt;E. P. Tamminga&lt;/author&gt;&lt;/authors&gt;&lt;/contributors&gt;&lt;added-date format="utc"&gt;1613786642&lt;/added-date&gt;&lt;pub-location&gt;Oxford&lt;/pub-location&gt;&lt;ref-type name="Journal Article"&gt;17&lt;/ref-type&gt;&lt;dates&gt;&lt;year&gt;1984&lt;/year&gt;&lt;/dates&gt;&lt;rec-number&gt;740&lt;/rec-number&gt;&lt;publisher&gt;Oxford: The Physiological Society&lt;/publisher&gt;&lt;last-updated-date format="utc"&gt;1613786642&lt;/last-updated-date&gt;&lt;electronic-resource-num&gt;10.1113/jphysiol.1984.sp015242&lt;/electronic-resource-num&gt;&lt;volume&gt;351&lt;/volume&gt;&lt;/record&gt;&lt;/Cite&gt;&lt;/EndNote&gt;</w:instrText>
      </w:r>
      <w:r w:rsidR="001663A2" w:rsidRPr="009D4627">
        <w:fldChar w:fldCharType="separate"/>
      </w:r>
      <w:r w:rsidR="001663A2" w:rsidRPr="009D4627">
        <w:rPr>
          <w:noProof/>
        </w:rPr>
        <w:t>(Collewijn &amp; Tamminga, 1984)</w:t>
      </w:r>
      <w:r w:rsidR="001663A2" w:rsidRPr="009D4627">
        <w:fldChar w:fldCharType="end"/>
      </w:r>
      <w:r w:rsidR="001663A2" w:rsidRPr="009D4627">
        <w:t xml:space="preserve">. </w:t>
      </w:r>
    </w:p>
    <w:p w14:paraId="471E90C5" w14:textId="1D65B0F5" w:rsidR="008816D4" w:rsidRPr="009D4627" w:rsidRDefault="008816D4" w:rsidP="00DC4CA6">
      <w:pPr>
        <w:pStyle w:val="Heading3"/>
      </w:pPr>
      <w:bookmarkStart w:id="292" w:name="_Toc98964669"/>
      <w:bookmarkStart w:id="293" w:name="_Toc103344713"/>
      <w:r w:rsidRPr="009D4627">
        <w:t>Saccade</w:t>
      </w:r>
      <w:bookmarkEnd w:id="292"/>
      <w:bookmarkEnd w:id="293"/>
    </w:p>
    <w:p w14:paraId="7820CEA4" w14:textId="310E1D09" w:rsidR="00FF7734" w:rsidRDefault="005D2C45" w:rsidP="00C96BF5">
      <w:pPr>
        <w:spacing w:after="160"/>
        <w:rPr>
          <w:szCs w:val="22"/>
        </w:rPr>
      </w:pPr>
      <w:r w:rsidRPr="009D4627">
        <w:rPr>
          <w:szCs w:val="22"/>
        </w:rPr>
        <w:t>Th</w:t>
      </w:r>
      <w:r w:rsidR="00203728">
        <w:rPr>
          <w:szCs w:val="22"/>
        </w:rPr>
        <w:t xml:space="preserve">e </w:t>
      </w:r>
      <w:r w:rsidRPr="009D4627">
        <w:rPr>
          <w:szCs w:val="22"/>
        </w:rPr>
        <w:t xml:space="preserve">current study found that horizontal saccadic parameters are susceptible to advancing age. </w:t>
      </w:r>
      <w:r w:rsidR="00B75E10" w:rsidRPr="00106CDB">
        <w:rPr>
          <w:szCs w:val="22"/>
        </w:rPr>
        <w:t>With increasing age, saccadic latency increased, and saccadic gain decreased</w:t>
      </w:r>
      <w:r w:rsidR="00B75E10">
        <w:rPr>
          <w:szCs w:val="22"/>
        </w:rPr>
        <w:t xml:space="preserve"> </w:t>
      </w:r>
      <w:r w:rsidR="00106CDB" w:rsidRPr="009D4627">
        <w:rPr>
          <w:szCs w:val="22"/>
        </w:rPr>
        <w:fldChar w:fldCharType="begin">
          <w:fldData xml:space="preserve">PEVuZE5vdGU+PENpdGU+PEF1dGhvcj5Nb3NjaG5lcjwvQXV0aG9yPjxZZWFyPjE5OTQ8L1llYXI+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</w:fldData>
        </w:fldChar>
      </w:r>
      <w:r w:rsidR="00A83C0C">
        <w:rPr>
          <w:szCs w:val="22"/>
        </w:rPr>
        <w:instrText xml:space="preserve"> ADDIN EN.CITE </w:instrText>
      </w:r>
      <w:r w:rsidR="00A83C0C">
        <w:rPr>
          <w:szCs w:val="22"/>
        </w:rPr>
        <w:fldChar w:fldCharType="begin">
          <w:fldData xml:space="preserve">PEVuZE5vdGU+PENpdGU+PEF1dGhvcj5Nb3NjaG5lcjwvQXV0aG9yPjxZZWFyPjE5OTQ8L1llYXI+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</w:fldData>
        </w:fldChar>
      </w:r>
      <w:r w:rsidR="00A83C0C">
        <w:rPr>
          <w:szCs w:val="22"/>
        </w:rPr>
        <w:instrText xml:space="preserve"> ADDIN EN.CITE.DATA </w:instrText>
      </w:r>
      <w:r w:rsidR="00A83C0C">
        <w:rPr>
          <w:szCs w:val="22"/>
        </w:rPr>
      </w:r>
      <w:r w:rsidR="00A83C0C">
        <w:rPr>
          <w:szCs w:val="22"/>
        </w:rPr>
        <w:fldChar w:fldCharType="end"/>
      </w:r>
      <w:r w:rsidR="00106CDB" w:rsidRPr="009D4627">
        <w:rPr>
          <w:szCs w:val="22"/>
        </w:rPr>
      </w:r>
      <w:r w:rsidR="00106CDB" w:rsidRPr="009D4627">
        <w:rPr>
          <w:szCs w:val="22"/>
        </w:rPr>
        <w:fldChar w:fldCharType="separate"/>
      </w:r>
      <w:r w:rsidR="00A83C0C">
        <w:rPr>
          <w:noProof/>
          <w:szCs w:val="22"/>
        </w:rPr>
        <w:t>(Abel et al., 1983; Hopf et al., 2018; Moschner &amp; Baloh, 1994; Riecker et al., 2006)</w:t>
      </w:r>
      <w:r w:rsidR="00106CDB" w:rsidRPr="009D4627">
        <w:rPr>
          <w:szCs w:val="22"/>
        </w:rPr>
        <w:fldChar w:fldCharType="end"/>
      </w:r>
      <w:r w:rsidR="004A4B59">
        <w:rPr>
          <w:szCs w:val="22"/>
        </w:rPr>
        <w:t>.</w:t>
      </w:r>
      <w:r w:rsidRPr="009D4627">
        <w:rPr>
          <w:szCs w:val="22"/>
        </w:rPr>
        <w:t xml:space="preserve"> </w:t>
      </w:r>
      <w:r w:rsidR="00B75E10">
        <w:rPr>
          <w:szCs w:val="22"/>
        </w:rPr>
        <w:t>It was reported that c</w:t>
      </w:r>
      <w:r w:rsidR="00106CDB" w:rsidRPr="009D4627">
        <w:rPr>
          <w:szCs w:val="22"/>
        </w:rPr>
        <w:t xml:space="preserve">entral processing time, which involves several cortical areas, is the main element influencing saccadic latency </w:t>
      </w:r>
      <w:r w:rsidR="00106CDB" w:rsidRPr="009D4627">
        <w:rPr>
          <w:szCs w:val="22"/>
        </w:rPr>
        <w:fldChar w:fldCharType="begin">
          <w:fldData xml:space="preserve">PEVuZE5vdGU+PENpdGU+PEF1dGhvcj5IdWFtYW48L0F1dGhvcj48WWVhcj4xOTkzPC9ZZWFyPjxJ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==
</w:fldData>
        </w:fldChar>
      </w:r>
      <w:r w:rsidR="00106CDB" w:rsidRPr="009D4627">
        <w:rPr>
          <w:szCs w:val="22"/>
        </w:rPr>
        <w:instrText xml:space="preserve"> ADDIN EN.CITE </w:instrText>
      </w:r>
      <w:r w:rsidR="00106CDB" w:rsidRPr="009D4627">
        <w:rPr>
          <w:szCs w:val="22"/>
        </w:rPr>
        <w:fldChar w:fldCharType="begin">
          <w:fldData xml:space="preserve">PEVuZE5vdGU+PENpdGU+PEF1dGhvcj5IdWFtYW48L0F1dGhvcj48WWVhcj4xOTkzPC9ZZWFyPjxJ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==
</w:fldData>
        </w:fldChar>
      </w:r>
      <w:r w:rsidR="00106CDB" w:rsidRPr="009D4627">
        <w:rPr>
          <w:szCs w:val="22"/>
        </w:rPr>
        <w:instrText xml:space="preserve"> ADDIN EN.CITE.DATA </w:instrText>
      </w:r>
      <w:r w:rsidR="00106CDB" w:rsidRPr="009D4627">
        <w:rPr>
          <w:szCs w:val="22"/>
        </w:rPr>
      </w:r>
      <w:r w:rsidR="00106CDB" w:rsidRPr="009D4627">
        <w:rPr>
          <w:szCs w:val="22"/>
        </w:rPr>
        <w:fldChar w:fldCharType="end"/>
      </w:r>
      <w:r w:rsidR="00106CDB" w:rsidRPr="009D4627">
        <w:rPr>
          <w:szCs w:val="22"/>
        </w:rPr>
      </w:r>
      <w:r w:rsidR="00106CDB" w:rsidRPr="009D4627">
        <w:rPr>
          <w:szCs w:val="22"/>
        </w:rPr>
        <w:fldChar w:fldCharType="separate"/>
      </w:r>
      <w:r w:rsidR="00106CDB" w:rsidRPr="009D4627">
        <w:rPr>
          <w:noProof/>
          <w:szCs w:val="22"/>
        </w:rPr>
        <w:t>(Huaman &amp; Sharpe, 1993)</w:t>
      </w:r>
      <w:r w:rsidR="00106CDB" w:rsidRPr="009D4627">
        <w:rPr>
          <w:szCs w:val="22"/>
        </w:rPr>
        <w:fldChar w:fldCharType="end"/>
      </w:r>
      <w:r w:rsidR="00106CDB" w:rsidRPr="009D4627">
        <w:rPr>
          <w:szCs w:val="22"/>
        </w:rPr>
        <w:t xml:space="preserve">. </w:t>
      </w:r>
      <w:r w:rsidR="000E7AA9">
        <w:rPr>
          <w:szCs w:val="22"/>
        </w:rPr>
        <w:t>A study reported that t</w:t>
      </w:r>
      <w:r w:rsidR="000E7AA9" w:rsidRPr="00C96BF5">
        <w:rPr>
          <w:szCs w:val="22"/>
        </w:rPr>
        <w:t xml:space="preserve">he ageing brain is characterised by a </w:t>
      </w:r>
      <w:r w:rsidR="000E7AA9" w:rsidRPr="00C96BF5">
        <w:rPr>
          <w:szCs w:val="22"/>
        </w:rPr>
        <w:lastRenderedPageBreak/>
        <w:t>deterioration in the brain systems responsible for motor function, which results in slower reaction times and increased error rates in older adults</w:t>
      </w:r>
      <w:r w:rsidR="00C824D2">
        <w:rPr>
          <w:szCs w:val="22"/>
        </w:rPr>
        <w:t xml:space="preserve"> </w:t>
      </w:r>
      <w:r w:rsidR="00C824D2">
        <w:rPr>
          <w:szCs w:val="22"/>
        </w:rPr>
        <w:fldChar w:fldCharType="begin"/>
      </w:r>
      <w:r w:rsidR="00C824D2">
        <w:rPr>
          <w:szCs w:val="22"/>
        </w:rPr>
        <w:instrText xml:space="preserve"> ADDIN EN.CITE &lt;EndNote&gt;&lt;Cite&gt;&lt;Author&gt;Mattay&lt;/Author&gt;&lt;Year&gt;2002&lt;/Year&gt;&lt;IDText&gt;Neurophysiological correlates of age-related changes in human motor function&lt;/IDText&gt;&lt;DisplayText&gt;(Mattay et al., 2002)&lt;/DisplayText&gt;&lt;record&gt;&lt;keywords&gt;&lt;keyword&gt;Abridged Index Medicus&lt;/keyword&gt;&lt;keyword&gt;Adult&lt;/keyword&gt;&lt;keyword&gt;Aging - physiology&lt;/keyword&gt;&lt;keyword&gt;Analysis of Variance&lt;/keyword&gt;&lt;keyword&gt;Biological and medical sciences&lt;/keyword&gt;&lt;keyword&gt;Brain - physiology&lt;/keyword&gt;&lt;keyword&gt;Clinical Neurology&lt;/keyword&gt;&lt;keyword&gt;Development. Senescence. Regeneration. Transplantation&lt;/keyword&gt;&lt;keyword&gt;Female&lt;/keyword&gt;&lt;keyword&gt;Fundamental and applied biological sciences. Psychology&lt;/keyword&gt;&lt;keyword&gt;Humans&lt;/keyword&gt;&lt;keyword&gt;Life Sciences &amp;amp; Biomedicine&lt;/keyword&gt;&lt;keyword&gt;Magnetic Resonance Imaging - statistics &amp;amp; numerical data&lt;/keyword&gt;&lt;keyword&gt;Male&lt;/keyword&gt;&lt;keyword&gt;Middle Aged&lt;/keyword&gt;&lt;keyword&gt;Neurosciences &amp;amp; Neurology&lt;/keyword&gt;&lt;keyword&gt;Psychomotor Performance - physiology&lt;/keyword&gt;&lt;keyword&gt;Science &amp;amp; Technology&lt;/keyword&gt;&lt;keyword&gt;Vertebrates: nervous system and sense organs&lt;/keyword&gt;&lt;/keywords&gt;&lt;isbn&gt;0028-3878&lt;/isbn&gt;&lt;titles&gt;&lt;title&gt;Neurophysiological correlates of age-related changes in human motor function&lt;/title&gt;&lt;secondary-title&gt;Neurology&lt;/secondary-title&gt;&lt;/titles&gt;&lt;pages&gt;630-635&lt;/pages&gt;&lt;number&gt;4&lt;/number&gt;&lt;contributors&gt;&lt;authors&gt;&lt;author&gt;Mattay, V. S.&lt;/author&gt;&lt;author&gt;Fera, F.&lt;/author&gt;&lt;author&gt;Tessitore, A.&lt;/author&gt;&lt;author&gt;Hariri, A. R.&lt;/author&gt;&lt;author&gt;Das, S.&lt;/author&gt;&lt;author&gt;Callicott, J. H.&lt;/author&gt;&lt;author&gt;Weinberger, D. R.&lt;/author&gt;&lt;/authors&gt;&lt;/contributors&gt;&lt;added-date format="utc"&gt;1646618097&lt;/added-date&gt;&lt;pub-location&gt;PHILADELPHIA&lt;/pub-location&gt;&lt;ref-type name="Journal Article"&gt;17&lt;/ref-type&gt;&lt;dates&gt;&lt;year&gt;2002&lt;/year&gt;&lt;/dates&gt;&lt;rec-number&gt;802&lt;/rec-number&gt;&lt;publisher&gt;PHILADELPHIA: LIPPINCOTT WILLIAMS &amp;amp; WILKINS&lt;/publisher&gt;&lt;last-updated-date format="utc"&gt;1646618097&lt;/last-updated-date&gt;&lt;electronic-resource-num&gt;10.1212/WNL.58.4.630&lt;/electronic-resource-num&gt;&lt;volume&gt;58&lt;/volume&gt;&lt;/record&gt;&lt;/Cite&gt;&lt;/EndNote&gt;</w:instrText>
      </w:r>
      <w:r w:rsidR="00C824D2">
        <w:rPr>
          <w:szCs w:val="22"/>
        </w:rPr>
        <w:fldChar w:fldCharType="separate"/>
      </w:r>
      <w:r w:rsidR="00C824D2">
        <w:rPr>
          <w:noProof/>
          <w:szCs w:val="22"/>
        </w:rPr>
        <w:t>(Mattay et al., 2002)</w:t>
      </w:r>
      <w:r w:rsidR="00C824D2">
        <w:rPr>
          <w:szCs w:val="22"/>
        </w:rPr>
        <w:fldChar w:fldCharType="end"/>
      </w:r>
      <w:r w:rsidR="000E7AA9" w:rsidRPr="00C824D2">
        <w:rPr>
          <w:szCs w:val="22"/>
        </w:rPr>
        <w:t>.</w:t>
      </w:r>
      <w:r w:rsidR="000E7AA9">
        <w:rPr>
          <w:szCs w:val="22"/>
        </w:rPr>
        <w:t xml:space="preserve"> </w:t>
      </w:r>
      <w:r w:rsidR="00A83C0C">
        <w:rPr>
          <w:szCs w:val="22"/>
        </w:rPr>
        <w:t>A p</w:t>
      </w:r>
      <w:r w:rsidR="00106CDB" w:rsidRPr="009D4627">
        <w:rPr>
          <w:szCs w:val="22"/>
        </w:rPr>
        <w:t>revious stud</w:t>
      </w:r>
      <w:r w:rsidR="000E7AA9">
        <w:rPr>
          <w:szCs w:val="22"/>
        </w:rPr>
        <w:t>y</w:t>
      </w:r>
      <w:r w:rsidR="00106CDB" w:rsidRPr="009D4627">
        <w:rPr>
          <w:szCs w:val="22"/>
        </w:rPr>
        <w:t xml:space="preserve"> </w:t>
      </w:r>
      <w:r w:rsidR="000E7AA9">
        <w:rPr>
          <w:szCs w:val="22"/>
        </w:rPr>
        <w:t xml:space="preserve">also </w:t>
      </w:r>
      <w:r w:rsidR="00106CDB" w:rsidRPr="009D4627">
        <w:rPr>
          <w:szCs w:val="22"/>
        </w:rPr>
        <w:t xml:space="preserve">found an increase in the saccadic latency among patients with lesions at specific cortical areas such as the frontal lobe, posterior parietal lobe, dorsolateral prefrontal cortex, and superior colliculus </w:t>
      </w:r>
      <w:r w:rsidR="00106CDB" w:rsidRPr="009D4627">
        <w:rPr>
          <w:szCs w:val="22"/>
        </w:rPr>
        <w:fldChar w:fldCharType="begin">
          <w:fldData xml:space="preserve">PEVuZE5vdGU+PENpdGU+PEF1dGhvcj5MZWlnaDwvQXV0aG9yPjxZZWFyPjIwMDQ8L1llYXI+PElE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</w:fldData>
        </w:fldChar>
      </w:r>
      <w:r w:rsidR="00106CDB" w:rsidRPr="009D4627">
        <w:rPr>
          <w:szCs w:val="22"/>
        </w:rPr>
        <w:instrText xml:space="preserve"> ADDIN EN.CITE </w:instrText>
      </w:r>
      <w:r w:rsidR="00106CDB" w:rsidRPr="009D4627">
        <w:rPr>
          <w:szCs w:val="22"/>
        </w:rPr>
        <w:fldChar w:fldCharType="begin">
          <w:fldData xml:space="preserve">PEVuZE5vdGU+PENpdGU+PEF1dGhvcj5MZWlnaDwvQXV0aG9yPjxZZWFyPjIwMDQ8L1llYXI+PElE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</w:fldData>
        </w:fldChar>
      </w:r>
      <w:r w:rsidR="00106CDB" w:rsidRPr="009D4627">
        <w:rPr>
          <w:szCs w:val="22"/>
        </w:rPr>
        <w:instrText xml:space="preserve"> ADDIN EN.CITE.DATA </w:instrText>
      </w:r>
      <w:r w:rsidR="00106CDB" w:rsidRPr="009D4627">
        <w:rPr>
          <w:szCs w:val="22"/>
        </w:rPr>
      </w:r>
      <w:r w:rsidR="00106CDB" w:rsidRPr="009D4627">
        <w:rPr>
          <w:szCs w:val="22"/>
        </w:rPr>
        <w:fldChar w:fldCharType="end"/>
      </w:r>
      <w:r w:rsidR="00106CDB" w:rsidRPr="009D4627">
        <w:rPr>
          <w:szCs w:val="22"/>
        </w:rPr>
      </w:r>
      <w:r w:rsidR="00106CDB" w:rsidRPr="009D4627">
        <w:rPr>
          <w:szCs w:val="22"/>
        </w:rPr>
        <w:fldChar w:fldCharType="separate"/>
      </w:r>
      <w:r w:rsidR="00106CDB" w:rsidRPr="009D4627">
        <w:rPr>
          <w:noProof/>
          <w:szCs w:val="22"/>
        </w:rPr>
        <w:t>(Leigh &amp; Kennard, 2004)</w:t>
      </w:r>
      <w:r w:rsidR="00106CDB" w:rsidRPr="009D4627">
        <w:rPr>
          <w:szCs w:val="22"/>
        </w:rPr>
        <w:fldChar w:fldCharType="end"/>
      </w:r>
      <w:r w:rsidR="00106CDB" w:rsidRPr="009D4627">
        <w:rPr>
          <w:szCs w:val="22"/>
        </w:rPr>
        <w:t xml:space="preserve">. There is evidence that ageing is associated with loss of parietal cortical neurons </w:t>
      </w:r>
      <w:r w:rsidR="00106CDB" w:rsidRPr="009D4627">
        <w:rPr>
          <w:szCs w:val="22"/>
        </w:rPr>
        <w:fldChar w:fldCharType="begin">
          <w:fldData xml:space="preserve">PEVuZE5vdGU+PENpdGU+PEF1dGhvcj5TY2h1aXRlbWFrZXI8L0F1dGhvcj48WWVhcj4yMDEyPC9Z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</w:fldData>
        </w:fldChar>
      </w:r>
      <w:r w:rsidR="00106CDB" w:rsidRPr="009D4627">
        <w:rPr>
          <w:szCs w:val="22"/>
        </w:rPr>
        <w:instrText xml:space="preserve"> ADDIN EN.CITE </w:instrText>
      </w:r>
      <w:r w:rsidR="00106CDB" w:rsidRPr="009D4627">
        <w:rPr>
          <w:szCs w:val="22"/>
        </w:rPr>
        <w:fldChar w:fldCharType="begin">
          <w:fldData xml:space="preserve">PEVuZE5vdGU+PENpdGU+PEF1dGhvcj5TY2h1aXRlbWFrZXI8L0F1dGhvcj48WWVhcj4yMDEyPC9Z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</w:fldData>
        </w:fldChar>
      </w:r>
      <w:r w:rsidR="00106CDB" w:rsidRPr="009D4627">
        <w:rPr>
          <w:szCs w:val="22"/>
        </w:rPr>
        <w:instrText xml:space="preserve"> ADDIN EN.CITE.DATA </w:instrText>
      </w:r>
      <w:r w:rsidR="00106CDB" w:rsidRPr="009D4627">
        <w:rPr>
          <w:szCs w:val="22"/>
        </w:rPr>
      </w:r>
      <w:r w:rsidR="00106CDB" w:rsidRPr="009D4627">
        <w:rPr>
          <w:szCs w:val="22"/>
        </w:rPr>
        <w:fldChar w:fldCharType="end"/>
      </w:r>
      <w:r w:rsidR="00106CDB" w:rsidRPr="009D4627">
        <w:rPr>
          <w:szCs w:val="22"/>
        </w:rPr>
      </w:r>
      <w:r w:rsidR="00106CDB" w:rsidRPr="009D4627">
        <w:rPr>
          <w:szCs w:val="22"/>
        </w:rPr>
        <w:fldChar w:fldCharType="separate"/>
      </w:r>
      <w:r w:rsidR="00106CDB" w:rsidRPr="009D4627">
        <w:rPr>
          <w:noProof/>
          <w:szCs w:val="22"/>
        </w:rPr>
        <w:t>(Schuitemaker et al., 2012)</w:t>
      </w:r>
      <w:r w:rsidR="00106CDB" w:rsidRPr="009D4627">
        <w:rPr>
          <w:szCs w:val="22"/>
        </w:rPr>
        <w:fldChar w:fldCharType="end"/>
      </w:r>
      <w:r w:rsidR="00106CDB" w:rsidRPr="009D4627">
        <w:rPr>
          <w:szCs w:val="22"/>
        </w:rPr>
        <w:t>,</w:t>
      </w:r>
      <w:r w:rsidR="000E7AA9" w:rsidRPr="000E7AA9">
        <w:rPr>
          <w:szCs w:val="22"/>
        </w:rPr>
        <w:t xml:space="preserve"> </w:t>
      </w:r>
      <w:r w:rsidR="000E7AA9" w:rsidRPr="009D4627">
        <w:rPr>
          <w:szCs w:val="22"/>
        </w:rPr>
        <w:t xml:space="preserve">contributing to the </w:t>
      </w:r>
      <w:r w:rsidR="000E7AA9">
        <w:rPr>
          <w:szCs w:val="22"/>
        </w:rPr>
        <w:t xml:space="preserve">prolonged </w:t>
      </w:r>
      <w:r w:rsidR="000E7AA9" w:rsidRPr="009D4627">
        <w:rPr>
          <w:szCs w:val="22"/>
        </w:rPr>
        <w:t xml:space="preserve">saccadic </w:t>
      </w:r>
      <w:r w:rsidR="000E7AA9">
        <w:rPr>
          <w:szCs w:val="22"/>
        </w:rPr>
        <w:t>latency</w:t>
      </w:r>
      <w:r w:rsidR="00106CDB" w:rsidRPr="009D4627">
        <w:rPr>
          <w:szCs w:val="22"/>
        </w:rPr>
        <w:t>.</w:t>
      </w:r>
      <w:r w:rsidR="00106CDB">
        <w:rPr>
          <w:szCs w:val="22"/>
        </w:rPr>
        <w:t xml:space="preserve"> </w:t>
      </w:r>
    </w:p>
    <w:p w14:paraId="63CB354F" w14:textId="4156AD4C" w:rsidR="00022C54" w:rsidRDefault="00106CDB" w:rsidP="008816D4">
      <w:pPr>
        <w:spacing w:after="160"/>
        <w:rPr>
          <w:szCs w:val="22"/>
        </w:rPr>
      </w:pPr>
      <w:r w:rsidRPr="00106CDB">
        <w:rPr>
          <w:szCs w:val="22"/>
        </w:rPr>
        <w:t>However, the peak velocity of horizontal saccade movements in older persons was faster than in young adults.</w:t>
      </w:r>
      <w:r>
        <w:rPr>
          <w:szCs w:val="22"/>
        </w:rPr>
        <w:t xml:space="preserve"> </w:t>
      </w:r>
      <w:r w:rsidR="00B75E10">
        <w:rPr>
          <w:szCs w:val="22"/>
        </w:rPr>
        <w:t>It could be due to increased brain activ</w:t>
      </w:r>
      <w:r w:rsidR="00680A74">
        <w:rPr>
          <w:szCs w:val="22"/>
        </w:rPr>
        <w:t>i</w:t>
      </w:r>
      <w:r w:rsidR="00B75E10">
        <w:rPr>
          <w:szCs w:val="22"/>
        </w:rPr>
        <w:t>t</w:t>
      </w:r>
      <w:r w:rsidR="00680A74">
        <w:rPr>
          <w:szCs w:val="22"/>
        </w:rPr>
        <w:t>y</w:t>
      </w:r>
      <w:r w:rsidR="00B75E10">
        <w:rPr>
          <w:szCs w:val="22"/>
        </w:rPr>
        <w:t xml:space="preserve"> among the elderly</w:t>
      </w:r>
      <w:r w:rsidR="00780179">
        <w:rPr>
          <w:szCs w:val="22"/>
        </w:rPr>
        <w:t xml:space="preserve"> </w:t>
      </w:r>
      <w:r w:rsidR="00780179">
        <w:rPr>
          <w:szCs w:val="22"/>
        </w:rPr>
        <w:fldChar w:fldCharType="begin"/>
      </w:r>
      <w:r w:rsidR="00780179">
        <w:rPr>
          <w:szCs w:val="22"/>
        </w:rPr>
        <w:instrText xml:space="preserve"> ADDIN EN.CITE &lt;EndNote&gt;&lt;Cite&gt;&lt;Author&gt;Nelles&lt;/Author&gt;&lt;Year&gt;2009&lt;/Year&gt;&lt;IDText&gt;Age- related differences of saccade induced cortical activation&lt;/IDText&gt;&lt;DisplayText&gt;(Nelles et al., 2009)&lt;/DisplayText&gt;&lt;record&gt;&lt;keywords&gt;&lt;keyword&gt;Aging&lt;/keyword&gt;&lt;keyword&gt;Eye Movement&lt;/keyword&gt;&lt;keyword&gt;Saccades&lt;/keyword&gt;&lt;keyword&gt;Functional Magnetic Resonance Imaging (Fmri)&lt;/keyword&gt;&lt;/keywords&gt;&lt;isbn&gt;0304-3940&lt;/isbn&gt;&lt;titles&gt;&lt;title&gt;Age- related differences of saccade induced cortical activation&lt;/title&gt;&lt;secondary-title&gt;Neuroscience Letters&lt;/secondary-title&gt;&lt;/titles&gt;&lt;pages&gt;15-18&lt;/pages&gt;&lt;number&gt;1&lt;/number&gt;&lt;contributors&gt;&lt;authors&gt;&lt;author&gt;Nelles, Gereon&lt;/author&gt;&lt;author&gt;de Greiff, Armin&lt;/author&gt;&lt;author&gt;Pscherer, Anja&lt;/author&gt;&lt;author&gt;Esser, Joachim&lt;/author&gt;&lt;/authors&gt;&lt;/contributors&gt;&lt;added-date format="utc"&gt;1568106801&lt;/added-date&gt;&lt;ref-type name="Journal Article"&gt;17&lt;/ref-type&gt;&lt;dates&gt;&lt;year&gt;2009&lt;/year&gt;&lt;/dates&gt;&lt;rec-number&gt;601&lt;/rec-number&gt;&lt;last-updated-date format="utc"&gt;1568106801&lt;/last-updated-date&gt;&lt;electronic-resource-num&gt;10.1016/j.neulet.2009.04.026&lt;/electronic-resource-num&gt;&lt;volume&gt;458&lt;/volume&gt;&lt;/record&gt;&lt;/Cite&gt;&lt;/EndNote&gt;</w:instrText>
      </w:r>
      <w:r w:rsidR="00780179">
        <w:rPr>
          <w:szCs w:val="22"/>
        </w:rPr>
        <w:fldChar w:fldCharType="separate"/>
      </w:r>
      <w:r w:rsidR="00780179">
        <w:rPr>
          <w:noProof/>
          <w:szCs w:val="22"/>
        </w:rPr>
        <w:t>(Nelles et al., 2009)</w:t>
      </w:r>
      <w:r w:rsidR="00780179">
        <w:rPr>
          <w:szCs w:val="22"/>
        </w:rPr>
        <w:fldChar w:fldCharType="end"/>
      </w:r>
      <w:r w:rsidR="00780179">
        <w:rPr>
          <w:szCs w:val="22"/>
        </w:rPr>
        <w:t>.</w:t>
      </w:r>
      <w:r w:rsidR="00FF7734">
        <w:rPr>
          <w:szCs w:val="22"/>
        </w:rPr>
        <w:t xml:space="preserve"> </w:t>
      </w:r>
      <w:r w:rsidR="00E9074B" w:rsidRPr="009D4627">
        <w:rPr>
          <w:szCs w:val="22"/>
        </w:rPr>
        <w:t xml:space="preserve">Spooner (1980) found that peak velocity was impaired with ageing due to larger variability in the older group compared with the younger group. However, they were using an invasive eye recorder, which increased the discomfort such that eye movements might have been more affected in the elderly when moving the eye with larger saccadic amplitudes. It is also unclear about the criteria used to select the visually triggered saccadic data and the size of the target. </w:t>
      </w:r>
      <w:r w:rsidR="00780179">
        <w:rPr>
          <w:szCs w:val="22"/>
        </w:rPr>
        <w:t>Additionally,</w:t>
      </w:r>
      <w:r w:rsidR="005D2C45" w:rsidRPr="009D4627">
        <w:rPr>
          <w:szCs w:val="22"/>
        </w:rPr>
        <w:t xml:space="preserve"> vertical </w:t>
      </w:r>
      <w:r w:rsidR="00780179" w:rsidRPr="009D4627">
        <w:rPr>
          <w:szCs w:val="22"/>
        </w:rPr>
        <w:t>saccad</w:t>
      </w:r>
      <w:r w:rsidR="00780179">
        <w:rPr>
          <w:szCs w:val="22"/>
        </w:rPr>
        <w:t xml:space="preserve">es affected by aging which </w:t>
      </w:r>
      <w:r w:rsidR="00E9074B">
        <w:rPr>
          <w:szCs w:val="22"/>
        </w:rPr>
        <w:t>caus</w:t>
      </w:r>
      <w:r w:rsidR="00780179">
        <w:rPr>
          <w:szCs w:val="22"/>
        </w:rPr>
        <w:t xml:space="preserve">ed the longer saccadic </w:t>
      </w:r>
      <w:r w:rsidR="00E9074B">
        <w:rPr>
          <w:szCs w:val="22"/>
        </w:rPr>
        <w:t>latency</w:t>
      </w:r>
      <w:r w:rsidR="00780179">
        <w:rPr>
          <w:szCs w:val="22"/>
        </w:rPr>
        <w:t xml:space="preserve"> despite normal</w:t>
      </w:r>
      <w:r w:rsidR="00780179" w:rsidRPr="009D4627">
        <w:rPr>
          <w:szCs w:val="22"/>
        </w:rPr>
        <w:t xml:space="preserve"> </w:t>
      </w:r>
      <w:r w:rsidR="005D2C45" w:rsidRPr="009D4627">
        <w:rPr>
          <w:szCs w:val="22"/>
        </w:rPr>
        <w:t xml:space="preserve">peak velocity </w:t>
      </w:r>
      <w:r w:rsidR="00780179">
        <w:rPr>
          <w:szCs w:val="22"/>
        </w:rPr>
        <w:t xml:space="preserve">and gain. </w:t>
      </w:r>
    </w:p>
    <w:p w14:paraId="27FA26B8" w14:textId="4553F7D0" w:rsidR="00074FBF" w:rsidRDefault="00A83C0C" w:rsidP="000939C0">
      <w:r>
        <w:t xml:space="preserve">In this study, </w:t>
      </w:r>
      <w:r w:rsidR="000745B3" w:rsidRPr="009D4627">
        <w:t xml:space="preserve">horizontal saccadic gain was not affected by ageing for smaller amplitudes but older participants showed more </w:t>
      </w:r>
      <w:proofErr w:type="spellStart"/>
      <w:r w:rsidR="000745B3" w:rsidRPr="009D4627">
        <w:t>hypometric</w:t>
      </w:r>
      <w:proofErr w:type="spellEnd"/>
      <w:r w:rsidR="000745B3" w:rsidRPr="009D4627">
        <w:t xml:space="preserve"> saccades at </w:t>
      </w:r>
      <w:r w:rsidR="00FF7734">
        <w:t xml:space="preserve">the </w:t>
      </w:r>
      <w:r w:rsidR="000745B3" w:rsidRPr="009D4627">
        <w:t>large</w:t>
      </w:r>
      <w:r w:rsidR="00FF7734">
        <w:t>st horizontal</w:t>
      </w:r>
      <w:r w:rsidR="000745B3" w:rsidRPr="009D4627">
        <w:t xml:space="preserve"> amplitude. The finding supports the idea that ​​gain can be independent of age but respects the degree of target displacement </w:t>
      </w:r>
      <w:r w:rsidR="000745B3" w:rsidRPr="009D4627">
        <w:fldChar w:fldCharType="begin"/>
      </w:r>
      <w:r w:rsidR="000745B3" w:rsidRPr="009D4627">
        <w:instrText xml:space="preserve"> ADDIN EN.CITE &lt;EndNote&gt;&lt;Cite&gt;&lt;Author&gt;Hopf&lt;/Author&gt;&lt;Year&gt;2018&lt;/Year&gt;&lt;IDText&gt;Age dependent normative data of vertical and horizontal reflexive saccades&lt;/IDText&gt;&lt;DisplayText&gt;(Hopf et al., 2018)&lt;/DisplayText&gt;&lt;record&gt;&lt;keywords&gt;&lt;keyword&gt;Germany&lt;/keyword&gt;&lt;keyword&gt;Velocity&lt;/keyword&gt;&lt;keyword&gt;Eye Movements&lt;/keyword&gt;&lt;keyword&gt;Age Factors&lt;/keyword&gt;&lt;keyword&gt;Feasibility Studies&lt;/keyword&gt;&lt;keyword&gt;Adolescence&lt;/keyword&gt;&lt;keyword&gt;Age&lt;/keyword&gt;&lt;keyword&gt;Children&lt;/keyword&gt;&lt;keyword&gt;Velocity&lt;/keyword&gt;&lt;keyword&gt;Aging&lt;/keyword&gt;&lt;keyword&gt;Elderly People&lt;/keyword&gt;&lt;keyword&gt;Age&lt;/keyword&gt;&lt;keyword&gt;Displacement&lt;/keyword&gt;&lt;keyword&gt;Recording&lt;/keyword&gt;&lt;keyword&gt;Children&lt;/keyword&gt;&lt;keyword&gt;Older People&lt;/keyword&gt;&lt;keyword&gt;Geriatrics&lt;/keyword&gt;&lt;keyword&gt;Latency&lt;/keyword&gt;&lt;keyword&gt;Elderly&lt;/keyword&gt;&lt;keyword&gt;Confidence Intervals&lt;/keyword&gt;&lt;keyword&gt;Adolescents&lt;/keyword&gt;&lt;keyword&gt;Isometric&lt;/keyword&gt;&lt;keyword&gt;Velocity&lt;/keyword&gt;&lt;keyword&gt;Children&lt;/keyword&gt;&lt;keyword&gt;Eye Movements&lt;/keyword&gt;&lt;keyword&gt;Reaction Time&lt;/keyword&gt;&lt;keyword&gt;Age Groups&lt;/keyword&gt;&lt;keyword&gt;Eyes&lt;/keyword&gt;&lt;keyword&gt;Vision&lt;/keyword&gt;&lt;keyword&gt;Attention&lt;/keyword&gt;&lt;keyword&gt;Elderly&lt;/keyword&gt;&lt;keyword&gt;Visual Acuity&lt;/keyword&gt;&lt;/keywords&gt;&lt;titles&gt;&lt;title&gt;Age dependent normative data of vertical and horizontal reflexive saccades&lt;/title&gt;&lt;secondary-title&gt;PLoS One&lt;/secondary-title&gt;&lt;/titles&gt;&lt;pages&gt;e0204008&lt;/pages&gt;&lt;number&gt;9&lt;/number&gt;&lt;contributors&gt;&lt;authors&gt;&lt;author&gt;Hopf, Susanne&lt;/author&gt;&lt;author&gt;Schmidtmann, Irene&lt;/author&gt;&lt;author&gt;Ashayer, Shahrzad&lt;/author&gt;&lt;author&gt;Pitz, Susanne&lt;/author&gt;&lt;/authors&gt;&lt;/contributors&gt;&lt;added-date format="utc"&gt;1564395907&lt;/added-date&gt;&lt;pub-location&gt;San Francisco&lt;/pub-location&gt;&lt;ref-type name="Journal Article"&gt;17&lt;/ref-type&gt;&lt;dates&gt;&lt;year&gt;2018&lt;/year&gt;&lt;/dates&gt;&lt;rec-number&gt;560&lt;/rec-number&gt;&lt;last-updated-date format="utc"&gt;1564395907&lt;/last-updated-date&gt;&lt;electronic-resource-num&gt;10.1371/journal.pone.0204008&lt;/electronic-resource-num&gt;&lt;volume&gt;13&lt;/volume&gt;&lt;/record&gt;&lt;/Cite&gt;&lt;/EndNote&gt;</w:instrText>
      </w:r>
      <w:r w:rsidR="000745B3" w:rsidRPr="009D4627">
        <w:fldChar w:fldCharType="separate"/>
      </w:r>
      <w:r w:rsidR="000745B3" w:rsidRPr="009D4627">
        <w:rPr>
          <w:noProof/>
        </w:rPr>
        <w:t>(Hopf et al., 2018)</w:t>
      </w:r>
      <w:r w:rsidR="000745B3" w:rsidRPr="009D4627">
        <w:fldChar w:fldCharType="end"/>
      </w:r>
      <w:r w:rsidR="000745B3" w:rsidRPr="009D4627">
        <w:t xml:space="preserve">. The current study also found that upward saccadic gain was less accurate in the older age group at 6° target amplitudes as reported by a previous study </w:t>
      </w:r>
      <w:r w:rsidR="000745B3" w:rsidRPr="009D4627">
        <w:fldChar w:fldCharType="begin"/>
      </w:r>
      <w:r w:rsidR="00C40138" w:rsidRPr="009D4627">
        <w:instrText xml:space="preserve"> ADDIN EN.CITE &lt;EndNote&gt;&lt;Cite&gt;&lt;Author&gt;Collewijn&lt;/Author&gt;&lt;Year&gt;1988&lt;/Year&gt;&lt;IDText&gt;Binocular co-ordination of human vertical saccadic eye movements&lt;/IDText&gt;&lt;DisplayText&gt;(Collewijn et al., 1988)&lt;/DisplayText&gt;&lt;record&gt;&lt;isbn&gt;1469-7793&amp;#xD;0022-3751&lt;/isbn&gt;&lt;titles&gt;&lt;title&gt;Binocular co-ordination of human vertical saccadic eye movements&lt;/title&gt;&lt;secondary-title&gt;The Journal of physiology.&lt;/secondary-title&gt;&lt;/titles&gt;&lt;pages&gt;183-197&lt;/pages&gt;&lt;number&gt;1&lt;/number&gt;&lt;contributors&gt;&lt;authors&gt;&lt;author&gt;Collewijn, H.&lt;/author&gt;&lt;author&gt;Erkelens, C. J.&lt;/author&gt;&lt;author&gt;Steinman, R. M.&lt;/author&gt;&lt;/authors&gt;&lt;/contributors&gt;&lt;added-date format="utc"&gt;1566490902&lt;/added-date&gt;&lt;ref-type name="Journal Article"&gt;17&lt;/ref-type&gt;&lt;dates&gt;&lt;year&gt;1988&lt;/year&gt;&lt;/dates&gt;&lt;rec-number&gt;584&lt;/rec-number&gt;&lt;last-updated-date format="utc"&gt;1566491027&lt;/last-updated-date&gt;&lt;electronic-resource-num&gt;10.1113/jphysiol.1988.sp017285&amp;#xD;info:doi/10.1113/jphysiol.1988.sp017285&lt;/electronic-resource-num&gt;&lt;volume&gt;404&lt;/volume&gt;&lt;/record&gt;&lt;/Cite&gt;&lt;/EndNote&gt;</w:instrText>
      </w:r>
      <w:r w:rsidR="000745B3" w:rsidRPr="009D4627">
        <w:fldChar w:fldCharType="separate"/>
      </w:r>
      <w:r w:rsidR="00C40138" w:rsidRPr="009D4627">
        <w:rPr>
          <w:noProof/>
        </w:rPr>
        <w:t>(Collewijn et al., 1988)</w:t>
      </w:r>
      <w:r w:rsidR="000745B3" w:rsidRPr="009D4627">
        <w:fldChar w:fldCharType="end"/>
      </w:r>
      <w:r w:rsidR="000745B3" w:rsidRPr="009D4627">
        <w:t xml:space="preserve">, but the downward saccade gain was not affected by age. Our finding is not surprising </w:t>
      </w:r>
      <w:r w:rsidR="00EC745C" w:rsidRPr="009D4627">
        <w:t>because</w:t>
      </w:r>
      <w:r w:rsidR="000745B3" w:rsidRPr="009D4627">
        <w:t xml:space="preserve"> </w:t>
      </w:r>
      <w:r w:rsidR="00EC745C" w:rsidRPr="009D4627">
        <w:t>many other studies</w:t>
      </w:r>
      <w:r w:rsidR="000745B3" w:rsidRPr="009D4627">
        <w:t xml:space="preserve"> reported restrictions of vertical ductions in the older population </w:t>
      </w:r>
      <w:r w:rsidR="000745B3" w:rsidRPr="009D4627">
        <w:fldChar w:fldCharType="begin">
          <w:fldData xml:space="preserve">PEVuZE5vdGU+PENpdGU+PEF1dGhvcj5TaGVjaHRtYW48L0F1dGhvcj48WWVhcj4yMDA1PC9ZZWFy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</w:fldData>
        </w:fldChar>
      </w:r>
      <w:r w:rsidR="00C40138" w:rsidRPr="009D4627">
        <w:instrText xml:space="preserve"> ADDIN EN.CITE </w:instrText>
      </w:r>
      <w:r w:rsidR="00C40138" w:rsidRPr="009D4627">
        <w:fldChar w:fldCharType="begin">
          <w:fldData xml:space="preserve">PEVuZE5vdGU+PENpdGU+PEF1dGhvcj5TaGVjaHRtYW48L0F1dGhvcj48WWVhcj4yMDA1PC9ZZWFy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</w:fldData>
        </w:fldChar>
      </w:r>
      <w:r w:rsidR="00C40138" w:rsidRPr="009D4627">
        <w:instrText xml:space="preserve"> ADDIN EN.CITE.DATA </w:instrText>
      </w:r>
      <w:r w:rsidR="00C40138" w:rsidRPr="009D4627">
        <w:fldChar w:fldCharType="end"/>
      </w:r>
      <w:r w:rsidR="000745B3" w:rsidRPr="009D4627">
        <w:fldChar w:fldCharType="separate"/>
      </w:r>
      <w:r w:rsidR="00C40138" w:rsidRPr="009D4627">
        <w:rPr>
          <w:noProof/>
        </w:rPr>
        <w:t>(Huaman &amp; Sharpe, 1993; Shechtman et al., 2005)</w:t>
      </w:r>
      <w:r w:rsidR="000745B3" w:rsidRPr="009D4627">
        <w:fldChar w:fldCharType="end"/>
      </w:r>
      <w:r w:rsidR="000745B3" w:rsidRPr="009D4627">
        <w:t xml:space="preserve"> related to mechanical </w:t>
      </w:r>
      <w:r w:rsidR="000745B3" w:rsidRPr="009D4627">
        <w:lastRenderedPageBreak/>
        <w:t xml:space="preserve">changes </w:t>
      </w:r>
      <w:r w:rsidR="000745B3" w:rsidRPr="009D4627">
        <w:fldChar w:fldCharType="begin"/>
      </w:r>
      <w:r w:rsidR="000745B3" w:rsidRPr="009D4627">
        <w:instrText xml:space="preserve"> ADDIN EN.CITE &lt;EndNote&gt;&lt;Cite&gt;&lt;Author&gt;Chamberlain&lt;/Author&gt;&lt;Year&gt;1970&lt;/Year&gt;&lt;IDText&gt;Restriction in upward gaze with advancing age&lt;/IDText&gt;&lt;DisplayText&gt;(Chamberlain, 1970)&lt;/DisplayText&gt;&lt;record&gt;&lt;isbn&gt;00659533&lt;/isbn&gt;&lt;titles&gt;&lt;title&gt;Restriction in upward gaze with advancing age&lt;/title&gt;&lt;secondary-title&gt;Transactions of the American Ophthalmological Society&lt;/secondary-title&gt;&lt;/titles&gt;&lt;pages&gt;234-244&lt;/pages&gt;&lt;contributors&gt;&lt;authors&gt;&lt;author&gt;Chamberlain, W.&lt;/author&gt;&lt;/authors&gt;&lt;/contributors&gt;&lt;added-date format="utc"&gt;1564394613&lt;/added-date&gt;&lt;ref-type name="Journal Article"&gt;17&lt;/ref-type&gt;&lt;dates&gt;&lt;year&gt;1970&lt;/year&gt;&lt;/dates&gt;&lt;rec-number&gt;554&lt;/rec-number&gt;&lt;last-updated-date format="utc"&gt;1564394613&lt;/last-updated-date&gt;&lt;volume&gt;68&lt;/volume&gt;&lt;/record&gt;&lt;/Cite&gt;&lt;/EndNote&gt;</w:instrText>
      </w:r>
      <w:r w:rsidR="000745B3" w:rsidRPr="009D4627">
        <w:fldChar w:fldCharType="separate"/>
      </w:r>
      <w:r w:rsidR="000745B3" w:rsidRPr="009D4627">
        <w:rPr>
          <w:noProof/>
        </w:rPr>
        <w:t>(Chamberlain, 1970)</w:t>
      </w:r>
      <w:r w:rsidR="000745B3" w:rsidRPr="009D4627">
        <w:fldChar w:fldCharType="end"/>
      </w:r>
      <w:r w:rsidR="008816D4" w:rsidRPr="009D4627">
        <w:t xml:space="preserve">.  </w:t>
      </w:r>
      <w:r w:rsidR="00274209" w:rsidRPr="009D4627">
        <w:t>Table 3.</w:t>
      </w:r>
      <w:r w:rsidR="00FA544C">
        <w:t>7</w:t>
      </w:r>
      <w:r w:rsidR="00274209" w:rsidRPr="009D4627">
        <w:t xml:space="preserve"> summarises the</w:t>
      </w:r>
      <w:r w:rsidR="008816D4" w:rsidRPr="009D4627">
        <w:t xml:space="preserve"> normative data </w:t>
      </w:r>
      <w:r w:rsidR="00274209" w:rsidRPr="009D4627">
        <w:t>for fixation, SP and saccade</w:t>
      </w:r>
      <w:r w:rsidR="00FF7734">
        <w:t>s</w:t>
      </w:r>
      <w:r w:rsidR="00274209" w:rsidRPr="009D4627">
        <w:t xml:space="preserve"> </w:t>
      </w:r>
      <w:r w:rsidR="008816D4" w:rsidRPr="009D4627">
        <w:t xml:space="preserve">by age groups </w:t>
      </w:r>
      <w:r w:rsidR="00274209" w:rsidRPr="009D4627">
        <w:t xml:space="preserve">obtained </w:t>
      </w:r>
      <w:r w:rsidR="008816D4" w:rsidRPr="009D4627">
        <w:t>from the current study</w:t>
      </w:r>
      <w:r w:rsidR="00274209" w:rsidRPr="009D4627">
        <w:t>.</w:t>
      </w:r>
    </w:p>
    <w:p w14:paraId="3E14733E" w14:textId="23EF14EA" w:rsidR="008816D4" w:rsidRPr="009D4627" w:rsidRDefault="00301E8A" w:rsidP="00C4130D">
      <w:pPr>
        <w:pStyle w:val="Caption"/>
      </w:pPr>
      <w:bookmarkStart w:id="294" w:name="_Toc73703226"/>
      <w:bookmarkStart w:id="295" w:name="_Toc99439399"/>
      <w:r w:rsidRPr="009D4627">
        <w:t>Table 3.</w:t>
      </w:r>
      <w:r w:rsidR="00F00E6E">
        <w:fldChar w:fldCharType="begin"/>
      </w:r>
      <w:r w:rsidR="00F00E6E">
        <w:instrText xml:space="preserve"> SEQ Table_3. \* ARABIC </w:instrText>
      </w:r>
      <w:r w:rsidR="00F00E6E">
        <w:fldChar w:fldCharType="separate"/>
      </w:r>
      <w:r w:rsidR="00E268F6">
        <w:rPr>
          <w:noProof/>
        </w:rPr>
        <w:t>7</w:t>
      </w:r>
      <w:r w:rsidR="00F00E6E">
        <w:fldChar w:fldCharType="end"/>
      </w:r>
      <w:r w:rsidRPr="009D4627">
        <w:t xml:space="preserve">: </w:t>
      </w:r>
      <w:r w:rsidR="008816D4" w:rsidRPr="009D4627">
        <w:t xml:space="preserve">The summary of normative data for eye movements measured with </w:t>
      </w:r>
      <w:proofErr w:type="spellStart"/>
      <w:r w:rsidR="008816D4" w:rsidRPr="009D4627">
        <w:t>EyeLink</w:t>
      </w:r>
      <w:proofErr w:type="spellEnd"/>
      <w:r w:rsidR="008816D4" w:rsidRPr="009D4627">
        <w:t xml:space="preserve"> 1000</w:t>
      </w:r>
      <w:r w:rsidRPr="009D4627">
        <w:t xml:space="preserve"> Plus</w:t>
      </w:r>
      <w:r w:rsidR="008816D4" w:rsidRPr="009D4627">
        <w:t xml:space="preserve"> of </w:t>
      </w:r>
      <w:r w:rsidR="00274209" w:rsidRPr="009D4627">
        <w:t xml:space="preserve">the </w:t>
      </w:r>
      <w:r w:rsidRPr="009D4627">
        <w:t>current</w:t>
      </w:r>
      <w:r w:rsidR="008816D4" w:rsidRPr="009D4627">
        <w:t xml:space="preserve"> study</w:t>
      </w:r>
      <w:bookmarkEnd w:id="294"/>
      <w:r w:rsidRPr="009D4627">
        <w:t>.</w:t>
      </w:r>
      <w:bookmarkEnd w:id="295"/>
    </w:p>
    <w:tbl>
      <w:tblPr>
        <w:tblStyle w:val="TableGrid"/>
        <w:tblW w:w="9072" w:type="dxa"/>
        <w:tblInd w:w="-5" w:type="dxa"/>
        <w:tblLayout w:type="fixed"/>
        <w:tblLook w:val="04A0" w:firstRow="1" w:lastRow="0" w:firstColumn="1" w:lastColumn="0" w:noHBand="0" w:noVBand="1"/>
      </w:tblPr>
      <w:tblGrid>
        <w:gridCol w:w="2552"/>
        <w:gridCol w:w="1984"/>
        <w:gridCol w:w="1512"/>
        <w:gridCol w:w="1512"/>
        <w:gridCol w:w="1512"/>
      </w:tblGrid>
      <w:tr w:rsidR="00454251" w:rsidRPr="005F2168" w14:paraId="41A418CF" w14:textId="77777777" w:rsidTr="00281A92">
        <w:tc>
          <w:tcPr>
            <w:tcW w:w="2552" w:type="dxa"/>
          </w:tcPr>
          <w:p w14:paraId="73A00A76" w14:textId="77777777" w:rsidR="00454251" w:rsidRPr="005F2168" w:rsidRDefault="00454251" w:rsidP="00281A92">
            <w:pPr>
              <w:spacing w:before="0" w:after="0" w:line="240" w:lineRule="auto"/>
              <w:rPr>
                <w:sz w:val="22"/>
                <w:szCs w:val="22"/>
              </w:rPr>
            </w:pPr>
            <w:bookmarkStart w:id="296" w:name="_Hlk97119961"/>
          </w:p>
        </w:tc>
        <w:tc>
          <w:tcPr>
            <w:tcW w:w="1984" w:type="dxa"/>
          </w:tcPr>
          <w:p w14:paraId="5DBE5185" w14:textId="77777777" w:rsidR="00454251" w:rsidRPr="005F2168" w:rsidRDefault="00454251" w:rsidP="00281A92">
            <w:pPr>
              <w:spacing w:before="0" w:after="0" w:line="240" w:lineRule="auto"/>
              <w:jc w:val="left"/>
              <w:rPr>
                <w:b/>
                <w:bCs/>
                <w:sz w:val="22"/>
                <w:szCs w:val="22"/>
              </w:rPr>
            </w:pPr>
          </w:p>
        </w:tc>
        <w:tc>
          <w:tcPr>
            <w:tcW w:w="1512" w:type="dxa"/>
          </w:tcPr>
          <w:p w14:paraId="694A3082" w14:textId="77777777" w:rsidR="00454251" w:rsidRPr="005F2168" w:rsidRDefault="00454251" w:rsidP="00281A92">
            <w:pPr>
              <w:spacing w:before="0" w:after="0" w:line="240" w:lineRule="auto"/>
              <w:rPr>
                <w:b/>
                <w:bCs/>
                <w:sz w:val="22"/>
                <w:szCs w:val="22"/>
              </w:rPr>
            </w:pPr>
            <w:r w:rsidRPr="005F2168">
              <w:rPr>
                <w:b/>
                <w:bCs/>
                <w:sz w:val="22"/>
                <w:szCs w:val="22"/>
              </w:rPr>
              <w:t xml:space="preserve">Young </w:t>
            </w:r>
          </w:p>
        </w:tc>
        <w:tc>
          <w:tcPr>
            <w:tcW w:w="1512" w:type="dxa"/>
          </w:tcPr>
          <w:p w14:paraId="5E33D938" w14:textId="77777777" w:rsidR="00454251" w:rsidRPr="005F2168" w:rsidRDefault="00454251" w:rsidP="00281A92">
            <w:pPr>
              <w:spacing w:before="0" w:after="0" w:line="240" w:lineRule="auto"/>
              <w:rPr>
                <w:b/>
                <w:bCs/>
                <w:sz w:val="22"/>
                <w:szCs w:val="22"/>
              </w:rPr>
            </w:pPr>
            <w:r w:rsidRPr="005F2168">
              <w:rPr>
                <w:b/>
                <w:bCs/>
                <w:sz w:val="22"/>
                <w:szCs w:val="22"/>
              </w:rPr>
              <w:t xml:space="preserve">Middle </w:t>
            </w:r>
          </w:p>
        </w:tc>
        <w:tc>
          <w:tcPr>
            <w:tcW w:w="1512" w:type="dxa"/>
          </w:tcPr>
          <w:p w14:paraId="06212C10" w14:textId="77777777" w:rsidR="00454251" w:rsidRPr="005F2168" w:rsidRDefault="00454251" w:rsidP="00281A92">
            <w:pPr>
              <w:spacing w:before="0" w:after="0" w:line="240" w:lineRule="auto"/>
              <w:rPr>
                <w:b/>
                <w:bCs/>
                <w:sz w:val="22"/>
                <w:szCs w:val="22"/>
              </w:rPr>
            </w:pPr>
            <w:r w:rsidRPr="005F2168">
              <w:rPr>
                <w:b/>
                <w:bCs/>
                <w:sz w:val="22"/>
                <w:szCs w:val="22"/>
              </w:rPr>
              <w:t xml:space="preserve">Older </w:t>
            </w:r>
          </w:p>
        </w:tc>
      </w:tr>
      <w:tr w:rsidR="00454251" w:rsidRPr="005F2168" w14:paraId="026555A6" w14:textId="77777777" w:rsidTr="00281A92">
        <w:trPr>
          <w:trHeight w:val="308"/>
        </w:trPr>
        <w:tc>
          <w:tcPr>
            <w:tcW w:w="2552" w:type="dxa"/>
            <w:vMerge w:val="restart"/>
          </w:tcPr>
          <w:p w14:paraId="4F58A37A" w14:textId="77777777" w:rsidR="00454251" w:rsidRPr="005F2168" w:rsidRDefault="00454251" w:rsidP="00281A92">
            <w:pPr>
              <w:spacing w:before="0" w:after="0" w:line="240" w:lineRule="auto"/>
              <w:rPr>
                <w:b/>
                <w:bCs/>
                <w:sz w:val="22"/>
                <w:szCs w:val="22"/>
              </w:rPr>
            </w:pPr>
            <w:r w:rsidRPr="005F2168">
              <w:rPr>
                <w:b/>
                <w:bCs/>
                <w:sz w:val="22"/>
                <w:szCs w:val="22"/>
              </w:rPr>
              <w:t>Fixation</w:t>
            </w:r>
          </w:p>
          <w:p w14:paraId="168456D7" w14:textId="77777777" w:rsidR="00454251" w:rsidRPr="005F2168" w:rsidRDefault="00454251" w:rsidP="00281A92">
            <w:pPr>
              <w:pStyle w:val="ListParagraph"/>
              <w:spacing w:before="0" w:after="0" w:line="240" w:lineRule="auto"/>
              <w:ind w:left="179"/>
              <w:jc w:val="left"/>
              <w:rPr>
                <w:sz w:val="22"/>
                <w:szCs w:val="22"/>
              </w:rPr>
            </w:pPr>
          </w:p>
        </w:tc>
        <w:tc>
          <w:tcPr>
            <w:tcW w:w="1984" w:type="dxa"/>
          </w:tcPr>
          <w:p w14:paraId="6E042F93" w14:textId="2AD7E09C" w:rsidR="00454251" w:rsidRPr="005F2168" w:rsidRDefault="00454251" w:rsidP="00281A92">
            <w:pPr>
              <w:spacing w:before="0" w:after="0" w:line="240" w:lineRule="auto"/>
              <w:contextualSpacing/>
              <w:jc w:val="left"/>
              <w:rPr>
                <w:sz w:val="22"/>
                <w:szCs w:val="22"/>
              </w:rPr>
            </w:pPr>
            <w:r w:rsidRPr="005F2168">
              <w:rPr>
                <w:sz w:val="22"/>
                <w:szCs w:val="22"/>
              </w:rPr>
              <w:t xml:space="preserve"> AOI = 1°</w:t>
            </w:r>
          </w:p>
        </w:tc>
        <w:tc>
          <w:tcPr>
            <w:tcW w:w="1512" w:type="dxa"/>
          </w:tcPr>
          <w:p w14:paraId="31A20075" w14:textId="4CA7E629" w:rsidR="00454251" w:rsidRPr="005F2168" w:rsidRDefault="00454251" w:rsidP="00281A92">
            <w:pPr>
              <w:spacing w:before="0" w:after="0" w:line="240" w:lineRule="auto"/>
              <w:ind w:left="-30"/>
              <w:jc w:val="left"/>
              <w:rPr>
                <w:sz w:val="22"/>
                <w:szCs w:val="22"/>
              </w:rPr>
            </w:pPr>
            <w:r w:rsidRPr="005F2168">
              <w:rPr>
                <w:sz w:val="22"/>
                <w:szCs w:val="22"/>
              </w:rPr>
              <w:t xml:space="preserve"> 64.8</w:t>
            </w:r>
          </w:p>
        </w:tc>
        <w:tc>
          <w:tcPr>
            <w:tcW w:w="1512" w:type="dxa"/>
          </w:tcPr>
          <w:p w14:paraId="2EF84B44" w14:textId="4BFB3B68" w:rsidR="00454251" w:rsidRPr="005F2168" w:rsidRDefault="00454251" w:rsidP="00281A92">
            <w:pPr>
              <w:spacing w:before="0" w:after="0" w:line="240" w:lineRule="auto"/>
              <w:jc w:val="left"/>
              <w:rPr>
                <w:sz w:val="22"/>
                <w:szCs w:val="22"/>
              </w:rPr>
            </w:pPr>
            <w:r w:rsidRPr="005F2168">
              <w:rPr>
                <w:sz w:val="22"/>
                <w:szCs w:val="22"/>
              </w:rPr>
              <w:t>65.5</w:t>
            </w:r>
          </w:p>
        </w:tc>
        <w:tc>
          <w:tcPr>
            <w:tcW w:w="1512" w:type="dxa"/>
          </w:tcPr>
          <w:p w14:paraId="066C437A" w14:textId="779AEC38" w:rsidR="00454251" w:rsidRPr="005F2168" w:rsidRDefault="00454251" w:rsidP="00281A92">
            <w:pPr>
              <w:spacing w:before="0" w:after="0" w:line="240" w:lineRule="auto"/>
              <w:jc w:val="left"/>
              <w:rPr>
                <w:sz w:val="22"/>
                <w:szCs w:val="22"/>
              </w:rPr>
            </w:pPr>
            <w:r w:rsidRPr="005F2168">
              <w:rPr>
                <w:sz w:val="22"/>
                <w:szCs w:val="22"/>
              </w:rPr>
              <w:t>47.8</w:t>
            </w:r>
          </w:p>
        </w:tc>
      </w:tr>
      <w:tr w:rsidR="00454251" w:rsidRPr="005F2168" w14:paraId="45F3456F" w14:textId="77777777" w:rsidTr="00281A92">
        <w:trPr>
          <w:trHeight w:val="308"/>
        </w:trPr>
        <w:tc>
          <w:tcPr>
            <w:tcW w:w="2552" w:type="dxa"/>
            <w:vMerge/>
          </w:tcPr>
          <w:p w14:paraId="049368DF" w14:textId="77777777" w:rsidR="00454251" w:rsidRPr="005F2168" w:rsidRDefault="00454251" w:rsidP="00281A92">
            <w:pPr>
              <w:spacing w:before="0" w:after="0" w:line="240" w:lineRule="auto"/>
              <w:rPr>
                <w:b/>
                <w:bCs/>
                <w:sz w:val="22"/>
                <w:szCs w:val="22"/>
              </w:rPr>
            </w:pPr>
          </w:p>
        </w:tc>
        <w:tc>
          <w:tcPr>
            <w:tcW w:w="1984" w:type="dxa"/>
          </w:tcPr>
          <w:p w14:paraId="262AE2E5" w14:textId="03B1DA07" w:rsidR="00454251" w:rsidRPr="005F2168" w:rsidRDefault="00454251" w:rsidP="00281A92">
            <w:pPr>
              <w:spacing w:before="0" w:after="0" w:line="240" w:lineRule="auto"/>
              <w:contextualSpacing/>
              <w:jc w:val="left"/>
              <w:rPr>
                <w:sz w:val="22"/>
                <w:szCs w:val="22"/>
              </w:rPr>
            </w:pPr>
            <w:r w:rsidRPr="005F2168">
              <w:rPr>
                <w:sz w:val="22"/>
                <w:szCs w:val="22"/>
              </w:rPr>
              <w:t xml:space="preserve"> AOI = 2°</w:t>
            </w:r>
          </w:p>
        </w:tc>
        <w:tc>
          <w:tcPr>
            <w:tcW w:w="1512" w:type="dxa"/>
          </w:tcPr>
          <w:p w14:paraId="564F3848" w14:textId="5A7BAACE" w:rsidR="00454251" w:rsidRPr="005F2168" w:rsidRDefault="00454251" w:rsidP="00281A92">
            <w:pPr>
              <w:spacing w:before="0" w:after="0" w:line="240" w:lineRule="auto"/>
              <w:ind w:left="-30"/>
              <w:jc w:val="left"/>
              <w:rPr>
                <w:sz w:val="22"/>
                <w:szCs w:val="22"/>
              </w:rPr>
            </w:pPr>
            <w:r w:rsidRPr="005F2168">
              <w:rPr>
                <w:sz w:val="22"/>
                <w:szCs w:val="22"/>
              </w:rPr>
              <w:t>28.9</w:t>
            </w:r>
          </w:p>
        </w:tc>
        <w:tc>
          <w:tcPr>
            <w:tcW w:w="1512" w:type="dxa"/>
          </w:tcPr>
          <w:p w14:paraId="382F0F97" w14:textId="2604D9D3" w:rsidR="00454251" w:rsidRPr="005F2168" w:rsidRDefault="00454251" w:rsidP="00281A92">
            <w:pPr>
              <w:spacing w:before="0" w:after="0" w:line="240" w:lineRule="auto"/>
              <w:rPr>
                <w:sz w:val="22"/>
                <w:szCs w:val="22"/>
              </w:rPr>
            </w:pPr>
            <w:r w:rsidRPr="005F2168">
              <w:rPr>
                <w:sz w:val="22"/>
                <w:szCs w:val="22"/>
              </w:rPr>
              <w:t>29.6</w:t>
            </w:r>
          </w:p>
        </w:tc>
        <w:tc>
          <w:tcPr>
            <w:tcW w:w="1512" w:type="dxa"/>
          </w:tcPr>
          <w:p w14:paraId="0075E588" w14:textId="64E7EA7B" w:rsidR="00454251" w:rsidRPr="005F2168" w:rsidRDefault="00454251" w:rsidP="00281A92">
            <w:pPr>
              <w:spacing w:before="0" w:after="0" w:line="240" w:lineRule="auto"/>
              <w:ind w:left="-30"/>
              <w:jc w:val="left"/>
              <w:rPr>
                <w:sz w:val="22"/>
                <w:szCs w:val="22"/>
              </w:rPr>
            </w:pPr>
            <w:r w:rsidRPr="005F2168">
              <w:rPr>
                <w:sz w:val="22"/>
                <w:szCs w:val="22"/>
              </w:rPr>
              <w:t>38.0</w:t>
            </w:r>
          </w:p>
        </w:tc>
      </w:tr>
      <w:tr w:rsidR="00454251" w:rsidRPr="005F2168" w14:paraId="236AB1D9" w14:textId="77777777" w:rsidTr="00281A92">
        <w:trPr>
          <w:trHeight w:val="308"/>
        </w:trPr>
        <w:tc>
          <w:tcPr>
            <w:tcW w:w="2552" w:type="dxa"/>
            <w:vMerge/>
          </w:tcPr>
          <w:p w14:paraId="20BB818E" w14:textId="77777777" w:rsidR="00454251" w:rsidRPr="005F2168" w:rsidRDefault="00454251" w:rsidP="00281A92">
            <w:pPr>
              <w:spacing w:before="0" w:after="0" w:line="240" w:lineRule="auto"/>
              <w:rPr>
                <w:b/>
                <w:bCs/>
                <w:sz w:val="22"/>
                <w:szCs w:val="22"/>
              </w:rPr>
            </w:pPr>
          </w:p>
        </w:tc>
        <w:tc>
          <w:tcPr>
            <w:tcW w:w="1984" w:type="dxa"/>
          </w:tcPr>
          <w:p w14:paraId="5465D570" w14:textId="6B299E94" w:rsidR="00454251" w:rsidRPr="005F2168" w:rsidRDefault="00454251" w:rsidP="00281A92">
            <w:pPr>
              <w:spacing w:before="0" w:after="0" w:line="240" w:lineRule="auto"/>
              <w:contextualSpacing/>
              <w:jc w:val="left"/>
              <w:rPr>
                <w:sz w:val="22"/>
                <w:szCs w:val="22"/>
              </w:rPr>
            </w:pPr>
            <w:r w:rsidRPr="005F2168">
              <w:rPr>
                <w:sz w:val="22"/>
                <w:szCs w:val="22"/>
              </w:rPr>
              <w:t xml:space="preserve"> AOI = &gt;2°</w:t>
            </w:r>
          </w:p>
        </w:tc>
        <w:tc>
          <w:tcPr>
            <w:tcW w:w="1512" w:type="dxa"/>
          </w:tcPr>
          <w:p w14:paraId="61BA1402" w14:textId="09872D7D" w:rsidR="00454251" w:rsidRPr="005F2168" w:rsidRDefault="00454251" w:rsidP="00281A92">
            <w:pPr>
              <w:spacing w:before="0" w:after="0" w:line="240" w:lineRule="auto"/>
              <w:ind w:left="-30"/>
              <w:jc w:val="left"/>
              <w:rPr>
                <w:sz w:val="22"/>
                <w:szCs w:val="22"/>
              </w:rPr>
            </w:pPr>
            <w:r w:rsidRPr="005F2168">
              <w:rPr>
                <w:sz w:val="22"/>
                <w:szCs w:val="22"/>
              </w:rPr>
              <w:t>6.3</w:t>
            </w:r>
          </w:p>
        </w:tc>
        <w:tc>
          <w:tcPr>
            <w:tcW w:w="1512" w:type="dxa"/>
          </w:tcPr>
          <w:p w14:paraId="3A9E8744" w14:textId="23EE368A" w:rsidR="00454251" w:rsidRPr="005F2168" w:rsidRDefault="00454251" w:rsidP="00281A92">
            <w:pPr>
              <w:spacing w:before="0" w:after="0" w:line="240" w:lineRule="auto"/>
              <w:rPr>
                <w:sz w:val="22"/>
                <w:szCs w:val="22"/>
              </w:rPr>
            </w:pPr>
            <w:r w:rsidRPr="005F2168">
              <w:rPr>
                <w:sz w:val="22"/>
                <w:szCs w:val="22"/>
              </w:rPr>
              <w:t>4.8</w:t>
            </w:r>
          </w:p>
        </w:tc>
        <w:tc>
          <w:tcPr>
            <w:tcW w:w="1512" w:type="dxa"/>
          </w:tcPr>
          <w:p w14:paraId="6EB7FCD0" w14:textId="1AA72BD4" w:rsidR="00454251" w:rsidRPr="005F2168" w:rsidRDefault="00454251" w:rsidP="00281A92">
            <w:pPr>
              <w:spacing w:before="0" w:after="0" w:line="240" w:lineRule="auto"/>
              <w:ind w:left="-30"/>
              <w:jc w:val="left"/>
              <w:rPr>
                <w:sz w:val="22"/>
                <w:szCs w:val="22"/>
              </w:rPr>
            </w:pPr>
            <w:r w:rsidRPr="005F2168">
              <w:rPr>
                <w:sz w:val="22"/>
                <w:szCs w:val="22"/>
              </w:rPr>
              <w:t>14.2</w:t>
            </w:r>
          </w:p>
        </w:tc>
      </w:tr>
      <w:tr w:rsidR="00454251" w:rsidRPr="005F2168" w14:paraId="726292AC" w14:textId="77777777" w:rsidTr="00281A92">
        <w:tc>
          <w:tcPr>
            <w:tcW w:w="2552" w:type="dxa"/>
            <w:vMerge w:val="restart"/>
          </w:tcPr>
          <w:p w14:paraId="4F359617" w14:textId="77777777" w:rsidR="00454251" w:rsidRPr="005F2168" w:rsidRDefault="00454251" w:rsidP="00281A92">
            <w:pPr>
              <w:spacing w:before="0" w:after="0" w:line="240" w:lineRule="auto"/>
              <w:jc w:val="left"/>
              <w:rPr>
                <w:b/>
                <w:bCs/>
                <w:sz w:val="22"/>
                <w:szCs w:val="22"/>
              </w:rPr>
            </w:pPr>
            <w:r w:rsidRPr="005F2168">
              <w:rPr>
                <w:b/>
                <w:bCs/>
                <w:sz w:val="22"/>
                <w:szCs w:val="22"/>
              </w:rPr>
              <w:t>Horizontal SP</w:t>
            </w:r>
          </w:p>
          <w:p w14:paraId="55CBDC67" w14:textId="77777777" w:rsidR="00454251" w:rsidRPr="005F2168" w:rsidRDefault="00454251" w:rsidP="00281A92">
            <w:pPr>
              <w:pStyle w:val="ListParagraph"/>
              <w:spacing w:before="0" w:after="0" w:line="240" w:lineRule="auto"/>
              <w:ind w:left="179"/>
              <w:jc w:val="left"/>
              <w:rPr>
                <w:b/>
                <w:bCs/>
                <w:sz w:val="22"/>
                <w:szCs w:val="22"/>
              </w:rPr>
            </w:pPr>
          </w:p>
        </w:tc>
        <w:tc>
          <w:tcPr>
            <w:tcW w:w="1984" w:type="dxa"/>
          </w:tcPr>
          <w:p w14:paraId="08D3326A" w14:textId="77777777" w:rsidR="00454251" w:rsidRPr="005F2168" w:rsidRDefault="00454251" w:rsidP="00281A92">
            <w:pPr>
              <w:spacing w:before="0" w:after="0" w:line="240" w:lineRule="auto"/>
              <w:jc w:val="left"/>
              <w:rPr>
                <w:sz w:val="22"/>
                <w:szCs w:val="22"/>
              </w:rPr>
            </w:pPr>
            <w:r w:rsidRPr="005F2168">
              <w:rPr>
                <w:sz w:val="22"/>
                <w:szCs w:val="22"/>
              </w:rPr>
              <w:t>0.20 Hz = 8°/sec velocity</w:t>
            </w:r>
          </w:p>
        </w:tc>
        <w:tc>
          <w:tcPr>
            <w:tcW w:w="1512" w:type="dxa"/>
          </w:tcPr>
          <w:p w14:paraId="2941BB91" w14:textId="6C4058D1" w:rsidR="00454251" w:rsidRPr="005F2168" w:rsidRDefault="00454251" w:rsidP="00281A92">
            <w:pPr>
              <w:spacing w:before="0" w:after="0" w:line="240" w:lineRule="auto"/>
              <w:jc w:val="left"/>
              <w:rPr>
                <w:sz w:val="22"/>
                <w:szCs w:val="22"/>
              </w:rPr>
            </w:pPr>
            <w:r w:rsidRPr="005F2168">
              <w:rPr>
                <w:sz w:val="22"/>
                <w:szCs w:val="22"/>
              </w:rPr>
              <w:t>Gain: 0.95</w:t>
            </w:r>
          </w:p>
          <w:p w14:paraId="59C55FD9" w14:textId="47EF3D40" w:rsidR="00454251" w:rsidRPr="005F2168" w:rsidRDefault="00454251" w:rsidP="00281A92">
            <w:pPr>
              <w:spacing w:before="0" w:after="0" w:line="240" w:lineRule="auto"/>
              <w:jc w:val="left"/>
              <w:rPr>
                <w:sz w:val="22"/>
                <w:szCs w:val="22"/>
              </w:rPr>
            </w:pPr>
            <w:r w:rsidRPr="005F2168">
              <w:rPr>
                <w:sz w:val="22"/>
                <w:szCs w:val="22"/>
              </w:rPr>
              <w:t>RMSE: 0.4</w:t>
            </w:r>
            <w:r w:rsidR="00714E0B" w:rsidRPr="005F2168">
              <w:rPr>
                <w:sz w:val="22"/>
                <w:szCs w:val="22"/>
              </w:rPr>
              <w:t>3</w:t>
            </w:r>
          </w:p>
          <w:p w14:paraId="03FAEE30" w14:textId="60689707" w:rsidR="00454251" w:rsidRPr="005F2168" w:rsidRDefault="00454251" w:rsidP="00281A92">
            <w:pPr>
              <w:spacing w:before="0" w:after="0" w:line="240" w:lineRule="auto"/>
              <w:jc w:val="left"/>
              <w:rPr>
                <w:sz w:val="22"/>
                <w:szCs w:val="22"/>
              </w:rPr>
            </w:pPr>
            <w:r w:rsidRPr="005F2168">
              <w:rPr>
                <w:sz w:val="22"/>
                <w:szCs w:val="22"/>
              </w:rPr>
              <w:t>Duration: 693</w:t>
            </w:r>
          </w:p>
        </w:tc>
        <w:tc>
          <w:tcPr>
            <w:tcW w:w="1512" w:type="dxa"/>
          </w:tcPr>
          <w:p w14:paraId="4C905F8F" w14:textId="3BCA80F3" w:rsidR="00454251" w:rsidRPr="005F2168" w:rsidRDefault="00454251" w:rsidP="00281A92">
            <w:pPr>
              <w:spacing w:before="0" w:after="0" w:line="240" w:lineRule="auto"/>
              <w:jc w:val="left"/>
              <w:rPr>
                <w:sz w:val="22"/>
                <w:szCs w:val="22"/>
              </w:rPr>
            </w:pPr>
            <w:r w:rsidRPr="005F2168">
              <w:rPr>
                <w:sz w:val="22"/>
                <w:szCs w:val="22"/>
              </w:rPr>
              <w:t>Gain: 0.93</w:t>
            </w:r>
          </w:p>
          <w:p w14:paraId="59AECCA9" w14:textId="3CEAD702" w:rsidR="00454251" w:rsidRPr="005F2168" w:rsidRDefault="00454251" w:rsidP="00281A92">
            <w:pPr>
              <w:spacing w:before="0" w:after="0" w:line="240" w:lineRule="auto"/>
              <w:jc w:val="left"/>
              <w:rPr>
                <w:sz w:val="22"/>
                <w:szCs w:val="22"/>
              </w:rPr>
            </w:pPr>
            <w:r w:rsidRPr="005F2168">
              <w:rPr>
                <w:sz w:val="22"/>
                <w:szCs w:val="22"/>
              </w:rPr>
              <w:t>RMSE: 0.4</w:t>
            </w:r>
            <w:r w:rsidR="00714E0B" w:rsidRPr="005F2168">
              <w:rPr>
                <w:sz w:val="22"/>
                <w:szCs w:val="22"/>
              </w:rPr>
              <w:t>4</w:t>
            </w:r>
          </w:p>
          <w:p w14:paraId="21EE55D3" w14:textId="7A0B136F" w:rsidR="00454251" w:rsidRPr="005F2168" w:rsidRDefault="00454251" w:rsidP="00281A92">
            <w:pPr>
              <w:spacing w:before="0" w:after="0" w:line="240" w:lineRule="auto"/>
              <w:rPr>
                <w:sz w:val="22"/>
                <w:szCs w:val="22"/>
              </w:rPr>
            </w:pPr>
            <w:r w:rsidRPr="005F2168">
              <w:rPr>
                <w:sz w:val="22"/>
                <w:szCs w:val="22"/>
              </w:rPr>
              <w:t>Duration: 562</w:t>
            </w:r>
          </w:p>
        </w:tc>
        <w:tc>
          <w:tcPr>
            <w:tcW w:w="1512" w:type="dxa"/>
          </w:tcPr>
          <w:p w14:paraId="4F5F3EBE" w14:textId="5E1043DD" w:rsidR="00454251" w:rsidRPr="005F2168" w:rsidRDefault="00454251" w:rsidP="00281A92">
            <w:pPr>
              <w:spacing w:before="0" w:after="0" w:line="240" w:lineRule="auto"/>
              <w:jc w:val="left"/>
              <w:rPr>
                <w:sz w:val="22"/>
                <w:szCs w:val="22"/>
              </w:rPr>
            </w:pPr>
            <w:r w:rsidRPr="005F2168">
              <w:rPr>
                <w:sz w:val="22"/>
                <w:szCs w:val="22"/>
              </w:rPr>
              <w:t>Gain: 0.94</w:t>
            </w:r>
          </w:p>
          <w:p w14:paraId="13F6D69E" w14:textId="0003E5F2" w:rsidR="00454251" w:rsidRPr="005F2168" w:rsidRDefault="00454251" w:rsidP="00281A92">
            <w:pPr>
              <w:spacing w:before="0" w:after="0" w:line="240" w:lineRule="auto"/>
              <w:jc w:val="left"/>
              <w:rPr>
                <w:sz w:val="22"/>
                <w:szCs w:val="22"/>
              </w:rPr>
            </w:pPr>
            <w:r w:rsidRPr="005F2168">
              <w:rPr>
                <w:sz w:val="22"/>
                <w:szCs w:val="22"/>
              </w:rPr>
              <w:t>RMSE: 0.6</w:t>
            </w:r>
            <w:r w:rsidR="00714E0B" w:rsidRPr="005F2168">
              <w:rPr>
                <w:sz w:val="22"/>
                <w:szCs w:val="22"/>
              </w:rPr>
              <w:t>1</w:t>
            </w:r>
          </w:p>
          <w:p w14:paraId="7F942BD5" w14:textId="724166FC" w:rsidR="00454251" w:rsidRPr="005F2168" w:rsidRDefault="00454251" w:rsidP="00281A92">
            <w:pPr>
              <w:spacing w:before="0" w:after="0" w:line="240" w:lineRule="auto"/>
              <w:jc w:val="left"/>
              <w:rPr>
                <w:sz w:val="22"/>
                <w:szCs w:val="22"/>
              </w:rPr>
            </w:pPr>
            <w:r w:rsidRPr="005F2168">
              <w:rPr>
                <w:sz w:val="22"/>
                <w:szCs w:val="22"/>
              </w:rPr>
              <w:t>Duration: 502</w:t>
            </w:r>
          </w:p>
        </w:tc>
      </w:tr>
      <w:tr w:rsidR="00454251" w:rsidRPr="005F2168" w14:paraId="48C6D558" w14:textId="77777777" w:rsidTr="00281A92">
        <w:tc>
          <w:tcPr>
            <w:tcW w:w="2552" w:type="dxa"/>
            <w:vMerge/>
          </w:tcPr>
          <w:p w14:paraId="4AA1B9E8" w14:textId="77777777" w:rsidR="00454251" w:rsidRPr="005F2168" w:rsidRDefault="00454251" w:rsidP="00281A92">
            <w:pPr>
              <w:spacing w:before="0" w:after="0" w:line="240" w:lineRule="auto"/>
              <w:jc w:val="left"/>
              <w:rPr>
                <w:b/>
                <w:bCs/>
                <w:sz w:val="22"/>
                <w:szCs w:val="22"/>
              </w:rPr>
            </w:pPr>
          </w:p>
        </w:tc>
        <w:tc>
          <w:tcPr>
            <w:tcW w:w="1984" w:type="dxa"/>
          </w:tcPr>
          <w:p w14:paraId="3965E900" w14:textId="77777777" w:rsidR="00454251" w:rsidRPr="005F2168" w:rsidRDefault="00454251" w:rsidP="00281A92">
            <w:pPr>
              <w:spacing w:before="0" w:after="0" w:line="240" w:lineRule="auto"/>
              <w:jc w:val="left"/>
              <w:rPr>
                <w:sz w:val="22"/>
                <w:szCs w:val="22"/>
              </w:rPr>
            </w:pPr>
            <w:r w:rsidRPr="005F2168">
              <w:rPr>
                <w:sz w:val="22"/>
                <w:szCs w:val="22"/>
              </w:rPr>
              <w:t xml:space="preserve">0.40 Hz = 16°/sec velocity </w:t>
            </w:r>
          </w:p>
        </w:tc>
        <w:tc>
          <w:tcPr>
            <w:tcW w:w="1512" w:type="dxa"/>
          </w:tcPr>
          <w:p w14:paraId="15A8782C" w14:textId="26592A51" w:rsidR="00454251" w:rsidRPr="005F2168" w:rsidRDefault="00454251" w:rsidP="00281A92">
            <w:pPr>
              <w:spacing w:before="0" w:after="0" w:line="240" w:lineRule="auto"/>
              <w:jc w:val="left"/>
              <w:rPr>
                <w:sz w:val="22"/>
                <w:szCs w:val="22"/>
              </w:rPr>
            </w:pPr>
            <w:r w:rsidRPr="005F2168">
              <w:rPr>
                <w:sz w:val="22"/>
                <w:szCs w:val="22"/>
              </w:rPr>
              <w:t>Gain: 0.89</w:t>
            </w:r>
          </w:p>
          <w:p w14:paraId="7B16FB49" w14:textId="77777777" w:rsidR="00454251" w:rsidRPr="005F2168" w:rsidRDefault="00454251" w:rsidP="00281A92">
            <w:pPr>
              <w:spacing w:before="0" w:after="0" w:line="240" w:lineRule="auto"/>
              <w:jc w:val="left"/>
              <w:rPr>
                <w:sz w:val="22"/>
                <w:szCs w:val="22"/>
              </w:rPr>
            </w:pPr>
            <w:r w:rsidRPr="005F2168">
              <w:rPr>
                <w:sz w:val="22"/>
                <w:szCs w:val="22"/>
              </w:rPr>
              <w:t>RMSE: 0.56</w:t>
            </w:r>
          </w:p>
          <w:p w14:paraId="3BB30E6A" w14:textId="095D47E5" w:rsidR="00454251" w:rsidRPr="005F2168" w:rsidRDefault="00454251" w:rsidP="00281A92">
            <w:pPr>
              <w:spacing w:before="0" w:after="0" w:line="240" w:lineRule="auto"/>
              <w:jc w:val="left"/>
              <w:rPr>
                <w:sz w:val="22"/>
                <w:szCs w:val="22"/>
              </w:rPr>
            </w:pPr>
            <w:r w:rsidRPr="005F2168">
              <w:rPr>
                <w:sz w:val="22"/>
                <w:szCs w:val="22"/>
              </w:rPr>
              <w:t>Duration: 483</w:t>
            </w:r>
          </w:p>
        </w:tc>
        <w:tc>
          <w:tcPr>
            <w:tcW w:w="1512" w:type="dxa"/>
          </w:tcPr>
          <w:p w14:paraId="5F3CCBC0" w14:textId="5B4F21C2" w:rsidR="00454251" w:rsidRPr="005F2168" w:rsidRDefault="00454251" w:rsidP="00281A92">
            <w:pPr>
              <w:spacing w:before="0" w:after="0" w:line="240" w:lineRule="auto"/>
              <w:jc w:val="left"/>
              <w:rPr>
                <w:sz w:val="22"/>
                <w:szCs w:val="22"/>
              </w:rPr>
            </w:pPr>
            <w:r w:rsidRPr="005F2168">
              <w:rPr>
                <w:sz w:val="22"/>
                <w:szCs w:val="22"/>
              </w:rPr>
              <w:t>Gain: 0.88</w:t>
            </w:r>
          </w:p>
          <w:p w14:paraId="3A617D63" w14:textId="3F318025" w:rsidR="00454251" w:rsidRPr="005F2168" w:rsidRDefault="00454251" w:rsidP="00281A92">
            <w:pPr>
              <w:spacing w:before="0" w:after="0" w:line="240" w:lineRule="auto"/>
              <w:jc w:val="left"/>
              <w:rPr>
                <w:sz w:val="22"/>
                <w:szCs w:val="22"/>
              </w:rPr>
            </w:pPr>
            <w:r w:rsidRPr="005F2168">
              <w:rPr>
                <w:sz w:val="22"/>
                <w:szCs w:val="22"/>
              </w:rPr>
              <w:t>RMSE: 0.7</w:t>
            </w:r>
            <w:r w:rsidR="00714E0B" w:rsidRPr="005F2168">
              <w:rPr>
                <w:sz w:val="22"/>
                <w:szCs w:val="22"/>
              </w:rPr>
              <w:t>3</w:t>
            </w:r>
          </w:p>
          <w:p w14:paraId="49140360" w14:textId="273FB777" w:rsidR="00454251" w:rsidRPr="005F2168" w:rsidRDefault="00454251" w:rsidP="00281A92">
            <w:pPr>
              <w:spacing w:before="0" w:after="0" w:line="240" w:lineRule="auto"/>
              <w:rPr>
                <w:sz w:val="22"/>
                <w:szCs w:val="22"/>
              </w:rPr>
            </w:pPr>
            <w:r w:rsidRPr="005F2168">
              <w:rPr>
                <w:sz w:val="22"/>
                <w:szCs w:val="22"/>
              </w:rPr>
              <w:t>Duration: 399</w:t>
            </w:r>
          </w:p>
        </w:tc>
        <w:tc>
          <w:tcPr>
            <w:tcW w:w="1512" w:type="dxa"/>
          </w:tcPr>
          <w:p w14:paraId="1FD24D7F" w14:textId="0F58AA8C" w:rsidR="00454251" w:rsidRPr="005F2168" w:rsidRDefault="00454251" w:rsidP="00281A92">
            <w:pPr>
              <w:spacing w:before="0" w:after="0" w:line="240" w:lineRule="auto"/>
              <w:jc w:val="left"/>
              <w:rPr>
                <w:sz w:val="22"/>
                <w:szCs w:val="22"/>
              </w:rPr>
            </w:pPr>
            <w:r w:rsidRPr="005F2168">
              <w:rPr>
                <w:sz w:val="22"/>
                <w:szCs w:val="22"/>
              </w:rPr>
              <w:t>Gain: 0.86</w:t>
            </w:r>
          </w:p>
          <w:p w14:paraId="61F3CFE2" w14:textId="5893B612" w:rsidR="00454251" w:rsidRPr="005F2168" w:rsidRDefault="00454251" w:rsidP="00281A92">
            <w:pPr>
              <w:spacing w:before="0" w:after="0" w:line="240" w:lineRule="auto"/>
              <w:jc w:val="left"/>
              <w:rPr>
                <w:sz w:val="22"/>
                <w:szCs w:val="22"/>
              </w:rPr>
            </w:pPr>
            <w:r w:rsidRPr="005F2168">
              <w:rPr>
                <w:sz w:val="22"/>
                <w:szCs w:val="22"/>
              </w:rPr>
              <w:t>RMSE: 0.83</w:t>
            </w:r>
          </w:p>
          <w:p w14:paraId="617B0DA1" w14:textId="5B1F5C73" w:rsidR="00454251" w:rsidRPr="005F2168" w:rsidRDefault="00454251" w:rsidP="00281A92">
            <w:pPr>
              <w:spacing w:before="0" w:after="0" w:line="240" w:lineRule="auto"/>
              <w:jc w:val="left"/>
              <w:rPr>
                <w:sz w:val="22"/>
                <w:szCs w:val="22"/>
              </w:rPr>
            </w:pPr>
            <w:r w:rsidRPr="005F2168">
              <w:rPr>
                <w:sz w:val="22"/>
                <w:szCs w:val="22"/>
              </w:rPr>
              <w:t>Duration: 431</w:t>
            </w:r>
          </w:p>
        </w:tc>
      </w:tr>
      <w:tr w:rsidR="00454251" w:rsidRPr="005F2168" w14:paraId="0C7DEA33" w14:textId="77777777" w:rsidTr="00281A92">
        <w:tc>
          <w:tcPr>
            <w:tcW w:w="2552" w:type="dxa"/>
            <w:vMerge/>
          </w:tcPr>
          <w:p w14:paraId="0EF3747A" w14:textId="77777777" w:rsidR="00454251" w:rsidRPr="005F2168" w:rsidRDefault="00454251" w:rsidP="00281A92">
            <w:pPr>
              <w:spacing w:before="0" w:after="0" w:line="240" w:lineRule="auto"/>
              <w:jc w:val="left"/>
              <w:rPr>
                <w:b/>
                <w:bCs/>
                <w:sz w:val="22"/>
                <w:szCs w:val="22"/>
              </w:rPr>
            </w:pPr>
          </w:p>
        </w:tc>
        <w:tc>
          <w:tcPr>
            <w:tcW w:w="1984" w:type="dxa"/>
          </w:tcPr>
          <w:p w14:paraId="2CC82831" w14:textId="77777777" w:rsidR="00454251" w:rsidRPr="005F2168" w:rsidRDefault="00454251" w:rsidP="00281A92">
            <w:pPr>
              <w:spacing w:before="0" w:after="0" w:line="240" w:lineRule="auto"/>
              <w:jc w:val="left"/>
              <w:rPr>
                <w:sz w:val="22"/>
                <w:szCs w:val="22"/>
              </w:rPr>
            </w:pPr>
            <w:r w:rsidRPr="005F2168">
              <w:rPr>
                <w:sz w:val="22"/>
                <w:szCs w:val="22"/>
              </w:rPr>
              <w:t>0.60 Hz = 24°/sec velocity</w:t>
            </w:r>
          </w:p>
        </w:tc>
        <w:tc>
          <w:tcPr>
            <w:tcW w:w="1512" w:type="dxa"/>
          </w:tcPr>
          <w:p w14:paraId="15BA984D" w14:textId="35D61C16" w:rsidR="00454251" w:rsidRPr="005F2168" w:rsidRDefault="00454251" w:rsidP="00281A92">
            <w:pPr>
              <w:spacing w:before="0" w:after="0" w:line="240" w:lineRule="auto"/>
              <w:jc w:val="left"/>
              <w:rPr>
                <w:sz w:val="22"/>
                <w:szCs w:val="22"/>
              </w:rPr>
            </w:pPr>
            <w:r w:rsidRPr="005F2168">
              <w:rPr>
                <w:sz w:val="22"/>
                <w:szCs w:val="22"/>
              </w:rPr>
              <w:t>Gain: 0.83</w:t>
            </w:r>
          </w:p>
          <w:p w14:paraId="327173CD" w14:textId="301C5D18" w:rsidR="00454251" w:rsidRPr="005F2168" w:rsidRDefault="00454251" w:rsidP="00281A92">
            <w:pPr>
              <w:spacing w:before="0" w:after="0" w:line="240" w:lineRule="auto"/>
              <w:jc w:val="left"/>
              <w:rPr>
                <w:sz w:val="22"/>
                <w:szCs w:val="22"/>
              </w:rPr>
            </w:pPr>
            <w:r w:rsidRPr="005F2168">
              <w:rPr>
                <w:sz w:val="22"/>
                <w:szCs w:val="22"/>
              </w:rPr>
              <w:t>RMSE: 0.8</w:t>
            </w:r>
            <w:r w:rsidR="00714E0B" w:rsidRPr="005F2168">
              <w:rPr>
                <w:sz w:val="22"/>
                <w:szCs w:val="22"/>
              </w:rPr>
              <w:t>2</w:t>
            </w:r>
          </w:p>
          <w:p w14:paraId="4574514B" w14:textId="40B28359" w:rsidR="00454251" w:rsidRPr="005F2168" w:rsidRDefault="00454251" w:rsidP="00281A92">
            <w:pPr>
              <w:spacing w:before="0" w:after="0" w:line="240" w:lineRule="auto"/>
              <w:jc w:val="left"/>
              <w:rPr>
                <w:sz w:val="22"/>
                <w:szCs w:val="22"/>
              </w:rPr>
            </w:pPr>
            <w:r w:rsidRPr="005F2168">
              <w:rPr>
                <w:sz w:val="22"/>
                <w:szCs w:val="22"/>
              </w:rPr>
              <w:t>Duration: 292</w:t>
            </w:r>
          </w:p>
        </w:tc>
        <w:tc>
          <w:tcPr>
            <w:tcW w:w="1512" w:type="dxa"/>
          </w:tcPr>
          <w:p w14:paraId="1A5F9193" w14:textId="0193E1E3" w:rsidR="00454251" w:rsidRPr="005F2168" w:rsidRDefault="00454251" w:rsidP="00281A92">
            <w:pPr>
              <w:spacing w:before="0" w:after="0" w:line="240" w:lineRule="auto"/>
              <w:jc w:val="left"/>
              <w:rPr>
                <w:sz w:val="22"/>
                <w:szCs w:val="22"/>
              </w:rPr>
            </w:pPr>
            <w:r w:rsidRPr="005F2168">
              <w:rPr>
                <w:sz w:val="22"/>
                <w:szCs w:val="22"/>
              </w:rPr>
              <w:t>Gain: 0.77</w:t>
            </w:r>
          </w:p>
          <w:p w14:paraId="5F607A62" w14:textId="481976C4" w:rsidR="00454251" w:rsidRPr="005F2168" w:rsidRDefault="00454251" w:rsidP="00281A92">
            <w:pPr>
              <w:spacing w:before="0" w:after="0" w:line="240" w:lineRule="auto"/>
              <w:jc w:val="left"/>
              <w:rPr>
                <w:sz w:val="22"/>
                <w:szCs w:val="22"/>
              </w:rPr>
            </w:pPr>
            <w:r w:rsidRPr="005F2168">
              <w:rPr>
                <w:sz w:val="22"/>
                <w:szCs w:val="22"/>
              </w:rPr>
              <w:t xml:space="preserve">RMSE: </w:t>
            </w:r>
            <w:r w:rsidR="00714E0B" w:rsidRPr="005F2168">
              <w:rPr>
                <w:sz w:val="22"/>
                <w:szCs w:val="22"/>
              </w:rPr>
              <w:t>1.05</w:t>
            </w:r>
          </w:p>
          <w:p w14:paraId="1343F478" w14:textId="3CEE5DD2" w:rsidR="00454251" w:rsidRPr="005F2168" w:rsidRDefault="00454251" w:rsidP="00281A92">
            <w:pPr>
              <w:spacing w:before="0" w:after="0" w:line="240" w:lineRule="auto"/>
              <w:rPr>
                <w:sz w:val="22"/>
                <w:szCs w:val="22"/>
              </w:rPr>
            </w:pPr>
            <w:r w:rsidRPr="005F2168">
              <w:rPr>
                <w:sz w:val="22"/>
                <w:szCs w:val="22"/>
              </w:rPr>
              <w:t>Duration: 278</w:t>
            </w:r>
          </w:p>
        </w:tc>
        <w:tc>
          <w:tcPr>
            <w:tcW w:w="1512" w:type="dxa"/>
          </w:tcPr>
          <w:p w14:paraId="31066487" w14:textId="75C39B0A" w:rsidR="00454251" w:rsidRPr="005F2168" w:rsidRDefault="00454251" w:rsidP="00281A92">
            <w:pPr>
              <w:spacing w:before="0" w:after="0" w:line="240" w:lineRule="auto"/>
              <w:jc w:val="left"/>
              <w:rPr>
                <w:sz w:val="22"/>
                <w:szCs w:val="22"/>
              </w:rPr>
            </w:pPr>
            <w:r w:rsidRPr="005F2168">
              <w:rPr>
                <w:sz w:val="22"/>
                <w:szCs w:val="22"/>
              </w:rPr>
              <w:t>Gain: 0.79</w:t>
            </w:r>
          </w:p>
          <w:p w14:paraId="5D4B6D14" w14:textId="21A5E1E4" w:rsidR="00454251" w:rsidRPr="005F2168" w:rsidRDefault="00454251" w:rsidP="00281A92">
            <w:pPr>
              <w:spacing w:before="0" w:after="0" w:line="240" w:lineRule="auto"/>
              <w:jc w:val="left"/>
              <w:rPr>
                <w:sz w:val="22"/>
                <w:szCs w:val="22"/>
              </w:rPr>
            </w:pPr>
            <w:r w:rsidRPr="005F2168">
              <w:rPr>
                <w:sz w:val="22"/>
                <w:szCs w:val="22"/>
              </w:rPr>
              <w:t>RMSE: 1.08</w:t>
            </w:r>
          </w:p>
          <w:p w14:paraId="31A47088" w14:textId="22B8F61A" w:rsidR="00454251" w:rsidRPr="005F2168" w:rsidRDefault="00454251" w:rsidP="00281A92">
            <w:pPr>
              <w:spacing w:before="0" w:after="0" w:line="240" w:lineRule="auto"/>
              <w:jc w:val="left"/>
              <w:rPr>
                <w:sz w:val="22"/>
                <w:szCs w:val="22"/>
              </w:rPr>
            </w:pPr>
            <w:r w:rsidRPr="005F2168">
              <w:rPr>
                <w:sz w:val="22"/>
                <w:szCs w:val="22"/>
              </w:rPr>
              <w:t>Duration: 293</w:t>
            </w:r>
          </w:p>
        </w:tc>
      </w:tr>
      <w:tr w:rsidR="00454251" w:rsidRPr="005F2168" w14:paraId="5AFDCD27" w14:textId="77777777" w:rsidTr="00281A92">
        <w:tc>
          <w:tcPr>
            <w:tcW w:w="2552" w:type="dxa"/>
            <w:vMerge/>
          </w:tcPr>
          <w:p w14:paraId="558E635E" w14:textId="77777777" w:rsidR="00454251" w:rsidRPr="005F2168" w:rsidRDefault="00454251" w:rsidP="00281A92">
            <w:pPr>
              <w:spacing w:before="0" w:after="0" w:line="240" w:lineRule="auto"/>
              <w:jc w:val="left"/>
              <w:rPr>
                <w:b/>
                <w:bCs/>
                <w:sz w:val="22"/>
                <w:szCs w:val="22"/>
              </w:rPr>
            </w:pPr>
          </w:p>
        </w:tc>
        <w:tc>
          <w:tcPr>
            <w:tcW w:w="1984" w:type="dxa"/>
          </w:tcPr>
          <w:p w14:paraId="5286F9DE" w14:textId="77777777" w:rsidR="00454251" w:rsidRPr="005F2168" w:rsidRDefault="00454251" w:rsidP="00281A92">
            <w:pPr>
              <w:spacing w:before="0" w:after="0" w:line="240" w:lineRule="auto"/>
              <w:jc w:val="left"/>
              <w:rPr>
                <w:sz w:val="22"/>
                <w:szCs w:val="22"/>
              </w:rPr>
            </w:pPr>
            <w:r w:rsidRPr="005F2168">
              <w:rPr>
                <w:sz w:val="22"/>
                <w:szCs w:val="22"/>
              </w:rPr>
              <w:t>0.80 Hz = 32°/sec velocity</w:t>
            </w:r>
          </w:p>
        </w:tc>
        <w:tc>
          <w:tcPr>
            <w:tcW w:w="1512" w:type="dxa"/>
          </w:tcPr>
          <w:p w14:paraId="1F2CA8FF" w14:textId="4E2EFA31" w:rsidR="00454251" w:rsidRPr="005F2168" w:rsidRDefault="00454251" w:rsidP="00281A92">
            <w:pPr>
              <w:spacing w:before="0" w:after="0" w:line="240" w:lineRule="auto"/>
              <w:jc w:val="left"/>
              <w:rPr>
                <w:sz w:val="22"/>
                <w:szCs w:val="22"/>
              </w:rPr>
            </w:pPr>
            <w:r w:rsidRPr="005F2168">
              <w:rPr>
                <w:sz w:val="22"/>
                <w:szCs w:val="22"/>
              </w:rPr>
              <w:t>Gain: 0.73</w:t>
            </w:r>
          </w:p>
          <w:p w14:paraId="0F5BEEF8" w14:textId="29947AD7" w:rsidR="00454251" w:rsidRPr="005F2168" w:rsidRDefault="00454251" w:rsidP="00281A92">
            <w:pPr>
              <w:spacing w:before="0" w:after="0" w:line="240" w:lineRule="auto"/>
              <w:jc w:val="left"/>
              <w:rPr>
                <w:sz w:val="22"/>
                <w:szCs w:val="22"/>
              </w:rPr>
            </w:pPr>
            <w:r w:rsidRPr="005F2168">
              <w:rPr>
                <w:sz w:val="22"/>
                <w:szCs w:val="22"/>
              </w:rPr>
              <w:t>RMSE: 1.27</w:t>
            </w:r>
          </w:p>
          <w:p w14:paraId="54EB59A3" w14:textId="34CF20DB" w:rsidR="00454251" w:rsidRPr="005F2168" w:rsidRDefault="00454251" w:rsidP="00281A92">
            <w:pPr>
              <w:spacing w:before="0" w:after="0" w:line="240" w:lineRule="auto"/>
              <w:jc w:val="left"/>
              <w:rPr>
                <w:sz w:val="22"/>
                <w:szCs w:val="22"/>
              </w:rPr>
            </w:pPr>
            <w:r w:rsidRPr="005F2168">
              <w:rPr>
                <w:sz w:val="22"/>
                <w:szCs w:val="22"/>
              </w:rPr>
              <w:t>Duration: 211</w:t>
            </w:r>
          </w:p>
        </w:tc>
        <w:tc>
          <w:tcPr>
            <w:tcW w:w="1512" w:type="dxa"/>
          </w:tcPr>
          <w:p w14:paraId="63DAAF3C" w14:textId="3804A6E1" w:rsidR="00454251" w:rsidRPr="005F2168" w:rsidRDefault="00454251" w:rsidP="00281A92">
            <w:pPr>
              <w:spacing w:before="0" w:after="0" w:line="240" w:lineRule="auto"/>
              <w:jc w:val="left"/>
              <w:rPr>
                <w:sz w:val="22"/>
                <w:szCs w:val="22"/>
              </w:rPr>
            </w:pPr>
            <w:r w:rsidRPr="005F2168">
              <w:rPr>
                <w:sz w:val="22"/>
                <w:szCs w:val="22"/>
              </w:rPr>
              <w:t>Gain: 0.68</w:t>
            </w:r>
          </w:p>
          <w:p w14:paraId="578175A6" w14:textId="5C60A934" w:rsidR="00454251" w:rsidRPr="005F2168" w:rsidRDefault="00454251" w:rsidP="00281A92">
            <w:pPr>
              <w:spacing w:before="0" w:after="0" w:line="240" w:lineRule="auto"/>
              <w:jc w:val="left"/>
              <w:rPr>
                <w:sz w:val="22"/>
                <w:szCs w:val="22"/>
              </w:rPr>
            </w:pPr>
            <w:r w:rsidRPr="005F2168">
              <w:rPr>
                <w:sz w:val="22"/>
                <w:szCs w:val="22"/>
              </w:rPr>
              <w:t>RMSE: 1.3</w:t>
            </w:r>
            <w:r w:rsidR="00714E0B" w:rsidRPr="005F2168">
              <w:rPr>
                <w:sz w:val="22"/>
                <w:szCs w:val="22"/>
              </w:rPr>
              <w:t>5</w:t>
            </w:r>
          </w:p>
          <w:p w14:paraId="1C8B4DE1" w14:textId="2103AD74" w:rsidR="00454251" w:rsidRPr="005F2168" w:rsidRDefault="00454251" w:rsidP="00281A92">
            <w:pPr>
              <w:spacing w:before="0" w:after="0" w:line="240" w:lineRule="auto"/>
              <w:rPr>
                <w:sz w:val="22"/>
                <w:szCs w:val="22"/>
              </w:rPr>
            </w:pPr>
            <w:r w:rsidRPr="005F2168">
              <w:rPr>
                <w:sz w:val="22"/>
                <w:szCs w:val="22"/>
              </w:rPr>
              <w:t>Duration: 241</w:t>
            </w:r>
          </w:p>
        </w:tc>
        <w:tc>
          <w:tcPr>
            <w:tcW w:w="1512" w:type="dxa"/>
          </w:tcPr>
          <w:p w14:paraId="27376BC9" w14:textId="15E4CB3A" w:rsidR="00454251" w:rsidRPr="005F2168" w:rsidRDefault="00454251" w:rsidP="00281A92">
            <w:pPr>
              <w:spacing w:before="0" w:after="0" w:line="240" w:lineRule="auto"/>
              <w:jc w:val="left"/>
              <w:rPr>
                <w:sz w:val="22"/>
                <w:szCs w:val="22"/>
              </w:rPr>
            </w:pPr>
            <w:r w:rsidRPr="005F2168">
              <w:rPr>
                <w:sz w:val="22"/>
                <w:szCs w:val="22"/>
              </w:rPr>
              <w:t>Gain: 0.67</w:t>
            </w:r>
          </w:p>
          <w:p w14:paraId="142EB698" w14:textId="77777777" w:rsidR="00454251" w:rsidRPr="005F2168" w:rsidRDefault="00454251" w:rsidP="00281A92">
            <w:pPr>
              <w:spacing w:before="0" w:after="0" w:line="240" w:lineRule="auto"/>
              <w:jc w:val="left"/>
              <w:rPr>
                <w:sz w:val="22"/>
                <w:szCs w:val="22"/>
              </w:rPr>
            </w:pPr>
            <w:r w:rsidRPr="005F2168">
              <w:rPr>
                <w:sz w:val="22"/>
                <w:szCs w:val="22"/>
              </w:rPr>
              <w:t>RMSE: 1.39</w:t>
            </w:r>
          </w:p>
          <w:p w14:paraId="5F1F9E03" w14:textId="5F1EA796" w:rsidR="00454251" w:rsidRPr="005F2168" w:rsidRDefault="00454251" w:rsidP="00281A92">
            <w:pPr>
              <w:spacing w:before="0" w:after="0" w:line="240" w:lineRule="auto"/>
              <w:jc w:val="left"/>
              <w:rPr>
                <w:sz w:val="22"/>
                <w:szCs w:val="22"/>
              </w:rPr>
            </w:pPr>
            <w:r w:rsidRPr="005F2168">
              <w:rPr>
                <w:sz w:val="22"/>
                <w:szCs w:val="22"/>
              </w:rPr>
              <w:t>Duration: 260</w:t>
            </w:r>
          </w:p>
        </w:tc>
      </w:tr>
      <w:tr w:rsidR="00454251" w:rsidRPr="005F2168" w14:paraId="742533E8" w14:textId="77777777" w:rsidTr="00281A92">
        <w:trPr>
          <w:trHeight w:val="282"/>
        </w:trPr>
        <w:tc>
          <w:tcPr>
            <w:tcW w:w="2552" w:type="dxa"/>
            <w:vMerge w:val="restart"/>
          </w:tcPr>
          <w:p w14:paraId="55B438DE" w14:textId="77777777" w:rsidR="00454251" w:rsidRPr="005F2168" w:rsidRDefault="00454251" w:rsidP="00281A92">
            <w:pPr>
              <w:spacing w:before="0" w:after="0" w:line="240" w:lineRule="auto"/>
              <w:jc w:val="left"/>
              <w:rPr>
                <w:b/>
                <w:bCs/>
                <w:sz w:val="22"/>
                <w:szCs w:val="22"/>
              </w:rPr>
            </w:pPr>
            <w:r w:rsidRPr="005F2168">
              <w:rPr>
                <w:b/>
                <w:bCs/>
                <w:sz w:val="22"/>
                <w:szCs w:val="22"/>
              </w:rPr>
              <w:t xml:space="preserve">Vertical SP </w:t>
            </w:r>
          </w:p>
          <w:p w14:paraId="7DF68578" w14:textId="77777777" w:rsidR="00454251" w:rsidRPr="005F2168" w:rsidRDefault="00454251" w:rsidP="00281A92">
            <w:pPr>
              <w:pStyle w:val="ListParagraph"/>
              <w:spacing w:before="0" w:after="0" w:line="240" w:lineRule="auto"/>
              <w:ind w:left="179"/>
              <w:jc w:val="left"/>
              <w:rPr>
                <w:b/>
                <w:bCs/>
                <w:sz w:val="22"/>
                <w:szCs w:val="22"/>
              </w:rPr>
            </w:pPr>
          </w:p>
        </w:tc>
        <w:tc>
          <w:tcPr>
            <w:tcW w:w="1984" w:type="dxa"/>
          </w:tcPr>
          <w:p w14:paraId="756B5137" w14:textId="77777777" w:rsidR="00454251" w:rsidRPr="005F2168" w:rsidRDefault="00454251" w:rsidP="00281A92">
            <w:pPr>
              <w:spacing w:before="0" w:after="0" w:line="240" w:lineRule="auto"/>
              <w:jc w:val="left"/>
              <w:rPr>
                <w:sz w:val="22"/>
                <w:szCs w:val="22"/>
              </w:rPr>
            </w:pPr>
            <w:r w:rsidRPr="005F2168">
              <w:rPr>
                <w:sz w:val="22"/>
                <w:szCs w:val="22"/>
              </w:rPr>
              <w:t>0.25 Hz = 8°/sec velocity</w:t>
            </w:r>
          </w:p>
        </w:tc>
        <w:tc>
          <w:tcPr>
            <w:tcW w:w="1512" w:type="dxa"/>
          </w:tcPr>
          <w:p w14:paraId="3117984D" w14:textId="39C241F1" w:rsidR="00454251" w:rsidRPr="005F2168" w:rsidRDefault="00454251" w:rsidP="00281A92">
            <w:pPr>
              <w:spacing w:before="0" w:after="0" w:line="240" w:lineRule="auto"/>
              <w:jc w:val="left"/>
              <w:rPr>
                <w:sz w:val="22"/>
                <w:szCs w:val="22"/>
              </w:rPr>
            </w:pPr>
            <w:r w:rsidRPr="005F2168">
              <w:rPr>
                <w:sz w:val="22"/>
                <w:szCs w:val="22"/>
              </w:rPr>
              <w:t>Gain: 0.82</w:t>
            </w:r>
          </w:p>
          <w:p w14:paraId="713A9C69" w14:textId="41173E05" w:rsidR="00454251" w:rsidRPr="005F2168" w:rsidRDefault="00454251" w:rsidP="00281A92">
            <w:pPr>
              <w:spacing w:before="0" w:after="0" w:line="240" w:lineRule="auto"/>
              <w:jc w:val="left"/>
              <w:rPr>
                <w:sz w:val="22"/>
                <w:szCs w:val="22"/>
              </w:rPr>
            </w:pPr>
            <w:r w:rsidRPr="005F2168">
              <w:rPr>
                <w:sz w:val="22"/>
                <w:szCs w:val="22"/>
              </w:rPr>
              <w:t>RMSE: 0.</w:t>
            </w:r>
            <w:r w:rsidR="00FB48AC" w:rsidRPr="005F2168">
              <w:rPr>
                <w:sz w:val="22"/>
                <w:szCs w:val="22"/>
              </w:rPr>
              <w:t>51</w:t>
            </w:r>
          </w:p>
          <w:p w14:paraId="708F4B32" w14:textId="5BD63883" w:rsidR="00454251" w:rsidRPr="005F2168" w:rsidRDefault="00454251" w:rsidP="00281A92">
            <w:pPr>
              <w:spacing w:before="0" w:after="0" w:line="240" w:lineRule="auto"/>
              <w:jc w:val="left"/>
              <w:rPr>
                <w:sz w:val="22"/>
                <w:szCs w:val="22"/>
              </w:rPr>
            </w:pPr>
            <w:r w:rsidRPr="005F2168">
              <w:rPr>
                <w:sz w:val="22"/>
                <w:szCs w:val="22"/>
              </w:rPr>
              <w:t>Duration: 4</w:t>
            </w:r>
            <w:r w:rsidR="006866CC" w:rsidRPr="005F2168">
              <w:rPr>
                <w:sz w:val="22"/>
                <w:szCs w:val="22"/>
              </w:rPr>
              <w:t>46</w:t>
            </w:r>
          </w:p>
        </w:tc>
        <w:tc>
          <w:tcPr>
            <w:tcW w:w="1512" w:type="dxa"/>
          </w:tcPr>
          <w:p w14:paraId="4444C276" w14:textId="61A2D564" w:rsidR="00454251" w:rsidRPr="005F2168" w:rsidRDefault="00454251" w:rsidP="00281A92">
            <w:pPr>
              <w:spacing w:before="0" w:after="0" w:line="240" w:lineRule="auto"/>
              <w:jc w:val="left"/>
              <w:rPr>
                <w:sz w:val="22"/>
                <w:szCs w:val="22"/>
              </w:rPr>
            </w:pPr>
            <w:r w:rsidRPr="005F2168">
              <w:rPr>
                <w:sz w:val="22"/>
                <w:szCs w:val="22"/>
              </w:rPr>
              <w:t>Gain: 0.7</w:t>
            </w:r>
            <w:r w:rsidR="00FB48AC" w:rsidRPr="005F2168">
              <w:rPr>
                <w:sz w:val="22"/>
                <w:szCs w:val="22"/>
              </w:rPr>
              <w:t>8</w:t>
            </w:r>
          </w:p>
          <w:p w14:paraId="1CE5081A" w14:textId="12499815" w:rsidR="00454251" w:rsidRPr="005F2168" w:rsidRDefault="00454251" w:rsidP="00281A92">
            <w:pPr>
              <w:spacing w:before="0" w:after="0" w:line="240" w:lineRule="auto"/>
              <w:jc w:val="left"/>
              <w:rPr>
                <w:sz w:val="22"/>
                <w:szCs w:val="22"/>
              </w:rPr>
            </w:pPr>
            <w:r w:rsidRPr="005F2168">
              <w:rPr>
                <w:sz w:val="22"/>
                <w:szCs w:val="22"/>
              </w:rPr>
              <w:t>RMSE: 0.</w:t>
            </w:r>
            <w:r w:rsidR="006866CC" w:rsidRPr="005F2168">
              <w:rPr>
                <w:sz w:val="22"/>
                <w:szCs w:val="22"/>
              </w:rPr>
              <w:t>7</w:t>
            </w:r>
            <w:r w:rsidRPr="005F2168">
              <w:rPr>
                <w:sz w:val="22"/>
                <w:szCs w:val="22"/>
              </w:rPr>
              <w:t>9</w:t>
            </w:r>
          </w:p>
          <w:p w14:paraId="1974A21E" w14:textId="091042D1" w:rsidR="00454251" w:rsidRPr="005F2168" w:rsidRDefault="00454251" w:rsidP="00281A92">
            <w:pPr>
              <w:spacing w:before="0" w:after="0" w:line="240" w:lineRule="auto"/>
              <w:rPr>
                <w:sz w:val="22"/>
                <w:szCs w:val="22"/>
              </w:rPr>
            </w:pPr>
            <w:r w:rsidRPr="005F2168">
              <w:rPr>
                <w:sz w:val="22"/>
                <w:szCs w:val="22"/>
              </w:rPr>
              <w:t>Duration: 4</w:t>
            </w:r>
            <w:r w:rsidR="006866CC" w:rsidRPr="005F2168">
              <w:rPr>
                <w:sz w:val="22"/>
                <w:szCs w:val="22"/>
              </w:rPr>
              <w:t>74</w:t>
            </w:r>
          </w:p>
        </w:tc>
        <w:tc>
          <w:tcPr>
            <w:tcW w:w="1512" w:type="dxa"/>
          </w:tcPr>
          <w:p w14:paraId="2A7C161E" w14:textId="490F15BF" w:rsidR="00454251" w:rsidRPr="005F2168" w:rsidRDefault="00454251" w:rsidP="00281A92">
            <w:pPr>
              <w:spacing w:before="0" w:after="0" w:line="240" w:lineRule="auto"/>
              <w:jc w:val="left"/>
              <w:rPr>
                <w:sz w:val="22"/>
                <w:szCs w:val="22"/>
              </w:rPr>
            </w:pPr>
            <w:r w:rsidRPr="005F2168">
              <w:rPr>
                <w:sz w:val="22"/>
                <w:szCs w:val="22"/>
              </w:rPr>
              <w:t>Gain: 0.</w:t>
            </w:r>
            <w:r w:rsidR="00FB48AC" w:rsidRPr="005F2168">
              <w:rPr>
                <w:sz w:val="22"/>
                <w:szCs w:val="22"/>
              </w:rPr>
              <w:t>79</w:t>
            </w:r>
          </w:p>
          <w:p w14:paraId="75693FBB" w14:textId="7C06B657" w:rsidR="00454251" w:rsidRPr="005F2168" w:rsidRDefault="00454251" w:rsidP="00281A92">
            <w:pPr>
              <w:spacing w:before="0" w:after="0" w:line="240" w:lineRule="auto"/>
              <w:jc w:val="left"/>
              <w:rPr>
                <w:sz w:val="22"/>
                <w:szCs w:val="22"/>
              </w:rPr>
            </w:pPr>
            <w:r w:rsidRPr="005F2168">
              <w:rPr>
                <w:sz w:val="22"/>
                <w:szCs w:val="22"/>
              </w:rPr>
              <w:t>RMSE: 1.</w:t>
            </w:r>
            <w:r w:rsidR="006866CC" w:rsidRPr="005F2168">
              <w:rPr>
                <w:sz w:val="22"/>
                <w:szCs w:val="22"/>
              </w:rPr>
              <w:t>1</w:t>
            </w:r>
            <w:r w:rsidRPr="005F2168">
              <w:rPr>
                <w:sz w:val="22"/>
                <w:szCs w:val="22"/>
              </w:rPr>
              <w:t>1</w:t>
            </w:r>
          </w:p>
          <w:p w14:paraId="61BEEA09" w14:textId="7242183C" w:rsidR="00454251" w:rsidRPr="005F2168" w:rsidRDefault="00454251" w:rsidP="00281A92">
            <w:pPr>
              <w:spacing w:before="0" w:after="0" w:line="240" w:lineRule="auto"/>
              <w:jc w:val="left"/>
              <w:rPr>
                <w:sz w:val="22"/>
                <w:szCs w:val="22"/>
              </w:rPr>
            </w:pPr>
            <w:r w:rsidRPr="005F2168">
              <w:rPr>
                <w:sz w:val="22"/>
                <w:szCs w:val="22"/>
              </w:rPr>
              <w:t xml:space="preserve">Duration: </w:t>
            </w:r>
            <w:r w:rsidR="006866CC" w:rsidRPr="005F2168">
              <w:rPr>
                <w:sz w:val="22"/>
                <w:szCs w:val="22"/>
              </w:rPr>
              <w:t>467</w:t>
            </w:r>
          </w:p>
        </w:tc>
      </w:tr>
      <w:tr w:rsidR="00454251" w:rsidRPr="005F2168" w14:paraId="021EB317" w14:textId="77777777" w:rsidTr="00281A92">
        <w:trPr>
          <w:trHeight w:val="280"/>
        </w:trPr>
        <w:tc>
          <w:tcPr>
            <w:tcW w:w="2552" w:type="dxa"/>
            <w:vMerge/>
          </w:tcPr>
          <w:p w14:paraId="524546EA" w14:textId="77777777" w:rsidR="00454251" w:rsidRPr="005F2168" w:rsidRDefault="00454251" w:rsidP="00281A92">
            <w:pPr>
              <w:spacing w:before="0" w:after="0" w:line="240" w:lineRule="auto"/>
              <w:jc w:val="left"/>
              <w:rPr>
                <w:b/>
                <w:bCs/>
                <w:sz w:val="22"/>
                <w:szCs w:val="22"/>
              </w:rPr>
            </w:pPr>
          </w:p>
        </w:tc>
        <w:tc>
          <w:tcPr>
            <w:tcW w:w="1984" w:type="dxa"/>
          </w:tcPr>
          <w:p w14:paraId="46BE4DC2" w14:textId="77777777" w:rsidR="00454251" w:rsidRPr="005F2168" w:rsidRDefault="00454251" w:rsidP="00281A92">
            <w:pPr>
              <w:spacing w:before="0" w:after="0" w:line="240" w:lineRule="auto"/>
              <w:jc w:val="left"/>
              <w:rPr>
                <w:sz w:val="22"/>
                <w:szCs w:val="22"/>
              </w:rPr>
            </w:pPr>
            <w:r w:rsidRPr="005F2168">
              <w:rPr>
                <w:sz w:val="22"/>
                <w:szCs w:val="22"/>
              </w:rPr>
              <w:t xml:space="preserve">0.50 Hz = 16°/sec velocity </w:t>
            </w:r>
          </w:p>
        </w:tc>
        <w:tc>
          <w:tcPr>
            <w:tcW w:w="1512" w:type="dxa"/>
          </w:tcPr>
          <w:p w14:paraId="0DB9E1A6" w14:textId="645E2F00" w:rsidR="00454251" w:rsidRPr="005F2168" w:rsidRDefault="00454251" w:rsidP="00281A92">
            <w:pPr>
              <w:spacing w:before="0" w:after="0" w:line="240" w:lineRule="auto"/>
              <w:jc w:val="left"/>
              <w:rPr>
                <w:sz w:val="22"/>
                <w:szCs w:val="22"/>
              </w:rPr>
            </w:pPr>
            <w:r w:rsidRPr="005F2168">
              <w:rPr>
                <w:sz w:val="22"/>
                <w:szCs w:val="22"/>
              </w:rPr>
              <w:t>Gain: 0.73</w:t>
            </w:r>
          </w:p>
          <w:p w14:paraId="2F124C70" w14:textId="2D0DB88B" w:rsidR="00454251" w:rsidRPr="005F2168" w:rsidRDefault="00454251" w:rsidP="00281A92">
            <w:pPr>
              <w:spacing w:before="0" w:after="0" w:line="240" w:lineRule="auto"/>
              <w:jc w:val="left"/>
              <w:rPr>
                <w:sz w:val="22"/>
                <w:szCs w:val="22"/>
              </w:rPr>
            </w:pPr>
            <w:r w:rsidRPr="005F2168">
              <w:rPr>
                <w:sz w:val="22"/>
                <w:szCs w:val="22"/>
              </w:rPr>
              <w:t>RMSE: 0.8</w:t>
            </w:r>
            <w:r w:rsidR="00FB48AC" w:rsidRPr="005F2168">
              <w:rPr>
                <w:sz w:val="22"/>
                <w:szCs w:val="22"/>
              </w:rPr>
              <w:t>3</w:t>
            </w:r>
          </w:p>
          <w:p w14:paraId="6C0B21D4" w14:textId="14D6F011" w:rsidR="00454251" w:rsidRPr="005F2168" w:rsidRDefault="00454251" w:rsidP="00281A92">
            <w:pPr>
              <w:spacing w:before="0" w:after="0" w:line="240" w:lineRule="auto"/>
              <w:jc w:val="left"/>
              <w:rPr>
                <w:sz w:val="22"/>
                <w:szCs w:val="22"/>
              </w:rPr>
            </w:pPr>
            <w:r w:rsidRPr="005F2168">
              <w:rPr>
                <w:sz w:val="22"/>
                <w:szCs w:val="22"/>
              </w:rPr>
              <w:t>Duration: 2</w:t>
            </w:r>
            <w:r w:rsidR="006866CC" w:rsidRPr="005F2168">
              <w:rPr>
                <w:sz w:val="22"/>
                <w:szCs w:val="22"/>
              </w:rPr>
              <w:t>74</w:t>
            </w:r>
          </w:p>
        </w:tc>
        <w:tc>
          <w:tcPr>
            <w:tcW w:w="1512" w:type="dxa"/>
          </w:tcPr>
          <w:p w14:paraId="021DA440" w14:textId="77777777" w:rsidR="00454251" w:rsidRPr="005F2168" w:rsidRDefault="00454251" w:rsidP="00281A92">
            <w:pPr>
              <w:spacing w:before="0" w:after="0" w:line="240" w:lineRule="auto"/>
              <w:jc w:val="left"/>
              <w:rPr>
                <w:sz w:val="22"/>
                <w:szCs w:val="22"/>
              </w:rPr>
            </w:pPr>
            <w:r w:rsidRPr="005F2168">
              <w:rPr>
                <w:sz w:val="22"/>
                <w:szCs w:val="22"/>
              </w:rPr>
              <w:t>Gain: 0.70</w:t>
            </w:r>
          </w:p>
          <w:p w14:paraId="4632E3D2" w14:textId="09122BE3" w:rsidR="00454251" w:rsidRPr="005F2168" w:rsidRDefault="00454251" w:rsidP="00281A92">
            <w:pPr>
              <w:spacing w:before="0" w:after="0" w:line="240" w:lineRule="auto"/>
              <w:jc w:val="left"/>
              <w:rPr>
                <w:sz w:val="22"/>
                <w:szCs w:val="22"/>
              </w:rPr>
            </w:pPr>
            <w:r w:rsidRPr="005F2168">
              <w:rPr>
                <w:sz w:val="22"/>
                <w:szCs w:val="22"/>
              </w:rPr>
              <w:t>RMSE: 1.</w:t>
            </w:r>
            <w:r w:rsidR="006866CC" w:rsidRPr="005F2168">
              <w:rPr>
                <w:sz w:val="22"/>
                <w:szCs w:val="22"/>
              </w:rPr>
              <w:t>3</w:t>
            </w:r>
            <w:r w:rsidRPr="005F2168">
              <w:rPr>
                <w:sz w:val="22"/>
                <w:szCs w:val="22"/>
              </w:rPr>
              <w:t>2</w:t>
            </w:r>
          </w:p>
          <w:p w14:paraId="295ACE74" w14:textId="618DC4D3" w:rsidR="00454251" w:rsidRPr="005F2168" w:rsidRDefault="00454251" w:rsidP="00281A92">
            <w:pPr>
              <w:spacing w:before="0" w:after="0" w:line="240" w:lineRule="auto"/>
              <w:rPr>
                <w:sz w:val="22"/>
                <w:szCs w:val="22"/>
              </w:rPr>
            </w:pPr>
            <w:r w:rsidRPr="005F2168">
              <w:rPr>
                <w:sz w:val="22"/>
                <w:szCs w:val="22"/>
              </w:rPr>
              <w:t>Duration:</w:t>
            </w:r>
            <w:r w:rsidR="006866CC" w:rsidRPr="005F2168">
              <w:rPr>
                <w:sz w:val="22"/>
                <w:szCs w:val="22"/>
              </w:rPr>
              <w:t xml:space="preserve"> 309</w:t>
            </w:r>
          </w:p>
        </w:tc>
        <w:tc>
          <w:tcPr>
            <w:tcW w:w="1512" w:type="dxa"/>
          </w:tcPr>
          <w:p w14:paraId="1BAEF67C" w14:textId="5E4CAC44" w:rsidR="00454251" w:rsidRPr="005F2168" w:rsidRDefault="00454251" w:rsidP="00281A92">
            <w:pPr>
              <w:spacing w:before="0" w:after="0" w:line="240" w:lineRule="auto"/>
              <w:jc w:val="left"/>
              <w:rPr>
                <w:sz w:val="22"/>
                <w:szCs w:val="22"/>
              </w:rPr>
            </w:pPr>
            <w:r w:rsidRPr="005F2168">
              <w:rPr>
                <w:sz w:val="22"/>
                <w:szCs w:val="22"/>
              </w:rPr>
              <w:t>Gain: 0.65</w:t>
            </w:r>
          </w:p>
          <w:p w14:paraId="2232AB52" w14:textId="50DFD536" w:rsidR="00454251" w:rsidRPr="005F2168" w:rsidRDefault="00454251" w:rsidP="00281A92">
            <w:pPr>
              <w:spacing w:before="0" w:after="0" w:line="240" w:lineRule="auto"/>
              <w:jc w:val="left"/>
              <w:rPr>
                <w:sz w:val="22"/>
                <w:szCs w:val="22"/>
              </w:rPr>
            </w:pPr>
            <w:r w:rsidRPr="005F2168">
              <w:rPr>
                <w:sz w:val="22"/>
                <w:szCs w:val="22"/>
              </w:rPr>
              <w:t>RMSE: 1.</w:t>
            </w:r>
            <w:r w:rsidR="006866CC" w:rsidRPr="005F2168">
              <w:rPr>
                <w:sz w:val="22"/>
                <w:szCs w:val="22"/>
              </w:rPr>
              <w:t>33</w:t>
            </w:r>
          </w:p>
          <w:p w14:paraId="0CE32C14" w14:textId="6463AD84" w:rsidR="00454251" w:rsidRPr="005F2168" w:rsidRDefault="00454251" w:rsidP="00281A92">
            <w:pPr>
              <w:spacing w:before="0" w:after="0" w:line="240" w:lineRule="auto"/>
              <w:jc w:val="left"/>
              <w:rPr>
                <w:sz w:val="22"/>
                <w:szCs w:val="22"/>
              </w:rPr>
            </w:pPr>
            <w:r w:rsidRPr="005F2168">
              <w:rPr>
                <w:sz w:val="22"/>
                <w:szCs w:val="22"/>
              </w:rPr>
              <w:t xml:space="preserve">Duration: </w:t>
            </w:r>
            <w:r w:rsidR="006866CC" w:rsidRPr="005F2168">
              <w:rPr>
                <w:sz w:val="22"/>
                <w:szCs w:val="22"/>
              </w:rPr>
              <w:t>314</w:t>
            </w:r>
          </w:p>
        </w:tc>
      </w:tr>
      <w:tr w:rsidR="00454251" w:rsidRPr="005F2168" w14:paraId="4393AC70" w14:textId="77777777" w:rsidTr="00281A92">
        <w:trPr>
          <w:trHeight w:val="280"/>
        </w:trPr>
        <w:tc>
          <w:tcPr>
            <w:tcW w:w="2552" w:type="dxa"/>
            <w:vMerge/>
          </w:tcPr>
          <w:p w14:paraId="6EC93931" w14:textId="77777777" w:rsidR="00454251" w:rsidRPr="005F2168" w:rsidRDefault="00454251" w:rsidP="00281A92">
            <w:pPr>
              <w:spacing w:before="0" w:after="0" w:line="240" w:lineRule="auto"/>
              <w:jc w:val="left"/>
              <w:rPr>
                <w:b/>
                <w:bCs/>
                <w:sz w:val="22"/>
                <w:szCs w:val="22"/>
              </w:rPr>
            </w:pPr>
          </w:p>
        </w:tc>
        <w:tc>
          <w:tcPr>
            <w:tcW w:w="1984" w:type="dxa"/>
          </w:tcPr>
          <w:p w14:paraId="38A403B7" w14:textId="77777777" w:rsidR="00454251" w:rsidRPr="005F2168" w:rsidRDefault="00454251" w:rsidP="00281A92">
            <w:pPr>
              <w:spacing w:before="0" w:after="0" w:line="240" w:lineRule="auto"/>
              <w:jc w:val="left"/>
              <w:rPr>
                <w:sz w:val="22"/>
                <w:szCs w:val="22"/>
              </w:rPr>
            </w:pPr>
            <w:r w:rsidRPr="005F2168">
              <w:rPr>
                <w:sz w:val="22"/>
                <w:szCs w:val="22"/>
              </w:rPr>
              <w:t>0.75 Hz = 24°/sec velocity</w:t>
            </w:r>
          </w:p>
        </w:tc>
        <w:tc>
          <w:tcPr>
            <w:tcW w:w="1512" w:type="dxa"/>
          </w:tcPr>
          <w:p w14:paraId="072F5814" w14:textId="48149AED" w:rsidR="00454251" w:rsidRPr="005F2168" w:rsidRDefault="00454251" w:rsidP="00281A92">
            <w:pPr>
              <w:spacing w:before="0" w:after="0" w:line="240" w:lineRule="auto"/>
              <w:jc w:val="left"/>
              <w:rPr>
                <w:sz w:val="22"/>
                <w:szCs w:val="22"/>
              </w:rPr>
            </w:pPr>
            <w:r w:rsidRPr="005F2168">
              <w:rPr>
                <w:sz w:val="22"/>
                <w:szCs w:val="22"/>
              </w:rPr>
              <w:t>Gain: 0.56</w:t>
            </w:r>
          </w:p>
          <w:p w14:paraId="3E52AD84" w14:textId="593176E1" w:rsidR="00454251" w:rsidRPr="005F2168" w:rsidRDefault="00454251" w:rsidP="00281A92">
            <w:pPr>
              <w:spacing w:before="0" w:after="0" w:line="240" w:lineRule="auto"/>
              <w:jc w:val="left"/>
              <w:rPr>
                <w:sz w:val="22"/>
                <w:szCs w:val="22"/>
              </w:rPr>
            </w:pPr>
            <w:r w:rsidRPr="005F2168">
              <w:rPr>
                <w:sz w:val="22"/>
                <w:szCs w:val="22"/>
              </w:rPr>
              <w:t>RMSE: 1.3</w:t>
            </w:r>
            <w:r w:rsidR="00FB48AC" w:rsidRPr="005F2168">
              <w:rPr>
                <w:sz w:val="22"/>
                <w:szCs w:val="22"/>
              </w:rPr>
              <w:t>3</w:t>
            </w:r>
          </w:p>
          <w:p w14:paraId="04D767EA" w14:textId="6D880B7A" w:rsidR="00454251" w:rsidRPr="005F2168" w:rsidRDefault="00454251" w:rsidP="00281A92">
            <w:pPr>
              <w:spacing w:before="0" w:after="0" w:line="240" w:lineRule="auto"/>
              <w:jc w:val="left"/>
              <w:rPr>
                <w:sz w:val="22"/>
                <w:szCs w:val="22"/>
              </w:rPr>
            </w:pPr>
            <w:r w:rsidRPr="005F2168">
              <w:rPr>
                <w:sz w:val="22"/>
                <w:szCs w:val="22"/>
              </w:rPr>
              <w:t>Duration: 2</w:t>
            </w:r>
            <w:r w:rsidR="006866CC" w:rsidRPr="005F2168">
              <w:rPr>
                <w:sz w:val="22"/>
                <w:szCs w:val="22"/>
              </w:rPr>
              <w:t>21</w:t>
            </w:r>
          </w:p>
        </w:tc>
        <w:tc>
          <w:tcPr>
            <w:tcW w:w="1512" w:type="dxa"/>
          </w:tcPr>
          <w:p w14:paraId="56BA3002" w14:textId="0FAE596A" w:rsidR="00454251" w:rsidRPr="005F2168" w:rsidRDefault="00454251" w:rsidP="00281A92">
            <w:pPr>
              <w:spacing w:before="0" w:after="0" w:line="240" w:lineRule="auto"/>
              <w:jc w:val="left"/>
              <w:rPr>
                <w:sz w:val="22"/>
                <w:szCs w:val="22"/>
              </w:rPr>
            </w:pPr>
            <w:r w:rsidRPr="005F2168">
              <w:rPr>
                <w:sz w:val="22"/>
                <w:szCs w:val="22"/>
              </w:rPr>
              <w:t>Gain: 0.51</w:t>
            </w:r>
          </w:p>
          <w:p w14:paraId="3FD098D0" w14:textId="1D4D4B99" w:rsidR="00454251" w:rsidRPr="005F2168" w:rsidRDefault="00454251" w:rsidP="00281A92">
            <w:pPr>
              <w:spacing w:before="0" w:after="0" w:line="240" w:lineRule="auto"/>
              <w:jc w:val="left"/>
              <w:rPr>
                <w:sz w:val="22"/>
                <w:szCs w:val="22"/>
              </w:rPr>
            </w:pPr>
            <w:r w:rsidRPr="005F2168">
              <w:rPr>
                <w:sz w:val="22"/>
                <w:szCs w:val="22"/>
              </w:rPr>
              <w:t>RMSE: 1.8</w:t>
            </w:r>
            <w:r w:rsidR="006866CC" w:rsidRPr="005F2168">
              <w:rPr>
                <w:sz w:val="22"/>
                <w:szCs w:val="22"/>
              </w:rPr>
              <w:t>9</w:t>
            </w:r>
          </w:p>
          <w:p w14:paraId="40834678" w14:textId="5BFA5156" w:rsidR="00454251" w:rsidRPr="005F2168" w:rsidRDefault="00454251" w:rsidP="00281A92">
            <w:pPr>
              <w:spacing w:before="0" w:after="0" w:line="240" w:lineRule="auto"/>
              <w:rPr>
                <w:sz w:val="22"/>
                <w:szCs w:val="22"/>
              </w:rPr>
            </w:pPr>
            <w:r w:rsidRPr="005F2168">
              <w:rPr>
                <w:sz w:val="22"/>
                <w:szCs w:val="22"/>
              </w:rPr>
              <w:t xml:space="preserve">Duration: </w:t>
            </w:r>
            <w:r w:rsidR="006866CC" w:rsidRPr="005F2168">
              <w:rPr>
                <w:sz w:val="22"/>
                <w:szCs w:val="22"/>
              </w:rPr>
              <w:t>265</w:t>
            </w:r>
          </w:p>
        </w:tc>
        <w:tc>
          <w:tcPr>
            <w:tcW w:w="1512" w:type="dxa"/>
          </w:tcPr>
          <w:p w14:paraId="07333A72" w14:textId="00613FA3" w:rsidR="00454251" w:rsidRPr="005F2168" w:rsidRDefault="00454251" w:rsidP="00281A92">
            <w:pPr>
              <w:spacing w:before="0" w:after="0" w:line="240" w:lineRule="auto"/>
              <w:jc w:val="left"/>
              <w:rPr>
                <w:sz w:val="22"/>
                <w:szCs w:val="22"/>
              </w:rPr>
            </w:pPr>
            <w:r w:rsidRPr="005F2168">
              <w:rPr>
                <w:sz w:val="22"/>
                <w:szCs w:val="22"/>
              </w:rPr>
              <w:t>Gain: 0.55</w:t>
            </w:r>
          </w:p>
          <w:p w14:paraId="5355DA84" w14:textId="547FAC7E" w:rsidR="00454251" w:rsidRPr="005F2168" w:rsidRDefault="00454251" w:rsidP="00281A92">
            <w:pPr>
              <w:spacing w:before="0" w:after="0" w:line="240" w:lineRule="auto"/>
              <w:jc w:val="left"/>
              <w:rPr>
                <w:sz w:val="22"/>
                <w:szCs w:val="22"/>
              </w:rPr>
            </w:pPr>
            <w:r w:rsidRPr="005F2168">
              <w:rPr>
                <w:sz w:val="22"/>
                <w:szCs w:val="22"/>
              </w:rPr>
              <w:t>RMSE: 1.</w:t>
            </w:r>
            <w:r w:rsidR="006866CC" w:rsidRPr="005F2168">
              <w:rPr>
                <w:sz w:val="22"/>
                <w:szCs w:val="22"/>
              </w:rPr>
              <w:t>79</w:t>
            </w:r>
          </w:p>
          <w:p w14:paraId="1FACCF26" w14:textId="7A05179C" w:rsidR="00454251" w:rsidRPr="005F2168" w:rsidRDefault="00454251" w:rsidP="00281A92">
            <w:pPr>
              <w:spacing w:before="0" w:after="0" w:line="240" w:lineRule="auto"/>
              <w:jc w:val="left"/>
              <w:rPr>
                <w:sz w:val="22"/>
                <w:szCs w:val="22"/>
              </w:rPr>
            </w:pPr>
            <w:r w:rsidRPr="005F2168">
              <w:rPr>
                <w:sz w:val="22"/>
                <w:szCs w:val="22"/>
              </w:rPr>
              <w:t xml:space="preserve">Duration: </w:t>
            </w:r>
            <w:r w:rsidR="006866CC" w:rsidRPr="005F2168">
              <w:rPr>
                <w:sz w:val="22"/>
                <w:szCs w:val="22"/>
              </w:rPr>
              <w:t>263</w:t>
            </w:r>
          </w:p>
        </w:tc>
      </w:tr>
      <w:tr w:rsidR="00454251" w:rsidRPr="005F2168" w14:paraId="5A962334" w14:textId="77777777" w:rsidTr="00281A92">
        <w:trPr>
          <w:trHeight w:val="280"/>
        </w:trPr>
        <w:tc>
          <w:tcPr>
            <w:tcW w:w="2552" w:type="dxa"/>
            <w:vMerge/>
          </w:tcPr>
          <w:p w14:paraId="134B110B" w14:textId="77777777" w:rsidR="00454251" w:rsidRPr="005F2168" w:rsidRDefault="00454251" w:rsidP="00281A92">
            <w:pPr>
              <w:spacing w:before="0" w:after="0" w:line="240" w:lineRule="auto"/>
              <w:jc w:val="left"/>
              <w:rPr>
                <w:b/>
                <w:bCs/>
                <w:sz w:val="22"/>
                <w:szCs w:val="22"/>
              </w:rPr>
            </w:pPr>
          </w:p>
        </w:tc>
        <w:tc>
          <w:tcPr>
            <w:tcW w:w="1984" w:type="dxa"/>
          </w:tcPr>
          <w:p w14:paraId="41D989FE" w14:textId="77777777" w:rsidR="00454251" w:rsidRPr="005F2168" w:rsidRDefault="00454251" w:rsidP="00281A92">
            <w:pPr>
              <w:spacing w:before="0" w:after="0" w:line="240" w:lineRule="auto"/>
              <w:jc w:val="left"/>
              <w:rPr>
                <w:sz w:val="22"/>
                <w:szCs w:val="22"/>
              </w:rPr>
            </w:pPr>
            <w:r w:rsidRPr="005F2168">
              <w:rPr>
                <w:sz w:val="22"/>
                <w:szCs w:val="22"/>
              </w:rPr>
              <w:t>1.00 Hz = 32°/sec velocity</w:t>
            </w:r>
          </w:p>
        </w:tc>
        <w:tc>
          <w:tcPr>
            <w:tcW w:w="1512" w:type="dxa"/>
          </w:tcPr>
          <w:p w14:paraId="518FBB8D" w14:textId="6862B1A6" w:rsidR="00454251" w:rsidRPr="005F2168" w:rsidRDefault="00454251" w:rsidP="00281A92">
            <w:pPr>
              <w:spacing w:before="0" w:after="0" w:line="240" w:lineRule="auto"/>
              <w:jc w:val="left"/>
              <w:rPr>
                <w:sz w:val="22"/>
                <w:szCs w:val="22"/>
              </w:rPr>
            </w:pPr>
            <w:r w:rsidRPr="005F2168">
              <w:rPr>
                <w:sz w:val="22"/>
                <w:szCs w:val="22"/>
              </w:rPr>
              <w:t>Gain: 0.42</w:t>
            </w:r>
          </w:p>
          <w:p w14:paraId="121AE7BE" w14:textId="77777777" w:rsidR="00454251" w:rsidRPr="005F2168" w:rsidRDefault="00454251" w:rsidP="00281A92">
            <w:pPr>
              <w:spacing w:before="0" w:after="0" w:line="240" w:lineRule="auto"/>
              <w:jc w:val="left"/>
              <w:rPr>
                <w:sz w:val="22"/>
                <w:szCs w:val="22"/>
              </w:rPr>
            </w:pPr>
            <w:r w:rsidRPr="005F2168">
              <w:rPr>
                <w:sz w:val="22"/>
                <w:szCs w:val="22"/>
              </w:rPr>
              <w:t>RMSE: 1.82</w:t>
            </w:r>
          </w:p>
          <w:p w14:paraId="2D391D7F" w14:textId="77777777" w:rsidR="00454251" w:rsidRPr="005F2168" w:rsidRDefault="00454251" w:rsidP="00281A92">
            <w:pPr>
              <w:spacing w:before="0" w:after="0" w:line="240" w:lineRule="auto"/>
              <w:jc w:val="left"/>
              <w:rPr>
                <w:sz w:val="22"/>
                <w:szCs w:val="22"/>
              </w:rPr>
            </w:pPr>
            <w:r w:rsidRPr="005F2168">
              <w:rPr>
                <w:sz w:val="22"/>
                <w:szCs w:val="22"/>
              </w:rPr>
              <w:t>Duration: 201</w:t>
            </w:r>
          </w:p>
        </w:tc>
        <w:tc>
          <w:tcPr>
            <w:tcW w:w="1512" w:type="dxa"/>
          </w:tcPr>
          <w:p w14:paraId="032D50D4" w14:textId="6351C0D9" w:rsidR="00454251" w:rsidRPr="005F2168" w:rsidRDefault="00454251" w:rsidP="00281A92">
            <w:pPr>
              <w:spacing w:before="0" w:after="0" w:line="240" w:lineRule="auto"/>
              <w:jc w:val="left"/>
              <w:rPr>
                <w:sz w:val="22"/>
                <w:szCs w:val="22"/>
              </w:rPr>
            </w:pPr>
            <w:r w:rsidRPr="005F2168">
              <w:rPr>
                <w:sz w:val="22"/>
                <w:szCs w:val="22"/>
              </w:rPr>
              <w:t>Gain: 0.37</w:t>
            </w:r>
          </w:p>
          <w:p w14:paraId="7C8297A0" w14:textId="2B50D28A" w:rsidR="00454251" w:rsidRPr="005F2168" w:rsidRDefault="00454251" w:rsidP="00281A92">
            <w:pPr>
              <w:spacing w:before="0" w:after="0" w:line="240" w:lineRule="auto"/>
              <w:jc w:val="left"/>
              <w:rPr>
                <w:sz w:val="22"/>
                <w:szCs w:val="22"/>
              </w:rPr>
            </w:pPr>
            <w:r w:rsidRPr="005F2168">
              <w:rPr>
                <w:sz w:val="22"/>
                <w:szCs w:val="22"/>
              </w:rPr>
              <w:t>RMSE: 2.</w:t>
            </w:r>
            <w:r w:rsidR="006866CC" w:rsidRPr="005F2168">
              <w:rPr>
                <w:sz w:val="22"/>
                <w:szCs w:val="22"/>
              </w:rPr>
              <w:t>16</w:t>
            </w:r>
          </w:p>
          <w:p w14:paraId="38FFC153" w14:textId="4D2DA1C6" w:rsidR="00454251" w:rsidRPr="005F2168" w:rsidRDefault="00454251" w:rsidP="00281A92">
            <w:pPr>
              <w:spacing w:before="0" w:after="0" w:line="240" w:lineRule="auto"/>
              <w:rPr>
                <w:sz w:val="22"/>
                <w:szCs w:val="22"/>
              </w:rPr>
            </w:pPr>
            <w:r w:rsidRPr="005F2168">
              <w:rPr>
                <w:sz w:val="22"/>
                <w:szCs w:val="22"/>
              </w:rPr>
              <w:t xml:space="preserve">Duration: </w:t>
            </w:r>
            <w:r w:rsidR="006866CC" w:rsidRPr="005F2168">
              <w:rPr>
                <w:sz w:val="22"/>
                <w:szCs w:val="22"/>
              </w:rPr>
              <w:t>231</w:t>
            </w:r>
          </w:p>
        </w:tc>
        <w:tc>
          <w:tcPr>
            <w:tcW w:w="1512" w:type="dxa"/>
          </w:tcPr>
          <w:p w14:paraId="46A862CC" w14:textId="496A3B78" w:rsidR="00454251" w:rsidRPr="005F2168" w:rsidRDefault="00454251" w:rsidP="00281A92">
            <w:pPr>
              <w:spacing w:before="0" w:after="0" w:line="240" w:lineRule="auto"/>
              <w:jc w:val="left"/>
              <w:rPr>
                <w:sz w:val="22"/>
                <w:szCs w:val="22"/>
              </w:rPr>
            </w:pPr>
            <w:r w:rsidRPr="005F2168">
              <w:rPr>
                <w:sz w:val="22"/>
                <w:szCs w:val="22"/>
              </w:rPr>
              <w:t>Gain: 0.40</w:t>
            </w:r>
          </w:p>
          <w:p w14:paraId="44E2F730" w14:textId="1EC6C439" w:rsidR="00454251" w:rsidRPr="005F2168" w:rsidRDefault="00454251" w:rsidP="00281A92">
            <w:pPr>
              <w:spacing w:before="0" w:after="0" w:line="240" w:lineRule="auto"/>
              <w:jc w:val="left"/>
              <w:rPr>
                <w:sz w:val="22"/>
                <w:szCs w:val="22"/>
              </w:rPr>
            </w:pPr>
            <w:r w:rsidRPr="005F2168">
              <w:rPr>
                <w:sz w:val="22"/>
                <w:szCs w:val="22"/>
              </w:rPr>
              <w:t>RMSE: 2.</w:t>
            </w:r>
            <w:r w:rsidR="006866CC" w:rsidRPr="005F2168">
              <w:rPr>
                <w:sz w:val="22"/>
                <w:szCs w:val="22"/>
              </w:rPr>
              <w:t>08</w:t>
            </w:r>
          </w:p>
          <w:p w14:paraId="5231C66D" w14:textId="19F2B637" w:rsidR="00454251" w:rsidRPr="005F2168" w:rsidRDefault="00454251" w:rsidP="00281A92">
            <w:pPr>
              <w:spacing w:before="0" w:after="0" w:line="240" w:lineRule="auto"/>
              <w:jc w:val="left"/>
              <w:rPr>
                <w:sz w:val="22"/>
                <w:szCs w:val="22"/>
              </w:rPr>
            </w:pPr>
            <w:r w:rsidRPr="005F2168">
              <w:rPr>
                <w:sz w:val="22"/>
                <w:szCs w:val="22"/>
              </w:rPr>
              <w:t xml:space="preserve">Duration: </w:t>
            </w:r>
            <w:r w:rsidR="006866CC" w:rsidRPr="005F2168">
              <w:rPr>
                <w:sz w:val="22"/>
                <w:szCs w:val="22"/>
              </w:rPr>
              <w:t>231</w:t>
            </w:r>
          </w:p>
        </w:tc>
      </w:tr>
      <w:tr w:rsidR="00454251" w:rsidRPr="005F2168" w14:paraId="6ADA49E2" w14:textId="77777777" w:rsidTr="00281A92">
        <w:trPr>
          <w:trHeight w:val="339"/>
        </w:trPr>
        <w:tc>
          <w:tcPr>
            <w:tcW w:w="2552" w:type="dxa"/>
            <w:vMerge w:val="restart"/>
          </w:tcPr>
          <w:p w14:paraId="4CD17967" w14:textId="77777777" w:rsidR="00454251" w:rsidRPr="005F2168" w:rsidRDefault="00454251" w:rsidP="00281A92">
            <w:pPr>
              <w:spacing w:before="0" w:after="0" w:line="240" w:lineRule="auto"/>
              <w:jc w:val="left"/>
              <w:rPr>
                <w:b/>
                <w:bCs/>
                <w:sz w:val="22"/>
                <w:szCs w:val="22"/>
              </w:rPr>
            </w:pPr>
            <w:r w:rsidRPr="005F2168">
              <w:rPr>
                <w:b/>
                <w:bCs/>
                <w:sz w:val="22"/>
                <w:szCs w:val="22"/>
              </w:rPr>
              <w:t xml:space="preserve">Horizontal saccade </w:t>
            </w:r>
          </w:p>
          <w:p w14:paraId="1B2B3365" w14:textId="77777777" w:rsidR="00454251" w:rsidRPr="005F2168" w:rsidRDefault="00454251" w:rsidP="00281A92">
            <w:pPr>
              <w:pStyle w:val="ListParagraph"/>
              <w:spacing w:before="0" w:after="0" w:line="240" w:lineRule="auto"/>
              <w:ind w:left="179"/>
              <w:jc w:val="left"/>
              <w:rPr>
                <w:b/>
                <w:bCs/>
                <w:sz w:val="22"/>
                <w:szCs w:val="22"/>
              </w:rPr>
            </w:pPr>
          </w:p>
        </w:tc>
        <w:tc>
          <w:tcPr>
            <w:tcW w:w="1984" w:type="dxa"/>
          </w:tcPr>
          <w:p w14:paraId="635F6E66" w14:textId="77777777" w:rsidR="00454251" w:rsidRPr="005F2168" w:rsidRDefault="00454251" w:rsidP="00281A92">
            <w:pPr>
              <w:spacing w:before="0" w:after="0" w:line="240" w:lineRule="auto"/>
              <w:jc w:val="left"/>
              <w:rPr>
                <w:sz w:val="22"/>
                <w:szCs w:val="22"/>
              </w:rPr>
            </w:pPr>
            <w:r w:rsidRPr="005F2168">
              <w:rPr>
                <w:sz w:val="22"/>
                <w:szCs w:val="22"/>
              </w:rPr>
              <w:t>-15° L</w:t>
            </w:r>
          </w:p>
        </w:tc>
        <w:tc>
          <w:tcPr>
            <w:tcW w:w="1512" w:type="dxa"/>
          </w:tcPr>
          <w:p w14:paraId="5F1B2E8C" w14:textId="344F9CAA" w:rsidR="00454251" w:rsidRPr="005F2168" w:rsidRDefault="00454251" w:rsidP="00281A92">
            <w:pPr>
              <w:spacing w:before="0" w:after="0" w:line="240" w:lineRule="auto"/>
              <w:jc w:val="left"/>
              <w:rPr>
                <w:sz w:val="22"/>
                <w:szCs w:val="22"/>
              </w:rPr>
            </w:pPr>
            <w:r w:rsidRPr="005F2168">
              <w:rPr>
                <w:sz w:val="22"/>
                <w:szCs w:val="22"/>
              </w:rPr>
              <w:t>Latency: 19</w:t>
            </w:r>
            <w:r w:rsidR="00890A0F" w:rsidRPr="005F2168">
              <w:rPr>
                <w:sz w:val="22"/>
                <w:szCs w:val="22"/>
              </w:rPr>
              <w:t>3</w:t>
            </w:r>
          </w:p>
          <w:p w14:paraId="30D5957D" w14:textId="4C136605" w:rsidR="00454251" w:rsidRPr="005F2168" w:rsidRDefault="00454251" w:rsidP="00281A92">
            <w:pPr>
              <w:spacing w:before="0" w:after="0" w:line="240" w:lineRule="auto"/>
              <w:jc w:val="left"/>
              <w:rPr>
                <w:sz w:val="22"/>
                <w:szCs w:val="22"/>
              </w:rPr>
            </w:pPr>
            <w:r w:rsidRPr="005F2168">
              <w:rPr>
                <w:sz w:val="22"/>
                <w:szCs w:val="22"/>
              </w:rPr>
              <w:t>PV: 3</w:t>
            </w:r>
            <w:r w:rsidR="001B162E" w:rsidRPr="005F2168">
              <w:rPr>
                <w:sz w:val="22"/>
                <w:szCs w:val="22"/>
              </w:rPr>
              <w:t>70</w:t>
            </w:r>
          </w:p>
          <w:p w14:paraId="0CD4B414" w14:textId="77777777" w:rsidR="00454251" w:rsidRPr="005F2168" w:rsidRDefault="00454251" w:rsidP="00281A92">
            <w:pPr>
              <w:spacing w:before="0" w:after="0" w:line="240" w:lineRule="auto"/>
              <w:jc w:val="left"/>
              <w:rPr>
                <w:sz w:val="22"/>
                <w:szCs w:val="22"/>
              </w:rPr>
            </w:pPr>
            <w:r w:rsidRPr="005F2168">
              <w:rPr>
                <w:sz w:val="22"/>
                <w:szCs w:val="22"/>
              </w:rPr>
              <w:t>Gain: 0.89</w:t>
            </w:r>
          </w:p>
        </w:tc>
        <w:tc>
          <w:tcPr>
            <w:tcW w:w="1512" w:type="dxa"/>
          </w:tcPr>
          <w:p w14:paraId="570D2AAC" w14:textId="1986F65E" w:rsidR="00454251" w:rsidRPr="005F2168" w:rsidRDefault="00454251" w:rsidP="00281A92">
            <w:pPr>
              <w:spacing w:before="0" w:after="0" w:line="240" w:lineRule="auto"/>
              <w:jc w:val="left"/>
              <w:rPr>
                <w:sz w:val="22"/>
                <w:szCs w:val="22"/>
              </w:rPr>
            </w:pPr>
            <w:r w:rsidRPr="005F2168">
              <w:rPr>
                <w:sz w:val="22"/>
                <w:szCs w:val="22"/>
              </w:rPr>
              <w:t>Latency: 21</w:t>
            </w:r>
            <w:r w:rsidR="00890A0F" w:rsidRPr="005F2168">
              <w:rPr>
                <w:sz w:val="22"/>
                <w:szCs w:val="22"/>
              </w:rPr>
              <w:t>8</w:t>
            </w:r>
          </w:p>
          <w:p w14:paraId="2F2AE64C" w14:textId="62B32FFD" w:rsidR="00454251" w:rsidRPr="005F2168" w:rsidRDefault="00454251" w:rsidP="00281A92">
            <w:pPr>
              <w:spacing w:before="0" w:after="0" w:line="240" w:lineRule="auto"/>
              <w:jc w:val="left"/>
              <w:rPr>
                <w:sz w:val="22"/>
                <w:szCs w:val="22"/>
              </w:rPr>
            </w:pPr>
            <w:r w:rsidRPr="005F2168">
              <w:rPr>
                <w:sz w:val="22"/>
                <w:szCs w:val="22"/>
              </w:rPr>
              <w:t>PV: 4</w:t>
            </w:r>
            <w:r w:rsidR="001B162E" w:rsidRPr="005F2168">
              <w:rPr>
                <w:sz w:val="22"/>
                <w:szCs w:val="22"/>
              </w:rPr>
              <w:t>11</w:t>
            </w:r>
          </w:p>
          <w:p w14:paraId="1BD1B4F9" w14:textId="5C24A415" w:rsidR="00454251" w:rsidRPr="005F2168" w:rsidRDefault="00454251" w:rsidP="00281A92">
            <w:pPr>
              <w:spacing w:before="0" w:after="0" w:line="240" w:lineRule="auto"/>
              <w:rPr>
                <w:sz w:val="22"/>
                <w:szCs w:val="22"/>
              </w:rPr>
            </w:pPr>
            <w:r w:rsidRPr="005F2168">
              <w:rPr>
                <w:sz w:val="22"/>
                <w:szCs w:val="22"/>
              </w:rPr>
              <w:t>Gain: 0.8</w:t>
            </w:r>
            <w:r w:rsidR="007F2404" w:rsidRPr="005F2168">
              <w:rPr>
                <w:sz w:val="22"/>
                <w:szCs w:val="22"/>
              </w:rPr>
              <w:t>4</w:t>
            </w:r>
          </w:p>
        </w:tc>
        <w:tc>
          <w:tcPr>
            <w:tcW w:w="1512" w:type="dxa"/>
          </w:tcPr>
          <w:p w14:paraId="5718733F" w14:textId="293458D7" w:rsidR="00454251" w:rsidRPr="005F2168" w:rsidRDefault="00454251" w:rsidP="00281A92">
            <w:pPr>
              <w:spacing w:before="0" w:after="0" w:line="240" w:lineRule="auto"/>
              <w:jc w:val="left"/>
              <w:rPr>
                <w:sz w:val="22"/>
                <w:szCs w:val="22"/>
              </w:rPr>
            </w:pPr>
            <w:r w:rsidRPr="005F2168">
              <w:rPr>
                <w:sz w:val="22"/>
                <w:szCs w:val="22"/>
              </w:rPr>
              <w:t>Latency: 23</w:t>
            </w:r>
            <w:r w:rsidR="00890A0F" w:rsidRPr="005F2168">
              <w:rPr>
                <w:sz w:val="22"/>
                <w:szCs w:val="22"/>
              </w:rPr>
              <w:t>2</w:t>
            </w:r>
          </w:p>
          <w:p w14:paraId="600A19F7" w14:textId="3BBC50B5" w:rsidR="00454251" w:rsidRPr="005F2168" w:rsidRDefault="00454251" w:rsidP="00281A92">
            <w:pPr>
              <w:spacing w:before="0" w:after="0" w:line="240" w:lineRule="auto"/>
              <w:jc w:val="left"/>
              <w:rPr>
                <w:sz w:val="22"/>
                <w:szCs w:val="22"/>
              </w:rPr>
            </w:pPr>
            <w:r w:rsidRPr="005F2168">
              <w:rPr>
                <w:sz w:val="22"/>
                <w:szCs w:val="22"/>
              </w:rPr>
              <w:t>PV: 4</w:t>
            </w:r>
            <w:r w:rsidR="001B162E" w:rsidRPr="005F2168">
              <w:rPr>
                <w:sz w:val="22"/>
                <w:szCs w:val="22"/>
              </w:rPr>
              <w:t>35</w:t>
            </w:r>
          </w:p>
          <w:p w14:paraId="7E931003" w14:textId="7766E237" w:rsidR="00454251" w:rsidRPr="005F2168" w:rsidRDefault="00454251" w:rsidP="00281A92">
            <w:pPr>
              <w:spacing w:before="0" w:after="0" w:line="240" w:lineRule="auto"/>
              <w:jc w:val="left"/>
              <w:rPr>
                <w:sz w:val="22"/>
                <w:szCs w:val="22"/>
              </w:rPr>
            </w:pPr>
            <w:r w:rsidRPr="005F2168">
              <w:rPr>
                <w:sz w:val="22"/>
                <w:szCs w:val="22"/>
              </w:rPr>
              <w:t xml:space="preserve">Gain: </w:t>
            </w:r>
            <w:r w:rsidR="007F2404" w:rsidRPr="005F2168">
              <w:rPr>
                <w:sz w:val="22"/>
                <w:szCs w:val="22"/>
              </w:rPr>
              <w:t>0.84</w:t>
            </w:r>
          </w:p>
        </w:tc>
      </w:tr>
      <w:tr w:rsidR="00454251" w:rsidRPr="005F2168" w14:paraId="284FD081" w14:textId="77777777" w:rsidTr="00281A92">
        <w:trPr>
          <w:trHeight w:val="339"/>
        </w:trPr>
        <w:tc>
          <w:tcPr>
            <w:tcW w:w="2552" w:type="dxa"/>
            <w:vMerge/>
          </w:tcPr>
          <w:p w14:paraId="53515A9D" w14:textId="77777777" w:rsidR="00454251" w:rsidRPr="005F2168" w:rsidRDefault="00454251" w:rsidP="00281A92">
            <w:pPr>
              <w:spacing w:before="0" w:after="0" w:line="240" w:lineRule="auto"/>
              <w:jc w:val="left"/>
              <w:rPr>
                <w:b/>
                <w:bCs/>
                <w:sz w:val="22"/>
                <w:szCs w:val="22"/>
              </w:rPr>
            </w:pPr>
          </w:p>
        </w:tc>
        <w:tc>
          <w:tcPr>
            <w:tcW w:w="1984" w:type="dxa"/>
          </w:tcPr>
          <w:p w14:paraId="730E0815" w14:textId="77777777" w:rsidR="00454251" w:rsidRPr="005F2168" w:rsidRDefault="00454251" w:rsidP="00281A92">
            <w:pPr>
              <w:spacing w:before="0" w:after="0" w:line="240" w:lineRule="auto"/>
              <w:jc w:val="left"/>
              <w:rPr>
                <w:sz w:val="22"/>
                <w:szCs w:val="22"/>
              </w:rPr>
            </w:pPr>
            <w:r w:rsidRPr="005F2168">
              <w:rPr>
                <w:sz w:val="22"/>
                <w:szCs w:val="22"/>
              </w:rPr>
              <w:t>-10° L</w:t>
            </w:r>
          </w:p>
        </w:tc>
        <w:tc>
          <w:tcPr>
            <w:tcW w:w="1512" w:type="dxa"/>
          </w:tcPr>
          <w:p w14:paraId="7C58FFAB" w14:textId="50585F5F" w:rsidR="00454251" w:rsidRPr="005F2168" w:rsidRDefault="00454251" w:rsidP="00281A92">
            <w:pPr>
              <w:spacing w:before="0" w:after="0" w:line="240" w:lineRule="auto"/>
              <w:jc w:val="left"/>
              <w:rPr>
                <w:sz w:val="22"/>
                <w:szCs w:val="22"/>
              </w:rPr>
            </w:pPr>
            <w:r w:rsidRPr="005F2168">
              <w:rPr>
                <w:sz w:val="22"/>
                <w:szCs w:val="22"/>
              </w:rPr>
              <w:t>Latency: 16</w:t>
            </w:r>
            <w:r w:rsidR="00890A0F" w:rsidRPr="005F2168">
              <w:rPr>
                <w:sz w:val="22"/>
                <w:szCs w:val="22"/>
              </w:rPr>
              <w:t>8</w:t>
            </w:r>
          </w:p>
          <w:p w14:paraId="7D552EA4" w14:textId="605D9FC7" w:rsidR="00454251" w:rsidRPr="005F2168" w:rsidRDefault="00454251" w:rsidP="00281A92">
            <w:pPr>
              <w:spacing w:before="0" w:after="0" w:line="240" w:lineRule="auto"/>
              <w:jc w:val="left"/>
              <w:rPr>
                <w:sz w:val="22"/>
                <w:szCs w:val="22"/>
              </w:rPr>
            </w:pPr>
            <w:r w:rsidRPr="005F2168">
              <w:rPr>
                <w:sz w:val="22"/>
                <w:szCs w:val="22"/>
              </w:rPr>
              <w:t>PV: 32</w:t>
            </w:r>
            <w:r w:rsidR="001B162E" w:rsidRPr="005F2168">
              <w:rPr>
                <w:sz w:val="22"/>
                <w:szCs w:val="22"/>
              </w:rPr>
              <w:t>7</w:t>
            </w:r>
          </w:p>
          <w:p w14:paraId="47EB3C98" w14:textId="795F22C1" w:rsidR="00454251" w:rsidRPr="005F2168" w:rsidRDefault="00454251" w:rsidP="00281A92">
            <w:pPr>
              <w:spacing w:before="0" w:after="0" w:line="240" w:lineRule="auto"/>
              <w:jc w:val="left"/>
              <w:rPr>
                <w:sz w:val="22"/>
                <w:szCs w:val="22"/>
              </w:rPr>
            </w:pPr>
            <w:r w:rsidRPr="005F2168">
              <w:rPr>
                <w:sz w:val="22"/>
                <w:szCs w:val="22"/>
              </w:rPr>
              <w:t>Gain: 0.9</w:t>
            </w:r>
            <w:r w:rsidR="001B162E" w:rsidRPr="005F2168">
              <w:rPr>
                <w:sz w:val="22"/>
                <w:szCs w:val="22"/>
              </w:rPr>
              <w:t>1</w:t>
            </w:r>
          </w:p>
        </w:tc>
        <w:tc>
          <w:tcPr>
            <w:tcW w:w="1512" w:type="dxa"/>
          </w:tcPr>
          <w:p w14:paraId="2680662B" w14:textId="59FC9094" w:rsidR="00454251" w:rsidRPr="005F2168" w:rsidRDefault="00454251" w:rsidP="00281A92">
            <w:pPr>
              <w:spacing w:before="0" w:after="0" w:line="240" w:lineRule="auto"/>
              <w:jc w:val="left"/>
              <w:rPr>
                <w:sz w:val="22"/>
                <w:szCs w:val="22"/>
              </w:rPr>
            </w:pPr>
            <w:r w:rsidRPr="005F2168">
              <w:rPr>
                <w:sz w:val="22"/>
                <w:szCs w:val="22"/>
              </w:rPr>
              <w:t>Latency: 18</w:t>
            </w:r>
            <w:r w:rsidR="00890A0F" w:rsidRPr="005F2168">
              <w:rPr>
                <w:sz w:val="22"/>
                <w:szCs w:val="22"/>
              </w:rPr>
              <w:t>6</w:t>
            </w:r>
          </w:p>
          <w:p w14:paraId="26DC3605" w14:textId="7BB9B416" w:rsidR="00454251" w:rsidRPr="005F2168" w:rsidRDefault="00454251" w:rsidP="00281A92">
            <w:pPr>
              <w:spacing w:before="0" w:after="0" w:line="240" w:lineRule="auto"/>
              <w:jc w:val="left"/>
              <w:rPr>
                <w:sz w:val="22"/>
                <w:szCs w:val="22"/>
              </w:rPr>
            </w:pPr>
            <w:r w:rsidRPr="005F2168">
              <w:rPr>
                <w:sz w:val="22"/>
                <w:szCs w:val="22"/>
              </w:rPr>
              <w:t>PV: 36</w:t>
            </w:r>
            <w:r w:rsidR="001B162E" w:rsidRPr="005F2168">
              <w:rPr>
                <w:sz w:val="22"/>
                <w:szCs w:val="22"/>
              </w:rPr>
              <w:t>1</w:t>
            </w:r>
          </w:p>
          <w:p w14:paraId="691132B5" w14:textId="50A29E1F" w:rsidR="00454251" w:rsidRPr="005F2168" w:rsidRDefault="00454251" w:rsidP="00281A92">
            <w:pPr>
              <w:spacing w:before="0" w:after="0" w:line="240" w:lineRule="auto"/>
              <w:rPr>
                <w:sz w:val="22"/>
                <w:szCs w:val="22"/>
              </w:rPr>
            </w:pPr>
            <w:r w:rsidRPr="005F2168">
              <w:rPr>
                <w:sz w:val="22"/>
                <w:szCs w:val="22"/>
              </w:rPr>
              <w:t>Gain: 0.9</w:t>
            </w:r>
            <w:r w:rsidR="007F2404" w:rsidRPr="005F2168">
              <w:rPr>
                <w:sz w:val="22"/>
                <w:szCs w:val="22"/>
              </w:rPr>
              <w:t>1</w:t>
            </w:r>
          </w:p>
        </w:tc>
        <w:tc>
          <w:tcPr>
            <w:tcW w:w="1512" w:type="dxa"/>
          </w:tcPr>
          <w:p w14:paraId="53D3423D" w14:textId="4770A28D" w:rsidR="00454251" w:rsidRPr="005F2168" w:rsidRDefault="00454251" w:rsidP="00281A92">
            <w:pPr>
              <w:spacing w:before="0" w:after="0" w:line="240" w:lineRule="auto"/>
              <w:jc w:val="left"/>
              <w:rPr>
                <w:sz w:val="22"/>
                <w:szCs w:val="22"/>
              </w:rPr>
            </w:pPr>
            <w:r w:rsidRPr="005F2168">
              <w:rPr>
                <w:sz w:val="22"/>
                <w:szCs w:val="22"/>
              </w:rPr>
              <w:t>Latency: 19</w:t>
            </w:r>
            <w:r w:rsidR="00890A0F" w:rsidRPr="005F2168">
              <w:rPr>
                <w:sz w:val="22"/>
                <w:szCs w:val="22"/>
              </w:rPr>
              <w:t>9</w:t>
            </w:r>
          </w:p>
          <w:p w14:paraId="6AA0FAFE" w14:textId="3E2E133C" w:rsidR="00454251" w:rsidRPr="005F2168" w:rsidRDefault="00454251" w:rsidP="00281A92">
            <w:pPr>
              <w:spacing w:before="0" w:after="0" w:line="240" w:lineRule="auto"/>
              <w:jc w:val="left"/>
              <w:rPr>
                <w:sz w:val="22"/>
                <w:szCs w:val="22"/>
              </w:rPr>
            </w:pPr>
            <w:r w:rsidRPr="005F2168">
              <w:rPr>
                <w:sz w:val="22"/>
                <w:szCs w:val="22"/>
              </w:rPr>
              <w:t>PV: 37</w:t>
            </w:r>
            <w:r w:rsidR="001B162E" w:rsidRPr="005F2168">
              <w:rPr>
                <w:sz w:val="22"/>
                <w:szCs w:val="22"/>
              </w:rPr>
              <w:t>3</w:t>
            </w:r>
          </w:p>
          <w:p w14:paraId="3CC9E480" w14:textId="14379B8C" w:rsidR="00454251" w:rsidRPr="005F2168" w:rsidRDefault="00454251" w:rsidP="00281A92">
            <w:pPr>
              <w:spacing w:before="0" w:after="0" w:line="240" w:lineRule="auto"/>
              <w:jc w:val="left"/>
              <w:rPr>
                <w:sz w:val="22"/>
                <w:szCs w:val="22"/>
              </w:rPr>
            </w:pPr>
            <w:r w:rsidRPr="005F2168">
              <w:rPr>
                <w:sz w:val="22"/>
                <w:szCs w:val="22"/>
              </w:rPr>
              <w:t xml:space="preserve">Gain: </w:t>
            </w:r>
            <w:r w:rsidR="007F2404" w:rsidRPr="005F2168">
              <w:rPr>
                <w:sz w:val="22"/>
                <w:szCs w:val="22"/>
              </w:rPr>
              <w:t>0.89</w:t>
            </w:r>
          </w:p>
        </w:tc>
      </w:tr>
      <w:tr w:rsidR="00454251" w:rsidRPr="005F2168" w14:paraId="21053AF5" w14:textId="77777777" w:rsidTr="00281A92">
        <w:trPr>
          <w:trHeight w:val="338"/>
        </w:trPr>
        <w:tc>
          <w:tcPr>
            <w:tcW w:w="2552" w:type="dxa"/>
            <w:vMerge/>
          </w:tcPr>
          <w:p w14:paraId="18FE9BB7" w14:textId="77777777" w:rsidR="00454251" w:rsidRPr="005F2168" w:rsidRDefault="00454251" w:rsidP="00281A92">
            <w:pPr>
              <w:spacing w:before="0" w:after="0" w:line="240" w:lineRule="auto"/>
              <w:jc w:val="left"/>
              <w:rPr>
                <w:b/>
                <w:bCs/>
                <w:sz w:val="22"/>
                <w:szCs w:val="22"/>
              </w:rPr>
            </w:pPr>
          </w:p>
        </w:tc>
        <w:tc>
          <w:tcPr>
            <w:tcW w:w="1984" w:type="dxa"/>
          </w:tcPr>
          <w:p w14:paraId="7AA86D74" w14:textId="77777777" w:rsidR="00454251" w:rsidRPr="005F2168" w:rsidRDefault="00454251" w:rsidP="00281A92">
            <w:pPr>
              <w:spacing w:before="0" w:after="0" w:line="240" w:lineRule="auto"/>
              <w:jc w:val="left"/>
              <w:rPr>
                <w:sz w:val="22"/>
                <w:szCs w:val="22"/>
              </w:rPr>
            </w:pPr>
            <w:r w:rsidRPr="005F2168">
              <w:rPr>
                <w:sz w:val="22"/>
                <w:szCs w:val="22"/>
              </w:rPr>
              <w:t>-5° L</w:t>
            </w:r>
          </w:p>
        </w:tc>
        <w:tc>
          <w:tcPr>
            <w:tcW w:w="1512" w:type="dxa"/>
          </w:tcPr>
          <w:p w14:paraId="2A7C0144" w14:textId="124C51B6" w:rsidR="00454251" w:rsidRPr="005F2168" w:rsidRDefault="00454251" w:rsidP="00281A92">
            <w:pPr>
              <w:spacing w:before="0" w:after="0" w:line="240" w:lineRule="auto"/>
              <w:jc w:val="left"/>
              <w:rPr>
                <w:sz w:val="22"/>
                <w:szCs w:val="22"/>
              </w:rPr>
            </w:pPr>
            <w:r w:rsidRPr="005F2168">
              <w:rPr>
                <w:sz w:val="22"/>
                <w:szCs w:val="22"/>
              </w:rPr>
              <w:t>Latency: 16</w:t>
            </w:r>
            <w:r w:rsidR="00890A0F" w:rsidRPr="005F2168">
              <w:rPr>
                <w:sz w:val="22"/>
                <w:szCs w:val="22"/>
              </w:rPr>
              <w:t>2</w:t>
            </w:r>
          </w:p>
          <w:p w14:paraId="72494692" w14:textId="679FAD06" w:rsidR="00454251" w:rsidRPr="005F2168" w:rsidRDefault="00454251" w:rsidP="00281A92">
            <w:pPr>
              <w:spacing w:before="0" w:after="0" w:line="240" w:lineRule="auto"/>
              <w:jc w:val="left"/>
              <w:rPr>
                <w:sz w:val="22"/>
                <w:szCs w:val="22"/>
              </w:rPr>
            </w:pPr>
            <w:r w:rsidRPr="005F2168">
              <w:rPr>
                <w:sz w:val="22"/>
                <w:szCs w:val="22"/>
              </w:rPr>
              <w:t>PV: 24</w:t>
            </w:r>
            <w:r w:rsidR="001B162E" w:rsidRPr="005F2168">
              <w:rPr>
                <w:sz w:val="22"/>
                <w:szCs w:val="22"/>
              </w:rPr>
              <w:t>3</w:t>
            </w:r>
          </w:p>
          <w:p w14:paraId="00254A13" w14:textId="66A8E3F8" w:rsidR="00454251" w:rsidRPr="005F2168" w:rsidRDefault="00454251" w:rsidP="00281A92">
            <w:pPr>
              <w:spacing w:before="0" w:after="0" w:line="240" w:lineRule="auto"/>
              <w:jc w:val="left"/>
              <w:rPr>
                <w:sz w:val="22"/>
                <w:szCs w:val="22"/>
              </w:rPr>
            </w:pPr>
            <w:r w:rsidRPr="005F2168">
              <w:rPr>
                <w:sz w:val="22"/>
                <w:szCs w:val="22"/>
              </w:rPr>
              <w:t>Gain: 0.9</w:t>
            </w:r>
            <w:r w:rsidR="007F2404" w:rsidRPr="005F2168">
              <w:rPr>
                <w:sz w:val="22"/>
                <w:szCs w:val="22"/>
              </w:rPr>
              <w:t>4</w:t>
            </w:r>
          </w:p>
        </w:tc>
        <w:tc>
          <w:tcPr>
            <w:tcW w:w="1512" w:type="dxa"/>
          </w:tcPr>
          <w:p w14:paraId="31977845" w14:textId="64700688" w:rsidR="00454251" w:rsidRPr="005F2168" w:rsidRDefault="00454251" w:rsidP="00281A92">
            <w:pPr>
              <w:spacing w:before="0" w:after="0" w:line="240" w:lineRule="auto"/>
              <w:jc w:val="left"/>
              <w:rPr>
                <w:sz w:val="22"/>
                <w:szCs w:val="22"/>
              </w:rPr>
            </w:pPr>
            <w:r w:rsidRPr="005F2168">
              <w:rPr>
                <w:sz w:val="22"/>
                <w:szCs w:val="22"/>
              </w:rPr>
              <w:t>Latency: 17</w:t>
            </w:r>
            <w:r w:rsidR="00890A0F" w:rsidRPr="005F2168">
              <w:rPr>
                <w:sz w:val="22"/>
                <w:szCs w:val="22"/>
              </w:rPr>
              <w:t>8</w:t>
            </w:r>
          </w:p>
          <w:p w14:paraId="1AEDBFD8" w14:textId="2AA68178" w:rsidR="00454251" w:rsidRPr="005F2168" w:rsidRDefault="00454251" w:rsidP="00281A92">
            <w:pPr>
              <w:spacing w:before="0" w:after="0" w:line="240" w:lineRule="auto"/>
              <w:jc w:val="left"/>
              <w:rPr>
                <w:sz w:val="22"/>
                <w:szCs w:val="22"/>
              </w:rPr>
            </w:pPr>
            <w:r w:rsidRPr="005F2168">
              <w:rPr>
                <w:sz w:val="22"/>
                <w:szCs w:val="22"/>
              </w:rPr>
              <w:t>PV: 27</w:t>
            </w:r>
            <w:r w:rsidR="001B162E" w:rsidRPr="005F2168">
              <w:rPr>
                <w:sz w:val="22"/>
                <w:szCs w:val="22"/>
              </w:rPr>
              <w:t>0</w:t>
            </w:r>
          </w:p>
          <w:p w14:paraId="2DE57BFD" w14:textId="6E1473A8" w:rsidR="00454251" w:rsidRPr="005F2168" w:rsidRDefault="00454251" w:rsidP="00281A92">
            <w:pPr>
              <w:spacing w:before="0" w:after="0" w:line="240" w:lineRule="auto"/>
              <w:rPr>
                <w:sz w:val="22"/>
                <w:szCs w:val="22"/>
              </w:rPr>
            </w:pPr>
            <w:r w:rsidRPr="005F2168">
              <w:rPr>
                <w:sz w:val="22"/>
                <w:szCs w:val="22"/>
              </w:rPr>
              <w:t>Gain: 0.9</w:t>
            </w:r>
            <w:r w:rsidR="007F2404" w:rsidRPr="005F2168">
              <w:rPr>
                <w:sz w:val="22"/>
                <w:szCs w:val="22"/>
              </w:rPr>
              <w:t>2</w:t>
            </w:r>
          </w:p>
        </w:tc>
        <w:tc>
          <w:tcPr>
            <w:tcW w:w="1512" w:type="dxa"/>
          </w:tcPr>
          <w:p w14:paraId="57D26D6E" w14:textId="36219694" w:rsidR="00454251" w:rsidRPr="005F2168" w:rsidRDefault="00454251" w:rsidP="00281A92">
            <w:pPr>
              <w:spacing w:before="0" w:after="0" w:line="240" w:lineRule="auto"/>
              <w:jc w:val="left"/>
              <w:rPr>
                <w:sz w:val="22"/>
                <w:szCs w:val="22"/>
              </w:rPr>
            </w:pPr>
            <w:r w:rsidRPr="005F2168">
              <w:rPr>
                <w:sz w:val="22"/>
                <w:szCs w:val="22"/>
              </w:rPr>
              <w:t>Latency: 19</w:t>
            </w:r>
            <w:r w:rsidR="00890A0F" w:rsidRPr="005F2168">
              <w:rPr>
                <w:sz w:val="22"/>
                <w:szCs w:val="22"/>
              </w:rPr>
              <w:t>2</w:t>
            </w:r>
          </w:p>
          <w:p w14:paraId="3EBCEA9B" w14:textId="24988969" w:rsidR="00454251" w:rsidRPr="005F2168" w:rsidRDefault="00454251" w:rsidP="00281A92">
            <w:pPr>
              <w:spacing w:before="0" w:after="0" w:line="240" w:lineRule="auto"/>
              <w:jc w:val="left"/>
              <w:rPr>
                <w:sz w:val="22"/>
                <w:szCs w:val="22"/>
              </w:rPr>
            </w:pPr>
            <w:r w:rsidRPr="005F2168">
              <w:rPr>
                <w:sz w:val="22"/>
                <w:szCs w:val="22"/>
              </w:rPr>
              <w:t>PV: 28</w:t>
            </w:r>
            <w:r w:rsidR="001B162E" w:rsidRPr="005F2168">
              <w:rPr>
                <w:sz w:val="22"/>
                <w:szCs w:val="22"/>
              </w:rPr>
              <w:t>7</w:t>
            </w:r>
          </w:p>
          <w:p w14:paraId="70810762" w14:textId="16D230E9" w:rsidR="00454251" w:rsidRPr="005F2168" w:rsidRDefault="00454251" w:rsidP="00281A92">
            <w:pPr>
              <w:spacing w:before="0" w:after="0" w:line="240" w:lineRule="auto"/>
              <w:jc w:val="left"/>
              <w:rPr>
                <w:sz w:val="22"/>
                <w:szCs w:val="22"/>
              </w:rPr>
            </w:pPr>
            <w:r w:rsidRPr="005F2168">
              <w:rPr>
                <w:sz w:val="22"/>
                <w:szCs w:val="22"/>
              </w:rPr>
              <w:t xml:space="preserve">Gain: </w:t>
            </w:r>
            <w:r w:rsidR="007F2404" w:rsidRPr="005F2168">
              <w:rPr>
                <w:sz w:val="22"/>
                <w:szCs w:val="22"/>
              </w:rPr>
              <w:t>0.95</w:t>
            </w:r>
          </w:p>
        </w:tc>
      </w:tr>
      <w:tr w:rsidR="00454251" w:rsidRPr="005F2168" w14:paraId="5D2FF2C4" w14:textId="77777777" w:rsidTr="00281A92">
        <w:trPr>
          <w:trHeight w:val="338"/>
        </w:trPr>
        <w:tc>
          <w:tcPr>
            <w:tcW w:w="2552" w:type="dxa"/>
            <w:vMerge/>
          </w:tcPr>
          <w:p w14:paraId="60B38253" w14:textId="77777777" w:rsidR="00454251" w:rsidRPr="005F2168" w:rsidRDefault="00454251" w:rsidP="00281A92">
            <w:pPr>
              <w:spacing w:before="0" w:after="0" w:line="240" w:lineRule="auto"/>
              <w:jc w:val="left"/>
              <w:rPr>
                <w:b/>
                <w:bCs/>
                <w:sz w:val="22"/>
                <w:szCs w:val="22"/>
              </w:rPr>
            </w:pPr>
          </w:p>
        </w:tc>
        <w:tc>
          <w:tcPr>
            <w:tcW w:w="1984" w:type="dxa"/>
          </w:tcPr>
          <w:p w14:paraId="619B8244" w14:textId="77777777" w:rsidR="00454251" w:rsidRPr="005F2168" w:rsidRDefault="00454251" w:rsidP="00281A92">
            <w:pPr>
              <w:spacing w:before="0" w:after="0" w:line="240" w:lineRule="auto"/>
              <w:jc w:val="left"/>
              <w:rPr>
                <w:sz w:val="22"/>
                <w:szCs w:val="22"/>
              </w:rPr>
            </w:pPr>
            <w:r w:rsidRPr="005F2168">
              <w:rPr>
                <w:sz w:val="22"/>
                <w:szCs w:val="22"/>
              </w:rPr>
              <w:t>5° R</w:t>
            </w:r>
          </w:p>
        </w:tc>
        <w:tc>
          <w:tcPr>
            <w:tcW w:w="1512" w:type="dxa"/>
          </w:tcPr>
          <w:p w14:paraId="25E15BEC" w14:textId="4AA4379F" w:rsidR="00454251" w:rsidRPr="005F2168" w:rsidRDefault="00454251" w:rsidP="00281A92">
            <w:pPr>
              <w:spacing w:before="0" w:after="0" w:line="240" w:lineRule="auto"/>
              <w:jc w:val="left"/>
              <w:rPr>
                <w:sz w:val="22"/>
                <w:szCs w:val="22"/>
              </w:rPr>
            </w:pPr>
            <w:r w:rsidRPr="005F2168">
              <w:rPr>
                <w:sz w:val="22"/>
                <w:szCs w:val="22"/>
              </w:rPr>
              <w:t>Latency: 1</w:t>
            </w:r>
            <w:r w:rsidR="00890A0F" w:rsidRPr="005F2168">
              <w:rPr>
                <w:sz w:val="22"/>
                <w:szCs w:val="22"/>
              </w:rPr>
              <w:t>69</w:t>
            </w:r>
          </w:p>
          <w:p w14:paraId="519031D1" w14:textId="044542FB" w:rsidR="00454251" w:rsidRPr="005F2168" w:rsidRDefault="00454251" w:rsidP="00281A92">
            <w:pPr>
              <w:spacing w:before="0" w:after="0" w:line="240" w:lineRule="auto"/>
              <w:jc w:val="left"/>
              <w:rPr>
                <w:sz w:val="22"/>
                <w:szCs w:val="22"/>
              </w:rPr>
            </w:pPr>
            <w:r w:rsidRPr="005F2168">
              <w:rPr>
                <w:sz w:val="22"/>
                <w:szCs w:val="22"/>
              </w:rPr>
              <w:t>PV: 25</w:t>
            </w:r>
            <w:r w:rsidR="001B162E" w:rsidRPr="005F2168">
              <w:rPr>
                <w:sz w:val="22"/>
                <w:szCs w:val="22"/>
              </w:rPr>
              <w:t>2</w:t>
            </w:r>
          </w:p>
          <w:p w14:paraId="23D40AE6" w14:textId="77777777" w:rsidR="00454251" w:rsidRPr="005F2168" w:rsidRDefault="00454251" w:rsidP="00281A92">
            <w:pPr>
              <w:spacing w:before="0" w:after="0" w:line="240" w:lineRule="auto"/>
              <w:jc w:val="left"/>
              <w:rPr>
                <w:sz w:val="22"/>
                <w:szCs w:val="22"/>
              </w:rPr>
            </w:pPr>
            <w:r w:rsidRPr="005F2168">
              <w:rPr>
                <w:sz w:val="22"/>
                <w:szCs w:val="22"/>
              </w:rPr>
              <w:t>Gain: 0.94</w:t>
            </w:r>
          </w:p>
        </w:tc>
        <w:tc>
          <w:tcPr>
            <w:tcW w:w="1512" w:type="dxa"/>
          </w:tcPr>
          <w:p w14:paraId="0BAC3152" w14:textId="77777777" w:rsidR="00890A0F" w:rsidRPr="005F2168" w:rsidRDefault="00454251" w:rsidP="00281A92">
            <w:pPr>
              <w:spacing w:before="0" w:after="0" w:line="240" w:lineRule="auto"/>
              <w:jc w:val="left"/>
              <w:rPr>
                <w:sz w:val="22"/>
                <w:szCs w:val="22"/>
              </w:rPr>
            </w:pPr>
            <w:r w:rsidRPr="005F2168">
              <w:rPr>
                <w:sz w:val="22"/>
                <w:szCs w:val="22"/>
              </w:rPr>
              <w:t xml:space="preserve">Latency: </w:t>
            </w:r>
            <w:r w:rsidR="00890A0F" w:rsidRPr="005F2168">
              <w:rPr>
                <w:sz w:val="22"/>
                <w:szCs w:val="22"/>
              </w:rPr>
              <w:t>177</w:t>
            </w:r>
          </w:p>
          <w:p w14:paraId="22B7AC4F" w14:textId="3A904E5D" w:rsidR="00454251" w:rsidRPr="005F2168" w:rsidRDefault="00454251" w:rsidP="00281A92">
            <w:pPr>
              <w:spacing w:before="0" w:after="0" w:line="240" w:lineRule="auto"/>
              <w:jc w:val="left"/>
              <w:rPr>
                <w:sz w:val="22"/>
                <w:szCs w:val="22"/>
              </w:rPr>
            </w:pPr>
            <w:r w:rsidRPr="005F2168">
              <w:rPr>
                <w:sz w:val="22"/>
                <w:szCs w:val="22"/>
              </w:rPr>
              <w:t>PV: 2</w:t>
            </w:r>
            <w:r w:rsidR="001B162E" w:rsidRPr="005F2168">
              <w:rPr>
                <w:sz w:val="22"/>
                <w:szCs w:val="22"/>
              </w:rPr>
              <w:t>98</w:t>
            </w:r>
          </w:p>
          <w:p w14:paraId="7B5A087F" w14:textId="1C18958F" w:rsidR="00454251" w:rsidRPr="005F2168" w:rsidRDefault="00454251" w:rsidP="00281A92">
            <w:pPr>
              <w:spacing w:before="0" w:after="0" w:line="240" w:lineRule="auto"/>
              <w:rPr>
                <w:sz w:val="22"/>
                <w:szCs w:val="22"/>
              </w:rPr>
            </w:pPr>
            <w:r w:rsidRPr="005F2168">
              <w:rPr>
                <w:sz w:val="22"/>
                <w:szCs w:val="22"/>
              </w:rPr>
              <w:t>Gain: 0.9</w:t>
            </w:r>
            <w:r w:rsidR="007F2404" w:rsidRPr="005F2168">
              <w:rPr>
                <w:sz w:val="22"/>
                <w:szCs w:val="22"/>
              </w:rPr>
              <w:t>7</w:t>
            </w:r>
          </w:p>
        </w:tc>
        <w:tc>
          <w:tcPr>
            <w:tcW w:w="1512" w:type="dxa"/>
          </w:tcPr>
          <w:p w14:paraId="4804DA03" w14:textId="1B4FF1E4" w:rsidR="00454251" w:rsidRPr="005F2168" w:rsidRDefault="00454251" w:rsidP="00281A92">
            <w:pPr>
              <w:spacing w:before="0" w:after="0" w:line="240" w:lineRule="auto"/>
              <w:jc w:val="left"/>
              <w:rPr>
                <w:sz w:val="22"/>
                <w:szCs w:val="22"/>
              </w:rPr>
            </w:pPr>
            <w:r w:rsidRPr="005F2168">
              <w:rPr>
                <w:sz w:val="22"/>
                <w:szCs w:val="22"/>
              </w:rPr>
              <w:t>Latency: 19</w:t>
            </w:r>
            <w:r w:rsidR="00890A0F" w:rsidRPr="005F2168">
              <w:rPr>
                <w:sz w:val="22"/>
                <w:szCs w:val="22"/>
              </w:rPr>
              <w:t>4</w:t>
            </w:r>
          </w:p>
          <w:p w14:paraId="7D2C71E3" w14:textId="2E0C3E25" w:rsidR="00454251" w:rsidRPr="005F2168" w:rsidRDefault="00454251" w:rsidP="00281A92">
            <w:pPr>
              <w:spacing w:before="0" w:after="0" w:line="240" w:lineRule="auto"/>
              <w:jc w:val="left"/>
              <w:rPr>
                <w:sz w:val="22"/>
                <w:szCs w:val="22"/>
              </w:rPr>
            </w:pPr>
            <w:r w:rsidRPr="005F2168">
              <w:rPr>
                <w:sz w:val="22"/>
                <w:szCs w:val="22"/>
              </w:rPr>
              <w:t>PV: 29</w:t>
            </w:r>
            <w:r w:rsidR="001B162E" w:rsidRPr="005F2168">
              <w:rPr>
                <w:sz w:val="22"/>
                <w:szCs w:val="22"/>
              </w:rPr>
              <w:t>2</w:t>
            </w:r>
          </w:p>
          <w:p w14:paraId="2D1A18A3" w14:textId="5CB070D8" w:rsidR="00454251" w:rsidRPr="005F2168" w:rsidRDefault="00454251" w:rsidP="00281A92">
            <w:pPr>
              <w:spacing w:before="0" w:after="0" w:line="240" w:lineRule="auto"/>
              <w:jc w:val="left"/>
              <w:rPr>
                <w:sz w:val="22"/>
                <w:szCs w:val="22"/>
              </w:rPr>
            </w:pPr>
            <w:r w:rsidRPr="005F2168">
              <w:rPr>
                <w:sz w:val="22"/>
                <w:szCs w:val="22"/>
              </w:rPr>
              <w:t xml:space="preserve">Gain: </w:t>
            </w:r>
            <w:r w:rsidR="007F2404" w:rsidRPr="005F2168">
              <w:rPr>
                <w:sz w:val="22"/>
                <w:szCs w:val="22"/>
              </w:rPr>
              <w:t>0.96</w:t>
            </w:r>
          </w:p>
        </w:tc>
      </w:tr>
      <w:tr w:rsidR="00454251" w:rsidRPr="005F2168" w14:paraId="00C730E8" w14:textId="77777777" w:rsidTr="00281A92">
        <w:trPr>
          <w:trHeight w:val="338"/>
        </w:trPr>
        <w:tc>
          <w:tcPr>
            <w:tcW w:w="2552" w:type="dxa"/>
            <w:vMerge/>
          </w:tcPr>
          <w:p w14:paraId="138122F8" w14:textId="77777777" w:rsidR="00454251" w:rsidRPr="005F2168" w:rsidRDefault="00454251" w:rsidP="00281A92">
            <w:pPr>
              <w:spacing w:before="0" w:after="0" w:line="240" w:lineRule="auto"/>
              <w:jc w:val="left"/>
              <w:rPr>
                <w:b/>
                <w:bCs/>
                <w:sz w:val="22"/>
                <w:szCs w:val="22"/>
              </w:rPr>
            </w:pPr>
          </w:p>
        </w:tc>
        <w:tc>
          <w:tcPr>
            <w:tcW w:w="1984" w:type="dxa"/>
          </w:tcPr>
          <w:p w14:paraId="5C274ECC" w14:textId="77777777" w:rsidR="00454251" w:rsidRPr="005F2168" w:rsidRDefault="00454251" w:rsidP="00281A92">
            <w:pPr>
              <w:spacing w:before="0" w:after="0" w:line="240" w:lineRule="auto"/>
              <w:jc w:val="left"/>
              <w:rPr>
                <w:sz w:val="22"/>
                <w:szCs w:val="22"/>
              </w:rPr>
            </w:pPr>
            <w:r w:rsidRPr="005F2168">
              <w:rPr>
                <w:sz w:val="22"/>
                <w:szCs w:val="22"/>
              </w:rPr>
              <w:t>10° R</w:t>
            </w:r>
          </w:p>
        </w:tc>
        <w:tc>
          <w:tcPr>
            <w:tcW w:w="1512" w:type="dxa"/>
          </w:tcPr>
          <w:p w14:paraId="6B06C59E" w14:textId="0C4CE9AC" w:rsidR="00454251" w:rsidRPr="005F2168" w:rsidRDefault="00454251" w:rsidP="00281A92">
            <w:pPr>
              <w:spacing w:before="0" w:after="0" w:line="240" w:lineRule="auto"/>
              <w:jc w:val="left"/>
              <w:rPr>
                <w:sz w:val="22"/>
                <w:szCs w:val="22"/>
              </w:rPr>
            </w:pPr>
            <w:r w:rsidRPr="005F2168">
              <w:rPr>
                <w:sz w:val="22"/>
                <w:szCs w:val="22"/>
              </w:rPr>
              <w:t>Latency: 17</w:t>
            </w:r>
            <w:r w:rsidR="00890A0F" w:rsidRPr="005F2168">
              <w:rPr>
                <w:sz w:val="22"/>
                <w:szCs w:val="22"/>
              </w:rPr>
              <w:t>8</w:t>
            </w:r>
          </w:p>
          <w:p w14:paraId="7DD8329C" w14:textId="509D8536" w:rsidR="00454251" w:rsidRPr="005F2168" w:rsidRDefault="00454251" w:rsidP="00281A92">
            <w:pPr>
              <w:spacing w:before="0" w:after="0" w:line="240" w:lineRule="auto"/>
              <w:jc w:val="left"/>
              <w:rPr>
                <w:sz w:val="22"/>
                <w:szCs w:val="22"/>
              </w:rPr>
            </w:pPr>
            <w:r w:rsidRPr="005F2168">
              <w:rPr>
                <w:sz w:val="22"/>
                <w:szCs w:val="22"/>
              </w:rPr>
              <w:t>PV: 33</w:t>
            </w:r>
            <w:r w:rsidR="001B162E" w:rsidRPr="005F2168">
              <w:rPr>
                <w:sz w:val="22"/>
                <w:szCs w:val="22"/>
              </w:rPr>
              <w:t>2</w:t>
            </w:r>
          </w:p>
          <w:p w14:paraId="6A1A8062" w14:textId="32695338" w:rsidR="00454251" w:rsidRPr="005F2168" w:rsidRDefault="00454251" w:rsidP="00281A92">
            <w:pPr>
              <w:spacing w:before="0" w:after="0" w:line="240" w:lineRule="auto"/>
              <w:jc w:val="left"/>
              <w:rPr>
                <w:sz w:val="22"/>
                <w:szCs w:val="22"/>
              </w:rPr>
            </w:pPr>
            <w:r w:rsidRPr="005F2168">
              <w:rPr>
                <w:sz w:val="22"/>
                <w:szCs w:val="22"/>
              </w:rPr>
              <w:t>Gain: 0.9</w:t>
            </w:r>
            <w:r w:rsidR="007F2404" w:rsidRPr="005F2168">
              <w:rPr>
                <w:sz w:val="22"/>
                <w:szCs w:val="22"/>
              </w:rPr>
              <w:t>0</w:t>
            </w:r>
          </w:p>
        </w:tc>
        <w:tc>
          <w:tcPr>
            <w:tcW w:w="1512" w:type="dxa"/>
          </w:tcPr>
          <w:p w14:paraId="15BC173B" w14:textId="730F5FD0" w:rsidR="00454251" w:rsidRPr="005F2168" w:rsidRDefault="00454251" w:rsidP="00281A92">
            <w:pPr>
              <w:spacing w:before="0" w:after="0" w:line="240" w:lineRule="auto"/>
              <w:jc w:val="left"/>
              <w:rPr>
                <w:sz w:val="22"/>
                <w:szCs w:val="22"/>
              </w:rPr>
            </w:pPr>
            <w:r w:rsidRPr="005F2168">
              <w:rPr>
                <w:sz w:val="22"/>
                <w:szCs w:val="22"/>
              </w:rPr>
              <w:t>Latency: 18</w:t>
            </w:r>
            <w:r w:rsidR="00890A0F" w:rsidRPr="005F2168">
              <w:rPr>
                <w:sz w:val="22"/>
                <w:szCs w:val="22"/>
              </w:rPr>
              <w:t>1</w:t>
            </w:r>
          </w:p>
          <w:p w14:paraId="6BD3EDED" w14:textId="33A6F4AE" w:rsidR="00454251" w:rsidRPr="005F2168" w:rsidRDefault="00454251" w:rsidP="00281A92">
            <w:pPr>
              <w:spacing w:before="0" w:after="0" w:line="240" w:lineRule="auto"/>
              <w:jc w:val="left"/>
              <w:rPr>
                <w:sz w:val="22"/>
                <w:szCs w:val="22"/>
              </w:rPr>
            </w:pPr>
            <w:r w:rsidRPr="005F2168">
              <w:rPr>
                <w:sz w:val="22"/>
                <w:szCs w:val="22"/>
              </w:rPr>
              <w:t>PV: 3</w:t>
            </w:r>
            <w:r w:rsidR="001B162E" w:rsidRPr="005F2168">
              <w:rPr>
                <w:sz w:val="22"/>
                <w:szCs w:val="22"/>
              </w:rPr>
              <w:t>65</w:t>
            </w:r>
          </w:p>
          <w:p w14:paraId="3C5B7F7B" w14:textId="1D98663F" w:rsidR="00454251" w:rsidRPr="005F2168" w:rsidRDefault="00454251" w:rsidP="00281A92">
            <w:pPr>
              <w:spacing w:before="0" w:after="0" w:line="240" w:lineRule="auto"/>
              <w:rPr>
                <w:sz w:val="22"/>
                <w:szCs w:val="22"/>
              </w:rPr>
            </w:pPr>
            <w:r w:rsidRPr="005F2168">
              <w:rPr>
                <w:sz w:val="22"/>
                <w:szCs w:val="22"/>
              </w:rPr>
              <w:t>Gain: 0.</w:t>
            </w:r>
            <w:r w:rsidR="007F2404" w:rsidRPr="005F2168">
              <w:rPr>
                <w:sz w:val="22"/>
                <w:szCs w:val="22"/>
              </w:rPr>
              <w:t>89</w:t>
            </w:r>
          </w:p>
        </w:tc>
        <w:tc>
          <w:tcPr>
            <w:tcW w:w="1512" w:type="dxa"/>
          </w:tcPr>
          <w:p w14:paraId="1D365832" w14:textId="34816094" w:rsidR="00454251" w:rsidRPr="005F2168" w:rsidRDefault="00454251" w:rsidP="00281A92">
            <w:pPr>
              <w:spacing w:before="0" w:after="0" w:line="240" w:lineRule="auto"/>
              <w:jc w:val="left"/>
              <w:rPr>
                <w:sz w:val="22"/>
                <w:szCs w:val="22"/>
              </w:rPr>
            </w:pPr>
            <w:r w:rsidRPr="005F2168">
              <w:rPr>
                <w:sz w:val="22"/>
                <w:szCs w:val="22"/>
              </w:rPr>
              <w:t>Latency: 20</w:t>
            </w:r>
            <w:r w:rsidR="00890A0F" w:rsidRPr="005F2168">
              <w:rPr>
                <w:sz w:val="22"/>
                <w:szCs w:val="22"/>
              </w:rPr>
              <w:t>8</w:t>
            </w:r>
          </w:p>
          <w:p w14:paraId="48E226B8" w14:textId="6861CA2F" w:rsidR="00454251" w:rsidRPr="005F2168" w:rsidRDefault="00454251" w:rsidP="00281A92">
            <w:pPr>
              <w:spacing w:before="0" w:after="0" w:line="240" w:lineRule="auto"/>
              <w:jc w:val="left"/>
              <w:rPr>
                <w:sz w:val="22"/>
                <w:szCs w:val="22"/>
              </w:rPr>
            </w:pPr>
            <w:r w:rsidRPr="005F2168">
              <w:rPr>
                <w:sz w:val="22"/>
                <w:szCs w:val="22"/>
              </w:rPr>
              <w:t>PV: 3</w:t>
            </w:r>
            <w:r w:rsidR="001B162E" w:rsidRPr="005F2168">
              <w:rPr>
                <w:sz w:val="22"/>
                <w:szCs w:val="22"/>
              </w:rPr>
              <w:t>80</w:t>
            </w:r>
          </w:p>
          <w:p w14:paraId="26F42F4C" w14:textId="0069E353" w:rsidR="00454251" w:rsidRPr="005F2168" w:rsidRDefault="00454251" w:rsidP="00281A92">
            <w:pPr>
              <w:spacing w:before="0" w:after="0" w:line="240" w:lineRule="auto"/>
              <w:jc w:val="left"/>
              <w:rPr>
                <w:sz w:val="22"/>
                <w:szCs w:val="22"/>
              </w:rPr>
            </w:pPr>
            <w:r w:rsidRPr="005F2168">
              <w:rPr>
                <w:sz w:val="22"/>
                <w:szCs w:val="22"/>
              </w:rPr>
              <w:t xml:space="preserve">Gain: </w:t>
            </w:r>
            <w:r w:rsidR="007F2404" w:rsidRPr="005F2168">
              <w:rPr>
                <w:sz w:val="22"/>
                <w:szCs w:val="22"/>
              </w:rPr>
              <w:t>0.89</w:t>
            </w:r>
          </w:p>
        </w:tc>
      </w:tr>
      <w:tr w:rsidR="00454251" w:rsidRPr="005F2168" w14:paraId="15A3F8E5" w14:textId="77777777" w:rsidTr="00281A92">
        <w:trPr>
          <w:trHeight w:val="338"/>
        </w:trPr>
        <w:tc>
          <w:tcPr>
            <w:tcW w:w="2552" w:type="dxa"/>
            <w:vMerge/>
          </w:tcPr>
          <w:p w14:paraId="74ABF3E4" w14:textId="77777777" w:rsidR="00454251" w:rsidRPr="005F2168" w:rsidRDefault="00454251" w:rsidP="00281A92">
            <w:pPr>
              <w:spacing w:before="0" w:after="0" w:line="240" w:lineRule="auto"/>
              <w:jc w:val="left"/>
              <w:rPr>
                <w:b/>
                <w:bCs/>
                <w:sz w:val="22"/>
                <w:szCs w:val="22"/>
              </w:rPr>
            </w:pPr>
          </w:p>
        </w:tc>
        <w:tc>
          <w:tcPr>
            <w:tcW w:w="1984" w:type="dxa"/>
          </w:tcPr>
          <w:p w14:paraId="03B87A34" w14:textId="58BA23C0" w:rsidR="00454251" w:rsidRPr="005F2168" w:rsidRDefault="00454251" w:rsidP="00281A92">
            <w:pPr>
              <w:spacing w:before="0" w:after="0" w:line="240" w:lineRule="auto"/>
              <w:jc w:val="left"/>
              <w:rPr>
                <w:sz w:val="22"/>
                <w:szCs w:val="22"/>
              </w:rPr>
            </w:pPr>
            <w:r w:rsidRPr="005F2168">
              <w:rPr>
                <w:sz w:val="22"/>
                <w:szCs w:val="22"/>
              </w:rPr>
              <w:t>15° R</w:t>
            </w:r>
          </w:p>
        </w:tc>
        <w:tc>
          <w:tcPr>
            <w:tcW w:w="1512" w:type="dxa"/>
          </w:tcPr>
          <w:p w14:paraId="5734CC05" w14:textId="77777777" w:rsidR="00454251" w:rsidRPr="005F2168" w:rsidRDefault="00454251" w:rsidP="00281A92">
            <w:pPr>
              <w:spacing w:before="0" w:after="0" w:line="240" w:lineRule="auto"/>
              <w:jc w:val="left"/>
              <w:rPr>
                <w:sz w:val="22"/>
                <w:szCs w:val="22"/>
              </w:rPr>
            </w:pPr>
            <w:r w:rsidRPr="005F2168">
              <w:rPr>
                <w:sz w:val="22"/>
                <w:szCs w:val="22"/>
              </w:rPr>
              <w:t>Latency: 201</w:t>
            </w:r>
          </w:p>
          <w:p w14:paraId="1F83BF53" w14:textId="2D61CA93" w:rsidR="00454251" w:rsidRPr="005F2168" w:rsidRDefault="00454251" w:rsidP="00281A92">
            <w:pPr>
              <w:spacing w:before="0" w:after="0" w:line="240" w:lineRule="auto"/>
              <w:jc w:val="left"/>
              <w:rPr>
                <w:sz w:val="22"/>
                <w:szCs w:val="22"/>
              </w:rPr>
            </w:pPr>
            <w:r w:rsidRPr="005F2168">
              <w:rPr>
                <w:sz w:val="22"/>
                <w:szCs w:val="22"/>
              </w:rPr>
              <w:lastRenderedPageBreak/>
              <w:t>PV: 38</w:t>
            </w:r>
            <w:r w:rsidR="001B162E" w:rsidRPr="005F2168">
              <w:rPr>
                <w:sz w:val="22"/>
                <w:szCs w:val="22"/>
              </w:rPr>
              <w:t>3</w:t>
            </w:r>
          </w:p>
          <w:p w14:paraId="1C4F8F06" w14:textId="77777777" w:rsidR="00454251" w:rsidRPr="005F2168" w:rsidRDefault="00454251" w:rsidP="00281A92">
            <w:pPr>
              <w:spacing w:before="0" w:after="0" w:line="240" w:lineRule="auto"/>
              <w:jc w:val="left"/>
              <w:rPr>
                <w:sz w:val="22"/>
                <w:szCs w:val="22"/>
              </w:rPr>
            </w:pPr>
            <w:r w:rsidRPr="005F2168">
              <w:rPr>
                <w:sz w:val="22"/>
                <w:szCs w:val="22"/>
              </w:rPr>
              <w:t>Gain: 0.91</w:t>
            </w:r>
          </w:p>
        </w:tc>
        <w:tc>
          <w:tcPr>
            <w:tcW w:w="1512" w:type="dxa"/>
          </w:tcPr>
          <w:p w14:paraId="332E91AD" w14:textId="6C9D4C0A" w:rsidR="00454251" w:rsidRPr="005F2168" w:rsidRDefault="00454251" w:rsidP="00281A92">
            <w:pPr>
              <w:spacing w:before="0" w:after="0" w:line="240" w:lineRule="auto"/>
              <w:jc w:val="left"/>
              <w:rPr>
                <w:sz w:val="22"/>
                <w:szCs w:val="22"/>
              </w:rPr>
            </w:pPr>
            <w:r w:rsidRPr="005F2168">
              <w:rPr>
                <w:sz w:val="22"/>
                <w:szCs w:val="22"/>
              </w:rPr>
              <w:lastRenderedPageBreak/>
              <w:t>Latency: 2</w:t>
            </w:r>
            <w:r w:rsidR="00890A0F" w:rsidRPr="005F2168">
              <w:rPr>
                <w:sz w:val="22"/>
                <w:szCs w:val="22"/>
              </w:rPr>
              <w:t>19</w:t>
            </w:r>
          </w:p>
          <w:p w14:paraId="1C97720A" w14:textId="0371BCE3" w:rsidR="00454251" w:rsidRPr="005F2168" w:rsidRDefault="00454251" w:rsidP="00281A92">
            <w:pPr>
              <w:spacing w:before="0" w:after="0" w:line="240" w:lineRule="auto"/>
              <w:jc w:val="left"/>
              <w:rPr>
                <w:sz w:val="22"/>
                <w:szCs w:val="22"/>
              </w:rPr>
            </w:pPr>
            <w:r w:rsidRPr="005F2168">
              <w:rPr>
                <w:sz w:val="22"/>
                <w:szCs w:val="22"/>
              </w:rPr>
              <w:lastRenderedPageBreak/>
              <w:t>PV: 41</w:t>
            </w:r>
            <w:r w:rsidR="001B162E" w:rsidRPr="005F2168">
              <w:rPr>
                <w:sz w:val="22"/>
                <w:szCs w:val="22"/>
              </w:rPr>
              <w:t>3</w:t>
            </w:r>
          </w:p>
          <w:p w14:paraId="78FEBB74" w14:textId="2ED81B88" w:rsidR="00454251" w:rsidRPr="005F2168" w:rsidRDefault="00454251" w:rsidP="00281A92">
            <w:pPr>
              <w:spacing w:before="0" w:after="0" w:line="240" w:lineRule="auto"/>
              <w:rPr>
                <w:sz w:val="22"/>
                <w:szCs w:val="22"/>
              </w:rPr>
            </w:pPr>
            <w:r w:rsidRPr="005F2168">
              <w:rPr>
                <w:sz w:val="22"/>
                <w:szCs w:val="22"/>
              </w:rPr>
              <w:t>Gain: 0.8</w:t>
            </w:r>
            <w:r w:rsidR="007F2404" w:rsidRPr="005F2168">
              <w:rPr>
                <w:sz w:val="22"/>
                <w:szCs w:val="22"/>
              </w:rPr>
              <w:t>5</w:t>
            </w:r>
          </w:p>
        </w:tc>
        <w:tc>
          <w:tcPr>
            <w:tcW w:w="1512" w:type="dxa"/>
          </w:tcPr>
          <w:p w14:paraId="5F6A3877" w14:textId="77777777" w:rsidR="00454251" w:rsidRPr="005F2168" w:rsidRDefault="00454251" w:rsidP="00281A92">
            <w:pPr>
              <w:spacing w:before="0" w:after="0" w:line="240" w:lineRule="auto"/>
              <w:jc w:val="left"/>
              <w:rPr>
                <w:sz w:val="22"/>
                <w:szCs w:val="22"/>
              </w:rPr>
            </w:pPr>
            <w:r w:rsidRPr="005F2168">
              <w:rPr>
                <w:sz w:val="22"/>
                <w:szCs w:val="22"/>
              </w:rPr>
              <w:lastRenderedPageBreak/>
              <w:t>Latency: 234</w:t>
            </w:r>
          </w:p>
          <w:p w14:paraId="090519A8" w14:textId="5FCDF46D" w:rsidR="00454251" w:rsidRPr="005F2168" w:rsidRDefault="00454251" w:rsidP="00281A92">
            <w:pPr>
              <w:spacing w:before="0" w:after="0" w:line="240" w:lineRule="auto"/>
              <w:jc w:val="left"/>
              <w:rPr>
                <w:sz w:val="22"/>
                <w:szCs w:val="22"/>
              </w:rPr>
            </w:pPr>
            <w:r w:rsidRPr="005F2168">
              <w:rPr>
                <w:sz w:val="22"/>
                <w:szCs w:val="22"/>
              </w:rPr>
              <w:lastRenderedPageBreak/>
              <w:t>PV: 4</w:t>
            </w:r>
            <w:r w:rsidR="001B162E" w:rsidRPr="005F2168">
              <w:rPr>
                <w:sz w:val="22"/>
                <w:szCs w:val="22"/>
              </w:rPr>
              <w:t>17</w:t>
            </w:r>
          </w:p>
          <w:p w14:paraId="23B5EF24" w14:textId="52C437D6" w:rsidR="00454251" w:rsidRPr="005F2168" w:rsidRDefault="00454251" w:rsidP="00281A92">
            <w:pPr>
              <w:spacing w:before="0" w:after="0" w:line="240" w:lineRule="auto"/>
              <w:jc w:val="left"/>
              <w:rPr>
                <w:sz w:val="22"/>
                <w:szCs w:val="22"/>
              </w:rPr>
            </w:pPr>
            <w:r w:rsidRPr="005F2168">
              <w:rPr>
                <w:sz w:val="22"/>
                <w:szCs w:val="22"/>
              </w:rPr>
              <w:t>Gain: 0.8</w:t>
            </w:r>
            <w:r w:rsidR="007F2404" w:rsidRPr="005F2168">
              <w:rPr>
                <w:sz w:val="22"/>
                <w:szCs w:val="22"/>
              </w:rPr>
              <w:t>2</w:t>
            </w:r>
          </w:p>
        </w:tc>
      </w:tr>
      <w:tr w:rsidR="00454251" w:rsidRPr="005F2168" w14:paraId="39EE227B" w14:textId="77777777" w:rsidTr="00281A92">
        <w:tc>
          <w:tcPr>
            <w:tcW w:w="2552" w:type="dxa"/>
            <w:vMerge w:val="restart"/>
          </w:tcPr>
          <w:p w14:paraId="4E90213D" w14:textId="77777777" w:rsidR="00454251" w:rsidRPr="005F2168" w:rsidRDefault="00454251" w:rsidP="00281A92">
            <w:pPr>
              <w:spacing w:before="0" w:after="0" w:line="240" w:lineRule="auto"/>
              <w:jc w:val="left"/>
              <w:rPr>
                <w:b/>
                <w:bCs/>
                <w:sz w:val="22"/>
                <w:szCs w:val="22"/>
              </w:rPr>
            </w:pPr>
            <w:r w:rsidRPr="005F2168">
              <w:rPr>
                <w:b/>
                <w:bCs/>
                <w:sz w:val="22"/>
                <w:szCs w:val="22"/>
              </w:rPr>
              <w:t>Vertical saccade</w:t>
            </w:r>
          </w:p>
          <w:p w14:paraId="0A57F5E8" w14:textId="77777777" w:rsidR="00454251" w:rsidRPr="005F2168" w:rsidRDefault="00454251" w:rsidP="00281A92">
            <w:pPr>
              <w:pStyle w:val="ListParagraph"/>
              <w:numPr>
                <w:ilvl w:val="0"/>
                <w:numId w:val="114"/>
              </w:numPr>
              <w:spacing w:before="0" w:after="0" w:line="240" w:lineRule="auto"/>
              <w:ind w:left="179" w:hanging="218"/>
              <w:jc w:val="left"/>
              <w:rPr>
                <w:sz w:val="22"/>
                <w:szCs w:val="22"/>
              </w:rPr>
            </w:pPr>
            <w:r w:rsidRPr="005F2168">
              <w:rPr>
                <w:sz w:val="22"/>
                <w:szCs w:val="22"/>
              </w:rPr>
              <w:t>The mean of saccadic parameters</w:t>
            </w:r>
          </w:p>
          <w:p w14:paraId="6B818977" w14:textId="77777777" w:rsidR="00454251" w:rsidRPr="005F2168" w:rsidRDefault="00454251" w:rsidP="00281A92">
            <w:pPr>
              <w:pStyle w:val="ListParagraph"/>
              <w:numPr>
                <w:ilvl w:val="0"/>
                <w:numId w:val="114"/>
              </w:numPr>
              <w:spacing w:before="0" w:after="0" w:line="240" w:lineRule="auto"/>
              <w:ind w:left="179" w:hanging="218"/>
              <w:jc w:val="left"/>
              <w:rPr>
                <w:sz w:val="22"/>
                <w:szCs w:val="22"/>
              </w:rPr>
            </w:pPr>
            <w:r w:rsidRPr="005F2168">
              <w:rPr>
                <w:sz w:val="22"/>
                <w:szCs w:val="22"/>
              </w:rPr>
              <w:t>Latency (</w:t>
            </w:r>
            <w:proofErr w:type="spellStart"/>
            <w:r w:rsidRPr="005F2168">
              <w:rPr>
                <w:sz w:val="22"/>
                <w:szCs w:val="22"/>
              </w:rPr>
              <w:t>ms</w:t>
            </w:r>
            <w:proofErr w:type="spellEnd"/>
            <w:r w:rsidRPr="005F2168">
              <w:rPr>
                <w:sz w:val="22"/>
                <w:szCs w:val="22"/>
              </w:rPr>
              <w:t>) and PV (°/sec).</w:t>
            </w:r>
          </w:p>
          <w:p w14:paraId="63837F4F" w14:textId="5403CE0C" w:rsidR="00454251" w:rsidRPr="005F2168" w:rsidRDefault="00890A0F" w:rsidP="00281A92">
            <w:pPr>
              <w:spacing w:before="0" w:after="0" w:line="240" w:lineRule="auto"/>
              <w:jc w:val="left"/>
              <w:rPr>
                <w:sz w:val="22"/>
                <w:szCs w:val="22"/>
              </w:rPr>
            </w:pPr>
            <w:r w:rsidRPr="005F2168">
              <w:rPr>
                <w:sz w:val="22"/>
                <w:szCs w:val="22"/>
              </w:rPr>
              <w:t>.</w:t>
            </w:r>
          </w:p>
        </w:tc>
        <w:tc>
          <w:tcPr>
            <w:tcW w:w="1984" w:type="dxa"/>
          </w:tcPr>
          <w:p w14:paraId="46B7D4E3" w14:textId="77777777" w:rsidR="00454251" w:rsidRPr="005F2168" w:rsidRDefault="00454251" w:rsidP="00281A92">
            <w:pPr>
              <w:spacing w:before="0" w:after="0" w:line="240" w:lineRule="auto"/>
              <w:jc w:val="left"/>
              <w:rPr>
                <w:sz w:val="22"/>
                <w:szCs w:val="22"/>
              </w:rPr>
            </w:pPr>
            <w:r w:rsidRPr="005F2168">
              <w:rPr>
                <w:sz w:val="22"/>
                <w:szCs w:val="22"/>
              </w:rPr>
              <w:t>-8° D</w:t>
            </w:r>
          </w:p>
        </w:tc>
        <w:tc>
          <w:tcPr>
            <w:tcW w:w="1512" w:type="dxa"/>
          </w:tcPr>
          <w:p w14:paraId="156EE47B" w14:textId="5075E041" w:rsidR="00454251" w:rsidRPr="005F2168" w:rsidRDefault="00454251" w:rsidP="00281A92">
            <w:pPr>
              <w:spacing w:before="0" w:after="0" w:line="240" w:lineRule="auto"/>
              <w:jc w:val="left"/>
              <w:rPr>
                <w:sz w:val="22"/>
                <w:szCs w:val="22"/>
              </w:rPr>
            </w:pPr>
            <w:r w:rsidRPr="005F2168">
              <w:rPr>
                <w:sz w:val="22"/>
                <w:szCs w:val="22"/>
              </w:rPr>
              <w:t>Latency: 19</w:t>
            </w:r>
            <w:r w:rsidR="004253E6" w:rsidRPr="005F2168">
              <w:rPr>
                <w:sz w:val="22"/>
                <w:szCs w:val="22"/>
              </w:rPr>
              <w:t>4</w:t>
            </w:r>
          </w:p>
          <w:p w14:paraId="5A3FF842" w14:textId="770793B2" w:rsidR="00454251" w:rsidRPr="005F2168" w:rsidRDefault="00454251" w:rsidP="00281A92">
            <w:pPr>
              <w:spacing w:before="0" w:after="0" w:line="240" w:lineRule="auto"/>
              <w:jc w:val="left"/>
              <w:rPr>
                <w:sz w:val="22"/>
                <w:szCs w:val="22"/>
              </w:rPr>
            </w:pPr>
            <w:r w:rsidRPr="005F2168">
              <w:rPr>
                <w:sz w:val="22"/>
                <w:szCs w:val="22"/>
              </w:rPr>
              <w:t>PV: 2</w:t>
            </w:r>
            <w:r w:rsidR="004253E6" w:rsidRPr="005F2168">
              <w:rPr>
                <w:sz w:val="22"/>
                <w:szCs w:val="22"/>
              </w:rPr>
              <w:t>82</w:t>
            </w:r>
          </w:p>
          <w:p w14:paraId="6323D0F2" w14:textId="77777777" w:rsidR="00454251" w:rsidRPr="005F2168" w:rsidRDefault="00454251" w:rsidP="00281A92">
            <w:pPr>
              <w:spacing w:before="0" w:after="0" w:line="240" w:lineRule="auto"/>
              <w:jc w:val="left"/>
              <w:rPr>
                <w:sz w:val="22"/>
                <w:szCs w:val="22"/>
              </w:rPr>
            </w:pPr>
            <w:r w:rsidRPr="005F2168">
              <w:rPr>
                <w:sz w:val="22"/>
                <w:szCs w:val="22"/>
              </w:rPr>
              <w:t>Gain: 0.91</w:t>
            </w:r>
          </w:p>
        </w:tc>
        <w:tc>
          <w:tcPr>
            <w:tcW w:w="1512" w:type="dxa"/>
          </w:tcPr>
          <w:p w14:paraId="7013AD00" w14:textId="3BE7600A" w:rsidR="00454251" w:rsidRPr="005F2168" w:rsidRDefault="00454251" w:rsidP="00281A92">
            <w:pPr>
              <w:spacing w:before="0" w:after="0" w:line="240" w:lineRule="auto"/>
              <w:jc w:val="left"/>
              <w:rPr>
                <w:sz w:val="22"/>
                <w:szCs w:val="22"/>
              </w:rPr>
            </w:pPr>
            <w:r w:rsidRPr="005F2168">
              <w:rPr>
                <w:sz w:val="22"/>
                <w:szCs w:val="22"/>
              </w:rPr>
              <w:t xml:space="preserve">Latency: </w:t>
            </w:r>
            <w:r w:rsidR="004253E6" w:rsidRPr="005F2168">
              <w:rPr>
                <w:sz w:val="22"/>
                <w:szCs w:val="22"/>
              </w:rPr>
              <w:t>216</w:t>
            </w:r>
          </w:p>
          <w:p w14:paraId="3DE0D814" w14:textId="3FC6A3DA" w:rsidR="00454251" w:rsidRPr="005F2168" w:rsidRDefault="00454251" w:rsidP="00281A92">
            <w:pPr>
              <w:spacing w:before="0" w:after="0" w:line="240" w:lineRule="auto"/>
              <w:jc w:val="left"/>
              <w:rPr>
                <w:sz w:val="22"/>
                <w:szCs w:val="22"/>
              </w:rPr>
            </w:pPr>
            <w:r w:rsidRPr="005F2168">
              <w:rPr>
                <w:sz w:val="22"/>
                <w:szCs w:val="22"/>
              </w:rPr>
              <w:t>PV: 3</w:t>
            </w:r>
            <w:r w:rsidR="004253E6" w:rsidRPr="005F2168">
              <w:rPr>
                <w:sz w:val="22"/>
                <w:szCs w:val="22"/>
              </w:rPr>
              <w:t>07</w:t>
            </w:r>
          </w:p>
          <w:p w14:paraId="75CE5380" w14:textId="68D52506" w:rsidR="00454251" w:rsidRPr="005F2168" w:rsidRDefault="00454251" w:rsidP="00281A92">
            <w:pPr>
              <w:spacing w:before="0" w:after="0" w:line="240" w:lineRule="auto"/>
              <w:rPr>
                <w:sz w:val="22"/>
                <w:szCs w:val="22"/>
              </w:rPr>
            </w:pPr>
            <w:r w:rsidRPr="005F2168">
              <w:rPr>
                <w:sz w:val="22"/>
                <w:szCs w:val="22"/>
              </w:rPr>
              <w:t xml:space="preserve">Gain: </w:t>
            </w:r>
            <w:r w:rsidR="004253E6" w:rsidRPr="005F2168">
              <w:rPr>
                <w:sz w:val="22"/>
                <w:szCs w:val="22"/>
              </w:rPr>
              <w:t>0.95</w:t>
            </w:r>
          </w:p>
        </w:tc>
        <w:tc>
          <w:tcPr>
            <w:tcW w:w="1512" w:type="dxa"/>
          </w:tcPr>
          <w:p w14:paraId="07664659" w14:textId="7D1D9247" w:rsidR="00454251" w:rsidRPr="005F2168" w:rsidRDefault="00454251" w:rsidP="00281A92">
            <w:pPr>
              <w:spacing w:before="0" w:after="0" w:line="240" w:lineRule="auto"/>
              <w:jc w:val="left"/>
              <w:rPr>
                <w:sz w:val="22"/>
                <w:szCs w:val="22"/>
              </w:rPr>
            </w:pPr>
            <w:r w:rsidRPr="005F2168">
              <w:rPr>
                <w:sz w:val="22"/>
                <w:szCs w:val="22"/>
              </w:rPr>
              <w:t>Latency: 2</w:t>
            </w:r>
            <w:r w:rsidR="004253E6" w:rsidRPr="005F2168">
              <w:rPr>
                <w:sz w:val="22"/>
                <w:szCs w:val="22"/>
              </w:rPr>
              <w:t>44</w:t>
            </w:r>
          </w:p>
          <w:p w14:paraId="79A566B9" w14:textId="39B21291" w:rsidR="00454251" w:rsidRPr="005F2168" w:rsidRDefault="00454251" w:rsidP="00281A92">
            <w:pPr>
              <w:spacing w:before="0" w:after="0" w:line="240" w:lineRule="auto"/>
              <w:jc w:val="left"/>
              <w:rPr>
                <w:sz w:val="22"/>
                <w:szCs w:val="22"/>
              </w:rPr>
            </w:pPr>
            <w:r w:rsidRPr="005F2168">
              <w:rPr>
                <w:sz w:val="22"/>
                <w:szCs w:val="22"/>
              </w:rPr>
              <w:t>PV: 32</w:t>
            </w:r>
            <w:r w:rsidR="004253E6" w:rsidRPr="005F2168">
              <w:rPr>
                <w:sz w:val="22"/>
                <w:szCs w:val="22"/>
              </w:rPr>
              <w:t>6</w:t>
            </w:r>
          </w:p>
          <w:p w14:paraId="5962AF5B" w14:textId="1747341B" w:rsidR="00454251" w:rsidRPr="005F2168" w:rsidRDefault="00454251" w:rsidP="00281A92">
            <w:pPr>
              <w:spacing w:before="0" w:after="0" w:line="240" w:lineRule="auto"/>
              <w:jc w:val="left"/>
              <w:rPr>
                <w:sz w:val="22"/>
                <w:szCs w:val="22"/>
              </w:rPr>
            </w:pPr>
            <w:r w:rsidRPr="005F2168">
              <w:rPr>
                <w:sz w:val="22"/>
                <w:szCs w:val="22"/>
              </w:rPr>
              <w:t>Gain: 0.9</w:t>
            </w:r>
            <w:r w:rsidR="004253E6" w:rsidRPr="005F2168">
              <w:rPr>
                <w:sz w:val="22"/>
                <w:szCs w:val="22"/>
              </w:rPr>
              <w:t>4</w:t>
            </w:r>
          </w:p>
        </w:tc>
      </w:tr>
      <w:tr w:rsidR="00454251" w:rsidRPr="005F2168" w14:paraId="1E37D91E" w14:textId="77777777" w:rsidTr="00281A92">
        <w:tc>
          <w:tcPr>
            <w:tcW w:w="2552" w:type="dxa"/>
            <w:vMerge/>
          </w:tcPr>
          <w:p w14:paraId="7FAD9C26" w14:textId="77777777" w:rsidR="00454251" w:rsidRPr="005F2168" w:rsidRDefault="00454251" w:rsidP="00281A92">
            <w:pPr>
              <w:spacing w:before="0" w:after="0" w:line="240" w:lineRule="auto"/>
              <w:jc w:val="left"/>
              <w:rPr>
                <w:b/>
                <w:bCs/>
                <w:sz w:val="22"/>
                <w:szCs w:val="22"/>
              </w:rPr>
            </w:pPr>
          </w:p>
        </w:tc>
        <w:tc>
          <w:tcPr>
            <w:tcW w:w="1984" w:type="dxa"/>
          </w:tcPr>
          <w:p w14:paraId="424C6B58" w14:textId="77777777" w:rsidR="00454251" w:rsidRPr="005F2168" w:rsidRDefault="00454251" w:rsidP="00281A92">
            <w:pPr>
              <w:spacing w:before="0" w:after="0" w:line="240" w:lineRule="auto"/>
              <w:jc w:val="left"/>
              <w:rPr>
                <w:sz w:val="22"/>
                <w:szCs w:val="22"/>
              </w:rPr>
            </w:pPr>
            <w:r w:rsidRPr="005F2168">
              <w:rPr>
                <w:sz w:val="22"/>
                <w:szCs w:val="22"/>
              </w:rPr>
              <w:t>-6° D</w:t>
            </w:r>
          </w:p>
        </w:tc>
        <w:tc>
          <w:tcPr>
            <w:tcW w:w="1512" w:type="dxa"/>
          </w:tcPr>
          <w:p w14:paraId="08BEED75" w14:textId="2307A346" w:rsidR="00454251" w:rsidRPr="005F2168" w:rsidRDefault="00454251" w:rsidP="00281A92">
            <w:pPr>
              <w:spacing w:before="0" w:after="0" w:line="240" w:lineRule="auto"/>
              <w:jc w:val="left"/>
              <w:rPr>
                <w:sz w:val="22"/>
                <w:szCs w:val="22"/>
              </w:rPr>
            </w:pPr>
            <w:r w:rsidRPr="005F2168">
              <w:rPr>
                <w:sz w:val="22"/>
                <w:szCs w:val="22"/>
              </w:rPr>
              <w:t>Latency: 19</w:t>
            </w:r>
            <w:r w:rsidR="004253E6" w:rsidRPr="005F2168">
              <w:rPr>
                <w:sz w:val="22"/>
                <w:szCs w:val="22"/>
              </w:rPr>
              <w:t>1</w:t>
            </w:r>
          </w:p>
          <w:p w14:paraId="1FA856DB" w14:textId="6A191DFD" w:rsidR="00454251" w:rsidRPr="005F2168" w:rsidRDefault="00454251" w:rsidP="00281A92">
            <w:pPr>
              <w:spacing w:before="0" w:after="0" w:line="240" w:lineRule="auto"/>
              <w:jc w:val="left"/>
              <w:rPr>
                <w:sz w:val="22"/>
                <w:szCs w:val="22"/>
              </w:rPr>
            </w:pPr>
            <w:r w:rsidRPr="005F2168">
              <w:rPr>
                <w:sz w:val="22"/>
                <w:szCs w:val="22"/>
              </w:rPr>
              <w:t>PV: 24</w:t>
            </w:r>
            <w:r w:rsidR="004253E6" w:rsidRPr="005F2168">
              <w:rPr>
                <w:sz w:val="22"/>
                <w:szCs w:val="22"/>
              </w:rPr>
              <w:t>8</w:t>
            </w:r>
          </w:p>
          <w:p w14:paraId="1818CFA0" w14:textId="15B7A820" w:rsidR="00454251" w:rsidRPr="005F2168" w:rsidRDefault="00454251" w:rsidP="00281A92">
            <w:pPr>
              <w:spacing w:before="0" w:after="0" w:line="240" w:lineRule="auto"/>
              <w:jc w:val="left"/>
              <w:rPr>
                <w:sz w:val="22"/>
                <w:szCs w:val="22"/>
              </w:rPr>
            </w:pPr>
            <w:r w:rsidRPr="005F2168">
              <w:rPr>
                <w:sz w:val="22"/>
                <w:szCs w:val="22"/>
              </w:rPr>
              <w:t>Gain: 0.9</w:t>
            </w:r>
            <w:r w:rsidR="004253E6" w:rsidRPr="005F2168">
              <w:rPr>
                <w:sz w:val="22"/>
                <w:szCs w:val="22"/>
              </w:rPr>
              <w:t>3</w:t>
            </w:r>
          </w:p>
        </w:tc>
        <w:tc>
          <w:tcPr>
            <w:tcW w:w="1512" w:type="dxa"/>
          </w:tcPr>
          <w:p w14:paraId="0AE1EC38" w14:textId="7529E64E" w:rsidR="00454251" w:rsidRPr="005F2168" w:rsidRDefault="00454251" w:rsidP="00281A92">
            <w:pPr>
              <w:spacing w:before="0" w:after="0" w:line="240" w:lineRule="auto"/>
              <w:jc w:val="left"/>
              <w:rPr>
                <w:sz w:val="22"/>
                <w:szCs w:val="22"/>
              </w:rPr>
            </w:pPr>
            <w:r w:rsidRPr="005F2168">
              <w:rPr>
                <w:sz w:val="22"/>
                <w:szCs w:val="22"/>
              </w:rPr>
              <w:t>Latency: 2</w:t>
            </w:r>
            <w:r w:rsidR="004253E6" w:rsidRPr="005F2168">
              <w:rPr>
                <w:sz w:val="22"/>
                <w:szCs w:val="22"/>
              </w:rPr>
              <w:t>11</w:t>
            </w:r>
          </w:p>
          <w:p w14:paraId="182FD193" w14:textId="11039162" w:rsidR="00454251" w:rsidRPr="005F2168" w:rsidRDefault="00454251" w:rsidP="00281A92">
            <w:pPr>
              <w:spacing w:before="0" w:after="0" w:line="240" w:lineRule="auto"/>
              <w:jc w:val="left"/>
              <w:rPr>
                <w:sz w:val="22"/>
                <w:szCs w:val="22"/>
              </w:rPr>
            </w:pPr>
            <w:r w:rsidRPr="005F2168">
              <w:rPr>
                <w:sz w:val="22"/>
                <w:szCs w:val="22"/>
              </w:rPr>
              <w:t xml:space="preserve">PV: </w:t>
            </w:r>
            <w:r w:rsidR="004253E6" w:rsidRPr="005F2168">
              <w:rPr>
                <w:sz w:val="22"/>
                <w:szCs w:val="22"/>
              </w:rPr>
              <w:t>273</w:t>
            </w:r>
          </w:p>
          <w:p w14:paraId="7D87B4D6" w14:textId="32896421" w:rsidR="00454251" w:rsidRPr="005F2168" w:rsidRDefault="00454251" w:rsidP="00281A92">
            <w:pPr>
              <w:spacing w:before="0" w:after="0" w:line="240" w:lineRule="auto"/>
              <w:rPr>
                <w:sz w:val="22"/>
                <w:szCs w:val="22"/>
              </w:rPr>
            </w:pPr>
            <w:r w:rsidRPr="005F2168">
              <w:rPr>
                <w:sz w:val="22"/>
                <w:szCs w:val="22"/>
              </w:rPr>
              <w:t xml:space="preserve">Gain: </w:t>
            </w:r>
            <w:r w:rsidR="004253E6" w:rsidRPr="005F2168">
              <w:rPr>
                <w:sz w:val="22"/>
                <w:szCs w:val="22"/>
              </w:rPr>
              <w:t>0.99</w:t>
            </w:r>
          </w:p>
        </w:tc>
        <w:tc>
          <w:tcPr>
            <w:tcW w:w="1512" w:type="dxa"/>
          </w:tcPr>
          <w:p w14:paraId="5A317E09" w14:textId="10B09CC9" w:rsidR="00454251" w:rsidRPr="005F2168" w:rsidRDefault="00454251" w:rsidP="00281A92">
            <w:pPr>
              <w:spacing w:before="0" w:after="0" w:line="240" w:lineRule="auto"/>
              <w:jc w:val="left"/>
              <w:rPr>
                <w:sz w:val="22"/>
                <w:szCs w:val="22"/>
              </w:rPr>
            </w:pPr>
            <w:r w:rsidRPr="005F2168">
              <w:rPr>
                <w:sz w:val="22"/>
                <w:szCs w:val="22"/>
              </w:rPr>
              <w:t>Latency: 22</w:t>
            </w:r>
            <w:r w:rsidR="004253E6" w:rsidRPr="005F2168">
              <w:rPr>
                <w:sz w:val="22"/>
                <w:szCs w:val="22"/>
              </w:rPr>
              <w:t>8</w:t>
            </w:r>
          </w:p>
          <w:p w14:paraId="37BD08B2" w14:textId="15C1EA1F" w:rsidR="00454251" w:rsidRPr="005F2168" w:rsidRDefault="00454251" w:rsidP="00281A92">
            <w:pPr>
              <w:spacing w:before="0" w:after="0" w:line="240" w:lineRule="auto"/>
              <w:jc w:val="left"/>
              <w:rPr>
                <w:sz w:val="22"/>
                <w:szCs w:val="22"/>
              </w:rPr>
            </w:pPr>
            <w:r w:rsidRPr="005F2168">
              <w:rPr>
                <w:sz w:val="22"/>
                <w:szCs w:val="22"/>
              </w:rPr>
              <w:t>PV: 28</w:t>
            </w:r>
            <w:r w:rsidR="004253E6" w:rsidRPr="005F2168">
              <w:rPr>
                <w:sz w:val="22"/>
                <w:szCs w:val="22"/>
              </w:rPr>
              <w:t>8</w:t>
            </w:r>
          </w:p>
          <w:p w14:paraId="6A035DF1" w14:textId="625ED459" w:rsidR="00454251" w:rsidRPr="005F2168" w:rsidRDefault="00454251" w:rsidP="00281A92">
            <w:pPr>
              <w:spacing w:before="0" w:after="0" w:line="240" w:lineRule="auto"/>
              <w:jc w:val="left"/>
              <w:rPr>
                <w:sz w:val="22"/>
                <w:szCs w:val="22"/>
              </w:rPr>
            </w:pPr>
            <w:r w:rsidRPr="005F2168">
              <w:rPr>
                <w:sz w:val="22"/>
                <w:szCs w:val="22"/>
              </w:rPr>
              <w:t>Gain: 0.</w:t>
            </w:r>
            <w:r w:rsidR="004253E6" w:rsidRPr="005F2168">
              <w:rPr>
                <w:sz w:val="22"/>
                <w:szCs w:val="22"/>
              </w:rPr>
              <w:t>94</w:t>
            </w:r>
          </w:p>
        </w:tc>
      </w:tr>
      <w:tr w:rsidR="00454251" w:rsidRPr="005F2168" w14:paraId="03C40CE6" w14:textId="77777777" w:rsidTr="00281A92">
        <w:tc>
          <w:tcPr>
            <w:tcW w:w="2552" w:type="dxa"/>
            <w:vMerge/>
          </w:tcPr>
          <w:p w14:paraId="5F912352" w14:textId="77777777" w:rsidR="00454251" w:rsidRPr="005F2168" w:rsidRDefault="00454251" w:rsidP="00281A92">
            <w:pPr>
              <w:spacing w:before="0" w:after="0" w:line="240" w:lineRule="auto"/>
              <w:jc w:val="left"/>
              <w:rPr>
                <w:b/>
                <w:bCs/>
                <w:sz w:val="22"/>
                <w:szCs w:val="22"/>
              </w:rPr>
            </w:pPr>
          </w:p>
        </w:tc>
        <w:tc>
          <w:tcPr>
            <w:tcW w:w="1984" w:type="dxa"/>
          </w:tcPr>
          <w:p w14:paraId="5E04EF4F" w14:textId="77777777" w:rsidR="00454251" w:rsidRPr="005F2168" w:rsidRDefault="00454251" w:rsidP="00281A92">
            <w:pPr>
              <w:spacing w:before="0" w:after="0" w:line="240" w:lineRule="auto"/>
              <w:jc w:val="left"/>
              <w:rPr>
                <w:sz w:val="22"/>
                <w:szCs w:val="22"/>
              </w:rPr>
            </w:pPr>
            <w:r w:rsidRPr="005F2168">
              <w:rPr>
                <w:sz w:val="22"/>
                <w:szCs w:val="22"/>
              </w:rPr>
              <w:t>-4° D</w:t>
            </w:r>
          </w:p>
        </w:tc>
        <w:tc>
          <w:tcPr>
            <w:tcW w:w="1512" w:type="dxa"/>
          </w:tcPr>
          <w:p w14:paraId="7E5D8076" w14:textId="7DDBF1C4" w:rsidR="00454251" w:rsidRPr="005F2168" w:rsidRDefault="00454251" w:rsidP="00281A92">
            <w:pPr>
              <w:spacing w:before="0" w:after="0" w:line="240" w:lineRule="auto"/>
              <w:jc w:val="left"/>
              <w:rPr>
                <w:sz w:val="22"/>
                <w:szCs w:val="22"/>
              </w:rPr>
            </w:pPr>
            <w:r w:rsidRPr="005F2168">
              <w:rPr>
                <w:sz w:val="22"/>
                <w:szCs w:val="22"/>
              </w:rPr>
              <w:t>Latency: 1</w:t>
            </w:r>
            <w:r w:rsidR="004253E6" w:rsidRPr="005F2168">
              <w:rPr>
                <w:sz w:val="22"/>
                <w:szCs w:val="22"/>
              </w:rPr>
              <w:t>88</w:t>
            </w:r>
          </w:p>
          <w:p w14:paraId="64163C1B" w14:textId="01E75187" w:rsidR="00454251" w:rsidRPr="005F2168" w:rsidRDefault="00454251" w:rsidP="00281A92">
            <w:pPr>
              <w:spacing w:before="0" w:after="0" w:line="240" w:lineRule="auto"/>
              <w:jc w:val="left"/>
              <w:rPr>
                <w:sz w:val="22"/>
                <w:szCs w:val="22"/>
              </w:rPr>
            </w:pPr>
            <w:r w:rsidRPr="005F2168">
              <w:rPr>
                <w:sz w:val="22"/>
                <w:szCs w:val="22"/>
              </w:rPr>
              <w:t xml:space="preserve">PV: </w:t>
            </w:r>
            <w:r w:rsidR="004253E6" w:rsidRPr="005F2168">
              <w:rPr>
                <w:sz w:val="22"/>
                <w:szCs w:val="22"/>
              </w:rPr>
              <w:t>202</w:t>
            </w:r>
          </w:p>
          <w:p w14:paraId="440CC0C9" w14:textId="5468C610" w:rsidR="00454251" w:rsidRPr="005F2168" w:rsidRDefault="00454251" w:rsidP="00281A92">
            <w:pPr>
              <w:spacing w:before="0" w:after="0" w:line="240" w:lineRule="auto"/>
              <w:jc w:val="left"/>
              <w:rPr>
                <w:sz w:val="22"/>
                <w:szCs w:val="22"/>
              </w:rPr>
            </w:pPr>
            <w:r w:rsidRPr="005F2168">
              <w:rPr>
                <w:sz w:val="22"/>
                <w:szCs w:val="22"/>
              </w:rPr>
              <w:t>Gain: 0.9</w:t>
            </w:r>
            <w:r w:rsidR="004253E6" w:rsidRPr="005F2168">
              <w:rPr>
                <w:sz w:val="22"/>
                <w:szCs w:val="22"/>
              </w:rPr>
              <w:t>3</w:t>
            </w:r>
          </w:p>
        </w:tc>
        <w:tc>
          <w:tcPr>
            <w:tcW w:w="1512" w:type="dxa"/>
          </w:tcPr>
          <w:p w14:paraId="384CA4DA" w14:textId="6E950B7F" w:rsidR="00454251" w:rsidRPr="005F2168" w:rsidRDefault="00454251" w:rsidP="00281A92">
            <w:pPr>
              <w:spacing w:before="0" w:after="0" w:line="240" w:lineRule="auto"/>
              <w:jc w:val="left"/>
              <w:rPr>
                <w:sz w:val="22"/>
                <w:szCs w:val="22"/>
              </w:rPr>
            </w:pPr>
            <w:r w:rsidRPr="005F2168">
              <w:rPr>
                <w:sz w:val="22"/>
                <w:szCs w:val="22"/>
              </w:rPr>
              <w:t>Latency: 21</w:t>
            </w:r>
            <w:r w:rsidR="004253E6" w:rsidRPr="005F2168">
              <w:rPr>
                <w:sz w:val="22"/>
                <w:szCs w:val="22"/>
              </w:rPr>
              <w:t>8</w:t>
            </w:r>
          </w:p>
          <w:p w14:paraId="6F5D241F" w14:textId="66DC47E8" w:rsidR="00454251" w:rsidRPr="005F2168" w:rsidRDefault="00454251" w:rsidP="00281A92">
            <w:pPr>
              <w:spacing w:before="0" w:after="0" w:line="240" w:lineRule="auto"/>
              <w:jc w:val="left"/>
              <w:rPr>
                <w:sz w:val="22"/>
                <w:szCs w:val="22"/>
              </w:rPr>
            </w:pPr>
            <w:r w:rsidRPr="005F2168">
              <w:rPr>
                <w:sz w:val="22"/>
                <w:szCs w:val="22"/>
              </w:rPr>
              <w:t>PV: 2</w:t>
            </w:r>
            <w:r w:rsidR="004253E6" w:rsidRPr="005F2168">
              <w:rPr>
                <w:sz w:val="22"/>
                <w:szCs w:val="22"/>
              </w:rPr>
              <w:t>11</w:t>
            </w:r>
          </w:p>
          <w:p w14:paraId="633FACCD" w14:textId="0E1767DE" w:rsidR="00454251" w:rsidRPr="005F2168" w:rsidRDefault="00454251" w:rsidP="00281A92">
            <w:pPr>
              <w:spacing w:before="0" w:after="0" w:line="240" w:lineRule="auto"/>
              <w:rPr>
                <w:sz w:val="22"/>
                <w:szCs w:val="22"/>
              </w:rPr>
            </w:pPr>
            <w:r w:rsidRPr="005F2168">
              <w:rPr>
                <w:sz w:val="22"/>
                <w:szCs w:val="22"/>
              </w:rPr>
              <w:t xml:space="preserve">Gain: </w:t>
            </w:r>
            <w:r w:rsidR="004253E6" w:rsidRPr="005F2168">
              <w:rPr>
                <w:sz w:val="22"/>
                <w:szCs w:val="22"/>
              </w:rPr>
              <w:t>1.00</w:t>
            </w:r>
          </w:p>
        </w:tc>
        <w:tc>
          <w:tcPr>
            <w:tcW w:w="1512" w:type="dxa"/>
          </w:tcPr>
          <w:p w14:paraId="1CD511E9" w14:textId="680BE99E" w:rsidR="00454251" w:rsidRPr="005F2168" w:rsidRDefault="00454251" w:rsidP="00281A92">
            <w:pPr>
              <w:spacing w:before="0" w:after="0" w:line="240" w:lineRule="auto"/>
              <w:jc w:val="left"/>
              <w:rPr>
                <w:sz w:val="22"/>
                <w:szCs w:val="22"/>
              </w:rPr>
            </w:pPr>
            <w:r w:rsidRPr="005F2168">
              <w:rPr>
                <w:sz w:val="22"/>
                <w:szCs w:val="22"/>
              </w:rPr>
              <w:t>Latency: 23</w:t>
            </w:r>
            <w:r w:rsidR="004253E6" w:rsidRPr="005F2168">
              <w:rPr>
                <w:sz w:val="22"/>
                <w:szCs w:val="22"/>
              </w:rPr>
              <w:t>7</w:t>
            </w:r>
          </w:p>
          <w:p w14:paraId="351CDE87" w14:textId="7CB05111" w:rsidR="00454251" w:rsidRPr="005F2168" w:rsidRDefault="00454251" w:rsidP="00281A92">
            <w:pPr>
              <w:spacing w:before="0" w:after="0" w:line="240" w:lineRule="auto"/>
              <w:jc w:val="left"/>
              <w:rPr>
                <w:sz w:val="22"/>
                <w:szCs w:val="22"/>
              </w:rPr>
            </w:pPr>
            <w:r w:rsidRPr="005F2168">
              <w:rPr>
                <w:sz w:val="22"/>
                <w:szCs w:val="22"/>
              </w:rPr>
              <w:t>PV: 23</w:t>
            </w:r>
            <w:r w:rsidR="004253E6" w:rsidRPr="005F2168">
              <w:rPr>
                <w:sz w:val="22"/>
                <w:szCs w:val="22"/>
              </w:rPr>
              <w:t>4</w:t>
            </w:r>
          </w:p>
          <w:p w14:paraId="2F91B471" w14:textId="77777777" w:rsidR="00454251" w:rsidRPr="005F2168" w:rsidRDefault="00454251" w:rsidP="00281A92">
            <w:pPr>
              <w:spacing w:before="0" w:after="0" w:line="240" w:lineRule="auto"/>
              <w:jc w:val="left"/>
              <w:rPr>
                <w:sz w:val="22"/>
                <w:szCs w:val="22"/>
              </w:rPr>
            </w:pPr>
            <w:r w:rsidRPr="005F2168">
              <w:rPr>
                <w:sz w:val="22"/>
                <w:szCs w:val="22"/>
              </w:rPr>
              <w:t>Gain: 0.99</w:t>
            </w:r>
          </w:p>
        </w:tc>
      </w:tr>
      <w:tr w:rsidR="00454251" w:rsidRPr="005F2168" w14:paraId="51D2D4CA" w14:textId="77777777" w:rsidTr="00281A92">
        <w:tc>
          <w:tcPr>
            <w:tcW w:w="2552" w:type="dxa"/>
            <w:vMerge/>
          </w:tcPr>
          <w:p w14:paraId="132F8FBA" w14:textId="77777777" w:rsidR="00454251" w:rsidRPr="005F2168" w:rsidRDefault="00454251" w:rsidP="00281A92">
            <w:pPr>
              <w:spacing w:before="0" w:after="0" w:line="240" w:lineRule="auto"/>
              <w:jc w:val="left"/>
              <w:rPr>
                <w:b/>
                <w:bCs/>
                <w:sz w:val="22"/>
                <w:szCs w:val="22"/>
              </w:rPr>
            </w:pPr>
          </w:p>
        </w:tc>
        <w:tc>
          <w:tcPr>
            <w:tcW w:w="1984" w:type="dxa"/>
          </w:tcPr>
          <w:p w14:paraId="22A98094" w14:textId="77777777" w:rsidR="00454251" w:rsidRPr="005F2168" w:rsidRDefault="00454251" w:rsidP="00281A92">
            <w:pPr>
              <w:spacing w:before="0" w:after="0" w:line="240" w:lineRule="auto"/>
              <w:jc w:val="left"/>
              <w:rPr>
                <w:sz w:val="22"/>
                <w:szCs w:val="22"/>
              </w:rPr>
            </w:pPr>
            <w:r w:rsidRPr="005F2168">
              <w:rPr>
                <w:sz w:val="22"/>
                <w:szCs w:val="22"/>
              </w:rPr>
              <w:t>4° U</w:t>
            </w:r>
          </w:p>
        </w:tc>
        <w:tc>
          <w:tcPr>
            <w:tcW w:w="1512" w:type="dxa"/>
          </w:tcPr>
          <w:p w14:paraId="5BB67578" w14:textId="77777777" w:rsidR="00454251" w:rsidRPr="005F2168" w:rsidRDefault="00454251" w:rsidP="00281A92">
            <w:pPr>
              <w:spacing w:before="0" w:after="0" w:line="240" w:lineRule="auto"/>
              <w:jc w:val="left"/>
              <w:rPr>
                <w:sz w:val="22"/>
                <w:szCs w:val="22"/>
              </w:rPr>
            </w:pPr>
            <w:r w:rsidRPr="005F2168">
              <w:rPr>
                <w:sz w:val="22"/>
                <w:szCs w:val="22"/>
              </w:rPr>
              <w:t>Latency: 166</w:t>
            </w:r>
          </w:p>
          <w:p w14:paraId="01C57648" w14:textId="097BF5D6" w:rsidR="00454251" w:rsidRPr="005F2168" w:rsidRDefault="00454251" w:rsidP="00281A92">
            <w:pPr>
              <w:spacing w:before="0" w:after="0" w:line="240" w:lineRule="auto"/>
              <w:jc w:val="left"/>
              <w:rPr>
                <w:sz w:val="22"/>
                <w:szCs w:val="22"/>
              </w:rPr>
            </w:pPr>
            <w:r w:rsidRPr="005F2168">
              <w:rPr>
                <w:sz w:val="22"/>
                <w:szCs w:val="22"/>
              </w:rPr>
              <w:t>PV: 2</w:t>
            </w:r>
            <w:r w:rsidR="004253E6" w:rsidRPr="005F2168">
              <w:rPr>
                <w:sz w:val="22"/>
                <w:szCs w:val="22"/>
              </w:rPr>
              <w:t>17</w:t>
            </w:r>
          </w:p>
          <w:p w14:paraId="0F575B09" w14:textId="0D4356DD" w:rsidR="00454251" w:rsidRPr="005F2168" w:rsidRDefault="00454251" w:rsidP="00281A92">
            <w:pPr>
              <w:spacing w:before="0" w:after="0" w:line="240" w:lineRule="auto"/>
              <w:jc w:val="left"/>
              <w:rPr>
                <w:sz w:val="22"/>
                <w:szCs w:val="22"/>
              </w:rPr>
            </w:pPr>
            <w:r w:rsidRPr="005F2168">
              <w:rPr>
                <w:sz w:val="22"/>
                <w:szCs w:val="22"/>
              </w:rPr>
              <w:t>Gain: 0.9</w:t>
            </w:r>
            <w:r w:rsidR="004253E6" w:rsidRPr="005F2168">
              <w:rPr>
                <w:sz w:val="22"/>
                <w:szCs w:val="22"/>
              </w:rPr>
              <w:t>2</w:t>
            </w:r>
          </w:p>
        </w:tc>
        <w:tc>
          <w:tcPr>
            <w:tcW w:w="1512" w:type="dxa"/>
          </w:tcPr>
          <w:p w14:paraId="254C2890" w14:textId="2D185555" w:rsidR="00454251" w:rsidRPr="005F2168" w:rsidRDefault="00454251" w:rsidP="00281A92">
            <w:pPr>
              <w:spacing w:before="0" w:after="0" w:line="240" w:lineRule="auto"/>
              <w:jc w:val="left"/>
              <w:rPr>
                <w:sz w:val="22"/>
                <w:szCs w:val="22"/>
              </w:rPr>
            </w:pPr>
            <w:r w:rsidRPr="005F2168">
              <w:rPr>
                <w:sz w:val="22"/>
                <w:szCs w:val="22"/>
              </w:rPr>
              <w:t>Latency: 18</w:t>
            </w:r>
            <w:r w:rsidR="004253E6" w:rsidRPr="005F2168">
              <w:rPr>
                <w:sz w:val="22"/>
                <w:szCs w:val="22"/>
              </w:rPr>
              <w:t>2</w:t>
            </w:r>
          </w:p>
          <w:p w14:paraId="75BCE0F2" w14:textId="7BDF847C" w:rsidR="00454251" w:rsidRPr="005F2168" w:rsidRDefault="00454251" w:rsidP="00281A92">
            <w:pPr>
              <w:spacing w:before="0" w:after="0" w:line="240" w:lineRule="auto"/>
              <w:jc w:val="left"/>
              <w:rPr>
                <w:sz w:val="22"/>
                <w:szCs w:val="22"/>
              </w:rPr>
            </w:pPr>
            <w:r w:rsidRPr="005F2168">
              <w:rPr>
                <w:sz w:val="22"/>
                <w:szCs w:val="22"/>
              </w:rPr>
              <w:t>PV: 2</w:t>
            </w:r>
            <w:r w:rsidR="004253E6" w:rsidRPr="005F2168">
              <w:rPr>
                <w:sz w:val="22"/>
                <w:szCs w:val="22"/>
              </w:rPr>
              <w:t>17</w:t>
            </w:r>
          </w:p>
          <w:p w14:paraId="6A0E8C70" w14:textId="01EC8602" w:rsidR="00454251" w:rsidRPr="005F2168" w:rsidRDefault="00454251" w:rsidP="00281A92">
            <w:pPr>
              <w:spacing w:before="0" w:after="0" w:line="240" w:lineRule="auto"/>
              <w:rPr>
                <w:sz w:val="22"/>
                <w:szCs w:val="22"/>
              </w:rPr>
            </w:pPr>
            <w:r w:rsidRPr="005F2168">
              <w:rPr>
                <w:sz w:val="22"/>
                <w:szCs w:val="22"/>
              </w:rPr>
              <w:t>Gain: 0</w:t>
            </w:r>
            <w:r w:rsidR="004253E6" w:rsidRPr="005F2168">
              <w:rPr>
                <w:sz w:val="22"/>
                <w:szCs w:val="22"/>
              </w:rPr>
              <w:t>.90</w:t>
            </w:r>
          </w:p>
        </w:tc>
        <w:tc>
          <w:tcPr>
            <w:tcW w:w="1512" w:type="dxa"/>
          </w:tcPr>
          <w:p w14:paraId="4B2E8D83" w14:textId="44E8D4D4" w:rsidR="00454251" w:rsidRPr="005F2168" w:rsidRDefault="00454251" w:rsidP="00281A92">
            <w:pPr>
              <w:spacing w:before="0" w:after="0" w:line="240" w:lineRule="auto"/>
              <w:jc w:val="left"/>
              <w:rPr>
                <w:sz w:val="22"/>
                <w:szCs w:val="22"/>
              </w:rPr>
            </w:pPr>
            <w:r w:rsidRPr="005F2168">
              <w:rPr>
                <w:sz w:val="22"/>
                <w:szCs w:val="22"/>
              </w:rPr>
              <w:t xml:space="preserve">Latency: </w:t>
            </w:r>
            <w:r w:rsidR="004253E6" w:rsidRPr="005F2168">
              <w:rPr>
                <w:sz w:val="22"/>
                <w:szCs w:val="22"/>
              </w:rPr>
              <w:t>200</w:t>
            </w:r>
          </w:p>
          <w:p w14:paraId="53F7B8D9" w14:textId="77777777" w:rsidR="00454251" w:rsidRPr="005F2168" w:rsidRDefault="00454251" w:rsidP="00281A92">
            <w:pPr>
              <w:spacing w:before="0" w:after="0" w:line="240" w:lineRule="auto"/>
              <w:jc w:val="left"/>
              <w:rPr>
                <w:sz w:val="22"/>
                <w:szCs w:val="22"/>
              </w:rPr>
            </w:pPr>
            <w:r w:rsidRPr="005F2168">
              <w:rPr>
                <w:sz w:val="22"/>
                <w:szCs w:val="22"/>
              </w:rPr>
              <w:t>PV: 206</w:t>
            </w:r>
          </w:p>
          <w:p w14:paraId="617B4A00" w14:textId="77777777" w:rsidR="00454251" w:rsidRPr="005F2168" w:rsidRDefault="00454251" w:rsidP="00281A92">
            <w:pPr>
              <w:spacing w:before="0" w:after="0" w:line="240" w:lineRule="auto"/>
              <w:jc w:val="left"/>
              <w:rPr>
                <w:sz w:val="22"/>
                <w:szCs w:val="22"/>
              </w:rPr>
            </w:pPr>
            <w:r w:rsidRPr="005F2168">
              <w:rPr>
                <w:sz w:val="22"/>
                <w:szCs w:val="22"/>
              </w:rPr>
              <w:t>Gain: 0.86</w:t>
            </w:r>
          </w:p>
        </w:tc>
      </w:tr>
      <w:tr w:rsidR="00454251" w:rsidRPr="005F2168" w14:paraId="6B75FF4E" w14:textId="77777777" w:rsidTr="00281A92">
        <w:tc>
          <w:tcPr>
            <w:tcW w:w="2552" w:type="dxa"/>
            <w:vMerge/>
          </w:tcPr>
          <w:p w14:paraId="203A2DB7" w14:textId="77777777" w:rsidR="00454251" w:rsidRPr="005F2168" w:rsidRDefault="00454251" w:rsidP="00281A92">
            <w:pPr>
              <w:spacing w:before="0" w:after="0" w:line="240" w:lineRule="auto"/>
              <w:jc w:val="left"/>
              <w:rPr>
                <w:b/>
                <w:bCs/>
                <w:sz w:val="22"/>
                <w:szCs w:val="22"/>
              </w:rPr>
            </w:pPr>
          </w:p>
        </w:tc>
        <w:tc>
          <w:tcPr>
            <w:tcW w:w="1984" w:type="dxa"/>
          </w:tcPr>
          <w:p w14:paraId="72F88145" w14:textId="77777777" w:rsidR="00454251" w:rsidRPr="005F2168" w:rsidRDefault="00454251" w:rsidP="00281A92">
            <w:pPr>
              <w:spacing w:before="0" w:after="0" w:line="240" w:lineRule="auto"/>
              <w:jc w:val="left"/>
              <w:rPr>
                <w:sz w:val="22"/>
                <w:szCs w:val="22"/>
              </w:rPr>
            </w:pPr>
            <w:r w:rsidRPr="005F2168">
              <w:rPr>
                <w:sz w:val="22"/>
                <w:szCs w:val="22"/>
              </w:rPr>
              <w:t>6° U</w:t>
            </w:r>
          </w:p>
        </w:tc>
        <w:tc>
          <w:tcPr>
            <w:tcW w:w="1512" w:type="dxa"/>
          </w:tcPr>
          <w:p w14:paraId="42843252" w14:textId="76436650" w:rsidR="00454251" w:rsidRPr="005F2168" w:rsidRDefault="00454251" w:rsidP="00281A92">
            <w:pPr>
              <w:spacing w:before="0" w:after="0" w:line="240" w:lineRule="auto"/>
              <w:jc w:val="left"/>
              <w:rPr>
                <w:sz w:val="22"/>
                <w:szCs w:val="22"/>
              </w:rPr>
            </w:pPr>
            <w:r w:rsidRPr="005F2168">
              <w:rPr>
                <w:sz w:val="22"/>
                <w:szCs w:val="22"/>
              </w:rPr>
              <w:t>Latency: 1</w:t>
            </w:r>
            <w:r w:rsidR="004253E6" w:rsidRPr="005F2168">
              <w:rPr>
                <w:sz w:val="22"/>
                <w:szCs w:val="22"/>
              </w:rPr>
              <w:t>70</w:t>
            </w:r>
          </w:p>
          <w:p w14:paraId="648B502C" w14:textId="231DAF89" w:rsidR="00454251" w:rsidRPr="005F2168" w:rsidRDefault="00454251" w:rsidP="00281A92">
            <w:pPr>
              <w:spacing w:before="0" w:after="0" w:line="240" w:lineRule="auto"/>
              <w:jc w:val="left"/>
              <w:rPr>
                <w:sz w:val="22"/>
                <w:szCs w:val="22"/>
              </w:rPr>
            </w:pPr>
            <w:r w:rsidRPr="005F2168">
              <w:rPr>
                <w:sz w:val="22"/>
                <w:szCs w:val="22"/>
              </w:rPr>
              <w:t>PV: 2</w:t>
            </w:r>
            <w:r w:rsidR="004253E6" w:rsidRPr="005F2168">
              <w:rPr>
                <w:sz w:val="22"/>
                <w:szCs w:val="22"/>
              </w:rPr>
              <w:t>61</w:t>
            </w:r>
          </w:p>
          <w:p w14:paraId="4F8FA6C3" w14:textId="77777777" w:rsidR="00454251" w:rsidRPr="005F2168" w:rsidRDefault="00454251" w:rsidP="00281A92">
            <w:pPr>
              <w:spacing w:before="0" w:after="0" w:line="240" w:lineRule="auto"/>
              <w:jc w:val="left"/>
              <w:rPr>
                <w:sz w:val="22"/>
                <w:szCs w:val="22"/>
              </w:rPr>
            </w:pPr>
            <w:r w:rsidRPr="005F2168">
              <w:rPr>
                <w:sz w:val="22"/>
                <w:szCs w:val="22"/>
              </w:rPr>
              <w:t>Gain: 0.88</w:t>
            </w:r>
          </w:p>
        </w:tc>
        <w:tc>
          <w:tcPr>
            <w:tcW w:w="1512" w:type="dxa"/>
          </w:tcPr>
          <w:p w14:paraId="54FD6D91" w14:textId="4932E9FC" w:rsidR="00454251" w:rsidRPr="005F2168" w:rsidRDefault="00454251" w:rsidP="00281A92">
            <w:pPr>
              <w:spacing w:before="0" w:after="0" w:line="240" w:lineRule="auto"/>
              <w:jc w:val="left"/>
              <w:rPr>
                <w:sz w:val="22"/>
                <w:szCs w:val="22"/>
              </w:rPr>
            </w:pPr>
            <w:r w:rsidRPr="005F2168">
              <w:rPr>
                <w:sz w:val="22"/>
                <w:szCs w:val="22"/>
              </w:rPr>
              <w:t>Latency: 1</w:t>
            </w:r>
            <w:r w:rsidR="004253E6" w:rsidRPr="005F2168">
              <w:rPr>
                <w:sz w:val="22"/>
                <w:szCs w:val="22"/>
              </w:rPr>
              <w:t>84</w:t>
            </w:r>
          </w:p>
          <w:p w14:paraId="19612EA4" w14:textId="4734A78A" w:rsidR="00454251" w:rsidRPr="005F2168" w:rsidRDefault="00454251" w:rsidP="00281A92">
            <w:pPr>
              <w:spacing w:before="0" w:after="0" w:line="240" w:lineRule="auto"/>
              <w:jc w:val="left"/>
              <w:rPr>
                <w:sz w:val="22"/>
                <w:szCs w:val="22"/>
              </w:rPr>
            </w:pPr>
            <w:r w:rsidRPr="005F2168">
              <w:rPr>
                <w:sz w:val="22"/>
                <w:szCs w:val="22"/>
              </w:rPr>
              <w:t xml:space="preserve">PV: </w:t>
            </w:r>
            <w:r w:rsidR="004253E6" w:rsidRPr="005F2168">
              <w:rPr>
                <w:sz w:val="22"/>
                <w:szCs w:val="22"/>
              </w:rPr>
              <w:t>257</w:t>
            </w:r>
          </w:p>
          <w:p w14:paraId="404710AF" w14:textId="1548095A" w:rsidR="00454251" w:rsidRPr="005F2168" w:rsidRDefault="00454251" w:rsidP="00281A92">
            <w:pPr>
              <w:spacing w:before="0" w:after="0" w:line="240" w:lineRule="auto"/>
              <w:rPr>
                <w:sz w:val="22"/>
                <w:szCs w:val="22"/>
              </w:rPr>
            </w:pPr>
            <w:r w:rsidRPr="005F2168">
              <w:rPr>
                <w:sz w:val="22"/>
                <w:szCs w:val="22"/>
              </w:rPr>
              <w:t>Gain: 0.8</w:t>
            </w:r>
            <w:r w:rsidR="004253E6" w:rsidRPr="005F2168">
              <w:rPr>
                <w:sz w:val="22"/>
                <w:szCs w:val="22"/>
              </w:rPr>
              <w:t>2</w:t>
            </w:r>
          </w:p>
        </w:tc>
        <w:tc>
          <w:tcPr>
            <w:tcW w:w="1512" w:type="dxa"/>
          </w:tcPr>
          <w:p w14:paraId="0157F1E1" w14:textId="7130A48C" w:rsidR="00454251" w:rsidRPr="005F2168" w:rsidRDefault="00454251" w:rsidP="00281A92">
            <w:pPr>
              <w:spacing w:before="0" w:after="0" w:line="240" w:lineRule="auto"/>
              <w:jc w:val="left"/>
              <w:rPr>
                <w:sz w:val="22"/>
                <w:szCs w:val="22"/>
              </w:rPr>
            </w:pPr>
            <w:r w:rsidRPr="005F2168">
              <w:rPr>
                <w:sz w:val="22"/>
                <w:szCs w:val="22"/>
              </w:rPr>
              <w:t>Latency: 20</w:t>
            </w:r>
            <w:r w:rsidR="004253E6" w:rsidRPr="005F2168">
              <w:rPr>
                <w:sz w:val="22"/>
                <w:szCs w:val="22"/>
              </w:rPr>
              <w:t>9</w:t>
            </w:r>
          </w:p>
          <w:p w14:paraId="25E6F239" w14:textId="69D9CAA4" w:rsidR="00454251" w:rsidRPr="005F2168" w:rsidRDefault="00454251" w:rsidP="00281A92">
            <w:pPr>
              <w:spacing w:before="0" w:after="0" w:line="240" w:lineRule="auto"/>
              <w:jc w:val="left"/>
              <w:rPr>
                <w:sz w:val="22"/>
                <w:szCs w:val="22"/>
              </w:rPr>
            </w:pPr>
            <w:r w:rsidRPr="005F2168">
              <w:rPr>
                <w:sz w:val="22"/>
                <w:szCs w:val="22"/>
              </w:rPr>
              <w:t>PV: 24</w:t>
            </w:r>
            <w:r w:rsidR="004253E6" w:rsidRPr="005F2168">
              <w:rPr>
                <w:sz w:val="22"/>
                <w:szCs w:val="22"/>
              </w:rPr>
              <w:t>8</w:t>
            </w:r>
          </w:p>
          <w:p w14:paraId="27E73200" w14:textId="1916F424" w:rsidR="00454251" w:rsidRPr="005F2168" w:rsidRDefault="00454251" w:rsidP="00281A92">
            <w:pPr>
              <w:spacing w:before="0" w:after="0" w:line="240" w:lineRule="auto"/>
              <w:jc w:val="left"/>
              <w:rPr>
                <w:sz w:val="22"/>
                <w:szCs w:val="22"/>
              </w:rPr>
            </w:pPr>
            <w:r w:rsidRPr="005F2168">
              <w:rPr>
                <w:sz w:val="22"/>
                <w:szCs w:val="22"/>
              </w:rPr>
              <w:t>Gain: 0.7</w:t>
            </w:r>
            <w:r w:rsidR="004253E6" w:rsidRPr="005F2168">
              <w:rPr>
                <w:sz w:val="22"/>
                <w:szCs w:val="22"/>
              </w:rPr>
              <w:t>9</w:t>
            </w:r>
          </w:p>
        </w:tc>
      </w:tr>
      <w:tr w:rsidR="00454251" w:rsidRPr="005F2168" w14:paraId="2F867306" w14:textId="77777777" w:rsidTr="00281A92">
        <w:tc>
          <w:tcPr>
            <w:tcW w:w="2552" w:type="dxa"/>
            <w:vMerge/>
          </w:tcPr>
          <w:p w14:paraId="28D0389A" w14:textId="77777777" w:rsidR="00454251" w:rsidRPr="005F2168" w:rsidRDefault="00454251" w:rsidP="00281A92">
            <w:pPr>
              <w:spacing w:before="0" w:after="0" w:line="240" w:lineRule="auto"/>
              <w:jc w:val="left"/>
              <w:rPr>
                <w:b/>
                <w:bCs/>
                <w:sz w:val="22"/>
                <w:szCs w:val="22"/>
              </w:rPr>
            </w:pPr>
          </w:p>
        </w:tc>
        <w:tc>
          <w:tcPr>
            <w:tcW w:w="1984" w:type="dxa"/>
          </w:tcPr>
          <w:p w14:paraId="57184555" w14:textId="77777777" w:rsidR="00454251" w:rsidRPr="005F2168" w:rsidRDefault="00454251" w:rsidP="00281A92">
            <w:pPr>
              <w:spacing w:before="0" w:after="0" w:line="240" w:lineRule="auto"/>
              <w:jc w:val="left"/>
              <w:rPr>
                <w:sz w:val="22"/>
                <w:szCs w:val="22"/>
              </w:rPr>
            </w:pPr>
            <w:r w:rsidRPr="005F2168">
              <w:rPr>
                <w:sz w:val="22"/>
                <w:szCs w:val="22"/>
              </w:rPr>
              <w:t>8° U</w:t>
            </w:r>
          </w:p>
        </w:tc>
        <w:tc>
          <w:tcPr>
            <w:tcW w:w="1512" w:type="dxa"/>
          </w:tcPr>
          <w:p w14:paraId="5928C277" w14:textId="089B8387" w:rsidR="00454251" w:rsidRPr="005F2168" w:rsidRDefault="00454251" w:rsidP="00281A92">
            <w:pPr>
              <w:spacing w:before="0" w:after="0" w:line="240" w:lineRule="auto"/>
              <w:jc w:val="left"/>
              <w:rPr>
                <w:sz w:val="22"/>
                <w:szCs w:val="22"/>
              </w:rPr>
            </w:pPr>
            <w:r w:rsidRPr="005F2168">
              <w:rPr>
                <w:sz w:val="22"/>
                <w:szCs w:val="22"/>
              </w:rPr>
              <w:t>Latency: 17</w:t>
            </w:r>
            <w:r w:rsidR="004253E6" w:rsidRPr="005F2168">
              <w:rPr>
                <w:sz w:val="22"/>
                <w:szCs w:val="22"/>
              </w:rPr>
              <w:t>8</w:t>
            </w:r>
          </w:p>
          <w:p w14:paraId="0BB9415A" w14:textId="2FFD3156" w:rsidR="00454251" w:rsidRPr="005F2168" w:rsidRDefault="00454251" w:rsidP="00281A92">
            <w:pPr>
              <w:spacing w:before="0" w:after="0" w:line="240" w:lineRule="auto"/>
              <w:jc w:val="left"/>
              <w:rPr>
                <w:sz w:val="22"/>
                <w:szCs w:val="22"/>
              </w:rPr>
            </w:pPr>
            <w:r w:rsidRPr="005F2168">
              <w:rPr>
                <w:sz w:val="22"/>
                <w:szCs w:val="22"/>
              </w:rPr>
              <w:t xml:space="preserve">PV: </w:t>
            </w:r>
            <w:r w:rsidR="004253E6" w:rsidRPr="005F2168">
              <w:rPr>
                <w:sz w:val="22"/>
                <w:szCs w:val="22"/>
              </w:rPr>
              <w:t>301</w:t>
            </w:r>
          </w:p>
          <w:p w14:paraId="5D0CBF4F" w14:textId="78A00684" w:rsidR="00454251" w:rsidRPr="005F2168" w:rsidRDefault="00454251" w:rsidP="00281A92">
            <w:pPr>
              <w:spacing w:before="0" w:after="0" w:line="240" w:lineRule="auto"/>
              <w:jc w:val="left"/>
              <w:rPr>
                <w:sz w:val="22"/>
                <w:szCs w:val="22"/>
              </w:rPr>
            </w:pPr>
            <w:r w:rsidRPr="005F2168">
              <w:rPr>
                <w:sz w:val="22"/>
                <w:szCs w:val="22"/>
              </w:rPr>
              <w:t>Gain: 0.8</w:t>
            </w:r>
            <w:r w:rsidR="004253E6" w:rsidRPr="005F2168">
              <w:rPr>
                <w:sz w:val="22"/>
                <w:szCs w:val="22"/>
              </w:rPr>
              <w:t>7</w:t>
            </w:r>
          </w:p>
        </w:tc>
        <w:tc>
          <w:tcPr>
            <w:tcW w:w="1512" w:type="dxa"/>
          </w:tcPr>
          <w:p w14:paraId="4D141A95" w14:textId="557D2C4F" w:rsidR="00454251" w:rsidRPr="005F2168" w:rsidRDefault="00454251" w:rsidP="00281A92">
            <w:pPr>
              <w:spacing w:before="0" w:after="0" w:line="240" w:lineRule="auto"/>
              <w:jc w:val="left"/>
              <w:rPr>
                <w:sz w:val="22"/>
                <w:szCs w:val="22"/>
              </w:rPr>
            </w:pPr>
            <w:r w:rsidRPr="005F2168">
              <w:rPr>
                <w:sz w:val="22"/>
                <w:szCs w:val="22"/>
              </w:rPr>
              <w:t>Latency: 1</w:t>
            </w:r>
            <w:r w:rsidR="004253E6" w:rsidRPr="005F2168">
              <w:rPr>
                <w:sz w:val="22"/>
                <w:szCs w:val="22"/>
              </w:rPr>
              <w:t>89</w:t>
            </w:r>
          </w:p>
          <w:p w14:paraId="174C9AA7" w14:textId="0C677FB7" w:rsidR="00454251" w:rsidRPr="005F2168" w:rsidRDefault="00454251" w:rsidP="00281A92">
            <w:pPr>
              <w:spacing w:before="0" w:after="0" w:line="240" w:lineRule="auto"/>
              <w:jc w:val="left"/>
              <w:rPr>
                <w:sz w:val="22"/>
                <w:szCs w:val="22"/>
              </w:rPr>
            </w:pPr>
            <w:r w:rsidRPr="005F2168">
              <w:rPr>
                <w:sz w:val="22"/>
                <w:szCs w:val="22"/>
              </w:rPr>
              <w:t xml:space="preserve">PV: </w:t>
            </w:r>
            <w:r w:rsidR="004253E6" w:rsidRPr="005F2168">
              <w:rPr>
                <w:sz w:val="22"/>
                <w:szCs w:val="22"/>
              </w:rPr>
              <w:t>288</w:t>
            </w:r>
          </w:p>
          <w:p w14:paraId="70D5A7F2" w14:textId="5B8D08A3" w:rsidR="00454251" w:rsidRPr="005F2168" w:rsidRDefault="00454251" w:rsidP="00281A92">
            <w:pPr>
              <w:spacing w:before="0" w:after="0" w:line="240" w:lineRule="auto"/>
              <w:rPr>
                <w:sz w:val="22"/>
                <w:szCs w:val="22"/>
              </w:rPr>
            </w:pPr>
            <w:r w:rsidRPr="005F2168">
              <w:rPr>
                <w:sz w:val="22"/>
                <w:szCs w:val="22"/>
              </w:rPr>
              <w:t>Gain: 0.</w:t>
            </w:r>
            <w:r w:rsidR="004253E6" w:rsidRPr="005F2168">
              <w:rPr>
                <w:sz w:val="22"/>
                <w:szCs w:val="22"/>
              </w:rPr>
              <w:t>80</w:t>
            </w:r>
          </w:p>
        </w:tc>
        <w:tc>
          <w:tcPr>
            <w:tcW w:w="1512" w:type="dxa"/>
          </w:tcPr>
          <w:p w14:paraId="4F98E05B" w14:textId="1235F2A1" w:rsidR="00454251" w:rsidRPr="005F2168" w:rsidRDefault="00454251" w:rsidP="00281A92">
            <w:pPr>
              <w:spacing w:before="0" w:after="0" w:line="240" w:lineRule="auto"/>
              <w:jc w:val="left"/>
              <w:rPr>
                <w:sz w:val="22"/>
                <w:szCs w:val="22"/>
              </w:rPr>
            </w:pPr>
            <w:r w:rsidRPr="005F2168">
              <w:rPr>
                <w:sz w:val="22"/>
                <w:szCs w:val="22"/>
              </w:rPr>
              <w:t>Latency: 20</w:t>
            </w:r>
            <w:r w:rsidR="004253E6" w:rsidRPr="005F2168">
              <w:rPr>
                <w:sz w:val="22"/>
                <w:szCs w:val="22"/>
              </w:rPr>
              <w:t>6</w:t>
            </w:r>
          </w:p>
          <w:p w14:paraId="36E3DD33" w14:textId="70B0B933" w:rsidR="00454251" w:rsidRPr="005F2168" w:rsidRDefault="00454251" w:rsidP="00281A92">
            <w:pPr>
              <w:spacing w:before="0" w:after="0" w:line="240" w:lineRule="auto"/>
              <w:jc w:val="left"/>
              <w:rPr>
                <w:sz w:val="22"/>
                <w:szCs w:val="22"/>
              </w:rPr>
            </w:pPr>
            <w:r w:rsidRPr="005F2168">
              <w:rPr>
                <w:sz w:val="22"/>
                <w:szCs w:val="22"/>
              </w:rPr>
              <w:t>PV: 28</w:t>
            </w:r>
            <w:r w:rsidR="004253E6" w:rsidRPr="005F2168">
              <w:rPr>
                <w:sz w:val="22"/>
                <w:szCs w:val="22"/>
              </w:rPr>
              <w:t>5</w:t>
            </w:r>
          </w:p>
          <w:p w14:paraId="5EA9B4B5" w14:textId="0F768EDE" w:rsidR="00454251" w:rsidRPr="005F2168" w:rsidRDefault="00454251" w:rsidP="00281A92">
            <w:pPr>
              <w:spacing w:before="0" w:after="0" w:line="240" w:lineRule="auto"/>
              <w:jc w:val="left"/>
              <w:rPr>
                <w:sz w:val="22"/>
                <w:szCs w:val="22"/>
              </w:rPr>
            </w:pPr>
            <w:r w:rsidRPr="005F2168">
              <w:rPr>
                <w:sz w:val="22"/>
                <w:szCs w:val="22"/>
              </w:rPr>
              <w:t>Gain: 0.7</w:t>
            </w:r>
            <w:r w:rsidR="004253E6" w:rsidRPr="005F2168">
              <w:rPr>
                <w:sz w:val="22"/>
                <w:szCs w:val="22"/>
              </w:rPr>
              <w:t>8</w:t>
            </w:r>
          </w:p>
        </w:tc>
      </w:tr>
    </w:tbl>
    <w:bookmarkEnd w:id="296"/>
    <w:p w14:paraId="22CFEEB2" w14:textId="2C9A56BA" w:rsidR="00A339B0" w:rsidRDefault="000E514D" w:rsidP="00A339B0">
      <w:pPr>
        <w:spacing w:before="0" w:after="160" w:line="240" w:lineRule="auto"/>
        <w:rPr>
          <w:szCs w:val="22"/>
        </w:rPr>
      </w:pPr>
      <w:r w:rsidRPr="0011707F">
        <w:rPr>
          <w:i/>
          <w:iCs/>
          <w:szCs w:val="22"/>
        </w:rPr>
        <w:t>Note</w:t>
      </w:r>
      <w:r w:rsidRPr="009D4627">
        <w:rPr>
          <w:szCs w:val="22"/>
        </w:rPr>
        <w:t xml:space="preserve">: </w:t>
      </w:r>
      <w:r w:rsidR="00A339B0" w:rsidRPr="009D4627">
        <w:rPr>
          <w:szCs w:val="22"/>
        </w:rPr>
        <w:t>PV = peak velocity</w:t>
      </w:r>
      <w:r w:rsidRPr="009D4627">
        <w:rPr>
          <w:szCs w:val="22"/>
        </w:rPr>
        <w:t>, L = left, R = right, D = down and U = up.</w:t>
      </w:r>
      <w:r w:rsidR="00FB23E5" w:rsidRPr="009D4627">
        <w:rPr>
          <w:szCs w:val="22"/>
        </w:rPr>
        <w:t xml:space="preserve"> Data are shown as the mean, except for the fixation, which shows the median</w:t>
      </w:r>
      <w:r w:rsidR="005C16BE">
        <w:rPr>
          <w:szCs w:val="22"/>
        </w:rPr>
        <w:t xml:space="preserve"> DT</w:t>
      </w:r>
      <w:r w:rsidR="00FB23E5" w:rsidRPr="009D4627">
        <w:rPr>
          <w:szCs w:val="22"/>
        </w:rPr>
        <w:t>.</w:t>
      </w:r>
    </w:p>
    <w:p w14:paraId="3964C2D6" w14:textId="77B70BCF" w:rsidR="0094182C" w:rsidRDefault="0094182C" w:rsidP="00DC4CA6">
      <w:pPr>
        <w:pStyle w:val="Heading3"/>
      </w:pPr>
      <w:bookmarkStart w:id="297" w:name="_Toc98964670"/>
      <w:bookmarkStart w:id="298" w:name="_Toc103344714"/>
      <w:r w:rsidRPr="0094182C">
        <w:t>Additional factors affecting EMR performance in the elderly</w:t>
      </w:r>
      <w:bookmarkStart w:id="299" w:name="_Hlk98151643"/>
      <w:bookmarkEnd w:id="297"/>
      <w:bookmarkEnd w:id="298"/>
    </w:p>
    <w:p w14:paraId="3C7BE16A" w14:textId="7F002EFE" w:rsidR="00034E17" w:rsidRDefault="00337014" w:rsidP="0094182C">
      <w:pPr>
        <w:rPr>
          <w:lang w:eastAsia="en-MY"/>
        </w:rPr>
      </w:pPr>
      <w:r w:rsidRPr="00927444">
        <w:rPr>
          <w:lang w:eastAsia="en-MY"/>
        </w:rPr>
        <w:t>Numerous investigations have shown that the rate of dry eye (DE) was higher in elderly people</w:t>
      </w:r>
      <w:r w:rsidR="00AD4025">
        <w:rPr>
          <w:lang w:eastAsia="en-MY"/>
        </w:rPr>
        <w:t xml:space="preserve"> </w:t>
      </w:r>
      <w:r w:rsidR="00AD4025">
        <w:rPr>
          <w:lang w:eastAsia="en-MY"/>
        </w:rPr>
        <w:fldChar w:fldCharType="begin">
          <w:fldData xml:space="preserve">PEVuZE5vdGU+PENpdGU+PEF1dGhvcj5TY2hlaW48L0F1dGhvcj48WWVhcj4xOTk3PC9ZZWFyPjxJ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</w:fldData>
        </w:fldChar>
      </w:r>
      <w:r w:rsidR="00AD4025">
        <w:rPr>
          <w:lang w:eastAsia="en-MY"/>
        </w:rPr>
        <w:instrText xml:space="preserve"> ADDIN EN.CITE </w:instrText>
      </w:r>
      <w:r w:rsidR="00AD4025">
        <w:rPr>
          <w:lang w:eastAsia="en-MY"/>
        </w:rPr>
        <w:fldChar w:fldCharType="begin">
          <w:fldData xml:space="preserve">PEVuZE5vdGU+PENpdGU+PEF1dGhvcj5TY2hlaW48L0F1dGhvcj48WWVhcj4xOTk3PC9ZZWFyPjxJ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</w:fldData>
        </w:fldChar>
      </w:r>
      <w:r w:rsidR="00AD4025">
        <w:rPr>
          <w:lang w:eastAsia="en-MY"/>
        </w:rPr>
        <w:instrText xml:space="preserve"> ADDIN EN.CITE.DATA </w:instrText>
      </w:r>
      <w:r w:rsidR="00AD4025">
        <w:rPr>
          <w:lang w:eastAsia="en-MY"/>
        </w:rPr>
      </w:r>
      <w:r w:rsidR="00AD4025">
        <w:rPr>
          <w:lang w:eastAsia="en-MY"/>
        </w:rPr>
        <w:fldChar w:fldCharType="end"/>
      </w:r>
      <w:r w:rsidR="00AD4025">
        <w:rPr>
          <w:lang w:eastAsia="en-MY"/>
        </w:rPr>
      </w:r>
      <w:r w:rsidR="00AD4025">
        <w:rPr>
          <w:lang w:eastAsia="en-MY"/>
        </w:rPr>
        <w:fldChar w:fldCharType="separate"/>
      </w:r>
      <w:r w:rsidR="00AD4025">
        <w:rPr>
          <w:noProof/>
          <w:lang w:eastAsia="en-MY"/>
        </w:rPr>
        <w:t>(Schein et al., 1999; Schein et al., 1997)</w:t>
      </w:r>
      <w:r w:rsidR="00AD4025">
        <w:rPr>
          <w:lang w:eastAsia="en-MY"/>
        </w:rPr>
        <w:fldChar w:fldCharType="end"/>
      </w:r>
      <w:r w:rsidRPr="00927444">
        <w:rPr>
          <w:lang w:eastAsia="en-MY"/>
        </w:rPr>
        <w:t xml:space="preserve">. </w:t>
      </w:r>
      <w:r w:rsidR="00E45F24">
        <w:rPr>
          <w:lang w:eastAsia="en-MY"/>
        </w:rPr>
        <w:t>A study showed that p</w:t>
      </w:r>
      <w:r w:rsidR="00927444" w:rsidRPr="00927444">
        <w:rPr>
          <w:lang w:eastAsia="en-MY"/>
        </w:rPr>
        <w:t>atients with DE who had lower blink rates during perimetry may not have been able to maintain a wet ocular surface</w:t>
      </w:r>
      <w:r w:rsidR="00927444">
        <w:rPr>
          <w:lang w:eastAsia="en-MY"/>
        </w:rPr>
        <w:t xml:space="preserve"> </w:t>
      </w:r>
      <w:r w:rsidR="00AD4025">
        <w:rPr>
          <w:lang w:eastAsia="en-MY"/>
        </w:rPr>
        <w:fldChar w:fldCharType="begin"/>
      </w:r>
      <w:r w:rsidR="00AD4025">
        <w:rPr>
          <w:lang w:eastAsia="en-MY"/>
        </w:rPr>
        <w:instrText xml:space="preserve"> ADDIN EN.CITE &lt;EndNote&gt;&lt;Cite&gt;&lt;Author&gt;Sagara&lt;/Author&gt;&lt;Year&gt;2019&lt;/Year&gt;&lt;IDText&gt;Impact of tear metrics on the reliability of perimetry in patients with dry eye&lt;/IDText&gt;&lt;DisplayText&gt;(Sagara et al., 2019)&lt;/DisplayText&gt;&lt;record&gt;&lt;keywords&gt;&lt;keyword&gt;Care and treatment&lt;/keyword&gt;&lt;keyword&gt;Correlation analysis&lt;/keyword&gt;&lt;keyword&gt;Diagnosis&lt;/keyword&gt;&lt;keyword&gt;Diagnostic systems&lt;/keyword&gt;&lt;keyword&gt;Dry eye syndromes&lt;/keyword&gt;&lt;keyword&gt;Eye&lt;/keyword&gt;&lt;keyword&gt;Eye (anatomy)&lt;/keyword&gt;&lt;keyword&gt;Fixation&lt;/keyword&gt;&lt;keyword&gt;Fluorescein&lt;/keyword&gt;&lt;keyword&gt;Glaucoma&lt;/keyword&gt;&lt;keyword&gt;Medicine&lt;/keyword&gt;&lt;keyword&gt;Multidisciplinary Sciences&lt;/keyword&gt;&lt;keyword&gt;Observational studies&lt;/keyword&gt;&lt;keyword&gt;Older people&lt;/keyword&gt;&lt;keyword&gt;Perimetry&lt;/keyword&gt;&lt;keyword&gt;Quality of life&lt;/keyword&gt;&lt;keyword&gt;Reliability analysis&lt;/keyword&gt;&lt;keyword&gt;Reliability aspects&lt;/keyword&gt;&lt;keyword&gt;Science &amp;amp; Technology&lt;/keyword&gt;&lt;keyword&gt;Science &amp;amp; Technology - Other Topics&lt;/keyword&gt;&lt;keyword&gt;Staining&lt;/keyword&gt;&lt;keyword&gt;Tearing&lt;/keyword&gt;&lt;keyword&gt;Tears&lt;/keyword&gt;&lt;keyword&gt;Usage&lt;/keyword&gt;&lt;keyword&gt;Visual field&lt;/keyword&gt;&lt;keyword&gt;Visual fields&lt;/keyword&gt;&lt;keyword&gt;Visual task performance&lt;/keyword&gt;&lt;/keywords&gt;&lt;isbn&gt;1932-6203&lt;/isbn&gt;&lt;titles&gt;&lt;title&gt;Impact of tear metrics on the reliability of perimetry in patients with dry eye&lt;/title&gt;&lt;secondary-title&gt;PloS one&lt;/secondary-title&gt;&lt;/titles&gt;&lt;pages&gt;e0222467-e0222467&lt;/pages&gt;&lt;number&gt;9&lt;/number&gt;&lt;contributors&gt;&lt;authors&gt;&lt;author&gt;Sagara, Hideto&lt;/author&gt;&lt;author&gt;Sekiryu, Tetsuju&lt;/author&gt;&lt;author&gt;Imaizumi, Kimihiro&lt;/author&gt;&lt;author&gt;Shintake, Hiroaki&lt;/author&gt;&lt;author&gt;Sugiyama, Urara&lt;/author&gt;&lt;author&gt;Maehara, Hiroki&lt;/author&gt;&lt;/authors&gt;&lt;/contributors&gt;&lt;added-date format="utc"&gt;1647356892&lt;/added-date&gt;&lt;pub-location&gt;SAN FRANCISCO&lt;/pub-location&gt;&lt;ref-type name="Journal Article"&gt;17&lt;/ref-type&gt;&lt;dates&gt;&lt;year&gt;2019&lt;/year&gt;&lt;/dates&gt;&lt;rec-number&gt;818&lt;/rec-number&gt;&lt;publisher&gt;SAN FRANCISCO: PUBLIC LIBRARY SCIENCE&lt;/publisher&gt;&lt;last-updated-date format="utc"&gt;1647356892&lt;/last-updated-date&gt;&lt;electronic-resource-num&gt;10.1371/journal.pone.0222467&lt;/electronic-resource-num&gt;&lt;volume&gt;14&lt;/volume&gt;&lt;/record&gt;&lt;/Cite&gt;&lt;/EndNote&gt;</w:instrText>
      </w:r>
      <w:r w:rsidR="00AD4025">
        <w:rPr>
          <w:lang w:eastAsia="en-MY"/>
        </w:rPr>
        <w:fldChar w:fldCharType="separate"/>
      </w:r>
      <w:r w:rsidR="00AD4025">
        <w:rPr>
          <w:noProof/>
          <w:lang w:eastAsia="en-MY"/>
        </w:rPr>
        <w:t>(Sagara et al., 2019)</w:t>
      </w:r>
      <w:r w:rsidR="00AD4025">
        <w:rPr>
          <w:lang w:eastAsia="en-MY"/>
        </w:rPr>
        <w:fldChar w:fldCharType="end"/>
      </w:r>
      <w:r w:rsidR="00927444" w:rsidRPr="00927444">
        <w:rPr>
          <w:lang w:eastAsia="en-MY"/>
        </w:rPr>
        <w:t>. Their visibility may have diminished following perimetry, and their ocular surface characteristics may have deteriorated</w:t>
      </w:r>
      <w:r w:rsidR="00927444">
        <w:rPr>
          <w:lang w:eastAsia="en-MY"/>
        </w:rPr>
        <w:t xml:space="preserve"> </w:t>
      </w:r>
      <w:r w:rsidR="00AD4025">
        <w:rPr>
          <w:lang w:eastAsia="en-MY"/>
        </w:rPr>
        <w:fldChar w:fldCharType="begin"/>
      </w:r>
      <w:r w:rsidR="00AD4025">
        <w:rPr>
          <w:lang w:eastAsia="en-MY"/>
        </w:rPr>
        <w:instrText xml:space="preserve"> ADDIN EN.CITE &lt;EndNote&gt;&lt;Cite&gt;&lt;Author&gt;Sagara&lt;/Author&gt;&lt;Year&gt;2019&lt;/Year&gt;&lt;IDText&gt;Impact of tear metrics on the reliability of perimetry in patients with dry eye&lt;/IDText&gt;&lt;DisplayText&gt;(Sagara et al., 2019)&lt;/DisplayText&gt;&lt;record&gt;&lt;keywords&gt;&lt;keyword&gt;Care and treatment&lt;/keyword&gt;&lt;keyword&gt;Correlation analysis&lt;/keyword&gt;&lt;keyword&gt;Diagnosis&lt;/keyword&gt;&lt;keyword&gt;Diagnostic systems&lt;/keyword&gt;&lt;keyword&gt;Dry eye syndromes&lt;/keyword&gt;&lt;keyword&gt;Eye&lt;/keyword&gt;&lt;keyword&gt;Eye (anatomy)&lt;/keyword&gt;&lt;keyword&gt;Fixation&lt;/keyword&gt;&lt;keyword&gt;Fluorescein&lt;/keyword&gt;&lt;keyword&gt;Glaucoma&lt;/keyword&gt;&lt;keyword&gt;Medicine&lt;/keyword&gt;&lt;keyword&gt;Multidisciplinary Sciences&lt;/keyword&gt;&lt;keyword&gt;Observational studies&lt;/keyword&gt;&lt;keyword&gt;Older people&lt;/keyword&gt;&lt;keyword&gt;Perimetry&lt;/keyword&gt;&lt;keyword&gt;Quality of life&lt;/keyword&gt;&lt;keyword&gt;Reliability analysis&lt;/keyword&gt;&lt;keyword&gt;Reliability aspects&lt;/keyword&gt;&lt;keyword&gt;Science &amp;amp; Technology&lt;/keyword&gt;&lt;keyword&gt;Science &amp;amp; Technology - Other Topics&lt;/keyword&gt;&lt;keyword&gt;Staining&lt;/keyword&gt;&lt;keyword&gt;Tearing&lt;/keyword&gt;&lt;keyword&gt;Tears&lt;/keyword&gt;&lt;keyword&gt;Usage&lt;/keyword&gt;&lt;keyword&gt;Visual field&lt;/keyword&gt;&lt;keyword&gt;Visual fields&lt;/keyword&gt;&lt;keyword&gt;Visual task performance&lt;/keyword&gt;&lt;/keywords&gt;&lt;isbn&gt;1932-6203&lt;/isbn&gt;&lt;titles&gt;&lt;title&gt;Impact of tear metrics on the reliability of perimetry in patients with dry eye&lt;/title&gt;&lt;secondary-title&gt;PloS one&lt;/secondary-title&gt;&lt;/titles&gt;&lt;pages&gt;e0222467-e0222467&lt;/pages&gt;&lt;number&gt;9&lt;/number&gt;&lt;contributors&gt;&lt;authors&gt;&lt;author&gt;Sagara, Hideto&lt;/author&gt;&lt;author&gt;Sekiryu, Tetsuju&lt;/author&gt;&lt;author&gt;Imaizumi, Kimihiro&lt;/author&gt;&lt;author&gt;Shintake, Hiroaki&lt;/author&gt;&lt;author&gt;Sugiyama, Urara&lt;/author&gt;&lt;author&gt;Maehara, Hiroki&lt;/author&gt;&lt;/authors&gt;&lt;/contributors&gt;&lt;added-date format="utc"&gt;1647356892&lt;/added-date&gt;&lt;pub-location&gt;SAN FRANCISCO&lt;/pub-location&gt;&lt;ref-type name="Journal Article"&gt;17&lt;/ref-type&gt;&lt;dates&gt;&lt;year&gt;2019&lt;/year&gt;&lt;/dates&gt;&lt;rec-number&gt;818&lt;/rec-number&gt;&lt;publisher&gt;SAN FRANCISCO: PUBLIC LIBRARY SCIENCE&lt;/publisher&gt;&lt;last-updated-date format="utc"&gt;1647356892&lt;/last-updated-date&gt;&lt;electronic-resource-num&gt;10.1371/journal.pone.0222467&lt;/electronic-resource-num&gt;&lt;volume&gt;14&lt;/volume&gt;&lt;/record&gt;&lt;/Cite&gt;&lt;/EndNote&gt;</w:instrText>
      </w:r>
      <w:r w:rsidR="00AD4025">
        <w:rPr>
          <w:lang w:eastAsia="en-MY"/>
        </w:rPr>
        <w:fldChar w:fldCharType="separate"/>
      </w:r>
      <w:r w:rsidR="00AD4025">
        <w:rPr>
          <w:noProof/>
          <w:lang w:eastAsia="en-MY"/>
        </w:rPr>
        <w:t>(Sagara et al., 2019)</w:t>
      </w:r>
      <w:r w:rsidR="00AD4025">
        <w:rPr>
          <w:lang w:eastAsia="en-MY"/>
        </w:rPr>
        <w:fldChar w:fldCharType="end"/>
      </w:r>
      <w:r w:rsidR="00927444" w:rsidRPr="00927444">
        <w:rPr>
          <w:lang w:eastAsia="en-MY"/>
        </w:rPr>
        <w:t>.</w:t>
      </w:r>
      <w:r>
        <w:rPr>
          <w:lang w:eastAsia="en-MY"/>
        </w:rPr>
        <w:t xml:space="preserve"> </w:t>
      </w:r>
      <w:r w:rsidRPr="00337014">
        <w:rPr>
          <w:lang w:eastAsia="en-MY"/>
        </w:rPr>
        <w:t>As a result, it became difficult to see the perimeter's central fixation light properly.</w:t>
      </w:r>
      <w:r w:rsidR="008567DA">
        <w:rPr>
          <w:lang w:eastAsia="en-MY"/>
        </w:rPr>
        <w:t xml:space="preserve"> </w:t>
      </w:r>
    </w:p>
    <w:p w14:paraId="2DAF505C" w14:textId="6F9F6C68" w:rsidR="00034E17" w:rsidRDefault="00D000BA" w:rsidP="0094182C">
      <w:pPr>
        <w:rPr>
          <w:lang w:eastAsia="en-MY"/>
        </w:rPr>
      </w:pPr>
      <w:r w:rsidRPr="00D000BA">
        <w:rPr>
          <w:lang w:eastAsia="en-MY"/>
        </w:rPr>
        <w:t xml:space="preserve">Aqueous tear insufficiency and evaporative dry eye are more prevalent in the elderly than in younger adults due to a variety of confounding factors </w:t>
      </w:r>
      <w:r w:rsidR="007A27AF">
        <w:rPr>
          <w:lang w:eastAsia="en-MY"/>
        </w:rPr>
        <w:fldChar w:fldCharType="begin"/>
      </w:r>
      <w:r w:rsidR="007A27AF">
        <w:rPr>
          <w:lang w:eastAsia="en-MY"/>
        </w:rPr>
        <w:instrText xml:space="preserve"> ADDIN EN.CITE &lt;EndNote&gt;&lt;Cite&gt;&lt;Author&gt;Lemp&lt;/Author&gt;&lt;Year&gt;2007&lt;/Year&gt;&lt;IDText&gt;The Definition and Classification of Dry Eye Disease: Report of the Definition and Classification Subcommittee of the International Dry Eye Workshop (2007)&lt;/IDText&gt;&lt;DisplayText&gt;(Lemp, 2007)&lt;/DisplayText&gt;&lt;record&gt;&lt;keywords&gt;&lt;keyword&gt;Contact Lenses - adverse effects&lt;/keyword&gt;&lt;keyword&gt;DEFINITION&lt;/keyword&gt;&lt;keyword&gt;DEWS&lt;/keyword&gt;&lt;keyword&gt;DRY EYE DISEASE&lt;/keyword&gt;&lt;keyword&gt;Dry Eye Syndromes - chemically induced&lt;/keyword&gt;&lt;keyword&gt;Dry Eye Syndromes - classification&lt;/keyword&gt;&lt;keyword&gt;Dry Eye Syndromes - etiology&lt;/keyword&gt;&lt;keyword&gt;DRY EYE WORKSHOP&lt;/keyword&gt;&lt;keyword&gt;ETIOPATHOGENESIS&lt;/keyword&gt;&lt;keyword&gt;Eye Diseases - complications&lt;/keyword&gt;&lt;keyword&gt;Eyelid Diseases - complications&lt;/keyword&gt;&lt;keyword&gt;Humans&lt;/keyword&gt;&lt;keyword&gt;Lacrimal Apparatus Diseases - complications&lt;/keyword&gt;&lt;keyword&gt;MECHANISM&lt;/keyword&gt;&lt;keyword&gt;Ophthalmology&lt;/keyword&gt;&lt;keyword&gt;Osmolar Concentration&lt;/keyword&gt;&lt;keyword&gt;SEVERITY GRADING&lt;/keyword&gt;&lt;keyword&gt;Sjogren&amp;apos;s Syndrome - complications&lt;/keyword&gt;&lt;keyword&gt;Tears - chemistry&lt;/keyword&gt;&lt;keyword&gt;Terminology as Topic&lt;/keyword&gt;&lt;/keywords&gt;&lt;isbn&gt;1542-0124&lt;/isbn&gt;&lt;titles&gt;&lt;title&gt;The Definition and Classification of Dry Eye Disease: Report of the Definition and Classification Subcommittee of the International Dry Eye Workshop (2007)&lt;/title&gt;&lt;secondary-title&gt;Ocul Surf&lt;/secondary-title&gt;&lt;/titles&gt;&lt;pages&gt;75-92&lt;/pages&gt;&lt;number&gt;2&lt;/number&gt;&lt;contributors&gt;&lt;authors&gt;&lt;author&gt;Lemp, Michael A.&lt;/author&gt;&lt;/authors&gt;&lt;/contributors&gt;&lt;added-date format="utc"&gt;1647357327&lt;/added-date&gt;&lt;pub-location&gt;United States&lt;/pub-location&gt;&lt;ref-type name="Journal Article"&gt;17&lt;/ref-type&gt;&lt;dates&gt;&lt;year&gt;2007&lt;/year&gt;&lt;/dates&gt;&lt;rec-number&gt;820&lt;/rec-number&gt;&lt;publisher&gt;United States: Elsevier Inc&lt;/publisher&gt;&lt;last-updated-date format="utc"&gt;1647357327&lt;/last-updated-date&gt;&lt;electronic-resource-num&gt;10.1016/S1542-0124(12)70081-2&lt;/electronic-resource-num&gt;&lt;volume&gt;5&lt;/volume&gt;&lt;/record&gt;&lt;/Cite&gt;&lt;/EndNote&gt;</w:instrText>
      </w:r>
      <w:r w:rsidR="007A27AF">
        <w:rPr>
          <w:lang w:eastAsia="en-MY"/>
        </w:rPr>
        <w:fldChar w:fldCharType="separate"/>
      </w:r>
      <w:r w:rsidR="007A27AF">
        <w:rPr>
          <w:noProof/>
          <w:lang w:eastAsia="en-MY"/>
        </w:rPr>
        <w:t>(Lemp, 2007)</w:t>
      </w:r>
      <w:r w:rsidR="007A27AF">
        <w:rPr>
          <w:lang w:eastAsia="en-MY"/>
        </w:rPr>
        <w:fldChar w:fldCharType="end"/>
      </w:r>
      <w:r w:rsidRPr="00D000BA">
        <w:rPr>
          <w:lang w:eastAsia="en-MY"/>
        </w:rPr>
        <w:t>. Tear production decreases with age for a variety of reasons, including lid laxity, hormonal changes such as menopause, systemic inflammatory illnesses, and an increasing prevalence of autoimmune diseases (most often Sjogren's syndrome and rheumatoid arthritis)</w:t>
      </w:r>
      <w:r w:rsidR="007A27AF">
        <w:rPr>
          <w:lang w:eastAsia="en-MY"/>
        </w:rPr>
        <w:t xml:space="preserve"> </w:t>
      </w:r>
      <w:r w:rsidR="007A27AF">
        <w:rPr>
          <w:lang w:eastAsia="en-MY"/>
        </w:rPr>
        <w:fldChar w:fldCharType="begin"/>
      </w:r>
      <w:r w:rsidR="007A27AF">
        <w:rPr>
          <w:lang w:eastAsia="en-MY"/>
        </w:rPr>
        <w:instrText xml:space="preserve"> ADDIN EN.CITE &lt;EndNote&gt;&lt;Cite&gt;&lt;Author&gt;Hakim&lt;/Author&gt;&lt;Year&gt;2022&lt;/Year&gt;&lt;IDText&gt;Dry Eye Disease: An Update in 2022&lt;/IDText&gt;&lt;DisplayText&gt;(Hakim &amp;amp; Farooq, 2022)&lt;/DisplayText&gt;&lt;record&gt;&lt;keywords&gt;&lt;keyword&gt;Dry Eye Syndromes - diagnosis&lt;/keyword&gt;&lt;keyword&gt;Dry Eye Syndromes - physiopathology&lt;/keyword&gt;&lt;keyword&gt;Dry Eye Syndromes - therapy&lt;/keyword&gt;&lt;keyword&gt;General &amp;amp; Internal Medicine&lt;/keyword&gt;&lt;keyword&gt;Humans&lt;/keyword&gt;&lt;keyword&gt;Life Sciences &amp;amp; Biomedicine&lt;/keyword&gt;&lt;keyword&gt;Lubricant Eye Drops - administration &amp;amp; dosage&lt;/keyword&gt;&lt;keyword&gt;Lubricant Eye Drops - adverse effects&lt;/keyword&gt;&lt;keyword&gt;Medicine, General &amp;amp; Internal&lt;/keyword&gt;&lt;keyword&gt;Preservatives, Pharmaceutical - adverse effects&lt;/keyword&gt;&lt;keyword&gt;Science &amp;amp; Technology&lt;/keyword&gt;&lt;keyword&gt;Tears - physiology&lt;/keyword&gt;&lt;/keywords&gt;&lt;isbn&gt;0098-7484&lt;/isbn&gt;&lt;titles&gt;&lt;title&gt;Dry Eye Disease: An Update in 2022&lt;/title&gt;&lt;secondary-title&gt;JAMA&lt;/secondary-title&gt;&lt;/titles&gt;&lt;pages&gt;478-479&lt;/pages&gt;&lt;number&gt;5&lt;/number&gt;&lt;contributors&gt;&lt;authors&gt;&lt;author&gt;Hakim, Farida E.&lt;/author&gt;&lt;author&gt;Farooq, Asim V.&lt;/author&gt;&lt;/authors&gt;&lt;/contributors&gt;&lt;added-date format="utc"&gt;1647357152&lt;/added-date&gt;&lt;pub-location&gt;United States&lt;/pub-location&gt;&lt;ref-type name="Journal Article"&gt;17&lt;/ref-type&gt;&lt;dates&gt;&lt;year&gt;2022&lt;/year&gt;&lt;/dates&gt;&lt;rec-number&gt;819&lt;/rec-number&gt;&lt;publisher&gt;United States: American Medical Association&lt;/publisher&gt;&lt;last-updated-date format="utc"&gt;1647357152&lt;/last-updated-date&gt;&lt;electronic-resource-num&gt;10.1001/jama.2021.19963&lt;/electronic-resource-num&gt;&lt;volume&gt;327&lt;/volume&gt;&lt;/record&gt;&lt;/Cite&gt;&lt;/EndNote&gt;</w:instrText>
      </w:r>
      <w:r w:rsidR="007A27AF">
        <w:rPr>
          <w:lang w:eastAsia="en-MY"/>
        </w:rPr>
        <w:fldChar w:fldCharType="separate"/>
      </w:r>
      <w:r w:rsidR="007A27AF">
        <w:rPr>
          <w:noProof/>
          <w:lang w:eastAsia="en-MY"/>
        </w:rPr>
        <w:t>(Hakim &amp; Farooq, 2022)</w:t>
      </w:r>
      <w:r w:rsidR="007A27AF">
        <w:rPr>
          <w:lang w:eastAsia="en-MY"/>
        </w:rPr>
        <w:fldChar w:fldCharType="end"/>
      </w:r>
      <w:r w:rsidRPr="00D000BA">
        <w:rPr>
          <w:lang w:eastAsia="en-MY"/>
        </w:rPr>
        <w:t xml:space="preserve">. Eyelid positional anomalies (laxity, floppy eyelid syndrome, retraction, and lagophthalmos), </w:t>
      </w:r>
      <w:r w:rsidRPr="00D000BA">
        <w:rPr>
          <w:lang w:eastAsia="en-MY"/>
        </w:rPr>
        <w:lastRenderedPageBreak/>
        <w:t>meibomian gland dysfunction, rosacea, decreased corneal sensitivity, and impaired blink reflex all are common in elderly adults </w:t>
      </w:r>
      <w:r w:rsidR="007A27AF">
        <w:rPr>
          <w:lang w:eastAsia="en-MY"/>
        </w:rPr>
        <w:fldChar w:fldCharType="begin"/>
      </w:r>
      <w:r w:rsidR="007A27AF">
        <w:rPr>
          <w:lang w:eastAsia="en-MY"/>
        </w:rPr>
        <w:instrText xml:space="preserve"> ADDIN EN.CITE &lt;EndNote&gt;&lt;Cite&gt;&lt;Author&gt;Barabino&lt;/Author&gt;&lt;Year&gt;2022&lt;/Year&gt;&lt;IDText&gt;Is dry eye disease the same in young and old patients? A narrative review of the literature&lt;/IDText&gt;&lt;DisplayText&gt;(Barabino, 2022)&lt;/DisplayText&gt;&lt;record&gt;&lt;keywords&gt;&lt;keyword&gt;Aged&lt;/keyword&gt;&lt;keyword&gt;Blink&lt;/keyword&gt;&lt;keyword&gt;Dry eye disease&lt;/keyword&gt;&lt;keyword&gt;Dry Eye Syndromes - drug therapy&lt;/keyword&gt;&lt;keyword&gt;Eye&lt;/keyword&gt;&lt;keyword&gt;Female&lt;/keyword&gt;&lt;keyword&gt;Humans&lt;/keyword&gt;&lt;keyword&gt;Inflammation&lt;/keyword&gt;&lt;keyword&gt;Male&lt;/keyword&gt;&lt;keyword&gt;Ocular surface&lt;/keyword&gt;&lt;keyword&gt;Tear film&lt;/keyword&gt;&lt;keyword&gt;Tears - physiology&lt;/keyword&gt;&lt;/keywords&gt;&lt;titles&gt;&lt;title&gt;Is dry eye disease the same in young and old patients? A narrative review of the literature&lt;/title&gt;&lt;secondary-title&gt;BMC Ophthalmol&lt;/secondary-title&gt;&lt;/titles&gt;&lt;pages&gt;85-85&lt;/pages&gt;&lt;number&gt;1&lt;/number&gt;&lt;contributors&gt;&lt;authors&gt;&lt;author&gt;Barabino, Stefano&lt;/author&gt;&lt;/authors&gt;&lt;/contributors&gt;&lt;added-date format="utc"&gt;1647357482&lt;/added-date&gt;&lt;pub-location&gt;England&lt;/pub-location&gt;&lt;ref-type name="Journal Article"&gt;17&lt;/ref-type&gt;&lt;dates&gt;&lt;year&gt;2022&lt;/year&gt;&lt;/dates&gt;&lt;rec-number&gt;821&lt;/rec-number&gt;&lt;publisher&gt;England: BMC&lt;/publisher&gt;&lt;last-updated-date format="utc"&gt;1647357482&lt;/last-updated-date&gt;&lt;electronic-resource-num&gt;10.1186/s12886-022-02269-2&lt;/electronic-resource-num&gt;&lt;volume&gt;22&lt;/volume&gt;&lt;/record&gt;&lt;/Cite&gt;&lt;/EndNote&gt;</w:instrText>
      </w:r>
      <w:r w:rsidR="007A27AF">
        <w:rPr>
          <w:lang w:eastAsia="en-MY"/>
        </w:rPr>
        <w:fldChar w:fldCharType="separate"/>
      </w:r>
      <w:r w:rsidR="007A27AF">
        <w:rPr>
          <w:noProof/>
          <w:lang w:eastAsia="en-MY"/>
        </w:rPr>
        <w:t>(</w:t>
      </w:r>
      <w:proofErr w:type="spellStart"/>
      <w:r w:rsidR="007A27AF">
        <w:rPr>
          <w:noProof/>
          <w:lang w:eastAsia="en-MY"/>
        </w:rPr>
        <w:t>Barabino</w:t>
      </w:r>
      <w:proofErr w:type="spellEnd"/>
      <w:r w:rsidR="007A27AF">
        <w:rPr>
          <w:noProof/>
          <w:lang w:eastAsia="en-MY"/>
        </w:rPr>
        <w:t>, 2022)</w:t>
      </w:r>
      <w:r w:rsidR="007A27AF">
        <w:rPr>
          <w:lang w:eastAsia="en-MY"/>
        </w:rPr>
        <w:fldChar w:fldCharType="end"/>
      </w:r>
      <w:r w:rsidRPr="00D000BA">
        <w:rPr>
          <w:lang w:eastAsia="en-MY"/>
        </w:rPr>
        <w:t xml:space="preserve">. </w:t>
      </w:r>
      <w:r w:rsidR="00D2285D" w:rsidRPr="00D000BA">
        <w:rPr>
          <w:lang w:eastAsia="en-MY"/>
        </w:rPr>
        <w:t>All</w:t>
      </w:r>
      <w:r w:rsidRPr="00D000BA">
        <w:rPr>
          <w:lang w:eastAsia="en-MY"/>
        </w:rPr>
        <w:t xml:space="preserve"> these factors contribute to the tear film break-up more rapidly</w:t>
      </w:r>
      <w:r w:rsidR="007A27AF">
        <w:rPr>
          <w:lang w:eastAsia="en-MY"/>
        </w:rPr>
        <w:t xml:space="preserve"> </w:t>
      </w:r>
      <w:r w:rsidR="007A27AF">
        <w:rPr>
          <w:lang w:eastAsia="en-MY"/>
        </w:rPr>
        <w:fldChar w:fldCharType="begin">
          <w:fldData xml:space="preserve">PEVuZE5vdGU+PENpdGU+PEF1dGhvcj5NdXJwaHk8L0F1dGhvcj48WWVhcj4yMDA0PC9ZZWFyPjxJ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</w:fldData>
        </w:fldChar>
      </w:r>
      <w:r w:rsidR="007A27AF">
        <w:rPr>
          <w:lang w:eastAsia="en-MY"/>
        </w:rPr>
        <w:instrText xml:space="preserve"> ADDIN EN.CITE </w:instrText>
      </w:r>
      <w:r w:rsidR="007A27AF">
        <w:rPr>
          <w:lang w:eastAsia="en-MY"/>
        </w:rPr>
        <w:fldChar w:fldCharType="begin">
          <w:fldData xml:space="preserve">PEVuZE5vdGU+PENpdGU+PEF1dGhvcj5NdXJwaHk8L0F1dGhvcj48WWVhcj4yMDA0PC9ZZWFyPjxJ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</w:fldData>
        </w:fldChar>
      </w:r>
      <w:r w:rsidR="007A27AF">
        <w:rPr>
          <w:lang w:eastAsia="en-MY"/>
        </w:rPr>
        <w:instrText xml:space="preserve"> ADDIN EN.CITE.DATA </w:instrText>
      </w:r>
      <w:r w:rsidR="007A27AF">
        <w:rPr>
          <w:lang w:eastAsia="en-MY"/>
        </w:rPr>
      </w:r>
      <w:r w:rsidR="007A27AF">
        <w:rPr>
          <w:lang w:eastAsia="en-MY"/>
        </w:rPr>
        <w:fldChar w:fldCharType="end"/>
      </w:r>
      <w:r w:rsidR="007A27AF">
        <w:rPr>
          <w:lang w:eastAsia="en-MY"/>
        </w:rPr>
      </w:r>
      <w:r w:rsidR="007A27AF">
        <w:rPr>
          <w:lang w:eastAsia="en-MY"/>
        </w:rPr>
        <w:fldChar w:fldCharType="separate"/>
      </w:r>
      <w:r w:rsidR="007A27AF">
        <w:rPr>
          <w:noProof/>
          <w:lang w:eastAsia="en-MY"/>
        </w:rPr>
        <w:t>(Damasceno et al., 2011; Murphy et al., 2004)</w:t>
      </w:r>
      <w:r w:rsidR="007A27AF">
        <w:rPr>
          <w:lang w:eastAsia="en-MY"/>
        </w:rPr>
        <w:fldChar w:fldCharType="end"/>
      </w:r>
      <w:r w:rsidR="007A27AF">
        <w:rPr>
          <w:lang w:eastAsia="en-MY"/>
        </w:rPr>
        <w:t>.</w:t>
      </w:r>
    </w:p>
    <w:p w14:paraId="7C39E096" w14:textId="4BD06FDB" w:rsidR="0094182C" w:rsidRPr="00927444" w:rsidRDefault="000F067D" w:rsidP="0094182C">
      <w:pPr>
        <w:rPr>
          <w:highlight w:val="yellow"/>
          <w:lang w:eastAsia="en-MY"/>
        </w:rPr>
      </w:pPr>
      <w:r w:rsidRPr="000F067D">
        <w:rPr>
          <w:lang w:eastAsia="en-MY"/>
        </w:rPr>
        <w:t xml:space="preserve">The EMR includes concentrating </w:t>
      </w:r>
      <w:r w:rsidR="006E60BE">
        <w:rPr>
          <w:lang w:eastAsia="en-MY"/>
        </w:rPr>
        <w:t>on looking at</w:t>
      </w:r>
      <w:r w:rsidRPr="000F067D">
        <w:rPr>
          <w:lang w:eastAsia="en-MY"/>
        </w:rPr>
        <w:t xml:space="preserve"> a target displayed on the screen. As a result, </w:t>
      </w:r>
      <w:r w:rsidR="00D2285D" w:rsidRPr="000F067D">
        <w:rPr>
          <w:lang w:eastAsia="en-MY"/>
        </w:rPr>
        <w:t>even though</w:t>
      </w:r>
      <w:r w:rsidRPr="000F067D">
        <w:rPr>
          <w:lang w:eastAsia="en-MY"/>
        </w:rPr>
        <w:t xml:space="preserve"> the current study indicated that </w:t>
      </w:r>
      <w:r w:rsidR="006E60BE">
        <w:rPr>
          <w:lang w:eastAsia="en-MY"/>
        </w:rPr>
        <w:t>only three parameters</w:t>
      </w:r>
      <w:r w:rsidRPr="000F067D">
        <w:rPr>
          <w:lang w:eastAsia="en-MY"/>
        </w:rPr>
        <w:t xml:space="preserve"> </w:t>
      </w:r>
      <w:r w:rsidR="006E60BE">
        <w:rPr>
          <w:lang w:eastAsia="en-MY"/>
        </w:rPr>
        <w:t xml:space="preserve">(SP RMSE, saccadic </w:t>
      </w:r>
      <w:proofErr w:type="gramStart"/>
      <w:r w:rsidR="006E60BE">
        <w:rPr>
          <w:lang w:eastAsia="en-MY"/>
        </w:rPr>
        <w:t>latency</w:t>
      </w:r>
      <w:proofErr w:type="gramEnd"/>
      <w:r w:rsidR="006E60BE">
        <w:rPr>
          <w:lang w:eastAsia="en-MY"/>
        </w:rPr>
        <w:t xml:space="preserve"> and saccadic gain) </w:t>
      </w:r>
      <w:r w:rsidRPr="000F067D">
        <w:rPr>
          <w:lang w:eastAsia="en-MY"/>
        </w:rPr>
        <w:t>were influenced by ageing, evidence from previous stud</w:t>
      </w:r>
      <w:r w:rsidR="003F2C9E">
        <w:rPr>
          <w:lang w:eastAsia="en-MY"/>
        </w:rPr>
        <w:t xml:space="preserve">y </w:t>
      </w:r>
      <w:r w:rsidRPr="000F067D">
        <w:rPr>
          <w:lang w:eastAsia="en-MY"/>
        </w:rPr>
        <w:t>suggests that it is essential to compare the findings to the age-matched control group to avoid confounding effects of ageing</w:t>
      </w:r>
      <w:r w:rsidR="003F2C9E">
        <w:rPr>
          <w:lang w:eastAsia="en-MY"/>
        </w:rPr>
        <w:t xml:space="preserve"> (</w:t>
      </w:r>
      <w:proofErr w:type="spellStart"/>
      <w:r w:rsidR="003F2C9E">
        <w:rPr>
          <w:lang w:eastAsia="en-MY"/>
        </w:rPr>
        <w:t>Barabino</w:t>
      </w:r>
      <w:proofErr w:type="spellEnd"/>
      <w:r w:rsidR="003F2C9E">
        <w:rPr>
          <w:lang w:eastAsia="en-MY"/>
        </w:rPr>
        <w:t>, 2022)</w:t>
      </w:r>
      <w:r w:rsidRPr="000F067D">
        <w:rPr>
          <w:lang w:eastAsia="en-MY"/>
        </w:rPr>
        <w:t>.</w:t>
      </w:r>
      <w:r w:rsidR="00D000BA">
        <w:rPr>
          <w:lang w:eastAsia="en-MY"/>
        </w:rPr>
        <w:t xml:space="preserve"> </w:t>
      </w:r>
    </w:p>
    <w:p w14:paraId="79955BAD" w14:textId="16BE24D6" w:rsidR="008816D4" w:rsidRPr="009D4627" w:rsidRDefault="008816D4" w:rsidP="00D04E3B">
      <w:pPr>
        <w:pStyle w:val="Heading2"/>
      </w:pPr>
      <w:bookmarkStart w:id="300" w:name="_Toc64730813"/>
      <w:bookmarkStart w:id="301" w:name="_Toc98964671"/>
      <w:bookmarkStart w:id="302" w:name="_Toc103344715"/>
      <w:bookmarkEnd w:id="299"/>
      <w:r w:rsidRPr="009D4627">
        <w:t>Conclusion</w:t>
      </w:r>
      <w:bookmarkEnd w:id="300"/>
      <w:bookmarkEnd w:id="301"/>
      <w:bookmarkEnd w:id="302"/>
    </w:p>
    <w:p w14:paraId="4047DB9A" w14:textId="0BCFF16B" w:rsidR="00274209" w:rsidRPr="009D4627" w:rsidRDefault="00336F1C" w:rsidP="008816D4">
      <w:pPr>
        <w:spacing w:after="160"/>
        <w:rPr>
          <w:szCs w:val="22"/>
        </w:rPr>
      </w:pPr>
      <w:r w:rsidRPr="009D4627">
        <w:rPr>
          <w:szCs w:val="22"/>
        </w:rPr>
        <w:t xml:space="preserve">The normative data for fixations, SPs, and saccades were established in the currents study to answer the study's first aim. </w:t>
      </w:r>
      <w:r w:rsidR="00E66545" w:rsidRPr="00E66545">
        <w:rPr>
          <w:szCs w:val="22"/>
        </w:rPr>
        <w:t xml:space="preserve">It will </w:t>
      </w:r>
      <w:r w:rsidR="00E66545">
        <w:rPr>
          <w:szCs w:val="22"/>
        </w:rPr>
        <w:t>serve</w:t>
      </w:r>
      <w:r w:rsidR="00E66545" w:rsidRPr="00E66545">
        <w:rPr>
          <w:szCs w:val="22"/>
        </w:rPr>
        <w:t xml:space="preserve"> as the control group for age-matched comparisons with the patients' </w:t>
      </w:r>
      <w:r w:rsidR="00E66545">
        <w:rPr>
          <w:szCs w:val="22"/>
        </w:rPr>
        <w:t>EMR data</w:t>
      </w:r>
      <w:r w:rsidR="00E66545" w:rsidRPr="00E66545">
        <w:rPr>
          <w:szCs w:val="22"/>
        </w:rPr>
        <w:t xml:space="preserve"> in Chapter 5.</w:t>
      </w:r>
    </w:p>
    <w:p w14:paraId="721E1A30" w14:textId="2E6A4318" w:rsidR="00D9156F" w:rsidRDefault="00E66545" w:rsidP="000939C0">
      <w:r>
        <w:rPr>
          <w:szCs w:val="22"/>
        </w:rPr>
        <w:t>The findings suggest that f</w:t>
      </w:r>
      <w:r w:rsidR="00710E16" w:rsidRPr="009D4627">
        <w:rPr>
          <w:szCs w:val="22"/>
        </w:rPr>
        <w:t xml:space="preserve">ixation eye movement is maintained over the course of a person's life. </w:t>
      </w:r>
      <w:r>
        <w:rPr>
          <w:szCs w:val="22"/>
        </w:rPr>
        <w:t xml:space="preserve">However, </w:t>
      </w:r>
      <w:r w:rsidR="00710E16">
        <w:rPr>
          <w:szCs w:val="22"/>
        </w:rPr>
        <w:t xml:space="preserve">SP RMSE increased with ageing when tested using horizontal and vertical sinusoidal wave stimuli, but not the SP gain and duration, indicating the SP maintenance phase was affected </w:t>
      </w:r>
      <w:r>
        <w:rPr>
          <w:szCs w:val="22"/>
        </w:rPr>
        <w:t>by</w:t>
      </w:r>
      <w:r w:rsidR="00710E16">
        <w:rPr>
          <w:szCs w:val="22"/>
        </w:rPr>
        <w:t xml:space="preserve"> ageing. </w:t>
      </w:r>
      <w:r>
        <w:rPr>
          <w:szCs w:val="22"/>
        </w:rPr>
        <w:t>In addition, s</w:t>
      </w:r>
      <w:r w:rsidR="00710E16" w:rsidRPr="009D4627">
        <w:rPr>
          <w:szCs w:val="22"/>
        </w:rPr>
        <w:t xml:space="preserve">accadic latency declines with aging in both horizontal and vertical directions. However, the saccadic gain only decreases with ageing at larger horizontal saccadic amplitudes and upward saccades. The saccadic peak velocity increases with ageing in horizontal directions and downward gaze.  </w:t>
      </w:r>
      <w:r w:rsidR="00B316C4" w:rsidRPr="00B316C4">
        <w:rPr>
          <w:szCs w:val="22"/>
        </w:rPr>
        <w:t xml:space="preserve">Although the findings demonstrated a significant mean difference between age groups for specific types of eye movements, the correlation shows a poor association between ageing and the </w:t>
      </w:r>
      <w:r w:rsidR="00A83C0C">
        <w:rPr>
          <w:szCs w:val="22"/>
        </w:rPr>
        <w:t>type</w:t>
      </w:r>
      <w:r w:rsidR="00B316C4" w:rsidRPr="00B316C4">
        <w:rPr>
          <w:szCs w:val="22"/>
        </w:rPr>
        <w:t xml:space="preserve"> of eye movement characteristics.</w:t>
      </w:r>
      <w:r w:rsidR="00B316C4">
        <w:rPr>
          <w:szCs w:val="22"/>
        </w:rPr>
        <w:t xml:space="preserve"> </w:t>
      </w:r>
      <w:r w:rsidR="00B316C4" w:rsidRPr="00B316C4">
        <w:rPr>
          <w:szCs w:val="22"/>
        </w:rPr>
        <w:t>As a result, it is recommended that the EMR result for Chapter 5 be compared to the results of the age-matched groups.</w:t>
      </w:r>
      <w:r w:rsidR="00B316C4">
        <w:rPr>
          <w:szCs w:val="22"/>
        </w:rPr>
        <w:t xml:space="preserve"> </w:t>
      </w:r>
      <w:r w:rsidR="00D9156F" w:rsidRPr="00D9156F">
        <w:t xml:space="preserve">The normative results provide a dataset for clinicians who have abnormal </w:t>
      </w:r>
      <w:r w:rsidR="00D9156F" w:rsidRPr="00D9156F">
        <w:lastRenderedPageBreak/>
        <w:t>eye movements to see how their patients' results differ from the age-matched control data provided here. The null hypothesis is rejected as the age-related effect seen in this study for specific saccadic and SP characteristics. As a result, it emphasises the importance of using age-matched control data to compare to patients with abnormal OMT in EMR investigations. In addition, the EMR paradigms and specific parameters employed in this study are appropriate for use in clinics for patient assessment and consultation.</w:t>
      </w:r>
    </w:p>
    <w:p w14:paraId="5DD14082" w14:textId="6C9E6A01" w:rsidR="008816D4" w:rsidRPr="009D4627" w:rsidRDefault="008816D4" w:rsidP="00DC4CA6">
      <w:pPr>
        <w:pStyle w:val="Heading3"/>
      </w:pPr>
      <w:bookmarkStart w:id="303" w:name="_Toc64730814"/>
      <w:bookmarkStart w:id="304" w:name="_Toc98964672"/>
      <w:bookmarkStart w:id="305" w:name="_Toc103344716"/>
      <w:r w:rsidRPr="009D4627">
        <w:t>Limitations of the study and future works</w:t>
      </w:r>
      <w:bookmarkEnd w:id="303"/>
      <w:bookmarkEnd w:id="304"/>
      <w:bookmarkEnd w:id="305"/>
    </w:p>
    <w:p w14:paraId="3FA4A4F3" w14:textId="038858BD" w:rsidR="008816D4" w:rsidRPr="009D4627" w:rsidRDefault="00336F1C" w:rsidP="008816D4">
      <w:pPr>
        <w:spacing w:after="160"/>
        <w:rPr>
          <w:szCs w:val="22"/>
        </w:rPr>
      </w:pPr>
      <w:r w:rsidRPr="009D4627">
        <w:rPr>
          <w:szCs w:val="22"/>
        </w:rPr>
        <w:t xml:space="preserve">Since this study used different target sizes for the older group, it could be a confounding variable in the results. </w:t>
      </w:r>
      <w:r w:rsidR="00A83C0C">
        <w:rPr>
          <w:szCs w:val="22"/>
        </w:rPr>
        <w:t>S</w:t>
      </w:r>
      <w:r w:rsidRPr="009D4627">
        <w:rPr>
          <w:szCs w:val="22"/>
        </w:rPr>
        <w:t xml:space="preserve">ome old participants with myopia correction of &gt;2.00 dioptre sphere (DS) and using multifocal (MF) spectacles. </w:t>
      </w:r>
      <w:r w:rsidR="00A83C0C">
        <w:rPr>
          <w:szCs w:val="22"/>
        </w:rPr>
        <w:t>It was not possible to</w:t>
      </w:r>
      <w:r w:rsidRPr="009D4627">
        <w:rPr>
          <w:szCs w:val="22"/>
        </w:rPr>
        <w:t xml:space="preserve"> proceed with the tracking if the participants wore MFs spectacles due to aberrations from the different viewing parts of the MF spectacles. Therefore, the </w:t>
      </w:r>
      <w:r w:rsidR="00A83C0C">
        <w:rPr>
          <w:szCs w:val="22"/>
        </w:rPr>
        <w:t>EMR</w:t>
      </w:r>
      <w:r w:rsidRPr="009D4627">
        <w:rPr>
          <w:szCs w:val="22"/>
        </w:rPr>
        <w:t xml:space="preserve"> had to be </w:t>
      </w:r>
      <w:r w:rsidR="00A83C0C">
        <w:rPr>
          <w:szCs w:val="22"/>
        </w:rPr>
        <w:t>performed</w:t>
      </w:r>
      <w:r w:rsidRPr="009D4627">
        <w:rPr>
          <w:szCs w:val="22"/>
        </w:rPr>
        <w:t xml:space="preserve"> without the spectacles. To compensate for their uncorrected refractive error for </w:t>
      </w:r>
      <w:r w:rsidR="00A83C0C">
        <w:rPr>
          <w:szCs w:val="22"/>
        </w:rPr>
        <w:t xml:space="preserve">the </w:t>
      </w:r>
      <w:r w:rsidRPr="009D4627">
        <w:rPr>
          <w:szCs w:val="22"/>
        </w:rPr>
        <w:t>intermediate viewing distance, the target size</w:t>
      </w:r>
      <w:r w:rsidR="00A83C0C">
        <w:rPr>
          <w:szCs w:val="22"/>
        </w:rPr>
        <w:t xml:space="preserve"> was increased </w:t>
      </w:r>
      <w:r w:rsidRPr="009D4627">
        <w:rPr>
          <w:szCs w:val="22"/>
        </w:rPr>
        <w:t xml:space="preserve">to enhance </w:t>
      </w:r>
      <w:r w:rsidR="00A83C0C">
        <w:rPr>
          <w:szCs w:val="22"/>
        </w:rPr>
        <w:t xml:space="preserve">at the visibility of </w:t>
      </w:r>
      <w:r w:rsidRPr="009D4627">
        <w:rPr>
          <w:szCs w:val="22"/>
        </w:rPr>
        <w:t>the target throughout the EMRs.</w:t>
      </w:r>
    </w:p>
    <w:p w14:paraId="320F7D7B" w14:textId="2E3588D6" w:rsidR="008816D4" w:rsidRPr="009D4627" w:rsidRDefault="00A83C0C" w:rsidP="008816D4">
      <w:pPr>
        <w:spacing w:after="160"/>
        <w:rPr>
          <w:szCs w:val="22"/>
        </w:rPr>
      </w:pPr>
      <w:r>
        <w:rPr>
          <w:szCs w:val="22"/>
        </w:rPr>
        <w:t>It would be worth</w:t>
      </w:r>
      <w:r w:rsidR="00336F1C" w:rsidRPr="009D4627">
        <w:rPr>
          <w:szCs w:val="22"/>
        </w:rPr>
        <w:t xml:space="preserve"> exploring the different effect</w:t>
      </w:r>
      <w:r w:rsidR="00EC745C" w:rsidRPr="009D4627">
        <w:rPr>
          <w:szCs w:val="22"/>
        </w:rPr>
        <w:t>s</w:t>
      </w:r>
      <w:r w:rsidR="00336F1C" w:rsidRPr="009D4627">
        <w:rPr>
          <w:szCs w:val="22"/>
        </w:rPr>
        <w:t xml:space="preserve"> of </w:t>
      </w:r>
      <w:r w:rsidR="004258CF" w:rsidRPr="009D4627">
        <w:rPr>
          <w:szCs w:val="22"/>
        </w:rPr>
        <w:t>EMR</w:t>
      </w:r>
      <w:r w:rsidR="00336F1C" w:rsidRPr="009D4627">
        <w:rPr>
          <w:szCs w:val="22"/>
        </w:rPr>
        <w:t xml:space="preserve"> with and without soft contact lenses for future works. If there are no significant differences with or without soft contact lenses, using soft contact lenses could help in</w:t>
      </w:r>
      <w:r w:rsidR="00EC745C" w:rsidRPr="009D4627">
        <w:rPr>
          <w:szCs w:val="22"/>
        </w:rPr>
        <w:t>vestigate</w:t>
      </w:r>
      <w:r w:rsidR="00336F1C" w:rsidRPr="009D4627">
        <w:rPr>
          <w:szCs w:val="22"/>
        </w:rPr>
        <w:t xml:space="preserve"> eye movement behaviour among the elderly</w:t>
      </w:r>
      <w:r w:rsidR="008816D4" w:rsidRPr="009D4627">
        <w:rPr>
          <w:szCs w:val="22"/>
        </w:rPr>
        <w:t xml:space="preserve">. </w:t>
      </w:r>
    </w:p>
    <w:p w14:paraId="5CD2968B" w14:textId="77777777" w:rsidR="005D103B" w:rsidRPr="009D4627" w:rsidRDefault="005D103B" w:rsidP="002A7EB3">
      <w:pPr>
        <w:pStyle w:val="Heading1"/>
        <w:sectPr w:rsidR="005D103B" w:rsidRPr="009D4627" w:rsidSect="00477959">
          <w:headerReference w:type="default" r:id="rId157"/>
          <w:pgSz w:w="11906" w:h="16838" w:code="9"/>
          <w:pgMar w:top="1440" w:right="1440" w:bottom="1440" w:left="1440" w:header="708" w:footer="708" w:gutter="0"/>
          <w:cols w:space="708"/>
          <w:docGrid w:linePitch="360"/>
        </w:sectPr>
      </w:pPr>
      <w:bookmarkStart w:id="306" w:name="_Toc55662833"/>
      <w:bookmarkStart w:id="307" w:name="_Toc57299325"/>
      <w:bookmarkStart w:id="308" w:name="_Toc57300362"/>
      <w:bookmarkStart w:id="309" w:name="_Toc57300470"/>
      <w:bookmarkStart w:id="310" w:name="_Toc69994801"/>
      <w:bookmarkStart w:id="311" w:name="_Hlk55659962"/>
    </w:p>
    <w:p w14:paraId="5C98D39F" w14:textId="1D1D9551" w:rsidR="00BF47CE" w:rsidRPr="009D4627" w:rsidRDefault="00BF47CE" w:rsidP="002A7EB3">
      <w:pPr>
        <w:pStyle w:val="Heading1"/>
      </w:pPr>
      <w:bookmarkStart w:id="312" w:name="_Toc98964673"/>
      <w:bookmarkStart w:id="313" w:name="_Toc103344717"/>
      <w:r w:rsidRPr="009D4627">
        <w:lastRenderedPageBreak/>
        <w:t>Validation of recording techniques</w:t>
      </w:r>
      <w:bookmarkEnd w:id="306"/>
      <w:bookmarkEnd w:id="307"/>
      <w:bookmarkEnd w:id="308"/>
      <w:bookmarkEnd w:id="309"/>
      <w:bookmarkEnd w:id="310"/>
      <w:bookmarkEnd w:id="312"/>
      <w:bookmarkEnd w:id="313"/>
      <w:r w:rsidR="00CC115E" w:rsidRPr="009D4627">
        <w:t xml:space="preserve"> </w:t>
      </w:r>
    </w:p>
    <w:p w14:paraId="5FBDF489" w14:textId="4A9A9080" w:rsidR="00BF47CE" w:rsidRPr="009D4627" w:rsidRDefault="00BF47CE" w:rsidP="00BF47CE">
      <w:pPr>
        <w:spacing w:after="0"/>
        <w:rPr>
          <w:color w:val="auto"/>
        </w:rPr>
      </w:pPr>
      <w:bookmarkStart w:id="314" w:name="_Toc55661971"/>
      <w:bookmarkStart w:id="315" w:name="_Toc55662834"/>
      <w:r w:rsidRPr="009D4627">
        <w:rPr>
          <w:color w:val="auto"/>
        </w:rPr>
        <w:t xml:space="preserve">This chapter includes two experimental studies (Experiments 2 and 3) to determine differences in </w:t>
      </w:r>
      <w:r w:rsidR="009F1766" w:rsidRPr="009D4627">
        <w:rPr>
          <w:color w:val="auto"/>
        </w:rPr>
        <w:t>EMRs</w:t>
      </w:r>
      <w:r w:rsidRPr="009D4627">
        <w:rPr>
          <w:color w:val="auto"/>
        </w:rPr>
        <w:t xml:space="preserve"> using varied parameters.</w:t>
      </w:r>
      <w:bookmarkEnd w:id="314"/>
      <w:bookmarkEnd w:id="315"/>
      <w:r w:rsidRPr="009D4627">
        <w:rPr>
          <w:color w:val="auto"/>
        </w:rPr>
        <w:t xml:space="preserve"> </w:t>
      </w:r>
      <w:bookmarkStart w:id="316" w:name="_Toc55661972"/>
      <w:bookmarkStart w:id="317" w:name="_Toc55662835"/>
      <w:r w:rsidRPr="009D4627">
        <w:rPr>
          <w:color w:val="auto"/>
        </w:rPr>
        <w:t>The aims of these experiments were to:</w:t>
      </w:r>
      <w:bookmarkEnd w:id="316"/>
      <w:bookmarkEnd w:id="317"/>
    </w:p>
    <w:p w14:paraId="23545B91" w14:textId="23D3E868" w:rsidR="00D16AA5" w:rsidRPr="009D4627" w:rsidRDefault="00D44283" w:rsidP="00C171FA">
      <w:pPr>
        <w:numPr>
          <w:ilvl w:val="0"/>
          <w:numId w:val="118"/>
        </w:numPr>
        <w:spacing w:after="0"/>
        <w:contextualSpacing/>
        <w:rPr>
          <w:color w:val="auto"/>
        </w:rPr>
      </w:pPr>
      <w:bookmarkStart w:id="318" w:name="_Toc55661973"/>
      <w:bookmarkStart w:id="319" w:name="_Toc55662836"/>
      <w:bookmarkStart w:id="320" w:name="_Ref55944465"/>
      <w:r w:rsidRPr="009D4627">
        <w:rPr>
          <w:color w:val="auto"/>
        </w:rPr>
        <w:t xml:space="preserve">Evaluate the effect of altering target size on fixation, </w:t>
      </w:r>
      <w:proofErr w:type="gramStart"/>
      <w:r w:rsidRPr="009D4627">
        <w:rPr>
          <w:color w:val="auto"/>
        </w:rPr>
        <w:t>SP</w:t>
      </w:r>
      <w:proofErr w:type="gramEnd"/>
      <w:r w:rsidRPr="009D4627">
        <w:rPr>
          <w:color w:val="auto"/>
        </w:rPr>
        <w:t xml:space="preserve"> and saccadic eye movement parameters</w:t>
      </w:r>
      <w:bookmarkEnd w:id="318"/>
      <w:bookmarkEnd w:id="319"/>
      <w:bookmarkEnd w:id="320"/>
      <w:r w:rsidR="00BF47CE" w:rsidRPr="009D4627">
        <w:rPr>
          <w:color w:val="auto"/>
        </w:rPr>
        <w:t xml:space="preserve"> (Experiment 2).</w:t>
      </w:r>
      <w:bookmarkStart w:id="321" w:name="_Toc55661974"/>
      <w:bookmarkStart w:id="322" w:name="_Toc55662837"/>
    </w:p>
    <w:p w14:paraId="62B62387" w14:textId="0E786C37" w:rsidR="00BF47CE" w:rsidRPr="009D4627" w:rsidRDefault="00BF47CE" w:rsidP="00C171FA">
      <w:pPr>
        <w:numPr>
          <w:ilvl w:val="0"/>
          <w:numId w:val="118"/>
        </w:numPr>
        <w:spacing w:after="0"/>
        <w:contextualSpacing/>
        <w:rPr>
          <w:color w:val="auto"/>
        </w:rPr>
      </w:pPr>
      <w:r w:rsidRPr="009D4627">
        <w:rPr>
          <w:color w:val="auto"/>
        </w:rPr>
        <w:t xml:space="preserve">Identify any differences in eye movement </w:t>
      </w:r>
      <w:r w:rsidR="00D16AA5" w:rsidRPr="009D4627">
        <w:rPr>
          <w:color w:val="auto"/>
        </w:rPr>
        <w:t>parameters</w:t>
      </w:r>
      <w:r w:rsidRPr="009D4627">
        <w:rPr>
          <w:color w:val="auto"/>
        </w:rPr>
        <w:t xml:space="preserve"> when tested binocularly versus monocularly (Experiment 3).</w:t>
      </w:r>
      <w:bookmarkEnd w:id="321"/>
      <w:bookmarkEnd w:id="322"/>
      <w:r w:rsidRPr="009D4627">
        <w:rPr>
          <w:color w:val="auto"/>
        </w:rPr>
        <w:t xml:space="preserve">   </w:t>
      </w:r>
    </w:p>
    <w:p w14:paraId="10B784A5" w14:textId="3420B5F2" w:rsidR="00034492" w:rsidRPr="009D4627" w:rsidRDefault="00BF47CE" w:rsidP="00BF47CE">
      <w:pPr>
        <w:spacing w:after="0"/>
        <w:rPr>
          <w:color w:val="auto"/>
        </w:rPr>
        <w:sectPr w:rsidR="00034492" w:rsidRPr="009D4627" w:rsidSect="00477959">
          <w:headerReference w:type="default" r:id="rId158"/>
          <w:pgSz w:w="11906" w:h="16838" w:code="9"/>
          <w:pgMar w:top="1440" w:right="1440" w:bottom="1440" w:left="1440" w:header="708" w:footer="708" w:gutter="0"/>
          <w:cols w:space="708"/>
          <w:docGrid w:linePitch="360"/>
        </w:sectPr>
      </w:pPr>
      <w:bookmarkStart w:id="323" w:name="_Toc55661975"/>
      <w:bookmarkStart w:id="324" w:name="_Toc55662838"/>
      <w:r w:rsidRPr="009D4627">
        <w:rPr>
          <w:color w:val="auto"/>
        </w:rPr>
        <w:t xml:space="preserve">The findings </w:t>
      </w:r>
      <w:r w:rsidR="000641DF" w:rsidRPr="009D4627">
        <w:rPr>
          <w:color w:val="auto"/>
        </w:rPr>
        <w:t xml:space="preserve">from both experiments </w:t>
      </w:r>
      <w:r w:rsidRPr="009D4627">
        <w:rPr>
          <w:color w:val="auto"/>
        </w:rPr>
        <w:t>are summarised at the end of the chapter.</w:t>
      </w:r>
      <w:bookmarkEnd w:id="323"/>
      <w:bookmarkEnd w:id="324"/>
      <w:r w:rsidR="000641DF" w:rsidRPr="009D4627">
        <w:rPr>
          <w:color w:val="auto"/>
        </w:rPr>
        <w:t xml:space="preserve"> The information obtained from these experiments were used to inform the design and interpretation of later experiment in patients with ocular nerve palsies (as discussed in Chapter 5 - Experiment 4).</w:t>
      </w:r>
    </w:p>
    <w:p w14:paraId="790B0D06" w14:textId="60D1AEBF" w:rsidR="00BF47CE" w:rsidRPr="009D4627" w:rsidRDefault="00BF47CE" w:rsidP="00D04E3B">
      <w:pPr>
        <w:pStyle w:val="Heading2"/>
      </w:pPr>
      <w:bookmarkStart w:id="325" w:name="_Toc55662839"/>
      <w:bookmarkStart w:id="326" w:name="_Toc57297550"/>
      <w:bookmarkStart w:id="327" w:name="_Toc57299326"/>
      <w:bookmarkStart w:id="328" w:name="_Toc57300363"/>
      <w:bookmarkStart w:id="329" w:name="_Toc57300471"/>
      <w:bookmarkStart w:id="330" w:name="_Toc98964674"/>
      <w:bookmarkStart w:id="331" w:name="_Toc103344718"/>
      <w:bookmarkEnd w:id="311"/>
      <w:r w:rsidRPr="009D4627">
        <w:lastRenderedPageBreak/>
        <w:t>Experiment 2: The effect of target size on eye movement</w:t>
      </w:r>
      <w:bookmarkEnd w:id="325"/>
      <w:bookmarkEnd w:id="326"/>
      <w:bookmarkEnd w:id="327"/>
      <w:bookmarkEnd w:id="328"/>
      <w:bookmarkEnd w:id="329"/>
      <w:r w:rsidRPr="009D4627">
        <w:t>s</w:t>
      </w:r>
      <w:bookmarkEnd w:id="330"/>
      <w:bookmarkEnd w:id="331"/>
    </w:p>
    <w:p w14:paraId="37FF866F" w14:textId="3B6469CF" w:rsidR="00BF47CE" w:rsidRPr="009D4627" w:rsidRDefault="00BF47CE" w:rsidP="00DC4CA6">
      <w:pPr>
        <w:pStyle w:val="Heading3"/>
      </w:pPr>
      <w:bookmarkStart w:id="332" w:name="_Toc57300364"/>
      <w:bookmarkStart w:id="333" w:name="_Toc57300472"/>
      <w:bookmarkStart w:id="334" w:name="_Toc98964675"/>
      <w:bookmarkStart w:id="335" w:name="_Toc103344719"/>
      <w:r w:rsidRPr="009D4627">
        <w:t>Introduction</w:t>
      </w:r>
      <w:bookmarkEnd w:id="332"/>
      <w:bookmarkEnd w:id="333"/>
      <w:bookmarkEnd w:id="334"/>
      <w:bookmarkEnd w:id="335"/>
    </w:p>
    <w:p w14:paraId="60D50F7D" w14:textId="7C881FDC" w:rsidR="00BF47CE" w:rsidRPr="009D4627" w:rsidRDefault="00BF47CE" w:rsidP="00D16AA5">
      <w:pPr>
        <w:rPr>
          <w:color w:val="auto"/>
        </w:rPr>
      </w:pPr>
      <w:r w:rsidRPr="009D4627">
        <w:rPr>
          <w:color w:val="auto"/>
        </w:rPr>
        <w:t xml:space="preserve">A small fixation target was considered the most appropriate to determine precise information about eye movement performance of saccades, </w:t>
      </w:r>
      <w:r w:rsidR="00230ED5" w:rsidRPr="009D4627">
        <w:rPr>
          <w:color w:val="auto"/>
        </w:rPr>
        <w:t>SP</w:t>
      </w:r>
      <w:r w:rsidRPr="009D4627">
        <w:rPr>
          <w:color w:val="auto"/>
        </w:rPr>
        <w:t>s, and steady fixation. However, it was anticipated that not all patients presenting with ocular nerve palsies would see the 0.5° target</w:t>
      </w:r>
      <w:r w:rsidR="009F1766" w:rsidRPr="009D4627">
        <w:rPr>
          <w:color w:val="auto"/>
        </w:rPr>
        <w:t xml:space="preserve"> size</w:t>
      </w:r>
      <w:r w:rsidRPr="009D4627">
        <w:rPr>
          <w:color w:val="auto"/>
        </w:rPr>
        <w:t xml:space="preserve">. </w:t>
      </w:r>
      <w:r w:rsidR="00AA11BD" w:rsidRPr="009D4627">
        <w:t xml:space="preserve">This experiment compared results of normal participants with different size targets so comparisons could be made with patients who fixated a target commensurate with their VA and </w:t>
      </w:r>
      <w:r w:rsidR="00D44283" w:rsidRPr="009D4627">
        <w:t xml:space="preserve">this </w:t>
      </w:r>
      <w:r w:rsidR="00AA11BD" w:rsidRPr="009D4627">
        <w:t>varied between participants</w:t>
      </w:r>
      <w:r w:rsidRPr="009D4627">
        <w:rPr>
          <w:color w:val="auto"/>
        </w:rPr>
        <w:t>. The experiment results will be used to eliminate or identify any potential confounding variable</w:t>
      </w:r>
      <w:r w:rsidR="00D44283" w:rsidRPr="009D4627">
        <w:rPr>
          <w:color w:val="auto"/>
        </w:rPr>
        <w:t>s</w:t>
      </w:r>
      <w:r w:rsidRPr="009D4627">
        <w:rPr>
          <w:color w:val="auto"/>
        </w:rPr>
        <w:t xml:space="preserve"> in target size to interpret further experiment</w:t>
      </w:r>
      <w:r w:rsidR="00D44283" w:rsidRPr="009D4627">
        <w:rPr>
          <w:color w:val="auto"/>
        </w:rPr>
        <w:t>s</w:t>
      </w:r>
      <w:r w:rsidRPr="009D4627">
        <w:rPr>
          <w:color w:val="auto"/>
        </w:rPr>
        <w:t xml:space="preserve">. </w:t>
      </w:r>
    </w:p>
    <w:p w14:paraId="2ABE68C7" w14:textId="5B842A6E" w:rsidR="00BF47CE" w:rsidRPr="009D4627" w:rsidRDefault="00F10A4F" w:rsidP="00CA4E90">
      <w:pPr>
        <w:pStyle w:val="Heading4"/>
      </w:pPr>
      <w:bookmarkStart w:id="336" w:name="_Toc98964676"/>
      <w:bookmarkStart w:id="337" w:name="_Toc103344720"/>
      <w:r w:rsidRPr="009D4627">
        <w:t>Null h</w:t>
      </w:r>
      <w:r w:rsidR="00BF47CE" w:rsidRPr="009D4627">
        <w:t>ypothesis</w:t>
      </w:r>
      <w:bookmarkEnd w:id="336"/>
      <w:bookmarkEnd w:id="337"/>
    </w:p>
    <w:p w14:paraId="65C6563C" w14:textId="634D6F84" w:rsidR="00BF47CE" w:rsidRPr="009D4627" w:rsidRDefault="00BF47CE" w:rsidP="00C06581">
      <w:pPr>
        <w:rPr>
          <w:bCs/>
          <w:color w:val="auto"/>
        </w:rPr>
      </w:pPr>
      <w:r w:rsidRPr="009D4627">
        <w:rPr>
          <w:bCs/>
          <w:color w:val="auto"/>
        </w:rPr>
        <w:t>The distributions of eye movement parameters recorded with different target sizes (0.5</w:t>
      </w:r>
      <w:r w:rsidR="00C06581" w:rsidRPr="009D4627">
        <w:rPr>
          <w:bCs/>
          <w:color w:val="auto"/>
        </w:rPr>
        <w:t>°</w:t>
      </w:r>
      <w:r w:rsidRPr="009D4627">
        <w:rPr>
          <w:bCs/>
          <w:color w:val="auto"/>
        </w:rPr>
        <w:t>, 1</w:t>
      </w:r>
      <w:r w:rsidR="00C06581" w:rsidRPr="009D4627">
        <w:rPr>
          <w:bCs/>
          <w:color w:val="auto"/>
        </w:rPr>
        <w:t>°</w:t>
      </w:r>
      <w:r w:rsidRPr="009D4627">
        <w:rPr>
          <w:bCs/>
          <w:color w:val="auto"/>
        </w:rPr>
        <w:t xml:space="preserve"> </w:t>
      </w:r>
      <w:r w:rsidR="009F1766" w:rsidRPr="009D4627">
        <w:rPr>
          <w:bCs/>
          <w:color w:val="auto"/>
        </w:rPr>
        <w:t>and</w:t>
      </w:r>
      <w:r w:rsidRPr="009D4627">
        <w:rPr>
          <w:bCs/>
          <w:color w:val="auto"/>
        </w:rPr>
        <w:t xml:space="preserve"> 2°) are the same.</w:t>
      </w:r>
    </w:p>
    <w:p w14:paraId="3201CB32" w14:textId="534950C5" w:rsidR="00BF47CE" w:rsidRPr="009D4627" w:rsidRDefault="00BF47CE" w:rsidP="00DC4CA6">
      <w:pPr>
        <w:pStyle w:val="Heading3"/>
      </w:pPr>
      <w:bookmarkStart w:id="338" w:name="_Toc55662840"/>
      <w:bookmarkStart w:id="339" w:name="_Toc57297551"/>
      <w:bookmarkStart w:id="340" w:name="_Toc57299327"/>
      <w:bookmarkStart w:id="341" w:name="_Toc57300365"/>
      <w:bookmarkStart w:id="342" w:name="_Toc57300473"/>
      <w:bookmarkStart w:id="343" w:name="_Toc98964677"/>
      <w:bookmarkStart w:id="344" w:name="_Toc103344721"/>
      <w:r w:rsidRPr="009D4627">
        <w:t>Method</w:t>
      </w:r>
      <w:bookmarkEnd w:id="338"/>
      <w:bookmarkEnd w:id="339"/>
      <w:bookmarkEnd w:id="340"/>
      <w:bookmarkEnd w:id="341"/>
      <w:bookmarkEnd w:id="342"/>
      <w:bookmarkEnd w:id="343"/>
      <w:bookmarkEnd w:id="344"/>
      <w:r w:rsidRPr="009D4627">
        <w:t xml:space="preserve"> </w:t>
      </w:r>
    </w:p>
    <w:p w14:paraId="09DD0F5D" w14:textId="25FD56E8" w:rsidR="00BF47CE" w:rsidRPr="009D4627" w:rsidRDefault="00BF47CE" w:rsidP="00CA4E90">
      <w:pPr>
        <w:pStyle w:val="Heading4"/>
      </w:pPr>
      <w:bookmarkStart w:id="345" w:name="_Toc55662845"/>
      <w:bookmarkStart w:id="346" w:name="_Toc57300368"/>
      <w:bookmarkStart w:id="347" w:name="_Toc57300476"/>
      <w:bookmarkStart w:id="348" w:name="_Toc98964678"/>
      <w:bookmarkStart w:id="349" w:name="_Toc103344722"/>
      <w:r w:rsidRPr="009D4627">
        <w:t>Ethical approval</w:t>
      </w:r>
      <w:bookmarkStart w:id="350" w:name="_Toc55659376"/>
      <w:bookmarkEnd w:id="345"/>
      <w:bookmarkEnd w:id="346"/>
      <w:bookmarkEnd w:id="347"/>
      <w:bookmarkEnd w:id="348"/>
      <w:bookmarkEnd w:id="349"/>
    </w:p>
    <w:p w14:paraId="00A3203B" w14:textId="38DCD670" w:rsidR="00BF47CE" w:rsidRPr="009D4627" w:rsidRDefault="00BF47CE" w:rsidP="000C0EE2">
      <w:pPr>
        <w:spacing w:before="0" w:after="0"/>
        <w:rPr>
          <w:color w:val="auto"/>
        </w:rPr>
      </w:pPr>
      <w:bookmarkStart w:id="351" w:name="_Toc55662372"/>
      <w:bookmarkStart w:id="352" w:name="_Toc55662846"/>
      <w:r w:rsidRPr="009D4627">
        <w:rPr>
          <w:color w:val="auto"/>
        </w:rPr>
        <w:t xml:space="preserve">This study received ethical approval from The University of Sheffield, Medical School Ethics Committee on 18/04/2017, application reference number 013101 (Appendix </w:t>
      </w:r>
      <w:r w:rsidR="009F1766" w:rsidRPr="009D4627">
        <w:rPr>
          <w:color w:val="auto"/>
        </w:rPr>
        <w:t>1</w:t>
      </w:r>
      <w:r w:rsidRPr="009D4627">
        <w:rPr>
          <w:color w:val="auto"/>
        </w:rPr>
        <w:t xml:space="preserve">.1). All participants who satisfied the inclusion criteria were given the Participant Information Sheet (Appendix </w:t>
      </w:r>
      <w:r w:rsidR="009F1766" w:rsidRPr="009D4627">
        <w:rPr>
          <w:color w:val="auto"/>
        </w:rPr>
        <w:t>1</w:t>
      </w:r>
      <w:r w:rsidRPr="009D4627">
        <w:rPr>
          <w:color w:val="auto"/>
        </w:rPr>
        <w:t xml:space="preserve">.2), and if they agreed to continue, written consent was obtained using the Participant Consent Form (Appendix </w:t>
      </w:r>
      <w:r w:rsidR="009F1766" w:rsidRPr="009D4627">
        <w:rPr>
          <w:color w:val="auto"/>
        </w:rPr>
        <w:t>1</w:t>
      </w:r>
      <w:r w:rsidRPr="009D4627">
        <w:rPr>
          <w:color w:val="auto"/>
        </w:rPr>
        <w:t>.3). The files were kept in a securely locked cupboard to ensure the participants' confidentiality, which c</w:t>
      </w:r>
      <w:r w:rsidR="00D44283" w:rsidRPr="009D4627">
        <w:rPr>
          <w:color w:val="auto"/>
        </w:rPr>
        <w:t>ould</w:t>
      </w:r>
      <w:r w:rsidRPr="009D4627">
        <w:rPr>
          <w:color w:val="auto"/>
        </w:rPr>
        <w:t xml:space="preserve"> only be a</w:t>
      </w:r>
      <w:r w:rsidR="00AA11BD" w:rsidRPr="009D4627">
        <w:rPr>
          <w:color w:val="auto"/>
        </w:rPr>
        <w:t>cc</w:t>
      </w:r>
      <w:r w:rsidRPr="009D4627">
        <w:rPr>
          <w:color w:val="auto"/>
        </w:rPr>
        <w:t>essed by the researcher and supervisors. The data files were saved using a coding format not to be identifiable to others.</w:t>
      </w:r>
      <w:bookmarkEnd w:id="350"/>
      <w:bookmarkEnd w:id="351"/>
      <w:bookmarkEnd w:id="352"/>
    </w:p>
    <w:p w14:paraId="72E281F0" w14:textId="77777777" w:rsidR="00BF47CE" w:rsidRPr="009D4627" w:rsidRDefault="00BF47CE" w:rsidP="00CA4E90">
      <w:pPr>
        <w:pStyle w:val="Heading4"/>
      </w:pPr>
      <w:bookmarkStart w:id="353" w:name="_Toc55662841"/>
      <w:bookmarkStart w:id="354" w:name="_Toc57299328"/>
      <w:bookmarkStart w:id="355" w:name="_Toc57300366"/>
      <w:bookmarkStart w:id="356" w:name="_Toc57300474"/>
      <w:bookmarkStart w:id="357" w:name="_Toc98964679"/>
      <w:bookmarkStart w:id="358" w:name="_Toc103344723"/>
      <w:r w:rsidRPr="009D4627">
        <w:lastRenderedPageBreak/>
        <w:t>Participants</w:t>
      </w:r>
      <w:bookmarkEnd w:id="353"/>
      <w:bookmarkEnd w:id="354"/>
      <w:bookmarkEnd w:id="355"/>
      <w:bookmarkEnd w:id="356"/>
      <w:bookmarkEnd w:id="357"/>
      <w:bookmarkEnd w:id="358"/>
      <w:r w:rsidRPr="009D4627">
        <w:t xml:space="preserve"> </w:t>
      </w:r>
    </w:p>
    <w:p w14:paraId="769FB960" w14:textId="5FE0B963" w:rsidR="00BF47CE" w:rsidRPr="009D4627" w:rsidRDefault="00C06581" w:rsidP="000939C0">
      <w:bookmarkStart w:id="359" w:name="_Toc55662842"/>
      <w:r w:rsidRPr="009D4627">
        <w:t>E</w:t>
      </w:r>
      <w:r w:rsidR="00BF47CE" w:rsidRPr="009D4627">
        <w:t xml:space="preserve">xperiment </w:t>
      </w:r>
      <w:r w:rsidRPr="009D4627">
        <w:t xml:space="preserve">2 </w:t>
      </w:r>
      <w:r w:rsidR="00BF47CE" w:rsidRPr="009D4627">
        <w:t>was conducted among a healthy group of undergraduate students (ages 18 to 21</w:t>
      </w:r>
      <w:r w:rsidR="002E63E9" w:rsidRPr="009D4627">
        <w:t xml:space="preserve"> </w:t>
      </w:r>
      <w:r w:rsidR="00BF47CE" w:rsidRPr="009D4627">
        <w:t>years</w:t>
      </w:r>
      <w:r w:rsidR="002E63E9" w:rsidRPr="009D4627">
        <w:t xml:space="preserve"> </w:t>
      </w:r>
      <w:r w:rsidR="00BF47CE" w:rsidRPr="009D4627">
        <w:t>old) to evaluate the differences in eye movement performance recorded using different target sizes (0.5</w:t>
      </w:r>
      <w:r w:rsidR="009F1766" w:rsidRPr="009D4627">
        <w:t>°</w:t>
      </w:r>
      <w:r w:rsidR="00BF47CE" w:rsidRPr="009D4627">
        <w:t>, 1.0</w:t>
      </w:r>
      <w:r w:rsidR="009F1766" w:rsidRPr="009D4627">
        <w:t>°</w:t>
      </w:r>
      <w:r w:rsidR="00BF47CE" w:rsidRPr="009D4627">
        <w:t>, and 2.0°). </w:t>
      </w:r>
      <w:bookmarkStart w:id="360" w:name="_Hlk62157468"/>
      <w:r w:rsidR="00BF47CE" w:rsidRPr="009D4627">
        <w:t>Participants were recruited from the undergraduate orthoptic student volunteering scheme</w:t>
      </w:r>
      <w:r w:rsidR="003C35E3" w:rsidRPr="009D4627">
        <w:t xml:space="preserve">, </w:t>
      </w:r>
      <w:r w:rsidR="00D44283" w:rsidRPr="009D4627">
        <w:t>who were given</w:t>
      </w:r>
      <w:r w:rsidR="003C35E3" w:rsidRPr="009D4627">
        <w:t xml:space="preserve"> tokens for volunteering in this study. These allow the students to recruit participants for their research and achieve recognition for volunteering.  For non-orthoptic students, the recruitment was on a volunteer basis with no reward. </w:t>
      </w:r>
      <w:bookmarkEnd w:id="359"/>
      <w:r w:rsidR="00BF47CE" w:rsidRPr="009D4627">
        <w:t xml:space="preserve"> </w:t>
      </w:r>
    </w:p>
    <w:p w14:paraId="199855B0" w14:textId="1262EAB8" w:rsidR="00BF47CE" w:rsidRPr="009D4627" w:rsidRDefault="00C06581" w:rsidP="00CA4E90">
      <w:pPr>
        <w:pStyle w:val="Heading4"/>
      </w:pPr>
      <w:bookmarkStart w:id="361" w:name="_Toc55662843"/>
      <w:bookmarkStart w:id="362" w:name="_Toc57299329"/>
      <w:bookmarkStart w:id="363" w:name="_Toc57300367"/>
      <w:bookmarkStart w:id="364" w:name="_Toc57300475"/>
      <w:bookmarkStart w:id="365" w:name="_Toc98964680"/>
      <w:bookmarkStart w:id="366" w:name="_Toc103344724"/>
      <w:bookmarkEnd w:id="360"/>
      <w:r w:rsidRPr="009D4627">
        <w:t xml:space="preserve">EMR </w:t>
      </w:r>
      <w:r w:rsidR="00533E48">
        <w:t>p</w:t>
      </w:r>
      <w:r w:rsidR="00BF47CE" w:rsidRPr="009D4627">
        <w:t>rocedure</w:t>
      </w:r>
      <w:bookmarkEnd w:id="361"/>
      <w:bookmarkEnd w:id="362"/>
      <w:bookmarkEnd w:id="363"/>
      <w:bookmarkEnd w:id="364"/>
      <w:r w:rsidRPr="009D4627">
        <w:t>s</w:t>
      </w:r>
      <w:bookmarkEnd w:id="365"/>
      <w:bookmarkEnd w:id="366"/>
      <w:r w:rsidR="006A012D" w:rsidRPr="009D4627">
        <w:t xml:space="preserve">  </w:t>
      </w:r>
    </w:p>
    <w:p w14:paraId="2B09D5F8" w14:textId="41F7C183" w:rsidR="00BF47CE" w:rsidRDefault="00E40751" w:rsidP="00BF47CE">
      <w:pPr>
        <w:spacing w:after="0"/>
        <w:rPr>
          <w:color w:val="auto"/>
        </w:rPr>
      </w:pPr>
      <w:bookmarkStart w:id="367" w:name="_Toc55662844"/>
      <w:r w:rsidRPr="009D4627">
        <w:rPr>
          <w:color w:val="auto"/>
        </w:rPr>
        <w:t xml:space="preserve">Participants were screened during the history-taking session to ensure they met the participation criteria discussed in </w:t>
      </w:r>
      <w:r w:rsidR="00440F8E" w:rsidRPr="009D4627">
        <w:rPr>
          <w:color w:val="auto"/>
        </w:rPr>
        <w:t>Chapter 3</w:t>
      </w:r>
      <w:r w:rsidR="002E63E9" w:rsidRPr="009D4627">
        <w:rPr>
          <w:color w:val="auto"/>
        </w:rPr>
        <w:t xml:space="preserve"> </w:t>
      </w:r>
      <w:r w:rsidR="00440F8E" w:rsidRPr="009D4627">
        <w:rPr>
          <w:color w:val="auto"/>
        </w:rPr>
        <w:t>-</w:t>
      </w:r>
      <w:r w:rsidR="002E63E9" w:rsidRPr="009D4627">
        <w:rPr>
          <w:color w:val="auto"/>
        </w:rPr>
        <w:t xml:space="preserve"> </w:t>
      </w:r>
      <w:r w:rsidR="00440F8E" w:rsidRPr="009D4627">
        <w:rPr>
          <w:color w:val="auto"/>
        </w:rPr>
        <w:t>s</w:t>
      </w:r>
      <w:r w:rsidRPr="009D4627">
        <w:rPr>
          <w:color w:val="auto"/>
        </w:rPr>
        <w:t xml:space="preserve">ection 3.2. </w:t>
      </w:r>
      <w:r w:rsidR="00F61A10" w:rsidRPr="009D4627">
        <w:rPr>
          <w:color w:val="auto"/>
        </w:rPr>
        <w:t xml:space="preserve">The best-corrected VA in each eye was measured using </w:t>
      </w:r>
      <w:r w:rsidR="00D44283" w:rsidRPr="009D4627">
        <w:rPr>
          <w:color w:val="auto"/>
        </w:rPr>
        <w:t>an</w:t>
      </w:r>
      <w:r w:rsidR="00F61A10" w:rsidRPr="009D4627">
        <w:rPr>
          <w:color w:val="auto"/>
        </w:rPr>
        <w:t xml:space="preserve"> EDTRS chart at a test distance of 4 m. The correct test distance was pre</w:t>
      </w:r>
      <w:r w:rsidR="00D44283" w:rsidRPr="009D4627">
        <w:rPr>
          <w:color w:val="auto"/>
        </w:rPr>
        <w:t>-</w:t>
      </w:r>
      <w:r w:rsidR="00F61A10" w:rsidRPr="009D4627">
        <w:rPr>
          <w:color w:val="auto"/>
        </w:rPr>
        <w:t>measured.</w:t>
      </w:r>
      <w:r w:rsidR="00BF47CE" w:rsidRPr="009D4627">
        <w:rPr>
          <w:color w:val="auto"/>
        </w:rPr>
        <w:t xml:space="preserve"> </w:t>
      </w:r>
      <w:r w:rsidR="00F61A10" w:rsidRPr="009D4627">
        <w:rPr>
          <w:color w:val="auto"/>
        </w:rPr>
        <w:t xml:space="preserve">Participants’ spectacle lenses were wiped </w:t>
      </w:r>
      <w:r w:rsidR="006A012D" w:rsidRPr="009D4627">
        <w:rPr>
          <w:color w:val="auto"/>
        </w:rPr>
        <w:t>before</w:t>
      </w:r>
      <w:r w:rsidR="00F61A10" w:rsidRPr="009D4627">
        <w:rPr>
          <w:color w:val="auto"/>
        </w:rPr>
        <w:t xml:space="preserve"> the test.</w:t>
      </w:r>
      <w:r w:rsidR="00BF47CE" w:rsidRPr="009D4627">
        <w:rPr>
          <w:color w:val="auto"/>
        </w:rPr>
        <w:t xml:space="preserve"> If the participant had </w:t>
      </w:r>
      <w:r w:rsidR="009F1766" w:rsidRPr="009D4627">
        <w:rPr>
          <w:color w:val="auto"/>
        </w:rPr>
        <w:t>VA</w:t>
      </w:r>
      <w:r w:rsidR="00BF47CE" w:rsidRPr="009D4627">
        <w:rPr>
          <w:color w:val="auto"/>
        </w:rPr>
        <w:t xml:space="preserve"> worse than 0.2 </w:t>
      </w:r>
      <w:proofErr w:type="spellStart"/>
      <w:r w:rsidR="00BF47CE" w:rsidRPr="009D4627">
        <w:rPr>
          <w:color w:val="auto"/>
        </w:rPr>
        <w:t>logMAR</w:t>
      </w:r>
      <w:proofErr w:type="spellEnd"/>
      <w:r w:rsidR="00BF47CE" w:rsidRPr="009D4627">
        <w:rPr>
          <w:color w:val="auto"/>
        </w:rPr>
        <w:t xml:space="preserve">, testing was discontinued. A near and distance cover test was performed, followed by </w:t>
      </w:r>
      <w:r w:rsidR="00F61A10" w:rsidRPr="009D4627">
        <w:rPr>
          <w:color w:val="auto"/>
        </w:rPr>
        <w:t>OMT</w:t>
      </w:r>
      <w:r w:rsidR="00BF47CE" w:rsidRPr="009D4627">
        <w:rPr>
          <w:color w:val="auto"/>
        </w:rPr>
        <w:t xml:space="preserve"> to eliminate any possibility of strabismus, nystagmus, or ocular motility deficit. </w:t>
      </w:r>
      <w:r w:rsidR="007968CC" w:rsidRPr="009D4627">
        <w:rPr>
          <w:color w:val="auto"/>
        </w:rPr>
        <w:t xml:space="preserve">If any of those deficits were found, the participants were excluded from the study. </w:t>
      </w:r>
      <w:bookmarkEnd w:id="367"/>
      <w:r w:rsidR="007968CC" w:rsidRPr="009D4627">
        <w:rPr>
          <w:color w:val="auto"/>
        </w:rPr>
        <w:t>Only participants who met the inclusion criteria had their eye movements examined using EMR</w:t>
      </w:r>
      <w:r w:rsidR="00BF47CE" w:rsidRPr="009D4627">
        <w:rPr>
          <w:color w:val="auto"/>
        </w:rPr>
        <w:t xml:space="preserve">. Binocular calibration was performed in all participants as they had normal </w:t>
      </w:r>
      <w:r w:rsidR="00AE6F60" w:rsidRPr="009D4627">
        <w:rPr>
          <w:color w:val="auto"/>
        </w:rPr>
        <w:t>BSV</w:t>
      </w:r>
      <w:r w:rsidR="00BF47CE" w:rsidRPr="009D4627">
        <w:rPr>
          <w:color w:val="auto"/>
        </w:rPr>
        <w:t xml:space="preserve">. The experimental room </w:t>
      </w:r>
      <w:r w:rsidR="00D44283" w:rsidRPr="009D4627">
        <w:rPr>
          <w:color w:val="auto"/>
        </w:rPr>
        <w:t>was kept quiet</w:t>
      </w:r>
      <w:r w:rsidR="00BF47CE" w:rsidRPr="009D4627">
        <w:rPr>
          <w:color w:val="auto"/>
        </w:rPr>
        <w:t xml:space="preserve">, with normal room illumination. There were </w:t>
      </w:r>
      <w:bookmarkStart w:id="368" w:name="_Hlk57317006"/>
      <w:r w:rsidR="00BF47CE" w:rsidRPr="009D4627">
        <w:rPr>
          <w:color w:val="auto"/>
        </w:rPr>
        <w:t xml:space="preserve">three types of eye movements tested using </w:t>
      </w:r>
      <w:proofErr w:type="spellStart"/>
      <w:r w:rsidR="00BF47CE" w:rsidRPr="009D4627">
        <w:rPr>
          <w:color w:val="auto"/>
        </w:rPr>
        <w:t>EyeLink</w:t>
      </w:r>
      <w:proofErr w:type="spellEnd"/>
      <w:r w:rsidR="001758B2" w:rsidRPr="009D4627">
        <w:rPr>
          <w:color w:val="auto"/>
        </w:rPr>
        <w:t xml:space="preserve"> </w:t>
      </w:r>
      <w:r w:rsidR="00BF47CE" w:rsidRPr="009D4627">
        <w:rPr>
          <w:color w:val="auto"/>
        </w:rPr>
        <w:t>1000</w:t>
      </w:r>
      <w:r w:rsidR="001758B2" w:rsidRPr="009D4627">
        <w:rPr>
          <w:color w:val="auto"/>
        </w:rPr>
        <w:t xml:space="preserve"> Plus</w:t>
      </w:r>
      <w:r w:rsidR="000641DF" w:rsidRPr="009D4627">
        <w:rPr>
          <w:color w:val="auto"/>
        </w:rPr>
        <w:t>: fixation, SP (horizontal and vertical),</w:t>
      </w:r>
      <w:r w:rsidR="00BF47CE" w:rsidRPr="009D4627">
        <w:rPr>
          <w:color w:val="auto"/>
        </w:rPr>
        <w:t xml:space="preserve"> and saccades (horizontal and vertical). </w:t>
      </w:r>
      <w:bookmarkEnd w:id="368"/>
      <w:r w:rsidR="00BF47CE" w:rsidRPr="009D4627">
        <w:rPr>
          <w:color w:val="auto"/>
        </w:rPr>
        <w:t xml:space="preserve">For each eye movement test, the target size </w:t>
      </w:r>
      <w:r w:rsidR="001758B2" w:rsidRPr="009D4627">
        <w:rPr>
          <w:color w:val="auto"/>
        </w:rPr>
        <w:t>sequence</w:t>
      </w:r>
      <w:r w:rsidR="00BF47CE" w:rsidRPr="009D4627">
        <w:rPr>
          <w:color w:val="auto"/>
        </w:rPr>
        <w:t xml:space="preserve"> was randomised between participants</w:t>
      </w:r>
      <w:r w:rsidR="001758B2" w:rsidRPr="009D4627">
        <w:rPr>
          <w:color w:val="auto"/>
        </w:rPr>
        <w:t xml:space="preserve"> (Appendix 4.1)</w:t>
      </w:r>
      <w:r w:rsidR="00BF47CE" w:rsidRPr="009D4627">
        <w:rPr>
          <w:color w:val="auto"/>
        </w:rPr>
        <w:t xml:space="preserve"> to avoid order any practice effects, which may have improved results or led to fatigue effects reducing performance. </w:t>
      </w:r>
    </w:p>
    <w:p w14:paraId="5185C7AD" w14:textId="031C33BB" w:rsidR="00AC071D" w:rsidRDefault="00AC071D" w:rsidP="00CA4E90">
      <w:pPr>
        <w:pStyle w:val="Heading4"/>
      </w:pPr>
      <w:bookmarkStart w:id="369" w:name="_Toc98964681"/>
      <w:bookmarkStart w:id="370" w:name="_Toc103344725"/>
      <w:r>
        <w:lastRenderedPageBreak/>
        <w:t xml:space="preserve">Data </w:t>
      </w:r>
      <w:r w:rsidR="00533E48">
        <w:t>a</w:t>
      </w:r>
      <w:r>
        <w:t>nalysis</w:t>
      </w:r>
      <w:bookmarkEnd w:id="369"/>
      <w:bookmarkEnd w:id="370"/>
    </w:p>
    <w:p w14:paraId="4B8CC28F" w14:textId="6FFA2F32" w:rsidR="00AC071D" w:rsidRPr="00AC071D" w:rsidRDefault="00AC071D" w:rsidP="00AC071D">
      <w:r w:rsidRPr="00EE5E2D">
        <w:rPr>
          <w:color w:val="auto"/>
        </w:rPr>
        <w:t xml:space="preserve">All data were checked for normality distribution criteria before conducting the statistical analysis. </w:t>
      </w:r>
      <w:r w:rsidR="00760F23" w:rsidRPr="00760F23">
        <w:rPr>
          <w:color w:val="auto"/>
        </w:rPr>
        <w:t>After ensuring that all data fulfilled the normal distribution assumptions, the data were subsequently analysed using the repeated measure ANOVA test to examine the influence of testing with three different target sizes on eye movement parameters.</w:t>
      </w:r>
      <w:r w:rsidR="00760F23">
        <w:rPr>
          <w:color w:val="auto"/>
        </w:rPr>
        <w:t xml:space="preserve"> </w:t>
      </w:r>
      <w:r w:rsidR="00B916E6" w:rsidRPr="00B916E6">
        <w:rPr>
          <w:color w:val="333333"/>
          <w:shd w:val="clear" w:color="auto" w:fill="F2F2F2"/>
        </w:rPr>
        <w:t>The assumption of sphericity was assessed by Mauchly's test of sphericity</w:t>
      </w:r>
      <w:r w:rsidR="00B916E6">
        <w:rPr>
          <w:color w:val="333333"/>
          <w:shd w:val="clear" w:color="auto" w:fill="F2F2F2"/>
        </w:rPr>
        <w:t xml:space="preserve">. If the sphericity is violated, Greenhouse and </w:t>
      </w:r>
      <w:proofErr w:type="spellStart"/>
      <w:r w:rsidR="00B916E6">
        <w:rPr>
          <w:color w:val="333333"/>
          <w:shd w:val="clear" w:color="auto" w:fill="F2F2F2"/>
        </w:rPr>
        <w:t>Geisser</w:t>
      </w:r>
      <w:proofErr w:type="spellEnd"/>
      <w:r w:rsidR="00B916E6">
        <w:rPr>
          <w:color w:val="333333"/>
          <w:shd w:val="clear" w:color="auto" w:fill="F2F2F2"/>
        </w:rPr>
        <w:t xml:space="preserve"> was used to correct the repeated-measures ANOVA</w:t>
      </w:r>
      <w:r w:rsidR="00B916E6">
        <w:rPr>
          <w:color w:val="auto"/>
        </w:rPr>
        <w:t xml:space="preserve">. </w:t>
      </w:r>
      <w:r w:rsidR="002D3A2F" w:rsidRPr="002D3A2F">
        <w:rPr>
          <w:color w:val="auto"/>
        </w:rPr>
        <w:t xml:space="preserve">Finally, if any of the dependent variable's mean values </w:t>
      </w:r>
      <w:r w:rsidR="002D3A2F">
        <w:rPr>
          <w:color w:val="auto"/>
        </w:rPr>
        <w:t>(</w:t>
      </w:r>
      <w:proofErr w:type="gramStart"/>
      <w:r w:rsidR="002D3A2F">
        <w:rPr>
          <w:color w:val="auto"/>
        </w:rPr>
        <w:t>i.e.</w:t>
      </w:r>
      <w:proofErr w:type="gramEnd"/>
      <w:r w:rsidR="002D3A2F">
        <w:rPr>
          <w:color w:val="auto"/>
        </w:rPr>
        <w:t xml:space="preserve"> percentage DT; SP </w:t>
      </w:r>
      <w:r w:rsidR="002D3A2F" w:rsidRPr="002D3A2F">
        <w:rPr>
          <w:color w:val="auto"/>
        </w:rPr>
        <w:t>gain,</w:t>
      </w:r>
      <w:r w:rsidR="002D3A2F">
        <w:rPr>
          <w:color w:val="auto"/>
        </w:rPr>
        <w:t xml:space="preserve"> </w:t>
      </w:r>
      <w:r w:rsidR="002D3A2F" w:rsidRPr="002D3A2F">
        <w:rPr>
          <w:color w:val="auto"/>
        </w:rPr>
        <w:t>RMSE</w:t>
      </w:r>
      <w:r w:rsidR="002D3A2F">
        <w:rPr>
          <w:color w:val="auto"/>
        </w:rPr>
        <w:t xml:space="preserve">, or </w:t>
      </w:r>
      <w:r w:rsidR="002D3A2F" w:rsidRPr="002D3A2F">
        <w:rPr>
          <w:color w:val="auto"/>
        </w:rPr>
        <w:t>duration</w:t>
      </w:r>
      <w:r w:rsidR="002D3A2F">
        <w:rPr>
          <w:color w:val="auto"/>
        </w:rPr>
        <w:t xml:space="preserve">; saccadic </w:t>
      </w:r>
      <w:r w:rsidR="002D3A2F" w:rsidRPr="002D3A2F">
        <w:rPr>
          <w:color w:val="auto"/>
        </w:rPr>
        <w:t>latency</w:t>
      </w:r>
      <w:r w:rsidR="002D3A2F">
        <w:rPr>
          <w:color w:val="auto"/>
        </w:rPr>
        <w:t xml:space="preserve">, </w:t>
      </w:r>
      <w:r w:rsidR="002D3A2F" w:rsidRPr="002D3A2F">
        <w:rPr>
          <w:color w:val="auto"/>
        </w:rPr>
        <w:t>peak</w:t>
      </w:r>
      <w:r w:rsidR="002D3A2F">
        <w:rPr>
          <w:color w:val="auto"/>
        </w:rPr>
        <w:t xml:space="preserve"> </w:t>
      </w:r>
      <w:r w:rsidR="002D3A2F" w:rsidRPr="002D3A2F">
        <w:rPr>
          <w:color w:val="auto"/>
        </w:rPr>
        <w:t>velocity</w:t>
      </w:r>
      <w:r w:rsidR="002D3A2F">
        <w:rPr>
          <w:color w:val="auto"/>
        </w:rPr>
        <w:t xml:space="preserve"> or </w:t>
      </w:r>
      <w:r w:rsidR="002D3A2F" w:rsidRPr="002D3A2F">
        <w:rPr>
          <w:color w:val="auto"/>
        </w:rPr>
        <w:t>gain</w:t>
      </w:r>
      <w:r w:rsidR="002D3A2F">
        <w:rPr>
          <w:color w:val="auto"/>
        </w:rPr>
        <w:t xml:space="preserve">) </w:t>
      </w:r>
      <w:r w:rsidR="002D3A2F" w:rsidRPr="002D3A2F">
        <w:rPr>
          <w:color w:val="auto"/>
        </w:rPr>
        <w:t>were s</w:t>
      </w:r>
      <w:r w:rsidR="002D3A2F">
        <w:rPr>
          <w:color w:val="auto"/>
        </w:rPr>
        <w:t>ignificant</w:t>
      </w:r>
      <w:r w:rsidR="002D3A2F" w:rsidRPr="002D3A2F">
        <w:rPr>
          <w:color w:val="auto"/>
        </w:rPr>
        <w:t>ly different, a post hoc analysis with the Bonferroni test for multiple comparisons was performed.</w:t>
      </w:r>
    </w:p>
    <w:p w14:paraId="6025FDBD" w14:textId="256451F4" w:rsidR="00BF47CE" w:rsidRPr="009D4627" w:rsidRDefault="00BF47CE" w:rsidP="00DC4CA6">
      <w:pPr>
        <w:pStyle w:val="Heading3"/>
      </w:pPr>
      <w:bookmarkStart w:id="371" w:name="_Toc55662851"/>
      <w:bookmarkStart w:id="372" w:name="_Toc57300370"/>
      <w:bookmarkStart w:id="373" w:name="_Toc57300478"/>
      <w:bookmarkStart w:id="374" w:name="_Toc98964682"/>
      <w:bookmarkStart w:id="375" w:name="_Toc103344726"/>
      <w:r w:rsidRPr="009D4627">
        <w:t>Results</w:t>
      </w:r>
      <w:bookmarkEnd w:id="371"/>
      <w:bookmarkEnd w:id="372"/>
      <w:bookmarkEnd w:id="373"/>
      <w:bookmarkEnd w:id="374"/>
      <w:bookmarkEnd w:id="375"/>
    </w:p>
    <w:p w14:paraId="3CD2A335" w14:textId="4B725334" w:rsidR="00B70945" w:rsidRPr="009D4627" w:rsidRDefault="00BF47CE" w:rsidP="00B70945">
      <w:bookmarkStart w:id="376" w:name="_Toc55659380"/>
      <w:bookmarkStart w:id="377" w:name="_Toc55662376"/>
      <w:r w:rsidRPr="009D4627">
        <w:t xml:space="preserve">Nineteen healthy participants aged 18 to 21 were recruited for this study. </w:t>
      </w:r>
      <w:r w:rsidR="003760FD" w:rsidRPr="009D4627">
        <w:t xml:space="preserve">Participants gave excellent co-operation during the recording process. </w:t>
      </w:r>
      <w:r w:rsidR="00567E2A" w:rsidRPr="009D4627">
        <w:t>However, one person's data was excluded from the study of saccades due to a technical error that occurred during the recording process.</w:t>
      </w:r>
      <w:bookmarkStart w:id="378" w:name="_Hlk57318167"/>
    </w:p>
    <w:p w14:paraId="2C8415A7" w14:textId="56B76E71" w:rsidR="00BF47CE" w:rsidRPr="009D4627" w:rsidRDefault="00BF47CE" w:rsidP="00BF47CE">
      <w:pPr>
        <w:spacing w:after="0"/>
        <w:rPr>
          <w:color w:val="auto"/>
        </w:rPr>
      </w:pPr>
      <w:r w:rsidRPr="009D4627">
        <w:rPr>
          <w:color w:val="auto"/>
        </w:rPr>
        <w:t>In this section, results begin by illustrating the influence of target size on the eye movement parameters take</w:t>
      </w:r>
      <w:r w:rsidR="003760FD" w:rsidRPr="009D4627">
        <w:rPr>
          <w:color w:val="auto"/>
        </w:rPr>
        <w:t xml:space="preserve">s </w:t>
      </w:r>
      <w:r w:rsidRPr="009D4627">
        <w:rPr>
          <w:color w:val="auto"/>
        </w:rPr>
        <w:t xml:space="preserve">from the </w:t>
      </w:r>
      <w:r w:rsidR="00CE4B1E" w:rsidRPr="009D4627">
        <w:rPr>
          <w:color w:val="auto"/>
        </w:rPr>
        <w:t>RE</w:t>
      </w:r>
      <w:r w:rsidRPr="009D4627">
        <w:rPr>
          <w:color w:val="auto"/>
        </w:rPr>
        <w:t xml:space="preserve"> only during binocular viewing</w:t>
      </w:r>
      <w:bookmarkEnd w:id="376"/>
      <w:bookmarkEnd w:id="377"/>
      <w:r w:rsidRPr="009D4627">
        <w:rPr>
          <w:color w:val="auto"/>
        </w:rPr>
        <w:t xml:space="preserve"> as follows:</w:t>
      </w:r>
    </w:p>
    <w:p w14:paraId="623F60E9" w14:textId="6A58FB71" w:rsidR="00BF47CE" w:rsidRPr="009D4627" w:rsidRDefault="00BF47CE" w:rsidP="00C171FA">
      <w:pPr>
        <w:numPr>
          <w:ilvl w:val="0"/>
          <w:numId w:val="105"/>
        </w:numPr>
        <w:spacing w:after="0"/>
        <w:contextualSpacing/>
        <w:rPr>
          <w:color w:val="auto"/>
        </w:rPr>
      </w:pPr>
      <w:bookmarkStart w:id="379" w:name="_Toc55659383"/>
      <w:bookmarkStart w:id="380" w:name="_Toc55662379"/>
      <w:r w:rsidRPr="009D4627">
        <w:rPr>
          <w:color w:val="auto"/>
        </w:rPr>
        <w:t>Fixation</w:t>
      </w:r>
      <w:r w:rsidR="00CE4B1E" w:rsidRPr="009D4627">
        <w:rPr>
          <w:color w:val="auto"/>
        </w:rPr>
        <w:tab/>
      </w:r>
      <w:r w:rsidRPr="009D4627">
        <w:rPr>
          <w:color w:val="auto"/>
        </w:rPr>
        <w:t xml:space="preserve">- </w:t>
      </w:r>
      <w:r w:rsidR="00CE4B1E" w:rsidRPr="009D4627">
        <w:rPr>
          <w:color w:val="auto"/>
        </w:rPr>
        <w:tab/>
      </w:r>
      <w:r w:rsidRPr="009D4627">
        <w:rPr>
          <w:color w:val="auto"/>
        </w:rPr>
        <w:t xml:space="preserve">median percentage </w:t>
      </w:r>
      <w:bookmarkStart w:id="381" w:name="_Toc55659381"/>
      <w:bookmarkStart w:id="382" w:name="_Toc55662377"/>
      <w:bookmarkEnd w:id="379"/>
      <w:bookmarkEnd w:id="380"/>
      <w:r w:rsidR="00CE4B1E" w:rsidRPr="009D4627">
        <w:rPr>
          <w:color w:val="auto"/>
        </w:rPr>
        <w:t>DT</w:t>
      </w:r>
      <w:bookmarkStart w:id="383" w:name="_Toc55659382"/>
      <w:bookmarkStart w:id="384" w:name="_Toc55662378"/>
    </w:p>
    <w:p w14:paraId="3475C228" w14:textId="29227599" w:rsidR="00BF47CE" w:rsidRPr="009D4627" w:rsidRDefault="00CE4B1E" w:rsidP="00C171FA">
      <w:pPr>
        <w:numPr>
          <w:ilvl w:val="0"/>
          <w:numId w:val="105"/>
        </w:numPr>
        <w:spacing w:after="0"/>
        <w:contextualSpacing/>
        <w:rPr>
          <w:color w:val="auto"/>
        </w:rPr>
      </w:pPr>
      <w:r w:rsidRPr="009D4627">
        <w:rPr>
          <w:color w:val="auto"/>
        </w:rPr>
        <w:t>SP</w:t>
      </w:r>
      <w:r w:rsidR="00BF47CE" w:rsidRPr="009D4627">
        <w:rPr>
          <w:color w:val="auto"/>
        </w:rPr>
        <w:tab/>
      </w:r>
      <w:r w:rsidRPr="009D4627">
        <w:rPr>
          <w:color w:val="auto"/>
        </w:rPr>
        <w:tab/>
      </w:r>
      <w:r w:rsidR="00BF47CE" w:rsidRPr="009D4627">
        <w:rPr>
          <w:color w:val="auto"/>
        </w:rPr>
        <w:t xml:space="preserve">- </w:t>
      </w:r>
      <w:r w:rsidRPr="009D4627">
        <w:rPr>
          <w:color w:val="auto"/>
        </w:rPr>
        <w:tab/>
      </w:r>
      <w:r w:rsidR="00BF47CE" w:rsidRPr="009D4627">
        <w:rPr>
          <w:color w:val="auto"/>
        </w:rPr>
        <w:t xml:space="preserve">mean gain, RMSE and duration of the </w:t>
      </w:r>
      <w:r w:rsidRPr="009D4627">
        <w:rPr>
          <w:color w:val="auto"/>
        </w:rPr>
        <w:t>SP</w:t>
      </w:r>
      <w:r w:rsidR="00BF47CE" w:rsidRPr="009D4627">
        <w:rPr>
          <w:color w:val="auto"/>
        </w:rPr>
        <w:t xml:space="preserve"> segment</w:t>
      </w:r>
      <w:bookmarkEnd w:id="383"/>
      <w:bookmarkEnd w:id="384"/>
    </w:p>
    <w:p w14:paraId="200BA593" w14:textId="37CE8D8F" w:rsidR="00AC071D" w:rsidRDefault="00BF47CE" w:rsidP="00AC071D">
      <w:pPr>
        <w:numPr>
          <w:ilvl w:val="0"/>
          <w:numId w:val="105"/>
        </w:numPr>
        <w:spacing w:after="0"/>
        <w:contextualSpacing/>
        <w:rPr>
          <w:color w:val="auto"/>
        </w:rPr>
      </w:pPr>
      <w:r w:rsidRPr="009D4627">
        <w:rPr>
          <w:color w:val="auto"/>
        </w:rPr>
        <w:t xml:space="preserve">Saccades </w:t>
      </w:r>
      <w:r w:rsidRPr="009D4627">
        <w:rPr>
          <w:color w:val="auto"/>
        </w:rPr>
        <w:tab/>
        <w:t xml:space="preserve">- </w:t>
      </w:r>
      <w:r w:rsidR="00CE4B1E" w:rsidRPr="009D4627">
        <w:rPr>
          <w:color w:val="auto"/>
        </w:rPr>
        <w:tab/>
      </w:r>
      <w:r w:rsidRPr="009D4627">
        <w:rPr>
          <w:color w:val="auto"/>
        </w:rPr>
        <w:t>mean of latency, velocity, and gain</w:t>
      </w:r>
      <w:bookmarkEnd w:id="381"/>
      <w:bookmarkEnd w:id="382"/>
      <w:r w:rsidRPr="009D4627">
        <w:rPr>
          <w:color w:val="auto"/>
        </w:rPr>
        <w:t xml:space="preserve"> </w:t>
      </w:r>
      <w:bookmarkStart w:id="385" w:name="_Toc55662854"/>
      <w:bookmarkStart w:id="386" w:name="_Toc57300371"/>
      <w:bookmarkStart w:id="387" w:name="_Toc57300479"/>
      <w:bookmarkStart w:id="388" w:name="_Hlk56034995"/>
      <w:bookmarkEnd w:id="378"/>
    </w:p>
    <w:p w14:paraId="0A197122" w14:textId="77777777" w:rsidR="00AC071D" w:rsidRPr="00AC071D" w:rsidRDefault="00AC071D" w:rsidP="00AC071D">
      <w:pPr>
        <w:spacing w:after="0"/>
        <w:ind w:left="720"/>
        <w:contextualSpacing/>
        <w:rPr>
          <w:color w:val="auto"/>
        </w:rPr>
      </w:pPr>
    </w:p>
    <w:p w14:paraId="77DAA20D" w14:textId="7D4375D0" w:rsidR="00BF47CE" w:rsidRPr="009D4627" w:rsidRDefault="00BF47CE" w:rsidP="00CA4E90">
      <w:pPr>
        <w:pStyle w:val="Heading4"/>
      </w:pPr>
      <w:bookmarkStart w:id="389" w:name="_Toc98964683"/>
      <w:bookmarkStart w:id="390" w:name="_Toc103344727"/>
      <w:r w:rsidRPr="009D4627">
        <w:lastRenderedPageBreak/>
        <w:t xml:space="preserve">The effect of target size and </w:t>
      </w:r>
      <w:r w:rsidR="002E63E9" w:rsidRPr="009D4627">
        <w:t xml:space="preserve">fixation </w:t>
      </w:r>
      <w:r w:rsidRPr="009D4627">
        <w:t xml:space="preserve">position on </w:t>
      </w:r>
      <w:bookmarkEnd w:id="385"/>
      <w:bookmarkEnd w:id="386"/>
      <w:bookmarkEnd w:id="387"/>
      <w:r w:rsidR="002E63E9" w:rsidRPr="009D4627">
        <w:t xml:space="preserve">the </w:t>
      </w:r>
      <w:r w:rsidRPr="009D4627">
        <w:t>fixation</w:t>
      </w:r>
      <w:r w:rsidR="003760FD" w:rsidRPr="009D4627">
        <w:t xml:space="preserve"> eye movements</w:t>
      </w:r>
      <w:r w:rsidRPr="009D4627">
        <w:t>.</w:t>
      </w:r>
      <w:bookmarkEnd w:id="389"/>
      <w:bookmarkEnd w:id="390"/>
    </w:p>
    <w:p w14:paraId="16FB2010" w14:textId="354BAFD6" w:rsidR="00237D91" w:rsidRDefault="0037283F" w:rsidP="0037283F">
      <w:r w:rsidRPr="009D4627">
        <w:t xml:space="preserve">The percentage DT reflects the fixation performance whereby a larger percentage DT within the smallest AOI indicates the ability to hold steady fixation very close to the fixation target's centre, hence excellent fixation performance. </w:t>
      </w:r>
      <w:r w:rsidR="007F045C" w:rsidRPr="007F045C">
        <w:t>The bar graph demonstrates that there is no substantial distinction between the median percentage DT obtained using three different target sizes within each AOI</w:t>
      </w:r>
      <w:r w:rsidR="00AD08DD">
        <w:t xml:space="preserve"> (Figure 4.1)</w:t>
      </w:r>
      <w:r w:rsidRPr="009D4627">
        <w:t xml:space="preserve">. </w:t>
      </w:r>
      <w:r w:rsidR="007F045C" w:rsidRPr="007F045C">
        <w:t>As both parametric and non-parametric statistical analyses</w:t>
      </w:r>
      <w:r w:rsidR="00ED7CAB">
        <w:t xml:space="preserve"> </w:t>
      </w:r>
      <w:r w:rsidR="007F045C" w:rsidRPr="007F045C">
        <w:t>found the same significant level, parametric tests were reported.</w:t>
      </w:r>
    </w:p>
    <w:p w14:paraId="4415199A" w14:textId="5D2FCE55" w:rsidR="00AD08DD" w:rsidRPr="009D4627" w:rsidRDefault="00ED7CAB" w:rsidP="00933B98">
      <w:pPr>
        <w:spacing w:after="0"/>
        <w:jc w:val="center"/>
        <w:rPr>
          <w:b/>
          <w:bCs/>
          <w:color w:val="auto"/>
          <w:sz w:val="20"/>
          <w:szCs w:val="20"/>
        </w:rPr>
      </w:pPr>
      <w:r>
        <w:rPr>
          <w:b/>
          <w:bCs/>
          <w:noProof/>
          <w:color w:val="auto"/>
          <w:sz w:val="20"/>
          <w:szCs w:val="20"/>
        </w:rPr>
        <w:drawing>
          <wp:inline distT="0" distB="0" distL="0" distR="0" wp14:anchorId="332C2E02" wp14:editId="11CFAC53">
            <wp:extent cx="4328795" cy="2066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a:stretch/>
                  </pic:blipFill>
                  <pic:spPr bwMode="auto">
                    <a:xfrm>
                      <a:off x="0" y="0"/>
                      <a:ext cx="4328795"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24ECDDFC" w14:textId="45FCB1D7" w:rsidR="00F25C8B" w:rsidRPr="009D4627" w:rsidRDefault="00741213" w:rsidP="00C4130D">
      <w:pPr>
        <w:pStyle w:val="Caption"/>
      </w:pPr>
      <w:bookmarkStart w:id="391" w:name="_Toc70165585"/>
      <w:bookmarkStart w:id="392" w:name="_Toc98967227"/>
      <w:r w:rsidRPr="009D4627">
        <w:t>Figure 4.</w:t>
      </w:r>
      <w:r w:rsidR="002E63E9" w:rsidRPr="009D4627">
        <w:fldChar w:fldCharType="begin"/>
      </w:r>
      <w:r w:rsidR="002E63E9" w:rsidRPr="009D4627">
        <w:instrText xml:space="preserve"> SEQ Figure_4. \* ARABIC </w:instrText>
      </w:r>
      <w:r w:rsidR="002E63E9" w:rsidRPr="009D4627">
        <w:fldChar w:fldCharType="separate"/>
      </w:r>
      <w:r w:rsidR="00E268F6">
        <w:rPr>
          <w:noProof/>
        </w:rPr>
        <w:t>1</w:t>
      </w:r>
      <w:r w:rsidR="002E63E9" w:rsidRPr="009D4627">
        <w:rPr>
          <w:noProof/>
        </w:rPr>
        <w:fldChar w:fldCharType="end"/>
      </w:r>
      <w:r w:rsidRPr="009D4627">
        <w:t>:</w:t>
      </w:r>
      <w:r w:rsidR="00F25C8B" w:rsidRPr="009D4627">
        <w:t xml:space="preserve"> </w:t>
      </w:r>
      <w:r w:rsidR="00666286">
        <w:t>B</w:t>
      </w:r>
      <w:r w:rsidR="00F25C8B" w:rsidRPr="009D4627">
        <w:t>ar graph illustrating the group me</w:t>
      </w:r>
      <w:r w:rsidR="00EE5850">
        <w:t xml:space="preserve">dian </w:t>
      </w:r>
      <w:r w:rsidR="00F25C8B" w:rsidRPr="009D4627">
        <w:t xml:space="preserve">percentage DT </w:t>
      </w:r>
      <w:r w:rsidR="00237D91">
        <w:t>recorded using</w:t>
      </w:r>
      <w:r w:rsidR="00F25C8B" w:rsidRPr="009D4627">
        <w:t xml:space="preserve"> th</w:t>
      </w:r>
      <w:r w:rsidR="00237D91">
        <w:t xml:space="preserve">ree </w:t>
      </w:r>
      <w:r w:rsidR="00F25C8B" w:rsidRPr="009D4627">
        <w:t xml:space="preserve">target sizes (0.5, 1.0 and 2.0°) </w:t>
      </w:r>
      <w:r w:rsidR="00237D91">
        <w:t xml:space="preserve">and analysed </w:t>
      </w:r>
      <w:r w:rsidR="00EE5850">
        <w:t xml:space="preserve">at three </w:t>
      </w:r>
      <w:r w:rsidR="00F25C8B" w:rsidRPr="009D4627">
        <w:t>AOI</w:t>
      </w:r>
      <w:r w:rsidR="00EE5850">
        <w:t>s</w:t>
      </w:r>
      <w:r w:rsidR="0037283F" w:rsidRPr="009D4627">
        <w:t>.</w:t>
      </w:r>
      <w:bookmarkEnd w:id="391"/>
      <w:bookmarkEnd w:id="392"/>
    </w:p>
    <w:p w14:paraId="2334289D" w14:textId="1C2F0FCD" w:rsidR="0037283F" w:rsidRPr="009D4627" w:rsidRDefault="00B916E6" w:rsidP="0037283F">
      <w:pPr>
        <w:rPr>
          <w:lang w:val="en-MY" w:eastAsia="en-MY"/>
        </w:rPr>
      </w:pPr>
      <w:r>
        <w:rPr>
          <w:lang w:val="en-MY" w:eastAsia="en-MY"/>
        </w:rPr>
        <w:t>A one-way repeated</w:t>
      </w:r>
      <w:r w:rsidR="005E6987">
        <w:rPr>
          <w:lang w:val="en-MY" w:eastAsia="en-MY"/>
        </w:rPr>
        <w:t>-</w:t>
      </w:r>
      <w:r>
        <w:rPr>
          <w:lang w:val="en-MY" w:eastAsia="en-MY"/>
        </w:rPr>
        <w:t xml:space="preserve">measures ANOVA was conducted to determine whether there was a statistically significant difference in percentage DT recorded using three target sizes. The target sizes did not elicit statistically significant changes in percentage DT at </w:t>
      </w:r>
      <w:r w:rsidR="00ED7CAB">
        <w:rPr>
          <w:lang w:val="en-MY" w:eastAsia="en-MY"/>
        </w:rPr>
        <w:t xml:space="preserve">1° and 2° </w:t>
      </w:r>
      <w:r>
        <w:rPr>
          <w:lang w:val="en-MY" w:eastAsia="en-MY"/>
        </w:rPr>
        <w:t>AOI</w:t>
      </w:r>
      <w:r w:rsidR="00ED7CAB">
        <w:rPr>
          <w:lang w:val="en-MY" w:eastAsia="en-MY"/>
        </w:rPr>
        <w:t>s</w:t>
      </w:r>
      <w:r>
        <w:rPr>
          <w:lang w:val="en-MY" w:eastAsia="en-MY"/>
        </w:rPr>
        <w:t xml:space="preserve"> [</w:t>
      </w:r>
      <w:proofErr w:type="gramStart"/>
      <w:r w:rsidRPr="00A4367C">
        <w:rPr>
          <w:i/>
          <w:iCs/>
          <w:lang w:val="en-MY" w:eastAsia="en-MY"/>
        </w:rPr>
        <w:t>F</w:t>
      </w:r>
      <w:r>
        <w:rPr>
          <w:lang w:val="en-MY" w:eastAsia="en-MY"/>
        </w:rPr>
        <w:t>(</w:t>
      </w:r>
      <w:proofErr w:type="gramEnd"/>
      <w:r>
        <w:rPr>
          <w:lang w:val="en-MY" w:eastAsia="en-MY"/>
        </w:rPr>
        <w:t xml:space="preserve">2,188) = 2.77, </w:t>
      </w:r>
      <w:r w:rsidRPr="00ED7CAB">
        <w:rPr>
          <w:i/>
          <w:iCs/>
          <w:lang w:val="en-MY" w:eastAsia="en-MY"/>
        </w:rPr>
        <w:t>p</w:t>
      </w:r>
      <w:r>
        <w:rPr>
          <w:lang w:val="en-MY" w:eastAsia="en-MY"/>
        </w:rPr>
        <w:t xml:space="preserve"> = 0.07</w:t>
      </w:r>
      <w:r w:rsidR="00ED7CAB">
        <w:rPr>
          <w:lang w:val="en-MY" w:eastAsia="en-MY"/>
        </w:rPr>
        <w:t xml:space="preserve"> and</w:t>
      </w:r>
      <w:r>
        <w:rPr>
          <w:lang w:val="en-MY" w:eastAsia="en-MY"/>
        </w:rPr>
        <w:t xml:space="preserve"> </w:t>
      </w:r>
      <w:r w:rsidRPr="00A4367C">
        <w:rPr>
          <w:i/>
          <w:iCs/>
          <w:lang w:val="en-MY" w:eastAsia="en-MY"/>
        </w:rPr>
        <w:t>F</w:t>
      </w:r>
      <w:r>
        <w:rPr>
          <w:lang w:val="en-MY" w:eastAsia="en-MY"/>
        </w:rPr>
        <w:t>(2,</w:t>
      </w:r>
      <w:r w:rsidR="00A77414">
        <w:rPr>
          <w:lang w:val="en-MY" w:eastAsia="en-MY"/>
        </w:rPr>
        <w:t xml:space="preserve">188) = 1.48, </w:t>
      </w:r>
      <w:r w:rsidR="00A77414" w:rsidRPr="00ED7CAB">
        <w:rPr>
          <w:i/>
          <w:iCs/>
          <w:lang w:val="en-MY" w:eastAsia="en-MY"/>
        </w:rPr>
        <w:t>p</w:t>
      </w:r>
      <w:r w:rsidR="00ED7CAB">
        <w:rPr>
          <w:lang w:val="en-MY" w:eastAsia="en-MY"/>
        </w:rPr>
        <w:t xml:space="preserve"> </w:t>
      </w:r>
      <w:r w:rsidR="00A77414">
        <w:rPr>
          <w:lang w:val="en-MY" w:eastAsia="en-MY"/>
        </w:rPr>
        <w:t>=</w:t>
      </w:r>
      <w:r w:rsidR="00ED7CAB">
        <w:rPr>
          <w:lang w:val="en-MY" w:eastAsia="en-MY"/>
        </w:rPr>
        <w:t xml:space="preserve"> </w:t>
      </w:r>
      <w:r w:rsidR="00A77414">
        <w:rPr>
          <w:lang w:val="en-MY" w:eastAsia="en-MY"/>
        </w:rPr>
        <w:t>0.23</w:t>
      </w:r>
      <w:r w:rsidR="00ED7CAB">
        <w:rPr>
          <w:lang w:val="en-MY" w:eastAsia="en-MY"/>
        </w:rPr>
        <w:t>]</w:t>
      </w:r>
      <w:r w:rsidR="00AF34A9">
        <w:rPr>
          <w:lang w:val="en-MY" w:eastAsia="en-MY"/>
        </w:rPr>
        <w:t xml:space="preserve"> with &gt;50% percentage DT at 1° and  approximately 30% at 2° AOI</w:t>
      </w:r>
      <w:r w:rsidR="00ED7CAB">
        <w:rPr>
          <w:lang w:val="en-MY" w:eastAsia="en-MY"/>
        </w:rPr>
        <w:t xml:space="preserve">. However, at AOI &gt;2°, </w:t>
      </w:r>
      <w:r w:rsidR="00AF34A9">
        <w:rPr>
          <w:lang w:val="en-MY" w:eastAsia="en-MY"/>
        </w:rPr>
        <w:t xml:space="preserve">the percentage DT was higher tested using the medium size target, 1°, than smallest target, 0.5°, </w:t>
      </w:r>
      <w:proofErr w:type="gramStart"/>
      <w:r w:rsidR="00AF34A9" w:rsidRPr="00A4367C">
        <w:rPr>
          <w:i/>
          <w:iCs/>
          <w:lang w:val="en-MY" w:eastAsia="en-MY"/>
        </w:rPr>
        <w:t>F</w:t>
      </w:r>
      <w:r w:rsidR="00AF34A9">
        <w:rPr>
          <w:lang w:val="en-MY" w:eastAsia="en-MY"/>
        </w:rPr>
        <w:t>(</w:t>
      </w:r>
      <w:proofErr w:type="gramEnd"/>
      <w:r w:rsidR="00AF34A9">
        <w:rPr>
          <w:lang w:val="en-MY" w:eastAsia="en-MY"/>
        </w:rPr>
        <w:t xml:space="preserve">2,188) = 5.62, </w:t>
      </w:r>
      <w:r w:rsidR="00AF34A9" w:rsidRPr="00AF34A9">
        <w:rPr>
          <w:i/>
          <w:iCs/>
          <w:lang w:val="en-MY" w:eastAsia="en-MY"/>
        </w:rPr>
        <w:t>p</w:t>
      </w:r>
      <w:r w:rsidR="00AF34A9">
        <w:rPr>
          <w:lang w:val="en-MY" w:eastAsia="en-MY"/>
        </w:rPr>
        <w:t xml:space="preserve"> = 0.01.</w:t>
      </w:r>
      <w:r w:rsidR="00A77414">
        <w:rPr>
          <w:lang w:val="en-MY" w:eastAsia="en-MY"/>
        </w:rPr>
        <w:t xml:space="preserve"> </w:t>
      </w:r>
      <w:r w:rsidR="00D50E04" w:rsidRPr="00D50E04">
        <w:rPr>
          <w:lang w:val="en-MY" w:eastAsia="en-MY"/>
        </w:rPr>
        <w:t xml:space="preserve">Thus, target sizes </w:t>
      </w:r>
      <w:r w:rsidR="00AF34A9">
        <w:rPr>
          <w:lang w:val="en-MY" w:eastAsia="en-MY"/>
        </w:rPr>
        <w:t xml:space="preserve">exhibit a good performance of fixation with higher percentage within the smallest AOI and very low percentage DT for the largest AOI. </w:t>
      </w:r>
      <w:r w:rsidR="00B1486B" w:rsidRPr="00B1486B">
        <w:rPr>
          <w:lang w:val="en-MY" w:eastAsia="en-MY"/>
        </w:rPr>
        <w:t>The results imply that the ability to maintain fixation close to the central fixation target was not affected by target size.</w:t>
      </w:r>
    </w:p>
    <w:p w14:paraId="0A54D2DF" w14:textId="330DD64C" w:rsidR="00BF47CE" w:rsidRPr="009D4627" w:rsidRDefault="00BF47CE" w:rsidP="00CA4E90">
      <w:pPr>
        <w:pStyle w:val="Heading4"/>
      </w:pPr>
      <w:bookmarkStart w:id="393" w:name="_Toc98964684"/>
      <w:bookmarkStart w:id="394" w:name="_Hlk55847848"/>
      <w:bookmarkStart w:id="395" w:name="_Hlk55853059"/>
      <w:bookmarkStart w:id="396" w:name="_Toc103344728"/>
      <w:bookmarkEnd w:id="388"/>
      <w:r w:rsidRPr="009D4627">
        <w:lastRenderedPageBreak/>
        <w:t xml:space="preserve">The effect of target size on horizontal </w:t>
      </w:r>
      <w:r w:rsidR="00EE5E2D">
        <w:t>SP</w:t>
      </w:r>
      <w:bookmarkEnd w:id="393"/>
      <w:bookmarkEnd w:id="396"/>
    </w:p>
    <w:p w14:paraId="3B340963" w14:textId="04FF7ED8" w:rsidR="00BF47CE" w:rsidRPr="009D4627" w:rsidRDefault="00BF47CE" w:rsidP="00BF47CE">
      <w:pPr>
        <w:spacing w:after="0"/>
        <w:rPr>
          <w:color w:val="auto"/>
        </w:rPr>
      </w:pPr>
      <w:r w:rsidRPr="009D4627">
        <w:rPr>
          <w:color w:val="auto"/>
        </w:rPr>
        <w:t>Horizontal individual participant means</w:t>
      </w:r>
      <w:r w:rsidR="004000DD" w:rsidRPr="009D4627">
        <w:rPr>
          <w:color w:val="auto"/>
        </w:rPr>
        <w:t xml:space="preserve"> </w:t>
      </w:r>
      <w:r w:rsidRPr="009D4627">
        <w:rPr>
          <w:color w:val="auto"/>
        </w:rPr>
        <w:t xml:space="preserve">were calculated for </w:t>
      </w:r>
      <w:r w:rsidR="00A706AE" w:rsidRPr="009D4627">
        <w:rPr>
          <w:color w:val="auto"/>
        </w:rPr>
        <w:t>SP</w:t>
      </w:r>
      <w:r w:rsidRPr="009D4627">
        <w:rPr>
          <w:color w:val="auto"/>
        </w:rPr>
        <w:t xml:space="preserve"> gain, RMSE, and </w:t>
      </w:r>
      <w:r w:rsidR="004000DD" w:rsidRPr="009D4627">
        <w:rPr>
          <w:color w:val="auto"/>
        </w:rPr>
        <w:t xml:space="preserve">SP </w:t>
      </w:r>
      <w:r w:rsidRPr="009D4627">
        <w:rPr>
          <w:color w:val="auto"/>
        </w:rPr>
        <w:t xml:space="preserve">duration. Individual means were then used to calculate the group mean </w:t>
      </w:r>
      <w:r w:rsidR="00A706AE" w:rsidRPr="009D4627">
        <w:rPr>
          <w:color w:val="auto"/>
        </w:rPr>
        <w:t>(F</w:t>
      </w:r>
      <w:r w:rsidR="00D91AAB" w:rsidRPr="009D4627">
        <w:rPr>
          <w:color w:val="auto"/>
        </w:rPr>
        <w:t>igure</w:t>
      </w:r>
      <w:r w:rsidRPr="009D4627">
        <w:rPr>
          <w:color w:val="auto"/>
        </w:rPr>
        <w:t xml:space="preserve"> 4.2</w:t>
      </w:r>
      <w:r w:rsidR="00A706AE" w:rsidRPr="009D4627">
        <w:rPr>
          <w:color w:val="auto"/>
        </w:rPr>
        <w:t>)</w:t>
      </w:r>
      <w:r w:rsidRPr="009D4627">
        <w:rPr>
          <w:color w:val="auto"/>
        </w:rPr>
        <w:t xml:space="preserve">. </w:t>
      </w:r>
    </w:p>
    <w:p w14:paraId="4CDD96F2" w14:textId="3FF8B771" w:rsidR="00EE5E2D" w:rsidRDefault="00BF47CE" w:rsidP="000A673F">
      <w:pPr>
        <w:spacing w:after="0"/>
        <w:rPr>
          <w:color w:val="auto"/>
        </w:rPr>
      </w:pPr>
      <w:r w:rsidRPr="009D4627">
        <w:rPr>
          <w:color w:val="auto"/>
        </w:rPr>
        <w:t xml:space="preserve">At the lowest frequency (0.2 Hz), the mean gain </w:t>
      </w:r>
      <w:r w:rsidR="00212698" w:rsidRPr="009D4627">
        <w:rPr>
          <w:color w:val="auto"/>
        </w:rPr>
        <w:t>wa</w:t>
      </w:r>
      <w:r w:rsidRPr="009D4627">
        <w:rPr>
          <w:color w:val="auto"/>
        </w:rPr>
        <w:t xml:space="preserve">s slightly greater than 1, and at the higher frequencies (0.6 and 0.8 Hz), the mean gain </w:t>
      </w:r>
      <w:r w:rsidR="00212698" w:rsidRPr="009D4627">
        <w:rPr>
          <w:color w:val="auto"/>
        </w:rPr>
        <w:t>wa</w:t>
      </w:r>
      <w:r w:rsidRPr="009D4627">
        <w:rPr>
          <w:color w:val="auto"/>
        </w:rPr>
        <w:t>s less than 1.0 and reduce</w:t>
      </w:r>
      <w:r w:rsidR="00212698" w:rsidRPr="009D4627">
        <w:rPr>
          <w:color w:val="auto"/>
        </w:rPr>
        <w:t>d</w:t>
      </w:r>
      <w:r w:rsidRPr="009D4627">
        <w:rPr>
          <w:color w:val="auto"/>
        </w:rPr>
        <w:t xml:space="preserve"> with increased frequency. At 0.4 Hz, the gain </w:t>
      </w:r>
      <w:r w:rsidR="00212698" w:rsidRPr="009D4627">
        <w:rPr>
          <w:color w:val="auto"/>
        </w:rPr>
        <w:t>wa</w:t>
      </w:r>
      <w:r w:rsidRPr="009D4627">
        <w:rPr>
          <w:color w:val="auto"/>
        </w:rPr>
        <w:t xml:space="preserve">s close to 1 for all target sizes. The current study found that </w:t>
      </w:r>
      <w:r w:rsidR="00A706AE" w:rsidRPr="009D4627">
        <w:rPr>
          <w:color w:val="auto"/>
        </w:rPr>
        <w:t>SP</w:t>
      </w:r>
      <w:r w:rsidRPr="009D4627">
        <w:rPr>
          <w:color w:val="auto"/>
        </w:rPr>
        <w:t xml:space="preserve"> gain was </w:t>
      </w:r>
      <w:r w:rsidR="00B70945" w:rsidRPr="009D4627">
        <w:rPr>
          <w:color w:val="auto"/>
        </w:rPr>
        <w:t>affected</w:t>
      </w:r>
      <w:r w:rsidRPr="009D4627">
        <w:rPr>
          <w:color w:val="auto"/>
        </w:rPr>
        <w:t xml:space="preserve"> </w:t>
      </w:r>
      <w:r w:rsidR="00B70945" w:rsidRPr="009D4627">
        <w:rPr>
          <w:color w:val="auto"/>
        </w:rPr>
        <w:t>by</w:t>
      </w:r>
      <w:r w:rsidRPr="009D4627">
        <w:rPr>
          <w:color w:val="auto"/>
        </w:rPr>
        <w:t xml:space="preserve"> </w:t>
      </w:r>
      <w:r w:rsidR="00B70945" w:rsidRPr="009D4627">
        <w:rPr>
          <w:color w:val="auto"/>
        </w:rPr>
        <w:t xml:space="preserve">different </w:t>
      </w:r>
      <w:r w:rsidRPr="009D4627">
        <w:rPr>
          <w:color w:val="auto"/>
        </w:rPr>
        <w:t>frequenc</w:t>
      </w:r>
      <w:r w:rsidR="00212698" w:rsidRPr="009D4627">
        <w:rPr>
          <w:color w:val="auto"/>
        </w:rPr>
        <w:t>ies</w:t>
      </w:r>
      <w:r w:rsidRPr="009D4627">
        <w:rPr>
          <w:color w:val="auto"/>
        </w:rPr>
        <w:t xml:space="preserve"> but less affected by the </w:t>
      </w:r>
      <w:r w:rsidR="00B70945" w:rsidRPr="009D4627">
        <w:rPr>
          <w:color w:val="auto"/>
        </w:rPr>
        <w:t>different</w:t>
      </w:r>
      <w:r w:rsidRPr="009D4627">
        <w:rPr>
          <w:color w:val="auto"/>
        </w:rPr>
        <w:t xml:space="preserve"> target sizes (</w:t>
      </w:r>
      <w:r w:rsidR="00D91AAB" w:rsidRPr="009D4627">
        <w:rPr>
          <w:color w:val="auto"/>
        </w:rPr>
        <w:t>Figure</w:t>
      </w:r>
      <w:r w:rsidRPr="009D4627">
        <w:rPr>
          <w:color w:val="auto"/>
        </w:rPr>
        <w:t xml:space="preserve"> 4.2a). The RMSE is the average distance between the target and eye in degrees of visual angle for each </w:t>
      </w:r>
      <w:r w:rsidR="00A706AE" w:rsidRPr="009D4627">
        <w:rPr>
          <w:color w:val="auto"/>
        </w:rPr>
        <w:t>SP</w:t>
      </w:r>
      <w:r w:rsidRPr="009D4627">
        <w:rPr>
          <w:color w:val="auto"/>
        </w:rPr>
        <w:t xml:space="preserve"> segment of recorded data. High values of RMSE are produced when the eye is further away from the target suggesting poor </w:t>
      </w:r>
      <w:r w:rsidR="00A706AE" w:rsidRPr="009D4627">
        <w:rPr>
          <w:color w:val="auto"/>
        </w:rPr>
        <w:t>SP</w:t>
      </w:r>
      <w:r w:rsidRPr="009D4627">
        <w:rPr>
          <w:color w:val="auto"/>
        </w:rPr>
        <w:t xml:space="preserve"> performance. The result illustrates that RMSE increased with increasing frequency, but no noticeable change was observed with changing target sizes at </w:t>
      </w:r>
      <w:r w:rsidR="00C913C1">
        <w:rPr>
          <w:color w:val="auto"/>
        </w:rPr>
        <w:t>every</w:t>
      </w:r>
      <w:r w:rsidRPr="009D4627">
        <w:rPr>
          <w:color w:val="auto"/>
        </w:rPr>
        <w:t xml:space="preserve"> frequency (</w:t>
      </w:r>
      <w:r w:rsidR="00D91AAB" w:rsidRPr="009D4627">
        <w:rPr>
          <w:color w:val="auto"/>
        </w:rPr>
        <w:t>Figure</w:t>
      </w:r>
      <w:r w:rsidRPr="009D4627">
        <w:rPr>
          <w:color w:val="auto"/>
        </w:rPr>
        <w:t xml:space="preserve"> 4.2b). The results demonstrate that </w:t>
      </w:r>
      <w:r w:rsidR="00A706AE" w:rsidRPr="009D4627">
        <w:rPr>
          <w:color w:val="auto"/>
        </w:rPr>
        <w:t>SP</w:t>
      </w:r>
      <w:r w:rsidRPr="009D4627">
        <w:rPr>
          <w:color w:val="auto"/>
        </w:rPr>
        <w:t xml:space="preserve"> duration decreases (interrupted by </w:t>
      </w:r>
      <w:r w:rsidR="00944720" w:rsidRPr="009D4627">
        <w:rPr>
          <w:color w:val="auto"/>
        </w:rPr>
        <w:t>saccadic</w:t>
      </w:r>
      <w:r w:rsidRPr="009D4627">
        <w:rPr>
          <w:color w:val="auto"/>
        </w:rPr>
        <w:t xml:space="preserve"> movements) at the higher target frequencies (</w:t>
      </w:r>
      <w:r w:rsidR="00D91AAB" w:rsidRPr="009D4627">
        <w:rPr>
          <w:color w:val="auto"/>
        </w:rPr>
        <w:t>Figure</w:t>
      </w:r>
      <w:r w:rsidRPr="009D4627">
        <w:rPr>
          <w:color w:val="auto"/>
        </w:rPr>
        <w:t xml:space="preserve"> 4.2c). The higher the frequency</w:t>
      </w:r>
      <w:r w:rsidR="003760FD" w:rsidRPr="009D4627">
        <w:rPr>
          <w:color w:val="auto"/>
        </w:rPr>
        <w:t xml:space="preserve">, </w:t>
      </w:r>
      <w:r w:rsidRPr="009D4627">
        <w:rPr>
          <w:color w:val="auto"/>
        </w:rPr>
        <w:t>the faster it moves,</w:t>
      </w:r>
      <w:r w:rsidR="00212698" w:rsidRPr="009D4627">
        <w:rPr>
          <w:color w:val="auto"/>
        </w:rPr>
        <w:t xml:space="preserve"> and</w:t>
      </w:r>
      <w:r w:rsidRPr="009D4627">
        <w:rPr>
          <w:color w:val="auto"/>
        </w:rPr>
        <w:t xml:space="preserve"> the shorter the periods of </w:t>
      </w:r>
      <w:r w:rsidR="00A706AE" w:rsidRPr="009D4627">
        <w:rPr>
          <w:color w:val="auto"/>
        </w:rPr>
        <w:t>SP</w:t>
      </w:r>
      <w:r w:rsidRPr="009D4627">
        <w:rPr>
          <w:color w:val="auto"/>
        </w:rPr>
        <w:t xml:space="preserve"> fixation, indicating more </w:t>
      </w:r>
      <w:r w:rsidR="00944720" w:rsidRPr="009D4627">
        <w:rPr>
          <w:color w:val="auto"/>
        </w:rPr>
        <w:t>saccadic</w:t>
      </w:r>
      <w:r w:rsidRPr="009D4627">
        <w:rPr>
          <w:color w:val="auto"/>
        </w:rPr>
        <w:t xml:space="preserve"> interruptions and weaker </w:t>
      </w:r>
      <w:r w:rsidR="00A706AE" w:rsidRPr="009D4627">
        <w:rPr>
          <w:color w:val="auto"/>
        </w:rPr>
        <w:t>SP</w:t>
      </w:r>
      <w:r w:rsidRPr="009D4627">
        <w:rPr>
          <w:color w:val="auto"/>
        </w:rPr>
        <w:t xml:space="preserve"> performance.</w:t>
      </w:r>
    </w:p>
    <w:p w14:paraId="43A23AC0" w14:textId="77777777" w:rsidR="00D532BA" w:rsidRDefault="00D532BA" w:rsidP="000A673F">
      <w:pPr>
        <w:spacing w:after="0"/>
        <w:rPr>
          <w:color w:val="auto"/>
        </w:rPr>
      </w:pPr>
    </w:p>
    <w:p w14:paraId="5DA96C83" w14:textId="4E3724F6" w:rsidR="00EE5E2D" w:rsidRDefault="00DC5A29" w:rsidP="00EE5E2D">
      <w:pPr>
        <w:spacing w:after="0"/>
        <w:jc w:val="center"/>
        <w:rPr>
          <w:color w:val="auto"/>
        </w:rPr>
      </w:pPr>
      <w:r>
        <w:rPr>
          <w:noProof/>
        </w:rPr>
        <w:lastRenderedPageBreak/>
        <mc:AlternateContent>
          <mc:Choice Requires="wpg">
            <w:drawing>
              <wp:inline distT="0" distB="0" distL="0" distR="0" wp14:anchorId="3491D1E0" wp14:editId="67129BCE">
                <wp:extent cx="5040000" cy="2880000"/>
                <wp:effectExtent l="19050" t="19050" r="27305" b="15875"/>
                <wp:docPr id="23" name="Group 23"/>
                <wp:cNvGraphicFramePr/>
                <a:graphic xmlns:a="http://schemas.openxmlformats.org/drawingml/2006/main">
                  <a:graphicData uri="http://schemas.microsoft.com/office/word/2010/wordprocessingGroup">
                    <wpg:wgp>
                      <wpg:cNvGrpSpPr/>
                      <wpg:grpSpPr>
                        <a:xfrm>
                          <a:off x="0" y="0"/>
                          <a:ext cx="5040000" cy="2880000"/>
                          <a:chOff x="0" y="0"/>
                          <a:chExt cx="5690870" cy="3306445"/>
                        </a:xfrm>
                      </wpg:grpSpPr>
                      <pic:pic xmlns:pic="http://schemas.openxmlformats.org/drawingml/2006/picture">
                        <pic:nvPicPr>
                          <pic:cNvPr id="27" name="Picture 27"/>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9525"/>
                            <a:ext cx="2753995" cy="1619885"/>
                          </a:xfrm>
                          <a:prstGeom prst="rect">
                            <a:avLst/>
                          </a:prstGeom>
                          <a:noFill/>
                          <a:ln>
                            <a:solidFill>
                              <a:schemeClr val="tx1"/>
                            </a:solidFill>
                          </a:ln>
                        </pic:spPr>
                      </pic:pic>
                      <pic:pic xmlns:pic="http://schemas.openxmlformats.org/drawingml/2006/picture">
                        <pic:nvPicPr>
                          <pic:cNvPr id="29" name="Picture 29"/>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2952750" y="0"/>
                            <a:ext cx="2738120" cy="1619885"/>
                          </a:xfrm>
                          <a:prstGeom prst="rect">
                            <a:avLst/>
                          </a:prstGeom>
                          <a:noFill/>
                          <a:ln>
                            <a:solidFill>
                              <a:schemeClr val="tx1"/>
                            </a:solidFill>
                          </a:ln>
                        </pic:spPr>
                      </pic:pic>
                      <pic:pic xmlns:pic="http://schemas.openxmlformats.org/drawingml/2006/picture">
                        <pic:nvPicPr>
                          <pic:cNvPr id="30" name="Picture 30"/>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1476375" y="1685925"/>
                            <a:ext cx="2739390" cy="1620520"/>
                          </a:xfrm>
                          <a:prstGeom prst="rect">
                            <a:avLst/>
                          </a:prstGeom>
                          <a:noFill/>
                          <a:ln>
                            <a:solidFill>
                              <a:schemeClr val="tx1"/>
                            </a:solidFill>
                          </a:ln>
                        </pic:spPr>
                      </pic:pic>
                    </wpg:wgp>
                  </a:graphicData>
                </a:graphic>
              </wp:inline>
            </w:drawing>
          </mc:Choice>
          <mc:Fallback>
            <w:pict>
              <v:group w14:anchorId="3542CA25" id="Group 23" o:spid="_x0000_s1026" style="width:396.85pt;height:226.75pt;mso-position-horizontal-relative:char;mso-position-vertical-relative:line" coordsize="56908,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">
                <v:shape id="Picture 27" o:spid="_x0000_s1027" type="#_x0000_t75" style="position:absolute;top:95;width:27539;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" stroked="t" strokecolor="black [3213]">
                  <v:imagedata r:id="rId163" o:title=""/>
                  <v:path arrowok="t"/>
                </v:shape>
                <v:shape id="Picture 29" o:spid="_x0000_s1028" type="#_x0000_t75" style="position:absolute;left:29527;width:27381;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" stroked="t" strokecolor="black [3213]">
                  <v:imagedata r:id="rId164" o:title=""/>
                  <v:path arrowok="t"/>
                </v:shape>
                <v:shape id="Picture 30" o:spid="_x0000_s1029" type="#_x0000_t75" style="position:absolute;left:14763;top:16859;width:27394;height:16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" stroked="t" strokecolor="black [3213]">
                  <v:imagedata r:id="rId165" o:title=""/>
                  <v:path arrowok="t"/>
                </v:shape>
                <w10:anchorlock/>
              </v:group>
            </w:pict>
          </mc:Fallback>
        </mc:AlternateContent>
      </w:r>
    </w:p>
    <w:p w14:paraId="3BFE3A55" w14:textId="19DEB12B" w:rsidR="00D50E04" w:rsidRPr="00EE5E2D" w:rsidRDefault="00972AB0" w:rsidP="003F2C9E">
      <w:pPr>
        <w:spacing w:before="0" w:line="240" w:lineRule="auto"/>
      </w:pPr>
      <w:bookmarkStart w:id="397" w:name="_Toc70165586"/>
      <w:bookmarkStart w:id="398" w:name="_Toc98967228"/>
      <w:r w:rsidRPr="009D4627">
        <w:t>Figure 4.</w:t>
      </w:r>
      <w:r w:rsidR="007E7CC8">
        <w:fldChar w:fldCharType="begin"/>
      </w:r>
      <w:r w:rsidR="007E7CC8">
        <w:instrText xml:space="preserve"> SEQ Figure_4. \* ARABIC </w:instrText>
      </w:r>
      <w:r w:rsidR="007E7CC8">
        <w:fldChar w:fldCharType="separate"/>
      </w:r>
      <w:r w:rsidR="00E268F6">
        <w:rPr>
          <w:noProof/>
        </w:rPr>
        <w:t>2</w:t>
      </w:r>
      <w:r w:rsidR="007E7CC8">
        <w:rPr>
          <w:noProof/>
        </w:rPr>
        <w:fldChar w:fldCharType="end"/>
      </w:r>
      <w:r w:rsidRPr="009D4627">
        <w:t xml:space="preserve">: </w:t>
      </w:r>
      <w:bookmarkEnd w:id="397"/>
      <w:r w:rsidR="00DC5A29" w:rsidRPr="009D4627">
        <w:t xml:space="preserve">The effect of target size (0.5°, 1.0° and 2.0°) and frequency (0.2, 0.4, 0.6 and 0.8 Hz) on the horizontal SP parameters. </w:t>
      </w:r>
      <w:r w:rsidR="00DC5A29" w:rsidRPr="00974322">
        <w:t xml:space="preserve">The group mean values for a) gain, b) RMSE, and c) SP duration is shown. The legend for each graph specifies the target's size (°). The error bars indicate the standard error of </w:t>
      </w:r>
      <w:r w:rsidR="00DC5A29" w:rsidRPr="009D4627">
        <w:t>±1 SE.</w:t>
      </w:r>
      <w:bookmarkEnd w:id="398"/>
    </w:p>
    <w:p w14:paraId="46F7D4D2" w14:textId="77777777" w:rsidR="00D532BA" w:rsidRDefault="00316A01" w:rsidP="003F2C9E">
      <w:r w:rsidRPr="00316A01">
        <w:t xml:space="preserve">A repeated-measures ANOVA revealed that </w:t>
      </w:r>
      <w:r w:rsidR="00DC5A29">
        <w:t xml:space="preserve">there was no statistically significant interaction between </w:t>
      </w:r>
      <w:r w:rsidRPr="00316A01">
        <w:t>target size and frequency</w:t>
      </w:r>
      <w:r w:rsidR="00DC5A29">
        <w:t xml:space="preserve"> on</w:t>
      </w:r>
      <w:r w:rsidRPr="00316A01">
        <w:t xml:space="preserve"> </w:t>
      </w:r>
      <w:r w:rsidR="00DC5A29">
        <w:t xml:space="preserve">horizontal </w:t>
      </w:r>
      <w:r w:rsidRPr="00316A01">
        <w:t xml:space="preserve">SP parameters. </w:t>
      </w:r>
      <w:r w:rsidR="006706CA" w:rsidRPr="006706CA">
        <w:t xml:space="preserve">The main effect of target size demonstrated a statistically significant difference in horizontal SP gain and SP duration, </w:t>
      </w:r>
      <w:proofErr w:type="gramStart"/>
      <w:r w:rsidR="006706CA" w:rsidRPr="00281A92">
        <w:rPr>
          <w:i/>
          <w:iCs/>
        </w:rPr>
        <w:t>F</w:t>
      </w:r>
      <w:r w:rsidR="006706CA" w:rsidRPr="006706CA">
        <w:t>(</w:t>
      </w:r>
      <w:proofErr w:type="gramEnd"/>
      <w:r w:rsidR="006706CA" w:rsidRPr="006706CA">
        <w:t xml:space="preserve">2,36) = 9.59, </w:t>
      </w:r>
      <w:r w:rsidR="006706CA" w:rsidRPr="00281A92">
        <w:rPr>
          <w:i/>
          <w:iCs/>
        </w:rPr>
        <w:t>p</w:t>
      </w:r>
      <w:r w:rsidR="006706CA" w:rsidRPr="006706CA">
        <w:t>&lt;0.01 and </w:t>
      </w:r>
      <w:r w:rsidR="006706CA" w:rsidRPr="00281A92">
        <w:rPr>
          <w:i/>
          <w:iCs/>
        </w:rPr>
        <w:t>F</w:t>
      </w:r>
      <w:r w:rsidR="006706CA" w:rsidRPr="006706CA">
        <w:t xml:space="preserve">(2,36) = 6.20, </w:t>
      </w:r>
      <w:r w:rsidR="006706CA" w:rsidRPr="00281A92">
        <w:rPr>
          <w:i/>
          <w:iCs/>
        </w:rPr>
        <w:t xml:space="preserve">p </w:t>
      </w:r>
      <w:r w:rsidR="006706CA" w:rsidRPr="006706CA">
        <w:t>= 0.01.</w:t>
      </w:r>
      <w:r w:rsidR="007F75F6">
        <w:t xml:space="preserve"> </w:t>
      </w:r>
      <w:r w:rsidR="006C59DA" w:rsidRPr="006C59DA">
        <w:t>The Bonferroni test for multiple comparisons revealed that the mean value of SP gain differed significantly between 0.5° and 2.0° target size</w:t>
      </w:r>
      <w:r w:rsidR="006C59DA">
        <w:t xml:space="preserve"> </w:t>
      </w:r>
      <w:r w:rsidR="007F75F6">
        <w:t>(</w:t>
      </w:r>
      <w:r w:rsidR="007F75F6" w:rsidRPr="00281A92">
        <w:rPr>
          <w:i/>
          <w:iCs/>
        </w:rPr>
        <w:t>p</w:t>
      </w:r>
      <w:r w:rsidR="007F75F6">
        <w:t>&lt;0.01, 95% CI = -0.06, -0.01</w:t>
      </w:r>
      <w:r w:rsidR="00E16EC5">
        <w:t>)</w:t>
      </w:r>
      <w:r w:rsidR="006706CA">
        <w:t xml:space="preserve">. </w:t>
      </w:r>
      <w:r w:rsidR="00A83C0C" w:rsidRPr="00A83C0C">
        <w:t>Despite the statistically significant difference, both mean gains evaluated with 0.5° and 2° target sizes are within the normal saccade range, with gain = 0.95 and 0.99, respectively</w:t>
      </w:r>
      <w:r w:rsidR="00A83C0C">
        <w:t xml:space="preserve"> </w:t>
      </w:r>
      <w:r w:rsidR="00A83C0C">
        <w:fldChar w:fldCharType="begin"/>
      </w:r>
      <w:r w:rsidR="00A83C0C">
        <w:instrText xml:space="preserve"> ADDIN EN.CITE &lt;EndNote&gt;&lt;Cite&gt;&lt;Author&gt;Hopf&lt;/Author&gt;&lt;Year&gt;2018&lt;/Year&gt;&lt;IDText&gt;Age dependent normative data of vertical and horizontal reflexive saccades&lt;/IDText&gt;&lt;DisplayText&gt;(Hopf et al., 2018)&lt;/DisplayText&gt;&lt;record&gt;&lt;keywords&gt;&lt;keyword&gt;Germany&lt;/keyword&gt;&lt;keyword&gt;Velocity&lt;/keyword&gt;&lt;keyword&gt;Eye Movements&lt;/keyword&gt;&lt;keyword&gt;Age Factors&lt;/keyword&gt;&lt;keyword&gt;Feasibility Studies&lt;/keyword&gt;&lt;keyword&gt;Adolescence&lt;/keyword&gt;&lt;keyword&gt;Age&lt;/keyword&gt;&lt;keyword&gt;Children&lt;/keyword&gt;&lt;keyword&gt;Velocity&lt;/keyword&gt;&lt;keyword&gt;Aging&lt;/keyword&gt;&lt;keyword&gt;Elderly People&lt;/keyword&gt;&lt;keyword&gt;Age&lt;/keyword&gt;&lt;keyword&gt;Displacement&lt;/keyword&gt;&lt;keyword&gt;Recording&lt;/keyword&gt;&lt;keyword&gt;Children&lt;/keyword&gt;&lt;keyword&gt;Older People&lt;/keyword&gt;&lt;keyword&gt;Geriatrics&lt;/keyword&gt;&lt;keyword&gt;Latency&lt;/keyword&gt;&lt;keyword&gt;Elderly&lt;/keyword&gt;&lt;keyword&gt;Confidence Intervals&lt;/keyword&gt;&lt;keyword&gt;Adolescents&lt;/keyword&gt;&lt;keyword&gt;Isometric&lt;/keyword&gt;&lt;keyword&gt;Velocity&lt;/keyword&gt;&lt;keyword&gt;Children&lt;/keyword&gt;&lt;keyword&gt;Eye Movements&lt;/keyword&gt;&lt;keyword&gt;Reaction Time&lt;/keyword&gt;&lt;keyword&gt;Age Groups&lt;/keyword&gt;&lt;keyword&gt;Eyes&lt;/keyword&gt;&lt;keyword&gt;Vision&lt;/keyword&gt;&lt;keyword&gt;Attention&lt;/keyword&gt;&lt;keyword&gt;Elderly&lt;/keyword&gt;&lt;keyword&gt;Visual Acuity&lt;/keyword&gt;&lt;/keywords&gt;&lt;titles&gt;&lt;title&gt;Age dependent normative data of vertical and horizontal reflexive saccades&lt;/title&gt;&lt;secondary-title&gt;PLoS One&lt;/secondary-title&gt;&lt;/titles&gt;&lt;pages&gt;e0204008&lt;/pages&gt;&lt;number&gt;9&lt;/number&gt;&lt;contributors&gt;&lt;authors&gt;&lt;author&gt;Hopf, Susanne&lt;/author&gt;&lt;author&gt;Schmidtmann, Irene&lt;/author&gt;&lt;author&gt;Ashayer, Shahrzad&lt;/author&gt;&lt;author&gt;Pitz, Susanne&lt;/author&gt;&lt;/authors&gt;&lt;/contributors&gt;&lt;added-date format="utc"&gt;1564395907&lt;/added-date&gt;&lt;pub-location&gt;San Francisco&lt;/pub-location&gt;&lt;ref-type name="Journal Article"&gt;17&lt;/ref-type&gt;&lt;dates&gt;&lt;year&gt;2018&lt;/year&gt;&lt;/dates&gt;&lt;rec-number&gt;560&lt;/rec-number&gt;&lt;last-updated-date format="utc"&gt;1564395907&lt;/last-updated-date&gt;&lt;electronic-resource-num&gt;10.1371/journal.pone.0204008&lt;/electronic-resource-num&gt;&lt;volume&gt;13&lt;/volume&gt;&lt;/record&gt;&lt;/Cite&gt;&lt;/EndNote&gt;</w:instrText>
      </w:r>
      <w:r w:rsidR="00A83C0C">
        <w:fldChar w:fldCharType="separate"/>
      </w:r>
      <w:r w:rsidR="00A83C0C">
        <w:rPr>
          <w:noProof/>
        </w:rPr>
        <w:t>(Hopf et al., 2018)</w:t>
      </w:r>
      <w:r w:rsidR="00A83C0C">
        <w:fldChar w:fldCharType="end"/>
      </w:r>
      <w:r w:rsidR="00A83C0C" w:rsidRPr="00A83C0C">
        <w:t>.</w:t>
      </w:r>
      <w:r w:rsidR="006E60BE">
        <w:t>T</w:t>
      </w:r>
      <w:r w:rsidR="00A83C0C">
        <w:t>he differences could be regarded as negligible.</w:t>
      </w:r>
      <w:r w:rsidR="00185433" w:rsidRPr="00185433">
        <w:t xml:space="preserve"> </w:t>
      </w:r>
      <w:r w:rsidR="00A83C0C" w:rsidRPr="00A83C0C">
        <w:t>The</w:t>
      </w:r>
      <w:r w:rsidR="00E16EC5">
        <w:t>refore, it</w:t>
      </w:r>
      <w:r w:rsidR="00A83C0C" w:rsidRPr="00A83C0C">
        <w:t xml:space="preserve"> indicated that the SP </w:t>
      </w:r>
      <w:r w:rsidR="00E16EC5">
        <w:t>gain</w:t>
      </w:r>
      <w:r w:rsidR="00A83C0C" w:rsidRPr="00A83C0C">
        <w:t xml:space="preserve"> was not affected by the different target sizes used in this study.</w:t>
      </w:r>
      <w:r w:rsidR="00A83C0C">
        <w:t xml:space="preserve"> </w:t>
      </w:r>
    </w:p>
    <w:p w14:paraId="063A43A3" w14:textId="7FF07650" w:rsidR="00371B83" w:rsidRDefault="00E16EC5" w:rsidP="003F2C9E">
      <w:r>
        <w:t>Additionally, t</w:t>
      </w:r>
      <w:r w:rsidR="00281A92" w:rsidRPr="00281A92">
        <w:t xml:space="preserve">he Bonferroni test found that the SP duration was </w:t>
      </w:r>
      <w:r>
        <w:t xml:space="preserve">significantly </w:t>
      </w:r>
      <w:r w:rsidR="00281A92" w:rsidRPr="00281A92">
        <w:t>different between the 1.0° and 2.0° target sizes (</w:t>
      </w:r>
      <w:r w:rsidR="00281A92" w:rsidRPr="00281A92">
        <w:rPr>
          <w:i/>
          <w:iCs/>
        </w:rPr>
        <w:t>p</w:t>
      </w:r>
      <w:r w:rsidR="00281A92">
        <w:t xml:space="preserve"> = </w:t>
      </w:r>
      <w:r w:rsidR="00281A92" w:rsidRPr="00281A92">
        <w:t xml:space="preserve">0.01, 95 </w:t>
      </w:r>
      <w:r w:rsidR="00281A92">
        <w:t xml:space="preserve">% </w:t>
      </w:r>
      <w:r w:rsidR="00281A92" w:rsidRPr="00281A92">
        <w:t>CI = -74.90, -13.54)</w:t>
      </w:r>
      <w:r w:rsidR="00281A92">
        <w:t xml:space="preserve">, </w:t>
      </w:r>
      <w:r w:rsidR="00281A92" w:rsidRPr="00281A92">
        <w:t xml:space="preserve">increasing from 309 </w:t>
      </w:r>
      <w:proofErr w:type="spellStart"/>
      <w:r w:rsidR="00281A92" w:rsidRPr="00281A92">
        <w:t>ms</w:t>
      </w:r>
      <w:proofErr w:type="spellEnd"/>
      <w:r w:rsidR="00281A92" w:rsidRPr="00281A92">
        <w:t xml:space="preserve"> for 1.0° to 359 </w:t>
      </w:r>
      <w:proofErr w:type="spellStart"/>
      <w:r w:rsidR="00281A92" w:rsidRPr="00281A92">
        <w:t>ms</w:t>
      </w:r>
      <w:proofErr w:type="spellEnd"/>
      <w:r w:rsidR="00281A92" w:rsidRPr="00281A92">
        <w:t xml:space="preserve"> for</w:t>
      </w:r>
      <w:r w:rsidR="00281A92">
        <w:t xml:space="preserve"> </w:t>
      </w:r>
      <w:r w:rsidR="00281A92" w:rsidRPr="00281A92">
        <w:t>2.0° size</w:t>
      </w:r>
      <w:r w:rsidR="00B46505">
        <w:t>.</w:t>
      </w:r>
      <w:r w:rsidR="00B27249">
        <w:t xml:space="preserve"> </w:t>
      </w:r>
      <w:r w:rsidR="005F77FA" w:rsidRPr="00B3231E">
        <w:t xml:space="preserve">In summary, modifying the cross-stimulus size from 0.5° to 2° </w:t>
      </w:r>
      <w:r w:rsidR="005F77FA" w:rsidRPr="00B3231E">
        <w:lastRenderedPageBreak/>
        <w:t xml:space="preserve">had </w:t>
      </w:r>
      <w:r w:rsidR="005F77FA">
        <w:t>significantly prolonged the horizontal SP duration</w:t>
      </w:r>
      <w:r w:rsidR="005F77FA" w:rsidRPr="00B3231E">
        <w:t>.</w:t>
      </w:r>
      <w:r w:rsidR="005F77FA">
        <w:t xml:space="preserve"> </w:t>
      </w:r>
      <w:r w:rsidR="00371B83" w:rsidRPr="003E0F9E">
        <w:t>Table 4.</w:t>
      </w:r>
      <w:r w:rsidR="00371B83">
        <w:t>1</w:t>
      </w:r>
      <w:r w:rsidR="00371B83" w:rsidRPr="003E0F9E">
        <w:t xml:space="preserve"> summarises the effects of changing the target size on horizontal </w:t>
      </w:r>
      <w:r w:rsidR="00371B83">
        <w:t>SP</w:t>
      </w:r>
      <w:r w:rsidR="00371B83" w:rsidRPr="003E0F9E">
        <w:t xml:space="preserve"> parameters, as determined by repeated-measure ANOVA.</w:t>
      </w:r>
    </w:p>
    <w:p w14:paraId="2C8505BF" w14:textId="64D0CD7F" w:rsidR="00371B83" w:rsidRDefault="00371B83" w:rsidP="008E393B">
      <w:pPr>
        <w:spacing w:line="240" w:lineRule="auto"/>
        <w:rPr>
          <w:color w:val="auto"/>
        </w:rPr>
      </w:pPr>
      <w:bookmarkStart w:id="399" w:name="_Toc99378051"/>
      <w:r>
        <w:t>Table 4.</w:t>
      </w:r>
      <w:r w:rsidR="007E7CC8">
        <w:fldChar w:fldCharType="begin"/>
      </w:r>
      <w:r w:rsidR="007E7CC8">
        <w:instrText xml:space="preserve"> SEQ Table_4. \* ARABIC </w:instrText>
      </w:r>
      <w:r w:rsidR="007E7CC8">
        <w:fldChar w:fldCharType="separate"/>
      </w:r>
      <w:r w:rsidR="00E268F6">
        <w:rPr>
          <w:noProof/>
        </w:rPr>
        <w:t>1</w:t>
      </w:r>
      <w:r w:rsidR="007E7CC8">
        <w:rPr>
          <w:noProof/>
        </w:rPr>
        <w:fldChar w:fldCharType="end"/>
      </w:r>
      <w:r>
        <w:t>: T</w:t>
      </w:r>
      <w:r w:rsidRPr="000A3A75">
        <w:t xml:space="preserve">he results of a repeated-measures ANOVA on horizontal </w:t>
      </w:r>
      <w:r>
        <w:t>SP</w:t>
      </w:r>
      <w:r w:rsidRPr="000A3A75">
        <w:t xml:space="preserve"> characteristics tested on three target sizes.</w:t>
      </w:r>
      <w:bookmarkEnd w:id="399"/>
    </w:p>
    <w:tbl>
      <w:tblPr>
        <w:tblStyle w:val="TableGrid"/>
        <w:tblW w:w="5000" w:type="pct"/>
        <w:tblLook w:val="04A0" w:firstRow="1" w:lastRow="0" w:firstColumn="1" w:lastColumn="0" w:noHBand="0" w:noVBand="1"/>
      </w:tblPr>
      <w:tblGrid>
        <w:gridCol w:w="2239"/>
        <w:gridCol w:w="1559"/>
        <w:gridCol w:w="1061"/>
        <w:gridCol w:w="1377"/>
        <w:gridCol w:w="1247"/>
        <w:gridCol w:w="1543"/>
      </w:tblGrid>
      <w:tr w:rsidR="009B55F7" w:rsidRPr="000C6C80" w14:paraId="61C12CB0" w14:textId="77777777" w:rsidTr="005F77FA">
        <w:trPr>
          <w:trHeight w:val="516"/>
        </w:trPr>
        <w:tc>
          <w:tcPr>
            <w:tcW w:w="1240" w:type="pct"/>
            <w:tcBorders>
              <w:left w:val="nil"/>
            </w:tcBorders>
            <w:vAlign w:val="center"/>
          </w:tcPr>
          <w:p w14:paraId="70D4DB74" w14:textId="047BFB89" w:rsidR="009B55F7" w:rsidRPr="000C6C80" w:rsidRDefault="009B55F7" w:rsidP="009B55F7">
            <w:pPr>
              <w:spacing w:before="0" w:after="0" w:line="240" w:lineRule="auto"/>
              <w:jc w:val="left"/>
              <w:rPr>
                <w:sz w:val="22"/>
                <w:szCs w:val="22"/>
              </w:rPr>
            </w:pPr>
            <w:r>
              <w:rPr>
                <w:sz w:val="22"/>
                <w:szCs w:val="22"/>
              </w:rPr>
              <w:t>Horizontal SP parameters</w:t>
            </w:r>
          </w:p>
        </w:tc>
        <w:tc>
          <w:tcPr>
            <w:tcW w:w="863" w:type="pct"/>
            <w:vAlign w:val="center"/>
          </w:tcPr>
          <w:p w14:paraId="30F3E641" w14:textId="2C242B86" w:rsidR="009B55F7" w:rsidRPr="000C6C80" w:rsidRDefault="009B55F7" w:rsidP="001073AE">
            <w:pPr>
              <w:spacing w:before="0" w:after="0" w:line="240" w:lineRule="auto"/>
              <w:jc w:val="left"/>
              <w:rPr>
                <w:sz w:val="22"/>
                <w:szCs w:val="22"/>
              </w:rPr>
            </w:pPr>
            <w:r w:rsidRPr="000C6C80">
              <w:rPr>
                <w:sz w:val="22"/>
                <w:szCs w:val="22"/>
              </w:rPr>
              <w:t>SS</w:t>
            </w:r>
          </w:p>
        </w:tc>
        <w:tc>
          <w:tcPr>
            <w:tcW w:w="588" w:type="pct"/>
            <w:vAlign w:val="center"/>
          </w:tcPr>
          <w:p w14:paraId="17D521DC" w14:textId="77777777" w:rsidR="009B55F7" w:rsidRPr="000C6C80" w:rsidRDefault="009B55F7" w:rsidP="001073AE">
            <w:pPr>
              <w:spacing w:before="0" w:after="0" w:line="240" w:lineRule="auto"/>
              <w:jc w:val="left"/>
              <w:rPr>
                <w:sz w:val="22"/>
                <w:szCs w:val="22"/>
              </w:rPr>
            </w:pPr>
            <w:r w:rsidRPr="000C6C80">
              <w:rPr>
                <w:sz w:val="22"/>
                <w:szCs w:val="22"/>
              </w:rPr>
              <w:t>df</w:t>
            </w:r>
          </w:p>
        </w:tc>
        <w:tc>
          <w:tcPr>
            <w:tcW w:w="763" w:type="pct"/>
            <w:vAlign w:val="center"/>
          </w:tcPr>
          <w:p w14:paraId="6680AB05" w14:textId="77777777" w:rsidR="009B55F7" w:rsidRPr="000C6C80" w:rsidRDefault="009B55F7" w:rsidP="001073AE">
            <w:pPr>
              <w:spacing w:before="0" w:after="0" w:line="240" w:lineRule="auto"/>
              <w:jc w:val="left"/>
              <w:rPr>
                <w:sz w:val="22"/>
                <w:szCs w:val="22"/>
              </w:rPr>
            </w:pPr>
            <w:r w:rsidRPr="000C6C80">
              <w:rPr>
                <w:sz w:val="22"/>
                <w:szCs w:val="22"/>
              </w:rPr>
              <w:t>MS</w:t>
            </w:r>
          </w:p>
        </w:tc>
        <w:tc>
          <w:tcPr>
            <w:tcW w:w="691" w:type="pct"/>
            <w:vAlign w:val="center"/>
          </w:tcPr>
          <w:p w14:paraId="712DBE33" w14:textId="77777777" w:rsidR="009B55F7" w:rsidRPr="000C6C80" w:rsidRDefault="009B55F7" w:rsidP="001073AE">
            <w:pPr>
              <w:spacing w:before="0" w:after="0" w:line="240" w:lineRule="auto"/>
              <w:jc w:val="left"/>
              <w:rPr>
                <w:sz w:val="22"/>
                <w:szCs w:val="22"/>
              </w:rPr>
            </w:pPr>
            <w:r w:rsidRPr="000C6C80">
              <w:rPr>
                <w:sz w:val="22"/>
                <w:szCs w:val="22"/>
              </w:rPr>
              <w:t xml:space="preserve">F </w:t>
            </w:r>
          </w:p>
        </w:tc>
        <w:tc>
          <w:tcPr>
            <w:tcW w:w="856" w:type="pct"/>
            <w:tcBorders>
              <w:right w:val="nil"/>
            </w:tcBorders>
            <w:vAlign w:val="center"/>
          </w:tcPr>
          <w:p w14:paraId="02E68D23" w14:textId="77777777" w:rsidR="009B55F7" w:rsidRPr="000C6C80" w:rsidRDefault="009B55F7" w:rsidP="001073AE">
            <w:pPr>
              <w:spacing w:before="0" w:after="0" w:line="240" w:lineRule="auto"/>
              <w:jc w:val="left"/>
              <w:rPr>
                <w:sz w:val="22"/>
                <w:szCs w:val="22"/>
              </w:rPr>
            </w:pPr>
            <w:r w:rsidRPr="008E393B">
              <w:rPr>
                <w:i/>
                <w:iCs/>
                <w:sz w:val="22"/>
                <w:szCs w:val="22"/>
              </w:rPr>
              <w:t>p</w:t>
            </w:r>
            <w:r w:rsidRPr="000C6C80">
              <w:rPr>
                <w:sz w:val="22"/>
                <w:szCs w:val="22"/>
              </w:rPr>
              <w:t>-value</w:t>
            </w:r>
          </w:p>
        </w:tc>
      </w:tr>
      <w:tr w:rsidR="009B55F7" w:rsidRPr="000C6C80" w14:paraId="7C879D9F" w14:textId="77777777" w:rsidTr="005F77FA">
        <w:tc>
          <w:tcPr>
            <w:tcW w:w="1240" w:type="pct"/>
            <w:tcBorders>
              <w:left w:val="nil"/>
              <w:bottom w:val="nil"/>
            </w:tcBorders>
          </w:tcPr>
          <w:p w14:paraId="537D17E9" w14:textId="09895ACF" w:rsidR="009B55F7" w:rsidRPr="000C6C80" w:rsidRDefault="009B55F7" w:rsidP="009B55F7">
            <w:pPr>
              <w:spacing w:before="0" w:after="0" w:line="240" w:lineRule="auto"/>
              <w:jc w:val="left"/>
              <w:rPr>
                <w:sz w:val="22"/>
                <w:szCs w:val="22"/>
              </w:rPr>
            </w:pPr>
            <w:r>
              <w:rPr>
                <w:sz w:val="22"/>
                <w:szCs w:val="22"/>
              </w:rPr>
              <w:t>SP gain</w:t>
            </w:r>
          </w:p>
        </w:tc>
        <w:tc>
          <w:tcPr>
            <w:tcW w:w="863" w:type="pct"/>
            <w:tcBorders>
              <w:bottom w:val="nil"/>
            </w:tcBorders>
          </w:tcPr>
          <w:p w14:paraId="010B1898" w14:textId="07727831" w:rsidR="009B55F7" w:rsidRPr="000C6C80" w:rsidRDefault="009B55F7" w:rsidP="00FB7302">
            <w:pPr>
              <w:spacing w:before="0" w:after="0" w:line="240" w:lineRule="auto"/>
              <w:rPr>
                <w:sz w:val="22"/>
                <w:szCs w:val="22"/>
              </w:rPr>
            </w:pPr>
            <w:r>
              <w:rPr>
                <w:sz w:val="22"/>
                <w:szCs w:val="22"/>
              </w:rPr>
              <w:t>0.051</w:t>
            </w:r>
          </w:p>
        </w:tc>
        <w:tc>
          <w:tcPr>
            <w:tcW w:w="588" w:type="pct"/>
            <w:tcBorders>
              <w:bottom w:val="nil"/>
            </w:tcBorders>
          </w:tcPr>
          <w:p w14:paraId="21BB359E" w14:textId="1A20ADE8" w:rsidR="009B55F7" w:rsidRPr="000C6C80" w:rsidRDefault="009B55F7" w:rsidP="00FB7302">
            <w:pPr>
              <w:spacing w:before="0" w:after="0" w:line="240" w:lineRule="auto"/>
              <w:rPr>
                <w:sz w:val="22"/>
                <w:szCs w:val="22"/>
              </w:rPr>
            </w:pPr>
            <w:r>
              <w:rPr>
                <w:sz w:val="22"/>
                <w:szCs w:val="22"/>
              </w:rPr>
              <w:t>2,36</w:t>
            </w:r>
          </w:p>
        </w:tc>
        <w:tc>
          <w:tcPr>
            <w:tcW w:w="763" w:type="pct"/>
            <w:tcBorders>
              <w:bottom w:val="nil"/>
            </w:tcBorders>
          </w:tcPr>
          <w:p w14:paraId="2604C34C" w14:textId="2B71F61E" w:rsidR="009B55F7" w:rsidRPr="000C6C80" w:rsidRDefault="009B55F7" w:rsidP="00FB7302">
            <w:pPr>
              <w:spacing w:before="0" w:after="0" w:line="240" w:lineRule="auto"/>
              <w:rPr>
                <w:sz w:val="22"/>
                <w:szCs w:val="22"/>
              </w:rPr>
            </w:pPr>
            <w:r>
              <w:rPr>
                <w:sz w:val="22"/>
                <w:szCs w:val="22"/>
              </w:rPr>
              <w:t>0.026</w:t>
            </w:r>
          </w:p>
        </w:tc>
        <w:tc>
          <w:tcPr>
            <w:tcW w:w="691" w:type="pct"/>
            <w:tcBorders>
              <w:bottom w:val="nil"/>
            </w:tcBorders>
          </w:tcPr>
          <w:p w14:paraId="1FC4F1DF" w14:textId="2D05F12F" w:rsidR="009B55F7" w:rsidRPr="000C6C80" w:rsidRDefault="009B55F7" w:rsidP="00FB7302">
            <w:pPr>
              <w:spacing w:before="0" w:after="0" w:line="240" w:lineRule="auto"/>
              <w:rPr>
                <w:sz w:val="22"/>
                <w:szCs w:val="22"/>
              </w:rPr>
            </w:pPr>
            <w:r>
              <w:rPr>
                <w:sz w:val="22"/>
                <w:szCs w:val="22"/>
              </w:rPr>
              <w:t>9.56</w:t>
            </w:r>
          </w:p>
        </w:tc>
        <w:tc>
          <w:tcPr>
            <w:tcW w:w="856" w:type="pct"/>
            <w:tcBorders>
              <w:bottom w:val="nil"/>
              <w:right w:val="nil"/>
            </w:tcBorders>
          </w:tcPr>
          <w:p w14:paraId="617FBD22" w14:textId="255EE1AD" w:rsidR="009B55F7" w:rsidRPr="000C6C80" w:rsidRDefault="009B55F7" w:rsidP="00FB7302">
            <w:pPr>
              <w:spacing w:before="0" w:after="0" w:line="240" w:lineRule="auto"/>
              <w:rPr>
                <w:sz w:val="22"/>
                <w:szCs w:val="22"/>
              </w:rPr>
            </w:pPr>
            <w:r>
              <w:rPr>
                <w:sz w:val="22"/>
                <w:szCs w:val="22"/>
              </w:rPr>
              <w:t>&lt;0.01</w:t>
            </w:r>
            <w:r w:rsidR="00E16EC5">
              <w:rPr>
                <w:sz w:val="22"/>
                <w:szCs w:val="22"/>
              </w:rPr>
              <w:t>*</w:t>
            </w:r>
          </w:p>
        </w:tc>
      </w:tr>
      <w:tr w:rsidR="009B55F7" w:rsidRPr="000C6C80" w14:paraId="04C8933E" w14:textId="77777777" w:rsidTr="005F77FA">
        <w:tc>
          <w:tcPr>
            <w:tcW w:w="1240" w:type="pct"/>
            <w:tcBorders>
              <w:left w:val="nil"/>
              <w:bottom w:val="single" w:sz="4" w:space="0" w:color="auto"/>
            </w:tcBorders>
          </w:tcPr>
          <w:p w14:paraId="09E3015A" w14:textId="32CFF988" w:rsidR="009B55F7" w:rsidRPr="000C6C80" w:rsidRDefault="009B55F7" w:rsidP="009B55F7">
            <w:pPr>
              <w:spacing w:before="0" w:after="0" w:line="240" w:lineRule="auto"/>
              <w:jc w:val="left"/>
              <w:rPr>
                <w:sz w:val="22"/>
                <w:szCs w:val="22"/>
              </w:rPr>
            </w:pPr>
            <w:r>
              <w:rPr>
                <w:sz w:val="22"/>
                <w:szCs w:val="22"/>
              </w:rPr>
              <w:t>SP RMSE</w:t>
            </w:r>
          </w:p>
        </w:tc>
        <w:tc>
          <w:tcPr>
            <w:tcW w:w="863" w:type="pct"/>
            <w:tcBorders>
              <w:bottom w:val="single" w:sz="4" w:space="0" w:color="auto"/>
            </w:tcBorders>
          </w:tcPr>
          <w:p w14:paraId="64B79A48" w14:textId="531B8B1B" w:rsidR="009B55F7" w:rsidRPr="000C6C80" w:rsidRDefault="009B55F7" w:rsidP="008E393B">
            <w:pPr>
              <w:spacing w:before="0" w:after="0" w:line="240" w:lineRule="auto"/>
              <w:rPr>
                <w:sz w:val="22"/>
                <w:szCs w:val="22"/>
              </w:rPr>
            </w:pPr>
            <w:r>
              <w:rPr>
                <w:sz w:val="22"/>
                <w:szCs w:val="22"/>
              </w:rPr>
              <w:t>0.018</w:t>
            </w:r>
          </w:p>
        </w:tc>
        <w:tc>
          <w:tcPr>
            <w:tcW w:w="588" w:type="pct"/>
            <w:tcBorders>
              <w:bottom w:val="single" w:sz="4" w:space="0" w:color="auto"/>
            </w:tcBorders>
          </w:tcPr>
          <w:p w14:paraId="72A6AC05" w14:textId="49BFCBA4" w:rsidR="009B55F7" w:rsidRPr="000C6C80" w:rsidRDefault="009B55F7" w:rsidP="008E393B">
            <w:pPr>
              <w:spacing w:before="0" w:after="0" w:line="240" w:lineRule="auto"/>
              <w:rPr>
                <w:sz w:val="22"/>
                <w:szCs w:val="22"/>
              </w:rPr>
            </w:pPr>
            <w:r>
              <w:rPr>
                <w:sz w:val="22"/>
                <w:szCs w:val="22"/>
              </w:rPr>
              <w:t>2,36</w:t>
            </w:r>
          </w:p>
        </w:tc>
        <w:tc>
          <w:tcPr>
            <w:tcW w:w="763" w:type="pct"/>
            <w:tcBorders>
              <w:bottom w:val="single" w:sz="4" w:space="0" w:color="auto"/>
            </w:tcBorders>
          </w:tcPr>
          <w:p w14:paraId="7F224349" w14:textId="63216E16" w:rsidR="009B55F7" w:rsidRPr="000C6C80" w:rsidRDefault="009B55F7" w:rsidP="008E393B">
            <w:pPr>
              <w:spacing w:before="0" w:after="0" w:line="240" w:lineRule="auto"/>
              <w:rPr>
                <w:sz w:val="22"/>
                <w:szCs w:val="22"/>
              </w:rPr>
            </w:pPr>
            <w:r>
              <w:rPr>
                <w:sz w:val="22"/>
                <w:szCs w:val="22"/>
              </w:rPr>
              <w:t>0.009</w:t>
            </w:r>
          </w:p>
        </w:tc>
        <w:tc>
          <w:tcPr>
            <w:tcW w:w="691" w:type="pct"/>
            <w:tcBorders>
              <w:bottom w:val="single" w:sz="4" w:space="0" w:color="auto"/>
            </w:tcBorders>
          </w:tcPr>
          <w:p w14:paraId="607C30F1" w14:textId="335E4D9F" w:rsidR="009B55F7" w:rsidRPr="000C6C80" w:rsidRDefault="009B55F7" w:rsidP="008E393B">
            <w:pPr>
              <w:spacing w:before="0" w:after="0" w:line="240" w:lineRule="auto"/>
              <w:rPr>
                <w:sz w:val="22"/>
                <w:szCs w:val="22"/>
              </w:rPr>
            </w:pPr>
            <w:r>
              <w:rPr>
                <w:sz w:val="22"/>
                <w:szCs w:val="22"/>
              </w:rPr>
              <w:t>0.25</w:t>
            </w:r>
          </w:p>
        </w:tc>
        <w:tc>
          <w:tcPr>
            <w:tcW w:w="856" w:type="pct"/>
            <w:tcBorders>
              <w:bottom w:val="single" w:sz="4" w:space="0" w:color="auto"/>
              <w:right w:val="nil"/>
            </w:tcBorders>
          </w:tcPr>
          <w:p w14:paraId="176E7D46" w14:textId="1DDC3EB8" w:rsidR="009B55F7" w:rsidRPr="000C6C80" w:rsidRDefault="00E16EC5" w:rsidP="008E393B">
            <w:pPr>
              <w:spacing w:before="0" w:after="0" w:line="240" w:lineRule="auto"/>
              <w:rPr>
                <w:sz w:val="22"/>
                <w:szCs w:val="22"/>
              </w:rPr>
            </w:pPr>
            <w:r>
              <w:rPr>
                <w:sz w:val="22"/>
                <w:szCs w:val="22"/>
              </w:rPr>
              <w:t>0.78</w:t>
            </w:r>
          </w:p>
        </w:tc>
      </w:tr>
      <w:tr w:rsidR="009B55F7" w:rsidRPr="000C6C80" w14:paraId="23D25FFE" w14:textId="77777777" w:rsidTr="005F77FA">
        <w:tc>
          <w:tcPr>
            <w:tcW w:w="1240" w:type="pct"/>
            <w:tcBorders>
              <w:left w:val="nil"/>
              <w:bottom w:val="single" w:sz="4" w:space="0" w:color="auto"/>
            </w:tcBorders>
          </w:tcPr>
          <w:p w14:paraId="24EA1C19" w14:textId="56F62AFD" w:rsidR="009B55F7" w:rsidRPr="000C6C80" w:rsidRDefault="009B55F7" w:rsidP="009B55F7">
            <w:pPr>
              <w:spacing w:before="0" w:after="0" w:line="240" w:lineRule="auto"/>
              <w:jc w:val="left"/>
              <w:rPr>
                <w:sz w:val="22"/>
                <w:szCs w:val="22"/>
              </w:rPr>
            </w:pPr>
            <w:r>
              <w:rPr>
                <w:sz w:val="22"/>
                <w:szCs w:val="22"/>
              </w:rPr>
              <w:t>SP duration</w:t>
            </w:r>
          </w:p>
        </w:tc>
        <w:tc>
          <w:tcPr>
            <w:tcW w:w="863" w:type="pct"/>
            <w:tcBorders>
              <w:bottom w:val="single" w:sz="4" w:space="0" w:color="auto"/>
            </w:tcBorders>
          </w:tcPr>
          <w:p w14:paraId="4444AC7F" w14:textId="5FC2B120" w:rsidR="009B55F7" w:rsidRPr="000C6C80" w:rsidRDefault="00E16EC5" w:rsidP="008E393B">
            <w:pPr>
              <w:spacing w:before="0" w:after="0" w:line="240" w:lineRule="auto"/>
              <w:rPr>
                <w:sz w:val="22"/>
                <w:szCs w:val="22"/>
              </w:rPr>
            </w:pPr>
            <w:r>
              <w:rPr>
                <w:sz w:val="22"/>
                <w:szCs w:val="22"/>
              </w:rPr>
              <w:t>90208</w:t>
            </w:r>
          </w:p>
        </w:tc>
        <w:tc>
          <w:tcPr>
            <w:tcW w:w="588" w:type="pct"/>
            <w:tcBorders>
              <w:bottom w:val="single" w:sz="4" w:space="0" w:color="auto"/>
            </w:tcBorders>
          </w:tcPr>
          <w:p w14:paraId="199A4D92" w14:textId="31D7AF1D" w:rsidR="009B55F7" w:rsidRPr="000C6C80" w:rsidRDefault="00E16EC5" w:rsidP="008E393B">
            <w:pPr>
              <w:spacing w:before="0" w:after="0" w:line="240" w:lineRule="auto"/>
              <w:rPr>
                <w:sz w:val="22"/>
                <w:szCs w:val="22"/>
              </w:rPr>
            </w:pPr>
            <w:r>
              <w:rPr>
                <w:sz w:val="22"/>
                <w:szCs w:val="22"/>
              </w:rPr>
              <w:t>2,36</w:t>
            </w:r>
          </w:p>
        </w:tc>
        <w:tc>
          <w:tcPr>
            <w:tcW w:w="763" w:type="pct"/>
            <w:tcBorders>
              <w:bottom w:val="single" w:sz="4" w:space="0" w:color="auto"/>
            </w:tcBorders>
          </w:tcPr>
          <w:p w14:paraId="4F9E8DD0" w14:textId="1BD6F205" w:rsidR="009B55F7" w:rsidRPr="000C6C80" w:rsidRDefault="00E16EC5" w:rsidP="008E393B">
            <w:pPr>
              <w:spacing w:before="0" w:after="0" w:line="240" w:lineRule="auto"/>
              <w:rPr>
                <w:sz w:val="22"/>
                <w:szCs w:val="22"/>
              </w:rPr>
            </w:pPr>
            <w:r>
              <w:rPr>
                <w:sz w:val="22"/>
                <w:szCs w:val="22"/>
              </w:rPr>
              <w:t>45104</w:t>
            </w:r>
          </w:p>
        </w:tc>
        <w:tc>
          <w:tcPr>
            <w:tcW w:w="691" w:type="pct"/>
            <w:tcBorders>
              <w:bottom w:val="single" w:sz="4" w:space="0" w:color="auto"/>
            </w:tcBorders>
          </w:tcPr>
          <w:p w14:paraId="10B3521C" w14:textId="13FC0014" w:rsidR="009B55F7" w:rsidRPr="000C6C80" w:rsidRDefault="00E16EC5" w:rsidP="008E393B">
            <w:pPr>
              <w:spacing w:before="0" w:after="0" w:line="240" w:lineRule="auto"/>
              <w:rPr>
                <w:sz w:val="22"/>
                <w:szCs w:val="22"/>
              </w:rPr>
            </w:pPr>
            <w:r>
              <w:rPr>
                <w:sz w:val="22"/>
                <w:szCs w:val="22"/>
              </w:rPr>
              <w:t>6.20</w:t>
            </w:r>
          </w:p>
        </w:tc>
        <w:tc>
          <w:tcPr>
            <w:tcW w:w="856" w:type="pct"/>
            <w:tcBorders>
              <w:bottom w:val="single" w:sz="4" w:space="0" w:color="auto"/>
              <w:right w:val="nil"/>
            </w:tcBorders>
          </w:tcPr>
          <w:p w14:paraId="4A61C514" w14:textId="4EF273CC" w:rsidR="009B55F7" w:rsidRPr="000C6C80" w:rsidRDefault="00E16EC5" w:rsidP="008E393B">
            <w:pPr>
              <w:spacing w:before="0" w:after="0" w:line="240" w:lineRule="auto"/>
              <w:rPr>
                <w:sz w:val="22"/>
                <w:szCs w:val="22"/>
              </w:rPr>
            </w:pPr>
            <w:r>
              <w:rPr>
                <w:sz w:val="22"/>
                <w:szCs w:val="22"/>
              </w:rPr>
              <w:t>0.01*</w:t>
            </w:r>
          </w:p>
        </w:tc>
      </w:tr>
    </w:tbl>
    <w:p w14:paraId="53A272E6" w14:textId="77777777" w:rsidR="005F77FA" w:rsidRPr="00EE2A22" w:rsidRDefault="005F77FA" w:rsidP="005F77FA">
      <w:pPr>
        <w:spacing w:before="0" w:line="240" w:lineRule="auto"/>
        <w:jc w:val="center"/>
        <w:rPr>
          <w:i/>
          <w:iCs/>
        </w:rPr>
      </w:pPr>
      <w:r>
        <w:t>*</w:t>
      </w:r>
      <w:r w:rsidRPr="007A27AF">
        <w:t xml:space="preserve"> </w:t>
      </w:r>
      <w:r>
        <w:t xml:space="preserve">Data are significant at </w:t>
      </w:r>
      <w:r w:rsidRPr="00EE2A22">
        <w:rPr>
          <w:i/>
          <w:iCs/>
        </w:rPr>
        <w:t>p</w:t>
      </w:r>
      <w:r>
        <w:t>&lt;0.05</w:t>
      </w:r>
    </w:p>
    <w:p w14:paraId="42683ACF" w14:textId="57F54537" w:rsidR="00BF47CE" w:rsidRPr="009D4627" w:rsidRDefault="000164C3" w:rsidP="00CA4E90">
      <w:pPr>
        <w:pStyle w:val="Heading4"/>
      </w:pPr>
      <w:bookmarkStart w:id="400" w:name="_Toc57300374"/>
      <w:bookmarkStart w:id="401" w:name="_Toc57300482"/>
      <w:bookmarkStart w:id="402" w:name="_Toc98964685"/>
      <w:bookmarkStart w:id="403" w:name="_Toc103344729"/>
      <w:bookmarkEnd w:id="394"/>
      <w:r w:rsidRPr="009D4627">
        <w:t xml:space="preserve">The effect of target size on </w:t>
      </w:r>
      <w:r w:rsidR="0057504E">
        <w:t>v</w:t>
      </w:r>
      <w:r w:rsidR="00BF47CE" w:rsidRPr="009D4627">
        <w:t xml:space="preserve">ertical </w:t>
      </w:r>
      <w:r w:rsidR="00A706AE" w:rsidRPr="009D4627">
        <w:t>SP</w:t>
      </w:r>
      <w:r w:rsidR="00BF47CE" w:rsidRPr="009D4627">
        <w:t>s</w:t>
      </w:r>
      <w:bookmarkEnd w:id="400"/>
      <w:bookmarkEnd w:id="401"/>
      <w:bookmarkEnd w:id="402"/>
      <w:bookmarkEnd w:id="403"/>
    </w:p>
    <w:p w14:paraId="482BC0AC" w14:textId="0F8FDF16" w:rsidR="009974EE" w:rsidRPr="009D4627" w:rsidRDefault="000641DF" w:rsidP="00BF47CE">
      <w:pPr>
        <w:spacing w:after="0"/>
        <w:rPr>
          <w:color w:val="auto"/>
        </w:rPr>
      </w:pPr>
      <w:r w:rsidRPr="009D4627">
        <w:rPr>
          <w:color w:val="auto"/>
        </w:rPr>
        <w:t>I</w:t>
      </w:r>
      <w:r w:rsidR="00BF47CE" w:rsidRPr="009D4627">
        <w:rPr>
          <w:color w:val="auto"/>
        </w:rPr>
        <w:t xml:space="preserve">ndividual participant means </w:t>
      </w:r>
      <w:r w:rsidR="00B3231E">
        <w:rPr>
          <w:color w:val="auto"/>
        </w:rPr>
        <w:t xml:space="preserve">were calculated </w:t>
      </w:r>
      <w:r w:rsidR="00BF47CE" w:rsidRPr="009D4627">
        <w:rPr>
          <w:color w:val="auto"/>
        </w:rPr>
        <w:t xml:space="preserve">for </w:t>
      </w:r>
      <w:r w:rsidRPr="009D4627">
        <w:rPr>
          <w:color w:val="auto"/>
        </w:rPr>
        <w:t xml:space="preserve">vertical </w:t>
      </w:r>
      <w:r w:rsidR="00A706AE" w:rsidRPr="009D4627">
        <w:rPr>
          <w:color w:val="auto"/>
        </w:rPr>
        <w:t>SP</w:t>
      </w:r>
      <w:r w:rsidR="00BF47CE" w:rsidRPr="009D4627">
        <w:rPr>
          <w:color w:val="auto"/>
        </w:rPr>
        <w:t xml:space="preserve"> gain,</w:t>
      </w:r>
      <w:r w:rsidR="00B44521">
        <w:rPr>
          <w:color w:val="auto"/>
        </w:rPr>
        <w:t xml:space="preserve"> while medians were used for SP </w:t>
      </w:r>
      <w:r w:rsidR="00B44521" w:rsidRPr="009D4627">
        <w:rPr>
          <w:color w:val="auto"/>
        </w:rPr>
        <w:t>RMSE and duration</w:t>
      </w:r>
      <w:r w:rsidR="00BF47CE" w:rsidRPr="009D4627">
        <w:rPr>
          <w:color w:val="auto"/>
        </w:rPr>
        <w:t xml:space="preserve">. </w:t>
      </w:r>
      <w:r w:rsidRPr="009D4627">
        <w:rPr>
          <w:color w:val="auto"/>
        </w:rPr>
        <w:t xml:space="preserve">Following that, </w:t>
      </w:r>
      <w:r w:rsidR="00BF47CE" w:rsidRPr="009D4627">
        <w:rPr>
          <w:color w:val="auto"/>
        </w:rPr>
        <w:t>the group mean</w:t>
      </w:r>
      <w:r w:rsidR="002F15E8">
        <w:rPr>
          <w:color w:val="auto"/>
        </w:rPr>
        <w:t xml:space="preserve"> (SP gain)</w:t>
      </w:r>
      <w:r w:rsidR="00BF47CE" w:rsidRPr="009D4627">
        <w:rPr>
          <w:color w:val="auto"/>
        </w:rPr>
        <w:t xml:space="preserve"> </w:t>
      </w:r>
      <w:r w:rsidR="002F15E8">
        <w:rPr>
          <w:color w:val="auto"/>
        </w:rPr>
        <w:t xml:space="preserve">and medians (SP </w:t>
      </w:r>
      <w:r w:rsidR="00BF47CE" w:rsidRPr="009D4627">
        <w:rPr>
          <w:color w:val="auto"/>
        </w:rPr>
        <w:t xml:space="preserve">RMSE and duration) for each target size and at each frequency shown in </w:t>
      </w:r>
      <w:r w:rsidR="00D91AAB" w:rsidRPr="009D4627">
        <w:rPr>
          <w:color w:val="auto"/>
        </w:rPr>
        <w:t>Figure</w:t>
      </w:r>
      <w:r w:rsidR="00BF47CE" w:rsidRPr="009D4627">
        <w:rPr>
          <w:color w:val="auto"/>
        </w:rPr>
        <w:t xml:space="preserve"> 4.3. Only two target size choices were used to record the vertical </w:t>
      </w:r>
      <w:r w:rsidR="00A706AE" w:rsidRPr="009D4627">
        <w:rPr>
          <w:color w:val="auto"/>
        </w:rPr>
        <w:t>SP</w:t>
      </w:r>
      <w:r w:rsidR="00212698" w:rsidRPr="009D4627">
        <w:rPr>
          <w:color w:val="auto"/>
        </w:rPr>
        <w:t>s</w:t>
      </w:r>
      <w:r w:rsidR="00BF47CE" w:rsidRPr="009D4627">
        <w:rPr>
          <w:color w:val="auto"/>
        </w:rPr>
        <w:t xml:space="preserve"> due to insufficient screen height to accommodate the large</w:t>
      </w:r>
      <w:r w:rsidR="00212698" w:rsidRPr="009D4627">
        <w:rPr>
          <w:color w:val="auto"/>
        </w:rPr>
        <w:t>r</w:t>
      </w:r>
      <w:r w:rsidR="00BF47CE" w:rsidRPr="009D4627">
        <w:rPr>
          <w:color w:val="auto"/>
        </w:rPr>
        <w:t xml:space="preserve"> target</w:t>
      </w:r>
      <w:r w:rsidR="00212698" w:rsidRPr="009D4627">
        <w:rPr>
          <w:color w:val="auto"/>
        </w:rPr>
        <w:t>s</w:t>
      </w:r>
      <w:r w:rsidR="00BF47CE" w:rsidRPr="009D4627">
        <w:rPr>
          <w:color w:val="auto"/>
        </w:rPr>
        <w:t>. When using ±8° amplitude, just the small (0.5°) and medium</w:t>
      </w:r>
      <w:r w:rsidRPr="009D4627">
        <w:rPr>
          <w:color w:val="auto"/>
        </w:rPr>
        <w:t>-</w:t>
      </w:r>
      <w:r w:rsidR="00BF47CE" w:rsidRPr="009D4627">
        <w:rPr>
          <w:color w:val="auto"/>
        </w:rPr>
        <w:t xml:space="preserve">size (1.0°) targets were used to avoid reducing </w:t>
      </w:r>
      <w:r w:rsidR="00A706AE" w:rsidRPr="009D4627">
        <w:rPr>
          <w:color w:val="auto"/>
        </w:rPr>
        <w:t>SP</w:t>
      </w:r>
      <w:r w:rsidR="00BF47CE" w:rsidRPr="009D4627">
        <w:rPr>
          <w:color w:val="auto"/>
        </w:rPr>
        <w:t xml:space="preserve"> amplitude. </w:t>
      </w:r>
    </w:p>
    <w:p w14:paraId="33A4EB92" w14:textId="57D560FB" w:rsidR="00BF47CE" w:rsidRDefault="00C37BD1" w:rsidP="00137769">
      <w:r w:rsidRPr="009D4627">
        <w:t>The r</w:t>
      </w:r>
      <w:r w:rsidR="009974EE" w:rsidRPr="009D4627">
        <w:t>esult show</w:t>
      </w:r>
      <w:r w:rsidR="002E63E9" w:rsidRPr="009D4627">
        <w:t>ed</w:t>
      </w:r>
      <w:r w:rsidR="009974EE" w:rsidRPr="009D4627">
        <w:t xml:space="preserve"> that t</w:t>
      </w:r>
      <w:r w:rsidR="00BF47CE" w:rsidRPr="009D4627">
        <w:t xml:space="preserve">he </w:t>
      </w:r>
      <w:r w:rsidR="002F711E">
        <w:t xml:space="preserve">mean </w:t>
      </w:r>
      <w:r w:rsidR="00BF47CE" w:rsidRPr="009D4627">
        <w:t xml:space="preserve">vertical </w:t>
      </w:r>
      <w:r w:rsidR="00A706AE" w:rsidRPr="009D4627">
        <w:t>SP</w:t>
      </w:r>
      <w:r w:rsidR="00BF47CE" w:rsidRPr="009D4627">
        <w:t xml:space="preserve"> gains were consistently &lt;1 for all frequencies. The</w:t>
      </w:r>
      <w:r w:rsidR="002E63E9" w:rsidRPr="009D4627">
        <w:t>re were no</w:t>
      </w:r>
      <w:r w:rsidR="00BF47CE" w:rsidRPr="009D4627">
        <w:t xml:space="preserve"> remarkable changes </w:t>
      </w:r>
      <w:r w:rsidR="002E63E9" w:rsidRPr="009D4627">
        <w:t xml:space="preserve">in SP gain </w:t>
      </w:r>
      <w:r w:rsidR="00BF47CE" w:rsidRPr="009D4627">
        <w:t>with the different target sizes at low frequency</w:t>
      </w:r>
      <w:r w:rsidR="002E63E9" w:rsidRPr="009D4627">
        <w:t xml:space="preserve">. However, SP </w:t>
      </w:r>
      <w:r w:rsidR="00BF47CE" w:rsidRPr="009D4627">
        <w:t xml:space="preserve">gain </w:t>
      </w:r>
      <w:r w:rsidR="002E63E9" w:rsidRPr="009D4627">
        <w:t>was reduced as the frequency increased when tested using the smaller target</w:t>
      </w:r>
      <w:r w:rsidR="00BF47CE" w:rsidRPr="009D4627">
        <w:t xml:space="preserve">. </w:t>
      </w:r>
      <w:r w:rsidR="00212698" w:rsidRPr="009D4627">
        <w:t>V</w:t>
      </w:r>
      <w:r w:rsidR="00BF47CE" w:rsidRPr="009D4627">
        <w:t xml:space="preserve">ertical </w:t>
      </w:r>
      <w:r w:rsidR="00A706AE" w:rsidRPr="009D4627">
        <w:t>SP</w:t>
      </w:r>
      <w:r w:rsidR="00BF47CE" w:rsidRPr="009D4627">
        <w:t xml:space="preserve"> RMSE increased with a smaller target (except at 0.25 Hz) (</w:t>
      </w:r>
      <w:r w:rsidR="00D91AAB" w:rsidRPr="009D4627">
        <w:t>Figure</w:t>
      </w:r>
      <w:r w:rsidR="00BF47CE" w:rsidRPr="009D4627">
        <w:t xml:space="preserve"> 4.3b). The vertical </w:t>
      </w:r>
      <w:r w:rsidR="00A706AE" w:rsidRPr="009D4627">
        <w:t>SP</w:t>
      </w:r>
      <w:r w:rsidR="00BF47CE" w:rsidRPr="009D4627">
        <w:t xml:space="preserve"> duration decrease</w:t>
      </w:r>
      <w:r w:rsidR="00212698" w:rsidRPr="009D4627">
        <w:t>d</w:t>
      </w:r>
      <w:r w:rsidR="00BF47CE" w:rsidRPr="009D4627">
        <w:t xml:space="preserve"> as the frequency increased for all target sizes (</w:t>
      </w:r>
      <w:r w:rsidR="00D91AAB" w:rsidRPr="009D4627">
        <w:t>Figure</w:t>
      </w:r>
      <w:r w:rsidR="00BF47CE" w:rsidRPr="009D4627">
        <w:t xml:space="preserve"> 4.3c).</w:t>
      </w:r>
    </w:p>
    <w:p w14:paraId="745D25C6" w14:textId="5740273A" w:rsidR="00137769" w:rsidRDefault="000503DA" w:rsidP="00137769">
      <w:pPr>
        <w:rPr>
          <w:color w:val="3B3F41"/>
        </w:rPr>
      </w:pPr>
      <w:r>
        <w:t xml:space="preserve">The statistical analysis for the vertical SP dataset was conducted using paired t-test. </w:t>
      </w:r>
      <w:r w:rsidR="00F37DBA">
        <w:t xml:space="preserve">The test was chosen because </w:t>
      </w:r>
      <w:r w:rsidR="00F37DBA">
        <w:rPr>
          <w:color w:val="3B3F41"/>
        </w:rPr>
        <w:t>t</w:t>
      </w:r>
      <w:r w:rsidR="00F37DBA" w:rsidRPr="00F37DBA">
        <w:rPr>
          <w:color w:val="3B3F41"/>
        </w:rPr>
        <w:t xml:space="preserve">he participants </w:t>
      </w:r>
      <w:r w:rsidR="00F37DBA">
        <w:rPr>
          <w:color w:val="3B3F41"/>
        </w:rPr>
        <w:t xml:space="preserve">were </w:t>
      </w:r>
      <w:r w:rsidR="00F37DBA" w:rsidRPr="00F37DBA">
        <w:rPr>
          <w:color w:val="3B3F41"/>
        </w:rPr>
        <w:t xml:space="preserve">the same individuals tested under two different </w:t>
      </w:r>
      <w:r w:rsidR="00F37DBA" w:rsidRPr="00F37DBA">
        <w:rPr>
          <w:color w:val="3B3F41"/>
        </w:rPr>
        <w:lastRenderedPageBreak/>
        <w:t>conditions</w:t>
      </w:r>
      <w:r w:rsidR="00F37DBA">
        <w:rPr>
          <w:color w:val="3B3F41"/>
        </w:rPr>
        <w:t xml:space="preserve"> (using 0.5 and 1° target sizes)</w:t>
      </w:r>
      <w:r w:rsidR="00F37DBA" w:rsidRPr="00F37DBA">
        <w:rPr>
          <w:color w:val="3B3F41"/>
        </w:rPr>
        <w:t xml:space="preserve"> on the same dependent variable</w:t>
      </w:r>
      <w:r w:rsidR="00F37DBA">
        <w:rPr>
          <w:color w:val="3B3F41"/>
        </w:rPr>
        <w:t xml:space="preserve">s </w:t>
      </w:r>
      <w:r w:rsidR="00F37DBA">
        <w:rPr>
          <w:color w:val="3B3F41"/>
        </w:rPr>
        <w:fldChar w:fldCharType="begin"/>
      </w:r>
      <w:r w:rsidR="00F37DBA">
        <w:rPr>
          <w:color w:val="3B3F41"/>
        </w:rPr>
        <w:instrText xml:space="preserve"> ADDIN EN.CITE &lt;EndNote&gt;&lt;Cite&gt;&lt;Author&gt;Laerd&lt;/Author&gt;&lt;Year&gt;2013&lt;/Year&gt;&lt;IDText&gt;Laerd Statistics&lt;/IDText&gt;&lt;DisplayText&gt;(Laerd, 2013)&lt;/DisplayText&gt;&lt;record&gt;&lt;urls&gt;&lt;related-urls&gt;&lt;url&gt;https://statistics.laerd.com/premium/spss/lr/linear-regression-in-spss.php&lt;/url&gt;&lt;/related-urls&gt;&lt;/urls&gt;&lt;titles&gt;&lt;title&gt;Laerd Statistics&lt;/title&gt;&lt;/titles&gt;&lt;contributors&gt;&lt;authors&gt;&lt;author&gt;Laerd&lt;/author&gt;&lt;/authors&gt;&lt;/contributors&gt;&lt;added-date format="utc"&gt;1644031849&lt;/added-date&gt;&lt;ref-type name="Web Page"&gt;12&lt;/ref-type&gt;&lt;dates&gt;&lt;year&gt;2013&lt;/year&gt;&lt;/dates&gt;&lt;rec-number&gt;785&lt;/rec-number&gt;&lt;publisher&gt;Lund Research Ltd.&lt;/publisher&gt;&lt;last-updated-date format="utc"&gt;1646106129&lt;/last-updated-date&gt;&lt;/record&gt;&lt;/Cite&gt;&lt;/EndNote&gt;</w:instrText>
      </w:r>
      <w:r w:rsidR="00F37DBA">
        <w:rPr>
          <w:color w:val="3B3F41"/>
        </w:rPr>
        <w:fldChar w:fldCharType="separate"/>
      </w:r>
      <w:r w:rsidR="00F37DBA">
        <w:rPr>
          <w:noProof/>
          <w:color w:val="3B3F41"/>
        </w:rPr>
        <w:t>(Laerd, 2013)</w:t>
      </w:r>
      <w:r w:rsidR="00F37DBA">
        <w:rPr>
          <w:color w:val="3B3F41"/>
        </w:rPr>
        <w:fldChar w:fldCharType="end"/>
      </w:r>
      <w:r w:rsidR="00F37DBA" w:rsidRPr="00F37DBA">
        <w:rPr>
          <w:color w:val="3B3F41"/>
        </w:rPr>
        <w:t>.</w:t>
      </w:r>
      <w:r w:rsidR="00F37DBA">
        <w:rPr>
          <w:color w:val="3B3F41"/>
        </w:rPr>
        <w:t xml:space="preserve"> </w:t>
      </w:r>
      <w:r w:rsidR="00AD6393">
        <w:rPr>
          <w:color w:val="3B3F41"/>
        </w:rPr>
        <w:t>The mean difference of SP gain and median difference for SP RMSE were not significantly difference between the two target sizes. However, the median SP duration for the frequency of 0.75 and 1.0 Hz</w:t>
      </w:r>
      <w:r w:rsidR="00A81BCB">
        <w:rPr>
          <w:color w:val="3B3F41"/>
        </w:rPr>
        <w:t xml:space="preserve"> showed longer duration with bigger target size</w:t>
      </w:r>
      <w:r w:rsidR="002C5F31">
        <w:rPr>
          <w:color w:val="3B3F41"/>
        </w:rPr>
        <w:t xml:space="preserve">. The result of </w:t>
      </w:r>
      <w:r w:rsidR="006E60BE">
        <w:rPr>
          <w:color w:val="3B3F41"/>
        </w:rPr>
        <w:t>the</w:t>
      </w:r>
      <w:r w:rsidR="003B6F74">
        <w:rPr>
          <w:color w:val="3B3F41"/>
        </w:rPr>
        <w:t xml:space="preserve"> </w:t>
      </w:r>
      <w:r w:rsidR="002C5F31">
        <w:rPr>
          <w:color w:val="3B3F41"/>
        </w:rPr>
        <w:t xml:space="preserve">paired t-test </w:t>
      </w:r>
      <w:r w:rsidR="006E60BE">
        <w:rPr>
          <w:color w:val="3B3F41"/>
        </w:rPr>
        <w:t>is</w:t>
      </w:r>
      <w:r w:rsidR="002C5F31">
        <w:rPr>
          <w:color w:val="3B3F41"/>
        </w:rPr>
        <w:t xml:space="preserve"> reported in Table 4.</w:t>
      </w:r>
      <w:r w:rsidR="000A2567">
        <w:rPr>
          <w:color w:val="3B3F41"/>
        </w:rPr>
        <w:t>2</w:t>
      </w:r>
      <w:r w:rsidR="002C5F31">
        <w:rPr>
          <w:color w:val="3B3F41"/>
        </w:rPr>
        <w:t>.</w:t>
      </w:r>
    </w:p>
    <w:p w14:paraId="4A46CB84" w14:textId="19DDFE68" w:rsidR="000F1FE0" w:rsidRDefault="00137769" w:rsidP="002F711E">
      <w:pPr>
        <w:autoSpaceDE w:val="0"/>
        <w:autoSpaceDN w:val="0"/>
        <w:adjustRightInd w:val="0"/>
        <w:spacing w:before="0" w:after="0" w:line="240" w:lineRule="auto"/>
        <w:jc w:val="center"/>
        <w:rPr>
          <w:color w:val="auto"/>
          <w:lang w:val="en-MY"/>
        </w:rPr>
      </w:pPr>
      <w:r>
        <w:rPr>
          <w:noProof/>
          <w:color w:val="auto"/>
          <w:lang w:val="en-MY"/>
        </w:rPr>
        <mc:AlternateContent>
          <mc:Choice Requires="wps">
            <w:drawing>
              <wp:anchor distT="0" distB="0" distL="114300" distR="114300" simplePos="0" relativeHeight="251958784" behindDoc="0" locked="0" layoutInCell="1" allowOverlap="1" wp14:anchorId="23AD8E5A" wp14:editId="109E4E58">
                <wp:simplePos x="0" y="0"/>
                <wp:positionH relativeFrom="column">
                  <wp:posOffset>2933700</wp:posOffset>
                </wp:positionH>
                <wp:positionV relativeFrom="paragraph">
                  <wp:posOffset>1683385</wp:posOffset>
                </wp:positionV>
                <wp:extent cx="190500" cy="180975"/>
                <wp:effectExtent l="0" t="0" r="0" b="9525"/>
                <wp:wrapNone/>
                <wp:docPr id="33" name="Rectangle 33"/>
                <wp:cNvGraphicFramePr/>
                <a:graphic xmlns:a="http://schemas.openxmlformats.org/drawingml/2006/main">
                  <a:graphicData uri="http://schemas.microsoft.com/office/word/2010/wordprocessingShape">
                    <wps:wsp>
                      <wps:cNvSpPr/>
                      <wps:spPr>
                        <a:xfrm>
                          <a:off x="0" y="0"/>
                          <a:ext cx="190500" cy="1809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6B5C5D0" w14:textId="2B5D0D12" w:rsidR="00137769" w:rsidRPr="00137769" w:rsidRDefault="00137769" w:rsidP="00137769">
                            <w:pPr>
                              <w:spacing w:before="0" w:after="0" w:line="240" w:lineRule="auto"/>
                              <w:jc w:val="center"/>
                              <w:rPr>
                                <w:lang w:val="en-US"/>
                              </w:rPr>
                            </w:pPr>
                            <w:r>
                              <w:rPr>
                                <w:lang w:val="en-US"/>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D8E5A" id="Rectangle 33" o:spid="_x0000_s1376" style="position:absolute;left:0;text-align:left;margin-left:231pt;margin-top:132.55pt;width:15pt;height:14.2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" fillcolor="white [3201]" stroked="f" strokeweight="1pt">
                <v:textbox inset="0,0,0,0">
                  <w:txbxContent>
                    <w:p w14:paraId="36B5C5D0" w14:textId="2B5D0D12" w:rsidR="00137769" w:rsidRPr="00137769" w:rsidRDefault="00137769" w:rsidP="00137769">
                      <w:pPr>
                        <w:spacing w:before="0" w:after="0" w:line="240" w:lineRule="auto"/>
                        <w:jc w:val="center"/>
                        <w:rPr>
                          <w:lang w:val="en-US"/>
                        </w:rPr>
                      </w:pPr>
                      <w:r>
                        <w:rPr>
                          <w:lang w:val="en-US"/>
                        </w:rPr>
                        <w:t>b</w:t>
                      </w:r>
                    </w:p>
                  </w:txbxContent>
                </v:textbox>
              </v:rect>
            </w:pict>
          </mc:Fallback>
        </mc:AlternateContent>
      </w:r>
      <w:r>
        <w:rPr>
          <w:noProof/>
          <w:color w:val="auto"/>
          <w:lang w:val="en-MY"/>
        </w:rPr>
        <mc:AlternateContent>
          <mc:Choice Requires="wps">
            <w:drawing>
              <wp:anchor distT="0" distB="0" distL="114300" distR="114300" simplePos="0" relativeHeight="251956736" behindDoc="0" locked="0" layoutInCell="1" allowOverlap="1" wp14:anchorId="51053810" wp14:editId="7D0D3237">
                <wp:simplePos x="0" y="0"/>
                <wp:positionH relativeFrom="column">
                  <wp:posOffset>114300</wp:posOffset>
                </wp:positionH>
                <wp:positionV relativeFrom="paragraph">
                  <wp:posOffset>1666875</wp:posOffset>
                </wp:positionV>
                <wp:extent cx="190500" cy="180975"/>
                <wp:effectExtent l="0" t="0" r="0" b="9525"/>
                <wp:wrapNone/>
                <wp:docPr id="32" name="Rectangle 32"/>
                <wp:cNvGraphicFramePr/>
                <a:graphic xmlns:a="http://schemas.openxmlformats.org/drawingml/2006/main">
                  <a:graphicData uri="http://schemas.microsoft.com/office/word/2010/wordprocessingShape">
                    <wps:wsp>
                      <wps:cNvSpPr/>
                      <wps:spPr>
                        <a:xfrm>
                          <a:off x="0" y="0"/>
                          <a:ext cx="190500" cy="1809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16C8DC2" w14:textId="59EC229F" w:rsidR="00137769" w:rsidRPr="00137769" w:rsidRDefault="00137769" w:rsidP="00137769">
                            <w:pPr>
                              <w:spacing w:before="0" w:after="0" w:line="240" w:lineRule="auto"/>
                              <w:jc w:val="center"/>
                              <w:rPr>
                                <w:lang w:val="en-US"/>
                              </w:rPr>
                            </w:pPr>
                            <w:r>
                              <w:rPr>
                                <w:lang w:val="en-US"/>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53810" id="Rectangle 32" o:spid="_x0000_s1377" style="position:absolute;left:0;text-align:left;margin-left:9pt;margin-top:131.25pt;width:15pt;height:14.2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" fillcolor="white [3201]" stroked="f" strokeweight="1pt">
                <v:textbox inset="0,0,0,0">
                  <w:txbxContent>
                    <w:p w14:paraId="116C8DC2" w14:textId="59EC229F" w:rsidR="00137769" w:rsidRPr="00137769" w:rsidRDefault="00137769" w:rsidP="00137769">
                      <w:pPr>
                        <w:spacing w:before="0" w:after="0" w:line="240" w:lineRule="auto"/>
                        <w:jc w:val="center"/>
                        <w:rPr>
                          <w:lang w:val="en-US"/>
                        </w:rPr>
                      </w:pPr>
                      <w:r>
                        <w:rPr>
                          <w:lang w:val="en-US"/>
                        </w:rPr>
                        <w:t>a</w:t>
                      </w:r>
                    </w:p>
                  </w:txbxContent>
                </v:textbox>
              </v:rect>
            </w:pict>
          </mc:Fallback>
        </mc:AlternateContent>
      </w:r>
      <w:r w:rsidR="000F1FE0">
        <w:rPr>
          <w:noProof/>
          <w:color w:val="auto"/>
          <w:lang w:val="en-MY"/>
        </w:rPr>
        <w:drawing>
          <wp:inline distT="0" distB="0" distL="0" distR="0" wp14:anchorId="3C16D0DC" wp14:editId="4785D755">
            <wp:extent cx="2700000" cy="1845869"/>
            <wp:effectExtent l="19050" t="19050" r="2476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6" cstate="screen">
                      <a:extLst>
                        <a:ext uri="{28A0092B-C50C-407E-A947-70E740481C1C}">
                          <a14:useLocalDpi xmlns:a14="http://schemas.microsoft.com/office/drawing/2010/main" val="0"/>
                        </a:ext>
                      </a:extLst>
                    </a:blip>
                    <a:srcRect/>
                    <a:stretch/>
                  </pic:blipFill>
                  <pic:spPr bwMode="auto">
                    <a:xfrm>
                      <a:off x="0" y="0"/>
                      <a:ext cx="2700000" cy="18458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color w:val="auto"/>
          <w:lang w:val="en-MY"/>
        </w:rPr>
        <w:t xml:space="preserve">  </w:t>
      </w:r>
      <w:r w:rsidR="00A81BCB">
        <w:rPr>
          <w:noProof/>
          <w:color w:val="auto"/>
          <w:lang w:val="en-MY"/>
        </w:rPr>
        <w:drawing>
          <wp:inline distT="0" distB="0" distL="0" distR="0" wp14:anchorId="3BE07C5B" wp14:editId="17ECF31A">
            <wp:extent cx="2699385" cy="1843882"/>
            <wp:effectExtent l="19050" t="19050" r="2476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7" cstate="screen">
                      <a:extLst>
                        <a:ext uri="{28A0092B-C50C-407E-A947-70E740481C1C}">
                          <a14:useLocalDpi xmlns:a14="http://schemas.microsoft.com/office/drawing/2010/main" val="0"/>
                        </a:ext>
                      </a:extLst>
                    </a:blip>
                    <a:srcRect/>
                    <a:stretch/>
                  </pic:blipFill>
                  <pic:spPr bwMode="auto">
                    <a:xfrm>
                      <a:off x="0" y="0"/>
                      <a:ext cx="2703238" cy="184651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3B643C" w14:textId="77777777" w:rsidR="00D532BA" w:rsidRDefault="00137769" w:rsidP="00D532BA">
      <w:pPr>
        <w:spacing w:line="240" w:lineRule="auto"/>
        <w:jc w:val="center"/>
      </w:pPr>
      <w:r>
        <w:rPr>
          <w:noProof/>
          <w:color w:val="auto"/>
          <w:lang w:val="en-MY"/>
        </w:rPr>
        <mc:AlternateContent>
          <mc:Choice Requires="wps">
            <w:drawing>
              <wp:anchor distT="0" distB="0" distL="114300" distR="114300" simplePos="0" relativeHeight="251960832" behindDoc="0" locked="0" layoutInCell="1" allowOverlap="1" wp14:anchorId="3229223A" wp14:editId="6AE2A4D3">
                <wp:simplePos x="0" y="0"/>
                <wp:positionH relativeFrom="column">
                  <wp:posOffset>1533525</wp:posOffset>
                </wp:positionH>
                <wp:positionV relativeFrom="paragraph">
                  <wp:posOffset>1664970</wp:posOffset>
                </wp:positionV>
                <wp:extent cx="190500" cy="180975"/>
                <wp:effectExtent l="0" t="0" r="0" b="9525"/>
                <wp:wrapNone/>
                <wp:docPr id="34" name="Rectangle 34"/>
                <wp:cNvGraphicFramePr/>
                <a:graphic xmlns:a="http://schemas.openxmlformats.org/drawingml/2006/main">
                  <a:graphicData uri="http://schemas.microsoft.com/office/word/2010/wordprocessingShape">
                    <wps:wsp>
                      <wps:cNvSpPr/>
                      <wps:spPr>
                        <a:xfrm>
                          <a:off x="0" y="0"/>
                          <a:ext cx="190500" cy="1809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A6A38D2" w14:textId="6C7E9150" w:rsidR="00137769" w:rsidRPr="00137769" w:rsidRDefault="00137769" w:rsidP="00137769">
                            <w:pPr>
                              <w:spacing w:before="0" w:after="0" w:line="240" w:lineRule="auto"/>
                              <w:jc w:val="center"/>
                              <w:rPr>
                                <w:lang w:val="en-US"/>
                              </w:rPr>
                            </w:pPr>
                            <w:r>
                              <w:rPr>
                                <w:lang w:val="en-US"/>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9223A" id="Rectangle 34" o:spid="_x0000_s1378" style="position:absolute;left:0;text-align:left;margin-left:120.75pt;margin-top:131.1pt;width:15pt;height:14.2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" fillcolor="white [3201]" stroked="f" strokeweight="1pt">
                <v:textbox inset="0,0,0,0">
                  <w:txbxContent>
                    <w:p w14:paraId="4A6A38D2" w14:textId="6C7E9150" w:rsidR="00137769" w:rsidRPr="00137769" w:rsidRDefault="00137769" w:rsidP="00137769">
                      <w:pPr>
                        <w:spacing w:before="0" w:after="0" w:line="240" w:lineRule="auto"/>
                        <w:jc w:val="center"/>
                        <w:rPr>
                          <w:lang w:val="en-US"/>
                        </w:rPr>
                      </w:pPr>
                      <w:r>
                        <w:rPr>
                          <w:lang w:val="en-US"/>
                        </w:rPr>
                        <w:t>c</w:t>
                      </w:r>
                    </w:p>
                  </w:txbxContent>
                </v:textbox>
              </v:rect>
            </w:pict>
          </mc:Fallback>
        </mc:AlternateContent>
      </w:r>
      <w:r w:rsidR="002C5F31">
        <w:rPr>
          <w:noProof/>
          <w:color w:val="auto"/>
          <w:lang w:val="en-MY"/>
        </w:rPr>
        <w:drawing>
          <wp:inline distT="0" distB="0" distL="0" distR="0" wp14:anchorId="32464762" wp14:editId="13DA2718">
            <wp:extent cx="2700000" cy="1841407"/>
            <wp:effectExtent l="19050" t="19050" r="24765" b="260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8" cstate="screen">
                      <a:extLst>
                        <a:ext uri="{28A0092B-C50C-407E-A947-70E740481C1C}">
                          <a14:useLocalDpi xmlns:a14="http://schemas.microsoft.com/office/drawing/2010/main" val="0"/>
                        </a:ext>
                      </a:extLst>
                    </a:blip>
                    <a:srcRect/>
                    <a:stretch/>
                  </pic:blipFill>
                  <pic:spPr bwMode="auto">
                    <a:xfrm>
                      <a:off x="0" y="0"/>
                      <a:ext cx="2700000" cy="18414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bookmarkStart w:id="404" w:name="_Toc70165587"/>
      <w:bookmarkStart w:id="405" w:name="_Toc98967229"/>
    </w:p>
    <w:p w14:paraId="0F6BBB49" w14:textId="6C96E008" w:rsidR="00BF47CE" w:rsidRDefault="009974EE" w:rsidP="00D532BA">
      <w:pPr>
        <w:spacing w:line="240" w:lineRule="auto"/>
      </w:pPr>
      <w:r w:rsidRPr="009D4627">
        <w:t>Figure 4.</w:t>
      </w:r>
      <w:r w:rsidR="007E7CC8">
        <w:fldChar w:fldCharType="begin"/>
      </w:r>
      <w:r w:rsidR="007E7CC8">
        <w:instrText xml:space="preserve"> SEQ Figure_4. \* ARABIC </w:instrText>
      </w:r>
      <w:r w:rsidR="007E7CC8">
        <w:fldChar w:fldCharType="separate"/>
      </w:r>
      <w:r w:rsidR="00E268F6">
        <w:rPr>
          <w:noProof/>
        </w:rPr>
        <w:t>3</w:t>
      </w:r>
      <w:r w:rsidR="007E7CC8">
        <w:rPr>
          <w:noProof/>
        </w:rPr>
        <w:fldChar w:fldCharType="end"/>
      </w:r>
      <w:r w:rsidRPr="009D4627">
        <w:t xml:space="preserve">: </w:t>
      </w:r>
      <w:r w:rsidR="00BF47CE" w:rsidRPr="009D4627">
        <w:t>The effect of target size (0.5</w:t>
      </w:r>
      <w:r w:rsidR="00BA430B" w:rsidRPr="009D4627">
        <w:t>°</w:t>
      </w:r>
      <w:r w:rsidR="00BF47CE" w:rsidRPr="009D4627">
        <w:t xml:space="preserve">, </w:t>
      </w:r>
      <w:r w:rsidR="00BA430B" w:rsidRPr="009D4627">
        <w:t>and</w:t>
      </w:r>
      <w:r w:rsidR="00BF47CE" w:rsidRPr="009D4627">
        <w:t xml:space="preserve"> 1.0°) and frequency (0.25, 0.50, 0.75 </w:t>
      </w:r>
      <w:r w:rsidR="00BA430B" w:rsidRPr="009D4627">
        <w:t>and</w:t>
      </w:r>
      <w:r w:rsidR="00BF47CE" w:rsidRPr="009D4627">
        <w:t xml:space="preserve"> 1.00 Hz) on the vertical </w:t>
      </w:r>
      <w:r w:rsidR="00A706AE" w:rsidRPr="009D4627">
        <w:t>SP</w:t>
      </w:r>
      <w:r w:rsidR="00BF47CE" w:rsidRPr="009D4627">
        <w:t xml:space="preserve"> </w:t>
      </w:r>
      <w:r w:rsidR="000641DF" w:rsidRPr="009D4627">
        <w:t>parameter</w:t>
      </w:r>
      <w:r w:rsidR="00BF47CE" w:rsidRPr="009D4627">
        <w:t>s</w:t>
      </w:r>
      <w:r w:rsidR="00065BB5" w:rsidRPr="009D4627">
        <w:t>.</w:t>
      </w:r>
      <w:bookmarkEnd w:id="404"/>
      <w:r w:rsidRPr="009D4627">
        <w:t xml:space="preserve"> </w:t>
      </w:r>
      <w:r w:rsidR="00BF47CE" w:rsidRPr="009D4627">
        <w:t xml:space="preserve">Group mean data </w:t>
      </w:r>
      <w:r w:rsidR="00C37BD1" w:rsidRPr="009D4627">
        <w:t>are</w:t>
      </w:r>
      <w:r w:rsidR="00BF47CE" w:rsidRPr="009D4627">
        <w:t xml:space="preserve"> shown for a) gain, </w:t>
      </w:r>
      <w:r w:rsidR="002C5F31">
        <w:t xml:space="preserve">while group median </w:t>
      </w:r>
      <w:r w:rsidR="00893983">
        <w:t>is</w:t>
      </w:r>
      <w:r w:rsidR="002C5F31">
        <w:t xml:space="preserve"> shown for </w:t>
      </w:r>
      <w:r w:rsidR="00BF47CE" w:rsidRPr="009D4627">
        <w:t xml:space="preserve">b) RMSE, </w:t>
      </w:r>
      <w:r w:rsidR="00BA430B" w:rsidRPr="009D4627">
        <w:t>and</w:t>
      </w:r>
      <w:r w:rsidR="00BF47CE" w:rsidRPr="009D4627">
        <w:t xml:space="preserve"> (c) </w:t>
      </w:r>
      <w:r w:rsidR="00BA430B" w:rsidRPr="009D4627">
        <w:t xml:space="preserve">SP </w:t>
      </w:r>
      <w:r w:rsidR="00BF47CE" w:rsidRPr="009D4627">
        <w:t>duration.  Error bars represent ±1 SE.</w:t>
      </w:r>
      <w:bookmarkEnd w:id="405"/>
    </w:p>
    <w:p w14:paraId="58F044EB" w14:textId="77777777" w:rsidR="002C5F31" w:rsidRDefault="002C5F31" w:rsidP="00C4130D">
      <w:pPr>
        <w:pStyle w:val="Caption"/>
        <w:sectPr w:rsidR="002C5F31" w:rsidSect="00477959">
          <w:headerReference w:type="default" r:id="rId169"/>
          <w:footerReference w:type="default" r:id="rId170"/>
          <w:pgSz w:w="11906" w:h="16838" w:code="9"/>
          <w:pgMar w:top="1440" w:right="1440" w:bottom="1440" w:left="1440" w:header="708" w:footer="708" w:gutter="0"/>
          <w:cols w:space="708"/>
          <w:docGrid w:linePitch="360"/>
        </w:sectPr>
      </w:pPr>
    </w:p>
    <w:p w14:paraId="3F8F6241" w14:textId="5D63E069" w:rsidR="002C5F31" w:rsidRPr="002C5F31" w:rsidRDefault="002C5F31" w:rsidP="00C4130D">
      <w:pPr>
        <w:pStyle w:val="Caption"/>
        <w:rPr>
          <w:color w:val="auto"/>
        </w:rPr>
      </w:pPr>
      <w:bookmarkStart w:id="406" w:name="_Toc99378052"/>
      <w:r>
        <w:lastRenderedPageBreak/>
        <w:t>Table 4.</w:t>
      </w:r>
      <w:r w:rsidR="00260356">
        <w:fldChar w:fldCharType="begin"/>
      </w:r>
      <w:r w:rsidR="00260356">
        <w:instrText xml:space="preserve"> SEQ Table_4. \* ARABIC </w:instrText>
      </w:r>
      <w:r w:rsidR="00260356">
        <w:fldChar w:fldCharType="separate"/>
      </w:r>
      <w:r w:rsidR="00E268F6">
        <w:rPr>
          <w:noProof/>
        </w:rPr>
        <w:t>2</w:t>
      </w:r>
      <w:r w:rsidR="00260356">
        <w:fldChar w:fldCharType="end"/>
      </w:r>
      <w:r>
        <w:t xml:space="preserve">: </w:t>
      </w:r>
      <w:r w:rsidR="00EE2A22">
        <w:t>Paired t-test to investigate the effect of SP parameters when recorded using the two target sizes</w:t>
      </w:r>
      <w:r w:rsidR="002F15E8">
        <w:t xml:space="preserve"> (0.5° and 1.0°)</w:t>
      </w:r>
      <w:r w:rsidR="00EE2A22">
        <w:t xml:space="preserve"> at four </w:t>
      </w:r>
      <w:r w:rsidR="002F15E8">
        <w:t xml:space="preserve">vertical SP </w:t>
      </w:r>
      <w:r w:rsidR="00EE2A22">
        <w:t>frequency</w:t>
      </w:r>
      <w:r w:rsidR="002F15E8">
        <w:t xml:space="preserve"> (0.25, 0.5, 0.75 and 1.0 Hz)</w:t>
      </w:r>
      <w:r w:rsidR="00EE2A22">
        <w:t>.</w:t>
      </w:r>
      <w:bookmarkEnd w:id="406"/>
      <w:r w:rsidR="00EE2A22">
        <w:t xml:space="preserve"> </w:t>
      </w:r>
    </w:p>
    <w:tbl>
      <w:tblPr>
        <w:tblW w:w="8260" w:type="dxa"/>
        <w:tblLook w:val="04A0" w:firstRow="1" w:lastRow="0" w:firstColumn="1" w:lastColumn="0" w:noHBand="0" w:noVBand="1"/>
      </w:tblPr>
      <w:tblGrid>
        <w:gridCol w:w="820"/>
        <w:gridCol w:w="960"/>
        <w:gridCol w:w="1680"/>
        <w:gridCol w:w="980"/>
        <w:gridCol w:w="940"/>
        <w:gridCol w:w="960"/>
        <w:gridCol w:w="960"/>
        <w:gridCol w:w="960"/>
      </w:tblGrid>
      <w:tr w:rsidR="002C5F31" w:rsidRPr="002C5F31" w14:paraId="1E13108B" w14:textId="77777777" w:rsidTr="005B1125">
        <w:trPr>
          <w:trHeight w:val="300"/>
        </w:trPr>
        <w:tc>
          <w:tcPr>
            <w:tcW w:w="820" w:type="dxa"/>
            <w:tcBorders>
              <w:top w:val="single" w:sz="4" w:space="0" w:color="auto"/>
              <w:left w:val="nil"/>
              <w:bottom w:val="nil"/>
              <w:right w:val="nil"/>
            </w:tcBorders>
            <w:shd w:val="clear" w:color="auto" w:fill="auto"/>
            <w:noWrap/>
            <w:vAlign w:val="bottom"/>
            <w:hideMark/>
          </w:tcPr>
          <w:p w14:paraId="4B378DD0"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single" w:sz="4" w:space="0" w:color="auto"/>
              <w:left w:val="single" w:sz="4" w:space="0" w:color="auto"/>
              <w:bottom w:val="nil"/>
              <w:right w:val="nil"/>
            </w:tcBorders>
            <w:shd w:val="clear" w:color="auto" w:fill="auto"/>
            <w:noWrap/>
            <w:vAlign w:val="bottom"/>
            <w:hideMark/>
          </w:tcPr>
          <w:p w14:paraId="2D484021"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1680" w:type="dxa"/>
            <w:tcBorders>
              <w:top w:val="single" w:sz="4" w:space="0" w:color="auto"/>
              <w:left w:val="single" w:sz="4" w:space="0" w:color="auto"/>
              <w:bottom w:val="nil"/>
              <w:right w:val="single" w:sz="4" w:space="0" w:color="auto"/>
            </w:tcBorders>
            <w:shd w:val="clear" w:color="auto" w:fill="auto"/>
            <w:noWrap/>
            <w:vAlign w:val="bottom"/>
            <w:hideMark/>
          </w:tcPr>
          <w:p w14:paraId="47D0EF9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Mean SP gain</w:t>
            </w:r>
          </w:p>
        </w:tc>
        <w:tc>
          <w:tcPr>
            <w:tcW w:w="1920" w:type="dxa"/>
            <w:gridSpan w:val="2"/>
            <w:tcBorders>
              <w:top w:val="single" w:sz="4" w:space="0" w:color="auto"/>
              <w:left w:val="nil"/>
              <w:bottom w:val="single" w:sz="4" w:space="0" w:color="000000"/>
              <w:right w:val="single" w:sz="4" w:space="0" w:color="auto"/>
            </w:tcBorders>
            <w:shd w:val="clear" w:color="auto" w:fill="auto"/>
            <w:noWrap/>
            <w:vAlign w:val="bottom"/>
            <w:hideMark/>
          </w:tcPr>
          <w:p w14:paraId="3583E672"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95% CI</w:t>
            </w:r>
          </w:p>
        </w:tc>
        <w:tc>
          <w:tcPr>
            <w:tcW w:w="960" w:type="dxa"/>
            <w:tcBorders>
              <w:top w:val="single" w:sz="4" w:space="0" w:color="auto"/>
              <w:left w:val="nil"/>
              <w:bottom w:val="nil"/>
              <w:right w:val="single" w:sz="4" w:space="0" w:color="auto"/>
            </w:tcBorders>
            <w:shd w:val="clear" w:color="auto" w:fill="auto"/>
            <w:noWrap/>
            <w:vAlign w:val="bottom"/>
            <w:hideMark/>
          </w:tcPr>
          <w:p w14:paraId="202C698D" w14:textId="77777777" w:rsidR="002C5F31" w:rsidRPr="002F15E8" w:rsidRDefault="002C5F31" w:rsidP="005B1125">
            <w:pPr>
              <w:spacing w:before="0" w:after="0" w:line="240" w:lineRule="auto"/>
              <w:jc w:val="center"/>
              <w:rPr>
                <w:rFonts w:eastAsia="Times New Roman"/>
                <w:i/>
                <w:iCs/>
                <w:color w:val="000000"/>
                <w:sz w:val="22"/>
                <w:szCs w:val="22"/>
                <w:lang w:val="en-MY" w:eastAsia="en-MY"/>
              </w:rPr>
            </w:pPr>
            <w:r w:rsidRPr="002F15E8">
              <w:rPr>
                <w:rFonts w:eastAsia="Times New Roman"/>
                <w:i/>
                <w:iCs/>
                <w:color w:val="000000"/>
                <w:sz w:val="22"/>
                <w:szCs w:val="22"/>
                <w:lang w:val="en-MY" w:eastAsia="en-MY"/>
              </w:rPr>
              <w:t>t</w:t>
            </w:r>
          </w:p>
        </w:tc>
        <w:tc>
          <w:tcPr>
            <w:tcW w:w="960" w:type="dxa"/>
            <w:tcBorders>
              <w:top w:val="single" w:sz="4" w:space="0" w:color="auto"/>
              <w:left w:val="nil"/>
              <w:bottom w:val="nil"/>
              <w:right w:val="single" w:sz="4" w:space="0" w:color="auto"/>
            </w:tcBorders>
            <w:shd w:val="clear" w:color="auto" w:fill="auto"/>
            <w:noWrap/>
            <w:vAlign w:val="bottom"/>
            <w:hideMark/>
          </w:tcPr>
          <w:p w14:paraId="62D9FA4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df</w:t>
            </w:r>
          </w:p>
        </w:tc>
        <w:tc>
          <w:tcPr>
            <w:tcW w:w="960" w:type="dxa"/>
            <w:tcBorders>
              <w:top w:val="single" w:sz="4" w:space="0" w:color="auto"/>
              <w:left w:val="nil"/>
              <w:bottom w:val="nil"/>
              <w:right w:val="nil"/>
            </w:tcBorders>
            <w:shd w:val="clear" w:color="auto" w:fill="auto"/>
            <w:noWrap/>
            <w:vAlign w:val="bottom"/>
            <w:hideMark/>
          </w:tcPr>
          <w:p w14:paraId="5F6418A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F15E8">
              <w:rPr>
                <w:rFonts w:eastAsia="Times New Roman"/>
                <w:i/>
                <w:iCs/>
                <w:color w:val="000000"/>
                <w:sz w:val="22"/>
                <w:szCs w:val="22"/>
                <w:lang w:val="en-MY" w:eastAsia="en-MY"/>
              </w:rPr>
              <w:t>p</w:t>
            </w:r>
            <w:r w:rsidRPr="002C5F31">
              <w:rPr>
                <w:rFonts w:eastAsia="Times New Roman"/>
                <w:color w:val="000000"/>
                <w:sz w:val="22"/>
                <w:szCs w:val="22"/>
                <w:lang w:val="en-MY" w:eastAsia="en-MY"/>
              </w:rPr>
              <w:t>-value</w:t>
            </w:r>
          </w:p>
        </w:tc>
      </w:tr>
      <w:tr w:rsidR="002C5F31" w:rsidRPr="002C5F31" w14:paraId="2E4B8DC3"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5C6E75B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A6E9CA"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1680" w:type="dxa"/>
            <w:tcBorders>
              <w:top w:val="nil"/>
              <w:left w:val="nil"/>
              <w:bottom w:val="single" w:sz="4" w:space="0" w:color="auto"/>
              <w:right w:val="nil"/>
            </w:tcBorders>
            <w:shd w:val="clear" w:color="auto" w:fill="auto"/>
            <w:noWrap/>
            <w:vAlign w:val="bottom"/>
            <w:hideMark/>
          </w:tcPr>
          <w:p w14:paraId="6263AAF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80" w:type="dxa"/>
            <w:tcBorders>
              <w:top w:val="nil"/>
              <w:left w:val="single" w:sz="4" w:space="0" w:color="auto"/>
              <w:bottom w:val="single" w:sz="4" w:space="0" w:color="auto"/>
              <w:right w:val="nil"/>
            </w:tcBorders>
            <w:shd w:val="clear" w:color="auto" w:fill="auto"/>
            <w:noWrap/>
            <w:vAlign w:val="bottom"/>
            <w:hideMark/>
          </w:tcPr>
          <w:p w14:paraId="24A2DBF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Lower</w:t>
            </w:r>
          </w:p>
        </w:tc>
        <w:tc>
          <w:tcPr>
            <w:tcW w:w="940" w:type="dxa"/>
            <w:tcBorders>
              <w:top w:val="nil"/>
              <w:left w:val="nil"/>
              <w:bottom w:val="single" w:sz="4" w:space="0" w:color="auto"/>
              <w:right w:val="single" w:sz="4" w:space="0" w:color="auto"/>
            </w:tcBorders>
            <w:shd w:val="clear" w:color="auto" w:fill="auto"/>
            <w:noWrap/>
            <w:vAlign w:val="bottom"/>
            <w:hideMark/>
          </w:tcPr>
          <w:p w14:paraId="16DD4D7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Upper</w:t>
            </w:r>
          </w:p>
        </w:tc>
        <w:tc>
          <w:tcPr>
            <w:tcW w:w="960" w:type="dxa"/>
            <w:tcBorders>
              <w:top w:val="nil"/>
              <w:left w:val="nil"/>
              <w:bottom w:val="single" w:sz="4" w:space="0" w:color="auto"/>
              <w:right w:val="single" w:sz="4" w:space="0" w:color="auto"/>
            </w:tcBorders>
            <w:shd w:val="clear" w:color="auto" w:fill="auto"/>
            <w:noWrap/>
            <w:vAlign w:val="bottom"/>
            <w:hideMark/>
          </w:tcPr>
          <w:p w14:paraId="42F2046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599EECE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40F2664E"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63B95491" w14:textId="77777777" w:rsidTr="005B1125">
        <w:trPr>
          <w:trHeight w:val="300"/>
        </w:trPr>
        <w:tc>
          <w:tcPr>
            <w:tcW w:w="820" w:type="dxa"/>
            <w:tcBorders>
              <w:top w:val="nil"/>
              <w:left w:val="nil"/>
              <w:bottom w:val="nil"/>
              <w:right w:val="nil"/>
            </w:tcBorders>
            <w:shd w:val="clear" w:color="auto" w:fill="auto"/>
            <w:noWrap/>
            <w:vAlign w:val="bottom"/>
            <w:hideMark/>
          </w:tcPr>
          <w:p w14:paraId="238A39FF"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1</w:t>
            </w:r>
          </w:p>
        </w:tc>
        <w:tc>
          <w:tcPr>
            <w:tcW w:w="960" w:type="dxa"/>
            <w:tcBorders>
              <w:top w:val="nil"/>
              <w:left w:val="single" w:sz="4" w:space="0" w:color="auto"/>
              <w:bottom w:val="nil"/>
              <w:right w:val="single" w:sz="4" w:space="0" w:color="auto"/>
            </w:tcBorders>
            <w:shd w:val="clear" w:color="auto" w:fill="auto"/>
            <w:noWrap/>
            <w:vAlign w:val="bottom"/>
            <w:hideMark/>
          </w:tcPr>
          <w:p w14:paraId="08DFC26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F1.S1 </w:t>
            </w:r>
          </w:p>
        </w:tc>
        <w:tc>
          <w:tcPr>
            <w:tcW w:w="1680" w:type="dxa"/>
            <w:tcBorders>
              <w:top w:val="nil"/>
              <w:left w:val="nil"/>
              <w:bottom w:val="nil"/>
              <w:right w:val="single" w:sz="4" w:space="0" w:color="auto"/>
            </w:tcBorders>
            <w:shd w:val="clear" w:color="auto" w:fill="auto"/>
            <w:noWrap/>
            <w:vAlign w:val="bottom"/>
            <w:hideMark/>
          </w:tcPr>
          <w:p w14:paraId="0B31D04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0.93</w:t>
            </w:r>
          </w:p>
        </w:tc>
        <w:tc>
          <w:tcPr>
            <w:tcW w:w="980" w:type="dxa"/>
            <w:tcBorders>
              <w:top w:val="nil"/>
              <w:left w:val="nil"/>
              <w:bottom w:val="nil"/>
              <w:right w:val="nil"/>
            </w:tcBorders>
            <w:shd w:val="clear" w:color="auto" w:fill="auto"/>
            <w:noWrap/>
            <w:vAlign w:val="bottom"/>
            <w:hideMark/>
          </w:tcPr>
          <w:p w14:paraId="1110B62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-0.07</w:t>
            </w:r>
          </w:p>
        </w:tc>
        <w:tc>
          <w:tcPr>
            <w:tcW w:w="940" w:type="dxa"/>
            <w:tcBorders>
              <w:top w:val="nil"/>
              <w:left w:val="nil"/>
              <w:bottom w:val="nil"/>
              <w:right w:val="single" w:sz="4" w:space="0" w:color="auto"/>
            </w:tcBorders>
            <w:shd w:val="clear" w:color="auto" w:fill="auto"/>
            <w:noWrap/>
            <w:vAlign w:val="bottom"/>
            <w:hideMark/>
          </w:tcPr>
          <w:p w14:paraId="49288EAB"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0.02</w:t>
            </w:r>
          </w:p>
        </w:tc>
        <w:tc>
          <w:tcPr>
            <w:tcW w:w="960" w:type="dxa"/>
            <w:tcBorders>
              <w:top w:val="nil"/>
              <w:left w:val="nil"/>
              <w:bottom w:val="nil"/>
              <w:right w:val="single" w:sz="4" w:space="0" w:color="auto"/>
            </w:tcBorders>
            <w:shd w:val="clear" w:color="auto" w:fill="auto"/>
            <w:noWrap/>
            <w:vAlign w:val="bottom"/>
            <w:hideMark/>
          </w:tcPr>
          <w:p w14:paraId="33F61F2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-1.35</w:t>
            </w:r>
          </w:p>
        </w:tc>
        <w:tc>
          <w:tcPr>
            <w:tcW w:w="960" w:type="dxa"/>
            <w:tcBorders>
              <w:top w:val="nil"/>
              <w:left w:val="nil"/>
              <w:bottom w:val="nil"/>
              <w:right w:val="single" w:sz="4" w:space="0" w:color="auto"/>
            </w:tcBorders>
            <w:shd w:val="clear" w:color="auto" w:fill="auto"/>
            <w:noWrap/>
            <w:vAlign w:val="bottom"/>
            <w:hideMark/>
          </w:tcPr>
          <w:p w14:paraId="0416A7C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742FAAD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0.20</w:t>
            </w:r>
          </w:p>
        </w:tc>
      </w:tr>
      <w:tr w:rsidR="002C5F31" w:rsidRPr="002C5F31" w14:paraId="24A7DFA5"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57EE1883"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2F51A0"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1.S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065B408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0.96</w:t>
            </w:r>
          </w:p>
        </w:tc>
        <w:tc>
          <w:tcPr>
            <w:tcW w:w="980" w:type="dxa"/>
            <w:tcBorders>
              <w:top w:val="nil"/>
              <w:left w:val="nil"/>
              <w:bottom w:val="single" w:sz="4" w:space="0" w:color="auto"/>
              <w:right w:val="nil"/>
            </w:tcBorders>
            <w:shd w:val="clear" w:color="auto" w:fill="auto"/>
            <w:noWrap/>
            <w:vAlign w:val="bottom"/>
            <w:hideMark/>
          </w:tcPr>
          <w:p w14:paraId="75C6D62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68136E7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4C81974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22958D02"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5E4F5620"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59472551" w14:textId="77777777" w:rsidTr="005B1125">
        <w:trPr>
          <w:trHeight w:val="300"/>
        </w:trPr>
        <w:tc>
          <w:tcPr>
            <w:tcW w:w="820" w:type="dxa"/>
            <w:tcBorders>
              <w:top w:val="nil"/>
              <w:left w:val="nil"/>
              <w:bottom w:val="nil"/>
              <w:right w:val="nil"/>
            </w:tcBorders>
            <w:shd w:val="clear" w:color="auto" w:fill="auto"/>
            <w:noWrap/>
            <w:vAlign w:val="bottom"/>
            <w:hideMark/>
          </w:tcPr>
          <w:p w14:paraId="573B847F"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2</w:t>
            </w:r>
          </w:p>
        </w:tc>
        <w:tc>
          <w:tcPr>
            <w:tcW w:w="960" w:type="dxa"/>
            <w:tcBorders>
              <w:top w:val="nil"/>
              <w:left w:val="single" w:sz="4" w:space="0" w:color="auto"/>
              <w:bottom w:val="nil"/>
              <w:right w:val="single" w:sz="4" w:space="0" w:color="auto"/>
            </w:tcBorders>
            <w:shd w:val="clear" w:color="auto" w:fill="auto"/>
            <w:noWrap/>
            <w:vAlign w:val="bottom"/>
            <w:hideMark/>
          </w:tcPr>
          <w:p w14:paraId="2156E7E3"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F2.S1 </w:t>
            </w:r>
          </w:p>
        </w:tc>
        <w:tc>
          <w:tcPr>
            <w:tcW w:w="1680" w:type="dxa"/>
            <w:tcBorders>
              <w:top w:val="nil"/>
              <w:left w:val="nil"/>
              <w:bottom w:val="nil"/>
              <w:right w:val="single" w:sz="4" w:space="0" w:color="auto"/>
            </w:tcBorders>
            <w:shd w:val="clear" w:color="auto" w:fill="auto"/>
            <w:noWrap/>
            <w:vAlign w:val="bottom"/>
            <w:hideMark/>
          </w:tcPr>
          <w:p w14:paraId="1E0AAA9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0.86</w:t>
            </w:r>
          </w:p>
        </w:tc>
        <w:tc>
          <w:tcPr>
            <w:tcW w:w="980" w:type="dxa"/>
            <w:tcBorders>
              <w:top w:val="nil"/>
              <w:left w:val="nil"/>
              <w:bottom w:val="nil"/>
              <w:right w:val="nil"/>
            </w:tcBorders>
            <w:shd w:val="clear" w:color="auto" w:fill="auto"/>
            <w:noWrap/>
            <w:vAlign w:val="bottom"/>
            <w:hideMark/>
          </w:tcPr>
          <w:p w14:paraId="1A3EFC0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-0.07</w:t>
            </w:r>
          </w:p>
        </w:tc>
        <w:tc>
          <w:tcPr>
            <w:tcW w:w="940" w:type="dxa"/>
            <w:tcBorders>
              <w:top w:val="nil"/>
              <w:left w:val="nil"/>
              <w:bottom w:val="nil"/>
              <w:right w:val="single" w:sz="4" w:space="0" w:color="auto"/>
            </w:tcBorders>
            <w:shd w:val="clear" w:color="auto" w:fill="auto"/>
            <w:noWrap/>
            <w:vAlign w:val="bottom"/>
            <w:hideMark/>
          </w:tcPr>
          <w:p w14:paraId="7D5799F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0.10</w:t>
            </w:r>
          </w:p>
        </w:tc>
        <w:tc>
          <w:tcPr>
            <w:tcW w:w="960" w:type="dxa"/>
            <w:tcBorders>
              <w:top w:val="nil"/>
              <w:left w:val="nil"/>
              <w:bottom w:val="nil"/>
              <w:right w:val="single" w:sz="4" w:space="0" w:color="auto"/>
            </w:tcBorders>
            <w:shd w:val="clear" w:color="auto" w:fill="auto"/>
            <w:noWrap/>
            <w:vAlign w:val="bottom"/>
            <w:hideMark/>
          </w:tcPr>
          <w:p w14:paraId="24B9A6F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0.37</w:t>
            </w:r>
          </w:p>
        </w:tc>
        <w:tc>
          <w:tcPr>
            <w:tcW w:w="960" w:type="dxa"/>
            <w:tcBorders>
              <w:top w:val="nil"/>
              <w:left w:val="nil"/>
              <w:bottom w:val="nil"/>
              <w:right w:val="single" w:sz="4" w:space="0" w:color="auto"/>
            </w:tcBorders>
            <w:shd w:val="clear" w:color="auto" w:fill="auto"/>
            <w:noWrap/>
            <w:vAlign w:val="bottom"/>
            <w:hideMark/>
          </w:tcPr>
          <w:p w14:paraId="01481C3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4670325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0.72</w:t>
            </w:r>
          </w:p>
        </w:tc>
      </w:tr>
      <w:tr w:rsidR="002C5F31" w:rsidRPr="002C5F31" w14:paraId="374B7396"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196F7C34"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4FCA05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2.S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4A9F43E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0.84</w:t>
            </w:r>
          </w:p>
        </w:tc>
        <w:tc>
          <w:tcPr>
            <w:tcW w:w="980" w:type="dxa"/>
            <w:tcBorders>
              <w:top w:val="nil"/>
              <w:left w:val="nil"/>
              <w:bottom w:val="single" w:sz="4" w:space="0" w:color="auto"/>
              <w:right w:val="nil"/>
            </w:tcBorders>
            <w:shd w:val="clear" w:color="auto" w:fill="auto"/>
            <w:noWrap/>
            <w:vAlign w:val="bottom"/>
            <w:hideMark/>
          </w:tcPr>
          <w:p w14:paraId="5AFDC8A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55072AD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F03968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17B3A99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627ED8A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0CE68166" w14:textId="77777777" w:rsidTr="005B1125">
        <w:trPr>
          <w:trHeight w:val="300"/>
        </w:trPr>
        <w:tc>
          <w:tcPr>
            <w:tcW w:w="820" w:type="dxa"/>
            <w:tcBorders>
              <w:top w:val="nil"/>
              <w:left w:val="nil"/>
              <w:bottom w:val="nil"/>
              <w:right w:val="nil"/>
            </w:tcBorders>
            <w:shd w:val="clear" w:color="auto" w:fill="auto"/>
            <w:noWrap/>
            <w:vAlign w:val="bottom"/>
            <w:hideMark/>
          </w:tcPr>
          <w:p w14:paraId="649E1C4E"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3</w:t>
            </w:r>
          </w:p>
        </w:tc>
        <w:tc>
          <w:tcPr>
            <w:tcW w:w="960" w:type="dxa"/>
            <w:tcBorders>
              <w:top w:val="nil"/>
              <w:left w:val="single" w:sz="4" w:space="0" w:color="auto"/>
              <w:bottom w:val="nil"/>
              <w:right w:val="single" w:sz="4" w:space="0" w:color="auto"/>
            </w:tcBorders>
            <w:shd w:val="clear" w:color="auto" w:fill="auto"/>
            <w:noWrap/>
            <w:vAlign w:val="bottom"/>
            <w:hideMark/>
          </w:tcPr>
          <w:p w14:paraId="20B0BBDF"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F3.S1 </w:t>
            </w:r>
          </w:p>
        </w:tc>
        <w:tc>
          <w:tcPr>
            <w:tcW w:w="1680" w:type="dxa"/>
            <w:tcBorders>
              <w:top w:val="nil"/>
              <w:left w:val="nil"/>
              <w:bottom w:val="nil"/>
              <w:right w:val="single" w:sz="4" w:space="0" w:color="auto"/>
            </w:tcBorders>
            <w:shd w:val="clear" w:color="auto" w:fill="auto"/>
            <w:noWrap/>
            <w:vAlign w:val="bottom"/>
            <w:hideMark/>
          </w:tcPr>
          <w:p w14:paraId="3724243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0.74</w:t>
            </w:r>
          </w:p>
        </w:tc>
        <w:tc>
          <w:tcPr>
            <w:tcW w:w="980" w:type="dxa"/>
            <w:tcBorders>
              <w:top w:val="nil"/>
              <w:left w:val="nil"/>
              <w:bottom w:val="nil"/>
              <w:right w:val="nil"/>
            </w:tcBorders>
            <w:shd w:val="clear" w:color="auto" w:fill="auto"/>
            <w:noWrap/>
            <w:vAlign w:val="bottom"/>
            <w:hideMark/>
          </w:tcPr>
          <w:p w14:paraId="008D3EE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-0.03</w:t>
            </w:r>
          </w:p>
        </w:tc>
        <w:tc>
          <w:tcPr>
            <w:tcW w:w="940" w:type="dxa"/>
            <w:tcBorders>
              <w:top w:val="nil"/>
              <w:left w:val="nil"/>
              <w:bottom w:val="nil"/>
              <w:right w:val="single" w:sz="4" w:space="0" w:color="auto"/>
            </w:tcBorders>
            <w:shd w:val="clear" w:color="auto" w:fill="auto"/>
            <w:noWrap/>
            <w:vAlign w:val="bottom"/>
            <w:hideMark/>
          </w:tcPr>
          <w:p w14:paraId="45B2C1E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0.15</w:t>
            </w:r>
          </w:p>
        </w:tc>
        <w:tc>
          <w:tcPr>
            <w:tcW w:w="960" w:type="dxa"/>
            <w:tcBorders>
              <w:top w:val="nil"/>
              <w:left w:val="nil"/>
              <w:bottom w:val="nil"/>
              <w:right w:val="single" w:sz="4" w:space="0" w:color="auto"/>
            </w:tcBorders>
            <w:shd w:val="clear" w:color="auto" w:fill="auto"/>
            <w:noWrap/>
            <w:vAlign w:val="bottom"/>
            <w:hideMark/>
          </w:tcPr>
          <w:p w14:paraId="75C5147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1.50</w:t>
            </w:r>
          </w:p>
        </w:tc>
        <w:tc>
          <w:tcPr>
            <w:tcW w:w="960" w:type="dxa"/>
            <w:tcBorders>
              <w:top w:val="nil"/>
              <w:left w:val="nil"/>
              <w:bottom w:val="nil"/>
              <w:right w:val="single" w:sz="4" w:space="0" w:color="auto"/>
            </w:tcBorders>
            <w:shd w:val="clear" w:color="auto" w:fill="auto"/>
            <w:noWrap/>
            <w:vAlign w:val="bottom"/>
            <w:hideMark/>
          </w:tcPr>
          <w:p w14:paraId="24AF910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7E5B3AA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0.15</w:t>
            </w:r>
          </w:p>
        </w:tc>
      </w:tr>
      <w:tr w:rsidR="002C5F31" w:rsidRPr="002C5F31" w14:paraId="632924A2"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01FEE06E"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9F47C2F"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3.S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234CCE9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0.68</w:t>
            </w:r>
          </w:p>
        </w:tc>
        <w:tc>
          <w:tcPr>
            <w:tcW w:w="980" w:type="dxa"/>
            <w:tcBorders>
              <w:top w:val="nil"/>
              <w:left w:val="nil"/>
              <w:bottom w:val="single" w:sz="4" w:space="0" w:color="auto"/>
              <w:right w:val="nil"/>
            </w:tcBorders>
            <w:shd w:val="clear" w:color="auto" w:fill="auto"/>
            <w:noWrap/>
            <w:vAlign w:val="bottom"/>
            <w:hideMark/>
          </w:tcPr>
          <w:p w14:paraId="549EA4E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65297CF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3AC3FB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21602F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217D68C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78B758CC" w14:textId="77777777" w:rsidTr="005B1125">
        <w:trPr>
          <w:trHeight w:val="300"/>
        </w:trPr>
        <w:tc>
          <w:tcPr>
            <w:tcW w:w="820" w:type="dxa"/>
            <w:tcBorders>
              <w:top w:val="nil"/>
              <w:left w:val="nil"/>
              <w:bottom w:val="nil"/>
              <w:right w:val="nil"/>
            </w:tcBorders>
            <w:shd w:val="clear" w:color="auto" w:fill="auto"/>
            <w:noWrap/>
            <w:vAlign w:val="bottom"/>
            <w:hideMark/>
          </w:tcPr>
          <w:p w14:paraId="3C6F4E3E"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4</w:t>
            </w:r>
          </w:p>
        </w:tc>
        <w:tc>
          <w:tcPr>
            <w:tcW w:w="960" w:type="dxa"/>
            <w:tcBorders>
              <w:top w:val="nil"/>
              <w:left w:val="single" w:sz="4" w:space="0" w:color="auto"/>
              <w:bottom w:val="nil"/>
              <w:right w:val="single" w:sz="4" w:space="0" w:color="auto"/>
            </w:tcBorders>
            <w:shd w:val="clear" w:color="auto" w:fill="auto"/>
            <w:noWrap/>
            <w:vAlign w:val="bottom"/>
            <w:hideMark/>
          </w:tcPr>
          <w:p w14:paraId="15196FE0"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4.S</w:t>
            </w:r>
            <w:proofErr w:type="gramEnd"/>
            <w:r w:rsidRPr="002C5F31">
              <w:rPr>
                <w:rFonts w:eastAsia="Times New Roman"/>
                <w:color w:val="000000"/>
                <w:sz w:val="22"/>
                <w:szCs w:val="22"/>
                <w:lang w:val="en-MY" w:eastAsia="en-MY"/>
              </w:rPr>
              <w:t>1</w:t>
            </w:r>
          </w:p>
        </w:tc>
        <w:tc>
          <w:tcPr>
            <w:tcW w:w="1680" w:type="dxa"/>
            <w:tcBorders>
              <w:top w:val="nil"/>
              <w:left w:val="nil"/>
              <w:bottom w:val="nil"/>
              <w:right w:val="single" w:sz="4" w:space="0" w:color="auto"/>
            </w:tcBorders>
            <w:shd w:val="clear" w:color="auto" w:fill="auto"/>
            <w:noWrap/>
            <w:vAlign w:val="bottom"/>
            <w:hideMark/>
          </w:tcPr>
          <w:p w14:paraId="0BE5A59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0.66</w:t>
            </w:r>
          </w:p>
        </w:tc>
        <w:tc>
          <w:tcPr>
            <w:tcW w:w="980" w:type="dxa"/>
            <w:tcBorders>
              <w:top w:val="nil"/>
              <w:left w:val="nil"/>
              <w:bottom w:val="nil"/>
              <w:right w:val="nil"/>
            </w:tcBorders>
            <w:shd w:val="clear" w:color="auto" w:fill="auto"/>
            <w:noWrap/>
            <w:vAlign w:val="bottom"/>
            <w:hideMark/>
          </w:tcPr>
          <w:p w14:paraId="040D603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-0.03</w:t>
            </w:r>
          </w:p>
        </w:tc>
        <w:tc>
          <w:tcPr>
            <w:tcW w:w="940" w:type="dxa"/>
            <w:tcBorders>
              <w:top w:val="nil"/>
              <w:left w:val="nil"/>
              <w:bottom w:val="nil"/>
              <w:right w:val="single" w:sz="4" w:space="0" w:color="auto"/>
            </w:tcBorders>
            <w:shd w:val="clear" w:color="auto" w:fill="auto"/>
            <w:noWrap/>
            <w:vAlign w:val="bottom"/>
            <w:hideMark/>
          </w:tcPr>
          <w:p w14:paraId="10306B0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0.24</w:t>
            </w:r>
          </w:p>
        </w:tc>
        <w:tc>
          <w:tcPr>
            <w:tcW w:w="960" w:type="dxa"/>
            <w:tcBorders>
              <w:top w:val="nil"/>
              <w:left w:val="nil"/>
              <w:bottom w:val="nil"/>
              <w:right w:val="single" w:sz="4" w:space="0" w:color="auto"/>
            </w:tcBorders>
            <w:shd w:val="clear" w:color="auto" w:fill="auto"/>
            <w:noWrap/>
            <w:vAlign w:val="bottom"/>
            <w:hideMark/>
          </w:tcPr>
          <w:p w14:paraId="2C86D7F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1.72</w:t>
            </w:r>
          </w:p>
        </w:tc>
        <w:tc>
          <w:tcPr>
            <w:tcW w:w="960" w:type="dxa"/>
            <w:tcBorders>
              <w:top w:val="nil"/>
              <w:left w:val="nil"/>
              <w:bottom w:val="nil"/>
              <w:right w:val="single" w:sz="4" w:space="0" w:color="auto"/>
            </w:tcBorders>
            <w:shd w:val="clear" w:color="auto" w:fill="auto"/>
            <w:noWrap/>
            <w:vAlign w:val="bottom"/>
            <w:hideMark/>
          </w:tcPr>
          <w:p w14:paraId="4C17F23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12</w:t>
            </w:r>
          </w:p>
        </w:tc>
        <w:tc>
          <w:tcPr>
            <w:tcW w:w="960" w:type="dxa"/>
            <w:tcBorders>
              <w:top w:val="nil"/>
              <w:left w:val="nil"/>
              <w:bottom w:val="nil"/>
              <w:right w:val="nil"/>
            </w:tcBorders>
            <w:shd w:val="clear" w:color="auto" w:fill="auto"/>
            <w:noWrap/>
            <w:vAlign w:val="bottom"/>
            <w:hideMark/>
          </w:tcPr>
          <w:p w14:paraId="4DB375B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0.11</w:t>
            </w:r>
          </w:p>
        </w:tc>
      </w:tr>
      <w:tr w:rsidR="002C5F31" w:rsidRPr="002C5F31" w14:paraId="3DDDE368"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2CD6853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C1799B"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4.S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6562F4F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0.55</w:t>
            </w:r>
          </w:p>
        </w:tc>
        <w:tc>
          <w:tcPr>
            <w:tcW w:w="980" w:type="dxa"/>
            <w:tcBorders>
              <w:top w:val="nil"/>
              <w:left w:val="nil"/>
              <w:bottom w:val="single" w:sz="4" w:space="0" w:color="auto"/>
              <w:right w:val="nil"/>
            </w:tcBorders>
            <w:shd w:val="clear" w:color="auto" w:fill="auto"/>
            <w:noWrap/>
            <w:vAlign w:val="bottom"/>
            <w:hideMark/>
          </w:tcPr>
          <w:p w14:paraId="205D8B4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3FB4851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B63D2C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F9AC27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3F23075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42DF0770" w14:textId="77777777" w:rsidTr="005B1125">
        <w:trPr>
          <w:trHeight w:val="300"/>
        </w:trPr>
        <w:tc>
          <w:tcPr>
            <w:tcW w:w="820" w:type="dxa"/>
            <w:tcBorders>
              <w:top w:val="nil"/>
              <w:left w:val="nil"/>
              <w:bottom w:val="nil"/>
              <w:right w:val="nil"/>
            </w:tcBorders>
            <w:shd w:val="clear" w:color="auto" w:fill="A6A6A6" w:themeFill="background1" w:themeFillShade="A6"/>
            <w:noWrap/>
            <w:vAlign w:val="bottom"/>
            <w:hideMark/>
          </w:tcPr>
          <w:p w14:paraId="0469F336" w14:textId="77777777" w:rsidR="002C5F31" w:rsidRPr="002C5F31" w:rsidRDefault="002C5F31" w:rsidP="005B1125">
            <w:pPr>
              <w:spacing w:before="0" w:after="0" w:line="240" w:lineRule="auto"/>
              <w:jc w:val="center"/>
              <w:rPr>
                <w:rFonts w:eastAsia="Times New Roman"/>
                <w:color w:val="000000"/>
                <w:sz w:val="22"/>
                <w:szCs w:val="22"/>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6FA41DB4"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1680" w:type="dxa"/>
            <w:tcBorders>
              <w:top w:val="nil"/>
              <w:left w:val="nil"/>
              <w:bottom w:val="nil"/>
              <w:right w:val="nil"/>
            </w:tcBorders>
            <w:shd w:val="clear" w:color="auto" w:fill="A6A6A6" w:themeFill="background1" w:themeFillShade="A6"/>
            <w:noWrap/>
            <w:vAlign w:val="bottom"/>
            <w:hideMark/>
          </w:tcPr>
          <w:p w14:paraId="06148059"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80" w:type="dxa"/>
            <w:tcBorders>
              <w:top w:val="nil"/>
              <w:left w:val="nil"/>
              <w:bottom w:val="nil"/>
              <w:right w:val="nil"/>
            </w:tcBorders>
            <w:shd w:val="clear" w:color="auto" w:fill="A6A6A6" w:themeFill="background1" w:themeFillShade="A6"/>
            <w:noWrap/>
            <w:vAlign w:val="bottom"/>
            <w:hideMark/>
          </w:tcPr>
          <w:p w14:paraId="5B8C96D8"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40" w:type="dxa"/>
            <w:tcBorders>
              <w:top w:val="nil"/>
              <w:left w:val="nil"/>
              <w:bottom w:val="nil"/>
              <w:right w:val="nil"/>
            </w:tcBorders>
            <w:shd w:val="clear" w:color="auto" w:fill="A6A6A6" w:themeFill="background1" w:themeFillShade="A6"/>
            <w:noWrap/>
            <w:vAlign w:val="bottom"/>
            <w:hideMark/>
          </w:tcPr>
          <w:p w14:paraId="3B83C55E"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49378C60"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731127EC"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74357BE5"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r>
      <w:tr w:rsidR="002C5F31" w:rsidRPr="002C5F31" w14:paraId="36090152" w14:textId="77777777" w:rsidTr="005B1125">
        <w:trPr>
          <w:trHeight w:val="300"/>
        </w:trPr>
        <w:tc>
          <w:tcPr>
            <w:tcW w:w="820" w:type="dxa"/>
            <w:tcBorders>
              <w:top w:val="single" w:sz="4" w:space="0" w:color="auto"/>
              <w:left w:val="nil"/>
              <w:bottom w:val="nil"/>
              <w:right w:val="nil"/>
            </w:tcBorders>
            <w:shd w:val="clear" w:color="auto" w:fill="auto"/>
            <w:noWrap/>
            <w:vAlign w:val="bottom"/>
            <w:hideMark/>
          </w:tcPr>
          <w:p w14:paraId="012D2849"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single" w:sz="4" w:space="0" w:color="auto"/>
              <w:left w:val="single" w:sz="4" w:space="0" w:color="auto"/>
              <w:bottom w:val="nil"/>
              <w:right w:val="nil"/>
            </w:tcBorders>
            <w:shd w:val="clear" w:color="auto" w:fill="auto"/>
            <w:noWrap/>
            <w:vAlign w:val="bottom"/>
            <w:hideMark/>
          </w:tcPr>
          <w:p w14:paraId="3C6F2EC5"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1680" w:type="dxa"/>
            <w:tcBorders>
              <w:top w:val="single" w:sz="4" w:space="0" w:color="auto"/>
              <w:left w:val="single" w:sz="4" w:space="0" w:color="auto"/>
              <w:bottom w:val="nil"/>
              <w:right w:val="single" w:sz="4" w:space="0" w:color="auto"/>
            </w:tcBorders>
            <w:shd w:val="clear" w:color="auto" w:fill="auto"/>
            <w:noWrap/>
            <w:vAlign w:val="bottom"/>
            <w:hideMark/>
          </w:tcPr>
          <w:p w14:paraId="1062028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Mean SP RMSE</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B07B48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95% CI</w:t>
            </w:r>
          </w:p>
        </w:tc>
        <w:tc>
          <w:tcPr>
            <w:tcW w:w="960" w:type="dxa"/>
            <w:tcBorders>
              <w:top w:val="single" w:sz="4" w:space="0" w:color="auto"/>
              <w:left w:val="nil"/>
              <w:bottom w:val="nil"/>
              <w:right w:val="single" w:sz="4" w:space="0" w:color="auto"/>
            </w:tcBorders>
            <w:shd w:val="clear" w:color="auto" w:fill="auto"/>
            <w:noWrap/>
            <w:vAlign w:val="bottom"/>
            <w:hideMark/>
          </w:tcPr>
          <w:p w14:paraId="11A4B34D" w14:textId="77777777" w:rsidR="002C5F31" w:rsidRPr="002F15E8" w:rsidRDefault="002C5F31" w:rsidP="005B1125">
            <w:pPr>
              <w:spacing w:before="0" w:after="0" w:line="240" w:lineRule="auto"/>
              <w:jc w:val="center"/>
              <w:rPr>
                <w:rFonts w:eastAsia="Times New Roman"/>
                <w:i/>
                <w:iCs/>
                <w:color w:val="000000"/>
                <w:sz w:val="22"/>
                <w:szCs w:val="22"/>
                <w:lang w:val="en-MY" w:eastAsia="en-MY"/>
              </w:rPr>
            </w:pPr>
            <w:r w:rsidRPr="002F15E8">
              <w:rPr>
                <w:rFonts w:eastAsia="Times New Roman"/>
                <w:i/>
                <w:iCs/>
                <w:color w:val="000000"/>
                <w:sz w:val="22"/>
                <w:szCs w:val="22"/>
                <w:lang w:val="en-MY" w:eastAsia="en-MY"/>
              </w:rPr>
              <w:t>t</w:t>
            </w:r>
          </w:p>
        </w:tc>
        <w:tc>
          <w:tcPr>
            <w:tcW w:w="960" w:type="dxa"/>
            <w:tcBorders>
              <w:top w:val="single" w:sz="4" w:space="0" w:color="auto"/>
              <w:left w:val="nil"/>
              <w:bottom w:val="nil"/>
              <w:right w:val="single" w:sz="4" w:space="0" w:color="auto"/>
            </w:tcBorders>
            <w:shd w:val="clear" w:color="auto" w:fill="auto"/>
            <w:noWrap/>
            <w:vAlign w:val="bottom"/>
            <w:hideMark/>
          </w:tcPr>
          <w:p w14:paraId="767F3CC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df</w:t>
            </w:r>
          </w:p>
        </w:tc>
        <w:tc>
          <w:tcPr>
            <w:tcW w:w="960" w:type="dxa"/>
            <w:tcBorders>
              <w:top w:val="single" w:sz="4" w:space="0" w:color="auto"/>
              <w:left w:val="nil"/>
              <w:bottom w:val="nil"/>
              <w:right w:val="nil"/>
            </w:tcBorders>
            <w:shd w:val="clear" w:color="auto" w:fill="auto"/>
            <w:noWrap/>
            <w:vAlign w:val="bottom"/>
            <w:hideMark/>
          </w:tcPr>
          <w:p w14:paraId="0A4C8EA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F15E8">
              <w:rPr>
                <w:rFonts w:eastAsia="Times New Roman"/>
                <w:i/>
                <w:iCs/>
                <w:color w:val="000000"/>
                <w:sz w:val="22"/>
                <w:szCs w:val="22"/>
                <w:lang w:val="en-MY" w:eastAsia="en-MY"/>
              </w:rPr>
              <w:t>p</w:t>
            </w:r>
            <w:r w:rsidRPr="002C5F31">
              <w:rPr>
                <w:rFonts w:eastAsia="Times New Roman"/>
                <w:color w:val="000000"/>
                <w:sz w:val="22"/>
                <w:szCs w:val="22"/>
                <w:lang w:val="en-MY" w:eastAsia="en-MY"/>
              </w:rPr>
              <w:t>-value</w:t>
            </w:r>
          </w:p>
        </w:tc>
      </w:tr>
      <w:tr w:rsidR="002C5F31" w:rsidRPr="002C5F31" w14:paraId="075B2A9D"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1284752B"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8FA5F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1680" w:type="dxa"/>
            <w:tcBorders>
              <w:top w:val="nil"/>
              <w:left w:val="nil"/>
              <w:bottom w:val="single" w:sz="4" w:space="0" w:color="auto"/>
              <w:right w:val="single" w:sz="4" w:space="0" w:color="auto"/>
            </w:tcBorders>
            <w:shd w:val="clear" w:color="auto" w:fill="auto"/>
            <w:noWrap/>
            <w:vAlign w:val="bottom"/>
            <w:hideMark/>
          </w:tcPr>
          <w:p w14:paraId="67DE1F0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80" w:type="dxa"/>
            <w:tcBorders>
              <w:top w:val="nil"/>
              <w:left w:val="nil"/>
              <w:bottom w:val="single" w:sz="4" w:space="0" w:color="auto"/>
              <w:right w:val="nil"/>
            </w:tcBorders>
            <w:shd w:val="clear" w:color="auto" w:fill="auto"/>
            <w:noWrap/>
            <w:vAlign w:val="bottom"/>
            <w:hideMark/>
          </w:tcPr>
          <w:p w14:paraId="4F5897B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Lower</w:t>
            </w:r>
          </w:p>
        </w:tc>
        <w:tc>
          <w:tcPr>
            <w:tcW w:w="940" w:type="dxa"/>
            <w:tcBorders>
              <w:top w:val="nil"/>
              <w:left w:val="nil"/>
              <w:bottom w:val="single" w:sz="4" w:space="0" w:color="auto"/>
              <w:right w:val="single" w:sz="4" w:space="0" w:color="auto"/>
            </w:tcBorders>
            <w:shd w:val="clear" w:color="auto" w:fill="auto"/>
            <w:noWrap/>
            <w:vAlign w:val="bottom"/>
            <w:hideMark/>
          </w:tcPr>
          <w:p w14:paraId="14C161B0"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Upper</w:t>
            </w:r>
          </w:p>
        </w:tc>
        <w:tc>
          <w:tcPr>
            <w:tcW w:w="960" w:type="dxa"/>
            <w:tcBorders>
              <w:top w:val="nil"/>
              <w:left w:val="nil"/>
              <w:bottom w:val="single" w:sz="4" w:space="0" w:color="auto"/>
              <w:right w:val="single" w:sz="4" w:space="0" w:color="auto"/>
            </w:tcBorders>
            <w:shd w:val="clear" w:color="auto" w:fill="auto"/>
            <w:noWrap/>
            <w:vAlign w:val="bottom"/>
            <w:hideMark/>
          </w:tcPr>
          <w:p w14:paraId="59CD495E"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3384905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7FA21060"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3D8AAF51" w14:textId="77777777" w:rsidTr="005B1125">
        <w:trPr>
          <w:trHeight w:val="300"/>
        </w:trPr>
        <w:tc>
          <w:tcPr>
            <w:tcW w:w="820" w:type="dxa"/>
            <w:tcBorders>
              <w:top w:val="nil"/>
              <w:left w:val="nil"/>
              <w:bottom w:val="nil"/>
              <w:right w:val="nil"/>
            </w:tcBorders>
            <w:shd w:val="clear" w:color="auto" w:fill="auto"/>
            <w:noWrap/>
            <w:vAlign w:val="bottom"/>
            <w:hideMark/>
          </w:tcPr>
          <w:p w14:paraId="4F7E86B3"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1</w:t>
            </w:r>
          </w:p>
        </w:tc>
        <w:tc>
          <w:tcPr>
            <w:tcW w:w="960" w:type="dxa"/>
            <w:tcBorders>
              <w:top w:val="nil"/>
              <w:left w:val="single" w:sz="4" w:space="0" w:color="auto"/>
              <w:bottom w:val="nil"/>
              <w:right w:val="single" w:sz="4" w:space="0" w:color="auto"/>
            </w:tcBorders>
            <w:shd w:val="clear" w:color="auto" w:fill="auto"/>
            <w:noWrap/>
            <w:vAlign w:val="bottom"/>
            <w:hideMark/>
          </w:tcPr>
          <w:p w14:paraId="44026DAC"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F1.S1 </w:t>
            </w:r>
          </w:p>
        </w:tc>
        <w:tc>
          <w:tcPr>
            <w:tcW w:w="1680" w:type="dxa"/>
            <w:tcBorders>
              <w:top w:val="nil"/>
              <w:left w:val="nil"/>
              <w:bottom w:val="nil"/>
              <w:right w:val="single" w:sz="4" w:space="0" w:color="auto"/>
            </w:tcBorders>
            <w:shd w:val="clear" w:color="auto" w:fill="auto"/>
            <w:noWrap/>
            <w:vAlign w:val="bottom"/>
            <w:hideMark/>
          </w:tcPr>
          <w:p w14:paraId="2C3647D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0.46</w:t>
            </w:r>
          </w:p>
        </w:tc>
        <w:tc>
          <w:tcPr>
            <w:tcW w:w="980" w:type="dxa"/>
            <w:tcBorders>
              <w:top w:val="nil"/>
              <w:left w:val="nil"/>
              <w:bottom w:val="nil"/>
              <w:right w:val="nil"/>
            </w:tcBorders>
            <w:shd w:val="clear" w:color="auto" w:fill="auto"/>
            <w:noWrap/>
            <w:vAlign w:val="bottom"/>
            <w:hideMark/>
          </w:tcPr>
          <w:p w14:paraId="396F9DB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-0.13</w:t>
            </w:r>
          </w:p>
        </w:tc>
        <w:tc>
          <w:tcPr>
            <w:tcW w:w="940" w:type="dxa"/>
            <w:tcBorders>
              <w:top w:val="nil"/>
              <w:left w:val="nil"/>
              <w:bottom w:val="nil"/>
              <w:right w:val="single" w:sz="4" w:space="0" w:color="auto"/>
            </w:tcBorders>
            <w:shd w:val="clear" w:color="auto" w:fill="auto"/>
            <w:noWrap/>
            <w:vAlign w:val="bottom"/>
            <w:hideMark/>
          </w:tcPr>
          <w:p w14:paraId="0A0314D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0.07</w:t>
            </w:r>
          </w:p>
        </w:tc>
        <w:tc>
          <w:tcPr>
            <w:tcW w:w="960" w:type="dxa"/>
            <w:tcBorders>
              <w:top w:val="nil"/>
              <w:left w:val="nil"/>
              <w:bottom w:val="nil"/>
              <w:right w:val="single" w:sz="4" w:space="0" w:color="auto"/>
            </w:tcBorders>
            <w:shd w:val="clear" w:color="auto" w:fill="auto"/>
            <w:noWrap/>
            <w:vAlign w:val="bottom"/>
            <w:hideMark/>
          </w:tcPr>
          <w:p w14:paraId="3342F98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-0.56</w:t>
            </w:r>
          </w:p>
        </w:tc>
        <w:tc>
          <w:tcPr>
            <w:tcW w:w="960" w:type="dxa"/>
            <w:tcBorders>
              <w:top w:val="nil"/>
              <w:left w:val="nil"/>
              <w:bottom w:val="nil"/>
              <w:right w:val="single" w:sz="4" w:space="0" w:color="auto"/>
            </w:tcBorders>
            <w:shd w:val="clear" w:color="auto" w:fill="auto"/>
            <w:noWrap/>
            <w:vAlign w:val="bottom"/>
            <w:hideMark/>
          </w:tcPr>
          <w:p w14:paraId="2B6CB60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0490AEB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0.58</w:t>
            </w:r>
          </w:p>
        </w:tc>
      </w:tr>
      <w:tr w:rsidR="002C5F31" w:rsidRPr="002C5F31" w14:paraId="26F763FE"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0C74894D"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C3FE66"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1.S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13038E70"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0.48</w:t>
            </w:r>
          </w:p>
        </w:tc>
        <w:tc>
          <w:tcPr>
            <w:tcW w:w="980" w:type="dxa"/>
            <w:tcBorders>
              <w:top w:val="nil"/>
              <w:left w:val="nil"/>
              <w:bottom w:val="single" w:sz="4" w:space="0" w:color="auto"/>
              <w:right w:val="nil"/>
            </w:tcBorders>
            <w:shd w:val="clear" w:color="auto" w:fill="auto"/>
            <w:noWrap/>
            <w:vAlign w:val="bottom"/>
            <w:hideMark/>
          </w:tcPr>
          <w:p w14:paraId="0A7C0A1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539B34E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44925A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536908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19532D2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6F8F84F6" w14:textId="77777777" w:rsidTr="005B1125">
        <w:trPr>
          <w:trHeight w:val="300"/>
        </w:trPr>
        <w:tc>
          <w:tcPr>
            <w:tcW w:w="820" w:type="dxa"/>
            <w:tcBorders>
              <w:top w:val="nil"/>
              <w:left w:val="nil"/>
              <w:bottom w:val="nil"/>
              <w:right w:val="nil"/>
            </w:tcBorders>
            <w:shd w:val="clear" w:color="auto" w:fill="auto"/>
            <w:noWrap/>
            <w:vAlign w:val="bottom"/>
            <w:hideMark/>
          </w:tcPr>
          <w:p w14:paraId="7BC3DDAA"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2</w:t>
            </w:r>
          </w:p>
        </w:tc>
        <w:tc>
          <w:tcPr>
            <w:tcW w:w="960" w:type="dxa"/>
            <w:tcBorders>
              <w:top w:val="nil"/>
              <w:left w:val="single" w:sz="4" w:space="0" w:color="auto"/>
              <w:bottom w:val="nil"/>
              <w:right w:val="single" w:sz="4" w:space="0" w:color="auto"/>
            </w:tcBorders>
            <w:shd w:val="clear" w:color="auto" w:fill="auto"/>
            <w:noWrap/>
            <w:vAlign w:val="bottom"/>
            <w:hideMark/>
          </w:tcPr>
          <w:p w14:paraId="241BAD2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F2.S1 </w:t>
            </w:r>
          </w:p>
        </w:tc>
        <w:tc>
          <w:tcPr>
            <w:tcW w:w="1680" w:type="dxa"/>
            <w:tcBorders>
              <w:top w:val="nil"/>
              <w:left w:val="nil"/>
              <w:bottom w:val="nil"/>
              <w:right w:val="single" w:sz="4" w:space="0" w:color="auto"/>
            </w:tcBorders>
            <w:shd w:val="clear" w:color="auto" w:fill="auto"/>
            <w:noWrap/>
            <w:vAlign w:val="bottom"/>
            <w:hideMark/>
          </w:tcPr>
          <w:p w14:paraId="54CEAEA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0.67</w:t>
            </w:r>
          </w:p>
        </w:tc>
        <w:tc>
          <w:tcPr>
            <w:tcW w:w="980" w:type="dxa"/>
            <w:tcBorders>
              <w:top w:val="nil"/>
              <w:left w:val="nil"/>
              <w:bottom w:val="nil"/>
              <w:right w:val="nil"/>
            </w:tcBorders>
            <w:shd w:val="clear" w:color="auto" w:fill="auto"/>
            <w:noWrap/>
            <w:vAlign w:val="bottom"/>
            <w:hideMark/>
          </w:tcPr>
          <w:p w14:paraId="180FDFD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-0.02</w:t>
            </w:r>
          </w:p>
        </w:tc>
        <w:tc>
          <w:tcPr>
            <w:tcW w:w="940" w:type="dxa"/>
            <w:tcBorders>
              <w:top w:val="nil"/>
              <w:left w:val="nil"/>
              <w:bottom w:val="nil"/>
              <w:right w:val="single" w:sz="4" w:space="0" w:color="auto"/>
            </w:tcBorders>
            <w:shd w:val="clear" w:color="auto" w:fill="auto"/>
            <w:noWrap/>
            <w:vAlign w:val="bottom"/>
            <w:hideMark/>
          </w:tcPr>
          <w:p w14:paraId="340B0F6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0.25</w:t>
            </w:r>
          </w:p>
        </w:tc>
        <w:tc>
          <w:tcPr>
            <w:tcW w:w="960" w:type="dxa"/>
            <w:tcBorders>
              <w:top w:val="nil"/>
              <w:left w:val="nil"/>
              <w:bottom w:val="nil"/>
              <w:right w:val="single" w:sz="4" w:space="0" w:color="auto"/>
            </w:tcBorders>
            <w:shd w:val="clear" w:color="auto" w:fill="auto"/>
            <w:noWrap/>
            <w:vAlign w:val="bottom"/>
            <w:hideMark/>
          </w:tcPr>
          <w:p w14:paraId="275AA32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1.81</w:t>
            </w:r>
          </w:p>
        </w:tc>
        <w:tc>
          <w:tcPr>
            <w:tcW w:w="960" w:type="dxa"/>
            <w:tcBorders>
              <w:top w:val="nil"/>
              <w:left w:val="nil"/>
              <w:bottom w:val="nil"/>
              <w:right w:val="single" w:sz="4" w:space="0" w:color="auto"/>
            </w:tcBorders>
            <w:shd w:val="clear" w:color="auto" w:fill="auto"/>
            <w:noWrap/>
            <w:vAlign w:val="bottom"/>
            <w:hideMark/>
          </w:tcPr>
          <w:p w14:paraId="5B320CF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2A28855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0.09</w:t>
            </w:r>
          </w:p>
        </w:tc>
      </w:tr>
      <w:tr w:rsidR="002C5F31" w:rsidRPr="002C5F31" w14:paraId="2D55BF16"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6FECB9F7"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A7287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2.S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12C7970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0.55</w:t>
            </w:r>
          </w:p>
        </w:tc>
        <w:tc>
          <w:tcPr>
            <w:tcW w:w="980" w:type="dxa"/>
            <w:tcBorders>
              <w:top w:val="nil"/>
              <w:left w:val="nil"/>
              <w:bottom w:val="single" w:sz="4" w:space="0" w:color="auto"/>
              <w:right w:val="nil"/>
            </w:tcBorders>
            <w:shd w:val="clear" w:color="auto" w:fill="auto"/>
            <w:noWrap/>
            <w:vAlign w:val="bottom"/>
            <w:hideMark/>
          </w:tcPr>
          <w:p w14:paraId="0DF9937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3A9A8D8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56352DD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512C863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3425E88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1375BDD1" w14:textId="77777777" w:rsidTr="005B1125">
        <w:trPr>
          <w:trHeight w:val="300"/>
        </w:trPr>
        <w:tc>
          <w:tcPr>
            <w:tcW w:w="820" w:type="dxa"/>
            <w:tcBorders>
              <w:top w:val="nil"/>
              <w:left w:val="nil"/>
              <w:bottom w:val="nil"/>
              <w:right w:val="nil"/>
            </w:tcBorders>
            <w:shd w:val="clear" w:color="auto" w:fill="auto"/>
            <w:noWrap/>
            <w:vAlign w:val="bottom"/>
            <w:hideMark/>
          </w:tcPr>
          <w:p w14:paraId="4D906C2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3</w:t>
            </w:r>
          </w:p>
        </w:tc>
        <w:tc>
          <w:tcPr>
            <w:tcW w:w="960" w:type="dxa"/>
            <w:tcBorders>
              <w:top w:val="nil"/>
              <w:left w:val="single" w:sz="4" w:space="0" w:color="auto"/>
              <w:bottom w:val="nil"/>
              <w:right w:val="single" w:sz="4" w:space="0" w:color="auto"/>
            </w:tcBorders>
            <w:shd w:val="clear" w:color="auto" w:fill="auto"/>
            <w:noWrap/>
            <w:vAlign w:val="bottom"/>
            <w:hideMark/>
          </w:tcPr>
          <w:p w14:paraId="38913695"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F3.S1 </w:t>
            </w:r>
          </w:p>
        </w:tc>
        <w:tc>
          <w:tcPr>
            <w:tcW w:w="1680" w:type="dxa"/>
            <w:tcBorders>
              <w:top w:val="nil"/>
              <w:left w:val="nil"/>
              <w:bottom w:val="nil"/>
              <w:right w:val="single" w:sz="4" w:space="0" w:color="auto"/>
            </w:tcBorders>
            <w:shd w:val="clear" w:color="auto" w:fill="auto"/>
            <w:noWrap/>
            <w:vAlign w:val="bottom"/>
            <w:hideMark/>
          </w:tcPr>
          <w:p w14:paraId="35E7D0F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1.04</w:t>
            </w:r>
          </w:p>
        </w:tc>
        <w:tc>
          <w:tcPr>
            <w:tcW w:w="980" w:type="dxa"/>
            <w:tcBorders>
              <w:top w:val="nil"/>
              <w:left w:val="nil"/>
              <w:bottom w:val="nil"/>
              <w:right w:val="nil"/>
            </w:tcBorders>
            <w:shd w:val="clear" w:color="auto" w:fill="auto"/>
            <w:noWrap/>
            <w:vAlign w:val="bottom"/>
            <w:hideMark/>
          </w:tcPr>
          <w:p w14:paraId="1949521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-0.19</w:t>
            </w:r>
          </w:p>
        </w:tc>
        <w:tc>
          <w:tcPr>
            <w:tcW w:w="940" w:type="dxa"/>
            <w:tcBorders>
              <w:top w:val="nil"/>
              <w:left w:val="nil"/>
              <w:bottom w:val="nil"/>
              <w:right w:val="single" w:sz="4" w:space="0" w:color="auto"/>
            </w:tcBorders>
            <w:shd w:val="clear" w:color="auto" w:fill="auto"/>
            <w:noWrap/>
            <w:vAlign w:val="bottom"/>
            <w:hideMark/>
          </w:tcPr>
          <w:p w14:paraId="2CDF814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0.29</w:t>
            </w:r>
          </w:p>
        </w:tc>
        <w:tc>
          <w:tcPr>
            <w:tcW w:w="960" w:type="dxa"/>
            <w:tcBorders>
              <w:top w:val="nil"/>
              <w:left w:val="nil"/>
              <w:bottom w:val="nil"/>
              <w:right w:val="single" w:sz="4" w:space="0" w:color="auto"/>
            </w:tcBorders>
            <w:shd w:val="clear" w:color="auto" w:fill="auto"/>
            <w:noWrap/>
            <w:vAlign w:val="bottom"/>
            <w:hideMark/>
          </w:tcPr>
          <w:p w14:paraId="156EF50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0.44</w:t>
            </w:r>
          </w:p>
        </w:tc>
        <w:tc>
          <w:tcPr>
            <w:tcW w:w="960" w:type="dxa"/>
            <w:tcBorders>
              <w:top w:val="nil"/>
              <w:left w:val="nil"/>
              <w:bottom w:val="nil"/>
              <w:right w:val="single" w:sz="4" w:space="0" w:color="auto"/>
            </w:tcBorders>
            <w:shd w:val="clear" w:color="auto" w:fill="auto"/>
            <w:noWrap/>
            <w:vAlign w:val="bottom"/>
            <w:hideMark/>
          </w:tcPr>
          <w:p w14:paraId="5CBAF9E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0C116C5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0.66</w:t>
            </w:r>
          </w:p>
        </w:tc>
      </w:tr>
      <w:tr w:rsidR="002C5F31" w:rsidRPr="002C5F31" w14:paraId="7BAC73A8"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26FFB299"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A736FD9"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3.S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7996B09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0.99</w:t>
            </w:r>
          </w:p>
        </w:tc>
        <w:tc>
          <w:tcPr>
            <w:tcW w:w="980" w:type="dxa"/>
            <w:tcBorders>
              <w:top w:val="nil"/>
              <w:left w:val="nil"/>
              <w:bottom w:val="single" w:sz="4" w:space="0" w:color="auto"/>
              <w:right w:val="nil"/>
            </w:tcBorders>
            <w:shd w:val="clear" w:color="auto" w:fill="auto"/>
            <w:noWrap/>
            <w:vAlign w:val="bottom"/>
            <w:hideMark/>
          </w:tcPr>
          <w:p w14:paraId="2502A6F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71CC3E7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4384B11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548BC91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11AED84B"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1E88EC7F" w14:textId="77777777" w:rsidTr="005B1125">
        <w:trPr>
          <w:trHeight w:val="300"/>
        </w:trPr>
        <w:tc>
          <w:tcPr>
            <w:tcW w:w="820" w:type="dxa"/>
            <w:tcBorders>
              <w:top w:val="nil"/>
              <w:left w:val="nil"/>
              <w:bottom w:val="nil"/>
              <w:right w:val="nil"/>
            </w:tcBorders>
            <w:shd w:val="clear" w:color="auto" w:fill="auto"/>
            <w:noWrap/>
            <w:vAlign w:val="bottom"/>
            <w:hideMark/>
          </w:tcPr>
          <w:p w14:paraId="21DE0000"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4</w:t>
            </w:r>
          </w:p>
        </w:tc>
        <w:tc>
          <w:tcPr>
            <w:tcW w:w="960" w:type="dxa"/>
            <w:tcBorders>
              <w:top w:val="nil"/>
              <w:left w:val="single" w:sz="4" w:space="0" w:color="auto"/>
              <w:bottom w:val="nil"/>
              <w:right w:val="single" w:sz="4" w:space="0" w:color="auto"/>
            </w:tcBorders>
            <w:shd w:val="clear" w:color="auto" w:fill="auto"/>
            <w:noWrap/>
            <w:vAlign w:val="bottom"/>
            <w:hideMark/>
          </w:tcPr>
          <w:p w14:paraId="5CB2BF2A"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4.S</w:t>
            </w:r>
            <w:proofErr w:type="gramEnd"/>
            <w:r w:rsidRPr="002C5F31">
              <w:rPr>
                <w:rFonts w:eastAsia="Times New Roman"/>
                <w:color w:val="000000"/>
                <w:sz w:val="22"/>
                <w:szCs w:val="22"/>
                <w:lang w:val="en-MY" w:eastAsia="en-MY"/>
              </w:rPr>
              <w:t>1</w:t>
            </w:r>
          </w:p>
        </w:tc>
        <w:tc>
          <w:tcPr>
            <w:tcW w:w="1680" w:type="dxa"/>
            <w:tcBorders>
              <w:top w:val="nil"/>
              <w:left w:val="nil"/>
              <w:bottom w:val="nil"/>
              <w:right w:val="single" w:sz="4" w:space="0" w:color="auto"/>
            </w:tcBorders>
            <w:shd w:val="clear" w:color="auto" w:fill="auto"/>
            <w:noWrap/>
            <w:vAlign w:val="bottom"/>
            <w:hideMark/>
          </w:tcPr>
          <w:p w14:paraId="505C8CD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1.92</w:t>
            </w:r>
          </w:p>
        </w:tc>
        <w:tc>
          <w:tcPr>
            <w:tcW w:w="980" w:type="dxa"/>
            <w:tcBorders>
              <w:top w:val="nil"/>
              <w:left w:val="nil"/>
              <w:bottom w:val="nil"/>
              <w:right w:val="nil"/>
            </w:tcBorders>
            <w:shd w:val="clear" w:color="auto" w:fill="auto"/>
            <w:noWrap/>
            <w:vAlign w:val="bottom"/>
            <w:hideMark/>
          </w:tcPr>
          <w:p w14:paraId="0993109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-0.06</w:t>
            </w:r>
          </w:p>
        </w:tc>
        <w:tc>
          <w:tcPr>
            <w:tcW w:w="940" w:type="dxa"/>
            <w:tcBorders>
              <w:top w:val="nil"/>
              <w:left w:val="nil"/>
              <w:bottom w:val="nil"/>
              <w:right w:val="single" w:sz="4" w:space="0" w:color="auto"/>
            </w:tcBorders>
            <w:shd w:val="clear" w:color="auto" w:fill="auto"/>
            <w:noWrap/>
            <w:vAlign w:val="bottom"/>
            <w:hideMark/>
          </w:tcPr>
          <w:p w14:paraId="69F0EC9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0.62</w:t>
            </w:r>
          </w:p>
        </w:tc>
        <w:tc>
          <w:tcPr>
            <w:tcW w:w="960" w:type="dxa"/>
            <w:tcBorders>
              <w:top w:val="nil"/>
              <w:left w:val="nil"/>
              <w:bottom w:val="nil"/>
              <w:right w:val="single" w:sz="4" w:space="0" w:color="auto"/>
            </w:tcBorders>
            <w:shd w:val="clear" w:color="auto" w:fill="auto"/>
            <w:noWrap/>
            <w:vAlign w:val="bottom"/>
            <w:hideMark/>
          </w:tcPr>
          <w:p w14:paraId="5AB228D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1.81</w:t>
            </w:r>
          </w:p>
        </w:tc>
        <w:tc>
          <w:tcPr>
            <w:tcW w:w="960" w:type="dxa"/>
            <w:tcBorders>
              <w:top w:val="nil"/>
              <w:left w:val="nil"/>
              <w:bottom w:val="nil"/>
              <w:right w:val="single" w:sz="4" w:space="0" w:color="auto"/>
            </w:tcBorders>
            <w:shd w:val="clear" w:color="auto" w:fill="auto"/>
            <w:noWrap/>
            <w:vAlign w:val="bottom"/>
            <w:hideMark/>
          </w:tcPr>
          <w:p w14:paraId="7FD67A5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12</w:t>
            </w:r>
          </w:p>
        </w:tc>
        <w:tc>
          <w:tcPr>
            <w:tcW w:w="960" w:type="dxa"/>
            <w:tcBorders>
              <w:top w:val="nil"/>
              <w:left w:val="nil"/>
              <w:bottom w:val="nil"/>
              <w:right w:val="nil"/>
            </w:tcBorders>
            <w:shd w:val="clear" w:color="auto" w:fill="auto"/>
            <w:noWrap/>
            <w:vAlign w:val="bottom"/>
            <w:hideMark/>
          </w:tcPr>
          <w:p w14:paraId="6220C74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0.10</w:t>
            </w:r>
          </w:p>
        </w:tc>
      </w:tr>
      <w:tr w:rsidR="002C5F31" w:rsidRPr="002C5F31" w14:paraId="46E3CB74"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05E57C7D"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E56B4D"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4.S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2F52430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1.65</w:t>
            </w:r>
          </w:p>
        </w:tc>
        <w:tc>
          <w:tcPr>
            <w:tcW w:w="980" w:type="dxa"/>
            <w:tcBorders>
              <w:top w:val="nil"/>
              <w:left w:val="nil"/>
              <w:bottom w:val="single" w:sz="4" w:space="0" w:color="auto"/>
              <w:right w:val="nil"/>
            </w:tcBorders>
            <w:shd w:val="clear" w:color="auto" w:fill="auto"/>
            <w:noWrap/>
            <w:vAlign w:val="bottom"/>
            <w:hideMark/>
          </w:tcPr>
          <w:p w14:paraId="01E296D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6CC1CFDB"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624FFA4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3141279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2B99D09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16511C6C" w14:textId="77777777" w:rsidTr="005B1125">
        <w:trPr>
          <w:trHeight w:val="300"/>
        </w:trPr>
        <w:tc>
          <w:tcPr>
            <w:tcW w:w="820" w:type="dxa"/>
            <w:tcBorders>
              <w:top w:val="nil"/>
              <w:left w:val="nil"/>
              <w:bottom w:val="nil"/>
              <w:right w:val="nil"/>
            </w:tcBorders>
            <w:shd w:val="clear" w:color="auto" w:fill="A6A6A6" w:themeFill="background1" w:themeFillShade="A6"/>
            <w:noWrap/>
            <w:vAlign w:val="bottom"/>
            <w:hideMark/>
          </w:tcPr>
          <w:p w14:paraId="2C010D7D" w14:textId="77777777" w:rsidR="002C5F31" w:rsidRPr="002C5F31" w:rsidRDefault="002C5F31" w:rsidP="005B1125">
            <w:pPr>
              <w:spacing w:before="0" w:after="0" w:line="240" w:lineRule="auto"/>
              <w:jc w:val="center"/>
              <w:rPr>
                <w:rFonts w:eastAsia="Times New Roman"/>
                <w:color w:val="000000"/>
                <w:sz w:val="22"/>
                <w:szCs w:val="22"/>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3F6F40EA"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1680" w:type="dxa"/>
            <w:tcBorders>
              <w:top w:val="nil"/>
              <w:left w:val="nil"/>
              <w:bottom w:val="nil"/>
              <w:right w:val="nil"/>
            </w:tcBorders>
            <w:shd w:val="clear" w:color="auto" w:fill="A6A6A6" w:themeFill="background1" w:themeFillShade="A6"/>
            <w:noWrap/>
            <w:vAlign w:val="bottom"/>
            <w:hideMark/>
          </w:tcPr>
          <w:p w14:paraId="2A1A15F2"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80" w:type="dxa"/>
            <w:tcBorders>
              <w:top w:val="nil"/>
              <w:left w:val="nil"/>
              <w:bottom w:val="nil"/>
              <w:right w:val="nil"/>
            </w:tcBorders>
            <w:shd w:val="clear" w:color="auto" w:fill="A6A6A6" w:themeFill="background1" w:themeFillShade="A6"/>
            <w:noWrap/>
            <w:vAlign w:val="bottom"/>
            <w:hideMark/>
          </w:tcPr>
          <w:p w14:paraId="45C89C96"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40" w:type="dxa"/>
            <w:tcBorders>
              <w:top w:val="nil"/>
              <w:left w:val="nil"/>
              <w:bottom w:val="nil"/>
              <w:right w:val="nil"/>
            </w:tcBorders>
            <w:shd w:val="clear" w:color="auto" w:fill="A6A6A6" w:themeFill="background1" w:themeFillShade="A6"/>
            <w:noWrap/>
            <w:vAlign w:val="bottom"/>
            <w:hideMark/>
          </w:tcPr>
          <w:p w14:paraId="3C2BFEC2"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7ED93143"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6D43E0E8"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c>
          <w:tcPr>
            <w:tcW w:w="960" w:type="dxa"/>
            <w:tcBorders>
              <w:top w:val="nil"/>
              <w:left w:val="nil"/>
              <w:bottom w:val="nil"/>
              <w:right w:val="nil"/>
            </w:tcBorders>
            <w:shd w:val="clear" w:color="auto" w:fill="A6A6A6" w:themeFill="background1" w:themeFillShade="A6"/>
            <w:noWrap/>
            <w:vAlign w:val="bottom"/>
            <w:hideMark/>
          </w:tcPr>
          <w:p w14:paraId="60181100" w14:textId="77777777" w:rsidR="002C5F31" w:rsidRPr="002C5F31" w:rsidRDefault="002C5F31" w:rsidP="005B1125">
            <w:pPr>
              <w:spacing w:before="0" w:after="0" w:line="240" w:lineRule="auto"/>
              <w:jc w:val="left"/>
              <w:rPr>
                <w:rFonts w:eastAsia="Times New Roman"/>
                <w:color w:val="auto"/>
                <w:sz w:val="20"/>
                <w:szCs w:val="20"/>
                <w:lang w:val="en-MY" w:eastAsia="en-MY"/>
              </w:rPr>
            </w:pPr>
          </w:p>
        </w:tc>
      </w:tr>
      <w:tr w:rsidR="002C5F31" w:rsidRPr="002C5F31" w14:paraId="5BD66A6B" w14:textId="77777777" w:rsidTr="005B1125">
        <w:trPr>
          <w:trHeight w:val="300"/>
        </w:trPr>
        <w:tc>
          <w:tcPr>
            <w:tcW w:w="820" w:type="dxa"/>
            <w:tcBorders>
              <w:top w:val="single" w:sz="4" w:space="0" w:color="auto"/>
              <w:left w:val="nil"/>
              <w:bottom w:val="nil"/>
              <w:right w:val="nil"/>
            </w:tcBorders>
            <w:shd w:val="clear" w:color="auto" w:fill="auto"/>
            <w:noWrap/>
            <w:vAlign w:val="bottom"/>
            <w:hideMark/>
          </w:tcPr>
          <w:p w14:paraId="40BC128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single" w:sz="4" w:space="0" w:color="auto"/>
              <w:left w:val="single" w:sz="4" w:space="0" w:color="auto"/>
              <w:bottom w:val="nil"/>
              <w:right w:val="nil"/>
            </w:tcBorders>
            <w:shd w:val="clear" w:color="auto" w:fill="auto"/>
            <w:noWrap/>
            <w:vAlign w:val="bottom"/>
            <w:hideMark/>
          </w:tcPr>
          <w:p w14:paraId="0A1FC73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1680" w:type="dxa"/>
            <w:tcBorders>
              <w:top w:val="single" w:sz="4" w:space="0" w:color="auto"/>
              <w:left w:val="single" w:sz="4" w:space="0" w:color="auto"/>
              <w:bottom w:val="nil"/>
              <w:right w:val="single" w:sz="4" w:space="0" w:color="auto"/>
            </w:tcBorders>
            <w:shd w:val="clear" w:color="auto" w:fill="auto"/>
            <w:noWrap/>
            <w:vAlign w:val="bottom"/>
            <w:hideMark/>
          </w:tcPr>
          <w:p w14:paraId="0029903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Mean SP duration</w:t>
            </w:r>
          </w:p>
        </w:tc>
        <w:tc>
          <w:tcPr>
            <w:tcW w:w="19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58DAF7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95% CI</w:t>
            </w:r>
          </w:p>
        </w:tc>
        <w:tc>
          <w:tcPr>
            <w:tcW w:w="960" w:type="dxa"/>
            <w:tcBorders>
              <w:top w:val="single" w:sz="4" w:space="0" w:color="auto"/>
              <w:left w:val="nil"/>
              <w:bottom w:val="nil"/>
              <w:right w:val="single" w:sz="4" w:space="0" w:color="auto"/>
            </w:tcBorders>
            <w:shd w:val="clear" w:color="auto" w:fill="auto"/>
            <w:noWrap/>
            <w:vAlign w:val="bottom"/>
            <w:hideMark/>
          </w:tcPr>
          <w:p w14:paraId="3792731B" w14:textId="77777777" w:rsidR="002C5F31" w:rsidRPr="002F15E8" w:rsidRDefault="002C5F31" w:rsidP="005B1125">
            <w:pPr>
              <w:spacing w:before="0" w:after="0" w:line="240" w:lineRule="auto"/>
              <w:jc w:val="center"/>
              <w:rPr>
                <w:rFonts w:eastAsia="Times New Roman"/>
                <w:i/>
                <w:iCs/>
                <w:color w:val="000000"/>
                <w:sz w:val="22"/>
                <w:szCs w:val="22"/>
                <w:lang w:val="en-MY" w:eastAsia="en-MY"/>
              </w:rPr>
            </w:pPr>
            <w:r w:rsidRPr="002F15E8">
              <w:rPr>
                <w:rFonts w:eastAsia="Times New Roman"/>
                <w:i/>
                <w:iCs/>
                <w:color w:val="000000"/>
                <w:sz w:val="22"/>
                <w:szCs w:val="22"/>
                <w:lang w:val="en-MY" w:eastAsia="en-MY"/>
              </w:rPr>
              <w:t>t</w:t>
            </w:r>
          </w:p>
        </w:tc>
        <w:tc>
          <w:tcPr>
            <w:tcW w:w="960" w:type="dxa"/>
            <w:tcBorders>
              <w:top w:val="single" w:sz="4" w:space="0" w:color="auto"/>
              <w:left w:val="nil"/>
              <w:bottom w:val="nil"/>
              <w:right w:val="single" w:sz="4" w:space="0" w:color="auto"/>
            </w:tcBorders>
            <w:shd w:val="clear" w:color="auto" w:fill="auto"/>
            <w:noWrap/>
            <w:vAlign w:val="bottom"/>
            <w:hideMark/>
          </w:tcPr>
          <w:p w14:paraId="08569E1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df</w:t>
            </w:r>
          </w:p>
        </w:tc>
        <w:tc>
          <w:tcPr>
            <w:tcW w:w="960" w:type="dxa"/>
            <w:tcBorders>
              <w:top w:val="single" w:sz="4" w:space="0" w:color="auto"/>
              <w:left w:val="nil"/>
              <w:bottom w:val="nil"/>
              <w:right w:val="nil"/>
            </w:tcBorders>
            <w:shd w:val="clear" w:color="auto" w:fill="auto"/>
            <w:noWrap/>
            <w:vAlign w:val="bottom"/>
            <w:hideMark/>
          </w:tcPr>
          <w:p w14:paraId="7DFC8710"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F15E8">
              <w:rPr>
                <w:rFonts w:eastAsia="Times New Roman"/>
                <w:i/>
                <w:iCs/>
                <w:color w:val="000000"/>
                <w:sz w:val="22"/>
                <w:szCs w:val="22"/>
                <w:lang w:val="en-MY" w:eastAsia="en-MY"/>
              </w:rPr>
              <w:t>p</w:t>
            </w:r>
            <w:r w:rsidRPr="002C5F31">
              <w:rPr>
                <w:rFonts w:eastAsia="Times New Roman"/>
                <w:color w:val="000000"/>
                <w:sz w:val="22"/>
                <w:szCs w:val="22"/>
                <w:lang w:val="en-MY" w:eastAsia="en-MY"/>
              </w:rPr>
              <w:t>-value</w:t>
            </w:r>
          </w:p>
        </w:tc>
      </w:tr>
      <w:tr w:rsidR="002C5F31" w:rsidRPr="002C5F31" w14:paraId="1FE87F98"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4BBD8395"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6DB68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1680" w:type="dxa"/>
            <w:tcBorders>
              <w:top w:val="nil"/>
              <w:left w:val="nil"/>
              <w:bottom w:val="single" w:sz="4" w:space="0" w:color="auto"/>
              <w:right w:val="single" w:sz="4" w:space="0" w:color="auto"/>
            </w:tcBorders>
            <w:shd w:val="clear" w:color="auto" w:fill="auto"/>
            <w:noWrap/>
            <w:vAlign w:val="bottom"/>
            <w:hideMark/>
          </w:tcPr>
          <w:p w14:paraId="4BFF68B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80" w:type="dxa"/>
            <w:tcBorders>
              <w:top w:val="nil"/>
              <w:left w:val="nil"/>
              <w:bottom w:val="single" w:sz="4" w:space="0" w:color="auto"/>
              <w:right w:val="nil"/>
            </w:tcBorders>
            <w:shd w:val="clear" w:color="auto" w:fill="auto"/>
            <w:noWrap/>
            <w:vAlign w:val="bottom"/>
            <w:hideMark/>
          </w:tcPr>
          <w:p w14:paraId="206176B2"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Lower</w:t>
            </w:r>
          </w:p>
        </w:tc>
        <w:tc>
          <w:tcPr>
            <w:tcW w:w="940" w:type="dxa"/>
            <w:tcBorders>
              <w:top w:val="nil"/>
              <w:left w:val="nil"/>
              <w:bottom w:val="single" w:sz="4" w:space="0" w:color="auto"/>
              <w:right w:val="single" w:sz="4" w:space="0" w:color="auto"/>
            </w:tcBorders>
            <w:shd w:val="clear" w:color="auto" w:fill="auto"/>
            <w:noWrap/>
            <w:vAlign w:val="bottom"/>
            <w:hideMark/>
          </w:tcPr>
          <w:p w14:paraId="56135D4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Upper</w:t>
            </w:r>
          </w:p>
        </w:tc>
        <w:tc>
          <w:tcPr>
            <w:tcW w:w="960" w:type="dxa"/>
            <w:tcBorders>
              <w:top w:val="nil"/>
              <w:left w:val="nil"/>
              <w:bottom w:val="single" w:sz="4" w:space="0" w:color="auto"/>
              <w:right w:val="single" w:sz="4" w:space="0" w:color="auto"/>
            </w:tcBorders>
            <w:shd w:val="clear" w:color="auto" w:fill="auto"/>
            <w:noWrap/>
            <w:vAlign w:val="bottom"/>
            <w:hideMark/>
          </w:tcPr>
          <w:p w14:paraId="3FEF86F3"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6318FDA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50C7E6A7"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4711968C" w14:textId="77777777" w:rsidTr="005B1125">
        <w:trPr>
          <w:trHeight w:val="300"/>
        </w:trPr>
        <w:tc>
          <w:tcPr>
            <w:tcW w:w="820" w:type="dxa"/>
            <w:tcBorders>
              <w:top w:val="nil"/>
              <w:left w:val="nil"/>
              <w:bottom w:val="nil"/>
              <w:right w:val="nil"/>
            </w:tcBorders>
            <w:shd w:val="clear" w:color="auto" w:fill="auto"/>
            <w:noWrap/>
            <w:vAlign w:val="bottom"/>
            <w:hideMark/>
          </w:tcPr>
          <w:p w14:paraId="3573A56A"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1</w:t>
            </w:r>
          </w:p>
        </w:tc>
        <w:tc>
          <w:tcPr>
            <w:tcW w:w="960" w:type="dxa"/>
            <w:tcBorders>
              <w:top w:val="nil"/>
              <w:left w:val="single" w:sz="4" w:space="0" w:color="auto"/>
              <w:bottom w:val="nil"/>
              <w:right w:val="single" w:sz="4" w:space="0" w:color="auto"/>
            </w:tcBorders>
            <w:shd w:val="clear" w:color="auto" w:fill="auto"/>
            <w:noWrap/>
            <w:vAlign w:val="bottom"/>
            <w:hideMark/>
          </w:tcPr>
          <w:p w14:paraId="309D9A04"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F1.S1 </w:t>
            </w:r>
          </w:p>
        </w:tc>
        <w:tc>
          <w:tcPr>
            <w:tcW w:w="1680" w:type="dxa"/>
            <w:tcBorders>
              <w:top w:val="nil"/>
              <w:left w:val="nil"/>
              <w:bottom w:val="nil"/>
              <w:right w:val="single" w:sz="4" w:space="0" w:color="auto"/>
            </w:tcBorders>
            <w:shd w:val="clear" w:color="auto" w:fill="auto"/>
            <w:noWrap/>
            <w:vAlign w:val="bottom"/>
            <w:hideMark/>
          </w:tcPr>
          <w:p w14:paraId="292A625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253</w:t>
            </w:r>
          </w:p>
        </w:tc>
        <w:tc>
          <w:tcPr>
            <w:tcW w:w="980" w:type="dxa"/>
            <w:tcBorders>
              <w:top w:val="nil"/>
              <w:left w:val="nil"/>
              <w:bottom w:val="nil"/>
              <w:right w:val="nil"/>
            </w:tcBorders>
            <w:shd w:val="clear" w:color="auto" w:fill="auto"/>
            <w:noWrap/>
            <w:vAlign w:val="bottom"/>
            <w:hideMark/>
          </w:tcPr>
          <w:p w14:paraId="5A0CA4F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-39.17</w:t>
            </w:r>
          </w:p>
        </w:tc>
        <w:tc>
          <w:tcPr>
            <w:tcW w:w="940" w:type="dxa"/>
            <w:tcBorders>
              <w:top w:val="nil"/>
              <w:left w:val="nil"/>
              <w:bottom w:val="nil"/>
              <w:right w:val="single" w:sz="4" w:space="0" w:color="auto"/>
            </w:tcBorders>
            <w:shd w:val="clear" w:color="auto" w:fill="auto"/>
            <w:noWrap/>
            <w:vAlign w:val="bottom"/>
            <w:hideMark/>
          </w:tcPr>
          <w:p w14:paraId="3221520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57.11</w:t>
            </w:r>
          </w:p>
        </w:tc>
        <w:tc>
          <w:tcPr>
            <w:tcW w:w="960" w:type="dxa"/>
            <w:tcBorders>
              <w:top w:val="nil"/>
              <w:left w:val="nil"/>
              <w:bottom w:val="nil"/>
              <w:right w:val="single" w:sz="4" w:space="0" w:color="auto"/>
            </w:tcBorders>
            <w:shd w:val="clear" w:color="auto" w:fill="auto"/>
            <w:noWrap/>
            <w:vAlign w:val="bottom"/>
            <w:hideMark/>
          </w:tcPr>
          <w:p w14:paraId="4354962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0.40</w:t>
            </w:r>
          </w:p>
        </w:tc>
        <w:tc>
          <w:tcPr>
            <w:tcW w:w="960" w:type="dxa"/>
            <w:tcBorders>
              <w:top w:val="nil"/>
              <w:left w:val="nil"/>
              <w:bottom w:val="nil"/>
              <w:right w:val="single" w:sz="4" w:space="0" w:color="auto"/>
            </w:tcBorders>
            <w:shd w:val="clear" w:color="auto" w:fill="auto"/>
            <w:noWrap/>
            <w:vAlign w:val="bottom"/>
            <w:hideMark/>
          </w:tcPr>
          <w:p w14:paraId="1F115E8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78649E1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0.70</w:t>
            </w:r>
          </w:p>
        </w:tc>
      </w:tr>
      <w:tr w:rsidR="002C5F31" w:rsidRPr="002C5F31" w14:paraId="541E1742"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08C949B6"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1D7E3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1.S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5F7FFF8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244</w:t>
            </w:r>
          </w:p>
        </w:tc>
        <w:tc>
          <w:tcPr>
            <w:tcW w:w="980" w:type="dxa"/>
            <w:tcBorders>
              <w:top w:val="nil"/>
              <w:left w:val="nil"/>
              <w:bottom w:val="single" w:sz="4" w:space="0" w:color="auto"/>
              <w:right w:val="nil"/>
            </w:tcBorders>
            <w:shd w:val="clear" w:color="auto" w:fill="auto"/>
            <w:noWrap/>
            <w:vAlign w:val="bottom"/>
            <w:hideMark/>
          </w:tcPr>
          <w:p w14:paraId="4C7B18C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2971E38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11339BF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03F27932"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08202452"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07D99403" w14:textId="77777777" w:rsidTr="005B1125">
        <w:trPr>
          <w:trHeight w:val="300"/>
        </w:trPr>
        <w:tc>
          <w:tcPr>
            <w:tcW w:w="820" w:type="dxa"/>
            <w:tcBorders>
              <w:top w:val="nil"/>
              <w:left w:val="nil"/>
              <w:bottom w:val="nil"/>
              <w:right w:val="nil"/>
            </w:tcBorders>
            <w:shd w:val="clear" w:color="auto" w:fill="auto"/>
            <w:noWrap/>
            <w:vAlign w:val="bottom"/>
            <w:hideMark/>
          </w:tcPr>
          <w:p w14:paraId="216F250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2</w:t>
            </w:r>
          </w:p>
        </w:tc>
        <w:tc>
          <w:tcPr>
            <w:tcW w:w="960" w:type="dxa"/>
            <w:tcBorders>
              <w:top w:val="nil"/>
              <w:left w:val="single" w:sz="4" w:space="0" w:color="auto"/>
              <w:bottom w:val="nil"/>
              <w:right w:val="single" w:sz="4" w:space="0" w:color="auto"/>
            </w:tcBorders>
            <w:shd w:val="clear" w:color="auto" w:fill="auto"/>
            <w:noWrap/>
            <w:vAlign w:val="bottom"/>
            <w:hideMark/>
          </w:tcPr>
          <w:p w14:paraId="3FEC6685"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F2.S1 </w:t>
            </w:r>
          </w:p>
        </w:tc>
        <w:tc>
          <w:tcPr>
            <w:tcW w:w="1680" w:type="dxa"/>
            <w:tcBorders>
              <w:top w:val="nil"/>
              <w:left w:val="nil"/>
              <w:bottom w:val="nil"/>
              <w:right w:val="single" w:sz="4" w:space="0" w:color="auto"/>
            </w:tcBorders>
            <w:shd w:val="clear" w:color="auto" w:fill="auto"/>
            <w:noWrap/>
            <w:vAlign w:val="bottom"/>
            <w:hideMark/>
          </w:tcPr>
          <w:p w14:paraId="6B25C22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183</w:t>
            </w:r>
          </w:p>
        </w:tc>
        <w:tc>
          <w:tcPr>
            <w:tcW w:w="980" w:type="dxa"/>
            <w:tcBorders>
              <w:top w:val="nil"/>
              <w:left w:val="nil"/>
              <w:bottom w:val="nil"/>
              <w:right w:val="nil"/>
            </w:tcBorders>
            <w:shd w:val="clear" w:color="auto" w:fill="auto"/>
            <w:noWrap/>
            <w:vAlign w:val="bottom"/>
            <w:hideMark/>
          </w:tcPr>
          <w:p w14:paraId="229610B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-59.84</w:t>
            </w:r>
          </w:p>
        </w:tc>
        <w:tc>
          <w:tcPr>
            <w:tcW w:w="940" w:type="dxa"/>
            <w:tcBorders>
              <w:top w:val="nil"/>
              <w:left w:val="nil"/>
              <w:bottom w:val="nil"/>
              <w:right w:val="single" w:sz="4" w:space="0" w:color="auto"/>
            </w:tcBorders>
            <w:shd w:val="clear" w:color="auto" w:fill="auto"/>
            <w:noWrap/>
            <w:vAlign w:val="bottom"/>
            <w:hideMark/>
          </w:tcPr>
          <w:p w14:paraId="720CC98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52.43</w:t>
            </w:r>
          </w:p>
        </w:tc>
        <w:tc>
          <w:tcPr>
            <w:tcW w:w="960" w:type="dxa"/>
            <w:tcBorders>
              <w:top w:val="nil"/>
              <w:left w:val="nil"/>
              <w:bottom w:val="nil"/>
              <w:right w:val="single" w:sz="4" w:space="0" w:color="auto"/>
            </w:tcBorders>
            <w:shd w:val="clear" w:color="auto" w:fill="auto"/>
            <w:noWrap/>
            <w:vAlign w:val="bottom"/>
            <w:hideMark/>
          </w:tcPr>
          <w:p w14:paraId="6F9CE41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-0.14</w:t>
            </w:r>
          </w:p>
        </w:tc>
        <w:tc>
          <w:tcPr>
            <w:tcW w:w="960" w:type="dxa"/>
            <w:tcBorders>
              <w:top w:val="nil"/>
              <w:left w:val="nil"/>
              <w:bottom w:val="nil"/>
              <w:right w:val="single" w:sz="4" w:space="0" w:color="auto"/>
            </w:tcBorders>
            <w:shd w:val="clear" w:color="auto" w:fill="auto"/>
            <w:noWrap/>
            <w:vAlign w:val="bottom"/>
            <w:hideMark/>
          </w:tcPr>
          <w:p w14:paraId="70E807D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1082E00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0.89</w:t>
            </w:r>
          </w:p>
        </w:tc>
      </w:tr>
      <w:tr w:rsidR="002C5F31" w:rsidRPr="002C5F31" w14:paraId="4ACDFF75"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410FE94B"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75B08C"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2.S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3002BD95"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187</w:t>
            </w:r>
          </w:p>
        </w:tc>
        <w:tc>
          <w:tcPr>
            <w:tcW w:w="980" w:type="dxa"/>
            <w:tcBorders>
              <w:top w:val="nil"/>
              <w:left w:val="nil"/>
              <w:bottom w:val="single" w:sz="4" w:space="0" w:color="auto"/>
              <w:right w:val="nil"/>
            </w:tcBorders>
            <w:shd w:val="clear" w:color="auto" w:fill="auto"/>
            <w:noWrap/>
            <w:vAlign w:val="bottom"/>
            <w:hideMark/>
          </w:tcPr>
          <w:p w14:paraId="742FC4FB"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67A4D8C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3A1E27FC"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31F0BD86"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7BA3826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3A43F3DC" w14:textId="77777777" w:rsidTr="005B1125">
        <w:trPr>
          <w:trHeight w:val="300"/>
        </w:trPr>
        <w:tc>
          <w:tcPr>
            <w:tcW w:w="820" w:type="dxa"/>
            <w:tcBorders>
              <w:top w:val="nil"/>
              <w:left w:val="nil"/>
              <w:bottom w:val="nil"/>
              <w:right w:val="nil"/>
            </w:tcBorders>
            <w:shd w:val="clear" w:color="auto" w:fill="auto"/>
            <w:noWrap/>
            <w:vAlign w:val="bottom"/>
            <w:hideMark/>
          </w:tcPr>
          <w:p w14:paraId="5BCE1022"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3</w:t>
            </w:r>
          </w:p>
        </w:tc>
        <w:tc>
          <w:tcPr>
            <w:tcW w:w="960" w:type="dxa"/>
            <w:tcBorders>
              <w:top w:val="nil"/>
              <w:left w:val="single" w:sz="4" w:space="0" w:color="auto"/>
              <w:bottom w:val="nil"/>
              <w:right w:val="single" w:sz="4" w:space="0" w:color="auto"/>
            </w:tcBorders>
            <w:shd w:val="clear" w:color="auto" w:fill="auto"/>
            <w:noWrap/>
            <w:vAlign w:val="bottom"/>
            <w:hideMark/>
          </w:tcPr>
          <w:p w14:paraId="0B4DC005"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xml:space="preserve">F3.S1 </w:t>
            </w:r>
          </w:p>
        </w:tc>
        <w:tc>
          <w:tcPr>
            <w:tcW w:w="1680" w:type="dxa"/>
            <w:tcBorders>
              <w:top w:val="nil"/>
              <w:left w:val="nil"/>
              <w:bottom w:val="nil"/>
              <w:right w:val="single" w:sz="4" w:space="0" w:color="auto"/>
            </w:tcBorders>
            <w:shd w:val="clear" w:color="auto" w:fill="auto"/>
            <w:noWrap/>
            <w:vAlign w:val="bottom"/>
            <w:hideMark/>
          </w:tcPr>
          <w:p w14:paraId="40CC473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143</w:t>
            </w:r>
          </w:p>
        </w:tc>
        <w:tc>
          <w:tcPr>
            <w:tcW w:w="980" w:type="dxa"/>
            <w:tcBorders>
              <w:top w:val="nil"/>
              <w:left w:val="nil"/>
              <w:bottom w:val="nil"/>
              <w:right w:val="nil"/>
            </w:tcBorders>
            <w:shd w:val="clear" w:color="auto" w:fill="auto"/>
            <w:noWrap/>
            <w:vAlign w:val="bottom"/>
            <w:hideMark/>
          </w:tcPr>
          <w:p w14:paraId="77D5338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-61.87</w:t>
            </w:r>
          </w:p>
        </w:tc>
        <w:tc>
          <w:tcPr>
            <w:tcW w:w="940" w:type="dxa"/>
            <w:tcBorders>
              <w:top w:val="nil"/>
              <w:left w:val="nil"/>
              <w:bottom w:val="nil"/>
              <w:right w:val="single" w:sz="4" w:space="0" w:color="auto"/>
            </w:tcBorders>
            <w:shd w:val="clear" w:color="auto" w:fill="auto"/>
            <w:noWrap/>
            <w:vAlign w:val="bottom"/>
            <w:hideMark/>
          </w:tcPr>
          <w:p w14:paraId="492638AD"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-3.72</w:t>
            </w:r>
          </w:p>
        </w:tc>
        <w:tc>
          <w:tcPr>
            <w:tcW w:w="960" w:type="dxa"/>
            <w:tcBorders>
              <w:top w:val="nil"/>
              <w:left w:val="nil"/>
              <w:bottom w:val="nil"/>
              <w:right w:val="single" w:sz="4" w:space="0" w:color="auto"/>
            </w:tcBorders>
            <w:shd w:val="clear" w:color="auto" w:fill="auto"/>
            <w:noWrap/>
            <w:vAlign w:val="bottom"/>
            <w:hideMark/>
          </w:tcPr>
          <w:p w14:paraId="5A592A1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-2.39</w:t>
            </w:r>
          </w:p>
        </w:tc>
        <w:tc>
          <w:tcPr>
            <w:tcW w:w="960" w:type="dxa"/>
            <w:tcBorders>
              <w:top w:val="nil"/>
              <w:left w:val="nil"/>
              <w:bottom w:val="nil"/>
              <w:right w:val="single" w:sz="4" w:space="0" w:color="auto"/>
            </w:tcBorders>
            <w:shd w:val="clear" w:color="auto" w:fill="auto"/>
            <w:noWrap/>
            <w:vAlign w:val="bottom"/>
            <w:hideMark/>
          </w:tcPr>
          <w:p w14:paraId="29B003F4"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w:t>
            </w:r>
          </w:p>
        </w:tc>
        <w:tc>
          <w:tcPr>
            <w:tcW w:w="960" w:type="dxa"/>
            <w:tcBorders>
              <w:top w:val="nil"/>
              <w:left w:val="nil"/>
              <w:bottom w:val="nil"/>
              <w:right w:val="nil"/>
            </w:tcBorders>
            <w:shd w:val="clear" w:color="auto" w:fill="auto"/>
            <w:noWrap/>
            <w:vAlign w:val="bottom"/>
            <w:hideMark/>
          </w:tcPr>
          <w:p w14:paraId="60947471"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0.03*</w:t>
            </w:r>
          </w:p>
        </w:tc>
      </w:tr>
      <w:tr w:rsidR="002C5F31" w:rsidRPr="002C5F31" w14:paraId="6201AADD"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5BEF0C79"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BE57B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3.S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2D381EE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176</w:t>
            </w:r>
          </w:p>
        </w:tc>
        <w:tc>
          <w:tcPr>
            <w:tcW w:w="980" w:type="dxa"/>
            <w:tcBorders>
              <w:top w:val="nil"/>
              <w:left w:val="nil"/>
              <w:bottom w:val="single" w:sz="4" w:space="0" w:color="auto"/>
              <w:right w:val="nil"/>
            </w:tcBorders>
            <w:shd w:val="clear" w:color="auto" w:fill="auto"/>
            <w:noWrap/>
            <w:vAlign w:val="bottom"/>
            <w:hideMark/>
          </w:tcPr>
          <w:p w14:paraId="5D06AE3B"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6456E240"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7432A2C3"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559B1A29"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3A477288"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r w:rsidR="002C5F31" w:rsidRPr="002C5F31" w14:paraId="17AFA44D" w14:textId="77777777" w:rsidTr="005B1125">
        <w:trPr>
          <w:trHeight w:val="300"/>
        </w:trPr>
        <w:tc>
          <w:tcPr>
            <w:tcW w:w="820" w:type="dxa"/>
            <w:tcBorders>
              <w:top w:val="nil"/>
              <w:left w:val="nil"/>
              <w:bottom w:val="nil"/>
              <w:right w:val="nil"/>
            </w:tcBorders>
            <w:shd w:val="clear" w:color="auto" w:fill="auto"/>
            <w:noWrap/>
            <w:vAlign w:val="bottom"/>
            <w:hideMark/>
          </w:tcPr>
          <w:p w14:paraId="7504C9DB"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Pair 4</w:t>
            </w:r>
          </w:p>
        </w:tc>
        <w:tc>
          <w:tcPr>
            <w:tcW w:w="960" w:type="dxa"/>
            <w:tcBorders>
              <w:top w:val="nil"/>
              <w:left w:val="single" w:sz="4" w:space="0" w:color="auto"/>
              <w:bottom w:val="nil"/>
              <w:right w:val="single" w:sz="4" w:space="0" w:color="auto"/>
            </w:tcBorders>
            <w:shd w:val="clear" w:color="auto" w:fill="auto"/>
            <w:noWrap/>
            <w:vAlign w:val="bottom"/>
            <w:hideMark/>
          </w:tcPr>
          <w:p w14:paraId="53C0D423"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4.S</w:t>
            </w:r>
            <w:proofErr w:type="gramEnd"/>
            <w:r w:rsidRPr="002C5F31">
              <w:rPr>
                <w:rFonts w:eastAsia="Times New Roman"/>
                <w:color w:val="000000"/>
                <w:sz w:val="22"/>
                <w:szCs w:val="22"/>
                <w:lang w:val="en-MY" w:eastAsia="en-MY"/>
              </w:rPr>
              <w:t>1</w:t>
            </w:r>
          </w:p>
        </w:tc>
        <w:tc>
          <w:tcPr>
            <w:tcW w:w="1680" w:type="dxa"/>
            <w:tcBorders>
              <w:top w:val="nil"/>
              <w:left w:val="nil"/>
              <w:bottom w:val="nil"/>
              <w:right w:val="single" w:sz="4" w:space="0" w:color="auto"/>
            </w:tcBorders>
            <w:shd w:val="clear" w:color="auto" w:fill="auto"/>
            <w:noWrap/>
            <w:vAlign w:val="bottom"/>
            <w:hideMark/>
          </w:tcPr>
          <w:p w14:paraId="27972D0A"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128</w:t>
            </w:r>
          </w:p>
        </w:tc>
        <w:tc>
          <w:tcPr>
            <w:tcW w:w="980" w:type="dxa"/>
            <w:tcBorders>
              <w:top w:val="nil"/>
              <w:left w:val="nil"/>
              <w:bottom w:val="nil"/>
              <w:right w:val="nil"/>
            </w:tcBorders>
            <w:shd w:val="clear" w:color="auto" w:fill="auto"/>
            <w:noWrap/>
            <w:vAlign w:val="bottom"/>
            <w:hideMark/>
          </w:tcPr>
          <w:p w14:paraId="6DA7A8C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-73.57</w:t>
            </w:r>
          </w:p>
        </w:tc>
        <w:tc>
          <w:tcPr>
            <w:tcW w:w="940" w:type="dxa"/>
            <w:tcBorders>
              <w:top w:val="nil"/>
              <w:left w:val="nil"/>
              <w:bottom w:val="nil"/>
              <w:right w:val="single" w:sz="4" w:space="0" w:color="auto"/>
            </w:tcBorders>
            <w:shd w:val="clear" w:color="auto" w:fill="auto"/>
            <w:noWrap/>
            <w:vAlign w:val="bottom"/>
            <w:hideMark/>
          </w:tcPr>
          <w:p w14:paraId="5403CE50"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-7.05</w:t>
            </w:r>
          </w:p>
        </w:tc>
        <w:tc>
          <w:tcPr>
            <w:tcW w:w="960" w:type="dxa"/>
            <w:tcBorders>
              <w:top w:val="nil"/>
              <w:left w:val="nil"/>
              <w:bottom w:val="nil"/>
              <w:right w:val="single" w:sz="4" w:space="0" w:color="auto"/>
            </w:tcBorders>
            <w:shd w:val="clear" w:color="auto" w:fill="auto"/>
            <w:noWrap/>
            <w:vAlign w:val="bottom"/>
            <w:hideMark/>
          </w:tcPr>
          <w:p w14:paraId="310EA70F"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-2.64</w:t>
            </w:r>
          </w:p>
        </w:tc>
        <w:tc>
          <w:tcPr>
            <w:tcW w:w="960" w:type="dxa"/>
            <w:tcBorders>
              <w:top w:val="nil"/>
              <w:left w:val="nil"/>
              <w:bottom w:val="nil"/>
              <w:right w:val="single" w:sz="4" w:space="0" w:color="auto"/>
            </w:tcBorders>
            <w:shd w:val="clear" w:color="auto" w:fill="auto"/>
            <w:noWrap/>
            <w:vAlign w:val="bottom"/>
            <w:hideMark/>
          </w:tcPr>
          <w:p w14:paraId="1A2BB5AE"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12</w:t>
            </w:r>
          </w:p>
        </w:tc>
        <w:tc>
          <w:tcPr>
            <w:tcW w:w="960" w:type="dxa"/>
            <w:tcBorders>
              <w:top w:val="nil"/>
              <w:left w:val="nil"/>
              <w:bottom w:val="nil"/>
              <w:right w:val="nil"/>
            </w:tcBorders>
            <w:shd w:val="clear" w:color="auto" w:fill="auto"/>
            <w:noWrap/>
            <w:vAlign w:val="bottom"/>
            <w:hideMark/>
          </w:tcPr>
          <w:p w14:paraId="19E595C7"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0.02*</w:t>
            </w:r>
          </w:p>
        </w:tc>
      </w:tr>
      <w:tr w:rsidR="002C5F31" w:rsidRPr="002C5F31" w14:paraId="0915AF63" w14:textId="77777777" w:rsidTr="005B1125">
        <w:trPr>
          <w:trHeight w:val="300"/>
        </w:trPr>
        <w:tc>
          <w:tcPr>
            <w:tcW w:w="820" w:type="dxa"/>
            <w:tcBorders>
              <w:top w:val="nil"/>
              <w:left w:val="nil"/>
              <w:bottom w:val="single" w:sz="4" w:space="0" w:color="auto"/>
              <w:right w:val="nil"/>
            </w:tcBorders>
            <w:shd w:val="clear" w:color="auto" w:fill="auto"/>
            <w:noWrap/>
            <w:vAlign w:val="bottom"/>
            <w:hideMark/>
          </w:tcPr>
          <w:p w14:paraId="483EC981"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C54829"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F</w:t>
            </w:r>
            <w:proofErr w:type="gramStart"/>
            <w:r w:rsidRPr="002C5F31">
              <w:rPr>
                <w:rFonts w:eastAsia="Times New Roman"/>
                <w:color w:val="000000"/>
                <w:sz w:val="22"/>
                <w:szCs w:val="22"/>
                <w:lang w:val="en-MY" w:eastAsia="en-MY"/>
              </w:rPr>
              <w:t>4.S</w:t>
            </w:r>
            <w:proofErr w:type="gramEnd"/>
            <w:r w:rsidRPr="002C5F31">
              <w:rPr>
                <w:rFonts w:eastAsia="Times New Roman"/>
                <w:color w:val="000000"/>
                <w:sz w:val="22"/>
                <w:szCs w:val="22"/>
                <w:lang w:val="en-MY" w:eastAsia="en-MY"/>
              </w:rPr>
              <w:t>2</w:t>
            </w:r>
          </w:p>
        </w:tc>
        <w:tc>
          <w:tcPr>
            <w:tcW w:w="1680" w:type="dxa"/>
            <w:tcBorders>
              <w:top w:val="nil"/>
              <w:left w:val="nil"/>
              <w:bottom w:val="single" w:sz="4" w:space="0" w:color="auto"/>
              <w:right w:val="single" w:sz="4" w:space="0" w:color="auto"/>
            </w:tcBorders>
            <w:shd w:val="clear" w:color="auto" w:fill="auto"/>
            <w:noWrap/>
            <w:vAlign w:val="bottom"/>
            <w:hideMark/>
          </w:tcPr>
          <w:p w14:paraId="4A6E0EC2" w14:textId="77777777" w:rsidR="002C5F31" w:rsidRPr="002C5F31" w:rsidRDefault="002C5F31" w:rsidP="005B1125">
            <w:pPr>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168</w:t>
            </w:r>
          </w:p>
        </w:tc>
        <w:tc>
          <w:tcPr>
            <w:tcW w:w="980" w:type="dxa"/>
            <w:tcBorders>
              <w:top w:val="nil"/>
              <w:left w:val="nil"/>
              <w:bottom w:val="single" w:sz="4" w:space="0" w:color="auto"/>
              <w:right w:val="nil"/>
            </w:tcBorders>
            <w:shd w:val="clear" w:color="auto" w:fill="auto"/>
            <w:noWrap/>
            <w:vAlign w:val="bottom"/>
            <w:hideMark/>
          </w:tcPr>
          <w:p w14:paraId="7B38F55A"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40" w:type="dxa"/>
            <w:tcBorders>
              <w:top w:val="nil"/>
              <w:left w:val="nil"/>
              <w:bottom w:val="single" w:sz="4" w:space="0" w:color="auto"/>
              <w:right w:val="single" w:sz="4" w:space="0" w:color="auto"/>
            </w:tcBorders>
            <w:shd w:val="clear" w:color="auto" w:fill="auto"/>
            <w:noWrap/>
            <w:vAlign w:val="bottom"/>
            <w:hideMark/>
          </w:tcPr>
          <w:p w14:paraId="53296578"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76269C75"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single" w:sz="4" w:space="0" w:color="auto"/>
            </w:tcBorders>
            <w:shd w:val="clear" w:color="auto" w:fill="auto"/>
            <w:noWrap/>
            <w:vAlign w:val="bottom"/>
            <w:hideMark/>
          </w:tcPr>
          <w:p w14:paraId="424D3BF9" w14:textId="77777777" w:rsidR="002C5F31" w:rsidRPr="002C5F31" w:rsidRDefault="002C5F31" w:rsidP="005B1125">
            <w:pPr>
              <w:spacing w:before="0" w:after="0" w:line="240" w:lineRule="auto"/>
              <w:jc w:val="left"/>
              <w:rPr>
                <w:rFonts w:eastAsia="Times New Roman"/>
                <w:color w:val="000000"/>
                <w:sz w:val="22"/>
                <w:szCs w:val="22"/>
                <w:lang w:val="en-MY" w:eastAsia="en-MY"/>
              </w:rPr>
            </w:pPr>
            <w:r w:rsidRPr="002C5F31">
              <w:rPr>
                <w:rFonts w:eastAsia="Times New Roman"/>
                <w:color w:val="000000"/>
                <w:sz w:val="22"/>
                <w:szCs w:val="22"/>
                <w:lang w:val="en-MY" w:eastAsia="en-MY"/>
              </w:rPr>
              <w:t> </w:t>
            </w:r>
          </w:p>
        </w:tc>
        <w:tc>
          <w:tcPr>
            <w:tcW w:w="960" w:type="dxa"/>
            <w:tcBorders>
              <w:top w:val="nil"/>
              <w:left w:val="nil"/>
              <w:bottom w:val="single" w:sz="4" w:space="0" w:color="auto"/>
              <w:right w:val="nil"/>
            </w:tcBorders>
            <w:shd w:val="clear" w:color="auto" w:fill="auto"/>
            <w:noWrap/>
            <w:vAlign w:val="bottom"/>
            <w:hideMark/>
          </w:tcPr>
          <w:p w14:paraId="2802A8E2" w14:textId="77777777" w:rsidR="002C5F31" w:rsidRPr="002C5F31" w:rsidRDefault="002C5F31" w:rsidP="005B1125">
            <w:pPr>
              <w:keepNext/>
              <w:spacing w:before="0" w:after="0" w:line="240" w:lineRule="auto"/>
              <w:jc w:val="center"/>
              <w:rPr>
                <w:rFonts w:eastAsia="Times New Roman"/>
                <w:color w:val="000000"/>
                <w:sz w:val="22"/>
                <w:szCs w:val="22"/>
                <w:lang w:val="en-MY" w:eastAsia="en-MY"/>
              </w:rPr>
            </w:pPr>
            <w:r w:rsidRPr="002C5F31">
              <w:rPr>
                <w:rFonts w:eastAsia="Times New Roman"/>
                <w:color w:val="000000"/>
                <w:sz w:val="22"/>
                <w:szCs w:val="22"/>
                <w:lang w:val="en-MY" w:eastAsia="en-MY"/>
              </w:rPr>
              <w:t> </w:t>
            </w:r>
          </w:p>
        </w:tc>
      </w:tr>
    </w:tbl>
    <w:p w14:paraId="4C2919B8" w14:textId="77777777" w:rsidR="00893983" w:rsidRPr="00EE2A22" w:rsidRDefault="00893983" w:rsidP="00893983">
      <w:pPr>
        <w:spacing w:before="0" w:after="0" w:line="240" w:lineRule="auto"/>
        <w:jc w:val="center"/>
        <w:rPr>
          <w:i/>
          <w:iCs/>
          <w:color w:val="auto"/>
        </w:rPr>
      </w:pPr>
      <w:r>
        <w:rPr>
          <w:color w:val="auto"/>
        </w:rPr>
        <w:t>*</w:t>
      </w:r>
      <w:r w:rsidRPr="007A27AF">
        <w:rPr>
          <w:color w:val="auto"/>
        </w:rPr>
        <w:t xml:space="preserve"> </w:t>
      </w:r>
      <w:r>
        <w:rPr>
          <w:color w:val="auto"/>
        </w:rPr>
        <w:t xml:space="preserve">Data are significant at </w:t>
      </w:r>
      <w:r w:rsidRPr="00EE2A22">
        <w:rPr>
          <w:i/>
          <w:iCs/>
          <w:color w:val="auto"/>
        </w:rPr>
        <w:t>p</w:t>
      </w:r>
      <w:r>
        <w:rPr>
          <w:color w:val="auto"/>
        </w:rPr>
        <w:t>&lt;0.05</w:t>
      </w:r>
    </w:p>
    <w:p w14:paraId="6B33F930" w14:textId="77135259" w:rsidR="002C5F31" w:rsidRDefault="00EE2A22" w:rsidP="00893983">
      <w:pPr>
        <w:spacing w:before="0" w:after="0" w:line="240" w:lineRule="auto"/>
        <w:rPr>
          <w:color w:val="auto"/>
        </w:rPr>
      </w:pPr>
      <w:r>
        <w:rPr>
          <w:i/>
          <w:iCs/>
          <w:color w:val="auto"/>
        </w:rPr>
        <w:t xml:space="preserve">Note: </w:t>
      </w:r>
      <w:r w:rsidR="007A27AF">
        <w:rPr>
          <w:i/>
          <w:iCs/>
          <w:color w:val="auto"/>
        </w:rPr>
        <w:tab/>
      </w:r>
      <w:r w:rsidRPr="00893983">
        <w:rPr>
          <w:color w:val="auto"/>
        </w:rPr>
        <w:t>F = frequency</w:t>
      </w:r>
      <w:r>
        <w:rPr>
          <w:i/>
          <w:iCs/>
          <w:color w:val="auto"/>
        </w:rPr>
        <w:t xml:space="preserve">, </w:t>
      </w:r>
      <w:r w:rsidRPr="00EE2A22">
        <w:rPr>
          <w:color w:val="auto"/>
        </w:rPr>
        <w:t>F1 = 0.25 Hz, F2 = 0.</w:t>
      </w:r>
      <w:r>
        <w:rPr>
          <w:color w:val="auto"/>
        </w:rPr>
        <w:t>50 Hz, F3 = 0.75 Hz, F4 = 1.0 Hz.</w:t>
      </w:r>
    </w:p>
    <w:p w14:paraId="0D3CACCF" w14:textId="3A8F7EC7" w:rsidR="00EE2A22" w:rsidRDefault="00EE2A22" w:rsidP="007A27AF">
      <w:pPr>
        <w:spacing w:before="0" w:after="0" w:line="240" w:lineRule="auto"/>
        <w:ind w:firstLine="720"/>
        <w:rPr>
          <w:color w:val="auto"/>
        </w:rPr>
      </w:pPr>
      <w:r>
        <w:rPr>
          <w:color w:val="auto"/>
        </w:rPr>
        <w:t>S = target size, S1 = 0.5°, S2 = 1.0°</w:t>
      </w:r>
    </w:p>
    <w:p w14:paraId="1C23ADF9" w14:textId="3F9D7604" w:rsidR="002C5F31" w:rsidRDefault="002C5F31" w:rsidP="000939C0">
      <w:pPr>
        <w:spacing w:before="0" w:after="0" w:line="240" w:lineRule="auto"/>
        <w:rPr>
          <w:color w:val="auto"/>
        </w:rPr>
      </w:pPr>
    </w:p>
    <w:p w14:paraId="16C53D97" w14:textId="23EB7C64" w:rsidR="002C5F31" w:rsidRDefault="002C5F31" w:rsidP="000939C0">
      <w:pPr>
        <w:spacing w:before="0" w:after="0" w:line="240" w:lineRule="auto"/>
        <w:rPr>
          <w:color w:val="auto"/>
        </w:rPr>
      </w:pPr>
    </w:p>
    <w:p w14:paraId="1C0FD5F5" w14:textId="5676454A" w:rsidR="002C5F31" w:rsidRDefault="002C5F31" w:rsidP="000939C0">
      <w:pPr>
        <w:spacing w:before="0" w:after="0" w:line="240" w:lineRule="auto"/>
        <w:rPr>
          <w:color w:val="auto"/>
        </w:rPr>
      </w:pPr>
    </w:p>
    <w:p w14:paraId="124D1E59" w14:textId="2E265CC7" w:rsidR="002C5F31" w:rsidRDefault="002C5F31" w:rsidP="000939C0">
      <w:pPr>
        <w:spacing w:before="0" w:after="0" w:line="240" w:lineRule="auto"/>
        <w:rPr>
          <w:color w:val="auto"/>
        </w:rPr>
      </w:pPr>
    </w:p>
    <w:p w14:paraId="10C20793" w14:textId="3C10AB80" w:rsidR="002C5F31" w:rsidRDefault="002C5F31" w:rsidP="000939C0">
      <w:pPr>
        <w:spacing w:before="0" w:after="0" w:line="240" w:lineRule="auto"/>
        <w:rPr>
          <w:color w:val="auto"/>
        </w:rPr>
      </w:pPr>
    </w:p>
    <w:p w14:paraId="351DFD97" w14:textId="2FCC1C9A" w:rsidR="00BF47CE" w:rsidRPr="009D4627" w:rsidRDefault="00BF47CE" w:rsidP="00CA4E90">
      <w:pPr>
        <w:pStyle w:val="Heading4"/>
      </w:pPr>
      <w:bookmarkStart w:id="407" w:name="_Toc55662852"/>
      <w:bookmarkStart w:id="408" w:name="_Toc57300375"/>
      <w:bookmarkStart w:id="409" w:name="_Toc57300483"/>
      <w:bookmarkStart w:id="410" w:name="_Toc98964686"/>
      <w:bookmarkStart w:id="411" w:name="_Hlk56703596"/>
      <w:bookmarkStart w:id="412" w:name="_Toc103344730"/>
      <w:bookmarkEnd w:id="395"/>
      <w:r w:rsidRPr="009D4627">
        <w:lastRenderedPageBreak/>
        <w:t>The effect of target size on horizontal saccades</w:t>
      </w:r>
      <w:bookmarkEnd w:id="407"/>
      <w:bookmarkEnd w:id="408"/>
      <w:bookmarkEnd w:id="409"/>
      <w:bookmarkEnd w:id="410"/>
      <w:bookmarkEnd w:id="412"/>
      <w:r w:rsidRPr="009D4627">
        <w:t xml:space="preserve"> </w:t>
      </w:r>
    </w:p>
    <w:p w14:paraId="795BA66C" w14:textId="524ED11B" w:rsidR="002E63E9" w:rsidRPr="009D4627" w:rsidRDefault="00741177" w:rsidP="00BF47CE">
      <w:pPr>
        <w:rPr>
          <w:color w:val="auto"/>
        </w:rPr>
      </w:pPr>
      <w:r w:rsidRPr="009D4627">
        <w:rPr>
          <w:color w:val="auto"/>
        </w:rPr>
        <w:t xml:space="preserve">Individual participant means were calculated for horizontal saccadic latency, peak velocity, and gain. </w:t>
      </w:r>
      <w:r w:rsidR="00660401" w:rsidRPr="00D1255E">
        <w:rPr>
          <w:color w:val="auto"/>
        </w:rPr>
        <w:t xml:space="preserve">Individual means were then utilised to compute the group mean, which was then </w:t>
      </w:r>
      <w:r w:rsidR="00660401">
        <w:rPr>
          <w:color w:val="auto"/>
        </w:rPr>
        <w:t>displayed</w:t>
      </w:r>
      <w:r w:rsidR="00660401" w:rsidRPr="00D1255E">
        <w:rPr>
          <w:color w:val="auto"/>
        </w:rPr>
        <w:t xml:space="preserve"> in </w:t>
      </w:r>
      <w:r w:rsidR="00660401">
        <w:rPr>
          <w:color w:val="auto"/>
        </w:rPr>
        <w:t>the</w:t>
      </w:r>
      <w:r w:rsidR="00660401" w:rsidRPr="00D1255E">
        <w:rPr>
          <w:color w:val="auto"/>
        </w:rPr>
        <w:t xml:space="preserve"> bar graph</w:t>
      </w:r>
      <w:r w:rsidR="00660401">
        <w:rPr>
          <w:color w:val="auto"/>
        </w:rPr>
        <w:t>s</w:t>
      </w:r>
      <w:r w:rsidR="00660401" w:rsidRPr="00D1255E">
        <w:rPr>
          <w:color w:val="auto"/>
        </w:rPr>
        <w:t xml:space="preserve"> (Figure 4.4</w:t>
      </w:r>
      <w:r w:rsidR="00660401">
        <w:rPr>
          <w:color w:val="auto"/>
        </w:rPr>
        <w:t xml:space="preserve"> a-c</w:t>
      </w:r>
      <w:r w:rsidR="00660401" w:rsidRPr="00D1255E">
        <w:rPr>
          <w:color w:val="auto"/>
        </w:rPr>
        <w:t>).</w:t>
      </w:r>
    </w:p>
    <w:p w14:paraId="52F1FE13" w14:textId="67C7351B" w:rsidR="00BF47CE" w:rsidRDefault="00337FBF" w:rsidP="00BF47CE">
      <w:pPr>
        <w:rPr>
          <w:color w:val="auto"/>
        </w:rPr>
      </w:pPr>
      <w:r w:rsidRPr="00337FBF">
        <w:rPr>
          <w:color w:val="auto"/>
        </w:rPr>
        <w:t xml:space="preserve">The bar graphs demonstrate no noticeable variation in saccadic latency between the three target sizes when the saccadic amplitude is small. However, saccadic latency improves as target size increases at the </w:t>
      </w:r>
      <w:r>
        <w:rPr>
          <w:color w:val="auto"/>
        </w:rPr>
        <w:t xml:space="preserve">moderate and </w:t>
      </w:r>
      <w:r w:rsidRPr="00337FBF">
        <w:rPr>
          <w:color w:val="auto"/>
        </w:rPr>
        <w:t>maximum saccadic amplitude (Figure 4.4a). At each saccadic amplitude, the mean saccadic peak velocity and gain appear to be comparable between three target sizes (Figure 4.4b and c). However, the peak velocity increases with greater saccade amplitude for all target sizes.</w:t>
      </w:r>
      <w:r w:rsidR="00660401">
        <w:rPr>
          <w:color w:val="auto"/>
        </w:rPr>
        <w:t xml:space="preserve"> </w:t>
      </w:r>
    </w:p>
    <w:p w14:paraId="688F10D8" w14:textId="77777777" w:rsidR="00FE6F7E" w:rsidRDefault="00FE6F7E" w:rsidP="00BF47CE">
      <w:pPr>
        <w:rPr>
          <w:color w:val="auto"/>
        </w:rPr>
      </w:pPr>
    </w:p>
    <w:p w14:paraId="796D5CE7" w14:textId="31814437" w:rsidR="00E726C3" w:rsidRDefault="00E726C3" w:rsidP="00BF47CE">
      <w:pPr>
        <w:rPr>
          <w:color w:val="auto"/>
        </w:rPr>
      </w:pPr>
    </w:p>
    <w:p w14:paraId="4722B38B" w14:textId="77777777" w:rsidR="00D532BA" w:rsidRDefault="00D532BA" w:rsidP="00BF47CE">
      <w:pPr>
        <w:rPr>
          <w:color w:val="auto"/>
        </w:rPr>
      </w:pPr>
    </w:p>
    <w:p w14:paraId="0EE28291" w14:textId="77777777" w:rsidR="00E726C3" w:rsidRPr="009D4627" w:rsidRDefault="00E726C3" w:rsidP="00BF47CE">
      <w:pPr>
        <w:rPr>
          <w:color w:val="auto"/>
        </w:rPr>
      </w:pPr>
    </w:p>
    <w:p w14:paraId="58E3F7BB" w14:textId="77777777" w:rsidR="001C3ACA" w:rsidRDefault="001C3ACA" w:rsidP="001C3ACA">
      <w:pPr>
        <w:spacing w:after="200" w:line="240" w:lineRule="auto"/>
      </w:pPr>
    </w:p>
    <w:p w14:paraId="748D3E6F" w14:textId="77777777" w:rsidR="007F4DA6" w:rsidRDefault="000172A6" w:rsidP="007F4DA6">
      <w:pPr>
        <w:spacing w:after="200" w:line="240" w:lineRule="auto"/>
        <w:jc w:val="center"/>
      </w:pPr>
      <w:r>
        <w:rPr>
          <w:noProof/>
        </w:rPr>
        <w:lastRenderedPageBreak/>
        <w:drawing>
          <wp:inline distT="0" distB="0" distL="0" distR="0" wp14:anchorId="4B944889" wp14:editId="752DF5E4">
            <wp:extent cx="4320000" cy="2160000"/>
            <wp:effectExtent l="0" t="0" r="4445" b="12065"/>
            <wp:docPr id="25" name="Chart 25">
              <a:extLst xmlns:a="http://schemas.openxmlformats.org/drawingml/2006/main">
                <a:ext uri="{FF2B5EF4-FFF2-40B4-BE49-F238E27FC236}">
                  <a16:creationId xmlns:a16="http://schemas.microsoft.com/office/drawing/2014/main" id="{D753C317-B9B4-4D41-8703-99EA507D66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7881C674" w14:textId="792AA873" w:rsidR="007F4DA6" w:rsidRDefault="00E726C3" w:rsidP="007F4DA6">
      <w:pPr>
        <w:spacing w:after="200" w:line="240" w:lineRule="auto"/>
        <w:jc w:val="center"/>
      </w:pPr>
      <w:r>
        <w:rPr>
          <w:noProof/>
        </w:rPr>
        <w:drawing>
          <wp:inline distT="0" distB="0" distL="0" distR="0" wp14:anchorId="51DA2574" wp14:editId="17843EAF">
            <wp:extent cx="4319905" cy="2159635"/>
            <wp:effectExtent l="0" t="0" r="4445" b="12065"/>
            <wp:docPr id="26" name="Chart 26">
              <a:extLst xmlns:a="http://schemas.openxmlformats.org/drawingml/2006/main">
                <a:ext uri="{FF2B5EF4-FFF2-40B4-BE49-F238E27FC236}">
                  <a16:creationId xmlns:a16="http://schemas.microsoft.com/office/drawing/2014/main" id="{7F724C2F-3212-4368-8BE7-A7EB00D3A2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1B9D35EE" w14:textId="77777777" w:rsidR="007F4DA6" w:rsidRDefault="00986751" w:rsidP="007F4DA6">
      <w:pPr>
        <w:spacing w:after="200" w:line="240" w:lineRule="auto"/>
        <w:jc w:val="center"/>
      </w:pPr>
      <w:r>
        <w:rPr>
          <w:noProof/>
        </w:rPr>
        <w:drawing>
          <wp:inline distT="0" distB="0" distL="0" distR="0" wp14:anchorId="4DC91283" wp14:editId="3D54D033">
            <wp:extent cx="4319905" cy="2159635"/>
            <wp:effectExtent l="0" t="0" r="4445" b="12065"/>
            <wp:docPr id="31" name="Chart 31">
              <a:extLst xmlns:a="http://schemas.openxmlformats.org/drawingml/2006/main">
                <a:ext uri="{FF2B5EF4-FFF2-40B4-BE49-F238E27FC236}">
                  <a16:creationId xmlns:a16="http://schemas.microsoft.com/office/drawing/2014/main" id="{25CA4F57-1C1B-490A-B0AD-8B280E9CB4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bookmarkStart w:id="413" w:name="_Toc70165588"/>
      <w:bookmarkStart w:id="414" w:name="_Toc98967230"/>
    </w:p>
    <w:p w14:paraId="5CB9C4E4" w14:textId="72384F9A" w:rsidR="00BF47CE" w:rsidRDefault="00DF4E51" w:rsidP="007F4DA6">
      <w:pPr>
        <w:spacing w:after="200" w:line="240" w:lineRule="auto"/>
      </w:pPr>
      <w:r w:rsidRPr="009D4627">
        <w:t>Figure 4.</w:t>
      </w:r>
      <w:r w:rsidR="007E7CC8">
        <w:fldChar w:fldCharType="begin"/>
      </w:r>
      <w:r w:rsidR="007E7CC8">
        <w:instrText xml:space="preserve"> SEQ Figure_4. \* ARABIC </w:instrText>
      </w:r>
      <w:r w:rsidR="007E7CC8">
        <w:fldChar w:fldCharType="separate"/>
      </w:r>
      <w:r w:rsidR="00E268F6">
        <w:rPr>
          <w:noProof/>
        </w:rPr>
        <w:t>4</w:t>
      </w:r>
      <w:r w:rsidR="007E7CC8">
        <w:rPr>
          <w:noProof/>
        </w:rPr>
        <w:fldChar w:fldCharType="end"/>
      </w:r>
      <w:r w:rsidRPr="009D4627">
        <w:t xml:space="preserve">: </w:t>
      </w:r>
      <w:r w:rsidR="007F4DA6" w:rsidRPr="009D4627">
        <w:t>Bar graphs illustrate the effect of target size and frequency on the horizontal saccadic a) latency, b) peak velocity, and c) gain. The error bars represent ±1 SE.</w:t>
      </w:r>
      <w:bookmarkEnd w:id="413"/>
      <w:bookmarkEnd w:id="414"/>
    </w:p>
    <w:p w14:paraId="60593F1A" w14:textId="30986FE5" w:rsidR="00FE6F7E" w:rsidRDefault="00FE6F7E" w:rsidP="007F4DA6">
      <w:r>
        <w:t xml:space="preserve">A one-way repeated-measures ANOVA was conducted to determine whether there was a statistically significant difference in saccadic parameters across three target sizes.  Target size elicited statistically significant changes in saccadic latency at the moderate and largest saccadic </w:t>
      </w:r>
      <w:r>
        <w:lastRenderedPageBreak/>
        <w:t xml:space="preserve">amplitude, </w:t>
      </w:r>
      <w:proofErr w:type="gramStart"/>
      <w:r w:rsidRPr="00251481">
        <w:rPr>
          <w:i/>
          <w:iCs/>
        </w:rPr>
        <w:t>F</w:t>
      </w:r>
      <w:r>
        <w:t>(</w:t>
      </w:r>
      <w:proofErr w:type="gramEnd"/>
      <w:r>
        <w:t xml:space="preserve">2,74) = 4.25, </w:t>
      </w:r>
      <w:r w:rsidRPr="00251481">
        <w:rPr>
          <w:i/>
          <w:iCs/>
        </w:rPr>
        <w:t>p</w:t>
      </w:r>
      <w:r>
        <w:t xml:space="preserve"> = 0.02 and </w:t>
      </w:r>
      <w:r w:rsidRPr="00251481">
        <w:rPr>
          <w:i/>
          <w:iCs/>
        </w:rPr>
        <w:t>F</w:t>
      </w:r>
      <w:r>
        <w:t xml:space="preserve">(2,62) = 12.40, </w:t>
      </w:r>
      <w:r w:rsidRPr="00251481">
        <w:rPr>
          <w:i/>
          <w:iCs/>
        </w:rPr>
        <w:t>p</w:t>
      </w:r>
      <w:r>
        <w:t>&lt;0.01. However, target size did not elicit statistically significant changes to saccadic latency at small amplitude (</w:t>
      </w:r>
      <w:r w:rsidRPr="00251481">
        <w:rPr>
          <w:i/>
          <w:iCs/>
        </w:rPr>
        <w:t>p</w:t>
      </w:r>
      <w:r>
        <w:t xml:space="preserve"> = 0.35). </w:t>
      </w:r>
      <w:r w:rsidRPr="001756C3">
        <w:t xml:space="preserve">Using a Bonferroni adjustment, saccadic latency was </w:t>
      </w:r>
      <w:r>
        <w:t>significantly decreased</w:t>
      </w:r>
      <w:r w:rsidRPr="001756C3">
        <w:t xml:space="preserve"> from 163 to 15</w:t>
      </w:r>
      <w:r>
        <w:t>2</w:t>
      </w:r>
      <w:r w:rsidRPr="001756C3">
        <w:t xml:space="preserve"> </w:t>
      </w:r>
      <w:proofErr w:type="spellStart"/>
      <w:r w:rsidRPr="001756C3">
        <w:t>ms</w:t>
      </w:r>
      <w:proofErr w:type="spellEnd"/>
      <w:r w:rsidRPr="001756C3">
        <w:t xml:space="preserve"> between 0.5° and 1.0° target sizes</w:t>
      </w:r>
      <w:r w:rsidR="00776C54">
        <w:t xml:space="preserve"> (</w:t>
      </w:r>
      <w:r w:rsidR="00776C54" w:rsidRPr="00776C54">
        <w:rPr>
          <w:i/>
          <w:iCs/>
        </w:rPr>
        <w:t>p</w:t>
      </w:r>
      <w:r w:rsidR="00776C54">
        <w:t xml:space="preserve"> = 0.01)</w:t>
      </w:r>
      <w:r w:rsidRPr="001756C3">
        <w:t>, tested at the moderate amplitude.</w:t>
      </w:r>
      <w:r>
        <w:t xml:space="preserve"> </w:t>
      </w:r>
      <w:r w:rsidRPr="006F216C">
        <w:t xml:space="preserve">Meanwhile, the saccadic latency decreased from 191 to 168 </w:t>
      </w:r>
      <w:proofErr w:type="spellStart"/>
      <w:r w:rsidRPr="006F216C">
        <w:t>ms</w:t>
      </w:r>
      <w:proofErr w:type="spellEnd"/>
      <w:r w:rsidRPr="006F216C">
        <w:t xml:space="preserve"> between target sizes of 0.5° and 2.0°</w:t>
      </w:r>
      <w:r w:rsidR="00776C54">
        <w:t xml:space="preserve"> (</w:t>
      </w:r>
      <w:r w:rsidR="00776C54" w:rsidRPr="00776C54">
        <w:rPr>
          <w:i/>
          <w:iCs/>
        </w:rPr>
        <w:t>p</w:t>
      </w:r>
      <w:r w:rsidR="00776C54">
        <w:t>&lt;0.01)</w:t>
      </w:r>
      <w:r w:rsidRPr="006F216C">
        <w:t xml:space="preserve">, </w:t>
      </w:r>
      <w:r w:rsidR="00AB3B15">
        <w:t>tested at the largest amplitude</w:t>
      </w:r>
      <w:r w:rsidRPr="006F216C">
        <w:t>.</w:t>
      </w:r>
      <w:r>
        <w:t xml:space="preserve"> </w:t>
      </w:r>
      <w:r w:rsidRPr="006F216C">
        <w:t>The findings suggest that smaller target sizes resulted in longer saccadic latency, particularly at target amplitudes of 10° and more</w:t>
      </w:r>
      <w:r w:rsidR="00AB3B15">
        <w:t xml:space="preserve">. </w:t>
      </w:r>
    </w:p>
    <w:p w14:paraId="02E6FE7F" w14:textId="7579658B" w:rsidR="00FE6F7E" w:rsidRDefault="00FE6F7E" w:rsidP="00EA5FF0">
      <w:r>
        <w:t xml:space="preserve">In addition, repeated-measures ANOVA confirmed that target size did not elicit statistically significant </w:t>
      </w:r>
      <w:r w:rsidR="003D0E7A">
        <w:t>changes</w:t>
      </w:r>
      <w:r>
        <w:t xml:space="preserve"> to saccadic peak velocity and gain at all saccadic amplitudes, </w:t>
      </w:r>
      <w:r w:rsidRPr="00FE6F7E">
        <w:rPr>
          <w:i/>
          <w:iCs/>
        </w:rPr>
        <w:t>p</w:t>
      </w:r>
      <w:r>
        <w:t>&gt;0.05</w:t>
      </w:r>
      <w:r w:rsidR="00353AD9">
        <w:t xml:space="preserve"> but it did elicit a significant difference to the saccad</w:t>
      </w:r>
      <w:r w:rsidR="00324295">
        <w:t xml:space="preserve">ic </w:t>
      </w:r>
      <w:r w:rsidR="00353AD9">
        <w:t>latency</w:t>
      </w:r>
      <w:r w:rsidR="00324295">
        <w:t xml:space="preserve"> at the larger amplitudes</w:t>
      </w:r>
      <w:r w:rsidR="00353AD9">
        <w:t>.</w:t>
      </w:r>
      <w:r w:rsidR="00260356">
        <w:t xml:space="preserve"> </w:t>
      </w:r>
      <w:bookmarkStart w:id="415" w:name="_Hlk99372991"/>
      <w:r w:rsidR="008A3843">
        <w:t>Therefore, it can be concluded that t</w:t>
      </w:r>
      <w:r w:rsidR="008A3843" w:rsidRPr="008A3843">
        <w:rPr>
          <w:rFonts w:cstheme="minorHAnsi"/>
        </w:rPr>
        <w:t xml:space="preserve">he target eccentricity has more impact on the saccadic latency variation, rather than target size. </w:t>
      </w:r>
      <w:r w:rsidR="003E0F9E" w:rsidRPr="003E0F9E">
        <w:t>Table 4.</w:t>
      </w:r>
      <w:r w:rsidR="000A2567">
        <w:t>3</w:t>
      </w:r>
      <w:r w:rsidR="003E0F9E" w:rsidRPr="003E0F9E">
        <w:t xml:space="preserve"> summarises the effects of changing the target size on horizontal saccadic parameters, as determined by repeated-measure ANOVA.</w:t>
      </w:r>
    </w:p>
    <w:p w14:paraId="6C809F2D" w14:textId="61194CF0" w:rsidR="00260356" w:rsidRDefault="00260356" w:rsidP="00C4130D">
      <w:pPr>
        <w:pStyle w:val="Caption"/>
      </w:pPr>
      <w:bookmarkStart w:id="416" w:name="_Toc99378053"/>
      <w:r>
        <w:t>Table 4.</w:t>
      </w:r>
      <w:r>
        <w:fldChar w:fldCharType="begin"/>
      </w:r>
      <w:r>
        <w:instrText xml:space="preserve"> SEQ Table_4. \* ARABIC </w:instrText>
      </w:r>
      <w:r>
        <w:fldChar w:fldCharType="separate"/>
      </w:r>
      <w:r w:rsidR="00E268F6">
        <w:rPr>
          <w:noProof/>
        </w:rPr>
        <w:t>3</w:t>
      </w:r>
      <w:r>
        <w:fldChar w:fldCharType="end"/>
      </w:r>
      <w:r>
        <w:t xml:space="preserve">: </w:t>
      </w:r>
      <w:r w:rsidR="000A3A75">
        <w:t>T</w:t>
      </w:r>
      <w:r w:rsidR="000A3A75" w:rsidRPr="000A3A75">
        <w:t>he results of a repeated-measures ANOVA on horizontal saccadic characteristics tested on three target sizes.</w:t>
      </w:r>
      <w:bookmarkEnd w:id="416"/>
    </w:p>
    <w:bookmarkEnd w:id="415"/>
    <w:tbl>
      <w:tblPr>
        <w:tblStyle w:val="TableGrid"/>
        <w:tblW w:w="0" w:type="auto"/>
        <w:tblLook w:val="04A0" w:firstRow="1" w:lastRow="0" w:firstColumn="1" w:lastColumn="0" w:noHBand="0" w:noVBand="1"/>
      </w:tblPr>
      <w:tblGrid>
        <w:gridCol w:w="1451"/>
        <w:gridCol w:w="799"/>
        <w:gridCol w:w="896"/>
        <w:gridCol w:w="896"/>
        <w:gridCol w:w="1197"/>
        <w:gridCol w:w="766"/>
        <w:gridCol w:w="1014"/>
        <w:gridCol w:w="949"/>
        <w:gridCol w:w="1058"/>
      </w:tblGrid>
      <w:tr w:rsidR="003E0F9E" w:rsidRPr="000C6C80" w14:paraId="72D04B55" w14:textId="77777777" w:rsidTr="00FE42B5">
        <w:tc>
          <w:tcPr>
            <w:tcW w:w="1451" w:type="dxa"/>
            <w:tcBorders>
              <w:left w:val="nil"/>
            </w:tcBorders>
          </w:tcPr>
          <w:p w14:paraId="138530BF" w14:textId="77777777" w:rsidR="003E0F9E" w:rsidRPr="000C6C80" w:rsidRDefault="003E0F9E" w:rsidP="00FB7302">
            <w:pPr>
              <w:spacing w:before="0" w:after="0" w:line="240" w:lineRule="auto"/>
              <w:rPr>
                <w:sz w:val="22"/>
                <w:szCs w:val="22"/>
              </w:rPr>
            </w:pPr>
          </w:p>
        </w:tc>
        <w:tc>
          <w:tcPr>
            <w:tcW w:w="2591" w:type="dxa"/>
            <w:gridSpan w:val="3"/>
          </w:tcPr>
          <w:p w14:paraId="3DFB2579" w14:textId="24DD64EA" w:rsidR="003E0F9E" w:rsidRPr="000C6C80" w:rsidRDefault="003E0F9E" w:rsidP="003E0F9E">
            <w:pPr>
              <w:spacing w:before="0" w:after="0" w:line="240" w:lineRule="auto"/>
              <w:jc w:val="center"/>
              <w:rPr>
                <w:sz w:val="22"/>
                <w:szCs w:val="22"/>
              </w:rPr>
            </w:pPr>
            <w:r>
              <w:rPr>
                <w:sz w:val="22"/>
                <w:szCs w:val="22"/>
              </w:rPr>
              <w:t>Target size</w:t>
            </w:r>
          </w:p>
        </w:tc>
        <w:tc>
          <w:tcPr>
            <w:tcW w:w="1197" w:type="dxa"/>
          </w:tcPr>
          <w:p w14:paraId="77ABDA76" w14:textId="2FF0A51D" w:rsidR="003E0F9E" w:rsidRPr="000C6C80" w:rsidRDefault="003E0F9E" w:rsidP="00FB7302">
            <w:pPr>
              <w:spacing w:before="0" w:after="0" w:line="240" w:lineRule="auto"/>
              <w:rPr>
                <w:sz w:val="22"/>
                <w:szCs w:val="22"/>
              </w:rPr>
            </w:pPr>
            <w:r w:rsidRPr="000C6C80">
              <w:rPr>
                <w:sz w:val="22"/>
                <w:szCs w:val="22"/>
              </w:rPr>
              <w:t>SS</w:t>
            </w:r>
          </w:p>
        </w:tc>
        <w:tc>
          <w:tcPr>
            <w:tcW w:w="766" w:type="dxa"/>
          </w:tcPr>
          <w:p w14:paraId="16E8E139" w14:textId="77777777" w:rsidR="003E0F9E" w:rsidRPr="000C6C80" w:rsidRDefault="003E0F9E" w:rsidP="00FB7302">
            <w:pPr>
              <w:spacing w:before="0" w:after="0" w:line="240" w:lineRule="auto"/>
              <w:rPr>
                <w:sz w:val="22"/>
                <w:szCs w:val="22"/>
              </w:rPr>
            </w:pPr>
            <w:r w:rsidRPr="000C6C80">
              <w:rPr>
                <w:sz w:val="22"/>
                <w:szCs w:val="22"/>
              </w:rPr>
              <w:t>df</w:t>
            </w:r>
          </w:p>
        </w:tc>
        <w:tc>
          <w:tcPr>
            <w:tcW w:w="1014" w:type="dxa"/>
          </w:tcPr>
          <w:p w14:paraId="7F150106" w14:textId="77777777" w:rsidR="003E0F9E" w:rsidRPr="000C6C80" w:rsidRDefault="003E0F9E" w:rsidP="00FB7302">
            <w:pPr>
              <w:spacing w:before="0" w:after="0" w:line="240" w:lineRule="auto"/>
              <w:rPr>
                <w:sz w:val="22"/>
                <w:szCs w:val="22"/>
              </w:rPr>
            </w:pPr>
            <w:r w:rsidRPr="000C6C80">
              <w:rPr>
                <w:sz w:val="22"/>
                <w:szCs w:val="22"/>
              </w:rPr>
              <w:t>MS</w:t>
            </w:r>
          </w:p>
        </w:tc>
        <w:tc>
          <w:tcPr>
            <w:tcW w:w="949" w:type="dxa"/>
          </w:tcPr>
          <w:p w14:paraId="63D541A8" w14:textId="77777777" w:rsidR="003E0F9E" w:rsidRPr="007F4DA6" w:rsidRDefault="003E0F9E" w:rsidP="00FB7302">
            <w:pPr>
              <w:spacing w:before="0" w:after="0" w:line="240" w:lineRule="auto"/>
              <w:rPr>
                <w:i/>
                <w:iCs/>
                <w:sz w:val="22"/>
                <w:szCs w:val="22"/>
              </w:rPr>
            </w:pPr>
            <w:r w:rsidRPr="007F4DA6">
              <w:rPr>
                <w:i/>
                <w:iCs/>
                <w:sz w:val="22"/>
                <w:szCs w:val="22"/>
              </w:rPr>
              <w:t xml:space="preserve">F </w:t>
            </w:r>
          </w:p>
        </w:tc>
        <w:tc>
          <w:tcPr>
            <w:tcW w:w="1058" w:type="dxa"/>
            <w:tcBorders>
              <w:right w:val="nil"/>
            </w:tcBorders>
          </w:tcPr>
          <w:p w14:paraId="0744BB40" w14:textId="77777777" w:rsidR="003E0F9E" w:rsidRPr="000C6C80" w:rsidRDefault="003E0F9E" w:rsidP="00FB7302">
            <w:pPr>
              <w:spacing w:before="0" w:after="0" w:line="240" w:lineRule="auto"/>
              <w:rPr>
                <w:sz w:val="22"/>
                <w:szCs w:val="22"/>
              </w:rPr>
            </w:pPr>
            <w:r w:rsidRPr="007F4DA6">
              <w:rPr>
                <w:i/>
                <w:iCs/>
                <w:sz w:val="22"/>
                <w:szCs w:val="22"/>
              </w:rPr>
              <w:t>p</w:t>
            </w:r>
            <w:r w:rsidRPr="000C6C80">
              <w:rPr>
                <w:sz w:val="22"/>
                <w:szCs w:val="22"/>
              </w:rPr>
              <w:t>-value</w:t>
            </w:r>
          </w:p>
        </w:tc>
      </w:tr>
      <w:tr w:rsidR="003E0F9E" w:rsidRPr="000C6C80" w14:paraId="76D89BB7" w14:textId="77777777" w:rsidTr="003E0F9E">
        <w:tc>
          <w:tcPr>
            <w:tcW w:w="1451" w:type="dxa"/>
            <w:tcBorders>
              <w:left w:val="nil"/>
            </w:tcBorders>
          </w:tcPr>
          <w:p w14:paraId="21E20EC0" w14:textId="77777777" w:rsidR="003E0F9E" w:rsidRPr="000C6C80" w:rsidRDefault="003E0F9E" w:rsidP="00FB7302">
            <w:pPr>
              <w:spacing w:before="0" w:after="0" w:line="240" w:lineRule="auto"/>
              <w:rPr>
                <w:sz w:val="22"/>
                <w:szCs w:val="22"/>
              </w:rPr>
            </w:pPr>
          </w:p>
        </w:tc>
        <w:tc>
          <w:tcPr>
            <w:tcW w:w="799" w:type="dxa"/>
          </w:tcPr>
          <w:p w14:paraId="785C8D33" w14:textId="69F09144" w:rsidR="003E0F9E" w:rsidRPr="000C6C80" w:rsidRDefault="003E0F9E" w:rsidP="00FB7302">
            <w:pPr>
              <w:spacing w:before="0" w:after="0" w:line="240" w:lineRule="auto"/>
              <w:rPr>
                <w:sz w:val="22"/>
                <w:szCs w:val="22"/>
              </w:rPr>
            </w:pPr>
            <w:r>
              <w:rPr>
                <w:sz w:val="22"/>
                <w:szCs w:val="22"/>
              </w:rPr>
              <w:t>0.5°</w:t>
            </w:r>
          </w:p>
        </w:tc>
        <w:tc>
          <w:tcPr>
            <w:tcW w:w="896" w:type="dxa"/>
          </w:tcPr>
          <w:p w14:paraId="11A1D93D" w14:textId="1DA76AFA" w:rsidR="003E0F9E" w:rsidRPr="000C6C80" w:rsidRDefault="003E0F9E" w:rsidP="00FB7302">
            <w:pPr>
              <w:spacing w:before="0" w:after="0" w:line="240" w:lineRule="auto"/>
              <w:rPr>
                <w:sz w:val="22"/>
                <w:szCs w:val="22"/>
              </w:rPr>
            </w:pPr>
            <w:r>
              <w:rPr>
                <w:sz w:val="22"/>
                <w:szCs w:val="22"/>
              </w:rPr>
              <w:t>1.0°</w:t>
            </w:r>
          </w:p>
        </w:tc>
        <w:tc>
          <w:tcPr>
            <w:tcW w:w="896" w:type="dxa"/>
          </w:tcPr>
          <w:p w14:paraId="0917A872" w14:textId="6762420B" w:rsidR="003E0F9E" w:rsidRPr="000C6C80" w:rsidRDefault="003E0F9E" w:rsidP="00FB7302">
            <w:pPr>
              <w:spacing w:before="0" w:after="0" w:line="240" w:lineRule="auto"/>
              <w:rPr>
                <w:sz w:val="22"/>
                <w:szCs w:val="22"/>
              </w:rPr>
            </w:pPr>
            <w:r>
              <w:rPr>
                <w:sz w:val="22"/>
                <w:szCs w:val="22"/>
              </w:rPr>
              <w:t>2.0°</w:t>
            </w:r>
          </w:p>
        </w:tc>
        <w:tc>
          <w:tcPr>
            <w:tcW w:w="1197" w:type="dxa"/>
          </w:tcPr>
          <w:p w14:paraId="6BA5C220" w14:textId="77777777" w:rsidR="003E0F9E" w:rsidRPr="000C6C80" w:rsidRDefault="003E0F9E" w:rsidP="00FB7302">
            <w:pPr>
              <w:spacing w:before="0" w:after="0" w:line="240" w:lineRule="auto"/>
              <w:rPr>
                <w:sz w:val="22"/>
                <w:szCs w:val="22"/>
              </w:rPr>
            </w:pPr>
          </w:p>
        </w:tc>
        <w:tc>
          <w:tcPr>
            <w:tcW w:w="766" w:type="dxa"/>
          </w:tcPr>
          <w:p w14:paraId="511545FA" w14:textId="77777777" w:rsidR="003E0F9E" w:rsidRPr="000C6C80" w:rsidRDefault="003E0F9E" w:rsidP="00FB7302">
            <w:pPr>
              <w:spacing w:before="0" w:after="0" w:line="240" w:lineRule="auto"/>
              <w:rPr>
                <w:sz w:val="22"/>
                <w:szCs w:val="22"/>
              </w:rPr>
            </w:pPr>
          </w:p>
        </w:tc>
        <w:tc>
          <w:tcPr>
            <w:tcW w:w="1014" w:type="dxa"/>
          </w:tcPr>
          <w:p w14:paraId="382A6781" w14:textId="77777777" w:rsidR="003E0F9E" w:rsidRPr="000C6C80" w:rsidRDefault="003E0F9E" w:rsidP="00FB7302">
            <w:pPr>
              <w:spacing w:before="0" w:after="0" w:line="240" w:lineRule="auto"/>
              <w:rPr>
                <w:sz w:val="22"/>
                <w:szCs w:val="22"/>
              </w:rPr>
            </w:pPr>
          </w:p>
        </w:tc>
        <w:tc>
          <w:tcPr>
            <w:tcW w:w="949" w:type="dxa"/>
          </w:tcPr>
          <w:p w14:paraId="4DD197FA" w14:textId="77777777" w:rsidR="003E0F9E" w:rsidRPr="000C6C80" w:rsidRDefault="003E0F9E" w:rsidP="00FB7302">
            <w:pPr>
              <w:spacing w:before="0" w:after="0" w:line="240" w:lineRule="auto"/>
              <w:rPr>
                <w:sz w:val="22"/>
                <w:szCs w:val="22"/>
              </w:rPr>
            </w:pPr>
          </w:p>
        </w:tc>
        <w:tc>
          <w:tcPr>
            <w:tcW w:w="1058" w:type="dxa"/>
            <w:tcBorders>
              <w:right w:val="nil"/>
            </w:tcBorders>
          </w:tcPr>
          <w:p w14:paraId="7CC04309" w14:textId="77777777" w:rsidR="003E0F9E" w:rsidRPr="000C6C80" w:rsidRDefault="003E0F9E" w:rsidP="00FB7302">
            <w:pPr>
              <w:spacing w:before="0" w:after="0" w:line="240" w:lineRule="auto"/>
              <w:rPr>
                <w:sz w:val="22"/>
                <w:szCs w:val="22"/>
              </w:rPr>
            </w:pPr>
          </w:p>
        </w:tc>
      </w:tr>
      <w:tr w:rsidR="003E0F9E" w:rsidRPr="000C6C80" w14:paraId="2459664C" w14:textId="77777777" w:rsidTr="009E79F8">
        <w:tc>
          <w:tcPr>
            <w:tcW w:w="9026" w:type="dxa"/>
            <w:gridSpan w:val="9"/>
            <w:tcBorders>
              <w:left w:val="nil"/>
              <w:bottom w:val="single" w:sz="4" w:space="0" w:color="auto"/>
              <w:right w:val="nil"/>
            </w:tcBorders>
          </w:tcPr>
          <w:p w14:paraId="3BE6E7DA" w14:textId="0F34E222" w:rsidR="003E0F9E" w:rsidRPr="000C6C80" w:rsidRDefault="003E0F9E" w:rsidP="003E0F9E">
            <w:pPr>
              <w:spacing w:before="0" w:after="0" w:line="240" w:lineRule="auto"/>
              <w:jc w:val="left"/>
              <w:rPr>
                <w:sz w:val="22"/>
                <w:szCs w:val="22"/>
              </w:rPr>
            </w:pPr>
            <w:r w:rsidRPr="000C6C80">
              <w:rPr>
                <w:sz w:val="22"/>
                <w:szCs w:val="22"/>
              </w:rPr>
              <w:t>Saccade latency</w:t>
            </w:r>
          </w:p>
        </w:tc>
      </w:tr>
      <w:tr w:rsidR="003E0F9E" w:rsidRPr="000C6C80" w14:paraId="49D5CD70" w14:textId="77777777" w:rsidTr="003E0F9E">
        <w:tc>
          <w:tcPr>
            <w:tcW w:w="1451" w:type="dxa"/>
            <w:tcBorders>
              <w:left w:val="nil"/>
              <w:bottom w:val="nil"/>
            </w:tcBorders>
          </w:tcPr>
          <w:p w14:paraId="14B62BC2" w14:textId="77777777" w:rsidR="003E0F9E" w:rsidRPr="000C6C80" w:rsidRDefault="003E0F9E" w:rsidP="00FB7302">
            <w:pPr>
              <w:spacing w:before="0" w:after="0" w:line="240" w:lineRule="auto"/>
              <w:jc w:val="center"/>
              <w:rPr>
                <w:sz w:val="22"/>
                <w:szCs w:val="22"/>
              </w:rPr>
            </w:pPr>
            <w:r w:rsidRPr="000C6C80">
              <w:rPr>
                <w:sz w:val="22"/>
                <w:szCs w:val="22"/>
              </w:rPr>
              <w:t>±5°</w:t>
            </w:r>
          </w:p>
        </w:tc>
        <w:tc>
          <w:tcPr>
            <w:tcW w:w="799" w:type="dxa"/>
            <w:tcBorders>
              <w:bottom w:val="nil"/>
            </w:tcBorders>
          </w:tcPr>
          <w:p w14:paraId="39F8DE86" w14:textId="72EE2D2C" w:rsidR="003E0F9E" w:rsidRPr="000C6C80" w:rsidRDefault="00E203EC" w:rsidP="00FB7302">
            <w:pPr>
              <w:spacing w:before="0" w:after="0" w:line="240" w:lineRule="auto"/>
              <w:rPr>
                <w:sz w:val="22"/>
                <w:szCs w:val="22"/>
              </w:rPr>
            </w:pPr>
            <w:r>
              <w:rPr>
                <w:sz w:val="22"/>
                <w:szCs w:val="22"/>
              </w:rPr>
              <w:t>153.4</w:t>
            </w:r>
          </w:p>
        </w:tc>
        <w:tc>
          <w:tcPr>
            <w:tcW w:w="896" w:type="dxa"/>
            <w:tcBorders>
              <w:bottom w:val="nil"/>
            </w:tcBorders>
          </w:tcPr>
          <w:p w14:paraId="4A2DB8C3" w14:textId="7800A151" w:rsidR="003E0F9E" w:rsidRPr="000C6C80" w:rsidRDefault="00E203EC" w:rsidP="00FB7302">
            <w:pPr>
              <w:spacing w:before="0" w:after="0" w:line="240" w:lineRule="auto"/>
              <w:rPr>
                <w:sz w:val="22"/>
                <w:szCs w:val="22"/>
              </w:rPr>
            </w:pPr>
            <w:r>
              <w:rPr>
                <w:sz w:val="22"/>
                <w:szCs w:val="22"/>
              </w:rPr>
              <w:t>148.6</w:t>
            </w:r>
          </w:p>
        </w:tc>
        <w:tc>
          <w:tcPr>
            <w:tcW w:w="896" w:type="dxa"/>
            <w:tcBorders>
              <w:bottom w:val="nil"/>
            </w:tcBorders>
          </w:tcPr>
          <w:p w14:paraId="1B2F5E68" w14:textId="7303F605" w:rsidR="003E0F9E" w:rsidRPr="000C6C80" w:rsidRDefault="00E203EC" w:rsidP="00FB7302">
            <w:pPr>
              <w:spacing w:before="0" w:after="0" w:line="240" w:lineRule="auto"/>
              <w:rPr>
                <w:sz w:val="22"/>
                <w:szCs w:val="22"/>
              </w:rPr>
            </w:pPr>
            <w:r>
              <w:rPr>
                <w:sz w:val="22"/>
                <w:szCs w:val="22"/>
              </w:rPr>
              <w:t>150.6</w:t>
            </w:r>
          </w:p>
        </w:tc>
        <w:tc>
          <w:tcPr>
            <w:tcW w:w="1197" w:type="dxa"/>
            <w:tcBorders>
              <w:bottom w:val="nil"/>
            </w:tcBorders>
          </w:tcPr>
          <w:p w14:paraId="2BB96328" w14:textId="4430B227" w:rsidR="003E0F9E" w:rsidRPr="000C6C80" w:rsidRDefault="003E0F9E" w:rsidP="00FB7302">
            <w:pPr>
              <w:spacing w:before="0" w:after="0" w:line="240" w:lineRule="auto"/>
              <w:rPr>
                <w:sz w:val="22"/>
                <w:szCs w:val="22"/>
              </w:rPr>
            </w:pPr>
            <w:r w:rsidRPr="000C6C80">
              <w:rPr>
                <w:sz w:val="22"/>
                <w:szCs w:val="22"/>
              </w:rPr>
              <w:t>445.8</w:t>
            </w:r>
          </w:p>
        </w:tc>
        <w:tc>
          <w:tcPr>
            <w:tcW w:w="766" w:type="dxa"/>
            <w:tcBorders>
              <w:bottom w:val="nil"/>
            </w:tcBorders>
          </w:tcPr>
          <w:p w14:paraId="021DB96C" w14:textId="77777777" w:rsidR="003E0F9E" w:rsidRPr="000C6C80" w:rsidRDefault="003E0F9E" w:rsidP="00FB7302">
            <w:pPr>
              <w:spacing w:before="0" w:after="0" w:line="240" w:lineRule="auto"/>
              <w:rPr>
                <w:sz w:val="22"/>
                <w:szCs w:val="22"/>
              </w:rPr>
            </w:pPr>
            <w:r w:rsidRPr="000C6C80">
              <w:rPr>
                <w:sz w:val="22"/>
                <w:szCs w:val="22"/>
              </w:rPr>
              <w:t>2,74</w:t>
            </w:r>
          </w:p>
        </w:tc>
        <w:tc>
          <w:tcPr>
            <w:tcW w:w="1014" w:type="dxa"/>
            <w:tcBorders>
              <w:bottom w:val="nil"/>
            </w:tcBorders>
          </w:tcPr>
          <w:p w14:paraId="495F0713" w14:textId="77777777" w:rsidR="003E0F9E" w:rsidRPr="000C6C80" w:rsidRDefault="003E0F9E" w:rsidP="00FB7302">
            <w:pPr>
              <w:spacing w:before="0" w:after="0" w:line="240" w:lineRule="auto"/>
              <w:rPr>
                <w:sz w:val="22"/>
                <w:szCs w:val="22"/>
              </w:rPr>
            </w:pPr>
            <w:r w:rsidRPr="000C6C80">
              <w:rPr>
                <w:sz w:val="22"/>
                <w:szCs w:val="22"/>
              </w:rPr>
              <w:t>222.9</w:t>
            </w:r>
          </w:p>
        </w:tc>
        <w:tc>
          <w:tcPr>
            <w:tcW w:w="949" w:type="dxa"/>
            <w:tcBorders>
              <w:bottom w:val="nil"/>
            </w:tcBorders>
          </w:tcPr>
          <w:p w14:paraId="5D9F4F80" w14:textId="77777777" w:rsidR="003E0F9E" w:rsidRPr="000C6C80" w:rsidRDefault="003E0F9E" w:rsidP="00FB7302">
            <w:pPr>
              <w:spacing w:before="0" w:after="0" w:line="240" w:lineRule="auto"/>
              <w:rPr>
                <w:sz w:val="22"/>
                <w:szCs w:val="22"/>
              </w:rPr>
            </w:pPr>
            <w:r w:rsidRPr="000C6C80">
              <w:rPr>
                <w:sz w:val="22"/>
                <w:szCs w:val="22"/>
              </w:rPr>
              <w:t>1.07</w:t>
            </w:r>
          </w:p>
        </w:tc>
        <w:tc>
          <w:tcPr>
            <w:tcW w:w="1058" w:type="dxa"/>
            <w:tcBorders>
              <w:bottom w:val="nil"/>
              <w:right w:val="nil"/>
            </w:tcBorders>
          </w:tcPr>
          <w:p w14:paraId="43B9CC0C" w14:textId="77777777" w:rsidR="003E0F9E" w:rsidRPr="000C6C80" w:rsidRDefault="003E0F9E" w:rsidP="00FB7302">
            <w:pPr>
              <w:spacing w:before="0" w:after="0" w:line="240" w:lineRule="auto"/>
              <w:rPr>
                <w:sz w:val="22"/>
                <w:szCs w:val="22"/>
              </w:rPr>
            </w:pPr>
            <w:r w:rsidRPr="000C6C80">
              <w:rPr>
                <w:sz w:val="22"/>
                <w:szCs w:val="22"/>
              </w:rPr>
              <w:t>0.35</w:t>
            </w:r>
          </w:p>
        </w:tc>
      </w:tr>
      <w:tr w:rsidR="003E0F9E" w:rsidRPr="000C6C80" w14:paraId="1F162B0F" w14:textId="77777777" w:rsidTr="003E0F9E">
        <w:tc>
          <w:tcPr>
            <w:tcW w:w="1451" w:type="dxa"/>
            <w:tcBorders>
              <w:top w:val="nil"/>
              <w:left w:val="nil"/>
              <w:bottom w:val="nil"/>
            </w:tcBorders>
          </w:tcPr>
          <w:p w14:paraId="2A371CCD" w14:textId="77777777" w:rsidR="003E0F9E" w:rsidRPr="000C6C80" w:rsidRDefault="003E0F9E" w:rsidP="00FB7302">
            <w:pPr>
              <w:spacing w:before="0" w:after="0" w:line="240" w:lineRule="auto"/>
              <w:jc w:val="center"/>
              <w:rPr>
                <w:sz w:val="22"/>
                <w:szCs w:val="22"/>
              </w:rPr>
            </w:pPr>
            <w:r w:rsidRPr="000C6C80">
              <w:rPr>
                <w:sz w:val="22"/>
                <w:szCs w:val="22"/>
              </w:rPr>
              <w:t>±10°</w:t>
            </w:r>
          </w:p>
        </w:tc>
        <w:tc>
          <w:tcPr>
            <w:tcW w:w="799" w:type="dxa"/>
            <w:tcBorders>
              <w:top w:val="nil"/>
              <w:bottom w:val="nil"/>
            </w:tcBorders>
          </w:tcPr>
          <w:p w14:paraId="3C80BAF0" w14:textId="07EB9D57" w:rsidR="003E0F9E" w:rsidRPr="000C6C80" w:rsidRDefault="00E203EC" w:rsidP="00FB7302">
            <w:pPr>
              <w:spacing w:before="0" w:after="0" w:line="240" w:lineRule="auto"/>
              <w:rPr>
                <w:sz w:val="22"/>
                <w:szCs w:val="22"/>
              </w:rPr>
            </w:pPr>
            <w:r>
              <w:rPr>
                <w:sz w:val="22"/>
                <w:szCs w:val="22"/>
              </w:rPr>
              <w:t>163.1</w:t>
            </w:r>
          </w:p>
        </w:tc>
        <w:tc>
          <w:tcPr>
            <w:tcW w:w="896" w:type="dxa"/>
            <w:tcBorders>
              <w:top w:val="nil"/>
              <w:bottom w:val="nil"/>
            </w:tcBorders>
          </w:tcPr>
          <w:p w14:paraId="7EFE4533" w14:textId="743499B1" w:rsidR="003E0F9E" w:rsidRPr="000C6C80" w:rsidRDefault="00E203EC" w:rsidP="00FB7302">
            <w:pPr>
              <w:spacing w:before="0" w:after="0" w:line="240" w:lineRule="auto"/>
              <w:rPr>
                <w:sz w:val="22"/>
                <w:szCs w:val="22"/>
              </w:rPr>
            </w:pPr>
            <w:r>
              <w:rPr>
                <w:sz w:val="22"/>
                <w:szCs w:val="22"/>
              </w:rPr>
              <w:t>152.1</w:t>
            </w:r>
          </w:p>
        </w:tc>
        <w:tc>
          <w:tcPr>
            <w:tcW w:w="896" w:type="dxa"/>
            <w:tcBorders>
              <w:top w:val="nil"/>
              <w:bottom w:val="nil"/>
            </w:tcBorders>
          </w:tcPr>
          <w:p w14:paraId="1D3C80F3" w14:textId="061C632C" w:rsidR="003E0F9E" w:rsidRPr="000C6C80" w:rsidRDefault="00E203EC" w:rsidP="00FB7302">
            <w:pPr>
              <w:spacing w:before="0" w:after="0" w:line="240" w:lineRule="auto"/>
              <w:rPr>
                <w:sz w:val="22"/>
                <w:szCs w:val="22"/>
              </w:rPr>
            </w:pPr>
            <w:r>
              <w:rPr>
                <w:sz w:val="22"/>
                <w:szCs w:val="22"/>
              </w:rPr>
              <w:t>153.7</w:t>
            </w:r>
          </w:p>
        </w:tc>
        <w:tc>
          <w:tcPr>
            <w:tcW w:w="1197" w:type="dxa"/>
            <w:tcBorders>
              <w:top w:val="nil"/>
              <w:bottom w:val="nil"/>
            </w:tcBorders>
          </w:tcPr>
          <w:p w14:paraId="1F58B985" w14:textId="03458644" w:rsidR="003E0F9E" w:rsidRPr="000C6C80" w:rsidRDefault="003E0F9E" w:rsidP="00FB7302">
            <w:pPr>
              <w:spacing w:before="0" w:after="0" w:line="240" w:lineRule="auto"/>
              <w:rPr>
                <w:sz w:val="22"/>
                <w:szCs w:val="22"/>
              </w:rPr>
            </w:pPr>
            <w:r w:rsidRPr="000C6C80">
              <w:rPr>
                <w:sz w:val="22"/>
                <w:szCs w:val="22"/>
              </w:rPr>
              <w:t>2663.1</w:t>
            </w:r>
          </w:p>
        </w:tc>
        <w:tc>
          <w:tcPr>
            <w:tcW w:w="766" w:type="dxa"/>
            <w:tcBorders>
              <w:top w:val="nil"/>
              <w:bottom w:val="nil"/>
            </w:tcBorders>
          </w:tcPr>
          <w:p w14:paraId="29D1DD03" w14:textId="77777777" w:rsidR="003E0F9E" w:rsidRPr="000C6C80" w:rsidRDefault="003E0F9E" w:rsidP="00FB7302">
            <w:pPr>
              <w:spacing w:before="0" w:after="0" w:line="240" w:lineRule="auto"/>
              <w:rPr>
                <w:sz w:val="22"/>
                <w:szCs w:val="22"/>
              </w:rPr>
            </w:pPr>
            <w:r w:rsidRPr="000C6C80">
              <w:rPr>
                <w:sz w:val="22"/>
                <w:szCs w:val="22"/>
              </w:rPr>
              <w:t>2,74</w:t>
            </w:r>
          </w:p>
        </w:tc>
        <w:tc>
          <w:tcPr>
            <w:tcW w:w="1014" w:type="dxa"/>
            <w:tcBorders>
              <w:top w:val="nil"/>
              <w:bottom w:val="nil"/>
            </w:tcBorders>
          </w:tcPr>
          <w:p w14:paraId="731890AE" w14:textId="77777777" w:rsidR="003E0F9E" w:rsidRPr="000C6C80" w:rsidRDefault="003E0F9E" w:rsidP="00FB7302">
            <w:pPr>
              <w:spacing w:before="0" w:after="0" w:line="240" w:lineRule="auto"/>
              <w:rPr>
                <w:sz w:val="22"/>
                <w:szCs w:val="22"/>
              </w:rPr>
            </w:pPr>
            <w:r w:rsidRPr="000C6C80">
              <w:rPr>
                <w:sz w:val="22"/>
                <w:szCs w:val="22"/>
              </w:rPr>
              <w:t>1331.6</w:t>
            </w:r>
          </w:p>
        </w:tc>
        <w:tc>
          <w:tcPr>
            <w:tcW w:w="949" w:type="dxa"/>
            <w:tcBorders>
              <w:top w:val="nil"/>
              <w:bottom w:val="nil"/>
            </w:tcBorders>
          </w:tcPr>
          <w:p w14:paraId="10736630" w14:textId="77777777" w:rsidR="003E0F9E" w:rsidRPr="000C6C80" w:rsidRDefault="003E0F9E" w:rsidP="00FB7302">
            <w:pPr>
              <w:spacing w:before="0" w:after="0" w:line="240" w:lineRule="auto"/>
              <w:rPr>
                <w:sz w:val="22"/>
                <w:szCs w:val="22"/>
              </w:rPr>
            </w:pPr>
            <w:r w:rsidRPr="000C6C80">
              <w:rPr>
                <w:sz w:val="22"/>
                <w:szCs w:val="22"/>
              </w:rPr>
              <w:t>4.25</w:t>
            </w:r>
          </w:p>
        </w:tc>
        <w:tc>
          <w:tcPr>
            <w:tcW w:w="1058" w:type="dxa"/>
            <w:tcBorders>
              <w:top w:val="nil"/>
              <w:bottom w:val="nil"/>
              <w:right w:val="nil"/>
            </w:tcBorders>
          </w:tcPr>
          <w:p w14:paraId="36240665" w14:textId="6AA5C722" w:rsidR="003E0F9E" w:rsidRPr="000C6C80" w:rsidRDefault="003E0F9E" w:rsidP="00FB7302">
            <w:pPr>
              <w:spacing w:before="0" w:after="0" w:line="240" w:lineRule="auto"/>
              <w:rPr>
                <w:sz w:val="22"/>
                <w:szCs w:val="22"/>
              </w:rPr>
            </w:pPr>
            <w:r w:rsidRPr="000C6C80">
              <w:rPr>
                <w:sz w:val="22"/>
                <w:szCs w:val="22"/>
              </w:rPr>
              <w:t>0.0</w:t>
            </w:r>
            <w:r w:rsidR="00AB3B15">
              <w:rPr>
                <w:sz w:val="22"/>
                <w:szCs w:val="22"/>
              </w:rPr>
              <w:t>2*</w:t>
            </w:r>
          </w:p>
        </w:tc>
      </w:tr>
      <w:tr w:rsidR="003E0F9E" w:rsidRPr="000C6C80" w14:paraId="15C05976" w14:textId="77777777" w:rsidTr="003E0F9E">
        <w:tc>
          <w:tcPr>
            <w:tcW w:w="1451" w:type="dxa"/>
            <w:tcBorders>
              <w:top w:val="nil"/>
              <w:left w:val="nil"/>
              <w:bottom w:val="single" w:sz="4" w:space="0" w:color="auto"/>
            </w:tcBorders>
          </w:tcPr>
          <w:p w14:paraId="307E942D" w14:textId="77777777" w:rsidR="003E0F9E" w:rsidRPr="000C6C80" w:rsidRDefault="003E0F9E" w:rsidP="00FB7302">
            <w:pPr>
              <w:spacing w:before="0" w:after="0" w:line="240" w:lineRule="auto"/>
              <w:jc w:val="center"/>
              <w:rPr>
                <w:sz w:val="22"/>
                <w:szCs w:val="22"/>
              </w:rPr>
            </w:pPr>
            <w:r w:rsidRPr="000C6C80">
              <w:rPr>
                <w:sz w:val="22"/>
                <w:szCs w:val="22"/>
              </w:rPr>
              <w:t>±15°</w:t>
            </w:r>
          </w:p>
        </w:tc>
        <w:tc>
          <w:tcPr>
            <w:tcW w:w="799" w:type="dxa"/>
            <w:tcBorders>
              <w:top w:val="nil"/>
              <w:bottom w:val="single" w:sz="4" w:space="0" w:color="auto"/>
            </w:tcBorders>
          </w:tcPr>
          <w:p w14:paraId="0825F865" w14:textId="32EB1090" w:rsidR="003E0F9E" w:rsidRPr="000C6C80" w:rsidRDefault="00E203EC" w:rsidP="00FB7302">
            <w:pPr>
              <w:spacing w:before="0" w:after="0" w:line="240" w:lineRule="auto"/>
              <w:rPr>
                <w:sz w:val="22"/>
                <w:szCs w:val="22"/>
              </w:rPr>
            </w:pPr>
            <w:r>
              <w:rPr>
                <w:sz w:val="22"/>
                <w:szCs w:val="22"/>
              </w:rPr>
              <w:t>191.4</w:t>
            </w:r>
          </w:p>
        </w:tc>
        <w:tc>
          <w:tcPr>
            <w:tcW w:w="896" w:type="dxa"/>
            <w:tcBorders>
              <w:top w:val="nil"/>
              <w:bottom w:val="single" w:sz="4" w:space="0" w:color="auto"/>
            </w:tcBorders>
          </w:tcPr>
          <w:p w14:paraId="693CD3C8" w14:textId="0418EACE" w:rsidR="003E0F9E" w:rsidRPr="000C6C80" w:rsidRDefault="00E203EC" w:rsidP="00FB7302">
            <w:pPr>
              <w:spacing w:before="0" w:after="0" w:line="240" w:lineRule="auto"/>
              <w:rPr>
                <w:sz w:val="22"/>
                <w:szCs w:val="22"/>
              </w:rPr>
            </w:pPr>
            <w:r>
              <w:rPr>
                <w:sz w:val="22"/>
                <w:szCs w:val="22"/>
              </w:rPr>
              <w:t>171.5</w:t>
            </w:r>
          </w:p>
        </w:tc>
        <w:tc>
          <w:tcPr>
            <w:tcW w:w="896" w:type="dxa"/>
            <w:tcBorders>
              <w:top w:val="nil"/>
              <w:bottom w:val="single" w:sz="4" w:space="0" w:color="auto"/>
            </w:tcBorders>
          </w:tcPr>
          <w:p w14:paraId="655E3D24" w14:textId="53AB05ED" w:rsidR="003E0F9E" w:rsidRPr="000C6C80" w:rsidRDefault="00E203EC" w:rsidP="00FB7302">
            <w:pPr>
              <w:spacing w:before="0" w:after="0" w:line="240" w:lineRule="auto"/>
              <w:rPr>
                <w:sz w:val="22"/>
                <w:szCs w:val="22"/>
              </w:rPr>
            </w:pPr>
            <w:r>
              <w:rPr>
                <w:sz w:val="22"/>
                <w:szCs w:val="22"/>
              </w:rPr>
              <w:t>167.7</w:t>
            </w:r>
          </w:p>
        </w:tc>
        <w:tc>
          <w:tcPr>
            <w:tcW w:w="1197" w:type="dxa"/>
            <w:tcBorders>
              <w:top w:val="nil"/>
              <w:bottom w:val="single" w:sz="4" w:space="0" w:color="auto"/>
            </w:tcBorders>
          </w:tcPr>
          <w:p w14:paraId="03073EE5" w14:textId="352B9E22" w:rsidR="003E0F9E" w:rsidRPr="000C6C80" w:rsidRDefault="003E0F9E" w:rsidP="00FB7302">
            <w:pPr>
              <w:spacing w:before="0" w:after="0" w:line="240" w:lineRule="auto"/>
              <w:rPr>
                <w:sz w:val="22"/>
                <w:szCs w:val="22"/>
              </w:rPr>
            </w:pPr>
            <w:r w:rsidRPr="000C6C80">
              <w:rPr>
                <w:sz w:val="22"/>
                <w:szCs w:val="22"/>
              </w:rPr>
              <w:t>10344.9</w:t>
            </w:r>
          </w:p>
        </w:tc>
        <w:tc>
          <w:tcPr>
            <w:tcW w:w="766" w:type="dxa"/>
            <w:tcBorders>
              <w:top w:val="nil"/>
              <w:bottom w:val="single" w:sz="4" w:space="0" w:color="auto"/>
            </w:tcBorders>
          </w:tcPr>
          <w:p w14:paraId="480481AD" w14:textId="77777777" w:rsidR="003E0F9E" w:rsidRPr="000C6C80" w:rsidRDefault="003E0F9E" w:rsidP="00FB7302">
            <w:pPr>
              <w:spacing w:before="0" w:after="0" w:line="240" w:lineRule="auto"/>
              <w:rPr>
                <w:sz w:val="22"/>
                <w:szCs w:val="22"/>
              </w:rPr>
            </w:pPr>
            <w:r w:rsidRPr="000C6C80">
              <w:rPr>
                <w:sz w:val="22"/>
                <w:szCs w:val="22"/>
              </w:rPr>
              <w:t>2,62</w:t>
            </w:r>
          </w:p>
        </w:tc>
        <w:tc>
          <w:tcPr>
            <w:tcW w:w="1014" w:type="dxa"/>
            <w:tcBorders>
              <w:top w:val="nil"/>
              <w:bottom w:val="single" w:sz="4" w:space="0" w:color="auto"/>
            </w:tcBorders>
          </w:tcPr>
          <w:p w14:paraId="6FEFA350" w14:textId="77777777" w:rsidR="003E0F9E" w:rsidRPr="000C6C80" w:rsidRDefault="003E0F9E" w:rsidP="00FB7302">
            <w:pPr>
              <w:spacing w:before="0" w:after="0" w:line="240" w:lineRule="auto"/>
              <w:rPr>
                <w:sz w:val="22"/>
                <w:szCs w:val="22"/>
                <w:lang w:val="en-MY"/>
              </w:rPr>
            </w:pPr>
            <w:r w:rsidRPr="000C6C80">
              <w:rPr>
                <w:sz w:val="22"/>
                <w:szCs w:val="22"/>
              </w:rPr>
              <w:t>5172.4</w:t>
            </w:r>
          </w:p>
        </w:tc>
        <w:tc>
          <w:tcPr>
            <w:tcW w:w="949" w:type="dxa"/>
            <w:tcBorders>
              <w:top w:val="nil"/>
              <w:bottom w:val="single" w:sz="4" w:space="0" w:color="auto"/>
            </w:tcBorders>
          </w:tcPr>
          <w:p w14:paraId="57592042" w14:textId="77777777" w:rsidR="003E0F9E" w:rsidRPr="000C6C80" w:rsidRDefault="003E0F9E" w:rsidP="00FB7302">
            <w:pPr>
              <w:spacing w:before="0" w:after="0" w:line="240" w:lineRule="auto"/>
              <w:rPr>
                <w:sz w:val="22"/>
                <w:szCs w:val="22"/>
              </w:rPr>
            </w:pPr>
            <w:r w:rsidRPr="000C6C80">
              <w:rPr>
                <w:sz w:val="22"/>
                <w:szCs w:val="22"/>
              </w:rPr>
              <w:t>12.40</w:t>
            </w:r>
          </w:p>
        </w:tc>
        <w:tc>
          <w:tcPr>
            <w:tcW w:w="1058" w:type="dxa"/>
            <w:tcBorders>
              <w:top w:val="nil"/>
              <w:bottom w:val="single" w:sz="4" w:space="0" w:color="auto"/>
              <w:right w:val="nil"/>
            </w:tcBorders>
          </w:tcPr>
          <w:p w14:paraId="113768E8" w14:textId="77777777" w:rsidR="003E0F9E" w:rsidRPr="000C6C80" w:rsidRDefault="003E0F9E" w:rsidP="00FB7302">
            <w:pPr>
              <w:spacing w:before="0" w:after="0" w:line="240" w:lineRule="auto"/>
              <w:rPr>
                <w:sz w:val="22"/>
                <w:szCs w:val="22"/>
              </w:rPr>
            </w:pPr>
            <w:r w:rsidRPr="000C6C80">
              <w:rPr>
                <w:sz w:val="22"/>
                <w:szCs w:val="22"/>
              </w:rPr>
              <w:t>&lt;0.01*</w:t>
            </w:r>
          </w:p>
        </w:tc>
      </w:tr>
      <w:tr w:rsidR="003E0F9E" w:rsidRPr="000C6C80" w14:paraId="74EEB6B0" w14:textId="77777777" w:rsidTr="00BF49A7">
        <w:tc>
          <w:tcPr>
            <w:tcW w:w="9026" w:type="dxa"/>
            <w:gridSpan w:val="9"/>
            <w:tcBorders>
              <w:left w:val="nil"/>
              <w:bottom w:val="single" w:sz="4" w:space="0" w:color="auto"/>
              <w:right w:val="nil"/>
            </w:tcBorders>
          </w:tcPr>
          <w:p w14:paraId="0F34BACB" w14:textId="5D95985D" w:rsidR="003E0F9E" w:rsidRPr="000C6C80" w:rsidRDefault="003E0F9E" w:rsidP="00FB7302">
            <w:pPr>
              <w:spacing w:before="0" w:after="0" w:line="240" w:lineRule="auto"/>
              <w:rPr>
                <w:sz w:val="22"/>
                <w:szCs w:val="22"/>
              </w:rPr>
            </w:pPr>
            <w:r w:rsidRPr="000C6C80">
              <w:rPr>
                <w:sz w:val="22"/>
                <w:szCs w:val="22"/>
              </w:rPr>
              <w:t>Saccade peak velocity</w:t>
            </w:r>
          </w:p>
        </w:tc>
      </w:tr>
      <w:tr w:rsidR="003E0F9E" w:rsidRPr="000C6C80" w14:paraId="0793E074" w14:textId="77777777" w:rsidTr="003E0F9E">
        <w:tc>
          <w:tcPr>
            <w:tcW w:w="1451" w:type="dxa"/>
            <w:tcBorders>
              <w:left w:val="nil"/>
              <w:bottom w:val="nil"/>
            </w:tcBorders>
          </w:tcPr>
          <w:p w14:paraId="04E37FF1" w14:textId="77777777" w:rsidR="003E0F9E" w:rsidRPr="000C6C80" w:rsidRDefault="003E0F9E" w:rsidP="00FB7302">
            <w:pPr>
              <w:spacing w:before="0" w:after="0" w:line="240" w:lineRule="auto"/>
              <w:jc w:val="center"/>
              <w:rPr>
                <w:sz w:val="22"/>
                <w:szCs w:val="22"/>
              </w:rPr>
            </w:pPr>
            <w:r w:rsidRPr="000C6C80">
              <w:rPr>
                <w:sz w:val="22"/>
                <w:szCs w:val="22"/>
              </w:rPr>
              <w:t>±5°</w:t>
            </w:r>
          </w:p>
        </w:tc>
        <w:tc>
          <w:tcPr>
            <w:tcW w:w="799" w:type="dxa"/>
            <w:tcBorders>
              <w:bottom w:val="nil"/>
            </w:tcBorders>
          </w:tcPr>
          <w:p w14:paraId="71DBAFEE" w14:textId="1BAA7B48" w:rsidR="003E0F9E" w:rsidRDefault="00E203EC" w:rsidP="00FB7302">
            <w:pPr>
              <w:spacing w:before="0" w:after="0" w:line="240" w:lineRule="auto"/>
              <w:rPr>
                <w:sz w:val="22"/>
                <w:szCs w:val="22"/>
              </w:rPr>
            </w:pPr>
            <w:r>
              <w:rPr>
                <w:sz w:val="22"/>
                <w:szCs w:val="22"/>
              </w:rPr>
              <w:t>275.6</w:t>
            </w:r>
          </w:p>
        </w:tc>
        <w:tc>
          <w:tcPr>
            <w:tcW w:w="896" w:type="dxa"/>
            <w:tcBorders>
              <w:bottom w:val="nil"/>
            </w:tcBorders>
          </w:tcPr>
          <w:p w14:paraId="5781E69F" w14:textId="39081F4B" w:rsidR="003E0F9E" w:rsidRDefault="00E203EC" w:rsidP="00FB7302">
            <w:pPr>
              <w:spacing w:before="0" w:after="0" w:line="240" w:lineRule="auto"/>
              <w:rPr>
                <w:sz w:val="22"/>
                <w:szCs w:val="22"/>
              </w:rPr>
            </w:pPr>
            <w:r>
              <w:rPr>
                <w:sz w:val="22"/>
                <w:szCs w:val="22"/>
              </w:rPr>
              <w:t>276.6</w:t>
            </w:r>
          </w:p>
        </w:tc>
        <w:tc>
          <w:tcPr>
            <w:tcW w:w="896" w:type="dxa"/>
            <w:tcBorders>
              <w:bottom w:val="nil"/>
            </w:tcBorders>
          </w:tcPr>
          <w:p w14:paraId="35A6517F" w14:textId="0F7F26B6" w:rsidR="003E0F9E" w:rsidRDefault="00E203EC" w:rsidP="00FB7302">
            <w:pPr>
              <w:spacing w:before="0" w:after="0" w:line="240" w:lineRule="auto"/>
              <w:rPr>
                <w:sz w:val="22"/>
                <w:szCs w:val="22"/>
              </w:rPr>
            </w:pPr>
            <w:r>
              <w:rPr>
                <w:sz w:val="22"/>
                <w:szCs w:val="22"/>
              </w:rPr>
              <w:t>289.2</w:t>
            </w:r>
          </w:p>
        </w:tc>
        <w:tc>
          <w:tcPr>
            <w:tcW w:w="1197" w:type="dxa"/>
            <w:tcBorders>
              <w:bottom w:val="nil"/>
            </w:tcBorders>
          </w:tcPr>
          <w:p w14:paraId="26AFF9B9" w14:textId="5BB1235B" w:rsidR="003E0F9E" w:rsidRPr="000C6C80" w:rsidRDefault="003E0F9E" w:rsidP="00FB7302">
            <w:pPr>
              <w:spacing w:before="0" w:after="0" w:line="240" w:lineRule="auto"/>
              <w:rPr>
                <w:sz w:val="22"/>
                <w:szCs w:val="22"/>
              </w:rPr>
            </w:pPr>
            <w:r>
              <w:rPr>
                <w:sz w:val="22"/>
                <w:szCs w:val="22"/>
              </w:rPr>
              <w:t>4339.2</w:t>
            </w:r>
          </w:p>
        </w:tc>
        <w:tc>
          <w:tcPr>
            <w:tcW w:w="766" w:type="dxa"/>
            <w:tcBorders>
              <w:bottom w:val="nil"/>
            </w:tcBorders>
          </w:tcPr>
          <w:p w14:paraId="480BF863" w14:textId="77777777" w:rsidR="003E0F9E" w:rsidRPr="000C6C80" w:rsidRDefault="003E0F9E" w:rsidP="00FB7302">
            <w:pPr>
              <w:spacing w:before="0" w:after="0" w:line="240" w:lineRule="auto"/>
              <w:rPr>
                <w:sz w:val="22"/>
                <w:szCs w:val="22"/>
              </w:rPr>
            </w:pPr>
            <w:r>
              <w:rPr>
                <w:sz w:val="22"/>
                <w:szCs w:val="22"/>
              </w:rPr>
              <w:t>2,74</w:t>
            </w:r>
          </w:p>
        </w:tc>
        <w:tc>
          <w:tcPr>
            <w:tcW w:w="1014" w:type="dxa"/>
            <w:tcBorders>
              <w:bottom w:val="nil"/>
            </w:tcBorders>
          </w:tcPr>
          <w:p w14:paraId="0E44C110" w14:textId="77777777" w:rsidR="003E0F9E" w:rsidRPr="000C6C80" w:rsidRDefault="003E0F9E" w:rsidP="00FB7302">
            <w:pPr>
              <w:spacing w:before="0" w:after="0" w:line="240" w:lineRule="auto"/>
              <w:rPr>
                <w:sz w:val="22"/>
                <w:szCs w:val="22"/>
              </w:rPr>
            </w:pPr>
            <w:r>
              <w:rPr>
                <w:sz w:val="22"/>
                <w:szCs w:val="22"/>
              </w:rPr>
              <w:t>3722.5</w:t>
            </w:r>
          </w:p>
        </w:tc>
        <w:tc>
          <w:tcPr>
            <w:tcW w:w="949" w:type="dxa"/>
            <w:tcBorders>
              <w:bottom w:val="nil"/>
            </w:tcBorders>
          </w:tcPr>
          <w:p w14:paraId="7EAF4725" w14:textId="77777777" w:rsidR="003E0F9E" w:rsidRPr="000C6C80" w:rsidRDefault="003E0F9E" w:rsidP="00FB7302">
            <w:pPr>
              <w:spacing w:before="0" w:after="0" w:line="240" w:lineRule="auto"/>
              <w:rPr>
                <w:sz w:val="22"/>
                <w:szCs w:val="22"/>
              </w:rPr>
            </w:pPr>
            <w:r>
              <w:rPr>
                <w:sz w:val="22"/>
                <w:szCs w:val="22"/>
              </w:rPr>
              <w:t>2.19</w:t>
            </w:r>
          </w:p>
        </w:tc>
        <w:tc>
          <w:tcPr>
            <w:tcW w:w="1058" w:type="dxa"/>
            <w:tcBorders>
              <w:bottom w:val="nil"/>
              <w:right w:val="nil"/>
            </w:tcBorders>
          </w:tcPr>
          <w:p w14:paraId="25494975" w14:textId="77777777" w:rsidR="003E0F9E" w:rsidRPr="000C6C80" w:rsidRDefault="003E0F9E" w:rsidP="00FB7302">
            <w:pPr>
              <w:spacing w:before="0" w:after="0" w:line="240" w:lineRule="auto"/>
              <w:rPr>
                <w:sz w:val="22"/>
                <w:szCs w:val="22"/>
              </w:rPr>
            </w:pPr>
            <w:r>
              <w:rPr>
                <w:sz w:val="22"/>
                <w:szCs w:val="22"/>
              </w:rPr>
              <w:t>0.12</w:t>
            </w:r>
          </w:p>
        </w:tc>
      </w:tr>
      <w:tr w:rsidR="003E0F9E" w:rsidRPr="000C6C80" w14:paraId="67D42AB2" w14:textId="77777777" w:rsidTr="003E0F9E">
        <w:tc>
          <w:tcPr>
            <w:tcW w:w="1451" w:type="dxa"/>
            <w:tcBorders>
              <w:top w:val="nil"/>
              <w:left w:val="nil"/>
              <w:bottom w:val="nil"/>
            </w:tcBorders>
          </w:tcPr>
          <w:p w14:paraId="4F16788A" w14:textId="77777777" w:rsidR="003E0F9E" w:rsidRPr="000C6C80" w:rsidRDefault="003E0F9E" w:rsidP="00FB7302">
            <w:pPr>
              <w:spacing w:before="0" w:after="0" w:line="240" w:lineRule="auto"/>
              <w:jc w:val="center"/>
              <w:rPr>
                <w:sz w:val="22"/>
                <w:szCs w:val="22"/>
              </w:rPr>
            </w:pPr>
            <w:r w:rsidRPr="000C6C80">
              <w:rPr>
                <w:sz w:val="22"/>
                <w:szCs w:val="22"/>
              </w:rPr>
              <w:t>±10°</w:t>
            </w:r>
          </w:p>
        </w:tc>
        <w:tc>
          <w:tcPr>
            <w:tcW w:w="799" w:type="dxa"/>
            <w:tcBorders>
              <w:top w:val="nil"/>
              <w:bottom w:val="nil"/>
            </w:tcBorders>
          </w:tcPr>
          <w:p w14:paraId="5B2FBAF8" w14:textId="4258CC7A" w:rsidR="003E0F9E" w:rsidRDefault="00E203EC" w:rsidP="00FB7302">
            <w:pPr>
              <w:spacing w:before="0" w:after="0" w:line="240" w:lineRule="auto"/>
              <w:rPr>
                <w:sz w:val="22"/>
                <w:szCs w:val="22"/>
              </w:rPr>
            </w:pPr>
            <w:r>
              <w:rPr>
                <w:sz w:val="22"/>
                <w:szCs w:val="22"/>
              </w:rPr>
              <w:t>363.3</w:t>
            </w:r>
          </w:p>
        </w:tc>
        <w:tc>
          <w:tcPr>
            <w:tcW w:w="896" w:type="dxa"/>
            <w:tcBorders>
              <w:top w:val="nil"/>
              <w:bottom w:val="nil"/>
            </w:tcBorders>
          </w:tcPr>
          <w:p w14:paraId="1DDC6109" w14:textId="643DB27E" w:rsidR="003E0F9E" w:rsidRDefault="00E203EC" w:rsidP="00FB7302">
            <w:pPr>
              <w:spacing w:before="0" w:after="0" w:line="240" w:lineRule="auto"/>
              <w:rPr>
                <w:sz w:val="22"/>
                <w:szCs w:val="22"/>
              </w:rPr>
            </w:pPr>
            <w:r>
              <w:rPr>
                <w:sz w:val="22"/>
                <w:szCs w:val="22"/>
              </w:rPr>
              <w:t>362.6</w:t>
            </w:r>
          </w:p>
        </w:tc>
        <w:tc>
          <w:tcPr>
            <w:tcW w:w="896" w:type="dxa"/>
            <w:tcBorders>
              <w:top w:val="nil"/>
              <w:bottom w:val="nil"/>
            </w:tcBorders>
          </w:tcPr>
          <w:p w14:paraId="06E37D47" w14:textId="532A4F21" w:rsidR="003E0F9E" w:rsidRDefault="00E203EC" w:rsidP="00FB7302">
            <w:pPr>
              <w:spacing w:before="0" w:after="0" w:line="240" w:lineRule="auto"/>
              <w:rPr>
                <w:sz w:val="22"/>
                <w:szCs w:val="22"/>
              </w:rPr>
            </w:pPr>
            <w:r>
              <w:rPr>
                <w:sz w:val="22"/>
                <w:szCs w:val="22"/>
              </w:rPr>
              <w:t>362.0</w:t>
            </w:r>
          </w:p>
        </w:tc>
        <w:tc>
          <w:tcPr>
            <w:tcW w:w="1197" w:type="dxa"/>
            <w:tcBorders>
              <w:top w:val="nil"/>
              <w:bottom w:val="nil"/>
            </w:tcBorders>
          </w:tcPr>
          <w:p w14:paraId="2C1B1B07" w14:textId="48913D25" w:rsidR="003E0F9E" w:rsidRPr="000C6C80" w:rsidRDefault="003E0F9E" w:rsidP="00FB7302">
            <w:pPr>
              <w:spacing w:before="0" w:after="0" w:line="240" w:lineRule="auto"/>
              <w:rPr>
                <w:sz w:val="22"/>
                <w:szCs w:val="22"/>
              </w:rPr>
            </w:pPr>
            <w:r>
              <w:rPr>
                <w:sz w:val="22"/>
                <w:szCs w:val="22"/>
              </w:rPr>
              <w:t>29.1</w:t>
            </w:r>
          </w:p>
        </w:tc>
        <w:tc>
          <w:tcPr>
            <w:tcW w:w="766" w:type="dxa"/>
            <w:tcBorders>
              <w:top w:val="nil"/>
              <w:bottom w:val="nil"/>
            </w:tcBorders>
          </w:tcPr>
          <w:p w14:paraId="26E8ADAB" w14:textId="77777777" w:rsidR="003E0F9E" w:rsidRPr="000C6C80" w:rsidRDefault="003E0F9E" w:rsidP="00FB7302">
            <w:pPr>
              <w:spacing w:before="0" w:after="0" w:line="240" w:lineRule="auto"/>
              <w:rPr>
                <w:sz w:val="22"/>
                <w:szCs w:val="22"/>
              </w:rPr>
            </w:pPr>
            <w:r>
              <w:rPr>
                <w:sz w:val="22"/>
                <w:szCs w:val="22"/>
              </w:rPr>
              <w:t>2,74</w:t>
            </w:r>
          </w:p>
        </w:tc>
        <w:tc>
          <w:tcPr>
            <w:tcW w:w="1014" w:type="dxa"/>
            <w:tcBorders>
              <w:top w:val="nil"/>
              <w:bottom w:val="nil"/>
            </w:tcBorders>
          </w:tcPr>
          <w:p w14:paraId="475B2F98" w14:textId="77777777" w:rsidR="003E0F9E" w:rsidRPr="000C6C80" w:rsidRDefault="003E0F9E" w:rsidP="00FB7302">
            <w:pPr>
              <w:spacing w:before="0" w:after="0" w:line="240" w:lineRule="auto"/>
              <w:rPr>
                <w:sz w:val="22"/>
                <w:szCs w:val="22"/>
              </w:rPr>
            </w:pPr>
            <w:r>
              <w:rPr>
                <w:sz w:val="22"/>
                <w:szCs w:val="22"/>
              </w:rPr>
              <w:t>26.8</w:t>
            </w:r>
          </w:p>
        </w:tc>
        <w:tc>
          <w:tcPr>
            <w:tcW w:w="949" w:type="dxa"/>
            <w:tcBorders>
              <w:top w:val="nil"/>
              <w:bottom w:val="nil"/>
            </w:tcBorders>
          </w:tcPr>
          <w:p w14:paraId="103DB616" w14:textId="77777777" w:rsidR="003E0F9E" w:rsidRPr="000C6C80" w:rsidRDefault="003E0F9E" w:rsidP="00FB7302">
            <w:pPr>
              <w:spacing w:before="0" w:after="0" w:line="240" w:lineRule="auto"/>
              <w:rPr>
                <w:sz w:val="22"/>
                <w:szCs w:val="22"/>
              </w:rPr>
            </w:pPr>
            <w:r>
              <w:rPr>
                <w:sz w:val="22"/>
                <w:szCs w:val="22"/>
              </w:rPr>
              <w:t>0.01</w:t>
            </w:r>
          </w:p>
        </w:tc>
        <w:tc>
          <w:tcPr>
            <w:tcW w:w="1058" w:type="dxa"/>
            <w:tcBorders>
              <w:top w:val="nil"/>
              <w:bottom w:val="nil"/>
              <w:right w:val="nil"/>
            </w:tcBorders>
          </w:tcPr>
          <w:p w14:paraId="2A7F11A2" w14:textId="77777777" w:rsidR="003E0F9E" w:rsidRPr="000C6C80" w:rsidRDefault="003E0F9E" w:rsidP="00FB7302">
            <w:pPr>
              <w:spacing w:before="0" w:after="0" w:line="240" w:lineRule="auto"/>
              <w:rPr>
                <w:sz w:val="22"/>
                <w:szCs w:val="22"/>
              </w:rPr>
            </w:pPr>
            <w:r>
              <w:rPr>
                <w:sz w:val="22"/>
                <w:szCs w:val="22"/>
              </w:rPr>
              <w:t>0.95</w:t>
            </w:r>
          </w:p>
        </w:tc>
      </w:tr>
      <w:tr w:rsidR="003E0F9E" w:rsidRPr="000C6C80" w14:paraId="263BB8D7" w14:textId="77777777" w:rsidTr="003E0F9E">
        <w:tc>
          <w:tcPr>
            <w:tcW w:w="1451" w:type="dxa"/>
            <w:tcBorders>
              <w:top w:val="nil"/>
              <w:left w:val="nil"/>
              <w:bottom w:val="single" w:sz="4" w:space="0" w:color="auto"/>
            </w:tcBorders>
          </w:tcPr>
          <w:p w14:paraId="5176ED5E" w14:textId="77777777" w:rsidR="003E0F9E" w:rsidRPr="000C6C80" w:rsidRDefault="003E0F9E" w:rsidP="00FB7302">
            <w:pPr>
              <w:spacing w:before="0" w:after="0" w:line="240" w:lineRule="auto"/>
              <w:jc w:val="center"/>
              <w:rPr>
                <w:sz w:val="22"/>
                <w:szCs w:val="22"/>
              </w:rPr>
            </w:pPr>
            <w:r w:rsidRPr="000C6C80">
              <w:rPr>
                <w:sz w:val="22"/>
                <w:szCs w:val="22"/>
              </w:rPr>
              <w:t>±15°</w:t>
            </w:r>
          </w:p>
        </w:tc>
        <w:tc>
          <w:tcPr>
            <w:tcW w:w="799" w:type="dxa"/>
            <w:tcBorders>
              <w:top w:val="nil"/>
              <w:bottom w:val="single" w:sz="4" w:space="0" w:color="auto"/>
            </w:tcBorders>
          </w:tcPr>
          <w:p w14:paraId="06B4FFAD" w14:textId="467CE1F6" w:rsidR="003E0F9E" w:rsidRDefault="00E203EC" w:rsidP="00FB7302">
            <w:pPr>
              <w:spacing w:before="0" w:after="0" w:line="240" w:lineRule="auto"/>
              <w:rPr>
                <w:sz w:val="22"/>
                <w:szCs w:val="22"/>
              </w:rPr>
            </w:pPr>
            <w:r>
              <w:rPr>
                <w:sz w:val="22"/>
                <w:szCs w:val="22"/>
              </w:rPr>
              <w:t>395.8</w:t>
            </w:r>
          </w:p>
        </w:tc>
        <w:tc>
          <w:tcPr>
            <w:tcW w:w="896" w:type="dxa"/>
            <w:tcBorders>
              <w:top w:val="nil"/>
              <w:bottom w:val="single" w:sz="4" w:space="0" w:color="auto"/>
            </w:tcBorders>
          </w:tcPr>
          <w:p w14:paraId="0B6BA225" w14:textId="379B1FC0" w:rsidR="003E0F9E" w:rsidRDefault="00E203EC" w:rsidP="00FB7302">
            <w:pPr>
              <w:spacing w:before="0" w:after="0" w:line="240" w:lineRule="auto"/>
              <w:rPr>
                <w:sz w:val="22"/>
                <w:szCs w:val="22"/>
              </w:rPr>
            </w:pPr>
            <w:r>
              <w:rPr>
                <w:sz w:val="22"/>
                <w:szCs w:val="22"/>
              </w:rPr>
              <w:t>399.6</w:t>
            </w:r>
          </w:p>
        </w:tc>
        <w:tc>
          <w:tcPr>
            <w:tcW w:w="896" w:type="dxa"/>
            <w:tcBorders>
              <w:top w:val="nil"/>
              <w:bottom w:val="single" w:sz="4" w:space="0" w:color="auto"/>
            </w:tcBorders>
          </w:tcPr>
          <w:p w14:paraId="05D2863A" w14:textId="05FC9762" w:rsidR="003E0F9E" w:rsidRDefault="00E203EC" w:rsidP="00FB7302">
            <w:pPr>
              <w:spacing w:before="0" w:after="0" w:line="240" w:lineRule="auto"/>
              <w:rPr>
                <w:sz w:val="22"/>
                <w:szCs w:val="22"/>
              </w:rPr>
            </w:pPr>
            <w:r>
              <w:rPr>
                <w:sz w:val="22"/>
                <w:szCs w:val="22"/>
              </w:rPr>
              <w:t>395.1</w:t>
            </w:r>
          </w:p>
        </w:tc>
        <w:tc>
          <w:tcPr>
            <w:tcW w:w="1197" w:type="dxa"/>
            <w:tcBorders>
              <w:top w:val="nil"/>
              <w:bottom w:val="single" w:sz="4" w:space="0" w:color="auto"/>
            </w:tcBorders>
          </w:tcPr>
          <w:p w14:paraId="5A7D0EE8" w14:textId="6049AF2F" w:rsidR="003E0F9E" w:rsidRPr="000C6C80" w:rsidRDefault="003E0F9E" w:rsidP="00FB7302">
            <w:pPr>
              <w:spacing w:before="0" w:after="0" w:line="240" w:lineRule="auto"/>
              <w:rPr>
                <w:sz w:val="22"/>
                <w:szCs w:val="22"/>
              </w:rPr>
            </w:pPr>
            <w:r>
              <w:rPr>
                <w:sz w:val="22"/>
                <w:szCs w:val="22"/>
              </w:rPr>
              <w:t>364.1</w:t>
            </w:r>
          </w:p>
        </w:tc>
        <w:tc>
          <w:tcPr>
            <w:tcW w:w="766" w:type="dxa"/>
            <w:tcBorders>
              <w:top w:val="nil"/>
              <w:bottom w:val="single" w:sz="4" w:space="0" w:color="auto"/>
            </w:tcBorders>
          </w:tcPr>
          <w:p w14:paraId="0AB1B95E" w14:textId="77777777" w:rsidR="003E0F9E" w:rsidRPr="000C6C80" w:rsidRDefault="003E0F9E" w:rsidP="00FB7302">
            <w:pPr>
              <w:spacing w:before="0" w:after="0" w:line="240" w:lineRule="auto"/>
              <w:rPr>
                <w:sz w:val="22"/>
                <w:szCs w:val="22"/>
              </w:rPr>
            </w:pPr>
            <w:r>
              <w:rPr>
                <w:sz w:val="22"/>
                <w:szCs w:val="22"/>
              </w:rPr>
              <w:t>2,62</w:t>
            </w:r>
          </w:p>
        </w:tc>
        <w:tc>
          <w:tcPr>
            <w:tcW w:w="1014" w:type="dxa"/>
            <w:tcBorders>
              <w:top w:val="nil"/>
              <w:bottom w:val="single" w:sz="4" w:space="0" w:color="auto"/>
            </w:tcBorders>
          </w:tcPr>
          <w:p w14:paraId="5F2111E1" w14:textId="77777777" w:rsidR="003E0F9E" w:rsidRPr="000C6C80" w:rsidRDefault="003E0F9E" w:rsidP="00FB7302">
            <w:pPr>
              <w:spacing w:before="0" w:after="0" w:line="240" w:lineRule="auto"/>
              <w:rPr>
                <w:sz w:val="22"/>
                <w:szCs w:val="22"/>
              </w:rPr>
            </w:pPr>
            <w:r>
              <w:rPr>
                <w:sz w:val="22"/>
                <w:szCs w:val="22"/>
              </w:rPr>
              <w:t>324.1</w:t>
            </w:r>
          </w:p>
        </w:tc>
        <w:tc>
          <w:tcPr>
            <w:tcW w:w="949" w:type="dxa"/>
            <w:tcBorders>
              <w:top w:val="nil"/>
              <w:bottom w:val="single" w:sz="4" w:space="0" w:color="auto"/>
            </w:tcBorders>
          </w:tcPr>
          <w:p w14:paraId="12B7D090" w14:textId="77777777" w:rsidR="003E0F9E" w:rsidRPr="000C6C80" w:rsidRDefault="003E0F9E" w:rsidP="00FB7302">
            <w:pPr>
              <w:spacing w:before="0" w:after="0" w:line="240" w:lineRule="auto"/>
              <w:rPr>
                <w:sz w:val="22"/>
                <w:szCs w:val="22"/>
              </w:rPr>
            </w:pPr>
            <w:r>
              <w:rPr>
                <w:sz w:val="22"/>
                <w:szCs w:val="22"/>
              </w:rPr>
              <w:t>0.10</w:t>
            </w:r>
          </w:p>
        </w:tc>
        <w:tc>
          <w:tcPr>
            <w:tcW w:w="1058" w:type="dxa"/>
            <w:tcBorders>
              <w:top w:val="nil"/>
              <w:bottom w:val="single" w:sz="4" w:space="0" w:color="auto"/>
              <w:right w:val="nil"/>
            </w:tcBorders>
          </w:tcPr>
          <w:p w14:paraId="30C8E667" w14:textId="77777777" w:rsidR="003E0F9E" w:rsidRPr="000C6C80" w:rsidRDefault="003E0F9E" w:rsidP="00FB7302">
            <w:pPr>
              <w:spacing w:before="0" w:after="0" w:line="240" w:lineRule="auto"/>
              <w:rPr>
                <w:sz w:val="22"/>
                <w:szCs w:val="22"/>
              </w:rPr>
            </w:pPr>
            <w:r>
              <w:rPr>
                <w:sz w:val="22"/>
                <w:szCs w:val="22"/>
              </w:rPr>
              <w:t>0.79</w:t>
            </w:r>
          </w:p>
        </w:tc>
      </w:tr>
      <w:tr w:rsidR="003E0F9E" w:rsidRPr="000C6C80" w14:paraId="094E5A17" w14:textId="77777777" w:rsidTr="003E0F9E">
        <w:tc>
          <w:tcPr>
            <w:tcW w:w="9026" w:type="dxa"/>
            <w:gridSpan w:val="9"/>
            <w:tcBorders>
              <w:left w:val="nil"/>
              <w:bottom w:val="single" w:sz="4" w:space="0" w:color="auto"/>
              <w:right w:val="nil"/>
            </w:tcBorders>
          </w:tcPr>
          <w:p w14:paraId="5C2EC527" w14:textId="3B382A00" w:rsidR="003E0F9E" w:rsidRPr="000C6C80" w:rsidRDefault="003E0F9E" w:rsidP="00FB7302">
            <w:pPr>
              <w:spacing w:before="0" w:after="0" w:line="240" w:lineRule="auto"/>
              <w:rPr>
                <w:sz w:val="22"/>
                <w:szCs w:val="22"/>
              </w:rPr>
            </w:pPr>
            <w:r>
              <w:rPr>
                <w:sz w:val="22"/>
                <w:szCs w:val="22"/>
              </w:rPr>
              <w:t>Saccade gain</w:t>
            </w:r>
          </w:p>
        </w:tc>
      </w:tr>
      <w:tr w:rsidR="003E0F9E" w:rsidRPr="000C6C80" w14:paraId="542BC0C7" w14:textId="77777777" w:rsidTr="003E0F9E">
        <w:tc>
          <w:tcPr>
            <w:tcW w:w="1451" w:type="dxa"/>
            <w:tcBorders>
              <w:left w:val="nil"/>
              <w:bottom w:val="nil"/>
            </w:tcBorders>
          </w:tcPr>
          <w:p w14:paraId="1DE2CD92" w14:textId="77777777" w:rsidR="003E0F9E" w:rsidRPr="000C6C80" w:rsidRDefault="003E0F9E" w:rsidP="00FB7302">
            <w:pPr>
              <w:spacing w:before="0" w:after="0" w:line="240" w:lineRule="auto"/>
              <w:jc w:val="center"/>
              <w:rPr>
                <w:sz w:val="22"/>
                <w:szCs w:val="22"/>
              </w:rPr>
            </w:pPr>
            <w:r w:rsidRPr="000C6C80">
              <w:rPr>
                <w:sz w:val="22"/>
                <w:szCs w:val="22"/>
              </w:rPr>
              <w:t>±5°</w:t>
            </w:r>
          </w:p>
        </w:tc>
        <w:tc>
          <w:tcPr>
            <w:tcW w:w="799" w:type="dxa"/>
            <w:tcBorders>
              <w:bottom w:val="nil"/>
            </w:tcBorders>
          </w:tcPr>
          <w:p w14:paraId="486EAC5A" w14:textId="616AD06C" w:rsidR="003E0F9E" w:rsidRDefault="00E203EC" w:rsidP="00FB7302">
            <w:pPr>
              <w:spacing w:before="0" w:after="0" w:line="240" w:lineRule="auto"/>
              <w:rPr>
                <w:sz w:val="22"/>
                <w:szCs w:val="22"/>
              </w:rPr>
            </w:pPr>
            <w:r>
              <w:rPr>
                <w:sz w:val="22"/>
                <w:szCs w:val="22"/>
              </w:rPr>
              <w:t>0.99</w:t>
            </w:r>
          </w:p>
        </w:tc>
        <w:tc>
          <w:tcPr>
            <w:tcW w:w="896" w:type="dxa"/>
            <w:tcBorders>
              <w:bottom w:val="nil"/>
            </w:tcBorders>
          </w:tcPr>
          <w:p w14:paraId="4F65BE7F" w14:textId="6E77481F" w:rsidR="003E0F9E" w:rsidRDefault="00E203EC" w:rsidP="00FB7302">
            <w:pPr>
              <w:spacing w:before="0" w:after="0" w:line="240" w:lineRule="auto"/>
              <w:rPr>
                <w:sz w:val="22"/>
                <w:szCs w:val="22"/>
              </w:rPr>
            </w:pPr>
            <w:r>
              <w:rPr>
                <w:sz w:val="22"/>
                <w:szCs w:val="22"/>
              </w:rPr>
              <w:t>1.00</w:t>
            </w:r>
          </w:p>
        </w:tc>
        <w:tc>
          <w:tcPr>
            <w:tcW w:w="896" w:type="dxa"/>
            <w:tcBorders>
              <w:bottom w:val="nil"/>
            </w:tcBorders>
          </w:tcPr>
          <w:p w14:paraId="63A80A37" w14:textId="003C9DD0" w:rsidR="003E0F9E" w:rsidRDefault="00E203EC" w:rsidP="00FB7302">
            <w:pPr>
              <w:spacing w:before="0" w:after="0" w:line="240" w:lineRule="auto"/>
              <w:rPr>
                <w:sz w:val="22"/>
                <w:szCs w:val="22"/>
              </w:rPr>
            </w:pPr>
            <w:r>
              <w:rPr>
                <w:sz w:val="22"/>
                <w:szCs w:val="22"/>
              </w:rPr>
              <w:t>1.01</w:t>
            </w:r>
          </w:p>
        </w:tc>
        <w:tc>
          <w:tcPr>
            <w:tcW w:w="1197" w:type="dxa"/>
            <w:tcBorders>
              <w:bottom w:val="nil"/>
            </w:tcBorders>
          </w:tcPr>
          <w:p w14:paraId="20F509C5" w14:textId="24C639E7" w:rsidR="003E0F9E" w:rsidRPr="000C6C80" w:rsidRDefault="003E0F9E" w:rsidP="00FB7302">
            <w:pPr>
              <w:spacing w:before="0" w:after="0" w:line="240" w:lineRule="auto"/>
              <w:rPr>
                <w:sz w:val="22"/>
                <w:szCs w:val="22"/>
              </w:rPr>
            </w:pPr>
            <w:r>
              <w:rPr>
                <w:sz w:val="22"/>
                <w:szCs w:val="22"/>
              </w:rPr>
              <w:t>0.008</w:t>
            </w:r>
          </w:p>
        </w:tc>
        <w:tc>
          <w:tcPr>
            <w:tcW w:w="766" w:type="dxa"/>
            <w:tcBorders>
              <w:bottom w:val="nil"/>
            </w:tcBorders>
          </w:tcPr>
          <w:p w14:paraId="73849917" w14:textId="77777777" w:rsidR="003E0F9E" w:rsidRPr="000C6C80" w:rsidRDefault="003E0F9E" w:rsidP="00FB7302">
            <w:pPr>
              <w:spacing w:before="0" w:after="0" w:line="240" w:lineRule="auto"/>
              <w:rPr>
                <w:sz w:val="22"/>
                <w:szCs w:val="22"/>
              </w:rPr>
            </w:pPr>
            <w:r>
              <w:rPr>
                <w:sz w:val="22"/>
                <w:szCs w:val="22"/>
              </w:rPr>
              <w:t>2,74</w:t>
            </w:r>
          </w:p>
        </w:tc>
        <w:tc>
          <w:tcPr>
            <w:tcW w:w="1014" w:type="dxa"/>
            <w:tcBorders>
              <w:bottom w:val="nil"/>
            </w:tcBorders>
          </w:tcPr>
          <w:p w14:paraId="40F1EEFB" w14:textId="77777777" w:rsidR="003E0F9E" w:rsidRPr="000C6C80" w:rsidRDefault="003E0F9E" w:rsidP="00FB7302">
            <w:pPr>
              <w:spacing w:before="0" w:after="0" w:line="240" w:lineRule="auto"/>
              <w:rPr>
                <w:sz w:val="22"/>
                <w:szCs w:val="22"/>
              </w:rPr>
            </w:pPr>
            <w:r>
              <w:rPr>
                <w:sz w:val="22"/>
                <w:szCs w:val="22"/>
              </w:rPr>
              <w:t>0.007</w:t>
            </w:r>
          </w:p>
        </w:tc>
        <w:tc>
          <w:tcPr>
            <w:tcW w:w="949" w:type="dxa"/>
            <w:tcBorders>
              <w:bottom w:val="nil"/>
            </w:tcBorders>
          </w:tcPr>
          <w:p w14:paraId="1C69F51E" w14:textId="77777777" w:rsidR="003E0F9E" w:rsidRPr="000C6C80" w:rsidRDefault="003E0F9E" w:rsidP="00FB7302">
            <w:pPr>
              <w:spacing w:before="0" w:after="0" w:line="240" w:lineRule="auto"/>
              <w:rPr>
                <w:sz w:val="22"/>
                <w:szCs w:val="22"/>
              </w:rPr>
            </w:pPr>
            <w:r>
              <w:rPr>
                <w:sz w:val="22"/>
                <w:szCs w:val="22"/>
              </w:rPr>
              <w:t>0.37</w:t>
            </w:r>
          </w:p>
        </w:tc>
        <w:tc>
          <w:tcPr>
            <w:tcW w:w="1058" w:type="dxa"/>
            <w:tcBorders>
              <w:bottom w:val="nil"/>
              <w:right w:val="nil"/>
            </w:tcBorders>
          </w:tcPr>
          <w:p w14:paraId="27ED42E3" w14:textId="77777777" w:rsidR="003E0F9E" w:rsidRPr="000C6C80" w:rsidRDefault="003E0F9E" w:rsidP="00FB7302">
            <w:pPr>
              <w:spacing w:before="0" w:after="0" w:line="240" w:lineRule="auto"/>
              <w:rPr>
                <w:sz w:val="22"/>
                <w:szCs w:val="22"/>
              </w:rPr>
            </w:pPr>
            <w:r>
              <w:rPr>
                <w:sz w:val="22"/>
                <w:szCs w:val="22"/>
              </w:rPr>
              <w:t>0.69</w:t>
            </w:r>
          </w:p>
        </w:tc>
      </w:tr>
      <w:tr w:rsidR="003E0F9E" w:rsidRPr="000C6C80" w14:paraId="63A7845B" w14:textId="77777777" w:rsidTr="003E0F9E">
        <w:tc>
          <w:tcPr>
            <w:tcW w:w="1451" w:type="dxa"/>
            <w:tcBorders>
              <w:top w:val="nil"/>
              <w:left w:val="nil"/>
              <w:bottom w:val="nil"/>
            </w:tcBorders>
          </w:tcPr>
          <w:p w14:paraId="2D8F629E" w14:textId="77777777" w:rsidR="003E0F9E" w:rsidRPr="000C6C80" w:rsidRDefault="003E0F9E" w:rsidP="00FB7302">
            <w:pPr>
              <w:spacing w:before="0" w:after="0" w:line="240" w:lineRule="auto"/>
              <w:jc w:val="center"/>
              <w:rPr>
                <w:sz w:val="22"/>
                <w:szCs w:val="22"/>
              </w:rPr>
            </w:pPr>
            <w:r w:rsidRPr="000C6C80">
              <w:rPr>
                <w:sz w:val="22"/>
                <w:szCs w:val="22"/>
              </w:rPr>
              <w:t>±10°</w:t>
            </w:r>
          </w:p>
        </w:tc>
        <w:tc>
          <w:tcPr>
            <w:tcW w:w="799" w:type="dxa"/>
            <w:tcBorders>
              <w:top w:val="nil"/>
              <w:bottom w:val="nil"/>
            </w:tcBorders>
          </w:tcPr>
          <w:p w14:paraId="42AB56B6" w14:textId="526A1D07" w:rsidR="003E0F9E" w:rsidRDefault="00E203EC" w:rsidP="00FB7302">
            <w:pPr>
              <w:spacing w:before="0" w:after="0" w:line="240" w:lineRule="auto"/>
              <w:rPr>
                <w:sz w:val="22"/>
                <w:szCs w:val="22"/>
              </w:rPr>
            </w:pPr>
            <w:r>
              <w:rPr>
                <w:sz w:val="22"/>
                <w:szCs w:val="22"/>
              </w:rPr>
              <w:t>0.95</w:t>
            </w:r>
          </w:p>
        </w:tc>
        <w:tc>
          <w:tcPr>
            <w:tcW w:w="896" w:type="dxa"/>
            <w:tcBorders>
              <w:top w:val="nil"/>
              <w:bottom w:val="nil"/>
            </w:tcBorders>
          </w:tcPr>
          <w:p w14:paraId="66AB9B1F" w14:textId="27BF3361" w:rsidR="003E0F9E" w:rsidRDefault="00E203EC" w:rsidP="00FB7302">
            <w:pPr>
              <w:spacing w:before="0" w:after="0" w:line="240" w:lineRule="auto"/>
              <w:rPr>
                <w:sz w:val="22"/>
                <w:szCs w:val="22"/>
              </w:rPr>
            </w:pPr>
            <w:r>
              <w:rPr>
                <w:sz w:val="22"/>
                <w:szCs w:val="22"/>
              </w:rPr>
              <w:t>0.96</w:t>
            </w:r>
          </w:p>
        </w:tc>
        <w:tc>
          <w:tcPr>
            <w:tcW w:w="896" w:type="dxa"/>
            <w:tcBorders>
              <w:top w:val="nil"/>
              <w:bottom w:val="nil"/>
            </w:tcBorders>
          </w:tcPr>
          <w:p w14:paraId="57DC3B99" w14:textId="03311D84" w:rsidR="003E0F9E" w:rsidRDefault="00E203EC" w:rsidP="00FB7302">
            <w:pPr>
              <w:spacing w:before="0" w:after="0" w:line="240" w:lineRule="auto"/>
              <w:rPr>
                <w:sz w:val="22"/>
                <w:szCs w:val="22"/>
              </w:rPr>
            </w:pPr>
            <w:r>
              <w:rPr>
                <w:sz w:val="22"/>
                <w:szCs w:val="22"/>
              </w:rPr>
              <w:t>0.96</w:t>
            </w:r>
          </w:p>
        </w:tc>
        <w:tc>
          <w:tcPr>
            <w:tcW w:w="1197" w:type="dxa"/>
            <w:tcBorders>
              <w:top w:val="nil"/>
              <w:bottom w:val="nil"/>
            </w:tcBorders>
          </w:tcPr>
          <w:p w14:paraId="70C71672" w14:textId="409CBBC5" w:rsidR="003E0F9E" w:rsidRPr="000C6C80" w:rsidRDefault="003E0F9E" w:rsidP="00FB7302">
            <w:pPr>
              <w:spacing w:before="0" w:after="0" w:line="240" w:lineRule="auto"/>
              <w:rPr>
                <w:sz w:val="22"/>
                <w:szCs w:val="22"/>
              </w:rPr>
            </w:pPr>
            <w:r>
              <w:rPr>
                <w:sz w:val="22"/>
                <w:szCs w:val="22"/>
              </w:rPr>
              <w:t>0.005</w:t>
            </w:r>
          </w:p>
        </w:tc>
        <w:tc>
          <w:tcPr>
            <w:tcW w:w="766" w:type="dxa"/>
            <w:tcBorders>
              <w:top w:val="nil"/>
              <w:bottom w:val="nil"/>
            </w:tcBorders>
          </w:tcPr>
          <w:p w14:paraId="20B50575" w14:textId="77777777" w:rsidR="003E0F9E" w:rsidRPr="000C6C80" w:rsidRDefault="003E0F9E" w:rsidP="00FB7302">
            <w:pPr>
              <w:spacing w:before="0" w:after="0" w:line="240" w:lineRule="auto"/>
              <w:rPr>
                <w:sz w:val="22"/>
                <w:szCs w:val="22"/>
              </w:rPr>
            </w:pPr>
            <w:r>
              <w:rPr>
                <w:sz w:val="22"/>
                <w:szCs w:val="22"/>
              </w:rPr>
              <w:t>2,74</w:t>
            </w:r>
          </w:p>
        </w:tc>
        <w:tc>
          <w:tcPr>
            <w:tcW w:w="1014" w:type="dxa"/>
            <w:tcBorders>
              <w:top w:val="nil"/>
              <w:bottom w:val="nil"/>
            </w:tcBorders>
          </w:tcPr>
          <w:p w14:paraId="5B9F1EA9" w14:textId="77777777" w:rsidR="003E0F9E" w:rsidRPr="000C6C80" w:rsidRDefault="003E0F9E" w:rsidP="00FB7302">
            <w:pPr>
              <w:spacing w:before="0" w:after="0" w:line="240" w:lineRule="auto"/>
              <w:rPr>
                <w:sz w:val="22"/>
                <w:szCs w:val="22"/>
              </w:rPr>
            </w:pPr>
            <w:r>
              <w:rPr>
                <w:sz w:val="22"/>
                <w:szCs w:val="22"/>
              </w:rPr>
              <w:t>0.004</w:t>
            </w:r>
          </w:p>
        </w:tc>
        <w:tc>
          <w:tcPr>
            <w:tcW w:w="949" w:type="dxa"/>
            <w:tcBorders>
              <w:top w:val="nil"/>
              <w:bottom w:val="nil"/>
            </w:tcBorders>
          </w:tcPr>
          <w:p w14:paraId="02682C57" w14:textId="77777777" w:rsidR="003E0F9E" w:rsidRPr="000C6C80" w:rsidRDefault="003E0F9E" w:rsidP="00FB7302">
            <w:pPr>
              <w:spacing w:before="0" w:after="0" w:line="240" w:lineRule="auto"/>
              <w:rPr>
                <w:sz w:val="22"/>
                <w:szCs w:val="22"/>
              </w:rPr>
            </w:pPr>
            <w:r>
              <w:rPr>
                <w:sz w:val="22"/>
                <w:szCs w:val="22"/>
              </w:rPr>
              <w:t>0.72</w:t>
            </w:r>
          </w:p>
        </w:tc>
        <w:tc>
          <w:tcPr>
            <w:tcW w:w="1058" w:type="dxa"/>
            <w:tcBorders>
              <w:top w:val="nil"/>
              <w:bottom w:val="nil"/>
              <w:right w:val="nil"/>
            </w:tcBorders>
          </w:tcPr>
          <w:p w14:paraId="7179AB24" w14:textId="77777777" w:rsidR="003E0F9E" w:rsidRPr="000C6C80" w:rsidRDefault="003E0F9E" w:rsidP="00FB7302">
            <w:pPr>
              <w:spacing w:before="0" w:after="0" w:line="240" w:lineRule="auto"/>
              <w:rPr>
                <w:sz w:val="22"/>
                <w:szCs w:val="22"/>
              </w:rPr>
            </w:pPr>
            <w:r>
              <w:rPr>
                <w:sz w:val="22"/>
                <w:szCs w:val="22"/>
              </w:rPr>
              <w:t>0.43</w:t>
            </w:r>
          </w:p>
        </w:tc>
      </w:tr>
      <w:tr w:rsidR="003E0F9E" w:rsidRPr="000C6C80" w14:paraId="44871BCF" w14:textId="77777777" w:rsidTr="003E0F9E">
        <w:tc>
          <w:tcPr>
            <w:tcW w:w="1451" w:type="dxa"/>
            <w:tcBorders>
              <w:top w:val="nil"/>
              <w:left w:val="nil"/>
            </w:tcBorders>
          </w:tcPr>
          <w:p w14:paraId="2C8D86C7" w14:textId="77777777" w:rsidR="003E0F9E" w:rsidRPr="000C6C80" w:rsidRDefault="003E0F9E" w:rsidP="00FB7302">
            <w:pPr>
              <w:spacing w:before="0" w:after="0" w:line="240" w:lineRule="auto"/>
              <w:jc w:val="center"/>
              <w:rPr>
                <w:sz w:val="22"/>
                <w:szCs w:val="22"/>
              </w:rPr>
            </w:pPr>
            <w:r w:rsidRPr="000C6C80">
              <w:rPr>
                <w:sz w:val="22"/>
                <w:szCs w:val="22"/>
              </w:rPr>
              <w:t>±15°</w:t>
            </w:r>
          </w:p>
        </w:tc>
        <w:tc>
          <w:tcPr>
            <w:tcW w:w="799" w:type="dxa"/>
            <w:tcBorders>
              <w:top w:val="nil"/>
            </w:tcBorders>
          </w:tcPr>
          <w:p w14:paraId="6E5AB210" w14:textId="50A9E4FA" w:rsidR="003E0F9E" w:rsidRDefault="00E203EC" w:rsidP="00FB7302">
            <w:pPr>
              <w:spacing w:before="0" w:after="0" w:line="240" w:lineRule="auto"/>
              <w:rPr>
                <w:sz w:val="22"/>
                <w:szCs w:val="22"/>
              </w:rPr>
            </w:pPr>
            <w:r>
              <w:rPr>
                <w:sz w:val="22"/>
                <w:szCs w:val="22"/>
              </w:rPr>
              <w:t>0.90</w:t>
            </w:r>
          </w:p>
        </w:tc>
        <w:tc>
          <w:tcPr>
            <w:tcW w:w="896" w:type="dxa"/>
            <w:tcBorders>
              <w:top w:val="nil"/>
            </w:tcBorders>
          </w:tcPr>
          <w:p w14:paraId="7E519784" w14:textId="7ABF7608" w:rsidR="003E0F9E" w:rsidRDefault="00E203EC" w:rsidP="00FB7302">
            <w:pPr>
              <w:spacing w:before="0" w:after="0" w:line="240" w:lineRule="auto"/>
              <w:rPr>
                <w:sz w:val="22"/>
                <w:szCs w:val="22"/>
              </w:rPr>
            </w:pPr>
            <w:r>
              <w:rPr>
                <w:sz w:val="22"/>
                <w:szCs w:val="22"/>
              </w:rPr>
              <w:t>0.91</w:t>
            </w:r>
          </w:p>
        </w:tc>
        <w:tc>
          <w:tcPr>
            <w:tcW w:w="896" w:type="dxa"/>
            <w:tcBorders>
              <w:top w:val="nil"/>
            </w:tcBorders>
          </w:tcPr>
          <w:p w14:paraId="603F11F9" w14:textId="3D7B8A01" w:rsidR="003E0F9E" w:rsidRDefault="00E203EC" w:rsidP="00FB7302">
            <w:pPr>
              <w:spacing w:before="0" w:after="0" w:line="240" w:lineRule="auto"/>
              <w:rPr>
                <w:sz w:val="22"/>
                <w:szCs w:val="22"/>
              </w:rPr>
            </w:pPr>
            <w:r>
              <w:rPr>
                <w:sz w:val="22"/>
                <w:szCs w:val="22"/>
              </w:rPr>
              <w:t>0.90</w:t>
            </w:r>
          </w:p>
        </w:tc>
        <w:tc>
          <w:tcPr>
            <w:tcW w:w="1197" w:type="dxa"/>
            <w:tcBorders>
              <w:top w:val="nil"/>
            </w:tcBorders>
          </w:tcPr>
          <w:p w14:paraId="4C785377" w14:textId="36E73DEA" w:rsidR="003E0F9E" w:rsidRPr="000C6C80" w:rsidRDefault="003E0F9E" w:rsidP="00FB7302">
            <w:pPr>
              <w:spacing w:before="0" w:after="0" w:line="240" w:lineRule="auto"/>
              <w:rPr>
                <w:sz w:val="22"/>
                <w:szCs w:val="22"/>
              </w:rPr>
            </w:pPr>
            <w:r>
              <w:rPr>
                <w:sz w:val="22"/>
                <w:szCs w:val="22"/>
              </w:rPr>
              <w:t>0.003</w:t>
            </w:r>
          </w:p>
        </w:tc>
        <w:tc>
          <w:tcPr>
            <w:tcW w:w="766" w:type="dxa"/>
            <w:tcBorders>
              <w:top w:val="nil"/>
            </w:tcBorders>
          </w:tcPr>
          <w:p w14:paraId="3F26C789" w14:textId="77777777" w:rsidR="003E0F9E" w:rsidRPr="000C6C80" w:rsidRDefault="003E0F9E" w:rsidP="00FB7302">
            <w:pPr>
              <w:spacing w:before="0" w:after="0" w:line="240" w:lineRule="auto"/>
              <w:rPr>
                <w:sz w:val="22"/>
                <w:szCs w:val="22"/>
              </w:rPr>
            </w:pPr>
            <w:r>
              <w:rPr>
                <w:sz w:val="22"/>
                <w:szCs w:val="22"/>
              </w:rPr>
              <w:t>2,62</w:t>
            </w:r>
          </w:p>
        </w:tc>
        <w:tc>
          <w:tcPr>
            <w:tcW w:w="1014" w:type="dxa"/>
            <w:tcBorders>
              <w:top w:val="nil"/>
            </w:tcBorders>
          </w:tcPr>
          <w:p w14:paraId="4DC19B4D" w14:textId="77777777" w:rsidR="003E0F9E" w:rsidRPr="000C6C80" w:rsidRDefault="003E0F9E" w:rsidP="00FB7302">
            <w:pPr>
              <w:spacing w:before="0" w:after="0" w:line="240" w:lineRule="auto"/>
              <w:rPr>
                <w:sz w:val="22"/>
                <w:szCs w:val="22"/>
              </w:rPr>
            </w:pPr>
            <w:r>
              <w:rPr>
                <w:sz w:val="22"/>
                <w:szCs w:val="22"/>
              </w:rPr>
              <w:t>0.002</w:t>
            </w:r>
          </w:p>
        </w:tc>
        <w:tc>
          <w:tcPr>
            <w:tcW w:w="949" w:type="dxa"/>
            <w:tcBorders>
              <w:top w:val="nil"/>
            </w:tcBorders>
          </w:tcPr>
          <w:p w14:paraId="176FAC39" w14:textId="77777777" w:rsidR="003E0F9E" w:rsidRPr="000C6C80" w:rsidRDefault="003E0F9E" w:rsidP="00FB7302">
            <w:pPr>
              <w:spacing w:before="0" w:after="0" w:line="240" w:lineRule="auto"/>
              <w:rPr>
                <w:sz w:val="22"/>
                <w:szCs w:val="22"/>
              </w:rPr>
            </w:pPr>
            <w:r>
              <w:rPr>
                <w:sz w:val="22"/>
                <w:szCs w:val="22"/>
              </w:rPr>
              <w:t>0.42</w:t>
            </w:r>
          </w:p>
        </w:tc>
        <w:tc>
          <w:tcPr>
            <w:tcW w:w="1058" w:type="dxa"/>
            <w:tcBorders>
              <w:top w:val="nil"/>
              <w:right w:val="nil"/>
            </w:tcBorders>
          </w:tcPr>
          <w:p w14:paraId="322EB29E" w14:textId="77777777" w:rsidR="003E0F9E" w:rsidRPr="000C6C80" w:rsidRDefault="003E0F9E" w:rsidP="00FB7302">
            <w:pPr>
              <w:spacing w:before="0" w:after="0" w:line="240" w:lineRule="auto"/>
              <w:rPr>
                <w:sz w:val="22"/>
                <w:szCs w:val="22"/>
              </w:rPr>
            </w:pPr>
            <w:r>
              <w:rPr>
                <w:sz w:val="22"/>
                <w:szCs w:val="22"/>
              </w:rPr>
              <w:t>0.58</w:t>
            </w:r>
          </w:p>
        </w:tc>
      </w:tr>
    </w:tbl>
    <w:p w14:paraId="089FC201" w14:textId="77777777" w:rsidR="005F77FA" w:rsidRPr="00EE2A22" w:rsidRDefault="005F77FA" w:rsidP="005F77FA">
      <w:pPr>
        <w:spacing w:before="0" w:after="0" w:line="240" w:lineRule="auto"/>
        <w:jc w:val="center"/>
        <w:rPr>
          <w:i/>
          <w:iCs/>
          <w:color w:val="auto"/>
        </w:rPr>
      </w:pPr>
      <w:r>
        <w:rPr>
          <w:color w:val="auto"/>
        </w:rPr>
        <w:t>*</w:t>
      </w:r>
      <w:r w:rsidRPr="007A27AF">
        <w:rPr>
          <w:color w:val="auto"/>
        </w:rPr>
        <w:t xml:space="preserve"> </w:t>
      </w:r>
      <w:r>
        <w:rPr>
          <w:color w:val="auto"/>
        </w:rPr>
        <w:t xml:space="preserve">Data are significant at </w:t>
      </w:r>
      <w:r w:rsidRPr="00EE2A22">
        <w:rPr>
          <w:i/>
          <w:iCs/>
          <w:color w:val="auto"/>
        </w:rPr>
        <w:t>p</w:t>
      </w:r>
      <w:r>
        <w:rPr>
          <w:color w:val="auto"/>
        </w:rPr>
        <w:t>&lt;0.05</w:t>
      </w:r>
    </w:p>
    <w:p w14:paraId="7DA02986" w14:textId="77777777" w:rsidR="009F1339" w:rsidRPr="009D4627" w:rsidRDefault="009F1339" w:rsidP="008A3843"/>
    <w:p w14:paraId="7345AF74" w14:textId="1EB92B57" w:rsidR="00BF47CE" w:rsidRPr="009D4627" w:rsidRDefault="000164C3" w:rsidP="003E0F9E">
      <w:pPr>
        <w:pStyle w:val="Heading4"/>
        <w:spacing w:before="0"/>
      </w:pPr>
      <w:bookmarkStart w:id="417" w:name="_Toc57300377"/>
      <w:bookmarkStart w:id="418" w:name="_Toc57300485"/>
      <w:bookmarkStart w:id="419" w:name="_Toc98964687"/>
      <w:bookmarkStart w:id="420" w:name="_Toc103344731"/>
      <w:r w:rsidRPr="009D4627">
        <w:lastRenderedPageBreak/>
        <w:t xml:space="preserve">The effect of target size on </w:t>
      </w:r>
      <w:r>
        <w:t>v</w:t>
      </w:r>
      <w:r w:rsidR="00BF47CE" w:rsidRPr="009D4627">
        <w:t xml:space="preserve">ertical </w:t>
      </w:r>
      <w:r>
        <w:t>s</w:t>
      </w:r>
      <w:r w:rsidR="00BF47CE" w:rsidRPr="009D4627">
        <w:t>accades</w:t>
      </w:r>
      <w:bookmarkEnd w:id="417"/>
      <w:bookmarkEnd w:id="418"/>
      <w:bookmarkEnd w:id="419"/>
      <w:bookmarkEnd w:id="420"/>
      <w:r w:rsidR="00BF47CE" w:rsidRPr="009D4627">
        <w:t xml:space="preserve"> </w:t>
      </w:r>
    </w:p>
    <w:p w14:paraId="5368DE90" w14:textId="38D12E76" w:rsidR="00BF47CE" w:rsidRDefault="00475B6E" w:rsidP="005F77FA">
      <w:r w:rsidRPr="009D4627">
        <w:t>According to the target sizes, the data are pooled from the group mean of eighteen participants at each target amplitude to get the upward and downward saccadic mean parameters</w:t>
      </w:r>
      <w:r w:rsidR="005C2FCA">
        <w:t xml:space="preserve"> as illustrated in Figure 4.5 a-c</w:t>
      </w:r>
      <w:r>
        <w:t>.</w:t>
      </w:r>
      <w:r w:rsidR="005C2FCA">
        <w:t xml:space="preserve"> The </w:t>
      </w:r>
      <w:r w:rsidR="00BF47CE" w:rsidRPr="009D4627">
        <w:t xml:space="preserve">upward </w:t>
      </w:r>
      <w:r w:rsidR="00944720" w:rsidRPr="009D4627">
        <w:t>saccadic</w:t>
      </w:r>
      <w:r w:rsidR="00BF47CE" w:rsidRPr="009D4627">
        <w:t xml:space="preserve"> latency was shorter than downward </w:t>
      </w:r>
      <w:r w:rsidR="004000DD" w:rsidRPr="009D4627">
        <w:t xml:space="preserve">saccadic </w:t>
      </w:r>
      <w:r w:rsidR="00BF47CE" w:rsidRPr="009D4627">
        <w:t xml:space="preserve">latency with a noticeable prolonged </w:t>
      </w:r>
      <w:r w:rsidR="004000DD" w:rsidRPr="009D4627">
        <w:t xml:space="preserve">saccadic </w:t>
      </w:r>
      <w:r w:rsidR="00BF47CE" w:rsidRPr="009D4627">
        <w:t xml:space="preserve">latency with the smaller target size at </w:t>
      </w:r>
      <w:r w:rsidR="005C2FCA">
        <w:t>both vertical directions (</w:t>
      </w:r>
      <w:r w:rsidR="00D91AAB" w:rsidRPr="009D4627">
        <w:t>Figure</w:t>
      </w:r>
      <w:r w:rsidR="00BF47CE" w:rsidRPr="009D4627">
        <w:t xml:space="preserve"> 4.5</w:t>
      </w:r>
      <w:r w:rsidR="005C2FCA">
        <w:t>a</w:t>
      </w:r>
      <w:r w:rsidR="00BF47CE" w:rsidRPr="009D4627">
        <w:t>)</w:t>
      </w:r>
      <w:r w:rsidR="005C2FCA">
        <w:t xml:space="preserve">. </w:t>
      </w:r>
      <w:r w:rsidR="00E54C64" w:rsidRPr="00E54C64">
        <w:t xml:space="preserve">With the smallest target size, the vertical saccadic peak velocity decreased in both vertical directions (Figure 4.5b). </w:t>
      </w:r>
      <w:r w:rsidR="00E54C64">
        <w:t>In addition</w:t>
      </w:r>
      <w:r w:rsidR="00E54C64" w:rsidRPr="00E54C64">
        <w:t xml:space="preserve">, the upward saccadic gain was more </w:t>
      </w:r>
      <w:proofErr w:type="spellStart"/>
      <w:r w:rsidR="00E54C64" w:rsidRPr="00E54C64">
        <w:t>hypometric</w:t>
      </w:r>
      <w:proofErr w:type="spellEnd"/>
      <w:r w:rsidR="00E54C64" w:rsidRPr="00E54C64">
        <w:t xml:space="preserve"> than the downward (Figure</w:t>
      </w:r>
      <w:r w:rsidR="00E54C64">
        <w:t xml:space="preserve"> </w:t>
      </w:r>
      <w:r w:rsidR="00E54C64" w:rsidRPr="00E54C64">
        <w:t>4.5c). However, vertical saccadic gain appears to be unaffected by target size variations.</w:t>
      </w:r>
    </w:p>
    <w:p w14:paraId="4BF029F3" w14:textId="57863B3F" w:rsidR="0057504E" w:rsidRDefault="0057504E" w:rsidP="005F77FA"/>
    <w:p w14:paraId="539BD646" w14:textId="1C7814F9" w:rsidR="0057504E" w:rsidRDefault="0057504E" w:rsidP="005F77FA"/>
    <w:p w14:paraId="45C94A41" w14:textId="5632897C" w:rsidR="0057504E" w:rsidRDefault="0057504E" w:rsidP="005F77FA"/>
    <w:p w14:paraId="6BD14D22" w14:textId="5789118E" w:rsidR="0057504E" w:rsidRDefault="0057504E" w:rsidP="005F77FA"/>
    <w:p w14:paraId="40734655" w14:textId="215E0B3D" w:rsidR="0057504E" w:rsidRDefault="0057504E" w:rsidP="005F77FA"/>
    <w:p w14:paraId="2FE1ED44" w14:textId="77777777" w:rsidR="0057504E" w:rsidRPr="009D4627" w:rsidRDefault="0057504E" w:rsidP="005F77FA"/>
    <w:p w14:paraId="14D6695B" w14:textId="1B7B25A3" w:rsidR="004A50AA" w:rsidRPr="009D4627" w:rsidRDefault="000A6669" w:rsidP="00475B6E">
      <w:pPr>
        <w:spacing w:before="0" w:after="0" w:line="240" w:lineRule="auto"/>
        <w:jc w:val="center"/>
        <w:rPr>
          <w:b/>
          <w:bCs/>
          <w:color w:val="auto"/>
        </w:rPr>
      </w:pPr>
      <w:r>
        <w:rPr>
          <w:noProof/>
        </w:rPr>
        <w:lastRenderedPageBreak/>
        <w:drawing>
          <wp:inline distT="0" distB="0" distL="0" distR="0" wp14:anchorId="5E5FAB2A" wp14:editId="7908C641">
            <wp:extent cx="3960000" cy="1800000"/>
            <wp:effectExtent l="0" t="0" r="2540" b="10160"/>
            <wp:docPr id="38" name="Chart 38">
              <a:extLst xmlns:a="http://schemas.openxmlformats.org/drawingml/2006/main">
                <a:ext uri="{FF2B5EF4-FFF2-40B4-BE49-F238E27FC236}">
                  <a16:creationId xmlns:a16="http://schemas.microsoft.com/office/drawing/2014/main" id="{190F6041-DF0F-4B8F-B30A-A19D54740A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5E78E43B" w14:textId="7AF81452" w:rsidR="004A50AA" w:rsidRPr="009D4627" w:rsidRDefault="00475B6E" w:rsidP="00475B6E">
      <w:pPr>
        <w:spacing w:before="0" w:after="0" w:line="240" w:lineRule="auto"/>
        <w:jc w:val="center"/>
        <w:rPr>
          <w:b/>
          <w:bCs/>
          <w:color w:val="auto"/>
        </w:rPr>
      </w:pPr>
      <w:r>
        <w:rPr>
          <w:noProof/>
        </w:rPr>
        <w:drawing>
          <wp:inline distT="0" distB="0" distL="0" distR="0" wp14:anchorId="1A307BC9" wp14:editId="18DFCDDA">
            <wp:extent cx="3960000" cy="1800000"/>
            <wp:effectExtent l="0" t="0" r="2540" b="10160"/>
            <wp:docPr id="39" name="Chart 39">
              <a:extLst xmlns:a="http://schemas.openxmlformats.org/drawingml/2006/main">
                <a:ext uri="{FF2B5EF4-FFF2-40B4-BE49-F238E27FC236}">
                  <a16:creationId xmlns:a16="http://schemas.microsoft.com/office/drawing/2014/main" id="{E8079F34-8305-4CA0-BFF4-9FA3E688D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12218B27" w14:textId="77777777" w:rsidR="00D532BA" w:rsidRDefault="00475B6E" w:rsidP="00D532BA">
      <w:pPr>
        <w:spacing w:before="0" w:line="240" w:lineRule="auto"/>
        <w:jc w:val="center"/>
      </w:pPr>
      <w:r>
        <w:rPr>
          <w:noProof/>
        </w:rPr>
        <w:drawing>
          <wp:inline distT="0" distB="0" distL="0" distR="0" wp14:anchorId="07CD5BD8" wp14:editId="532B2256">
            <wp:extent cx="3960000" cy="1800000"/>
            <wp:effectExtent l="0" t="0" r="2540" b="10160"/>
            <wp:docPr id="40" name="Chart 40">
              <a:extLst xmlns:a="http://schemas.openxmlformats.org/drawingml/2006/main">
                <a:ext uri="{FF2B5EF4-FFF2-40B4-BE49-F238E27FC236}">
                  <a16:creationId xmlns:a16="http://schemas.microsoft.com/office/drawing/2014/main" id="{5D99E43B-012D-489F-922A-CD22D0B34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bookmarkStart w:id="421" w:name="_Toc70165589"/>
      <w:bookmarkStart w:id="422" w:name="_Toc98967231"/>
    </w:p>
    <w:p w14:paraId="509543C4" w14:textId="54BDF5B6" w:rsidR="00BF47CE" w:rsidRDefault="00C80D14" w:rsidP="00D532BA">
      <w:pPr>
        <w:spacing w:before="0" w:line="240" w:lineRule="auto"/>
      </w:pPr>
      <w:r w:rsidRPr="009D4627">
        <w:t>Figure 4.</w:t>
      </w:r>
      <w:r w:rsidR="007E7CC8">
        <w:fldChar w:fldCharType="begin"/>
      </w:r>
      <w:r w:rsidR="007E7CC8">
        <w:instrText xml:space="preserve"> SEQ Figure_4. \* ARABIC </w:instrText>
      </w:r>
      <w:r w:rsidR="007E7CC8">
        <w:fldChar w:fldCharType="separate"/>
      </w:r>
      <w:r w:rsidR="00E268F6">
        <w:rPr>
          <w:noProof/>
        </w:rPr>
        <w:t>5</w:t>
      </w:r>
      <w:r w:rsidR="007E7CC8">
        <w:rPr>
          <w:noProof/>
        </w:rPr>
        <w:fldChar w:fldCharType="end"/>
      </w:r>
      <w:r w:rsidRPr="009D4627">
        <w:t xml:space="preserve">: </w:t>
      </w:r>
      <w:r w:rsidR="004000DD" w:rsidRPr="009D4627">
        <w:t>Bar graphs illustrate the effect of target size and frequency on the vertical saccadic a) latency, b) peak velocity, and c) gain.</w:t>
      </w:r>
      <w:bookmarkEnd w:id="421"/>
      <w:r w:rsidR="004000DD" w:rsidRPr="009D4627">
        <w:t xml:space="preserve"> </w:t>
      </w:r>
      <w:r w:rsidR="00BF47CE" w:rsidRPr="009D4627">
        <w:t>The error bars represent ±</w:t>
      </w:r>
      <w:r w:rsidR="00C37BD1" w:rsidRPr="009D4627">
        <w:t xml:space="preserve"> </w:t>
      </w:r>
      <w:r w:rsidR="00BF47CE" w:rsidRPr="009D4627">
        <w:t>1</w:t>
      </w:r>
      <w:r w:rsidR="004000DD" w:rsidRPr="009D4627">
        <w:t xml:space="preserve"> </w:t>
      </w:r>
      <w:r w:rsidR="00BF47CE" w:rsidRPr="009D4627">
        <w:t>SE.</w:t>
      </w:r>
      <w:bookmarkEnd w:id="422"/>
      <w:r w:rsidR="00BF47CE" w:rsidRPr="009D4627">
        <w:t xml:space="preserve"> </w:t>
      </w:r>
    </w:p>
    <w:p w14:paraId="76997FE5" w14:textId="0D6FECEF" w:rsidR="00E54C64" w:rsidRDefault="003B7FB7" w:rsidP="00EA5FF0">
      <w:r w:rsidRPr="00E82BB8">
        <w:t>A one-way repeated-measures ANOVA was used to observe a statistically significant difference in vertical saccadic parameters by changing the target size between 0.5</w:t>
      </w:r>
      <w:r>
        <w:t>°</w:t>
      </w:r>
      <w:r w:rsidRPr="00E82BB8">
        <w:t>, 1.0</w:t>
      </w:r>
      <w:r>
        <w:t>°</w:t>
      </w:r>
      <w:r w:rsidRPr="00E82BB8">
        <w:t xml:space="preserve"> and 2.0</w:t>
      </w:r>
      <w:r>
        <w:t>°</w:t>
      </w:r>
      <w:r w:rsidRPr="00E82BB8">
        <w:t>.</w:t>
      </w:r>
      <w:r>
        <w:t xml:space="preserve"> </w:t>
      </w:r>
      <w:r w:rsidR="00391959" w:rsidRPr="00391959">
        <w:t>The results showed that target size caused statistically significant changes in saccadic latency in both upward and downward directions, with the biggest target size demonstrating improved latency.</w:t>
      </w:r>
      <w:r w:rsidR="00391959">
        <w:t xml:space="preserve"> </w:t>
      </w:r>
      <w:r w:rsidR="00132390" w:rsidRPr="00132390">
        <w:t xml:space="preserve">Post hoc analysis using the Bonferroni correction for multiple adjustments revealed two pairs of target sizes that had a significant effect on saccadic latency: 0.5°—1.0° and 0.5°—2.0°, both with p&lt;0.01. </w:t>
      </w:r>
      <w:r w:rsidR="00BF1183" w:rsidRPr="00BF1183">
        <w:t xml:space="preserve">In addition, variations in target size resulted in statistically </w:t>
      </w:r>
      <w:r w:rsidR="00BF1183" w:rsidRPr="00BF1183">
        <w:lastRenderedPageBreak/>
        <w:t xml:space="preserve">significant changes in upward saccadic peak velocity, p = 0.01. The peak velocity between the target size pairings of 0.5°—1.0° and 0.5°—2.0° was significantly different, </w:t>
      </w:r>
      <w:r w:rsidR="00BF1183" w:rsidRPr="00EA5FF0">
        <w:rPr>
          <w:i/>
          <w:iCs/>
        </w:rPr>
        <w:t>p</w:t>
      </w:r>
      <w:r w:rsidR="00BF1183" w:rsidRPr="00BF1183">
        <w:t xml:space="preserve"> = 0.04 and </w:t>
      </w:r>
      <w:r w:rsidR="00BF1183" w:rsidRPr="00EA5FF0">
        <w:rPr>
          <w:i/>
          <w:iCs/>
        </w:rPr>
        <w:t>p</w:t>
      </w:r>
      <w:r w:rsidR="00BF1183" w:rsidRPr="00BF1183">
        <w:t xml:space="preserve"> = 0.01, respectively, according to the post hoc analysis.</w:t>
      </w:r>
      <w:r w:rsidR="00132390">
        <w:t xml:space="preserve"> </w:t>
      </w:r>
      <w:r w:rsidR="00BF1183" w:rsidRPr="00BF1183">
        <w:t xml:space="preserve">Higher </w:t>
      </w:r>
      <w:r w:rsidR="00BF1183">
        <w:t xml:space="preserve">upward saccadic </w:t>
      </w:r>
      <w:r w:rsidR="00BF1183" w:rsidRPr="00BF1183">
        <w:t>peak velocity is produced by the larger target size.</w:t>
      </w:r>
      <w:r w:rsidR="00BF1183">
        <w:t xml:space="preserve"> Furthermore, target size difference elicited a statically significant of upward saccadic gain. </w:t>
      </w:r>
      <w:r w:rsidR="00BC6B0E" w:rsidRPr="00BC6B0E">
        <w:t xml:space="preserve">Post hoc analysis revealed that the pairings that triggered the statistically significant difference were between 0.5°—1.0° and 0.5°—2.0°, with a </w:t>
      </w:r>
      <w:r w:rsidR="00BC6B0E" w:rsidRPr="00DC1B45">
        <w:rPr>
          <w:i/>
          <w:iCs/>
        </w:rPr>
        <w:t>p</w:t>
      </w:r>
      <w:r w:rsidR="00BC6B0E" w:rsidRPr="00BC6B0E">
        <w:t xml:space="preserve">-value of 0.01. </w:t>
      </w:r>
      <w:r w:rsidR="005F5844" w:rsidRPr="005F5844">
        <w:t>Despite the statistical significance, a difference of 0.02 of the mean saccadic gain can be deemed too tiny.</w:t>
      </w:r>
      <w:r w:rsidR="005F5844">
        <w:t xml:space="preserve"> </w:t>
      </w:r>
      <w:r w:rsidR="00BC6B0E" w:rsidRPr="00BC6B0E">
        <w:t xml:space="preserve">As a result, </w:t>
      </w:r>
      <w:r w:rsidR="005F5844">
        <w:t>is suggests</w:t>
      </w:r>
      <w:r w:rsidR="00BC6B0E" w:rsidRPr="00BC6B0E">
        <w:t xml:space="preserve"> that a difference in target size did not result in a statistically significant change in vertical saccadic gain.</w:t>
      </w:r>
      <w:r w:rsidR="00BC6B0E">
        <w:t xml:space="preserve"> The results for one-way repeated-measures ANOVA of vertical saccadic eye movements are reported in Table 4.</w:t>
      </w:r>
      <w:r w:rsidR="000A2567">
        <w:t>4</w:t>
      </w:r>
      <w:r w:rsidR="00BC6B0E">
        <w:t>.</w:t>
      </w:r>
    </w:p>
    <w:p w14:paraId="499C2A9C" w14:textId="2C96C603" w:rsidR="00EE2A22" w:rsidRDefault="00EE2A22" w:rsidP="00C4130D">
      <w:pPr>
        <w:pStyle w:val="Caption"/>
      </w:pPr>
      <w:bookmarkStart w:id="423" w:name="_Toc99378054"/>
      <w:r>
        <w:t>Table 4.</w:t>
      </w:r>
      <w:r w:rsidR="00260356">
        <w:fldChar w:fldCharType="begin"/>
      </w:r>
      <w:r w:rsidR="00260356">
        <w:instrText xml:space="preserve"> SEQ Table_4. \* ARABIC </w:instrText>
      </w:r>
      <w:r w:rsidR="00260356">
        <w:fldChar w:fldCharType="separate"/>
      </w:r>
      <w:r w:rsidR="00E268F6">
        <w:rPr>
          <w:noProof/>
        </w:rPr>
        <w:t>4</w:t>
      </w:r>
      <w:r w:rsidR="00260356">
        <w:fldChar w:fldCharType="end"/>
      </w:r>
      <w:r>
        <w:t xml:space="preserve">: </w:t>
      </w:r>
      <w:r w:rsidR="00BC6B0E">
        <w:t xml:space="preserve">One-way repeated-measures ANOVA </w:t>
      </w:r>
      <w:r w:rsidR="00A47AAC">
        <w:t xml:space="preserve">showing the effect of changing target size on the </w:t>
      </w:r>
      <w:r w:rsidR="00BC6B0E">
        <w:t>vertical saccadic eye movements</w:t>
      </w:r>
      <w:r w:rsidR="00A47AAC">
        <w:t>.</w:t>
      </w:r>
      <w:bookmarkEnd w:id="423"/>
    </w:p>
    <w:tbl>
      <w:tblPr>
        <w:tblW w:w="9002" w:type="dxa"/>
        <w:tblLook w:val="04A0" w:firstRow="1" w:lastRow="0" w:firstColumn="1" w:lastColumn="0" w:noHBand="0" w:noVBand="1"/>
      </w:tblPr>
      <w:tblGrid>
        <w:gridCol w:w="1072"/>
        <w:gridCol w:w="960"/>
        <w:gridCol w:w="960"/>
        <w:gridCol w:w="960"/>
        <w:gridCol w:w="1010"/>
        <w:gridCol w:w="1010"/>
        <w:gridCol w:w="1010"/>
        <w:gridCol w:w="1010"/>
        <w:gridCol w:w="1010"/>
      </w:tblGrid>
      <w:tr w:rsidR="00EE2A22" w:rsidRPr="003B7FB7" w14:paraId="1C8C5AC2" w14:textId="77777777" w:rsidTr="00C90177">
        <w:trPr>
          <w:trHeight w:val="300"/>
        </w:trPr>
        <w:tc>
          <w:tcPr>
            <w:tcW w:w="1072" w:type="dxa"/>
            <w:tcBorders>
              <w:top w:val="single" w:sz="4" w:space="0" w:color="auto"/>
              <w:left w:val="nil"/>
              <w:bottom w:val="single" w:sz="4" w:space="0" w:color="auto"/>
              <w:right w:val="single" w:sz="4" w:space="0" w:color="auto"/>
            </w:tcBorders>
            <w:shd w:val="clear" w:color="auto" w:fill="auto"/>
            <w:noWrap/>
            <w:vAlign w:val="bottom"/>
          </w:tcPr>
          <w:p w14:paraId="1A252410" w14:textId="77777777" w:rsidR="00EE2A22" w:rsidRPr="003B7FB7" w:rsidRDefault="00EE2A22" w:rsidP="00C90177">
            <w:pPr>
              <w:spacing w:before="0" w:after="0" w:line="240" w:lineRule="auto"/>
              <w:jc w:val="left"/>
              <w:rPr>
                <w:rFonts w:eastAsia="Times New Roman"/>
                <w:color w:val="000000"/>
                <w:sz w:val="22"/>
                <w:szCs w:val="22"/>
                <w:lang w:val="en-MY" w:eastAsia="en-MY"/>
              </w:rPr>
            </w:pPr>
          </w:p>
        </w:tc>
        <w:tc>
          <w:tcPr>
            <w:tcW w:w="288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1DE54AE3"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Target size</w:t>
            </w:r>
          </w:p>
        </w:tc>
        <w:tc>
          <w:tcPr>
            <w:tcW w:w="1010" w:type="dxa"/>
            <w:vMerge w:val="restart"/>
            <w:tcBorders>
              <w:top w:val="single" w:sz="4" w:space="0" w:color="auto"/>
              <w:left w:val="single" w:sz="4" w:space="0" w:color="auto"/>
              <w:right w:val="single" w:sz="4" w:space="0" w:color="auto"/>
            </w:tcBorders>
          </w:tcPr>
          <w:p w14:paraId="0076AE7A"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SS</w:t>
            </w:r>
          </w:p>
        </w:tc>
        <w:tc>
          <w:tcPr>
            <w:tcW w:w="1010" w:type="dxa"/>
            <w:tcBorders>
              <w:top w:val="single" w:sz="4" w:space="0" w:color="auto"/>
              <w:left w:val="single" w:sz="4" w:space="0" w:color="auto"/>
              <w:right w:val="single" w:sz="4" w:space="0" w:color="auto"/>
            </w:tcBorders>
          </w:tcPr>
          <w:p w14:paraId="641020C9"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df</w:t>
            </w:r>
          </w:p>
        </w:tc>
        <w:tc>
          <w:tcPr>
            <w:tcW w:w="1010" w:type="dxa"/>
            <w:tcBorders>
              <w:top w:val="single" w:sz="4" w:space="0" w:color="auto"/>
              <w:left w:val="single" w:sz="4" w:space="0" w:color="auto"/>
              <w:right w:val="single" w:sz="4" w:space="0" w:color="auto"/>
            </w:tcBorders>
          </w:tcPr>
          <w:p w14:paraId="59C6AE23"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MS</w:t>
            </w:r>
          </w:p>
        </w:tc>
        <w:tc>
          <w:tcPr>
            <w:tcW w:w="1010" w:type="dxa"/>
            <w:tcBorders>
              <w:top w:val="single" w:sz="4" w:space="0" w:color="auto"/>
              <w:left w:val="single" w:sz="4" w:space="0" w:color="auto"/>
              <w:right w:val="single" w:sz="4" w:space="0" w:color="auto"/>
            </w:tcBorders>
          </w:tcPr>
          <w:p w14:paraId="36136855" w14:textId="77777777" w:rsidR="00EE2A22" w:rsidRPr="007F4DA6" w:rsidRDefault="00EE2A22" w:rsidP="00C90177">
            <w:pPr>
              <w:spacing w:before="0" w:after="0" w:line="240" w:lineRule="auto"/>
              <w:jc w:val="center"/>
              <w:rPr>
                <w:rFonts w:eastAsia="Times New Roman"/>
                <w:b/>
                <w:bCs/>
                <w:i/>
                <w:iCs/>
                <w:color w:val="000000"/>
                <w:sz w:val="22"/>
                <w:szCs w:val="22"/>
                <w:lang w:val="en-MY" w:eastAsia="en-MY"/>
              </w:rPr>
            </w:pPr>
            <w:r w:rsidRPr="007F4DA6">
              <w:rPr>
                <w:rFonts w:eastAsia="Times New Roman"/>
                <w:b/>
                <w:bCs/>
                <w:i/>
                <w:iCs/>
                <w:color w:val="000000"/>
                <w:sz w:val="22"/>
                <w:szCs w:val="22"/>
                <w:lang w:val="en-MY" w:eastAsia="en-MY"/>
              </w:rPr>
              <w:t>F</w:t>
            </w:r>
          </w:p>
        </w:tc>
        <w:tc>
          <w:tcPr>
            <w:tcW w:w="1010" w:type="dxa"/>
            <w:tcBorders>
              <w:top w:val="single" w:sz="4" w:space="0" w:color="auto"/>
              <w:left w:val="single" w:sz="4" w:space="0" w:color="auto"/>
              <w:right w:val="single" w:sz="4" w:space="0" w:color="auto"/>
            </w:tcBorders>
          </w:tcPr>
          <w:p w14:paraId="219642C6"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7F4DA6">
              <w:rPr>
                <w:rFonts w:eastAsia="Times New Roman"/>
                <w:b/>
                <w:bCs/>
                <w:i/>
                <w:iCs/>
                <w:color w:val="000000"/>
                <w:sz w:val="22"/>
                <w:szCs w:val="22"/>
                <w:lang w:val="en-MY" w:eastAsia="en-MY"/>
              </w:rPr>
              <w:t>p</w:t>
            </w:r>
            <w:r w:rsidRPr="003B7FB7">
              <w:rPr>
                <w:rFonts w:eastAsia="Times New Roman"/>
                <w:b/>
                <w:bCs/>
                <w:color w:val="000000"/>
                <w:sz w:val="22"/>
                <w:szCs w:val="22"/>
                <w:lang w:val="en-MY" w:eastAsia="en-MY"/>
              </w:rPr>
              <w:t>-value</w:t>
            </w:r>
          </w:p>
        </w:tc>
      </w:tr>
      <w:tr w:rsidR="00EE2A22" w:rsidRPr="003B7FB7" w14:paraId="56FAC462" w14:textId="77777777" w:rsidTr="00C90177">
        <w:trPr>
          <w:trHeight w:val="300"/>
        </w:trPr>
        <w:tc>
          <w:tcPr>
            <w:tcW w:w="1072" w:type="dxa"/>
            <w:tcBorders>
              <w:top w:val="single" w:sz="4" w:space="0" w:color="auto"/>
              <w:left w:val="nil"/>
              <w:bottom w:val="single" w:sz="4" w:space="0" w:color="auto"/>
              <w:right w:val="single" w:sz="4" w:space="0" w:color="auto"/>
            </w:tcBorders>
            <w:shd w:val="clear" w:color="auto" w:fill="auto"/>
            <w:noWrap/>
            <w:vAlign w:val="bottom"/>
          </w:tcPr>
          <w:p w14:paraId="4F827A20" w14:textId="77777777" w:rsidR="00EE2A22" w:rsidRPr="003B7FB7" w:rsidRDefault="00EE2A22" w:rsidP="00C90177">
            <w:pPr>
              <w:spacing w:before="0" w:after="0" w:line="240" w:lineRule="auto"/>
              <w:jc w:val="left"/>
              <w:rPr>
                <w:rFonts w:eastAsia="Times New Roman"/>
                <w:b/>
                <w:bCs/>
                <w:color w:val="000000"/>
                <w:sz w:val="22"/>
                <w:szCs w:val="22"/>
                <w:lang w:val="en-MY" w:eastAsia="en-MY"/>
              </w:rPr>
            </w:pPr>
            <w:r w:rsidRPr="003B7FB7">
              <w:rPr>
                <w:rFonts w:eastAsia="Times New Roman"/>
                <w:b/>
                <w:bCs/>
                <w:color w:val="000000"/>
                <w:sz w:val="22"/>
                <w:szCs w:val="22"/>
                <w:lang w:val="en-MY" w:eastAsia="en-MY"/>
              </w:rPr>
              <w:t>Latency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93F990" w14:textId="5571BAD1" w:rsidR="00EE2A22" w:rsidRPr="003B7FB7" w:rsidRDefault="00391959"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0.5°</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9DE48"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1.0°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31493E" w14:textId="77777777" w:rsidR="00EE2A22" w:rsidRPr="003B7FB7" w:rsidRDefault="00EE2A22" w:rsidP="00C90177">
            <w:pPr>
              <w:spacing w:before="0" w:after="0" w:line="240" w:lineRule="auto"/>
              <w:jc w:val="center"/>
              <w:rPr>
                <w:rFonts w:eastAsia="Times New Roman"/>
                <w:b/>
                <w:bCs/>
                <w:color w:val="000000"/>
                <w:sz w:val="22"/>
                <w:szCs w:val="22"/>
                <w:lang w:val="en-MY" w:eastAsia="en-MY"/>
              </w:rPr>
            </w:pPr>
            <w:r w:rsidRPr="003B7FB7">
              <w:rPr>
                <w:rFonts w:eastAsia="Times New Roman"/>
                <w:b/>
                <w:bCs/>
                <w:color w:val="000000"/>
                <w:sz w:val="22"/>
                <w:szCs w:val="22"/>
                <w:lang w:val="en-MY" w:eastAsia="en-MY"/>
              </w:rPr>
              <w:t>2.0°</w:t>
            </w:r>
          </w:p>
        </w:tc>
        <w:tc>
          <w:tcPr>
            <w:tcW w:w="1010" w:type="dxa"/>
            <w:vMerge/>
            <w:tcBorders>
              <w:left w:val="single" w:sz="4" w:space="0" w:color="auto"/>
              <w:bottom w:val="single" w:sz="4" w:space="0" w:color="auto"/>
              <w:right w:val="single" w:sz="4" w:space="0" w:color="auto"/>
            </w:tcBorders>
          </w:tcPr>
          <w:p w14:paraId="20D3CE9B" w14:textId="77777777" w:rsidR="00EE2A22" w:rsidRPr="003B7FB7" w:rsidRDefault="00EE2A22" w:rsidP="00C90177">
            <w:pPr>
              <w:spacing w:before="0" w:after="0" w:line="240" w:lineRule="auto"/>
              <w:jc w:val="center"/>
              <w:rPr>
                <w:rFonts w:eastAsia="Times New Roman"/>
                <w:color w:val="000000"/>
                <w:sz w:val="22"/>
                <w:szCs w:val="22"/>
                <w:lang w:val="en-MY" w:eastAsia="en-MY"/>
              </w:rPr>
            </w:pPr>
          </w:p>
        </w:tc>
        <w:tc>
          <w:tcPr>
            <w:tcW w:w="1010" w:type="dxa"/>
            <w:tcBorders>
              <w:left w:val="single" w:sz="4" w:space="0" w:color="auto"/>
              <w:bottom w:val="single" w:sz="4" w:space="0" w:color="auto"/>
              <w:right w:val="single" w:sz="4" w:space="0" w:color="auto"/>
            </w:tcBorders>
          </w:tcPr>
          <w:p w14:paraId="78A9C62E" w14:textId="77777777" w:rsidR="00EE2A22" w:rsidRPr="003B7FB7" w:rsidRDefault="00EE2A22" w:rsidP="00C90177">
            <w:pPr>
              <w:spacing w:before="0" w:after="0" w:line="240" w:lineRule="auto"/>
              <w:jc w:val="center"/>
              <w:rPr>
                <w:rFonts w:eastAsia="Times New Roman"/>
                <w:color w:val="000000"/>
                <w:sz w:val="22"/>
                <w:szCs w:val="22"/>
                <w:lang w:val="en-MY" w:eastAsia="en-MY"/>
              </w:rPr>
            </w:pPr>
          </w:p>
        </w:tc>
        <w:tc>
          <w:tcPr>
            <w:tcW w:w="1010" w:type="dxa"/>
            <w:tcBorders>
              <w:left w:val="single" w:sz="4" w:space="0" w:color="auto"/>
              <w:bottom w:val="single" w:sz="4" w:space="0" w:color="auto"/>
              <w:right w:val="single" w:sz="4" w:space="0" w:color="auto"/>
            </w:tcBorders>
          </w:tcPr>
          <w:p w14:paraId="2424C38E" w14:textId="77777777" w:rsidR="00EE2A22" w:rsidRPr="003B7FB7" w:rsidRDefault="00EE2A22" w:rsidP="00C90177">
            <w:pPr>
              <w:spacing w:before="0" w:after="0" w:line="240" w:lineRule="auto"/>
              <w:jc w:val="center"/>
              <w:rPr>
                <w:rFonts w:eastAsia="Times New Roman"/>
                <w:color w:val="000000"/>
                <w:sz w:val="22"/>
                <w:szCs w:val="22"/>
                <w:lang w:val="en-MY" w:eastAsia="en-MY"/>
              </w:rPr>
            </w:pPr>
          </w:p>
        </w:tc>
        <w:tc>
          <w:tcPr>
            <w:tcW w:w="1010" w:type="dxa"/>
            <w:tcBorders>
              <w:left w:val="single" w:sz="4" w:space="0" w:color="auto"/>
              <w:bottom w:val="single" w:sz="4" w:space="0" w:color="auto"/>
              <w:right w:val="single" w:sz="4" w:space="0" w:color="auto"/>
            </w:tcBorders>
          </w:tcPr>
          <w:p w14:paraId="316EE758" w14:textId="77777777" w:rsidR="00EE2A22" w:rsidRPr="003B7FB7" w:rsidRDefault="00EE2A22" w:rsidP="00C90177">
            <w:pPr>
              <w:spacing w:before="0" w:after="0" w:line="240" w:lineRule="auto"/>
              <w:jc w:val="center"/>
              <w:rPr>
                <w:rFonts w:eastAsia="Times New Roman"/>
                <w:color w:val="000000"/>
                <w:sz w:val="22"/>
                <w:szCs w:val="22"/>
                <w:lang w:val="en-MY" w:eastAsia="en-MY"/>
              </w:rPr>
            </w:pPr>
          </w:p>
        </w:tc>
        <w:tc>
          <w:tcPr>
            <w:tcW w:w="1010" w:type="dxa"/>
            <w:tcBorders>
              <w:left w:val="single" w:sz="4" w:space="0" w:color="auto"/>
              <w:bottom w:val="single" w:sz="4" w:space="0" w:color="auto"/>
              <w:right w:val="single" w:sz="4" w:space="0" w:color="auto"/>
            </w:tcBorders>
          </w:tcPr>
          <w:p w14:paraId="06ADDCC2" w14:textId="77777777" w:rsidR="00EE2A22" w:rsidRPr="003B7FB7" w:rsidRDefault="00EE2A22" w:rsidP="00C90177">
            <w:pPr>
              <w:spacing w:before="0" w:after="0" w:line="240" w:lineRule="auto"/>
              <w:jc w:val="center"/>
              <w:rPr>
                <w:rFonts w:eastAsia="Times New Roman"/>
                <w:color w:val="000000"/>
                <w:sz w:val="22"/>
                <w:szCs w:val="22"/>
                <w:lang w:val="en-MY" w:eastAsia="en-MY"/>
              </w:rPr>
            </w:pPr>
          </w:p>
        </w:tc>
      </w:tr>
      <w:tr w:rsidR="00EE2A22" w:rsidRPr="003B7FB7" w14:paraId="1248EFB9" w14:textId="77777777" w:rsidTr="00C90177">
        <w:trPr>
          <w:trHeight w:val="300"/>
        </w:trPr>
        <w:tc>
          <w:tcPr>
            <w:tcW w:w="1072" w:type="dxa"/>
            <w:tcBorders>
              <w:top w:val="single" w:sz="4" w:space="0" w:color="auto"/>
              <w:left w:val="nil"/>
              <w:bottom w:val="nil"/>
              <w:right w:val="single" w:sz="4" w:space="0" w:color="auto"/>
            </w:tcBorders>
            <w:shd w:val="clear" w:color="auto" w:fill="auto"/>
            <w:noWrap/>
            <w:vAlign w:val="center"/>
            <w:hideMark/>
          </w:tcPr>
          <w:p w14:paraId="6D4CCF7F"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Down</w:t>
            </w:r>
          </w:p>
        </w:tc>
        <w:tc>
          <w:tcPr>
            <w:tcW w:w="960" w:type="dxa"/>
            <w:tcBorders>
              <w:top w:val="single" w:sz="4" w:space="0" w:color="auto"/>
              <w:left w:val="single" w:sz="4" w:space="0" w:color="auto"/>
              <w:bottom w:val="nil"/>
              <w:right w:val="single" w:sz="4" w:space="0" w:color="auto"/>
            </w:tcBorders>
            <w:shd w:val="clear" w:color="auto" w:fill="auto"/>
            <w:noWrap/>
            <w:vAlign w:val="center"/>
            <w:hideMark/>
          </w:tcPr>
          <w:p w14:paraId="36C12A8E"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181</w:t>
            </w:r>
          </w:p>
        </w:tc>
        <w:tc>
          <w:tcPr>
            <w:tcW w:w="960" w:type="dxa"/>
            <w:tcBorders>
              <w:top w:val="single" w:sz="4" w:space="0" w:color="auto"/>
              <w:left w:val="single" w:sz="4" w:space="0" w:color="auto"/>
              <w:bottom w:val="nil"/>
              <w:right w:val="single" w:sz="4" w:space="0" w:color="auto"/>
            </w:tcBorders>
            <w:shd w:val="clear" w:color="auto" w:fill="auto"/>
            <w:noWrap/>
            <w:vAlign w:val="center"/>
            <w:hideMark/>
          </w:tcPr>
          <w:p w14:paraId="2B8A675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171</w:t>
            </w:r>
          </w:p>
        </w:tc>
        <w:tc>
          <w:tcPr>
            <w:tcW w:w="960" w:type="dxa"/>
            <w:tcBorders>
              <w:top w:val="single" w:sz="4" w:space="0" w:color="auto"/>
              <w:left w:val="single" w:sz="4" w:space="0" w:color="auto"/>
              <w:bottom w:val="nil"/>
              <w:right w:val="single" w:sz="4" w:space="0" w:color="auto"/>
            </w:tcBorders>
            <w:shd w:val="clear" w:color="auto" w:fill="auto"/>
            <w:noWrap/>
            <w:vAlign w:val="center"/>
            <w:hideMark/>
          </w:tcPr>
          <w:p w14:paraId="77AA978B"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169</w:t>
            </w:r>
          </w:p>
        </w:tc>
        <w:tc>
          <w:tcPr>
            <w:tcW w:w="1010" w:type="dxa"/>
            <w:tcBorders>
              <w:top w:val="single" w:sz="4" w:space="0" w:color="auto"/>
              <w:left w:val="single" w:sz="4" w:space="0" w:color="auto"/>
              <w:bottom w:val="nil"/>
              <w:right w:val="single" w:sz="4" w:space="0" w:color="auto"/>
            </w:tcBorders>
            <w:vAlign w:val="center"/>
          </w:tcPr>
          <w:p w14:paraId="668498C5"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4422</w:t>
            </w:r>
            <w:r>
              <w:rPr>
                <w:rFonts w:eastAsia="Times New Roman"/>
                <w:color w:val="000000"/>
                <w:sz w:val="22"/>
                <w:szCs w:val="22"/>
                <w:lang w:val="en-MY" w:eastAsia="en-MY"/>
              </w:rPr>
              <w:t>.13</w:t>
            </w:r>
          </w:p>
        </w:tc>
        <w:tc>
          <w:tcPr>
            <w:tcW w:w="1010" w:type="dxa"/>
            <w:tcBorders>
              <w:top w:val="single" w:sz="4" w:space="0" w:color="auto"/>
              <w:left w:val="single" w:sz="4" w:space="0" w:color="auto"/>
              <w:bottom w:val="nil"/>
              <w:right w:val="single" w:sz="4" w:space="0" w:color="auto"/>
            </w:tcBorders>
            <w:vAlign w:val="center"/>
          </w:tcPr>
          <w:p w14:paraId="07E59F5A"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2,106</w:t>
            </w:r>
          </w:p>
        </w:tc>
        <w:tc>
          <w:tcPr>
            <w:tcW w:w="1010" w:type="dxa"/>
            <w:tcBorders>
              <w:top w:val="single" w:sz="4" w:space="0" w:color="auto"/>
              <w:left w:val="single" w:sz="4" w:space="0" w:color="auto"/>
              <w:bottom w:val="nil"/>
              <w:right w:val="single" w:sz="4" w:space="0" w:color="auto"/>
            </w:tcBorders>
            <w:vAlign w:val="center"/>
          </w:tcPr>
          <w:p w14:paraId="0F1EF4BF"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2211</w:t>
            </w:r>
            <w:r>
              <w:rPr>
                <w:rFonts w:eastAsia="Times New Roman"/>
                <w:color w:val="000000"/>
                <w:sz w:val="22"/>
                <w:szCs w:val="22"/>
                <w:lang w:val="en-MY" w:eastAsia="en-MY"/>
              </w:rPr>
              <w:t>.06</w:t>
            </w:r>
          </w:p>
        </w:tc>
        <w:tc>
          <w:tcPr>
            <w:tcW w:w="1010" w:type="dxa"/>
            <w:tcBorders>
              <w:top w:val="single" w:sz="4" w:space="0" w:color="auto"/>
              <w:left w:val="single" w:sz="4" w:space="0" w:color="auto"/>
              <w:bottom w:val="nil"/>
              <w:right w:val="single" w:sz="4" w:space="0" w:color="auto"/>
            </w:tcBorders>
            <w:vAlign w:val="center"/>
          </w:tcPr>
          <w:p w14:paraId="31A00DF1"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17.67</w:t>
            </w:r>
          </w:p>
        </w:tc>
        <w:tc>
          <w:tcPr>
            <w:tcW w:w="1010" w:type="dxa"/>
            <w:tcBorders>
              <w:top w:val="single" w:sz="4" w:space="0" w:color="auto"/>
              <w:left w:val="single" w:sz="4" w:space="0" w:color="auto"/>
              <w:bottom w:val="nil"/>
              <w:right w:val="single" w:sz="4" w:space="0" w:color="auto"/>
            </w:tcBorders>
            <w:vAlign w:val="center"/>
          </w:tcPr>
          <w:p w14:paraId="6443A61F"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&lt;0.01*</w:t>
            </w:r>
          </w:p>
        </w:tc>
      </w:tr>
      <w:tr w:rsidR="00EE2A22" w:rsidRPr="003B7FB7" w14:paraId="1A013897" w14:textId="77777777" w:rsidTr="00C90177">
        <w:trPr>
          <w:trHeight w:val="300"/>
        </w:trPr>
        <w:tc>
          <w:tcPr>
            <w:tcW w:w="1072" w:type="dxa"/>
            <w:tcBorders>
              <w:top w:val="nil"/>
              <w:left w:val="nil"/>
              <w:bottom w:val="single" w:sz="4" w:space="0" w:color="auto"/>
              <w:right w:val="single" w:sz="4" w:space="0" w:color="auto"/>
            </w:tcBorders>
            <w:shd w:val="clear" w:color="auto" w:fill="auto"/>
            <w:noWrap/>
            <w:vAlign w:val="center"/>
            <w:hideMark/>
          </w:tcPr>
          <w:p w14:paraId="1321345F"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Up</w:t>
            </w:r>
          </w:p>
        </w:tc>
        <w:tc>
          <w:tcPr>
            <w:tcW w:w="960" w:type="dxa"/>
            <w:tcBorders>
              <w:top w:val="nil"/>
              <w:left w:val="single" w:sz="4" w:space="0" w:color="auto"/>
              <w:bottom w:val="nil"/>
              <w:right w:val="single" w:sz="4" w:space="0" w:color="auto"/>
            </w:tcBorders>
            <w:shd w:val="clear" w:color="auto" w:fill="auto"/>
            <w:noWrap/>
            <w:vAlign w:val="center"/>
            <w:hideMark/>
          </w:tcPr>
          <w:p w14:paraId="7BE2E1C5"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165</w:t>
            </w:r>
          </w:p>
        </w:tc>
        <w:tc>
          <w:tcPr>
            <w:tcW w:w="960" w:type="dxa"/>
            <w:tcBorders>
              <w:top w:val="nil"/>
              <w:left w:val="single" w:sz="4" w:space="0" w:color="auto"/>
              <w:bottom w:val="nil"/>
              <w:right w:val="single" w:sz="4" w:space="0" w:color="auto"/>
            </w:tcBorders>
            <w:shd w:val="clear" w:color="auto" w:fill="auto"/>
            <w:noWrap/>
            <w:vAlign w:val="center"/>
            <w:hideMark/>
          </w:tcPr>
          <w:p w14:paraId="49FC4AC9"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152</w:t>
            </w:r>
          </w:p>
        </w:tc>
        <w:tc>
          <w:tcPr>
            <w:tcW w:w="960" w:type="dxa"/>
            <w:tcBorders>
              <w:top w:val="nil"/>
              <w:left w:val="single" w:sz="4" w:space="0" w:color="auto"/>
              <w:bottom w:val="nil"/>
              <w:right w:val="single" w:sz="4" w:space="0" w:color="auto"/>
            </w:tcBorders>
            <w:shd w:val="clear" w:color="auto" w:fill="auto"/>
            <w:noWrap/>
            <w:vAlign w:val="center"/>
            <w:hideMark/>
          </w:tcPr>
          <w:p w14:paraId="6ECDE38C"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155</w:t>
            </w:r>
          </w:p>
        </w:tc>
        <w:tc>
          <w:tcPr>
            <w:tcW w:w="1010" w:type="dxa"/>
            <w:tcBorders>
              <w:top w:val="nil"/>
              <w:left w:val="single" w:sz="4" w:space="0" w:color="auto"/>
              <w:bottom w:val="single" w:sz="4" w:space="0" w:color="auto"/>
              <w:right w:val="single" w:sz="4" w:space="0" w:color="auto"/>
            </w:tcBorders>
            <w:vAlign w:val="center"/>
          </w:tcPr>
          <w:p w14:paraId="6B9F6C97"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473</w:t>
            </w:r>
            <w:r>
              <w:rPr>
                <w:rFonts w:eastAsia="Times New Roman"/>
                <w:color w:val="000000"/>
                <w:sz w:val="22"/>
                <w:szCs w:val="22"/>
                <w:lang w:val="en-MY" w:eastAsia="en-MY"/>
              </w:rPr>
              <w:t>0.84</w:t>
            </w:r>
          </w:p>
        </w:tc>
        <w:tc>
          <w:tcPr>
            <w:tcW w:w="1010" w:type="dxa"/>
            <w:tcBorders>
              <w:top w:val="nil"/>
              <w:left w:val="single" w:sz="4" w:space="0" w:color="auto"/>
              <w:bottom w:val="single" w:sz="4" w:space="0" w:color="auto"/>
              <w:right w:val="single" w:sz="4" w:space="0" w:color="auto"/>
            </w:tcBorders>
            <w:vAlign w:val="center"/>
          </w:tcPr>
          <w:p w14:paraId="5E15CB1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2,106</w:t>
            </w:r>
          </w:p>
        </w:tc>
        <w:tc>
          <w:tcPr>
            <w:tcW w:w="1010" w:type="dxa"/>
            <w:tcBorders>
              <w:top w:val="nil"/>
              <w:left w:val="single" w:sz="4" w:space="0" w:color="auto"/>
              <w:bottom w:val="single" w:sz="4" w:space="0" w:color="auto"/>
              <w:right w:val="single" w:sz="4" w:space="0" w:color="auto"/>
            </w:tcBorders>
            <w:vAlign w:val="center"/>
          </w:tcPr>
          <w:p w14:paraId="051C793D"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2365</w:t>
            </w:r>
            <w:r>
              <w:rPr>
                <w:rFonts w:eastAsia="Times New Roman"/>
                <w:color w:val="000000"/>
                <w:sz w:val="22"/>
                <w:szCs w:val="22"/>
                <w:lang w:val="en-MY" w:eastAsia="en-MY"/>
              </w:rPr>
              <w:t>.42</w:t>
            </w:r>
          </w:p>
        </w:tc>
        <w:tc>
          <w:tcPr>
            <w:tcW w:w="1010" w:type="dxa"/>
            <w:tcBorders>
              <w:top w:val="nil"/>
              <w:left w:val="single" w:sz="4" w:space="0" w:color="auto"/>
              <w:bottom w:val="single" w:sz="4" w:space="0" w:color="auto"/>
              <w:right w:val="single" w:sz="4" w:space="0" w:color="auto"/>
            </w:tcBorders>
            <w:vAlign w:val="center"/>
          </w:tcPr>
          <w:p w14:paraId="3063CAC4"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19.65</w:t>
            </w:r>
          </w:p>
        </w:tc>
        <w:tc>
          <w:tcPr>
            <w:tcW w:w="1010" w:type="dxa"/>
            <w:tcBorders>
              <w:top w:val="nil"/>
              <w:left w:val="single" w:sz="4" w:space="0" w:color="auto"/>
              <w:bottom w:val="single" w:sz="4" w:space="0" w:color="auto"/>
              <w:right w:val="single" w:sz="4" w:space="0" w:color="auto"/>
            </w:tcBorders>
            <w:vAlign w:val="center"/>
          </w:tcPr>
          <w:p w14:paraId="7F667E1E"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&lt;0.01*</w:t>
            </w:r>
          </w:p>
        </w:tc>
      </w:tr>
      <w:tr w:rsidR="00EE2A22" w:rsidRPr="003B7FB7" w14:paraId="514EEC8C" w14:textId="77777777" w:rsidTr="00C90177">
        <w:trPr>
          <w:trHeight w:val="300"/>
        </w:trPr>
        <w:tc>
          <w:tcPr>
            <w:tcW w:w="9002" w:type="dxa"/>
            <w:gridSpan w:val="9"/>
            <w:tcBorders>
              <w:top w:val="single" w:sz="4" w:space="0" w:color="auto"/>
              <w:left w:val="nil"/>
              <w:bottom w:val="single" w:sz="4" w:space="0" w:color="auto"/>
              <w:right w:val="single" w:sz="4" w:space="0" w:color="auto"/>
            </w:tcBorders>
            <w:shd w:val="clear" w:color="auto" w:fill="auto"/>
            <w:noWrap/>
            <w:vAlign w:val="center"/>
          </w:tcPr>
          <w:p w14:paraId="3BE4BDB7" w14:textId="77777777" w:rsidR="00EE2A22" w:rsidRPr="003B7FB7" w:rsidRDefault="00EE2A22" w:rsidP="00C90177">
            <w:pPr>
              <w:spacing w:before="0" w:after="0" w:line="240" w:lineRule="auto"/>
              <w:jc w:val="left"/>
              <w:rPr>
                <w:rFonts w:eastAsia="Times New Roman"/>
                <w:color w:val="000000"/>
                <w:sz w:val="22"/>
                <w:szCs w:val="22"/>
                <w:lang w:val="en-MY" w:eastAsia="en-MY"/>
              </w:rPr>
            </w:pPr>
            <w:r w:rsidRPr="003B7FB7">
              <w:rPr>
                <w:rFonts w:eastAsia="Times New Roman"/>
                <w:b/>
                <w:bCs/>
                <w:color w:val="000000"/>
                <w:sz w:val="22"/>
                <w:szCs w:val="22"/>
                <w:lang w:val="en-MY" w:eastAsia="en-MY"/>
              </w:rPr>
              <w:t>Peak Velocity</w:t>
            </w:r>
          </w:p>
        </w:tc>
      </w:tr>
      <w:tr w:rsidR="00EE2A22" w:rsidRPr="003B7FB7" w14:paraId="2F726C3E" w14:textId="77777777" w:rsidTr="00C90177">
        <w:trPr>
          <w:trHeight w:val="300"/>
        </w:trPr>
        <w:tc>
          <w:tcPr>
            <w:tcW w:w="1072" w:type="dxa"/>
            <w:tcBorders>
              <w:top w:val="single" w:sz="4" w:space="0" w:color="auto"/>
              <w:left w:val="nil"/>
              <w:bottom w:val="nil"/>
              <w:right w:val="single" w:sz="4" w:space="0" w:color="auto"/>
            </w:tcBorders>
            <w:shd w:val="clear" w:color="auto" w:fill="auto"/>
            <w:noWrap/>
            <w:vAlign w:val="center"/>
            <w:hideMark/>
          </w:tcPr>
          <w:p w14:paraId="5BD5933F"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Down</w:t>
            </w:r>
          </w:p>
        </w:tc>
        <w:tc>
          <w:tcPr>
            <w:tcW w:w="960" w:type="dxa"/>
            <w:tcBorders>
              <w:top w:val="single" w:sz="4" w:space="0" w:color="auto"/>
              <w:left w:val="single" w:sz="4" w:space="0" w:color="auto"/>
              <w:bottom w:val="nil"/>
              <w:right w:val="single" w:sz="4" w:space="0" w:color="auto"/>
            </w:tcBorders>
            <w:shd w:val="clear" w:color="auto" w:fill="auto"/>
            <w:noWrap/>
            <w:vAlign w:val="center"/>
          </w:tcPr>
          <w:p w14:paraId="2B7EB04E"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278</w:t>
            </w:r>
          </w:p>
        </w:tc>
        <w:tc>
          <w:tcPr>
            <w:tcW w:w="960" w:type="dxa"/>
            <w:tcBorders>
              <w:top w:val="single" w:sz="4" w:space="0" w:color="auto"/>
              <w:left w:val="single" w:sz="4" w:space="0" w:color="auto"/>
              <w:bottom w:val="nil"/>
              <w:right w:val="single" w:sz="4" w:space="0" w:color="auto"/>
            </w:tcBorders>
            <w:shd w:val="clear" w:color="auto" w:fill="auto"/>
            <w:noWrap/>
            <w:vAlign w:val="center"/>
          </w:tcPr>
          <w:p w14:paraId="363E60B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283</w:t>
            </w:r>
          </w:p>
        </w:tc>
        <w:tc>
          <w:tcPr>
            <w:tcW w:w="960" w:type="dxa"/>
            <w:tcBorders>
              <w:top w:val="single" w:sz="4" w:space="0" w:color="auto"/>
              <w:left w:val="single" w:sz="4" w:space="0" w:color="auto"/>
              <w:bottom w:val="nil"/>
              <w:right w:val="single" w:sz="4" w:space="0" w:color="auto"/>
            </w:tcBorders>
            <w:shd w:val="clear" w:color="auto" w:fill="auto"/>
            <w:noWrap/>
            <w:vAlign w:val="center"/>
          </w:tcPr>
          <w:p w14:paraId="12108DFE"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280</w:t>
            </w:r>
          </w:p>
        </w:tc>
        <w:tc>
          <w:tcPr>
            <w:tcW w:w="1010" w:type="dxa"/>
            <w:tcBorders>
              <w:top w:val="single" w:sz="4" w:space="0" w:color="auto"/>
              <w:left w:val="single" w:sz="4" w:space="0" w:color="auto"/>
              <w:bottom w:val="nil"/>
              <w:right w:val="single" w:sz="4" w:space="0" w:color="auto"/>
            </w:tcBorders>
            <w:vAlign w:val="center"/>
          </w:tcPr>
          <w:p w14:paraId="20241062"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724.47</w:t>
            </w:r>
          </w:p>
        </w:tc>
        <w:tc>
          <w:tcPr>
            <w:tcW w:w="1010" w:type="dxa"/>
            <w:tcBorders>
              <w:top w:val="single" w:sz="4" w:space="0" w:color="auto"/>
              <w:left w:val="single" w:sz="4" w:space="0" w:color="auto"/>
              <w:bottom w:val="nil"/>
              <w:right w:val="single" w:sz="4" w:space="0" w:color="auto"/>
            </w:tcBorders>
            <w:vAlign w:val="center"/>
          </w:tcPr>
          <w:p w14:paraId="2295418A"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2,106</w:t>
            </w:r>
          </w:p>
        </w:tc>
        <w:tc>
          <w:tcPr>
            <w:tcW w:w="1010" w:type="dxa"/>
            <w:tcBorders>
              <w:top w:val="single" w:sz="4" w:space="0" w:color="auto"/>
              <w:left w:val="single" w:sz="4" w:space="0" w:color="auto"/>
              <w:bottom w:val="nil"/>
              <w:right w:val="single" w:sz="4" w:space="0" w:color="auto"/>
            </w:tcBorders>
            <w:vAlign w:val="center"/>
          </w:tcPr>
          <w:p w14:paraId="53001EFA"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362.23</w:t>
            </w:r>
          </w:p>
        </w:tc>
        <w:tc>
          <w:tcPr>
            <w:tcW w:w="1010" w:type="dxa"/>
            <w:tcBorders>
              <w:top w:val="single" w:sz="4" w:space="0" w:color="auto"/>
              <w:left w:val="single" w:sz="4" w:space="0" w:color="auto"/>
              <w:bottom w:val="nil"/>
              <w:right w:val="single" w:sz="4" w:space="0" w:color="auto"/>
            </w:tcBorders>
            <w:vAlign w:val="center"/>
          </w:tcPr>
          <w:p w14:paraId="46B1407A"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1.23</w:t>
            </w:r>
          </w:p>
        </w:tc>
        <w:tc>
          <w:tcPr>
            <w:tcW w:w="1010" w:type="dxa"/>
            <w:tcBorders>
              <w:top w:val="single" w:sz="4" w:space="0" w:color="auto"/>
              <w:left w:val="single" w:sz="4" w:space="0" w:color="auto"/>
              <w:bottom w:val="nil"/>
              <w:right w:val="single" w:sz="4" w:space="0" w:color="auto"/>
            </w:tcBorders>
            <w:vAlign w:val="center"/>
          </w:tcPr>
          <w:p w14:paraId="19035221"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0.30</w:t>
            </w:r>
          </w:p>
        </w:tc>
      </w:tr>
      <w:tr w:rsidR="00EE2A22" w:rsidRPr="003B7FB7" w14:paraId="1C690462" w14:textId="77777777" w:rsidTr="00C90177">
        <w:trPr>
          <w:trHeight w:val="300"/>
        </w:trPr>
        <w:tc>
          <w:tcPr>
            <w:tcW w:w="1072" w:type="dxa"/>
            <w:tcBorders>
              <w:top w:val="nil"/>
              <w:left w:val="nil"/>
              <w:bottom w:val="nil"/>
              <w:right w:val="single" w:sz="4" w:space="0" w:color="auto"/>
            </w:tcBorders>
            <w:shd w:val="clear" w:color="auto" w:fill="auto"/>
            <w:noWrap/>
            <w:vAlign w:val="center"/>
            <w:hideMark/>
          </w:tcPr>
          <w:p w14:paraId="53AF5F76"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Up</w:t>
            </w:r>
          </w:p>
        </w:tc>
        <w:tc>
          <w:tcPr>
            <w:tcW w:w="960" w:type="dxa"/>
            <w:tcBorders>
              <w:top w:val="nil"/>
              <w:left w:val="single" w:sz="4" w:space="0" w:color="auto"/>
              <w:bottom w:val="nil"/>
              <w:right w:val="single" w:sz="4" w:space="0" w:color="auto"/>
            </w:tcBorders>
            <w:shd w:val="clear" w:color="auto" w:fill="auto"/>
            <w:noWrap/>
            <w:vAlign w:val="center"/>
          </w:tcPr>
          <w:p w14:paraId="09EE230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272</w:t>
            </w:r>
          </w:p>
        </w:tc>
        <w:tc>
          <w:tcPr>
            <w:tcW w:w="960" w:type="dxa"/>
            <w:tcBorders>
              <w:top w:val="nil"/>
              <w:left w:val="single" w:sz="4" w:space="0" w:color="auto"/>
              <w:bottom w:val="nil"/>
              <w:right w:val="single" w:sz="4" w:space="0" w:color="auto"/>
            </w:tcBorders>
            <w:shd w:val="clear" w:color="auto" w:fill="auto"/>
            <w:noWrap/>
            <w:vAlign w:val="center"/>
          </w:tcPr>
          <w:p w14:paraId="0FC1E835"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281</w:t>
            </w:r>
          </w:p>
        </w:tc>
        <w:tc>
          <w:tcPr>
            <w:tcW w:w="960" w:type="dxa"/>
            <w:tcBorders>
              <w:top w:val="nil"/>
              <w:left w:val="single" w:sz="4" w:space="0" w:color="auto"/>
              <w:bottom w:val="nil"/>
              <w:right w:val="single" w:sz="4" w:space="0" w:color="auto"/>
            </w:tcBorders>
            <w:shd w:val="clear" w:color="auto" w:fill="auto"/>
            <w:noWrap/>
            <w:vAlign w:val="center"/>
          </w:tcPr>
          <w:p w14:paraId="1CF602FC"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281</w:t>
            </w:r>
          </w:p>
        </w:tc>
        <w:tc>
          <w:tcPr>
            <w:tcW w:w="1010" w:type="dxa"/>
            <w:tcBorders>
              <w:top w:val="nil"/>
              <w:left w:val="single" w:sz="4" w:space="0" w:color="auto"/>
              <w:bottom w:val="nil"/>
              <w:right w:val="single" w:sz="4" w:space="0" w:color="auto"/>
            </w:tcBorders>
            <w:vAlign w:val="center"/>
          </w:tcPr>
          <w:p w14:paraId="24DD4D3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2873.47</w:t>
            </w:r>
          </w:p>
        </w:tc>
        <w:tc>
          <w:tcPr>
            <w:tcW w:w="1010" w:type="dxa"/>
            <w:tcBorders>
              <w:top w:val="nil"/>
              <w:left w:val="single" w:sz="4" w:space="0" w:color="auto"/>
              <w:bottom w:val="nil"/>
              <w:right w:val="single" w:sz="4" w:space="0" w:color="auto"/>
            </w:tcBorders>
            <w:vAlign w:val="center"/>
          </w:tcPr>
          <w:p w14:paraId="58E75439"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2,106</w:t>
            </w:r>
          </w:p>
        </w:tc>
        <w:tc>
          <w:tcPr>
            <w:tcW w:w="1010" w:type="dxa"/>
            <w:tcBorders>
              <w:top w:val="nil"/>
              <w:left w:val="single" w:sz="4" w:space="0" w:color="auto"/>
              <w:bottom w:val="nil"/>
              <w:right w:val="single" w:sz="4" w:space="0" w:color="auto"/>
            </w:tcBorders>
            <w:vAlign w:val="center"/>
          </w:tcPr>
          <w:p w14:paraId="3D96FF79"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1436.73</w:t>
            </w:r>
          </w:p>
        </w:tc>
        <w:tc>
          <w:tcPr>
            <w:tcW w:w="1010" w:type="dxa"/>
            <w:tcBorders>
              <w:top w:val="nil"/>
              <w:left w:val="single" w:sz="4" w:space="0" w:color="auto"/>
              <w:bottom w:val="nil"/>
              <w:right w:val="single" w:sz="4" w:space="0" w:color="auto"/>
            </w:tcBorders>
            <w:vAlign w:val="center"/>
          </w:tcPr>
          <w:p w14:paraId="64D3ACF5"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5.46</w:t>
            </w:r>
          </w:p>
        </w:tc>
        <w:tc>
          <w:tcPr>
            <w:tcW w:w="1010" w:type="dxa"/>
            <w:tcBorders>
              <w:top w:val="nil"/>
              <w:left w:val="single" w:sz="4" w:space="0" w:color="auto"/>
              <w:bottom w:val="nil"/>
              <w:right w:val="single" w:sz="4" w:space="0" w:color="auto"/>
            </w:tcBorders>
            <w:vAlign w:val="center"/>
          </w:tcPr>
          <w:p w14:paraId="279F1157"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0.01*</w:t>
            </w:r>
          </w:p>
        </w:tc>
      </w:tr>
      <w:tr w:rsidR="00EE2A22" w:rsidRPr="003B7FB7" w14:paraId="5A3C07FC" w14:textId="77777777" w:rsidTr="00C90177">
        <w:trPr>
          <w:trHeight w:val="300"/>
        </w:trPr>
        <w:tc>
          <w:tcPr>
            <w:tcW w:w="9002" w:type="dxa"/>
            <w:gridSpan w:val="9"/>
            <w:tcBorders>
              <w:top w:val="single" w:sz="4" w:space="0" w:color="auto"/>
              <w:left w:val="nil"/>
              <w:bottom w:val="single" w:sz="4" w:space="0" w:color="auto"/>
              <w:right w:val="single" w:sz="4" w:space="0" w:color="auto"/>
            </w:tcBorders>
            <w:shd w:val="clear" w:color="auto" w:fill="auto"/>
            <w:noWrap/>
            <w:vAlign w:val="center"/>
          </w:tcPr>
          <w:p w14:paraId="03D9EBE9" w14:textId="77777777" w:rsidR="00EE2A22" w:rsidRPr="003B7FB7" w:rsidRDefault="00EE2A22" w:rsidP="00C90177">
            <w:pPr>
              <w:spacing w:before="0" w:after="0" w:line="240" w:lineRule="auto"/>
              <w:jc w:val="left"/>
              <w:rPr>
                <w:rFonts w:eastAsia="Times New Roman"/>
                <w:color w:val="000000"/>
                <w:sz w:val="22"/>
                <w:szCs w:val="22"/>
                <w:lang w:val="en-MY" w:eastAsia="en-MY"/>
              </w:rPr>
            </w:pPr>
            <w:r w:rsidRPr="003B7FB7">
              <w:rPr>
                <w:rFonts w:eastAsia="Times New Roman"/>
                <w:b/>
                <w:bCs/>
                <w:color w:val="000000"/>
                <w:sz w:val="22"/>
                <w:szCs w:val="22"/>
                <w:lang w:val="en-MY" w:eastAsia="en-MY"/>
              </w:rPr>
              <w:t>Gain</w:t>
            </w:r>
          </w:p>
        </w:tc>
      </w:tr>
      <w:tr w:rsidR="00EE2A22" w:rsidRPr="003B7FB7" w14:paraId="77FFF370" w14:textId="77777777" w:rsidTr="00C90177">
        <w:trPr>
          <w:trHeight w:val="300"/>
        </w:trPr>
        <w:tc>
          <w:tcPr>
            <w:tcW w:w="1072" w:type="dxa"/>
            <w:tcBorders>
              <w:top w:val="single" w:sz="4" w:space="0" w:color="auto"/>
              <w:left w:val="nil"/>
              <w:right w:val="single" w:sz="4" w:space="0" w:color="auto"/>
            </w:tcBorders>
            <w:shd w:val="clear" w:color="auto" w:fill="auto"/>
            <w:noWrap/>
            <w:vAlign w:val="center"/>
            <w:hideMark/>
          </w:tcPr>
          <w:p w14:paraId="4C0B2D2E"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Down</w:t>
            </w:r>
          </w:p>
        </w:tc>
        <w:tc>
          <w:tcPr>
            <w:tcW w:w="960" w:type="dxa"/>
            <w:tcBorders>
              <w:top w:val="single" w:sz="4" w:space="0" w:color="auto"/>
              <w:left w:val="single" w:sz="4" w:space="0" w:color="auto"/>
              <w:right w:val="single" w:sz="4" w:space="0" w:color="auto"/>
            </w:tcBorders>
            <w:shd w:val="clear" w:color="auto" w:fill="auto"/>
            <w:noWrap/>
            <w:vAlign w:val="center"/>
          </w:tcPr>
          <w:p w14:paraId="63D1275C"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0.96</w:t>
            </w:r>
          </w:p>
        </w:tc>
        <w:tc>
          <w:tcPr>
            <w:tcW w:w="960" w:type="dxa"/>
            <w:tcBorders>
              <w:top w:val="single" w:sz="4" w:space="0" w:color="auto"/>
              <w:left w:val="single" w:sz="4" w:space="0" w:color="auto"/>
              <w:right w:val="single" w:sz="4" w:space="0" w:color="auto"/>
            </w:tcBorders>
            <w:shd w:val="clear" w:color="auto" w:fill="auto"/>
            <w:noWrap/>
            <w:vAlign w:val="center"/>
          </w:tcPr>
          <w:p w14:paraId="69DFD29B"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0.98</w:t>
            </w:r>
          </w:p>
        </w:tc>
        <w:tc>
          <w:tcPr>
            <w:tcW w:w="960" w:type="dxa"/>
            <w:tcBorders>
              <w:top w:val="single" w:sz="4" w:space="0" w:color="auto"/>
              <w:left w:val="single" w:sz="4" w:space="0" w:color="auto"/>
              <w:right w:val="single" w:sz="4" w:space="0" w:color="auto"/>
            </w:tcBorders>
            <w:shd w:val="clear" w:color="auto" w:fill="auto"/>
            <w:noWrap/>
            <w:vAlign w:val="center"/>
          </w:tcPr>
          <w:p w14:paraId="4A9F6A8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0.97</w:t>
            </w:r>
          </w:p>
        </w:tc>
        <w:tc>
          <w:tcPr>
            <w:tcW w:w="1010" w:type="dxa"/>
            <w:tcBorders>
              <w:top w:val="single" w:sz="4" w:space="0" w:color="auto"/>
              <w:left w:val="single" w:sz="4" w:space="0" w:color="auto"/>
              <w:right w:val="single" w:sz="4" w:space="0" w:color="auto"/>
            </w:tcBorders>
            <w:vAlign w:val="center"/>
          </w:tcPr>
          <w:p w14:paraId="60C5F42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0.01</w:t>
            </w:r>
          </w:p>
        </w:tc>
        <w:tc>
          <w:tcPr>
            <w:tcW w:w="1010" w:type="dxa"/>
            <w:tcBorders>
              <w:top w:val="single" w:sz="4" w:space="0" w:color="auto"/>
              <w:left w:val="single" w:sz="4" w:space="0" w:color="auto"/>
              <w:right w:val="single" w:sz="4" w:space="0" w:color="auto"/>
            </w:tcBorders>
            <w:vAlign w:val="center"/>
          </w:tcPr>
          <w:p w14:paraId="2533C6AC"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2,106</w:t>
            </w:r>
          </w:p>
        </w:tc>
        <w:tc>
          <w:tcPr>
            <w:tcW w:w="1010" w:type="dxa"/>
            <w:tcBorders>
              <w:top w:val="single" w:sz="4" w:space="0" w:color="auto"/>
              <w:left w:val="single" w:sz="4" w:space="0" w:color="auto"/>
              <w:right w:val="single" w:sz="4" w:space="0" w:color="auto"/>
            </w:tcBorders>
            <w:vAlign w:val="center"/>
          </w:tcPr>
          <w:p w14:paraId="4E5973CC"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0.004</w:t>
            </w:r>
          </w:p>
        </w:tc>
        <w:tc>
          <w:tcPr>
            <w:tcW w:w="1010" w:type="dxa"/>
            <w:tcBorders>
              <w:top w:val="single" w:sz="4" w:space="0" w:color="auto"/>
              <w:left w:val="single" w:sz="4" w:space="0" w:color="auto"/>
              <w:right w:val="single" w:sz="4" w:space="0" w:color="auto"/>
            </w:tcBorders>
            <w:vAlign w:val="center"/>
          </w:tcPr>
          <w:p w14:paraId="58BC459B"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1.23</w:t>
            </w:r>
          </w:p>
        </w:tc>
        <w:tc>
          <w:tcPr>
            <w:tcW w:w="1010" w:type="dxa"/>
            <w:tcBorders>
              <w:top w:val="single" w:sz="4" w:space="0" w:color="auto"/>
              <w:left w:val="single" w:sz="4" w:space="0" w:color="auto"/>
              <w:right w:val="single" w:sz="4" w:space="0" w:color="auto"/>
            </w:tcBorders>
            <w:vAlign w:val="center"/>
          </w:tcPr>
          <w:p w14:paraId="49C725BF"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0.30</w:t>
            </w:r>
          </w:p>
        </w:tc>
      </w:tr>
      <w:tr w:rsidR="00EE2A22" w:rsidRPr="003B7FB7" w14:paraId="3033A33B" w14:textId="77777777" w:rsidTr="00C90177">
        <w:trPr>
          <w:trHeight w:val="300"/>
        </w:trPr>
        <w:tc>
          <w:tcPr>
            <w:tcW w:w="1072" w:type="dxa"/>
            <w:tcBorders>
              <w:top w:val="nil"/>
              <w:left w:val="nil"/>
              <w:bottom w:val="single" w:sz="4" w:space="0" w:color="auto"/>
              <w:right w:val="single" w:sz="4" w:space="0" w:color="auto"/>
            </w:tcBorders>
            <w:shd w:val="clear" w:color="auto" w:fill="auto"/>
            <w:noWrap/>
            <w:vAlign w:val="center"/>
            <w:hideMark/>
          </w:tcPr>
          <w:p w14:paraId="312B14D6"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Up</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5CCB270A"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0.87</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78A5878A"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0.89</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014DC255"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color w:val="000000"/>
                <w:sz w:val="22"/>
                <w:szCs w:val="22"/>
              </w:rPr>
              <w:t>0.89</w:t>
            </w:r>
          </w:p>
        </w:tc>
        <w:tc>
          <w:tcPr>
            <w:tcW w:w="1010" w:type="dxa"/>
            <w:tcBorders>
              <w:top w:val="nil"/>
              <w:left w:val="single" w:sz="4" w:space="0" w:color="auto"/>
              <w:bottom w:val="single" w:sz="4" w:space="0" w:color="auto"/>
              <w:right w:val="single" w:sz="4" w:space="0" w:color="auto"/>
            </w:tcBorders>
            <w:vAlign w:val="center"/>
          </w:tcPr>
          <w:p w14:paraId="1F24DA79"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0.03</w:t>
            </w:r>
          </w:p>
        </w:tc>
        <w:tc>
          <w:tcPr>
            <w:tcW w:w="1010" w:type="dxa"/>
            <w:tcBorders>
              <w:top w:val="nil"/>
              <w:left w:val="single" w:sz="4" w:space="0" w:color="auto"/>
              <w:bottom w:val="single" w:sz="4" w:space="0" w:color="auto"/>
              <w:right w:val="single" w:sz="4" w:space="0" w:color="auto"/>
            </w:tcBorders>
            <w:vAlign w:val="center"/>
          </w:tcPr>
          <w:p w14:paraId="63DE1226"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sidRPr="003B7FB7">
              <w:rPr>
                <w:rFonts w:eastAsia="Times New Roman"/>
                <w:color w:val="000000"/>
                <w:sz w:val="22"/>
                <w:szCs w:val="22"/>
                <w:lang w:val="en-MY" w:eastAsia="en-MY"/>
              </w:rPr>
              <w:t>2,106</w:t>
            </w:r>
          </w:p>
        </w:tc>
        <w:tc>
          <w:tcPr>
            <w:tcW w:w="1010" w:type="dxa"/>
            <w:tcBorders>
              <w:top w:val="nil"/>
              <w:left w:val="single" w:sz="4" w:space="0" w:color="auto"/>
              <w:bottom w:val="single" w:sz="4" w:space="0" w:color="auto"/>
              <w:right w:val="single" w:sz="4" w:space="0" w:color="auto"/>
            </w:tcBorders>
            <w:vAlign w:val="center"/>
          </w:tcPr>
          <w:p w14:paraId="596B1801"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0.014</w:t>
            </w:r>
          </w:p>
        </w:tc>
        <w:tc>
          <w:tcPr>
            <w:tcW w:w="1010" w:type="dxa"/>
            <w:tcBorders>
              <w:top w:val="nil"/>
              <w:left w:val="single" w:sz="4" w:space="0" w:color="auto"/>
              <w:bottom w:val="single" w:sz="4" w:space="0" w:color="auto"/>
              <w:right w:val="single" w:sz="4" w:space="0" w:color="auto"/>
            </w:tcBorders>
            <w:vAlign w:val="center"/>
          </w:tcPr>
          <w:p w14:paraId="7C84B893"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5.92</w:t>
            </w:r>
          </w:p>
        </w:tc>
        <w:tc>
          <w:tcPr>
            <w:tcW w:w="1010" w:type="dxa"/>
            <w:tcBorders>
              <w:top w:val="nil"/>
              <w:left w:val="single" w:sz="4" w:space="0" w:color="auto"/>
              <w:bottom w:val="single" w:sz="4" w:space="0" w:color="auto"/>
              <w:right w:val="single" w:sz="4" w:space="0" w:color="auto"/>
            </w:tcBorders>
            <w:vAlign w:val="center"/>
          </w:tcPr>
          <w:p w14:paraId="0AA9D3EB" w14:textId="77777777" w:rsidR="00EE2A22" w:rsidRPr="003B7FB7" w:rsidRDefault="00EE2A22" w:rsidP="00C90177">
            <w:pPr>
              <w:spacing w:before="0" w:after="0" w:line="240" w:lineRule="auto"/>
              <w:jc w:val="center"/>
              <w:rPr>
                <w:rFonts w:eastAsia="Times New Roman"/>
                <w:color w:val="000000"/>
                <w:sz w:val="22"/>
                <w:szCs w:val="22"/>
                <w:lang w:val="en-MY" w:eastAsia="en-MY"/>
              </w:rPr>
            </w:pPr>
            <w:r>
              <w:rPr>
                <w:rFonts w:eastAsia="Times New Roman"/>
                <w:color w:val="000000"/>
                <w:sz w:val="22"/>
                <w:szCs w:val="22"/>
                <w:lang w:val="en-MY" w:eastAsia="en-MY"/>
              </w:rPr>
              <w:t>&lt;0.01*</w:t>
            </w:r>
          </w:p>
        </w:tc>
      </w:tr>
    </w:tbl>
    <w:p w14:paraId="60F6B2D9" w14:textId="77777777" w:rsidR="00477959" w:rsidRPr="009D4627" w:rsidRDefault="00477959" w:rsidP="000939C0">
      <w:pPr>
        <w:spacing w:before="0" w:after="0" w:line="240" w:lineRule="auto"/>
        <w:rPr>
          <w:color w:val="auto"/>
          <w:sz w:val="20"/>
          <w:szCs w:val="20"/>
        </w:rPr>
      </w:pPr>
    </w:p>
    <w:p w14:paraId="0015FE8F" w14:textId="489D6AE0" w:rsidR="00BF47CE" w:rsidRPr="009D4627" w:rsidRDefault="00BF47CE" w:rsidP="00DC4CA6">
      <w:pPr>
        <w:pStyle w:val="Heading3"/>
      </w:pPr>
      <w:bookmarkStart w:id="424" w:name="_Toc55662855"/>
      <w:bookmarkStart w:id="425" w:name="_Toc57300378"/>
      <w:bookmarkStart w:id="426" w:name="_Toc57300486"/>
      <w:bookmarkStart w:id="427" w:name="_Toc98964688"/>
      <w:bookmarkStart w:id="428" w:name="_Toc103344732"/>
      <w:bookmarkEnd w:id="411"/>
      <w:r w:rsidRPr="009D4627">
        <w:t>Discussion</w:t>
      </w:r>
      <w:bookmarkEnd w:id="424"/>
      <w:bookmarkEnd w:id="425"/>
      <w:bookmarkEnd w:id="426"/>
      <w:r w:rsidR="00F02C7C">
        <w:t xml:space="preserve"> and conclusion</w:t>
      </w:r>
      <w:bookmarkEnd w:id="427"/>
      <w:bookmarkEnd w:id="428"/>
    </w:p>
    <w:p w14:paraId="787587B9" w14:textId="104B63D5" w:rsidR="00F52B26" w:rsidRDefault="00BF47CE" w:rsidP="00BF47CE">
      <w:pPr>
        <w:spacing w:after="0"/>
        <w:rPr>
          <w:color w:val="auto"/>
        </w:rPr>
      </w:pPr>
      <w:r w:rsidRPr="009D4627">
        <w:rPr>
          <w:color w:val="auto"/>
        </w:rPr>
        <w:t xml:space="preserve">The experiment's initial objective was to identify the effect of </w:t>
      </w:r>
      <w:r w:rsidR="00E96C9C" w:rsidRPr="009D4627">
        <w:rPr>
          <w:color w:val="auto"/>
        </w:rPr>
        <w:t xml:space="preserve">using different </w:t>
      </w:r>
      <w:r w:rsidRPr="009D4627">
        <w:rPr>
          <w:color w:val="auto"/>
        </w:rPr>
        <w:t>target size</w:t>
      </w:r>
      <w:r w:rsidR="00E96C9C" w:rsidRPr="009D4627">
        <w:rPr>
          <w:color w:val="auto"/>
        </w:rPr>
        <w:t>s</w:t>
      </w:r>
      <w:r w:rsidRPr="009D4627">
        <w:rPr>
          <w:color w:val="auto"/>
        </w:rPr>
        <w:t xml:space="preserve"> on fixation, </w:t>
      </w:r>
      <w:r w:rsidR="00A706AE" w:rsidRPr="009D4627">
        <w:rPr>
          <w:color w:val="auto"/>
        </w:rPr>
        <w:t>SP</w:t>
      </w:r>
      <w:r w:rsidRPr="009D4627">
        <w:rPr>
          <w:color w:val="auto"/>
        </w:rPr>
        <w:t xml:space="preserve">, and </w:t>
      </w:r>
      <w:r w:rsidR="00944720" w:rsidRPr="009D4627">
        <w:rPr>
          <w:color w:val="auto"/>
        </w:rPr>
        <w:t>saccadic</w:t>
      </w:r>
      <w:r w:rsidRPr="009D4627">
        <w:rPr>
          <w:color w:val="auto"/>
        </w:rPr>
        <w:t xml:space="preserve"> eye movement performance. </w:t>
      </w:r>
      <w:r w:rsidR="00CC63DF" w:rsidRPr="00CC63DF">
        <w:rPr>
          <w:color w:val="auto"/>
        </w:rPr>
        <w:t>Regardless of the target size, an excellent fixation performance was observed with a greater percentage DT in the smallest AOI and a low percentage DT in the largest AOI.</w:t>
      </w:r>
      <w:r w:rsidR="00870740">
        <w:rPr>
          <w:color w:val="auto"/>
        </w:rPr>
        <w:t xml:space="preserve"> </w:t>
      </w:r>
      <w:r w:rsidR="00870740" w:rsidRPr="00C853E7">
        <w:rPr>
          <w:color w:val="auto"/>
        </w:rPr>
        <w:t xml:space="preserve">Dwell time was calculated by adding the durations (in </w:t>
      </w:r>
      <w:proofErr w:type="spellStart"/>
      <w:r w:rsidR="00870740" w:rsidRPr="00C853E7">
        <w:rPr>
          <w:color w:val="auto"/>
        </w:rPr>
        <w:t>ms</w:t>
      </w:r>
      <w:proofErr w:type="spellEnd"/>
      <w:r w:rsidR="00870740" w:rsidRPr="00C853E7">
        <w:rPr>
          <w:color w:val="auto"/>
        </w:rPr>
        <w:t>) of all fixations inside the specified AOI</w:t>
      </w:r>
      <w:r w:rsidR="00870740">
        <w:rPr>
          <w:color w:val="auto"/>
        </w:rPr>
        <w:t xml:space="preserve"> </w:t>
      </w:r>
      <w:r w:rsidR="00870740">
        <w:rPr>
          <w:color w:val="auto"/>
        </w:rPr>
        <w:fldChar w:fldCharType="begin"/>
      </w:r>
      <w:r w:rsidR="00870740">
        <w:rPr>
          <w:color w:val="auto"/>
        </w:rPr>
        <w:instrText xml:space="preserve"> ADDIN EN.CITE &lt;EndNote&gt;&lt;Cite&gt;&lt;Author&gt;Walters&lt;/Author&gt;&lt;Year&gt;2022&lt;/Year&gt;&lt;IDText&gt;Exploring attention to the Canadian 24-Hour Movement Guidelines for Children and Youth using eye-tracking: A randomized control trial&lt;/IDText&gt;&lt;DisplayText&gt;(Walters et al., 2022)&lt;/DisplayText&gt;&lt;record&gt;&lt;titles&gt;&lt;title&gt;Exploring attention to the Canadian 24-Hour Movement Guidelines for Children and Youth using eye-tracking: A randomized control trial&lt;/title&gt;&lt;secondary-title&gt;Public Health Nurs&lt;/secondary-title&gt;&lt;/titles&gt;&lt;contributors&gt;&lt;authors&gt;&lt;author&gt;Walters, A. J.&lt;/author&gt;&lt;author&gt;Lithopoulos, A.&lt;/author&gt;&lt;author&gt;Tennant, E. M.&lt;/author&gt;&lt;author&gt;Weissman, S.&lt;/author&gt;&lt;author&gt;Latimer-Cheung, A. E.&lt;/author&gt;&lt;/authors&gt;&lt;/contributors&gt;&lt;added-date format="utc"&gt;1646961660&lt;/added-date&gt;&lt;pub-location&gt;United States&lt;/pub-location&gt;&lt;ref-type name="Journal Article"&gt;17&lt;/ref-type&gt;&lt;dates&gt;&lt;year&gt;2022&lt;/year&gt;&lt;/dates&gt;&lt;rec-number&gt;806&lt;/rec-number&gt;&lt;publisher&gt;United States&lt;/publisher&gt;&lt;last-updated-date format="utc"&gt;1646961660&lt;/last-updated-date&gt;&lt;electronic-resource-num&gt;10.1111/phn.13064&lt;/electronic-resource-num&gt;&lt;/record&gt;&lt;/Cite&gt;&lt;/EndNote&gt;</w:instrText>
      </w:r>
      <w:r w:rsidR="00870740">
        <w:rPr>
          <w:color w:val="auto"/>
        </w:rPr>
        <w:fldChar w:fldCharType="separate"/>
      </w:r>
      <w:r w:rsidR="00870740">
        <w:rPr>
          <w:noProof/>
          <w:color w:val="auto"/>
        </w:rPr>
        <w:t>(Walters et al., 2022)</w:t>
      </w:r>
      <w:r w:rsidR="00870740">
        <w:rPr>
          <w:color w:val="auto"/>
        </w:rPr>
        <w:fldChar w:fldCharType="end"/>
      </w:r>
      <w:r w:rsidR="00870740" w:rsidRPr="00C853E7">
        <w:rPr>
          <w:color w:val="auto"/>
        </w:rPr>
        <w:t>.</w:t>
      </w:r>
      <w:r w:rsidR="000C776F">
        <w:rPr>
          <w:color w:val="auto"/>
        </w:rPr>
        <w:t xml:space="preserve"> </w:t>
      </w:r>
      <w:r w:rsidR="00254AFE" w:rsidRPr="00254AFE">
        <w:rPr>
          <w:color w:val="auto"/>
          <w:lang w:val="en-MY"/>
        </w:rPr>
        <w:t xml:space="preserve">The findings, however, </w:t>
      </w:r>
      <w:r w:rsidR="00254AFE" w:rsidRPr="00254AFE">
        <w:rPr>
          <w:color w:val="auto"/>
          <w:lang w:val="en-MY"/>
        </w:rPr>
        <w:lastRenderedPageBreak/>
        <w:t xml:space="preserve">contradict a </w:t>
      </w:r>
      <w:r w:rsidR="003B40FC">
        <w:rPr>
          <w:color w:val="auto"/>
          <w:lang w:val="en-MY"/>
        </w:rPr>
        <w:t>previous</w:t>
      </w:r>
      <w:r w:rsidR="00254AFE" w:rsidRPr="00254AFE">
        <w:rPr>
          <w:color w:val="auto"/>
          <w:lang w:val="en-MY"/>
        </w:rPr>
        <w:t xml:space="preserve"> study in which </w:t>
      </w:r>
      <w:r w:rsidR="00A83C0C">
        <w:rPr>
          <w:color w:val="auto"/>
          <w:lang w:val="en-MY"/>
        </w:rPr>
        <w:t xml:space="preserve">it was </w:t>
      </w:r>
      <w:r w:rsidR="00254AFE" w:rsidRPr="00254AFE">
        <w:rPr>
          <w:color w:val="auto"/>
          <w:lang w:val="en-MY"/>
        </w:rPr>
        <w:t xml:space="preserve">claimed that fixation behaviour increased as the size of the fixation target increased </w:t>
      </w:r>
      <w:r w:rsidR="00254AFE">
        <w:fldChar w:fldCharType="begin">
          <w:fldData xml:space="preserve">PEVuZE5vdGU+PENpdGU+PEF1dGhvcj5IaXJhc2F3YTwvQXV0aG9yPjxZZWFyPjIwMTY8L1llYXI+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=
</w:fldData>
        </w:fldChar>
      </w:r>
      <w:r w:rsidR="00254AFE">
        <w:instrText xml:space="preserve"> ADDIN EN.CITE </w:instrText>
      </w:r>
      <w:r w:rsidR="00254AFE">
        <w:fldChar w:fldCharType="begin">
          <w:fldData xml:space="preserve">PEVuZE5vdGU+PENpdGU+PEF1dGhvcj5IaXJhc2F3YTwvQXV0aG9yPjxZZWFyPjIwMTY8L1llYXI+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=
</w:fldData>
        </w:fldChar>
      </w:r>
      <w:r w:rsidR="00254AFE">
        <w:instrText xml:space="preserve"> ADDIN EN.CITE.DATA </w:instrText>
      </w:r>
      <w:r w:rsidR="00254AFE">
        <w:fldChar w:fldCharType="end"/>
      </w:r>
      <w:r w:rsidR="00254AFE">
        <w:fldChar w:fldCharType="separate"/>
      </w:r>
      <w:r w:rsidR="00254AFE">
        <w:rPr>
          <w:noProof/>
        </w:rPr>
        <w:t>(Hirasawa et al., 2016)</w:t>
      </w:r>
      <w:r w:rsidR="00254AFE">
        <w:fldChar w:fldCharType="end"/>
      </w:r>
      <w:r w:rsidR="00690193">
        <w:t>.</w:t>
      </w:r>
      <w:r w:rsidR="00870740">
        <w:rPr>
          <w:color w:val="auto"/>
        </w:rPr>
        <w:t xml:space="preserve"> </w:t>
      </w:r>
      <w:r w:rsidR="003B40FC">
        <w:rPr>
          <w:color w:val="auto"/>
        </w:rPr>
        <w:t>However, different type</w:t>
      </w:r>
      <w:r w:rsidR="00A83C0C">
        <w:rPr>
          <w:color w:val="auto"/>
        </w:rPr>
        <w:t>s</w:t>
      </w:r>
      <w:r w:rsidR="003B40FC">
        <w:rPr>
          <w:color w:val="auto"/>
        </w:rPr>
        <w:t xml:space="preserve"> of targets</w:t>
      </w:r>
      <w:r w:rsidR="00741DFB">
        <w:rPr>
          <w:color w:val="auto"/>
        </w:rPr>
        <w:t xml:space="preserve"> </w:t>
      </w:r>
      <w:r w:rsidR="00A83C0C">
        <w:rPr>
          <w:color w:val="auto"/>
        </w:rPr>
        <w:t>were used</w:t>
      </w:r>
      <w:r w:rsidR="003B40FC">
        <w:rPr>
          <w:color w:val="auto"/>
        </w:rPr>
        <w:t xml:space="preserve"> (black dots, rings and cross). The type of target itself could affect the attention to focus</w:t>
      </w:r>
      <w:r w:rsidR="001A10D6">
        <w:rPr>
          <w:color w:val="auto"/>
        </w:rPr>
        <w:t xml:space="preserve"> </w:t>
      </w:r>
      <w:r w:rsidR="001A10D6">
        <w:rPr>
          <w:color w:val="auto"/>
        </w:rPr>
        <w:fldChar w:fldCharType="begin"/>
      </w:r>
      <w:r w:rsidR="001A10D6">
        <w:rPr>
          <w:color w:val="auto"/>
        </w:rPr>
        <w:instrText xml:space="preserve"> ADDIN EN.CITE &lt;EndNote&gt;&lt;Cite&gt;&lt;Author&gt;Thaler&lt;/Author&gt;&lt;Year&gt;2013&lt;/Year&gt;&lt;IDText&gt;What is the best fixation target? The effect of target shape on stability of fixational eye movements&lt;/IDText&gt;&lt;DisplayText&gt;(Thaler et al., 2013)&lt;/DisplayText&gt;&lt;record&gt;&lt;keywords&gt;&lt;keyword&gt;Dispersion&lt;/keyword&gt;&lt;keyword&gt;Drift&lt;/keyword&gt;&lt;keyword&gt;Eye movements&lt;/keyword&gt;&lt;keyword&gt;Eye Movements - physiology&lt;/keyword&gt;&lt;keyword&gt;Fixation, Ocular - physiology&lt;/keyword&gt;&lt;keyword&gt;Form Perception - physiology&lt;/keyword&gt;&lt;keyword&gt;Humans&lt;/keyword&gt;&lt;keyword&gt;Life Sciences &amp;amp; Biomedicine&lt;/keyword&gt;&lt;keyword&gt;Microsaccade&lt;/keyword&gt;&lt;keyword&gt;Neurosciences&lt;/keyword&gt;&lt;keyword&gt;Neurosciences &amp;amp; Neurology&lt;/keyword&gt;&lt;keyword&gt;Ocular fixation&lt;/keyword&gt;&lt;keyword&gt;Ophthalmology&lt;/keyword&gt;&lt;keyword&gt;Photic Stimulation&lt;/keyword&gt;&lt;keyword&gt;Psychology&lt;/keyword&gt;&lt;keyword&gt;Science &amp;amp; Technology&lt;/keyword&gt;&lt;keyword&gt;Slow control&lt;/keyword&gt;&lt;keyword&gt;Social Sciences&lt;/keyword&gt;&lt;/keywords&gt;&lt;isbn&gt;0042-6989&lt;/isbn&gt;&lt;titles&gt;&lt;title&gt;What is the best fixation target? The effect of target shape on stability of fixational eye movements&lt;/title&gt;&lt;secondary-title&gt;Vision Res&lt;/secondary-title&gt;&lt;/titles&gt;&lt;pages&gt;31-42&lt;/pages&gt;&lt;contributors&gt;&lt;authors&gt;&lt;author&gt;Thaler, L.&lt;/author&gt;&lt;author&gt;Schütz, A. C.&lt;/author&gt;&lt;author&gt;Goodale, M. A.&lt;/author&gt;&lt;author&gt;Gegenfurtner, K. R.&lt;/author&gt;&lt;/authors&gt;&lt;/contributors&gt;&lt;added-date format="utc"&gt;1646971814&lt;/added-date&gt;&lt;pub-location&gt;OXFORD&lt;/pub-location&gt;&lt;ref-type name="Journal Article"&gt;17&lt;/ref-type&gt;&lt;dates&gt;&lt;year&gt;2013&lt;/year&gt;&lt;/dates&gt;&lt;rec-number&gt;809&lt;/rec-number&gt;&lt;publisher&gt;OXFORD: Elsevier Ltd&lt;/publisher&gt;&lt;last-updated-date format="utc"&gt;1646971814&lt;/last-updated-date&gt;&lt;electronic-resource-num&gt;10.1016/j.visres.2012.10.012&lt;/electronic-resource-num&gt;&lt;volume&gt;76&lt;/volume&gt;&lt;/record&gt;&lt;/Cite&gt;&lt;/EndNote&gt;</w:instrText>
      </w:r>
      <w:r w:rsidR="001A10D6">
        <w:rPr>
          <w:color w:val="auto"/>
        </w:rPr>
        <w:fldChar w:fldCharType="separate"/>
      </w:r>
      <w:r w:rsidR="001A10D6">
        <w:rPr>
          <w:noProof/>
          <w:color w:val="auto"/>
        </w:rPr>
        <w:t>(Thaler et al., 2013)</w:t>
      </w:r>
      <w:r w:rsidR="001A10D6">
        <w:rPr>
          <w:color w:val="auto"/>
        </w:rPr>
        <w:fldChar w:fldCharType="end"/>
      </w:r>
      <w:r w:rsidR="001A10D6">
        <w:rPr>
          <w:color w:val="auto"/>
        </w:rPr>
        <w:t xml:space="preserve">. Hence, maintaining the target shape while adjusting the size could reduce the </w:t>
      </w:r>
      <w:r w:rsidR="00D23050">
        <w:rPr>
          <w:color w:val="auto"/>
        </w:rPr>
        <w:t>‘confounding’ effect of different shape.</w:t>
      </w:r>
      <w:r w:rsidR="003B40FC">
        <w:rPr>
          <w:color w:val="auto"/>
        </w:rPr>
        <w:t xml:space="preserve"> </w:t>
      </w:r>
      <w:r w:rsidR="00D23050" w:rsidRPr="00D23050">
        <w:rPr>
          <w:color w:val="auto"/>
        </w:rPr>
        <w:t>For the purpose of determining the stability of the fixation, the cross target was suggested</w:t>
      </w:r>
      <w:r w:rsidR="00D23050">
        <w:rPr>
          <w:color w:val="auto"/>
        </w:rPr>
        <w:t xml:space="preserve"> </w:t>
      </w:r>
      <w:r w:rsidR="00D23050">
        <w:rPr>
          <w:color w:val="auto"/>
        </w:rPr>
        <w:fldChar w:fldCharType="begin"/>
      </w:r>
      <w:r w:rsidR="00D23050">
        <w:rPr>
          <w:color w:val="auto"/>
        </w:rPr>
        <w:instrText xml:space="preserve"> ADDIN EN.CITE &lt;EndNote&gt;&lt;Cite&gt;&lt;Author&gt;Thaler&lt;/Author&gt;&lt;Year&gt;2013&lt;/Year&gt;&lt;IDText&gt;What is the best fixation target? The effect of target shape on stability of fixational eye movements&lt;/IDText&gt;&lt;DisplayText&gt;(Thaler et al., 2013)&lt;/DisplayText&gt;&lt;record&gt;&lt;keywords&gt;&lt;keyword&gt;Dispersion&lt;/keyword&gt;&lt;keyword&gt;Drift&lt;/keyword&gt;&lt;keyword&gt;Eye movements&lt;/keyword&gt;&lt;keyword&gt;Eye Movements - physiology&lt;/keyword&gt;&lt;keyword&gt;Fixation, Ocular - physiology&lt;/keyword&gt;&lt;keyword&gt;Form Perception - physiology&lt;/keyword&gt;&lt;keyword&gt;Humans&lt;/keyword&gt;&lt;keyword&gt;Life Sciences &amp;amp; Biomedicine&lt;/keyword&gt;&lt;keyword&gt;Microsaccade&lt;/keyword&gt;&lt;keyword&gt;Neurosciences&lt;/keyword&gt;&lt;keyword&gt;Neurosciences &amp;amp; Neurology&lt;/keyword&gt;&lt;keyword&gt;Ocular fixation&lt;/keyword&gt;&lt;keyword&gt;Ophthalmology&lt;/keyword&gt;&lt;keyword&gt;Photic Stimulation&lt;/keyword&gt;&lt;keyword&gt;Psychology&lt;/keyword&gt;&lt;keyword&gt;Science &amp;amp; Technology&lt;/keyword&gt;&lt;keyword&gt;Slow control&lt;/keyword&gt;&lt;keyword&gt;Social Sciences&lt;/keyword&gt;&lt;/keywords&gt;&lt;isbn&gt;0042-6989&lt;/isbn&gt;&lt;titles&gt;&lt;title&gt;What is the best fixation target? The effect of target shape on stability of fixational eye movements&lt;/title&gt;&lt;secondary-title&gt;Vision Res&lt;/secondary-title&gt;&lt;/titles&gt;&lt;pages&gt;31-42&lt;/pages&gt;&lt;contributors&gt;&lt;authors&gt;&lt;author&gt;Thaler, L.&lt;/author&gt;&lt;author&gt;Schütz, A. C.&lt;/author&gt;&lt;author&gt;Goodale, M. A.&lt;/author&gt;&lt;author&gt;Gegenfurtner, K. R.&lt;/author&gt;&lt;/authors&gt;&lt;/contributors&gt;&lt;added-date format="utc"&gt;1646971814&lt;/added-date&gt;&lt;pub-location&gt;OXFORD&lt;/pub-location&gt;&lt;ref-type name="Journal Article"&gt;17&lt;/ref-type&gt;&lt;dates&gt;&lt;year&gt;2013&lt;/year&gt;&lt;/dates&gt;&lt;rec-number&gt;809&lt;/rec-number&gt;&lt;publisher&gt;OXFORD: Elsevier Ltd&lt;/publisher&gt;&lt;last-updated-date format="utc"&gt;1646971814&lt;/last-updated-date&gt;&lt;electronic-resource-num&gt;10.1016/j.visres.2012.10.012&lt;/electronic-resource-num&gt;&lt;volume&gt;76&lt;/volume&gt;&lt;/record&gt;&lt;/Cite&gt;&lt;/EndNote&gt;</w:instrText>
      </w:r>
      <w:r w:rsidR="00D23050">
        <w:rPr>
          <w:color w:val="auto"/>
        </w:rPr>
        <w:fldChar w:fldCharType="separate"/>
      </w:r>
      <w:r w:rsidR="00D23050">
        <w:rPr>
          <w:noProof/>
          <w:color w:val="auto"/>
        </w:rPr>
        <w:t>(Thaler et al., 2013)</w:t>
      </w:r>
      <w:r w:rsidR="00D23050">
        <w:rPr>
          <w:color w:val="auto"/>
        </w:rPr>
        <w:fldChar w:fldCharType="end"/>
      </w:r>
      <w:r w:rsidR="00D23050">
        <w:rPr>
          <w:color w:val="auto"/>
        </w:rPr>
        <w:t xml:space="preserve">. </w:t>
      </w:r>
    </w:p>
    <w:p w14:paraId="75479F6F" w14:textId="0DB997A7" w:rsidR="004E4A95" w:rsidRDefault="0039657F" w:rsidP="00BF47CE">
      <w:pPr>
        <w:spacing w:after="0"/>
        <w:rPr>
          <w:color w:val="auto"/>
        </w:rPr>
      </w:pPr>
      <w:r>
        <w:rPr>
          <w:color w:val="auto"/>
        </w:rPr>
        <w:t>Furthermore</w:t>
      </w:r>
      <w:r w:rsidR="00F52B26" w:rsidRPr="00F52B26">
        <w:rPr>
          <w:color w:val="auto"/>
        </w:rPr>
        <w:t>, the horizontal SP performance was</w:t>
      </w:r>
      <w:r w:rsidR="00D23050">
        <w:rPr>
          <w:color w:val="auto"/>
        </w:rPr>
        <w:t xml:space="preserve"> also</w:t>
      </w:r>
      <w:r w:rsidR="00F52B26" w:rsidRPr="00F52B26">
        <w:rPr>
          <w:color w:val="auto"/>
        </w:rPr>
        <w:t xml:space="preserve"> unaffected by increasing the </w:t>
      </w:r>
      <w:r w:rsidR="005050D4" w:rsidRPr="00F52B26">
        <w:rPr>
          <w:color w:val="auto"/>
        </w:rPr>
        <w:t>cross-target</w:t>
      </w:r>
      <w:r w:rsidR="00F52B26" w:rsidRPr="00F52B26">
        <w:rPr>
          <w:color w:val="auto"/>
        </w:rPr>
        <w:t xml:space="preserve"> size.</w:t>
      </w:r>
      <w:r w:rsidR="002311E7">
        <w:rPr>
          <w:color w:val="auto"/>
        </w:rPr>
        <w:t xml:space="preserve"> </w:t>
      </w:r>
      <w:r w:rsidR="002311E7" w:rsidRPr="002311E7">
        <w:rPr>
          <w:color w:val="auto"/>
        </w:rPr>
        <w:t>Th</w:t>
      </w:r>
      <w:r w:rsidR="002311E7">
        <w:rPr>
          <w:color w:val="auto"/>
        </w:rPr>
        <w:t>is</w:t>
      </w:r>
      <w:r w:rsidR="002311E7" w:rsidRPr="002311E7">
        <w:rPr>
          <w:color w:val="auto"/>
        </w:rPr>
        <w:t xml:space="preserve"> finding support</w:t>
      </w:r>
      <w:r w:rsidR="00A83C0C">
        <w:rPr>
          <w:color w:val="auto"/>
        </w:rPr>
        <w:t>s</w:t>
      </w:r>
      <w:r w:rsidR="002311E7" w:rsidRPr="002311E7">
        <w:rPr>
          <w:color w:val="auto"/>
        </w:rPr>
        <w:t xml:space="preserve"> earlier </w:t>
      </w:r>
      <w:r w:rsidR="002311E7">
        <w:rPr>
          <w:color w:val="auto"/>
        </w:rPr>
        <w:t>studies</w:t>
      </w:r>
      <w:r w:rsidR="002311E7" w:rsidRPr="002311E7">
        <w:rPr>
          <w:color w:val="auto"/>
        </w:rPr>
        <w:t xml:space="preserve"> that suggests </w:t>
      </w:r>
      <w:r w:rsidR="002311E7">
        <w:rPr>
          <w:color w:val="auto"/>
        </w:rPr>
        <w:t>SP</w:t>
      </w:r>
      <w:r w:rsidR="002311E7" w:rsidRPr="002311E7">
        <w:rPr>
          <w:color w:val="auto"/>
        </w:rPr>
        <w:t xml:space="preserve"> performance is unaffected by stimulus size unless very large stimuli are used</w:t>
      </w:r>
      <w:r w:rsidR="002311E7">
        <w:rPr>
          <w:color w:val="auto"/>
        </w:rPr>
        <w:t xml:space="preserve"> </w:t>
      </w:r>
      <w:r w:rsidR="002311E7">
        <w:rPr>
          <w:color w:val="auto"/>
        </w:rPr>
        <w:fldChar w:fldCharType="begin">
          <w:fldData xml:space="preserve">PEVuZE5vdGU+PENpdGU+PEF1dGhvcj5JcnZpbmc8L0F1dGhvcj48WWVhcj4yMDExPC9ZZWFyPjxJ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</w:fldData>
        </w:fldChar>
      </w:r>
      <w:r w:rsidR="002311E7">
        <w:rPr>
          <w:color w:val="auto"/>
        </w:rPr>
        <w:instrText xml:space="preserve"> ADDIN EN.CITE </w:instrText>
      </w:r>
      <w:r w:rsidR="002311E7">
        <w:rPr>
          <w:color w:val="auto"/>
        </w:rPr>
        <w:fldChar w:fldCharType="begin">
          <w:fldData xml:space="preserve">PEVuZE5vdGU+PENpdGU+PEF1dGhvcj5JcnZpbmc8L0F1dGhvcj48WWVhcj4yMDExPC9ZZWFyPjxJ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</w:fldData>
        </w:fldChar>
      </w:r>
      <w:r w:rsidR="002311E7">
        <w:rPr>
          <w:color w:val="auto"/>
        </w:rPr>
        <w:instrText xml:space="preserve"> ADDIN EN.CITE.DATA </w:instrText>
      </w:r>
      <w:r w:rsidR="002311E7">
        <w:rPr>
          <w:color w:val="auto"/>
        </w:rPr>
      </w:r>
      <w:r w:rsidR="002311E7">
        <w:rPr>
          <w:color w:val="auto"/>
        </w:rPr>
        <w:fldChar w:fldCharType="end"/>
      </w:r>
      <w:r w:rsidR="002311E7">
        <w:rPr>
          <w:color w:val="auto"/>
        </w:rPr>
      </w:r>
      <w:r w:rsidR="002311E7">
        <w:rPr>
          <w:color w:val="auto"/>
        </w:rPr>
        <w:fldChar w:fldCharType="separate"/>
      </w:r>
      <w:r w:rsidR="002311E7">
        <w:rPr>
          <w:noProof/>
          <w:color w:val="auto"/>
        </w:rPr>
        <w:t>(Irving et al., 2011; Vinuela-Navarro et al., 2017)</w:t>
      </w:r>
      <w:r w:rsidR="002311E7">
        <w:rPr>
          <w:color w:val="auto"/>
        </w:rPr>
        <w:fldChar w:fldCharType="end"/>
      </w:r>
      <w:r w:rsidR="002311E7" w:rsidRPr="002311E7">
        <w:rPr>
          <w:color w:val="auto"/>
        </w:rPr>
        <w:t>.</w:t>
      </w:r>
      <w:r>
        <w:rPr>
          <w:color w:val="auto"/>
        </w:rPr>
        <w:t xml:space="preserve"> </w:t>
      </w:r>
      <w:r w:rsidR="004E4A95" w:rsidRPr="004E4A95">
        <w:rPr>
          <w:color w:val="auto"/>
        </w:rPr>
        <w:t xml:space="preserve">Vertical SP duration was the only parameter that differed significantly between smaller and bigger target sizes at frequencies greater than 0.75 Hz, whereas the other vertical SP parameters elicit comparable results between different target sizes. </w:t>
      </w:r>
      <w:r w:rsidR="00292696">
        <w:rPr>
          <w:color w:val="auto"/>
        </w:rPr>
        <w:t>The relationship of vertical SP and ta</w:t>
      </w:r>
      <w:r w:rsidR="00D24D58">
        <w:rPr>
          <w:color w:val="auto"/>
        </w:rPr>
        <w:t>r</w:t>
      </w:r>
      <w:r w:rsidR="00292696">
        <w:rPr>
          <w:color w:val="auto"/>
        </w:rPr>
        <w:t xml:space="preserve">get sizes </w:t>
      </w:r>
      <w:r w:rsidR="00D24D58">
        <w:rPr>
          <w:color w:val="auto"/>
        </w:rPr>
        <w:t xml:space="preserve">has not yet been reported. </w:t>
      </w:r>
      <w:r w:rsidR="00984301" w:rsidRPr="00984301">
        <w:rPr>
          <w:color w:val="auto"/>
        </w:rPr>
        <w:t>Indeed, most SP EMR studies of healthy young adults focused on the initiation phase of</w:t>
      </w:r>
      <w:r w:rsidR="00984301">
        <w:rPr>
          <w:color w:val="auto"/>
        </w:rPr>
        <w:t xml:space="preserve"> horizontal SP</w:t>
      </w:r>
      <w:r w:rsidR="00984301" w:rsidRPr="00984301">
        <w:rPr>
          <w:color w:val="auto"/>
        </w:rPr>
        <w:t xml:space="preserve"> rather than the maintenance phase</w:t>
      </w:r>
      <w:r w:rsidR="00984301">
        <w:rPr>
          <w:color w:val="auto"/>
        </w:rPr>
        <w:t xml:space="preserve"> </w:t>
      </w:r>
      <w:r w:rsidR="00984301">
        <w:rPr>
          <w:color w:val="auto"/>
        </w:rPr>
        <w:fldChar w:fldCharType="begin">
          <w:fldData xml:space="preserve">PEVuZE5vdGU+PENpdGU+PEF1dGhvcj5WaW51ZWxhLU5hdmFycm88L0F1dGhvcj48WWVhcj4yMDE3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</w:fldData>
        </w:fldChar>
      </w:r>
      <w:r w:rsidR="00984301">
        <w:rPr>
          <w:color w:val="auto"/>
        </w:rPr>
        <w:instrText xml:space="preserve"> ADDIN EN.CITE </w:instrText>
      </w:r>
      <w:r w:rsidR="00984301">
        <w:rPr>
          <w:color w:val="auto"/>
        </w:rPr>
        <w:fldChar w:fldCharType="begin">
          <w:fldData xml:space="preserve">PEVuZE5vdGU+PENpdGU+PEF1dGhvcj5WaW51ZWxhLU5hdmFycm88L0F1dGhvcj48WWVhcj4yMDE3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</w:fldData>
        </w:fldChar>
      </w:r>
      <w:r w:rsidR="00984301">
        <w:rPr>
          <w:color w:val="auto"/>
        </w:rPr>
        <w:instrText xml:space="preserve"> ADDIN EN.CITE.DATA </w:instrText>
      </w:r>
      <w:r w:rsidR="00984301">
        <w:rPr>
          <w:color w:val="auto"/>
        </w:rPr>
      </w:r>
      <w:r w:rsidR="00984301">
        <w:rPr>
          <w:color w:val="auto"/>
        </w:rPr>
        <w:fldChar w:fldCharType="end"/>
      </w:r>
      <w:r w:rsidR="00984301">
        <w:rPr>
          <w:color w:val="auto"/>
        </w:rPr>
      </w:r>
      <w:r w:rsidR="00984301">
        <w:rPr>
          <w:color w:val="auto"/>
        </w:rPr>
        <w:fldChar w:fldCharType="separate"/>
      </w:r>
      <w:r w:rsidR="00984301">
        <w:rPr>
          <w:noProof/>
          <w:color w:val="auto"/>
        </w:rPr>
        <w:t>(Morrow &amp; Sharpe, 1993; Vinuela-Navarro et al., 2017)</w:t>
      </w:r>
      <w:r w:rsidR="00984301">
        <w:rPr>
          <w:color w:val="auto"/>
        </w:rPr>
        <w:fldChar w:fldCharType="end"/>
      </w:r>
      <w:r w:rsidR="00D24D58">
        <w:rPr>
          <w:color w:val="auto"/>
        </w:rPr>
        <w:t>. Hence, the SP duration</w:t>
      </w:r>
      <w:r w:rsidR="00984301">
        <w:rPr>
          <w:color w:val="auto"/>
        </w:rPr>
        <w:t xml:space="preserve"> </w:t>
      </w:r>
      <w:r w:rsidR="00D24D58">
        <w:rPr>
          <w:color w:val="auto"/>
        </w:rPr>
        <w:t>has not been reported in any previous literature.</w:t>
      </w:r>
      <w:r w:rsidR="00ED6237">
        <w:rPr>
          <w:color w:val="auto"/>
        </w:rPr>
        <w:t xml:space="preserve"> </w:t>
      </w:r>
      <w:r w:rsidR="00ED6237" w:rsidRPr="00ED6237">
        <w:rPr>
          <w:color w:val="auto"/>
        </w:rPr>
        <w:t xml:space="preserve">The findings </w:t>
      </w:r>
      <w:r w:rsidR="00A83C0C">
        <w:rPr>
          <w:color w:val="auto"/>
        </w:rPr>
        <w:t>suggest</w:t>
      </w:r>
      <w:r w:rsidR="00ED6237" w:rsidRPr="00ED6237">
        <w:rPr>
          <w:color w:val="auto"/>
        </w:rPr>
        <w:t xml:space="preserve"> that larger target sizes induced longer duration, which could be related to the difficulty level of maintaining foveation for vertically moving stimuli being lesser on larger stimuli than smaller stimuli.</w:t>
      </w:r>
    </w:p>
    <w:p w14:paraId="6AAB7ECB" w14:textId="23DBDB89" w:rsidR="00BF47CE" w:rsidRDefault="006823D9" w:rsidP="00BF47CE">
      <w:pPr>
        <w:spacing w:after="0"/>
        <w:rPr>
          <w:color w:val="auto"/>
        </w:rPr>
      </w:pPr>
      <w:r w:rsidRPr="006F216C">
        <w:rPr>
          <w:color w:val="auto"/>
        </w:rPr>
        <w:t xml:space="preserve">The findings suggest that </w:t>
      </w:r>
      <w:r w:rsidR="000D377D">
        <w:rPr>
          <w:color w:val="auto"/>
        </w:rPr>
        <w:t>larger</w:t>
      </w:r>
      <w:r w:rsidRPr="006F216C">
        <w:rPr>
          <w:color w:val="auto"/>
        </w:rPr>
        <w:t xml:space="preserve"> target sizes resulted in </w:t>
      </w:r>
      <w:r w:rsidR="000D377D">
        <w:rPr>
          <w:color w:val="auto"/>
        </w:rPr>
        <w:t>shorter</w:t>
      </w:r>
      <w:r w:rsidRPr="006F216C">
        <w:rPr>
          <w:color w:val="auto"/>
        </w:rPr>
        <w:t xml:space="preserve"> </w:t>
      </w:r>
      <w:r w:rsidR="00324295">
        <w:rPr>
          <w:color w:val="auto"/>
        </w:rPr>
        <w:t xml:space="preserve">horizontal </w:t>
      </w:r>
      <w:r w:rsidRPr="006F216C">
        <w:rPr>
          <w:color w:val="auto"/>
        </w:rPr>
        <w:t>saccadic latency, particularly at target amplitudes of 10° and more</w:t>
      </w:r>
      <w:r w:rsidR="002B6C31">
        <w:rPr>
          <w:color w:val="auto"/>
        </w:rPr>
        <w:t xml:space="preserve">. </w:t>
      </w:r>
      <w:r w:rsidR="00324295">
        <w:rPr>
          <w:color w:val="auto"/>
        </w:rPr>
        <w:t>Interestingly, t</w:t>
      </w:r>
      <w:r w:rsidR="00324295" w:rsidRPr="00324295">
        <w:rPr>
          <w:color w:val="auto"/>
        </w:rPr>
        <w:t>he eccentricity of the target has a greater effect on target latency than the size of the target.</w:t>
      </w:r>
      <w:r w:rsidR="002B6C31">
        <w:rPr>
          <w:color w:val="auto"/>
        </w:rPr>
        <w:t xml:space="preserve"> </w:t>
      </w:r>
      <w:r w:rsidR="002B6C31" w:rsidRPr="002B6C31">
        <w:rPr>
          <w:color w:val="auto"/>
        </w:rPr>
        <w:t xml:space="preserve">The rationale for this was that significant differences in saccade latency with </w:t>
      </w:r>
      <w:r w:rsidR="004D72CB">
        <w:rPr>
          <w:color w:val="auto"/>
        </w:rPr>
        <w:t xml:space="preserve">different </w:t>
      </w:r>
      <w:r w:rsidR="002B6C31" w:rsidRPr="002B6C31">
        <w:rPr>
          <w:color w:val="auto"/>
        </w:rPr>
        <w:t>target size</w:t>
      </w:r>
      <w:r w:rsidR="004D72CB">
        <w:rPr>
          <w:color w:val="auto"/>
        </w:rPr>
        <w:t>s</w:t>
      </w:r>
      <w:r w:rsidR="002B6C31" w:rsidRPr="002B6C31">
        <w:rPr>
          <w:color w:val="auto"/>
        </w:rPr>
        <w:t xml:space="preserve"> were only detected at the larger amplitudes.</w:t>
      </w:r>
      <w:r w:rsidR="002B6C31">
        <w:rPr>
          <w:color w:val="auto"/>
        </w:rPr>
        <w:t xml:space="preserve"> </w:t>
      </w:r>
      <w:r w:rsidR="004D72CB">
        <w:rPr>
          <w:color w:val="auto"/>
        </w:rPr>
        <w:t xml:space="preserve">Therefore, target eccentricity has more impact on the delayed saccades rather than target size </w:t>
      </w:r>
      <w:r w:rsidR="00324295">
        <w:rPr>
          <w:color w:val="auto"/>
        </w:rPr>
        <w:fldChar w:fldCharType="begin"/>
      </w:r>
      <w:r w:rsidR="00324295">
        <w:rPr>
          <w:color w:val="auto"/>
        </w:rPr>
        <w:instrText xml:space="preserve"> ADDIN EN.CITE &lt;EndNote&gt;&lt;Cite&gt;&lt;Author&gt;Mazumdar&lt;/Author&gt;&lt;Year&gt;2019&lt;/Year&gt;&lt;IDText&gt;Effect of age, sex, stimulus intensity, and eccentricity on saccadic reaction time in eye movement perimetry&lt;/IDText&gt;&lt;DisplayText&gt;(Mazumdar et al., 2019)&lt;/DisplayText&gt;&lt;record&gt;&lt;keywords&gt;&lt;keyword&gt;Eye movement perimetry&lt;/keyword&gt;&lt;keyword&gt;Life Sciences &amp;amp; Biomedicine&lt;/keyword&gt;&lt;keyword&gt;Ophthalmology&lt;/keyword&gt;&lt;keyword&gt;Saccades&lt;/keyword&gt;&lt;keyword&gt;Saccadic reaction time&lt;/keyword&gt;&lt;keyword&gt;Science &amp;amp; Technology&lt;/keyword&gt;&lt;keyword&gt;Visual field&lt;/keyword&gt;&lt;/keywords&gt;&lt;isbn&gt;2164-2591&lt;/isbn&gt;&lt;titles&gt;&lt;title&gt;Effect of age, sex, stimulus intensity, and eccentricity on saccadic reaction time in eye movement perimetry&lt;/title&gt;&lt;secondary-title&gt;Transl Vis Sci Technol&lt;/secondary-title&gt;&lt;/titles&gt;&lt;pages&gt;13-13&lt;/pages&gt;&lt;number&gt;4&lt;/number&gt;&lt;contributors&gt;&lt;authors&gt;&lt;author&gt;Mazumdar, Deepmala&lt;/author&gt;&lt;author&gt;Kadavath Meethal, Najiya S.&lt;/author&gt;&lt;author&gt;Panday, Manish&lt;/author&gt;&lt;author&gt;Asokan, Rashima&lt;/author&gt;&lt;author&gt;Thepass, Gijs&lt;/author&gt;&lt;author&gt;George, Ronnie J.&lt;/author&gt;&lt;author&gt;van der Steen, Johannes&lt;/author&gt;&lt;author&gt;Pel, Johan J. M.&lt;/author&gt;&lt;/authors&gt;&lt;/contributors&gt;&lt;added-date format="utc"&gt;1646986383&lt;/added-date&gt;&lt;pub-location&gt;ROCKVILLE&lt;/pub-location&gt;&lt;ref-type name="Journal Article"&gt;17&lt;/ref-type&gt;&lt;dates&gt;&lt;year&gt;2019&lt;/year&gt;&lt;/dates&gt;&lt;rec-number&gt;815&lt;/rec-number&gt;&lt;publisher&gt;ROCKVILLE: ASSOC RESEARCH VISION OPHTHALMOLOGY INC&lt;/publisher&gt;&lt;last-updated-date format="utc"&gt;1646986383&lt;/last-updated-date&gt;&lt;electronic-resource-num&gt;10.1167/tvst.8.4.13&lt;/electronic-resource-num&gt;&lt;volume&gt;8&lt;/volume&gt;&lt;/record&gt;&lt;/Cite&gt;&lt;/EndNote&gt;</w:instrText>
      </w:r>
      <w:r w:rsidR="00324295">
        <w:rPr>
          <w:color w:val="auto"/>
        </w:rPr>
        <w:fldChar w:fldCharType="separate"/>
      </w:r>
      <w:r w:rsidR="00324295">
        <w:rPr>
          <w:noProof/>
          <w:color w:val="auto"/>
        </w:rPr>
        <w:t>(Mazumdar et al., 2019)</w:t>
      </w:r>
      <w:r w:rsidR="00324295">
        <w:rPr>
          <w:color w:val="auto"/>
        </w:rPr>
        <w:fldChar w:fldCharType="end"/>
      </w:r>
      <w:r w:rsidR="00324295">
        <w:rPr>
          <w:color w:val="auto"/>
        </w:rPr>
        <w:t>.</w:t>
      </w:r>
      <w:r w:rsidR="004D72CB">
        <w:rPr>
          <w:color w:val="auto"/>
        </w:rPr>
        <w:t xml:space="preserve"> </w:t>
      </w:r>
      <w:r w:rsidR="00324295">
        <w:rPr>
          <w:color w:val="auto"/>
        </w:rPr>
        <w:t>In addition</w:t>
      </w:r>
      <w:r w:rsidR="00324295" w:rsidRPr="00324295">
        <w:rPr>
          <w:color w:val="auto"/>
        </w:rPr>
        <w:t xml:space="preserve">, there was an asymmetry in the </w:t>
      </w:r>
      <w:r w:rsidR="00324295" w:rsidRPr="00324295">
        <w:rPr>
          <w:color w:val="auto"/>
        </w:rPr>
        <w:lastRenderedPageBreak/>
        <w:t>vertical saccadic response between up and down saccades.</w:t>
      </w:r>
      <w:r w:rsidR="00324295">
        <w:rPr>
          <w:color w:val="auto"/>
        </w:rPr>
        <w:t xml:space="preserve"> The upward saccade latency was shorter than downward latency as established in </w:t>
      </w:r>
      <w:r w:rsidR="00A83C0C">
        <w:rPr>
          <w:color w:val="auto"/>
        </w:rPr>
        <w:t>a</w:t>
      </w:r>
      <w:r w:rsidR="00324295">
        <w:rPr>
          <w:color w:val="auto"/>
        </w:rPr>
        <w:t xml:space="preserve"> previous study </w:t>
      </w:r>
      <w:r w:rsidR="00324295">
        <w:rPr>
          <w:color w:val="auto"/>
        </w:rPr>
        <w:fldChar w:fldCharType="begin"/>
      </w:r>
      <w:r w:rsidR="00324295">
        <w:rPr>
          <w:color w:val="auto"/>
        </w:rPr>
        <w:instrText xml:space="preserve"> ADDIN EN.CITE &lt;EndNote&gt;&lt;Cite&gt;&lt;Author&gt;Tzelepi&lt;/Author&gt;&lt;Year&gt;2009&lt;/Year&gt;&lt;IDText&gt;Cortical activity preceding vertical saccades: A MEG study&lt;/IDText&gt;&lt;DisplayText&gt;(Tzelepi et al., 2009)&lt;/DisplayText&gt;&lt;record&gt;&lt;keywords&gt;&lt;keyword&gt;Neurology&lt;/keyword&gt;&lt;keyword&gt;Vertical asymmetry&lt;/keyword&gt;&lt;keyword&gt;Exploratory data analysis&lt;/keyword&gt;&lt;keyword&gt;Spatial attention&lt;/keyword&gt;&lt;keyword&gt;Motor preparation&lt;/keyword&gt;&lt;keyword&gt;ANTISACCADES&lt;/keyword&gt;&lt;keyword&gt;LEFT PARIETAL&lt;/keyword&gt;&lt;keyword&gt;VISUAL-EVOKED-RESPONSES&lt;/keyword&gt;&lt;keyword&gt;POTENTIALS&lt;/keyword&gt;&lt;keyword&gt;NEUROSCIENCES&lt;/keyword&gt;&lt;keyword&gt;PERFORMANCE FIELDS&lt;/keyword&gt;&lt;keyword&gt;MOTOR ATTENTION&lt;/keyword&gt;&lt;keyword&gt;FRONTAL EYE FIELD&lt;/keyword&gt;&lt;keyword&gt;REACTION-TIMES&lt;/keyword&gt;&lt;keyword&gt;MERIDIAN ASYMMETRY&lt;/keyword&gt;&lt;keyword&gt;Young Adult&lt;/keyword&gt;&lt;keyword&gt;Magnetoencephalography&lt;/keyword&gt;&lt;keyword&gt;Humans&lt;/keyword&gt;&lt;keyword&gt;Brain Mapping&lt;/keyword&gt;&lt;keyword&gt;Signal Processing, Computer-Assisted&lt;/keyword&gt;&lt;keyword&gt;Adult&lt;/keyword&gt;&lt;keyword&gt;Female&lt;/keyword&gt;&lt;keyword&gt;Male&lt;/keyword&gt;&lt;keyword&gt;Saccades - physiology&lt;/keyword&gt;&lt;keyword&gt;Visual Cortex - physiology&lt;/keyword&gt;&lt;/keywords&gt;&lt;isbn&gt;0006-8993&lt;/isbn&gt;&lt;titles&gt;&lt;title&gt;Cortical activity preceding vertical saccades: A MEG study&lt;/title&gt;&lt;secondary-title&gt;Brain Res&lt;/secondary-title&gt;&lt;/titles&gt;&lt;pages&gt;105-116&lt;/pages&gt;&lt;contributors&gt;&lt;authors&gt;&lt;author&gt;Tzelepi, Areti&lt;/author&gt;&lt;author&gt;Laskaris, Nikos&lt;/author&gt;&lt;author&gt;Amditis, Aggelos&lt;/author&gt;&lt;author&gt;Kapoula, Zoi&lt;/author&gt;&lt;/authors&gt;&lt;/contributors&gt;&lt;added-date format="utc"&gt;1601970651&lt;/added-date&gt;&lt;pub-location&gt;AMSTERDAM&lt;/pub-location&gt;&lt;ref-type name="Journal Article"&gt;17&lt;/ref-type&gt;&lt;dates&gt;&lt;year&gt;2009&lt;/year&gt;&lt;/dates&gt;&lt;rec-number&gt;709&lt;/rec-number&gt;&lt;publisher&gt;AMSTERDAM: Elsevier B.V&lt;/publisher&gt;&lt;last-updated-date format="utc"&gt;1601970651&lt;/last-updated-date&gt;&lt;electronic-resource-num&gt;10.1016/j.brainres.2010.01.002&lt;/electronic-resource-num&gt;&lt;volume&gt;1321&lt;/volume&gt;&lt;/record&gt;&lt;/Cite&gt;&lt;/EndNote&gt;</w:instrText>
      </w:r>
      <w:r w:rsidR="00324295">
        <w:rPr>
          <w:color w:val="auto"/>
        </w:rPr>
        <w:fldChar w:fldCharType="separate"/>
      </w:r>
      <w:r w:rsidR="00324295">
        <w:rPr>
          <w:noProof/>
          <w:color w:val="auto"/>
        </w:rPr>
        <w:t>(Tzelepi et al., 2009)</w:t>
      </w:r>
      <w:r w:rsidR="00324295">
        <w:rPr>
          <w:color w:val="auto"/>
        </w:rPr>
        <w:fldChar w:fldCharType="end"/>
      </w:r>
      <w:r w:rsidR="00324295">
        <w:rPr>
          <w:color w:val="auto"/>
        </w:rPr>
        <w:t xml:space="preserve">. The upward peak velocity was faster with the smallest target </w:t>
      </w:r>
      <w:r w:rsidR="001A21BF">
        <w:rPr>
          <w:color w:val="auto"/>
        </w:rPr>
        <w:t xml:space="preserve">size. </w:t>
      </w:r>
      <w:r w:rsidR="006E60BE">
        <w:rPr>
          <w:color w:val="auto"/>
        </w:rPr>
        <w:t>N</w:t>
      </w:r>
      <w:r w:rsidR="001A21BF">
        <w:rPr>
          <w:color w:val="auto"/>
        </w:rPr>
        <w:t>o study evaluat</w:t>
      </w:r>
      <w:r w:rsidR="006E60BE">
        <w:rPr>
          <w:color w:val="auto"/>
        </w:rPr>
        <w:t>ed</w:t>
      </w:r>
      <w:r w:rsidR="001A21BF">
        <w:rPr>
          <w:color w:val="auto"/>
        </w:rPr>
        <w:t xml:space="preserve"> the effect of altering target size on the vertical saccadic eye movements parameters. </w:t>
      </w:r>
    </w:p>
    <w:p w14:paraId="45846201" w14:textId="67E5E631" w:rsidR="00324295" w:rsidRPr="009D4627" w:rsidRDefault="00324295" w:rsidP="00324295">
      <w:pPr>
        <w:spacing w:after="0"/>
        <w:sectPr w:rsidR="00324295" w:rsidRPr="009D4627" w:rsidSect="00477959">
          <w:pgSz w:w="11906" w:h="16838" w:code="9"/>
          <w:pgMar w:top="1440" w:right="1440" w:bottom="1440" w:left="1440" w:header="708" w:footer="708" w:gutter="0"/>
          <w:cols w:space="708"/>
          <w:docGrid w:linePitch="360"/>
        </w:sectPr>
      </w:pPr>
      <w:r>
        <w:rPr>
          <w:color w:val="auto"/>
        </w:rPr>
        <w:t>In summary, t</w:t>
      </w:r>
      <w:r w:rsidRPr="00CC63DF">
        <w:rPr>
          <w:color w:val="auto"/>
        </w:rPr>
        <w:t xml:space="preserve">he findings suggest </w:t>
      </w:r>
      <w:r>
        <w:rPr>
          <w:color w:val="auto"/>
        </w:rPr>
        <w:t xml:space="preserve">percentage DT, SP horizontal and vertical performance </w:t>
      </w:r>
      <w:r w:rsidRPr="00CC63DF">
        <w:rPr>
          <w:color w:val="auto"/>
        </w:rPr>
        <w:t>was unaffected by target size.</w:t>
      </w:r>
      <w:r>
        <w:rPr>
          <w:color w:val="auto"/>
        </w:rPr>
        <w:t xml:space="preserve"> </w:t>
      </w:r>
      <w:r w:rsidR="001A21BF">
        <w:rPr>
          <w:color w:val="auto"/>
        </w:rPr>
        <w:t>Only the upward vertical</w:t>
      </w:r>
      <w:r>
        <w:rPr>
          <w:color w:val="auto"/>
        </w:rPr>
        <w:t xml:space="preserve"> saccadic </w:t>
      </w:r>
      <w:r w:rsidR="001A21BF">
        <w:rPr>
          <w:color w:val="auto"/>
        </w:rPr>
        <w:t xml:space="preserve">peak velocity </w:t>
      </w:r>
      <w:r>
        <w:rPr>
          <w:color w:val="auto"/>
        </w:rPr>
        <w:t xml:space="preserve">was significantly affected </w:t>
      </w:r>
      <w:r w:rsidR="001A21BF">
        <w:rPr>
          <w:color w:val="auto"/>
        </w:rPr>
        <w:t>with significant reduction of peak velocity when tested with the smallest target size.</w:t>
      </w:r>
      <w:r>
        <w:rPr>
          <w:color w:val="auto"/>
        </w:rPr>
        <w:t xml:space="preserve">  </w:t>
      </w:r>
      <w:r w:rsidR="001A21BF">
        <w:rPr>
          <w:color w:val="auto"/>
        </w:rPr>
        <w:t xml:space="preserve"> </w:t>
      </w:r>
      <w:r w:rsidR="00A83C0C">
        <w:rPr>
          <w:color w:val="auto"/>
        </w:rPr>
        <w:t>I</w:t>
      </w:r>
      <w:r w:rsidR="005B1A0D" w:rsidRPr="005B1A0D">
        <w:rPr>
          <w:color w:val="auto"/>
        </w:rPr>
        <w:t xml:space="preserve">n this experiment, the primary objective was to </w:t>
      </w:r>
      <w:r w:rsidR="00A83C0C">
        <w:rPr>
          <w:color w:val="auto"/>
        </w:rPr>
        <w:t>assess</w:t>
      </w:r>
      <w:r w:rsidR="005B1A0D" w:rsidRPr="005B1A0D">
        <w:rPr>
          <w:color w:val="auto"/>
        </w:rPr>
        <w:t xml:space="preserve"> if changing the size of the target affected the EMR response. This is because, as explained in Chapter 5, the EMR was done with a range of target sizes based on the patient's ability to see the cross target.</w:t>
      </w:r>
      <w:r w:rsidR="00A83C0C">
        <w:rPr>
          <w:color w:val="auto"/>
        </w:rPr>
        <w:t xml:space="preserve"> The results </w:t>
      </w:r>
      <w:r w:rsidR="00A83C0C" w:rsidRPr="005B1A0D">
        <w:rPr>
          <w:color w:val="auto"/>
        </w:rPr>
        <w:t>found that changing the size of the target had little effect on eye movement performance, such as fixation, SP, and saccades</w:t>
      </w:r>
      <w:r w:rsidR="00A83C0C">
        <w:rPr>
          <w:color w:val="auto"/>
        </w:rPr>
        <w:t xml:space="preserve"> and therefore, would enable the use of different size targets in the following experiments</w:t>
      </w:r>
      <w:r w:rsidR="00A83C0C" w:rsidRPr="005B1A0D">
        <w:rPr>
          <w:color w:val="auto"/>
        </w:rPr>
        <w:t>.</w:t>
      </w:r>
    </w:p>
    <w:p w14:paraId="6B636CCF" w14:textId="7DA5FC2B" w:rsidR="00BF47CE" w:rsidRPr="009D4627" w:rsidRDefault="00BF47CE" w:rsidP="00D04E3B">
      <w:pPr>
        <w:pStyle w:val="Heading2"/>
      </w:pPr>
      <w:bookmarkStart w:id="429" w:name="_Toc57300488"/>
      <w:bookmarkStart w:id="430" w:name="_Toc57300380"/>
      <w:bookmarkStart w:id="431" w:name="_Toc55662857"/>
      <w:bookmarkStart w:id="432" w:name="_Toc98964689"/>
      <w:bookmarkStart w:id="433" w:name="_Toc103344733"/>
      <w:r w:rsidRPr="009D4627">
        <w:lastRenderedPageBreak/>
        <w:t xml:space="preserve">Experiment 3: </w:t>
      </w:r>
      <w:r w:rsidR="002531A5">
        <w:t>B</w:t>
      </w:r>
      <w:r w:rsidRPr="009D4627">
        <w:t xml:space="preserve">inocular versus monocular </w:t>
      </w:r>
      <w:r w:rsidR="004258CF" w:rsidRPr="009D4627">
        <w:t>EMR</w:t>
      </w:r>
      <w:r w:rsidRPr="009D4627">
        <w:t xml:space="preserve"> eye movement characteristics</w:t>
      </w:r>
      <w:bookmarkEnd w:id="429"/>
      <w:bookmarkEnd w:id="430"/>
      <w:bookmarkEnd w:id="431"/>
      <w:bookmarkEnd w:id="432"/>
      <w:bookmarkEnd w:id="433"/>
    </w:p>
    <w:p w14:paraId="4C033C6D" w14:textId="7353F24E" w:rsidR="00BF47CE" w:rsidRPr="009D4627" w:rsidRDefault="00BF47CE" w:rsidP="00DC4CA6">
      <w:pPr>
        <w:pStyle w:val="Heading3"/>
      </w:pPr>
      <w:bookmarkStart w:id="434" w:name="_Toc57300489"/>
      <w:bookmarkStart w:id="435" w:name="_Toc57300381"/>
      <w:bookmarkStart w:id="436" w:name="_Toc55662858"/>
      <w:bookmarkStart w:id="437" w:name="_Toc98964690"/>
      <w:bookmarkStart w:id="438" w:name="_Toc103344734"/>
      <w:r w:rsidRPr="009D4627">
        <w:t>Introduction</w:t>
      </w:r>
      <w:bookmarkEnd w:id="434"/>
      <w:bookmarkEnd w:id="435"/>
      <w:bookmarkEnd w:id="436"/>
      <w:bookmarkEnd w:id="437"/>
      <w:bookmarkEnd w:id="438"/>
    </w:p>
    <w:p w14:paraId="33320734" w14:textId="7D61C7FE" w:rsidR="00BF47CE" w:rsidRPr="009D4627" w:rsidRDefault="00BF47CE" w:rsidP="00BF47CE">
      <w:pPr>
        <w:spacing w:after="0"/>
        <w:rPr>
          <w:color w:val="auto"/>
        </w:rPr>
      </w:pPr>
      <w:r w:rsidRPr="009D4627">
        <w:rPr>
          <w:color w:val="auto"/>
        </w:rPr>
        <w:t xml:space="preserve">Experiment 3 was carried out to discover the effect of recording eye movements with both eyes open (binocular) </w:t>
      </w:r>
      <w:r w:rsidR="00A61F03">
        <w:rPr>
          <w:color w:val="auto"/>
        </w:rPr>
        <w:t>against</w:t>
      </w:r>
      <w:r w:rsidRPr="009D4627">
        <w:rPr>
          <w:color w:val="auto"/>
        </w:rPr>
        <w:t xml:space="preserve"> one eye fixating and the other eye occluded</w:t>
      </w:r>
      <w:r w:rsidR="002F3895" w:rsidRPr="009D4627">
        <w:rPr>
          <w:color w:val="auto"/>
        </w:rPr>
        <w:t xml:space="preserve"> </w:t>
      </w:r>
      <w:r w:rsidRPr="009D4627">
        <w:rPr>
          <w:color w:val="auto"/>
        </w:rPr>
        <w:t>(monocular). The experiment was conducted due to the limitation that binocular recording was not possible for the patient</w:t>
      </w:r>
      <w:r w:rsidR="002E63E9" w:rsidRPr="009D4627">
        <w:rPr>
          <w:color w:val="auto"/>
        </w:rPr>
        <w:t>s</w:t>
      </w:r>
      <w:r w:rsidRPr="009D4627">
        <w:rPr>
          <w:color w:val="auto"/>
        </w:rPr>
        <w:t xml:space="preserve"> as they would have ocular misalignment of one eye associated with the acquired ocular nerve palsies. </w:t>
      </w:r>
      <w:r w:rsidR="002E63E9" w:rsidRPr="009D4627">
        <w:rPr>
          <w:color w:val="auto"/>
        </w:rPr>
        <w:t>Therefore, it is crucial to determine whether the binocular and monocular EMR results are similar or cause changes in the detailed eye movement parameters</w:t>
      </w:r>
      <w:r w:rsidRPr="009D4627">
        <w:rPr>
          <w:color w:val="auto"/>
        </w:rPr>
        <w:t>.</w:t>
      </w:r>
    </w:p>
    <w:p w14:paraId="587398A5" w14:textId="0DD446C2" w:rsidR="00BF47CE" w:rsidRPr="009D4627" w:rsidRDefault="00BF47CE" w:rsidP="00BF47CE">
      <w:pPr>
        <w:spacing w:after="0"/>
        <w:rPr>
          <w:color w:val="auto"/>
        </w:rPr>
      </w:pPr>
      <w:r w:rsidRPr="009D4627">
        <w:rPr>
          <w:color w:val="auto"/>
        </w:rPr>
        <w:t xml:space="preserve">Within eye recording studies, eye movements can be examined either binocularly or monocularly, depending on the study's method and purpose </w:t>
      </w:r>
      <w:r w:rsidRPr="009D4627">
        <w:rPr>
          <w:color w:val="auto"/>
        </w:rPr>
        <w:fldChar w:fldCharType="begin"/>
      </w:r>
      <w:r w:rsidR="00C40138" w:rsidRPr="009D4627">
        <w:rPr>
          <w:color w:val="auto"/>
        </w:rPr>
        <w:instrText xml:space="preserve"> ADDIN EN.CITE &lt;EndNote&gt;&lt;Cite&gt;&lt;Author&gt;Hooge&lt;/Author&gt;&lt;Year&gt;2019&lt;/Year&gt;&lt;IDText&gt;Gaze tracking accuracy in humans : One eye is sometimes better than two&lt;/IDText&gt;&lt;DisplayText&gt;(Hooge et al., 2019)&lt;/DisplayText&gt;&lt;record&gt;&lt;keywords&gt;&lt;keyword&gt;Monocular&lt;/keyword&gt;&lt;keyword&gt;Accuracy&lt;/keyword&gt;&lt;keyword&gt;Binocular&lt;/keyword&gt;&lt;keyword&gt;Data quality&lt;/keyword&gt;&lt;keyword&gt;Precision&lt;/keyword&gt;&lt;keyword&gt;Eye tracking&lt;/keyword&gt;&lt;keyword&gt;Psychology&lt;/keyword&gt;&lt;keyword&gt;Cognitive Psychology&lt;/keyword&gt;&lt;keyword&gt;MOVEMENTS&lt;/keyword&gt;&lt;keyword&gt;PERFORMANCE&lt;/keyword&gt;&lt;keyword&gt;CONVERGENCE&lt;/keyword&gt;&lt;keyword&gt;PSYCHOLOGY, MATHEMATICAL&lt;/keyword&gt;&lt;keyword&gt;BINOCULAR COORDINATION&lt;/keyword&gt;&lt;keyword&gt;PSYCHOLOGY, EXPERIMENTAL&lt;/keyword&gt;&lt;keyword&gt;Young Adult&lt;/keyword&gt;&lt;keyword&gt;Eye Movements - physiology&lt;/keyword&gt;&lt;keyword&gt;Scientific Experimental Error - statistics &amp;amp; numerical data&lt;/keyword&gt;&lt;keyword&gt;Data Accuracy&lt;/keyword&gt;&lt;keyword&gt;Humans&lt;/keyword&gt;&lt;keyword&gt;Middle Aged&lt;/keyword&gt;&lt;keyword&gt;Adult&lt;/keyword&gt;&lt;keyword&gt;Female&lt;/keyword&gt;&lt;keyword&gt;Male&lt;/keyword&gt;&lt;keyword&gt;Aged&lt;/keyword&gt;&lt;keyword&gt;Calibration&lt;/keyword&gt;&lt;/keywords&gt;&lt;isbn&gt;1554-3528&amp;#xD;1554-351X&lt;/isbn&gt;&lt;titles&gt;&lt;title&gt;Gaze tracking accuracy in humans : One eye is sometimes better than two&lt;/title&gt;&lt;secondary-title&gt;Behav Res Methods&lt;/secondary-title&gt;&lt;/titles&gt;&lt;pages&gt;2712-2721&lt;/pages&gt;&lt;number&gt;6&lt;/number&gt;&lt;contributors&gt;&lt;authors&gt;&lt;author&gt;Hooge, Ignace T. C.&lt;/author&gt;&lt;author&gt;Holleman, Gijs A.&lt;/author&gt;&lt;author&gt;Haukes, Nina C.&lt;/author&gt;&lt;author&gt;Hessels, Roy S.&lt;/author&gt;&lt;/authors&gt;&lt;/contributors&gt;&lt;added-date format="utc"&gt;1599702431&lt;/added-date&gt;&lt;pub-location&gt;New York&lt;/pub-location&gt;&lt;ref-type name="Journal Article"&gt;17&lt;/ref-type&gt;&lt;dates&gt;&lt;year&gt;2019&lt;/year&gt;&lt;/dates&gt;&lt;rec-number&gt;707&lt;/rec-number&gt;&lt;publisher&gt;New York: Springer US&lt;/publisher&gt;&lt;last-updated-date format="utc"&gt;1599702431&lt;/last-updated-date&gt;&lt;electronic-resource-num&gt;10.3758/s13428-018-1135-3&lt;/electronic-resource-num&gt;&lt;volume&gt;51&lt;/volume&gt;&lt;/record&gt;&lt;/Cite&gt;&lt;/EndNote&gt;</w:instrText>
      </w:r>
      <w:r w:rsidRPr="009D4627">
        <w:rPr>
          <w:color w:val="auto"/>
        </w:rPr>
        <w:fldChar w:fldCharType="separate"/>
      </w:r>
      <w:r w:rsidR="00C40138" w:rsidRPr="009D4627">
        <w:rPr>
          <w:noProof/>
          <w:color w:val="auto"/>
        </w:rPr>
        <w:t>(Hooge et al., 2019)</w:t>
      </w:r>
      <w:r w:rsidRPr="009D4627">
        <w:rPr>
          <w:color w:val="auto"/>
        </w:rPr>
        <w:fldChar w:fldCharType="end"/>
      </w:r>
      <w:r w:rsidRPr="009D4627">
        <w:rPr>
          <w:color w:val="auto"/>
        </w:rPr>
        <w:t xml:space="preserve">. </w:t>
      </w:r>
      <w:r w:rsidR="00E96C9C" w:rsidRPr="009D4627">
        <w:rPr>
          <w:color w:val="auto"/>
        </w:rPr>
        <w:t>For example, i</w:t>
      </w:r>
      <w:r w:rsidRPr="009D4627">
        <w:rPr>
          <w:color w:val="auto"/>
        </w:rPr>
        <w:t>f the study was conducted using invasive methods likes scleral search coil, monocular eye recording technique is preferable to reduce the irritation</w:t>
      </w:r>
      <w:r w:rsidR="00E96C9C" w:rsidRPr="009D4627">
        <w:rPr>
          <w:color w:val="auto"/>
        </w:rPr>
        <w:t>,</w:t>
      </w:r>
      <w:r w:rsidRPr="009D4627">
        <w:rPr>
          <w:color w:val="auto"/>
        </w:rPr>
        <w:t xml:space="preserve"> which might cause further eye complication </w:t>
      </w:r>
      <w:r w:rsidRPr="009D4627">
        <w:rPr>
          <w:color w:val="auto"/>
        </w:rPr>
        <w:fldChar w:fldCharType="begin"/>
      </w:r>
      <w:r w:rsidR="00C40138" w:rsidRPr="009D4627">
        <w:rPr>
          <w:color w:val="auto"/>
        </w:rPr>
        <w:instrText xml:space="preserve"> ADDIN EN.CITE &lt;EndNote&gt;&lt;Cite&gt;&lt;Author&gt;Irving&lt;/Author&gt;&lt;Year&gt;2003&lt;/Year&gt;&lt;IDText&gt;Effects of scleral search coil wear on visual function&lt;/IDText&gt;&lt;DisplayText&gt;(Irving et al., 2003)&lt;/DisplayText&gt;&lt;record&gt;&lt;dates&gt;&lt;pub-dates&gt;&lt;date&gt;May&lt;/date&gt;&lt;/pub-dates&gt;&lt;year&gt;2003&lt;/year&gt;&lt;/dates&gt;&lt;urls&gt;&lt;related-urls&gt;&lt;url&gt;&amp;lt;Go to ISI&amp;gt;://WOS:000182503700021&lt;/url&gt;&lt;/related-urls&gt;&lt;/urls&gt;&lt;isbn&gt;0146-0404&lt;/isbn&gt;&lt;titles&gt;&lt;title&gt;Effects of scleral search coil wear on visual function&lt;/title&gt;&lt;secondary-title&gt;Investigative Ophthalmology &amp;amp; Visual Science&lt;/secondary-title&gt;&lt;/titles&gt;&lt;pages&gt;1933-1938&lt;/pages&gt;&lt;number&gt;5&lt;/number&gt;&lt;contributors&gt;&lt;authors&gt;&lt;author&gt;Irving, E. L.&lt;/author&gt;&lt;author&gt;Zacher, J. E.&lt;/author&gt;&lt;author&gt;Allison, R. S.&lt;/author&gt;&lt;author&gt;Callender, M. G.&lt;/author&gt;&lt;/authors&gt;&lt;/contributors&gt;&lt;added-date format="utc"&gt;1499415651&lt;/added-date&gt;&lt;ref-type name="Journal Article"&gt;17&lt;/ref-type&gt;&lt;rec-number&gt;146&lt;/rec-number&gt;&lt;last-updated-date format="utc"&gt;1499415651&lt;/last-updated-date&gt;&lt;accession-num&gt;WOS:000182503700021&lt;/accession-num&gt;&lt;electronic-resource-num&gt;10.1167/iovs.01-0926&lt;/electronic-resource-num&gt;&lt;volume&gt;44&lt;/volume&gt;&lt;/record&gt;&lt;/Cite&gt;&lt;/EndNote&gt;</w:instrText>
      </w:r>
      <w:r w:rsidRPr="009D4627">
        <w:rPr>
          <w:color w:val="auto"/>
        </w:rPr>
        <w:fldChar w:fldCharType="separate"/>
      </w:r>
      <w:r w:rsidR="00C40138" w:rsidRPr="009D4627">
        <w:rPr>
          <w:noProof/>
          <w:color w:val="auto"/>
        </w:rPr>
        <w:t>(Irving et al., 2003)</w:t>
      </w:r>
      <w:r w:rsidRPr="009D4627">
        <w:rPr>
          <w:color w:val="auto"/>
        </w:rPr>
        <w:fldChar w:fldCharType="end"/>
      </w:r>
      <w:r w:rsidRPr="009D4627">
        <w:rPr>
          <w:color w:val="auto"/>
        </w:rPr>
        <w:t xml:space="preserve"> unless the study aims to observe the binocular function</w:t>
      </w:r>
      <w:r w:rsidR="004000DD" w:rsidRPr="009D4627">
        <w:rPr>
          <w:color w:val="auto"/>
        </w:rPr>
        <w:t>. Therefore, b</w:t>
      </w:r>
      <w:r w:rsidRPr="009D4627">
        <w:rPr>
          <w:color w:val="auto"/>
        </w:rPr>
        <w:t xml:space="preserve">inocular </w:t>
      </w:r>
      <w:r w:rsidR="004000DD" w:rsidRPr="009D4627">
        <w:rPr>
          <w:color w:val="auto"/>
        </w:rPr>
        <w:t xml:space="preserve">eye </w:t>
      </w:r>
      <w:r w:rsidRPr="009D4627">
        <w:rPr>
          <w:color w:val="auto"/>
        </w:rPr>
        <w:t xml:space="preserve">recordings should be applied </w:t>
      </w:r>
      <w:r w:rsidRPr="009D4627">
        <w:rPr>
          <w:color w:val="auto"/>
        </w:rPr>
        <w:fldChar w:fldCharType="begin"/>
      </w:r>
      <w:r w:rsidR="00376CCD" w:rsidRPr="009D4627">
        <w:rPr>
          <w:color w:val="auto"/>
        </w:rPr>
        <w:instrText xml:space="preserve"> ADDIN EN.CITE &lt;EndNote&gt;&lt;Cite&gt;&lt;Author&gt;Ignace Th&lt;/Author&gt;&lt;Year&gt;2000&lt;/Year&gt;&lt;IDText&gt;Visually Evoked Cyclovergence and Extended Listing&amp;apos;s Law&lt;/IDText&gt;&lt;DisplayText&gt;(Ignace Th &amp;amp; Berg, 2000)&lt;/DisplayText&gt;&lt;record&gt;&lt;keywords&gt;&lt;keyword&gt;ROTATION&lt;/keyword&gt;&lt;keyword&gt;POSITION&lt;/keyword&gt;&lt;keyword&gt;PHYSIOLOGY&lt;/keyword&gt;&lt;keyword&gt;SACCADES&lt;/keyword&gt;&lt;keyword&gt;ORIENTATION&lt;/keyword&gt;&lt;keyword&gt;VERGENCE&lt;/keyword&gt;&lt;keyword&gt;PLANE&lt;/keyword&gt;&lt;keyword&gt;TORSION&lt;/keyword&gt;&lt;keyword&gt;NEUROSCIENCES&lt;/keyword&gt;&lt;keyword&gt;EYE-MOVEMENTS&lt;/keyword&gt;&lt;keyword&gt;CYCLOVERSION&lt;/keyword&gt;&lt;keyword&gt;Convergence, Ocular - physiology&lt;/keyword&gt;&lt;keyword&gt;Electrooculography - instrumentation&lt;/keyword&gt;&lt;keyword&gt;Humans&lt;/keyword&gt;&lt;keyword&gt;Pursuit, Smooth - physiology&lt;/keyword&gt;&lt;keyword&gt;Depth Perception - physiology&lt;/keyword&gt;&lt;keyword&gt;Fixation, Ocular - physiology&lt;/keyword&gt;&lt;keyword&gt;Signal Processing, Computer-Assisted&lt;/keyword&gt;&lt;keyword&gt;Adult&lt;/keyword&gt;&lt;keyword&gt;Electrooculography - methods&lt;/keyword&gt;&lt;keyword&gt;Male&lt;/keyword&gt;&lt;keyword&gt;Calibration&lt;/keyword&gt;&lt;keyword&gt;Optics and Photonics&lt;/keyword&gt;&lt;/keywords&gt;&lt;isbn&gt;0022-3077&lt;/isbn&gt;&lt;titles&gt;&lt;title&gt;Visually Evoked Cyclovergence and Extended Listing&amp;apos;s Law&lt;/title&gt;&lt;secondary-title&gt;J Neurophysiol&lt;/secondary-title&gt;&lt;/titles&gt;&lt;pages&gt;2757-2775&lt;/pages&gt;&lt;number&gt;5&lt;/number&gt;&lt;contributors&gt;&lt;authors&gt;&lt;author&gt;Ignace Th, C. Hooge&lt;/author&gt;&lt;author&gt;A. V. van den Berg&lt;/author&gt;&lt;/authors&gt;&lt;/contributors&gt;&lt;added-date format="utc"&gt;1600053157&lt;/added-date&gt;&lt;pub-location&gt;BETHESDA&lt;/pub-location&gt;&lt;ref-type name="Journal Article"&gt;17&lt;/ref-type&gt;&lt;dates&gt;&lt;year&gt;2000&lt;/year&gt;&lt;/dates&gt;&lt;rec-number&gt;708&lt;/rec-number&gt;&lt;publisher&gt;BETHESDA: American Physiological Society&lt;/publisher&gt;&lt;last-updated-date format="utc"&gt;1600053157&lt;/last-updated-date&gt;&lt;electronic-resource-num&gt;10.1152/jn.2000.83.5.2757&lt;/electronic-resource-num&gt;&lt;volume&gt;83&lt;/volume&gt;&lt;/record&gt;&lt;/Cite&gt;&lt;/EndNote&gt;</w:instrText>
      </w:r>
      <w:r w:rsidRPr="009D4627">
        <w:rPr>
          <w:color w:val="auto"/>
        </w:rPr>
        <w:fldChar w:fldCharType="separate"/>
      </w:r>
      <w:r w:rsidR="00376CCD" w:rsidRPr="009D4627">
        <w:rPr>
          <w:noProof/>
          <w:color w:val="auto"/>
        </w:rPr>
        <w:t>(Ignace Th &amp; Berg, 2000)</w:t>
      </w:r>
      <w:r w:rsidRPr="009D4627">
        <w:rPr>
          <w:color w:val="auto"/>
        </w:rPr>
        <w:fldChar w:fldCharType="end"/>
      </w:r>
      <w:r w:rsidRPr="009D4627">
        <w:rPr>
          <w:color w:val="auto"/>
        </w:rPr>
        <w:t xml:space="preserve">.  </w:t>
      </w:r>
    </w:p>
    <w:p w14:paraId="3EF0BA11" w14:textId="2B930CAC" w:rsidR="00BF47CE" w:rsidRPr="009D4627" w:rsidRDefault="00BF47CE" w:rsidP="00BF47CE">
      <w:pPr>
        <w:spacing w:after="0"/>
        <w:rPr>
          <w:color w:val="auto"/>
        </w:rPr>
      </w:pPr>
      <w:bookmarkStart w:id="439" w:name="_Toc55662859"/>
      <w:r w:rsidRPr="009D4627">
        <w:rPr>
          <w:color w:val="auto"/>
        </w:rPr>
        <w:t xml:space="preserve">It has been documented by some researchers that data was taken only from one eye, although they had recorded data from two eyes when conducting recording among participants with the </w:t>
      </w:r>
      <w:r w:rsidR="009229BF" w:rsidRPr="009D4627">
        <w:rPr>
          <w:color w:val="auto"/>
        </w:rPr>
        <w:t>BSV</w:t>
      </w:r>
      <w:r w:rsidRPr="009D4627">
        <w:rPr>
          <w:color w:val="auto"/>
        </w:rPr>
        <w:t xml:space="preserve"> and some were averaging results from the </w:t>
      </w:r>
      <w:r w:rsidR="00D67222" w:rsidRPr="009D4627">
        <w:rPr>
          <w:color w:val="auto"/>
        </w:rPr>
        <w:t>RE</w:t>
      </w:r>
      <w:r w:rsidRPr="009D4627">
        <w:rPr>
          <w:color w:val="auto"/>
        </w:rPr>
        <w:t xml:space="preserve"> and </w:t>
      </w:r>
      <w:r w:rsidR="00D67222" w:rsidRPr="009D4627">
        <w:rPr>
          <w:color w:val="auto"/>
        </w:rPr>
        <w:t>LE</w:t>
      </w:r>
      <w:r w:rsidRPr="009D4627">
        <w:rPr>
          <w:color w:val="auto"/>
        </w:rPr>
        <w:t xml:space="preserve"> </w:t>
      </w:r>
      <w:r w:rsidRPr="009D4627">
        <w:rPr>
          <w:color w:val="auto"/>
        </w:rPr>
        <w:fldChar w:fldCharType="begin"/>
      </w:r>
      <w:r w:rsidR="00945A16" w:rsidRPr="009D4627">
        <w:rPr>
          <w:color w:val="auto"/>
        </w:rPr>
        <w:instrText xml:space="preserve"> ADDIN EN.CITE &lt;EndNote&gt;&lt;Cite&gt;&lt;Author&gt;Houben&lt;/Author&gt;&lt;Year&gt;2006&lt;/Year&gt;&lt;IDText&gt;Recording three-dimensional eye movements: Scleral search coils versus video oculography&lt;/IDText&gt;&lt;DisplayText&gt;(Houben et al., 2006)&lt;/DisplayText&gt;&lt;record&gt;&lt;dates&gt;&lt;pub-dates&gt;&lt;date&gt;Jan&lt;/date&gt;&lt;/pub-dates&gt;&lt;year&gt;2006&lt;/year&gt;&lt;/dates&gt;&lt;keywords&gt;&lt;keyword&gt;ocular torsion&lt;/keyword&gt;&lt;keyword&gt;listing law&lt;/keyword&gt;&lt;keyword&gt;saccades&lt;/keyword&gt;&lt;keyword&gt;mathematics&lt;/keyword&gt;&lt;keyword&gt;orientation&lt;/keyword&gt;&lt;keyword&gt;&lt;/keyword&gt;&lt;keyword&gt;stability&lt;/keyword&gt;&lt;keyword&gt;humans&lt;/keyword&gt;&lt;keyword&gt;blinks&lt;/keyword&gt;&lt;keyword&gt;Ophthalmology&lt;/keyword&gt;&lt;/keywords&gt;&lt;urls&gt;&lt;related-urls&gt;&lt;url&gt;&amp;lt;Go to ISI&amp;gt;://WOS:000234289700025&lt;/url&gt;&lt;/related-urls&gt;&lt;/urls&gt;&lt;isbn&gt;0146-0404&lt;/isbn&gt;&lt;work-type&gt;Article&lt;/work-type&gt;&lt;titles&gt;&lt;title&gt;Recording three-dimensional eye movements: Scleral search coils versus video oculography&lt;/title&gt;&lt;secondary-title&gt;Investigative Ophthalmology &amp;amp; Visual Science&lt;/secondary-title&gt;&lt;alt-title&gt;Invest. Ophthalmol. Vis. Sci.&lt;/alt-title&gt;&lt;/titles&gt;&lt;pages&gt;179-187&lt;/pages&gt;&lt;number&gt;1&lt;/number&gt;&lt;contributors&gt;&lt;authors&gt;&lt;author&gt;Houben, M. M. J.&lt;/author&gt;&lt;author&gt;Goumans, J.&lt;/author&gt;&lt;author&gt;van der Steen, J.&lt;/author&gt;&lt;/authors&gt;&lt;/contributors&gt;&lt;language&gt;English&lt;/language&gt;&lt;added-date format="utc"&gt;1490793823&lt;/added-date&gt;&lt;ref-type name="Journal Article"&gt;17&lt;/ref-type&gt;&lt;auth-address&gt;Erasmus Univ, Dept Neurosci, Med Ctr, NL-3000 DR Rotterdam, Netherlands. Erasmus Univ, Dept Otorhinolaryngol, Med Ctr, NL-3000 DR Rotterdam, Netherlands.&amp;#xD;van der Steen, J (reprint author), Erasmus Univ, Dept Neurosci, Med Ctr, Room Ee1259,POB 1738, NL-3000 DR Rotterdam, Netherlands.&amp;#xD;j.vandersteen@erasmusmc.nl&lt;/auth-address&gt;&lt;rec-number&gt;29&lt;/rec-number&gt;&lt;last-updated-date format="utc"&gt;1490793823&lt;/last-updated-date&gt;&lt;accession-num&gt;WOS:000234289700025&lt;/accession-num&gt;&lt;electronic-resource-num&gt;10.1167/iovs.05-0234&lt;/electronic-resource-num&gt;&lt;volume&gt;47&lt;/volume&gt;&lt;/record&gt;&lt;/Cite&gt;&lt;/EndNote&gt;</w:instrText>
      </w:r>
      <w:r w:rsidRPr="009D4627">
        <w:rPr>
          <w:color w:val="auto"/>
        </w:rPr>
        <w:fldChar w:fldCharType="separate"/>
      </w:r>
      <w:r w:rsidR="00945A16" w:rsidRPr="009D4627">
        <w:rPr>
          <w:noProof/>
          <w:color w:val="auto"/>
        </w:rPr>
        <w:t>(Houben et al., 2006)</w:t>
      </w:r>
      <w:r w:rsidRPr="009D4627">
        <w:rPr>
          <w:color w:val="auto"/>
        </w:rPr>
        <w:fldChar w:fldCharType="end"/>
      </w:r>
      <w:r w:rsidRPr="009D4627">
        <w:rPr>
          <w:color w:val="auto"/>
        </w:rPr>
        <w:t xml:space="preserve">. Some did not mention which eye the data were analysed </w:t>
      </w:r>
      <w:r w:rsidRPr="009D4627">
        <w:rPr>
          <w:color w:val="auto"/>
        </w:rPr>
        <w:fldChar w:fldCharType="begin"/>
      </w:r>
      <w:r w:rsidR="00945A16" w:rsidRPr="009D4627">
        <w:rPr>
          <w:color w:val="auto"/>
        </w:rPr>
        <w:instrText xml:space="preserve"> ADDIN EN.CITE &lt;EndNote&gt;&lt;Cite&gt;&lt;Author&gt;Schmitt&lt;/Author&gt;&lt;Year&gt;2007&lt;/Year&gt;&lt;IDText&gt;Comparing eye movements recorded by search coil and infrared eye tracking&lt;/IDText&gt;&lt;DisplayText&gt;(Schmitt et al., 2007)&lt;/DisplayText&gt;&lt;record&gt;&lt;keywords&gt;&lt;keyword&gt;eye movements&lt;/keyword&gt;&lt;keyword&gt;human&lt;/keyword&gt;&lt;keyword&gt;magnetic search coil&lt;/keyword&gt;&lt;keyword&gt;saccade&lt;/keyword&gt;&lt;keyword&gt;video&lt;/keyword&gt;&lt;keyword&gt;infrared&lt;/keyword&gt;&lt;keyword&gt;eye tracking.&lt;/keyword&gt;&lt;/keywords&gt;&lt;isbn&gt;1387-1307&lt;/isbn&gt;&lt;titles&gt;&lt;title&gt;Comparing eye movements recorded by search coil and infrared eye tracking&lt;/title&gt;&lt;secondary-title&gt;J Clin Monit Comput&lt;/secondary-title&gt;&lt;/titles&gt;&lt;pages&gt;49-53&lt;/pages&gt;&lt;number&gt;1&lt;/number&gt;&lt;contributors&gt;&lt;authors&gt;&lt;author&gt;Schmitt, Kai-Uwe&lt;/author&gt;&lt;author&gt;Muser, Markus&lt;/author&gt;&lt;author&gt;Lanz, Christian&lt;/author&gt;&lt;author&gt;Walz, Felix&lt;/author&gt;&lt;author&gt;Schwarz, Urs&lt;/author&gt;&lt;/authors&gt;&lt;/contributors&gt;&lt;added-date format="utc"&gt;1490361014&lt;/added-date&gt;&lt;pub-location&gt;Dordrecht&lt;/pub-location&gt;&lt;ref-type name="Journal Article"&gt;17&lt;/ref-type&gt;&lt;dates&gt;&lt;year&gt;2007&lt;/year&gt;&lt;/dates&gt;&lt;rec-number&gt;25&lt;/rec-number&gt;&lt;last-updated-date format="utc"&gt;1490361014&lt;/last-updated-date&gt;&lt;electronic-resource-num&gt;10.1007/s10877-006-9057-5&lt;/electronic-resource-num&gt;&lt;volume&gt;21&lt;/volume&gt;&lt;/record&gt;&lt;/Cite&gt;&lt;/EndNote&gt;</w:instrText>
      </w:r>
      <w:r w:rsidRPr="009D4627">
        <w:rPr>
          <w:color w:val="auto"/>
        </w:rPr>
        <w:fldChar w:fldCharType="separate"/>
      </w:r>
      <w:r w:rsidR="00945A16" w:rsidRPr="009D4627">
        <w:rPr>
          <w:noProof/>
          <w:color w:val="auto"/>
        </w:rPr>
        <w:t>(Schmitt et al., 2007)</w:t>
      </w:r>
      <w:r w:rsidRPr="009D4627">
        <w:rPr>
          <w:color w:val="auto"/>
        </w:rPr>
        <w:fldChar w:fldCharType="end"/>
      </w:r>
      <w:r w:rsidRPr="009D4627">
        <w:rPr>
          <w:color w:val="auto"/>
        </w:rPr>
        <w:t xml:space="preserve">.  A recent study by </w:t>
      </w:r>
      <w:proofErr w:type="spellStart"/>
      <w:r w:rsidRPr="009D4627">
        <w:rPr>
          <w:color w:val="auto"/>
        </w:rPr>
        <w:t>Hooge</w:t>
      </w:r>
      <w:proofErr w:type="spellEnd"/>
      <w:r w:rsidRPr="009D4627">
        <w:rPr>
          <w:color w:val="auto"/>
        </w:rPr>
        <w:t xml:space="preserve"> et al. (2019) suggested that averaging the data from the </w:t>
      </w:r>
      <w:r w:rsidR="00D67222" w:rsidRPr="009D4627">
        <w:rPr>
          <w:color w:val="auto"/>
        </w:rPr>
        <w:t>RE</w:t>
      </w:r>
      <w:r w:rsidRPr="009D4627">
        <w:rPr>
          <w:color w:val="auto"/>
        </w:rPr>
        <w:t xml:space="preserve"> and </w:t>
      </w:r>
      <w:r w:rsidR="00D67222" w:rsidRPr="009D4627">
        <w:rPr>
          <w:color w:val="auto"/>
        </w:rPr>
        <w:t>LE</w:t>
      </w:r>
      <w:r w:rsidRPr="009D4627">
        <w:rPr>
          <w:color w:val="auto"/>
        </w:rPr>
        <w:t xml:space="preserve"> should be avoided since it may increase systematic errors for eye movement, particularly when studying </w:t>
      </w:r>
      <w:r w:rsidR="00944720" w:rsidRPr="009D4627">
        <w:rPr>
          <w:color w:val="auto"/>
        </w:rPr>
        <w:t>saccadic</w:t>
      </w:r>
      <w:r w:rsidRPr="009D4627">
        <w:rPr>
          <w:color w:val="auto"/>
        </w:rPr>
        <w:t xml:space="preserve"> dynamics. Besides, the </w:t>
      </w:r>
      <w:r w:rsidR="00D67222" w:rsidRPr="009D4627">
        <w:rPr>
          <w:color w:val="auto"/>
        </w:rPr>
        <w:t>RE</w:t>
      </w:r>
      <w:r w:rsidRPr="009D4627">
        <w:rPr>
          <w:color w:val="auto"/>
        </w:rPr>
        <w:t xml:space="preserve"> and the </w:t>
      </w:r>
      <w:r w:rsidR="00D67222" w:rsidRPr="009D4627">
        <w:rPr>
          <w:color w:val="auto"/>
        </w:rPr>
        <w:t xml:space="preserve">LE </w:t>
      </w:r>
      <w:r w:rsidRPr="009D4627">
        <w:rPr>
          <w:color w:val="auto"/>
        </w:rPr>
        <w:t xml:space="preserve">signals may differ, and averaging may affect, mask, or deform these details. Errors may occur in response to pooling </w:t>
      </w:r>
      <w:r w:rsidR="00D67222" w:rsidRPr="009D4627">
        <w:rPr>
          <w:color w:val="auto"/>
        </w:rPr>
        <w:t>RE</w:t>
      </w:r>
      <w:r w:rsidRPr="009D4627">
        <w:rPr>
          <w:color w:val="auto"/>
        </w:rPr>
        <w:t xml:space="preserve"> and </w:t>
      </w:r>
      <w:r w:rsidR="00D67222" w:rsidRPr="009D4627">
        <w:rPr>
          <w:color w:val="auto"/>
        </w:rPr>
        <w:t>LE</w:t>
      </w:r>
      <w:r w:rsidRPr="009D4627">
        <w:rPr>
          <w:color w:val="auto"/>
        </w:rPr>
        <w:t xml:space="preserve"> eye data, for example </w:t>
      </w:r>
      <w:r w:rsidRPr="009D4627">
        <w:rPr>
          <w:color w:val="auto"/>
        </w:rPr>
        <w:lastRenderedPageBreak/>
        <w:t xml:space="preserve">rightward movements involve adduction of the </w:t>
      </w:r>
      <w:r w:rsidR="00D67222" w:rsidRPr="009D4627">
        <w:rPr>
          <w:color w:val="auto"/>
        </w:rPr>
        <w:t>LE</w:t>
      </w:r>
      <w:r w:rsidRPr="009D4627">
        <w:rPr>
          <w:color w:val="auto"/>
        </w:rPr>
        <w:t xml:space="preserve"> and abduction of the </w:t>
      </w:r>
      <w:r w:rsidR="00D67222" w:rsidRPr="009D4627">
        <w:rPr>
          <w:color w:val="auto"/>
        </w:rPr>
        <w:t>RE</w:t>
      </w:r>
      <w:r w:rsidRPr="009D4627">
        <w:rPr>
          <w:color w:val="auto"/>
        </w:rPr>
        <w:t xml:space="preserve"> so should be considered individually as they are known to have different characteristics. </w:t>
      </w:r>
      <w:bookmarkEnd w:id="439"/>
    </w:p>
    <w:p w14:paraId="24E96E6F" w14:textId="49715BC5" w:rsidR="00BF47CE" w:rsidRPr="009D4627" w:rsidRDefault="00BF47CE" w:rsidP="00034492">
      <w:pPr>
        <w:rPr>
          <w:color w:val="auto"/>
        </w:rPr>
      </w:pPr>
      <w:r w:rsidRPr="009D4627">
        <w:rPr>
          <w:color w:val="auto"/>
        </w:rPr>
        <w:t xml:space="preserve">It may be anticipated that there is no difference between the </w:t>
      </w:r>
      <w:r w:rsidR="00D67222" w:rsidRPr="009D4627">
        <w:rPr>
          <w:color w:val="auto"/>
        </w:rPr>
        <w:t>RE</w:t>
      </w:r>
      <w:r w:rsidRPr="009D4627">
        <w:rPr>
          <w:color w:val="auto"/>
        </w:rPr>
        <w:t xml:space="preserve"> or </w:t>
      </w:r>
      <w:r w:rsidR="00D67222" w:rsidRPr="009D4627">
        <w:rPr>
          <w:color w:val="auto"/>
        </w:rPr>
        <w:t>LE</w:t>
      </w:r>
      <w:r w:rsidRPr="009D4627">
        <w:rPr>
          <w:color w:val="auto"/>
        </w:rPr>
        <w:t xml:space="preserve"> behaviour, provided the person </w:t>
      </w:r>
      <w:r w:rsidR="00EC675D" w:rsidRPr="009D4627">
        <w:rPr>
          <w:color w:val="auto"/>
        </w:rPr>
        <w:t>has normal</w:t>
      </w:r>
      <w:r w:rsidRPr="009D4627">
        <w:rPr>
          <w:color w:val="auto"/>
        </w:rPr>
        <w:t xml:space="preserve"> </w:t>
      </w:r>
      <w:r w:rsidR="009229BF" w:rsidRPr="009D4627">
        <w:rPr>
          <w:color w:val="auto"/>
        </w:rPr>
        <w:t>BSV</w:t>
      </w:r>
      <w:r w:rsidR="004B073F">
        <w:rPr>
          <w:color w:val="auto"/>
        </w:rPr>
        <w:t xml:space="preserve"> </w:t>
      </w:r>
      <w:r w:rsidR="005F5844">
        <w:rPr>
          <w:color w:val="auto"/>
        </w:rPr>
        <w:t>and no pathology affecting eye movements</w:t>
      </w:r>
      <w:r w:rsidRPr="009D4627">
        <w:rPr>
          <w:color w:val="auto"/>
        </w:rPr>
        <w:t xml:space="preserve">. Besides, </w:t>
      </w:r>
      <w:r w:rsidR="00E96C9C" w:rsidRPr="009D4627">
        <w:rPr>
          <w:color w:val="auto"/>
        </w:rPr>
        <w:t xml:space="preserve">a </w:t>
      </w:r>
      <w:r w:rsidRPr="009D4627">
        <w:rPr>
          <w:color w:val="auto"/>
        </w:rPr>
        <w:t xml:space="preserve">previous study reported that there </w:t>
      </w:r>
      <w:r w:rsidR="002531A5">
        <w:rPr>
          <w:color w:val="auto"/>
        </w:rPr>
        <w:t>was</w:t>
      </w:r>
      <w:r w:rsidRPr="009D4627">
        <w:rPr>
          <w:color w:val="auto"/>
        </w:rPr>
        <w:t xml:space="preserve"> significant differences in the eye movement parameters between the </w:t>
      </w:r>
      <w:r w:rsidR="00D67222" w:rsidRPr="009D4627">
        <w:rPr>
          <w:color w:val="auto"/>
        </w:rPr>
        <w:t>RE</w:t>
      </w:r>
      <w:r w:rsidRPr="009D4627">
        <w:rPr>
          <w:color w:val="auto"/>
        </w:rPr>
        <w:t xml:space="preserve"> or </w:t>
      </w:r>
      <w:r w:rsidR="00D67222" w:rsidRPr="009D4627">
        <w:rPr>
          <w:color w:val="auto"/>
        </w:rPr>
        <w:t>LE</w:t>
      </w:r>
      <w:r w:rsidRPr="009D4627">
        <w:rPr>
          <w:color w:val="auto"/>
        </w:rPr>
        <w:t xml:space="preserve"> among normal participants </w:t>
      </w:r>
      <w:r w:rsidRPr="009D4627">
        <w:rPr>
          <w:color w:val="auto"/>
        </w:rPr>
        <w:fldChar w:fldCharType="begin"/>
      </w:r>
      <w:r w:rsidR="00C40138" w:rsidRPr="009D4627">
        <w:rPr>
          <w:color w:val="auto"/>
        </w:rPr>
        <w:instrText xml:space="preserve"> ADDIN EN.CITE &lt;EndNote&gt;&lt;Cite&gt;&lt;Author&gt;Cornsweet&lt;/Author&gt;&lt;Year&gt;1960&lt;/Year&gt;&lt;IDText&gt;Analysis of Eye Movements during Monocular and Binocular Fixation*&lt;/IDText&gt;&lt;DisplayText&gt;(Cornsweet et al., 1960)&lt;/DisplayText&gt;&lt;record&gt;&lt;isbn&gt;0030-3941&lt;/isbn&gt;&lt;titles&gt;&lt;title&gt;Analysis of Eye Movements during Monocular and Binocular Fixation*&lt;/title&gt;&lt;secondary-title&gt;Journal of the Optical Society of America&lt;/secondary-title&gt;&lt;/titles&gt;&lt;pages&gt;572-578&lt;/pages&gt;&lt;number&gt;6&lt;/number&gt;&lt;contributors&gt;&lt;authors&gt;&lt;author&gt;Cornsweet, T. N.&lt;/author&gt;&lt;author&gt;Riggs, L. A.&lt;/author&gt;&lt;author&gt;Krauskopf, John&lt;/author&gt;&lt;/authors&gt;&lt;/contributors&gt;&lt;added-date format="utc"&gt;1546942938&lt;/added-date&gt;&lt;ref-type name="Journal Article"&gt;17&lt;/ref-type&gt;&lt;dates&gt;&lt;year&gt;1960&lt;/year&gt;&lt;/dates&gt;&lt;rec-number&gt;549&lt;/rec-number&gt;&lt;last-updated-date format="utc"&gt;1546942938&lt;/last-updated-date&gt;&lt;electronic-resource-num&gt;10.1364/JOSA.50.000572&amp;#xD;info:doi/10.1364/JOSA.50.000572&lt;/electronic-resource-num&gt;&lt;volume&gt;50&lt;/volume&gt;&lt;/record&gt;&lt;/Cite&gt;&lt;/EndNote&gt;</w:instrText>
      </w:r>
      <w:r w:rsidRPr="009D4627">
        <w:rPr>
          <w:color w:val="auto"/>
        </w:rPr>
        <w:fldChar w:fldCharType="separate"/>
      </w:r>
      <w:r w:rsidR="00C40138" w:rsidRPr="009D4627">
        <w:rPr>
          <w:noProof/>
          <w:color w:val="auto"/>
        </w:rPr>
        <w:t>(Cornsweet et al., 1960)</w:t>
      </w:r>
      <w:r w:rsidRPr="009D4627">
        <w:rPr>
          <w:color w:val="auto"/>
        </w:rPr>
        <w:fldChar w:fldCharType="end"/>
      </w:r>
      <w:r w:rsidRPr="009D4627">
        <w:rPr>
          <w:color w:val="auto"/>
        </w:rPr>
        <w:t xml:space="preserve">. </w:t>
      </w:r>
    </w:p>
    <w:p w14:paraId="3789541F" w14:textId="4C01E9F0" w:rsidR="00BF47CE" w:rsidRPr="009D4627" w:rsidRDefault="00F10A4F" w:rsidP="00CA4E90">
      <w:pPr>
        <w:pStyle w:val="Heading4"/>
      </w:pPr>
      <w:bookmarkStart w:id="440" w:name="_Toc98964691"/>
      <w:bookmarkStart w:id="441" w:name="_Toc103344735"/>
      <w:r w:rsidRPr="009D4627">
        <w:t>Null h</w:t>
      </w:r>
      <w:r w:rsidR="00BF47CE" w:rsidRPr="009D4627">
        <w:t>ypothesis</w:t>
      </w:r>
      <w:bookmarkEnd w:id="440"/>
      <w:bookmarkEnd w:id="441"/>
    </w:p>
    <w:p w14:paraId="2A6D0101" w14:textId="378FD7B9" w:rsidR="00BF47CE" w:rsidRPr="009D4627" w:rsidRDefault="00920AFB" w:rsidP="00034492">
      <w:pPr>
        <w:rPr>
          <w:color w:val="auto"/>
        </w:rPr>
      </w:pPr>
      <w:r w:rsidRPr="00920AFB">
        <w:rPr>
          <w:color w:val="auto"/>
        </w:rPr>
        <w:t xml:space="preserve">There is no change in the eye movement properties between </w:t>
      </w:r>
      <w:r w:rsidR="00413F63">
        <w:rPr>
          <w:color w:val="auto"/>
        </w:rPr>
        <w:t xml:space="preserve">either eye (i.e., </w:t>
      </w:r>
      <w:r w:rsidRPr="00920AFB">
        <w:rPr>
          <w:color w:val="auto"/>
        </w:rPr>
        <w:t>RE and LE</w:t>
      </w:r>
      <w:r w:rsidR="00413F63">
        <w:rPr>
          <w:color w:val="auto"/>
        </w:rPr>
        <w:t xml:space="preserve">) under binocular recordings or between </w:t>
      </w:r>
      <w:r w:rsidRPr="00920AFB">
        <w:rPr>
          <w:color w:val="auto"/>
        </w:rPr>
        <w:t>binocular versus monocular</w:t>
      </w:r>
      <w:r w:rsidR="00413F63">
        <w:rPr>
          <w:color w:val="auto"/>
        </w:rPr>
        <w:t xml:space="preserve"> recordings</w:t>
      </w:r>
      <w:r w:rsidR="00BF47CE" w:rsidRPr="009D4627">
        <w:rPr>
          <w:color w:val="auto"/>
        </w:rPr>
        <w:t xml:space="preserve">. </w:t>
      </w:r>
    </w:p>
    <w:p w14:paraId="63689959" w14:textId="43FBA24D" w:rsidR="00BF47CE" w:rsidRPr="009D4627" w:rsidRDefault="00BF47CE" w:rsidP="00DC4CA6">
      <w:pPr>
        <w:pStyle w:val="Heading3"/>
      </w:pPr>
      <w:bookmarkStart w:id="442" w:name="_Toc55662860"/>
      <w:bookmarkStart w:id="443" w:name="_Toc98964692"/>
      <w:bookmarkStart w:id="444" w:name="_Toc103344736"/>
      <w:r w:rsidRPr="009D4627">
        <w:t>Method</w:t>
      </w:r>
      <w:bookmarkEnd w:id="442"/>
      <w:bookmarkEnd w:id="443"/>
      <w:bookmarkEnd w:id="444"/>
    </w:p>
    <w:p w14:paraId="3ECFD56E" w14:textId="12EB4B68" w:rsidR="00BF47CE" w:rsidRPr="009D4627" w:rsidRDefault="00BF47CE" w:rsidP="00034492">
      <w:pPr>
        <w:rPr>
          <w:color w:val="auto"/>
        </w:rPr>
      </w:pPr>
      <w:r w:rsidRPr="009D4627">
        <w:rPr>
          <w:color w:val="auto"/>
        </w:rPr>
        <w:t xml:space="preserve">The ethical approval was outlined in </w:t>
      </w:r>
      <w:r w:rsidR="00E96C9C" w:rsidRPr="009D4627">
        <w:rPr>
          <w:color w:val="auto"/>
        </w:rPr>
        <w:t>Experiment 2</w:t>
      </w:r>
      <w:r w:rsidR="002E63E9" w:rsidRPr="009D4627">
        <w:rPr>
          <w:color w:val="auto"/>
        </w:rPr>
        <w:t xml:space="preserve"> - </w:t>
      </w:r>
      <w:r w:rsidR="00E96C9C" w:rsidRPr="009D4627">
        <w:rPr>
          <w:color w:val="auto"/>
        </w:rPr>
        <w:t xml:space="preserve">section </w:t>
      </w:r>
      <w:r w:rsidRPr="009D4627">
        <w:rPr>
          <w:color w:val="auto"/>
        </w:rPr>
        <w:t>4.1.2.1.</w:t>
      </w:r>
    </w:p>
    <w:p w14:paraId="7D0B9AB1" w14:textId="77777777" w:rsidR="00BF47CE" w:rsidRPr="009D4627" w:rsidRDefault="00BF47CE" w:rsidP="00CA4E90">
      <w:pPr>
        <w:pStyle w:val="Heading4"/>
      </w:pPr>
      <w:bookmarkStart w:id="445" w:name="_Toc98964693"/>
      <w:bookmarkStart w:id="446" w:name="_Toc103344737"/>
      <w:r w:rsidRPr="009D4627">
        <w:t>Participants</w:t>
      </w:r>
      <w:bookmarkEnd w:id="445"/>
      <w:bookmarkEnd w:id="446"/>
    </w:p>
    <w:p w14:paraId="413A7176" w14:textId="2D0840E2" w:rsidR="00BF47CE" w:rsidRPr="009D4627" w:rsidRDefault="00BF47CE" w:rsidP="00034492">
      <w:pPr>
        <w:rPr>
          <w:color w:val="auto"/>
        </w:rPr>
      </w:pPr>
      <w:r w:rsidRPr="009D4627">
        <w:rPr>
          <w:color w:val="auto"/>
        </w:rPr>
        <w:t>The recruitment of the participants and the inclusion criteria were as outlined in Experiment 2</w:t>
      </w:r>
      <w:r w:rsidR="002E63E9" w:rsidRPr="009D4627">
        <w:rPr>
          <w:color w:val="auto"/>
        </w:rPr>
        <w:t xml:space="preserve"> </w:t>
      </w:r>
      <w:r w:rsidR="00E96C9C" w:rsidRPr="009D4627">
        <w:rPr>
          <w:color w:val="auto"/>
        </w:rPr>
        <w:t>-</w:t>
      </w:r>
      <w:r w:rsidR="002E63E9" w:rsidRPr="009D4627">
        <w:rPr>
          <w:color w:val="auto"/>
        </w:rPr>
        <w:t xml:space="preserve"> </w:t>
      </w:r>
      <w:r w:rsidRPr="009D4627">
        <w:rPr>
          <w:color w:val="auto"/>
        </w:rPr>
        <w:t xml:space="preserve">section 4.1.2.2. </w:t>
      </w:r>
    </w:p>
    <w:p w14:paraId="271B654F" w14:textId="77777777" w:rsidR="00BF47CE" w:rsidRPr="009D4627" w:rsidRDefault="00BF47CE" w:rsidP="00CA4E90">
      <w:pPr>
        <w:pStyle w:val="Heading4"/>
      </w:pPr>
      <w:bookmarkStart w:id="447" w:name="_Toc98964694"/>
      <w:bookmarkStart w:id="448" w:name="_Toc103344738"/>
      <w:r w:rsidRPr="009D4627">
        <w:t>Procedure</w:t>
      </w:r>
      <w:bookmarkEnd w:id="447"/>
      <w:bookmarkEnd w:id="448"/>
    </w:p>
    <w:p w14:paraId="610A54F3" w14:textId="69961FF0" w:rsidR="00BF47CE" w:rsidRPr="009D4627" w:rsidRDefault="00E96C9C" w:rsidP="00BF47CE">
      <w:pPr>
        <w:spacing w:after="0"/>
        <w:rPr>
          <w:color w:val="auto"/>
        </w:rPr>
      </w:pPr>
      <w:r w:rsidRPr="009D4627">
        <w:rPr>
          <w:color w:val="auto"/>
        </w:rPr>
        <w:t>Monocular calibration of the RE was performed for monocular recording with the LE covered using an opaque eye patch. For the binocular test, binocular calibration was performed. The monocular and binocular testing sequence was counterbalanced by alternating the order between participants to avoid fatigue or practice effects</w:t>
      </w:r>
      <w:r w:rsidR="00BF47CE" w:rsidRPr="009D4627">
        <w:rPr>
          <w:color w:val="auto"/>
        </w:rPr>
        <w:t xml:space="preserve">.  </w:t>
      </w:r>
    </w:p>
    <w:p w14:paraId="2649B17B" w14:textId="6BF18214" w:rsidR="00BF47CE" w:rsidRDefault="00BF47CE" w:rsidP="00034492">
      <w:pPr>
        <w:rPr>
          <w:color w:val="auto"/>
        </w:rPr>
      </w:pPr>
      <w:r w:rsidRPr="009D4627">
        <w:rPr>
          <w:color w:val="auto"/>
        </w:rPr>
        <w:lastRenderedPageBreak/>
        <w:t xml:space="preserve">Three types of eye movements were recorded using </w:t>
      </w:r>
      <w:proofErr w:type="spellStart"/>
      <w:r w:rsidRPr="009D4627">
        <w:rPr>
          <w:color w:val="auto"/>
        </w:rPr>
        <w:t>EyeLink</w:t>
      </w:r>
      <w:proofErr w:type="spellEnd"/>
      <w:r w:rsidR="00E47FB4" w:rsidRPr="009D4627">
        <w:rPr>
          <w:color w:val="auto"/>
        </w:rPr>
        <w:t xml:space="preserve"> </w:t>
      </w:r>
      <w:r w:rsidRPr="009D4627">
        <w:rPr>
          <w:color w:val="auto"/>
        </w:rPr>
        <w:t>1000</w:t>
      </w:r>
      <w:r w:rsidR="00E47FB4" w:rsidRPr="009D4627">
        <w:rPr>
          <w:color w:val="auto"/>
        </w:rPr>
        <w:t xml:space="preserve"> Plus:</w:t>
      </w:r>
      <w:r w:rsidRPr="009D4627">
        <w:rPr>
          <w:color w:val="auto"/>
        </w:rPr>
        <w:t xml:space="preserve"> 1) fixation, 2) </w:t>
      </w:r>
      <w:r w:rsidR="00A706AE" w:rsidRPr="009D4627">
        <w:rPr>
          <w:color w:val="auto"/>
        </w:rPr>
        <w:t>SP</w:t>
      </w:r>
      <w:r w:rsidRPr="009D4627">
        <w:rPr>
          <w:color w:val="auto"/>
        </w:rPr>
        <w:t xml:space="preserve"> (horizontal and vertical) and 3) saccades (horizontal and vertical). </w:t>
      </w:r>
      <w:r w:rsidR="00E96C9C" w:rsidRPr="009D4627">
        <w:rPr>
          <w:color w:val="auto"/>
        </w:rPr>
        <w:t>All participants completed the test with monocular and binocular viewing for the fixation, SP, and saccadic recordings. For the horizontal saccades, only four target amplitudes were tested, ±5° and ±10°, instead of the six performed in Experiment 2. The largest horizontal target amplitudes, ±15°, were removed for this experiment because the target falls on the blind spot when viewed monocularly. The rest of the testing procedures remain the same, as described in section 4.1.2.3 (Experiment 2)</w:t>
      </w:r>
      <w:r w:rsidRPr="009D4627">
        <w:rPr>
          <w:color w:val="auto"/>
        </w:rPr>
        <w:t>.</w:t>
      </w:r>
      <w:r w:rsidR="00E96C9C" w:rsidRPr="009D4627">
        <w:rPr>
          <w:color w:val="auto"/>
        </w:rPr>
        <w:t xml:space="preserve"> </w:t>
      </w:r>
      <w:r w:rsidRPr="009D4627">
        <w:rPr>
          <w:color w:val="auto"/>
        </w:rPr>
        <w:t xml:space="preserve">The data </w:t>
      </w:r>
      <w:r w:rsidR="00E96C9C" w:rsidRPr="009D4627">
        <w:rPr>
          <w:color w:val="auto"/>
        </w:rPr>
        <w:t xml:space="preserve">extraction </w:t>
      </w:r>
      <w:r w:rsidRPr="009D4627">
        <w:rPr>
          <w:color w:val="auto"/>
        </w:rPr>
        <w:t xml:space="preserve">process was outlined </w:t>
      </w:r>
      <w:r w:rsidR="00E96C9C" w:rsidRPr="009D4627">
        <w:rPr>
          <w:color w:val="auto"/>
        </w:rPr>
        <w:t xml:space="preserve">in </w:t>
      </w:r>
      <w:r w:rsidRPr="009D4627">
        <w:rPr>
          <w:color w:val="auto"/>
        </w:rPr>
        <w:t>Chapter 2</w:t>
      </w:r>
      <w:r w:rsidR="00E96C9C" w:rsidRPr="009D4627">
        <w:rPr>
          <w:color w:val="auto"/>
        </w:rPr>
        <w:t xml:space="preserve"> for further statistical analysis of fixation, </w:t>
      </w:r>
      <w:proofErr w:type="gramStart"/>
      <w:r w:rsidR="00E96C9C" w:rsidRPr="009D4627">
        <w:rPr>
          <w:color w:val="auto"/>
        </w:rPr>
        <w:t>SP</w:t>
      </w:r>
      <w:proofErr w:type="gramEnd"/>
      <w:r w:rsidR="00E96C9C" w:rsidRPr="009D4627">
        <w:rPr>
          <w:color w:val="auto"/>
        </w:rPr>
        <w:t xml:space="preserve"> and saccadic eye movement</w:t>
      </w:r>
      <w:r w:rsidRPr="009D4627">
        <w:rPr>
          <w:color w:val="auto"/>
        </w:rPr>
        <w:t>.</w:t>
      </w:r>
    </w:p>
    <w:p w14:paraId="2B182F47" w14:textId="413A7847" w:rsidR="00533E48" w:rsidRDefault="00533E48" w:rsidP="00CA4E90">
      <w:pPr>
        <w:pStyle w:val="Heading4"/>
      </w:pPr>
      <w:bookmarkStart w:id="449" w:name="_Toc98964695"/>
      <w:bookmarkStart w:id="450" w:name="_Toc103344739"/>
      <w:r>
        <w:t>Data analysis</w:t>
      </w:r>
      <w:bookmarkEnd w:id="449"/>
      <w:bookmarkEnd w:id="450"/>
    </w:p>
    <w:p w14:paraId="209A48A6" w14:textId="2713A285" w:rsidR="00BF47CE" w:rsidRPr="00DC4CA6" w:rsidRDefault="00E85BF3" w:rsidP="00DC4CA6">
      <w:r w:rsidRPr="00DC4CA6">
        <w:t>First, the data were checked to see if they satisfied the normality distribution requirements. Then, using independent samples t-tests, the results from RE and LE that were</w:t>
      </w:r>
      <w:r w:rsidR="00AA4472" w:rsidRPr="00DC4CA6">
        <w:t xml:space="preserve"> compared</w:t>
      </w:r>
      <w:r w:rsidRPr="00DC4CA6">
        <w:t xml:space="preserve">. Following that, data from the RE obtained through binocular recordings were compared to data obtained from monocular recordings using independent samples t-tests. Finally, if the normality distribution was not satisfied, a non-parametric test was used. </w:t>
      </w:r>
      <w:bookmarkStart w:id="451" w:name="_Toc55662861"/>
      <w:bookmarkStart w:id="452" w:name="_Toc98964696"/>
      <w:r w:rsidR="00BF47CE" w:rsidRPr="00DC4CA6">
        <w:t>Result</w:t>
      </w:r>
      <w:bookmarkEnd w:id="451"/>
      <w:r w:rsidR="00BF47CE" w:rsidRPr="00DC4CA6">
        <w:t>s</w:t>
      </w:r>
      <w:bookmarkEnd w:id="452"/>
    </w:p>
    <w:p w14:paraId="6F626664" w14:textId="77777777" w:rsidR="009C33A3" w:rsidRDefault="00733F5D" w:rsidP="00E47FB4">
      <w:pPr>
        <w:rPr>
          <w:color w:val="auto"/>
        </w:rPr>
      </w:pPr>
      <w:bookmarkStart w:id="453" w:name="_Toc55662383"/>
      <w:bookmarkStart w:id="454" w:name="_Toc55659387"/>
      <w:r w:rsidRPr="00733F5D">
        <w:rPr>
          <w:color w:val="auto"/>
        </w:rPr>
        <w:t>Data for eighteen healthy subjects ranging in age from 18 to 21 years were collected and analysed</w:t>
      </w:r>
      <w:r w:rsidR="00BF47CE" w:rsidRPr="009D4627">
        <w:rPr>
          <w:color w:val="auto"/>
        </w:rPr>
        <w:t xml:space="preserve">. </w:t>
      </w:r>
      <w:r w:rsidR="00E96C9C" w:rsidRPr="009D4627">
        <w:rPr>
          <w:color w:val="auto"/>
        </w:rPr>
        <w:t xml:space="preserve">All participants gave excellent co-operation and completed all </w:t>
      </w:r>
      <w:r w:rsidR="004258CF" w:rsidRPr="009D4627">
        <w:rPr>
          <w:color w:val="auto"/>
        </w:rPr>
        <w:t>EMR</w:t>
      </w:r>
      <w:r w:rsidR="00E96C9C" w:rsidRPr="009D4627">
        <w:rPr>
          <w:color w:val="auto"/>
        </w:rPr>
        <w:t>s. However, data from a participant was excluded for fixation analysis due to incomplete data recording, which was not detected during the recording session</w:t>
      </w:r>
      <w:r w:rsidR="00BF47CE" w:rsidRPr="009D4627">
        <w:rPr>
          <w:color w:val="auto"/>
        </w:rPr>
        <w:t xml:space="preserve">. </w:t>
      </w:r>
      <w:bookmarkEnd w:id="453"/>
      <w:bookmarkEnd w:id="454"/>
    </w:p>
    <w:p w14:paraId="121CD0F3" w14:textId="49F5ACFC" w:rsidR="008A2F21" w:rsidRDefault="00F96BE0" w:rsidP="00F96BE0">
      <w:pPr>
        <w:pStyle w:val="Heading4"/>
      </w:pPr>
      <w:bookmarkStart w:id="455" w:name="_Toc98964697"/>
      <w:bookmarkStart w:id="456" w:name="_Toc55662863"/>
      <w:bookmarkStart w:id="457" w:name="_Toc103344740"/>
      <w:r w:rsidRPr="00F96BE0">
        <w:lastRenderedPageBreak/>
        <w:t xml:space="preserve">The fixation, SP, and saccadic eye movement behaviours of RE and LE were compared when they were recorded </w:t>
      </w:r>
      <w:r>
        <w:t>binocularly</w:t>
      </w:r>
      <w:r w:rsidRPr="00F96BE0">
        <w:t>.</w:t>
      </w:r>
      <w:bookmarkEnd w:id="455"/>
      <w:bookmarkEnd w:id="457"/>
      <w:r w:rsidR="008A2F21">
        <w:t xml:space="preserve"> </w:t>
      </w:r>
    </w:p>
    <w:p w14:paraId="70FA24EC" w14:textId="2720B0AF" w:rsidR="00F96BE0" w:rsidRPr="00F96BE0" w:rsidRDefault="001C5ECE" w:rsidP="00F96BE0">
      <w:r>
        <w:t xml:space="preserve">Based on the comparison between binocular RE and binocular LE, there were no significant difference. </w:t>
      </w:r>
      <w:r w:rsidRPr="001C5ECE">
        <w:rPr>
          <w:color w:val="222222"/>
          <w:shd w:val="clear" w:color="auto" w:fill="FFFFFF"/>
        </w:rPr>
        <w:t xml:space="preserve">Therefore, </w:t>
      </w:r>
      <w:r>
        <w:rPr>
          <w:color w:val="222222"/>
          <w:shd w:val="clear" w:color="auto" w:fill="FFFFFF"/>
        </w:rPr>
        <w:t xml:space="preserve">it is suggested that there is no difference in using </w:t>
      </w:r>
      <w:r w:rsidRPr="001C5ECE">
        <w:rPr>
          <w:color w:val="222222"/>
          <w:shd w:val="clear" w:color="auto" w:fill="FFFFFF"/>
        </w:rPr>
        <w:t>only RE data from control subjects, despite binocular recordings being performed.</w:t>
      </w:r>
      <w:r>
        <w:t xml:space="preserve"> </w:t>
      </w:r>
      <w:r w:rsidR="002531A5">
        <w:t>D</w:t>
      </w:r>
      <w:r w:rsidR="006E3594" w:rsidRPr="006E3594">
        <w:t xml:space="preserve">ata were analysed separately for RE and LE </w:t>
      </w:r>
      <w:r w:rsidR="006E3594">
        <w:t>(Table 4.</w:t>
      </w:r>
      <w:r w:rsidR="000C62B3">
        <w:t>5</w:t>
      </w:r>
      <w:r w:rsidR="006E3594">
        <w:t>)</w:t>
      </w:r>
      <w:r w:rsidR="006E3594" w:rsidRPr="006E3594">
        <w:t xml:space="preserve">. As a result, </w:t>
      </w:r>
      <w:r w:rsidR="002531A5">
        <w:t xml:space="preserve">either </w:t>
      </w:r>
      <w:r w:rsidR="006E3594" w:rsidRPr="006E3594">
        <w:t xml:space="preserve">the </w:t>
      </w:r>
      <w:r w:rsidR="002531A5">
        <w:t xml:space="preserve">RE or LE could be used to analyse the </w:t>
      </w:r>
      <w:r w:rsidR="006E3594" w:rsidRPr="006E3594">
        <w:t xml:space="preserve">eye movement performance of patients with </w:t>
      </w:r>
      <w:r w:rsidR="002531A5">
        <w:t>normal alignment and BSV</w:t>
      </w:r>
      <w:r w:rsidR="00971FF7">
        <w:t xml:space="preserve"> </w:t>
      </w:r>
      <w:r w:rsidR="00971FF7">
        <w:fldChar w:fldCharType="begin"/>
      </w:r>
      <w:r w:rsidR="00971FF7">
        <w:instrText xml:space="preserve"> ADDIN EN.CITE &lt;EndNote&gt;&lt;Cite&gt;&lt;Author&gt;Houben&lt;/Author&gt;&lt;Year&gt;2006&lt;/Year&gt;&lt;IDText&gt;Recording three-dimensional eye movements: Scleral search coils versus video oculography&lt;/IDText&gt;&lt;DisplayText&gt;(Houben et al., 2006)&lt;/DisplayText&gt;&lt;record&gt;&lt;dates&gt;&lt;pub-dates&gt;&lt;date&gt;Jan&lt;/date&gt;&lt;/pub-dates&gt;&lt;year&gt;2006&lt;/year&gt;&lt;/dates&gt;&lt;keywords&gt;&lt;keyword&gt;ocular torsion&lt;/keyword&gt;&lt;keyword&gt;listing law&lt;/keyword&gt;&lt;keyword&gt;saccades&lt;/keyword&gt;&lt;keyword&gt;mathematics&lt;/keyword&gt;&lt;keyword&gt;orientation&lt;/keyword&gt;&lt;keyword&gt;&lt;/keyword&gt;&lt;keyword&gt;stability&lt;/keyword&gt;&lt;keyword&gt;humans&lt;/keyword&gt;&lt;keyword&gt;blinks&lt;/keyword&gt;&lt;keyword&gt;Ophthalmology&lt;/keyword&gt;&lt;/keywords&gt;&lt;urls&gt;&lt;related-urls&gt;&lt;url&gt;&amp;lt;Go to ISI&amp;gt;://WOS:000234289700025&lt;/url&gt;&lt;/related-urls&gt;&lt;/urls&gt;&lt;isbn&gt;0146-0404&lt;/isbn&gt;&lt;work-type&gt;Article&lt;/work-type&gt;&lt;titles&gt;&lt;title&gt;Recording three-dimensional eye movements: Scleral search coils versus video oculography&lt;/title&gt;&lt;secondary-title&gt;Investigative Ophthalmology &amp;amp; Visual Science&lt;/secondary-title&gt;&lt;alt-title&gt;Invest. Ophthalmol. Vis. Sci.&lt;/alt-title&gt;&lt;/titles&gt;&lt;pages&gt;179-187&lt;/pages&gt;&lt;number&gt;1&lt;/number&gt;&lt;contributors&gt;&lt;authors&gt;&lt;author&gt;Houben, M. M. J.&lt;/author&gt;&lt;author&gt;Goumans, J.&lt;/author&gt;&lt;author&gt;van der Steen, J.&lt;/author&gt;&lt;/authors&gt;&lt;/contributors&gt;&lt;language&gt;English&lt;/language&gt;&lt;added-date format="utc"&gt;1490793823&lt;/added-date&gt;&lt;ref-type name="Journal Article"&gt;17&lt;/ref-type&gt;&lt;auth-address&gt;Erasmus Univ, Dept Neurosci, Med Ctr, NL-3000 DR Rotterdam, Netherlands. Erasmus Univ, Dept Otorhinolaryngol, Med Ctr, NL-3000 DR Rotterdam, Netherlands.&amp;#xD;van der Steen, J (reprint author), Erasmus Univ, Dept Neurosci, Med Ctr, Room Ee1259,POB 1738, NL-3000 DR Rotterdam, Netherlands.&amp;#xD;j.vandersteen@erasmusmc.nl&lt;/auth-address&gt;&lt;rec-number&gt;29&lt;/rec-number&gt;&lt;last-updated-date format="utc"&gt;1490793823&lt;/last-updated-date&gt;&lt;accession-num&gt;WOS:000234289700025&lt;/accession-num&gt;&lt;electronic-resource-num&gt;10.1167/iovs.05-0234&lt;/electronic-resource-num&gt;&lt;volume&gt;47&lt;/volume&gt;&lt;/record&gt;&lt;/Cite&gt;&lt;/EndNote&gt;</w:instrText>
      </w:r>
      <w:r w:rsidR="00971FF7">
        <w:fldChar w:fldCharType="separate"/>
      </w:r>
      <w:r w:rsidR="00971FF7">
        <w:rPr>
          <w:noProof/>
        </w:rPr>
        <w:t>(Houben et al., 2006)</w:t>
      </w:r>
      <w:r w:rsidR="00971FF7">
        <w:fldChar w:fldCharType="end"/>
      </w:r>
      <w:r w:rsidR="006E3594" w:rsidRPr="006E3594">
        <w:t>.</w:t>
      </w:r>
      <w:r w:rsidR="00F96BE0">
        <w:t xml:space="preserve"> </w:t>
      </w:r>
    </w:p>
    <w:p w14:paraId="586FE63F" w14:textId="5A11A686" w:rsidR="00F96BE0" w:rsidRPr="00F96BE0" w:rsidRDefault="00F96BE0" w:rsidP="000C62B3">
      <w:pPr>
        <w:spacing w:line="240" w:lineRule="auto"/>
      </w:pPr>
      <w:bookmarkStart w:id="458" w:name="_Toc99378055"/>
      <w:r>
        <w:t>Table 4.</w:t>
      </w:r>
      <w:r w:rsidR="007E7CC8">
        <w:fldChar w:fldCharType="begin"/>
      </w:r>
      <w:r w:rsidR="007E7CC8">
        <w:instrText xml:space="preserve"> SEQ Table_4. \* ARABIC </w:instrText>
      </w:r>
      <w:r w:rsidR="007E7CC8">
        <w:fldChar w:fldCharType="separate"/>
      </w:r>
      <w:r w:rsidR="00E268F6">
        <w:rPr>
          <w:noProof/>
        </w:rPr>
        <w:t>5</w:t>
      </w:r>
      <w:r w:rsidR="007E7CC8">
        <w:rPr>
          <w:noProof/>
        </w:rPr>
        <w:fldChar w:fldCharType="end"/>
      </w:r>
      <w:r>
        <w:t>: Comparison between the RE and LE parameters during b</w:t>
      </w:r>
      <w:r w:rsidRPr="00325D99">
        <w:t>inocular recording method</w:t>
      </w:r>
      <w:r w:rsidR="006E3594">
        <w:t xml:space="preserve"> using an independent samples t-test and Mann-Whitney U test</w:t>
      </w:r>
      <w:r w:rsidRPr="00325D99">
        <w:t>.</w:t>
      </w:r>
      <w:bookmarkEnd w:id="458"/>
      <w:r w:rsidRPr="00325D99">
        <w:t xml:space="preserve"> </w:t>
      </w:r>
    </w:p>
    <w:tbl>
      <w:tblPr>
        <w:tblStyle w:val="TableGrid"/>
        <w:tblW w:w="9209" w:type="dxa"/>
        <w:tblLook w:val="04A0" w:firstRow="1" w:lastRow="0" w:firstColumn="1" w:lastColumn="0" w:noHBand="0" w:noVBand="1"/>
      </w:tblPr>
      <w:tblGrid>
        <w:gridCol w:w="1888"/>
        <w:gridCol w:w="1804"/>
        <w:gridCol w:w="1046"/>
        <w:gridCol w:w="1683"/>
        <w:gridCol w:w="1670"/>
        <w:gridCol w:w="1118"/>
      </w:tblGrid>
      <w:tr w:rsidR="00F96BE0" w:rsidRPr="00F96BE0" w14:paraId="741BFCB4" w14:textId="77777777" w:rsidTr="00F96BE0">
        <w:tc>
          <w:tcPr>
            <w:tcW w:w="1914" w:type="dxa"/>
          </w:tcPr>
          <w:p w14:paraId="61079EA8" w14:textId="77777777" w:rsidR="00F96BE0" w:rsidRPr="00F96BE0" w:rsidRDefault="00F96BE0" w:rsidP="00F96BE0">
            <w:pPr>
              <w:spacing w:before="0" w:after="0" w:line="240" w:lineRule="auto"/>
              <w:rPr>
                <w:b/>
                <w:bCs/>
              </w:rPr>
            </w:pPr>
            <w:r w:rsidRPr="00F96BE0">
              <w:rPr>
                <w:b/>
                <w:bCs/>
              </w:rPr>
              <w:t>Statistical test</w:t>
            </w:r>
          </w:p>
        </w:tc>
        <w:tc>
          <w:tcPr>
            <w:tcW w:w="1830" w:type="dxa"/>
          </w:tcPr>
          <w:p w14:paraId="7C5E7E66" w14:textId="77777777" w:rsidR="00F96BE0" w:rsidRPr="00F96BE0" w:rsidRDefault="00F96BE0" w:rsidP="00F96BE0">
            <w:pPr>
              <w:spacing w:before="0" w:after="0" w:line="240" w:lineRule="auto"/>
              <w:rPr>
                <w:b/>
                <w:bCs/>
              </w:rPr>
            </w:pPr>
            <w:r w:rsidRPr="00F96BE0">
              <w:rPr>
                <w:b/>
                <w:bCs/>
              </w:rPr>
              <w:t>EMR parameters</w:t>
            </w:r>
          </w:p>
        </w:tc>
        <w:tc>
          <w:tcPr>
            <w:tcW w:w="1071" w:type="dxa"/>
          </w:tcPr>
          <w:p w14:paraId="50241A6C" w14:textId="77777777" w:rsidR="00F96BE0" w:rsidRPr="00F96BE0" w:rsidRDefault="00F96BE0" w:rsidP="00F96BE0">
            <w:pPr>
              <w:spacing w:before="0" w:after="0" w:line="240" w:lineRule="auto"/>
            </w:pPr>
          </w:p>
        </w:tc>
        <w:tc>
          <w:tcPr>
            <w:tcW w:w="1584" w:type="dxa"/>
          </w:tcPr>
          <w:p w14:paraId="14167562" w14:textId="77777777" w:rsidR="00F96BE0" w:rsidRPr="00F96BE0" w:rsidRDefault="00F96BE0" w:rsidP="00F96BE0">
            <w:pPr>
              <w:spacing w:before="0" w:after="0" w:line="240" w:lineRule="auto"/>
              <w:jc w:val="center"/>
              <w:rPr>
                <w:b/>
                <w:bCs/>
              </w:rPr>
            </w:pPr>
            <w:proofErr w:type="spellStart"/>
            <w:r w:rsidRPr="00F96BE0">
              <w:rPr>
                <w:b/>
                <w:bCs/>
              </w:rPr>
              <w:t>Binocular_RE</w:t>
            </w:r>
            <w:proofErr w:type="spellEnd"/>
          </w:p>
          <w:p w14:paraId="3CA1E367" w14:textId="34863BE9" w:rsidR="00F96BE0" w:rsidRPr="00F96BE0" w:rsidRDefault="00F96BE0" w:rsidP="00F96BE0">
            <w:pPr>
              <w:spacing w:before="0" w:after="0" w:line="240" w:lineRule="auto"/>
              <w:jc w:val="center"/>
              <w:rPr>
                <w:b/>
                <w:bCs/>
              </w:rPr>
            </w:pPr>
          </w:p>
        </w:tc>
        <w:tc>
          <w:tcPr>
            <w:tcW w:w="0" w:type="auto"/>
          </w:tcPr>
          <w:p w14:paraId="299DC61A" w14:textId="77777777" w:rsidR="00F96BE0" w:rsidRPr="00F96BE0" w:rsidRDefault="00F96BE0" w:rsidP="00F96BE0">
            <w:pPr>
              <w:spacing w:before="0" w:after="0" w:line="240" w:lineRule="auto"/>
              <w:jc w:val="center"/>
              <w:rPr>
                <w:b/>
                <w:bCs/>
              </w:rPr>
            </w:pPr>
            <w:proofErr w:type="spellStart"/>
            <w:r w:rsidRPr="00F96BE0">
              <w:rPr>
                <w:b/>
                <w:bCs/>
              </w:rPr>
              <w:t>Binocular_LE</w:t>
            </w:r>
            <w:proofErr w:type="spellEnd"/>
          </w:p>
          <w:p w14:paraId="24C5AB90" w14:textId="2E380E66" w:rsidR="00F96BE0" w:rsidRPr="00F96BE0" w:rsidRDefault="00F96BE0" w:rsidP="00F96BE0">
            <w:pPr>
              <w:spacing w:before="0" w:after="0" w:line="240" w:lineRule="auto"/>
              <w:jc w:val="center"/>
              <w:rPr>
                <w:b/>
                <w:bCs/>
              </w:rPr>
            </w:pPr>
          </w:p>
        </w:tc>
        <w:tc>
          <w:tcPr>
            <w:tcW w:w="1140" w:type="dxa"/>
          </w:tcPr>
          <w:p w14:paraId="4E537E2A" w14:textId="77777777" w:rsidR="00F96BE0" w:rsidRPr="00F96BE0" w:rsidRDefault="00F96BE0" w:rsidP="00F96BE0">
            <w:pPr>
              <w:spacing w:before="0" w:after="0" w:line="240" w:lineRule="auto"/>
              <w:rPr>
                <w:b/>
                <w:bCs/>
              </w:rPr>
            </w:pPr>
            <w:r w:rsidRPr="00F96BE0">
              <w:rPr>
                <w:b/>
                <w:bCs/>
                <w:i/>
                <w:iCs/>
              </w:rPr>
              <w:t>p</w:t>
            </w:r>
            <w:r w:rsidRPr="00F96BE0">
              <w:rPr>
                <w:b/>
                <w:bCs/>
              </w:rPr>
              <w:t>-value</w:t>
            </w:r>
          </w:p>
        </w:tc>
      </w:tr>
      <w:tr w:rsidR="00F96BE0" w:rsidRPr="00F96BE0" w14:paraId="41B4E488" w14:textId="77777777" w:rsidTr="00F96BE0">
        <w:tc>
          <w:tcPr>
            <w:tcW w:w="1914" w:type="dxa"/>
            <w:vMerge w:val="restart"/>
            <w:vAlign w:val="center"/>
          </w:tcPr>
          <w:p w14:paraId="70BA715C" w14:textId="77777777" w:rsidR="00F96BE0" w:rsidRPr="00F96BE0" w:rsidRDefault="00F96BE0" w:rsidP="00F96BE0">
            <w:pPr>
              <w:spacing w:before="0" w:after="0" w:line="240" w:lineRule="auto"/>
              <w:jc w:val="center"/>
              <w:rPr>
                <w:b/>
                <w:bCs/>
              </w:rPr>
            </w:pPr>
            <w:r w:rsidRPr="00F96BE0">
              <w:t>Mann-Whitney U test</w:t>
            </w:r>
          </w:p>
        </w:tc>
        <w:tc>
          <w:tcPr>
            <w:tcW w:w="1830" w:type="dxa"/>
          </w:tcPr>
          <w:p w14:paraId="3B9BCCE2" w14:textId="77777777" w:rsidR="00F96BE0" w:rsidRPr="00F96BE0" w:rsidRDefault="00F96BE0" w:rsidP="00F96BE0">
            <w:pPr>
              <w:spacing w:before="0" w:after="0" w:line="240" w:lineRule="auto"/>
              <w:rPr>
                <w:i/>
                <w:iCs/>
              </w:rPr>
            </w:pPr>
            <w:r w:rsidRPr="00F96BE0">
              <w:rPr>
                <w:i/>
                <w:iCs/>
              </w:rPr>
              <w:t>Fixation:</w:t>
            </w:r>
          </w:p>
        </w:tc>
        <w:tc>
          <w:tcPr>
            <w:tcW w:w="1071" w:type="dxa"/>
          </w:tcPr>
          <w:p w14:paraId="630FDAAF" w14:textId="77777777" w:rsidR="00F96BE0" w:rsidRPr="00F96BE0" w:rsidRDefault="00F96BE0" w:rsidP="00F96BE0">
            <w:pPr>
              <w:spacing w:before="0" w:after="0" w:line="240" w:lineRule="auto"/>
            </w:pPr>
          </w:p>
        </w:tc>
        <w:tc>
          <w:tcPr>
            <w:tcW w:w="1584" w:type="dxa"/>
          </w:tcPr>
          <w:p w14:paraId="72454A95" w14:textId="3A9BCABF" w:rsidR="00F96BE0" w:rsidRPr="00F96BE0" w:rsidRDefault="00F96BE0" w:rsidP="00F96BE0">
            <w:pPr>
              <w:spacing w:before="0" w:after="0" w:line="240" w:lineRule="auto"/>
              <w:jc w:val="center"/>
              <w:rPr>
                <w:b/>
                <w:bCs/>
              </w:rPr>
            </w:pPr>
            <w:r w:rsidRPr="00F96BE0">
              <w:rPr>
                <w:b/>
                <w:bCs/>
              </w:rPr>
              <w:t>n = 17</w:t>
            </w:r>
          </w:p>
        </w:tc>
        <w:tc>
          <w:tcPr>
            <w:tcW w:w="0" w:type="auto"/>
          </w:tcPr>
          <w:p w14:paraId="674B1C41" w14:textId="234CF851" w:rsidR="00F96BE0" w:rsidRPr="00F96BE0" w:rsidRDefault="00F96BE0" w:rsidP="00F96BE0">
            <w:pPr>
              <w:spacing w:before="0" w:after="0" w:line="240" w:lineRule="auto"/>
              <w:jc w:val="center"/>
              <w:rPr>
                <w:b/>
                <w:bCs/>
              </w:rPr>
            </w:pPr>
            <w:r w:rsidRPr="00F96BE0">
              <w:rPr>
                <w:b/>
                <w:bCs/>
              </w:rPr>
              <w:t>n = 17</w:t>
            </w:r>
          </w:p>
        </w:tc>
        <w:tc>
          <w:tcPr>
            <w:tcW w:w="1140" w:type="dxa"/>
          </w:tcPr>
          <w:p w14:paraId="4787D9A2" w14:textId="77777777" w:rsidR="00F96BE0" w:rsidRPr="00F96BE0" w:rsidRDefault="00F96BE0" w:rsidP="00F96BE0">
            <w:pPr>
              <w:spacing w:before="0" w:after="0" w:line="240" w:lineRule="auto"/>
              <w:rPr>
                <w:b/>
                <w:bCs/>
                <w:i/>
                <w:iCs/>
              </w:rPr>
            </w:pPr>
          </w:p>
        </w:tc>
      </w:tr>
      <w:tr w:rsidR="00F96BE0" w:rsidRPr="00F96BE0" w14:paraId="22144489" w14:textId="77777777" w:rsidTr="00F96BE0">
        <w:tc>
          <w:tcPr>
            <w:tcW w:w="1914" w:type="dxa"/>
            <w:vMerge/>
            <w:vAlign w:val="center"/>
          </w:tcPr>
          <w:p w14:paraId="53B01696" w14:textId="77777777" w:rsidR="00F96BE0" w:rsidRPr="00F96BE0" w:rsidRDefault="00F96BE0" w:rsidP="00F96BE0">
            <w:pPr>
              <w:spacing w:before="0" w:after="0" w:line="240" w:lineRule="auto"/>
              <w:jc w:val="center"/>
            </w:pPr>
          </w:p>
        </w:tc>
        <w:tc>
          <w:tcPr>
            <w:tcW w:w="1830" w:type="dxa"/>
            <w:vMerge w:val="restart"/>
          </w:tcPr>
          <w:p w14:paraId="255F68E3" w14:textId="77777777" w:rsidR="00F96BE0" w:rsidRPr="00F96BE0" w:rsidRDefault="00F96BE0" w:rsidP="00F96BE0">
            <w:pPr>
              <w:spacing w:before="0" w:after="0" w:line="240" w:lineRule="auto"/>
            </w:pPr>
            <w:r w:rsidRPr="00F96BE0">
              <w:t>Dwell time (%)</w:t>
            </w:r>
          </w:p>
        </w:tc>
        <w:tc>
          <w:tcPr>
            <w:tcW w:w="1071" w:type="dxa"/>
          </w:tcPr>
          <w:p w14:paraId="5847919F" w14:textId="77777777" w:rsidR="00F96BE0" w:rsidRPr="00F96BE0" w:rsidRDefault="00F96BE0" w:rsidP="00F96BE0">
            <w:pPr>
              <w:spacing w:before="0" w:after="0" w:line="240" w:lineRule="auto"/>
            </w:pPr>
            <w:r w:rsidRPr="00F96BE0">
              <w:t>1° AOI</w:t>
            </w:r>
          </w:p>
        </w:tc>
        <w:tc>
          <w:tcPr>
            <w:tcW w:w="1584" w:type="dxa"/>
          </w:tcPr>
          <w:p w14:paraId="4CAA73B4" w14:textId="77777777" w:rsidR="00F96BE0" w:rsidRPr="00F96BE0" w:rsidRDefault="00F96BE0" w:rsidP="00F96BE0">
            <w:pPr>
              <w:spacing w:before="0" w:after="0" w:line="240" w:lineRule="auto"/>
              <w:jc w:val="center"/>
            </w:pPr>
            <w:proofErr w:type="spellStart"/>
            <w:r w:rsidRPr="00F96BE0">
              <w:rPr>
                <w:i/>
                <w:iCs/>
              </w:rPr>
              <w:t>mr</w:t>
            </w:r>
            <w:proofErr w:type="spellEnd"/>
            <w:r w:rsidRPr="00F96BE0">
              <w:t xml:space="preserve"> = 19.71</w:t>
            </w:r>
          </w:p>
        </w:tc>
        <w:tc>
          <w:tcPr>
            <w:tcW w:w="0" w:type="auto"/>
          </w:tcPr>
          <w:p w14:paraId="42258C4B" w14:textId="77777777" w:rsidR="00F96BE0" w:rsidRPr="00F96BE0" w:rsidRDefault="00F96BE0" w:rsidP="00F96BE0">
            <w:pPr>
              <w:spacing w:before="0" w:after="0" w:line="240" w:lineRule="auto"/>
              <w:jc w:val="center"/>
            </w:pPr>
            <w:proofErr w:type="spellStart"/>
            <w:r w:rsidRPr="00F96BE0">
              <w:rPr>
                <w:i/>
                <w:iCs/>
              </w:rPr>
              <w:t>mr</w:t>
            </w:r>
            <w:proofErr w:type="spellEnd"/>
            <w:r w:rsidRPr="00F96BE0">
              <w:t xml:space="preserve"> = 15.29</w:t>
            </w:r>
          </w:p>
        </w:tc>
        <w:tc>
          <w:tcPr>
            <w:tcW w:w="1140" w:type="dxa"/>
          </w:tcPr>
          <w:p w14:paraId="3583F329" w14:textId="77777777" w:rsidR="00F96BE0" w:rsidRPr="00F96BE0" w:rsidRDefault="00F96BE0" w:rsidP="00F96BE0">
            <w:pPr>
              <w:spacing w:before="0" w:after="0" w:line="240" w:lineRule="auto"/>
            </w:pPr>
            <w:r w:rsidRPr="00F96BE0">
              <w:t>0.21</w:t>
            </w:r>
          </w:p>
        </w:tc>
      </w:tr>
      <w:tr w:rsidR="00F96BE0" w:rsidRPr="00F96BE0" w14:paraId="36C4F26E" w14:textId="77777777" w:rsidTr="00F96BE0">
        <w:tc>
          <w:tcPr>
            <w:tcW w:w="1914" w:type="dxa"/>
            <w:vMerge/>
          </w:tcPr>
          <w:p w14:paraId="7E961109" w14:textId="77777777" w:rsidR="00F96BE0" w:rsidRPr="00F96BE0" w:rsidRDefault="00F96BE0" w:rsidP="00F96BE0">
            <w:pPr>
              <w:spacing w:before="0" w:after="0" w:line="240" w:lineRule="auto"/>
            </w:pPr>
          </w:p>
        </w:tc>
        <w:tc>
          <w:tcPr>
            <w:tcW w:w="1830" w:type="dxa"/>
            <w:vMerge/>
          </w:tcPr>
          <w:p w14:paraId="5E187B3B" w14:textId="77777777" w:rsidR="00F96BE0" w:rsidRPr="00F96BE0" w:rsidRDefault="00F96BE0" w:rsidP="00F96BE0">
            <w:pPr>
              <w:spacing w:before="0" w:after="0" w:line="240" w:lineRule="auto"/>
            </w:pPr>
          </w:p>
        </w:tc>
        <w:tc>
          <w:tcPr>
            <w:tcW w:w="1071" w:type="dxa"/>
          </w:tcPr>
          <w:p w14:paraId="6C3C751A" w14:textId="77777777" w:rsidR="00F96BE0" w:rsidRPr="00F96BE0" w:rsidRDefault="00F96BE0" w:rsidP="00F96BE0">
            <w:pPr>
              <w:spacing w:before="0" w:after="0" w:line="240" w:lineRule="auto"/>
            </w:pPr>
            <w:r w:rsidRPr="00F96BE0">
              <w:t>2° AOI</w:t>
            </w:r>
          </w:p>
        </w:tc>
        <w:tc>
          <w:tcPr>
            <w:tcW w:w="1584" w:type="dxa"/>
          </w:tcPr>
          <w:p w14:paraId="66654B26" w14:textId="77777777" w:rsidR="00F96BE0" w:rsidRPr="00F96BE0" w:rsidRDefault="00F96BE0" w:rsidP="00F96BE0">
            <w:pPr>
              <w:spacing w:before="0" w:after="0" w:line="240" w:lineRule="auto"/>
              <w:jc w:val="center"/>
            </w:pPr>
            <w:proofErr w:type="spellStart"/>
            <w:r w:rsidRPr="00F96BE0">
              <w:rPr>
                <w:i/>
                <w:iCs/>
              </w:rPr>
              <w:t>mr</w:t>
            </w:r>
            <w:proofErr w:type="spellEnd"/>
            <w:r w:rsidRPr="00F96BE0">
              <w:t xml:space="preserve"> = 16.71</w:t>
            </w:r>
          </w:p>
        </w:tc>
        <w:tc>
          <w:tcPr>
            <w:tcW w:w="0" w:type="auto"/>
          </w:tcPr>
          <w:p w14:paraId="5700CF70" w14:textId="77777777" w:rsidR="00F96BE0" w:rsidRPr="00F96BE0" w:rsidRDefault="00F96BE0" w:rsidP="00F96BE0">
            <w:pPr>
              <w:spacing w:before="0" w:after="0" w:line="240" w:lineRule="auto"/>
              <w:jc w:val="center"/>
            </w:pPr>
            <w:proofErr w:type="spellStart"/>
            <w:r w:rsidRPr="00F96BE0">
              <w:rPr>
                <w:i/>
                <w:iCs/>
              </w:rPr>
              <w:t>mr</w:t>
            </w:r>
            <w:proofErr w:type="spellEnd"/>
            <w:r w:rsidRPr="00F96BE0">
              <w:t xml:space="preserve"> = 18.29</w:t>
            </w:r>
          </w:p>
        </w:tc>
        <w:tc>
          <w:tcPr>
            <w:tcW w:w="1140" w:type="dxa"/>
          </w:tcPr>
          <w:p w14:paraId="5522E556" w14:textId="77777777" w:rsidR="00F96BE0" w:rsidRPr="00F96BE0" w:rsidRDefault="00F96BE0" w:rsidP="00F96BE0">
            <w:pPr>
              <w:spacing w:before="0" w:after="0" w:line="240" w:lineRule="auto"/>
            </w:pPr>
            <w:r w:rsidRPr="00F96BE0">
              <w:t>0.66</w:t>
            </w:r>
          </w:p>
        </w:tc>
      </w:tr>
      <w:tr w:rsidR="00F96BE0" w:rsidRPr="00F96BE0" w14:paraId="069D5DAC" w14:textId="77777777" w:rsidTr="00F96BE0">
        <w:tc>
          <w:tcPr>
            <w:tcW w:w="1914" w:type="dxa"/>
            <w:vMerge/>
          </w:tcPr>
          <w:p w14:paraId="3C9525CD" w14:textId="77777777" w:rsidR="00F96BE0" w:rsidRPr="00F96BE0" w:rsidRDefault="00F96BE0" w:rsidP="00F96BE0">
            <w:pPr>
              <w:spacing w:before="0" w:after="0" w:line="240" w:lineRule="auto"/>
            </w:pPr>
          </w:p>
        </w:tc>
        <w:tc>
          <w:tcPr>
            <w:tcW w:w="1830" w:type="dxa"/>
            <w:vMerge/>
          </w:tcPr>
          <w:p w14:paraId="40D7FA05" w14:textId="77777777" w:rsidR="00F96BE0" w:rsidRPr="00F96BE0" w:rsidRDefault="00F96BE0" w:rsidP="00F96BE0">
            <w:pPr>
              <w:spacing w:before="0" w:after="0" w:line="240" w:lineRule="auto"/>
            </w:pPr>
          </w:p>
        </w:tc>
        <w:tc>
          <w:tcPr>
            <w:tcW w:w="1071" w:type="dxa"/>
          </w:tcPr>
          <w:p w14:paraId="389F75C6" w14:textId="77777777" w:rsidR="00F96BE0" w:rsidRPr="00F96BE0" w:rsidRDefault="00F96BE0" w:rsidP="00F96BE0">
            <w:pPr>
              <w:spacing w:before="0" w:after="0" w:line="240" w:lineRule="auto"/>
            </w:pPr>
            <w:r w:rsidRPr="00F96BE0">
              <w:t>&gt;2° AOI</w:t>
            </w:r>
          </w:p>
        </w:tc>
        <w:tc>
          <w:tcPr>
            <w:tcW w:w="1584" w:type="dxa"/>
          </w:tcPr>
          <w:p w14:paraId="5875EC3E" w14:textId="77777777" w:rsidR="00F96BE0" w:rsidRPr="00F96BE0" w:rsidRDefault="00F96BE0" w:rsidP="00F96BE0">
            <w:pPr>
              <w:spacing w:before="0" w:after="0" w:line="240" w:lineRule="auto"/>
              <w:jc w:val="center"/>
            </w:pPr>
            <w:proofErr w:type="spellStart"/>
            <w:r w:rsidRPr="00F96BE0">
              <w:rPr>
                <w:i/>
                <w:iCs/>
              </w:rPr>
              <w:t>mr</w:t>
            </w:r>
            <w:proofErr w:type="spellEnd"/>
            <w:r w:rsidRPr="00F96BE0">
              <w:t xml:space="preserve"> = 17.59</w:t>
            </w:r>
          </w:p>
        </w:tc>
        <w:tc>
          <w:tcPr>
            <w:tcW w:w="0" w:type="auto"/>
          </w:tcPr>
          <w:p w14:paraId="3EF4F305" w14:textId="77777777" w:rsidR="00F96BE0" w:rsidRPr="00F96BE0" w:rsidRDefault="00F96BE0" w:rsidP="00F96BE0">
            <w:pPr>
              <w:spacing w:before="0" w:after="0" w:line="240" w:lineRule="auto"/>
              <w:jc w:val="center"/>
            </w:pPr>
            <w:proofErr w:type="spellStart"/>
            <w:r w:rsidRPr="00F96BE0">
              <w:rPr>
                <w:i/>
                <w:iCs/>
              </w:rPr>
              <w:t>mr</w:t>
            </w:r>
            <w:proofErr w:type="spellEnd"/>
            <w:r w:rsidRPr="00F96BE0">
              <w:t xml:space="preserve"> = 17.41</w:t>
            </w:r>
          </w:p>
        </w:tc>
        <w:tc>
          <w:tcPr>
            <w:tcW w:w="1140" w:type="dxa"/>
          </w:tcPr>
          <w:p w14:paraId="561BE141" w14:textId="77777777" w:rsidR="00F96BE0" w:rsidRPr="00F96BE0" w:rsidRDefault="00F96BE0" w:rsidP="00F96BE0">
            <w:pPr>
              <w:spacing w:before="0" w:after="0" w:line="240" w:lineRule="auto"/>
            </w:pPr>
            <w:r w:rsidRPr="00F96BE0">
              <w:t>0.97</w:t>
            </w:r>
          </w:p>
        </w:tc>
      </w:tr>
      <w:tr w:rsidR="00F96BE0" w:rsidRPr="00F96BE0" w14:paraId="572EC4F6" w14:textId="77777777" w:rsidTr="00F96BE0">
        <w:tc>
          <w:tcPr>
            <w:tcW w:w="1914" w:type="dxa"/>
            <w:vMerge w:val="restart"/>
            <w:vAlign w:val="center"/>
          </w:tcPr>
          <w:p w14:paraId="5E1F47E7" w14:textId="77777777" w:rsidR="00F96BE0" w:rsidRPr="00F96BE0" w:rsidRDefault="00F96BE0" w:rsidP="00F96BE0">
            <w:pPr>
              <w:spacing w:before="0" w:after="0" w:line="240" w:lineRule="auto"/>
              <w:jc w:val="center"/>
            </w:pPr>
            <w:r w:rsidRPr="00F96BE0">
              <w:t>Independent-samples t-test</w:t>
            </w:r>
          </w:p>
        </w:tc>
        <w:tc>
          <w:tcPr>
            <w:tcW w:w="1830" w:type="dxa"/>
          </w:tcPr>
          <w:p w14:paraId="71166080" w14:textId="77777777" w:rsidR="00F96BE0" w:rsidRPr="00F96BE0" w:rsidRDefault="00F96BE0" w:rsidP="00F96BE0">
            <w:pPr>
              <w:spacing w:before="0" w:after="0" w:line="240" w:lineRule="auto"/>
              <w:rPr>
                <w:i/>
                <w:iCs/>
              </w:rPr>
            </w:pPr>
            <w:r w:rsidRPr="00F96BE0">
              <w:rPr>
                <w:i/>
                <w:iCs/>
              </w:rPr>
              <w:t>Smooth Pursuit:</w:t>
            </w:r>
          </w:p>
        </w:tc>
        <w:tc>
          <w:tcPr>
            <w:tcW w:w="1071" w:type="dxa"/>
          </w:tcPr>
          <w:p w14:paraId="02810ACF" w14:textId="77777777" w:rsidR="00F96BE0" w:rsidRPr="00F96BE0" w:rsidRDefault="00F96BE0" w:rsidP="00F96BE0">
            <w:pPr>
              <w:spacing w:before="0" w:after="0" w:line="240" w:lineRule="auto"/>
            </w:pPr>
          </w:p>
        </w:tc>
        <w:tc>
          <w:tcPr>
            <w:tcW w:w="1584" w:type="dxa"/>
          </w:tcPr>
          <w:p w14:paraId="2B8867DD" w14:textId="0C3667EA" w:rsidR="00F96BE0" w:rsidRPr="00F96BE0" w:rsidRDefault="00F96BE0" w:rsidP="00F96BE0">
            <w:pPr>
              <w:spacing w:before="0" w:after="0" w:line="240" w:lineRule="auto"/>
              <w:jc w:val="center"/>
            </w:pPr>
            <w:r w:rsidRPr="00F96BE0">
              <w:rPr>
                <w:b/>
                <w:bCs/>
              </w:rPr>
              <w:t>n = 1</w:t>
            </w:r>
            <w:r>
              <w:rPr>
                <w:b/>
                <w:bCs/>
              </w:rPr>
              <w:t>8</w:t>
            </w:r>
          </w:p>
        </w:tc>
        <w:tc>
          <w:tcPr>
            <w:tcW w:w="0" w:type="auto"/>
          </w:tcPr>
          <w:p w14:paraId="2B0559C3" w14:textId="0396CC6A" w:rsidR="00F96BE0" w:rsidRPr="00F96BE0" w:rsidRDefault="00F96BE0" w:rsidP="00F96BE0">
            <w:pPr>
              <w:spacing w:before="0" w:after="0" w:line="240" w:lineRule="auto"/>
              <w:jc w:val="center"/>
            </w:pPr>
            <w:r w:rsidRPr="00F96BE0">
              <w:rPr>
                <w:b/>
                <w:bCs/>
              </w:rPr>
              <w:t>n = 1</w:t>
            </w:r>
            <w:r>
              <w:rPr>
                <w:b/>
                <w:bCs/>
              </w:rPr>
              <w:t>8</w:t>
            </w:r>
          </w:p>
        </w:tc>
        <w:tc>
          <w:tcPr>
            <w:tcW w:w="1140" w:type="dxa"/>
          </w:tcPr>
          <w:p w14:paraId="07515B78" w14:textId="77777777" w:rsidR="00F96BE0" w:rsidRPr="00F96BE0" w:rsidRDefault="00F96BE0" w:rsidP="00F96BE0">
            <w:pPr>
              <w:spacing w:before="0" w:after="0" w:line="240" w:lineRule="auto"/>
            </w:pPr>
          </w:p>
        </w:tc>
      </w:tr>
      <w:tr w:rsidR="00F96BE0" w:rsidRPr="00F96BE0" w14:paraId="5215378C" w14:textId="77777777" w:rsidTr="00F96BE0">
        <w:tc>
          <w:tcPr>
            <w:tcW w:w="1914" w:type="dxa"/>
            <w:vMerge/>
            <w:vAlign w:val="center"/>
          </w:tcPr>
          <w:p w14:paraId="3846FE50" w14:textId="77777777" w:rsidR="00F96BE0" w:rsidRPr="00F96BE0" w:rsidRDefault="00F96BE0" w:rsidP="00F96BE0">
            <w:pPr>
              <w:spacing w:before="0" w:after="0" w:line="240" w:lineRule="auto"/>
              <w:jc w:val="center"/>
            </w:pPr>
          </w:p>
        </w:tc>
        <w:tc>
          <w:tcPr>
            <w:tcW w:w="1830" w:type="dxa"/>
            <w:vMerge w:val="restart"/>
          </w:tcPr>
          <w:p w14:paraId="169720F3" w14:textId="77777777" w:rsidR="00F96BE0" w:rsidRPr="00F96BE0" w:rsidRDefault="00F96BE0" w:rsidP="00F96BE0">
            <w:pPr>
              <w:spacing w:before="0" w:after="0" w:line="240" w:lineRule="auto"/>
            </w:pPr>
            <w:r w:rsidRPr="00F96BE0">
              <w:t>Horizontal gain</w:t>
            </w:r>
          </w:p>
        </w:tc>
        <w:tc>
          <w:tcPr>
            <w:tcW w:w="1071" w:type="dxa"/>
          </w:tcPr>
          <w:p w14:paraId="3ED7D49B" w14:textId="77777777" w:rsidR="00F96BE0" w:rsidRPr="00F96BE0" w:rsidRDefault="00F96BE0" w:rsidP="00F96BE0">
            <w:pPr>
              <w:spacing w:before="0" w:after="0" w:line="240" w:lineRule="auto"/>
            </w:pPr>
            <w:r w:rsidRPr="00F96BE0">
              <w:t>0.2 Hz</w:t>
            </w:r>
          </w:p>
        </w:tc>
        <w:tc>
          <w:tcPr>
            <w:tcW w:w="1584" w:type="dxa"/>
          </w:tcPr>
          <w:p w14:paraId="79041F56" w14:textId="77777777" w:rsidR="00F96BE0" w:rsidRPr="00F96BE0" w:rsidRDefault="00F96BE0" w:rsidP="00F96BE0">
            <w:pPr>
              <w:spacing w:before="0" w:after="0" w:line="240" w:lineRule="auto"/>
              <w:jc w:val="center"/>
            </w:pPr>
            <w:r w:rsidRPr="00F96BE0">
              <w:t>0.97</w:t>
            </w:r>
          </w:p>
        </w:tc>
        <w:tc>
          <w:tcPr>
            <w:tcW w:w="0" w:type="auto"/>
          </w:tcPr>
          <w:p w14:paraId="2E332F10" w14:textId="77777777" w:rsidR="00F96BE0" w:rsidRPr="00F96BE0" w:rsidRDefault="00F96BE0" w:rsidP="00F96BE0">
            <w:pPr>
              <w:spacing w:before="0" w:after="0" w:line="240" w:lineRule="auto"/>
              <w:jc w:val="center"/>
            </w:pPr>
            <w:r w:rsidRPr="00F96BE0">
              <w:t>0.95</w:t>
            </w:r>
          </w:p>
        </w:tc>
        <w:tc>
          <w:tcPr>
            <w:tcW w:w="1140" w:type="dxa"/>
          </w:tcPr>
          <w:p w14:paraId="7CA1465C" w14:textId="77777777" w:rsidR="00F96BE0" w:rsidRPr="00F96BE0" w:rsidRDefault="00F96BE0" w:rsidP="00F96BE0">
            <w:pPr>
              <w:spacing w:before="0" w:after="0" w:line="240" w:lineRule="auto"/>
            </w:pPr>
            <w:r w:rsidRPr="00F96BE0">
              <w:t>0.34</w:t>
            </w:r>
          </w:p>
        </w:tc>
      </w:tr>
      <w:tr w:rsidR="00F96BE0" w:rsidRPr="00F96BE0" w14:paraId="3CF4D0CA" w14:textId="77777777" w:rsidTr="00F96BE0">
        <w:tc>
          <w:tcPr>
            <w:tcW w:w="1914" w:type="dxa"/>
            <w:vMerge/>
          </w:tcPr>
          <w:p w14:paraId="1300E714" w14:textId="77777777" w:rsidR="00F96BE0" w:rsidRPr="00F96BE0" w:rsidRDefault="00F96BE0" w:rsidP="00F96BE0">
            <w:pPr>
              <w:spacing w:before="0" w:after="0" w:line="240" w:lineRule="auto"/>
            </w:pPr>
          </w:p>
        </w:tc>
        <w:tc>
          <w:tcPr>
            <w:tcW w:w="1830" w:type="dxa"/>
            <w:vMerge/>
          </w:tcPr>
          <w:p w14:paraId="24ADAF5A" w14:textId="77777777" w:rsidR="00F96BE0" w:rsidRPr="00F96BE0" w:rsidRDefault="00F96BE0" w:rsidP="00F96BE0">
            <w:pPr>
              <w:spacing w:before="0" w:after="0" w:line="240" w:lineRule="auto"/>
            </w:pPr>
          </w:p>
        </w:tc>
        <w:tc>
          <w:tcPr>
            <w:tcW w:w="1071" w:type="dxa"/>
          </w:tcPr>
          <w:p w14:paraId="362CD54E" w14:textId="77777777" w:rsidR="00F96BE0" w:rsidRPr="00F96BE0" w:rsidRDefault="00F96BE0" w:rsidP="00F96BE0">
            <w:pPr>
              <w:spacing w:before="0" w:after="0" w:line="240" w:lineRule="auto"/>
            </w:pPr>
            <w:r w:rsidRPr="00F96BE0">
              <w:t>0.4 Hz</w:t>
            </w:r>
          </w:p>
        </w:tc>
        <w:tc>
          <w:tcPr>
            <w:tcW w:w="1584" w:type="dxa"/>
          </w:tcPr>
          <w:p w14:paraId="70FFE15B" w14:textId="77777777" w:rsidR="00F96BE0" w:rsidRPr="00F96BE0" w:rsidRDefault="00F96BE0" w:rsidP="00F96BE0">
            <w:pPr>
              <w:spacing w:before="0" w:after="0" w:line="240" w:lineRule="auto"/>
              <w:jc w:val="center"/>
            </w:pPr>
            <w:r w:rsidRPr="00F96BE0">
              <w:t>0.93</w:t>
            </w:r>
          </w:p>
        </w:tc>
        <w:tc>
          <w:tcPr>
            <w:tcW w:w="0" w:type="auto"/>
          </w:tcPr>
          <w:p w14:paraId="23755FF7" w14:textId="77777777" w:rsidR="00F96BE0" w:rsidRPr="00F96BE0" w:rsidRDefault="00F96BE0" w:rsidP="00F96BE0">
            <w:pPr>
              <w:spacing w:before="0" w:after="0" w:line="240" w:lineRule="auto"/>
              <w:jc w:val="center"/>
            </w:pPr>
            <w:r w:rsidRPr="00F96BE0">
              <w:t>0.94</w:t>
            </w:r>
          </w:p>
        </w:tc>
        <w:tc>
          <w:tcPr>
            <w:tcW w:w="1140" w:type="dxa"/>
          </w:tcPr>
          <w:p w14:paraId="68EF3C9A" w14:textId="77777777" w:rsidR="00F96BE0" w:rsidRPr="00F96BE0" w:rsidRDefault="00F96BE0" w:rsidP="00F96BE0">
            <w:pPr>
              <w:spacing w:before="0" w:after="0" w:line="240" w:lineRule="auto"/>
            </w:pPr>
            <w:r w:rsidRPr="00F96BE0">
              <w:t>0.51</w:t>
            </w:r>
          </w:p>
        </w:tc>
      </w:tr>
      <w:tr w:rsidR="00F96BE0" w:rsidRPr="00F96BE0" w14:paraId="78A4D149" w14:textId="77777777" w:rsidTr="00F96BE0">
        <w:tc>
          <w:tcPr>
            <w:tcW w:w="1914" w:type="dxa"/>
            <w:vMerge/>
          </w:tcPr>
          <w:p w14:paraId="16FA9DFE" w14:textId="77777777" w:rsidR="00F96BE0" w:rsidRPr="00F96BE0" w:rsidRDefault="00F96BE0" w:rsidP="00F96BE0">
            <w:pPr>
              <w:spacing w:before="0" w:after="0" w:line="240" w:lineRule="auto"/>
            </w:pPr>
          </w:p>
        </w:tc>
        <w:tc>
          <w:tcPr>
            <w:tcW w:w="1830" w:type="dxa"/>
            <w:vMerge/>
          </w:tcPr>
          <w:p w14:paraId="278BCD20" w14:textId="77777777" w:rsidR="00F96BE0" w:rsidRPr="00F96BE0" w:rsidRDefault="00F96BE0" w:rsidP="00F96BE0">
            <w:pPr>
              <w:spacing w:before="0" w:after="0" w:line="240" w:lineRule="auto"/>
            </w:pPr>
          </w:p>
        </w:tc>
        <w:tc>
          <w:tcPr>
            <w:tcW w:w="1071" w:type="dxa"/>
          </w:tcPr>
          <w:p w14:paraId="394912C7" w14:textId="77777777" w:rsidR="00F96BE0" w:rsidRPr="00F96BE0" w:rsidRDefault="00F96BE0" w:rsidP="00F96BE0">
            <w:pPr>
              <w:spacing w:before="0" w:after="0" w:line="240" w:lineRule="auto"/>
            </w:pPr>
            <w:r w:rsidRPr="00F96BE0">
              <w:t>0.6 Hz</w:t>
            </w:r>
          </w:p>
        </w:tc>
        <w:tc>
          <w:tcPr>
            <w:tcW w:w="1584" w:type="dxa"/>
          </w:tcPr>
          <w:p w14:paraId="43622114" w14:textId="77777777" w:rsidR="00F96BE0" w:rsidRPr="00F96BE0" w:rsidRDefault="00F96BE0" w:rsidP="00F96BE0">
            <w:pPr>
              <w:spacing w:before="0" w:after="0" w:line="240" w:lineRule="auto"/>
              <w:jc w:val="center"/>
            </w:pPr>
            <w:r w:rsidRPr="00F96BE0">
              <w:t>0.88</w:t>
            </w:r>
          </w:p>
        </w:tc>
        <w:tc>
          <w:tcPr>
            <w:tcW w:w="0" w:type="auto"/>
          </w:tcPr>
          <w:p w14:paraId="269BCC5E" w14:textId="77777777" w:rsidR="00F96BE0" w:rsidRPr="00F96BE0" w:rsidRDefault="00F96BE0" w:rsidP="00F96BE0">
            <w:pPr>
              <w:spacing w:before="0" w:after="0" w:line="240" w:lineRule="auto"/>
              <w:jc w:val="center"/>
            </w:pPr>
            <w:r w:rsidRPr="00F96BE0">
              <w:t>0.88</w:t>
            </w:r>
          </w:p>
        </w:tc>
        <w:tc>
          <w:tcPr>
            <w:tcW w:w="1140" w:type="dxa"/>
          </w:tcPr>
          <w:p w14:paraId="41FBEC4B" w14:textId="77777777" w:rsidR="00F96BE0" w:rsidRPr="00F96BE0" w:rsidRDefault="00F96BE0" w:rsidP="00F96BE0">
            <w:pPr>
              <w:spacing w:before="0" w:after="0" w:line="240" w:lineRule="auto"/>
            </w:pPr>
            <w:r w:rsidRPr="00F96BE0">
              <w:t>0.54</w:t>
            </w:r>
          </w:p>
        </w:tc>
      </w:tr>
      <w:tr w:rsidR="00F96BE0" w:rsidRPr="00F96BE0" w14:paraId="34ED97DF" w14:textId="77777777" w:rsidTr="00F96BE0">
        <w:tc>
          <w:tcPr>
            <w:tcW w:w="1914" w:type="dxa"/>
            <w:vMerge/>
          </w:tcPr>
          <w:p w14:paraId="65FDC7C4" w14:textId="77777777" w:rsidR="00F96BE0" w:rsidRPr="00F96BE0" w:rsidRDefault="00F96BE0" w:rsidP="00F96BE0">
            <w:pPr>
              <w:spacing w:before="0" w:after="0" w:line="240" w:lineRule="auto"/>
            </w:pPr>
          </w:p>
        </w:tc>
        <w:tc>
          <w:tcPr>
            <w:tcW w:w="1830" w:type="dxa"/>
            <w:vMerge/>
          </w:tcPr>
          <w:p w14:paraId="53E599EC" w14:textId="77777777" w:rsidR="00F96BE0" w:rsidRPr="00F96BE0" w:rsidRDefault="00F96BE0" w:rsidP="00F96BE0">
            <w:pPr>
              <w:spacing w:before="0" w:after="0" w:line="240" w:lineRule="auto"/>
            </w:pPr>
          </w:p>
        </w:tc>
        <w:tc>
          <w:tcPr>
            <w:tcW w:w="1071" w:type="dxa"/>
          </w:tcPr>
          <w:p w14:paraId="2A4EC5E8" w14:textId="77777777" w:rsidR="00F96BE0" w:rsidRPr="00F96BE0" w:rsidRDefault="00F96BE0" w:rsidP="00F96BE0">
            <w:pPr>
              <w:spacing w:before="0" w:after="0" w:line="240" w:lineRule="auto"/>
            </w:pPr>
            <w:r w:rsidRPr="00F96BE0">
              <w:t>0.8 Hz</w:t>
            </w:r>
          </w:p>
        </w:tc>
        <w:tc>
          <w:tcPr>
            <w:tcW w:w="1584" w:type="dxa"/>
          </w:tcPr>
          <w:p w14:paraId="2B0B2096" w14:textId="77777777" w:rsidR="00F96BE0" w:rsidRPr="00F96BE0" w:rsidRDefault="00F96BE0" w:rsidP="00F96BE0">
            <w:pPr>
              <w:spacing w:before="0" w:after="0" w:line="240" w:lineRule="auto"/>
              <w:jc w:val="center"/>
            </w:pPr>
            <w:r w:rsidRPr="00F96BE0">
              <w:t>0.77</w:t>
            </w:r>
          </w:p>
        </w:tc>
        <w:tc>
          <w:tcPr>
            <w:tcW w:w="0" w:type="auto"/>
          </w:tcPr>
          <w:p w14:paraId="64EDE305" w14:textId="77777777" w:rsidR="00F96BE0" w:rsidRPr="00F96BE0" w:rsidRDefault="00F96BE0" w:rsidP="00F96BE0">
            <w:pPr>
              <w:spacing w:before="0" w:after="0" w:line="240" w:lineRule="auto"/>
              <w:jc w:val="center"/>
            </w:pPr>
            <w:r w:rsidRPr="00F96BE0">
              <w:t>0.75</w:t>
            </w:r>
          </w:p>
        </w:tc>
        <w:tc>
          <w:tcPr>
            <w:tcW w:w="1140" w:type="dxa"/>
          </w:tcPr>
          <w:p w14:paraId="152B306E" w14:textId="77777777" w:rsidR="00F96BE0" w:rsidRPr="00F96BE0" w:rsidRDefault="00F96BE0" w:rsidP="00F96BE0">
            <w:pPr>
              <w:spacing w:before="0" w:after="0" w:line="240" w:lineRule="auto"/>
            </w:pPr>
            <w:r w:rsidRPr="00F96BE0">
              <w:t>0.77</w:t>
            </w:r>
          </w:p>
        </w:tc>
      </w:tr>
      <w:tr w:rsidR="00F96BE0" w:rsidRPr="00F96BE0" w14:paraId="13C4A84F" w14:textId="77777777" w:rsidTr="00F96BE0">
        <w:tc>
          <w:tcPr>
            <w:tcW w:w="1914" w:type="dxa"/>
            <w:vMerge/>
          </w:tcPr>
          <w:p w14:paraId="19E80A6D" w14:textId="77777777" w:rsidR="00F96BE0" w:rsidRPr="00F96BE0" w:rsidRDefault="00F96BE0" w:rsidP="00F96BE0">
            <w:pPr>
              <w:spacing w:before="0" w:after="0" w:line="240" w:lineRule="auto"/>
            </w:pPr>
          </w:p>
        </w:tc>
        <w:tc>
          <w:tcPr>
            <w:tcW w:w="1830" w:type="dxa"/>
            <w:vMerge w:val="restart"/>
          </w:tcPr>
          <w:p w14:paraId="75E4A4DA" w14:textId="77777777" w:rsidR="00F96BE0" w:rsidRPr="00F96BE0" w:rsidRDefault="00F96BE0" w:rsidP="00F96BE0">
            <w:pPr>
              <w:spacing w:before="0" w:after="0" w:line="240" w:lineRule="auto"/>
            </w:pPr>
            <w:r w:rsidRPr="00F96BE0">
              <w:t>Horizontal RMSE (°)</w:t>
            </w:r>
          </w:p>
        </w:tc>
        <w:tc>
          <w:tcPr>
            <w:tcW w:w="1071" w:type="dxa"/>
          </w:tcPr>
          <w:p w14:paraId="5F95344E" w14:textId="77777777" w:rsidR="00F96BE0" w:rsidRPr="00F96BE0" w:rsidRDefault="00F96BE0" w:rsidP="00F96BE0">
            <w:pPr>
              <w:spacing w:before="0" w:after="0" w:line="240" w:lineRule="auto"/>
            </w:pPr>
            <w:r w:rsidRPr="00F96BE0">
              <w:t>0.2 Hz</w:t>
            </w:r>
          </w:p>
        </w:tc>
        <w:tc>
          <w:tcPr>
            <w:tcW w:w="1584" w:type="dxa"/>
          </w:tcPr>
          <w:p w14:paraId="7A0490F0" w14:textId="77777777" w:rsidR="00F96BE0" w:rsidRPr="00F96BE0" w:rsidRDefault="00F96BE0" w:rsidP="00F96BE0">
            <w:pPr>
              <w:spacing w:before="0" w:after="0" w:line="240" w:lineRule="auto"/>
              <w:jc w:val="center"/>
            </w:pPr>
            <w:r w:rsidRPr="00F96BE0">
              <w:t>0.38</w:t>
            </w:r>
          </w:p>
        </w:tc>
        <w:tc>
          <w:tcPr>
            <w:tcW w:w="0" w:type="auto"/>
          </w:tcPr>
          <w:p w14:paraId="1C394A04" w14:textId="77777777" w:rsidR="00F96BE0" w:rsidRPr="00F96BE0" w:rsidRDefault="00F96BE0" w:rsidP="00F96BE0">
            <w:pPr>
              <w:spacing w:before="0" w:after="0" w:line="240" w:lineRule="auto"/>
              <w:jc w:val="center"/>
            </w:pPr>
            <w:r w:rsidRPr="00F96BE0">
              <w:t>0.35</w:t>
            </w:r>
          </w:p>
        </w:tc>
        <w:tc>
          <w:tcPr>
            <w:tcW w:w="1140" w:type="dxa"/>
          </w:tcPr>
          <w:p w14:paraId="5CD9349F" w14:textId="77777777" w:rsidR="00F96BE0" w:rsidRPr="00F96BE0" w:rsidRDefault="00F96BE0" w:rsidP="00F96BE0">
            <w:pPr>
              <w:spacing w:before="0" w:after="0" w:line="240" w:lineRule="auto"/>
            </w:pPr>
            <w:r w:rsidRPr="00F96BE0">
              <w:t>0.52</w:t>
            </w:r>
          </w:p>
        </w:tc>
      </w:tr>
      <w:tr w:rsidR="00F96BE0" w:rsidRPr="00F96BE0" w14:paraId="4D192485" w14:textId="77777777" w:rsidTr="00F96BE0">
        <w:tc>
          <w:tcPr>
            <w:tcW w:w="1914" w:type="dxa"/>
            <w:vMerge/>
          </w:tcPr>
          <w:p w14:paraId="7A798B6E" w14:textId="77777777" w:rsidR="00F96BE0" w:rsidRPr="00F96BE0" w:rsidRDefault="00F96BE0" w:rsidP="00F96BE0">
            <w:pPr>
              <w:spacing w:before="0" w:after="0" w:line="240" w:lineRule="auto"/>
            </w:pPr>
          </w:p>
        </w:tc>
        <w:tc>
          <w:tcPr>
            <w:tcW w:w="1830" w:type="dxa"/>
            <w:vMerge/>
          </w:tcPr>
          <w:p w14:paraId="23E6E5A9" w14:textId="77777777" w:rsidR="00F96BE0" w:rsidRPr="00F96BE0" w:rsidRDefault="00F96BE0" w:rsidP="00F96BE0">
            <w:pPr>
              <w:spacing w:before="0" w:after="0" w:line="240" w:lineRule="auto"/>
            </w:pPr>
          </w:p>
        </w:tc>
        <w:tc>
          <w:tcPr>
            <w:tcW w:w="1071" w:type="dxa"/>
          </w:tcPr>
          <w:p w14:paraId="6C05510B" w14:textId="77777777" w:rsidR="00F96BE0" w:rsidRPr="00F96BE0" w:rsidRDefault="00F96BE0" w:rsidP="00F96BE0">
            <w:pPr>
              <w:spacing w:before="0" w:after="0" w:line="240" w:lineRule="auto"/>
            </w:pPr>
            <w:r w:rsidRPr="00F96BE0">
              <w:t>0.4 Hz</w:t>
            </w:r>
          </w:p>
        </w:tc>
        <w:tc>
          <w:tcPr>
            <w:tcW w:w="1584" w:type="dxa"/>
          </w:tcPr>
          <w:p w14:paraId="23030C3B" w14:textId="77777777" w:rsidR="00F96BE0" w:rsidRPr="00F96BE0" w:rsidRDefault="00F96BE0" w:rsidP="00F96BE0">
            <w:pPr>
              <w:spacing w:before="0" w:after="0" w:line="240" w:lineRule="auto"/>
              <w:jc w:val="center"/>
            </w:pPr>
            <w:r w:rsidRPr="00F96BE0">
              <w:t>0.39</w:t>
            </w:r>
          </w:p>
        </w:tc>
        <w:tc>
          <w:tcPr>
            <w:tcW w:w="0" w:type="auto"/>
          </w:tcPr>
          <w:p w14:paraId="46F90960" w14:textId="77777777" w:rsidR="00F96BE0" w:rsidRPr="00F96BE0" w:rsidRDefault="00F96BE0" w:rsidP="00F96BE0">
            <w:pPr>
              <w:spacing w:before="0" w:after="0" w:line="240" w:lineRule="auto"/>
              <w:jc w:val="center"/>
            </w:pPr>
            <w:r w:rsidRPr="00F96BE0">
              <w:t>0.44</w:t>
            </w:r>
          </w:p>
        </w:tc>
        <w:tc>
          <w:tcPr>
            <w:tcW w:w="1140" w:type="dxa"/>
          </w:tcPr>
          <w:p w14:paraId="5AE98ED3" w14:textId="77777777" w:rsidR="00F96BE0" w:rsidRPr="00F96BE0" w:rsidRDefault="00F96BE0" w:rsidP="00F96BE0">
            <w:pPr>
              <w:spacing w:before="0" w:after="0" w:line="240" w:lineRule="auto"/>
            </w:pPr>
            <w:r w:rsidRPr="00F96BE0">
              <w:t>0.05*</w:t>
            </w:r>
          </w:p>
        </w:tc>
      </w:tr>
      <w:tr w:rsidR="00F96BE0" w:rsidRPr="00F96BE0" w14:paraId="0977D723" w14:textId="77777777" w:rsidTr="00F96BE0">
        <w:tc>
          <w:tcPr>
            <w:tcW w:w="1914" w:type="dxa"/>
            <w:vMerge/>
          </w:tcPr>
          <w:p w14:paraId="589AE36C" w14:textId="77777777" w:rsidR="00F96BE0" w:rsidRPr="00F96BE0" w:rsidRDefault="00F96BE0" w:rsidP="00F96BE0">
            <w:pPr>
              <w:spacing w:before="0" w:after="0" w:line="240" w:lineRule="auto"/>
            </w:pPr>
          </w:p>
        </w:tc>
        <w:tc>
          <w:tcPr>
            <w:tcW w:w="1830" w:type="dxa"/>
            <w:vMerge/>
          </w:tcPr>
          <w:p w14:paraId="49138FA9" w14:textId="77777777" w:rsidR="00F96BE0" w:rsidRPr="00F96BE0" w:rsidRDefault="00F96BE0" w:rsidP="00F96BE0">
            <w:pPr>
              <w:spacing w:before="0" w:after="0" w:line="240" w:lineRule="auto"/>
            </w:pPr>
          </w:p>
        </w:tc>
        <w:tc>
          <w:tcPr>
            <w:tcW w:w="1071" w:type="dxa"/>
          </w:tcPr>
          <w:p w14:paraId="0E7B0FAE" w14:textId="77777777" w:rsidR="00F96BE0" w:rsidRPr="00F96BE0" w:rsidRDefault="00F96BE0" w:rsidP="00F96BE0">
            <w:pPr>
              <w:spacing w:before="0" w:after="0" w:line="240" w:lineRule="auto"/>
            </w:pPr>
            <w:r w:rsidRPr="00F96BE0">
              <w:t>0.6 Hz</w:t>
            </w:r>
          </w:p>
        </w:tc>
        <w:tc>
          <w:tcPr>
            <w:tcW w:w="1584" w:type="dxa"/>
          </w:tcPr>
          <w:p w14:paraId="22152C0D" w14:textId="77777777" w:rsidR="00F96BE0" w:rsidRPr="00F96BE0" w:rsidRDefault="00F96BE0" w:rsidP="00F96BE0">
            <w:pPr>
              <w:spacing w:before="0" w:after="0" w:line="240" w:lineRule="auto"/>
              <w:jc w:val="center"/>
            </w:pPr>
            <w:r w:rsidRPr="00F96BE0">
              <w:t>0.63</w:t>
            </w:r>
          </w:p>
        </w:tc>
        <w:tc>
          <w:tcPr>
            <w:tcW w:w="0" w:type="auto"/>
          </w:tcPr>
          <w:p w14:paraId="2147BE26" w14:textId="77777777" w:rsidR="00F96BE0" w:rsidRPr="00F96BE0" w:rsidRDefault="00F96BE0" w:rsidP="00F96BE0">
            <w:pPr>
              <w:spacing w:before="0" w:after="0" w:line="240" w:lineRule="auto"/>
              <w:jc w:val="center"/>
            </w:pPr>
            <w:r w:rsidRPr="00F96BE0">
              <w:t>0.64</w:t>
            </w:r>
          </w:p>
        </w:tc>
        <w:tc>
          <w:tcPr>
            <w:tcW w:w="1140" w:type="dxa"/>
          </w:tcPr>
          <w:p w14:paraId="58567FF6" w14:textId="77777777" w:rsidR="00F96BE0" w:rsidRPr="00F96BE0" w:rsidRDefault="00F96BE0" w:rsidP="00F96BE0">
            <w:pPr>
              <w:spacing w:before="0" w:after="0" w:line="240" w:lineRule="auto"/>
            </w:pPr>
            <w:r w:rsidRPr="00F96BE0">
              <w:t>0.73</w:t>
            </w:r>
          </w:p>
        </w:tc>
      </w:tr>
      <w:tr w:rsidR="00F96BE0" w:rsidRPr="00F96BE0" w14:paraId="20AB7700" w14:textId="77777777" w:rsidTr="00F96BE0">
        <w:tc>
          <w:tcPr>
            <w:tcW w:w="1914" w:type="dxa"/>
            <w:vMerge/>
          </w:tcPr>
          <w:p w14:paraId="55851A3A" w14:textId="77777777" w:rsidR="00F96BE0" w:rsidRPr="00F96BE0" w:rsidRDefault="00F96BE0" w:rsidP="00F96BE0">
            <w:pPr>
              <w:spacing w:before="0" w:after="0" w:line="240" w:lineRule="auto"/>
            </w:pPr>
          </w:p>
        </w:tc>
        <w:tc>
          <w:tcPr>
            <w:tcW w:w="1830" w:type="dxa"/>
            <w:vMerge/>
          </w:tcPr>
          <w:p w14:paraId="6E4C0BF8" w14:textId="77777777" w:rsidR="00F96BE0" w:rsidRPr="00F96BE0" w:rsidRDefault="00F96BE0" w:rsidP="00F96BE0">
            <w:pPr>
              <w:spacing w:before="0" w:after="0" w:line="240" w:lineRule="auto"/>
            </w:pPr>
          </w:p>
        </w:tc>
        <w:tc>
          <w:tcPr>
            <w:tcW w:w="1071" w:type="dxa"/>
          </w:tcPr>
          <w:p w14:paraId="76740E52" w14:textId="77777777" w:rsidR="00F96BE0" w:rsidRPr="00F96BE0" w:rsidRDefault="00F96BE0" w:rsidP="00F96BE0">
            <w:pPr>
              <w:spacing w:before="0" w:after="0" w:line="240" w:lineRule="auto"/>
            </w:pPr>
            <w:r w:rsidRPr="00F96BE0">
              <w:t>0.8 Hz</w:t>
            </w:r>
          </w:p>
        </w:tc>
        <w:tc>
          <w:tcPr>
            <w:tcW w:w="1584" w:type="dxa"/>
          </w:tcPr>
          <w:p w14:paraId="5D5648E9" w14:textId="77777777" w:rsidR="00F96BE0" w:rsidRPr="00F96BE0" w:rsidRDefault="00F96BE0" w:rsidP="00F96BE0">
            <w:pPr>
              <w:spacing w:before="0" w:after="0" w:line="240" w:lineRule="auto"/>
              <w:jc w:val="center"/>
            </w:pPr>
            <w:r w:rsidRPr="00F96BE0">
              <w:t>1.13</w:t>
            </w:r>
          </w:p>
        </w:tc>
        <w:tc>
          <w:tcPr>
            <w:tcW w:w="0" w:type="auto"/>
          </w:tcPr>
          <w:p w14:paraId="52380CDA" w14:textId="77777777" w:rsidR="00F96BE0" w:rsidRPr="00F96BE0" w:rsidRDefault="00F96BE0" w:rsidP="00F96BE0">
            <w:pPr>
              <w:spacing w:before="0" w:after="0" w:line="240" w:lineRule="auto"/>
              <w:jc w:val="center"/>
            </w:pPr>
            <w:r w:rsidRPr="00F96BE0">
              <w:t>1.06</w:t>
            </w:r>
          </w:p>
        </w:tc>
        <w:tc>
          <w:tcPr>
            <w:tcW w:w="1140" w:type="dxa"/>
          </w:tcPr>
          <w:p w14:paraId="4B51EAD9" w14:textId="77777777" w:rsidR="00F96BE0" w:rsidRPr="00F96BE0" w:rsidRDefault="00F96BE0" w:rsidP="00F96BE0">
            <w:pPr>
              <w:spacing w:before="0" w:after="0" w:line="240" w:lineRule="auto"/>
            </w:pPr>
            <w:r w:rsidRPr="00F96BE0">
              <w:t>0.55</w:t>
            </w:r>
          </w:p>
        </w:tc>
      </w:tr>
      <w:tr w:rsidR="00F96BE0" w:rsidRPr="00F96BE0" w14:paraId="10413CBF" w14:textId="77777777" w:rsidTr="00F96BE0">
        <w:tc>
          <w:tcPr>
            <w:tcW w:w="1914" w:type="dxa"/>
            <w:vMerge/>
          </w:tcPr>
          <w:p w14:paraId="6D01119D" w14:textId="77777777" w:rsidR="00F96BE0" w:rsidRPr="00F96BE0" w:rsidRDefault="00F96BE0" w:rsidP="00F96BE0">
            <w:pPr>
              <w:spacing w:before="0" w:after="0" w:line="240" w:lineRule="auto"/>
            </w:pPr>
          </w:p>
        </w:tc>
        <w:tc>
          <w:tcPr>
            <w:tcW w:w="1830" w:type="dxa"/>
            <w:vMerge w:val="restart"/>
          </w:tcPr>
          <w:p w14:paraId="5D0DB356" w14:textId="77777777" w:rsidR="00F96BE0" w:rsidRPr="00F96BE0" w:rsidRDefault="00F96BE0" w:rsidP="00F96BE0">
            <w:pPr>
              <w:spacing w:before="0" w:after="0" w:line="240" w:lineRule="auto"/>
            </w:pPr>
            <w:r w:rsidRPr="00F96BE0">
              <w:t>Horizontal duration (</w:t>
            </w:r>
            <w:proofErr w:type="spellStart"/>
            <w:r w:rsidRPr="00F96BE0">
              <w:t>ms</w:t>
            </w:r>
            <w:proofErr w:type="spellEnd"/>
            <w:r w:rsidRPr="00F96BE0">
              <w:t>)</w:t>
            </w:r>
          </w:p>
        </w:tc>
        <w:tc>
          <w:tcPr>
            <w:tcW w:w="1071" w:type="dxa"/>
          </w:tcPr>
          <w:p w14:paraId="71A5DB75" w14:textId="77777777" w:rsidR="00F96BE0" w:rsidRPr="00F96BE0" w:rsidRDefault="00F96BE0" w:rsidP="00F96BE0">
            <w:pPr>
              <w:spacing w:before="0" w:after="0" w:line="240" w:lineRule="auto"/>
            </w:pPr>
            <w:r w:rsidRPr="00F96BE0">
              <w:t>0.2 Hz</w:t>
            </w:r>
          </w:p>
        </w:tc>
        <w:tc>
          <w:tcPr>
            <w:tcW w:w="1584" w:type="dxa"/>
          </w:tcPr>
          <w:p w14:paraId="02E102F5" w14:textId="77777777" w:rsidR="00F96BE0" w:rsidRPr="00F96BE0" w:rsidRDefault="00F96BE0" w:rsidP="00F96BE0">
            <w:pPr>
              <w:spacing w:before="0" w:after="0" w:line="240" w:lineRule="auto"/>
              <w:jc w:val="center"/>
            </w:pPr>
            <w:r w:rsidRPr="00F96BE0">
              <w:t>745</w:t>
            </w:r>
          </w:p>
        </w:tc>
        <w:tc>
          <w:tcPr>
            <w:tcW w:w="0" w:type="auto"/>
          </w:tcPr>
          <w:p w14:paraId="0D3B1067" w14:textId="77777777" w:rsidR="00F96BE0" w:rsidRPr="00F96BE0" w:rsidRDefault="00F96BE0" w:rsidP="00F96BE0">
            <w:pPr>
              <w:spacing w:before="0" w:after="0" w:line="240" w:lineRule="auto"/>
              <w:jc w:val="center"/>
            </w:pPr>
            <w:r w:rsidRPr="00F96BE0">
              <w:t>807</w:t>
            </w:r>
          </w:p>
        </w:tc>
        <w:tc>
          <w:tcPr>
            <w:tcW w:w="1140" w:type="dxa"/>
          </w:tcPr>
          <w:p w14:paraId="2DF0F705" w14:textId="77777777" w:rsidR="00F96BE0" w:rsidRPr="00F96BE0" w:rsidRDefault="00F96BE0" w:rsidP="00F96BE0">
            <w:pPr>
              <w:spacing w:before="0" w:after="0" w:line="240" w:lineRule="auto"/>
            </w:pPr>
            <w:r w:rsidRPr="00F96BE0">
              <w:t>0.54</w:t>
            </w:r>
          </w:p>
        </w:tc>
      </w:tr>
      <w:tr w:rsidR="00F96BE0" w:rsidRPr="00F96BE0" w14:paraId="7CCACACC" w14:textId="77777777" w:rsidTr="00F96BE0">
        <w:tc>
          <w:tcPr>
            <w:tcW w:w="1914" w:type="dxa"/>
            <w:vMerge/>
          </w:tcPr>
          <w:p w14:paraId="31C42FFC" w14:textId="77777777" w:rsidR="00F96BE0" w:rsidRPr="00F96BE0" w:rsidRDefault="00F96BE0" w:rsidP="00F96BE0">
            <w:pPr>
              <w:spacing w:before="0" w:after="0" w:line="240" w:lineRule="auto"/>
            </w:pPr>
          </w:p>
        </w:tc>
        <w:tc>
          <w:tcPr>
            <w:tcW w:w="1830" w:type="dxa"/>
            <w:vMerge/>
          </w:tcPr>
          <w:p w14:paraId="4E71A868" w14:textId="77777777" w:rsidR="00F96BE0" w:rsidRPr="00F96BE0" w:rsidRDefault="00F96BE0" w:rsidP="00F96BE0">
            <w:pPr>
              <w:spacing w:before="0" w:after="0" w:line="240" w:lineRule="auto"/>
            </w:pPr>
          </w:p>
        </w:tc>
        <w:tc>
          <w:tcPr>
            <w:tcW w:w="1071" w:type="dxa"/>
          </w:tcPr>
          <w:p w14:paraId="79567568" w14:textId="77777777" w:rsidR="00F96BE0" w:rsidRPr="00F96BE0" w:rsidRDefault="00F96BE0" w:rsidP="00F96BE0">
            <w:pPr>
              <w:spacing w:before="0" w:after="0" w:line="240" w:lineRule="auto"/>
            </w:pPr>
            <w:r w:rsidRPr="00F96BE0">
              <w:t>0.4 Hz</w:t>
            </w:r>
          </w:p>
        </w:tc>
        <w:tc>
          <w:tcPr>
            <w:tcW w:w="1584" w:type="dxa"/>
          </w:tcPr>
          <w:p w14:paraId="04E31437" w14:textId="77777777" w:rsidR="00F96BE0" w:rsidRPr="00F96BE0" w:rsidRDefault="00F96BE0" w:rsidP="00F96BE0">
            <w:pPr>
              <w:spacing w:before="0" w:after="0" w:line="240" w:lineRule="auto"/>
              <w:jc w:val="center"/>
            </w:pPr>
            <w:r w:rsidRPr="00F96BE0">
              <w:t>499</w:t>
            </w:r>
          </w:p>
        </w:tc>
        <w:tc>
          <w:tcPr>
            <w:tcW w:w="0" w:type="auto"/>
          </w:tcPr>
          <w:p w14:paraId="168B3828" w14:textId="77777777" w:rsidR="00F96BE0" w:rsidRPr="00F96BE0" w:rsidRDefault="00F96BE0" w:rsidP="00F96BE0">
            <w:pPr>
              <w:spacing w:before="0" w:after="0" w:line="240" w:lineRule="auto"/>
              <w:jc w:val="center"/>
            </w:pPr>
            <w:r w:rsidRPr="00F96BE0">
              <w:t>525</w:t>
            </w:r>
          </w:p>
        </w:tc>
        <w:tc>
          <w:tcPr>
            <w:tcW w:w="1140" w:type="dxa"/>
          </w:tcPr>
          <w:p w14:paraId="75F61684" w14:textId="77777777" w:rsidR="00F96BE0" w:rsidRPr="00F96BE0" w:rsidRDefault="00F96BE0" w:rsidP="00F96BE0">
            <w:pPr>
              <w:spacing w:before="0" w:after="0" w:line="240" w:lineRule="auto"/>
            </w:pPr>
            <w:r w:rsidRPr="00F96BE0">
              <w:t>0.65</w:t>
            </w:r>
          </w:p>
        </w:tc>
      </w:tr>
      <w:tr w:rsidR="00F96BE0" w:rsidRPr="00F96BE0" w14:paraId="16FFAAFC" w14:textId="77777777" w:rsidTr="00F96BE0">
        <w:tc>
          <w:tcPr>
            <w:tcW w:w="1914" w:type="dxa"/>
            <w:vMerge/>
          </w:tcPr>
          <w:p w14:paraId="0AD2F643" w14:textId="77777777" w:rsidR="00F96BE0" w:rsidRPr="00F96BE0" w:rsidRDefault="00F96BE0" w:rsidP="00F96BE0">
            <w:pPr>
              <w:spacing w:before="0" w:after="0" w:line="240" w:lineRule="auto"/>
            </w:pPr>
          </w:p>
        </w:tc>
        <w:tc>
          <w:tcPr>
            <w:tcW w:w="1830" w:type="dxa"/>
            <w:vMerge/>
          </w:tcPr>
          <w:p w14:paraId="5A3E2F72" w14:textId="77777777" w:rsidR="00F96BE0" w:rsidRPr="00F96BE0" w:rsidRDefault="00F96BE0" w:rsidP="00F96BE0">
            <w:pPr>
              <w:spacing w:before="0" w:after="0" w:line="240" w:lineRule="auto"/>
            </w:pPr>
          </w:p>
        </w:tc>
        <w:tc>
          <w:tcPr>
            <w:tcW w:w="1071" w:type="dxa"/>
          </w:tcPr>
          <w:p w14:paraId="1EAF10B7" w14:textId="77777777" w:rsidR="00F96BE0" w:rsidRPr="00F96BE0" w:rsidRDefault="00F96BE0" w:rsidP="00F96BE0">
            <w:pPr>
              <w:spacing w:before="0" w:after="0" w:line="240" w:lineRule="auto"/>
            </w:pPr>
            <w:r w:rsidRPr="00F96BE0">
              <w:t>0.6 Hz</w:t>
            </w:r>
          </w:p>
        </w:tc>
        <w:tc>
          <w:tcPr>
            <w:tcW w:w="1584" w:type="dxa"/>
          </w:tcPr>
          <w:p w14:paraId="3D211053" w14:textId="77777777" w:rsidR="00F96BE0" w:rsidRPr="00F96BE0" w:rsidRDefault="00F96BE0" w:rsidP="00F96BE0">
            <w:pPr>
              <w:spacing w:before="0" w:after="0" w:line="240" w:lineRule="auto"/>
              <w:jc w:val="center"/>
            </w:pPr>
            <w:r w:rsidRPr="00F96BE0">
              <w:t>300</w:t>
            </w:r>
          </w:p>
        </w:tc>
        <w:tc>
          <w:tcPr>
            <w:tcW w:w="0" w:type="auto"/>
          </w:tcPr>
          <w:p w14:paraId="387C23CF" w14:textId="77777777" w:rsidR="00F96BE0" w:rsidRPr="00F96BE0" w:rsidRDefault="00F96BE0" w:rsidP="00F96BE0">
            <w:pPr>
              <w:spacing w:before="0" w:after="0" w:line="240" w:lineRule="auto"/>
              <w:jc w:val="center"/>
            </w:pPr>
            <w:r w:rsidRPr="00F96BE0">
              <w:t>302</w:t>
            </w:r>
          </w:p>
        </w:tc>
        <w:tc>
          <w:tcPr>
            <w:tcW w:w="1140" w:type="dxa"/>
          </w:tcPr>
          <w:p w14:paraId="0D768602" w14:textId="77777777" w:rsidR="00F96BE0" w:rsidRPr="00F96BE0" w:rsidRDefault="00F96BE0" w:rsidP="00F96BE0">
            <w:pPr>
              <w:spacing w:before="0" w:after="0" w:line="240" w:lineRule="auto"/>
            </w:pPr>
            <w:r w:rsidRPr="00F96BE0">
              <w:t>0.96</w:t>
            </w:r>
          </w:p>
        </w:tc>
      </w:tr>
      <w:tr w:rsidR="00F96BE0" w:rsidRPr="00F96BE0" w14:paraId="78315F25" w14:textId="77777777" w:rsidTr="00F96BE0">
        <w:tc>
          <w:tcPr>
            <w:tcW w:w="1914" w:type="dxa"/>
            <w:vMerge/>
          </w:tcPr>
          <w:p w14:paraId="694F381F" w14:textId="77777777" w:rsidR="00F96BE0" w:rsidRPr="00F96BE0" w:rsidRDefault="00F96BE0" w:rsidP="00F96BE0">
            <w:pPr>
              <w:spacing w:before="0" w:after="0" w:line="240" w:lineRule="auto"/>
            </w:pPr>
          </w:p>
        </w:tc>
        <w:tc>
          <w:tcPr>
            <w:tcW w:w="1830" w:type="dxa"/>
            <w:vMerge/>
          </w:tcPr>
          <w:p w14:paraId="1F28EE68" w14:textId="77777777" w:rsidR="00F96BE0" w:rsidRPr="00F96BE0" w:rsidRDefault="00F96BE0" w:rsidP="00F96BE0">
            <w:pPr>
              <w:spacing w:before="0" w:after="0" w:line="240" w:lineRule="auto"/>
            </w:pPr>
          </w:p>
        </w:tc>
        <w:tc>
          <w:tcPr>
            <w:tcW w:w="1071" w:type="dxa"/>
          </w:tcPr>
          <w:p w14:paraId="004EC9E7" w14:textId="77777777" w:rsidR="00F96BE0" w:rsidRPr="00F96BE0" w:rsidRDefault="00F96BE0" w:rsidP="00F96BE0">
            <w:pPr>
              <w:spacing w:before="0" w:after="0" w:line="240" w:lineRule="auto"/>
            </w:pPr>
            <w:r w:rsidRPr="00F96BE0">
              <w:t>0.8 Hz</w:t>
            </w:r>
          </w:p>
        </w:tc>
        <w:tc>
          <w:tcPr>
            <w:tcW w:w="1584" w:type="dxa"/>
          </w:tcPr>
          <w:p w14:paraId="69A44648" w14:textId="77777777" w:rsidR="00F96BE0" w:rsidRPr="00F96BE0" w:rsidRDefault="00F96BE0" w:rsidP="00F96BE0">
            <w:pPr>
              <w:spacing w:before="0" w:after="0" w:line="240" w:lineRule="auto"/>
              <w:jc w:val="center"/>
            </w:pPr>
            <w:r w:rsidRPr="00F96BE0">
              <w:t>218</w:t>
            </w:r>
          </w:p>
        </w:tc>
        <w:tc>
          <w:tcPr>
            <w:tcW w:w="0" w:type="auto"/>
          </w:tcPr>
          <w:p w14:paraId="5E292E2B" w14:textId="77777777" w:rsidR="00F96BE0" w:rsidRPr="00F96BE0" w:rsidRDefault="00F96BE0" w:rsidP="00F96BE0">
            <w:pPr>
              <w:spacing w:before="0" w:after="0" w:line="240" w:lineRule="auto"/>
              <w:jc w:val="center"/>
            </w:pPr>
            <w:r w:rsidRPr="00F96BE0">
              <w:t>224</w:t>
            </w:r>
          </w:p>
        </w:tc>
        <w:tc>
          <w:tcPr>
            <w:tcW w:w="1140" w:type="dxa"/>
          </w:tcPr>
          <w:p w14:paraId="6CDD1311" w14:textId="77777777" w:rsidR="00F96BE0" w:rsidRPr="00F96BE0" w:rsidRDefault="00F96BE0" w:rsidP="00F96BE0">
            <w:pPr>
              <w:spacing w:before="0" w:after="0" w:line="240" w:lineRule="auto"/>
            </w:pPr>
            <w:r w:rsidRPr="00F96BE0">
              <w:t>0.70</w:t>
            </w:r>
          </w:p>
        </w:tc>
      </w:tr>
      <w:tr w:rsidR="00F96BE0" w:rsidRPr="00F96BE0" w14:paraId="4B0C352F" w14:textId="77777777" w:rsidTr="00F96BE0">
        <w:tc>
          <w:tcPr>
            <w:tcW w:w="1914" w:type="dxa"/>
            <w:vMerge/>
          </w:tcPr>
          <w:p w14:paraId="191C04E8" w14:textId="77777777" w:rsidR="00F96BE0" w:rsidRPr="00F96BE0" w:rsidRDefault="00F96BE0" w:rsidP="00F96BE0">
            <w:pPr>
              <w:spacing w:before="0" w:after="0" w:line="240" w:lineRule="auto"/>
            </w:pPr>
          </w:p>
        </w:tc>
        <w:tc>
          <w:tcPr>
            <w:tcW w:w="1830" w:type="dxa"/>
            <w:vMerge w:val="restart"/>
          </w:tcPr>
          <w:p w14:paraId="62F4F280" w14:textId="77777777" w:rsidR="00F96BE0" w:rsidRPr="00F96BE0" w:rsidRDefault="00F96BE0" w:rsidP="00F96BE0">
            <w:pPr>
              <w:spacing w:before="0" w:after="0" w:line="240" w:lineRule="auto"/>
            </w:pPr>
            <w:r w:rsidRPr="00F96BE0">
              <w:t>Vertical gain</w:t>
            </w:r>
          </w:p>
        </w:tc>
        <w:tc>
          <w:tcPr>
            <w:tcW w:w="1071" w:type="dxa"/>
          </w:tcPr>
          <w:p w14:paraId="6A07F782" w14:textId="77777777" w:rsidR="00F96BE0" w:rsidRPr="00F96BE0" w:rsidRDefault="00F96BE0" w:rsidP="00F96BE0">
            <w:pPr>
              <w:spacing w:before="0" w:after="0" w:line="240" w:lineRule="auto"/>
            </w:pPr>
            <w:r w:rsidRPr="00F96BE0">
              <w:t>0.25 Hz</w:t>
            </w:r>
          </w:p>
        </w:tc>
        <w:tc>
          <w:tcPr>
            <w:tcW w:w="1584" w:type="dxa"/>
          </w:tcPr>
          <w:p w14:paraId="4EAF1C5A" w14:textId="77777777" w:rsidR="00F96BE0" w:rsidRPr="00F96BE0" w:rsidRDefault="00F96BE0" w:rsidP="00F96BE0">
            <w:pPr>
              <w:spacing w:before="0" w:after="0" w:line="240" w:lineRule="auto"/>
              <w:jc w:val="center"/>
            </w:pPr>
            <w:r w:rsidRPr="00F96BE0">
              <w:t>0.83</w:t>
            </w:r>
          </w:p>
        </w:tc>
        <w:tc>
          <w:tcPr>
            <w:tcW w:w="0" w:type="auto"/>
          </w:tcPr>
          <w:p w14:paraId="2EDF98A4" w14:textId="77777777" w:rsidR="00F96BE0" w:rsidRPr="00F96BE0" w:rsidRDefault="00F96BE0" w:rsidP="00F96BE0">
            <w:pPr>
              <w:spacing w:before="0" w:after="0" w:line="240" w:lineRule="auto"/>
              <w:jc w:val="center"/>
            </w:pPr>
            <w:r w:rsidRPr="00F96BE0">
              <w:t>0.82</w:t>
            </w:r>
          </w:p>
        </w:tc>
        <w:tc>
          <w:tcPr>
            <w:tcW w:w="1140" w:type="dxa"/>
          </w:tcPr>
          <w:p w14:paraId="52EF8D4A" w14:textId="77777777" w:rsidR="00F96BE0" w:rsidRPr="00F96BE0" w:rsidRDefault="00F96BE0" w:rsidP="00F96BE0">
            <w:pPr>
              <w:spacing w:before="0" w:after="0" w:line="240" w:lineRule="auto"/>
            </w:pPr>
            <w:r w:rsidRPr="00F96BE0">
              <w:t>0.85</w:t>
            </w:r>
          </w:p>
        </w:tc>
      </w:tr>
      <w:tr w:rsidR="00F96BE0" w:rsidRPr="00F96BE0" w14:paraId="1CAE09D2" w14:textId="77777777" w:rsidTr="00F96BE0">
        <w:tc>
          <w:tcPr>
            <w:tcW w:w="1914" w:type="dxa"/>
            <w:vMerge/>
          </w:tcPr>
          <w:p w14:paraId="2E613C18" w14:textId="77777777" w:rsidR="00F96BE0" w:rsidRPr="00F96BE0" w:rsidRDefault="00F96BE0" w:rsidP="00F96BE0">
            <w:pPr>
              <w:spacing w:before="0" w:after="0" w:line="240" w:lineRule="auto"/>
            </w:pPr>
          </w:p>
        </w:tc>
        <w:tc>
          <w:tcPr>
            <w:tcW w:w="1830" w:type="dxa"/>
            <w:vMerge/>
          </w:tcPr>
          <w:p w14:paraId="634B2D66" w14:textId="77777777" w:rsidR="00F96BE0" w:rsidRPr="00F96BE0" w:rsidRDefault="00F96BE0" w:rsidP="00F96BE0">
            <w:pPr>
              <w:spacing w:before="0" w:after="0" w:line="240" w:lineRule="auto"/>
            </w:pPr>
          </w:p>
        </w:tc>
        <w:tc>
          <w:tcPr>
            <w:tcW w:w="1071" w:type="dxa"/>
          </w:tcPr>
          <w:p w14:paraId="5619833C" w14:textId="77777777" w:rsidR="00F96BE0" w:rsidRPr="00F96BE0" w:rsidRDefault="00F96BE0" w:rsidP="00F96BE0">
            <w:pPr>
              <w:spacing w:before="0" w:after="0" w:line="240" w:lineRule="auto"/>
            </w:pPr>
            <w:r w:rsidRPr="00F96BE0">
              <w:t>0.5 Hz</w:t>
            </w:r>
          </w:p>
        </w:tc>
        <w:tc>
          <w:tcPr>
            <w:tcW w:w="1584" w:type="dxa"/>
          </w:tcPr>
          <w:p w14:paraId="2BCC8531" w14:textId="77777777" w:rsidR="00F96BE0" w:rsidRPr="00F96BE0" w:rsidRDefault="00F96BE0" w:rsidP="00F96BE0">
            <w:pPr>
              <w:spacing w:before="0" w:after="0" w:line="240" w:lineRule="auto"/>
              <w:jc w:val="center"/>
            </w:pPr>
            <w:r w:rsidRPr="00F96BE0">
              <w:t>0.72</w:t>
            </w:r>
          </w:p>
        </w:tc>
        <w:tc>
          <w:tcPr>
            <w:tcW w:w="0" w:type="auto"/>
          </w:tcPr>
          <w:p w14:paraId="601E6DF5" w14:textId="77777777" w:rsidR="00F96BE0" w:rsidRPr="00F96BE0" w:rsidRDefault="00F96BE0" w:rsidP="00F96BE0">
            <w:pPr>
              <w:spacing w:before="0" w:after="0" w:line="240" w:lineRule="auto"/>
              <w:jc w:val="center"/>
            </w:pPr>
            <w:r w:rsidRPr="00F96BE0">
              <w:t>0.70</w:t>
            </w:r>
          </w:p>
        </w:tc>
        <w:tc>
          <w:tcPr>
            <w:tcW w:w="1140" w:type="dxa"/>
          </w:tcPr>
          <w:p w14:paraId="0A6D42F3" w14:textId="77777777" w:rsidR="00F96BE0" w:rsidRPr="00F96BE0" w:rsidRDefault="00F96BE0" w:rsidP="00F96BE0">
            <w:pPr>
              <w:spacing w:before="0" w:after="0" w:line="240" w:lineRule="auto"/>
            </w:pPr>
            <w:r w:rsidRPr="00F96BE0">
              <w:t>0.83</w:t>
            </w:r>
          </w:p>
        </w:tc>
      </w:tr>
      <w:tr w:rsidR="00F96BE0" w:rsidRPr="00F96BE0" w14:paraId="2DA90B8B" w14:textId="77777777" w:rsidTr="00F96BE0">
        <w:tc>
          <w:tcPr>
            <w:tcW w:w="1914" w:type="dxa"/>
            <w:vMerge/>
          </w:tcPr>
          <w:p w14:paraId="5BBB70D7" w14:textId="77777777" w:rsidR="00F96BE0" w:rsidRPr="00F96BE0" w:rsidRDefault="00F96BE0" w:rsidP="00F96BE0">
            <w:pPr>
              <w:spacing w:before="0" w:after="0" w:line="240" w:lineRule="auto"/>
            </w:pPr>
          </w:p>
        </w:tc>
        <w:tc>
          <w:tcPr>
            <w:tcW w:w="1830" w:type="dxa"/>
            <w:vMerge/>
          </w:tcPr>
          <w:p w14:paraId="40E4C0BF" w14:textId="77777777" w:rsidR="00F96BE0" w:rsidRPr="00F96BE0" w:rsidRDefault="00F96BE0" w:rsidP="00F96BE0">
            <w:pPr>
              <w:spacing w:before="0" w:after="0" w:line="240" w:lineRule="auto"/>
            </w:pPr>
          </w:p>
        </w:tc>
        <w:tc>
          <w:tcPr>
            <w:tcW w:w="1071" w:type="dxa"/>
          </w:tcPr>
          <w:p w14:paraId="22C334A8" w14:textId="77777777" w:rsidR="00F96BE0" w:rsidRPr="00F96BE0" w:rsidRDefault="00F96BE0" w:rsidP="00F96BE0">
            <w:pPr>
              <w:spacing w:before="0" w:after="0" w:line="240" w:lineRule="auto"/>
            </w:pPr>
            <w:r w:rsidRPr="00F96BE0">
              <w:t>0.75 Hz</w:t>
            </w:r>
          </w:p>
        </w:tc>
        <w:tc>
          <w:tcPr>
            <w:tcW w:w="1584" w:type="dxa"/>
          </w:tcPr>
          <w:p w14:paraId="35C7DFA2" w14:textId="77777777" w:rsidR="00F96BE0" w:rsidRPr="00F96BE0" w:rsidRDefault="00F96BE0" w:rsidP="00F96BE0">
            <w:pPr>
              <w:spacing w:before="0" w:after="0" w:line="240" w:lineRule="auto"/>
              <w:jc w:val="center"/>
            </w:pPr>
            <w:r w:rsidRPr="00F96BE0">
              <w:t>0.55</w:t>
            </w:r>
          </w:p>
        </w:tc>
        <w:tc>
          <w:tcPr>
            <w:tcW w:w="0" w:type="auto"/>
          </w:tcPr>
          <w:p w14:paraId="4FDB1215" w14:textId="77777777" w:rsidR="00F96BE0" w:rsidRPr="00F96BE0" w:rsidRDefault="00F96BE0" w:rsidP="00F96BE0">
            <w:pPr>
              <w:spacing w:before="0" w:after="0" w:line="240" w:lineRule="auto"/>
              <w:jc w:val="center"/>
            </w:pPr>
            <w:r w:rsidRPr="00F96BE0">
              <w:t>0.55</w:t>
            </w:r>
          </w:p>
        </w:tc>
        <w:tc>
          <w:tcPr>
            <w:tcW w:w="1140" w:type="dxa"/>
          </w:tcPr>
          <w:p w14:paraId="22518D5E" w14:textId="77777777" w:rsidR="00F96BE0" w:rsidRPr="00F96BE0" w:rsidRDefault="00F96BE0" w:rsidP="00F96BE0">
            <w:pPr>
              <w:spacing w:before="0" w:after="0" w:line="240" w:lineRule="auto"/>
            </w:pPr>
            <w:r w:rsidRPr="00F96BE0">
              <w:t>0.94</w:t>
            </w:r>
          </w:p>
        </w:tc>
      </w:tr>
      <w:tr w:rsidR="00F96BE0" w:rsidRPr="00F96BE0" w14:paraId="7172FA29" w14:textId="77777777" w:rsidTr="00F96BE0">
        <w:tc>
          <w:tcPr>
            <w:tcW w:w="1914" w:type="dxa"/>
            <w:vMerge/>
          </w:tcPr>
          <w:p w14:paraId="492C9668" w14:textId="77777777" w:rsidR="00F96BE0" w:rsidRPr="00F96BE0" w:rsidRDefault="00F96BE0" w:rsidP="00F96BE0">
            <w:pPr>
              <w:spacing w:before="0" w:after="0" w:line="240" w:lineRule="auto"/>
            </w:pPr>
          </w:p>
        </w:tc>
        <w:tc>
          <w:tcPr>
            <w:tcW w:w="1830" w:type="dxa"/>
            <w:vMerge/>
          </w:tcPr>
          <w:p w14:paraId="4E92F57D" w14:textId="77777777" w:rsidR="00F96BE0" w:rsidRPr="00F96BE0" w:rsidRDefault="00F96BE0" w:rsidP="00F96BE0">
            <w:pPr>
              <w:spacing w:before="0" w:after="0" w:line="240" w:lineRule="auto"/>
            </w:pPr>
          </w:p>
        </w:tc>
        <w:tc>
          <w:tcPr>
            <w:tcW w:w="1071" w:type="dxa"/>
          </w:tcPr>
          <w:p w14:paraId="76E090DA" w14:textId="77777777" w:rsidR="00F96BE0" w:rsidRPr="00F96BE0" w:rsidRDefault="00F96BE0" w:rsidP="00F96BE0">
            <w:pPr>
              <w:spacing w:before="0" w:after="0" w:line="240" w:lineRule="auto"/>
            </w:pPr>
            <w:r w:rsidRPr="00F96BE0">
              <w:t>1.0 Hz</w:t>
            </w:r>
          </w:p>
        </w:tc>
        <w:tc>
          <w:tcPr>
            <w:tcW w:w="1584" w:type="dxa"/>
          </w:tcPr>
          <w:p w14:paraId="2021F03C" w14:textId="77777777" w:rsidR="00F96BE0" w:rsidRPr="00F96BE0" w:rsidRDefault="00F96BE0" w:rsidP="00F96BE0">
            <w:pPr>
              <w:spacing w:before="0" w:after="0" w:line="240" w:lineRule="auto"/>
              <w:jc w:val="center"/>
            </w:pPr>
            <w:r w:rsidRPr="00F96BE0">
              <w:t>0.36</w:t>
            </w:r>
          </w:p>
        </w:tc>
        <w:tc>
          <w:tcPr>
            <w:tcW w:w="0" w:type="auto"/>
          </w:tcPr>
          <w:p w14:paraId="5109FD25" w14:textId="77777777" w:rsidR="00F96BE0" w:rsidRPr="00F96BE0" w:rsidRDefault="00F96BE0" w:rsidP="00F96BE0">
            <w:pPr>
              <w:spacing w:before="0" w:after="0" w:line="240" w:lineRule="auto"/>
              <w:jc w:val="center"/>
            </w:pPr>
            <w:r w:rsidRPr="00F96BE0">
              <w:t>0.39</w:t>
            </w:r>
          </w:p>
        </w:tc>
        <w:tc>
          <w:tcPr>
            <w:tcW w:w="1140" w:type="dxa"/>
          </w:tcPr>
          <w:p w14:paraId="07415BFF" w14:textId="77777777" w:rsidR="00F96BE0" w:rsidRPr="00F96BE0" w:rsidRDefault="00F96BE0" w:rsidP="00F96BE0">
            <w:pPr>
              <w:spacing w:before="0" w:after="0" w:line="240" w:lineRule="auto"/>
            </w:pPr>
            <w:r w:rsidRPr="00F96BE0">
              <w:t>0.64</w:t>
            </w:r>
          </w:p>
        </w:tc>
      </w:tr>
      <w:tr w:rsidR="00F96BE0" w:rsidRPr="00F96BE0" w14:paraId="719A04C8" w14:textId="77777777" w:rsidTr="00F96BE0">
        <w:tc>
          <w:tcPr>
            <w:tcW w:w="1914" w:type="dxa"/>
            <w:vMerge/>
          </w:tcPr>
          <w:p w14:paraId="62F3DD65" w14:textId="77777777" w:rsidR="00F96BE0" w:rsidRPr="00F96BE0" w:rsidRDefault="00F96BE0" w:rsidP="00F96BE0">
            <w:pPr>
              <w:spacing w:before="0" w:after="0" w:line="240" w:lineRule="auto"/>
            </w:pPr>
          </w:p>
        </w:tc>
        <w:tc>
          <w:tcPr>
            <w:tcW w:w="1830" w:type="dxa"/>
            <w:vMerge w:val="restart"/>
          </w:tcPr>
          <w:p w14:paraId="4081581D" w14:textId="77777777" w:rsidR="00F96BE0" w:rsidRPr="00F96BE0" w:rsidRDefault="00F96BE0" w:rsidP="00F96BE0">
            <w:pPr>
              <w:spacing w:before="0" w:after="0" w:line="240" w:lineRule="auto"/>
            </w:pPr>
            <w:r w:rsidRPr="00F96BE0">
              <w:t>Vertical RMSE (°)</w:t>
            </w:r>
          </w:p>
        </w:tc>
        <w:tc>
          <w:tcPr>
            <w:tcW w:w="1071" w:type="dxa"/>
          </w:tcPr>
          <w:p w14:paraId="3D1E2401" w14:textId="77777777" w:rsidR="00F96BE0" w:rsidRPr="00F96BE0" w:rsidRDefault="00F96BE0" w:rsidP="00F96BE0">
            <w:pPr>
              <w:spacing w:before="0" w:after="0" w:line="240" w:lineRule="auto"/>
            </w:pPr>
            <w:r w:rsidRPr="00F96BE0">
              <w:t>0.25 Hz</w:t>
            </w:r>
          </w:p>
        </w:tc>
        <w:tc>
          <w:tcPr>
            <w:tcW w:w="1584" w:type="dxa"/>
          </w:tcPr>
          <w:p w14:paraId="4858218A" w14:textId="77777777" w:rsidR="00F96BE0" w:rsidRPr="00F96BE0" w:rsidRDefault="00F96BE0" w:rsidP="00F96BE0">
            <w:pPr>
              <w:spacing w:before="0" w:after="0" w:line="240" w:lineRule="auto"/>
              <w:jc w:val="center"/>
            </w:pPr>
            <w:r w:rsidRPr="00F96BE0">
              <w:t>0.58</w:t>
            </w:r>
          </w:p>
        </w:tc>
        <w:tc>
          <w:tcPr>
            <w:tcW w:w="0" w:type="auto"/>
          </w:tcPr>
          <w:p w14:paraId="780B898A" w14:textId="77777777" w:rsidR="00F96BE0" w:rsidRPr="00F96BE0" w:rsidRDefault="00F96BE0" w:rsidP="00F96BE0">
            <w:pPr>
              <w:spacing w:before="0" w:after="0" w:line="240" w:lineRule="auto"/>
              <w:jc w:val="center"/>
            </w:pPr>
            <w:r w:rsidRPr="00F96BE0">
              <w:t>0.50</w:t>
            </w:r>
          </w:p>
        </w:tc>
        <w:tc>
          <w:tcPr>
            <w:tcW w:w="1140" w:type="dxa"/>
          </w:tcPr>
          <w:p w14:paraId="6DA86E3D" w14:textId="77777777" w:rsidR="00F96BE0" w:rsidRPr="00F96BE0" w:rsidRDefault="00F96BE0" w:rsidP="00F96BE0">
            <w:pPr>
              <w:spacing w:before="0" w:after="0" w:line="240" w:lineRule="auto"/>
            </w:pPr>
            <w:r w:rsidRPr="00F96BE0">
              <w:t>0.45</w:t>
            </w:r>
          </w:p>
        </w:tc>
      </w:tr>
      <w:tr w:rsidR="00F96BE0" w:rsidRPr="00F96BE0" w14:paraId="1F0F833F" w14:textId="77777777" w:rsidTr="00F96BE0">
        <w:tc>
          <w:tcPr>
            <w:tcW w:w="1914" w:type="dxa"/>
            <w:vMerge/>
          </w:tcPr>
          <w:p w14:paraId="3CB658C7" w14:textId="77777777" w:rsidR="00F96BE0" w:rsidRPr="00F96BE0" w:rsidRDefault="00F96BE0" w:rsidP="00F96BE0">
            <w:pPr>
              <w:spacing w:before="0" w:after="0" w:line="240" w:lineRule="auto"/>
            </w:pPr>
          </w:p>
        </w:tc>
        <w:tc>
          <w:tcPr>
            <w:tcW w:w="1830" w:type="dxa"/>
            <w:vMerge/>
          </w:tcPr>
          <w:p w14:paraId="3A78A854" w14:textId="77777777" w:rsidR="00F96BE0" w:rsidRPr="00F96BE0" w:rsidRDefault="00F96BE0" w:rsidP="00F96BE0">
            <w:pPr>
              <w:spacing w:before="0" w:after="0" w:line="240" w:lineRule="auto"/>
            </w:pPr>
          </w:p>
        </w:tc>
        <w:tc>
          <w:tcPr>
            <w:tcW w:w="1071" w:type="dxa"/>
          </w:tcPr>
          <w:p w14:paraId="41DE76C8" w14:textId="77777777" w:rsidR="00F96BE0" w:rsidRPr="00F96BE0" w:rsidRDefault="00F96BE0" w:rsidP="00F96BE0">
            <w:pPr>
              <w:spacing w:before="0" w:after="0" w:line="240" w:lineRule="auto"/>
            </w:pPr>
            <w:r w:rsidRPr="00F96BE0">
              <w:t>0.5 Hz</w:t>
            </w:r>
          </w:p>
        </w:tc>
        <w:tc>
          <w:tcPr>
            <w:tcW w:w="1584" w:type="dxa"/>
          </w:tcPr>
          <w:p w14:paraId="0E7FAF73" w14:textId="77777777" w:rsidR="00F96BE0" w:rsidRPr="00F96BE0" w:rsidRDefault="00F96BE0" w:rsidP="00F96BE0">
            <w:pPr>
              <w:spacing w:before="0" w:after="0" w:line="240" w:lineRule="auto"/>
              <w:jc w:val="center"/>
            </w:pPr>
            <w:r w:rsidRPr="00F96BE0">
              <w:t>0.95</w:t>
            </w:r>
          </w:p>
        </w:tc>
        <w:tc>
          <w:tcPr>
            <w:tcW w:w="0" w:type="auto"/>
          </w:tcPr>
          <w:p w14:paraId="537A8B9E" w14:textId="77777777" w:rsidR="00F96BE0" w:rsidRPr="00F96BE0" w:rsidRDefault="00F96BE0" w:rsidP="00F96BE0">
            <w:pPr>
              <w:spacing w:before="0" w:after="0" w:line="240" w:lineRule="auto"/>
              <w:jc w:val="center"/>
            </w:pPr>
            <w:r w:rsidRPr="00F96BE0">
              <w:t>0.70</w:t>
            </w:r>
          </w:p>
        </w:tc>
        <w:tc>
          <w:tcPr>
            <w:tcW w:w="1140" w:type="dxa"/>
          </w:tcPr>
          <w:p w14:paraId="1F4B191F" w14:textId="77777777" w:rsidR="00F96BE0" w:rsidRPr="00F96BE0" w:rsidRDefault="00F96BE0" w:rsidP="00F96BE0">
            <w:pPr>
              <w:spacing w:before="0" w:after="0" w:line="240" w:lineRule="auto"/>
            </w:pPr>
            <w:r w:rsidRPr="00F96BE0">
              <w:t>0.19</w:t>
            </w:r>
          </w:p>
        </w:tc>
      </w:tr>
      <w:tr w:rsidR="00F96BE0" w:rsidRPr="00F96BE0" w14:paraId="74E1E9CB" w14:textId="77777777" w:rsidTr="00F96BE0">
        <w:tc>
          <w:tcPr>
            <w:tcW w:w="1914" w:type="dxa"/>
            <w:vMerge/>
          </w:tcPr>
          <w:p w14:paraId="312AB837" w14:textId="77777777" w:rsidR="00F96BE0" w:rsidRPr="00F96BE0" w:rsidRDefault="00F96BE0" w:rsidP="00F96BE0">
            <w:pPr>
              <w:spacing w:before="0" w:after="0" w:line="240" w:lineRule="auto"/>
            </w:pPr>
          </w:p>
        </w:tc>
        <w:tc>
          <w:tcPr>
            <w:tcW w:w="1830" w:type="dxa"/>
            <w:vMerge/>
          </w:tcPr>
          <w:p w14:paraId="4EE9F5E3" w14:textId="77777777" w:rsidR="00F96BE0" w:rsidRPr="00F96BE0" w:rsidRDefault="00F96BE0" w:rsidP="00F96BE0">
            <w:pPr>
              <w:spacing w:before="0" w:after="0" w:line="240" w:lineRule="auto"/>
            </w:pPr>
          </w:p>
        </w:tc>
        <w:tc>
          <w:tcPr>
            <w:tcW w:w="1071" w:type="dxa"/>
          </w:tcPr>
          <w:p w14:paraId="008AF27D" w14:textId="77777777" w:rsidR="00F96BE0" w:rsidRPr="00F96BE0" w:rsidRDefault="00F96BE0" w:rsidP="00F96BE0">
            <w:pPr>
              <w:spacing w:before="0" w:after="0" w:line="240" w:lineRule="auto"/>
            </w:pPr>
            <w:r w:rsidRPr="00F96BE0">
              <w:t>0.75 Hz</w:t>
            </w:r>
          </w:p>
        </w:tc>
        <w:tc>
          <w:tcPr>
            <w:tcW w:w="1584" w:type="dxa"/>
          </w:tcPr>
          <w:p w14:paraId="6D8563E6" w14:textId="77777777" w:rsidR="00F96BE0" w:rsidRPr="00F96BE0" w:rsidRDefault="00F96BE0" w:rsidP="00F96BE0">
            <w:pPr>
              <w:spacing w:before="0" w:after="0" w:line="240" w:lineRule="auto"/>
              <w:jc w:val="center"/>
            </w:pPr>
            <w:r w:rsidRPr="00F96BE0">
              <w:t>1.47</w:t>
            </w:r>
          </w:p>
        </w:tc>
        <w:tc>
          <w:tcPr>
            <w:tcW w:w="0" w:type="auto"/>
          </w:tcPr>
          <w:p w14:paraId="31565B21" w14:textId="77777777" w:rsidR="00F96BE0" w:rsidRPr="00F96BE0" w:rsidRDefault="00F96BE0" w:rsidP="00F96BE0">
            <w:pPr>
              <w:spacing w:before="0" w:after="0" w:line="240" w:lineRule="auto"/>
              <w:jc w:val="center"/>
            </w:pPr>
            <w:r w:rsidRPr="00F96BE0">
              <w:t>1.10</w:t>
            </w:r>
          </w:p>
        </w:tc>
        <w:tc>
          <w:tcPr>
            <w:tcW w:w="1140" w:type="dxa"/>
          </w:tcPr>
          <w:p w14:paraId="58F2C7A5" w14:textId="77777777" w:rsidR="00F96BE0" w:rsidRPr="00F96BE0" w:rsidRDefault="00F96BE0" w:rsidP="00F96BE0">
            <w:pPr>
              <w:spacing w:before="0" w:after="0" w:line="240" w:lineRule="auto"/>
            </w:pPr>
            <w:r w:rsidRPr="00F96BE0">
              <w:t>0.07</w:t>
            </w:r>
          </w:p>
        </w:tc>
      </w:tr>
      <w:tr w:rsidR="00F96BE0" w:rsidRPr="00F96BE0" w14:paraId="60E4244E" w14:textId="77777777" w:rsidTr="00F96BE0">
        <w:tc>
          <w:tcPr>
            <w:tcW w:w="1914" w:type="dxa"/>
            <w:vMerge/>
          </w:tcPr>
          <w:p w14:paraId="19D2FD52" w14:textId="77777777" w:rsidR="00F96BE0" w:rsidRPr="00F96BE0" w:rsidRDefault="00F96BE0" w:rsidP="00F96BE0">
            <w:pPr>
              <w:spacing w:before="0" w:after="0" w:line="240" w:lineRule="auto"/>
            </w:pPr>
          </w:p>
        </w:tc>
        <w:tc>
          <w:tcPr>
            <w:tcW w:w="1830" w:type="dxa"/>
            <w:vMerge/>
          </w:tcPr>
          <w:p w14:paraId="4E4CEDE8" w14:textId="77777777" w:rsidR="00F96BE0" w:rsidRPr="00F96BE0" w:rsidRDefault="00F96BE0" w:rsidP="00F96BE0">
            <w:pPr>
              <w:spacing w:before="0" w:after="0" w:line="240" w:lineRule="auto"/>
            </w:pPr>
          </w:p>
        </w:tc>
        <w:tc>
          <w:tcPr>
            <w:tcW w:w="1071" w:type="dxa"/>
          </w:tcPr>
          <w:p w14:paraId="784FC32E" w14:textId="77777777" w:rsidR="00F96BE0" w:rsidRPr="00F96BE0" w:rsidRDefault="00F96BE0" w:rsidP="00F96BE0">
            <w:pPr>
              <w:spacing w:before="0" w:after="0" w:line="240" w:lineRule="auto"/>
            </w:pPr>
            <w:r w:rsidRPr="00F96BE0">
              <w:t>1.0 Hz</w:t>
            </w:r>
          </w:p>
        </w:tc>
        <w:tc>
          <w:tcPr>
            <w:tcW w:w="1584" w:type="dxa"/>
          </w:tcPr>
          <w:p w14:paraId="26FFBD1D" w14:textId="77777777" w:rsidR="00F96BE0" w:rsidRPr="00F96BE0" w:rsidRDefault="00F96BE0" w:rsidP="00F96BE0">
            <w:pPr>
              <w:spacing w:before="0" w:after="0" w:line="240" w:lineRule="auto"/>
              <w:jc w:val="center"/>
            </w:pPr>
            <w:r w:rsidRPr="00F96BE0">
              <w:t>2.14</w:t>
            </w:r>
          </w:p>
        </w:tc>
        <w:tc>
          <w:tcPr>
            <w:tcW w:w="0" w:type="auto"/>
          </w:tcPr>
          <w:p w14:paraId="3C06CFB0" w14:textId="77777777" w:rsidR="00F96BE0" w:rsidRPr="00F96BE0" w:rsidRDefault="00F96BE0" w:rsidP="00F96BE0">
            <w:pPr>
              <w:spacing w:before="0" w:after="0" w:line="240" w:lineRule="auto"/>
              <w:jc w:val="center"/>
            </w:pPr>
            <w:r w:rsidRPr="00F96BE0">
              <w:t>1.70</w:t>
            </w:r>
          </w:p>
        </w:tc>
        <w:tc>
          <w:tcPr>
            <w:tcW w:w="1140" w:type="dxa"/>
          </w:tcPr>
          <w:p w14:paraId="6C5A57B8" w14:textId="77777777" w:rsidR="00F96BE0" w:rsidRPr="00F96BE0" w:rsidRDefault="00F96BE0" w:rsidP="00F96BE0">
            <w:pPr>
              <w:spacing w:before="0" w:after="0" w:line="240" w:lineRule="auto"/>
            </w:pPr>
            <w:r w:rsidRPr="00F96BE0">
              <w:t>0.02*</w:t>
            </w:r>
          </w:p>
        </w:tc>
      </w:tr>
      <w:tr w:rsidR="00F96BE0" w:rsidRPr="00F96BE0" w14:paraId="0948E8BF" w14:textId="77777777" w:rsidTr="00F96BE0">
        <w:tc>
          <w:tcPr>
            <w:tcW w:w="1914" w:type="dxa"/>
            <w:vMerge/>
          </w:tcPr>
          <w:p w14:paraId="2B51A4EC" w14:textId="77777777" w:rsidR="00F96BE0" w:rsidRPr="00F96BE0" w:rsidRDefault="00F96BE0" w:rsidP="00F96BE0">
            <w:pPr>
              <w:spacing w:before="0" w:after="0" w:line="240" w:lineRule="auto"/>
            </w:pPr>
          </w:p>
        </w:tc>
        <w:tc>
          <w:tcPr>
            <w:tcW w:w="1830" w:type="dxa"/>
            <w:vMerge w:val="restart"/>
          </w:tcPr>
          <w:p w14:paraId="7630AA61" w14:textId="77777777" w:rsidR="00F96BE0" w:rsidRPr="00F96BE0" w:rsidRDefault="00F96BE0" w:rsidP="00F96BE0">
            <w:pPr>
              <w:spacing w:before="0" w:after="0" w:line="240" w:lineRule="auto"/>
            </w:pPr>
            <w:r w:rsidRPr="00F96BE0">
              <w:t>Vertical duration (</w:t>
            </w:r>
            <w:proofErr w:type="spellStart"/>
            <w:r w:rsidRPr="00F96BE0">
              <w:t>ms</w:t>
            </w:r>
            <w:proofErr w:type="spellEnd"/>
            <w:r w:rsidRPr="00F96BE0">
              <w:t>)</w:t>
            </w:r>
          </w:p>
        </w:tc>
        <w:tc>
          <w:tcPr>
            <w:tcW w:w="1071" w:type="dxa"/>
          </w:tcPr>
          <w:p w14:paraId="4405315E" w14:textId="77777777" w:rsidR="00F96BE0" w:rsidRPr="00F96BE0" w:rsidRDefault="00F96BE0" w:rsidP="00F96BE0">
            <w:pPr>
              <w:spacing w:before="0" w:after="0" w:line="240" w:lineRule="auto"/>
            </w:pPr>
            <w:r w:rsidRPr="00F96BE0">
              <w:t>0.25 Hz</w:t>
            </w:r>
          </w:p>
        </w:tc>
        <w:tc>
          <w:tcPr>
            <w:tcW w:w="1584" w:type="dxa"/>
          </w:tcPr>
          <w:p w14:paraId="1643ACCE" w14:textId="77777777" w:rsidR="00F96BE0" w:rsidRPr="00F96BE0" w:rsidRDefault="00F96BE0" w:rsidP="00F96BE0">
            <w:pPr>
              <w:spacing w:before="0" w:after="0" w:line="240" w:lineRule="auto"/>
              <w:jc w:val="center"/>
            </w:pPr>
            <w:r w:rsidRPr="00F96BE0">
              <w:t>526.9</w:t>
            </w:r>
          </w:p>
        </w:tc>
        <w:tc>
          <w:tcPr>
            <w:tcW w:w="0" w:type="auto"/>
          </w:tcPr>
          <w:p w14:paraId="3D492384" w14:textId="77777777" w:rsidR="00F96BE0" w:rsidRPr="00F96BE0" w:rsidRDefault="00F96BE0" w:rsidP="00F96BE0">
            <w:pPr>
              <w:spacing w:before="0" w:after="0" w:line="240" w:lineRule="auto"/>
              <w:jc w:val="center"/>
            </w:pPr>
            <w:r w:rsidRPr="00F96BE0">
              <w:t>548.6</w:t>
            </w:r>
          </w:p>
        </w:tc>
        <w:tc>
          <w:tcPr>
            <w:tcW w:w="1140" w:type="dxa"/>
          </w:tcPr>
          <w:p w14:paraId="39E46023" w14:textId="77777777" w:rsidR="00F96BE0" w:rsidRPr="00F96BE0" w:rsidRDefault="00F96BE0" w:rsidP="00F96BE0">
            <w:pPr>
              <w:spacing w:before="0" w:after="0" w:line="240" w:lineRule="auto"/>
            </w:pPr>
            <w:r w:rsidRPr="00F96BE0">
              <w:t>0.77</w:t>
            </w:r>
          </w:p>
        </w:tc>
      </w:tr>
      <w:tr w:rsidR="00F96BE0" w:rsidRPr="00F96BE0" w14:paraId="48B4DC47" w14:textId="77777777" w:rsidTr="00F96BE0">
        <w:tc>
          <w:tcPr>
            <w:tcW w:w="1914" w:type="dxa"/>
            <w:vMerge/>
          </w:tcPr>
          <w:p w14:paraId="4D15AC8C" w14:textId="77777777" w:rsidR="00F96BE0" w:rsidRPr="00F96BE0" w:rsidRDefault="00F96BE0" w:rsidP="00F96BE0">
            <w:pPr>
              <w:spacing w:before="0" w:after="0" w:line="240" w:lineRule="auto"/>
            </w:pPr>
          </w:p>
        </w:tc>
        <w:tc>
          <w:tcPr>
            <w:tcW w:w="1830" w:type="dxa"/>
            <w:vMerge/>
          </w:tcPr>
          <w:p w14:paraId="5389436F" w14:textId="77777777" w:rsidR="00F96BE0" w:rsidRPr="00F96BE0" w:rsidRDefault="00F96BE0" w:rsidP="00F96BE0">
            <w:pPr>
              <w:spacing w:before="0" w:after="0" w:line="240" w:lineRule="auto"/>
            </w:pPr>
          </w:p>
        </w:tc>
        <w:tc>
          <w:tcPr>
            <w:tcW w:w="1071" w:type="dxa"/>
          </w:tcPr>
          <w:p w14:paraId="53ECEB97" w14:textId="77777777" w:rsidR="00F96BE0" w:rsidRPr="00F96BE0" w:rsidRDefault="00F96BE0" w:rsidP="00F96BE0">
            <w:pPr>
              <w:spacing w:before="0" w:after="0" w:line="240" w:lineRule="auto"/>
            </w:pPr>
            <w:r w:rsidRPr="00F96BE0">
              <w:t>0.5 Hz</w:t>
            </w:r>
          </w:p>
        </w:tc>
        <w:tc>
          <w:tcPr>
            <w:tcW w:w="1584" w:type="dxa"/>
          </w:tcPr>
          <w:p w14:paraId="4316D9C5" w14:textId="77777777" w:rsidR="00F96BE0" w:rsidRPr="00F96BE0" w:rsidRDefault="00F96BE0" w:rsidP="00F96BE0">
            <w:pPr>
              <w:spacing w:before="0" w:after="0" w:line="240" w:lineRule="auto"/>
              <w:jc w:val="center"/>
            </w:pPr>
            <w:r w:rsidRPr="00F96BE0">
              <w:t>290.7</w:t>
            </w:r>
          </w:p>
        </w:tc>
        <w:tc>
          <w:tcPr>
            <w:tcW w:w="0" w:type="auto"/>
          </w:tcPr>
          <w:p w14:paraId="5EAD3334" w14:textId="77777777" w:rsidR="00F96BE0" w:rsidRPr="00F96BE0" w:rsidRDefault="00F96BE0" w:rsidP="00F96BE0">
            <w:pPr>
              <w:spacing w:before="0" w:after="0" w:line="240" w:lineRule="auto"/>
              <w:jc w:val="center"/>
            </w:pPr>
            <w:r w:rsidRPr="00F96BE0">
              <w:t>302.3</w:t>
            </w:r>
          </w:p>
        </w:tc>
        <w:tc>
          <w:tcPr>
            <w:tcW w:w="1140" w:type="dxa"/>
          </w:tcPr>
          <w:p w14:paraId="35924D86" w14:textId="77777777" w:rsidR="00F96BE0" w:rsidRPr="00F96BE0" w:rsidRDefault="00F96BE0" w:rsidP="00F96BE0">
            <w:pPr>
              <w:spacing w:before="0" w:after="0" w:line="240" w:lineRule="auto"/>
            </w:pPr>
            <w:r w:rsidRPr="00F96BE0">
              <w:t>0.58</w:t>
            </w:r>
          </w:p>
        </w:tc>
      </w:tr>
      <w:tr w:rsidR="00F96BE0" w:rsidRPr="00F96BE0" w14:paraId="3889E3DA" w14:textId="77777777" w:rsidTr="00F96BE0">
        <w:tc>
          <w:tcPr>
            <w:tcW w:w="1914" w:type="dxa"/>
            <w:vMerge/>
          </w:tcPr>
          <w:p w14:paraId="5D737E63" w14:textId="77777777" w:rsidR="00F96BE0" w:rsidRPr="00F96BE0" w:rsidRDefault="00F96BE0" w:rsidP="00F96BE0">
            <w:pPr>
              <w:spacing w:before="0" w:after="0" w:line="240" w:lineRule="auto"/>
            </w:pPr>
          </w:p>
        </w:tc>
        <w:tc>
          <w:tcPr>
            <w:tcW w:w="1830" w:type="dxa"/>
            <w:vMerge/>
          </w:tcPr>
          <w:p w14:paraId="32C479B4" w14:textId="77777777" w:rsidR="00F96BE0" w:rsidRPr="00F96BE0" w:rsidRDefault="00F96BE0" w:rsidP="00F96BE0">
            <w:pPr>
              <w:spacing w:before="0" w:after="0" w:line="240" w:lineRule="auto"/>
            </w:pPr>
          </w:p>
        </w:tc>
        <w:tc>
          <w:tcPr>
            <w:tcW w:w="1071" w:type="dxa"/>
          </w:tcPr>
          <w:p w14:paraId="367DAAC9" w14:textId="77777777" w:rsidR="00F96BE0" w:rsidRPr="00F96BE0" w:rsidRDefault="00F96BE0" w:rsidP="00F96BE0">
            <w:pPr>
              <w:spacing w:before="0" w:after="0" w:line="240" w:lineRule="auto"/>
            </w:pPr>
            <w:r w:rsidRPr="00F96BE0">
              <w:t>0.75 Hz</w:t>
            </w:r>
          </w:p>
        </w:tc>
        <w:tc>
          <w:tcPr>
            <w:tcW w:w="1584" w:type="dxa"/>
          </w:tcPr>
          <w:p w14:paraId="0E0DA3EF" w14:textId="77777777" w:rsidR="00F96BE0" w:rsidRPr="00F96BE0" w:rsidRDefault="00F96BE0" w:rsidP="00F96BE0">
            <w:pPr>
              <w:spacing w:before="0" w:after="0" w:line="240" w:lineRule="auto"/>
              <w:jc w:val="center"/>
            </w:pPr>
            <w:r w:rsidRPr="00F96BE0">
              <w:t>221.2</w:t>
            </w:r>
          </w:p>
        </w:tc>
        <w:tc>
          <w:tcPr>
            <w:tcW w:w="0" w:type="auto"/>
          </w:tcPr>
          <w:p w14:paraId="3C56C32B" w14:textId="77777777" w:rsidR="00F96BE0" w:rsidRPr="00F96BE0" w:rsidRDefault="00F96BE0" w:rsidP="00F96BE0">
            <w:pPr>
              <w:spacing w:before="0" w:after="0" w:line="240" w:lineRule="auto"/>
              <w:jc w:val="center"/>
            </w:pPr>
            <w:r w:rsidRPr="00F96BE0">
              <w:t>219.8</w:t>
            </w:r>
          </w:p>
        </w:tc>
        <w:tc>
          <w:tcPr>
            <w:tcW w:w="1140" w:type="dxa"/>
          </w:tcPr>
          <w:p w14:paraId="678A1D10" w14:textId="77777777" w:rsidR="00F96BE0" w:rsidRPr="00F96BE0" w:rsidRDefault="00F96BE0" w:rsidP="00F96BE0">
            <w:pPr>
              <w:spacing w:before="0" w:after="0" w:line="240" w:lineRule="auto"/>
            </w:pPr>
            <w:r w:rsidRPr="00F96BE0">
              <w:t>0.93</w:t>
            </w:r>
          </w:p>
        </w:tc>
      </w:tr>
      <w:tr w:rsidR="00F96BE0" w:rsidRPr="00F96BE0" w14:paraId="607032F9" w14:textId="77777777" w:rsidTr="00F96BE0">
        <w:tc>
          <w:tcPr>
            <w:tcW w:w="1914" w:type="dxa"/>
            <w:vMerge/>
          </w:tcPr>
          <w:p w14:paraId="1CF6F166" w14:textId="77777777" w:rsidR="00F96BE0" w:rsidRPr="00F96BE0" w:rsidRDefault="00F96BE0" w:rsidP="00F96BE0">
            <w:pPr>
              <w:spacing w:before="0" w:after="0" w:line="240" w:lineRule="auto"/>
            </w:pPr>
          </w:p>
        </w:tc>
        <w:tc>
          <w:tcPr>
            <w:tcW w:w="1830" w:type="dxa"/>
            <w:vMerge/>
          </w:tcPr>
          <w:p w14:paraId="4897894E" w14:textId="77777777" w:rsidR="00F96BE0" w:rsidRPr="00F96BE0" w:rsidRDefault="00F96BE0" w:rsidP="00F96BE0">
            <w:pPr>
              <w:spacing w:before="0" w:after="0" w:line="240" w:lineRule="auto"/>
            </w:pPr>
          </w:p>
        </w:tc>
        <w:tc>
          <w:tcPr>
            <w:tcW w:w="1071" w:type="dxa"/>
          </w:tcPr>
          <w:p w14:paraId="787B5877" w14:textId="77777777" w:rsidR="00F96BE0" w:rsidRPr="00F96BE0" w:rsidRDefault="00F96BE0" w:rsidP="00F96BE0">
            <w:pPr>
              <w:spacing w:before="0" w:after="0" w:line="240" w:lineRule="auto"/>
            </w:pPr>
            <w:r w:rsidRPr="00F96BE0">
              <w:t>1.0 Hz</w:t>
            </w:r>
          </w:p>
        </w:tc>
        <w:tc>
          <w:tcPr>
            <w:tcW w:w="1584" w:type="dxa"/>
          </w:tcPr>
          <w:p w14:paraId="2EFDB2FC" w14:textId="77777777" w:rsidR="00F96BE0" w:rsidRPr="00F96BE0" w:rsidRDefault="00F96BE0" w:rsidP="00F96BE0">
            <w:pPr>
              <w:spacing w:before="0" w:after="0" w:line="240" w:lineRule="auto"/>
              <w:jc w:val="center"/>
            </w:pPr>
            <w:r w:rsidRPr="00F96BE0">
              <w:t>199.0</w:t>
            </w:r>
          </w:p>
        </w:tc>
        <w:tc>
          <w:tcPr>
            <w:tcW w:w="0" w:type="auto"/>
          </w:tcPr>
          <w:p w14:paraId="55C83ACC" w14:textId="77777777" w:rsidR="00F96BE0" w:rsidRPr="00F96BE0" w:rsidRDefault="00F96BE0" w:rsidP="00F96BE0">
            <w:pPr>
              <w:spacing w:before="0" w:after="0" w:line="240" w:lineRule="auto"/>
              <w:jc w:val="center"/>
            </w:pPr>
            <w:r w:rsidRPr="00F96BE0">
              <w:t>196.3</w:t>
            </w:r>
          </w:p>
        </w:tc>
        <w:tc>
          <w:tcPr>
            <w:tcW w:w="1140" w:type="dxa"/>
          </w:tcPr>
          <w:p w14:paraId="7D84885C" w14:textId="77777777" w:rsidR="00F96BE0" w:rsidRPr="00F96BE0" w:rsidRDefault="00F96BE0" w:rsidP="00F96BE0">
            <w:pPr>
              <w:spacing w:before="0" w:after="0" w:line="240" w:lineRule="auto"/>
            </w:pPr>
            <w:r w:rsidRPr="00F96BE0">
              <w:t>0.85</w:t>
            </w:r>
          </w:p>
        </w:tc>
      </w:tr>
      <w:tr w:rsidR="00F96BE0" w:rsidRPr="00F96BE0" w14:paraId="71333BF4" w14:textId="77777777" w:rsidTr="00F96BE0">
        <w:tc>
          <w:tcPr>
            <w:tcW w:w="1914" w:type="dxa"/>
            <w:vMerge/>
          </w:tcPr>
          <w:p w14:paraId="4B60568B" w14:textId="77777777" w:rsidR="00F96BE0" w:rsidRPr="00F96BE0" w:rsidRDefault="00F96BE0" w:rsidP="00F96BE0">
            <w:pPr>
              <w:spacing w:before="0" w:after="0" w:line="240" w:lineRule="auto"/>
            </w:pPr>
          </w:p>
        </w:tc>
        <w:tc>
          <w:tcPr>
            <w:tcW w:w="1830" w:type="dxa"/>
          </w:tcPr>
          <w:p w14:paraId="49E4F567" w14:textId="77777777" w:rsidR="00F96BE0" w:rsidRPr="00F96BE0" w:rsidRDefault="00F96BE0" w:rsidP="00F96BE0">
            <w:pPr>
              <w:spacing w:before="0" w:after="0" w:line="240" w:lineRule="auto"/>
              <w:rPr>
                <w:i/>
                <w:iCs/>
              </w:rPr>
            </w:pPr>
            <w:r w:rsidRPr="00F96BE0">
              <w:rPr>
                <w:i/>
                <w:iCs/>
              </w:rPr>
              <w:t>Saccade:</w:t>
            </w:r>
          </w:p>
        </w:tc>
        <w:tc>
          <w:tcPr>
            <w:tcW w:w="1071" w:type="dxa"/>
          </w:tcPr>
          <w:p w14:paraId="6FA74143" w14:textId="77777777" w:rsidR="00F96BE0" w:rsidRPr="00F96BE0" w:rsidRDefault="00F96BE0" w:rsidP="00F96BE0">
            <w:pPr>
              <w:spacing w:before="0" w:after="0" w:line="240" w:lineRule="auto"/>
            </w:pPr>
          </w:p>
        </w:tc>
        <w:tc>
          <w:tcPr>
            <w:tcW w:w="1584" w:type="dxa"/>
          </w:tcPr>
          <w:p w14:paraId="7E7FA72A" w14:textId="5225CCCD" w:rsidR="00F96BE0" w:rsidRPr="00F96BE0" w:rsidRDefault="00F96BE0" w:rsidP="00F96BE0">
            <w:pPr>
              <w:spacing w:before="0" w:after="0" w:line="240" w:lineRule="auto"/>
              <w:jc w:val="center"/>
            </w:pPr>
            <w:r w:rsidRPr="00F96BE0">
              <w:rPr>
                <w:b/>
                <w:bCs/>
              </w:rPr>
              <w:t>n = 1</w:t>
            </w:r>
            <w:r>
              <w:rPr>
                <w:b/>
                <w:bCs/>
              </w:rPr>
              <w:t>8</w:t>
            </w:r>
          </w:p>
        </w:tc>
        <w:tc>
          <w:tcPr>
            <w:tcW w:w="0" w:type="auto"/>
          </w:tcPr>
          <w:p w14:paraId="023CF1F8" w14:textId="0F2EBC40" w:rsidR="00F96BE0" w:rsidRPr="00F96BE0" w:rsidRDefault="00F96BE0" w:rsidP="00F96BE0">
            <w:pPr>
              <w:spacing w:before="0" w:after="0" w:line="240" w:lineRule="auto"/>
              <w:jc w:val="center"/>
            </w:pPr>
            <w:r w:rsidRPr="00F96BE0">
              <w:rPr>
                <w:b/>
                <w:bCs/>
              </w:rPr>
              <w:t>n = 1</w:t>
            </w:r>
            <w:r>
              <w:rPr>
                <w:b/>
                <w:bCs/>
              </w:rPr>
              <w:t>8</w:t>
            </w:r>
          </w:p>
        </w:tc>
        <w:tc>
          <w:tcPr>
            <w:tcW w:w="1140" w:type="dxa"/>
          </w:tcPr>
          <w:p w14:paraId="771B665F" w14:textId="77777777" w:rsidR="00F96BE0" w:rsidRPr="00F96BE0" w:rsidRDefault="00F96BE0" w:rsidP="00F96BE0">
            <w:pPr>
              <w:spacing w:before="0" w:after="0" w:line="240" w:lineRule="auto"/>
            </w:pPr>
          </w:p>
        </w:tc>
      </w:tr>
      <w:tr w:rsidR="00F96BE0" w:rsidRPr="00F96BE0" w14:paraId="3C01280C" w14:textId="77777777" w:rsidTr="00F96BE0">
        <w:tc>
          <w:tcPr>
            <w:tcW w:w="1914" w:type="dxa"/>
            <w:vMerge/>
          </w:tcPr>
          <w:p w14:paraId="558FF0B5" w14:textId="77777777" w:rsidR="00F96BE0" w:rsidRPr="00F96BE0" w:rsidRDefault="00F96BE0" w:rsidP="00F96BE0">
            <w:pPr>
              <w:spacing w:before="0" w:after="0" w:line="240" w:lineRule="auto"/>
            </w:pPr>
          </w:p>
        </w:tc>
        <w:tc>
          <w:tcPr>
            <w:tcW w:w="1830" w:type="dxa"/>
            <w:vMerge w:val="restart"/>
          </w:tcPr>
          <w:p w14:paraId="0E122D58" w14:textId="77777777" w:rsidR="00F96BE0" w:rsidRPr="00F96BE0" w:rsidRDefault="00F96BE0" w:rsidP="00F96BE0">
            <w:pPr>
              <w:spacing w:before="0" w:after="0" w:line="240" w:lineRule="auto"/>
            </w:pPr>
            <w:r w:rsidRPr="00F96BE0">
              <w:t>Horizontal latency (</w:t>
            </w:r>
            <w:proofErr w:type="spellStart"/>
            <w:r w:rsidRPr="00F96BE0">
              <w:t>ms</w:t>
            </w:r>
            <w:proofErr w:type="spellEnd"/>
            <w:r w:rsidRPr="00F96BE0">
              <w:t>)</w:t>
            </w:r>
          </w:p>
        </w:tc>
        <w:tc>
          <w:tcPr>
            <w:tcW w:w="1071" w:type="dxa"/>
          </w:tcPr>
          <w:p w14:paraId="6A62376C" w14:textId="77777777" w:rsidR="00F96BE0" w:rsidRPr="00F96BE0" w:rsidRDefault="00F96BE0" w:rsidP="00F96BE0">
            <w:pPr>
              <w:spacing w:before="0" w:after="0" w:line="240" w:lineRule="auto"/>
            </w:pPr>
            <w:r w:rsidRPr="00F96BE0">
              <w:t>Rt gaze</w:t>
            </w:r>
          </w:p>
        </w:tc>
        <w:tc>
          <w:tcPr>
            <w:tcW w:w="1584" w:type="dxa"/>
          </w:tcPr>
          <w:p w14:paraId="54F51BC0" w14:textId="77777777" w:rsidR="00F96BE0" w:rsidRPr="00F96BE0" w:rsidRDefault="00F96BE0" w:rsidP="00F96BE0">
            <w:pPr>
              <w:spacing w:before="0" w:after="0" w:line="240" w:lineRule="auto"/>
              <w:jc w:val="center"/>
            </w:pPr>
            <w:r w:rsidRPr="00F96BE0">
              <w:t>155.0</w:t>
            </w:r>
          </w:p>
        </w:tc>
        <w:tc>
          <w:tcPr>
            <w:tcW w:w="0" w:type="auto"/>
          </w:tcPr>
          <w:p w14:paraId="5A3675B5" w14:textId="77777777" w:rsidR="00F96BE0" w:rsidRPr="00F96BE0" w:rsidRDefault="00F96BE0" w:rsidP="00F96BE0">
            <w:pPr>
              <w:spacing w:before="0" w:after="0" w:line="240" w:lineRule="auto"/>
              <w:jc w:val="center"/>
            </w:pPr>
            <w:r w:rsidRPr="00F96BE0">
              <w:t>154.9</w:t>
            </w:r>
          </w:p>
        </w:tc>
        <w:tc>
          <w:tcPr>
            <w:tcW w:w="1140" w:type="dxa"/>
          </w:tcPr>
          <w:p w14:paraId="764E7C3D" w14:textId="77777777" w:rsidR="00F96BE0" w:rsidRPr="00F96BE0" w:rsidRDefault="00F96BE0" w:rsidP="00F96BE0">
            <w:pPr>
              <w:spacing w:before="0" w:after="0" w:line="240" w:lineRule="auto"/>
            </w:pPr>
            <w:r w:rsidRPr="00F96BE0">
              <w:t>0.99</w:t>
            </w:r>
          </w:p>
        </w:tc>
      </w:tr>
      <w:tr w:rsidR="00F96BE0" w:rsidRPr="00F96BE0" w14:paraId="2BA9DD92" w14:textId="77777777" w:rsidTr="00F96BE0">
        <w:tc>
          <w:tcPr>
            <w:tcW w:w="1914" w:type="dxa"/>
            <w:vMerge/>
          </w:tcPr>
          <w:p w14:paraId="136A1FD1" w14:textId="77777777" w:rsidR="00F96BE0" w:rsidRPr="00F96BE0" w:rsidRDefault="00F96BE0" w:rsidP="00F96BE0">
            <w:pPr>
              <w:spacing w:before="0" w:after="0" w:line="240" w:lineRule="auto"/>
            </w:pPr>
          </w:p>
        </w:tc>
        <w:tc>
          <w:tcPr>
            <w:tcW w:w="1830" w:type="dxa"/>
            <w:vMerge/>
          </w:tcPr>
          <w:p w14:paraId="69534507" w14:textId="77777777" w:rsidR="00F96BE0" w:rsidRPr="00F96BE0" w:rsidRDefault="00F96BE0" w:rsidP="00F96BE0">
            <w:pPr>
              <w:spacing w:before="0" w:after="0" w:line="240" w:lineRule="auto"/>
            </w:pPr>
          </w:p>
        </w:tc>
        <w:tc>
          <w:tcPr>
            <w:tcW w:w="1071" w:type="dxa"/>
          </w:tcPr>
          <w:p w14:paraId="3A8C0EE9" w14:textId="77777777" w:rsidR="00F96BE0" w:rsidRPr="00F96BE0" w:rsidRDefault="00F96BE0" w:rsidP="00F96BE0">
            <w:pPr>
              <w:spacing w:before="0" w:after="0" w:line="240" w:lineRule="auto"/>
            </w:pPr>
            <w:r w:rsidRPr="00F96BE0">
              <w:t>Lt gaze</w:t>
            </w:r>
          </w:p>
        </w:tc>
        <w:tc>
          <w:tcPr>
            <w:tcW w:w="1584" w:type="dxa"/>
          </w:tcPr>
          <w:p w14:paraId="2A24D3AB" w14:textId="77777777" w:rsidR="00F96BE0" w:rsidRPr="00F96BE0" w:rsidRDefault="00F96BE0" w:rsidP="00F96BE0">
            <w:pPr>
              <w:spacing w:before="0" w:after="0" w:line="240" w:lineRule="auto"/>
              <w:jc w:val="center"/>
            </w:pPr>
            <w:r w:rsidRPr="00F96BE0">
              <w:t>148.3</w:t>
            </w:r>
          </w:p>
        </w:tc>
        <w:tc>
          <w:tcPr>
            <w:tcW w:w="0" w:type="auto"/>
          </w:tcPr>
          <w:p w14:paraId="61D9047C" w14:textId="77777777" w:rsidR="00F96BE0" w:rsidRPr="00F96BE0" w:rsidRDefault="00F96BE0" w:rsidP="00F96BE0">
            <w:pPr>
              <w:spacing w:before="0" w:after="0" w:line="240" w:lineRule="auto"/>
              <w:jc w:val="center"/>
            </w:pPr>
            <w:r w:rsidRPr="00F96BE0">
              <w:t>147.7</w:t>
            </w:r>
          </w:p>
        </w:tc>
        <w:tc>
          <w:tcPr>
            <w:tcW w:w="1140" w:type="dxa"/>
          </w:tcPr>
          <w:p w14:paraId="5D8E002E" w14:textId="77777777" w:rsidR="00F96BE0" w:rsidRPr="00F96BE0" w:rsidRDefault="00F96BE0" w:rsidP="00F96BE0">
            <w:pPr>
              <w:spacing w:before="0" w:after="0" w:line="240" w:lineRule="auto"/>
            </w:pPr>
            <w:r w:rsidRPr="00F96BE0">
              <w:t>0.81</w:t>
            </w:r>
          </w:p>
        </w:tc>
      </w:tr>
      <w:tr w:rsidR="00F96BE0" w:rsidRPr="00F96BE0" w14:paraId="0F83F824" w14:textId="77777777" w:rsidTr="00F96BE0">
        <w:tc>
          <w:tcPr>
            <w:tcW w:w="1914" w:type="dxa"/>
            <w:vMerge/>
          </w:tcPr>
          <w:p w14:paraId="2EA6035B" w14:textId="77777777" w:rsidR="00F96BE0" w:rsidRPr="00F96BE0" w:rsidRDefault="00F96BE0" w:rsidP="00F96BE0">
            <w:pPr>
              <w:spacing w:before="0" w:after="0" w:line="240" w:lineRule="auto"/>
            </w:pPr>
          </w:p>
        </w:tc>
        <w:tc>
          <w:tcPr>
            <w:tcW w:w="1830" w:type="dxa"/>
            <w:vMerge w:val="restart"/>
          </w:tcPr>
          <w:p w14:paraId="31DB8151" w14:textId="77777777" w:rsidR="00F96BE0" w:rsidRPr="00F96BE0" w:rsidRDefault="00F96BE0" w:rsidP="00F96BE0">
            <w:pPr>
              <w:spacing w:before="0" w:after="0" w:line="240" w:lineRule="auto"/>
            </w:pPr>
            <w:r w:rsidRPr="00F96BE0">
              <w:t>Horizontal peak velocity (°/s)</w:t>
            </w:r>
          </w:p>
        </w:tc>
        <w:tc>
          <w:tcPr>
            <w:tcW w:w="1071" w:type="dxa"/>
          </w:tcPr>
          <w:p w14:paraId="4CFCD04D" w14:textId="77777777" w:rsidR="00F96BE0" w:rsidRPr="00F96BE0" w:rsidRDefault="00F96BE0" w:rsidP="00F96BE0">
            <w:pPr>
              <w:spacing w:before="0" w:after="0" w:line="240" w:lineRule="auto"/>
            </w:pPr>
            <w:r w:rsidRPr="00F96BE0">
              <w:t>Rt gaze</w:t>
            </w:r>
          </w:p>
        </w:tc>
        <w:tc>
          <w:tcPr>
            <w:tcW w:w="1584" w:type="dxa"/>
          </w:tcPr>
          <w:p w14:paraId="19CFE594" w14:textId="77777777" w:rsidR="00F96BE0" w:rsidRPr="00F96BE0" w:rsidRDefault="00F96BE0" w:rsidP="00F96BE0">
            <w:pPr>
              <w:spacing w:before="0" w:after="0" w:line="240" w:lineRule="auto"/>
              <w:jc w:val="center"/>
            </w:pPr>
            <w:r w:rsidRPr="00F96BE0">
              <w:t>307.3</w:t>
            </w:r>
          </w:p>
        </w:tc>
        <w:tc>
          <w:tcPr>
            <w:tcW w:w="0" w:type="auto"/>
          </w:tcPr>
          <w:p w14:paraId="57A71CCE" w14:textId="77777777" w:rsidR="00F96BE0" w:rsidRPr="00F96BE0" w:rsidRDefault="00F96BE0" w:rsidP="00F96BE0">
            <w:pPr>
              <w:spacing w:before="0" w:after="0" w:line="240" w:lineRule="auto"/>
              <w:jc w:val="center"/>
            </w:pPr>
            <w:r w:rsidRPr="00F96BE0">
              <w:t>294.6</w:t>
            </w:r>
          </w:p>
        </w:tc>
        <w:tc>
          <w:tcPr>
            <w:tcW w:w="1140" w:type="dxa"/>
          </w:tcPr>
          <w:p w14:paraId="4108F3F6" w14:textId="77777777" w:rsidR="00F96BE0" w:rsidRPr="00F96BE0" w:rsidRDefault="00F96BE0" w:rsidP="00F96BE0">
            <w:pPr>
              <w:spacing w:before="0" w:after="0" w:line="240" w:lineRule="auto"/>
            </w:pPr>
            <w:r w:rsidRPr="00F96BE0">
              <w:t>0.41</w:t>
            </w:r>
          </w:p>
        </w:tc>
      </w:tr>
      <w:tr w:rsidR="00F96BE0" w:rsidRPr="00F96BE0" w14:paraId="32C0ABFC" w14:textId="77777777" w:rsidTr="00F96BE0">
        <w:tc>
          <w:tcPr>
            <w:tcW w:w="1914" w:type="dxa"/>
            <w:vMerge/>
          </w:tcPr>
          <w:p w14:paraId="54D33366" w14:textId="77777777" w:rsidR="00F96BE0" w:rsidRPr="00F96BE0" w:rsidRDefault="00F96BE0" w:rsidP="00F96BE0">
            <w:pPr>
              <w:spacing w:before="0" w:after="0" w:line="240" w:lineRule="auto"/>
            </w:pPr>
          </w:p>
        </w:tc>
        <w:tc>
          <w:tcPr>
            <w:tcW w:w="1830" w:type="dxa"/>
            <w:vMerge/>
          </w:tcPr>
          <w:p w14:paraId="4567C458" w14:textId="77777777" w:rsidR="00F96BE0" w:rsidRPr="00F96BE0" w:rsidRDefault="00F96BE0" w:rsidP="00F96BE0">
            <w:pPr>
              <w:spacing w:before="0" w:after="0" w:line="240" w:lineRule="auto"/>
            </w:pPr>
          </w:p>
        </w:tc>
        <w:tc>
          <w:tcPr>
            <w:tcW w:w="1071" w:type="dxa"/>
          </w:tcPr>
          <w:p w14:paraId="38E43A36" w14:textId="77777777" w:rsidR="00F96BE0" w:rsidRPr="00F96BE0" w:rsidRDefault="00F96BE0" w:rsidP="00F96BE0">
            <w:pPr>
              <w:spacing w:before="0" w:after="0" w:line="240" w:lineRule="auto"/>
            </w:pPr>
            <w:r w:rsidRPr="00F96BE0">
              <w:t>Lt gaze</w:t>
            </w:r>
          </w:p>
        </w:tc>
        <w:tc>
          <w:tcPr>
            <w:tcW w:w="1584" w:type="dxa"/>
          </w:tcPr>
          <w:p w14:paraId="269A0615" w14:textId="77777777" w:rsidR="00F96BE0" w:rsidRPr="00F96BE0" w:rsidRDefault="00F96BE0" w:rsidP="00F96BE0">
            <w:pPr>
              <w:spacing w:before="0" w:after="0" w:line="240" w:lineRule="auto"/>
              <w:jc w:val="center"/>
            </w:pPr>
            <w:r w:rsidRPr="00F96BE0">
              <w:t>295.2</w:t>
            </w:r>
          </w:p>
        </w:tc>
        <w:tc>
          <w:tcPr>
            <w:tcW w:w="0" w:type="auto"/>
          </w:tcPr>
          <w:p w14:paraId="7DE80CA5" w14:textId="77777777" w:rsidR="00F96BE0" w:rsidRPr="00F96BE0" w:rsidRDefault="00F96BE0" w:rsidP="00F96BE0">
            <w:pPr>
              <w:spacing w:before="0" w:after="0" w:line="240" w:lineRule="auto"/>
              <w:jc w:val="center"/>
            </w:pPr>
            <w:r w:rsidRPr="00F96BE0">
              <w:t>319.3</w:t>
            </w:r>
          </w:p>
        </w:tc>
        <w:tc>
          <w:tcPr>
            <w:tcW w:w="1140" w:type="dxa"/>
          </w:tcPr>
          <w:p w14:paraId="4A3A1EE9" w14:textId="77777777" w:rsidR="00F96BE0" w:rsidRPr="00F96BE0" w:rsidRDefault="00F96BE0" w:rsidP="00F96BE0">
            <w:pPr>
              <w:spacing w:before="0" w:after="0" w:line="240" w:lineRule="auto"/>
            </w:pPr>
            <w:r w:rsidRPr="00F96BE0">
              <w:t>0.17</w:t>
            </w:r>
          </w:p>
        </w:tc>
      </w:tr>
      <w:tr w:rsidR="00F96BE0" w:rsidRPr="00F96BE0" w14:paraId="5DDA59EE" w14:textId="77777777" w:rsidTr="00F96BE0">
        <w:tc>
          <w:tcPr>
            <w:tcW w:w="1914" w:type="dxa"/>
            <w:vMerge/>
          </w:tcPr>
          <w:p w14:paraId="2492A622" w14:textId="77777777" w:rsidR="00F96BE0" w:rsidRPr="00F96BE0" w:rsidRDefault="00F96BE0" w:rsidP="00F96BE0">
            <w:pPr>
              <w:spacing w:before="0" w:after="0" w:line="240" w:lineRule="auto"/>
            </w:pPr>
          </w:p>
        </w:tc>
        <w:tc>
          <w:tcPr>
            <w:tcW w:w="1830" w:type="dxa"/>
            <w:vMerge w:val="restart"/>
          </w:tcPr>
          <w:p w14:paraId="28FC3A0C" w14:textId="77777777" w:rsidR="00F96BE0" w:rsidRPr="00F96BE0" w:rsidRDefault="00F96BE0" w:rsidP="00F96BE0">
            <w:pPr>
              <w:spacing w:before="0" w:after="0" w:line="240" w:lineRule="auto"/>
            </w:pPr>
            <w:r w:rsidRPr="00F96BE0">
              <w:t>Horizontal gain</w:t>
            </w:r>
          </w:p>
        </w:tc>
        <w:tc>
          <w:tcPr>
            <w:tcW w:w="1071" w:type="dxa"/>
          </w:tcPr>
          <w:p w14:paraId="6F4BB413" w14:textId="77777777" w:rsidR="00F96BE0" w:rsidRPr="00F96BE0" w:rsidRDefault="00F96BE0" w:rsidP="00F96BE0">
            <w:pPr>
              <w:spacing w:before="0" w:after="0" w:line="240" w:lineRule="auto"/>
            </w:pPr>
            <w:r w:rsidRPr="00F96BE0">
              <w:t>Rt gaze</w:t>
            </w:r>
          </w:p>
        </w:tc>
        <w:tc>
          <w:tcPr>
            <w:tcW w:w="1584" w:type="dxa"/>
          </w:tcPr>
          <w:p w14:paraId="46483550" w14:textId="77777777" w:rsidR="00F96BE0" w:rsidRPr="00F96BE0" w:rsidRDefault="00F96BE0" w:rsidP="00F96BE0">
            <w:pPr>
              <w:spacing w:before="0" w:after="0" w:line="240" w:lineRule="auto"/>
              <w:jc w:val="center"/>
            </w:pPr>
            <w:r w:rsidRPr="00F96BE0">
              <w:t>0.97</w:t>
            </w:r>
          </w:p>
        </w:tc>
        <w:tc>
          <w:tcPr>
            <w:tcW w:w="0" w:type="auto"/>
          </w:tcPr>
          <w:p w14:paraId="5B321401" w14:textId="77777777" w:rsidR="00F96BE0" w:rsidRPr="00F96BE0" w:rsidRDefault="00F96BE0" w:rsidP="00F96BE0">
            <w:pPr>
              <w:spacing w:before="0" w:after="0" w:line="240" w:lineRule="auto"/>
              <w:jc w:val="center"/>
            </w:pPr>
            <w:r w:rsidRPr="00F96BE0">
              <w:t>0.95</w:t>
            </w:r>
          </w:p>
        </w:tc>
        <w:tc>
          <w:tcPr>
            <w:tcW w:w="1140" w:type="dxa"/>
          </w:tcPr>
          <w:p w14:paraId="2B365151" w14:textId="77777777" w:rsidR="00F96BE0" w:rsidRPr="00F96BE0" w:rsidRDefault="00F96BE0" w:rsidP="00F96BE0">
            <w:pPr>
              <w:spacing w:before="0" w:after="0" w:line="240" w:lineRule="auto"/>
            </w:pPr>
            <w:r w:rsidRPr="00F96BE0">
              <w:t>0.37</w:t>
            </w:r>
          </w:p>
        </w:tc>
      </w:tr>
      <w:tr w:rsidR="00F96BE0" w:rsidRPr="00F96BE0" w14:paraId="14E5403B" w14:textId="77777777" w:rsidTr="00F96BE0">
        <w:tc>
          <w:tcPr>
            <w:tcW w:w="1914" w:type="dxa"/>
            <w:vMerge/>
          </w:tcPr>
          <w:p w14:paraId="1CB8E092" w14:textId="77777777" w:rsidR="00F96BE0" w:rsidRPr="00F96BE0" w:rsidRDefault="00F96BE0" w:rsidP="00F96BE0">
            <w:pPr>
              <w:spacing w:before="0" w:after="0" w:line="240" w:lineRule="auto"/>
            </w:pPr>
          </w:p>
        </w:tc>
        <w:tc>
          <w:tcPr>
            <w:tcW w:w="1830" w:type="dxa"/>
            <w:vMerge/>
          </w:tcPr>
          <w:p w14:paraId="7B8C0419" w14:textId="77777777" w:rsidR="00F96BE0" w:rsidRPr="00F96BE0" w:rsidRDefault="00F96BE0" w:rsidP="00F96BE0">
            <w:pPr>
              <w:spacing w:before="0" w:after="0" w:line="240" w:lineRule="auto"/>
            </w:pPr>
          </w:p>
        </w:tc>
        <w:tc>
          <w:tcPr>
            <w:tcW w:w="1071" w:type="dxa"/>
          </w:tcPr>
          <w:p w14:paraId="458622BA" w14:textId="77777777" w:rsidR="00F96BE0" w:rsidRPr="00F96BE0" w:rsidRDefault="00F96BE0" w:rsidP="00F96BE0">
            <w:pPr>
              <w:spacing w:before="0" w:after="0" w:line="240" w:lineRule="auto"/>
            </w:pPr>
            <w:r w:rsidRPr="00F96BE0">
              <w:t>Lt gaze</w:t>
            </w:r>
          </w:p>
        </w:tc>
        <w:tc>
          <w:tcPr>
            <w:tcW w:w="1584" w:type="dxa"/>
          </w:tcPr>
          <w:p w14:paraId="45EF05EC" w14:textId="77777777" w:rsidR="00F96BE0" w:rsidRPr="00F96BE0" w:rsidRDefault="00F96BE0" w:rsidP="00F96BE0">
            <w:pPr>
              <w:spacing w:before="0" w:after="0" w:line="240" w:lineRule="auto"/>
              <w:jc w:val="center"/>
            </w:pPr>
            <w:r w:rsidRPr="00F96BE0">
              <w:t>0.94</w:t>
            </w:r>
          </w:p>
        </w:tc>
        <w:tc>
          <w:tcPr>
            <w:tcW w:w="0" w:type="auto"/>
          </w:tcPr>
          <w:p w14:paraId="7DC30C17" w14:textId="77777777" w:rsidR="00F96BE0" w:rsidRPr="00F96BE0" w:rsidRDefault="00F96BE0" w:rsidP="00F96BE0">
            <w:pPr>
              <w:spacing w:before="0" w:after="0" w:line="240" w:lineRule="auto"/>
              <w:jc w:val="center"/>
            </w:pPr>
            <w:r w:rsidRPr="00F96BE0">
              <w:t>0.98</w:t>
            </w:r>
          </w:p>
        </w:tc>
        <w:tc>
          <w:tcPr>
            <w:tcW w:w="1140" w:type="dxa"/>
          </w:tcPr>
          <w:p w14:paraId="3EB3DAFF" w14:textId="77777777" w:rsidR="00F96BE0" w:rsidRPr="00F96BE0" w:rsidRDefault="00F96BE0" w:rsidP="00F96BE0">
            <w:pPr>
              <w:spacing w:before="0" w:after="0" w:line="240" w:lineRule="auto"/>
            </w:pPr>
            <w:r w:rsidRPr="00F96BE0">
              <w:t>0.05</w:t>
            </w:r>
          </w:p>
        </w:tc>
      </w:tr>
      <w:tr w:rsidR="00F96BE0" w:rsidRPr="00F96BE0" w14:paraId="39B26D9D" w14:textId="77777777" w:rsidTr="00F96BE0">
        <w:tc>
          <w:tcPr>
            <w:tcW w:w="1914" w:type="dxa"/>
            <w:vMerge/>
          </w:tcPr>
          <w:p w14:paraId="39DDD7DF" w14:textId="77777777" w:rsidR="00F96BE0" w:rsidRPr="00F96BE0" w:rsidRDefault="00F96BE0" w:rsidP="00F96BE0">
            <w:pPr>
              <w:spacing w:before="0" w:after="0" w:line="240" w:lineRule="auto"/>
            </w:pPr>
          </w:p>
        </w:tc>
        <w:tc>
          <w:tcPr>
            <w:tcW w:w="1830" w:type="dxa"/>
            <w:vMerge w:val="restart"/>
          </w:tcPr>
          <w:p w14:paraId="0EAF67F2" w14:textId="77777777" w:rsidR="00F96BE0" w:rsidRPr="00F96BE0" w:rsidRDefault="00F96BE0" w:rsidP="00F96BE0">
            <w:pPr>
              <w:spacing w:before="0" w:after="0" w:line="240" w:lineRule="auto"/>
            </w:pPr>
            <w:r w:rsidRPr="00F96BE0">
              <w:t>Vertical latency (</w:t>
            </w:r>
            <w:proofErr w:type="spellStart"/>
            <w:r w:rsidRPr="00F96BE0">
              <w:t>ms</w:t>
            </w:r>
            <w:proofErr w:type="spellEnd"/>
            <w:r w:rsidRPr="00F96BE0">
              <w:t>)</w:t>
            </w:r>
          </w:p>
        </w:tc>
        <w:tc>
          <w:tcPr>
            <w:tcW w:w="1071" w:type="dxa"/>
          </w:tcPr>
          <w:p w14:paraId="7A3371E6" w14:textId="77777777" w:rsidR="00F96BE0" w:rsidRPr="00F96BE0" w:rsidRDefault="00F96BE0" w:rsidP="00F96BE0">
            <w:pPr>
              <w:spacing w:before="0" w:after="0" w:line="240" w:lineRule="auto"/>
            </w:pPr>
            <w:r w:rsidRPr="00F96BE0">
              <w:t>Up gaze</w:t>
            </w:r>
          </w:p>
        </w:tc>
        <w:tc>
          <w:tcPr>
            <w:tcW w:w="1584" w:type="dxa"/>
          </w:tcPr>
          <w:p w14:paraId="22A56D3B" w14:textId="77777777" w:rsidR="00F96BE0" w:rsidRPr="00F96BE0" w:rsidRDefault="00F96BE0" w:rsidP="00F96BE0">
            <w:pPr>
              <w:spacing w:before="0" w:after="0" w:line="240" w:lineRule="auto"/>
              <w:jc w:val="center"/>
            </w:pPr>
            <w:r w:rsidRPr="00F96BE0">
              <w:t>157.9</w:t>
            </w:r>
          </w:p>
        </w:tc>
        <w:tc>
          <w:tcPr>
            <w:tcW w:w="0" w:type="auto"/>
          </w:tcPr>
          <w:p w14:paraId="3F5C40D5" w14:textId="77777777" w:rsidR="00F96BE0" w:rsidRPr="00F96BE0" w:rsidRDefault="00F96BE0" w:rsidP="00F96BE0">
            <w:pPr>
              <w:spacing w:before="0" w:after="0" w:line="240" w:lineRule="auto"/>
              <w:jc w:val="center"/>
            </w:pPr>
            <w:r w:rsidRPr="00F96BE0">
              <w:t>158.0</w:t>
            </w:r>
          </w:p>
        </w:tc>
        <w:tc>
          <w:tcPr>
            <w:tcW w:w="1140" w:type="dxa"/>
          </w:tcPr>
          <w:p w14:paraId="51300165" w14:textId="77777777" w:rsidR="00F96BE0" w:rsidRPr="00F96BE0" w:rsidRDefault="00F96BE0" w:rsidP="00F96BE0">
            <w:pPr>
              <w:spacing w:before="0" w:after="0" w:line="240" w:lineRule="auto"/>
            </w:pPr>
            <w:r w:rsidRPr="00F96BE0">
              <w:t>0.97</w:t>
            </w:r>
          </w:p>
        </w:tc>
      </w:tr>
      <w:tr w:rsidR="00F96BE0" w:rsidRPr="00F96BE0" w14:paraId="2DE1EEFF" w14:textId="77777777" w:rsidTr="00F96BE0">
        <w:tc>
          <w:tcPr>
            <w:tcW w:w="1914" w:type="dxa"/>
            <w:vMerge/>
          </w:tcPr>
          <w:p w14:paraId="0D23E56C" w14:textId="77777777" w:rsidR="00F96BE0" w:rsidRPr="00F96BE0" w:rsidRDefault="00F96BE0" w:rsidP="00F96BE0">
            <w:pPr>
              <w:spacing w:before="0" w:after="0" w:line="240" w:lineRule="auto"/>
            </w:pPr>
          </w:p>
        </w:tc>
        <w:tc>
          <w:tcPr>
            <w:tcW w:w="1830" w:type="dxa"/>
            <w:vMerge/>
          </w:tcPr>
          <w:p w14:paraId="35251B5B" w14:textId="77777777" w:rsidR="00F96BE0" w:rsidRPr="00F96BE0" w:rsidRDefault="00F96BE0" w:rsidP="00F96BE0">
            <w:pPr>
              <w:spacing w:before="0" w:after="0" w:line="240" w:lineRule="auto"/>
            </w:pPr>
          </w:p>
        </w:tc>
        <w:tc>
          <w:tcPr>
            <w:tcW w:w="1071" w:type="dxa"/>
          </w:tcPr>
          <w:p w14:paraId="6B973198" w14:textId="77777777" w:rsidR="00F96BE0" w:rsidRPr="00F96BE0" w:rsidRDefault="00F96BE0" w:rsidP="00F96BE0">
            <w:pPr>
              <w:spacing w:before="0" w:after="0" w:line="240" w:lineRule="auto"/>
            </w:pPr>
            <w:proofErr w:type="spellStart"/>
            <w:r w:rsidRPr="00F96BE0">
              <w:t>Dn</w:t>
            </w:r>
            <w:proofErr w:type="spellEnd"/>
            <w:r w:rsidRPr="00F96BE0">
              <w:t xml:space="preserve"> gaze</w:t>
            </w:r>
          </w:p>
        </w:tc>
        <w:tc>
          <w:tcPr>
            <w:tcW w:w="1584" w:type="dxa"/>
          </w:tcPr>
          <w:p w14:paraId="2256959F" w14:textId="77777777" w:rsidR="00F96BE0" w:rsidRPr="00F96BE0" w:rsidRDefault="00F96BE0" w:rsidP="00F96BE0">
            <w:pPr>
              <w:spacing w:before="0" w:after="0" w:line="240" w:lineRule="auto"/>
              <w:jc w:val="center"/>
            </w:pPr>
            <w:r w:rsidRPr="00F96BE0">
              <w:t>167.3</w:t>
            </w:r>
          </w:p>
        </w:tc>
        <w:tc>
          <w:tcPr>
            <w:tcW w:w="0" w:type="auto"/>
          </w:tcPr>
          <w:p w14:paraId="6EB6C2E9" w14:textId="77777777" w:rsidR="00F96BE0" w:rsidRPr="00F96BE0" w:rsidRDefault="00F96BE0" w:rsidP="00F96BE0">
            <w:pPr>
              <w:spacing w:before="0" w:after="0" w:line="240" w:lineRule="auto"/>
              <w:jc w:val="center"/>
            </w:pPr>
            <w:r w:rsidRPr="00F96BE0">
              <w:t>167.8</w:t>
            </w:r>
          </w:p>
        </w:tc>
        <w:tc>
          <w:tcPr>
            <w:tcW w:w="1140" w:type="dxa"/>
          </w:tcPr>
          <w:p w14:paraId="74604FCA" w14:textId="77777777" w:rsidR="00F96BE0" w:rsidRPr="00F96BE0" w:rsidRDefault="00F96BE0" w:rsidP="00F96BE0">
            <w:pPr>
              <w:spacing w:before="0" w:after="0" w:line="240" w:lineRule="auto"/>
            </w:pPr>
            <w:r w:rsidRPr="00F96BE0">
              <w:t>0.93</w:t>
            </w:r>
          </w:p>
        </w:tc>
      </w:tr>
      <w:tr w:rsidR="00F96BE0" w:rsidRPr="00F96BE0" w14:paraId="0F00DFCE" w14:textId="77777777" w:rsidTr="00F96BE0">
        <w:tc>
          <w:tcPr>
            <w:tcW w:w="1914" w:type="dxa"/>
            <w:vMerge/>
          </w:tcPr>
          <w:p w14:paraId="4F9A74CB" w14:textId="77777777" w:rsidR="00F96BE0" w:rsidRPr="00F96BE0" w:rsidRDefault="00F96BE0" w:rsidP="00F96BE0">
            <w:pPr>
              <w:spacing w:before="0" w:after="0" w:line="240" w:lineRule="auto"/>
            </w:pPr>
          </w:p>
        </w:tc>
        <w:tc>
          <w:tcPr>
            <w:tcW w:w="1830" w:type="dxa"/>
            <w:vMerge w:val="restart"/>
          </w:tcPr>
          <w:p w14:paraId="737F6683" w14:textId="77777777" w:rsidR="00F96BE0" w:rsidRPr="00F96BE0" w:rsidRDefault="00F96BE0" w:rsidP="00F96BE0">
            <w:pPr>
              <w:spacing w:before="0" w:after="0" w:line="240" w:lineRule="auto"/>
              <w:jc w:val="left"/>
            </w:pPr>
            <w:r w:rsidRPr="00F96BE0">
              <w:t>Vertical peak velocity (°/s)</w:t>
            </w:r>
          </w:p>
        </w:tc>
        <w:tc>
          <w:tcPr>
            <w:tcW w:w="1071" w:type="dxa"/>
          </w:tcPr>
          <w:p w14:paraId="798C9677" w14:textId="77777777" w:rsidR="00F96BE0" w:rsidRPr="00F96BE0" w:rsidRDefault="00F96BE0" w:rsidP="00F96BE0">
            <w:pPr>
              <w:spacing w:before="0" w:after="0" w:line="240" w:lineRule="auto"/>
            </w:pPr>
            <w:r w:rsidRPr="00F96BE0">
              <w:t>Up gaze</w:t>
            </w:r>
          </w:p>
        </w:tc>
        <w:tc>
          <w:tcPr>
            <w:tcW w:w="1584" w:type="dxa"/>
          </w:tcPr>
          <w:p w14:paraId="21753C35" w14:textId="77777777" w:rsidR="00F96BE0" w:rsidRPr="00F96BE0" w:rsidRDefault="00F96BE0" w:rsidP="00F96BE0">
            <w:pPr>
              <w:spacing w:before="0" w:after="0" w:line="240" w:lineRule="auto"/>
              <w:jc w:val="center"/>
            </w:pPr>
            <w:r w:rsidRPr="00F96BE0">
              <w:t>262.8</w:t>
            </w:r>
          </w:p>
        </w:tc>
        <w:tc>
          <w:tcPr>
            <w:tcW w:w="0" w:type="auto"/>
          </w:tcPr>
          <w:p w14:paraId="2993832A" w14:textId="77777777" w:rsidR="00F96BE0" w:rsidRPr="00F96BE0" w:rsidRDefault="00F96BE0" w:rsidP="00F96BE0">
            <w:pPr>
              <w:spacing w:before="0" w:after="0" w:line="240" w:lineRule="auto"/>
              <w:jc w:val="center"/>
            </w:pPr>
            <w:r w:rsidRPr="00F96BE0">
              <w:t>266.8</w:t>
            </w:r>
          </w:p>
        </w:tc>
        <w:tc>
          <w:tcPr>
            <w:tcW w:w="1140" w:type="dxa"/>
          </w:tcPr>
          <w:p w14:paraId="1B1BA7CB" w14:textId="77777777" w:rsidR="00F96BE0" w:rsidRPr="00F96BE0" w:rsidRDefault="00F96BE0" w:rsidP="00F96BE0">
            <w:pPr>
              <w:spacing w:before="0" w:after="0" w:line="240" w:lineRule="auto"/>
            </w:pPr>
            <w:r w:rsidRPr="00F96BE0">
              <w:t>0.71</w:t>
            </w:r>
          </w:p>
        </w:tc>
      </w:tr>
      <w:tr w:rsidR="00F96BE0" w:rsidRPr="00F96BE0" w14:paraId="028AE4F0" w14:textId="77777777" w:rsidTr="00F96BE0">
        <w:tc>
          <w:tcPr>
            <w:tcW w:w="1914" w:type="dxa"/>
            <w:vMerge/>
          </w:tcPr>
          <w:p w14:paraId="2F969922" w14:textId="77777777" w:rsidR="00F96BE0" w:rsidRPr="00F96BE0" w:rsidRDefault="00F96BE0" w:rsidP="00F96BE0">
            <w:pPr>
              <w:spacing w:before="0" w:after="0" w:line="240" w:lineRule="auto"/>
            </w:pPr>
          </w:p>
        </w:tc>
        <w:tc>
          <w:tcPr>
            <w:tcW w:w="1830" w:type="dxa"/>
            <w:vMerge/>
          </w:tcPr>
          <w:p w14:paraId="3F7D8924" w14:textId="77777777" w:rsidR="00F96BE0" w:rsidRPr="00F96BE0" w:rsidRDefault="00F96BE0" w:rsidP="00F96BE0">
            <w:pPr>
              <w:spacing w:before="0" w:after="0" w:line="240" w:lineRule="auto"/>
            </w:pPr>
          </w:p>
        </w:tc>
        <w:tc>
          <w:tcPr>
            <w:tcW w:w="1071" w:type="dxa"/>
          </w:tcPr>
          <w:p w14:paraId="4E02F11C" w14:textId="77777777" w:rsidR="00F96BE0" w:rsidRPr="00F96BE0" w:rsidRDefault="00F96BE0" w:rsidP="00F96BE0">
            <w:pPr>
              <w:spacing w:before="0" w:after="0" w:line="240" w:lineRule="auto"/>
            </w:pPr>
            <w:proofErr w:type="spellStart"/>
            <w:r w:rsidRPr="00F96BE0">
              <w:t>Dn</w:t>
            </w:r>
            <w:proofErr w:type="spellEnd"/>
            <w:r w:rsidRPr="00F96BE0">
              <w:t xml:space="preserve"> gaze</w:t>
            </w:r>
          </w:p>
        </w:tc>
        <w:tc>
          <w:tcPr>
            <w:tcW w:w="1584" w:type="dxa"/>
          </w:tcPr>
          <w:p w14:paraId="61E8A081" w14:textId="77777777" w:rsidR="00F96BE0" w:rsidRPr="00F96BE0" w:rsidRDefault="00F96BE0" w:rsidP="00F96BE0">
            <w:pPr>
              <w:spacing w:before="0" w:after="0" w:line="240" w:lineRule="auto"/>
              <w:jc w:val="center"/>
            </w:pPr>
            <w:r w:rsidRPr="00F96BE0">
              <w:t>261.7</w:t>
            </w:r>
          </w:p>
        </w:tc>
        <w:tc>
          <w:tcPr>
            <w:tcW w:w="0" w:type="auto"/>
          </w:tcPr>
          <w:p w14:paraId="34624CD5" w14:textId="77777777" w:rsidR="00F96BE0" w:rsidRPr="00F96BE0" w:rsidRDefault="00F96BE0" w:rsidP="00F96BE0">
            <w:pPr>
              <w:spacing w:before="0" w:after="0" w:line="240" w:lineRule="auto"/>
              <w:jc w:val="center"/>
            </w:pPr>
            <w:r w:rsidRPr="00F96BE0">
              <w:t>262.8</w:t>
            </w:r>
          </w:p>
        </w:tc>
        <w:tc>
          <w:tcPr>
            <w:tcW w:w="1140" w:type="dxa"/>
          </w:tcPr>
          <w:p w14:paraId="3A2A444C" w14:textId="77777777" w:rsidR="00F96BE0" w:rsidRPr="00F96BE0" w:rsidRDefault="00F96BE0" w:rsidP="00F96BE0">
            <w:pPr>
              <w:spacing w:before="0" w:after="0" w:line="240" w:lineRule="auto"/>
            </w:pPr>
            <w:r w:rsidRPr="00F96BE0">
              <w:t>0.93</w:t>
            </w:r>
          </w:p>
        </w:tc>
      </w:tr>
      <w:tr w:rsidR="00F96BE0" w:rsidRPr="00F96BE0" w14:paraId="1006B0B5" w14:textId="77777777" w:rsidTr="00F96BE0">
        <w:tc>
          <w:tcPr>
            <w:tcW w:w="1914" w:type="dxa"/>
            <w:vMerge/>
          </w:tcPr>
          <w:p w14:paraId="257D900C" w14:textId="77777777" w:rsidR="00F96BE0" w:rsidRPr="00F96BE0" w:rsidRDefault="00F96BE0" w:rsidP="00F96BE0">
            <w:pPr>
              <w:spacing w:before="0" w:after="0" w:line="240" w:lineRule="auto"/>
            </w:pPr>
          </w:p>
        </w:tc>
        <w:tc>
          <w:tcPr>
            <w:tcW w:w="1830" w:type="dxa"/>
            <w:vMerge w:val="restart"/>
          </w:tcPr>
          <w:p w14:paraId="5D0BF36D" w14:textId="77777777" w:rsidR="00F96BE0" w:rsidRPr="00F96BE0" w:rsidRDefault="00F96BE0" w:rsidP="00F96BE0">
            <w:pPr>
              <w:spacing w:before="0" w:after="0" w:line="240" w:lineRule="auto"/>
            </w:pPr>
            <w:r w:rsidRPr="00F96BE0">
              <w:t>Vertical gain</w:t>
            </w:r>
          </w:p>
        </w:tc>
        <w:tc>
          <w:tcPr>
            <w:tcW w:w="1071" w:type="dxa"/>
          </w:tcPr>
          <w:p w14:paraId="2E868FFD" w14:textId="77777777" w:rsidR="00F96BE0" w:rsidRPr="00F96BE0" w:rsidRDefault="00F96BE0" w:rsidP="00F96BE0">
            <w:pPr>
              <w:spacing w:before="0" w:after="0" w:line="240" w:lineRule="auto"/>
            </w:pPr>
            <w:r w:rsidRPr="00F96BE0">
              <w:t>Up gaze</w:t>
            </w:r>
          </w:p>
        </w:tc>
        <w:tc>
          <w:tcPr>
            <w:tcW w:w="1584" w:type="dxa"/>
          </w:tcPr>
          <w:p w14:paraId="7B4EAC42" w14:textId="77777777" w:rsidR="00F96BE0" w:rsidRPr="00F96BE0" w:rsidRDefault="00F96BE0" w:rsidP="00F96BE0">
            <w:pPr>
              <w:spacing w:before="0" w:after="0" w:line="240" w:lineRule="auto"/>
              <w:jc w:val="center"/>
            </w:pPr>
            <w:r w:rsidRPr="00F96BE0">
              <w:t>0.90</w:t>
            </w:r>
          </w:p>
        </w:tc>
        <w:tc>
          <w:tcPr>
            <w:tcW w:w="0" w:type="auto"/>
          </w:tcPr>
          <w:p w14:paraId="14334788" w14:textId="77777777" w:rsidR="00F96BE0" w:rsidRPr="00F96BE0" w:rsidRDefault="00F96BE0" w:rsidP="00F96BE0">
            <w:pPr>
              <w:spacing w:before="0" w:after="0" w:line="240" w:lineRule="auto"/>
              <w:jc w:val="center"/>
            </w:pPr>
            <w:r w:rsidRPr="00F96BE0">
              <w:t>0.90</w:t>
            </w:r>
          </w:p>
        </w:tc>
        <w:tc>
          <w:tcPr>
            <w:tcW w:w="1140" w:type="dxa"/>
          </w:tcPr>
          <w:p w14:paraId="0E4BE116" w14:textId="77777777" w:rsidR="00F96BE0" w:rsidRPr="00F96BE0" w:rsidRDefault="00F96BE0" w:rsidP="00F96BE0">
            <w:pPr>
              <w:spacing w:before="0" w:after="0" w:line="240" w:lineRule="auto"/>
            </w:pPr>
            <w:r w:rsidRPr="00F96BE0">
              <w:t>0.98</w:t>
            </w:r>
          </w:p>
        </w:tc>
      </w:tr>
      <w:tr w:rsidR="00F96BE0" w:rsidRPr="00F96BE0" w14:paraId="2A099E53" w14:textId="77777777" w:rsidTr="00F96BE0">
        <w:tc>
          <w:tcPr>
            <w:tcW w:w="1914" w:type="dxa"/>
            <w:vMerge/>
          </w:tcPr>
          <w:p w14:paraId="6BB5CD91" w14:textId="77777777" w:rsidR="00F96BE0" w:rsidRPr="00F96BE0" w:rsidRDefault="00F96BE0" w:rsidP="00F96BE0">
            <w:pPr>
              <w:spacing w:before="0" w:after="0" w:line="240" w:lineRule="auto"/>
            </w:pPr>
          </w:p>
        </w:tc>
        <w:tc>
          <w:tcPr>
            <w:tcW w:w="1830" w:type="dxa"/>
            <w:vMerge/>
          </w:tcPr>
          <w:p w14:paraId="389C2E42" w14:textId="77777777" w:rsidR="00F96BE0" w:rsidRPr="00F96BE0" w:rsidRDefault="00F96BE0" w:rsidP="00F96BE0">
            <w:pPr>
              <w:spacing w:before="0" w:after="0" w:line="240" w:lineRule="auto"/>
            </w:pPr>
          </w:p>
        </w:tc>
        <w:tc>
          <w:tcPr>
            <w:tcW w:w="1071" w:type="dxa"/>
          </w:tcPr>
          <w:p w14:paraId="5AA77A1C" w14:textId="77777777" w:rsidR="00F96BE0" w:rsidRPr="00F96BE0" w:rsidRDefault="00F96BE0" w:rsidP="00F96BE0">
            <w:pPr>
              <w:spacing w:before="0" w:after="0" w:line="240" w:lineRule="auto"/>
            </w:pPr>
            <w:proofErr w:type="spellStart"/>
            <w:r w:rsidRPr="00F96BE0">
              <w:t>Dn</w:t>
            </w:r>
            <w:proofErr w:type="spellEnd"/>
            <w:r w:rsidRPr="00F96BE0">
              <w:t xml:space="preserve"> gaze</w:t>
            </w:r>
          </w:p>
        </w:tc>
        <w:tc>
          <w:tcPr>
            <w:tcW w:w="1584" w:type="dxa"/>
          </w:tcPr>
          <w:p w14:paraId="66045FBB" w14:textId="77777777" w:rsidR="00F96BE0" w:rsidRPr="00F96BE0" w:rsidRDefault="00F96BE0" w:rsidP="00F96BE0">
            <w:pPr>
              <w:spacing w:before="0" w:after="0" w:line="240" w:lineRule="auto"/>
              <w:jc w:val="center"/>
            </w:pPr>
            <w:r w:rsidRPr="00F96BE0">
              <w:t>0.95</w:t>
            </w:r>
          </w:p>
        </w:tc>
        <w:tc>
          <w:tcPr>
            <w:tcW w:w="0" w:type="auto"/>
          </w:tcPr>
          <w:p w14:paraId="50D987C9" w14:textId="77777777" w:rsidR="00F96BE0" w:rsidRPr="00F96BE0" w:rsidRDefault="00F96BE0" w:rsidP="00F96BE0">
            <w:pPr>
              <w:spacing w:before="0" w:after="0" w:line="240" w:lineRule="auto"/>
              <w:jc w:val="center"/>
            </w:pPr>
            <w:r w:rsidRPr="00F96BE0">
              <w:t>0.96</w:t>
            </w:r>
          </w:p>
        </w:tc>
        <w:tc>
          <w:tcPr>
            <w:tcW w:w="1140" w:type="dxa"/>
          </w:tcPr>
          <w:p w14:paraId="443B17B7" w14:textId="77777777" w:rsidR="00F96BE0" w:rsidRPr="00F96BE0" w:rsidRDefault="00F96BE0" w:rsidP="003D2BE4">
            <w:pPr>
              <w:keepNext/>
              <w:spacing w:before="0" w:after="0" w:line="240" w:lineRule="auto"/>
            </w:pPr>
            <w:r w:rsidRPr="00F96BE0">
              <w:t>0.51</w:t>
            </w:r>
          </w:p>
        </w:tc>
      </w:tr>
    </w:tbl>
    <w:p w14:paraId="7955AABC" w14:textId="5B69FE8E" w:rsidR="00F96BE0" w:rsidRDefault="00F96BE0" w:rsidP="00F96BE0">
      <w:pPr>
        <w:spacing w:before="0"/>
      </w:pPr>
      <w:r w:rsidRPr="00F96BE0">
        <w:rPr>
          <w:i/>
          <w:iCs/>
        </w:rPr>
        <w:t>Note</w:t>
      </w:r>
      <w:r>
        <w:t xml:space="preserve">: </w:t>
      </w:r>
      <w:proofErr w:type="spellStart"/>
      <w:r>
        <w:t>mr</w:t>
      </w:r>
      <w:proofErr w:type="spellEnd"/>
      <w:r>
        <w:t xml:space="preserve"> = mean rank, Rt = Right, Lt = Left, </w:t>
      </w:r>
      <w:proofErr w:type="spellStart"/>
      <w:r>
        <w:t>Dn</w:t>
      </w:r>
      <w:proofErr w:type="spellEnd"/>
      <w:r>
        <w:t xml:space="preserve"> = Down. *</w:t>
      </w:r>
      <w:r w:rsidR="00EA5FF0">
        <w:t xml:space="preserve">Data are </w:t>
      </w:r>
      <w:r>
        <w:t xml:space="preserve">significant at </w:t>
      </w:r>
      <w:r w:rsidRPr="00CA0658">
        <w:rPr>
          <w:i/>
          <w:iCs/>
        </w:rPr>
        <w:t>p</w:t>
      </w:r>
      <w:r>
        <w:t>&lt;0.05.</w:t>
      </w:r>
    </w:p>
    <w:p w14:paraId="11377B5D" w14:textId="771DABB6" w:rsidR="00F96BE0" w:rsidRDefault="006E71C0" w:rsidP="00F96BE0">
      <w:pPr>
        <w:spacing w:before="0"/>
      </w:pPr>
      <w:r>
        <w:t>T</w:t>
      </w:r>
      <w:r w:rsidR="000D6F1F" w:rsidRPr="000D6F1F">
        <w:t>here was a significant difference when comparing binocular to monocular eye movement recording results</w:t>
      </w:r>
      <w:r w:rsidR="000D6F1F">
        <w:t xml:space="preserve"> (Table 4.</w:t>
      </w:r>
      <w:r w:rsidR="000C62B3">
        <w:t>6</w:t>
      </w:r>
      <w:r w:rsidR="000D6F1F">
        <w:t>)</w:t>
      </w:r>
      <w:r w:rsidR="000D6F1F" w:rsidRPr="000D6F1F">
        <w:t>.</w:t>
      </w:r>
      <w:r w:rsidR="000D6F1F">
        <w:t xml:space="preserve"> </w:t>
      </w:r>
      <w:r w:rsidR="008C43BD" w:rsidRPr="008C43BD">
        <w:t>Binocular recordings, for example, indicated much better SP RMSE, saccadic gain, and saccadic latency than monocular recordings, particularly in the horizontal direction.</w:t>
      </w:r>
      <w:r w:rsidR="000D6F1F">
        <w:t xml:space="preserve"> </w:t>
      </w:r>
      <w:r>
        <w:rPr>
          <w:color w:val="222222"/>
          <w:shd w:val="clear" w:color="auto" w:fill="FFFFFF"/>
        </w:rPr>
        <w:t xml:space="preserve">However, </w:t>
      </w:r>
      <w:r w:rsidRPr="00A7519E">
        <w:rPr>
          <w:color w:val="222222"/>
          <w:shd w:val="clear" w:color="auto" w:fill="FFFFFF"/>
        </w:rPr>
        <w:t xml:space="preserve">the </w:t>
      </w:r>
      <w:r>
        <w:rPr>
          <w:color w:val="222222"/>
          <w:shd w:val="clear" w:color="auto" w:fill="FFFFFF"/>
        </w:rPr>
        <w:t xml:space="preserve">current </w:t>
      </w:r>
      <w:r w:rsidRPr="00A7519E">
        <w:rPr>
          <w:color w:val="222222"/>
          <w:shd w:val="clear" w:color="auto" w:fill="FFFFFF"/>
        </w:rPr>
        <w:t xml:space="preserve">study's goal </w:t>
      </w:r>
      <w:r w:rsidR="00ED630C">
        <w:rPr>
          <w:color w:val="222222"/>
          <w:shd w:val="clear" w:color="auto" w:fill="FFFFFF"/>
        </w:rPr>
        <w:t>was</w:t>
      </w:r>
      <w:r>
        <w:rPr>
          <w:color w:val="222222"/>
          <w:shd w:val="clear" w:color="auto" w:fill="FFFFFF"/>
        </w:rPr>
        <w:t xml:space="preserve"> not</w:t>
      </w:r>
      <w:r w:rsidR="00ED630C">
        <w:rPr>
          <w:color w:val="222222"/>
          <w:shd w:val="clear" w:color="auto" w:fill="FFFFFF"/>
        </w:rPr>
        <w:t xml:space="preserve"> to</w:t>
      </w:r>
      <w:r>
        <w:rPr>
          <w:color w:val="222222"/>
          <w:shd w:val="clear" w:color="auto" w:fill="FFFFFF"/>
        </w:rPr>
        <w:t xml:space="preserve"> </w:t>
      </w:r>
      <w:r w:rsidRPr="00A7519E">
        <w:rPr>
          <w:color w:val="222222"/>
          <w:shd w:val="clear" w:color="auto" w:fill="FFFFFF"/>
        </w:rPr>
        <w:t xml:space="preserve">observe the influence on normal BSV </w:t>
      </w:r>
      <w:r w:rsidR="00CB1AEA" w:rsidRPr="000D6F1F">
        <w:t xml:space="preserve">because </w:t>
      </w:r>
      <w:r w:rsidR="00ED630C">
        <w:t>most</w:t>
      </w:r>
      <w:r w:rsidR="00CB1AEA" w:rsidRPr="000D6F1F">
        <w:t xml:space="preserve"> ocular nerve palsy patients do not have BSV</w:t>
      </w:r>
      <w:r w:rsidR="00CB1AEA">
        <w:t xml:space="preserve"> in free space</w:t>
      </w:r>
      <w:r>
        <w:rPr>
          <w:color w:val="222222"/>
          <w:shd w:val="clear" w:color="auto" w:fill="FFFFFF"/>
        </w:rPr>
        <w:t>.</w:t>
      </w:r>
      <w:r w:rsidR="00CB1AEA">
        <w:rPr>
          <w:color w:val="222222"/>
          <w:shd w:val="clear" w:color="auto" w:fill="FFFFFF"/>
        </w:rPr>
        <w:t xml:space="preserve"> If the current study is concern with binocularity, then </w:t>
      </w:r>
      <w:r w:rsidR="00CB1AEA" w:rsidRPr="000D6F1F">
        <w:t xml:space="preserve">it </w:t>
      </w:r>
      <w:r w:rsidR="00ED630C">
        <w:t xml:space="preserve">would have been </w:t>
      </w:r>
      <w:r w:rsidR="00CB1AEA" w:rsidRPr="000D6F1F">
        <w:t>best to compare the results obtained binocularly</w:t>
      </w:r>
      <w:r>
        <w:t xml:space="preserve"> </w:t>
      </w:r>
      <w:r>
        <w:fldChar w:fldCharType="begin"/>
      </w:r>
      <w:r>
        <w:instrText xml:space="preserve"> ADDIN EN.CITE &lt;EndNote&gt;&lt;Cite&gt;&lt;Author&gt;Švede&lt;/Author&gt;&lt;Year&gt;2015&lt;/Year&gt;&lt;IDText&gt;Monocular Versus Binocular Calibrations in Evaluating Fixation Disparity With a Video-Based Eye-Tracker&lt;/IDText&gt;&lt;DisplayText&gt;(Švede et al., 2015)&lt;/DisplayText&gt;&lt;record&gt;&lt;keywords&gt;&lt;keyword&gt;Adult&lt;/keyword&gt;&lt;keyword&gt;Calibration&lt;/keyword&gt;&lt;keyword&gt;Convergence, Ocular - physiology&lt;/keyword&gt;&lt;keyword&gt;Electrooculography - instrumentation&lt;/keyword&gt;&lt;keyword&gt;eye-tracker&lt;/keyword&gt;&lt;keyword&gt;Female&lt;/keyword&gt;&lt;keyword&gt;fixation disparity&lt;/keyword&gt;&lt;keyword&gt;Fixation, Ocular&lt;/keyword&gt;&lt;keyword&gt;heterophoria&lt;/keyword&gt;&lt;keyword&gt;Humans&lt;/keyword&gt;&lt;keyword&gt;Life Sciences &amp;amp; Biomedicine&lt;/keyword&gt;&lt;keyword&gt;Male&lt;/keyword&gt;&lt;keyword&gt;Ophthalmology&lt;/keyword&gt;&lt;keyword&gt;Psychology&lt;/keyword&gt;&lt;keyword&gt;Psychology, Experimental&lt;/keyword&gt;&lt;keyword&gt;Retina - physiopathology&lt;/keyword&gt;&lt;keyword&gt;Science &amp;amp; Technology&lt;/keyword&gt;&lt;keyword&gt;Social Sciences&lt;/keyword&gt;&lt;keyword&gt;Strabismus - physiopathology&lt;/keyword&gt;&lt;keyword&gt;Video Recording - instrumentation&lt;/keyword&gt;&lt;keyword&gt;Vision Disparity - physiology&lt;/keyword&gt;&lt;keyword&gt;Vision, Binocular - physiology&lt;/keyword&gt;&lt;keyword&gt;Vision, Monocular - physiology&lt;/keyword&gt;&lt;keyword&gt;Young Adult&lt;/keyword&gt;&lt;/keywords&gt;&lt;isbn&gt;0301-0066&lt;/isbn&gt;&lt;titles&gt;&lt;title&gt;Monocular Versus Binocular Calibrations in Evaluating Fixation Disparity With a Video-Based Eye-Tracker&lt;/title&gt;&lt;secondary-title&gt;Perception&lt;/secondary-title&gt;&lt;/titles&gt;&lt;pages&gt;1110-1128&lt;/pages&gt;&lt;number&gt;8-9&lt;/number&gt;&lt;contributors&gt;&lt;authors&gt;&lt;author&gt;Švede, Aiga&lt;/author&gt;&lt;author&gt;Treija, Elīna&lt;/author&gt;&lt;author&gt;Jaschinski, Wolfgang&lt;/author&gt;&lt;author&gt;Krūmiņa, Gunta&lt;/author&gt;&lt;/authors&gt;&lt;/contributors&gt;&lt;added-date format="utc"&gt;1647935931&lt;/added-date&gt;&lt;pub-location&gt;London, England&lt;/pub-location&gt;&lt;ref-type name="Journal Article"&gt;17&lt;/ref-type&gt;&lt;dates&gt;&lt;year&gt;2015&lt;/year&gt;&lt;/dates&gt;&lt;rec-number&gt;836&lt;/rec-number&gt;&lt;publisher&gt;London, England: SAGE Publications&lt;/publisher&gt;&lt;last-updated-date format="utc"&gt;1647935931&lt;/last-updated-date&gt;&lt;electronic-resource-num&gt;10.1177/0301006615596886&lt;/electronic-resource-num&gt;&lt;volume&gt;44&lt;/volume&gt;&lt;/record&gt;&lt;/Cite&gt;&lt;/EndNote&gt;</w:instrText>
      </w:r>
      <w:r>
        <w:fldChar w:fldCharType="separate"/>
      </w:r>
      <w:r>
        <w:rPr>
          <w:noProof/>
        </w:rPr>
        <w:t>(Švede et al., 2015)</w:t>
      </w:r>
      <w:r>
        <w:fldChar w:fldCharType="end"/>
      </w:r>
      <w:r w:rsidRPr="00A7519E">
        <w:rPr>
          <w:color w:val="222222"/>
          <w:shd w:val="clear" w:color="auto" w:fill="FFFFFF"/>
        </w:rPr>
        <w:t>.</w:t>
      </w:r>
    </w:p>
    <w:p w14:paraId="35FF701E" w14:textId="0B1144DB" w:rsidR="00275D3C" w:rsidRDefault="00275D3C" w:rsidP="00C4130D">
      <w:pPr>
        <w:pStyle w:val="Caption"/>
      </w:pPr>
      <w:bookmarkStart w:id="459" w:name="_Toc99378056"/>
      <w:r>
        <w:t>Table 4.</w:t>
      </w:r>
      <w:r w:rsidR="00260356">
        <w:fldChar w:fldCharType="begin"/>
      </w:r>
      <w:r w:rsidR="00260356">
        <w:instrText xml:space="preserve"> SEQ Table_4. \* ARABIC </w:instrText>
      </w:r>
      <w:r w:rsidR="00260356">
        <w:fldChar w:fldCharType="separate"/>
      </w:r>
      <w:r w:rsidR="00E268F6">
        <w:rPr>
          <w:noProof/>
        </w:rPr>
        <w:t>6</w:t>
      </w:r>
      <w:r w:rsidR="00260356">
        <w:fldChar w:fldCharType="end"/>
      </w:r>
      <w:r>
        <w:t xml:space="preserve">: </w:t>
      </w:r>
      <w:r w:rsidR="0018032F" w:rsidRPr="0018032F">
        <w:t xml:space="preserve">The independent samples t-test and the Mann-Whitney U test were used to compare two different recording methods (binocular </w:t>
      </w:r>
      <w:r w:rsidR="001C61B0">
        <w:t xml:space="preserve">versus </w:t>
      </w:r>
      <w:r w:rsidR="0018032F" w:rsidRPr="0018032F">
        <w:t>monocular EMR).</w:t>
      </w:r>
      <w:bookmarkEnd w:id="459"/>
    </w:p>
    <w:tbl>
      <w:tblPr>
        <w:tblStyle w:val="TableGrid"/>
        <w:tblW w:w="0" w:type="auto"/>
        <w:tblLook w:val="04A0" w:firstRow="1" w:lastRow="0" w:firstColumn="1" w:lastColumn="0" w:noHBand="0" w:noVBand="1"/>
      </w:tblPr>
      <w:tblGrid>
        <w:gridCol w:w="2122"/>
        <w:gridCol w:w="1802"/>
        <w:gridCol w:w="1037"/>
        <w:gridCol w:w="1683"/>
        <w:gridCol w:w="1350"/>
        <w:gridCol w:w="963"/>
      </w:tblGrid>
      <w:tr w:rsidR="00275D3C" w:rsidRPr="00572194" w14:paraId="20AC7FA1" w14:textId="77777777" w:rsidTr="00726970">
        <w:tc>
          <w:tcPr>
            <w:tcW w:w="2122" w:type="dxa"/>
          </w:tcPr>
          <w:p w14:paraId="2D8AEFAE" w14:textId="77777777" w:rsidR="00275D3C" w:rsidRPr="00B86DDC" w:rsidRDefault="00275D3C" w:rsidP="00275D3C">
            <w:pPr>
              <w:spacing w:before="0" w:after="0" w:line="240" w:lineRule="auto"/>
              <w:rPr>
                <w:b/>
                <w:bCs/>
              </w:rPr>
            </w:pPr>
            <w:r w:rsidRPr="00B86DDC">
              <w:rPr>
                <w:b/>
                <w:bCs/>
              </w:rPr>
              <w:t>Statistical test</w:t>
            </w:r>
          </w:p>
        </w:tc>
        <w:tc>
          <w:tcPr>
            <w:tcW w:w="1802" w:type="dxa"/>
          </w:tcPr>
          <w:p w14:paraId="4619C4C5" w14:textId="77777777" w:rsidR="00275D3C" w:rsidRPr="00B86DDC" w:rsidRDefault="00275D3C" w:rsidP="00275D3C">
            <w:pPr>
              <w:spacing w:before="0" w:after="0" w:line="240" w:lineRule="auto"/>
              <w:rPr>
                <w:b/>
                <w:bCs/>
              </w:rPr>
            </w:pPr>
            <w:r w:rsidRPr="00B86DDC">
              <w:rPr>
                <w:b/>
                <w:bCs/>
              </w:rPr>
              <w:t>EMR</w:t>
            </w:r>
            <w:r>
              <w:rPr>
                <w:b/>
                <w:bCs/>
              </w:rPr>
              <w:t xml:space="preserve"> parameters</w:t>
            </w:r>
          </w:p>
        </w:tc>
        <w:tc>
          <w:tcPr>
            <w:tcW w:w="1037" w:type="dxa"/>
          </w:tcPr>
          <w:p w14:paraId="659E9C3F" w14:textId="77777777" w:rsidR="00275D3C" w:rsidRPr="00572194" w:rsidRDefault="00275D3C" w:rsidP="00275D3C">
            <w:pPr>
              <w:spacing w:before="0" w:after="0" w:line="240" w:lineRule="auto"/>
            </w:pPr>
          </w:p>
        </w:tc>
        <w:tc>
          <w:tcPr>
            <w:tcW w:w="0" w:type="auto"/>
          </w:tcPr>
          <w:p w14:paraId="10DCFF32" w14:textId="77777777" w:rsidR="00275D3C" w:rsidRPr="00B86DDC" w:rsidRDefault="00275D3C" w:rsidP="00275D3C">
            <w:pPr>
              <w:spacing w:before="0" w:after="0" w:line="240" w:lineRule="auto"/>
              <w:jc w:val="center"/>
              <w:rPr>
                <w:b/>
                <w:bCs/>
              </w:rPr>
            </w:pPr>
            <w:proofErr w:type="spellStart"/>
            <w:r w:rsidRPr="00B86DDC">
              <w:rPr>
                <w:b/>
                <w:bCs/>
              </w:rPr>
              <w:t>Binocular_RE</w:t>
            </w:r>
            <w:proofErr w:type="spellEnd"/>
          </w:p>
          <w:p w14:paraId="0936E0A2" w14:textId="43E537C0" w:rsidR="00275D3C" w:rsidRPr="00B86DDC" w:rsidRDefault="00275D3C" w:rsidP="00275D3C">
            <w:pPr>
              <w:spacing w:before="0" w:after="0" w:line="240" w:lineRule="auto"/>
              <w:jc w:val="center"/>
              <w:rPr>
                <w:b/>
                <w:bCs/>
              </w:rPr>
            </w:pPr>
          </w:p>
        </w:tc>
        <w:tc>
          <w:tcPr>
            <w:tcW w:w="0" w:type="auto"/>
          </w:tcPr>
          <w:p w14:paraId="1954548F" w14:textId="77777777" w:rsidR="00275D3C" w:rsidRPr="00B86DDC" w:rsidRDefault="00275D3C" w:rsidP="00275D3C">
            <w:pPr>
              <w:spacing w:before="0" w:after="0" w:line="240" w:lineRule="auto"/>
              <w:jc w:val="center"/>
              <w:rPr>
                <w:b/>
                <w:bCs/>
              </w:rPr>
            </w:pPr>
            <w:r w:rsidRPr="00B86DDC">
              <w:rPr>
                <w:b/>
                <w:bCs/>
              </w:rPr>
              <w:t>Monocular</w:t>
            </w:r>
          </w:p>
          <w:p w14:paraId="533CC425" w14:textId="4BE24E5E" w:rsidR="00275D3C" w:rsidRPr="00B86DDC" w:rsidRDefault="00275D3C" w:rsidP="00275D3C">
            <w:pPr>
              <w:spacing w:before="0" w:after="0" w:line="240" w:lineRule="auto"/>
              <w:jc w:val="center"/>
              <w:rPr>
                <w:b/>
                <w:bCs/>
              </w:rPr>
            </w:pPr>
          </w:p>
        </w:tc>
        <w:tc>
          <w:tcPr>
            <w:tcW w:w="0" w:type="auto"/>
          </w:tcPr>
          <w:p w14:paraId="5D3DA33F" w14:textId="77777777" w:rsidR="00275D3C" w:rsidRPr="00B86DDC" w:rsidRDefault="00275D3C" w:rsidP="00275D3C">
            <w:pPr>
              <w:spacing w:before="0" w:after="0" w:line="240" w:lineRule="auto"/>
              <w:rPr>
                <w:b/>
                <w:bCs/>
              </w:rPr>
            </w:pPr>
            <w:r w:rsidRPr="00B86DDC">
              <w:rPr>
                <w:b/>
                <w:bCs/>
                <w:i/>
                <w:iCs/>
              </w:rPr>
              <w:t>p</w:t>
            </w:r>
            <w:r w:rsidRPr="00B86DDC">
              <w:rPr>
                <w:b/>
                <w:bCs/>
              </w:rPr>
              <w:t>-value</w:t>
            </w:r>
          </w:p>
        </w:tc>
      </w:tr>
      <w:tr w:rsidR="00275D3C" w:rsidRPr="00572194" w14:paraId="35685BAE" w14:textId="77777777" w:rsidTr="00726970">
        <w:tc>
          <w:tcPr>
            <w:tcW w:w="2122" w:type="dxa"/>
            <w:vMerge w:val="restart"/>
            <w:vAlign w:val="center"/>
          </w:tcPr>
          <w:p w14:paraId="14A911DE" w14:textId="77777777" w:rsidR="00275D3C" w:rsidRPr="00B86DDC" w:rsidRDefault="00275D3C" w:rsidP="00275D3C">
            <w:pPr>
              <w:spacing w:before="0" w:after="0" w:line="240" w:lineRule="auto"/>
              <w:jc w:val="center"/>
              <w:rPr>
                <w:b/>
                <w:bCs/>
              </w:rPr>
            </w:pPr>
            <w:r w:rsidRPr="00572194">
              <w:t>Mann-Whitney U test</w:t>
            </w:r>
          </w:p>
        </w:tc>
        <w:tc>
          <w:tcPr>
            <w:tcW w:w="1802" w:type="dxa"/>
          </w:tcPr>
          <w:p w14:paraId="351F24FA" w14:textId="77777777" w:rsidR="00275D3C" w:rsidRPr="00000673" w:rsidRDefault="00275D3C" w:rsidP="00275D3C">
            <w:pPr>
              <w:spacing w:before="0" w:after="0" w:line="240" w:lineRule="auto"/>
              <w:rPr>
                <w:i/>
                <w:iCs/>
              </w:rPr>
            </w:pPr>
            <w:r>
              <w:rPr>
                <w:i/>
                <w:iCs/>
              </w:rPr>
              <w:t>Fixation:</w:t>
            </w:r>
          </w:p>
        </w:tc>
        <w:tc>
          <w:tcPr>
            <w:tcW w:w="1037" w:type="dxa"/>
          </w:tcPr>
          <w:p w14:paraId="06DA4E8F" w14:textId="77777777" w:rsidR="00275D3C" w:rsidRPr="00572194" w:rsidRDefault="00275D3C" w:rsidP="00275D3C">
            <w:pPr>
              <w:spacing w:before="0" w:after="0" w:line="240" w:lineRule="auto"/>
            </w:pPr>
          </w:p>
        </w:tc>
        <w:tc>
          <w:tcPr>
            <w:tcW w:w="0" w:type="auto"/>
          </w:tcPr>
          <w:p w14:paraId="00047F39" w14:textId="2E1CF6F6" w:rsidR="00275D3C" w:rsidRPr="00B86DDC" w:rsidRDefault="00275D3C" w:rsidP="00275D3C">
            <w:pPr>
              <w:spacing w:before="0" w:after="0" w:line="240" w:lineRule="auto"/>
              <w:jc w:val="center"/>
              <w:rPr>
                <w:b/>
                <w:bCs/>
              </w:rPr>
            </w:pPr>
            <w:r w:rsidRPr="00F96BE0">
              <w:rPr>
                <w:b/>
                <w:bCs/>
              </w:rPr>
              <w:t>n = 17</w:t>
            </w:r>
          </w:p>
        </w:tc>
        <w:tc>
          <w:tcPr>
            <w:tcW w:w="0" w:type="auto"/>
          </w:tcPr>
          <w:p w14:paraId="479154D2" w14:textId="283AF763" w:rsidR="00275D3C" w:rsidRPr="00B86DDC" w:rsidRDefault="00275D3C" w:rsidP="00275D3C">
            <w:pPr>
              <w:spacing w:before="0" w:after="0" w:line="240" w:lineRule="auto"/>
              <w:jc w:val="center"/>
              <w:rPr>
                <w:b/>
                <w:bCs/>
              </w:rPr>
            </w:pPr>
            <w:r w:rsidRPr="00F96BE0">
              <w:rPr>
                <w:b/>
                <w:bCs/>
              </w:rPr>
              <w:t>n = 17</w:t>
            </w:r>
          </w:p>
        </w:tc>
        <w:tc>
          <w:tcPr>
            <w:tcW w:w="0" w:type="auto"/>
          </w:tcPr>
          <w:p w14:paraId="2D6FCF16" w14:textId="77777777" w:rsidR="00275D3C" w:rsidRPr="00B86DDC" w:rsidRDefault="00275D3C" w:rsidP="00275D3C">
            <w:pPr>
              <w:spacing w:before="0" w:after="0" w:line="240" w:lineRule="auto"/>
              <w:rPr>
                <w:b/>
                <w:bCs/>
                <w:i/>
                <w:iCs/>
              </w:rPr>
            </w:pPr>
          </w:p>
        </w:tc>
      </w:tr>
      <w:tr w:rsidR="00275D3C" w:rsidRPr="00572194" w14:paraId="215DB454" w14:textId="77777777" w:rsidTr="00726970">
        <w:tc>
          <w:tcPr>
            <w:tcW w:w="2122" w:type="dxa"/>
            <w:vMerge/>
            <w:vAlign w:val="center"/>
          </w:tcPr>
          <w:p w14:paraId="7F91F022" w14:textId="77777777" w:rsidR="00275D3C" w:rsidRPr="00572194" w:rsidRDefault="00275D3C" w:rsidP="00275D3C">
            <w:pPr>
              <w:spacing w:before="0" w:after="0" w:line="240" w:lineRule="auto"/>
              <w:jc w:val="center"/>
            </w:pPr>
          </w:p>
        </w:tc>
        <w:tc>
          <w:tcPr>
            <w:tcW w:w="1802" w:type="dxa"/>
            <w:vMerge w:val="restart"/>
          </w:tcPr>
          <w:p w14:paraId="1CB644F6" w14:textId="77777777" w:rsidR="00275D3C" w:rsidRPr="00572194" w:rsidRDefault="00275D3C" w:rsidP="00275D3C">
            <w:pPr>
              <w:spacing w:before="0" w:after="0" w:line="240" w:lineRule="auto"/>
            </w:pPr>
            <w:r>
              <w:t>Dwell time (%)</w:t>
            </w:r>
          </w:p>
        </w:tc>
        <w:tc>
          <w:tcPr>
            <w:tcW w:w="1037" w:type="dxa"/>
          </w:tcPr>
          <w:p w14:paraId="1780478B" w14:textId="77777777" w:rsidR="00275D3C" w:rsidRPr="00572194" w:rsidRDefault="00275D3C" w:rsidP="00275D3C">
            <w:pPr>
              <w:spacing w:before="0" w:after="0" w:line="240" w:lineRule="auto"/>
            </w:pPr>
            <w:r w:rsidRPr="00572194">
              <w:t>1° AOI</w:t>
            </w:r>
          </w:p>
        </w:tc>
        <w:tc>
          <w:tcPr>
            <w:tcW w:w="0" w:type="auto"/>
          </w:tcPr>
          <w:p w14:paraId="2F455F7C" w14:textId="77777777" w:rsidR="00275D3C" w:rsidRPr="00572194" w:rsidRDefault="00275D3C" w:rsidP="00275D3C">
            <w:pPr>
              <w:spacing w:before="0" w:after="0" w:line="240" w:lineRule="auto"/>
              <w:jc w:val="center"/>
            </w:pPr>
            <w:proofErr w:type="spellStart"/>
            <w:r w:rsidRPr="00E17AE8">
              <w:rPr>
                <w:i/>
                <w:iCs/>
              </w:rPr>
              <w:t>mr</w:t>
            </w:r>
            <w:proofErr w:type="spellEnd"/>
            <w:r w:rsidRPr="00572194">
              <w:t xml:space="preserve"> = </w:t>
            </w:r>
            <w:r>
              <w:t>22.76</w:t>
            </w:r>
          </w:p>
        </w:tc>
        <w:tc>
          <w:tcPr>
            <w:tcW w:w="0" w:type="auto"/>
          </w:tcPr>
          <w:p w14:paraId="136CF689" w14:textId="77777777" w:rsidR="00275D3C" w:rsidRPr="00572194" w:rsidRDefault="00275D3C" w:rsidP="00275D3C">
            <w:pPr>
              <w:spacing w:before="0" w:after="0" w:line="240" w:lineRule="auto"/>
              <w:jc w:val="center"/>
            </w:pPr>
            <w:proofErr w:type="spellStart"/>
            <w:r w:rsidRPr="00E17AE8">
              <w:rPr>
                <w:i/>
                <w:iCs/>
              </w:rPr>
              <w:t>mr</w:t>
            </w:r>
            <w:proofErr w:type="spellEnd"/>
            <w:r w:rsidRPr="00572194">
              <w:t xml:space="preserve"> = 1</w:t>
            </w:r>
            <w:r>
              <w:t>2.24</w:t>
            </w:r>
          </w:p>
        </w:tc>
        <w:tc>
          <w:tcPr>
            <w:tcW w:w="0" w:type="auto"/>
          </w:tcPr>
          <w:p w14:paraId="563A9B1E" w14:textId="77777777" w:rsidR="00275D3C" w:rsidRPr="00572194" w:rsidRDefault="00275D3C" w:rsidP="00275D3C">
            <w:pPr>
              <w:spacing w:before="0" w:after="0" w:line="240" w:lineRule="auto"/>
            </w:pPr>
            <w:r>
              <w:t>&lt;0.01*</w:t>
            </w:r>
          </w:p>
        </w:tc>
      </w:tr>
      <w:tr w:rsidR="00275D3C" w:rsidRPr="00572194" w14:paraId="517507C0" w14:textId="77777777" w:rsidTr="00726970">
        <w:tc>
          <w:tcPr>
            <w:tcW w:w="2122" w:type="dxa"/>
            <w:vMerge/>
          </w:tcPr>
          <w:p w14:paraId="22DBB99B" w14:textId="77777777" w:rsidR="00275D3C" w:rsidRPr="00572194" w:rsidRDefault="00275D3C" w:rsidP="00275D3C">
            <w:pPr>
              <w:spacing w:before="0" w:after="0" w:line="240" w:lineRule="auto"/>
            </w:pPr>
          </w:p>
        </w:tc>
        <w:tc>
          <w:tcPr>
            <w:tcW w:w="1802" w:type="dxa"/>
            <w:vMerge/>
          </w:tcPr>
          <w:p w14:paraId="626C46E6" w14:textId="77777777" w:rsidR="00275D3C" w:rsidRPr="00572194" w:rsidRDefault="00275D3C" w:rsidP="00275D3C">
            <w:pPr>
              <w:spacing w:before="0" w:after="0" w:line="240" w:lineRule="auto"/>
            </w:pPr>
          </w:p>
        </w:tc>
        <w:tc>
          <w:tcPr>
            <w:tcW w:w="1037" w:type="dxa"/>
          </w:tcPr>
          <w:p w14:paraId="6EE8CC5B" w14:textId="77777777" w:rsidR="00275D3C" w:rsidRPr="00572194" w:rsidRDefault="00275D3C" w:rsidP="00275D3C">
            <w:pPr>
              <w:spacing w:before="0" w:after="0" w:line="240" w:lineRule="auto"/>
            </w:pPr>
            <w:r w:rsidRPr="00572194">
              <w:t>2° AOI</w:t>
            </w:r>
          </w:p>
        </w:tc>
        <w:tc>
          <w:tcPr>
            <w:tcW w:w="0" w:type="auto"/>
          </w:tcPr>
          <w:p w14:paraId="73F4A0FD" w14:textId="77777777" w:rsidR="00275D3C" w:rsidRPr="00572194" w:rsidRDefault="00275D3C" w:rsidP="00275D3C">
            <w:pPr>
              <w:spacing w:before="0" w:after="0" w:line="240" w:lineRule="auto"/>
              <w:jc w:val="center"/>
            </w:pPr>
            <w:proofErr w:type="spellStart"/>
            <w:r w:rsidRPr="00E17AE8">
              <w:rPr>
                <w:i/>
                <w:iCs/>
              </w:rPr>
              <w:t>mr</w:t>
            </w:r>
            <w:proofErr w:type="spellEnd"/>
            <w:r w:rsidRPr="00572194">
              <w:t xml:space="preserve"> =</w:t>
            </w:r>
            <w:r>
              <w:t xml:space="preserve"> 12.71</w:t>
            </w:r>
          </w:p>
        </w:tc>
        <w:tc>
          <w:tcPr>
            <w:tcW w:w="0" w:type="auto"/>
          </w:tcPr>
          <w:p w14:paraId="0AD0F356" w14:textId="77777777" w:rsidR="00275D3C" w:rsidRPr="00572194" w:rsidRDefault="00275D3C" w:rsidP="00275D3C">
            <w:pPr>
              <w:spacing w:before="0" w:after="0" w:line="240" w:lineRule="auto"/>
              <w:jc w:val="center"/>
            </w:pPr>
            <w:proofErr w:type="spellStart"/>
            <w:r w:rsidRPr="00E17AE8">
              <w:rPr>
                <w:i/>
                <w:iCs/>
              </w:rPr>
              <w:t>mr</w:t>
            </w:r>
            <w:proofErr w:type="spellEnd"/>
            <w:r w:rsidRPr="00572194">
              <w:t xml:space="preserve"> = </w:t>
            </w:r>
            <w:r>
              <w:t>22.29</w:t>
            </w:r>
          </w:p>
        </w:tc>
        <w:tc>
          <w:tcPr>
            <w:tcW w:w="0" w:type="auto"/>
          </w:tcPr>
          <w:p w14:paraId="0D13F39A" w14:textId="77777777" w:rsidR="00275D3C" w:rsidRPr="00572194" w:rsidRDefault="00275D3C" w:rsidP="00275D3C">
            <w:pPr>
              <w:spacing w:before="0" w:after="0" w:line="240" w:lineRule="auto"/>
            </w:pPr>
            <w:r>
              <w:t>0.01*</w:t>
            </w:r>
          </w:p>
        </w:tc>
      </w:tr>
      <w:tr w:rsidR="00275D3C" w:rsidRPr="00572194" w14:paraId="118A921D" w14:textId="77777777" w:rsidTr="00726970">
        <w:tc>
          <w:tcPr>
            <w:tcW w:w="2122" w:type="dxa"/>
            <w:vMerge/>
          </w:tcPr>
          <w:p w14:paraId="11B7426B" w14:textId="77777777" w:rsidR="00275D3C" w:rsidRPr="00572194" w:rsidRDefault="00275D3C" w:rsidP="00275D3C">
            <w:pPr>
              <w:spacing w:before="0" w:after="0" w:line="240" w:lineRule="auto"/>
            </w:pPr>
          </w:p>
        </w:tc>
        <w:tc>
          <w:tcPr>
            <w:tcW w:w="1802" w:type="dxa"/>
            <w:vMerge/>
          </w:tcPr>
          <w:p w14:paraId="3E7BCB67" w14:textId="77777777" w:rsidR="00275D3C" w:rsidRPr="00572194" w:rsidRDefault="00275D3C" w:rsidP="00275D3C">
            <w:pPr>
              <w:spacing w:before="0" w:after="0" w:line="240" w:lineRule="auto"/>
            </w:pPr>
          </w:p>
        </w:tc>
        <w:tc>
          <w:tcPr>
            <w:tcW w:w="1037" w:type="dxa"/>
          </w:tcPr>
          <w:p w14:paraId="2E3701AA" w14:textId="77777777" w:rsidR="00275D3C" w:rsidRPr="00572194" w:rsidRDefault="00275D3C" w:rsidP="00275D3C">
            <w:pPr>
              <w:spacing w:before="0" w:after="0" w:line="240" w:lineRule="auto"/>
            </w:pPr>
            <w:r w:rsidRPr="00572194">
              <w:t>&gt;2° AOI</w:t>
            </w:r>
          </w:p>
        </w:tc>
        <w:tc>
          <w:tcPr>
            <w:tcW w:w="0" w:type="auto"/>
          </w:tcPr>
          <w:p w14:paraId="0F47A908" w14:textId="77777777" w:rsidR="00275D3C" w:rsidRPr="00572194" w:rsidRDefault="00275D3C" w:rsidP="00275D3C">
            <w:pPr>
              <w:spacing w:before="0" w:after="0" w:line="240" w:lineRule="auto"/>
              <w:jc w:val="center"/>
            </w:pPr>
            <w:proofErr w:type="spellStart"/>
            <w:r w:rsidRPr="00E17AE8">
              <w:rPr>
                <w:i/>
                <w:iCs/>
              </w:rPr>
              <w:t>mr</w:t>
            </w:r>
            <w:proofErr w:type="spellEnd"/>
            <w:r w:rsidRPr="00572194">
              <w:t xml:space="preserve"> = </w:t>
            </w:r>
            <w:r>
              <w:t>13.21</w:t>
            </w:r>
          </w:p>
        </w:tc>
        <w:tc>
          <w:tcPr>
            <w:tcW w:w="0" w:type="auto"/>
          </w:tcPr>
          <w:p w14:paraId="4B2C5C51" w14:textId="77777777" w:rsidR="00275D3C" w:rsidRPr="00572194" w:rsidRDefault="00275D3C" w:rsidP="00275D3C">
            <w:pPr>
              <w:spacing w:before="0" w:after="0" w:line="240" w:lineRule="auto"/>
              <w:jc w:val="center"/>
            </w:pPr>
            <w:proofErr w:type="spellStart"/>
            <w:r w:rsidRPr="00E17AE8">
              <w:rPr>
                <w:i/>
                <w:iCs/>
              </w:rPr>
              <w:t>mr</w:t>
            </w:r>
            <w:proofErr w:type="spellEnd"/>
            <w:r w:rsidRPr="00572194">
              <w:t xml:space="preserve"> = </w:t>
            </w:r>
            <w:r>
              <w:t>21.79</w:t>
            </w:r>
          </w:p>
        </w:tc>
        <w:tc>
          <w:tcPr>
            <w:tcW w:w="0" w:type="auto"/>
          </w:tcPr>
          <w:p w14:paraId="7FDE630B" w14:textId="77777777" w:rsidR="00275D3C" w:rsidRPr="00572194" w:rsidRDefault="00275D3C" w:rsidP="00275D3C">
            <w:pPr>
              <w:spacing w:before="0" w:after="0" w:line="240" w:lineRule="auto"/>
            </w:pPr>
            <w:r>
              <w:t>0.01*</w:t>
            </w:r>
          </w:p>
        </w:tc>
      </w:tr>
      <w:tr w:rsidR="00275D3C" w:rsidRPr="00572194" w14:paraId="5CEC3116" w14:textId="77777777" w:rsidTr="00726970">
        <w:tc>
          <w:tcPr>
            <w:tcW w:w="2122" w:type="dxa"/>
            <w:vMerge w:val="restart"/>
            <w:vAlign w:val="center"/>
          </w:tcPr>
          <w:p w14:paraId="0C14126B" w14:textId="77777777" w:rsidR="00275D3C" w:rsidRPr="00572194" w:rsidRDefault="00275D3C" w:rsidP="00275D3C">
            <w:pPr>
              <w:spacing w:before="0" w:after="0" w:line="240" w:lineRule="auto"/>
              <w:jc w:val="center"/>
            </w:pPr>
            <w:r>
              <w:t>Independent-samples t-test</w:t>
            </w:r>
          </w:p>
        </w:tc>
        <w:tc>
          <w:tcPr>
            <w:tcW w:w="1802" w:type="dxa"/>
          </w:tcPr>
          <w:p w14:paraId="791348F7" w14:textId="77777777" w:rsidR="00275D3C" w:rsidRPr="00000673" w:rsidRDefault="00275D3C" w:rsidP="00275D3C">
            <w:pPr>
              <w:spacing w:before="0" w:after="0" w:line="240" w:lineRule="auto"/>
              <w:rPr>
                <w:i/>
                <w:iCs/>
              </w:rPr>
            </w:pPr>
            <w:r w:rsidRPr="00000673">
              <w:rPr>
                <w:i/>
                <w:iCs/>
              </w:rPr>
              <w:t>Smooth Pursuit:</w:t>
            </w:r>
          </w:p>
        </w:tc>
        <w:tc>
          <w:tcPr>
            <w:tcW w:w="1037" w:type="dxa"/>
          </w:tcPr>
          <w:p w14:paraId="73E3317A" w14:textId="77777777" w:rsidR="00275D3C" w:rsidRPr="00572194" w:rsidRDefault="00275D3C" w:rsidP="00275D3C">
            <w:pPr>
              <w:spacing w:before="0" w:after="0" w:line="240" w:lineRule="auto"/>
            </w:pPr>
          </w:p>
        </w:tc>
        <w:tc>
          <w:tcPr>
            <w:tcW w:w="0" w:type="auto"/>
          </w:tcPr>
          <w:p w14:paraId="6DEDF800" w14:textId="40C85935" w:rsidR="00275D3C" w:rsidRPr="00572194" w:rsidRDefault="00275D3C" w:rsidP="00275D3C">
            <w:pPr>
              <w:spacing w:before="0" w:after="0" w:line="240" w:lineRule="auto"/>
              <w:jc w:val="center"/>
            </w:pPr>
            <w:r w:rsidRPr="00F96BE0">
              <w:rPr>
                <w:b/>
                <w:bCs/>
              </w:rPr>
              <w:t>n = 1</w:t>
            </w:r>
            <w:r>
              <w:rPr>
                <w:b/>
                <w:bCs/>
              </w:rPr>
              <w:t>8</w:t>
            </w:r>
          </w:p>
        </w:tc>
        <w:tc>
          <w:tcPr>
            <w:tcW w:w="0" w:type="auto"/>
          </w:tcPr>
          <w:p w14:paraId="5D4FFA61" w14:textId="372A5A3A" w:rsidR="00275D3C" w:rsidRPr="00572194" w:rsidRDefault="00275D3C" w:rsidP="00275D3C">
            <w:pPr>
              <w:spacing w:before="0" w:after="0" w:line="240" w:lineRule="auto"/>
              <w:jc w:val="center"/>
            </w:pPr>
            <w:r w:rsidRPr="00F96BE0">
              <w:rPr>
                <w:b/>
                <w:bCs/>
              </w:rPr>
              <w:t>n = 1</w:t>
            </w:r>
            <w:r>
              <w:rPr>
                <w:b/>
                <w:bCs/>
              </w:rPr>
              <w:t>8</w:t>
            </w:r>
          </w:p>
        </w:tc>
        <w:tc>
          <w:tcPr>
            <w:tcW w:w="0" w:type="auto"/>
          </w:tcPr>
          <w:p w14:paraId="6045481C" w14:textId="77777777" w:rsidR="00275D3C" w:rsidRDefault="00275D3C" w:rsidP="00275D3C">
            <w:pPr>
              <w:spacing w:before="0" w:after="0" w:line="240" w:lineRule="auto"/>
            </w:pPr>
          </w:p>
        </w:tc>
      </w:tr>
      <w:tr w:rsidR="00275D3C" w:rsidRPr="00572194" w14:paraId="77BBB563" w14:textId="77777777" w:rsidTr="00726970">
        <w:tc>
          <w:tcPr>
            <w:tcW w:w="2122" w:type="dxa"/>
            <w:vMerge/>
            <w:vAlign w:val="center"/>
          </w:tcPr>
          <w:p w14:paraId="6C240DCE" w14:textId="77777777" w:rsidR="00275D3C" w:rsidRPr="00572194" w:rsidRDefault="00275D3C" w:rsidP="00275D3C">
            <w:pPr>
              <w:spacing w:before="0" w:after="0" w:line="240" w:lineRule="auto"/>
              <w:jc w:val="center"/>
            </w:pPr>
          </w:p>
        </w:tc>
        <w:tc>
          <w:tcPr>
            <w:tcW w:w="1802" w:type="dxa"/>
            <w:vMerge w:val="restart"/>
          </w:tcPr>
          <w:p w14:paraId="3E32787E" w14:textId="77777777" w:rsidR="00275D3C" w:rsidRPr="00572194" w:rsidRDefault="00275D3C" w:rsidP="00275D3C">
            <w:pPr>
              <w:spacing w:before="0" w:after="0" w:line="240" w:lineRule="auto"/>
            </w:pPr>
            <w:r>
              <w:t>Horizontal gain</w:t>
            </w:r>
          </w:p>
        </w:tc>
        <w:tc>
          <w:tcPr>
            <w:tcW w:w="1037" w:type="dxa"/>
          </w:tcPr>
          <w:p w14:paraId="31455FE7" w14:textId="77777777" w:rsidR="00275D3C" w:rsidRPr="00572194" w:rsidRDefault="00275D3C" w:rsidP="00275D3C">
            <w:pPr>
              <w:spacing w:before="0" w:after="0" w:line="240" w:lineRule="auto"/>
            </w:pPr>
            <w:r>
              <w:t>0.2 Hz</w:t>
            </w:r>
          </w:p>
        </w:tc>
        <w:tc>
          <w:tcPr>
            <w:tcW w:w="0" w:type="auto"/>
          </w:tcPr>
          <w:p w14:paraId="4D7CEA7F" w14:textId="77777777" w:rsidR="00275D3C" w:rsidRPr="00572194" w:rsidRDefault="00275D3C" w:rsidP="00275D3C">
            <w:pPr>
              <w:spacing w:before="0" w:after="0" w:line="240" w:lineRule="auto"/>
              <w:jc w:val="center"/>
            </w:pPr>
            <w:r>
              <w:t>0.97</w:t>
            </w:r>
          </w:p>
        </w:tc>
        <w:tc>
          <w:tcPr>
            <w:tcW w:w="0" w:type="auto"/>
          </w:tcPr>
          <w:p w14:paraId="4C3CF236" w14:textId="77777777" w:rsidR="00275D3C" w:rsidRPr="00572194" w:rsidRDefault="00275D3C" w:rsidP="00275D3C">
            <w:pPr>
              <w:spacing w:before="0" w:after="0" w:line="240" w:lineRule="auto"/>
              <w:jc w:val="center"/>
            </w:pPr>
            <w:r>
              <w:t>0.96</w:t>
            </w:r>
          </w:p>
        </w:tc>
        <w:tc>
          <w:tcPr>
            <w:tcW w:w="0" w:type="auto"/>
          </w:tcPr>
          <w:p w14:paraId="5924E6EB" w14:textId="77777777" w:rsidR="00275D3C" w:rsidRPr="00572194" w:rsidRDefault="00275D3C" w:rsidP="00275D3C">
            <w:pPr>
              <w:spacing w:before="0" w:after="0" w:line="240" w:lineRule="auto"/>
            </w:pPr>
            <w:r>
              <w:t>0.44</w:t>
            </w:r>
          </w:p>
        </w:tc>
      </w:tr>
      <w:tr w:rsidR="00275D3C" w:rsidRPr="00572194" w14:paraId="35061521" w14:textId="77777777" w:rsidTr="00726970">
        <w:tc>
          <w:tcPr>
            <w:tcW w:w="2122" w:type="dxa"/>
            <w:vMerge/>
          </w:tcPr>
          <w:p w14:paraId="772A8601" w14:textId="77777777" w:rsidR="00275D3C" w:rsidRPr="00572194" w:rsidRDefault="00275D3C" w:rsidP="00275D3C">
            <w:pPr>
              <w:spacing w:before="0" w:after="0" w:line="240" w:lineRule="auto"/>
            </w:pPr>
          </w:p>
        </w:tc>
        <w:tc>
          <w:tcPr>
            <w:tcW w:w="1802" w:type="dxa"/>
            <w:vMerge/>
          </w:tcPr>
          <w:p w14:paraId="3563DC0F" w14:textId="77777777" w:rsidR="00275D3C" w:rsidRPr="00572194" w:rsidRDefault="00275D3C" w:rsidP="00275D3C">
            <w:pPr>
              <w:spacing w:before="0" w:after="0" w:line="240" w:lineRule="auto"/>
            </w:pPr>
          </w:p>
        </w:tc>
        <w:tc>
          <w:tcPr>
            <w:tcW w:w="1037" w:type="dxa"/>
          </w:tcPr>
          <w:p w14:paraId="52FE037D" w14:textId="77777777" w:rsidR="00275D3C" w:rsidRPr="00572194" w:rsidRDefault="00275D3C" w:rsidP="00275D3C">
            <w:pPr>
              <w:spacing w:before="0" w:after="0" w:line="240" w:lineRule="auto"/>
            </w:pPr>
            <w:r>
              <w:t>0.4 Hz</w:t>
            </w:r>
          </w:p>
        </w:tc>
        <w:tc>
          <w:tcPr>
            <w:tcW w:w="0" w:type="auto"/>
          </w:tcPr>
          <w:p w14:paraId="75D8BCA8" w14:textId="77777777" w:rsidR="00275D3C" w:rsidRPr="00572194" w:rsidRDefault="00275D3C" w:rsidP="00275D3C">
            <w:pPr>
              <w:spacing w:before="0" w:after="0" w:line="240" w:lineRule="auto"/>
              <w:jc w:val="center"/>
            </w:pPr>
            <w:r>
              <w:t>0.93</w:t>
            </w:r>
          </w:p>
        </w:tc>
        <w:tc>
          <w:tcPr>
            <w:tcW w:w="0" w:type="auto"/>
          </w:tcPr>
          <w:p w14:paraId="16CA689A" w14:textId="77777777" w:rsidR="00275D3C" w:rsidRPr="00572194" w:rsidRDefault="00275D3C" w:rsidP="00275D3C">
            <w:pPr>
              <w:spacing w:before="0" w:after="0" w:line="240" w:lineRule="auto"/>
              <w:jc w:val="center"/>
            </w:pPr>
            <w:r>
              <w:t>0.94</w:t>
            </w:r>
          </w:p>
        </w:tc>
        <w:tc>
          <w:tcPr>
            <w:tcW w:w="0" w:type="auto"/>
          </w:tcPr>
          <w:p w14:paraId="6E1BA140" w14:textId="77777777" w:rsidR="00275D3C" w:rsidRPr="00572194" w:rsidRDefault="00275D3C" w:rsidP="00275D3C">
            <w:pPr>
              <w:spacing w:before="0" w:after="0" w:line="240" w:lineRule="auto"/>
            </w:pPr>
            <w:r>
              <w:t>0.51</w:t>
            </w:r>
          </w:p>
        </w:tc>
      </w:tr>
      <w:tr w:rsidR="00275D3C" w:rsidRPr="00572194" w14:paraId="054CBB3C" w14:textId="77777777" w:rsidTr="00726970">
        <w:tc>
          <w:tcPr>
            <w:tcW w:w="2122" w:type="dxa"/>
            <w:vMerge/>
          </w:tcPr>
          <w:p w14:paraId="456556A6" w14:textId="77777777" w:rsidR="00275D3C" w:rsidRPr="00572194" w:rsidRDefault="00275D3C" w:rsidP="00275D3C">
            <w:pPr>
              <w:spacing w:before="0" w:after="0" w:line="240" w:lineRule="auto"/>
            </w:pPr>
          </w:p>
        </w:tc>
        <w:tc>
          <w:tcPr>
            <w:tcW w:w="1802" w:type="dxa"/>
            <w:vMerge/>
          </w:tcPr>
          <w:p w14:paraId="5BB9F8F7" w14:textId="77777777" w:rsidR="00275D3C" w:rsidRPr="00572194" w:rsidRDefault="00275D3C" w:rsidP="00275D3C">
            <w:pPr>
              <w:spacing w:before="0" w:after="0" w:line="240" w:lineRule="auto"/>
            </w:pPr>
          </w:p>
        </w:tc>
        <w:tc>
          <w:tcPr>
            <w:tcW w:w="1037" w:type="dxa"/>
          </w:tcPr>
          <w:p w14:paraId="089113B2" w14:textId="77777777" w:rsidR="00275D3C" w:rsidRPr="00572194" w:rsidRDefault="00275D3C" w:rsidP="00275D3C">
            <w:pPr>
              <w:spacing w:before="0" w:after="0" w:line="240" w:lineRule="auto"/>
            </w:pPr>
            <w:r>
              <w:t>0.6 Hz</w:t>
            </w:r>
          </w:p>
        </w:tc>
        <w:tc>
          <w:tcPr>
            <w:tcW w:w="0" w:type="auto"/>
          </w:tcPr>
          <w:p w14:paraId="40AD3FB9" w14:textId="77777777" w:rsidR="00275D3C" w:rsidRPr="00572194" w:rsidRDefault="00275D3C" w:rsidP="00275D3C">
            <w:pPr>
              <w:spacing w:before="0" w:after="0" w:line="240" w:lineRule="auto"/>
              <w:jc w:val="center"/>
            </w:pPr>
            <w:r>
              <w:t>0.88</w:t>
            </w:r>
          </w:p>
        </w:tc>
        <w:tc>
          <w:tcPr>
            <w:tcW w:w="0" w:type="auto"/>
          </w:tcPr>
          <w:p w14:paraId="51726E8D" w14:textId="77777777" w:rsidR="00275D3C" w:rsidRPr="00572194" w:rsidRDefault="00275D3C" w:rsidP="00275D3C">
            <w:pPr>
              <w:spacing w:before="0" w:after="0" w:line="240" w:lineRule="auto"/>
              <w:jc w:val="center"/>
            </w:pPr>
            <w:r>
              <w:t>0.89</w:t>
            </w:r>
          </w:p>
        </w:tc>
        <w:tc>
          <w:tcPr>
            <w:tcW w:w="0" w:type="auto"/>
          </w:tcPr>
          <w:p w14:paraId="2E0808F7" w14:textId="77777777" w:rsidR="00275D3C" w:rsidRPr="00572194" w:rsidRDefault="00275D3C" w:rsidP="00275D3C">
            <w:pPr>
              <w:spacing w:before="0" w:after="0" w:line="240" w:lineRule="auto"/>
            </w:pPr>
            <w:r>
              <w:t>0.60</w:t>
            </w:r>
          </w:p>
        </w:tc>
      </w:tr>
      <w:tr w:rsidR="00275D3C" w:rsidRPr="00572194" w14:paraId="38B4204F" w14:textId="77777777" w:rsidTr="00726970">
        <w:tc>
          <w:tcPr>
            <w:tcW w:w="2122" w:type="dxa"/>
            <w:vMerge/>
          </w:tcPr>
          <w:p w14:paraId="6BB7958E" w14:textId="77777777" w:rsidR="00275D3C" w:rsidRPr="00572194" w:rsidRDefault="00275D3C" w:rsidP="00275D3C">
            <w:pPr>
              <w:spacing w:before="0" w:after="0" w:line="240" w:lineRule="auto"/>
            </w:pPr>
          </w:p>
        </w:tc>
        <w:tc>
          <w:tcPr>
            <w:tcW w:w="1802" w:type="dxa"/>
            <w:vMerge/>
          </w:tcPr>
          <w:p w14:paraId="7CF16197" w14:textId="77777777" w:rsidR="00275D3C" w:rsidRPr="00572194" w:rsidRDefault="00275D3C" w:rsidP="00275D3C">
            <w:pPr>
              <w:spacing w:before="0" w:after="0" w:line="240" w:lineRule="auto"/>
            </w:pPr>
          </w:p>
        </w:tc>
        <w:tc>
          <w:tcPr>
            <w:tcW w:w="1037" w:type="dxa"/>
          </w:tcPr>
          <w:p w14:paraId="5339EB8B" w14:textId="77777777" w:rsidR="00275D3C" w:rsidRPr="00572194" w:rsidRDefault="00275D3C" w:rsidP="00275D3C">
            <w:pPr>
              <w:spacing w:before="0" w:after="0" w:line="240" w:lineRule="auto"/>
            </w:pPr>
            <w:r>
              <w:t>0.8 Hz</w:t>
            </w:r>
          </w:p>
        </w:tc>
        <w:tc>
          <w:tcPr>
            <w:tcW w:w="0" w:type="auto"/>
          </w:tcPr>
          <w:p w14:paraId="700E1FEA" w14:textId="77777777" w:rsidR="00275D3C" w:rsidRPr="00572194" w:rsidRDefault="00275D3C" w:rsidP="00275D3C">
            <w:pPr>
              <w:spacing w:before="0" w:after="0" w:line="240" w:lineRule="auto"/>
              <w:jc w:val="center"/>
            </w:pPr>
            <w:r>
              <w:t>0.77</w:t>
            </w:r>
          </w:p>
        </w:tc>
        <w:tc>
          <w:tcPr>
            <w:tcW w:w="0" w:type="auto"/>
          </w:tcPr>
          <w:p w14:paraId="68EB4DD7" w14:textId="77777777" w:rsidR="00275D3C" w:rsidRPr="00572194" w:rsidRDefault="00275D3C" w:rsidP="00275D3C">
            <w:pPr>
              <w:spacing w:before="0" w:after="0" w:line="240" w:lineRule="auto"/>
              <w:jc w:val="center"/>
            </w:pPr>
            <w:r>
              <w:t>0.77</w:t>
            </w:r>
          </w:p>
        </w:tc>
        <w:tc>
          <w:tcPr>
            <w:tcW w:w="0" w:type="auto"/>
          </w:tcPr>
          <w:p w14:paraId="2616186F" w14:textId="77777777" w:rsidR="00275D3C" w:rsidRPr="00572194" w:rsidRDefault="00275D3C" w:rsidP="00275D3C">
            <w:pPr>
              <w:spacing w:before="0" w:after="0" w:line="240" w:lineRule="auto"/>
            </w:pPr>
            <w:r>
              <w:t>0.98</w:t>
            </w:r>
          </w:p>
        </w:tc>
      </w:tr>
      <w:tr w:rsidR="00275D3C" w:rsidRPr="00572194" w14:paraId="3BE3BA6F" w14:textId="77777777" w:rsidTr="00726970">
        <w:tc>
          <w:tcPr>
            <w:tcW w:w="2122" w:type="dxa"/>
            <w:vMerge/>
          </w:tcPr>
          <w:p w14:paraId="71484333" w14:textId="77777777" w:rsidR="00275D3C" w:rsidRPr="00572194" w:rsidRDefault="00275D3C" w:rsidP="00275D3C">
            <w:pPr>
              <w:spacing w:before="0" w:after="0" w:line="240" w:lineRule="auto"/>
            </w:pPr>
          </w:p>
        </w:tc>
        <w:tc>
          <w:tcPr>
            <w:tcW w:w="1802" w:type="dxa"/>
            <w:vMerge w:val="restart"/>
          </w:tcPr>
          <w:p w14:paraId="7C46E6D2" w14:textId="77777777" w:rsidR="00275D3C" w:rsidRPr="00572194" w:rsidRDefault="00275D3C" w:rsidP="00275D3C">
            <w:pPr>
              <w:spacing w:before="0" w:after="0" w:line="240" w:lineRule="auto"/>
            </w:pPr>
            <w:r>
              <w:t>Horizontal RMSE (°)</w:t>
            </w:r>
          </w:p>
        </w:tc>
        <w:tc>
          <w:tcPr>
            <w:tcW w:w="1037" w:type="dxa"/>
          </w:tcPr>
          <w:p w14:paraId="47120AB0" w14:textId="77777777" w:rsidR="00275D3C" w:rsidRPr="00572194" w:rsidRDefault="00275D3C" w:rsidP="00275D3C">
            <w:pPr>
              <w:spacing w:before="0" w:after="0" w:line="240" w:lineRule="auto"/>
            </w:pPr>
            <w:r>
              <w:t>0.2 Hz</w:t>
            </w:r>
          </w:p>
        </w:tc>
        <w:tc>
          <w:tcPr>
            <w:tcW w:w="0" w:type="auto"/>
          </w:tcPr>
          <w:p w14:paraId="1A30DA48" w14:textId="77777777" w:rsidR="00275D3C" w:rsidRPr="00572194" w:rsidRDefault="00275D3C" w:rsidP="00275D3C">
            <w:pPr>
              <w:spacing w:before="0" w:after="0" w:line="240" w:lineRule="auto"/>
              <w:jc w:val="center"/>
            </w:pPr>
            <w:r>
              <w:t>0.38</w:t>
            </w:r>
          </w:p>
        </w:tc>
        <w:tc>
          <w:tcPr>
            <w:tcW w:w="0" w:type="auto"/>
          </w:tcPr>
          <w:p w14:paraId="5F32B58D" w14:textId="77777777" w:rsidR="00275D3C" w:rsidRPr="00572194" w:rsidRDefault="00275D3C" w:rsidP="00275D3C">
            <w:pPr>
              <w:spacing w:before="0" w:after="0" w:line="240" w:lineRule="auto"/>
              <w:jc w:val="center"/>
            </w:pPr>
            <w:r>
              <w:t>0.54</w:t>
            </w:r>
          </w:p>
        </w:tc>
        <w:tc>
          <w:tcPr>
            <w:tcW w:w="0" w:type="auto"/>
          </w:tcPr>
          <w:p w14:paraId="376BC14F" w14:textId="77777777" w:rsidR="00275D3C" w:rsidRPr="00572194" w:rsidRDefault="00275D3C" w:rsidP="00275D3C">
            <w:pPr>
              <w:spacing w:before="0" w:after="0" w:line="240" w:lineRule="auto"/>
            </w:pPr>
            <w:r>
              <w:t>0.04*</w:t>
            </w:r>
          </w:p>
        </w:tc>
      </w:tr>
      <w:tr w:rsidR="00275D3C" w:rsidRPr="00572194" w14:paraId="2A734035" w14:textId="77777777" w:rsidTr="00726970">
        <w:tc>
          <w:tcPr>
            <w:tcW w:w="2122" w:type="dxa"/>
            <w:vMerge/>
          </w:tcPr>
          <w:p w14:paraId="2A73F9C9" w14:textId="77777777" w:rsidR="00275D3C" w:rsidRPr="00572194" w:rsidRDefault="00275D3C" w:rsidP="00275D3C">
            <w:pPr>
              <w:spacing w:before="0" w:after="0" w:line="240" w:lineRule="auto"/>
            </w:pPr>
          </w:p>
        </w:tc>
        <w:tc>
          <w:tcPr>
            <w:tcW w:w="1802" w:type="dxa"/>
            <w:vMerge/>
          </w:tcPr>
          <w:p w14:paraId="3E42561B" w14:textId="77777777" w:rsidR="00275D3C" w:rsidRPr="00572194" w:rsidRDefault="00275D3C" w:rsidP="00275D3C">
            <w:pPr>
              <w:spacing w:before="0" w:after="0" w:line="240" w:lineRule="auto"/>
            </w:pPr>
          </w:p>
        </w:tc>
        <w:tc>
          <w:tcPr>
            <w:tcW w:w="1037" w:type="dxa"/>
          </w:tcPr>
          <w:p w14:paraId="11EE2B98" w14:textId="77777777" w:rsidR="00275D3C" w:rsidRPr="00572194" w:rsidRDefault="00275D3C" w:rsidP="00275D3C">
            <w:pPr>
              <w:spacing w:before="0" w:after="0" w:line="240" w:lineRule="auto"/>
            </w:pPr>
            <w:r>
              <w:t>0.4 Hz</w:t>
            </w:r>
          </w:p>
        </w:tc>
        <w:tc>
          <w:tcPr>
            <w:tcW w:w="0" w:type="auto"/>
          </w:tcPr>
          <w:p w14:paraId="790B1B44" w14:textId="77777777" w:rsidR="00275D3C" w:rsidRPr="00572194" w:rsidRDefault="00275D3C" w:rsidP="00275D3C">
            <w:pPr>
              <w:spacing w:before="0" w:after="0" w:line="240" w:lineRule="auto"/>
              <w:jc w:val="center"/>
            </w:pPr>
            <w:r>
              <w:t>0.39</w:t>
            </w:r>
          </w:p>
        </w:tc>
        <w:tc>
          <w:tcPr>
            <w:tcW w:w="0" w:type="auto"/>
          </w:tcPr>
          <w:p w14:paraId="3A21F09F" w14:textId="77777777" w:rsidR="00275D3C" w:rsidRPr="00572194" w:rsidRDefault="00275D3C" w:rsidP="00275D3C">
            <w:pPr>
              <w:spacing w:before="0" w:after="0" w:line="240" w:lineRule="auto"/>
              <w:jc w:val="center"/>
            </w:pPr>
            <w:r>
              <w:t>0.65</w:t>
            </w:r>
          </w:p>
        </w:tc>
        <w:tc>
          <w:tcPr>
            <w:tcW w:w="0" w:type="auto"/>
          </w:tcPr>
          <w:p w14:paraId="4318D369" w14:textId="77777777" w:rsidR="00275D3C" w:rsidRPr="00572194" w:rsidRDefault="00275D3C" w:rsidP="00275D3C">
            <w:pPr>
              <w:spacing w:before="0" w:after="0" w:line="240" w:lineRule="auto"/>
            </w:pPr>
            <w:r>
              <w:t>&lt;0.01*</w:t>
            </w:r>
          </w:p>
        </w:tc>
      </w:tr>
      <w:tr w:rsidR="00275D3C" w:rsidRPr="00572194" w14:paraId="5AD8093C" w14:textId="77777777" w:rsidTr="00726970">
        <w:tc>
          <w:tcPr>
            <w:tcW w:w="2122" w:type="dxa"/>
            <w:vMerge/>
          </w:tcPr>
          <w:p w14:paraId="2272FBA9" w14:textId="77777777" w:rsidR="00275D3C" w:rsidRPr="00572194" w:rsidRDefault="00275D3C" w:rsidP="00275D3C">
            <w:pPr>
              <w:spacing w:before="0" w:after="0" w:line="240" w:lineRule="auto"/>
            </w:pPr>
          </w:p>
        </w:tc>
        <w:tc>
          <w:tcPr>
            <w:tcW w:w="1802" w:type="dxa"/>
            <w:vMerge/>
          </w:tcPr>
          <w:p w14:paraId="302D4408" w14:textId="77777777" w:rsidR="00275D3C" w:rsidRPr="00572194" w:rsidRDefault="00275D3C" w:rsidP="00275D3C">
            <w:pPr>
              <w:spacing w:before="0" w:after="0" w:line="240" w:lineRule="auto"/>
            </w:pPr>
          </w:p>
        </w:tc>
        <w:tc>
          <w:tcPr>
            <w:tcW w:w="1037" w:type="dxa"/>
          </w:tcPr>
          <w:p w14:paraId="5397C53D" w14:textId="77777777" w:rsidR="00275D3C" w:rsidRPr="00572194" w:rsidRDefault="00275D3C" w:rsidP="00275D3C">
            <w:pPr>
              <w:spacing w:before="0" w:after="0" w:line="240" w:lineRule="auto"/>
            </w:pPr>
            <w:r>
              <w:t>0.6 Hz</w:t>
            </w:r>
          </w:p>
        </w:tc>
        <w:tc>
          <w:tcPr>
            <w:tcW w:w="0" w:type="auto"/>
          </w:tcPr>
          <w:p w14:paraId="0076A94E" w14:textId="77777777" w:rsidR="00275D3C" w:rsidRPr="00572194" w:rsidRDefault="00275D3C" w:rsidP="00275D3C">
            <w:pPr>
              <w:spacing w:before="0" w:after="0" w:line="240" w:lineRule="auto"/>
              <w:jc w:val="center"/>
            </w:pPr>
            <w:r>
              <w:t>0.63</w:t>
            </w:r>
          </w:p>
        </w:tc>
        <w:tc>
          <w:tcPr>
            <w:tcW w:w="0" w:type="auto"/>
          </w:tcPr>
          <w:p w14:paraId="6349B747" w14:textId="77777777" w:rsidR="00275D3C" w:rsidRPr="00572194" w:rsidRDefault="00275D3C" w:rsidP="00275D3C">
            <w:pPr>
              <w:spacing w:before="0" w:after="0" w:line="240" w:lineRule="auto"/>
              <w:jc w:val="center"/>
            </w:pPr>
            <w:r>
              <w:t>0.79</w:t>
            </w:r>
          </w:p>
        </w:tc>
        <w:tc>
          <w:tcPr>
            <w:tcW w:w="0" w:type="auto"/>
          </w:tcPr>
          <w:p w14:paraId="1E090380" w14:textId="77777777" w:rsidR="00275D3C" w:rsidRPr="00572194" w:rsidRDefault="00275D3C" w:rsidP="00275D3C">
            <w:pPr>
              <w:spacing w:before="0" w:after="0" w:line="240" w:lineRule="auto"/>
            </w:pPr>
            <w:r>
              <w:t>0.03*</w:t>
            </w:r>
          </w:p>
        </w:tc>
      </w:tr>
      <w:tr w:rsidR="00275D3C" w:rsidRPr="00572194" w14:paraId="1AC6543B" w14:textId="77777777" w:rsidTr="00726970">
        <w:tc>
          <w:tcPr>
            <w:tcW w:w="2122" w:type="dxa"/>
            <w:vMerge/>
          </w:tcPr>
          <w:p w14:paraId="2CE7246E" w14:textId="77777777" w:rsidR="00275D3C" w:rsidRPr="00572194" w:rsidRDefault="00275D3C" w:rsidP="00275D3C">
            <w:pPr>
              <w:spacing w:before="0" w:after="0" w:line="240" w:lineRule="auto"/>
            </w:pPr>
          </w:p>
        </w:tc>
        <w:tc>
          <w:tcPr>
            <w:tcW w:w="1802" w:type="dxa"/>
            <w:vMerge/>
          </w:tcPr>
          <w:p w14:paraId="3A6D5D70" w14:textId="77777777" w:rsidR="00275D3C" w:rsidRPr="00572194" w:rsidRDefault="00275D3C" w:rsidP="00275D3C">
            <w:pPr>
              <w:spacing w:before="0" w:after="0" w:line="240" w:lineRule="auto"/>
            </w:pPr>
          </w:p>
        </w:tc>
        <w:tc>
          <w:tcPr>
            <w:tcW w:w="1037" w:type="dxa"/>
          </w:tcPr>
          <w:p w14:paraId="10A6647D" w14:textId="77777777" w:rsidR="00275D3C" w:rsidRPr="00572194" w:rsidRDefault="00275D3C" w:rsidP="00275D3C">
            <w:pPr>
              <w:spacing w:before="0" w:after="0" w:line="240" w:lineRule="auto"/>
            </w:pPr>
            <w:r>
              <w:t>0.8 Hz</w:t>
            </w:r>
          </w:p>
        </w:tc>
        <w:tc>
          <w:tcPr>
            <w:tcW w:w="0" w:type="auto"/>
          </w:tcPr>
          <w:p w14:paraId="5A69B7DF" w14:textId="77777777" w:rsidR="00275D3C" w:rsidRPr="00572194" w:rsidRDefault="00275D3C" w:rsidP="00275D3C">
            <w:pPr>
              <w:spacing w:before="0" w:after="0" w:line="240" w:lineRule="auto"/>
              <w:jc w:val="center"/>
            </w:pPr>
            <w:r>
              <w:t>1.13</w:t>
            </w:r>
          </w:p>
        </w:tc>
        <w:tc>
          <w:tcPr>
            <w:tcW w:w="0" w:type="auto"/>
          </w:tcPr>
          <w:p w14:paraId="24BFC326" w14:textId="77777777" w:rsidR="00275D3C" w:rsidRPr="00572194" w:rsidRDefault="00275D3C" w:rsidP="00275D3C">
            <w:pPr>
              <w:spacing w:before="0" w:after="0" w:line="240" w:lineRule="auto"/>
              <w:jc w:val="center"/>
            </w:pPr>
            <w:r>
              <w:t>1.33</w:t>
            </w:r>
          </w:p>
        </w:tc>
        <w:tc>
          <w:tcPr>
            <w:tcW w:w="0" w:type="auto"/>
          </w:tcPr>
          <w:p w14:paraId="6BAE5A2D" w14:textId="77777777" w:rsidR="00275D3C" w:rsidRPr="00572194" w:rsidRDefault="00275D3C" w:rsidP="00275D3C">
            <w:pPr>
              <w:spacing w:before="0" w:after="0" w:line="240" w:lineRule="auto"/>
            </w:pPr>
            <w:r>
              <w:t>0.10</w:t>
            </w:r>
          </w:p>
        </w:tc>
      </w:tr>
      <w:tr w:rsidR="00275D3C" w:rsidRPr="00572194" w14:paraId="4A625731" w14:textId="77777777" w:rsidTr="00726970">
        <w:tc>
          <w:tcPr>
            <w:tcW w:w="2122" w:type="dxa"/>
            <w:vMerge/>
          </w:tcPr>
          <w:p w14:paraId="459A13DB" w14:textId="77777777" w:rsidR="00275D3C" w:rsidRPr="00572194" w:rsidRDefault="00275D3C" w:rsidP="00275D3C">
            <w:pPr>
              <w:spacing w:before="0" w:after="0" w:line="240" w:lineRule="auto"/>
            </w:pPr>
          </w:p>
        </w:tc>
        <w:tc>
          <w:tcPr>
            <w:tcW w:w="1802" w:type="dxa"/>
            <w:vMerge w:val="restart"/>
          </w:tcPr>
          <w:p w14:paraId="42F889C8" w14:textId="77777777" w:rsidR="00275D3C" w:rsidRPr="00572194" w:rsidRDefault="00275D3C" w:rsidP="00275D3C">
            <w:pPr>
              <w:spacing w:before="0" w:after="0" w:line="240" w:lineRule="auto"/>
            </w:pPr>
            <w:r>
              <w:t>Horizontal duration (</w:t>
            </w:r>
            <w:proofErr w:type="spellStart"/>
            <w:r>
              <w:t>ms</w:t>
            </w:r>
            <w:proofErr w:type="spellEnd"/>
            <w:r>
              <w:t>)</w:t>
            </w:r>
          </w:p>
        </w:tc>
        <w:tc>
          <w:tcPr>
            <w:tcW w:w="1037" w:type="dxa"/>
          </w:tcPr>
          <w:p w14:paraId="53CA9399" w14:textId="77777777" w:rsidR="00275D3C" w:rsidRPr="00572194" w:rsidRDefault="00275D3C" w:rsidP="00275D3C">
            <w:pPr>
              <w:spacing w:before="0" w:after="0" w:line="240" w:lineRule="auto"/>
            </w:pPr>
            <w:r>
              <w:t>0.2 Hz</w:t>
            </w:r>
          </w:p>
        </w:tc>
        <w:tc>
          <w:tcPr>
            <w:tcW w:w="0" w:type="auto"/>
          </w:tcPr>
          <w:p w14:paraId="1D8D3B89" w14:textId="77777777" w:rsidR="00275D3C" w:rsidRPr="00572194" w:rsidRDefault="00275D3C" w:rsidP="00275D3C">
            <w:pPr>
              <w:spacing w:before="0" w:after="0" w:line="240" w:lineRule="auto"/>
              <w:jc w:val="center"/>
            </w:pPr>
            <w:r>
              <w:t>745</w:t>
            </w:r>
          </w:p>
        </w:tc>
        <w:tc>
          <w:tcPr>
            <w:tcW w:w="0" w:type="auto"/>
          </w:tcPr>
          <w:p w14:paraId="4E31C046" w14:textId="77777777" w:rsidR="00275D3C" w:rsidRPr="00572194" w:rsidRDefault="00275D3C" w:rsidP="00275D3C">
            <w:pPr>
              <w:spacing w:before="0" w:after="0" w:line="240" w:lineRule="auto"/>
              <w:jc w:val="center"/>
            </w:pPr>
            <w:r>
              <w:t>874</w:t>
            </w:r>
          </w:p>
        </w:tc>
        <w:tc>
          <w:tcPr>
            <w:tcW w:w="0" w:type="auto"/>
          </w:tcPr>
          <w:p w14:paraId="65AA1E89" w14:textId="77777777" w:rsidR="00275D3C" w:rsidRPr="00572194" w:rsidRDefault="00275D3C" w:rsidP="00275D3C">
            <w:pPr>
              <w:spacing w:before="0" w:after="0" w:line="240" w:lineRule="auto"/>
            </w:pPr>
            <w:r>
              <w:t>0.40</w:t>
            </w:r>
          </w:p>
        </w:tc>
      </w:tr>
      <w:tr w:rsidR="00275D3C" w:rsidRPr="00572194" w14:paraId="0ED5B137" w14:textId="77777777" w:rsidTr="00726970">
        <w:tc>
          <w:tcPr>
            <w:tcW w:w="2122" w:type="dxa"/>
            <w:vMerge/>
          </w:tcPr>
          <w:p w14:paraId="39B7E272" w14:textId="77777777" w:rsidR="00275D3C" w:rsidRPr="00572194" w:rsidRDefault="00275D3C" w:rsidP="00275D3C">
            <w:pPr>
              <w:spacing w:before="0" w:after="0" w:line="240" w:lineRule="auto"/>
            </w:pPr>
          </w:p>
        </w:tc>
        <w:tc>
          <w:tcPr>
            <w:tcW w:w="1802" w:type="dxa"/>
            <w:vMerge/>
          </w:tcPr>
          <w:p w14:paraId="5E76FB9D" w14:textId="77777777" w:rsidR="00275D3C" w:rsidRPr="00572194" w:rsidRDefault="00275D3C" w:rsidP="00275D3C">
            <w:pPr>
              <w:spacing w:before="0" w:after="0" w:line="240" w:lineRule="auto"/>
            </w:pPr>
          </w:p>
        </w:tc>
        <w:tc>
          <w:tcPr>
            <w:tcW w:w="1037" w:type="dxa"/>
          </w:tcPr>
          <w:p w14:paraId="159FABD3" w14:textId="77777777" w:rsidR="00275D3C" w:rsidRPr="00572194" w:rsidRDefault="00275D3C" w:rsidP="00275D3C">
            <w:pPr>
              <w:spacing w:before="0" w:after="0" w:line="240" w:lineRule="auto"/>
            </w:pPr>
            <w:r>
              <w:t>0.4 Hz</w:t>
            </w:r>
          </w:p>
        </w:tc>
        <w:tc>
          <w:tcPr>
            <w:tcW w:w="0" w:type="auto"/>
          </w:tcPr>
          <w:p w14:paraId="298F85CF" w14:textId="77777777" w:rsidR="00275D3C" w:rsidRPr="00572194" w:rsidRDefault="00275D3C" w:rsidP="00275D3C">
            <w:pPr>
              <w:spacing w:before="0" w:after="0" w:line="240" w:lineRule="auto"/>
              <w:jc w:val="center"/>
            </w:pPr>
            <w:r>
              <w:t>499</w:t>
            </w:r>
          </w:p>
        </w:tc>
        <w:tc>
          <w:tcPr>
            <w:tcW w:w="0" w:type="auto"/>
          </w:tcPr>
          <w:p w14:paraId="020D2CF8" w14:textId="77777777" w:rsidR="00275D3C" w:rsidRPr="00572194" w:rsidRDefault="00275D3C" w:rsidP="00275D3C">
            <w:pPr>
              <w:spacing w:before="0" w:after="0" w:line="240" w:lineRule="auto"/>
              <w:jc w:val="center"/>
            </w:pPr>
            <w:r>
              <w:t>546</w:t>
            </w:r>
          </w:p>
        </w:tc>
        <w:tc>
          <w:tcPr>
            <w:tcW w:w="0" w:type="auto"/>
          </w:tcPr>
          <w:p w14:paraId="4E82E69B" w14:textId="77777777" w:rsidR="00275D3C" w:rsidRPr="00572194" w:rsidRDefault="00275D3C" w:rsidP="00275D3C">
            <w:pPr>
              <w:spacing w:before="0" w:after="0" w:line="240" w:lineRule="auto"/>
            </w:pPr>
            <w:r>
              <w:t>0.41</w:t>
            </w:r>
          </w:p>
        </w:tc>
      </w:tr>
      <w:tr w:rsidR="00275D3C" w:rsidRPr="00572194" w14:paraId="30B1697D" w14:textId="77777777" w:rsidTr="00726970">
        <w:tc>
          <w:tcPr>
            <w:tcW w:w="2122" w:type="dxa"/>
            <w:vMerge/>
          </w:tcPr>
          <w:p w14:paraId="36FC3A7C" w14:textId="77777777" w:rsidR="00275D3C" w:rsidRPr="00572194" w:rsidRDefault="00275D3C" w:rsidP="00275D3C">
            <w:pPr>
              <w:spacing w:before="0" w:after="0" w:line="240" w:lineRule="auto"/>
            </w:pPr>
          </w:p>
        </w:tc>
        <w:tc>
          <w:tcPr>
            <w:tcW w:w="1802" w:type="dxa"/>
            <w:vMerge/>
          </w:tcPr>
          <w:p w14:paraId="055C8709" w14:textId="77777777" w:rsidR="00275D3C" w:rsidRPr="00572194" w:rsidRDefault="00275D3C" w:rsidP="00275D3C">
            <w:pPr>
              <w:spacing w:before="0" w:after="0" w:line="240" w:lineRule="auto"/>
            </w:pPr>
          </w:p>
        </w:tc>
        <w:tc>
          <w:tcPr>
            <w:tcW w:w="1037" w:type="dxa"/>
          </w:tcPr>
          <w:p w14:paraId="49B50B88" w14:textId="77777777" w:rsidR="00275D3C" w:rsidRPr="00572194" w:rsidRDefault="00275D3C" w:rsidP="00275D3C">
            <w:pPr>
              <w:spacing w:before="0" w:after="0" w:line="240" w:lineRule="auto"/>
            </w:pPr>
            <w:r>
              <w:t>0.6 Hz</w:t>
            </w:r>
          </w:p>
        </w:tc>
        <w:tc>
          <w:tcPr>
            <w:tcW w:w="0" w:type="auto"/>
          </w:tcPr>
          <w:p w14:paraId="41884124" w14:textId="77777777" w:rsidR="00275D3C" w:rsidRPr="00572194" w:rsidRDefault="00275D3C" w:rsidP="00275D3C">
            <w:pPr>
              <w:spacing w:before="0" w:after="0" w:line="240" w:lineRule="auto"/>
              <w:jc w:val="center"/>
            </w:pPr>
            <w:r>
              <w:t>300</w:t>
            </w:r>
          </w:p>
        </w:tc>
        <w:tc>
          <w:tcPr>
            <w:tcW w:w="0" w:type="auto"/>
          </w:tcPr>
          <w:p w14:paraId="2337C8AA" w14:textId="77777777" w:rsidR="00275D3C" w:rsidRPr="00572194" w:rsidRDefault="00275D3C" w:rsidP="00275D3C">
            <w:pPr>
              <w:spacing w:before="0" w:after="0" w:line="240" w:lineRule="auto"/>
              <w:jc w:val="center"/>
            </w:pPr>
            <w:r>
              <w:t>330</w:t>
            </w:r>
          </w:p>
        </w:tc>
        <w:tc>
          <w:tcPr>
            <w:tcW w:w="0" w:type="auto"/>
          </w:tcPr>
          <w:p w14:paraId="2E19D948" w14:textId="77777777" w:rsidR="00275D3C" w:rsidRPr="00572194" w:rsidRDefault="00275D3C" w:rsidP="00275D3C">
            <w:pPr>
              <w:spacing w:before="0" w:after="0" w:line="240" w:lineRule="auto"/>
            </w:pPr>
            <w:r>
              <w:t>0.38</w:t>
            </w:r>
          </w:p>
        </w:tc>
      </w:tr>
      <w:tr w:rsidR="00275D3C" w:rsidRPr="00572194" w14:paraId="41ABD81D" w14:textId="77777777" w:rsidTr="00726970">
        <w:tc>
          <w:tcPr>
            <w:tcW w:w="2122" w:type="dxa"/>
            <w:vMerge/>
          </w:tcPr>
          <w:p w14:paraId="21289B15" w14:textId="77777777" w:rsidR="00275D3C" w:rsidRPr="00572194" w:rsidRDefault="00275D3C" w:rsidP="00275D3C">
            <w:pPr>
              <w:spacing w:before="0" w:after="0" w:line="240" w:lineRule="auto"/>
            </w:pPr>
          </w:p>
        </w:tc>
        <w:tc>
          <w:tcPr>
            <w:tcW w:w="1802" w:type="dxa"/>
            <w:vMerge/>
          </w:tcPr>
          <w:p w14:paraId="2DD230B9" w14:textId="77777777" w:rsidR="00275D3C" w:rsidRPr="00572194" w:rsidRDefault="00275D3C" w:rsidP="00275D3C">
            <w:pPr>
              <w:spacing w:before="0" w:after="0" w:line="240" w:lineRule="auto"/>
            </w:pPr>
          </w:p>
        </w:tc>
        <w:tc>
          <w:tcPr>
            <w:tcW w:w="1037" w:type="dxa"/>
          </w:tcPr>
          <w:p w14:paraId="73A3F69B" w14:textId="77777777" w:rsidR="00275D3C" w:rsidRPr="00572194" w:rsidRDefault="00275D3C" w:rsidP="00275D3C">
            <w:pPr>
              <w:spacing w:before="0" w:after="0" w:line="240" w:lineRule="auto"/>
            </w:pPr>
            <w:r>
              <w:t>0.8 Hz</w:t>
            </w:r>
          </w:p>
        </w:tc>
        <w:tc>
          <w:tcPr>
            <w:tcW w:w="0" w:type="auto"/>
          </w:tcPr>
          <w:p w14:paraId="74388A7F" w14:textId="77777777" w:rsidR="00275D3C" w:rsidRPr="00572194" w:rsidRDefault="00275D3C" w:rsidP="00275D3C">
            <w:pPr>
              <w:spacing w:before="0" w:after="0" w:line="240" w:lineRule="auto"/>
              <w:jc w:val="center"/>
            </w:pPr>
            <w:r>
              <w:t>218</w:t>
            </w:r>
          </w:p>
        </w:tc>
        <w:tc>
          <w:tcPr>
            <w:tcW w:w="0" w:type="auto"/>
          </w:tcPr>
          <w:p w14:paraId="38262372" w14:textId="77777777" w:rsidR="00275D3C" w:rsidRPr="00572194" w:rsidRDefault="00275D3C" w:rsidP="00275D3C">
            <w:pPr>
              <w:spacing w:before="0" w:after="0" w:line="240" w:lineRule="auto"/>
              <w:jc w:val="center"/>
            </w:pPr>
            <w:r>
              <w:t>224</w:t>
            </w:r>
          </w:p>
        </w:tc>
        <w:tc>
          <w:tcPr>
            <w:tcW w:w="0" w:type="auto"/>
          </w:tcPr>
          <w:p w14:paraId="2A2AA940" w14:textId="77777777" w:rsidR="00275D3C" w:rsidRPr="00572194" w:rsidRDefault="00275D3C" w:rsidP="00275D3C">
            <w:pPr>
              <w:spacing w:before="0" w:after="0" w:line="240" w:lineRule="auto"/>
            </w:pPr>
            <w:r>
              <w:t>0.75</w:t>
            </w:r>
          </w:p>
        </w:tc>
      </w:tr>
      <w:tr w:rsidR="00275D3C" w:rsidRPr="00572194" w14:paraId="69411337" w14:textId="77777777" w:rsidTr="00726970">
        <w:tc>
          <w:tcPr>
            <w:tcW w:w="2122" w:type="dxa"/>
            <w:vMerge/>
          </w:tcPr>
          <w:p w14:paraId="788E9E88" w14:textId="77777777" w:rsidR="00275D3C" w:rsidRPr="00572194" w:rsidRDefault="00275D3C" w:rsidP="00275D3C">
            <w:pPr>
              <w:spacing w:before="0" w:after="0" w:line="240" w:lineRule="auto"/>
            </w:pPr>
          </w:p>
        </w:tc>
        <w:tc>
          <w:tcPr>
            <w:tcW w:w="1802" w:type="dxa"/>
            <w:vMerge w:val="restart"/>
          </w:tcPr>
          <w:p w14:paraId="1264CAFC" w14:textId="77777777" w:rsidR="00275D3C" w:rsidRPr="00572194" w:rsidRDefault="00275D3C" w:rsidP="00275D3C">
            <w:pPr>
              <w:spacing w:before="0" w:after="0" w:line="240" w:lineRule="auto"/>
            </w:pPr>
            <w:r>
              <w:t>Vertical gain</w:t>
            </w:r>
          </w:p>
        </w:tc>
        <w:tc>
          <w:tcPr>
            <w:tcW w:w="1037" w:type="dxa"/>
          </w:tcPr>
          <w:p w14:paraId="3FCBD786" w14:textId="77777777" w:rsidR="00275D3C" w:rsidRDefault="00275D3C" w:rsidP="00275D3C">
            <w:pPr>
              <w:spacing w:before="0" w:after="0" w:line="240" w:lineRule="auto"/>
            </w:pPr>
            <w:r>
              <w:t>0.25 Hz</w:t>
            </w:r>
          </w:p>
        </w:tc>
        <w:tc>
          <w:tcPr>
            <w:tcW w:w="0" w:type="auto"/>
          </w:tcPr>
          <w:p w14:paraId="0A180F71" w14:textId="77777777" w:rsidR="00275D3C" w:rsidRPr="00572194" w:rsidRDefault="00275D3C" w:rsidP="00275D3C">
            <w:pPr>
              <w:spacing w:before="0" w:after="0" w:line="240" w:lineRule="auto"/>
              <w:jc w:val="center"/>
            </w:pPr>
            <w:r>
              <w:t>0.83</w:t>
            </w:r>
          </w:p>
        </w:tc>
        <w:tc>
          <w:tcPr>
            <w:tcW w:w="0" w:type="auto"/>
          </w:tcPr>
          <w:p w14:paraId="58151AC5" w14:textId="77777777" w:rsidR="00275D3C" w:rsidRPr="00572194" w:rsidRDefault="00275D3C" w:rsidP="00275D3C">
            <w:pPr>
              <w:spacing w:before="0" w:after="0" w:line="240" w:lineRule="auto"/>
              <w:jc w:val="center"/>
            </w:pPr>
            <w:r>
              <w:t>0.87</w:t>
            </w:r>
          </w:p>
        </w:tc>
        <w:tc>
          <w:tcPr>
            <w:tcW w:w="0" w:type="auto"/>
          </w:tcPr>
          <w:p w14:paraId="3CB0E4AA" w14:textId="77777777" w:rsidR="00275D3C" w:rsidRPr="00572194" w:rsidRDefault="00275D3C" w:rsidP="00275D3C">
            <w:pPr>
              <w:spacing w:before="0" w:after="0" w:line="240" w:lineRule="auto"/>
            </w:pPr>
            <w:r>
              <w:t>0.40</w:t>
            </w:r>
          </w:p>
        </w:tc>
      </w:tr>
      <w:tr w:rsidR="00275D3C" w:rsidRPr="00572194" w14:paraId="2041282D" w14:textId="77777777" w:rsidTr="00726970">
        <w:tc>
          <w:tcPr>
            <w:tcW w:w="2122" w:type="dxa"/>
            <w:vMerge/>
          </w:tcPr>
          <w:p w14:paraId="008B0D6F" w14:textId="77777777" w:rsidR="00275D3C" w:rsidRPr="00572194" w:rsidRDefault="00275D3C" w:rsidP="00275D3C">
            <w:pPr>
              <w:spacing w:before="0" w:after="0" w:line="240" w:lineRule="auto"/>
            </w:pPr>
          </w:p>
        </w:tc>
        <w:tc>
          <w:tcPr>
            <w:tcW w:w="1802" w:type="dxa"/>
            <w:vMerge/>
          </w:tcPr>
          <w:p w14:paraId="718F16BD" w14:textId="77777777" w:rsidR="00275D3C" w:rsidRPr="00572194" w:rsidRDefault="00275D3C" w:rsidP="00275D3C">
            <w:pPr>
              <w:spacing w:before="0" w:after="0" w:line="240" w:lineRule="auto"/>
            </w:pPr>
          </w:p>
        </w:tc>
        <w:tc>
          <w:tcPr>
            <w:tcW w:w="1037" w:type="dxa"/>
          </w:tcPr>
          <w:p w14:paraId="19685271" w14:textId="77777777" w:rsidR="00275D3C" w:rsidRDefault="00275D3C" w:rsidP="00275D3C">
            <w:pPr>
              <w:spacing w:before="0" w:after="0" w:line="240" w:lineRule="auto"/>
            </w:pPr>
            <w:r>
              <w:t>0.5 Hz</w:t>
            </w:r>
          </w:p>
        </w:tc>
        <w:tc>
          <w:tcPr>
            <w:tcW w:w="0" w:type="auto"/>
          </w:tcPr>
          <w:p w14:paraId="522F68C8" w14:textId="77777777" w:rsidR="00275D3C" w:rsidRPr="00572194" w:rsidRDefault="00275D3C" w:rsidP="00275D3C">
            <w:pPr>
              <w:spacing w:before="0" w:after="0" w:line="240" w:lineRule="auto"/>
              <w:jc w:val="center"/>
            </w:pPr>
            <w:r>
              <w:t>0.72</w:t>
            </w:r>
          </w:p>
        </w:tc>
        <w:tc>
          <w:tcPr>
            <w:tcW w:w="0" w:type="auto"/>
          </w:tcPr>
          <w:p w14:paraId="7FD38F2D" w14:textId="77777777" w:rsidR="00275D3C" w:rsidRPr="00572194" w:rsidRDefault="00275D3C" w:rsidP="00275D3C">
            <w:pPr>
              <w:spacing w:before="0" w:after="0" w:line="240" w:lineRule="auto"/>
              <w:jc w:val="center"/>
            </w:pPr>
            <w:r>
              <w:t>0.71</w:t>
            </w:r>
          </w:p>
        </w:tc>
        <w:tc>
          <w:tcPr>
            <w:tcW w:w="0" w:type="auto"/>
          </w:tcPr>
          <w:p w14:paraId="7228BF56" w14:textId="77777777" w:rsidR="00275D3C" w:rsidRPr="00572194" w:rsidRDefault="00275D3C" w:rsidP="00275D3C">
            <w:pPr>
              <w:spacing w:before="0" w:after="0" w:line="240" w:lineRule="auto"/>
            </w:pPr>
            <w:r>
              <w:t>0.90</w:t>
            </w:r>
          </w:p>
        </w:tc>
      </w:tr>
      <w:tr w:rsidR="00275D3C" w:rsidRPr="00572194" w14:paraId="32A48C97" w14:textId="77777777" w:rsidTr="00726970">
        <w:tc>
          <w:tcPr>
            <w:tcW w:w="2122" w:type="dxa"/>
            <w:vMerge/>
          </w:tcPr>
          <w:p w14:paraId="7EAF0968" w14:textId="77777777" w:rsidR="00275D3C" w:rsidRPr="00572194" w:rsidRDefault="00275D3C" w:rsidP="00275D3C">
            <w:pPr>
              <w:spacing w:before="0" w:after="0" w:line="240" w:lineRule="auto"/>
            </w:pPr>
          </w:p>
        </w:tc>
        <w:tc>
          <w:tcPr>
            <w:tcW w:w="1802" w:type="dxa"/>
            <w:vMerge/>
          </w:tcPr>
          <w:p w14:paraId="1C08CA6D" w14:textId="77777777" w:rsidR="00275D3C" w:rsidRPr="00572194" w:rsidRDefault="00275D3C" w:rsidP="00275D3C">
            <w:pPr>
              <w:spacing w:before="0" w:after="0" w:line="240" w:lineRule="auto"/>
            </w:pPr>
          </w:p>
        </w:tc>
        <w:tc>
          <w:tcPr>
            <w:tcW w:w="1037" w:type="dxa"/>
          </w:tcPr>
          <w:p w14:paraId="184A83F4" w14:textId="77777777" w:rsidR="00275D3C" w:rsidRDefault="00275D3C" w:rsidP="00275D3C">
            <w:pPr>
              <w:spacing w:before="0" w:after="0" w:line="240" w:lineRule="auto"/>
            </w:pPr>
            <w:r>
              <w:t>0.75 Hz</w:t>
            </w:r>
          </w:p>
        </w:tc>
        <w:tc>
          <w:tcPr>
            <w:tcW w:w="0" w:type="auto"/>
          </w:tcPr>
          <w:p w14:paraId="7DB4DEA2" w14:textId="77777777" w:rsidR="00275D3C" w:rsidRPr="00572194" w:rsidRDefault="00275D3C" w:rsidP="00275D3C">
            <w:pPr>
              <w:spacing w:before="0" w:after="0" w:line="240" w:lineRule="auto"/>
              <w:jc w:val="center"/>
            </w:pPr>
            <w:r>
              <w:t>0.55</w:t>
            </w:r>
          </w:p>
        </w:tc>
        <w:tc>
          <w:tcPr>
            <w:tcW w:w="0" w:type="auto"/>
          </w:tcPr>
          <w:p w14:paraId="1ECDF97F" w14:textId="77777777" w:rsidR="00275D3C" w:rsidRPr="00572194" w:rsidRDefault="00275D3C" w:rsidP="00275D3C">
            <w:pPr>
              <w:spacing w:before="0" w:after="0" w:line="240" w:lineRule="auto"/>
              <w:jc w:val="center"/>
            </w:pPr>
            <w:r>
              <w:t>0.58</w:t>
            </w:r>
          </w:p>
        </w:tc>
        <w:tc>
          <w:tcPr>
            <w:tcW w:w="0" w:type="auto"/>
          </w:tcPr>
          <w:p w14:paraId="5EE92E5D" w14:textId="77777777" w:rsidR="00275D3C" w:rsidRPr="00572194" w:rsidRDefault="00275D3C" w:rsidP="00275D3C">
            <w:pPr>
              <w:spacing w:before="0" w:after="0" w:line="240" w:lineRule="auto"/>
            </w:pPr>
            <w:r>
              <w:t>0.77</w:t>
            </w:r>
          </w:p>
        </w:tc>
      </w:tr>
      <w:tr w:rsidR="00275D3C" w:rsidRPr="00572194" w14:paraId="7BAA8FF6" w14:textId="77777777" w:rsidTr="00726970">
        <w:tc>
          <w:tcPr>
            <w:tcW w:w="2122" w:type="dxa"/>
            <w:vMerge/>
          </w:tcPr>
          <w:p w14:paraId="6DB2386C" w14:textId="77777777" w:rsidR="00275D3C" w:rsidRPr="00572194" w:rsidRDefault="00275D3C" w:rsidP="00275D3C">
            <w:pPr>
              <w:spacing w:before="0" w:after="0" w:line="240" w:lineRule="auto"/>
            </w:pPr>
          </w:p>
        </w:tc>
        <w:tc>
          <w:tcPr>
            <w:tcW w:w="1802" w:type="dxa"/>
            <w:vMerge/>
          </w:tcPr>
          <w:p w14:paraId="692B7095" w14:textId="77777777" w:rsidR="00275D3C" w:rsidRPr="00572194" w:rsidRDefault="00275D3C" w:rsidP="00275D3C">
            <w:pPr>
              <w:spacing w:before="0" w:after="0" w:line="240" w:lineRule="auto"/>
            </w:pPr>
          </w:p>
        </w:tc>
        <w:tc>
          <w:tcPr>
            <w:tcW w:w="1037" w:type="dxa"/>
          </w:tcPr>
          <w:p w14:paraId="428AECF4" w14:textId="77777777" w:rsidR="00275D3C" w:rsidRDefault="00275D3C" w:rsidP="00275D3C">
            <w:pPr>
              <w:spacing w:before="0" w:after="0" w:line="240" w:lineRule="auto"/>
            </w:pPr>
            <w:r>
              <w:t>1.0 Hz</w:t>
            </w:r>
          </w:p>
        </w:tc>
        <w:tc>
          <w:tcPr>
            <w:tcW w:w="0" w:type="auto"/>
          </w:tcPr>
          <w:p w14:paraId="66B12AE6" w14:textId="77777777" w:rsidR="00275D3C" w:rsidRPr="00572194" w:rsidRDefault="00275D3C" w:rsidP="00275D3C">
            <w:pPr>
              <w:spacing w:before="0" w:after="0" w:line="240" w:lineRule="auto"/>
              <w:jc w:val="center"/>
            </w:pPr>
            <w:r>
              <w:t>0.36</w:t>
            </w:r>
          </w:p>
        </w:tc>
        <w:tc>
          <w:tcPr>
            <w:tcW w:w="0" w:type="auto"/>
          </w:tcPr>
          <w:p w14:paraId="35C7A6BA" w14:textId="77777777" w:rsidR="00275D3C" w:rsidRPr="00572194" w:rsidRDefault="00275D3C" w:rsidP="00275D3C">
            <w:pPr>
              <w:spacing w:before="0" w:after="0" w:line="240" w:lineRule="auto"/>
              <w:jc w:val="center"/>
            </w:pPr>
            <w:r>
              <w:t>0.43</w:t>
            </w:r>
          </w:p>
        </w:tc>
        <w:tc>
          <w:tcPr>
            <w:tcW w:w="0" w:type="auto"/>
          </w:tcPr>
          <w:p w14:paraId="4753F9FF" w14:textId="77777777" w:rsidR="00275D3C" w:rsidRPr="00572194" w:rsidRDefault="00275D3C" w:rsidP="00275D3C">
            <w:pPr>
              <w:spacing w:before="0" w:after="0" w:line="240" w:lineRule="auto"/>
            </w:pPr>
            <w:r>
              <w:t>0.28</w:t>
            </w:r>
          </w:p>
        </w:tc>
      </w:tr>
      <w:tr w:rsidR="00275D3C" w:rsidRPr="00572194" w14:paraId="05EEF9C0" w14:textId="77777777" w:rsidTr="00726970">
        <w:tc>
          <w:tcPr>
            <w:tcW w:w="2122" w:type="dxa"/>
            <w:vMerge/>
          </w:tcPr>
          <w:p w14:paraId="5961D8E3" w14:textId="77777777" w:rsidR="00275D3C" w:rsidRPr="00572194" w:rsidRDefault="00275D3C" w:rsidP="00275D3C">
            <w:pPr>
              <w:spacing w:before="0" w:after="0" w:line="240" w:lineRule="auto"/>
            </w:pPr>
          </w:p>
        </w:tc>
        <w:tc>
          <w:tcPr>
            <w:tcW w:w="1802" w:type="dxa"/>
            <w:vMerge w:val="restart"/>
          </w:tcPr>
          <w:p w14:paraId="19CA5482" w14:textId="77777777" w:rsidR="00275D3C" w:rsidRPr="00572194" w:rsidRDefault="00275D3C" w:rsidP="00275D3C">
            <w:pPr>
              <w:spacing w:before="0" w:after="0" w:line="240" w:lineRule="auto"/>
            </w:pPr>
            <w:r>
              <w:t>Vertical RMSE (°)</w:t>
            </w:r>
          </w:p>
        </w:tc>
        <w:tc>
          <w:tcPr>
            <w:tcW w:w="1037" w:type="dxa"/>
          </w:tcPr>
          <w:p w14:paraId="0218C31E" w14:textId="77777777" w:rsidR="00275D3C" w:rsidRDefault="00275D3C" w:rsidP="00275D3C">
            <w:pPr>
              <w:spacing w:before="0" w:after="0" w:line="240" w:lineRule="auto"/>
            </w:pPr>
            <w:r>
              <w:t>0.25 Hz</w:t>
            </w:r>
          </w:p>
        </w:tc>
        <w:tc>
          <w:tcPr>
            <w:tcW w:w="0" w:type="auto"/>
          </w:tcPr>
          <w:p w14:paraId="0B01F8BE" w14:textId="77777777" w:rsidR="00275D3C" w:rsidRPr="00572194" w:rsidRDefault="00275D3C" w:rsidP="00275D3C">
            <w:pPr>
              <w:spacing w:before="0" w:after="0" w:line="240" w:lineRule="auto"/>
              <w:jc w:val="center"/>
            </w:pPr>
            <w:r>
              <w:t>0.58</w:t>
            </w:r>
          </w:p>
        </w:tc>
        <w:tc>
          <w:tcPr>
            <w:tcW w:w="0" w:type="auto"/>
          </w:tcPr>
          <w:p w14:paraId="65B05642" w14:textId="77777777" w:rsidR="00275D3C" w:rsidRPr="00572194" w:rsidRDefault="00275D3C" w:rsidP="00275D3C">
            <w:pPr>
              <w:spacing w:before="0" w:after="0" w:line="240" w:lineRule="auto"/>
              <w:jc w:val="center"/>
            </w:pPr>
            <w:r>
              <w:t>0.62</w:t>
            </w:r>
          </w:p>
        </w:tc>
        <w:tc>
          <w:tcPr>
            <w:tcW w:w="0" w:type="auto"/>
          </w:tcPr>
          <w:p w14:paraId="38EA0C84" w14:textId="77777777" w:rsidR="00275D3C" w:rsidRPr="00572194" w:rsidRDefault="00275D3C" w:rsidP="00275D3C">
            <w:pPr>
              <w:spacing w:before="0" w:after="0" w:line="240" w:lineRule="auto"/>
            </w:pPr>
            <w:r>
              <w:t>0.69</w:t>
            </w:r>
          </w:p>
        </w:tc>
      </w:tr>
      <w:tr w:rsidR="00275D3C" w:rsidRPr="00572194" w14:paraId="30A6CA9E" w14:textId="77777777" w:rsidTr="00726970">
        <w:tc>
          <w:tcPr>
            <w:tcW w:w="2122" w:type="dxa"/>
            <w:vMerge/>
          </w:tcPr>
          <w:p w14:paraId="3BEFED67" w14:textId="77777777" w:rsidR="00275D3C" w:rsidRPr="00572194" w:rsidRDefault="00275D3C" w:rsidP="00275D3C">
            <w:pPr>
              <w:spacing w:before="0" w:after="0" w:line="240" w:lineRule="auto"/>
            </w:pPr>
          </w:p>
        </w:tc>
        <w:tc>
          <w:tcPr>
            <w:tcW w:w="1802" w:type="dxa"/>
            <w:vMerge/>
          </w:tcPr>
          <w:p w14:paraId="7E735A29" w14:textId="77777777" w:rsidR="00275D3C" w:rsidRPr="00572194" w:rsidRDefault="00275D3C" w:rsidP="00275D3C">
            <w:pPr>
              <w:spacing w:before="0" w:after="0" w:line="240" w:lineRule="auto"/>
            </w:pPr>
          </w:p>
        </w:tc>
        <w:tc>
          <w:tcPr>
            <w:tcW w:w="1037" w:type="dxa"/>
          </w:tcPr>
          <w:p w14:paraId="2A56DD9E" w14:textId="77777777" w:rsidR="00275D3C" w:rsidRDefault="00275D3C" w:rsidP="00275D3C">
            <w:pPr>
              <w:spacing w:before="0" w:after="0" w:line="240" w:lineRule="auto"/>
            </w:pPr>
            <w:r>
              <w:t>0.5 Hz</w:t>
            </w:r>
          </w:p>
        </w:tc>
        <w:tc>
          <w:tcPr>
            <w:tcW w:w="0" w:type="auto"/>
          </w:tcPr>
          <w:p w14:paraId="6180C0A7" w14:textId="77777777" w:rsidR="00275D3C" w:rsidRPr="00572194" w:rsidRDefault="00275D3C" w:rsidP="00275D3C">
            <w:pPr>
              <w:spacing w:before="0" w:after="0" w:line="240" w:lineRule="auto"/>
              <w:jc w:val="center"/>
            </w:pPr>
            <w:r>
              <w:t>0.95</w:t>
            </w:r>
          </w:p>
        </w:tc>
        <w:tc>
          <w:tcPr>
            <w:tcW w:w="0" w:type="auto"/>
          </w:tcPr>
          <w:p w14:paraId="236BA0BC" w14:textId="77777777" w:rsidR="00275D3C" w:rsidRPr="00572194" w:rsidRDefault="00275D3C" w:rsidP="00275D3C">
            <w:pPr>
              <w:spacing w:before="0" w:after="0" w:line="240" w:lineRule="auto"/>
              <w:jc w:val="center"/>
            </w:pPr>
            <w:r>
              <w:t>1.11</w:t>
            </w:r>
          </w:p>
        </w:tc>
        <w:tc>
          <w:tcPr>
            <w:tcW w:w="0" w:type="auto"/>
          </w:tcPr>
          <w:p w14:paraId="73020C82" w14:textId="77777777" w:rsidR="00275D3C" w:rsidRPr="00572194" w:rsidRDefault="00275D3C" w:rsidP="00275D3C">
            <w:pPr>
              <w:spacing w:before="0" w:after="0" w:line="240" w:lineRule="auto"/>
            </w:pPr>
            <w:r>
              <w:t>0.53</w:t>
            </w:r>
          </w:p>
        </w:tc>
      </w:tr>
      <w:tr w:rsidR="00275D3C" w:rsidRPr="00572194" w14:paraId="08EEA566" w14:textId="77777777" w:rsidTr="00726970">
        <w:tc>
          <w:tcPr>
            <w:tcW w:w="2122" w:type="dxa"/>
            <w:vMerge/>
          </w:tcPr>
          <w:p w14:paraId="09B7DEC0" w14:textId="77777777" w:rsidR="00275D3C" w:rsidRPr="00572194" w:rsidRDefault="00275D3C" w:rsidP="00275D3C">
            <w:pPr>
              <w:spacing w:before="0" w:after="0" w:line="240" w:lineRule="auto"/>
            </w:pPr>
          </w:p>
        </w:tc>
        <w:tc>
          <w:tcPr>
            <w:tcW w:w="1802" w:type="dxa"/>
            <w:vMerge/>
          </w:tcPr>
          <w:p w14:paraId="6DE92CEF" w14:textId="77777777" w:rsidR="00275D3C" w:rsidRPr="00572194" w:rsidRDefault="00275D3C" w:rsidP="00275D3C">
            <w:pPr>
              <w:spacing w:before="0" w:after="0" w:line="240" w:lineRule="auto"/>
            </w:pPr>
          </w:p>
        </w:tc>
        <w:tc>
          <w:tcPr>
            <w:tcW w:w="1037" w:type="dxa"/>
          </w:tcPr>
          <w:p w14:paraId="256DCE14" w14:textId="77777777" w:rsidR="00275D3C" w:rsidRDefault="00275D3C" w:rsidP="00275D3C">
            <w:pPr>
              <w:spacing w:before="0" w:after="0" w:line="240" w:lineRule="auto"/>
            </w:pPr>
            <w:r>
              <w:t>0.75 Hz</w:t>
            </w:r>
          </w:p>
        </w:tc>
        <w:tc>
          <w:tcPr>
            <w:tcW w:w="0" w:type="auto"/>
          </w:tcPr>
          <w:p w14:paraId="0087957C" w14:textId="77777777" w:rsidR="00275D3C" w:rsidRPr="00572194" w:rsidRDefault="00275D3C" w:rsidP="00275D3C">
            <w:pPr>
              <w:spacing w:before="0" w:after="0" w:line="240" w:lineRule="auto"/>
              <w:jc w:val="center"/>
            </w:pPr>
            <w:r>
              <w:t>1.47</w:t>
            </w:r>
          </w:p>
        </w:tc>
        <w:tc>
          <w:tcPr>
            <w:tcW w:w="0" w:type="auto"/>
          </w:tcPr>
          <w:p w14:paraId="6C7E5CB5" w14:textId="77777777" w:rsidR="00275D3C" w:rsidRPr="00572194" w:rsidRDefault="00275D3C" w:rsidP="00275D3C">
            <w:pPr>
              <w:spacing w:before="0" w:after="0" w:line="240" w:lineRule="auto"/>
              <w:jc w:val="center"/>
            </w:pPr>
            <w:r>
              <w:t>1.61</w:t>
            </w:r>
          </w:p>
        </w:tc>
        <w:tc>
          <w:tcPr>
            <w:tcW w:w="0" w:type="auto"/>
          </w:tcPr>
          <w:p w14:paraId="46B78178" w14:textId="77777777" w:rsidR="00275D3C" w:rsidRPr="00572194" w:rsidRDefault="00275D3C" w:rsidP="00275D3C">
            <w:pPr>
              <w:spacing w:before="0" w:after="0" w:line="240" w:lineRule="auto"/>
            </w:pPr>
            <w:r>
              <w:t>0.56</w:t>
            </w:r>
          </w:p>
        </w:tc>
      </w:tr>
      <w:tr w:rsidR="00275D3C" w:rsidRPr="00572194" w14:paraId="3F06294C" w14:textId="77777777" w:rsidTr="00726970">
        <w:tc>
          <w:tcPr>
            <w:tcW w:w="2122" w:type="dxa"/>
            <w:vMerge/>
          </w:tcPr>
          <w:p w14:paraId="464BF480" w14:textId="77777777" w:rsidR="00275D3C" w:rsidRPr="00572194" w:rsidRDefault="00275D3C" w:rsidP="00275D3C">
            <w:pPr>
              <w:spacing w:before="0" w:after="0" w:line="240" w:lineRule="auto"/>
            </w:pPr>
          </w:p>
        </w:tc>
        <w:tc>
          <w:tcPr>
            <w:tcW w:w="1802" w:type="dxa"/>
            <w:vMerge/>
          </w:tcPr>
          <w:p w14:paraId="6AEFA00C" w14:textId="77777777" w:rsidR="00275D3C" w:rsidRPr="00572194" w:rsidRDefault="00275D3C" w:rsidP="00275D3C">
            <w:pPr>
              <w:spacing w:before="0" w:after="0" w:line="240" w:lineRule="auto"/>
            </w:pPr>
          </w:p>
        </w:tc>
        <w:tc>
          <w:tcPr>
            <w:tcW w:w="1037" w:type="dxa"/>
          </w:tcPr>
          <w:p w14:paraId="05DBEC7E" w14:textId="77777777" w:rsidR="00275D3C" w:rsidRDefault="00275D3C" w:rsidP="00275D3C">
            <w:pPr>
              <w:spacing w:before="0" w:after="0" w:line="240" w:lineRule="auto"/>
            </w:pPr>
            <w:r>
              <w:t>1.0 Hz</w:t>
            </w:r>
          </w:p>
        </w:tc>
        <w:tc>
          <w:tcPr>
            <w:tcW w:w="0" w:type="auto"/>
          </w:tcPr>
          <w:p w14:paraId="610C4243" w14:textId="77777777" w:rsidR="00275D3C" w:rsidRPr="00572194" w:rsidRDefault="00275D3C" w:rsidP="00275D3C">
            <w:pPr>
              <w:spacing w:before="0" w:after="0" w:line="240" w:lineRule="auto"/>
              <w:jc w:val="center"/>
            </w:pPr>
            <w:r>
              <w:t>2.14</w:t>
            </w:r>
          </w:p>
        </w:tc>
        <w:tc>
          <w:tcPr>
            <w:tcW w:w="0" w:type="auto"/>
          </w:tcPr>
          <w:p w14:paraId="2E56EFCA" w14:textId="77777777" w:rsidR="00275D3C" w:rsidRPr="00572194" w:rsidRDefault="00275D3C" w:rsidP="00275D3C">
            <w:pPr>
              <w:spacing w:before="0" w:after="0" w:line="240" w:lineRule="auto"/>
              <w:jc w:val="center"/>
            </w:pPr>
            <w:r>
              <w:t>2.27</w:t>
            </w:r>
          </w:p>
        </w:tc>
        <w:tc>
          <w:tcPr>
            <w:tcW w:w="0" w:type="auto"/>
          </w:tcPr>
          <w:p w14:paraId="5839DDFD" w14:textId="77777777" w:rsidR="00275D3C" w:rsidRPr="00572194" w:rsidRDefault="00275D3C" w:rsidP="00275D3C">
            <w:pPr>
              <w:spacing w:before="0" w:after="0" w:line="240" w:lineRule="auto"/>
            </w:pPr>
            <w:r>
              <w:t>0.66</w:t>
            </w:r>
          </w:p>
        </w:tc>
      </w:tr>
      <w:tr w:rsidR="00275D3C" w:rsidRPr="00572194" w14:paraId="39B2D4DC" w14:textId="77777777" w:rsidTr="00726970">
        <w:tc>
          <w:tcPr>
            <w:tcW w:w="2122" w:type="dxa"/>
            <w:vMerge/>
          </w:tcPr>
          <w:p w14:paraId="6A6B2225" w14:textId="77777777" w:rsidR="00275D3C" w:rsidRPr="00572194" w:rsidRDefault="00275D3C" w:rsidP="00275D3C">
            <w:pPr>
              <w:spacing w:before="0" w:after="0" w:line="240" w:lineRule="auto"/>
            </w:pPr>
          </w:p>
        </w:tc>
        <w:tc>
          <w:tcPr>
            <w:tcW w:w="1802" w:type="dxa"/>
            <w:vMerge w:val="restart"/>
          </w:tcPr>
          <w:p w14:paraId="2B09E7F8" w14:textId="77777777" w:rsidR="00275D3C" w:rsidRPr="00572194" w:rsidRDefault="00275D3C" w:rsidP="00275D3C">
            <w:pPr>
              <w:spacing w:before="0" w:after="0" w:line="240" w:lineRule="auto"/>
            </w:pPr>
            <w:r>
              <w:t>Vertical duration (</w:t>
            </w:r>
            <w:proofErr w:type="spellStart"/>
            <w:r>
              <w:t>ms</w:t>
            </w:r>
            <w:proofErr w:type="spellEnd"/>
            <w:r>
              <w:t>)</w:t>
            </w:r>
          </w:p>
        </w:tc>
        <w:tc>
          <w:tcPr>
            <w:tcW w:w="1037" w:type="dxa"/>
          </w:tcPr>
          <w:p w14:paraId="3614D89B" w14:textId="77777777" w:rsidR="00275D3C" w:rsidRDefault="00275D3C" w:rsidP="00275D3C">
            <w:pPr>
              <w:spacing w:before="0" w:after="0" w:line="240" w:lineRule="auto"/>
            </w:pPr>
            <w:r>
              <w:t>0.25 Hz</w:t>
            </w:r>
          </w:p>
        </w:tc>
        <w:tc>
          <w:tcPr>
            <w:tcW w:w="0" w:type="auto"/>
          </w:tcPr>
          <w:p w14:paraId="58C67F09" w14:textId="77777777" w:rsidR="00275D3C" w:rsidRPr="00572194" w:rsidRDefault="00275D3C" w:rsidP="00275D3C">
            <w:pPr>
              <w:spacing w:before="0" w:after="0" w:line="240" w:lineRule="auto"/>
              <w:jc w:val="center"/>
            </w:pPr>
            <w:r>
              <w:t>527</w:t>
            </w:r>
          </w:p>
        </w:tc>
        <w:tc>
          <w:tcPr>
            <w:tcW w:w="0" w:type="auto"/>
          </w:tcPr>
          <w:p w14:paraId="5204561C" w14:textId="77777777" w:rsidR="00275D3C" w:rsidRPr="00572194" w:rsidRDefault="00275D3C" w:rsidP="00275D3C">
            <w:pPr>
              <w:spacing w:before="0" w:after="0" w:line="240" w:lineRule="auto"/>
              <w:jc w:val="center"/>
            </w:pPr>
            <w:r>
              <w:t>979</w:t>
            </w:r>
          </w:p>
        </w:tc>
        <w:tc>
          <w:tcPr>
            <w:tcW w:w="0" w:type="auto"/>
          </w:tcPr>
          <w:p w14:paraId="0B6841D9" w14:textId="77777777" w:rsidR="00275D3C" w:rsidRPr="00572194" w:rsidRDefault="00275D3C" w:rsidP="00275D3C">
            <w:pPr>
              <w:spacing w:before="0" w:after="0" w:line="240" w:lineRule="auto"/>
            </w:pPr>
            <w:r>
              <w:t>&lt;0.01*</w:t>
            </w:r>
          </w:p>
        </w:tc>
      </w:tr>
      <w:tr w:rsidR="00275D3C" w:rsidRPr="00572194" w14:paraId="5191006C" w14:textId="77777777" w:rsidTr="00726970">
        <w:tc>
          <w:tcPr>
            <w:tcW w:w="2122" w:type="dxa"/>
            <w:vMerge/>
          </w:tcPr>
          <w:p w14:paraId="1C9CCA26" w14:textId="77777777" w:rsidR="00275D3C" w:rsidRPr="00572194" w:rsidRDefault="00275D3C" w:rsidP="00275D3C">
            <w:pPr>
              <w:spacing w:before="0" w:after="0" w:line="240" w:lineRule="auto"/>
            </w:pPr>
          </w:p>
        </w:tc>
        <w:tc>
          <w:tcPr>
            <w:tcW w:w="1802" w:type="dxa"/>
            <w:vMerge/>
          </w:tcPr>
          <w:p w14:paraId="4603DF8F" w14:textId="77777777" w:rsidR="00275D3C" w:rsidRPr="00572194" w:rsidRDefault="00275D3C" w:rsidP="00275D3C">
            <w:pPr>
              <w:spacing w:before="0" w:after="0" w:line="240" w:lineRule="auto"/>
            </w:pPr>
          </w:p>
        </w:tc>
        <w:tc>
          <w:tcPr>
            <w:tcW w:w="1037" w:type="dxa"/>
          </w:tcPr>
          <w:p w14:paraId="1DA43CEE" w14:textId="77777777" w:rsidR="00275D3C" w:rsidRDefault="00275D3C" w:rsidP="00275D3C">
            <w:pPr>
              <w:spacing w:before="0" w:after="0" w:line="240" w:lineRule="auto"/>
            </w:pPr>
            <w:r>
              <w:t>0.5 Hz</w:t>
            </w:r>
          </w:p>
        </w:tc>
        <w:tc>
          <w:tcPr>
            <w:tcW w:w="0" w:type="auto"/>
          </w:tcPr>
          <w:p w14:paraId="40C230FB" w14:textId="77777777" w:rsidR="00275D3C" w:rsidRPr="00572194" w:rsidRDefault="00275D3C" w:rsidP="00275D3C">
            <w:pPr>
              <w:spacing w:before="0" w:after="0" w:line="240" w:lineRule="auto"/>
              <w:jc w:val="center"/>
            </w:pPr>
            <w:r>
              <w:t>291</w:t>
            </w:r>
          </w:p>
        </w:tc>
        <w:tc>
          <w:tcPr>
            <w:tcW w:w="0" w:type="auto"/>
          </w:tcPr>
          <w:p w14:paraId="74DDE1B3" w14:textId="77777777" w:rsidR="00275D3C" w:rsidRPr="00572194" w:rsidRDefault="00275D3C" w:rsidP="00275D3C">
            <w:pPr>
              <w:spacing w:before="0" w:after="0" w:line="240" w:lineRule="auto"/>
              <w:jc w:val="center"/>
            </w:pPr>
            <w:r>
              <w:t>597</w:t>
            </w:r>
          </w:p>
        </w:tc>
        <w:tc>
          <w:tcPr>
            <w:tcW w:w="0" w:type="auto"/>
          </w:tcPr>
          <w:p w14:paraId="7F288C08" w14:textId="77777777" w:rsidR="00275D3C" w:rsidRPr="00572194" w:rsidRDefault="00275D3C" w:rsidP="00275D3C">
            <w:pPr>
              <w:spacing w:before="0" w:after="0" w:line="240" w:lineRule="auto"/>
            </w:pPr>
            <w:r>
              <w:t>&lt;0.01*</w:t>
            </w:r>
          </w:p>
        </w:tc>
      </w:tr>
      <w:tr w:rsidR="00275D3C" w:rsidRPr="00572194" w14:paraId="5B9469ED" w14:textId="77777777" w:rsidTr="00726970">
        <w:tc>
          <w:tcPr>
            <w:tcW w:w="2122" w:type="dxa"/>
            <w:vMerge/>
          </w:tcPr>
          <w:p w14:paraId="42CA1044" w14:textId="77777777" w:rsidR="00275D3C" w:rsidRPr="00572194" w:rsidRDefault="00275D3C" w:rsidP="00275D3C">
            <w:pPr>
              <w:spacing w:before="0" w:after="0" w:line="240" w:lineRule="auto"/>
            </w:pPr>
          </w:p>
        </w:tc>
        <w:tc>
          <w:tcPr>
            <w:tcW w:w="1802" w:type="dxa"/>
            <w:vMerge/>
          </w:tcPr>
          <w:p w14:paraId="5CDEE328" w14:textId="77777777" w:rsidR="00275D3C" w:rsidRPr="00572194" w:rsidRDefault="00275D3C" w:rsidP="00275D3C">
            <w:pPr>
              <w:spacing w:before="0" w:after="0" w:line="240" w:lineRule="auto"/>
            </w:pPr>
          </w:p>
        </w:tc>
        <w:tc>
          <w:tcPr>
            <w:tcW w:w="1037" w:type="dxa"/>
          </w:tcPr>
          <w:p w14:paraId="6DBD694B" w14:textId="77777777" w:rsidR="00275D3C" w:rsidRDefault="00275D3C" w:rsidP="00275D3C">
            <w:pPr>
              <w:spacing w:before="0" w:after="0" w:line="240" w:lineRule="auto"/>
            </w:pPr>
            <w:r>
              <w:t>0.75 Hz</w:t>
            </w:r>
          </w:p>
        </w:tc>
        <w:tc>
          <w:tcPr>
            <w:tcW w:w="0" w:type="auto"/>
          </w:tcPr>
          <w:p w14:paraId="167D5471" w14:textId="77777777" w:rsidR="00275D3C" w:rsidRPr="00572194" w:rsidRDefault="00275D3C" w:rsidP="00275D3C">
            <w:pPr>
              <w:spacing w:before="0" w:after="0" w:line="240" w:lineRule="auto"/>
              <w:jc w:val="center"/>
            </w:pPr>
            <w:r>
              <w:t>221</w:t>
            </w:r>
          </w:p>
        </w:tc>
        <w:tc>
          <w:tcPr>
            <w:tcW w:w="0" w:type="auto"/>
          </w:tcPr>
          <w:p w14:paraId="611D1FA2" w14:textId="77777777" w:rsidR="00275D3C" w:rsidRPr="00572194" w:rsidRDefault="00275D3C" w:rsidP="00275D3C">
            <w:pPr>
              <w:spacing w:before="0" w:after="0" w:line="240" w:lineRule="auto"/>
              <w:jc w:val="center"/>
            </w:pPr>
            <w:r>
              <w:t>460</w:t>
            </w:r>
          </w:p>
        </w:tc>
        <w:tc>
          <w:tcPr>
            <w:tcW w:w="0" w:type="auto"/>
          </w:tcPr>
          <w:p w14:paraId="3553669D" w14:textId="77777777" w:rsidR="00275D3C" w:rsidRPr="00572194" w:rsidRDefault="00275D3C" w:rsidP="00275D3C">
            <w:pPr>
              <w:spacing w:before="0" w:after="0" w:line="240" w:lineRule="auto"/>
            </w:pPr>
            <w:r>
              <w:t>&lt;0.01*</w:t>
            </w:r>
          </w:p>
        </w:tc>
      </w:tr>
      <w:tr w:rsidR="00275D3C" w:rsidRPr="00572194" w14:paraId="27E27143" w14:textId="77777777" w:rsidTr="00726970">
        <w:tc>
          <w:tcPr>
            <w:tcW w:w="2122" w:type="dxa"/>
            <w:vMerge/>
          </w:tcPr>
          <w:p w14:paraId="67B0A195" w14:textId="77777777" w:rsidR="00275D3C" w:rsidRPr="00572194" w:rsidRDefault="00275D3C" w:rsidP="00275D3C">
            <w:pPr>
              <w:spacing w:before="0" w:after="0" w:line="240" w:lineRule="auto"/>
            </w:pPr>
          </w:p>
        </w:tc>
        <w:tc>
          <w:tcPr>
            <w:tcW w:w="1802" w:type="dxa"/>
            <w:vMerge/>
          </w:tcPr>
          <w:p w14:paraId="7E33ADF6" w14:textId="77777777" w:rsidR="00275D3C" w:rsidRPr="00572194" w:rsidRDefault="00275D3C" w:rsidP="00275D3C">
            <w:pPr>
              <w:spacing w:before="0" w:after="0" w:line="240" w:lineRule="auto"/>
            </w:pPr>
          </w:p>
        </w:tc>
        <w:tc>
          <w:tcPr>
            <w:tcW w:w="1037" w:type="dxa"/>
          </w:tcPr>
          <w:p w14:paraId="1FA5B898" w14:textId="77777777" w:rsidR="00275D3C" w:rsidRDefault="00275D3C" w:rsidP="00275D3C">
            <w:pPr>
              <w:spacing w:before="0" w:after="0" w:line="240" w:lineRule="auto"/>
            </w:pPr>
            <w:r>
              <w:t>1.0 Hz</w:t>
            </w:r>
          </w:p>
        </w:tc>
        <w:tc>
          <w:tcPr>
            <w:tcW w:w="0" w:type="auto"/>
          </w:tcPr>
          <w:p w14:paraId="33A76D5F" w14:textId="77777777" w:rsidR="00275D3C" w:rsidRPr="00572194" w:rsidRDefault="00275D3C" w:rsidP="00275D3C">
            <w:pPr>
              <w:spacing w:before="0" w:after="0" w:line="240" w:lineRule="auto"/>
              <w:jc w:val="center"/>
            </w:pPr>
            <w:r>
              <w:t>199</w:t>
            </w:r>
          </w:p>
        </w:tc>
        <w:tc>
          <w:tcPr>
            <w:tcW w:w="0" w:type="auto"/>
          </w:tcPr>
          <w:p w14:paraId="391B9A4C" w14:textId="77777777" w:rsidR="00275D3C" w:rsidRPr="00572194" w:rsidRDefault="00275D3C" w:rsidP="00275D3C">
            <w:pPr>
              <w:spacing w:before="0" w:after="0" w:line="240" w:lineRule="auto"/>
              <w:jc w:val="center"/>
            </w:pPr>
            <w:r>
              <w:t>395</w:t>
            </w:r>
          </w:p>
        </w:tc>
        <w:tc>
          <w:tcPr>
            <w:tcW w:w="0" w:type="auto"/>
          </w:tcPr>
          <w:p w14:paraId="72FB25B4" w14:textId="77777777" w:rsidR="00275D3C" w:rsidRPr="00572194" w:rsidRDefault="00275D3C" w:rsidP="00275D3C">
            <w:pPr>
              <w:spacing w:before="0" w:after="0" w:line="240" w:lineRule="auto"/>
            </w:pPr>
            <w:r>
              <w:t>&lt;0.01*</w:t>
            </w:r>
          </w:p>
        </w:tc>
      </w:tr>
      <w:tr w:rsidR="00275D3C" w:rsidRPr="00572194" w14:paraId="3ADDD1E7" w14:textId="77777777" w:rsidTr="00726970">
        <w:tc>
          <w:tcPr>
            <w:tcW w:w="2122" w:type="dxa"/>
            <w:vMerge/>
          </w:tcPr>
          <w:p w14:paraId="351FEF62" w14:textId="77777777" w:rsidR="00275D3C" w:rsidRPr="00572194" w:rsidRDefault="00275D3C" w:rsidP="00275D3C">
            <w:pPr>
              <w:spacing w:before="0" w:after="0" w:line="240" w:lineRule="auto"/>
            </w:pPr>
          </w:p>
        </w:tc>
        <w:tc>
          <w:tcPr>
            <w:tcW w:w="1802" w:type="dxa"/>
          </w:tcPr>
          <w:p w14:paraId="252F467D" w14:textId="77777777" w:rsidR="00275D3C" w:rsidRPr="00000673" w:rsidRDefault="00275D3C" w:rsidP="00275D3C">
            <w:pPr>
              <w:spacing w:before="0" w:after="0" w:line="240" w:lineRule="auto"/>
              <w:rPr>
                <w:i/>
                <w:iCs/>
              </w:rPr>
            </w:pPr>
            <w:r w:rsidRPr="00000673">
              <w:rPr>
                <w:i/>
                <w:iCs/>
              </w:rPr>
              <w:t>Saccade</w:t>
            </w:r>
            <w:r>
              <w:rPr>
                <w:i/>
                <w:iCs/>
              </w:rPr>
              <w:t>:</w:t>
            </w:r>
          </w:p>
        </w:tc>
        <w:tc>
          <w:tcPr>
            <w:tcW w:w="1037" w:type="dxa"/>
          </w:tcPr>
          <w:p w14:paraId="21AFF29E" w14:textId="77777777" w:rsidR="00275D3C" w:rsidRDefault="00275D3C" w:rsidP="00275D3C">
            <w:pPr>
              <w:spacing w:before="0" w:after="0" w:line="240" w:lineRule="auto"/>
            </w:pPr>
          </w:p>
        </w:tc>
        <w:tc>
          <w:tcPr>
            <w:tcW w:w="0" w:type="auto"/>
          </w:tcPr>
          <w:p w14:paraId="75FB5CA1" w14:textId="05445ABB" w:rsidR="00275D3C" w:rsidRDefault="00275D3C" w:rsidP="00275D3C">
            <w:pPr>
              <w:spacing w:before="0" w:after="0" w:line="240" w:lineRule="auto"/>
              <w:jc w:val="center"/>
            </w:pPr>
            <w:r w:rsidRPr="00F96BE0">
              <w:rPr>
                <w:b/>
                <w:bCs/>
              </w:rPr>
              <w:t>n = 1</w:t>
            </w:r>
            <w:r>
              <w:rPr>
                <w:b/>
                <w:bCs/>
              </w:rPr>
              <w:t>8</w:t>
            </w:r>
          </w:p>
        </w:tc>
        <w:tc>
          <w:tcPr>
            <w:tcW w:w="0" w:type="auto"/>
          </w:tcPr>
          <w:p w14:paraId="471D8666" w14:textId="448E6067" w:rsidR="00275D3C" w:rsidRDefault="00275D3C" w:rsidP="00275D3C">
            <w:pPr>
              <w:spacing w:before="0" w:after="0" w:line="240" w:lineRule="auto"/>
              <w:jc w:val="center"/>
            </w:pPr>
            <w:r w:rsidRPr="00F96BE0">
              <w:rPr>
                <w:b/>
                <w:bCs/>
              </w:rPr>
              <w:t>n = 1</w:t>
            </w:r>
            <w:r>
              <w:rPr>
                <w:b/>
                <w:bCs/>
              </w:rPr>
              <w:t>8</w:t>
            </w:r>
          </w:p>
        </w:tc>
        <w:tc>
          <w:tcPr>
            <w:tcW w:w="0" w:type="auto"/>
          </w:tcPr>
          <w:p w14:paraId="52B9BEE9" w14:textId="77777777" w:rsidR="00275D3C" w:rsidRDefault="00275D3C" w:rsidP="00275D3C">
            <w:pPr>
              <w:spacing w:before="0" w:after="0" w:line="240" w:lineRule="auto"/>
            </w:pPr>
          </w:p>
        </w:tc>
      </w:tr>
      <w:tr w:rsidR="00275D3C" w:rsidRPr="00572194" w14:paraId="43FA3D2B" w14:textId="77777777" w:rsidTr="00726970">
        <w:tc>
          <w:tcPr>
            <w:tcW w:w="2122" w:type="dxa"/>
            <w:vMerge/>
          </w:tcPr>
          <w:p w14:paraId="6ACA5BEA" w14:textId="77777777" w:rsidR="00275D3C" w:rsidRPr="00572194" w:rsidRDefault="00275D3C" w:rsidP="00275D3C">
            <w:pPr>
              <w:spacing w:before="0" w:after="0" w:line="240" w:lineRule="auto"/>
            </w:pPr>
          </w:p>
        </w:tc>
        <w:tc>
          <w:tcPr>
            <w:tcW w:w="1802" w:type="dxa"/>
            <w:vMerge w:val="restart"/>
          </w:tcPr>
          <w:p w14:paraId="70350768" w14:textId="77777777" w:rsidR="00275D3C" w:rsidRPr="00572194" w:rsidRDefault="00275D3C" w:rsidP="00275D3C">
            <w:pPr>
              <w:spacing w:before="0" w:after="0" w:line="240" w:lineRule="auto"/>
            </w:pPr>
            <w:r>
              <w:t>Horizontal latency (</w:t>
            </w:r>
            <w:proofErr w:type="spellStart"/>
            <w:r>
              <w:t>ms</w:t>
            </w:r>
            <w:proofErr w:type="spellEnd"/>
            <w:r>
              <w:t>)</w:t>
            </w:r>
          </w:p>
        </w:tc>
        <w:tc>
          <w:tcPr>
            <w:tcW w:w="1037" w:type="dxa"/>
          </w:tcPr>
          <w:p w14:paraId="3D6A1419" w14:textId="77777777" w:rsidR="00275D3C" w:rsidRDefault="00275D3C" w:rsidP="00275D3C">
            <w:pPr>
              <w:spacing w:before="0" w:after="0" w:line="240" w:lineRule="auto"/>
            </w:pPr>
            <w:r>
              <w:t>Rt gaze</w:t>
            </w:r>
          </w:p>
        </w:tc>
        <w:tc>
          <w:tcPr>
            <w:tcW w:w="0" w:type="auto"/>
          </w:tcPr>
          <w:p w14:paraId="2991CB8A" w14:textId="77777777" w:rsidR="00275D3C" w:rsidRPr="00572194" w:rsidRDefault="00275D3C" w:rsidP="00275D3C">
            <w:pPr>
              <w:spacing w:before="0" w:after="0" w:line="240" w:lineRule="auto"/>
              <w:jc w:val="center"/>
            </w:pPr>
            <w:r>
              <w:t>155.0</w:t>
            </w:r>
          </w:p>
        </w:tc>
        <w:tc>
          <w:tcPr>
            <w:tcW w:w="0" w:type="auto"/>
          </w:tcPr>
          <w:p w14:paraId="593A3969" w14:textId="77777777" w:rsidR="00275D3C" w:rsidRPr="00572194" w:rsidRDefault="00275D3C" w:rsidP="00275D3C">
            <w:pPr>
              <w:spacing w:before="0" w:after="0" w:line="240" w:lineRule="auto"/>
              <w:jc w:val="center"/>
            </w:pPr>
            <w:r>
              <w:t>168.7</w:t>
            </w:r>
          </w:p>
        </w:tc>
        <w:tc>
          <w:tcPr>
            <w:tcW w:w="0" w:type="auto"/>
          </w:tcPr>
          <w:p w14:paraId="29B9478A" w14:textId="77777777" w:rsidR="00275D3C" w:rsidRPr="00572194" w:rsidRDefault="00275D3C" w:rsidP="00275D3C">
            <w:pPr>
              <w:spacing w:before="0" w:after="0" w:line="240" w:lineRule="auto"/>
            </w:pPr>
            <w:r>
              <w:t>0.02*</w:t>
            </w:r>
          </w:p>
        </w:tc>
      </w:tr>
      <w:tr w:rsidR="00275D3C" w:rsidRPr="00572194" w14:paraId="48505827" w14:textId="77777777" w:rsidTr="00726970">
        <w:tc>
          <w:tcPr>
            <w:tcW w:w="2122" w:type="dxa"/>
            <w:vMerge/>
          </w:tcPr>
          <w:p w14:paraId="720971C3" w14:textId="77777777" w:rsidR="00275D3C" w:rsidRPr="00572194" w:rsidRDefault="00275D3C" w:rsidP="00275D3C">
            <w:pPr>
              <w:spacing w:before="0" w:after="0" w:line="240" w:lineRule="auto"/>
            </w:pPr>
          </w:p>
        </w:tc>
        <w:tc>
          <w:tcPr>
            <w:tcW w:w="1802" w:type="dxa"/>
            <w:vMerge/>
          </w:tcPr>
          <w:p w14:paraId="6F5E2931" w14:textId="77777777" w:rsidR="00275D3C" w:rsidRPr="00572194" w:rsidRDefault="00275D3C" w:rsidP="00275D3C">
            <w:pPr>
              <w:spacing w:before="0" w:after="0" w:line="240" w:lineRule="auto"/>
            </w:pPr>
          </w:p>
        </w:tc>
        <w:tc>
          <w:tcPr>
            <w:tcW w:w="1037" w:type="dxa"/>
          </w:tcPr>
          <w:p w14:paraId="0A5F379D" w14:textId="77777777" w:rsidR="00275D3C" w:rsidRDefault="00275D3C" w:rsidP="00275D3C">
            <w:pPr>
              <w:spacing w:before="0" w:after="0" w:line="240" w:lineRule="auto"/>
            </w:pPr>
            <w:r>
              <w:t>Lt gaze</w:t>
            </w:r>
          </w:p>
        </w:tc>
        <w:tc>
          <w:tcPr>
            <w:tcW w:w="0" w:type="auto"/>
          </w:tcPr>
          <w:p w14:paraId="01E52A6D" w14:textId="77777777" w:rsidR="00275D3C" w:rsidRPr="00572194" w:rsidRDefault="00275D3C" w:rsidP="00275D3C">
            <w:pPr>
              <w:spacing w:before="0" w:after="0" w:line="240" w:lineRule="auto"/>
              <w:jc w:val="center"/>
            </w:pPr>
            <w:r>
              <w:t>148.3</w:t>
            </w:r>
          </w:p>
        </w:tc>
        <w:tc>
          <w:tcPr>
            <w:tcW w:w="0" w:type="auto"/>
          </w:tcPr>
          <w:p w14:paraId="4F994767" w14:textId="77777777" w:rsidR="00275D3C" w:rsidRPr="00572194" w:rsidRDefault="00275D3C" w:rsidP="00275D3C">
            <w:pPr>
              <w:spacing w:before="0" w:after="0" w:line="240" w:lineRule="auto"/>
              <w:jc w:val="center"/>
            </w:pPr>
            <w:r>
              <w:t>167.1</w:t>
            </w:r>
          </w:p>
        </w:tc>
        <w:tc>
          <w:tcPr>
            <w:tcW w:w="0" w:type="auto"/>
          </w:tcPr>
          <w:p w14:paraId="46550FEA" w14:textId="77777777" w:rsidR="00275D3C" w:rsidRPr="00572194" w:rsidRDefault="00275D3C" w:rsidP="00275D3C">
            <w:pPr>
              <w:spacing w:before="0" w:after="0" w:line="240" w:lineRule="auto"/>
            </w:pPr>
            <w:r>
              <w:t>&lt;0.01*</w:t>
            </w:r>
          </w:p>
        </w:tc>
      </w:tr>
      <w:tr w:rsidR="00275D3C" w:rsidRPr="00572194" w14:paraId="7A56810C" w14:textId="77777777" w:rsidTr="00726970">
        <w:tc>
          <w:tcPr>
            <w:tcW w:w="2122" w:type="dxa"/>
            <w:vMerge/>
          </w:tcPr>
          <w:p w14:paraId="4D52A955" w14:textId="77777777" w:rsidR="00275D3C" w:rsidRPr="00572194" w:rsidRDefault="00275D3C" w:rsidP="00275D3C">
            <w:pPr>
              <w:spacing w:before="0" w:after="0" w:line="240" w:lineRule="auto"/>
            </w:pPr>
          </w:p>
        </w:tc>
        <w:tc>
          <w:tcPr>
            <w:tcW w:w="1802" w:type="dxa"/>
            <w:vMerge w:val="restart"/>
          </w:tcPr>
          <w:p w14:paraId="7737018F" w14:textId="77777777" w:rsidR="00275D3C" w:rsidRPr="00572194" w:rsidRDefault="00275D3C" w:rsidP="00275D3C">
            <w:pPr>
              <w:spacing w:before="0" w:after="0" w:line="240" w:lineRule="auto"/>
            </w:pPr>
            <w:r>
              <w:t>Horizontal peak velocity (°/s)</w:t>
            </w:r>
          </w:p>
        </w:tc>
        <w:tc>
          <w:tcPr>
            <w:tcW w:w="1037" w:type="dxa"/>
          </w:tcPr>
          <w:p w14:paraId="1443C96E" w14:textId="77777777" w:rsidR="00275D3C" w:rsidRDefault="00275D3C" w:rsidP="00275D3C">
            <w:pPr>
              <w:spacing w:before="0" w:after="0" w:line="240" w:lineRule="auto"/>
            </w:pPr>
            <w:r>
              <w:t>Rt gaze</w:t>
            </w:r>
          </w:p>
        </w:tc>
        <w:tc>
          <w:tcPr>
            <w:tcW w:w="0" w:type="auto"/>
          </w:tcPr>
          <w:p w14:paraId="07934BD1" w14:textId="77777777" w:rsidR="00275D3C" w:rsidRPr="00572194" w:rsidRDefault="00275D3C" w:rsidP="00275D3C">
            <w:pPr>
              <w:spacing w:before="0" w:after="0" w:line="240" w:lineRule="auto"/>
              <w:jc w:val="center"/>
            </w:pPr>
            <w:r>
              <w:t>307.2</w:t>
            </w:r>
          </w:p>
        </w:tc>
        <w:tc>
          <w:tcPr>
            <w:tcW w:w="0" w:type="auto"/>
          </w:tcPr>
          <w:p w14:paraId="38D05603" w14:textId="77777777" w:rsidR="00275D3C" w:rsidRPr="00572194" w:rsidRDefault="00275D3C" w:rsidP="00275D3C">
            <w:pPr>
              <w:spacing w:before="0" w:after="0" w:line="240" w:lineRule="auto"/>
              <w:jc w:val="center"/>
            </w:pPr>
            <w:r>
              <w:t>288.1</w:t>
            </w:r>
          </w:p>
        </w:tc>
        <w:tc>
          <w:tcPr>
            <w:tcW w:w="0" w:type="auto"/>
          </w:tcPr>
          <w:p w14:paraId="2B8076B3" w14:textId="77777777" w:rsidR="00275D3C" w:rsidRPr="00572194" w:rsidRDefault="00275D3C" w:rsidP="00275D3C">
            <w:pPr>
              <w:spacing w:before="0" w:after="0" w:line="240" w:lineRule="auto"/>
            </w:pPr>
            <w:r>
              <w:t>0.40</w:t>
            </w:r>
          </w:p>
        </w:tc>
      </w:tr>
      <w:tr w:rsidR="00275D3C" w:rsidRPr="00572194" w14:paraId="77BA31C3" w14:textId="77777777" w:rsidTr="00726970">
        <w:tc>
          <w:tcPr>
            <w:tcW w:w="2122" w:type="dxa"/>
            <w:vMerge/>
          </w:tcPr>
          <w:p w14:paraId="63A1A943" w14:textId="77777777" w:rsidR="00275D3C" w:rsidRPr="00572194" w:rsidRDefault="00275D3C" w:rsidP="00275D3C">
            <w:pPr>
              <w:spacing w:before="0" w:after="0" w:line="240" w:lineRule="auto"/>
            </w:pPr>
          </w:p>
        </w:tc>
        <w:tc>
          <w:tcPr>
            <w:tcW w:w="1802" w:type="dxa"/>
            <w:vMerge/>
          </w:tcPr>
          <w:p w14:paraId="4BE74B93" w14:textId="77777777" w:rsidR="00275D3C" w:rsidRPr="00572194" w:rsidRDefault="00275D3C" w:rsidP="00275D3C">
            <w:pPr>
              <w:spacing w:before="0" w:after="0" w:line="240" w:lineRule="auto"/>
            </w:pPr>
          </w:p>
        </w:tc>
        <w:tc>
          <w:tcPr>
            <w:tcW w:w="1037" w:type="dxa"/>
          </w:tcPr>
          <w:p w14:paraId="034B3740" w14:textId="77777777" w:rsidR="00275D3C" w:rsidRDefault="00275D3C" w:rsidP="00275D3C">
            <w:pPr>
              <w:spacing w:before="0" w:after="0" w:line="240" w:lineRule="auto"/>
            </w:pPr>
            <w:r>
              <w:t>Lt gaze</w:t>
            </w:r>
          </w:p>
        </w:tc>
        <w:tc>
          <w:tcPr>
            <w:tcW w:w="0" w:type="auto"/>
          </w:tcPr>
          <w:p w14:paraId="7793347D" w14:textId="77777777" w:rsidR="00275D3C" w:rsidRPr="00572194" w:rsidRDefault="00275D3C" w:rsidP="00275D3C">
            <w:pPr>
              <w:spacing w:before="0" w:after="0" w:line="240" w:lineRule="auto"/>
              <w:jc w:val="center"/>
            </w:pPr>
            <w:r>
              <w:t>295.2</w:t>
            </w:r>
          </w:p>
        </w:tc>
        <w:tc>
          <w:tcPr>
            <w:tcW w:w="0" w:type="auto"/>
          </w:tcPr>
          <w:p w14:paraId="65519FFD" w14:textId="77777777" w:rsidR="00275D3C" w:rsidRPr="00572194" w:rsidRDefault="00275D3C" w:rsidP="00275D3C">
            <w:pPr>
              <w:spacing w:before="0" w:after="0" w:line="240" w:lineRule="auto"/>
              <w:jc w:val="center"/>
            </w:pPr>
            <w:r>
              <w:t>282.8</w:t>
            </w:r>
          </w:p>
        </w:tc>
        <w:tc>
          <w:tcPr>
            <w:tcW w:w="0" w:type="auto"/>
          </w:tcPr>
          <w:p w14:paraId="07739224" w14:textId="77777777" w:rsidR="00275D3C" w:rsidRPr="00572194" w:rsidRDefault="00275D3C" w:rsidP="00275D3C">
            <w:pPr>
              <w:spacing w:before="0" w:after="0" w:line="240" w:lineRule="auto"/>
            </w:pPr>
            <w:r>
              <w:t>0.21</w:t>
            </w:r>
          </w:p>
        </w:tc>
      </w:tr>
      <w:tr w:rsidR="00275D3C" w:rsidRPr="00572194" w14:paraId="6FB33759" w14:textId="77777777" w:rsidTr="00726970">
        <w:tc>
          <w:tcPr>
            <w:tcW w:w="2122" w:type="dxa"/>
            <w:vMerge/>
          </w:tcPr>
          <w:p w14:paraId="3D13F901" w14:textId="77777777" w:rsidR="00275D3C" w:rsidRPr="00572194" w:rsidRDefault="00275D3C" w:rsidP="00275D3C">
            <w:pPr>
              <w:spacing w:before="0" w:after="0" w:line="240" w:lineRule="auto"/>
            </w:pPr>
          </w:p>
        </w:tc>
        <w:tc>
          <w:tcPr>
            <w:tcW w:w="1802" w:type="dxa"/>
            <w:vMerge w:val="restart"/>
          </w:tcPr>
          <w:p w14:paraId="42447C3F" w14:textId="77777777" w:rsidR="00275D3C" w:rsidRPr="00572194" w:rsidRDefault="00275D3C" w:rsidP="00275D3C">
            <w:pPr>
              <w:spacing w:before="0" w:after="0" w:line="240" w:lineRule="auto"/>
            </w:pPr>
            <w:r>
              <w:t>Horizontal gain</w:t>
            </w:r>
          </w:p>
        </w:tc>
        <w:tc>
          <w:tcPr>
            <w:tcW w:w="1037" w:type="dxa"/>
          </w:tcPr>
          <w:p w14:paraId="585F5168" w14:textId="77777777" w:rsidR="00275D3C" w:rsidRDefault="00275D3C" w:rsidP="00275D3C">
            <w:pPr>
              <w:spacing w:before="0" w:after="0" w:line="240" w:lineRule="auto"/>
            </w:pPr>
            <w:r>
              <w:t>Rt gaze</w:t>
            </w:r>
          </w:p>
        </w:tc>
        <w:tc>
          <w:tcPr>
            <w:tcW w:w="0" w:type="auto"/>
          </w:tcPr>
          <w:p w14:paraId="5BC2D86C" w14:textId="77777777" w:rsidR="00275D3C" w:rsidRPr="00572194" w:rsidRDefault="00275D3C" w:rsidP="00275D3C">
            <w:pPr>
              <w:spacing w:before="0" w:after="0" w:line="240" w:lineRule="auto"/>
              <w:jc w:val="center"/>
            </w:pPr>
            <w:r>
              <w:t>0.97</w:t>
            </w:r>
          </w:p>
        </w:tc>
        <w:tc>
          <w:tcPr>
            <w:tcW w:w="0" w:type="auto"/>
          </w:tcPr>
          <w:p w14:paraId="5CF598AD" w14:textId="77777777" w:rsidR="00275D3C" w:rsidRPr="00572194" w:rsidRDefault="00275D3C" w:rsidP="00275D3C">
            <w:pPr>
              <w:spacing w:before="0" w:after="0" w:line="240" w:lineRule="auto"/>
              <w:jc w:val="center"/>
            </w:pPr>
            <w:r>
              <w:t>0.92</w:t>
            </w:r>
          </w:p>
        </w:tc>
        <w:tc>
          <w:tcPr>
            <w:tcW w:w="0" w:type="auto"/>
          </w:tcPr>
          <w:p w14:paraId="54EEFED6" w14:textId="77777777" w:rsidR="00275D3C" w:rsidRPr="00572194" w:rsidRDefault="00275D3C" w:rsidP="00275D3C">
            <w:pPr>
              <w:spacing w:before="0" w:after="0" w:line="240" w:lineRule="auto"/>
            </w:pPr>
            <w:r>
              <w:t>0.01*</w:t>
            </w:r>
          </w:p>
        </w:tc>
      </w:tr>
      <w:tr w:rsidR="00275D3C" w:rsidRPr="00572194" w14:paraId="538D7F9D" w14:textId="77777777" w:rsidTr="00726970">
        <w:tc>
          <w:tcPr>
            <w:tcW w:w="2122" w:type="dxa"/>
            <w:vMerge/>
          </w:tcPr>
          <w:p w14:paraId="495F48D8" w14:textId="77777777" w:rsidR="00275D3C" w:rsidRPr="00572194" w:rsidRDefault="00275D3C" w:rsidP="00275D3C">
            <w:pPr>
              <w:spacing w:before="0" w:after="0" w:line="240" w:lineRule="auto"/>
            </w:pPr>
          </w:p>
        </w:tc>
        <w:tc>
          <w:tcPr>
            <w:tcW w:w="1802" w:type="dxa"/>
            <w:vMerge/>
          </w:tcPr>
          <w:p w14:paraId="677A5584" w14:textId="77777777" w:rsidR="00275D3C" w:rsidRPr="00572194" w:rsidRDefault="00275D3C" w:rsidP="00275D3C">
            <w:pPr>
              <w:spacing w:before="0" w:after="0" w:line="240" w:lineRule="auto"/>
            </w:pPr>
          </w:p>
        </w:tc>
        <w:tc>
          <w:tcPr>
            <w:tcW w:w="1037" w:type="dxa"/>
          </w:tcPr>
          <w:p w14:paraId="5B2F9AFE" w14:textId="77777777" w:rsidR="00275D3C" w:rsidRDefault="00275D3C" w:rsidP="00275D3C">
            <w:pPr>
              <w:spacing w:before="0" w:after="0" w:line="240" w:lineRule="auto"/>
            </w:pPr>
            <w:r>
              <w:t>Lt gaze</w:t>
            </w:r>
          </w:p>
        </w:tc>
        <w:tc>
          <w:tcPr>
            <w:tcW w:w="0" w:type="auto"/>
          </w:tcPr>
          <w:p w14:paraId="4C59EDA5" w14:textId="77777777" w:rsidR="00275D3C" w:rsidRPr="00572194" w:rsidRDefault="00275D3C" w:rsidP="00275D3C">
            <w:pPr>
              <w:spacing w:before="0" w:after="0" w:line="240" w:lineRule="auto"/>
              <w:jc w:val="center"/>
            </w:pPr>
            <w:r>
              <w:t>0.94</w:t>
            </w:r>
          </w:p>
        </w:tc>
        <w:tc>
          <w:tcPr>
            <w:tcW w:w="0" w:type="auto"/>
          </w:tcPr>
          <w:p w14:paraId="30FEB7F2" w14:textId="77777777" w:rsidR="00275D3C" w:rsidRPr="00572194" w:rsidRDefault="00275D3C" w:rsidP="00275D3C">
            <w:pPr>
              <w:spacing w:before="0" w:after="0" w:line="240" w:lineRule="auto"/>
              <w:jc w:val="center"/>
            </w:pPr>
            <w:r>
              <w:t>0.90</w:t>
            </w:r>
          </w:p>
        </w:tc>
        <w:tc>
          <w:tcPr>
            <w:tcW w:w="0" w:type="auto"/>
          </w:tcPr>
          <w:p w14:paraId="36E3930F" w14:textId="77777777" w:rsidR="00275D3C" w:rsidRPr="00572194" w:rsidRDefault="00275D3C" w:rsidP="00275D3C">
            <w:pPr>
              <w:spacing w:before="0" w:after="0" w:line="240" w:lineRule="auto"/>
            </w:pPr>
            <w:r>
              <w:t>0.04*</w:t>
            </w:r>
          </w:p>
        </w:tc>
      </w:tr>
      <w:tr w:rsidR="00275D3C" w:rsidRPr="00572194" w14:paraId="3A95752B" w14:textId="77777777" w:rsidTr="00726970">
        <w:tc>
          <w:tcPr>
            <w:tcW w:w="2122" w:type="dxa"/>
            <w:vMerge/>
          </w:tcPr>
          <w:p w14:paraId="766589B7" w14:textId="77777777" w:rsidR="00275D3C" w:rsidRPr="00572194" w:rsidRDefault="00275D3C" w:rsidP="00275D3C">
            <w:pPr>
              <w:spacing w:before="0" w:after="0" w:line="240" w:lineRule="auto"/>
            </w:pPr>
          </w:p>
        </w:tc>
        <w:tc>
          <w:tcPr>
            <w:tcW w:w="1802" w:type="dxa"/>
            <w:vMerge w:val="restart"/>
          </w:tcPr>
          <w:p w14:paraId="30612FF6" w14:textId="77777777" w:rsidR="00275D3C" w:rsidRPr="00572194" w:rsidRDefault="00275D3C" w:rsidP="00275D3C">
            <w:pPr>
              <w:spacing w:before="0" w:after="0" w:line="240" w:lineRule="auto"/>
            </w:pPr>
            <w:r>
              <w:t>Vertical latency (</w:t>
            </w:r>
            <w:proofErr w:type="spellStart"/>
            <w:r>
              <w:t>ms</w:t>
            </w:r>
            <w:proofErr w:type="spellEnd"/>
            <w:r>
              <w:t>)</w:t>
            </w:r>
          </w:p>
        </w:tc>
        <w:tc>
          <w:tcPr>
            <w:tcW w:w="1037" w:type="dxa"/>
          </w:tcPr>
          <w:p w14:paraId="1B79BB39" w14:textId="77777777" w:rsidR="00275D3C" w:rsidRDefault="00275D3C" w:rsidP="00275D3C">
            <w:pPr>
              <w:spacing w:before="0" w:after="0" w:line="240" w:lineRule="auto"/>
            </w:pPr>
            <w:r>
              <w:t>Up gaze</w:t>
            </w:r>
          </w:p>
        </w:tc>
        <w:tc>
          <w:tcPr>
            <w:tcW w:w="0" w:type="auto"/>
          </w:tcPr>
          <w:p w14:paraId="28103ECB" w14:textId="77777777" w:rsidR="00275D3C" w:rsidRPr="00572194" w:rsidRDefault="00275D3C" w:rsidP="00275D3C">
            <w:pPr>
              <w:spacing w:before="0" w:after="0" w:line="240" w:lineRule="auto"/>
              <w:jc w:val="center"/>
            </w:pPr>
            <w:r>
              <w:t>157.9</w:t>
            </w:r>
          </w:p>
        </w:tc>
        <w:tc>
          <w:tcPr>
            <w:tcW w:w="0" w:type="auto"/>
          </w:tcPr>
          <w:p w14:paraId="1245B75C" w14:textId="77777777" w:rsidR="00275D3C" w:rsidRPr="00572194" w:rsidRDefault="00275D3C" w:rsidP="00275D3C">
            <w:pPr>
              <w:spacing w:before="0" w:after="0" w:line="240" w:lineRule="auto"/>
              <w:jc w:val="center"/>
            </w:pPr>
            <w:r>
              <w:t>177.5</w:t>
            </w:r>
          </w:p>
        </w:tc>
        <w:tc>
          <w:tcPr>
            <w:tcW w:w="0" w:type="auto"/>
          </w:tcPr>
          <w:p w14:paraId="1797EE16" w14:textId="77777777" w:rsidR="00275D3C" w:rsidRPr="00572194" w:rsidRDefault="00275D3C" w:rsidP="00275D3C">
            <w:pPr>
              <w:spacing w:before="0" w:after="0" w:line="240" w:lineRule="auto"/>
            </w:pPr>
            <w:r>
              <w:t>&lt;0.01*</w:t>
            </w:r>
          </w:p>
        </w:tc>
      </w:tr>
      <w:tr w:rsidR="00275D3C" w:rsidRPr="00572194" w14:paraId="0F34248F" w14:textId="77777777" w:rsidTr="00726970">
        <w:tc>
          <w:tcPr>
            <w:tcW w:w="2122" w:type="dxa"/>
            <w:vMerge/>
          </w:tcPr>
          <w:p w14:paraId="12BCCEC9" w14:textId="77777777" w:rsidR="00275D3C" w:rsidRPr="00572194" w:rsidRDefault="00275D3C" w:rsidP="00275D3C">
            <w:pPr>
              <w:spacing w:before="0" w:after="0" w:line="240" w:lineRule="auto"/>
            </w:pPr>
          </w:p>
        </w:tc>
        <w:tc>
          <w:tcPr>
            <w:tcW w:w="1802" w:type="dxa"/>
            <w:vMerge/>
          </w:tcPr>
          <w:p w14:paraId="7055B887" w14:textId="77777777" w:rsidR="00275D3C" w:rsidRPr="00572194" w:rsidRDefault="00275D3C" w:rsidP="00275D3C">
            <w:pPr>
              <w:spacing w:before="0" w:after="0" w:line="240" w:lineRule="auto"/>
            </w:pPr>
          </w:p>
        </w:tc>
        <w:tc>
          <w:tcPr>
            <w:tcW w:w="1037" w:type="dxa"/>
          </w:tcPr>
          <w:p w14:paraId="23950623" w14:textId="77777777" w:rsidR="00275D3C" w:rsidRDefault="00275D3C" w:rsidP="00275D3C">
            <w:pPr>
              <w:spacing w:before="0" w:after="0" w:line="240" w:lineRule="auto"/>
            </w:pPr>
            <w:proofErr w:type="spellStart"/>
            <w:r>
              <w:t>Dn</w:t>
            </w:r>
            <w:proofErr w:type="spellEnd"/>
            <w:r>
              <w:t xml:space="preserve"> gaze</w:t>
            </w:r>
          </w:p>
        </w:tc>
        <w:tc>
          <w:tcPr>
            <w:tcW w:w="0" w:type="auto"/>
          </w:tcPr>
          <w:p w14:paraId="27192031" w14:textId="77777777" w:rsidR="00275D3C" w:rsidRPr="00572194" w:rsidRDefault="00275D3C" w:rsidP="00275D3C">
            <w:pPr>
              <w:spacing w:before="0" w:after="0" w:line="240" w:lineRule="auto"/>
              <w:jc w:val="center"/>
            </w:pPr>
            <w:r>
              <w:t>167.3</w:t>
            </w:r>
          </w:p>
        </w:tc>
        <w:tc>
          <w:tcPr>
            <w:tcW w:w="0" w:type="auto"/>
          </w:tcPr>
          <w:p w14:paraId="09F4C97A" w14:textId="77777777" w:rsidR="00275D3C" w:rsidRPr="00572194" w:rsidRDefault="00275D3C" w:rsidP="00275D3C">
            <w:pPr>
              <w:spacing w:before="0" w:after="0" w:line="240" w:lineRule="auto"/>
              <w:jc w:val="center"/>
            </w:pPr>
            <w:r>
              <w:t>190.6</w:t>
            </w:r>
          </w:p>
        </w:tc>
        <w:tc>
          <w:tcPr>
            <w:tcW w:w="0" w:type="auto"/>
          </w:tcPr>
          <w:p w14:paraId="0EE2005A" w14:textId="77777777" w:rsidR="00275D3C" w:rsidRPr="00572194" w:rsidRDefault="00275D3C" w:rsidP="00275D3C">
            <w:pPr>
              <w:spacing w:before="0" w:after="0" w:line="240" w:lineRule="auto"/>
            </w:pPr>
            <w:r>
              <w:t>&lt;0.01*</w:t>
            </w:r>
          </w:p>
        </w:tc>
      </w:tr>
      <w:tr w:rsidR="00275D3C" w:rsidRPr="00572194" w14:paraId="639801EF" w14:textId="77777777" w:rsidTr="00726970">
        <w:tc>
          <w:tcPr>
            <w:tcW w:w="2122" w:type="dxa"/>
            <w:vMerge/>
          </w:tcPr>
          <w:p w14:paraId="5E6B4DB3" w14:textId="77777777" w:rsidR="00275D3C" w:rsidRPr="00572194" w:rsidRDefault="00275D3C" w:rsidP="00275D3C">
            <w:pPr>
              <w:spacing w:before="0" w:after="0" w:line="240" w:lineRule="auto"/>
            </w:pPr>
          </w:p>
        </w:tc>
        <w:tc>
          <w:tcPr>
            <w:tcW w:w="1802" w:type="dxa"/>
            <w:vMerge w:val="restart"/>
          </w:tcPr>
          <w:p w14:paraId="5590BE5E" w14:textId="77777777" w:rsidR="00275D3C" w:rsidRPr="00572194" w:rsidRDefault="00275D3C" w:rsidP="00275D3C">
            <w:pPr>
              <w:spacing w:before="0" w:after="0" w:line="240" w:lineRule="auto"/>
            </w:pPr>
            <w:r>
              <w:t>Vertical peak velocity (°/s)</w:t>
            </w:r>
          </w:p>
        </w:tc>
        <w:tc>
          <w:tcPr>
            <w:tcW w:w="1037" w:type="dxa"/>
          </w:tcPr>
          <w:p w14:paraId="2CE3FD08" w14:textId="77777777" w:rsidR="00275D3C" w:rsidRDefault="00275D3C" w:rsidP="00275D3C">
            <w:pPr>
              <w:spacing w:before="0" w:after="0" w:line="240" w:lineRule="auto"/>
            </w:pPr>
            <w:r>
              <w:t>Up gaze</w:t>
            </w:r>
          </w:p>
        </w:tc>
        <w:tc>
          <w:tcPr>
            <w:tcW w:w="0" w:type="auto"/>
          </w:tcPr>
          <w:p w14:paraId="416EF06D" w14:textId="77777777" w:rsidR="00275D3C" w:rsidRPr="00572194" w:rsidRDefault="00275D3C" w:rsidP="00275D3C">
            <w:pPr>
              <w:spacing w:before="0" w:after="0" w:line="240" w:lineRule="auto"/>
              <w:jc w:val="center"/>
            </w:pPr>
            <w:r>
              <w:t>262.8</w:t>
            </w:r>
          </w:p>
        </w:tc>
        <w:tc>
          <w:tcPr>
            <w:tcW w:w="0" w:type="auto"/>
          </w:tcPr>
          <w:p w14:paraId="580A5B3D" w14:textId="77777777" w:rsidR="00275D3C" w:rsidRPr="00572194" w:rsidRDefault="00275D3C" w:rsidP="00275D3C">
            <w:pPr>
              <w:spacing w:before="0" w:after="0" w:line="240" w:lineRule="auto"/>
              <w:jc w:val="center"/>
            </w:pPr>
            <w:r>
              <w:t>254.6</w:t>
            </w:r>
          </w:p>
        </w:tc>
        <w:tc>
          <w:tcPr>
            <w:tcW w:w="0" w:type="auto"/>
          </w:tcPr>
          <w:p w14:paraId="205B249B" w14:textId="77777777" w:rsidR="00275D3C" w:rsidRPr="00572194" w:rsidRDefault="00275D3C" w:rsidP="00275D3C">
            <w:pPr>
              <w:spacing w:before="0" w:after="0" w:line="240" w:lineRule="auto"/>
            </w:pPr>
            <w:r>
              <w:t>0.44</w:t>
            </w:r>
          </w:p>
        </w:tc>
      </w:tr>
      <w:tr w:rsidR="00275D3C" w:rsidRPr="00572194" w14:paraId="07DB1DA3" w14:textId="77777777" w:rsidTr="00726970">
        <w:tc>
          <w:tcPr>
            <w:tcW w:w="2122" w:type="dxa"/>
            <w:vMerge/>
          </w:tcPr>
          <w:p w14:paraId="598F0D6E" w14:textId="77777777" w:rsidR="00275D3C" w:rsidRPr="00572194" w:rsidRDefault="00275D3C" w:rsidP="00275D3C">
            <w:pPr>
              <w:spacing w:before="0" w:after="0" w:line="240" w:lineRule="auto"/>
            </w:pPr>
          </w:p>
        </w:tc>
        <w:tc>
          <w:tcPr>
            <w:tcW w:w="1802" w:type="dxa"/>
            <w:vMerge/>
          </w:tcPr>
          <w:p w14:paraId="60032C78" w14:textId="77777777" w:rsidR="00275D3C" w:rsidRPr="00572194" w:rsidRDefault="00275D3C" w:rsidP="00275D3C">
            <w:pPr>
              <w:spacing w:before="0" w:after="0" w:line="240" w:lineRule="auto"/>
            </w:pPr>
          </w:p>
        </w:tc>
        <w:tc>
          <w:tcPr>
            <w:tcW w:w="1037" w:type="dxa"/>
          </w:tcPr>
          <w:p w14:paraId="74CDECEE" w14:textId="77777777" w:rsidR="00275D3C" w:rsidRDefault="00275D3C" w:rsidP="00275D3C">
            <w:pPr>
              <w:spacing w:before="0" w:after="0" w:line="240" w:lineRule="auto"/>
            </w:pPr>
            <w:proofErr w:type="spellStart"/>
            <w:r>
              <w:t>Dn</w:t>
            </w:r>
            <w:proofErr w:type="spellEnd"/>
            <w:r>
              <w:t xml:space="preserve"> gaze</w:t>
            </w:r>
          </w:p>
        </w:tc>
        <w:tc>
          <w:tcPr>
            <w:tcW w:w="0" w:type="auto"/>
          </w:tcPr>
          <w:p w14:paraId="1B075189" w14:textId="77777777" w:rsidR="00275D3C" w:rsidRPr="00572194" w:rsidRDefault="00275D3C" w:rsidP="00275D3C">
            <w:pPr>
              <w:spacing w:before="0" w:after="0" w:line="240" w:lineRule="auto"/>
              <w:jc w:val="center"/>
            </w:pPr>
            <w:r>
              <w:t>261.7</w:t>
            </w:r>
          </w:p>
        </w:tc>
        <w:tc>
          <w:tcPr>
            <w:tcW w:w="0" w:type="auto"/>
          </w:tcPr>
          <w:p w14:paraId="02CFBDFB" w14:textId="77777777" w:rsidR="00275D3C" w:rsidRPr="00572194" w:rsidRDefault="00275D3C" w:rsidP="00275D3C">
            <w:pPr>
              <w:spacing w:before="0" w:after="0" w:line="240" w:lineRule="auto"/>
              <w:jc w:val="center"/>
            </w:pPr>
            <w:r>
              <w:t>249.1</w:t>
            </w:r>
          </w:p>
        </w:tc>
        <w:tc>
          <w:tcPr>
            <w:tcW w:w="0" w:type="auto"/>
          </w:tcPr>
          <w:p w14:paraId="76B7E50D" w14:textId="77777777" w:rsidR="00275D3C" w:rsidRPr="00572194" w:rsidRDefault="00275D3C" w:rsidP="00275D3C">
            <w:pPr>
              <w:spacing w:before="0" w:after="0" w:line="240" w:lineRule="auto"/>
            </w:pPr>
            <w:r>
              <w:t>0.29</w:t>
            </w:r>
          </w:p>
        </w:tc>
      </w:tr>
      <w:tr w:rsidR="00275D3C" w:rsidRPr="00572194" w14:paraId="033DF4BB" w14:textId="77777777" w:rsidTr="00726970">
        <w:tc>
          <w:tcPr>
            <w:tcW w:w="2122" w:type="dxa"/>
            <w:vMerge/>
          </w:tcPr>
          <w:p w14:paraId="7C0CAEA2" w14:textId="77777777" w:rsidR="00275D3C" w:rsidRPr="00572194" w:rsidRDefault="00275D3C" w:rsidP="00275D3C">
            <w:pPr>
              <w:spacing w:before="0" w:after="0" w:line="240" w:lineRule="auto"/>
            </w:pPr>
          </w:p>
        </w:tc>
        <w:tc>
          <w:tcPr>
            <w:tcW w:w="1802" w:type="dxa"/>
            <w:vMerge w:val="restart"/>
          </w:tcPr>
          <w:p w14:paraId="0D947471" w14:textId="77777777" w:rsidR="00275D3C" w:rsidRPr="00572194" w:rsidRDefault="00275D3C" w:rsidP="00275D3C">
            <w:pPr>
              <w:spacing w:before="0" w:after="0" w:line="240" w:lineRule="auto"/>
            </w:pPr>
            <w:r>
              <w:t>Vertical gain</w:t>
            </w:r>
          </w:p>
        </w:tc>
        <w:tc>
          <w:tcPr>
            <w:tcW w:w="1037" w:type="dxa"/>
          </w:tcPr>
          <w:p w14:paraId="1343C2A2" w14:textId="77777777" w:rsidR="00275D3C" w:rsidRDefault="00275D3C" w:rsidP="00275D3C">
            <w:pPr>
              <w:spacing w:before="0" w:after="0" w:line="240" w:lineRule="auto"/>
            </w:pPr>
            <w:r>
              <w:t>Up gaze</w:t>
            </w:r>
          </w:p>
        </w:tc>
        <w:tc>
          <w:tcPr>
            <w:tcW w:w="0" w:type="auto"/>
          </w:tcPr>
          <w:p w14:paraId="298E8171" w14:textId="77777777" w:rsidR="00275D3C" w:rsidRPr="00572194" w:rsidRDefault="00275D3C" w:rsidP="00275D3C">
            <w:pPr>
              <w:spacing w:before="0" w:after="0" w:line="240" w:lineRule="auto"/>
              <w:jc w:val="center"/>
            </w:pPr>
            <w:r>
              <w:t>0.90</w:t>
            </w:r>
          </w:p>
        </w:tc>
        <w:tc>
          <w:tcPr>
            <w:tcW w:w="0" w:type="auto"/>
          </w:tcPr>
          <w:p w14:paraId="5B08958E" w14:textId="77777777" w:rsidR="00275D3C" w:rsidRPr="00572194" w:rsidRDefault="00275D3C" w:rsidP="00275D3C">
            <w:pPr>
              <w:spacing w:before="0" w:after="0" w:line="240" w:lineRule="auto"/>
              <w:jc w:val="center"/>
            </w:pPr>
            <w:r>
              <w:t>0.88</w:t>
            </w:r>
          </w:p>
        </w:tc>
        <w:tc>
          <w:tcPr>
            <w:tcW w:w="0" w:type="auto"/>
          </w:tcPr>
          <w:p w14:paraId="735E49B1" w14:textId="77777777" w:rsidR="00275D3C" w:rsidRPr="00572194" w:rsidRDefault="00275D3C" w:rsidP="00275D3C">
            <w:pPr>
              <w:spacing w:before="0" w:after="0" w:line="240" w:lineRule="auto"/>
            </w:pPr>
            <w:r>
              <w:t>0.59</w:t>
            </w:r>
          </w:p>
        </w:tc>
      </w:tr>
      <w:tr w:rsidR="00275D3C" w:rsidRPr="00572194" w14:paraId="7F0E732B" w14:textId="77777777" w:rsidTr="00726970">
        <w:tc>
          <w:tcPr>
            <w:tcW w:w="2122" w:type="dxa"/>
            <w:vMerge/>
          </w:tcPr>
          <w:p w14:paraId="7AE24CEC" w14:textId="77777777" w:rsidR="00275D3C" w:rsidRPr="00572194" w:rsidRDefault="00275D3C" w:rsidP="00275D3C">
            <w:pPr>
              <w:spacing w:before="0" w:after="0" w:line="240" w:lineRule="auto"/>
            </w:pPr>
          </w:p>
        </w:tc>
        <w:tc>
          <w:tcPr>
            <w:tcW w:w="1802" w:type="dxa"/>
            <w:vMerge/>
          </w:tcPr>
          <w:p w14:paraId="56ADF345" w14:textId="77777777" w:rsidR="00275D3C" w:rsidRDefault="00275D3C" w:rsidP="00275D3C">
            <w:pPr>
              <w:spacing w:before="0" w:after="0" w:line="240" w:lineRule="auto"/>
            </w:pPr>
          </w:p>
        </w:tc>
        <w:tc>
          <w:tcPr>
            <w:tcW w:w="1037" w:type="dxa"/>
          </w:tcPr>
          <w:p w14:paraId="6A5A8072" w14:textId="77777777" w:rsidR="00275D3C" w:rsidRDefault="00275D3C" w:rsidP="00275D3C">
            <w:pPr>
              <w:spacing w:before="0" w:after="0" w:line="240" w:lineRule="auto"/>
            </w:pPr>
            <w:proofErr w:type="spellStart"/>
            <w:r>
              <w:t>Dn</w:t>
            </w:r>
            <w:proofErr w:type="spellEnd"/>
            <w:r>
              <w:t xml:space="preserve"> gaze</w:t>
            </w:r>
          </w:p>
        </w:tc>
        <w:tc>
          <w:tcPr>
            <w:tcW w:w="0" w:type="auto"/>
          </w:tcPr>
          <w:p w14:paraId="2CFE8236" w14:textId="77777777" w:rsidR="00275D3C" w:rsidRPr="00572194" w:rsidRDefault="00275D3C" w:rsidP="00275D3C">
            <w:pPr>
              <w:spacing w:before="0" w:after="0" w:line="240" w:lineRule="auto"/>
              <w:jc w:val="center"/>
            </w:pPr>
            <w:r>
              <w:t>0.95</w:t>
            </w:r>
          </w:p>
        </w:tc>
        <w:tc>
          <w:tcPr>
            <w:tcW w:w="0" w:type="auto"/>
          </w:tcPr>
          <w:p w14:paraId="3AD62191" w14:textId="77777777" w:rsidR="00275D3C" w:rsidRPr="00572194" w:rsidRDefault="00275D3C" w:rsidP="00275D3C">
            <w:pPr>
              <w:spacing w:before="0" w:after="0" w:line="240" w:lineRule="auto"/>
              <w:jc w:val="center"/>
            </w:pPr>
            <w:r>
              <w:t>0.92</w:t>
            </w:r>
          </w:p>
        </w:tc>
        <w:tc>
          <w:tcPr>
            <w:tcW w:w="0" w:type="auto"/>
          </w:tcPr>
          <w:p w14:paraId="43D28A3F" w14:textId="77777777" w:rsidR="00275D3C" w:rsidRPr="00572194" w:rsidRDefault="00275D3C" w:rsidP="00275D3C">
            <w:pPr>
              <w:spacing w:before="0" w:after="0" w:line="240" w:lineRule="auto"/>
            </w:pPr>
            <w:r>
              <w:t>0.27</w:t>
            </w:r>
          </w:p>
        </w:tc>
      </w:tr>
    </w:tbl>
    <w:p w14:paraId="286C23F0" w14:textId="77777777" w:rsidR="00CA0658" w:rsidRDefault="00CA0658" w:rsidP="00CA0658">
      <w:pPr>
        <w:spacing w:before="0"/>
      </w:pPr>
      <w:r w:rsidRPr="00F96BE0">
        <w:rPr>
          <w:i/>
          <w:iCs/>
        </w:rPr>
        <w:t>Note</w:t>
      </w:r>
      <w:r>
        <w:t xml:space="preserve">: </w:t>
      </w:r>
      <w:proofErr w:type="spellStart"/>
      <w:r>
        <w:t>mr</w:t>
      </w:r>
      <w:proofErr w:type="spellEnd"/>
      <w:r>
        <w:t xml:space="preserve"> = mean rank, Rt = Right, Lt = Left, </w:t>
      </w:r>
      <w:proofErr w:type="spellStart"/>
      <w:r>
        <w:t>Dn</w:t>
      </w:r>
      <w:proofErr w:type="spellEnd"/>
      <w:r>
        <w:t xml:space="preserve"> = Down. *Data are significant at </w:t>
      </w:r>
      <w:r w:rsidRPr="00CA0658">
        <w:rPr>
          <w:i/>
          <w:iCs/>
        </w:rPr>
        <w:t>p</w:t>
      </w:r>
      <w:r>
        <w:t>&lt;0.05.</w:t>
      </w:r>
    </w:p>
    <w:p w14:paraId="6C55FF8F" w14:textId="629ECBEB" w:rsidR="00BF47CE" w:rsidRPr="00DC4CA6" w:rsidRDefault="00BF47CE" w:rsidP="00DC4CA6">
      <w:pPr>
        <w:pStyle w:val="Heading3"/>
      </w:pPr>
      <w:bookmarkStart w:id="460" w:name="_Toc55662865"/>
      <w:bookmarkStart w:id="461" w:name="_Toc70004122"/>
      <w:bookmarkStart w:id="462" w:name="_Toc98964698"/>
      <w:bookmarkStart w:id="463" w:name="_Toc103344741"/>
      <w:bookmarkEnd w:id="456"/>
      <w:r w:rsidRPr="00DC4CA6">
        <w:t>Discussion</w:t>
      </w:r>
      <w:bookmarkEnd w:id="460"/>
      <w:bookmarkEnd w:id="461"/>
      <w:r w:rsidR="00F02C7C" w:rsidRPr="00DC4CA6">
        <w:t xml:space="preserve"> and conclusion</w:t>
      </w:r>
      <w:bookmarkEnd w:id="462"/>
      <w:bookmarkEnd w:id="463"/>
    </w:p>
    <w:p w14:paraId="5F56C663" w14:textId="44D7452D" w:rsidR="000C0EE2" w:rsidRPr="009D4627" w:rsidRDefault="00BF47CE" w:rsidP="00BF47CE">
      <w:pPr>
        <w:spacing w:after="0"/>
        <w:rPr>
          <w:color w:val="auto"/>
        </w:rPr>
      </w:pPr>
      <w:bookmarkStart w:id="464" w:name="_Toc55662866"/>
      <w:r w:rsidRPr="009D4627">
        <w:rPr>
          <w:color w:val="auto"/>
        </w:rPr>
        <w:t xml:space="preserve">This study aimed to discover the differences </w:t>
      </w:r>
      <w:r w:rsidR="002D7710">
        <w:rPr>
          <w:color w:val="auto"/>
        </w:rPr>
        <w:t xml:space="preserve">between </w:t>
      </w:r>
      <w:r w:rsidR="00ED630C">
        <w:rPr>
          <w:color w:val="auto"/>
        </w:rPr>
        <w:t xml:space="preserve">the </w:t>
      </w:r>
      <w:r w:rsidR="002D7710">
        <w:rPr>
          <w:color w:val="auto"/>
        </w:rPr>
        <w:t xml:space="preserve">two eyes when data </w:t>
      </w:r>
      <w:r w:rsidR="00ED630C">
        <w:rPr>
          <w:color w:val="auto"/>
        </w:rPr>
        <w:t xml:space="preserve">was </w:t>
      </w:r>
      <w:r w:rsidR="002D7710">
        <w:rPr>
          <w:color w:val="auto"/>
        </w:rPr>
        <w:t xml:space="preserve">recorded </w:t>
      </w:r>
      <w:r w:rsidRPr="009D4627">
        <w:rPr>
          <w:color w:val="auto"/>
        </w:rPr>
        <w:t>binocular</w:t>
      </w:r>
      <w:r w:rsidR="002D7710">
        <w:rPr>
          <w:color w:val="auto"/>
        </w:rPr>
        <w:t>ly and differences between monocular and binocular</w:t>
      </w:r>
      <w:r w:rsidRPr="009D4627">
        <w:rPr>
          <w:color w:val="auto"/>
        </w:rPr>
        <w:t xml:space="preserve"> </w:t>
      </w:r>
      <w:r w:rsidR="00ED630C">
        <w:rPr>
          <w:color w:val="auto"/>
        </w:rPr>
        <w:t>performance</w:t>
      </w:r>
      <w:r w:rsidR="00ED630C" w:rsidRPr="009D4627">
        <w:rPr>
          <w:color w:val="auto"/>
        </w:rPr>
        <w:t xml:space="preserve"> </w:t>
      </w:r>
      <w:r w:rsidRPr="009D4627">
        <w:rPr>
          <w:color w:val="auto"/>
        </w:rPr>
        <w:t xml:space="preserve">on fixation, </w:t>
      </w:r>
      <w:r w:rsidR="00A706AE" w:rsidRPr="009D4627">
        <w:rPr>
          <w:color w:val="auto"/>
        </w:rPr>
        <w:t>SP</w:t>
      </w:r>
      <w:r w:rsidRPr="009D4627">
        <w:rPr>
          <w:color w:val="auto"/>
        </w:rPr>
        <w:t xml:space="preserve">, and saccade eye movement performance. </w:t>
      </w:r>
      <w:bookmarkEnd w:id="464"/>
    </w:p>
    <w:p w14:paraId="598666E8" w14:textId="2C5089F0" w:rsidR="001A45F4" w:rsidRPr="009D4627" w:rsidRDefault="004000DD" w:rsidP="00D23DF7">
      <w:pPr>
        <w:spacing w:after="0"/>
        <w:rPr>
          <w:rFonts w:eastAsia="Times New Roman"/>
          <w:color w:val="auto"/>
          <w:lang w:eastAsia="en-MY"/>
        </w:rPr>
      </w:pPr>
      <w:r w:rsidRPr="009D4627">
        <w:rPr>
          <w:color w:val="auto"/>
        </w:rPr>
        <w:t>A study examined</w:t>
      </w:r>
      <w:r w:rsidR="00BF47CE" w:rsidRPr="009D4627">
        <w:rPr>
          <w:color w:val="auto"/>
        </w:rPr>
        <w:t xml:space="preserve"> the effect of eye movement </w:t>
      </w:r>
      <w:r w:rsidRPr="009D4627">
        <w:rPr>
          <w:color w:val="auto"/>
        </w:rPr>
        <w:t>performance</w:t>
      </w:r>
      <w:r w:rsidR="00BF47CE" w:rsidRPr="009D4627">
        <w:rPr>
          <w:color w:val="auto"/>
        </w:rPr>
        <w:t xml:space="preserve"> recorded using scleral search coil and video-based infrared eye recorder, which was done using the binocular recording for both </w:t>
      </w:r>
      <w:r w:rsidR="00BF47CE" w:rsidRPr="009D4627">
        <w:rPr>
          <w:color w:val="auto"/>
        </w:rPr>
        <w:lastRenderedPageBreak/>
        <w:t xml:space="preserve">types of recordings </w:t>
      </w:r>
      <w:r w:rsidR="00BF47CE" w:rsidRPr="009D4627">
        <w:rPr>
          <w:color w:val="auto"/>
        </w:rPr>
        <w:fldChar w:fldCharType="begin"/>
      </w:r>
      <w:r w:rsidR="00945A16" w:rsidRPr="009D4627">
        <w:rPr>
          <w:color w:val="auto"/>
        </w:rPr>
        <w:instrText xml:space="preserve"> ADDIN EN.CITE &lt;EndNote&gt;&lt;Cite&gt;&lt;Author&gt;Houben&lt;/Author&gt;&lt;Year&gt;2006&lt;/Year&gt;&lt;IDText&gt;Recording three-dimensional eye movements: Scleral search coils versus video oculography&lt;/IDText&gt;&lt;DisplayText&gt;(Houben et al., 2006)&lt;/DisplayText&gt;&lt;record&gt;&lt;dates&gt;&lt;pub-dates&gt;&lt;date&gt;Jan&lt;/date&gt;&lt;/pub-dates&gt;&lt;year&gt;2006&lt;/year&gt;&lt;/dates&gt;&lt;keywords&gt;&lt;keyword&gt;ocular torsion&lt;/keyword&gt;&lt;keyword&gt;listing law&lt;/keyword&gt;&lt;keyword&gt;saccades&lt;/keyword&gt;&lt;keyword&gt;mathematics&lt;/keyword&gt;&lt;keyword&gt;orientation&lt;/keyword&gt;&lt;keyword&gt;&lt;/keyword&gt;&lt;keyword&gt;stability&lt;/keyword&gt;&lt;keyword&gt;humans&lt;/keyword&gt;&lt;keyword&gt;blinks&lt;/keyword&gt;&lt;keyword&gt;Ophthalmology&lt;/keyword&gt;&lt;/keywords&gt;&lt;urls&gt;&lt;related-urls&gt;&lt;url&gt;&amp;lt;Go to ISI&amp;gt;://WOS:000234289700025&lt;/url&gt;&lt;/related-urls&gt;&lt;/urls&gt;&lt;isbn&gt;0146-0404&lt;/isbn&gt;&lt;work-type&gt;Article&lt;/work-type&gt;&lt;titles&gt;&lt;title&gt;Recording three-dimensional eye movements: Scleral search coils versus video oculography&lt;/title&gt;&lt;secondary-title&gt;Investigative Ophthalmology &amp;amp; Visual Science&lt;/secondary-title&gt;&lt;alt-title&gt;Invest. Ophthalmol. Vis. Sci.&lt;/alt-title&gt;&lt;/titles&gt;&lt;pages&gt;179-187&lt;/pages&gt;&lt;number&gt;1&lt;/number&gt;&lt;contributors&gt;&lt;authors&gt;&lt;author&gt;Houben, M. M. J.&lt;/author&gt;&lt;author&gt;Goumans, J.&lt;/author&gt;&lt;author&gt;van der Steen, J.&lt;/author&gt;&lt;/authors&gt;&lt;/contributors&gt;&lt;language&gt;English&lt;/language&gt;&lt;added-date format="utc"&gt;1490793823&lt;/added-date&gt;&lt;ref-type name="Journal Article"&gt;17&lt;/ref-type&gt;&lt;auth-address&gt;Erasmus Univ, Dept Neurosci, Med Ctr, NL-3000 DR Rotterdam, Netherlands. Erasmus Univ, Dept Otorhinolaryngol, Med Ctr, NL-3000 DR Rotterdam, Netherlands.&amp;#xD;van der Steen, J (reprint author), Erasmus Univ, Dept Neurosci, Med Ctr, Room Ee1259,POB 1738, NL-3000 DR Rotterdam, Netherlands.&amp;#xD;j.vandersteen@erasmusmc.nl&lt;/auth-address&gt;&lt;rec-number&gt;29&lt;/rec-number&gt;&lt;last-updated-date format="utc"&gt;1490793823&lt;/last-updated-date&gt;&lt;accession-num&gt;WOS:000234289700025&lt;/accession-num&gt;&lt;electronic-resource-num&gt;10.1167/iovs.05-0234&lt;/electronic-resource-num&gt;&lt;volume&gt;47&lt;/volume&gt;&lt;/record&gt;&lt;/Cite&gt;&lt;/EndNote&gt;</w:instrText>
      </w:r>
      <w:r w:rsidR="00BF47CE" w:rsidRPr="009D4627">
        <w:rPr>
          <w:color w:val="auto"/>
        </w:rPr>
        <w:fldChar w:fldCharType="separate"/>
      </w:r>
      <w:r w:rsidR="00945A16" w:rsidRPr="009D4627">
        <w:rPr>
          <w:noProof/>
          <w:color w:val="auto"/>
        </w:rPr>
        <w:t>(Houben et al., 2006)</w:t>
      </w:r>
      <w:r w:rsidR="00BF47CE" w:rsidRPr="009D4627">
        <w:rPr>
          <w:color w:val="auto"/>
        </w:rPr>
        <w:fldChar w:fldCharType="end"/>
      </w:r>
      <w:r w:rsidR="00BF47CE" w:rsidRPr="009D4627">
        <w:rPr>
          <w:color w:val="auto"/>
        </w:rPr>
        <w:t xml:space="preserve">. They analysed the </w:t>
      </w:r>
      <w:r w:rsidR="00D67222" w:rsidRPr="009D4627">
        <w:rPr>
          <w:color w:val="auto"/>
        </w:rPr>
        <w:t>RE</w:t>
      </w:r>
      <w:r w:rsidR="00BF47CE" w:rsidRPr="009D4627">
        <w:rPr>
          <w:color w:val="auto"/>
        </w:rPr>
        <w:t xml:space="preserve"> and </w:t>
      </w:r>
      <w:r w:rsidR="00D67222" w:rsidRPr="009D4627">
        <w:rPr>
          <w:color w:val="auto"/>
        </w:rPr>
        <w:t>LE</w:t>
      </w:r>
      <w:r w:rsidR="00BF47CE" w:rsidRPr="009D4627">
        <w:rPr>
          <w:color w:val="auto"/>
        </w:rPr>
        <w:t xml:space="preserve"> data separately, and they found out that there was no significant difference between both eyes.</w:t>
      </w:r>
      <w:r w:rsidR="00923662" w:rsidRPr="009D4627">
        <w:rPr>
          <w:color w:val="auto"/>
        </w:rPr>
        <w:t xml:space="preserve"> </w:t>
      </w:r>
      <w:r w:rsidR="00283543">
        <w:rPr>
          <w:color w:val="auto"/>
        </w:rPr>
        <w:t>However, when</w:t>
      </w:r>
      <w:r w:rsidR="00FB4981">
        <w:rPr>
          <w:color w:val="auto"/>
        </w:rPr>
        <w:t xml:space="preserve"> comparing</w:t>
      </w:r>
      <w:r w:rsidR="00283543">
        <w:rPr>
          <w:color w:val="auto"/>
        </w:rPr>
        <w:t xml:space="preserve"> the eye movements recorded under monocular </w:t>
      </w:r>
      <w:r w:rsidR="00FB4981">
        <w:rPr>
          <w:color w:val="auto"/>
        </w:rPr>
        <w:t>against binocular view</w:t>
      </w:r>
      <w:r w:rsidR="006E60BE">
        <w:rPr>
          <w:color w:val="auto"/>
        </w:rPr>
        <w:t>ing</w:t>
      </w:r>
      <w:r w:rsidR="00FB4981">
        <w:rPr>
          <w:color w:val="auto"/>
        </w:rPr>
        <w:t xml:space="preserve"> of normal BSV individuals, there </w:t>
      </w:r>
      <w:r w:rsidR="00ED630C">
        <w:rPr>
          <w:color w:val="auto"/>
        </w:rPr>
        <w:t>was</w:t>
      </w:r>
      <w:r w:rsidR="00FB4981">
        <w:rPr>
          <w:color w:val="auto"/>
        </w:rPr>
        <w:t xml:space="preserve"> </w:t>
      </w:r>
      <w:r w:rsidR="00D23DF7">
        <w:rPr>
          <w:color w:val="auto"/>
        </w:rPr>
        <w:t>discrepancies</w:t>
      </w:r>
      <w:r w:rsidR="00FB4981">
        <w:rPr>
          <w:color w:val="auto"/>
        </w:rPr>
        <w:t xml:space="preserve"> due to the effect of fixation disparity and vergence error that could </w:t>
      </w:r>
      <w:r w:rsidR="00ED630C">
        <w:rPr>
          <w:color w:val="auto"/>
        </w:rPr>
        <w:t xml:space="preserve">have </w:t>
      </w:r>
      <w:r w:rsidR="00FB4981">
        <w:rPr>
          <w:color w:val="auto"/>
        </w:rPr>
        <w:t xml:space="preserve">influenced the </w:t>
      </w:r>
      <w:r w:rsidR="00D23DF7">
        <w:rPr>
          <w:color w:val="auto"/>
        </w:rPr>
        <w:t xml:space="preserve">results </w:t>
      </w:r>
      <w:r w:rsidR="00D23DF7">
        <w:rPr>
          <w:color w:val="auto"/>
        </w:rPr>
        <w:fldChar w:fldCharType="begin"/>
      </w:r>
      <w:r w:rsidR="00D23DF7">
        <w:rPr>
          <w:color w:val="auto"/>
        </w:rPr>
        <w:instrText xml:space="preserve"> ADDIN EN.CITE &lt;EndNote&gt;&lt;Cite&gt;&lt;Author&gt;Švede&lt;/Author&gt;&lt;Year&gt;2015&lt;/Year&gt;&lt;IDText&gt;Monocular Versus Binocular Calibrations in Evaluating Fixation Disparity With a Video-Based Eye-Tracker&lt;/IDText&gt;&lt;DisplayText&gt;(Švede et al., 2015)&lt;/DisplayText&gt;&lt;record&gt;&lt;keywords&gt;&lt;keyword&gt;Adult&lt;/keyword&gt;&lt;keyword&gt;Calibration&lt;/keyword&gt;&lt;keyword&gt;Convergence, Ocular - physiology&lt;/keyword&gt;&lt;keyword&gt;Electrooculography - instrumentation&lt;/keyword&gt;&lt;keyword&gt;eye-tracker&lt;/keyword&gt;&lt;keyword&gt;Female&lt;/keyword&gt;&lt;keyword&gt;fixation disparity&lt;/keyword&gt;&lt;keyword&gt;Fixation, Ocular&lt;/keyword&gt;&lt;keyword&gt;heterophoria&lt;/keyword&gt;&lt;keyword&gt;Humans&lt;/keyword&gt;&lt;keyword&gt;Life Sciences &amp;amp; Biomedicine&lt;/keyword&gt;&lt;keyword&gt;Male&lt;/keyword&gt;&lt;keyword&gt;Ophthalmology&lt;/keyword&gt;&lt;keyword&gt;Psychology&lt;/keyword&gt;&lt;keyword&gt;Psychology, Experimental&lt;/keyword&gt;&lt;keyword&gt;Retina - physiopathology&lt;/keyword&gt;&lt;keyword&gt;Science &amp;amp; Technology&lt;/keyword&gt;&lt;keyword&gt;Social Sciences&lt;/keyword&gt;&lt;keyword&gt;Strabismus - physiopathology&lt;/keyword&gt;&lt;keyword&gt;Video Recording - instrumentation&lt;/keyword&gt;&lt;keyword&gt;Vision Disparity - physiology&lt;/keyword&gt;&lt;keyword&gt;Vision, Binocular - physiology&lt;/keyword&gt;&lt;keyword&gt;Vision, Monocular - physiology&lt;/keyword&gt;&lt;keyword&gt;Young Adult&lt;/keyword&gt;&lt;/keywords&gt;&lt;isbn&gt;0301-0066&lt;/isbn&gt;&lt;titles&gt;&lt;title&gt;Monocular Versus Binocular Calibrations in Evaluating Fixation Disparity With a Video-Based Eye-Tracker&lt;/title&gt;&lt;secondary-title&gt;Perception&lt;/secondary-title&gt;&lt;/titles&gt;&lt;pages&gt;1110-1128&lt;/pages&gt;&lt;number&gt;8-9&lt;/number&gt;&lt;contributors&gt;&lt;authors&gt;&lt;author&gt;Švede, Aiga&lt;/author&gt;&lt;author&gt;Treija, Elīna&lt;/author&gt;&lt;author&gt;Jaschinski, Wolfgang&lt;/author&gt;&lt;author&gt;Krūmiņa, Gunta&lt;/author&gt;&lt;/authors&gt;&lt;/contributors&gt;&lt;added-date format="utc"&gt;1647935931&lt;/added-date&gt;&lt;pub-location&gt;London, England&lt;/pub-location&gt;&lt;ref-type name="Journal Article"&gt;17&lt;/ref-type&gt;&lt;dates&gt;&lt;year&gt;2015&lt;/year&gt;&lt;/dates&gt;&lt;rec-number&gt;836&lt;/rec-number&gt;&lt;publisher&gt;London, England: SAGE Publications&lt;/publisher&gt;&lt;last-updated-date format="utc"&gt;1647935931&lt;/last-updated-date&gt;&lt;electronic-resource-num&gt;10.1177/0301006615596886&lt;/electronic-resource-num&gt;&lt;volume&gt;44&lt;/volume&gt;&lt;/record&gt;&lt;/Cite&gt;&lt;/EndNote&gt;</w:instrText>
      </w:r>
      <w:r w:rsidR="00D23DF7">
        <w:rPr>
          <w:color w:val="auto"/>
        </w:rPr>
        <w:fldChar w:fldCharType="separate"/>
      </w:r>
      <w:r w:rsidR="00D23DF7">
        <w:rPr>
          <w:noProof/>
          <w:color w:val="auto"/>
        </w:rPr>
        <w:t>(Švede et al., 2015)</w:t>
      </w:r>
      <w:r w:rsidR="00D23DF7">
        <w:rPr>
          <w:color w:val="auto"/>
        </w:rPr>
        <w:fldChar w:fldCharType="end"/>
      </w:r>
      <w:r w:rsidR="00D23DF7">
        <w:rPr>
          <w:color w:val="auto"/>
        </w:rPr>
        <w:t>.</w:t>
      </w:r>
      <w:r w:rsidR="00FB4981">
        <w:rPr>
          <w:color w:val="auto"/>
        </w:rPr>
        <w:t xml:space="preserve"> </w:t>
      </w:r>
      <w:r w:rsidR="00283543" w:rsidRPr="00283543">
        <w:rPr>
          <w:color w:val="auto"/>
        </w:rPr>
        <w:t>In conclusion, the findings demonstrate that the eye movements of RE and LE of normal people behave similarly under binocular recording</w:t>
      </w:r>
      <w:r w:rsidR="009B311B">
        <w:rPr>
          <w:color w:val="auto"/>
        </w:rPr>
        <w:t xml:space="preserve"> contrary to when</w:t>
      </w:r>
      <w:r w:rsidR="00283543" w:rsidRPr="00283543">
        <w:rPr>
          <w:color w:val="auto"/>
        </w:rPr>
        <w:t xml:space="preserve"> binocular EMRs are used against monocular EMRs</w:t>
      </w:r>
      <w:r w:rsidR="00234DEA" w:rsidRPr="00234DEA">
        <w:rPr>
          <w:color w:val="auto"/>
        </w:rPr>
        <w:t xml:space="preserve"> </w:t>
      </w:r>
      <w:r w:rsidR="00234DEA" w:rsidRPr="00283543">
        <w:rPr>
          <w:color w:val="auto"/>
        </w:rPr>
        <w:t xml:space="preserve">for </w:t>
      </w:r>
      <w:r w:rsidR="00234DEA">
        <w:rPr>
          <w:color w:val="auto"/>
        </w:rPr>
        <w:t>some</w:t>
      </w:r>
      <w:r w:rsidR="00234DEA" w:rsidRPr="00283543">
        <w:rPr>
          <w:color w:val="auto"/>
        </w:rPr>
        <w:t xml:space="preserve"> parameters</w:t>
      </w:r>
      <w:r w:rsidRPr="009D4627">
        <w:rPr>
          <w:color w:val="auto"/>
        </w:rPr>
        <w:t>.</w:t>
      </w:r>
      <w:r w:rsidR="004246CB" w:rsidRPr="004246CB">
        <w:t xml:space="preserve"> </w:t>
      </w:r>
      <w:r w:rsidR="001C61B0">
        <w:rPr>
          <w:color w:val="auto"/>
        </w:rPr>
        <w:t>B</w:t>
      </w:r>
      <w:r w:rsidR="004246CB" w:rsidRPr="004246CB">
        <w:rPr>
          <w:color w:val="auto"/>
        </w:rPr>
        <w:t xml:space="preserve">inocularity was not an issue in this investigation, as BSV was not </w:t>
      </w:r>
      <w:r w:rsidR="001C61B0">
        <w:rPr>
          <w:color w:val="auto"/>
        </w:rPr>
        <w:t xml:space="preserve">present in free space </w:t>
      </w:r>
      <w:r w:rsidR="004246CB" w:rsidRPr="004246CB">
        <w:rPr>
          <w:color w:val="auto"/>
        </w:rPr>
        <w:t>in patients with ocular nerve palsy. Thus, comparing the RE (</w:t>
      </w:r>
      <w:r w:rsidR="0082581A">
        <w:rPr>
          <w:color w:val="auto"/>
        </w:rPr>
        <w:t xml:space="preserve">Chapter 3 - </w:t>
      </w:r>
      <w:r w:rsidR="004246CB" w:rsidRPr="004246CB">
        <w:rPr>
          <w:color w:val="auto"/>
        </w:rPr>
        <w:t>experiment 1) results obtained through binocular recording to the patients' monocular RE and LE EMR findings</w:t>
      </w:r>
      <w:r w:rsidR="0082581A">
        <w:rPr>
          <w:color w:val="auto"/>
        </w:rPr>
        <w:t xml:space="preserve"> (Chapter 5 - experiment 4)</w:t>
      </w:r>
      <w:r w:rsidR="004246CB" w:rsidRPr="004246CB">
        <w:rPr>
          <w:color w:val="auto"/>
        </w:rPr>
        <w:t xml:space="preserve"> </w:t>
      </w:r>
      <w:r w:rsidR="001C61B0">
        <w:rPr>
          <w:color w:val="auto"/>
        </w:rPr>
        <w:t xml:space="preserve">is </w:t>
      </w:r>
      <w:r w:rsidR="00633171">
        <w:rPr>
          <w:color w:val="auto"/>
        </w:rPr>
        <w:t>sufficient</w:t>
      </w:r>
      <w:r w:rsidR="001C61B0">
        <w:rPr>
          <w:color w:val="auto"/>
        </w:rPr>
        <w:t>.</w:t>
      </w:r>
    </w:p>
    <w:p w14:paraId="6941D5A6" w14:textId="77777777" w:rsidR="00613DA1" w:rsidRPr="009D4627" w:rsidRDefault="00613DA1" w:rsidP="002A7EB3">
      <w:pPr>
        <w:pStyle w:val="Heading1"/>
        <w:sectPr w:rsidR="00613DA1" w:rsidRPr="009D4627" w:rsidSect="00E549CF">
          <w:headerReference w:type="default" r:id="rId177"/>
          <w:footerReference w:type="default" r:id="rId178"/>
          <w:pgSz w:w="11906" w:h="16838" w:code="9"/>
          <w:pgMar w:top="1440" w:right="1440" w:bottom="1440" w:left="1440" w:header="708" w:footer="708" w:gutter="0"/>
          <w:cols w:space="708"/>
          <w:docGrid w:linePitch="360"/>
        </w:sectPr>
      </w:pPr>
      <w:bookmarkStart w:id="465" w:name="_Toc69994802"/>
    </w:p>
    <w:p w14:paraId="1D863204" w14:textId="42A1752D" w:rsidR="004238D5" w:rsidRPr="009D4627" w:rsidRDefault="004238D5" w:rsidP="002A7EB3">
      <w:pPr>
        <w:pStyle w:val="Heading1"/>
      </w:pPr>
      <w:bookmarkStart w:id="466" w:name="_Toc98964699"/>
      <w:bookmarkStart w:id="467" w:name="_Toc103344742"/>
      <w:r w:rsidRPr="009D4627">
        <w:lastRenderedPageBreak/>
        <w:t>Eye movement</w:t>
      </w:r>
      <w:r w:rsidR="004E1C10" w:rsidRPr="009D4627">
        <w:t>s</w:t>
      </w:r>
      <w:r w:rsidRPr="009D4627">
        <w:t xml:space="preserve"> in recent</w:t>
      </w:r>
      <w:r w:rsidR="002E63E9" w:rsidRPr="009D4627">
        <w:t>-</w:t>
      </w:r>
      <w:r w:rsidRPr="009D4627">
        <w:t xml:space="preserve">onset </w:t>
      </w:r>
      <w:r w:rsidR="00504C89">
        <w:t>ONP</w:t>
      </w:r>
      <w:r w:rsidRPr="009D4627">
        <w:t>.</w:t>
      </w:r>
      <w:bookmarkEnd w:id="465"/>
      <w:bookmarkEnd w:id="466"/>
      <w:bookmarkEnd w:id="467"/>
    </w:p>
    <w:p w14:paraId="58B07CA2" w14:textId="0F30E834" w:rsidR="004E1C10" w:rsidRPr="009D4627" w:rsidRDefault="004E1C10" w:rsidP="00D04E3B">
      <w:pPr>
        <w:pStyle w:val="Heading2"/>
      </w:pPr>
      <w:bookmarkStart w:id="468" w:name="_Toc98964700"/>
      <w:bookmarkStart w:id="469" w:name="_Toc103344743"/>
      <w:r w:rsidRPr="009D4627">
        <w:t xml:space="preserve">Experiment 4:  </w:t>
      </w:r>
      <w:r w:rsidR="009908E9" w:rsidRPr="009D4627">
        <w:t xml:space="preserve">Monitoring eye movements of </w:t>
      </w:r>
      <w:r w:rsidR="00110BE0" w:rsidRPr="009D4627">
        <w:t xml:space="preserve">recent onset </w:t>
      </w:r>
      <w:r w:rsidR="00940AE5" w:rsidRPr="009D4627">
        <w:t>ONP</w:t>
      </w:r>
      <w:r w:rsidR="009908E9" w:rsidRPr="009D4627">
        <w:t xml:space="preserve"> patients using </w:t>
      </w:r>
      <w:r w:rsidR="00110BE0" w:rsidRPr="009D4627">
        <w:t>a high-resolution</w:t>
      </w:r>
      <w:r w:rsidR="009908E9" w:rsidRPr="009D4627">
        <w:t xml:space="preserve"> eye movement recorder.</w:t>
      </w:r>
      <w:bookmarkEnd w:id="468"/>
      <w:bookmarkEnd w:id="469"/>
    </w:p>
    <w:p w14:paraId="7AC1D588" w14:textId="052AD087" w:rsidR="004238D5" w:rsidRPr="009D4627" w:rsidRDefault="004238D5" w:rsidP="00DC4CA6">
      <w:pPr>
        <w:pStyle w:val="Heading3"/>
      </w:pPr>
      <w:bookmarkStart w:id="470" w:name="_Toc98964701"/>
      <w:bookmarkStart w:id="471" w:name="_Toc103344744"/>
      <w:r w:rsidRPr="009D4627">
        <w:t>Introduction</w:t>
      </w:r>
      <w:bookmarkEnd w:id="470"/>
      <w:bookmarkEnd w:id="471"/>
    </w:p>
    <w:p w14:paraId="63453429" w14:textId="5F02D545" w:rsidR="00E85496" w:rsidRDefault="004238D5" w:rsidP="00E85496">
      <w:pPr>
        <w:rPr>
          <w:rFonts w:eastAsia="Times New Roman"/>
          <w:color w:val="auto"/>
          <w:lang w:eastAsia="en-MY"/>
        </w:rPr>
      </w:pPr>
      <w:r w:rsidRPr="009D4627">
        <w:rPr>
          <w:rFonts w:eastAsia="Times New Roman"/>
          <w:color w:val="auto"/>
          <w:lang w:eastAsia="en-MY"/>
        </w:rPr>
        <w:t>Recent onset ocular nerve palsies typically present with sudden onset diplopia</w:t>
      </w:r>
      <w:r w:rsidR="00D62672">
        <w:rPr>
          <w:rFonts w:eastAsia="Times New Roman"/>
          <w:color w:val="auto"/>
          <w:lang w:eastAsia="en-MY"/>
        </w:rPr>
        <w:t>. D</w:t>
      </w:r>
      <w:r w:rsidRPr="009D4627">
        <w:rPr>
          <w:rFonts w:eastAsia="Times New Roman"/>
          <w:color w:val="auto"/>
          <w:lang w:eastAsia="en-MY"/>
        </w:rPr>
        <w:t>efective eye movement</w:t>
      </w:r>
      <w:r w:rsidR="00297184" w:rsidRPr="009D4627">
        <w:rPr>
          <w:rFonts w:eastAsia="Times New Roman"/>
          <w:color w:val="auto"/>
          <w:lang w:eastAsia="en-MY"/>
        </w:rPr>
        <w:t>s can be seen on examination</w:t>
      </w:r>
      <w:r w:rsidRPr="009D4627">
        <w:rPr>
          <w:rFonts w:eastAsia="Times New Roman"/>
          <w:color w:val="auto"/>
          <w:lang w:eastAsia="en-MY"/>
        </w:rPr>
        <w:t xml:space="preserve">. </w:t>
      </w:r>
      <w:r w:rsidR="00110BE0" w:rsidRPr="009D4627">
        <w:rPr>
          <w:rFonts w:eastAsia="Times New Roman"/>
          <w:color w:val="auto"/>
          <w:lang w:eastAsia="en-MY"/>
        </w:rPr>
        <w:t>However, most</w:t>
      </w:r>
      <w:r w:rsidRPr="009D4627">
        <w:rPr>
          <w:rFonts w:eastAsia="Times New Roman"/>
          <w:color w:val="auto"/>
          <w:lang w:eastAsia="en-MY"/>
        </w:rPr>
        <w:t xml:space="preserve"> of these patients recover</w:t>
      </w:r>
      <w:r w:rsidR="00297184" w:rsidRPr="009D4627">
        <w:rPr>
          <w:rFonts w:eastAsia="Times New Roman"/>
          <w:color w:val="auto"/>
          <w:lang w:eastAsia="en-MY"/>
        </w:rPr>
        <w:t xml:space="preserve"> fully</w:t>
      </w:r>
      <w:r w:rsidRPr="009D4627">
        <w:rPr>
          <w:rFonts w:eastAsia="Times New Roman"/>
          <w:color w:val="auto"/>
          <w:lang w:eastAsia="en-MY"/>
        </w:rPr>
        <w:t xml:space="preserve"> within </w:t>
      </w:r>
      <w:r w:rsidR="00D62672">
        <w:rPr>
          <w:rFonts w:eastAsia="Times New Roman"/>
          <w:color w:val="auto"/>
          <w:lang w:eastAsia="en-MY"/>
        </w:rPr>
        <w:t>2</w:t>
      </w:r>
      <w:r w:rsidRPr="009D4627">
        <w:rPr>
          <w:rFonts w:eastAsia="Times New Roman"/>
          <w:color w:val="auto"/>
          <w:lang w:eastAsia="en-MY"/>
        </w:rPr>
        <w:t xml:space="preserve"> to </w:t>
      </w:r>
      <w:r w:rsidR="00D62672">
        <w:rPr>
          <w:rFonts w:eastAsia="Times New Roman"/>
          <w:color w:val="auto"/>
          <w:lang w:eastAsia="en-MY"/>
        </w:rPr>
        <w:t>6</w:t>
      </w:r>
      <w:r w:rsidRPr="009D4627">
        <w:rPr>
          <w:rFonts w:eastAsia="Times New Roman"/>
          <w:color w:val="auto"/>
          <w:lang w:eastAsia="en-MY"/>
        </w:rPr>
        <w:t xml:space="preserve"> months </w:t>
      </w:r>
      <w:r w:rsidRPr="009D4627">
        <w:rPr>
          <w:rFonts w:eastAsia="Times New Roman"/>
          <w:color w:val="auto"/>
          <w:lang w:eastAsia="en-MY"/>
        </w:rPr>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dWxvbW90b3I8L2tleXdvcmQ+PGtleXdvcmQ+PC9rZXl3b3JkPjxrZXl3b3JkPnRyb2NobGVhcjwv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</w:fldData>
        </w:fldChar>
      </w:r>
      <w:r w:rsidR="00C40138" w:rsidRPr="009D4627">
        <w:rPr>
          <w:rFonts w:eastAsia="Times New Roman"/>
          <w:color w:val="auto"/>
          <w:lang w:eastAsia="en-MY"/>
        </w:rPr>
        <w:instrText xml:space="preserve"> ADDIN EN.CITE </w:instrText>
      </w:r>
      <w:r w:rsidR="00C40138" w:rsidRPr="009D4627">
        <w:rPr>
          <w:rFonts w:eastAsia="Times New Roman"/>
          <w:color w:val="auto"/>
          <w:lang w:eastAsia="en-MY"/>
        </w:rPr>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dWxvbW90b3I8L2tleXdvcmQ+PGtleXdvcmQ+PC9rZXl3b3JkPjxrZXl3b3JkPnRyb2NobGVhcjwv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</w:fldData>
        </w:fldChar>
      </w:r>
      <w:r w:rsidR="00C40138" w:rsidRPr="009D4627">
        <w:rPr>
          <w:rFonts w:eastAsia="Times New Roman"/>
          <w:color w:val="auto"/>
          <w:lang w:eastAsia="en-MY"/>
        </w:rPr>
        <w:instrText xml:space="preserve"> ADDIN EN.CITE.DATA </w:instrText>
      </w:r>
      <w:r w:rsidR="00C40138" w:rsidRPr="009D4627">
        <w:rPr>
          <w:rFonts w:eastAsia="Times New Roman"/>
          <w:color w:val="auto"/>
          <w:lang w:eastAsia="en-MY"/>
        </w:rPr>
      </w:r>
      <w:r w:rsidR="00C40138" w:rsidRPr="009D4627">
        <w:rPr>
          <w:rFonts w:eastAsia="Times New Roman"/>
          <w:color w:val="auto"/>
          <w:lang w:eastAsia="en-MY"/>
        </w:rPr>
        <w:fldChar w:fldCharType="end"/>
      </w:r>
      <w:r w:rsidRPr="009D4627">
        <w:rPr>
          <w:rFonts w:eastAsia="Times New Roman"/>
          <w:color w:val="auto"/>
          <w:lang w:eastAsia="en-MY"/>
        </w:rPr>
      </w:r>
      <w:r w:rsidRPr="009D4627">
        <w:rPr>
          <w:rFonts w:eastAsia="Times New Roman"/>
          <w:color w:val="auto"/>
          <w:lang w:eastAsia="en-MY"/>
        </w:rPr>
        <w:fldChar w:fldCharType="separate"/>
      </w:r>
      <w:r w:rsidR="00C40138" w:rsidRPr="009D4627">
        <w:rPr>
          <w:rFonts w:eastAsia="Times New Roman"/>
          <w:noProof/>
          <w:color w:val="auto"/>
          <w:lang w:eastAsia="en-MY"/>
        </w:rPr>
        <w:t>(Park et al., 2008)</w:t>
      </w:r>
      <w:r w:rsidRPr="009D4627">
        <w:rPr>
          <w:rFonts w:eastAsia="Times New Roman"/>
          <w:color w:val="auto"/>
          <w:lang w:eastAsia="en-MY"/>
        </w:rPr>
        <w:fldChar w:fldCharType="end"/>
      </w:r>
      <w:r w:rsidRPr="009D4627">
        <w:rPr>
          <w:rFonts w:eastAsia="Times New Roman"/>
          <w:color w:val="auto"/>
          <w:lang w:eastAsia="en-MY"/>
        </w:rPr>
        <w:t xml:space="preserve">. Recovery is most likely when the </w:t>
      </w:r>
      <w:r w:rsidR="00940AE5" w:rsidRPr="009D4627">
        <w:rPr>
          <w:rFonts w:eastAsia="Times New Roman"/>
          <w:color w:val="auto"/>
          <w:lang w:eastAsia="en-MY"/>
        </w:rPr>
        <w:t>ONP</w:t>
      </w:r>
      <w:r w:rsidRPr="009D4627">
        <w:rPr>
          <w:rFonts w:eastAsia="Times New Roman"/>
          <w:color w:val="auto"/>
          <w:lang w:eastAsia="en-MY"/>
        </w:rPr>
        <w:t xml:space="preserve"> is caused by </w:t>
      </w:r>
      <w:r w:rsidR="00297184" w:rsidRPr="009D4627">
        <w:rPr>
          <w:rFonts w:eastAsia="Times New Roman"/>
          <w:color w:val="auto"/>
          <w:lang w:eastAsia="en-MY"/>
        </w:rPr>
        <w:t>micro</w:t>
      </w:r>
      <w:r w:rsidRPr="009D4627">
        <w:rPr>
          <w:rFonts w:eastAsia="Times New Roman"/>
          <w:color w:val="auto"/>
          <w:lang w:eastAsia="en-MY"/>
        </w:rPr>
        <w:t xml:space="preserve">vascular disease, for example, in </w:t>
      </w:r>
      <w:r w:rsidR="00297184" w:rsidRPr="009D4627">
        <w:rPr>
          <w:rFonts w:eastAsia="Times New Roman"/>
          <w:color w:val="auto"/>
          <w:lang w:eastAsia="en-MY"/>
        </w:rPr>
        <w:t xml:space="preserve">older </w:t>
      </w:r>
      <w:r w:rsidRPr="009D4627">
        <w:rPr>
          <w:rFonts w:eastAsia="Times New Roman"/>
          <w:color w:val="auto"/>
          <w:lang w:eastAsia="en-MY"/>
        </w:rPr>
        <w:t>patients</w:t>
      </w:r>
      <w:r w:rsidR="00297184" w:rsidRPr="009D4627">
        <w:rPr>
          <w:rFonts w:eastAsia="Times New Roman"/>
          <w:color w:val="auto"/>
          <w:lang w:eastAsia="en-MY"/>
        </w:rPr>
        <w:t xml:space="preserve"> and those</w:t>
      </w:r>
      <w:r w:rsidRPr="009D4627">
        <w:rPr>
          <w:rFonts w:eastAsia="Times New Roman"/>
          <w:color w:val="auto"/>
          <w:lang w:eastAsia="en-MY"/>
        </w:rPr>
        <w:t xml:space="preserve"> with </w:t>
      </w:r>
      <w:r w:rsidR="00297184" w:rsidRPr="009D4627">
        <w:rPr>
          <w:rFonts w:eastAsia="Times New Roman"/>
          <w:color w:val="auto"/>
          <w:lang w:eastAsia="en-MY"/>
        </w:rPr>
        <w:t xml:space="preserve">DM </w:t>
      </w:r>
      <w:r w:rsidRPr="009D4627">
        <w:rPr>
          <w:rFonts w:eastAsia="Times New Roman"/>
          <w:color w:val="auto"/>
          <w:lang w:eastAsia="en-MY"/>
        </w:rPr>
        <w:t xml:space="preserve">or </w:t>
      </w:r>
      <w:r w:rsidR="00297184" w:rsidRPr="009D4627">
        <w:rPr>
          <w:rFonts w:eastAsia="Times New Roman"/>
          <w:color w:val="auto"/>
          <w:lang w:eastAsia="en-MY"/>
        </w:rPr>
        <w:t>HPT</w:t>
      </w:r>
      <w:r w:rsidR="002E63E9" w:rsidRPr="009D4627">
        <w:rPr>
          <w:rFonts w:eastAsia="Times New Roman"/>
          <w:color w:val="auto"/>
          <w:lang w:eastAsia="en-MY"/>
        </w:rPr>
        <w:t>,</w:t>
      </w:r>
      <w:r w:rsidRPr="009D4627">
        <w:rPr>
          <w:rFonts w:eastAsia="Times New Roman"/>
          <w:color w:val="auto"/>
          <w:lang w:eastAsia="en-MY"/>
        </w:rPr>
        <w:t xml:space="preserve"> but less likely to occur if palsy </w:t>
      </w:r>
      <w:r w:rsidR="002E63E9" w:rsidRPr="009D4627">
        <w:rPr>
          <w:rFonts w:eastAsia="Times New Roman"/>
          <w:color w:val="auto"/>
          <w:lang w:eastAsia="en-MY"/>
        </w:rPr>
        <w:t xml:space="preserve">is </w:t>
      </w:r>
      <w:r w:rsidRPr="009D4627">
        <w:rPr>
          <w:rFonts w:eastAsia="Times New Roman"/>
          <w:color w:val="auto"/>
          <w:lang w:eastAsia="en-MY"/>
        </w:rPr>
        <w:t xml:space="preserve">caused by </w:t>
      </w:r>
      <w:r w:rsidR="00297184" w:rsidRPr="009D4627">
        <w:rPr>
          <w:rFonts w:eastAsia="Times New Roman"/>
          <w:color w:val="auto"/>
          <w:lang w:eastAsia="en-MY"/>
        </w:rPr>
        <w:t>trauma or compression by</w:t>
      </w:r>
      <w:r w:rsidR="00D62672">
        <w:rPr>
          <w:rFonts w:eastAsia="Times New Roman"/>
          <w:color w:val="auto"/>
          <w:lang w:eastAsia="en-MY"/>
        </w:rPr>
        <w:t xml:space="preserve"> an</w:t>
      </w:r>
      <w:r w:rsidR="00297184" w:rsidRPr="009D4627">
        <w:rPr>
          <w:rFonts w:eastAsia="Times New Roman"/>
          <w:color w:val="auto"/>
          <w:lang w:eastAsia="en-MY"/>
        </w:rPr>
        <w:t xml:space="preserve"> </w:t>
      </w:r>
      <w:r w:rsidRPr="009D4627">
        <w:rPr>
          <w:rFonts w:eastAsia="Times New Roman"/>
          <w:color w:val="auto"/>
          <w:lang w:eastAsia="en-MY"/>
        </w:rPr>
        <w:t>aneurysm</w:t>
      </w:r>
      <w:r w:rsidR="002E63E9" w:rsidRPr="009D4627">
        <w:rPr>
          <w:rFonts w:eastAsia="Times New Roman"/>
          <w:color w:val="auto"/>
          <w:lang w:eastAsia="en-MY"/>
        </w:rPr>
        <w:t xml:space="preserve"> </w:t>
      </w:r>
      <w:r w:rsidR="00297184" w:rsidRPr="009D4627">
        <w:rPr>
          <w:rFonts w:eastAsia="Times New Roman"/>
          <w:color w:val="auto"/>
          <w:lang w:eastAsia="en-MY"/>
        </w:rPr>
        <w:t>or</w:t>
      </w:r>
      <w:r w:rsidR="00D62672">
        <w:rPr>
          <w:rFonts w:eastAsia="Times New Roman"/>
          <w:color w:val="auto"/>
          <w:lang w:eastAsia="en-MY"/>
        </w:rPr>
        <w:t xml:space="preserve"> a</w:t>
      </w:r>
      <w:r w:rsidR="00297184" w:rsidRPr="009D4627">
        <w:rPr>
          <w:rFonts w:eastAsia="Times New Roman"/>
          <w:color w:val="auto"/>
          <w:lang w:eastAsia="en-MY"/>
        </w:rPr>
        <w:t xml:space="preserve"> tumour</w:t>
      </w:r>
      <w:r w:rsidRPr="009D4627">
        <w:rPr>
          <w:rFonts w:eastAsia="Times New Roman"/>
          <w:color w:val="auto"/>
          <w:lang w:eastAsia="en-MY"/>
        </w:rPr>
        <w:t xml:space="preserve"> </w:t>
      </w:r>
      <w:r w:rsidRPr="009D4627">
        <w:rPr>
          <w:rFonts w:eastAsia="Times New Roman"/>
          <w:color w:val="auto"/>
          <w:lang w:eastAsia="en-MY"/>
        </w:rPr>
        <w:fldChar w:fldCharType="begin"/>
      </w:r>
      <w:r w:rsidR="00376CCD" w:rsidRPr="009D4627">
        <w:rPr>
          <w:rFonts w:eastAsia="Times New Roman"/>
          <w:color w:val="auto"/>
          <w:lang w:eastAsia="en-MY"/>
        </w:rPr>
        <w:instrText xml:space="preserve"> ADDIN EN.CITE &lt;EndNote&gt;&lt;Cite&gt;&lt;Author&gt;Rush&lt;/Author&gt;&lt;Year&gt;1981&lt;/Year&gt;&lt;IDText&gt;Paralysis of cranial nerves III, IV, and VI. Cause and prognosis in 1,000 cases&lt;/IDText&gt;&lt;DisplayText&gt;(Rush &amp;amp; Younge, 1981)&lt;/DisplayText&gt;&lt;record&gt;&lt;keywords&gt;&lt;keyword&gt;Abducens Nerve&lt;/keyword&gt;&lt;keyword&gt;Oculomotor Nerve&lt;/keyword&gt;&lt;keyword&gt;Trochlear Nerve&lt;/keyword&gt;&lt;keyword&gt;Facial Paralysis -- Etiology&lt;/keyword&gt;&lt;keyword&gt;Ophthalmoplegia -- Etiology&lt;/keyword&gt;&lt;/keywords&gt;&lt;isbn&gt;0003-9950&lt;/isbn&gt;&lt;titles&gt;&lt;title&gt;Paralysis of cranial nerves III, IV, and VI. Cause and prognosis in 1,000 cases&lt;/title&gt;&lt;secondary-title&gt;Archives of ophthalmology (Chicago, Ill. : 1960)&lt;/secondary-title&gt;&lt;/titles&gt;&lt;pages&gt;76&lt;/pages&gt;&lt;number&gt;1&lt;/number&gt;&lt;contributors&gt;&lt;authors&gt;&lt;author&gt;Rush, J. A.&lt;/author&gt;&lt;author&gt;Younge, B. R.&lt;/author&gt;&lt;/authors&gt;&lt;/contributors&gt;&lt;added-date format="utc"&gt;1495223194&lt;/added-date&gt;&lt;ref-type name="Journal Article"&gt;17&lt;/ref-type&gt;&lt;dates&gt;&lt;year&gt;1981&lt;/year&gt;&lt;/dates&gt;&lt;rec-number&gt;88&lt;/rec-number&gt;&lt;last-updated-date format="utc"&gt;1495223194&lt;/last-updated-date&gt;&lt;electronic-resource-num&gt;10.1001/archopht.1981.03930010078006&lt;/electronic-resource-num&gt;&lt;volume&gt;99&lt;/volume&gt;&lt;/record&gt;&lt;/Cite&gt;&lt;/EndNote&gt;</w:instrText>
      </w:r>
      <w:r w:rsidRPr="009D4627">
        <w:rPr>
          <w:rFonts w:eastAsia="Times New Roman"/>
          <w:color w:val="auto"/>
          <w:lang w:eastAsia="en-MY"/>
        </w:rPr>
        <w:fldChar w:fldCharType="separate"/>
      </w:r>
      <w:r w:rsidR="00376CCD" w:rsidRPr="009D4627">
        <w:rPr>
          <w:rFonts w:eastAsia="Times New Roman"/>
          <w:noProof/>
          <w:color w:val="auto"/>
          <w:lang w:eastAsia="en-MY"/>
        </w:rPr>
        <w:t>(Rush &amp; Younge, 1981)</w:t>
      </w:r>
      <w:r w:rsidRPr="009D4627">
        <w:rPr>
          <w:rFonts w:eastAsia="Times New Roman"/>
          <w:color w:val="auto"/>
          <w:lang w:eastAsia="en-MY"/>
        </w:rPr>
        <w:fldChar w:fldCharType="end"/>
      </w:r>
      <w:r w:rsidRPr="009D4627">
        <w:rPr>
          <w:rFonts w:eastAsia="Times New Roman"/>
          <w:color w:val="auto"/>
          <w:lang w:eastAsia="en-MY"/>
        </w:rPr>
        <w:t>. Monitoring recovery is crucial because</w:t>
      </w:r>
      <w:r w:rsidR="00297184" w:rsidRPr="009D4627">
        <w:rPr>
          <w:rFonts w:eastAsia="Times New Roman"/>
          <w:color w:val="auto"/>
          <w:lang w:eastAsia="en-MY"/>
        </w:rPr>
        <w:t xml:space="preserve"> presumed microvascular </w:t>
      </w:r>
      <w:r w:rsidRPr="009D4627">
        <w:rPr>
          <w:rFonts w:eastAsia="Times New Roman"/>
          <w:color w:val="auto"/>
          <w:lang w:eastAsia="en-MY"/>
        </w:rPr>
        <w:t>ocular nerve palsies that do not show signs of recovery require further investigations</w:t>
      </w:r>
      <w:r w:rsidR="00297184" w:rsidRPr="009D4627">
        <w:rPr>
          <w:rFonts w:eastAsia="Times New Roman"/>
          <w:color w:val="auto"/>
          <w:lang w:eastAsia="en-MY"/>
        </w:rPr>
        <w:t xml:space="preserve"> to rule out a compressive cause</w:t>
      </w:r>
      <w:r w:rsidR="00E85496">
        <w:rPr>
          <w:rFonts w:eastAsia="Times New Roman"/>
          <w:color w:val="auto"/>
          <w:lang w:eastAsia="en-MY"/>
        </w:rPr>
        <w:t xml:space="preserve"> </w:t>
      </w:r>
      <w:r w:rsidR="00E85496">
        <w:rPr>
          <w:rFonts w:eastAsia="Times New Roman"/>
          <w:color w:val="auto"/>
          <w:lang w:eastAsia="en-MY"/>
        </w:rPr>
        <w:fldChar w:fldCharType="begin"/>
      </w:r>
      <w:r w:rsidR="00E85496">
        <w:rPr>
          <w:rFonts w:eastAsia="Times New Roman"/>
          <w:color w:val="auto"/>
          <w:lang w:eastAsia="en-MY"/>
        </w:rPr>
        <w:instrText xml:space="preserve"> ADDIN EN.CITE &lt;EndNote&gt;&lt;Cite&gt;&lt;Author&gt;Richards&lt;/Author&gt;&lt;Year&gt;1992&lt;/Year&gt;&lt;IDText&gt;Causes and prognosis in 4,278 cases of paralysis of the oculomotor, trochlear, and abducens cranial nerves&lt;/IDText&gt;&lt;DisplayText&gt;(Richards et al., 1992)&lt;/DisplayText&gt;&lt;record&gt;&lt;dates&gt;&lt;pub-dates&gt;&lt;date&gt;May&lt;/date&gt;&lt;/pub-dates&gt;&lt;year&gt;1992&lt;/year&gt;&lt;/dates&gt;&lt;keywords&gt;&lt;keyword&gt;palsy&lt;/keyword&gt;&lt;keyword&gt;childhood&lt;/keyword&gt;&lt;keyword&gt;children&lt;/keyword&gt;&lt;keyword&gt;paresis&lt;/keyword&gt;&lt;keyword&gt;Ophthalmology&lt;/keyword&gt;&lt;/keywords&gt;&lt;urls&gt;&lt;related-urls&gt;&lt;url&gt;&amp;lt;Go to ISI&amp;gt;://WOS:A1992HR54100001&lt;/url&gt;&lt;/related-urls&gt;&lt;/urls&gt;&lt;isbn&gt;0002-9394&lt;/isbn&gt;&lt;work-type&gt;Article&lt;/work-type&gt;&lt;titles&gt;&lt;title&gt;Causes and prognosis in 4,278 cases of paralysis of the oculomotor, trochlear, and abducens cranial nerves&lt;/title&gt;&lt;secondary-title&gt;American Journal of Ophthalmology&lt;/secondary-title&gt;&lt;alt-title&gt;Am. J. Ophthalmol.&lt;/alt-title&gt;&lt;/titles&gt;&lt;pages&gt;489-496&lt;/pages&gt;&lt;number&gt;5&lt;/number&gt;&lt;contributors&gt;&lt;authors&gt;&lt;author&gt;Richards, B. W.&lt;/author&gt;&lt;author&gt;Jones, F. R.&lt;/author&gt;&lt;author&gt;Younge, B. R.&lt;/author&gt;&lt;/authors&gt;&lt;/contributors&gt;&lt;language&gt;English&lt;/language&gt;&lt;added-date format="utc"&gt;1495891266&lt;/added-date&gt;&lt;ref-type name="Journal Article"&gt;17&lt;/ref-type&gt;&lt;auth-address&gt;MAYO CLIN &amp;amp; MAYO FDN,DEPT OPHTHALMOL,200 1ST ST SW,ROCHESTER,MN 55905.&lt;/auth-address&gt;&lt;rec-number&gt;104&lt;/rec-number&gt;&lt;last-updated-date format="utc"&gt;1499733810&lt;/last-updated-date&gt;&lt;accession-num&gt;WOS:A1992HR54100001&lt;/accession-num&gt;&lt;volume&gt;113&lt;/volume&gt;&lt;/record&gt;&lt;/Cite&gt;&lt;/EndNote&gt;</w:instrText>
      </w:r>
      <w:r w:rsidR="00E85496">
        <w:rPr>
          <w:rFonts w:eastAsia="Times New Roman"/>
          <w:color w:val="auto"/>
          <w:lang w:eastAsia="en-MY"/>
        </w:rPr>
        <w:fldChar w:fldCharType="separate"/>
      </w:r>
      <w:r w:rsidR="00E85496">
        <w:rPr>
          <w:rFonts w:eastAsia="Times New Roman"/>
          <w:noProof/>
          <w:color w:val="auto"/>
          <w:lang w:eastAsia="en-MY"/>
        </w:rPr>
        <w:t>(Richards et al., 1992)</w:t>
      </w:r>
      <w:r w:rsidR="00E85496">
        <w:rPr>
          <w:rFonts w:eastAsia="Times New Roman"/>
          <w:color w:val="auto"/>
          <w:lang w:eastAsia="en-MY"/>
        </w:rPr>
        <w:fldChar w:fldCharType="end"/>
      </w:r>
      <w:r w:rsidRPr="009D4627">
        <w:rPr>
          <w:rFonts w:eastAsia="Times New Roman"/>
          <w:color w:val="auto"/>
          <w:lang w:eastAsia="en-MY"/>
        </w:rPr>
        <w:t xml:space="preserve">. </w:t>
      </w:r>
      <w:r w:rsidR="00E85496">
        <w:rPr>
          <w:rFonts w:eastAsia="Times New Roman"/>
          <w:color w:val="auto"/>
          <w:lang w:eastAsia="en-MY"/>
        </w:rPr>
        <w:t>In these cases</w:t>
      </w:r>
      <w:r w:rsidR="00E85496" w:rsidRPr="009D4627">
        <w:rPr>
          <w:rFonts w:eastAsia="Times New Roman"/>
          <w:color w:val="auto"/>
          <w:lang w:eastAsia="en-MY"/>
        </w:rPr>
        <w:t xml:space="preserve"> neuroimaging </w:t>
      </w:r>
      <w:r w:rsidR="00E85496">
        <w:rPr>
          <w:rFonts w:eastAsia="Times New Roman"/>
          <w:color w:val="auto"/>
          <w:lang w:eastAsia="en-MY"/>
        </w:rPr>
        <w:t>is</w:t>
      </w:r>
      <w:r w:rsidR="00E85496" w:rsidRPr="009D4627">
        <w:rPr>
          <w:rFonts w:eastAsia="Times New Roman"/>
          <w:color w:val="auto"/>
          <w:lang w:eastAsia="en-MY"/>
        </w:rPr>
        <w:t xml:space="preserve"> required </w:t>
      </w:r>
      <w:r w:rsidR="00E85496" w:rsidRPr="009D4627">
        <w:rPr>
          <w:rFonts w:eastAsia="Times New Roman"/>
          <w:color w:val="auto"/>
          <w:lang w:eastAsia="en-MY"/>
        </w:rPr>
        <w:fldChar w:fldCharType="begin"/>
      </w:r>
      <w:r w:rsidR="00E85496" w:rsidRPr="009D4627">
        <w:rPr>
          <w:rFonts w:eastAsia="Times New Roman"/>
          <w:color w:val="auto"/>
          <w:lang w:eastAsia="en-MY"/>
        </w:rPr>
        <w:instrText xml:space="preserve"> ADDIN EN.CITE &lt;EndNote&gt;&lt;Cite&gt;&lt;Author&gt;Ayman&lt;/Author&gt;&lt;Year&gt;2012&lt;/Year&gt;&lt;IDText&gt;Clinical Course and Characteristics of Acute Presentation of Fourth Nerve Paresis&lt;/IDText&gt;&lt;DisplayText&gt;(Ayman et al., 2012)&lt;/DisplayText&gt;&lt;record&gt;&lt;keywords&gt;&lt;keyword&gt;Pediatrics&lt;/keyword&gt;&lt;keyword&gt;Ophthalmology&lt;/keyword&gt;&lt;keyword&gt;Life Sciences &amp;amp; Biomedicine&lt;/keyword&gt;&lt;keyword&gt;Science &amp;amp; Technology&lt;/keyword&gt;&lt;keyword&gt;Acute Disease&lt;/keyword&gt;&lt;keyword&gt;Prognosis&lt;/keyword&gt;&lt;keyword&gt;Humans&lt;/keyword&gt;&lt;keyword&gt;Middle Aged&lt;/keyword&gt;&lt;keyword&gt;Male&lt;/keyword&gt;&lt;keyword&gt;Trochlear Nerve Diseases - physiopathology&lt;/keyword&gt;&lt;keyword&gt;Diplopia - physiopathology&lt;/keyword&gt;&lt;keyword&gt;Trochlear Nerve Diseases - diagnosis&lt;/keyword&gt;&lt;keyword&gt;Young Adult&lt;/keyword&gt;&lt;keyword&gt;Adolescent&lt;/keyword&gt;&lt;keyword&gt;Vision, Binocular&lt;/keyword&gt;&lt;keyword&gt;Aged, 80 and over&lt;/keyword&gt;&lt;keyword&gt;Adult&lt;/keyword&gt;&lt;keyword&gt;Female&lt;/keyword&gt;&lt;keyword&gt;Remission, Spontaneous&lt;/keyword&gt;&lt;keyword&gt;Aged&lt;/keyword&gt;&lt;keyword&gt;Retrospective Studies&lt;/keyword&gt;&lt;keyword&gt;Diplopia - diagnosis&lt;/keyword&gt;&lt;keyword&gt;Index Medicus&lt;/keyword&gt;&lt;/keywords&gt;&lt;isbn&gt;0191-3913&lt;/isbn&gt;&lt;titles&gt;&lt;title&gt;Clinical Course and Characteristics of Acute Presentation of Fourth Nerve Paresis&lt;/title&gt;&lt;secondary-title&gt;J Pediatr Ophthalmol Strabismus&lt;/secondary-title&gt;&lt;/titles&gt;&lt;pages&gt;366-369&lt;/pages&gt;&lt;number&gt;6&lt;/number&gt;&lt;contributors&gt;&lt;authors&gt;&lt;author&gt;Ayman, Khaier&lt;/author&gt;&lt;author&gt;Emma, Dawson&lt;/author&gt;&lt;author&gt;John, Lee&lt;/author&gt;&lt;/authors&gt;&lt;/contributors&gt;&lt;added-date format="utc"&gt;1612527155&lt;/added-date&gt;&lt;pub-location&gt;THOROFARE&lt;/pub-location&gt;&lt;ref-type name="Journal Article"&gt;17&lt;/ref-type&gt;&lt;dates&gt;&lt;year&gt;2012&lt;/year&gt;&lt;/dates&gt;&lt;rec-number&gt;734&lt;/rec-number&gt;&lt;publisher&gt;THOROFARE: SLACK INC&lt;/publisher&gt;&lt;last-updated-date format="utc"&gt;1612527155&lt;/last-updated-date&gt;&lt;electronic-resource-num&gt;10.3928/01913913-20120710-05&lt;/electronic-resource-num&gt;&lt;volume&gt;49&lt;/volume&gt;&lt;/record&gt;&lt;/Cite&gt;&lt;/EndNote&gt;</w:instrText>
      </w:r>
      <w:r w:rsidR="00E85496" w:rsidRPr="009D4627">
        <w:rPr>
          <w:rFonts w:eastAsia="Times New Roman"/>
          <w:color w:val="auto"/>
          <w:lang w:eastAsia="en-MY"/>
        </w:rPr>
        <w:fldChar w:fldCharType="separate"/>
      </w:r>
      <w:r w:rsidR="00E85496" w:rsidRPr="009D4627">
        <w:rPr>
          <w:rFonts w:eastAsia="Times New Roman"/>
          <w:noProof/>
          <w:color w:val="auto"/>
          <w:lang w:eastAsia="en-MY"/>
        </w:rPr>
        <w:t>(Ayman et al., 2012)</w:t>
      </w:r>
      <w:r w:rsidR="00E85496" w:rsidRPr="009D4627">
        <w:rPr>
          <w:rFonts w:eastAsia="Times New Roman"/>
          <w:color w:val="auto"/>
          <w:lang w:eastAsia="en-MY"/>
        </w:rPr>
        <w:fldChar w:fldCharType="end"/>
      </w:r>
      <w:r w:rsidR="00E85496" w:rsidRPr="009D4627">
        <w:rPr>
          <w:rFonts w:eastAsia="Times New Roman"/>
          <w:color w:val="auto"/>
          <w:lang w:eastAsia="en-MY"/>
        </w:rPr>
        <w:t>.</w:t>
      </w:r>
      <w:r w:rsidR="00E85496" w:rsidRPr="00E85496">
        <w:t xml:space="preserve"> </w:t>
      </w:r>
      <w:r w:rsidR="00E85496" w:rsidRPr="009D4627">
        <w:t>However, neuroimaging is expensive.</w:t>
      </w:r>
      <w:r w:rsidR="00E85496">
        <w:t xml:space="preserve"> </w:t>
      </w:r>
      <w:r w:rsidR="00E85496" w:rsidRPr="009D4627">
        <w:rPr>
          <w:rFonts w:eastAsia="Times New Roman"/>
          <w:color w:val="auto"/>
          <w:lang w:eastAsia="en-MY"/>
        </w:rPr>
        <w:t xml:space="preserve">A prospective study of 93 patients over the age of 50 concluded that immediate neuroimaging was not indicated in the elderly, who had acute isolated CN III, CN IV and CN VI paralysis, because it was </w:t>
      </w:r>
      <w:r w:rsidR="006E60BE">
        <w:rPr>
          <w:rFonts w:eastAsia="Times New Roman"/>
          <w:color w:val="auto"/>
          <w:lang w:eastAsia="en-MY"/>
        </w:rPr>
        <w:t>not</w:t>
      </w:r>
      <w:r w:rsidR="003329DB">
        <w:rPr>
          <w:rFonts w:eastAsia="Times New Roman"/>
          <w:color w:val="auto"/>
          <w:lang w:eastAsia="en-MY"/>
        </w:rPr>
        <w:t xml:space="preserve"> </w:t>
      </w:r>
      <w:r w:rsidR="00E85496" w:rsidRPr="009D4627">
        <w:rPr>
          <w:rFonts w:eastAsia="Times New Roman"/>
          <w:color w:val="auto"/>
          <w:lang w:eastAsia="en-MY"/>
        </w:rPr>
        <w:t xml:space="preserve">cost-effective </w:t>
      </w:r>
      <w:r w:rsidR="00E85496" w:rsidRPr="009D4627">
        <w:rPr>
          <w:rFonts w:eastAsia="Times New Roman"/>
          <w:color w:val="auto"/>
          <w:lang w:eastAsia="en-MY"/>
        </w:rPr>
        <w:fldChar w:fldCharType="begin"/>
      </w:r>
      <w:r w:rsidR="00E85496" w:rsidRPr="009D4627">
        <w:rPr>
          <w:rFonts w:eastAsia="Times New Roman"/>
          <w:color w:val="auto"/>
          <w:lang w:eastAsia="en-MY"/>
        </w:rPr>
        <w:instrText xml:space="preserve"> ADDIN EN.CITE &lt;EndNote&gt;&lt;Cite&gt;&lt;Author&gt;Murchison&lt;/Author&gt;&lt;Year&gt;2011&lt;/Year&gt;&lt;IDText&gt;Neuroimaging and acute ocular motor mononeuropathies: A prospective study&lt;/IDText&gt;&lt;DisplayText&gt;(Murchison et al., 2011)&lt;/DisplayText&gt;&lt;record&gt;&lt;keywords&gt;&lt;keyword&gt;Medicine&lt;/keyword&gt;&lt;/keywords&gt;&lt;urls&gt;&lt;related-urls&gt;&lt;/related-urls&gt;&lt;/urls&gt;&lt;isbn&gt;0003-9950&lt;/isbn&gt;&lt;titles&gt;&lt;title&gt;Neuroimaging and acute ocular motor mononeuropathies: A prospective study&lt;/title&gt;&lt;secondary-title&gt;Archives of Ophthalmology&lt;/secondary-title&gt;&lt;/titles&gt;&lt;pages&gt;301-305&lt;/pages&gt;&lt;number&gt;3&lt;/number&gt;&lt;contributors&gt;&lt;authors&gt;&lt;author&gt;Murchison, Ann P.&lt;/author&gt;&lt;author&gt;Gilbert, Molly E.&lt;/author&gt;&lt;author&gt;Savino, Peter J.&lt;/author&gt;&lt;/authors&gt;&lt;/contributors&gt;&lt;added-date format="utc"&gt;1497284990&lt;/added-date&gt;&lt;ref-type name="Journal Article"&gt;17&lt;/ref-type&gt;&lt;dates&gt;&lt;year&gt;2011&lt;/year&gt;&lt;/dates&gt;&lt;rec-number&gt;117&lt;/rec-number&gt;&lt;last-updated-date format="utc"&gt;1499733174&lt;/last-updated-date&gt;&lt;electronic-resource-num&gt;10.1001/archophthalmol.2011.25&lt;/electronic-resource-num&gt;&lt;volume&gt;129&lt;/volume&gt;&lt;/record&gt;&lt;/Cite&gt;&lt;/EndNote&gt;</w:instrText>
      </w:r>
      <w:r w:rsidR="00E85496" w:rsidRPr="009D4627">
        <w:rPr>
          <w:rFonts w:eastAsia="Times New Roman"/>
          <w:color w:val="auto"/>
          <w:lang w:eastAsia="en-MY"/>
        </w:rPr>
        <w:fldChar w:fldCharType="separate"/>
      </w:r>
      <w:r w:rsidR="00E85496" w:rsidRPr="009D4627">
        <w:rPr>
          <w:rFonts w:eastAsia="Times New Roman"/>
          <w:noProof/>
          <w:color w:val="auto"/>
          <w:lang w:eastAsia="en-MY"/>
        </w:rPr>
        <w:t>(Murchison et al., 2011)</w:t>
      </w:r>
      <w:r w:rsidR="00E85496" w:rsidRPr="009D4627">
        <w:rPr>
          <w:rFonts w:eastAsia="Times New Roman"/>
          <w:color w:val="auto"/>
          <w:lang w:eastAsia="en-MY"/>
        </w:rPr>
        <w:fldChar w:fldCharType="end"/>
      </w:r>
      <w:r w:rsidR="00E85496" w:rsidRPr="009D4627">
        <w:rPr>
          <w:rFonts w:eastAsia="Times New Roman"/>
          <w:color w:val="auto"/>
          <w:lang w:eastAsia="en-MY"/>
        </w:rPr>
        <w:t>.</w:t>
      </w:r>
      <w:r w:rsidR="00E85496">
        <w:rPr>
          <w:rFonts w:eastAsia="Times New Roman"/>
          <w:color w:val="auto"/>
          <w:lang w:eastAsia="en-MY"/>
        </w:rPr>
        <w:t xml:space="preserve"> </w:t>
      </w:r>
      <w:r w:rsidR="00E85496" w:rsidRPr="009D4627">
        <w:rPr>
          <w:rFonts w:eastAsia="Times New Roman"/>
          <w:color w:val="auto"/>
          <w:lang w:eastAsia="en-MY"/>
        </w:rPr>
        <w:t>Murchison and colleagues (2011) further reported that only 1 in 93 patients with a cranial mononeuropathy had a compressive cause, but the total cost of MRI to find the one abnormality among the 93 patients was the US $131,688.</w:t>
      </w:r>
      <w:r w:rsidR="00E85496">
        <w:rPr>
          <w:rFonts w:eastAsia="Times New Roman"/>
          <w:color w:val="auto"/>
          <w:lang w:eastAsia="en-MY"/>
        </w:rPr>
        <w:t xml:space="preserve"> </w:t>
      </w:r>
      <w:r w:rsidR="00E85496" w:rsidRPr="009D4627">
        <w:rPr>
          <w:rFonts w:eastAsia="Times New Roman"/>
          <w:color w:val="auto"/>
          <w:lang w:eastAsia="en-MY"/>
        </w:rPr>
        <w:t xml:space="preserve">In addition, the same study further reported that there was no change to the treatment for this one patient. </w:t>
      </w:r>
    </w:p>
    <w:p w14:paraId="536F2615" w14:textId="77777777" w:rsidR="00E85496" w:rsidRPr="009D4627" w:rsidRDefault="00E85496" w:rsidP="00E85496">
      <w:pPr>
        <w:rPr>
          <w:rFonts w:eastAsia="Times New Roman"/>
          <w:color w:val="auto"/>
          <w:lang w:eastAsia="en-MY"/>
        </w:rPr>
      </w:pPr>
      <w:r w:rsidRPr="009D4627">
        <w:rPr>
          <w:rFonts w:eastAsia="Times New Roman"/>
          <w:color w:val="auto"/>
          <w:lang w:eastAsia="en-MY"/>
        </w:rPr>
        <w:t xml:space="preserve">Recovery is currently monitored in the clinic by OMT, which is repeated regularly to observe the change in the deviation angle </w:t>
      </w:r>
      <w:r w:rsidRPr="009D4627">
        <w:rPr>
          <w:rFonts w:eastAsia="Times New Roman"/>
          <w:color w:val="auto"/>
          <w:lang w:eastAsia="en-MY"/>
        </w:rPr>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dWxvbW90b3I8L2tleXdvcmQ+PGtleXdvcmQ+PC9rZXl3b3JkPjxrZXl3b3JkPnRyb2NobGVhcjwv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</w:fldData>
        </w:fldChar>
      </w:r>
      <w:r w:rsidRPr="009D4627">
        <w:rPr>
          <w:rFonts w:eastAsia="Times New Roman"/>
          <w:color w:val="auto"/>
          <w:lang w:eastAsia="en-MY"/>
        </w:rPr>
        <w:instrText xml:space="preserve"> ADDIN EN.CITE </w:instrText>
      </w:r>
      <w:r w:rsidRPr="009D4627">
        <w:rPr>
          <w:rFonts w:eastAsia="Times New Roman"/>
          <w:color w:val="auto"/>
          <w:lang w:eastAsia="en-MY"/>
        </w:rPr>
        <w:fldChar w:fldCharType="begin">
          <w:fldData xml:space="preserve">PEVuZE5vdGU+PENpdGU+PEF1dGhvcj5QYXJrPC9BdXRob3I+PFllYXI+MjAwODwvWWVhcj48SURU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</w:fldData>
        </w:fldChar>
      </w:r>
      <w:r w:rsidRPr="009D4627">
        <w:rPr>
          <w:rFonts w:eastAsia="Times New Roman"/>
          <w:color w:val="auto"/>
          <w:lang w:eastAsia="en-MY"/>
        </w:rPr>
        <w:instrText xml:space="preserve"> ADDIN EN.CITE.DATA </w:instrText>
      </w:r>
      <w:r w:rsidRPr="009D4627">
        <w:rPr>
          <w:rFonts w:eastAsia="Times New Roman"/>
          <w:color w:val="auto"/>
          <w:lang w:eastAsia="en-MY"/>
        </w:rPr>
      </w:r>
      <w:r w:rsidRPr="009D4627">
        <w:rPr>
          <w:rFonts w:eastAsia="Times New Roman"/>
          <w:color w:val="auto"/>
          <w:lang w:eastAsia="en-MY"/>
        </w:rPr>
        <w:fldChar w:fldCharType="end"/>
      </w:r>
      <w:r w:rsidRPr="009D4627">
        <w:rPr>
          <w:rFonts w:eastAsia="Times New Roman"/>
          <w:color w:val="auto"/>
          <w:lang w:eastAsia="en-MY"/>
        </w:rPr>
      </w:r>
      <w:r w:rsidRPr="009D4627">
        <w:rPr>
          <w:rFonts w:eastAsia="Times New Roman"/>
          <w:color w:val="auto"/>
          <w:lang w:eastAsia="en-MY"/>
        </w:rPr>
        <w:fldChar w:fldCharType="separate"/>
      </w:r>
      <w:r w:rsidRPr="009D4627">
        <w:rPr>
          <w:rFonts w:eastAsia="Times New Roman"/>
          <w:noProof/>
          <w:color w:val="auto"/>
          <w:lang w:eastAsia="en-MY"/>
        </w:rPr>
        <w:t>(Park et al., 2008)</w:t>
      </w:r>
      <w:r w:rsidRPr="009D4627">
        <w:rPr>
          <w:rFonts w:eastAsia="Times New Roman"/>
          <w:color w:val="auto"/>
          <w:lang w:eastAsia="en-MY"/>
        </w:rPr>
        <w:fldChar w:fldCharType="end"/>
      </w:r>
      <w:r w:rsidRPr="009D4627">
        <w:rPr>
          <w:rFonts w:eastAsia="Times New Roman"/>
          <w:color w:val="auto"/>
          <w:lang w:eastAsia="en-MY"/>
        </w:rPr>
        <w:t>.</w:t>
      </w:r>
      <w:r>
        <w:rPr>
          <w:rFonts w:eastAsia="Times New Roman"/>
          <w:color w:val="auto"/>
          <w:lang w:eastAsia="en-MY"/>
        </w:rPr>
        <w:t xml:space="preserve"> </w:t>
      </w:r>
      <w:r w:rsidRPr="009D4627">
        <w:rPr>
          <w:rFonts w:eastAsia="Times New Roman"/>
          <w:color w:val="auto"/>
          <w:lang w:eastAsia="en-MY"/>
        </w:rPr>
        <w:t xml:space="preserve">Those with undetermined aetiology are observed by looking at the change of deviation angle with time, and any deterioration or </w:t>
      </w:r>
      <w:r w:rsidRPr="009D4627">
        <w:rPr>
          <w:rFonts w:eastAsia="Times New Roman"/>
          <w:color w:val="auto"/>
          <w:lang w:eastAsia="en-MY"/>
        </w:rPr>
        <w:lastRenderedPageBreak/>
        <w:t>unrecovered deviation angle within the follow-up period will require further investigation, including neuroimaging.</w:t>
      </w:r>
      <w:r>
        <w:rPr>
          <w:rFonts w:eastAsia="Times New Roman"/>
          <w:color w:val="auto"/>
          <w:lang w:eastAsia="en-MY"/>
        </w:rPr>
        <w:t xml:space="preserve"> </w:t>
      </w:r>
      <w:r w:rsidRPr="009D4627">
        <w:rPr>
          <w:rFonts w:eastAsia="Times New Roman"/>
          <w:color w:val="auto"/>
          <w:lang w:eastAsia="en-MY"/>
        </w:rPr>
        <w:t xml:space="preserve">Therefore, careful monitoring during the early period from the onset is vital to detect subtle eye movement changes. Fortunately, a more detailed ocular movement assessment is now possible with the improved EMR technology. </w:t>
      </w:r>
    </w:p>
    <w:p w14:paraId="3C62E7D2" w14:textId="5D407BAB" w:rsidR="00836ECB" w:rsidRPr="009D4627" w:rsidRDefault="0061161C" w:rsidP="00836ECB">
      <w:r w:rsidRPr="009D4627">
        <w:rPr>
          <w:lang w:eastAsia="en-MY"/>
        </w:rPr>
        <w:t>EMR has</w:t>
      </w:r>
      <w:r w:rsidR="004238D5" w:rsidRPr="009D4627">
        <w:rPr>
          <w:lang w:eastAsia="en-MY"/>
        </w:rPr>
        <w:t xml:space="preserve"> not been used to document changes following </w:t>
      </w:r>
      <w:r w:rsidRPr="009D4627">
        <w:rPr>
          <w:lang w:eastAsia="en-MY"/>
        </w:rPr>
        <w:t xml:space="preserve">the </w:t>
      </w:r>
      <w:r w:rsidR="004238D5" w:rsidRPr="009D4627">
        <w:rPr>
          <w:lang w:eastAsia="en-MY"/>
        </w:rPr>
        <w:t>onset</w:t>
      </w:r>
      <w:r w:rsidR="00B97044" w:rsidRPr="009D4627">
        <w:rPr>
          <w:lang w:eastAsia="en-MY"/>
        </w:rPr>
        <w:t xml:space="preserve"> </w:t>
      </w:r>
      <w:r w:rsidR="004238D5" w:rsidRPr="009D4627">
        <w:rPr>
          <w:lang w:eastAsia="en-MY"/>
        </w:rPr>
        <w:t xml:space="preserve">of </w:t>
      </w:r>
      <w:r w:rsidR="00110BE0" w:rsidRPr="009D4627">
        <w:rPr>
          <w:lang w:eastAsia="en-MY"/>
        </w:rPr>
        <w:t xml:space="preserve">recently </w:t>
      </w:r>
      <w:r w:rsidR="004238D5" w:rsidRPr="009D4627">
        <w:rPr>
          <w:lang w:eastAsia="en-MY"/>
        </w:rPr>
        <w:t xml:space="preserve">acquired </w:t>
      </w:r>
      <w:r w:rsidR="00940AE5" w:rsidRPr="009D4627">
        <w:rPr>
          <w:lang w:eastAsia="en-MY"/>
        </w:rPr>
        <w:t>ONP</w:t>
      </w:r>
      <w:r w:rsidR="004238D5" w:rsidRPr="009D4627">
        <w:rPr>
          <w:lang w:eastAsia="en-MY"/>
        </w:rPr>
        <w:t xml:space="preserve">. </w:t>
      </w:r>
      <w:r w:rsidR="00110BE0" w:rsidRPr="009D4627">
        <w:rPr>
          <w:lang w:eastAsia="en-MY"/>
        </w:rPr>
        <w:t>Furthermore, t</w:t>
      </w:r>
      <w:r w:rsidR="004C2ECE" w:rsidRPr="009D4627">
        <w:rPr>
          <w:lang w:eastAsia="en-MY"/>
        </w:rPr>
        <w:t>he</w:t>
      </w:r>
      <w:r w:rsidR="004238D5" w:rsidRPr="009D4627">
        <w:rPr>
          <w:lang w:eastAsia="en-MY"/>
        </w:rPr>
        <w:t xml:space="preserve"> </w:t>
      </w:r>
      <w:r w:rsidR="004C2ECE" w:rsidRPr="009D4627">
        <w:rPr>
          <w:lang w:eastAsia="en-MY"/>
        </w:rPr>
        <w:t>method</w:t>
      </w:r>
      <w:r w:rsidR="004238D5" w:rsidRPr="009D4627">
        <w:rPr>
          <w:lang w:eastAsia="en-MY"/>
        </w:rPr>
        <w:t xml:space="preserve"> </w:t>
      </w:r>
      <w:r w:rsidR="00CB3DC8" w:rsidRPr="009D4627">
        <w:rPr>
          <w:lang w:eastAsia="en-MY"/>
        </w:rPr>
        <w:t>is</w:t>
      </w:r>
      <w:r w:rsidR="004238D5" w:rsidRPr="009D4627">
        <w:rPr>
          <w:lang w:eastAsia="en-MY"/>
        </w:rPr>
        <w:t xml:space="preserve"> rarely used in clinical practice due to </w:t>
      </w:r>
      <w:r w:rsidR="009E7852" w:rsidRPr="009D4627">
        <w:rPr>
          <w:lang w:eastAsia="en-MY"/>
        </w:rPr>
        <w:t xml:space="preserve">the </w:t>
      </w:r>
      <w:r w:rsidR="004238D5" w:rsidRPr="009D4627">
        <w:rPr>
          <w:lang w:eastAsia="en-MY"/>
        </w:rPr>
        <w:t xml:space="preserve">lack of simple, readily available </w:t>
      </w:r>
      <w:r w:rsidR="009E7852" w:rsidRPr="009D4627">
        <w:rPr>
          <w:lang w:eastAsia="en-MY"/>
        </w:rPr>
        <w:t xml:space="preserve">EMR </w:t>
      </w:r>
      <w:r w:rsidR="004238D5" w:rsidRPr="009D4627">
        <w:rPr>
          <w:lang w:eastAsia="en-MY"/>
        </w:rPr>
        <w:t xml:space="preserve">programs and analysis </w:t>
      </w:r>
      <w:r w:rsidR="009E7852" w:rsidRPr="009D4627">
        <w:rPr>
          <w:lang w:eastAsia="en-MY"/>
        </w:rPr>
        <w:t>method</w:t>
      </w:r>
      <w:r w:rsidR="002E63E9" w:rsidRPr="009D4627">
        <w:rPr>
          <w:lang w:eastAsia="en-MY"/>
        </w:rPr>
        <w:t>s</w:t>
      </w:r>
      <w:r w:rsidR="004238D5" w:rsidRPr="009D4627">
        <w:rPr>
          <w:lang w:eastAsia="en-MY"/>
        </w:rPr>
        <w:t xml:space="preserve">. </w:t>
      </w:r>
      <w:r w:rsidR="009C2F77" w:rsidRPr="009D4627">
        <w:rPr>
          <w:lang w:eastAsia="en-MY"/>
        </w:rPr>
        <w:t>T</w:t>
      </w:r>
      <w:r w:rsidR="00836ECB" w:rsidRPr="009D4627">
        <w:rPr>
          <w:lang w:eastAsia="en-MY"/>
        </w:rPr>
        <w:t>h</w:t>
      </w:r>
      <w:r w:rsidR="009E7852" w:rsidRPr="009D4627">
        <w:rPr>
          <w:lang w:eastAsia="en-MY"/>
        </w:rPr>
        <w:t>is</w:t>
      </w:r>
      <w:r w:rsidR="00836ECB" w:rsidRPr="009D4627">
        <w:rPr>
          <w:lang w:eastAsia="en-MY"/>
        </w:rPr>
        <w:t xml:space="preserve"> study is expected to add information to the current knowledge by measuring eye movement changes, using a high-resolution video-based </w:t>
      </w:r>
      <w:r w:rsidRPr="009D4627">
        <w:rPr>
          <w:lang w:eastAsia="en-MY"/>
        </w:rPr>
        <w:t>EMR</w:t>
      </w:r>
      <w:r w:rsidR="00836ECB" w:rsidRPr="009D4627">
        <w:rPr>
          <w:lang w:eastAsia="en-MY"/>
        </w:rPr>
        <w:t xml:space="preserve"> system</w:t>
      </w:r>
      <w:r w:rsidRPr="009D4627">
        <w:rPr>
          <w:lang w:eastAsia="en-MY"/>
        </w:rPr>
        <w:t xml:space="preserve">, </w:t>
      </w:r>
      <w:proofErr w:type="spellStart"/>
      <w:r w:rsidR="00836ECB" w:rsidRPr="009D4627">
        <w:rPr>
          <w:lang w:eastAsia="en-MY"/>
        </w:rPr>
        <w:t>EyeLink</w:t>
      </w:r>
      <w:proofErr w:type="spellEnd"/>
      <w:r w:rsidR="00836ECB" w:rsidRPr="009D4627">
        <w:rPr>
          <w:lang w:eastAsia="en-MY"/>
        </w:rPr>
        <w:t xml:space="preserve"> 1000</w:t>
      </w:r>
      <w:r w:rsidRPr="009D4627">
        <w:rPr>
          <w:lang w:eastAsia="en-MY"/>
        </w:rPr>
        <w:t xml:space="preserve"> Plus</w:t>
      </w:r>
      <w:r w:rsidR="00836ECB" w:rsidRPr="009D4627">
        <w:rPr>
          <w:lang w:eastAsia="en-MY"/>
        </w:rPr>
        <w:t>, from the onset of the palsy and over the potential recovery period.</w:t>
      </w:r>
    </w:p>
    <w:p w14:paraId="2455DA75" w14:textId="46C70F63" w:rsidR="000E7B36" w:rsidRPr="009D4627" w:rsidRDefault="000E7B36" w:rsidP="00DC4CA6">
      <w:pPr>
        <w:pStyle w:val="Heading3"/>
      </w:pPr>
      <w:bookmarkStart w:id="472" w:name="_Toc98964702"/>
      <w:bookmarkStart w:id="473" w:name="_Toc103344745"/>
      <w:r w:rsidRPr="009D4627">
        <w:t>Aims of the study</w:t>
      </w:r>
      <w:bookmarkEnd w:id="472"/>
      <w:bookmarkEnd w:id="473"/>
    </w:p>
    <w:p w14:paraId="7CF2616A" w14:textId="46414EC0" w:rsidR="00495A86" w:rsidRPr="009D4627" w:rsidRDefault="00495A86" w:rsidP="00495A86">
      <w:r w:rsidRPr="009D4627">
        <w:t>Th</w:t>
      </w:r>
      <w:r w:rsidR="009E7852" w:rsidRPr="009D4627">
        <w:t xml:space="preserve">is </w:t>
      </w:r>
      <w:r w:rsidRPr="009D4627">
        <w:t xml:space="preserve">longitudinal cohort study </w:t>
      </w:r>
      <w:r w:rsidR="009E7852" w:rsidRPr="009D4627">
        <w:t>was designed</w:t>
      </w:r>
      <w:r w:rsidRPr="009D4627">
        <w:t xml:space="preserve"> to:</w:t>
      </w:r>
    </w:p>
    <w:p w14:paraId="7190A310" w14:textId="5A84DE99" w:rsidR="009E7852" w:rsidRPr="009D4627" w:rsidRDefault="009E7852" w:rsidP="00C171FA">
      <w:pPr>
        <w:pStyle w:val="ListParagraph"/>
        <w:numPr>
          <w:ilvl w:val="0"/>
          <w:numId w:val="101"/>
        </w:numPr>
      </w:pPr>
      <w:r w:rsidRPr="009D4627">
        <w:rPr>
          <w:lang w:eastAsia="en-MY"/>
        </w:rPr>
        <w:t>Develop program</w:t>
      </w:r>
      <w:r w:rsidR="009C2F77" w:rsidRPr="009D4627">
        <w:rPr>
          <w:lang w:eastAsia="en-MY"/>
        </w:rPr>
        <w:t>mes</w:t>
      </w:r>
      <w:r w:rsidRPr="009D4627">
        <w:rPr>
          <w:lang w:eastAsia="en-MY"/>
        </w:rPr>
        <w:t xml:space="preserve"> and analysis strategies suitable for </w:t>
      </w:r>
      <w:r w:rsidR="0061161C" w:rsidRPr="009D4627">
        <w:rPr>
          <w:lang w:eastAsia="en-MY"/>
        </w:rPr>
        <w:t>assessing</w:t>
      </w:r>
      <w:r w:rsidRPr="009D4627">
        <w:rPr>
          <w:lang w:eastAsia="en-MY"/>
        </w:rPr>
        <w:t xml:space="preserve"> patients with eye movement a</w:t>
      </w:r>
      <w:r w:rsidR="009C2F77" w:rsidRPr="009D4627">
        <w:rPr>
          <w:lang w:eastAsia="en-MY"/>
        </w:rPr>
        <w:t>b</w:t>
      </w:r>
      <w:r w:rsidRPr="009D4627">
        <w:rPr>
          <w:lang w:eastAsia="en-MY"/>
        </w:rPr>
        <w:t>no</w:t>
      </w:r>
      <w:r w:rsidR="008E4ED6" w:rsidRPr="009D4627">
        <w:rPr>
          <w:lang w:eastAsia="en-MY"/>
        </w:rPr>
        <w:t>r</w:t>
      </w:r>
      <w:r w:rsidRPr="009D4627">
        <w:rPr>
          <w:lang w:eastAsia="en-MY"/>
        </w:rPr>
        <w:t>mal</w:t>
      </w:r>
      <w:r w:rsidR="009C2F77" w:rsidRPr="009D4627">
        <w:rPr>
          <w:lang w:eastAsia="en-MY"/>
        </w:rPr>
        <w:t>it</w:t>
      </w:r>
      <w:r w:rsidRPr="009D4627">
        <w:rPr>
          <w:lang w:eastAsia="en-MY"/>
        </w:rPr>
        <w:t>ies as a diagnostic and management planning tool.</w:t>
      </w:r>
    </w:p>
    <w:p w14:paraId="799022DB" w14:textId="357F743E" w:rsidR="00495A86" w:rsidRPr="009D4627" w:rsidRDefault="00495A86" w:rsidP="00C171FA">
      <w:pPr>
        <w:pStyle w:val="ListParagraph"/>
        <w:numPr>
          <w:ilvl w:val="0"/>
          <w:numId w:val="101"/>
        </w:numPr>
      </w:pPr>
      <w:r w:rsidRPr="009D4627">
        <w:t xml:space="preserve">Investigate the effect of ocular nerve palsies on </w:t>
      </w:r>
      <w:r w:rsidR="0061161C" w:rsidRPr="009D4627">
        <w:t xml:space="preserve">fixation, SP, and </w:t>
      </w:r>
      <w:r w:rsidR="00D91AAB" w:rsidRPr="009D4627">
        <w:t>saccad</w:t>
      </w:r>
      <w:r w:rsidR="00110BE0" w:rsidRPr="009D4627">
        <w:t>ic</w:t>
      </w:r>
      <w:r w:rsidRPr="009D4627">
        <w:t xml:space="preserve"> eye movements by documenting their changes within the potential recovery period (from onset until four months).</w:t>
      </w:r>
    </w:p>
    <w:p w14:paraId="759B48E2" w14:textId="0D565263" w:rsidR="008D37EF" w:rsidRPr="009D4627" w:rsidRDefault="008D37EF" w:rsidP="00C171FA">
      <w:pPr>
        <w:pStyle w:val="ListParagraph"/>
        <w:numPr>
          <w:ilvl w:val="0"/>
          <w:numId w:val="101"/>
        </w:numPr>
      </w:pPr>
      <w:r w:rsidRPr="009D4627">
        <w:t>To compare the patients</w:t>
      </w:r>
      <w:r w:rsidR="009C2F77" w:rsidRPr="009D4627">
        <w:t>’</w:t>
      </w:r>
      <w:r w:rsidRPr="009D4627">
        <w:t xml:space="preserve"> eye movements to </w:t>
      </w:r>
      <w:r w:rsidR="009C2F77" w:rsidRPr="009D4627">
        <w:t>an</w:t>
      </w:r>
      <w:r w:rsidRPr="009D4627">
        <w:t xml:space="preserve"> age-matched control group during the potential recovery period.</w:t>
      </w:r>
    </w:p>
    <w:p w14:paraId="2996156F" w14:textId="365C8327" w:rsidR="00495A86" w:rsidRPr="009D4627" w:rsidRDefault="00495A86" w:rsidP="00C171FA">
      <w:pPr>
        <w:pStyle w:val="ListParagraph"/>
        <w:numPr>
          <w:ilvl w:val="0"/>
          <w:numId w:val="101"/>
        </w:numPr>
      </w:pPr>
      <w:r w:rsidRPr="009D4627">
        <w:t xml:space="preserve">Determine whether </w:t>
      </w:r>
      <w:r w:rsidR="009E7852" w:rsidRPr="009D4627">
        <w:t>EMR</w:t>
      </w:r>
      <w:r w:rsidRPr="009D4627">
        <w:t xml:space="preserve"> can assist clinical decision</w:t>
      </w:r>
      <w:r w:rsidR="0061161C" w:rsidRPr="009D4627">
        <w:t xml:space="preserve">-making, especially in </w:t>
      </w:r>
      <w:r w:rsidR="009C2F77" w:rsidRPr="009D4627">
        <w:t>indicating those cases that might not be going through a normal recovery process and require</w:t>
      </w:r>
      <w:r w:rsidRPr="009D4627">
        <w:t xml:space="preserve"> further investigation.</w:t>
      </w:r>
    </w:p>
    <w:p w14:paraId="6C4F8337" w14:textId="45CBF069" w:rsidR="004238D5" w:rsidRPr="009D4627" w:rsidRDefault="004238D5" w:rsidP="00D04E3B">
      <w:pPr>
        <w:pStyle w:val="Heading2"/>
      </w:pPr>
      <w:bookmarkStart w:id="474" w:name="_Toc98964703"/>
      <w:bookmarkStart w:id="475" w:name="_Toc103344746"/>
      <w:r w:rsidRPr="009D4627">
        <w:lastRenderedPageBreak/>
        <w:t>Method</w:t>
      </w:r>
      <w:bookmarkEnd w:id="474"/>
      <w:bookmarkEnd w:id="475"/>
    </w:p>
    <w:p w14:paraId="4169D8C8" w14:textId="02FBA4F5" w:rsidR="004238D5" w:rsidRPr="009D4627" w:rsidRDefault="004238D5" w:rsidP="00DC4CA6">
      <w:pPr>
        <w:pStyle w:val="Heading3"/>
      </w:pPr>
      <w:bookmarkStart w:id="476" w:name="_Toc98964704"/>
      <w:bookmarkStart w:id="477" w:name="_Toc103344747"/>
      <w:r w:rsidRPr="009D4627">
        <w:t>Ethical approval</w:t>
      </w:r>
      <w:bookmarkEnd w:id="476"/>
      <w:bookmarkEnd w:id="477"/>
    </w:p>
    <w:p w14:paraId="14AE379E" w14:textId="16362A1A" w:rsidR="004238D5" w:rsidRPr="009D4627" w:rsidRDefault="004238D5" w:rsidP="004238D5">
      <w:pPr>
        <w:rPr>
          <w:rFonts w:eastAsia="Times New Roman"/>
          <w:color w:val="auto"/>
          <w:lang w:eastAsia="en-MY"/>
        </w:rPr>
      </w:pPr>
      <w:r w:rsidRPr="009D4627">
        <w:rPr>
          <w:rFonts w:eastAsia="Times New Roman"/>
          <w:color w:val="auto"/>
          <w:lang w:eastAsia="en-MY"/>
        </w:rPr>
        <w:t xml:space="preserve">This study has received ethical approval on 19/12/2017 from the Research Ethics Committee (REC) NHS Health Research Approval (HRA) (Appendix </w:t>
      </w:r>
      <w:r w:rsidR="00D63F58" w:rsidRPr="009D4627">
        <w:rPr>
          <w:rFonts w:eastAsia="Times New Roman"/>
          <w:color w:val="auto"/>
          <w:lang w:eastAsia="en-MY"/>
        </w:rPr>
        <w:t>1</w:t>
      </w:r>
      <w:r w:rsidRPr="009D4627">
        <w:rPr>
          <w:rFonts w:eastAsia="Times New Roman"/>
          <w:color w:val="auto"/>
          <w:lang w:eastAsia="en-MY"/>
        </w:rPr>
        <w:t>.</w:t>
      </w:r>
      <w:r w:rsidR="00D63F58" w:rsidRPr="009D4627">
        <w:rPr>
          <w:rFonts w:eastAsia="Times New Roman"/>
          <w:color w:val="auto"/>
          <w:lang w:eastAsia="en-MY"/>
        </w:rPr>
        <w:t>4</w:t>
      </w:r>
      <w:r w:rsidRPr="009D4627">
        <w:rPr>
          <w:rFonts w:eastAsia="Times New Roman"/>
          <w:color w:val="auto"/>
          <w:lang w:eastAsia="en-MY"/>
        </w:rPr>
        <w:t xml:space="preserve">). </w:t>
      </w:r>
    </w:p>
    <w:p w14:paraId="7A985C65" w14:textId="62B36222" w:rsidR="004238D5" w:rsidRPr="009D4627" w:rsidRDefault="004238D5" w:rsidP="00DC4CA6">
      <w:pPr>
        <w:pStyle w:val="Heading3"/>
      </w:pPr>
      <w:bookmarkStart w:id="478" w:name="_Toc98964705"/>
      <w:bookmarkStart w:id="479" w:name="_Toc103344748"/>
      <w:r w:rsidRPr="009D4627">
        <w:t>Patients</w:t>
      </w:r>
      <w:bookmarkEnd w:id="478"/>
      <w:bookmarkEnd w:id="479"/>
    </w:p>
    <w:p w14:paraId="73938134" w14:textId="5FA8FAF4" w:rsidR="00110BE0" w:rsidRPr="009D4627" w:rsidRDefault="004238D5" w:rsidP="004238D5">
      <w:pPr>
        <w:rPr>
          <w:rFonts w:eastAsia="Times New Roman"/>
          <w:color w:val="auto"/>
          <w:lang w:eastAsia="en-MY"/>
        </w:rPr>
      </w:pPr>
      <w:r w:rsidRPr="009D4627">
        <w:rPr>
          <w:rFonts w:eastAsia="Times New Roman"/>
          <w:color w:val="auto"/>
          <w:lang w:eastAsia="en-MY"/>
        </w:rPr>
        <w:t xml:space="preserve">Patients presenting with recent onset acquired </w:t>
      </w:r>
      <w:r w:rsidR="00110BE0" w:rsidRPr="009D4627">
        <w:rPr>
          <w:rFonts w:eastAsia="Times New Roman"/>
          <w:color w:val="auto"/>
          <w:lang w:eastAsia="en-MY"/>
        </w:rPr>
        <w:t>CN III, IV and CN VI</w:t>
      </w:r>
      <w:r w:rsidRPr="009D4627">
        <w:rPr>
          <w:rFonts w:eastAsia="Times New Roman"/>
          <w:color w:val="auto"/>
          <w:lang w:eastAsia="en-MY"/>
        </w:rPr>
        <w:t xml:space="preserve"> palsy within 14 days, </w:t>
      </w:r>
      <w:r w:rsidR="00110BE0" w:rsidRPr="009D4627">
        <w:rPr>
          <w:rFonts w:eastAsia="Times New Roman"/>
          <w:color w:val="auto"/>
          <w:lang w:eastAsia="en-MY"/>
        </w:rPr>
        <w:t xml:space="preserve">who </w:t>
      </w:r>
      <w:r w:rsidRPr="009D4627">
        <w:rPr>
          <w:rFonts w:eastAsia="Times New Roman"/>
          <w:color w:val="auto"/>
          <w:lang w:eastAsia="en-MY"/>
        </w:rPr>
        <w:t>attended the Eye Emergency Clinic (EEC), Royal Hallamshire Hospital Sheffield</w:t>
      </w:r>
      <w:r w:rsidR="00110BE0" w:rsidRPr="009D4627">
        <w:rPr>
          <w:rFonts w:eastAsia="Times New Roman"/>
          <w:color w:val="auto"/>
          <w:lang w:eastAsia="en-MY"/>
        </w:rPr>
        <w:t>,</w:t>
      </w:r>
      <w:r w:rsidRPr="009D4627">
        <w:rPr>
          <w:rFonts w:eastAsia="Times New Roman"/>
          <w:color w:val="auto"/>
          <w:lang w:eastAsia="en-MY"/>
        </w:rPr>
        <w:t xml:space="preserve"> were approached to participate in the study.  Potential patients who agreed to participate in the study were given the participant information sheets explaining the study </w:t>
      </w:r>
      <w:r w:rsidR="00110BE0" w:rsidRPr="009D4627">
        <w:rPr>
          <w:rFonts w:eastAsia="Times New Roman"/>
          <w:color w:val="auto"/>
          <w:lang w:eastAsia="en-MY"/>
        </w:rPr>
        <w:t>(</w:t>
      </w:r>
      <w:r w:rsidRPr="009D4627">
        <w:rPr>
          <w:rFonts w:eastAsia="Times New Roman"/>
          <w:color w:val="auto"/>
          <w:lang w:eastAsia="en-MY"/>
        </w:rPr>
        <w:t xml:space="preserve">Appendix </w:t>
      </w:r>
      <w:r w:rsidR="00D63F58" w:rsidRPr="009D4627">
        <w:rPr>
          <w:rFonts w:eastAsia="Times New Roman"/>
          <w:color w:val="auto"/>
          <w:lang w:eastAsia="en-MY"/>
        </w:rPr>
        <w:t>1.5</w:t>
      </w:r>
      <w:r w:rsidR="00110BE0" w:rsidRPr="009D4627">
        <w:rPr>
          <w:rFonts w:eastAsia="Times New Roman"/>
          <w:color w:val="auto"/>
          <w:lang w:eastAsia="en-MY"/>
        </w:rPr>
        <w:t>)</w:t>
      </w:r>
      <w:r w:rsidRPr="009D4627">
        <w:rPr>
          <w:rFonts w:eastAsia="Times New Roman"/>
          <w:color w:val="auto"/>
          <w:lang w:eastAsia="en-MY"/>
        </w:rPr>
        <w:t>. The</w:t>
      </w:r>
      <w:r w:rsidR="00E617D8" w:rsidRPr="009D4627">
        <w:rPr>
          <w:rFonts w:eastAsia="Times New Roman"/>
          <w:color w:val="auto"/>
          <w:lang w:eastAsia="en-MY"/>
        </w:rPr>
        <w:t xml:space="preserve"> potential participants </w:t>
      </w:r>
      <w:r w:rsidRPr="009D4627">
        <w:rPr>
          <w:rFonts w:eastAsia="Times New Roman"/>
          <w:color w:val="auto"/>
          <w:lang w:eastAsia="en-MY"/>
        </w:rPr>
        <w:t xml:space="preserve">were then contacted to confirm their participation </w:t>
      </w:r>
      <w:r w:rsidR="00E617D8" w:rsidRPr="009D4627">
        <w:rPr>
          <w:rFonts w:eastAsia="Times New Roman"/>
          <w:color w:val="auto"/>
          <w:lang w:eastAsia="en-MY"/>
        </w:rPr>
        <w:t>to</w:t>
      </w:r>
      <w:r w:rsidRPr="009D4627">
        <w:rPr>
          <w:rFonts w:eastAsia="Times New Roman"/>
          <w:color w:val="auto"/>
          <w:lang w:eastAsia="en-MY"/>
        </w:rPr>
        <w:t xml:space="preserve"> inform the first appointment at the University of Sheffield Eye Movement Lab, E Floor, The Medical School, Beech Hill Road, S10 2RX, Sheffield. </w:t>
      </w:r>
    </w:p>
    <w:p w14:paraId="0355F510" w14:textId="2A8E1447" w:rsidR="004238D5" w:rsidRPr="009D4627" w:rsidRDefault="00110BE0" w:rsidP="00110BE0">
      <w:pPr>
        <w:rPr>
          <w:lang w:eastAsia="en-MY"/>
        </w:rPr>
      </w:pPr>
      <w:r w:rsidRPr="009D4627">
        <w:rPr>
          <w:rFonts w:eastAsia="Times New Roman"/>
          <w:color w:val="auto"/>
          <w:lang w:eastAsia="en-MY"/>
        </w:rPr>
        <w:t>Patients ha</w:t>
      </w:r>
      <w:r w:rsidR="00F308E9" w:rsidRPr="009D4627">
        <w:rPr>
          <w:rFonts w:eastAsia="Times New Roman"/>
          <w:color w:val="auto"/>
          <w:lang w:eastAsia="en-MY"/>
        </w:rPr>
        <w:t>d</w:t>
      </w:r>
      <w:r w:rsidRPr="009D4627">
        <w:rPr>
          <w:rFonts w:eastAsia="Times New Roman"/>
          <w:color w:val="auto"/>
          <w:lang w:eastAsia="en-MY"/>
        </w:rPr>
        <w:t xml:space="preserve"> the opportunity to ask anything about the study. After checking that they had read and understood the participant information sheets and were still happy and willing to participate and continue the experiment, written consent was obtained using the Participant Consent Form</w:t>
      </w:r>
      <w:r w:rsidR="004238D5" w:rsidRPr="009D4627">
        <w:rPr>
          <w:rFonts w:eastAsia="Times New Roman"/>
          <w:color w:val="auto"/>
          <w:lang w:eastAsia="en-MY"/>
        </w:rPr>
        <w:t xml:space="preserve"> (Appendix </w:t>
      </w:r>
      <w:r w:rsidR="00D63F58" w:rsidRPr="009D4627">
        <w:rPr>
          <w:rFonts w:eastAsia="Times New Roman"/>
          <w:color w:val="auto"/>
          <w:lang w:eastAsia="en-MY"/>
        </w:rPr>
        <w:t>1.6</w:t>
      </w:r>
      <w:r w:rsidR="004238D5" w:rsidRPr="009D4627">
        <w:rPr>
          <w:rFonts w:eastAsia="Times New Roman"/>
          <w:color w:val="auto"/>
          <w:lang w:eastAsia="en-MY"/>
        </w:rPr>
        <w:t xml:space="preserve">). </w:t>
      </w:r>
      <w:r w:rsidRPr="009D4627">
        <w:rPr>
          <w:rFonts w:eastAsia="Times New Roman"/>
          <w:color w:val="auto"/>
          <w:lang w:eastAsia="en-MY"/>
        </w:rPr>
        <w:t xml:space="preserve">They were informed that they could choose to withdraw from the study at any time without the need for clarification or changes to their current clinical care. </w:t>
      </w:r>
    </w:p>
    <w:p w14:paraId="13A71845" w14:textId="4AD2A4A7" w:rsidR="004238D5" w:rsidRPr="009D4627" w:rsidRDefault="004238D5" w:rsidP="00110BE0">
      <w:pPr>
        <w:spacing w:before="0"/>
        <w:rPr>
          <w:rFonts w:eastAsia="Times New Roman"/>
          <w:color w:val="auto"/>
          <w:lang w:eastAsia="en-MY"/>
        </w:rPr>
      </w:pPr>
      <w:r w:rsidRPr="009D4627">
        <w:rPr>
          <w:rFonts w:eastAsia="Times New Roman"/>
          <w:color w:val="auto"/>
          <w:lang w:eastAsia="en-MY"/>
        </w:rPr>
        <w:t xml:space="preserve">The patients had the first </w:t>
      </w:r>
      <w:r w:rsidR="008D37EF" w:rsidRPr="009D4627">
        <w:rPr>
          <w:rFonts w:eastAsia="Times New Roman"/>
          <w:color w:val="auto"/>
          <w:lang w:eastAsia="en-MY"/>
        </w:rPr>
        <w:t xml:space="preserve">EMR </w:t>
      </w:r>
      <w:r w:rsidRPr="009D4627">
        <w:rPr>
          <w:rFonts w:eastAsia="Times New Roman"/>
          <w:color w:val="auto"/>
          <w:lang w:eastAsia="en-MY"/>
        </w:rPr>
        <w:t>taken within 14 days of onset</w:t>
      </w:r>
      <w:r w:rsidR="008E4ED6" w:rsidRPr="009D4627">
        <w:rPr>
          <w:rFonts w:eastAsia="Times New Roman"/>
          <w:color w:val="auto"/>
          <w:lang w:eastAsia="en-MY"/>
        </w:rPr>
        <w:t>,</w:t>
      </w:r>
      <w:r w:rsidRPr="009D4627">
        <w:rPr>
          <w:rFonts w:eastAsia="Times New Roman"/>
          <w:color w:val="auto"/>
          <w:lang w:eastAsia="en-MY"/>
        </w:rPr>
        <w:t xml:space="preserve"> </w:t>
      </w:r>
      <w:r w:rsidR="00E617D8" w:rsidRPr="009D4627">
        <w:rPr>
          <w:rFonts w:eastAsia="Times New Roman"/>
          <w:color w:val="auto"/>
          <w:lang w:eastAsia="en-MY"/>
        </w:rPr>
        <w:t xml:space="preserve">and </w:t>
      </w:r>
      <w:r w:rsidR="00F308E9" w:rsidRPr="009D4627">
        <w:rPr>
          <w:rFonts w:eastAsia="Times New Roman"/>
          <w:color w:val="auto"/>
          <w:lang w:eastAsia="en-MY"/>
        </w:rPr>
        <w:t>this was</w:t>
      </w:r>
      <w:r w:rsidR="00E617D8" w:rsidRPr="009D4627">
        <w:rPr>
          <w:rFonts w:eastAsia="Times New Roman"/>
          <w:color w:val="auto"/>
          <w:lang w:eastAsia="en-MY"/>
        </w:rPr>
        <w:t xml:space="preserve"> </w:t>
      </w:r>
      <w:r w:rsidRPr="009D4627">
        <w:rPr>
          <w:rFonts w:eastAsia="Times New Roman"/>
          <w:color w:val="auto"/>
          <w:lang w:eastAsia="en-MY"/>
        </w:rPr>
        <w:t xml:space="preserve">repeated four more times </w:t>
      </w:r>
      <w:r w:rsidR="00E617D8" w:rsidRPr="009D4627">
        <w:rPr>
          <w:rFonts w:eastAsia="Times New Roman"/>
          <w:color w:val="auto"/>
          <w:lang w:eastAsia="en-MY"/>
        </w:rPr>
        <w:t xml:space="preserve">in </w:t>
      </w:r>
      <w:r w:rsidRPr="009D4627">
        <w:rPr>
          <w:rFonts w:eastAsia="Times New Roman"/>
          <w:color w:val="auto"/>
          <w:lang w:eastAsia="en-MY"/>
        </w:rPr>
        <w:t>the following four months</w:t>
      </w:r>
      <w:r w:rsidR="008D37EF" w:rsidRPr="009D4627">
        <w:rPr>
          <w:rFonts w:eastAsia="Times New Roman"/>
          <w:color w:val="auto"/>
          <w:lang w:eastAsia="en-MY"/>
        </w:rPr>
        <w:t xml:space="preserve"> (potential recovery period)</w:t>
      </w:r>
      <w:r w:rsidRPr="009D4627">
        <w:rPr>
          <w:rFonts w:eastAsia="Times New Roman"/>
          <w:color w:val="auto"/>
          <w:lang w:eastAsia="en-MY"/>
        </w:rPr>
        <w:t xml:space="preserve">. </w:t>
      </w:r>
      <w:r w:rsidR="002E63E9" w:rsidRPr="009D4627">
        <w:rPr>
          <w:rFonts w:eastAsia="Times New Roman"/>
          <w:color w:val="auto"/>
          <w:lang w:eastAsia="en-MY"/>
        </w:rPr>
        <w:t>E</w:t>
      </w:r>
      <w:r w:rsidRPr="009D4627">
        <w:rPr>
          <w:rFonts w:eastAsia="Times New Roman"/>
          <w:color w:val="auto"/>
          <w:lang w:eastAsia="en-MY"/>
        </w:rPr>
        <w:t>ye recording visit</w:t>
      </w:r>
      <w:r w:rsidR="008E4ED6" w:rsidRPr="009D4627">
        <w:rPr>
          <w:rFonts w:eastAsia="Times New Roman"/>
          <w:color w:val="auto"/>
          <w:lang w:eastAsia="en-MY"/>
        </w:rPr>
        <w:t>s</w:t>
      </w:r>
      <w:r w:rsidRPr="009D4627">
        <w:rPr>
          <w:rFonts w:eastAsia="Times New Roman"/>
          <w:color w:val="auto"/>
          <w:lang w:eastAsia="en-MY"/>
        </w:rPr>
        <w:t xml:space="preserve"> w</w:t>
      </w:r>
      <w:r w:rsidR="008E4ED6" w:rsidRPr="009D4627">
        <w:rPr>
          <w:rFonts w:eastAsia="Times New Roman"/>
          <w:color w:val="auto"/>
          <w:lang w:eastAsia="en-MY"/>
        </w:rPr>
        <w:t>ere</w:t>
      </w:r>
      <w:r w:rsidRPr="009D4627">
        <w:rPr>
          <w:rFonts w:eastAsia="Times New Roman"/>
          <w:color w:val="auto"/>
          <w:lang w:eastAsia="en-MY"/>
        </w:rPr>
        <w:t xml:space="preserve"> planned for </w:t>
      </w:r>
      <w:r w:rsidR="002E63E9" w:rsidRPr="009D4627">
        <w:rPr>
          <w:rFonts w:eastAsia="Times New Roman"/>
          <w:color w:val="auto"/>
          <w:lang w:eastAsia="en-MY"/>
        </w:rPr>
        <w:t xml:space="preserve">five </w:t>
      </w:r>
      <w:r w:rsidRPr="009D4627">
        <w:rPr>
          <w:rFonts w:eastAsia="Times New Roman"/>
          <w:color w:val="auto"/>
          <w:lang w:eastAsia="en-MY"/>
        </w:rPr>
        <w:t>specific interval</w:t>
      </w:r>
      <w:r w:rsidR="002E63E9" w:rsidRPr="009D4627">
        <w:rPr>
          <w:rFonts w:eastAsia="Times New Roman"/>
          <w:color w:val="auto"/>
          <w:lang w:eastAsia="en-MY"/>
        </w:rPr>
        <w:t>s</w:t>
      </w:r>
      <w:r w:rsidRPr="009D4627">
        <w:rPr>
          <w:rFonts w:eastAsia="Times New Roman"/>
          <w:color w:val="auto"/>
          <w:lang w:eastAsia="en-MY"/>
        </w:rPr>
        <w:t xml:space="preserve"> (</w:t>
      </w:r>
      <w:r w:rsidR="002E63E9" w:rsidRPr="009D4627">
        <w:rPr>
          <w:rFonts w:eastAsia="Times New Roman"/>
          <w:color w:val="auto"/>
          <w:lang w:eastAsia="en-MY"/>
        </w:rPr>
        <w:t>in 2 weeks, 4, 8, 12 and 16 post-onset</w:t>
      </w:r>
      <w:r w:rsidRPr="009D4627">
        <w:rPr>
          <w:rFonts w:eastAsia="Times New Roman"/>
          <w:color w:val="000000"/>
          <w:lang w:eastAsia="en-MY"/>
        </w:rPr>
        <w:t xml:space="preserve">). </w:t>
      </w:r>
    </w:p>
    <w:p w14:paraId="0C5ABE0D" w14:textId="76CD063B" w:rsidR="004238D5" w:rsidRPr="009D4627" w:rsidRDefault="004238D5" w:rsidP="002E63E9">
      <w:pPr>
        <w:spacing w:after="0"/>
        <w:rPr>
          <w:rFonts w:eastAsia="Times New Roman"/>
          <w:color w:val="auto"/>
          <w:lang w:eastAsia="en-MY"/>
        </w:rPr>
      </w:pPr>
      <w:r w:rsidRPr="009D4627">
        <w:rPr>
          <w:rFonts w:eastAsia="Times New Roman"/>
          <w:color w:val="auto"/>
          <w:lang w:eastAsia="en-MY"/>
        </w:rPr>
        <w:lastRenderedPageBreak/>
        <w:t>The laboratory was set</w:t>
      </w:r>
      <w:r w:rsidR="00110BE0" w:rsidRPr="009D4627">
        <w:rPr>
          <w:rFonts w:eastAsia="Times New Roman"/>
          <w:color w:val="auto"/>
          <w:lang w:eastAsia="en-MY"/>
        </w:rPr>
        <w:t xml:space="preserve"> </w:t>
      </w:r>
      <w:r w:rsidRPr="009D4627">
        <w:rPr>
          <w:rFonts w:eastAsia="Times New Roman"/>
          <w:color w:val="auto"/>
          <w:lang w:eastAsia="en-MY"/>
        </w:rPr>
        <w:t xml:space="preserve">up, as described in </w:t>
      </w:r>
      <w:r w:rsidR="00E617D8" w:rsidRPr="009D4627">
        <w:rPr>
          <w:rFonts w:eastAsia="Times New Roman"/>
          <w:color w:val="auto"/>
          <w:lang w:eastAsia="en-MY"/>
        </w:rPr>
        <w:t xml:space="preserve">detail in </w:t>
      </w:r>
      <w:r w:rsidR="00110BE0" w:rsidRPr="009D4627">
        <w:rPr>
          <w:rFonts w:eastAsia="Times New Roman"/>
          <w:color w:val="auto"/>
          <w:lang w:eastAsia="en-MY"/>
        </w:rPr>
        <w:t>C</w:t>
      </w:r>
      <w:r w:rsidRPr="009D4627">
        <w:rPr>
          <w:rFonts w:eastAsia="Times New Roman"/>
          <w:color w:val="auto"/>
          <w:lang w:eastAsia="en-MY"/>
        </w:rPr>
        <w:t xml:space="preserve">hapter 2. </w:t>
      </w:r>
      <w:r w:rsidR="00110BE0" w:rsidRPr="009D4627">
        <w:rPr>
          <w:rFonts w:eastAsia="Times New Roman"/>
          <w:color w:val="auto"/>
          <w:lang w:eastAsia="en-MY"/>
        </w:rPr>
        <w:t xml:space="preserve">All eye movements were recorded monocularly, i.e., the untested eye was occluded using an opaque </w:t>
      </w:r>
      <w:proofErr w:type="spellStart"/>
      <w:r w:rsidR="00110BE0" w:rsidRPr="009D4627">
        <w:rPr>
          <w:rFonts w:eastAsia="Times New Roman"/>
          <w:color w:val="auto"/>
          <w:lang w:eastAsia="en-MY"/>
        </w:rPr>
        <w:t>occluder</w:t>
      </w:r>
      <w:proofErr w:type="spellEnd"/>
      <w:r w:rsidR="00110BE0" w:rsidRPr="009D4627">
        <w:rPr>
          <w:rFonts w:eastAsia="Times New Roman"/>
          <w:color w:val="auto"/>
          <w:lang w:eastAsia="en-MY"/>
        </w:rPr>
        <w:t>. The affected eye was recorded before the unaffected eye to avoid fatigue,</w:t>
      </w:r>
      <w:r w:rsidR="00F308E9" w:rsidRPr="009D4627">
        <w:rPr>
          <w:rFonts w:eastAsia="Times New Roman"/>
          <w:color w:val="auto"/>
          <w:lang w:eastAsia="en-MY"/>
        </w:rPr>
        <w:t xml:space="preserve"> </w:t>
      </w:r>
      <w:r w:rsidR="008E4ED6" w:rsidRPr="009D4627">
        <w:rPr>
          <w:rFonts w:eastAsia="Times New Roman"/>
          <w:color w:val="auto"/>
          <w:lang w:eastAsia="en-MY"/>
        </w:rPr>
        <w:t>which</w:t>
      </w:r>
      <w:r w:rsidR="00F308E9" w:rsidRPr="009D4627">
        <w:rPr>
          <w:rFonts w:eastAsia="Times New Roman"/>
          <w:color w:val="auto"/>
          <w:lang w:eastAsia="en-MY"/>
        </w:rPr>
        <w:t xml:space="preserve"> might</w:t>
      </w:r>
      <w:r w:rsidR="00110BE0" w:rsidRPr="009D4627">
        <w:rPr>
          <w:rFonts w:eastAsia="Times New Roman"/>
          <w:color w:val="auto"/>
          <w:lang w:eastAsia="en-MY"/>
        </w:rPr>
        <w:t xml:space="preserve"> worsen the </w:t>
      </w:r>
      <w:r w:rsidR="008D37EF" w:rsidRPr="009D4627">
        <w:rPr>
          <w:rFonts w:eastAsia="Times New Roman"/>
          <w:color w:val="auto"/>
          <w:lang w:eastAsia="en-MY"/>
        </w:rPr>
        <w:t>EMR</w:t>
      </w:r>
      <w:r w:rsidR="00110BE0" w:rsidRPr="009D4627">
        <w:rPr>
          <w:rFonts w:eastAsia="Times New Roman"/>
          <w:color w:val="auto"/>
          <w:lang w:eastAsia="en-MY"/>
        </w:rPr>
        <w:t>. The recorded eye movement data was stored on the encrypted disk and was analysed offline</w:t>
      </w:r>
      <w:r w:rsidRPr="009D4627">
        <w:rPr>
          <w:rFonts w:eastAsia="Times New Roman"/>
          <w:color w:val="auto"/>
          <w:lang w:eastAsia="en-MY"/>
        </w:rPr>
        <w:t xml:space="preserve">. </w:t>
      </w:r>
      <w:r w:rsidR="008D37EF" w:rsidRPr="009D4627">
        <w:rPr>
          <w:rFonts w:eastAsia="Times New Roman"/>
          <w:color w:val="auto"/>
          <w:lang w:eastAsia="en-MY"/>
        </w:rPr>
        <w:t xml:space="preserve">The coding format was set to allow the identification of four </w:t>
      </w:r>
      <w:r w:rsidR="002E63E9" w:rsidRPr="009D4627">
        <w:rPr>
          <w:rFonts w:eastAsia="Times New Roman"/>
          <w:color w:val="auto"/>
          <w:lang w:eastAsia="en-MY"/>
        </w:rPr>
        <w:t>essential</w:t>
      </w:r>
      <w:r w:rsidR="008D37EF" w:rsidRPr="009D4627">
        <w:rPr>
          <w:rFonts w:eastAsia="Times New Roman"/>
          <w:color w:val="auto"/>
          <w:lang w:eastAsia="en-MY"/>
        </w:rPr>
        <w:t xml:space="preserve"> pieces of information required for data analysis</w:t>
      </w:r>
      <w:r w:rsidRPr="009D4627">
        <w:rPr>
          <w:rFonts w:eastAsia="Times New Roman"/>
          <w:color w:val="auto"/>
          <w:lang w:eastAsia="en-MY"/>
        </w:rPr>
        <w:t>:</w:t>
      </w:r>
    </w:p>
    <w:p w14:paraId="1039A7EE" w14:textId="5291CCC1" w:rsidR="004238D5" w:rsidRPr="009D4627" w:rsidRDefault="004238D5" w:rsidP="00C171FA">
      <w:pPr>
        <w:numPr>
          <w:ilvl w:val="0"/>
          <w:numId w:val="102"/>
        </w:numPr>
        <w:contextualSpacing/>
        <w:rPr>
          <w:rFonts w:eastAsia="Times New Roman"/>
          <w:color w:val="auto"/>
          <w:lang w:eastAsia="en-MY"/>
        </w:rPr>
      </w:pPr>
      <w:r w:rsidRPr="009D4627">
        <w:rPr>
          <w:rFonts w:eastAsia="Times New Roman"/>
          <w:color w:val="auto"/>
          <w:lang w:eastAsia="en-MY"/>
        </w:rPr>
        <w:t xml:space="preserve">Type of eye movement: </w:t>
      </w:r>
      <w:r w:rsidRPr="009D4627">
        <w:rPr>
          <w:rFonts w:eastAsia="Times New Roman"/>
          <w:i/>
          <w:iCs/>
          <w:color w:val="auto"/>
          <w:lang w:eastAsia="en-MY"/>
        </w:rPr>
        <w:t>FX</w:t>
      </w:r>
      <w:r w:rsidRPr="009D4627">
        <w:rPr>
          <w:rFonts w:eastAsia="Times New Roman"/>
          <w:color w:val="auto"/>
          <w:lang w:eastAsia="en-MY"/>
        </w:rPr>
        <w:t xml:space="preserve">=fixation, </w:t>
      </w:r>
      <w:r w:rsidRPr="009D4627">
        <w:rPr>
          <w:rFonts w:eastAsia="Times New Roman"/>
          <w:i/>
          <w:iCs/>
          <w:color w:val="auto"/>
          <w:lang w:eastAsia="en-MY"/>
        </w:rPr>
        <w:t>PH</w:t>
      </w:r>
      <w:r w:rsidRPr="009D4627">
        <w:rPr>
          <w:rFonts w:eastAsia="Times New Roman"/>
          <w:color w:val="auto"/>
          <w:lang w:eastAsia="en-MY"/>
        </w:rPr>
        <w:t>=</w:t>
      </w:r>
      <w:r w:rsidR="00444E5B" w:rsidRPr="009D4627">
        <w:rPr>
          <w:rFonts w:eastAsia="Times New Roman"/>
          <w:color w:val="auto"/>
          <w:lang w:eastAsia="en-MY"/>
        </w:rPr>
        <w:t xml:space="preserve">SP </w:t>
      </w:r>
      <w:r w:rsidRPr="009D4627">
        <w:rPr>
          <w:rFonts w:eastAsia="Times New Roman"/>
          <w:color w:val="auto"/>
          <w:lang w:eastAsia="en-MY"/>
        </w:rPr>
        <w:t xml:space="preserve">horizontal, </w:t>
      </w:r>
      <w:r w:rsidRPr="009D4627">
        <w:rPr>
          <w:rFonts w:eastAsia="Times New Roman"/>
          <w:i/>
          <w:iCs/>
          <w:color w:val="auto"/>
          <w:lang w:eastAsia="en-MY"/>
        </w:rPr>
        <w:t>PV</w:t>
      </w:r>
      <w:r w:rsidRPr="009D4627">
        <w:rPr>
          <w:rFonts w:eastAsia="Times New Roman"/>
          <w:color w:val="auto"/>
          <w:lang w:eastAsia="en-MY"/>
        </w:rPr>
        <w:t>=</w:t>
      </w:r>
      <w:r w:rsidR="00444E5B" w:rsidRPr="009D4627">
        <w:rPr>
          <w:rFonts w:eastAsia="Times New Roman"/>
          <w:color w:val="auto"/>
          <w:lang w:eastAsia="en-MY"/>
        </w:rPr>
        <w:t xml:space="preserve">SP </w:t>
      </w:r>
      <w:r w:rsidRPr="009D4627">
        <w:rPr>
          <w:rFonts w:eastAsia="Times New Roman"/>
          <w:color w:val="auto"/>
          <w:lang w:eastAsia="en-MY"/>
        </w:rPr>
        <w:t xml:space="preserve">vertical, </w:t>
      </w:r>
      <w:r w:rsidRPr="009D4627">
        <w:rPr>
          <w:rFonts w:eastAsia="Times New Roman"/>
          <w:i/>
          <w:iCs/>
          <w:color w:val="auto"/>
          <w:lang w:eastAsia="en-MY"/>
        </w:rPr>
        <w:t>SH</w:t>
      </w:r>
      <w:r w:rsidRPr="009D4627">
        <w:rPr>
          <w:rFonts w:eastAsia="Times New Roman"/>
          <w:color w:val="auto"/>
          <w:lang w:eastAsia="en-MY"/>
        </w:rPr>
        <w:t xml:space="preserve">=saccade horizontal, and </w:t>
      </w:r>
      <w:r w:rsidRPr="009D4627">
        <w:rPr>
          <w:rFonts w:eastAsia="Times New Roman"/>
          <w:i/>
          <w:iCs/>
          <w:color w:val="auto"/>
          <w:lang w:eastAsia="en-MY"/>
        </w:rPr>
        <w:t>SV</w:t>
      </w:r>
      <w:r w:rsidRPr="009D4627">
        <w:rPr>
          <w:rFonts w:eastAsia="Times New Roman"/>
          <w:color w:val="auto"/>
          <w:lang w:eastAsia="en-MY"/>
        </w:rPr>
        <w:t>=saccade vertical</w:t>
      </w:r>
    </w:p>
    <w:p w14:paraId="0EEC1993" w14:textId="77777777" w:rsidR="004238D5" w:rsidRPr="009D4627" w:rsidRDefault="004238D5" w:rsidP="00C171FA">
      <w:pPr>
        <w:numPr>
          <w:ilvl w:val="0"/>
          <w:numId w:val="102"/>
        </w:numPr>
        <w:contextualSpacing/>
        <w:rPr>
          <w:rFonts w:eastAsia="Times New Roman"/>
          <w:color w:val="auto"/>
          <w:lang w:eastAsia="en-MY"/>
        </w:rPr>
      </w:pPr>
      <w:r w:rsidRPr="009D4627">
        <w:rPr>
          <w:rFonts w:eastAsia="Times New Roman"/>
          <w:color w:val="auto"/>
          <w:lang w:eastAsia="en-MY"/>
        </w:rPr>
        <w:t xml:space="preserve">Participants ID: </w:t>
      </w:r>
      <w:r w:rsidRPr="009D4627">
        <w:rPr>
          <w:rFonts w:eastAsia="Times New Roman"/>
          <w:i/>
          <w:iCs/>
          <w:color w:val="auto"/>
          <w:lang w:eastAsia="en-MY"/>
        </w:rPr>
        <w:t>001, 002, 003 004, 005, 006, 007, 008, 009, 010</w:t>
      </w:r>
    </w:p>
    <w:p w14:paraId="129DD427" w14:textId="77777777" w:rsidR="004238D5" w:rsidRPr="009D4627" w:rsidRDefault="004238D5" w:rsidP="00C171FA">
      <w:pPr>
        <w:numPr>
          <w:ilvl w:val="0"/>
          <w:numId w:val="102"/>
        </w:numPr>
        <w:contextualSpacing/>
        <w:rPr>
          <w:rFonts w:eastAsia="Times New Roman"/>
          <w:color w:val="auto"/>
          <w:lang w:eastAsia="en-MY"/>
        </w:rPr>
      </w:pPr>
      <w:r w:rsidRPr="009D4627">
        <w:rPr>
          <w:rFonts w:eastAsia="Times New Roman"/>
          <w:color w:val="auto"/>
          <w:lang w:eastAsia="en-MY"/>
        </w:rPr>
        <w:t xml:space="preserve">Visit number: </w:t>
      </w:r>
      <w:r w:rsidRPr="009D4627">
        <w:rPr>
          <w:rFonts w:eastAsia="Times New Roman"/>
          <w:i/>
          <w:iCs/>
          <w:color w:val="auto"/>
          <w:lang w:eastAsia="en-MY"/>
        </w:rPr>
        <w:t>01, 02, 03, 04, 05</w:t>
      </w:r>
    </w:p>
    <w:p w14:paraId="4BE0950A" w14:textId="1F08A0F8" w:rsidR="004238D5" w:rsidRPr="009D4627" w:rsidRDefault="004238D5" w:rsidP="00C171FA">
      <w:pPr>
        <w:numPr>
          <w:ilvl w:val="0"/>
          <w:numId w:val="102"/>
        </w:numPr>
        <w:contextualSpacing/>
        <w:rPr>
          <w:rFonts w:eastAsia="Times New Roman"/>
          <w:color w:val="auto"/>
          <w:lang w:eastAsia="en-MY"/>
        </w:rPr>
      </w:pPr>
      <w:r w:rsidRPr="009D4627">
        <w:rPr>
          <w:rFonts w:eastAsia="Times New Roman"/>
          <w:color w:val="auto"/>
          <w:lang w:eastAsia="en-MY"/>
        </w:rPr>
        <w:t>R</w:t>
      </w:r>
      <w:r w:rsidR="00EF5204" w:rsidRPr="009D4627">
        <w:rPr>
          <w:rFonts w:eastAsia="Times New Roman"/>
          <w:color w:val="auto"/>
          <w:lang w:eastAsia="en-MY"/>
        </w:rPr>
        <w:t>E</w:t>
      </w:r>
      <w:r w:rsidRPr="009D4627">
        <w:rPr>
          <w:rFonts w:eastAsia="Times New Roman"/>
          <w:color w:val="auto"/>
          <w:lang w:eastAsia="en-MY"/>
        </w:rPr>
        <w:t xml:space="preserve"> or </w:t>
      </w:r>
      <w:r w:rsidR="00EF5204" w:rsidRPr="009D4627">
        <w:rPr>
          <w:rFonts w:eastAsia="Times New Roman"/>
          <w:color w:val="auto"/>
          <w:lang w:eastAsia="en-MY"/>
        </w:rPr>
        <w:t>LE</w:t>
      </w:r>
      <w:r w:rsidRPr="009D4627">
        <w:rPr>
          <w:rFonts w:eastAsia="Times New Roman"/>
          <w:color w:val="auto"/>
          <w:lang w:eastAsia="en-MY"/>
        </w:rPr>
        <w:t xml:space="preserve">: </w:t>
      </w:r>
      <w:r w:rsidRPr="009D4627">
        <w:rPr>
          <w:rFonts w:eastAsia="Times New Roman"/>
          <w:i/>
          <w:iCs/>
          <w:color w:val="auto"/>
          <w:lang w:eastAsia="en-MY"/>
        </w:rPr>
        <w:t>R or L</w:t>
      </w:r>
    </w:p>
    <w:p w14:paraId="01C2754E" w14:textId="467DA705" w:rsidR="004238D5" w:rsidRPr="009D4627" w:rsidRDefault="004238D5" w:rsidP="002E63E9">
      <w:pPr>
        <w:spacing w:before="0" w:after="0"/>
        <w:rPr>
          <w:rFonts w:eastAsia="Times New Roman"/>
          <w:i/>
          <w:iCs/>
          <w:color w:val="auto"/>
          <w:lang w:eastAsia="en-MY"/>
        </w:rPr>
      </w:pPr>
      <w:r w:rsidRPr="009D4627">
        <w:rPr>
          <w:rFonts w:eastAsia="Times New Roman"/>
          <w:i/>
          <w:iCs/>
          <w:color w:val="auto"/>
          <w:lang w:eastAsia="en-MY"/>
        </w:rPr>
        <w:t xml:space="preserve">e.g., </w:t>
      </w:r>
      <w:r w:rsidRPr="009D4627">
        <w:rPr>
          <w:rFonts w:eastAsia="Times New Roman"/>
          <w:i/>
          <w:iCs/>
          <w:color w:val="auto"/>
          <w:lang w:eastAsia="en-MY"/>
        </w:rPr>
        <w:tab/>
        <w:t xml:space="preserve">1) FX00101R </w:t>
      </w:r>
      <w:r w:rsidRPr="009D4627">
        <w:rPr>
          <w:rFonts w:eastAsia="Times New Roman"/>
          <w:i/>
          <w:iCs/>
          <w:color w:val="auto"/>
          <w:lang w:eastAsia="en-MY"/>
        </w:rPr>
        <w:sym w:font="Wingdings" w:char="F0E0"/>
      </w:r>
      <w:r w:rsidRPr="009D4627">
        <w:rPr>
          <w:rFonts w:eastAsia="Times New Roman"/>
          <w:i/>
          <w:iCs/>
          <w:color w:val="auto"/>
          <w:lang w:eastAsia="en-MY"/>
        </w:rPr>
        <w:t xml:space="preserve"> </w:t>
      </w:r>
      <w:r w:rsidRPr="009D4627">
        <w:rPr>
          <w:rFonts w:eastAsia="Times New Roman"/>
          <w:color w:val="auto"/>
          <w:lang w:eastAsia="en-MY"/>
        </w:rPr>
        <w:t xml:space="preserve">fixation, ID 1, Visit 1, </w:t>
      </w:r>
      <w:r w:rsidR="00D67222" w:rsidRPr="009D4627">
        <w:rPr>
          <w:rFonts w:eastAsia="Times New Roman"/>
          <w:color w:val="auto"/>
          <w:lang w:eastAsia="en-MY"/>
        </w:rPr>
        <w:t>RE</w:t>
      </w:r>
    </w:p>
    <w:p w14:paraId="1C1AEE8E" w14:textId="5C71341E" w:rsidR="004238D5" w:rsidRPr="00E82E69" w:rsidRDefault="004238D5" w:rsidP="002E63E9">
      <w:pPr>
        <w:spacing w:before="0" w:after="0"/>
        <w:ind w:firstLine="720"/>
        <w:rPr>
          <w:rFonts w:eastAsia="Times New Roman"/>
          <w:i/>
          <w:iCs/>
          <w:color w:val="auto"/>
          <w:lang w:val="fr-FR" w:eastAsia="en-MY"/>
        </w:rPr>
      </w:pPr>
      <w:r w:rsidRPr="00E82E69">
        <w:rPr>
          <w:rFonts w:eastAsia="Times New Roman"/>
          <w:i/>
          <w:iCs/>
          <w:color w:val="auto"/>
          <w:lang w:val="fr-FR" w:eastAsia="en-MY"/>
        </w:rPr>
        <w:t xml:space="preserve">2) PH00704L </w:t>
      </w:r>
      <w:r w:rsidRPr="009D4627">
        <w:rPr>
          <w:rFonts w:eastAsia="Times New Roman"/>
          <w:i/>
          <w:iCs/>
          <w:color w:val="auto"/>
          <w:lang w:eastAsia="en-MY"/>
        </w:rPr>
        <w:sym w:font="Wingdings" w:char="F0E0"/>
      </w:r>
      <w:r w:rsidRPr="00E82E69">
        <w:rPr>
          <w:rFonts w:eastAsia="Times New Roman"/>
          <w:i/>
          <w:iCs/>
          <w:color w:val="auto"/>
          <w:lang w:val="fr-FR" w:eastAsia="en-MY"/>
        </w:rPr>
        <w:t xml:space="preserve"> </w:t>
      </w:r>
      <w:r w:rsidR="00444E5B" w:rsidRPr="00E82E69">
        <w:rPr>
          <w:rFonts w:eastAsia="Times New Roman"/>
          <w:color w:val="auto"/>
          <w:lang w:val="fr-FR" w:eastAsia="en-MY"/>
        </w:rPr>
        <w:t xml:space="preserve">SP </w:t>
      </w:r>
      <w:r w:rsidRPr="00E82E69">
        <w:rPr>
          <w:rFonts w:eastAsia="Times New Roman"/>
          <w:color w:val="auto"/>
          <w:lang w:val="fr-FR" w:eastAsia="en-MY"/>
        </w:rPr>
        <w:t xml:space="preserve">horizontal, ID 7, </w:t>
      </w:r>
      <w:proofErr w:type="spellStart"/>
      <w:r w:rsidRPr="00E82E69">
        <w:rPr>
          <w:rFonts w:eastAsia="Times New Roman"/>
          <w:color w:val="auto"/>
          <w:lang w:val="fr-FR" w:eastAsia="en-MY"/>
        </w:rPr>
        <w:t>visit</w:t>
      </w:r>
      <w:proofErr w:type="spellEnd"/>
      <w:r w:rsidRPr="00E82E69">
        <w:rPr>
          <w:rFonts w:eastAsia="Times New Roman"/>
          <w:color w:val="auto"/>
          <w:lang w:val="fr-FR" w:eastAsia="en-MY"/>
        </w:rPr>
        <w:t xml:space="preserve"> 4, </w:t>
      </w:r>
      <w:r w:rsidR="00D67222" w:rsidRPr="00E82E69">
        <w:rPr>
          <w:rFonts w:eastAsia="Times New Roman"/>
          <w:color w:val="auto"/>
          <w:lang w:val="fr-FR" w:eastAsia="en-MY"/>
        </w:rPr>
        <w:t>LE</w:t>
      </w:r>
    </w:p>
    <w:p w14:paraId="08D1A0FB" w14:textId="111B17FD" w:rsidR="004238D5" w:rsidRPr="009D4627" w:rsidRDefault="004238D5" w:rsidP="004238D5">
      <w:pPr>
        <w:rPr>
          <w:rFonts w:eastAsia="Times New Roman"/>
          <w:color w:val="auto"/>
          <w:lang w:eastAsia="en-MY"/>
        </w:rPr>
      </w:pPr>
      <w:r w:rsidRPr="009D4627">
        <w:rPr>
          <w:rFonts w:eastAsia="Times New Roman"/>
          <w:color w:val="auto"/>
          <w:lang w:eastAsia="en-MY"/>
        </w:rPr>
        <w:t xml:space="preserve">Fixation was recorded at five stationary </w:t>
      </w:r>
      <w:r w:rsidR="001F1EA0" w:rsidRPr="009D4627">
        <w:rPr>
          <w:rFonts w:eastAsia="Times New Roman"/>
          <w:color w:val="auto"/>
          <w:lang w:eastAsia="en-MY"/>
        </w:rPr>
        <w:t>fixation position</w:t>
      </w:r>
      <w:r w:rsidRPr="009D4627">
        <w:rPr>
          <w:rFonts w:eastAsia="Times New Roman"/>
          <w:color w:val="auto"/>
          <w:lang w:eastAsia="en-MY"/>
        </w:rPr>
        <w:t>s</w:t>
      </w:r>
      <w:r w:rsidR="00110BE0" w:rsidRPr="009D4627">
        <w:rPr>
          <w:rFonts w:eastAsia="Times New Roman"/>
          <w:color w:val="auto"/>
          <w:lang w:eastAsia="en-MY"/>
        </w:rPr>
        <w:t xml:space="preserve">: </w:t>
      </w:r>
      <w:r w:rsidRPr="009D4627">
        <w:rPr>
          <w:rFonts w:eastAsia="Times New Roman"/>
          <w:color w:val="auto"/>
          <w:lang w:eastAsia="en-MY"/>
        </w:rPr>
        <w:t>PP, 10° left</w:t>
      </w:r>
      <w:r w:rsidR="00110BE0" w:rsidRPr="009D4627">
        <w:rPr>
          <w:rFonts w:eastAsia="Times New Roman"/>
          <w:color w:val="auto"/>
          <w:lang w:eastAsia="en-MY"/>
        </w:rPr>
        <w:t>, 10°</w:t>
      </w:r>
      <w:r w:rsidRPr="009D4627">
        <w:rPr>
          <w:rFonts w:eastAsia="Times New Roman"/>
          <w:color w:val="auto"/>
          <w:lang w:eastAsia="en-MY"/>
        </w:rPr>
        <w:t xml:space="preserve"> right, 8° up and </w:t>
      </w:r>
      <w:r w:rsidR="00110BE0" w:rsidRPr="009D4627">
        <w:rPr>
          <w:rFonts w:eastAsia="Times New Roman"/>
          <w:color w:val="auto"/>
          <w:lang w:eastAsia="en-MY"/>
        </w:rPr>
        <w:t xml:space="preserve">8° </w:t>
      </w:r>
      <w:r w:rsidRPr="009D4627">
        <w:rPr>
          <w:rFonts w:eastAsia="Times New Roman"/>
          <w:color w:val="auto"/>
          <w:lang w:eastAsia="en-MY"/>
        </w:rPr>
        <w:t xml:space="preserve">down. Horizontal and vertical </w:t>
      </w:r>
      <w:r w:rsidR="00134019" w:rsidRPr="009D4627">
        <w:rPr>
          <w:rFonts w:eastAsia="Times New Roman"/>
          <w:color w:val="auto"/>
          <w:lang w:eastAsia="en-MY"/>
        </w:rPr>
        <w:t>SP</w:t>
      </w:r>
      <w:r w:rsidRPr="009D4627">
        <w:rPr>
          <w:rFonts w:eastAsia="Times New Roman"/>
          <w:color w:val="auto"/>
          <w:lang w:eastAsia="en-MY"/>
        </w:rPr>
        <w:t xml:space="preserve">s were recorded using four target frequencies (0.2, 0.4, 0.6, and 0.8 Hz horizontally, and 0.25, 0.5, 0.75, and 1.0 Hz vertically). Higher frequencies </w:t>
      </w:r>
      <w:r w:rsidR="008E4ED6" w:rsidRPr="009D4627">
        <w:rPr>
          <w:rFonts w:eastAsia="Times New Roman"/>
          <w:color w:val="auto"/>
          <w:lang w:eastAsia="en-MY"/>
        </w:rPr>
        <w:t xml:space="preserve">were </w:t>
      </w:r>
      <w:r w:rsidRPr="009D4627">
        <w:rPr>
          <w:rFonts w:eastAsia="Times New Roman"/>
          <w:color w:val="auto"/>
          <w:lang w:eastAsia="en-MY"/>
        </w:rPr>
        <w:t xml:space="preserve">used for vertical </w:t>
      </w:r>
      <w:r w:rsidR="008D37EF" w:rsidRPr="009D4627">
        <w:rPr>
          <w:rFonts w:eastAsia="Times New Roman"/>
          <w:color w:val="auto"/>
          <w:lang w:eastAsia="en-MY"/>
        </w:rPr>
        <w:t>SPs</w:t>
      </w:r>
      <w:r w:rsidRPr="009D4627">
        <w:rPr>
          <w:rFonts w:eastAsia="Times New Roman"/>
          <w:color w:val="auto"/>
          <w:lang w:eastAsia="en-MY"/>
        </w:rPr>
        <w:t xml:space="preserve"> as the amplitude decreased to ±8° due to screen size, while horizontal amplitude was ±10°.</w:t>
      </w:r>
      <w:r w:rsidR="003F2691" w:rsidRPr="009D4627">
        <w:rPr>
          <w:rFonts w:eastAsia="Times New Roman"/>
          <w:color w:val="auto"/>
          <w:lang w:eastAsia="en-MY"/>
        </w:rPr>
        <w:t xml:space="preserve"> It</w:t>
      </w:r>
      <w:r w:rsidRPr="009D4627">
        <w:rPr>
          <w:rFonts w:eastAsia="Times New Roman"/>
          <w:color w:val="auto"/>
          <w:lang w:eastAsia="en-MY"/>
        </w:rPr>
        <w:t xml:space="preserve"> achieved </w:t>
      </w:r>
      <w:r w:rsidR="003F2691" w:rsidRPr="009D4627">
        <w:rPr>
          <w:rFonts w:eastAsia="Times New Roman"/>
          <w:color w:val="auto"/>
          <w:lang w:eastAsia="en-MY"/>
        </w:rPr>
        <w:t xml:space="preserve">an </w:t>
      </w:r>
      <w:r w:rsidRPr="009D4627">
        <w:rPr>
          <w:rFonts w:eastAsia="Times New Roman"/>
          <w:color w:val="auto"/>
          <w:lang w:eastAsia="en-MY"/>
        </w:rPr>
        <w:t xml:space="preserve">equal mean velocity of the </w:t>
      </w:r>
      <w:r w:rsidR="00F57D01" w:rsidRPr="009D4627">
        <w:rPr>
          <w:rFonts w:eastAsia="Times New Roman"/>
          <w:color w:val="auto"/>
          <w:lang w:eastAsia="en-MY"/>
        </w:rPr>
        <w:t>target</w:t>
      </w:r>
      <w:r w:rsidRPr="009D4627">
        <w:rPr>
          <w:rFonts w:eastAsia="Times New Roman"/>
          <w:color w:val="auto"/>
          <w:lang w:eastAsia="en-MY"/>
        </w:rPr>
        <w:t xml:space="preserve"> for horizontal and vertical </w:t>
      </w:r>
      <w:r w:rsidR="008D37EF" w:rsidRPr="009D4627">
        <w:rPr>
          <w:rFonts w:eastAsia="Times New Roman"/>
          <w:color w:val="auto"/>
          <w:lang w:eastAsia="en-MY"/>
        </w:rPr>
        <w:t>SP EMR</w:t>
      </w:r>
      <w:r w:rsidRPr="009D4627">
        <w:rPr>
          <w:rFonts w:eastAsia="Times New Roman"/>
          <w:color w:val="auto"/>
          <w:lang w:eastAsia="en-MY"/>
        </w:rPr>
        <w:t xml:space="preserve"> (refer to Table 2.1 a </w:t>
      </w:r>
      <w:r w:rsidR="0060470C" w:rsidRPr="009D4627">
        <w:rPr>
          <w:rFonts w:eastAsia="Times New Roman"/>
          <w:color w:val="auto"/>
          <w:lang w:eastAsia="en-MY"/>
        </w:rPr>
        <w:t>and</w:t>
      </w:r>
      <w:r w:rsidRPr="009D4627">
        <w:rPr>
          <w:rFonts w:eastAsia="Times New Roman"/>
          <w:color w:val="auto"/>
          <w:lang w:eastAsia="en-MY"/>
        </w:rPr>
        <w:t xml:space="preserve"> b).  Horizontal saccades were tested at four target amplitudes, ±5° and ±</w:t>
      </w:r>
      <w:r w:rsidR="003F2691" w:rsidRPr="009D4627">
        <w:rPr>
          <w:rFonts w:eastAsia="Times New Roman"/>
          <w:color w:val="auto"/>
          <w:lang w:eastAsia="en-MY"/>
        </w:rPr>
        <w:t xml:space="preserve"> </w:t>
      </w:r>
      <w:r w:rsidRPr="009D4627">
        <w:rPr>
          <w:rFonts w:eastAsia="Times New Roman"/>
          <w:color w:val="auto"/>
          <w:lang w:eastAsia="en-MY"/>
        </w:rPr>
        <w:t xml:space="preserve">10°, and the vertical saccades were tested at six amplitudes, ±4°, ±6°, and ±8°. </w:t>
      </w:r>
    </w:p>
    <w:p w14:paraId="3E0FBB96" w14:textId="1B343D51" w:rsidR="00C65DBE" w:rsidRPr="009D4627" w:rsidRDefault="00E617D8" w:rsidP="004238D5">
      <w:pPr>
        <w:rPr>
          <w:rFonts w:eastAsia="Times New Roman"/>
          <w:color w:val="auto"/>
          <w:lang w:eastAsia="en-MY"/>
        </w:rPr>
      </w:pPr>
      <w:r w:rsidRPr="009D4627">
        <w:rPr>
          <w:rFonts w:eastAsia="Times New Roman"/>
          <w:color w:val="auto"/>
          <w:lang w:eastAsia="en-MY"/>
        </w:rPr>
        <w:t>During</w:t>
      </w:r>
      <w:r w:rsidR="00C25A02" w:rsidRPr="009D4627">
        <w:rPr>
          <w:rFonts w:eastAsia="Times New Roman"/>
          <w:color w:val="auto"/>
          <w:lang w:eastAsia="en-MY"/>
        </w:rPr>
        <w:t xml:space="preserve"> the first visit, </w:t>
      </w:r>
      <w:r w:rsidR="003F2691" w:rsidRPr="009D4627">
        <w:rPr>
          <w:rFonts w:eastAsia="Times New Roman"/>
          <w:color w:val="auto"/>
          <w:lang w:eastAsia="en-MY"/>
        </w:rPr>
        <w:t>the target size selection</w:t>
      </w:r>
      <w:r w:rsidR="00C25A02" w:rsidRPr="009D4627">
        <w:rPr>
          <w:rFonts w:eastAsia="Times New Roman"/>
          <w:color w:val="auto"/>
          <w:lang w:eastAsia="en-MY"/>
        </w:rPr>
        <w:t xml:space="preserve"> depend</w:t>
      </w:r>
      <w:r w:rsidR="00F308E9" w:rsidRPr="009D4627">
        <w:rPr>
          <w:rFonts w:eastAsia="Times New Roman"/>
          <w:color w:val="auto"/>
          <w:lang w:eastAsia="en-MY"/>
        </w:rPr>
        <w:t>ed</w:t>
      </w:r>
      <w:r w:rsidR="00C25A02" w:rsidRPr="009D4627">
        <w:rPr>
          <w:rFonts w:eastAsia="Times New Roman"/>
          <w:color w:val="auto"/>
          <w:lang w:eastAsia="en-MY"/>
        </w:rPr>
        <w:t xml:space="preserve"> on the patient's focusing ability to comfortably fixate at the centre of the cross, considering their uncorrected presbyopia. </w:t>
      </w:r>
      <w:r w:rsidR="008D37EF" w:rsidRPr="009D4627">
        <w:rPr>
          <w:rFonts w:eastAsia="Times New Roman"/>
          <w:color w:val="auto"/>
          <w:lang w:eastAsia="en-MY"/>
        </w:rPr>
        <w:t>Unfortunately, t</w:t>
      </w:r>
      <w:r w:rsidR="00C25A02" w:rsidRPr="009D4627">
        <w:rPr>
          <w:rFonts w:eastAsia="Times New Roman"/>
          <w:color w:val="auto"/>
          <w:lang w:eastAsia="en-MY"/>
        </w:rPr>
        <w:t xml:space="preserve">he </w:t>
      </w:r>
      <w:proofErr w:type="spellStart"/>
      <w:r w:rsidR="00C65DBE" w:rsidRPr="009D4627">
        <w:rPr>
          <w:rFonts w:eastAsia="Times New Roman"/>
          <w:color w:val="auto"/>
          <w:lang w:eastAsia="en-MY"/>
        </w:rPr>
        <w:t>EyeLink</w:t>
      </w:r>
      <w:proofErr w:type="spellEnd"/>
      <w:r w:rsidR="00C65DBE" w:rsidRPr="009D4627">
        <w:rPr>
          <w:rFonts w:eastAsia="Times New Roman"/>
          <w:color w:val="auto"/>
          <w:lang w:eastAsia="en-MY"/>
        </w:rPr>
        <w:t xml:space="preserve"> 1000 Plus</w:t>
      </w:r>
      <w:r w:rsidR="00C25A02" w:rsidRPr="009D4627">
        <w:rPr>
          <w:rFonts w:eastAsia="Times New Roman"/>
          <w:color w:val="auto"/>
          <w:lang w:eastAsia="en-MY"/>
        </w:rPr>
        <w:t xml:space="preserve"> could not accurately track the pupil with </w:t>
      </w:r>
      <w:r w:rsidR="00C65DBE" w:rsidRPr="009D4627">
        <w:rPr>
          <w:rFonts w:eastAsia="Times New Roman"/>
          <w:color w:val="auto"/>
          <w:lang w:eastAsia="en-MY"/>
        </w:rPr>
        <w:t>progressive added lenses (</w:t>
      </w:r>
      <w:r w:rsidR="00C25A02" w:rsidRPr="009D4627">
        <w:rPr>
          <w:rFonts w:eastAsia="Times New Roman"/>
          <w:color w:val="auto"/>
          <w:lang w:eastAsia="en-MY"/>
        </w:rPr>
        <w:t>PALs</w:t>
      </w:r>
      <w:r w:rsidR="00C65DBE" w:rsidRPr="009D4627">
        <w:rPr>
          <w:rFonts w:eastAsia="Times New Roman"/>
          <w:color w:val="auto"/>
          <w:lang w:eastAsia="en-MY"/>
        </w:rPr>
        <w:t xml:space="preserve">) or bifocals due to the different focusing power at different parts of the </w:t>
      </w:r>
      <w:r w:rsidR="00C65DBE" w:rsidRPr="009D4627">
        <w:rPr>
          <w:rFonts w:eastAsia="Times New Roman"/>
          <w:color w:val="auto"/>
          <w:lang w:eastAsia="en-MY"/>
        </w:rPr>
        <w:lastRenderedPageBreak/>
        <w:t>lenses, which was the commonest encountered habitual correction presbyopia</w:t>
      </w:r>
      <w:r w:rsidR="00C25A02" w:rsidRPr="009D4627">
        <w:rPr>
          <w:rFonts w:eastAsia="Times New Roman"/>
          <w:color w:val="auto"/>
          <w:lang w:eastAsia="en-MY"/>
        </w:rPr>
        <w:t xml:space="preserve">. </w:t>
      </w:r>
      <w:r w:rsidR="00C65DBE" w:rsidRPr="009D4627">
        <w:rPr>
          <w:rFonts w:eastAsia="Times New Roman"/>
          <w:color w:val="auto"/>
          <w:lang w:eastAsia="en-MY"/>
        </w:rPr>
        <w:t>Therefore, p</w:t>
      </w:r>
      <w:r w:rsidRPr="009D4627">
        <w:rPr>
          <w:rFonts w:eastAsia="Times New Roman"/>
          <w:color w:val="auto"/>
          <w:lang w:eastAsia="en-MY"/>
        </w:rPr>
        <w:t>atients were asked if they c</w:t>
      </w:r>
      <w:r w:rsidR="00C65DBE" w:rsidRPr="009D4627">
        <w:rPr>
          <w:rFonts w:eastAsia="Times New Roman"/>
          <w:color w:val="auto"/>
          <w:lang w:eastAsia="en-MY"/>
        </w:rPr>
        <w:t>ould comfortably fixate at the cent</w:t>
      </w:r>
      <w:r w:rsidR="008D37EF" w:rsidRPr="009D4627">
        <w:rPr>
          <w:rFonts w:eastAsia="Times New Roman"/>
          <w:color w:val="auto"/>
          <w:lang w:eastAsia="en-MY"/>
        </w:rPr>
        <w:t>re</w:t>
      </w:r>
      <w:r w:rsidR="00C65DBE" w:rsidRPr="009D4627">
        <w:rPr>
          <w:rFonts w:eastAsia="Times New Roman"/>
          <w:color w:val="auto"/>
          <w:lang w:eastAsia="en-MY"/>
        </w:rPr>
        <w:t xml:space="preserve"> of the cross target or identified that they were facing</w:t>
      </w:r>
      <w:r w:rsidRPr="009D4627">
        <w:rPr>
          <w:rFonts w:eastAsia="Times New Roman"/>
          <w:color w:val="auto"/>
          <w:lang w:eastAsia="en-MY"/>
        </w:rPr>
        <w:t xml:space="preserve"> fixation difficulties when the validation process was unsuccessful. </w:t>
      </w:r>
      <w:r w:rsidR="008D37EF" w:rsidRPr="009D4627">
        <w:rPr>
          <w:rFonts w:eastAsia="Times New Roman"/>
          <w:color w:val="auto"/>
          <w:lang w:eastAsia="en-MY"/>
        </w:rPr>
        <w:t>As a result, s</w:t>
      </w:r>
      <w:r w:rsidR="00C65DBE" w:rsidRPr="009D4627">
        <w:rPr>
          <w:rFonts w:eastAsia="Times New Roman"/>
          <w:color w:val="auto"/>
          <w:lang w:eastAsia="en-MY"/>
        </w:rPr>
        <w:t>ome patients required a larger target measurement (2°) for the initial session, while some patients started EMR with a smaller target measurement such as 1°. However, the difference in the dimensions of the white square, which is the focal target location for the intersection of 1° and 2° target size, is not significant (please refer to Figure 2.</w:t>
      </w:r>
      <w:r w:rsidR="008D37EF" w:rsidRPr="009D4627">
        <w:rPr>
          <w:rFonts w:eastAsia="Times New Roman"/>
          <w:color w:val="auto"/>
          <w:lang w:eastAsia="en-MY"/>
        </w:rPr>
        <w:t>4</w:t>
      </w:r>
      <w:r w:rsidR="00C65DBE" w:rsidRPr="009D4627">
        <w:rPr>
          <w:rFonts w:eastAsia="Times New Roman"/>
          <w:color w:val="auto"/>
          <w:lang w:eastAsia="en-MY"/>
        </w:rPr>
        <w:t xml:space="preserve"> for details). </w:t>
      </w:r>
    </w:p>
    <w:p w14:paraId="6D196651" w14:textId="302E0CD8" w:rsidR="004238D5" w:rsidRPr="009D4627" w:rsidRDefault="00C65DBE" w:rsidP="004238D5">
      <w:pPr>
        <w:rPr>
          <w:rFonts w:eastAsia="Times New Roman"/>
          <w:color w:val="auto"/>
          <w:lang w:eastAsia="en-MY"/>
        </w:rPr>
      </w:pPr>
      <w:r w:rsidRPr="009D4627">
        <w:rPr>
          <w:rFonts w:eastAsia="Times New Roman"/>
          <w:color w:val="auto"/>
          <w:lang w:eastAsia="en-MY"/>
        </w:rPr>
        <w:t xml:space="preserve">Decreased fixation ability may </w:t>
      </w:r>
      <w:r w:rsidR="00F308E9" w:rsidRPr="009D4627">
        <w:rPr>
          <w:rFonts w:eastAsia="Times New Roman"/>
          <w:color w:val="auto"/>
          <w:lang w:eastAsia="en-MY"/>
        </w:rPr>
        <w:t xml:space="preserve">have </w:t>
      </w:r>
      <w:r w:rsidRPr="009D4627">
        <w:rPr>
          <w:rFonts w:eastAsia="Times New Roman"/>
          <w:color w:val="auto"/>
          <w:lang w:eastAsia="en-MY"/>
        </w:rPr>
        <w:t>be</w:t>
      </w:r>
      <w:r w:rsidR="00F308E9" w:rsidRPr="009D4627">
        <w:rPr>
          <w:rFonts w:eastAsia="Times New Roman"/>
          <w:color w:val="auto"/>
          <w:lang w:eastAsia="en-MY"/>
        </w:rPr>
        <w:t>en</w:t>
      </w:r>
      <w:r w:rsidRPr="009D4627">
        <w:rPr>
          <w:rFonts w:eastAsia="Times New Roman"/>
          <w:color w:val="auto"/>
          <w:lang w:eastAsia="en-MY"/>
        </w:rPr>
        <w:t xml:space="preserve"> due to general disorientation due to the recent onset of symptoms. </w:t>
      </w:r>
      <w:r w:rsidR="008D37EF" w:rsidRPr="009D4627">
        <w:rPr>
          <w:rFonts w:eastAsia="Times New Roman"/>
          <w:color w:val="auto"/>
          <w:lang w:eastAsia="en-MY"/>
        </w:rPr>
        <w:t>In addition, c</w:t>
      </w:r>
      <w:r w:rsidRPr="009D4627">
        <w:rPr>
          <w:rFonts w:eastAsia="Times New Roman"/>
          <w:color w:val="auto"/>
          <w:lang w:eastAsia="en-MY"/>
        </w:rPr>
        <w:t xml:space="preserve">hanges in target measurements between visits may </w:t>
      </w:r>
      <w:r w:rsidR="00F308E9" w:rsidRPr="009D4627">
        <w:rPr>
          <w:rFonts w:eastAsia="Times New Roman"/>
          <w:color w:val="auto"/>
          <w:lang w:eastAsia="en-MY"/>
        </w:rPr>
        <w:t xml:space="preserve">have </w:t>
      </w:r>
      <w:r w:rsidRPr="009D4627">
        <w:rPr>
          <w:rFonts w:eastAsia="Times New Roman"/>
          <w:color w:val="auto"/>
          <w:lang w:eastAsia="en-MY"/>
        </w:rPr>
        <w:t>be</w:t>
      </w:r>
      <w:r w:rsidR="00F308E9" w:rsidRPr="009D4627">
        <w:rPr>
          <w:rFonts w:eastAsia="Times New Roman"/>
          <w:color w:val="auto"/>
          <w:lang w:eastAsia="en-MY"/>
        </w:rPr>
        <w:t>en</w:t>
      </w:r>
      <w:r w:rsidRPr="009D4627">
        <w:rPr>
          <w:rFonts w:eastAsia="Times New Roman"/>
          <w:color w:val="auto"/>
          <w:lang w:eastAsia="en-MY"/>
        </w:rPr>
        <w:t xml:space="preserve"> a confounding variable.</w:t>
      </w:r>
      <w:r w:rsidR="004238D5" w:rsidRPr="009D4627">
        <w:rPr>
          <w:rFonts w:eastAsia="Times New Roman"/>
          <w:color w:val="auto"/>
          <w:lang w:eastAsia="en-MY"/>
        </w:rPr>
        <w:t xml:space="preserve"> However, </w:t>
      </w:r>
      <w:r w:rsidR="00CD5257" w:rsidRPr="009D4627">
        <w:rPr>
          <w:rFonts w:eastAsia="Times New Roman"/>
          <w:color w:val="auto"/>
          <w:lang w:eastAsia="en-MY"/>
        </w:rPr>
        <w:t xml:space="preserve">in </w:t>
      </w:r>
      <w:r w:rsidRPr="009D4627">
        <w:rPr>
          <w:rFonts w:eastAsia="Times New Roman"/>
          <w:color w:val="auto"/>
          <w:lang w:eastAsia="en-MY"/>
        </w:rPr>
        <w:t xml:space="preserve">Chapter 4 </w:t>
      </w:r>
      <w:r w:rsidR="009502C3" w:rsidRPr="009D4627">
        <w:rPr>
          <w:rFonts w:eastAsia="Times New Roman"/>
          <w:color w:val="auto"/>
          <w:lang w:eastAsia="en-MY"/>
        </w:rPr>
        <w:t xml:space="preserve">– </w:t>
      </w:r>
      <w:r w:rsidRPr="009D4627">
        <w:rPr>
          <w:rFonts w:eastAsia="Times New Roman"/>
          <w:color w:val="auto"/>
          <w:lang w:eastAsia="en-MY"/>
        </w:rPr>
        <w:t>E</w:t>
      </w:r>
      <w:r w:rsidR="004238D5" w:rsidRPr="009D4627">
        <w:rPr>
          <w:rFonts w:eastAsia="Times New Roman"/>
          <w:color w:val="auto"/>
          <w:lang w:eastAsia="en-MY"/>
        </w:rPr>
        <w:t>xperiment 2</w:t>
      </w:r>
      <w:r w:rsidRPr="009D4627">
        <w:rPr>
          <w:rFonts w:eastAsia="Times New Roman"/>
          <w:color w:val="auto"/>
          <w:lang w:eastAsia="en-MY"/>
        </w:rPr>
        <w:t>,</w:t>
      </w:r>
      <w:r w:rsidR="004238D5" w:rsidRPr="009D4627">
        <w:rPr>
          <w:rFonts w:eastAsia="Times New Roman"/>
          <w:color w:val="auto"/>
          <w:lang w:eastAsia="en-MY"/>
        </w:rPr>
        <w:t xml:space="preserve"> </w:t>
      </w:r>
      <w:r w:rsidR="00CD5257" w:rsidRPr="009D4627">
        <w:rPr>
          <w:rFonts w:eastAsia="Times New Roman"/>
          <w:color w:val="auto"/>
          <w:lang w:eastAsia="en-MY"/>
        </w:rPr>
        <w:t xml:space="preserve">we have </w:t>
      </w:r>
      <w:r w:rsidR="004238D5" w:rsidRPr="009D4627">
        <w:rPr>
          <w:rFonts w:eastAsia="Times New Roman"/>
          <w:color w:val="auto"/>
          <w:lang w:eastAsia="en-MY"/>
        </w:rPr>
        <w:t xml:space="preserve">reported </w:t>
      </w:r>
      <w:r w:rsidRPr="009D4627">
        <w:rPr>
          <w:rFonts w:eastAsia="Times New Roman"/>
          <w:color w:val="auto"/>
          <w:lang w:eastAsia="en-MY"/>
        </w:rPr>
        <w:t>no significant difference in eye movement performance between 1° or 2° target size, except the smallest target size of 0.5° has significantly reduced saccadic latency and SP RMSE</w:t>
      </w:r>
      <w:r w:rsidR="004238D5" w:rsidRPr="009D4627">
        <w:rPr>
          <w:rFonts w:eastAsia="Times New Roman"/>
          <w:color w:val="auto"/>
          <w:lang w:eastAsia="en-MY"/>
        </w:rPr>
        <w:t xml:space="preserve">. </w:t>
      </w:r>
      <w:r w:rsidRPr="009D4627">
        <w:rPr>
          <w:rFonts w:eastAsia="Times New Roman"/>
          <w:color w:val="auto"/>
          <w:lang w:eastAsia="en-MY"/>
        </w:rPr>
        <w:t xml:space="preserve">Therefore, the use of 1° or 2° target size did not affect the results, </w:t>
      </w:r>
      <w:r w:rsidRPr="009D4627">
        <w:rPr>
          <w:lang w:val="en"/>
        </w:rPr>
        <w:t xml:space="preserve">but the performance of eye movements is more dependent on the patient's ability to </w:t>
      </w:r>
      <w:r w:rsidRPr="009D4627">
        <w:rPr>
          <w:rFonts w:eastAsia="Times New Roman"/>
          <w:color w:val="auto"/>
          <w:lang w:eastAsia="en-MY"/>
        </w:rPr>
        <w:t xml:space="preserve">fixate and follow </w:t>
      </w:r>
      <w:r w:rsidRPr="009D4627">
        <w:rPr>
          <w:lang w:val="en"/>
        </w:rPr>
        <w:t>the target at the time of recording</w:t>
      </w:r>
      <w:r w:rsidRPr="009D4627">
        <w:rPr>
          <w:rFonts w:eastAsia="Times New Roman"/>
          <w:color w:val="auto"/>
          <w:lang w:eastAsia="en-MY"/>
        </w:rPr>
        <w:t xml:space="preserve">. </w:t>
      </w:r>
    </w:p>
    <w:p w14:paraId="0E658E36" w14:textId="2097EDEC" w:rsidR="001F53D0" w:rsidRPr="009D4627" w:rsidRDefault="001F53D0" w:rsidP="001F53D0">
      <w:r w:rsidRPr="009D4627">
        <w:rPr>
          <w:rFonts w:eastAsia="Times New Roman"/>
          <w:color w:val="auto"/>
          <w:lang w:eastAsia="en-MY"/>
        </w:rPr>
        <w:t>The sample size calculator, which can be found at https://www.surveysystem.com/sscalc.htm&gt;, was used to determine the number of patients needed for the study. The sample size of ten patients was adequate to achieve statistical significance (Appendix 5.</w:t>
      </w:r>
      <w:r w:rsidR="00800E68">
        <w:rPr>
          <w:rFonts w:eastAsia="Times New Roman"/>
          <w:color w:val="auto"/>
          <w:lang w:eastAsia="en-MY"/>
        </w:rPr>
        <w:t>1</w:t>
      </w:r>
      <w:r w:rsidRPr="009D4627">
        <w:rPr>
          <w:rFonts w:eastAsia="Times New Roman"/>
          <w:color w:val="auto"/>
          <w:lang w:eastAsia="en-MY"/>
        </w:rPr>
        <w:t>).</w:t>
      </w:r>
      <w:r w:rsidRPr="009D4627">
        <w:t xml:space="preserve"> </w:t>
      </w:r>
    </w:p>
    <w:p w14:paraId="027726EB" w14:textId="7368B6D7" w:rsidR="004238D5" w:rsidRPr="009D4627" w:rsidRDefault="004238D5" w:rsidP="00DC4CA6">
      <w:pPr>
        <w:pStyle w:val="Heading3"/>
      </w:pPr>
      <w:bookmarkStart w:id="480" w:name="_Toc98964706"/>
      <w:bookmarkStart w:id="481" w:name="_Toc103344749"/>
      <w:r w:rsidRPr="009D4627">
        <w:t xml:space="preserve">Data </w:t>
      </w:r>
      <w:r w:rsidR="00533E48">
        <w:t>a</w:t>
      </w:r>
      <w:r w:rsidRPr="009D4627">
        <w:t>nalysis</w:t>
      </w:r>
      <w:bookmarkEnd w:id="480"/>
      <w:bookmarkEnd w:id="481"/>
    </w:p>
    <w:p w14:paraId="18F2C084" w14:textId="5DE5D5D0" w:rsidR="004B4F56" w:rsidRPr="009D4627" w:rsidRDefault="004238D5" w:rsidP="004B4F56">
      <w:pPr>
        <w:spacing w:after="160"/>
        <w:rPr>
          <w:szCs w:val="22"/>
        </w:rPr>
      </w:pPr>
      <w:r w:rsidRPr="009D4627">
        <w:rPr>
          <w:rFonts w:eastAsia="Times New Roman"/>
          <w:color w:val="auto"/>
          <w:lang w:eastAsia="en-MY"/>
        </w:rPr>
        <w:t xml:space="preserve">Data extraction from DV </w:t>
      </w:r>
      <w:r w:rsidR="008E4ED6" w:rsidRPr="009D4627">
        <w:rPr>
          <w:rFonts w:eastAsia="Times New Roman"/>
          <w:color w:val="auto"/>
          <w:lang w:eastAsia="en-MY"/>
        </w:rPr>
        <w:t xml:space="preserve">was </w:t>
      </w:r>
      <w:r w:rsidR="00CD5257" w:rsidRPr="009D4627">
        <w:rPr>
          <w:rFonts w:eastAsia="Times New Roman"/>
          <w:color w:val="auto"/>
          <w:lang w:eastAsia="en-MY"/>
        </w:rPr>
        <w:t>performed</w:t>
      </w:r>
      <w:r w:rsidRPr="009D4627">
        <w:rPr>
          <w:rFonts w:eastAsia="Times New Roman"/>
          <w:color w:val="auto"/>
          <w:lang w:eastAsia="en-MY"/>
        </w:rPr>
        <w:t xml:space="preserve"> separately for RE and LE as the </w:t>
      </w:r>
      <w:r w:rsidR="00C65DBE" w:rsidRPr="009D4627">
        <w:rPr>
          <w:rFonts w:eastAsia="Times New Roman"/>
          <w:color w:val="auto"/>
          <w:lang w:eastAsia="en-MY"/>
        </w:rPr>
        <w:t>EMR</w:t>
      </w:r>
      <w:r w:rsidRPr="009D4627">
        <w:rPr>
          <w:rFonts w:eastAsia="Times New Roman"/>
          <w:color w:val="auto"/>
          <w:lang w:eastAsia="en-MY"/>
        </w:rPr>
        <w:t xml:space="preserve"> was </w:t>
      </w:r>
      <w:r w:rsidR="00C65DBE" w:rsidRPr="009D4627">
        <w:rPr>
          <w:rFonts w:eastAsia="Times New Roman"/>
          <w:color w:val="auto"/>
          <w:lang w:eastAsia="en-MY"/>
        </w:rPr>
        <w:t>performed</w:t>
      </w:r>
      <w:r w:rsidRPr="009D4627">
        <w:rPr>
          <w:rFonts w:eastAsia="Times New Roman"/>
          <w:color w:val="auto"/>
          <w:lang w:eastAsia="en-MY"/>
        </w:rPr>
        <w:t xml:space="preserve"> monocularly. The details for data extraction processes </w:t>
      </w:r>
      <w:r w:rsidR="00F308E9" w:rsidRPr="009D4627">
        <w:rPr>
          <w:rFonts w:eastAsia="Times New Roman"/>
          <w:color w:val="auto"/>
          <w:lang w:eastAsia="en-MY"/>
        </w:rPr>
        <w:t>are</w:t>
      </w:r>
      <w:r w:rsidRPr="009D4627">
        <w:rPr>
          <w:rFonts w:eastAsia="Times New Roman"/>
          <w:color w:val="auto"/>
          <w:lang w:eastAsia="en-MY"/>
        </w:rPr>
        <w:t xml:space="preserve"> outlined in Appendix 2.1 </w:t>
      </w:r>
      <w:r w:rsidR="00D63F58" w:rsidRPr="009D4627">
        <w:rPr>
          <w:rFonts w:eastAsia="Times New Roman"/>
          <w:color w:val="auto"/>
          <w:lang w:eastAsia="en-MY"/>
        </w:rPr>
        <w:t>(</w:t>
      </w:r>
      <w:r w:rsidRPr="009D4627">
        <w:rPr>
          <w:rFonts w:eastAsia="Times New Roman"/>
          <w:color w:val="auto"/>
          <w:lang w:eastAsia="en-MY"/>
        </w:rPr>
        <w:t>fixation</w:t>
      </w:r>
      <w:r w:rsidR="00D63F58" w:rsidRPr="009D4627">
        <w:rPr>
          <w:rFonts w:eastAsia="Times New Roman"/>
          <w:color w:val="auto"/>
          <w:lang w:eastAsia="en-MY"/>
        </w:rPr>
        <w:t>)</w:t>
      </w:r>
      <w:r w:rsidRPr="009D4627">
        <w:rPr>
          <w:rFonts w:eastAsia="Times New Roman"/>
          <w:color w:val="auto"/>
          <w:lang w:eastAsia="en-MY"/>
        </w:rPr>
        <w:t xml:space="preserve">, 2.2 </w:t>
      </w:r>
      <w:r w:rsidR="00D63F58" w:rsidRPr="009D4627">
        <w:rPr>
          <w:rFonts w:eastAsia="Times New Roman"/>
          <w:color w:val="auto"/>
          <w:lang w:eastAsia="en-MY"/>
        </w:rPr>
        <w:t>(</w:t>
      </w:r>
      <w:r w:rsidR="008D37EF" w:rsidRPr="009D4627">
        <w:rPr>
          <w:rFonts w:eastAsia="Times New Roman"/>
          <w:color w:val="auto"/>
          <w:lang w:eastAsia="en-MY"/>
        </w:rPr>
        <w:t>SPs</w:t>
      </w:r>
      <w:r w:rsidR="00D63F58" w:rsidRPr="009D4627">
        <w:rPr>
          <w:rFonts w:eastAsia="Times New Roman"/>
          <w:color w:val="auto"/>
          <w:lang w:eastAsia="en-MY"/>
        </w:rPr>
        <w:t>)</w:t>
      </w:r>
      <w:r w:rsidRPr="009D4627">
        <w:rPr>
          <w:rFonts w:eastAsia="Times New Roman"/>
          <w:color w:val="auto"/>
          <w:lang w:eastAsia="en-MY"/>
        </w:rPr>
        <w:t xml:space="preserve">, and 2.3 </w:t>
      </w:r>
      <w:r w:rsidR="00D63F58" w:rsidRPr="009D4627">
        <w:rPr>
          <w:rFonts w:eastAsia="Times New Roman"/>
          <w:color w:val="auto"/>
          <w:lang w:eastAsia="en-MY"/>
        </w:rPr>
        <w:t>(</w:t>
      </w:r>
      <w:r w:rsidRPr="009D4627">
        <w:rPr>
          <w:rFonts w:eastAsia="Times New Roman"/>
          <w:color w:val="auto"/>
          <w:lang w:eastAsia="en-MY"/>
        </w:rPr>
        <w:t>saccades</w:t>
      </w:r>
      <w:r w:rsidR="00D63F58" w:rsidRPr="009D4627">
        <w:rPr>
          <w:rFonts w:eastAsia="Times New Roman"/>
          <w:color w:val="auto"/>
          <w:lang w:eastAsia="en-MY"/>
        </w:rPr>
        <w:t>)</w:t>
      </w:r>
      <w:r w:rsidRPr="009D4627">
        <w:rPr>
          <w:rFonts w:eastAsia="Times New Roman"/>
          <w:color w:val="auto"/>
          <w:lang w:eastAsia="en-MY"/>
        </w:rPr>
        <w:t xml:space="preserve">.  </w:t>
      </w:r>
    </w:p>
    <w:p w14:paraId="4B260A27" w14:textId="7A48DAC9" w:rsidR="00200BB5" w:rsidRPr="009D4627" w:rsidRDefault="00790ACB" w:rsidP="00E60023">
      <w:pPr>
        <w:spacing w:before="0" w:after="0"/>
        <w:rPr>
          <w:rFonts w:eastAsia="Times New Roman"/>
          <w:color w:val="auto"/>
          <w:lang w:eastAsia="en-MY"/>
        </w:rPr>
      </w:pPr>
      <w:r w:rsidRPr="009D4627">
        <w:rPr>
          <w:rFonts w:eastAsia="Times New Roman"/>
          <w:color w:val="auto"/>
          <w:lang w:eastAsia="en-MY"/>
        </w:rPr>
        <w:lastRenderedPageBreak/>
        <w:t>The first step in the analysis is to compare the affected and unaffected eyes EMR results. The analysis used an independent sample t-test. The t-test assumptions were checked to ensure the data met the test conditions</w:t>
      </w:r>
      <w:r w:rsidR="00E60023" w:rsidRPr="009D4627">
        <w:rPr>
          <w:rFonts w:eastAsia="Times New Roman"/>
          <w:color w:val="auto"/>
          <w:lang w:eastAsia="en-MY"/>
        </w:rPr>
        <w:t>:</w:t>
      </w:r>
    </w:p>
    <w:p w14:paraId="084D9DFD" w14:textId="54DD1AFB" w:rsidR="00F32127" w:rsidRPr="009D4627" w:rsidRDefault="00F32127" w:rsidP="006D0F5C">
      <w:pPr>
        <w:pStyle w:val="ListParagraph"/>
        <w:numPr>
          <w:ilvl w:val="0"/>
          <w:numId w:val="144"/>
        </w:numPr>
        <w:spacing w:before="0" w:after="0"/>
        <w:rPr>
          <w:rFonts w:eastAsia="Times New Roman"/>
          <w:color w:val="auto"/>
          <w:lang w:eastAsia="en-MY"/>
        </w:rPr>
      </w:pPr>
      <w:r w:rsidRPr="009D4627">
        <w:rPr>
          <w:rFonts w:eastAsia="Times New Roman"/>
          <w:color w:val="auto"/>
          <w:lang w:eastAsia="en-MY"/>
        </w:rPr>
        <w:t>Assumption 1: Dependen</w:t>
      </w:r>
      <w:r w:rsidR="008F2600" w:rsidRPr="009D4627">
        <w:rPr>
          <w:rFonts w:eastAsia="Times New Roman"/>
          <w:color w:val="auto"/>
          <w:lang w:eastAsia="en-MY"/>
        </w:rPr>
        <w:t>t</w:t>
      </w:r>
      <w:r w:rsidRPr="009D4627">
        <w:rPr>
          <w:rFonts w:eastAsia="Times New Roman"/>
          <w:color w:val="auto"/>
          <w:lang w:eastAsia="en-MY"/>
        </w:rPr>
        <w:t xml:space="preserve"> variable is a continuous level.</w:t>
      </w:r>
    </w:p>
    <w:p w14:paraId="55BC35F0" w14:textId="6E982A69" w:rsidR="00790ACB" w:rsidRPr="009D4627" w:rsidRDefault="00F32127" w:rsidP="006D0F5C">
      <w:pPr>
        <w:pStyle w:val="ListParagraph"/>
        <w:numPr>
          <w:ilvl w:val="0"/>
          <w:numId w:val="144"/>
        </w:numPr>
        <w:spacing w:before="0" w:after="0"/>
        <w:rPr>
          <w:rFonts w:eastAsia="Times New Roman"/>
          <w:color w:val="auto"/>
          <w:lang w:eastAsia="en-MY"/>
        </w:rPr>
      </w:pPr>
      <w:r w:rsidRPr="009D4627">
        <w:rPr>
          <w:rFonts w:eastAsia="Times New Roman"/>
          <w:color w:val="auto"/>
          <w:lang w:eastAsia="en-MY"/>
        </w:rPr>
        <w:t xml:space="preserve">Assumption 2: Independent variable is categorical </w:t>
      </w:r>
      <w:r w:rsidR="008F2600" w:rsidRPr="009D4627">
        <w:rPr>
          <w:rFonts w:eastAsia="Times New Roman"/>
          <w:color w:val="auto"/>
          <w:lang w:eastAsia="en-MY"/>
        </w:rPr>
        <w:t>that has</w:t>
      </w:r>
      <w:r w:rsidRPr="009D4627">
        <w:rPr>
          <w:rFonts w:eastAsia="Times New Roman"/>
          <w:color w:val="auto"/>
          <w:lang w:eastAsia="en-MY"/>
        </w:rPr>
        <w:t xml:space="preserve"> two groups.</w:t>
      </w:r>
    </w:p>
    <w:p w14:paraId="2DD4DFC6" w14:textId="7865EB3F" w:rsidR="00F32127" w:rsidRPr="009D4627" w:rsidRDefault="00F32127" w:rsidP="006D0F5C">
      <w:pPr>
        <w:pStyle w:val="ListParagraph"/>
        <w:numPr>
          <w:ilvl w:val="0"/>
          <w:numId w:val="144"/>
        </w:numPr>
        <w:spacing w:before="0" w:after="0"/>
        <w:rPr>
          <w:rFonts w:eastAsia="Times New Roman"/>
          <w:color w:val="auto"/>
          <w:lang w:eastAsia="en-MY"/>
        </w:rPr>
      </w:pPr>
      <w:r w:rsidRPr="009D4627">
        <w:rPr>
          <w:rFonts w:eastAsia="Times New Roman"/>
          <w:color w:val="auto"/>
          <w:lang w:eastAsia="en-MY"/>
        </w:rPr>
        <w:t>Assumption 3: Independence of observations.</w:t>
      </w:r>
    </w:p>
    <w:p w14:paraId="1500BD46" w14:textId="5DF9FADA" w:rsidR="00F32127" w:rsidRPr="00DC4CA6" w:rsidRDefault="00F32127" w:rsidP="006D0F5C">
      <w:pPr>
        <w:pStyle w:val="ListParagraph"/>
        <w:numPr>
          <w:ilvl w:val="0"/>
          <w:numId w:val="144"/>
        </w:numPr>
        <w:spacing w:before="0" w:after="0"/>
        <w:rPr>
          <w:color w:val="auto"/>
        </w:rPr>
      </w:pPr>
      <w:r w:rsidRPr="009D4627">
        <w:rPr>
          <w:rFonts w:eastAsia="Times New Roman"/>
          <w:color w:val="auto"/>
          <w:lang w:eastAsia="en-MY"/>
        </w:rPr>
        <w:t>Assumption 4</w:t>
      </w:r>
      <w:r w:rsidRPr="00DC4CA6">
        <w:rPr>
          <w:rFonts w:eastAsia="Times New Roman"/>
          <w:color w:val="auto"/>
          <w:lang w:eastAsia="en-MY"/>
        </w:rPr>
        <w:t xml:space="preserve">: </w:t>
      </w:r>
      <w:r w:rsidRPr="00DC4CA6">
        <w:rPr>
          <w:color w:val="auto"/>
        </w:rPr>
        <w:t>There should be no significant outliers in the two groups of independent variables in terms of the dependent variable.</w:t>
      </w:r>
    </w:p>
    <w:p w14:paraId="5A1966D8" w14:textId="71908CB6" w:rsidR="008F2600" w:rsidRPr="00DC4CA6" w:rsidRDefault="008F2600" w:rsidP="006D0F5C">
      <w:pPr>
        <w:pStyle w:val="ListParagraph"/>
        <w:numPr>
          <w:ilvl w:val="0"/>
          <w:numId w:val="144"/>
        </w:numPr>
        <w:spacing w:before="0" w:after="0"/>
        <w:rPr>
          <w:color w:val="auto"/>
        </w:rPr>
      </w:pPr>
      <w:r w:rsidRPr="00DC4CA6">
        <w:rPr>
          <w:color w:val="auto"/>
        </w:rPr>
        <w:t xml:space="preserve">Assumption 5: </w:t>
      </w:r>
      <w:r w:rsidRPr="00DC4CA6">
        <w:rPr>
          <w:rStyle w:val="strong-blue"/>
          <w:color w:val="auto"/>
        </w:rPr>
        <w:t>Dependent variable should be approximately normally distributed for each group of the independent variable.</w:t>
      </w:r>
    </w:p>
    <w:p w14:paraId="3C6E6366" w14:textId="1CF1B036" w:rsidR="006D0F5C" w:rsidRPr="009D4627" w:rsidRDefault="0068287F" w:rsidP="00DC4CA6">
      <w:pPr>
        <w:rPr>
          <w:rFonts w:eastAsia="Times New Roman"/>
          <w:color w:val="auto"/>
          <w:lang w:eastAsia="en-MY"/>
        </w:rPr>
      </w:pPr>
      <w:r w:rsidRPr="00DC4CA6">
        <w:rPr>
          <w:rFonts w:eastAsia="Times New Roman"/>
          <w:color w:val="auto"/>
          <w:lang w:eastAsia="en-MY"/>
        </w:rPr>
        <w:t>The</w:t>
      </w:r>
      <w:r w:rsidR="00E60023" w:rsidRPr="00DC4CA6">
        <w:rPr>
          <w:rFonts w:eastAsia="Times New Roman"/>
          <w:color w:val="auto"/>
          <w:lang w:eastAsia="en-MY"/>
        </w:rPr>
        <w:t xml:space="preserve"> </w:t>
      </w:r>
      <w:r w:rsidR="00E60023" w:rsidRPr="00DC4CA6">
        <w:rPr>
          <w:color w:val="auto"/>
          <w:shd w:val="clear" w:color="auto" w:fill="FFFFFF"/>
        </w:rPr>
        <w:t>Mann-Whitney U test was employed when the assumptions were not met.</w:t>
      </w:r>
      <w:r w:rsidR="00DC4CA6">
        <w:rPr>
          <w:color w:val="auto"/>
          <w:shd w:val="clear" w:color="auto" w:fill="FFFFFF"/>
        </w:rPr>
        <w:t xml:space="preserve"> </w:t>
      </w:r>
      <w:r w:rsidR="006D0F5C" w:rsidRPr="009D4627">
        <w:rPr>
          <w:rFonts w:eastAsia="Times New Roman"/>
          <w:color w:val="auto"/>
          <w:lang w:eastAsia="en-MY"/>
        </w:rPr>
        <w:t xml:space="preserve">Further statistical tests </w:t>
      </w:r>
      <w:r w:rsidR="00DF3070" w:rsidRPr="009D4627">
        <w:rPr>
          <w:rFonts w:eastAsia="Times New Roman"/>
          <w:color w:val="auto"/>
          <w:lang w:eastAsia="en-MY"/>
        </w:rPr>
        <w:t>were</w:t>
      </w:r>
      <w:r w:rsidR="006D0F5C" w:rsidRPr="009D4627">
        <w:rPr>
          <w:rFonts w:eastAsia="Times New Roman"/>
          <w:color w:val="auto"/>
          <w:lang w:eastAsia="en-MY"/>
        </w:rPr>
        <w:t xml:space="preserve"> done on all patients without grouping them according to palsy type. This is due to the study's unequal number of participants for each type of palsy. </w:t>
      </w:r>
    </w:p>
    <w:p w14:paraId="30523B1A" w14:textId="27B3EBEB" w:rsidR="00EC755A" w:rsidRPr="009D4627" w:rsidRDefault="00E22516" w:rsidP="00B367FC">
      <w:pPr>
        <w:spacing w:after="0"/>
        <w:rPr>
          <w:rFonts w:eastAsia="Times New Roman"/>
          <w:color w:val="0E101A"/>
          <w:lang w:val="en-MY" w:eastAsia="en-MY"/>
        </w:rPr>
      </w:pPr>
      <w:r w:rsidRPr="009D4627">
        <w:rPr>
          <w:rFonts w:eastAsia="Times New Roman"/>
          <w:color w:val="auto"/>
          <w:lang w:eastAsia="en-MY"/>
        </w:rPr>
        <w:t>A</w:t>
      </w:r>
      <w:r w:rsidR="006D0F5C" w:rsidRPr="009D4627">
        <w:rPr>
          <w:rFonts w:eastAsia="Times New Roman"/>
          <w:color w:val="auto"/>
          <w:lang w:eastAsia="en-MY"/>
        </w:rPr>
        <w:t xml:space="preserve"> </w:t>
      </w:r>
      <w:r w:rsidR="00200BB5" w:rsidRPr="009D4627">
        <w:rPr>
          <w:rFonts w:eastAsia="Times New Roman"/>
          <w:color w:val="auto"/>
          <w:lang w:eastAsia="en-MY"/>
        </w:rPr>
        <w:t>r</w:t>
      </w:r>
      <w:r w:rsidR="002A498C" w:rsidRPr="009D4627">
        <w:rPr>
          <w:rFonts w:eastAsia="Times New Roman"/>
          <w:color w:val="auto"/>
          <w:lang w:eastAsia="en-MY"/>
        </w:rPr>
        <w:t>epeated</w:t>
      </w:r>
      <w:r w:rsidRPr="009D4627">
        <w:rPr>
          <w:rFonts w:eastAsia="Times New Roman"/>
          <w:color w:val="auto"/>
          <w:lang w:eastAsia="en-MY"/>
        </w:rPr>
        <w:t>-</w:t>
      </w:r>
      <w:r w:rsidR="002A498C" w:rsidRPr="009D4627">
        <w:rPr>
          <w:rFonts w:eastAsia="Times New Roman"/>
          <w:color w:val="auto"/>
          <w:lang w:eastAsia="en-MY"/>
        </w:rPr>
        <w:t xml:space="preserve">measures ANOVA is used to investigate if two within-subjects factors (independent variables) have a statistically significant interaction effect on a continuous dependent variable. </w:t>
      </w:r>
      <w:r w:rsidR="00E60023" w:rsidRPr="009D4627">
        <w:rPr>
          <w:rFonts w:eastAsia="Times New Roman"/>
          <w:color w:val="0E101A"/>
          <w:lang w:val="en-MY" w:eastAsia="en-MY"/>
        </w:rPr>
        <w:t>Assumptions for repeated measures ANOVA were evaluated on the data to ensure they met the criteria for the test</w:t>
      </w:r>
      <w:r w:rsidR="00EC755A" w:rsidRPr="009D4627">
        <w:rPr>
          <w:rFonts w:eastAsia="Times New Roman"/>
          <w:color w:val="0E101A"/>
          <w:lang w:val="en-MY" w:eastAsia="en-MY"/>
        </w:rPr>
        <w:t>:</w:t>
      </w:r>
    </w:p>
    <w:p w14:paraId="5DB218EE" w14:textId="57844A91" w:rsidR="00EC755A" w:rsidRPr="009D4627" w:rsidRDefault="00EC755A" w:rsidP="006D0F5C">
      <w:pPr>
        <w:pStyle w:val="ListParagraph"/>
        <w:numPr>
          <w:ilvl w:val="0"/>
          <w:numId w:val="143"/>
        </w:numPr>
        <w:spacing w:before="0" w:after="0"/>
        <w:rPr>
          <w:rFonts w:eastAsia="Times New Roman"/>
          <w:color w:val="0E101A"/>
          <w:lang w:val="en-MY" w:eastAsia="en-MY"/>
        </w:rPr>
      </w:pPr>
      <w:r w:rsidRPr="009D4627">
        <w:rPr>
          <w:rFonts w:eastAsia="Times New Roman"/>
          <w:color w:val="0E101A"/>
          <w:lang w:val="en-MY" w:eastAsia="en-MY"/>
        </w:rPr>
        <w:t>Assumption 1: Data consist of one continuous dependent variable.</w:t>
      </w:r>
    </w:p>
    <w:p w14:paraId="14733D0D" w14:textId="04F4F27F" w:rsidR="00EC755A" w:rsidRPr="009D4627" w:rsidRDefault="00EC755A" w:rsidP="006D0F5C">
      <w:pPr>
        <w:pStyle w:val="ListParagraph"/>
        <w:numPr>
          <w:ilvl w:val="0"/>
          <w:numId w:val="143"/>
        </w:numPr>
        <w:spacing w:before="0" w:after="0"/>
        <w:rPr>
          <w:rFonts w:eastAsia="Times New Roman"/>
          <w:color w:val="0E101A"/>
          <w:lang w:val="en-MY" w:eastAsia="en-MY"/>
        </w:rPr>
      </w:pPr>
      <w:r w:rsidRPr="009D4627">
        <w:rPr>
          <w:rFonts w:eastAsia="Times New Roman"/>
          <w:color w:val="0E101A"/>
          <w:lang w:val="en-MY" w:eastAsia="en-MY"/>
        </w:rPr>
        <w:t>Assumption 2: Data have two within-subjects factors, each with two or more categorical levels.</w:t>
      </w:r>
    </w:p>
    <w:p w14:paraId="23F9E65A" w14:textId="661B1C00" w:rsidR="00EC755A" w:rsidRPr="009D4627" w:rsidRDefault="00EC755A" w:rsidP="006D0F5C">
      <w:pPr>
        <w:pStyle w:val="ListParagraph"/>
        <w:numPr>
          <w:ilvl w:val="0"/>
          <w:numId w:val="143"/>
        </w:numPr>
        <w:spacing w:before="0" w:after="0"/>
        <w:rPr>
          <w:rFonts w:eastAsia="Times New Roman"/>
          <w:color w:val="0E101A"/>
          <w:lang w:val="en-MY" w:eastAsia="en-MY"/>
        </w:rPr>
      </w:pPr>
      <w:r w:rsidRPr="009D4627">
        <w:rPr>
          <w:rFonts w:eastAsia="Times New Roman"/>
          <w:color w:val="0E101A"/>
          <w:lang w:val="en-MY" w:eastAsia="en-MY"/>
        </w:rPr>
        <w:t>Assumption</w:t>
      </w:r>
      <w:r w:rsidR="00647419">
        <w:rPr>
          <w:rFonts w:eastAsia="Times New Roman"/>
          <w:color w:val="0E101A"/>
          <w:lang w:val="en-MY" w:eastAsia="en-MY"/>
        </w:rPr>
        <w:t xml:space="preserve"> </w:t>
      </w:r>
      <w:r w:rsidRPr="009D4627">
        <w:rPr>
          <w:rFonts w:eastAsia="Times New Roman"/>
          <w:color w:val="0E101A"/>
          <w:lang w:val="en-MY" w:eastAsia="en-MY"/>
        </w:rPr>
        <w:t>3: No significant within-subjects factor outliers confirmed with studentized residual value (SRE). No outliers if SRE ±3.</w:t>
      </w:r>
    </w:p>
    <w:p w14:paraId="4506E13D" w14:textId="77777777" w:rsidR="00EC755A" w:rsidRPr="009D4627" w:rsidRDefault="00EC755A" w:rsidP="006D0F5C">
      <w:pPr>
        <w:pStyle w:val="ListParagraph"/>
        <w:numPr>
          <w:ilvl w:val="0"/>
          <w:numId w:val="143"/>
        </w:numPr>
        <w:spacing w:before="0" w:after="0"/>
        <w:rPr>
          <w:rFonts w:eastAsia="Times New Roman"/>
          <w:color w:val="0E101A"/>
          <w:lang w:val="en-MY" w:eastAsia="en-MY"/>
        </w:rPr>
      </w:pPr>
      <w:r w:rsidRPr="009D4627">
        <w:rPr>
          <w:rFonts w:eastAsia="Times New Roman"/>
          <w:color w:val="0E101A"/>
          <w:lang w:val="en-MY" w:eastAsia="en-MY"/>
        </w:rPr>
        <w:t>Assumption 4: The dependent variables should be approximately normally distributed.</w:t>
      </w:r>
    </w:p>
    <w:p w14:paraId="33FBB322" w14:textId="5F36FD2A" w:rsidR="00EC755A" w:rsidRPr="009D4627" w:rsidRDefault="00EC755A" w:rsidP="006D0F5C">
      <w:pPr>
        <w:pStyle w:val="ListParagraph"/>
        <w:numPr>
          <w:ilvl w:val="0"/>
          <w:numId w:val="143"/>
        </w:numPr>
        <w:spacing w:before="0" w:after="0"/>
        <w:rPr>
          <w:rFonts w:eastAsia="Times New Roman"/>
          <w:color w:val="0E101A"/>
          <w:lang w:val="en-MY" w:eastAsia="en-MY"/>
        </w:rPr>
      </w:pPr>
      <w:r w:rsidRPr="009D4627">
        <w:rPr>
          <w:rFonts w:eastAsia="Times New Roman"/>
          <w:color w:val="0E101A"/>
          <w:lang w:val="en-MY" w:eastAsia="en-MY"/>
        </w:rPr>
        <w:lastRenderedPageBreak/>
        <w:t>Assumption 5: All levels of the within-subject factors must have equal variance (met the assumption of sphericity).</w:t>
      </w:r>
    </w:p>
    <w:p w14:paraId="5FF35118" w14:textId="77777777" w:rsidR="000814FB" w:rsidRPr="009D4627" w:rsidRDefault="000814FB" w:rsidP="000814FB">
      <w:pPr>
        <w:pStyle w:val="ListParagraph"/>
        <w:spacing w:before="0" w:after="0" w:line="240" w:lineRule="auto"/>
        <w:rPr>
          <w:rFonts w:eastAsia="Times New Roman"/>
          <w:color w:val="0E101A"/>
          <w:lang w:val="en-MY" w:eastAsia="en-MY"/>
        </w:rPr>
      </w:pPr>
    </w:p>
    <w:p w14:paraId="413F71B0" w14:textId="354EA5C7" w:rsidR="00EF18DC" w:rsidRDefault="00CD5413" w:rsidP="000814FB">
      <w:pPr>
        <w:spacing w:before="0" w:after="0"/>
        <w:rPr>
          <w:rFonts w:eastAsia="Times New Roman"/>
          <w:color w:val="0E101A"/>
          <w:lang w:val="en-MY" w:eastAsia="en-MY"/>
        </w:rPr>
      </w:pPr>
      <w:r w:rsidRPr="009D4627">
        <w:rPr>
          <w:rFonts w:eastAsia="Times New Roman"/>
          <w:color w:val="0E101A"/>
          <w:lang w:val="en-MY" w:eastAsia="en-MY"/>
        </w:rPr>
        <w:t>If no significant interaction effect existed between two factors, a simple main effect was examined to see whether a factor had a significant effect on the dependent variable. If there is a significant main effect, post</w:t>
      </w:r>
      <w:r w:rsidR="00E22516" w:rsidRPr="009D4627">
        <w:rPr>
          <w:rFonts w:eastAsia="Times New Roman"/>
          <w:color w:val="0E101A"/>
          <w:lang w:val="en-MY" w:eastAsia="en-MY"/>
        </w:rPr>
        <w:t xml:space="preserve"> </w:t>
      </w:r>
      <w:r w:rsidRPr="009D4627">
        <w:rPr>
          <w:rFonts w:eastAsia="Times New Roman"/>
          <w:color w:val="0E101A"/>
          <w:lang w:val="en-MY" w:eastAsia="en-MY"/>
        </w:rPr>
        <w:t>hoc Bonferroni corrections are used to analyse the pairwise comparison that results in a significant simple main effect.</w:t>
      </w:r>
    </w:p>
    <w:p w14:paraId="60D12BC5" w14:textId="7F09A2A0" w:rsidR="00D21EB2" w:rsidRPr="009D4627" w:rsidRDefault="00D21EB2" w:rsidP="00647419">
      <w:pPr>
        <w:rPr>
          <w:lang w:val="en-MY" w:eastAsia="en-MY"/>
        </w:rPr>
      </w:pPr>
      <w:r w:rsidRPr="009D4627">
        <w:rPr>
          <w:color w:val="000000"/>
          <w:lang w:eastAsia="en-MY"/>
        </w:rPr>
        <w:t>Following that, linear</w:t>
      </w:r>
      <w:r w:rsidR="006D0F5C" w:rsidRPr="009D4627">
        <w:rPr>
          <w:color w:val="000000"/>
          <w:lang w:eastAsia="en-MY"/>
        </w:rPr>
        <w:t xml:space="preserve"> regression analysis was conducted to predict changes of the eye movement parameters with time. </w:t>
      </w:r>
      <w:r w:rsidR="00BD719C" w:rsidRPr="009D4627">
        <w:rPr>
          <w:lang w:val="en-MY" w:eastAsia="en-MY"/>
        </w:rPr>
        <w:t>R</w:t>
      </w:r>
      <w:r w:rsidRPr="009D4627">
        <w:rPr>
          <w:lang w:val="en-MY" w:eastAsia="en-MY"/>
        </w:rPr>
        <w:t>egression analysis has been conducted to predict the performance of the palsied eye's eye movements over time. The data was checked that they met with the following assumptions:</w:t>
      </w:r>
    </w:p>
    <w:p w14:paraId="53891987" w14:textId="0BFDE5EC" w:rsidR="00D21EB2" w:rsidRPr="00C4130D" w:rsidRDefault="00D21EB2" w:rsidP="00D21EB2">
      <w:pPr>
        <w:pStyle w:val="ListParagraph"/>
        <w:numPr>
          <w:ilvl w:val="0"/>
          <w:numId w:val="145"/>
        </w:numPr>
        <w:spacing w:before="0" w:after="0"/>
        <w:rPr>
          <w:rFonts w:eastAsia="Times New Roman"/>
          <w:color w:val="auto"/>
          <w:lang w:val="en-MY" w:eastAsia="en-MY"/>
        </w:rPr>
      </w:pPr>
      <w:r w:rsidRPr="00C4130D">
        <w:rPr>
          <w:rFonts w:eastAsia="Times New Roman"/>
          <w:color w:val="auto"/>
          <w:lang w:val="en-MY" w:eastAsia="en-MY"/>
        </w:rPr>
        <w:t>Establish a linear relationship using the scatter plot</w:t>
      </w:r>
    </w:p>
    <w:p w14:paraId="4DA53EA3" w14:textId="77777777" w:rsidR="00D21EB2" w:rsidRPr="00C4130D" w:rsidRDefault="00D21EB2" w:rsidP="00D21EB2">
      <w:pPr>
        <w:pStyle w:val="ListParagraph"/>
        <w:numPr>
          <w:ilvl w:val="0"/>
          <w:numId w:val="145"/>
        </w:numPr>
        <w:spacing w:before="0" w:after="0"/>
        <w:rPr>
          <w:rFonts w:eastAsia="Times New Roman"/>
          <w:color w:val="auto"/>
          <w:lang w:val="en-MY" w:eastAsia="en-MY"/>
        </w:rPr>
      </w:pPr>
      <w:r w:rsidRPr="00C4130D">
        <w:rPr>
          <w:rFonts w:eastAsia="Times New Roman"/>
          <w:color w:val="auto"/>
          <w:lang w:val="en-MY" w:eastAsia="en-MY"/>
        </w:rPr>
        <w:t xml:space="preserve">Testing for independence of observation using Durbin-Watson (DW) test. A good range of DW test is between 1.5 to 2.5 which means that </w:t>
      </w:r>
      <w:r w:rsidRPr="00C4130D">
        <w:rPr>
          <w:color w:val="auto"/>
          <w:shd w:val="clear" w:color="auto" w:fill="FFFFFF"/>
        </w:rPr>
        <w:t xml:space="preserve">the residuals have relative independence and there is no serial correlation between them </w:t>
      </w:r>
      <w:r w:rsidRPr="00C4130D">
        <w:rPr>
          <w:color w:val="auto"/>
          <w:shd w:val="clear" w:color="auto" w:fill="FFFFFF"/>
        </w:rPr>
        <w:fldChar w:fldCharType="begin"/>
      </w:r>
      <w:r w:rsidRPr="00C4130D">
        <w:rPr>
          <w:color w:val="auto"/>
          <w:shd w:val="clear" w:color="auto" w:fill="FFFFFF"/>
        </w:rPr>
        <w:instrText xml:space="preserve"> ADDIN EN.CITE &lt;EndNote&gt;&lt;Cite&gt;&lt;Author&gt;Azami&lt;/Author&gt;&lt;Year&gt;2020&lt;/Year&gt;&lt;IDText&gt;Evaluating the relationship between information literacy and evidence-based nursing and their impact on knowledge and attitude of nurses working in hospitals affiliated to Kerman University of Medical Sciences on medication errors&lt;/IDText&gt;&lt;DisplayText&gt;(Azami et al., 2020)&lt;/DisplayText&gt;&lt;record&gt;&lt;keywords&gt;&lt;keyword&gt;Evidence-based nursing&lt;/keyword&gt;&lt;keyword&gt;Information literacy&lt;/keyword&gt;&lt;keyword&gt;Kerman University of Medical Sciences&lt;/keyword&gt;&lt;keyword&gt;Medical errors&lt;/keyword&gt;&lt;keyword&gt;medication error&lt;/keyword&gt;&lt;keyword&gt;nurses attitude and knowledge&lt;/keyword&gt;&lt;keyword&gt;Original&lt;/keyword&gt;&lt;keyword&gt;primary health care&lt;/keyword&gt;&lt;keyword&gt;Surveys&lt;/keyword&gt;&lt;/keywords&gt;&lt;isbn&gt;2249-4863&lt;/isbn&gt;&lt;titles&gt;&lt;title&gt;Evaluating the relationship between information literacy and evidence-based nursing and their impact on knowledge and attitude of nurses working in hospitals affiliated to Kerman University of Medical Sciences on medication errors&lt;/title&gt;&lt;secondary-title&gt;Journal of family medicine and primary care&lt;/secondary-title&gt;&lt;/titles&gt;&lt;pages&gt;4097-4106&lt;/pages&gt;&lt;number&gt;8&lt;/number&gt;&lt;contributors&gt;&lt;authors&gt;&lt;author&gt;Azami, Mohammad&lt;/author&gt;&lt;author&gt;Sharifi, Hamid&lt;/author&gt;&lt;author&gt;Alvandpur, Saiedeh&lt;/author&gt;&lt;/authors&gt;&lt;/contributors&gt;&lt;added-date format="utc"&gt;1643973022&lt;/added-date&gt;&lt;pub-location&gt;India&lt;/pub-location&gt;&lt;ref-type name="Journal Article"&gt;17&lt;/ref-type&gt;&lt;dates&gt;&lt;year&gt;2020&lt;/year&gt;&lt;/dates&gt;&lt;rec-number&gt;784&lt;/rec-number&gt;&lt;publisher&gt;India: Wolters Kluwer India Pvt. Ltd&lt;/publisher&gt;&lt;last-updated-date format="utc"&gt;1643973022&lt;/last-updated-date&gt;&lt;electronic-resource-num&gt;10.4103/jfmpc.jfmpc_5_20&lt;/electronic-resource-num&gt;&lt;volume&gt;9&lt;/volume&gt;&lt;/record&gt;&lt;/Cite&gt;&lt;/EndNote&gt;</w:instrText>
      </w:r>
      <w:r w:rsidRPr="00C4130D">
        <w:rPr>
          <w:color w:val="auto"/>
          <w:shd w:val="clear" w:color="auto" w:fill="FFFFFF"/>
        </w:rPr>
        <w:fldChar w:fldCharType="separate"/>
      </w:r>
      <w:r w:rsidRPr="00C4130D">
        <w:rPr>
          <w:noProof/>
          <w:color w:val="auto"/>
          <w:shd w:val="clear" w:color="auto" w:fill="FFFFFF"/>
        </w:rPr>
        <w:t>(Azami et al., 2020)</w:t>
      </w:r>
      <w:r w:rsidRPr="00C4130D">
        <w:rPr>
          <w:color w:val="auto"/>
          <w:shd w:val="clear" w:color="auto" w:fill="FFFFFF"/>
        </w:rPr>
        <w:fldChar w:fldCharType="end"/>
      </w:r>
      <w:r w:rsidRPr="00C4130D">
        <w:rPr>
          <w:color w:val="auto"/>
          <w:shd w:val="clear" w:color="auto" w:fill="FFFFFF"/>
        </w:rPr>
        <w:t>. </w:t>
      </w:r>
    </w:p>
    <w:p w14:paraId="5760D0F3" w14:textId="77777777" w:rsidR="00D21EB2" w:rsidRPr="00C4130D" w:rsidRDefault="00D21EB2" w:rsidP="00D21EB2">
      <w:pPr>
        <w:pStyle w:val="ListParagraph"/>
        <w:numPr>
          <w:ilvl w:val="0"/>
          <w:numId w:val="145"/>
        </w:numPr>
        <w:spacing w:before="0" w:after="0"/>
        <w:rPr>
          <w:rFonts w:eastAsia="Times New Roman"/>
          <w:color w:val="auto"/>
          <w:lang w:val="en-MY" w:eastAsia="en-MY"/>
        </w:rPr>
      </w:pPr>
      <w:r w:rsidRPr="00C4130D">
        <w:rPr>
          <w:rFonts w:eastAsia="Times New Roman"/>
          <w:color w:val="auto"/>
          <w:lang w:val="en-MY" w:eastAsia="en-MY"/>
        </w:rPr>
        <w:t>Checking for normality of residual (errors) using histogram or Normal P-P plot.</w:t>
      </w:r>
    </w:p>
    <w:p w14:paraId="53204CBC" w14:textId="603B0E36" w:rsidR="00105FA0" w:rsidRPr="009D4627" w:rsidRDefault="00105FA0" w:rsidP="00105FA0">
      <w:pPr>
        <w:rPr>
          <w:rFonts w:eastAsia="Times New Roman"/>
          <w:color w:val="000000"/>
          <w:lang w:eastAsia="en-MY"/>
        </w:rPr>
      </w:pPr>
      <w:r w:rsidRPr="009D4627">
        <w:rPr>
          <w:rFonts w:eastAsia="Times New Roman"/>
          <w:color w:val="000000"/>
          <w:lang w:eastAsia="en-MY"/>
        </w:rPr>
        <w:t xml:space="preserve">Finally, one sample t-test was conducted to compare the differences between the palsy eye at the final visit (four months </w:t>
      </w:r>
      <w:r w:rsidR="00BD719C" w:rsidRPr="009D4627">
        <w:rPr>
          <w:rFonts w:eastAsia="Times New Roman"/>
          <w:color w:val="000000"/>
          <w:lang w:eastAsia="en-MY"/>
        </w:rPr>
        <w:t>after</w:t>
      </w:r>
      <w:r w:rsidRPr="009D4627">
        <w:rPr>
          <w:rFonts w:eastAsia="Times New Roman"/>
          <w:color w:val="000000"/>
          <w:lang w:eastAsia="en-MY"/>
        </w:rPr>
        <w:t xml:space="preserve"> onset) with the control group. The purpose of the analysis was to evaluate </w:t>
      </w:r>
      <w:r w:rsidR="00120C9D" w:rsidRPr="009D4627">
        <w:rPr>
          <w:rFonts w:eastAsia="Times New Roman"/>
          <w:color w:val="000000"/>
          <w:lang w:eastAsia="en-MY"/>
        </w:rPr>
        <w:t>whether</w:t>
      </w:r>
      <w:r w:rsidRPr="009D4627">
        <w:rPr>
          <w:rFonts w:eastAsia="Times New Roman"/>
          <w:color w:val="000000"/>
          <w:lang w:eastAsia="en-MY"/>
        </w:rPr>
        <w:t xml:space="preserve"> the variables which were affected at the onset of the palsy ha</w:t>
      </w:r>
      <w:r w:rsidR="00BD719C" w:rsidRPr="009D4627">
        <w:rPr>
          <w:rFonts w:eastAsia="Times New Roman"/>
          <w:color w:val="000000"/>
          <w:lang w:eastAsia="en-MY"/>
        </w:rPr>
        <w:t>d</w:t>
      </w:r>
      <w:r w:rsidRPr="009D4627">
        <w:rPr>
          <w:rFonts w:eastAsia="Times New Roman"/>
          <w:color w:val="000000"/>
          <w:lang w:eastAsia="en-MY"/>
        </w:rPr>
        <w:t xml:space="preserve"> improved within the 4 months period.</w:t>
      </w:r>
    </w:p>
    <w:p w14:paraId="0A3F96E3" w14:textId="08FA5639" w:rsidR="0036217F" w:rsidRPr="009D4627" w:rsidRDefault="0036217F" w:rsidP="004238D5">
      <w:pPr>
        <w:rPr>
          <w:rFonts w:eastAsia="Times New Roman"/>
          <w:color w:val="auto"/>
          <w:lang w:eastAsia="en-MY"/>
        </w:rPr>
      </w:pPr>
      <w:r w:rsidRPr="009D4627">
        <w:rPr>
          <w:rFonts w:eastAsia="Times New Roman"/>
          <w:color w:val="auto"/>
          <w:lang w:eastAsia="en-MY"/>
        </w:rPr>
        <w:t>The clinical details of the ten patients who participated in this study are summarised in Appendix 5.</w:t>
      </w:r>
      <w:r w:rsidR="00800E68">
        <w:rPr>
          <w:rFonts w:eastAsia="Times New Roman"/>
          <w:color w:val="auto"/>
          <w:lang w:eastAsia="en-MY"/>
        </w:rPr>
        <w:t>2</w:t>
      </w:r>
      <w:r w:rsidRPr="009D4627">
        <w:rPr>
          <w:rFonts w:eastAsia="Times New Roman"/>
          <w:color w:val="auto"/>
          <w:lang w:eastAsia="en-MY"/>
        </w:rPr>
        <w:t>.</w:t>
      </w:r>
    </w:p>
    <w:p w14:paraId="1D5945C1" w14:textId="60BA8FBF" w:rsidR="004238D5" w:rsidRPr="009D4627" w:rsidRDefault="004238D5" w:rsidP="00D04E3B">
      <w:pPr>
        <w:pStyle w:val="Heading2"/>
      </w:pPr>
      <w:bookmarkStart w:id="482" w:name="_Toc98964707"/>
      <w:bookmarkStart w:id="483" w:name="_Toc103344750"/>
      <w:r w:rsidRPr="009D4627">
        <w:lastRenderedPageBreak/>
        <w:t>Results</w:t>
      </w:r>
      <w:r w:rsidR="00823AE1" w:rsidRPr="009D4627">
        <w:t xml:space="preserve"> and Discussion</w:t>
      </w:r>
      <w:bookmarkEnd w:id="482"/>
      <w:bookmarkEnd w:id="483"/>
    </w:p>
    <w:p w14:paraId="0715B26E" w14:textId="441A0002" w:rsidR="000B624A" w:rsidRPr="009D4627" w:rsidRDefault="004238D5" w:rsidP="004238D5">
      <w:pPr>
        <w:rPr>
          <w:rFonts w:eastAsia="Times New Roman"/>
          <w:color w:val="auto"/>
          <w:lang w:eastAsia="en-MY"/>
        </w:rPr>
      </w:pPr>
      <w:r w:rsidRPr="009D4627">
        <w:rPr>
          <w:rFonts w:eastAsia="Times New Roman"/>
          <w:color w:val="auto"/>
          <w:lang w:eastAsia="en-MY"/>
        </w:rPr>
        <w:t>Ten adult patients, mean age 72.4 ±10.5</w:t>
      </w:r>
      <w:r w:rsidR="00F308E9" w:rsidRPr="009D4627">
        <w:rPr>
          <w:rFonts w:eastAsia="Times New Roman"/>
          <w:color w:val="auto"/>
          <w:lang w:eastAsia="en-MY"/>
        </w:rPr>
        <w:t xml:space="preserve"> </w:t>
      </w:r>
      <w:r w:rsidR="00CD5257" w:rsidRPr="009D4627">
        <w:rPr>
          <w:rFonts w:eastAsia="Times New Roman"/>
          <w:color w:val="auto"/>
          <w:lang w:eastAsia="en-MY"/>
        </w:rPr>
        <w:t>year</w:t>
      </w:r>
      <w:r w:rsidR="00F308E9" w:rsidRPr="009D4627">
        <w:rPr>
          <w:rFonts w:eastAsia="Times New Roman"/>
          <w:color w:val="auto"/>
          <w:lang w:eastAsia="en-MY"/>
        </w:rPr>
        <w:t>s</w:t>
      </w:r>
      <w:r w:rsidRPr="009D4627">
        <w:rPr>
          <w:rFonts w:eastAsia="Times New Roman"/>
          <w:color w:val="auto"/>
          <w:lang w:eastAsia="en-MY"/>
        </w:rPr>
        <w:t xml:space="preserve"> (range </w:t>
      </w:r>
      <w:r w:rsidR="00CD5257" w:rsidRPr="009D4627">
        <w:rPr>
          <w:rFonts w:eastAsia="Times New Roman"/>
          <w:color w:val="auto"/>
          <w:lang w:eastAsia="en-MY"/>
        </w:rPr>
        <w:t xml:space="preserve">from </w:t>
      </w:r>
      <w:r w:rsidRPr="009D4627">
        <w:rPr>
          <w:rFonts w:eastAsia="Times New Roman"/>
          <w:color w:val="auto"/>
          <w:lang w:eastAsia="en-MY"/>
        </w:rPr>
        <w:t>55 to 8</w:t>
      </w:r>
      <w:r w:rsidR="00F308E9" w:rsidRPr="009D4627">
        <w:rPr>
          <w:rFonts w:eastAsia="Times New Roman"/>
          <w:color w:val="auto"/>
          <w:lang w:eastAsia="en-MY"/>
        </w:rPr>
        <w:t xml:space="preserve">7 </w:t>
      </w:r>
      <w:r w:rsidRPr="009D4627">
        <w:rPr>
          <w:rFonts w:eastAsia="Times New Roman"/>
          <w:color w:val="auto"/>
          <w:lang w:eastAsia="en-MY"/>
        </w:rPr>
        <w:t>year</w:t>
      </w:r>
      <w:r w:rsidR="00F308E9" w:rsidRPr="009D4627">
        <w:rPr>
          <w:rFonts w:eastAsia="Times New Roman"/>
          <w:color w:val="auto"/>
          <w:lang w:eastAsia="en-MY"/>
        </w:rPr>
        <w:t>s</w:t>
      </w:r>
      <w:r w:rsidRPr="009D4627">
        <w:rPr>
          <w:rFonts w:eastAsia="Times New Roman"/>
          <w:color w:val="auto"/>
          <w:lang w:eastAsia="en-MY"/>
        </w:rPr>
        <w:t xml:space="preserve">), presenting with recent onset </w:t>
      </w:r>
      <w:r w:rsidR="00C65DBE" w:rsidRPr="009D4627">
        <w:rPr>
          <w:rFonts w:eastAsia="Times New Roman"/>
          <w:color w:val="auto"/>
          <w:lang w:eastAsia="en-MY"/>
        </w:rPr>
        <w:t>CN III, IV and VI</w:t>
      </w:r>
      <w:r w:rsidRPr="009D4627">
        <w:rPr>
          <w:rFonts w:eastAsia="Times New Roman"/>
          <w:color w:val="auto"/>
          <w:lang w:eastAsia="en-MY"/>
        </w:rPr>
        <w:t xml:space="preserve"> nerve palsy</w:t>
      </w:r>
      <w:r w:rsidR="00C65DBE" w:rsidRPr="009D4627">
        <w:rPr>
          <w:rFonts w:eastAsia="Times New Roman"/>
          <w:color w:val="auto"/>
          <w:lang w:eastAsia="en-MY"/>
        </w:rPr>
        <w:t>,</w:t>
      </w:r>
      <w:r w:rsidRPr="009D4627">
        <w:rPr>
          <w:rFonts w:eastAsia="Times New Roman"/>
          <w:color w:val="auto"/>
          <w:lang w:eastAsia="en-MY"/>
        </w:rPr>
        <w:t xml:space="preserve"> were recruited. </w:t>
      </w:r>
      <w:r w:rsidR="000B624A" w:rsidRPr="009D4627">
        <w:rPr>
          <w:rFonts w:eastAsia="Times New Roman"/>
          <w:color w:val="auto"/>
          <w:lang w:eastAsia="en-MY"/>
        </w:rPr>
        <w:t xml:space="preserve">The patient's eye movements on the palsy eye were compared to the eye movements on the good eye to see if there were any significant differences </w:t>
      </w:r>
      <w:r w:rsidR="00F44C18" w:rsidRPr="009D4627">
        <w:rPr>
          <w:rFonts w:eastAsia="Times New Roman"/>
          <w:color w:val="auto"/>
          <w:lang w:eastAsia="en-MY"/>
        </w:rPr>
        <w:t>for</w:t>
      </w:r>
      <w:r w:rsidR="000B624A" w:rsidRPr="009D4627">
        <w:rPr>
          <w:rFonts w:eastAsia="Times New Roman"/>
          <w:color w:val="auto"/>
          <w:lang w:eastAsia="en-MY"/>
        </w:rPr>
        <w:t xml:space="preserve"> the specific test paradigms. Thus, the testing paradigm that has been identified can be used to </w:t>
      </w:r>
      <w:r w:rsidR="0070270D" w:rsidRPr="009D4627">
        <w:rPr>
          <w:rFonts w:eastAsia="Times New Roman"/>
          <w:color w:val="auto"/>
          <w:lang w:eastAsia="en-MY"/>
        </w:rPr>
        <w:t>monitor</w:t>
      </w:r>
      <w:r w:rsidR="000B624A" w:rsidRPr="009D4627">
        <w:rPr>
          <w:rFonts w:eastAsia="Times New Roman"/>
          <w:color w:val="auto"/>
          <w:lang w:eastAsia="en-MY"/>
        </w:rPr>
        <w:t xml:space="preserve"> on the patient with an </w:t>
      </w:r>
      <w:r w:rsidR="00940AE5" w:rsidRPr="009D4627">
        <w:rPr>
          <w:rFonts w:eastAsia="Times New Roman"/>
          <w:color w:val="auto"/>
          <w:lang w:eastAsia="en-MY"/>
        </w:rPr>
        <w:t>ONP</w:t>
      </w:r>
      <w:r w:rsidR="000B624A" w:rsidRPr="009D4627">
        <w:rPr>
          <w:rFonts w:eastAsia="Times New Roman"/>
          <w:color w:val="auto"/>
          <w:lang w:eastAsia="en-MY"/>
        </w:rPr>
        <w:t xml:space="preserve"> during a clinical investigation process.</w:t>
      </w:r>
      <w:r w:rsidR="00002357" w:rsidRPr="009D4627">
        <w:rPr>
          <w:rFonts w:eastAsia="Times New Roman"/>
          <w:color w:val="auto"/>
          <w:lang w:eastAsia="en-MY"/>
        </w:rPr>
        <w:t xml:space="preserve"> </w:t>
      </w:r>
    </w:p>
    <w:p w14:paraId="0B61F4C9" w14:textId="77777777" w:rsidR="00EC6D22" w:rsidRPr="009D4627" w:rsidRDefault="00EC6D22" w:rsidP="00EC6D22">
      <w:pPr>
        <w:rPr>
          <w:rFonts w:eastAsia="Times New Roman"/>
          <w:color w:val="auto"/>
          <w:lang w:eastAsia="en-MY"/>
        </w:rPr>
      </w:pPr>
      <w:r w:rsidRPr="009D4627">
        <w:rPr>
          <w:rFonts w:eastAsia="Times New Roman"/>
          <w:color w:val="auto"/>
          <w:lang w:eastAsia="en-MY"/>
        </w:rPr>
        <w:t xml:space="preserve">All ten patients experienced sudden onset binocular diplopia for the first time in their life.  Eight of them had a history of systemic problems (i.e., HPT and DM, or high cholesterol), while another two had no known associated systemic conditions. </w:t>
      </w:r>
    </w:p>
    <w:p w14:paraId="47F8893A" w14:textId="77777777" w:rsidR="00EC6D22" w:rsidRPr="009D4627" w:rsidRDefault="00EC6D22" w:rsidP="00EC6D22">
      <w:pPr>
        <w:rPr>
          <w:rFonts w:eastAsia="Times New Roman"/>
          <w:color w:val="auto"/>
          <w:lang w:eastAsia="en-MY"/>
        </w:rPr>
      </w:pPr>
      <w:r w:rsidRPr="009D4627">
        <w:rPr>
          <w:rFonts w:eastAsia="Times New Roman"/>
          <w:color w:val="auto"/>
          <w:lang w:eastAsia="en-MY"/>
        </w:rPr>
        <w:t>Four out of the ten patients were diagnosed with CN III palsy, one had CN IV palsy, and five had CN VI palsy. All the clinical reports of the ten patients are attached in Appendix 6.</w:t>
      </w:r>
    </w:p>
    <w:p w14:paraId="6022D398" w14:textId="39D5E356" w:rsidR="00F44C18" w:rsidRPr="009D4627" w:rsidRDefault="000D2E28" w:rsidP="00DC4CA6">
      <w:pPr>
        <w:pStyle w:val="Heading3"/>
      </w:pPr>
      <w:bookmarkStart w:id="484" w:name="_Toc98964708"/>
      <w:bookmarkStart w:id="485" w:name="_Toc103344751"/>
      <w:r w:rsidRPr="009D4627">
        <w:t>Fixation eye movements</w:t>
      </w:r>
      <w:r w:rsidR="00991EC1" w:rsidRPr="009D4627">
        <w:t xml:space="preserve"> of ONP</w:t>
      </w:r>
      <w:r w:rsidR="00940AE5" w:rsidRPr="009D4627">
        <w:t xml:space="preserve"> patients</w:t>
      </w:r>
      <w:bookmarkEnd w:id="484"/>
      <w:bookmarkEnd w:id="485"/>
    </w:p>
    <w:p w14:paraId="2DA923C0" w14:textId="6419B2FE" w:rsidR="00CD69ED" w:rsidRPr="009D4627" w:rsidRDefault="00393BEB" w:rsidP="00CA4E90">
      <w:pPr>
        <w:pStyle w:val="Heading4"/>
        <w:rPr>
          <w:lang w:eastAsia="en-MY"/>
        </w:rPr>
      </w:pPr>
      <w:bookmarkStart w:id="486" w:name="_Toc98964709"/>
      <w:bookmarkStart w:id="487" w:name="_Toc103344752"/>
      <w:r>
        <w:rPr>
          <w:lang w:eastAsia="en-MY"/>
        </w:rPr>
        <w:t>Independent samples t-tests</w:t>
      </w:r>
      <w:r w:rsidR="00882592" w:rsidRPr="009D4627">
        <w:rPr>
          <w:lang w:eastAsia="en-MY"/>
        </w:rPr>
        <w:t xml:space="preserve"> comparing affected and unaffected eyes</w:t>
      </w:r>
      <w:bookmarkEnd w:id="486"/>
      <w:bookmarkEnd w:id="487"/>
    </w:p>
    <w:p w14:paraId="577E962E" w14:textId="7F8F3525" w:rsidR="002A5CBB" w:rsidRDefault="000D2E28" w:rsidP="002A5CBB">
      <w:pPr>
        <w:rPr>
          <w:lang w:eastAsia="en-MY"/>
        </w:rPr>
      </w:pPr>
      <w:r w:rsidRPr="009D4627">
        <w:rPr>
          <w:lang w:eastAsia="en-MY"/>
        </w:rPr>
        <w:t xml:space="preserve">The </w:t>
      </w:r>
      <w:r w:rsidR="00647419">
        <w:rPr>
          <w:lang w:eastAsia="en-MY"/>
        </w:rPr>
        <w:t>me</w:t>
      </w:r>
      <w:r w:rsidR="009F4350">
        <w:rPr>
          <w:lang w:eastAsia="en-MY"/>
        </w:rPr>
        <w:t>an</w:t>
      </w:r>
      <w:r w:rsidR="00647419">
        <w:rPr>
          <w:lang w:eastAsia="en-MY"/>
        </w:rPr>
        <w:t xml:space="preserve"> </w:t>
      </w:r>
      <w:r w:rsidRPr="009D4627">
        <w:rPr>
          <w:lang w:eastAsia="en-MY"/>
        </w:rPr>
        <w:t xml:space="preserve">percentage DT was utilised to quantify the performance of fixation eye movements. According to the </w:t>
      </w:r>
      <w:r w:rsidR="00393BEB">
        <w:rPr>
          <w:lang w:eastAsia="en-MY"/>
        </w:rPr>
        <w:t>independent samples t-tests</w:t>
      </w:r>
      <w:r w:rsidRPr="009D4627">
        <w:rPr>
          <w:lang w:eastAsia="en-MY"/>
        </w:rPr>
        <w:t>, CN III and CN IV palsy patients had a significantly lower percentage DT at 1° AOI in the affected eye than in the unaffected eye, but the latter had a larger percentage difference (Table 5.1). Meanwhile, there was no significant difference in percentage DT between the two eyes with CN VI palsy at 1° AOI.</w:t>
      </w:r>
    </w:p>
    <w:p w14:paraId="33F6D869" w14:textId="77777777" w:rsidR="00800E68" w:rsidRPr="009D4627" w:rsidRDefault="00800E68" w:rsidP="002A5CBB">
      <w:pPr>
        <w:rPr>
          <w:lang w:eastAsia="en-MY"/>
        </w:rPr>
      </w:pPr>
    </w:p>
    <w:p w14:paraId="13EB42A5" w14:textId="5214854B" w:rsidR="00603B29" w:rsidRPr="009D4627" w:rsidRDefault="00603B29" w:rsidP="00800E68">
      <w:pPr>
        <w:spacing w:before="0" w:after="0" w:line="240" w:lineRule="auto"/>
      </w:pPr>
      <w:bookmarkStart w:id="488" w:name="_Toc99378015"/>
      <w:r w:rsidRPr="009D4627">
        <w:lastRenderedPageBreak/>
        <w:t>Table 5.</w:t>
      </w:r>
      <w:r w:rsidR="007E7CC8">
        <w:fldChar w:fldCharType="begin"/>
      </w:r>
      <w:r w:rsidR="007E7CC8">
        <w:instrText xml:space="preserve"> SEQ Table_5. \* ARABIC </w:instrText>
      </w:r>
      <w:r w:rsidR="007E7CC8">
        <w:fldChar w:fldCharType="separate"/>
      </w:r>
      <w:r w:rsidR="00E268F6">
        <w:rPr>
          <w:noProof/>
        </w:rPr>
        <w:t>1</w:t>
      </w:r>
      <w:r w:rsidR="007E7CC8">
        <w:rPr>
          <w:noProof/>
        </w:rPr>
        <w:fldChar w:fldCharType="end"/>
      </w:r>
      <w:r w:rsidRPr="009D4627">
        <w:t xml:space="preserve">: Comparison of </w:t>
      </w:r>
      <w:r w:rsidR="00647419">
        <w:t>me</w:t>
      </w:r>
      <w:r w:rsidR="009F4350">
        <w:t>an</w:t>
      </w:r>
      <w:r w:rsidR="00647419">
        <w:t xml:space="preserve"> </w:t>
      </w:r>
      <w:r w:rsidRPr="009D4627">
        <w:t xml:space="preserve">percentage DT between affected and unaffected eye of CN III, IV and VI palsy using </w:t>
      </w:r>
      <w:r w:rsidR="00393BEB">
        <w:t>independent samples t-tests</w:t>
      </w:r>
      <w:r w:rsidRPr="009D4627">
        <w:t>.</w:t>
      </w:r>
      <w:bookmarkEnd w:id="488"/>
    </w:p>
    <w:p w14:paraId="353D1586" w14:textId="77777777" w:rsidR="00603B29" w:rsidRPr="009D4627" w:rsidRDefault="00603B29" w:rsidP="00603B29">
      <w:pPr>
        <w:spacing w:before="0" w:after="0" w:line="240" w:lineRule="auto"/>
        <w:rPr>
          <w:lang w:eastAsia="en-MY"/>
        </w:rPr>
      </w:pPr>
    </w:p>
    <w:tbl>
      <w:tblPr>
        <w:tblStyle w:val="ListTable7Colorful"/>
        <w:tblW w:w="5000" w:type="pct"/>
        <w:tblLook w:val="04A0" w:firstRow="1" w:lastRow="0" w:firstColumn="1" w:lastColumn="0" w:noHBand="0" w:noVBand="1"/>
      </w:tblPr>
      <w:tblGrid>
        <w:gridCol w:w="1609"/>
        <w:gridCol w:w="1608"/>
        <w:gridCol w:w="1608"/>
        <w:gridCol w:w="1731"/>
        <w:gridCol w:w="1235"/>
        <w:gridCol w:w="1235"/>
      </w:tblGrid>
      <w:tr w:rsidR="00603B29" w:rsidRPr="009D4627" w14:paraId="2460FFA0" w14:textId="77777777" w:rsidTr="00EA4EF3">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891" w:type="pct"/>
            <w:tcBorders>
              <w:top w:val="single" w:sz="4" w:space="0" w:color="auto"/>
              <w:bottom w:val="single" w:sz="4" w:space="0" w:color="auto"/>
            </w:tcBorders>
          </w:tcPr>
          <w:p w14:paraId="1A3FB5CF" w14:textId="77777777" w:rsidR="00603B29" w:rsidRPr="009D4627" w:rsidRDefault="00603B29" w:rsidP="001F6136">
            <w:pPr>
              <w:spacing w:before="0" w:after="0" w:line="240" w:lineRule="auto"/>
              <w:jc w:val="center"/>
              <w:rPr>
                <w:rFonts w:eastAsia="Times New Roman"/>
                <w:color w:val="000000"/>
                <w:lang w:val="en-MY" w:eastAsia="en-MY"/>
              </w:rPr>
            </w:pPr>
          </w:p>
        </w:tc>
        <w:tc>
          <w:tcPr>
            <w:tcW w:w="891" w:type="pct"/>
            <w:tcBorders>
              <w:top w:val="single" w:sz="4" w:space="0" w:color="auto"/>
              <w:left w:val="nil"/>
              <w:bottom w:val="single" w:sz="4" w:space="0" w:color="auto"/>
              <w:right w:val="single" w:sz="4" w:space="0" w:color="auto"/>
            </w:tcBorders>
          </w:tcPr>
          <w:p w14:paraId="192E8E22" w14:textId="77777777" w:rsidR="00603B29" w:rsidRPr="009D4627" w:rsidRDefault="00603B29" w:rsidP="001F61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n-MY" w:eastAsia="en-MY"/>
              </w:rPr>
            </w:pPr>
          </w:p>
        </w:tc>
        <w:tc>
          <w:tcPr>
            <w:tcW w:w="1850" w:type="pct"/>
            <w:gridSpan w:val="2"/>
            <w:tcBorders>
              <w:top w:val="single" w:sz="4" w:space="0" w:color="auto"/>
              <w:left w:val="single" w:sz="4" w:space="0" w:color="auto"/>
              <w:bottom w:val="single" w:sz="4" w:space="0" w:color="auto"/>
              <w:right w:val="single" w:sz="4" w:space="0" w:color="auto"/>
            </w:tcBorders>
            <w:noWrap/>
          </w:tcPr>
          <w:p w14:paraId="2D50BADC" w14:textId="2C79E8E8" w:rsidR="00603B29" w:rsidRPr="009D4627" w:rsidRDefault="00647419" w:rsidP="001F61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val="en-MY" w:eastAsia="en-MY"/>
              </w:rPr>
            </w:pPr>
            <w:r>
              <w:rPr>
                <w:rFonts w:eastAsia="Times New Roman"/>
                <w:color w:val="000000"/>
                <w:lang w:val="en-MY" w:eastAsia="en-MY"/>
              </w:rPr>
              <w:t>Me</w:t>
            </w:r>
            <w:r w:rsidR="009F4350">
              <w:rPr>
                <w:rFonts w:eastAsia="Times New Roman"/>
                <w:color w:val="000000"/>
                <w:lang w:val="en-MY" w:eastAsia="en-MY"/>
              </w:rPr>
              <w:t>an</w:t>
            </w:r>
            <w:r>
              <w:rPr>
                <w:rFonts w:eastAsia="Times New Roman"/>
                <w:color w:val="000000"/>
                <w:lang w:val="en-MY" w:eastAsia="en-MY"/>
              </w:rPr>
              <w:t xml:space="preserve"> </w:t>
            </w:r>
            <w:r w:rsidR="004B4F56" w:rsidRPr="009D4627">
              <w:rPr>
                <w:rFonts w:eastAsia="Times New Roman"/>
                <w:color w:val="000000"/>
                <w:lang w:val="en-MY" w:eastAsia="en-MY"/>
              </w:rPr>
              <w:t>DT</w:t>
            </w:r>
            <w:r>
              <w:rPr>
                <w:rFonts w:eastAsia="Times New Roman"/>
                <w:color w:val="000000"/>
                <w:lang w:val="en-MY" w:eastAsia="en-MY"/>
              </w:rPr>
              <w:t xml:space="preserve"> (%)</w:t>
            </w:r>
          </w:p>
        </w:tc>
        <w:tc>
          <w:tcPr>
            <w:tcW w:w="684" w:type="pct"/>
            <w:tcBorders>
              <w:top w:val="single" w:sz="4" w:space="0" w:color="auto"/>
              <w:left w:val="single" w:sz="4" w:space="0" w:color="auto"/>
              <w:bottom w:val="single" w:sz="4" w:space="0" w:color="auto"/>
              <w:right w:val="single" w:sz="4" w:space="0" w:color="auto"/>
            </w:tcBorders>
            <w:noWrap/>
          </w:tcPr>
          <w:p w14:paraId="0D1D4B56" w14:textId="77777777" w:rsidR="00603B29" w:rsidRPr="009D4627" w:rsidRDefault="00603B29" w:rsidP="001F61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color w:val="000000"/>
                <w:lang w:val="en-MY" w:eastAsia="en-MY"/>
              </w:rPr>
            </w:pPr>
          </w:p>
        </w:tc>
        <w:tc>
          <w:tcPr>
            <w:tcW w:w="684" w:type="pct"/>
            <w:tcBorders>
              <w:top w:val="single" w:sz="4" w:space="0" w:color="auto"/>
              <w:left w:val="single" w:sz="4" w:space="0" w:color="auto"/>
              <w:bottom w:val="single" w:sz="4" w:space="0" w:color="auto"/>
            </w:tcBorders>
            <w:noWrap/>
          </w:tcPr>
          <w:p w14:paraId="37DFEBAC" w14:textId="77777777" w:rsidR="00603B29" w:rsidRPr="009D4627" w:rsidRDefault="00603B29" w:rsidP="001F613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color w:val="000000"/>
                <w:lang w:val="en-MY" w:eastAsia="en-MY"/>
              </w:rPr>
            </w:pPr>
          </w:p>
        </w:tc>
      </w:tr>
      <w:tr w:rsidR="000D2E28" w:rsidRPr="009D4627" w14:paraId="229D3442" w14:textId="77777777" w:rsidTr="00EA4EF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tcBorders>
              <w:top w:val="single" w:sz="4" w:space="0" w:color="auto"/>
              <w:bottom w:val="single" w:sz="4" w:space="0" w:color="auto"/>
              <w:right w:val="single" w:sz="4" w:space="0" w:color="auto"/>
            </w:tcBorders>
          </w:tcPr>
          <w:p w14:paraId="2B8BFDEE" w14:textId="77777777" w:rsidR="000D2E28" w:rsidRPr="009D4627" w:rsidRDefault="000D2E28"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Nerve palsy</w:t>
            </w:r>
          </w:p>
        </w:tc>
        <w:tc>
          <w:tcPr>
            <w:tcW w:w="891" w:type="pct"/>
            <w:tcBorders>
              <w:top w:val="single" w:sz="4" w:space="0" w:color="auto"/>
              <w:left w:val="single" w:sz="4" w:space="0" w:color="auto"/>
              <w:bottom w:val="single" w:sz="4" w:space="0" w:color="auto"/>
              <w:right w:val="single" w:sz="4" w:space="0" w:color="auto"/>
            </w:tcBorders>
          </w:tcPr>
          <w:p w14:paraId="34996BBA"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AOI (°)</w:t>
            </w:r>
          </w:p>
        </w:tc>
        <w:tc>
          <w:tcPr>
            <w:tcW w:w="891" w:type="pct"/>
            <w:tcBorders>
              <w:top w:val="single" w:sz="4" w:space="0" w:color="auto"/>
              <w:left w:val="single" w:sz="4" w:space="0" w:color="auto"/>
              <w:bottom w:val="single" w:sz="4" w:space="0" w:color="auto"/>
              <w:right w:val="single" w:sz="4" w:space="0" w:color="auto"/>
            </w:tcBorders>
            <w:noWrap/>
            <w:hideMark/>
          </w:tcPr>
          <w:p w14:paraId="7CC6975B"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 xml:space="preserve">Affected </w:t>
            </w:r>
          </w:p>
        </w:tc>
        <w:tc>
          <w:tcPr>
            <w:tcW w:w="959" w:type="pct"/>
            <w:tcBorders>
              <w:top w:val="single" w:sz="4" w:space="0" w:color="auto"/>
              <w:left w:val="single" w:sz="4" w:space="0" w:color="auto"/>
              <w:bottom w:val="single" w:sz="4" w:space="0" w:color="auto"/>
              <w:right w:val="single" w:sz="4" w:space="0" w:color="auto"/>
            </w:tcBorders>
            <w:noWrap/>
            <w:hideMark/>
          </w:tcPr>
          <w:p w14:paraId="69A987A0"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 xml:space="preserve">Unaffected </w:t>
            </w:r>
          </w:p>
        </w:tc>
        <w:tc>
          <w:tcPr>
            <w:tcW w:w="684" w:type="pct"/>
            <w:tcBorders>
              <w:top w:val="single" w:sz="4" w:space="0" w:color="auto"/>
              <w:left w:val="single" w:sz="4" w:space="0" w:color="auto"/>
              <w:bottom w:val="single" w:sz="4" w:space="0" w:color="auto"/>
              <w:right w:val="single" w:sz="4" w:space="0" w:color="auto"/>
            </w:tcBorders>
            <w:noWrap/>
            <w:hideMark/>
          </w:tcPr>
          <w:p w14:paraId="27C4F1D9" w14:textId="77777777" w:rsidR="000D2E28" w:rsidRPr="00CA4E90"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CA4E90">
              <w:rPr>
                <w:rFonts w:eastAsia="Times New Roman"/>
                <w:i/>
                <w:iCs/>
                <w:color w:val="000000"/>
                <w:lang w:val="en-MY" w:eastAsia="en-MY"/>
              </w:rPr>
              <w:t>t-</w:t>
            </w:r>
            <w:r w:rsidRPr="00CA4E90">
              <w:rPr>
                <w:rFonts w:eastAsia="Times New Roman"/>
                <w:color w:val="000000"/>
                <w:lang w:val="en-MY" w:eastAsia="en-MY"/>
              </w:rPr>
              <w:t>value</w:t>
            </w:r>
          </w:p>
        </w:tc>
        <w:tc>
          <w:tcPr>
            <w:tcW w:w="684" w:type="pct"/>
            <w:tcBorders>
              <w:top w:val="single" w:sz="4" w:space="0" w:color="auto"/>
              <w:left w:val="single" w:sz="4" w:space="0" w:color="auto"/>
              <w:bottom w:val="single" w:sz="4" w:space="0" w:color="auto"/>
            </w:tcBorders>
            <w:noWrap/>
            <w:hideMark/>
          </w:tcPr>
          <w:p w14:paraId="497EDAD0" w14:textId="77777777" w:rsidR="000D2E28" w:rsidRPr="00CA4E90"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CA4E90">
              <w:rPr>
                <w:rFonts w:eastAsia="Times New Roman"/>
                <w:i/>
                <w:iCs/>
                <w:color w:val="000000"/>
                <w:lang w:val="en-MY" w:eastAsia="en-MY"/>
              </w:rPr>
              <w:t>p</w:t>
            </w:r>
            <w:r w:rsidRPr="00CA4E90">
              <w:rPr>
                <w:rFonts w:eastAsia="Times New Roman"/>
                <w:color w:val="000000"/>
                <w:lang w:val="en-MY" w:eastAsia="en-MY"/>
              </w:rPr>
              <w:t>-value</w:t>
            </w:r>
          </w:p>
        </w:tc>
      </w:tr>
      <w:tr w:rsidR="000D2E28" w:rsidRPr="009D4627" w14:paraId="16DC2316" w14:textId="77777777" w:rsidTr="00EA4EF3">
        <w:trPr>
          <w:trHeight w:val="315"/>
        </w:trPr>
        <w:tc>
          <w:tcPr>
            <w:cnfStyle w:val="001000000000" w:firstRow="0" w:lastRow="0" w:firstColumn="1" w:lastColumn="0" w:oddVBand="0" w:evenVBand="0" w:oddHBand="0" w:evenHBand="0" w:firstRowFirstColumn="0" w:firstRowLastColumn="0" w:lastRowFirstColumn="0" w:lastRowLastColumn="0"/>
            <w:tcW w:w="891" w:type="pct"/>
            <w:tcBorders>
              <w:top w:val="single" w:sz="4" w:space="0" w:color="auto"/>
            </w:tcBorders>
          </w:tcPr>
          <w:p w14:paraId="03EA8187" w14:textId="77777777" w:rsidR="000D2E28" w:rsidRPr="009D4627" w:rsidRDefault="000D2E28"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91" w:type="pct"/>
            <w:tcBorders>
              <w:top w:val="single" w:sz="4" w:space="0" w:color="auto"/>
              <w:right w:val="single" w:sz="4" w:space="0" w:color="auto"/>
            </w:tcBorders>
          </w:tcPr>
          <w:p w14:paraId="5677B856"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1</w:t>
            </w:r>
          </w:p>
        </w:tc>
        <w:tc>
          <w:tcPr>
            <w:tcW w:w="891" w:type="pct"/>
            <w:tcBorders>
              <w:top w:val="single" w:sz="4" w:space="0" w:color="auto"/>
              <w:left w:val="single" w:sz="4" w:space="0" w:color="auto"/>
              <w:right w:val="single" w:sz="4" w:space="0" w:color="auto"/>
            </w:tcBorders>
            <w:noWrap/>
            <w:hideMark/>
          </w:tcPr>
          <w:p w14:paraId="49E7A018"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39.7</w:t>
            </w:r>
          </w:p>
        </w:tc>
        <w:tc>
          <w:tcPr>
            <w:tcW w:w="959" w:type="pct"/>
            <w:tcBorders>
              <w:top w:val="single" w:sz="4" w:space="0" w:color="auto"/>
              <w:left w:val="single" w:sz="4" w:space="0" w:color="auto"/>
              <w:right w:val="single" w:sz="4" w:space="0" w:color="auto"/>
            </w:tcBorders>
            <w:noWrap/>
            <w:hideMark/>
          </w:tcPr>
          <w:p w14:paraId="55F5A54A"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52.2</w:t>
            </w:r>
          </w:p>
        </w:tc>
        <w:tc>
          <w:tcPr>
            <w:tcW w:w="684" w:type="pct"/>
            <w:tcBorders>
              <w:top w:val="single" w:sz="4" w:space="0" w:color="auto"/>
              <w:left w:val="single" w:sz="4" w:space="0" w:color="auto"/>
              <w:right w:val="single" w:sz="4" w:space="0" w:color="auto"/>
            </w:tcBorders>
            <w:noWrap/>
            <w:hideMark/>
          </w:tcPr>
          <w:p w14:paraId="4BD2E94A"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-2.13</w:t>
            </w:r>
          </w:p>
        </w:tc>
        <w:tc>
          <w:tcPr>
            <w:tcW w:w="684" w:type="pct"/>
            <w:tcBorders>
              <w:top w:val="single" w:sz="4" w:space="0" w:color="auto"/>
              <w:left w:val="single" w:sz="4" w:space="0" w:color="auto"/>
            </w:tcBorders>
            <w:noWrap/>
            <w:hideMark/>
          </w:tcPr>
          <w:p w14:paraId="754C9AD0"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0.04*</w:t>
            </w:r>
          </w:p>
        </w:tc>
      </w:tr>
      <w:tr w:rsidR="000D2E28" w:rsidRPr="009D4627" w14:paraId="34B09056" w14:textId="77777777" w:rsidTr="00EA4EF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tcPr>
          <w:p w14:paraId="163AD0D8" w14:textId="77777777" w:rsidR="000D2E28" w:rsidRPr="009D4627" w:rsidRDefault="000D2E28" w:rsidP="001F6136">
            <w:pPr>
              <w:spacing w:before="0" w:after="0" w:line="240" w:lineRule="auto"/>
              <w:jc w:val="center"/>
              <w:rPr>
                <w:rFonts w:eastAsia="Times New Roman"/>
                <w:color w:val="000000"/>
                <w:lang w:val="en-MY" w:eastAsia="en-MY"/>
              </w:rPr>
            </w:pPr>
          </w:p>
        </w:tc>
        <w:tc>
          <w:tcPr>
            <w:tcW w:w="891" w:type="pct"/>
            <w:tcBorders>
              <w:right w:val="single" w:sz="4" w:space="0" w:color="auto"/>
            </w:tcBorders>
          </w:tcPr>
          <w:p w14:paraId="696ABDBE"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w:t>
            </w:r>
          </w:p>
        </w:tc>
        <w:tc>
          <w:tcPr>
            <w:tcW w:w="891" w:type="pct"/>
            <w:tcBorders>
              <w:left w:val="single" w:sz="4" w:space="0" w:color="auto"/>
              <w:right w:val="single" w:sz="4" w:space="0" w:color="auto"/>
            </w:tcBorders>
            <w:noWrap/>
            <w:hideMark/>
          </w:tcPr>
          <w:p w14:paraId="3EFE029B"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27.4</w:t>
            </w:r>
          </w:p>
        </w:tc>
        <w:tc>
          <w:tcPr>
            <w:tcW w:w="959" w:type="pct"/>
            <w:tcBorders>
              <w:left w:val="single" w:sz="4" w:space="0" w:color="auto"/>
              <w:right w:val="single" w:sz="4" w:space="0" w:color="auto"/>
            </w:tcBorders>
            <w:noWrap/>
            <w:hideMark/>
          </w:tcPr>
          <w:p w14:paraId="31B6D352"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27.1</w:t>
            </w:r>
          </w:p>
        </w:tc>
        <w:tc>
          <w:tcPr>
            <w:tcW w:w="684" w:type="pct"/>
            <w:tcBorders>
              <w:left w:val="single" w:sz="4" w:space="0" w:color="auto"/>
              <w:right w:val="single" w:sz="4" w:space="0" w:color="auto"/>
            </w:tcBorders>
            <w:noWrap/>
            <w:hideMark/>
          </w:tcPr>
          <w:p w14:paraId="4DD5B08D"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0.08</w:t>
            </w:r>
          </w:p>
        </w:tc>
        <w:tc>
          <w:tcPr>
            <w:tcW w:w="684" w:type="pct"/>
            <w:tcBorders>
              <w:left w:val="single" w:sz="4" w:space="0" w:color="auto"/>
            </w:tcBorders>
            <w:noWrap/>
            <w:hideMark/>
          </w:tcPr>
          <w:p w14:paraId="19E3012B"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0.93</w:t>
            </w:r>
          </w:p>
        </w:tc>
      </w:tr>
      <w:tr w:rsidR="000D2E28" w:rsidRPr="009D4627" w14:paraId="6E53BF36" w14:textId="77777777" w:rsidTr="00EA4EF3">
        <w:trPr>
          <w:trHeight w:val="315"/>
        </w:trPr>
        <w:tc>
          <w:tcPr>
            <w:cnfStyle w:val="001000000000" w:firstRow="0" w:lastRow="0" w:firstColumn="1" w:lastColumn="0" w:oddVBand="0" w:evenVBand="0" w:oddHBand="0" w:evenHBand="0" w:firstRowFirstColumn="0" w:firstRowLastColumn="0" w:lastRowFirstColumn="0" w:lastRowLastColumn="0"/>
            <w:tcW w:w="891" w:type="pct"/>
            <w:tcBorders>
              <w:bottom w:val="single" w:sz="4" w:space="0" w:color="auto"/>
            </w:tcBorders>
          </w:tcPr>
          <w:p w14:paraId="749DF22E" w14:textId="77777777" w:rsidR="000D2E28" w:rsidRPr="009D4627" w:rsidRDefault="000D2E28" w:rsidP="001F6136">
            <w:pPr>
              <w:spacing w:before="0" w:after="0" w:line="240" w:lineRule="auto"/>
              <w:jc w:val="center"/>
              <w:rPr>
                <w:rFonts w:eastAsia="Times New Roman"/>
                <w:color w:val="000000"/>
                <w:lang w:val="en-MY" w:eastAsia="en-MY"/>
              </w:rPr>
            </w:pPr>
          </w:p>
        </w:tc>
        <w:tc>
          <w:tcPr>
            <w:tcW w:w="891" w:type="pct"/>
            <w:tcBorders>
              <w:bottom w:val="single" w:sz="4" w:space="0" w:color="auto"/>
              <w:right w:val="single" w:sz="4" w:space="0" w:color="auto"/>
            </w:tcBorders>
          </w:tcPr>
          <w:p w14:paraId="6A60BEBA"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&gt;2</w:t>
            </w:r>
          </w:p>
        </w:tc>
        <w:tc>
          <w:tcPr>
            <w:tcW w:w="891" w:type="pct"/>
            <w:tcBorders>
              <w:left w:val="single" w:sz="4" w:space="0" w:color="auto"/>
              <w:bottom w:val="single" w:sz="4" w:space="0" w:color="auto"/>
              <w:right w:val="single" w:sz="4" w:space="0" w:color="auto"/>
            </w:tcBorders>
            <w:noWrap/>
            <w:hideMark/>
          </w:tcPr>
          <w:p w14:paraId="1C81D4B1"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32.9</w:t>
            </w:r>
          </w:p>
        </w:tc>
        <w:tc>
          <w:tcPr>
            <w:tcW w:w="959" w:type="pct"/>
            <w:tcBorders>
              <w:left w:val="single" w:sz="4" w:space="0" w:color="auto"/>
              <w:bottom w:val="single" w:sz="4" w:space="0" w:color="auto"/>
              <w:right w:val="single" w:sz="4" w:space="0" w:color="auto"/>
            </w:tcBorders>
            <w:noWrap/>
            <w:hideMark/>
          </w:tcPr>
          <w:p w14:paraId="3BC94C17"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20.8</w:t>
            </w:r>
          </w:p>
        </w:tc>
        <w:tc>
          <w:tcPr>
            <w:tcW w:w="684" w:type="pct"/>
            <w:tcBorders>
              <w:left w:val="single" w:sz="4" w:space="0" w:color="auto"/>
              <w:bottom w:val="single" w:sz="4" w:space="0" w:color="auto"/>
              <w:right w:val="single" w:sz="4" w:space="0" w:color="auto"/>
            </w:tcBorders>
            <w:noWrap/>
            <w:hideMark/>
          </w:tcPr>
          <w:p w14:paraId="3478D444"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2.22</w:t>
            </w:r>
          </w:p>
        </w:tc>
        <w:tc>
          <w:tcPr>
            <w:tcW w:w="684" w:type="pct"/>
            <w:tcBorders>
              <w:left w:val="single" w:sz="4" w:space="0" w:color="auto"/>
              <w:bottom w:val="single" w:sz="4" w:space="0" w:color="auto"/>
            </w:tcBorders>
            <w:noWrap/>
            <w:hideMark/>
          </w:tcPr>
          <w:p w14:paraId="1A73FA3D"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0.03*</w:t>
            </w:r>
          </w:p>
        </w:tc>
      </w:tr>
      <w:tr w:rsidR="000D2E28" w:rsidRPr="009D4627" w14:paraId="27157472" w14:textId="77777777" w:rsidTr="00EA4EF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tcBorders>
              <w:top w:val="single" w:sz="4" w:space="0" w:color="auto"/>
            </w:tcBorders>
          </w:tcPr>
          <w:p w14:paraId="1DDB7EA5" w14:textId="77777777" w:rsidR="000D2E28" w:rsidRPr="009D4627" w:rsidRDefault="000D2E28"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91" w:type="pct"/>
            <w:tcBorders>
              <w:top w:val="single" w:sz="4" w:space="0" w:color="auto"/>
              <w:right w:val="single" w:sz="4" w:space="0" w:color="auto"/>
            </w:tcBorders>
          </w:tcPr>
          <w:p w14:paraId="08963585"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1</w:t>
            </w:r>
          </w:p>
        </w:tc>
        <w:tc>
          <w:tcPr>
            <w:tcW w:w="891" w:type="pct"/>
            <w:tcBorders>
              <w:top w:val="single" w:sz="4" w:space="0" w:color="auto"/>
              <w:left w:val="single" w:sz="4" w:space="0" w:color="auto"/>
              <w:right w:val="single" w:sz="4" w:space="0" w:color="auto"/>
            </w:tcBorders>
            <w:noWrap/>
            <w:hideMark/>
          </w:tcPr>
          <w:p w14:paraId="058FDDED"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34.9</w:t>
            </w:r>
          </w:p>
        </w:tc>
        <w:tc>
          <w:tcPr>
            <w:tcW w:w="959" w:type="pct"/>
            <w:tcBorders>
              <w:top w:val="single" w:sz="4" w:space="0" w:color="auto"/>
              <w:left w:val="single" w:sz="4" w:space="0" w:color="auto"/>
              <w:right w:val="single" w:sz="4" w:space="0" w:color="auto"/>
            </w:tcBorders>
            <w:noWrap/>
            <w:hideMark/>
          </w:tcPr>
          <w:p w14:paraId="7B417FD2"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70.9</w:t>
            </w:r>
          </w:p>
        </w:tc>
        <w:tc>
          <w:tcPr>
            <w:tcW w:w="684" w:type="pct"/>
            <w:tcBorders>
              <w:top w:val="single" w:sz="4" w:space="0" w:color="auto"/>
              <w:left w:val="single" w:sz="4" w:space="0" w:color="auto"/>
              <w:right w:val="single" w:sz="4" w:space="0" w:color="auto"/>
            </w:tcBorders>
            <w:noWrap/>
            <w:hideMark/>
          </w:tcPr>
          <w:p w14:paraId="1AD19A5F"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-0.02</w:t>
            </w:r>
          </w:p>
        </w:tc>
        <w:tc>
          <w:tcPr>
            <w:tcW w:w="684" w:type="pct"/>
            <w:tcBorders>
              <w:top w:val="single" w:sz="4" w:space="0" w:color="auto"/>
              <w:left w:val="single" w:sz="4" w:space="0" w:color="auto"/>
            </w:tcBorders>
            <w:noWrap/>
            <w:hideMark/>
          </w:tcPr>
          <w:p w14:paraId="761BE462"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&lt;0.01*</w:t>
            </w:r>
          </w:p>
        </w:tc>
      </w:tr>
      <w:tr w:rsidR="000D2E28" w:rsidRPr="009D4627" w14:paraId="70D0FF35" w14:textId="77777777" w:rsidTr="00EA4EF3">
        <w:trPr>
          <w:trHeight w:val="315"/>
        </w:trPr>
        <w:tc>
          <w:tcPr>
            <w:cnfStyle w:val="001000000000" w:firstRow="0" w:lastRow="0" w:firstColumn="1" w:lastColumn="0" w:oddVBand="0" w:evenVBand="0" w:oddHBand="0" w:evenHBand="0" w:firstRowFirstColumn="0" w:firstRowLastColumn="0" w:lastRowFirstColumn="0" w:lastRowLastColumn="0"/>
            <w:tcW w:w="891" w:type="pct"/>
          </w:tcPr>
          <w:p w14:paraId="7D21022B" w14:textId="77777777" w:rsidR="000D2E28" w:rsidRPr="009D4627" w:rsidRDefault="000D2E28" w:rsidP="001F6136">
            <w:pPr>
              <w:spacing w:before="0" w:after="0" w:line="240" w:lineRule="auto"/>
              <w:jc w:val="center"/>
              <w:rPr>
                <w:rFonts w:eastAsia="Times New Roman"/>
                <w:color w:val="000000"/>
                <w:lang w:val="en-MY" w:eastAsia="en-MY"/>
              </w:rPr>
            </w:pPr>
          </w:p>
        </w:tc>
        <w:tc>
          <w:tcPr>
            <w:tcW w:w="891" w:type="pct"/>
            <w:tcBorders>
              <w:right w:val="single" w:sz="4" w:space="0" w:color="auto"/>
            </w:tcBorders>
          </w:tcPr>
          <w:p w14:paraId="765D13C5"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w:t>
            </w:r>
          </w:p>
        </w:tc>
        <w:tc>
          <w:tcPr>
            <w:tcW w:w="891" w:type="pct"/>
            <w:tcBorders>
              <w:left w:val="single" w:sz="4" w:space="0" w:color="auto"/>
              <w:right w:val="single" w:sz="4" w:space="0" w:color="auto"/>
            </w:tcBorders>
            <w:noWrap/>
            <w:hideMark/>
          </w:tcPr>
          <w:p w14:paraId="6BCC58FC"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55.2</w:t>
            </w:r>
          </w:p>
        </w:tc>
        <w:tc>
          <w:tcPr>
            <w:tcW w:w="959" w:type="pct"/>
            <w:tcBorders>
              <w:left w:val="single" w:sz="4" w:space="0" w:color="auto"/>
              <w:right w:val="single" w:sz="4" w:space="0" w:color="auto"/>
            </w:tcBorders>
            <w:noWrap/>
            <w:hideMark/>
          </w:tcPr>
          <w:p w14:paraId="197EB575"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25.6</w:t>
            </w:r>
          </w:p>
        </w:tc>
        <w:tc>
          <w:tcPr>
            <w:tcW w:w="684" w:type="pct"/>
            <w:tcBorders>
              <w:left w:val="single" w:sz="4" w:space="0" w:color="auto"/>
              <w:right w:val="single" w:sz="4" w:space="0" w:color="auto"/>
            </w:tcBorders>
            <w:noWrap/>
            <w:hideMark/>
          </w:tcPr>
          <w:p w14:paraId="2D04115D"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2.70</w:t>
            </w:r>
          </w:p>
        </w:tc>
        <w:tc>
          <w:tcPr>
            <w:tcW w:w="684" w:type="pct"/>
            <w:tcBorders>
              <w:left w:val="single" w:sz="4" w:space="0" w:color="auto"/>
            </w:tcBorders>
            <w:noWrap/>
            <w:hideMark/>
          </w:tcPr>
          <w:p w14:paraId="101AD7AF"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0.01*</w:t>
            </w:r>
          </w:p>
        </w:tc>
      </w:tr>
      <w:tr w:rsidR="000D2E28" w:rsidRPr="009D4627" w14:paraId="1ED8248C" w14:textId="77777777" w:rsidTr="00EA4EF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tcBorders>
              <w:bottom w:val="single" w:sz="4" w:space="0" w:color="auto"/>
            </w:tcBorders>
          </w:tcPr>
          <w:p w14:paraId="1CDB7BA8" w14:textId="77777777" w:rsidR="000D2E28" w:rsidRPr="009D4627" w:rsidRDefault="000D2E28" w:rsidP="001F6136">
            <w:pPr>
              <w:spacing w:before="0" w:after="0" w:line="240" w:lineRule="auto"/>
              <w:jc w:val="center"/>
              <w:rPr>
                <w:rFonts w:eastAsia="Times New Roman"/>
                <w:color w:val="000000"/>
                <w:lang w:val="en-MY" w:eastAsia="en-MY"/>
              </w:rPr>
            </w:pPr>
          </w:p>
        </w:tc>
        <w:tc>
          <w:tcPr>
            <w:tcW w:w="891" w:type="pct"/>
            <w:tcBorders>
              <w:bottom w:val="single" w:sz="4" w:space="0" w:color="auto"/>
              <w:right w:val="single" w:sz="4" w:space="0" w:color="auto"/>
            </w:tcBorders>
          </w:tcPr>
          <w:p w14:paraId="2B23A8FC"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&gt;2</w:t>
            </w:r>
          </w:p>
        </w:tc>
        <w:tc>
          <w:tcPr>
            <w:tcW w:w="891" w:type="pct"/>
            <w:tcBorders>
              <w:left w:val="single" w:sz="4" w:space="0" w:color="auto"/>
              <w:bottom w:val="single" w:sz="4" w:space="0" w:color="auto"/>
              <w:right w:val="single" w:sz="4" w:space="0" w:color="auto"/>
            </w:tcBorders>
            <w:noWrap/>
            <w:hideMark/>
          </w:tcPr>
          <w:p w14:paraId="121693EE"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9.9</w:t>
            </w:r>
          </w:p>
        </w:tc>
        <w:tc>
          <w:tcPr>
            <w:tcW w:w="959" w:type="pct"/>
            <w:tcBorders>
              <w:left w:val="single" w:sz="4" w:space="0" w:color="auto"/>
              <w:bottom w:val="single" w:sz="4" w:space="0" w:color="auto"/>
              <w:right w:val="single" w:sz="4" w:space="0" w:color="auto"/>
            </w:tcBorders>
            <w:noWrap/>
            <w:hideMark/>
          </w:tcPr>
          <w:p w14:paraId="0735D6C6"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3.5</w:t>
            </w:r>
          </w:p>
        </w:tc>
        <w:tc>
          <w:tcPr>
            <w:tcW w:w="684" w:type="pct"/>
            <w:tcBorders>
              <w:left w:val="single" w:sz="4" w:space="0" w:color="auto"/>
              <w:bottom w:val="single" w:sz="4" w:space="0" w:color="auto"/>
              <w:right w:val="single" w:sz="4" w:space="0" w:color="auto"/>
            </w:tcBorders>
            <w:noWrap/>
            <w:hideMark/>
          </w:tcPr>
          <w:p w14:paraId="377D1E15"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1.21</w:t>
            </w:r>
          </w:p>
        </w:tc>
        <w:tc>
          <w:tcPr>
            <w:tcW w:w="684" w:type="pct"/>
            <w:tcBorders>
              <w:left w:val="single" w:sz="4" w:space="0" w:color="auto"/>
              <w:bottom w:val="single" w:sz="4" w:space="0" w:color="auto"/>
            </w:tcBorders>
            <w:noWrap/>
            <w:hideMark/>
          </w:tcPr>
          <w:p w14:paraId="55F7CF4A"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0.24</w:t>
            </w:r>
          </w:p>
        </w:tc>
      </w:tr>
      <w:tr w:rsidR="000D2E28" w:rsidRPr="009D4627" w14:paraId="4BDDA0BD" w14:textId="77777777" w:rsidTr="00EA4EF3">
        <w:trPr>
          <w:trHeight w:val="315"/>
        </w:trPr>
        <w:tc>
          <w:tcPr>
            <w:cnfStyle w:val="001000000000" w:firstRow="0" w:lastRow="0" w:firstColumn="1" w:lastColumn="0" w:oddVBand="0" w:evenVBand="0" w:oddHBand="0" w:evenHBand="0" w:firstRowFirstColumn="0" w:firstRowLastColumn="0" w:lastRowFirstColumn="0" w:lastRowLastColumn="0"/>
            <w:tcW w:w="891" w:type="pct"/>
            <w:tcBorders>
              <w:top w:val="single" w:sz="4" w:space="0" w:color="auto"/>
            </w:tcBorders>
          </w:tcPr>
          <w:p w14:paraId="64FEE074" w14:textId="77777777" w:rsidR="000D2E28" w:rsidRPr="009D4627" w:rsidRDefault="000D2E28"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VI</w:t>
            </w:r>
          </w:p>
        </w:tc>
        <w:tc>
          <w:tcPr>
            <w:tcW w:w="891" w:type="pct"/>
            <w:tcBorders>
              <w:top w:val="single" w:sz="4" w:space="0" w:color="auto"/>
              <w:right w:val="single" w:sz="4" w:space="0" w:color="auto"/>
            </w:tcBorders>
          </w:tcPr>
          <w:p w14:paraId="20F5BAED"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1</w:t>
            </w:r>
          </w:p>
        </w:tc>
        <w:tc>
          <w:tcPr>
            <w:tcW w:w="891" w:type="pct"/>
            <w:tcBorders>
              <w:top w:val="single" w:sz="4" w:space="0" w:color="auto"/>
              <w:left w:val="single" w:sz="4" w:space="0" w:color="auto"/>
              <w:right w:val="single" w:sz="4" w:space="0" w:color="auto"/>
            </w:tcBorders>
            <w:noWrap/>
            <w:hideMark/>
          </w:tcPr>
          <w:p w14:paraId="0E10E872"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45.9</w:t>
            </w:r>
          </w:p>
        </w:tc>
        <w:tc>
          <w:tcPr>
            <w:tcW w:w="959" w:type="pct"/>
            <w:tcBorders>
              <w:top w:val="single" w:sz="4" w:space="0" w:color="auto"/>
              <w:left w:val="single" w:sz="4" w:space="0" w:color="auto"/>
              <w:right w:val="single" w:sz="4" w:space="0" w:color="auto"/>
            </w:tcBorders>
            <w:noWrap/>
            <w:hideMark/>
          </w:tcPr>
          <w:p w14:paraId="39B228CB"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44.6</w:t>
            </w:r>
          </w:p>
        </w:tc>
        <w:tc>
          <w:tcPr>
            <w:tcW w:w="684" w:type="pct"/>
            <w:tcBorders>
              <w:top w:val="single" w:sz="4" w:space="0" w:color="auto"/>
              <w:left w:val="single" w:sz="4" w:space="0" w:color="auto"/>
              <w:right w:val="single" w:sz="4" w:space="0" w:color="auto"/>
            </w:tcBorders>
            <w:noWrap/>
            <w:hideMark/>
          </w:tcPr>
          <w:p w14:paraId="02D3C340"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0.25</w:t>
            </w:r>
          </w:p>
        </w:tc>
        <w:tc>
          <w:tcPr>
            <w:tcW w:w="684" w:type="pct"/>
            <w:tcBorders>
              <w:top w:val="single" w:sz="4" w:space="0" w:color="auto"/>
              <w:left w:val="single" w:sz="4" w:space="0" w:color="auto"/>
            </w:tcBorders>
            <w:noWrap/>
            <w:hideMark/>
          </w:tcPr>
          <w:p w14:paraId="10F61704"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0.80</w:t>
            </w:r>
          </w:p>
        </w:tc>
      </w:tr>
      <w:tr w:rsidR="000D2E28" w:rsidRPr="009D4627" w14:paraId="02F5DC9B" w14:textId="77777777" w:rsidTr="00EA4EF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91" w:type="pct"/>
          </w:tcPr>
          <w:p w14:paraId="106C4A8E" w14:textId="77777777" w:rsidR="000D2E28" w:rsidRPr="009D4627" w:rsidRDefault="000D2E28" w:rsidP="001F6136">
            <w:pPr>
              <w:spacing w:before="0" w:after="0" w:line="240" w:lineRule="auto"/>
              <w:jc w:val="center"/>
              <w:rPr>
                <w:rFonts w:eastAsia="Times New Roman"/>
                <w:color w:val="000000"/>
                <w:lang w:val="en-MY" w:eastAsia="en-MY"/>
              </w:rPr>
            </w:pPr>
          </w:p>
        </w:tc>
        <w:tc>
          <w:tcPr>
            <w:tcW w:w="891" w:type="pct"/>
            <w:tcBorders>
              <w:right w:val="single" w:sz="4" w:space="0" w:color="auto"/>
            </w:tcBorders>
          </w:tcPr>
          <w:p w14:paraId="2574DF89"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w:t>
            </w:r>
          </w:p>
        </w:tc>
        <w:tc>
          <w:tcPr>
            <w:tcW w:w="891" w:type="pct"/>
            <w:tcBorders>
              <w:left w:val="single" w:sz="4" w:space="0" w:color="auto"/>
              <w:right w:val="single" w:sz="4" w:space="0" w:color="auto"/>
            </w:tcBorders>
            <w:noWrap/>
            <w:hideMark/>
          </w:tcPr>
          <w:p w14:paraId="0FB05C38"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30.1</w:t>
            </w:r>
          </w:p>
        </w:tc>
        <w:tc>
          <w:tcPr>
            <w:tcW w:w="959" w:type="pct"/>
            <w:tcBorders>
              <w:left w:val="single" w:sz="4" w:space="0" w:color="auto"/>
              <w:right w:val="single" w:sz="4" w:space="0" w:color="auto"/>
            </w:tcBorders>
            <w:noWrap/>
            <w:hideMark/>
          </w:tcPr>
          <w:p w14:paraId="7BCE94D3"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33.6</w:t>
            </w:r>
          </w:p>
        </w:tc>
        <w:tc>
          <w:tcPr>
            <w:tcW w:w="684" w:type="pct"/>
            <w:tcBorders>
              <w:left w:val="single" w:sz="4" w:space="0" w:color="auto"/>
              <w:right w:val="single" w:sz="4" w:space="0" w:color="auto"/>
            </w:tcBorders>
            <w:noWrap/>
            <w:hideMark/>
          </w:tcPr>
          <w:p w14:paraId="3F30639B"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-0.82</w:t>
            </w:r>
          </w:p>
        </w:tc>
        <w:tc>
          <w:tcPr>
            <w:tcW w:w="684" w:type="pct"/>
            <w:tcBorders>
              <w:left w:val="single" w:sz="4" w:space="0" w:color="auto"/>
            </w:tcBorders>
            <w:noWrap/>
            <w:hideMark/>
          </w:tcPr>
          <w:p w14:paraId="3E69FC03" w14:textId="77777777" w:rsidR="000D2E28" w:rsidRPr="009D4627" w:rsidRDefault="000D2E28" w:rsidP="001F613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0.41</w:t>
            </w:r>
          </w:p>
        </w:tc>
      </w:tr>
      <w:tr w:rsidR="000D2E28" w:rsidRPr="009D4627" w14:paraId="5BEECA71" w14:textId="77777777" w:rsidTr="00EA4EF3">
        <w:trPr>
          <w:trHeight w:val="315"/>
        </w:trPr>
        <w:tc>
          <w:tcPr>
            <w:cnfStyle w:val="001000000000" w:firstRow="0" w:lastRow="0" w:firstColumn="1" w:lastColumn="0" w:oddVBand="0" w:evenVBand="0" w:oddHBand="0" w:evenHBand="0" w:firstRowFirstColumn="0" w:firstRowLastColumn="0" w:lastRowFirstColumn="0" w:lastRowLastColumn="0"/>
            <w:tcW w:w="891" w:type="pct"/>
            <w:tcBorders>
              <w:bottom w:val="single" w:sz="4" w:space="0" w:color="auto"/>
            </w:tcBorders>
          </w:tcPr>
          <w:p w14:paraId="2D1CCDCC" w14:textId="77777777" w:rsidR="000D2E28" w:rsidRPr="009D4627" w:rsidRDefault="000D2E28" w:rsidP="001F6136">
            <w:pPr>
              <w:spacing w:before="0" w:after="0" w:line="240" w:lineRule="auto"/>
              <w:jc w:val="center"/>
              <w:rPr>
                <w:rFonts w:eastAsia="Times New Roman"/>
                <w:color w:val="000000"/>
                <w:lang w:val="en-MY" w:eastAsia="en-MY"/>
              </w:rPr>
            </w:pPr>
          </w:p>
        </w:tc>
        <w:tc>
          <w:tcPr>
            <w:tcW w:w="891" w:type="pct"/>
            <w:tcBorders>
              <w:bottom w:val="single" w:sz="4" w:space="0" w:color="auto"/>
              <w:right w:val="single" w:sz="4" w:space="0" w:color="auto"/>
            </w:tcBorders>
          </w:tcPr>
          <w:p w14:paraId="450FDA63"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&gt;2</w:t>
            </w:r>
          </w:p>
        </w:tc>
        <w:tc>
          <w:tcPr>
            <w:tcW w:w="891" w:type="pct"/>
            <w:tcBorders>
              <w:left w:val="single" w:sz="4" w:space="0" w:color="auto"/>
              <w:bottom w:val="single" w:sz="4" w:space="0" w:color="auto"/>
              <w:right w:val="single" w:sz="4" w:space="0" w:color="auto"/>
            </w:tcBorders>
            <w:noWrap/>
            <w:hideMark/>
          </w:tcPr>
          <w:p w14:paraId="0C39D931"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24.7</w:t>
            </w:r>
          </w:p>
        </w:tc>
        <w:tc>
          <w:tcPr>
            <w:tcW w:w="959" w:type="pct"/>
            <w:tcBorders>
              <w:left w:val="single" w:sz="4" w:space="0" w:color="auto"/>
              <w:bottom w:val="single" w:sz="4" w:space="0" w:color="auto"/>
              <w:right w:val="single" w:sz="4" w:space="0" w:color="auto"/>
            </w:tcBorders>
            <w:noWrap/>
            <w:hideMark/>
          </w:tcPr>
          <w:p w14:paraId="224DDC62"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21.8</w:t>
            </w:r>
          </w:p>
        </w:tc>
        <w:tc>
          <w:tcPr>
            <w:tcW w:w="684" w:type="pct"/>
            <w:tcBorders>
              <w:left w:val="single" w:sz="4" w:space="0" w:color="auto"/>
              <w:bottom w:val="single" w:sz="4" w:space="0" w:color="auto"/>
              <w:right w:val="single" w:sz="4" w:space="0" w:color="auto"/>
            </w:tcBorders>
            <w:noWrap/>
            <w:hideMark/>
          </w:tcPr>
          <w:p w14:paraId="200C5C31"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0.64</w:t>
            </w:r>
          </w:p>
        </w:tc>
        <w:tc>
          <w:tcPr>
            <w:tcW w:w="684" w:type="pct"/>
            <w:tcBorders>
              <w:left w:val="single" w:sz="4" w:space="0" w:color="auto"/>
              <w:bottom w:val="single" w:sz="4" w:space="0" w:color="auto"/>
            </w:tcBorders>
            <w:noWrap/>
            <w:hideMark/>
          </w:tcPr>
          <w:p w14:paraId="15398D4F" w14:textId="77777777" w:rsidR="000D2E28" w:rsidRPr="009D4627" w:rsidRDefault="000D2E28" w:rsidP="001F613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val="en-MY" w:eastAsia="en-MY"/>
              </w:rPr>
            </w:pPr>
            <w:r w:rsidRPr="009D4627">
              <w:rPr>
                <w:rFonts w:eastAsia="Times New Roman"/>
                <w:color w:val="000000"/>
                <w:lang w:val="en-MY" w:eastAsia="en-MY"/>
              </w:rPr>
              <w:t>0.52</w:t>
            </w:r>
          </w:p>
        </w:tc>
      </w:tr>
    </w:tbl>
    <w:p w14:paraId="4945B35F" w14:textId="77777777" w:rsidR="00EA4EF3" w:rsidRDefault="00EA4EF3" w:rsidP="00800E68">
      <w:pPr>
        <w:spacing w:after="0"/>
      </w:pPr>
    </w:p>
    <w:p w14:paraId="4583B8F2" w14:textId="75A80145" w:rsidR="00882592" w:rsidRPr="009D4627" w:rsidRDefault="00882592" w:rsidP="00800E68">
      <w:pPr>
        <w:pStyle w:val="Heading4"/>
        <w:spacing w:before="0"/>
      </w:pPr>
      <w:bookmarkStart w:id="489" w:name="_Toc98964710"/>
      <w:bookmarkStart w:id="490" w:name="_Toc103344753"/>
      <w:r w:rsidRPr="009D4627">
        <w:t xml:space="preserve">Linear regression to predict changes of </w:t>
      </w:r>
      <w:r w:rsidR="00191DDF">
        <w:t>percentage DT across time</w:t>
      </w:r>
      <w:bookmarkEnd w:id="489"/>
      <w:bookmarkEnd w:id="490"/>
    </w:p>
    <w:p w14:paraId="457300F9" w14:textId="6CC4ACE3" w:rsidR="00194855" w:rsidRDefault="003B0024" w:rsidP="00C4130D">
      <w:r>
        <w:t xml:space="preserve">Linear regression reported that the changes of percentage DT </w:t>
      </w:r>
      <w:r w:rsidR="00191DDF">
        <w:t>could not be significantly predicted across time period</w:t>
      </w:r>
      <w:r>
        <w:t>,</w:t>
      </w:r>
      <w:r w:rsidR="00191DDF">
        <w:t xml:space="preserve"> β = -0.01,</w:t>
      </w:r>
      <w:r>
        <w:t xml:space="preserve"> </w:t>
      </w:r>
      <w:r w:rsidRPr="00EE5A21">
        <w:rPr>
          <w:i/>
          <w:iCs/>
        </w:rPr>
        <w:t>p</w:t>
      </w:r>
      <w:r>
        <w:t xml:space="preserve"> = 0.99</w:t>
      </w:r>
      <w:r w:rsidR="00191DDF">
        <w:t xml:space="preserve">, </w:t>
      </w:r>
      <w:r w:rsidR="00191DDF" w:rsidRPr="00191DDF">
        <w:rPr>
          <w:i/>
          <w:iCs/>
        </w:rPr>
        <w:t>R</w:t>
      </w:r>
      <w:r w:rsidR="00191DDF" w:rsidRPr="00191DDF">
        <w:rPr>
          <w:vertAlign w:val="superscript"/>
        </w:rPr>
        <w:t>2</w:t>
      </w:r>
      <w:r w:rsidR="00191DDF">
        <w:t xml:space="preserve"> = &lt;0.01</w:t>
      </w:r>
      <w:r>
        <w:t xml:space="preserve">. </w:t>
      </w:r>
      <w:r w:rsidR="00191DDF">
        <w:t>Therefore</w:t>
      </w:r>
      <w:r w:rsidR="00EE5A21" w:rsidRPr="00EE5A21">
        <w:t xml:space="preserve">, a follow-up visit cannot be used to predict the improvement or deterioration of the percentage DT among acquired onset </w:t>
      </w:r>
      <w:proofErr w:type="spellStart"/>
      <w:r w:rsidR="00EE5A21" w:rsidRPr="00EE5A21">
        <w:t>ONP.</w:t>
      </w:r>
      <w:bookmarkStart w:id="491" w:name="_Toc98964711"/>
      <w:r w:rsidR="00194855">
        <w:t>One</w:t>
      </w:r>
      <w:proofErr w:type="spellEnd"/>
      <w:r w:rsidR="00194855">
        <w:t xml:space="preserve"> sample t-test</w:t>
      </w:r>
      <w:bookmarkEnd w:id="491"/>
    </w:p>
    <w:p w14:paraId="7D95E58D" w14:textId="4C2AEBAB" w:rsidR="005554B7" w:rsidRDefault="005554B7" w:rsidP="005554B7">
      <w:r>
        <w:t xml:space="preserve">There was no significant different between the percentage DT recorded for the patients at the fifth visit and the control group, within the 1° AOI, suggesting that the patients had equal fixation response with the control group, </w:t>
      </w:r>
      <w:proofErr w:type="gramStart"/>
      <w:r w:rsidRPr="005554B7">
        <w:rPr>
          <w:i/>
          <w:iCs/>
        </w:rPr>
        <w:t>t</w:t>
      </w:r>
      <w:r>
        <w:t>(</w:t>
      </w:r>
      <w:proofErr w:type="gramEnd"/>
      <w:r>
        <w:t xml:space="preserve">38) = -0.01, </w:t>
      </w:r>
      <w:r w:rsidRPr="005554B7">
        <w:rPr>
          <w:i/>
          <w:iCs/>
        </w:rPr>
        <w:t>p</w:t>
      </w:r>
      <w:r>
        <w:t xml:space="preserve"> = 0.94, 95% CI = -8.6,8.5.</w:t>
      </w:r>
    </w:p>
    <w:p w14:paraId="47BBC062" w14:textId="77777777" w:rsidR="00EB300E" w:rsidRDefault="00EB300E" w:rsidP="00194855"/>
    <w:p w14:paraId="0AED6393" w14:textId="07B53639" w:rsidR="00EB300E" w:rsidRPr="00194855" w:rsidRDefault="00EB300E" w:rsidP="00194855">
      <w:pPr>
        <w:sectPr w:rsidR="00EB300E" w:rsidRPr="00194855" w:rsidSect="00A0582F">
          <w:headerReference w:type="default" r:id="rId179"/>
          <w:pgSz w:w="11906" w:h="16838" w:code="9"/>
          <w:pgMar w:top="1440" w:right="1440" w:bottom="1440" w:left="1440" w:header="709" w:footer="709" w:gutter="0"/>
          <w:cols w:space="708"/>
          <w:docGrid w:linePitch="360"/>
        </w:sectPr>
      </w:pPr>
    </w:p>
    <w:p w14:paraId="68B88825" w14:textId="1807A5AA" w:rsidR="00002717" w:rsidRPr="009D4627" w:rsidRDefault="000D2E28" w:rsidP="00DC4CA6">
      <w:pPr>
        <w:pStyle w:val="Heading3"/>
      </w:pPr>
      <w:bookmarkStart w:id="492" w:name="_Toc98964712"/>
      <w:bookmarkStart w:id="493" w:name="_Toc103344754"/>
      <w:r w:rsidRPr="009D4627">
        <w:lastRenderedPageBreak/>
        <w:t>Horizontal smooth pursuit</w:t>
      </w:r>
      <w:r w:rsidR="00940AE5" w:rsidRPr="009D4627">
        <w:t>s of ONP patients</w:t>
      </w:r>
      <w:bookmarkEnd w:id="492"/>
      <w:bookmarkEnd w:id="493"/>
    </w:p>
    <w:p w14:paraId="2156E6EF" w14:textId="43F0B518" w:rsidR="00CD69ED" w:rsidRPr="009D4627" w:rsidRDefault="00393BEB" w:rsidP="00CA4E90">
      <w:pPr>
        <w:pStyle w:val="Heading4"/>
        <w:rPr>
          <w:lang w:eastAsia="en-MY"/>
        </w:rPr>
      </w:pPr>
      <w:bookmarkStart w:id="494" w:name="_Toc98964713"/>
      <w:bookmarkStart w:id="495" w:name="_Toc103344755"/>
      <w:r>
        <w:rPr>
          <w:lang w:eastAsia="en-MY"/>
        </w:rPr>
        <w:t>Independent samples t-tests</w:t>
      </w:r>
      <w:r w:rsidR="00CD69ED" w:rsidRPr="009D4627">
        <w:rPr>
          <w:lang w:eastAsia="en-MY"/>
        </w:rPr>
        <w:t xml:space="preserve"> comparing affected and unaffected eyes</w:t>
      </w:r>
      <w:bookmarkEnd w:id="494"/>
      <w:bookmarkEnd w:id="495"/>
    </w:p>
    <w:p w14:paraId="71417098" w14:textId="699D646D" w:rsidR="00CC0CCA" w:rsidRPr="009D4627" w:rsidRDefault="00536D3D" w:rsidP="00382F33">
      <w:pPr>
        <w:rPr>
          <w:rFonts w:eastAsia="Times New Roman"/>
          <w:color w:val="auto"/>
          <w:lang w:eastAsia="en-MY"/>
        </w:rPr>
      </w:pPr>
      <w:r w:rsidRPr="009D4627">
        <w:rPr>
          <w:rFonts w:eastAsia="Times New Roman"/>
          <w:color w:val="auto"/>
          <w:lang w:eastAsia="en-MY"/>
        </w:rPr>
        <w:t xml:space="preserve">The </w:t>
      </w:r>
      <w:r w:rsidR="00393BEB">
        <w:rPr>
          <w:rFonts w:eastAsia="Times New Roman"/>
          <w:color w:val="auto"/>
          <w:lang w:eastAsia="en-MY"/>
        </w:rPr>
        <w:t>independent samples t-tests</w:t>
      </w:r>
      <w:r w:rsidRPr="009D4627">
        <w:rPr>
          <w:rFonts w:eastAsia="Times New Roman"/>
          <w:color w:val="auto"/>
          <w:lang w:eastAsia="en-MY"/>
        </w:rPr>
        <w:t xml:space="preserve"> results showed a statistically significant difference between the unaffected and affected eye for specific ocular nerve palsies (Table 5.2).</w:t>
      </w:r>
      <w:r w:rsidR="006722E2" w:rsidRPr="009D4627">
        <w:rPr>
          <w:rFonts w:eastAsia="Times New Roman"/>
          <w:color w:val="auto"/>
          <w:lang w:eastAsia="en-MY"/>
        </w:rPr>
        <w:t xml:space="preserve"> </w:t>
      </w:r>
      <w:r w:rsidR="00BB68B4" w:rsidRPr="009D4627">
        <w:rPr>
          <w:rFonts w:eastAsia="Times New Roman"/>
          <w:color w:val="auto"/>
          <w:lang w:eastAsia="en-MY"/>
        </w:rPr>
        <w:t xml:space="preserve">The horizontal SP gain was significantly reduced in the affected eye of CN III palsy at 0.6 Hz trial frequency. </w:t>
      </w:r>
      <w:proofErr w:type="gramStart"/>
      <w:r w:rsidR="00CC0CCA" w:rsidRPr="009D4627">
        <w:rPr>
          <w:rFonts w:eastAsia="Times New Roman"/>
          <w:color w:val="auto"/>
          <w:lang w:eastAsia="en-MY"/>
        </w:rPr>
        <w:t>Despite the fact that</w:t>
      </w:r>
      <w:proofErr w:type="gramEnd"/>
      <w:r w:rsidR="00CC0CCA" w:rsidRPr="009D4627">
        <w:rPr>
          <w:rFonts w:eastAsia="Times New Roman"/>
          <w:color w:val="auto"/>
          <w:lang w:eastAsia="en-MY"/>
        </w:rPr>
        <w:t xml:space="preserve"> the affected eye</w:t>
      </w:r>
      <w:r w:rsidR="006722E2" w:rsidRPr="009D4627">
        <w:rPr>
          <w:rFonts w:eastAsia="Times New Roman"/>
          <w:color w:val="auto"/>
          <w:lang w:eastAsia="en-MY"/>
        </w:rPr>
        <w:t xml:space="preserve"> of</w:t>
      </w:r>
      <w:r w:rsidR="00CC0CCA" w:rsidRPr="009D4627">
        <w:rPr>
          <w:rFonts w:eastAsia="Times New Roman"/>
          <w:color w:val="auto"/>
          <w:lang w:eastAsia="en-MY"/>
        </w:rPr>
        <w:t xml:space="preserve"> </w:t>
      </w:r>
      <w:r w:rsidR="006722E2" w:rsidRPr="009D4627">
        <w:rPr>
          <w:rFonts w:eastAsia="Times New Roman"/>
          <w:color w:val="auto"/>
          <w:lang w:eastAsia="en-MY"/>
        </w:rPr>
        <w:t xml:space="preserve">CN IV palsy </w:t>
      </w:r>
      <w:r w:rsidR="00CC0CCA" w:rsidRPr="009D4627">
        <w:rPr>
          <w:rFonts w:eastAsia="Times New Roman"/>
          <w:color w:val="auto"/>
          <w:lang w:eastAsia="en-MY"/>
        </w:rPr>
        <w:t xml:space="preserve">demonstrated statistically reduced SP gain, the degree of the reduction can be </w:t>
      </w:r>
      <w:r w:rsidR="00DF3070" w:rsidRPr="009D4627">
        <w:rPr>
          <w:rFonts w:eastAsia="Times New Roman"/>
          <w:color w:val="auto"/>
          <w:lang w:eastAsia="en-MY"/>
        </w:rPr>
        <w:t>ignor</w:t>
      </w:r>
      <w:r w:rsidR="00CC0CCA" w:rsidRPr="009D4627">
        <w:rPr>
          <w:rFonts w:eastAsia="Times New Roman"/>
          <w:color w:val="auto"/>
          <w:lang w:eastAsia="en-MY"/>
        </w:rPr>
        <w:t xml:space="preserve">ed clinically. </w:t>
      </w:r>
      <w:r w:rsidR="00E0110A" w:rsidRPr="009D4627">
        <w:rPr>
          <w:rFonts w:eastAsia="Times New Roman"/>
          <w:color w:val="auto"/>
          <w:lang w:eastAsia="en-MY"/>
        </w:rPr>
        <w:t>The RMSE of the affected eye was</w:t>
      </w:r>
      <w:r w:rsidR="00CC0CCA" w:rsidRPr="009D4627">
        <w:rPr>
          <w:rFonts w:eastAsia="Times New Roman"/>
          <w:color w:val="auto"/>
          <w:lang w:eastAsia="en-MY"/>
        </w:rPr>
        <w:t xml:space="preserve"> significantly</w:t>
      </w:r>
      <w:r w:rsidR="00E0110A" w:rsidRPr="009D4627">
        <w:rPr>
          <w:rFonts w:eastAsia="Times New Roman"/>
          <w:color w:val="auto"/>
          <w:lang w:eastAsia="en-MY"/>
        </w:rPr>
        <w:t xml:space="preserve"> </w:t>
      </w:r>
      <w:r w:rsidR="00CC0CCA" w:rsidRPr="009D4627">
        <w:rPr>
          <w:rFonts w:eastAsia="Times New Roman"/>
          <w:color w:val="auto"/>
          <w:lang w:eastAsia="en-MY"/>
        </w:rPr>
        <w:t>≈0.2</w:t>
      </w:r>
      <w:r w:rsidR="00E0110A" w:rsidRPr="009D4627">
        <w:rPr>
          <w:rFonts w:eastAsia="Times New Roman"/>
          <w:color w:val="auto"/>
          <w:lang w:eastAsia="en-MY"/>
        </w:rPr>
        <w:t>° greater than that of the unaffected eye at 0.</w:t>
      </w:r>
      <w:r w:rsidR="00CC0CCA" w:rsidRPr="009D4627">
        <w:rPr>
          <w:rFonts w:eastAsia="Times New Roman"/>
          <w:color w:val="auto"/>
          <w:lang w:eastAsia="en-MY"/>
        </w:rPr>
        <w:t>2</w:t>
      </w:r>
      <w:r w:rsidR="00E0110A" w:rsidRPr="009D4627">
        <w:rPr>
          <w:rFonts w:eastAsia="Times New Roman"/>
          <w:color w:val="auto"/>
          <w:lang w:eastAsia="en-MY"/>
        </w:rPr>
        <w:t xml:space="preserve"> Hz </w:t>
      </w:r>
      <w:r w:rsidR="00CC0CCA" w:rsidRPr="009D4627">
        <w:rPr>
          <w:rFonts w:eastAsia="Times New Roman"/>
          <w:color w:val="auto"/>
          <w:lang w:eastAsia="en-MY"/>
        </w:rPr>
        <w:t>for CN III patients. The horizontal SP RMSE for CN IV was significantly affected in the palsy eye when tested at 0.2 and 0.6 Hz. In addition, there was no significant SP gain and RMSE between the affected and unaffected eyes of CN VI palsy. The horizontal SP duration was not significantly different between the affected and unaffected eyes for all ONP patients. Therefore, testing horizontal SP gain and RMSE at 0.2 and 0.6 Hz frequency is suggested as the best clinical paradigm to assess acquired onset ONP.</w:t>
      </w:r>
    </w:p>
    <w:p w14:paraId="2F48F3A0" w14:textId="3254751A" w:rsidR="007375CD" w:rsidRPr="009D4627" w:rsidRDefault="007375CD" w:rsidP="00800E68">
      <w:pPr>
        <w:spacing w:before="0" w:line="240" w:lineRule="auto"/>
      </w:pPr>
      <w:bookmarkStart w:id="496" w:name="_Toc99378016"/>
      <w:r w:rsidRPr="009D4627">
        <w:t>Table 5.</w:t>
      </w:r>
      <w:r w:rsidR="007E7CC8">
        <w:fldChar w:fldCharType="begin"/>
      </w:r>
      <w:r w:rsidR="007E7CC8">
        <w:instrText xml:space="preserve"> SEQ Table_5. \* ARABIC </w:instrText>
      </w:r>
      <w:r w:rsidR="007E7CC8">
        <w:fldChar w:fldCharType="separate"/>
      </w:r>
      <w:r w:rsidR="00E268F6">
        <w:rPr>
          <w:noProof/>
        </w:rPr>
        <w:t>2</w:t>
      </w:r>
      <w:r w:rsidR="007E7CC8">
        <w:rPr>
          <w:noProof/>
        </w:rPr>
        <w:fldChar w:fldCharType="end"/>
      </w:r>
      <w:r w:rsidRPr="009D4627">
        <w:t>: A</w:t>
      </w:r>
      <w:r w:rsidR="00D61FA4" w:rsidRPr="009D4627">
        <w:t xml:space="preserve">n independent </w:t>
      </w:r>
      <w:r w:rsidRPr="009D4627">
        <w:t>t-test compares the horizontal SP parameters of the affected and unaffected eyes of acquired onset ONP patients.</w:t>
      </w:r>
      <w:bookmarkEnd w:id="496"/>
    </w:p>
    <w:tbl>
      <w:tblPr>
        <w:tblStyle w:val="ListTable7Colorful"/>
        <w:tblW w:w="5000" w:type="pct"/>
        <w:tblLook w:val="04A0" w:firstRow="1" w:lastRow="0" w:firstColumn="1" w:lastColumn="0" w:noHBand="0" w:noVBand="1"/>
      </w:tblPr>
      <w:tblGrid>
        <w:gridCol w:w="999"/>
        <w:gridCol w:w="2403"/>
        <w:gridCol w:w="1561"/>
        <w:gridCol w:w="1841"/>
        <w:gridCol w:w="1199"/>
        <w:gridCol w:w="1016"/>
        <w:gridCol w:w="7"/>
      </w:tblGrid>
      <w:tr w:rsidR="00974B3E" w:rsidRPr="009D4627" w14:paraId="3223C349" w14:textId="77777777" w:rsidTr="00974B3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53" w:type="pct"/>
            <w:tcBorders>
              <w:top w:val="single" w:sz="4" w:space="0" w:color="auto"/>
              <w:bottom w:val="single" w:sz="4" w:space="0" w:color="auto"/>
              <w:right w:val="single" w:sz="4" w:space="0" w:color="auto"/>
            </w:tcBorders>
            <w:noWrap/>
            <w:hideMark/>
          </w:tcPr>
          <w:p w14:paraId="470BD482" w14:textId="77777777" w:rsidR="00B45700" w:rsidRPr="009D4627" w:rsidRDefault="00B45700" w:rsidP="008B7149">
            <w:pPr>
              <w:spacing w:before="0" w:after="0" w:line="240" w:lineRule="auto"/>
              <w:jc w:val="left"/>
              <w:rPr>
                <w:rFonts w:eastAsia="Times New Roman"/>
                <w:color w:val="000000"/>
                <w:sz w:val="22"/>
                <w:szCs w:val="22"/>
                <w:lang w:val="en-MY" w:eastAsia="en-MY"/>
              </w:rPr>
            </w:pPr>
          </w:p>
        </w:tc>
        <w:tc>
          <w:tcPr>
            <w:tcW w:w="1331" w:type="pct"/>
            <w:tcBorders>
              <w:top w:val="single" w:sz="4" w:space="0" w:color="auto"/>
              <w:left w:val="single" w:sz="4" w:space="0" w:color="auto"/>
              <w:bottom w:val="single" w:sz="4" w:space="0" w:color="auto"/>
              <w:right w:val="single" w:sz="4" w:space="0" w:color="auto"/>
            </w:tcBorders>
            <w:noWrap/>
            <w:hideMark/>
          </w:tcPr>
          <w:p w14:paraId="2BE45638" w14:textId="77777777" w:rsidR="00B45700" w:rsidRPr="009D4627" w:rsidRDefault="00B45700" w:rsidP="008B7149">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b/>
                <w:bCs/>
                <w:color w:val="000000"/>
                <w:sz w:val="22"/>
                <w:szCs w:val="22"/>
                <w:lang w:val="en-MY" w:eastAsia="en-MY"/>
              </w:rPr>
            </w:pPr>
            <w:r w:rsidRPr="009D4627">
              <w:rPr>
                <w:rFonts w:eastAsia="Times New Roman"/>
                <w:b/>
                <w:bCs/>
                <w:color w:val="000000"/>
                <w:sz w:val="22"/>
                <w:szCs w:val="22"/>
                <w:lang w:val="en-MY" w:eastAsia="en-MY"/>
              </w:rPr>
              <w:t>Trial Frequency (Hz)</w:t>
            </w:r>
          </w:p>
        </w:tc>
        <w:tc>
          <w:tcPr>
            <w:tcW w:w="865" w:type="pct"/>
            <w:tcBorders>
              <w:top w:val="single" w:sz="4" w:space="0" w:color="auto"/>
              <w:left w:val="single" w:sz="4" w:space="0" w:color="auto"/>
              <w:bottom w:val="single" w:sz="4" w:space="0" w:color="auto"/>
              <w:right w:val="single" w:sz="4" w:space="0" w:color="auto"/>
            </w:tcBorders>
            <w:noWrap/>
            <w:hideMark/>
          </w:tcPr>
          <w:p w14:paraId="71CC77C2" w14:textId="77777777" w:rsidR="00B45700" w:rsidRPr="009D4627" w:rsidRDefault="00B45700" w:rsidP="008B71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color w:val="000000"/>
                <w:sz w:val="22"/>
                <w:szCs w:val="22"/>
                <w:lang w:val="en-MY" w:eastAsia="en-MY"/>
              </w:rPr>
            </w:pPr>
            <w:r w:rsidRPr="009D4627">
              <w:rPr>
                <w:rFonts w:eastAsia="Times New Roman"/>
                <w:b/>
                <w:bCs/>
                <w:color w:val="000000"/>
                <w:sz w:val="22"/>
                <w:szCs w:val="22"/>
                <w:lang w:val="en-MY" w:eastAsia="en-MY"/>
              </w:rPr>
              <w:t>Affected eye</w:t>
            </w:r>
          </w:p>
        </w:tc>
        <w:tc>
          <w:tcPr>
            <w:tcW w:w="1020" w:type="pct"/>
            <w:tcBorders>
              <w:top w:val="single" w:sz="4" w:space="0" w:color="auto"/>
              <w:left w:val="single" w:sz="4" w:space="0" w:color="auto"/>
              <w:bottom w:val="single" w:sz="4" w:space="0" w:color="auto"/>
              <w:right w:val="single" w:sz="4" w:space="0" w:color="auto"/>
            </w:tcBorders>
            <w:noWrap/>
            <w:hideMark/>
          </w:tcPr>
          <w:p w14:paraId="4C1B5060" w14:textId="77777777" w:rsidR="00B45700" w:rsidRPr="009D4627" w:rsidRDefault="00B45700" w:rsidP="008B71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color w:val="000000"/>
                <w:sz w:val="22"/>
                <w:szCs w:val="22"/>
                <w:lang w:val="en-MY" w:eastAsia="en-MY"/>
              </w:rPr>
            </w:pPr>
            <w:r w:rsidRPr="009D4627">
              <w:rPr>
                <w:rFonts w:eastAsia="Times New Roman"/>
                <w:b/>
                <w:bCs/>
                <w:color w:val="000000"/>
                <w:sz w:val="22"/>
                <w:szCs w:val="22"/>
                <w:lang w:val="en-MY" w:eastAsia="en-MY"/>
              </w:rPr>
              <w:t>Unaffected eye</w:t>
            </w:r>
          </w:p>
        </w:tc>
        <w:tc>
          <w:tcPr>
            <w:tcW w:w="664" w:type="pct"/>
            <w:tcBorders>
              <w:top w:val="single" w:sz="4" w:space="0" w:color="auto"/>
              <w:left w:val="single" w:sz="4" w:space="0" w:color="auto"/>
              <w:bottom w:val="single" w:sz="4" w:space="0" w:color="auto"/>
              <w:right w:val="single" w:sz="4" w:space="0" w:color="auto"/>
            </w:tcBorders>
            <w:noWrap/>
            <w:hideMark/>
          </w:tcPr>
          <w:p w14:paraId="4EE7594D" w14:textId="77777777" w:rsidR="00B45700" w:rsidRPr="009D4627" w:rsidRDefault="00B45700" w:rsidP="008B71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color w:val="000000"/>
                <w:sz w:val="22"/>
                <w:szCs w:val="22"/>
                <w:lang w:val="en-MY" w:eastAsia="en-MY"/>
              </w:rPr>
            </w:pPr>
            <w:r w:rsidRPr="009D4627">
              <w:rPr>
                <w:rFonts w:eastAsia="Times New Roman"/>
                <w:b/>
                <w:bCs/>
                <w:color w:val="000000"/>
                <w:sz w:val="22"/>
                <w:szCs w:val="22"/>
                <w:lang w:val="en-MY" w:eastAsia="en-MY"/>
              </w:rPr>
              <w:t>t-value</w:t>
            </w:r>
          </w:p>
        </w:tc>
        <w:tc>
          <w:tcPr>
            <w:tcW w:w="567" w:type="pct"/>
            <w:gridSpan w:val="2"/>
            <w:tcBorders>
              <w:top w:val="single" w:sz="4" w:space="0" w:color="auto"/>
              <w:left w:val="single" w:sz="4" w:space="0" w:color="auto"/>
              <w:bottom w:val="single" w:sz="4" w:space="0" w:color="auto"/>
            </w:tcBorders>
            <w:noWrap/>
            <w:hideMark/>
          </w:tcPr>
          <w:p w14:paraId="1C59C46E" w14:textId="77777777" w:rsidR="00B45700" w:rsidRPr="009D4627" w:rsidRDefault="00B45700" w:rsidP="008B7149">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b/>
                <w:bCs/>
                <w:color w:val="000000"/>
                <w:sz w:val="22"/>
                <w:szCs w:val="22"/>
                <w:lang w:val="en-MY" w:eastAsia="en-MY"/>
              </w:rPr>
            </w:pPr>
            <w:r w:rsidRPr="009D4627">
              <w:rPr>
                <w:rFonts w:eastAsia="Times New Roman"/>
                <w:b/>
                <w:bCs/>
                <w:color w:val="000000"/>
                <w:sz w:val="22"/>
                <w:szCs w:val="22"/>
                <w:lang w:val="en-MY" w:eastAsia="en-MY"/>
              </w:rPr>
              <w:t>p-value</w:t>
            </w:r>
          </w:p>
        </w:tc>
      </w:tr>
      <w:tr w:rsidR="00974B3E" w:rsidRPr="009D4627" w14:paraId="227C1FA7"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tcPr>
          <w:p w14:paraId="6B59236A" w14:textId="77777777" w:rsidR="00974B3E" w:rsidRPr="009D4627" w:rsidRDefault="00974B3E" w:rsidP="008B7149">
            <w:pPr>
              <w:spacing w:before="0" w:after="0" w:line="240" w:lineRule="auto"/>
              <w:jc w:val="left"/>
              <w:rPr>
                <w:rFonts w:eastAsia="Times New Roman"/>
                <w:color w:val="000000"/>
                <w:sz w:val="22"/>
                <w:szCs w:val="22"/>
                <w:lang w:val="en-MY" w:eastAsia="en-MY"/>
              </w:rPr>
            </w:pPr>
          </w:p>
        </w:tc>
        <w:tc>
          <w:tcPr>
            <w:tcW w:w="4447" w:type="pct"/>
            <w:gridSpan w:val="6"/>
            <w:tcBorders>
              <w:top w:val="single" w:sz="4" w:space="0" w:color="000000" w:themeColor="text1"/>
              <w:left w:val="single" w:sz="4" w:space="0" w:color="auto"/>
              <w:bottom w:val="single" w:sz="4" w:space="0" w:color="auto"/>
            </w:tcBorders>
            <w:noWrap/>
          </w:tcPr>
          <w:p w14:paraId="4622073A" w14:textId="3A503D18" w:rsidR="00974B3E" w:rsidRPr="00974B3E" w:rsidRDefault="00974B3E" w:rsidP="00974B3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i/>
                <w:iCs/>
                <w:color w:val="000000"/>
                <w:sz w:val="22"/>
                <w:szCs w:val="22"/>
                <w:lang w:val="en-MY" w:eastAsia="en-MY"/>
              </w:rPr>
            </w:pPr>
            <w:r w:rsidRPr="00974B3E">
              <w:rPr>
                <w:rFonts w:eastAsia="Times New Roman"/>
                <w:i/>
                <w:iCs/>
                <w:color w:val="000000"/>
                <w:sz w:val="22"/>
                <w:szCs w:val="22"/>
                <w:lang w:val="en-MY" w:eastAsia="en-MY"/>
              </w:rPr>
              <w:t>Horizontal SP gain</w:t>
            </w:r>
          </w:p>
        </w:tc>
      </w:tr>
      <w:tr w:rsidR="00974B3E" w:rsidRPr="009D4627" w14:paraId="300DABCE"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0D8A553E" w14:textId="77777777" w:rsidR="00BD1281" w:rsidRPr="009D4627" w:rsidRDefault="00BD1281" w:rsidP="00BD1281">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III</w:t>
            </w:r>
          </w:p>
        </w:tc>
        <w:tc>
          <w:tcPr>
            <w:tcW w:w="1331" w:type="pct"/>
            <w:tcBorders>
              <w:top w:val="single" w:sz="4" w:space="0" w:color="auto"/>
              <w:left w:val="single" w:sz="4" w:space="0" w:color="auto"/>
              <w:right w:val="single" w:sz="4" w:space="0" w:color="auto"/>
            </w:tcBorders>
            <w:noWrap/>
            <w:hideMark/>
          </w:tcPr>
          <w:p w14:paraId="0EF4E718"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vAlign w:val="bottom"/>
          </w:tcPr>
          <w:p w14:paraId="645246B4" w14:textId="5CCD0771"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0.80 (0.13)</w:t>
            </w:r>
          </w:p>
        </w:tc>
        <w:tc>
          <w:tcPr>
            <w:tcW w:w="1020" w:type="pct"/>
            <w:tcBorders>
              <w:top w:val="single" w:sz="4" w:space="0" w:color="auto"/>
              <w:left w:val="single" w:sz="4" w:space="0" w:color="auto"/>
              <w:right w:val="single" w:sz="4" w:space="0" w:color="auto"/>
            </w:tcBorders>
            <w:noWrap/>
            <w:vAlign w:val="bottom"/>
          </w:tcPr>
          <w:p w14:paraId="436F5011" w14:textId="7FD82DAA"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0.88 (0.09)</w:t>
            </w:r>
          </w:p>
        </w:tc>
        <w:tc>
          <w:tcPr>
            <w:tcW w:w="664" w:type="pct"/>
            <w:tcBorders>
              <w:top w:val="single" w:sz="4" w:space="0" w:color="auto"/>
              <w:left w:val="single" w:sz="4" w:space="0" w:color="auto"/>
              <w:right w:val="single" w:sz="4" w:space="0" w:color="auto"/>
            </w:tcBorders>
            <w:noWrap/>
          </w:tcPr>
          <w:p w14:paraId="205F6C80" w14:textId="44A78B8B"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w:t>
            </w:r>
            <w:r w:rsidR="00C73F6E" w:rsidRPr="009D4627">
              <w:rPr>
                <w:rFonts w:eastAsia="Times New Roman"/>
                <w:color w:val="000000"/>
                <w:sz w:val="22"/>
                <w:szCs w:val="22"/>
                <w:lang w:val="en-MY" w:eastAsia="en-MY"/>
              </w:rPr>
              <w:t>1</w:t>
            </w:r>
            <w:r w:rsidRPr="009D4627">
              <w:rPr>
                <w:rFonts w:eastAsia="Times New Roman"/>
                <w:color w:val="000000"/>
                <w:sz w:val="22"/>
                <w:szCs w:val="22"/>
                <w:lang w:val="en-MY" w:eastAsia="en-MY"/>
              </w:rPr>
              <w:t>.9</w:t>
            </w:r>
            <w:r w:rsidR="00C73F6E" w:rsidRPr="009D4627">
              <w:rPr>
                <w:rFonts w:eastAsia="Times New Roman"/>
                <w:color w:val="000000"/>
                <w:sz w:val="22"/>
                <w:szCs w:val="22"/>
                <w:lang w:val="en-MY" w:eastAsia="en-MY"/>
              </w:rPr>
              <w:t>7</w:t>
            </w:r>
          </w:p>
        </w:tc>
        <w:tc>
          <w:tcPr>
            <w:tcW w:w="567" w:type="pct"/>
            <w:gridSpan w:val="2"/>
            <w:tcBorders>
              <w:top w:val="single" w:sz="4" w:space="0" w:color="auto"/>
              <w:left w:val="single" w:sz="4" w:space="0" w:color="auto"/>
            </w:tcBorders>
            <w:noWrap/>
          </w:tcPr>
          <w:p w14:paraId="07D2398E" w14:textId="4FD547A0"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w:t>
            </w:r>
            <w:r w:rsidR="000C61CD" w:rsidRPr="009D4627">
              <w:rPr>
                <w:rFonts w:eastAsia="Times New Roman"/>
                <w:color w:val="000000"/>
                <w:sz w:val="22"/>
                <w:szCs w:val="22"/>
                <w:lang w:val="en-MY" w:eastAsia="en-MY"/>
              </w:rPr>
              <w:t>06</w:t>
            </w:r>
          </w:p>
        </w:tc>
      </w:tr>
      <w:tr w:rsidR="00974B3E" w:rsidRPr="009D4627" w14:paraId="6C4850F1"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5EADDFED"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4F746C1A"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vAlign w:val="bottom"/>
          </w:tcPr>
          <w:p w14:paraId="4063F597" w14:textId="235CBE48"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0.67 (0.15)</w:t>
            </w:r>
          </w:p>
        </w:tc>
        <w:tc>
          <w:tcPr>
            <w:tcW w:w="1020" w:type="pct"/>
            <w:tcBorders>
              <w:left w:val="single" w:sz="4" w:space="0" w:color="auto"/>
              <w:right w:val="single" w:sz="4" w:space="0" w:color="auto"/>
            </w:tcBorders>
            <w:noWrap/>
            <w:vAlign w:val="bottom"/>
          </w:tcPr>
          <w:p w14:paraId="55D17B05" w14:textId="37FC9CCF"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 xml:space="preserve">0.76 (0.11) </w:t>
            </w:r>
          </w:p>
        </w:tc>
        <w:tc>
          <w:tcPr>
            <w:tcW w:w="664" w:type="pct"/>
            <w:tcBorders>
              <w:left w:val="single" w:sz="4" w:space="0" w:color="auto"/>
              <w:right w:val="single" w:sz="4" w:space="0" w:color="auto"/>
            </w:tcBorders>
            <w:noWrap/>
          </w:tcPr>
          <w:p w14:paraId="60694E80" w14:textId="637169D6"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-1.8</w:t>
            </w:r>
            <w:r w:rsidR="00C73F6E" w:rsidRPr="009D4627">
              <w:rPr>
                <w:rFonts w:eastAsia="Times New Roman"/>
                <w:color w:val="000000"/>
                <w:sz w:val="22"/>
                <w:szCs w:val="22"/>
                <w:lang w:val="en-MY" w:eastAsia="en-MY"/>
              </w:rPr>
              <w:t>7</w:t>
            </w:r>
          </w:p>
        </w:tc>
        <w:tc>
          <w:tcPr>
            <w:tcW w:w="567" w:type="pct"/>
            <w:gridSpan w:val="2"/>
            <w:tcBorders>
              <w:left w:val="single" w:sz="4" w:space="0" w:color="auto"/>
            </w:tcBorders>
            <w:noWrap/>
          </w:tcPr>
          <w:p w14:paraId="42F55C9E" w14:textId="36494BC7"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0.07</w:t>
            </w:r>
          </w:p>
        </w:tc>
      </w:tr>
      <w:tr w:rsidR="00974B3E" w:rsidRPr="009D4627" w14:paraId="50F94CD0"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3CB756B3"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6085D6A2"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vAlign w:val="bottom"/>
          </w:tcPr>
          <w:p w14:paraId="0987FB3E" w14:textId="71188411"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0.47 (0.14)</w:t>
            </w:r>
          </w:p>
        </w:tc>
        <w:tc>
          <w:tcPr>
            <w:tcW w:w="1020" w:type="pct"/>
            <w:tcBorders>
              <w:left w:val="single" w:sz="4" w:space="0" w:color="auto"/>
              <w:right w:val="single" w:sz="4" w:space="0" w:color="auto"/>
            </w:tcBorders>
            <w:noWrap/>
            <w:vAlign w:val="bottom"/>
          </w:tcPr>
          <w:p w14:paraId="40BE2CB3" w14:textId="548F7C55"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0.59 (0.15)</w:t>
            </w:r>
          </w:p>
        </w:tc>
        <w:tc>
          <w:tcPr>
            <w:tcW w:w="664" w:type="pct"/>
            <w:tcBorders>
              <w:left w:val="single" w:sz="4" w:space="0" w:color="auto"/>
              <w:right w:val="single" w:sz="4" w:space="0" w:color="auto"/>
            </w:tcBorders>
            <w:noWrap/>
          </w:tcPr>
          <w:p w14:paraId="5AC5AB30" w14:textId="0088EFA1"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-2.4</w:t>
            </w:r>
            <w:r w:rsidR="00C73F6E" w:rsidRPr="009D4627">
              <w:rPr>
                <w:rFonts w:eastAsia="Times New Roman"/>
                <w:color w:val="000000"/>
                <w:sz w:val="22"/>
                <w:szCs w:val="22"/>
                <w:lang w:val="en-MY" w:eastAsia="en-MY"/>
              </w:rPr>
              <w:t>9</w:t>
            </w:r>
          </w:p>
        </w:tc>
        <w:tc>
          <w:tcPr>
            <w:tcW w:w="567" w:type="pct"/>
            <w:gridSpan w:val="2"/>
            <w:tcBorders>
              <w:left w:val="single" w:sz="4" w:space="0" w:color="auto"/>
            </w:tcBorders>
            <w:noWrap/>
          </w:tcPr>
          <w:p w14:paraId="6C453A4F" w14:textId="79639560"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w:t>
            </w:r>
            <w:r w:rsidR="000C61CD" w:rsidRPr="009D4627">
              <w:rPr>
                <w:rFonts w:eastAsia="Times New Roman"/>
                <w:color w:val="000000"/>
                <w:sz w:val="22"/>
                <w:szCs w:val="22"/>
                <w:lang w:val="en-MY" w:eastAsia="en-MY"/>
              </w:rPr>
              <w:t>0</w:t>
            </w:r>
            <w:r w:rsidRPr="009D4627">
              <w:rPr>
                <w:rFonts w:eastAsia="Times New Roman"/>
                <w:color w:val="000000"/>
                <w:sz w:val="22"/>
                <w:szCs w:val="22"/>
                <w:lang w:val="en-MY" w:eastAsia="en-MY"/>
              </w:rPr>
              <w:t>*</w:t>
            </w:r>
          </w:p>
        </w:tc>
      </w:tr>
      <w:tr w:rsidR="00974B3E" w:rsidRPr="009D4627" w14:paraId="30BC45B2"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052EAE3A"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6ADE9260"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vAlign w:val="bottom"/>
          </w:tcPr>
          <w:p w14:paraId="77A26CA0" w14:textId="1FA1A1F9"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0.36 (0.15)</w:t>
            </w:r>
          </w:p>
        </w:tc>
        <w:tc>
          <w:tcPr>
            <w:tcW w:w="1020" w:type="pct"/>
            <w:tcBorders>
              <w:left w:val="single" w:sz="4" w:space="0" w:color="auto"/>
              <w:bottom w:val="single" w:sz="4" w:space="0" w:color="auto"/>
              <w:right w:val="single" w:sz="4" w:space="0" w:color="auto"/>
            </w:tcBorders>
            <w:noWrap/>
            <w:vAlign w:val="bottom"/>
          </w:tcPr>
          <w:p w14:paraId="2D2E2ACA" w14:textId="16CF7FD0"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0.47 (0.19)</w:t>
            </w:r>
          </w:p>
        </w:tc>
        <w:tc>
          <w:tcPr>
            <w:tcW w:w="664" w:type="pct"/>
            <w:tcBorders>
              <w:left w:val="single" w:sz="4" w:space="0" w:color="auto"/>
              <w:bottom w:val="single" w:sz="4" w:space="0" w:color="auto"/>
              <w:right w:val="single" w:sz="4" w:space="0" w:color="auto"/>
            </w:tcBorders>
            <w:noWrap/>
          </w:tcPr>
          <w:p w14:paraId="5F2C5A2D" w14:textId="3B2D3D44"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-1.9</w:t>
            </w:r>
            <w:r w:rsidR="00C73F6E" w:rsidRPr="009D4627">
              <w:rPr>
                <w:rFonts w:eastAsia="Times New Roman"/>
                <w:color w:val="000000"/>
                <w:sz w:val="22"/>
                <w:szCs w:val="22"/>
                <w:lang w:val="en-MY" w:eastAsia="en-MY"/>
              </w:rPr>
              <w:t>4</w:t>
            </w:r>
          </w:p>
        </w:tc>
        <w:tc>
          <w:tcPr>
            <w:tcW w:w="567" w:type="pct"/>
            <w:gridSpan w:val="2"/>
            <w:tcBorders>
              <w:left w:val="single" w:sz="4" w:space="0" w:color="auto"/>
              <w:bottom w:val="single" w:sz="4" w:space="0" w:color="auto"/>
            </w:tcBorders>
            <w:noWrap/>
          </w:tcPr>
          <w:p w14:paraId="438C6589" w14:textId="2022B0D5"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0.06</w:t>
            </w:r>
          </w:p>
        </w:tc>
      </w:tr>
      <w:tr w:rsidR="00974B3E" w:rsidRPr="009D4627" w14:paraId="6AD34D28"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75F536A7" w14:textId="77777777" w:rsidR="00BD1281" w:rsidRPr="009D4627" w:rsidRDefault="00BD1281" w:rsidP="00BD1281">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IV</w:t>
            </w:r>
          </w:p>
        </w:tc>
        <w:tc>
          <w:tcPr>
            <w:tcW w:w="1331" w:type="pct"/>
            <w:tcBorders>
              <w:top w:val="single" w:sz="4" w:space="0" w:color="auto"/>
              <w:left w:val="single" w:sz="4" w:space="0" w:color="auto"/>
              <w:right w:val="single" w:sz="4" w:space="0" w:color="auto"/>
            </w:tcBorders>
            <w:noWrap/>
            <w:hideMark/>
          </w:tcPr>
          <w:p w14:paraId="5B3E88B2"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vAlign w:val="bottom"/>
          </w:tcPr>
          <w:p w14:paraId="090F0164" w14:textId="423F71C6"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0.97 (0.02)</w:t>
            </w:r>
          </w:p>
        </w:tc>
        <w:tc>
          <w:tcPr>
            <w:tcW w:w="1020" w:type="pct"/>
            <w:tcBorders>
              <w:top w:val="single" w:sz="4" w:space="0" w:color="auto"/>
              <w:left w:val="single" w:sz="4" w:space="0" w:color="auto"/>
              <w:right w:val="single" w:sz="4" w:space="0" w:color="auto"/>
            </w:tcBorders>
            <w:noWrap/>
            <w:vAlign w:val="bottom"/>
          </w:tcPr>
          <w:p w14:paraId="1FB4FBF3" w14:textId="16FC96E5"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1.03 (0.01)</w:t>
            </w:r>
          </w:p>
        </w:tc>
        <w:tc>
          <w:tcPr>
            <w:tcW w:w="664" w:type="pct"/>
            <w:tcBorders>
              <w:top w:val="single" w:sz="4" w:space="0" w:color="auto"/>
              <w:left w:val="single" w:sz="4" w:space="0" w:color="auto"/>
              <w:right w:val="single" w:sz="4" w:space="0" w:color="auto"/>
            </w:tcBorders>
            <w:noWrap/>
          </w:tcPr>
          <w:p w14:paraId="7D32499A" w14:textId="0959EE3E"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-6.7</w:t>
            </w:r>
            <w:r w:rsidR="00C73F6E" w:rsidRPr="009D4627">
              <w:rPr>
                <w:rFonts w:eastAsia="Times New Roman"/>
                <w:color w:val="000000"/>
                <w:sz w:val="22"/>
                <w:szCs w:val="22"/>
                <w:lang w:val="en-MY" w:eastAsia="en-MY"/>
              </w:rPr>
              <w:t>3</w:t>
            </w:r>
          </w:p>
        </w:tc>
        <w:tc>
          <w:tcPr>
            <w:tcW w:w="567" w:type="pct"/>
            <w:gridSpan w:val="2"/>
            <w:tcBorders>
              <w:top w:val="single" w:sz="4" w:space="0" w:color="auto"/>
              <w:left w:val="single" w:sz="4" w:space="0" w:color="auto"/>
            </w:tcBorders>
            <w:noWrap/>
          </w:tcPr>
          <w:p w14:paraId="0D3E9F38" w14:textId="62D57116"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&lt;0.0</w:t>
            </w:r>
            <w:r w:rsidR="00AA3EDA" w:rsidRPr="009D4627">
              <w:rPr>
                <w:rFonts w:eastAsia="Times New Roman"/>
                <w:color w:val="000000"/>
                <w:sz w:val="22"/>
                <w:szCs w:val="22"/>
                <w:lang w:val="en-MY" w:eastAsia="en-MY"/>
              </w:rPr>
              <w:t>1</w:t>
            </w:r>
            <w:r w:rsidRPr="009D4627">
              <w:rPr>
                <w:rFonts w:eastAsia="Times New Roman"/>
                <w:color w:val="000000"/>
                <w:sz w:val="22"/>
                <w:szCs w:val="22"/>
                <w:lang w:val="en-MY" w:eastAsia="en-MY"/>
              </w:rPr>
              <w:t>*</w:t>
            </w:r>
          </w:p>
        </w:tc>
      </w:tr>
      <w:tr w:rsidR="00974B3E" w:rsidRPr="009D4627" w14:paraId="0C030520"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58AD5ADA"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0D8349C5"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vAlign w:val="bottom"/>
          </w:tcPr>
          <w:p w14:paraId="00B1C59D" w14:textId="73357A1F"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22"/>
                <w:szCs w:val="22"/>
              </w:rPr>
            </w:pPr>
            <w:r w:rsidRPr="009D4627">
              <w:rPr>
                <w:color w:val="000000"/>
                <w:sz w:val="22"/>
                <w:szCs w:val="22"/>
              </w:rPr>
              <w:t>0.92 (0.05)</w:t>
            </w:r>
          </w:p>
        </w:tc>
        <w:tc>
          <w:tcPr>
            <w:tcW w:w="1020" w:type="pct"/>
            <w:tcBorders>
              <w:left w:val="single" w:sz="4" w:space="0" w:color="auto"/>
              <w:right w:val="single" w:sz="4" w:space="0" w:color="auto"/>
            </w:tcBorders>
            <w:noWrap/>
            <w:vAlign w:val="bottom"/>
          </w:tcPr>
          <w:p w14:paraId="3EF6D09B" w14:textId="659AFA89"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1.02 (0.03)</w:t>
            </w:r>
          </w:p>
        </w:tc>
        <w:tc>
          <w:tcPr>
            <w:tcW w:w="664" w:type="pct"/>
            <w:tcBorders>
              <w:left w:val="single" w:sz="4" w:space="0" w:color="auto"/>
              <w:right w:val="single" w:sz="4" w:space="0" w:color="auto"/>
            </w:tcBorders>
            <w:noWrap/>
          </w:tcPr>
          <w:p w14:paraId="1DADA979" w14:textId="7C5D243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-3.</w:t>
            </w:r>
            <w:r w:rsidR="00C73F6E" w:rsidRPr="009D4627">
              <w:rPr>
                <w:rFonts w:eastAsia="Times New Roman"/>
                <w:color w:val="000000"/>
                <w:sz w:val="22"/>
                <w:szCs w:val="22"/>
                <w:lang w:val="en-MY" w:eastAsia="en-MY"/>
              </w:rPr>
              <w:t>80</w:t>
            </w:r>
          </w:p>
        </w:tc>
        <w:tc>
          <w:tcPr>
            <w:tcW w:w="567" w:type="pct"/>
            <w:gridSpan w:val="2"/>
            <w:tcBorders>
              <w:left w:val="single" w:sz="4" w:space="0" w:color="auto"/>
            </w:tcBorders>
            <w:noWrap/>
          </w:tcPr>
          <w:p w14:paraId="2A4B39C3" w14:textId="2D7AD71B" w:rsidR="00BD1281" w:rsidRPr="009D4627" w:rsidRDefault="000C61CD"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&lt;</w:t>
            </w:r>
            <w:r w:rsidR="00BD1281" w:rsidRPr="009D4627">
              <w:rPr>
                <w:rFonts w:eastAsia="Times New Roman"/>
                <w:color w:val="000000"/>
                <w:sz w:val="22"/>
                <w:szCs w:val="22"/>
                <w:lang w:val="en-MY" w:eastAsia="en-MY"/>
              </w:rPr>
              <w:t>0.0</w:t>
            </w:r>
            <w:r w:rsidR="00AA3EDA" w:rsidRPr="009D4627">
              <w:rPr>
                <w:rFonts w:eastAsia="Times New Roman"/>
                <w:color w:val="000000"/>
                <w:sz w:val="22"/>
                <w:szCs w:val="22"/>
                <w:lang w:val="en-MY" w:eastAsia="en-MY"/>
              </w:rPr>
              <w:t>1</w:t>
            </w:r>
            <w:r w:rsidR="00BD1281" w:rsidRPr="009D4627">
              <w:rPr>
                <w:rFonts w:eastAsia="Times New Roman"/>
                <w:color w:val="000000"/>
                <w:sz w:val="22"/>
                <w:szCs w:val="22"/>
                <w:lang w:val="en-MY" w:eastAsia="en-MY"/>
              </w:rPr>
              <w:t>*</w:t>
            </w:r>
          </w:p>
        </w:tc>
      </w:tr>
      <w:tr w:rsidR="00974B3E" w:rsidRPr="009D4627" w14:paraId="68F6C489"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7860A802"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2F1A45F2"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vAlign w:val="bottom"/>
          </w:tcPr>
          <w:p w14:paraId="1DFA1A13" w14:textId="058A3C9B"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0.90 (0.05)</w:t>
            </w:r>
          </w:p>
        </w:tc>
        <w:tc>
          <w:tcPr>
            <w:tcW w:w="1020" w:type="pct"/>
            <w:tcBorders>
              <w:left w:val="single" w:sz="4" w:space="0" w:color="auto"/>
              <w:right w:val="single" w:sz="4" w:space="0" w:color="auto"/>
            </w:tcBorders>
            <w:noWrap/>
            <w:vAlign w:val="bottom"/>
          </w:tcPr>
          <w:p w14:paraId="1EC7177B" w14:textId="2343A9D4"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0.97 (0.04)</w:t>
            </w:r>
          </w:p>
        </w:tc>
        <w:tc>
          <w:tcPr>
            <w:tcW w:w="664" w:type="pct"/>
            <w:tcBorders>
              <w:left w:val="single" w:sz="4" w:space="0" w:color="auto"/>
              <w:right w:val="single" w:sz="4" w:space="0" w:color="auto"/>
            </w:tcBorders>
            <w:noWrap/>
          </w:tcPr>
          <w:p w14:paraId="56DC9596" w14:textId="020394E6"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-2.62</w:t>
            </w:r>
          </w:p>
        </w:tc>
        <w:tc>
          <w:tcPr>
            <w:tcW w:w="567" w:type="pct"/>
            <w:gridSpan w:val="2"/>
            <w:tcBorders>
              <w:left w:val="single" w:sz="4" w:space="0" w:color="auto"/>
            </w:tcBorders>
            <w:noWrap/>
          </w:tcPr>
          <w:p w14:paraId="67637567" w14:textId="77EEA5FE"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0.03*</w:t>
            </w:r>
          </w:p>
        </w:tc>
      </w:tr>
      <w:tr w:rsidR="00974B3E" w:rsidRPr="009D4627" w14:paraId="6521E110"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123CD782"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43243E9D"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vAlign w:val="bottom"/>
          </w:tcPr>
          <w:p w14:paraId="6082E333" w14:textId="75D6E13C"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0.83 (0.03)</w:t>
            </w:r>
          </w:p>
        </w:tc>
        <w:tc>
          <w:tcPr>
            <w:tcW w:w="1020" w:type="pct"/>
            <w:tcBorders>
              <w:left w:val="single" w:sz="4" w:space="0" w:color="auto"/>
              <w:bottom w:val="single" w:sz="4" w:space="0" w:color="auto"/>
              <w:right w:val="single" w:sz="4" w:space="0" w:color="auto"/>
            </w:tcBorders>
            <w:noWrap/>
            <w:vAlign w:val="bottom"/>
          </w:tcPr>
          <w:p w14:paraId="18531763" w14:textId="4F8BB5FA"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0.90 (0.07)</w:t>
            </w:r>
          </w:p>
        </w:tc>
        <w:tc>
          <w:tcPr>
            <w:tcW w:w="664" w:type="pct"/>
            <w:tcBorders>
              <w:left w:val="single" w:sz="4" w:space="0" w:color="auto"/>
              <w:bottom w:val="single" w:sz="4" w:space="0" w:color="auto"/>
              <w:right w:val="single" w:sz="4" w:space="0" w:color="auto"/>
            </w:tcBorders>
            <w:noWrap/>
          </w:tcPr>
          <w:p w14:paraId="46B4EE1B" w14:textId="15B0EB8B"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w:t>
            </w:r>
            <w:r w:rsidR="00C73F6E" w:rsidRPr="009D4627">
              <w:rPr>
                <w:rFonts w:eastAsia="Times New Roman"/>
                <w:color w:val="000000"/>
                <w:sz w:val="22"/>
                <w:szCs w:val="22"/>
                <w:lang w:val="en-MY" w:eastAsia="en-MY"/>
              </w:rPr>
              <w:t>10</w:t>
            </w:r>
          </w:p>
        </w:tc>
        <w:tc>
          <w:tcPr>
            <w:tcW w:w="567" w:type="pct"/>
            <w:gridSpan w:val="2"/>
            <w:tcBorders>
              <w:left w:val="single" w:sz="4" w:space="0" w:color="auto"/>
              <w:bottom w:val="single" w:sz="4" w:space="0" w:color="auto"/>
            </w:tcBorders>
            <w:noWrap/>
          </w:tcPr>
          <w:p w14:paraId="261F640B" w14:textId="48258FC3"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w:t>
            </w:r>
            <w:r w:rsidR="000C61CD" w:rsidRPr="009D4627">
              <w:rPr>
                <w:rFonts w:eastAsia="Times New Roman"/>
                <w:color w:val="000000"/>
                <w:sz w:val="22"/>
                <w:szCs w:val="22"/>
                <w:lang w:val="en-MY" w:eastAsia="en-MY"/>
              </w:rPr>
              <w:t>7</w:t>
            </w:r>
          </w:p>
        </w:tc>
      </w:tr>
      <w:tr w:rsidR="00974B3E" w:rsidRPr="009D4627" w14:paraId="11949D81"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48C563F7" w14:textId="77777777" w:rsidR="00BD1281" w:rsidRPr="009D4627" w:rsidRDefault="00BD1281" w:rsidP="00BD1281">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VI</w:t>
            </w:r>
          </w:p>
        </w:tc>
        <w:tc>
          <w:tcPr>
            <w:tcW w:w="1331" w:type="pct"/>
            <w:tcBorders>
              <w:top w:val="single" w:sz="4" w:space="0" w:color="auto"/>
              <w:left w:val="single" w:sz="4" w:space="0" w:color="auto"/>
              <w:right w:val="single" w:sz="4" w:space="0" w:color="auto"/>
            </w:tcBorders>
            <w:noWrap/>
            <w:hideMark/>
          </w:tcPr>
          <w:p w14:paraId="5798CC8D"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vAlign w:val="bottom"/>
          </w:tcPr>
          <w:p w14:paraId="1BEC248D" w14:textId="769746D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0.89 (0.06)</w:t>
            </w:r>
          </w:p>
        </w:tc>
        <w:tc>
          <w:tcPr>
            <w:tcW w:w="1020" w:type="pct"/>
            <w:tcBorders>
              <w:top w:val="single" w:sz="4" w:space="0" w:color="auto"/>
              <w:left w:val="single" w:sz="4" w:space="0" w:color="auto"/>
              <w:right w:val="single" w:sz="4" w:space="0" w:color="auto"/>
            </w:tcBorders>
            <w:noWrap/>
            <w:vAlign w:val="bottom"/>
          </w:tcPr>
          <w:p w14:paraId="4D42FB35" w14:textId="24859933"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0.90 (0.07)</w:t>
            </w:r>
          </w:p>
        </w:tc>
        <w:tc>
          <w:tcPr>
            <w:tcW w:w="664" w:type="pct"/>
            <w:tcBorders>
              <w:top w:val="single" w:sz="4" w:space="0" w:color="auto"/>
              <w:left w:val="single" w:sz="4" w:space="0" w:color="auto"/>
              <w:right w:val="single" w:sz="4" w:space="0" w:color="auto"/>
            </w:tcBorders>
            <w:noWrap/>
          </w:tcPr>
          <w:p w14:paraId="1DABECC2" w14:textId="181F01CC"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r w:rsidR="00C73F6E" w:rsidRPr="009D4627">
              <w:rPr>
                <w:rFonts w:eastAsia="Times New Roman"/>
                <w:color w:val="000000"/>
                <w:sz w:val="22"/>
                <w:szCs w:val="22"/>
                <w:lang w:val="en-MY" w:eastAsia="en-MY"/>
              </w:rPr>
              <w:t>2</w:t>
            </w:r>
          </w:p>
        </w:tc>
        <w:tc>
          <w:tcPr>
            <w:tcW w:w="567" w:type="pct"/>
            <w:gridSpan w:val="2"/>
            <w:tcBorders>
              <w:top w:val="single" w:sz="4" w:space="0" w:color="auto"/>
              <w:left w:val="single" w:sz="4" w:space="0" w:color="auto"/>
            </w:tcBorders>
            <w:noWrap/>
          </w:tcPr>
          <w:p w14:paraId="67A69369" w14:textId="0782E054"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0.68</w:t>
            </w:r>
          </w:p>
        </w:tc>
      </w:tr>
      <w:tr w:rsidR="00974B3E" w:rsidRPr="009D4627" w14:paraId="1F6DCA6D"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3CA419FA"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7E8564C2"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vAlign w:val="bottom"/>
          </w:tcPr>
          <w:p w14:paraId="5E77579E" w14:textId="3452ED01"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0.79 (0.09)</w:t>
            </w:r>
          </w:p>
        </w:tc>
        <w:tc>
          <w:tcPr>
            <w:tcW w:w="1020" w:type="pct"/>
            <w:tcBorders>
              <w:left w:val="single" w:sz="4" w:space="0" w:color="auto"/>
              <w:right w:val="single" w:sz="4" w:space="0" w:color="auto"/>
            </w:tcBorders>
            <w:noWrap/>
            <w:vAlign w:val="bottom"/>
          </w:tcPr>
          <w:p w14:paraId="23692D07" w14:textId="6C5B1108"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0.78 (0.14)</w:t>
            </w:r>
          </w:p>
        </w:tc>
        <w:tc>
          <w:tcPr>
            <w:tcW w:w="664" w:type="pct"/>
            <w:tcBorders>
              <w:left w:val="single" w:sz="4" w:space="0" w:color="auto"/>
              <w:right w:val="single" w:sz="4" w:space="0" w:color="auto"/>
            </w:tcBorders>
            <w:noWrap/>
          </w:tcPr>
          <w:p w14:paraId="14F13D36" w14:textId="268358F4"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0.1</w:t>
            </w:r>
            <w:r w:rsidR="00C73F6E" w:rsidRPr="009D4627">
              <w:rPr>
                <w:rFonts w:eastAsia="Times New Roman"/>
                <w:color w:val="000000"/>
                <w:sz w:val="22"/>
                <w:szCs w:val="22"/>
                <w:lang w:val="en-MY" w:eastAsia="en-MY"/>
              </w:rPr>
              <w:t>1</w:t>
            </w:r>
          </w:p>
        </w:tc>
        <w:tc>
          <w:tcPr>
            <w:tcW w:w="567" w:type="pct"/>
            <w:gridSpan w:val="2"/>
            <w:tcBorders>
              <w:left w:val="single" w:sz="4" w:space="0" w:color="auto"/>
            </w:tcBorders>
            <w:noWrap/>
          </w:tcPr>
          <w:p w14:paraId="05C60807" w14:textId="1180FFE1"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0.9</w:t>
            </w:r>
            <w:r w:rsidR="000C61CD" w:rsidRPr="009D4627">
              <w:rPr>
                <w:rFonts w:eastAsia="Times New Roman"/>
                <w:color w:val="000000"/>
                <w:sz w:val="22"/>
                <w:szCs w:val="22"/>
                <w:lang w:val="en-MY" w:eastAsia="en-MY"/>
              </w:rPr>
              <w:t>2</w:t>
            </w:r>
          </w:p>
        </w:tc>
      </w:tr>
      <w:tr w:rsidR="00974B3E" w:rsidRPr="009D4627" w14:paraId="317EF0A0"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2E88F2A3"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56D11601"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vAlign w:val="bottom"/>
          </w:tcPr>
          <w:p w14:paraId="2E460672" w14:textId="7CA95FA8"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0.58 (0.14)</w:t>
            </w:r>
          </w:p>
        </w:tc>
        <w:tc>
          <w:tcPr>
            <w:tcW w:w="1020" w:type="pct"/>
            <w:tcBorders>
              <w:left w:val="single" w:sz="4" w:space="0" w:color="auto"/>
              <w:right w:val="single" w:sz="4" w:space="0" w:color="auto"/>
            </w:tcBorders>
            <w:noWrap/>
            <w:vAlign w:val="bottom"/>
          </w:tcPr>
          <w:p w14:paraId="4F721456" w14:textId="08C7A4B3"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0.60 (0.17)</w:t>
            </w:r>
          </w:p>
        </w:tc>
        <w:tc>
          <w:tcPr>
            <w:tcW w:w="664" w:type="pct"/>
            <w:tcBorders>
              <w:left w:val="single" w:sz="4" w:space="0" w:color="auto"/>
              <w:right w:val="single" w:sz="4" w:space="0" w:color="auto"/>
            </w:tcBorders>
            <w:noWrap/>
          </w:tcPr>
          <w:p w14:paraId="668307AC" w14:textId="189BAD89"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-0.3</w:t>
            </w:r>
            <w:r w:rsidR="00C73F6E" w:rsidRPr="009D4627">
              <w:rPr>
                <w:rFonts w:eastAsia="Times New Roman"/>
                <w:color w:val="000000"/>
                <w:sz w:val="22"/>
                <w:szCs w:val="22"/>
                <w:lang w:val="en-MY" w:eastAsia="en-MY"/>
              </w:rPr>
              <w:t>1</w:t>
            </w:r>
          </w:p>
        </w:tc>
        <w:tc>
          <w:tcPr>
            <w:tcW w:w="567" w:type="pct"/>
            <w:gridSpan w:val="2"/>
            <w:tcBorders>
              <w:left w:val="single" w:sz="4" w:space="0" w:color="auto"/>
            </w:tcBorders>
            <w:noWrap/>
          </w:tcPr>
          <w:p w14:paraId="4BCA48EB" w14:textId="10F6510E"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w:t>
            </w:r>
            <w:r w:rsidR="000C61CD" w:rsidRPr="009D4627">
              <w:rPr>
                <w:rFonts w:eastAsia="Times New Roman"/>
                <w:color w:val="000000"/>
                <w:sz w:val="22"/>
                <w:szCs w:val="22"/>
                <w:lang w:val="en-MY" w:eastAsia="en-MY"/>
              </w:rPr>
              <w:t>6</w:t>
            </w:r>
          </w:p>
        </w:tc>
      </w:tr>
      <w:tr w:rsidR="00974B3E" w:rsidRPr="009D4627" w14:paraId="69519007"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321F3ADB"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7321AC50"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vAlign w:val="bottom"/>
          </w:tcPr>
          <w:p w14:paraId="6DDC6136" w14:textId="6E061375"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0.40 (0.17)</w:t>
            </w:r>
          </w:p>
        </w:tc>
        <w:tc>
          <w:tcPr>
            <w:tcW w:w="1020" w:type="pct"/>
            <w:tcBorders>
              <w:left w:val="single" w:sz="4" w:space="0" w:color="auto"/>
              <w:bottom w:val="single" w:sz="4" w:space="0" w:color="auto"/>
              <w:right w:val="single" w:sz="4" w:space="0" w:color="auto"/>
            </w:tcBorders>
            <w:noWrap/>
            <w:vAlign w:val="bottom"/>
          </w:tcPr>
          <w:p w14:paraId="3A8A410A" w14:textId="7A2564B0"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0.37 (0.18)</w:t>
            </w:r>
          </w:p>
        </w:tc>
        <w:tc>
          <w:tcPr>
            <w:tcW w:w="664" w:type="pct"/>
            <w:tcBorders>
              <w:left w:val="single" w:sz="4" w:space="0" w:color="auto"/>
              <w:bottom w:val="single" w:sz="4" w:space="0" w:color="auto"/>
              <w:right w:val="single" w:sz="4" w:space="0" w:color="auto"/>
            </w:tcBorders>
            <w:noWrap/>
          </w:tcPr>
          <w:p w14:paraId="64EDF02D" w14:textId="194B2DA2"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r w:rsidR="00C73F6E" w:rsidRPr="009D4627">
              <w:rPr>
                <w:rFonts w:eastAsia="Times New Roman"/>
                <w:color w:val="000000"/>
                <w:sz w:val="22"/>
                <w:szCs w:val="22"/>
                <w:lang w:val="en-MY" w:eastAsia="en-MY"/>
              </w:rPr>
              <w:t>4</w:t>
            </w:r>
          </w:p>
        </w:tc>
        <w:tc>
          <w:tcPr>
            <w:tcW w:w="567" w:type="pct"/>
            <w:gridSpan w:val="2"/>
            <w:tcBorders>
              <w:left w:val="single" w:sz="4" w:space="0" w:color="auto"/>
              <w:bottom w:val="single" w:sz="4" w:space="0" w:color="auto"/>
            </w:tcBorders>
            <w:noWrap/>
          </w:tcPr>
          <w:p w14:paraId="1723DC7F" w14:textId="08C0A7B6"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0.5</w:t>
            </w:r>
            <w:r w:rsidR="000C61CD" w:rsidRPr="009D4627">
              <w:rPr>
                <w:rFonts w:eastAsia="Times New Roman"/>
                <w:color w:val="000000"/>
                <w:sz w:val="22"/>
                <w:szCs w:val="22"/>
                <w:lang w:val="en-MY" w:eastAsia="en-MY"/>
              </w:rPr>
              <w:t>3</w:t>
            </w:r>
          </w:p>
        </w:tc>
      </w:tr>
      <w:tr w:rsidR="00BD1281" w:rsidRPr="009D4627" w14:paraId="7B9E8B7C" w14:textId="77777777" w:rsidTr="00974B3E">
        <w:trPr>
          <w:gridAfter w:val="1"/>
          <w:wAfter w:w="4" w:type="pct"/>
          <w:trHeight w:val="300"/>
        </w:trPr>
        <w:tc>
          <w:tcPr>
            <w:cnfStyle w:val="001000000000" w:firstRow="0" w:lastRow="0" w:firstColumn="1" w:lastColumn="0" w:oddVBand="0" w:evenVBand="0" w:oddHBand="0" w:evenHBand="0" w:firstRowFirstColumn="0" w:firstRowLastColumn="0" w:lastRowFirstColumn="0" w:lastRowLastColumn="0"/>
            <w:tcW w:w="4996" w:type="pct"/>
            <w:gridSpan w:val="6"/>
            <w:tcBorders>
              <w:top w:val="single" w:sz="4" w:space="0" w:color="auto"/>
              <w:bottom w:val="single" w:sz="4" w:space="0" w:color="auto"/>
              <w:right w:val="none" w:sz="0" w:space="0" w:color="auto"/>
            </w:tcBorders>
            <w:noWrap/>
          </w:tcPr>
          <w:p w14:paraId="741242EE" w14:textId="18686E96" w:rsidR="00BD1281" w:rsidRPr="009D4627" w:rsidRDefault="004B4F56" w:rsidP="00BD1281">
            <w:pPr>
              <w:spacing w:before="0" w:after="0" w:line="240" w:lineRule="auto"/>
              <w:jc w:val="center"/>
              <w:rPr>
                <w:rFonts w:eastAsia="Times New Roman"/>
                <w:color w:val="auto"/>
                <w:sz w:val="22"/>
                <w:szCs w:val="22"/>
                <w:lang w:val="en-MY" w:eastAsia="en-MY"/>
              </w:rPr>
            </w:pPr>
            <w:r w:rsidRPr="009D4627">
              <w:rPr>
                <w:rFonts w:eastAsia="Times New Roman"/>
                <w:color w:val="000000"/>
                <w:sz w:val="22"/>
                <w:szCs w:val="22"/>
                <w:lang w:val="en-MY" w:eastAsia="en-MY"/>
              </w:rPr>
              <w:lastRenderedPageBreak/>
              <w:t>H</w:t>
            </w:r>
            <w:r w:rsidR="00BD1281" w:rsidRPr="009D4627">
              <w:rPr>
                <w:rFonts w:eastAsia="Times New Roman"/>
                <w:color w:val="000000"/>
                <w:sz w:val="22"/>
                <w:szCs w:val="22"/>
                <w:lang w:val="en-MY" w:eastAsia="en-MY"/>
              </w:rPr>
              <w:t>orizontal SP RMSE (°)</w:t>
            </w:r>
          </w:p>
        </w:tc>
      </w:tr>
      <w:tr w:rsidR="00974B3E" w:rsidRPr="009D4627" w14:paraId="7851E38E"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0C5A0AF6" w14:textId="77777777" w:rsidR="00426CBC" w:rsidRPr="009D4627" w:rsidRDefault="00426CBC" w:rsidP="00426CBC">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III</w:t>
            </w:r>
          </w:p>
        </w:tc>
        <w:tc>
          <w:tcPr>
            <w:tcW w:w="1331" w:type="pct"/>
            <w:tcBorders>
              <w:top w:val="single" w:sz="4" w:space="0" w:color="auto"/>
              <w:left w:val="single" w:sz="4" w:space="0" w:color="auto"/>
              <w:right w:val="single" w:sz="4" w:space="0" w:color="auto"/>
            </w:tcBorders>
            <w:noWrap/>
            <w:hideMark/>
          </w:tcPr>
          <w:p w14:paraId="75633D08" w14:textId="77777777"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vAlign w:val="bottom"/>
          </w:tcPr>
          <w:p w14:paraId="7B29488D" w14:textId="58F613FE"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0.80 (0.36)</w:t>
            </w:r>
          </w:p>
        </w:tc>
        <w:tc>
          <w:tcPr>
            <w:tcW w:w="1020" w:type="pct"/>
            <w:tcBorders>
              <w:top w:val="single" w:sz="4" w:space="0" w:color="auto"/>
              <w:left w:val="single" w:sz="4" w:space="0" w:color="auto"/>
              <w:right w:val="single" w:sz="4" w:space="0" w:color="auto"/>
            </w:tcBorders>
            <w:noWrap/>
            <w:vAlign w:val="bottom"/>
          </w:tcPr>
          <w:p w14:paraId="79D131BF" w14:textId="7FDAF836"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0.59 (0.19)</w:t>
            </w:r>
          </w:p>
        </w:tc>
        <w:tc>
          <w:tcPr>
            <w:tcW w:w="664" w:type="pct"/>
            <w:tcBorders>
              <w:top w:val="single" w:sz="4" w:space="0" w:color="auto"/>
              <w:left w:val="single" w:sz="4" w:space="0" w:color="auto"/>
              <w:right w:val="single" w:sz="4" w:space="0" w:color="auto"/>
            </w:tcBorders>
            <w:noWrap/>
          </w:tcPr>
          <w:p w14:paraId="696E5536" w14:textId="2DC081AC"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2.0</w:t>
            </w:r>
            <w:r w:rsidR="00C73F6E" w:rsidRPr="009D4627">
              <w:rPr>
                <w:rFonts w:eastAsia="Times New Roman"/>
                <w:color w:val="000000"/>
                <w:sz w:val="22"/>
                <w:szCs w:val="22"/>
                <w:lang w:val="en-MY" w:eastAsia="en-MY"/>
              </w:rPr>
              <w:t>8</w:t>
            </w:r>
          </w:p>
        </w:tc>
        <w:tc>
          <w:tcPr>
            <w:tcW w:w="567" w:type="pct"/>
            <w:gridSpan w:val="2"/>
            <w:tcBorders>
              <w:top w:val="single" w:sz="4" w:space="0" w:color="auto"/>
              <w:left w:val="single" w:sz="4" w:space="0" w:color="auto"/>
            </w:tcBorders>
            <w:noWrap/>
          </w:tcPr>
          <w:p w14:paraId="48C7D6F4" w14:textId="63DB1CFB" w:rsidR="00426CBC" w:rsidRPr="009D4627" w:rsidRDefault="00426CBC" w:rsidP="00426CB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w:t>
            </w:r>
            <w:r w:rsidR="000C61CD" w:rsidRPr="009D4627">
              <w:rPr>
                <w:rFonts w:eastAsia="Times New Roman"/>
                <w:color w:val="000000"/>
                <w:sz w:val="22"/>
                <w:szCs w:val="22"/>
                <w:lang w:val="en-MY" w:eastAsia="en-MY"/>
              </w:rPr>
              <w:t>4</w:t>
            </w:r>
            <w:r w:rsidRPr="009D4627">
              <w:rPr>
                <w:rFonts w:eastAsia="Times New Roman"/>
                <w:color w:val="000000"/>
                <w:sz w:val="22"/>
                <w:szCs w:val="22"/>
                <w:lang w:val="en-MY" w:eastAsia="en-MY"/>
              </w:rPr>
              <w:t>*</w:t>
            </w:r>
          </w:p>
        </w:tc>
      </w:tr>
      <w:tr w:rsidR="00974B3E" w:rsidRPr="009D4627" w14:paraId="1B722D21"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27E4FD2E"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16D18C0E" w14:textId="7777777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vAlign w:val="bottom"/>
          </w:tcPr>
          <w:p w14:paraId="7FF6AD5A" w14:textId="12605C14"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1.26 (0.72)</w:t>
            </w:r>
          </w:p>
        </w:tc>
        <w:tc>
          <w:tcPr>
            <w:tcW w:w="1020" w:type="pct"/>
            <w:tcBorders>
              <w:left w:val="single" w:sz="4" w:space="0" w:color="auto"/>
              <w:right w:val="single" w:sz="4" w:space="0" w:color="auto"/>
            </w:tcBorders>
            <w:noWrap/>
            <w:vAlign w:val="bottom"/>
          </w:tcPr>
          <w:p w14:paraId="356565B5" w14:textId="35FA0450"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 xml:space="preserve">1.05 (0.34) </w:t>
            </w:r>
          </w:p>
        </w:tc>
        <w:tc>
          <w:tcPr>
            <w:tcW w:w="664" w:type="pct"/>
            <w:tcBorders>
              <w:left w:val="single" w:sz="4" w:space="0" w:color="auto"/>
              <w:right w:val="single" w:sz="4" w:space="0" w:color="auto"/>
            </w:tcBorders>
            <w:noWrap/>
          </w:tcPr>
          <w:p w14:paraId="0DFBAF18" w14:textId="5EF4A886"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1.0</w:t>
            </w:r>
            <w:r w:rsidR="00C73F6E" w:rsidRPr="009D4627">
              <w:rPr>
                <w:rFonts w:eastAsia="Times New Roman"/>
                <w:color w:val="000000"/>
                <w:sz w:val="22"/>
                <w:szCs w:val="22"/>
                <w:lang w:val="en-MY" w:eastAsia="en-MY"/>
              </w:rPr>
              <w:t>7</w:t>
            </w:r>
          </w:p>
        </w:tc>
        <w:tc>
          <w:tcPr>
            <w:tcW w:w="567" w:type="pct"/>
            <w:gridSpan w:val="2"/>
            <w:tcBorders>
              <w:left w:val="single" w:sz="4" w:space="0" w:color="auto"/>
            </w:tcBorders>
            <w:noWrap/>
          </w:tcPr>
          <w:p w14:paraId="0B78D322" w14:textId="1BDFE0B1" w:rsidR="00426CBC" w:rsidRPr="009D4627" w:rsidRDefault="00426CBC" w:rsidP="00426CB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w:t>
            </w:r>
            <w:r w:rsidR="000C61CD" w:rsidRPr="009D4627">
              <w:rPr>
                <w:rFonts w:eastAsia="Times New Roman"/>
                <w:color w:val="000000"/>
                <w:sz w:val="22"/>
                <w:szCs w:val="22"/>
                <w:lang w:val="en-MY" w:eastAsia="en-MY"/>
              </w:rPr>
              <w:t>30</w:t>
            </w:r>
          </w:p>
        </w:tc>
      </w:tr>
      <w:tr w:rsidR="00974B3E" w:rsidRPr="009D4627" w14:paraId="312647DD"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3A891CBC"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392036EF" w14:textId="77777777"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vAlign w:val="bottom"/>
          </w:tcPr>
          <w:p w14:paraId="23E8321D" w14:textId="55D3B19B"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1.91 (0.92)</w:t>
            </w:r>
          </w:p>
        </w:tc>
        <w:tc>
          <w:tcPr>
            <w:tcW w:w="1020" w:type="pct"/>
            <w:tcBorders>
              <w:left w:val="single" w:sz="4" w:space="0" w:color="auto"/>
              <w:right w:val="single" w:sz="4" w:space="0" w:color="auto"/>
            </w:tcBorders>
            <w:noWrap/>
            <w:vAlign w:val="bottom"/>
          </w:tcPr>
          <w:p w14:paraId="1DD73A5C" w14:textId="13F656DE"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1.73 (0.72)</w:t>
            </w:r>
          </w:p>
        </w:tc>
        <w:tc>
          <w:tcPr>
            <w:tcW w:w="664" w:type="pct"/>
            <w:tcBorders>
              <w:left w:val="single" w:sz="4" w:space="0" w:color="auto"/>
              <w:right w:val="single" w:sz="4" w:space="0" w:color="auto"/>
            </w:tcBorders>
            <w:noWrap/>
          </w:tcPr>
          <w:p w14:paraId="64E69B42" w14:textId="640C9A85"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r w:rsidR="00C73F6E" w:rsidRPr="009D4627">
              <w:rPr>
                <w:rFonts w:eastAsia="Times New Roman"/>
                <w:color w:val="000000"/>
                <w:sz w:val="22"/>
                <w:szCs w:val="22"/>
                <w:lang w:val="en-MY" w:eastAsia="en-MY"/>
              </w:rPr>
              <w:t>1</w:t>
            </w:r>
          </w:p>
        </w:tc>
        <w:tc>
          <w:tcPr>
            <w:tcW w:w="567" w:type="pct"/>
            <w:gridSpan w:val="2"/>
            <w:tcBorders>
              <w:left w:val="single" w:sz="4" w:space="0" w:color="auto"/>
            </w:tcBorders>
            <w:noWrap/>
          </w:tcPr>
          <w:p w14:paraId="7DDF29E2" w14:textId="7A416DE9" w:rsidR="00426CBC" w:rsidRPr="009D4627" w:rsidRDefault="00426CBC" w:rsidP="00426CB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0.5</w:t>
            </w:r>
            <w:r w:rsidR="00AA3EDA" w:rsidRPr="009D4627">
              <w:rPr>
                <w:rFonts w:eastAsia="Times New Roman"/>
                <w:color w:val="000000"/>
                <w:sz w:val="22"/>
                <w:szCs w:val="22"/>
                <w:lang w:val="en-MY" w:eastAsia="en-MY"/>
              </w:rPr>
              <w:t>5</w:t>
            </w:r>
          </w:p>
        </w:tc>
      </w:tr>
      <w:tr w:rsidR="00974B3E" w:rsidRPr="009D4627" w14:paraId="6B403527"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1E1367B3"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697E122B" w14:textId="7777777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vAlign w:val="bottom"/>
          </w:tcPr>
          <w:p w14:paraId="248BFB27" w14:textId="2890001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2.54 (0.87)</w:t>
            </w:r>
          </w:p>
        </w:tc>
        <w:tc>
          <w:tcPr>
            <w:tcW w:w="1020" w:type="pct"/>
            <w:tcBorders>
              <w:left w:val="single" w:sz="4" w:space="0" w:color="auto"/>
              <w:bottom w:val="single" w:sz="4" w:space="0" w:color="auto"/>
              <w:right w:val="single" w:sz="4" w:space="0" w:color="auto"/>
            </w:tcBorders>
            <w:noWrap/>
            <w:vAlign w:val="bottom"/>
          </w:tcPr>
          <w:p w14:paraId="292EC07D" w14:textId="78C8DAF3"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2.29 (0.98)</w:t>
            </w:r>
          </w:p>
        </w:tc>
        <w:tc>
          <w:tcPr>
            <w:tcW w:w="664" w:type="pct"/>
            <w:tcBorders>
              <w:left w:val="single" w:sz="4" w:space="0" w:color="auto"/>
              <w:bottom w:val="single" w:sz="4" w:space="0" w:color="auto"/>
              <w:right w:val="single" w:sz="4" w:space="0" w:color="auto"/>
            </w:tcBorders>
            <w:noWrap/>
          </w:tcPr>
          <w:p w14:paraId="019B5388" w14:textId="2085ECBF"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w:t>
            </w:r>
            <w:r w:rsidR="00C73F6E" w:rsidRPr="009D4627">
              <w:rPr>
                <w:rFonts w:eastAsia="Times New Roman"/>
                <w:color w:val="000000"/>
                <w:sz w:val="22"/>
                <w:szCs w:val="22"/>
                <w:lang w:val="en-MY" w:eastAsia="en-MY"/>
              </w:rPr>
              <w:t>8</w:t>
            </w:r>
          </w:p>
        </w:tc>
        <w:tc>
          <w:tcPr>
            <w:tcW w:w="567" w:type="pct"/>
            <w:gridSpan w:val="2"/>
            <w:tcBorders>
              <w:left w:val="single" w:sz="4" w:space="0" w:color="auto"/>
              <w:bottom w:val="single" w:sz="4" w:space="0" w:color="auto"/>
            </w:tcBorders>
            <w:noWrap/>
          </w:tcPr>
          <w:p w14:paraId="3EE02CE6" w14:textId="24872BF9" w:rsidR="00426CBC" w:rsidRPr="009D4627" w:rsidRDefault="00426CBC" w:rsidP="00426CB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0.44</w:t>
            </w:r>
          </w:p>
        </w:tc>
      </w:tr>
      <w:tr w:rsidR="00974B3E" w:rsidRPr="009D4627" w14:paraId="3116F10F"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30B4BCA7" w14:textId="77777777" w:rsidR="00426CBC" w:rsidRPr="009D4627" w:rsidRDefault="00426CBC" w:rsidP="00426CBC">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IV</w:t>
            </w:r>
          </w:p>
        </w:tc>
        <w:tc>
          <w:tcPr>
            <w:tcW w:w="1331" w:type="pct"/>
            <w:tcBorders>
              <w:top w:val="single" w:sz="4" w:space="0" w:color="auto"/>
              <w:left w:val="single" w:sz="4" w:space="0" w:color="auto"/>
              <w:right w:val="single" w:sz="4" w:space="0" w:color="auto"/>
            </w:tcBorders>
            <w:noWrap/>
            <w:hideMark/>
          </w:tcPr>
          <w:p w14:paraId="20B61AAD" w14:textId="77777777"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vAlign w:val="bottom"/>
          </w:tcPr>
          <w:p w14:paraId="052A27AF" w14:textId="7D737D3D"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0.57 (0.17)</w:t>
            </w:r>
          </w:p>
        </w:tc>
        <w:tc>
          <w:tcPr>
            <w:tcW w:w="1020" w:type="pct"/>
            <w:tcBorders>
              <w:top w:val="single" w:sz="4" w:space="0" w:color="auto"/>
              <w:left w:val="single" w:sz="4" w:space="0" w:color="auto"/>
              <w:right w:val="single" w:sz="4" w:space="0" w:color="auto"/>
            </w:tcBorders>
            <w:noWrap/>
            <w:vAlign w:val="bottom"/>
          </w:tcPr>
          <w:p w14:paraId="3D4106F8" w14:textId="7386D203"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0.31 (0.04)</w:t>
            </w:r>
          </w:p>
        </w:tc>
        <w:tc>
          <w:tcPr>
            <w:tcW w:w="664" w:type="pct"/>
            <w:tcBorders>
              <w:top w:val="single" w:sz="4" w:space="0" w:color="auto"/>
              <w:left w:val="single" w:sz="4" w:space="0" w:color="auto"/>
              <w:right w:val="single" w:sz="4" w:space="0" w:color="auto"/>
            </w:tcBorders>
            <w:noWrap/>
          </w:tcPr>
          <w:p w14:paraId="02B519E3" w14:textId="5F36DBCB"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3.27</w:t>
            </w:r>
          </w:p>
        </w:tc>
        <w:tc>
          <w:tcPr>
            <w:tcW w:w="567" w:type="pct"/>
            <w:gridSpan w:val="2"/>
            <w:tcBorders>
              <w:top w:val="single" w:sz="4" w:space="0" w:color="auto"/>
              <w:left w:val="single" w:sz="4" w:space="0" w:color="auto"/>
            </w:tcBorders>
            <w:noWrap/>
          </w:tcPr>
          <w:p w14:paraId="78AEB902" w14:textId="3E0D4837" w:rsidR="00426CBC" w:rsidRPr="009D4627" w:rsidRDefault="00426CBC" w:rsidP="00426CB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w:t>
            </w:r>
            <w:r w:rsidR="00AA3EDA" w:rsidRPr="009D4627">
              <w:rPr>
                <w:rFonts w:eastAsia="Times New Roman"/>
                <w:color w:val="000000"/>
                <w:sz w:val="22"/>
                <w:szCs w:val="22"/>
                <w:lang w:val="en-MY" w:eastAsia="en-MY"/>
              </w:rPr>
              <w:t>1</w:t>
            </w:r>
            <w:r w:rsidRPr="009D4627">
              <w:rPr>
                <w:rFonts w:eastAsia="Times New Roman"/>
                <w:color w:val="000000"/>
                <w:sz w:val="22"/>
                <w:szCs w:val="22"/>
                <w:lang w:val="en-MY" w:eastAsia="en-MY"/>
              </w:rPr>
              <w:t>*</w:t>
            </w:r>
          </w:p>
        </w:tc>
      </w:tr>
      <w:tr w:rsidR="00974B3E" w:rsidRPr="009D4627" w14:paraId="2E6E84A7"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2C067342"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0E80868B" w14:textId="7777777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vAlign w:val="bottom"/>
          </w:tcPr>
          <w:p w14:paraId="73B6349F" w14:textId="51A4FB41"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0.85 (0.34)</w:t>
            </w:r>
          </w:p>
        </w:tc>
        <w:tc>
          <w:tcPr>
            <w:tcW w:w="1020" w:type="pct"/>
            <w:tcBorders>
              <w:left w:val="single" w:sz="4" w:space="0" w:color="auto"/>
              <w:right w:val="single" w:sz="4" w:space="0" w:color="auto"/>
            </w:tcBorders>
            <w:noWrap/>
            <w:vAlign w:val="bottom"/>
          </w:tcPr>
          <w:p w14:paraId="300DA575" w14:textId="082148E9"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0.47 (0.11)</w:t>
            </w:r>
          </w:p>
        </w:tc>
        <w:tc>
          <w:tcPr>
            <w:tcW w:w="664" w:type="pct"/>
            <w:tcBorders>
              <w:left w:val="single" w:sz="4" w:space="0" w:color="auto"/>
              <w:right w:val="single" w:sz="4" w:space="0" w:color="auto"/>
            </w:tcBorders>
            <w:noWrap/>
          </w:tcPr>
          <w:p w14:paraId="16915059" w14:textId="10022FE9"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2.44</w:t>
            </w:r>
          </w:p>
        </w:tc>
        <w:tc>
          <w:tcPr>
            <w:tcW w:w="567" w:type="pct"/>
            <w:gridSpan w:val="2"/>
            <w:tcBorders>
              <w:left w:val="single" w:sz="4" w:space="0" w:color="auto"/>
            </w:tcBorders>
            <w:noWrap/>
          </w:tcPr>
          <w:p w14:paraId="5FC42DD0" w14:textId="796E3BF6" w:rsidR="00426CBC" w:rsidRPr="009D4627" w:rsidRDefault="00426CBC" w:rsidP="00426CB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0.06</w:t>
            </w:r>
          </w:p>
        </w:tc>
      </w:tr>
      <w:tr w:rsidR="00974B3E" w:rsidRPr="009D4627" w14:paraId="0DAAE7B4"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1DBC1436"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53601AC8" w14:textId="77777777"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vAlign w:val="bottom"/>
          </w:tcPr>
          <w:p w14:paraId="28F04938" w14:textId="26B989FB"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1.02 (0.26)</w:t>
            </w:r>
          </w:p>
        </w:tc>
        <w:tc>
          <w:tcPr>
            <w:tcW w:w="1020" w:type="pct"/>
            <w:tcBorders>
              <w:left w:val="single" w:sz="4" w:space="0" w:color="auto"/>
              <w:right w:val="single" w:sz="4" w:space="0" w:color="auto"/>
            </w:tcBorders>
            <w:noWrap/>
            <w:vAlign w:val="bottom"/>
          </w:tcPr>
          <w:p w14:paraId="2535A5AA" w14:textId="6AC0EFF8"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0.66 (0.05)</w:t>
            </w:r>
          </w:p>
        </w:tc>
        <w:tc>
          <w:tcPr>
            <w:tcW w:w="664" w:type="pct"/>
            <w:tcBorders>
              <w:left w:val="single" w:sz="4" w:space="0" w:color="auto"/>
              <w:right w:val="single" w:sz="4" w:space="0" w:color="auto"/>
            </w:tcBorders>
            <w:noWrap/>
          </w:tcPr>
          <w:p w14:paraId="162126B4" w14:textId="7425104D"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2.97</w:t>
            </w:r>
          </w:p>
        </w:tc>
        <w:tc>
          <w:tcPr>
            <w:tcW w:w="567" w:type="pct"/>
            <w:gridSpan w:val="2"/>
            <w:tcBorders>
              <w:left w:val="single" w:sz="4" w:space="0" w:color="auto"/>
            </w:tcBorders>
            <w:noWrap/>
          </w:tcPr>
          <w:p w14:paraId="10D686DC" w14:textId="0614D123" w:rsidR="00426CBC" w:rsidRPr="009D4627" w:rsidRDefault="00426CBC" w:rsidP="00426CB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w:t>
            </w:r>
            <w:r w:rsidR="00AA3EDA" w:rsidRPr="009D4627">
              <w:rPr>
                <w:rFonts w:eastAsia="Times New Roman"/>
                <w:color w:val="000000"/>
                <w:sz w:val="22"/>
                <w:szCs w:val="22"/>
                <w:lang w:val="en-MY" w:eastAsia="en-MY"/>
              </w:rPr>
              <w:t>2</w:t>
            </w:r>
            <w:r w:rsidRPr="009D4627">
              <w:rPr>
                <w:rFonts w:eastAsia="Times New Roman"/>
                <w:color w:val="000000"/>
                <w:sz w:val="22"/>
                <w:szCs w:val="22"/>
                <w:lang w:val="en-MY" w:eastAsia="en-MY"/>
              </w:rPr>
              <w:t>*</w:t>
            </w:r>
          </w:p>
        </w:tc>
      </w:tr>
      <w:tr w:rsidR="00974B3E" w:rsidRPr="009D4627" w14:paraId="218A2FF6"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549519AF"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77073260" w14:textId="7777777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vAlign w:val="bottom"/>
          </w:tcPr>
          <w:p w14:paraId="6A248AFA" w14:textId="573F595B"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1.04 (0.20)</w:t>
            </w:r>
          </w:p>
        </w:tc>
        <w:tc>
          <w:tcPr>
            <w:tcW w:w="1020" w:type="pct"/>
            <w:tcBorders>
              <w:left w:val="single" w:sz="4" w:space="0" w:color="auto"/>
              <w:bottom w:val="single" w:sz="4" w:space="0" w:color="auto"/>
              <w:right w:val="single" w:sz="4" w:space="0" w:color="auto"/>
            </w:tcBorders>
            <w:noWrap/>
            <w:vAlign w:val="bottom"/>
          </w:tcPr>
          <w:p w14:paraId="16F48DA3" w14:textId="11B1DF4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1.10 (0.38)</w:t>
            </w:r>
          </w:p>
        </w:tc>
        <w:tc>
          <w:tcPr>
            <w:tcW w:w="664" w:type="pct"/>
            <w:tcBorders>
              <w:left w:val="single" w:sz="4" w:space="0" w:color="auto"/>
              <w:bottom w:val="single" w:sz="4" w:space="0" w:color="auto"/>
              <w:right w:val="single" w:sz="4" w:space="0" w:color="auto"/>
            </w:tcBorders>
            <w:noWrap/>
          </w:tcPr>
          <w:p w14:paraId="3EEA6082" w14:textId="492444C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r w:rsidR="00C73F6E" w:rsidRPr="009D4627">
              <w:rPr>
                <w:rFonts w:eastAsia="Times New Roman"/>
                <w:color w:val="000000"/>
                <w:sz w:val="22"/>
                <w:szCs w:val="22"/>
                <w:lang w:val="en-MY" w:eastAsia="en-MY"/>
              </w:rPr>
              <w:t>9</w:t>
            </w:r>
          </w:p>
        </w:tc>
        <w:tc>
          <w:tcPr>
            <w:tcW w:w="567" w:type="pct"/>
            <w:gridSpan w:val="2"/>
            <w:tcBorders>
              <w:left w:val="single" w:sz="4" w:space="0" w:color="auto"/>
              <w:bottom w:val="single" w:sz="4" w:space="0" w:color="auto"/>
            </w:tcBorders>
            <w:noWrap/>
          </w:tcPr>
          <w:p w14:paraId="40854134" w14:textId="7E9EC2C1" w:rsidR="00426CBC" w:rsidRPr="009D4627" w:rsidRDefault="00426CBC" w:rsidP="00426CB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0.78</w:t>
            </w:r>
          </w:p>
        </w:tc>
      </w:tr>
      <w:tr w:rsidR="00974B3E" w:rsidRPr="009D4627" w14:paraId="116CCF5B"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0BD6C683" w14:textId="77777777" w:rsidR="00426CBC" w:rsidRPr="009D4627" w:rsidRDefault="00426CBC" w:rsidP="00426CBC">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VI</w:t>
            </w:r>
          </w:p>
        </w:tc>
        <w:tc>
          <w:tcPr>
            <w:tcW w:w="1331" w:type="pct"/>
            <w:tcBorders>
              <w:top w:val="single" w:sz="4" w:space="0" w:color="auto"/>
              <w:left w:val="single" w:sz="4" w:space="0" w:color="auto"/>
              <w:right w:val="single" w:sz="4" w:space="0" w:color="auto"/>
            </w:tcBorders>
            <w:noWrap/>
            <w:hideMark/>
          </w:tcPr>
          <w:p w14:paraId="498A4DC8" w14:textId="77777777"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vAlign w:val="bottom"/>
          </w:tcPr>
          <w:p w14:paraId="59D6C25A" w14:textId="50A11376"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0.66 (0.29)</w:t>
            </w:r>
          </w:p>
        </w:tc>
        <w:tc>
          <w:tcPr>
            <w:tcW w:w="1020" w:type="pct"/>
            <w:tcBorders>
              <w:top w:val="single" w:sz="4" w:space="0" w:color="auto"/>
              <w:left w:val="single" w:sz="4" w:space="0" w:color="auto"/>
              <w:right w:val="single" w:sz="4" w:space="0" w:color="auto"/>
            </w:tcBorders>
            <w:noWrap/>
            <w:vAlign w:val="bottom"/>
          </w:tcPr>
          <w:p w14:paraId="1EEAE897" w14:textId="10431A0A"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0.66 (0.28)</w:t>
            </w:r>
          </w:p>
        </w:tc>
        <w:tc>
          <w:tcPr>
            <w:tcW w:w="664" w:type="pct"/>
            <w:tcBorders>
              <w:top w:val="single" w:sz="4" w:space="0" w:color="auto"/>
              <w:left w:val="single" w:sz="4" w:space="0" w:color="auto"/>
              <w:right w:val="single" w:sz="4" w:space="0" w:color="auto"/>
            </w:tcBorders>
            <w:noWrap/>
          </w:tcPr>
          <w:p w14:paraId="34E99FEE" w14:textId="09168AA0"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0.02</w:t>
            </w:r>
          </w:p>
        </w:tc>
        <w:tc>
          <w:tcPr>
            <w:tcW w:w="567" w:type="pct"/>
            <w:gridSpan w:val="2"/>
            <w:tcBorders>
              <w:top w:val="single" w:sz="4" w:space="0" w:color="auto"/>
              <w:left w:val="single" w:sz="4" w:space="0" w:color="auto"/>
            </w:tcBorders>
            <w:noWrap/>
          </w:tcPr>
          <w:p w14:paraId="01A93459" w14:textId="4220EC36" w:rsidR="00426CBC" w:rsidRPr="009D4627" w:rsidRDefault="00426CBC" w:rsidP="00426CB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0.98</w:t>
            </w:r>
          </w:p>
        </w:tc>
      </w:tr>
      <w:tr w:rsidR="00974B3E" w:rsidRPr="009D4627" w14:paraId="485AFA9E"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553DBAFE"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3C3B9045" w14:textId="7777777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vAlign w:val="bottom"/>
          </w:tcPr>
          <w:p w14:paraId="541A736B" w14:textId="4060AE3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0.91 (0.33)</w:t>
            </w:r>
          </w:p>
        </w:tc>
        <w:tc>
          <w:tcPr>
            <w:tcW w:w="1020" w:type="pct"/>
            <w:tcBorders>
              <w:left w:val="single" w:sz="4" w:space="0" w:color="auto"/>
              <w:right w:val="single" w:sz="4" w:space="0" w:color="auto"/>
            </w:tcBorders>
            <w:noWrap/>
            <w:vAlign w:val="bottom"/>
          </w:tcPr>
          <w:p w14:paraId="15CAAD3C" w14:textId="65445F8B"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0.89 (0.31)</w:t>
            </w:r>
          </w:p>
        </w:tc>
        <w:tc>
          <w:tcPr>
            <w:tcW w:w="664" w:type="pct"/>
            <w:tcBorders>
              <w:left w:val="single" w:sz="4" w:space="0" w:color="auto"/>
              <w:right w:val="single" w:sz="4" w:space="0" w:color="auto"/>
            </w:tcBorders>
            <w:noWrap/>
          </w:tcPr>
          <w:p w14:paraId="1B6496B7" w14:textId="4B1CD198"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w:t>
            </w:r>
            <w:r w:rsidR="00C73F6E" w:rsidRPr="009D4627">
              <w:rPr>
                <w:rFonts w:eastAsia="Times New Roman"/>
                <w:color w:val="000000"/>
                <w:sz w:val="22"/>
                <w:szCs w:val="22"/>
                <w:lang w:val="en-MY" w:eastAsia="en-MY"/>
              </w:rPr>
              <w:t>20</w:t>
            </w:r>
          </w:p>
        </w:tc>
        <w:tc>
          <w:tcPr>
            <w:tcW w:w="567" w:type="pct"/>
            <w:gridSpan w:val="2"/>
            <w:tcBorders>
              <w:left w:val="single" w:sz="4" w:space="0" w:color="auto"/>
            </w:tcBorders>
            <w:noWrap/>
          </w:tcPr>
          <w:p w14:paraId="7CF69BA1" w14:textId="65FCAEA6" w:rsidR="00426CBC" w:rsidRPr="009D4627" w:rsidRDefault="00426CBC" w:rsidP="00426CB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0.84</w:t>
            </w:r>
          </w:p>
        </w:tc>
      </w:tr>
      <w:tr w:rsidR="00974B3E" w:rsidRPr="009D4627" w14:paraId="55C618C0"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4E58A0B3"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3919E2F9" w14:textId="77777777"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vAlign w:val="bottom"/>
          </w:tcPr>
          <w:p w14:paraId="31252C2C" w14:textId="7C777FFE"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1.67 (0.63)</w:t>
            </w:r>
          </w:p>
        </w:tc>
        <w:tc>
          <w:tcPr>
            <w:tcW w:w="1020" w:type="pct"/>
            <w:tcBorders>
              <w:left w:val="single" w:sz="4" w:space="0" w:color="auto"/>
              <w:right w:val="single" w:sz="4" w:space="0" w:color="auto"/>
            </w:tcBorders>
            <w:noWrap/>
            <w:vAlign w:val="bottom"/>
          </w:tcPr>
          <w:p w14:paraId="7A1C52EC" w14:textId="42EEF01A"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1.55 (0.57)</w:t>
            </w:r>
          </w:p>
        </w:tc>
        <w:tc>
          <w:tcPr>
            <w:tcW w:w="664" w:type="pct"/>
            <w:tcBorders>
              <w:left w:val="single" w:sz="4" w:space="0" w:color="auto"/>
              <w:right w:val="single" w:sz="4" w:space="0" w:color="auto"/>
            </w:tcBorders>
            <w:noWrap/>
          </w:tcPr>
          <w:p w14:paraId="2BA617C1" w14:textId="34F4521E" w:rsidR="00426CBC" w:rsidRPr="009D4627" w:rsidRDefault="00426CBC" w:rsidP="00426CB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r w:rsidR="00C73F6E" w:rsidRPr="009D4627">
              <w:rPr>
                <w:rFonts w:eastAsia="Times New Roman"/>
                <w:color w:val="000000"/>
                <w:sz w:val="22"/>
                <w:szCs w:val="22"/>
                <w:lang w:val="en-MY" w:eastAsia="en-MY"/>
              </w:rPr>
              <w:t>9</w:t>
            </w:r>
          </w:p>
        </w:tc>
        <w:tc>
          <w:tcPr>
            <w:tcW w:w="567" w:type="pct"/>
            <w:gridSpan w:val="2"/>
            <w:tcBorders>
              <w:left w:val="single" w:sz="4" w:space="0" w:color="auto"/>
            </w:tcBorders>
            <w:noWrap/>
          </w:tcPr>
          <w:p w14:paraId="1DEA0FDF" w14:textId="3FDE39DF" w:rsidR="00426CBC" w:rsidRPr="009D4627" w:rsidRDefault="00426CBC" w:rsidP="00426CB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0.49</w:t>
            </w:r>
          </w:p>
        </w:tc>
      </w:tr>
      <w:tr w:rsidR="00974B3E" w:rsidRPr="009D4627" w14:paraId="718DEEA2"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50524161" w14:textId="77777777" w:rsidR="00426CBC" w:rsidRPr="009D4627" w:rsidRDefault="00426CBC" w:rsidP="00426CBC">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7EA31222" w14:textId="77777777"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vAlign w:val="bottom"/>
          </w:tcPr>
          <w:p w14:paraId="50FB91C5" w14:textId="3B894A8B"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3.19 (1.59)</w:t>
            </w:r>
          </w:p>
        </w:tc>
        <w:tc>
          <w:tcPr>
            <w:tcW w:w="1020" w:type="pct"/>
            <w:tcBorders>
              <w:left w:val="single" w:sz="4" w:space="0" w:color="auto"/>
              <w:bottom w:val="single" w:sz="4" w:space="0" w:color="auto"/>
              <w:right w:val="single" w:sz="4" w:space="0" w:color="auto"/>
            </w:tcBorders>
            <w:noWrap/>
            <w:vAlign w:val="bottom"/>
          </w:tcPr>
          <w:p w14:paraId="5E14104D" w14:textId="2AD74288"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color w:val="000000"/>
                <w:sz w:val="22"/>
                <w:szCs w:val="22"/>
              </w:rPr>
              <w:t>2.98 (1.65)</w:t>
            </w:r>
          </w:p>
        </w:tc>
        <w:tc>
          <w:tcPr>
            <w:tcW w:w="664" w:type="pct"/>
            <w:tcBorders>
              <w:left w:val="single" w:sz="4" w:space="0" w:color="auto"/>
              <w:bottom w:val="single" w:sz="4" w:space="0" w:color="auto"/>
              <w:right w:val="single" w:sz="4" w:space="0" w:color="auto"/>
            </w:tcBorders>
            <w:noWrap/>
          </w:tcPr>
          <w:p w14:paraId="42C23CBA" w14:textId="05CB57AE" w:rsidR="00426CBC" w:rsidRPr="009D4627" w:rsidRDefault="00426CBC" w:rsidP="00426CB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r w:rsidR="00C73F6E" w:rsidRPr="009D4627">
              <w:rPr>
                <w:rFonts w:eastAsia="Times New Roman"/>
                <w:color w:val="000000"/>
                <w:sz w:val="22"/>
                <w:szCs w:val="22"/>
                <w:lang w:val="en-MY" w:eastAsia="en-MY"/>
              </w:rPr>
              <w:t>6</w:t>
            </w:r>
          </w:p>
        </w:tc>
        <w:tc>
          <w:tcPr>
            <w:tcW w:w="567" w:type="pct"/>
            <w:gridSpan w:val="2"/>
            <w:tcBorders>
              <w:left w:val="single" w:sz="4" w:space="0" w:color="auto"/>
              <w:bottom w:val="single" w:sz="4" w:space="0" w:color="auto"/>
            </w:tcBorders>
            <w:noWrap/>
          </w:tcPr>
          <w:p w14:paraId="30A094D9" w14:textId="11EBC5F6" w:rsidR="00426CBC" w:rsidRPr="009D4627" w:rsidRDefault="00426CBC" w:rsidP="00426CB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0.65</w:t>
            </w:r>
          </w:p>
        </w:tc>
      </w:tr>
      <w:tr w:rsidR="00BD1281" w:rsidRPr="009D4627" w14:paraId="3A7D686C" w14:textId="77777777" w:rsidTr="00974B3E">
        <w:trPr>
          <w:gridAfter w:val="1"/>
          <w:cnfStyle w:val="000000100000" w:firstRow="0" w:lastRow="0" w:firstColumn="0" w:lastColumn="0" w:oddVBand="0" w:evenVBand="0" w:oddHBand="1" w:evenHBand="0" w:firstRowFirstColumn="0" w:firstRowLastColumn="0" w:lastRowFirstColumn="0" w:lastRowLastColumn="0"/>
          <w:wAfter w:w="4" w:type="pct"/>
          <w:trHeight w:val="300"/>
        </w:trPr>
        <w:tc>
          <w:tcPr>
            <w:cnfStyle w:val="001000000000" w:firstRow="0" w:lastRow="0" w:firstColumn="1" w:lastColumn="0" w:oddVBand="0" w:evenVBand="0" w:oddHBand="0" w:evenHBand="0" w:firstRowFirstColumn="0" w:firstRowLastColumn="0" w:lastRowFirstColumn="0" w:lastRowLastColumn="0"/>
            <w:tcW w:w="4996" w:type="pct"/>
            <w:gridSpan w:val="6"/>
            <w:tcBorders>
              <w:top w:val="single" w:sz="4" w:space="0" w:color="auto"/>
              <w:bottom w:val="single" w:sz="4" w:space="0" w:color="auto"/>
              <w:right w:val="none" w:sz="0" w:space="0" w:color="auto"/>
            </w:tcBorders>
            <w:noWrap/>
          </w:tcPr>
          <w:p w14:paraId="595C06CA" w14:textId="13D4E602" w:rsidR="00BD1281" w:rsidRPr="009D4627" w:rsidRDefault="004B4F56" w:rsidP="00BD1281">
            <w:pPr>
              <w:spacing w:before="0" w:after="0" w:line="240" w:lineRule="auto"/>
              <w:jc w:val="center"/>
              <w:rPr>
                <w:rFonts w:eastAsia="Times New Roman"/>
                <w:color w:val="auto"/>
                <w:sz w:val="22"/>
                <w:szCs w:val="22"/>
                <w:lang w:val="en-MY" w:eastAsia="en-MY"/>
              </w:rPr>
            </w:pPr>
            <w:r w:rsidRPr="009D4627">
              <w:rPr>
                <w:rFonts w:eastAsia="Times New Roman"/>
                <w:color w:val="000000"/>
                <w:sz w:val="22"/>
                <w:szCs w:val="22"/>
                <w:lang w:val="en-MY" w:eastAsia="en-MY"/>
              </w:rPr>
              <w:t>H</w:t>
            </w:r>
            <w:r w:rsidR="00BD1281" w:rsidRPr="009D4627">
              <w:rPr>
                <w:rFonts w:eastAsia="Times New Roman"/>
                <w:color w:val="000000"/>
                <w:sz w:val="22"/>
                <w:szCs w:val="22"/>
                <w:lang w:val="en-MY" w:eastAsia="en-MY"/>
              </w:rPr>
              <w:t>orizontal SP duration</w:t>
            </w:r>
            <w:r w:rsidR="00BD1281" w:rsidRPr="009D4627">
              <w:rPr>
                <w:rFonts w:eastAsia="Times New Roman"/>
                <w:i w:val="0"/>
                <w:iCs w:val="0"/>
                <w:color w:val="000000"/>
                <w:sz w:val="22"/>
                <w:szCs w:val="22"/>
                <w:lang w:val="en-MY" w:eastAsia="en-MY"/>
              </w:rPr>
              <w:t xml:space="preserve"> (</w:t>
            </w:r>
            <w:proofErr w:type="spellStart"/>
            <w:r w:rsidR="00BD1281" w:rsidRPr="009D4627">
              <w:rPr>
                <w:rFonts w:eastAsia="Times New Roman"/>
                <w:i w:val="0"/>
                <w:iCs w:val="0"/>
                <w:color w:val="000000"/>
                <w:sz w:val="22"/>
                <w:szCs w:val="22"/>
                <w:lang w:val="en-MY" w:eastAsia="en-MY"/>
              </w:rPr>
              <w:t>ms</w:t>
            </w:r>
            <w:proofErr w:type="spellEnd"/>
            <w:r w:rsidR="00BD1281" w:rsidRPr="009D4627">
              <w:rPr>
                <w:rFonts w:eastAsia="Times New Roman"/>
                <w:i w:val="0"/>
                <w:iCs w:val="0"/>
                <w:color w:val="000000"/>
                <w:sz w:val="22"/>
                <w:szCs w:val="22"/>
                <w:lang w:val="en-MY" w:eastAsia="en-MY"/>
              </w:rPr>
              <w:t>)</w:t>
            </w:r>
          </w:p>
        </w:tc>
      </w:tr>
      <w:tr w:rsidR="00974B3E" w:rsidRPr="009D4627" w14:paraId="1BEBC7E3"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781BC66E" w14:textId="77777777" w:rsidR="00BD1281" w:rsidRPr="009D4627" w:rsidRDefault="00BD1281" w:rsidP="00BD1281">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III</w:t>
            </w:r>
          </w:p>
        </w:tc>
        <w:tc>
          <w:tcPr>
            <w:tcW w:w="1331" w:type="pct"/>
            <w:tcBorders>
              <w:top w:val="single" w:sz="4" w:space="0" w:color="auto"/>
              <w:left w:val="single" w:sz="4" w:space="0" w:color="auto"/>
              <w:right w:val="single" w:sz="4" w:space="0" w:color="auto"/>
            </w:tcBorders>
            <w:noWrap/>
            <w:hideMark/>
          </w:tcPr>
          <w:p w14:paraId="5C9869F0"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tcPr>
          <w:p w14:paraId="5E24FF51" w14:textId="2CCE6ABA"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389</w:t>
            </w:r>
            <w:r w:rsidR="00426CBC" w:rsidRPr="009D4627">
              <w:rPr>
                <w:rFonts w:eastAsia="Times New Roman"/>
                <w:color w:val="000000"/>
                <w:sz w:val="22"/>
                <w:szCs w:val="22"/>
                <w:lang w:val="en-MY" w:eastAsia="en-MY"/>
              </w:rPr>
              <w:t xml:space="preserve"> (121)</w:t>
            </w:r>
          </w:p>
        </w:tc>
        <w:tc>
          <w:tcPr>
            <w:tcW w:w="1020" w:type="pct"/>
            <w:tcBorders>
              <w:top w:val="single" w:sz="4" w:space="0" w:color="auto"/>
              <w:left w:val="single" w:sz="4" w:space="0" w:color="auto"/>
              <w:right w:val="single" w:sz="4" w:space="0" w:color="auto"/>
            </w:tcBorders>
            <w:noWrap/>
          </w:tcPr>
          <w:p w14:paraId="4C63AC2E" w14:textId="36C734D8"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372</w:t>
            </w:r>
            <w:r w:rsidR="00426CBC" w:rsidRPr="009D4627">
              <w:rPr>
                <w:rFonts w:eastAsia="Times New Roman"/>
                <w:color w:val="000000"/>
                <w:sz w:val="22"/>
                <w:szCs w:val="22"/>
                <w:lang w:val="en-MY" w:eastAsia="en-MY"/>
              </w:rPr>
              <w:t xml:space="preserve"> (137)</w:t>
            </w:r>
          </w:p>
        </w:tc>
        <w:tc>
          <w:tcPr>
            <w:tcW w:w="664" w:type="pct"/>
            <w:tcBorders>
              <w:top w:val="single" w:sz="4" w:space="0" w:color="auto"/>
              <w:left w:val="single" w:sz="4" w:space="0" w:color="auto"/>
              <w:right w:val="single" w:sz="4" w:space="0" w:color="auto"/>
            </w:tcBorders>
            <w:noWrap/>
          </w:tcPr>
          <w:p w14:paraId="26D12DD0" w14:textId="653087B3"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0.3</w:t>
            </w:r>
            <w:r w:rsidR="00C73F6E" w:rsidRPr="009D4627">
              <w:rPr>
                <w:rFonts w:eastAsia="Times New Roman"/>
                <w:color w:val="000000"/>
                <w:sz w:val="22"/>
                <w:szCs w:val="22"/>
                <w:lang w:val="en-MY" w:eastAsia="en-MY"/>
              </w:rPr>
              <w:t>9</w:t>
            </w:r>
          </w:p>
        </w:tc>
        <w:tc>
          <w:tcPr>
            <w:tcW w:w="567" w:type="pct"/>
            <w:gridSpan w:val="2"/>
            <w:tcBorders>
              <w:top w:val="single" w:sz="4" w:space="0" w:color="auto"/>
              <w:left w:val="single" w:sz="4" w:space="0" w:color="auto"/>
            </w:tcBorders>
            <w:noWrap/>
          </w:tcPr>
          <w:p w14:paraId="41D75AE1" w14:textId="413AE3CD"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0.70</w:t>
            </w:r>
          </w:p>
        </w:tc>
      </w:tr>
      <w:tr w:rsidR="00974B3E" w:rsidRPr="009D4627" w14:paraId="3F78B21C"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3B8B45E2"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6904D23B"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tcPr>
          <w:p w14:paraId="7902072F" w14:textId="3AA8F796"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303</w:t>
            </w:r>
            <w:r w:rsidR="00426CBC" w:rsidRPr="009D4627">
              <w:rPr>
                <w:rFonts w:eastAsia="Times New Roman"/>
                <w:color w:val="000000"/>
                <w:sz w:val="22"/>
                <w:szCs w:val="22"/>
                <w:lang w:val="en-MY" w:eastAsia="en-MY"/>
              </w:rPr>
              <w:t xml:space="preserve"> (106)</w:t>
            </w:r>
          </w:p>
        </w:tc>
        <w:tc>
          <w:tcPr>
            <w:tcW w:w="1020" w:type="pct"/>
            <w:tcBorders>
              <w:left w:val="single" w:sz="4" w:space="0" w:color="auto"/>
              <w:right w:val="single" w:sz="4" w:space="0" w:color="auto"/>
            </w:tcBorders>
            <w:noWrap/>
          </w:tcPr>
          <w:p w14:paraId="5DDA898A" w14:textId="13CF784C"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251</w:t>
            </w:r>
            <w:r w:rsidR="00426CBC" w:rsidRPr="009D4627">
              <w:rPr>
                <w:rFonts w:eastAsia="Times New Roman"/>
                <w:color w:val="000000"/>
                <w:sz w:val="22"/>
                <w:szCs w:val="22"/>
                <w:lang w:val="en-MY" w:eastAsia="en-MY"/>
              </w:rPr>
              <w:t xml:space="preserve"> (87)</w:t>
            </w:r>
          </w:p>
        </w:tc>
        <w:tc>
          <w:tcPr>
            <w:tcW w:w="664" w:type="pct"/>
            <w:tcBorders>
              <w:left w:val="single" w:sz="4" w:space="0" w:color="auto"/>
              <w:right w:val="single" w:sz="4" w:space="0" w:color="auto"/>
            </w:tcBorders>
            <w:noWrap/>
          </w:tcPr>
          <w:p w14:paraId="23DB4987" w14:textId="7F3FA16C" w:rsidR="00C73F6E" w:rsidRPr="009D4627" w:rsidRDefault="00BD1281" w:rsidP="00C73F6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1.5</w:t>
            </w:r>
            <w:r w:rsidR="00C73F6E" w:rsidRPr="009D4627">
              <w:rPr>
                <w:rFonts w:eastAsia="Times New Roman"/>
                <w:color w:val="000000"/>
                <w:sz w:val="22"/>
                <w:szCs w:val="22"/>
                <w:lang w:val="en-MY" w:eastAsia="en-MY"/>
              </w:rPr>
              <w:t>8</w:t>
            </w:r>
          </w:p>
        </w:tc>
        <w:tc>
          <w:tcPr>
            <w:tcW w:w="567" w:type="pct"/>
            <w:gridSpan w:val="2"/>
            <w:tcBorders>
              <w:left w:val="single" w:sz="4" w:space="0" w:color="auto"/>
            </w:tcBorders>
            <w:noWrap/>
          </w:tcPr>
          <w:p w14:paraId="2EA08414" w14:textId="10F0F834"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0.1</w:t>
            </w:r>
            <w:r w:rsidR="00AA3EDA" w:rsidRPr="009D4627">
              <w:rPr>
                <w:rFonts w:eastAsia="Times New Roman"/>
                <w:color w:val="000000"/>
                <w:sz w:val="22"/>
                <w:szCs w:val="22"/>
                <w:lang w:val="en-MY" w:eastAsia="en-MY"/>
              </w:rPr>
              <w:t>3</w:t>
            </w:r>
          </w:p>
        </w:tc>
      </w:tr>
      <w:tr w:rsidR="00974B3E" w:rsidRPr="009D4627" w14:paraId="62114DA6"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631CDB22"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650FA202"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tcPr>
          <w:p w14:paraId="23C70DD4" w14:textId="730607B3"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217</w:t>
            </w:r>
            <w:r w:rsidR="00426CBC" w:rsidRPr="009D4627">
              <w:rPr>
                <w:rFonts w:eastAsia="Times New Roman"/>
                <w:color w:val="000000"/>
                <w:sz w:val="22"/>
                <w:szCs w:val="22"/>
                <w:lang w:val="en-MY" w:eastAsia="en-MY"/>
              </w:rPr>
              <w:t xml:space="preserve"> (88)</w:t>
            </w:r>
          </w:p>
        </w:tc>
        <w:tc>
          <w:tcPr>
            <w:tcW w:w="1020" w:type="pct"/>
            <w:tcBorders>
              <w:left w:val="single" w:sz="4" w:space="0" w:color="auto"/>
              <w:right w:val="single" w:sz="4" w:space="0" w:color="auto"/>
            </w:tcBorders>
            <w:noWrap/>
          </w:tcPr>
          <w:p w14:paraId="266A5575" w14:textId="7EC70241"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199</w:t>
            </w:r>
            <w:r w:rsidR="00426CBC" w:rsidRPr="009D4627">
              <w:rPr>
                <w:rFonts w:eastAsia="Times New Roman"/>
                <w:color w:val="000000"/>
                <w:sz w:val="22"/>
                <w:szCs w:val="22"/>
                <w:lang w:val="en-MY" w:eastAsia="en-MY"/>
              </w:rPr>
              <w:t xml:space="preserve"> (73)</w:t>
            </w:r>
          </w:p>
        </w:tc>
        <w:tc>
          <w:tcPr>
            <w:tcW w:w="664" w:type="pct"/>
            <w:tcBorders>
              <w:left w:val="single" w:sz="4" w:space="0" w:color="auto"/>
              <w:right w:val="single" w:sz="4" w:space="0" w:color="auto"/>
            </w:tcBorders>
            <w:noWrap/>
          </w:tcPr>
          <w:p w14:paraId="585D425E" w14:textId="675D35F3"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0.63</w:t>
            </w:r>
          </w:p>
        </w:tc>
        <w:tc>
          <w:tcPr>
            <w:tcW w:w="567" w:type="pct"/>
            <w:gridSpan w:val="2"/>
            <w:tcBorders>
              <w:left w:val="single" w:sz="4" w:space="0" w:color="auto"/>
            </w:tcBorders>
            <w:noWrap/>
          </w:tcPr>
          <w:p w14:paraId="0CC7FA53" w14:textId="64D0666A"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0.53</w:t>
            </w:r>
          </w:p>
        </w:tc>
      </w:tr>
      <w:tr w:rsidR="00974B3E" w:rsidRPr="009D4627" w14:paraId="08F72B4C"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634439AE"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4B65C1D2"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tcPr>
          <w:p w14:paraId="19C96790" w14:textId="3730F5E4"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207</w:t>
            </w:r>
            <w:r w:rsidR="00426CBC" w:rsidRPr="009D4627">
              <w:rPr>
                <w:rFonts w:eastAsia="Times New Roman"/>
                <w:color w:val="000000"/>
                <w:sz w:val="22"/>
                <w:szCs w:val="22"/>
                <w:lang w:val="en-MY" w:eastAsia="en-MY"/>
              </w:rPr>
              <w:t xml:space="preserve"> (117)</w:t>
            </w:r>
          </w:p>
        </w:tc>
        <w:tc>
          <w:tcPr>
            <w:tcW w:w="1020" w:type="pct"/>
            <w:tcBorders>
              <w:left w:val="single" w:sz="4" w:space="0" w:color="auto"/>
              <w:bottom w:val="single" w:sz="4" w:space="0" w:color="auto"/>
              <w:right w:val="single" w:sz="4" w:space="0" w:color="auto"/>
            </w:tcBorders>
            <w:noWrap/>
          </w:tcPr>
          <w:p w14:paraId="5E96C3B8" w14:textId="6A719E5F"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182</w:t>
            </w:r>
            <w:r w:rsidR="00426CBC" w:rsidRPr="009D4627">
              <w:rPr>
                <w:rFonts w:eastAsia="Times New Roman"/>
                <w:color w:val="000000"/>
                <w:sz w:val="22"/>
                <w:szCs w:val="22"/>
                <w:lang w:val="en-MY" w:eastAsia="en-MY"/>
              </w:rPr>
              <w:t xml:space="preserve"> (77)</w:t>
            </w:r>
          </w:p>
        </w:tc>
        <w:tc>
          <w:tcPr>
            <w:tcW w:w="664" w:type="pct"/>
            <w:tcBorders>
              <w:left w:val="single" w:sz="4" w:space="0" w:color="auto"/>
              <w:bottom w:val="single" w:sz="4" w:space="0" w:color="auto"/>
              <w:right w:val="single" w:sz="4" w:space="0" w:color="auto"/>
            </w:tcBorders>
            <w:noWrap/>
          </w:tcPr>
          <w:p w14:paraId="58DF63D3" w14:textId="4DE91E5C"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567" w:type="pct"/>
            <w:gridSpan w:val="2"/>
            <w:tcBorders>
              <w:left w:val="single" w:sz="4" w:space="0" w:color="auto"/>
              <w:bottom w:val="single" w:sz="4" w:space="0" w:color="auto"/>
            </w:tcBorders>
            <w:noWrap/>
          </w:tcPr>
          <w:p w14:paraId="0D058AC5" w14:textId="494F9CA7"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r w:rsidR="00AA3EDA" w:rsidRPr="009D4627">
              <w:rPr>
                <w:rFonts w:eastAsia="Times New Roman"/>
                <w:color w:val="000000"/>
                <w:sz w:val="22"/>
                <w:szCs w:val="22"/>
                <w:lang w:val="en-MY" w:eastAsia="en-MY"/>
              </w:rPr>
              <w:t>6</w:t>
            </w:r>
          </w:p>
        </w:tc>
      </w:tr>
      <w:tr w:rsidR="00974B3E" w:rsidRPr="009D4627" w14:paraId="12B61CD8"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0389AD02" w14:textId="77777777" w:rsidR="00BD1281" w:rsidRPr="009D4627" w:rsidRDefault="00BD1281" w:rsidP="00BD1281">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IV</w:t>
            </w:r>
          </w:p>
        </w:tc>
        <w:tc>
          <w:tcPr>
            <w:tcW w:w="1331" w:type="pct"/>
            <w:tcBorders>
              <w:top w:val="single" w:sz="4" w:space="0" w:color="auto"/>
              <w:left w:val="single" w:sz="4" w:space="0" w:color="auto"/>
              <w:right w:val="single" w:sz="4" w:space="0" w:color="auto"/>
            </w:tcBorders>
            <w:noWrap/>
            <w:hideMark/>
          </w:tcPr>
          <w:p w14:paraId="53BEE2DE"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tcPr>
          <w:p w14:paraId="5D1240E1" w14:textId="54F1200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482</w:t>
            </w:r>
            <w:r w:rsidR="00426CBC" w:rsidRPr="009D4627">
              <w:rPr>
                <w:rFonts w:eastAsia="Times New Roman"/>
                <w:color w:val="000000"/>
                <w:sz w:val="22"/>
                <w:szCs w:val="22"/>
                <w:lang w:val="en-MY" w:eastAsia="en-MY"/>
              </w:rPr>
              <w:t xml:space="preserve"> (70)</w:t>
            </w:r>
          </w:p>
        </w:tc>
        <w:tc>
          <w:tcPr>
            <w:tcW w:w="1020" w:type="pct"/>
            <w:tcBorders>
              <w:top w:val="single" w:sz="4" w:space="0" w:color="auto"/>
              <w:left w:val="single" w:sz="4" w:space="0" w:color="auto"/>
              <w:right w:val="single" w:sz="4" w:space="0" w:color="auto"/>
            </w:tcBorders>
            <w:noWrap/>
          </w:tcPr>
          <w:p w14:paraId="204FD69A" w14:textId="42CBE2D9"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434</w:t>
            </w:r>
            <w:r w:rsidR="00426CBC" w:rsidRPr="009D4627">
              <w:rPr>
                <w:rFonts w:eastAsia="Times New Roman"/>
                <w:color w:val="000000"/>
                <w:sz w:val="22"/>
                <w:szCs w:val="22"/>
                <w:lang w:val="en-MY" w:eastAsia="en-MY"/>
              </w:rPr>
              <w:t xml:space="preserve"> (115)</w:t>
            </w:r>
          </w:p>
        </w:tc>
        <w:tc>
          <w:tcPr>
            <w:tcW w:w="664" w:type="pct"/>
            <w:tcBorders>
              <w:top w:val="single" w:sz="4" w:space="0" w:color="auto"/>
              <w:left w:val="single" w:sz="4" w:space="0" w:color="auto"/>
              <w:right w:val="single" w:sz="4" w:space="0" w:color="auto"/>
            </w:tcBorders>
            <w:noWrap/>
          </w:tcPr>
          <w:p w14:paraId="31E883C6" w14:textId="7EB9BDB3"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w:t>
            </w:r>
            <w:r w:rsidR="00C73F6E" w:rsidRPr="009D4627">
              <w:rPr>
                <w:rFonts w:eastAsia="Times New Roman"/>
                <w:color w:val="000000"/>
                <w:sz w:val="22"/>
                <w:szCs w:val="22"/>
                <w:lang w:val="en-MY" w:eastAsia="en-MY"/>
              </w:rPr>
              <w:t>80</w:t>
            </w:r>
          </w:p>
        </w:tc>
        <w:tc>
          <w:tcPr>
            <w:tcW w:w="567" w:type="pct"/>
            <w:gridSpan w:val="2"/>
            <w:tcBorders>
              <w:top w:val="single" w:sz="4" w:space="0" w:color="auto"/>
              <w:left w:val="single" w:sz="4" w:space="0" w:color="auto"/>
            </w:tcBorders>
            <w:noWrap/>
          </w:tcPr>
          <w:p w14:paraId="401414C0" w14:textId="13C5E50A"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r w:rsidR="00AA3EDA" w:rsidRPr="009D4627">
              <w:rPr>
                <w:rFonts w:eastAsia="Times New Roman"/>
                <w:color w:val="000000"/>
                <w:sz w:val="22"/>
                <w:szCs w:val="22"/>
                <w:lang w:val="en-MY" w:eastAsia="en-MY"/>
              </w:rPr>
              <w:t>5</w:t>
            </w:r>
          </w:p>
        </w:tc>
      </w:tr>
      <w:tr w:rsidR="00974B3E" w:rsidRPr="009D4627" w14:paraId="03348A64"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37695240"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5E852DC0"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tcPr>
          <w:p w14:paraId="36390A0C" w14:textId="41F94E2D"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293</w:t>
            </w:r>
            <w:r w:rsidR="00426CBC" w:rsidRPr="009D4627">
              <w:rPr>
                <w:rFonts w:eastAsia="Times New Roman"/>
                <w:color w:val="000000"/>
                <w:sz w:val="22"/>
                <w:szCs w:val="22"/>
                <w:lang w:val="en-MY" w:eastAsia="en-MY"/>
              </w:rPr>
              <w:t xml:space="preserve"> (134)</w:t>
            </w:r>
          </w:p>
        </w:tc>
        <w:tc>
          <w:tcPr>
            <w:tcW w:w="1020" w:type="pct"/>
            <w:tcBorders>
              <w:left w:val="single" w:sz="4" w:space="0" w:color="auto"/>
              <w:right w:val="single" w:sz="4" w:space="0" w:color="auto"/>
            </w:tcBorders>
            <w:noWrap/>
          </w:tcPr>
          <w:p w14:paraId="45434C65" w14:textId="0B448E6E"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445</w:t>
            </w:r>
            <w:r w:rsidR="00426CBC" w:rsidRPr="009D4627">
              <w:rPr>
                <w:rFonts w:eastAsia="Times New Roman"/>
                <w:color w:val="000000"/>
                <w:sz w:val="22"/>
                <w:szCs w:val="22"/>
                <w:lang w:val="en-MY" w:eastAsia="en-MY"/>
              </w:rPr>
              <w:t xml:space="preserve"> (148)</w:t>
            </w:r>
          </w:p>
        </w:tc>
        <w:tc>
          <w:tcPr>
            <w:tcW w:w="664" w:type="pct"/>
            <w:tcBorders>
              <w:left w:val="single" w:sz="4" w:space="0" w:color="auto"/>
              <w:right w:val="single" w:sz="4" w:space="0" w:color="auto"/>
            </w:tcBorders>
            <w:noWrap/>
          </w:tcPr>
          <w:p w14:paraId="41D696F5" w14:textId="72BBE70E"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-1.70</w:t>
            </w:r>
          </w:p>
        </w:tc>
        <w:tc>
          <w:tcPr>
            <w:tcW w:w="567" w:type="pct"/>
            <w:gridSpan w:val="2"/>
            <w:tcBorders>
              <w:left w:val="single" w:sz="4" w:space="0" w:color="auto"/>
            </w:tcBorders>
            <w:noWrap/>
          </w:tcPr>
          <w:p w14:paraId="606A0DCB" w14:textId="08308380"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0.1</w:t>
            </w:r>
            <w:r w:rsidR="00AA3EDA" w:rsidRPr="009D4627">
              <w:rPr>
                <w:rFonts w:eastAsia="Times New Roman"/>
                <w:color w:val="000000"/>
                <w:sz w:val="22"/>
                <w:szCs w:val="22"/>
                <w:lang w:val="en-MY" w:eastAsia="en-MY"/>
              </w:rPr>
              <w:t>3</w:t>
            </w:r>
          </w:p>
        </w:tc>
      </w:tr>
      <w:tr w:rsidR="00974B3E" w:rsidRPr="009D4627" w14:paraId="2DD6038B"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195DE200"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41B3E2FB"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tcPr>
          <w:p w14:paraId="2D178DE1" w14:textId="4C4A6DC4"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252</w:t>
            </w:r>
            <w:r w:rsidR="00426CBC" w:rsidRPr="009D4627">
              <w:rPr>
                <w:rFonts w:eastAsia="Times New Roman"/>
                <w:color w:val="000000"/>
                <w:sz w:val="22"/>
                <w:szCs w:val="22"/>
                <w:lang w:val="en-MY" w:eastAsia="en-MY"/>
              </w:rPr>
              <w:t xml:space="preserve"> (119)</w:t>
            </w:r>
          </w:p>
        </w:tc>
        <w:tc>
          <w:tcPr>
            <w:tcW w:w="1020" w:type="pct"/>
            <w:tcBorders>
              <w:left w:val="single" w:sz="4" w:space="0" w:color="auto"/>
              <w:right w:val="single" w:sz="4" w:space="0" w:color="auto"/>
            </w:tcBorders>
            <w:noWrap/>
          </w:tcPr>
          <w:p w14:paraId="7BAAAA48" w14:textId="757599A5"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254</w:t>
            </w:r>
            <w:r w:rsidR="00426CBC" w:rsidRPr="009D4627">
              <w:rPr>
                <w:rFonts w:eastAsia="Times New Roman"/>
                <w:color w:val="000000"/>
                <w:sz w:val="22"/>
                <w:szCs w:val="22"/>
                <w:lang w:val="en-MY" w:eastAsia="en-MY"/>
              </w:rPr>
              <w:t xml:space="preserve"> (94)</w:t>
            </w:r>
          </w:p>
        </w:tc>
        <w:tc>
          <w:tcPr>
            <w:tcW w:w="664" w:type="pct"/>
            <w:tcBorders>
              <w:left w:val="single" w:sz="4" w:space="0" w:color="auto"/>
              <w:right w:val="single" w:sz="4" w:space="0" w:color="auto"/>
            </w:tcBorders>
            <w:noWrap/>
          </w:tcPr>
          <w:p w14:paraId="5D53792D" w14:textId="4B5AF70C"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-0.0</w:t>
            </w:r>
            <w:r w:rsidR="00C73F6E" w:rsidRPr="009D4627">
              <w:rPr>
                <w:rFonts w:eastAsia="Times New Roman"/>
                <w:color w:val="000000"/>
                <w:sz w:val="22"/>
                <w:szCs w:val="22"/>
                <w:lang w:val="en-MY" w:eastAsia="en-MY"/>
              </w:rPr>
              <w:t>3</w:t>
            </w:r>
          </w:p>
        </w:tc>
        <w:tc>
          <w:tcPr>
            <w:tcW w:w="567" w:type="pct"/>
            <w:gridSpan w:val="2"/>
            <w:tcBorders>
              <w:left w:val="single" w:sz="4" w:space="0" w:color="auto"/>
            </w:tcBorders>
            <w:noWrap/>
          </w:tcPr>
          <w:p w14:paraId="665C9846" w14:textId="31CCA4C4"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0.9</w:t>
            </w:r>
            <w:r w:rsidR="00AA3EDA" w:rsidRPr="009D4627">
              <w:rPr>
                <w:rFonts w:eastAsia="Times New Roman"/>
                <w:color w:val="000000"/>
                <w:sz w:val="22"/>
                <w:szCs w:val="22"/>
                <w:lang w:val="en-MY" w:eastAsia="en-MY"/>
              </w:rPr>
              <w:t>8</w:t>
            </w:r>
          </w:p>
        </w:tc>
      </w:tr>
      <w:tr w:rsidR="00974B3E" w:rsidRPr="009D4627" w14:paraId="0DE42B36"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10410F62"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2AF7DB8C"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tcPr>
          <w:p w14:paraId="01AE6580" w14:textId="6638BEC9"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240</w:t>
            </w:r>
            <w:r w:rsidR="00426CBC" w:rsidRPr="009D4627">
              <w:rPr>
                <w:rFonts w:eastAsia="Times New Roman"/>
                <w:color w:val="000000"/>
                <w:sz w:val="22"/>
                <w:szCs w:val="22"/>
                <w:lang w:val="en-MY" w:eastAsia="en-MY"/>
              </w:rPr>
              <w:t xml:space="preserve"> (89)</w:t>
            </w:r>
          </w:p>
        </w:tc>
        <w:tc>
          <w:tcPr>
            <w:tcW w:w="1020" w:type="pct"/>
            <w:tcBorders>
              <w:left w:val="single" w:sz="4" w:space="0" w:color="auto"/>
              <w:bottom w:val="single" w:sz="4" w:space="0" w:color="auto"/>
              <w:right w:val="single" w:sz="4" w:space="0" w:color="auto"/>
            </w:tcBorders>
            <w:noWrap/>
          </w:tcPr>
          <w:p w14:paraId="1A789899" w14:textId="3102ADD4"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192</w:t>
            </w:r>
            <w:r w:rsidR="00426CBC" w:rsidRPr="009D4627">
              <w:rPr>
                <w:rFonts w:eastAsia="Times New Roman"/>
                <w:color w:val="000000"/>
                <w:sz w:val="22"/>
                <w:szCs w:val="22"/>
                <w:lang w:val="en-MY" w:eastAsia="en-MY"/>
              </w:rPr>
              <w:t xml:space="preserve"> (50)</w:t>
            </w:r>
          </w:p>
        </w:tc>
        <w:tc>
          <w:tcPr>
            <w:tcW w:w="664" w:type="pct"/>
            <w:tcBorders>
              <w:left w:val="single" w:sz="4" w:space="0" w:color="auto"/>
              <w:bottom w:val="single" w:sz="4" w:space="0" w:color="auto"/>
              <w:right w:val="single" w:sz="4" w:space="0" w:color="auto"/>
            </w:tcBorders>
            <w:noWrap/>
          </w:tcPr>
          <w:p w14:paraId="1F82E8CC" w14:textId="3D527030"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1.0</w:t>
            </w:r>
            <w:r w:rsidR="00C73F6E" w:rsidRPr="009D4627">
              <w:rPr>
                <w:rFonts w:eastAsia="Times New Roman"/>
                <w:color w:val="000000"/>
                <w:sz w:val="22"/>
                <w:szCs w:val="22"/>
                <w:lang w:val="en-MY" w:eastAsia="en-MY"/>
              </w:rPr>
              <w:t>4</w:t>
            </w:r>
          </w:p>
        </w:tc>
        <w:tc>
          <w:tcPr>
            <w:tcW w:w="567" w:type="pct"/>
            <w:gridSpan w:val="2"/>
            <w:tcBorders>
              <w:left w:val="single" w:sz="4" w:space="0" w:color="auto"/>
              <w:bottom w:val="single" w:sz="4" w:space="0" w:color="auto"/>
            </w:tcBorders>
            <w:noWrap/>
          </w:tcPr>
          <w:p w14:paraId="7C29A1F6" w14:textId="2B3F2697"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0.3</w:t>
            </w:r>
            <w:r w:rsidR="00AA3EDA" w:rsidRPr="009D4627">
              <w:rPr>
                <w:rFonts w:eastAsia="Times New Roman"/>
                <w:color w:val="000000"/>
                <w:sz w:val="22"/>
                <w:szCs w:val="22"/>
                <w:lang w:val="en-MY" w:eastAsia="en-MY"/>
              </w:rPr>
              <w:t>3</w:t>
            </w:r>
          </w:p>
        </w:tc>
      </w:tr>
      <w:tr w:rsidR="00974B3E" w:rsidRPr="009D4627" w14:paraId="1AD27E96"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top w:val="single" w:sz="4" w:space="0" w:color="auto"/>
              <w:right w:val="single" w:sz="4" w:space="0" w:color="auto"/>
            </w:tcBorders>
            <w:noWrap/>
            <w:hideMark/>
          </w:tcPr>
          <w:p w14:paraId="3BB6F80F" w14:textId="77777777" w:rsidR="00BD1281" w:rsidRPr="009D4627" w:rsidRDefault="00BD1281" w:rsidP="00BD1281">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VI</w:t>
            </w:r>
          </w:p>
        </w:tc>
        <w:tc>
          <w:tcPr>
            <w:tcW w:w="1331" w:type="pct"/>
            <w:tcBorders>
              <w:top w:val="single" w:sz="4" w:space="0" w:color="auto"/>
              <w:left w:val="single" w:sz="4" w:space="0" w:color="auto"/>
              <w:right w:val="single" w:sz="4" w:space="0" w:color="auto"/>
            </w:tcBorders>
            <w:noWrap/>
            <w:hideMark/>
          </w:tcPr>
          <w:p w14:paraId="7557266C"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0.2</w:t>
            </w:r>
          </w:p>
        </w:tc>
        <w:tc>
          <w:tcPr>
            <w:tcW w:w="865" w:type="pct"/>
            <w:tcBorders>
              <w:top w:val="single" w:sz="4" w:space="0" w:color="auto"/>
              <w:left w:val="single" w:sz="4" w:space="0" w:color="auto"/>
              <w:right w:val="single" w:sz="4" w:space="0" w:color="auto"/>
            </w:tcBorders>
            <w:noWrap/>
          </w:tcPr>
          <w:p w14:paraId="2B69E84F" w14:textId="5B9B81C8"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419</w:t>
            </w:r>
            <w:r w:rsidR="00426CBC" w:rsidRPr="009D4627">
              <w:rPr>
                <w:rFonts w:eastAsia="Times New Roman"/>
                <w:color w:val="000000"/>
                <w:sz w:val="22"/>
                <w:szCs w:val="22"/>
                <w:lang w:val="en-MY" w:eastAsia="en-MY"/>
              </w:rPr>
              <w:t xml:space="preserve"> (139)</w:t>
            </w:r>
          </w:p>
        </w:tc>
        <w:tc>
          <w:tcPr>
            <w:tcW w:w="1020" w:type="pct"/>
            <w:tcBorders>
              <w:top w:val="single" w:sz="4" w:space="0" w:color="auto"/>
              <w:left w:val="single" w:sz="4" w:space="0" w:color="auto"/>
              <w:right w:val="single" w:sz="4" w:space="0" w:color="auto"/>
            </w:tcBorders>
            <w:noWrap/>
          </w:tcPr>
          <w:p w14:paraId="1901E7E8" w14:textId="34EABE61"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384</w:t>
            </w:r>
            <w:r w:rsidR="00426CBC" w:rsidRPr="009D4627">
              <w:rPr>
                <w:rFonts w:eastAsia="Times New Roman"/>
                <w:color w:val="000000"/>
                <w:sz w:val="22"/>
                <w:szCs w:val="22"/>
                <w:lang w:val="en-MY" w:eastAsia="en-MY"/>
              </w:rPr>
              <w:t xml:space="preserve"> (105)</w:t>
            </w:r>
          </w:p>
        </w:tc>
        <w:tc>
          <w:tcPr>
            <w:tcW w:w="664" w:type="pct"/>
            <w:tcBorders>
              <w:top w:val="single" w:sz="4" w:space="0" w:color="auto"/>
              <w:left w:val="single" w:sz="4" w:space="0" w:color="auto"/>
              <w:right w:val="single" w:sz="4" w:space="0" w:color="auto"/>
            </w:tcBorders>
            <w:noWrap/>
          </w:tcPr>
          <w:p w14:paraId="792A7483" w14:textId="435FA3FF"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0.9</w:t>
            </w:r>
            <w:r w:rsidR="00C73F6E" w:rsidRPr="009D4627">
              <w:rPr>
                <w:rFonts w:eastAsia="Times New Roman"/>
                <w:color w:val="000000"/>
                <w:sz w:val="22"/>
                <w:szCs w:val="22"/>
                <w:lang w:val="en-MY" w:eastAsia="en-MY"/>
              </w:rPr>
              <w:t>9</w:t>
            </w:r>
          </w:p>
        </w:tc>
        <w:tc>
          <w:tcPr>
            <w:tcW w:w="567" w:type="pct"/>
            <w:gridSpan w:val="2"/>
            <w:tcBorders>
              <w:top w:val="single" w:sz="4" w:space="0" w:color="auto"/>
              <w:left w:val="single" w:sz="4" w:space="0" w:color="auto"/>
            </w:tcBorders>
            <w:noWrap/>
          </w:tcPr>
          <w:p w14:paraId="6CC4BF7F" w14:textId="179712AF"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0.3</w:t>
            </w:r>
            <w:r w:rsidR="00AA3EDA" w:rsidRPr="009D4627">
              <w:rPr>
                <w:rFonts w:eastAsia="Times New Roman"/>
                <w:color w:val="000000"/>
                <w:sz w:val="22"/>
                <w:szCs w:val="22"/>
                <w:lang w:val="en-MY" w:eastAsia="en-MY"/>
              </w:rPr>
              <w:t>3</w:t>
            </w:r>
          </w:p>
        </w:tc>
      </w:tr>
      <w:tr w:rsidR="00974B3E" w:rsidRPr="009D4627" w14:paraId="7711B899"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5CB7D964"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141BA94C"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p>
        </w:tc>
        <w:tc>
          <w:tcPr>
            <w:tcW w:w="865" w:type="pct"/>
            <w:tcBorders>
              <w:left w:val="single" w:sz="4" w:space="0" w:color="auto"/>
              <w:right w:val="single" w:sz="4" w:space="0" w:color="auto"/>
            </w:tcBorders>
            <w:noWrap/>
          </w:tcPr>
          <w:p w14:paraId="043A8588" w14:textId="72080B6B"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277</w:t>
            </w:r>
            <w:r w:rsidR="00426CBC" w:rsidRPr="009D4627">
              <w:rPr>
                <w:rFonts w:eastAsia="Times New Roman"/>
                <w:color w:val="000000"/>
                <w:sz w:val="22"/>
                <w:szCs w:val="22"/>
                <w:lang w:val="en-MY" w:eastAsia="en-MY"/>
              </w:rPr>
              <w:t xml:space="preserve"> (67)</w:t>
            </w:r>
          </w:p>
        </w:tc>
        <w:tc>
          <w:tcPr>
            <w:tcW w:w="1020" w:type="pct"/>
            <w:tcBorders>
              <w:left w:val="single" w:sz="4" w:space="0" w:color="auto"/>
              <w:right w:val="single" w:sz="4" w:space="0" w:color="auto"/>
            </w:tcBorders>
            <w:noWrap/>
          </w:tcPr>
          <w:p w14:paraId="5421595E" w14:textId="573E801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291</w:t>
            </w:r>
            <w:r w:rsidR="00426CBC" w:rsidRPr="009D4627">
              <w:rPr>
                <w:rFonts w:eastAsia="Times New Roman"/>
                <w:color w:val="000000"/>
                <w:sz w:val="22"/>
                <w:szCs w:val="22"/>
                <w:lang w:val="en-MY" w:eastAsia="en-MY"/>
              </w:rPr>
              <w:t xml:space="preserve"> (64)</w:t>
            </w:r>
          </w:p>
        </w:tc>
        <w:tc>
          <w:tcPr>
            <w:tcW w:w="664" w:type="pct"/>
            <w:tcBorders>
              <w:left w:val="single" w:sz="4" w:space="0" w:color="auto"/>
              <w:right w:val="single" w:sz="4" w:space="0" w:color="auto"/>
            </w:tcBorders>
            <w:noWrap/>
          </w:tcPr>
          <w:p w14:paraId="1E6E5660" w14:textId="36CD4FCB"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w:t>
            </w:r>
            <w:r w:rsidR="00C73F6E" w:rsidRPr="009D4627">
              <w:rPr>
                <w:rFonts w:eastAsia="Times New Roman"/>
                <w:color w:val="000000"/>
                <w:sz w:val="22"/>
                <w:szCs w:val="22"/>
                <w:lang w:val="en-MY" w:eastAsia="en-MY"/>
              </w:rPr>
              <w:t>9</w:t>
            </w:r>
          </w:p>
        </w:tc>
        <w:tc>
          <w:tcPr>
            <w:tcW w:w="567" w:type="pct"/>
            <w:gridSpan w:val="2"/>
            <w:tcBorders>
              <w:left w:val="single" w:sz="4" w:space="0" w:color="auto"/>
            </w:tcBorders>
            <w:noWrap/>
          </w:tcPr>
          <w:p w14:paraId="09F45195" w14:textId="07F57CBA"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r w:rsidR="00AA3EDA" w:rsidRPr="009D4627">
              <w:rPr>
                <w:rFonts w:eastAsia="Times New Roman"/>
                <w:color w:val="000000"/>
                <w:sz w:val="22"/>
                <w:szCs w:val="22"/>
                <w:lang w:val="en-MY" w:eastAsia="en-MY"/>
              </w:rPr>
              <w:t>4</w:t>
            </w:r>
          </w:p>
        </w:tc>
      </w:tr>
      <w:tr w:rsidR="00974B3E" w:rsidRPr="009D4627" w14:paraId="7807FB3A" w14:textId="77777777" w:rsidTr="00974B3E">
        <w:trPr>
          <w:trHeight w:val="300"/>
        </w:trPr>
        <w:tc>
          <w:tcPr>
            <w:cnfStyle w:val="001000000000" w:firstRow="0" w:lastRow="0" w:firstColumn="1" w:lastColumn="0" w:oddVBand="0" w:evenVBand="0" w:oddHBand="0" w:evenHBand="0" w:firstRowFirstColumn="0" w:firstRowLastColumn="0" w:lastRowFirstColumn="0" w:lastRowLastColumn="0"/>
            <w:tcW w:w="553" w:type="pct"/>
            <w:tcBorders>
              <w:right w:val="single" w:sz="4" w:space="0" w:color="auto"/>
            </w:tcBorders>
            <w:noWrap/>
            <w:hideMark/>
          </w:tcPr>
          <w:p w14:paraId="49E9EB95"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right w:val="single" w:sz="4" w:space="0" w:color="auto"/>
            </w:tcBorders>
            <w:noWrap/>
            <w:hideMark/>
          </w:tcPr>
          <w:p w14:paraId="2DFF99DB" w14:textId="77777777"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0.6</w:t>
            </w:r>
          </w:p>
        </w:tc>
        <w:tc>
          <w:tcPr>
            <w:tcW w:w="865" w:type="pct"/>
            <w:tcBorders>
              <w:left w:val="single" w:sz="4" w:space="0" w:color="auto"/>
              <w:right w:val="single" w:sz="4" w:space="0" w:color="auto"/>
            </w:tcBorders>
            <w:noWrap/>
          </w:tcPr>
          <w:p w14:paraId="41BE4186" w14:textId="52FCC3C6"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212</w:t>
            </w:r>
            <w:r w:rsidR="00426CBC" w:rsidRPr="009D4627">
              <w:rPr>
                <w:rFonts w:eastAsia="Times New Roman"/>
                <w:color w:val="000000"/>
                <w:sz w:val="22"/>
                <w:szCs w:val="22"/>
                <w:lang w:val="en-MY" w:eastAsia="en-MY"/>
              </w:rPr>
              <w:t xml:space="preserve"> (50)</w:t>
            </w:r>
          </w:p>
        </w:tc>
        <w:tc>
          <w:tcPr>
            <w:tcW w:w="1020" w:type="pct"/>
            <w:tcBorders>
              <w:left w:val="single" w:sz="4" w:space="0" w:color="auto"/>
              <w:right w:val="single" w:sz="4" w:space="0" w:color="auto"/>
            </w:tcBorders>
            <w:noWrap/>
          </w:tcPr>
          <w:p w14:paraId="3AE478CA" w14:textId="50661A60"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226</w:t>
            </w:r>
            <w:r w:rsidR="00426CBC" w:rsidRPr="009D4627">
              <w:rPr>
                <w:rFonts w:eastAsia="Times New Roman"/>
                <w:color w:val="000000"/>
                <w:sz w:val="22"/>
                <w:szCs w:val="22"/>
                <w:lang w:val="en-MY" w:eastAsia="en-MY"/>
              </w:rPr>
              <w:t xml:space="preserve"> (49)</w:t>
            </w:r>
          </w:p>
        </w:tc>
        <w:tc>
          <w:tcPr>
            <w:tcW w:w="664" w:type="pct"/>
            <w:tcBorders>
              <w:left w:val="single" w:sz="4" w:space="0" w:color="auto"/>
              <w:right w:val="single" w:sz="4" w:space="0" w:color="auto"/>
            </w:tcBorders>
            <w:noWrap/>
          </w:tcPr>
          <w:p w14:paraId="69FA9F51" w14:textId="68052CD4" w:rsidR="00BD1281" w:rsidRPr="009D4627" w:rsidRDefault="00BD1281" w:rsidP="00BD128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-0.9</w:t>
            </w:r>
            <w:r w:rsidR="00C73F6E" w:rsidRPr="009D4627">
              <w:rPr>
                <w:rFonts w:eastAsia="Times New Roman"/>
                <w:color w:val="000000"/>
                <w:sz w:val="22"/>
                <w:szCs w:val="22"/>
                <w:lang w:val="en-MY" w:eastAsia="en-MY"/>
              </w:rPr>
              <w:t>9</w:t>
            </w:r>
          </w:p>
        </w:tc>
        <w:tc>
          <w:tcPr>
            <w:tcW w:w="567" w:type="pct"/>
            <w:gridSpan w:val="2"/>
            <w:tcBorders>
              <w:left w:val="single" w:sz="4" w:space="0" w:color="auto"/>
            </w:tcBorders>
            <w:noWrap/>
          </w:tcPr>
          <w:p w14:paraId="4EBEE0A2" w14:textId="218880BD" w:rsidR="00BD1281" w:rsidRPr="009D4627" w:rsidRDefault="00BD1281" w:rsidP="00BD128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0.3</w:t>
            </w:r>
            <w:r w:rsidR="00AA3EDA" w:rsidRPr="009D4627">
              <w:rPr>
                <w:rFonts w:eastAsia="Times New Roman"/>
                <w:color w:val="000000"/>
                <w:sz w:val="22"/>
                <w:szCs w:val="22"/>
                <w:lang w:val="en-MY" w:eastAsia="en-MY"/>
              </w:rPr>
              <w:t>3</w:t>
            </w:r>
          </w:p>
        </w:tc>
      </w:tr>
      <w:tr w:rsidR="00974B3E" w:rsidRPr="009D4627" w14:paraId="6B33A6EF" w14:textId="77777777" w:rsidTr="00974B3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3" w:type="pct"/>
            <w:tcBorders>
              <w:bottom w:val="single" w:sz="4" w:space="0" w:color="auto"/>
              <w:right w:val="single" w:sz="4" w:space="0" w:color="auto"/>
            </w:tcBorders>
            <w:noWrap/>
            <w:hideMark/>
          </w:tcPr>
          <w:p w14:paraId="5B1A6708" w14:textId="77777777" w:rsidR="00BD1281" w:rsidRPr="009D4627" w:rsidRDefault="00BD1281" w:rsidP="00BD1281">
            <w:pPr>
              <w:spacing w:before="0" w:after="0" w:line="240" w:lineRule="auto"/>
              <w:rPr>
                <w:rFonts w:eastAsia="Times New Roman"/>
                <w:color w:val="000000"/>
                <w:sz w:val="22"/>
                <w:szCs w:val="22"/>
                <w:lang w:val="en-MY" w:eastAsia="en-MY"/>
              </w:rPr>
            </w:pPr>
          </w:p>
        </w:tc>
        <w:tc>
          <w:tcPr>
            <w:tcW w:w="1331" w:type="pct"/>
            <w:tcBorders>
              <w:left w:val="single" w:sz="4" w:space="0" w:color="auto"/>
              <w:bottom w:val="single" w:sz="4" w:space="0" w:color="auto"/>
              <w:right w:val="single" w:sz="4" w:space="0" w:color="auto"/>
            </w:tcBorders>
            <w:noWrap/>
            <w:hideMark/>
          </w:tcPr>
          <w:p w14:paraId="1EEF7487" w14:textId="77777777"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0.8</w:t>
            </w:r>
          </w:p>
        </w:tc>
        <w:tc>
          <w:tcPr>
            <w:tcW w:w="865" w:type="pct"/>
            <w:tcBorders>
              <w:left w:val="single" w:sz="4" w:space="0" w:color="auto"/>
              <w:bottom w:val="single" w:sz="4" w:space="0" w:color="auto"/>
              <w:right w:val="single" w:sz="4" w:space="0" w:color="auto"/>
            </w:tcBorders>
            <w:noWrap/>
          </w:tcPr>
          <w:p w14:paraId="6356119E" w14:textId="52C787CC"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200</w:t>
            </w:r>
            <w:r w:rsidR="00426CBC" w:rsidRPr="009D4627">
              <w:rPr>
                <w:rFonts w:eastAsia="Times New Roman"/>
                <w:color w:val="000000"/>
                <w:sz w:val="22"/>
                <w:szCs w:val="22"/>
                <w:lang w:val="en-MY" w:eastAsia="en-MY"/>
              </w:rPr>
              <w:t xml:space="preserve"> (39)</w:t>
            </w:r>
          </w:p>
        </w:tc>
        <w:tc>
          <w:tcPr>
            <w:tcW w:w="1020" w:type="pct"/>
            <w:tcBorders>
              <w:left w:val="single" w:sz="4" w:space="0" w:color="auto"/>
              <w:bottom w:val="single" w:sz="4" w:space="0" w:color="auto"/>
              <w:right w:val="single" w:sz="4" w:space="0" w:color="auto"/>
            </w:tcBorders>
            <w:noWrap/>
          </w:tcPr>
          <w:p w14:paraId="77EECB89" w14:textId="7CD08569"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210</w:t>
            </w:r>
            <w:r w:rsidR="00426CBC" w:rsidRPr="009D4627">
              <w:rPr>
                <w:rFonts w:eastAsia="Times New Roman"/>
                <w:color w:val="000000"/>
                <w:sz w:val="22"/>
                <w:szCs w:val="22"/>
                <w:lang w:val="en-MY" w:eastAsia="en-MY"/>
              </w:rPr>
              <w:t xml:space="preserve"> (59)</w:t>
            </w:r>
          </w:p>
        </w:tc>
        <w:tc>
          <w:tcPr>
            <w:tcW w:w="664" w:type="pct"/>
            <w:tcBorders>
              <w:left w:val="single" w:sz="4" w:space="0" w:color="auto"/>
              <w:bottom w:val="single" w:sz="4" w:space="0" w:color="auto"/>
              <w:right w:val="single" w:sz="4" w:space="0" w:color="auto"/>
            </w:tcBorders>
            <w:noWrap/>
          </w:tcPr>
          <w:p w14:paraId="1F03519D" w14:textId="0A0C6691" w:rsidR="00BD1281" w:rsidRPr="009D4627" w:rsidRDefault="00BD1281" w:rsidP="00BD128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-0.7</w:t>
            </w:r>
            <w:r w:rsidR="00C73F6E" w:rsidRPr="009D4627">
              <w:rPr>
                <w:rFonts w:eastAsia="Times New Roman"/>
                <w:color w:val="000000"/>
                <w:sz w:val="22"/>
                <w:szCs w:val="22"/>
                <w:lang w:val="en-MY" w:eastAsia="en-MY"/>
              </w:rPr>
              <w:t>2</w:t>
            </w:r>
          </w:p>
        </w:tc>
        <w:tc>
          <w:tcPr>
            <w:tcW w:w="567" w:type="pct"/>
            <w:gridSpan w:val="2"/>
            <w:tcBorders>
              <w:left w:val="single" w:sz="4" w:space="0" w:color="auto"/>
              <w:bottom w:val="single" w:sz="4" w:space="0" w:color="auto"/>
            </w:tcBorders>
            <w:noWrap/>
          </w:tcPr>
          <w:p w14:paraId="5D5EBDD7" w14:textId="1E2581D1" w:rsidR="00BD1281" w:rsidRPr="009D4627" w:rsidRDefault="00BD1281" w:rsidP="00BD128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 w:val="22"/>
                <w:szCs w:val="22"/>
                <w:lang w:val="en-MY" w:eastAsia="en-MY"/>
              </w:rPr>
            </w:pPr>
            <w:r w:rsidRPr="009D4627">
              <w:rPr>
                <w:rFonts w:eastAsia="Times New Roman"/>
                <w:color w:val="000000"/>
                <w:sz w:val="22"/>
                <w:szCs w:val="22"/>
                <w:lang w:val="en-MY" w:eastAsia="en-MY"/>
              </w:rPr>
              <w:t>0.4</w:t>
            </w:r>
            <w:r w:rsidR="00AA3EDA" w:rsidRPr="009D4627">
              <w:rPr>
                <w:rFonts w:eastAsia="Times New Roman"/>
                <w:color w:val="000000"/>
                <w:sz w:val="22"/>
                <w:szCs w:val="22"/>
                <w:lang w:val="en-MY" w:eastAsia="en-MY"/>
              </w:rPr>
              <w:t>8</w:t>
            </w:r>
          </w:p>
        </w:tc>
      </w:tr>
    </w:tbl>
    <w:p w14:paraId="61B61C4D" w14:textId="77777777" w:rsidR="005D3E5C" w:rsidRPr="00800E68" w:rsidRDefault="005D3E5C" w:rsidP="005D3E5C">
      <w:pPr>
        <w:spacing w:before="0" w:after="0"/>
        <w:jc w:val="center"/>
        <w:rPr>
          <w:i/>
          <w:iCs/>
          <w:color w:val="auto"/>
        </w:rPr>
      </w:pPr>
      <w:r w:rsidRPr="00800E68">
        <w:rPr>
          <w:i/>
          <w:iCs/>
          <w:color w:val="auto"/>
        </w:rPr>
        <w:t xml:space="preserve">* </w:t>
      </w:r>
      <w:r w:rsidRPr="00800E68">
        <w:rPr>
          <w:color w:val="auto"/>
        </w:rPr>
        <w:t xml:space="preserve">Data are significant at </w:t>
      </w:r>
      <w:r w:rsidRPr="00800E68">
        <w:rPr>
          <w:i/>
          <w:iCs/>
          <w:color w:val="auto"/>
        </w:rPr>
        <w:t>p</w:t>
      </w:r>
      <w:r w:rsidRPr="00800E68">
        <w:rPr>
          <w:color w:val="auto"/>
        </w:rPr>
        <w:t>&lt;0.05</w:t>
      </w:r>
    </w:p>
    <w:p w14:paraId="3FC4A105" w14:textId="77777777" w:rsidR="005D3E5C" w:rsidRPr="009D4627" w:rsidRDefault="005D3E5C" w:rsidP="006315E1">
      <w:pPr>
        <w:spacing w:before="0" w:after="0"/>
      </w:pPr>
    </w:p>
    <w:p w14:paraId="5AAF8634" w14:textId="627D1413" w:rsidR="00CD69ED" w:rsidRPr="009D4627" w:rsidRDefault="00CD69ED" w:rsidP="00CA4E90">
      <w:pPr>
        <w:pStyle w:val="Heading4"/>
      </w:pPr>
      <w:bookmarkStart w:id="497" w:name="_Toc98964714"/>
      <w:bookmarkStart w:id="498" w:name="_Toc103344756"/>
      <w:r w:rsidRPr="009D4627">
        <w:t>Two factor repeated-measures ANOVA</w:t>
      </w:r>
      <w:bookmarkEnd w:id="497"/>
      <w:bookmarkEnd w:id="498"/>
    </w:p>
    <w:p w14:paraId="0E765CD2" w14:textId="6FCF6F8E" w:rsidR="0012799A" w:rsidRPr="0012799A" w:rsidRDefault="00890DBC" w:rsidP="0012799A">
      <w:pPr>
        <w:spacing w:before="0" w:after="0"/>
        <w:rPr>
          <w:color w:val="000000"/>
          <w:shd w:val="clear" w:color="auto" w:fill="FFFFFF"/>
        </w:rPr>
      </w:pPr>
      <w:r w:rsidRPr="009D4627">
        <w:t xml:space="preserve">A </w:t>
      </w:r>
      <w:r w:rsidR="00451D67" w:rsidRPr="009D4627">
        <w:t>two</w:t>
      </w:r>
      <w:r w:rsidR="00DE41B6" w:rsidRPr="009D4627">
        <w:t xml:space="preserve">-factor repeated-measures ANOVA showed no significant interaction effects between factors (trial frequency and follow-up visit) on the SP gain, RMSE and duration, </w:t>
      </w:r>
      <w:r w:rsidR="00DE41B6" w:rsidRPr="009D4627">
        <w:rPr>
          <w:i/>
          <w:iCs/>
        </w:rPr>
        <w:t>p</w:t>
      </w:r>
      <w:r w:rsidR="00DE41B6" w:rsidRPr="009D4627">
        <w:t>&gt;0.05</w:t>
      </w:r>
      <w:r w:rsidR="00BF1C1B" w:rsidRPr="009D4627">
        <w:t xml:space="preserve"> (Table 5.3)</w:t>
      </w:r>
      <w:r w:rsidR="00DE41B6" w:rsidRPr="009D4627">
        <w:t xml:space="preserve">. The simple main effect of trial frequency showed a statistically significant difference of the horizontal SP gain, RMSE and duration indicating the dependent variables were significantly changed between the trial frequency. It was discovered that increasing the trial frequency resulted in a considerable decrease in SP gain, an increase in RMSE, and a shorter period of pursuit fixation. It indicates that the gain went from 0.864 at low frequency to 0.442 </w:t>
      </w:r>
      <w:r w:rsidR="00DE41B6" w:rsidRPr="009D4627">
        <w:lastRenderedPageBreak/>
        <w:t xml:space="preserve">at high frequency. The RMSE went from 0.692° at low frequencies to 2.568° at high frequencies. SP fixation durations without any CUS went from 440 </w:t>
      </w:r>
      <w:proofErr w:type="spellStart"/>
      <w:r w:rsidR="00DE41B6" w:rsidRPr="009D4627">
        <w:t>ms</w:t>
      </w:r>
      <w:proofErr w:type="spellEnd"/>
      <w:r w:rsidR="00DE41B6" w:rsidRPr="009D4627">
        <w:t xml:space="preserve"> at low frequencies to 221 </w:t>
      </w:r>
      <w:proofErr w:type="spellStart"/>
      <w:r w:rsidR="00DE41B6" w:rsidRPr="009D4627">
        <w:t>ms</w:t>
      </w:r>
      <w:proofErr w:type="spellEnd"/>
      <w:r w:rsidR="00DE41B6" w:rsidRPr="009D4627">
        <w:t xml:space="preserve"> at high frequencies. In contrast, there was no statistically significant simple main effect of follow-up visits on SP gain, RMSE and duration between visits</w:t>
      </w:r>
      <w:r w:rsidR="00DE41B6" w:rsidRPr="009D4627">
        <w:rPr>
          <w:color w:val="000000"/>
          <w:sz w:val="32"/>
          <w:szCs w:val="32"/>
          <w:shd w:val="clear" w:color="auto" w:fill="FFFFFF"/>
        </w:rPr>
        <w:t>.</w:t>
      </w:r>
      <w:r w:rsidR="0012799A">
        <w:rPr>
          <w:color w:val="000000"/>
          <w:sz w:val="32"/>
          <w:szCs w:val="32"/>
          <w:shd w:val="clear" w:color="auto" w:fill="FFFFFF"/>
        </w:rPr>
        <w:t xml:space="preserve"> </w:t>
      </w:r>
      <w:r w:rsidR="001B404A" w:rsidRPr="001B404A">
        <w:rPr>
          <w:color w:val="000000"/>
          <w:shd w:val="clear" w:color="auto" w:fill="FFFFFF"/>
        </w:rPr>
        <w:t xml:space="preserve">Appendix 5.3 shows post hoc with Bonferroni adjustments for the main </w:t>
      </w:r>
      <w:r w:rsidR="001B404A">
        <w:rPr>
          <w:color w:val="000000"/>
          <w:shd w:val="clear" w:color="auto" w:fill="FFFFFF"/>
        </w:rPr>
        <w:t>effect</w:t>
      </w:r>
      <w:r w:rsidR="001B404A" w:rsidRPr="001B404A">
        <w:rPr>
          <w:color w:val="000000"/>
          <w:shd w:val="clear" w:color="auto" w:fill="FFFFFF"/>
        </w:rPr>
        <w:t xml:space="preserve"> of frequency and follow-up visits</w:t>
      </w:r>
      <w:r w:rsidR="001B404A">
        <w:rPr>
          <w:color w:val="000000"/>
          <w:shd w:val="clear" w:color="auto" w:fill="FFFFFF"/>
        </w:rPr>
        <w:t xml:space="preserve"> on the horizontal SP parameters</w:t>
      </w:r>
      <w:r w:rsidR="001B404A" w:rsidRPr="001B404A">
        <w:rPr>
          <w:color w:val="000000"/>
          <w:shd w:val="clear" w:color="auto" w:fill="FFFFFF"/>
        </w:rPr>
        <w:t>.</w:t>
      </w:r>
    </w:p>
    <w:p w14:paraId="561E2411" w14:textId="201D3479" w:rsidR="00DE41B6" w:rsidRPr="009D4627" w:rsidRDefault="00BF1C1B" w:rsidP="00C4130D">
      <w:pPr>
        <w:pStyle w:val="Caption"/>
        <w:rPr>
          <w:color w:val="auto"/>
        </w:rPr>
      </w:pPr>
      <w:bookmarkStart w:id="499" w:name="_Toc99378017"/>
      <w:r w:rsidRPr="009D4627">
        <w:t>Table 5.</w:t>
      </w:r>
      <w:r w:rsidRPr="009D4627">
        <w:fldChar w:fldCharType="begin"/>
      </w:r>
      <w:r w:rsidRPr="009D4627">
        <w:instrText xml:space="preserve"> SEQ Table_5. \* ARABIC </w:instrText>
      </w:r>
      <w:r w:rsidRPr="009D4627">
        <w:fldChar w:fldCharType="separate"/>
      </w:r>
      <w:r w:rsidR="00E268F6">
        <w:rPr>
          <w:noProof/>
        </w:rPr>
        <w:t>3</w:t>
      </w:r>
      <w:r w:rsidRPr="009D4627">
        <w:fldChar w:fldCharType="end"/>
      </w:r>
      <w:r w:rsidRPr="009D4627">
        <w:t>: Two factors repeated-measures ANOVA investigating the effect of frequency and visit changes on the horizontal SP parameters.</w:t>
      </w:r>
      <w:bookmarkEnd w:id="499"/>
      <w:r w:rsidRPr="009D4627">
        <w:t xml:space="preserve"> </w:t>
      </w:r>
    </w:p>
    <w:tbl>
      <w:tblPr>
        <w:tblW w:w="5000" w:type="pct"/>
        <w:jc w:val="center"/>
        <w:tblCellMar>
          <w:left w:w="0" w:type="dxa"/>
          <w:right w:w="0" w:type="dxa"/>
        </w:tblCellMar>
        <w:tblLook w:val="0000" w:firstRow="0" w:lastRow="0" w:firstColumn="0" w:lastColumn="0" w:noHBand="0" w:noVBand="0"/>
      </w:tblPr>
      <w:tblGrid>
        <w:gridCol w:w="1701"/>
        <w:gridCol w:w="1708"/>
        <w:gridCol w:w="1836"/>
        <w:gridCol w:w="524"/>
        <w:gridCol w:w="945"/>
        <w:gridCol w:w="1083"/>
        <w:gridCol w:w="1229"/>
      </w:tblGrid>
      <w:tr w:rsidR="00B50478" w:rsidRPr="009D4627" w14:paraId="737422A3" w14:textId="77777777" w:rsidTr="006654E1">
        <w:trPr>
          <w:cantSplit/>
          <w:jc w:val="center"/>
        </w:trPr>
        <w:tc>
          <w:tcPr>
            <w:tcW w:w="942" w:type="pct"/>
            <w:tcBorders>
              <w:top w:val="single" w:sz="4" w:space="0" w:color="auto"/>
              <w:bottom w:val="single" w:sz="4" w:space="0" w:color="auto"/>
            </w:tcBorders>
            <w:shd w:val="clear" w:color="auto" w:fill="FFFFFF"/>
          </w:tcPr>
          <w:p w14:paraId="1C0DA47D" w14:textId="77777777" w:rsidR="00BF1C1B" w:rsidRPr="009D4627" w:rsidRDefault="00BF1C1B" w:rsidP="00A02661">
            <w:pPr>
              <w:autoSpaceDE w:val="0"/>
              <w:autoSpaceDN w:val="0"/>
              <w:adjustRightInd w:val="0"/>
              <w:spacing w:before="0" w:after="0" w:line="360" w:lineRule="auto"/>
              <w:ind w:left="60" w:right="60"/>
              <w:jc w:val="center"/>
              <w:rPr>
                <w:color w:val="264A60"/>
                <w:sz w:val="22"/>
                <w:szCs w:val="22"/>
                <w:lang w:val="en-MY"/>
              </w:rPr>
            </w:pPr>
          </w:p>
        </w:tc>
        <w:tc>
          <w:tcPr>
            <w:tcW w:w="946" w:type="pct"/>
            <w:tcBorders>
              <w:top w:val="single" w:sz="4" w:space="0" w:color="auto"/>
              <w:bottom w:val="single" w:sz="4" w:space="0" w:color="auto"/>
            </w:tcBorders>
            <w:shd w:val="clear" w:color="auto" w:fill="FFFFFF"/>
          </w:tcPr>
          <w:p w14:paraId="00E02673" w14:textId="713F14CB" w:rsidR="00BF1C1B" w:rsidRPr="009D4627" w:rsidRDefault="00BF1C1B" w:rsidP="00A02661">
            <w:pPr>
              <w:autoSpaceDE w:val="0"/>
              <w:autoSpaceDN w:val="0"/>
              <w:adjustRightInd w:val="0"/>
              <w:spacing w:before="0" w:after="0" w:line="360" w:lineRule="auto"/>
              <w:ind w:left="60" w:right="60"/>
              <w:jc w:val="left"/>
              <w:rPr>
                <w:color w:val="264A60"/>
                <w:sz w:val="22"/>
                <w:szCs w:val="22"/>
                <w:lang w:val="en-MY"/>
              </w:rPr>
            </w:pPr>
            <w:r w:rsidRPr="009D4627">
              <w:rPr>
                <w:color w:val="264A60"/>
                <w:sz w:val="22"/>
                <w:szCs w:val="22"/>
                <w:lang w:val="en-MY"/>
              </w:rPr>
              <w:t>Source</w:t>
            </w:r>
          </w:p>
        </w:tc>
        <w:tc>
          <w:tcPr>
            <w:tcW w:w="1017" w:type="pct"/>
            <w:tcBorders>
              <w:top w:val="single" w:sz="4" w:space="0" w:color="auto"/>
              <w:bottom w:val="single" w:sz="4" w:space="0" w:color="auto"/>
            </w:tcBorders>
            <w:shd w:val="clear" w:color="auto" w:fill="FFFFFF"/>
            <w:vAlign w:val="bottom"/>
          </w:tcPr>
          <w:p w14:paraId="0807379E" w14:textId="00F2E24C" w:rsidR="00BF1C1B" w:rsidRPr="009D4627" w:rsidRDefault="00BF1C1B" w:rsidP="00A02661">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SS</w:t>
            </w:r>
          </w:p>
        </w:tc>
        <w:tc>
          <w:tcPr>
            <w:tcW w:w="290" w:type="pct"/>
            <w:tcBorders>
              <w:top w:val="single" w:sz="4" w:space="0" w:color="auto"/>
              <w:bottom w:val="single" w:sz="4" w:space="0" w:color="auto"/>
            </w:tcBorders>
            <w:shd w:val="clear" w:color="auto" w:fill="FFFFFF"/>
            <w:vAlign w:val="bottom"/>
          </w:tcPr>
          <w:p w14:paraId="041DD49F" w14:textId="6F78CAC1" w:rsidR="00BF1C1B" w:rsidRPr="009D4627" w:rsidRDefault="00BF1C1B" w:rsidP="00A02661">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df</w:t>
            </w:r>
          </w:p>
        </w:tc>
        <w:tc>
          <w:tcPr>
            <w:tcW w:w="523" w:type="pct"/>
            <w:tcBorders>
              <w:top w:val="single" w:sz="4" w:space="0" w:color="auto"/>
              <w:bottom w:val="single" w:sz="4" w:space="0" w:color="auto"/>
            </w:tcBorders>
            <w:shd w:val="clear" w:color="auto" w:fill="FFFFFF"/>
            <w:vAlign w:val="bottom"/>
          </w:tcPr>
          <w:p w14:paraId="07727C08" w14:textId="77777777" w:rsidR="00BF1C1B" w:rsidRPr="009D4627" w:rsidRDefault="00BF1C1B" w:rsidP="00A02661">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MS</w:t>
            </w:r>
          </w:p>
        </w:tc>
        <w:tc>
          <w:tcPr>
            <w:tcW w:w="600" w:type="pct"/>
            <w:tcBorders>
              <w:top w:val="single" w:sz="4" w:space="0" w:color="auto"/>
              <w:bottom w:val="single" w:sz="4" w:space="0" w:color="auto"/>
            </w:tcBorders>
            <w:shd w:val="clear" w:color="auto" w:fill="FFFFFF"/>
            <w:vAlign w:val="bottom"/>
          </w:tcPr>
          <w:p w14:paraId="4E0CEF16" w14:textId="77777777" w:rsidR="00BF1C1B" w:rsidRPr="00974B3E" w:rsidRDefault="00BF1C1B" w:rsidP="00A02661">
            <w:pPr>
              <w:autoSpaceDE w:val="0"/>
              <w:autoSpaceDN w:val="0"/>
              <w:adjustRightInd w:val="0"/>
              <w:spacing w:before="0" w:after="0" w:line="360" w:lineRule="auto"/>
              <w:ind w:left="60" w:right="60"/>
              <w:jc w:val="center"/>
              <w:rPr>
                <w:i/>
                <w:iCs/>
                <w:color w:val="264A60"/>
                <w:sz w:val="22"/>
                <w:szCs w:val="22"/>
                <w:lang w:val="en-MY"/>
              </w:rPr>
            </w:pPr>
            <w:r w:rsidRPr="00974B3E">
              <w:rPr>
                <w:i/>
                <w:iCs/>
                <w:color w:val="264A60"/>
                <w:sz w:val="22"/>
                <w:szCs w:val="22"/>
                <w:lang w:val="en-MY"/>
              </w:rPr>
              <w:t>F</w:t>
            </w:r>
          </w:p>
        </w:tc>
        <w:tc>
          <w:tcPr>
            <w:tcW w:w="681" w:type="pct"/>
            <w:tcBorders>
              <w:top w:val="single" w:sz="4" w:space="0" w:color="auto"/>
              <w:bottom w:val="single" w:sz="4" w:space="0" w:color="auto"/>
            </w:tcBorders>
            <w:shd w:val="clear" w:color="auto" w:fill="FFFFFF"/>
            <w:vAlign w:val="bottom"/>
          </w:tcPr>
          <w:p w14:paraId="613CF0F6" w14:textId="77777777" w:rsidR="00BF1C1B" w:rsidRPr="009D4627" w:rsidRDefault="00BF1C1B" w:rsidP="00A02661">
            <w:pPr>
              <w:autoSpaceDE w:val="0"/>
              <w:autoSpaceDN w:val="0"/>
              <w:adjustRightInd w:val="0"/>
              <w:spacing w:before="0" w:after="0" w:line="360" w:lineRule="auto"/>
              <w:ind w:left="60" w:right="60"/>
              <w:jc w:val="center"/>
              <w:rPr>
                <w:color w:val="264A60"/>
                <w:sz w:val="22"/>
                <w:szCs w:val="22"/>
                <w:lang w:val="en-MY"/>
              </w:rPr>
            </w:pPr>
            <w:r w:rsidRPr="00974B3E">
              <w:rPr>
                <w:i/>
                <w:iCs/>
                <w:color w:val="264A60"/>
                <w:sz w:val="22"/>
                <w:szCs w:val="22"/>
                <w:lang w:val="en-MY"/>
              </w:rPr>
              <w:t>p</w:t>
            </w:r>
            <w:r w:rsidRPr="009D4627">
              <w:rPr>
                <w:color w:val="264A60"/>
                <w:sz w:val="22"/>
                <w:szCs w:val="22"/>
                <w:lang w:val="en-MY"/>
              </w:rPr>
              <w:t>-value</w:t>
            </w:r>
          </w:p>
        </w:tc>
      </w:tr>
      <w:tr w:rsidR="00B50478" w:rsidRPr="009D4627" w14:paraId="477C5969" w14:textId="77777777" w:rsidTr="006654E1">
        <w:trPr>
          <w:cantSplit/>
          <w:jc w:val="center"/>
        </w:trPr>
        <w:tc>
          <w:tcPr>
            <w:tcW w:w="942" w:type="pct"/>
            <w:vMerge w:val="restart"/>
            <w:tcBorders>
              <w:top w:val="single" w:sz="4" w:space="0" w:color="auto"/>
            </w:tcBorders>
            <w:shd w:val="clear" w:color="auto" w:fill="FFFFFF"/>
          </w:tcPr>
          <w:p w14:paraId="14B79024" w14:textId="0ACDF001" w:rsidR="00BF1C1B" w:rsidRPr="009D4627" w:rsidRDefault="00974B3E" w:rsidP="00A02661">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G</w:t>
            </w:r>
            <w:r w:rsidR="00BF1C1B" w:rsidRPr="009D4627">
              <w:rPr>
                <w:color w:val="010205"/>
                <w:sz w:val="22"/>
                <w:szCs w:val="22"/>
                <w:lang w:val="en-MY"/>
              </w:rPr>
              <w:t>ain</w:t>
            </w:r>
          </w:p>
        </w:tc>
        <w:tc>
          <w:tcPr>
            <w:tcW w:w="946" w:type="pct"/>
            <w:tcBorders>
              <w:top w:val="single" w:sz="4" w:space="0" w:color="auto"/>
            </w:tcBorders>
            <w:shd w:val="clear" w:color="auto" w:fill="FFFFFF"/>
          </w:tcPr>
          <w:p w14:paraId="6C73A42B" w14:textId="526C02E3" w:rsidR="00BF1C1B" w:rsidRPr="009D4627" w:rsidRDefault="00BF1C1B"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w:t>
            </w:r>
          </w:p>
        </w:tc>
        <w:tc>
          <w:tcPr>
            <w:tcW w:w="1017" w:type="pct"/>
            <w:tcBorders>
              <w:top w:val="single" w:sz="4" w:space="0" w:color="auto"/>
            </w:tcBorders>
            <w:shd w:val="clear" w:color="auto" w:fill="FFFFFF"/>
          </w:tcPr>
          <w:p w14:paraId="067A829B" w14:textId="2AFC6C6C"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r w:rsidR="00C73F6E" w:rsidRPr="009D4627">
              <w:rPr>
                <w:color w:val="010205"/>
                <w:sz w:val="22"/>
                <w:szCs w:val="22"/>
                <w:lang w:val="en-MY"/>
              </w:rPr>
              <w:t>20</w:t>
            </w:r>
          </w:p>
        </w:tc>
        <w:tc>
          <w:tcPr>
            <w:tcW w:w="290" w:type="pct"/>
            <w:tcBorders>
              <w:top w:val="single" w:sz="4" w:space="0" w:color="auto"/>
            </w:tcBorders>
            <w:shd w:val="clear" w:color="auto" w:fill="FFFFFF"/>
          </w:tcPr>
          <w:p w14:paraId="2D5F4D05" w14:textId="17ED5249"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w:t>
            </w:r>
          </w:p>
        </w:tc>
        <w:tc>
          <w:tcPr>
            <w:tcW w:w="523" w:type="pct"/>
            <w:tcBorders>
              <w:top w:val="single" w:sz="4" w:space="0" w:color="auto"/>
            </w:tcBorders>
            <w:shd w:val="clear" w:color="auto" w:fill="FFFFFF"/>
          </w:tcPr>
          <w:p w14:paraId="3C1A94D4" w14:textId="2340D1CE"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2.8</w:t>
            </w:r>
            <w:r w:rsidR="00C73F6E" w:rsidRPr="009D4627">
              <w:rPr>
                <w:color w:val="010205"/>
                <w:sz w:val="22"/>
                <w:szCs w:val="22"/>
                <w:lang w:val="en-MY"/>
              </w:rPr>
              <w:t>2</w:t>
            </w:r>
          </w:p>
        </w:tc>
        <w:tc>
          <w:tcPr>
            <w:tcW w:w="600" w:type="pct"/>
            <w:tcBorders>
              <w:top w:val="single" w:sz="4" w:space="0" w:color="auto"/>
            </w:tcBorders>
            <w:shd w:val="clear" w:color="auto" w:fill="FFFFFF"/>
          </w:tcPr>
          <w:p w14:paraId="62CC64F3" w14:textId="36E4A42B"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34.26</w:t>
            </w:r>
          </w:p>
        </w:tc>
        <w:tc>
          <w:tcPr>
            <w:tcW w:w="681" w:type="pct"/>
            <w:tcBorders>
              <w:top w:val="single" w:sz="4" w:space="0" w:color="auto"/>
            </w:tcBorders>
            <w:shd w:val="clear" w:color="auto" w:fill="FFFFFF"/>
          </w:tcPr>
          <w:p w14:paraId="5649B99C" w14:textId="3A91DFD2"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w:t>
            </w:r>
            <w:r w:rsidR="00AA3EDA" w:rsidRPr="009D4627">
              <w:rPr>
                <w:color w:val="010205"/>
                <w:sz w:val="22"/>
                <w:szCs w:val="22"/>
                <w:lang w:val="en-MY"/>
              </w:rPr>
              <w:t>1</w:t>
            </w:r>
            <w:r w:rsidRPr="009D4627">
              <w:rPr>
                <w:color w:val="010205"/>
                <w:sz w:val="22"/>
                <w:szCs w:val="22"/>
                <w:lang w:val="en-MY"/>
              </w:rPr>
              <w:t>*</w:t>
            </w:r>
          </w:p>
        </w:tc>
      </w:tr>
      <w:tr w:rsidR="00B50478" w:rsidRPr="009D4627" w14:paraId="7A0BD9EA" w14:textId="77777777" w:rsidTr="006654E1">
        <w:trPr>
          <w:cantSplit/>
          <w:jc w:val="center"/>
        </w:trPr>
        <w:tc>
          <w:tcPr>
            <w:tcW w:w="942" w:type="pct"/>
            <w:vMerge/>
            <w:shd w:val="clear" w:color="auto" w:fill="FFFFFF"/>
          </w:tcPr>
          <w:p w14:paraId="59A3A208" w14:textId="77777777"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p>
        </w:tc>
        <w:tc>
          <w:tcPr>
            <w:tcW w:w="946" w:type="pct"/>
            <w:shd w:val="clear" w:color="auto" w:fill="FFFFFF"/>
          </w:tcPr>
          <w:p w14:paraId="376ACB4B" w14:textId="6121681A" w:rsidR="00BF1C1B" w:rsidRPr="009D4627" w:rsidRDefault="00BF1C1B"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1017" w:type="pct"/>
            <w:shd w:val="clear" w:color="auto" w:fill="FFFFFF"/>
          </w:tcPr>
          <w:p w14:paraId="510EED05" w14:textId="6F5EC8EC"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0.20</w:t>
            </w:r>
          </w:p>
        </w:tc>
        <w:tc>
          <w:tcPr>
            <w:tcW w:w="290" w:type="pct"/>
            <w:shd w:val="clear" w:color="auto" w:fill="FFFFFF"/>
          </w:tcPr>
          <w:p w14:paraId="3826A3F5" w14:textId="24F11DBF"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23" w:type="pct"/>
            <w:shd w:val="clear" w:color="auto" w:fill="FFFFFF"/>
          </w:tcPr>
          <w:p w14:paraId="3D6CC838" w14:textId="08E050FF"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0.1</w:t>
            </w:r>
            <w:r w:rsidR="00C73F6E" w:rsidRPr="009D4627">
              <w:rPr>
                <w:color w:val="010205"/>
                <w:sz w:val="22"/>
                <w:szCs w:val="22"/>
                <w:lang w:val="en-MY"/>
              </w:rPr>
              <w:t>9</w:t>
            </w:r>
          </w:p>
        </w:tc>
        <w:tc>
          <w:tcPr>
            <w:tcW w:w="600" w:type="pct"/>
            <w:shd w:val="clear" w:color="auto" w:fill="FFFFFF"/>
          </w:tcPr>
          <w:p w14:paraId="1149DA7F" w14:textId="47D9E83D"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3.1</w:t>
            </w:r>
            <w:r w:rsidR="00C73F6E" w:rsidRPr="009D4627">
              <w:rPr>
                <w:color w:val="010205"/>
                <w:sz w:val="22"/>
                <w:szCs w:val="22"/>
                <w:lang w:val="en-MY"/>
              </w:rPr>
              <w:t>5</w:t>
            </w:r>
          </w:p>
        </w:tc>
        <w:tc>
          <w:tcPr>
            <w:tcW w:w="681" w:type="pct"/>
            <w:shd w:val="clear" w:color="auto" w:fill="FFFFFF"/>
          </w:tcPr>
          <w:p w14:paraId="594FFEEB" w14:textId="3C96F7E0"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w:t>
            </w:r>
            <w:r w:rsidR="00AA3EDA" w:rsidRPr="009D4627">
              <w:rPr>
                <w:color w:val="010205"/>
                <w:sz w:val="22"/>
                <w:szCs w:val="22"/>
                <w:lang w:val="en-MY"/>
              </w:rPr>
              <w:t>9</w:t>
            </w:r>
          </w:p>
        </w:tc>
      </w:tr>
      <w:tr w:rsidR="00B50478" w:rsidRPr="009D4627" w14:paraId="01A305C9" w14:textId="77777777" w:rsidTr="006654E1">
        <w:trPr>
          <w:cantSplit/>
          <w:jc w:val="center"/>
        </w:trPr>
        <w:tc>
          <w:tcPr>
            <w:tcW w:w="942" w:type="pct"/>
            <w:vMerge/>
            <w:tcBorders>
              <w:bottom w:val="single" w:sz="4" w:space="0" w:color="auto"/>
            </w:tcBorders>
            <w:shd w:val="clear" w:color="auto" w:fill="FFFFFF"/>
          </w:tcPr>
          <w:p w14:paraId="16C35529" w14:textId="77777777"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p>
        </w:tc>
        <w:tc>
          <w:tcPr>
            <w:tcW w:w="946" w:type="pct"/>
            <w:tcBorders>
              <w:bottom w:val="single" w:sz="4" w:space="0" w:color="auto"/>
            </w:tcBorders>
            <w:shd w:val="clear" w:color="auto" w:fill="FFFFFF"/>
          </w:tcPr>
          <w:p w14:paraId="56DBB130" w14:textId="758BFF05" w:rsidR="00BF1C1B" w:rsidRPr="009D4627" w:rsidRDefault="00BF1C1B"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Frequency*Visit</w:t>
            </w:r>
          </w:p>
        </w:tc>
        <w:tc>
          <w:tcPr>
            <w:tcW w:w="1017" w:type="pct"/>
            <w:tcBorders>
              <w:bottom w:val="single" w:sz="4" w:space="0" w:color="auto"/>
            </w:tcBorders>
            <w:shd w:val="clear" w:color="auto" w:fill="FFFFFF"/>
          </w:tcPr>
          <w:p w14:paraId="72B10F5A" w14:textId="5705E053"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w:t>
            </w:r>
            <w:r w:rsidR="00C73F6E" w:rsidRPr="009D4627">
              <w:rPr>
                <w:color w:val="010205"/>
                <w:sz w:val="22"/>
                <w:szCs w:val="22"/>
                <w:lang w:val="en-MY"/>
              </w:rPr>
              <w:t>4</w:t>
            </w:r>
          </w:p>
        </w:tc>
        <w:tc>
          <w:tcPr>
            <w:tcW w:w="290" w:type="pct"/>
            <w:tcBorders>
              <w:bottom w:val="single" w:sz="4" w:space="0" w:color="auto"/>
            </w:tcBorders>
            <w:shd w:val="clear" w:color="auto" w:fill="FFFFFF"/>
          </w:tcPr>
          <w:p w14:paraId="70D69ABD" w14:textId="44A7C157" w:rsidR="00BF1C1B" w:rsidRPr="009D4627" w:rsidRDefault="00BF1C1B"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w:t>
            </w:r>
          </w:p>
        </w:tc>
        <w:tc>
          <w:tcPr>
            <w:tcW w:w="523" w:type="pct"/>
            <w:tcBorders>
              <w:bottom w:val="single" w:sz="4" w:space="0" w:color="auto"/>
            </w:tcBorders>
            <w:shd w:val="clear" w:color="auto" w:fill="FFFFFF"/>
          </w:tcPr>
          <w:p w14:paraId="73FB3041" w14:textId="1326E0F6" w:rsidR="00BF1C1B" w:rsidRPr="009D4627" w:rsidRDefault="00C73F6E"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&lt;0.01</w:t>
            </w:r>
          </w:p>
        </w:tc>
        <w:tc>
          <w:tcPr>
            <w:tcW w:w="600" w:type="pct"/>
            <w:tcBorders>
              <w:bottom w:val="single" w:sz="4" w:space="0" w:color="auto"/>
            </w:tcBorders>
            <w:shd w:val="clear" w:color="auto" w:fill="FFFFFF"/>
          </w:tcPr>
          <w:p w14:paraId="06772787" w14:textId="46E56197"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0.80</w:t>
            </w:r>
          </w:p>
        </w:tc>
        <w:tc>
          <w:tcPr>
            <w:tcW w:w="681" w:type="pct"/>
            <w:tcBorders>
              <w:bottom w:val="single" w:sz="4" w:space="0" w:color="auto"/>
            </w:tcBorders>
            <w:shd w:val="clear" w:color="auto" w:fill="FFFFFF"/>
          </w:tcPr>
          <w:p w14:paraId="2434078A" w14:textId="68769B96" w:rsidR="00BF1C1B" w:rsidRPr="009D4627" w:rsidRDefault="00BF1C1B"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0.6</w:t>
            </w:r>
            <w:r w:rsidR="00AA3EDA" w:rsidRPr="009D4627">
              <w:rPr>
                <w:color w:val="010205"/>
                <w:sz w:val="22"/>
                <w:szCs w:val="22"/>
                <w:lang w:val="en-MY"/>
              </w:rPr>
              <w:t>5</w:t>
            </w:r>
          </w:p>
        </w:tc>
      </w:tr>
      <w:tr w:rsidR="00B50478" w:rsidRPr="009D4627" w14:paraId="05C1511E" w14:textId="77777777" w:rsidTr="006654E1">
        <w:trPr>
          <w:cantSplit/>
          <w:jc w:val="center"/>
        </w:trPr>
        <w:tc>
          <w:tcPr>
            <w:tcW w:w="942" w:type="pct"/>
            <w:vMerge w:val="restart"/>
            <w:tcBorders>
              <w:top w:val="single" w:sz="4" w:space="0" w:color="auto"/>
            </w:tcBorders>
            <w:shd w:val="clear" w:color="auto" w:fill="FFFFFF"/>
          </w:tcPr>
          <w:p w14:paraId="33369A2D" w14:textId="4443ACFF" w:rsidR="009962E8" w:rsidRPr="009D4627" w:rsidRDefault="009962E8"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RMSE</w:t>
            </w:r>
          </w:p>
        </w:tc>
        <w:tc>
          <w:tcPr>
            <w:tcW w:w="946" w:type="pct"/>
            <w:tcBorders>
              <w:top w:val="single" w:sz="4" w:space="0" w:color="auto"/>
            </w:tcBorders>
            <w:shd w:val="clear" w:color="auto" w:fill="FFFFFF"/>
          </w:tcPr>
          <w:p w14:paraId="50C58BE9" w14:textId="77777777" w:rsidR="009962E8" w:rsidRPr="009D4627" w:rsidRDefault="009962E8"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w:t>
            </w:r>
          </w:p>
        </w:tc>
        <w:tc>
          <w:tcPr>
            <w:tcW w:w="1017" w:type="pct"/>
            <w:tcBorders>
              <w:top w:val="single" w:sz="4" w:space="0" w:color="auto"/>
            </w:tcBorders>
            <w:shd w:val="clear" w:color="auto" w:fill="FFFFFF"/>
          </w:tcPr>
          <w:p w14:paraId="45954223" w14:textId="3F29EECE"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82.6</w:t>
            </w:r>
            <w:r w:rsidR="00C73F6E" w:rsidRPr="009D4627">
              <w:rPr>
                <w:color w:val="010205"/>
                <w:sz w:val="22"/>
                <w:szCs w:val="22"/>
                <w:lang w:val="en-MY"/>
              </w:rPr>
              <w:t>8</w:t>
            </w:r>
          </w:p>
        </w:tc>
        <w:tc>
          <w:tcPr>
            <w:tcW w:w="290" w:type="pct"/>
            <w:tcBorders>
              <w:top w:val="single" w:sz="4" w:space="0" w:color="auto"/>
            </w:tcBorders>
            <w:shd w:val="clear" w:color="auto" w:fill="FFFFFF"/>
          </w:tcPr>
          <w:p w14:paraId="0A17000D" w14:textId="36AE1F1C"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w:t>
            </w:r>
          </w:p>
        </w:tc>
        <w:tc>
          <w:tcPr>
            <w:tcW w:w="523" w:type="pct"/>
            <w:tcBorders>
              <w:top w:val="single" w:sz="4" w:space="0" w:color="auto"/>
            </w:tcBorders>
            <w:shd w:val="clear" w:color="auto" w:fill="FFFFFF"/>
          </w:tcPr>
          <w:p w14:paraId="2F69A334" w14:textId="3BFF42FF"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61.5</w:t>
            </w:r>
            <w:r w:rsidR="00C73F6E" w:rsidRPr="009D4627">
              <w:rPr>
                <w:color w:val="010205"/>
                <w:sz w:val="22"/>
                <w:szCs w:val="22"/>
                <w:lang w:val="en-MY"/>
              </w:rPr>
              <w:t>8</w:t>
            </w:r>
          </w:p>
        </w:tc>
        <w:tc>
          <w:tcPr>
            <w:tcW w:w="600" w:type="pct"/>
            <w:tcBorders>
              <w:top w:val="single" w:sz="4" w:space="0" w:color="auto"/>
            </w:tcBorders>
            <w:shd w:val="clear" w:color="auto" w:fill="FFFFFF"/>
          </w:tcPr>
          <w:p w14:paraId="02A6C960" w14:textId="49F470AA"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21.2</w:t>
            </w:r>
            <w:r w:rsidR="00C73F6E" w:rsidRPr="009D4627">
              <w:rPr>
                <w:color w:val="010205"/>
                <w:sz w:val="22"/>
                <w:szCs w:val="22"/>
                <w:lang w:val="en-MY"/>
              </w:rPr>
              <w:t>1</w:t>
            </w:r>
          </w:p>
        </w:tc>
        <w:tc>
          <w:tcPr>
            <w:tcW w:w="681" w:type="pct"/>
            <w:tcBorders>
              <w:top w:val="single" w:sz="4" w:space="0" w:color="auto"/>
            </w:tcBorders>
            <w:shd w:val="clear" w:color="auto" w:fill="FFFFFF"/>
          </w:tcPr>
          <w:p w14:paraId="5388264A" w14:textId="35FAA9C9" w:rsidR="009962E8" w:rsidRPr="009D4627" w:rsidRDefault="00AA3EDA"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w:t>
            </w:r>
            <w:r w:rsidR="009962E8" w:rsidRPr="009D4627">
              <w:rPr>
                <w:color w:val="010205"/>
                <w:sz w:val="22"/>
                <w:szCs w:val="22"/>
                <w:lang w:val="en-MY"/>
              </w:rPr>
              <w:t>0.01*</w:t>
            </w:r>
          </w:p>
        </w:tc>
      </w:tr>
      <w:tr w:rsidR="00B50478" w:rsidRPr="009D4627" w14:paraId="6AE2C629" w14:textId="77777777" w:rsidTr="006654E1">
        <w:trPr>
          <w:cantSplit/>
          <w:jc w:val="center"/>
        </w:trPr>
        <w:tc>
          <w:tcPr>
            <w:tcW w:w="942" w:type="pct"/>
            <w:vMerge/>
            <w:shd w:val="clear" w:color="auto" w:fill="FFFFFF"/>
          </w:tcPr>
          <w:p w14:paraId="7631F393" w14:textId="77777777"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p>
        </w:tc>
        <w:tc>
          <w:tcPr>
            <w:tcW w:w="946" w:type="pct"/>
            <w:shd w:val="clear" w:color="auto" w:fill="FFFFFF"/>
          </w:tcPr>
          <w:p w14:paraId="755A4A42" w14:textId="77777777" w:rsidR="009962E8" w:rsidRPr="009D4627" w:rsidRDefault="009962E8"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1017" w:type="pct"/>
            <w:shd w:val="clear" w:color="auto" w:fill="FFFFFF"/>
          </w:tcPr>
          <w:p w14:paraId="23DFA98F" w14:textId="1D20EABC"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7.1</w:t>
            </w:r>
            <w:r w:rsidR="00C73F6E" w:rsidRPr="009D4627">
              <w:rPr>
                <w:color w:val="010205"/>
                <w:sz w:val="22"/>
                <w:szCs w:val="22"/>
                <w:lang w:val="en-MY"/>
              </w:rPr>
              <w:t>9</w:t>
            </w:r>
          </w:p>
        </w:tc>
        <w:tc>
          <w:tcPr>
            <w:tcW w:w="290" w:type="pct"/>
            <w:shd w:val="clear" w:color="auto" w:fill="FFFFFF"/>
          </w:tcPr>
          <w:p w14:paraId="567895DC" w14:textId="0BCCFB72"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23" w:type="pct"/>
            <w:shd w:val="clear" w:color="auto" w:fill="FFFFFF"/>
          </w:tcPr>
          <w:p w14:paraId="6B19FAA0" w14:textId="652AB0E9"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4.44</w:t>
            </w:r>
          </w:p>
        </w:tc>
        <w:tc>
          <w:tcPr>
            <w:tcW w:w="600" w:type="pct"/>
            <w:shd w:val="clear" w:color="auto" w:fill="FFFFFF"/>
          </w:tcPr>
          <w:p w14:paraId="5EB0C6EE" w14:textId="345741A6"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3.12</w:t>
            </w:r>
          </w:p>
        </w:tc>
        <w:tc>
          <w:tcPr>
            <w:tcW w:w="681" w:type="pct"/>
            <w:shd w:val="clear" w:color="auto" w:fill="FFFFFF"/>
          </w:tcPr>
          <w:p w14:paraId="3ECC8D93" w14:textId="18912C93"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0.09</w:t>
            </w:r>
          </w:p>
        </w:tc>
      </w:tr>
      <w:tr w:rsidR="00B50478" w:rsidRPr="009D4627" w14:paraId="378B1BBF" w14:textId="77777777" w:rsidTr="006654E1">
        <w:trPr>
          <w:cantSplit/>
          <w:jc w:val="center"/>
        </w:trPr>
        <w:tc>
          <w:tcPr>
            <w:tcW w:w="942" w:type="pct"/>
            <w:vMerge/>
            <w:tcBorders>
              <w:bottom w:val="single" w:sz="4" w:space="0" w:color="auto"/>
            </w:tcBorders>
            <w:shd w:val="clear" w:color="auto" w:fill="FFFFFF"/>
          </w:tcPr>
          <w:p w14:paraId="294EB489" w14:textId="77777777"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p>
        </w:tc>
        <w:tc>
          <w:tcPr>
            <w:tcW w:w="946" w:type="pct"/>
            <w:tcBorders>
              <w:bottom w:val="single" w:sz="4" w:space="0" w:color="auto"/>
            </w:tcBorders>
            <w:shd w:val="clear" w:color="auto" w:fill="FFFFFF"/>
          </w:tcPr>
          <w:p w14:paraId="4B70A8E9" w14:textId="77777777" w:rsidR="009962E8" w:rsidRPr="009D4627" w:rsidRDefault="009962E8"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Frequency*Visit</w:t>
            </w:r>
          </w:p>
        </w:tc>
        <w:tc>
          <w:tcPr>
            <w:tcW w:w="1017" w:type="pct"/>
            <w:tcBorders>
              <w:bottom w:val="single" w:sz="4" w:space="0" w:color="auto"/>
            </w:tcBorders>
            <w:shd w:val="clear" w:color="auto" w:fill="FFFFFF"/>
          </w:tcPr>
          <w:p w14:paraId="3C0CD4E0" w14:textId="416CB8E1"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2.6</w:t>
            </w:r>
            <w:r w:rsidR="00C73F6E" w:rsidRPr="009D4627">
              <w:rPr>
                <w:color w:val="010205"/>
                <w:sz w:val="22"/>
                <w:szCs w:val="22"/>
                <w:lang w:val="en-MY"/>
              </w:rPr>
              <w:t>5</w:t>
            </w:r>
          </w:p>
        </w:tc>
        <w:tc>
          <w:tcPr>
            <w:tcW w:w="290" w:type="pct"/>
            <w:tcBorders>
              <w:bottom w:val="single" w:sz="4" w:space="0" w:color="auto"/>
            </w:tcBorders>
            <w:shd w:val="clear" w:color="auto" w:fill="FFFFFF"/>
          </w:tcPr>
          <w:p w14:paraId="534F743C" w14:textId="123EB650" w:rsidR="009962E8" w:rsidRPr="009D4627" w:rsidRDefault="009962E8"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w:t>
            </w:r>
          </w:p>
        </w:tc>
        <w:tc>
          <w:tcPr>
            <w:tcW w:w="523" w:type="pct"/>
            <w:tcBorders>
              <w:bottom w:val="single" w:sz="4" w:space="0" w:color="auto"/>
            </w:tcBorders>
            <w:shd w:val="clear" w:color="auto" w:fill="FFFFFF"/>
          </w:tcPr>
          <w:p w14:paraId="2A2AF9FD" w14:textId="5036E452"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0.82</w:t>
            </w:r>
          </w:p>
        </w:tc>
        <w:tc>
          <w:tcPr>
            <w:tcW w:w="600" w:type="pct"/>
            <w:tcBorders>
              <w:bottom w:val="single" w:sz="4" w:space="0" w:color="auto"/>
            </w:tcBorders>
            <w:shd w:val="clear" w:color="auto" w:fill="FFFFFF"/>
          </w:tcPr>
          <w:p w14:paraId="4DC530BB" w14:textId="2C0DBB70"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1.3</w:t>
            </w:r>
            <w:r w:rsidR="00C73F6E" w:rsidRPr="009D4627">
              <w:rPr>
                <w:color w:val="010205"/>
                <w:sz w:val="22"/>
                <w:szCs w:val="22"/>
                <w:lang w:val="en-MY"/>
              </w:rPr>
              <w:t>1</w:t>
            </w:r>
          </w:p>
        </w:tc>
        <w:tc>
          <w:tcPr>
            <w:tcW w:w="681" w:type="pct"/>
            <w:tcBorders>
              <w:bottom w:val="single" w:sz="4" w:space="0" w:color="auto"/>
            </w:tcBorders>
            <w:shd w:val="clear" w:color="auto" w:fill="FFFFFF"/>
          </w:tcPr>
          <w:p w14:paraId="20EB5D43" w14:textId="25AD1A38" w:rsidR="009962E8" w:rsidRPr="009D4627" w:rsidRDefault="009962E8"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w:t>
            </w:r>
            <w:r w:rsidR="00AA3EDA" w:rsidRPr="009D4627">
              <w:rPr>
                <w:color w:val="010205"/>
                <w:sz w:val="22"/>
                <w:szCs w:val="22"/>
                <w:lang w:val="en-MY"/>
              </w:rPr>
              <w:t>30</w:t>
            </w:r>
          </w:p>
        </w:tc>
      </w:tr>
      <w:tr w:rsidR="00B50478" w:rsidRPr="009D4627" w14:paraId="17C0BFEA" w14:textId="77777777" w:rsidTr="006654E1">
        <w:trPr>
          <w:cantSplit/>
          <w:jc w:val="center"/>
        </w:trPr>
        <w:tc>
          <w:tcPr>
            <w:tcW w:w="942" w:type="pct"/>
            <w:vMerge w:val="restart"/>
            <w:tcBorders>
              <w:top w:val="single" w:sz="4" w:space="0" w:color="auto"/>
            </w:tcBorders>
            <w:shd w:val="clear" w:color="auto" w:fill="FFFFFF"/>
          </w:tcPr>
          <w:p w14:paraId="24DBBAA3" w14:textId="384F5448" w:rsidR="006654E1" w:rsidRPr="009D4627" w:rsidRDefault="00974B3E" w:rsidP="00A02661">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D</w:t>
            </w:r>
            <w:r w:rsidR="006654E1" w:rsidRPr="009D4627">
              <w:rPr>
                <w:color w:val="010205"/>
                <w:sz w:val="22"/>
                <w:szCs w:val="22"/>
                <w:lang w:val="en-MY"/>
              </w:rPr>
              <w:t>uration</w:t>
            </w:r>
          </w:p>
        </w:tc>
        <w:tc>
          <w:tcPr>
            <w:tcW w:w="946" w:type="pct"/>
            <w:tcBorders>
              <w:top w:val="single" w:sz="4" w:space="0" w:color="auto"/>
            </w:tcBorders>
            <w:shd w:val="clear" w:color="auto" w:fill="FFFFFF"/>
          </w:tcPr>
          <w:p w14:paraId="1C93B817" w14:textId="77777777" w:rsidR="006654E1" w:rsidRPr="009D4627" w:rsidRDefault="006654E1"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w:t>
            </w:r>
          </w:p>
        </w:tc>
        <w:tc>
          <w:tcPr>
            <w:tcW w:w="1017" w:type="pct"/>
            <w:tcBorders>
              <w:top w:val="single" w:sz="4" w:space="0" w:color="auto"/>
            </w:tcBorders>
            <w:shd w:val="clear" w:color="auto" w:fill="FFFFFF"/>
          </w:tcPr>
          <w:p w14:paraId="6A09F8A9" w14:textId="6AD1B78E"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1177560.8</w:t>
            </w:r>
          </w:p>
        </w:tc>
        <w:tc>
          <w:tcPr>
            <w:tcW w:w="290" w:type="pct"/>
            <w:tcBorders>
              <w:top w:val="single" w:sz="4" w:space="0" w:color="auto"/>
            </w:tcBorders>
            <w:shd w:val="clear" w:color="auto" w:fill="FFFFFF"/>
          </w:tcPr>
          <w:p w14:paraId="1B954EFA" w14:textId="07FFEE74"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w:t>
            </w:r>
          </w:p>
        </w:tc>
        <w:tc>
          <w:tcPr>
            <w:tcW w:w="523" w:type="pct"/>
            <w:tcBorders>
              <w:top w:val="single" w:sz="4" w:space="0" w:color="auto"/>
            </w:tcBorders>
            <w:shd w:val="clear" w:color="auto" w:fill="FFFFFF"/>
          </w:tcPr>
          <w:p w14:paraId="4A038FA8" w14:textId="3948BFCF"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392520.3</w:t>
            </w:r>
          </w:p>
        </w:tc>
        <w:tc>
          <w:tcPr>
            <w:tcW w:w="600" w:type="pct"/>
            <w:tcBorders>
              <w:top w:val="single" w:sz="4" w:space="0" w:color="auto"/>
            </w:tcBorders>
            <w:shd w:val="clear" w:color="auto" w:fill="FFFFFF"/>
          </w:tcPr>
          <w:p w14:paraId="05AAFAC6" w14:textId="65C08999"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38.4</w:t>
            </w:r>
            <w:r w:rsidR="00B235EF" w:rsidRPr="009D4627">
              <w:rPr>
                <w:color w:val="010205"/>
                <w:sz w:val="22"/>
                <w:szCs w:val="22"/>
                <w:lang w:val="en-MY"/>
              </w:rPr>
              <w:t>0</w:t>
            </w:r>
          </w:p>
        </w:tc>
        <w:tc>
          <w:tcPr>
            <w:tcW w:w="681" w:type="pct"/>
            <w:tcBorders>
              <w:top w:val="single" w:sz="4" w:space="0" w:color="auto"/>
            </w:tcBorders>
            <w:shd w:val="clear" w:color="auto" w:fill="FFFFFF"/>
          </w:tcPr>
          <w:p w14:paraId="0B633023" w14:textId="0224B942"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&lt;0.01*</w:t>
            </w:r>
          </w:p>
        </w:tc>
      </w:tr>
      <w:tr w:rsidR="00B50478" w:rsidRPr="009D4627" w14:paraId="1EAFD8AA" w14:textId="77777777" w:rsidTr="006654E1">
        <w:trPr>
          <w:cantSplit/>
          <w:jc w:val="center"/>
        </w:trPr>
        <w:tc>
          <w:tcPr>
            <w:tcW w:w="942" w:type="pct"/>
            <w:vMerge/>
            <w:shd w:val="clear" w:color="auto" w:fill="FFFFFF"/>
          </w:tcPr>
          <w:p w14:paraId="141B1764" w14:textId="77777777"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p>
        </w:tc>
        <w:tc>
          <w:tcPr>
            <w:tcW w:w="946" w:type="pct"/>
            <w:shd w:val="clear" w:color="auto" w:fill="FFFFFF"/>
          </w:tcPr>
          <w:p w14:paraId="6E5D1F2F" w14:textId="77777777" w:rsidR="006654E1" w:rsidRPr="009D4627" w:rsidRDefault="006654E1"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1017" w:type="pct"/>
            <w:shd w:val="clear" w:color="auto" w:fill="FFFFFF"/>
          </w:tcPr>
          <w:p w14:paraId="05822F56" w14:textId="74BBF233"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15032.3</w:t>
            </w:r>
          </w:p>
        </w:tc>
        <w:tc>
          <w:tcPr>
            <w:tcW w:w="290" w:type="pct"/>
            <w:shd w:val="clear" w:color="auto" w:fill="FFFFFF"/>
          </w:tcPr>
          <w:p w14:paraId="6E5EA106" w14:textId="6BFC2FFF"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23" w:type="pct"/>
            <w:shd w:val="clear" w:color="auto" w:fill="FFFFFF"/>
          </w:tcPr>
          <w:p w14:paraId="3F545885" w14:textId="7E4BF890"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3758.1</w:t>
            </w:r>
          </w:p>
        </w:tc>
        <w:tc>
          <w:tcPr>
            <w:tcW w:w="600" w:type="pct"/>
            <w:shd w:val="clear" w:color="auto" w:fill="FFFFFF"/>
          </w:tcPr>
          <w:p w14:paraId="21D4AB2D" w14:textId="089DCF20"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0.3</w:t>
            </w:r>
            <w:r w:rsidR="00B235EF" w:rsidRPr="009D4627">
              <w:rPr>
                <w:color w:val="010205"/>
                <w:sz w:val="22"/>
                <w:szCs w:val="22"/>
                <w:lang w:val="en-MY"/>
              </w:rPr>
              <w:t>7</w:t>
            </w:r>
          </w:p>
        </w:tc>
        <w:tc>
          <w:tcPr>
            <w:tcW w:w="681" w:type="pct"/>
            <w:shd w:val="clear" w:color="auto" w:fill="FFFFFF"/>
          </w:tcPr>
          <w:p w14:paraId="76B7B469" w14:textId="002801A3"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0.83</w:t>
            </w:r>
          </w:p>
        </w:tc>
      </w:tr>
      <w:tr w:rsidR="00B50478" w:rsidRPr="009D4627" w14:paraId="526BD1DF" w14:textId="77777777" w:rsidTr="006654E1">
        <w:trPr>
          <w:cantSplit/>
          <w:jc w:val="center"/>
        </w:trPr>
        <w:tc>
          <w:tcPr>
            <w:tcW w:w="942" w:type="pct"/>
            <w:vMerge/>
            <w:tcBorders>
              <w:bottom w:val="single" w:sz="4" w:space="0" w:color="auto"/>
            </w:tcBorders>
            <w:shd w:val="clear" w:color="auto" w:fill="FFFFFF"/>
          </w:tcPr>
          <w:p w14:paraId="5AF483AE" w14:textId="77777777"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p>
        </w:tc>
        <w:tc>
          <w:tcPr>
            <w:tcW w:w="946" w:type="pct"/>
            <w:tcBorders>
              <w:bottom w:val="single" w:sz="4" w:space="0" w:color="auto"/>
            </w:tcBorders>
            <w:shd w:val="clear" w:color="auto" w:fill="FFFFFF"/>
          </w:tcPr>
          <w:p w14:paraId="716C97E8" w14:textId="77777777" w:rsidR="006654E1" w:rsidRPr="009D4627" w:rsidRDefault="006654E1" w:rsidP="00A02661">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Frequency*Visit</w:t>
            </w:r>
          </w:p>
        </w:tc>
        <w:tc>
          <w:tcPr>
            <w:tcW w:w="1017" w:type="pct"/>
            <w:tcBorders>
              <w:bottom w:val="single" w:sz="4" w:space="0" w:color="auto"/>
            </w:tcBorders>
            <w:shd w:val="clear" w:color="auto" w:fill="FFFFFF"/>
          </w:tcPr>
          <w:p w14:paraId="6E0C8196" w14:textId="1E20CD7A"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69022.8</w:t>
            </w:r>
          </w:p>
        </w:tc>
        <w:tc>
          <w:tcPr>
            <w:tcW w:w="290" w:type="pct"/>
            <w:tcBorders>
              <w:bottom w:val="single" w:sz="4" w:space="0" w:color="auto"/>
            </w:tcBorders>
            <w:shd w:val="clear" w:color="auto" w:fill="FFFFFF"/>
          </w:tcPr>
          <w:p w14:paraId="70D43D51" w14:textId="6FC17617" w:rsidR="006654E1" w:rsidRPr="009D4627" w:rsidRDefault="006654E1" w:rsidP="00A02661">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w:t>
            </w:r>
          </w:p>
        </w:tc>
        <w:tc>
          <w:tcPr>
            <w:tcW w:w="523" w:type="pct"/>
            <w:tcBorders>
              <w:bottom w:val="single" w:sz="4" w:space="0" w:color="auto"/>
            </w:tcBorders>
            <w:shd w:val="clear" w:color="auto" w:fill="FFFFFF"/>
          </w:tcPr>
          <w:p w14:paraId="194146F0" w14:textId="7608C110"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5751.9</w:t>
            </w:r>
          </w:p>
        </w:tc>
        <w:tc>
          <w:tcPr>
            <w:tcW w:w="600" w:type="pct"/>
            <w:tcBorders>
              <w:bottom w:val="single" w:sz="4" w:space="0" w:color="auto"/>
            </w:tcBorders>
            <w:shd w:val="clear" w:color="auto" w:fill="FFFFFF"/>
          </w:tcPr>
          <w:p w14:paraId="784B1810" w14:textId="7C541DBE"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0.81</w:t>
            </w:r>
          </w:p>
        </w:tc>
        <w:tc>
          <w:tcPr>
            <w:tcW w:w="681" w:type="pct"/>
            <w:tcBorders>
              <w:bottom w:val="single" w:sz="4" w:space="0" w:color="auto"/>
            </w:tcBorders>
            <w:shd w:val="clear" w:color="auto" w:fill="FFFFFF"/>
          </w:tcPr>
          <w:p w14:paraId="73E70476" w14:textId="5EE9B9DE" w:rsidR="006654E1" w:rsidRPr="009D4627" w:rsidRDefault="006654E1" w:rsidP="00A02661">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0.6</w:t>
            </w:r>
            <w:r w:rsidR="00AA3EDA" w:rsidRPr="009D4627">
              <w:rPr>
                <w:color w:val="010205"/>
                <w:sz w:val="22"/>
                <w:szCs w:val="22"/>
                <w:lang w:val="en-MY"/>
              </w:rPr>
              <w:t>4</w:t>
            </w:r>
          </w:p>
        </w:tc>
      </w:tr>
    </w:tbl>
    <w:p w14:paraId="106C5E2A" w14:textId="77777777" w:rsidR="005D3E5C" w:rsidRPr="00800E68" w:rsidRDefault="005D3E5C" w:rsidP="00CD69ED">
      <w:pPr>
        <w:spacing w:before="0"/>
        <w:jc w:val="center"/>
        <w:rPr>
          <w:i/>
          <w:iCs/>
          <w:color w:val="auto"/>
        </w:rPr>
      </w:pPr>
      <w:r w:rsidRPr="00800E68">
        <w:rPr>
          <w:i/>
          <w:iCs/>
          <w:color w:val="auto"/>
        </w:rPr>
        <w:t xml:space="preserve">* </w:t>
      </w:r>
      <w:r w:rsidRPr="00800E68">
        <w:rPr>
          <w:color w:val="auto"/>
        </w:rPr>
        <w:t xml:space="preserve">Data are significant at </w:t>
      </w:r>
      <w:r w:rsidRPr="00800E68">
        <w:rPr>
          <w:i/>
          <w:iCs/>
          <w:color w:val="auto"/>
        </w:rPr>
        <w:t>p</w:t>
      </w:r>
      <w:r w:rsidRPr="00800E68">
        <w:rPr>
          <w:color w:val="auto"/>
        </w:rPr>
        <w:t>&lt;0.05</w:t>
      </w:r>
    </w:p>
    <w:p w14:paraId="51F23A08" w14:textId="52206954" w:rsidR="00950AD3" w:rsidRPr="009D4627" w:rsidRDefault="00CD69ED" w:rsidP="00CA4E90">
      <w:pPr>
        <w:pStyle w:val="Heading4"/>
      </w:pPr>
      <w:bookmarkStart w:id="500" w:name="_Toc98964715"/>
      <w:bookmarkStart w:id="501" w:name="_Toc103344757"/>
      <w:r w:rsidRPr="009D4627">
        <w:t>Linear regression to predict changes of eye movement with time</w:t>
      </w:r>
      <w:bookmarkEnd w:id="500"/>
      <w:bookmarkEnd w:id="501"/>
    </w:p>
    <w:p w14:paraId="018625C0" w14:textId="38E84F95" w:rsidR="004B58D7" w:rsidRDefault="00D21EB2" w:rsidP="00882592">
      <w:pPr>
        <w:rPr>
          <w:rFonts w:eastAsia="Times New Roman"/>
          <w:color w:val="auto"/>
          <w:lang w:eastAsia="en-MY"/>
        </w:rPr>
      </w:pPr>
      <w:r w:rsidRPr="009D4627">
        <w:rPr>
          <w:rFonts w:eastAsia="Times New Roman"/>
          <w:color w:val="auto"/>
          <w:lang w:eastAsia="en-MY"/>
        </w:rPr>
        <w:t xml:space="preserve">Linear regression analysis was performed to predict the </w:t>
      </w:r>
      <w:r w:rsidR="00BD719C" w:rsidRPr="009D4627">
        <w:rPr>
          <w:rFonts w:eastAsia="Times New Roman"/>
          <w:color w:val="auto"/>
          <w:lang w:eastAsia="en-MY"/>
        </w:rPr>
        <w:t>variability</w:t>
      </w:r>
      <w:r w:rsidRPr="009D4627">
        <w:rPr>
          <w:rFonts w:eastAsia="Times New Roman"/>
          <w:color w:val="auto"/>
          <w:lang w:eastAsia="en-MY"/>
        </w:rPr>
        <w:t xml:space="preserve"> of horizontal SP parameters </w:t>
      </w:r>
      <w:r w:rsidR="00191DDF">
        <w:rPr>
          <w:rFonts w:eastAsia="Times New Roman"/>
          <w:color w:val="auto"/>
          <w:lang w:eastAsia="en-MY"/>
        </w:rPr>
        <w:t>across time (follow-up visit)</w:t>
      </w:r>
      <w:r w:rsidRPr="009D4627">
        <w:rPr>
          <w:rFonts w:eastAsia="Times New Roman"/>
          <w:color w:val="auto"/>
          <w:lang w:eastAsia="en-MY"/>
        </w:rPr>
        <w:t xml:space="preserve">. </w:t>
      </w:r>
      <w:r w:rsidR="00216252" w:rsidRPr="009D4627">
        <w:rPr>
          <w:rFonts w:eastAsia="Times New Roman"/>
          <w:color w:val="auto"/>
          <w:lang w:eastAsia="en-MY"/>
        </w:rPr>
        <w:t xml:space="preserve">The regression models showed that follow-up visit </w:t>
      </w:r>
      <w:r w:rsidR="00CF3D23">
        <w:rPr>
          <w:rFonts w:eastAsia="Times New Roman"/>
          <w:color w:val="auto"/>
          <w:lang w:eastAsia="en-MY"/>
        </w:rPr>
        <w:t xml:space="preserve">could not </w:t>
      </w:r>
      <w:r w:rsidR="00216252" w:rsidRPr="009D4627">
        <w:rPr>
          <w:rFonts w:eastAsia="Times New Roman"/>
          <w:color w:val="auto"/>
          <w:lang w:eastAsia="en-MY"/>
        </w:rPr>
        <w:t>predict the variability in horizontal SP</w:t>
      </w:r>
      <w:r w:rsidR="004B58D7">
        <w:rPr>
          <w:rFonts w:eastAsia="Times New Roman"/>
          <w:color w:val="auto"/>
          <w:lang w:eastAsia="en-MY"/>
        </w:rPr>
        <w:t xml:space="preserve"> gain</w:t>
      </w:r>
      <w:r w:rsidR="00CF3D23">
        <w:rPr>
          <w:rFonts w:eastAsia="Times New Roman"/>
          <w:color w:val="auto"/>
          <w:lang w:eastAsia="en-MY"/>
        </w:rPr>
        <w:t xml:space="preserve"> (</w:t>
      </w:r>
      <w:r w:rsidR="00CF3D23">
        <w:t xml:space="preserve">β = 0.002, </w:t>
      </w:r>
      <w:r w:rsidR="00CF3D23" w:rsidRPr="00EE5A21">
        <w:rPr>
          <w:i/>
          <w:iCs/>
        </w:rPr>
        <w:t>p</w:t>
      </w:r>
      <w:r w:rsidR="00CF3D23">
        <w:t xml:space="preserve"> = &lt;0.01, </w:t>
      </w:r>
      <w:r w:rsidR="00CF3D23" w:rsidRPr="00191DDF">
        <w:rPr>
          <w:i/>
          <w:iCs/>
        </w:rPr>
        <w:t>R</w:t>
      </w:r>
      <w:r w:rsidR="00CF3D23" w:rsidRPr="00191DDF">
        <w:rPr>
          <w:vertAlign w:val="superscript"/>
        </w:rPr>
        <w:t>2</w:t>
      </w:r>
      <w:r w:rsidR="00CF3D23">
        <w:t xml:space="preserve"> = 0.06)</w:t>
      </w:r>
      <w:r w:rsidR="004B58D7">
        <w:rPr>
          <w:rFonts w:eastAsia="Times New Roman"/>
          <w:color w:val="auto"/>
          <w:lang w:eastAsia="en-MY"/>
        </w:rPr>
        <w:t xml:space="preserve">, RMSE </w:t>
      </w:r>
      <w:r w:rsidR="00CF3D23">
        <w:rPr>
          <w:rFonts w:eastAsia="Times New Roman"/>
          <w:color w:val="auto"/>
          <w:lang w:eastAsia="en-MY"/>
        </w:rPr>
        <w:t>(</w:t>
      </w:r>
      <w:r w:rsidR="00CF3D23">
        <w:t xml:space="preserve">β = -0.007, </w:t>
      </w:r>
      <w:r w:rsidR="00CF3D23" w:rsidRPr="00EE5A21">
        <w:rPr>
          <w:i/>
          <w:iCs/>
        </w:rPr>
        <w:t>p</w:t>
      </w:r>
      <w:r w:rsidR="00CF3D23">
        <w:t xml:space="preserve"> = &lt;0.01, </w:t>
      </w:r>
      <w:r w:rsidR="00CF3D23" w:rsidRPr="00191DDF">
        <w:rPr>
          <w:i/>
          <w:iCs/>
        </w:rPr>
        <w:t>R</w:t>
      </w:r>
      <w:r w:rsidR="00CF3D23" w:rsidRPr="00191DDF">
        <w:rPr>
          <w:vertAlign w:val="superscript"/>
        </w:rPr>
        <w:t>2</w:t>
      </w:r>
      <w:r w:rsidR="00CF3D23">
        <w:t xml:space="preserve"> = 0.05) </w:t>
      </w:r>
      <w:r w:rsidR="004B58D7">
        <w:rPr>
          <w:rFonts w:eastAsia="Times New Roman"/>
          <w:color w:val="auto"/>
          <w:lang w:eastAsia="en-MY"/>
        </w:rPr>
        <w:t xml:space="preserve">and duration </w:t>
      </w:r>
      <w:r w:rsidR="00CF3D23">
        <w:rPr>
          <w:rFonts w:eastAsia="Times New Roman"/>
          <w:color w:val="auto"/>
          <w:lang w:eastAsia="en-MY"/>
        </w:rPr>
        <w:t>(</w:t>
      </w:r>
      <w:r w:rsidR="004B58D7">
        <w:t>β = 0.</w:t>
      </w:r>
      <w:r w:rsidR="00CF3D23">
        <w:t>650</w:t>
      </w:r>
      <w:r w:rsidR="004B58D7">
        <w:t xml:space="preserve">, </w:t>
      </w:r>
      <w:r w:rsidR="004B58D7" w:rsidRPr="00EE5A21">
        <w:rPr>
          <w:i/>
          <w:iCs/>
        </w:rPr>
        <w:t>p</w:t>
      </w:r>
      <w:r w:rsidR="004B58D7">
        <w:t xml:space="preserve"> = &lt;0.01, </w:t>
      </w:r>
      <w:r w:rsidR="004B58D7" w:rsidRPr="00191DDF">
        <w:rPr>
          <w:i/>
          <w:iCs/>
        </w:rPr>
        <w:t>R</w:t>
      </w:r>
      <w:r w:rsidR="004B58D7" w:rsidRPr="00191DDF">
        <w:rPr>
          <w:vertAlign w:val="superscript"/>
        </w:rPr>
        <w:t>2</w:t>
      </w:r>
      <w:r w:rsidR="004B58D7">
        <w:t xml:space="preserve"> = 0.0</w:t>
      </w:r>
      <w:r w:rsidR="0071017C">
        <w:t>3</w:t>
      </w:r>
      <w:r w:rsidR="00CF3D23">
        <w:t>) across time.</w:t>
      </w:r>
    </w:p>
    <w:p w14:paraId="06C4F986" w14:textId="16821CE5" w:rsidR="00882592" w:rsidRPr="009D4627" w:rsidRDefault="00882592" w:rsidP="00CA4E90">
      <w:pPr>
        <w:pStyle w:val="Heading4"/>
      </w:pPr>
      <w:bookmarkStart w:id="502" w:name="_Toc98964716"/>
      <w:bookmarkStart w:id="503" w:name="_Toc103344758"/>
      <w:r w:rsidRPr="009D4627">
        <w:lastRenderedPageBreak/>
        <w:t>One-sample t-test to observe the recovery of eye movements</w:t>
      </w:r>
      <w:bookmarkEnd w:id="502"/>
      <w:bookmarkEnd w:id="503"/>
    </w:p>
    <w:p w14:paraId="32B029EA" w14:textId="5372E110" w:rsidR="0056461C" w:rsidRPr="009D4627" w:rsidRDefault="00A02661" w:rsidP="009C4277">
      <w:pPr>
        <w:rPr>
          <w:rFonts w:eastAsia="Times New Roman"/>
          <w:color w:val="auto"/>
          <w:lang w:eastAsia="en-MY"/>
        </w:rPr>
      </w:pPr>
      <w:r w:rsidRPr="009D4627">
        <w:rPr>
          <w:rFonts w:eastAsia="Times New Roman"/>
          <w:color w:val="auto"/>
          <w:lang w:eastAsia="en-MY"/>
        </w:rPr>
        <w:t xml:space="preserve">The analysis was then completed with a one-sample t-test. The analysis was conducted to evaluate if recovery had occurred, the last visit of horizontal SP parameters on the affected eyes was compared to the control mean data. One sample t-test indicated that all horizontal SP parameters were comparable to control data for all frequencies, </w:t>
      </w:r>
      <w:r w:rsidRPr="00974B3E">
        <w:rPr>
          <w:rFonts w:eastAsia="Times New Roman"/>
          <w:i/>
          <w:iCs/>
          <w:color w:val="auto"/>
          <w:lang w:eastAsia="en-MY"/>
        </w:rPr>
        <w:t>p</w:t>
      </w:r>
      <w:r w:rsidRPr="009D4627">
        <w:rPr>
          <w:rFonts w:eastAsia="Times New Roman"/>
          <w:color w:val="auto"/>
          <w:lang w:eastAsia="en-MY"/>
        </w:rPr>
        <w:t>&gt;0.05, showing that the horizontal SP eye movements improved in the ocular nerve palsy group within 16 weeks of the palsy beginning (Table 5.4). In fact, the patients’ RMSE were significantly better than the control by 0.3°.</w:t>
      </w:r>
    </w:p>
    <w:p w14:paraId="0E0EB639" w14:textId="1E3A02A9" w:rsidR="00A72A99" w:rsidRPr="009D4627" w:rsidRDefault="00A72A99" w:rsidP="00C4130D">
      <w:pPr>
        <w:pStyle w:val="Caption"/>
        <w:rPr>
          <w:rFonts w:eastAsia="Times New Roman"/>
          <w:color w:val="auto"/>
        </w:rPr>
      </w:pPr>
      <w:bookmarkStart w:id="504" w:name="_Toc99378018"/>
      <w:r w:rsidRPr="009D4627">
        <w:t>Table 5.</w:t>
      </w:r>
      <w:r w:rsidRPr="009D4627">
        <w:fldChar w:fldCharType="begin"/>
      </w:r>
      <w:r w:rsidRPr="009D4627">
        <w:instrText xml:space="preserve"> SEQ Table_5. \* ARABIC </w:instrText>
      </w:r>
      <w:r w:rsidRPr="009D4627">
        <w:fldChar w:fldCharType="separate"/>
      </w:r>
      <w:r w:rsidR="00E268F6">
        <w:rPr>
          <w:noProof/>
        </w:rPr>
        <w:t>4</w:t>
      </w:r>
      <w:r w:rsidRPr="009D4627">
        <w:fldChar w:fldCharType="end"/>
      </w:r>
      <w:r w:rsidRPr="009D4627">
        <w:t>: One-sample t-test comparing the affected eyes horizontal SP parameters on the fifth visit with the control group at four frequencies.</w:t>
      </w:r>
      <w:bookmarkEnd w:id="504"/>
    </w:p>
    <w:tbl>
      <w:tblPr>
        <w:tblStyle w:val="TableGrid"/>
        <w:tblW w:w="479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1"/>
        <w:gridCol w:w="1588"/>
        <w:gridCol w:w="1141"/>
        <w:gridCol w:w="910"/>
        <w:gridCol w:w="1399"/>
        <w:gridCol w:w="1368"/>
      </w:tblGrid>
      <w:tr w:rsidR="009C4277" w:rsidRPr="009D4627" w14:paraId="7D3862EE" w14:textId="387CD959" w:rsidTr="00A02661">
        <w:trPr>
          <w:jc w:val="center"/>
        </w:trPr>
        <w:tc>
          <w:tcPr>
            <w:tcW w:w="1296" w:type="pct"/>
            <w:tcBorders>
              <w:top w:val="single" w:sz="4" w:space="0" w:color="auto"/>
              <w:bottom w:val="single" w:sz="4" w:space="0" w:color="auto"/>
            </w:tcBorders>
          </w:tcPr>
          <w:p w14:paraId="45E353B0" w14:textId="1161CF18" w:rsidR="009C4277" w:rsidRPr="009D4627" w:rsidRDefault="009C4277" w:rsidP="00A02661">
            <w:pPr>
              <w:spacing w:before="0" w:after="0" w:line="360" w:lineRule="auto"/>
              <w:rPr>
                <w:rFonts w:eastAsia="Times New Roman"/>
                <w:color w:val="auto"/>
                <w:sz w:val="22"/>
                <w:szCs w:val="22"/>
                <w:lang w:eastAsia="en-MY"/>
              </w:rPr>
            </w:pPr>
            <w:bookmarkStart w:id="505" w:name="_Hlk96770087"/>
          </w:p>
        </w:tc>
        <w:tc>
          <w:tcPr>
            <w:tcW w:w="918" w:type="pct"/>
            <w:tcBorders>
              <w:top w:val="single" w:sz="4" w:space="0" w:color="auto"/>
              <w:bottom w:val="single" w:sz="4" w:space="0" w:color="auto"/>
            </w:tcBorders>
          </w:tcPr>
          <w:p w14:paraId="3D0E6845" w14:textId="30AC78BC"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Test value</w:t>
            </w:r>
          </w:p>
        </w:tc>
        <w:tc>
          <w:tcPr>
            <w:tcW w:w="660" w:type="pct"/>
            <w:tcBorders>
              <w:top w:val="single" w:sz="4" w:space="0" w:color="auto"/>
              <w:bottom w:val="single" w:sz="4" w:space="0" w:color="auto"/>
            </w:tcBorders>
          </w:tcPr>
          <w:p w14:paraId="6CC2F708" w14:textId="63A08F39" w:rsidR="009C4277" w:rsidRPr="00974B3E" w:rsidRDefault="009C4277" w:rsidP="00A02661">
            <w:pPr>
              <w:spacing w:before="0" w:after="0" w:line="360" w:lineRule="auto"/>
              <w:jc w:val="left"/>
              <w:rPr>
                <w:rFonts w:eastAsia="Times New Roman"/>
                <w:i/>
                <w:iCs/>
                <w:color w:val="auto"/>
                <w:sz w:val="22"/>
                <w:szCs w:val="22"/>
                <w:lang w:eastAsia="en-MY"/>
              </w:rPr>
            </w:pPr>
            <w:r w:rsidRPr="00974B3E">
              <w:rPr>
                <w:rFonts w:eastAsia="Times New Roman"/>
                <w:i/>
                <w:iCs/>
                <w:color w:val="auto"/>
                <w:sz w:val="22"/>
                <w:szCs w:val="22"/>
                <w:lang w:eastAsia="en-MY"/>
              </w:rPr>
              <w:t>t</w:t>
            </w:r>
          </w:p>
        </w:tc>
        <w:tc>
          <w:tcPr>
            <w:tcW w:w="526" w:type="pct"/>
            <w:tcBorders>
              <w:top w:val="single" w:sz="4" w:space="0" w:color="auto"/>
              <w:bottom w:val="single" w:sz="4" w:space="0" w:color="auto"/>
            </w:tcBorders>
          </w:tcPr>
          <w:p w14:paraId="0E8BD131" w14:textId="5354D4E2" w:rsidR="009C4277" w:rsidRPr="009D4627" w:rsidRDefault="00C52574"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w:t>
            </w:r>
            <w:r w:rsidR="009C4277" w:rsidRPr="009D4627">
              <w:rPr>
                <w:rFonts w:eastAsia="Times New Roman"/>
                <w:color w:val="auto"/>
                <w:sz w:val="22"/>
                <w:szCs w:val="22"/>
                <w:lang w:eastAsia="en-MY"/>
              </w:rPr>
              <w:t>f</w:t>
            </w:r>
          </w:p>
        </w:tc>
        <w:tc>
          <w:tcPr>
            <w:tcW w:w="809" w:type="pct"/>
            <w:tcBorders>
              <w:top w:val="single" w:sz="4" w:space="0" w:color="auto"/>
              <w:bottom w:val="single" w:sz="4" w:space="0" w:color="auto"/>
            </w:tcBorders>
          </w:tcPr>
          <w:p w14:paraId="24E4EBD7" w14:textId="16113D1D" w:rsidR="009C4277" w:rsidRPr="009D4627" w:rsidRDefault="009C4277" w:rsidP="00A02661">
            <w:pPr>
              <w:spacing w:before="0" w:after="0" w:line="360" w:lineRule="auto"/>
              <w:rPr>
                <w:rFonts w:eastAsia="Times New Roman"/>
                <w:color w:val="auto"/>
                <w:sz w:val="22"/>
                <w:szCs w:val="22"/>
                <w:lang w:eastAsia="en-MY"/>
              </w:rPr>
            </w:pPr>
            <w:r w:rsidRPr="00974B3E">
              <w:rPr>
                <w:rFonts w:eastAsia="Times New Roman"/>
                <w:i/>
                <w:iCs/>
                <w:color w:val="auto"/>
                <w:sz w:val="22"/>
                <w:szCs w:val="22"/>
                <w:lang w:eastAsia="en-MY"/>
              </w:rPr>
              <w:t>p</w:t>
            </w:r>
            <w:r w:rsidRPr="009D4627">
              <w:rPr>
                <w:rFonts w:eastAsia="Times New Roman"/>
                <w:color w:val="auto"/>
                <w:sz w:val="22"/>
                <w:szCs w:val="22"/>
                <w:lang w:eastAsia="en-MY"/>
              </w:rPr>
              <w:t>-value</w:t>
            </w:r>
          </w:p>
        </w:tc>
        <w:tc>
          <w:tcPr>
            <w:tcW w:w="791" w:type="pct"/>
            <w:tcBorders>
              <w:top w:val="single" w:sz="4" w:space="0" w:color="auto"/>
              <w:bottom w:val="single" w:sz="4" w:space="0" w:color="auto"/>
            </w:tcBorders>
          </w:tcPr>
          <w:p w14:paraId="28AB08FF" w14:textId="5AD71AF2" w:rsidR="009C4277" w:rsidRPr="009D4627" w:rsidRDefault="007F563B" w:rsidP="00A02661">
            <w:pPr>
              <w:spacing w:before="0" w:after="0" w:line="360" w:lineRule="auto"/>
              <w:rPr>
                <w:rFonts w:eastAsia="Times New Roman"/>
                <w:color w:val="auto"/>
                <w:sz w:val="22"/>
                <w:szCs w:val="22"/>
                <w:lang w:eastAsia="en-MY"/>
              </w:rPr>
            </w:pPr>
            <w:r>
              <w:rPr>
                <w:rFonts w:eastAsia="Times New Roman"/>
                <w:color w:val="auto"/>
                <w:sz w:val="22"/>
                <w:szCs w:val="22"/>
                <w:lang w:eastAsia="en-MY"/>
              </w:rPr>
              <w:t>m</w:t>
            </w:r>
            <w:r w:rsidR="009C4277" w:rsidRPr="009D4627">
              <w:rPr>
                <w:rFonts w:eastAsia="Times New Roman"/>
                <w:color w:val="auto"/>
                <w:sz w:val="22"/>
                <w:szCs w:val="22"/>
                <w:lang w:eastAsia="en-MY"/>
              </w:rPr>
              <w:t>ean diff.</w:t>
            </w:r>
          </w:p>
        </w:tc>
      </w:tr>
      <w:tr w:rsidR="009C4277" w:rsidRPr="009D4627" w14:paraId="4FE0D16C" w14:textId="4484D410" w:rsidTr="00A02661">
        <w:trPr>
          <w:jc w:val="center"/>
        </w:trPr>
        <w:tc>
          <w:tcPr>
            <w:tcW w:w="1296" w:type="pct"/>
            <w:tcBorders>
              <w:top w:val="single" w:sz="4" w:space="0" w:color="auto"/>
            </w:tcBorders>
          </w:tcPr>
          <w:p w14:paraId="672B7DBF" w14:textId="0A58314B"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Gain_0.2 Hz</w:t>
            </w:r>
          </w:p>
        </w:tc>
        <w:tc>
          <w:tcPr>
            <w:tcW w:w="918" w:type="pct"/>
            <w:tcBorders>
              <w:top w:val="single" w:sz="4" w:space="0" w:color="auto"/>
            </w:tcBorders>
          </w:tcPr>
          <w:p w14:paraId="0A83FE54" w14:textId="39845F3E"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0.9</w:t>
            </w:r>
            <w:r w:rsidR="005554B7">
              <w:rPr>
                <w:rFonts w:eastAsia="Times New Roman"/>
                <w:color w:val="auto"/>
                <w:sz w:val="22"/>
                <w:szCs w:val="22"/>
                <w:lang w:eastAsia="en-MY"/>
              </w:rPr>
              <w:t>4</w:t>
            </w:r>
          </w:p>
        </w:tc>
        <w:tc>
          <w:tcPr>
            <w:tcW w:w="660" w:type="pct"/>
            <w:tcBorders>
              <w:top w:val="single" w:sz="4" w:space="0" w:color="auto"/>
            </w:tcBorders>
          </w:tcPr>
          <w:p w14:paraId="04C08C40" w14:textId="0A130D3E" w:rsidR="009C4277" w:rsidRPr="009D4627" w:rsidRDefault="009C4277" w:rsidP="00A02661">
            <w:pPr>
              <w:spacing w:before="0" w:after="0" w:line="360" w:lineRule="auto"/>
              <w:jc w:val="left"/>
              <w:rPr>
                <w:rFonts w:eastAsia="Times New Roman"/>
                <w:color w:val="auto"/>
                <w:sz w:val="22"/>
                <w:szCs w:val="22"/>
                <w:lang w:eastAsia="en-MY"/>
              </w:rPr>
            </w:pPr>
            <w:r w:rsidRPr="009D4627">
              <w:rPr>
                <w:color w:val="010205"/>
                <w:sz w:val="22"/>
                <w:szCs w:val="22"/>
                <w:lang w:val="en-MY"/>
              </w:rPr>
              <w:t>-</w:t>
            </w:r>
            <w:r w:rsidR="00B075BE">
              <w:rPr>
                <w:color w:val="010205"/>
                <w:sz w:val="22"/>
                <w:szCs w:val="22"/>
                <w:lang w:val="en-MY"/>
              </w:rPr>
              <w:t>1.68</w:t>
            </w:r>
          </w:p>
        </w:tc>
        <w:tc>
          <w:tcPr>
            <w:tcW w:w="526" w:type="pct"/>
            <w:tcBorders>
              <w:top w:val="single" w:sz="4" w:space="0" w:color="auto"/>
            </w:tcBorders>
          </w:tcPr>
          <w:p w14:paraId="69D11B69" w14:textId="21694FC6"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Borders>
              <w:top w:val="single" w:sz="4" w:space="0" w:color="auto"/>
            </w:tcBorders>
          </w:tcPr>
          <w:p w14:paraId="161572C6" w14:textId="1D2540BE"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B075BE">
              <w:rPr>
                <w:color w:val="010205"/>
                <w:sz w:val="22"/>
                <w:szCs w:val="22"/>
                <w:lang w:val="en-MY"/>
              </w:rPr>
              <w:t>14</w:t>
            </w:r>
          </w:p>
        </w:tc>
        <w:tc>
          <w:tcPr>
            <w:tcW w:w="791" w:type="pct"/>
            <w:tcBorders>
              <w:top w:val="single" w:sz="4" w:space="0" w:color="auto"/>
            </w:tcBorders>
          </w:tcPr>
          <w:p w14:paraId="36C830D8" w14:textId="51459D0C"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-0.0</w:t>
            </w:r>
            <w:r w:rsidR="00B075BE">
              <w:rPr>
                <w:color w:val="010205"/>
                <w:sz w:val="22"/>
                <w:szCs w:val="22"/>
                <w:lang w:val="en-MY"/>
              </w:rPr>
              <w:t>6</w:t>
            </w:r>
          </w:p>
        </w:tc>
      </w:tr>
      <w:tr w:rsidR="009C4277" w:rsidRPr="009D4627" w14:paraId="3B122A1E" w14:textId="3906AFCD" w:rsidTr="00A02661">
        <w:trPr>
          <w:jc w:val="center"/>
        </w:trPr>
        <w:tc>
          <w:tcPr>
            <w:tcW w:w="1296" w:type="pct"/>
          </w:tcPr>
          <w:p w14:paraId="082C605C" w14:textId="7467C6EF"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Gain_0.4 Hz</w:t>
            </w:r>
          </w:p>
        </w:tc>
        <w:tc>
          <w:tcPr>
            <w:tcW w:w="918" w:type="pct"/>
          </w:tcPr>
          <w:p w14:paraId="297957F4" w14:textId="19509B6A"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0.8</w:t>
            </w:r>
            <w:r w:rsidR="005554B7">
              <w:rPr>
                <w:rFonts w:eastAsia="Times New Roman"/>
                <w:color w:val="auto"/>
                <w:sz w:val="22"/>
                <w:szCs w:val="22"/>
                <w:lang w:eastAsia="en-MY"/>
              </w:rPr>
              <w:t>6</w:t>
            </w:r>
          </w:p>
        </w:tc>
        <w:tc>
          <w:tcPr>
            <w:tcW w:w="660" w:type="pct"/>
          </w:tcPr>
          <w:p w14:paraId="2F2FFDC3" w14:textId="20AF0768" w:rsidR="009C4277" w:rsidRPr="009D4627" w:rsidRDefault="009C4277" w:rsidP="00A02661">
            <w:pPr>
              <w:spacing w:before="0" w:after="0" w:line="360" w:lineRule="auto"/>
              <w:jc w:val="left"/>
              <w:rPr>
                <w:rFonts w:eastAsia="Times New Roman"/>
                <w:color w:val="auto"/>
                <w:sz w:val="22"/>
                <w:szCs w:val="22"/>
                <w:lang w:eastAsia="en-MY"/>
              </w:rPr>
            </w:pPr>
            <w:r w:rsidRPr="009D4627">
              <w:rPr>
                <w:color w:val="010205"/>
                <w:sz w:val="22"/>
                <w:szCs w:val="22"/>
                <w:lang w:val="en-MY"/>
              </w:rPr>
              <w:t>-0.</w:t>
            </w:r>
            <w:r w:rsidR="007F563B">
              <w:rPr>
                <w:color w:val="010205"/>
                <w:sz w:val="22"/>
                <w:szCs w:val="22"/>
                <w:lang w:val="en-MY"/>
              </w:rPr>
              <w:t>7</w:t>
            </w:r>
            <w:r w:rsidR="00B075BE">
              <w:rPr>
                <w:color w:val="010205"/>
                <w:sz w:val="22"/>
                <w:szCs w:val="22"/>
                <w:lang w:val="en-MY"/>
              </w:rPr>
              <w:t>8</w:t>
            </w:r>
          </w:p>
        </w:tc>
        <w:tc>
          <w:tcPr>
            <w:tcW w:w="526" w:type="pct"/>
          </w:tcPr>
          <w:p w14:paraId="5F26FEAD" w14:textId="3F83A7BF"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Pr>
          <w:p w14:paraId="76050EB5" w14:textId="72BB1F62" w:rsidR="009C4277"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9C4277" w:rsidRPr="009D4627">
              <w:rPr>
                <w:color w:val="010205"/>
                <w:sz w:val="22"/>
                <w:szCs w:val="22"/>
                <w:lang w:val="en-MY"/>
              </w:rPr>
              <w:t>.</w:t>
            </w:r>
            <w:r w:rsidR="00B075BE">
              <w:rPr>
                <w:color w:val="010205"/>
                <w:sz w:val="22"/>
                <w:szCs w:val="22"/>
                <w:lang w:val="en-MY"/>
              </w:rPr>
              <w:t>46</w:t>
            </w:r>
          </w:p>
        </w:tc>
        <w:tc>
          <w:tcPr>
            <w:tcW w:w="791" w:type="pct"/>
          </w:tcPr>
          <w:p w14:paraId="50932370" w14:textId="76059014"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-0.0</w:t>
            </w:r>
            <w:r w:rsidR="00B075BE">
              <w:rPr>
                <w:color w:val="010205"/>
                <w:sz w:val="22"/>
                <w:szCs w:val="22"/>
                <w:lang w:val="en-MY"/>
              </w:rPr>
              <w:t>4</w:t>
            </w:r>
          </w:p>
        </w:tc>
      </w:tr>
      <w:tr w:rsidR="00A02661" w:rsidRPr="009D4627" w14:paraId="6ECEE01A" w14:textId="77777777" w:rsidTr="00A02661">
        <w:trPr>
          <w:jc w:val="center"/>
        </w:trPr>
        <w:tc>
          <w:tcPr>
            <w:tcW w:w="1296" w:type="pct"/>
          </w:tcPr>
          <w:p w14:paraId="1CDE5C44" w14:textId="4C47C3F9"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Gain_0.6 Hz</w:t>
            </w:r>
          </w:p>
        </w:tc>
        <w:tc>
          <w:tcPr>
            <w:tcW w:w="918" w:type="pct"/>
          </w:tcPr>
          <w:p w14:paraId="1986562D" w14:textId="769BA4C7"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0.7</w:t>
            </w:r>
            <w:r w:rsidR="005554B7">
              <w:rPr>
                <w:rFonts w:eastAsia="Times New Roman"/>
                <w:color w:val="auto"/>
                <w:sz w:val="22"/>
                <w:szCs w:val="22"/>
                <w:lang w:eastAsia="en-MY"/>
              </w:rPr>
              <w:t>9</w:t>
            </w:r>
          </w:p>
        </w:tc>
        <w:tc>
          <w:tcPr>
            <w:tcW w:w="660" w:type="pct"/>
          </w:tcPr>
          <w:p w14:paraId="51A4BC09" w14:textId="4FAC3F2E" w:rsidR="009C4277" w:rsidRPr="009D4627" w:rsidRDefault="009C4277" w:rsidP="00A02661">
            <w:pPr>
              <w:spacing w:before="0" w:after="0" w:line="360" w:lineRule="auto"/>
              <w:jc w:val="left"/>
              <w:rPr>
                <w:rFonts w:eastAsia="Times New Roman"/>
                <w:color w:val="auto"/>
                <w:sz w:val="22"/>
                <w:szCs w:val="22"/>
                <w:lang w:eastAsia="en-MY"/>
              </w:rPr>
            </w:pPr>
            <w:r w:rsidRPr="009D4627">
              <w:rPr>
                <w:color w:val="010205"/>
                <w:sz w:val="22"/>
                <w:szCs w:val="22"/>
                <w:lang w:val="en-MY"/>
              </w:rPr>
              <w:t>-2.</w:t>
            </w:r>
            <w:r w:rsidR="00B075BE">
              <w:rPr>
                <w:color w:val="010205"/>
                <w:sz w:val="22"/>
                <w:szCs w:val="22"/>
                <w:lang w:val="en-MY"/>
              </w:rPr>
              <w:t>42</w:t>
            </w:r>
          </w:p>
        </w:tc>
        <w:tc>
          <w:tcPr>
            <w:tcW w:w="526" w:type="pct"/>
          </w:tcPr>
          <w:p w14:paraId="37CE8E3F" w14:textId="639EFE0E"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Pr>
          <w:p w14:paraId="0A33CCB9" w14:textId="7EBFC03F"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0.0</w:t>
            </w:r>
            <w:r w:rsidR="00B075BE">
              <w:rPr>
                <w:color w:val="010205"/>
                <w:sz w:val="22"/>
                <w:szCs w:val="22"/>
                <w:lang w:val="en-MY"/>
              </w:rPr>
              <w:t>5</w:t>
            </w:r>
          </w:p>
        </w:tc>
        <w:tc>
          <w:tcPr>
            <w:tcW w:w="791" w:type="pct"/>
          </w:tcPr>
          <w:p w14:paraId="004193C7" w14:textId="29FF4014"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-0.1</w:t>
            </w:r>
            <w:r w:rsidR="00B075BE">
              <w:rPr>
                <w:color w:val="010205"/>
                <w:sz w:val="22"/>
                <w:szCs w:val="22"/>
                <w:lang w:val="en-MY"/>
              </w:rPr>
              <w:t>8</w:t>
            </w:r>
          </w:p>
        </w:tc>
      </w:tr>
      <w:tr w:rsidR="009C4277" w:rsidRPr="009D4627" w14:paraId="661730B0" w14:textId="37C362F8" w:rsidTr="00A02661">
        <w:trPr>
          <w:jc w:val="center"/>
        </w:trPr>
        <w:tc>
          <w:tcPr>
            <w:tcW w:w="1296" w:type="pct"/>
            <w:tcBorders>
              <w:bottom w:val="single" w:sz="4" w:space="0" w:color="auto"/>
            </w:tcBorders>
          </w:tcPr>
          <w:p w14:paraId="693AF6CA" w14:textId="7835F8C0"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Gain_0.8 Hz</w:t>
            </w:r>
          </w:p>
        </w:tc>
        <w:tc>
          <w:tcPr>
            <w:tcW w:w="918" w:type="pct"/>
            <w:tcBorders>
              <w:bottom w:val="single" w:sz="4" w:space="0" w:color="auto"/>
            </w:tcBorders>
          </w:tcPr>
          <w:p w14:paraId="161A88B0" w14:textId="3F1D9A49" w:rsidR="009C4277" w:rsidRPr="009D4627" w:rsidRDefault="009C4277"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0.6</w:t>
            </w:r>
            <w:r w:rsidR="005554B7">
              <w:rPr>
                <w:rFonts w:eastAsia="Times New Roman"/>
                <w:color w:val="auto"/>
                <w:sz w:val="22"/>
                <w:szCs w:val="22"/>
                <w:lang w:eastAsia="en-MY"/>
              </w:rPr>
              <w:t>7</w:t>
            </w:r>
          </w:p>
        </w:tc>
        <w:tc>
          <w:tcPr>
            <w:tcW w:w="660" w:type="pct"/>
            <w:tcBorders>
              <w:bottom w:val="single" w:sz="4" w:space="0" w:color="auto"/>
            </w:tcBorders>
          </w:tcPr>
          <w:p w14:paraId="12FA9198" w14:textId="3AEAE82E" w:rsidR="009C4277" w:rsidRPr="009D4627" w:rsidRDefault="009C4277" w:rsidP="00A02661">
            <w:pPr>
              <w:spacing w:before="0" w:after="0" w:line="360" w:lineRule="auto"/>
              <w:jc w:val="left"/>
              <w:rPr>
                <w:rFonts w:eastAsia="Times New Roman"/>
                <w:color w:val="auto"/>
                <w:sz w:val="22"/>
                <w:szCs w:val="22"/>
                <w:lang w:eastAsia="en-MY"/>
              </w:rPr>
            </w:pPr>
            <w:r w:rsidRPr="009D4627">
              <w:rPr>
                <w:color w:val="010205"/>
                <w:sz w:val="22"/>
                <w:szCs w:val="22"/>
                <w:lang w:val="en-MY"/>
              </w:rPr>
              <w:t>-</w:t>
            </w:r>
            <w:r w:rsidR="00B075BE">
              <w:rPr>
                <w:color w:val="010205"/>
                <w:sz w:val="22"/>
                <w:szCs w:val="22"/>
                <w:lang w:val="en-MY"/>
              </w:rPr>
              <w:t>2</w:t>
            </w:r>
            <w:r w:rsidRPr="009D4627">
              <w:rPr>
                <w:color w:val="010205"/>
                <w:sz w:val="22"/>
                <w:szCs w:val="22"/>
                <w:lang w:val="en-MY"/>
              </w:rPr>
              <w:t>.</w:t>
            </w:r>
            <w:r w:rsidR="00B075BE">
              <w:rPr>
                <w:color w:val="010205"/>
                <w:sz w:val="22"/>
                <w:szCs w:val="22"/>
                <w:lang w:val="en-MY"/>
              </w:rPr>
              <w:t>24</w:t>
            </w:r>
          </w:p>
        </w:tc>
        <w:tc>
          <w:tcPr>
            <w:tcW w:w="526" w:type="pct"/>
            <w:tcBorders>
              <w:bottom w:val="single" w:sz="4" w:space="0" w:color="auto"/>
            </w:tcBorders>
          </w:tcPr>
          <w:p w14:paraId="31B03CE7" w14:textId="67D24CCD"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Borders>
              <w:bottom w:val="single" w:sz="4" w:space="0" w:color="auto"/>
            </w:tcBorders>
          </w:tcPr>
          <w:p w14:paraId="511D24BC" w14:textId="77B47A64"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B075BE">
              <w:rPr>
                <w:color w:val="010205"/>
                <w:sz w:val="22"/>
                <w:szCs w:val="22"/>
                <w:lang w:val="en-MY"/>
              </w:rPr>
              <w:t>06</w:t>
            </w:r>
          </w:p>
        </w:tc>
        <w:tc>
          <w:tcPr>
            <w:tcW w:w="791" w:type="pct"/>
            <w:tcBorders>
              <w:bottom w:val="single" w:sz="4" w:space="0" w:color="auto"/>
            </w:tcBorders>
          </w:tcPr>
          <w:p w14:paraId="5DB8916B" w14:textId="60CF9AFF" w:rsidR="009C4277" w:rsidRPr="009D4627" w:rsidRDefault="009C4277"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B075BE">
              <w:rPr>
                <w:color w:val="010205"/>
                <w:sz w:val="22"/>
                <w:szCs w:val="22"/>
                <w:lang w:val="en-MY"/>
              </w:rPr>
              <w:t>17</w:t>
            </w:r>
          </w:p>
        </w:tc>
      </w:tr>
      <w:bookmarkEnd w:id="505"/>
      <w:tr w:rsidR="00A02661" w:rsidRPr="009D4627" w14:paraId="5F38006D" w14:textId="77777777" w:rsidTr="00A02661">
        <w:trPr>
          <w:jc w:val="center"/>
        </w:trPr>
        <w:tc>
          <w:tcPr>
            <w:tcW w:w="1296" w:type="pct"/>
            <w:tcBorders>
              <w:top w:val="single" w:sz="4" w:space="0" w:color="auto"/>
            </w:tcBorders>
          </w:tcPr>
          <w:p w14:paraId="64EDDF0C" w14:textId="545778BC" w:rsidR="00A02661" w:rsidRPr="009D4627" w:rsidRDefault="00A02661"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RMSE_0.2 Hz</w:t>
            </w:r>
          </w:p>
        </w:tc>
        <w:tc>
          <w:tcPr>
            <w:tcW w:w="918" w:type="pct"/>
            <w:tcBorders>
              <w:top w:val="single" w:sz="4" w:space="0" w:color="auto"/>
            </w:tcBorders>
          </w:tcPr>
          <w:p w14:paraId="1492C9DF" w14:textId="1FE78C63" w:rsidR="00A02661" w:rsidRPr="009D4627" w:rsidRDefault="007F563B" w:rsidP="00A02661">
            <w:pPr>
              <w:spacing w:before="0" w:after="0" w:line="360" w:lineRule="auto"/>
              <w:rPr>
                <w:rFonts w:eastAsia="Times New Roman"/>
                <w:color w:val="auto"/>
                <w:sz w:val="22"/>
                <w:szCs w:val="22"/>
                <w:lang w:eastAsia="en-MY"/>
              </w:rPr>
            </w:pPr>
            <w:r>
              <w:rPr>
                <w:rFonts w:eastAsia="Times New Roman"/>
                <w:color w:val="auto"/>
                <w:sz w:val="22"/>
                <w:szCs w:val="22"/>
                <w:lang w:eastAsia="en-MY"/>
              </w:rPr>
              <w:t>0.61</w:t>
            </w:r>
          </w:p>
        </w:tc>
        <w:tc>
          <w:tcPr>
            <w:tcW w:w="660" w:type="pct"/>
            <w:tcBorders>
              <w:top w:val="single" w:sz="4" w:space="0" w:color="auto"/>
            </w:tcBorders>
          </w:tcPr>
          <w:p w14:paraId="5E5722D0" w14:textId="7FC9E24D" w:rsidR="00A02661" w:rsidRPr="009D4627" w:rsidRDefault="00A02661" w:rsidP="00A02661">
            <w:pPr>
              <w:spacing w:before="0" w:after="0" w:line="360" w:lineRule="auto"/>
              <w:jc w:val="left"/>
              <w:rPr>
                <w:rFonts w:eastAsia="Times New Roman"/>
                <w:color w:val="auto"/>
                <w:sz w:val="22"/>
                <w:szCs w:val="22"/>
                <w:lang w:eastAsia="en-MY"/>
              </w:rPr>
            </w:pPr>
            <w:r w:rsidRPr="009D4627">
              <w:rPr>
                <w:color w:val="010205"/>
                <w:sz w:val="22"/>
                <w:szCs w:val="22"/>
                <w:lang w:val="en-MY"/>
              </w:rPr>
              <w:t>-</w:t>
            </w:r>
            <w:r w:rsidR="007F563B">
              <w:rPr>
                <w:color w:val="010205"/>
                <w:sz w:val="22"/>
                <w:szCs w:val="22"/>
                <w:lang w:val="en-MY"/>
              </w:rPr>
              <w:t>1.31</w:t>
            </w:r>
          </w:p>
        </w:tc>
        <w:tc>
          <w:tcPr>
            <w:tcW w:w="526" w:type="pct"/>
            <w:tcBorders>
              <w:top w:val="single" w:sz="4" w:space="0" w:color="auto"/>
            </w:tcBorders>
          </w:tcPr>
          <w:p w14:paraId="4FDF653F" w14:textId="6F268B75"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Borders>
              <w:top w:val="single" w:sz="4" w:space="0" w:color="auto"/>
            </w:tcBorders>
          </w:tcPr>
          <w:p w14:paraId="483BFA01" w14:textId="30D7B6FC" w:rsidR="00A02661" w:rsidRPr="009D4627" w:rsidRDefault="007F563B" w:rsidP="00A02661">
            <w:pPr>
              <w:spacing w:before="0" w:after="0" w:line="360" w:lineRule="auto"/>
              <w:rPr>
                <w:rFonts w:eastAsia="Times New Roman"/>
                <w:color w:val="auto"/>
                <w:sz w:val="22"/>
                <w:szCs w:val="22"/>
                <w:lang w:eastAsia="en-MY"/>
              </w:rPr>
            </w:pPr>
            <w:r>
              <w:rPr>
                <w:rFonts w:eastAsia="Times New Roman"/>
                <w:color w:val="auto"/>
                <w:sz w:val="22"/>
                <w:szCs w:val="22"/>
                <w:lang w:eastAsia="en-MY"/>
              </w:rPr>
              <w:t>0.23</w:t>
            </w:r>
          </w:p>
        </w:tc>
        <w:tc>
          <w:tcPr>
            <w:tcW w:w="791" w:type="pct"/>
            <w:tcBorders>
              <w:top w:val="single" w:sz="4" w:space="0" w:color="auto"/>
            </w:tcBorders>
          </w:tcPr>
          <w:p w14:paraId="3FF2C338" w14:textId="1EE171ED" w:rsidR="00A02661" w:rsidRPr="009D4627" w:rsidRDefault="007F563B" w:rsidP="00A02661">
            <w:pPr>
              <w:spacing w:before="0" w:after="0" w:line="360" w:lineRule="auto"/>
              <w:rPr>
                <w:rFonts w:eastAsia="Times New Roman"/>
                <w:color w:val="auto"/>
                <w:sz w:val="22"/>
                <w:szCs w:val="22"/>
                <w:lang w:eastAsia="en-MY"/>
              </w:rPr>
            </w:pPr>
            <w:r>
              <w:rPr>
                <w:color w:val="010205"/>
                <w:sz w:val="22"/>
                <w:szCs w:val="22"/>
                <w:lang w:val="en-MY"/>
              </w:rPr>
              <w:t>-0.10</w:t>
            </w:r>
          </w:p>
        </w:tc>
      </w:tr>
      <w:tr w:rsidR="00A02661" w:rsidRPr="009D4627" w14:paraId="53217DCF" w14:textId="77777777" w:rsidTr="00A02661">
        <w:trPr>
          <w:jc w:val="center"/>
        </w:trPr>
        <w:tc>
          <w:tcPr>
            <w:tcW w:w="1296" w:type="pct"/>
          </w:tcPr>
          <w:p w14:paraId="02754193" w14:textId="1CE1C9E8" w:rsidR="00A02661" w:rsidRPr="009D4627" w:rsidRDefault="00A02661"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RMSE_0.4 Hz</w:t>
            </w:r>
          </w:p>
        </w:tc>
        <w:tc>
          <w:tcPr>
            <w:tcW w:w="918" w:type="pct"/>
          </w:tcPr>
          <w:p w14:paraId="67614E0F" w14:textId="3F31A249" w:rsidR="00A02661" w:rsidRPr="009D4627" w:rsidRDefault="007F563B" w:rsidP="00A02661">
            <w:pPr>
              <w:spacing w:before="0" w:after="0" w:line="360" w:lineRule="auto"/>
              <w:rPr>
                <w:rFonts w:eastAsia="Times New Roman"/>
                <w:color w:val="auto"/>
                <w:sz w:val="22"/>
                <w:szCs w:val="22"/>
                <w:lang w:eastAsia="en-MY"/>
              </w:rPr>
            </w:pPr>
            <w:r>
              <w:rPr>
                <w:rFonts w:eastAsia="Times New Roman"/>
                <w:color w:val="auto"/>
                <w:sz w:val="22"/>
                <w:szCs w:val="22"/>
                <w:lang w:eastAsia="en-MY"/>
              </w:rPr>
              <w:t>0.83</w:t>
            </w:r>
          </w:p>
        </w:tc>
        <w:tc>
          <w:tcPr>
            <w:tcW w:w="660" w:type="pct"/>
          </w:tcPr>
          <w:p w14:paraId="1AFC955B" w14:textId="1148597C" w:rsidR="00A02661" w:rsidRPr="009D4627" w:rsidRDefault="00A02661" w:rsidP="00A02661">
            <w:pPr>
              <w:spacing w:before="0" w:after="0" w:line="360" w:lineRule="auto"/>
              <w:jc w:val="left"/>
              <w:rPr>
                <w:rFonts w:eastAsia="Times New Roman"/>
                <w:color w:val="auto"/>
                <w:sz w:val="22"/>
                <w:szCs w:val="22"/>
                <w:lang w:eastAsia="en-MY"/>
              </w:rPr>
            </w:pPr>
            <w:r w:rsidRPr="009D4627">
              <w:rPr>
                <w:color w:val="010205"/>
                <w:sz w:val="22"/>
                <w:szCs w:val="22"/>
                <w:lang w:val="en-MY"/>
              </w:rPr>
              <w:t>0.47</w:t>
            </w:r>
          </w:p>
        </w:tc>
        <w:tc>
          <w:tcPr>
            <w:tcW w:w="526" w:type="pct"/>
          </w:tcPr>
          <w:p w14:paraId="66FA90DC" w14:textId="1680031C"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Pr>
          <w:p w14:paraId="359428BB" w14:textId="59CF724E"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7F563B">
              <w:rPr>
                <w:color w:val="010205"/>
                <w:sz w:val="22"/>
                <w:szCs w:val="22"/>
                <w:lang w:val="en-MY"/>
              </w:rPr>
              <w:t>65</w:t>
            </w:r>
          </w:p>
        </w:tc>
        <w:tc>
          <w:tcPr>
            <w:tcW w:w="791" w:type="pct"/>
          </w:tcPr>
          <w:p w14:paraId="0FEB5B7D" w14:textId="2CC59B55"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7F563B">
              <w:rPr>
                <w:color w:val="010205"/>
                <w:sz w:val="22"/>
                <w:szCs w:val="22"/>
                <w:lang w:val="en-MY"/>
              </w:rPr>
              <w:t>12</w:t>
            </w:r>
          </w:p>
        </w:tc>
      </w:tr>
      <w:tr w:rsidR="00A02661" w:rsidRPr="009D4627" w14:paraId="066B5968" w14:textId="77777777" w:rsidTr="00A02661">
        <w:trPr>
          <w:jc w:val="center"/>
        </w:trPr>
        <w:tc>
          <w:tcPr>
            <w:tcW w:w="1296" w:type="pct"/>
          </w:tcPr>
          <w:p w14:paraId="46E45F44" w14:textId="22A4E37F" w:rsidR="00A02661" w:rsidRPr="009D4627" w:rsidRDefault="00A02661"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RMSE_0.6 Hz</w:t>
            </w:r>
          </w:p>
        </w:tc>
        <w:tc>
          <w:tcPr>
            <w:tcW w:w="918" w:type="pct"/>
          </w:tcPr>
          <w:p w14:paraId="42279137" w14:textId="2DC4F4D4" w:rsidR="00A02661" w:rsidRPr="009D4627" w:rsidRDefault="007F563B" w:rsidP="00A02661">
            <w:pPr>
              <w:spacing w:before="0" w:after="0" w:line="360" w:lineRule="auto"/>
              <w:rPr>
                <w:rFonts w:eastAsia="Times New Roman"/>
                <w:color w:val="auto"/>
                <w:sz w:val="22"/>
                <w:szCs w:val="22"/>
                <w:lang w:eastAsia="en-MY"/>
              </w:rPr>
            </w:pPr>
            <w:r>
              <w:rPr>
                <w:rFonts w:eastAsia="Times New Roman"/>
                <w:color w:val="auto"/>
                <w:sz w:val="22"/>
                <w:szCs w:val="22"/>
                <w:lang w:eastAsia="en-MY"/>
              </w:rPr>
              <w:t>1.08</w:t>
            </w:r>
          </w:p>
        </w:tc>
        <w:tc>
          <w:tcPr>
            <w:tcW w:w="660" w:type="pct"/>
          </w:tcPr>
          <w:p w14:paraId="02FAB8D6" w14:textId="48F96497" w:rsidR="00A02661" w:rsidRPr="009D4627" w:rsidRDefault="007F563B" w:rsidP="00A02661">
            <w:pPr>
              <w:spacing w:before="0" w:after="0" w:line="360" w:lineRule="auto"/>
              <w:jc w:val="left"/>
              <w:rPr>
                <w:rFonts w:eastAsia="Times New Roman"/>
                <w:color w:val="auto"/>
                <w:sz w:val="22"/>
                <w:szCs w:val="22"/>
                <w:lang w:eastAsia="en-MY"/>
              </w:rPr>
            </w:pPr>
            <w:r>
              <w:rPr>
                <w:color w:val="010205"/>
                <w:sz w:val="22"/>
                <w:szCs w:val="22"/>
                <w:lang w:val="en-MY"/>
              </w:rPr>
              <w:t>1.3</w:t>
            </w:r>
            <w:r w:rsidR="00A02661" w:rsidRPr="009D4627">
              <w:rPr>
                <w:color w:val="010205"/>
                <w:sz w:val="22"/>
                <w:szCs w:val="22"/>
                <w:lang w:val="en-MY"/>
              </w:rPr>
              <w:t>4</w:t>
            </w:r>
          </w:p>
        </w:tc>
        <w:tc>
          <w:tcPr>
            <w:tcW w:w="526" w:type="pct"/>
          </w:tcPr>
          <w:p w14:paraId="679192A7" w14:textId="1FF6F77C"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Pr>
          <w:p w14:paraId="56B3F140" w14:textId="7336FE05"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3A36F2">
              <w:rPr>
                <w:color w:val="010205"/>
                <w:sz w:val="22"/>
                <w:szCs w:val="22"/>
                <w:lang w:val="en-MY"/>
              </w:rPr>
              <w:t>22</w:t>
            </w:r>
          </w:p>
        </w:tc>
        <w:tc>
          <w:tcPr>
            <w:tcW w:w="791" w:type="pct"/>
          </w:tcPr>
          <w:p w14:paraId="503B1A43" w14:textId="75FCE88D"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3A36F2">
              <w:rPr>
                <w:color w:val="010205"/>
                <w:sz w:val="22"/>
                <w:szCs w:val="22"/>
                <w:lang w:val="en-MY"/>
              </w:rPr>
              <w:t>27</w:t>
            </w:r>
          </w:p>
        </w:tc>
      </w:tr>
      <w:tr w:rsidR="00A02661" w:rsidRPr="009D4627" w14:paraId="10F87CE0" w14:textId="77777777" w:rsidTr="00A02661">
        <w:trPr>
          <w:jc w:val="center"/>
        </w:trPr>
        <w:tc>
          <w:tcPr>
            <w:tcW w:w="1296" w:type="pct"/>
            <w:tcBorders>
              <w:bottom w:val="single" w:sz="4" w:space="0" w:color="auto"/>
            </w:tcBorders>
          </w:tcPr>
          <w:p w14:paraId="5F518ED2" w14:textId="46D4B192" w:rsidR="00A02661" w:rsidRPr="009D4627" w:rsidRDefault="00A02661" w:rsidP="00A02661">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RMSE_0.8 Hz</w:t>
            </w:r>
          </w:p>
        </w:tc>
        <w:tc>
          <w:tcPr>
            <w:tcW w:w="918" w:type="pct"/>
            <w:tcBorders>
              <w:bottom w:val="single" w:sz="4" w:space="0" w:color="auto"/>
            </w:tcBorders>
          </w:tcPr>
          <w:p w14:paraId="56E0F64A" w14:textId="4174F7E5" w:rsidR="00A02661" w:rsidRPr="009D4627" w:rsidRDefault="007F563B" w:rsidP="00A02661">
            <w:pPr>
              <w:spacing w:before="0" w:after="0" w:line="360" w:lineRule="auto"/>
              <w:rPr>
                <w:rFonts w:eastAsia="Times New Roman"/>
                <w:color w:val="auto"/>
                <w:sz w:val="22"/>
                <w:szCs w:val="22"/>
                <w:lang w:eastAsia="en-MY"/>
              </w:rPr>
            </w:pPr>
            <w:r>
              <w:rPr>
                <w:rFonts w:eastAsia="Times New Roman"/>
                <w:color w:val="auto"/>
                <w:sz w:val="22"/>
                <w:szCs w:val="22"/>
                <w:lang w:eastAsia="en-MY"/>
              </w:rPr>
              <w:t>1.39</w:t>
            </w:r>
          </w:p>
        </w:tc>
        <w:tc>
          <w:tcPr>
            <w:tcW w:w="660" w:type="pct"/>
            <w:tcBorders>
              <w:bottom w:val="single" w:sz="4" w:space="0" w:color="auto"/>
            </w:tcBorders>
          </w:tcPr>
          <w:p w14:paraId="0F555339" w14:textId="3A9B4048" w:rsidR="00A02661" w:rsidRPr="009D4627" w:rsidRDefault="003A36F2" w:rsidP="00A02661">
            <w:pPr>
              <w:spacing w:before="0" w:after="0" w:line="360" w:lineRule="auto"/>
              <w:jc w:val="left"/>
              <w:rPr>
                <w:rFonts w:eastAsia="Times New Roman"/>
                <w:color w:val="auto"/>
                <w:sz w:val="22"/>
                <w:szCs w:val="22"/>
                <w:lang w:eastAsia="en-MY"/>
              </w:rPr>
            </w:pPr>
            <w:r>
              <w:rPr>
                <w:rFonts w:eastAsia="Times New Roman"/>
                <w:color w:val="auto"/>
                <w:sz w:val="22"/>
                <w:szCs w:val="22"/>
                <w:lang w:eastAsia="en-MY"/>
              </w:rPr>
              <w:t>2.16</w:t>
            </w:r>
          </w:p>
        </w:tc>
        <w:tc>
          <w:tcPr>
            <w:tcW w:w="526" w:type="pct"/>
            <w:tcBorders>
              <w:bottom w:val="single" w:sz="4" w:space="0" w:color="auto"/>
            </w:tcBorders>
          </w:tcPr>
          <w:p w14:paraId="5766591E" w14:textId="4CB83ADA"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Borders>
              <w:bottom w:val="single" w:sz="4" w:space="0" w:color="auto"/>
            </w:tcBorders>
          </w:tcPr>
          <w:p w14:paraId="0C75C292" w14:textId="6C33A5DF"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3A36F2">
              <w:rPr>
                <w:color w:val="010205"/>
                <w:sz w:val="22"/>
                <w:szCs w:val="22"/>
                <w:lang w:val="en-MY"/>
              </w:rPr>
              <w:t>0</w:t>
            </w:r>
            <w:r w:rsidRPr="009D4627">
              <w:rPr>
                <w:color w:val="010205"/>
                <w:sz w:val="22"/>
                <w:szCs w:val="22"/>
                <w:lang w:val="en-MY"/>
              </w:rPr>
              <w:t>7</w:t>
            </w:r>
          </w:p>
        </w:tc>
        <w:tc>
          <w:tcPr>
            <w:tcW w:w="791" w:type="pct"/>
            <w:tcBorders>
              <w:bottom w:val="single" w:sz="4" w:space="0" w:color="auto"/>
            </w:tcBorders>
          </w:tcPr>
          <w:p w14:paraId="1CB61962" w14:textId="3A6D455B" w:rsidR="00A02661" w:rsidRPr="009D4627" w:rsidRDefault="00A02661" w:rsidP="00A02661">
            <w:pPr>
              <w:spacing w:before="0" w:after="0" w:line="360" w:lineRule="auto"/>
              <w:rPr>
                <w:rFonts w:eastAsia="Times New Roman"/>
                <w:color w:val="auto"/>
                <w:sz w:val="22"/>
                <w:szCs w:val="22"/>
                <w:lang w:eastAsia="en-MY"/>
              </w:rPr>
            </w:pPr>
            <w:r w:rsidRPr="009D4627">
              <w:rPr>
                <w:color w:val="010205"/>
                <w:sz w:val="22"/>
                <w:szCs w:val="22"/>
                <w:lang w:val="en-MY"/>
              </w:rPr>
              <w:t>0.</w:t>
            </w:r>
            <w:r w:rsidR="003A36F2">
              <w:rPr>
                <w:color w:val="010205"/>
                <w:sz w:val="22"/>
                <w:szCs w:val="22"/>
                <w:lang w:val="en-MY"/>
              </w:rPr>
              <w:t>71</w:t>
            </w:r>
          </w:p>
        </w:tc>
      </w:tr>
      <w:tr w:rsidR="00005390" w:rsidRPr="009D4627" w14:paraId="489ACDA5" w14:textId="77777777" w:rsidTr="00281A92">
        <w:trPr>
          <w:jc w:val="center"/>
        </w:trPr>
        <w:tc>
          <w:tcPr>
            <w:tcW w:w="1296" w:type="pct"/>
            <w:tcBorders>
              <w:top w:val="single" w:sz="4" w:space="0" w:color="auto"/>
            </w:tcBorders>
          </w:tcPr>
          <w:p w14:paraId="2DEAABCF" w14:textId="59086E92" w:rsidR="00005390" w:rsidRPr="009D4627" w:rsidRDefault="00005390" w:rsidP="00005390">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Duration_0.2 Hz</w:t>
            </w:r>
          </w:p>
        </w:tc>
        <w:tc>
          <w:tcPr>
            <w:tcW w:w="918" w:type="pct"/>
            <w:tcBorders>
              <w:top w:val="single" w:sz="4" w:space="0" w:color="auto"/>
            </w:tcBorders>
          </w:tcPr>
          <w:p w14:paraId="1ECE0023" w14:textId="1E8D365E" w:rsidR="00005390" w:rsidRPr="009D4627" w:rsidRDefault="00752FD8" w:rsidP="00005390">
            <w:pPr>
              <w:spacing w:before="0" w:after="0" w:line="360" w:lineRule="auto"/>
              <w:rPr>
                <w:rFonts w:eastAsia="Times New Roman"/>
                <w:color w:val="auto"/>
                <w:sz w:val="22"/>
                <w:szCs w:val="22"/>
                <w:lang w:eastAsia="en-MY"/>
              </w:rPr>
            </w:pPr>
            <w:r>
              <w:rPr>
                <w:rFonts w:eastAsia="Times New Roman"/>
                <w:color w:val="auto"/>
                <w:sz w:val="22"/>
                <w:szCs w:val="22"/>
                <w:lang w:eastAsia="en-MY"/>
              </w:rPr>
              <w:t>502</w:t>
            </w:r>
          </w:p>
        </w:tc>
        <w:tc>
          <w:tcPr>
            <w:tcW w:w="660" w:type="pct"/>
            <w:tcBorders>
              <w:top w:val="single" w:sz="4" w:space="0" w:color="auto"/>
            </w:tcBorders>
          </w:tcPr>
          <w:p w14:paraId="5FE813AF" w14:textId="438CD700" w:rsidR="00005390" w:rsidRPr="009D4627" w:rsidRDefault="00005390" w:rsidP="00005390">
            <w:pPr>
              <w:spacing w:before="0" w:after="0" w:line="360" w:lineRule="auto"/>
              <w:jc w:val="left"/>
              <w:rPr>
                <w:rFonts w:eastAsia="Times New Roman"/>
                <w:color w:val="auto"/>
                <w:sz w:val="22"/>
                <w:szCs w:val="22"/>
                <w:lang w:eastAsia="en-MY"/>
              </w:rPr>
            </w:pPr>
            <w:r w:rsidRPr="009D4627">
              <w:rPr>
                <w:color w:val="010205"/>
                <w:sz w:val="22"/>
                <w:szCs w:val="22"/>
                <w:lang w:val="en-MY"/>
              </w:rPr>
              <w:t>-2.</w:t>
            </w:r>
            <w:r w:rsidR="00752FD8">
              <w:rPr>
                <w:color w:val="010205"/>
                <w:sz w:val="22"/>
                <w:szCs w:val="22"/>
                <w:lang w:val="en-MY"/>
              </w:rPr>
              <w:t>30</w:t>
            </w:r>
          </w:p>
        </w:tc>
        <w:tc>
          <w:tcPr>
            <w:tcW w:w="526" w:type="pct"/>
            <w:tcBorders>
              <w:top w:val="single" w:sz="4" w:space="0" w:color="auto"/>
            </w:tcBorders>
          </w:tcPr>
          <w:p w14:paraId="6547F9A9" w14:textId="480DDA98"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Borders>
              <w:top w:val="single" w:sz="4" w:space="0" w:color="auto"/>
            </w:tcBorders>
          </w:tcPr>
          <w:p w14:paraId="1541C77A" w14:textId="1F492A9B"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0.0</w:t>
            </w:r>
            <w:r w:rsidR="00752FD8">
              <w:rPr>
                <w:color w:val="010205"/>
                <w:sz w:val="22"/>
                <w:szCs w:val="22"/>
                <w:lang w:val="en-MY"/>
              </w:rPr>
              <w:t>5</w:t>
            </w:r>
          </w:p>
        </w:tc>
        <w:tc>
          <w:tcPr>
            <w:tcW w:w="791" w:type="pct"/>
            <w:tcBorders>
              <w:top w:val="single" w:sz="4" w:space="0" w:color="auto"/>
            </w:tcBorders>
          </w:tcPr>
          <w:p w14:paraId="178E4932" w14:textId="75CF5FD8"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w:t>
            </w:r>
            <w:r w:rsidR="00752FD8">
              <w:rPr>
                <w:color w:val="010205"/>
                <w:sz w:val="22"/>
                <w:szCs w:val="22"/>
                <w:lang w:val="en-MY"/>
              </w:rPr>
              <w:t>96</w:t>
            </w:r>
          </w:p>
        </w:tc>
      </w:tr>
      <w:tr w:rsidR="00005390" w:rsidRPr="009D4627" w14:paraId="26CA2441" w14:textId="77777777" w:rsidTr="00281A92">
        <w:trPr>
          <w:jc w:val="center"/>
        </w:trPr>
        <w:tc>
          <w:tcPr>
            <w:tcW w:w="1296" w:type="pct"/>
          </w:tcPr>
          <w:p w14:paraId="75CFFB8B" w14:textId="058CFED6" w:rsidR="00005390" w:rsidRPr="009D4627" w:rsidRDefault="00005390" w:rsidP="00005390">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 _0.4 Hz</w:t>
            </w:r>
          </w:p>
        </w:tc>
        <w:tc>
          <w:tcPr>
            <w:tcW w:w="918" w:type="pct"/>
          </w:tcPr>
          <w:p w14:paraId="46F20413" w14:textId="4C0CB722" w:rsidR="00005390" w:rsidRPr="009D4627" w:rsidRDefault="00475723" w:rsidP="00005390">
            <w:pPr>
              <w:spacing w:before="0" w:after="0" w:line="360" w:lineRule="auto"/>
              <w:rPr>
                <w:rFonts w:eastAsia="Times New Roman"/>
                <w:color w:val="auto"/>
                <w:sz w:val="22"/>
                <w:szCs w:val="22"/>
                <w:lang w:eastAsia="en-MY"/>
              </w:rPr>
            </w:pPr>
            <w:r>
              <w:rPr>
                <w:rFonts w:eastAsia="Times New Roman"/>
                <w:color w:val="auto"/>
                <w:sz w:val="22"/>
                <w:szCs w:val="22"/>
                <w:lang w:eastAsia="en-MY"/>
              </w:rPr>
              <w:t>431</w:t>
            </w:r>
          </w:p>
        </w:tc>
        <w:tc>
          <w:tcPr>
            <w:tcW w:w="660" w:type="pct"/>
          </w:tcPr>
          <w:p w14:paraId="4D931B0D" w14:textId="358A1F7D" w:rsidR="00005390" w:rsidRPr="009D4627" w:rsidRDefault="00005390" w:rsidP="00005390">
            <w:pPr>
              <w:spacing w:before="0" w:after="0" w:line="360" w:lineRule="auto"/>
              <w:jc w:val="left"/>
              <w:rPr>
                <w:rFonts w:eastAsia="Times New Roman"/>
                <w:color w:val="auto"/>
                <w:sz w:val="22"/>
                <w:szCs w:val="22"/>
                <w:lang w:eastAsia="en-MY"/>
              </w:rPr>
            </w:pPr>
            <w:r w:rsidRPr="009D4627">
              <w:rPr>
                <w:color w:val="010205"/>
                <w:sz w:val="22"/>
                <w:szCs w:val="22"/>
                <w:lang w:val="en-MY"/>
              </w:rPr>
              <w:t>-</w:t>
            </w:r>
            <w:r w:rsidR="00475723">
              <w:rPr>
                <w:color w:val="010205"/>
                <w:sz w:val="22"/>
                <w:szCs w:val="22"/>
                <w:lang w:val="en-MY"/>
              </w:rPr>
              <w:t>2.29</w:t>
            </w:r>
          </w:p>
        </w:tc>
        <w:tc>
          <w:tcPr>
            <w:tcW w:w="526" w:type="pct"/>
          </w:tcPr>
          <w:p w14:paraId="1F81ACDF" w14:textId="40CC38FA"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Pr>
          <w:p w14:paraId="4CD1B71C" w14:textId="2F295B39"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0.</w:t>
            </w:r>
            <w:r w:rsidR="00475723">
              <w:rPr>
                <w:color w:val="010205"/>
                <w:sz w:val="22"/>
                <w:szCs w:val="22"/>
                <w:lang w:val="en-MY"/>
              </w:rPr>
              <w:t>06</w:t>
            </w:r>
          </w:p>
        </w:tc>
        <w:tc>
          <w:tcPr>
            <w:tcW w:w="791" w:type="pct"/>
          </w:tcPr>
          <w:p w14:paraId="246A8DAE" w14:textId="78CFD0C7"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w:t>
            </w:r>
            <w:r w:rsidR="00475723">
              <w:rPr>
                <w:color w:val="010205"/>
                <w:sz w:val="22"/>
                <w:szCs w:val="22"/>
                <w:lang w:val="en-MY"/>
              </w:rPr>
              <w:t>94</w:t>
            </w:r>
          </w:p>
        </w:tc>
      </w:tr>
      <w:tr w:rsidR="00005390" w:rsidRPr="009D4627" w14:paraId="7C4B3051" w14:textId="77777777" w:rsidTr="00281A92">
        <w:trPr>
          <w:jc w:val="center"/>
        </w:trPr>
        <w:tc>
          <w:tcPr>
            <w:tcW w:w="1296" w:type="pct"/>
          </w:tcPr>
          <w:p w14:paraId="33DD9580" w14:textId="2B23CE1F" w:rsidR="00005390" w:rsidRPr="009D4627" w:rsidRDefault="00005390" w:rsidP="00005390">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 _0.6 Hz</w:t>
            </w:r>
          </w:p>
        </w:tc>
        <w:tc>
          <w:tcPr>
            <w:tcW w:w="918" w:type="pct"/>
          </w:tcPr>
          <w:p w14:paraId="56BD18B4" w14:textId="43859126" w:rsidR="00005390" w:rsidRPr="009D4627" w:rsidRDefault="00475723" w:rsidP="00005390">
            <w:pPr>
              <w:spacing w:before="0" w:after="0" w:line="360" w:lineRule="auto"/>
              <w:rPr>
                <w:rFonts w:eastAsia="Times New Roman"/>
                <w:color w:val="auto"/>
                <w:sz w:val="22"/>
                <w:szCs w:val="22"/>
                <w:lang w:eastAsia="en-MY"/>
              </w:rPr>
            </w:pPr>
            <w:r>
              <w:rPr>
                <w:rFonts w:eastAsia="Times New Roman"/>
                <w:color w:val="auto"/>
                <w:sz w:val="22"/>
                <w:szCs w:val="22"/>
                <w:lang w:eastAsia="en-MY"/>
              </w:rPr>
              <w:t>293</w:t>
            </w:r>
          </w:p>
        </w:tc>
        <w:tc>
          <w:tcPr>
            <w:tcW w:w="660" w:type="pct"/>
          </w:tcPr>
          <w:p w14:paraId="2F699CFD" w14:textId="12895B3C" w:rsidR="00005390" w:rsidRPr="009D4627" w:rsidRDefault="00005390" w:rsidP="00005390">
            <w:pPr>
              <w:spacing w:before="0" w:after="0" w:line="360" w:lineRule="auto"/>
              <w:jc w:val="left"/>
              <w:rPr>
                <w:rFonts w:eastAsia="Times New Roman"/>
                <w:color w:val="auto"/>
                <w:sz w:val="22"/>
                <w:szCs w:val="22"/>
                <w:lang w:eastAsia="en-MY"/>
              </w:rPr>
            </w:pPr>
            <w:r w:rsidRPr="009D4627">
              <w:rPr>
                <w:color w:val="010205"/>
                <w:sz w:val="22"/>
                <w:szCs w:val="22"/>
                <w:lang w:val="en-MY"/>
              </w:rPr>
              <w:t>-</w:t>
            </w:r>
            <w:r w:rsidR="00475723">
              <w:rPr>
                <w:color w:val="010205"/>
                <w:sz w:val="22"/>
                <w:szCs w:val="22"/>
                <w:lang w:val="en-MY"/>
              </w:rPr>
              <w:t>1.91</w:t>
            </w:r>
          </w:p>
        </w:tc>
        <w:tc>
          <w:tcPr>
            <w:tcW w:w="526" w:type="pct"/>
          </w:tcPr>
          <w:p w14:paraId="01B86976" w14:textId="431C4DA9"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Pr>
          <w:p w14:paraId="1AB2754A" w14:textId="59691FB4"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0.</w:t>
            </w:r>
            <w:r w:rsidR="00475723">
              <w:rPr>
                <w:color w:val="010205"/>
                <w:sz w:val="22"/>
                <w:szCs w:val="22"/>
                <w:lang w:val="en-MY"/>
              </w:rPr>
              <w:t>09</w:t>
            </w:r>
          </w:p>
        </w:tc>
        <w:tc>
          <w:tcPr>
            <w:tcW w:w="791" w:type="pct"/>
          </w:tcPr>
          <w:p w14:paraId="4B4A4BCF" w14:textId="35B7232E"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w:t>
            </w:r>
            <w:r w:rsidR="00475723">
              <w:rPr>
                <w:color w:val="010205"/>
                <w:sz w:val="22"/>
                <w:szCs w:val="22"/>
                <w:lang w:val="en-MY"/>
              </w:rPr>
              <w:t>54</w:t>
            </w:r>
          </w:p>
        </w:tc>
      </w:tr>
      <w:tr w:rsidR="00005390" w:rsidRPr="009D4627" w14:paraId="7BBCE8A4" w14:textId="77777777" w:rsidTr="00281A92">
        <w:trPr>
          <w:jc w:val="center"/>
        </w:trPr>
        <w:tc>
          <w:tcPr>
            <w:tcW w:w="1296" w:type="pct"/>
            <w:tcBorders>
              <w:bottom w:val="single" w:sz="4" w:space="0" w:color="auto"/>
            </w:tcBorders>
          </w:tcPr>
          <w:p w14:paraId="6B8997BF" w14:textId="2AC1E1DB" w:rsidR="00005390" w:rsidRPr="009D4627" w:rsidRDefault="00005390" w:rsidP="00005390">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 _0.8 Hz</w:t>
            </w:r>
          </w:p>
        </w:tc>
        <w:tc>
          <w:tcPr>
            <w:tcW w:w="918" w:type="pct"/>
            <w:tcBorders>
              <w:bottom w:val="single" w:sz="4" w:space="0" w:color="auto"/>
            </w:tcBorders>
          </w:tcPr>
          <w:p w14:paraId="188F7233" w14:textId="7332A3F7" w:rsidR="00005390" w:rsidRPr="009D4627" w:rsidRDefault="00005390" w:rsidP="00005390">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w:t>
            </w:r>
            <w:r w:rsidR="00475723">
              <w:rPr>
                <w:rFonts w:eastAsia="Times New Roman"/>
                <w:color w:val="auto"/>
                <w:sz w:val="22"/>
                <w:szCs w:val="22"/>
                <w:lang w:eastAsia="en-MY"/>
              </w:rPr>
              <w:t>60</w:t>
            </w:r>
          </w:p>
        </w:tc>
        <w:tc>
          <w:tcPr>
            <w:tcW w:w="660" w:type="pct"/>
            <w:tcBorders>
              <w:bottom w:val="single" w:sz="4" w:space="0" w:color="auto"/>
            </w:tcBorders>
          </w:tcPr>
          <w:p w14:paraId="521CD316" w14:textId="30484000" w:rsidR="00005390" w:rsidRPr="009D4627" w:rsidRDefault="00005390" w:rsidP="00005390">
            <w:pPr>
              <w:spacing w:before="0" w:after="0" w:line="360" w:lineRule="auto"/>
              <w:jc w:val="left"/>
              <w:rPr>
                <w:rFonts w:eastAsia="Times New Roman"/>
                <w:color w:val="auto"/>
                <w:sz w:val="22"/>
                <w:szCs w:val="22"/>
                <w:lang w:eastAsia="en-MY"/>
              </w:rPr>
            </w:pPr>
            <w:r w:rsidRPr="009D4627">
              <w:rPr>
                <w:color w:val="010205"/>
                <w:sz w:val="22"/>
                <w:szCs w:val="22"/>
                <w:lang w:val="en-MY"/>
              </w:rPr>
              <w:t>-</w:t>
            </w:r>
            <w:r w:rsidR="00475723">
              <w:rPr>
                <w:color w:val="010205"/>
                <w:sz w:val="22"/>
                <w:szCs w:val="22"/>
                <w:lang w:val="en-MY"/>
              </w:rPr>
              <w:t>1.94</w:t>
            </w:r>
          </w:p>
        </w:tc>
        <w:tc>
          <w:tcPr>
            <w:tcW w:w="526" w:type="pct"/>
            <w:tcBorders>
              <w:bottom w:val="single" w:sz="4" w:space="0" w:color="auto"/>
            </w:tcBorders>
          </w:tcPr>
          <w:p w14:paraId="36DAD48D" w14:textId="54F928E1"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809" w:type="pct"/>
            <w:tcBorders>
              <w:bottom w:val="single" w:sz="4" w:space="0" w:color="auto"/>
            </w:tcBorders>
          </w:tcPr>
          <w:p w14:paraId="0418EBBC" w14:textId="0C50872A"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0.</w:t>
            </w:r>
            <w:r w:rsidR="00475723">
              <w:rPr>
                <w:color w:val="010205"/>
                <w:sz w:val="22"/>
                <w:szCs w:val="22"/>
                <w:lang w:val="en-MY"/>
              </w:rPr>
              <w:t>09</w:t>
            </w:r>
          </w:p>
        </w:tc>
        <w:tc>
          <w:tcPr>
            <w:tcW w:w="791" w:type="pct"/>
            <w:tcBorders>
              <w:bottom w:val="single" w:sz="4" w:space="0" w:color="auto"/>
            </w:tcBorders>
          </w:tcPr>
          <w:p w14:paraId="4B183BDA" w14:textId="290FD7BA" w:rsidR="00005390" w:rsidRPr="009D4627" w:rsidRDefault="00005390" w:rsidP="00005390">
            <w:pPr>
              <w:spacing w:before="0" w:after="0" w:line="360" w:lineRule="auto"/>
              <w:rPr>
                <w:rFonts w:eastAsia="Times New Roman"/>
                <w:color w:val="auto"/>
                <w:sz w:val="22"/>
                <w:szCs w:val="22"/>
                <w:lang w:eastAsia="en-MY"/>
              </w:rPr>
            </w:pPr>
            <w:r w:rsidRPr="009D4627">
              <w:rPr>
                <w:color w:val="010205"/>
                <w:sz w:val="22"/>
                <w:szCs w:val="22"/>
                <w:lang w:val="en-MY"/>
              </w:rPr>
              <w:t>-</w:t>
            </w:r>
            <w:r w:rsidR="00475723">
              <w:rPr>
                <w:color w:val="010205"/>
                <w:sz w:val="22"/>
                <w:szCs w:val="22"/>
                <w:lang w:val="en-MY"/>
              </w:rPr>
              <w:t>42</w:t>
            </w:r>
          </w:p>
        </w:tc>
      </w:tr>
    </w:tbl>
    <w:p w14:paraId="3C7D082F" w14:textId="3C7866AF" w:rsidR="005D3E5C" w:rsidRPr="009D4627" w:rsidRDefault="000C61CD" w:rsidP="00654720">
      <w:pPr>
        <w:spacing w:before="0" w:after="0" w:line="240" w:lineRule="auto"/>
        <w:jc w:val="center"/>
        <w:rPr>
          <w:i/>
          <w:iCs/>
          <w:color w:val="auto"/>
        </w:rPr>
      </w:pPr>
      <w:r w:rsidRPr="009D4627">
        <w:rPr>
          <w:i/>
          <w:iCs/>
          <w:color w:val="auto"/>
        </w:rPr>
        <w:t>*</w:t>
      </w:r>
      <w:r w:rsidR="005D3E5C" w:rsidRPr="009D4627">
        <w:rPr>
          <w:color w:val="auto"/>
        </w:rPr>
        <w:t xml:space="preserve">Data are significant at </w:t>
      </w:r>
      <w:r w:rsidR="005D3E5C" w:rsidRPr="00654720">
        <w:rPr>
          <w:i/>
          <w:iCs/>
          <w:color w:val="auto"/>
        </w:rPr>
        <w:t>p</w:t>
      </w:r>
      <w:r w:rsidR="005D3E5C" w:rsidRPr="009D4627">
        <w:rPr>
          <w:color w:val="auto"/>
        </w:rPr>
        <w:t>&lt;0.05</w:t>
      </w:r>
    </w:p>
    <w:p w14:paraId="71AA1B0E" w14:textId="187A35E1" w:rsidR="00A72A99" w:rsidRPr="009D4627" w:rsidRDefault="00654720" w:rsidP="00A72A99">
      <w:pPr>
        <w:autoSpaceDE w:val="0"/>
        <w:autoSpaceDN w:val="0"/>
        <w:adjustRightInd w:val="0"/>
        <w:spacing w:before="0" w:after="0" w:line="240" w:lineRule="auto"/>
        <w:jc w:val="left"/>
        <w:rPr>
          <w:color w:val="auto"/>
          <w:sz w:val="20"/>
          <w:szCs w:val="20"/>
          <w:lang w:val="en-MY"/>
        </w:rPr>
      </w:pPr>
      <w:r w:rsidRPr="00654720">
        <w:rPr>
          <w:rFonts w:eastAsia="Times New Roman"/>
          <w:i/>
          <w:iCs/>
          <w:color w:val="auto"/>
          <w:lang w:eastAsia="en-MY"/>
        </w:rPr>
        <w:t xml:space="preserve">Note. </w:t>
      </w:r>
      <w:r w:rsidRPr="009D4627">
        <w:rPr>
          <w:rFonts w:eastAsia="Times New Roman"/>
          <w:color w:val="auto"/>
          <w:lang w:eastAsia="en-MY"/>
        </w:rPr>
        <w:t>Test value = mean of the control group</w:t>
      </w:r>
    </w:p>
    <w:p w14:paraId="7E62B8D2" w14:textId="77777777" w:rsidR="00A72A99" w:rsidRPr="009D4627" w:rsidRDefault="00A72A99" w:rsidP="00A72A99">
      <w:pPr>
        <w:autoSpaceDE w:val="0"/>
        <w:autoSpaceDN w:val="0"/>
        <w:adjustRightInd w:val="0"/>
        <w:spacing w:before="0" w:after="0" w:line="400" w:lineRule="atLeast"/>
        <w:jc w:val="left"/>
        <w:rPr>
          <w:color w:val="auto"/>
          <w:lang w:val="en-MY"/>
        </w:rPr>
      </w:pPr>
    </w:p>
    <w:p w14:paraId="7D6627B5" w14:textId="77777777" w:rsidR="009C4277" w:rsidRPr="009D4627" w:rsidRDefault="009C4277" w:rsidP="009C4277">
      <w:pPr>
        <w:autoSpaceDE w:val="0"/>
        <w:autoSpaceDN w:val="0"/>
        <w:adjustRightInd w:val="0"/>
        <w:spacing w:before="0" w:after="0" w:line="240" w:lineRule="auto"/>
        <w:jc w:val="left"/>
        <w:rPr>
          <w:color w:val="auto"/>
          <w:lang w:val="en-MY"/>
        </w:rPr>
      </w:pPr>
    </w:p>
    <w:p w14:paraId="3285875F" w14:textId="06310F1A" w:rsidR="004F4430" w:rsidRPr="009D4627" w:rsidRDefault="00005390" w:rsidP="00DC4CA6">
      <w:pPr>
        <w:pStyle w:val="Heading3"/>
      </w:pPr>
      <w:bookmarkStart w:id="506" w:name="_Toc98964717"/>
      <w:bookmarkStart w:id="507" w:name="_Toc103344759"/>
      <w:r w:rsidRPr="009D4627">
        <w:lastRenderedPageBreak/>
        <w:t>Vertical smooth pursuit of ONP patients</w:t>
      </w:r>
      <w:bookmarkStart w:id="508" w:name="_Hlk94194867"/>
      <w:bookmarkEnd w:id="506"/>
      <w:bookmarkEnd w:id="507"/>
    </w:p>
    <w:p w14:paraId="6477B187" w14:textId="7BE55D8D" w:rsidR="00CD69ED" w:rsidRPr="009D4627" w:rsidRDefault="00393BEB" w:rsidP="00CA4E90">
      <w:pPr>
        <w:pStyle w:val="Heading4"/>
        <w:rPr>
          <w:lang w:eastAsia="en-MY"/>
        </w:rPr>
      </w:pPr>
      <w:bookmarkStart w:id="509" w:name="_Toc98964718"/>
      <w:bookmarkStart w:id="510" w:name="_Toc103344760"/>
      <w:r>
        <w:rPr>
          <w:lang w:eastAsia="en-MY"/>
        </w:rPr>
        <w:t>Independent samples t-tests</w:t>
      </w:r>
      <w:r w:rsidR="00CD69ED" w:rsidRPr="009D4627">
        <w:rPr>
          <w:lang w:eastAsia="en-MY"/>
        </w:rPr>
        <w:t xml:space="preserve"> comparing affected and unaffected eyes</w:t>
      </w:r>
      <w:bookmarkEnd w:id="509"/>
      <w:bookmarkEnd w:id="510"/>
    </w:p>
    <w:p w14:paraId="5D8C7DBF" w14:textId="4DFC1CCF" w:rsidR="003126C1" w:rsidRPr="009D4627" w:rsidRDefault="003A646C" w:rsidP="001F6136">
      <w:pPr>
        <w:rPr>
          <w:rFonts w:eastAsia="Times New Roman"/>
          <w:color w:val="auto"/>
          <w:lang w:eastAsia="en-MY"/>
        </w:rPr>
      </w:pPr>
      <w:r w:rsidRPr="009D4627">
        <w:rPr>
          <w:rFonts w:eastAsia="Times New Roman"/>
          <w:color w:val="auto"/>
          <w:lang w:eastAsia="en-MY"/>
        </w:rPr>
        <w:t xml:space="preserve">The </w:t>
      </w:r>
      <w:r w:rsidR="00393BEB">
        <w:rPr>
          <w:rFonts w:eastAsia="Times New Roman"/>
          <w:color w:val="auto"/>
          <w:lang w:eastAsia="en-MY"/>
        </w:rPr>
        <w:t>independent samples t-tests</w:t>
      </w:r>
      <w:r w:rsidRPr="009D4627">
        <w:rPr>
          <w:rFonts w:eastAsia="Times New Roman"/>
          <w:color w:val="auto"/>
          <w:lang w:eastAsia="en-MY"/>
        </w:rPr>
        <w:t xml:space="preserve"> results demonstrate</w:t>
      </w:r>
      <w:r w:rsidR="006315E1" w:rsidRPr="009D4627">
        <w:rPr>
          <w:rFonts w:eastAsia="Times New Roman"/>
          <w:color w:val="auto"/>
          <w:lang w:eastAsia="en-MY"/>
        </w:rPr>
        <w:t>d</w:t>
      </w:r>
      <w:r w:rsidRPr="009D4627">
        <w:rPr>
          <w:rFonts w:eastAsia="Times New Roman"/>
          <w:color w:val="auto"/>
          <w:lang w:eastAsia="en-MY"/>
        </w:rPr>
        <w:t xml:space="preserve"> that </w:t>
      </w:r>
      <w:r w:rsidR="00FD776A" w:rsidRPr="009D4627">
        <w:rPr>
          <w:rFonts w:eastAsia="Times New Roman"/>
          <w:color w:val="auto"/>
          <w:lang w:eastAsia="en-MY"/>
        </w:rPr>
        <w:t xml:space="preserve">CN IV palsy has the most significant impaired of the two vertical SP parameters, which are SP gain and RMSE on the effected eye at the highest trial frequency (1.0 Hz). </w:t>
      </w:r>
      <w:r w:rsidRPr="009D4627">
        <w:rPr>
          <w:rFonts w:eastAsia="Times New Roman"/>
          <w:color w:val="auto"/>
          <w:lang w:eastAsia="en-MY"/>
        </w:rPr>
        <w:t xml:space="preserve">CN III palsy </w:t>
      </w:r>
      <w:r w:rsidR="00FD776A" w:rsidRPr="009D4627">
        <w:rPr>
          <w:rFonts w:eastAsia="Times New Roman"/>
          <w:color w:val="auto"/>
          <w:lang w:eastAsia="en-MY"/>
        </w:rPr>
        <w:t>showed</w:t>
      </w:r>
      <w:r w:rsidRPr="009D4627">
        <w:rPr>
          <w:rFonts w:eastAsia="Times New Roman"/>
          <w:color w:val="auto"/>
          <w:lang w:eastAsia="en-MY"/>
        </w:rPr>
        <w:t xml:space="preserve"> a significant difference </w:t>
      </w:r>
      <w:r w:rsidR="00275BE3" w:rsidRPr="009D4627">
        <w:rPr>
          <w:rFonts w:eastAsia="Times New Roman"/>
          <w:color w:val="auto"/>
          <w:lang w:eastAsia="en-MY"/>
        </w:rPr>
        <w:t xml:space="preserve">between the affected and unaffected eye </w:t>
      </w:r>
      <w:r w:rsidRPr="009D4627">
        <w:rPr>
          <w:rFonts w:eastAsia="Times New Roman"/>
          <w:color w:val="auto"/>
          <w:lang w:eastAsia="en-MY"/>
        </w:rPr>
        <w:t>for the RMSE variable</w:t>
      </w:r>
      <w:r w:rsidR="00FD776A" w:rsidRPr="009D4627">
        <w:rPr>
          <w:rFonts w:eastAsia="Times New Roman"/>
          <w:color w:val="auto"/>
          <w:lang w:eastAsia="en-MY"/>
        </w:rPr>
        <w:t xml:space="preserve"> at the highest frequency</w:t>
      </w:r>
      <w:r w:rsidRPr="009D4627">
        <w:rPr>
          <w:rFonts w:eastAsia="Times New Roman"/>
          <w:color w:val="auto"/>
          <w:lang w:eastAsia="en-MY"/>
        </w:rPr>
        <w:t xml:space="preserve">, </w:t>
      </w:r>
      <w:proofErr w:type="gramStart"/>
      <w:r w:rsidRPr="009D4627">
        <w:rPr>
          <w:rFonts w:eastAsia="Times New Roman"/>
          <w:i/>
          <w:iCs/>
          <w:color w:val="auto"/>
          <w:lang w:eastAsia="en-MY"/>
        </w:rPr>
        <w:t>t</w:t>
      </w:r>
      <w:r w:rsidRPr="009D4627">
        <w:rPr>
          <w:rFonts w:eastAsia="Times New Roman"/>
          <w:color w:val="auto"/>
          <w:lang w:eastAsia="en-MY"/>
        </w:rPr>
        <w:t>(</w:t>
      </w:r>
      <w:proofErr w:type="gramEnd"/>
      <w:r w:rsidRPr="009D4627">
        <w:rPr>
          <w:rFonts w:eastAsia="Times New Roman"/>
          <w:color w:val="auto"/>
          <w:lang w:eastAsia="en-MY"/>
        </w:rPr>
        <w:t>32) = 2.472,</w:t>
      </w:r>
      <w:r w:rsidR="00FD776A" w:rsidRPr="009D4627">
        <w:rPr>
          <w:rFonts w:eastAsia="Times New Roman"/>
          <w:color w:val="auto"/>
          <w:lang w:eastAsia="en-MY"/>
        </w:rPr>
        <w:t xml:space="preserve"> </w:t>
      </w:r>
      <w:r w:rsidR="00FD776A" w:rsidRPr="009D4627">
        <w:rPr>
          <w:rFonts w:eastAsia="Times New Roman"/>
          <w:i/>
          <w:iCs/>
          <w:color w:val="auto"/>
          <w:lang w:eastAsia="en-MY"/>
        </w:rPr>
        <w:t xml:space="preserve">p = </w:t>
      </w:r>
      <w:r w:rsidR="00FD776A" w:rsidRPr="009D4627">
        <w:rPr>
          <w:rFonts w:eastAsia="Times New Roman"/>
          <w:color w:val="auto"/>
          <w:lang w:eastAsia="en-MY"/>
        </w:rPr>
        <w:t>0.019).</w:t>
      </w:r>
      <w:r w:rsidRPr="009D4627">
        <w:rPr>
          <w:rFonts w:eastAsia="Times New Roman"/>
          <w:color w:val="auto"/>
          <w:lang w:eastAsia="en-MY"/>
        </w:rPr>
        <w:t xml:space="preserve">  It </w:t>
      </w:r>
      <w:r w:rsidR="00DF3070" w:rsidRPr="009D4627">
        <w:rPr>
          <w:rFonts w:eastAsia="Times New Roman"/>
          <w:color w:val="auto"/>
          <w:lang w:eastAsia="en-MY"/>
        </w:rPr>
        <w:t>demonstrat</w:t>
      </w:r>
      <w:r w:rsidRPr="009D4627">
        <w:rPr>
          <w:rFonts w:eastAsia="Times New Roman"/>
          <w:color w:val="auto"/>
          <w:lang w:eastAsia="en-MY"/>
        </w:rPr>
        <w:t xml:space="preserve">ed that the affected eye was </w:t>
      </w:r>
      <w:r w:rsidR="00FD776A" w:rsidRPr="009D4627">
        <w:rPr>
          <w:rFonts w:eastAsia="Times New Roman"/>
          <w:color w:val="auto"/>
          <w:lang w:eastAsia="en-MY"/>
        </w:rPr>
        <w:t>≈</w:t>
      </w:r>
      <w:r w:rsidRPr="009D4627">
        <w:rPr>
          <w:rFonts w:eastAsia="Times New Roman"/>
          <w:color w:val="auto"/>
          <w:lang w:eastAsia="en-MY"/>
        </w:rPr>
        <w:t>0.5° distant from the unaffected eye when it followed the target at a frequency of 1.0 Hz.</w:t>
      </w:r>
      <w:r w:rsidR="003126C1" w:rsidRPr="009D4627">
        <w:rPr>
          <w:rFonts w:eastAsia="Times New Roman"/>
          <w:color w:val="auto"/>
          <w:lang w:eastAsia="en-MY"/>
        </w:rPr>
        <w:t xml:space="preserve"> </w:t>
      </w:r>
      <w:r w:rsidR="00C31FD4" w:rsidRPr="009D4627">
        <w:rPr>
          <w:rFonts w:eastAsia="Times New Roman"/>
          <w:color w:val="auto"/>
          <w:lang w:eastAsia="en-MY"/>
        </w:rPr>
        <w:t>In contrast, there were no significant differen</w:t>
      </w:r>
      <w:r w:rsidR="00DF3070" w:rsidRPr="009D4627">
        <w:rPr>
          <w:rFonts w:eastAsia="Times New Roman"/>
          <w:color w:val="auto"/>
          <w:lang w:eastAsia="en-MY"/>
        </w:rPr>
        <w:t>ce</w:t>
      </w:r>
      <w:r w:rsidR="00C31FD4" w:rsidRPr="009D4627">
        <w:rPr>
          <w:rFonts w:eastAsia="Times New Roman"/>
          <w:color w:val="auto"/>
          <w:lang w:eastAsia="en-MY"/>
        </w:rPr>
        <w:t xml:space="preserve"> for the vertical SP </w:t>
      </w:r>
      <w:r w:rsidR="006315E1" w:rsidRPr="009D4627">
        <w:rPr>
          <w:rFonts w:eastAsia="Times New Roman"/>
          <w:color w:val="auto"/>
          <w:lang w:eastAsia="en-MY"/>
        </w:rPr>
        <w:t>variables</w:t>
      </w:r>
      <w:r w:rsidR="00C31FD4" w:rsidRPr="009D4627">
        <w:rPr>
          <w:rFonts w:eastAsia="Times New Roman"/>
          <w:color w:val="auto"/>
          <w:lang w:eastAsia="en-MY"/>
        </w:rPr>
        <w:t xml:space="preserve"> between the affected and unaffected eyes for CN VI palsy patients. </w:t>
      </w:r>
    </w:p>
    <w:p w14:paraId="18B4436B" w14:textId="1FDEFC65" w:rsidR="001D2B3A" w:rsidRPr="009D4627" w:rsidRDefault="001D2B3A" w:rsidP="001F6136">
      <w:pPr>
        <w:rPr>
          <w:rFonts w:eastAsia="Times New Roman"/>
          <w:color w:val="auto"/>
          <w:lang w:eastAsia="en-MY"/>
        </w:rPr>
      </w:pPr>
      <w:r w:rsidRPr="009D4627">
        <w:rPr>
          <w:rFonts w:eastAsia="Times New Roman"/>
          <w:color w:val="auto"/>
          <w:lang w:eastAsia="en-MY"/>
        </w:rPr>
        <w:t xml:space="preserve">In addition, vertical SP durations show no statistically significant different between the eyes at most trial frequencies. Therefore, it </w:t>
      </w:r>
      <w:r w:rsidR="00FD776A" w:rsidRPr="009D4627">
        <w:rPr>
          <w:rFonts w:eastAsia="Times New Roman"/>
          <w:color w:val="auto"/>
          <w:lang w:eastAsia="en-MY"/>
        </w:rPr>
        <w:t xml:space="preserve">is </w:t>
      </w:r>
      <w:r w:rsidR="00654720" w:rsidRPr="009D4627">
        <w:rPr>
          <w:rFonts w:eastAsia="Times New Roman"/>
          <w:color w:val="auto"/>
          <w:lang w:eastAsia="en-MY"/>
        </w:rPr>
        <w:t xml:space="preserve">suggesting </w:t>
      </w:r>
      <w:r w:rsidRPr="009D4627">
        <w:rPr>
          <w:rFonts w:eastAsia="Times New Roman"/>
          <w:color w:val="auto"/>
          <w:lang w:eastAsia="en-MY"/>
        </w:rPr>
        <w:t>that the vertical SP parameters is not a good clinical measure for evaluating the acquired ONP patients.</w:t>
      </w:r>
      <w:r w:rsidR="00FD776A" w:rsidRPr="009D4627">
        <w:rPr>
          <w:rFonts w:eastAsia="Times New Roman"/>
          <w:color w:val="auto"/>
          <w:lang w:eastAsia="en-MY"/>
        </w:rPr>
        <w:t xml:space="preserve"> </w:t>
      </w:r>
      <w:r w:rsidRPr="009D4627">
        <w:rPr>
          <w:rFonts w:eastAsia="Times New Roman"/>
          <w:color w:val="auto"/>
          <w:lang w:eastAsia="en-MY"/>
        </w:rPr>
        <w:t xml:space="preserve">The </w:t>
      </w:r>
      <w:r w:rsidR="00393BEB">
        <w:rPr>
          <w:rFonts w:eastAsia="Times New Roman"/>
          <w:color w:val="auto"/>
          <w:lang w:eastAsia="en-MY"/>
        </w:rPr>
        <w:t>independent samples t-tests</w:t>
      </w:r>
      <w:r w:rsidRPr="009D4627">
        <w:rPr>
          <w:rFonts w:eastAsia="Times New Roman"/>
          <w:color w:val="auto"/>
          <w:lang w:eastAsia="en-MY"/>
        </w:rPr>
        <w:t xml:space="preserve"> result comparing affected and unaffected eyes for vertical SP variables are presented in Table 5.</w:t>
      </w:r>
      <w:r w:rsidR="00005390" w:rsidRPr="009D4627">
        <w:rPr>
          <w:rFonts w:eastAsia="Times New Roman"/>
          <w:color w:val="auto"/>
          <w:lang w:eastAsia="en-MY"/>
        </w:rPr>
        <w:t>5</w:t>
      </w:r>
      <w:r w:rsidRPr="009D4627">
        <w:rPr>
          <w:rFonts w:eastAsia="Times New Roman"/>
          <w:color w:val="auto"/>
          <w:lang w:eastAsia="en-MY"/>
        </w:rPr>
        <w:t>.</w:t>
      </w:r>
    </w:p>
    <w:p w14:paraId="625D018B" w14:textId="0632C838" w:rsidR="001D2B3A" w:rsidRPr="009D4627" w:rsidRDefault="001D2B3A" w:rsidP="00C4130D">
      <w:pPr>
        <w:pStyle w:val="Caption"/>
        <w:rPr>
          <w:rFonts w:eastAsia="Times New Roman"/>
          <w:color w:val="auto"/>
        </w:rPr>
      </w:pPr>
      <w:bookmarkStart w:id="511" w:name="_Toc99378019"/>
      <w:r w:rsidRPr="009D4627">
        <w:t>Table 5.</w:t>
      </w:r>
      <w:r w:rsidRPr="009D4627">
        <w:fldChar w:fldCharType="begin"/>
      </w:r>
      <w:r w:rsidRPr="009D4627">
        <w:instrText xml:space="preserve"> SEQ Table_5. \* ARABIC </w:instrText>
      </w:r>
      <w:r w:rsidRPr="009D4627">
        <w:fldChar w:fldCharType="separate"/>
      </w:r>
      <w:r w:rsidR="00E268F6">
        <w:rPr>
          <w:noProof/>
        </w:rPr>
        <w:t>5</w:t>
      </w:r>
      <w:r w:rsidRPr="009D4627">
        <w:fldChar w:fldCharType="end"/>
      </w:r>
      <w:r w:rsidRPr="009D4627">
        <w:t>: A</w:t>
      </w:r>
      <w:r w:rsidR="002264D8" w:rsidRPr="009D4627">
        <w:t xml:space="preserve">n </w:t>
      </w:r>
      <w:r w:rsidR="00393BEB">
        <w:t>independent samples t-tests</w:t>
      </w:r>
      <w:r w:rsidRPr="009D4627">
        <w:t xml:space="preserve"> compares the vertical SP parameters of the affected and unaffected eyes of acquired onset ONP patients.</w:t>
      </w:r>
      <w:bookmarkEnd w:id="511"/>
    </w:p>
    <w:tbl>
      <w:tblPr>
        <w:tblW w:w="5000" w:type="pct"/>
        <w:tblLayout w:type="fixed"/>
        <w:tblLook w:val="04A0" w:firstRow="1" w:lastRow="0" w:firstColumn="1" w:lastColumn="0" w:noHBand="0" w:noVBand="1"/>
      </w:tblPr>
      <w:tblGrid>
        <w:gridCol w:w="973"/>
        <w:gridCol w:w="20"/>
        <w:gridCol w:w="2127"/>
        <w:gridCol w:w="1558"/>
        <w:gridCol w:w="2076"/>
        <w:gridCol w:w="969"/>
        <w:gridCol w:w="1303"/>
      </w:tblGrid>
      <w:tr w:rsidR="001D2B3A" w:rsidRPr="009D4627" w14:paraId="1D454D61" w14:textId="77777777" w:rsidTr="008B7149">
        <w:trPr>
          <w:trHeight w:val="300"/>
        </w:trPr>
        <w:tc>
          <w:tcPr>
            <w:tcW w:w="5000" w:type="pct"/>
            <w:gridSpan w:val="7"/>
            <w:tcBorders>
              <w:top w:val="single" w:sz="4" w:space="0" w:color="auto"/>
              <w:left w:val="nil"/>
              <w:bottom w:val="single" w:sz="4" w:space="0" w:color="auto"/>
              <w:right w:val="nil"/>
            </w:tcBorders>
            <w:shd w:val="clear" w:color="auto" w:fill="auto"/>
            <w:noWrap/>
            <w:vAlign w:val="bottom"/>
            <w:hideMark/>
          </w:tcPr>
          <w:p w14:paraId="251121AA" w14:textId="7C1724F4" w:rsidR="001D2B3A" w:rsidRPr="009D4627" w:rsidRDefault="004B4F56" w:rsidP="008B7149">
            <w:pPr>
              <w:spacing w:before="0" w:after="0" w:line="240" w:lineRule="auto"/>
              <w:jc w:val="center"/>
              <w:rPr>
                <w:rFonts w:eastAsia="Times New Roman"/>
                <w:b/>
                <w:bCs/>
                <w:i/>
                <w:iCs/>
                <w:color w:val="auto"/>
                <w:sz w:val="22"/>
                <w:szCs w:val="22"/>
                <w:lang w:val="en-MY" w:eastAsia="en-MY"/>
              </w:rPr>
            </w:pPr>
            <w:r w:rsidRPr="009D4627">
              <w:rPr>
                <w:rFonts w:eastAsia="Times New Roman"/>
                <w:b/>
                <w:bCs/>
                <w:i/>
                <w:iCs/>
                <w:color w:val="000000"/>
                <w:sz w:val="22"/>
                <w:szCs w:val="22"/>
                <w:lang w:val="en-MY" w:eastAsia="en-MY"/>
              </w:rPr>
              <w:t>V</w:t>
            </w:r>
            <w:r w:rsidR="001D2B3A" w:rsidRPr="009D4627">
              <w:rPr>
                <w:rFonts w:eastAsia="Times New Roman"/>
                <w:b/>
                <w:bCs/>
                <w:i/>
                <w:iCs/>
                <w:color w:val="000000"/>
                <w:sz w:val="22"/>
                <w:szCs w:val="22"/>
                <w:lang w:val="en-MY" w:eastAsia="en-MY"/>
              </w:rPr>
              <w:t xml:space="preserve">ertical SP gain </w:t>
            </w:r>
          </w:p>
        </w:tc>
      </w:tr>
      <w:tr w:rsidR="001D2B3A" w:rsidRPr="009D4627" w14:paraId="565CF543" w14:textId="77777777" w:rsidTr="00E631B7">
        <w:trPr>
          <w:trHeight w:val="300"/>
        </w:trPr>
        <w:tc>
          <w:tcPr>
            <w:tcW w:w="550" w:type="pct"/>
            <w:gridSpan w:val="2"/>
            <w:tcBorders>
              <w:top w:val="single" w:sz="4" w:space="0" w:color="auto"/>
              <w:left w:val="nil"/>
              <w:bottom w:val="single" w:sz="4" w:space="0" w:color="auto"/>
            </w:tcBorders>
            <w:shd w:val="clear" w:color="auto" w:fill="auto"/>
            <w:noWrap/>
            <w:vAlign w:val="bottom"/>
          </w:tcPr>
          <w:p w14:paraId="06B634D2" w14:textId="77777777" w:rsidR="001D2B3A" w:rsidRPr="009D4627" w:rsidRDefault="001D2B3A" w:rsidP="008B7149">
            <w:pPr>
              <w:spacing w:before="0" w:after="0" w:line="240" w:lineRule="auto"/>
              <w:jc w:val="center"/>
              <w:rPr>
                <w:rFonts w:eastAsia="Times New Roman"/>
                <w:b/>
                <w:bCs/>
                <w:color w:val="000000"/>
                <w:sz w:val="22"/>
                <w:szCs w:val="22"/>
                <w:lang w:val="en-MY" w:eastAsia="en-MY"/>
              </w:rPr>
            </w:pPr>
          </w:p>
        </w:tc>
        <w:tc>
          <w:tcPr>
            <w:tcW w:w="1178" w:type="pct"/>
            <w:tcBorders>
              <w:top w:val="single" w:sz="4" w:space="0" w:color="auto"/>
              <w:bottom w:val="single" w:sz="4" w:space="0" w:color="auto"/>
            </w:tcBorders>
            <w:shd w:val="clear" w:color="auto" w:fill="auto"/>
            <w:vAlign w:val="bottom"/>
          </w:tcPr>
          <w:p w14:paraId="171500B5" w14:textId="77777777" w:rsidR="001D2B3A" w:rsidRPr="009D4627" w:rsidRDefault="001D2B3A" w:rsidP="008B7149">
            <w:pPr>
              <w:spacing w:before="0" w:after="0" w:line="240" w:lineRule="auto"/>
              <w:jc w:val="left"/>
              <w:rPr>
                <w:rFonts w:eastAsia="Times New Roman"/>
                <w:b/>
                <w:bCs/>
                <w:color w:val="000000"/>
                <w:sz w:val="22"/>
                <w:szCs w:val="22"/>
                <w:lang w:val="en-MY" w:eastAsia="en-MY"/>
              </w:rPr>
            </w:pPr>
            <w:r w:rsidRPr="009D4627">
              <w:rPr>
                <w:rFonts w:eastAsia="Times New Roman"/>
                <w:b/>
                <w:bCs/>
                <w:color w:val="000000"/>
                <w:sz w:val="22"/>
                <w:szCs w:val="22"/>
                <w:lang w:val="en-MY" w:eastAsia="en-MY"/>
              </w:rPr>
              <w:t>Trial frequency Hz)</w:t>
            </w:r>
          </w:p>
        </w:tc>
        <w:tc>
          <w:tcPr>
            <w:tcW w:w="863" w:type="pct"/>
            <w:tcBorders>
              <w:top w:val="single" w:sz="4" w:space="0" w:color="auto"/>
              <w:bottom w:val="single" w:sz="4" w:space="0" w:color="auto"/>
            </w:tcBorders>
            <w:shd w:val="clear" w:color="auto" w:fill="auto"/>
            <w:vAlign w:val="bottom"/>
          </w:tcPr>
          <w:p w14:paraId="1BC8DDDF" w14:textId="77777777" w:rsidR="001D2B3A" w:rsidRPr="009D4627" w:rsidRDefault="001D2B3A" w:rsidP="008B7149">
            <w:pPr>
              <w:spacing w:before="0" w:after="0" w:line="240" w:lineRule="auto"/>
              <w:jc w:val="center"/>
              <w:rPr>
                <w:rFonts w:eastAsia="Times New Roman"/>
                <w:b/>
                <w:bCs/>
                <w:color w:val="000000"/>
                <w:sz w:val="22"/>
                <w:szCs w:val="22"/>
                <w:lang w:val="en-MY" w:eastAsia="en-MY"/>
              </w:rPr>
            </w:pPr>
            <w:r w:rsidRPr="009D4627">
              <w:rPr>
                <w:rFonts w:eastAsia="Times New Roman"/>
                <w:b/>
                <w:bCs/>
                <w:color w:val="000000"/>
                <w:sz w:val="22"/>
                <w:szCs w:val="22"/>
                <w:lang w:val="en-MY" w:eastAsia="en-MY"/>
              </w:rPr>
              <w:t>Affected eye</w:t>
            </w:r>
          </w:p>
        </w:tc>
        <w:tc>
          <w:tcPr>
            <w:tcW w:w="1150" w:type="pct"/>
            <w:tcBorders>
              <w:top w:val="single" w:sz="4" w:space="0" w:color="auto"/>
              <w:bottom w:val="single" w:sz="4" w:space="0" w:color="auto"/>
            </w:tcBorders>
            <w:shd w:val="clear" w:color="auto" w:fill="auto"/>
            <w:vAlign w:val="bottom"/>
          </w:tcPr>
          <w:p w14:paraId="03F47DBF" w14:textId="77777777" w:rsidR="001D2B3A" w:rsidRPr="009D4627" w:rsidRDefault="001D2B3A" w:rsidP="008B7149">
            <w:pPr>
              <w:spacing w:before="0" w:after="0" w:line="240" w:lineRule="auto"/>
              <w:jc w:val="center"/>
              <w:rPr>
                <w:rFonts w:eastAsia="Times New Roman"/>
                <w:b/>
                <w:bCs/>
                <w:color w:val="000000"/>
                <w:sz w:val="22"/>
                <w:szCs w:val="22"/>
                <w:lang w:val="en-MY" w:eastAsia="en-MY"/>
              </w:rPr>
            </w:pPr>
            <w:r w:rsidRPr="009D4627">
              <w:rPr>
                <w:rFonts w:eastAsia="Times New Roman"/>
                <w:b/>
                <w:bCs/>
                <w:color w:val="000000"/>
                <w:sz w:val="22"/>
                <w:szCs w:val="22"/>
                <w:lang w:val="en-MY" w:eastAsia="en-MY"/>
              </w:rPr>
              <w:t>Unaffected eye</w:t>
            </w:r>
          </w:p>
        </w:tc>
        <w:tc>
          <w:tcPr>
            <w:tcW w:w="537" w:type="pct"/>
            <w:tcBorders>
              <w:top w:val="single" w:sz="4" w:space="0" w:color="auto"/>
              <w:bottom w:val="single" w:sz="4" w:space="0" w:color="auto"/>
            </w:tcBorders>
            <w:shd w:val="clear" w:color="auto" w:fill="auto"/>
            <w:vAlign w:val="bottom"/>
          </w:tcPr>
          <w:p w14:paraId="5588B1AC" w14:textId="77777777" w:rsidR="001D2B3A" w:rsidRPr="009D4627" w:rsidRDefault="001D2B3A" w:rsidP="008B7149">
            <w:pPr>
              <w:spacing w:before="0" w:after="0" w:line="240" w:lineRule="auto"/>
              <w:jc w:val="center"/>
              <w:rPr>
                <w:rFonts w:eastAsia="Times New Roman"/>
                <w:b/>
                <w:bCs/>
                <w:color w:val="000000"/>
                <w:sz w:val="22"/>
                <w:szCs w:val="22"/>
                <w:lang w:val="en-MY" w:eastAsia="en-MY"/>
              </w:rPr>
            </w:pPr>
            <w:r w:rsidRPr="00974B3E">
              <w:rPr>
                <w:rFonts w:eastAsia="Times New Roman"/>
                <w:b/>
                <w:bCs/>
                <w:i/>
                <w:iCs/>
                <w:color w:val="000000"/>
                <w:sz w:val="22"/>
                <w:szCs w:val="22"/>
                <w:lang w:val="en-MY" w:eastAsia="en-MY"/>
              </w:rPr>
              <w:t>t</w:t>
            </w:r>
            <w:r w:rsidRPr="009D4627">
              <w:rPr>
                <w:rFonts w:eastAsia="Times New Roman"/>
                <w:b/>
                <w:bCs/>
                <w:color w:val="000000"/>
                <w:sz w:val="22"/>
                <w:szCs w:val="22"/>
                <w:lang w:val="en-MY" w:eastAsia="en-MY"/>
              </w:rPr>
              <w:t>-value</w:t>
            </w:r>
          </w:p>
        </w:tc>
        <w:tc>
          <w:tcPr>
            <w:tcW w:w="722" w:type="pct"/>
            <w:tcBorders>
              <w:top w:val="single" w:sz="4" w:space="0" w:color="auto"/>
              <w:bottom w:val="single" w:sz="4" w:space="0" w:color="auto"/>
            </w:tcBorders>
            <w:shd w:val="clear" w:color="auto" w:fill="auto"/>
            <w:vAlign w:val="bottom"/>
          </w:tcPr>
          <w:p w14:paraId="7814F08B" w14:textId="77777777" w:rsidR="001D2B3A" w:rsidRPr="009D4627" w:rsidRDefault="001D2B3A" w:rsidP="008B7149">
            <w:pPr>
              <w:spacing w:before="0" w:after="0" w:line="240" w:lineRule="auto"/>
              <w:jc w:val="right"/>
              <w:rPr>
                <w:rFonts w:eastAsia="Times New Roman"/>
                <w:b/>
                <w:bCs/>
                <w:color w:val="000000"/>
                <w:sz w:val="22"/>
                <w:szCs w:val="22"/>
                <w:lang w:val="en-MY" w:eastAsia="en-MY"/>
              </w:rPr>
            </w:pPr>
            <w:r w:rsidRPr="00974B3E">
              <w:rPr>
                <w:rFonts w:eastAsia="Times New Roman"/>
                <w:b/>
                <w:bCs/>
                <w:i/>
                <w:iCs/>
                <w:color w:val="000000"/>
                <w:sz w:val="22"/>
                <w:szCs w:val="22"/>
                <w:lang w:val="en-MY" w:eastAsia="en-MY"/>
              </w:rPr>
              <w:t>p</w:t>
            </w:r>
            <w:r w:rsidRPr="009D4627">
              <w:rPr>
                <w:rFonts w:eastAsia="Times New Roman"/>
                <w:b/>
                <w:bCs/>
                <w:color w:val="000000"/>
                <w:sz w:val="22"/>
                <w:szCs w:val="22"/>
                <w:lang w:val="en-MY" w:eastAsia="en-MY"/>
              </w:rPr>
              <w:t>-value</w:t>
            </w:r>
          </w:p>
        </w:tc>
      </w:tr>
      <w:tr w:rsidR="001D2B3A" w:rsidRPr="009D4627" w14:paraId="3CFF46F5" w14:textId="77777777" w:rsidTr="00E631B7">
        <w:trPr>
          <w:trHeight w:val="300"/>
        </w:trPr>
        <w:tc>
          <w:tcPr>
            <w:tcW w:w="539" w:type="pct"/>
            <w:tcBorders>
              <w:top w:val="single" w:sz="4" w:space="0" w:color="auto"/>
              <w:left w:val="nil"/>
            </w:tcBorders>
            <w:shd w:val="clear" w:color="auto" w:fill="auto"/>
            <w:noWrap/>
            <w:vAlign w:val="bottom"/>
            <w:hideMark/>
          </w:tcPr>
          <w:p w14:paraId="4739F36A" w14:textId="77777777" w:rsidR="001D2B3A" w:rsidRPr="009D4627" w:rsidRDefault="001D2B3A" w:rsidP="008B7149">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III</w:t>
            </w:r>
          </w:p>
        </w:tc>
        <w:tc>
          <w:tcPr>
            <w:tcW w:w="1189" w:type="pct"/>
            <w:gridSpan w:val="2"/>
            <w:tcBorders>
              <w:top w:val="single" w:sz="4" w:space="0" w:color="auto"/>
            </w:tcBorders>
            <w:shd w:val="clear" w:color="auto" w:fill="auto"/>
            <w:noWrap/>
            <w:vAlign w:val="bottom"/>
            <w:hideMark/>
          </w:tcPr>
          <w:p w14:paraId="153C0ED0" w14:textId="77777777"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tcBorders>
            <w:shd w:val="clear" w:color="auto" w:fill="auto"/>
            <w:noWrap/>
            <w:vAlign w:val="bottom"/>
            <w:hideMark/>
          </w:tcPr>
          <w:p w14:paraId="3C110B38" w14:textId="663D5BA8" w:rsidR="001D2B3A" w:rsidRPr="009D4627" w:rsidRDefault="0058748A" w:rsidP="008B7149">
            <w:pPr>
              <w:spacing w:before="0" w:after="0" w:line="240" w:lineRule="auto"/>
              <w:jc w:val="center"/>
              <w:rPr>
                <w:rFonts w:eastAsia="Times New Roman"/>
                <w:color w:val="000000"/>
                <w:sz w:val="22"/>
                <w:szCs w:val="22"/>
                <w:lang w:val="en-MY" w:eastAsia="en-MY"/>
              </w:rPr>
            </w:pPr>
            <w:r w:rsidRPr="009D4627">
              <w:rPr>
                <w:color w:val="000000"/>
                <w:sz w:val="22"/>
                <w:szCs w:val="22"/>
              </w:rPr>
              <w:t>1.04 (0.23)</w:t>
            </w:r>
          </w:p>
        </w:tc>
        <w:tc>
          <w:tcPr>
            <w:tcW w:w="1150" w:type="pct"/>
            <w:tcBorders>
              <w:top w:val="single" w:sz="4" w:space="0" w:color="auto"/>
            </w:tcBorders>
            <w:shd w:val="clear" w:color="auto" w:fill="auto"/>
            <w:noWrap/>
            <w:vAlign w:val="bottom"/>
            <w:hideMark/>
          </w:tcPr>
          <w:p w14:paraId="74E82C05" w14:textId="3E9EBC05"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color w:val="000000"/>
                <w:sz w:val="22"/>
                <w:szCs w:val="22"/>
              </w:rPr>
              <w:t>0.</w:t>
            </w:r>
            <w:r w:rsidR="0058748A" w:rsidRPr="009D4627">
              <w:rPr>
                <w:color w:val="000000"/>
                <w:sz w:val="22"/>
                <w:szCs w:val="22"/>
              </w:rPr>
              <w:t>84 (0.11)</w:t>
            </w:r>
          </w:p>
        </w:tc>
        <w:tc>
          <w:tcPr>
            <w:tcW w:w="537" w:type="pct"/>
            <w:tcBorders>
              <w:top w:val="single" w:sz="4" w:space="0" w:color="auto"/>
            </w:tcBorders>
            <w:shd w:val="clear" w:color="auto" w:fill="auto"/>
            <w:noWrap/>
            <w:vAlign w:val="bottom"/>
          </w:tcPr>
          <w:p w14:paraId="09EDC35E" w14:textId="5E654CA7" w:rsidR="001D2B3A" w:rsidRPr="009D4627" w:rsidRDefault="00E631B7"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w:t>
            </w:r>
            <w:r w:rsidR="00B235EF" w:rsidRPr="009D4627">
              <w:rPr>
                <w:rFonts w:eastAsia="Times New Roman"/>
                <w:color w:val="000000"/>
                <w:sz w:val="22"/>
                <w:szCs w:val="22"/>
                <w:lang w:val="en-MY" w:eastAsia="en-MY"/>
              </w:rPr>
              <w:t>0</w:t>
            </w:r>
          </w:p>
        </w:tc>
        <w:tc>
          <w:tcPr>
            <w:tcW w:w="722" w:type="pct"/>
            <w:tcBorders>
              <w:top w:val="single" w:sz="4" w:space="0" w:color="auto"/>
            </w:tcBorders>
            <w:shd w:val="clear" w:color="auto" w:fill="auto"/>
            <w:noWrap/>
            <w:vAlign w:val="bottom"/>
            <w:hideMark/>
          </w:tcPr>
          <w:p w14:paraId="016C90E5" w14:textId="12894F9C" w:rsidR="001D2B3A" w:rsidRPr="009D4627" w:rsidRDefault="00E631B7"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w:t>
            </w:r>
            <w:r w:rsidR="000C61CD" w:rsidRPr="009D4627">
              <w:rPr>
                <w:rFonts w:eastAsia="Times New Roman"/>
                <w:color w:val="000000"/>
                <w:sz w:val="22"/>
                <w:szCs w:val="22"/>
                <w:lang w:val="en-MY" w:eastAsia="en-MY"/>
              </w:rPr>
              <w:t>40</w:t>
            </w:r>
          </w:p>
        </w:tc>
      </w:tr>
      <w:tr w:rsidR="001D2B3A" w:rsidRPr="009D4627" w14:paraId="69B2AE14" w14:textId="77777777" w:rsidTr="00E631B7">
        <w:trPr>
          <w:trHeight w:val="300"/>
        </w:trPr>
        <w:tc>
          <w:tcPr>
            <w:tcW w:w="539" w:type="pct"/>
            <w:tcBorders>
              <w:left w:val="nil"/>
              <w:bottom w:val="nil"/>
              <w:right w:val="nil"/>
            </w:tcBorders>
            <w:shd w:val="clear" w:color="auto" w:fill="auto"/>
            <w:noWrap/>
            <w:vAlign w:val="bottom"/>
            <w:hideMark/>
          </w:tcPr>
          <w:p w14:paraId="2851ED76" w14:textId="77777777" w:rsidR="001D2B3A" w:rsidRPr="009D4627" w:rsidRDefault="001D2B3A" w:rsidP="008B7149">
            <w:pPr>
              <w:spacing w:before="0" w:after="0" w:line="240" w:lineRule="auto"/>
              <w:jc w:val="right"/>
              <w:rPr>
                <w:rFonts w:eastAsia="Times New Roman"/>
                <w:color w:val="000000"/>
                <w:sz w:val="22"/>
                <w:szCs w:val="22"/>
                <w:lang w:val="en-MY" w:eastAsia="en-MY"/>
              </w:rPr>
            </w:pPr>
          </w:p>
        </w:tc>
        <w:tc>
          <w:tcPr>
            <w:tcW w:w="1189" w:type="pct"/>
            <w:gridSpan w:val="2"/>
            <w:tcBorders>
              <w:left w:val="nil"/>
              <w:bottom w:val="nil"/>
              <w:right w:val="nil"/>
            </w:tcBorders>
            <w:shd w:val="clear" w:color="auto" w:fill="auto"/>
            <w:noWrap/>
            <w:vAlign w:val="bottom"/>
            <w:hideMark/>
          </w:tcPr>
          <w:p w14:paraId="6A0F9F9B" w14:textId="77777777"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left w:val="nil"/>
              <w:bottom w:val="nil"/>
              <w:right w:val="nil"/>
            </w:tcBorders>
            <w:shd w:val="clear" w:color="auto" w:fill="auto"/>
            <w:noWrap/>
            <w:vAlign w:val="bottom"/>
            <w:hideMark/>
          </w:tcPr>
          <w:p w14:paraId="746AF20B" w14:textId="6D1DCACB"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color w:val="000000"/>
                <w:sz w:val="22"/>
                <w:szCs w:val="22"/>
              </w:rPr>
              <w:t>0.6</w:t>
            </w:r>
            <w:r w:rsidR="0058748A" w:rsidRPr="009D4627">
              <w:rPr>
                <w:color w:val="000000"/>
                <w:sz w:val="22"/>
                <w:szCs w:val="22"/>
              </w:rPr>
              <w:t>0 (0.20)</w:t>
            </w:r>
          </w:p>
        </w:tc>
        <w:tc>
          <w:tcPr>
            <w:tcW w:w="1150" w:type="pct"/>
            <w:tcBorders>
              <w:left w:val="nil"/>
              <w:bottom w:val="nil"/>
              <w:right w:val="nil"/>
            </w:tcBorders>
            <w:shd w:val="clear" w:color="auto" w:fill="auto"/>
            <w:noWrap/>
            <w:vAlign w:val="bottom"/>
            <w:hideMark/>
          </w:tcPr>
          <w:p w14:paraId="45D4900C" w14:textId="06A4A63C"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color w:val="000000"/>
                <w:sz w:val="22"/>
                <w:szCs w:val="22"/>
              </w:rPr>
              <w:t>0.</w:t>
            </w:r>
            <w:r w:rsidR="0058748A" w:rsidRPr="009D4627">
              <w:rPr>
                <w:color w:val="000000"/>
                <w:sz w:val="22"/>
                <w:szCs w:val="22"/>
              </w:rPr>
              <w:t>66 (0.14)</w:t>
            </w:r>
          </w:p>
        </w:tc>
        <w:tc>
          <w:tcPr>
            <w:tcW w:w="537" w:type="pct"/>
            <w:tcBorders>
              <w:left w:val="nil"/>
              <w:bottom w:val="nil"/>
              <w:right w:val="nil"/>
            </w:tcBorders>
            <w:shd w:val="clear" w:color="auto" w:fill="auto"/>
            <w:noWrap/>
            <w:vAlign w:val="bottom"/>
          </w:tcPr>
          <w:p w14:paraId="06A70689" w14:textId="171A55DE" w:rsidR="001D2B3A" w:rsidRPr="009D4627" w:rsidRDefault="00E631B7"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-1.19</w:t>
            </w:r>
          </w:p>
        </w:tc>
        <w:tc>
          <w:tcPr>
            <w:tcW w:w="722" w:type="pct"/>
            <w:tcBorders>
              <w:left w:val="nil"/>
              <w:bottom w:val="nil"/>
              <w:right w:val="nil"/>
            </w:tcBorders>
            <w:shd w:val="clear" w:color="auto" w:fill="auto"/>
            <w:noWrap/>
            <w:vAlign w:val="bottom"/>
            <w:hideMark/>
          </w:tcPr>
          <w:p w14:paraId="50B27801" w14:textId="7FE0B385" w:rsidR="001D2B3A" w:rsidRPr="009D4627" w:rsidRDefault="00E631B7"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0.24</w:t>
            </w:r>
          </w:p>
        </w:tc>
      </w:tr>
      <w:tr w:rsidR="001D2B3A" w:rsidRPr="009D4627" w14:paraId="2E6FF338" w14:textId="77777777" w:rsidTr="00E631B7">
        <w:trPr>
          <w:trHeight w:val="300"/>
        </w:trPr>
        <w:tc>
          <w:tcPr>
            <w:tcW w:w="539" w:type="pct"/>
            <w:tcBorders>
              <w:top w:val="nil"/>
              <w:left w:val="nil"/>
              <w:right w:val="nil"/>
            </w:tcBorders>
            <w:shd w:val="clear" w:color="auto" w:fill="auto"/>
            <w:noWrap/>
            <w:vAlign w:val="bottom"/>
            <w:hideMark/>
          </w:tcPr>
          <w:p w14:paraId="06CD2ECE" w14:textId="77777777" w:rsidR="001D2B3A" w:rsidRPr="009D4627" w:rsidRDefault="001D2B3A" w:rsidP="008B714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088939C8" w14:textId="77777777"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hideMark/>
          </w:tcPr>
          <w:p w14:paraId="137A4FD4" w14:textId="4EDD5A17"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color w:val="000000"/>
                <w:sz w:val="22"/>
                <w:szCs w:val="22"/>
              </w:rPr>
              <w:t>0.</w:t>
            </w:r>
            <w:r w:rsidR="0058748A" w:rsidRPr="009D4627">
              <w:rPr>
                <w:color w:val="000000"/>
                <w:sz w:val="22"/>
                <w:szCs w:val="22"/>
              </w:rPr>
              <w:t>42 (</w:t>
            </w:r>
            <w:r w:rsidR="00E631B7" w:rsidRPr="009D4627">
              <w:rPr>
                <w:color w:val="000000"/>
                <w:sz w:val="22"/>
                <w:szCs w:val="22"/>
              </w:rPr>
              <w:t>0.22)</w:t>
            </w:r>
          </w:p>
        </w:tc>
        <w:tc>
          <w:tcPr>
            <w:tcW w:w="1150" w:type="pct"/>
            <w:tcBorders>
              <w:top w:val="nil"/>
              <w:left w:val="nil"/>
              <w:right w:val="nil"/>
            </w:tcBorders>
            <w:shd w:val="clear" w:color="auto" w:fill="auto"/>
            <w:noWrap/>
            <w:vAlign w:val="bottom"/>
            <w:hideMark/>
          </w:tcPr>
          <w:p w14:paraId="565524E6" w14:textId="3529C3F4"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color w:val="000000"/>
                <w:sz w:val="22"/>
                <w:szCs w:val="22"/>
              </w:rPr>
              <w:t>0.</w:t>
            </w:r>
            <w:r w:rsidR="00E631B7" w:rsidRPr="009D4627">
              <w:rPr>
                <w:color w:val="000000"/>
                <w:sz w:val="22"/>
                <w:szCs w:val="22"/>
              </w:rPr>
              <w:t>53 (0.21)</w:t>
            </w:r>
          </w:p>
        </w:tc>
        <w:tc>
          <w:tcPr>
            <w:tcW w:w="537" w:type="pct"/>
            <w:tcBorders>
              <w:top w:val="nil"/>
              <w:left w:val="nil"/>
              <w:right w:val="nil"/>
            </w:tcBorders>
            <w:shd w:val="clear" w:color="auto" w:fill="auto"/>
            <w:noWrap/>
            <w:vAlign w:val="bottom"/>
          </w:tcPr>
          <w:p w14:paraId="1B755DD4" w14:textId="3A6C5D3F" w:rsidR="001D2B3A" w:rsidRPr="009D4627" w:rsidRDefault="00EE17B9"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-1.4</w:t>
            </w:r>
            <w:r w:rsidR="00B235EF" w:rsidRPr="009D4627">
              <w:rPr>
                <w:rFonts w:eastAsia="Times New Roman"/>
                <w:color w:val="000000"/>
                <w:sz w:val="22"/>
                <w:szCs w:val="22"/>
                <w:lang w:val="en-MY" w:eastAsia="en-MY"/>
              </w:rPr>
              <w:t>3</w:t>
            </w:r>
          </w:p>
        </w:tc>
        <w:tc>
          <w:tcPr>
            <w:tcW w:w="722" w:type="pct"/>
            <w:tcBorders>
              <w:top w:val="nil"/>
              <w:left w:val="nil"/>
              <w:right w:val="nil"/>
            </w:tcBorders>
            <w:shd w:val="clear" w:color="auto" w:fill="auto"/>
            <w:noWrap/>
            <w:vAlign w:val="bottom"/>
            <w:hideMark/>
          </w:tcPr>
          <w:p w14:paraId="009D526E" w14:textId="54B89EAE" w:rsidR="001D2B3A" w:rsidRPr="009D4627" w:rsidRDefault="00EE17B9"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0.16</w:t>
            </w:r>
          </w:p>
        </w:tc>
      </w:tr>
      <w:tr w:rsidR="001D2B3A" w:rsidRPr="009D4627" w14:paraId="0E1E26E9" w14:textId="77777777" w:rsidTr="00E631B7">
        <w:trPr>
          <w:trHeight w:val="300"/>
        </w:trPr>
        <w:tc>
          <w:tcPr>
            <w:tcW w:w="539" w:type="pct"/>
            <w:tcBorders>
              <w:top w:val="nil"/>
              <w:left w:val="nil"/>
              <w:bottom w:val="single" w:sz="4" w:space="0" w:color="auto"/>
              <w:right w:val="nil"/>
            </w:tcBorders>
            <w:shd w:val="clear" w:color="auto" w:fill="auto"/>
            <w:noWrap/>
            <w:vAlign w:val="bottom"/>
            <w:hideMark/>
          </w:tcPr>
          <w:p w14:paraId="17D27A19" w14:textId="77777777" w:rsidR="001D2B3A" w:rsidRPr="009D4627" w:rsidRDefault="001D2B3A" w:rsidP="008B714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00A2CC64" w14:textId="77777777"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hideMark/>
          </w:tcPr>
          <w:p w14:paraId="0087D61C" w14:textId="4FAAA3AF" w:rsidR="001D2B3A" w:rsidRPr="009D4627" w:rsidRDefault="00E631B7" w:rsidP="008B714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0.33 (0.16)</w:t>
            </w:r>
          </w:p>
        </w:tc>
        <w:tc>
          <w:tcPr>
            <w:tcW w:w="1150" w:type="pct"/>
            <w:tcBorders>
              <w:top w:val="nil"/>
              <w:left w:val="nil"/>
              <w:bottom w:val="single" w:sz="4" w:space="0" w:color="auto"/>
              <w:right w:val="nil"/>
            </w:tcBorders>
            <w:shd w:val="clear" w:color="auto" w:fill="auto"/>
            <w:noWrap/>
            <w:vAlign w:val="bottom"/>
            <w:hideMark/>
          </w:tcPr>
          <w:p w14:paraId="762DADB9" w14:textId="6D1BDB12" w:rsidR="001D2B3A" w:rsidRPr="009D4627" w:rsidRDefault="001D2B3A" w:rsidP="008B7149">
            <w:pPr>
              <w:spacing w:before="0" w:after="0" w:line="240" w:lineRule="auto"/>
              <w:jc w:val="center"/>
              <w:rPr>
                <w:rFonts w:eastAsia="Times New Roman"/>
                <w:color w:val="000000"/>
                <w:sz w:val="22"/>
                <w:szCs w:val="22"/>
                <w:lang w:val="en-MY" w:eastAsia="en-MY"/>
              </w:rPr>
            </w:pPr>
            <w:r w:rsidRPr="009D4627">
              <w:rPr>
                <w:color w:val="000000"/>
                <w:sz w:val="22"/>
                <w:szCs w:val="22"/>
              </w:rPr>
              <w:t>0.</w:t>
            </w:r>
            <w:r w:rsidR="00E631B7" w:rsidRPr="009D4627">
              <w:rPr>
                <w:color w:val="000000"/>
                <w:sz w:val="22"/>
                <w:szCs w:val="22"/>
              </w:rPr>
              <w:t>35 (0.15)</w:t>
            </w:r>
          </w:p>
        </w:tc>
        <w:tc>
          <w:tcPr>
            <w:tcW w:w="537" w:type="pct"/>
            <w:tcBorders>
              <w:top w:val="nil"/>
              <w:left w:val="nil"/>
              <w:bottom w:val="single" w:sz="4" w:space="0" w:color="auto"/>
              <w:right w:val="nil"/>
            </w:tcBorders>
            <w:shd w:val="clear" w:color="auto" w:fill="auto"/>
            <w:noWrap/>
            <w:vAlign w:val="bottom"/>
          </w:tcPr>
          <w:p w14:paraId="516E9315" w14:textId="6F5D3209" w:rsidR="001D2B3A" w:rsidRPr="009D4627" w:rsidRDefault="00EE17B9"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B235EF" w:rsidRPr="009D4627">
              <w:rPr>
                <w:rFonts w:eastAsia="Times New Roman"/>
                <w:color w:val="000000"/>
                <w:sz w:val="22"/>
                <w:szCs w:val="22"/>
                <w:lang w:val="en-MY" w:eastAsia="en-MY"/>
              </w:rPr>
              <w:t>2</w:t>
            </w:r>
          </w:p>
        </w:tc>
        <w:tc>
          <w:tcPr>
            <w:tcW w:w="722" w:type="pct"/>
            <w:tcBorders>
              <w:top w:val="nil"/>
              <w:left w:val="nil"/>
              <w:bottom w:val="single" w:sz="4" w:space="0" w:color="auto"/>
              <w:right w:val="nil"/>
            </w:tcBorders>
            <w:shd w:val="clear" w:color="auto" w:fill="auto"/>
            <w:noWrap/>
            <w:vAlign w:val="bottom"/>
            <w:hideMark/>
          </w:tcPr>
          <w:p w14:paraId="1A0D5FBA" w14:textId="2B65788A" w:rsidR="001D2B3A" w:rsidRPr="009D4627" w:rsidRDefault="00EE17B9" w:rsidP="008B714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0.6</w:t>
            </w:r>
            <w:r w:rsidR="000C61CD" w:rsidRPr="009D4627">
              <w:rPr>
                <w:rFonts w:eastAsia="Times New Roman"/>
                <w:color w:val="000000"/>
                <w:sz w:val="22"/>
                <w:szCs w:val="22"/>
                <w:lang w:val="en-MY" w:eastAsia="en-MY"/>
              </w:rPr>
              <w:t>8</w:t>
            </w:r>
          </w:p>
        </w:tc>
      </w:tr>
      <w:tr w:rsidR="00E631B7" w:rsidRPr="009D4627" w14:paraId="35FF8BF6" w14:textId="77777777" w:rsidTr="00E631B7">
        <w:trPr>
          <w:trHeight w:val="300"/>
        </w:trPr>
        <w:tc>
          <w:tcPr>
            <w:tcW w:w="539" w:type="pct"/>
            <w:tcBorders>
              <w:top w:val="single" w:sz="4" w:space="0" w:color="auto"/>
              <w:left w:val="nil"/>
              <w:bottom w:val="nil"/>
              <w:right w:val="nil"/>
            </w:tcBorders>
            <w:shd w:val="clear" w:color="auto" w:fill="auto"/>
            <w:noWrap/>
            <w:vAlign w:val="bottom"/>
            <w:hideMark/>
          </w:tcPr>
          <w:p w14:paraId="35C75EEF" w14:textId="77777777" w:rsidR="00E631B7" w:rsidRPr="009D4627" w:rsidRDefault="00E631B7" w:rsidP="00E631B7">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IV</w:t>
            </w:r>
          </w:p>
        </w:tc>
        <w:tc>
          <w:tcPr>
            <w:tcW w:w="1189" w:type="pct"/>
            <w:gridSpan w:val="2"/>
            <w:tcBorders>
              <w:top w:val="single" w:sz="4" w:space="0" w:color="auto"/>
              <w:left w:val="nil"/>
              <w:bottom w:val="nil"/>
              <w:right w:val="nil"/>
            </w:tcBorders>
            <w:shd w:val="clear" w:color="auto" w:fill="auto"/>
            <w:noWrap/>
            <w:vAlign w:val="bottom"/>
            <w:hideMark/>
          </w:tcPr>
          <w:p w14:paraId="3C91C9B2" w14:textId="77777777"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3FF38775" w14:textId="08462384"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0.94 (0.05)</w:t>
            </w:r>
          </w:p>
        </w:tc>
        <w:tc>
          <w:tcPr>
            <w:tcW w:w="1150" w:type="pct"/>
            <w:tcBorders>
              <w:top w:val="single" w:sz="4" w:space="0" w:color="auto"/>
              <w:left w:val="nil"/>
              <w:bottom w:val="nil"/>
              <w:right w:val="nil"/>
            </w:tcBorders>
            <w:shd w:val="clear" w:color="auto" w:fill="auto"/>
            <w:noWrap/>
            <w:vAlign w:val="bottom"/>
          </w:tcPr>
          <w:p w14:paraId="7CA06C84" w14:textId="636A82A9"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0.97 (0.05)</w:t>
            </w:r>
          </w:p>
        </w:tc>
        <w:tc>
          <w:tcPr>
            <w:tcW w:w="537" w:type="pct"/>
            <w:tcBorders>
              <w:top w:val="single" w:sz="4" w:space="0" w:color="auto"/>
              <w:left w:val="nil"/>
              <w:bottom w:val="nil"/>
              <w:right w:val="nil"/>
            </w:tcBorders>
            <w:shd w:val="clear" w:color="auto" w:fill="auto"/>
            <w:noWrap/>
            <w:vAlign w:val="bottom"/>
          </w:tcPr>
          <w:p w14:paraId="316FFC10" w14:textId="17171973"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0.88</w:t>
            </w:r>
          </w:p>
        </w:tc>
        <w:tc>
          <w:tcPr>
            <w:tcW w:w="722" w:type="pct"/>
            <w:tcBorders>
              <w:top w:val="single" w:sz="4" w:space="0" w:color="auto"/>
              <w:left w:val="nil"/>
              <w:bottom w:val="nil"/>
              <w:right w:val="nil"/>
            </w:tcBorders>
            <w:shd w:val="clear" w:color="auto" w:fill="auto"/>
            <w:noWrap/>
            <w:vAlign w:val="bottom"/>
            <w:hideMark/>
          </w:tcPr>
          <w:p w14:paraId="3025D23F" w14:textId="381611B7"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0C61CD" w:rsidRPr="009D4627">
              <w:rPr>
                <w:rFonts w:eastAsia="Times New Roman"/>
                <w:color w:val="000000"/>
                <w:sz w:val="22"/>
                <w:szCs w:val="22"/>
                <w:lang w:val="en-MY" w:eastAsia="en-MY"/>
              </w:rPr>
              <w:t>0</w:t>
            </w:r>
          </w:p>
        </w:tc>
      </w:tr>
      <w:tr w:rsidR="00E631B7" w:rsidRPr="009D4627" w14:paraId="7FA2BEA8" w14:textId="77777777" w:rsidTr="00E631B7">
        <w:trPr>
          <w:trHeight w:val="300"/>
        </w:trPr>
        <w:tc>
          <w:tcPr>
            <w:tcW w:w="539" w:type="pct"/>
            <w:tcBorders>
              <w:top w:val="nil"/>
              <w:left w:val="nil"/>
              <w:bottom w:val="nil"/>
              <w:right w:val="nil"/>
            </w:tcBorders>
            <w:shd w:val="clear" w:color="auto" w:fill="auto"/>
            <w:noWrap/>
            <w:vAlign w:val="bottom"/>
            <w:hideMark/>
          </w:tcPr>
          <w:p w14:paraId="27A92460" w14:textId="77777777" w:rsidR="00E631B7" w:rsidRPr="009D4627" w:rsidRDefault="00E631B7" w:rsidP="00E631B7">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1EE53FB5" w14:textId="77777777"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5BC9CB82" w14:textId="759BCB90"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0.85 (0.06)</w:t>
            </w:r>
          </w:p>
        </w:tc>
        <w:tc>
          <w:tcPr>
            <w:tcW w:w="1150" w:type="pct"/>
            <w:tcBorders>
              <w:top w:val="nil"/>
              <w:left w:val="nil"/>
              <w:bottom w:val="nil"/>
              <w:right w:val="nil"/>
            </w:tcBorders>
            <w:shd w:val="clear" w:color="auto" w:fill="auto"/>
            <w:noWrap/>
            <w:vAlign w:val="bottom"/>
          </w:tcPr>
          <w:p w14:paraId="67912260" w14:textId="310A3929"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0.93 (0.09)</w:t>
            </w:r>
          </w:p>
        </w:tc>
        <w:tc>
          <w:tcPr>
            <w:tcW w:w="537" w:type="pct"/>
            <w:tcBorders>
              <w:top w:val="nil"/>
              <w:left w:val="nil"/>
              <w:bottom w:val="nil"/>
              <w:right w:val="nil"/>
            </w:tcBorders>
            <w:shd w:val="clear" w:color="auto" w:fill="auto"/>
            <w:noWrap/>
            <w:vAlign w:val="bottom"/>
          </w:tcPr>
          <w:p w14:paraId="45E0A925" w14:textId="262770C2"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-1.7</w:t>
            </w:r>
            <w:r w:rsidR="00B235EF" w:rsidRPr="009D4627">
              <w:rPr>
                <w:rFonts w:eastAsia="Times New Roman"/>
                <w:color w:val="000000"/>
                <w:sz w:val="22"/>
                <w:szCs w:val="22"/>
                <w:lang w:val="en-MY" w:eastAsia="en-MY"/>
              </w:rPr>
              <w:t>6</w:t>
            </w:r>
          </w:p>
        </w:tc>
        <w:tc>
          <w:tcPr>
            <w:tcW w:w="722" w:type="pct"/>
            <w:tcBorders>
              <w:top w:val="nil"/>
              <w:left w:val="nil"/>
              <w:bottom w:val="nil"/>
              <w:right w:val="nil"/>
            </w:tcBorders>
            <w:shd w:val="clear" w:color="auto" w:fill="auto"/>
            <w:noWrap/>
            <w:vAlign w:val="bottom"/>
            <w:hideMark/>
          </w:tcPr>
          <w:p w14:paraId="56C5DC56" w14:textId="04FFAAA7"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0.1</w:t>
            </w:r>
            <w:r w:rsidR="000C61CD" w:rsidRPr="009D4627">
              <w:rPr>
                <w:rFonts w:eastAsia="Times New Roman"/>
                <w:color w:val="000000"/>
                <w:sz w:val="22"/>
                <w:szCs w:val="22"/>
                <w:lang w:val="en-MY" w:eastAsia="en-MY"/>
              </w:rPr>
              <w:t>2</w:t>
            </w:r>
          </w:p>
        </w:tc>
      </w:tr>
      <w:tr w:rsidR="00E631B7" w:rsidRPr="009D4627" w14:paraId="5CAB00AF" w14:textId="77777777" w:rsidTr="00E631B7">
        <w:trPr>
          <w:trHeight w:val="300"/>
        </w:trPr>
        <w:tc>
          <w:tcPr>
            <w:tcW w:w="539" w:type="pct"/>
            <w:tcBorders>
              <w:top w:val="nil"/>
              <w:left w:val="nil"/>
              <w:right w:val="nil"/>
            </w:tcBorders>
            <w:shd w:val="clear" w:color="auto" w:fill="auto"/>
            <w:noWrap/>
            <w:vAlign w:val="bottom"/>
            <w:hideMark/>
          </w:tcPr>
          <w:p w14:paraId="2179370F" w14:textId="77777777" w:rsidR="00E631B7" w:rsidRPr="009D4627" w:rsidRDefault="00E631B7" w:rsidP="00E631B7">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4241F006" w14:textId="77777777"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tcPr>
          <w:p w14:paraId="76A1EB25" w14:textId="3970DC1D"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0.73 (0.05)</w:t>
            </w:r>
          </w:p>
        </w:tc>
        <w:tc>
          <w:tcPr>
            <w:tcW w:w="1150" w:type="pct"/>
            <w:tcBorders>
              <w:top w:val="nil"/>
              <w:left w:val="nil"/>
              <w:right w:val="nil"/>
            </w:tcBorders>
            <w:shd w:val="clear" w:color="auto" w:fill="auto"/>
            <w:noWrap/>
            <w:vAlign w:val="bottom"/>
          </w:tcPr>
          <w:p w14:paraId="3CC6E9E5" w14:textId="1D803A62"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0.75 (0.11)</w:t>
            </w:r>
          </w:p>
        </w:tc>
        <w:tc>
          <w:tcPr>
            <w:tcW w:w="537" w:type="pct"/>
            <w:tcBorders>
              <w:top w:val="nil"/>
              <w:left w:val="nil"/>
              <w:right w:val="nil"/>
            </w:tcBorders>
            <w:shd w:val="clear" w:color="auto" w:fill="auto"/>
            <w:noWrap/>
            <w:vAlign w:val="bottom"/>
          </w:tcPr>
          <w:p w14:paraId="3607CEFB" w14:textId="57D339BF"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-0.3</w:t>
            </w:r>
            <w:r w:rsidR="00B235EF" w:rsidRPr="009D4627">
              <w:rPr>
                <w:rFonts w:eastAsia="Times New Roman"/>
                <w:color w:val="000000"/>
                <w:sz w:val="22"/>
                <w:szCs w:val="22"/>
                <w:lang w:val="en-MY" w:eastAsia="en-MY"/>
              </w:rPr>
              <w:t>5</w:t>
            </w:r>
          </w:p>
        </w:tc>
        <w:tc>
          <w:tcPr>
            <w:tcW w:w="722" w:type="pct"/>
            <w:tcBorders>
              <w:top w:val="nil"/>
              <w:left w:val="nil"/>
              <w:right w:val="nil"/>
            </w:tcBorders>
            <w:shd w:val="clear" w:color="auto" w:fill="auto"/>
            <w:noWrap/>
            <w:vAlign w:val="bottom"/>
            <w:hideMark/>
          </w:tcPr>
          <w:p w14:paraId="649C5663" w14:textId="57E325BF"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0.7</w:t>
            </w:r>
            <w:r w:rsidR="000C61CD" w:rsidRPr="009D4627">
              <w:rPr>
                <w:rFonts w:eastAsia="Times New Roman"/>
                <w:color w:val="000000"/>
                <w:sz w:val="22"/>
                <w:szCs w:val="22"/>
                <w:lang w:val="en-MY" w:eastAsia="en-MY"/>
              </w:rPr>
              <w:t>4</w:t>
            </w:r>
          </w:p>
        </w:tc>
      </w:tr>
      <w:tr w:rsidR="00E631B7" w:rsidRPr="009D4627" w14:paraId="7BC679EC" w14:textId="77777777" w:rsidTr="00E631B7">
        <w:trPr>
          <w:trHeight w:val="300"/>
        </w:trPr>
        <w:tc>
          <w:tcPr>
            <w:tcW w:w="539" w:type="pct"/>
            <w:tcBorders>
              <w:top w:val="nil"/>
              <w:left w:val="nil"/>
              <w:bottom w:val="single" w:sz="4" w:space="0" w:color="auto"/>
              <w:right w:val="nil"/>
            </w:tcBorders>
            <w:shd w:val="clear" w:color="auto" w:fill="auto"/>
            <w:noWrap/>
            <w:vAlign w:val="bottom"/>
            <w:hideMark/>
          </w:tcPr>
          <w:p w14:paraId="274628EB" w14:textId="77777777" w:rsidR="00E631B7" w:rsidRPr="009D4627" w:rsidRDefault="00E631B7" w:rsidP="00E631B7">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499C9610" w14:textId="77777777"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1735C3B9" w14:textId="48C0A7E7"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0.68 (0.03)</w:t>
            </w:r>
          </w:p>
        </w:tc>
        <w:tc>
          <w:tcPr>
            <w:tcW w:w="1150" w:type="pct"/>
            <w:tcBorders>
              <w:top w:val="nil"/>
              <w:left w:val="nil"/>
              <w:bottom w:val="single" w:sz="4" w:space="0" w:color="auto"/>
              <w:right w:val="nil"/>
            </w:tcBorders>
            <w:shd w:val="clear" w:color="auto" w:fill="auto"/>
            <w:noWrap/>
            <w:vAlign w:val="bottom"/>
          </w:tcPr>
          <w:p w14:paraId="04A256DE" w14:textId="09D50F4C"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0.76 (0.04)</w:t>
            </w:r>
          </w:p>
        </w:tc>
        <w:tc>
          <w:tcPr>
            <w:tcW w:w="537" w:type="pct"/>
            <w:tcBorders>
              <w:top w:val="nil"/>
              <w:left w:val="nil"/>
              <w:bottom w:val="single" w:sz="4" w:space="0" w:color="auto"/>
              <w:right w:val="nil"/>
            </w:tcBorders>
            <w:shd w:val="clear" w:color="auto" w:fill="auto"/>
            <w:noWrap/>
            <w:vAlign w:val="bottom"/>
          </w:tcPr>
          <w:p w14:paraId="62EB4123" w14:textId="54B08DEE"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w:t>
            </w:r>
            <w:r w:rsidR="00B235EF" w:rsidRPr="009D4627">
              <w:rPr>
                <w:rFonts w:eastAsia="Times New Roman"/>
                <w:color w:val="000000"/>
                <w:sz w:val="22"/>
                <w:szCs w:val="22"/>
                <w:lang w:val="en-MY" w:eastAsia="en-MY"/>
              </w:rPr>
              <w:t>5</w:t>
            </w:r>
          </w:p>
        </w:tc>
        <w:tc>
          <w:tcPr>
            <w:tcW w:w="722" w:type="pct"/>
            <w:tcBorders>
              <w:top w:val="nil"/>
              <w:left w:val="nil"/>
              <w:bottom w:val="single" w:sz="4" w:space="0" w:color="auto"/>
              <w:right w:val="nil"/>
            </w:tcBorders>
            <w:shd w:val="clear" w:color="auto" w:fill="auto"/>
            <w:noWrap/>
            <w:vAlign w:val="bottom"/>
            <w:hideMark/>
          </w:tcPr>
          <w:p w14:paraId="762EC848" w14:textId="30C39426"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0.01*</w:t>
            </w:r>
          </w:p>
        </w:tc>
      </w:tr>
      <w:tr w:rsidR="00E631B7" w:rsidRPr="009D4627" w14:paraId="0E176F19" w14:textId="77777777" w:rsidTr="00E631B7">
        <w:trPr>
          <w:trHeight w:val="300"/>
        </w:trPr>
        <w:tc>
          <w:tcPr>
            <w:tcW w:w="539" w:type="pct"/>
            <w:tcBorders>
              <w:top w:val="single" w:sz="4" w:space="0" w:color="auto"/>
              <w:left w:val="nil"/>
              <w:bottom w:val="nil"/>
              <w:right w:val="nil"/>
            </w:tcBorders>
            <w:shd w:val="clear" w:color="auto" w:fill="auto"/>
            <w:noWrap/>
            <w:vAlign w:val="bottom"/>
            <w:hideMark/>
          </w:tcPr>
          <w:p w14:paraId="08405809" w14:textId="77777777" w:rsidR="00E631B7" w:rsidRPr="009D4627" w:rsidRDefault="00E631B7" w:rsidP="00E631B7">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VI</w:t>
            </w:r>
          </w:p>
        </w:tc>
        <w:tc>
          <w:tcPr>
            <w:tcW w:w="1189" w:type="pct"/>
            <w:gridSpan w:val="2"/>
            <w:tcBorders>
              <w:top w:val="single" w:sz="4" w:space="0" w:color="auto"/>
              <w:left w:val="nil"/>
              <w:bottom w:val="nil"/>
              <w:right w:val="nil"/>
            </w:tcBorders>
            <w:shd w:val="clear" w:color="auto" w:fill="auto"/>
            <w:noWrap/>
            <w:vAlign w:val="bottom"/>
            <w:hideMark/>
          </w:tcPr>
          <w:p w14:paraId="277E0A24" w14:textId="77777777"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2957DBC0" w14:textId="4F58D6DA"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0.77 (0.13)</w:t>
            </w:r>
          </w:p>
        </w:tc>
        <w:tc>
          <w:tcPr>
            <w:tcW w:w="1150" w:type="pct"/>
            <w:tcBorders>
              <w:top w:val="single" w:sz="4" w:space="0" w:color="auto"/>
              <w:left w:val="nil"/>
              <w:bottom w:val="nil"/>
              <w:right w:val="nil"/>
            </w:tcBorders>
            <w:shd w:val="clear" w:color="auto" w:fill="auto"/>
            <w:noWrap/>
            <w:vAlign w:val="bottom"/>
          </w:tcPr>
          <w:p w14:paraId="2A9611F8" w14:textId="4ACB1C20" w:rsidR="00E631B7" w:rsidRPr="009D4627" w:rsidRDefault="00E631B7" w:rsidP="00E631B7">
            <w:pPr>
              <w:spacing w:before="0" w:after="0" w:line="240" w:lineRule="auto"/>
              <w:jc w:val="center"/>
              <w:rPr>
                <w:rFonts w:eastAsia="Times New Roman"/>
                <w:color w:val="000000"/>
                <w:sz w:val="22"/>
                <w:szCs w:val="22"/>
                <w:lang w:val="en-MY" w:eastAsia="en-MY"/>
              </w:rPr>
            </w:pPr>
            <w:r w:rsidRPr="009D4627">
              <w:rPr>
                <w:color w:val="000000"/>
                <w:sz w:val="22"/>
                <w:szCs w:val="22"/>
              </w:rPr>
              <w:t>0.77 (0.08)</w:t>
            </w:r>
          </w:p>
        </w:tc>
        <w:tc>
          <w:tcPr>
            <w:tcW w:w="537" w:type="pct"/>
            <w:tcBorders>
              <w:top w:val="single" w:sz="4" w:space="0" w:color="auto"/>
              <w:left w:val="nil"/>
              <w:bottom w:val="nil"/>
              <w:right w:val="nil"/>
            </w:tcBorders>
            <w:shd w:val="clear" w:color="auto" w:fill="auto"/>
            <w:noWrap/>
            <w:vAlign w:val="bottom"/>
          </w:tcPr>
          <w:p w14:paraId="5A3C19EE" w14:textId="185E35D6"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w:t>
            </w:r>
            <w:r w:rsidR="00B235EF" w:rsidRPr="009D4627">
              <w:rPr>
                <w:rFonts w:eastAsia="Times New Roman"/>
                <w:color w:val="000000"/>
                <w:sz w:val="22"/>
                <w:szCs w:val="22"/>
                <w:lang w:val="en-MY" w:eastAsia="en-MY"/>
              </w:rPr>
              <w:t>2</w:t>
            </w:r>
          </w:p>
        </w:tc>
        <w:tc>
          <w:tcPr>
            <w:tcW w:w="722" w:type="pct"/>
            <w:tcBorders>
              <w:top w:val="single" w:sz="4" w:space="0" w:color="auto"/>
              <w:left w:val="nil"/>
              <w:bottom w:val="nil"/>
              <w:right w:val="nil"/>
            </w:tcBorders>
            <w:shd w:val="clear" w:color="auto" w:fill="auto"/>
            <w:noWrap/>
            <w:vAlign w:val="bottom"/>
            <w:hideMark/>
          </w:tcPr>
          <w:p w14:paraId="4EBB9A33" w14:textId="6E7B754F" w:rsidR="00E631B7" w:rsidRPr="009D4627" w:rsidRDefault="00EE17B9" w:rsidP="00E631B7">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w:t>
            </w:r>
            <w:r w:rsidR="000C61CD" w:rsidRPr="009D4627">
              <w:rPr>
                <w:rFonts w:eastAsia="Times New Roman"/>
                <w:color w:val="000000"/>
                <w:sz w:val="22"/>
                <w:szCs w:val="22"/>
                <w:lang w:val="en-MY" w:eastAsia="en-MY"/>
              </w:rPr>
              <w:t>9</w:t>
            </w:r>
          </w:p>
        </w:tc>
      </w:tr>
      <w:tr w:rsidR="00EE17B9" w:rsidRPr="009D4627" w14:paraId="7E7EEB6C" w14:textId="77777777" w:rsidTr="00E631B7">
        <w:trPr>
          <w:trHeight w:val="300"/>
        </w:trPr>
        <w:tc>
          <w:tcPr>
            <w:tcW w:w="539" w:type="pct"/>
            <w:tcBorders>
              <w:top w:val="nil"/>
              <w:left w:val="nil"/>
              <w:bottom w:val="nil"/>
              <w:right w:val="nil"/>
            </w:tcBorders>
            <w:shd w:val="clear" w:color="auto" w:fill="auto"/>
            <w:noWrap/>
            <w:vAlign w:val="bottom"/>
            <w:hideMark/>
          </w:tcPr>
          <w:p w14:paraId="340DBA05"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0DA6248A"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39D489FD" w14:textId="73691C13"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0.56 (0.17)</w:t>
            </w:r>
          </w:p>
        </w:tc>
        <w:tc>
          <w:tcPr>
            <w:tcW w:w="1150" w:type="pct"/>
            <w:tcBorders>
              <w:top w:val="nil"/>
              <w:left w:val="nil"/>
              <w:bottom w:val="nil"/>
              <w:right w:val="nil"/>
            </w:tcBorders>
            <w:shd w:val="clear" w:color="auto" w:fill="auto"/>
            <w:noWrap/>
            <w:vAlign w:val="bottom"/>
          </w:tcPr>
          <w:p w14:paraId="29BE902B" w14:textId="5960FC8D"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0.56 (0.16)</w:t>
            </w:r>
          </w:p>
        </w:tc>
        <w:tc>
          <w:tcPr>
            <w:tcW w:w="537" w:type="pct"/>
            <w:tcBorders>
              <w:top w:val="nil"/>
              <w:left w:val="nil"/>
              <w:bottom w:val="nil"/>
              <w:right w:val="nil"/>
            </w:tcBorders>
            <w:shd w:val="clear" w:color="auto" w:fill="auto"/>
            <w:noWrap/>
            <w:vAlign w:val="bottom"/>
          </w:tcPr>
          <w:p w14:paraId="0EAD929F" w14:textId="124B9AD2"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w:t>
            </w:r>
            <w:r w:rsidR="00B235EF" w:rsidRPr="009D4627">
              <w:rPr>
                <w:rFonts w:eastAsia="Times New Roman"/>
                <w:color w:val="000000"/>
                <w:sz w:val="22"/>
                <w:szCs w:val="22"/>
                <w:lang w:val="en-MY" w:eastAsia="en-MY"/>
              </w:rPr>
              <w:t>9</w:t>
            </w:r>
          </w:p>
        </w:tc>
        <w:tc>
          <w:tcPr>
            <w:tcW w:w="722" w:type="pct"/>
            <w:tcBorders>
              <w:top w:val="nil"/>
              <w:left w:val="nil"/>
              <w:bottom w:val="nil"/>
              <w:right w:val="nil"/>
            </w:tcBorders>
            <w:shd w:val="clear" w:color="auto" w:fill="auto"/>
            <w:noWrap/>
            <w:vAlign w:val="bottom"/>
            <w:hideMark/>
          </w:tcPr>
          <w:p w14:paraId="33DE9ECD" w14:textId="21B0625E"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0.93</w:t>
            </w:r>
          </w:p>
        </w:tc>
      </w:tr>
      <w:tr w:rsidR="00EE17B9" w:rsidRPr="009D4627" w14:paraId="033F9303" w14:textId="77777777" w:rsidTr="00E631B7">
        <w:trPr>
          <w:trHeight w:val="300"/>
        </w:trPr>
        <w:tc>
          <w:tcPr>
            <w:tcW w:w="539" w:type="pct"/>
            <w:tcBorders>
              <w:top w:val="nil"/>
              <w:left w:val="nil"/>
              <w:bottom w:val="nil"/>
              <w:right w:val="nil"/>
            </w:tcBorders>
            <w:shd w:val="clear" w:color="auto" w:fill="auto"/>
            <w:noWrap/>
            <w:vAlign w:val="bottom"/>
            <w:hideMark/>
          </w:tcPr>
          <w:p w14:paraId="661A7CFA"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21396EA5"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bottom w:val="nil"/>
              <w:right w:val="nil"/>
            </w:tcBorders>
            <w:shd w:val="clear" w:color="auto" w:fill="auto"/>
            <w:noWrap/>
            <w:vAlign w:val="bottom"/>
          </w:tcPr>
          <w:p w14:paraId="33567207" w14:textId="7916216D"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0.39 (0.14)</w:t>
            </w:r>
          </w:p>
        </w:tc>
        <w:tc>
          <w:tcPr>
            <w:tcW w:w="1150" w:type="pct"/>
            <w:tcBorders>
              <w:top w:val="nil"/>
              <w:left w:val="nil"/>
              <w:bottom w:val="nil"/>
              <w:right w:val="nil"/>
            </w:tcBorders>
            <w:shd w:val="clear" w:color="auto" w:fill="auto"/>
            <w:noWrap/>
            <w:vAlign w:val="bottom"/>
          </w:tcPr>
          <w:p w14:paraId="16615854" w14:textId="0795A21A"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0.35 (0.18)</w:t>
            </w:r>
          </w:p>
        </w:tc>
        <w:tc>
          <w:tcPr>
            <w:tcW w:w="537" w:type="pct"/>
            <w:tcBorders>
              <w:top w:val="nil"/>
              <w:left w:val="nil"/>
              <w:bottom w:val="nil"/>
              <w:right w:val="nil"/>
            </w:tcBorders>
            <w:shd w:val="clear" w:color="auto" w:fill="auto"/>
            <w:noWrap/>
            <w:vAlign w:val="bottom"/>
          </w:tcPr>
          <w:p w14:paraId="2F864391" w14:textId="1568D06B"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0.79</w:t>
            </w:r>
          </w:p>
        </w:tc>
        <w:tc>
          <w:tcPr>
            <w:tcW w:w="722" w:type="pct"/>
            <w:tcBorders>
              <w:top w:val="nil"/>
              <w:left w:val="nil"/>
              <w:bottom w:val="nil"/>
              <w:right w:val="nil"/>
            </w:tcBorders>
            <w:shd w:val="clear" w:color="auto" w:fill="auto"/>
            <w:noWrap/>
            <w:vAlign w:val="bottom"/>
            <w:hideMark/>
          </w:tcPr>
          <w:p w14:paraId="4CDADC3B" w14:textId="3A28B70E"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0.43</w:t>
            </w:r>
          </w:p>
        </w:tc>
      </w:tr>
      <w:tr w:rsidR="00EE17B9" w:rsidRPr="009D4627" w14:paraId="602F69F7" w14:textId="77777777" w:rsidTr="00E631B7">
        <w:trPr>
          <w:trHeight w:val="300"/>
        </w:trPr>
        <w:tc>
          <w:tcPr>
            <w:tcW w:w="539" w:type="pct"/>
            <w:tcBorders>
              <w:top w:val="nil"/>
              <w:left w:val="nil"/>
              <w:bottom w:val="single" w:sz="4" w:space="0" w:color="auto"/>
              <w:right w:val="nil"/>
            </w:tcBorders>
            <w:shd w:val="clear" w:color="auto" w:fill="auto"/>
            <w:noWrap/>
            <w:vAlign w:val="bottom"/>
            <w:hideMark/>
          </w:tcPr>
          <w:p w14:paraId="38F789D2"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0B6F0BD2"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3E252931" w14:textId="4B7E8E5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0.24 (0.12)</w:t>
            </w:r>
          </w:p>
        </w:tc>
        <w:tc>
          <w:tcPr>
            <w:tcW w:w="1150" w:type="pct"/>
            <w:tcBorders>
              <w:top w:val="nil"/>
              <w:left w:val="nil"/>
              <w:bottom w:val="single" w:sz="4" w:space="0" w:color="auto"/>
              <w:right w:val="nil"/>
            </w:tcBorders>
            <w:shd w:val="clear" w:color="auto" w:fill="auto"/>
            <w:noWrap/>
            <w:vAlign w:val="bottom"/>
          </w:tcPr>
          <w:p w14:paraId="32AA1598" w14:textId="2CFCEBF9"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0.22 (0.13)</w:t>
            </w:r>
          </w:p>
        </w:tc>
        <w:tc>
          <w:tcPr>
            <w:tcW w:w="537" w:type="pct"/>
            <w:tcBorders>
              <w:top w:val="nil"/>
              <w:left w:val="nil"/>
              <w:bottom w:val="single" w:sz="4" w:space="0" w:color="auto"/>
              <w:right w:val="nil"/>
            </w:tcBorders>
            <w:shd w:val="clear" w:color="auto" w:fill="auto"/>
            <w:noWrap/>
            <w:vAlign w:val="bottom"/>
          </w:tcPr>
          <w:p w14:paraId="420B2510" w14:textId="315F4CBA"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B235EF" w:rsidRPr="009D4627">
              <w:rPr>
                <w:rFonts w:eastAsia="Times New Roman"/>
                <w:color w:val="000000"/>
                <w:sz w:val="22"/>
                <w:szCs w:val="22"/>
                <w:lang w:val="en-MY" w:eastAsia="en-MY"/>
              </w:rPr>
              <w:t>9</w:t>
            </w:r>
          </w:p>
        </w:tc>
        <w:tc>
          <w:tcPr>
            <w:tcW w:w="722" w:type="pct"/>
            <w:tcBorders>
              <w:top w:val="nil"/>
              <w:left w:val="nil"/>
              <w:bottom w:val="single" w:sz="4" w:space="0" w:color="auto"/>
              <w:right w:val="nil"/>
            </w:tcBorders>
            <w:shd w:val="clear" w:color="auto" w:fill="auto"/>
            <w:noWrap/>
            <w:vAlign w:val="bottom"/>
            <w:hideMark/>
          </w:tcPr>
          <w:p w14:paraId="40999D2C" w14:textId="692E4993"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0.6</w:t>
            </w:r>
            <w:r w:rsidR="000C61CD" w:rsidRPr="009D4627">
              <w:rPr>
                <w:rFonts w:eastAsia="Times New Roman"/>
                <w:color w:val="000000"/>
                <w:sz w:val="22"/>
                <w:szCs w:val="22"/>
                <w:lang w:val="en-MY" w:eastAsia="en-MY"/>
              </w:rPr>
              <w:t>3</w:t>
            </w:r>
          </w:p>
        </w:tc>
      </w:tr>
      <w:tr w:rsidR="00EE17B9" w:rsidRPr="009D4627" w14:paraId="3F53B225" w14:textId="77777777" w:rsidTr="008B7149">
        <w:trPr>
          <w:trHeight w:val="300"/>
        </w:trPr>
        <w:tc>
          <w:tcPr>
            <w:tcW w:w="5000" w:type="pct"/>
            <w:gridSpan w:val="7"/>
            <w:tcBorders>
              <w:top w:val="single" w:sz="4" w:space="0" w:color="auto"/>
              <w:left w:val="nil"/>
              <w:bottom w:val="single" w:sz="4" w:space="0" w:color="auto"/>
              <w:right w:val="nil"/>
            </w:tcBorders>
            <w:shd w:val="clear" w:color="auto" w:fill="auto"/>
            <w:noWrap/>
            <w:vAlign w:val="bottom"/>
            <w:hideMark/>
          </w:tcPr>
          <w:p w14:paraId="1600FF6D" w14:textId="7A1496CA" w:rsidR="00EE17B9" w:rsidRPr="009D4627" w:rsidRDefault="004B4F56" w:rsidP="00EE17B9">
            <w:pPr>
              <w:spacing w:before="0" w:after="0" w:line="240" w:lineRule="auto"/>
              <w:jc w:val="center"/>
              <w:rPr>
                <w:rFonts w:eastAsia="Times New Roman"/>
                <w:b/>
                <w:bCs/>
                <w:i/>
                <w:iCs/>
                <w:color w:val="auto"/>
                <w:sz w:val="22"/>
                <w:szCs w:val="22"/>
                <w:lang w:val="en-MY" w:eastAsia="en-MY"/>
              </w:rPr>
            </w:pPr>
            <w:r w:rsidRPr="009D4627">
              <w:rPr>
                <w:rFonts w:eastAsia="Times New Roman"/>
                <w:b/>
                <w:bCs/>
                <w:i/>
                <w:iCs/>
                <w:color w:val="000000"/>
                <w:sz w:val="22"/>
                <w:szCs w:val="22"/>
                <w:lang w:val="en-MY" w:eastAsia="en-MY"/>
              </w:rPr>
              <w:t>V</w:t>
            </w:r>
            <w:r w:rsidR="00EE17B9" w:rsidRPr="009D4627">
              <w:rPr>
                <w:rFonts w:eastAsia="Times New Roman"/>
                <w:b/>
                <w:bCs/>
                <w:i/>
                <w:iCs/>
                <w:color w:val="000000"/>
                <w:sz w:val="22"/>
                <w:szCs w:val="22"/>
                <w:lang w:val="en-MY" w:eastAsia="en-MY"/>
              </w:rPr>
              <w:t>ertical SP RMSE (°)</w:t>
            </w:r>
          </w:p>
        </w:tc>
      </w:tr>
      <w:tr w:rsidR="00EE17B9" w:rsidRPr="009D4627" w14:paraId="35A92EF1" w14:textId="77777777" w:rsidTr="00E631B7">
        <w:trPr>
          <w:trHeight w:val="300"/>
        </w:trPr>
        <w:tc>
          <w:tcPr>
            <w:tcW w:w="539" w:type="pct"/>
            <w:tcBorders>
              <w:top w:val="single" w:sz="4" w:space="0" w:color="auto"/>
              <w:left w:val="nil"/>
              <w:bottom w:val="nil"/>
              <w:right w:val="nil"/>
            </w:tcBorders>
            <w:shd w:val="clear" w:color="auto" w:fill="auto"/>
            <w:noWrap/>
            <w:vAlign w:val="bottom"/>
            <w:hideMark/>
          </w:tcPr>
          <w:p w14:paraId="08E5FC1A" w14:textId="77777777" w:rsidR="00EE17B9" w:rsidRPr="009D4627" w:rsidRDefault="00EE17B9" w:rsidP="00EE17B9">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III</w:t>
            </w:r>
          </w:p>
        </w:tc>
        <w:tc>
          <w:tcPr>
            <w:tcW w:w="1189" w:type="pct"/>
            <w:gridSpan w:val="2"/>
            <w:tcBorders>
              <w:top w:val="single" w:sz="4" w:space="0" w:color="auto"/>
              <w:left w:val="nil"/>
              <w:bottom w:val="nil"/>
              <w:right w:val="nil"/>
            </w:tcBorders>
            <w:shd w:val="clear" w:color="auto" w:fill="auto"/>
            <w:noWrap/>
            <w:vAlign w:val="bottom"/>
            <w:hideMark/>
          </w:tcPr>
          <w:p w14:paraId="7A052FEF"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340CD065" w14:textId="497C33AB"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1.19 (0.86)</w:t>
            </w:r>
          </w:p>
        </w:tc>
        <w:tc>
          <w:tcPr>
            <w:tcW w:w="1150" w:type="pct"/>
            <w:tcBorders>
              <w:top w:val="single" w:sz="4" w:space="0" w:color="auto"/>
              <w:left w:val="nil"/>
              <w:bottom w:val="nil"/>
              <w:right w:val="nil"/>
            </w:tcBorders>
            <w:shd w:val="clear" w:color="auto" w:fill="auto"/>
            <w:noWrap/>
            <w:vAlign w:val="bottom"/>
          </w:tcPr>
          <w:p w14:paraId="6AA3942C" w14:textId="2657DA60"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0.87 (0.51)</w:t>
            </w:r>
          </w:p>
        </w:tc>
        <w:tc>
          <w:tcPr>
            <w:tcW w:w="537" w:type="pct"/>
            <w:tcBorders>
              <w:top w:val="single" w:sz="4" w:space="0" w:color="auto"/>
              <w:left w:val="nil"/>
              <w:bottom w:val="nil"/>
              <w:right w:val="nil"/>
            </w:tcBorders>
            <w:shd w:val="clear" w:color="auto" w:fill="auto"/>
            <w:noWrap/>
            <w:vAlign w:val="bottom"/>
          </w:tcPr>
          <w:p w14:paraId="207841E4" w14:textId="1F8EAA65"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1.3</w:t>
            </w:r>
            <w:r w:rsidR="00B235EF" w:rsidRPr="009D4627">
              <w:rPr>
                <w:rFonts w:eastAsia="Times New Roman"/>
                <w:color w:val="000000"/>
                <w:sz w:val="22"/>
                <w:szCs w:val="22"/>
                <w:lang w:val="en-MY" w:eastAsia="en-MY"/>
              </w:rPr>
              <w:t>2</w:t>
            </w:r>
          </w:p>
        </w:tc>
        <w:tc>
          <w:tcPr>
            <w:tcW w:w="722" w:type="pct"/>
            <w:tcBorders>
              <w:top w:val="single" w:sz="4" w:space="0" w:color="auto"/>
              <w:left w:val="nil"/>
              <w:bottom w:val="nil"/>
              <w:right w:val="nil"/>
            </w:tcBorders>
            <w:shd w:val="clear" w:color="auto" w:fill="auto"/>
            <w:noWrap/>
            <w:vAlign w:val="bottom"/>
            <w:hideMark/>
          </w:tcPr>
          <w:p w14:paraId="40847C81" w14:textId="4F5B150E"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w:t>
            </w:r>
            <w:r w:rsidR="000C61CD" w:rsidRPr="009D4627">
              <w:rPr>
                <w:rFonts w:eastAsia="Times New Roman"/>
                <w:color w:val="000000"/>
                <w:sz w:val="22"/>
                <w:szCs w:val="22"/>
                <w:lang w:val="en-MY" w:eastAsia="en-MY"/>
              </w:rPr>
              <w:t>20</w:t>
            </w:r>
          </w:p>
        </w:tc>
      </w:tr>
      <w:tr w:rsidR="00EE17B9" w:rsidRPr="009D4627" w14:paraId="1F527D3F" w14:textId="77777777" w:rsidTr="00E631B7">
        <w:trPr>
          <w:trHeight w:val="300"/>
        </w:trPr>
        <w:tc>
          <w:tcPr>
            <w:tcW w:w="539" w:type="pct"/>
            <w:tcBorders>
              <w:top w:val="nil"/>
              <w:left w:val="nil"/>
              <w:bottom w:val="nil"/>
              <w:right w:val="nil"/>
            </w:tcBorders>
            <w:shd w:val="clear" w:color="auto" w:fill="auto"/>
            <w:noWrap/>
            <w:vAlign w:val="bottom"/>
            <w:hideMark/>
          </w:tcPr>
          <w:p w14:paraId="367A915E"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1727975F"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64E6D148" w14:textId="025E4432"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1.53 (0.59)</w:t>
            </w:r>
          </w:p>
        </w:tc>
        <w:tc>
          <w:tcPr>
            <w:tcW w:w="1150" w:type="pct"/>
            <w:tcBorders>
              <w:top w:val="nil"/>
              <w:left w:val="nil"/>
              <w:bottom w:val="nil"/>
              <w:right w:val="nil"/>
            </w:tcBorders>
            <w:shd w:val="clear" w:color="auto" w:fill="auto"/>
            <w:noWrap/>
            <w:vAlign w:val="bottom"/>
          </w:tcPr>
          <w:p w14:paraId="05F792B9" w14:textId="1234A45D"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1.19 (0.49)</w:t>
            </w:r>
          </w:p>
        </w:tc>
        <w:tc>
          <w:tcPr>
            <w:tcW w:w="537" w:type="pct"/>
            <w:tcBorders>
              <w:top w:val="nil"/>
              <w:left w:val="nil"/>
              <w:bottom w:val="nil"/>
              <w:right w:val="nil"/>
            </w:tcBorders>
            <w:shd w:val="clear" w:color="auto" w:fill="auto"/>
            <w:noWrap/>
            <w:vAlign w:val="bottom"/>
          </w:tcPr>
          <w:p w14:paraId="05C47557" w14:textId="54D3395F"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1.79</w:t>
            </w:r>
          </w:p>
        </w:tc>
        <w:tc>
          <w:tcPr>
            <w:tcW w:w="722" w:type="pct"/>
            <w:tcBorders>
              <w:top w:val="nil"/>
              <w:left w:val="nil"/>
              <w:bottom w:val="nil"/>
              <w:right w:val="nil"/>
            </w:tcBorders>
            <w:shd w:val="clear" w:color="auto" w:fill="auto"/>
            <w:noWrap/>
            <w:vAlign w:val="bottom"/>
            <w:hideMark/>
          </w:tcPr>
          <w:p w14:paraId="5CD62B93" w14:textId="40369B21"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0.08</w:t>
            </w:r>
          </w:p>
        </w:tc>
      </w:tr>
      <w:tr w:rsidR="00EE17B9" w:rsidRPr="009D4627" w14:paraId="221B3976" w14:textId="77777777" w:rsidTr="00E631B7">
        <w:trPr>
          <w:trHeight w:val="300"/>
        </w:trPr>
        <w:tc>
          <w:tcPr>
            <w:tcW w:w="539" w:type="pct"/>
            <w:tcBorders>
              <w:top w:val="nil"/>
              <w:left w:val="nil"/>
              <w:right w:val="nil"/>
            </w:tcBorders>
            <w:shd w:val="clear" w:color="auto" w:fill="auto"/>
            <w:noWrap/>
            <w:vAlign w:val="bottom"/>
            <w:hideMark/>
          </w:tcPr>
          <w:p w14:paraId="3A9BA15E"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7F8A77EC"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tcPr>
          <w:p w14:paraId="7E27A4B2" w14:textId="6B4FC9BC"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2.04 (0.49)</w:t>
            </w:r>
          </w:p>
        </w:tc>
        <w:tc>
          <w:tcPr>
            <w:tcW w:w="1150" w:type="pct"/>
            <w:tcBorders>
              <w:top w:val="nil"/>
              <w:left w:val="nil"/>
              <w:right w:val="nil"/>
            </w:tcBorders>
            <w:shd w:val="clear" w:color="auto" w:fill="auto"/>
            <w:noWrap/>
            <w:vAlign w:val="bottom"/>
          </w:tcPr>
          <w:p w14:paraId="51E64C8E" w14:textId="0707AB45"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1.89 (0.50)</w:t>
            </w:r>
          </w:p>
        </w:tc>
        <w:tc>
          <w:tcPr>
            <w:tcW w:w="537" w:type="pct"/>
            <w:tcBorders>
              <w:top w:val="nil"/>
              <w:left w:val="nil"/>
              <w:right w:val="nil"/>
            </w:tcBorders>
            <w:shd w:val="clear" w:color="auto" w:fill="auto"/>
            <w:noWrap/>
            <w:vAlign w:val="bottom"/>
          </w:tcPr>
          <w:p w14:paraId="0B13C239" w14:textId="2C9EF124"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0.81</w:t>
            </w:r>
          </w:p>
        </w:tc>
        <w:tc>
          <w:tcPr>
            <w:tcW w:w="722" w:type="pct"/>
            <w:tcBorders>
              <w:top w:val="nil"/>
              <w:left w:val="nil"/>
              <w:right w:val="nil"/>
            </w:tcBorders>
            <w:shd w:val="clear" w:color="auto" w:fill="auto"/>
            <w:noWrap/>
            <w:vAlign w:val="bottom"/>
            <w:hideMark/>
          </w:tcPr>
          <w:p w14:paraId="100EC7FF" w14:textId="28F31C4D"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w:t>
            </w:r>
            <w:r w:rsidR="003467FE" w:rsidRPr="009D4627">
              <w:rPr>
                <w:rFonts w:eastAsia="Times New Roman"/>
                <w:color w:val="000000"/>
                <w:sz w:val="22"/>
                <w:szCs w:val="22"/>
                <w:lang w:val="en-MY" w:eastAsia="en-MY"/>
              </w:rPr>
              <w:t>42</w:t>
            </w:r>
          </w:p>
        </w:tc>
      </w:tr>
      <w:tr w:rsidR="00EE17B9" w:rsidRPr="009D4627" w14:paraId="409CA953" w14:textId="77777777" w:rsidTr="00E631B7">
        <w:trPr>
          <w:trHeight w:val="300"/>
        </w:trPr>
        <w:tc>
          <w:tcPr>
            <w:tcW w:w="539" w:type="pct"/>
            <w:tcBorders>
              <w:top w:val="nil"/>
              <w:left w:val="nil"/>
              <w:bottom w:val="single" w:sz="4" w:space="0" w:color="auto"/>
              <w:right w:val="nil"/>
            </w:tcBorders>
            <w:shd w:val="clear" w:color="auto" w:fill="auto"/>
            <w:noWrap/>
            <w:vAlign w:val="bottom"/>
            <w:hideMark/>
          </w:tcPr>
          <w:p w14:paraId="097823B6"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60FEA74D"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246518EE" w14:textId="48E95121"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2.75 (0.78)</w:t>
            </w:r>
          </w:p>
        </w:tc>
        <w:tc>
          <w:tcPr>
            <w:tcW w:w="1150" w:type="pct"/>
            <w:tcBorders>
              <w:top w:val="nil"/>
              <w:left w:val="nil"/>
              <w:bottom w:val="single" w:sz="4" w:space="0" w:color="auto"/>
              <w:right w:val="nil"/>
            </w:tcBorders>
            <w:shd w:val="clear" w:color="auto" w:fill="auto"/>
            <w:noWrap/>
            <w:vAlign w:val="bottom"/>
          </w:tcPr>
          <w:p w14:paraId="557A21C6" w14:textId="0A6C837D"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2.22 (0.41)</w:t>
            </w:r>
          </w:p>
        </w:tc>
        <w:tc>
          <w:tcPr>
            <w:tcW w:w="537" w:type="pct"/>
            <w:tcBorders>
              <w:top w:val="nil"/>
              <w:left w:val="nil"/>
              <w:bottom w:val="single" w:sz="4" w:space="0" w:color="auto"/>
              <w:right w:val="nil"/>
            </w:tcBorders>
            <w:shd w:val="clear" w:color="auto" w:fill="auto"/>
            <w:noWrap/>
            <w:vAlign w:val="bottom"/>
          </w:tcPr>
          <w:p w14:paraId="496E956D" w14:textId="6E39D410"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2.47</w:t>
            </w:r>
          </w:p>
        </w:tc>
        <w:tc>
          <w:tcPr>
            <w:tcW w:w="722" w:type="pct"/>
            <w:tcBorders>
              <w:top w:val="nil"/>
              <w:left w:val="nil"/>
              <w:bottom w:val="single" w:sz="4" w:space="0" w:color="auto"/>
              <w:right w:val="nil"/>
            </w:tcBorders>
            <w:shd w:val="clear" w:color="auto" w:fill="auto"/>
            <w:noWrap/>
            <w:vAlign w:val="bottom"/>
            <w:hideMark/>
          </w:tcPr>
          <w:p w14:paraId="3267510A" w14:textId="524FF140" w:rsidR="00EE17B9" w:rsidRPr="009D4627" w:rsidRDefault="00EE17B9"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w:t>
            </w:r>
            <w:r w:rsidR="000C61CD" w:rsidRPr="009D4627">
              <w:rPr>
                <w:rFonts w:eastAsia="Times New Roman"/>
                <w:color w:val="000000"/>
                <w:sz w:val="22"/>
                <w:szCs w:val="22"/>
                <w:lang w:val="en-MY" w:eastAsia="en-MY"/>
              </w:rPr>
              <w:t>2</w:t>
            </w:r>
            <w:r w:rsidRPr="009D4627">
              <w:rPr>
                <w:rFonts w:eastAsia="Times New Roman"/>
                <w:color w:val="000000"/>
                <w:sz w:val="22"/>
                <w:szCs w:val="22"/>
                <w:lang w:val="en-MY" w:eastAsia="en-MY"/>
              </w:rPr>
              <w:t>*</w:t>
            </w:r>
          </w:p>
        </w:tc>
      </w:tr>
      <w:tr w:rsidR="00EE17B9" w:rsidRPr="009D4627" w14:paraId="16BA093F" w14:textId="77777777" w:rsidTr="003467FE">
        <w:trPr>
          <w:trHeight w:val="300"/>
        </w:trPr>
        <w:tc>
          <w:tcPr>
            <w:tcW w:w="539" w:type="pct"/>
            <w:tcBorders>
              <w:top w:val="single" w:sz="4" w:space="0" w:color="auto"/>
              <w:left w:val="nil"/>
              <w:bottom w:val="nil"/>
              <w:right w:val="nil"/>
            </w:tcBorders>
            <w:shd w:val="clear" w:color="auto" w:fill="auto"/>
            <w:noWrap/>
            <w:vAlign w:val="bottom"/>
            <w:hideMark/>
          </w:tcPr>
          <w:p w14:paraId="5518B3F0" w14:textId="77777777" w:rsidR="00EE17B9" w:rsidRPr="009D4627" w:rsidRDefault="00EE17B9" w:rsidP="00EE17B9">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IV</w:t>
            </w:r>
          </w:p>
        </w:tc>
        <w:tc>
          <w:tcPr>
            <w:tcW w:w="1189" w:type="pct"/>
            <w:gridSpan w:val="2"/>
            <w:tcBorders>
              <w:top w:val="single" w:sz="4" w:space="0" w:color="auto"/>
              <w:left w:val="nil"/>
              <w:bottom w:val="nil"/>
              <w:right w:val="nil"/>
            </w:tcBorders>
            <w:shd w:val="clear" w:color="auto" w:fill="auto"/>
            <w:noWrap/>
            <w:vAlign w:val="bottom"/>
            <w:hideMark/>
          </w:tcPr>
          <w:p w14:paraId="2FBBCF69"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5310C516" w14:textId="7C03D8A5"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0.73 (0.23)</w:t>
            </w:r>
          </w:p>
        </w:tc>
        <w:tc>
          <w:tcPr>
            <w:tcW w:w="1150" w:type="pct"/>
            <w:tcBorders>
              <w:top w:val="single" w:sz="4" w:space="0" w:color="auto"/>
              <w:left w:val="nil"/>
              <w:bottom w:val="nil"/>
              <w:right w:val="nil"/>
            </w:tcBorders>
            <w:shd w:val="clear" w:color="auto" w:fill="auto"/>
            <w:noWrap/>
            <w:vAlign w:val="bottom"/>
          </w:tcPr>
          <w:p w14:paraId="4565C3F2" w14:textId="660013F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0.71 (0.23)</w:t>
            </w:r>
          </w:p>
        </w:tc>
        <w:tc>
          <w:tcPr>
            <w:tcW w:w="537" w:type="pct"/>
            <w:tcBorders>
              <w:top w:val="single" w:sz="4" w:space="0" w:color="auto"/>
              <w:left w:val="nil"/>
              <w:bottom w:val="nil"/>
              <w:right w:val="nil"/>
            </w:tcBorders>
            <w:shd w:val="clear" w:color="auto" w:fill="auto"/>
            <w:noWrap/>
            <w:vAlign w:val="bottom"/>
          </w:tcPr>
          <w:p w14:paraId="6C1AE46B" w14:textId="5B816A07"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0.12</w:t>
            </w:r>
          </w:p>
        </w:tc>
        <w:tc>
          <w:tcPr>
            <w:tcW w:w="722" w:type="pct"/>
            <w:tcBorders>
              <w:top w:val="single" w:sz="4" w:space="0" w:color="auto"/>
              <w:left w:val="nil"/>
              <w:bottom w:val="nil"/>
              <w:right w:val="nil"/>
            </w:tcBorders>
            <w:shd w:val="clear" w:color="auto" w:fill="auto"/>
            <w:noWrap/>
            <w:vAlign w:val="bottom"/>
          </w:tcPr>
          <w:p w14:paraId="5EB9BDFA" w14:textId="3B2B1E27"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w:t>
            </w:r>
            <w:r w:rsidR="000C61CD" w:rsidRPr="009D4627">
              <w:rPr>
                <w:rFonts w:eastAsia="Times New Roman"/>
                <w:color w:val="000000"/>
                <w:sz w:val="22"/>
                <w:szCs w:val="22"/>
                <w:lang w:val="en-MY" w:eastAsia="en-MY"/>
              </w:rPr>
              <w:t>1</w:t>
            </w:r>
          </w:p>
        </w:tc>
      </w:tr>
      <w:tr w:rsidR="00EE17B9" w:rsidRPr="009D4627" w14:paraId="041A26A6" w14:textId="77777777" w:rsidTr="003467FE">
        <w:trPr>
          <w:trHeight w:val="300"/>
        </w:trPr>
        <w:tc>
          <w:tcPr>
            <w:tcW w:w="539" w:type="pct"/>
            <w:tcBorders>
              <w:top w:val="nil"/>
              <w:left w:val="nil"/>
              <w:bottom w:val="nil"/>
              <w:right w:val="nil"/>
            </w:tcBorders>
            <w:shd w:val="clear" w:color="auto" w:fill="auto"/>
            <w:noWrap/>
            <w:vAlign w:val="bottom"/>
            <w:hideMark/>
          </w:tcPr>
          <w:p w14:paraId="7A017F2A"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267860D3"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73274E26" w14:textId="52BA7144"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0.77 (0.18)</w:t>
            </w:r>
          </w:p>
        </w:tc>
        <w:tc>
          <w:tcPr>
            <w:tcW w:w="1150" w:type="pct"/>
            <w:tcBorders>
              <w:top w:val="nil"/>
              <w:left w:val="nil"/>
              <w:bottom w:val="nil"/>
              <w:right w:val="nil"/>
            </w:tcBorders>
            <w:shd w:val="clear" w:color="auto" w:fill="auto"/>
            <w:noWrap/>
            <w:vAlign w:val="bottom"/>
          </w:tcPr>
          <w:p w14:paraId="45EDFD4B" w14:textId="64384C41"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0.83 (0.19)</w:t>
            </w:r>
          </w:p>
        </w:tc>
        <w:tc>
          <w:tcPr>
            <w:tcW w:w="537" w:type="pct"/>
            <w:tcBorders>
              <w:top w:val="nil"/>
              <w:left w:val="nil"/>
              <w:bottom w:val="nil"/>
              <w:right w:val="nil"/>
            </w:tcBorders>
            <w:shd w:val="clear" w:color="auto" w:fill="auto"/>
            <w:noWrap/>
            <w:vAlign w:val="bottom"/>
          </w:tcPr>
          <w:p w14:paraId="561AF8E4" w14:textId="622DE0A2"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B235EF" w:rsidRPr="009D4627">
              <w:rPr>
                <w:rFonts w:eastAsia="Times New Roman"/>
                <w:color w:val="000000"/>
                <w:sz w:val="22"/>
                <w:szCs w:val="22"/>
                <w:lang w:val="en-MY" w:eastAsia="en-MY"/>
              </w:rPr>
              <w:t>9</w:t>
            </w:r>
          </w:p>
        </w:tc>
        <w:tc>
          <w:tcPr>
            <w:tcW w:w="722" w:type="pct"/>
            <w:tcBorders>
              <w:top w:val="nil"/>
              <w:left w:val="nil"/>
              <w:bottom w:val="nil"/>
              <w:right w:val="nil"/>
            </w:tcBorders>
            <w:shd w:val="clear" w:color="auto" w:fill="auto"/>
            <w:noWrap/>
            <w:vAlign w:val="bottom"/>
          </w:tcPr>
          <w:p w14:paraId="63CB2A14" w14:textId="5A54AE96" w:rsidR="00EE17B9" w:rsidRPr="009D4627" w:rsidRDefault="00E640D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0.64</w:t>
            </w:r>
          </w:p>
        </w:tc>
      </w:tr>
      <w:tr w:rsidR="00EE17B9" w:rsidRPr="009D4627" w14:paraId="5052A917" w14:textId="77777777" w:rsidTr="003467FE">
        <w:trPr>
          <w:trHeight w:val="300"/>
        </w:trPr>
        <w:tc>
          <w:tcPr>
            <w:tcW w:w="539" w:type="pct"/>
            <w:tcBorders>
              <w:top w:val="nil"/>
              <w:left w:val="nil"/>
              <w:right w:val="nil"/>
            </w:tcBorders>
            <w:shd w:val="clear" w:color="auto" w:fill="auto"/>
            <w:noWrap/>
            <w:vAlign w:val="bottom"/>
            <w:hideMark/>
          </w:tcPr>
          <w:p w14:paraId="7A495890"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6AD7773C"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tcPr>
          <w:p w14:paraId="67061A6D" w14:textId="4587F375"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1.08 (0.20)</w:t>
            </w:r>
          </w:p>
        </w:tc>
        <w:tc>
          <w:tcPr>
            <w:tcW w:w="1150" w:type="pct"/>
            <w:tcBorders>
              <w:top w:val="nil"/>
              <w:left w:val="nil"/>
              <w:right w:val="nil"/>
            </w:tcBorders>
            <w:shd w:val="clear" w:color="auto" w:fill="auto"/>
            <w:noWrap/>
            <w:vAlign w:val="bottom"/>
          </w:tcPr>
          <w:p w14:paraId="7030BB82" w14:textId="6887AD93"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1.10 (0.48)</w:t>
            </w:r>
          </w:p>
        </w:tc>
        <w:tc>
          <w:tcPr>
            <w:tcW w:w="537" w:type="pct"/>
            <w:tcBorders>
              <w:top w:val="nil"/>
              <w:left w:val="nil"/>
              <w:right w:val="nil"/>
            </w:tcBorders>
            <w:shd w:val="clear" w:color="auto" w:fill="auto"/>
            <w:noWrap/>
            <w:vAlign w:val="bottom"/>
          </w:tcPr>
          <w:p w14:paraId="18966A5B" w14:textId="516F653D"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w:t>
            </w:r>
            <w:r w:rsidR="00B235EF" w:rsidRPr="009D4627">
              <w:rPr>
                <w:rFonts w:eastAsia="Times New Roman"/>
                <w:color w:val="000000"/>
                <w:sz w:val="22"/>
                <w:szCs w:val="22"/>
                <w:lang w:val="en-MY" w:eastAsia="en-MY"/>
              </w:rPr>
              <w:t>9</w:t>
            </w:r>
          </w:p>
        </w:tc>
        <w:tc>
          <w:tcPr>
            <w:tcW w:w="722" w:type="pct"/>
            <w:tcBorders>
              <w:top w:val="nil"/>
              <w:left w:val="nil"/>
              <w:right w:val="nil"/>
            </w:tcBorders>
            <w:shd w:val="clear" w:color="auto" w:fill="auto"/>
            <w:noWrap/>
            <w:vAlign w:val="bottom"/>
          </w:tcPr>
          <w:p w14:paraId="5D7AEFE9" w14:textId="7F3084C0" w:rsidR="00EE17B9" w:rsidRPr="009D4627" w:rsidRDefault="00E640D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0.93</w:t>
            </w:r>
          </w:p>
        </w:tc>
      </w:tr>
      <w:tr w:rsidR="00EE17B9" w:rsidRPr="009D4627" w14:paraId="6ED99B81" w14:textId="77777777" w:rsidTr="003467FE">
        <w:trPr>
          <w:trHeight w:val="300"/>
        </w:trPr>
        <w:tc>
          <w:tcPr>
            <w:tcW w:w="539" w:type="pct"/>
            <w:tcBorders>
              <w:top w:val="nil"/>
              <w:left w:val="nil"/>
              <w:bottom w:val="single" w:sz="4" w:space="0" w:color="auto"/>
              <w:right w:val="nil"/>
            </w:tcBorders>
            <w:shd w:val="clear" w:color="auto" w:fill="auto"/>
            <w:noWrap/>
            <w:vAlign w:val="bottom"/>
            <w:hideMark/>
          </w:tcPr>
          <w:p w14:paraId="0E2DC355"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0CAB3D8B"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2064B0AD" w14:textId="40E7869B"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1.32 (0.11)</w:t>
            </w:r>
          </w:p>
        </w:tc>
        <w:tc>
          <w:tcPr>
            <w:tcW w:w="1150" w:type="pct"/>
            <w:tcBorders>
              <w:top w:val="nil"/>
              <w:left w:val="nil"/>
              <w:bottom w:val="single" w:sz="4" w:space="0" w:color="auto"/>
              <w:right w:val="nil"/>
            </w:tcBorders>
            <w:shd w:val="clear" w:color="auto" w:fill="auto"/>
            <w:noWrap/>
            <w:vAlign w:val="bottom"/>
          </w:tcPr>
          <w:p w14:paraId="51DA92A5" w14:textId="725B23FE"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1.16 (0.09)</w:t>
            </w:r>
          </w:p>
        </w:tc>
        <w:tc>
          <w:tcPr>
            <w:tcW w:w="537" w:type="pct"/>
            <w:tcBorders>
              <w:top w:val="nil"/>
              <w:left w:val="nil"/>
              <w:bottom w:val="single" w:sz="4" w:space="0" w:color="auto"/>
              <w:right w:val="nil"/>
            </w:tcBorders>
            <w:shd w:val="clear" w:color="auto" w:fill="auto"/>
            <w:noWrap/>
            <w:vAlign w:val="bottom"/>
          </w:tcPr>
          <w:p w14:paraId="4938ADD1" w14:textId="10A7D232" w:rsidR="00EE17B9" w:rsidRPr="009D4627" w:rsidRDefault="003467F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2.56</w:t>
            </w:r>
          </w:p>
        </w:tc>
        <w:tc>
          <w:tcPr>
            <w:tcW w:w="722" w:type="pct"/>
            <w:tcBorders>
              <w:top w:val="nil"/>
              <w:left w:val="nil"/>
              <w:bottom w:val="single" w:sz="4" w:space="0" w:color="auto"/>
              <w:right w:val="nil"/>
            </w:tcBorders>
            <w:shd w:val="clear" w:color="auto" w:fill="auto"/>
            <w:noWrap/>
            <w:vAlign w:val="bottom"/>
          </w:tcPr>
          <w:p w14:paraId="1E70F7A8" w14:textId="404B3F6A" w:rsidR="00EE17B9" w:rsidRPr="009D4627" w:rsidRDefault="00E640DE"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0.03*</w:t>
            </w:r>
          </w:p>
        </w:tc>
      </w:tr>
      <w:tr w:rsidR="00EE17B9" w:rsidRPr="009D4627" w14:paraId="3C9392E2" w14:textId="77777777" w:rsidTr="00AD6B9F">
        <w:trPr>
          <w:trHeight w:val="300"/>
        </w:trPr>
        <w:tc>
          <w:tcPr>
            <w:tcW w:w="539" w:type="pct"/>
            <w:tcBorders>
              <w:top w:val="single" w:sz="4" w:space="0" w:color="auto"/>
              <w:left w:val="nil"/>
              <w:bottom w:val="nil"/>
              <w:right w:val="nil"/>
            </w:tcBorders>
            <w:shd w:val="clear" w:color="auto" w:fill="auto"/>
            <w:noWrap/>
            <w:vAlign w:val="bottom"/>
            <w:hideMark/>
          </w:tcPr>
          <w:p w14:paraId="2D2F9BE6" w14:textId="77777777" w:rsidR="00EE17B9" w:rsidRPr="009D4627" w:rsidRDefault="00EE17B9" w:rsidP="00EE17B9">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VI</w:t>
            </w:r>
          </w:p>
        </w:tc>
        <w:tc>
          <w:tcPr>
            <w:tcW w:w="1189" w:type="pct"/>
            <w:gridSpan w:val="2"/>
            <w:tcBorders>
              <w:top w:val="single" w:sz="4" w:space="0" w:color="auto"/>
              <w:left w:val="nil"/>
              <w:bottom w:val="nil"/>
              <w:right w:val="nil"/>
            </w:tcBorders>
            <w:shd w:val="clear" w:color="auto" w:fill="auto"/>
            <w:noWrap/>
            <w:vAlign w:val="bottom"/>
            <w:hideMark/>
          </w:tcPr>
          <w:p w14:paraId="167CA019"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461694E1" w14:textId="594C2AF1"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0.81 (0.35)</w:t>
            </w:r>
          </w:p>
        </w:tc>
        <w:tc>
          <w:tcPr>
            <w:tcW w:w="1150" w:type="pct"/>
            <w:tcBorders>
              <w:top w:val="single" w:sz="4" w:space="0" w:color="auto"/>
              <w:left w:val="nil"/>
              <w:bottom w:val="nil"/>
              <w:right w:val="nil"/>
            </w:tcBorders>
            <w:shd w:val="clear" w:color="auto" w:fill="auto"/>
            <w:noWrap/>
            <w:vAlign w:val="bottom"/>
          </w:tcPr>
          <w:p w14:paraId="6B5A659C" w14:textId="71054E3B"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0.72 (0.36)</w:t>
            </w:r>
          </w:p>
        </w:tc>
        <w:tc>
          <w:tcPr>
            <w:tcW w:w="537" w:type="pct"/>
            <w:tcBorders>
              <w:top w:val="single" w:sz="4" w:space="0" w:color="auto"/>
              <w:left w:val="nil"/>
              <w:bottom w:val="nil"/>
              <w:right w:val="nil"/>
            </w:tcBorders>
            <w:shd w:val="clear" w:color="auto" w:fill="auto"/>
            <w:noWrap/>
            <w:vAlign w:val="bottom"/>
          </w:tcPr>
          <w:p w14:paraId="05F904C4" w14:textId="5C783497"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0.81</w:t>
            </w:r>
          </w:p>
        </w:tc>
        <w:tc>
          <w:tcPr>
            <w:tcW w:w="722" w:type="pct"/>
            <w:tcBorders>
              <w:top w:val="single" w:sz="4" w:space="0" w:color="auto"/>
              <w:left w:val="nil"/>
              <w:bottom w:val="nil"/>
              <w:right w:val="nil"/>
            </w:tcBorders>
            <w:shd w:val="clear" w:color="auto" w:fill="auto"/>
            <w:noWrap/>
            <w:vAlign w:val="bottom"/>
          </w:tcPr>
          <w:p w14:paraId="3D3886AE" w14:textId="4889B258"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0.42</w:t>
            </w:r>
          </w:p>
        </w:tc>
      </w:tr>
      <w:tr w:rsidR="00EE17B9" w:rsidRPr="009D4627" w14:paraId="04B847DC" w14:textId="77777777" w:rsidTr="00AD6B9F">
        <w:trPr>
          <w:trHeight w:val="300"/>
        </w:trPr>
        <w:tc>
          <w:tcPr>
            <w:tcW w:w="539" w:type="pct"/>
            <w:tcBorders>
              <w:top w:val="nil"/>
              <w:left w:val="nil"/>
              <w:bottom w:val="nil"/>
              <w:right w:val="nil"/>
            </w:tcBorders>
            <w:shd w:val="clear" w:color="auto" w:fill="auto"/>
            <w:noWrap/>
            <w:vAlign w:val="bottom"/>
            <w:hideMark/>
          </w:tcPr>
          <w:p w14:paraId="0476C17F"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5AE9CCFF"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566A44C0" w14:textId="77AB4D98"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1.27 (0.43)</w:t>
            </w:r>
          </w:p>
        </w:tc>
        <w:tc>
          <w:tcPr>
            <w:tcW w:w="1150" w:type="pct"/>
            <w:tcBorders>
              <w:top w:val="nil"/>
              <w:left w:val="nil"/>
              <w:bottom w:val="nil"/>
              <w:right w:val="nil"/>
            </w:tcBorders>
            <w:shd w:val="clear" w:color="auto" w:fill="auto"/>
            <w:noWrap/>
            <w:vAlign w:val="bottom"/>
          </w:tcPr>
          <w:p w14:paraId="45DC6C17" w14:textId="06F773B8"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1.32 (0.46)</w:t>
            </w:r>
          </w:p>
        </w:tc>
        <w:tc>
          <w:tcPr>
            <w:tcW w:w="537" w:type="pct"/>
            <w:tcBorders>
              <w:top w:val="nil"/>
              <w:left w:val="nil"/>
              <w:bottom w:val="nil"/>
              <w:right w:val="nil"/>
            </w:tcBorders>
            <w:shd w:val="clear" w:color="auto" w:fill="auto"/>
            <w:noWrap/>
            <w:vAlign w:val="bottom"/>
          </w:tcPr>
          <w:p w14:paraId="342B8F3D" w14:textId="54F42235"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-0.40</w:t>
            </w:r>
          </w:p>
        </w:tc>
        <w:tc>
          <w:tcPr>
            <w:tcW w:w="722" w:type="pct"/>
            <w:tcBorders>
              <w:top w:val="nil"/>
              <w:left w:val="nil"/>
              <w:bottom w:val="nil"/>
              <w:right w:val="nil"/>
            </w:tcBorders>
            <w:shd w:val="clear" w:color="auto" w:fill="auto"/>
            <w:noWrap/>
            <w:vAlign w:val="bottom"/>
          </w:tcPr>
          <w:p w14:paraId="0622EBAF" w14:textId="499EEE3B"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0.69</w:t>
            </w:r>
          </w:p>
        </w:tc>
      </w:tr>
      <w:tr w:rsidR="00EE17B9" w:rsidRPr="009D4627" w14:paraId="3AE1E38A" w14:textId="77777777" w:rsidTr="00AD6B9F">
        <w:trPr>
          <w:trHeight w:val="300"/>
        </w:trPr>
        <w:tc>
          <w:tcPr>
            <w:tcW w:w="539" w:type="pct"/>
            <w:tcBorders>
              <w:top w:val="nil"/>
              <w:left w:val="nil"/>
              <w:bottom w:val="nil"/>
              <w:right w:val="nil"/>
            </w:tcBorders>
            <w:shd w:val="clear" w:color="auto" w:fill="auto"/>
            <w:noWrap/>
            <w:vAlign w:val="bottom"/>
            <w:hideMark/>
          </w:tcPr>
          <w:p w14:paraId="2CA967A3"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79F9B233"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bottom w:val="nil"/>
              <w:right w:val="nil"/>
            </w:tcBorders>
            <w:shd w:val="clear" w:color="auto" w:fill="auto"/>
            <w:noWrap/>
            <w:vAlign w:val="bottom"/>
          </w:tcPr>
          <w:p w14:paraId="7B36547F" w14:textId="7EB607A5"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2.32 (0.82)</w:t>
            </w:r>
          </w:p>
        </w:tc>
        <w:tc>
          <w:tcPr>
            <w:tcW w:w="1150" w:type="pct"/>
            <w:tcBorders>
              <w:top w:val="nil"/>
              <w:left w:val="nil"/>
              <w:bottom w:val="nil"/>
              <w:right w:val="nil"/>
            </w:tcBorders>
            <w:shd w:val="clear" w:color="auto" w:fill="auto"/>
            <w:noWrap/>
            <w:vAlign w:val="bottom"/>
          </w:tcPr>
          <w:p w14:paraId="6E5483A5" w14:textId="0AC9AB08"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2.38 (1.08)</w:t>
            </w:r>
          </w:p>
        </w:tc>
        <w:tc>
          <w:tcPr>
            <w:tcW w:w="537" w:type="pct"/>
            <w:tcBorders>
              <w:top w:val="nil"/>
              <w:left w:val="nil"/>
              <w:bottom w:val="nil"/>
              <w:right w:val="nil"/>
            </w:tcBorders>
            <w:shd w:val="clear" w:color="auto" w:fill="auto"/>
            <w:noWrap/>
            <w:vAlign w:val="bottom"/>
          </w:tcPr>
          <w:p w14:paraId="3B4B465B" w14:textId="4891B80E"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-0.23</w:t>
            </w:r>
          </w:p>
        </w:tc>
        <w:tc>
          <w:tcPr>
            <w:tcW w:w="722" w:type="pct"/>
            <w:tcBorders>
              <w:top w:val="nil"/>
              <w:left w:val="nil"/>
              <w:bottom w:val="nil"/>
              <w:right w:val="nil"/>
            </w:tcBorders>
            <w:shd w:val="clear" w:color="auto" w:fill="auto"/>
            <w:noWrap/>
            <w:vAlign w:val="bottom"/>
          </w:tcPr>
          <w:p w14:paraId="51D6DCCF" w14:textId="39F34C94"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w:t>
            </w:r>
            <w:r w:rsidR="000C61CD" w:rsidRPr="009D4627">
              <w:rPr>
                <w:rFonts w:eastAsia="Times New Roman"/>
                <w:color w:val="000000"/>
                <w:sz w:val="22"/>
                <w:szCs w:val="22"/>
                <w:lang w:val="en-MY" w:eastAsia="en-MY"/>
              </w:rPr>
              <w:t>2</w:t>
            </w:r>
          </w:p>
        </w:tc>
      </w:tr>
      <w:tr w:rsidR="00EE17B9" w:rsidRPr="009D4627" w14:paraId="38B0A0DD" w14:textId="77777777" w:rsidTr="00AD6B9F">
        <w:trPr>
          <w:trHeight w:val="300"/>
        </w:trPr>
        <w:tc>
          <w:tcPr>
            <w:tcW w:w="539" w:type="pct"/>
            <w:tcBorders>
              <w:top w:val="nil"/>
              <w:left w:val="nil"/>
              <w:bottom w:val="single" w:sz="4" w:space="0" w:color="auto"/>
              <w:right w:val="nil"/>
            </w:tcBorders>
            <w:shd w:val="clear" w:color="auto" w:fill="auto"/>
            <w:noWrap/>
            <w:vAlign w:val="bottom"/>
            <w:hideMark/>
          </w:tcPr>
          <w:p w14:paraId="06E30605" w14:textId="77777777" w:rsidR="00EE17B9" w:rsidRPr="009D4627" w:rsidRDefault="00EE17B9" w:rsidP="00EE17B9">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4E6A9BF9" w14:textId="77777777"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6AEE7519" w14:textId="017D1AA4"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2.89 (0.90)</w:t>
            </w:r>
          </w:p>
        </w:tc>
        <w:tc>
          <w:tcPr>
            <w:tcW w:w="1150" w:type="pct"/>
            <w:tcBorders>
              <w:top w:val="nil"/>
              <w:left w:val="nil"/>
              <w:bottom w:val="single" w:sz="4" w:space="0" w:color="auto"/>
              <w:right w:val="nil"/>
            </w:tcBorders>
            <w:shd w:val="clear" w:color="auto" w:fill="auto"/>
            <w:noWrap/>
            <w:vAlign w:val="bottom"/>
          </w:tcPr>
          <w:p w14:paraId="590F3186" w14:textId="5E1DA64B" w:rsidR="00EE17B9" w:rsidRPr="009D4627" w:rsidRDefault="00EE17B9" w:rsidP="00EE17B9">
            <w:pPr>
              <w:spacing w:before="0" w:after="0" w:line="240" w:lineRule="auto"/>
              <w:jc w:val="center"/>
              <w:rPr>
                <w:rFonts w:eastAsia="Times New Roman"/>
                <w:color w:val="000000"/>
                <w:sz w:val="22"/>
                <w:szCs w:val="22"/>
                <w:lang w:val="en-MY" w:eastAsia="en-MY"/>
              </w:rPr>
            </w:pPr>
            <w:r w:rsidRPr="009D4627">
              <w:rPr>
                <w:color w:val="000000"/>
                <w:sz w:val="22"/>
                <w:szCs w:val="22"/>
              </w:rPr>
              <w:t>3.20 (1.30)</w:t>
            </w:r>
          </w:p>
        </w:tc>
        <w:tc>
          <w:tcPr>
            <w:tcW w:w="537" w:type="pct"/>
            <w:tcBorders>
              <w:top w:val="nil"/>
              <w:left w:val="nil"/>
              <w:bottom w:val="single" w:sz="4" w:space="0" w:color="auto"/>
              <w:right w:val="nil"/>
            </w:tcBorders>
            <w:shd w:val="clear" w:color="auto" w:fill="auto"/>
            <w:noWrap/>
            <w:vAlign w:val="bottom"/>
          </w:tcPr>
          <w:p w14:paraId="36EBBBD2" w14:textId="188F2225"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w:t>
            </w:r>
            <w:r w:rsidR="00B235EF" w:rsidRPr="009D4627">
              <w:rPr>
                <w:rFonts w:eastAsia="Times New Roman"/>
                <w:color w:val="000000"/>
                <w:sz w:val="22"/>
                <w:szCs w:val="22"/>
                <w:lang w:val="en-MY" w:eastAsia="en-MY"/>
              </w:rPr>
              <w:t>4</w:t>
            </w:r>
          </w:p>
        </w:tc>
        <w:tc>
          <w:tcPr>
            <w:tcW w:w="722" w:type="pct"/>
            <w:tcBorders>
              <w:top w:val="nil"/>
              <w:left w:val="nil"/>
              <w:bottom w:val="single" w:sz="4" w:space="0" w:color="auto"/>
              <w:right w:val="nil"/>
            </w:tcBorders>
            <w:shd w:val="clear" w:color="auto" w:fill="auto"/>
            <w:noWrap/>
            <w:vAlign w:val="bottom"/>
          </w:tcPr>
          <w:p w14:paraId="0C912E79" w14:textId="443EDA24" w:rsidR="00EE17B9" w:rsidRPr="009D4627" w:rsidRDefault="00AD6B9F" w:rsidP="00EE17B9">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0.35</w:t>
            </w:r>
          </w:p>
        </w:tc>
      </w:tr>
      <w:tr w:rsidR="00EE17B9" w:rsidRPr="009D4627" w14:paraId="14DE46C2" w14:textId="77777777" w:rsidTr="008B7149">
        <w:trPr>
          <w:trHeight w:val="300"/>
        </w:trPr>
        <w:tc>
          <w:tcPr>
            <w:tcW w:w="5000" w:type="pct"/>
            <w:gridSpan w:val="7"/>
            <w:tcBorders>
              <w:top w:val="single" w:sz="4" w:space="0" w:color="auto"/>
              <w:left w:val="nil"/>
              <w:bottom w:val="single" w:sz="4" w:space="0" w:color="auto"/>
              <w:right w:val="nil"/>
            </w:tcBorders>
            <w:shd w:val="clear" w:color="auto" w:fill="auto"/>
            <w:noWrap/>
            <w:vAlign w:val="bottom"/>
            <w:hideMark/>
          </w:tcPr>
          <w:p w14:paraId="6B180E02" w14:textId="1CBF05D8" w:rsidR="00EE17B9" w:rsidRPr="009D4627" w:rsidRDefault="00974B3E" w:rsidP="00EE17B9">
            <w:pPr>
              <w:spacing w:before="0" w:after="0" w:line="240" w:lineRule="auto"/>
              <w:jc w:val="center"/>
              <w:rPr>
                <w:rFonts w:eastAsia="Times New Roman"/>
                <w:b/>
                <w:bCs/>
                <w:i/>
                <w:iCs/>
                <w:color w:val="auto"/>
                <w:sz w:val="22"/>
                <w:szCs w:val="22"/>
                <w:lang w:val="en-MY" w:eastAsia="en-MY"/>
              </w:rPr>
            </w:pPr>
            <w:r>
              <w:rPr>
                <w:rFonts w:eastAsia="Times New Roman"/>
                <w:b/>
                <w:bCs/>
                <w:i/>
                <w:iCs/>
                <w:color w:val="000000"/>
                <w:sz w:val="22"/>
                <w:szCs w:val="22"/>
                <w:lang w:val="en-MY" w:eastAsia="en-MY"/>
              </w:rPr>
              <w:t>V</w:t>
            </w:r>
            <w:r w:rsidR="00EE17B9" w:rsidRPr="009D4627">
              <w:rPr>
                <w:rFonts w:eastAsia="Times New Roman"/>
                <w:b/>
                <w:bCs/>
                <w:i/>
                <w:iCs/>
                <w:color w:val="000000"/>
                <w:sz w:val="22"/>
                <w:szCs w:val="22"/>
                <w:lang w:val="en-MY" w:eastAsia="en-MY"/>
              </w:rPr>
              <w:t>ertical SP duration (</w:t>
            </w:r>
            <w:proofErr w:type="spellStart"/>
            <w:r w:rsidR="00EE17B9" w:rsidRPr="009D4627">
              <w:rPr>
                <w:rFonts w:eastAsia="Times New Roman"/>
                <w:b/>
                <w:bCs/>
                <w:i/>
                <w:iCs/>
                <w:color w:val="000000"/>
                <w:sz w:val="22"/>
                <w:szCs w:val="22"/>
                <w:lang w:val="en-MY" w:eastAsia="en-MY"/>
              </w:rPr>
              <w:t>ms</w:t>
            </w:r>
            <w:proofErr w:type="spellEnd"/>
            <w:r w:rsidR="00EE17B9" w:rsidRPr="009D4627">
              <w:rPr>
                <w:rFonts w:eastAsia="Times New Roman"/>
                <w:b/>
                <w:bCs/>
                <w:i/>
                <w:iCs/>
                <w:color w:val="000000"/>
                <w:sz w:val="22"/>
                <w:szCs w:val="22"/>
                <w:lang w:val="en-MY" w:eastAsia="en-MY"/>
              </w:rPr>
              <w:t>)</w:t>
            </w:r>
          </w:p>
        </w:tc>
      </w:tr>
      <w:tr w:rsidR="00AD6B9F" w:rsidRPr="009D4627" w14:paraId="01C48200" w14:textId="77777777" w:rsidTr="00AD6B9F">
        <w:trPr>
          <w:trHeight w:val="300"/>
        </w:trPr>
        <w:tc>
          <w:tcPr>
            <w:tcW w:w="539" w:type="pct"/>
            <w:tcBorders>
              <w:top w:val="single" w:sz="4" w:space="0" w:color="auto"/>
              <w:left w:val="nil"/>
              <w:bottom w:val="nil"/>
              <w:right w:val="nil"/>
            </w:tcBorders>
            <w:shd w:val="clear" w:color="auto" w:fill="auto"/>
            <w:noWrap/>
            <w:vAlign w:val="bottom"/>
            <w:hideMark/>
          </w:tcPr>
          <w:p w14:paraId="2E4D46D6" w14:textId="77777777" w:rsidR="00AD6B9F" w:rsidRPr="009D4627" w:rsidRDefault="00AD6B9F" w:rsidP="00AD6B9F">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III</w:t>
            </w:r>
          </w:p>
        </w:tc>
        <w:tc>
          <w:tcPr>
            <w:tcW w:w="1189" w:type="pct"/>
            <w:gridSpan w:val="2"/>
            <w:tcBorders>
              <w:top w:val="single" w:sz="4" w:space="0" w:color="auto"/>
              <w:left w:val="nil"/>
              <w:bottom w:val="nil"/>
              <w:right w:val="nil"/>
            </w:tcBorders>
            <w:shd w:val="clear" w:color="auto" w:fill="auto"/>
            <w:noWrap/>
            <w:vAlign w:val="bottom"/>
            <w:hideMark/>
          </w:tcPr>
          <w:p w14:paraId="65A348B8"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4429B7E6" w14:textId="46E2B353"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452 (133)</w:t>
            </w:r>
          </w:p>
        </w:tc>
        <w:tc>
          <w:tcPr>
            <w:tcW w:w="1150" w:type="pct"/>
            <w:tcBorders>
              <w:top w:val="single" w:sz="4" w:space="0" w:color="auto"/>
              <w:left w:val="nil"/>
              <w:bottom w:val="nil"/>
              <w:right w:val="nil"/>
            </w:tcBorders>
            <w:shd w:val="clear" w:color="auto" w:fill="auto"/>
            <w:noWrap/>
            <w:vAlign w:val="bottom"/>
          </w:tcPr>
          <w:p w14:paraId="0F80D277" w14:textId="5FB308B5"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464 (116)</w:t>
            </w:r>
          </w:p>
        </w:tc>
        <w:tc>
          <w:tcPr>
            <w:tcW w:w="537" w:type="pct"/>
            <w:tcBorders>
              <w:top w:val="single" w:sz="4" w:space="0" w:color="auto"/>
              <w:left w:val="nil"/>
              <w:bottom w:val="nil"/>
              <w:right w:val="nil"/>
            </w:tcBorders>
            <w:shd w:val="clear" w:color="auto" w:fill="auto"/>
            <w:noWrap/>
            <w:vAlign w:val="bottom"/>
          </w:tcPr>
          <w:p w14:paraId="5C16E5E3" w14:textId="58101EC5"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-0.29</w:t>
            </w:r>
          </w:p>
        </w:tc>
        <w:tc>
          <w:tcPr>
            <w:tcW w:w="722" w:type="pct"/>
            <w:tcBorders>
              <w:top w:val="single" w:sz="4" w:space="0" w:color="auto"/>
              <w:left w:val="nil"/>
              <w:bottom w:val="nil"/>
              <w:right w:val="nil"/>
            </w:tcBorders>
            <w:shd w:val="clear" w:color="auto" w:fill="auto"/>
            <w:noWrap/>
            <w:vAlign w:val="bottom"/>
          </w:tcPr>
          <w:p w14:paraId="757E1A51" w14:textId="0C28B287"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0.77</w:t>
            </w:r>
          </w:p>
        </w:tc>
      </w:tr>
      <w:tr w:rsidR="00AD6B9F" w:rsidRPr="009D4627" w14:paraId="5EA92F32" w14:textId="77777777" w:rsidTr="00AD6B9F">
        <w:trPr>
          <w:trHeight w:val="300"/>
        </w:trPr>
        <w:tc>
          <w:tcPr>
            <w:tcW w:w="539" w:type="pct"/>
            <w:tcBorders>
              <w:top w:val="nil"/>
              <w:left w:val="nil"/>
              <w:bottom w:val="nil"/>
              <w:right w:val="nil"/>
            </w:tcBorders>
            <w:shd w:val="clear" w:color="auto" w:fill="auto"/>
            <w:noWrap/>
            <w:vAlign w:val="bottom"/>
            <w:hideMark/>
          </w:tcPr>
          <w:p w14:paraId="6ABBF51E"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47B765CE"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61C95B83" w14:textId="34D5C113"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451 (155)</w:t>
            </w:r>
          </w:p>
        </w:tc>
        <w:tc>
          <w:tcPr>
            <w:tcW w:w="1150" w:type="pct"/>
            <w:tcBorders>
              <w:top w:val="nil"/>
              <w:left w:val="nil"/>
              <w:bottom w:val="nil"/>
              <w:right w:val="nil"/>
            </w:tcBorders>
            <w:shd w:val="clear" w:color="auto" w:fill="auto"/>
            <w:noWrap/>
            <w:vAlign w:val="bottom"/>
          </w:tcPr>
          <w:p w14:paraId="04C89BF7" w14:textId="6E26E818"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412 (128)</w:t>
            </w:r>
          </w:p>
        </w:tc>
        <w:tc>
          <w:tcPr>
            <w:tcW w:w="537" w:type="pct"/>
            <w:tcBorders>
              <w:top w:val="nil"/>
              <w:left w:val="nil"/>
              <w:bottom w:val="nil"/>
              <w:right w:val="nil"/>
            </w:tcBorders>
            <w:shd w:val="clear" w:color="auto" w:fill="auto"/>
            <w:noWrap/>
            <w:vAlign w:val="bottom"/>
          </w:tcPr>
          <w:p w14:paraId="1F14115F" w14:textId="7449BD7E"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w:t>
            </w:r>
            <w:r w:rsidR="00B235EF" w:rsidRPr="009D4627">
              <w:rPr>
                <w:rFonts w:eastAsia="Times New Roman"/>
                <w:color w:val="000000"/>
                <w:sz w:val="22"/>
                <w:szCs w:val="22"/>
                <w:lang w:val="en-MY" w:eastAsia="en-MY"/>
              </w:rPr>
              <w:t>1</w:t>
            </w:r>
          </w:p>
        </w:tc>
        <w:tc>
          <w:tcPr>
            <w:tcW w:w="722" w:type="pct"/>
            <w:tcBorders>
              <w:top w:val="nil"/>
              <w:left w:val="nil"/>
              <w:bottom w:val="nil"/>
              <w:right w:val="nil"/>
            </w:tcBorders>
            <w:shd w:val="clear" w:color="auto" w:fill="auto"/>
            <w:noWrap/>
            <w:vAlign w:val="bottom"/>
          </w:tcPr>
          <w:p w14:paraId="5FEB3DA8" w14:textId="7548A36B"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0C61CD" w:rsidRPr="009D4627">
              <w:rPr>
                <w:rFonts w:eastAsia="Times New Roman"/>
                <w:color w:val="000000"/>
                <w:sz w:val="22"/>
                <w:szCs w:val="22"/>
                <w:lang w:val="en-MY" w:eastAsia="en-MY"/>
              </w:rPr>
              <w:t>3</w:t>
            </w:r>
          </w:p>
        </w:tc>
      </w:tr>
      <w:tr w:rsidR="00AD6B9F" w:rsidRPr="009D4627" w14:paraId="5689D764" w14:textId="77777777" w:rsidTr="00AD6B9F">
        <w:trPr>
          <w:trHeight w:val="300"/>
        </w:trPr>
        <w:tc>
          <w:tcPr>
            <w:tcW w:w="539" w:type="pct"/>
            <w:tcBorders>
              <w:top w:val="nil"/>
              <w:left w:val="nil"/>
              <w:right w:val="nil"/>
            </w:tcBorders>
            <w:shd w:val="clear" w:color="auto" w:fill="auto"/>
            <w:noWrap/>
            <w:vAlign w:val="bottom"/>
            <w:hideMark/>
          </w:tcPr>
          <w:p w14:paraId="1B8470DA"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42EA0CF3"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tcPr>
          <w:p w14:paraId="27FF9122" w14:textId="0E86D57C"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487 (136)</w:t>
            </w:r>
          </w:p>
        </w:tc>
        <w:tc>
          <w:tcPr>
            <w:tcW w:w="1150" w:type="pct"/>
            <w:tcBorders>
              <w:top w:val="nil"/>
              <w:left w:val="nil"/>
              <w:right w:val="nil"/>
            </w:tcBorders>
            <w:shd w:val="clear" w:color="auto" w:fill="auto"/>
            <w:noWrap/>
            <w:vAlign w:val="bottom"/>
          </w:tcPr>
          <w:p w14:paraId="126F8A70" w14:textId="44BF0D2B"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466 (152)</w:t>
            </w:r>
          </w:p>
        </w:tc>
        <w:tc>
          <w:tcPr>
            <w:tcW w:w="537" w:type="pct"/>
            <w:tcBorders>
              <w:top w:val="nil"/>
              <w:left w:val="nil"/>
              <w:right w:val="nil"/>
            </w:tcBorders>
            <w:shd w:val="clear" w:color="auto" w:fill="auto"/>
            <w:noWrap/>
            <w:vAlign w:val="bottom"/>
          </w:tcPr>
          <w:p w14:paraId="5C1EB04B" w14:textId="48025918"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B235EF" w:rsidRPr="009D4627">
              <w:rPr>
                <w:rFonts w:eastAsia="Times New Roman"/>
                <w:color w:val="000000"/>
                <w:sz w:val="22"/>
                <w:szCs w:val="22"/>
                <w:lang w:val="en-MY" w:eastAsia="en-MY"/>
              </w:rPr>
              <w:t>4</w:t>
            </w:r>
          </w:p>
        </w:tc>
        <w:tc>
          <w:tcPr>
            <w:tcW w:w="722" w:type="pct"/>
            <w:tcBorders>
              <w:top w:val="nil"/>
              <w:left w:val="nil"/>
              <w:right w:val="nil"/>
            </w:tcBorders>
            <w:shd w:val="clear" w:color="auto" w:fill="auto"/>
            <w:noWrap/>
            <w:vAlign w:val="bottom"/>
          </w:tcPr>
          <w:p w14:paraId="205E23A3" w14:textId="221E2D45"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0.66</w:t>
            </w:r>
          </w:p>
        </w:tc>
      </w:tr>
      <w:tr w:rsidR="00AD6B9F" w:rsidRPr="009D4627" w14:paraId="7375164D" w14:textId="77777777" w:rsidTr="00AD6B9F">
        <w:trPr>
          <w:trHeight w:val="300"/>
        </w:trPr>
        <w:tc>
          <w:tcPr>
            <w:tcW w:w="539" w:type="pct"/>
            <w:tcBorders>
              <w:top w:val="nil"/>
              <w:left w:val="nil"/>
              <w:bottom w:val="single" w:sz="4" w:space="0" w:color="auto"/>
              <w:right w:val="nil"/>
            </w:tcBorders>
            <w:shd w:val="clear" w:color="auto" w:fill="auto"/>
            <w:noWrap/>
            <w:vAlign w:val="bottom"/>
            <w:hideMark/>
          </w:tcPr>
          <w:p w14:paraId="0118F37E"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3541EC49"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3D12793F" w14:textId="56483F1A"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482 (157)</w:t>
            </w:r>
          </w:p>
        </w:tc>
        <w:tc>
          <w:tcPr>
            <w:tcW w:w="1150" w:type="pct"/>
            <w:tcBorders>
              <w:top w:val="nil"/>
              <w:left w:val="nil"/>
              <w:bottom w:val="single" w:sz="4" w:space="0" w:color="auto"/>
              <w:right w:val="nil"/>
            </w:tcBorders>
            <w:shd w:val="clear" w:color="auto" w:fill="auto"/>
            <w:noWrap/>
            <w:vAlign w:val="bottom"/>
          </w:tcPr>
          <w:p w14:paraId="08C24B3B" w14:textId="51E3DA0F"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482 (139)</w:t>
            </w:r>
          </w:p>
        </w:tc>
        <w:tc>
          <w:tcPr>
            <w:tcW w:w="537" w:type="pct"/>
            <w:tcBorders>
              <w:top w:val="nil"/>
              <w:left w:val="nil"/>
              <w:bottom w:val="single" w:sz="4" w:space="0" w:color="auto"/>
              <w:right w:val="nil"/>
            </w:tcBorders>
            <w:shd w:val="clear" w:color="auto" w:fill="auto"/>
            <w:noWrap/>
            <w:vAlign w:val="bottom"/>
          </w:tcPr>
          <w:p w14:paraId="20CCD06E" w14:textId="1DA27F5A"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0.01</w:t>
            </w:r>
          </w:p>
        </w:tc>
        <w:tc>
          <w:tcPr>
            <w:tcW w:w="722" w:type="pct"/>
            <w:tcBorders>
              <w:top w:val="nil"/>
              <w:left w:val="nil"/>
              <w:bottom w:val="single" w:sz="4" w:space="0" w:color="auto"/>
              <w:right w:val="nil"/>
            </w:tcBorders>
            <w:shd w:val="clear" w:color="auto" w:fill="auto"/>
            <w:noWrap/>
            <w:vAlign w:val="bottom"/>
          </w:tcPr>
          <w:p w14:paraId="6C64D610" w14:textId="49BA048F"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0.99</w:t>
            </w:r>
          </w:p>
        </w:tc>
      </w:tr>
      <w:tr w:rsidR="00AD6B9F" w:rsidRPr="009D4627" w14:paraId="457BDB15" w14:textId="77777777" w:rsidTr="00AD6B9F">
        <w:trPr>
          <w:trHeight w:val="300"/>
        </w:trPr>
        <w:tc>
          <w:tcPr>
            <w:tcW w:w="539" w:type="pct"/>
            <w:tcBorders>
              <w:top w:val="single" w:sz="4" w:space="0" w:color="auto"/>
              <w:left w:val="nil"/>
              <w:bottom w:val="nil"/>
              <w:right w:val="nil"/>
            </w:tcBorders>
            <w:shd w:val="clear" w:color="auto" w:fill="auto"/>
            <w:noWrap/>
            <w:vAlign w:val="bottom"/>
            <w:hideMark/>
          </w:tcPr>
          <w:p w14:paraId="6DE576CA" w14:textId="77777777" w:rsidR="00AD6B9F" w:rsidRPr="009D4627" w:rsidRDefault="00AD6B9F" w:rsidP="00AD6B9F">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IV</w:t>
            </w:r>
          </w:p>
        </w:tc>
        <w:tc>
          <w:tcPr>
            <w:tcW w:w="1189" w:type="pct"/>
            <w:gridSpan w:val="2"/>
            <w:tcBorders>
              <w:top w:val="single" w:sz="4" w:space="0" w:color="auto"/>
              <w:left w:val="nil"/>
              <w:bottom w:val="nil"/>
              <w:right w:val="nil"/>
            </w:tcBorders>
            <w:shd w:val="clear" w:color="auto" w:fill="auto"/>
            <w:noWrap/>
            <w:vAlign w:val="bottom"/>
            <w:hideMark/>
          </w:tcPr>
          <w:p w14:paraId="170B161A"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1F5B9A85" w14:textId="19E5EE99"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613 (104)</w:t>
            </w:r>
          </w:p>
        </w:tc>
        <w:tc>
          <w:tcPr>
            <w:tcW w:w="1150" w:type="pct"/>
            <w:tcBorders>
              <w:top w:val="single" w:sz="4" w:space="0" w:color="auto"/>
              <w:left w:val="nil"/>
              <w:bottom w:val="nil"/>
              <w:right w:val="nil"/>
            </w:tcBorders>
            <w:shd w:val="clear" w:color="auto" w:fill="auto"/>
            <w:noWrap/>
            <w:vAlign w:val="bottom"/>
          </w:tcPr>
          <w:p w14:paraId="1843A734" w14:textId="393A9EDC"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531 (89)</w:t>
            </w:r>
          </w:p>
        </w:tc>
        <w:tc>
          <w:tcPr>
            <w:tcW w:w="537" w:type="pct"/>
            <w:tcBorders>
              <w:top w:val="single" w:sz="4" w:space="0" w:color="auto"/>
              <w:left w:val="nil"/>
              <w:bottom w:val="nil"/>
              <w:right w:val="nil"/>
            </w:tcBorders>
            <w:shd w:val="clear" w:color="auto" w:fill="auto"/>
            <w:noWrap/>
            <w:vAlign w:val="bottom"/>
          </w:tcPr>
          <w:p w14:paraId="767222EB" w14:textId="1A3EFB23"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1.3</w:t>
            </w:r>
            <w:r w:rsidR="00B235EF" w:rsidRPr="009D4627">
              <w:rPr>
                <w:rFonts w:eastAsia="Times New Roman"/>
                <w:color w:val="000000"/>
                <w:sz w:val="22"/>
                <w:szCs w:val="22"/>
                <w:lang w:val="en-MY" w:eastAsia="en-MY"/>
              </w:rPr>
              <w:t>5</w:t>
            </w:r>
          </w:p>
        </w:tc>
        <w:tc>
          <w:tcPr>
            <w:tcW w:w="722" w:type="pct"/>
            <w:tcBorders>
              <w:top w:val="single" w:sz="4" w:space="0" w:color="auto"/>
              <w:left w:val="nil"/>
              <w:bottom w:val="nil"/>
              <w:right w:val="nil"/>
            </w:tcBorders>
            <w:shd w:val="clear" w:color="auto" w:fill="auto"/>
            <w:noWrap/>
            <w:vAlign w:val="bottom"/>
          </w:tcPr>
          <w:p w14:paraId="13B297F2" w14:textId="5E1AFEFA"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0.21</w:t>
            </w:r>
          </w:p>
        </w:tc>
      </w:tr>
      <w:tr w:rsidR="00AD6B9F" w:rsidRPr="009D4627" w14:paraId="7C1FA6B0" w14:textId="77777777" w:rsidTr="00AD6B9F">
        <w:trPr>
          <w:trHeight w:val="300"/>
        </w:trPr>
        <w:tc>
          <w:tcPr>
            <w:tcW w:w="539" w:type="pct"/>
            <w:tcBorders>
              <w:top w:val="nil"/>
              <w:left w:val="nil"/>
              <w:bottom w:val="nil"/>
              <w:right w:val="nil"/>
            </w:tcBorders>
            <w:shd w:val="clear" w:color="auto" w:fill="auto"/>
            <w:noWrap/>
            <w:vAlign w:val="bottom"/>
            <w:hideMark/>
          </w:tcPr>
          <w:p w14:paraId="3B908900"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32E48CB5"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04F6CF14" w14:textId="0BE77D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393 (71)</w:t>
            </w:r>
          </w:p>
        </w:tc>
        <w:tc>
          <w:tcPr>
            <w:tcW w:w="1150" w:type="pct"/>
            <w:tcBorders>
              <w:top w:val="nil"/>
              <w:left w:val="nil"/>
              <w:bottom w:val="nil"/>
              <w:right w:val="nil"/>
            </w:tcBorders>
            <w:shd w:val="clear" w:color="auto" w:fill="auto"/>
            <w:noWrap/>
            <w:vAlign w:val="bottom"/>
          </w:tcPr>
          <w:p w14:paraId="0B72E525" w14:textId="0CF12645"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494 (102)</w:t>
            </w:r>
          </w:p>
        </w:tc>
        <w:tc>
          <w:tcPr>
            <w:tcW w:w="537" w:type="pct"/>
            <w:tcBorders>
              <w:top w:val="nil"/>
              <w:left w:val="nil"/>
              <w:bottom w:val="nil"/>
              <w:right w:val="nil"/>
            </w:tcBorders>
            <w:shd w:val="clear" w:color="auto" w:fill="auto"/>
            <w:noWrap/>
            <w:vAlign w:val="bottom"/>
          </w:tcPr>
          <w:p w14:paraId="51CD7CBB" w14:textId="10A10E84"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-1.81</w:t>
            </w:r>
          </w:p>
        </w:tc>
        <w:tc>
          <w:tcPr>
            <w:tcW w:w="722" w:type="pct"/>
            <w:tcBorders>
              <w:top w:val="nil"/>
              <w:left w:val="nil"/>
              <w:bottom w:val="nil"/>
              <w:right w:val="nil"/>
            </w:tcBorders>
            <w:shd w:val="clear" w:color="auto" w:fill="auto"/>
            <w:noWrap/>
            <w:vAlign w:val="bottom"/>
          </w:tcPr>
          <w:p w14:paraId="5336E5ED" w14:textId="49EF56B9"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0.1</w:t>
            </w:r>
            <w:r w:rsidR="000C61CD" w:rsidRPr="009D4627">
              <w:rPr>
                <w:rFonts w:eastAsia="Times New Roman"/>
                <w:color w:val="000000"/>
                <w:sz w:val="22"/>
                <w:szCs w:val="22"/>
                <w:lang w:val="en-MY" w:eastAsia="en-MY"/>
              </w:rPr>
              <w:t>1</w:t>
            </w:r>
          </w:p>
        </w:tc>
      </w:tr>
      <w:tr w:rsidR="00AD6B9F" w:rsidRPr="009D4627" w14:paraId="6F0AFB07" w14:textId="77777777" w:rsidTr="00AD6B9F">
        <w:trPr>
          <w:trHeight w:val="300"/>
        </w:trPr>
        <w:tc>
          <w:tcPr>
            <w:tcW w:w="539" w:type="pct"/>
            <w:tcBorders>
              <w:top w:val="nil"/>
              <w:left w:val="nil"/>
              <w:right w:val="nil"/>
            </w:tcBorders>
            <w:shd w:val="clear" w:color="auto" w:fill="auto"/>
            <w:noWrap/>
            <w:vAlign w:val="bottom"/>
            <w:hideMark/>
          </w:tcPr>
          <w:p w14:paraId="654A95DC"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796416B9"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tcPr>
          <w:p w14:paraId="0FC8B670" w14:textId="2CD40A2C"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 xml:space="preserve">511 (104) </w:t>
            </w:r>
          </w:p>
        </w:tc>
        <w:tc>
          <w:tcPr>
            <w:tcW w:w="1150" w:type="pct"/>
            <w:tcBorders>
              <w:top w:val="nil"/>
              <w:left w:val="nil"/>
              <w:right w:val="nil"/>
            </w:tcBorders>
            <w:shd w:val="clear" w:color="auto" w:fill="auto"/>
            <w:noWrap/>
            <w:vAlign w:val="bottom"/>
          </w:tcPr>
          <w:p w14:paraId="220BAAA6" w14:textId="5D17B3AB"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401 (90)</w:t>
            </w:r>
          </w:p>
        </w:tc>
        <w:tc>
          <w:tcPr>
            <w:tcW w:w="537" w:type="pct"/>
            <w:tcBorders>
              <w:top w:val="nil"/>
              <w:left w:val="nil"/>
              <w:right w:val="nil"/>
            </w:tcBorders>
            <w:shd w:val="clear" w:color="auto" w:fill="auto"/>
            <w:noWrap/>
            <w:vAlign w:val="bottom"/>
          </w:tcPr>
          <w:p w14:paraId="349E727B" w14:textId="132FBE16"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1.7</w:t>
            </w:r>
            <w:r w:rsidR="00B235EF" w:rsidRPr="009D4627">
              <w:rPr>
                <w:rFonts w:eastAsia="Times New Roman"/>
                <w:color w:val="000000"/>
                <w:sz w:val="22"/>
                <w:szCs w:val="22"/>
                <w:lang w:val="en-MY" w:eastAsia="en-MY"/>
              </w:rPr>
              <w:t>9</w:t>
            </w:r>
          </w:p>
        </w:tc>
        <w:tc>
          <w:tcPr>
            <w:tcW w:w="722" w:type="pct"/>
            <w:tcBorders>
              <w:top w:val="nil"/>
              <w:left w:val="nil"/>
              <w:right w:val="nil"/>
            </w:tcBorders>
            <w:shd w:val="clear" w:color="auto" w:fill="auto"/>
            <w:noWrap/>
            <w:vAlign w:val="bottom"/>
          </w:tcPr>
          <w:p w14:paraId="3D9A99CC" w14:textId="4CD36953"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0.11</w:t>
            </w:r>
          </w:p>
        </w:tc>
      </w:tr>
      <w:tr w:rsidR="00AD6B9F" w:rsidRPr="009D4627" w14:paraId="5E322452" w14:textId="77777777" w:rsidTr="00E631B7">
        <w:trPr>
          <w:trHeight w:val="300"/>
        </w:trPr>
        <w:tc>
          <w:tcPr>
            <w:tcW w:w="539" w:type="pct"/>
            <w:tcBorders>
              <w:top w:val="nil"/>
              <w:left w:val="nil"/>
              <w:bottom w:val="single" w:sz="4" w:space="0" w:color="auto"/>
              <w:right w:val="nil"/>
            </w:tcBorders>
            <w:shd w:val="clear" w:color="auto" w:fill="auto"/>
            <w:noWrap/>
            <w:vAlign w:val="bottom"/>
            <w:hideMark/>
          </w:tcPr>
          <w:p w14:paraId="134D262B"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11BE0562"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41E13833" w14:textId="4A4089A4"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512 (101)</w:t>
            </w:r>
          </w:p>
        </w:tc>
        <w:tc>
          <w:tcPr>
            <w:tcW w:w="1150" w:type="pct"/>
            <w:tcBorders>
              <w:top w:val="nil"/>
              <w:left w:val="nil"/>
              <w:bottom w:val="single" w:sz="4" w:space="0" w:color="auto"/>
              <w:right w:val="nil"/>
            </w:tcBorders>
            <w:shd w:val="clear" w:color="auto" w:fill="auto"/>
            <w:noWrap/>
            <w:vAlign w:val="bottom"/>
          </w:tcPr>
          <w:p w14:paraId="7835CDD2" w14:textId="05EBB7C2"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319 (35)</w:t>
            </w:r>
          </w:p>
        </w:tc>
        <w:tc>
          <w:tcPr>
            <w:tcW w:w="537" w:type="pct"/>
            <w:tcBorders>
              <w:top w:val="nil"/>
              <w:left w:val="nil"/>
              <w:bottom w:val="single" w:sz="4" w:space="0" w:color="auto"/>
              <w:right w:val="nil"/>
            </w:tcBorders>
            <w:shd w:val="clear" w:color="auto" w:fill="auto"/>
            <w:noWrap/>
            <w:vAlign w:val="bottom"/>
          </w:tcPr>
          <w:p w14:paraId="4325F490" w14:textId="2C4AB368" w:rsidR="00AD6B9F" w:rsidRPr="009D4627" w:rsidRDefault="00AD6B9F"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4.04</w:t>
            </w:r>
          </w:p>
        </w:tc>
        <w:tc>
          <w:tcPr>
            <w:tcW w:w="722" w:type="pct"/>
            <w:tcBorders>
              <w:top w:val="nil"/>
              <w:left w:val="nil"/>
              <w:bottom w:val="single" w:sz="4" w:space="0" w:color="auto"/>
              <w:right w:val="nil"/>
            </w:tcBorders>
            <w:shd w:val="clear" w:color="auto" w:fill="auto"/>
            <w:noWrap/>
            <w:vAlign w:val="bottom"/>
            <w:hideMark/>
          </w:tcPr>
          <w:p w14:paraId="22241B25" w14:textId="2A29AE6F" w:rsidR="00AD6B9F" w:rsidRPr="009D4627" w:rsidRDefault="000C61CD"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&lt;0.05</w:t>
            </w:r>
            <w:r w:rsidR="00AD6B9F" w:rsidRPr="009D4627">
              <w:rPr>
                <w:rFonts w:eastAsia="Times New Roman"/>
                <w:color w:val="000000"/>
                <w:sz w:val="22"/>
                <w:szCs w:val="22"/>
                <w:lang w:val="en-MY" w:eastAsia="en-MY"/>
              </w:rPr>
              <w:t>*</w:t>
            </w:r>
          </w:p>
        </w:tc>
      </w:tr>
      <w:tr w:rsidR="00AD6B9F" w:rsidRPr="009D4627" w14:paraId="4A25CEB1" w14:textId="77777777" w:rsidTr="00FD776A">
        <w:trPr>
          <w:trHeight w:val="300"/>
        </w:trPr>
        <w:tc>
          <w:tcPr>
            <w:tcW w:w="539" w:type="pct"/>
            <w:tcBorders>
              <w:top w:val="single" w:sz="4" w:space="0" w:color="auto"/>
              <w:left w:val="nil"/>
              <w:bottom w:val="nil"/>
              <w:right w:val="nil"/>
            </w:tcBorders>
            <w:shd w:val="clear" w:color="auto" w:fill="auto"/>
            <w:noWrap/>
            <w:vAlign w:val="bottom"/>
            <w:hideMark/>
          </w:tcPr>
          <w:p w14:paraId="44A83B60" w14:textId="77777777" w:rsidR="00AD6B9F" w:rsidRPr="009D4627" w:rsidRDefault="00AD6B9F" w:rsidP="00AD6B9F">
            <w:pPr>
              <w:spacing w:before="0" w:after="0" w:line="240" w:lineRule="auto"/>
              <w:jc w:val="left"/>
              <w:rPr>
                <w:rFonts w:eastAsia="Times New Roman"/>
                <w:color w:val="000000"/>
                <w:sz w:val="22"/>
                <w:szCs w:val="22"/>
                <w:lang w:val="en-MY" w:eastAsia="en-MY"/>
              </w:rPr>
            </w:pPr>
            <w:r w:rsidRPr="009D4627">
              <w:rPr>
                <w:rFonts w:eastAsia="Times New Roman"/>
                <w:color w:val="000000"/>
                <w:sz w:val="22"/>
                <w:szCs w:val="22"/>
                <w:lang w:val="en-MY" w:eastAsia="en-MY"/>
              </w:rPr>
              <w:t>CN VI</w:t>
            </w:r>
          </w:p>
        </w:tc>
        <w:tc>
          <w:tcPr>
            <w:tcW w:w="1189" w:type="pct"/>
            <w:gridSpan w:val="2"/>
            <w:tcBorders>
              <w:top w:val="single" w:sz="4" w:space="0" w:color="auto"/>
              <w:left w:val="nil"/>
              <w:bottom w:val="nil"/>
              <w:right w:val="nil"/>
            </w:tcBorders>
            <w:shd w:val="clear" w:color="auto" w:fill="auto"/>
            <w:noWrap/>
            <w:vAlign w:val="bottom"/>
            <w:hideMark/>
          </w:tcPr>
          <w:p w14:paraId="04FAA6B3"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0.25</w:t>
            </w:r>
          </w:p>
        </w:tc>
        <w:tc>
          <w:tcPr>
            <w:tcW w:w="863" w:type="pct"/>
            <w:tcBorders>
              <w:top w:val="single" w:sz="4" w:space="0" w:color="auto"/>
              <w:left w:val="nil"/>
              <w:bottom w:val="nil"/>
              <w:right w:val="nil"/>
            </w:tcBorders>
            <w:shd w:val="clear" w:color="auto" w:fill="auto"/>
            <w:noWrap/>
            <w:vAlign w:val="bottom"/>
          </w:tcPr>
          <w:p w14:paraId="1ED9C5D2" w14:textId="271CF5DD"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494 (64)</w:t>
            </w:r>
          </w:p>
        </w:tc>
        <w:tc>
          <w:tcPr>
            <w:tcW w:w="1150" w:type="pct"/>
            <w:tcBorders>
              <w:top w:val="single" w:sz="4" w:space="0" w:color="auto"/>
              <w:left w:val="nil"/>
              <w:bottom w:val="nil"/>
              <w:right w:val="nil"/>
            </w:tcBorders>
            <w:shd w:val="clear" w:color="auto" w:fill="auto"/>
            <w:noWrap/>
            <w:vAlign w:val="bottom"/>
          </w:tcPr>
          <w:p w14:paraId="2386C3E3" w14:textId="4B520E03"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485 (77)</w:t>
            </w:r>
          </w:p>
        </w:tc>
        <w:tc>
          <w:tcPr>
            <w:tcW w:w="537" w:type="pct"/>
            <w:tcBorders>
              <w:top w:val="single" w:sz="4" w:space="0" w:color="auto"/>
              <w:left w:val="nil"/>
              <w:bottom w:val="nil"/>
              <w:right w:val="nil"/>
            </w:tcBorders>
            <w:shd w:val="clear" w:color="auto" w:fill="auto"/>
            <w:noWrap/>
            <w:vAlign w:val="bottom"/>
          </w:tcPr>
          <w:p w14:paraId="04159098" w14:textId="2A8927E5"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0.45</w:t>
            </w:r>
          </w:p>
        </w:tc>
        <w:tc>
          <w:tcPr>
            <w:tcW w:w="722" w:type="pct"/>
            <w:tcBorders>
              <w:top w:val="single" w:sz="4" w:space="0" w:color="auto"/>
              <w:left w:val="nil"/>
              <w:bottom w:val="nil"/>
              <w:right w:val="nil"/>
            </w:tcBorders>
            <w:shd w:val="clear" w:color="auto" w:fill="auto"/>
            <w:noWrap/>
            <w:vAlign w:val="bottom"/>
          </w:tcPr>
          <w:p w14:paraId="4A58C261" w14:textId="6EEA1126"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0.65</w:t>
            </w:r>
          </w:p>
        </w:tc>
      </w:tr>
      <w:tr w:rsidR="00AD6B9F" w:rsidRPr="009D4627" w14:paraId="10888A8E" w14:textId="77777777" w:rsidTr="00FD776A">
        <w:trPr>
          <w:trHeight w:val="300"/>
        </w:trPr>
        <w:tc>
          <w:tcPr>
            <w:tcW w:w="539" w:type="pct"/>
            <w:tcBorders>
              <w:top w:val="nil"/>
              <w:left w:val="nil"/>
              <w:bottom w:val="nil"/>
              <w:right w:val="nil"/>
            </w:tcBorders>
            <w:shd w:val="clear" w:color="auto" w:fill="auto"/>
            <w:noWrap/>
            <w:vAlign w:val="bottom"/>
            <w:hideMark/>
          </w:tcPr>
          <w:p w14:paraId="277732C5"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nil"/>
              <w:right w:val="nil"/>
            </w:tcBorders>
            <w:shd w:val="clear" w:color="auto" w:fill="auto"/>
            <w:noWrap/>
            <w:vAlign w:val="bottom"/>
            <w:hideMark/>
          </w:tcPr>
          <w:p w14:paraId="22E37A92"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0.5</w:t>
            </w:r>
          </w:p>
        </w:tc>
        <w:tc>
          <w:tcPr>
            <w:tcW w:w="863" w:type="pct"/>
            <w:tcBorders>
              <w:top w:val="nil"/>
              <w:left w:val="nil"/>
              <w:bottom w:val="nil"/>
              <w:right w:val="nil"/>
            </w:tcBorders>
            <w:shd w:val="clear" w:color="auto" w:fill="auto"/>
            <w:noWrap/>
            <w:vAlign w:val="bottom"/>
          </w:tcPr>
          <w:p w14:paraId="0BE20610" w14:textId="7B6A3FAF"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432 (110)</w:t>
            </w:r>
          </w:p>
        </w:tc>
        <w:tc>
          <w:tcPr>
            <w:tcW w:w="1150" w:type="pct"/>
            <w:tcBorders>
              <w:top w:val="nil"/>
              <w:left w:val="nil"/>
              <w:bottom w:val="nil"/>
              <w:right w:val="nil"/>
            </w:tcBorders>
            <w:shd w:val="clear" w:color="auto" w:fill="auto"/>
            <w:noWrap/>
            <w:vAlign w:val="bottom"/>
          </w:tcPr>
          <w:p w14:paraId="790F512D" w14:textId="7BAD533D"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408 (79)</w:t>
            </w:r>
          </w:p>
        </w:tc>
        <w:tc>
          <w:tcPr>
            <w:tcW w:w="537" w:type="pct"/>
            <w:tcBorders>
              <w:top w:val="nil"/>
              <w:left w:val="nil"/>
              <w:bottom w:val="nil"/>
              <w:right w:val="nil"/>
            </w:tcBorders>
            <w:shd w:val="clear" w:color="auto" w:fill="auto"/>
            <w:noWrap/>
            <w:vAlign w:val="bottom"/>
          </w:tcPr>
          <w:p w14:paraId="5BAA227B" w14:textId="5AEA0561"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w:t>
            </w:r>
            <w:r w:rsidR="00B235EF" w:rsidRPr="009D4627">
              <w:rPr>
                <w:rFonts w:eastAsia="Times New Roman"/>
                <w:color w:val="000000"/>
                <w:sz w:val="22"/>
                <w:szCs w:val="22"/>
                <w:lang w:val="en-MY" w:eastAsia="en-MY"/>
              </w:rPr>
              <w:t>90</w:t>
            </w:r>
          </w:p>
        </w:tc>
        <w:tc>
          <w:tcPr>
            <w:tcW w:w="722" w:type="pct"/>
            <w:tcBorders>
              <w:top w:val="nil"/>
              <w:left w:val="nil"/>
              <w:bottom w:val="nil"/>
              <w:right w:val="nil"/>
            </w:tcBorders>
            <w:shd w:val="clear" w:color="auto" w:fill="auto"/>
            <w:noWrap/>
            <w:vAlign w:val="bottom"/>
          </w:tcPr>
          <w:p w14:paraId="28F9C1B2" w14:textId="2F082812"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0.37</w:t>
            </w:r>
          </w:p>
        </w:tc>
      </w:tr>
      <w:tr w:rsidR="00AD6B9F" w:rsidRPr="009D4627" w14:paraId="02434A61" w14:textId="77777777" w:rsidTr="00FD776A">
        <w:trPr>
          <w:trHeight w:val="300"/>
        </w:trPr>
        <w:tc>
          <w:tcPr>
            <w:tcW w:w="539" w:type="pct"/>
            <w:tcBorders>
              <w:top w:val="nil"/>
              <w:left w:val="nil"/>
              <w:right w:val="nil"/>
            </w:tcBorders>
            <w:shd w:val="clear" w:color="auto" w:fill="auto"/>
            <w:noWrap/>
            <w:vAlign w:val="bottom"/>
            <w:hideMark/>
          </w:tcPr>
          <w:p w14:paraId="61382899"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right w:val="nil"/>
            </w:tcBorders>
            <w:shd w:val="clear" w:color="auto" w:fill="auto"/>
            <w:noWrap/>
            <w:vAlign w:val="bottom"/>
            <w:hideMark/>
          </w:tcPr>
          <w:p w14:paraId="427A6C91"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0.75</w:t>
            </w:r>
          </w:p>
        </w:tc>
        <w:tc>
          <w:tcPr>
            <w:tcW w:w="863" w:type="pct"/>
            <w:tcBorders>
              <w:top w:val="nil"/>
              <w:left w:val="nil"/>
              <w:right w:val="nil"/>
            </w:tcBorders>
            <w:shd w:val="clear" w:color="auto" w:fill="auto"/>
            <w:noWrap/>
            <w:vAlign w:val="bottom"/>
          </w:tcPr>
          <w:p w14:paraId="6DA3E199" w14:textId="521A1BC3"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393 (134)</w:t>
            </w:r>
          </w:p>
        </w:tc>
        <w:tc>
          <w:tcPr>
            <w:tcW w:w="1150" w:type="pct"/>
            <w:tcBorders>
              <w:top w:val="nil"/>
              <w:left w:val="nil"/>
              <w:right w:val="nil"/>
            </w:tcBorders>
            <w:shd w:val="clear" w:color="auto" w:fill="auto"/>
            <w:noWrap/>
            <w:vAlign w:val="bottom"/>
          </w:tcPr>
          <w:p w14:paraId="43128C24" w14:textId="2DD34A7A"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424 (142)</w:t>
            </w:r>
          </w:p>
        </w:tc>
        <w:tc>
          <w:tcPr>
            <w:tcW w:w="537" w:type="pct"/>
            <w:tcBorders>
              <w:top w:val="nil"/>
              <w:left w:val="nil"/>
              <w:right w:val="nil"/>
            </w:tcBorders>
            <w:shd w:val="clear" w:color="auto" w:fill="auto"/>
            <w:noWrap/>
            <w:vAlign w:val="bottom"/>
          </w:tcPr>
          <w:p w14:paraId="399707BC" w14:textId="4CBCF77B"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-0.8</w:t>
            </w:r>
            <w:r w:rsidR="00B235EF" w:rsidRPr="009D4627">
              <w:rPr>
                <w:rFonts w:eastAsia="Times New Roman"/>
                <w:color w:val="000000"/>
                <w:sz w:val="22"/>
                <w:szCs w:val="22"/>
                <w:lang w:val="en-MY" w:eastAsia="en-MY"/>
              </w:rPr>
              <w:t>2</w:t>
            </w:r>
          </w:p>
        </w:tc>
        <w:tc>
          <w:tcPr>
            <w:tcW w:w="722" w:type="pct"/>
            <w:tcBorders>
              <w:top w:val="nil"/>
              <w:left w:val="nil"/>
              <w:right w:val="nil"/>
            </w:tcBorders>
            <w:shd w:val="clear" w:color="auto" w:fill="auto"/>
            <w:noWrap/>
            <w:vAlign w:val="bottom"/>
          </w:tcPr>
          <w:p w14:paraId="72109C26" w14:textId="1E512D4F"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0.4</w:t>
            </w:r>
            <w:r w:rsidR="000C61CD" w:rsidRPr="009D4627">
              <w:rPr>
                <w:rFonts w:eastAsia="Times New Roman"/>
                <w:color w:val="000000"/>
                <w:sz w:val="22"/>
                <w:szCs w:val="22"/>
                <w:lang w:val="en-MY" w:eastAsia="en-MY"/>
              </w:rPr>
              <w:t>2</w:t>
            </w:r>
          </w:p>
        </w:tc>
      </w:tr>
      <w:tr w:rsidR="00AD6B9F" w:rsidRPr="009D4627" w14:paraId="42658E28" w14:textId="77777777" w:rsidTr="00FD776A">
        <w:trPr>
          <w:trHeight w:val="300"/>
        </w:trPr>
        <w:tc>
          <w:tcPr>
            <w:tcW w:w="539" w:type="pct"/>
            <w:tcBorders>
              <w:top w:val="nil"/>
              <w:left w:val="nil"/>
              <w:bottom w:val="single" w:sz="4" w:space="0" w:color="auto"/>
              <w:right w:val="nil"/>
            </w:tcBorders>
            <w:shd w:val="clear" w:color="auto" w:fill="auto"/>
            <w:noWrap/>
            <w:vAlign w:val="bottom"/>
            <w:hideMark/>
          </w:tcPr>
          <w:p w14:paraId="6A89265B" w14:textId="77777777" w:rsidR="00AD6B9F" w:rsidRPr="009D4627" w:rsidRDefault="00AD6B9F" w:rsidP="00AD6B9F">
            <w:pPr>
              <w:spacing w:before="0" w:after="0" w:line="240" w:lineRule="auto"/>
              <w:jc w:val="right"/>
              <w:rPr>
                <w:rFonts w:eastAsia="Times New Roman"/>
                <w:color w:val="000000"/>
                <w:sz w:val="22"/>
                <w:szCs w:val="22"/>
                <w:lang w:val="en-MY" w:eastAsia="en-MY"/>
              </w:rPr>
            </w:pPr>
          </w:p>
        </w:tc>
        <w:tc>
          <w:tcPr>
            <w:tcW w:w="1189" w:type="pct"/>
            <w:gridSpan w:val="2"/>
            <w:tcBorders>
              <w:top w:val="nil"/>
              <w:left w:val="nil"/>
              <w:bottom w:val="single" w:sz="4" w:space="0" w:color="auto"/>
              <w:right w:val="nil"/>
            </w:tcBorders>
            <w:shd w:val="clear" w:color="auto" w:fill="auto"/>
            <w:noWrap/>
            <w:vAlign w:val="bottom"/>
            <w:hideMark/>
          </w:tcPr>
          <w:p w14:paraId="2A9156F7" w14:textId="77777777"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rFonts w:eastAsia="Times New Roman"/>
                <w:color w:val="000000"/>
                <w:sz w:val="22"/>
                <w:szCs w:val="22"/>
                <w:lang w:val="en-MY" w:eastAsia="en-MY"/>
              </w:rPr>
              <w:t>1.0</w:t>
            </w:r>
          </w:p>
        </w:tc>
        <w:tc>
          <w:tcPr>
            <w:tcW w:w="863" w:type="pct"/>
            <w:tcBorders>
              <w:top w:val="nil"/>
              <w:left w:val="nil"/>
              <w:bottom w:val="single" w:sz="4" w:space="0" w:color="auto"/>
              <w:right w:val="nil"/>
            </w:tcBorders>
            <w:shd w:val="clear" w:color="auto" w:fill="auto"/>
            <w:noWrap/>
            <w:vAlign w:val="bottom"/>
          </w:tcPr>
          <w:p w14:paraId="24C20D69" w14:textId="6450A404"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430 (163)</w:t>
            </w:r>
          </w:p>
        </w:tc>
        <w:tc>
          <w:tcPr>
            <w:tcW w:w="1150" w:type="pct"/>
            <w:tcBorders>
              <w:top w:val="nil"/>
              <w:left w:val="nil"/>
              <w:bottom w:val="single" w:sz="4" w:space="0" w:color="auto"/>
              <w:right w:val="nil"/>
            </w:tcBorders>
            <w:shd w:val="clear" w:color="auto" w:fill="auto"/>
            <w:noWrap/>
            <w:vAlign w:val="bottom"/>
          </w:tcPr>
          <w:p w14:paraId="43893A27" w14:textId="33359D28" w:rsidR="00AD6B9F" w:rsidRPr="009D4627" w:rsidRDefault="00AD6B9F" w:rsidP="00AD6B9F">
            <w:pPr>
              <w:spacing w:before="0" w:after="0" w:line="240" w:lineRule="auto"/>
              <w:jc w:val="center"/>
              <w:rPr>
                <w:rFonts w:eastAsia="Times New Roman"/>
                <w:color w:val="000000"/>
                <w:sz w:val="22"/>
                <w:szCs w:val="22"/>
                <w:lang w:val="en-MY" w:eastAsia="en-MY"/>
              </w:rPr>
            </w:pPr>
            <w:r w:rsidRPr="009D4627">
              <w:rPr>
                <w:color w:val="000000"/>
                <w:sz w:val="22"/>
                <w:szCs w:val="22"/>
              </w:rPr>
              <w:t>417 (147)</w:t>
            </w:r>
          </w:p>
        </w:tc>
        <w:tc>
          <w:tcPr>
            <w:tcW w:w="537" w:type="pct"/>
            <w:tcBorders>
              <w:top w:val="nil"/>
              <w:left w:val="nil"/>
              <w:bottom w:val="single" w:sz="4" w:space="0" w:color="auto"/>
              <w:right w:val="nil"/>
            </w:tcBorders>
            <w:shd w:val="clear" w:color="auto" w:fill="auto"/>
            <w:noWrap/>
            <w:vAlign w:val="bottom"/>
          </w:tcPr>
          <w:p w14:paraId="0288CF2D" w14:textId="5BCBCF84" w:rsidR="00AD6B9F" w:rsidRPr="009D4627" w:rsidRDefault="00FD776A" w:rsidP="00AD6B9F">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0.2</w:t>
            </w:r>
            <w:r w:rsidR="00B235EF" w:rsidRPr="009D4627">
              <w:rPr>
                <w:rFonts w:eastAsia="Times New Roman"/>
                <w:color w:val="000000"/>
                <w:sz w:val="22"/>
                <w:szCs w:val="22"/>
                <w:lang w:val="en-MY" w:eastAsia="en-MY"/>
              </w:rPr>
              <w:t>8</w:t>
            </w:r>
          </w:p>
        </w:tc>
        <w:tc>
          <w:tcPr>
            <w:tcW w:w="722" w:type="pct"/>
            <w:tcBorders>
              <w:top w:val="nil"/>
              <w:left w:val="nil"/>
              <w:bottom w:val="single" w:sz="4" w:space="0" w:color="auto"/>
              <w:right w:val="nil"/>
            </w:tcBorders>
            <w:shd w:val="clear" w:color="auto" w:fill="auto"/>
            <w:noWrap/>
            <w:vAlign w:val="bottom"/>
          </w:tcPr>
          <w:p w14:paraId="55809F21" w14:textId="3E3BCFDB" w:rsidR="00FD776A" w:rsidRPr="009D4627" w:rsidRDefault="00FD776A" w:rsidP="00FD776A">
            <w:pPr>
              <w:spacing w:before="0" w:after="0" w:line="240" w:lineRule="auto"/>
              <w:jc w:val="right"/>
              <w:rPr>
                <w:rFonts w:eastAsia="Times New Roman"/>
                <w:color w:val="000000"/>
                <w:sz w:val="22"/>
                <w:szCs w:val="22"/>
                <w:lang w:val="en-MY" w:eastAsia="en-MY"/>
              </w:rPr>
            </w:pPr>
            <w:r w:rsidRPr="009D4627">
              <w:rPr>
                <w:rFonts w:eastAsia="Times New Roman"/>
                <w:color w:val="000000"/>
                <w:sz w:val="22"/>
                <w:szCs w:val="22"/>
                <w:lang w:val="en-MY" w:eastAsia="en-MY"/>
              </w:rPr>
              <w:t>0.78</w:t>
            </w:r>
          </w:p>
        </w:tc>
      </w:tr>
    </w:tbl>
    <w:p w14:paraId="51F5BA04" w14:textId="77777777" w:rsidR="005D3E5C" w:rsidRPr="00654720" w:rsidRDefault="005D3E5C" w:rsidP="005D3E5C">
      <w:pPr>
        <w:spacing w:before="0"/>
        <w:jc w:val="center"/>
        <w:rPr>
          <w:color w:val="auto"/>
        </w:rPr>
      </w:pPr>
      <w:r w:rsidRPr="00654720">
        <w:rPr>
          <w:i/>
          <w:iCs/>
          <w:color w:val="auto"/>
        </w:rPr>
        <w:t xml:space="preserve">* </w:t>
      </w:r>
      <w:r w:rsidRPr="00654720">
        <w:rPr>
          <w:color w:val="auto"/>
        </w:rPr>
        <w:t xml:space="preserve">Data are significant at </w:t>
      </w:r>
      <w:r w:rsidRPr="00654720">
        <w:rPr>
          <w:i/>
          <w:iCs/>
          <w:color w:val="auto"/>
        </w:rPr>
        <w:t>p</w:t>
      </w:r>
      <w:r w:rsidRPr="00654720">
        <w:rPr>
          <w:color w:val="auto"/>
        </w:rPr>
        <w:t>&lt;0.05</w:t>
      </w:r>
    </w:p>
    <w:p w14:paraId="785A7C2C" w14:textId="6573D405" w:rsidR="00CD69ED" w:rsidRPr="009D4627" w:rsidRDefault="00CD69ED" w:rsidP="00CA4E90">
      <w:pPr>
        <w:pStyle w:val="Heading4"/>
        <w:rPr>
          <w:lang w:eastAsia="en-MY"/>
        </w:rPr>
      </w:pPr>
      <w:bookmarkStart w:id="512" w:name="_Toc98964719"/>
      <w:bookmarkStart w:id="513" w:name="_Toc103344761"/>
      <w:r w:rsidRPr="009D4627">
        <w:t>Two factor repeated-measures ANOVA</w:t>
      </w:r>
      <w:bookmarkEnd w:id="512"/>
      <w:bookmarkEnd w:id="513"/>
    </w:p>
    <w:p w14:paraId="3685EC30" w14:textId="1AA4E0DD" w:rsidR="007F2FD5" w:rsidRPr="009D4627" w:rsidRDefault="00955769" w:rsidP="001F6136">
      <w:pPr>
        <w:rPr>
          <w:rFonts w:eastAsia="Times New Roman"/>
          <w:color w:val="auto"/>
          <w:lang w:eastAsia="en-MY"/>
        </w:rPr>
      </w:pPr>
      <w:r w:rsidRPr="009D4627">
        <w:rPr>
          <w:rFonts w:eastAsia="Times New Roman"/>
          <w:color w:val="auto"/>
          <w:lang w:eastAsia="en-MY"/>
        </w:rPr>
        <w:t>For all vertical SP variables, a repeated-measures ANOVA revealed no significant interaction between the two independent factors (trial frequency and follow-up visit), p&gt;0.05</w:t>
      </w:r>
      <w:r w:rsidR="00AA3EDA" w:rsidRPr="009D4627">
        <w:rPr>
          <w:rFonts w:eastAsia="Times New Roman"/>
          <w:color w:val="auto"/>
          <w:lang w:eastAsia="en-MY"/>
        </w:rPr>
        <w:t xml:space="preserve"> (Table 5.6).</w:t>
      </w:r>
      <w:r w:rsidRPr="009D4627">
        <w:rPr>
          <w:rFonts w:eastAsia="Times New Roman"/>
          <w:color w:val="auto"/>
          <w:lang w:eastAsia="en-MY"/>
        </w:rPr>
        <w:t xml:space="preserve"> Nonetheless, a simple main effect of the trial frequency with SP gain and RMSE parameters was found to be statistically significant.</w:t>
      </w:r>
      <w:r w:rsidR="007375CD" w:rsidRPr="009D4627">
        <w:rPr>
          <w:rFonts w:eastAsia="Times New Roman"/>
          <w:color w:val="auto"/>
          <w:lang w:eastAsia="en-MY"/>
        </w:rPr>
        <w:t xml:space="preserve"> The post</w:t>
      </w:r>
      <w:r w:rsidR="002264D8" w:rsidRPr="009D4627">
        <w:rPr>
          <w:rFonts w:eastAsia="Times New Roman"/>
          <w:color w:val="auto"/>
          <w:lang w:eastAsia="en-MY"/>
        </w:rPr>
        <w:t xml:space="preserve"> </w:t>
      </w:r>
      <w:r w:rsidR="007375CD" w:rsidRPr="009D4627">
        <w:rPr>
          <w:rFonts w:eastAsia="Times New Roman"/>
          <w:color w:val="auto"/>
          <w:lang w:eastAsia="en-MY"/>
        </w:rPr>
        <w:t>hoc result reporting the pairwise difference according to trial frequencies for vertical SP gain and RMSE are presented in Appendix 5.</w:t>
      </w:r>
      <w:r w:rsidR="001B404A">
        <w:rPr>
          <w:rFonts w:eastAsia="Times New Roman"/>
          <w:color w:val="auto"/>
          <w:lang w:eastAsia="en-MY"/>
        </w:rPr>
        <w:t>4</w:t>
      </w:r>
      <w:r w:rsidR="007375CD" w:rsidRPr="009D4627">
        <w:rPr>
          <w:rFonts w:eastAsia="Times New Roman"/>
          <w:color w:val="auto"/>
          <w:lang w:eastAsia="en-MY"/>
        </w:rPr>
        <w:t>.</w:t>
      </w:r>
      <w:r w:rsidR="00AA3EDA" w:rsidRPr="009D4627">
        <w:rPr>
          <w:rFonts w:eastAsia="Times New Roman"/>
          <w:color w:val="auto"/>
          <w:lang w:eastAsia="en-MY"/>
        </w:rPr>
        <w:t xml:space="preserve"> </w:t>
      </w:r>
      <w:r w:rsidR="00C52574" w:rsidRPr="009D4627">
        <w:rPr>
          <w:rFonts w:eastAsia="Times New Roman"/>
          <w:color w:val="auto"/>
          <w:lang w:eastAsia="en-MY"/>
        </w:rPr>
        <w:t xml:space="preserve">The simple main impact of visits with vertical SP gain was also statistically significant. </w:t>
      </w:r>
      <w:r w:rsidR="00C52574" w:rsidRPr="009D4627">
        <w:rPr>
          <w:rFonts w:eastAsia="Times New Roman"/>
          <w:color w:val="auto"/>
          <w:lang w:eastAsia="en-MY"/>
        </w:rPr>
        <w:lastRenderedPageBreak/>
        <w:t>However, the post hoc analysis found that no pairwise difference between the visits was statistically significant. The follow-up visit, on the other hand, had no significant simple main effect on the vertical SP parameters.</w:t>
      </w:r>
    </w:p>
    <w:p w14:paraId="626B74D9" w14:textId="656B9465" w:rsidR="000C61CD" w:rsidRPr="009D4627" w:rsidRDefault="00005390" w:rsidP="00C4130D">
      <w:pPr>
        <w:pStyle w:val="Caption"/>
      </w:pPr>
      <w:bookmarkStart w:id="514" w:name="_Toc99378020"/>
      <w:r w:rsidRPr="009D4627">
        <w:t>Table 5.</w:t>
      </w:r>
      <w:r w:rsidRPr="009D4627">
        <w:fldChar w:fldCharType="begin"/>
      </w:r>
      <w:r w:rsidRPr="009D4627">
        <w:instrText xml:space="preserve"> SEQ Table_5. \* ARABIC </w:instrText>
      </w:r>
      <w:r w:rsidRPr="009D4627">
        <w:fldChar w:fldCharType="separate"/>
      </w:r>
      <w:r w:rsidR="00E268F6">
        <w:rPr>
          <w:noProof/>
        </w:rPr>
        <w:t>6</w:t>
      </w:r>
      <w:r w:rsidRPr="009D4627">
        <w:fldChar w:fldCharType="end"/>
      </w:r>
      <w:r w:rsidRPr="009D4627">
        <w:t>: Two factors repeated-measures ANOVA investigating the effect of frequency and visit changes on the vertical SP parameters.</w:t>
      </w:r>
      <w:bookmarkEnd w:id="514"/>
      <w:r w:rsidRPr="009D4627">
        <w:t xml:space="preserve"> </w:t>
      </w:r>
    </w:p>
    <w:tbl>
      <w:tblPr>
        <w:tblW w:w="5000" w:type="pct"/>
        <w:jc w:val="center"/>
        <w:tblCellMar>
          <w:left w:w="0" w:type="dxa"/>
          <w:right w:w="0" w:type="dxa"/>
        </w:tblCellMar>
        <w:tblLook w:val="0000" w:firstRow="0" w:lastRow="0" w:firstColumn="0" w:lastColumn="0" w:noHBand="0" w:noVBand="0"/>
      </w:tblPr>
      <w:tblGrid>
        <w:gridCol w:w="1698"/>
        <w:gridCol w:w="1709"/>
        <w:gridCol w:w="1836"/>
        <w:gridCol w:w="524"/>
        <w:gridCol w:w="1179"/>
        <w:gridCol w:w="991"/>
        <w:gridCol w:w="1089"/>
      </w:tblGrid>
      <w:tr w:rsidR="00DE43BD" w:rsidRPr="009D4627" w14:paraId="3996D97A" w14:textId="77777777" w:rsidTr="00974B3E">
        <w:trPr>
          <w:cantSplit/>
          <w:jc w:val="center"/>
        </w:trPr>
        <w:tc>
          <w:tcPr>
            <w:tcW w:w="941" w:type="pct"/>
            <w:tcBorders>
              <w:top w:val="single" w:sz="4" w:space="0" w:color="auto"/>
              <w:bottom w:val="single" w:sz="4" w:space="0" w:color="auto"/>
            </w:tcBorders>
            <w:shd w:val="clear" w:color="auto" w:fill="FFFFFF"/>
          </w:tcPr>
          <w:p w14:paraId="7495726B" w14:textId="77777777" w:rsidR="00005390" w:rsidRPr="009D4627" w:rsidRDefault="00005390" w:rsidP="00281A92">
            <w:pPr>
              <w:autoSpaceDE w:val="0"/>
              <w:autoSpaceDN w:val="0"/>
              <w:adjustRightInd w:val="0"/>
              <w:spacing w:before="0" w:after="0" w:line="360" w:lineRule="auto"/>
              <w:ind w:left="60" w:right="60"/>
              <w:jc w:val="center"/>
              <w:rPr>
                <w:color w:val="264A60"/>
                <w:sz w:val="22"/>
                <w:szCs w:val="22"/>
                <w:lang w:val="en-MY"/>
              </w:rPr>
            </w:pPr>
          </w:p>
        </w:tc>
        <w:tc>
          <w:tcPr>
            <w:tcW w:w="947" w:type="pct"/>
            <w:tcBorders>
              <w:top w:val="single" w:sz="4" w:space="0" w:color="auto"/>
              <w:bottom w:val="single" w:sz="4" w:space="0" w:color="auto"/>
            </w:tcBorders>
            <w:shd w:val="clear" w:color="auto" w:fill="FFFFFF"/>
          </w:tcPr>
          <w:p w14:paraId="24535F4B" w14:textId="77777777" w:rsidR="00005390" w:rsidRPr="009D4627" w:rsidRDefault="00005390" w:rsidP="00281A92">
            <w:pPr>
              <w:autoSpaceDE w:val="0"/>
              <w:autoSpaceDN w:val="0"/>
              <w:adjustRightInd w:val="0"/>
              <w:spacing w:before="0" w:after="0" w:line="360" w:lineRule="auto"/>
              <w:ind w:left="60" w:right="60"/>
              <w:jc w:val="left"/>
              <w:rPr>
                <w:color w:val="264A60"/>
                <w:sz w:val="22"/>
                <w:szCs w:val="22"/>
                <w:lang w:val="en-MY"/>
              </w:rPr>
            </w:pPr>
            <w:r w:rsidRPr="009D4627">
              <w:rPr>
                <w:color w:val="264A60"/>
                <w:sz w:val="22"/>
                <w:szCs w:val="22"/>
                <w:lang w:val="en-MY"/>
              </w:rPr>
              <w:t>Source</w:t>
            </w:r>
          </w:p>
        </w:tc>
        <w:tc>
          <w:tcPr>
            <w:tcW w:w="1017" w:type="pct"/>
            <w:tcBorders>
              <w:top w:val="single" w:sz="4" w:space="0" w:color="auto"/>
              <w:bottom w:val="single" w:sz="4" w:space="0" w:color="auto"/>
            </w:tcBorders>
            <w:shd w:val="clear" w:color="auto" w:fill="FFFFFF"/>
            <w:vAlign w:val="bottom"/>
          </w:tcPr>
          <w:p w14:paraId="2D7B93CB" w14:textId="77777777" w:rsidR="00005390" w:rsidRPr="009D4627" w:rsidRDefault="00005390"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SS</w:t>
            </w:r>
          </w:p>
        </w:tc>
        <w:tc>
          <w:tcPr>
            <w:tcW w:w="290" w:type="pct"/>
            <w:tcBorders>
              <w:top w:val="single" w:sz="4" w:space="0" w:color="auto"/>
              <w:bottom w:val="single" w:sz="4" w:space="0" w:color="auto"/>
            </w:tcBorders>
            <w:shd w:val="clear" w:color="auto" w:fill="FFFFFF"/>
            <w:vAlign w:val="bottom"/>
          </w:tcPr>
          <w:p w14:paraId="78E19A86" w14:textId="77777777" w:rsidR="00005390" w:rsidRPr="009D4627" w:rsidRDefault="00005390"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df</w:t>
            </w:r>
          </w:p>
        </w:tc>
        <w:tc>
          <w:tcPr>
            <w:tcW w:w="653" w:type="pct"/>
            <w:tcBorders>
              <w:top w:val="single" w:sz="4" w:space="0" w:color="auto"/>
              <w:bottom w:val="single" w:sz="4" w:space="0" w:color="auto"/>
            </w:tcBorders>
            <w:shd w:val="clear" w:color="auto" w:fill="FFFFFF"/>
            <w:vAlign w:val="bottom"/>
          </w:tcPr>
          <w:p w14:paraId="01F20756" w14:textId="77777777" w:rsidR="00005390" w:rsidRPr="009D4627" w:rsidRDefault="00005390"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MS</w:t>
            </w:r>
          </w:p>
        </w:tc>
        <w:tc>
          <w:tcPr>
            <w:tcW w:w="549" w:type="pct"/>
            <w:tcBorders>
              <w:top w:val="single" w:sz="4" w:space="0" w:color="auto"/>
              <w:bottom w:val="single" w:sz="4" w:space="0" w:color="auto"/>
            </w:tcBorders>
            <w:shd w:val="clear" w:color="auto" w:fill="FFFFFF"/>
            <w:vAlign w:val="bottom"/>
          </w:tcPr>
          <w:p w14:paraId="3D101D13" w14:textId="77777777" w:rsidR="00005390" w:rsidRPr="00974B3E" w:rsidRDefault="00005390" w:rsidP="00974B3E">
            <w:pPr>
              <w:autoSpaceDE w:val="0"/>
              <w:autoSpaceDN w:val="0"/>
              <w:adjustRightInd w:val="0"/>
              <w:spacing w:before="0" w:after="0" w:line="360" w:lineRule="auto"/>
              <w:ind w:left="60" w:right="60"/>
              <w:jc w:val="center"/>
              <w:rPr>
                <w:i/>
                <w:iCs/>
                <w:color w:val="264A60"/>
                <w:sz w:val="22"/>
                <w:szCs w:val="22"/>
                <w:lang w:val="en-MY"/>
              </w:rPr>
            </w:pPr>
            <w:r w:rsidRPr="00974B3E">
              <w:rPr>
                <w:i/>
                <w:iCs/>
                <w:color w:val="264A60"/>
                <w:sz w:val="22"/>
                <w:szCs w:val="22"/>
                <w:lang w:val="en-MY"/>
              </w:rPr>
              <w:t>F</w:t>
            </w:r>
          </w:p>
        </w:tc>
        <w:tc>
          <w:tcPr>
            <w:tcW w:w="603" w:type="pct"/>
            <w:tcBorders>
              <w:top w:val="single" w:sz="4" w:space="0" w:color="auto"/>
              <w:bottom w:val="single" w:sz="4" w:space="0" w:color="auto"/>
            </w:tcBorders>
            <w:shd w:val="clear" w:color="auto" w:fill="FFFFFF"/>
            <w:vAlign w:val="bottom"/>
          </w:tcPr>
          <w:p w14:paraId="2E38298A" w14:textId="77777777" w:rsidR="00005390" w:rsidRPr="009D4627" w:rsidRDefault="00005390" w:rsidP="00974B3E">
            <w:pPr>
              <w:autoSpaceDE w:val="0"/>
              <w:autoSpaceDN w:val="0"/>
              <w:adjustRightInd w:val="0"/>
              <w:spacing w:before="0" w:after="0" w:line="360" w:lineRule="auto"/>
              <w:ind w:left="60" w:right="60"/>
              <w:jc w:val="center"/>
              <w:rPr>
                <w:color w:val="264A60"/>
                <w:sz w:val="22"/>
                <w:szCs w:val="22"/>
                <w:lang w:val="en-MY"/>
              </w:rPr>
            </w:pPr>
            <w:r w:rsidRPr="00974B3E">
              <w:rPr>
                <w:i/>
                <w:iCs/>
                <w:color w:val="264A60"/>
                <w:sz w:val="22"/>
                <w:szCs w:val="22"/>
                <w:lang w:val="en-MY"/>
              </w:rPr>
              <w:t>p</w:t>
            </w:r>
            <w:r w:rsidRPr="009D4627">
              <w:rPr>
                <w:color w:val="264A60"/>
                <w:sz w:val="22"/>
                <w:szCs w:val="22"/>
                <w:lang w:val="en-MY"/>
              </w:rPr>
              <w:t>-value</w:t>
            </w:r>
          </w:p>
        </w:tc>
      </w:tr>
      <w:tr w:rsidR="00DE43BD" w:rsidRPr="009D4627" w14:paraId="0C1EC6E9" w14:textId="77777777" w:rsidTr="00974B3E">
        <w:trPr>
          <w:cantSplit/>
          <w:jc w:val="center"/>
        </w:trPr>
        <w:tc>
          <w:tcPr>
            <w:tcW w:w="941" w:type="pct"/>
            <w:vMerge w:val="restart"/>
            <w:tcBorders>
              <w:top w:val="single" w:sz="4" w:space="0" w:color="auto"/>
            </w:tcBorders>
            <w:shd w:val="clear" w:color="auto" w:fill="FFFFFF"/>
          </w:tcPr>
          <w:p w14:paraId="4374AFEB" w14:textId="234348BD" w:rsidR="006B19EC" w:rsidRPr="009D4627" w:rsidRDefault="00974B3E" w:rsidP="006B19EC">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G</w:t>
            </w:r>
            <w:r w:rsidR="006B19EC" w:rsidRPr="009D4627">
              <w:rPr>
                <w:color w:val="010205"/>
                <w:sz w:val="22"/>
                <w:szCs w:val="22"/>
                <w:lang w:val="en-MY"/>
              </w:rPr>
              <w:t>ain</w:t>
            </w:r>
          </w:p>
        </w:tc>
        <w:tc>
          <w:tcPr>
            <w:tcW w:w="947" w:type="pct"/>
            <w:tcBorders>
              <w:top w:val="single" w:sz="4" w:space="0" w:color="auto"/>
            </w:tcBorders>
            <w:shd w:val="clear" w:color="auto" w:fill="FFFFFF"/>
          </w:tcPr>
          <w:p w14:paraId="6E8DB178" w14:textId="77777777"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w:t>
            </w:r>
          </w:p>
        </w:tc>
        <w:tc>
          <w:tcPr>
            <w:tcW w:w="1017" w:type="pct"/>
            <w:tcBorders>
              <w:top w:val="single" w:sz="4" w:space="0" w:color="auto"/>
            </w:tcBorders>
            <w:shd w:val="clear" w:color="auto" w:fill="FFFFFF"/>
          </w:tcPr>
          <w:p w14:paraId="4CDE4666" w14:textId="7C0537EE"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5.21</w:t>
            </w:r>
          </w:p>
        </w:tc>
        <w:tc>
          <w:tcPr>
            <w:tcW w:w="290" w:type="pct"/>
            <w:tcBorders>
              <w:top w:val="single" w:sz="4" w:space="0" w:color="auto"/>
            </w:tcBorders>
            <w:shd w:val="clear" w:color="auto" w:fill="FFFFFF"/>
          </w:tcPr>
          <w:p w14:paraId="063F9000" w14:textId="6A8108B1"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w:t>
            </w:r>
          </w:p>
        </w:tc>
        <w:tc>
          <w:tcPr>
            <w:tcW w:w="653" w:type="pct"/>
            <w:tcBorders>
              <w:top w:val="single" w:sz="4" w:space="0" w:color="auto"/>
            </w:tcBorders>
            <w:shd w:val="clear" w:color="auto" w:fill="FFFFFF"/>
          </w:tcPr>
          <w:p w14:paraId="4F83F46A" w14:textId="2192886C" w:rsidR="006B19EC" w:rsidRPr="009D4627" w:rsidRDefault="006B19EC" w:rsidP="006B19EC">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1.7</w:t>
            </w:r>
            <w:r w:rsidR="000C61CD" w:rsidRPr="009D4627">
              <w:rPr>
                <w:color w:val="010205"/>
                <w:sz w:val="22"/>
                <w:szCs w:val="22"/>
                <w:lang w:val="en-MY"/>
              </w:rPr>
              <w:t>4</w:t>
            </w:r>
          </w:p>
        </w:tc>
        <w:tc>
          <w:tcPr>
            <w:tcW w:w="549" w:type="pct"/>
            <w:tcBorders>
              <w:top w:val="single" w:sz="4" w:space="0" w:color="auto"/>
            </w:tcBorders>
            <w:shd w:val="clear" w:color="auto" w:fill="FFFFFF"/>
          </w:tcPr>
          <w:p w14:paraId="14446AFD" w14:textId="6E4F0BE1"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62.01</w:t>
            </w:r>
          </w:p>
        </w:tc>
        <w:tc>
          <w:tcPr>
            <w:tcW w:w="603" w:type="pct"/>
            <w:tcBorders>
              <w:top w:val="single" w:sz="4" w:space="0" w:color="auto"/>
            </w:tcBorders>
            <w:shd w:val="clear" w:color="auto" w:fill="FFFFFF"/>
          </w:tcPr>
          <w:p w14:paraId="1FC935A4" w14:textId="40F8CCCD"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&lt;0.0</w:t>
            </w:r>
            <w:r w:rsidR="00AA3EDA" w:rsidRPr="009D4627">
              <w:rPr>
                <w:color w:val="010205"/>
                <w:sz w:val="22"/>
                <w:szCs w:val="22"/>
                <w:lang w:val="en-MY"/>
              </w:rPr>
              <w:t>1</w:t>
            </w:r>
            <w:r w:rsidRPr="009D4627">
              <w:rPr>
                <w:color w:val="010205"/>
                <w:sz w:val="22"/>
                <w:szCs w:val="22"/>
                <w:lang w:val="en-MY"/>
              </w:rPr>
              <w:t>*</w:t>
            </w:r>
          </w:p>
        </w:tc>
      </w:tr>
      <w:tr w:rsidR="00DE43BD" w:rsidRPr="009D4627" w14:paraId="34704646" w14:textId="77777777" w:rsidTr="00974B3E">
        <w:trPr>
          <w:cantSplit/>
          <w:jc w:val="center"/>
        </w:trPr>
        <w:tc>
          <w:tcPr>
            <w:tcW w:w="941" w:type="pct"/>
            <w:vMerge/>
            <w:shd w:val="clear" w:color="auto" w:fill="FFFFFF"/>
          </w:tcPr>
          <w:p w14:paraId="10782222" w14:textId="77777777"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p>
        </w:tc>
        <w:tc>
          <w:tcPr>
            <w:tcW w:w="947" w:type="pct"/>
            <w:shd w:val="clear" w:color="auto" w:fill="FFFFFF"/>
          </w:tcPr>
          <w:p w14:paraId="6BC23CC1" w14:textId="77777777"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1017" w:type="pct"/>
            <w:shd w:val="clear" w:color="auto" w:fill="FFFFFF"/>
          </w:tcPr>
          <w:p w14:paraId="15A1A01E" w14:textId="150337BB"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0.1</w:t>
            </w:r>
            <w:r w:rsidR="000C61CD" w:rsidRPr="009D4627">
              <w:rPr>
                <w:color w:val="010205"/>
                <w:sz w:val="22"/>
                <w:szCs w:val="22"/>
                <w:lang w:val="en-MY"/>
              </w:rPr>
              <w:t>6</w:t>
            </w:r>
          </w:p>
        </w:tc>
        <w:tc>
          <w:tcPr>
            <w:tcW w:w="290" w:type="pct"/>
            <w:shd w:val="clear" w:color="auto" w:fill="FFFFFF"/>
          </w:tcPr>
          <w:p w14:paraId="748856DE" w14:textId="3F9D750D"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653" w:type="pct"/>
            <w:shd w:val="clear" w:color="auto" w:fill="FFFFFF"/>
          </w:tcPr>
          <w:p w14:paraId="2D7976CA" w14:textId="14D1F9F5" w:rsidR="006B19EC" w:rsidRPr="009D4627" w:rsidRDefault="006B19EC" w:rsidP="006B19EC">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w:t>
            </w:r>
            <w:r w:rsidR="000C61CD" w:rsidRPr="009D4627">
              <w:rPr>
                <w:color w:val="010205"/>
                <w:sz w:val="22"/>
                <w:szCs w:val="22"/>
                <w:lang w:val="en-MY"/>
              </w:rPr>
              <w:t>4</w:t>
            </w:r>
          </w:p>
        </w:tc>
        <w:tc>
          <w:tcPr>
            <w:tcW w:w="549" w:type="pct"/>
            <w:shd w:val="clear" w:color="auto" w:fill="FFFFFF"/>
          </w:tcPr>
          <w:p w14:paraId="27CEEBD7" w14:textId="25DC0E65"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4.24</w:t>
            </w:r>
          </w:p>
        </w:tc>
        <w:tc>
          <w:tcPr>
            <w:tcW w:w="603" w:type="pct"/>
            <w:shd w:val="clear" w:color="auto" w:fill="FFFFFF"/>
          </w:tcPr>
          <w:p w14:paraId="483A6362" w14:textId="0D6EBEE4"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w:t>
            </w:r>
            <w:r w:rsidR="000C61CD" w:rsidRPr="009D4627">
              <w:rPr>
                <w:color w:val="010205"/>
                <w:sz w:val="22"/>
                <w:szCs w:val="22"/>
                <w:lang w:val="en-MY"/>
              </w:rPr>
              <w:t>1</w:t>
            </w:r>
            <w:r w:rsidRPr="009D4627">
              <w:rPr>
                <w:color w:val="010205"/>
                <w:sz w:val="22"/>
                <w:szCs w:val="22"/>
                <w:lang w:val="en-MY"/>
              </w:rPr>
              <w:t>*</w:t>
            </w:r>
          </w:p>
        </w:tc>
      </w:tr>
      <w:tr w:rsidR="00DE43BD" w:rsidRPr="009D4627" w14:paraId="600952C1" w14:textId="77777777" w:rsidTr="00974B3E">
        <w:trPr>
          <w:cantSplit/>
          <w:jc w:val="center"/>
        </w:trPr>
        <w:tc>
          <w:tcPr>
            <w:tcW w:w="941" w:type="pct"/>
            <w:vMerge/>
            <w:tcBorders>
              <w:bottom w:val="single" w:sz="4" w:space="0" w:color="auto"/>
            </w:tcBorders>
            <w:shd w:val="clear" w:color="auto" w:fill="FFFFFF"/>
          </w:tcPr>
          <w:p w14:paraId="37DF06AC" w14:textId="77777777"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p>
        </w:tc>
        <w:tc>
          <w:tcPr>
            <w:tcW w:w="947" w:type="pct"/>
            <w:tcBorders>
              <w:bottom w:val="single" w:sz="4" w:space="0" w:color="auto"/>
            </w:tcBorders>
            <w:shd w:val="clear" w:color="auto" w:fill="FFFFFF"/>
          </w:tcPr>
          <w:p w14:paraId="020FCBA2" w14:textId="77777777"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Frequency*Visit</w:t>
            </w:r>
          </w:p>
        </w:tc>
        <w:tc>
          <w:tcPr>
            <w:tcW w:w="1017" w:type="pct"/>
            <w:tcBorders>
              <w:bottom w:val="single" w:sz="4" w:space="0" w:color="auto"/>
            </w:tcBorders>
            <w:shd w:val="clear" w:color="auto" w:fill="FFFFFF"/>
          </w:tcPr>
          <w:p w14:paraId="3303B37C" w14:textId="09E29A42"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0.04</w:t>
            </w:r>
          </w:p>
        </w:tc>
        <w:tc>
          <w:tcPr>
            <w:tcW w:w="290" w:type="pct"/>
            <w:tcBorders>
              <w:bottom w:val="single" w:sz="4" w:space="0" w:color="auto"/>
            </w:tcBorders>
            <w:shd w:val="clear" w:color="auto" w:fill="FFFFFF"/>
          </w:tcPr>
          <w:p w14:paraId="30096747" w14:textId="1407C9ED"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w:t>
            </w:r>
          </w:p>
        </w:tc>
        <w:tc>
          <w:tcPr>
            <w:tcW w:w="653" w:type="pct"/>
            <w:tcBorders>
              <w:bottom w:val="single" w:sz="4" w:space="0" w:color="auto"/>
            </w:tcBorders>
            <w:shd w:val="clear" w:color="auto" w:fill="FFFFFF"/>
          </w:tcPr>
          <w:p w14:paraId="73CBE75B" w14:textId="09906B5C" w:rsidR="006B19EC" w:rsidRPr="009D4627" w:rsidRDefault="006B19EC" w:rsidP="006B19EC">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w:t>
            </w:r>
            <w:r w:rsidR="000C61CD" w:rsidRPr="009D4627">
              <w:rPr>
                <w:color w:val="010205"/>
                <w:sz w:val="22"/>
                <w:szCs w:val="22"/>
                <w:lang w:val="en-MY"/>
              </w:rPr>
              <w:t>1</w:t>
            </w:r>
          </w:p>
        </w:tc>
        <w:tc>
          <w:tcPr>
            <w:tcW w:w="549" w:type="pct"/>
            <w:tcBorders>
              <w:bottom w:val="single" w:sz="4" w:space="0" w:color="auto"/>
            </w:tcBorders>
            <w:shd w:val="clear" w:color="auto" w:fill="FFFFFF"/>
          </w:tcPr>
          <w:p w14:paraId="707782B8" w14:textId="13BB4755"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0.54</w:t>
            </w:r>
          </w:p>
        </w:tc>
        <w:tc>
          <w:tcPr>
            <w:tcW w:w="603" w:type="pct"/>
            <w:tcBorders>
              <w:bottom w:val="single" w:sz="4" w:space="0" w:color="auto"/>
            </w:tcBorders>
            <w:shd w:val="clear" w:color="auto" w:fill="FFFFFF"/>
          </w:tcPr>
          <w:p w14:paraId="33DEC601" w14:textId="5B9F5F7F"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0.88</w:t>
            </w:r>
          </w:p>
        </w:tc>
      </w:tr>
      <w:tr w:rsidR="00DE43BD" w:rsidRPr="009D4627" w14:paraId="73B7C54B" w14:textId="77777777" w:rsidTr="00974B3E">
        <w:trPr>
          <w:cantSplit/>
          <w:jc w:val="center"/>
        </w:trPr>
        <w:tc>
          <w:tcPr>
            <w:tcW w:w="941" w:type="pct"/>
            <w:vMerge w:val="restart"/>
            <w:tcBorders>
              <w:top w:val="single" w:sz="4" w:space="0" w:color="auto"/>
            </w:tcBorders>
            <w:shd w:val="clear" w:color="auto" w:fill="FFFFFF"/>
          </w:tcPr>
          <w:p w14:paraId="47416572" w14:textId="2CC4725F"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RMSE</w:t>
            </w:r>
          </w:p>
        </w:tc>
        <w:tc>
          <w:tcPr>
            <w:tcW w:w="947" w:type="pct"/>
            <w:tcBorders>
              <w:top w:val="single" w:sz="4" w:space="0" w:color="auto"/>
            </w:tcBorders>
            <w:shd w:val="clear" w:color="auto" w:fill="FFFFFF"/>
          </w:tcPr>
          <w:p w14:paraId="32DD93AB" w14:textId="77777777"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w:t>
            </w:r>
          </w:p>
        </w:tc>
        <w:tc>
          <w:tcPr>
            <w:tcW w:w="1017" w:type="pct"/>
            <w:tcBorders>
              <w:top w:val="single" w:sz="4" w:space="0" w:color="auto"/>
            </w:tcBorders>
            <w:shd w:val="clear" w:color="auto" w:fill="FFFFFF"/>
          </w:tcPr>
          <w:p w14:paraId="7976C502" w14:textId="56ABF941"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7</w:t>
            </w:r>
            <w:r w:rsidR="000C61CD" w:rsidRPr="009D4627">
              <w:rPr>
                <w:color w:val="010205"/>
                <w:sz w:val="22"/>
                <w:szCs w:val="22"/>
                <w:lang w:val="en-MY"/>
              </w:rPr>
              <w:t>7.00</w:t>
            </w:r>
          </w:p>
        </w:tc>
        <w:tc>
          <w:tcPr>
            <w:tcW w:w="290" w:type="pct"/>
            <w:tcBorders>
              <w:top w:val="single" w:sz="4" w:space="0" w:color="auto"/>
            </w:tcBorders>
            <w:shd w:val="clear" w:color="auto" w:fill="FFFFFF"/>
          </w:tcPr>
          <w:p w14:paraId="5C70DF47" w14:textId="4E6D10E0"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w:t>
            </w:r>
          </w:p>
        </w:tc>
        <w:tc>
          <w:tcPr>
            <w:tcW w:w="653" w:type="pct"/>
            <w:tcBorders>
              <w:top w:val="single" w:sz="4" w:space="0" w:color="auto"/>
            </w:tcBorders>
            <w:shd w:val="clear" w:color="auto" w:fill="FFFFFF"/>
          </w:tcPr>
          <w:p w14:paraId="713282E1" w14:textId="32117A97" w:rsidR="006B19EC" w:rsidRPr="009D4627" w:rsidRDefault="006B19EC" w:rsidP="006B19EC">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67.8</w:t>
            </w:r>
            <w:r w:rsidR="000C61CD" w:rsidRPr="009D4627">
              <w:rPr>
                <w:color w:val="010205"/>
                <w:sz w:val="22"/>
                <w:szCs w:val="22"/>
                <w:lang w:val="en-MY"/>
              </w:rPr>
              <w:t>5</w:t>
            </w:r>
          </w:p>
        </w:tc>
        <w:tc>
          <w:tcPr>
            <w:tcW w:w="549" w:type="pct"/>
            <w:tcBorders>
              <w:top w:val="single" w:sz="4" w:space="0" w:color="auto"/>
            </w:tcBorders>
            <w:shd w:val="clear" w:color="auto" w:fill="FFFFFF"/>
          </w:tcPr>
          <w:p w14:paraId="39D3D4A5" w14:textId="471B932D"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22.65</w:t>
            </w:r>
          </w:p>
        </w:tc>
        <w:tc>
          <w:tcPr>
            <w:tcW w:w="603" w:type="pct"/>
            <w:tcBorders>
              <w:top w:val="single" w:sz="4" w:space="0" w:color="auto"/>
            </w:tcBorders>
            <w:shd w:val="clear" w:color="auto" w:fill="FFFFFF"/>
          </w:tcPr>
          <w:p w14:paraId="0E918ECB" w14:textId="65A312A7" w:rsidR="006B19EC" w:rsidRPr="009D4627" w:rsidRDefault="000C61CD"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&lt;</w:t>
            </w:r>
            <w:r w:rsidR="006B19EC" w:rsidRPr="009D4627">
              <w:rPr>
                <w:color w:val="010205"/>
                <w:sz w:val="22"/>
                <w:szCs w:val="22"/>
                <w:lang w:val="en-MY"/>
              </w:rPr>
              <w:t>0.0</w:t>
            </w:r>
            <w:r w:rsidR="00AA3EDA" w:rsidRPr="009D4627">
              <w:rPr>
                <w:color w:val="010205"/>
                <w:sz w:val="22"/>
                <w:szCs w:val="22"/>
                <w:lang w:val="en-MY"/>
              </w:rPr>
              <w:t>1</w:t>
            </w:r>
            <w:r w:rsidR="006B19EC" w:rsidRPr="009D4627">
              <w:rPr>
                <w:color w:val="010205"/>
                <w:sz w:val="22"/>
                <w:szCs w:val="22"/>
                <w:lang w:val="en-MY"/>
              </w:rPr>
              <w:t>*</w:t>
            </w:r>
          </w:p>
        </w:tc>
      </w:tr>
      <w:tr w:rsidR="00DE43BD" w:rsidRPr="009D4627" w14:paraId="3436510C" w14:textId="77777777" w:rsidTr="00974B3E">
        <w:trPr>
          <w:cantSplit/>
          <w:jc w:val="center"/>
        </w:trPr>
        <w:tc>
          <w:tcPr>
            <w:tcW w:w="941" w:type="pct"/>
            <w:vMerge/>
            <w:shd w:val="clear" w:color="auto" w:fill="FFFFFF"/>
          </w:tcPr>
          <w:p w14:paraId="3869BE07" w14:textId="77777777"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p>
        </w:tc>
        <w:tc>
          <w:tcPr>
            <w:tcW w:w="947" w:type="pct"/>
            <w:shd w:val="clear" w:color="auto" w:fill="FFFFFF"/>
          </w:tcPr>
          <w:p w14:paraId="4BABDA2D" w14:textId="77777777"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1017" w:type="pct"/>
            <w:shd w:val="clear" w:color="auto" w:fill="FFFFFF"/>
          </w:tcPr>
          <w:p w14:paraId="1ADDC82B" w14:textId="6DD8F8F1"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0.7</w:t>
            </w:r>
            <w:r w:rsidR="000C61CD" w:rsidRPr="009D4627">
              <w:rPr>
                <w:color w:val="010205"/>
                <w:sz w:val="22"/>
                <w:szCs w:val="22"/>
                <w:lang w:val="en-MY"/>
              </w:rPr>
              <w:t>2</w:t>
            </w:r>
          </w:p>
        </w:tc>
        <w:tc>
          <w:tcPr>
            <w:tcW w:w="290" w:type="pct"/>
            <w:shd w:val="clear" w:color="auto" w:fill="FFFFFF"/>
          </w:tcPr>
          <w:p w14:paraId="4954C89A" w14:textId="1161BDFC"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653" w:type="pct"/>
            <w:shd w:val="clear" w:color="auto" w:fill="FFFFFF"/>
          </w:tcPr>
          <w:p w14:paraId="54A09183" w14:textId="0C87CBAB" w:rsidR="006B19EC" w:rsidRPr="009D4627" w:rsidRDefault="006B19EC" w:rsidP="006B19EC">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0.1</w:t>
            </w:r>
            <w:r w:rsidR="000C61CD" w:rsidRPr="009D4627">
              <w:rPr>
                <w:color w:val="010205"/>
                <w:sz w:val="22"/>
                <w:szCs w:val="22"/>
                <w:lang w:val="en-MY"/>
              </w:rPr>
              <w:t>8</w:t>
            </w:r>
          </w:p>
        </w:tc>
        <w:tc>
          <w:tcPr>
            <w:tcW w:w="549" w:type="pct"/>
            <w:shd w:val="clear" w:color="auto" w:fill="FFFFFF"/>
          </w:tcPr>
          <w:p w14:paraId="2EFB3910" w14:textId="646C0C20"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0.6</w:t>
            </w:r>
            <w:r w:rsidR="000C61CD" w:rsidRPr="009D4627">
              <w:rPr>
                <w:color w:val="010205"/>
                <w:sz w:val="22"/>
                <w:szCs w:val="22"/>
                <w:lang w:val="en-MY"/>
              </w:rPr>
              <w:t>4</w:t>
            </w:r>
          </w:p>
        </w:tc>
        <w:tc>
          <w:tcPr>
            <w:tcW w:w="603" w:type="pct"/>
            <w:shd w:val="clear" w:color="auto" w:fill="FFFFFF"/>
          </w:tcPr>
          <w:p w14:paraId="76C8F8EB" w14:textId="625252BF"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0.64</w:t>
            </w:r>
          </w:p>
        </w:tc>
      </w:tr>
      <w:tr w:rsidR="00DE43BD" w:rsidRPr="009D4627" w14:paraId="71CC8B20" w14:textId="77777777" w:rsidTr="00974B3E">
        <w:trPr>
          <w:cantSplit/>
          <w:jc w:val="center"/>
        </w:trPr>
        <w:tc>
          <w:tcPr>
            <w:tcW w:w="941" w:type="pct"/>
            <w:vMerge/>
            <w:tcBorders>
              <w:bottom w:val="single" w:sz="4" w:space="0" w:color="auto"/>
            </w:tcBorders>
            <w:shd w:val="clear" w:color="auto" w:fill="FFFFFF"/>
          </w:tcPr>
          <w:p w14:paraId="4F8282D6" w14:textId="77777777"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p>
        </w:tc>
        <w:tc>
          <w:tcPr>
            <w:tcW w:w="947" w:type="pct"/>
            <w:tcBorders>
              <w:bottom w:val="single" w:sz="4" w:space="0" w:color="auto"/>
            </w:tcBorders>
            <w:shd w:val="clear" w:color="auto" w:fill="FFFFFF"/>
          </w:tcPr>
          <w:p w14:paraId="5CE2364A" w14:textId="77777777" w:rsidR="006B19EC" w:rsidRPr="009D4627" w:rsidRDefault="006B19EC" w:rsidP="006B19EC">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Frequency*Visit</w:t>
            </w:r>
          </w:p>
        </w:tc>
        <w:tc>
          <w:tcPr>
            <w:tcW w:w="1017" w:type="pct"/>
            <w:tcBorders>
              <w:bottom w:val="single" w:sz="4" w:space="0" w:color="auto"/>
            </w:tcBorders>
            <w:shd w:val="clear" w:color="auto" w:fill="FFFFFF"/>
          </w:tcPr>
          <w:p w14:paraId="6D4999F5" w14:textId="738969BE"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2.48</w:t>
            </w:r>
          </w:p>
        </w:tc>
        <w:tc>
          <w:tcPr>
            <w:tcW w:w="290" w:type="pct"/>
            <w:tcBorders>
              <w:bottom w:val="single" w:sz="4" w:space="0" w:color="auto"/>
            </w:tcBorders>
            <w:shd w:val="clear" w:color="auto" w:fill="FFFFFF"/>
          </w:tcPr>
          <w:p w14:paraId="3BA44D7B" w14:textId="4279E702" w:rsidR="006B19EC" w:rsidRPr="009D4627" w:rsidRDefault="006B19EC" w:rsidP="006B19EC">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w:t>
            </w:r>
          </w:p>
        </w:tc>
        <w:tc>
          <w:tcPr>
            <w:tcW w:w="653" w:type="pct"/>
            <w:tcBorders>
              <w:bottom w:val="single" w:sz="4" w:space="0" w:color="auto"/>
            </w:tcBorders>
            <w:shd w:val="clear" w:color="auto" w:fill="FFFFFF"/>
          </w:tcPr>
          <w:p w14:paraId="293D3CBB" w14:textId="5EF42F59" w:rsidR="006B19EC" w:rsidRPr="009D4627" w:rsidRDefault="006B19EC" w:rsidP="006B19EC">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0.2</w:t>
            </w:r>
            <w:r w:rsidR="000C61CD" w:rsidRPr="009D4627">
              <w:rPr>
                <w:color w:val="010205"/>
                <w:sz w:val="22"/>
                <w:szCs w:val="22"/>
                <w:lang w:val="en-MY"/>
              </w:rPr>
              <w:t>1</w:t>
            </w:r>
          </w:p>
        </w:tc>
        <w:tc>
          <w:tcPr>
            <w:tcW w:w="549" w:type="pct"/>
            <w:tcBorders>
              <w:bottom w:val="single" w:sz="4" w:space="0" w:color="auto"/>
            </w:tcBorders>
            <w:shd w:val="clear" w:color="auto" w:fill="FFFFFF"/>
          </w:tcPr>
          <w:p w14:paraId="2D4F8BA1" w14:textId="4C3E33EF"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r w:rsidR="000C61CD" w:rsidRPr="009D4627">
              <w:rPr>
                <w:color w:val="010205"/>
                <w:sz w:val="22"/>
                <w:szCs w:val="22"/>
                <w:lang w:val="en-MY"/>
              </w:rPr>
              <w:t>10</w:t>
            </w:r>
          </w:p>
        </w:tc>
        <w:tc>
          <w:tcPr>
            <w:tcW w:w="603" w:type="pct"/>
            <w:tcBorders>
              <w:bottom w:val="single" w:sz="4" w:space="0" w:color="auto"/>
            </w:tcBorders>
            <w:shd w:val="clear" w:color="auto" w:fill="FFFFFF"/>
          </w:tcPr>
          <w:p w14:paraId="5FAC7415" w14:textId="241491B8" w:rsidR="006B19EC" w:rsidRPr="009D4627" w:rsidRDefault="006B19EC"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0.3</w:t>
            </w:r>
            <w:r w:rsidR="000C61CD" w:rsidRPr="009D4627">
              <w:rPr>
                <w:color w:val="010205"/>
                <w:sz w:val="22"/>
                <w:szCs w:val="22"/>
                <w:lang w:val="en-MY"/>
              </w:rPr>
              <w:t>8</w:t>
            </w:r>
          </w:p>
        </w:tc>
      </w:tr>
      <w:tr w:rsidR="00DE43BD" w:rsidRPr="009D4627" w14:paraId="799DCBEB" w14:textId="77777777" w:rsidTr="00974B3E">
        <w:trPr>
          <w:cantSplit/>
          <w:jc w:val="center"/>
        </w:trPr>
        <w:tc>
          <w:tcPr>
            <w:tcW w:w="941" w:type="pct"/>
            <w:vMerge w:val="restart"/>
            <w:tcBorders>
              <w:top w:val="single" w:sz="4" w:space="0" w:color="auto"/>
            </w:tcBorders>
            <w:shd w:val="clear" w:color="auto" w:fill="FFFFFF"/>
          </w:tcPr>
          <w:p w14:paraId="4C3DDF7B" w14:textId="48F464D6" w:rsidR="000C61CD" w:rsidRPr="009D4627" w:rsidRDefault="00974B3E" w:rsidP="000C61CD">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D</w:t>
            </w:r>
            <w:r w:rsidR="000C61CD" w:rsidRPr="009D4627">
              <w:rPr>
                <w:color w:val="010205"/>
                <w:sz w:val="22"/>
                <w:szCs w:val="22"/>
                <w:lang w:val="en-MY"/>
              </w:rPr>
              <w:t>uration</w:t>
            </w:r>
          </w:p>
        </w:tc>
        <w:tc>
          <w:tcPr>
            <w:tcW w:w="947" w:type="pct"/>
            <w:tcBorders>
              <w:top w:val="single" w:sz="4" w:space="0" w:color="auto"/>
            </w:tcBorders>
            <w:shd w:val="clear" w:color="auto" w:fill="FFFFFF"/>
          </w:tcPr>
          <w:p w14:paraId="7CB34C1E" w14:textId="77777777" w:rsidR="000C61CD" w:rsidRPr="009D4627" w:rsidRDefault="000C61CD" w:rsidP="000C61CD">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w:t>
            </w:r>
          </w:p>
        </w:tc>
        <w:tc>
          <w:tcPr>
            <w:tcW w:w="1017" w:type="pct"/>
            <w:tcBorders>
              <w:top w:val="single" w:sz="4" w:space="0" w:color="auto"/>
            </w:tcBorders>
            <w:shd w:val="clear" w:color="auto" w:fill="FFFFFF"/>
          </w:tcPr>
          <w:p w14:paraId="057C2452" w14:textId="58DA4158"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90638.92</w:t>
            </w:r>
          </w:p>
        </w:tc>
        <w:tc>
          <w:tcPr>
            <w:tcW w:w="290" w:type="pct"/>
            <w:tcBorders>
              <w:top w:val="single" w:sz="4" w:space="0" w:color="auto"/>
            </w:tcBorders>
            <w:shd w:val="clear" w:color="auto" w:fill="FFFFFF"/>
          </w:tcPr>
          <w:p w14:paraId="068A165D" w14:textId="62A7AA31"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w:t>
            </w:r>
          </w:p>
        </w:tc>
        <w:tc>
          <w:tcPr>
            <w:tcW w:w="653" w:type="pct"/>
            <w:tcBorders>
              <w:top w:val="single" w:sz="4" w:space="0" w:color="auto"/>
            </w:tcBorders>
            <w:shd w:val="clear" w:color="auto" w:fill="FFFFFF"/>
          </w:tcPr>
          <w:p w14:paraId="7A88A694" w14:textId="7E4260A1" w:rsidR="000C61CD" w:rsidRPr="009D4627" w:rsidRDefault="000C61CD" w:rsidP="000C61CD">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30212.97</w:t>
            </w:r>
          </w:p>
        </w:tc>
        <w:tc>
          <w:tcPr>
            <w:tcW w:w="549" w:type="pct"/>
            <w:tcBorders>
              <w:top w:val="single" w:sz="4" w:space="0" w:color="auto"/>
            </w:tcBorders>
            <w:shd w:val="clear" w:color="auto" w:fill="FFFFFF"/>
          </w:tcPr>
          <w:p w14:paraId="676B6FD4" w14:textId="47CE83BD" w:rsidR="000C61CD" w:rsidRPr="009D4627" w:rsidRDefault="000C61CD"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1.60</w:t>
            </w:r>
          </w:p>
        </w:tc>
        <w:tc>
          <w:tcPr>
            <w:tcW w:w="603" w:type="pct"/>
            <w:tcBorders>
              <w:top w:val="single" w:sz="4" w:space="0" w:color="auto"/>
            </w:tcBorders>
            <w:shd w:val="clear" w:color="auto" w:fill="FFFFFF"/>
          </w:tcPr>
          <w:p w14:paraId="1FADFFCB" w14:textId="288F73FC" w:rsidR="000C61CD" w:rsidRPr="009D4627" w:rsidRDefault="00AA3EDA"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w:t>
            </w:r>
            <w:r w:rsidR="000C61CD" w:rsidRPr="009D4627">
              <w:rPr>
                <w:color w:val="010205"/>
                <w:sz w:val="22"/>
                <w:szCs w:val="22"/>
                <w:lang w:val="en-MY"/>
              </w:rPr>
              <w:t>.22</w:t>
            </w:r>
          </w:p>
        </w:tc>
      </w:tr>
      <w:tr w:rsidR="00DE43BD" w:rsidRPr="009D4627" w14:paraId="3C3BC47C" w14:textId="77777777" w:rsidTr="00974B3E">
        <w:trPr>
          <w:cantSplit/>
          <w:jc w:val="center"/>
        </w:trPr>
        <w:tc>
          <w:tcPr>
            <w:tcW w:w="941" w:type="pct"/>
            <w:vMerge/>
            <w:shd w:val="clear" w:color="auto" w:fill="FFFFFF"/>
          </w:tcPr>
          <w:p w14:paraId="7984107C" w14:textId="77777777"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p>
        </w:tc>
        <w:tc>
          <w:tcPr>
            <w:tcW w:w="947" w:type="pct"/>
            <w:shd w:val="clear" w:color="auto" w:fill="FFFFFF"/>
          </w:tcPr>
          <w:p w14:paraId="5A7952AA" w14:textId="77777777" w:rsidR="000C61CD" w:rsidRPr="009D4627" w:rsidRDefault="000C61CD" w:rsidP="000C61CD">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1017" w:type="pct"/>
            <w:shd w:val="clear" w:color="auto" w:fill="FFFFFF"/>
          </w:tcPr>
          <w:p w14:paraId="7B653A11" w14:textId="32BD9F06"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112201.71</w:t>
            </w:r>
          </w:p>
        </w:tc>
        <w:tc>
          <w:tcPr>
            <w:tcW w:w="290" w:type="pct"/>
            <w:shd w:val="clear" w:color="auto" w:fill="FFFFFF"/>
          </w:tcPr>
          <w:p w14:paraId="7571971B" w14:textId="7C767E59"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653" w:type="pct"/>
            <w:shd w:val="clear" w:color="auto" w:fill="FFFFFF"/>
          </w:tcPr>
          <w:p w14:paraId="21BEED9B" w14:textId="15CB0065" w:rsidR="000C61CD" w:rsidRPr="009D4627" w:rsidRDefault="000C61CD" w:rsidP="000C61CD">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28050.43</w:t>
            </w:r>
          </w:p>
        </w:tc>
        <w:tc>
          <w:tcPr>
            <w:tcW w:w="549" w:type="pct"/>
            <w:shd w:val="clear" w:color="auto" w:fill="FFFFFF"/>
          </w:tcPr>
          <w:p w14:paraId="34AE2475" w14:textId="4CD39D26" w:rsidR="000C61CD" w:rsidRPr="009D4627" w:rsidRDefault="000C61CD"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2.95</w:t>
            </w:r>
          </w:p>
        </w:tc>
        <w:tc>
          <w:tcPr>
            <w:tcW w:w="603" w:type="pct"/>
            <w:shd w:val="clear" w:color="auto" w:fill="FFFFFF"/>
          </w:tcPr>
          <w:p w14:paraId="17B96B7B" w14:textId="5E33481C" w:rsidR="000C61CD" w:rsidRPr="009D4627" w:rsidRDefault="00AA3EDA"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w:t>
            </w:r>
            <w:r w:rsidR="000C61CD" w:rsidRPr="009D4627">
              <w:rPr>
                <w:color w:val="010205"/>
                <w:sz w:val="22"/>
                <w:szCs w:val="22"/>
                <w:lang w:val="en-MY"/>
              </w:rPr>
              <w:t>.0</w:t>
            </w:r>
            <w:r w:rsidRPr="009D4627">
              <w:rPr>
                <w:color w:val="010205"/>
                <w:sz w:val="22"/>
                <w:szCs w:val="22"/>
                <w:lang w:val="en-MY"/>
              </w:rPr>
              <w:t>4*</w:t>
            </w:r>
          </w:p>
        </w:tc>
      </w:tr>
      <w:tr w:rsidR="00DE43BD" w:rsidRPr="009D4627" w14:paraId="04B9FBF3" w14:textId="77777777" w:rsidTr="00974B3E">
        <w:trPr>
          <w:cantSplit/>
          <w:jc w:val="center"/>
        </w:trPr>
        <w:tc>
          <w:tcPr>
            <w:tcW w:w="941" w:type="pct"/>
            <w:vMerge/>
            <w:tcBorders>
              <w:bottom w:val="single" w:sz="4" w:space="0" w:color="auto"/>
            </w:tcBorders>
            <w:shd w:val="clear" w:color="auto" w:fill="FFFFFF"/>
          </w:tcPr>
          <w:p w14:paraId="709775D2" w14:textId="77777777"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p>
        </w:tc>
        <w:tc>
          <w:tcPr>
            <w:tcW w:w="947" w:type="pct"/>
            <w:tcBorders>
              <w:bottom w:val="single" w:sz="4" w:space="0" w:color="auto"/>
            </w:tcBorders>
            <w:shd w:val="clear" w:color="auto" w:fill="FFFFFF"/>
          </w:tcPr>
          <w:p w14:paraId="7D8FDDEA" w14:textId="77777777" w:rsidR="000C61CD" w:rsidRPr="009D4627" w:rsidRDefault="000C61CD" w:rsidP="000C61CD">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Frequency*Visit</w:t>
            </w:r>
          </w:p>
        </w:tc>
        <w:tc>
          <w:tcPr>
            <w:tcW w:w="1017" w:type="pct"/>
            <w:tcBorders>
              <w:bottom w:val="single" w:sz="4" w:space="0" w:color="auto"/>
            </w:tcBorders>
            <w:shd w:val="clear" w:color="auto" w:fill="FFFFFF"/>
          </w:tcPr>
          <w:p w14:paraId="1341581D" w14:textId="68F0EB0E"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150324.9</w:t>
            </w:r>
            <w:r w:rsidR="00B235EF" w:rsidRPr="009D4627">
              <w:rPr>
                <w:color w:val="010205"/>
                <w:sz w:val="22"/>
                <w:szCs w:val="22"/>
                <w:lang w:val="en-MY"/>
              </w:rPr>
              <w:t>9</w:t>
            </w:r>
          </w:p>
        </w:tc>
        <w:tc>
          <w:tcPr>
            <w:tcW w:w="290" w:type="pct"/>
            <w:tcBorders>
              <w:bottom w:val="single" w:sz="4" w:space="0" w:color="auto"/>
            </w:tcBorders>
            <w:shd w:val="clear" w:color="auto" w:fill="FFFFFF"/>
          </w:tcPr>
          <w:p w14:paraId="4CDE1EFC" w14:textId="50175893" w:rsidR="000C61CD" w:rsidRPr="009D4627" w:rsidRDefault="000C61CD" w:rsidP="000C61CD">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w:t>
            </w:r>
          </w:p>
        </w:tc>
        <w:tc>
          <w:tcPr>
            <w:tcW w:w="653" w:type="pct"/>
            <w:tcBorders>
              <w:bottom w:val="single" w:sz="4" w:space="0" w:color="auto"/>
            </w:tcBorders>
            <w:shd w:val="clear" w:color="auto" w:fill="FFFFFF"/>
          </w:tcPr>
          <w:p w14:paraId="00578A35" w14:textId="498C70E2" w:rsidR="000C61CD" w:rsidRPr="009D4627" w:rsidRDefault="000C61CD" w:rsidP="000C61CD">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12527.08</w:t>
            </w:r>
          </w:p>
        </w:tc>
        <w:tc>
          <w:tcPr>
            <w:tcW w:w="549" w:type="pct"/>
            <w:tcBorders>
              <w:bottom w:val="single" w:sz="4" w:space="0" w:color="auto"/>
            </w:tcBorders>
            <w:shd w:val="clear" w:color="auto" w:fill="FFFFFF"/>
          </w:tcPr>
          <w:p w14:paraId="395DD2DE" w14:textId="460DA2DA" w:rsidR="000C61CD" w:rsidRPr="009D4627" w:rsidRDefault="000C61CD"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1.7</w:t>
            </w:r>
            <w:r w:rsidR="00B235EF" w:rsidRPr="009D4627">
              <w:rPr>
                <w:color w:val="010205"/>
                <w:sz w:val="22"/>
                <w:szCs w:val="22"/>
                <w:lang w:val="en-MY"/>
              </w:rPr>
              <w:t>7</w:t>
            </w:r>
          </w:p>
        </w:tc>
        <w:tc>
          <w:tcPr>
            <w:tcW w:w="603" w:type="pct"/>
            <w:tcBorders>
              <w:bottom w:val="single" w:sz="4" w:space="0" w:color="auto"/>
            </w:tcBorders>
            <w:shd w:val="clear" w:color="auto" w:fill="FFFFFF"/>
          </w:tcPr>
          <w:p w14:paraId="5F6F70A8" w14:textId="293529DB" w:rsidR="000C61CD" w:rsidRPr="009D4627" w:rsidRDefault="00AA3EDA" w:rsidP="00974B3E">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w:t>
            </w:r>
            <w:r w:rsidR="000C61CD" w:rsidRPr="009D4627">
              <w:rPr>
                <w:color w:val="010205"/>
                <w:sz w:val="22"/>
                <w:szCs w:val="22"/>
                <w:lang w:val="en-MY"/>
              </w:rPr>
              <w:t>.0</w:t>
            </w:r>
            <w:r w:rsidRPr="009D4627">
              <w:rPr>
                <w:color w:val="010205"/>
                <w:sz w:val="22"/>
                <w:szCs w:val="22"/>
                <w:lang w:val="en-MY"/>
              </w:rPr>
              <w:t>7</w:t>
            </w:r>
          </w:p>
        </w:tc>
      </w:tr>
    </w:tbl>
    <w:p w14:paraId="60D7DD45" w14:textId="1D47B329" w:rsidR="00005390" w:rsidRPr="001B404A" w:rsidRDefault="005D3E5C" w:rsidP="005D3E5C">
      <w:pPr>
        <w:spacing w:before="0" w:after="0"/>
        <w:jc w:val="center"/>
      </w:pPr>
      <w:r w:rsidRPr="001B404A">
        <w:rPr>
          <w:i/>
          <w:iCs/>
          <w:color w:val="auto"/>
        </w:rPr>
        <w:t xml:space="preserve">* </w:t>
      </w:r>
      <w:r w:rsidRPr="001B404A">
        <w:rPr>
          <w:color w:val="auto"/>
        </w:rPr>
        <w:t xml:space="preserve">Data are significant at </w:t>
      </w:r>
      <w:r w:rsidRPr="001B404A">
        <w:rPr>
          <w:i/>
          <w:iCs/>
          <w:color w:val="auto"/>
        </w:rPr>
        <w:t>p</w:t>
      </w:r>
      <w:r w:rsidRPr="001B404A">
        <w:rPr>
          <w:color w:val="auto"/>
        </w:rPr>
        <w:t>&lt;0.05</w:t>
      </w:r>
    </w:p>
    <w:p w14:paraId="29FAD5DF" w14:textId="77777777" w:rsidR="006B19EC" w:rsidRPr="009D4627" w:rsidRDefault="006B19EC" w:rsidP="006B19EC">
      <w:pPr>
        <w:autoSpaceDE w:val="0"/>
        <w:autoSpaceDN w:val="0"/>
        <w:adjustRightInd w:val="0"/>
        <w:spacing w:before="0" w:after="0" w:line="240" w:lineRule="auto"/>
        <w:jc w:val="left"/>
        <w:rPr>
          <w:color w:val="auto"/>
          <w:lang w:val="en-MY"/>
        </w:rPr>
      </w:pPr>
    </w:p>
    <w:p w14:paraId="44E6A5DD" w14:textId="4FA3C8B3" w:rsidR="006B19EC" w:rsidRPr="009D4627" w:rsidRDefault="00CD69ED" w:rsidP="00CA4E90">
      <w:pPr>
        <w:pStyle w:val="Heading4"/>
        <w:rPr>
          <w:lang w:val="en-MY"/>
        </w:rPr>
      </w:pPr>
      <w:bookmarkStart w:id="515" w:name="_Toc98964720"/>
      <w:bookmarkStart w:id="516" w:name="_Toc103344762"/>
      <w:r w:rsidRPr="009D4627">
        <w:t>Linear regression to predict changes of eye movement with time</w:t>
      </w:r>
      <w:bookmarkEnd w:id="515"/>
      <w:bookmarkEnd w:id="516"/>
      <w:r w:rsidR="00882592" w:rsidRPr="009D4627">
        <w:t xml:space="preserve"> </w:t>
      </w:r>
    </w:p>
    <w:p w14:paraId="0F380485" w14:textId="119EDE6F" w:rsidR="0071017C" w:rsidRPr="009D4627" w:rsidRDefault="00005390" w:rsidP="00005390">
      <w:pPr>
        <w:rPr>
          <w:b/>
          <w:bCs/>
        </w:rPr>
      </w:pPr>
      <w:r w:rsidRPr="009D4627">
        <w:t xml:space="preserve">A linear regression analysis was run to predict the variability of vertical SP parameters (gain, RMSE and durations) </w:t>
      </w:r>
      <w:r w:rsidR="0071017C">
        <w:rPr>
          <w:rFonts w:eastAsia="Times New Roman"/>
          <w:color w:val="auto"/>
          <w:lang w:eastAsia="en-MY"/>
        </w:rPr>
        <w:t>across time (follow-up visit)</w:t>
      </w:r>
      <w:r w:rsidRPr="009D4627">
        <w:t xml:space="preserve">. However, the </w:t>
      </w:r>
      <w:r w:rsidR="0071017C">
        <w:t>follow-up visit is not a good predictor to predict the change in</w:t>
      </w:r>
      <w:r w:rsidRPr="009D4627">
        <w:t xml:space="preserve"> vertical SP </w:t>
      </w:r>
      <w:r w:rsidR="0071017C">
        <w:t>gain</w:t>
      </w:r>
      <w:r w:rsidR="0071017C">
        <w:rPr>
          <w:rFonts w:eastAsia="Times New Roman"/>
          <w:color w:val="auto"/>
          <w:lang w:eastAsia="en-MY"/>
        </w:rPr>
        <w:t xml:space="preserve"> (</w:t>
      </w:r>
      <w:r w:rsidR="0071017C">
        <w:t xml:space="preserve">β = 0.003, </w:t>
      </w:r>
      <w:r w:rsidR="0071017C" w:rsidRPr="00EE5A21">
        <w:rPr>
          <w:i/>
          <w:iCs/>
        </w:rPr>
        <w:t>p</w:t>
      </w:r>
      <w:r w:rsidR="0071017C">
        <w:t xml:space="preserve"> = 0.89, </w:t>
      </w:r>
      <w:r w:rsidR="0071017C" w:rsidRPr="00191DDF">
        <w:rPr>
          <w:i/>
          <w:iCs/>
        </w:rPr>
        <w:t>R</w:t>
      </w:r>
      <w:r w:rsidR="0071017C" w:rsidRPr="00191DDF">
        <w:rPr>
          <w:vertAlign w:val="superscript"/>
        </w:rPr>
        <w:t>2</w:t>
      </w:r>
      <w:r w:rsidR="0071017C">
        <w:t xml:space="preserve"> = 0.001)</w:t>
      </w:r>
      <w:r w:rsidR="0071017C">
        <w:rPr>
          <w:rFonts w:eastAsia="Times New Roman"/>
          <w:color w:val="auto"/>
          <w:lang w:eastAsia="en-MY"/>
        </w:rPr>
        <w:t>, RMSE (</w:t>
      </w:r>
      <w:r w:rsidR="0071017C">
        <w:t xml:space="preserve">β = -0.072, </w:t>
      </w:r>
      <w:r w:rsidR="0071017C" w:rsidRPr="00EE5A21">
        <w:rPr>
          <w:i/>
          <w:iCs/>
        </w:rPr>
        <w:t>p</w:t>
      </w:r>
      <w:r w:rsidR="0071017C">
        <w:t xml:space="preserve"> = &lt;0.17, </w:t>
      </w:r>
      <w:r w:rsidR="0071017C" w:rsidRPr="00191DDF">
        <w:rPr>
          <w:i/>
          <w:iCs/>
        </w:rPr>
        <w:t>R</w:t>
      </w:r>
      <w:r w:rsidR="0071017C" w:rsidRPr="00191DDF">
        <w:rPr>
          <w:vertAlign w:val="superscript"/>
        </w:rPr>
        <w:t>2</w:t>
      </w:r>
      <w:r w:rsidR="0071017C">
        <w:t xml:space="preserve"> = 0.01) </w:t>
      </w:r>
      <w:r w:rsidR="0071017C">
        <w:rPr>
          <w:rFonts w:eastAsia="Times New Roman"/>
          <w:color w:val="auto"/>
          <w:lang w:eastAsia="en-MY"/>
        </w:rPr>
        <w:t>and duration (</w:t>
      </w:r>
      <w:r w:rsidR="0071017C">
        <w:t xml:space="preserve">β = -5.710, </w:t>
      </w:r>
      <w:r w:rsidR="0071017C" w:rsidRPr="00EE5A21">
        <w:rPr>
          <w:i/>
          <w:iCs/>
        </w:rPr>
        <w:t>p</w:t>
      </w:r>
      <w:r w:rsidR="0071017C">
        <w:t xml:space="preserve"> = 0.40, </w:t>
      </w:r>
      <w:r w:rsidR="0071017C" w:rsidRPr="00191DDF">
        <w:rPr>
          <w:i/>
          <w:iCs/>
        </w:rPr>
        <w:t>R</w:t>
      </w:r>
      <w:r w:rsidR="0071017C" w:rsidRPr="00191DDF">
        <w:rPr>
          <w:vertAlign w:val="superscript"/>
        </w:rPr>
        <w:t>2</w:t>
      </w:r>
      <w:r w:rsidR="0071017C">
        <w:t xml:space="preserve"> = 0.004) across time</w:t>
      </w:r>
      <w:r w:rsidRPr="009D4627">
        <w:t>.</w:t>
      </w:r>
    </w:p>
    <w:p w14:paraId="683DC153" w14:textId="1DD7E454" w:rsidR="00882592" w:rsidRPr="009D4627" w:rsidRDefault="00882592" w:rsidP="00CA4E90">
      <w:pPr>
        <w:pStyle w:val="Heading4"/>
        <w:rPr>
          <w:lang w:eastAsia="en-MY"/>
        </w:rPr>
      </w:pPr>
      <w:bookmarkStart w:id="517" w:name="_Toc98964721"/>
      <w:bookmarkStart w:id="518" w:name="_Toc103344763"/>
      <w:r w:rsidRPr="009D4627">
        <w:t>One-sample t-test to observe the recovery of eye movements</w:t>
      </w:r>
      <w:bookmarkEnd w:id="517"/>
      <w:bookmarkEnd w:id="518"/>
    </w:p>
    <w:p w14:paraId="0953E34B" w14:textId="5B30551B" w:rsidR="00005390" w:rsidRPr="009D4627" w:rsidRDefault="00005390" w:rsidP="00005390">
      <w:pPr>
        <w:rPr>
          <w:rFonts w:eastAsia="Times New Roman"/>
          <w:color w:val="auto"/>
          <w:lang w:eastAsia="en-MY"/>
        </w:rPr>
      </w:pPr>
      <w:r w:rsidRPr="009D4627">
        <w:rPr>
          <w:rFonts w:eastAsia="Times New Roman"/>
          <w:color w:val="auto"/>
          <w:lang w:eastAsia="en-MY"/>
        </w:rPr>
        <w:t xml:space="preserve">Following that, one-sample t-test was run to compare the patients’ vertical SP variables of the palsy eye at 16 weeks of onset (visit 5) with the control group for every trial frequency.  The results revealed that the </w:t>
      </w:r>
      <w:r w:rsidR="009B6A74" w:rsidRPr="009D4627">
        <w:rPr>
          <w:rFonts w:eastAsia="Times New Roman"/>
          <w:color w:val="auto"/>
          <w:lang w:eastAsia="en-MY"/>
        </w:rPr>
        <w:t xml:space="preserve">vertical </w:t>
      </w:r>
      <w:r w:rsidRPr="009D4627">
        <w:rPr>
          <w:rFonts w:eastAsia="Times New Roman"/>
          <w:color w:val="auto"/>
          <w:lang w:eastAsia="en-MY"/>
        </w:rPr>
        <w:t>SP gain</w:t>
      </w:r>
      <w:r w:rsidR="009B6A74" w:rsidRPr="009D4627">
        <w:rPr>
          <w:rFonts w:eastAsia="Times New Roman"/>
          <w:color w:val="auto"/>
          <w:lang w:eastAsia="en-MY"/>
        </w:rPr>
        <w:t xml:space="preserve"> and</w:t>
      </w:r>
      <w:r w:rsidRPr="009D4627">
        <w:rPr>
          <w:rFonts w:eastAsia="Times New Roman"/>
          <w:color w:val="auto"/>
          <w:lang w:eastAsia="en-MY"/>
        </w:rPr>
        <w:t xml:space="preserve"> RMSE resembled the control group at 16 weeks of onset for all frequencies</w:t>
      </w:r>
      <w:r w:rsidR="009B6A74" w:rsidRPr="009D4627">
        <w:rPr>
          <w:rFonts w:eastAsia="Times New Roman"/>
          <w:color w:val="auto"/>
          <w:lang w:eastAsia="en-MY"/>
        </w:rPr>
        <w:t xml:space="preserve">. However, the palsy eye had significantly longer duration of pursuit </w:t>
      </w:r>
      <w:r w:rsidR="009B6A74" w:rsidRPr="009D4627">
        <w:rPr>
          <w:rFonts w:eastAsia="Times New Roman"/>
          <w:color w:val="auto"/>
          <w:lang w:eastAsia="en-MY"/>
        </w:rPr>
        <w:lastRenderedPageBreak/>
        <w:t>fixation for all trial frequencies</w:t>
      </w:r>
      <w:r w:rsidR="00C52574" w:rsidRPr="009D4627">
        <w:rPr>
          <w:rFonts w:eastAsia="Times New Roman"/>
          <w:color w:val="auto"/>
          <w:lang w:eastAsia="en-MY"/>
        </w:rPr>
        <w:t xml:space="preserve"> (Table 5.7)</w:t>
      </w:r>
      <w:r w:rsidR="009B6A74" w:rsidRPr="009D4627">
        <w:rPr>
          <w:rFonts w:eastAsia="Times New Roman"/>
          <w:color w:val="auto"/>
          <w:lang w:eastAsia="en-MY"/>
        </w:rPr>
        <w:t>, indicating they had better pursuit maintenance than the control group participants</w:t>
      </w:r>
      <w:r w:rsidR="00C52574" w:rsidRPr="009D4627">
        <w:rPr>
          <w:rFonts w:eastAsia="Times New Roman"/>
          <w:color w:val="auto"/>
          <w:lang w:eastAsia="en-MY"/>
        </w:rPr>
        <w:t>.</w:t>
      </w:r>
      <w:r w:rsidR="009B6A74" w:rsidRPr="009D4627">
        <w:rPr>
          <w:rFonts w:eastAsia="Times New Roman"/>
          <w:color w:val="auto"/>
          <w:lang w:eastAsia="en-MY"/>
        </w:rPr>
        <w:t xml:space="preserve"> </w:t>
      </w:r>
    </w:p>
    <w:p w14:paraId="60A6A38B" w14:textId="25F86A18" w:rsidR="00C52574" w:rsidRPr="009D4627" w:rsidRDefault="00C52574" w:rsidP="00C4130D">
      <w:pPr>
        <w:pStyle w:val="Caption"/>
        <w:rPr>
          <w:rFonts w:eastAsia="Times New Roman"/>
          <w:color w:val="auto"/>
        </w:rPr>
      </w:pPr>
      <w:bookmarkStart w:id="519" w:name="_Toc99378021"/>
      <w:r w:rsidRPr="009D4627">
        <w:t>Table 5.</w:t>
      </w:r>
      <w:r w:rsidRPr="009D4627">
        <w:fldChar w:fldCharType="begin"/>
      </w:r>
      <w:r w:rsidRPr="009D4627">
        <w:instrText xml:space="preserve"> SEQ Table_5. \* ARABIC </w:instrText>
      </w:r>
      <w:r w:rsidRPr="009D4627">
        <w:fldChar w:fldCharType="separate"/>
      </w:r>
      <w:r w:rsidR="00E268F6">
        <w:rPr>
          <w:noProof/>
        </w:rPr>
        <w:t>7</w:t>
      </w:r>
      <w:r w:rsidRPr="009D4627">
        <w:fldChar w:fldCharType="end"/>
      </w:r>
      <w:r w:rsidRPr="009D4627">
        <w:t>: One-sample t-test comparing the affected eyes vertical SP parameters on the fifth visit with the control group at four frequencies.</w:t>
      </w:r>
      <w:bookmarkEnd w:id="519"/>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3"/>
        <w:gridCol w:w="1296"/>
        <w:gridCol w:w="1269"/>
        <w:gridCol w:w="1054"/>
        <w:gridCol w:w="1392"/>
        <w:gridCol w:w="1502"/>
      </w:tblGrid>
      <w:tr w:rsidR="00C52574" w:rsidRPr="009D4627" w14:paraId="6D227030" w14:textId="77777777" w:rsidTr="001B404A">
        <w:trPr>
          <w:jc w:val="center"/>
        </w:trPr>
        <w:tc>
          <w:tcPr>
            <w:tcW w:w="1392" w:type="pct"/>
            <w:tcBorders>
              <w:top w:val="single" w:sz="4" w:space="0" w:color="auto"/>
              <w:bottom w:val="single" w:sz="4" w:space="0" w:color="auto"/>
            </w:tcBorders>
          </w:tcPr>
          <w:p w14:paraId="73DCE34F" w14:textId="77777777" w:rsidR="00C52574" w:rsidRPr="009D4627" w:rsidRDefault="00C52574" w:rsidP="00281A92">
            <w:pPr>
              <w:spacing w:before="0" w:after="0" w:line="360" w:lineRule="auto"/>
              <w:rPr>
                <w:rFonts w:eastAsia="Times New Roman"/>
                <w:color w:val="auto"/>
                <w:sz w:val="22"/>
                <w:szCs w:val="22"/>
                <w:lang w:eastAsia="en-MY"/>
              </w:rPr>
            </w:pPr>
          </w:p>
        </w:tc>
        <w:tc>
          <w:tcPr>
            <w:tcW w:w="718" w:type="pct"/>
            <w:tcBorders>
              <w:top w:val="single" w:sz="4" w:space="0" w:color="auto"/>
              <w:bottom w:val="single" w:sz="4" w:space="0" w:color="auto"/>
            </w:tcBorders>
          </w:tcPr>
          <w:p w14:paraId="7C094967" w14:textId="77777777" w:rsidR="00C52574" w:rsidRPr="009D4627" w:rsidRDefault="00C52574"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Test value</w:t>
            </w:r>
          </w:p>
        </w:tc>
        <w:tc>
          <w:tcPr>
            <w:tcW w:w="703" w:type="pct"/>
            <w:tcBorders>
              <w:top w:val="single" w:sz="4" w:space="0" w:color="auto"/>
              <w:bottom w:val="single" w:sz="4" w:space="0" w:color="auto"/>
            </w:tcBorders>
          </w:tcPr>
          <w:p w14:paraId="0B51F06E" w14:textId="77777777" w:rsidR="00C52574" w:rsidRPr="00974B3E" w:rsidRDefault="00C52574" w:rsidP="00974B3E">
            <w:pPr>
              <w:spacing w:before="0" w:after="0" w:line="360" w:lineRule="auto"/>
              <w:jc w:val="center"/>
              <w:rPr>
                <w:rFonts w:eastAsia="Times New Roman"/>
                <w:i/>
                <w:iCs/>
                <w:color w:val="auto"/>
                <w:sz w:val="22"/>
                <w:szCs w:val="22"/>
                <w:lang w:eastAsia="en-MY"/>
              </w:rPr>
            </w:pPr>
            <w:r w:rsidRPr="00974B3E">
              <w:rPr>
                <w:rFonts w:eastAsia="Times New Roman"/>
                <w:i/>
                <w:iCs/>
                <w:color w:val="auto"/>
                <w:sz w:val="22"/>
                <w:szCs w:val="22"/>
                <w:lang w:eastAsia="en-MY"/>
              </w:rPr>
              <w:t>t</w:t>
            </w:r>
          </w:p>
        </w:tc>
        <w:tc>
          <w:tcPr>
            <w:tcW w:w="584" w:type="pct"/>
            <w:tcBorders>
              <w:top w:val="single" w:sz="4" w:space="0" w:color="auto"/>
              <w:bottom w:val="single" w:sz="4" w:space="0" w:color="auto"/>
            </w:tcBorders>
          </w:tcPr>
          <w:p w14:paraId="618150C0" w14:textId="1214F0B1" w:rsidR="00C52574" w:rsidRPr="009D4627" w:rsidRDefault="00C52574" w:rsidP="00974B3E">
            <w:pPr>
              <w:spacing w:before="0" w:after="0" w:line="360" w:lineRule="auto"/>
              <w:jc w:val="center"/>
              <w:rPr>
                <w:rFonts w:eastAsia="Times New Roman"/>
                <w:color w:val="auto"/>
                <w:sz w:val="22"/>
                <w:szCs w:val="22"/>
                <w:lang w:eastAsia="en-MY"/>
              </w:rPr>
            </w:pPr>
            <w:r w:rsidRPr="009D4627">
              <w:rPr>
                <w:rFonts w:eastAsia="Times New Roman"/>
                <w:color w:val="auto"/>
                <w:sz w:val="22"/>
                <w:szCs w:val="22"/>
                <w:lang w:eastAsia="en-MY"/>
              </w:rPr>
              <w:t>df</w:t>
            </w:r>
          </w:p>
        </w:tc>
        <w:tc>
          <w:tcPr>
            <w:tcW w:w="771" w:type="pct"/>
            <w:tcBorders>
              <w:top w:val="single" w:sz="4" w:space="0" w:color="auto"/>
              <w:bottom w:val="single" w:sz="4" w:space="0" w:color="auto"/>
            </w:tcBorders>
          </w:tcPr>
          <w:p w14:paraId="3903B6B5" w14:textId="77777777" w:rsidR="00C52574" w:rsidRPr="009D4627" w:rsidRDefault="00C52574" w:rsidP="00281A92">
            <w:pPr>
              <w:spacing w:before="0" w:after="0" w:line="360" w:lineRule="auto"/>
              <w:rPr>
                <w:rFonts w:eastAsia="Times New Roman"/>
                <w:color w:val="auto"/>
                <w:sz w:val="22"/>
                <w:szCs w:val="22"/>
                <w:lang w:eastAsia="en-MY"/>
              </w:rPr>
            </w:pPr>
            <w:r w:rsidRPr="00974B3E">
              <w:rPr>
                <w:rFonts w:eastAsia="Times New Roman"/>
                <w:i/>
                <w:iCs/>
                <w:color w:val="auto"/>
                <w:sz w:val="22"/>
                <w:szCs w:val="22"/>
                <w:lang w:eastAsia="en-MY"/>
              </w:rPr>
              <w:t>p</w:t>
            </w:r>
            <w:r w:rsidRPr="009D4627">
              <w:rPr>
                <w:rFonts w:eastAsia="Times New Roman"/>
                <w:color w:val="auto"/>
                <w:sz w:val="22"/>
                <w:szCs w:val="22"/>
                <w:lang w:eastAsia="en-MY"/>
              </w:rPr>
              <w:t>-value</w:t>
            </w:r>
          </w:p>
        </w:tc>
        <w:tc>
          <w:tcPr>
            <w:tcW w:w="832" w:type="pct"/>
            <w:tcBorders>
              <w:top w:val="single" w:sz="4" w:space="0" w:color="auto"/>
              <w:bottom w:val="single" w:sz="4" w:space="0" w:color="auto"/>
            </w:tcBorders>
          </w:tcPr>
          <w:p w14:paraId="5E85193D" w14:textId="4C0BE3CC" w:rsidR="00C52574" w:rsidRPr="009D4627" w:rsidRDefault="00974B3E" w:rsidP="00281A92">
            <w:pPr>
              <w:spacing w:before="0" w:after="0" w:line="360" w:lineRule="auto"/>
              <w:rPr>
                <w:rFonts w:eastAsia="Times New Roman"/>
                <w:color w:val="auto"/>
                <w:sz w:val="22"/>
                <w:szCs w:val="22"/>
                <w:lang w:eastAsia="en-MY"/>
              </w:rPr>
            </w:pPr>
            <w:r>
              <w:rPr>
                <w:rFonts w:eastAsia="Times New Roman"/>
                <w:color w:val="auto"/>
                <w:sz w:val="22"/>
                <w:szCs w:val="22"/>
                <w:lang w:eastAsia="en-MY"/>
              </w:rPr>
              <w:t>m</w:t>
            </w:r>
            <w:r w:rsidR="00C52574" w:rsidRPr="009D4627">
              <w:rPr>
                <w:rFonts w:eastAsia="Times New Roman"/>
                <w:color w:val="auto"/>
                <w:sz w:val="22"/>
                <w:szCs w:val="22"/>
                <w:lang w:eastAsia="en-MY"/>
              </w:rPr>
              <w:t>ean diff.</w:t>
            </w:r>
          </w:p>
        </w:tc>
      </w:tr>
      <w:tr w:rsidR="000D684E" w:rsidRPr="009D4627" w14:paraId="55179605" w14:textId="77777777" w:rsidTr="001B404A">
        <w:trPr>
          <w:jc w:val="center"/>
        </w:trPr>
        <w:tc>
          <w:tcPr>
            <w:tcW w:w="1392" w:type="pct"/>
            <w:tcBorders>
              <w:top w:val="single" w:sz="4" w:space="0" w:color="auto"/>
            </w:tcBorders>
          </w:tcPr>
          <w:p w14:paraId="5B3464D0" w14:textId="77777777" w:rsidR="000D684E" w:rsidRPr="009D4627" w:rsidRDefault="000D684E" w:rsidP="000D68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Gain_0.2 Hz</w:t>
            </w:r>
          </w:p>
        </w:tc>
        <w:tc>
          <w:tcPr>
            <w:tcW w:w="718" w:type="pct"/>
            <w:tcBorders>
              <w:top w:val="single" w:sz="4" w:space="0" w:color="auto"/>
            </w:tcBorders>
          </w:tcPr>
          <w:p w14:paraId="040C5609" w14:textId="00535FC6" w:rsidR="000D684E" w:rsidRPr="009D4627" w:rsidRDefault="000D684E" w:rsidP="000D68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0.8</w:t>
            </w:r>
            <w:r w:rsidR="009B6A74" w:rsidRPr="009D4627">
              <w:rPr>
                <w:rFonts w:eastAsia="Times New Roman"/>
                <w:color w:val="auto"/>
                <w:sz w:val="22"/>
                <w:szCs w:val="22"/>
                <w:lang w:eastAsia="en-MY"/>
              </w:rPr>
              <w:t>0</w:t>
            </w:r>
          </w:p>
        </w:tc>
        <w:tc>
          <w:tcPr>
            <w:tcW w:w="703" w:type="pct"/>
            <w:tcBorders>
              <w:top w:val="single" w:sz="4" w:space="0" w:color="auto"/>
            </w:tcBorders>
          </w:tcPr>
          <w:p w14:paraId="684D3BE8" w14:textId="7687572F" w:rsidR="000D684E" w:rsidRPr="009D4627" w:rsidRDefault="000D68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0.90</w:t>
            </w:r>
          </w:p>
        </w:tc>
        <w:tc>
          <w:tcPr>
            <w:tcW w:w="584" w:type="pct"/>
            <w:tcBorders>
              <w:top w:val="single" w:sz="4" w:space="0" w:color="auto"/>
            </w:tcBorders>
          </w:tcPr>
          <w:p w14:paraId="76002CA9" w14:textId="15302FAC" w:rsidR="000D684E" w:rsidRPr="009D4627" w:rsidRDefault="000D68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Borders>
              <w:top w:val="single" w:sz="4" w:space="0" w:color="auto"/>
            </w:tcBorders>
          </w:tcPr>
          <w:p w14:paraId="7FBE597C" w14:textId="5FB0BFDF" w:rsidR="000D684E" w:rsidRPr="009D4627" w:rsidRDefault="000D684E" w:rsidP="000D684E">
            <w:pPr>
              <w:spacing w:before="0" w:after="0" w:line="360" w:lineRule="auto"/>
              <w:rPr>
                <w:rFonts w:eastAsia="Times New Roman"/>
                <w:color w:val="auto"/>
                <w:sz w:val="22"/>
                <w:szCs w:val="22"/>
                <w:lang w:eastAsia="en-MY"/>
              </w:rPr>
            </w:pPr>
            <w:r w:rsidRPr="009D4627">
              <w:rPr>
                <w:color w:val="010205"/>
                <w:sz w:val="22"/>
                <w:szCs w:val="22"/>
                <w:lang w:val="en-MY"/>
              </w:rPr>
              <w:t>0.40</w:t>
            </w:r>
          </w:p>
        </w:tc>
        <w:tc>
          <w:tcPr>
            <w:tcW w:w="832" w:type="pct"/>
            <w:tcBorders>
              <w:top w:val="single" w:sz="4" w:space="0" w:color="auto"/>
            </w:tcBorders>
          </w:tcPr>
          <w:p w14:paraId="447BE142" w14:textId="3E8C46A2" w:rsidR="000D684E" w:rsidRPr="009D4627" w:rsidRDefault="000D684E" w:rsidP="000D684E">
            <w:pPr>
              <w:spacing w:before="0" w:after="0" w:line="360" w:lineRule="auto"/>
              <w:rPr>
                <w:rFonts w:eastAsia="Times New Roman"/>
                <w:color w:val="auto"/>
                <w:sz w:val="22"/>
                <w:szCs w:val="22"/>
                <w:lang w:eastAsia="en-MY"/>
              </w:rPr>
            </w:pPr>
            <w:r w:rsidRPr="009D4627">
              <w:rPr>
                <w:color w:val="010205"/>
                <w:sz w:val="22"/>
                <w:szCs w:val="22"/>
                <w:lang w:val="en-MY"/>
              </w:rPr>
              <w:t>0.04</w:t>
            </w:r>
          </w:p>
        </w:tc>
      </w:tr>
      <w:tr w:rsidR="00D7435B" w:rsidRPr="009D4627" w14:paraId="3AC04B40" w14:textId="77777777" w:rsidTr="001B404A">
        <w:trPr>
          <w:jc w:val="center"/>
        </w:trPr>
        <w:tc>
          <w:tcPr>
            <w:tcW w:w="1392" w:type="pct"/>
          </w:tcPr>
          <w:p w14:paraId="6BD1F61D" w14:textId="77777777" w:rsidR="00D7435B" w:rsidRPr="009D4627" w:rsidRDefault="00D7435B" w:rsidP="00D7435B">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Gain_0.4 Hz</w:t>
            </w:r>
          </w:p>
        </w:tc>
        <w:tc>
          <w:tcPr>
            <w:tcW w:w="718" w:type="pct"/>
          </w:tcPr>
          <w:p w14:paraId="70DBA068" w14:textId="5A864612" w:rsidR="00D7435B" w:rsidRPr="009D4627" w:rsidRDefault="00D7435B" w:rsidP="00D7435B">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0.65</w:t>
            </w:r>
          </w:p>
        </w:tc>
        <w:tc>
          <w:tcPr>
            <w:tcW w:w="703" w:type="pct"/>
          </w:tcPr>
          <w:p w14:paraId="34A5A8F2" w14:textId="20EF9F6F" w:rsidR="00D7435B" w:rsidRPr="009D4627" w:rsidRDefault="00D7435B"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-0.31</w:t>
            </w:r>
          </w:p>
        </w:tc>
        <w:tc>
          <w:tcPr>
            <w:tcW w:w="584" w:type="pct"/>
          </w:tcPr>
          <w:p w14:paraId="524F2CCC" w14:textId="715EE18A" w:rsidR="00D7435B" w:rsidRPr="009D4627" w:rsidRDefault="00D7435B"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Pr>
          <w:p w14:paraId="427662A1" w14:textId="3179A77E" w:rsidR="00D7435B" w:rsidRPr="009D4627" w:rsidRDefault="00D7435B" w:rsidP="00D7435B">
            <w:pPr>
              <w:spacing w:before="0" w:after="0" w:line="360" w:lineRule="auto"/>
              <w:rPr>
                <w:rFonts w:eastAsia="Times New Roman"/>
                <w:color w:val="auto"/>
                <w:sz w:val="22"/>
                <w:szCs w:val="22"/>
                <w:lang w:eastAsia="en-MY"/>
              </w:rPr>
            </w:pPr>
            <w:r w:rsidRPr="009D4627">
              <w:rPr>
                <w:color w:val="010205"/>
                <w:sz w:val="22"/>
                <w:szCs w:val="22"/>
                <w:lang w:val="en-MY"/>
              </w:rPr>
              <w:t>0.76</w:t>
            </w:r>
          </w:p>
        </w:tc>
        <w:tc>
          <w:tcPr>
            <w:tcW w:w="832" w:type="pct"/>
          </w:tcPr>
          <w:p w14:paraId="52B29021" w14:textId="4055EF63" w:rsidR="00D7435B" w:rsidRPr="009D4627" w:rsidRDefault="00D7435B" w:rsidP="00D7435B">
            <w:pPr>
              <w:spacing w:before="0" w:after="0" w:line="360" w:lineRule="auto"/>
              <w:rPr>
                <w:rFonts w:eastAsia="Times New Roman"/>
                <w:color w:val="auto"/>
                <w:sz w:val="22"/>
                <w:szCs w:val="22"/>
                <w:lang w:eastAsia="en-MY"/>
              </w:rPr>
            </w:pPr>
            <w:r w:rsidRPr="009D4627">
              <w:rPr>
                <w:color w:val="010205"/>
                <w:sz w:val="22"/>
                <w:szCs w:val="22"/>
                <w:lang w:val="en-MY"/>
              </w:rPr>
              <w:t>-0.02</w:t>
            </w:r>
          </w:p>
        </w:tc>
      </w:tr>
      <w:tr w:rsidR="00D7435B" w:rsidRPr="009D4627" w14:paraId="09AEF8DB" w14:textId="77777777" w:rsidTr="001B404A">
        <w:trPr>
          <w:jc w:val="center"/>
        </w:trPr>
        <w:tc>
          <w:tcPr>
            <w:tcW w:w="1392" w:type="pct"/>
          </w:tcPr>
          <w:p w14:paraId="4AD1DCF3" w14:textId="77777777" w:rsidR="00D7435B" w:rsidRPr="009D4627" w:rsidRDefault="00D7435B" w:rsidP="00D7435B">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Gain_0.6 Hz</w:t>
            </w:r>
          </w:p>
        </w:tc>
        <w:tc>
          <w:tcPr>
            <w:tcW w:w="718" w:type="pct"/>
          </w:tcPr>
          <w:p w14:paraId="701635E2" w14:textId="3548C8ED" w:rsidR="00D7435B" w:rsidRPr="009D4627" w:rsidRDefault="00D7435B" w:rsidP="00D7435B">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0.56</w:t>
            </w:r>
          </w:p>
        </w:tc>
        <w:tc>
          <w:tcPr>
            <w:tcW w:w="703" w:type="pct"/>
          </w:tcPr>
          <w:p w14:paraId="1F1E169D" w14:textId="68D02539" w:rsidR="00D7435B" w:rsidRPr="009D4627" w:rsidRDefault="00D7435B"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-1.75</w:t>
            </w:r>
          </w:p>
        </w:tc>
        <w:tc>
          <w:tcPr>
            <w:tcW w:w="584" w:type="pct"/>
          </w:tcPr>
          <w:p w14:paraId="60565415" w14:textId="7A7CDC06" w:rsidR="00D7435B" w:rsidRPr="009D4627" w:rsidRDefault="00D7435B"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Pr>
          <w:p w14:paraId="6AE49BAB" w14:textId="7F59CE10" w:rsidR="00D7435B" w:rsidRPr="009D4627" w:rsidRDefault="00D7435B" w:rsidP="00D7435B">
            <w:pPr>
              <w:spacing w:before="0" w:after="0" w:line="360" w:lineRule="auto"/>
              <w:rPr>
                <w:rFonts w:eastAsia="Times New Roman"/>
                <w:color w:val="auto"/>
                <w:sz w:val="22"/>
                <w:szCs w:val="22"/>
                <w:lang w:eastAsia="en-MY"/>
              </w:rPr>
            </w:pPr>
            <w:r w:rsidRPr="009D4627">
              <w:rPr>
                <w:color w:val="010205"/>
                <w:sz w:val="22"/>
                <w:szCs w:val="22"/>
                <w:lang w:val="en-MY"/>
              </w:rPr>
              <w:t>0.12</w:t>
            </w:r>
          </w:p>
        </w:tc>
        <w:tc>
          <w:tcPr>
            <w:tcW w:w="832" w:type="pct"/>
          </w:tcPr>
          <w:p w14:paraId="5F34DA7E" w14:textId="0CC2CC1D" w:rsidR="00D7435B" w:rsidRPr="009D4627" w:rsidRDefault="00D7435B" w:rsidP="00D7435B">
            <w:pPr>
              <w:spacing w:before="0" w:after="0" w:line="360" w:lineRule="auto"/>
              <w:rPr>
                <w:rFonts w:eastAsia="Times New Roman"/>
                <w:color w:val="auto"/>
                <w:sz w:val="22"/>
                <w:szCs w:val="22"/>
                <w:lang w:eastAsia="en-MY"/>
              </w:rPr>
            </w:pPr>
            <w:r w:rsidRPr="009D4627">
              <w:rPr>
                <w:color w:val="010205"/>
                <w:sz w:val="22"/>
                <w:szCs w:val="22"/>
                <w:lang w:val="en-MY"/>
              </w:rPr>
              <w:t>-0.13</w:t>
            </w:r>
          </w:p>
        </w:tc>
      </w:tr>
      <w:tr w:rsidR="00D7435B" w:rsidRPr="009D4627" w14:paraId="35EDA7CF" w14:textId="77777777" w:rsidTr="001B404A">
        <w:trPr>
          <w:jc w:val="center"/>
        </w:trPr>
        <w:tc>
          <w:tcPr>
            <w:tcW w:w="1392" w:type="pct"/>
            <w:tcBorders>
              <w:bottom w:val="single" w:sz="4" w:space="0" w:color="auto"/>
            </w:tcBorders>
          </w:tcPr>
          <w:p w14:paraId="188D9E50" w14:textId="77777777" w:rsidR="00D7435B" w:rsidRPr="009D4627" w:rsidRDefault="00D7435B" w:rsidP="00D7435B">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Gain_0.8 Hz</w:t>
            </w:r>
          </w:p>
        </w:tc>
        <w:tc>
          <w:tcPr>
            <w:tcW w:w="718" w:type="pct"/>
            <w:tcBorders>
              <w:bottom w:val="single" w:sz="4" w:space="0" w:color="auto"/>
            </w:tcBorders>
          </w:tcPr>
          <w:p w14:paraId="0BFF11BF" w14:textId="2EFEE191" w:rsidR="00D7435B" w:rsidRPr="009D4627" w:rsidRDefault="00D7435B" w:rsidP="00D7435B">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0.42</w:t>
            </w:r>
          </w:p>
        </w:tc>
        <w:tc>
          <w:tcPr>
            <w:tcW w:w="703" w:type="pct"/>
            <w:tcBorders>
              <w:bottom w:val="single" w:sz="4" w:space="0" w:color="auto"/>
            </w:tcBorders>
          </w:tcPr>
          <w:p w14:paraId="53588615" w14:textId="00417855" w:rsidR="00D7435B" w:rsidRPr="009D4627" w:rsidRDefault="00D7435B"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-1.27</w:t>
            </w:r>
          </w:p>
        </w:tc>
        <w:tc>
          <w:tcPr>
            <w:tcW w:w="584" w:type="pct"/>
            <w:tcBorders>
              <w:bottom w:val="single" w:sz="4" w:space="0" w:color="auto"/>
            </w:tcBorders>
          </w:tcPr>
          <w:p w14:paraId="061CA83A" w14:textId="57DCCD8D" w:rsidR="00D7435B" w:rsidRPr="009D4627" w:rsidRDefault="00D7435B"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Borders>
              <w:bottom w:val="single" w:sz="4" w:space="0" w:color="auto"/>
            </w:tcBorders>
          </w:tcPr>
          <w:p w14:paraId="146E6F52" w14:textId="7306D68E" w:rsidR="00D7435B" w:rsidRPr="009D4627" w:rsidRDefault="00D7435B" w:rsidP="00D7435B">
            <w:pPr>
              <w:spacing w:before="0" w:after="0" w:line="360" w:lineRule="auto"/>
              <w:rPr>
                <w:rFonts w:eastAsia="Times New Roman"/>
                <w:color w:val="auto"/>
                <w:sz w:val="22"/>
                <w:szCs w:val="22"/>
                <w:lang w:eastAsia="en-MY"/>
              </w:rPr>
            </w:pPr>
            <w:r w:rsidRPr="009D4627">
              <w:rPr>
                <w:color w:val="010205"/>
                <w:sz w:val="22"/>
                <w:szCs w:val="22"/>
                <w:lang w:val="en-MY"/>
              </w:rPr>
              <w:t>0.24</w:t>
            </w:r>
          </w:p>
        </w:tc>
        <w:tc>
          <w:tcPr>
            <w:tcW w:w="832" w:type="pct"/>
            <w:tcBorders>
              <w:bottom w:val="single" w:sz="4" w:space="0" w:color="auto"/>
            </w:tcBorders>
          </w:tcPr>
          <w:p w14:paraId="6BB163BE" w14:textId="2F9528A4" w:rsidR="00D7435B" w:rsidRPr="009D4627" w:rsidRDefault="00D7435B" w:rsidP="00D7435B">
            <w:pPr>
              <w:spacing w:before="0" w:after="0" w:line="360" w:lineRule="auto"/>
              <w:rPr>
                <w:rFonts w:eastAsia="Times New Roman"/>
                <w:color w:val="auto"/>
                <w:sz w:val="22"/>
                <w:szCs w:val="22"/>
                <w:lang w:eastAsia="en-MY"/>
              </w:rPr>
            </w:pPr>
            <w:r w:rsidRPr="009D4627">
              <w:rPr>
                <w:color w:val="010205"/>
                <w:sz w:val="22"/>
                <w:szCs w:val="22"/>
                <w:lang w:val="en-MY"/>
              </w:rPr>
              <w:t>-0.09</w:t>
            </w:r>
          </w:p>
        </w:tc>
      </w:tr>
      <w:tr w:rsidR="00EA644E" w:rsidRPr="009D4627" w14:paraId="10F2B130" w14:textId="77777777" w:rsidTr="001B404A">
        <w:trPr>
          <w:jc w:val="center"/>
        </w:trPr>
        <w:tc>
          <w:tcPr>
            <w:tcW w:w="1392" w:type="pct"/>
            <w:tcBorders>
              <w:top w:val="single" w:sz="4" w:space="0" w:color="auto"/>
            </w:tcBorders>
          </w:tcPr>
          <w:p w14:paraId="028E51FE" w14:textId="77777777"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RMSE_0.2 Hz</w:t>
            </w:r>
          </w:p>
        </w:tc>
        <w:tc>
          <w:tcPr>
            <w:tcW w:w="718" w:type="pct"/>
            <w:tcBorders>
              <w:top w:val="single" w:sz="4" w:space="0" w:color="auto"/>
            </w:tcBorders>
          </w:tcPr>
          <w:p w14:paraId="28EC2164" w14:textId="01CB5AAA"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1.31</w:t>
            </w:r>
          </w:p>
        </w:tc>
        <w:tc>
          <w:tcPr>
            <w:tcW w:w="703" w:type="pct"/>
            <w:tcBorders>
              <w:top w:val="single" w:sz="4" w:space="0" w:color="auto"/>
            </w:tcBorders>
          </w:tcPr>
          <w:p w14:paraId="05C9C1F1" w14:textId="046350ED"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-4.1</w:t>
            </w:r>
            <w:r w:rsidR="00B235EF" w:rsidRPr="009D4627">
              <w:rPr>
                <w:color w:val="010205"/>
                <w:sz w:val="22"/>
                <w:szCs w:val="22"/>
                <w:lang w:val="en-MY"/>
              </w:rPr>
              <w:t>1</w:t>
            </w:r>
          </w:p>
        </w:tc>
        <w:tc>
          <w:tcPr>
            <w:tcW w:w="584" w:type="pct"/>
            <w:tcBorders>
              <w:top w:val="single" w:sz="4" w:space="0" w:color="auto"/>
            </w:tcBorders>
          </w:tcPr>
          <w:p w14:paraId="2821DF0B" w14:textId="7BE3AEDD"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Borders>
              <w:top w:val="single" w:sz="4" w:space="0" w:color="auto"/>
            </w:tcBorders>
          </w:tcPr>
          <w:p w14:paraId="36766E15" w14:textId="5356085C"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0.01*</w:t>
            </w:r>
          </w:p>
        </w:tc>
        <w:tc>
          <w:tcPr>
            <w:tcW w:w="832" w:type="pct"/>
            <w:tcBorders>
              <w:top w:val="single" w:sz="4" w:space="0" w:color="auto"/>
            </w:tcBorders>
          </w:tcPr>
          <w:p w14:paraId="7869E13C" w14:textId="1EB009F6"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-0.52</w:t>
            </w:r>
          </w:p>
        </w:tc>
      </w:tr>
      <w:tr w:rsidR="00EA644E" w:rsidRPr="009D4627" w14:paraId="3FD557AF" w14:textId="77777777" w:rsidTr="001B404A">
        <w:trPr>
          <w:jc w:val="center"/>
        </w:trPr>
        <w:tc>
          <w:tcPr>
            <w:tcW w:w="1392" w:type="pct"/>
          </w:tcPr>
          <w:p w14:paraId="4984319D" w14:textId="77777777"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RMSE_0.4 Hz</w:t>
            </w:r>
          </w:p>
        </w:tc>
        <w:tc>
          <w:tcPr>
            <w:tcW w:w="718" w:type="pct"/>
          </w:tcPr>
          <w:p w14:paraId="6F703032" w14:textId="655A9E49"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1.42</w:t>
            </w:r>
          </w:p>
        </w:tc>
        <w:tc>
          <w:tcPr>
            <w:tcW w:w="703" w:type="pct"/>
          </w:tcPr>
          <w:p w14:paraId="3DF5D80A" w14:textId="5EB26AC3"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-2.</w:t>
            </w:r>
            <w:r w:rsidR="00B235EF" w:rsidRPr="009D4627">
              <w:rPr>
                <w:color w:val="010205"/>
                <w:sz w:val="22"/>
                <w:szCs w:val="22"/>
                <w:lang w:val="en-MY"/>
              </w:rPr>
              <w:t>20</w:t>
            </w:r>
          </w:p>
        </w:tc>
        <w:tc>
          <w:tcPr>
            <w:tcW w:w="584" w:type="pct"/>
          </w:tcPr>
          <w:p w14:paraId="1B6DC470" w14:textId="4F5F283B"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Pr>
          <w:p w14:paraId="5D15B721" w14:textId="1C70275D"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0.06</w:t>
            </w:r>
          </w:p>
        </w:tc>
        <w:tc>
          <w:tcPr>
            <w:tcW w:w="832" w:type="pct"/>
          </w:tcPr>
          <w:p w14:paraId="251F60E8" w14:textId="0D31EBEB"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-0.32</w:t>
            </w:r>
          </w:p>
        </w:tc>
      </w:tr>
      <w:tr w:rsidR="00EA644E" w:rsidRPr="009D4627" w14:paraId="14759166" w14:textId="77777777" w:rsidTr="001B404A">
        <w:trPr>
          <w:jc w:val="center"/>
        </w:trPr>
        <w:tc>
          <w:tcPr>
            <w:tcW w:w="1392" w:type="pct"/>
          </w:tcPr>
          <w:p w14:paraId="76919F46" w14:textId="77777777"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RMSE_0.6 Hz</w:t>
            </w:r>
          </w:p>
        </w:tc>
        <w:tc>
          <w:tcPr>
            <w:tcW w:w="718" w:type="pct"/>
          </w:tcPr>
          <w:p w14:paraId="4B98444E" w14:textId="63CCD859"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1.85</w:t>
            </w:r>
          </w:p>
        </w:tc>
        <w:tc>
          <w:tcPr>
            <w:tcW w:w="703" w:type="pct"/>
          </w:tcPr>
          <w:p w14:paraId="2B813230" w14:textId="75054124"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0.3</w:t>
            </w:r>
            <w:r w:rsidR="00B235EF" w:rsidRPr="009D4627">
              <w:rPr>
                <w:color w:val="010205"/>
                <w:sz w:val="22"/>
                <w:szCs w:val="22"/>
                <w:lang w:val="en-MY"/>
              </w:rPr>
              <w:t>4</w:t>
            </w:r>
          </w:p>
        </w:tc>
        <w:tc>
          <w:tcPr>
            <w:tcW w:w="584" w:type="pct"/>
          </w:tcPr>
          <w:p w14:paraId="166F2AB7" w14:textId="2046A5B3"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Pr>
          <w:p w14:paraId="41C668B3" w14:textId="059DD442"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0.75</w:t>
            </w:r>
          </w:p>
        </w:tc>
        <w:tc>
          <w:tcPr>
            <w:tcW w:w="832" w:type="pct"/>
          </w:tcPr>
          <w:p w14:paraId="73AB7A09" w14:textId="2C2A99F8"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0.10</w:t>
            </w:r>
          </w:p>
        </w:tc>
      </w:tr>
      <w:tr w:rsidR="00EA644E" w:rsidRPr="009D4627" w14:paraId="7408F2FB" w14:textId="77777777" w:rsidTr="001B404A">
        <w:trPr>
          <w:jc w:val="center"/>
        </w:trPr>
        <w:tc>
          <w:tcPr>
            <w:tcW w:w="1392" w:type="pct"/>
            <w:tcBorders>
              <w:bottom w:val="single" w:sz="4" w:space="0" w:color="auto"/>
            </w:tcBorders>
          </w:tcPr>
          <w:p w14:paraId="7D57BFB5" w14:textId="77777777"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RMSE_0.8 Hz</w:t>
            </w:r>
          </w:p>
        </w:tc>
        <w:tc>
          <w:tcPr>
            <w:tcW w:w="718" w:type="pct"/>
            <w:tcBorders>
              <w:bottom w:val="single" w:sz="4" w:space="0" w:color="auto"/>
            </w:tcBorders>
          </w:tcPr>
          <w:p w14:paraId="2A6271CD" w14:textId="5570E6F9" w:rsidR="00EA644E" w:rsidRPr="009D4627" w:rsidRDefault="00EA644E" w:rsidP="00EA644E">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2.11</w:t>
            </w:r>
          </w:p>
        </w:tc>
        <w:tc>
          <w:tcPr>
            <w:tcW w:w="703" w:type="pct"/>
            <w:tcBorders>
              <w:bottom w:val="single" w:sz="4" w:space="0" w:color="auto"/>
            </w:tcBorders>
          </w:tcPr>
          <w:p w14:paraId="1DB48072" w14:textId="6CC4AFAF"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1.5</w:t>
            </w:r>
            <w:r w:rsidR="00B235EF" w:rsidRPr="009D4627">
              <w:rPr>
                <w:color w:val="010205"/>
                <w:sz w:val="22"/>
                <w:szCs w:val="22"/>
                <w:lang w:val="en-MY"/>
              </w:rPr>
              <w:t>1</w:t>
            </w:r>
          </w:p>
        </w:tc>
        <w:tc>
          <w:tcPr>
            <w:tcW w:w="584" w:type="pct"/>
            <w:tcBorders>
              <w:bottom w:val="single" w:sz="4" w:space="0" w:color="auto"/>
            </w:tcBorders>
          </w:tcPr>
          <w:p w14:paraId="30B04705" w14:textId="721C6A02" w:rsidR="00EA644E" w:rsidRPr="009D4627" w:rsidRDefault="00EA644E"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Borders>
              <w:bottom w:val="single" w:sz="4" w:space="0" w:color="auto"/>
            </w:tcBorders>
          </w:tcPr>
          <w:p w14:paraId="75A147BB" w14:textId="724915E7"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0.17</w:t>
            </w:r>
          </w:p>
        </w:tc>
        <w:tc>
          <w:tcPr>
            <w:tcW w:w="832" w:type="pct"/>
            <w:tcBorders>
              <w:bottom w:val="single" w:sz="4" w:space="0" w:color="auto"/>
            </w:tcBorders>
          </w:tcPr>
          <w:p w14:paraId="4749C49F" w14:textId="4191234C" w:rsidR="00EA644E" w:rsidRPr="009D4627" w:rsidRDefault="00EA644E" w:rsidP="00EA644E">
            <w:pPr>
              <w:spacing w:before="0" w:after="0" w:line="360" w:lineRule="auto"/>
              <w:rPr>
                <w:rFonts w:eastAsia="Times New Roman"/>
                <w:color w:val="auto"/>
                <w:sz w:val="22"/>
                <w:szCs w:val="22"/>
                <w:lang w:eastAsia="en-MY"/>
              </w:rPr>
            </w:pPr>
            <w:r w:rsidRPr="009D4627">
              <w:rPr>
                <w:color w:val="010205"/>
                <w:sz w:val="22"/>
                <w:szCs w:val="22"/>
                <w:lang w:val="en-MY"/>
              </w:rPr>
              <w:t>0.41</w:t>
            </w:r>
          </w:p>
        </w:tc>
      </w:tr>
      <w:tr w:rsidR="009B6A74" w:rsidRPr="009D4627" w14:paraId="2A4A7103" w14:textId="77777777" w:rsidTr="001B404A">
        <w:trPr>
          <w:jc w:val="center"/>
        </w:trPr>
        <w:tc>
          <w:tcPr>
            <w:tcW w:w="1392" w:type="pct"/>
            <w:tcBorders>
              <w:top w:val="single" w:sz="4" w:space="0" w:color="auto"/>
            </w:tcBorders>
          </w:tcPr>
          <w:p w14:paraId="165E849E" w14:textId="77777777"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Duration_0.2 Hz</w:t>
            </w:r>
          </w:p>
        </w:tc>
        <w:tc>
          <w:tcPr>
            <w:tcW w:w="718" w:type="pct"/>
            <w:tcBorders>
              <w:top w:val="single" w:sz="4" w:space="0" w:color="auto"/>
            </w:tcBorders>
          </w:tcPr>
          <w:p w14:paraId="43125792" w14:textId="5B55411B"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453</w:t>
            </w:r>
          </w:p>
        </w:tc>
        <w:tc>
          <w:tcPr>
            <w:tcW w:w="703" w:type="pct"/>
            <w:tcBorders>
              <w:top w:val="single" w:sz="4" w:space="0" w:color="auto"/>
            </w:tcBorders>
          </w:tcPr>
          <w:p w14:paraId="31B66264" w14:textId="039CB7E5"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2.59</w:t>
            </w:r>
          </w:p>
        </w:tc>
        <w:tc>
          <w:tcPr>
            <w:tcW w:w="584" w:type="pct"/>
            <w:tcBorders>
              <w:top w:val="single" w:sz="4" w:space="0" w:color="auto"/>
            </w:tcBorders>
          </w:tcPr>
          <w:p w14:paraId="3CE974D0" w14:textId="520550F0"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Borders>
              <w:top w:val="single" w:sz="4" w:space="0" w:color="auto"/>
            </w:tcBorders>
          </w:tcPr>
          <w:p w14:paraId="63332B46" w14:textId="44B3A05F"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0.04*</w:t>
            </w:r>
          </w:p>
        </w:tc>
        <w:tc>
          <w:tcPr>
            <w:tcW w:w="832" w:type="pct"/>
            <w:tcBorders>
              <w:top w:val="single" w:sz="4" w:space="0" w:color="auto"/>
            </w:tcBorders>
          </w:tcPr>
          <w:p w14:paraId="3D1002DB" w14:textId="6A248002"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59.88</w:t>
            </w:r>
          </w:p>
        </w:tc>
      </w:tr>
      <w:tr w:rsidR="009B6A74" w:rsidRPr="009D4627" w14:paraId="42D2ABDB" w14:textId="77777777" w:rsidTr="001B404A">
        <w:trPr>
          <w:jc w:val="center"/>
        </w:trPr>
        <w:tc>
          <w:tcPr>
            <w:tcW w:w="1392" w:type="pct"/>
          </w:tcPr>
          <w:p w14:paraId="04DE57AF" w14:textId="77777777"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 _0.4 Hz</w:t>
            </w:r>
          </w:p>
        </w:tc>
        <w:tc>
          <w:tcPr>
            <w:tcW w:w="718" w:type="pct"/>
          </w:tcPr>
          <w:p w14:paraId="60D69503" w14:textId="5A6ADA9B"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307</w:t>
            </w:r>
          </w:p>
        </w:tc>
        <w:tc>
          <w:tcPr>
            <w:tcW w:w="703" w:type="pct"/>
          </w:tcPr>
          <w:p w14:paraId="231F7606" w14:textId="3F440060"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2.9</w:t>
            </w:r>
            <w:r w:rsidR="00B235EF" w:rsidRPr="009D4627">
              <w:rPr>
                <w:color w:val="010205"/>
                <w:sz w:val="22"/>
                <w:szCs w:val="22"/>
                <w:lang w:val="en-MY"/>
              </w:rPr>
              <w:t>5</w:t>
            </w:r>
          </w:p>
        </w:tc>
        <w:tc>
          <w:tcPr>
            <w:tcW w:w="584" w:type="pct"/>
          </w:tcPr>
          <w:p w14:paraId="08FF872B" w14:textId="6F2C3AF2"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Pr>
          <w:p w14:paraId="4DF13EEF" w14:textId="3AE3305E"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0.02*</w:t>
            </w:r>
          </w:p>
        </w:tc>
        <w:tc>
          <w:tcPr>
            <w:tcW w:w="832" w:type="pct"/>
          </w:tcPr>
          <w:p w14:paraId="3B082726" w14:textId="65CADCE7"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162.25</w:t>
            </w:r>
          </w:p>
        </w:tc>
      </w:tr>
      <w:tr w:rsidR="009B6A74" w:rsidRPr="009D4627" w14:paraId="6244CF03" w14:textId="77777777" w:rsidTr="001B404A">
        <w:trPr>
          <w:jc w:val="center"/>
        </w:trPr>
        <w:tc>
          <w:tcPr>
            <w:tcW w:w="1392" w:type="pct"/>
          </w:tcPr>
          <w:p w14:paraId="2717BC3D" w14:textId="77777777"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 _0.6 Hz</w:t>
            </w:r>
          </w:p>
        </w:tc>
        <w:tc>
          <w:tcPr>
            <w:tcW w:w="718" w:type="pct"/>
          </w:tcPr>
          <w:p w14:paraId="549D352B" w14:textId="73A125F8"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245</w:t>
            </w:r>
          </w:p>
        </w:tc>
        <w:tc>
          <w:tcPr>
            <w:tcW w:w="703" w:type="pct"/>
          </w:tcPr>
          <w:p w14:paraId="2E0D97A0" w14:textId="556A7EB2"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3.70</w:t>
            </w:r>
          </w:p>
        </w:tc>
        <w:tc>
          <w:tcPr>
            <w:tcW w:w="584" w:type="pct"/>
          </w:tcPr>
          <w:p w14:paraId="5A7EA945" w14:textId="4AFD0903"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Pr>
          <w:p w14:paraId="4830953B" w14:textId="684F935A"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&lt;0.05*</w:t>
            </w:r>
          </w:p>
        </w:tc>
        <w:tc>
          <w:tcPr>
            <w:tcW w:w="832" w:type="pct"/>
          </w:tcPr>
          <w:p w14:paraId="0AD9D81F" w14:textId="4FD4C6AD"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217.88</w:t>
            </w:r>
          </w:p>
        </w:tc>
      </w:tr>
      <w:tr w:rsidR="009B6A74" w:rsidRPr="009D4627" w14:paraId="0B1716AF" w14:textId="77777777" w:rsidTr="001B404A">
        <w:trPr>
          <w:jc w:val="center"/>
        </w:trPr>
        <w:tc>
          <w:tcPr>
            <w:tcW w:w="1392" w:type="pct"/>
            <w:tcBorders>
              <w:bottom w:val="single" w:sz="4" w:space="0" w:color="auto"/>
            </w:tcBorders>
          </w:tcPr>
          <w:p w14:paraId="04C6974F" w14:textId="77777777"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Duration _0.8 Hz</w:t>
            </w:r>
          </w:p>
        </w:tc>
        <w:tc>
          <w:tcPr>
            <w:tcW w:w="718" w:type="pct"/>
            <w:tcBorders>
              <w:bottom w:val="single" w:sz="4" w:space="0" w:color="auto"/>
            </w:tcBorders>
          </w:tcPr>
          <w:p w14:paraId="51A776C8" w14:textId="0823A2DE" w:rsidR="009B6A74" w:rsidRPr="009D4627" w:rsidRDefault="009B6A74" w:rsidP="009B6A74">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215</w:t>
            </w:r>
          </w:p>
        </w:tc>
        <w:tc>
          <w:tcPr>
            <w:tcW w:w="703" w:type="pct"/>
            <w:tcBorders>
              <w:bottom w:val="single" w:sz="4" w:space="0" w:color="auto"/>
            </w:tcBorders>
          </w:tcPr>
          <w:p w14:paraId="2084C2A1" w14:textId="3A0507DE"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3.5</w:t>
            </w:r>
            <w:r w:rsidR="00B235EF" w:rsidRPr="009D4627">
              <w:rPr>
                <w:color w:val="010205"/>
                <w:sz w:val="22"/>
                <w:szCs w:val="22"/>
                <w:lang w:val="en-MY"/>
              </w:rPr>
              <w:t>2</w:t>
            </w:r>
          </w:p>
        </w:tc>
        <w:tc>
          <w:tcPr>
            <w:tcW w:w="584" w:type="pct"/>
            <w:tcBorders>
              <w:bottom w:val="single" w:sz="4" w:space="0" w:color="auto"/>
            </w:tcBorders>
          </w:tcPr>
          <w:p w14:paraId="202B6A84" w14:textId="62BC19A6" w:rsidR="009B6A74" w:rsidRPr="009D4627" w:rsidRDefault="009B6A74" w:rsidP="00974B3E">
            <w:pPr>
              <w:spacing w:before="0" w:after="0" w:line="360" w:lineRule="auto"/>
              <w:jc w:val="center"/>
              <w:rPr>
                <w:rFonts w:eastAsia="Times New Roman"/>
                <w:color w:val="auto"/>
                <w:sz w:val="22"/>
                <w:szCs w:val="22"/>
                <w:lang w:eastAsia="en-MY"/>
              </w:rPr>
            </w:pPr>
            <w:r w:rsidRPr="009D4627">
              <w:rPr>
                <w:color w:val="010205"/>
                <w:sz w:val="22"/>
                <w:szCs w:val="22"/>
                <w:lang w:val="en-MY"/>
              </w:rPr>
              <w:t>7</w:t>
            </w:r>
          </w:p>
        </w:tc>
        <w:tc>
          <w:tcPr>
            <w:tcW w:w="771" w:type="pct"/>
            <w:tcBorders>
              <w:bottom w:val="single" w:sz="4" w:space="0" w:color="auto"/>
            </w:tcBorders>
          </w:tcPr>
          <w:p w14:paraId="3CA1FD21" w14:textId="74F29282"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0.01*</w:t>
            </w:r>
          </w:p>
        </w:tc>
        <w:tc>
          <w:tcPr>
            <w:tcW w:w="832" w:type="pct"/>
            <w:tcBorders>
              <w:bottom w:val="single" w:sz="4" w:space="0" w:color="auto"/>
            </w:tcBorders>
          </w:tcPr>
          <w:p w14:paraId="2D78B727" w14:textId="2069DEBF" w:rsidR="009B6A74" w:rsidRPr="009D4627" w:rsidRDefault="009B6A74" w:rsidP="009B6A74">
            <w:pPr>
              <w:spacing w:before="0" w:after="0" w:line="360" w:lineRule="auto"/>
              <w:rPr>
                <w:rFonts w:eastAsia="Times New Roman"/>
                <w:color w:val="auto"/>
                <w:sz w:val="22"/>
                <w:szCs w:val="22"/>
                <w:lang w:eastAsia="en-MY"/>
              </w:rPr>
            </w:pPr>
            <w:r w:rsidRPr="009D4627">
              <w:rPr>
                <w:color w:val="010205"/>
                <w:sz w:val="22"/>
                <w:szCs w:val="22"/>
                <w:lang w:val="en-MY"/>
              </w:rPr>
              <w:t>212.13</w:t>
            </w:r>
          </w:p>
        </w:tc>
      </w:tr>
    </w:tbl>
    <w:p w14:paraId="0FCDDDF1" w14:textId="7027FD9D" w:rsidR="00C52574" w:rsidRDefault="00EA644E" w:rsidP="001B404A">
      <w:pPr>
        <w:spacing w:before="0" w:after="0" w:line="240" w:lineRule="auto"/>
        <w:jc w:val="center"/>
        <w:rPr>
          <w:color w:val="auto"/>
        </w:rPr>
      </w:pPr>
      <w:r w:rsidRPr="009D4627">
        <w:rPr>
          <w:rFonts w:eastAsia="Times New Roman"/>
          <w:color w:val="auto"/>
          <w:lang w:eastAsia="en-MY"/>
        </w:rPr>
        <w:t>*</w:t>
      </w:r>
      <w:r w:rsidR="00C52574" w:rsidRPr="009D4627">
        <w:rPr>
          <w:color w:val="auto"/>
        </w:rPr>
        <w:t xml:space="preserve">Data are significant at </w:t>
      </w:r>
      <w:r w:rsidR="00C52574" w:rsidRPr="001B404A">
        <w:rPr>
          <w:i/>
          <w:iCs/>
          <w:color w:val="auto"/>
        </w:rPr>
        <w:t>p</w:t>
      </w:r>
      <w:r w:rsidR="00C52574" w:rsidRPr="009D4627">
        <w:rPr>
          <w:color w:val="auto"/>
        </w:rPr>
        <w:t>&lt;0.05</w:t>
      </w:r>
    </w:p>
    <w:p w14:paraId="493962D3" w14:textId="39911CFB" w:rsidR="001B404A" w:rsidRPr="009D4627" w:rsidRDefault="001B404A" w:rsidP="001B404A">
      <w:pPr>
        <w:spacing w:before="0" w:after="0"/>
        <w:jc w:val="left"/>
        <w:rPr>
          <w:i/>
          <w:iCs/>
          <w:color w:val="auto"/>
        </w:rPr>
      </w:pPr>
      <w:r w:rsidRPr="001B404A">
        <w:rPr>
          <w:rFonts w:eastAsia="Times New Roman"/>
          <w:i/>
          <w:iCs/>
          <w:color w:val="auto"/>
          <w:lang w:eastAsia="en-MY"/>
        </w:rPr>
        <w:t>Note.</w:t>
      </w:r>
      <w:r w:rsidRPr="009D4627">
        <w:rPr>
          <w:rFonts w:eastAsia="Times New Roman"/>
          <w:color w:val="auto"/>
          <w:lang w:eastAsia="en-MY"/>
        </w:rPr>
        <w:t xml:space="preserve"> Test value = mean of the control group</w:t>
      </w:r>
    </w:p>
    <w:p w14:paraId="26378B14" w14:textId="77777777" w:rsidR="009B6A74" w:rsidRPr="009D4627" w:rsidRDefault="009B6A74" w:rsidP="009B6A74">
      <w:pPr>
        <w:autoSpaceDE w:val="0"/>
        <w:autoSpaceDN w:val="0"/>
        <w:adjustRightInd w:val="0"/>
        <w:spacing w:before="0" w:after="0" w:line="400" w:lineRule="atLeast"/>
        <w:jc w:val="left"/>
        <w:rPr>
          <w:color w:val="auto"/>
          <w:lang w:val="en-MY"/>
        </w:rPr>
      </w:pPr>
    </w:p>
    <w:p w14:paraId="04D5C4AC" w14:textId="10ECC36F" w:rsidR="004238D5" w:rsidRPr="009D4627" w:rsidRDefault="00CA2B78" w:rsidP="00DC4CA6">
      <w:pPr>
        <w:pStyle w:val="Heading3"/>
      </w:pPr>
      <w:bookmarkStart w:id="520" w:name="_Toc98964722"/>
      <w:bookmarkStart w:id="521" w:name="_Toc103344764"/>
      <w:bookmarkEnd w:id="508"/>
      <w:r w:rsidRPr="009D4627">
        <w:t>Horizontal saccadic eye movements of ONP patients</w:t>
      </w:r>
      <w:bookmarkStart w:id="522" w:name="_Hlk94194790"/>
      <w:bookmarkEnd w:id="520"/>
      <w:bookmarkEnd w:id="521"/>
    </w:p>
    <w:p w14:paraId="267B8E83" w14:textId="1151148B" w:rsidR="0033446A" w:rsidRPr="009D4627" w:rsidRDefault="00B8383D" w:rsidP="00463B0C">
      <w:pPr>
        <w:pStyle w:val="CommentText"/>
        <w:rPr>
          <w:sz w:val="24"/>
          <w:szCs w:val="24"/>
        </w:rPr>
      </w:pPr>
      <w:r w:rsidRPr="009D4627">
        <w:rPr>
          <w:sz w:val="24"/>
          <w:szCs w:val="24"/>
        </w:rPr>
        <w:t xml:space="preserve">A patient with CN III or IV palsies has the greatest horizontal deficit in the adducted position. In contrast, CN VI palsy patient has the most severe horizontal deficits in abducted eye posture. </w:t>
      </w:r>
      <w:r w:rsidR="00F64D88" w:rsidRPr="009D4627">
        <w:rPr>
          <w:sz w:val="24"/>
          <w:szCs w:val="24"/>
        </w:rPr>
        <w:t>The saccadic eye movement behaviours of</w:t>
      </w:r>
      <w:r w:rsidR="00160B34">
        <w:rPr>
          <w:sz w:val="24"/>
          <w:szCs w:val="24"/>
        </w:rPr>
        <w:t xml:space="preserve"> the</w:t>
      </w:r>
      <w:r w:rsidR="00D23897">
        <w:rPr>
          <w:sz w:val="24"/>
          <w:szCs w:val="24"/>
        </w:rPr>
        <w:t xml:space="preserve"> </w:t>
      </w:r>
      <w:r w:rsidR="00F64D88" w:rsidRPr="009D4627">
        <w:rPr>
          <w:sz w:val="24"/>
          <w:szCs w:val="24"/>
        </w:rPr>
        <w:t>affected and unaffected eyes going toward</w:t>
      </w:r>
      <w:r w:rsidR="00160B34">
        <w:rPr>
          <w:sz w:val="24"/>
          <w:szCs w:val="24"/>
        </w:rPr>
        <w:t xml:space="preserve"> the</w:t>
      </w:r>
      <w:r w:rsidR="00D23897">
        <w:rPr>
          <w:sz w:val="24"/>
          <w:szCs w:val="24"/>
        </w:rPr>
        <w:t xml:space="preserve"> </w:t>
      </w:r>
      <w:r w:rsidR="00F64D88" w:rsidRPr="009D4627">
        <w:rPr>
          <w:sz w:val="24"/>
          <w:szCs w:val="24"/>
        </w:rPr>
        <w:t xml:space="preserve">palsy and </w:t>
      </w:r>
      <w:r w:rsidR="00EA4EF3">
        <w:rPr>
          <w:sz w:val="24"/>
          <w:szCs w:val="24"/>
        </w:rPr>
        <w:t>unaffected</w:t>
      </w:r>
      <w:r w:rsidR="00F64D88" w:rsidRPr="009D4627">
        <w:rPr>
          <w:sz w:val="24"/>
          <w:szCs w:val="24"/>
        </w:rPr>
        <w:t xml:space="preserve"> gazes were compared using an </w:t>
      </w:r>
      <w:r w:rsidR="00393BEB">
        <w:rPr>
          <w:sz w:val="24"/>
          <w:szCs w:val="24"/>
        </w:rPr>
        <w:t>independent samples t-tests</w:t>
      </w:r>
      <w:r w:rsidR="00F64D88" w:rsidRPr="009D4627">
        <w:rPr>
          <w:sz w:val="24"/>
          <w:szCs w:val="24"/>
        </w:rPr>
        <w:t>.</w:t>
      </w:r>
      <w:r w:rsidR="00D91855" w:rsidRPr="009D4627">
        <w:rPr>
          <w:sz w:val="24"/>
          <w:szCs w:val="24"/>
        </w:rPr>
        <w:t xml:space="preserve"> </w:t>
      </w:r>
    </w:p>
    <w:p w14:paraId="56B73031" w14:textId="3D07A5E7" w:rsidR="00CD69ED" w:rsidRPr="009D4627" w:rsidRDefault="00393BEB" w:rsidP="00CA4E90">
      <w:pPr>
        <w:pStyle w:val="Heading4"/>
      </w:pPr>
      <w:bookmarkStart w:id="523" w:name="_Toc98964723"/>
      <w:bookmarkStart w:id="524" w:name="_Toc103344765"/>
      <w:r>
        <w:rPr>
          <w:lang w:eastAsia="en-MY"/>
        </w:rPr>
        <w:t>Independent samples t-tests</w:t>
      </w:r>
      <w:r w:rsidR="00CD69ED" w:rsidRPr="009D4627">
        <w:rPr>
          <w:lang w:eastAsia="en-MY"/>
        </w:rPr>
        <w:t xml:space="preserve"> comparing affected and unaffected eyes</w:t>
      </w:r>
      <w:bookmarkEnd w:id="523"/>
      <w:bookmarkEnd w:id="524"/>
    </w:p>
    <w:p w14:paraId="7DAF76CA" w14:textId="158C08BA" w:rsidR="00FE0726" w:rsidRPr="009D4627" w:rsidRDefault="00F64D88" w:rsidP="00E804CF">
      <w:pPr>
        <w:spacing w:after="0"/>
        <w:rPr>
          <w:lang w:eastAsia="en-MY"/>
        </w:rPr>
      </w:pPr>
      <w:r w:rsidRPr="009D4627">
        <w:t>P</w:t>
      </w:r>
      <w:r w:rsidR="00826D0C" w:rsidRPr="009D4627">
        <w:t xml:space="preserve">atients with CN III and CN VI palsies had considerably increased horizontal saccadic latency on the affected eye, particularly when the eyes moved rapidly toward the palsy gaze. </w:t>
      </w:r>
      <w:r w:rsidR="00826D0C" w:rsidRPr="009D4627">
        <w:lastRenderedPageBreak/>
        <w:t xml:space="preserve">Conversely, there was no significant change in horizontal saccadic latency between the two eyes in patients with CN IV palsy. Additionally, the data demonstrated a significant drop in peak velocity on the affected eyes when patients with CN III and CN VI palsy moved the eyes quickly to palsy gazes. However, the findings were not statistically significant for a CN IV patient's peak velocity between the two eyes. </w:t>
      </w:r>
      <w:r w:rsidR="003332A0" w:rsidRPr="009D4627">
        <w:t xml:space="preserve">In addition, in CN III and VI patients, the affected eyes' saccadic gain decreased significantly by </w:t>
      </w:r>
      <w:r w:rsidR="00D80405" w:rsidRPr="009D4627">
        <w:t>≈</w:t>
      </w:r>
      <w:r w:rsidR="003332A0" w:rsidRPr="009D4627">
        <w:t>0.2 compared to the unaffected eyes when moving towards palsy gaze.</w:t>
      </w:r>
      <w:r w:rsidR="00D80405" w:rsidRPr="009D4627">
        <w:t xml:space="preserve"> </w:t>
      </w:r>
      <w:r w:rsidR="006D0C47" w:rsidRPr="009D4627">
        <w:t xml:space="preserve">Although CN IV palsy was demonstrated with reduced saccadic gain on the affected eye by a smaller amount, the difference between the two eyes was statistically significant. </w:t>
      </w:r>
      <w:r w:rsidR="008523A5" w:rsidRPr="009D4627">
        <w:rPr>
          <w:lang w:eastAsia="en-MY"/>
        </w:rPr>
        <w:t>Table 5.</w:t>
      </w:r>
      <w:r w:rsidR="004B4F56" w:rsidRPr="009D4627">
        <w:rPr>
          <w:lang w:eastAsia="en-MY"/>
        </w:rPr>
        <w:t>8</w:t>
      </w:r>
      <w:r w:rsidR="008523A5" w:rsidRPr="009D4627">
        <w:rPr>
          <w:lang w:eastAsia="en-MY"/>
        </w:rPr>
        <w:t xml:space="preserve"> summarises the results of the </w:t>
      </w:r>
      <w:r w:rsidR="00393BEB">
        <w:rPr>
          <w:lang w:eastAsia="en-MY"/>
        </w:rPr>
        <w:t>independent samples t-tests</w:t>
      </w:r>
      <w:r w:rsidR="008523A5" w:rsidRPr="009D4627">
        <w:rPr>
          <w:lang w:eastAsia="en-MY"/>
        </w:rPr>
        <w:t xml:space="preserve"> for horizontal saccadic findings in this study.</w:t>
      </w:r>
    </w:p>
    <w:p w14:paraId="1516E913" w14:textId="73313235" w:rsidR="00CC0CCA" w:rsidRPr="009D4627" w:rsidRDefault="00A0582F" w:rsidP="00C4130D">
      <w:pPr>
        <w:pStyle w:val="Caption"/>
      </w:pPr>
      <w:bookmarkStart w:id="525" w:name="_Toc99378022"/>
      <w:bookmarkStart w:id="526" w:name="_Hlk96792710"/>
      <w:r w:rsidRPr="009D4627">
        <w:t>Table 5.</w:t>
      </w:r>
      <w:r w:rsidR="00265A46">
        <w:fldChar w:fldCharType="begin"/>
      </w:r>
      <w:r w:rsidR="00265A46">
        <w:instrText xml:space="preserve"> SEQ Table_5. \* ARABIC </w:instrText>
      </w:r>
      <w:r w:rsidR="00265A46">
        <w:fldChar w:fldCharType="separate"/>
      </w:r>
      <w:r w:rsidR="00E268F6">
        <w:rPr>
          <w:noProof/>
        </w:rPr>
        <w:t>8</w:t>
      </w:r>
      <w:r w:rsidR="00265A46">
        <w:rPr>
          <w:noProof/>
        </w:rPr>
        <w:fldChar w:fldCharType="end"/>
      </w:r>
      <w:r w:rsidRPr="009D4627">
        <w:t xml:space="preserve">: </w:t>
      </w:r>
      <w:r w:rsidR="00393BEB" w:rsidRPr="009D4627">
        <w:t xml:space="preserve">The </w:t>
      </w:r>
      <w:r w:rsidR="00393BEB">
        <w:t>horizontal</w:t>
      </w:r>
      <w:r w:rsidR="00393BEB" w:rsidRPr="009D4627">
        <w:t xml:space="preserve"> saccadic latencies, peak velocity, and gain of</w:t>
      </w:r>
      <w:r w:rsidR="00393BEB">
        <w:t xml:space="preserve"> the </w:t>
      </w:r>
      <w:r w:rsidR="00393BEB" w:rsidRPr="009D4627">
        <w:t xml:space="preserve">affected and unaffected eyes were compared using an </w:t>
      </w:r>
      <w:r w:rsidR="00393BEB">
        <w:t>independent samples t-tests</w:t>
      </w:r>
      <w:r w:rsidR="00393BEB" w:rsidRPr="009D4627">
        <w:t>.</w:t>
      </w:r>
      <w:bookmarkEnd w:id="525"/>
    </w:p>
    <w:tbl>
      <w:tblPr>
        <w:tblW w:w="5000" w:type="pct"/>
        <w:tblLook w:val="04A0" w:firstRow="1" w:lastRow="0" w:firstColumn="1" w:lastColumn="0" w:noHBand="0" w:noVBand="1"/>
      </w:tblPr>
      <w:tblGrid>
        <w:gridCol w:w="948"/>
        <w:gridCol w:w="1782"/>
        <w:gridCol w:w="2145"/>
        <w:gridCol w:w="2036"/>
        <w:gridCol w:w="1025"/>
        <w:gridCol w:w="1090"/>
      </w:tblGrid>
      <w:tr w:rsidR="00F9566F" w:rsidRPr="009D4627" w14:paraId="021157EB" w14:textId="64F0D500" w:rsidTr="0062282C">
        <w:trPr>
          <w:trHeight w:val="351"/>
        </w:trPr>
        <w:tc>
          <w:tcPr>
            <w:tcW w:w="5000" w:type="pct"/>
            <w:gridSpan w:val="6"/>
            <w:tcBorders>
              <w:top w:val="single" w:sz="4" w:space="0" w:color="auto"/>
              <w:bottom w:val="single" w:sz="4" w:space="0" w:color="auto"/>
            </w:tcBorders>
            <w:shd w:val="clear" w:color="auto" w:fill="auto"/>
            <w:hideMark/>
          </w:tcPr>
          <w:p w14:paraId="06283B25" w14:textId="6E3B0DB2" w:rsidR="00F9566F" w:rsidRPr="009D4627" w:rsidRDefault="004B4F56" w:rsidP="00CF7FAB">
            <w:pPr>
              <w:spacing w:before="0" w:after="0" w:line="240" w:lineRule="auto"/>
              <w:jc w:val="left"/>
              <w:rPr>
                <w:rFonts w:eastAsia="Times New Roman"/>
                <w:i/>
                <w:iCs/>
                <w:color w:val="000000"/>
                <w:lang w:val="en-MY" w:eastAsia="en-MY"/>
              </w:rPr>
            </w:pPr>
            <w:r w:rsidRPr="009D4627">
              <w:rPr>
                <w:rFonts w:eastAsia="Times New Roman"/>
                <w:i/>
                <w:iCs/>
                <w:color w:val="000000"/>
                <w:lang w:val="en-MY" w:eastAsia="en-MY"/>
              </w:rPr>
              <w:t>H</w:t>
            </w:r>
            <w:r w:rsidR="00FD77CD" w:rsidRPr="009D4627">
              <w:rPr>
                <w:rFonts w:eastAsia="Times New Roman"/>
                <w:i/>
                <w:iCs/>
                <w:color w:val="000000"/>
                <w:lang w:val="en-MY" w:eastAsia="en-MY"/>
              </w:rPr>
              <w:t xml:space="preserve">orizontal saccadic </w:t>
            </w:r>
            <w:r w:rsidR="00F9566F" w:rsidRPr="009D4627">
              <w:rPr>
                <w:rFonts w:eastAsia="Times New Roman"/>
                <w:i/>
                <w:iCs/>
                <w:color w:val="000000"/>
                <w:lang w:val="en-MY" w:eastAsia="en-MY"/>
              </w:rPr>
              <w:t>latency (</w:t>
            </w:r>
            <w:proofErr w:type="spellStart"/>
            <w:r w:rsidR="00F9566F" w:rsidRPr="009D4627">
              <w:rPr>
                <w:rFonts w:eastAsia="Times New Roman"/>
                <w:i/>
                <w:iCs/>
                <w:color w:val="000000"/>
                <w:lang w:val="en-MY" w:eastAsia="en-MY"/>
              </w:rPr>
              <w:t>ms</w:t>
            </w:r>
            <w:proofErr w:type="spellEnd"/>
            <w:r w:rsidR="00F9566F" w:rsidRPr="009D4627">
              <w:rPr>
                <w:rFonts w:eastAsia="Times New Roman"/>
                <w:i/>
                <w:iCs/>
                <w:color w:val="000000"/>
                <w:lang w:val="en-MY" w:eastAsia="en-MY"/>
              </w:rPr>
              <w:t>)</w:t>
            </w:r>
            <w:r w:rsidR="00D91855" w:rsidRPr="009D4627">
              <w:rPr>
                <w:rFonts w:eastAsia="Times New Roman"/>
                <w:i/>
                <w:iCs/>
                <w:color w:val="000000"/>
                <w:lang w:val="en-MY" w:eastAsia="en-MY"/>
              </w:rPr>
              <w:t xml:space="preserve"> </w:t>
            </w:r>
          </w:p>
        </w:tc>
      </w:tr>
      <w:tr w:rsidR="00DE43BD" w:rsidRPr="009D4627" w14:paraId="75B3A723" w14:textId="77777777" w:rsidTr="0062282C">
        <w:trPr>
          <w:trHeight w:val="351"/>
        </w:trPr>
        <w:tc>
          <w:tcPr>
            <w:tcW w:w="563" w:type="pct"/>
            <w:tcBorders>
              <w:top w:val="single" w:sz="4" w:space="0" w:color="auto"/>
              <w:bottom w:val="single" w:sz="4" w:space="0" w:color="auto"/>
            </w:tcBorders>
            <w:shd w:val="clear" w:color="auto" w:fill="auto"/>
            <w:noWrap/>
            <w:hideMark/>
          </w:tcPr>
          <w:p w14:paraId="6E668758" w14:textId="055788D0" w:rsidR="000A4332" w:rsidRPr="009D4627" w:rsidRDefault="000A4332" w:rsidP="00F9566F">
            <w:pPr>
              <w:spacing w:before="0" w:after="0" w:line="240" w:lineRule="auto"/>
              <w:jc w:val="center"/>
              <w:rPr>
                <w:rFonts w:eastAsia="Times New Roman"/>
                <w:color w:val="000000"/>
                <w:lang w:val="en-MY" w:eastAsia="en-MY"/>
              </w:rPr>
            </w:pPr>
          </w:p>
        </w:tc>
        <w:tc>
          <w:tcPr>
            <w:tcW w:w="800" w:type="pct"/>
            <w:tcBorders>
              <w:top w:val="single" w:sz="4" w:space="0" w:color="auto"/>
              <w:bottom w:val="single" w:sz="4" w:space="0" w:color="auto"/>
            </w:tcBorders>
            <w:shd w:val="clear" w:color="auto" w:fill="auto"/>
          </w:tcPr>
          <w:p w14:paraId="6E6324EB" w14:textId="7B3D1583" w:rsidR="000A4332" w:rsidRPr="009D4627" w:rsidRDefault="000A4332" w:rsidP="00CF7FAB">
            <w:pPr>
              <w:spacing w:before="0" w:after="0" w:line="240" w:lineRule="auto"/>
              <w:jc w:val="left"/>
              <w:rPr>
                <w:rFonts w:eastAsia="Times New Roman"/>
                <w:color w:val="000000"/>
                <w:lang w:val="en-MY" w:eastAsia="en-MY"/>
              </w:rPr>
            </w:pPr>
          </w:p>
        </w:tc>
        <w:tc>
          <w:tcPr>
            <w:tcW w:w="1226" w:type="pct"/>
            <w:tcBorders>
              <w:top w:val="single" w:sz="4" w:space="0" w:color="auto"/>
              <w:bottom w:val="single" w:sz="4" w:space="0" w:color="auto"/>
            </w:tcBorders>
            <w:shd w:val="clear" w:color="auto" w:fill="auto"/>
            <w:noWrap/>
            <w:hideMark/>
          </w:tcPr>
          <w:p w14:paraId="6C8C3624" w14:textId="1E97521A" w:rsidR="005A6B66" w:rsidRPr="009D4627" w:rsidRDefault="000A4332" w:rsidP="00CA549A">
            <w:pPr>
              <w:spacing w:before="0" w:after="0" w:line="240" w:lineRule="auto"/>
              <w:jc w:val="center"/>
              <w:rPr>
                <w:rFonts w:eastAsia="Times New Roman"/>
                <w:b/>
                <w:bCs/>
                <w:color w:val="000000"/>
                <w:lang w:val="en-MY" w:eastAsia="en-MY"/>
              </w:rPr>
            </w:pPr>
            <w:r w:rsidRPr="009D4627">
              <w:rPr>
                <w:rFonts w:eastAsia="Times New Roman"/>
                <w:b/>
                <w:bCs/>
                <w:color w:val="000000"/>
                <w:lang w:val="en-MY" w:eastAsia="en-MY"/>
              </w:rPr>
              <w:t>Affected</w:t>
            </w:r>
            <w:r w:rsidR="00CA549A" w:rsidRPr="009D4627">
              <w:rPr>
                <w:rFonts w:eastAsia="Times New Roman"/>
                <w:b/>
                <w:bCs/>
                <w:color w:val="000000"/>
                <w:lang w:val="en-MY" w:eastAsia="en-MY"/>
              </w:rPr>
              <w:t xml:space="preserve"> </w:t>
            </w:r>
            <w:r w:rsidR="005A6B66" w:rsidRPr="009D4627">
              <w:rPr>
                <w:rFonts w:eastAsia="Times New Roman"/>
                <w:b/>
                <w:bCs/>
                <w:color w:val="000000"/>
                <w:lang w:val="en-MY" w:eastAsia="en-MY"/>
              </w:rPr>
              <w:t>eye</w:t>
            </w:r>
          </w:p>
        </w:tc>
        <w:tc>
          <w:tcPr>
            <w:tcW w:w="1165" w:type="pct"/>
            <w:tcBorders>
              <w:top w:val="single" w:sz="4" w:space="0" w:color="auto"/>
              <w:bottom w:val="single" w:sz="4" w:space="0" w:color="auto"/>
            </w:tcBorders>
            <w:shd w:val="clear" w:color="auto" w:fill="auto"/>
            <w:noWrap/>
            <w:hideMark/>
          </w:tcPr>
          <w:p w14:paraId="5A05FD23" w14:textId="60DBB478" w:rsidR="005A6B66" w:rsidRPr="009D4627" w:rsidRDefault="000A4332" w:rsidP="00CA549A">
            <w:pPr>
              <w:spacing w:before="0" w:after="0" w:line="240" w:lineRule="auto"/>
              <w:jc w:val="center"/>
              <w:rPr>
                <w:rFonts w:eastAsia="Times New Roman"/>
                <w:b/>
                <w:bCs/>
                <w:color w:val="000000"/>
                <w:lang w:val="en-MY" w:eastAsia="en-MY"/>
              </w:rPr>
            </w:pPr>
            <w:r w:rsidRPr="009D4627">
              <w:rPr>
                <w:rFonts w:eastAsia="Times New Roman"/>
                <w:b/>
                <w:bCs/>
                <w:color w:val="000000"/>
                <w:lang w:val="en-MY" w:eastAsia="en-MY"/>
              </w:rPr>
              <w:t>Unaffected</w:t>
            </w:r>
            <w:r w:rsidR="00CA549A" w:rsidRPr="009D4627">
              <w:rPr>
                <w:rFonts w:eastAsia="Times New Roman"/>
                <w:b/>
                <w:bCs/>
                <w:color w:val="000000"/>
                <w:lang w:val="en-MY" w:eastAsia="en-MY"/>
              </w:rPr>
              <w:t xml:space="preserve"> </w:t>
            </w:r>
            <w:r w:rsidR="005A6B66" w:rsidRPr="009D4627">
              <w:rPr>
                <w:rFonts w:eastAsia="Times New Roman"/>
                <w:b/>
                <w:bCs/>
                <w:color w:val="000000"/>
                <w:lang w:val="en-MY" w:eastAsia="en-MY"/>
              </w:rPr>
              <w:t>eye</w:t>
            </w:r>
          </w:p>
        </w:tc>
        <w:tc>
          <w:tcPr>
            <w:tcW w:w="605" w:type="pct"/>
            <w:tcBorders>
              <w:top w:val="single" w:sz="4" w:space="0" w:color="auto"/>
              <w:bottom w:val="single" w:sz="4" w:space="0" w:color="auto"/>
            </w:tcBorders>
          </w:tcPr>
          <w:p w14:paraId="6AE9726F" w14:textId="1D30FD3B" w:rsidR="000A4332" w:rsidRPr="009D4627" w:rsidRDefault="000A4332" w:rsidP="00F9566F">
            <w:pPr>
              <w:spacing w:before="0" w:after="0" w:line="240" w:lineRule="auto"/>
              <w:jc w:val="center"/>
              <w:rPr>
                <w:rFonts w:eastAsia="Times New Roman"/>
                <w:b/>
                <w:bCs/>
                <w:color w:val="000000"/>
                <w:lang w:val="en-MY" w:eastAsia="en-MY"/>
              </w:rPr>
            </w:pPr>
            <w:r w:rsidRPr="00974B3E">
              <w:rPr>
                <w:rFonts w:eastAsia="Times New Roman"/>
                <w:b/>
                <w:bCs/>
                <w:i/>
                <w:iCs/>
                <w:color w:val="000000"/>
                <w:lang w:val="en-MY" w:eastAsia="en-MY"/>
              </w:rPr>
              <w:t>t</w:t>
            </w:r>
            <w:r w:rsidRPr="009D4627">
              <w:rPr>
                <w:rFonts w:eastAsia="Times New Roman"/>
                <w:b/>
                <w:bCs/>
                <w:color w:val="000000"/>
                <w:lang w:val="en-MY" w:eastAsia="en-MY"/>
              </w:rPr>
              <w:t>-value</w:t>
            </w:r>
          </w:p>
        </w:tc>
        <w:tc>
          <w:tcPr>
            <w:tcW w:w="641" w:type="pct"/>
            <w:tcBorders>
              <w:top w:val="single" w:sz="4" w:space="0" w:color="auto"/>
              <w:bottom w:val="single" w:sz="4" w:space="0" w:color="auto"/>
            </w:tcBorders>
          </w:tcPr>
          <w:p w14:paraId="315E223F" w14:textId="1B794DED" w:rsidR="000A4332" w:rsidRPr="009D4627" w:rsidRDefault="000A4332" w:rsidP="00F9566F">
            <w:pPr>
              <w:spacing w:before="0" w:after="0" w:line="240" w:lineRule="auto"/>
              <w:jc w:val="center"/>
              <w:rPr>
                <w:rFonts w:eastAsia="Times New Roman"/>
                <w:b/>
                <w:bCs/>
                <w:color w:val="000000"/>
                <w:lang w:val="en-MY" w:eastAsia="en-MY"/>
              </w:rPr>
            </w:pPr>
            <w:r w:rsidRPr="00974B3E">
              <w:rPr>
                <w:rFonts w:eastAsia="Times New Roman"/>
                <w:b/>
                <w:bCs/>
                <w:i/>
                <w:iCs/>
                <w:color w:val="000000"/>
                <w:lang w:val="en-MY" w:eastAsia="en-MY"/>
              </w:rPr>
              <w:t>p</w:t>
            </w:r>
            <w:r w:rsidRPr="009D4627">
              <w:rPr>
                <w:rFonts w:eastAsia="Times New Roman"/>
                <w:b/>
                <w:bCs/>
                <w:color w:val="000000"/>
                <w:lang w:val="en-MY" w:eastAsia="en-MY"/>
              </w:rPr>
              <w:t>-value</w:t>
            </w:r>
          </w:p>
        </w:tc>
      </w:tr>
      <w:tr w:rsidR="00DE43BD" w:rsidRPr="009D4627" w14:paraId="155B7A15" w14:textId="77777777" w:rsidTr="0062282C">
        <w:trPr>
          <w:trHeight w:val="351"/>
        </w:trPr>
        <w:tc>
          <w:tcPr>
            <w:tcW w:w="563" w:type="pct"/>
            <w:tcBorders>
              <w:top w:val="single" w:sz="4" w:space="0" w:color="auto"/>
            </w:tcBorders>
            <w:shd w:val="clear" w:color="auto" w:fill="auto"/>
            <w:noWrap/>
            <w:hideMark/>
          </w:tcPr>
          <w:p w14:paraId="7D263D3D" w14:textId="77777777" w:rsidR="000A4332" w:rsidRPr="009D4627" w:rsidRDefault="000A4332"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00" w:type="pct"/>
            <w:tcBorders>
              <w:top w:val="single" w:sz="4" w:space="0" w:color="auto"/>
            </w:tcBorders>
            <w:shd w:val="clear" w:color="auto" w:fill="auto"/>
            <w:noWrap/>
            <w:hideMark/>
          </w:tcPr>
          <w:p w14:paraId="3F084545" w14:textId="7147B977" w:rsidR="000A4332" w:rsidRPr="00CF7FAB" w:rsidRDefault="00CA549A"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w:t>
            </w:r>
            <w:r w:rsidR="00B06428" w:rsidRPr="00CF7FAB">
              <w:rPr>
                <w:rFonts w:eastAsia="Times New Roman"/>
                <w:color w:val="000000"/>
                <w:lang w:val="en-MY" w:eastAsia="en-MY"/>
              </w:rPr>
              <w:t xml:space="preserve"> gaze</w:t>
            </w:r>
          </w:p>
        </w:tc>
        <w:tc>
          <w:tcPr>
            <w:tcW w:w="1226" w:type="pct"/>
            <w:tcBorders>
              <w:top w:val="single" w:sz="4" w:space="0" w:color="auto"/>
            </w:tcBorders>
            <w:shd w:val="clear" w:color="auto" w:fill="auto"/>
            <w:noWrap/>
          </w:tcPr>
          <w:p w14:paraId="3B564880" w14:textId="6C2681B6" w:rsidR="000A4332" w:rsidRPr="009D4627" w:rsidRDefault="00566D3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366D70" w:rsidRPr="009D4627">
              <w:rPr>
                <w:rFonts w:eastAsia="Times New Roman"/>
                <w:color w:val="000000"/>
                <w:lang w:val="en-MY" w:eastAsia="en-MY"/>
              </w:rPr>
              <w:t>4</w:t>
            </w:r>
            <w:r w:rsidRPr="009D4627">
              <w:rPr>
                <w:rFonts w:eastAsia="Times New Roman"/>
                <w:color w:val="000000"/>
                <w:lang w:val="en-MY" w:eastAsia="en-MY"/>
              </w:rPr>
              <w:t>5</w:t>
            </w:r>
            <w:r w:rsidR="00366D70" w:rsidRPr="009D4627">
              <w:rPr>
                <w:rFonts w:eastAsia="Times New Roman"/>
                <w:color w:val="000000"/>
                <w:lang w:val="en-MY" w:eastAsia="en-MY"/>
              </w:rPr>
              <w:t xml:space="preserve"> (34)</w:t>
            </w:r>
          </w:p>
        </w:tc>
        <w:tc>
          <w:tcPr>
            <w:tcW w:w="1165" w:type="pct"/>
            <w:tcBorders>
              <w:top w:val="single" w:sz="4" w:space="0" w:color="auto"/>
            </w:tcBorders>
            <w:shd w:val="clear" w:color="auto" w:fill="auto"/>
            <w:noWrap/>
          </w:tcPr>
          <w:p w14:paraId="78282792" w14:textId="3075A604" w:rsidR="000A4332" w:rsidRPr="009D4627" w:rsidRDefault="00566D3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22</w:t>
            </w:r>
            <w:r w:rsidR="00366D70" w:rsidRPr="009D4627">
              <w:rPr>
                <w:rFonts w:eastAsia="Times New Roman"/>
                <w:color w:val="000000"/>
                <w:lang w:val="en-MY" w:eastAsia="en-MY"/>
              </w:rPr>
              <w:t>5</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(21)</w:t>
            </w:r>
          </w:p>
        </w:tc>
        <w:tc>
          <w:tcPr>
            <w:tcW w:w="605" w:type="pct"/>
            <w:tcBorders>
              <w:top w:val="single" w:sz="4" w:space="0" w:color="auto"/>
            </w:tcBorders>
          </w:tcPr>
          <w:p w14:paraId="3314EC69" w14:textId="25F05D46" w:rsidR="000A4332"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2.0</w:t>
            </w:r>
            <w:r w:rsidR="00B235EF" w:rsidRPr="009D4627">
              <w:rPr>
                <w:rFonts w:eastAsia="Times New Roman"/>
                <w:color w:val="000000"/>
                <w:lang w:val="en-MY" w:eastAsia="en-MY"/>
              </w:rPr>
              <w:t>6</w:t>
            </w:r>
          </w:p>
        </w:tc>
        <w:tc>
          <w:tcPr>
            <w:tcW w:w="641" w:type="pct"/>
            <w:tcBorders>
              <w:top w:val="single" w:sz="4" w:space="0" w:color="auto"/>
            </w:tcBorders>
          </w:tcPr>
          <w:p w14:paraId="5FBC36B3" w14:textId="6AADE00F" w:rsidR="000A4332"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9B6A74" w:rsidRPr="009D4627">
              <w:rPr>
                <w:rFonts w:eastAsia="Times New Roman"/>
                <w:color w:val="000000"/>
                <w:lang w:val="en-MY" w:eastAsia="en-MY"/>
              </w:rPr>
              <w:t>5</w:t>
            </w:r>
            <w:r w:rsidR="00460797" w:rsidRPr="009D4627">
              <w:rPr>
                <w:rFonts w:eastAsia="Times New Roman"/>
                <w:color w:val="000000"/>
                <w:lang w:val="en-MY" w:eastAsia="en-MY"/>
              </w:rPr>
              <w:t>*</w:t>
            </w:r>
          </w:p>
        </w:tc>
      </w:tr>
      <w:tr w:rsidR="00DE43BD" w:rsidRPr="009D4627" w14:paraId="6B3AF1A0" w14:textId="77777777" w:rsidTr="0062282C">
        <w:trPr>
          <w:trHeight w:val="351"/>
        </w:trPr>
        <w:tc>
          <w:tcPr>
            <w:tcW w:w="563" w:type="pct"/>
            <w:shd w:val="clear" w:color="auto" w:fill="auto"/>
            <w:noWrap/>
            <w:hideMark/>
          </w:tcPr>
          <w:p w14:paraId="36CD570D" w14:textId="77777777" w:rsidR="000A4332" w:rsidRPr="009D4627" w:rsidRDefault="000A4332"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7E915D71" w14:textId="167B7F43" w:rsidR="000A4332"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29BAC272" w14:textId="7F75C8D1" w:rsidR="000A4332" w:rsidRPr="009D4627" w:rsidRDefault="00566D3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366D70" w:rsidRPr="009D4627">
              <w:rPr>
                <w:rFonts w:eastAsia="Times New Roman"/>
                <w:color w:val="000000"/>
                <w:lang w:val="en-MY" w:eastAsia="en-MY"/>
              </w:rPr>
              <w:t>3</w:t>
            </w:r>
            <w:r w:rsidRPr="009D4627">
              <w:rPr>
                <w:rFonts w:eastAsia="Times New Roman"/>
                <w:color w:val="000000"/>
                <w:lang w:val="en-MY" w:eastAsia="en-MY"/>
              </w:rPr>
              <w:t>5</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(28)</w:t>
            </w:r>
          </w:p>
        </w:tc>
        <w:tc>
          <w:tcPr>
            <w:tcW w:w="1165" w:type="pct"/>
            <w:shd w:val="clear" w:color="auto" w:fill="auto"/>
            <w:noWrap/>
          </w:tcPr>
          <w:p w14:paraId="7CC255C5" w14:textId="35A2464B" w:rsidR="000A4332" w:rsidRPr="009D4627" w:rsidRDefault="00566D3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366D70" w:rsidRPr="009D4627">
              <w:rPr>
                <w:rFonts w:eastAsia="Times New Roman"/>
                <w:color w:val="000000"/>
                <w:lang w:val="en-MY" w:eastAsia="en-MY"/>
              </w:rPr>
              <w:t>18 (18)</w:t>
            </w:r>
            <w:r w:rsidR="00D91855" w:rsidRPr="009D4627">
              <w:rPr>
                <w:rFonts w:eastAsia="Times New Roman"/>
                <w:color w:val="000000"/>
                <w:lang w:val="en-MY" w:eastAsia="en-MY"/>
              </w:rPr>
              <w:t xml:space="preserve"> </w:t>
            </w:r>
          </w:p>
        </w:tc>
        <w:tc>
          <w:tcPr>
            <w:tcW w:w="605" w:type="pct"/>
          </w:tcPr>
          <w:p w14:paraId="55619673" w14:textId="192DE799" w:rsidR="000A4332"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2.1</w:t>
            </w:r>
            <w:r w:rsidR="00B235EF" w:rsidRPr="009D4627">
              <w:rPr>
                <w:rFonts w:eastAsia="Times New Roman"/>
                <w:color w:val="000000"/>
                <w:lang w:val="en-MY" w:eastAsia="en-MY"/>
              </w:rPr>
              <w:t>1</w:t>
            </w:r>
          </w:p>
        </w:tc>
        <w:tc>
          <w:tcPr>
            <w:tcW w:w="641" w:type="pct"/>
          </w:tcPr>
          <w:p w14:paraId="47958EDD" w14:textId="52BD27C8" w:rsidR="000A4332"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0.04</w:t>
            </w:r>
            <w:r w:rsidR="009B6A74" w:rsidRPr="009D4627">
              <w:rPr>
                <w:rFonts w:eastAsia="Times New Roman"/>
                <w:color w:val="000000"/>
                <w:lang w:val="en-MY" w:eastAsia="en-MY"/>
              </w:rPr>
              <w:t>*</w:t>
            </w:r>
          </w:p>
        </w:tc>
      </w:tr>
      <w:tr w:rsidR="00DE43BD" w:rsidRPr="009D4627" w14:paraId="2DB9B38B" w14:textId="77777777" w:rsidTr="0062282C">
        <w:trPr>
          <w:trHeight w:val="351"/>
        </w:trPr>
        <w:tc>
          <w:tcPr>
            <w:tcW w:w="563" w:type="pct"/>
            <w:tcBorders>
              <w:top w:val="single" w:sz="4" w:space="0" w:color="auto"/>
            </w:tcBorders>
            <w:shd w:val="clear" w:color="auto" w:fill="auto"/>
            <w:noWrap/>
            <w:hideMark/>
          </w:tcPr>
          <w:p w14:paraId="75B346A6"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00" w:type="pct"/>
            <w:tcBorders>
              <w:top w:val="single" w:sz="4" w:space="0" w:color="auto"/>
            </w:tcBorders>
            <w:shd w:val="clear" w:color="auto" w:fill="auto"/>
            <w:noWrap/>
            <w:hideMark/>
          </w:tcPr>
          <w:p w14:paraId="79AA54F3" w14:textId="5522888A"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1689D7DB" w14:textId="5C1FA32E"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18</w:t>
            </w:r>
            <w:r w:rsidR="00366D70" w:rsidRPr="009D4627">
              <w:rPr>
                <w:rFonts w:eastAsia="Times New Roman"/>
                <w:color w:val="000000"/>
                <w:lang w:val="en-MY" w:eastAsia="en-MY"/>
              </w:rPr>
              <w:t>8</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(9)</w:t>
            </w:r>
          </w:p>
        </w:tc>
        <w:tc>
          <w:tcPr>
            <w:tcW w:w="1165" w:type="pct"/>
            <w:tcBorders>
              <w:top w:val="single" w:sz="4" w:space="0" w:color="auto"/>
            </w:tcBorders>
            <w:shd w:val="clear" w:color="auto" w:fill="auto"/>
            <w:noWrap/>
          </w:tcPr>
          <w:p w14:paraId="412A9D7D" w14:textId="755ED8C2"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w:t>
            </w:r>
            <w:r w:rsidR="003C4D5A" w:rsidRPr="009D4627">
              <w:rPr>
                <w:rFonts w:eastAsia="Times New Roman"/>
                <w:color w:val="000000"/>
                <w:lang w:val="en-MY" w:eastAsia="en-MY"/>
              </w:rPr>
              <w:t>90</w:t>
            </w:r>
            <w:r w:rsidR="00D91855" w:rsidRPr="009D4627">
              <w:rPr>
                <w:rFonts w:eastAsia="Times New Roman"/>
                <w:color w:val="000000"/>
                <w:lang w:val="en-MY" w:eastAsia="en-MY"/>
              </w:rPr>
              <w:t xml:space="preserve"> </w:t>
            </w:r>
            <w:r w:rsidR="003C4D5A" w:rsidRPr="009D4627">
              <w:rPr>
                <w:rFonts w:eastAsia="Times New Roman"/>
                <w:color w:val="000000"/>
                <w:lang w:val="en-MY" w:eastAsia="en-MY"/>
              </w:rPr>
              <w:t>(5)</w:t>
            </w:r>
          </w:p>
        </w:tc>
        <w:tc>
          <w:tcPr>
            <w:tcW w:w="605" w:type="pct"/>
            <w:tcBorders>
              <w:top w:val="single" w:sz="4" w:space="0" w:color="auto"/>
            </w:tcBorders>
          </w:tcPr>
          <w:p w14:paraId="1DF8F6DD" w14:textId="695BE397"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A3290" w:rsidRPr="009D4627">
              <w:rPr>
                <w:rFonts w:eastAsia="Times New Roman"/>
                <w:color w:val="000000"/>
                <w:lang w:val="en-MY" w:eastAsia="en-MY"/>
              </w:rPr>
              <w:t>0</w:t>
            </w:r>
            <w:r w:rsidRPr="009D4627">
              <w:rPr>
                <w:rFonts w:eastAsia="Times New Roman"/>
                <w:color w:val="000000"/>
                <w:lang w:val="en-MY" w:eastAsia="en-MY"/>
              </w:rPr>
              <w:t>.</w:t>
            </w:r>
            <w:r w:rsidR="00B235EF" w:rsidRPr="009D4627">
              <w:rPr>
                <w:rFonts w:eastAsia="Times New Roman"/>
                <w:color w:val="000000"/>
                <w:lang w:val="en-MY" w:eastAsia="en-MY"/>
              </w:rPr>
              <w:t>30</w:t>
            </w:r>
          </w:p>
        </w:tc>
        <w:tc>
          <w:tcPr>
            <w:tcW w:w="641" w:type="pct"/>
            <w:tcBorders>
              <w:top w:val="single" w:sz="4" w:space="0" w:color="auto"/>
            </w:tcBorders>
          </w:tcPr>
          <w:p w14:paraId="4AB8CEBC" w14:textId="06684867"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EA3290" w:rsidRPr="009D4627">
              <w:rPr>
                <w:rFonts w:eastAsia="Times New Roman"/>
                <w:color w:val="000000"/>
                <w:lang w:val="en-MY" w:eastAsia="en-MY"/>
              </w:rPr>
              <w:t>77</w:t>
            </w:r>
          </w:p>
        </w:tc>
      </w:tr>
      <w:tr w:rsidR="00DE43BD" w:rsidRPr="009D4627" w14:paraId="192E67B0" w14:textId="77777777" w:rsidTr="0062282C">
        <w:trPr>
          <w:trHeight w:val="351"/>
        </w:trPr>
        <w:tc>
          <w:tcPr>
            <w:tcW w:w="563" w:type="pct"/>
            <w:shd w:val="clear" w:color="auto" w:fill="auto"/>
            <w:noWrap/>
            <w:hideMark/>
          </w:tcPr>
          <w:p w14:paraId="66CFC8A8"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4C51BCE2" w14:textId="56DA9538"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76C7FA7F" w14:textId="349ABA73"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w:t>
            </w:r>
            <w:r w:rsidR="003C4D5A" w:rsidRPr="009D4627">
              <w:rPr>
                <w:rFonts w:eastAsia="Times New Roman"/>
                <w:color w:val="000000"/>
                <w:lang w:val="en-MY" w:eastAsia="en-MY"/>
              </w:rPr>
              <w:t>81 (4)</w:t>
            </w:r>
            <w:r w:rsidR="00D91855" w:rsidRPr="009D4627">
              <w:rPr>
                <w:rFonts w:eastAsia="Times New Roman"/>
                <w:i/>
                <w:iCs/>
                <w:color w:val="000000"/>
                <w:lang w:val="en-MY" w:eastAsia="en-MY"/>
              </w:rPr>
              <w:t xml:space="preserve"> </w:t>
            </w:r>
          </w:p>
        </w:tc>
        <w:tc>
          <w:tcPr>
            <w:tcW w:w="1165" w:type="pct"/>
            <w:shd w:val="clear" w:color="auto" w:fill="auto"/>
            <w:noWrap/>
          </w:tcPr>
          <w:p w14:paraId="70E1D684" w14:textId="0997CA18"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185 (3)</w:t>
            </w:r>
          </w:p>
        </w:tc>
        <w:tc>
          <w:tcPr>
            <w:tcW w:w="605" w:type="pct"/>
          </w:tcPr>
          <w:p w14:paraId="2AF15ABA" w14:textId="27C67ECA"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-1.6</w:t>
            </w:r>
            <w:r w:rsidR="00B235EF" w:rsidRPr="009D4627">
              <w:rPr>
                <w:rFonts w:eastAsia="Times New Roman"/>
                <w:color w:val="000000"/>
                <w:lang w:val="en-MY" w:eastAsia="en-MY"/>
              </w:rPr>
              <w:t>6</w:t>
            </w:r>
          </w:p>
        </w:tc>
        <w:tc>
          <w:tcPr>
            <w:tcW w:w="641" w:type="pct"/>
          </w:tcPr>
          <w:p w14:paraId="5C88C256" w14:textId="742633A9"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0.1</w:t>
            </w:r>
            <w:r w:rsidR="009B6A74" w:rsidRPr="009D4627">
              <w:rPr>
                <w:rFonts w:eastAsia="Times New Roman"/>
                <w:color w:val="000000"/>
                <w:lang w:val="en-MY" w:eastAsia="en-MY"/>
              </w:rPr>
              <w:t>4</w:t>
            </w:r>
          </w:p>
        </w:tc>
      </w:tr>
      <w:tr w:rsidR="00DE43BD" w:rsidRPr="009D4627" w14:paraId="3E3602C3" w14:textId="77777777" w:rsidTr="0062282C">
        <w:trPr>
          <w:trHeight w:val="351"/>
        </w:trPr>
        <w:tc>
          <w:tcPr>
            <w:tcW w:w="563" w:type="pct"/>
            <w:tcBorders>
              <w:top w:val="single" w:sz="4" w:space="0" w:color="auto"/>
            </w:tcBorders>
            <w:shd w:val="clear" w:color="auto" w:fill="auto"/>
            <w:noWrap/>
            <w:hideMark/>
          </w:tcPr>
          <w:p w14:paraId="43C23576"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VI</w:t>
            </w:r>
          </w:p>
        </w:tc>
        <w:tc>
          <w:tcPr>
            <w:tcW w:w="800" w:type="pct"/>
            <w:tcBorders>
              <w:top w:val="single" w:sz="4" w:space="0" w:color="auto"/>
            </w:tcBorders>
            <w:shd w:val="clear" w:color="auto" w:fill="auto"/>
            <w:noWrap/>
            <w:hideMark/>
          </w:tcPr>
          <w:p w14:paraId="0C89D9D2" w14:textId="64FD9737"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1F75FA9F" w14:textId="02D0249A"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245 (61)</w:t>
            </w:r>
          </w:p>
        </w:tc>
        <w:tc>
          <w:tcPr>
            <w:tcW w:w="1165" w:type="pct"/>
            <w:tcBorders>
              <w:top w:val="single" w:sz="4" w:space="0" w:color="auto"/>
            </w:tcBorders>
            <w:shd w:val="clear" w:color="auto" w:fill="auto"/>
            <w:noWrap/>
          </w:tcPr>
          <w:p w14:paraId="0C1C7B7C" w14:textId="641B94A5"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212 (42)</w:t>
            </w:r>
          </w:p>
        </w:tc>
        <w:tc>
          <w:tcPr>
            <w:tcW w:w="605" w:type="pct"/>
            <w:tcBorders>
              <w:top w:val="single" w:sz="4" w:space="0" w:color="auto"/>
            </w:tcBorders>
          </w:tcPr>
          <w:p w14:paraId="6BEF3C9F" w14:textId="72A33CB6"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EA3290" w:rsidRPr="009D4627">
              <w:rPr>
                <w:rFonts w:eastAsia="Times New Roman"/>
                <w:color w:val="000000"/>
                <w:lang w:val="en-MY" w:eastAsia="en-MY"/>
              </w:rPr>
              <w:t>18</w:t>
            </w:r>
          </w:p>
        </w:tc>
        <w:tc>
          <w:tcPr>
            <w:tcW w:w="641" w:type="pct"/>
            <w:tcBorders>
              <w:top w:val="single" w:sz="4" w:space="0" w:color="auto"/>
            </w:tcBorders>
          </w:tcPr>
          <w:p w14:paraId="76EAF6D0" w14:textId="3E5889EA"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EA3290" w:rsidRPr="009D4627">
              <w:rPr>
                <w:rFonts w:eastAsia="Times New Roman"/>
                <w:color w:val="000000"/>
                <w:lang w:val="en-MY" w:eastAsia="en-MY"/>
              </w:rPr>
              <w:t>3</w:t>
            </w:r>
            <w:r w:rsidRPr="009D4627">
              <w:rPr>
                <w:rFonts w:eastAsia="Times New Roman"/>
                <w:color w:val="000000"/>
                <w:lang w:val="en-MY" w:eastAsia="en-MY"/>
              </w:rPr>
              <w:t>*</w:t>
            </w:r>
          </w:p>
        </w:tc>
      </w:tr>
      <w:tr w:rsidR="00DE43BD" w:rsidRPr="009D4627" w14:paraId="2C3638C1" w14:textId="77777777" w:rsidTr="0062282C">
        <w:trPr>
          <w:trHeight w:val="351"/>
        </w:trPr>
        <w:tc>
          <w:tcPr>
            <w:tcW w:w="563" w:type="pct"/>
            <w:shd w:val="clear" w:color="auto" w:fill="auto"/>
            <w:noWrap/>
            <w:hideMark/>
          </w:tcPr>
          <w:p w14:paraId="672EAECD"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04F4CE76" w14:textId="64786551"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3EA12C21" w14:textId="075A7179"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207 (48)</w:t>
            </w:r>
          </w:p>
        </w:tc>
        <w:tc>
          <w:tcPr>
            <w:tcW w:w="1165" w:type="pct"/>
            <w:shd w:val="clear" w:color="auto" w:fill="auto"/>
            <w:noWrap/>
          </w:tcPr>
          <w:p w14:paraId="4826CEB8" w14:textId="43544B19"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221 (46)</w:t>
            </w:r>
          </w:p>
        </w:tc>
        <w:tc>
          <w:tcPr>
            <w:tcW w:w="605" w:type="pct"/>
          </w:tcPr>
          <w:p w14:paraId="0E4EF7C7" w14:textId="1CEAE733"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A3290" w:rsidRPr="009D4627">
              <w:rPr>
                <w:rFonts w:eastAsia="Times New Roman"/>
                <w:color w:val="000000"/>
                <w:lang w:val="en-MY" w:eastAsia="en-MY"/>
              </w:rPr>
              <w:t>1</w:t>
            </w:r>
            <w:r w:rsidRPr="009D4627">
              <w:rPr>
                <w:rFonts w:eastAsia="Times New Roman"/>
                <w:color w:val="000000"/>
                <w:lang w:val="en-MY" w:eastAsia="en-MY"/>
              </w:rPr>
              <w:t>.</w:t>
            </w:r>
            <w:r w:rsidR="00EA3290" w:rsidRPr="009D4627">
              <w:rPr>
                <w:rFonts w:eastAsia="Times New Roman"/>
                <w:color w:val="000000"/>
                <w:lang w:val="en-MY" w:eastAsia="en-MY"/>
              </w:rPr>
              <w:t>0</w:t>
            </w:r>
            <w:r w:rsidR="00B235EF" w:rsidRPr="009D4627">
              <w:rPr>
                <w:rFonts w:eastAsia="Times New Roman"/>
                <w:color w:val="000000"/>
                <w:lang w:val="en-MY" w:eastAsia="en-MY"/>
              </w:rPr>
              <w:t>8</w:t>
            </w:r>
          </w:p>
        </w:tc>
        <w:tc>
          <w:tcPr>
            <w:tcW w:w="641" w:type="pct"/>
          </w:tcPr>
          <w:p w14:paraId="6563DBF8" w14:textId="3AF35E84"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E8543D" w:rsidRPr="009D4627">
              <w:rPr>
                <w:rFonts w:eastAsia="Times New Roman"/>
                <w:color w:val="000000"/>
                <w:lang w:val="en-MY" w:eastAsia="en-MY"/>
              </w:rPr>
              <w:t>2</w:t>
            </w:r>
            <w:r w:rsidR="009B6A74" w:rsidRPr="009D4627">
              <w:rPr>
                <w:rFonts w:eastAsia="Times New Roman"/>
                <w:color w:val="000000"/>
                <w:lang w:val="en-MY" w:eastAsia="en-MY"/>
              </w:rPr>
              <w:t>9</w:t>
            </w:r>
          </w:p>
        </w:tc>
      </w:tr>
      <w:tr w:rsidR="00B06428" w:rsidRPr="009D4627" w14:paraId="37808BA6" w14:textId="554851E2" w:rsidTr="0062282C">
        <w:trPr>
          <w:trHeight w:val="351"/>
        </w:trPr>
        <w:tc>
          <w:tcPr>
            <w:tcW w:w="5000" w:type="pct"/>
            <w:gridSpan w:val="6"/>
            <w:tcBorders>
              <w:top w:val="single" w:sz="4" w:space="0" w:color="auto"/>
              <w:bottom w:val="single" w:sz="4" w:space="0" w:color="auto"/>
            </w:tcBorders>
            <w:shd w:val="clear" w:color="auto" w:fill="auto"/>
            <w:hideMark/>
          </w:tcPr>
          <w:p w14:paraId="527A1F3F" w14:textId="6E66D0C7" w:rsidR="00B06428" w:rsidRPr="00CF7FAB" w:rsidRDefault="004B4F56" w:rsidP="00CF7FAB">
            <w:pPr>
              <w:spacing w:before="0" w:after="0" w:line="240" w:lineRule="auto"/>
              <w:jc w:val="left"/>
              <w:rPr>
                <w:rFonts w:eastAsia="Times New Roman"/>
                <w:i/>
                <w:iCs/>
                <w:color w:val="000000"/>
                <w:lang w:val="en-MY" w:eastAsia="en-MY"/>
              </w:rPr>
            </w:pPr>
            <w:r w:rsidRPr="00CF7FAB">
              <w:rPr>
                <w:rFonts w:eastAsia="Times New Roman"/>
                <w:i/>
                <w:iCs/>
                <w:color w:val="000000"/>
                <w:lang w:val="en-MY" w:eastAsia="en-MY"/>
              </w:rPr>
              <w:t>H</w:t>
            </w:r>
            <w:r w:rsidR="00A0582F" w:rsidRPr="00CF7FAB">
              <w:rPr>
                <w:rFonts w:eastAsia="Times New Roman"/>
                <w:i/>
                <w:iCs/>
                <w:color w:val="000000"/>
                <w:lang w:val="en-MY" w:eastAsia="en-MY"/>
              </w:rPr>
              <w:t>orizontal</w:t>
            </w:r>
            <w:r w:rsidR="00B06428" w:rsidRPr="00CF7FAB">
              <w:rPr>
                <w:rFonts w:eastAsia="Times New Roman"/>
                <w:i/>
                <w:iCs/>
                <w:color w:val="000000"/>
                <w:lang w:val="en-MY" w:eastAsia="en-MY"/>
              </w:rPr>
              <w:t xml:space="preserve"> peak velocity (°/s)</w:t>
            </w:r>
            <w:r w:rsidR="00970C47" w:rsidRPr="00CF7FAB">
              <w:rPr>
                <w:rFonts w:eastAsia="Times New Roman"/>
                <w:i/>
                <w:iCs/>
                <w:color w:val="000000"/>
                <w:lang w:val="en-MY" w:eastAsia="en-MY"/>
              </w:rPr>
              <w:t xml:space="preserve"> </w:t>
            </w:r>
          </w:p>
        </w:tc>
      </w:tr>
      <w:tr w:rsidR="00DE43BD" w:rsidRPr="009D4627" w14:paraId="30F5EBE6" w14:textId="77777777" w:rsidTr="00E8543D">
        <w:trPr>
          <w:trHeight w:val="351"/>
        </w:trPr>
        <w:tc>
          <w:tcPr>
            <w:tcW w:w="563" w:type="pct"/>
            <w:tcBorders>
              <w:top w:val="single" w:sz="4" w:space="0" w:color="auto"/>
            </w:tcBorders>
            <w:shd w:val="clear" w:color="auto" w:fill="auto"/>
            <w:noWrap/>
            <w:hideMark/>
          </w:tcPr>
          <w:p w14:paraId="597A26C9"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00" w:type="pct"/>
            <w:tcBorders>
              <w:top w:val="single" w:sz="4" w:space="0" w:color="auto"/>
            </w:tcBorders>
            <w:shd w:val="clear" w:color="auto" w:fill="auto"/>
            <w:noWrap/>
            <w:hideMark/>
          </w:tcPr>
          <w:p w14:paraId="3E2ED1CC" w14:textId="3D69761E"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253364B7" w14:textId="69BE718A"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366D70" w:rsidRPr="009D4627">
              <w:rPr>
                <w:rFonts w:eastAsia="Times New Roman"/>
                <w:color w:val="000000"/>
                <w:lang w:val="en-MY" w:eastAsia="en-MY"/>
              </w:rPr>
              <w:t>15</w:t>
            </w:r>
            <w:r w:rsidRPr="009D4627">
              <w:rPr>
                <w:rFonts w:eastAsia="Times New Roman"/>
                <w:color w:val="000000"/>
                <w:lang w:val="en-MY" w:eastAsia="en-MY"/>
              </w:rPr>
              <w:t>.</w:t>
            </w:r>
            <w:r w:rsidR="00366D70" w:rsidRPr="009D4627">
              <w:rPr>
                <w:rFonts w:eastAsia="Times New Roman"/>
                <w:color w:val="000000"/>
                <w:lang w:val="en-MY" w:eastAsia="en-MY"/>
              </w:rPr>
              <w:t>1</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(92.6)</w:t>
            </w:r>
          </w:p>
        </w:tc>
        <w:tc>
          <w:tcPr>
            <w:tcW w:w="1165" w:type="pct"/>
            <w:tcBorders>
              <w:top w:val="single" w:sz="4" w:space="0" w:color="auto"/>
            </w:tcBorders>
            <w:shd w:val="clear" w:color="auto" w:fill="auto"/>
            <w:noWrap/>
          </w:tcPr>
          <w:p w14:paraId="3FAB7FA5" w14:textId="3960C7D2" w:rsidR="00B06428" w:rsidRPr="009D4627" w:rsidRDefault="00FD77C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27</w:t>
            </w:r>
            <w:r w:rsidR="00366D70" w:rsidRPr="009D4627">
              <w:rPr>
                <w:rFonts w:eastAsia="Times New Roman"/>
                <w:color w:val="000000"/>
                <w:lang w:val="en-MY" w:eastAsia="en-MY"/>
              </w:rPr>
              <w:t>1</w:t>
            </w:r>
            <w:r w:rsidRPr="009D4627">
              <w:rPr>
                <w:rFonts w:eastAsia="Times New Roman"/>
                <w:color w:val="000000"/>
                <w:lang w:val="en-MY" w:eastAsia="en-MY"/>
              </w:rPr>
              <w:t>.4</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(52.3)</w:t>
            </w:r>
          </w:p>
        </w:tc>
        <w:tc>
          <w:tcPr>
            <w:tcW w:w="605" w:type="pct"/>
            <w:tcBorders>
              <w:top w:val="single" w:sz="4" w:space="0" w:color="auto"/>
            </w:tcBorders>
            <w:shd w:val="clear" w:color="auto" w:fill="auto"/>
          </w:tcPr>
          <w:p w14:paraId="1085DB7F" w14:textId="49A5AA6A"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2.18</w:t>
            </w:r>
          </w:p>
        </w:tc>
        <w:tc>
          <w:tcPr>
            <w:tcW w:w="641" w:type="pct"/>
            <w:tcBorders>
              <w:top w:val="single" w:sz="4" w:space="0" w:color="auto"/>
            </w:tcBorders>
            <w:shd w:val="clear" w:color="auto" w:fill="auto"/>
          </w:tcPr>
          <w:p w14:paraId="4CE90B68" w14:textId="54076D26"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9B6A74" w:rsidRPr="009D4627">
              <w:rPr>
                <w:rFonts w:eastAsia="Times New Roman"/>
                <w:color w:val="000000"/>
                <w:lang w:val="en-MY" w:eastAsia="en-MY"/>
              </w:rPr>
              <w:t>4</w:t>
            </w:r>
            <w:r w:rsidRPr="009D4627">
              <w:rPr>
                <w:rFonts w:eastAsia="Times New Roman"/>
                <w:color w:val="000000"/>
                <w:lang w:val="en-MY" w:eastAsia="en-MY"/>
              </w:rPr>
              <w:t>*</w:t>
            </w:r>
          </w:p>
        </w:tc>
      </w:tr>
      <w:tr w:rsidR="00DE43BD" w:rsidRPr="009D4627" w14:paraId="6D9C0A3B" w14:textId="77777777" w:rsidTr="00E8543D">
        <w:trPr>
          <w:trHeight w:val="351"/>
        </w:trPr>
        <w:tc>
          <w:tcPr>
            <w:tcW w:w="563" w:type="pct"/>
            <w:shd w:val="clear" w:color="auto" w:fill="auto"/>
            <w:noWrap/>
            <w:hideMark/>
          </w:tcPr>
          <w:p w14:paraId="67C2002E"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188DC705" w14:textId="129C5845"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1218CA49" w14:textId="7AB4225B" w:rsidR="00B06428" w:rsidRPr="009D4627" w:rsidRDefault="00FD77C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26</w:t>
            </w:r>
            <w:r w:rsidR="00366D70" w:rsidRPr="009D4627">
              <w:rPr>
                <w:rFonts w:eastAsia="Times New Roman"/>
                <w:color w:val="000000"/>
                <w:lang w:val="en-MY" w:eastAsia="en-MY"/>
              </w:rPr>
              <w:t>8</w:t>
            </w:r>
            <w:r w:rsidRPr="009D4627">
              <w:rPr>
                <w:rFonts w:eastAsia="Times New Roman"/>
                <w:color w:val="000000"/>
                <w:lang w:val="en-MY" w:eastAsia="en-MY"/>
              </w:rPr>
              <w:t>.</w:t>
            </w:r>
            <w:r w:rsidR="00366D70" w:rsidRPr="009D4627">
              <w:rPr>
                <w:rFonts w:eastAsia="Times New Roman"/>
                <w:color w:val="000000"/>
                <w:lang w:val="en-MY" w:eastAsia="en-MY"/>
              </w:rPr>
              <w:t>5 (45.3)</w:t>
            </w:r>
          </w:p>
        </w:tc>
        <w:tc>
          <w:tcPr>
            <w:tcW w:w="1165" w:type="pct"/>
            <w:shd w:val="clear" w:color="auto" w:fill="auto"/>
            <w:noWrap/>
          </w:tcPr>
          <w:p w14:paraId="5C150039" w14:textId="2256A32A" w:rsidR="00B06428" w:rsidRPr="009D4627" w:rsidRDefault="00FD77C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366D70" w:rsidRPr="009D4627">
              <w:rPr>
                <w:rFonts w:eastAsia="Times New Roman"/>
                <w:color w:val="000000"/>
                <w:lang w:val="en-MY" w:eastAsia="en-MY"/>
              </w:rPr>
              <w:t>78</w:t>
            </w:r>
            <w:r w:rsidRPr="009D4627">
              <w:rPr>
                <w:rFonts w:eastAsia="Times New Roman"/>
                <w:color w:val="000000"/>
                <w:lang w:val="en-MY" w:eastAsia="en-MY"/>
              </w:rPr>
              <w:t>.</w:t>
            </w:r>
            <w:r w:rsidR="00366D70" w:rsidRPr="009D4627">
              <w:rPr>
                <w:rFonts w:eastAsia="Times New Roman"/>
                <w:color w:val="000000"/>
                <w:lang w:val="en-MY" w:eastAsia="en-MY"/>
              </w:rPr>
              <w:t>7</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(85.1)</w:t>
            </w:r>
          </w:p>
        </w:tc>
        <w:tc>
          <w:tcPr>
            <w:tcW w:w="605" w:type="pct"/>
            <w:shd w:val="clear" w:color="auto" w:fill="auto"/>
          </w:tcPr>
          <w:p w14:paraId="5C99D62E" w14:textId="21500F63"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0.</w:t>
            </w:r>
            <w:r w:rsidRPr="009D4627">
              <w:rPr>
                <w:rFonts w:eastAsia="Times New Roman"/>
                <w:color w:val="000000"/>
                <w:lang w:val="en-MY" w:eastAsia="en-MY"/>
              </w:rPr>
              <w:t>4</w:t>
            </w:r>
            <w:r w:rsidR="00B235EF" w:rsidRPr="009D4627">
              <w:rPr>
                <w:rFonts w:eastAsia="Times New Roman"/>
                <w:color w:val="000000"/>
                <w:lang w:val="en-MY" w:eastAsia="en-MY"/>
              </w:rPr>
              <w:t>4</w:t>
            </w:r>
          </w:p>
        </w:tc>
        <w:tc>
          <w:tcPr>
            <w:tcW w:w="641" w:type="pct"/>
            <w:shd w:val="clear" w:color="auto" w:fill="auto"/>
          </w:tcPr>
          <w:p w14:paraId="51C97E68" w14:textId="54163D8A" w:rsidR="00B06428" w:rsidRPr="009D4627" w:rsidRDefault="00460797"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E8543D" w:rsidRPr="009D4627">
              <w:rPr>
                <w:rFonts w:eastAsia="Times New Roman"/>
                <w:color w:val="000000"/>
                <w:lang w:val="en-MY" w:eastAsia="en-MY"/>
              </w:rPr>
              <w:t>6</w:t>
            </w:r>
            <w:r w:rsidR="009B6A74" w:rsidRPr="009D4627">
              <w:rPr>
                <w:rFonts w:eastAsia="Times New Roman"/>
                <w:color w:val="000000"/>
                <w:lang w:val="en-MY" w:eastAsia="en-MY"/>
              </w:rPr>
              <w:t>7</w:t>
            </w:r>
          </w:p>
        </w:tc>
      </w:tr>
      <w:tr w:rsidR="00DE43BD" w:rsidRPr="009D4627" w14:paraId="149B8BCA" w14:textId="77777777" w:rsidTr="00E8543D">
        <w:trPr>
          <w:trHeight w:val="351"/>
        </w:trPr>
        <w:tc>
          <w:tcPr>
            <w:tcW w:w="563" w:type="pct"/>
            <w:tcBorders>
              <w:top w:val="single" w:sz="4" w:space="0" w:color="auto"/>
            </w:tcBorders>
            <w:shd w:val="clear" w:color="auto" w:fill="auto"/>
            <w:noWrap/>
            <w:hideMark/>
          </w:tcPr>
          <w:p w14:paraId="70FABD47"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00" w:type="pct"/>
            <w:tcBorders>
              <w:top w:val="single" w:sz="4" w:space="0" w:color="auto"/>
            </w:tcBorders>
            <w:shd w:val="clear" w:color="auto" w:fill="auto"/>
            <w:noWrap/>
            <w:hideMark/>
          </w:tcPr>
          <w:p w14:paraId="5E3C31B8" w14:textId="753F7815"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464C5375" w14:textId="7C4DF34A"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411.8 (24.5)</w:t>
            </w:r>
          </w:p>
        </w:tc>
        <w:tc>
          <w:tcPr>
            <w:tcW w:w="1165" w:type="pct"/>
            <w:tcBorders>
              <w:top w:val="single" w:sz="4" w:space="0" w:color="auto"/>
            </w:tcBorders>
            <w:shd w:val="clear" w:color="auto" w:fill="auto"/>
            <w:noWrap/>
          </w:tcPr>
          <w:p w14:paraId="792A93C1" w14:textId="6220631E"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439.3 (19.5)</w:t>
            </w:r>
          </w:p>
        </w:tc>
        <w:tc>
          <w:tcPr>
            <w:tcW w:w="605" w:type="pct"/>
            <w:tcBorders>
              <w:top w:val="single" w:sz="4" w:space="0" w:color="auto"/>
            </w:tcBorders>
            <w:shd w:val="clear" w:color="auto" w:fill="auto"/>
          </w:tcPr>
          <w:p w14:paraId="5571A680" w14:textId="7DF5DF44"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1.96</w:t>
            </w:r>
          </w:p>
        </w:tc>
        <w:tc>
          <w:tcPr>
            <w:tcW w:w="641" w:type="pct"/>
            <w:tcBorders>
              <w:top w:val="single" w:sz="4" w:space="0" w:color="auto"/>
            </w:tcBorders>
            <w:shd w:val="clear" w:color="auto" w:fill="auto"/>
          </w:tcPr>
          <w:p w14:paraId="34A6C838" w14:textId="6502D4A8"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E8543D" w:rsidRPr="009D4627">
              <w:rPr>
                <w:rFonts w:eastAsia="Times New Roman"/>
                <w:color w:val="000000"/>
                <w:lang w:val="en-MY" w:eastAsia="en-MY"/>
              </w:rPr>
              <w:t>0</w:t>
            </w:r>
            <w:r w:rsidR="009B6A74" w:rsidRPr="009D4627">
              <w:rPr>
                <w:rFonts w:eastAsia="Times New Roman"/>
                <w:color w:val="000000"/>
                <w:lang w:val="en-MY" w:eastAsia="en-MY"/>
              </w:rPr>
              <w:t>9</w:t>
            </w:r>
          </w:p>
        </w:tc>
      </w:tr>
      <w:tr w:rsidR="00DE43BD" w:rsidRPr="009D4627" w14:paraId="0D4DC49C" w14:textId="77777777" w:rsidTr="00E8543D">
        <w:trPr>
          <w:trHeight w:val="351"/>
        </w:trPr>
        <w:tc>
          <w:tcPr>
            <w:tcW w:w="563" w:type="pct"/>
            <w:tcBorders>
              <w:bottom w:val="single" w:sz="4" w:space="0" w:color="auto"/>
            </w:tcBorders>
            <w:shd w:val="clear" w:color="auto" w:fill="auto"/>
            <w:noWrap/>
            <w:hideMark/>
          </w:tcPr>
          <w:p w14:paraId="5E72140C"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tcBorders>
              <w:bottom w:val="single" w:sz="4" w:space="0" w:color="auto"/>
            </w:tcBorders>
            <w:shd w:val="clear" w:color="auto" w:fill="auto"/>
            <w:noWrap/>
            <w:hideMark/>
          </w:tcPr>
          <w:p w14:paraId="5977F476" w14:textId="526FF432"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tcBorders>
              <w:bottom w:val="single" w:sz="4" w:space="0" w:color="auto"/>
            </w:tcBorders>
            <w:shd w:val="clear" w:color="auto" w:fill="auto"/>
            <w:noWrap/>
          </w:tcPr>
          <w:p w14:paraId="69EA467B" w14:textId="1389564B"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382.3 (28.5)</w:t>
            </w:r>
          </w:p>
        </w:tc>
        <w:tc>
          <w:tcPr>
            <w:tcW w:w="1165" w:type="pct"/>
            <w:tcBorders>
              <w:bottom w:val="single" w:sz="4" w:space="0" w:color="auto"/>
            </w:tcBorders>
            <w:shd w:val="clear" w:color="auto" w:fill="auto"/>
            <w:noWrap/>
          </w:tcPr>
          <w:p w14:paraId="5B9EC0F0" w14:textId="3F8D16EE"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378.8 (19.9)</w:t>
            </w:r>
          </w:p>
        </w:tc>
        <w:tc>
          <w:tcPr>
            <w:tcW w:w="605" w:type="pct"/>
            <w:tcBorders>
              <w:bottom w:val="single" w:sz="4" w:space="0" w:color="auto"/>
            </w:tcBorders>
            <w:shd w:val="clear" w:color="auto" w:fill="auto"/>
          </w:tcPr>
          <w:p w14:paraId="440F762B" w14:textId="29AF071E" w:rsidR="00B06428" w:rsidRPr="009D4627" w:rsidRDefault="00E8543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0.22</w:t>
            </w:r>
          </w:p>
        </w:tc>
        <w:tc>
          <w:tcPr>
            <w:tcW w:w="641" w:type="pct"/>
            <w:tcBorders>
              <w:bottom w:val="single" w:sz="4" w:space="0" w:color="auto"/>
            </w:tcBorders>
            <w:shd w:val="clear" w:color="auto" w:fill="auto"/>
          </w:tcPr>
          <w:p w14:paraId="50D12617" w14:textId="13E9AB2E" w:rsidR="00B06428" w:rsidRPr="009D4627" w:rsidRDefault="00E8543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0.8</w:t>
            </w:r>
            <w:r w:rsidR="009B6A74" w:rsidRPr="009D4627">
              <w:rPr>
                <w:rFonts w:eastAsia="Times New Roman"/>
                <w:color w:val="000000"/>
                <w:lang w:val="en-MY" w:eastAsia="en-MY"/>
              </w:rPr>
              <w:t>3</w:t>
            </w:r>
          </w:p>
        </w:tc>
      </w:tr>
      <w:tr w:rsidR="00DE43BD" w:rsidRPr="009D4627" w14:paraId="14AF16CF" w14:textId="77777777" w:rsidTr="00E8543D">
        <w:trPr>
          <w:trHeight w:val="351"/>
        </w:trPr>
        <w:tc>
          <w:tcPr>
            <w:tcW w:w="563" w:type="pct"/>
            <w:tcBorders>
              <w:top w:val="single" w:sz="4" w:space="0" w:color="auto"/>
            </w:tcBorders>
            <w:shd w:val="clear" w:color="auto" w:fill="auto"/>
            <w:noWrap/>
            <w:hideMark/>
          </w:tcPr>
          <w:p w14:paraId="1E6848E4"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VI</w:t>
            </w:r>
          </w:p>
        </w:tc>
        <w:tc>
          <w:tcPr>
            <w:tcW w:w="800" w:type="pct"/>
            <w:tcBorders>
              <w:top w:val="single" w:sz="4" w:space="0" w:color="auto"/>
            </w:tcBorders>
            <w:shd w:val="clear" w:color="auto" w:fill="auto"/>
            <w:noWrap/>
            <w:hideMark/>
          </w:tcPr>
          <w:p w14:paraId="21C10867" w14:textId="43EFB01E"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056C2C64" w14:textId="65DCAEFB"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196.1 (78.7)</w:t>
            </w:r>
          </w:p>
        </w:tc>
        <w:tc>
          <w:tcPr>
            <w:tcW w:w="1165" w:type="pct"/>
            <w:tcBorders>
              <w:top w:val="single" w:sz="4" w:space="0" w:color="auto"/>
            </w:tcBorders>
            <w:shd w:val="clear" w:color="auto" w:fill="auto"/>
            <w:noWrap/>
          </w:tcPr>
          <w:p w14:paraId="21EFAB0F" w14:textId="1D72D23B"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239.1 (75.7)</w:t>
            </w:r>
          </w:p>
        </w:tc>
        <w:tc>
          <w:tcPr>
            <w:tcW w:w="605" w:type="pct"/>
            <w:tcBorders>
              <w:top w:val="single" w:sz="4" w:space="0" w:color="auto"/>
            </w:tcBorders>
            <w:shd w:val="clear" w:color="auto" w:fill="auto"/>
          </w:tcPr>
          <w:p w14:paraId="317631B2" w14:textId="469584D8"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3</w:t>
            </w:r>
            <w:r w:rsidRPr="009D4627">
              <w:rPr>
                <w:rFonts w:eastAsia="Times New Roman"/>
                <w:color w:val="000000"/>
                <w:lang w:val="en-MY" w:eastAsia="en-MY"/>
              </w:rPr>
              <w:t>.1</w:t>
            </w:r>
            <w:r w:rsidR="00B235EF" w:rsidRPr="009D4627">
              <w:rPr>
                <w:rFonts w:eastAsia="Times New Roman"/>
                <w:color w:val="000000"/>
                <w:lang w:val="en-MY" w:eastAsia="en-MY"/>
              </w:rPr>
              <w:t>4</w:t>
            </w:r>
          </w:p>
        </w:tc>
        <w:tc>
          <w:tcPr>
            <w:tcW w:w="641" w:type="pct"/>
            <w:tcBorders>
              <w:top w:val="single" w:sz="4" w:space="0" w:color="auto"/>
            </w:tcBorders>
            <w:shd w:val="clear" w:color="auto" w:fill="auto"/>
          </w:tcPr>
          <w:p w14:paraId="15B19DA1" w14:textId="10895C68" w:rsidR="00B06428" w:rsidRPr="009D4627" w:rsidRDefault="009B6A74"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&lt;0.05</w:t>
            </w:r>
            <w:r w:rsidR="006731F1" w:rsidRPr="009D4627">
              <w:rPr>
                <w:rFonts w:eastAsia="Times New Roman"/>
                <w:color w:val="000000"/>
                <w:lang w:val="en-MY" w:eastAsia="en-MY"/>
              </w:rPr>
              <w:t>*</w:t>
            </w:r>
          </w:p>
        </w:tc>
      </w:tr>
      <w:tr w:rsidR="00DE43BD" w:rsidRPr="009D4627" w14:paraId="04774E44" w14:textId="77777777" w:rsidTr="00E8543D">
        <w:trPr>
          <w:trHeight w:val="351"/>
        </w:trPr>
        <w:tc>
          <w:tcPr>
            <w:tcW w:w="563" w:type="pct"/>
            <w:shd w:val="clear" w:color="auto" w:fill="auto"/>
            <w:noWrap/>
            <w:hideMark/>
          </w:tcPr>
          <w:p w14:paraId="52CB64B5"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5FE36499" w14:textId="54759870"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31972131" w14:textId="3C7FF030"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206.6 (71.9)</w:t>
            </w:r>
          </w:p>
        </w:tc>
        <w:tc>
          <w:tcPr>
            <w:tcW w:w="1165" w:type="pct"/>
            <w:shd w:val="clear" w:color="auto" w:fill="auto"/>
            <w:noWrap/>
          </w:tcPr>
          <w:p w14:paraId="0DE125F4" w14:textId="1B92C66B"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232.6 (70.7)</w:t>
            </w:r>
          </w:p>
        </w:tc>
        <w:tc>
          <w:tcPr>
            <w:tcW w:w="605" w:type="pct"/>
            <w:shd w:val="clear" w:color="auto" w:fill="auto"/>
          </w:tcPr>
          <w:p w14:paraId="7DD7C7D7" w14:textId="6C5FB99B" w:rsidR="00B06428" w:rsidRPr="009D4627" w:rsidRDefault="00E8543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6731F1" w:rsidRPr="009D4627">
              <w:rPr>
                <w:rFonts w:eastAsia="Times New Roman"/>
                <w:color w:val="000000"/>
                <w:lang w:val="en-MY" w:eastAsia="en-MY"/>
              </w:rPr>
              <w:t>1.</w:t>
            </w:r>
            <w:r w:rsidRPr="009D4627">
              <w:rPr>
                <w:rFonts w:eastAsia="Times New Roman"/>
                <w:color w:val="000000"/>
                <w:lang w:val="en-MY" w:eastAsia="en-MY"/>
              </w:rPr>
              <w:t>26</w:t>
            </w:r>
          </w:p>
        </w:tc>
        <w:tc>
          <w:tcPr>
            <w:tcW w:w="641" w:type="pct"/>
            <w:shd w:val="clear" w:color="auto" w:fill="auto"/>
          </w:tcPr>
          <w:p w14:paraId="3ABD9E5B" w14:textId="673BF174"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0.2</w:t>
            </w:r>
            <w:r w:rsidR="00E8543D" w:rsidRPr="009D4627">
              <w:rPr>
                <w:rFonts w:eastAsia="Times New Roman"/>
                <w:color w:val="000000"/>
                <w:lang w:val="en-MY" w:eastAsia="en-MY"/>
              </w:rPr>
              <w:t>1</w:t>
            </w:r>
          </w:p>
        </w:tc>
      </w:tr>
      <w:tr w:rsidR="00CA549A" w:rsidRPr="009D4627" w14:paraId="6275ED4F" w14:textId="7DE40189" w:rsidTr="0062282C">
        <w:trPr>
          <w:trHeight w:val="351"/>
        </w:trPr>
        <w:tc>
          <w:tcPr>
            <w:tcW w:w="5000" w:type="pct"/>
            <w:gridSpan w:val="6"/>
            <w:tcBorders>
              <w:top w:val="single" w:sz="4" w:space="0" w:color="auto"/>
              <w:bottom w:val="single" w:sz="4" w:space="0" w:color="auto"/>
            </w:tcBorders>
            <w:shd w:val="clear" w:color="auto" w:fill="auto"/>
            <w:hideMark/>
          </w:tcPr>
          <w:p w14:paraId="2F1BE3A0" w14:textId="6BA0965F" w:rsidR="00CA549A" w:rsidRPr="00CF7FAB" w:rsidRDefault="004B4F56" w:rsidP="00CF7FAB">
            <w:pPr>
              <w:spacing w:before="0" w:after="0" w:line="240" w:lineRule="auto"/>
              <w:jc w:val="left"/>
              <w:rPr>
                <w:rFonts w:eastAsia="Times New Roman"/>
                <w:i/>
                <w:iCs/>
                <w:color w:val="000000"/>
                <w:lang w:val="en-MY" w:eastAsia="en-MY"/>
              </w:rPr>
            </w:pPr>
            <w:r w:rsidRPr="00CF7FAB">
              <w:rPr>
                <w:rFonts w:eastAsia="Times New Roman"/>
                <w:i/>
                <w:iCs/>
                <w:color w:val="000000"/>
                <w:lang w:val="en-MY" w:eastAsia="en-MY"/>
              </w:rPr>
              <w:t>H</w:t>
            </w:r>
            <w:r w:rsidR="00A0582F" w:rsidRPr="00CF7FAB">
              <w:rPr>
                <w:rFonts w:eastAsia="Times New Roman"/>
                <w:i/>
                <w:iCs/>
                <w:color w:val="000000"/>
                <w:lang w:val="en-MY" w:eastAsia="en-MY"/>
              </w:rPr>
              <w:t>orizontal</w:t>
            </w:r>
            <w:r w:rsidR="00CA549A" w:rsidRPr="00CF7FAB">
              <w:rPr>
                <w:rFonts w:eastAsia="Times New Roman"/>
                <w:i/>
                <w:iCs/>
                <w:color w:val="000000"/>
                <w:lang w:val="en-MY" w:eastAsia="en-MY"/>
              </w:rPr>
              <w:t xml:space="preserve"> saccadic gain</w:t>
            </w:r>
            <w:r w:rsidR="00970C47" w:rsidRPr="00CF7FAB">
              <w:rPr>
                <w:rFonts w:eastAsia="Times New Roman"/>
                <w:i/>
                <w:iCs/>
                <w:color w:val="000000"/>
                <w:lang w:val="en-MY" w:eastAsia="en-MY"/>
              </w:rPr>
              <w:t xml:space="preserve"> </w:t>
            </w:r>
          </w:p>
        </w:tc>
      </w:tr>
      <w:tr w:rsidR="00DE43BD" w:rsidRPr="009D4627" w14:paraId="2B5963D3" w14:textId="77777777" w:rsidTr="0062282C">
        <w:trPr>
          <w:trHeight w:val="351"/>
        </w:trPr>
        <w:tc>
          <w:tcPr>
            <w:tcW w:w="563" w:type="pct"/>
            <w:tcBorders>
              <w:top w:val="single" w:sz="4" w:space="0" w:color="auto"/>
            </w:tcBorders>
            <w:shd w:val="clear" w:color="auto" w:fill="auto"/>
            <w:noWrap/>
            <w:hideMark/>
          </w:tcPr>
          <w:p w14:paraId="611DDEE4"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00" w:type="pct"/>
            <w:tcBorders>
              <w:top w:val="single" w:sz="4" w:space="0" w:color="auto"/>
            </w:tcBorders>
            <w:shd w:val="clear" w:color="auto" w:fill="auto"/>
            <w:noWrap/>
            <w:hideMark/>
          </w:tcPr>
          <w:p w14:paraId="51FCBFF2" w14:textId="26C89AAB"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685C8F10" w14:textId="6182F45B" w:rsidR="00B06428" w:rsidRPr="009D4627" w:rsidRDefault="00AD7BB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366D70" w:rsidRPr="009D4627">
              <w:rPr>
                <w:rFonts w:eastAsia="Times New Roman"/>
                <w:color w:val="000000"/>
                <w:lang w:val="en-MY" w:eastAsia="en-MY"/>
              </w:rPr>
              <w:t>67</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(0.28)</w:t>
            </w:r>
          </w:p>
        </w:tc>
        <w:tc>
          <w:tcPr>
            <w:tcW w:w="1165" w:type="pct"/>
            <w:tcBorders>
              <w:top w:val="single" w:sz="4" w:space="0" w:color="auto"/>
            </w:tcBorders>
            <w:shd w:val="clear" w:color="auto" w:fill="auto"/>
            <w:noWrap/>
          </w:tcPr>
          <w:p w14:paraId="41E94516" w14:textId="7F6F981C" w:rsidR="00B06428" w:rsidRPr="009D4627" w:rsidRDefault="00AD7BB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366D70" w:rsidRPr="009D4627">
              <w:rPr>
                <w:rFonts w:eastAsia="Times New Roman"/>
                <w:color w:val="000000"/>
                <w:lang w:val="en-MY" w:eastAsia="en-MY"/>
              </w:rPr>
              <w:t>89</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(0.16)</w:t>
            </w:r>
            <w:r w:rsidR="00D91855" w:rsidRPr="009D4627">
              <w:rPr>
                <w:rFonts w:eastAsia="Times New Roman"/>
                <w:i/>
                <w:iCs/>
                <w:color w:val="000000"/>
                <w:lang w:val="en-MY" w:eastAsia="en-MY"/>
              </w:rPr>
              <w:t xml:space="preserve"> </w:t>
            </w:r>
          </w:p>
        </w:tc>
        <w:tc>
          <w:tcPr>
            <w:tcW w:w="605" w:type="pct"/>
            <w:tcBorders>
              <w:top w:val="single" w:sz="4" w:space="0" w:color="auto"/>
            </w:tcBorders>
          </w:tcPr>
          <w:p w14:paraId="006B97BE" w14:textId="76A9BA24" w:rsidR="00B06428" w:rsidRPr="009D4627" w:rsidRDefault="00E8543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-2.8</w:t>
            </w:r>
            <w:r w:rsidR="00B235EF" w:rsidRPr="009D4627">
              <w:rPr>
                <w:rFonts w:eastAsia="Times New Roman"/>
                <w:color w:val="000000"/>
                <w:lang w:val="en-MY" w:eastAsia="en-MY"/>
              </w:rPr>
              <w:t>4</w:t>
            </w:r>
          </w:p>
        </w:tc>
        <w:tc>
          <w:tcPr>
            <w:tcW w:w="641" w:type="pct"/>
            <w:tcBorders>
              <w:top w:val="single" w:sz="4" w:space="0" w:color="auto"/>
            </w:tcBorders>
          </w:tcPr>
          <w:p w14:paraId="5C9D9737" w14:textId="7EB2D744" w:rsidR="00B06428" w:rsidRPr="009D4627" w:rsidRDefault="009B6A74"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&lt;0.05</w:t>
            </w:r>
            <w:r w:rsidR="006731F1" w:rsidRPr="009D4627">
              <w:rPr>
                <w:rFonts w:eastAsia="Times New Roman"/>
                <w:color w:val="000000"/>
                <w:lang w:val="en-MY" w:eastAsia="en-MY"/>
              </w:rPr>
              <w:t>*</w:t>
            </w:r>
          </w:p>
        </w:tc>
      </w:tr>
      <w:tr w:rsidR="00DE43BD" w:rsidRPr="009D4627" w14:paraId="03E1A10C" w14:textId="77777777" w:rsidTr="0062282C">
        <w:trPr>
          <w:trHeight w:val="351"/>
        </w:trPr>
        <w:tc>
          <w:tcPr>
            <w:tcW w:w="563" w:type="pct"/>
            <w:shd w:val="clear" w:color="auto" w:fill="auto"/>
            <w:noWrap/>
            <w:hideMark/>
          </w:tcPr>
          <w:p w14:paraId="45955E19"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0E47C2BF" w14:textId="4A35FA14"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7206CECF" w14:textId="1235F94E" w:rsidR="00B06428" w:rsidRPr="009D4627" w:rsidRDefault="00AD7BB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0.8</w:t>
            </w:r>
            <w:r w:rsidR="00366D70" w:rsidRPr="009D4627">
              <w:rPr>
                <w:rFonts w:eastAsia="Times New Roman"/>
                <w:color w:val="000000"/>
                <w:lang w:val="en-MY" w:eastAsia="en-MY"/>
              </w:rPr>
              <w:t>4</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(0.13)</w:t>
            </w:r>
          </w:p>
        </w:tc>
        <w:tc>
          <w:tcPr>
            <w:tcW w:w="1165" w:type="pct"/>
            <w:shd w:val="clear" w:color="auto" w:fill="auto"/>
            <w:noWrap/>
          </w:tcPr>
          <w:p w14:paraId="0A38C899" w14:textId="777FF85B" w:rsidR="00B06428" w:rsidRPr="009D4627" w:rsidRDefault="00AD7BB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0.8</w:t>
            </w:r>
            <w:r w:rsidR="00366D70" w:rsidRPr="009D4627">
              <w:rPr>
                <w:rFonts w:eastAsia="Times New Roman"/>
                <w:color w:val="000000"/>
                <w:lang w:val="en-MY" w:eastAsia="en-MY"/>
              </w:rPr>
              <w:t>0</w:t>
            </w:r>
            <w:r w:rsidR="00D91855" w:rsidRPr="009D4627">
              <w:rPr>
                <w:rFonts w:eastAsia="Times New Roman"/>
                <w:color w:val="000000"/>
                <w:lang w:val="en-MY" w:eastAsia="en-MY"/>
              </w:rPr>
              <w:t xml:space="preserve"> </w:t>
            </w:r>
            <w:r w:rsidR="00366D70" w:rsidRPr="009D4627">
              <w:rPr>
                <w:rFonts w:eastAsia="Times New Roman"/>
                <w:color w:val="000000"/>
                <w:lang w:val="en-MY" w:eastAsia="en-MY"/>
              </w:rPr>
              <w:t>(0.21)</w:t>
            </w:r>
          </w:p>
        </w:tc>
        <w:tc>
          <w:tcPr>
            <w:tcW w:w="605" w:type="pct"/>
          </w:tcPr>
          <w:p w14:paraId="7F1647C0" w14:textId="636E8D16" w:rsidR="00B06428" w:rsidRPr="009D4627" w:rsidRDefault="00E8543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0.75</w:t>
            </w:r>
          </w:p>
        </w:tc>
        <w:tc>
          <w:tcPr>
            <w:tcW w:w="641" w:type="pct"/>
          </w:tcPr>
          <w:p w14:paraId="4ED7988B" w14:textId="18D3D734"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E8543D" w:rsidRPr="009D4627">
              <w:rPr>
                <w:rFonts w:eastAsia="Times New Roman"/>
                <w:color w:val="000000"/>
                <w:lang w:val="en-MY" w:eastAsia="en-MY"/>
              </w:rPr>
              <w:t>4</w:t>
            </w:r>
            <w:r w:rsidR="009B6A74" w:rsidRPr="009D4627">
              <w:rPr>
                <w:rFonts w:eastAsia="Times New Roman"/>
                <w:color w:val="000000"/>
                <w:lang w:val="en-MY" w:eastAsia="en-MY"/>
              </w:rPr>
              <w:t>6</w:t>
            </w:r>
          </w:p>
        </w:tc>
      </w:tr>
      <w:tr w:rsidR="00DE43BD" w:rsidRPr="009D4627" w14:paraId="1AF147AE" w14:textId="77777777" w:rsidTr="0062282C">
        <w:trPr>
          <w:trHeight w:val="351"/>
        </w:trPr>
        <w:tc>
          <w:tcPr>
            <w:tcW w:w="563" w:type="pct"/>
            <w:tcBorders>
              <w:top w:val="single" w:sz="4" w:space="0" w:color="auto"/>
            </w:tcBorders>
            <w:shd w:val="clear" w:color="auto" w:fill="auto"/>
            <w:noWrap/>
            <w:hideMark/>
          </w:tcPr>
          <w:p w14:paraId="2D7F18FE" w14:textId="77777777" w:rsidR="00B06428" w:rsidRPr="009D4627" w:rsidRDefault="00B06428"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00" w:type="pct"/>
            <w:tcBorders>
              <w:top w:val="single" w:sz="4" w:space="0" w:color="auto"/>
            </w:tcBorders>
            <w:shd w:val="clear" w:color="auto" w:fill="auto"/>
            <w:noWrap/>
            <w:hideMark/>
          </w:tcPr>
          <w:p w14:paraId="7FEE820A" w14:textId="20887C8D"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7BFFBB8E" w14:textId="298AA752" w:rsidR="00B06428" w:rsidRPr="009D4627" w:rsidRDefault="00AD7BB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0.9</w:t>
            </w:r>
            <w:r w:rsidR="003C4D5A" w:rsidRPr="009D4627">
              <w:rPr>
                <w:rFonts w:eastAsia="Times New Roman"/>
                <w:color w:val="000000"/>
                <w:lang w:val="en-MY" w:eastAsia="en-MY"/>
              </w:rPr>
              <w:t>3 (0.04)</w:t>
            </w:r>
          </w:p>
        </w:tc>
        <w:tc>
          <w:tcPr>
            <w:tcW w:w="1165" w:type="pct"/>
            <w:tcBorders>
              <w:top w:val="single" w:sz="4" w:space="0" w:color="auto"/>
            </w:tcBorders>
            <w:shd w:val="clear" w:color="auto" w:fill="auto"/>
            <w:noWrap/>
          </w:tcPr>
          <w:p w14:paraId="1CCB3598" w14:textId="60296390"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1.01 (0.04)</w:t>
            </w:r>
          </w:p>
        </w:tc>
        <w:tc>
          <w:tcPr>
            <w:tcW w:w="605" w:type="pct"/>
            <w:tcBorders>
              <w:top w:val="single" w:sz="4" w:space="0" w:color="auto"/>
            </w:tcBorders>
          </w:tcPr>
          <w:p w14:paraId="1254D6F5" w14:textId="072229E3"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3</w:t>
            </w:r>
            <w:r w:rsidRPr="009D4627">
              <w:rPr>
                <w:rFonts w:eastAsia="Times New Roman"/>
                <w:color w:val="000000"/>
                <w:lang w:val="en-MY" w:eastAsia="en-MY"/>
              </w:rPr>
              <w:t>.</w:t>
            </w:r>
            <w:r w:rsidR="00E8543D" w:rsidRPr="009D4627">
              <w:rPr>
                <w:rFonts w:eastAsia="Times New Roman"/>
                <w:color w:val="000000"/>
                <w:lang w:val="en-MY" w:eastAsia="en-MY"/>
              </w:rPr>
              <w:t>1</w:t>
            </w:r>
            <w:r w:rsidR="00B235EF" w:rsidRPr="009D4627">
              <w:rPr>
                <w:rFonts w:eastAsia="Times New Roman"/>
                <w:color w:val="000000"/>
                <w:lang w:val="en-MY" w:eastAsia="en-MY"/>
              </w:rPr>
              <w:t>1</w:t>
            </w:r>
          </w:p>
        </w:tc>
        <w:tc>
          <w:tcPr>
            <w:tcW w:w="641" w:type="pct"/>
            <w:tcBorders>
              <w:top w:val="single" w:sz="4" w:space="0" w:color="auto"/>
            </w:tcBorders>
          </w:tcPr>
          <w:p w14:paraId="6CCA845E" w14:textId="6738806E"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9B6A74" w:rsidRPr="009D4627">
              <w:rPr>
                <w:rFonts w:eastAsia="Times New Roman"/>
                <w:color w:val="000000"/>
                <w:lang w:val="en-MY" w:eastAsia="en-MY"/>
              </w:rPr>
              <w:t>2</w:t>
            </w:r>
            <w:r w:rsidR="00E8543D" w:rsidRPr="009D4627">
              <w:rPr>
                <w:rFonts w:eastAsia="Times New Roman"/>
                <w:color w:val="000000"/>
                <w:lang w:val="en-MY" w:eastAsia="en-MY"/>
              </w:rPr>
              <w:t>*</w:t>
            </w:r>
          </w:p>
        </w:tc>
      </w:tr>
      <w:tr w:rsidR="00DE43BD" w:rsidRPr="009D4627" w14:paraId="4DC1E93B" w14:textId="77777777" w:rsidTr="0062282C">
        <w:trPr>
          <w:trHeight w:val="351"/>
        </w:trPr>
        <w:tc>
          <w:tcPr>
            <w:tcW w:w="563" w:type="pct"/>
            <w:shd w:val="clear" w:color="auto" w:fill="auto"/>
            <w:noWrap/>
            <w:hideMark/>
          </w:tcPr>
          <w:p w14:paraId="6727F518" w14:textId="77777777" w:rsidR="00B06428" w:rsidRPr="009D4627" w:rsidRDefault="00B06428" w:rsidP="0062282C">
            <w:pPr>
              <w:spacing w:before="0" w:after="0" w:line="240" w:lineRule="auto"/>
              <w:jc w:val="center"/>
              <w:rPr>
                <w:rFonts w:eastAsia="Times New Roman"/>
                <w:color w:val="000000"/>
                <w:lang w:val="en-MY" w:eastAsia="en-MY"/>
              </w:rPr>
            </w:pPr>
          </w:p>
        </w:tc>
        <w:tc>
          <w:tcPr>
            <w:tcW w:w="800" w:type="pct"/>
            <w:shd w:val="clear" w:color="auto" w:fill="auto"/>
            <w:noWrap/>
            <w:hideMark/>
          </w:tcPr>
          <w:p w14:paraId="02F28432" w14:textId="5AC388B1"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shd w:val="clear" w:color="auto" w:fill="auto"/>
            <w:noWrap/>
          </w:tcPr>
          <w:p w14:paraId="2CC629EA" w14:textId="05A9FF04"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0.94 (0.05)</w:t>
            </w:r>
          </w:p>
        </w:tc>
        <w:tc>
          <w:tcPr>
            <w:tcW w:w="1165" w:type="pct"/>
            <w:shd w:val="clear" w:color="auto" w:fill="auto"/>
            <w:noWrap/>
          </w:tcPr>
          <w:p w14:paraId="4942AEE1" w14:textId="44AF15B2" w:rsidR="00B06428" w:rsidRPr="009D4627" w:rsidRDefault="003C4D5A"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0.95 (0.03)</w:t>
            </w:r>
          </w:p>
        </w:tc>
        <w:tc>
          <w:tcPr>
            <w:tcW w:w="605" w:type="pct"/>
          </w:tcPr>
          <w:p w14:paraId="044E9281" w14:textId="25B15538" w:rsidR="00B06428" w:rsidRPr="009D4627" w:rsidRDefault="006731F1"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0</w:t>
            </w:r>
            <w:r w:rsidRPr="009D4627">
              <w:rPr>
                <w:rFonts w:eastAsia="Times New Roman"/>
                <w:color w:val="000000"/>
                <w:lang w:val="en-MY" w:eastAsia="en-MY"/>
              </w:rPr>
              <w:t>.</w:t>
            </w:r>
            <w:r w:rsidR="00E8543D" w:rsidRPr="009D4627">
              <w:rPr>
                <w:rFonts w:eastAsia="Times New Roman"/>
                <w:color w:val="000000"/>
                <w:lang w:val="en-MY" w:eastAsia="en-MY"/>
              </w:rPr>
              <w:t>5</w:t>
            </w:r>
            <w:r w:rsidR="00B235EF" w:rsidRPr="009D4627">
              <w:rPr>
                <w:rFonts w:eastAsia="Times New Roman"/>
                <w:color w:val="000000"/>
                <w:lang w:val="en-MY" w:eastAsia="en-MY"/>
              </w:rPr>
              <w:t>1</w:t>
            </w:r>
          </w:p>
        </w:tc>
        <w:tc>
          <w:tcPr>
            <w:tcW w:w="641" w:type="pct"/>
          </w:tcPr>
          <w:p w14:paraId="6340954D" w14:textId="254A2414" w:rsidR="00B06428" w:rsidRPr="009D4627" w:rsidRDefault="00E8543D"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0.62</w:t>
            </w:r>
          </w:p>
        </w:tc>
      </w:tr>
      <w:tr w:rsidR="00DE43BD" w:rsidRPr="009D4627" w14:paraId="49E84AC8" w14:textId="77777777" w:rsidTr="0062282C">
        <w:trPr>
          <w:trHeight w:val="351"/>
        </w:trPr>
        <w:tc>
          <w:tcPr>
            <w:tcW w:w="563" w:type="pct"/>
            <w:tcBorders>
              <w:top w:val="single" w:sz="4" w:space="0" w:color="auto"/>
            </w:tcBorders>
            <w:shd w:val="clear" w:color="auto" w:fill="auto"/>
            <w:noWrap/>
            <w:hideMark/>
          </w:tcPr>
          <w:p w14:paraId="424CBAAA" w14:textId="130FCBAD" w:rsidR="00B06428" w:rsidRPr="009D4627" w:rsidRDefault="00AD7BB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lastRenderedPageBreak/>
              <w:t>CN VI</w:t>
            </w:r>
          </w:p>
        </w:tc>
        <w:tc>
          <w:tcPr>
            <w:tcW w:w="800" w:type="pct"/>
            <w:tcBorders>
              <w:top w:val="single" w:sz="4" w:space="0" w:color="auto"/>
            </w:tcBorders>
            <w:shd w:val="clear" w:color="auto" w:fill="auto"/>
            <w:noWrap/>
            <w:hideMark/>
          </w:tcPr>
          <w:p w14:paraId="14A1D39E" w14:textId="76305ECC" w:rsidR="00B06428" w:rsidRPr="00CF7FAB" w:rsidRDefault="00B06428"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Palsy gaze</w:t>
            </w:r>
          </w:p>
        </w:tc>
        <w:tc>
          <w:tcPr>
            <w:tcW w:w="1226" w:type="pct"/>
            <w:tcBorders>
              <w:top w:val="single" w:sz="4" w:space="0" w:color="auto"/>
            </w:tcBorders>
            <w:shd w:val="clear" w:color="auto" w:fill="auto"/>
            <w:noWrap/>
          </w:tcPr>
          <w:p w14:paraId="1F400F4B" w14:textId="3CE66E87"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0.63 (0.32)</w:t>
            </w:r>
          </w:p>
        </w:tc>
        <w:tc>
          <w:tcPr>
            <w:tcW w:w="1165" w:type="pct"/>
            <w:tcBorders>
              <w:top w:val="single" w:sz="4" w:space="0" w:color="auto"/>
            </w:tcBorders>
            <w:shd w:val="clear" w:color="auto" w:fill="auto"/>
            <w:noWrap/>
          </w:tcPr>
          <w:p w14:paraId="7797813E" w14:textId="3B733D94"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0.89 (0.29)</w:t>
            </w:r>
          </w:p>
        </w:tc>
        <w:tc>
          <w:tcPr>
            <w:tcW w:w="605" w:type="pct"/>
            <w:tcBorders>
              <w:top w:val="single" w:sz="4" w:space="0" w:color="auto"/>
            </w:tcBorders>
          </w:tcPr>
          <w:p w14:paraId="2092EE11" w14:textId="12438057" w:rsidR="00B06428" w:rsidRPr="009D4627" w:rsidRDefault="00A0582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2.71</w:t>
            </w:r>
          </w:p>
        </w:tc>
        <w:tc>
          <w:tcPr>
            <w:tcW w:w="641" w:type="pct"/>
            <w:tcBorders>
              <w:top w:val="single" w:sz="4" w:space="0" w:color="auto"/>
            </w:tcBorders>
          </w:tcPr>
          <w:p w14:paraId="3A86A586" w14:textId="3D50502F" w:rsidR="00B06428" w:rsidRPr="009D4627" w:rsidRDefault="009B6A74"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&lt;</w:t>
            </w:r>
            <w:r w:rsidR="00A0582F" w:rsidRPr="009D4627">
              <w:rPr>
                <w:rFonts w:eastAsia="Times New Roman"/>
                <w:color w:val="000000"/>
                <w:lang w:val="en-MY" w:eastAsia="en-MY"/>
              </w:rPr>
              <w:t>0.0</w:t>
            </w:r>
            <w:r w:rsidRPr="009D4627">
              <w:rPr>
                <w:rFonts w:eastAsia="Times New Roman"/>
                <w:color w:val="000000"/>
                <w:lang w:val="en-MY" w:eastAsia="en-MY"/>
              </w:rPr>
              <w:t>5</w:t>
            </w:r>
            <w:r w:rsidR="00A0582F" w:rsidRPr="009D4627">
              <w:rPr>
                <w:rFonts w:eastAsia="Times New Roman"/>
                <w:color w:val="000000"/>
                <w:lang w:val="en-MY" w:eastAsia="en-MY"/>
              </w:rPr>
              <w:t>*</w:t>
            </w:r>
          </w:p>
        </w:tc>
      </w:tr>
      <w:tr w:rsidR="00DE43BD" w:rsidRPr="009D4627" w14:paraId="3643ADB1" w14:textId="77777777" w:rsidTr="0062282C">
        <w:trPr>
          <w:trHeight w:val="351"/>
        </w:trPr>
        <w:tc>
          <w:tcPr>
            <w:tcW w:w="563" w:type="pct"/>
            <w:tcBorders>
              <w:bottom w:val="single" w:sz="4" w:space="0" w:color="auto"/>
            </w:tcBorders>
            <w:shd w:val="clear" w:color="auto" w:fill="auto"/>
            <w:noWrap/>
            <w:hideMark/>
          </w:tcPr>
          <w:p w14:paraId="3CB7670D" w14:textId="5636E584" w:rsidR="00B06428" w:rsidRPr="009D4627" w:rsidRDefault="00B06428" w:rsidP="0062282C">
            <w:pPr>
              <w:spacing w:before="0" w:after="0" w:line="240" w:lineRule="auto"/>
              <w:jc w:val="center"/>
              <w:rPr>
                <w:rFonts w:eastAsia="Times New Roman"/>
                <w:color w:val="000000"/>
                <w:lang w:val="en-MY" w:eastAsia="en-MY"/>
              </w:rPr>
            </w:pPr>
          </w:p>
        </w:tc>
        <w:tc>
          <w:tcPr>
            <w:tcW w:w="800" w:type="pct"/>
            <w:tcBorders>
              <w:bottom w:val="single" w:sz="4" w:space="0" w:color="auto"/>
            </w:tcBorders>
            <w:shd w:val="clear" w:color="auto" w:fill="auto"/>
            <w:noWrap/>
            <w:hideMark/>
          </w:tcPr>
          <w:p w14:paraId="62F9261A" w14:textId="11DB9F12" w:rsidR="00B06428" w:rsidRPr="00CF7FAB" w:rsidRDefault="00EA4EF3" w:rsidP="00CF7FAB">
            <w:pPr>
              <w:spacing w:before="0" w:after="0" w:line="240" w:lineRule="auto"/>
              <w:jc w:val="left"/>
              <w:rPr>
                <w:rFonts w:eastAsia="Times New Roman"/>
                <w:color w:val="000000"/>
                <w:lang w:val="en-MY" w:eastAsia="en-MY"/>
              </w:rPr>
            </w:pPr>
            <w:r w:rsidRPr="00CF7FAB">
              <w:rPr>
                <w:rFonts w:eastAsia="Times New Roman"/>
                <w:color w:val="000000"/>
                <w:lang w:val="en-MY" w:eastAsia="en-MY"/>
              </w:rPr>
              <w:t>Unaffected</w:t>
            </w:r>
            <w:r w:rsidR="00B06428" w:rsidRPr="00CF7FAB">
              <w:rPr>
                <w:rFonts w:eastAsia="Times New Roman"/>
                <w:color w:val="000000"/>
                <w:lang w:val="en-MY" w:eastAsia="en-MY"/>
              </w:rPr>
              <w:t xml:space="preserve"> gaze</w:t>
            </w:r>
          </w:p>
        </w:tc>
        <w:tc>
          <w:tcPr>
            <w:tcW w:w="1226" w:type="pct"/>
            <w:tcBorders>
              <w:bottom w:val="single" w:sz="4" w:space="0" w:color="auto"/>
            </w:tcBorders>
            <w:shd w:val="clear" w:color="auto" w:fill="auto"/>
            <w:noWrap/>
          </w:tcPr>
          <w:p w14:paraId="0B379F1F" w14:textId="40B04A30"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0.72 (0.30)</w:t>
            </w:r>
          </w:p>
        </w:tc>
        <w:tc>
          <w:tcPr>
            <w:tcW w:w="1165" w:type="pct"/>
            <w:tcBorders>
              <w:bottom w:val="single" w:sz="4" w:space="0" w:color="auto"/>
            </w:tcBorders>
            <w:shd w:val="clear" w:color="auto" w:fill="auto"/>
            <w:noWrap/>
          </w:tcPr>
          <w:p w14:paraId="6FE01C69" w14:textId="61B18AC5" w:rsidR="00B06428" w:rsidRPr="009D4627" w:rsidRDefault="00EA3290"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0.83 (0.23)</w:t>
            </w:r>
          </w:p>
        </w:tc>
        <w:tc>
          <w:tcPr>
            <w:tcW w:w="605" w:type="pct"/>
            <w:tcBorders>
              <w:bottom w:val="single" w:sz="4" w:space="0" w:color="auto"/>
            </w:tcBorders>
          </w:tcPr>
          <w:p w14:paraId="549D9C80" w14:textId="2D13E0C2" w:rsidR="00B06428" w:rsidRPr="009D4627" w:rsidRDefault="00A0582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w:t>
            </w:r>
            <w:r w:rsidR="00E8543D" w:rsidRPr="009D4627">
              <w:rPr>
                <w:rFonts w:eastAsia="Times New Roman"/>
                <w:color w:val="000000"/>
                <w:lang w:val="en-MY" w:eastAsia="en-MY"/>
              </w:rPr>
              <w:t>1</w:t>
            </w:r>
            <w:r w:rsidRPr="009D4627">
              <w:rPr>
                <w:rFonts w:eastAsia="Times New Roman"/>
                <w:color w:val="000000"/>
                <w:lang w:val="en-MY" w:eastAsia="en-MY"/>
              </w:rPr>
              <w:t>.</w:t>
            </w:r>
            <w:r w:rsidR="00E8543D" w:rsidRPr="009D4627">
              <w:rPr>
                <w:rFonts w:eastAsia="Times New Roman"/>
                <w:color w:val="000000"/>
                <w:lang w:val="en-MY" w:eastAsia="en-MY"/>
              </w:rPr>
              <w:t>50</w:t>
            </w:r>
          </w:p>
        </w:tc>
        <w:tc>
          <w:tcPr>
            <w:tcW w:w="641" w:type="pct"/>
            <w:tcBorders>
              <w:bottom w:val="single" w:sz="4" w:space="0" w:color="auto"/>
            </w:tcBorders>
          </w:tcPr>
          <w:p w14:paraId="51B14EF1" w14:textId="0DC4ED42" w:rsidR="00B06428" w:rsidRPr="009D4627" w:rsidRDefault="00A0582F" w:rsidP="0062282C">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E8543D" w:rsidRPr="009D4627">
              <w:rPr>
                <w:rFonts w:eastAsia="Times New Roman"/>
                <w:color w:val="000000"/>
                <w:lang w:val="en-MY" w:eastAsia="en-MY"/>
              </w:rPr>
              <w:t>14</w:t>
            </w:r>
          </w:p>
        </w:tc>
      </w:tr>
    </w:tbl>
    <w:bookmarkEnd w:id="522"/>
    <w:p w14:paraId="16CF8FBF" w14:textId="71EB5DA3" w:rsidR="006D0C47" w:rsidRPr="00CF7FAB" w:rsidRDefault="005D3E5C" w:rsidP="005D3E5C">
      <w:pPr>
        <w:spacing w:before="0" w:line="240" w:lineRule="auto"/>
        <w:jc w:val="center"/>
        <w:rPr>
          <w:color w:val="auto"/>
        </w:rPr>
      </w:pPr>
      <w:r w:rsidRPr="00CF7FAB">
        <w:rPr>
          <w:i/>
          <w:iCs/>
          <w:color w:val="auto"/>
        </w:rPr>
        <w:t xml:space="preserve">* </w:t>
      </w:r>
      <w:r w:rsidRPr="00CF7FAB">
        <w:rPr>
          <w:color w:val="auto"/>
        </w:rPr>
        <w:t xml:space="preserve">Data are significant at </w:t>
      </w:r>
      <w:r w:rsidRPr="00CF7FAB">
        <w:rPr>
          <w:i/>
          <w:iCs/>
          <w:color w:val="auto"/>
        </w:rPr>
        <w:t>p</w:t>
      </w:r>
      <w:r w:rsidRPr="00CF7FAB">
        <w:rPr>
          <w:color w:val="auto"/>
        </w:rPr>
        <w:t>&lt;0.05</w:t>
      </w:r>
    </w:p>
    <w:p w14:paraId="3824E8EF" w14:textId="77777777" w:rsidR="00CF7FAB" w:rsidRPr="009D4627" w:rsidRDefault="00CF7FAB" w:rsidP="00CF7FAB">
      <w:pPr>
        <w:rPr>
          <w:lang w:eastAsia="en-MY"/>
        </w:rPr>
      </w:pPr>
      <w:r w:rsidRPr="009D4627">
        <w:rPr>
          <w:lang w:eastAsia="en-MY"/>
        </w:rPr>
        <w:t xml:space="preserve">Thus, the results suggested that utilising a maximum horizontal testing amplitude of ±10°, assessments of horizontal saccadic latency, peak velocity, and gain </w:t>
      </w:r>
      <w:proofErr w:type="gramStart"/>
      <w:r w:rsidRPr="009D4627">
        <w:rPr>
          <w:lang w:eastAsia="en-MY"/>
        </w:rPr>
        <w:t>were capable of detecting</w:t>
      </w:r>
      <w:proofErr w:type="gramEnd"/>
      <w:r w:rsidRPr="009D4627">
        <w:rPr>
          <w:lang w:eastAsia="en-MY"/>
        </w:rPr>
        <w:t xml:space="preserve"> saccadic eye movement abnormalities associated with unilateral acquired ocular nerve palsy especially for CN III and VI palsy. </w:t>
      </w:r>
      <w:r w:rsidRPr="009D4627">
        <w:t xml:space="preserve"> </w:t>
      </w:r>
      <w:r w:rsidRPr="009D4627">
        <w:rPr>
          <w:lang w:eastAsia="en-MY"/>
        </w:rPr>
        <w:t xml:space="preserve">The findings indicate no impairment to CN IV, possibly because neither the medial or lateral rectus is affected in IV palsies. </w:t>
      </w:r>
    </w:p>
    <w:p w14:paraId="76444B11" w14:textId="2AEB2732" w:rsidR="005D3E5C" w:rsidRPr="009D4627" w:rsidRDefault="00CD69ED" w:rsidP="00CA4E90">
      <w:pPr>
        <w:pStyle w:val="Heading4"/>
        <w:rPr>
          <w:lang w:eastAsia="en-MY"/>
        </w:rPr>
      </w:pPr>
      <w:bookmarkStart w:id="527" w:name="_Toc98964724"/>
      <w:bookmarkStart w:id="528" w:name="_Toc103344766"/>
      <w:bookmarkEnd w:id="526"/>
      <w:r w:rsidRPr="009D4627">
        <w:t>Two factor repeated-measures ANOVA</w:t>
      </w:r>
      <w:bookmarkEnd w:id="527"/>
      <w:bookmarkEnd w:id="528"/>
    </w:p>
    <w:p w14:paraId="656DF7DA" w14:textId="717CDCCE" w:rsidR="00551D69" w:rsidRPr="009D4627" w:rsidRDefault="00382002" w:rsidP="00940AE5">
      <w:r w:rsidRPr="009D4627">
        <w:rPr>
          <w:lang w:eastAsia="en-MY"/>
        </w:rPr>
        <w:t>A</w:t>
      </w:r>
      <w:r w:rsidR="00286A91" w:rsidRPr="009D4627">
        <w:t xml:space="preserve"> two-factor repeated-measures ANOVA revealed a significant interaction impact between factors (saccadic directions and follow-up visits) on the palsied eyes' horizontal saccadic latency, peak velocity, and gain, </w:t>
      </w:r>
      <w:r w:rsidR="00286A91" w:rsidRPr="00974B3E">
        <w:rPr>
          <w:i/>
          <w:iCs/>
        </w:rPr>
        <w:t>p</w:t>
      </w:r>
      <w:r w:rsidR="00286A91" w:rsidRPr="009D4627">
        <w:t>&lt;0.05</w:t>
      </w:r>
      <w:r w:rsidR="00CC47DA" w:rsidRPr="009D4627">
        <w:t xml:space="preserve"> (Table 5.9)</w:t>
      </w:r>
      <w:r w:rsidR="00286A91" w:rsidRPr="009D4627">
        <w:t>. The longer the follow-up visits, the better the palsy eye's latency towards the affected gaze, achieving better than the unaffected gaze at the final visit</w:t>
      </w:r>
      <w:r w:rsidR="00BC5446" w:rsidRPr="009D4627">
        <w:t xml:space="preserve"> (Figure 5.1a)</w:t>
      </w:r>
      <w:r w:rsidR="00B96920" w:rsidRPr="009D4627">
        <w:t xml:space="preserve">. </w:t>
      </w:r>
      <w:r w:rsidR="00BC5446" w:rsidRPr="009D4627">
        <w:t>The peak velocity towards the affected gaze increased continuously from the first visit until the final visit, eventually reaching the point better to that of the unaffected gaze, as shown in Figure 5.1b.</w:t>
      </w:r>
      <w:r w:rsidR="008537A9" w:rsidRPr="009D4627">
        <w:t xml:space="preserve"> </w:t>
      </w:r>
      <w:r w:rsidR="004F3E65" w:rsidRPr="009D4627">
        <w:t xml:space="preserve">Initially, the palsy eye's saccadic gain toward the affected gaze was significantly lower than saccades toward the unaffected gaze. However, it improved </w:t>
      </w:r>
      <w:r w:rsidR="004F62A1" w:rsidRPr="009D4627">
        <w:t xml:space="preserve">to </w:t>
      </w:r>
      <w:r w:rsidR="004F3E65" w:rsidRPr="009D4627">
        <w:t>better than the unaffected gaze from eight weeks onward (Figure 5.1c)</w:t>
      </w:r>
      <w:r w:rsidR="00E66C26" w:rsidRPr="009D4627">
        <w:t>.</w:t>
      </w:r>
    </w:p>
    <w:p w14:paraId="7E38C40D" w14:textId="4AC911EA" w:rsidR="004F3E65" w:rsidRPr="009D4627" w:rsidRDefault="00627DAB" w:rsidP="004F3E65">
      <w:r w:rsidRPr="009D4627">
        <w:t xml:space="preserve"> </w:t>
      </w:r>
      <w:r w:rsidR="00DF1045" w:rsidRPr="009D4627">
        <w:t xml:space="preserve"> </w:t>
      </w:r>
    </w:p>
    <w:p w14:paraId="005DA181" w14:textId="18A0113B" w:rsidR="001C3F36" w:rsidRPr="009D4627" w:rsidRDefault="001C3F36" w:rsidP="001C3F36">
      <w:pPr>
        <w:keepNext/>
        <w:spacing w:before="0" w:after="0" w:line="240" w:lineRule="auto"/>
        <w:jc w:val="center"/>
      </w:pPr>
      <w:r w:rsidRPr="009D4627">
        <w:rPr>
          <w:noProof/>
        </w:rPr>
        <w:lastRenderedPageBreak/>
        <w:drawing>
          <wp:inline distT="0" distB="0" distL="0" distR="0" wp14:anchorId="17E9D8C7" wp14:editId="3E9461C1">
            <wp:extent cx="4410075" cy="1620000"/>
            <wp:effectExtent l="0" t="0" r="9525" b="18415"/>
            <wp:docPr id="5" name="Chart 5">
              <a:extLst xmlns:a="http://schemas.openxmlformats.org/drawingml/2006/main">
                <a:ext uri="{FF2B5EF4-FFF2-40B4-BE49-F238E27FC236}">
                  <a16:creationId xmlns:a16="http://schemas.microsoft.com/office/drawing/2014/main" id="{125F341C-9881-4927-A236-C1A9CD740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7E703519" w14:textId="0888840B" w:rsidR="00BB79FC" w:rsidRPr="009D4627" w:rsidRDefault="00B96920" w:rsidP="008537A9">
      <w:pPr>
        <w:spacing w:before="0" w:after="0" w:line="240" w:lineRule="auto"/>
        <w:jc w:val="center"/>
        <w:rPr>
          <w:highlight w:val="yellow"/>
          <w:lang w:val="en-MY" w:eastAsia="en-MY"/>
        </w:rPr>
      </w:pPr>
      <w:r w:rsidRPr="009D4627">
        <w:rPr>
          <w:noProof/>
        </w:rPr>
        <w:drawing>
          <wp:inline distT="0" distB="0" distL="0" distR="0" wp14:anchorId="17FAB0F3" wp14:editId="5D76F3BE">
            <wp:extent cx="4410000" cy="1620000"/>
            <wp:effectExtent l="0" t="0" r="10160" b="18415"/>
            <wp:docPr id="6" name="Chart 6">
              <a:extLst xmlns:a="http://schemas.openxmlformats.org/drawingml/2006/main">
                <a:ext uri="{FF2B5EF4-FFF2-40B4-BE49-F238E27FC236}">
                  <a16:creationId xmlns:a16="http://schemas.microsoft.com/office/drawing/2014/main" id="{6EE59432-A548-4C0E-A043-1D3F326A3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3C4E4E28" w14:textId="77777777" w:rsidR="00EE3D71" w:rsidRDefault="008537A9" w:rsidP="00EE3D71">
      <w:pPr>
        <w:spacing w:before="0" w:after="0" w:line="240" w:lineRule="auto"/>
        <w:jc w:val="center"/>
      </w:pPr>
      <w:r w:rsidRPr="009D4627">
        <w:rPr>
          <w:noProof/>
        </w:rPr>
        <w:drawing>
          <wp:inline distT="0" distB="0" distL="0" distR="0" wp14:anchorId="7E77B9CC" wp14:editId="37719691">
            <wp:extent cx="4410000" cy="1620000"/>
            <wp:effectExtent l="0" t="0" r="10160" b="18415"/>
            <wp:docPr id="7" name="Chart 7">
              <a:extLst xmlns:a="http://schemas.openxmlformats.org/drawingml/2006/main">
                <a:ext uri="{FF2B5EF4-FFF2-40B4-BE49-F238E27FC236}">
                  <a16:creationId xmlns:a16="http://schemas.microsoft.com/office/drawing/2014/main" id="{53F28A32-42FF-4A90-AF35-05FAEA694F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bookmarkStart w:id="529" w:name="_Toc98569844"/>
    </w:p>
    <w:p w14:paraId="22AEA651" w14:textId="35484F67" w:rsidR="008537A9" w:rsidRDefault="005D3E5C" w:rsidP="00CF7FAB">
      <w:pPr>
        <w:spacing w:line="240" w:lineRule="auto"/>
      </w:pPr>
      <w:r w:rsidRPr="009D4627">
        <w:t>Figure 5.</w:t>
      </w:r>
      <w:r w:rsidR="007E7CC8">
        <w:fldChar w:fldCharType="begin"/>
      </w:r>
      <w:r w:rsidR="007E7CC8">
        <w:instrText xml:space="preserve"> SEQ Figure_5. \* ARABIC </w:instrText>
      </w:r>
      <w:r w:rsidR="007E7CC8">
        <w:fldChar w:fldCharType="separate"/>
      </w:r>
      <w:r w:rsidR="00E268F6">
        <w:rPr>
          <w:noProof/>
        </w:rPr>
        <w:t>1</w:t>
      </w:r>
      <w:r w:rsidR="007E7CC8">
        <w:rPr>
          <w:noProof/>
        </w:rPr>
        <w:fldChar w:fldCharType="end"/>
      </w:r>
      <w:r w:rsidRPr="009D4627">
        <w:t>: The line graphs illustrate changes in saccadic a) latency, b) peak velocity, and c) gain in the horizontal direction between saccad</w:t>
      </w:r>
      <w:r w:rsidR="004F62A1" w:rsidRPr="009D4627">
        <w:t>ic</w:t>
      </w:r>
      <w:r w:rsidRPr="009D4627">
        <w:t xml:space="preserve"> movements to affected and unaffected gazes across </w:t>
      </w:r>
      <w:r w:rsidR="004F62A1" w:rsidRPr="009D4627">
        <w:t xml:space="preserve">the </w:t>
      </w:r>
      <w:r w:rsidRPr="009D4627">
        <w:t>four-month research period.</w:t>
      </w:r>
      <w:bookmarkEnd w:id="529"/>
    </w:p>
    <w:p w14:paraId="3F813FF8" w14:textId="77777777" w:rsidR="00C4130D" w:rsidRDefault="00CF7FAB" w:rsidP="00C4130D">
      <w:r w:rsidRPr="009D4627">
        <w:t xml:space="preserve">The simple main effect of horizontal saccadic directions showed no significant different on the horizontal saccadic parameters, </w:t>
      </w:r>
      <w:r w:rsidRPr="00974B3E">
        <w:rPr>
          <w:i/>
          <w:iCs/>
        </w:rPr>
        <w:t>p</w:t>
      </w:r>
      <w:r w:rsidRPr="009D4627">
        <w:t xml:space="preserve">&gt;0.05. However, a simple main effect of follow-up </w:t>
      </w:r>
      <w:proofErr w:type="gramStart"/>
      <w:r w:rsidRPr="009D4627">
        <w:t>visit</w:t>
      </w:r>
      <w:proofErr w:type="gramEnd"/>
      <w:r w:rsidRPr="009D4627">
        <w:t xml:space="preserve"> significantly influenced the horizontal saccadic peak velocity and gain (Table 5.9). Post hoc analysis revealed a 30% increase in peak velocity during the fourth visit compared to the first visit, </w:t>
      </w:r>
      <w:r w:rsidRPr="009D4627">
        <w:rPr>
          <w:i/>
          <w:iCs/>
        </w:rPr>
        <w:t>p</w:t>
      </w:r>
      <w:r w:rsidRPr="009D4627">
        <w:t xml:space="preserve"> = 0.011. Additionally, the saccadic gain increased significantly on the third compared to the first visit, </w:t>
      </w:r>
      <w:r w:rsidRPr="009D4627">
        <w:rPr>
          <w:i/>
          <w:iCs/>
        </w:rPr>
        <w:t>p</w:t>
      </w:r>
      <w:r w:rsidRPr="009D4627">
        <w:t xml:space="preserve"> = 0.039.</w:t>
      </w:r>
      <w:bookmarkStart w:id="530" w:name="_Toc99378023"/>
    </w:p>
    <w:p w14:paraId="01DD2D50" w14:textId="77777777" w:rsidR="00C4130D" w:rsidRDefault="00C4130D" w:rsidP="00C4130D">
      <w:pPr>
        <w:spacing w:line="240" w:lineRule="auto"/>
      </w:pPr>
    </w:p>
    <w:p w14:paraId="1FDE566D" w14:textId="1C52843A" w:rsidR="0075753B" w:rsidRPr="009D4627" w:rsidRDefault="0075753B" w:rsidP="00C4130D">
      <w:pPr>
        <w:spacing w:line="240" w:lineRule="auto"/>
        <w:rPr>
          <w:color w:val="auto"/>
        </w:rPr>
      </w:pPr>
      <w:r w:rsidRPr="009D4627">
        <w:lastRenderedPageBreak/>
        <w:t>Table 5.</w:t>
      </w:r>
      <w:r w:rsidR="007E7CC8">
        <w:fldChar w:fldCharType="begin"/>
      </w:r>
      <w:r w:rsidR="007E7CC8">
        <w:instrText xml:space="preserve"> SEQ Table_5. \* ARABIC </w:instrText>
      </w:r>
      <w:r w:rsidR="007E7CC8">
        <w:fldChar w:fldCharType="separate"/>
      </w:r>
      <w:r w:rsidR="00E268F6">
        <w:rPr>
          <w:noProof/>
        </w:rPr>
        <w:t>9</w:t>
      </w:r>
      <w:r w:rsidR="007E7CC8">
        <w:rPr>
          <w:noProof/>
        </w:rPr>
        <w:fldChar w:fldCharType="end"/>
      </w:r>
      <w:r w:rsidRPr="009D4627">
        <w:t>: Two factors repeated-measures ANOVA investigating the effect of saccade directions and visits changes on the horizontal saccadic parameters.</w:t>
      </w:r>
      <w:bookmarkEnd w:id="530"/>
      <w:r w:rsidRPr="009D4627">
        <w:t xml:space="preserve"> </w:t>
      </w:r>
    </w:p>
    <w:tbl>
      <w:tblPr>
        <w:tblW w:w="5000" w:type="pct"/>
        <w:jc w:val="center"/>
        <w:tblCellMar>
          <w:left w:w="0" w:type="dxa"/>
          <w:right w:w="0" w:type="dxa"/>
        </w:tblCellMar>
        <w:tblLook w:val="0000" w:firstRow="0" w:lastRow="0" w:firstColumn="0" w:lastColumn="0" w:noHBand="0" w:noVBand="0"/>
      </w:tblPr>
      <w:tblGrid>
        <w:gridCol w:w="1689"/>
        <w:gridCol w:w="1878"/>
        <w:gridCol w:w="1390"/>
        <w:gridCol w:w="812"/>
        <w:gridCol w:w="970"/>
        <w:gridCol w:w="1073"/>
        <w:gridCol w:w="1214"/>
      </w:tblGrid>
      <w:tr w:rsidR="009D4627" w:rsidRPr="009D4627" w14:paraId="3604E4A7" w14:textId="77777777" w:rsidTr="00490898">
        <w:trPr>
          <w:cantSplit/>
          <w:jc w:val="center"/>
        </w:trPr>
        <w:tc>
          <w:tcPr>
            <w:tcW w:w="937" w:type="pct"/>
            <w:tcBorders>
              <w:top w:val="single" w:sz="4" w:space="0" w:color="auto"/>
              <w:bottom w:val="single" w:sz="4" w:space="0" w:color="auto"/>
              <w:right w:val="single" w:sz="4" w:space="0" w:color="auto"/>
            </w:tcBorders>
            <w:shd w:val="clear" w:color="auto" w:fill="FFFFFF"/>
          </w:tcPr>
          <w:p w14:paraId="2FA6583C" w14:textId="77777777" w:rsidR="0075753B" w:rsidRPr="009D4627" w:rsidRDefault="0075753B" w:rsidP="00281A92">
            <w:pPr>
              <w:autoSpaceDE w:val="0"/>
              <w:autoSpaceDN w:val="0"/>
              <w:adjustRightInd w:val="0"/>
              <w:spacing w:before="0" w:after="0" w:line="360" w:lineRule="auto"/>
              <w:ind w:left="60" w:right="60"/>
              <w:jc w:val="center"/>
              <w:rPr>
                <w:color w:val="264A60"/>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1B93B7F6" w14:textId="77777777" w:rsidR="0075753B" w:rsidRPr="009D4627" w:rsidRDefault="0075753B" w:rsidP="00281A92">
            <w:pPr>
              <w:autoSpaceDE w:val="0"/>
              <w:autoSpaceDN w:val="0"/>
              <w:adjustRightInd w:val="0"/>
              <w:spacing w:before="0" w:after="0" w:line="360" w:lineRule="auto"/>
              <w:ind w:left="60" w:right="60"/>
              <w:jc w:val="left"/>
              <w:rPr>
                <w:color w:val="264A60"/>
                <w:sz w:val="22"/>
                <w:szCs w:val="22"/>
                <w:lang w:val="en-MY"/>
              </w:rPr>
            </w:pPr>
            <w:r w:rsidRPr="009D4627">
              <w:rPr>
                <w:color w:val="264A60"/>
                <w:sz w:val="22"/>
                <w:szCs w:val="22"/>
                <w:lang w:val="en-MY"/>
              </w:rPr>
              <w:t>Source</w:t>
            </w:r>
          </w:p>
        </w:tc>
        <w:tc>
          <w:tcPr>
            <w:tcW w:w="771" w:type="pct"/>
            <w:tcBorders>
              <w:top w:val="single" w:sz="4" w:space="0" w:color="auto"/>
              <w:left w:val="single" w:sz="4" w:space="0" w:color="auto"/>
              <w:bottom w:val="single" w:sz="4" w:space="0" w:color="auto"/>
              <w:right w:val="single" w:sz="4" w:space="0" w:color="auto"/>
            </w:tcBorders>
            <w:shd w:val="clear" w:color="auto" w:fill="FFFFFF"/>
            <w:vAlign w:val="bottom"/>
          </w:tcPr>
          <w:p w14:paraId="0D051AC2" w14:textId="77777777" w:rsidR="0075753B" w:rsidRPr="009D4627" w:rsidRDefault="0075753B"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SS</w:t>
            </w:r>
          </w:p>
        </w:tc>
        <w:tc>
          <w:tcPr>
            <w:tcW w:w="451" w:type="pct"/>
            <w:tcBorders>
              <w:top w:val="single" w:sz="4" w:space="0" w:color="auto"/>
              <w:left w:val="single" w:sz="4" w:space="0" w:color="auto"/>
              <w:bottom w:val="single" w:sz="4" w:space="0" w:color="auto"/>
              <w:right w:val="single" w:sz="4" w:space="0" w:color="auto"/>
            </w:tcBorders>
            <w:shd w:val="clear" w:color="auto" w:fill="FFFFFF"/>
            <w:vAlign w:val="bottom"/>
          </w:tcPr>
          <w:p w14:paraId="17E03568" w14:textId="77777777" w:rsidR="0075753B" w:rsidRPr="009D4627" w:rsidRDefault="0075753B"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df</w:t>
            </w:r>
          </w:p>
        </w:tc>
        <w:tc>
          <w:tcPr>
            <w:tcW w:w="538" w:type="pct"/>
            <w:tcBorders>
              <w:top w:val="single" w:sz="4" w:space="0" w:color="auto"/>
              <w:left w:val="single" w:sz="4" w:space="0" w:color="auto"/>
              <w:bottom w:val="single" w:sz="4" w:space="0" w:color="auto"/>
              <w:right w:val="single" w:sz="4" w:space="0" w:color="auto"/>
            </w:tcBorders>
            <w:shd w:val="clear" w:color="auto" w:fill="FFFFFF"/>
            <w:vAlign w:val="bottom"/>
          </w:tcPr>
          <w:p w14:paraId="0F6DA1B6" w14:textId="77777777" w:rsidR="0075753B" w:rsidRPr="009D4627" w:rsidRDefault="0075753B"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MS</w:t>
            </w:r>
          </w:p>
        </w:tc>
        <w:tc>
          <w:tcPr>
            <w:tcW w:w="595" w:type="pct"/>
            <w:tcBorders>
              <w:top w:val="single" w:sz="4" w:space="0" w:color="auto"/>
              <w:left w:val="single" w:sz="4" w:space="0" w:color="auto"/>
              <w:bottom w:val="single" w:sz="4" w:space="0" w:color="auto"/>
              <w:right w:val="single" w:sz="4" w:space="0" w:color="auto"/>
            </w:tcBorders>
            <w:shd w:val="clear" w:color="auto" w:fill="FFFFFF"/>
            <w:vAlign w:val="bottom"/>
          </w:tcPr>
          <w:p w14:paraId="7BE18F2B" w14:textId="77777777" w:rsidR="0075753B" w:rsidRPr="00490898" w:rsidRDefault="0075753B" w:rsidP="00281A92">
            <w:pPr>
              <w:autoSpaceDE w:val="0"/>
              <w:autoSpaceDN w:val="0"/>
              <w:adjustRightInd w:val="0"/>
              <w:spacing w:before="0" w:after="0" w:line="360" w:lineRule="auto"/>
              <w:ind w:left="60" w:right="60"/>
              <w:jc w:val="center"/>
              <w:rPr>
                <w:i/>
                <w:iCs/>
                <w:color w:val="264A60"/>
                <w:sz w:val="22"/>
                <w:szCs w:val="22"/>
                <w:lang w:val="en-MY"/>
              </w:rPr>
            </w:pPr>
            <w:r w:rsidRPr="00490898">
              <w:rPr>
                <w:i/>
                <w:iCs/>
                <w:color w:val="264A60"/>
                <w:sz w:val="22"/>
                <w:szCs w:val="22"/>
                <w:lang w:val="en-MY"/>
              </w:rPr>
              <w:t>F</w:t>
            </w:r>
          </w:p>
        </w:tc>
        <w:tc>
          <w:tcPr>
            <w:tcW w:w="673" w:type="pct"/>
            <w:tcBorders>
              <w:top w:val="single" w:sz="4" w:space="0" w:color="auto"/>
              <w:left w:val="single" w:sz="4" w:space="0" w:color="auto"/>
              <w:bottom w:val="single" w:sz="4" w:space="0" w:color="auto"/>
            </w:tcBorders>
            <w:shd w:val="clear" w:color="auto" w:fill="FFFFFF"/>
            <w:vAlign w:val="bottom"/>
          </w:tcPr>
          <w:p w14:paraId="173E4C79" w14:textId="77777777" w:rsidR="0075753B" w:rsidRPr="009D4627" w:rsidRDefault="0075753B" w:rsidP="00281A92">
            <w:pPr>
              <w:autoSpaceDE w:val="0"/>
              <w:autoSpaceDN w:val="0"/>
              <w:adjustRightInd w:val="0"/>
              <w:spacing w:before="0" w:after="0" w:line="360" w:lineRule="auto"/>
              <w:ind w:left="60" w:right="60"/>
              <w:jc w:val="center"/>
              <w:rPr>
                <w:color w:val="264A60"/>
                <w:sz w:val="22"/>
                <w:szCs w:val="22"/>
                <w:lang w:val="en-MY"/>
              </w:rPr>
            </w:pPr>
            <w:r w:rsidRPr="00490898">
              <w:rPr>
                <w:i/>
                <w:iCs/>
                <w:color w:val="264A60"/>
                <w:sz w:val="22"/>
                <w:szCs w:val="22"/>
                <w:lang w:val="en-MY"/>
              </w:rPr>
              <w:t>p</w:t>
            </w:r>
            <w:r w:rsidRPr="009D4627">
              <w:rPr>
                <w:color w:val="264A60"/>
                <w:sz w:val="22"/>
                <w:szCs w:val="22"/>
                <w:lang w:val="en-MY"/>
              </w:rPr>
              <w:t>-value</w:t>
            </w:r>
          </w:p>
        </w:tc>
      </w:tr>
      <w:tr w:rsidR="009D4627" w:rsidRPr="009D4627" w14:paraId="2D8AB9E4" w14:textId="77777777" w:rsidTr="00490898">
        <w:trPr>
          <w:cantSplit/>
          <w:jc w:val="center"/>
        </w:trPr>
        <w:tc>
          <w:tcPr>
            <w:tcW w:w="937" w:type="pct"/>
            <w:vMerge w:val="restart"/>
            <w:tcBorders>
              <w:top w:val="single" w:sz="4" w:space="0" w:color="auto"/>
              <w:right w:val="single" w:sz="4" w:space="0" w:color="auto"/>
            </w:tcBorders>
            <w:shd w:val="clear" w:color="auto" w:fill="FFFFFF"/>
          </w:tcPr>
          <w:p w14:paraId="7F4FCED0" w14:textId="21815800" w:rsidR="0075753B" w:rsidRPr="009D4627" w:rsidRDefault="00490898" w:rsidP="0075753B">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L</w:t>
            </w:r>
            <w:r w:rsidR="0075753B" w:rsidRPr="009D4627">
              <w:rPr>
                <w:color w:val="010205"/>
                <w:sz w:val="22"/>
                <w:szCs w:val="22"/>
                <w:lang w:val="en-MY"/>
              </w:rPr>
              <w:t>atency</w:t>
            </w: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33BE0D9B" w14:textId="0B1CD4E4" w:rsidR="0075753B" w:rsidRPr="009D4627" w:rsidRDefault="0075753B" w:rsidP="0075753B">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1D1CB985" w14:textId="44F09049" w:rsidR="0075753B" w:rsidRPr="009D4627" w:rsidRDefault="0075753B" w:rsidP="0075753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3408.17</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7205DE5B" w14:textId="0EF07E21" w:rsidR="0075753B" w:rsidRPr="009D4627" w:rsidRDefault="003E79CB" w:rsidP="0075753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66304E5B" w14:textId="75E94B3E" w:rsidR="0075753B" w:rsidRPr="009D4627" w:rsidRDefault="0075753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3408.17</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663AD84A" w14:textId="64F3A49C" w:rsidR="0075753B" w:rsidRPr="009D4627" w:rsidRDefault="0075753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2.3</w:t>
            </w:r>
            <w:r w:rsidR="003E79CB" w:rsidRPr="009D4627">
              <w:rPr>
                <w:color w:val="010205"/>
                <w:sz w:val="22"/>
                <w:szCs w:val="22"/>
                <w:lang w:val="en-MY"/>
              </w:rPr>
              <w:t>4</w:t>
            </w:r>
          </w:p>
        </w:tc>
        <w:tc>
          <w:tcPr>
            <w:tcW w:w="673" w:type="pct"/>
            <w:tcBorders>
              <w:top w:val="single" w:sz="4" w:space="0" w:color="auto"/>
              <w:left w:val="single" w:sz="4" w:space="0" w:color="auto"/>
              <w:bottom w:val="single" w:sz="4" w:space="0" w:color="auto"/>
            </w:tcBorders>
            <w:shd w:val="clear" w:color="auto" w:fill="FFFFFF"/>
          </w:tcPr>
          <w:p w14:paraId="7A8889E9" w14:textId="4D234642" w:rsidR="0075753B" w:rsidRPr="009D4627" w:rsidRDefault="003E79C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w:t>
            </w:r>
            <w:r w:rsidR="0075753B" w:rsidRPr="009D4627">
              <w:rPr>
                <w:color w:val="010205"/>
                <w:sz w:val="22"/>
                <w:szCs w:val="22"/>
                <w:lang w:val="en-MY"/>
              </w:rPr>
              <w:t>.1</w:t>
            </w:r>
            <w:r w:rsidRPr="009D4627">
              <w:rPr>
                <w:color w:val="010205"/>
                <w:sz w:val="22"/>
                <w:szCs w:val="22"/>
                <w:lang w:val="en-MY"/>
              </w:rPr>
              <w:t>5</w:t>
            </w:r>
          </w:p>
        </w:tc>
      </w:tr>
      <w:tr w:rsidR="009D4627" w:rsidRPr="009D4627" w14:paraId="2017DEAA" w14:textId="77777777" w:rsidTr="00490898">
        <w:trPr>
          <w:cantSplit/>
          <w:jc w:val="center"/>
        </w:trPr>
        <w:tc>
          <w:tcPr>
            <w:tcW w:w="937" w:type="pct"/>
            <w:vMerge/>
            <w:tcBorders>
              <w:right w:val="single" w:sz="4" w:space="0" w:color="auto"/>
            </w:tcBorders>
            <w:shd w:val="clear" w:color="auto" w:fill="FFFFFF"/>
          </w:tcPr>
          <w:p w14:paraId="531F98C4" w14:textId="77777777" w:rsidR="0075753B" w:rsidRPr="009D4627" w:rsidRDefault="0075753B" w:rsidP="0075753B">
            <w:pPr>
              <w:autoSpaceDE w:val="0"/>
              <w:autoSpaceDN w:val="0"/>
              <w:adjustRightInd w:val="0"/>
              <w:spacing w:before="0" w:after="0" w:line="360" w:lineRule="auto"/>
              <w:ind w:left="60" w:right="60"/>
              <w:jc w:val="center"/>
              <w:rPr>
                <w:color w:val="010205"/>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7E3478E8" w14:textId="77777777" w:rsidR="0075753B" w:rsidRPr="009D4627" w:rsidRDefault="0075753B" w:rsidP="0075753B">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3E0F5717" w14:textId="622E85EB" w:rsidR="0075753B" w:rsidRPr="009D4627" w:rsidRDefault="0075753B" w:rsidP="0075753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18686.31</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6D8CDC1A" w14:textId="47D4C8EB" w:rsidR="0075753B" w:rsidRPr="009D4627" w:rsidRDefault="0075753B" w:rsidP="0075753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4FE4CDFA" w14:textId="438C1072" w:rsidR="0075753B" w:rsidRPr="009D4627" w:rsidRDefault="0075753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12951.12</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17BEC577" w14:textId="30596C7F" w:rsidR="0075753B" w:rsidRPr="009D4627" w:rsidRDefault="0075753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1.9</w:t>
            </w:r>
            <w:r w:rsidR="003E79CB" w:rsidRPr="009D4627">
              <w:rPr>
                <w:color w:val="010205"/>
                <w:sz w:val="22"/>
                <w:szCs w:val="22"/>
                <w:lang w:val="en-MY"/>
              </w:rPr>
              <w:t>2</w:t>
            </w:r>
          </w:p>
        </w:tc>
        <w:tc>
          <w:tcPr>
            <w:tcW w:w="673" w:type="pct"/>
            <w:tcBorders>
              <w:top w:val="single" w:sz="4" w:space="0" w:color="auto"/>
              <w:left w:val="single" w:sz="4" w:space="0" w:color="auto"/>
              <w:bottom w:val="single" w:sz="4" w:space="0" w:color="auto"/>
            </w:tcBorders>
            <w:shd w:val="clear" w:color="auto" w:fill="FFFFFF"/>
          </w:tcPr>
          <w:p w14:paraId="0CAA3150" w14:textId="54D9FD5F" w:rsidR="0075753B" w:rsidRPr="009D4627" w:rsidRDefault="003E79C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w:t>
            </w:r>
            <w:r w:rsidR="0075753B" w:rsidRPr="009D4627">
              <w:rPr>
                <w:color w:val="010205"/>
                <w:sz w:val="22"/>
                <w:szCs w:val="22"/>
                <w:lang w:val="en-MY"/>
              </w:rPr>
              <w:t>.1</w:t>
            </w:r>
            <w:r w:rsidRPr="009D4627">
              <w:rPr>
                <w:color w:val="010205"/>
                <w:sz w:val="22"/>
                <w:szCs w:val="22"/>
                <w:lang w:val="en-MY"/>
              </w:rPr>
              <w:t>8</w:t>
            </w:r>
          </w:p>
        </w:tc>
      </w:tr>
      <w:tr w:rsidR="009D4627" w:rsidRPr="009D4627" w14:paraId="1CBDB3CB" w14:textId="77777777" w:rsidTr="00490898">
        <w:trPr>
          <w:cantSplit/>
          <w:jc w:val="center"/>
        </w:trPr>
        <w:tc>
          <w:tcPr>
            <w:tcW w:w="937" w:type="pct"/>
            <w:vMerge/>
            <w:tcBorders>
              <w:bottom w:val="single" w:sz="4" w:space="0" w:color="auto"/>
              <w:right w:val="single" w:sz="4" w:space="0" w:color="auto"/>
            </w:tcBorders>
            <w:shd w:val="clear" w:color="auto" w:fill="FFFFFF"/>
          </w:tcPr>
          <w:p w14:paraId="440CA88C" w14:textId="77777777" w:rsidR="0075753B" w:rsidRPr="009D4627" w:rsidRDefault="0075753B" w:rsidP="0075753B">
            <w:pPr>
              <w:autoSpaceDE w:val="0"/>
              <w:autoSpaceDN w:val="0"/>
              <w:adjustRightInd w:val="0"/>
              <w:spacing w:before="0" w:after="0" w:line="360" w:lineRule="auto"/>
              <w:ind w:left="60" w:right="60"/>
              <w:jc w:val="center"/>
              <w:rPr>
                <w:color w:val="010205"/>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34AAD402" w14:textId="46EB9CB6" w:rsidR="0075753B" w:rsidRPr="009D4627" w:rsidRDefault="0075753B" w:rsidP="0075753B">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r w:rsidRPr="009D4627">
              <w:rPr>
                <w:color w:val="010205"/>
                <w:sz w:val="22"/>
                <w:szCs w:val="22"/>
                <w:lang w:val="en-MY"/>
              </w:rPr>
              <w:t>*Visit</w:t>
            </w:r>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18941FB4" w14:textId="28246036" w:rsidR="0075753B" w:rsidRPr="009D4627" w:rsidRDefault="0075753B" w:rsidP="0075753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10300.4</w:t>
            </w:r>
            <w:r w:rsidR="003E79CB" w:rsidRPr="009D4627">
              <w:rPr>
                <w:color w:val="010205"/>
                <w:sz w:val="22"/>
                <w:szCs w:val="22"/>
                <w:lang w:val="en-MY"/>
              </w:rPr>
              <w:t>2</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0591011B" w14:textId="62F4D7E0" w:rsidR="0075753B" w:rsidRPr="009D4627" w:rsidRDefault="003E79CB" w:rsidP="0075753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26E40B94" w14:textId="53B4A696" w:rsidR="0075753B" w:rsidRPr="009D4627" w:rsidRDefault="0075753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4924.41</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159CEB09" w14:textId="373E8801" w:rsidR="0075753B" w:rsidRPr="009D4627" w:rsidRDefault="0075753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3.33</w:t>
            </w:r>
          </w:p>
        </w:tc>
        <w:tc>
          <w:tcPr>
            <w:tcW w:w="673" w:type="pct"/>
            <w:tcBorders>
              <w:top w:val="single" w:sz="4" w:space="0" w:color="auto"/>
              <w:left w:val="single" w:sz="4" w:space="0" w:color="auto"/>
              <w:bottom w:val="single" w:sz="4" w:space="0" w:color="auto"/>
            </w:tcBorders>
            <w:shd w:val="clear" w:color="auto" w:fill="FFFFFF"/>
          </w:tcPr>
          <w:p w14:paraId="3FF16993" w14:textId="4015C804" w:rsidR="0075753B" w:rsidRPr="009D4627" w:rsidRDefault="003E79CB" w:rsidP="0075753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w:t>
            </w:r>
            <w:r w:rsidR="0075753B" w:rsidRPr="009D4627">
              <w:rPr>
                <w:color w:val="010205"/>
                <w:sz w:val="22"/>
                <w:szCs w:val="22"/>
                <w:lang w:val="en-MY"/>
              </w:rPr>
              <w:t>.0</w:t>
            </w:r>
            <w:r w:rsidR="00CC47DA" w:rsidRPr="009D4627">
              <w:rPr>
                <w:color w:val="010205"/>
                <w:sz w:val="22"/>
                <w:szCs w:val="22"/>
                <w:lang w:val="en-MY"/>
              </w:rPr>
              <w:t>4</w:t>
            </w:r>
            <w:r w:rsidRPr="009D4627">
              <w:rPr>
                <w:color w:val="010205"/>
                <w:sz w:val="22"/>
                <w:szCs w:val="22"/>
                <w:lang w:val="en-MY"/>
              </w:rPr>
              <w:t>*</w:t>
            </w:r>
          </w:p>
        </w:tc>
      </w:tr>
      <w:tr w:rsidR="009D4627" w:rsidRPr="009D4627" w14:paraId="3F74CB65" w14:textId="77777777" w:rsidTr="00490898">
        <w:trPr>
          <w:cantSplit/>
          <w:jc w:val="center"/>
        </w:trPr>
        <w:tc>
          <w:tcPr>
            <w:tcW w:w="937" w:type="pct"/>
            <w:vMerge w:val="restart"/>
            <w:tcBorders>
              <w:top w:val="single" w:sz="4" w:space="0" w:color="auto"/>
              <w:right w:val="single" w:sz="4" w:space="0" w:color="auto"/>
            </w:tcBorders>
            <w:shd w:val="clear" w:color="auto" w:fill="FFFFFF"/>
          </w:tcPr>
          <w:p w14:paraId="67752A02" w14:textId="1D0A5B82" w:rsidR="003E79CB" w:rsidRPr="009D4627" w:rsidRDefault="00490898" w:rsidP="003E79CB">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Peak</w:t>
            </w:r>
            <w:r w:rsidR="003E79CB" w:rsidRPr="009D4627">
              <w:rPr>
                <w:color w:val="010205"/>
                <w:sz w:val="22"/>
                <w:szCs w:val="22"/>
                <w:lang w:val="en-MY"/>
              </w:rPr>
              <w:t xml:space="preserve"> velocity</w:t>
            </w: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14D97874" w14:textId="3AA4AD05" w:rsidR="003E79CB" w:rsidRPr="009D4627" w:rsidRDefault="003E79CB" w:rsidP="003E79CB">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75EEB8ED" w14:textId="7D726ED0"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5004.10</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6239648A" w14:textId="0414F403"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4ED2F97E" w14:textId="701C7390"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5004.10</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0EBA3E2E" w14:textId="67708AAE"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0.20</w:t>
            </w:r>
          </w:p>
        </w:tc>
        <w:tc>
          <w:tcPr>
            <w:tcW w:w="673" w:type="pct"/>
            <w:tcBorders>
              <w:top w:val="single" w:sz="4" w:space="0" w:color="auto"/>
              <w:left w:val="single" w:sz="4" w:space="0" w:color="auto"/>
              <w:bottom w:val="single" w:sz="4" w:space="0" w:color="auto"/>
            </w:tcBorders>
            <w:shd w:val="clear" w:color="auto" w:fill="FFFFFF"/>
          </w:tcPr>
          <w:p w14:paraId="19F0114D" w14:textId="2E4DC155"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0.66</w:t>
            </w:r>
          </w:p>
        </w:tc>
      </w:tr>
      <w:tr w:rsidR="009D4627" w:rsidRPr="009D4627" w14:paraId="3E79EA82" w14:textId="77777777" w:rsidTr="00490898">
        <w:trPr>
          <w:cantSplit/>
          <w:jc w:val="center"/>
        </w:trPr>
        <w:tc>
          <w:tcPr>
            <w:tcW w:w="937" w:type="pct"/>
            <w:vMerge/>
            <w:tcBorders>
              <w:right w:val="single" w:sz="4" w:space="0" w:color="auto"/>
            </w:tcBorders>
            <w:shd w:val="clear" w:color="auto" w:fill="FFFFFF"/>
          </w:tcPr>
          <w:p w14:paraId="58268B5E" w14:textId="77777777"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59BD6FA9" w14:textId="247E37F7" w:rsidR="003E79CB" w:rsidRPr="009D4627" w:rsidRDefault="003E79CB" w:rsidP="003E79CB">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5371906B" w14:textId="7BD56C99"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77482.32</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46BE3389" w14:textId="1C839E93"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09CBE05F" w14:textId="62F0A54D"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35774.80</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6D6B4891" w14:textId="21511ECE"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5.96</w:t>
            </w:r>
          </w:p>
        </w:tc>
        <w:tc>
          <w:tcPr>
            <w:tcW w:w="673" w:type="pct"/>
            <w:tcBorders>
              <w:top w:val="single" w:sz="4" w:space="0" w:color="auto"/>
              <w:left w:val="single" w:sz="4" w:space="0" w:color="auto"/>
              <w:bottom w:val="single" w:sz="4" w:space="0" w:color="auto"/>
            </w:tcBorders>
            <w:shd w:val="clear" w:color="auto" w:fill="FFFFFF"/>
          </w:tcPr>
          <w:p w14:paraId="47CBDB63" w14:textId="461E8FBC"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w:t>
            </w:r>
            <w:r w:rsidR="00CC47DA" w:rsidRPr="009D4627">
              <w:rPr>
                <w:color w:val="010205"/>
                <w:sz w:val="22"/>
                <w:szCs w:val="22"/>
                <w:lang w:val="en-MY"/>
              </w:rPr>
              <w:t>1</w:t>
            </w:r>
            <w:r w:rsidRPr="009D4627">
              <w:rPr>
                <w:color w:val="010205"/>
                <w:sz w:val="22"/>
                <w:szCs w:val="22"/>
                <w:lang w:val="en-MY"/>
              </w:rPr>
              <w:t>*</w:t>
            </w:r>
          </w:p>
        </w:tc>
      </w:tr>
      <w:tr w:rsidR="009D4627" w:rsidRPr="009D4627" w14:paraId="3129FC7D" w14:textId="77777777" w:rsidTr="00490898">
        <w:trPr>
          <w:cantSplit/>
          <w:jc w:val="center"/>
        </w:trPr>
        <w:tc>
          <w:tcPr>
            <w:tcW w:w="937" w:type="pct"/>
            <w:vMerge/>
            <w:tcBorders>
              <w:bottom w:val="single" w:sz="4" w:space="0" w:color="auto"/>
              <w:right w:val="single" w:sz="4" w:space="0" w:color="auto"/>
            </w:tcBorders>
            <w:shd w:val="clear" w:color="auto" w:fill="FFFFFF"/>
          </w:tcPr>
          <w:p w14:paraId="52CA4F56" w14:textId="77777777"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365287C2" w14:textId="067CA394" w:rsidR="003E79CB" w:rsidRPr="009D4627" w:rsidRDefault="003E79CB" w:rsidP="003E79CB">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r w:rsidRPr="009D4627">
              <w:rPr>
                <w:color w:val="010205"/>
                <w:sz w:val="22"/>
                <w:szCs w:val="22"/>
                <w:lang w:val="en-MY"/>
              </w:rPr>
              <w:t>*Visit</w:t>
            </w:r>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172EFE70" w14:textId="627D90FB"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69235.46</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00E3C3D1" w14:textId="0EB8B12C" w:rsidR="003E79CB" w:rsidRPr="009D4627" w:rsidRDefault="003E79CB" w:rsidP="003E79CB">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3CDBD416" w14:textId="57E4D043"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41494.91</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58641B72" w14:textId="7252A7B9"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5.08</w:t>
            </w:r>
          </w:p>
        </w:tc>
        <w:tc>
          <w:tcPr>
            <w:tcW w:w="673" w:type="pct"/>
            <w:tcBorders>
              <w:top w:val="single" w:sz="4" w:space="0" w:color="auto"/>
              <w:left w:val="single" w:sz="4" w:space="0" w:color="auto"/>
              <w:bottom w:val="single" w:sz="4" w:space="0" w:color="auto"/>
            </w:tcBorders>
            <w:shd w:val="clear" w:color="auto" w:fill="FFFFFF"/>
          </w:tcPr>
          <w:p w14:paraId="137DC659" w14:textId="4A3A23FC" w:rsidR="003E79CB" w:rsidRPr="009D4627" w:rsidRDefault="003E79CB" w:rsidP="003E79CB">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0.02*</w:t>
            </w:r>
          </w:p>
        </w:tc>
      </w:tr>
      <w:tr w:rsidR="009D4627" w:rsidRPr="009D4627" w14:paraId="40C71844" w14:textId="77777777" w:rsidTr="00490898">
        <w:trPr>
          <w:cantSplit/>
          <w:jc w:val="center"/>
        </w:trPr>
        <w:tc>
          <w:tcPr>
            <w:tcW w:w="937" w:type="pct"/>
            <w:vMerge w:val="restart"/>
            <w:tcBorders>
              <w:top w:val="single" w:sz="4" w:space="0" w:color="auto"/>
              <w:right w:val="single" w:sz="4" w:space="0" w:color="auto"/>
            </w:tcBorders>
            <w:shd w:val="clear" w:color="auto" w:fill="FFFFFF"/>
          </w:tcPr>
          <w:p w14:paraId="3638971A" w14:textId="597D50C7" w:rsidR="00CC47DA" w:rsidRPr="009D4627" w:rsidRDefault="00490898" w:rsidP="00CC47DA">
            <w:pPr>
              <w:autoSpaceDE w:val="0"/>
              <w:autoSpaceDN w:val="0"/>
              <w:adjustRightInd w:val="0"/>
              <w:spacing w:before="0" w:after="0" w:line="360" w:lineRule="auto"/>
              <w:ind w:left="60" w:right="60"/>
              <w:jc w:val="left"/>
              <w:rPr>
                <w:color w:val="010205"/>
                <w:sz w:val="22"/>
                <w:szCs w:val="22"/>
                <w:lang w:val="en-MY"/>
              </w:rPr>
            </w:pPr>
            <w:r>
              <w:rPr>
                <w:color w:val="010205"/>
                <w:sz w:val="22"/>
                <w:szCs w:val="22"/>
                <w:lang w:val="en-MY"/>
              </w:rPr>
              <w:t>G</w:t>
            </w:r>
            <w:r w:rsidR="00CC47DA" w:rsidRPr="009D4627">
              <w:rPr>
                <w:color w:val="010205"/>
                <w:sz w:val="22"/>
                <w:szCs w:val="22"/>
                <w:lang w:val="en-MY"/>
              </w:rPr>
              <w:t>ain</w:t>
            </w: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340990C5" w14:textId="6D8DA959" w:rsidR="00CC47DA" w:rsidRPr="009D4627" w:rsidRDefault="00CC47DA" w:rsidP="00CC47DA">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6E03A49D" w14:textId="026836E1"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&lt;0.01</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1CCF0D14" w14:textId="730E0FE1"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4E357D6D" w14:textId="7D842924"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&lt;0.01</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75198B2C" w14:textId="382FE49F"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&lt;0.01</w:t>
            </w:r>
          </w:p>
        </w:tc>
        <w:tc>
          <w:tcPr>
            <w:tcW w:w="673" w:type="pct"/>
            <w:tcBorders>
              <w:top w:val="single" w:sz="4" w:space="0" w:color="auto"/>
              <w:left w:val="single" w:sz="4" w:space="0" w:color="auto"/>
              <w:bottom w:val="single" w:sz="4" w:space="0" w:color="auto"/>
            </w:tcBorders>
            <w:shd w:val="clear" w:color="auto" w:fill="FFFFFF"/>
          </w:tcPr>
          <w:p w14:paraId="6FFD093F" w14:textId="41D4486E"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1.00</w:t>
            </w:r>
          </w:p>
        </w:tc>
      </w:tr>
      <w:tr w:rsidR="009D4627" w:rsidRPr="009D4627" w14:paraId="2D5469A9" w14:textId="77777777" w:rsidTr="00490898">
        <w:trPr>
          <w:cantSplit/>
          <w:jc w:val="center"/>
        </w:trPr>
        <w:tc>
          <w:tcPr>
            <w:tcW w:w="937" w:type="pct"/>
            <w:vMerge/>
            <w:tcBorders>
              <w:right w:val="single" w:sz="4" w:space="0" w:color="auto"/>
            </w:tcBorders>
            <w:shd w:val="clear" w:color="auto" w:fill="FFFFFF"/>
          </w:tcPr>
          <w:p w14:paraId="3B5421D8" w14:textId="77777777"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25A33396" w14:textId="0C6154EF" w:rsidR="00CC47DA" w:rsidRPr="009D4627" w:rsidRDefault="00CC47DA" w:rsidP="00CC47DA">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00FECC5A" w14:textId="2B3DB1BF"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1.42</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49F2376A" w14:textId="78D8BBBC"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6C44C97A" w14:textId="3F78E04D"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0.62</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25F24F2C" w14:textId="5130E2B6"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11.94</w:t>
            </w:r>
          </w:p>
        </w:tc>
        <w:tc>
          <w:tcPr>
            <w:tcW w:w="673" w:type="pct"/>
            <w:tcBorders>
              <w:top w:val="single" w:sz="4" w:space="0" w:color="auto"/>
              <w:left w:val="single" w:sz="4" w:space="0" w:color="auto"/>
              <w:bottom w:val="single" w:sz="4" w:space="0" w:color="auto"/>
            </w:tcBorders>
            <w:shd w:val="clear" w:color="auto" w:fill="FFFFFF"/>
          </w:tcPr>
          <w:p w14:paraId="5BD41C94" w14:textId="54871222"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&lt;0.01*</w:t>
            </w:r>
          </w:p>
        </w:tc>
      </w:tr>
      <w:tr w:rsidR="009D4627" w:rsidRPr="009D4627" w14:paraId="5117FE79" w14:textId="77777777" w:rsidTr="00490898">
        <w:trPr>
          <w:cantSplit/>
          <w:jc w:val="center"/>
        </w:trPr>
        <w:tc>
          <w:tcPr>
            <w:tcW w:w="937" w:type="pct"/>
            <w:vMerge/>
            <w:tcBorders>
              <w:bottom w:val="single" w:sz="4" w:space="0" w:color="auto"/>
              <w:right w:val="single" w:sz="4" w:space="0" w:color="auto"/>
            </w:tcBorders>
            <w:shd w:val="clear" w:color="auto" w:fill="FFFFFF"/>
          </w:tcPr>
          <w:p w14:paraId="44C0BD92" w14:textId="77777777"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p>
        </w:tc>
        <w:tc>
          <w:tcPr>
            <w:tcW w:w="1035" w:type="pct"/>
            <w:tcBorders>
              <w:top w:val="single" w:sz="4" w:space="0" w:color="auto"/>
              <w:left w:val="single" w:sz="4" w:space="0" w:color="auto"/>
              <w:bottom w:val="single" w:sz="4" w:space="0" w:color="auto"/>
              <w:right w:val="single" w:sz="4" w:space="0" w:color="auto"/>
            </w:tcBorders>
            <w:shd w:val="clear" w:color="auto" w:fill="FFFFFF"/>
          </w:tcPr>
          <w:p w14:paraId="3135557E" w14:textId="63223F77" w:rsidR="00CC47DA" w:rsidRPr="009D4627" w:rsidRDefault="00CC47DA" w:rsidP="00CC47DA">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r w:rsidRPr="009D4627">
              <w:rPr>
                <w:color w:val="010205"/>
                <w:sz w:val="22"/>
                <w:szCs w:val="22"/>
                <w:lang w:val="en-MY"/>
              </w:rPr>
              <w:t>*Visit</w:t>
            </w:r>
          </w:p>
        </w:tc>
        <w:tc>
          <w:tcPr>
            <w:tcW w:w="771" w:type="pct"/>
            <w:tcBorders>
              <w:top w:val="single" w:sz="4" w:space="0" w:color="auto"/>
              <w:left w:val="single" w:sz="4" w:space="0" w:color="auto"/>
              <w:bottom w:val="single" w:sz="4" w:space="0" w:color="auto"/>
              <w:right w:val="single" w:sz="4" w:space="0" w:color="auto"/>
            </w:tcBorders>
            <w:shd w:val="clear" w:color="auto" w:fill="FFFFFF"/>
          </w:tcPr>
          <w:p w14:paraId="661D993D" w14:textId="11E68653"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0.56</w:t>
            </w:r>
          </w:p>
        </w:tc>
        <w:tc>
          <w:tcPr>
            <w:tcW w:w="451" w:type="pct"/>
            <w:tcBorders>
              <w:top w:val="single" w:sz="4" w:space="0" w:color="auto"/>
              <w:left w:val="single" w:sz="4" w:space="0" w:color="auto"/>
              <w:bottom w:val="single" w:sz="4" w:space="0" w:color="auto"/>
              <w:right w:val="single" w:sz="4" w:space="0" w:color="auto"/>
            </w:tcBorders>
            <w:shd w:val="clear" w:color="auto" w:fill="FFFFFF"/>
          </w:tcPr>
          <w:p w14:paraId="188CAA88" w14:textId="53BBD9F2" w:rsidR="00CC47DA" w:rsidRPr="009D4627" w:rsidRDefault="00CC47DA" w:rsidP="00CC47DA">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38" w:type="pct"/>
            <w:tcBorders>
              <w:top w:val="single" w:sz="4" w:space="0" w:color="auto"/>
              <w:left w:val="single" w:sz="4" w:space="0" w:color="auto"/>
              <w:bottom w:val="single" w:sz="4" w:space="0" w:color="auto"/>
              <w:right w:val="single" w:sz="4" w:space="0" w:color="auto"/>
            </w:tcBorders>
            <w:shd w:val="clear" w:color="auto" w:fill="FFFFFF"/>
          </w:tcPr>
          <w:p w14:paraId="6776D010" w14:textId="1082A5E3"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0.38</w:t>
            </w:r>
          </w:p>
        </w:tc>
        <w:tc>
          <w:tcPr>
            <w:tcW w:w="595" w:type="pct"/>
            <w:tcBorders>
              <w:top w:val="single" w:sz="4" w:space="0" w:color="auto"/>
              <w:left w:val="single" w:sz="4" w:space="0" w:color="auto"/>
              <w:bottom w:val="single" w:sz="4" w:space="0" w:color="auto"/>
              <w:right w:val="single" w:sz="4" w:space="0" w:color="auto"/>
            </w:tcBorders>
            <w:shd w:val="clear" w:color="auto" w:fill="FFFFFF"/>
          </w:tcPr>
          <w:p w14:paraId="5418D98B" w14:textId="6713A8C6"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4.73</w:t>
            </w:r>
          </w:p>
        </w:tc>
        <w:tc>
          <w:tcPr>
            <w:tcW w:w="673" w:type="pct"/>
            <w:tcBorders>
              <w:top w:val="single" w:sz="4" w:space="0" w:color="auto"/>
              <w:left w:val="single" w:sz="4" w:space="0" w:color="auto"/>
              <w:bottom w:val="single" w:sz="4" w:space="0" w:color="auto"/>
            </w:tcBorders>
            <w:shd w:val="clear" w:color="auto" w:fill="FFFFFF"/>
          </w:tcPr>
          <w:p w14:paraId="585E7A45" w14:textId="4A0C7D14" w:rsidR="00CC47DA" w:rsidRPr="009D4627" w:rsidRDefault="00CC47DA" w:rsidP="00CC47DA">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0.03*</w:t>
            </w:r>
          </w:p>
        </w:tc>
      </w:tr>
    </w:tbl>
    <w:p w14:paraId="0AE21CA1" w14:textId="77777777" w:rsidR="0075753B" w:rsidRPr="00CF7FAB" w:rsidRDefault="0075753B" w:rsidP="0075753B">
      <w:pPr>
        <w:spacing w:before="0" w:after="0"/>
        <w:jc w:val="center"/>
        <w:rPr>
          <w:i/>
          <w:iCs/>
          <w:color w:val="auto"/>
        </w:rPr>
      </w:pPr>
      <w:r w:rsidRPr="00CF7FAB">
        <w:rPr>
          <w:i/>
          <w:iCs/>
          <w:color w:val="auto"/>
        </w:rPr>
        <w:t xml:space="preserve">* </w:t>
      </w:r>
      <w:r w:rsidRPr="00CF7FAB">
        <w:rPr>
          <w:color w:val="auto"/>
        </w:rPr>
        <w:t xml:space="preserve">Data are significant at </w:t>
      </w:r>
      <w:r w:rsidRPr="00CF7FAB">
        <w:rPr>
          <w:i/>
          <w:iCs/>
          <w:color w:val="auto"/>
        </w:rPr>
        <w:t>p</w:t>
      </w:r>
      <w:r w:rsidRPr="00CF7FAB">
        <w:rPr>
          <w:color w:val="auto"/>
        </w:rPr>
        <w:t>&lt;0.05</w:t>
      </w:r>
    </w:p>
    <w:p w14:paraId="5AFA4B72" w14:textId="77777777" w:rsidR="003E79CB" w:rsidRPr="009D4627" w:rsidRDefault="003E79CB" w:rsidP="003E79CB">
      <w:pPr>
        <w:autoSpaceDE w:val="0"/>
        <w:autoSpaceDN w:val="0"/>
        <w:adjustRightInd w:val="0"/>
        <w:spacing w:before="0" w:after="0" w:line="240" w:lineRule="auto"/>
        <w:jc w:val="left"/>
        <w:rPr>
          <w:color w:val="auto"/>
          <w:lang w:val="en-MY"/>
        </w:rPr>
      </w:pPr>
    </w:p>
    <w:p w14:paraId="67CCE3B2" w14:textId="7E7F1864" w:rsidR="00882592" w:rsidRPr="009D4627" w:rsidRDefault="00882592" w:rsidP="00CA4E90">
      <w:pPr>
        <w:pStyle w:val="Heading4"/>
      </w:pPr>
      <w:bookmarkStart w:id="531" w:name="_Toc98964725"/>
      <w:bookmarkStart w:id="532" w:name="_Toc103344767"/>
      <w:r w:rsidRPr="009D4627">
        <w:t>Linear regression to predict changes of eye movement with time</w:t>
      </w:r>
      <w:bookmarkEnd w:id="531"/>
      <w:bookmarkEnd w:id="532"/>
    </w:p>
    <w:p w14:paraId="5A2C8203" w14:textId="44ED8AB6" w:rsidR="009340BF" w:rsidRPr="009D4627" w:rsidRDefault="009340BF" w:rsidP="00C44472">
      <w:r w:rsidRPr="009D4627">
        <w:t>A liner regression analysis established that the follow-up visit was significant</w:t>
      </w:r>
      <w:r w:rsidR="00586B56" w:rsidRPr="009D4627">
        <w:t>ly</w:t>
      </w:r>
      <w:r w:rsidRPr="009D4627">
        <w:t xml:space="preserve"> predi</w:t>
      </w:r>
      <w:r w:rsidR="00586B56" w:rsidRPr="009D4627">
        <w:t>cted the</w:t>
      </w:r>
      <w:r w:rsidRPr="009D4627">
        <w:t xml:space="preserve"> horizontal saccadic gain</w:t>
      </w:r>
      <w:r w:rsidR="00586B56" w:rsidRPr="009D4627">
        <w:t xml:space="preserve">, </w:t>
      </w:r>
      <w:r w:rsidRPr="00490898">
        <w:rPr>
          <w:i/>
          <w:iCs/>
        </w:rPr>
        <w:t>F</w:t>
      </w:r>
      <w:r w:rsidRPr="009D4627">
        <w:t xml:space="preserve">(1,45) = 11.522, </w:t>
      </w:r>
      <w:r w:rsidRPr="009D4627">
        <w:rPr>
          <w:i/>
          <w:iCs/>
        </w:rPr>
        <w:t>p</w:t>
      </w:r>
      <w:r w:rsidRPr="009D4627">
        <w:t xml:space="preserve"> </w:t>
      </w:r>
      <w:r w:rsidR="002A3804" w:rsidRPr="009D4627">
        <w:t>&lt;0.</w:t>
      </w:r>
      <w:r w:rsidRPr="009D4627">
        <w:t>0</w:t>
      </w:r>
      <w:r w:rsidR="002A3804" w:rsidRPr="009D4627">
        <w:t>5</w:t>
      </w:r>
      <w:r w:rsidR="00586B56" w:rsidRPr="009D4627">
        <w:t xml:space="preserve">, accounting for 20% of the variation in horizontal saccadic gain with adjusted </w:t>
      </w:r>
      <w:r w:rsidR="00586B56" w:rsidRPr="009D4627">
        <w:rPr>
          <w:i/>
          <w:iCs/>
        </w:rPr>
        <w:t>R</w:t>
      </w:r>
      <w:r w:rsidR="00586B56" w:rsidRPr="009D4627">
        <w:rPr>
          <w:i/>
          <w:iCs/>
          <w:vertAlign w:val="superscript"/>
        </w:rPr>
        <w:t>2</w:t>
      </w:r>
      <w:r w:rsidR="00586B56" w:rsidRPr="009D4627">
        <w:t xml:space="preserve"> = 18.6%</w:t>
      </w:r>
      <w:r w:rsidR="002A3804" w:rsidRPr="009D4627">
        <w:t>,</w:t>
      </w:r>
      <w:r w:rsidR="00586B56" w:rsidRPr="009D4627">
        <w:t xml:space="preserve"> a medium size effect </w:t>
      </w:r>
      <w:r w:rsidR="00586B56" w:rsidRPr="009D4627">
        <w:fldChar w:fldCharType="begin"/>
      </w:r>
      <w:r w:rsidR="00586B56" w:rsidRPr="009D4627">
        <w:instrText xml:space="preserve"> ADDIN EN.CITE &lt;EndNote&gt;&lt;Cite&gt;&lt;Author&gt;Cohen&lt;/Author&gt;&lt;Year&gt;1988&lt;/Year&gt;&lt;IDText&gt;Statistical power analysis for the behavioral sciences.&lt;/IDText&gt;&lt;DisplayText&gt;(Cohen, 1988)&lt;/DisplayText&gt;&lt;record&gt;&lt;titles&gt;&lt;title&gt;Statistical power analysis for the behavioral sciences.&lt;/title&gt;&lt;/titles&gt;&lt;contributors&gt;&lt;authors&gt;&lt;author&gt;Cohen, J.&lt;/author&gt;&lt;/authors&gt;&lt;/contributors&gt;&lt;added-date format="utc"&gt;1645877222&lt;/added-date&gt;&lt;pub-location&gt;New York: NY&lt;/pub-location&gt;&lt;ref-type name="Book"&gt;6&lt;/ref-type&gt;&lt;dates&gt;&lt;year&gt;1988&lt;/year&gt;&lt;/dates&gt;&lt;rec-number&gt;798&lt;/rec-number&gt;&lt;publisher&gt;New York: NY: Psychology Press&lt;/publisher&gt;&lt;last-updated-date format="utc"&gt;1645877598&lt;/last-updated-date&gt;&lt;contributors&gt;&lt;secondary-authors&gt;&lt;author&gt;2nd&lt;/author&gt;&lt;/secondary-authors&gt;&lt;/contributors&gt;&lt;/record&gt;&lt;/Cite&gt;&lt;/EndNote&gt;</w:instrText>
      </w:r>
      <w:r w:rsidR="00586B56" w:rsidRPr="009D4627">
        <w:fldChar w:fldCharType="separate"/>
      </w:r>
      <w:r w:rsidR="00586B56" w:rsidRPr="009D4627">
        <w:rPr>
          <w:noProof/>
        </w:rPr>
        <w:t>(Cohen, 1988)</w:t>
      </w:r>
      <w:r w:rsidR="00586B56" w:rsidRPr="009D4627">
        <w:fldChar w:fldCharType="end"/>
      </w:r>
      <w:r w:rsidR="00586B56" w:rsidRPr="009D4627">
        <w:t xml:space="preserve">. </w:t>
      </w:r>
      <w:r w:rsidR="002A3804" w:rsidRPr="009D4627">
        <w:t>The prediction equation was: horizontal saccadic gain = 0.46</w:t>
      </w:r>
      <w:r w:rsidR="0071017C">
        <w:t xml:space="preserve"> </w:t>
      </w:r>
      <w:r w:rsidR="002A3804" w:rsidRPr="009D4627">
        <w:t>+</w:t>
      </w:r>
      <w:r w:rsidR="0071017C">
        <w:t xml:space="preserve"> </w:t>
      </w:r>
      <w:r w:rsidR="002A3804" w:rsidRPr="009D4627">
        <w:t>(0.03</w:t>
      </w:r>
      <w:r w:rsidR="0071017C">
        <w:t xml:space="preserve"> x v</w:t>
      </w:r>
      <w:r w:rsidR="002A3804" w:rsidRPr="009D4627">
        <w:t>isit in weeks).</w:t>
      </w:r>
      <w:r w:rsidR="00C44472" w:rsidRPr="009D4627">
        <w:t xml:space="preserve"> </w:t>
      </w:r>
      <w:r w:rsidR="002A3804" w:rsidRPr="009D4627">
        <w:t xml:space="preserve">Additionally, the visit also significantly predicted the horizontal saccadic peak velocity, </w:t>
      </w:r>
      <w:proofErr w:type="gramStart"/>
      <w:r w:rsidRPr="00490898">
        <w:rPr>
          <w:i/>
          <w:iCs/>
        </w:rPr>
        <w:t>F</w:t>
      </w:r>
      <w:r w:rsidRPr="009D4627">
        <w:t>(</w:t>
      </w:r>
      <w:proofErr w:type="gramEnd"/>
      <w:r w:rsidRPr="009D4627">
        <w:t xml:space="preserve">1,45) = 5.123, </w:t>
      </w:r>
      <w:r w:rsidRPr="009D4627">
        <w:rPr>
          <w:i/>
          <w:iCs/>
        </w:rPr>
        <w:t>p</w:t>
      </w:r>
      <w:r w:rsidRPr="009D4627">
        <w:t xml:space="preserve"> =</w:t>
      </w:r>
      <w:r w:rsidR="00C44472" w:rsidRPr="009D4627">
        <w:t xml:space="preserve"> </w:t>
      </w:r>
      <w:r w:rsidRPr="009D4627">
        <w:t>0.0</w:t>
      </w:r>
      <w:r w:rsidR="00C44472" w:rsidRPr="009D4627">
        <w:t>3</w:t>
      </w:r>
      <w:r w:rsidR="002A3804" w:rsidRPr="009D4627">
        <w:t xml:space="preserve">, accounting for </w:t>
      </w:r>
      <w:r w:rsidR="00C44472" w:rsidRPr="009D4627">
        <w:t xml:space="preserve">10.2% of the variation in horizontal saccadic peak velocity with adjusted </w:t>
      </w:r>
      <w:r w:rsidR="00C44472" w:rsidRPr="009D4627">
        <w:rPr>
          <w:i/>
          <w:iCs/>
        </w:rPr>
        <w:t>R</w:t>
      </w:r>
      <w:r w:rsidR="00C44472" w:rsidRPr="009D4627">
        <w:rPr>
          <w:i/>
          <w:iCs/>
          <w:vertAlign w:val="superscript"/>
        </w:rPr>
        <w:t>2</w:t>
      </w:r>
      <w:r w:rsidR="00C44472" w:rsidRPr="009D4627">
        <w:t xml:space="preserve"> = 8.2%</w:t>
      </w:r>
      <w:r w:rsidRPr="009D4627">
        <w:t>. The predict</w:t>
      </w:r>
      <w:r w:rsidR="00C44472" w:rsidRPr="009D4627">
        <w:t>ion</w:t>
      </w:r>
      <w:r w:rsidRPr="009D4627">
        <w:t xml:space="preserve"> equation</w:t>
      </w:r>
      <w:r w:rsidR="00C44472" w:rsidRPr="009D4627">
        <w:t xml:space="preserve"> was</w:t>
      </w:r>
      <w:r w:rsidRPr="009D4627">
        <w:t>:</w:t>
      </w:r>
      <w:r w:rsidR="00C44472" w:rsidRPr="009D4627">
        <w:t xml:space="preserve"> </w:t>
      </w:r>
      <w:r w:rsidRPr="009D4627">
        <w:t xml:space="preserve">horizontal saccadic peak velocity = 157.05 + (6.81 x </w:t>
      </w:r>
      <w:r w:rsidR="0071017C">
        <w:t>v</w:t>
      </w:r>
      <w:r w:rsidRPr="009D4627">
        <w:t>isit in weeks)</w:t>
      </w:r>
      <w:r w:rsidR="00C44472" w:rsidRPr="009D4627">
        <w:t>.</w:t>
      </w:r>
    </w:p>
    <w:p w14:paraId="78848713" w14:textId="233F5E1D" w:rsidR="009340BF" w:rsidRPr="009D4627" w:rsidRDefault="009340BF" w:rsidP="009340BF">
      <w:r w:rsidRPr="009D4627">
        <w:t xml:space="preserve">For instance, to predict the saccadic gain at 8 weeks, the calculation would be: Predicted saccadic gain = 0.46 + (0.03 x 8 weeks) = 0.70. To predict the saccadic peak velocity at 12 weeks = 157.05 + (6.81 x 12 weeks) = </w:t>
      </w:r>
      <w:r w:rsidR="0075753B" w:rsidRPr="009D4627">
        <w:t>238.77</w:t>
      </w:r>
      <w:r w:rsidRPr="009D4627">
        <w:t xml:space="preserve"> °/s.</w:t>
      </w:r>
    </w:p>
    <w:p w14:paraId="70B6C4F2" w14:textId="4120941C" w:rsidR="00882592" w:rsidRPr="009D4627" w:rsidRDefault="00882592" w:rsidP="00CA4E90">
      <w:pPr>
        <w:pStyle w:val="Heading4"/>
        <w:rPr>
          <w:lang w:eastAsia="en-MY"/>
        </w:rPr>
      </w:pPr>
      <w:bookmarkStart w:id="533" w:name="_Toc98964726"/>
      <w:bookmarkStart w:id="534" w:name="_Toc103344768"/>
      <w:r w:rsidRPr="009D4627">
        <w:lastRenderedPageBreak/>
        <w:t>One-sample t-test to observe the recovery of eye movements</w:t>
      </w:r>
      <w:bookmarkEnd w:id="533"/>
      <w:bookmarkEnd w:id="534"/>
    </w:p>
    <w:p w14:paraId="06197143" w14:textId="4918C5BC" w:rsidR="00E34EA9" w:rsidRPr="009D4627" w:rsidRDefault="00B235EF" w:rsidP="00C44472">
      <w:pPr>
        <w:rPr>
          <w:rFonts w:eastAsia="Times New Roman"/>
          <w:color w:val="auto"/>
          <w:lang w:eastAsia="en-MY"/>
        </w:rPr>
      </w:pPr>
      <w:r w:rsidRPr="009D4627">
        <w:rPr>
          <w:rFonts w:eastAsia="Times New Roman"/>
          <w:color w:val="auto"/>
          <w:lang w:eastAsia="en-MY"/>
        </w:rPr>
        <w:t>Then, one-sample t-test analysis was conducted to evaluate if recovery had occurred</w:t>
      </w:r>
      <w:r w:rsidR="00C44472" w:rsidRPr="009D4627">
        <w:rPr>
          <w:rFonts w:eastAsia="Times New Roman"/>
          <w:color w:val="auto"/>
          <w:lang w:eastAsia="en-MY"/>
        </w:rPr>
        <w:t xml:space="preserve"> during the potential recovery period</w:t>
      </w:r>
      <w:r w:rsidRPr="009D4627">
        <w:rPr>
          <w:rFonts w:eastAsia="Times New Roman"/>
          <w:color w:val="auto"/>
          <w:lang w:eastAsia="en-MY"/>
        </w:rPr>
        <w:t xml:space="preserve">. The horizontal saccadic parameters recorded on the final visit on the affected eyes was compared to the control mean data. </w:t>
      </w:r>
      <w:r w:rsidR="00C44472" w:rsidRPr="009D4627">
        <w:rPr>
          <w:rFonts w:eastAsia="Times New Roman"/>
          <w:color w:val="auto"/>
          <w:lang w:eastAsia="en-MY"/>
        </w:rPr>
        <w:t xml:space="preserve">The control mean horizontal saccade parameters were obtained by averaging the data recorded at ±10° and ±5°. The results are tabulated in Table 5.10. In general, the horizontal saccades </w:t>
      </w:r>
      <w:r w:rsidR="004F62A1" w:rsidRPr="009D4627">
        <w:rPr>
          <w:rFonts w:eastAsia="Times New Roman"/>
          <w:color w:val="auto"/>
          <w:lang w:eastAsia="en-MY"/>
        </w:rPr>
        <w:t>improve</w:t>
      </w:r>
      <w:r w:rsidR="00C44472" w:rsidRPr="009D4627">
        <w:rPr>
          <w:rFonts w:eastAsia="Times New Roman"/>
          <w:color w:val="auto"/>
          <w:lang w:eastAsia="en-MY"/>
        </w:rPr>
        <w:t xml:space="preserve"> with time. The latency was significantly longer than </w:t>
      </w:r>
      <w:r w:rsidR="004F62A1" w:rsidRPr="009D4627">
        <w:rPr>
          <w:rFonts w:eastAsia="Times New Roman"/>
          <w:color w:val="auto"/>
          <w:lang w:eastAsia="en-MY"/>
        </w:rPr>
        <w:t xml:space="preserve">the </w:t>
      </w:r>
      <w:r w:rsidR="00C44472" w:rsidRPr="009D4627">
        <w:rPr>
          <w:rFonts w:eastAsia="Times New Roman"/>
          <w:color w:val="auto"/>
          <w:lang w:eastAsia="en-MY"/>
        </w:rPr>
        <w:t>control</w:t>
      </w:r>
      <w:r w:rsidR="004F62A1" w:rsidRPr="009D4627">
        <w:rPr>
          <w:rFonts w:eastAsia="Times New Roman"/>
          <w:color w:val="auto"/>
          <w:lang w:eastAsia="en-MY"/>
        </w:rPr>
        <w:t xml:space="preserve"> group</w:t>
      </w:r>
      <w:r w:rsidR="00C44472" w:rsidRPr="009D4627">
        <w:rPr>
          <w:rFonts w:eastAsia="Times New Roman"/>
          <w:color w:val="auto"/>
          <w:lang w:eastAsia="en-MY"/>
        </w:rPr>
        <w:t xml:space="preserve"> at the first four visits, but resembles the control at the fifth visit. Despite modest improvement, the peak velocity remained significantly lower than the control </w:t>
      </w:r>
      <w:r w:rsidR="004F62A1" w:rsidRPr="009D4627">
        <w:rPr>
          <w:rFonts w:eastAsia="Times New Roman"/>
          <w:color w:val="auto"/>
          <w:lang w:eastAsia="en-MY"/>
        </w:rPr>
        <w:t xml:space="preserve">group </w:t>
      </w:r>
      <w:r w:rsidR="00C44472" w:rsidRPr="009D4627">
        <w:rPr>
          <w:rFonts w:eastAsia="Times New Roman"/>
          <w:color w:val="auto"/>
          <w:lang w:eastAsia="en-MY"/>
        </w:rPr>
        <w:t>until the final visit. Additionally, the gain was reduced during the first three visits but improved to resemble the control group during the final two visits.</w:t>
      </w:r>
    </w:p>
    <w:p w14:paraId="5560CF1B" w14:textId="3E96B397" w:rsidR="00C44472" w:rsidRPr="009D4627" w:rsidRDefault="00C44472" w:rsidP="00C4130D">
      <w:pPr>
        <w:pStyle w:val="Caption"/>
        <w:rPr>
          <w:rFonts w:eastAsia="Times New Roman"/>
          <w:color w:val="auto"/>
        </w:rPr>
      </w:pPr>
      <w:bookmarkStart w:id="535" w:name="_Toc99378024"/>
      <w:r w:rsidRPr="009D4627">
        <w:t>Table 5.</w:t>
      </w:r>
      <w:r w:rsidRPr="009D4627">
        <w:fldChar w:fldCharType="begin"/>
      </w:r>
      <w:r w:rsidRPr="009D4627">
        <w:instrText xml:space="preserve"> SEQ Table_5. \* ARABIC </w:instrText>
      </w:r>
      <w:r w:rsidRPr="009D4627">
        <w:fldChar w:fldCharType="separate"/>
      </w:r>
      <w:r w:rsidR="00E268F6">
        <w:rPr>
          <w:noProof/>
        </w:rPr>
        <w:t>10</w:t>
      </w:r>
      <w:r w:rsidRPr="009D4627">
        <w:fldChar w:fldCharType="end"/>
      </w:r>
      <w:r w:rsidRPr="009D4627">
        <w:t>: One-sample t-test comparing the affected eyes horizontal saccadic parameters on five visits with the control group.</w:t>
      </w:r>
      <w:bookmarkEnd w:id="535"/>
    </w:p>
    <w:tbl>
      <w:tblPr>
        <w:tblStyle w:val="TableGrid"/>
        <w:tblW w:w="479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1"/>
        <w:gridCol w:w="1588"/>
        <w:gridCol w:w="1141"/>
        <w:gridCol w:w="910"/>
        <w:gridCol w:w="1399"/>
        <w:gridCol w:w="1368"/>
      </w:tblGrid>
      <w:tr w:rsidR="00C44472" w:rsidRPr="009D4627" w14:paraId="3C78A672" w14:textId="77777777" w:rsidTr="00281A92">
        <w:trPr>
          <w:jc w:val="center"/>
        </w:trPr>
        <w:tc>
          <w:tcPr>
            <w:tcW w:w="1296" w:type="pct"/>
            <w:tcBorders>
              <w:top w:val="single" w:sz="4" w:space="0" w:color="auto"/>
              <w:bottom w:val="single" w:sz="4" w:space="0" w:color="auto"/>
            </w:tcBorders>
          </w:tcPr>
          <w:p w14:paraId="7DF62F6C" w14:textId="77777777" w:rsidR="00C44472" w:rsidRPr="009D4627" w:rsidRDefault="00C44472" w:rsidP="00281A92">
            <w:pPr>
              <w:spacing w:before="0" w:after="0" w:line="360" w:lineRule="auto"/>
              <w:rPr>
                <w:rFonts w:eastAsia="Times New Roman"/>
                <w:color w:val="auto"/>
                <w:sz w:val="22"/>
                <w:szCs w:val="22"/>
                <w:lang w:eastAsia="en-MY"/>
              </w:rPr>
            </w:pPr>
          </w:p>
        </w:tc>
        <w:tc>
          <w:tcPr>
            <w:tcW w:w="918" w:type="pct"/>
            <w:tcBorders>
              <w:top w:val="single" w:sz="4" w:space="0" w:color="auto"/>
              <w:bottom w:val="single" w:sz="4" w:space="0" w:color="auto"/>
            </w:tcBorders>
          </w:tcPr>
          <w:p w14:paraId="688642A9" w14:textId="77777777" w:rsidR="00C44472" w:rsidRPr="009D4627" w:rsidRDefault="00C44472"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Test value</w:t>
            </w:r>
          </w:p>
        </w:tc>
        <w:tc>
          <w:tcPr>
            <w:tcW w:w="660" w:type="pct"/>
            <w:tcBorders>
              <w:top w:val="single" w:sz="4" w:space="0" w:color="auto"/>
              <w:bottom w:val="single" w:sz="4" w:space="0" w:color="auto"/>
            </w:tcBorders>
          </w:tcPr>
          <w:p w14:paraId="01B83420" w14:textId="77777777" w:rsidR="00C44472" w:rsidRPr="00160B34" w:rsidRDefault="00C44472" w:rsidP="00281A92">
            <w:pPr>
              <w:spacing w:before="0" w:after="0" w:line="360" w:lineRule="auto"/>
              <w:jc w:val="left"/>
              <w:rPr>
                <w:rFonts w:eastAsia="Times New Roman"/>
                <w:i/>
                <w:iCs/>
                <w:color w:val="auto"/>
                <w:sz w:val="22"/>
                <w:szCs w:val="22"/>
                <w:lang w:eastAsia="en-MY"/>
              </w:rPr>
            </w:pPr>
            <w:r w:rsidRPr="00160B34">
              <w:rPr>
                <w:rFonts w:eastAsia="Times New Roman"/>
                <w:i/>
                <w:iCs/>
                <w:color w:val="auto"/>
                <w:sz w:val="22"/>
                <w:szCs w:val="22"/>
                <w:lang w:eastAsia="en-MY"/>
              </w:rPr>
              <w:t>t</w:t>
            </w:r>
          </w:p>
        </w:tc>
        <w:tc>
          <w:tcPr>
            <w:tcW w:w="526" w:type="pct"/>
            <w:tcBorders>
              <w:top w:val="single" w:sz="4" w:space="0" w:color="auto"/>
              <w:bottom w:val="single" w:sz="4" w:space="0" w:color="auto"/>
            </w:tcBorders>
          </w:tcPr>
          <w:p w14:paraId="12B4643A" w14:textId="77777777" w:rsidR="00C44472" w:rsidRPr="009D4627" w:rsidRDefault="00C44472"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df</w:t>
            </w:r>
          </w:p>
        </w:tc>
        <w:tc>
          <w:tcPr>
            <w:tcW w:w="809" w:type="pct"/>
            <w:tcBorders>
              <w:top w:val="single" w:sz="4" w:space="0" w:color="auto"/>
              <w:bottom w:val="single" w:sz="4" w:space="0" w:color="auto"/>
            </w:tcBorders>
          </w:tcPr>
          <w:p w14:paraId="2D75CC2E" w14:textId="77777777" w:rsidR="00C44472" w:rsidRPr="009D4627" w:rsidRDefault="00C44472" w:rsidP="00281A92">
            <w:pPr>
              <w:spacing w:before="0" w:after="0" w:line="360" w:lineRule="auto"/>
              <w:rPr>
                <w:rFonts w:eastAsia="Times New Roman"/>
                <w:color w:val="auto"/>
                <w:sz w:val="22"/>
                <w:szCs w:val="22"/>
                <w:lang w:eastAsia="en-MY"/>
              </w:rPr>
            </w:pPr>
            <w:r w:rsidRPr="00160B34">
              <w:rPr>
                <w:rFonts w:eastAsia="Times New Roman"/>
                <w:i/>
                <w:iCs/>
                <w:color w:val="auto"/>
                <w:sz w:val="22"/>
                <w:szCs w:val="22"/>
                <w:lang w:eastAsia="en-MY"/>
              </w:rPr>
              <w:t>p</w:t>
            </w:r>
            <w:r w:rsidRPr="009D4627">
              <w:rPr>
                <w:rFonts w:eastAsia="Times New Roman"/>
                <w:color w:val="auto"/>
                <w:sz w:val="22"/>
                <w:szCs w:val="22"/>
                <w:lang w:eastAsia="en-MY"/>
              </w:rPr>
              <w:t>-value</w:t>
            </w:r>
          </w:p>
        </w:tc>
        <w:tc>
          <w:tcPr>
            <w:tcW w:w="791" w:type="pct"/>
            <w:tcBorders>
              <w:top w:val="single" w:sz="4" w:space="0" w:color="auto"/>
              <w:bottom w:val="single" w:sz="4" w:space="0" w:color="auto"/>
            </w:tcBorders>
          </w:tcPr>
          <w:p w14:paraId="1B26D9A7" w14:textId="77777777" w:rsidR="00C44472" w:rsidRPr="009D4627" w:rsidRDefault="00C44472"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Mean diff.</w:t>
            </w:r>
          </w:p>
        </w:tc>
      </w:tr>
      <w:tr w:rsidR="00C44472" w:rsidRPr="009D4627" w14:paraId="101B1D2E" w14:textId="77777777" w:rsidTr="00281A92">
        <w:trPr>
          <w:jc w:val="center"/>
        </w:trPr>
        <w:tc>
          <w:tcPr>
            <w:tcW w:w="1296" w:type="pct"/>
            <w:tcBorders>
              <w:top w:val="single" w:sz="4" w:space="0" w:color="auto"/>
            </w:tcBorders>
          </w:tcPr>
          <w:p w14:paraId="7B9647E4" w14:textId="06BF4AD2"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Latency_V1</w:t>
            </w:r>
          </w:p>
        </w:tc>
        <w:tc>
          <w:tcPr>
            <w:tcW w:w="918" w:type="pct"/>
            <w:vMerge w:val="restart"/>
            <w:tcBorders>
              <w:top w:val="single" w:sz="4" w:space="0" w:color="auto"/>
            </w:tcBorders>
          </w:tcPr>
          <w:p w14:paraId="4F50E5EC" w14:textId="45AA4DD4"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198</w:t>
            </w:r>
          </w:p>
        </w:tc>
        <w:tc>
          <w:tcPr>
            <w:tcW w:w="660" w:type="pct"/>
            <w:tcBorders>
              <w:top w:val="single" w:sz="4" w:space="0" w:color="auto"/>
            </w:tcBorders>
          </w:tcPr>
          <w:p w14:paraId="6D915E61" w14:textId="6A64662B"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4.52</w:t>
            </w:r>
          </w:p>
        </w:tc>
        <w:tc>
          <w:tcPr>
            <w:tcW w:w="526" w:type="pct"/>
            <w:tcBorders>
              <w:top w:val="single" w:sz="4" w:space="0" w:color="auto"/>
            </w:tcBorders>
          </w:tcPr>
          <w:p w14:paraId="7CDEB2A9" w14:textId="7BF60C40"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Borders>
              <w:top w:val="single" w:sz="4" w:space="0" w:color="auto"/>
            </w:tcBorders>
          </w:tcPr>
          <w:p w14:paraId="0678EE51" w14:textId="2940F5A0"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&lt;0.01*</w:t>
            </w:r>
          </w:p>
        </w:tc>
        <w:tc>
          <w:tcPr>
            <w:tcW w:w="791" w:type="pct"/>
            <w:tcBorders>
              <w:top w:val="single" w:sz="4" w:space="0" w:color="auto"/>
            </w:tcBorders>
          </w:tcPr>
          <w:p w14:paraId="685B42B6" w14:textId="1FF2F0C1"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52.20</w:t>
            </w:r>
          </w:p>
        </w:tc>
      </w:tr>
      <w:tr w:rsidR="00C44472" w:rsidRPr="009D4627" w14:paraId="5C50D511" w14:textId="77777777" w:rsidTr="00281A92">
        <w:trPr>
          <w:jc w:val="center"/>
        </w:trPr>
        <w:tc>
          <w:tcPr>
            <w:tcW w:w="1296" w:type="pct"/>
          </w:tcPr>
          <w:p w14:paraId="7B3B381D" w14:textId="166100A4"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Latency_V2</w:t>
            </w:r>
          </w:p>
        </w:tc>
        <w:tc>
          <w:tcPr>
            <w:tcW w:w="918" w:type="pct"/>
            <w:vMerge/>
          </w:tcPr>
          <w:p w14:paraId="29E4988A" w14:textId="12E0AAE1"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41BC9E1B" w14:textId="0DB5BBFF"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3.82</w:t>
            </w:r>
          </w:p>
        </w:tc>
        <w:tc>
          <w:tcPr>
            <w:tcW w:w="526" w:type="pct"/>
          </w:tcPr>
          <w:p w14:paraId="7C0A3F95" w14:textId="5AE5B2BF"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Pr>
          <w:p w14:paraId="303625CD" w14:textId="3907221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&lt;0.01*</w:t>
            </w:r>
          </w:p>
        </w:tc>
        <w:tc>
          <w:tcPr>
            <w:tcW w:w="791" w:type="pct"/>
          </w:tcPr>
          <w:p w14:paraId="2854E7E4" w14:textId="66CC1C21"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48.13</w:t>
            </w:r>
          </w:p>
        </w:tc>
      </w:tr>
      <w:tr w:rsidR="00C44472" w:rsidRPr="009D4627" w14:paraId="084CCFBC" w14:textId="77777777" w:rsidTr="00281A92">
        <w:trPr>
          <w:jc w:val="center"/>
        </w:trPr>
        <w:tc>
          <w:tcPr>
            <w:tcW w:w="1296" w:type="pct"/>
          </w:tcPr>
          <w:p w14:paraId="240AD2B5" w14:textId="189F5FB5"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Latency_V3</w:t>
            </w:r>
          </w:p>
        </w:tc>
        <w:tc>
          <w:tcPr>
            <w:tcW w:w="918" w:type="pct"/>
            <w:vMerge/>
          </w:tcPr>
          <w:p w14:paraId="4E4221F3" w14:textId="5008348E"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5A1D49F5" w14:textId="46B25682"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3.57</w:t>
            </w:r>
          </w:p>
        </w:tc>
        <w:tc>
          <w:tcPr>
            <w:tcW w:w="526" w:type="pct"/>
          </w:tcPr>
          <w:p w14:paraId="30AB1E50" w14:textId="162B88B2"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Pr>
          <w:p w14:paraId="2FB6A287" w14:textId="1F27C884"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Pr>
          <w:p w14:paraId="0C85E91E" w14:textId="3585048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34.63</w:t>
            </w:r>
          </w:p>
        </w:tc>
      </w:tr>
      <w:tr w:rsidR="00C44472" w:rsidRPr="009D4627" w14:paraId="6675921F" w14:textId="77777777" w:rsidTr="00281A92">
        <w:trPr>
          <w:jc w:val="center"/>
        </w:trPr>
        <w:tc>
          <w:tcPr>
            <w:tcW w:w="1296" w:type="pct"/>
          </w:tcPr>
          <w:p w14:paraId="05CA1CBE" w14:textId="4A952920"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Latency_V4</w:t>
            </w:r>
          </w:p>
        </w:tc>
        <w:tc>
          <w:tcPr>
            <w:tcW w:w="918" w:type="pct"/>
            <w:vMerge/>
          </w:tcPr>
          <w:p w14:paraId="35BD5667" w14:textId="65D51BFA"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3BA87BCB" w14:textId="17059066"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3.20</w:t>
            </w:r>
          </w:p>
        </w:tc>
        <w:tc>
          <w:tcPr>
            <w:tcW w:w="526" w:type="pct"/>
          </w:tcPr>
          <w:p w14:paraId="49A1F46F" w14:textId="3C79D551"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17</w:t>
            </w:r>
          </w:p>
        </w:tc>
        <w:tc>
          <w:tcPr>
            <w:tcW w:w="809" w:type="pct"/>
          </w:tcPr>
          <w:p w14:paraId="652B306C" w14:textId="28F964EF"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Pr>
          <w:p w14:paraId="44ED80DE" w14:textId="132F8F9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28.17</w:t>
            </w:r>
          </w:p>
        </w:tc>
      </w:tr>
      <w:tr w:rsidR="00C44472" w:rsidRPr="009D4627" w14:paraId="0883599D" w14:textId="77777777" w:rsidTr="00281A92">
        <w:trPr>
          <w:jc w:val="center"/>
        </w:trPr>
        <w:tc>
          <w:tcPr>
            <w:tcW w:w="1296" w:type="pct"/>
            <w:tcBorders>
              <w:bottom w:val="single" w:sz="4" w:space="0" w:color="auto"/>
            </w:tcBorders>
          </w:tcPr>
          <w:p w14:paraId="0B2B4EC0" w14:textId="6EDC6EA1"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Latency_V5</w:t>
            </w:r>
          </w:p>
        </w:tc>
        <w:tc>
          <w:tcPr>
            <w:tcW w:w="918" w:type="pct"/>
            <w:vMerge/>
            <w:tcBorders>
              <w:bottom w:val="single" w:sz="4" w:space="0" w:color="auto"/>
            </w:tcBorders>
          </w:tcPr>
          <w:p w14:paraId="1778DC1E" w14:textId="77777777" w:rsidR="00C44472" w:rsidRPr="009D4627" w:rsidRDefault="00C44472" w:rsidP="00C44472">
            <w:pPr>
              <w:spacing w:before="0" w:after="0" w:line="360" w:lineRule="auto"/>
              <w:rPr>
                <w:rFonts w:eastAsia="Times New Roman"/>
                <w:color w:val="auto"/>
                <w:sz w:val="22"/>
                <w:szCs w:val="22"/>
                <w:lang w:eastAsia="en-MY"/>
              </w:rPr>
            </w:pPr>
          </w:p>
        </w:tc>
        <w:tc>
          <w:tcPr>
            <w:tcW w:w="660" w:type="pct"/>
            <w:tcBorders>
              <w:bottom w:val="single" w:sz="4" w:space="0" w:color="auto"/>
            </w:tcBorders>
          </w:tcPr>
          <w:p w14:paraId="12A11F80" w14:textId="0B8E9EFA"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1.09</w:t>
            </w:r>
          </w:p>
        </w:tc>
        <w:tc>
          <w:tcPr>
            <w:tcW w:w="526" w:type="pct"/>
            <w:tcBorders>
              <w:bottom w:val="single" w:sz="4" w:space="0" w:color="auto"/>
            </w:tcBorders>
          </w:tcPr>
          <w:p w14:paraId="4A42389B" w14:textId="7C4514F9"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15</w:t>
            </w:r>
          </w:p>
        </w:tc>
        <w:tc>
          <w:tcPr>
            <w:tcW w:w="809" w:type="pct"/>
            <w:tcBorders>
              <w:bottom w:val="single" w:sz="4" w:space="0" w:color="auto"/>
            </w:tcBorders>
          </w:tcPr>
          <w:p w14:paraId="69827A9B" w14:textId="0142971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0.30</w:t>
            </w:r>
          </w:p>
        </w:tc>
        <w:tc>
          <w:tcPr>
            <w:tcW w:w="791" w:type="pct"/>
            <w:tcBorders>
              <w:bottom w:val="single" w:sz="4" w:space="0" w:color="auto"/>
            </w:tcBorders>
          </w:tcPr>
          <w:p w14:paraId="4DA68684" w14:textId="75983AE5"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18.78</w:t>
            </w:r>
          </w:p>
        </w:tc>
      </w:tr>
      <w:tr w:rsidR="00C44472" w:rsidRPr="009D4627" w14:paraId="6FE44C58" w14:textId="77777777" w:rsidTr="00281A92">
        <w:trPr>
          <w:jc w:val="center"/>
        </w:trPr>
        <w:tc>
          <w:tcPr>
            <w:tcW w:w="1296" w:type="pct"/>
            <w:tcBorders>
              <w:top w:val="single" w:sz="4" w:space="0" w:color="auto"/>
            </w:tcBorders>
          </w:tcPr>
          <w:p w14:paraId="4773A86C" w14:textId="4D3833C4"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PeakVelocity_V1</w:t>
            </w:r>
          </w:p>
        </w:tc>
        <w:tc>
          <w:tcPr>
            <w:tcW w:w="918" w:type="pct"/>
            <w:vMerge w:val="restart"/>
            <w:tcBorders>
              <w:top w:val="single" w:sz="4" w:space="0" w:color="auto"/>
            </w:tcBorders>
          </w:tcPr>
          <w:p w14:paraId="3B11060F" w14:textId="735E1DEB"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338</w:t>
            </w:r>
          </w:p>
        </w:tc>
        <w:tc>
          <w:tcPr>
            <w:tcW w:w="660" w:type="pct"/>
            <w:tcBorders>
              <w:top w:val="single" w:sz="4" w:space="0" w:color="auto"/>
            </w:tcBorders>
          </w:tcPr>
          <w:p w14:paraId="17224A97" w14:textId="4123B485"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-5.78</w:t>
            </w:r>
          </w:p>
        </w:tc>
        <w:tc>
          <w:tcPr>
            <w:tcW w:w="526" w:type="pct"/>
            <w:tcBorders>
              <w:top w:val="single" w:sz="4" w:space="0" w:color="auto"/>
            </w:tcBorders>
          </w:tcPr>
          <w:p w14:paraId="19942DDE" w14:textId="775428E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Borders>
              <w:top w:val="single" w:sz="4" w:space="0" w:color="auto"/>
            </w:tcBorders>
          </w:tcPr>
          <w:p w14:paraId="64B05B2A" w14:textId="7C4421F1"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Borders>
              <w:top w:val="single" w:sz="4" w:space="0" w:color="auto"/>
            </w:tcBorders>
          </w:tcPr>
          <w:p w14:paraId="5CA638F7" w14:textId="368A52C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-155.12</w:t>
            </w:r>
          </w:p>
        </w:tc>
      </w:tr>
      <w:tr w:rsidR="00C44472" w:rsidRPr="009D4627" w14:paraId="59331F39" w14:textId="77777777" w:rsidTr="00281A92">
        <w:trPr>
          <w:jc w:val="center"/>
        </w:trPr>
        <w:tc>
          <w:tcPr>
            <w:tcW w:w="1296" w:type="pct"/>
          </w:tcPr>
          <w:p w14:paraId="2451CC66" w14:textId="565B4459"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PeakVelocity_V2</w:t>
            </w:r>
          </w:p>
        </w:tc>
        <w:tc>
          <w:tcPr>
            <w:tcW w:w="918" w:type="pct"/>
            <w:vMerge/>
          </w:tcPr>
          <w:p w14:paraId="711B256A" w14:textId="649AD856"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397754D6" w14:textId="0089FA49"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-5.17</w:t>
            </w:r>
          </w:p>
        </w:tc>
        <w:tc>
          <w:tcPr>
            <w:tcW w:w="526" w:type="pct"/>
          </w:tcPr>
          <w:p w14:paraId="31FE5D00" w14:textId="5EEFAAD2"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Pr>
          <w:p w14:paraId="064298E1" w14:textId="418C427C"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Pr>
          <w:p w14:paraId="43EF94FA" w14:textId="399D999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-134.98</w:t>
            </w:r>
          </w:p>
        </w:tc>
      </w:tr>
      <w:tr w:rsidR="00C44472" w:rsidRPr="009D4627" w14:paraId="2BA3446E" w14:textId="77777777" w:rsidTr="00281A92">
        <w:trPr>
          <w:jc w:val="center"/>
        </w:trPr>
        <w:tc>
          <w:tcPr>
            <w:tcW w:w="1296" w:type="pct"/>
          </w:tcPr>
          <w:p w14:paraId="1941B6D6" w14:textId="073A8659"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PeakVelocity_V3</w:t>
            </w:r>
          </w:p>
        </w:tc>
        <w:tc>
          <w:tcPr>
            <w:tcW w:w="918" w:type="pct"/>
            <w:vMerge/>
          </w:tcPr>
          <w:p w14:paraId="090FDD27" w14:textId="3603FB95"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40A3D77E" w14:textId="4EC213D0"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-5.60</w:t>
            </w:r>
          </w:p>
        </w:tc>
        <w:tc>
          <w:tcPr>
            <w:tcW w:w="526" w:type="pct"/>
          </w:tcPr>
          <w:p w14:paraId="688ECAB2" w14:textId="6A20F6E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Pr>
          <w:p w14:paraId="49030B45" w14:textId="5FB3D60F"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Pr>
          <w:p w14:paraId="14D43288" w14:textId="31360CC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-104.03</w:t>
            </w:r>
          </w:p>
        </w:tc>
      </w:tr>
      <w:tr w:rsidR="00C44472" w:rsidRPr="009D4627" w14:paraId="115611B9" w14:textId="77777777" w:rsidTr="00281A92">
        <w:trPr>
          <w:jc w:val="center"/>
        </w:trPr>
        <w:tc>
          <w:tcPr>
            <w:tcW w:w="1296" w:type="pct"/>
          </w:tcPr>
          <w:p w14:paraId="33E766F3" w14:textId="622CC51B"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PeakVelocity_V4</w:t>
            </w:r>
          </w:p>
        </w:tc>
        <w:tc>
          <w:tcPr>
            <w:tcW w:w="918" w:type="pct"/>
            <w:vMerge/>
          </w:tcPr>
          <w:p w14:paraId="4F6546F4" w14:textId="77777777"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7B5FCDD6" w14:textId="15C03BEB"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-3.01</w:t>
            </w:r>
          </w:p>
        </w:tc>
        <w:tc>
          <w:tcPr>
            <w:tcW w:w="526" w:type="pct"/>
          </w:tcPr>
          <w:p w14:paraId="25688AB9" w14:textId="65571946"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17</w:t>
            </w:r>
          </w:p>
        </w:tc>
        <w:tc>
          <w:tcPr>
            <w:tcW w:w="809" w:type="pct"/>
          </w:tcPr>
          <w:p w14:paraId="369E97FA" w14:textId="456EAA86" w:rsidR="00C44472" w:rsidRPr="009D4627" w:rsidRDefault="00C44472" w:rsidP="00C44472">
            <w:pPr>
              <w:spacing w:before="0" w:after="0" w:line="360" w:lineRule="auto"/>
              <w:rPr>
                <w:color w:val="010205"/>
                <w:sz w:val="22"/>
                <w:szCs w:val="22"/>
                <w:lang w:val="en-MY"/>
              </w:rPr>
            </w:pPr>
            <w:r w:rsidRPr="009D4627">
              <w:rPr>
                <w:rFonts w:eastAsia="Times New Roman"/>
                <w:color w:val="auto"/>
                <w:sz w:val="22"/>
                <w:szCs w:val="22"/>
                <w:lang w:eastAsia="en-MY"/>
              </w:rPr>
              <w:t>&lt;0.01*</w:t>
            </w:r>
          </w:p>
        </w:tc>
        <w:tc>
          <w:tcPr>
            <w:tcW w:w="791" w:type="pct"/>
          </w:tcPr>
          <w:p w14:paraId="7D391135" w14:textId="2D4C9B97"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-67.03</w:t>
            </w:r>
          </w:p>
        </w:tc>
      </w:tr>
      <w:tr w:rsidR="00C44472" w:rsidRPr="009D4627" w14:paraId="24441042" w14:textId="77777777" w:rsidTr="00281A92">
        <w:trPr>
          <w:jc w:val="center"/>
        </w:trPr>
        <w:tc>
          <w:tcPr>
            <w:tcW w:w="1296" w:type="pct"/>
            <w:tcBorders>
              <w:bottom w:val="single" w:sz="4" w:space="0" w:color="auto"/>
            </w:tcBorders>
          </w:tcPr>
          <w:p w14:paraId="3184EC34" w14:textId="4A5EB497"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PeakVelocity_V5</w:t>
            </w:r>
          </w:p>
        </w:tc>
        <w:tc>
          <w:tcPr>
            <w:tcW w:w="918" w:type="pct"/>
            <w:vMerge/>
            <w:tcBorders>
              <w:bottom w:val="single" w:sz="4" w:space="0" w:color="auto"/>
            </w:tcBorders>
          </w:tcPr>
          <w:p w14:paraId="5366623A" w14:textId="1814222C" w:rsidR="00C44472" w:rsidRPr="009D4627" w:rsidRDefault="00C44472" w:rsidP="00C44472">
            <w:pPr>
              <w:spacing w:before="0" w:after="0" w:line="360" w:lineRule="auto"/>
              <w:rPr>
                <w:rFonts w:eastAsia="Times New Roman"/>
                <w:color w:val="auto"/>
                <w:sz w:val="22"/>
                <w:szCs w:val="22"/>
                <w:lang w:eastAsia="en-MY"/>
              </w:rPr>
            </w:pPr>
          </w:p>
        </w:tc>
        <w:tc>
          <w:tcPr>
            <w:tcW w:w="660" w:type="pct"/>
            <w:tcBorders>
              <w:bottom w:val="single" w:sz="4" w:space="0" w:color="auto"/>
            </w:tcBorders>
          </w:tcPr>
          <w:p w14:paraId="19D33506" w14:textId="7CFD0420"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-2.76</w:t>
            </w:r>
          </w:p>
        </w:tc>
        <w:tc>
          <w:tcPr>
            <w:tcW w:w="526" w:type="pct"/>
            <w:tcBorders>
              <w:bottom w:val="single" w:sz="4" w:space="0" w:color="auto"/>
            </w:tcBorders>
          </w:tcPr>
          <w:p w14:paraId="56A5D483" w14:textId="17F95E4C"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15</w:t>
            </w:r>
          </w:p>
        </w:tc>
        <w:tc>
          <w:tcPr>
            <w:tcW w:w="809" w:type="pct"/>
            <w:tcBorders>
              <w:bottom w:val="single" w:sz="4" w:space="0" w:color="auto"/>
            </w:tcBorders>
          </w:tcPr>
          <w:p w14:paraId="32D67B4F" w14:textId="7E9E64AE"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0.02*</w:t>
            </w:r>
          </w:p>
        </w:tc>
        <w:tc>
          <w:tcPr>
            <w:tcW w:w="791" w:type="pct"/>
            <w:tcBorders>
              <w:bottom w:val="single" w:sz="4" w:space="0" w:color="auto"/>
            </w:tcBorders>
          </w:tcPr>
          <w:p w14:paraId="694557BE" w14:textId="2837290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-79.41</w:t>
            </w:r>
          </w:p>
        </w:tc>
      </w:tr>
      <w:tr w:rsidR="00C44472" w:rsidRPr="009D4627" w14:paraId="2417A97C" w14:textId="77777777" w:rsidTr="00281A92">
        <w:trPr>
          <w:jc w:val="center"/>
        </w:trPr>
        <w:tc>
          <w:tcPr>
            <w:tcW w:w="1296" w:type="pct"/>
            <w:tcBorders>
              <w:top w:val="single" w:sz="4" w:space="0" w:color="auto"/>
            </w:tcBorders>
          </w:tcPr>
          <w:p w14:paraId="62306D98" w14:textId="5EB05A69"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Gain_V1</w:t>
            </w:r>
          </w:p>
        </w:tc>
        <w:tc>
          <w:tcPr>
            <w:tcW w:w="918" w:type="pct"/>
            <w:tcBorders>
              <w:top w:val="single" w:sz="4" w:space="0" w:color="auto"/>
            </w:tcBorders>
          </w:tcPr>
          <w:p w14:paraId="76E95434" w14:textId="107C9F92"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0.93</w:t>
            </w:r>
          </w:p>
        </w:tc>
        <w:tc>
          <w:tcPr>
            <w:tcW w:w="660" w:type="pct"/>
            <w:tcBorders>
              <w:top w:val="single" w:sz="4" w:space="0" w:color="auto"/>
            </w:tcBorders>
          </w:tcPr>
          <w:p w14:paraId="705055FC" w14:textId="32EB8E6A"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-5.82</w:t>
            </w:r>
          </w:p>
        </w:tc>
        <w:tc>
          <w:tcPr>
            <w:tcW w:w="526" w:type="pct"/>
            <w:tcBorders>
              <w:top w:val="single" w:sz="4" w:space="0" w:color="auto"/>
            </w:tcBorders>
          </w:tcPr>
          <w:p w14:paraId="54FF9191" w14:textId="2921E1D0"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Borders>
              <w:top w:val="single" w:sz="4" w:space="0" w:color="auto"/>
            </w:tcBorders>
          </w:tcPr>
          <w:p w14:paraId="6B804C9A" w14:textId="3C6D50DD"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Borders>
              <w:top w:val="single" w:sz="4" w:space="0" w:color="auto"/>
            </w:tcBorders>
          </w:tcPr>
          <w:p w14:paraId="3407A37C" w14:textId="1882E467"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-0.41</w:t>
            </w:r>
          </w:p>
        </w:tc>
      </w:tr>
      <w:tr w:rsidR="00C44472" w:rsidRPr="009D4627" w14:paraId="315681F7" w14:textId="77777777" w:rsidTr="00281A92">
        <w:trPr>
          <w:jc w:val="center"/>
        </w:trPr>
        <w:tc>
          <w:tcPr>
            <w:tcW w:w="1296" w:type="pct"/>
          </w:tcPr>
          <w:p w14:paraId="3ACDC0EE" w14:textId="1951CF99"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Gain_V2</w:t>
            </w:r>
          </w:p>
        </w:tc>
        <w:tc>
          <w:tcPr>
            <w:tcW w:w="918" w:type="pct"/>
          </w:tcPr>
          <w:p w14:paraId="026F3DDC" w14:textId="0EBE1BF6"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00A4DAC5" w14:textId="392AC8EC"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-5.25</w:t>
            </w:r>
          </w:p>
        </w:tc>
        <w:tc>
          <w:tcPr>
            <w:tcW w:w="526" w:type="pct"/>
          </w:tcPr>
          <w:p w14:paraId="4F6973BC" w14:textId="4AD72F5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19</w:t>
            </w:r>
          </w:p>
        </w:tc>
        <w:tc>
          <w:tcPr>
            <w:tcW w:w="809" w:type="pct"/>
          </w:tcPr>
          <w:p w14:paraId="1B89DEAA" w14:textId="216D5CD6"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791" w:type="pct"/>
          </w:tcPr>
          <w:p w14:paraId="132FF1A8" w14:textId="70331A72"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-0.34</w:t>
            </w:r>
          </w:p>
        </w:tc>
      </w:tr>
      <w:tr w:rsidR="00C44472" w:rsidRPr="009D4627" w14:paraId="21D31D54" w14:textId="77777777" w:rsidTr="00281A92">
        <w:trPr>
          <w:jc w:val="center"/>
        </w:trPr>
        <w:tc>
          <w:tcPr>
            <w:tcW w:w="1296" w:type="pct"/>
          </w:tcPr>
          <w:p w14:paraId="5FB09C8E" w14:textId="590EF02A"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Gain_V3</w:t>
            </w:r>
          </w:p>
        </w:tc>
        <w:tc>
          <w:tcPr>
            <w:tcW w:w="918" w:type="pct"/>
          </w:tcPr>
          <w:p w14:paraId="1572EE3F" w14:textId="77777777"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752AA79F" w14:textId="4BDF0A61"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-4.03</w:t>
            </w:r>
          </w:p>
        </w:tc>
        <w:tc>
          <w:tcPr>
            <w:tcW w:w="526" w:type="pct"/>
          </w:tcPr>
          <w:p w14:paraId="006D7C92" w14:textId="1774C83C"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19</w:t>
            </w:r>
          </w:p>
        </w:tc>
        <w:tc>
          <w:tcPr>
            <w:tcW w:w="809" w:type="pct"/>
          </w:tcPr>
          <w:p w14:paraId="03509F9F" w14:textId="42795F52" w:rsidR="00C44472" w:rsidRPr="009D4627" w:rsidRDefault="00C44472" w:rsidP="00C44472">
            <w:pPr>
              <w:spacing w:before="0" w:after="0" w:line="360" w:lineRule="auto"/>
              <w:rPr>
                <w:color w:val="010205"/>
                <w:sz w:val="22"/>
                <w:szCs w:val="22"/>
                <w:lang w:val="en-MY"/>
              </w:rPr>
            </w:pPr>
            <w:r w:rsidRPr="009D4627">
              <w:rPr>
                <w:rFonts w:eastAsia="Times New Roman"/>
                <w:color w:val="auto"/>
                <w:sz w:val="22"/>
                <w:szCs w:val="22"/>
                <w:lang w:eastAsia="en-MY"/>
              </w:rPr>
              <w:t>&lt;0.01*</w:t>
            </w:r>
          </w:p>
        </w:tc>
        <w:tc>
          <w:tcPr>
            <w:tcW w:w="791" w:type="pct"/>
          </w:tcPr>
          <w:p w14:paraId="47083B2E" w14:textId="353DA17B"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-0.15</w:t>
            </w:r>
          </w:p>
        </w:tc>
      </w:tr>
      <w:tr w:rsidR="00C44472" w:rsidRPr="009D4627" w14:paraId="3089AF14" w14:textId="77777777" w:rsidTr="00281A92">
        <w:trPr>
          <w:jc w:val="center"/>
        </w:trPr>
        <w:tc>
          <w:tcPr>
            <w:tcW w:w="1296" w:type="pct"/>
          </w:tcPr>
          <w:p w14:paraId="5EC4A297" w14:textId="18324DF0"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Gain_V4</w:t>
            </w:r>
          </w:p>
        </w:tc>
        <w:tc>
          <w:tcPr>
            <w:tcW w:w="918" w:type="pct"/>
          </w:tcPr>
          <w:p w14:paraId="389E6E19" w14:textId="72971C46" w:rsidR="00C44472" w:rsidRPr="009D4627" w:rsidRDefault="00C44472" w:rsidP="00C44472">
            <w:pPr>
              <w:spacing w:before="0" w:after="0" w:line="360" w:lineRule="auto"/>
              <w:rPr>
                <w:rFonts w:eastAsia="Times New Roman"/>
                <w:color w:val="auto"/>
                <w:sz w:val="22"/>
                <w:szCs w:val="22"/>
                <w:lang w:eastAsia="en-MY"/>
              </w:rPr>
            </w:pPr>
          </w:p>
        </w:tc>
        <w:tc>
          <w:tcPr>
            <w:tcW w:w="660" w:type="pct"/>
          </w:tcPr>
          <w:p w14:paraId="30F2767F" w14:textId="0DEC3548"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-1.24</w:t>
            </w:r>
          </w:p>
        </w:tc>
        <w:tc>
          <w:tcPr>
            <w:tcW w:w="526" w:type="pct"/>
          </w:tcPr>
          <w:p w14:paraId="60B8AF91" w14:textId="38820F89"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17</w:t>
            </w:r>
          </w:p>
        </w:tc>
        <w:tc>
          <w:tcPr>
            <w:tcW w:w="809" w:type="pct"/>
          </w:tcPr>
          <w:p w14:paraId="283427D1" w14:textId="05E26202"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0.23</w:t>
            </w:r>
          </w:p>
        </w:tc>
        <w:tc>
          <w:tcPr>
            <w:tcW w:w="791" w:type="pct"/>
          </w:tcPr>
          <w:p w14:paraId="73E8441B" w14:textId="0134F00B"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-0.07</w:t>
            </w:r>
          </w:p>
        </w:tc>
      </w:tr>
      <w:tr w:rsidR="00C44472" w:rsidRPr="009D4627" w14:paraId="0B3BF230" w14:textId="77777777" w:rsidTr="00281A92">
        <w:trPr>
          <w:jc w:val="center"/>
        </w:trPr>
        <w:tc>
          <w:tcPr>
            <w:tcW w:w="1296" w:type="pct"/>
            <w:tcBorders>
              <w:bottom w:val="single" w:sz="4" w:space="0" w:color="auto"/>
            </w:tcBorders>
          </w:tcPr>
          <w:p w14:paraId="2D0E6211" w14:textId="2C97BAA3"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Gain_V5</w:t>
            </w:r>
          </w:p>
        </w:tc>
        <w:tc>
          <w:tcPr>
            <w:tcW w:w="918" w:type="pct"/>
            <w:tcBorders>
              <w:bottom w:val="single" w:sz="4" w:space="0" w:color="auto"/>
            </w:tcBorders>
          </w:tcPr>
          <w:p w14:paraId="1BD4EAD0" w14:textId="688722F4" w:rsidR="00C44472" w:rsidRPr="009D4627" w:rsidRDefault="00C44472" w:rsidP="00C44472">
            <w:pPr>
              <w:spacing w:before="0" w:after="0" w:line="360" w:lineRule="auto"/>
              <w:rPr>
                <w:rFonts w:eastAsia="Times New Roman"/>
                <w:color w:val="auto"/>
                <w:sz w:val="22"/>
                <w:szCs w:val="22"/>
                <w:lang w:eastAsia="en-MY"/>
              </w:rPr>
            </w:pPr>
          </w:p>
        </w:tc>
        <w:tc>
          <w:tcPr>
            <w:tcW w:w="660" w:type="pct"/>
            <w:tcBorders>
              <w:bottom w:val="single" w:sz="4" w:space="0" w:color="auto"/>
            </w:tcBorders>
          </w:tcPr>
          <w:p w14:paraId="5240EFB9" w14:textId="745C0B10"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-1.46</w:t>
            </w:r>
          </w:p>
        </w:tc>
        <w:tc>
          <w:tcPr>
            <w:tcW w:w="526" w:type="pct"/>
            <w:tcBorders>
              <w:bottom w:val="single" w:sz="4" w:space="0" w:color="auto"/>
            </w:tcBorders>
          </w:tcPr>
          <w:p w14:paraId="203974F6" w14:textId="169763A5"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15</w:t>
            </w:r>
          </w:p>
        </w:tc>
        <w:tc>
          <w:tcPr>
            <w:tcW w:w="809" w:type="pct"/>
            <w:tcBorders>
              <w:bottom w:val="single" w:sz="4" w:space="0" w:color="auto"/>
            </w:tcBorders>
          </w:tcPr>
          <w:p w14:paraId="5748B24B" w14:textId="0CFC3F6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0.16</w:t>
            </w:r>
          </w:p>
        </w:tc>
        <w:tc>
          <w:tcPr>
            <w:tcW w:w="791" w:type="pct"/>
            <w:tcBorders>
              <w:bottom w:val="single" w:sz="4" w:space="0" w:color="auto"/>
            </w:tcBorders>
          </w:tcPr>
          <w:p w14:paraId="1AECD88A" w14:textId="7862CF97"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-0.11</w:t>
            </w:r>
          </w:p>
        </w:tc>
      </w:tr>
    </w:tbl>
    <w:p w14:paraId="6561071E" w14:textId="4C2F73E9" w:rsidR="00CF7FAB" w:rsidRDefault="00CF7FAB" w:rsidP="00CF7FAB">
      <w:pPr>
        <w:spacing w:before="0" w:after="0" w:line="240" w:lineRule="auto"/>
        <w:jc w:val="center"/>
        <w:rPr>
          <w:rFonts w:eastAsia="Times New Roman"/>
          <w:color w:val="auto"/>
          <w:lang w:eastAsia="en-MY"/>
        </w:rPr>
      </w:pPr>
      <w:r w:rsidRPr="009D4627">
        <w:rPr>
          <w:rFonts w:eastAsia="Times New Roman"/>
          <w:color w:val="auto"/>
          <w:lang w:eastAsia="en-MY"/>
        </w:rPr>
        <w:t>*</w:t>
      </w:r>
      <w:r w:rsidRPr="009D4627">
        <w:rPr>
          <w:color w:val="auto"/>
        </w:rPr>
        <w:t xml:space="preserve">Data are significant at </w:t>
      </w:r>
      <w:r w:rsidRPr="00160B34">
        <w:rPr>
          <w:i/>
          <w:iCs/>
          <w:color w:val="auto"/>
        </w:rPr>
        <w:t>p</w:t>
      </w:r>
      <w:r w:rsidRPr="009D4627">
        <w:rPr>
          <w:color w:val="auto"/>
        </w:rPr>
        <w:t>&lt;0.05</w:t>
      </w:r>
    </w:p>
    <w:p w14:paraId="4AD22497" w14:textId="21C03293" w:rsidR="00AD1698" w:rsidRDefault="00C44472" w:rsidP="00CF7FAB">
      <w:pPr>
        <w:spacing w:before="0" w:after="0" w:line="240" w:lineRule="auto"/>
        <w:jc w:val="left"/>
        <w:rPr>
          <w:rFonts w:eastAsia="Times New Roman"/>
          <w:color w:val="auto"/>
          <w:lang w:eastAsia="en-MY"/>
        </w:rPr>
      </w:pPr>
      <w:r w:rsidRPr="00CF7FAB">
        <w:rPr>
          <w:rFonts w:eastAsia="Times New Roman"/>
          <w:i/>
          <w:iCs/>
          <w:color w:val="auto"/>
          <w:lang w:eastAsia="en-MY"/>
        </w:rPr>
        <w:t>Note.</w:t>
      </w:r>
      <w:r w:rsidRPr="009D4627">
        <w:rPr>
          <w:rFonts w:eastAsia="Times New Roman"/>
          <w:color w:val="auto"/>
          <w:lang w:eastAsia="en-MY"/>
        </w:rPr>
        <w:t xml:space="preserve"> Test value = mean of</w:t>
      </w:r>
      <w:r w:rsidR="00903D0C" w:rsidRPr="009D4627">
        <w:rPr>
          <w:rFonts w:eastAsia="Times New Roman"/>
          <w:color w:val="auto"/>
          <w:lang w:eastAsia="en-MY"/>
        </w:rPr>
        <w:t xml:space="preserve"> the</w:t>
      </w:r>
      <w:r w:rsidRPr="009D4627">
        <w:rPr>
          <w:rFonts w:eastAsia="Times New Roman"/>
          <w:color w:val="auto"/>
          <w:lang w:eastAsia="en-MY"/>
        </w:rPr>
        <w:t xml:space="preserve"> control</w:t>
      </w:r>
      <w:r w:rsidR="00903D0C" w:rsidRPr="009D4627">
        <w:rPr>
          <w:rFonts w:eastAsia="Times New Roman"/>
          <w:color w:val="auto"/>
          <w:lang w:eastAsia="en-MY"/>
        </w:rPr>
        <w:t xml:space="preserve"> group</w:t>
      </w:r>
      <w:r w:rsidR="00AD1698">
        <w:rPr>
          <w:rFonts w:eastAsia="Times New Roman"/>
          <w:color w:val="auto"/>
          <w:lang w:eastAsia="en-MY"/>
        </w:rPr>
        <w:t>,</w:t>
      </w:r>
      <w:r w:rsidRPr="009D4627">
        <w:rPr>
          <w:rFonts w:eastAsia="Times New Roman"/>
          <w:color w:val="auto"/>
          <w:lang w:eastAsia="en-MY"/>
        </w:rPr>
        <w:t xml:space="preserve"> </w:t>
      </w:r>
      <w:r w:rsidR="00AD1698">
        <w:rPr>
          <w:rFonts w:eastAsia="Times New Roman"/>
          <w:color w:val="auto"/>
          <w:lang w:eastAsia="en-MY"/>
        </w:rPr>
        <w:t>V=visit</w:t>
      </w:r>
    </w:p>
    <w:p w14:paraId="6F208FAA" w14:textId="6714A396" w:rsidR="00C44472" w:rsidRPr="009D4627" w:rsidRDefault="00C44472" w:rsidP="00DC4CA6">
      <w:pPr>
        <w:pStyle w:val="Heading3"/>
      </w:pPr>
      <w:bookmarkStart w:id="536" w:name="_Toc98964727"/>
      <w:bookmarkStart w:id="537" w:name="_Toc103344769"/>
      <w:r w:rsidRPr="009D4627">
        <w:lastRenderedPageBreak/>
        <w:t>Vertical saccadic eye movements of ONP patients</w:t>
      </w:r>
      <w:bookmarkEnd w:id="536"/>
      <w:bookmarkEnd w:id="537"/>
    </w:p>
    <w:p w14:paraId="3A9DF94F" w14:textId="3E56FCBE" w:rsidR="00CD69ED" w:rsidRPr="009D4627" w:rsidRDefault="00393BEB" w:rsidP="00CA4E90">
      <w:pPr>
        <w:pStyle w:val="Heading4"/>
        <w:rPr>
          <w:lang w:eastAsia="en-MY"/>
        </w:rPr>
      </w:pPr>
      <w:bookmarkStart w:id="538" w:name="_Toc98964728"/>
      <w:bookmarkStart w:id="539" w:name="_Toc103344770"/>
      <w:r>
        <w:rPr>
          <w:lang w:eastAsia="en-MY"/>
        </w:rPr>
        <w:t>Independent samples t-tests</w:t>
      </w:r>
      <w:r w:rsidR="00CD69ED" w:rsidRPr="009D4627">
        <w:rPr>
          <w:lang w:eastAsia="en-MY"/>
        </w:rPr>
        <w:t xml:space="preserve"> comparing affected and unaffected eyes</w:t>
      </w:r>
      <w:bookmarkEnd w:id="538"/>
      <w:bookmarkEnd w:id="539"/>
    </w:p>
    <w:p w14:paraId="216BF95F" w14:textId="392D10B8" w:rsidR="00FE0831" w:rsidRPr="009D4627" w:rsidRDefault="00FE0831" w:rsidP="00940AE5">
      <w:pPr>
        <w:rPr>
          <w:lang w:eastAsia="en-MY"/>
        </w:rPr>
      </w:pPr>
      <w:r w:rsidRPr="009D4627">
        <w:rPr>
          <w:lang w:eastAsia="en-MY"/>
        </w:rPr>
        <w:t xml:space="preserve">According to an independent </w:t>
      </w:r>
      <w:r w:rsidR="00EE5A21">
        <w:rPr>
          <w:lang w:eastAsia="en-MY"/>
        </w:rPr>
        <w:t xml:space="preserve">samples </w:t>
      </w:r>
      <w:r w:rsidRPr="009D4627">
        <w:rPr>
          <w:lang w:eastAsia="en-MY"/>
        </w:rPr>
        <w:t xml:space="preserve">t-test, </w:t>
      </w:r>
      <w:r w:rsidR="004F62A1" w:rsidRPr="009D4627">
        <w:rPr>
          <w:lang w:eastAsia="en-MY"/>
        </w:rPr>
        <w:t xml:space="preserve">the </w:t>
      </w:r>
      <w:r w:rsidRPr="009D4627">
        <w:rPr>
          <w:lang w:eastAsia="en-MY"/>
        </w:rPr>
        <w:t>affected eyes had significantly longer vertical saccadic latency than</w:t>
      </w:r>
      <w:r w:rsidR="004F62A1" w:rsidRPr="009D4627">
        <w:rPr>
          <w:lang w:eastAsia="en-MY"/>
        </w:rPr>
        <w:t xml:space="preserve"> the</w:t>
      </w:r>
      <w:r w:rsidRPr="009D4627">
        <w:rPr>
          <w:lang w:eastAsia="en-MY"/>
        </w:rPr>
        <w:t xml:space="preserve"> unaffected eyes for all ocular nerve palsies.</w:t>
      </w:r>
      <w:r w:rsidR="0097430A" w:rsidRPr="009D4627">
        <w:rPr>
          <w:lang w:eastAsia="en-MY"/>
        </w:rPr>
        <w:t xml:space="preserve"> </w:t>
      </w:r>
      <w:r w:rsidR="00393BEB" w:rsidRPr="00393BEB">
        <w:rPr>
          <w:lang w:eastAsia="en-MY"/>
        </w:rPr>
        <w:t>In CN III palsy, the saccadic latency was significantly prolonged in both vertical directions of the affected eyes; in CN IV palsy, it was significantly prolonged in the upward direction; and in CN VI palsy, it was significantly prolonged in the downward direction.</w:t>
      </w:r>
      <w:r w:rsidRPr="009D4627">
        <w:rPr>
          <w:lang w:eastAsia="en-MY"/>
        </w:rPr>
        <w:t xml:space="preserve">  </w:t>
      </w:r>
    </w:p>
    <w:p w14:paraId="618BBC75" w14:textId="6E34989B" w:rsidR="00FE0831" w:rsidRPr="009D4627" w:rsidRDefault="00FE0831" w:rsidP="00940AE5">
      <w:pPr>
        <w:rPr>
          <w:lang w:eastAsia="en-MY"/>
        </w:rPr>
      </w:pPr>
      <w:r w:rsidRPr="009D4627">
        <w:rPr>
          <w:lang w:eastAsia="en-MY"/>
        </w:rPr>
        <w:t>In addition</w:t>
      </w:r>
      <w:r w:rsidR="00D47417" w:rsidRPr="009D4627">
        <w:rPr>
          <w:lang w:eastAsia="en-MY"/>
        </w:rPr>
        <w:t xml:space="preserve">, the vertical saccadic peak velocity was </w:t>
      </w:r>
      <w:r w:rsidR="00123237" w:rsidRPr="009D4627">
        <w:rPr>
          <w:lang w:eastAsia="en-MY"/>
        </w:rPr>
        <w:t>significantl</w:t>
      </w:r>
      <w:r w:rsidR="00D47417" w:rsidRPr="009D4627">
        <w:rPr>
          <w:lang w:eastAsia="en-MY"/>
        </w:rPr>
        <w:t xml:space="preserve">y reduced in the </w:t>
      </w:r>
      <w:r w:rsidR="00393BEB" w:rsidRPr="009D4627">
        <w:rPr>
          <w:lang w:eastAsia="en-MY"/>
        </w:rPr>
        <w:t xml:space="preserve">eyes </w:t>
      </w:r>
      <w:r w:rsidR="00D47417" w:rsidRPr="009D4627">
        <w:rPr>
          <w:lang w:eastAsia="en-MY"/>
        </w:rPr>
        <w:t xml:space="preserve">affected </w:t>
      </w:r>
      <w:r w:rsidR="00393BEB">
        <w:rPr>
          <w:lang w:eastAsia="en-MY"/>
        </w:rPr>
        <w:t>by</w:t>
      </w:r>
      <w:r w:rsidR="00D47417" w:rsidRPr="009D4627">
        <w:rPr>
          <w:lang w:eastAsia="en-MY"/>
        </w:rPr>
        <w:t xml:space="preserve"> CN III palsy. On the other hand, the peak velocity was not statistically different between the affected and unaffected eyes of CN IV and VI patients.</w:t>
      </w:r>
      <w:r w:rsidR="002540A9" w:rsidRPr="009D4627">
        <w:rPr>
          <w:lang w:eastAsia="en-MY"/>
        </w:rPr>
        <w:t xml:space="preserve"> </w:t>
      </w:r>
    </w:p>
    <w:p w14:paraId="60DBC0BC" w14:textId="12041113" w:rsidR="007A6D00" w:rsidRPr="009D4627" w:rsidRDefault="00A623DA" w:rsidP="007A6D00">
      <w:pPr>
        <w:rPr>
          <w:lang w:eastAsia="en-MY"/>
        </w:rPr>
      </w:pPr>
      <w:r w:rsidRPr="009D4627">
        <w:rPr>
          <w:lang w:eastAsia="en-MY"/>
        </w:rPr>
        <w:t xml:space="preserve">Additionally, for CN III and CN VI palsies, the affected eyes' vertical saccadic gain was reduced in both vertical directions. On the other hand, the saccadic gain of </w:t>
      </w:r>
      <w:r w:rsidR="00393BEB">
        <w:rPr>
          <w:lang w:eastAsia="en-MY"/>
        </w:rPr>
        <w:t xml:space="preserve">eyes affected by </w:t>
      </w:r>
      <w:r w:rsidRPr="009D4627">
        <w:rPr>
          <w:lang w:eastAsia="en-MY"/>
        </w:rPr>
        <w:t>CN IV palsy was markedly reduced in the upward direction only in the affected eye; the saccadic gain in the downward direction was comparable in both eyes.</w:t>
      </w:r>
      <w:r w:rsidR="007A6D00" w:rsidRPr="009D4627">
        <w:rPr>
          <w:lang w:eastAsia="en-MY"/>
        </w:rPr>
        <w:t xml:space="preserve"> The </w:t>
      </w:r>
      <w:r w:rsidR="00393BEB">
        <w:rPr>
          <w:lang w:eastAsia="en-MY"/>
        </w:rPr>
        <w:t>independent samples t-tests</w:t>
      </w:r>
      <w:r w:rsidR="007A6D00" w:rsidRPr="009D4627">
        <w:rPr>
          <w:lang w:eastAsia="en-MY"/>
        </w:rPr>
        <w:t xml:space="preserve"> results for vertical saccadic are reported in Table 5.</w:t>
      </w:r>
      <w:r w:rsidR="00CC47DA" w:rsidRPr="009D4627">
        <w:rPr>
          <w:lang w:eastAsia="en-MY"/>
        </w:rPr>
        <w:t>1</w:t>
      </w:r>
      <w:r w:rsidR="00C44472" w:rsidRPr="009D4627">
        <w:rPr>
          <w:lang w:eastAsia="en-MY"/>
        </w:rPr>
        <w:t>1</w:t>
      </w:r>
      <w:r w:rsidR="007A6D00" w:rsidRPr="009D4627">
        <w:rPr>
          <w:lang w:eastAsia="en-MY"/>
        </w:rPr>
        <w:t>.</w:t>
      </w:r>
    </w:p>
    <w:p w14:paraId="6EB550C3" w14:textId="68520097" w:rsidR="002540A9" w:rsidRPr="009D4627" w:rsidRDefault="002540A9" w:rsidP="00C4130D">
      <w:pPr>
        <w:pStyle w:val="Caption"/>
      </w:pPr>
      <w:bookmarkStart w:id="540" w:name="_Toc99378025"/>
      <w:bookmarkStart w:id="541" w:name="_Hlk96792673"/>
      <w:r w:rsidRPr="009D4627">
        <w:t>Table 5.</w:t>
      </w:r>
      <w:r w:rsidRPr="009D4627">
        <w:fldChar w:fldCharType="begin"/>
      </w:r>
      <w:r w:rsidRPr="009D4627">
        <w:instrText xml:space="preserve"> SEQ Table_5. \* ARABIC </w:instrText>
      </w:r>
      <w:r w:rsidRPr="009D4627">
        <w:fldChar w:fldCharType="separate"/>
      </w:r>
      <w:r w:rsidR="00E268F6">
        <w:rPr>
          <w:noProof/>
        </w:rPr>
        <w:t>11</w:t>
      </w:r>
      <w:r w:rsidRPr="009D4627">
        <w:fldChar w:fldCharType="end"/>
      </w:r>
      <w:r w:rsidRPr="009D4627">
        <w:t xml:space="preserve">: </w:t>
      </w:r>
      <w:r w:rsidR="00FE0831" w:rsidRPr="009D4627">
        <w:t xml:space="preserve">The </w:t>
      </w:r>
      <w:r w:rsidR="00FA3219" w:rsidRPr="009D4627">
        <w:t>vertical</w:t>
      </w:r>
      <w:r w:rsidR="00FE0831" w:rsidRPr="009D4627">
        <w:t xml:space="preserve"> </w:t>
      </w:r>
      <w:r w:rsidR="00FA3219" w:rsidRPr="009D4627">
        <w:t xml:space="preserve">saccadic </w:t>
      </w:r>
      <w:r w:rsidR="00FE0831" w:rsidRPr="009D4627">
        <w:t>latencies, peak velocity, and gain of</w:t>
      </w:r>
      <w:r w:rsidR="00393BEB">
        <w:t xml:space="preserve"> the </w:t>
      </w:r>
      <w:r w:rsidR="00393BEB" w:rsidRPr="009D4627">
        <w:t xml:space="preserve">affected and unaffected eyes </w:t>
      </w:r>
      <w:r w:rsidR="00FE0831" w:rsidRPr="009D4627">
        <w:t xml:space="preserve">were compared using an </w:t>
      </w:r>
      <w:r w:rsidR="00393BEB">
        <w:t>independent samples t-tests</w:t>
      </w:r>
      <w:r w:rsidR="00FE0831" w:rsidRPr="009D4627">
        <w:t>.</w:t>
      </w:r>
      <w:bookmarkEnd w:id="540"/>
    </w:p>
    <w:tbl>
      <w:tblPr>
        <w:tblW w:w="5000" w:type="pct"/>
        <w:tblLook w:val="04A0" w:firstRow="1" w:lastRow="0" w:firstColumn="1" w:lastColumn="0" w:noHBand="0" w:noVBand="1"/>
      </w:tblPr>
      <w:tblGrid>
        <w:gridCol w:w="988"/>
        <w:gridCol w:w="1585"/>
        <w:gridCol w:w="2184"/>
        <w:gridCol w:w="2072"/>
        <w:gridCol w:w="1063"/>
        <w:gridCol w:w="1134"/>
      </w:tblGrid>
      <w:tr w:rsidR="00BF6D62" w:rsidRPr="009D4627" w14:paraId="0418215B" w14:textId="77777777" w:rsidTr="001F6136">
        <w:trPr>
          <w:trHeight w:val="351"/>
        </w:trPr>
        <w:tc>
          <w:tcPr>
            <w:tcW w:w="5000" w:type="pct"/>
            <w:gridSpan w:val="6"/>
            <w:tcBorders>
              <w:top w:val="single" w:sz="4" w:space="0" w:color="auto"/>
              <w:bottom w:val="single" w:sz="4" w:space="0" w:color="auto"/>
            </w:tcBorders>
            <w:shd w:val="clear" w:color="auto" w:fill="auto"/>
            <w:hideMark/>
          </w:tcPr>
          <w:p w14:paraId="581DA38C" w14:textId="65B938AC" w:rsidR="00BF6D62" w:rsidRPr="009D4627" w:rsidRDefault="00903D0C" w:rsidP="00CF7FAB">
            <w:pPr>
              <w:spacing w:before="0" w:after="0" w:line="240" w:lineRule="auto"/>
              <w:jc w:val="left"/>
              <w:rPr>
                <w:rFonts w:eastAsia="Times New Roman"/>
                <w:i/>
                <w:iCs/>
                <w:color w:val="000000"/>
                <w:lang w:val="en-MY" w:eastAsia="en-MY"/>
              </w:rPr>
            </w:pPr>
            <w:r w:rsidRPr="009D4627">
              <w:rPr>
                <w:rFonts w:eastAsia="Times New Roman"/>
                <w:i/>
                <w:iCs/>
                <w:color w:val="000000"/>
                <w:lang w:val="en-MY" w:eastAsia="en-MY"/>
              </w:rPr>
              <w:t>V</w:t>
            </w:r>
            <w:r w:rsidR="00BF6D62" w:rsidRPr="009D4627">
              <w:rPr>
                <w:rFonts w:eastAsia="Times New Roman"/>
                <w:i/>
                <w:iCs/>
                <w:color w:val="000000"/>
                <w:lang w:val="en-MY" w:eastAsia="en-MY"/>
              </w:rPr>
              <w:t>ertical saccadic latency</w:t>
            </w:r>
            <w:r w:rsidR="008C328E" w:rsidRPr="009D4627">
              <w:rPr>
                <w:rFonts w:eastAsia="Times New Roman"/>
                <w:i/>
                <w:iCs/>
                <w:color w:val="000000"/>
                <w:lang w:val="en-MY" w:eastAsia="en-MY"/>
              </w:rPr>
              <w:t xml:space="preserve"> in </w:t>
            </w:r>
            <w:proofErr w:type="spellStart"/>
            <w:r w:rsidR="008C328E" w:rsidRPr="009D4627">
              <w:rPr>
                <w:rFonts w:eastAsia="Times New Roman"/>
                <w:i/>
                <w:iCs/>
                <w:color w:val="000000"/>
                <w:lang w:val="en-MY" w:eastAsia="en-MY"/>
              </w:rPr>
              <w:t>ms</w:t>
            </w:r>
            <w:proofErr w:type="spellEnd"/>
          </w:p>
        </w:tc>
      </w:tr>
      <w:tr w:rsidR="00B50107" w:rsidRPr="009D4627" w14:paraId="6B30ACFF" w14:textId="77777777" w:rsidTr="000566E5">
        <w:trPr>
          <w:trHeight w:val="351"/>
        </w:trPr>
        <w:tc>
          <w:tcPr>
            <w:tcW w:w="547" w:type="pct"/>
            <w:tcBorders>
              <w:top w:val="single" w:sz="4" w:space="0" w:color="auto"/>
              <w:bottom w:val="single" w:sz="4" w:space="0" w:color="auto"/>
            </w:tcBorders>
            <w:shd w:val="clear" w:color="auto" w:fill="auto"/>
            <w:noWrap/>
            <w:hideMark/>
          </w:tcPr>
          <w:p w14:paraId="2CC45E53" w14:textId="77777777" w:rsidR="00BF6D62" w:rsidRPr="009D4627" w:rsidRDefault="00BF6D62" w:rsidP="001F6136">
            <w:pPr>
              <w:spacing w:before="0" w:after="0" w:line="240" w:lineRule="auto"/>
              <w:jc w:val="center"/>
              <w:rPr>
                <w:rFonts w:eastAsia="Times New Roman"/>
                <w:color w:val="000000"/>
                <w:lang w:val="en-MY" w:eastAsia="en-MY"/>
              </w:rPr>
            </w:pPr>
          </w:p>
        </w:tc>
        <w:tc>
          <w:tcPr>
            <w:tcW w:w="878" w:type="pct"/>
            <w:tcBorders>
              <w:top w:val="single" w:sz="4" w:space="0" w:color="auto"/>
              <w:bottom w:val="single" w:sz="4" w:space="0" w:color="auto"/>
            </w:tcBorders>
            <w:shd w:val="clear" w:color="auto" w:fill="auto"/>
          </w:tcPr>
          <w:p w14:paraId="04636DD3" w14:textId="77777777" w:rsidR="00BF6D62" w:rsidRPr="009D4627" w:rsidRDefault="00BF6D62" w:rsidP="001F6136">
            <w:pPr>
              <w:spacing w:before="0" w:after="0" w:line="240" w:lineRule="auto"/>
              <w:jc w:val="center"/>
              <w:rPr>
                <w:rFonts w:eastAsia="Times New Roman"/>
                <w:color w:val="000000"/>
                <w:lang w:val="en-MY" w:eastAsia="en-MY"/>
              </w:rPr>
            </w:pPr>
          </w:p>
        </w:tc>
        <w:tc>
          <w:tcPr>
            <w:tcW w:w="1210" w:type="pct"/>
            <w:tcBorders>
              <w:top w:val="single" w:sz="4" w:space="0" w:color="auto"/>
              <w:bottom w:val="single" w:sz="4" w:space="0" w:color="auto"/>
            </w:tcBorders>
            <w:shd w:val="clear" w:color="auto" w:fill="auto"/>
            <w:noWrap/>
            <w:hideMark/>
          </w:tcPr>
          <w:p w14:paraId="7578D8B1" w14:textId="77777777" w:rsidR="00BF6D62" w:rsidRPr="009D4627" w:rsidRDefault="00BF6D62" w:rsidP="001F6136">
            <w:pPr>
              <w:spacing w:before="0" w:after="0" w:line="240" w:lineRule="auto"/>
              <w:jc w:val="center"/>
              <w:rPr>
                <w:rFonts w:eastAsia="Times New Roman"/>
                <w:b/>
                <w:bCs/>
                <w:color w:val="000000"/>
                <w:lang w:val="en-MY" w:eastAsia="en-MY"/>
              </w:rPr>
            </w:pPr>
            <w:r w:rsidRPr="009D4627">
              <w:rPr>
                <w:rFonts w:eastAsia="Times New Roman"/>
                <w:b/>
                <w:bCs/>
                <w:color w:val="000000"/>
                <w:lang w:val="en-MY" w:eastAsia="en-MY"/>
              </w:rPr>
              <w:t>Affected eye</w:t>
            </w:r>
          </w:p>
        </w:tc>
        <w:tc>
          <w:tcPr>
            <w:tcW w:w="1148" w:type="pct"/>
            <w:tcBorders>
              <w:top w:val="single" w:sz="4" w:space="0" w:color="auto"/>
              <w:bottom w:val="single" w:sz="4" w:space="0" w:color="auto"/>
            </w:tcBorders>
            <w:shd w:val="clear" w:color="auto" w:fill="auto"/>
            <w:noWrap/>
            <w:hideMark/>
          </w:tcPr>
          <w:p w14:paraId="381E027A" w14:textId="77777777" w:rsidR="00BF6D62" w:rsidRPr="009D4627" w:rsidRDefault="00BF6D62" w:rsidP="001F6136">
            <w:pPr>
              <w:spacing w:before="0" w:after="0" w:line="240" w:lineRule="auto"/>
              <w:jc w:val="center"/>
              <w:rPr>
                <w:rFonts w:eastAsia="Times New Roman"/>
                <w:b/>
                <w:bCs/>
                <w:color w:val="000000"/>
                <w:lang w:val="en-MY" w:eastAsia="en-MY"/>
              </w:rPr>
            </w:pPr>
            <w:r w:rsidRPr="009D4627">
              <w:rPr>
                <w:rFonts w:eastAsia="Times New Roman"/>
                <w:b/>
                <w:bCs/>
                <w:color w:val="000000"/>
                <w:lang w:val="en-MY" w:eastAsia="en-MY"/>
              </w:rPr>
              <w:t>Unaffected eye</w:t>
            </w:r>
          </w:p>
        </w:tc>
        <w:tc>
          <w:tcPr>
            <w:tcW w:w="589" w:type="pct"/>
            <w:tcBorders>
              <w:top w:val="single" w:sz="4" w:space="0" w:color="auto"/>
              <w:bottom w:val="single" w:sz="4" w:space="0" w:color="auto"/>
            </w:tcBorders>
          </w:tcPr>
          <w:p w14:paraId="7251C5AE" w14:textId="77777777" w:rsidR="00BF6D62" w:rsidRPr="009D4627" w:rsidRDefault="00BF6D62" w:rsidP="001F6136">
            <w:pPr>
              <w:spacing w:before="0" w:after="0" w:line="240" w:lineRule="auto"/>
              <w:jc w:val="center"/>
              <w:rPr>
                <w:rFonts w:eastAsia="Times New Roman"/>
                <w:b/>
                <w:bCs/>
                <w:color w:val="000000"/>
                <w:lang w:val="en-MY" w:eastAsia="en-MY"/>
              </w:rPr>
            </w:pPr>
            <w:r w:rsidRPr="00160B34">
              <w:rPr>
                <w:rFonts w:eastAsia="Times New Roman"/>
                <w:b/>
                <w:bCs/>
                <w:i/>
                <w:iCs/>
                <w:color w:val="000000"/>
                <w:lang w:val="en-MY" w:eastAsia="en-MY"/>
              </w:rPr>
              <w:t>t</w:t>
            </w:r>
            <w:r w:rsidRPr="009D4627">
              <w:rPr>
                <w:rFonts w:eastAsia="Times New Roman"/>
                <w:b/>
                <w:bCs/>
                <w:color w:val="000000"/>
                <w:lang w:val="en-MY" w:eastAsia="en-MY"/>
              </w:rPr>
              <w:t>-value</w:t>
            </w:r>
          </w:p>
        </w:tc>
        <w:tc>
          <w:tcPr>
            <w:tcW w:w="628" w:type="pct"/>
            <w:tcBorders>
              <w:top w:val="single" w:sz="4" w:space="0" w:color="auto"/>
              <w:bottom w:val="single" w:sz="4" w:space="0" w:color="auto"/>
            </w:tcBorders>
          </w:tcPr>
          <w:p w14:paraId="4619895D" w14:textId="77777777" w:rsidR="00BF6D62" w:rsidRPr="009D4627" w:rsidRDefault="00BF6D62" w:rsidP="001F6136">
            <w:pPr>
              <w:spacing w:before="0" w:after="0" w:line="240" w:lineRule="auto"/>
              <w:jc w:val="center"/>
              <w:rPr>
                <w:rFonts w:eastAsia="Times New Roman"/>
                <w:b/>
                <w:bCs/>
                <w:color w:val="000000"/>
                <w:lang w:val="en-MY" w:eastAsia="en-MY"/>
              </w:rPr>
            </w:pPr>
            <w:r w:rsidRPr="00160B34">
              <w:rPr>
                <w:rFonts w:eastAsia="Times New Roman"/>
                <w:b/>
                <w:bCs/>
                <w:i/>
                <w:iCs/>
                <w:color w:val="000000"/>
                <w:lang w:val="en-MY" w:eastAsia="en-MY"/>
              </w:rPr>
              <w:t>p</w:t>
            </w:r>
            <w:r w:rsidRPr="009D4627">
              <w:rPr>
                <w:rFonts w:eastAsia="Times New Roman"/>
                <w:b/>
                <w:bCs/>
                <w:color w:val="000000"/>
                <w:lang w:val="en-MY" w:eastAsia="en-MY"/>
              </w:rPr>
              <w:t>-value</w:t>
            </w:r>
          </w:p>
        </w:tc>
      </w:tr>
      <w:tr w:rsidR="00B50107" w:rsidRPr="009D4627" w14:paraId="3EBEEA8A" w14:textId="77777777" w:rsidTr="000566E5">
        <w:trPr>
          <w:trHeight w:val="351"/>
        </w:trPr>
        <w:tc>
          <w:tcPr>
            <w:tcW w:w="547" w:type="pct"/>
            <w:tcBorders>
              <w:top w:val="single" w:sz="4" w:space="0" w:color="auto"/>
            </w:tcBorders>
            <w:shd w:val="clear" w:color="auto" w:fill="auto"/>
            <w:noWrap/>
            <w:hideMark/>
          </w:tcPr>
          <w:p w14:paraId="0A295351" w14:textId="77777777" w:rsidR="00BF6D62" w:rsidRPr="009D4627" w:rsidRDefault="00BF6D62"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78" w:type="pct"/>
            <w:tcBorders>
              <w:top w:val="single" w:sz="4" w:space="0" w:color="auto"/>
            </w:tcBorders>
            <w:shd w:val="clear" w:color="auto" w:fill="auto"/>
            <w:noWrap/>
          </w:tcPr>
          <w:p w14:paraId="6E6DFC40" w14:textId="79473A2D" w:rsidR="00BF6D62" w:rsidRPr="00CF7FAB" w:rsidRDefault="00BF6D62" w:rsidP="00BF6D62">
            <w:pPr>
              <w:spacing w:before="0" w:after="0" w:line="240" w:lineRule="auto"/>
              <w:ind w:left="238"/>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0C731B70" w14:textId="2D126E07" w:rsidR="00BF6D62" w:rsidRPr="009D4627" w:rsidRDefault="008C328E"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249 (35)</w:t>
            </w:r>
          </w:p>
        </w:tc>
        <w:tc>
          <w:tcPr>
            <w:tcW w:w="1148" w:type="pct"/>
            <w:tcBorders>
              <w:top w:val="single" w:sz="4" w:space="0" w:color="auto"/>
            </w:tcBorders>
            <w:shd w:val="clear" w:color="auto" w:fill="auto"/>
            <w:noWrap/>
          </w:tcPr>
          <w:p w14:paraId="36F058A7" w14:textId="2EF83059" w:rsidR="00BF6D62" w:rsidRPr="009D4627" w:rsidRDefault="008C328E"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221 (28)</w:t>
            </w:r>
          </w:p>
        </w:tc>
        <w:tc>
          <w:tcPr>
            <w:tcW w:w="589" w:type="pct"/>
            <w:tcBorders>
              <w:top w:val="single" w:sz="4" w:space="0" w:color="auto"/>
            </w:tcBorders>
          </w:tcPr>
          <w:p w14:paraId="3D85C4A7" w14:textId="3707DC52" w:rsidR="00BF6D62" w:rsidRPr="009D4627" w:rsidRDefault="00B43F10"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4.59</w:t>
            </w:r>
          </w:p>
        </w:tc>
        <w:tc>
          <w:tcPr>
            <w:tcW w:w="628" w:type="pct"/>
            <w:tcBorders>
              <w:top w:val="single" w:sz="4" w:space="0" w:color="auto"/>
            </w:tcBorders>
          </w:tcPr>
          <w:p w14:paraId="4FD6072B" w14:textId="254E52BA" w:rsidR="00BF6D62" w:rsidRPr="009D4627" w:rsidRDefault="00562F19" w:rsidP="001F6136">
            <w:pPr>
              <w:spacing w:before="0" w:after="0" w:line="240" w:lineRule="auto"/>
              <w:jc w:val="center"/>
              <w:rPr>
                <w:rFonts w:eastAsia="Times New Roman"/>
                <w:color w:val="000000"/>
                <w:lang w:val="en-MY" w:eastAsia="en-MY"/>
              </w:rPr>
            </w:pPr>
            <w:r w:rsidRPr="009D4627">
              <w:rPr>
                <w:rFonts w:eastAsia="Times New Roman"/>
                <w:color w:val="000000"/>
                <w:lang w:val="en-MY" w:eastAsia="en-MY"/>
              </w:rPr>
              <w:t>&lt;0.01*</w:t>
            </w:r>
          </w:p>
        </w:tc>
      </w:tr>
      <w:tr w:rsidR="00B50107" w:rsidRPr="009D4627" w14:paraId="03AE72D4" w14:textId="77777777" w:rsidTr="000566E5">
        <w:trPr>
          <w:trHeight w:val="351"/>
        </w:trPr>
        <w:tc>
          <w:tcPr>
            <w:tcW w:w="547" w:type="pct"/>
            <w:shd w:val="clear" w:color="auto" w:fill="auto"/>
            <w:noWrap/>
            <w:hideMark/>
          </w:tcPr>
          <w:p w14:paraId="3C170068"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59776E0C" w14:textId="23C75282" w:rsidR="008C328E" w:rsidRPr="00CF7FAB" w:rsidRDefault="008C328E" w:rsidP="008C328E">
            <w:pPr>
              <w:spacing w:before="0" w:after="0" w:line="240" w:lineRule="auto"/>
              <w:ind w:left="238"/>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55C59B26" w14:textId="114D09E3"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278 (40)</w:t>
            </w:r>
          </w:p>
        </w:tc>
        <w:tc>
          <w:tcPr>
            <w:tcW w:w="1148" w:type="pct"/>
            <w:shd w:val="clear" w:color="auto" w:fill="auto"/>
            <w:noWrap/>
          </w:tcPr>
          <w:p w14:paraId="18DDE403" w14:textId="0331B8EA"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263 (32)</w:t>
            </w:r>
          </w:p>
        </w:tc>
        <w:tc>
          <w:tcPr>
            <w:tcW w:w="589" w:type="pct"/>
          </w:tcPr>
          <w:p w14:paraId="13810D73" w14:textId="56FFC927"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2.13</w:t>
            </w:r>
          </w:p>
        </w:tc>
        <w:tc>
          <w:tcPr>
            <w:tcW w:w="628" w:type="pct"/>
          </w:tcPr>
          <w:p w14:paraId="58EDBDC2" w14:textId="4BFFD552"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CC47DA" w:rsidRPr="009D4627">
              <w:rPr>
                <w:rFonts w:eastAsia="Times New Roman"/>
                <w:color w:val="000000"/>
                <w:lang w:val="en-MY" w:eastAsia="en-MY"/>
              </w:rPr>
              <w:t>4</w:t>
            </w:r>
            <w:r w:rsidRPr="009D4627">
              <w:rPr>
                <w:rFonts w:eastAsia="Times New Roman"/>
                <w:color w:val="000000"/>
                <w:lang w:val="en-MY" w:eastAsia="en-MY"/>
              </w:rPr>
              <w:t>*</w:t>
            </w:r>
          </w:p>
        </w:tc>
      </w:tr>
      <w:tr w:rsidR="00B50107" w:rsidRPr="009D4627" w14:paraId="2349164F" w14:textId="77777777" w:rsidTr="000566E5">
        <w:trPr>
          <w:trHeight w:val="351"/>
        </w:trPr>
        <w:tc>
          <w:tcPr>
            <w:tcW w:w="547" w:type="pct"/>
            <w:tcBorders>
              <w:top w:val="single" w:sz="4" w:space="0" w:color="auto"/>
            </w:tcBorders>
            <w:shd w:val="clear" w:color="auto" w:fill="auto"/>
            <w:noWrap/>
            <w:hideMark/>
          </w:tcPr>
          <w:p w14:paraId="0C155B88"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78" w:type="pct"/>
            <w:tcBorders>
              <w:top w:val="single" w:sz="4" w:space="0" w:color="auto"/>
            </w:tcBorders>
            <w:shd w:val="clear" w:color="auto" w:fill="auto"/>
            <w:noWrap/>
          </w:tcPr>
          <w:p w14:paraId="2A653711" w14:textId="043809B1"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07FE45AB" w14:textId="18C6CEF3"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196 (18)</w:t>
            </w:r>
          </w:p>
        </w:tc>
        <w:tc>
          <w:tcPr>
            <w:tcW w:w="1148" w:type="pct"/>
            <w:tcBorders>
              <w:top w:val="single" w:sz="4" w:space="0" w:color="auto"/>
            </w:tcBorders>
            <w:shd w:val="clear" w:color="auto" w:fill="auto"/>
            <w:noWrap/>
          </w:tcPr>
          <w:p w14:paraId="40C37754" w14:textId="42FB31E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185 (9)</w:t>
            </w:r>
          </w:p>
        </w:tc>
        <w:tc>
          <w:tcPr>
            <w:tcW w:w="589" w:type="pct"/>
            <w:tcBorders>
              <w:top w:val="single" w:sz="4" w:space="0" w:color="auto"/>
            </w:tcBorders>
          </w:tcPr>
          <w:p w14:paraId="25C5B2ED" w14:textId="344393FF"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2.1</w:t>
            </w:r>
            <w:r w:rsidR="00CC47DA" w:rsidRPr="009D4627">
              <w:rPr>
                <w:rFonts w:eastAsia="Times New Roman"/>
                <w:color w:val="000000"/>
                <w:lang w:val="en-MY" w:eastAsia="en-MY"/>
              </w:rPr>
              <w:t>7</w:t>
            </w:r>
          </w:p>
        </w:tc>
        <w:tc>
          <w:tcPr>
            <w:tcW w:w="628" w:type="pct"/>
            <w:tcBorders>
              <w:top w:val="single" w:sz="4" w:space="0" w:color="auto"/>
            </w:tcBorders>
          </w:tcPr>
          <w:p w14:paraId="2C6DE6AC" w14:textId="73D4EA06"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B43F10" w:rsidRPr="009D4627">
              <w:rPr>
                <w:rFonts w:eastAsia="Times New Roman"/>
                <w:color w:val="000000"/>
                <w:lang w:val="en-MY" w:eastAsia="en-MY"/>
              </w:rPr>
              <w:t>4</w:t>
            </w:r>
            <w:r w:rsidRPr="009D4627">
              <w:rPr>
                <w:rFonts w:eastAsia="Times New Roman"/>
                <w:color w:val="000000"/>
                <w:lang w:val="en-MY" w:eastAsia="en-MY"/>
              </w:rPr>
              <w:t>*</w:t>
            </w:r>
          </w:p>
        </w:tc>
      </w:tr>
      <w:tr w:rsidR="00B50107" w:rsidRPr="009D4627" w14:paraId="68842831" w14:textId="77777777" w:rsidTr="000566E5">
        <w:trPr>
          <w:trHeight w:val="351"/>
        </w:trPr>
        <w:tc>
          <w:tcPr>
            <w:tcW w:w="547" w:type="pct"/>
            <w:shd w:val="clear" w:color="auto" w:fill="auto"/>
            <w:noWrap/>
            <w:hideMark/>
          </w:tcPr>
          <w:p w14:paraId="4E0550DB"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3CFBC943" w14:textId="74D88DFC"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2264D1CE" w14:textId="441CAF8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205 (11)</w:t>
            </w:r>
          </w:p>
        </w:tc>
        <w:tc>
          <w:tcPr>
            <w:tcW w:w="1148" w:type="pct"/>
            <w:shd w:val="clear" w:color="auto" w:fill="auto"/>
            <w:noWrap/>
          </w:tcPr>
          <w:p w14:paraId="10D183BC" w14:textId="3090B1B9"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199 (14)</w:t>
            </w:r>
          </w:p>
        </w:tc>
        <w:tc>
          <w:tcPr>
            <w:tcW w:w="589" w:type="pct"/>
          </w:tcPr>
          <w:p w14:paraId="50B78A1A" w14:textId="4E6DC3EA"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1.4</w:t>
            </w:r>
            <w:r w:rsidR="00CC47DA" w:rsidRPr="009D4627">
              <w:rPr>
                <w:rFonts w:eastAsia="Times New Roman"/>
                <w:color w:val="000000"/>
                <w:lang w:val="en-MY" w:eastAsia="en-MY"/>
              </w:rPr>
              <w:t>9</w:t>
            </w:r>
          </w:p>
        </w:tc>
        <w:tc>
          <w:tcPr>
            <w:tcW w:w="628" w:type="pct"/>
          </w:tcPr>
          <w:p w14:paraId="2C39FA3D" w14:textId="71F9D581"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0.1</w:t>
            </w:r>
            <w:r w:rsidR="00CC47DA" w:rsidRPr="009D4627">
              <w:rPr>
                <w:rFonts w:eastAsia="Times New Roman"/>
                <w:color w:val="000000"/>
                <w:lang w:val="en-MY" w:eastAsia="en-MY"/>
              </w:rPr>
              <w:t>5</w:t>
            </w:r>
          </w:p>
        </w:tc>
      </w:tr>
      <w:tr w:rsidR="00B50107" w:rsidRPr="009D4627" w14:paraId="1275D190" w14:textId="77777777" w:rsidTr="000566E5">
        <w:trPr>
          <w:trHeight w:val="351"/>
        </w:trPr>
        <w:tc>
          <w:tcPr>
            <w:tcW w:w="547" w:type="pct"/>
            <w:tcBorders>
              <w:top w:val="single" w:sz="4" w:space="0" w:color="auto"/>
            </w:tcBorders>
            <w:shd w:val="clear" w:color="auto" w:fill="auto"/>
            <w:noWrap/>
            <w:hideMark/>
          </w:tcPr>
          <w:p w14:paraId="3EA811C8"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VI</w:t>
            </w:r>
          </w:p>
        </w:tc>
        <w:tc>
          <w:tcPr>
            <w:tcW w:w="878" w:type="pct"/>
            <w:tcBorders>
              <w:top w:val="single" w:sz="4" w:space="0" w:color="auto"/>
            </w:tcBorders>
            <w:shd w:val="clear" w:color="auto" w:fill="auto"/>
            <w:noWrap/>
          </w:tcPr>
          <w:p w14:paraId="50BEFD8C" w14:textId="32CBEFB6"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4A11C02C" w14:textId="526E442E"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240 (55)</w:t>
            </w:r>
          </w:p>
        </w:tc>
        <w:tc>
          <w:tcPr>
            <w:tcW w:w="1148" w:type="pct"/>
            <w:tcBorders>
              <w:top w:val="single" w:sz="4" w:space="0" w:color="auto"/>
            </w:tcBorders>
            <w:shd w:val="clear" w:color="auto" w:fill="auto"/>
            <w:noWrap/>
          </w:tcPr>
          <w:p w14:paraId="2606296F" w14:textId="5D492566"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0566E5" w:rsidRPr="009D4627">
              <w:rPr>
                <w:rFonts w:eastAsia="Times New Roman"/>
                <w:color w:val="000000"/>
                <w:lang w:val="en-MY" w:eastAsia="en-MY"/>
              </w:rPr>
              <w:t>29 (42)</w:t>
            </w:r>
          </w:p>
        </w:tc>
        <w:tc>
          <w:tcPr>
            <w:tcW w:w="589" w:type="pct"/>
            <w:tcBorders>
              <w:top w:val="single" w:sz="4" w:space="0" w:color="auto"/>
            </w:tcBorders>
          </w:tcPr>
          <w:p w14:paraId="55704BCF" w14:textId="07A8CB96"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1.4</w:t>
            </w:r>
            <w:r w:rsidR="00CC47DA" w:rsidRPr="009D4627">
              <w:rPr>
                <w:rFonts w:eastAsia="Times New Roman"/>
                <w:color w:val="000000"/>
                <w:lang w:val="en-MY" w:eastAsia="en-MY"/>
              </w:rPr>
              <w:t>3</w:t>
            </w:r>
          </w:p>
        </w:tc>
        <w:tc>
          <w:tcPr>
            <w:tcW w:w="628" w:type="pct"/>
            <w:tcBorders>
              <w:top w:val="single" w:sz="4" w:space="0" w:color="auto"/>
            </w:tcBorders>
          </w:tcPr>
          <w:p w14:paraId="50191EC9" w14:textId="5FDD0DFE"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0.1</w:t>
            </w:r>
            <w:r w:rsidR="00CC47DA" w:rsidRPr="009D4627">
              <w:rPr>
                <w:rFonts w:eastAsia="Times New Roman"/>
                <w:color w:val="000000"/>
                <w:lang w:val="en-MY" w:eastAsia="en-MY"/>
              </w:rPr>
              <w:t>6</w:t>
            </w:r>
          </w:p>
        </w:tc>
      </w:tr>
      <w:tr w:rsidR="00B50107" w:rsidRPr="009D4627" w14:paraId="2BE5ED33" w14:textId="77777777" w:rsidTr="000566E5">
        <w:trPr>
          <w:trHeight w:val="351"/>
        </w:trPr>
        <w:tc>
          <w:tcPr>
            <w:tcW w:w="547" w:type="pct"/>
            <w:shd w:val="clear" w:color="auto" w:fill="auto"/>
            <w:noWrap/>
            <w:hideMark/>
          </w:tcPr>
          <w:p w14:paraId="2EF0A7A2"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615BC3E5" w14:textId="54B7FA00"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1877246D" w14:textId="0A70BD76"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277 (66)</w:t>
            </w:r>
          </w:p>
        </w:tc>
        <w:tc>
          <w:tcPr>
            <w:tcW w:w="1148" w:type="pct"/>
            <w:shd w:val="clear" w:color="auto" w:fill="auto"/>
            <w:noWrap/>
          </w:tcPr>
          <w:p w14:paraId="2DBD2338" w14:textId="3A6D765F"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25</w:t>
            </w:r>
            <w:r w:rsidR="000566E5" w:rsidRPr="009D4627">
              <w:rPr>
                <w:rFonts w:eastAsia="Times New Roman"/>
                <w:color w:val="000000"/>
                <w:lang w:val="en-MY" w:eastAsia="en-MY"/>
              </w:rPr>
              <w:t>2 (51)</w:t>
            </w:r>
          </w:p>
        </w:tc>
        <w:tc>
          <w:tcPr>
            <w:tcW w:w="589" w:type="pct"/>
          </w:tcPr>
          <w:p w14:paraId="4BFCE8F8" w14:textId="7F4103A6"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2.46</w:t>
            </w:r>
          </w:p>
        </w:tc>
        <w:tc>
          <w:tcPr>
            <w:tcW w:w="628" w:type="pct"/>
          </w:tcPr>
          <w:p w14:paraId="408252D4" w14:textId="2E71B0E0"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CC47DA" w:rsidRPr="009D4627">
              <w:rPr>
                <w:rFonts w:eastAsia="Times New Roman"/>
                <w:color w:val="000000"/>
                <w:lang w:val="en-MY" w:eastAsia="en-MY"/>
              </w:rPr>
              <w:t>2</w:t>
            </w:r>
            <w:r w:rsidRPr="009D4627">
              <w:rPr>
                <w:rFonts w:eastAsia="Times New Roman"/>
                <w:color w:val="000000"/>
                <w:lang w:val="en-MY" w:eastAsia="en-MY"/>
              </w:rPr>
              <w:t>*</w:t>
            </w:r>
          </w:p>
        </w:tc>
      </w:tr>
      <w:tr w:rsidR="008C328E" w:rsidRPr="009D4627" w14:paraId="5D7541EC" w14:textId="77777777" w:rsidTr="001F6136">
        <w:trPr>
          <w:trHeight w:val="351"/>
        </w:trPr>
        <w:tc>
          <w:tcPr>
            <w:tcW w:w="5000" w:type="pct"/>
            <w:gridSpan w:val="6"/>
            <w:tcBorders>
              <w:top w:val="single" w:sz="4" w:space="0" w:color="auto"/>
              <w:bottom w:val="single" w:sz="4" w:space="0" w:color="auto"/>
            </w:tcBorders>
            <w:shd w:val="clear" w:color="auto" w:fill="auto"/>
            <w:hideMark/>
          </w:tcPr>
          <w:p w14:paraId="21D0AC78" w14:textId="2CF5C313" w:rsidR="008C328E" w:rsidRPr="00CF7FAB" w:rsidRDefault="00903D0C" w:rsidP="00CF7FAB">
            <w:pPr>
              <w:spacing w:before="0" w:after="0" w:line="240" w:lineRule="auto"/>
              <w:jc w:val="left"/>
              <w:rPr>
                <w:rFonts w:eastAsia="Times New Roman"/>
                <w:i/>
                <w:iCs/>
                <w:color w:val="000000"/>
                <w:lang w:val="en-MY" w:eastAsia="en-MY"/>
              </w:rPr>
            </w:pPr>
            <w:r w:rsidRPr="00CF7FAB">
              <w:rPr>
                <w:rFonts w:eastAsia="Times New Roman"/>
                <w:i/>
                <w:iCs/>
                <w:color w:val="000000"/>
                <w:lang w:val="en-MY" w:eastAsia="en-MY"/>
              </w:rPr>
              <w:lastRenderedPageBreak/>
              <w:t>V</w:t>
            </w:r>
            <w:r w:rsidR="008C328E" w:rsidRPr="00CF7FAB">
              <w:rPr>
                <w:rFonts w:eastAsia="Times New Roman"/>
                <w:i/>
                <w:iCs/>
                <w:color w:val="000000"/>
                <w:lang w:val="en-MY" w:eastAsia="en-MY"/>
              </w:rPr>
              <w:t xml:space="preserve">ertical peak velocity in °/s </w:t>
            </w:r>
          </w:p>
        </w:tc>
      </w:tr>
      <w:tr w:rsidR="00B50107" w:rsidRPr="009D4627" w14:paraId="6508B424" w14:textId="77777777" w:rsidTr="000566E5">
        <w:trPr>
          <w:trHeight w:val="351"/>
        </w:trPr>
        <w:tc>
          <w:tcPr>
            <w:tcW w:w="547" w:type="pct"/>
            <w:tcBorders>
              <w:top w:val="single" w:sz="4" w:space="0" w:color="auto"/>
            </w:tcBorders>
            <w:shd w:val="clear" w:color="auto" w:fill="auto"/>
            <w:noWrap/>
            <w:hideMark/>
          </w:tcPr>
          <w:p w14:paraId="766EDBC3"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78" w:type="pct"/>
            <w:tcBorders>
              <w:top w:val="single" w:sz="4" w:space="0" w:color="auto"/>
            </w:tcBorders>
            <w:shd w:val="clear" w:color="auto" w:fill="auto"/>
            <w:noWrap/>
          </w:tcPr>
          <w:p w14:paraId="15F1D0A9" w14:textId="0EB090BE"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78DEB0F1" w14:textId="1D69340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w:t>
            </w:r>
            <w:r w:rsidR="000566E5" w:rsidRPr="009D4627">
              <w:rPr>
                <w:rFonts w:eastAsia="Times New Roman"/>
                <w:color w:val="000000"/>
                <w:lang w:val="en-MY" w:eastAsia="en-MY"/>
              </w:rPr>
              <w:t>50.</w:t>
            </w:r>
            <w:r w:rsidR="00CC47DA" w:rsidRPr="009D4627">
              <w:rPr>
                <w:rFonts w:eastAsia="Times New Roman"/>
                <w:color w:val="000000"/>
                <w:lang w:val="en-MY" w:eastAsia="en-MY"/>
              </w:rPr>
              <w:t>2</w:t>
            </w:r>
            <w:r w:rsidR="000566E5" w:rsidRPr="009D4627">
              <w:rPr>
                <w:rFonts w:eastAsia="Times New Roman"/>
                <w:color w:val="000000"/>
                <w:lang w:val="en-MY" w:eastAsia="en-MY"/>
              </w:rPr>
              <w:t xml:space="preserve"> (81)</w:t>
            </w:r>
          </w:p>
        </w:tc>
        <w:tc>
          <w:tcPr>
            <w:tcW w:w="1148" w:type="pct"/>
            <w:tcBorders>
              <w:top w:val="single" w:sz="4" w:space="0" w:color="auto"/>
            </w:tcBorders>
            <w:shd w:val="clear" w:color="auto" w:fill="auto"/>
            <w:noWrap/>
          </w:tcPr>
          <w:p w14:paraId="12370DAE" w14:textId="61630B78"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217.7 (80)</w:t>
            </w:r>
          </w:p>
        </w:tc>
        <w:tc>
          <w:tcPr>
            <w:tcW w:w="589" w:type="pct"/>
            <w:tcBorders>
              <w:top w:val="single" w:sz="4" w:space="0" w:color="auto"/>
            </w:tcBorders>
          </w:tcPr>
          <w:p w14:paraId="65149710" w14:textId="66D4A28E"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-4.22</w:t>
            </w:r>
          </w:p>
        </w:tc>
        <w:tc>
          <w:tcPr>
            <w:tcW w:w="628" w:type="pct"/>
            <w:tcBorders>
              <w:top w:val="single" w:sz="4" w:space="0" w:color="auto"/>
            </w:tcBorders>
          </w:tcPr>
          <w:p w14:paraId="61F42C42" w14:textId="4BEFA381"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&lt;0.</w:t>
            </w:r>
            <w:r w:rsidR="006E5F08" w:rsidRPr="009D4627">
              <w:rPr>
                <w:rFonts w:eastAsia="Times New Roman"/>
                <w:color w:val="000000"/>
                <w:lang w:val="en-MY" w:eastAsia="en-MY"/>
              </w:rPr>
              <w:t>0</w:t>
            </w:r>
            <w:r w:rsidRPr="009D4627">
              <w:rPr>
                <w:rFonts w:eastAsia="Times New Roman"/>
                <w:color w:val="000000"/>
                <w:lang w:val="en-MY" w:eastAsia="en-MY"/>
              </w:rPr>
              <w:t>1*</w:t>
            </w:r>
          </w:p>
        </w:tc>
      </w:tr>
      <w:tr w:rsidR="00B50107" w:rsidRPr="009D4627" w14:paraId="52BE5F71" w14:textId="77777777" w:rsidTr="000566E5">
        <w:trPr>
          <w:trHeight w:val="351"/>
        </w:trPr>
        <w:tc>
          <w:tcPr>
            <w:tcW w:w="547" w:type="pct"/>
            <w:shd w:val="clear" w:color="auto" w:fill="auto"/>
            <w:noWrap/>
            <w:hideMark/>
          </w:tcPr>
          <w:p w14:paraId="5666F94D"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4776D883" w14:textId="26AD8019"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355CF5C1" w14:textId="2D5EFFA7"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186.1 (89)</w:t>
            </w:r>
          </w:p>
        </w:tc>
        <w:tc>
          <w:tcPr>
            <w:tcW w:w="1148" w:type="pct"/>
            <w:shd w:val="clear" w:color="auto" w:fill="auto"/>
            <w:noWrap/>
          </w:tcPr>
          <w:p w14:paraId="4A4CB0A0" w14:textId="08B0E97A"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w:t>
            </w:r>
            <w:r w:rsidR="000566E5" w:rsidRPr="009D4627">
              <w:rPr>
                <w:rFonts w:eastAsia="Times New Roman"/>
                <w:color w:val="000000"/>
                <w:lang w:val="en-MY" w:eastAsia="en-MY"/>
              </w:rPr>
              <w:t>50.2 (107)</w:t>
            </w:r>
          </w:p>
        </w:tc>
        <w:tc>
          <w:tcPr>
            <w:tcW w:w="589" w:type="pct"/>
          </w:tcPr>
          <w:p w14:paraId="7B20B6D9" w14:textId="1CBCE7CF"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-3.29</w:t>
            </w:r>
          </w:p>
        </w:tc>
        <w:tc>
          <w:tcPr>
            <w:tcW w:w="628" w:type="pct"/>
          </w:tcPr>
          <w:p w14:paraId="3113A309" w14:textId="390BD971" w:rsidR="008C328E" w:rsidRPr="009D4627" w:rsidRDefault="00CC47DA"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&lt;</w:t>
            </w:r>
            <w:r w:rsidR="008C328E" w:rsidRPr="009D4627">
              <w:rPr>
                <w:rFonts w:eastAsia="Times New Roman"/>
                <w:color w:val="000000"/>
                <w:lang w:val="en-MY" w:eastAsia="en-MY"/>
              </w:rPr>
              <w:t>0.01*</w:t>
            </w:r>
          </w:p>
        </w:tc>
      </w:tr>
      <w:tr w:rsidR="00B50107" w:rsidRPr="009D4627" w14:paraId="199C2B62" w14:textId="77777777" w:rsidTr="000566E5">
        <w:trPr>
          <w:trHeight w:val="351"/>
        </w:trPr>
        <w:tc>
          <w:tcPr>
            <w:tcW w:w="547" w:type="pct"/>
            <w:tcBorders>
              <w:top w:val="single" w:sz="4" w:space="0" w:color="auto"/>
            </w:tcBorders>
            <w:shd w:val="clear" w:color="auto" w:fill="auto"/>
            <w:noWrap/>
            <w:hideMark/>
          </w:tcPr>
          <w:p w14:paraId="2E5713D0"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78" w:type="pct"/>
            <w:tcBorders>
              <w:top w:val="single" w:sz="4" w:space="0" w:color="auto"/>
            </w:tcBorders>
            <w:shd w:val="clear" w:color="auto" w:fill="auto"/>
            <w:noWrap/>
          </w:tcPr>
          <w:p w14:paraId="5D9FDCAA" w14:textId="691805F6"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58E1583F" w14:textId="4B908DB8"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292.</w:t>
            </w:r>
            <w:r w:rsidR="00CC47DA" w:rsidRPr="009D4627">
              <w:rPr>
                <w:rFonts w:eastAsia="Times New Roman"/>
                <w:color w:val="000000"/>
                <w:lang w:val="en-MY" w:eastAsia="en-MY"/>
              </w:rPr>
              <w:t>8</w:t>
            </w:r>
            <w:r w:rsidRPr="009D4627">
              <w:rPr>
                <w:rFonts w:eastAsia="Times New Roman"/>
                <w:color w:val="000000"/>
                <w:lang w:val="en-MY" w:eastAsia="en-MY"/>
              </w:rPr>
              <w:t xml:space="preserve"> (45)</w:t>
            </w:r>
          </w:p>
        </w:tc>
        <w:tc>
          <w:tcPr>
            <w:tcW w:w="1148" w:type="pct"/>
            <w:tcBorders>
              <w:top w:val="single" w:sz="4" w:space="0" w:color="auto"/>
            </w:tcBorders>
            <w:shd w:val="clear" w:color="auto" w:fill="auto"/>
            <w:noWrap/>
          </w:tcPr>
          <w:p w14:paraId="580357B4" w14:textId="2429B8A6"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305.2 (49)</w:t>
            </w:r>
          </w:p>
        </w:tc>
        <w:tc>
          <w:tcPr>
            <w:tcW w:w="589" w:type="pct"/>
            <w:tcBorders>
              <w:top w:val="single" w:sz="4" w:space="0" w:color="auto"/>
            </w:tcBorders>
          </w:tcPr>
          <w:p w14:paraId="13488709" w14:textId="76DC8FD1"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-0.72</w:t>
            </w:r>
          </w:p>
        </w:tc>
        <w:tc>
          <w:tcPr>
            <w:tcW w:w="628" w:type="pct"/>
            <w:tcBorders>
              <w:top w:val="single" w:sz="4" w:space="0" w:color="auto"/>
            </w:tcBorders>
          </w:tcPr>
          <w:p w14:paraId="6071144C" w14:textId="6865D1B5"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6E5F08" w:rsidRPr="009D4627">
              <w:rPr>
                <w:rFonts w:eastAsia="Times New Roman"/>
                <w:color w:val="000000"/>
                <w:lang w:val="en-MY" w:eastAsia="en-MY"/>
              </w:rPr>
              <w:t>4</w:t>
            </w:r>
            <w:r w:rsidR="00CC47DA" w:rsidRPr="009D4627">
              <w:rPr>
                <w:rFonts w:eastAsia="Times New Roman"/>
                <w:color w:val="000000"/>
                <w:lang w:val="en-MY" w:eastAsia="en-MY"/>
              </w:rPr>
              <w:t>8</w:t>
            </w:r>
          </w:p>
        </w:tc>
      </w:tr>
      <w:tr w:rsidR="00B50107" w:rsidRPr="009D4627" w14:paraId="42A06496" w14:textId="77777777" w:rsidTr="000566E5">
        <w:trPr>
          <w:trHeight w:val="351"/>
        </w:trPr>
        <w:tc>
          <w:tcPr>
            <w:tcW w:w="547" w:type="pct"/>
            <w:tcBorders>
              <w:bottom w:val="single" w:sz="4" w:space="0" w:color="auto"/>
            </w:tcBorders>
            <w:shd w:val="clear" w:color="auto" w:fill="auto"/>
            <w:noWrap/>
            <w:hideMark/>
          </w:tcPr>
          <w:p w14:paraId="2F022DDF"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tcBorders>
              <w:bottom w:val="single" w:sz="4" w:space="0" w:color="auto"/>
            </w:tcBorders>
            <w:shd w:val="clear" w:color="auto" w:fill="auto"/>
            <w:noWrap/>
          </w:tcPr>
          <w:p w14:paraId="01A68115" w14:textId="59A9A820"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tcBorders>
              <w:bottom w:val="single" w:sz="4" w:space="0" w:color="auto"/>
            </w:tcBorders>
            <w:shd w:val="clear" w:color="auto" w:fill="auto"/>
            <w:noWrap/>
          </w:tcPr>
          <w:p w14:paraId="6BB2B787" w14:textId="723D1FDF"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3</w:t>
            </w:r>
            <w:r w:rsidR="000566E5" w:rsidRPr="009D4627">
              <w:rPr>
                <w:rFonts w:eastAsia="Times New Roman"/>
                <w:color w:val="000000"/>
                <w:lang w:val="en-MY" w:eastAsia="en-MY"/>
              </w:rPr>
              <w:t>56.</w:t>
            </w:r>
            <w:r w:rsidR="00CC47DA" w:rsidRPr="009D4627">
              <w:rPr>
                <w:rFonts w:eastAsia="Times New Roman"/>
                <w:color w:val="000000"/>
                <w:lang w:val="en-MY" w:eastAsia="en-MY"/>
              </w:rPr>
              <w:t>6</w:t>
            </w:r>
            <w:r w:rsidR="000566E5" w:rsidRPr="009D4627">
              <w:rPr>
                <w:rFonts w:eastAsia="Times New Roman"/>
                <w:color w:val="000000"/>
                <w:lang w:val="en-MY" w:eastAsia="en-MY"/>
              </w:rPr>
              <w:t xml:space="preserve"> (38)</w:t>
            </w:r>
          </w:p>
        </w:tc>
        <w:tc>
          <w:tcPr>
            <w:tcW w:w="1148" w:type="pct"/>
            <w:tcBorders>
              <w:bottom w:val="single" w:sz="4" w:space="0" w:color="auto"/>
            </w:tcBorders>
            <w:shd w:val="clear" w:color="auto" w:fill="auto"/>
            <w:noWrap/>
          </w:tcPr>
          <w:p w14:paraId="42379906" w14:textId="130D87E5"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3</w:t>
            </w:r>
            <w:r w:rsidR="000566E5" w:rsidRPr="009D4627">
              <w:rPr>
                <w:rFonts w:eastAsia="Times New Roman"/>
                <w:color w:val="000000"/>
                <w:lang w:val="en-MY" w:eastAsia="en-MY"/>
              </w:rPr>
              <w:t>62.</w:t>
            </w:r>
            <w:r w:rsidR="00CC47DA" w:rsidRPr="009D4627">
              <w:rPr>
                <w:rFonts w:eastAsia="Times New Roman"/>
                <w:color w:val="000000"/>
                <w:lang w:val="en-MY" w:eastAsia="en-MY"/>
              </w:rPr>
              <w:t xml:space="preserve">9 </w:t>
            </w:r>
            <w:r w:rsidR="000566E5" w:rsidRPr="009D4627">
              <w:rPr>
                <w:rFonts w:eastAsia="Times New Roman"/>
                <w:color w:val="000000"/>
                <w:lang w:val="en-MY" w:eastAsia="en-MY"/>
              </w:rPr>
              <w:t>(42)</w:t>
            </w:r>
          </w:p>
        </w:tc>
        <w:tc>
          <w:tcPr>
            <w:tcW w:w="589" w:type="pct"/>
            <w:tcBorders>
              <w:bottom w:val="single" w:sz="4" w:space="0" w:color="auto"/>
            </w:tcBorders>
          </w:tcPr>
          <w:p w14:paraId="69F65E9B" w14:textId="205299B7"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-0.4</w:t>
            </w:r>
            <w:r w:rsidR="00CC47DA" w:rsidRPr="009D4627">
              <w:rPr>
                <w:rFonts w:eastAsia="Times New Roman"/>
                <w:color w:val="000000"/>
                <w:lang w:val="en-MY" w:eastAsia="en-MY"/>
              </w:rPr>
              <w:t>4</w:t>
            </w:r>
          </w:p>
        </w:tc>
        <w:tc>
          <w:tcPr>
            <w:tcW w:w="628" w:type="pct"/>
            <w:tcBorders>
              <w:bottom w:val="single" w:sz="4" w:space="0" w:color="auto"/>
            </w:tcBorders>
          </w:tcPr>
          <w:p w14:paraId="2B9861F0" w14:textId="071395F0"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6E5F08" w:rsidRPr="009D4627">
              <w:rPr>
                <w:rFonts w:eastAsia="Times New Roman"/>
                <w:color w:val="000000"/>
                <w:lang w:val="en-MY" w:eastAsia="en-MY"/>
              </w:rPr>
              <w:t>6</w:t>
            </w:r>
            <w:r w:rsidR="00CC47DA" w:rsidRPr="009D4627">
              <w:rPr>
                <w:rFonts w:eastAsia="Times New Roman"/>
                <w:color w:val="000000"/>
                <w:lang w:val="en-MY" w:eastAsia="en-MY"/>
              </w:rPr>
              <w:t>7</w:t>
            </w:r>
          </w:p>
        </w:tc>
      </w:tr>
      <w:tr w:rsidR="00B50107" w:rsidRPr="009D4627" w14:paraId="1843DC2A" w14:textId="77777777" w:rsidTr="000566E5">
        <w:trPr>
          <w:trHeight w:val="351"/>
        </w:trPr>
        <w:tc>
          <w:tcPr>
            <w:tcW w:w="547" w:type="pct"/>
            <w:tcBorders>
              <w:top w:val="single" w:sz="4" w:space="0" w:color="auto"/>
            </w:tcBorders>
            <w:shd w:val="clear" w:color="auto" w:fill="auto"/>
            <w:noWrap/>
            <w:hideMark/>
          </w:tcPr>
          <w:p w14:paraId="4FAFE6A7"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VI</w:t>
            </w:r>
          </w:p>
        </w:tc>
        <w:tc>
          <w:tcPr>
            <w:tcW w:w="878" w:type="pct"/>
            <w:tcBorders>
              <w:top w:val="single" w:sz="4" w:space="0" w:color="auto"/>
            </w:tcBorders>
            <w:shd w:val="clear" w:color="auto" w:fill="auto"/>
            <w:noWrap/>
          </w:tcPr>
          <w:p w14:paraId="2A306A03" w14:textId="5CA3B3D5"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1E5FCAA9" w14:textId="098E4A8E" w:rsidR="008C328E" w:rsidRPr="009D4627" w:rsidRDefault="000566E5" w:rsidP="000566E5">
            <w:pPr>
              <w:spacing w:before="0" w:after="0" w:line="240" w:lineRule="auto"/>
              <w:jc w:val="center"/>
              <w:rPr>
                <w:rFonts w:eastAsia="Times New Roman"/>
                <w:color w:val="000000"/>
                <w:lang w:val="en-MY" w:eastAsia="en-MY"/>
              </w:rPr>
            </w:pPr>
            <w:r w:rsidRPr="009D4627">
              <w:rPr>
                <w:rFonts w:eastAsia="Times New Roman"/>
                <w:color w:val="000000"/>
                <w:lang w:val="en-MY" w:eastAsia="en-MY"/>
              </w:rPr>
              <w:t>153.</w:t>
            </w:r>
            <w:r w:rsidR="00CC47DA" w:rsidRPr="009D4627">
              <w:rPr>
                <w:rFonts w:eastAsia="Times New Roman"/>
                <w:color w:val="000000"/>
                <w:lang w:val="en-MY" w:eastAsia="en-MY"/>
              </w:rPr>
              <w:t>1</w:t>
            </w:r>
            <w:r w:rsidRPr="009D4627">
              <w:rPr>
                <w:rFonts w:eastAsia="Times New Roman"/>
                <w:color w:val="000000"/>
                <w:lang w:val="en-MY" w:eastAsia="en-MY"/>
              </w:rPr>
              <w:t xml:space="preserve"> (170)</w:t>
            </w:r>
          </w:p>
        </w:tc>
        <w:tc>
          <w:tcPr>
            <w:tcW w:w="1148" w:type="pct"/>
            <w:tcBorders>
              <w:top w:val="single" w:sz="4" w:space="0" w:color="auto"/>
            </w:tcBorders>
            <w:shd w:val="clear" w:color="auto" w:fill="auto"/>
            <w:noWrap/>
          </w:tcPr>
          <w:p w14:paraId="5BEE7981" w14:textId="1B3E293C" w:rsidR="008C328E" w:rsidRPr="009D4627" w:rsidRDefault="000566E5" w:rsidP="00CC47DA">
            <w:pPr>
              <w:spacing w:before="0" w:after="0" w:line="240" w:lineRule="auto"/>
              <w:jc w:val="center"/>
              <w:rPr>
                <w:rFonts w:eastAsia="Times New Roman"/>
                <w:color w:val="000000"/>
                <w:lang w:val="en-MY" w:eastAsia="en-MY"/>
              </w:rPr>
            </w:pPr>
            <w:r w:rsidRPr="009D4627">
              <w:rPr>
                <w:rFonts w:eastAsia="Times New Roman"/>
                <w:color w:val="000000"/>
                <w:lang w:val="en-MY" w:eastAsia="en-MY"/>
              </w:rPr>
              <w:t>158.</w:t>
            </w:r>
            <w:r w:rsidR="00CC47DA" w:rsidRPr="009D4627">
              <w:rPr>
                <w:rFonts w:eastAsia="Times New Roman"/>
                <w:color w:val="000000"/>
                <w:lang w:val="en-MY" w:eastAsia="en-MY"/>
              </w:rPr>
              <w:t>3</w:t>
            </w:r>
            <w:r w:rsidRPr="009D4627">
              <w:rPr>
                <w:rFonts w:eastAsia="Times New Roman"/>
                <w:color w:val="000000"/>
                <w:lang w:val="en-MY" w:eastAsia="en-MY"/>
              </w:rPr>
              <w:t xml:space="preserve"> (54)</w:t>
            </w:r>
          </w:p>
        </w:tc>
        <w:tc>
          <w:tcPr>
            <w:tcW w:w="589" w:type="pct"/>
            <w:tcBorders>
              <w:top w:val="single" w:sz="4" w:space="0" w:color="auto"/>
            </w:tcBorders>
          </w:tcPr>
          <w:p w14:paraId="66B827F9" w14:textId="4306128C"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-0.2</w:t>
            </w:r>
            <w:r w:rsidR="00CC47DA" w:rsidRPr="009D4627">
              <w:rPr>
                <w:rFonts w:eastAsia="Times New Roman"/>
                <w:color w:val="000000"/>
                <w:lang w:val="en-MY" w:eastAsia="en-MY"/>
              </w:rPr>
              <w:t>5</w:t>
            </w:r>
          </w:p>
        </w:tc>
        <w:tc>
          <w:tcPr>
            <w:tcW w:w="628" w:type="pct"/>
            <w:tcBorders>
              <w:top w:val="single" w:sz="4" w:space="0" w:color="auto"/>
            </w:tcBorders>
          </w:tcPr>
          <w:p w14:paraId="41E25AB1" w14:textId="5D183C63"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6E5F08" w:rsidRPr="009D4627">
              <w:rPr>
                <w:rFonts w:eastAsia="Times New Roman"/>
                <w:color w:val="000000"/>
                <w:lang w:val="en-MY" w:eastAsia="en-MY"/>
              </w:rPr>
              <w:t>8</w:t>
            </w:r>
            <w:r w:rsidR="00CC47DA" w:rsidRPr="009D4627">
              <w:rPr>
                <w:rFonts w:eastAsia="Times New Roman"/>
                <w:color w:val="000000"/>
                <w:lang w:val="en-MY" w:eastAsia="en-MY"/>
              </w:rPr>
              <w:t>1</w:t>
            </w:r>
          </w:p>
        </w:tc>
      </w:tr>
      <w:tr w:rsidR="00B50107" w:rsidRPr="009D4627" w14:paraId="23416461" w14:textId="77777777" w:rsidTr="000566E5">
        <w:trPr>
          <w:trHeight w:val="351"/>
        </w:trPr>
        <w:tc>
          <w:tcPr>
            <w:tcW w:w="547" w:type="pct"/>
            <w:shd w:val="clear" w:color="auto" w:fill="auto"/>
            <w:noWrap/>
            <w:hideMark/>
          </w:tcPr>
          <w:p w14:paraId="4D0469AC"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3D56D4AF" w14:textId="0F36D4EA"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472A1850" w14:textId="4D2E9D07"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216.7 (207)</w:t>
            </w:r>
          </w:p>
        </w:tc>
        <w:tc>
          <w:tcPr>
            <w:tcW w:w="1148" w:type="pct"/>
            <w:shd w:val="clear" w:color="auto" w:fill="auto"/>
            <w:noWrap/>
          </w:tcPr>
          <w:p w14:paraId="34F38DA1" w14:textId="2DF73F7E"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198.9 (85)</w:t>
            </w:r>
          </w:p>
        </w:tc>
        <w:tc>
          <w:tcPr>
            <w:tcW w:w="589" w:type="pct"/>
          </w:tcPr>
          <w:p w14:paraId="7E8D27C9" w14:textId="36A87A41"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0.6</w:t>
            </w:r>
            <w:r w:rsidR="00CC47DA" w:rsidRPr="009D4627">
              <w:rPr>
                <w:rFonts w:eastAsia="Times New Roman"/>
                <w:color w:val="000000"/>
                <w:lang w:val="en-MY" w:eastAsia="en-MY"/>
              </w:rPr>
              <w:t>9</w:t>
            </w:r>
          </w:p>
        </w:tc>
        <w:tc>
          <w:tcPr>
            <w:tcW w:w="628" w:type="pct"/>
          </w:tcPr>
          <w:p w14:paraId="083C431B" w14:textId="73017E69"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6E5F08" w:rsidRPr="009D4627">
              <w:rPr>
                <w:rFonts w:eastAsia="Times New Roman"/>
                <w:color w:val="000000"/>
                <w:lang w:val="en-MY" w:eastAsia="en-MY"/>
              </w:rPr>
              <w:t>49</w:t>
            </w:r>
          </w:p>
        </w:tc>
      </w:tr>
      <w:tr w:rsidR="008C328E" w:rsidRPr="009D4627" w14:paraId="39007374" w14:textId="77777777" w:rsidTr="001F6136">
        <w:trPr>
          <w:trHeight w:val="351"/>
        </w:trPr>
        <w:tc>
          <w:tcPr>
            <w:tcW w:w="5000" w:type="pct"/>
            <w:gridSpan w:val="6"/>
            <w:tcBorders>
              <w:top w:val="single" w:sz="4" w:space="0" w:color="auto"/>
              <w:bottom w:val="single" w:sz="4" w:space="0" w:color="auto"/>
            </w:tcBorders>
            <w:shd w:val="clear" w:color="auto" w:fill="auto"/>
            <w:hideMark/>
          </w:tcPr>
          <w:p w14:paraId="615C9D03" w14:textId="4E97D40B" w:rsidR="008C328E" w:rsidRPr="00CF7FAB" w:rsidRDefault="00903D0C" w:rsidP="00CF7FAB">
            <w:pPr>
              <w:spacing w:before="0" w:after="0" w:line="240" w:lineRule="auto"/>
              <w:jc w:val="left"/>
              <w:rPr>
                <w:rFonts w:eastAsia="Times New Roman"/>
                <w:i/>
                <w:iCs/>
                <w:color w:val="000000"/>
                <w:lang w:val="en-MY" w:eastAsia="en-MY"/>
              </w:rPr>
            </w:pPr>
            <w:r w:rsidRPr="00CF7FAB">
              <w:rPr>
                <w:rFonts w:eastAsia="Times New Roman"/>
                <w:i/>
                <w:iCs/>
                <w:color w:val="000000"/>
                <w:lang w:val="en-MY" w:eastAsia="en-MY"/>
              </w:rPr>
              <w:t>V</w:t>
            </w:r>
            <w:r w:rsidR="008C328E" w:rsidRPr="00CF7FAB">
              <w:rPr>
                <w:rFonts w:eastAsia="Times New Roman"/>
                <w:i/>
                <w:iCs/>
                <w:color w:val="000000"/>
                <w:lang w:val="en-MY" w:eastAsia="en-MY"/>
              </w:rPr>
              <w:t>ertical saccadic gain</w:t>
            </w:r>
          </w:p>
        </w:tc>
      </w:tr>
      <w:tr w:rsidR="00B50107" w:rsidRPr="009D4627" w14:paraId="338A826D" w14:textId="77777777" w:rsidTr="000566E5">
        <w:trPr>
          <w:trHeight w:val="351"/>
        </w:trPr>
        <w:tc>
          <w:tcPr>
            <w:tcW w:w="547" w:type="pct"/>
            <w:tcBorders>
              <w:top w:val="single" w:sz="4" w:space="0" w:color="auto"/>
            </w:tcBorders>
            <w:shd w:val="clear" w:color="auto" w:fill="auto"/>
            <w:noWrap/>
            <w:hideMark/>
          </w:tcPr>
          <w:p w14:paraId="6159EA2D"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III</w:t>
            </w:r>
          </w:p>
        </w:tc>
        <w:tc>
          <w:tcPr>
            <w:tcW w:w="878" w:type="pct"/>
            <w:tcBorders>
              <w:top w:val="single" w:sz="4" w:space="0" w:color="auto"/>
            </w:tcBorders>
            <w:shd w:val="clear" w:color="auto" w:fill="auto"/>
            <w:noWrap/>
          </w:tcPr>
          <w:p w14:paraId="5179B3A9" w14:textId="7764E0BF"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44EE4923" w14:textId="0D8A6E62"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CC47DA" w:rsidRPr="009D4627">
              <w:rPr>
                <w:rFonts w:eastAsia="Times New Roman"/>
                <w:color w:val="000000"/>
                <w:lang w:val="en-MY" w:eastAsia="en-MY"/>
              </w:rPr>
              <w:t>55</w:t>
            </w:r>
            <w:r w:rsidRPr="009D4627">
              <w:rPr>
                <w:rFonts w:eastAsia="Times New Roman"/>
                <w:color w:val="000000"/>
                <w:lang w:val="en-MY" w:eastAsia="en-MY"/>
              </w:rPr>
              <w:t xml:space="preserve"> (0.31)</w:t>
            </w:r>
          </w:p>
        </w:tc>
        <w:tc>
          <w:tcPr>
            <w:tcW w:w="1148" w:type="pct"/>
            <w:tcBorders>
              <w:top w:val="single" w:sz="4" w:space="0" w:color="auto"/>
            </w:tcBorders>
            <w:shd w:val="clear" w:color="auto" w:fill="auto"/>
            <w:noWrap/>
          </w:tcPr>
          <w:p w14:paraId="0478AF64" w14:textId="2BA2F362"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0.72 (0.25)</w:t>
            </w:r>
          </w:p>
        </w:tc>
        <w:tc>
          <w:tcPr>
            <w:tcW w:w="589" w:type="pct"/>
            <w:tcBorders>
              <w:top w:val="single" w:sz="4" w:space="0" w:color="auto"/>
            </w:tcBorders>
          </w:tcPr>
          <w:p w14:paraId="24ED437B" w14:textId="3D440A1B"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-2.9</w:t>
            </w:r>
            <w:r w:rsidR="00CC47DA" w:rsidRPr="009D4627">
              <w:rPr>
                <w:rFonts w:eastAsia="Times New Roman"/>
                <w:color w:val="000000"/>
                <w:lang w:val="en-MY" w:eastAsia="en-MY"/>
              </w:rPr>
              <w:t>1</w:t>
            </w:r>
          </w:p>
        </w:tc>
        <w:tc>
          <w:tcPr>
            <w:tcW w:w="628" w:type="pct"/>
            <w:tcBorders>
              <w:top w:val="single" w:sz="4" w:space="0" w:color="auto"/>
            </w:tcBorders>
          </w:tcPr>
          <w:p w14:paraId="3D428958" w14:textId="42BEABD3" w:rsidR="008C328E" w:rsidRPr="009D4627" w:rsidRDefault="00CC47DA"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&lt;</w:t>
            </w:r>
            <w:r w:rsidR="008C328E" w:rsidRPr="009D4627">
              <w:rPr>
                <w:rFonts w:eastAsia="Times New Roman"/>
                <w:color w:val="000000"/>
                <w:lang w:val="en-MY" w:eastAsia="en-MY"/>
              </w:rPr>
              <w:t>0.</w:t>
            </w:r>
            <w:r w:rsidR="006E5F08" w:rsidRPr="009D4627">
              <w:rPr>
                <w:rFonts w:eastAsia="Times New Roman"/>
                <w:color w:val="000000"/>
                <w:lang w:val="en-MY" w:eastAsia="en-MY"/>
              </w:rPr>
              <w:t>0</w:t>
            </w:r>
            <w:r w:rsidRPr="009D4627">
              <w:rPr>
                <w:rFonts w:eastAsia="Times New Roman"/>
                <w:color w:val="000000"/>
                <w:lang w:val="en-MY" w:eastAsia="en-MY"/>
              </w:rPr>
              <w:t>1</w:t>
            </w:r>
            <w:r w:rsidR="008C328E" w:rsidRPr="009D4627">
              <w:rPr>
                <w:rFonts w:eastAsia="Times New Roman"/>
                <w:color w:val="000000"/>
                <w:lang w:val="en-MY" w:eastAsia="en-MY"/>
              </w:rPr>
              <w:t>*</w:t>
            </w:r>
          </w:p>
        </w:tc>
      </w:tr>
      <w:tr w:rsidR="00B50107" w:rsidRPr="009D4627" w14:paraId="15C8991D" w14:textId="77777777" w:rsidTr="000566E5">
        <w:trPr>
          <w:trHeight w:val="351"/>
        </w:trPr>
        <w:tc>
          <w:tcPr>
            <w:tcW w:w="547" w:type="pct"/>
            <w:shd w:val="clear" w:color="auto" w:fill="auto"/>
            <w:noWrap/>
            <w:hideMark/>
          </w:tcPr>
          <w:p w14:paraId="40794B73"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08504D34" w14:textId="740EF638"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0BAE6FE1" w14:textId="7B5059B7" w:rsidR="008C328E" w:rsidRPr="009D4627" w:rsidRDefault="000566E5"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0.77 (0.32)</w:t>
            </w:r>
          </w:p>
        </w:tc>
        <w:tc>
          <w:tcPr>
            <w:tcW w:w="1148" w:type="pct"/>
            <w:shd w:val="clear" w:color="auto" w:fill="auto"/>
            <w:noWrap/>
          </w:tcPr>
          <w:p w14:paraId="3E06AFC1" w14:textId="4211331A"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0.96 (0.33)</w:t>
            </w:r>
          </w:p>
        </w:tc>
        <w:tc>
          <w:tcPr>
            <w:tcW w:w="589" w:type="pct"/>
          </w:tcPr>
          <w:p w14:paraId="21914E9D" w14:textId="04558D12"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-3.07</w:t>
            </w:r>
          </w:p>
        </w:tc>
        <w:tc>
          <w:tcPr>
            <w:tcW w:w="628" w:type="pct"/>
          </w:tcPr>
          <w:p w14:paraId="5E81AC28" w14:textId="2FC2BAC9" w:rsidR="008C328E" w:rsidRPr="009D4627" w:rsidRDefault="00CC47DA"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&lt;</w:t>
            </w:r>
            <w:r w:rsidR="008C328E" w:rsidRPr="009D4627">
              <w:rPr>
                <w:rFonts w:eastAsia="Times New Roman"/>
                <w:color w:val="000000"/>
                <w:lang w:val="en-MY" w:eastAsia="en-MY"/>
              </w:rPr>
              <w:t>0.</w:t>
            </w:r>
            <w:r w:rsidR="006E5F08" w:rsidRPr="009D4627">
              <w:rPr>
                <w:rFonts w:eastAsia="Times New Roman"/>
                <w:color w:val="000000"/>
                <w:lang w:val="en-MY" w:eastAsia="en-MY"/>
              </w:rPr>
              <w:t>0</w:t>
            </w:r>
            <w:r w:rsidRPr="009D4627">
              <w:rPr>
                <w:rFonts w:eastAsia="Times New Roman"/>
                <w:color w:val="000000"/>
                <w:lang w:val="en-MY" w:eastAsia="en-MY"/>
              </w:rPr>
              <w:t>1</w:t>
            </w:r>
            <w:r w:rsidR="008C328E" w:rsidRPr="009D4627">
              <w:rPr>
                <w:rFonts w:eastAsia="Times New Roman"/>
                <w:color w:val="000000"/>
                <w:lang w:val="en-MY" w:eastAsia="en-MY"/>
              </w:rPr>
              <w:t>*</w:t>
            </w:r>
          </w:p>
        </w:tc>
      </w:tr>
      <w:tr w:rsidR="00B50107" w:rsidRPr="009D4627" w14:paraId="6F02A244" w14:textId="77777777" w:rsidTr="000566E5">
        <w:trPr>
          <w:trHeight w:val="351"/>
        </w:trPr>
        <w:tc>
          <w:tcPr>
            <w:tcW w:w="547" w:type="pct"/>
            <w:tcBorders>
              <w:top w:val="single" w:sz="4" w:space="0" w:color="auto"/>
            </w:tcBorders>
            <w:shd w:val="clear" w:color="auto" w:fill="auto"/>
            <w:noWrap/>
            <w:hideMark/>
          </w:tcPr>
          <w:p w14:paraId="057B5C63"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IV</w:t>
            </w:r>
          </w:p>
        </w:tc>
        <w:tc>
          <w:tcPr>
            <w:tcW w:w="878" w:type="pct"/>
            <w:tcBorders>
              <w:top w:val="single" w:sz="4" w:space="0" w:color="auto"/>
            </w:tcBorders>
            <w:shd w:val="clear" w:color="auto" w:fill="auto"/>
            <w:noWrap/>
          </w:tcPr>
          <w:p w14:paraId="689400FA" w14:textId="7D08C5D7"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10F66DCF" w14:textId="33870172"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0.94 (0.08)</w:t>
            </w:r>
          </w:p>
        </w:tc>
        <w:tc>
          <w:tcPr>
            <w:tcW w:w="1148" w:type="pct"/>
            <w:tcBorders>
              <w:top w:val="single" w:sz="4" w:space="0" w:color="auto"/>
            </w:tcBorders>
            <w:shd w:val="clear" w:color="auto" w:fill="auto"/>
            <w:noWrap/>
          </w:tcPr>
          <w:p w14:paraId="58DF62C2" w14:textId="560C7972"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1.01 (0.08)</w:t>
            </w:r>
          </w:p>
        </w:tc>
        <w:tc>
          <w:tcPr>
            <w:tcW w:w="589" w:type="pct"/>
            <w:tcBorders>
              <w:top w:val="single" w:sz="4" w:space="0" w:color="auto"/>
            </w:tcBorders>
          </w:tcPr>
          <w:p w14:paraId="0CDC8E09" w14:textId="4E80698C"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-2.5</w:t>
            </w:r>
            <w:r w:rsidR="00CC47DA" w:rsidRPr="009D4627">
              <w:rPr>
                <w:rFonts w:eastAsia="Times New Roman"/>
                <w:color w:val="000000"/>
                <w:lang w:val="en-MY" w:eastAsia="en-MY"/>
              </w:rPr>
              <w:t>8</w:t>
            </w:r>
          </w:p>
        </w:tc>
        <w:tc>
          <w:tcPr>
            <w:tcW w:w="628" w:type="pct"/>
            <w:tcBorders>
              <w:top w:val="single" w:sz="4" w:space="0" w:color="auto"/>
            </w:tcBorders>
          </w:tcPr>
          <w:p w14:paraId="0441B5C8" w14:textId="68FCD7C3"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0.0</w:t>
            </w:r>
            <w:r w:rsidR="00CC47DA" w:rsidRPr="009D4627">
              <w:rPr>
                <w:rFonts w:eastAsia="Times New Roman"/>
                <w:color w:val="000000"/>
                <w:lang w:val="en-MY" w:eastAsia="en-MY"/>
              </w:rPr>
              <w:t>2</w:t>
            </w:r>
            <w:r w:rsidRPr="009D4627">
              <w:rPr>
                <w:rFonts w:eastAsia="Times New Roman"/>
                <w:color w:val="000000"/>
                <w:lang w:val="en-MY" w:eastAsia="en-MY"/>
              </w:rPr>
              <w:t>*</w:t>
            </w:r>
          </w:p>
        </w:tc>
      </w:tr>
      <w:tr w:rsidR="00B50107" w:rsidRPr="009D4627" w14:paraId="25462E6E" w14:textId="77777777" w:rsidTr="000566E5">
        <w:trPr>
          <w:trHeight w:val="351"/>
        </w:trPr>
        <w:tc>
          <w:tcPr>
            <w:tcW w:w="547" w:type="pct"/>
            <w:shd w:val="clear" w:color="auto" w:fill="auto"/>
            <w:noWrap/>
            <w:hideMark/>
          </w:tcPr>
          <w:p w14:paraId="33E26811"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shd w:val="clear" w:color="auto" w:fill="auto"/>
            <w:noWrap/>
          </w:tcPr>
          <w:p w14:paraId="0FBF34D6" w14:textId="549AC0EA"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shd w:val="clear" w:color="auto" w:fill="auto"/>
            <w:noWrap/>
          </w:tcPr>
          <w:p w14:paraId="355AB55B" w14:textId="7AF3111C"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1.1</w:t>
            </w:r>
            <w:r w:rsidR="00B43F10" w:rsidRPr="009D4627">
              <w:rPr>
                <w:rFonts w:eastAsia="Times New Roman"/>
                <w:color w:val="000000"/>
                <w:lang w:val="en-MY" w:eastAsia="en-MY"/>
              </w:rPr>
              <w:t>1 (0.11)</w:t>
            </w:r>
          </w:p>
        </w:tc>
        <w:tc>
          <w:tcPr>
            <w:tcW w:w="1148" w:type="pct"/>
            <w:shd w:val="clear" w:color="auto" w:fill="auto"/>
            <w:noWrap/>
          </w:tcPr>
          <w:p w14:paraId="73EC4610" w14:textId="384D438E"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1.10 (0.11)</w:t>
            </w:r>
          </w:p>
        </w:tc>
        <w:tc>
          <w:tcPr>
            <w:tcW w:w="589" w:type="pct"/>
          </w:tcPr>
          <w:p w14:paraId="4A48C421" w14:textId="50151C3B"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0.2</w:t>
            </w:r>
            <w:r w:rsidR="00CC47DA" w:rsidRPr="009D4627">
              <w:rPr>
                <w:rFonts w:eastAsia="Times New Roman"/>
                <w:color w:val="000000"/>
                <w:lang w:val="en-MY" w:eastAsia="en-MY"/>
              </w:rPr>
              <w:t>4</w:t>
            </w:r>
          </w:p>
        </w:tc>
        <w:tc>
          <w:tcPr>
            <w:tcW w:w="628" w:type="pct"/>
          </w:tcPr>
          <w:p w14:paraId="64990A9D" w14:textId="78C46CE6"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6E5F08" w:rsidRPr="009D4627">
              <w:rPr>
                <w:rFonts w:eastAsia="Times New Roman"/>
                <w:color w:val="000000"/>
                <w:lang w:val="en-MY" w:eastAsia="en-MY"/>
              </w:rPr>
              <w:t>8</w:t>
            </w:r>
            <w:r w:rsidR="00CC47DA" w:rsidRPr="009D4627">
              <w:rPr>
                <w:rFonts w:eastAsia="Times New Roman"/>
                <w:color w:val="000000"/>
                <w:lang w:val="en-MY" w:eastAsia="en-MY"/>
              </w:rPr>
              <w:t>2</w:t>
            </w:r>
          </w:p>
        </w:tc>
      </w:tr>
      <w:tr w:rsidR="00B50107" w:rsidRPr="009D4627" w14:paraId="4BEC84A2" w14:textId="77777777" w:rsidTr="000566E5">
        <w:trPr>
          <w:trHeight w:val="351"/>
        </w:trPr>
        <w:tc>
          <w:tcPr>
            <w:tcW w:w="547" w:type="pct"/>
            <w:tcBorders>
              <w:top w:val="single" w:sz="4" w:space="0" w:color="auto"/>
            </w:tcBorders>
            <w:shd w:val="clear" w:color="auto" w:fill="auto"/>
            <w:noWrap/>
            <w:hideMark/>
          </w:tcPr>
          <w:p w14:paraId="519C7E95" w14:textId="7777777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CN VI</w:t>
            </w:r>
          </w:p>
        </w:tc>
        <w:tc>
          <w:tcPr>
            <w:tcW w:w="878" w:type="pct"/>
            <w:tcBorders>
              <w:top w:val="single" w:sz="4" w:space="0" w:color="auto"/>
            </w:tcBorders>
            <w:shd w:val="clear" w:color="auto" w:fill="auto"/>
            <w:noWrap/>
          </w:tcPr>
          <w:p w14:paraId="7BB0F7F0" w14:textId="4FE7BBEE"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Up gaze</w:t>
            </w:r>
          </w:p>
        </w:tc>
        <w:tc>
          <w:tcPr>
            <w:tcW w:w="1210" w:type="pct"/>
            <w:tcBorders>
              <w:top w:val="single" w:sz="4" w:space="0" w:color="auto"/>
            </w:tcBorders>
            <w:shd w:val="clear" w:color="auto" w:fill="auto"/>
            <w:noWrap/>
          </w:tcPr>
          <w:p w14:paraId="4F249BE9" w14:textId="71DAC1CC"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0.47 (0.24)</w:t>
            </w:r>
          </w:p>
        </w:tc>
        <w:tc>
          <w:tcPr>
            <w:tcW w:w="1148" w:type="pct"/>
            <w:tcBorders>
              <w:top w:val="single" w:sz="4" w:space="0" w:color="auto"/>
            </w:tcBorders>
            <w:shd w:val="clear" w:color="auto" w:fill="auto"/>
            <w:noWrap/>
          </w:tcPr>
          <w:p w14:paraId="4A7E1EDF" w14:textId="1D221455"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0.60 (0.21)</w:t>
            </w:r>
          </w:p>
        </w:tc>
        <w:tc>
          <w:tcPr>
            <w:tcW w:w="589" w:type="pct"/>
            <w:tcBorders>
              <w:top w:val="single" w:sz="4" w:space="0" w:color="auto"/>
            </w:tcBorders>
          </w:tcPr>
          <w:p w14:paraId="63733A0F" w14:textId="0BFA259D"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-3.44</w:t>
            </w:r>
          </w:p>
        </w:tc>
        <w:tc>
          <w:tcPr>
            <w:tcW w:w="628" w:type="pct"/>
            <w:tcBorders>
              <w:top w:val="single" w:sz="4" w:space="0" w:color="auto"/>
            </w:tcBorders>
          </w:tcPr>
          <w:p w14:paraId="5687449D" w14:textId="22080E5F" w:rsidR="008C328E" w:rsidRPr="009D4627" w:rsidRDefault="00CC47DA"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&lt;</w:t>
            </w:r>
            <w:r w:rsidR="008C328E" w:rsidRPr="009D4627">
              <w:rPr>
                <w:rFonts w:eastAsia="Times New Roman"/>
                <w:color w:val="000000"/>
                <w:lang w:val="en-MY" w:eastAsia="en-MY"/>
              </w:rPr>
              <w:t>0.0</w:t>
            </w:r>
            <w:r w:rsidRPr="009D4627">
              <w:rPr>
                <w:rFonts w:eastAsia="Times New Roman"/>
                <w:color w:val="000000"/>
                <w:lang w:val="en-MY" w:eastAsia="en-MY"/>
              </w:rPr>
              <w:t>1</w:t>
            </w:r>
            <w:r w:rsidR="006E5F08" w:rsidRPr="009D4627">
              <w:rPr>
                <w:rFonts w:eastAsia="Times New Roman"/>
                <w:color w:val="000000"/>
                <w:lang w:val="en-MY" w:eastAsia="en-MY"/>
              </w:rPr>
              <w:t>*</w:t>
            </w:r>
          </w:p>
        </w:tc>
      </w:tr>
      <w:tr w:rsidR="00B50107" w:rsidRPr="009D4627" w14:paraId="6C562600" w14:textId="77777777" w:rsidTr="000566E5">
        <w:trPr>
          <w:trHeight w:val="351"/>
        </w:trPr>
        <w:tc>
          <w:tcPr>
            <w:tcW w:w="547" w:type="pct"/>
            <w:tcBorders>
              <w:bottom w:val="single" w:sz="4" w:space="0" w:color="auto"/>
            </w:tcBorders>
            <w:shd w:val="clear" w:color="auto" w:fill="auto"/>
            <w:noWrap/>
            <w:hideMark/>
          </w:tcPr>
          <w:p w14:paraId="6818FB04" w14:textId="77777777" w:rsidR="008C328E" w:rsidRPr="009D4627" w:rsidRDefault="008C328E" w:rsidP="008C328E">
            <w:pPr>
              <w:spacing w:before="0" w:after="0" w:line="240" w:lineRule="auto"/>
              <w:jc w:val="center"/>
              <w:rPr>
                <w:rFonts w:eastAsia="Times New Roman"/>
                <w:color w:val="000000"/>
                <w:lang w:val="en-MY" w:eastAsia="en-MY"/>
              </w:rPr>
            </w:pPr>
          </w:p>
        </w:tc>
        <w:tc>
          <w:tcPr>
            <w:tcW w:w="878" w:type="pct"/>
            <w:tcBorders>
              <w:bottom w:val="single" w:sz="4" w:space="0" w:color="auto"/>
            </w:tcBorders>
            <w:shd w:val="clear" w:color="auto" w:fill="auto"/>
            <w:noWrap/>
          </w:tcPr>
          <w:p w14:paraId="2162C895" w14:textId="08217B05" w:rsidR="008C328E" w:rsidRPr="00CF7FAB" w:rsidRDefault="008C328E" w:rsidP="008C328E">
            <w:pPr>
              <w:spacing w:before="0" w:after="0" w:line="240" w:lineRule="auto"/>
              <w:ind w:left="255"/>
              <w:jc w:val="left"/>
              <w:rPr>
                <w:rFonts w:eastAsia="Times New Roman"/>
                <w:color w:val="000000"/>
                <w:lang w:val="en-MY" w:eastAsia="en-MY"/>
              </w:rPr>
            </w:pPr>
            <w:r w:rsidRPr="00CF7FAB">
              <w:rPr>
                <w:rFonts w:eastAsia="Times New Roman"/>
                <w:color w:val="000000"/>
                <w:lang w:val="en-MY" w:eastAsia="en-MY"/>
              </w:rPr>
              <w:t>Down gaze</w:t>
            </w:r>
          </w:p>
        </w:tc>
        <w:tc>
          <w:tcPr>
            <w:tcW w:w="1210" w:type="pct"/>
            <w:tcBorders>
              <w:bottom w:val="single" w:sz="4" w:space="0" w:color="auto"/>
            </w:tcBorders>
            <w:shd w:val="clear" w:color="auto" w:fill="auto"/>
            <w:noWrap/>
          </w:tcPr>
          <w:p w14:paraId="65B5C6D5" w14:textId="00C70409"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0.68 (0.43)</w:t>
            </w:r>
          </w:p>
        </w:tc>
        <w:tc>
          <w:tcPr>
            <w:tcW w:w="1148" w:type="pct"/>
            <w:tcBorders>
              <w:bottom w:val="single" w:sz="4" w:space="0" w:color="auto"/>
            </w:tcBorders>
            <w:shd w:val="clear" w:color="auto" w:fill="auto"/>
            <w:noWrap/>
          </w:tcPr>
          <w:p w14:paraId="0999B6E5" w14:textId="166F2641" w:rsidR="008C328E" w:rsidRPr="009D4627" w:rsidRDefault="00B43F10"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0.80 (0.30)</w:t>
            </w:r>
          </w:p>
        </w:tc>
        <w:tc>
          <w:tcPr>
            <w:tcW w:w="589" w:type="pct"/>
            <w:tcBorders>
              <w:bottom w:val="single" w:sz="4" w:space="0" w:color="auto"/>
            </w:tcBorders>
          </w:tcPr>
          <w:p w14:paraId="690A16AD" w14:textId="3C9C1455" w:rsidR="008C328E" w:rsidRPr="009D4627" w:rsidRDefault="006E5F08"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-2.0</w:t>
            </w:r>
            <w:r w:rsidR="00CC47DA" w:rsidRPr="009D4627">
              <w:rPr>
                <w:rFonts w:eastAsia="Times New Roman"/>
                <w:color w:val="000000"/>
                <w:lang w:val="en-MY" w:eastAsia="en-MY"/>
              </w:rPr>
              <w:t>8</w:t>
            </w:r>
          </w:p>
        </w:tc>
        <w:tc>
          <w:tcPr>
            <w:tcW w:w="628" w:type="pct"/>
            <w:tcBorders>
              <w:bottom w:val="single" w:sz="4" w:space="0" w:color="auto"/>
            </w:tcBorders>
          </w:tcPr>
          <w:p w14:paraId="4314E07C" w14:textId="465B5167" w:rsidR="008C328E" w:rsidRPr="009D4627" w:rsidRDefault="008C328E" w:rsidP="008C328E">
            <w:pPr>
              <w:spacing w:before="0" w:after="0" w:line="240" w:lineRule="auto"/>
              <w:jc w:val="center"/>
              <w:rPr>
                <w:rFonts w:eastAsia="Times New Roman"/>
                <w:color w:val="000000"/>
                <w:lang w:val="en-MY" w:eastAsia="en-MY"/>
              </w:rPr>
            </w:pPr>
            <w:r w:rsidRPr="009D4627">
              <w:rPr>
                <w:rFonts w:eastAsia="Times New Roman"/>
                <w:color w:val="000000"/>
                <w:lang w:val="en-MY" w:eastAsia="en-MY"/>
              </w:rPr>
              <w:t>0</w:t>
            </w:r>
            <w:r w:rsidR="006E5F08" w:rsidRPr="009D4627">
              <w:rPr>
                <w:rFonts w:eastAsia="Times New Roman"/>
                <w:color w:val="000000"/>
                <w:lang w:val="en-MY" w:eastAsia="en-MY"/>
              </w:rPr>
              <w:t>.04*</w:t>
            </w:r>
          </w:p>
        </w:tc>
      </w:tr>
    </w:tbl>
    <w:p w14:paraId="3C8E12A2" w14:textId="45E7B8EF" w:rsidR="00BF6D62" w:rsidRPr="00CF7FAB" w:rsidRDefault="005D3E5C" w:rsidP="00C4130D">
      <w:pPr>
        <w:spacing w:before="0"/>
        <w:jc w:val="center"/>
        <w:rPr>
          <w:color w:val="auto"/>
        </w:rPr>
      </w:pPr>
      <w:r w:rsidRPr="00CF7FAB">
        <w:rPr>
          <w:i/>
          <w:iCs/>
          <w:color w:val="auto"/>
        </w:rPr>
        <w:t xml:space="preserve">* </w:t>
      </w:r>
      <w:r w:rsidRPr="00CF7FAB">
        <w:rPr>
          <w:color w:val="auto"/>
        </w:rPr>
        <w:t xml:space="preserve">Data are significant at </w:t>
      </w:r>
      <w:r w:rsidRPr="00CF7FAB">
        <w:rPr>
          <w:i/>
          <w:iCs/>
          <w:color w:val="auto"/>
        </w:rPr>
        <w:t>p</w:t>
      </w:r>
      <w:r w:rsidRPr="00CF7FAB">
        <w:rPr>
          <w:color w:val="auto"/>
        </w:rPr>
        <w:t>&lt;0.05</w:t>
      </w:r>
    </w:p>
    <w:p w14:paraId="5F12D81F" w14:textId="0D207BDE" w:rsidR="00CD69ED" w:rsidRPr="009D4627" w:rsidRDefault="00CD69ED" w:rsidP="00CA4E90">
      <w:pPr>
        <w:pStyle w:val="Heading4"/>
        <w:rPr>
          <w:lang w:eastAsia="en-MY"/>
        </w:rPr>
      </w:pPr>
      <w:bookmarkStart w:id="542" w:name="_Toc98964729"/>
      <w:bookmarkStart w:id="543" w:name="_Toc103344771"/>
      <w:bookmarkEnd w:id="541"/>
      <w:r w:rsidRPr="009D4627">
        <w:t>Two factor repeated-measures ANOVA</w:t>
      </w:r>
      <w:bookmarkEnd w:id="542"/>
      <w:bookmarkEnd w:id="543"/>
    </w:p>
    <w:p w14:paraId="27C8F26A" w14:textId="2D297FE1" w:rsidR="002A1D0E" w:rsidRDefault="001F6A9D" w:rsidP="00C4130D">
      <w:r w:rsidRPr="009D4627">
        <w:t>The repeated-measure ANOVA revealed that there was no significant interaction between the factors (</w:t>
      </w:r>
      <w:r w:rsidR="00705AEF" w:rsidRPr="009D4627">
        <w:t>saccadic directions and v</w:t>
      </w:r>
      <w:r w:rsidRPr="009D4627">
        <w:t xml:space="preserve">isits) that influenced the vertical saccadic parameters in the </w:t>
      </w:r>
      <w:r w:rsidR="00D30020" w:rsidRPr="009D4627">
        <w:t>affected eyes</w:t>
      </w:r>
      <w:r w:rsidR="00705AEF" w:rsidRPr="009D4627">
        <w:t xml:space="preserve">, </w:t>
      </w:r>
      <w:r w:rsidR="00705AEF" w:rsidRPr="00160B34">
        <w:rPr>
          <w:i/>
          <w:iCs/>
        </w:rPr>
        <w:t>p</w:t>
      </w:r>
      <w:r w:rsidR="00705AEF" w:rsidRPr="009D4627">
        <w:t>&gt;0.05</w:t>
      </w:r>
      <w:r w:rsidRPr="009D4627">
        <w:t>. Th</w:t>
      </w:r>
      <w:r w:rsidR="00705AEF" w:rsidRPr="009D4627">
        <w:t xml:space="preserve">e </w:t>
      </w:r>
      <w:r w:rsidRPr="009D4627">
        <w:t>simple main effect</w:t>
      </w:r>
      <w:r w:rsidR="00705AEF" w:rsidRPr="009D4627">
        <w:t xml:space="preserve"> of saccade directions </w:t>
      </w:r>
      <w:r w:rsidRPr="009D4627">
        <w:t xml:space="preserve">discovered that there </w:t>
      </w:r>
      <w:proofErr w:type="gramStart"/>
      <w:r w:rsidRPr="009D4627">
        <w:t>was</w:t>
      </w:r>
      <w:proofErr w:type="gramEnd"/>
      <w:r w:rsidRPr="009D4627">
        <w:t xml:space="preserve"> significant </w:t>
      </w:r>
      <w:r w:rsidR="00705AEF" w:rsidRPr="009D4627">
        <w:t xml:space="preserve">variations </w:t>
      </w:r>
      <w:r w:rsidRPr="009D4627">
        <w:t xml:space="preserve">of vertical saccadic </w:t>
      </w:r>
      <w:r w:rsidR="00705AEF" w:rsidRPr="009D4627">
        <w:t xml:space="preserve">latency </w:t>
      </w:r>
      <w:r w:rsidRPr="009D4627">
        <w:t xml:space="preserve">in the patients' </w:t>
      </w:r>
      <w:r w:rsidR="00D30020" w:rsidRPr="009D4627">
        <w:t>affected eyes</w:t>
      </w:r>
      <w:r w:rsidR="00705AEF" w:rsidRPr="009D4627">
        <w:t xml:space="preserve"> with changes of saccadic directions. </w:t>
      </w:r>
      <w:r w:rsidR="00B37C82" w:rsidRPr="009D4627">
        <w:t xml:space="preserve">The vertical saccadic latency was statistically significantly longer </w:t>
      </w:r>
      <w:r w:rsidR="00B230DE" w:rsidRPr="009D4627">
        <w:t>for</w:t>
      </w:r>
      <w:r w:rsidR="00B37C82" w:rsidRPr="009D4627">
        <w:t xml:space="preserve"> the downward </w:t>
      </w:r>
      <w:r w:rsidR="00B230DE" w:rsidRPr="009D4627">
        <w:t>saccade</w:t>
      </w:r>
      <w:r w:rsidR="00B37C82" w:rsidRPr="009D4627">
        <w:t xml:space="preserve"> (274 </w:t>
      </w:r>
      <w:proofErr w:type="spellStart"/>
      <w:r w:rsidR="00B37C82" w:rsidRPr="009D4627">
        <w:t>ms</w:t>
      </w:r>
      <w:proofErr w:type="spellEnd"/>
      <w:r w:rsidR="00B230DE" w:rsidRPr="009D4627">
        <w:t xml:space="preserve">) compared to upward saccades (239 </w:t>
      </w:r>
      <w:proofErr w:type="spellStart"/>
      <w:r w:rsidR="00B230DE" w:rsidRPr="009D4627">
        <w:t>ms</w:t>
      </w:r>
      <w:proofErr w:type="spellEnd"/>
      <w:r w:rsidR="00B230DE" w:rsidRPr="009D4627">
        <w:t xml:space="preserve">), </w:t>
      </w:r>
      <w:r w:rsidR="00B230DE" w:rsidRPr="00160B34">
        <w:rPr>
          <w:i/>
          <w:iCs/>
        </w:rPr>
        <w:t xml:space="preserve">p </w:t>
      </w:r>
      <w:r w:rsidR="00B230DE" w:rsidRPr="009D4627">
        <w:t>= 0.02</w:t>
      </w:r>
      <w:r w:rsidR="00D30020" w:rsidRPr="009D4627">
        <w:t xml:space="preserve"> (Table 5.1</w:t>
      </w:r>
      <w:r w:rsidR="00C44472" w:rsidRPr="009D4627">
        <w:t>2</w:t>
      </w:r>
      <w:r w:rsidR="00D30020" w:rsidRPr="009D4627">
        <w:t>)</w:t>
      </w:r>
      <w:r w:rsidRPr="009D4627">
        <w:t>.</w:t>
      </w:r>
      <w:bookmarkStart w:id="544" w:name="_Toc99378026"/>
    </w:p>
    <w:p w14:paraId="34B07532" w14:textId="77777777" w:rsidR="002A1D0E" w:rsidRPr="002A1D0E" w:rsidRDefault="002A1D0E" w:rsidP="002A1D0E">
      <w:pPr>
        <w:rPr>
          <w:lang w:val="en-MY" w:eastAsia="en-MY"/>
        </w:rPr>
      </w:pPr>
    </w:p>
    <w:p w14:paraId="6740FB60" w14:textId="197A5588" w:rsidR="002A1D0E" w:rsidRDefault="002A1D0E" w:rsidP="00C4130D">
      <w:pPr>
        <w:pStyle w:val="Caption"/>
      </w:pPr>
    </w:p>
    <w:p w14:paraId="05300EE9" w14:textId="77777777" w:rsidR="002A1D0E" w:rsidRPr="002A1D0E" w:rsidRDefault="002A1D0E" w:rsidP="002A1D0E">
      <w:pPr>
        <w:rPr>
          <w:lang w:val="en-MY" w:eastAsia="en-MY"/>
        </w:rPr>
      </w:pPr>
    </w:p>
    <w:p w14:paraId="1B5B4193" w14:textId="5419D9AB" w:rsidR="00B230DE" w:rsidRPr="009D4627" w:rsidRDefault="002A1D0E" w:rsidP="00C4130D">
      <w:pPr>
        <w:pStyle w:val="Caption"/>
        <w:rPr>
          <w:color w:val="auto"/>
        </w:rPr>
      </w:pPr>
      <w:r>
        <w:lastRenderedPageBreak/>
        <w:t>T</w:t>
      </w:r>
      <w:r w:rsidR="00B230DE" w:rsidRPr="009D4627">
        <w:t>able 5.</w:t>
      </w:r>
      <w:r w:rsidR="00B230DE" w:rsidRPr="009D4627">
        <w:fldChar w:fldCharType="begin"/>
      </w:r>
      <w:r w:rsidR="00B230DE" w:rsidRPr="009D4627">
        <w:instrText xml:space="preserve"> SEQ Table_5. \* ARABIC </w:instrText>
      </w:r>
      <w:r w:rsidR="00B230DE" w:rsidRPr="009D4627">
        <w:fldChar w:fldCharType="separate"/>
      </w:r>
      <w:r w:rsidR="00E268F6">
        <w:rPr>
          <w:noProof/>
        </w:rPr>
        <w:t>12</w:t>
      </w:r>
      <w:r w:rsidR="00B230DE" w:rsidRPr="009D4627">
        <w:fldChar w:fldCharType="end"/>
      </w:r>
      <w:r w:rsidR="00B230DE" w:rsidRPr="009D4627">
        <w:t>: Two factors repeated-measures ANOVA investigating the effect of saccade directions and visits changes on the vertical saccadic parameters.</w:t>
      </w:r>
      <w:bookmarkEnd w:id="544"/>
      <w:r w:rsidR="00B230DE" w:rsidRPr="009D4627">
        <w:t xml:space="preserve"> </w:t>
      </w:r>
    </w:p>
    <w:tbl>
      <w:tblPr>
        <w:tblW w:w="5000" w:type="pct"/>
        <w:jc w:val="center"/>
        <w:tblLayout w:type="fixed"/>
        <w:tblCellMar>
          <w:left w:w="0" w:type="dxa"/>
          <w:right w:w="0" w:type="dxa"/>
        </w:tblCellMar>
        <w:tblLook w:val="0000" w:firstRow="0" w:lastRow="0" w:firstColumn="0" w:lastColumn="0" w:noHBand="0" w:noVBand="0"/>
      </w:tblPr>
      <w:tblGrid>
        <w:gridCol w:w="1986"/>
        <w:gridCol w:w="1986"/>
        <w:gridCol w:w="1273"/>
        <w:gridCol w:w="709"/>
        <w:gridCol w:w="993"/>
        <w:gridCol w:w="1137"/>
        <w:gridCol w:w="942"/>
      </w:tblGrid>
      <w:tr w:rsidR="00B230DE" w:rsidRPr="009D4627" w14:paraId="72FA63AD" w14:textId="77777777" w:rsidTr="00281A92">
        <w:trPr>
          <w:cantSplit/>
          <w:jc w:val="center"/>
        </w:trPr>
        <w:tc>
          <w:tcPr>
            <w:tcW w:w="1100" w:type="pct"/>
            <w:tcBorders>
              <w:top w:val="single" w:sz="4" w:space="0" w:color="auto"/>
              <w:bottom w:val="single" w:sz="4" w:space="0" w:color="auto"/>
            </w:tcBorders>
            <w:shd w:val="clear" w:color="auto" w:fill="FFFFFF"/>
          </w:tcPr>
          <w:p w14:paraId="16EF59C1" w14:textId="77777777" w:rsidR="00B230DE" w:rsidRPr="009D4627" w:rsidRDefault="00B230DE" w:rsidP="00281A92">
            <w:pPr>
              <w:autoSpaceDE w:val="0"/>
              <w:autoSpaceDN w:val="0"/>
              <w:adjustRightInd w:val="0"/>
              <w:spacing w:before="0" w:after="0" w:line="360" w:lineRule="auto"/>
              <w:ind w:left="60" w:right="60"/>
              <w:jc w:val="center"/>
              <w:rPr>
                <w:color w:val="264A60"/>
                <w:sz w:val="22"/>
                <w:szCs w:val="22"/>
                <w:lang w:val="en-MY"/>
              </w:rPr>
            </w:pPr>
          </w:p>
        </w:tc>
        <w:tc>
          <w:tcPr>
            <w:tcW w:w="1100" w:type="pct"/>
            <w:tcBorders>
              <w:top w:val="single" w:sz="4" w:space="0" w:color="auto"/>
              <w:bottom w:val="single" w:sz="4" w:space="0" w:color="auto"/>
            </w:tcBorders>
            <w:shd w:val="clear" w:color="auto" w:fill="FFFFFF"/>
          </w:tcPr>
          <w:p w14:paraId="7753012D" w14:textId="77777777" w:rsidR="00B230DE" w:rsidRPr="009D4627" w:rsidRDefault="00B230DE" w:rsidP="00281A92">
            <w:pPr>
              <w:autoSpaceDE w:val="0"/>
              <w:autoSpaceDN w:val="0"/>
              <w:adjustRightInd w:val="0"/>
              <w:spacing w:before="0" w:after="0" w:line="360" w:lineRule="auto"/>
              <w:ind w:left="60" w:right="60"/>
              <w:jc w:val="left"/>
              <w:rPr>
                <w:color w:val="264A60"/>
                <w:sz w:val="22"/>
                <w:szCs w:val="22"/>
                <w:lang w:val="en-MY"/>
              </w:rPr>
            </w:pPr>
            <w:r w:rsidRPr="009D4627">
              <w:rPr>
                <w:color w:val="264A60"/>
                <w:sz w:val="22"/>
                <w:szCs w:val="22"/>
                <w:lang w:val="en-MY"/>
              </w:rPr>
              <w:t>Source</w:t>
            </w:r>
          </w:p>
        </w:tc>
        <w:tc>
          <w:tcPr>
            <w:tcW w:w="705" w:type="pct"/>
            <w:tcBorders>
              <w:top w:val="single" w:sz="4" w:space="0" w:color="auto"/>
              <w:bottom w:val="single" w:sz="4" w:space="0" w:color="auto"/>
            </w:tcBorders>
            <w:shd w:val="clear" w:color="auto" w:fill="FFFFFF"/>
            <w:vAlign w:val="bottom"/>
          </w:tcPr>
          <w:p w14:paraId="466100CD" w14:textId="77777777" w:rsidR="00B230DE" w:rsidRPr="009D4627" w:rsidRDefault="00B230DE"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SS</w:t>
            </w:r>
          </w:p>
        </w:tc>
        <w:tc>
          <w:tcPr>
            <w:tcW w:w="393" w:type="pct"/>
            <w:tcBorders>
              <w:top w:val="single" w:sz="4" w:space="0" w:color="auto"/>
              <w:bottom w:val="single" w:sz="4" w:space="0" w:color="auto"/>
            </w:tcBorders>
            <w:shd w:val="clear" w:color="auto" w:fill="FFFFFF"/>
            <w:vAlign w:val="bottom"/>
          </w:tcPr>
          <w:p w14:paraId="12689037" w14:textId="77777777" w:rsidR="00B230DE" w:rsidRPr="009D4627" w:rsidRDefault="00B230DE"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df</w:t>
            </w:r>
          </w:p>
        </w:tc>
        <w:tc>
          <w:tcPr>
            <w:tcW w:w="550" w:type="pct"/>
            <w:tcBorders>
              <w:top w:val="single" w:sz="4" w:space="0" w:color="auto"/>
              <w:bottom w:val="single" w:sz="4" w:space="0" w:color="auto"/>
            </w:tcBorders>
            <w:shd w:val="clear" w:color="auto" w:fill="FFFFFF"/>
            <w:vAlign w:val="bottom"/>
          </w:tcPr>
          <w:p w14:paraId="50715C5B" w14:textId="77777777" w:rsidR="00B230DE" w:rsidRPr="009D4627" w:rsidRDefault="00B230DE" w:rsidP="00281A92">
            <w:pPr>
              <w:autoSpaceDE w:val="0"/>
              <w:autoSpaceDN w:val="0"/>
              <w:adjustRightInd w:val="0"/>
              <w:spacing w:before="0" w:after="0" w:line="360" w:lineRule="auto"/>
              <w:ind w:left="60" w:right="60"/>
              <w:jc w:val="center"/>
              <w:rPr>
                <w:color w:val="264A60"/>
                <w:sz w:val="22"/>
                <w:szCs w:val="22"/>
                <w:lang w:val="en-MY"/>
              </w:rPr>
            </w:pPr>
            <w:r w:rsidRPr="009D4627">
              <w:rPr>
                <w:color w:val="264A60"/>
                <w:sz w:val="22"/>
                <w:szCs w:val="22"/>
                <w:lang w:val="en-MY"/>
              </w:rPr>
              <w:t>MS</w:t>
            </w:r>
          </w:p>
        </w:tc>
        <w:tc>
          <w:tcPr>
            <w:tcW w:w="630" w:type="pct"/>
            <w:tcBorders>
              <w:top w:val="single" w:sz="4" w:space="0" w:color="auto"/>
              <w:bottom w:val="single" w:sz="4" w:space="0" w:color="auto"/>
            </w:tcBorders>
            <w:shd w:val="clear" w:color="auto" w:fill="FFFFFF"/>
            <w:vAlign w:val="bottom"/>
          </w:tcPr>
          <w:p w14:paraId="27F0E8C0" w14:textId="77777777" w:rsidR="00B230DE" w:rsidRPr="002A1D0E" w:rsidRDefault="00B230DE" w:rsidP="00281A92">
            <w:pPr>
              <w:autoSpaceDE w:val="0"/>
              <w:autoSpaceDN w:val="0"/>
              <w:adjustRightInd w:val="0"/>
              <w:spacing w:before="0" w:after="0" w:line="360" w:lineRule="auto"/>
              <w:ind w:left="60" w:right="60"/>
              <w:jc w:val="center"/>
              <w:rPr>
                <w:i/>
                <w:iCs/>
                <w:color w:val="264A60"/>
                <w:sz w:val="22"/>
                <w:szCs w:val="22"/>
                <w:lang w:val="en-MY"/>
              </w:rPr>
            </w:pPr>
            <w:r w:rsidRPr="002A1D0E">
              <w:rPr>
                <w:i/>
                <w:iCs/>
                <w:color w:val="264A60"/>
                <w:sz w:val="22"/>
                <w:szCs w:val="22"/>
                <w:lang w:val="en-MY"/>
              </w:rPr>
              <w:t>F</w:t>
            </w:r>
          </w:p>
        </w:tc>
        <w:tc>
          <w:tcPr>
            <w:tcW w:w="522" w:type="pct"/>
            <w:tcBorders>
              <w:top w:val="single" w:sz="4" w:space="0" w:color="auto"/>
              <w:bottom w:val="single" w:sz="4" w:space="0" w:color="auto"/>
            </w:tcBorders>
            <w:shd w:val="clear" w:color="auto" w:fill="FFFFFF"/>
            <w:vAlign w:val="bottom"/>
          </w:tcPr>
          <w:p w14:paraId="601DD17C" w14:textId="77777777" w:rsidR="00B230DE" w:rsidRPr="009D4627" w:rsidRDefault="00B230DE" w:rsidP="00281A92">
            <w:pPr>
              <w:autoSpaceDE w:val="0"/>
              <w:autoSpaceDN w:val="0"/>
              <w:adjustRightInd w:val="0"/>
              <w:spacing w:before="0" w:after="0" w:line="360" w:lineRule="auto"/>
              <w:ind w:left="60" w:right="60"/>
              <w:jc w:val="center"/>
              <w:rPr>
                <w:color w:val="264A60"/>
                <w:sz w:val="22"/>
                <w:szCs w:val="22"/>
                <w:lang w:val="en-MY"/>
              </w:rPr>
            </w:pPr>
            <w:r w:rsidRPr="002A1D0E">
              <w:rPr>
                <w:i/>
                <w:iCs/>
                <w:color w:val="264A60"/>
                <w:sz w:val="22"/>
                <w:szCs w:val="22"/>
                <w:lang w:val="en-MY"/>
              </w:rPr>
              <w:t>p</w:t>
            </w:r>
            <w:r w:rsidRPr="009D4627">
              <w:rPr>
                <w:color w:val="264A60"/>
                <w:sz w:val="22"/>
                <w:szCs w:val="22"/>
                <w:lang w:val="en-MY"/>
              </w:rPr>
              <w:t>-value</w:t>
            </w:r>
          </w:p>
        </w:tc>
      </w:tr>
      <w:tr w:rsidR="00B230DE" w:rsidRPr="009D4627" w14:paraId="45D7F19E" w14:textId="77777777" w:rsidTr="00281A92">
        <w:trPr>
          <w:cantSplit/>
          <w:jc w:val="center"/>
        </w:trPr>
        <w:tc>
          <w:tcPr>
            <w:tcW w:w="1100" w:type="pct"/>
            <w:vMerge w:val="restart"/>
            <w:tcBorders>
              <w:top w:val="single" w:sz="4" w:space="0" w:color="auto"/>
            </w:tcBorders>
            <w:shd w:val="clear" w:color="auto" w:fill="FFFFFF"/>
          </w:tcPr>
          <w:p w14:paraId="0ACED7B1"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Saccadic latency</w:t>
            </w:r>
          </w:p>
        </w:tc>
        <w:tc>
          <w:tcPr>
            <w:tcW w:w="1100" w:type="pct"/>
            <w:tcBorders>
              <w:top w:val="single" w:sz="4" w:space="0" w:color="auto"/>
            </w:tcBorders>
            <w:shd w:val="clear" w:color="auto" w:fill="FFFFFF"/>
          </w:tcPr>
          <w:p w14:paraId="3C354DE2"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p>
        </w:tc>
        <w:tc>
          <w:tcPr>
            <w:tcW w:w="705" w:type="pct"/>
            <w:tcBorders>
              <w:top w:val="single" w:sz="4" w:space="0" w:color="auto"/>
            </w:tcBorders>
            <w:shd w:val="clear" w:color="auto" w:fill="FFFFFF"/>
          </w:tcPr>
          <w:p w14:paraId="63F9B3DC"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24255.6</w:t>
            </w:r>
          </w:p>
        </w:tc>
        <w:tc>
          <w:tcPr>
            <w:tcW w:w="393" w:type="pct"/>
            <w:tcBorders>
              <w:top w:val="single" w:sz="4" w:space="0" w:color="auto"/>
            </w:tcBorders>
            <w:shd w:val="clear" w:color="auto" w:fill="FFFFFF"/>
          </w:tcPr>
          <w:p w14:paraId="7D75FA2D"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p>
        </w:tc>
        <w:tc>
          <w:tcPr>
            <w:tcW w:w="550" w:type="pct"/>
            <w:tcBorders>
              <w:top w:val="single" w:sz="4" w:space="0" w:color="auto"/>
            </w:tcBorders>
            <w:shd w:val="clear" w:color="auto" w:fill="FFFFFF"/>
          </w:tcPr>
          <w:p w14:paraId="320B88D5"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24255.6</w:t>
            </w:r>
          </w:p>
        </w:tc>
        <w:tc>
          <w:tcPr>
            <w:tcW w:w="630" w:type="pct"/>
            <w:tcBorders>
              <w:top w:val="single" w:sz="4" w:space="0" w:color="auto"/>
            </w:tcBorders>
            <w:shd w:val="clear" w:color="auto" w:fill="FFFFFF"/>
          </w:tcPr>
          <w:p w14:paraId="7F8D3036"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8.53</w:t>
            </w:r>
          </w:p>
        </w:tc>
        <w:tc>
          <w:tcPr>
            <w:tcW w:w="522" w:type="pct"/>
            <w:tcBorders>
              <w:top w:val="single" w:sz="4" w:space="0" w:color="auto"/>
            </w:tcBorders>
            <w:shd w:val="clear" w:color="auto" w:fill="FFFFFF"/>
          </w:tcPr>
          <w:p w14:paraId="667F89D7"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0.02*</w:t>
            </w:r>
          </w:p>
        </w:tc>
      </w:tr>
      <w:tr w:rsidR="00B230DE" w:rsidRPr="009D4627" w14:paraId="64C302D9" w14:textId="77777777" w:rsidTr="00281A92">
        <w:trPr>
          <w:cantSplit/>
          <w:jc w:val="center"/>
        </w:trPr>
        <w:tc>
          <w:tcPr>
            <w:tcW w:w="1100" w:type="pct"/>
            <w:vMerge/>
            <w:shd w:val="clear" w:color="auto" w:fill="FFFFFF"/>
          </w:tcPr>
          <w:p w14:paraId="085D258D"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p>
        </w:tc>
        <w:tc>
          <w:tcPr>
            <w:tcW w:w="1100" w:type="pct"/>
            <w:shd w:val="clear" w:color="auto" w:fill="FFFFFF"/>
          </w:tcPr>
          <w:p w14:paraId="78763BF4"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705" w:type="pct"/>
            <w:shd w:val="clear" w:color="auto" w:fill="FFFFFF"/>
          </w:tcPr>
          <w:p w14:paraId="6AE70682"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9517.1</w:t>
            </w:r>
          </w:p>
        </w:tc>
        <w:tc>
          <w:tcPr>
            <w:tcW w:w="393" w:type="pct"/>
            <w:shd w:val="clear" w:color="auto" w:fill="FFFFFF"/>
          </w:tcPr>
          <w:p w14:paraId="3BF1A7A2"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50" w:type="pct"/>
            <w:shd w:val="clear" w:color="auto" w:fill="FFFFFF"/>
          </w:tcPr>
          <w:p w14:paraId="40B8B5D0"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2379.3</w:t>
            </w:r>
          </w:p>
        </w:tc>
        <w:tc>
          <w:tcPr>
            <w:tcW w:w="630" w:type="pct"/>
            <w:shd w:val="clear" w:color="auto" w:fill="FFFFFF"/>
          </w:tcPr>
          <w:p w14:paraId="0923BCBD"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1.93</w:t>
            </w:r>
          </w:p>
        </w:tc>
        <w:tc>
          <w:tcPr>
            <w:tcW w:w="522" w:type="pct"/>
            <w:shd w:val="clear" w:color="auto" w:fill="FFFFFF"/>
          </w:tcPr>
          <w:p w14:paraId="3B0C5FC6"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0.13</w:t>
            </w:r>
          </w:p>
        </w:tc>
      </w:tr>
      <w:tr w:rsidR="00B230DE" w:rsidRPr="009D4627" w14:paraId="3EEB964A" w14:textId="77777777" w:rsidTr="00281A92">
        <w:trPr>
          <w:cantSplit/>
          <w:jc w:val="center"/>
        </w:trPr>
        <w:tc>
          <w:tcPr>
            <w:tcW w:w="1100" w:type="pct"/>
            <w:vMerge/>
            <w:tcBorders>
              <w:bottom w:val="single" w:sz="4" w:space="0" w:color="auto"/>
            </w:tcBorders>
            <w:shd w:val="clear" w:color="auto" w:fill="FFFFFF"/>
          </w:tcPr>
          <w:p w14:paraId="28512975"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p>
        </w:tc>
        <w:tc>
          <w:tcPr>
            <w:tcW w:w="1100" w:type="pct"/>
            <w:tcBorders>
              <w:bottom w:val="single" w:sz="4" w:space="0" w:color="auto"/>
            </w:tcBorders>
            <w:shd w:val="clear" w:color="auto" w:fill="FFFFFF"/>
          </w:tcPr>
          <w:p w14:paraId="4CB03330"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r w:rsidRPr="009D4627">
              <w:rPr>
                <w:color w:val="010205"/>
                <w:sz w:val="22"/>
                <w:szCs w:val="22"/>
                <w:lang w:val="en-MY"/>
              </w:rPr>
              <w:t>*Visit</w:t>
            </w:r>
          </w:p>
        </w:tc>
        <w:tc>
          <w:tcPr>
            <w:tcW w:w="705" w:type="pct"/>
            <w:tcBorders>
              <w:bottom w:val="single" w:sz="4" w:space="0" w:color="auto"/>
            </w:tcBorders>
            <w:shd w:val="clear" w:color="auto" w:fill="FFFFFF"/>
          </w:tcPr>
          <w:p w14:paraId="1EA88F6E"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7056.5</w:t>
            </w:r>
          </w:p>
        </w:tc>
        <w:tc>
          <w:tcPr>
            <w:tcW w:w="393" w:type="pct"/>
            <w:tcBorders>
              <w:bottom w:val="single" w:sz="4" w:space="0" w:color="auto"/>
            </w:tcBorders>
            <w:shd w:val="clear" w:color="auto" w:fill="FFFFFF"/>
          </w:tcPr>
          <w:p w14:paraId="43934461"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50" w:type="pct"/>
            <w:tcBorders>
              <w:bottom w:val="single" w:sz="4" w:space="0" w:color="auto"/>
            </w:tcBorders>
            <w:shd w:val="clear" w:color="auto" w:fill="FFFFFF"/>
          </w:tcPr>
          <w:p w14:paraId="03B319C7"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1764.1</w:t>
            </w:r>
          </w:p>
        </w:tc>
        <w:tc>
          <w:tcPr>
            <w:tcW w:w="630" w:type="pct"/>
            <w:tcBorders>
              <w:bottom w:val="single" w:sz="4" w:space="0" w:color="auto"/>
            </w:tcBorders>
            <w:shd w:val="clear" w:color="auto" w:fill="FFFFFF"/>
          </w:tcPr>
          <w:p w14:paraId="08F0A749"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1.85</w:t>
            </w:r>
          </w:p>
        </w:tc>
        <w:tc>
          <w:tcPr>
            <w:tcW w:w="522" w:type="pct"/>
            <w:tcBorders>
              <w:bottom w:val="single" w:sz="4" w:space="0" w:color="auto"/>
            </w:tcBorders>
            <w:shd w:val="clear" w:color="auto" w:fill="FFFFFF"/>
          </w:tcPr>
          <w:p w14:paraId="134E53A5"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0.15</w:t>
            </w:r>
          </w:p>
        </w:tc>
      </w:tr>
      <w:tr w:rsidR="00B230DE" w:rsidRPr="009D4627" w14:paraId="457F5A7A" w14:textId="77777777" w:rsidTr="00281A92">
        <w:trPr>
          <w:cantSplit/>
          <w:jc w:val="center"/>
        </w:trPr>
        <w:tc>
          <w:tcPr>
            <w:tcW w:w="1100" w:type="pct"/>
            <w:vMerge w:val="restart"/>
            <w:tcBorders>
              <w:top w:val="single" w:sz="4" w:space="0" w:color="auto"/>
            </w:tcBorders>
            <w:shd w:val="clear" w:color="auto" w:fill="FFFFFF"/>
          </w:tcPr>
          <w:p w14:paraId="6EF17B4F"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Saccadic peak velocity</w:t>
            </w:r>
          </w:p>
        </w:tc>
        <w:tc>
          <w:tcPr>
            <w:tcW w:w="1100" w:type="pct"/>
            <w:tcBorders>
              <w:top w:val="single" w:sz="4" w:space="0" w:color="auto"/>
            </w:tcBorders>
            <w:shd w:val="clear" w:color="auto" w:fill="FFFFFF"/>
          </w:tcPr>
          <w:p w14:paraId="41146B27"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p>
        </w:tc>
        <w:tc>
          <w:tcPr>
            <w:tcW w:w="705" w:type="pct"/>
            <w:tcBorders>
              <w:top w:val="single" w:sz="4" w:space="0" w:color="auto"/>
            </w:tcBorders>
            <w:shd w:val="clear" w:color="auto" w:fill="FFFFFF"/>
          </w:tcPr>
          <w:p w14:paraId="475F8EE9"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17475.9</w:t>
            </w:r>
          </w:p>
        </w:tc>
        <w:tc>
          <w:tcPr>
            <w:tcW w:w="393" w:type="pct"/>
            <w:tcBorders>
              <w:top w:val="single" w:sz="4" w:space="0" w:color="auto"/>
            </w:tcBorders>
            <w:shd w:val="clear" w:color="auto" w:fill="FFFFFF"/>
          </w:tcPr>
          <w:p w14:paraId="37FA4F05"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p>
        </w:tc>
        <w:tc>
          <w:tcPr>
            <w:tcW w:w="550" w:type="pct"/>
            <w:tcBorders>
              <w:top w:val="single" w:sz="4" w:space="0" w:color="auto"/>
            </w:tcBorders>
            <w:shd w:val="clear" w:color="auto" w:fill="FFFFFF"/>
          </w:tcPr>
          <w:p w14:paraId="18B64C82"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17475.9</w:t>
            </w:r>
          </w:p>
        </w:tc>
        <w:tc>
          <w:tcPr>
            <w:tcW w:w="630" w:type="pct"/>
            <w:tcBorders>
              <w:top w:val="single" w:sz="4" w:space="0" w:color="auto"/>
            </w:tcBorders>
            <w:shd w:val="clear" w:color="auto" w:fill="FFFFFF"/>
          </w:tcPr>
          <w:p w14:paraId="24A1DAF7"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1.93</w:t>
            </w:r>
          </w:p>
        </w:tc>
        <w:tc>
          <w:tcPr>
            <w:tcW w:w="522" w:type="pct"/>
            <w:tcBorders>
              <w:top w:val="single" w:sz="4" w:space="0" w:color="auto"/>
            </w:tcBorders>
            <w:shd w:val="clear" w:color="auto" w:fill="FFFFFF"/>
          </w:tcPr>
          <w:p w14:paraId="7059F0FF"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0.21</w:t>
            </w:r>
          </w:p>
        </w:tc>
      </w:tr>
      <w:tr w:rsidR="00B230DE" w:rsidRPr="009D4627" w14:paraId="4DEE16EB" w14:textId="77777777" w:rsidTr="00281A92">
        <w:trPr>
          <w:cantSplit/>
          <w:jc w:val="center"/>
        </w:trPr>
        <w:tc>
          <w:tcPr>
            <w:tcW w:w="1100" w:type="pct"/>
            <w:vMerge/>
            <w:shd w:val="clear" w:color="auto" w:fill="FFFFFF"/>
          </w:tcPr>
          <w:p w14:paraId="41BECD44"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p>
        </w:tc>
        <w:tc>
          <w:tcPr>
            <w:tcW w:w="1100" w:type="pct"/>
            <w:shd w:val="clear" w:color="auto" w:fill="FFFFFF"/>
          </w:tcPr>
          <w:p w14:paraId="4FD58677"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705" w:type="pct"/>
            <w:shd w:val="clear" w:color="auto" w:fill="FFFFFF"/>
          </w:tcPr>
          <w:p w14:paraId="4D945820"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22797.7</w:t>
            </w:r>
          </w:p>
        </w:tc>
        <w:tc>
          <w:tcPr>
            <w:tcW w:w="393" w:type="pct"/>
            <w:shd w:val="clear" w:color="auto" w:fill="FFFFFF"/>
          </w:tcPr>
          <w:p w14:paraId="4F0595BF"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50" w:type="pct"/>
            <w:shd w:val="clear" w:color="auto" w:fill="FFFFFF"/>
          </w:tcPr>
          <w:p w14:paraId="244E9D3A"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16430.6</w:t>
            </w:r>
          </w:p>
        </w:tc>
        <w:tc>
          <w:tcPr>
            <w:tcW w:w="630" w:type="pct"/>
            <w:shd w:val="clear" w:color="auto" w:fill="FFFFFF"/>
          </w:tcPr>
          <w:p w14:paraId="76F26F91"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1.26</w:t>
            </w:r>
          </w:p>
        </w:tc>
        <w:tc>
          <w:tcPr>
            <w:tcW w:w="522" w:type="pct"/>
            <w:shd w:val="clear" w:color="auto" w:fill="FFFFFF"/>
          </w:tcPr>
          <w:p w14:paraId="4DAF020A"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0.31</w:t>
            </w:r>
          </w:p>
        </w:tc>
      </w:tr>
      <w:tr w:rsidR="00B230DE" w:rsidRPr="009D4627" w14:paraId="2B3714F6" w14:textId="77777777" w:rsidTr="00281A92">
        <w:trPr>
          <w:cantSplit/>
          <w:jc w:val="center"/>
        </w:trPr>
        <w:tc>
          <w:tcPr>
            <w:tcW w:w="1100" w:type="pct"/>
            <w:vMerge/>
            <w:tcBorders>
              <w:bottom w:val="single" w:sz="4" w:space="0" w:color="auto"/>
            </w:tcBorders>
            <w:shd w:val="clear" w:color="auto" w:fill="FFFFFF"/>
          </w:tcPr>
          <w:p w14:paraId="41F214AE"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p>
        </w:tc>
        <w:tc>
          <w:tcPr>
            <w:tcW w:w="1100" w:type="pct"/>
            <w:tcBorders>
              <w:bottom w:val="single" w:sz="4" w:space="0" w:color="auto"/>
            </w:tcBorders>
            <w:shd w:val="clear" w:color="auto" w:fill="FFFFFF"/>
          </w:tcPr>
          <w:p w14:paraId="7F1032D8"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r w:rsidRPr="009D4627">
              <w:rPr>
                <w:color w:val="010205"/>
                <w:sz w:val="22"/>
                <w:szCs w:val="22"/>
                <w:lang w:val="en-MY"/>
              </w:rPr>
              <w:t>*Visit</w:t>
            </w:r>
          </w:p>
        </w:tc>
        <w:tc>
          <w:tcPr>
            <w:tcW w:w="705" w:type="pct"/>
            <w:tcBorders>
              <w:bottom w:val="single" w:sz="4" w:space="0" w:color="auto"/>
            </w:tcBorders>
            <w:shd w:val="clear" w:color="auto" w:fill="FFFFFF"/>
          </w:tcPr>
          <w:p w14:paraId="2B7B8E4B"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22480.4</w:t>
            </w:r>
          </w:p>
        </w:tc>
        <w:tc>
          <w:tcPr>
            <w:tcW w:w="393" w:type="pct"/>
            <w:tcBorders>
              <w:bottom w:val="single" w:sz="4" w:space="0" w:color="auto"/>
            </w:tcBorders>
            <w:shd w:val="clear" w:color="auto" w:fill="FFFFFF"/>
          </w:tcPr>
          <w:p w14:paraId="3E0E969B"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50" w:type="pct"/>
            <w:tcBorders>
              <w:bottom w:val="single" w:sz="4" w:space="0" w:color="auto"/>
            </w:tcBorders>
            <w:shd w:val="clear" w:color="auto" w:fill="FFFFFF"/>
          </w:tcPr>
          <w:p w14:paraId="50B49D76"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20190.4</w:t>
            </w:r>
          </w:p>
        </w:tc>
        <w:tc>
          <w:tcPr>
            <w:tcW w:w="630" w:type="pct"/>
            <w:tcBorders>
              <w:bottom w:val="single" w:sz="4" w:space="0" w:color="auto"/>
            </w:tcBorders>
            <w:shd w:val="clear" w:color="auto" w:fill="FFFFFF"/>
          </w:tcPr>
          <w:p w14:paraId="3C0999F3"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1.23</w:t>
            </w:r>
          </w:p>
        </w:tc>
        <w:tc>
          <w:tcPr>
            <w:tcW w:w="522" w:type="pct"/>
            <w:tcBorders>
              <w:bottom w:val="single" w:sz="4" w:space="0" w:color="auto"/>
            </w:tcBorders>
            <w:shd w:val="clear" w:color="auto" w:fill="FFFFFF"/>
          </w:tcPr>
          <w:p w14:paraId="5763D033"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0.31</w:t>
            </w:r>
          </w:p>
        </w:tc>
      </w:tr>
      <w:tr w:rsidR="00B230DE" w:rsidRPr="009D4627" w14:paraId="18CD5EA9" w14:textId="77777777" w:rsidTr="00281A92">
        <w:trPr>
          <w:cantSplit/>
          <w:jc w:val="center"/>
        </w:trPr>
        <w:tc>
          <w:tcPr>
            <w:tcW w:w="1100" w:type="pct"/>
            <w:vMerge w:val="restart"/>
            <w:tcBorders>
              <w:top w:val="single" w:sz="4" w:space="0" w:color="auto"/>
            </w:tcBorders>
            <w:shd w:val="clear" w:color="auto" w:fill="FFFFFF"/>
          </w:tcPr>
          <w:p w14:paraId="7B2BF270"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Saccadic gain</w:t>
            </w:r>
          </w:p>
        </w:tc>
        <w:tc>
          <w:tcPr>
            <w:tcW w:w="1100" w:type="pct"/>
            <w:tcBorders>
              <w:top w:val="single" w:sz="4" w:space="0" w:color="auto"/>
            </w:tcBorders>
            <w:shd w:val="clear" w:color="auto" w:fill="FFFFFF"/>
          </w:tcPr>
          <w:p w14:paraId="6000A10E"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p>
        </w:tc>
        <w:tc>
          <w:tcPr>
            <w:tcW w:w="705" w:type="pct"/>
            <w:tcBorders>
              <w:top w:val="single" w:sz="4" w:space="0" w:color="auto"/>
            </w:tcBorders>
            <w:shd w:val="clear" w:color="auto" w:fill="FFFFFF"/>
          </w:tcPr>
          <w:p w14:paraId="132F855C"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0.74</w:t>
            </w:r>
          </w:p>
        </w:tc>
        <w:tc>
          <w:tcPr>
            <w:tcW w:w="393" w:type="pct"/>
            <w:tcBorders>
              <w:top w:val="single" w:sz="4" w:space="0" w:color="auto"/>
            </w:tcBorders>
            <w:shd w:val="clear" w:color="auto" w:fill="FFFFFF"/>
          </w:tcPr>
          <w:p w14:paraId="211BC3C9"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w:t>
            </w:r>
          </w:p>
        </w:tc>
        <w:tc>
          <w:tcPr>
            <w:tcW w:w="550" w:type="pct"/>
            <w:tcBorders>
              <w:top w:val="single" w:sz="4" w:space="0" w:color="auto"/>
            </w:tcBorders>
            <w:shd w:val="clear" w:color="auto" w:fill="FFFFFF"/>
          </w:tcPr>
          <w:p w14:paraId="4132B3B0"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0.74</w:t>
            </w:r>
          </w:p>
        </w:tc>
        <w:tc>
          <w:tcPr>
            <w:tcW w:w="630" w:type="pct"/>
            <w:tcBorders>
              <w:top w:val="single" w:sz="4" w:space="0" w:color="auto"/>
            </w:tcBorders>
            <w:shd w:val="clear" w:color="auto" w:fill="FFFFFF"/>
          </w:tcPr>
          <w:p w14:paraId="51242D38"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5.93</w:t>
            </w:r>
          </w:p>
        </w:tc>
        <w:tc>
          <w:tcPr>
            <w:tcW w:w="522" w:type="pct"/>
            <w:tcBorders>
              <w:top w:val="single" w:sz="4" w:space="0" w:color="auto"/>
            </w:tcBorders>
            <w:shd w:val="clear" w:color="auto" w:fill="FFFFFF"/>
          </w:tcPr>
          <w:p w14:paraId="73E7A5B7"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0.05</w:t>
            </w:r>
          </w:p>
        </w:tc>
      </w:tr>
      <w:tr w:rsidR="00B230DE" w:rsidRPr="009D4627" w14:paraId="4DD2C298" w14:textId="77777777" w:rsidTr="00281A92">
        <w:trPr>
          <w:cantSplit/>
          <w:jc w:val="center"/>
        </w:trPr>
        <w:tc>
          <w:tcPr>
            <w:tcW w:w="1100" w:type="pct"/>
            <w:vMerge/>
            <w:shd w:val="clear" w:color="auto" w:fill="FFFFFF"/>
          </w:tcPr>
          <w:p w14:paraId="19B53291"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p>
        </w:tc>
        <w:tc>
          <w:tcPr>
            <w:tcW w:w="1100" w:type="pct"/>
            <w:shd w:val="clear" w:color="auto" w:fill="FFFFFF"/>
          </w:tcPr>
          <w:p w14:paraId="5761AEDB"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r w:rsidRPr="009D4627">
              <w:rPr>
                <w:color w:val="010205"/>
                <w:sz w:val="22"/>
                <w:szCs w:val="22"/>
                <w:lang w:val="en-MY"/>
              </w:rPr>
              <w:t>Visit</w:t>
            </w:r>
          </w:p>
        </w:tc>
        <w:tc>
          <w:tcPr>
            <w:tcW w:w="705" w:type="pct"/>
            <w:shd w:val="clear" w:color="auto" w:fill="FFFFFF"/>
          </w:tcPr>
          <w:p w14:paraId="597DDAA7"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0.21</w:t>
            </w:r>
          </w:p>
        </w:tc>
        <w:tc>
          <w:tcPr>
            <w:tcW w:w="393" w:type="pct"/>
            <w:shd w:val="clear" w:color="auto" w:fill="FFFFFF"/>
          </w:tcPr>
          <w:p w14:paraId="4C3A235E"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50" w:type="pct"/>
            <w:shd w:val="clear" w:color="auto" w:fill="FFFFFF"/>
          </w:tcPr>
          <w:p w14:paraId="6D6B99CC"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0.05</w:t>
            </w:r>
          </w:p>
        </w:tc>
        <w:tc>
          <w:tcPr>
            <w:tcW w:w="630" w:type="pct"/>
            <w:shd w:val="clear" w:color="auto" w:fill="FFFFFF"/>
          </w:tcPr>
          <w:p w14:paraId="53F82058"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2.86</w:t>
            </w:r>
          </w:p>
        </w:tc>
        <w:tc>
          <w:tcPr>
            <w:tcW w:w="522" w:type="pct"/>
            <w:shd w:val="clear" w:color="auto" w:fill="FFFFFF"/>
          </w:tcPr>
          <w:p w14:paraId="70FDA5E9"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0.05</w:t>
            </w:r>
          </w:p>
        </w:tc>
      </w:tr>
      <w:tr w:rsidR="00B230DE" w:rsidRPr="009D4627" w14:paraId="026BF7E1" w14:textId="77777777" w:rsidTr="00281A92">
        <w:trPr>
          <w:cantSplit/>
          <w:jc w:val="center"/>
        </w:trPr>
        <w:tc>
          <w:tcPr>
            <w:tcW w:w="1100" w:type="pct"/>
            <w:vMerge/>
            <w:tcBorders>
              <w:bottom w:val="single" w:sz="4" w:space="0" w:color="auto"/>
            </w:tcBorders>
            <w:shd w:val="clear" w:color="auto" w:fill="FFFFFF"/>
          </w:tcPr>
          <w:p w14:paraId="2980313D"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p>
        </w:tc>
        <w:tc>
          <w:tcPr>
            <w:tcW w:w="1100" w:type="pct"/>
            <w:tcBorders>
              <w:bottom w:val="single" w:sz="4" w:space="0" w:color="auto"/>
            </w:tcBorders>
            <w:shd w:val="clear" w:color="auto" w:fill="FFFFFF"/>
          </w:tcPr>
          <w:p w14:paraId="35EDB9D7" w14:textId="77777777" w:rsidR="00B230DE" w:rsidRPr="009D4627" w:rsidRDefault="00B230DE" w:rsidP="00281A92">
            <w:pPr>
              <w:autoSpaceDE w:val="0"/>
              <w:autoSpaceDN w:val="0"/>
              <w:adjustRightInd w:val="0"/>
              <w:spacing w:before="0" w:after="0" w:line="360" w:lineRule="auto"/>
              <w:ind w:left="60" w:right="60"/>
              <w:jc w:val="left"/>
              <w:rPr>
                <w:color w:val="010205"/>
                <w:sz w:val="22"/>
                <w:szCs w:val="22"/>
                <w:lang w:val="en-MY"/>
              </w:rPr>
            </w:pPr>
            <w:proofErr w:type="spellStart"/>
            <w:r w:rsidRPr="009D4627">
              <w:rPr>
                <w:color w:val="010205"/>
                <w:sz w:val="22"/>
                <w:szCs w:val="22"/>
                <w:lang w:val="en-MY"/>
              </w:rPr>
              <w:t>Sac_direction</w:t>
            </w:r>
            <w:proofErr w:type="spellEnd"/>
            <w:r w:rsidRPr="009D4627">
              <w:rPr>
                <w:color w:val="010205"/>
                <w:sz w:val="22"/>
                <w:szCs w:val="22"/>
                <w:lang w:val="en-MY"/>
              </w:rPr>
              <w:t>*Visit</w:t>
            </w:r>
          </w:p>
        </w:tc>
        <w:tc>
          <w:tcPr>
            <w:tcW w:w="705" w:type="pct"/>
            <w:tcBorders>
              <w:bottom w:val="single" w:sz="4" w:space="0" w:color="auto"/>
            </w:tcBorders>
            <w:shd w:val="clear" w:color="auto" w:fill="FFFFFF"/>
          </w:tcPr>
          <w:p w14:paraId="7BFF4E49"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0.05</w:t>
            </w:r>
          </w:p>
        </w:tc>
        <w:tc>
          <w:tcPr>
            <w:tcW w:w="393" w:type="pct"/>
            <w:tcBorders>
              <w:bottom w:val="single" w:sz="4" w:space="0" w:color="auto"/>
            </w:tcBorders>
            <w:shd w:val="clear" w:color="auto" w:fill="FFFFFF"/>
          </w:tcPr>
          <w:p w14:paraId="0C6B36EA"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4</w:t>
            </w:r>
          </w:p>
        </w:tc>
        <w:tc>
          <w:tcPr>
            <w:tcW w:w="550" w:type="pct"/>
            <w:tcBorders>
              <w:bottom w:val="single" w:sz="4" w:space="0" w:color="auto"/>
            </w:tcBorders>
            <w:shd w:val="clear" w:color="auto" w:fill="FFFFFF"/>
          </w:tcPr>
          <w:p w14:paraId="0826742C" w14:textId="77777777" w:rsidR="00B230DE" w:rsidRPr="009D4627" w:rsidRDefault="00B230DE" w:rsidP="00281A92">
            <w:pPr>
              <w:autoSpaceDE w:val="0"/>
              <w:autoSpaceDN w:val="0"/>
              <w:adjustRightInd w:val="0"/>
              <w:spacing w:before="0" w:after="0" w:line="360" w:lineRule="auto"/>
              <w:ind w:left="60" w:right="60"/>
              <w:jc w:val="right"/>
              <w:rPr>
                <w:color w:val="010205"/>
                <w:sz w:val="22"/>
                <w:szCs w:val="22"/>
                <w:lang w:val="en-MY"/>
              </w:rPr>
            </w:pPr>
            <w:r w:rsidRPr="009D4627">
              <w:rPr>
                <w:color w:val="010205"/>
                <w:sz w:val="22"/>
                <w:szCs w:val="22"/>
                <w:lang w:val="en-MY"/>
              </w:rPr>
              <w:t>0.01</w:t>
            </w:r>
          </w:p>
        </w:tc>
        <w:tc>
          <w:tcPr>
            <w:tcW w:w="630" w:type="pct"/>
            <w:tcBorders>
              <w:bottom w:val="single" w:sz="4" w:space="0" w:color="auto"/>
            </w:tcBorders>
            <w:shd w:val="clear" w:color="auto" w:fill="FFFFFF"/>
          </w:tcPr>
          <w:p w14:paraId="46436233"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1.07</w:t>
            </w:r>
          </w:p>
        </w:tc>
        <w:tc>
          <w:tcPr>
            <w:tcW w:w="522" w:type="pct"/>
            <w:tcBorders>
              <w:bottom w:val="single" w:sz="4" w:space="0" w:color="auto"/>
            </w:tcBorders>
            <w:shd w:val="clear" w:color="auto" w:fill="FFFFFF"/>
          </w:tcPr>
          <w:p w14:paraId="221B0A6F" w14:textId="77777777" w:rsidR="00B230DE" w:rsidRPr="009D4627" w:rsidRDefault="00B230DE" w:rsidP="00281A92">
            <w:pPr>
              <w:autoSpaceDE w:val="0"/>
              <w:autoSpaceDN w:val="0"/>
              <w:adjustRightInd w:val="0"/>
              <w:spacing w:before="0" w:after="0" w:line="360" w:lineRule="auto"/>
              <w:ind w:left="60" w:right="60"/>
              <w:jc w:val="center"/>
              <w:rPr>
                <w:color w:val="010205"/>
                <w:sz w:val="22"/>
                <w:szCs w:val="22"/>
                <w:lang w:val="en-MY"/>
              </w:rPr>
            </w:pPr>
            <w:r w:rsidRPr="009D4627">
              <w:rPr>
                <w:color w:val="010205"/>
                <w:sz w:val="22"/>
                <w:szCs w:val="22"/>
                <w:lang w:val="en-MY"/>
              </w:rPr>
              <w:t>0.39</w:t>
            </w:r>
          </w:p>
        </w:tc>
      </w:tr>
    </w:tbl>
    <w:p w14:paraId="5526A7BF" w14:textId="64FA9FC1" w:rsidR="00705AEF" w:rsidRPr="002A1D0E" w:rsidRDefault="00B230DE" w:rsidP="00882592">
      <w:pPr>
        <w:spacing w:before="0"/>
        <w:jc w:val="center"/>
        <w:rPr>
          <w:color w:val="auto"/>
          <w:lang w:val="en-MY"/>
        </w:rPr>
      </w:pPr>
      <w:r w:rsidRPr="002A1D0E">
        <w:rPr>
          <w:i/>
          <w:iCs/>
          <w:color w:val="auto"/>
        </w:rPr>
        <w:t xml:space="preserve">* </w:t>
      </w:r>
      <w:r w:rsidRPr="002A1D0E">
        <w:rPr>
          <w:color w:val="auto"/>
        </w:rPr>
        <w:t xml:space="preserve">Data are significant at </w:t>
      </w:r>
      <w:r w:rsidRPr="002A1D0E">
        <w:rPr>
          <w:i/>
          <w:iCs/>
          <w:color w:val="auto"/>
        </w:rPr>
        <w:t>p</w:t>
      </w:r>
      <w:r w:rsidRPr="002A1D0E">
        <w:rPr>
          <w:color w:val="auto"/>
        </w:rPr>
        <w:t>&lt;0.05</w:t>
      </w:r>
    </w:p>
    <w:p w14:paraId="7BDA66E5" w14:textId="0BB498C3" w:rsidR="00882592" w:rsidRPr="009D4627" w:rsidRDefault="00882592" w:rsidP="00CA4E90">
      <w:pPr>
        <w:pStyle w:val="Heading4"/>
      </w:pPr>
      <w:bookmarkStart w:id="545" w:name="_Toc98964730"/>
      <w:bookmarkStart w:id="546" w:name="_Toc103344772"/>
      <w:r w:rsidRPr="009D4627">
        <w:t>Linear regression to predict changes of eye movement with time</w:t>
      </w:r>
      <w:bookmarkEnd w:id="545"/>
      <w:bookmarkEnd w:id="546"/>
    </w:p>
    <w:p w14:paraId="17748D1B" w14:textId="63DC7FC8" w:rsidR="00FA3219" w:rsidRPr="009D4627" w:rsidRDefault="00FA3219" w:rsidP="00FA3219">
      <w:r w:rsidRPr="009D4627">
        <w:t xml:space="preserve">A linear regression analysis was run to predict </w:t>
      </w:r>
      <w:r w:rsidR="00393BEB">
        <w:t xml:space="preserve">the changes of the </w:t>
      </w:r>
      <w:r w:rsidRPr="009D4627">
        <w:t xml:space="preserve">vertical saccadic parameters (latency, peak </w:t>
      </w:r>
      <w:proofErr w:type="gramStart"/>
      <w:r w:rsidRPr="009D4627">
        <w:t>velocity</w:t>
      </w:r>
      <w:proofErr w:type="gramEnd"/>
      <w:r w:rsidRPr="009D4627">
        <w:t xml:space="preserve"> and gain) </w:t>
      </w:r>
      <w:r w:rsidR="00393BEB">
        <w:t>across time (i.e., follow-up visits)</w:t>
      </w:r>
      <w:r w:rsidRPr="009D4627">
        <w:t xml:space="preserve">. </w:t>
      </w:r>
      <w:r w:rsidR="0075094A">
        <w:t>The result showed that t</w:t>
      </w:r>
      <w:r w:rsidR="0075094A" w:rsidRPr="0075094A">
        <w:t xml:space="preserve">he follow-up visit </w:t>
      </w:r>
      <w:r w:rsidR="00490898">
        <w:t>is not a strong predictor to</w:t>
      </w:r>
      <w:r w:rsidR="0075094A" w:rsidRPr="0075094A">
        <w:t xml:space="preserve"> predict changes in latency</w:t>
      </w:r>
      <w:r w:rsidR="00E648E0">
        <w:t xml:space="preserve"> </w:t>
      </w:r>
      <w:r w:rsidR="00E648E0">
        <w:rPr>
          <w:rFonts w:eastAsia="Times New Roman"/>
          <w:color w:val="auto"/>
          <w:lang w:eastAsia="en-MY"/>
        </w:rPr>
        <w:t>(</w:t>
      </w:r>
      <w:r w:rsidR="00E648E0">
        <w:t>β = -</w:t>
      </w:r>
      <w:r w:rsidR="00EE5A7B">
        <w:t>1</w:t>
      </w:r>
      <w:r w:rsidR="00E648E0">
        <w:t>.0</w:t>
      </w:r>
      <w:r w:rsidR="00EE5A7B">
        <w:t>35</w:t>
      </w:r>
      <w:r w:rsidR="00E648E0">
        <w:t xml:space="preserve">, </w:t>
      </w:r>
      <w:r w:rsidR="00E648E0" w:rsidRPr="00EE5A21">
        <w:rPr>
          <w:i/>
          <w:iCs/>
        </w:rPr>
        <w:t>p</w:t>
      </w:r>
      <w:r w:rsidR="00E648E0">
        <w:t xml:space="preserve"> = 0.0</w:t>
      </w:r>
      <w:r w:rsidR="00EE5A7B">
        <w:t>2</w:t>
      </w:r>
      <w:r w:rsidR="00E648E0">
        <w:t xml:space="preserve">, </w:t>
      </w:r>
      <w:r w:rsidR="00E648E0" w:rsidRPr="00191DDF">
        <w:rPr>
          <w:i/>
          <w:iCs/>
        </w:rPr>
        <w:t>R</w:t>
      </w:r>
      <w:r w:rsidR="00E648E0" w:rsidRPr="00191DDF">
        <w:rPr>
          <w:vertAlign w:val="superscript"/>
        </w:rPr>
        <w:t>2</w:t>
      </w:r>
      <w:r w:rsidR="00E648E0">
        <w:t xml:space="preserve"> = 0.0</w:t>
      </w:r>
      <w:r w:rsidR="006D60F3">
        <w:t>10</w:t>
      </w:r>
      <w:r w:rsidR="00E648E0">
        <w:t>)</w:t>
      </w:r>
      <w:r w:rsidR="00393BEB">
        <w:t>, peak velocity</w:t>
      </w:r>
      <w:r w:rsidR="00E648E0">
        <w:t xml:space="preserve"> </w:t>
      </w:r>
      <w:r w:rsidR="00E648E0">
        <w:rPr>
          <w:rFonts w:eastAsia="Times New Roman"/>
          <w:color w:val="auto"/>
          <w:lang w:eastAsia="en-MY"/>
        </w:rPr>
        <w:t>(</w:t>
      </w:r>
      <w:r w:rsidR="00E648E0">
        <w:t xml:space="preserve">β = </w:t>
      </w:r>
      <w:r w:rsidR="006D60F3">
        <w:t>1.</w:t>
      </w:r>
      <w:r w:rsidR="00E648E0">
        <w:t>1</w:t>
      </w:r>
      <w:r w:rsidR="006D60F3">
        <w:t>19</w:t>
      </w:r>
      <w:r w:rsidR="00E648E0">
        <w:t xml:space="preserve">, </w:t>
      </w:r>
      <w:r w:rsidR="00E648E0" w:rsidRPr="00EE5A21">
        <w:rPr>
          <w:i/>
          <w:iCs/>
        </w:rPr>
        <w:t>p</w:t>
      </w:r>
      <w:r w:rsidR="00E648E0">
        <w:t xml:space="preserve"> = 0.</w:t>
      </w:r>
      <w:r w:rsidR="006D60F3">
        <w:t>31</w:t>
      </w:r>
      <w:r w:rsidR="00E648E0">
        <w:t xml:space="preserve">, </w:t>
      </w:r>
      <w:r w:rsidR="00E648E0" w:rsidRPr="00191DDF">
        <w:rPr>
          <w:i/>
          <w:iCs/>
        </w:rPr>
        <w:t>R</w:t>
      </w:r>
      <w:r w:rsidR="00E648E0" w:rsidRPr="00191DDF">
        <w:rPr>
          <w:vertAlign w:val="superscript"/>
        </w:rPr>
        <w:t>2</w:t>
      </w:r>
      <w:r w:rsidR="00E648E0">
        <w:t xml:space="preserve"> = 0.00</w:t>
      </w:r>
      <w:r w:rsidR="006D60F3">
        <w:t>2</w:t>
      </w:r>
      <w:r w:rsidR="00E648E0">
        <w:t>)</w:t>
      </w:r>
      <w:r w:rsidR="00393BEB">
        <w:t xml:space="preserve"> and gain </w:t>
      </w:r>
      <w:r w:rsidR="00E648E0">
        <w:rPr>
          <w:rFonts w:eastAsia="Times New Roman"/>
          <w:color w:val="auto"/>
          <w:lang w:eastAsia="en-MY"/>
        </w:rPr>
        <w:t>(</w:t>
      </w:r>
      <w:r w:rsidR="00E648E0">
        <w:t xml:space="preserve">β = </w:t>
      </w:r>
      <w:r w:rsidR="006D60F3">
        <w:t>0.004</w:t>
      </w:r>
      <w:r w:rsidR="00E648E0">
        <w:t xml:space="preserve">, </w:t>
      </w:r>
      <w:r w:rsidR="00E648E0" w:rsidRPr="00EE5A21">
        <w:rPr>
          <w:i/>
          <w:iCs/>
        </w:rPr>
        <w:t>p</w:t>
      </w:r>
      <w:r w:rsidR="00E648E0">
        <w:t xml:space="preserve"> = 0.</w:t>
      </w:r>
      <w:r w:rsidR="006D60F3">
        <w:t>15</w:t>
      </w:r>
      <w:r w:rsidR="00E648E0">
        <w:t xml:space="preserve">, </w:t>
      </w:r>
      <w:r w:rsidR="00E648E0" w:rsidRPr="00191DDF">
        <w:rPr>
          <w:i/>
          <w:iCs/>
        </w:rPr>
        <w:t>R</w:t>
      </w:r>
      <w:r w:rsidR="00E648E0" w:rsidRPr="00191DDF">
        <w:rPr>
          <w:vertAlign w:val="superscript"/>
        </w:rPr>
        <w:t>2</w:t>
      </w:r>
      <w:r w:rsidR="00E648E0">
        <w:t xml:space="preserve"> = 0.004)</w:t>
      </w:r>
      <w:r w:rsidR="0075094A">
        <w:t>.</w:t>
      </w:r>
    </w:p>
    <w:p w14:paraId="3DBE99FD" w14:textId="45DFDB97" w:rsidR="00882592" w:rsidRPr="009D4627" w:rsidRDefault="00882592" w:rsidP="00CA4E90">
      <w:pPr>
        <w:pStyle w:val="Heading4"/>
      </w:pPr>
      <w:bookmarkStart w:id="547" w:name="_Toc98964731"/>
      <w:bookmarkStart w:id="548" w:name="_Toc103344773"/>
      <w:r w:rsidRPr="009D4627">
        <w:t>One-sample t-test to observe the recovery of eye movements</w:t>
      </w:r>
      <w:bookmarkEnd w:id="547"/>
      <w:bookmarkEnd w:id="548"/>
    </w:p>
    <w:p w14:paraId="15223EF9" w14:textId="248D6F3B" w:rsidR="00C44472" w:rsidRPr="009D4627" w:rsidRDefault="00C44472" w:rsidP="00FA3219">
      <w:r w:rsidRPr="009D4627">
        <w:t xml:space="preserve">Finally, a one-sample t-test was used to compare the patients' vertical saccadic performance throughout five visits to the control group's performance (Table 5.13). The control </w:t>
      </w:r>
      <w:r w:rsidR="00903D0C" w:rsidRPr="009D4627">
        <w:t xml:space="preserve">group's </w:t>
      </w:r>
      <w:r w:rsidRPr="009D4627">
        <w:t xml:space="preserve">mean vertical saccade parameters were calculated by taking the average of the data acquired at three upward amplitudes and three downward amplitudes in the control group. </w:t>
      </w:r>
      <w:r w:rsidR="00AD6FF8" w:rsidRPr="009D4627">
        <w:t xml:space="preserve">All vertical saccadic parameters of ONP patients were </w:t>
      </w:r>
      <w:proofErr w:type="gramStart"/>
      <w:r w:rsidR="00AD6FF8" w:rsidRPr="009D4627">
        <w:t>similar to</w:t>
      </w:r>
      <w:proofErr w:type="gramEnd"/>
      <w:r w:rsidR="00AD6FF8" w:rsidRPr="009D4627">
        <w:t xml:space="preserve"> the control group at 16 weeks of onset, even though there were some fluctuations during the recovery period.  </w:t>
      </w:r>
    </w:p>
    <w:p w14:paraId="1B4A2436" w14:textId="2533FE7B" w:rsidR="00C44472" w:rsidRPr="009D4627" w:rsidRDefault="00C44472" w:rsidP="00C4130D">
      <w:pPr>
        <w:pStyle w:val="Caption"/>
        <w:rPr>
          <w:rFonts w:eastAsia="Times New Roman"/>
          <w:color w:val="auto"/>
        </w:rPr>
      </w:pPr>
      <w:bookmarkStart w:id="549" w:name="_Toc99378027"/>
      <w:r w:rsidRPr="009D4627">
        <w:lastRenderedPageBreak/>
        <w:t>Table 5.</w:t>
      </w:r>
      <w:r w:rsidRPr="009D4627">
        <w:fldChar w:fldCharType="begin"/>
      </w:r>
      <w:r w:rsidRPr="009D4627">
        <w:instrText xml:space="preserve"> SEQ Table_5. \* ARABIC </w:instrText>
      </w:r>
      <w:r w:rsidRPr="009D4627">
        <w:fldChar w:fldCharType="separate"/>
      </w:r>
      <w:r w:rsidR="00E268F6">
        <w:rPr>
          <w:noProof/>
        </w:rPr>
        <w:t>13</w:t>
      </w:r>
      <w:r w:rsidRPr="009D4627">
        <w:fldChar w:fldCharType="end"/>
      </w:r>
      <w:r w:rsidRPr="009D4627">
        <w:t xml:space="preserve">: One-sample t-test comparing the affected eyes vertical saccadic parameters </w:t>
      </w:r>
      <w:r w:rsidR="00426AAC">
        <w:t xml:space="preserve">(upward=UP and downward=DN) </w:t>
      </w:r>
      <w:r w:rsidRPr="009D4627">
        <w:t xml:space="preserve">on five visits </w:t>
      </w:r>
      <w:r w:rsidR="00426AAC">
        <w:t xml:space="preserve">(V1-V5) </w:t>
      </w:r>
      <w:r w:rsidRPr="009D4627">
        <w:t>with the control group.</w:t>
      </w:r>
      <w:bookmarkEnd w:id="549"/>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4"/>
        <w:gridCol w:w="1413"/>
        <w:gridCol w:w="1135"/>
        <w:gridCol w:w="904"/>
        <w:gridCol w:w="1392"/>
        <w:gridCol w:w="1498"/>
      </w:tblGrid>
      <w:tr w:rsidR="00C44472" w:rsidRPr="009D4627" w14:paraId="7E65FAB4" w14:textId="77777777" w:rsidTr="002A1D0E">
        <w:trPr>
          <w:jc w:val="center"/>
        </w:trPr>
        <w:tc>
          <w:tcPr>
            <w:tcW w:w="1486" w:type="pct"/>
            <w:tcBorders>
              <w:top w:val="single" w:sz="4" w:space="0" w:color="auto"/>
              <w:bottom w:val="single" w:sz="4" w:space="0" w:color="auto"/>
            </w:tcBorders>
          </w:tcPr>
          <w:p w14:paraId="065BDEB9" w14:textId="77777777" w:rsidR="00C44472" w:rsidRPr="009D4627" w:rsidRDefault="00C44472" w:rsidP="00281A92">
            <w:pPr>
              <w:spacing w:before="0" w:after="0" w:line="360" w:lineRule="auto"/>
              <w:rPr>
                <w:rFonts w:eastAsia="Times New Roman"/>
                <w:color w:val="auto"/>
                <w:sz w:val="22"/>
                <w:szCs w:val="22"/>
                <w:lang w:eastAsia="en-MY"/>
              </w:rPr>
            </w:pPr>
          </w:p>
        </w:tc>
        <w:tc>
          <w:tcPr>
            <w:tcW w:w="783" w:type="pct"/>
            <w:tcBorders>
              <w:top w:val="single" w:sz="4" w:space="0" w:color="auto"/>
              <w:bottom w:val="single" w:sz="4" w:space="0" w:color="auto"/>
            </w:tcBorders>
          </w:tcPr>
          <w:p w14:paraId="0D7C0E0A" w14:textId="77777777" w:rsidR="00C44472" w:rsidRPr="009D4627" w:rsidRDefault="00C44472"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Test value</w:t>
            </w:r>
          </w:p>
        </w:tc>
        <w:tc>
          <w:tcPr>
            <w:tcW w:w="629" w:type="pct"/>
            <w:tcBorders>
              <w:top w:val="single" w:sz="4" w:space="0" w:color="auto"/>
              <w:bottom w:val="single" w:sz="4" w:space="0" w:color="auto"/>
            </w:tcBorders>
          </w:tcPr>
          <w:p w14:paraId="6B335D43" w14:textId="77777777" w:rsidR="00C44472" w:rsidRPr="00160B34" w:rsidRDefault="00C44472" w:rsidP="00281A92">
            <w:pPr>
              <w:spacing w:before="0" w:after="0" w:line="360" w:lineRule="auto"/>
              <w:jc w:val="left"/>
              <w:rPr>
                <w:rFonts w:eastAsia="Times New Roman"/>
                <w:i/>
                <w:iCs/>
                <w:color w:val="auto"/>
                <w:sz w:val="22"/>
                <w:szCs w:val="22"/>
                <w:lang w:eastAsia="en-MY"/>
              </w:rPr>
            </w:pPr>
            <w:r w:rsidRPr="00160B34">
              <w:rPr>
                <w:rFonts w:eastAsia="Times New Roman"/>
                <w:i/>
                <w:iCs/>
                <w:color w:val="auto"/>
                <w:sz w:val="22"/>
                <w:szCs w:val="22"/>
                <w:lang w:eastAsia="en-MY"/>
              </w:rPr>
              <w:t>t</w:t>
            </w:r>
          </w:p>
        </w:tc>
        <w:tc>
          <w:tcPr>
            <w:tcW w:w="501" w:type="pct"/>
            <w:tcBorders>
              <w:top w:val="single" w:sz="4" w:space="0" w:color="auto"/>
              <w:bottom w:val="single" w:sz="4" w:space="0" w:color="auto"/>
            </w:tcBorders>
          </w:tcPr>
          <w:p w14:paraId="2C8DC60E" w14:textId="77777777" w:rsidR="00C44472" w:rsidRPr="009D4627" w:rsidRDefault="00C44472"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df</w:t>
            </w:r>
          </w:p>
        </w:tc>
        <w:tc>
          <w:tcPr>
            <w:tcW w:w="771" w:type="pct"/>
            <w:tcBorders>
              <w:top w:val="single" w:sz="4" w:space="0" w:color="auto"/>
              <w:bottom w:val="single" w:sz="4" w:space="0" w:color="auto"/>
            </w:tcBorders>
          </w:tcPr>
          <w:p w14:paraId="55F3E485" w14:textId="77777777" w:rsidR="00C44472" w:rsidRPr="009D4627" w:rsidRDefault="00C44472" w:rsidP="00281A92">
            <w:pPr>
              <w:spacing w:before="0" w:after="0" w:line="360" w:lineRule="auto"/>
              <w:rPr>
                <w:rFonts w:eastAsia="Times New Roman"/>
                <w:color w:val="auto"/>
                <w:sz w:val="22"/>
                <w:szCs w:val="22"/>
                <w:lang w:eastAsia="en-MY"/>
              </w:rPr>
            </w:pPr>
            <w:r w:rsidRPr="00160B34">
              <w:rPr>
                <w:rFonts w:eastAsia="Times New Roman"/>
                <w:i/>
                <w:iCs/>
                <w:color w:val="auto"/>
                <w:sz w:val="22"/>
                <w:szCs w:val="22"/>
                <w:lang w:eastAsia="en-MY"/>
              </w:rPr>
              <w:t>p</w:t>
            </w:r>
            <w:r w:rsidRPr="009D4627">
              <w:rPr>
                <w:rFonts w:eastAsia="Times New Roman"/>
                <w:color w:val="auto"/>
                <w:sz w:val="22"/>
                <w:szCs w:val="22"/>
                <w:lang w:eastAsia="en-MY"/>
              </w:rPr>
              <w:t>-value</w:t>
            </w:r>
          </w:p>
        </w:tc>
        <w:tc>
          <w:tcPr>
            <w:tcW w:w="831" w:type="pct"/>
            <w:tcBorders>
              <w:top w:val="single" w:sz="4" w:space="0" w:color="auto"/>
              <w:bottom w:val="single" w:sz="4" w:space="0" w:color="auto"/>
            </w:tcBorders>
          </w:tcPr>
          <w:p w14:paraId="0892AF91" w14:textId="77777777" w:rsidR="00C44472" w:rsidRPr="009D4627" w:rsidRDefault="00C44472" w:rsidP="00281A9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Mean diff.</w:t>
            </w:r>
          </w:p>
        </w:tc>
      </w:tr>
      <w:tr w:rsidR="00C44472" w:rsidRPr="009D4627" w14:paraId="547DEEA0" w14:textId="77777777" w:rsidTr="002A1D0E">
        <w:trPr>
          <w:jc w:val="center"/>
        </w:trPr>
        <w:tc>
          <w:tcPr>
            <w:tcW w:w="1486" w:type="pct"/>
            <w:tcBorders>
              <w:top w:val="single" w:sz="4" w:space="0" w:color="auto"/>
            </w:tcBorders>
          </w:tcPr>
          <w:p w14:paraId="294FD1F7" w14:textId="06C63A67"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_DN</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V1</w:t>
            </w:r>
          </w:p>
        </w:tc>
        <w:tc>
          <w:tcPr>
            <w:tcW w:w="783" w:type="pct"/>
            <w:vMerge w:val="restart"/>
            <w:tcBorders>
              <w:top w:val="single" w:sz="4" w:space="0" w:color="auto"/>
            </w:tcBorders>
          </w:tcPr>
          <w:p w14:paraId="7636ACE5" w14:textId="29A8C029"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231</w:t>
            </w:r>
          </w:p>
        </w:tc>
        <w:tc>
          <w:tcPr>
            <w:tcW w:w="629" w:type="pct"/>
            <w:tcBorders>
              <w:top w:val="single" w:sz="4" w:space="0" w:color="auto"/>
            </w:tcBorders>
          </w:tcPr>
          <w:p w14:paraId="2A93C7ED" w14:textId="0988D2DB"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3.50</w:t>
            </w:r>
          </w:p>
        </w:tc>
        <w:tc>
          <w:tcPr>
            <w:tcW w:w="501" w:type="pct"/>
            <w:tcBorders>
              <w:top w:val="single" w:sz="4" w:space="0" w:color="auto"/>
            </w:tcBorders>
          </w:tcPr>
          <w:p w14:paraId="026996F5" w14:textId="71DCCD8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Borders>
              <w:top w:val="single" w:sz="4" w:space="0" w:color="auto"/>
            </w:tcBorders>
          </w:tcPr>
          <w:p w14:paraId="27D0EFE6" w14:textId="2E2F2F8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&lt;0.01*</w:t>
            </w:r>
          </w:p>
        </w:tc>
        <w:tc>
          <w:tcPr>
            <w:tcW w:w="831" w:type="pct"/>
            <w:tcBorders>
              <w:top w:val="single" w:sz="4" w:space="0" w:color="auto"/>
            </w:tcBorders>
          </w:tcPr>
          <w:p w14:paraId="15901B8F" w14:textId="09FA3261"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35.65</w:t>
            </w:r>
          </w:p>
        </w:tc>
      </w:tr>
      <w:tr w:rsidR="00C44472" w:rsidRPr="009D4627" w14:paraId="4E1F2A90" w14:textId="77777777" w:rsidTr="002A1D0E">
        <w:trPr>
          <w:jc w:val="center"/>
        </w:trPr>
        <w:tc>
          <w:tcPr>
            <w:tcW w:w="1486" w:type="pct"/>
          </w:tcPr>
          <w:p w14:paraId="7E385A5F" w14:textId="7C6BA8A3"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_DN</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V2</w:t>
            </w:r>
          </w:p>
        </w:tc>
        <w:tc>
          <w:tcPr>
            <w:tcW w:w="783" w:type="pct"/>
            <w:vMerge/>
          </w:tcPr>
          <w:p w14:paraId="52EFDE14"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572790F0" w14:textId="4844DAEE"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2.89</w:t>
            </w:r>
          </w:p>
        </w:tc>
        <w:tc>
          <w:tcPr>
            <w:tcW w:w="501" w:type="pct"/>
          </w:tcPr>
          <w:p w14:paraId="23F021B4" w14:textId="2F2C60E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4E49BA0D" w14:textId="658F24B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0.02*</w:t>
            </w:r>
          </w:p>
        </w:tc>
        <w:tc>
          <w:tcPr>
            <w:tcW w:w="831" w:type="pct"/>
          </w:tcPr>
          <w:p w14:paraId="7D735F62" w14:textId="7B399A58"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58.75</w:t>
            </w:r>
          </w:p>
        </w:tc>
      </w:tr>
      <w:tr w:rsidR="00C44472" w:rsidRPr="009D4627" w14:paraId="02855CEC" w14:textId="77777777" w:rsidTr="002A1D0E">
        <w:trPr>
          <w:jc w:val="center"/>
        </w:trPr>
        <w:tc>
          <w:tcPr>
            <w:tcW w:w="1486" w:type="pct"/>
          </w:tcPr>
          <w:p w14:paraId="1CB0A8D0" w14:textId="50A5F24E"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_DN</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V3</w:t>
            </w:r>
          </w:p>
        </w:tc>
        <w:tc>
          <w:tcPr>
            <w:tcW w:w="783" w:type="pct"/>
            <w:vMerge/>
          </w:tcPr>
          <w:p w14:paraId="4048E684"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47C01D36" w14:textId="51D12AD4"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3.88</w:t>
            </w:r>
          </w:p>
        </w:tc>
        <w:tc>
          <w:tcPr>
            <w:tcW w:w="501" w:type="pct"/>
          </w:tcPr>
          <w:p w14:paraId="302D707E" w14:textId="397F1F18"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5A415D60" w14:textId="5536016D"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831" w:type="pct"/>
          </w:tcPr>
          <w:p w14:paraId="18A81048" w14:textId="7B34D0A2"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53.90</w:t>
            </w:r>
          </w:p>
        </w:tc>
      </w:tr>
      <w:tr w:rsidR="00C44472" w:rsidRPr="009D4627" w14:paraId="38349C4A" w14:textId="77777777" w:rsidTr="002A1D0E">
        <w:trPr>
          <w:jc w:val="center"/>
        </w:trPr>
        <w:tc>
          <w:tcPr>
            <w:tcW w:w="1486" w:type="pct"/>
          </w:tcPr>
          <w:p w14:paraId="514A7724" w14:textId="1A808CCA"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V4</w:t>
            </w:r>
          </w:p>
        </w:tc>
        <w:tc>
          <w:tcPr>
            <w:tcW w:w="783" w:type="pct"/>
            <w:vMerge/>
          </w:tcPr>
          <w:p w14:paraId="30C97CC5"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3CC45022" w14:textId="685D5454"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2.60</w:t>
            </w:r>
          </w:p>
        </w:tc>
        <w:tc>
          <w:tcPr>
            <w:tcW w:w="501" w:type="pct"/>
          </w:tcPr>
          <w:p w14:paraId="5242F587" w14:textId="7D80FB47"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8</w:t>
            </w:r>
          </w:p>
        </w:tc>
        <w:tc>
          <w:tcPr>
            <w:tcW w:w="771" w:type="pct"/>
          </w:tcPr>
          <w:p w14:paraId="6DD21954" w14:textId="1D827BCC"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0.03*</w:t>
            </w:r>
          </w:p>
        </w:tc>
        <w:tc>
          <w:tcPr>
            <w:tcW w:w="831" w:type="pct"/>
          </w:tcPr>
          <w:p w14:paraId="30228AD3" w14:textId="66A0DE5C"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51.11</w:t>
            </w:r>
          </w:p>
        </w:tc>
      </w:tr>
      <w:tr w:rsidR="00C44472" w:rsidRPr="009D4627" w14:paraId="2865F1E6" w14:textId="77777777" w:rsidTr="002A1D0E">
        <w:trPr>
          <w:jc w:val="center"/>
        </w:trPr>
        <w:tc>
          <w:tcPr>
            <w:tcW w:w="1486" w:type="pct"/>
            <w:tcBorders>
              <w:bottom w:val="single" w:sz="4" w:space="0" w:color="auto"/>
            </w:tcBorders>
          </w:tcPr>
          <w:p w14:paraId="555CA257" w14:textId="2C8920D8"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V5</w:t>
            </w:r>
          </w:p>
        </w:tc>
        <w:tc>
          <w:tcPr>
            <w:tcW w:w="783" w:type="pct"/>
            <w:vMerge/>
            <w:tcBorders>
              <w:bottom w:val="single" w:sz="4" w:space="0" w:color="auto"/>
            </w:tcBorders>
          </w:tcPr>
          <w:p w14:paraId="5DCCCD2E"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Borders>
              <w:bottom w:val="single" w:sz="4" w:space="0" w:color="auto"/>
            </w:tcBorders>
          </w:tcPr>
          <w:p w14:paraId="14E834EE" w14:textId="3D491E79"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0.49</w:t>
            </w:r>
          </w:p>
        </w:tc>
        <w:tc>
          <w:tcPr>
            <w:tcW w:w="501" w:type="pct"/>
            <w:tcBorders>
              <w:bottom w:val="single" w:sz="4" w:space="0" w:color="auto"/>
            </w:tcBorders>
          </w:tcPr>
          <w:p w14:paraId="2B43526C" w14:textId="080E6DD5"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7</w:t>
            </w:r>
          </w:p>
        </w:tc>
        <w:tc>
          <w:tcPr>
            <w:tcW w:w="771" w:type="pct"/>
            <w:tcBorders>
              <w:bottom w:val="single" w:sz="4" w:space="0" w:color="auto"/>
            </w:tcBorders>
          </w:tcPr>
          <w:p w14:paraId="50BDC968" w14:textId="58711EB9"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0.64</w:t>
            </w:r>
          </w:p>
        </w:tc>
        <w:tc>
          <w:tcPr>
            <w:tcW w:w="831" w:type="pct"/>
            <w:tcBorders>
              <w:bottom w:val="single" w:sz="4" w:space="0" w:color="auto"/>
            </w:tcBorders>
          </w:tcPr>
          <w:p w14:paraId="1BE48242" w14:textId="43658C68"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9.44</w:t>
            </w:r>
          </w:p>
        </w:tc>
      </w:tr>
      <w:tr w:rsidR="00C44472" w:rsidRPr="009D4627" w14:paraId="402B0629" w14:textId="77777777" w:rsidTr="002A1D0E">
        <w:trPr>
          <w:jc w:val="center"/>
        </w:trPr>
        <w:tc>
          <w:tcPr>
            <w:tcW w:w="1486" w:type="pct"/>
            <w:tcBorders>
              <w:top w:val="single" w:sz="4" w:space="0" w:color="auto"/>
            </w:tcBorders>
          </w:tcPr>
          <w:p w14:paraId="0319EE1F" w14:textId="0D665219"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Latency</w:t>
            </w:r>
            <w:r w:rsidR="002A1D0E">
              <w:rPr>
                <w:rFonts w:eastAsia="Times New Roman"/>
                <w:color w:val="auto"/>
                <w:sz w:val="22"/>
                <w:szCs w:val="22"/>
                <w:lang w:eastAsia="en-MY"/>
              </w:rPr>
              <w:t>_UP</w:t>
            </w:r>
            <w:r w:rsidRPr="009D4627">
              <w:rPr>
                <w:rFonts w:eastAsia="Times New Roman"/>
                <w:color w:val="auto"/>
                <w:sz w:val="22"/>
                <w:szCs w:val="22"/>
                <w:lang w:eastAsia="en-MY"/>
              </w:rPr>
              <w:t>_V1</w:t>
            </w:r>
          </w:p>
        </w:tc>
        <w:tc>
          <w:tcPr>
            <w:tcW w:w="783" w:type="pct"/>
            <w:tcBorders>
              <w:top w:val="single" w:sz="4" w:space="0" w:color="auto"/>
            </w:tcBorders>
          </w:tcPr>
          <w:p w14:paraId="14D0C12E" w14:textId="73254C94"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201</w:t>
            </w:r>
          </w:p>
        </w:tc>
        <w:tc>
          <w:tcPr>
            <w:tcW w:w="629" w:type="pct"/>
            <w:tcBorders>
              <w:top w:val="single" w:sz="4" w:space="0" w:color="auto"/>
            </w:tcBorders>
          </w:tcPr>
          <w:p w14:paraId="278FB1BE" w14:textId="6AE5A797"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4.32</w:t>
            </w:r>
          </w:p>
        </w:tc>
        <w:tc>
          <w:tcPr>
            <w:tcW w:w="501" w:type="pct"/>
            <w:tcBorders>
              <w:top w:val="single" w:sz="4" w:space="0" w:color="auto"/>
            </w:tcBorders>
          </w:tcPr>
          <w:p w14:paraId="4EA2A110" w14:textId="03BAE2E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Borders>
              <w:top w:val="single" w:sz="4" w:space="0" w:color="auto"/>
            </w:tcBorders>
          </w:tcPr>
          <w:p w14:paraId="5009B0E3" w14:textId="5AF26AB1"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&lt;0.01*</w:t>
            </w:r>
          </w:p>
        </w:tc>
        <w:tc>
          <w:tcPr>
            <w:tcW w:w="831" w:type="pct"/>
            <w:tcBorders>
              <w:top w:val="single" w:sz="4" w:space="0" w:color="auto"/>
            </w:tcBorders>
          </w:tcPr>
          <w:p w14:paraId="1ED3D8A5" w14:textId="1F5A5E35"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41.80</w:t>
            </w:r>
          </w:p>
        </w:tc>
      </w:tr>
      <w:tr w:rsidR="00C44472" w:rsidRPr="009D4627" w14:paraId="25E93C6D" w14:textId="77777777" w:rsidTr="002A1D0E">
        <w:trPr>
          <w:jc w:val="center"/>
        </w:trPr>
        <w:tc>
          <w:tcPr>
            <w:tcW w:w="1486" w:type="pct"/>
          </w:tcPr>
          <w:p w14:paraId="0CC8C6E3" w14:textId="1F6038BE"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V2</w:t>
            </w:r>
          </w:p>
        </w:tc>
        <w:tc>
          <w:tcPr>
            <w:tcW w:w="783" w:type="pct"/>
          </w:tcPr>
          <w:p w14:paraId="0D82AF4F"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698C300E" w14:textId="08C17D8C"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1.98</w:t>
            </w:r>
          </w:p>
        </w:tc>
        <w:tc>
          <w:tcPr>
            <w:tcW w:w="501" w:type="pct"/>
          </w:tcPr>
          <w:p w14:paraId="421C786E" w14:textId="017D573A"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Pr>
          <w:p w14:paraId="5944EAA7" w14:textId="709D5A63"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0.08</w:t>
            </w:r>
          </w:p>
        </w:tc>
        <w:tc>
          <w:tcPr>
            <w:tcW w:w="831" w:type="pct"/>
          </w:tcPr>
          <w:p w14:paraId="43EAE894" w14:textId="5DBA2271"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38.55</w:t>
            </w:r>
          </w:p>
        </w:tc>
      </w:tr>
      <w:tr w:rsidR="00C44472" w:rsidRPr="009D4627" w14:paraId="4D99265C" w14:textId="77777777" w:rsidTr="002A1D0E">
        <w:trPr>
          <w:jc w:val="center"/>
        </w:trPr>
        <w:tc>
          <w:tcPr>
            <w:tcW w:w="1486" w:type="pct"/>
          </w:tcPr>
          <w:p w14:paraId="1F948593" w14:textId="1B140839"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V3</w:t>
            </w:r>
          </w:p>
        </w:tc>
        <w:tc>
          <w:tcPr>
            <w:tcW w:w="783" w:type="pct"/>
          </w:tcPr>
          <w:p w14:paraId="1FD52E46"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505CED0D" w14:textId="5ECC891E"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3.28</w:t>
            </w:r>
          </w:p>
        </w:tc>
        <w:tc>
          <w:tcPr>
            <w:tcW w:w="501" w:type="pct"/>
          </w:tcPr>
          <w:p w14:paraId="17FED95A" w14:textId="5DD5AB3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Pr>
          <w:p w14:paraId="26E50C11" w14:textId="026F8BD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0.01*</w:t>
            </w:r>
          </w:p>
        </w:tc>
        <w:tc>
          <w:tcPr>
            <w:tcW w:w="831" w:type="pct"/>
          </w:tcPr>
          <w:p w14:paraId="3C0CAEC2" w14:textId="2510CECF"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45.35</w:t>
            </w:r>
          </w:p>
        </w:tc>
      </w:tr>
      <w:tr w:rsidR="00C44472" w:rsidRPr="009D4627" w14:paraId="489B72FE" w14:textId="77777777" w:rsidTr="002A1D0E">
        <w:trPr>
          <w:jc w:val="center"/>
        </w:trPr>
        <w:tc>
          <w:tcPr>
            <w:tcW w:w="1486" w:type="pct"/>
          </w:tcPr>
          <w:p w14:paraId="74B29C3F" w14:textId="7D79B3F5"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V4</w:t>
            </w:r>
          </w:p>
        </w:tc>
        <w:tc>
          <w:tcPr>
            <w:tcW w:w="783" w:type="pct"/>
          </w:tcPr>
          <w:p w14:paraId="03210B8F"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25C52B5E" w14:textId="1C2BE6A8"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2.71</w:t>
            </w:r>
          </w:p>
        </w:tc>
        <w:tc>
          <w:tcPr>
            <w:tcW w:w="501" w:type="pct"/>
          </w:tcPr>
          <w:p w14:paraId="181D7465" w14:textId="761C8492"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8</w:t>
            </w:r>
          </w:p>
        </w:tc>
        <w:tc>
          <w:tcPr>
            <w:tcW w:w="771" w:type="pct"/>
          </w:tcPr>
          <w:p w14:paraId="3D06F67F" w14:textId="51E41536"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0.03*</w:t>
            </w:r>
          </w:p>
        </w:tc>
        <w:tc>
          <w:tcPr>
            <w:tcW w:w="831" w:type="pct"/>
          </w:tcPr>
          <w:p w14:paraId="4F2B3BA1" w14:textId="65B33596"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23.44</w:t>
            </w:r>
          </w:p>
        </w:tc>
      </w:tr>
      <w:tr w:rsidR="00C44472" w:rsidRPr="009D4627" w14:paraId="641F9E3E" w14:textId="77777777" w:rsidTr="002A1D0E">
        <w:trPr>
          <w:jc w:val="center"/>
        </w:trPr>
        <w:tc>
          <w:tcPr>
            <w:tcW w:w="1486" w:type="pct"/>
            <w:tcBorders>
              <w:bottom w:val="single" w:sz="4" w:space="0" w:color="auto"/>
            </w:tcBorders>
          </w:tcPr>
          <w:p w14:paraId="34EBEE82" w14:textId="7FD31575"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Latency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V5</w:t>
            </w:r>
          </w:p>
        </w:tc>
        <w:tc>
          <w:tcPr>
            <w:tcW w:w="783" w:type="pct"/>
            <w:tcBorders>
              <w:bottom w:val="single" w:sz="4" w:space="0" w:color="auto"/>
            </w:tcBorders>
          </w:tcPr>
          <w:p w14:paraId="5A29CC43"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Borders>
              <w:bottom w:val="single" w:sz="4" w:space="0" w:color="auto"/>
            </w:tcBorders>
          </w:tcPr>
          <w:p w14:paraId="108E1AC8" w14:textId="4469A14C"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1.95</w:t>
            </w:r>
          </w:p>
        </w:tc>
        <w:tc>
          <w:tcPr>
            <w:tcW w:w="501" w:type="pct"/>
            <w:tcBorders>
              <w:bottom w:val="single" w:sz="4" w:space="0" w:color="auto"/>
            </w:tcBorders>
          </w:tcPr>
          <w:p w14:paraId="36A62879" w14:textId="04DFA3DD"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7</w:t>
            </w:r>
          </w:p>
        </w:tc>
        <w:tc>
          <w:tcPr>
            <w:tcW w:w="771" w:type="pct"/>
            <w:tcBorders>
              <w:bottom w:val="single" w:sz="4" w:space="0" w:color="auto"/>
            </w:tcBorders>
          </w:tcPr>
          <w:p w14:paraId="1F6B7E2E" w14:textId="28FCBB3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0.09</w:t>
            </w:r>
          </w:p>
        </w:tc>
        <w:tc>
          <w:tcPr>
            <w:tcW w:w="831" w:type="pct"/>
            <w:tcBorders>
              <w:bottom w:val="single" w:sz="4" w:space="0" w:color="auto"/>
            </w:tcBorders>
          </w:tcPr>
          <w:p w14:paraId="79D4647A" w14:textId="24EFC904"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36.00</w:t>
            </w:r>
          </w:p>
        </w:tc>
      </w:tr>
      <w:tr w:rsidR="00C44472" w:rsidRPr="009D4627" w14:paraId="5970A3A0" w14:textId="77777777" w:rsidTr="002A1D0E">
        <w:trPr>
          <w:jc w:val="center"/>
        </w:trPr>
        <w:tc>
          <w:tcPr>
            <w:tcW w:w="1486" w:type="pct"/>
            <w:tcBorders>
              <w:top w:val="single" w:sz="4" w:space="0" w:color="auto"/>
            </w:tcBorders>
          </w:tcPr>
          <w:p w14:paraId="69FDC8D0" w14:textId="7BDABB29"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V1</w:t>
            </w:r>
          </w:p>
        </w:tc>
        <w:tc>
          <w:tcPr>
            <w:tcW w:w="783" w:type="pct"/>
            <w:vMerge w:val="restart"/>
            <w:tcBorders>
              <w:top w:val="single" w:sz="4" w:space="0" w:color="auto"/>
            </w:tcBorders>
          </w:tcPr>
          <w:p w14:paraId="480DBF9C" w14:textId="5414AC77"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262</w:t>
            </w:r>
          </w:p>
        </w:tc>
        <w:tc>
          <w:tcPr>
            <w:tcW w:w="629" w:type="pct"/>
            <w:tcBorders>
              <w:top w:val="single" w:sz="4" w:space="0" w:color="auto"/>
            </w:tcBorders>
          </w:tcPr>
          <w:p w14:paraId="527C9AAA" w14:textId="2612CDBA"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-2.63</w:t>
            </w:r>
          </w:p>
        </w:tc>
        <w:tc>
          <w:tcPr>
            <w:tcW w:w="501" w:type="pct"/>
            <w:tcBorders>
              <w:top w:val="single" w:sz="4" w:space="0" w:color="auto"/>
            </w:tcBorders>
          </w:tcPr>
          <w:p w14:paraId="1146412E" w14:textId="4C9D64B4"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Borders>
              <w:top w:val="single" w:sz="4" w:space="0" w:color="auto"/>
            </w:tcBorders>
          </w:tcPr>
          <w:p w14:paraId="4F3F37E2" w14:textId="04D4413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0.03*</w:t>
            </w:r>
          </w:p>
        </w:tc>
        <w:tc>
          <w:tcPr>
            <w:tcW w:w="831" w:type="pct"/>
            <w:tcBorders>
              <w:top w:val="single" w:sz="4" w:space="0" w:color="auto"/>
            </w:tcBorders>
          </w:tcPr>
          <w:p w14:paraId="474FBF74" w14:textId="3DBDC275"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-77.11</w:t>
            </w:r>
          </w:p>
        </w:tc>
      </w:tr>
      <w:tr w:rsidR="00C44472" w:rsidRPr="009D4627" w14:paraId="5626EE60" w14:textId="77777777" w:rsidTr="002A1D0E">
        <w:trPr>
          <w:jc w:val="center"/>
        </w:trPr>
        <w:tc>
          <w:tcPr>
            <w:tcW w:w="1486" w:type="pct"/>
          </w:tcPr>
          <w:p w14:paraId="51420CD6" w14:textId="17CFA921"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V2</w:t>
            </w:r>
          </w:p>
        </w:tc>
        <w:tc>
          <w:tcPr>
            <w:tcW w:w="783" w:type="pct"/>
            <w:vMerge/>
          </w:tcPr>
          <w:p w14:paraId="6DF3542B"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2AF0DB13" w14:textId="60DB0525"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-1.84</w:t>
            </w:r>
          </w:p>
        </w:tc>
        <w:tc>
          <w:tcPr>
            <w:tcW w:w="501" w:type="pct"/>
          </w:tcPr>
          <w:p w14:paraId="75113FA4" w14:textId="612A4A00"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31C36B51" w14:textId="00EB519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0.10</w:t>
            </w:r>
          </w:p>
        </w:tc>
        <w:tc>
          <w:tcPr>
            <w:tcW w:w="831" w:type="pct"/>
          </w:tcPr>
          <w:p w14:paraId="30F8DC44" w14:textId="6C6B1BF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-63.98</w:t>
            </w:r>
          </w:p>
        </w:tc>
      </w:tr>
      <w:tr w:rsidR="00C44472" w:rsidRPr="009D4627" w14:paraId="075CBB23" w14:textId="77777777" w:rsidTr="002A1D0E">
        <w:trPr>
          <w:jc w:val="center"/>
        </w:trPr>
        <w:tc>
          <w:tcPr>
            <w:tcW w:w="1486" w:type="pct"/>
          </w:tcPr>
          <w:p w14:paraId="2E93B244" w14:textId="55E1FF76"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V3</w:t>
            </w:r>
          </w:p>
        </w:tc>
        <w:tc>
          <w:tcPr>
            <w:tcW w:w="783" w:type="pct"/>
            <w:vMerge/>
          </w:tcPr>
          <w:p w14:paraId="732AA8ED"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469F7E37" w14:textId="5449D941"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-2.21</w:t>
            </w:r>
          </w:p>
        </w:tc>
        <w:tc>
          <w:tcPr>
            <w:tcW w:w="501" w:type="pct"/>
          </w:tcPr>
          <w:p w14:paraId="6FB9D008" w14:textId="185B05BC"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466EAAC2" w14:textId="2BE8C3AD"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0.06</w:t>
            </w:r>
          </w:p>
        </w:tc>
        <w:tc>
          <w:tcPr>
            <w:tcW w:w="831" w:type="pct"/>
          </w:tcPr>
          <w:p w14:paraId="1E99A507" w14:textId="0D918F8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-70.82</w:t>
            </w:r>
          </w:p>
        </w:tc>
      </w:tr>
      <w:tr w:rsidR="00C44472" w:rsidRPr="009D4627" w14:paraId="73EF6E6F" w14:textId="77777777" w:rsidTr="002A1D0E">
        <w:trPr>
          <w:jc w:val="center"/>
        </w:trPr>
        <w:tc>
          <w:tcPr>
            <w:tcW w:w="1486" w:type="pct"/>
          </w:tcPr>
          <w:p w14:paraId="0B83ED08" w14:textId="4C8F10AF"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V4</w:t>
            </w:r>
          </w:p>
        </w:tc>
        <w:tc>
          <w:tcPr>
            <w:tcW w:w="783" w:type="pct"/>
            <w:vMerge/>
          </w:tcPr>
          <w:p w14:paraId="5F29120A"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45A5E412" w14:textId="4F59D9FA"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-1.47</w:t>
            </w:r>
          </w:p>
        </w:tc>
        <w:tc>
          <w:tcPr>
            <w:tcW w:w="501" w:type="pct"/>
          </w:tcPr>
          <w:p w14:paraId="082B6999" w14:textId="33876005"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8</w:t>
            </w:r>
          </w:p>
        </w:tc>
        <w:tc>
          <w:tcPr>
            <w:tcW w:w="771" w:type="pct"/>
          </w:tcPr>
          <w:p w14:paraId="047ECB02" w14:textId="3179CAFB"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0.18</w:t>
            </w:r>
          </w:p>
        </w:tc>
        <w:tc>
          <w:tcPr>
            <w:tcW w:w="831" w:type="pct"/>
          </w:tcPr>
          <w:p w14:paraId="0F3EB697" w14:textId="2B14924D"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-51.52</w:t>
            </w:r>
          </w:p>
        </w:tc>
      </w:tr>
      <w:tr w:rsidR="00C44472" w:rsidRPr="009D4627" w14:paraId="59FA2F30" w14:textId="77777777" w:rsidTr="002A1D0E">
        <w:trPr>
          <w:jc w:val="center"/>
        </w:trPr>
        <w:tc>
          <w:tcPr>
            <w:tcW w:w="1486" w:type="pct"/>
            <w:tcBorders>
              <w:bottom w:val="single" w:sz="4" w:space="0" w:color="auto"/>
            </w:tcBorders>
          </w:tcPr>
          <w:p w14:paraId="436C7F47" w14:textId="41B5BA55"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V5</w:t>
            </w:r>
          </w:p>
        </w:tc>
        <w:tc>
          <w:tcPr>
            <w:tcW w:w="783" w:type="pct"/>
            <w:vMerge/>
            <w:tcBorders>
              <w:bottom w:val="single" w:sz="4" w:space="0" w:color="auto"/>
            </w:tcBorders>
          </w:tcPr>
          <w:p w14:paraId="345B9073"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Borders>
              <w:bottom w:val="single" w:sz="4" w:space="0" w:color="auto"/>
            </w:tcBorders>
          </w:tcPr>
          <w:p w14:paraId="37C15475" w14:textId="1E03C327"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-2.05</w:t>
            </w:r>
          </w:p>
        </w:tc>
        <w:tc>
          <w:tcPr>
            <w:tcW w:w="501" w:type="pct"/>
            <w:tcBorders>
              <w:bottom w:val="single" w:sz="4" w:space="0" w:color="auto"/>
            </w:tcBorders>
          </w:tcPr>
          <w:p w14:paraId="0ED1EDB0" w14:textId="61DA013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771" w:type="pct"/>
            <w:tcBorders>
              <w:bottom w:val="single" w:sz="4" w:space="0" w:color="auto"/>
            </w:tcBorders>
          </w:tcPr>
          <w:p w14:paraId="269842F8" w14:textId="57BF7218"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0.08</w:t>
            </w:r>
          </w:p>
        </w:tc>
        <w:tc>
          <w:tcPr>
            <w:tcW w:w="831" w:type="pct"/>
            <w:tcBorders>
              <w:bottom w:val="single" w:sz="4" w:space="0" w:color="auto"/>
            </w:tcBorders>
          </w:tcPr>
          <w:p w14:paraId="3A4DE941" w14:textId="245EACE2"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-71.54</w:t>
            </w:r>
          </w:p>
        </w:tc>
      </w:tr>
      <w:tr w:rsidR="00C44472" w:rsidRPr="009D4627" w14:paraId="2ACB7B31" w14:textId="77777777" w:rsidTr="002A1D0E">
        <w:trPr>
          <w:jc w:val="center"/>
        </w:trPr>
        <w:tc>
          <w:tcPr>
            <w:tcW w:w="1486" w:type="pct"/>
            <w:tcBorders>
              <w:top w:val="single" w:sz="4" w:space="0" w:color="auto"/>
            </w:tcBorders>
          </w:tcPr>
          <w:p w14:paraId="1EE898F0" w14:textId="0323B2B5"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V1</w:t>
            </w:r>
          </w:p>
        </w:tc>
        <w:tc>
          <w:tcPr>
            <w:tcW w:w="783" w:type="pct"/>
            <w:tcBorders>
              <w:top w:val="single" w:sz="4" w:space="0" w:color="auto"/>
            </w:tcBorders>
          </w:tcPr>
          <w:p w14:paraId="5C3FF219" w14:textId="1D9D1FFF"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246</w:t>
            </w:r>
          </w:p>
        </w:tc>
        <w:tc>
          <w:tcPr>
            <w:tcW w:w="629" w:type="pct"/>
            <w:tcBorders>
              <w:top w:val="single" w:sz="4" w:space="0" w:color="auto"/>
            </w:tcBorders>
          </w:tcPr>
          <w:p w14:paraId="1C378ACB" w14:textId="3C690ADF"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-4.71</w:t>
            </w:r>
          </w:p>
        </w:tc>
        <w:tc>
          <w:tcPr>
            <w:tcW w:w="501" w:type="pct"/>
            <w:tcBorders>
              <w:top w:val="single" w:sz="4" w:space="0" w:color="auto"/>
            </w:tcBorders>
          </w:tcPr>
          <w:p w14:paraId="19D43BD4" w14:textId="5D626E6F"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Borders>
              <w:top w:val="single" w:sz="4" w:space="0" w:color="auto"/>
            </w:tcBorders>
          </w:tcPr>
          <w:p w14:paraId="7E0802B0" w14:textId="7E8740C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&lt;0.01*</w:t>
            </w:r>
          </w:p>
        </w:tc>
        <w:tc>
          <w:tcPr>
            <w:tcW w:w="831" w:type="pct"/>
            <w:tcBorders>
              <w:top w:val="single" w:sz="4" w:space="0" w:color="auto"/>
            </w:tcBorders>
          </w:tcPr>
          <w:p w14:paraId="145C0F81" w14:textId="25D5FCC4"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-109.91</w:t>
            </w:r>
          </w:p>
        </w:tc>
      </w:tr>
      <w:tr w:rsidR="00C44472" w:rsidRPr="009D4627" w14:paraId="47FCD113" w14:textId="77777777" w:rsidTr="002A1D0E">
        <w:trPr>
          <w:jc w:val="center"/>
        </w:trPr>
        <w:tc>
          <w:tcPr>
            <w:tcW w:w="1486" w:type="pct"/>
          </w:tcPr>
          <w:p w14:paraId="62F1E178" w14:textId="3B533649"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V2</w:t>
            </w:r>
          </w:p>
        </w:tc>
        <w:tc>
          <w:tcPr>
            <w:tcW w:w="783" w:type="pct"/>
          </w:tcPr>
          <w:p w14:paraId="74639726"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2BAA95DA" w14:textId="0DFE5453"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-4.32</w:t>
            </w:r>
          </w:p>
        </w:tc>
        <w:tc>
          <w:tcPr>
            <w:tcW w:w="501" w:type="pct"/>
          </w:tcPr>
          <w:p w14:paraId="4A438836" w14:textId="7786E7BA"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Pr>
          <w:p w14:paraId="1BCD6C6A" w14:textId="3C9AA5FA"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&lt;0.01*</w:t>
            </w:r>
          </w:p>
        </w:tc>
        <w:tc>
          <w:tcPr>
            <w:tcW w:w="831" w:type="pct"/>
          </w:tcPr>
          <w:p w14:paraId="32C4EE75" w14:textId="43D434A9"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-115.69</w:t>
            </w:r>
          </w:p>
        </w:tc>
      </w:tr>
      <w:tr w:rsidR="00C44472" w:rsidRPr="009D4627" w14:paraId="1E244F5A" w14:textId="77777777" w:rsidTr="002A1D0E">
        <w:trPr>
          <w:jc w:val="center"/>
        </w:trPr>
        <w:tc>
          <w:tcPr>
            <w:tcW w:w="1486" w:type="pct"/>
          </w:tcPr>
          <w:p w14:paraId="0CA200A9" w14:textId="419F9AEC"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V3</w:t>
            </w:r>
          </w:p>
        </w:tc>
        <w:tc>
          <w:tcPr>
            <w:tcW w:w="783" w:type="pct"/>
          </w:tcPr>
          <w:p w14:paraId="3E000EF7"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234ADCB8" w14:textId="4A21F213"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-0.82</w:t>
            </w:r>
          </w:p>
        </w:tc>
        <w:tc>
          <w:tcPr>
            <w:tcW w:w="501" w:type="pct"/>
          </w:tcPr>
          <w:p w14:paraId="0A024129" w14:textId="0684191D"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Pr>
          <w:p w14:paraId="138A6BDB" w14:textId="02B070E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0.43</w:t>
            </w:r>
          </w:p>
        </w:tc>
        <w:tc>
          <w:tcPr>
            <w:tcW w:w="831" w:type="pct"/>
          </w:tcPr>
          <w:p w14:paraId="40587F9C" w14:textId="7F6F2C4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-43.78</w:t>
            </w:r>
          </w:p>
        </w:tc>
      </w:tr>
      <w:tr w:rsidR="00C44472" w:rsidRPr="009D4627" w14:paraId="64AD2338" w14:textId="77777777" w:rsidTr="002A1D0E">
        <w:trPr>
          <w:jc w:val="center"/>
        </w:trPr>
        <w:tc>
          <w:tcPr>
            <w:tcW w:w="1486" w:type="pct"/>
          </w:tcPr>
          <w:p w14:paraId="2693E4B0" w14:textId="4A065FCE"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V4</w:t>
            </w:r>
          </w:p>
        </w:tc>
        <w:tc>
          <w:tcPr>
            <w:tcW w:w="783" w:type="pct"/>
          </w:tcPr>
          <w:p w14:paraId="12B90AB5"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5FDC8244" w14:textId="488725A4"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-3.08</w:t>
            </w:r>
          </w:p>
        </w:tc>
        <w:tc>
          <w:tcPr>
            <w:tcW w:w="501" w:type="pct"/>
          </w:tcPr>
          <w:p w14:paraId="297E539B" w14:textId="605269DD"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8</w:t>
            </w:r>
          </w:p>
        </w:tc>
        <w:tc>
          <w:tcPr>
            <w:tcW w:w="771" w:type="pct"/>
          </w:tcPr>
          <w:p w14:paraId="6E5A202C" w14:textId="29D5FD38"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0.02*</w:t>
            </w:r>
          </w:p>
        </w:tc>
        <w:tc>
          <w:tcPr>
            <w:tcW w:w="831" w:type="pct"/>
          </w:tcPr>
          <w:p w14:paraId="12912109" w14:textId="66BC0B5E"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-76.58</w:t>
            </w:r>
          </w:p>
        </w:tc>
      </w:tr>
      <w:tr w:rsidR="00C44472" w:rsidRPr="009D4627" w14:paraId="533A64DF" w14:textId="77777777" w:rsidTr="002A1D0E">
        <w:trPr>
          <w:jc w:val="center"/>
        </w:trPr>
        <w:tc>
          <w:tcPr>
            <w:tcW w:w="1486" w:type="pct"/>
            <w:tcBorders>
              <w:bottom w:val="single" w:sz="4" w:space="0" w:color="auto"/>
            </w:tcBorders>
          </w:tcPr>
          <w:p w14:paraId="52C5F854" w14:textId="20DFA055"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PeakVelocity</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V5</w:t>
            </w:r>
          </w:p>
        </w:tc>
        <w:tc>
          <w:tcPr>
            <w:tcW w:w="783" w:type="pct"/>
            <w:tcBorders>
              <w:bottom w:val="single" w:sz="4" w:space="0" w:color="auto"/>
            </w:tcBorders>
          </w:tcPr>
          <w:p w14:paraId="0FD49313"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Borders>
              <w:bottom w:val="single" w:sz="4" w:space="0" w:color="auto"/>
            </w:tcBorders>
          </w:tcPr>
          <w:p w14:paraId="691AEA3C" w14:textId="432E6474"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-2.50</w:t>
            </w:r>
          </w:p>
        </w:tc>
        <w:tc>
          <w:tcPr>
            <w:tcW w:w="501" w:type="pct"/>
            <w:tcBorders>
              <w:bottom w:val="single" w:sz="4" w:space="0" w:color="auto"/>
            </w:tcBorders>
          </w:tcPr>
          <w:p w14:paraId="4898F1B0" w14:textId="22F2EA80"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7</w:t>
            </w:r>
          </w:p>
        </w:tc>
        <w:tc>
          <w:tcPr>
            <w:tcW w:w="771" w:type="pct"/>
            <w:tcBorders>
              <w:bottom w:val="single" w:sz="4" w:space="0" w:color="auto"/>
            </w:tcBorders>
          </w:tcPr>
          <w:p w14:paraId="2E7CCA60" w14:textId="4ACAA4C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0.04</w:t>
            </w:r>
          </w:p>
        </w:tc>
        <w:tc>
          <w:tcPr>
            <w:tcW w:w="831" w:type="pct"/>
            <w:tcBorders>
              <w:bottom w:val="single" w:sz="4" w:space="0" w:color="auto"/>
            </w:tcBorders>
          </w:tcPr>
          <w:p w14:paraId="046C8BC3" w14:textId="1AC76C76"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-82.85</w:t>
            </w:r>
          </w:p>
        </w:tc>
      </w:tr>
      <w:tr w:rsidR="00C44472" w:rsidRPr="009D4627" w14:paraId="5C485F88" w14:textId="77777777" w:rsidTr="002A1D0E">
        <w:trPr>
          <w:jc w:val="center"/>
        </w:trPr>
        <w:tc>
          <w:tcPr>
            <w:tcW w:w="1486" w:type="pct"/>
            <w:tcBorders>
              <w:top w:val="single" w:sz="4" w:space="0" w:color="auto"/>
            </w:tcBorders>
          </w:tcPr>
          <w:p w14:paraId="6DF136B3" w14:textId="11062D51"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_DN</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V1</w:t>
            </w:r>
          </w:p>
        </w:tc>
        <w:tc>
          <w:tcPr>
            <w:tcW w:w="783" w:type="pct"/>
            <w:tcBorders>
              <w:top w:val="single" w:sz="4" w:space="0" w:color="auto"/>
            </w:tcBorders>
          </w:tcPr>
          <w:p w14:paraId="59CC714E" w14:textId="591E598B"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0.93</w:t>
            </w:r>
          </w:p>
        </w:tc>
        <w:tc>
          <w:tcPr>
            <w:tcW w:w="629" w:type="pct"/>
            <w:tcBorders>
              <w:top w:val="single" w:sz="4" w:space="0" w:color="auto"/>
            </w:tcBorders>
          </w:tcPr>
          <w:p w14:paraId="132395FB" w14:textId="4FC2F2FF"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-1.64</w:t>
            </w:r>
          </w:p>
        </w:tc>
        <w:tc>
          <w:tcPr>
            <w:tcW w:w="501" w:type="pct"/>
            <w:tcBorders>
              <w:top w:val="single" w:sz="4" w:space="0" w:color="auto"/>
            </w:tcBorders>
          </w:tcPr>
          <w:p w14:paraId="573D6D16" w14:textId="268A053D"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Borders>
              <w:top w:val="single" w:sz="4" w:space="0" w:color="auto"/>
            </w:tcBorders>
          </w:tcPr>
          <w:p w14:paraId="6A8ED9F4" w14:textId="063CBB9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0.14</w:t>
            </w:r>
          </w:p>
        </w:tc>
        <w:tc>
          <w:tcPr>
            <w:tcW w:w="831" w:type="pct"/>
            <w:tcBorders>
              <w:top w:val="single" w:sz="4" w:space="0" w:color="auto"/>
            </w:tcBorders>
          </w:tcPr>
          <w:p w14:paraId="054C543D" w14:textId="092F40AC"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-0.22</w:t>
            </w:r>
          </w:p>
        </w:tc>
      </w:tr>
      <w:tr w:rsidR="00C44472" w:rsidRPr="009D4627" w14:paraId="6F4B76F2" w14:textId="77777777" w:rsidTr="002A1D0E">
        <w:trPr>
          <w:jc w:val="center"/>
        </w:trPr>
        <w:tc>
          <w:tcPr>
            <w:tcW w:w="1486" w:type="pct"/>
          </w:tcPr>
          <w:p w14:paraId="5F85C729" w14:textId="3C20CCDF"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V2</w:t>
            </w:r>
          </w:p>
        </w:tc>
        <w:tc>
          <w:tcPr>
            <w:tcW w:w="783" w:type="pct"/>
          </w:tcPr>
          <w:p w14:paraId="2A36592C"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0207A855" w14:textId="0A81EC5C"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-1.60</w:t>
            </w:r>
          </w:p>
        </w:tc>
        <w:tc>
          <w:tcPr>
            <w:tcW w:w="501" w:type="pct"/>
          </w:tcPr>
          <w:p w14:paraId="7AD172F5" w14:textId="2AC5D2A3"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5034160B" w14:textId="71EC985B"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0.14</w:t>
            </w:r>
          </w:p>
        </w:tc>
        <w:tc>
          <w:tcPr>
            <w:tcW w:w="831" w:type="pct"/>
          </w:tcPr>
          <w:p w14:paraId="793E8A45" w14:textId="2C116E74"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-0.21</w:t>
            </w:r>
          </w:p>
        </w:tc>
      </w:tr>
      <w:tr w:rsidR="00C44472" w:rsidRPr="009D4627" w14:paraId="268DBD5C" w14:textId="77777777" w:rsidTr="002A1D0E">
        <w:trPr>
          <w:jc w:val="center"/>
        </w:trPr>
        <w:tc>
          <w:tcPr>
            <w:tcW w:w="1486" w:type="pct"/>
          </w:tcPr>
          <w:p w14:paraId="3D1F01BF" w14:textId="400D9B85"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V3</w:t>
            </w:r>
          </w:p>
        </w:tc>
        <w:tc>
          <w:tcPr>
            <w:tcW w:w="783" w:type="pct"/>
          </w:tcPr>
          <w:p w14:paraId="6992E283"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4308AB88" w14:textId="0533B3B6" w:rsidR="00C44472" w:rsidRPr="009D4627" w:rsidRDefault="00C44472" w:rsidP="00C44472">
            <w:pPr>
              <w:spacing w:before="0" w:after="0" w:line="360" w:lineRule="auto"/>
              <w:jc w:val="left"/>
              <w:rPr>
                <w:color w:val="010205"/>
                <w:sz w:val="22"/>
                <w:szCs w:val="22"/>
                <w:lang w:val="en-MY"/>
              </w:rPr>
            </w:pPr>
            <w:r w:rsidRPr="009D4627">
              <w:rPr>
                <w:color w:val="010205"/>
                <w:sz w:val="22"/>
                <w:szCs w:val="22"/>
                <w:lang w:val="en-MY"/>
              </w:rPr>
              <w:t>-1.31</w:t>
            </w:r>
          </w:p>
        </w:tc>
        <w:tc>
          <w:tcPr>
            <w:tcW w:w="501" w:type="pct"/>
          </w:tcPr>
          <w:p w14:paraId="3EA9687B" w14:textId="3CF53C52"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9</w:t>
            </w:r>
          </w:p>
        </w:tc>
        <w:tc>
          <w:tcPr>
            <w:tcW w:w="771" w:type="pct"/>
          </w:tcPr>
          <w:p w14:paraId="041A1BFE" w14:textId="02E205F9"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0.22</w:t>
            </w:r>
          </w:p>
        </w:tc>
        <w:tc>
          <w:tcPr>
            <w:tcW w:w="831" w:type="pct"/>
          </w:tcPr>
          <w:p w14:paraId="78B08290" w14:textId="1B92DAEA" w:rsidR="00C44472" w:rsidRPr="009D4627" w:rsidRDefault="00C44472" w:rsidP="00C44472">
            <w:pPr>
              <w:spacing w:before="0" w:after="0" w:line="360" w:lineRule="auto"/>
              <w:rPr>
                <w:color w:val="010205"/>
                <w:sz w:val="22"/>
                <w:szCs w:val="22"/>
                <w:lang w:val="en-MY"/>
              </w:rPr>
            </w:pPr>
            <w:r w:rsidRPr="009D4627">
              <w:rPr>
                <w:color w:val="010205"/>
                <w:sz w:val="22"/>
                <w:szCs w:val="22"/>
                <w:lang w:val="en-MY"/>
              </w:rPr>
              <w:t>-0.17</w:t>
            </w:r>
          </w:p>
        </w:tc>
      </w:tr>
      <w:tr w:rsidR="00C44472" w:rsidRPr="009D4627" w14:paraId="7D70AB26" w14:textId="77777777" w:rsidTr="002A1D0E">
        <w:trPr>
          <w:jc w:val="center"/>
        </w:trPr>
        <w:tc>
          <w:tcPr>
            <w:tcW w:w="1486" w:type="pct"/>
          </w:tcPr>
          <w:p w14:paraId="26A62D64" w14:textId="1396BC7F"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V4</w:t>
            </w:r>
          </w:p>
        </w:tc>
        <w:tc>
          <w:tcPr>
            <w:tcW w:w="783" w:type="pct"/>
          </w:tcPr>
          <w:p w14:paraId="50282D4B"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305E7987" w14:textId="18D60EDC"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-1.04</w:t>
            </w:r>
          </w:p>
        </w:tc>
        <w:tc>
          <w:tcPr>
            <w:tcW w:w="501" w:type="pct"/>
          </w:tcPr>
          <w:p w14:paraId="3368FD5F" w14:textId="67EA2B38"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8</w:t>
            </w:r>
          </w:p>
        </w:tc>
        <w:tc>
          <w:tcPr>
            <w:tcW w:w="771" w:type="pct"/>
          </w:tcPr>
          <w:p w14:paraId="5DCCEA5F" w14:textId="70EDEDE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0.33</w:t>
            </w:r>
          </w:p>
        </w:tc>
        <w:tc>
          <w:tcPr>
            <w:tcW w:w="831" w:type="pct"/>
          </w:tcPr>
          <w:p w14:paraId="19481595" w14:textId="1D61705B"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-0.13</w:t>
            </w:r>
          </w:p>
        </w:tc>
      </w:tr>
      <w:tr w:rsidR="00C44472" w:rsidRPr="009D4627" w14:paraId="75A9D8CD" w14:textId="77777777" w:rsidTr="002A1D0E">
        <w:trPr>
          <w:jc w:val="center"/>
        </w:trPr>
        <w:tc>
          <w:tcPr>
            <w:tcW w:w="1486" w:type="pct"/>
            <w:tcBorders>
              <w:bottom w:val="single" w:sz="4" w:space="0" w:color="auto"/>
            </w:tcBorders>
          </w:tcPr>
          <w:p w14:paraId="6662CF95" w14:textId="59BF793D"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_DN</w:t>
            </w:r>
            <w:proofErr w:type="spellEnd"/>
            <w:r w:rsidR="002A1D0E" w:rsidRPr="009D4627">
              <w:rPr>
                <w:rFonts w:eastAsia="Times New Roman"/>
                <w:color w:val="auto"/>
                <w:sz w:val="22"/>
                <w:szCs w:val="22"/>
                <w:lang w:eastAsia="en-MY"/>
              </w:rPr>
              <w:t xml:space="preserve"> </w:t>
            </w:r>
            <w:r w:rsidRPr="009D4627">
              <w:rPr>
                <w:rFonts w:eastAsia="Times New Roman"/>
                <w:color w:val="auto"/>
                <w:sz w:val="22"/>
                <w:szCs w:val="22"/>
                <w:lang w:eastAsia="en-MY"/>
              </w:rPr>
              <w:t>V5</w:t>
            </w:r>
          </w:p>
        </w:tc>
        <w:tc>
          <w:tcPr>
            <w:tcW w:w="783" w:type="pct"/>
            <w:tcBorders>
              <w:bottom w:val="single" w:sz="4" w:space="0" w:color="auto"/>
            </w:tcBorders>
          </w:tcPr>
          <w:p w14:paraId="77C26DDA"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Borders>
              <w:bottom w:val="single" w:sz="4" w:space="0" w:color="auto"/>
            </w:tcBorders>
          </w:tcPr>
          <w:p w14:paraId="78FD4585" w14:textId="11FD0790"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-1.31</w:t>
            </w:r>
          </w:p>
        </w:tc>
        <w:tc>
          <w:tcPr>
            <w:tcW w:w="501" w:type="pct"/>
            <w:tcBorders>
              <w:bottom w:val="single" w:sz="4" w:space="0" w:color="auto"/>
            </w:tcBorders>
          </w:tcPr>
          <w:p w14:paraId="2760ECF0" w14:textId="55B72D39"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771" w:type="pct"/>
            <w:tcBorders>
              <w:bottom w:val="single" w:sz="4" w:space="0" w:color="auto"/>
            </w:tcBorders>
          </w:tcPr>
          <w:p w14:paraId="4C6E8323" w14:textId="584C14E7"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0.23</w:t>
            </w:r>
          </w:p>
        </w:tc>
        <w:tc>
          <w:tcPr>
            <w:tcW w:w="831" w:type="pct"/>
            <w:tcBorders>
              <w:bottom w:val="single" w:sz="4" w:space="0" w:color="auto"/>
            </w:tcBorders>
          </w:tcPr>
          <w:p w14:paraId="46A9A849" w14:textId="1FEA884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-0.18</w:t>
            </w:r>
          </w:p>
        </w:tc>
      </w:tr>
      <w:tr w:rsidR="00C44472" w:rsidRPr="009D4627" w14:paraId="7BE90584" w14:textId="77777777" w:rsidTr="002A1D0E">
        <w:trPr>
          <w:jc w:val="center"/>
        </w:trPr>
        <w:tc>
          <w:tcPr>
            <w:tcW w:w="1486" w:type="pct"/>
            <w:tcBorders>
              <w:top w:val="single" w:sz="4" w:space="0" w:color="auto"/>
            </w:tcBorders>
          </w:tcPr>
          <w:p w14:paraId="4BAB1ADB" w14:textId="17457133"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V1</w:t>
            </w:r>
          </w:p>
        </w:tc>
        <w:tc>
          <w:tcPr>
            <w:tcW w:w="783" w:type="pct"/>
            <w:tcBorders>
              <w:top w:val="single" w:sz="4" w:space="0" w:color="auto"/>
            </w:tcBorders>
          </w:tcPr>
          <w:p w14:paraId="7E323346" w14:textId="1EFF1601" w:rsidR="00C44472" w:rsidRPr="009D4627" w:rsidRDefault="00C44472" w:rsidP="00C44472">
            <w:pPr>
              <w:spacing w:before="0" w:after="0" w:line="360" w:lineRule="auto"/>
              <w:rPr>
                <w:rFonts w:eastAsia="Times New Roman"/>
                <w:color w:val="auto"/>
                <w:sz w:val="22"/>
                <w:szCs w:val="22"/>
                <w:lang w:eastAsia="en-MY"/>
              </w:rPr>
            </w:pPr>
            <w:r w:rsidRPr="009D4627">
              <w:rPr>
                <w:rFonts w:eastAsia="Times New Roman"/>
                <w:color w:val="auto"/>
                <w:sz w:val="22"/>
                <w:szCs w:val="22"/>
                <w:lang w:eastAsia="en-MY"/>
              </w:rPr>
              <w:t>0.80</w:t>
            </w:r>
          </w:p>
        </w:tc>
        <w:tc>
          <w:tcPr>
            <w:tcW w:w="629" w:type="pct"/>
            <w:tcBorders>
              <w:top w:val="single" w:sz="4" w:space="0" w:color="auto"/>
            </w:tcBorders>
          </w:tcPr>
          <w:p w14:paraId="66E5FDF6" w14:textId="2B0A339E"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-3.39</w:t>
            </w:r>
          </w:p>
        </w:tc>
        <w:tc>
          <w:tcPr>
            <w:tcW w:w="501" w:type="pct"/>
            <w:tcBorders>
              <w:top w:val="single" w:sz="4" w:space="0" w:color="auto"/>
            </w:tcBorders>
          </w:tcPr>
          <w:p w14:paraId="204CB82F" w14:textId="67EC4928"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Borders>
              <w:top w:val="single" w:sz="4" w:space="0" w:color="auto"/>
            </w:tcBorders>
          </w:tcPr>
          <w:p w14:paraId="3A42B98B" w14:textId="7A1988A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&lt;0.01*</w:t>
            </w:r>
          </w:p>
        </w:tc>
        <w:tc>
          <w:tcPr>
            <w:tcW w:w="831" w:type="pct"/>
            <w:tcBorders>
              <w:top w:val="single" w:sz="4" w:space="0" w:color="auto"/>
            </w:tcBorders>
          </w:tcPr>
          <w:p w14:paraId="2CD4D480" w14:textId="278D615B"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-0.32</w:t>
            </w:r>
          </w:p>
        </w:tc>
      </w:tr>
      <w:tr w:rsidR="00C44472" w:rsidRPr="009D4627" w14:paraId="4966FBC8" w14:textId="77777777" w:rsidTr="002A1D0E">
        <w:trPr>
          <w:jc w:val="center"/>
        </w:trPr>
        <w:tc>
          <w:tcPr>
            <w:tcW w:w="1486" w:type="pct"/>
          </w:tcPr>
          <w:p w14:paraId="5A96E2A5" w14:textId="1DDFBA6B"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V2</w:t>
            </w:r>
          </w:p>
        </w:tc>
        <w:tc>
          <w:tcPr>
            <w:tcW w:w="783" w:type="pct"/>
          </w:tcPr>
          <w:p w14:paraId="6981C84E"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32EE358C" w14:textId="726819A0"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-3.16</w:t>
            </w:r>
          </w:p>
        </w:tc>
        <w:tc>
          <w:tcPr>
            <w:tcW w:w="501" w:type="pct"/>
          </w:tcPr>
          <w:p w14:paraId="77891432" w14:textId="6960B5C1"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60D8C849" w14:textId="500708BF"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0.01*</w:t>
            </w:r>
          </w:p>
        </w:tc>
        <w:tc>
          <w:tcPr>
            <w:tcW w:w="831" w:type="pct"/>
          </w:tcPr>
          <w:p w14:paraId="778877C0" w14:textId="40DA7259"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-0.33</w:t>
            </w:r>
          </w:p>
        </w:tc>
      </w:tr>
      <w:tr w:rsidR="00C44472" w:rsidRPr="009D4627" w14:paraId="3820DAE9" w14:textId="77777777" w:rsidTr="002A1D0E">
        <w:trPr>
          <w:jc w:val="center"/>
        </w:trPr>
        <w:tc>
          <w:tcPr>
            <w:tcW w:w="1486" w:type="pct"/>
          </w:tcPr>
          <w:p w14:paraId="5FC8D4AC" w14:textId="259A3E07"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V3</w:t>
            </w:r>
          </w:p>
        </w:tc>
        <w:tc>
          <w:tcPr>
            <w:tcW w:w="783" w:type="pct"/>
          </w:tcPr>
          <w:p w14:paraId="3693A812"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59A38F5B" w14:textId="70FB89F8"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-2.51</w:t>
            </w:r>
          </w:p>
        </w:tc>
        <w:tc>
          <w:tcPr>
            <w:tcW w:w="501" w:type="pct"/>
          </w:tcPr>
          <w:p w14:paraId="72BF8792" w14:textId="1ED71D30"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9</w:t>
            </w:r>
          </w:p>
        </w:tc>
        <w:tc>
          <w:tcPr>
            <w:tcW w:w="771" w:type="pct"/>
          </w:tcPr>
          <w:p w14:paraId="38C0F35C" w14:textId="7514684D"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0.03*</w:t>
            </w:r>
          </w:p>
        </w:tc>
        <w:tc>
          <w:tcPr>
            <w:tcW w:w="831" w:type="pct"/>
          </w:tcPr>
          <w:p w14:paraId="5D44EC0F" w14:textId="5E7A4F9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-0.24</w:t>
            </w:r>
          </w:p>
        </w:tc>
      </w:tr>
      <w:tr w:rsidR="00C44472" w:rsidRPr="009D4627" w14:paraId="1AC4556D" w14:textId="77777777" w:rsidTr="002A1D0E">
        <w:trPr>
          <w:jc w:val="center"/>
        </w:trPr>
        <w:tc>
          <w:tcPr>
            <w:tcW w:w="1486" w:type="pct"/>
          </w:tcPr>
          <w:p w14:paraId="46CBEDE1" w14:textId="0B13E321"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V4</w:t>
            </w:r>
          </w:p>
        </w:tc>
        <w:tc>
          <w:tcPr>
            <w:tcW w:w="783" w:type="pct"/>
          </w:tcPr>
          <w:p w14:paraId="1871B645"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Pr>
          <w:p w14:paraId="5D6A2D43" w14:textId="4F22BACF"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-1.88</w:t>
            </w:r>
          </w:p>
        </w:tc>
        <w:tc>
          <w:tcPr>
            <w:tcW w:w="501" w:type="pct"/>
          </w:tcPr>
          <w:p w14:paraId="4D574605" w14:textId="634C37BB"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8</w:t>
            </w:r>
          </w:p>
        </w:tc>
        <w:tc>
          <w:tcPr>
            <w:tcW w:w="771" w:type="pct"/>
          </w:tcPr>
          <w:p w14:paraId="28261020" w14:textId="6EACF0EC"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0.10</w:t>
            </w:r>
          </w:p>
        </w:tc>
        <w:tc>
          <w:tcPr>
            <w:tcW w:w="831" w:type="pct"/>
          </w:tcPr>
          <w:p w14:paraId="57455B17" w14:textId="19B84780"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-0.15</w:t>
            </w:r>
          </w:p>
        </w:tc>
      </w:tr>
      <w:tr w:rsidR="00C44472" w:rsidRPr="009D4627" w14:paraId="03D30538" w14:textId="77777777" w:rsidTr="002A1D0E">
        <w:trPr>
          <w:jc w:val="center"/>
        </w:trPr>
        <w:tc>
          <w:tcPr>
            <w:tcW w:w="1486" w:type="pct"/>
            <w:tcBorders>
              <w:bottom w:val="single" w:sz="4" w:space="0" w:color="auto"/>
            </w:tcBorders>
          </w:tcPr>
          <w:p w14:paraId="0EA32DCD" w14:textId="0EC53ED4" w:rsidR="00C44472" w:rsidRPr="009D4627" w:rsidRDefault="00C44472" w:rsidP="00C44472">
            <w:pPr>
              <w:spacing w:before="0" w:after="0" w:line="360" w:lineRule="auto"/>
              <w:rPr>
                <w:rFonts w:eastAsia="Times New Roman"/>
                <w:color w:val="auto"/>
                <w:sz w:val="22"/>
                <w:szCs w:val="22"/>
                <w:lang w:eastAsia="en-MY"/>
              </w:rPr>
            </w:pPr>
            <w:proofErr w:type="spellStart"/>
            <w:r w:rsidRPr="009D4627">
              <w:rPr>
                <w:rFonts w:eastAsia="Times New Roman"/>
                <w:color w:val="auto"/>
                <w:sz w:val="22"/>
                <w:szCs w:val="22"/>
                <w:lang w:eastAsia="en-MY"/>
              </w:rPr>
              <w:t>Gain</w:t>
            </w:r>
            <w:r w:rsidR="002A1D0E">
              <w:rPr>
                <w:rFonts w:eastAsia="Times New Roman"/>
                <w:color w:val="auto"/>
                <w:sz w:val="22"/>
                <w:szCs w:val="22"/>
                <w:lang w:eastAsia="en-MY"/>
              </w:rPr>
              <w:t>_UP</w:t>
            </w:r>
            <w:proofErr w:type="spellEnd"/>
            <w:r w:rsidR="002A1D0E">
              <w:rPr>
                <w:rFonts w:eastAsia="Times New Roman"/>
                <w:color w:val="auto"/>
                <w:sz w:val="22"/>
                <w:szCs w:val="22"/>
                <w:lang w:eastAsia="en-MY"/>
              </w:rPr>
              <w:t xml:space="preserve"> </w:t>
            </w:r>
            <w:r w:rsidRPr="009D4627">
              <w:rPr>
                <w:rFonts w:eastAsia="Times New Roman"/>
                <w:color w:val="auto"/>
                <w:sz w:val="22"/>
                <w:szCs w:val="22"/>
                <w:lang w:eastAsia="en-MY"/>
              </w:rPr>
              <w:t>V5</w:t>
            </w:r>
          </w:p>
        </w:tc>
        <w:tc>
          <w:tcPr>
            <w:tcW w:w="783" w:type="pct"/>
            <w:tcBorders>
              <w:bottom w:val="single" w:sz="4" w:space="0" w:color="auto"/>
            </w:tcBorders>
          </w:tcPr>
          <w:p w14:paraId="2520BD75" w14:textId="77777777" w:rsidR="00C44472" w:rsidRPr="009D4627" w:rsidRDefault="00C44472" w:rsidP="00C44472">
            <w:pPr>
              <w:spacing w:before="0" w:after="0" w:line="360" w:lineRule="auto"/>
              <w:rPr>
                <w:rFonts w:eastAsia="Times New Roman"/>
                <w:color w:val="auto"/>
                <w:sz w:val="22"/>
                <w:szCs w:val="22"/>
                <w:lang w:eastAsia="en-MY"/>
              </w:rPr>
            </w:pPr>
          </w:p>
        </w:tc>
        <w:tc>
          <w:tcPr>
            <w:tcW w:w="629" w:type="pct"/>
            <w:tcBorders>
              <w:bottom w:val="single" w:sz="4" w:space="0" w:color="auto"/>
            </w:tcBorders>
          </w:tcPr>
          <w:p w14:paraId="7410FCE1" w14:textId="014F63EC" w:rsidR="00C44472" w:rsidRPr="009D4627" w:rsidRDefault="00C44472" w:rsidP="00C44472">
            <w:pPr>
              <w:spacing w:before="0" w:after="0" w:line="360" w:lineRule="auto"/>
              <w:jc w:val="left"/>
              <w:rPr>
                <w:rFonts w:eastAsia="Times New Roman"/>
                <w:color w:val="auto"/>
                <w:sz w:val="22"/>
                <w:szCs w:val="22"/>
                <w:lang w:eastAsia="en-MY"/>
              </w:rPr>
            </w:pPr>
            <w:r w:rsidRPr="009D4627">
              <w:rPr>
                <w:color w:val="010205"/>
                <w:sz w:val="22"/>
                <w:szCs w:val="22"/>
                <w:lang w:val="en-MY"/>
              </w:rPr>
              <w:t>-1.76</w:t>
            </w:r>
          </w:p>
        </w:tc>
        <w:tc>
          <w:tcPr>
            <w:tcW w:w="501" w:type="pct"/>
            <w:tcBorders>
              <w:bottom w:val="single" w:sz="4" w:space="0" w:color="auto"/>
            </w:tcBorders>
          </w:tcPr>
          <w:p w14:paraId="4AC2399A" w14:textId="294C3896"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7</w:t>
            </w:r>
          </w:p>
        </w:tc>
        <w:tc>
          <w:tcPr>
            <w:tcW w:w="771" w:type="pct"/>
            <w:tcBorders>
              <w:bottom w:val="single" w:sz="4" w:space="0" w:color="auto"/>
            </w:tcBorders>
          </w:tcPr>
          <w:p w14:paraId="18289826" w14:textId="7968D34E"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0.12</w:t>
            </w:r>
          </w:p>
        </w:tc>
        <w:tc>
          <w:tcPr>
            <w:tcW w:w="831" w:type="pct"/>
            <w:tcBorders>
              <w:bottom w:val="single" w:sz="4" w:space="0" w:color="auto"/>
            </w:tcBorders>
          </w:tcPr>
          <w:p w14:paraId="68619D0E" w14:textId="6C9F9ACA" w:rsidR="00C44472" w:rsidRPr="009D4627" w:rsidRDefault="00C44472" w:rsidP="00C44472">
            <w:pPr>
              <w:spacing w:before="0" w:after="0" w:line="360" w:lineRule="auto"/>
              <w:rPr>
                <w:rFonts w:eastAsia="Times New Roman"/>
                <w:color w:val="auto"/>
                <w:sz w:val="22"/>
                <w:szCs w:val="22"/>
                <w:lang w:eastAsia="en-MY"/>
              </w:rPr>
            </w:pPr>
            <w:r w:rsidRPr="009D4627">
              <w:rPr>
                <w:color w:val="010205"/>
                <w:sz w:val="22"/>
                <w:szCs w:val="22"/>
                <w:lang w:val="en-MY"/>
              </w:rPr>
              <w:t>-0.20</w:t>
            </w:r>
          </w:p>
        </w:tc>
      </w:tr>
    </w:tbl>
    <w:p w14:paraId="0FEF19FA" w14:textId="558D39E7" w:rsidR="00C44472" w:rsidRDefault="00C44472" w:rsidP="002A1D0E">
      <w:pPr>
        <w:spacing w:before="0" w:after="0" w:line="240" w:lineRule="auto"/>
        <w:jc w:val="center"/>
        <w:rPr>
          <w:color w:val="auto"/>
        </w:rPr>
      </w:pPr>
      <w:r w:rsidRPr="009D4627">
        <w:rPr>
          <w:rFonts w:eastAsia="Times New Roman"/>
          <w:color w:val="auto"/>
          <w:lang w:eastAsia="en-MY"/>
        </w:rPr>
        <w:t>*</w:t>
      </w:r>
      <w:r w:rsidRPr="009D4627">
        <w:rPr>
          <w:color w:val="auto"/>
        </w:rPr>
        <w:t xml:space="preserve">Data are significant at </w:t>
      </w:r>
      <w:r w:rsidRPr="00160B34">
        <w:rPr>
          <w:i/>
          <w:iCs/>
          <w:color w:val="auto"/>
        </w:rPr>
        <w:t>p</w:t>
      </w:r>
      <w:r w:rsidRPr="009D4627">
        <w:rPr>
          <w:color w:val="auto"/>
        </w:rPr>
        <w:t>&lt;0.05</w:t>
      </w:r>
    </w:p>
    <w:p w14:paraId="25F33EF7" w14:textId="05626EA1" w:rsidR="002A1D0E" w:rsidRPr="009D4627" w:rsidRDefault="002A1D0E" w:rsidP="002A1D0E">
      <w:pPr>
        <w:spacing w:before="0" w:after="0"/>
        <w:jc w:val="left"/>
        <w:rPr>
          <w:color w:val="auto"/>
        </w:rPr>
      </w:pPr>
      <w:r w:rsidRPr="002A1D0E">
        <w:rPr>
          <w:rFonts w:eastAsia="Times New Roman"/>
          <w:i/>
          <w:iCs/>
          <w:color w:val="auto"/>
          <w:lang w:eastAsia="en-MY"/>
        </w:rPr>
        <w:t>Note.</w:t>
      </w:r>
      <w:r w:rsidRPr="009D4627">
        <w:rPr>
          <w:rFonts w:eastAsia="Times New Roman"/>
          <w:color w:val="auto"/>
          <w:lang w:eastAsia="en-MY"/>
        </w:rPr>
        <w:t xml:space="preserve"> Test value = mean of control</w:t>
      </w:r>
    </w:p>
    <w:p w14:paraId="4EE55812" w14:textId="77777777" w:rsidR="00AD6FF8" w:rsidRPr="009D4627" w:rsidRDefault="00AD6FF8" w:rsidP="00C44472">
      <w:pPr>
        <w:spacing w:before="0" w:after="0"/>
        <w:jc w:val="center"/>
        <w:rPr>
          <w:i/>
          <w:iCs/>
          <w:color w:val="auto"/>
        </w:rPr>
      </w:pPr>
    </w:p>
    <w:p w14:paraId="0397B1DF" w14:textId="5519C55F" w:rsidR="004238D5" w:rsidRPr="009D4627" w:rsidRDefault="0070270D" w:rsidP="00D04E3B">
      <w:pPr>
        <w:pStyle w:val="Heading2"/>
      </w:pPr>
      <w:bookmarkStart w:id="550" w:name="_Toc98964732"/>
      <w:bookmarkStart w:id="551" w:name="_Toc103344774"/>
      <w:r w:rsidRPr="009D4627">
        <w:lastRenderedPageBreak/>
        <w:t>Discussion</w:t>
      </w:r>
      <w:bookmarkEnd w:id="550"/>
      <w:bookmarkEnd w:id="551"/>
      <w:r w:rsidRPr="009D4627">
        <w:t xml:space="preserve"> </w:t>
      </w:r>
    </w:p>
    <w:p w14:paraId="58C9109B" w14:textId="59752BDD" w:rsidR="00B579B4" w:rsidRPr="009D4627" w:rsidRDefault="001C2F68" w:rsidP="001F6A9D">
      <w:pPr>
        <w:rPr>
          <w:rFonts w:eastAsia="Times New Roman"/>
          <w:color w:val="auto"/>
          <w:lang w:eastAsia="en-MY"/>
        </w:rPr>
      </w:pPr>
      <w:r w:rsidRPr="009D4627">
        <w:t xml:space="preserve">The most effective approach to define the fixation pattern is to look at the amount of time spent within the specified AOI, referred to as dwell time, rather than determining the exact duration of individual fixations, which would increase the analysis workload </w:t>
      </w:r>
      <w:r w:rsidRPr="009D4627">
        <w:fldChar w:fldCharType="begin"/>
      </w:r>
      <w:r w:rsidRPr="009D4627">
        <w:instrText xml:space="preserve"> ADDIN EN.CITE &lt;EndNote&gt;&lt;Cite&gt;&lt;Author&gt;Vansteenkiste&lt;/Author&gt;&lt;Year&gt;2015&lt;/Year&gt;&lt;IDText&gt;Measuring dwell time percentage from head-mounted eye-tracking data - comparison of a frame-by-frame and a fixation-by-fixation analysis&lt;/IDText&gt;&lt;DisplayText&gt;(Vansteenkiste et al., 2015)&lt;/DisplayText&gt;&lt;record&gt;&lt;keywords&gt;&lt;keyword&gt;dwell time&lt;/keyword&gt;&lt;keyword&gt;Engineering&lt;/keyword&gt;&lt;keyword&gt;Engineering, Industrial&lt;/keyword&gt;&lt;keyword&gt;Ergonomics&lt;/keyword&gt;&lt;keyword&gt;Eye Movement Measurements&lt;/keyword&gt;&lt;keyword&gt;Eye Movements&lt;/keyword&gt;&lt;keyword&gt;eye-tracking methodology&lt;/keyword&gt;&lt;keyword&gt;Fixation, Ocular&lt;/keyword&gt;&lt;keyword&gt;frame-by-frame analysis&lt;/keyword&gt;&lt;keyword&gt;gaze behaviour&lt;/keyword&gt;&lt;keyword&gt;head-mounted eye tracking&lt;/keyword&gt;&lt;keyword&gt;Humans&lt;/keyword&gt;&lt;keyword&gt;Psychology&lt;/keyword&gt;&lt;keyword&gt;Psychology, Applied&lt;/keyword&gt;&lt;keyword&gt;Reproducibility of Results&lt;/keyword&gt;&lt;keyword&gt;Science &amp;amp; Technology&lt;/keyword&gt;&lt;keyword&gt;Social Sciences&lt;/keyword&gt;&lt;keyword&gt;Software&lt;/keyword&gt;&lt;keyword&gt;Space life sciences&lt;/keyword&gt;&lt;keyword&gt;Technology&lt;/keyword&gt;&lt;keyword&gt;Time Factors&lt;/keyword&gt;&lt;keyword&gt;Young Adult&lt;/keyword&gt;&lt;/keywords&gt;&lt;isbn&gt;0014-0139&lt;/isbn&gt;&lt;titles&gt;&lt;title&gt;Measuring dwell time percentage from head-mounted eye-tracking data - comparison of a frame-by-frame and a fixation-by-fixation analysis&lt;/title&gt;&lt;secondary-title&gt;Ergonomics&lt;/secondary-title&gt;&lt;/titles&gt;&lt;pages&gt;712-721&lt;/pages&gt;&lt;number&gt;5&lt;/number&gt;&lt;contributors&gt;&lt;authors&gt;&lt;author&gt;Vansteenkiste, Pieter&lt;/author&gt;&lt;author&gt;Cardon, Greet&lt;/author&gt;&lt;author&gt;Philippaerts, Renaat&lt;/author&gt;&lt;author&gt;Lenoir, Matthieu&lt;/author&gt;&lt;/authors&gt;&lt;/contributors&gt;&lt;added-date format="utc"&gt;1645622958&lt;/added-date&gt;&lt;pub-location&gt;ABINGDON&lt;/pub-location&gt;&lt;ref-type name="Journal Article"&gt;17&lt;/ref-type&gt;&lt;dates&gt;&lt;year&gt;2015&lt;/year&gt;&lt;/dates&gt;&lt;rec-number&gt;789&lt;/rec-number&gt;&lt;publisher&gt;ABINGDON: Taylor &amp;amp; Francis&lt;/publisher&gt;&lt;last-updated-date format="utc"&gt;1645622958&lt;/last-updated-date&gt;&lt;electronic-resource-num&gt;10.1080/00140139.2014.990524&lt;/electronic-resource-num&gt;&lt;volume&gt;58&lt;/volume&gt;&lt;/record&gt;&lt;/Cite&gt;&lt;/EndNote&gt;</w:instrText>
      </w:r>
      <w:r w:rsidRPr="009D4627">
        <w:fldChar w:fldCharType="separate"/>
      </w:r>
      <w:r w:rsidRPr="009D4627">
        <w:rPr>
          <w:noProof/>
        </w:rPr>
        <w:t>(Vansteenkiste et al., 2015)</w:t>
      </w:r>
      <w:r w:rsidRPr="009D4627">
        <w:fldChar w:fldCharType="end"/>
      </w:r>
      <w:r w:rsidRPr="009D4627">
        <w:t xml:space="preserve">. </w:t>
      </w:r>
      <w:r w:rsidR="00311977" w:rsidRPr="00311977">
        <w:t>The percentage DT of the palsied eyes was lower than that of the unaffected eyes</w:t>
      </w:r>
      <w:r w:rsidR="00311977">
        <w:t xml:space="preserve"> especially at the smallest AOI</w:t>
      </w:r>
      <w:r w:rsidR="008C1978" w:rsidRPr="009D4627">
        <w:t>.</w:t>
      </w:r>
      <w:r w:rsidR="00B579B4" w:rsidRPr="009D4627">
        <w:t xml:space="preserve"> </w:t>
      </w:r>
      <w:r w:rsidR="00311977">
        <w:t>Therefore</w:t>
      </w:r>
      <w:r w:rsidR="009538F0" w:rsidRPr="009D4627">
        <w:t xml:space="preserve">, the percentage DT within the 1° AOI </w:t>
      </w:r>
      <w:r w:rsidR="00311977">
        <w:t>could</w:t>
      </w:r>
      <w:r w:rsidR="009538F0" w:rsidRPr="009D4627">
        <w:t xml:space="preserve"> be used to assess ONP patients' fixation performance. The longer time spent </w:t>
      </w:r>
      <w:r w:rsidR="00550CF8" w:rsidRPr="009D4627">
        <w:t>in</w:t>
      </w:r>
      <w:r w:rsidR="009538F0" w:rsidRPr="009D4627">
        <w:t xml:space="preserve"> </w:t>
      </w:r>
      <w:r w:rsidR="00C24D51" w:rsidRPr="009D4627">
        <w:t>the smallest</w:t>
      </w:r>
      <w:r w:rsidR="00550CF8" w:rsidRPr="009D4627">
        <w:t xml:space="preserve"> </w:t>
      </w:r>
      <w:r w:rsidR="009538F0" w:rsidRPr="009D4627">
        <w:t xml:space="preserve">AOI indicates higher accuracy as the eyes </w:t>
      </w:r>
      <w:r w:rsidR="00C24D51" w:rsidRPr="009D4627">
        <w:t>stays</w:t>
      </w:r>
      <w:r w:rsidR="009538F0" w:rsidRPr="009D4627">
        <w:t xml:space="preserve"> closer to the target centre</w:t>
      </w:r>
      <w:r w:rsidR="008C1978" w:rsidRPr="009D4627">
        <w:t>, indicating better fixation performance</w:t>
      </w:r>
      <w:r w:rsidR="00C24D51" w:rsidRPr="009D4627">
        <w:t xml:space="preserve"> </w:t>
      </w:r>
      <w:r w:rsidR="00C24D51" w:rsidRPr="009D4627">
        <w:fldChar w:fldCharType="begin"/>
      </w:r>
      <w:r w:rsidR="00C24D51" w:rsidRPr="009D4627">
        <w:instrText xml:space="preserve"> ADDIN EN.CITE &lt;EndNote&gt;&lt;Cite&gt;&lt;Author&gt;Di Russo&lt;/Author&gt;&lt;Year&gt;2003&lt;/Year&gt;&lt;IDText&gt;Fixation stability and saccadic latency in élite shooters&lt;/IDText&gt;&lt;DisplayText&gt;(Di Russo et al., 2003)&lt;/DisplayText&gt;&lt;record&gt;&lt;isbn&gt;0042-6989&lt;/isbn&gt;&lt;titles&gt;&lt;title&gt;Fixation stability and saccadic latency in élite shooters&lt;/title&gt;&lt;secondary-title&gt;Vision research : an international journal in visual science.&lt;/secondary-title&gt;&lt;/titles&gt;&lt;pages&gt;1837-1845&lt;/pages&gt;&lt;number&gt;17&lt;/number&gt;&lt;contributors&gt;&lt;authors&gt;&lt;author&gt;Di Russo, Francesco&lt;/author&gt;&lt;author&gt;Pitzalis, Sabrina&lt;/author&gt;&lt;author&gt;Spinelli, Donatella&lt;/author&gt;&lt;/authors&gt;&lt;/contributors&gt;&lt;added-date format="utc"&gt;1637643333&lt;/added-date&gt;&lt;pub-location&gt;[Oxford] ; [New York] :&lt;/pub-location&gt;&lt;ref-type name="Journal Article"&gt;17&lt;/ref-type&gt;&lt;dates&gt;&lt;year&gt;2003&lt;/year&gt;&lt;/dates&gt;&lt;rec-number&gt;782&lt;/rec-number&gt;&lt;last-updated-date format="utc"&gt;1637643333&lt;/last-updated-date&gt;&lt;electronic-resource-num&gt;10.1016/s0042-6989(03)00299-2&lt;/electronic-resource-num&gt;&lt;volume&gt;43&lt;/volume&gt;&lt;/record&gt;&lt;/Cite&gt;&lt;/EndNote&gt;</w:instrText>
      </w:r>
      <w:r w:rsidR="00C24D51" w:rsidRPr="009D4627">
        <w:fldChar w:fldCharType="separate"/>
      </w:r>
      <w:r w:rsidR="00C24D51" w:rsidRPr="009D4627">
        <w:rPr>
          <w:noProof/>
        </w:rPr>
        <w:t>(Di Russo et al., 2003)</w:t>
      </w:r>
      <w:r w:rsidR="00C24D51" w:rsidRPr="009D4627">
        <w:fldChar w:fldCharType="end"/>
      </w:r>
      <w:r w:rsidR="009538F0" w:rsidRPr="009D4627">
        <w:t>.</w:t>
      </w:r>
      <w:r w:rsidR="00D37C18" w:rsidRPr="009D4627">
        <w:t xml:space="preserve"> Our results suggested that ≈50% of the percentage DT reduced in the affected eyes compared to the unaffected eyes, in the CN III and CN IV patients.</w:t>
      </w:r>
    </w:p>
    <w:p w14:paraId="762B797E" w14:textId="06EF5FBE" w:rsidR="006E4B85" w:rsidRPr="009D4627" w:rsidRDefault="001A3E43" w:rsidP="001F6A9D">
      <w:pPr>
        <w:rPr>
          <w:rFonts w:eastAsia="Times New Roman"/>
          <w:color w:val="auto"/>
          <w:lang w:eastAsia="en-MY"/>
        </w:rPr>
      </w:pPr>
      <w:r w:rsidRPr="009D4627">
        <w:rPr>
          <w:rFonts w:eastAsia="Times New Roman"/>
          <w:color w:val="auto"/>
          <w:lang w:eastAsia="en-MY"/>
        </w:rPr>
        <w:t>It has been established that SP is impaired among the schizophrenia</w:t>
      </w:r>
      <w:r w:rsidR="006E4B85" w:rsidRPr="009D4627">
        <w:rPr>
          <w:rFonts w:eastAsia="Times New Roman"/>
          <w:color w:val="auto"/>
          <w:lang w:eastAsia="en-MY"/>
        </w:rPr>
        <w:t xml:space="preserve"> </w:t>
      </w:r>
      <w:r w:rsidR="006E4B85" w:rsidRPr="009D4627">
        <w:rPr>
          <w:rFonts w:eastAsia="Times New Roman"/>
          <w:color w:val="auto"/>
          <w:lang w:eastAsia="en-MY"/>
        </w:rPr>
        <w:fldChar w:fldCharType="begin"/>
      </w:r>
      <w:r w:rsidR="006E4B85" w:rsidRPr="009D4627">
        <w:rPr>
          <w:rFonts w:eastAsia="Times New Roman"/>
          <w:color w:val="auto"/>
          <w:lang w:eastAsia="en-MY"/>
        </w:rPr>
        <w:instrText xml:space="preserve"> ADDIN EN.CITE &lt;EndNote&gt;&lt;Cite&gt;&lt;Author&gt;Knox&lt;/Author&gt;&lt;Year&gt;2005&lt;/Year&gt;&lt;IDText&gt;Age- related changes in smooth pursuit initiation&lt;/IDText&gt;&lt;DisplayText&gt;(Knox et al., 2005)&lt;/DisplayText&gt;&lt;record&gt;&lt;keywords&gt;&lt;keyword&gt;Eye movement&lt;/keyword&gt;&lt;keyword&gt;Smooth pursuit&lt;/keyword&gt;&lt;keyword&gt;Attention&lt;/keyword&gt;&lt;keyword&gt;Motion processing&lt;/keyword&gt;&lt;/keywords&gt;&lt;isbn&gt;0014-4819&lt;/isbn&gt;&lt;titles&gt;&lt;title&gt;Age- related changes in smooth pursuit initiation&lt;/title&gt;&lt;secondary-title&gt;Experimental Brain Research&lt;/secondary-title&gt;&lt;/titles&gt;&lt;pages&gt;1-7&lt;/pages&gt;&lt;number&gt;1&lt;/number&gt;&lt;contributors&gt;&lt;authors&gt;&lt;author&gt;Knox, Paul&lt;/author&gt;&lt;author&gt;Davidson, Jillian&lt;/author&gt;&lt;author&gt;Anderson, David&lt;/author&gt;&lt;/authors&gt;&lt;/contributors&gt;&lt;added-date format="utc"&gt;1567770486&lt;/added-date&gt;&lt;pub-location&gt;Berlin/Heidelberg&lt;/pub-location&gt;&lt;ref-type name="Journal Article"&gt;17&lt;/ref-type&gt;&lt;dates&gt;&lt;year&gt;2005&lt;/year&gt;&lt;/dates&gt;&lt;rec-number&gt;596&lt;/rec-number&gt;&lt;last-updated-date format="utc"&gt;1567770486&lt;/last-updated-date&gt;&lt;electronic-resource-num&gt;10.1007/s00221-005-2265-2&lt;/electronic-resource-num&gt;&lt;volume&gt;165&lt;/volume&gt;&lt;/record&gt;&lt;/Cite&gt;&lt;/EndNote&gt;</w:instrText>
      </w:r>
      <w:r w:rsidR="006E4B85" w:rsidRPr="009D4627">
        <w:rPr>
          <w:rFonts w:eastAsia="Times New Roman"/>
          <w:color w:val="auto"/>
          <w:lang w:eastAsia="en-MY"/>
        </w:rPr>
        <w:fldChar w:fldCharType="separate"/>
      </w:r>
      <w:r w:rsidR="006E4B85" w:rsidRPr="009D4627">
        <w:rPr>
          <w:rFonts w:eastAsia="Times New Roman"/>
          <w:noProof/>
          <w:color w:val="auto"/>
          <w:lang w:eastAsia="en-MY"/>
        </w:rPr>
        <w:t>(Knox et al., 2005)</w:t>
      </w:r>
      <w:r w:rsidR="006E4B85" w:rsidRPr="009D4627">
        <w:rPr>
          <w:rFonts w:eastAsia="Times New Roman"/>
          <w:color w:val="auto"/>
          <w:lang w:eastAsia="en-MY"/>
        </w:rPr>
        <w:fldChar w:fldCharType="end"/>
      </w:r>
      <w:r w:rsidRPr="009D4627">
        <w:rPr>
          <w:rFonts w:eastAsia="Times New Roman"/>
          <w:color w:val="auto"/>
          <w:lang w:eastAsia="en-MY"/>
        </w:rPr>
        <w:t>,</w:t>
      </w:r>
      <w:r w:rsidR="006E4B85" w:rsidRPr="009D4627">
        <w:rPr>
          <w:rFonts w:eastAsia="Times New Roman"/>
          <w:color w:val="auto"/>
          <w:lang w:eastAsia="en-MY"/>
        </w:rPr>
        <w:t xml:space="preserve"> INS </w:t>
      </w:r>
      <w:r w:rsidR="006E4B85" w:rsidRPr="009D4627">
        <w:rPr>
          <w:rFonts w:eastAsia="Times New Roman"/>
          <w:color w:val="auto"/>
          <w:lang w:eastAsia="en-MY"/>
        </w:rPr>
        <w:fldChar w:fldCharType="begin"/>
      </w:r>
      <w:r w:rsidR="006E4B85" w:rsidRPr="009D4627">
        <w:rPr>
          <w:rFonts w:eastAsia="Times New Roman"/>
          <w:color w:val="auto"/>
          <w:lang w:eastAsia="en-MY"/>
        </w:rPr>
        <w:instrText xml:space="preserve"> ADDIN EN.CITE &lt;EndNote&gt;&lt;Cite&gt;&lt;Author&gt;Hertle&lt;/Author&gt;&lt;Year&gt;2017&lt;/Year&gt;&lt;IDText&gt;Nystagmus in infancy and childhood: Clinical and eye movement characteristics&lt;/IDText&gt;&lt;DisplayText&gt;(Hertle, 2017)&lt;/DisplayText&gt;&lt;record&gt;&lt;keywords&gt;&lt;keyword&gt;Nystagmus&lt;/keyword&gt;&lt;keyword&gt;Infantile Nystagmus Syndrome (INS)&lt;/keyword&gt;&lt;keyword&gt;Fusion Maldevelopment Nystagmus Syndrome (Fmns)&lt;/keyword&gt;&lt;keyword&gt;Spasmus Nutans Syndrome (Sns)&lt;/keyword&gt;&lt;keyword&gt;Eye Movement Characteristics&lt;/keyword&gt;&lt;keyword&gt;Medicine&lt;/keyword&gt;&lt;/keywords&gt;&lt;isbn&gt;0065-955X&lt;/isbn&gt;&lt;titles&gt;&lt;title&gt;Nystagmus in infancy and childhood: Clinical and eye movement characteristics&lt;/title&gt;&lt;secondary-title&gt;American Orthoptic Journal&lt;/secondary-title&gt;&lt;/titles&gt;&lt;pages&gt;8-21&lt;/pages&gt;&lt;number&gt;1&lt;/number&gt;&lt;contributors&gt;&lt;authors&gt;&lt;author&gt;Hertle, Richard W.&lt;/author&gt;&lt;/authors&gt;&lt;/contributors&gt;&lt;added-date format="utc"&gt;1571995930&lt;/added-date&gt;&lt;ref-type name="Journal Article"&gt;17&lt;/ref-type&gt;&lt;dates&gt;&lt;year&gt;2017&lt;/year&gt;&lt;/dates&gt;&lt;rec-number&gt;610&lt;/rec-number&gt;&lt;last-updated-date format="utc"&gt;1603814288&lt;/last-updated-date&gt;&lt;electronic-resource-num&gt;10.1080/0065955X.2017.12023626&lt;/electronic-resource-num&gt;&lt;volume&gt;67&lt;/volume&gt;&lt;/record&gt;&lt;/Cite&gt;&lt;/EndNote&gt;</w:instrText>
      </w:r>
      <w:r w:rsidR="006E4B85" w:rsidRPr="009D4627">
        <w:rPr>
          <w:rFonts w:eastAsia="Times New Roman"/>
          <w:color w:val="auto"/>
          <w:lang w:eastAsia="en-MY"/>
        </w:rPr>
        <w:fldChar w:fldCharType="separate"/>
      </w:r>
      <w:r w:rsidR="006E4B85" w:rsidRPr="009D4627">
        <w:rPr>
          <w:rFonts w:eastAsia="Times New Roman"/>
          <w:noProof/>
          <w:color w:val="auto"/>
          <w:lang w:eastAsia="en-MY"/>
        </w:rPr>
        <w:t>(Hertle, 2017)</w:t>
      </w:r>
      <w:r w:rsidR="006E4B85" w:rsidRPr="009D4627">
        <w:rPr>
          <w:rFonts w:eastAsia="Times New Roman"/>
          <w:color w:val="auto"/>
          <w:lang w:eastAsia="en-MY"/>
        </w:rPr>
        <w:fldChar w:fldCharType="end"/>
      </w:r>
      <w:r w:rsidR="006E4B85" w:rsidRPr="009D4627">
        <w:rPr>
          <w:rFonts w:eastAsia="Times New Roman"/>
          <w:color w:val="auto"/>
          <w:lang w:eastAsia="en-MY"/>
        </w:rPr>
        <w:t xml:space="preserve"> and multiple sclerosis </w:t>
      </w:r>
      <w:r w:rsidR="006E4B85" w:rsidRPr="009D4627">
        <w:rPr>
          <w:rFonts w:eastAsia="Times New Roman"/>
          <w:color w:val="auto"/>
          <w:lang w:eastAsia="en-MY"/>
        </w:rPr>
        <w:fldChar w:fldCharType="begin">
          <w:fldData xml:space="preserve">PEVuZE5vdGU+PENpdGU+PEF1dGhvcj5EZSBTYW50aTwvQXV0aG9yPjxZZWFyPjIwMTA8L1llYXI+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</w:fldData>
        </w:fldChar>
      </w:r>
      <w:r w:rsidR="006E4B85" w:rsidRPr="009D4627">
        <w:rPr>
          <w:rFonts w:eastAsia="Times New Roman"/>
          <w:color w:val="auto"/>
          <w:lang w:eastAsia="en-MY"/>
        </w:rPr>
        <w:instrText xml:space="preserve"> ADDIN EN.CITE </w:instrText>
      </w:r>
      <w:r w:rsidR="006E4B85" w:rsidRPr="009D4627">
        <w:rPr>
          <w:rFonts w:eastAsia="Times New Roman"/>
          <w:color w:val="auto"/>
          <w:lang w:eastAsia="en-MY"/>
        </w:rPr>
        <w:fldChar w:fldCharType="begin">
          <w:fldData xml:space="preserve">PEVuZE5vdGU+PENpdGU+PEF1dGhvcj5EZSBTYW50aTwvQXV0aG9yPjxZZWFyPjIwMTA8L1llYXI+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</w:fldData>
        </w:fldChar>
      </w:r>
      <w:r w:rsidR="006E4B85" w:rsidRPr="009D4627">
        <w:rPr>
          <w:rFonts w:eastAsia="Times New Roman"/>
          <w:color w:val="auto"/>
          <w:lang w:eastAsia="en-MY"/>
        </w:rPr>
        <w:instrText xml:space="preserve"> ADDIN EN.CITE.DATA </w:instrText>
      </w:r>
      <w:r w:rsidR="006E4B85" w:rsidRPr="009D4627">
        <w:rPr>
          <w:rFonts w:eastAsia="Times New Roman"/>
          <w:color w:val="auto"/>
          <w:lang w:eastAsia="en-MY"/>
        </w:rPr>
      </w:r>
      <w:r w:rsidR="006E4B85" w:rsidRPr="009D4627">
        <w:rPr>
          <w:rFonts w:eastAsia="Times New Roman"/>
          <w:color w:val="auto"/>
          <w:lang w:eastAsia="en-MY"/>
        </w:rPr>
        <w:fldChar w:fldCharType="end"/>
      </w:r>
      <w:r w:rsidR="006E4B85" w:rsidRPr="009D4627">
        <w:rPr>
          <w:rFonts w:eastAsia="Times New Roman"/>
          <w:color w:val="auto"/>
          <w:lang w:eastAsia="en-MY"/>
        </w:rPr>
      </w:r>
      <w:r w:rsidR="006E4B85" w:rsidRPr="009D4627">
        <w:rPr>
          <w:rFonts w:eastAsia="Times New Roman"/>
          <w:color w:val="auto"/>
          <w:lang w:eastAsia="en-MY"/>
        </w:rPr>
        <w:fldChar w:fldCharType="separate"/>
      </w:r>
      <w:r w:rsidR="006E4B85" w:rsidRPr="009D4627">
        <w:rPr>
          <w:rFonts w:eastAsia="Times New Roman"/>
          <w:noProof/>
          <w:color w:val="auto"/>
          <w:lang w:eastAsia="en-MY"/>
        </w:rPr>
        <w:t>(De Santi et al., 2010)</w:t>
      </w:r>
      <w:r w:rsidR="006E4B85" w:rsidRPr="009D4627">
        <w:rPr>
          <w:rFonts w:eastAsia="Times New Roman"/>
          <w:color w:val="auto"/>
          <w:lang w:eastAsia="en-MY"/>
        </w:rPr>
        <w:fldChar w:fldCharType="end"/>
      </w:r>
      <w:r w:rsidR="006E4B85" w:rsidRPr="009D4627">
        <w:rPr>
          <w:rFonts w:eastAsia="Times New Roman"/>
          <w:color w:val="auto"/>
          <w:lang w:eastAsia="en-MY"/>
        </w:rPr>
        <w:t xml:space="preserve">. However, there was </w:t>
      </w:r>
      <w:r w:rsidR="00835BD9" w:rsidRPr="009D4627">
        <w:rPr>
          <w:rFonts w:eastAsia="Times New Roman"/>
          <w:color w:val="auto"/>
          <w:lang w:eastAsia="en-MY"/>
        </w:rPr>
        <w:t xml:space="preserve">only a study investigate the SP movements of unilateral single muscle palsy (CN IV and CN VI) which suggested the pursuit gain of the paretic eyes were impaired when moving towards the paretic gaze </w:t>
      </w:r>
      <w:r w:rsidR="00835BD9" w:rsidRPr="009D4627">
        <w:rPr>
          <w:rFonts w:eastAsia="Times New Roman"/>
          <w:color w:val="auto"/>
          <w:lang w:eastAsia="en-MY"/>
        </w:rPr>
        <w:fldChar w:fldCharType="begin">
          <w:fldData xml:space="preserve">PEVuZE5vdGU+PENpdGU+PEF1dGhvcj5UZWdldG1leWVyPC9BdXRob3I+PFllYXI+MjAwNzwvWWVh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</w:fldData>
        </w:fldChar>
      </w:r>
      <w:r w:rsidR="00835BD9" w:rsidRPr="009D4627">
        <w:rPr>
          <w:rFonts w:eastAsia="Times New Roman"/>
          <w:color w:val="auto"/>
          <w:lang w:eastAsia="en-MY"/>
        </w:rPr>
        <w:instrText xml:space="preserve"> ADDIN EN.CITE </w:instrText>
      </w:r>
      <w:r w:rsidR="00835BD9" w:rsidRPr="009D4627">
        <w:rPr>
          <w:rFonts w:eastAsia="Times New Roman"/>
          <w:color w:val="auto"/>
          <w:lang w:eastAsia="en-MY"/>
        </w:rPr>
        <w:fldChar w:fldCharType="begin">
          <w:fldData xml:space="preserve">PEVuZE5vdGU+PENpdGU+PEF1dGhvcj5UZWdldG1leWVyPC9BdXRob3I+PFllYXI+MjAwNzwvWWVh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</w:fldData>
        </w:fldChar>
      </w:r>
      <w:r w:rsidR="00835BD9" w:rsidRPr="009D4627">
        <w:rPr>
          <w:rFonts w:eastAsia="Times New Roman"/>
          <w:color w:val="auto"/>
          <w:lang w:eastAsia="en-MY"/>
        </w:rPr>
        <w:instrText xml:space="preserve"> ADDIN EN.CITE.DATA </w:instrText>
      </w:r>
      <w:r w:rsidR="00835BD9" w:rsidRPr="009D4627">
        <w:rPr>
          <w:rFonts w:eastAsia="Times New Roman"/>
          <w:color w:val="auto"/>
          <w:lang w:eastAsia="en-MY"/>
        </w:rPr>
      </w:r>
      <w:r w:rsidR="00835BD9" w:rsidRPr="009D4627">
        <w:rPr>
          <w:rFonts w:eastAsia="Times New Roman"/>
          <w:color w:val="auto"/>
          <w:lang w:eastAsia="en-MY"/>
        </w:rPr>
        <w:fldChar w:fldCharType="end"/>
      </w:r>
      <w:r w:rsidR="00835BD9" w:rsidRPr="009D4627">
        <w:rPr>
          <w:rFonts w:eastAsia="Times New Roman"/>
          <w:color w:val="auto"/>
          <w:lang w:eastAsia="en-MY"/>
        </w:rPr>
      </w:r>
      <w:r w:rsidR="00835BD9" w:rsidRPr="009D4627">
        <w:rPr>
          <w:rFonts w:eastAsia="Times New Roman"/>
          <w:color w:val="auto"/>
          <w:lang w:eastAsia="en-MY"/>
        </w:rPr>
        <w:fldChar w:fldCharType="separate"/>
      </w:r>
      <w:r w:rsidR="00835BD9" w:rsidRPr="009D4627">
        <w:rPr>
          <w:rFonts w:eastAsia="Times New Roman"/>
          <w:noProof/>
          <w:color w:val="auto"/>
          <w:lang w:eastAsia="en-MY"/>
        </w:rPr>
        <w:t>(Tegetmeyer et al., 2007)</w:t>
      </w:r>
      <w:r w:rsidR="00835BD9" w:rsidRPr="009D4627">
        <w:rPr>
          <w:rFonts w:eastAsia="Times New Roman"/>
          <w:color w:val="auto"/>
          <w:lang w:eastAsia="en-MY"/>
        </w:rPr>
        <w:fldChar w:fldCharType="end"/>
      </w:r>
      <w:r w:rsidR="006E4B85" w:rsidRPr="009D4627">
        <w:rPr>
          <w:rFonts w:eastAsia="Times New Roman"/>
          <w:color w:val="auto"/>
          <w:lang w:eastAsia="en-MY"/>
        </w:rPr>
        <w:t xml:space="preserve">. The SP system includes two phases: initiation and maintenance. </w:t>
      </w:r>
      <w:r w:rsidR="006E4B85" w:rsidRPr="009D4627">
        <w:rPr>
          <w:rFonts w:eastAsia="Times New Roman"/>
          <w:color w:val="auto"/>
          <w:lang w:eastAsia="en-MY"/>
        </w:rPr>
        <w:fldChar w:fldCharType="begin"/>
      </w:r>
      <w:r w:rsidR="006E4B85" w:rsidRPr="009D4627">
        <w:rPr>
          <w:rFonts w:eastAsia="Times New Roman"/>
          <w:color w:val="auto"/>
          <w:lang w:eastAsia="en-MY"/>
        </w:rPr>
        <w:instrText xml:space="preserve"> ADDIN EN.CITE &lt;EndNote&gt;&lt;Cite&gt;&lt;Author&gt;Levy&lt;/Author&gt;&lt;Year&gt;2010&lt;/Year&gt;&lt;IDText&gt;Eye tracking dysfunction in schizophrenia: characterization and pathophysiology. &lt;/IDText&gt;&lt;DisplayText&gt;(Levy et al., 2010)&lt;/DisplayText&gt;&lt;record&gt;&lt;titles&gt;&lt;title&gt;Eye tracking dysfunction in schizophrenia: characterization and pathophysiology. &lt;/title&gt;&lt;/titles&gt;&lt;titles&gt;&lt;secondary-title&gt;&lt;style face="italic" font="default" size="100%"&gt;Current topics in behavioral neurosciences&lt;/style&gt;&lt;/secondary-title&gt;&lt;/titles&gt;&lt;pages&gt;311–347&lt;/pages&gt;&lt;contributors&gt;&lt;authors&gt;&lt;author&gt;Levy, D. L.&lt;/author&gt;&lt;author&gt;Sereno, A. B.&lt;/author&gt;&lt;author&gt;Gooding, D. C.&lt;/author&gt;&lt;author&gt;O&amp;apos;Driscoll, G. A.&lt;/author&gt;&lt;/authors&gt;&lt;/contributors&gt;&lt;added-date format="utc"&gt;1645755551&lt;/added-date&gt;&lt;ref-type name="Journal Article"&gt;17&lt;/ref-type&gt;&lt;dates&gt;&lt;year&gt;2010&lt;/year&gt;&lt;/dates&gt;&lt;rec-number&gt;795&lt;/rec-number&gt;&lt;last-updated-date format="utc"&gt;1645755656&lt;/last-updated-date&gt;&lt;electronic-resource-num&gt;10.1007/7854_2010_60&lt;/electronic-resource-num&gt;&lt;volume&gt;4&lt;/volume&gt;&lt;/record&gt;&lt;/Cite&gt;&lt;/EndNote&gt;</w:instrText>
      </w:r>
      <w:r w:rsidR="006E4B85" w:rsidRPr="009D4627">
        <w:rPr>
          <w:rFonts w:eastAsia="Times New Roman"/>
          <w:color w:val="auto"/>
          <w:lang w:eastAsia="en-MY"/>
        </w:rPr>
        <w:fldChar w:fldCharType="separate"/>
      </w:r>
      <w:r w:rsidR="006E4B85" w:rsidRPr="009D4627">
        <w:rPr>
          <w:rFonts w:eastAsia="Times New Roman"/>
          <w:noProof/>
          <w:color w:val="auto"/>
          <w:lang w:eastAsia="en-MY"/>
        </w:rPr>
        <w:t>(Levy et al., 2010)</w:t>
      </w:r>
      <w:r w:rsidR="006E4B85" w:rsidRPr="009D4627">
        <w:rPr>
          <w:rFonts w:eastAsia="Times New Roman"/>
          <w:color w:val="auto"/>
          <w:lang w:eastAsia="en-MY"/>
        </w:rPr>
        <w:fldChar w:fldCharType="end"/>
      </w:r>
      <w:r w:rsidR="00EA2823">
        <w:rPr>
          <w:rFonts w:eastAsia="Times New Roman"/>
          <w:color w:val="auto"/>
          <w:lang w:eastAsia="en-MY"/>
        </w:rPr>
        <w:t>.</w:t>
      </w:r>
      <w:r w:rsidR="006E4B85" w:rsidRPr="009D4627">
        <w:rPr>
          <w:rFonts w:eastAsia="Times New Roman"/>
          <w:color w:val="auto"/>
          <w:lang w:eastAsia="en-MY"/>
        </w:rPr>
        <w:t xml:space="preserve"> The maintenance phase will determine the performance of the SP eye movements, which will be explained by the position error and gain </w:t>
      </w:r>
      <w:r w:rsidR="006E4B85" w:rsidRPr="009D4627">
        <w:rPr>
          <w:rFonts w:eastAsia="Times New Roman"/>
          <w:color w:val="auto"/>
          <w:lang w:eastAsia="en-MY"/>
        </w:rPr>
        <w:fldChar w:fldCharType="begin"/>
      </w:r>
      <w:r w:rsidR="006E4B85" w:rsidRPr="009D4627">
        <w:rPr>
          <w:rFonts w:eastAsia="Times New Roman"/>
          <w:color w:val="auto"/>
          <w:lang w:eastAsia="en-MY"/>
        </w:rPr>
        <w:instrText xml:space="preserve"> ADDIN EN.CITE &lt;EndNote&gt;&lt;Cite&gt;&lt;Author&gt;Levy&lt;/Author&gt;&lt;Year&gt;2010&lt;/Year&gt;&lt;IDText&gt;Eye tracking dysfunction in schizophrenia: characterization and pathophysiology. &lt;/IDText&gt;&lt;DisplayText&gt;(Levy et al., 2010)&lt;/DisplayText&gt;&lt;record&gt;&lt;titles&gt;&lt;title&gt;Eye tracking dysfunction in schizophrenia: characterization and pathophysiology. &lt;/title&gt;&lt;/titles&gt;&lt;titles&gt;&lt;secondary-title&gt;&lt;style face="italic" font="default" size="100%"&gt;Current topics in behavioral neurosciences&lt;/style&gt;&lt;/secondary-title&gt;&lt;/titles&gt;&lt;pages&gt;311–347&lt;/pages&gt;&lt;contributors&gt;&lt;authors&gt;&lt;author&gt;Levy, D. L.&lt;/author&gt;&lt;author&gt;Sereno, A. B.&lt;/author&gt;&lt;author&gt;Gooding, D. C.&lt;/author&gt;&lt;author&gt;O&amp;apos;Driscoll, G. A.&lt;/author&gt;&lt;/authors&gt;&lt;/contributors&gt;&lt;added-date format="utc"&gt;1645755551&lt;/added-date&gt;&lt;ref-type name="Journal Article"&gt;17&lt;/ref-type&gt;&lt;dates&gt;&lt;year&gt;2010&lt;/year&gt;&lt;/dates&gt;&lt;rec-number&gt;795&lt;/rec-number&gt;&lt;last-updated-date format="utc"&gt;1645755656&lt;/last-updated-date&gt;&lt;electronic-resource-num&gt;10.1007/7854_2010_60&lt;/electronic-resource-num&gt;&lt;volume&gt;4&lt;/volume&gt;&lt;/record&gt;&lt;/Cite&gt;&lt;/EndNote&gt;</w:instrText>
      </w:r>
      <w:r w:rsidR="006E4B85" w:rsidRPr="009D4627">
        <w:rPr>
          <w:rFonts w:eastAsia="Times New Roman"/>
          <w:color w:val="auto"/>
          <w:lang w:eastAsia="en-MY"/>
        </w:rPr>
        <w:fldChar w:fldCharType="separate"/>
      </w:r>
      <w:r w:rsidR="006E4B85" w:rsidRPr="009D4627">
        <w:rPr>
          <w:rFonts w:eastAsia="Times New Roman"/>
          <w:noProof/>
          <w:color w:val="auto"/>
          <w:lang w:eastAsia="en-MY"/>
        </w:rPr>
        <w:t>(Levy et al., 2010)</w:t>
      </w:r>
      <w:r w:rsidR="006E4B85" w:rsidRPr="009D4627">
        <w:rPr>
          <w:rFonts w:eastAsia="Times New Roman"/>
          <w:color w:val="auto"/>
          <w:lang w:eastAsia="en-MY"/>
        </w:rPr>
        <w:fldChar w:fldCharType="end"/>
      </w:r>
      <w:r w:rsidR="006E4B85" w:rsidRPr="009D4627">
        <w:rPr>
          <w:rFonts w:eastAsia="Times New Roman"/>
          <w:color w:val="auto"/>
          <w:lang w:eastAsia="en-MY"/>
        </w:rPr>
        <w:t xml:space="preserve">. </w:t>
      </w:r>
    </w:p>
    <w:p w14:paraId="74F0218D" w14:textId="1BABF676" w:rsidR="00B230DE" w:rsidRDefault="00123237" w:rsidP="001F6A9D">
      <w:pPr>
        <w:rPr>
          <w:rFonts w:eastAsia="Times New Roman"/>
          <w:color w:val="auto"/>
          <w:lang w:eastAsia="en-MY"/>
        </w:rPr>
      </w:pPr>
      <w:r w:rsidRPr="009D4627">
        <w:rPr>
          <w:rFonts w:eastAsia="Times New Roman"/>
          <w:color w:val="auto"/>
          <w:lang w:eastAsia="en-MY"/>
        </w:rPr>
        <w:t>The c</w:t>
      </w:r>
      <w:r w:rsidR="00B230DE" w:rsidRPr="009D4627">
        <w:rPr>
          <w:rFonts w:eastAsia="Times New Roman"/>
          <w:color w:val="auto"/>
          <w:lang w:eastAsia="en-MY"/>
        </w:rPr>
        <w:t>urrent</w:t>
      </w:r>
      <w:r w:rsidR="002421E6" w:rsidRPr="009D4627">
        <w:rPr>
          <w:rFonts w:eastAsia="Times New Roman"/>
          <w:color w:val="auto"/>
          <w:lang w:eastAsia="en-MY"/>
        </w:rPr>
        <w:t xml:space="preserve"> study d</w:t>
      </w:r>
      <w:r w:rsidRPr="009D4627">
        <w:rPr>
          <w:rFonts w:eastAsia="Times New Roman"/>
          <w:color w:val="auto"/>
          <w:lang w:eastAsia="en-MY"/>
        </w:rPr>
        <w:t>emonstrat</w:t>
      </w:r>
      <w:r w:rsidR="002421E6" w:rsidRPr="009D4627">
        <w:rPr>
          <w:rFonts w:eastAsia="Times New Roman"/>
          <w:color w:val="auto"/>
          <w:lang w:eastAsia="en-MY"/>
        </w:rPr>
        <w:t xml:space="preserve">ed that 0.6 </w:t>
      </w:r>
      <w:r w:rsidR="00513EB9" w:rsidRPr="009D4627">
        <w:rPr>
          <w:rFonts w:eastAsia="Times New Roman"/>
          <w:color w:val="auto"/>
          <w:lang w:eastAsia="en-MY"/>
        </w:rPr>
        <w:t xml:space="preserve">or 1.0 </w:t>
      </w:r>
      <w:r w:rsidR="002421E6" w:rsidRPr="009D4627">
        <w:rPr>
          <w:rFonts w:eastAsia="Times New Roman"/>
          <w:color w:val="auto"/>
          <w:lang w:eastAsia="en-MY"/>
        </w:rPr>
        <w:t xml:space="preserve">Hz is the best horizontal SP testing frequency for detecting </w:t>
      </w:r>
      <w:r w:rsidR="00EA2823" w:rsidRPr="009D4627">
        <w:rPr>
          <w:rFonts w:eastAsia="Times New Roman"/>
          <w:color w:val="auto"/>
          <w:lang w:eastAsia="en-MY"/>
        </w:rPr>
        <w:t>deficits</w:t>
      </w:r>
      <w:r w:rsidR="00EA2823">
        <w:rPr>
          <w:rFonts w:eastAsia="Times New Roman"/>
          <w:color w:val="auto"/>
          <w:lang w:eastAsia="en-MY"/>
        </w:rPr>
        <w:t xml:space="preserve"> of SP maintenance</w:t>
      </w:r>
      <w:r w:rsidR="00EA2823" w:rsidRPr="009D4627">
        <w:rPr>
          <w:rFonts w:eastAsia="Times New Roman"/>
          <w:color w:val="auto"/>
          <w:lang w:eastAsia="en-MY"/>
        </w:rPr>
        <w:t xml:space="preserve"> </w:t>
      </w:r>
      <w:r w:rsidR="002421E6" w:rsidRPr="009D4627">
        <w:rPr>
          <w:rFonts w:eastAsia="Times New Roman"/>
          <w:color w:val="auto"/>
          <w:lang w:eastAsia="en-MY"/>
        </w:rPr>
        <w:t>in acquired ONP patients.</w:t>
      </w:r>
      <w:r w:rsidR="001C2F68" w:rsidRPr="009D4627">
        <w:rPr>
          <w:rFonts w:eastAsia="Times New Roman"/>
          <w:color w:val="auto"/>
          <w:lang w:eastAsia="en-MY"/>
        </w:rPr>
        <w:t xml:space="preserve"> </w:t>
      </w:r>
      <w:r w:rsidR="00EA2823">
        <w:rPr>
          <w:rFonts w:eastAsia="Times New Roman"/>
          <w:color w:val="auto"/>
          <w:lang w:eastAsia="en-MY"/>
        </w:rPr>
        <w:t>Results</w:t>
      </w:r>
      <w:r w:rsidR="00ED15C2" w:rsidRPr="009D4627">
        <w:rPr>
          <w:rFonts w:eastAsia="Times New Roman"/>
          <w:color w:val="auto"/>
          <w:lang w:eastAsia="en-MY"/>
        </w:rPr>
        <w:t xml:space="preserve"> showed that the horizontal SP gain was significantly reduced for patients with CN III palsy as shown by the previous study </w:t>
      </w:r>
      <w:r w:rsidR="00ED15C2" w:rsidRPr="009D4627">
        <w:rPr>
          <w:rFonts w:eastAsia="Times New Roman"/>
          <w:color w:val="auto"/>
          <w:lang w:eastAsia="en-MY"/>
        </w:rPr>
        <w:fldChar w:fldCharType="begin"/>
      </w:r>
      <w:r w:rsidR="00ED15C2" w:rsidRPr="009D4627">
        <w:rPr>
          <w:rFonts w:eastAsia="Times New Roman"/>
          <w:color w:val="auto"/>
          <w:lang w:eastAsia="en-MY"/>
        </w:rPr>
        <w:instrText xml:space="preserve"> ADDIN EN.CITE &lt;EndNote&gt;&lt;Cite&gt;&lt;Author&gt;Tegetmeyer&lt;/Author&gt;&lt;Year&gt;2002&lt;/Year&gt;&lt;IDText&gt;Smooth pursuit eye movements in patients with ocular motor nerve palsies: a preliminary report&lt;/IDText&gt;&lt;DisplayText&gt;(Tegetmeyer et al., 2002)&lt;/DisplayText&gt;&lt;record&gt;&lt;isbn&gt;0927-3972&lt;/isbn&gt;&lt;titles&gt;&lt;title&gt;Smooth pursuit eye movements in patients with ocular motor nerve palsies: a preliminary report&lt;/title&gt;&lt;secondary-title&gt;Strabismus&lt;/secondary-title&gt;&lt;/titles&gt;&lt;pages&gt;75-78&lt;/pages&gt;&lt;number&gt;2&lt;/number&gt;&lt;contributors&gt;&lt;authors&gt;&lt;author&gt;Tegetmeyer, H.&lt;/author&gt;&lt;author&gt;Blaschke, Th&lt;/author&gt;&lt;author&gt;Sterker, I.&lt;/author&gt;&lt;/authors&gt;&lt;/contributors&gt;&lt;added-date format="utc"&gt;1494514924&lt;/added-date&gt;&lt;pub-location&gt;[Buren, the Netherlands] :&lt;/pub-location&gt;&lt;ref-type name="Journal Article"&gt;17&lt;/ref-type&gt;&lt;dates&gt;&lt;year&gt;2002&lt;/year&gt;&lt;/dates&gt;&lt;rec-number&gt;72&lt;/rec-number&gt;&lt;last-updated-date format="utc"&gt;1494514924&lt;/last-updated-date&gt;&lt;volume&gt;10&lt;/volume&gt;&lt;/record&gt;&lt;/Cite&gt;&lt;/EndNote&gt;</w:instrText>
      </w:r>
      <w:r w:rsidR="00ED15C2" w:rsidRPr="009D4627">
        <w:rPr>
          <w:rFonts w:eastAsia="Times New Roman"/>
          <w:color w:val="auto"/>
          <w:lang w:eastAsia="en-MY"/>
        </w:rPr>
        <w:fldChar w:fldCharType="separate"/>
      </w:r>
      <w:r w:rsidR="00ED15C2" w:rsidRPr="009D4627">
        <w:rPr>
          <w:rFonts w:eastAsia="Times New Roman"/>
          <w:noProof/>
          <w:color w:val="auto"/>
          <w:lang w:eastAsia="en-MY"/>
        </w:rPr>
        <w:t>(Tegetmeyer et al., 2002)</w:t>
      </w:r>
      <w:r w:rsidR="00ED15C2" w:rsidRPr="009D4627">
        <w:rPr>
          <w:rFonts w:eastAsia="Times New Roman"/>
          <w:color w:val="auto"/>
          <w:lang w:eastAsia="en-MY"/>
        </w:rPr>
        <w:fldChar w:fldCharType="end"/>
      </w:r>
      <w:r w:rsidR="00ED15C2" w:rsidRPr="009D4627">
        <w:rPr>
          <w:rFonts w:eastAsia="Times New Roman"/>
          <w:color w:val="auto"/>
          <w:lang w:eastAsia="en-MY"/>
        </w:rPr>
        <w:t>.</w:t>
      </w:r>
      <w:r w:rsidR="002B3C59" w:rsidRPr="009D4627">
        <w:rPr>
          <w:rFonts w:eastAsia="Times New Roman"/>
          <w:color w:val="auto"/>
          <w:lang w:eastAsia="en-MY"/>
        </w:rPr>
        <w:t xml:space="preserve"> </w:t>
      </w:r>
      <w:r w:rsidR="00ED15C2" w:rsidRPr="009D4627">
        <w:rPr>
          <w:rFonts w:eastAsia="Times New Roman"/>
          <w:color w:val="auto"/>
          <w:lang w:eastAsia="en-MY"/>
        </w:rPr>
        <w:t xml:space="preserve">However, CN VI palsy did not </w:t>
      </w:r>
      <w:r w:rsidR="00B230DE" w:rsidRPr="009D4627">
        <w:rPr>
          <w:rFonts w:eastAsia="Times New Roman"/>
          <w:color w:val="auto"/>
          <w:lang w:eastAsia="en-MY"/>
        </w:rPr>
        <w:t>show</w:t>
      </w:r>
      <w:r w:rsidR="00ED15C2" w:rsidRPr="009D4627">
        <w:rPr>
          <w:rFonts w:eastAsia="Times New Roman"/>
          <w:color w:val="auto"/>
          <w:lang w:eastAsia="en-MY"/>
        </w:rPr>
        <w:t xml:space="preserve"> any significant impact on the affected eyes. </w:t>
      </w:r>
      <w:r w:rsidR="00FD028F" w:rsidRPr="009D4627">
        <w:rPr>
          <w:rFonts w:eastAsia="Times New Roman"/>
          <w:color w:val="auto"/>
          <w:lang w:eastAsia="en-MY"/>
        </w:rPr>
        <w:t xml:space="preserve">The sinusoidal stimulus used in this study does not allow the analysis to differentiate between pursuit movements toward the palsy gaze and the </w:t>
      </w:r>
      <w:r w:rsidR="00EA4EF3">
        <w:rPr>
          <w:rFonts w:eastAsia="Times New Roman"/>
          <w:color w:val="auto"/>
          <w:lang w:eastAsia="en-MY"/>
        </w:rPr>
        <w:t>unaffected</w:t>
      </w:r>
      <w:r w:rsidR="00FD028F" w:rsidRPr="009D4627">
        <w:rPr>
          <w:rFonts w:eastAsia="Times New Roman"/>
          <w:color w:val="auto"/>
          <w:lang w:eastAsia="en-MY"/>
        </w:rPr>
        <w:t xml:space="preserve"> </w:t>
      </w:r>
      <w:r w:rsidR="00FD028F" w:rsidRPr="009D4627">
        <w:rPr>
          <w:rFonts w:eastAsia="Times New Roman"/>
          <w:color w:val="auto"/>
          <w:lang w:eastAsia="en-MY"/>
        </w:rPr>
        <w:lastRenderedPageBreak/>
        <w:t xml:space="preserve">gaze because the stimulus is </w:t>
      </w:r>
      <w:r w:rsidRPr="009D4627">
        <w:rPr>
          <w:rFonts w:eastAsia="Times New Roman"/>
          <w:color w:val="auto"/>
          <w:lang w:eastAsia="en-MY"/>
        </w:rPr>
        <w:t xml:space="preserve">a </w:t>
      </w:r>
      <w:r w:rsidR="00FD028F" w:rsidRPr="009D4627">
        <w:rPr>
          <w:rFonts w:eastAsia="Times New Roman"/>
          <w:color w:val="auto"/>
          <w:lang w:eastAsia="en-MY"/>
        </w:rPr>
        <w:t xml:space="preserve">continuously changing sinusoidal wave </w:t>
      </w:r>
      <w:r w:rsidR="00FD028F" w:rsidRPr="009D4627">
        <w:rPr>
          <w:rFonts w:eastAsia="Times New Roman"/>
          <w:color w:val="auto"/>
          <w:lang w:eastAsia="en-MY"/>
        </w:rPr>
        <w:fldChar w:fldCharType="begin"/>
      </w:r>
      <w:r w:rsidR="00FD028F" w:rsidRPr="009D4627">
        <w:rPr>
          <w:rFonts w:eastAsia="Times New Roman"/>
          <w:color w:val="auto"/>
          <w:lang w:eastAsia="en-MY"/>
        </w:rPr>
        <w:instrText xml:space="preserve"> ADDIN EN.CITE &lt;EndNote&gt;&lt;Cite&gt;&lt;Author&gt;Ohashi&lt;/Author&gt;&lt;Year&gt;1985&lt;/Year&gt;&lt;IDText&gt;Quantitative measurement of smooth pursuit using a continuously changing sinusoidal wave in normal subjects.&lt;/IDText&gt;&lt;DisplayText&gt;(Ohashi et al., 1985)&lt;/DisplayText&gt;&lt;record&gt;&lt;titles&gt;&lt;title&gt;Quantitative measurement of smooth pursuit using a continuously changing sinusoidal wave in normal subjects.&lt;/title&gt;&lt;/titles&gt;&lt;titles&gt;&lt;secondary-title&gt;&lt;style face="italic" font="default" size="100%"&gt;ORL; journal for oto-rhino-laryngology and its related specialties&lt;/style&gt;&lt;/secondary-title&gt;&lt;/titles&gt;&lt;pages&gt;49-56&lt;/pages&gt;&lt;number&gt;1&lt;/number&gt;&lt;contributors&gt;&lt;authors&gt;&lt;author&gt;Ohashi, N.,&lt;/author&gt;&lt;author&gt;Watanabe, Y.,&lt;/author&gt;&lt;author&gt;Kobayashi, H.,&lt;/author&gt;&lt;author&gt;Mizukoshi, K.&lt;/author&gt;&lt;/authors&gt;&lt;/contributors&gt;&lt;added-date format="utc"&gt;1645685594&lt;/added-date&gt;&lt;ref-type name="Journal Article"&gt;17&lt;/ref-type&gt;&lt;dates&gt;&lt;year&gt;1985&lt;/year&gt;&lt;/dates&gt;&lt;rec-number&gt;793&lt;/rec-number&gt;&lt;last-updated-date format="utc"&gt;1645686187&lt;/last-updated-date&gt;&lt;electronic-resource-num&gt;10.1159/000275745&lt;/electronic-resource-num&gt;&lt;volume&gt;47&lt;/volume&gt;&lt;num-vols&gt;1&lt;/num-vols&gt;&lt;/record&gt;&lt;/Cite&gt;&lt;/EndNote&gt;</w:instrText>
      </w:r>
      <w:r w:rsidR="00FD028F" w:rsidRPr="009D4627">
        <w:rPr>
          <w:rFonts w:eastAsia="Times New Roman"/>
          <w:color w:val="auto"/>
          <w:lang w:eastAsia="en-MY"/>
        </w:rPr>
        <w:fldChar w:fldCharType="separate"/>
      </w:r>
      <w:r w:rsidR="00FD028F" w:rsidRPr="009D4627">
        <w:rPr>
          <w:rFonts w:eastAsia="Times New Roman"/>
          <w:noProof/>
          <w:color w:val="auto"/>
          <w:lang w:eastAsia="en-MY"/>
        </w:rPr>
        <w:t>(Ohashi et al., 1985)</w:t>
      </w:r>
      <w:r w:rsidR="00FD028F" w:rsidRPr="009D4627">
        <w:rPr>
          <w:rFonts w:eastAsia="Times New Roman"/>
          <w:color w:val="auto"/>
          <w:lang w:eastAsia="en-MY"/>
        </w:rPr>
        <w:fldChar w:fldCharType="end"/>
      </w:r>
      <w:r w:rsidR="00ED15C2" w:rsidRPr="009D4627">
        <w:rPr>
          <w:rFonts w:eastAsia="Times New Roman"/>
          <w:color w:val="auto"/>
          <w:lang w:eastAsia="en-MY"/>
        </w:rPr>
        <w:t xml:space="preserve">. As a result, the deficit movement towards the palsy gaze will be cancelled out by the perfect movement towards the </w:t>
      </w:r>
      <w:r w:rsidR="00EA4EF3">
        <w:rPr>
          <w:rFonts w:eastAsia="Times New Roman"/>
          <w:color w:val="auto"/>
          <w:lang w:eastAsia="en-MY"/>
        </w:rPr>
        <w:t>unaffected</w:t>
      </w:r>
      <w:r w:rsidR="00ED15C2" w:rsidRPr="009D4627">
        <w:rPr>
          <w:rFonts w:eastAsia="Times New Roman"/>
          <w:color w:val="auto"/>
          <w:lang w:eastAsia="en-MY"/>
        </w:rPr>
        <w:t xml:space="preserve"> gaze, resulting in no significant deficit as shown by the </w:t>
      </w:r>
      <w:r w:rsidR="00B230DE" w:rsidRPr="009D4627">
        <w:rPr>
          <w:rFonts w:eastAsia="Times New Roman"/>
          <w:color w:val="auto"/>
          <w:lang w:eastAsia="en-MY"/>
        </w:rPr>
        <w:t xml:space="preserve">horizontal </w:t>
      </w:r>
      <w:r w:rsidR="00ED15C2" w:rsidRPr="009D4627">
        <w:rPr>
          <w:rFonts w:eastAsia="Times New Roman"/>
          <w:color w:val="auto"/>
          <w:lang w:eastAsia="en-MY"/>
        </w:rPr>
        <w:t>SP parameters</w:t>
      </w:r>
      <w:r w:rsidR="00FD028F" w:rsidRPr="009D4627">
        <w:rPr>
          <w:rFonts w:eastAsia="Times New Roman"/>
          <w:color w:val="auto"/>
          <w:lang w:eastAsia="en-MY"/>
        </w:rPr>
        <w:t xml:space="preserve"> </w:t>
      </w:r>
      <w:r w:rsidR="00B230DE" w:rsidRPr="009D4627">
        <w:rPr>
          <w:rFonts w:eastAsia="Times New Roman"/>
          <w:color w:val="auto"/>
          <w:lang w:eastAsia="en-MY"/>
        </w:rPr>
        <w:t>of C</w:t>
      </w:r>
      <w:r w:rsidR="00FD028F" w:rsidRPr="009D4627">
        <w:rPr>
          <w:rFonts w:eastAsia="Times New Roman"/>
          <w:color w:val="auto"/>
          <w:lang w:eastAsia="en-MY"/>
        </w:rPr>
        <w:t xml:space="preserve">N VI patients. </w:t>
      </w:r>
      <w:r w:rsidR="00E262FB">
        <w:rPr>
          <w:rFonts w:eastAsia="Times New Roman"/>
          <w:color w:val="auto"/>
          <w:lang w:eastAsia="en-MY"/>
        </w:rPr>
        <w:t xml:space="preserve">However, it is </w:t>
      </w:r>
      <w:r w:rsidR="00DC48D6">
        <w:rPr>
          <w:rFonts w:eastAsia="Times New Roman"/>
          <w:color w:val="auto"/>
          <w:lang w:eastAsia="en-MY"/>
        </w:rPr>
        <w:t>suggested</w:t>
      </w:r>
      <w:r w:rsidR="00E262FB">
        <w:rPr>
          <w:rFonts w:eastAsia="Times New Roman"/>
          <w:color w:val="auto"/>
          <w:lang w:eastAsia="en-MY"/>
        </w:rPr>
        <w:t xml:space="preserve"> to evaluate the SP maintenance by observing the SP trace in the DV software</w:t>
      </w:r>
      <w:r w:rsidR="00DC48D6">
        <w:rPr>
          <w:rFonts w:eastAsia="Times New Roman"/>
          <w:color w:val="auto"/>
          <w:lang w:eastAsia="en-MY"/>
        </w:rPr>
        <w:t xml:space="preserve"> </w:t>
      </w:r>
      <w:r w:rsidR="00F72DE8">
        <w:rPr>
          <w:rFonts w:eastAsia="Times New Roman"/>
          <w:color w:val="auto"/>
          <w:lang w:eastAsia="en-MY"/>
        </w:rPr>
        <w:t xml:space="preserve">at every visit </w:t>
      </w:r>
      <w:r w:rsidR="00DC48D6">
        <w:rPr>
          <w:rFonts w:eastAsia="Times New Roman"/>
          <w:color w:val="auto"/>
          <w:lang w:eastAsia="en-MY"/>
        </w:rPr>
        <w:t xml:space="preserve">(Figure </w:t>
      </w:r>
      <w:r w:rsidR="00645D8A">
        <w:rPr>
          <w:rFonts w:eastAsia="Times New Roman"/>
          <w:color w:val="auto"/>
          <w:lang w:eastAsia="en-MY"/>
        </w:rPr>
        <w:t>5.2)</w:t>
      </w:r>
      <w:r w:rsidR="00E262FB">
        <w:rPr>
          <w:rFonts w:eastAsia="Times New Roman"/>
          <w:color w:val="auto"/>
          <w:lang w:eastAsia="en-MY"/>
        </w:rPr>
        <w:t xml:space="preserve">. </w:t>
      </w:r>
      <w:r w:rsidR="00EA2823">
        <w:rPr>
          <w:rFonts w:eastAsia="Times New Roman"/>
          <w:color w:val="auto"/>
          <w:lang w:eastAsia="en-MY"/>
        </w:rPr>
        <w:t>The live trace clearly demonstrated the improvement of SP from visit to visit apart from analysing the numerical values includes gain, RMSE and duration.</w:t>
      </w:r>
    </w:p>
    <w:tbl>
      <w:tblPr>
        <w:tblStyle w:val="TableGrid"/>
        <w:tblW w:w="0" w:type="auto"/>
        <w:tblLook w:val="04A0" w:firstRow="1" w:lastRow="0" w:firstColumn="1" w:lastColumn="0" w:noHBand="0" w:noVBand="1"/>
      </w:tblPr>
      <w:tblGrid>
        <w:gridCol w:w="9016"/>
      </w:tblGrid>
      <w:tr w:rsidR="00F72DE8" w14:paraId="4DF2B6E3" w14:textId="77777777" w:rsidTr="00F72DE8">
        <w:tc>
          <w:tcPr>
            <w:tcW w:w="9016" w:type="dxa"/>
          </w:tcPr>
          <w:p w14:paraId="6104D7E0" w14:textId="47C6F83E" w:rsidR="00F72DE8" w:rsidRDefault="00F72DE8" w:rsidP="00EA2823">
            <w:pPr>
              <w:spacing w:before="0" w:after="0" w:line="240" w:lineRule="auto"/>
              <w:rPr>
                <w:rFonts w:eastAsia="Times New Roman"/>
                <w:color w:val="auto"/>
                <w:lang w:eastAsia="en-MY"/>
              </w:rPr>
            </w:pPr>
            <w:r w:rsidRPr="00F72DE8">
              <w:rPr>
                <w:noProof/>
                <w:sz w:val="20"/>
                <w:szCs w:val="20"/>
              </w:rPr>
              <mc:AlternateContent>
                <mc:Choice Requires="wps">
                  <w:drawing>
                    <wp:anchor distT="0" distB="0" distL="114300" distR="114300" simplePos="0" relativeHeight="251964928" behindDoc="0" locked="0" layoutInCell="1" allowOverlap="1" wp14:anchorId="5F19072D" wp14:editId="1BAA0AA6">
                      <wp:simplePos x="0" y="0"/>
                      <wp:positionH relativeFrom="column">
                        <wp:posOffset>956945</wp:posOffset>
                      </wp:positionH>
                      <wp:positionV relativeFrom="paragraph">
                        <wp:posOffset>130810</wp:posOffset>
                      </wp:positionV>
                      <wp:extent cx="600075" cy="152400"/>
                      <wp:effectExtent l="0" t="0" r="9525" b="0"/>
                      <wp:wrapNone/>
                      <wp:docPr id="20" name="Rectangle 20"/>
                      <wp:cNvGraphicFramePr/>
                      <a:graphic xmlns:a="http://schemas.openxmlformats.org/drawingml/2006/main">
                        <a:graphicData uri="http://schemas.microsoft.com/office/word/2010/wordprocessingShape">
                          <wps:wsp>
                            <wps:cNvSpPr/>
                            <wps:spPr>
                              <a:xfrm>
                                <a:off x="0" y="0"/>
                                <a:ext cx="600075" cy="152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02EA51" w14:textId="07AA9D63"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9072D" id="Rectangle 20" o:spid="_x0000_s1379" style="position:absolute;left:0;text-align:left;margin-left:75.35pt;margin-top:10.3pt;width:47.25pt;height:12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" filled="f" stroked="f" strokeweight="1pt">
                      <v:textbox inset="0,0,0,0">
                        <w:txbxContent>
                          <w:p w14:paraId="4002EA51" w14:textId="07AA9D63"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1</w:t>
                            </w:r>
                          </w:p>
                        </w:txbxContent>
                      </v:textbox>
                    </v:rect>
                  </w:pict>
                </mc:Fallback>
              </mc:AlternateContent>
            </w:r>
            <w:r w:rsidRPr="00F72DE8">
              <w:rPr>
                <w:noProof/>
                <w:sz w:val="20"/>
                <w:szCs w:val="20"/>
              </w:rPr>
              <mc:AlternateContent>
                <mc:Choice Requires="wps">
                  <w:drawing>
                    <wp:anchor distT="0" distB="0" distL="114300" distR="114300" simplePos="0" relativeHeight="251966976" behindDoc="0" locked="0" layoutInCell="1" allowOverlap="1" wp14:anchorId="0F7E4F3D" wp14:editId="65675134">
                      <wp:simplePos x="0" y="0"/>
                      <wp:positionH relativeFrom="column">
                        <wp:posOffset>3785870</wp:posOffset>
                      </wp:positionH>
                      <wp:positionV relativeFrom="paragraph">
                        <wp:posOffset>86360</wp:posOffset>
                      </wp:positionV>
                      <wp:extent cx="600075" cy="152400"/>
                      <wp:effectExtent l="0" t="0" r="9525" b="0"/>
                      <wp:wrapNone/>
                      <wp:docPr id="35" name="Rectangle 35"/>
                      <wp:cNvGraphicFramePr/>
                      <a:graphic xmlns:a="http://schemas.openxmlformats.org/drawingml/2006/main">
                        <a:graphicData uri="http://schemas.microsoft.com/office/word/2010/wordprocessingShape">
                          <wps:wsp>
                            <wps:cNvSpPr/>
                            <wps:spPr>
                              <a:xfrm>
                                <a:off x="0" y="0"/>
                                <a:ext cx="600075" cy="152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95CA4F" w14:textId="06144780"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E4F3D" id="Rectangle 35" o:spid="_x0000_s1380" style="position:absolute;left:0;text-align:left;margin-left:298.1pt;margin-top:6.8pt;width:47.25pt;height:12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" filled="f" stroked="f" strokeweight="1pt">
                      <v:textbox inset="0,0,0,0">
                        <w:txbxContent>
                          <w:p w14:paraId="2995CA4F" w14:textId="06144780"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2</w:t>
                            </w:r>
                          </w:p>
                        </w:txbxContent>
                      </v:textbox>
                    </v:rect>
                  </w:pict>
                </mc:Fallback>
              </mc:AlternateContent>
            </w:r>
            <w:r>
              <w:rPr>
                <w:noProof/>
              </w:rPr>
              <w:drawing>
                <wp:inline distT="0" distB="0" distL="0" distR="0" wp14:anchorId="16944FBD" wp14:editId="00C4E74A">
                  <wp:extent cx="2520000" cy="132309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3" cstate="screen">
                            <a:extLst>
                              <a:ext uri="{28A0092B-C50C-407E-A947-70E740481C1C}">
                                <a14:useLocalDpi xmlns:a14="http://schemas.microsoft.com/office/drawing/2010/main" val="0"/>
                              </a:ext>
                            </a:extLst>
                          </a:blip>
                          <a:srcRect/>
                          <a:stretch>
                            <a:fillRect/>
                          </a:stretch>
                        </pic:blipFill>
                        <pic:spPr bwMode="auto">
                          <a:xfrm>
                            <a:off x="0" y="0"/>
                            <a:ext cx="2520000" cy="1323098"/>
                          </a:xfrm>
                          <a:prstGeom prst="rect">
                            <a:avLst/>
                          </a:prstGeom>
                          <a:noFill/>
                          <a:ln>
                            <a:noFill/>
                          </a:ln>
                        </pic:spPr>
                      </pic:pic>
                    </a:graphicData>
                  </a:graphic>
                </wp:inline>
              </w:drawing>
            </w:r>
            <w:r>
              <w:rPr>
                <w:rFonts w:eastAsia="Times New Roman"/>
                <w:color w:val="auto"/>
                <w:lang w:eastAsia="en-MY"/>
              </w:rPr>
              <w:t xml:space="preserve">      </w:t>
            </w:r>
            <w:r>
              <w:rPr>
                <w:noProof/>
              </w:rPr>
              <w:drawing>
                <wp:inline distT="0" distB="0" distL="0" distR="0" wp14:anchorId="56BFEA8A" wp14:editId="1CE9A973">
                  <wp:extent cx="2520000" cy="132309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4" cstate="screen">
                            <a:extLst>
                              <a:ext uri="{28A0092B-C50C-407E-A947-70E740481C1C}">
                                <a14:useLocalDpi xmlns:a14="http://schemas.microsoft.com/office/drawing/2010/main" val="0"/>
                              </a:ext>
                            </a:extLst>
                          </a:blip>
                          <a:srcRect/>
                          <a:stretch>
                            <a:fillRect/>
                          </a:stretch>
                        </pic:blipFill>
                        <pic:spPr bwMode="auto">
                          <a:xfrm>
                            <a:off x="0" y="0"/>
                            <a:ext cx="2520000" cy="1323098"/>
                          </a:xfrm>
                          <a:prstGeom prst="rect">
                            <a:avLst/>
                          </a:prstGeom>
                          <a:noFill/>
                          <a:ln>
                            <a:noFill/>
                          </a:ln>
                        </pic:spPr>
                      </pic:pic>
                    </a:graphicData>
                  </a:graphic>
                </wp:inline>
              </w:drawing>
            </w:r>
          </w:p>
          <w:p w14:paraId="3D54A96F" w14:textId="4A95585A" w:rsidR="00F72DE8" w:rsidRDefault="00F72DE8" w:rsidP="00EA2823">
            <w:pPr>
              <w:spacing w:before="0" w:after="0" w:line="240" w:lineRule="auto"/>
              <w:rPr>
                <w:rFonts w:eastAsia="Times New Roman"/>
                <w:color w:val="auto"/>
                <w:lang w:eastAsia="en-MY"/>
              </w:rPr>
            </w:pPr>
            <w:r w:rsidRPr="00F72DE8">
              <w:rPr>
                <w:noProof/>
                <w:sz w:val="20"/>
                <w:szCs w:val="20"/>
              </w:rPr>
              <mc:AlternateContent>
                <mc:Choice Requires="wps">
                  <w:drawing>
                    <wp:anchor distT="0" distB="0" distL="114300" distR="114300" simplePos="0" relativeHeight="251971072" behindDoc="0" locked="0" layoutInCell="1" allowOverlap="1" wp14:anchorId="7724F295" wp14:editId="5E2832B8">
                      <wp:simplePos x="0" y="0"/>
                      <wp:positionH relativeFrom="column">
                        <wp:posOffset>3822700</wp:posOffset>
                      </wp:positionH>
                      <wp:positionV relativeFrom="paragraph">
                        <wp:posOffset>118110</wp:posOffset>
                      </wp:positionV>
                      <wp:extent cx="600075" cy="152400"/>
                      <wp:effectExtent l="0" t="0" r="9525" b="0"/>
                      <wp:wrapNone/>
                      <wp:docPr id="44" name="Rectangle 44"/>
                      <wp:cNvGraphicFramePr/>
                      <a:graphic xmlns:a="http://schemas.openxmlformats.org/drawingml/2006/main">
                        <a:graphicData uri="http://schemas.microsoft.com/office/word/2010/wordprocessingShape">
                          <wps:wsp>
                            <wps:cNvSpPr/>
                            <wps:spPr>
                              <a:xfrm>
                                <a:off x="0" y="0"/>
                                <a:ext cx="600075" cy="152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3E7D1" w14:textId="15BF804E"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4F295" id="Rectangle 44" o:spid="_x0000_s1381" style="position:absolute;left:0;text-align:left;margin-left:301pt;margin-top:9.3pt;width:47.25pt;height:12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" filled="f" stroked="f" strokeweight="1pt">
                      <v:textbox inset="0,0,0,0">
                        <w:txbxContent>
                          <w:p w14:paraId="7893E7D1" w14:textId="15BF804E"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4</w:t>
                            </w:r>
                          </w:p>
                        </w:txbxContent>
                      </v:textbox>
                    </v:rect>
                  </w:pict>
                </mc:Fallback>
              </mc:AlternateContent>
            </w:r>
            <w:r w:rsidRPr="00F72DE8">
              <w:rPr>
                <w:noProof/>
                <w:sz w:val="20"/>
                <w:szCs w:val="20"/>
              </w:rPr>
              <mc:AlternateContent>
                <mc:Choice Requires="wps">
                  <w:drawing>
                    <wp:anchor distT="0" distB="0" distL="114300" distR="114300" simplePos="0" relativeHeight="251969024" behindDoc="0" locked="0" layoutInCell="1" allowOverlap="1" wp14:anchorId="4A342D5D" wp14:editId="472E9808">
                      <wp:simplePos x="0" y="0"/>
                      <wp:positionH relativeFrom="column">
                        <wp:posOffset>1031875</wp:posOffset>
                      </wp:positionH>
                      <wp:positionV relativeFrom="paragraph">
                        <wp:posOffset>118110</wp:posOffset>
                      </wp:positionV>
                      <wp:extent cx="600075" cy="152400"/>
                      <wp:effectExtent l="0" t="0" r="9525" b="0"/>
                      <wp:wrapNone/>
                      <wp:docPr id="42" name="Rectangle 42"/>
                      <wp:cNvGraphicFramePr/>
                      <a:graphic xmlns:a="http://schemas.openxmlformats.org/drawingml/2006/main">
                        <a:graphicData uri="http://schemas.microsoft.com/office/word/2010/wordprocessingShape">
                          <wps:wsp>
                            <wps:cNvSpPr/>
                            <wps:spPr>
                              <a:xfrm>
                                <a:off x="0" y="0"/>
                                <a:ext cx="600075" cy="152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2C4870" w14:textId="3383AB23"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42D5D" id="Rectangle 42" o:spid="_x0000_s1382" style="position:absolute;left:0;text-align:left;margin-left:81.25pt;margin-top:9.3pt;width:47.25pt;height:12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" filled="f" stroked="f" strokeweight="1pt">
                      <v:textbox inset="0,0,0,0">
                        <w:txbxContent>
                          <w:p w14:paraId="362C4870" w14:textId="3383AB23"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3</w:t>
                            </w:r>
                          </w:p>
                        </w:txbxContent>
                      </v:textbox>
                    </v:rect>
                  </w:pict>
                </mc:Fallback>
              </mc:AlternateContent>
            </w:r>
            <w:r>
              <w:rPr>
                <w:noProof/>
              </w:rPr>
              <w:drawing>
                <wp:inline distT="0" distB="0" distL="0" distR="0" wp14:anchorId="39BCB373" wp14:editId="4B1650A8">
                  <wp:extent cx="2520000" cy="132309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5" cstate="screen">
                            <a:extLst>
                              <a:ext uri="{28A0092B-C50C-407E-A947-70E740481C1C}">
                                <a14:useLocalDpi xmlns:a14="http://schemas.microsoft.com/office/drawing/2010/main" val="0"/>
                              </a:ext>
                            </a:extLst>
                          </a:blip>
                          <a:srcRect/>
                          <a:stretch>
                            <a:fillRect/>
                          </a:stretch>
                        </pic:blipFill>
                        <pic:spPr bwMode="auto">
                          <a:xfrm>
                            <a:off x="0" y="0"/>
                            <a:ext cx="2520000" cy="1323098"/>
                          </a:xfrm>
                          <a:prstGeom prst="rect">
                            <a:avLst/>
                          </a:prstGeom>
                          <a:noFill/>
                          <a:ln>
                            <a:noFill/>
                          </a:ln>
                        </pic:spPr>
                      </pic:pic>
                    </a:graphicData>
                  </a:graphic>
                </wp:inline>
              </w:drawing>
            </w:r>
            <w:r>
              <w:rPr>
                <w:rFonts w:eastAsia="Times New Roman"/>
                <w:color w:val="auto"/>
                <w:lang w:eastAsia="en-MY"/>
              </w:rPr>
              <w:t xml:space="preserve">      </w:t>
            </w:r>
            <w:r>
              <w:rPr>
                <w:noProof/>
              </w:rPr>
              <w:drawing>
                <wp:inline distT="0" distB="0" distL="0" distR="0" wp14:anchorId="29BA14E1" wp14:editId="322124FF">
                  <wp:extent cx="2520000" cy="13230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6" cstate="screen">
                            <a:extLst>
                              <a:ext uri="{28A0092B-C50C-407E-A947-70E740481C1C}">
                                <a14:useLocalDpi xmlns:a14="http://schemas.microsoft.com/office/drawing/2010/main" val="0"/>
                              </a:ext>
                            </a:extLst>
                          </a:blip>
                          <a:srcRect/>
                          <a:stretch>
                            <a:fillRect/>
                          </a:stretch>
                        </pic:blipFill>
                        <pic:spPr bwMode="auto">
                          <a:xfrm>
                            <a:off x="0" y="0"/>
                            <a:ext cx="2520000" cy="1323098"/>
                          </a:xfrm>
                          <a:prstGeom prst="rect">
                            <a:avLst/>
                          </a:prstGeom>
                          <a:noFill/>
                          <a:ln>
                            <a:noFill/>
                          </a:ln>
                        </pic:spPr>
                      </pic:pic>
                    </a:graphicData>
                  </a:graphic>
                </wp:inline>
              </w:drawing>
            </w:r>
          </w:p>
          <w:p w14:paraId="03FAF76D" w14:textId="13DC52F7" w:rsidR="00F72DE8" w:rsidRDefault="00F72DE8" w:rsidP="00EA2823">
            <w:pPr>
              <w:spacing w:before="0" w:after="0" w:line="240" w:lineRule="auto"/>
              <w:jc w:val="center"/>
              <w:rPr>
                <w:rFonts w:eastAsia="Times New Roman"/>
                <w:color w:val="auto"/>
                <w:lang w:eastAsia="en-MY"/>
              </w:rPr>
            </w:pPr>
            <w:r w:rsidRPr="00F72DE8">
              <w:rPr>
                <w:noProof/>
                <w:sz w:val="20"/>
                <w:szCs w:val="20"/>
              </w:rPr>
              <mc:AlternateContent>
                <mc:Choice Requires="wps">
                  <w:drawing>
                    <wp:anchor distT="0" distB="0" distL="114300" distR="114300" simplePos="0" relativeHeight="251973120" behindDoc="0" locked="0" layoutInCell="1" allowOverlap="1" wp14:anchorId="06678448" wp14:editId="416988AB">
                      <wp:simplePos x="0" y="0"/>
                      <wp:positionH relativeFrom="column">
                        <wp:posOffset>2489200</wp:posOffset>
                      </wp:positionH>
                      <wp:positionV relativeFrom="paragraph">
                        <wp:posOffset>111125</wp:posOffset>
                      </wp:positionV>
                      <wp:extent cx="600075" cy="152400"/>
                      <wp:effectExtent l="0" t="0" r="9525" b="0"/>
                      <wp:wrapNone/>
                      <wp:docPr id="45" name="Rectangle 45"/>
                      <wp:cNvGraphicFramePr/>
                      <a:graphic xmlns:a="http://schemas.openxmlformats.org/drawingml/2006/main">
                        <a:graphicData uri="http://schemas.microsoft.com/office/word/2010/wordprocessingShape">
                          <wps:wsp>
                            <wps:cNvSpPr/>
                            <wps:spPr>
                              <a:xfrm>
                                <a:off x="0" y="0"/>
                                <a:ext cx="600075" cy="152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BD36EC" w14:textId="6E4D4BBB"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78448" id="Rectangle 45" o:spid="_x0000_s1383" style="position:absolute;left:0;text-align:left;margin-left:196pt;margin-top:8.75pt;width:47.25pt;height:12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" filled="f" stroked="f" strokeweight="1pt">
                      <v:textbox inset="0,0,0,0">
                        <w:txbxContent>
                          <w:p w14:paraId="60BD36EC" w14:textId="6E4D4BBB" w:rsidR="00F72DE8" w:rsidRPr="00F72DE8" w:rsidRDefault="00F72DE8" w:rsidP="00F72DE8">
                            <w:pPr>
                              <w:spacing w:before="0" w:after="0" w:line="240" w:lineRule="auto"/>
                              <w:jc w:val="center"/>
                              <w:rPr>
                                <w:rFonts w:asciiTheme="minorHAnsi" w:hAnsiTheme="minorHAnsi" w:cstheme="minorHAnsi"/>
                                <w:sz w:val="22"/>
                                <w:szCs w:val="22"/>
                                <w:lang w:val="en-MY"/>
                              </w:rPr>
                            </w:pPr>
                            <w:r>
                              <w:rPr>
                                <w:rFonts w:asciiTheme="minorHAnsi" w:hAnsiTheme="minorHAnsi" w:cstheme="minorHAnsi"/>
                                <w:sz w:val="22"/>
                                <w:szCs w:val="22"/>
                                <w:lang w:val="en-MY"/>
                              </w:rPr>
                              <w:t>Visit 5</w:t>
                            </w:r>
                          </w:p>
                        </w:txbxContent>
                      </v:textbox>
                    </v:rect>
                  </w:pict>
                </mc:Fallback>
              </mc:AlternateContent>
            </w:r>
            <w:r>
              <w:rPr>
                <w:noProof/>
              </w:rPr>
              <w:drawing>
                <wp:inline distT="0" distB="0" distL="0" distR="0" wp14:anchorId="1C6FBE02" wp14:editId="3C951245">
                  <wp:extent cx="2520000" cy="132309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7" cstate="screen">
                            <a:extLst>
                              <a:ext uri="{28A0092B-C50C-407E-A947-70E740481C1C}">
                                <a14:useLocalDpi xmlns:a14="http://schemas.microsoft.com/office/drawing/2010/main" val="0"/>
                              </a:ext>
                            </a:extLst>
                          </a:blip>
                          <a:srcRect/>
                          <a:stretch>
                            <a:fillRect/>
                          </a:stretch>
                        </pic:blipFill>
                        <pic:spPr bwMode="auto">
                          <a:xfrm>
                            <a:off x="0" y="0"/>
                            <a:ext cx="2520000" cy="1323098"/>
                          </a:xfrm>
                          <a:prstGeom prst="rect">
                            <a:avLst/>
                          </a:prstGeom>
                          <a:noFill/>
                          <a:ln>
                            <a:noFill/>
                          </a:ln>
                        </pic:spPr>
                      </pic:pic>
                    </a:graphicData>
                  </a:graphic>
                </wp:inline>
              </w:drawing>
            </w:r>
          </w:p>
        </w:tc>
      </w:tr>
    </w:tbl>
    <w:p w14:paraId="5B042225" w14:textId="5FDADCA8" w:rsidR="00F72DE8" w:rsidRDefault="00EA2823" w:rsidP="00C4130D">
      <w:pPr>
        <w:pStyle w:val="Caption"/>
        <w:rPr>
          <w:rFonts w:eastAsia="Times New Roman"/>
          <w:color w:val="auto"/>
        </w:rPr>
      </w:pPr>
      <w:bookmarkStart w:id="552" w:name="_Toc98569845"/>
      <w:r>
        <w:t>Figure 5.</w:t>
      </w:r>
      <w:r>
        <w:fldChar w:fldCharType="begin"/>
      </w:r>
      <w:r>
        <w:instrText xml:space="preserve"> SEQ Figure_5. \* ARABIC </w:instrText>
      </w:r>
      <w:r>
        <w:fldChar w:fldCharType="separate"/>
      </w:r>
      <w:r w:rsidR="00E268F6">
        <w:rPr>
          <w:noProof/>
        </w:rPr>
        <w:t>2</w:t>
      </w:r>
      <w:r>
        <w:fldChar w:fldCharType="end"/>
      </w:r>
      <w:r>
        <w:t>: Samples of horizontal SP live trace from DV software of a patient who had left CN VI palsy across 4 months of study period. All images show the SP performance at 0.8 Hz frequency.</w:t>
      </w:r>
      <w:bookmarkEnd w:id="552"/>
    </w:p>
    <w:p w14:paraId="32AA32BB" w14:textId="77777777" w:rsidR="00426AAC" w:rsidRDefault="00426AAC" w:rsidP="00426AAC">
      <w:pPr>
        <w:rPr>
          <w:lang w:eastAsia="en-MY"/>
        </w:rPr>
      </w:pPr>
    </w:p>
    <w:p w14:paraId="43478987" w14:textId="77777777" w:rsidR="00426AAC" w:rsidRDefault="00426AAC" w:rsidP="00426AAC">
      <w:pPr>
        <w:rPr>
          <w:lang w:eastAsia="en-MY"/>
        </w:rPr>
      </w:pPr>
    </w:p>
    <w:p w14:paraId="652E3478" w14:textId="4668F338" w:rsidR="00FD028F" w:rsidRPr="009D4627" w:rsidRDefault="00FD028F" w:rsidP="00426AAC">
      <w:pPr>
        <w:rPr>
          <w:lang w:eastAsia="en-MY"/>
        </w:rPr>
      </w:pPr>
      <w:r w:rsidRPr="009D4627">
        <w:rPr>
          <w:lang w:eastAsia="en-MY"/>
        </w:rPr>
        <w:lastRenderedPageBreak/>
        <w:t xml:space="preserve">Thus, horizontal </w:t>
      </w:r>
      <w:r w:rsidR="00B230DE" w:rsidRPr="009D4627">
        <w:rPr>
          <w:lang w:eastAsia="en-MY"/>
        </w:rPr>
        <w:t>SP</w:t>
      </w:r>
      <w:r w:rsidRPr="009D4627">
        <w:rPr>
          <w:lang w:eastAsia="en-MY"/>
        </w:rPr>
        <w:t xml:space="preserve"> eye movements are the suggested method for examining CN III and CN IV palsy using a sinusoidal wave with a frequency of 0.6</w:t>
      </w:r>
      <w:r w:rsidR="00513EB9" w:rsidRPr="009D4627">
        <w:rPr>
          <w:lang w:eastAsia="en-MY"/>
        </w:rPr>
        <w:t xml:space="preserve"> to 0</w:t>
      </w:r>
      <w:r w:rsidR="00EA2823">
        <w:rPr>
          <w:lang w:eastAsia="en-MY"/>
        </w:rPr>
        <w:t>.8</w:t>
      </w:r>
      <w:r w:rsidR="00513EB9" w:rsidRPr="009D4627">
        <w:rPr>
          <w:lang w:eastAsia="en-MY"/>
        </w:rPr>
        <w:t xml:space="preserve"> Hz</w:t>
      </w:r>
      <w:r w:rsidRPr="009D4627">
        <w:rPr>
          <w:lang w:eastAsia="en-MY"/>
        </w:rPr>
        <w:t xml:space="preserve"> </w:t>
      </w:r>
      <w:r w:rsidR="008A4BD4" w:rsidRPr="009D4627">
        <w:rPr>
          <w:lang w:eastAsia="en-MY"/>
        </w:rPr>
        <w:t>by</w:t>
      </w:r>
      <w:r w:rsidRPr="009D4627">
        <w:rPr>
          <w:lang w:eastAsia="en-MY"/>
        </w:rPr>
        <w:t xml:space="preserve"> analysing the </w:t>
      </w:r>
      <w:r w:rsidR="008A4BD4" w:rsidRPr="009D4627">
        <w:rPr>
          <w:lang w:eastAsia="en-MY"/>
        </w:rPr>
        <w:t xml:space="preserve">SP </w:t>
      </w:r>
      <w:r w:rsidRPr="009D4627">
        <w:rPr>
          <w:lang w:eastAsia="en-MY"/>
        </w:rPr>
        <w:t>gain and RMSE variables</w:t>
      </w:r>
      <w:r w:rsidR="006C6EBD" w:rsidRPr="009D4627">
        <w:rPr>
          <w:lang w:eastAsia="en-MY"/>
        </w:rPr>
        <w:t xml:space="preserve"> </w:t>
      </w:r>
      <w:r w:rsidR="006C6EBD" w:rsidRPr="009D4627">
        <w:rPr>
          <w:lang w:eastAsia="en-MY"/>
        </w:rPr>
        <w:fldChar w:fldCharType="begin"/>
      </w:r>
      <w:r w:rsidR="006C6EBD" w:rsidRPr="009D4627">
        <w:rPr>
          <w:lang w:eastAsia="en-MY"/>
        </w:rPr>
        <w:instrText xml:space="preserve"> ADDIN EN.CITE &lt;EndNote&gt;&lt;Cite&gt;&lt;Author&gt;Clementz&lt;/Author&gt;&lt;Year&gt;1996&lt;/Year&gt;&lt;IDText&gt;The construct validity of root-mean-square error for quantifying smooth-pursuit eye tracking abnormalities in schizophrenia&lt;/IDText&gt;&lt;DisplayText&gt;(Clementz et al., 1996)&lt;/DisplayText&gt;&lt;record&gt;&lt;keywords&gt;&lt;keyword&gt;Smooth Pursuit Eye Tracking&lt;/keyword&gt;&lt;keyword&gt;Schizophrenia&lt;/keyword&gt;&lt;keyword&gt;Family Studies&lt;/keyword&gt;&lt;keyword&gt;Mixture Analysis&lt;/keyword&gt;&lt;/keywords&gt;&lt;isbn&gt;0006-3223&lt;/isbn&gt;&lt;titles&gt;&lt;title&gt;The construct validity of root-mean-square error for quantifying smooth-pursuit eye tracking abnormalities in schizophrenia&lt;/title&gt;&lt;secondary-title&gt;Biological Psychiatry&lt;/secondary-title&gt;&lt;/titles&gt;&lt;pages&gt;448-450&lt;/pages&gt;&lt;number&gt;6&lt;/number&gt;&lt;contributors&gt;&lt;authors&gt;&lt;author&gt;Clementz, Brett A.&lt;/author&gt;&lt;author&gt;Iacono, William G.&lt;/author&gt;&lt;author&gt;Grove, William M.&lt;/author&gt;&lt;/authors&gt;&lt;/contributors&gt;&lt;added-date format="utc"&gt;1567241370&lt;/added-date&gt;&lt;ref-type name="Journal Article"&gt;17&lt;/ref-type&gt;&lt;dates&gt;&lt;year&gt;1996&lt;/year&gt;&lt;/dates&gt;&lt;rec-number&gt;591&lt;/rec-number&gt;&lt;last-updated-date format="utc"&gt;1567241370&lt;/last-updated-date&gt;&lt;electronic-resource-num&gt;10.1016/0006-3223(95)00549-8&lt;/electronic-resource-num&gt;&lt;volume&gt;39&lt;/volume&gt;&lt;/record&gt;&lt;/Cite&gt;&lt;/EndNote&gt;</w:instrText>
      </w:r>
      <w:r w:rsidR="006C6EBD" w:rsidRPr="009D4627">
        <w:rPr>
          <w:lang w:eastAsia="en-MY"/>
        </w:rPr>
        <w:fldChar w:fldCharType="separate"/>
      </w:r>
      <w:r w:rsidR="006C6EBD" w:rsidRPr="009D4627">
        <w:rPr>
          <w:noProof/>
          <w:lang w:eastAsia="en-MY"/>
        </w:rPr>
        <w:t>(Clementz et al., 1996)</w:t>
      </w:r>
      <w:r w:rsidR="006C6EBD" w:rsidRPr="009D4627">
        <w:rPr>
          <w:lang w:eastAsia="en-MY"/>
        </w:rPr>
        <w:fldChar w:fldCharType="end"/>
      </w:r>
      <w:r w:rsidRPr="009D4627">
        <w:rPr>
          <w:lang w:eastAsia="en-MY"/>
        </w:rPr>
        <w:t xml:space="preserve">. </w:t>
      </w:r>
      <w:r w:rsidR="00A03B57" w:rsidRPr="009D4627">
        <w:rPr>
          <w:lang w:eastAsia="en-MY"/>
        </w:rPr>
        <w:t xml:space="preserve">Additionally, observation of the sample traces SP eye movements of a patient </w:t>
      </w:r>
      <w:r w:rsidR="009B0AEC" w:rsidRPr="009D4627">
        <w:rPr>
          <w:lang w:eastAsia="en-MY"/>
        </w:rPr>
        <w:t>exhibit</w:t>
      </w:r>
      <w:r w:rsidR="00A03B57" w:rsidRPr="009D4627">
        <w:rPr>
          <w:lang w:eastAsia="en-MY"/>
        </w:rPr>
        <w:t xml:space="preserve">ed that abnormal horizontal </w:t>
      </w:r>
      <w:r w:rsidR="00B230DE" w:rsidRPr="009D4627">
        <w:rPr>
          <w:lang w:eastAsia="en-MY"/>
        </w:rPr>
        <w:t xml:space="preserve">SP </w:t>
      </w:r>
      <w:r w:rsidR="00A03B57" w:rsidRPr="009D4627">
        <w:rPr>
          <w:lang w:eastAsia="en-MY"/>
        </w:rPr>
        <w:t xml:space="preserve">could be </w:t>
      </w:r>
      <w:r w:rsidR="009B0AEC" w:rsidRPr="009D4627">
        <w:rPr>
          <w:lang w:eastAsia="en-MY"/>
        </w:rPr>
        <w:t>seen</w:t>
      </w:r>
      <w:r w:rsidR="00A03B57" w:rsidRPr="009D4627">
        <w:rPr>
          <w:lang w:eastAsia="en-MY"/>
        </w:rPr>
        <w:t xml:space="preserve"> when evaluated at higher frequencies (0.6 and </w:t>
      </w:r>
      <w:r w:rsidR="00EA2823">
        <w:rPr>
          <w:lang w:eastAsia="en-MY"/>
        </w:rPr>
        <w:t xml:space="preserve">0.8 </w:t>
      </w:r>
      <w:r w:rsidR="00A03B57" w:rsidRPr="009D4627">
        <w:rPr>
          <w:lang w:eastAsia="en-MY"/>
        </w:rPr>
        <w:t>Hz)</w:t>
      </w:r>
      <w:r w:rsidR="00EA2823">
        <w:rPr>
          <w:lang w:eastAsia="en-MY"/>
        </w:rPr>
        <w:t xml:space="preserve"> (Figure 5.3)</w:t>
      </w:r>
      <w:r w:rsidR="00A03B57" w:rsidRPr="009D4627">
        <w:rPr>
          <w:lang w:eastAsia="en-MY"/>
        </w:rPr>
        <w:t>.</w:t>
      </w:r>
      <w:r w:rsidRPr="009D4627">
        <w:rPr>
          <w:lang w:eastAsia="en-MY"/>
        </w:rPr>
        <w:t xml:space="preserve">   </w:t>
      </w:r>
    </w:p>
    <w:p w14:paraId="2557EE3D" w14:textId="18140D21" w:rsidR="00BD6222" w:rsidRPr="009D4627" w:rsidRDefault="00C27F89" w:rsidP="001F6A9D">
      <w:pPr>
        <w:rPr>
          <w:rFonts w:eastAsia="Times New Roman"/>
          <w:color w:val="auto"/>
          <w:lang w:eastAsia="en-MY"/>
        </w:rPr>
      </w:pPr>
      <w:r w:rsidRPr="009D4627">
        <w:rPr>
          <w:rFonts w:eastAsia="Times New Roman"/>
          <w:color w:val="auto"/>
          <w:lang w:eastAsia="en-MY"/>
        </w:rPr>
        <w:t>The vertical SP performance of patients with</w:t>
      </w:r>
      <w:r w:rsidR="00B4467C" w:rsidRPr="009D4627">
        <w:rPr>
          <w:rFonts w:eastAsia="Times New Roman"/>
          <w:color w:val="auto"/>
          <w:lang w:eastAsia="en-MY"/>
        </w:rPr>
        <w:t xml:space="preserve"> ONP</w:t>
      </w:r>
      <w:r w:rsidRPr="009D4627">
        <w:rPr>
          <w:rFonts w:eastAsia="Times New Roman"/>
          <w:color w:val="auto"/>
          <w:lang w:eastAsia="en-MY"/>
        </w:rPr>
        <w:t xml:space="preserve"> has never been studied before. The current study reveals that vertical SP anomalies in CN III and CN IV palsy can be detected </w:t>
      </w:r>
      <w:r w:rsidR="00B230DE" w:rsidRPr="009D4627">
        <w:rPr>
          <w:rFonts w:eastAsia="Times New Roman"/>
          <w:color w:val="auto"/>
          <w:lang w:eastAsia="en-MY"/>
        </w:rPr>
        <w:t>with</w:t>
      </w:r>
      <w:r w:rsidRPr="009D4627">
        <w:rPr>
          <w:rFonts w:eastAsia="Times New Roman"/>
          <w:color w:val="auto"/>
          <w:lang w:eastAsia="en-MY"/>
        </w:rPr>
        <w:t xml:space="preserve"> the highest vertical frequency of 1.0 Hz. Although the palsy revealed a significant </w:t>
      </w:r>
      <w:r w:rsidR="00B4467C" w:rsidRPr="009D4627">
        <w:rPr>
          <w:rFonts w:eastAsia="Times New Roman"/>
          <w:color w:val="auto"/>
          <w:lang w:eastAsia="en-MY"/>
        </w:rPr>
        <w:t>difference</w:t>
      </w:r>
      <w:r w:rsidRPr="009D4627">
        <w:rPr>
          <w:rFonts w:eastAsia="Times New Roman"/>
          <w:color w:val="auto"/>
          <w:lang w:eastAsia="en-MY"/>
        </w:rPr>
        <w:t xml:space="preserve"> </w:t>
      </w:r>
      <w:r w:rsidR="00B4467C" w:rsidRPr="009D4627">
        <w:rPr>
          <w:rFonts w:eastAsia="Times New Roman"/>
          <w:color w:val="auto"/>
          <w:lang w:eastAsia="en-MY"/>
        </w:rPr>
        <w:t xml:space="preserve">between </w:t>
      </w:r>
      <w:r w:rsidR="00123237" w:rsidRPr="009D4627">
        <w:rPr>
          <w:rFonts w:eastAsia="Times New Roman"/>
          <w:color w:val="auto"/>
          <w:lang w:eastAsia="en-MY"/>
        </w:rPr>
        <w:t xml:space="preserve">the </w:t>
      </w:r>
      <w:r w:rsidR="00B4467C" w:rsidRPr="009D4627">
        <w:rPr>
          <w:rFonts w:eastAsia="Times New Roman"/>
          <w:color w:val="auto"/>
          <w:lang w:eastAsia="en-MY"/>
        </w:rPr>
        <w:t xml:space="preserve">affected and unaffected eye </w:t>
      </w:r>
      <w:r w:rsidRPr="009D4627">
        <w:rPr>
          <w:rFonts w:eastAsia="Times New Roman"/>
          <w:color w:val="auto"/>
          <w:lang w:eastAsia="en-MY"/>
        </w:rPr>
        <w:t>on</w:t>
      </w:r>
      <w:r w:rsidR="00D263D1" w:rsidRPr="009D4627">
        <w:rPr>
          <w:rFonts w:eastAsia="Times New Roman"/>
          <w:color w:val="auto"/>
          <w:lang w:eastAsia="en-MY"/>
        </w:rPr>
        <w:t>ly for</w:t>
      </w:r>
      <w:r w:rsidRPr="009D4627">
        <w:rPr>
          <w:rFonts w:eastAsia="Times New Roman"/>
          <w:color w:val="auto"/>
          <w:lang w:eastAsia="en-MY"/>
        </w:rPr>
        <w:t xml:space="preserve"> </w:t>
      </w:r>
      <w:r w:rsidR="00123237" w:rsidRPr="009D4627">
        <w:rPr>
          <w:rFonts w:eastAsia="Times New Roman"/>
          <w:color w:val="auto"/>
          <w:lang w:eastAsia="en-MY"/>
        </w:rPr>
        <w:t xml:space="preserve">the </w:t>
      </w:r>
      <w:r w:rsidRPr="009D4627">
        <w:rPr>
          <w:rFonts w:eastAsia="Times New Roman"/>
          <w:color w:val="auto"/>
          <w:lang w:eastAsia="en-MY"/>
        </w:rPr>
        <w:t>vertical SP RMSE</w:t>
      </w:r>
      <w:r w:rsidR="00B4467C" w:rsidRPr="009D4627">
        <w:rPr>
          <w:rFonts w:eastAsia="Times New Roman"/>
          <w:color w:val="auto"/>
          <w:lang w:eastAsia="en-MY"/>
        </w:rPr>
        <w:t xml:space="preserve"> variable</w:t>
      </w:r>
      <w:r w:rsidRPr="009D4627">
        <w:rPr>
          <w:rFonts w:eastAsia="Times New Roman"/>
          <w:color w:val="auto"/>
          <w:lang w:eastAsia="en-MY"/>
        </w:rPr>
        <w:t xml:space="preserve">, but the vertical SP gain may provide important information to aid clinical assessment and management options. The reason for this is that both parameters are evaluating the SP's </w:t>
      </w:r>
      <w:r w:rsidR="00D263D1" w:rsidRPr="009D4627">
        <w:rPr>
          <w:rFonts w:eastAsia="Times New Roman"/>
          <w:color w:val="auto"/>
          <w:lang w:eastAsia="en-MY"/>
        </w:rPr>
        <w:t>maintenance</w:t>
      </w:r>
      <w:r w:rsidR="00B230DE" w:rsidRPr="009D4627">
        <w:rPr>
          <w:rFonts w:eastAsia="Times New Roman"/>
          <w:color w:val="auto"/>
          <w:lang w:eastAsia="en-MY"/>
        </w:rPr>
        <w:t xml:space="preserve"> system</w:t>
      </w:r>
      <w:r w:rsidRPr="009D4627">
        <w:rPr>
          <w:rFonts w:eastAsia="Times New Roman"/>
          <w:color w:val="auto"/>
          <w:lang w:eastAsia="en-MY"/>
        </w:rPr>
        <w:t xml:space="preserve"> </w:t>
      </w:r>
      <w:r w:rsidRPr="009D4627">
        <w:rPr>
          <w:rFonts w:eastAsia="Times New Roman"/>
          <w:color w:val="auto"/>
          <w:lang w:eastAsia="en-MY"/>
        </w:rPr>
        <w:fldChar w:fldCharType="begin"/>
      </w:r>
      <w:r w:rsidRPr="009D4627">
        <w:rPr>
          <w:rFonts w:eastAsia="Times New Roman"/>
          <w:color w:val="auto"/>
          <w:lang w:eastAsia="en-MY"/>
        </w:rPr>
        <w:instrText xml:space="preserve"> ADDIN EN.CITE &lt;EndNote&gt;&lt;Cite&gt;&lt;Author&gt;Levy&lt;/Author&gt;&lt;Year&gt;2010&lt;/Year&gt;&lt;IDText&gt;Eye tracking dysfunction in schizophrenia: characterization and pathophysiology. &lt;/IDText&gt;&lt;DisplayText&gt;(Levy et al., 2010)&lt;/DisplayText&gt;&lt;record&gt;&lt;titles&gt;&lt;title&gt;Eye tracking dysfunction in schizophrenia: characterization and pathophysiology. &lt;/title&gt;&lt;/titles&gt;&lt;titles&gt;&lt;secondary-title&gt;&lt;style face="italic" font="default" size="100%"&gt;Current topics in behavioral neurosciences&lt;/style&gt;&lt;/secondary-title&gt;&lt;/titles&gt;&lt;pages&gt;311–347&lt;/pages&gt;&lt;contributors&gt;&lt;authors&gt;&lt;author&gt;Levy, D. L.&lt;/author&gt;&lt;author&gt;Sereno, A. B.&lt;/author&gt;&lt;author&gt;Gooding, D. C.&lt;/author&gt;&lt;author&gt;O&amp;apos;Driscoll, G. A.&lt;/author&gt;&lt;/authors&gt;&lt;/contributors&gt;&lt;added-date format="utc"&gt;1645755551&lt;/added-date&gt;&lt;ref-type name="Journal Article"&gt;17&lt;/ref-type&gt;&lt;dates&gt;&lt;year&gt;2010&lt;/year&gt;&lt;/dates&gt;&lt;rec-number&gt;795&lt;/rec-number&gt;&lt;last-updated-date format="utc"&gt;1645755656&lt;/last-updated-date&gt;&lt;electronic-resource-num&gt;10.1007/7854_2010_60&lt;/electronic-resource-num&gt;&lt;volume&gt;4&lt;/volume&gt;&lt;/record&gt;&lt;/Cite&gt;&lt;/EndNote&gt;</w:instrText>
      </w:r>
      <w:r w:rsidRPr="009D4627">
        <w:rPr>
          <w:rFonts w:eastAsia="Times New Roman"/>
          <w:color w:val="auto"/>
          <w:lang w:eastAsia="en-MY"/>
        </w:rPr>
        <w:fldChar w:fldCharType="separate"/>
      </w:r>
      <w:r w:rsidRPr="009D4627">
        <w:rPr>
          <w:rFonts w:eastAsia="Times New Roman"/>
          <w:noProof/>
          <w:color w:val="auto"/>
          <w:lang w:eastAsia="en-MY"/>
        </w:rPr>
        <w:t>(Levy et al., 2010)</w:t>
      </w:r>
      <w:r w:rsidRPr="009D4627">
        <w:rPr>
          <w:rFonts w:eastAsia="Times New Roman"/>
          <w:color w:val="auto"/>
          <w:lang w:eastAsia="en-MY"/>
        </w:rPr>
        <w:fldChar w:fldCharType="end"/>
      </w:r>
      <w:r w:rsidRPr="009D4627">
        <w:rPr>
          <w:rFonts w:eastAsia="Times New Roman"/>
          <w:color w:val="auto"/>
          <w:lang w:eastAsia="en-MY"/>
        </w:rPr>
        <w:t xml:space="preserve">. </w:t>
      </w:r>
    </w:p>
    <w:p w14:paraId="2318F8E4" w14:textId="78CE38BC" w:rsidR="00C24D51" w:rsidRPr="009D4627" w:rsidRDefault="00C24D51" w:rsidP="001F6A9D">
      <w:pPr>
        <w:rPr>
          <w:rFonts w:eastAsia="Times New Roman"/>
          <w:color w:val="auto"/>
          <w:lang w:eastAsia="en-MY"/>
        </w:rPr>
        <w:sectPr w:rsidR="00C24D51" w:rsidRPr="009D4627" w:rsidSect="00477959">
          <w:pgSz w:w="11906" w:h="16838" w:code="9"/>
          <w:pgMar w:top="1440" w:right="1440" w:bottom="1440" w:left="1440" w:header="708" w:footer="708" w:gutter="0"/>
          <w:cols w:space="708"/>
          <w:docGrid w:linePitch="360"/>
        </w:sectPr>
      </w:pPr>
    </w:p>
    <w:p w14:paraId="15E103D2" w14:textId="77777777" w:rsidR="00FD028F" w:rsidRPr="009D4627" w:rsidRDefault="00FD028F" w:rsidP="007B7D8D">
      <w:pPr>
        <w:keepNext/>
        <w:spacing w:line="240" w:lineRule="auto"/>
      </w:pPr>
      <w:r w:rsidRPr="009D4627">
        <w:rPr>
          <w:rFonts w:eastAsia="Times New Roman"/>
          <w:noProof/>
          <w:color w:val="FF0000"/>
          <w:lang w:val="en-US"/>
        </w:rPr>
        <w:lastRenderedPageBreak/>
        <mc:AlternateContent>
          <mc:Choice Requires="wpg">
            <w:drawing>
              <wp:inline distT="0" distB="0" distL="0" distR="0" wp14:anchorId="3391A6C1" wp14:editId="719CA177">
                <wp:extent cx="8820000" cy="3821200"/>
                <wp:effectExtent l="0" t="0" r="635" b="8255"/>
                <wp:docPr id="19902" name="Group 19902"/>
                <wp:cNvGraphicFramePr/>
                <a:graphic xmlns:a="http://schemas.openxmlformats.org/drawingml/2006/main">
                  <a:graphicData uri="http://schemas.microsoft.com/office/word/2010/wordprocessingGroup">
                    <wpg:wgp>
                      <wpg:cNvGrpSpPr/>
                      <wpg:grpSpPr>
                        <a:xfrm>
                          <a:off x="0" y="0"/>
                          <a:ext cx="8820000" cy="3821200"/>
                          <a:chOff x="86861" y="0"/>
                          <a:chExt cx="9682641" cy="3821200"/>
                        </a:xfrm>
                      </wpg:grpSpPr>
                      <wpg:grpSp>
                        <wpg:cNvPr id="19903" name="Group 19903"/>
                        <wpg:cNvGrpSpPr/>
                        <wpg:grpSpPr>
                          <a:xfrm>
                            <a:off x="86861" y="0"/>
                            <a:ext cx="9136588" cy="3761106"/>
                            <a:chOff x="92101" y="0"/>
                            <a:chExt cx="9687732" cy="3763534"/>
                          </a:xfrm>
                        </wpg:grpSpPr>
                        <wpg:grpSp>
                          <wpg:cNvPr id="19904" name="Group 19904"/>
                          <wpg:cNvGrpSpPr/>
                          <wpg:grpSpPr>
                            <a:xfrm>
                              <a:off x="92101" y="0"/>
                              <a:ext cx="8516594" cy="3763534"/>
                              <a:chOff x="92101" y="0"/>
                              <a:chExt cx="8516594" cy="3763534"/>
                            </a:xfrm>
                          </wpg:grpSpPr>
                          <wpg:grpSp>
                            <wpg:cNvPr id="19905" name="Group 19905"/>
                            <wpg:cNvGrpSpPr/>
                            <wpg:grpSpPr>
                              <a:xfrm>
                                <a:off x="92101" y="9525"/>
                                <a:ext cx="8516594" cy="3754009"/>
                                <a:chOff x="92101" y="0"/>
                                <a:chExt cx="8516594" cy="3754009"/>
                              </a:xfrm>
                            </wpg:grpSpPr>
                            <wpg:grpSp>
                              <wpg:cNvPr id="19906" name="Group 19906"/>
                              <wpg:cNvGrpSpPr/>
                              <wpg:grpSpPr>
                                <a:xfrm>
                                  <a:off x="92101" y="0"/>
                                  <a:ext cx="8516594" cy="3754009"/>
                                  <a:chOff x="92101" y="0"/>
                                  <a:chExt cx="8516594" cy="3754009"/>
                                </a:xfrm>
                              </wpg:grpSpPr>
                              <wpg:grpSp>
                                <wpg:cNvPr id="19907" name="Group 19907"/>
                                <wpg:cNvGrpSpPr/>
                                <wpg:grpSpPr>
                                  <a:xfrm>
                                    <a:off x="92101" y="0"/>
                                    <a:ext cx="8516594" cy="3754009"/>
                                    <a:chOff x="92101" y="0"/>
                                    <a:chExt cx="8516594" cy="3754009"/>
                                  </a:xfrm>
                                </wpg:grpSpPr>
                                <wps:wsp>
                                  <wps:cNvPr id="19908" name="Rectangle 19908"/>
                                  <wps:cNvSpPr/>
                                  <wps:spPr>
                                    <a:xfrm>
                                      <a:off x="2676525" y="0"/>
                                      <a:ext cx="561975" cy="190500"/>
                                    </a:xfrm>
                                    <a:prstGeom prst="rect">
                                      <a:avLst/>
                                    </a:prstGeom>
                                    <a:solidFill>
                                      <a:sysClr val="window" lastClr="FFFFFF"/>
                                    </a:solidFill>
                                    <a:ln w="25400" cap="flat" cmpd="sng" algn="ctr">
                                      <a:noFill/>
                                      <a:prstDash val="solid"/>
                                    </a:ln>
                                    <a:effectLst/>
                                  </wps:spPr>
                                  <wps:txbx>
                                    <w:txbxContent>
                                      <w:p w14:paraId="70B86B86" w14:textId="77777777" w:rsidR="00FD028F" w:rsidRPr="00052B5B" w:rsidRDefault="00FD028F" w:rsidP="00FD028F">
                                        <w:pPr>
                                          <w:spacing w:before="0"/>
                                          <w:jc w:val="center"/>
                                          <w:rPr>
                                            <w:sz w:val="20"/>
                                            <w:szCs w:val="20"/>
                                            <w:lang w:val="en-US"/>
                                          </w:rPr>
                                        </w:pPr>
                                        <w:r w:rsidRPr="00052B5B">
                                          <w:rPr>
                                            <w:sz w:val="20"/>
                                            <w:szCs w:val="20"/>
                                            <w:lang w:val="en-US"/>
                                          </w:rPr>
                                          <w:t>V2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909" name="Group 19909"/>
                                  <wpg:cNvGrpSpPr/>
                                  <wpg:grpSpPr>
                                    <a:xfrm>
                                      <a:off x="92101" y="0"/>
                                      <a:ext cx="8516594" cy="3754009"/>
                                      <a:chOff x="92101" y="0"/>
                                      <a:chExt cx="8516594" cy="3754009"/>
                                    </a:xfrm>
                                  </wpg:grpSpPr>
                                  <wps:wsp>
                                    <wps:cNvPr id="19910" name="Rectangle 19910"/>
                                    <wps:cNvSpPr/>
                                    <wps:spPr>
                                      <a:xfrm>
                                        <a:off x="1114237" y="0"/>
                                        <a:ext cx="561975" cy="190500"/>
                                      </a:xfrm>
                                      <a:prstGeom prst="rect">
                                        <a:avLst/>
                                      </a:prstGeom>
                                      <a:solidFill>
                                        <a:sysClr val="window" lastClr="FFFFFF"/>
                                      </a:solidFill>
                                      <a:ln w="25400" cap="flat" cmpd="sng" algn="ctr">
                                        <a:noFill/>
                                        <a:prstDash val="solid"/>
                                      </a:ln>
                                      <a:effectLst/>
                                    </wps:spPr>
                                    <wps:txbx>
                                      <w:txbxContent>
                                        <w:p w14:paraId="5AB40555" w14:textId="77777777" w:rsidR="00FD028F" w:rsidRPr="00052B5B" w:rsidRDefault="00FD028F" w:rsidP="00FD028F">
                                          <w:pPr>
                                            <w:spacing w:before="0"/>
                                            <w:jc w:val="center"/>
                                            <w:rPr>
                                              <w:sz w:val="20"/>
                                              <w:szCs w:val="20"/>
                                              <w:lang w:val="en-US"/>
                                            </w:rPr>
                                          </w:pPr>
                                          <w:r w:rsidRPr="00052B5B">
                                            <w:rPr>
                                              <w:sz w:val="20"/>
                                              <w:szCs w:val="20"/>
                                              <w:lang w:val="en-US"/>
                                            </w:rP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911" name="Group 19911"/>
                                    <wpg:cNvGrpSpPr/>
                                    <wpg:grpSpPr>
                                      <a:xfrm>
                                        <a:off x="92101" y="228600"/>
                                        <a:ext cx="8516594" cy="3525409"/>
                                        <a:chOff x="92101" y="0"/>
                                        <a:chExt cx="8516594" cy="3525409"/>
                                      </a:xfrm>
                                    </wpg:grpSpPr>
                                    <wpg:grpSp>
                                      <wpg:cNvPr id="19912" name="Group 19912"/>
                                      <wpg:cNvGrpSpPr/>
                                      <wpg:grpSpPr>
                                        <a:xfrm>
                                          <a:off x="92103" y="2800239"/>
                                          <a:ext cx="8516592" cy="725170"/>
                                          <a:chOff x="73053" y="-171561"/>
                                          <a:chExt cx="8516592" cy="725170"/>
                                        </a:xfrm>
                                      </wpg:grpSpPr>
                                      <wps:wsp>
                                        <wps:cNvPr id="19913" name="Rectangle 19913"/>
                                        <wps:cNvSpPr/>
                                        <wps:spPr>
                                          <a:xfrm>
                                            <a:off x="73053" y="1734"/>
                                            <a:ext cx="427742" cy="264182"/>
                                          </a:xfrm>
                                          <a:prstGeom prst="rect">
                                            <a:avLst/>
                                          </a:prstGeom>
                                          <a:solidFill>
                                            <a:sysClr val="window" lastClr="FFFFFF"/>
                                          </a:solidFill>
                                          <a:ln w="25400" cap="flat" cmpd="sng" algn="ctr">
                                            <a:noFill/>
                                            <a:prstDash val="solid"/>
                                          </a:ln>
                                          <a:effectLst/>
                                        </wps:spPr>
                                        <wps:txbx>
                                          <w:txbxContent>
                                            <w:p w14:paraId="1AEBC211" w14:textId="77777777" w:rsidR="00FD028F" w:rsidRPr="00DB177B" w:rsidRDefault="00FD028F" w:rsidP="00FD028F">
                                              <w:pPr>
                                                <w:spacing w:before="0"/>
                                                <w:jc w:val="center"/>
                                                <w:rPr>
                                                  <w:sz w:val="20"/>
                                                  <w:szCs w:val="20"/>
                                                  <w:lang w:val="en-US"/>
                                                </w:rPr>
                                              </w:pPr>
                                              <w:r w:rsidRPr="00DB177B">
                                                <w:rPr>
                                                  <w:sz w:val="20"/>
                                                  <w:szCs w:val="20"/>
                                                  <w:lang w:val="en-US"/>
                                                </w:rPr>
                                                <w:t>0.8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914" name="Group 19914"/>
                                        <wpg:cNvGrpSpPr/>
                                        <wpg:grpSpPr>
                                          <a:xfrm>
                                            <a:off x="514350" y="-171561"/>
                                            <a:ext cx="8075295" cy="725170"/>
                                            <a:chOff x="0" y="-171561"/>
                                            <a:chExt cx="8075295" cy="725170"/>
                                          </a:xfrm>
                                        </wpg:grpSpPr>
                                        <pic:pic xmlns:pic="http://schemas.openxmlformats.org/drawingml/2006/picture">
                                          <pic:nvPicPr>
                                            <pic:cNvPr id="19915" name="Picture 19915"/>
                                            <pic:cNvPicPr>
                                              <a:picLocks noChangeAspect="1"/>
                                            </pic:cNvPicPr>
                                          </pic:nvPicPr>
                                          <pic:blipFill rotWithShape="1">
                                            <a:blip r:embed="rId188" cstate="screen">
                                              <a:extLst>
                                                <a:ext uri="{28A0092B-C50C-407E-A947-70E740481C1C}">
                                                  <a14:useLocalDpi xmlns:a14="http://schemas.microsoft.com/office/drawing/2010/main" val="0"/>
                                                </a:ext>
                                              </a:extLst>
                                            </a:blip>
                                            <a:srcRect l="6383" t="19200" r="5892" b="15467"/>
                                            <a:stretch/>
                                          </pic:blipFill>
                                          <pic:spPr bwMode="auto">
                                            <a:xfrm>
                                              <a:off x="6486525" y="-171561"/>
                                              <a:ext cx="1588770" cy="7251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16" name="Picture 19916"/>
                                            <pic:cNvPicPr>
                                              <a:picLocks noChangeAspect="1"/>
                                            </pic:cNvPicPr>
                                          </pic:nvPicPr>
                                          <pic:blipFill rotWithShape="1">
                                            <a:blip r:embed="rId189" cstate="screen">
                                              <a:extLst>
                                                <a:ext uri="{28A0092B-C50C-407E-A947-70E740481C1C}">
                                                  <a14:useLocalDpi xmlns:a14="http://schemas.microsoft.com/office/drawing/2010/main" val="0"/>
                                                </a:ext>
                                              </a:extLst>
                                            </a:blip>
                                            <a:srcRect l="6547" t="19200" r="5892" b="15467"/>
                                            <a:stretch/>
                                          </pic:blipFill>
                                          <pic:spPr bwMode="auto">
                                            <a:xfrm>
                                              <a:off x="4876800" y="-171561"/>
                                              <a:ext cx="1579880" cy="7232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17" name="Picture 19917"/>
                                            <pic:cNvPicPr>
                                              <a:picLocks noChangeAspect="1"/>
                                            </pic:cNvPicPr>
                                          </pic:nvPicPr>
                                          <pic:blipFill rotWithShape="1">
                                            <a:blip r:embed="rId190" cstate="screen">
                                              <a:extLst>
                                                <a:ext uri="{28A0092B-C50C-407E-A947-70E740481C1C}">
                                                  <a14:useLocalDpi xmlns:a14="http://schemas.microsoft.com/office/drawing/2010/main" val="0"/>
                                                </a:ext>
                                              </a:extLst>
                                            </a:blip>
                                            <a:srcRect l="6547" t="19467" r="5892" b="15467"/>
                                            <a:stretch/>
                                          </pic:blipFill>
                                          <pic:spPr bwMode="auto">
                                            <a:xfrm>
                                              <a:off x="3248025" y="-171561"/>
                                              <a:ext cx="1581150"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18" name="Picture 19918"/>
                                            <pic:cNvPicPr>
                                              <a:picLocks noChangeAspect="1"/>
                                            </pic:cNvPicPr>
                                          </pic:nvPicPr>
                                          <pic:blipFill rotWithShape="1">
                                            <a:blip r:embed="rId191" cstate="screen">
                                              <a:extLst>
                                                <a:ext uri="{28A0092B-C50C-407E-A947-70E740481C1C}">
                                                  <a14:useLocalDpi xmlns:a14="http://schemas.microsoft.com/office/drawing/2010/main" val="0"/>
                                                </a:ext>
                                              </a:extLst>
                                            </a:blip>
                                            <a:srcRect l="6383" t="19467" r="5892" b="15467"/>
                                            <a:stretch/>
                                          </pic:blipFill>
                                          <pic:spPr bwMode="auto">
                                            <a:xfrm>
                                              <a:off x="1628775" y="-171561"/>
                                              <a:ext cx="1581150" cy="7194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19" name="Picture 19919"/>
                                            <pic:cNvPicPr>
                                              <a:picLocks noChangeAspect="1"/>
                                            </pic:cNvPicPr>
                                          </pic:nvPicPr>
                                          <pic:blipFill rotWithShape="1">
                                            <a:blip r:embed="rId192" cstate="screen">
                                              <a:extLst>
                                                <a:ext uri="{28A0092B-C50C-407E-A947-70E740481C1C}">
                                                  <a14:useLocalDpi xmlns:a14="http://schemas.microsoft.com/office/drawing/2010/main" val="0"/>
                                                </a:ext>
                                              </a:extLst>
                                            </a:blip>
                                            <a:srcRect l="6383" t="19200" r="5892" b="15200"/>
                                            <a:stretch/>
                                          </pic:blipFill>
                                          <pic:spPr bwMode="auto">
                                            <a:xfrm>
                                              <a:off x="0" y="-171561"/>
                                              <a:ext cx="1576069" cy="723900"/>
                                            </a:xfrm>
                                            <a:prstGeom prst="rect">
                                              <a:avLst/>
                                            </a:prstGeom>
                                            <a:noFill/>
                                            <a:ln>
                                              <a:noFill/>
                                            </a:ln>
                                            <a:extLst>
                                              <a:ext uri="{53640926-AAD7-44D8-BBD7-CCE9431645EC}">
                                                <a14:shadowObscured xmlns:a14="http://schemas.microsoft.com/office/drawing/2010/main"/>
                                              </a:ext>
                                            </a:extLst>
                                          </pic:spPr>
                                        </pic:pic>
                                      </wpg:grpSp>
                                    </wpg:grpSp>
                                    <wpg:grpSp>
                                      <wpg:cNvPr id="19920" name="Group 19920"/>
                                      <wpg:cNvGrpSpPr/>
                                      <wpg:grpSpPr>
                                        <a:xfrm>
                                          <a:off x="92101" y="1872925"/>
                                          <a:ext cx="8507069" cy="725170"/>
                                          <a:chOff x="82576" y="-51125"/>
                                          <a:chExt cx="8507069" cy="725170"/>
                                        </a:xfrm>
                                      </wpg:grpSpPr>
                                      <wps:wsp>
                                        <wps:cNvPr id="19921" name="Rectangle 19921"/>
                                        <wps:cNvSpPr/>
                                        <wps:spPr>
                                          <a:xfrm>
                                            <a:off x="82576" y="151873"/>
                                            <a:ext cx="479378" cy="259127"/>
                                          </a:xfrm>
                                          <a:prstGeom prst="rect">
                                            <a:avLst/>
                                          </a:prstGeom>
                                          <a:solidFill>
                                            <a:sysClr val="window" lastClr="FFFFFF"/>
                                          </a:solidFill>
                                          <a:ln w="25400" cap="flat" cmpd="sng" algn="ctr">
                                            <a:noFill/>
                                            <a:prstDash val="solid"/>
                                          </a:ln>
                                          <a:effectLst/>
                                        </wps:spPr>
                                        <wps:txbx>
                                          <w:txbxContent>
                                            <w:p w14:paraId="27109749" w14:textId="77777777" w:rsidR="00FD028F" w:rsidRPr="00DB177B" w:rsidRDefault="00FD028F" w:rsidP="00FD028F">
                                              <w:pPr>
                                                <w:spacing w:before="0"/>
                                                <w:jc w:val="center"/>
                                                <w:rPr>
                                                  <w:sz w:val="20"/>
                                                  <w:szCs w:val="20"/>
                                                  <w:lang w:val="en-US"/>
                                                </w:rPr>
                                              </w:pPr>
                                              <w:r w:rsidRPr="00DB177B">
                                                <w:rPr>
                                                  <w:sz w:val="20"/>
                                                  <w:szCs w:val="20"/>
                                                  <w:lang w:val="en-US"/>
                                                </w:rPr>
                                                <w:t>0.6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922" name="Group 19922"/>
                                        <wpg:cNvGrpSpPr/>
                                        <wpg:grpSpPr>
                                          <a:xfrm>
                                            <a:off x="523875" y="-51125"/>
                                            <a:ext cx="8065770" cy="725170"/>
                                            <a:chOff x="0" y="-51125"/>
                                            <a:chExt cx="8065770" cy="725170"/>
                                          </a:xfrm>
                                        </wpg:grpSpPr>
                                        <pic:pic xmlns:pic="http://schemas.openxmlformats.org/drawingml/2006/picture">
                                          <pic:nvPicPr>
                                            <pic:cNvPr id="19923" name="Picture 19923"/>
                                            <pic:cNvPicPr>
                                              <a:picLocks noChangeAspect="1"/>
                                            </pic:cNvPicPr>
                                          </pic:nvPicPr>
                                          <pic:blipFill rotWithShape="1">
                                            <a:blip r:embed="rId193" cstate="screen">
                                              <a:extLst>
                                                <a:ext uri="{28A0092B-C50C-407E-A947-70E740481C1C}">
                                                  <a14:useLocalDpi xmlns:a14="http://schemas.microsoft.com/office/drawing/2010/main" val="0"/>
                                                </a:ext>
                                              </a:extLst>
                                            </a:blip>
                                            <a:srcRect l="6547" t="19467" r="5892" b="15467"/>
                                            <a:stretch/>
                                          </pic:blipFill>
                                          <pic:spPr bwMode="auto">
                                            <a:xfrm>
                                              <a:off x="6477000" y="-51125"/>
                                              <a:ext cx="1588770" cy="7245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24" name="Picture 19924"/>
                                            <pic:cNvPicPr>
                                              <a:picLocks noChangeAspect="1"/>
                                            </pic:cNvPicPr>
                                          </pic:nvPicPr>
                                          <pic:blipFill rotWithShape="1">
                                            <a:blip r:embed="rId194" cstate="screen">
                                              <a:extLst>
                                                <a:ext uri="{28A0092B-C50C-407E-A947-70E740481C1C}">
                                                  <a14:useLocalDpi xmlns:a14="http://schemas.microsoft.com/office/drawing/2010/main" val="0"/>
                                                </a:ext>
                                              </a:extLst>
                                            </a:blip>
                                            <a:srcRect l="6547" t="19200" r="5892" b="15467"/>
                                            <a:stretch/>
                                          </pic:blipFill>
                                          <pic:spPr bwMode="auto">
                                            <a:xfrm>
                                              <a:off x="4867275" y="-51125"/>
                                              <a:ext cx="1583055" cy="7245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25" name="Picture 19925"/>
                                            <pic:cNvPicPr>
                                              <a:picLocks noChangeAspect="1"/>
                                            </pic:cNvPicPr>
                                          </pic:nvPicPr>
                                          <pic:blipFill rotWithShape="1">
                                            <a:blip r:embed="rId195" cstate="screen">
                                              <a:extLst>
                                                <a:ext uri="{28A0092B-C50C-407E-A947-70E740481C1C}">
                                                  <a14:useLocalDpi xmlns:a14="http://schemas.microsoft.com/office/drawing/2010/main" val="0"/>
                                                </a:ext>
                                              </a:extLst>
                                            </a:blip>
                                            <a:srcRect l="6518" t="19324" r="5779" b="15454"/>
                                            <a:stretch/>
                                          </pic:blipFill>
                                          <pic:spPr bwMode="auto">
                                            <a:xfrm>
                                              <a:off x="3238500" y="-41600"/>
                                              <a:ext cx="1570356" cy="7156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26" name="Picture 19926"/>
                                            <pic:cNvPicPr>
                                              <a:picLocks noChangeAspect="1"/>
                                            </pic:cNvPicPr>
                                          </pic:nvPicPr>
                                          <pic:blipFill rotWithShape="1">
                                            <a:blip r:embed="rId196" cstate="screen">
                                              <a:extLst>
                                                <a:ext uri="{28A0092B-C50C-407E-A947-70E740481C1C}">
                                                  <a14:useLocalDpi xmlns:a14="http://schemas.microsoft.com/office/drawing/2010/main" val="0"/>
                                                </a:ext>
                                              </a:extLst>
                                            </a:blip>
                                            <a:srcRect l="6669" t="19082" r="5764" b="15446"/>
                                            <a:stretch/>
                                          </pic:blipFill>
                                          <pic:spPr bwMode="auto">
                                            <a:xfrm>
                                              <a:off x="1638300" y="-41600"/>
                                              <a:ext cx="1560830" cy="7156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27" name="Picture 19927"/>
                                            <pic:cNvPicPr>
                                              <a:picLocks noChangeAspect="1"/>
                                            </pic:cNvPicPr>
                                          </pic:nvPicPr>
                                          <pic:blipFill rotWithShape="1">
                                            <a:blip r:embed="rId197" cstate="screen">
                                              <a:extLst>
                                                <a:ext uri="{28A0092B-C50C-407E-A947-70E740481C1C}">
                                                  <a14:useLocalDpi xmlns:a14="http://schemas.microsoft.com/office/drawing/2010/main" val="0"/>
                                                </a:ext>
                                              </a:extLst>
                                            </a:blip>
                                            <a:srcRect l="6383" t="19200" r="5892" b="15200"/>
                                            <a:stretch/>
                                          </pic:blipFill>
                                          <pic:spPr bwMode="auto">
                                            <a:xfrm>
                                              <a:off x="0" y="-51125"/>
                                              <a:ext cx="1579245" cy="724535"/>
                                            </a:xfrm>
                                            <a:prstGeom prst="rect">
                                              <a:avLst/>
                                            </a:prstGeom>
                                            <a:noFill/>
                                            <a:ln>
                                              <a:noFill/>
                                            </a:ln>
                                            <a:extLst>
                                              <a:ext uri="{53640926-AAD7-44D8-BBD7-CCE9431645EC}">
                                                <a14:shadowObscured xmlns:a14="http://schemas.microsoft.com/office/drawing/2010/main"/>
                                              </a:ext>
                                            </a:extLst>
                                          </pic:spPr>
                                        </pic:pic>
                                      </wpg:grpSp>
                                    </wpg:grpSp>
                                    <wpg:grpSp>
                                      <wpg:cNvPr id="19928" name="Group 19928"/>
                                      <wpg:cNvGrpSpPr/>
                                      <wpg:grpSpPr>
                                        <a:xfrm>
                                          <a:off x="92101" y="0"/>
                                          <a:ext cx="8488019" cy="730885"/>
                                          <a:chOff x="92101" y="0"/>
                                          <a:chExt cx="8488019" cy="730885"/>
                                        </a:xfrm>
                                      </wpg:grpSpPr>
                                      <wps:wsp>
                                        <wps:cNvPr id="19929" name="Rectangle 19929"/>
                                        <wps:cNvSpPr/>
                                        <wps:spPr>
                                          <a:xfrm>
                                            <a:off x="92101" y="228269"/>
                                            <a:ext cx="469764" cy="267316"/>
                                          </a:xfrm>
                                          <a:prstGeom prst="rect">
                                            <a:avLst/>
                                          </a:prstGeom>
                                          <a:solidFill>
                                            <a:sysClr val="window" lastClr="FFFFFF"/>
                                          </a:solidFill>
                                          <a:ln w="25400" cap="flat" cmpd="sng" algn="ctr">
                                            <a:noFill/>
                                            <a:prstDash val="solid"/>
                                          </a:ln>
                                          <a:effectLst/>
                                        </wps:spPr>
                                        <wps:txbx>
                                          <w:txbxContent>
                                            <w:p w14:paraId="09FB489F" w14:textId="77777777" w:rsidR="00FD028F" w:rsidRPr="00DB177B" w:rsidRDefault="00FD028F" w:rsidP="00FD028F">
                                              <w:pPr>
                                                <w:spacing w:before="0" w:line="240" w:lineRule="auto"/>
                                                <w:jc w:val="center"/>
                                                <w:rPr>
                                                  <w:sz w:val="20"/>
                                                  <w:szCs w:val="20"/>
                                                  <w:lang w:val="en-US"/>
                                                </w:rPr>
                                              </w:pPr>
                                              <w:r w:rsidRPr="00DB177B">
                                                <w:rPr>
                                                  <w:sz w:val="20"/>
                                                  <w:szCs w:val="20"/>
                                                  <w:lang w:val="en-US"/>
                                                </w:rPr>
                                                <w:t>0.2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930" name="Group 19930"/>
                                        <wpg:cNvGrpSpPr/>
                                        <wpg:grpSpPr>
                                          <a:xfrm>
                                            <a:off x="542925" y="0"/>
                                            <a:ext cx="8037195" cy="730885"/>
                                            <a:chOff x="0" y="0"/>
                                            <a:chExt cx="8037195" cy="730885"/>
                                          </a:xfrm>
                                        </wpg:grpSpPr>
                                        <pic:pic xmlns:pic="http://schemas.openxmlformats.org/drawingml/2006/picture">
                                          <pic:nvPicPr>
                                            <pic:cNvPr id="19931" name="Picture 19931"/>
                                            <pic:cNvPicPr>
                                              <a:picLocks noChangeAspect="1"/>
                                            </pic:cNvPicPr>
                                          </pic:nvPicPr>
                                          <pic:blipFill rotWithShape="1">
                                            <a:blip r:embed="rId198" cstate="screen">
                                              <a:extLst>
                                                <a:ext uri="{28A0092B-C50C-407E-A947-70E740481C1C}">
                                                  <a14:useLocalDpi xmlns:a14="http://schemas.microsoft.com/office/drawing/2010/main" val="0"/>
                                                </a:ext>
                                              </a:extLst>
                                            </a:blip>
                                            <a:srcRect l="6520" t="19082" r="5615" b="15199"/>
                                            <a:stretch/>
                                          </pic:blipFill>
                                          <pic:spPr bwMode="auto">
                                            <a:xfrm>
                                              <a:off x="6467475" y="9525"/>
                                              <a:ext cx="1569720" cy="7188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32" name="Picture 19932"/>
                                            <pic:cNvPicPr>
                                              <a:picLocks noChangeAspect="1"/>
                                            </pic:cNvPicPr>
                                          </pic:nvPicPr>
                                          <pic:blipFill rotWithShape="1">
                                            <a:blip r:embed="rId199" cstate="screen">
                                              <a:extLst>
                                                <a:ext uri="{28A0092B-C50C-407E-A947-70E740481C1C}">
                                                  <a14:useLocalDpi xmlns:a14="http://schemas.microsoft.com/office/drawing/2010/main" val="0"/>
                                                </a:ext>
                                              </a:extLst>
                                            </a:blip>
                                            <a:srcRect l="6519" t="19082" r="5754" b="15198"/>
                                            <a:stretch/>
                                          </pic:blipFill>
                                          <pic:spPr bwMode="auto">
                                            <a:xfrm>
                                              <a:off x="4857750" y="0"/>
                                              <a:ext cx="1590675" cy="730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33" name="Picture 19933"/>
                                            <pic:cNvPicPr>
                                              <a:picLocks noChangeAspect="1"/>
                                            </pic:cNvPicPr>
                                          </pic:nvPicPr>
                                          <pic:blipFill rotWithShape="1">
                                            <a:blip r:embed="rId200" cstate="screen">
                                              <a:extLst>
                                                <a:ext uri="{28A0092B-C50C-407E-A947-70E740481C1C}">
                                                  <a14:useLocalDpi xmlns:a14="http://schemas.microsoft.com/office/drawing/2010/main" val="0"/>
                                                </a:ext>
                                              </a:extLst>
                                            </a:blip>
                                            <a:srcRect l="6519" t="19082" r="5623" b="15204"/>
                                            <a:stretch/>
                                          </pic:blipFill>
                                          <pic:spPr bwMode="auto">
                                            <a:xfrm>
                                              <a:off x="3228975" y="9525"/>
                                              <a:ext cx="1575435" cy="721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34" name="Picture 19934"/>
                                            <pic:cNvPicPr>
                                              <a:picLocks noChangeAspect="1"/>
                                            </pic:cNvPicPr>
                                          </pic:nvPicPr>
                                          <pic:blipFill rotWithShape="1">
                                            <a:blip r:embed="rId201" cstate="screen">
                                              <a:extLst>
                                                <a:ext uri="{28A0092B-C50C-407E-A947-70E740481C1C}">
                                                  <a14:useLocalDpi xmlns:a14="http://schemas.microsoft.com/office/drawing/2010/main" val="0"/>
                                                </a:ext>
                                              </a:extLst>
                                            </a:blip>
                                            <a:srcRect l="6056" t="19201" r="5564" b="15199"/>
                                            <a:stretch/>
                                          </pic:blipFill>
                                          <pic:spPr bwMode="auto">
                                            <a:xfrm>
                                              <a:off x="0" y="9525"/>
                                              <a:ext cx="1582420" cy="7194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35" name="Picture 19935"/>
                                            <pic:cNvPicPr>
                                              <a:picLocks noChangeAspect="1"/>
                                            </pic:cNvPicPr>
                                          </pic:nvPicPr>
                                          <pic:blipFill rotWithShape="1">
                                            <a:blip r:embed="rId202" cstate="screen">
                                              <a:extLst>
                                                <a:ext uri="{28A0092B-C50C-407E-A947-70E740481C1C}">
                                                  <a14:useLocalDpi xmlns:a14="http://schemas.microsoft.com/office/drawing/2010/main" val="0"/>
                                                </a:ext>
                                              </a:extLst>
                                            </a:blip>
                                            <a:srcRect l="6519" t="19082" r="5632" b="15204"/>
                                            <a:stretch/>
                                          </pic:blipFill>
                                          <pic:spPr bwMode="auto">
                                            <a:xfrm>
                                              <a:off x="1619250" y="9525"/>
                                              <a:ext cx="1571625" cy="719455"/>
                                            </a:xfrm>
                                            <a:prstGeom prst="rect">
                                              <a:avLst/>
                                            </a:prstGeom>
                                            <a:noFill/>
                                            <a:ln>
                                              <a:noFill/>
                                            </a:ln>
                                            <a:extLst>
                                              <a:ext uri="{53640926-AAD7-44D8-BBD7-CCE9431645EC}">
                                                <a14:shadowObscured xmlns:a14="http://schemas.microsoft.com/office/drawing/2010/main"/>
                                              </a:ext>
                                            </a:extLst>
                                          </pic:spPr>
                                        </pic:pic>
                                      </wpg:grpSp>
                                    </wpg:grpSp>
                                    <wpg:grpSp>
                                      <wpg:cNvPr id="19936" name="Group 19936"/>
                                      <wpg:cNvGrpSpPr/>
                                      <wpg:grpSpPr>
                                        <a:xfrm>
                                          <a:off x="92104" y="962001"/>
                                          <a:ext cx="8497541" cy="723900"/>
                                          <a:chOff x="82579" y="-38124"/>
                                          <a:chExt cx="8497541" cy="723900"/>
                                        </a:xfrm>
                                      </wpg:grpSpPr>
                                      <wps:wsp>
                                        <wps:cNvPr id="19937" name="Rectangle 19937"/>
                                        <wps:cNvSpPr/>
                                        <wps:spPr>
                                          <a:xfrm>
                                            <a:off x="82579" y="162688"/>
                                            <a:ext cx="479375" cy="333413"/>
                                          </a:xfrm>
                                          <a:prstGeom prst="rect">
                                            <a:avLst/>
                                          </a:prstGeom>
                                          <a:solidFill>
                                            <a:sysClr val="window" lastClr="FFFFFF"/>
                                          </a:solidFill>
                                          <a:ln w="25400" cap="flat" cmpd="sng" algn="ctr">
                                            <a:noFill/>
                                            <a:prstDash val="solid"/>
                                          </a:ln>
                                          <a:effectLst/>
                                        </wps:spPr>
                                        <wps:txbx>
                                          <w:txbxContent>
                                            <w:p w14:paraId="7759B780" w14:textId="77777777" w:rsidR="00FD028F" w:rsidRPr="00DB177B" w:rsidRDefault="00FD028F" w:rsidP="00FD028F">
                                              <w:pPr>
                                                <w:spacing w:before="0"/>
                                                <w:jc w:val="center"/>
                                                <w:rPr>
                                                  <w:sz w:val="20"/>
                                                  <w:szCs w:val="20"/>
                                                  <w:lang w:val="en-US"/>
                                                </w:rPr>
                                              </w:pPr>
                                              <w:r w:rsidRPr="00DB177B">
                                                <w:rPr>
                                                  <w:sz w:val="20"/>
                                                  <w:szCs w:val="20"/>
                                                  <w:lang w:val="en-US"/>
                                                </w:rPr>
                                                <w:t>0.4 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938" name="Group 19938"/>
                                        <wpg:cNvGrpSpPr/>
                                        <wpg:grpSpPr>
                                          <a:xfrm>
                                            <a:off x="533400" y="-38124"/>
                                            <a:ext cx="8046720" cy="723900"/>
                                            <a:chOff x="0" y="-38124"/>
                                            <a:chExt cx="8046720" cy="723900"/>
                                          </a:xfrm>
                                        </wpg:grpSpPr>
                                        <pic:pic xmlns:pic="http://schemas.openxmlformats.org/drawingml/2006/picture">
                                          <pic:nvPicPr>
                                            <pic:cNvPr id="19939" name="Picture 19939"/>
                                            <pic:cNvPicPr>
                                              <a:picLocks noChangeAspect="1"/>
                                            </pic:cNvPicPr>
                                          </pic:nvPicPr>
                                          <pic:blipFill rotWithShape="1">
                                            <a:blip r:embed="rId203" cstate="screen">
                                              <a:extLst>
                                                <a:ext uri="{28A0092B-C50C-407E-A947-70E740481C1C}">
                                                  <a14:useLocalDpi xmlns:a14="http://schemas.microsoft.com/office/drawing/2010/main" val="0"/>
                                                </a:ext>
                                              </a:extLst>
                                            </a:blip>
                                            <a:srcRect l="6666" t="19082" r="5779" b="15446"/>
                                            <a:stretch/>
                                          </pic:blipFill>
                                          <pic:spPr bwMode="auto">
                                            <a:xfrm>
                                              <a:off x="6477000" y="-38124"/>
                                              <a:ext cx="1569720" cy="7194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40" name="Picture 19940"/>
                                            <pic:cNvPicPr>
                                              <a:picLocks noChangeAspect="1"/>
                                            </pic:cNvPicPr>
                                          </pic:nvPicPr>
                                          <pic:blipFill rotWithShape="1">
                                            <a:blip r:embed="rId204" cstate="screen">
                                              <a:extLst>
                                                <a:ext uri="{28A0092B-C50C-407E-A947-70E740481C1C}">
                                                  <a14:useLocalDpi xmlns:a14="http://schemas.microsoft.com/office/drawing/2010/main" val="0"/>
                                                </a:ext>
                                              </a:extLst>
                                            </a:blip>
                                            <a:srcRect l="6518" t="19082" r="5779" b="15446"/>
                                            <a:stretch/>
                                          </pic:blipFill>
                                          <pic:spPr bwMode="auto">
                                            <a:xfrm>
                                              <a:off x="4857750" y="-28599"/>
                                              <a:ext cx="1560830" cy="7143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41" name="Picture 19941"/>
                                            <pic:cNvPicPr>
                                              <a:picLocks noChangeAspect="1"/>
                                            </pic:cNvPicPr>
                                          </pic:nvPicPr>
                                          <pic:blipFill rotWithShape="1">
                                            <a:blip r:embed="rId205" cstate="screen">
                                              <a:extLst>
                                                <a:ext uri="{28A0092B-C50C-407E-A947-70E740481C1C}">
                                                  <a14:useLocalDpi xmlns:a14="http://schemas.microsoft.com/office/drawing/2010/main" val="0"/>
                                                </a:ext>
                                              </a:extLst>
                                            </a:blip>
                                            <a:srcRect l="6519" t="19082" r="5632" b="15446"/>
                                            <a:stretch/>
                                          </pic:blipFill>
                                          <pic:spPr bwMode="auto">
                                            <a:xfrm>
                                              <a:off x="3228975" y="-38124"/>
                                              <a:ext cx="1578610" cy="72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42" name="Picture 19942"/>
                                            <pic:cNvPicPr>
                                              <a:picLocks noChangeAspect="1"/>
                                            </pic:cNvPicPr>
                                          </pic:nvPicPr>
                                          <pic:blipFill rotWithShape="1">
                                            <a:blip r:embed="rId206" cstate="screen">
                                              <a:extLst>
                                                <a:ext uri="{28A0092B-C50C-407E-A947-70E740481C1C}">
                                                  <a14:useLocalDpi xmlns:a14="http://schemas.microsoft.com/office/drawing/2010/main" val="0"/>
                                                </a:ext>
                                              </a:extLst>
                                            </a:blip>
                                            <a:srcRect l="6666" t="19082" r="5779" b="15204"/>
                                            <a:stretch/>
                                          </pic:blipFill>
                                          <pic:spPr bwMode="auto">
                                            <a:xfrm>
                                              <a:off x="1619250" y="-38124"/>
                                              <a:ext cx="1572260" cy="7226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43" name="Picture 19943"/>
                                            <pic:cNvPicPr>
                                              <a:picLocks noChangeAspect="1"/>
                                            </pic:cNvPicPr>
                                          </pic:nvPicPr>
                                          <pic:blipFill rotWithShape="1">
                                            <a:blip r:embed="rId207" cstate="screen">
                                              <a:extLst>
                                                <a:ext uri="{28A0092B-C50C-407E-A947-70E740481C1C}">
                                                  <a14:useLocalDpi xmlns:a14="http://schemas.microsoft.com/office/drawing/2010/main" val="0"/>
                                                </a:ext>
                                              </a:extLst>
                                            </a:blip>
                                            <a:srcRect l="6383" t="19200" r="5728" b="15200"/>
                                            <a:stretch/>
                                          </pic:blipFill>
                                          <pic:spPr bwMode="auto">
                                            <a:xfrm>
                                              <a:off x="0" y="-28599"/>
                                              <a:ext cx="1560830" cy="714375"/>
                                            </a:xfrm>
                                            <a:prstGeom prst="rect">
                                              <a:avLst/>
                                            </a:prstGeom>
                                            <a:noFill/>
                                            <a:ln>
                                              <a:noFill/>
                                            </a:ln>
                                            <a:extLst>
                                              <a:ext uri="{53640926-AAD7-44D8-BBD7-CCE9431645EC}">
                                                <a14:shadowObscured xmlns:a14="http://schemas.microsoft.com/office/drawing/2010/main"/>
                                              </a:ext>
                                            </a:extLst>
                                          </pic:spPr>
                                        </pic:pic>
                                      </wpg:grpSp>
                                    </wpg:grpSp>
                                  </wpg:grpSp>
                                </wpg:grpSp>
                              </wpg:grpSp>
                              <wps:wsp>
                                <wps:cNvPr id="19944" name="Rectangle 19944"/>
                                <wps:cNvSpPr/>
                                <wps:spPr>
                                  <a:xfrm>
                                    <a:off x="4295775" y="0"/>
                                    <a:ext cx="561975" cy="190500"/>
                                  </a:xfrm>
                                  <a:prstGeom prst="rect">
                                    <a:avLst/>
                                  </a:prstGeom>
                                  <a:solidFill>
                                    <a:sysClr val="window" lastClr="FFFFFF"/>
                                  </a:solidFill>
                                  <a:ln w="25400" cap="flat" cmpd="sng" algn="ctr">
                                    <a:noFill/>
                                    <a:prstDash val="solid"/>
                                  </a:ln>
                                  <a:effectLst/>
                                </wps:spPr>
                                <wps:txbx>
                                  <w:txbxContent>
                                    <w:p w14:paraId="34E24B0A" w14:textId="77777777" w:rsidR="00FD028F" w:rsidRPr="00052B5B" w:rsidRDefault="00FD028F" w:rsidP="00FD028F">
                                      <w:pPr>
                                        <w:spacing w:before="0"/>
                                        <w:jc w:val="center"/>
                                        <w:rPr>
                                          <w:sz w:val="20"/>
                                          <w:szCs w:val="20"/>
                                          <w:lang w:val="en-US"/>
                                        </w:rPr>
                                      </w:pPr>
                                      <w:r w:rsidRPr="00052B5B">
                                        <w:rPr>
                                          <w:sz w:val="20"/>
                                          <w:szCs w:val="20"/>
                                          <w:lang w:val="en-US"/>
                                        </w:rPr>
                                        <w:t>V3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9945" name="Rectangle 19945"/>
                              <wps:cNvSpPr/>
                              <wps:spPr>
                                <a:xfrm>
                                  <a:off x="5905500" y="0"/>
                                  <a:ext cx="561975" cy="190500"/>
                                </a:xfrm>
                                <a:prstGeom prst="rect">
                                  <a:avLst/>
                                </a:prstGeom>
                                <a:solidFill>
                                  <a:sysClr val="window" lastClr="FFFFFF"/>
                                </a:solidFill>
                                <a:ln w="25400" cap="flat" cmpd="sng" algn="ctr">
                                  <a:noFill/>
                                  <a:prstDash val="solid"/>
                                </a:ln>
                                <a:effectLst/>
                              </wps:spPr>
                              <wps:txbx>
                                <w:txbxContent>
                                  <w:p w14:paraId="19CB6BD5" w14:textId="77777777" w:rsidR="00FD028F" w:rsidRPr="00052B5B" w:rsidRDefault="00FD028F" w:rsidP="00FD028F">
                                    <w:pPr>
                                      <w:spacing w:before="0"/>
                                      <w:jc w:val="center"/>
                                      <w:rPr>
                                        <w:sz w:val="20"/>
                                        <w:szCs w:val="20"/>
                                        <w:lang w:val="en-US"/>
                                      </w:rPr>
                                    </w:pPr>
                                    <w:r w:rsidRPr="00052B5B">
                                      <w:rPr>
                                        <w:sz w:val="20"/>
                                        <w:szCs w:val="20"/>
                                        <w:lang w:val="en-US"/>
                                      </w:rPr>
                                      <w:t>V4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9946" name="Rectangle 19946"/>
                            <wps:cNvSpPr/>
                            <wps:spPr>
                              <a:xfrm>
                                <a:off x="7562850" y="0"/>
                                <a:ext cx="561975" cy="190500"/>
                              </a:xfrm>
                              <a:prstGeom prst="rect">
                                <a:avLst/>
                              </a:prstGeom>
                              <a:solidFill>
                                <a:sysClr val="window" lastClr="FFFFFF"/>
                              </a:solidFill>
                              <a:ln w="25400" cap="flat" cmpd="sng" algn="ctr">
                                <a:noFill/>
                                <a:prstDash val="solid"/>
                              </a:ln>
                              <a:effectLst/>
                            </wps:spPr>
                            <wps:txbx>
                              <w:txbxContent>
                                <w:p w14:paraId="61C8BB79" w14:textId="77777777" w:rsidR="00FD028F" w:rsidRPr="00052B5B" w:rsidRDefault="00FD028F" w:rsidP="00FD028F">
                                  <w:pPr>
                                    <w:spacing w:before="0"/>
                                    <w:jc w:val="center"/>
                                    <w:rPr>
                                      <w:sz w:val="20"/>
                                      <w:szCs w:val="20"/>
                                      <w:lang w:val="en-US"/>
                                    </w:rPr>
                                  </w:pPr>
                                  <w:r w:rsidRPr="00052B5B">
                                    <w:rPr>
                                      <w:sz w:val="20"/>
                                      <w:szCs w:val="20"/>
                                      <w:lang w:val="en-US"/>
                                    </w:rPr>
                                    <w:t>V5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9947" name="Rectangle 19947"/>
                          <wps:cNvSpPr/>
                          <wps:spPr>
                            <a:xfrm>
                              <a:off x="9217858" y="9525"/>
                              <a:ext cx="561975" cy="190500"/>
                            </a:xfrm>
                            <a:prstGeom prst="rect">
                              <a:avLst/>
                            </a:prstGeom>
                            <a:solidFill>
                              <a:sysClr val="window" lastClr="FFFFFF"/>
                            </a:solidFill>
                            <a:ln w="25400" cap="flat" cmpd="sng" algn="ctr">
                              <a:noFill/>
                              <a:prstDash val="solid"/>
                            </a:ln>
                            <a:effectLst/>
                          </wps:spPr>
                          <wps:txbx>
                            <w:txbxContent>
                              <w:p w14:paraId="0F29E553" w14:textId="77777777" w:rsidR="00FD028F" w:rsidRPr="00052B5B" w:rsidRDefault="00FD028F" w:rsidP="00FD028F">
                                <w:pPr>
                                  <w:spacing w:before="0"/>
                                  <w:jc w:val="center"/>
                                  <w:rPr>
                                    <w:sz w:val="20"/>
                                    <w:szCs w:val="20"/>
                                    <w:lang w:val="en-US"/>
                                  </w:rPr>
                                </w:pPr>
                                <w:r w:rsidRPr="00052B5B">
                                  <w:rPr>
                                    <w:sz w:val="20"/>
                                    <w:szCs w:val="20"/>
                                    <w:lang w:val="en-US"/>
                                  </w:rPr>
                                  <w:t>Control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19948" name="Group 19948"/>
                        <wpg:cNvGrpSpPr/>
                        <wpg:grpSpPr>
                          <a:xfrm>
                            <a:off x="8180961" y="233464"/>
                            <a:ext cx="1588541" cy="3587736"/>
                            <a:chOff x="0" y="0"/>
                            <a:chExt cx="1588541" cy="3587736"/>
                          </a:xfrm>
                        </wpg:grpSpPr>
                        <pic:pic xmlns:pic="http://schemas.openxmlformats.org/drawingml/2006/picture">
                          <pic:nvPicPr>
                            <pic:cNvPr id="19949" name="Picture 19949"/>
                            <pic:cNvPicPr>
                              <a:picLocks noChangeAspect="1"/>
                            </pic:cNvPicPr>
                          </pic:nvPicPr>
                          <pic:blipFill rotWithShape="1">
                            <a:blip r:embed="rId208" cstate="screen">
                              <a:extLst>
                                <a:ext uri="{28A0092B-C50C-407E-A947-70E740481C1C}">
                                  <a14:useLocalDpi xmlns:a14="http://schemas.microsoft.com/office/drawing/2010/main" val="0"/>
                                </a:ext>
                              </a:extLst>
                            </a:blip>
                            <a:srcRect l="8652" t="22657" r="6300" b="18132"/>
                            <a:stretch/>
                          </pic:blipFill>
                          <pic:spPr bwMode="auto">
                            <a:xfrm>
                              <a:off x="0" y="0"/>
                              <a:ext cx="1561465" cy="758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50" name="Picture 19950"/>
                            <pic:cNvPicPr>
                              <a:picLocks noChangeAspect="1"/>
                            </pic:cNvPicPr>
                          </pic:nvPicPr>
                          <pic:blipFill rotWithShape="1">
                            <a:blip r:embed="rId209" cstate="screen">
                              <a:extLst>
                                <a:ext uri="{28A0092B-C50C-407E-A947-70E740481C1C}">
                                  <a14:useLocalDpi xmlns:a14="http://schemas.microsoft.com/office/drawing/2010/main" val="0"/>
                                </a:ext>
                              </a:extLst>
                            </a:blip>
                            <a:srcRect l="8652" t="22657" r="7152" b="18132"/>
                            <a:stretch/>
                          </pic:blipFill>
                          <pic:spPr bwMode="auto">
                            <a:xfrm>
                              <a:off x="19456" y="954121"/>
                              <a:ext cx="1545590" cy="7581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51" name="Picture 19951"/>
                            <pic:cNvPicPr>
                              <a:picLocks noChangeAspect="1"/>
                            </pic:cNvPicPr>
                          </pic:nvPicPr>
                          <pic:blipFill rotWithShape="1">
                            <a:blip r:embed="rId210" cstate="screen">
                              <a:extLst>
                                <a:ext uri="{28A0092B-C50C-407E-A947-70E740481C1C}">
                                  <a14:useLocalDpi xmlns:a14="http://schemas.microsoft.com/office/drawing/2010/main" val="0"/>
                                </a:ext>
                              </a:extLst>
                            </a:blip>
                            <a:srcRect l="8652" t="22657" r="7784" b="18132"/>
                            <a:stretch/>
                          </pic:blipFill>
                          <pic:spPr bwMode="auto">
                            <a:xfrm>
                              <a:off x="0" y="1865257"/>
                              <a:ext cx="1572260" cy="7772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952" name="Picture 19952"/>
                            <pic:cNvPicPr>
                              <a:picLocks noChangeAspect="1"/>
                            </pic:cNvPicPr>
                          </pic:nvPicPr>
                          <pic:blipFill rotWithShape="1">
                            <a:blip r:embed="rId211" cstate="screen">
                              <a:extLst>
                                <a:ext uri="{28A0092B-C50C-407E-A947-70E740481C1C}">
                                  <a14:useLocalDpi xmlns:a14="http://schemas.microsoft.com/office/drawing/2010/main" val="0"/>
                                </a:ext>
                              </a:extLst>
                            </a:blip>
                            <a:srcRect l="8652" t="22658" r="7379" b="18130"/>
                            <a:stretch/>
                          </pic:blipFill>
                          <pic:spPr bwMode="auto">
                            <a:xfrm>
                              <a:off x="19456" y="2814941"/>
                              <a:ext cx="1569085" cy="772795"/>
                            </a:xfrm>
                            <a:prstGeom prst="rect">
                              <a:avLst/>
                            </a:prstGeom>
                            <a:noFill/>
                            <a:ln>
                              <a:noFill/>
                            </a:ln>
                            <a:extLst>
                              <a:ext uri="{53640926-AAD7-44D8-BBD7-CCE9431645EC}">
                                <a14:shadowObscured xmlns:a14="http://schemas.microsoft.com/office/drawing/2010/main"/>
                              </a:ext>
                            </a:extLst>
                          </pic:spPr>
                        </pic:pic>
                      </wpg:grpSp>
                    </wpg:wgp>
                  </a:graphicData>
                </a:graphic>
              </wp:inline>
            </w:drawing>
          </mc:Choice>
          <mc:Fallback>
            <w:pict>
              <v:group w14:anchorId="3391A6C1" id="Group 19902" o:spid="_x0000_s1384" style="width:694.5pt;height:300.9pt;mso-position-horizontal-relative:char;mso-position-vertical-relative:line" coordorigin="868" coordsize="96826,382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">
                <v:group id="Group 19903" o:spid="_x0000_s1385" style="position:absolute;left:868;width:91366;height:37611" coordorigin="921" coordsize="96877,3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">
                  <v:group id="Group 19904" o:spid="_x0000_s1386" style="position:absolute;left:921;width:85165;height:37635" coordorigin="921" coordsize="85165,3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">
                    <v:group id="Group 19905" o:spid="_x0000_s1387" style="position:absolute;left:921;top:95;width:85165;height:37540" coordorigin="921" coordsize="85165,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">
                      <v:group id="Group 19906" o:spid="_x0000_s1388" style="position:absolute;left:921;width:85165;height:37540" coordorigin="921" coordsize="85165,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">
                        <v:group id="Group 19907" o:spid="_x0000_s1389" style="position:absolute;left:921;width:85165;height:37540" coordorigin="921" coordsize="85165,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">
                          <v:rect id="Rectangle 19908" o:spid="_x0000_s1390" style="position:absolute;left:26765;width:562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" fillcolor="window" stroked="f" strokeweight="2pt">
                            <v:textbox inset="0,0,0,0">
                              <w:txbxContent>
                                <w:p w14:paraId="70B86B86" w14:textId="77777777" w:rsidR="00FD028F" w:rsidRPr="00052B5B" w:rsidRDefault="00FD028F" w:rsidP="00FD028F">
                                  <w:pPr>
                                    <w:spacing w:before="0"/>
                                    <w:jc w:val="center"/>
                                    <w:rPr>
                                      <w:sz w:val="20"/>
                                      <w:szCs w:val="20"/>
                                      <w:lang w:val="en-US"/>
                                    </w:rPr>
                                  </w:pPr>
                                  <w:r w:rsidRPr="00052B5B">
                                    <w:rPr>
                                      <w:sz w:val="20"/>
                                      <w:szCs w:val="20"/>
                                      <w:lang w:val="en-US"/>
                                    </w:rPr>
                                    <w:t>V2</w:t>
                                  </w:r>
                                </w:p>
                              </w:txbxContent>
                            </v:textbox>
                          </v:rect>
                          <v:group id="Group 19909" o:spid="_x0000_s1391" style="position:absolute;left:921;width:85165;height:37540" coordorigin="921" coordsize="85165,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">
                            <v:rect id="Rectangle 19910" o:spid="_x0000_s1392" style="position:absolute;left:11142;width:562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" fillcolor="window" stroked="f" strokeweight="2pt">
                              <v:textbox inset="0,0,0,0">
                                <w:txbxContent>
                                  <w:p w14:paraId="5AB40555" w14:textId="77777777" w:rsidR="00FD028F" w:rsidRPr="00052B5B" w:rsidRDefault="00FD028F" w:rsidP="00FD028F">
                                    <w:pPr>
                                      <w:spacing w:before="0"/>
                                      <w:jc w:val="center"/>
                                      <w:rPr>
                                        <w:sz w:val="20"/>
                                        <w:szCs w:val="20"/>
                                        <w:lang w:val="en-US"/>
                                      </w:rPr>
                                    </w:pPr>
                                    <w:r w:rsidRPr="00052B5B">
                                      <w:rPr>
                                        <w:sz w:val="20"/>
                                        <w:szCs w:val="20"/>
                                        <w:lang w:val="en-US"/>
                                      </w:rPr>
                                      <w:t>V1</w:t>
                                    </w:r>
                                  </w:p>
                                </w:txbxContent>
                              </v:textbox>
                            </v:rect>
                            <v:group id="Group 19911" o:spid="_x0000_s1393" style="position:absolute;left:921;top:2286;width:85165;height:35254" coordorigin="921" coordsize="85165,3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">
                              <v:group id="Group 19912" o:spid="_x0000_s1394" style="position:absolute;left:921;top:28002;width:85165;height:7252" coordorigin="730,-1715" coordsize="85165,7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">
                                <v:rect id="Rectangle 19913" o:spid="_x0000_s1395" style="position:absolute;left:730;top:17;width:4277;height:2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" fillcolor="window" stroked="f" strokeweight="2pt">
                                  <v:textbox inset="0,0,0,0">
                                    <w:txbxContent>
                                      <w:p w14:paraId="1AEBC211" w14:textId="77777777" w:rsidR="00FD028F" w:rsidRPr="00DB177B" w:rsidRDefault="00FD028F" w:rsidP="00FD028F">
                                        <w:pPr>
                                          <w:spacing w:before="0"/>
                                          <w:jc w:val="center"/>
                                          <w:rPr>
                                            <w:sz w:val="20"/>
                                            <w:szCs w:val="20"/>
                                            <w:lang w:val="en-US"/>
                                          </w:rPr>
                                        </w:pPr>
                                        <w:r w:rsidRPr="00DB177B">
                                          <w:rPr>
                                            <w:sz w:val="20"/>
                                            <w:szCs w:val="20"/>
                                            <w:lang w:val="en-US"/>
                                          </w:rPr>
                                          <w:t>0.8 Hz</w:t>
                                        </w:r>
                                      </w:p>
                                    </w:txbxContent>
                                  </v:textbox>
                                </v:rect>
                                <v:group id="Group 19914" o:spid="_x0000_s1396" style="position:absolute;left:5143;top:-1715;width:80753;height:7251" coordorigin=",-1715" coordsize="80752,7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">
                                  <v:shape id="Picture 19915" o:spid="_x0000_s1397" type="#_x0000_t75" style="position:absolute;left:64865;top:-1715;width:15887;height: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">
                                    <v:imagedata r:id="rId212" o:title="" croptop="12583f" cropbottom="10136f" cropleft="4183f" cropright="3861f"/>
                                  </v:shape>
                                  <v:shape id="Picture 19916" o:spid="_x0000_s1398" type="#_x0000_t75" style="position:absolute;left:48768;top:-1715;width:15798;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">
                                    <v:imagedata r:id="rId213" o:title="" croptop="12583f" cropbottom="10136f" cropleft="4291f" cropright="3861f"/>
                                  </v:shape>
                                  <v:shape id="Picture 19917" o:spid="_x0000_s1399" type="#_x0000_t75" style="position:absolute;left:32480;top:-1715;width:15811;height:7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">
                                    <v:imagedata r:id="rId214" o:title="" croptop="12758f" cropbottom="10136f" cropleft="4291f" cropright="3861f"/>
                                  </v:shape>
                                  <v:shape id="Picture 19918" o:spid="_x0000_s1400" type="#_x0000_t75" style="position:absolute;left:16287;top:-1715;width:15812;height: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">
                                    <v:imagedata r:id="rId215" o:title="" croptop="12758f" cropbottom="10136f" cropleft="4183f" cropright="3861f"/>
                                  </v:shape>
                                  <v:shape id="Picture 19919" o:spid="_x0000_s1401" type="#_x0000_t75" style="position:absolute;top:-1715;width:15760;height:7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">
                                    <v:imagedata r:id="rId216" o:title="" croptop="12583f" cropbottom="9961f" cropleft="4183f" cropright="3861f"/>
                                  </v:shape>
                                </v:group>
                              </v:group>
                              <v:group id="Group 19920" o:spid="_x0000_s1402" style="position:absolute;left:921;top:18729;width:85070;height:7251" coordorigin="825,-511" coordsize="85070,7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">
                                <v:rect id="Rectangle 19921" o:spid="_x0000_s1403" style="position:absolute;left:825;top:1518;width:4794;height:2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" fillcolor="window" stroked="f" strokeweight="2pt">
                                  <v:textbox inset="0,0,0,0">
                                    <w:txbxContent>
                                      <w:p w14:paraId="27109749" w14:textId="77777777" w:rsidR="00FD028F" w:rsidRPr="00DB177B" w:rsidRDefault="00FD028F" w:rsidP="00FD028F">
                                        <w:pPr>
                                          <w:spacing w:before="0"/>
                                          <w:jc w:val="center"/>
                                          <w:rPr>
                                            <w:sz w:val="20"/>
                                            <w:szCs w:val="20"/>
                                            <w:lang w:val="en-US"/>
                                          </w:rPr>
                                        </w:pPr>
                                        <w:r w:rsidRPr="00DB177B">
                                          <w:rPr>
                                            <w:sz w:val="20"/>
                                            <w:szCs w:val="20"/>
                                            <w:lang w:val="en-US"/>
                                          </w:rPr>
                                          <w:t>0.6 Hz</w:t>
                                        </w:r>
                                      </w:p>
                                    </w:txbxContent>
                                  </v:textbox>
                                </v:rect>
                                <v:group id="Group 19922" o:spid="_x0000_s1404" style="position:absolute;left:5238;top:-511;width:80658;height:7251" coordorigin=",-511" coordsize="80657,7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">
                                  <v:shape id="Picture 19923" o:spid="_x0000_s1405" type="#_x0000_t75" style="position:absolute;left:64770;top:-511;width:15887;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">
                                    <v:imagedata r:id="rId217" o:title="" croptop="12758f" cropbottom="10136f" cropleft="4291f" cropright="3861f"/>
                                  </v:shape>
                                  <v:shape id="Picture 19924" o:spid="_x0000_s1406" type="#_x0000_t75" style="position:absolute;left:48672;top:-511;width:15831;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">
                                    <v:imagedata r:id="rId218" o:title="" croptop="12583f" cropbottom="10136f" cropleft="4291f" cropright="3861f"/>
                                  </v:shape>
                                  <v:shape id="Picture 19925" o:spid="_x0000_s1407" type="#_x0000_t75" style="position:absolute;left:32385;top:-416;width:15703;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">
                                    <v:imagedata r:id="rId219" o:title="" croptop="12664f" cropbottom="10128f" cropleft="4272f" cropright="3787f"/>
                                  </v:shape>
                                  <v:shape id="Picture 19926" o:spid="_x0000_s1408" type="#_x0000_t75" style="position:absolute;left:16383;top:-416;width:15608;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">
                                    <v:imagedata r:id="rId220" o:title="" croptop="12506f" cropbottom="10123f" cropleft="4371f" cropright="3777f"/>
                                  </v:shape>
                                  <v:shape id="Picture 19927" o:spid="_x0000_s1409" type="#_x0000_t75" style="position:absolute;top:-511;width:15792;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">
                                    <v:imagedata r:id="rId221" o:title="" croptop="12583f" cropbottom="9961f" cropleft="4183f" cropright="3861f"/>
                                  </v:shape>
                                </v:group>
                              </v:group>
                              <v:group id="Group 19928" o:spid="_x0000_s1410" style="position:absolute;left:921;width:84880;height:7308" coordorigin="921" coordsize="84880,7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">
                                <v:rect id="Rectangle 19929" o:spid="_x0000_s1411" style="position:absolute;left:921;top:2282;width:4697;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" fillcolor="window" stroked="f" strokeweight="2pt">
                                  <v:textbox inset="0,0,0,0">
                                    <w:txbxContent>
                                      <w:p w14:paraId="09FB489F" w14:textId="77777777" w:rsidR="00FD028F" w:rsidRPr="00DB177B" w:rsidRDefault="00FD028F" w:rsidP="00FD028F">
                                        <w:pPr>
                                          <w:spacing w:before="0" w:line="240" w:lineRule="auto"/>
                                          <w:jc w:val="center"/>
                                          <w:rPr>
                                            <w:sz w:val="20"/>
                                            <w:szCs w:val="20"/>
                                            <w:lang w:val="en-US"/>
                                          </w:rPr>
                                        </w:pPr>
                                        <w:r w:rsidRPr="00DB177B">
                                          <w:rPr>
                                            <w:sz w:val="20"/>
                                            <w:szCs w:val="20"/>
                                            <w:lang w:val="en-US"/>
                                          </w:rPr>
                                          <w:t>0.2 Hz</w:t>
                                        </w:r>
                                      </w:p>
                                    </w:txbxContent>
                                  </v:textbox>
                                </v:rect>
                                <v:group id="Group 19930" o:spid="_x0000_s1412" style="position:absolute;left:5429;width:80372;height:7308" coordsize="80371,7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">
                                  <v:shape id="Picture 19931" o:spid="_x0000_s1413" type="#_x0000_t75" style="position:absolute;left:64674;top:95;width:15697;height:7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">
                                    <v:imagedata r:id="rId222" o:title="" croptop="12506f" cropbottom="9961f" cropleft="4273f" cropright="3680f"/>
                                  </v:shape>
                                  <v:shape id="Picture 19932" o:spid="_x0000_s1414" type="#_x0000_t75" style="position:absolute;left:48577;width:15907;height: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">
                                    <v:imagedata r:id="rId223" o:title="" croptop="12506f" cropbottom="9960f" cropleft="4272f" cropright="3771f"/>
                                  </v:shape>
                                  <v:shape id="Picture 19933" o:spid="_x0000_s1415" type="#_x0000_t75" style="position:absolute;left:32289;top:95;width:15755;height: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">
                                    <v:imagedata r:id="rId224" o:title="" croptop="12506f" cropbottom="9964f" cropleft="4272f" cropright="3685f"/>
                                  </v:shape>
                                  <v:shape id="Picture 19934" o:spid="_x0000_s1416" type="#_x0000_t75" style="position:absolute;top:95;width:1582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">
                                    <v:imagedata r:id="rId225" o:title="" croptop="12584f" cropbottom="9961f" cropleft="3969f" cropright="3646f"/>
                                  </v:shape>
                                  <v:shape id="Picture 19935" o:spid="_x0000_s1417" type="#_x0000_t75" style="position:absolute;left:16192;top:95;width:1571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">
                                    <v:imagedata r:id="rId226" o:title="" croptop="12506f" cropbottom="9964f" cropleft="4272f" cropright="3691f"/>
                                  </v:shape>
                                </v:group>
                              </v:group>
                              <v:group id="Group 19936" o:spid="_x0000_s1418" style="position:absolute;left:921;top:9620;width:84975;height:7239" coordorigin="825,-381" coordsize="84975,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">
                                <v:rect id="Rectangle 19937" o:spid="_x0000_s1419" style="position:absolute;left:825;top:1626;width:4794;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" fillcolor="window" stroked="f" strokeweight="2pt">
                                  <v:textbox inset="0,0,0,0">
                                    <w:txbxContent>
                                      <w:p w14:paraId="7759B780" w14:textId="77777777" w:rsidR="00FD028F" w:rsidRPr="00DB177B" w:rsidRDefault="00FD028F" w:rsidP="00FD028F">
                                        <w:pPr>
                                          <w:spacing w:before="0"/>
                                          <w:jc w:val="center"/>
                                          <w:rPr>
                                            <w:sz w:val="20"/>
                                            <w:szCs w:val="20"/>
                                            <w:lang w:val="en-US"/>
                                          </w:rPr>
                                        </w:pPr>
                                        <w:r w:rsidRPr="00DB177B">
                                          <w:rPr>
                                            <w:sz w:val="20"/>
                                            <w:szCs w:val="20"/>
                                            <w:lang w:val="en-US"/>
                                          </w:rPr>
                                          <w:t>0.4 Hz</w:t>
                                        </w:r>
                                      </w:p>
                                    </w:txbxContent>
                                  </v:textbox>
                                </v:rect>
                                <v:group id="Group 19938" o:spid="_x0000_s1420" style="position:absolute;left:5334;top:-381;width:80467;height:7238" coordorigin=",-381" coordsize="80467,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">
                                  <v:shape id="Picture 19939" o:spid="_x0000_s1421" type="#_x0000_t75" style="position:absolute;left:64770;top:-381;width:1569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">
                                    <v:imagedata r:id="rId227" o:title="" croptop="12506f" cropbottom="10123f" cropleft="4369f" cropright="3787f"/>
                                  </v:shape>
                                  <v:shape id="Picture 19940" o:spid="_x0000_s1422" type="#_x0000_t75" style="position:absolute;left:48577;top:-285;width:15608;height:7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">
                                    <v:imagedata r:id="rId228" o:title="" croptop="12506f" cropbottom="10123f" cropleft="4272f" cropright="3787f"/>
                                  </v:shape>
                                  <v:shape id="Picture 19941" o:spid="_x0000_s1423" type="#_x0000_t75" style="position:absolute;left:32289;top:-381;width:15786;height:7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">
                                    <v:imagedata r:id="rId229" o:title="" croptop="12506f" cropbottom="10123f" cropleft="4272f" cropright="3691f"/>
                                  </v:shape>
                                  <v:shape id="Picture 19942" o:spid="_x0000_s1424" type="#_x0000_t75" style="position:absolute;left:16192;top:-381;width:15723;height:7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">
                                    <v:imagedata r:id="rId230" o:title="" croptop="12506f" cropbottom="9964f" cropleft="4369f" cropright="3787f"/>
                                  </v:shape>
                                  <v:shape id="Picture 19943" o:spid="_x0000_s1425" type="#_x0000_t75" style="position:absolute;top:-285;width:15608;height:7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">
                                    <v:imagedata r:id="rId231" o:title="" croptop="12583f" cropbottom="9961f" cropleft="4183f" cropright="3754f"/>
                                  </v:shape>
                                </v:group>
                              </v:group>
                            </v:group>
                          </v:group>
                        </v:group>
                        <v:rect id="Rectangle 19944" o:spid="_x0000_s1426" style="position:absolute;left:42957;width:562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" fillcolor="window" stroked="f" strokeweight="2pt">
                          <v:textbox inset="0,0,0,0">
                            <w:txbxContent>
                              <w:p w14:paraId="34E24B0A" w14:textId="77777777" w:rsidR="00FD028F" w:rsidRPr="00052B5B" w:rsidRDefault="00FD028F" w:rsidP="00FD028F">
                                <w:pPr>
                                  <w:spacing w:before="0"/>
                                  <w:jc w:val="center"/>
                                  <w:rPr>
                                    <w:sz w:val="20"/>
                                    <w:szCs w:val="20"/>
                                    <w:lang w:val="en-US"/>
                                  </w:rPr>
                                </w:pPr>
                                <w:r w:rsidRPr="00052B5B">
                                  <w:rPr>
                                    <w:sz w:val="20"/>
                                    <w:szCs w:val="20"/>
                                    <w:lang w:val="en-US"/>
                                  </w:rPr>
                                  <w:t>V3</w:t>
                                </w:r>
                              </w:p>
                            </w:txbxContent>
                          </v:textbox>
                        </v:rect>
                      </v:group>
                      <v:rect id="Rectangle 19945" o:spid="_x0000_s1427" style="position:absolute;left:59055;width:561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" fillcolor="window" stroked="f" strokeweight="2pt">
                        <v:textbox inset="0,0,0,0">
                          <w:txbxContent>
                            <w:p w14:paraId="19CB6BD5" w14:textId="77777777" w:rsidR="00FD028F" w:rsidRPr="00052B5B" w:rsidRDefault="00FD028F" w:rsidP="00FD028F">
                              <w:pPr>
                                <w:spacing w:before="0"/>
                                <w:jc w:val="center"/>
                                <w:rPr>
                                  <w:sz w:val="20"/>
                                  <w:szCs w:val="20"/>
                                  <w:lang w:val="en-US"/>
                                </w:rPr>
                              </w:pPr>
                              <w:r w:rsidRPr="00052B5B">
                                <w:rPr>
                                  <w:sz w:val="20"/>
                                  <w:szCs w:val="20"/>
                                  <w:lang w:val="en-US"/>
                                </w:rPr>
                                <w:t>V4</w:t>
                              </w:r>
                            </w:p>
                          </w:txbxContent>
                        </v:textbox>
                      </v:rect>
                    </v:group>
                    <v:rect id="Rectangle 19946" o:spid="_x0000_s1428" style="position:absolute;left:75628;width:562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" fillcolor="window" stroked="f" strokeweight="2pt">
                      <v:textbox inset="0,0,0,0">
                        <w:txbxContent>
                          <w:p w14:paraId="61C8BB79" w14:textId="77777777" w:rsidR="00FD028F" w:rsidRPr="00052B5B" w:rsidRDefault="00FD028F" w:rsidP="00FD028F">
                            <w:pPr>
                              <w:spacing w:before="0"/>
                              <w:jc w:val="center"/>
                              <w:rPr>
                                <w:sz w:val="20"/>
                                <w:szCs w:val="20"/>
                                <w:lang w:val="en-US"/>
                              </w:rPr>
                            </w:pPr>
                            <w:r w:rsidRPr="00052B5B">
                              <w:rPr>
                                <w:sz w:val="20"/>
                                <w:szCs w:val="20"/>
                                <w:lang w:val="en-US"/>
                              </w:rPr>
                              <w:t>V5</w:t>
                            </w:r>
                          </w:p>
                        </w:txbxContent>
                      </v:textbox>
                    </v:rect>
                  </v:group>
                  <v:rect id="Rectangle 19947" o:spid="_x0000_s1429" style="position:absolute;left:92178;top:95;width:562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" fillcolor="window" stroked="f" strokeweight="2pt">
                    <v:textbox inset="0,0,0,0">
                      <w:txbxContent>
                        <w:p w14:paraId="0F29E553" w14:textId="77777777" w:rsidR="00FD028F" w:rsidRPr="00052B5B" w:rsidRDefault="00FD028F" w:rsidP="00FD028F">
                          <w:pPr>
                            <w:spacing w:before="0"/>
                            <w:jc w:val="center"/>
                            <w:rPr>
                              <w:sz w:val="20"/>
                              <w:szCs w:val="20"/>
                              <w:lang w:val="en-US"/>
                            </w:rPr>
                          </w:pPr>
                          <w:r w:rsidRPr="00052B5B">
                            <w:rPr>
                              <w:sz w:val="20"/>
                              <w:szCs w:val="20"/>
                              <w:lang w:val="en-US"/>
                            </w:rPr>
                            <w:t>Control</w:t>
                          </w:r>
                        </w:p>
                      </w:txbxContent>
                    </v:textbox>
                  </v:rect>
                </v:group>
                <v:group id="Group 19948" o:spid="_x0000_s1430" style="position:absolute;left:81809;top:2334;width:15886;height:35878" coordsize="15885,35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">
                  <v:shape id="Picture 19949" o:spid="_x0000_s1431" type="#_x0000_t75" style="position:absolute;width:15614;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">
                    <v:imagedata r:id="rId232" o:title="" croptop="14848f" cropbottom="11883f" cropleft="5670f" cropright="4129f"/>
                  </v:shape>
                  <v:shape id="Picture 19950" o:spid="_x0000_s1432" type="#_x0000_t75" style="position:absolute;left:194;top:9541;width:15456;height: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">
                    <v:imagedata r:id="rId233" o:title="" croptop="14848f" cropbottom="11883f" cropleft="5670f" cropright="4687f"/>
                  </v:shape>
                  <v:shape id="Picture 19951" o:spid="_x0000_s1433" type="#_x0000_t75" style="position:absolute;top:18652;width:15722;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">
                    <v:imagedata r:id="rId234" o:title="" croptop="14848f" cropbottom="11883f" cropleft="5670f" cropright="5101f"/>
                  </v:shape>
                  <v:shape id="Picture 19952" o:spid="_x0000_s1434" type="#_x0000_t75" style="position:absolute;left:194;top:28149;width:15691;height:7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">
                    <v:imagedata r:id="rId235" o:title="" croptop="14849f" cropbottom="11882f" cropleft="5670f" cropright="4836f"/>
                  </v:shape>
                </v:group>
                <w10:anchorlock/>
              </v:group>
            </w:pict>
          </mc:Fallback>
        </mc:AlternateContent>
      </w:r>
    </w:p>
    <w:p w14:paraId="3C537172" w14:textId="2F1E2378" w:rsidR="00FD028F" w:rsidRPr="009D4627" w:rsidRDefault="00FD028F" w:rsidP="00C4130D">
      <w:pPr>
        <w:pStyle w:val="Caption"/>
        <w:rPr>
          <w:rFonts w:eastAsia="Times New Roman"/>
          <w:color w:val="auto"/>
        </w:rPr>
        <w:sectPr w:rsidR="00FD028F" w:rsidRPr="009D4627" w:rsidSect="00FD028F">
          <w:headerReference w:type="default" r:id="rId236"/>
          <w:pgSz w:w="16838" w:h="11906" w:orient="landscape" w:code="9"/>
          <w:pgMar w:top="1440" w:right="1440" w:bottom="1440" w:left="1440" w:header="708" w:footer="708" w:gutter="0"/>
          <w:cols w:space="708"/>
          <w:docGrid w:linePitch="360"/>
        </w:sectPr>
      </w:pPr>
      <w:bookmarkStart w:id="553" w:name="_Toc98569846"/>
      <w:r w:rsidRPr="009D4627">
        <w:t>Figure 5.</w:t>
      </w:r>
      <w:r w:rsidRPr="009D4627">
        <w:fldChar w:fldCharType="begin"/>
      </w:r>
      <w:r w:rsidRPr="009D4627">
        <w:instrText xml:space="preserve"> SEQ Figure_5. \* ARABIC </w:instrText>
      </w:r>
      <w:r w:rsidRPr="009D4627">
        <w:fldChar w:fldCharType="separate"/>
      </w:r>
      <w:r w:rsidR="00E268F6">
        <w:rPr>
          <w:noProof/>
        </w:rPr>
        <w:t>3</w:t>
      </w:r>
      <w:r w:rsidRPr="009D4627">
        <w:fldChar w:fldCharType="end"/>
      </w:r>
      <w:r w:rsidRPr="009D4627">
        <w:t xml:space="preserve">: LE </w:t>
      </w:r>
      <w:r w:rsidRPr="009D4627">
        <w:rPr>
          <w:bCs/>
        </w:rPr>
        <w:t>horizontal</w:t>
      </w:r>
      <w:r w:rsidRPr="009D4627">
        <w:t xml:space="preserve"> SP traces for each target frequency (0.2 to 0.8 Hz) for patient ID = 2 with partial left CN III palsy and a sample of one age-matched control participant. SP was shown throughout the study from visits 1 to 5 of the study. The x-axis showed the time in </w:t>
      </w:r>
      <w:proofErr w:type="spellStart"/>
      <w:r w:rsidRPr="009D4627">
        <w:t>ms</w:t>
      </w:r>
      <w:proofErr w:type="spellEnd"/>
      <w:r w:rsidRPr="009D4627">
        <w:t>, and the y-axis showed the eye position on the screen in the PPD unit. Upward trace = rightward eye movements and downward trace = leftward eye movements</w:t>
      </w:r>
      <w:r w:rsidR="00F97500" w:rsidRPr="009D4627">
        <w:t>.</w:t>
      </w:r>
      <w:bookmarkEnd w:id="553"/>
      <w:r w:rsidR="00ED15C2" w:rsidRPr="009D4627">
        <w:rPr>
          <w:rFonts w:eastAsia="Times New Roman"/>
          <w:color w:val="auto"/>
        </w:rPr>
        <w:t xml:space="preserve"> </w:t>
      </w:r>
    </w:p>
    <w:p w14:paraId="1B336158" w14:textId="50500E4F" w:rsidR="00513EB9" w:rsidRPr="009D4627" w:rsidRDefault="00513EB9" w:rsidP="00EC0341">
      <w:pPr>
        <w:spacing w:before="0"/>
        <w:rPr>
          <w:lang w:eastAsia="en-MY"/>
        </w:rPr>
      </w:pPr>
      <w:r w:rsidRPr="009D4627">
        <w:rPr>
          <w:lang w:eastAsia="en-MY"/>
        </w:rPr>
        <w:lastRenderedPageBreak/>
        <w:t xml:space="preserve">Horizontal saccadic parameters of </w:t>
      </w:r>
      <w:r w:rsidR="000B1422" w:rsidRPr="009D4627">
        <w:rPr>
          <w:lang w:eastAsia="en-MY"/>
        </w:rPr>
        <w:t>the affected eyes</w:t>
      </w:r>
      <w:r w:rsidRPr="009D4627">
        <w:rPr>
          <w:lang w:eastAsia="en-MY"/>
        </w:rPr>
        <w:t xml:space="preserve"> were impaired towards the palsy gaze</w:t>
      </w:r>
      <w:r w:rsidR="000B1422" w:rsidRPr="009D4627">
        <w:rPr>
          <w:lang w:eastAsia="en-MY"/>
        </w:rPr>
        <w:t xml:space="preserve"> characterised by reduced p</w:t>
      </w:r>
      <w:r w:rsidRPr="009D4627">
        <w:rPr>
          <w:lang w:eastAsia="en-MY"/>
        </w:rPr>
        <w:t xml:space="preserve">eak velocity </w:t>
      </w:r>
      <w:r w:rsidR="000B1422" w:rsidRPr="009D4627">
        <w:rPr>
          <w:lang w:eastAsia="en-MY"/>
        </w:rPr>
        <w:fldChar w:fldCharType="begin"/>
      </w:r>
      <w:r w:rsidR="000B1422" w:rsidRPr="009D4627">
        <w:rPr>
          <w:lang w:eastAsia="en-MY"/>
        </w:rPr>
        <w:instrText xml:space="preserve"> ADDIN EN.CITE &lt;EndNote&gt;&lt;Cite&gt;&lt;Author&gt;Metz&lt;/Author&gt;&lt;Year&gt;1970&lt;/Year&gt;&lt;IDText&gt;Ocular saccades in lateral rectus palsy&lt;/IDText&gt;&lt;DisplayText&gt;(Metz et al., 1970)&lt;/DisplayText&gt;&lt;record&gt;&lt;keywords&gt;&lt;keyword&gt;Medicine&lt;/keyword&gt;&lt;/keywords&gt;&lt;isbn&gt;0003-9950&lt;/isbn&gt;&lt;titles&gt;&lt;title&gt;Ocular saccades in lateral rectus palsy&lt;/title&gt;&lt;secondary-title&gt;Archives of Ophthalmology&lt;/secondary-title&gt;&lt;/titles&gt;&lt;pages&gt;453-460&lt;/pages&gt;&lt;number&gt;4&lt;/number&gt;&lt;contributors&gt;&lt;authors&gt;&lt;author&gt;Metz, Henry S.&lt;/author&gt;&lt;author&gt;Scott, Alan B.&lt;/author&gt;&lt;author&gt;Meara, David&lt;/author&gt;&lt;author&gt;Stewart, H. Lee&lt;/author&gt;&lt;/authors&gt;&lt;/contributors&gt;&lt;added-date format="utc"&gt;1497370858&lt;/added-date&gt;&lt;ref-type name="Journal Article"&gt;17&lt;/ref-type&gt;&lt;dates&gt;&lt;year&gt;1970&lt;/year&gt;&lt;/dates&gt;&lt;rec-number&gt;118&lt;/rec-number&gt;&lt;last-updated-date format="utc"&gt;1499733089&lt;/last-updated-date&gt;&lt;electronic-resource-num&gt;10.1001/archopht.1970.00990040455010&lt;/electronic-resource-num&gt;&lt;volume&gt;84&lt;/volume&gt;&lt;/record&gt;&lt;/Cite&gt;&lt;/EndNote&gt;</w:instrText>
      </w:r>
      <w:r w:rsidR="000B1422" w:rsidRPr="009D4627">
        <w:rPr>
          <w:lang w:eastAsia="en-MY"/>
        </w:rPr>
        <w:fldChar w:fldCharType="separate"/>
      </w:r>
      <w:r w:rsidR="000B1422" w:rsidRPr="009D4627">
        <w:rPr>
          <w:noProof/>
          <w:lang w:eastAsia="en-MY"/>
        </w:rPr>
        <w:t>(Metz et al., 1970)</w:t>
      </w:r>
      <w:r w:rsidR="000B1422" w:rsidRPr="009D4627">
        <w:rPr>
          <w:lang w:eastAsia="en-MY"/>
        </w:rPr>
        <w:fldChar w:fldCharType="end"/>
      </w:r>
      <w:r w:rsidR="000B1422" w:rsidRPr="009D4627">
        <w:rPr>
          <w:lang w:eastAsia="en-MY"/>
        </w:rPr>
        <w:t xml:space="preserve">, prolonged latency and decreased gain. Additionally, CN III palsy demonstrated with significant longer latency of the affected eyes in both horizontal directions. It could be due to multiple restricted muscles leading to poor saccadic initiation towards adducted and abducted posture of the palsy eyes.  </w:t>
      </w:r>
    </w:p>
    <w:p w14:paraId="05DAB41E" w14:textId="4F4D12D9" w:rsidR="001F6A9D" w:rsidRPr="009D4627" w:rsidRDefault="00861FB9" w:rsidP="001F6A9D">
      <w:pPr>
        <w:rPr>
          <w:lang w:eastAsia="en-MY"/>
        </w:rPr>
      </w:pPr>
      <w:r w:rsidRPr="009D4627">
        <w:rPr>
          <w:lang w:eastAsia="en-MY"/>
        </w:rPr>
        <w:t xml:space="preserve">According to the findings, CN III had a significant effect on all vertical parameters of the saccade, due to the fact that both elevation and depression are variably paralysed in CN III palsy </w:t>
      </w:r>
      <w:r w:rsidRPr="009D4627">
        <w:rPr>
          <w:color w:val="000000"/>
          <w:shd w:val="clear" w:color="auto" w:fill="FFFFFF"/>
        </w:rPr>
        <w:fldChar w:fldCharType="begin"/>
      </w:r>
      <w:r w:rsidRPr="009D4627">
        <w:rPr>
          <w:color w:val="000000"/>
          <w:shd w:val="clear" w:color="auto" w:fill="FFFFFF"/>
        </w:rPr>
        <w:instrText xml:space="preserve"> ADDIN EN.CITE &lt;EndNote&gt;&lt;Cite&gt;&lt;Author&gt;Sharpe&lt;/Author&gt;&lt;Year&gt;2008&lt;/Year&gt;&lt;IDText&gt; Ocular motor nerve palsies: implications for diagnosis and mechanisms of repair. &lt;/IDText&gt;&lt;DisplayText&gt;(Sharpe et al., 2008)&lt;/DisplayText&gt;&lt;record&gt;&lt;titles&gt;&lt;title&gt; Ocular motor nerve palsies: implications for diagnosis and mechanisms of repair. &lt;/title&gt;&lt;/titles&gt;&lt;titles&gt;&lt;secondary-title&gt;&lt;style face="italic" font="default" size="100%"&gt;Progress in brain research&lt;/style&gt;&lt;/secondary-title&gt;&lt;/titles&gt;&lt;pages&gt;59–66   &lt;/pages&gt;&lt;contributors&gt;&lt;authors&gt;&lt;author&gt;Sharpe, J. A.&lt;/author&gt;&lt;author&gt;Wong, A. M.&lt;/author&gt;&lt;author&gt;Fouladvand, M.&lt;/author&gt;&lt;/authors&gt;&lt;/contributors&gt;&lt;added-date format="utc"&gt;1645867342&lt;/added-date&gt;&lt;ref-type name="Journal Article"&gt;17&lt;/ref-type&gt;&lt;dates&gt;&lt;year&gt;2008&lt;/year&gt;&lt;/dates&gt;&lt;rec-number&gt;797&lt;/rec-number&gt;&lt;last-updated-date format="utc"&gt;1645867454&lt;/last-updated-date&gt;&lt;electronic-resource-num&gt;https://doi.org/10.1016/S0079-6123(08)00609-2&lt;/electronic-resource-num&gt;&lt;volume&gt;&lt;style face="italic" font="default" size="100%"&gt;171&lt;/style&gt;&lt;/volume&gt;&lt;/record&gt;&lt;/Cite&gt;&lt;/EndNote&gt;</w:instrText>
      </w:r>
      <w:r w:rsidRPr="009D4627">
        <w:rPr>
          <w:color w:val="000000"/>
          <w:shd w:val="clear" w:color="auto" w:fill="FFFFFF"/>
        </w:rPr>
        <w:fldChar w:fldCharType="separate"/>
      </w:r>
      <w:r w:rsidRPr="009D4627">
        <w:rPr>
          <w:noProof/>
          <w:color w:val="000000"/>
          <w:shd w:val="clear" w:color="auto" w:fill="FFFFFF"/>
        </w:rPr>
        <w:t>(Sharpe et al., 2008)</w:t>
      </w:r>
      <w:r w:rsidRPr="009D4627">
        <w:rPr>
          <w:color w:val="000000"/>
          <w:shd w:val="clear" w:color="auto" w:fill="FFFFFF"/>
        </w:rPr>
        <w:fldChar w:fldCharType="end"/>
      </w:r>
      <w:r w:rsidR="001F6A9D" w:rsidRPr="009D4627">
        <w:rPr>
          <w:lang w:eastAsia="en-MY"/>
        </w:rPr>
        <w:t xml:space="preserve">. Furthermore, CN IV palsy had a more substantial impact on the upward saccadic parameters than the downward. </w:t>
      </w:r>
      <w:r w:rsidR="00586B56" w:rsidRPr="009D4627">
        <w:rPr>
          <w:lang w:eastAsia="en-MY"/>
        </w:rPr>
        <w:t>Surprisingly</w:t>
      </w:r>
      <w:r w:rsidR="001F6A9D" w:rsidRPr="009D4627">
        <w:rPr>
          <w:lang w:eastAsia="en-MY"/>
        </w:rPr>
        <w:t>, CN VI palsy is associated with significantly reduced vertical saccadic accuracy</w:t>
      </w:r>
      <w:r w:rsidR="00622DD9" w:rsidRPr="009D4627">
        <w:rPr>
          <w:lang w:eastAsia="en-MY"/>
        </w:rPr>
        <w:t xml:space="preserve">, but no clear explanation on why </w:t>
      </w:r>
      <w:r w:rsidR="00123237" w:rsidRPr="009D4627">
        <w:rPr>
          <w:lang w:eastAsia="en-MY"/>
        </w:rPr>
        <w:t xml:space="preserve">a </w:t>
      </w:r>
      <w:r w:rsidR="00622DD9" w:rsidRPr="009D4627">
        <w:rPr>
          <w:lang w:eastAsia="en-MY"/>
        </w:rPr>
        <w:t xml:space="preserve">horizontal palsy resulted in reduced vertical saccadic accuracy. </w:t>
      </w:r>
      <w:r w:rsidR="00D37C18" w:rsidRPr="009D4627">
        <w:rPr>
          <w:lang w:eastAsia="en-MY"/>
        </w:rPr>
        <w:t>It is possible that ageing</w:t>
      </w:r>
      <w:r w:rsidR="00123237" w:rsidRPr="009D4627">
        <w:rPr>
          <w:lang w:eastAsia="en-MY"/>
        </w:rPr>
        <w:t xml:space="preserve"> </w:t>
      </w:r>
      <w:r w:rsidR="00D37C18" w:rsidRPr="009D4627">
        <w:rPr>
          <w:lang w:eastAsia="en-MY"/>
        </w:rPr>
        <w:t>contribute</w:t>
      </w:r>
      <w:r w:rsidR="00123237" w:rsidRPr="009D4627">
        <w:rPr>
          <w:lang w:eastAsia="en-MY"/>
        </w:rPr>
        <w:t>d</w:t>
      </w:r>
      <w:r w:rsidR="00D37C18" w:rsidRPr="009D4627">
        <w:rPr>
          <w:lang w:eastAsia="en-MY"/>
        </w:rPr>
        <w:t xml:space="preserve"> to vertical gain deterioration, as detailed in Chapter 3 – section 3.3.</w:t>
      </w:r>
      <w:r w:rsidR="00426AAC">
        <w:rPr>
          <w:lang w:eastAsia="en-MY"/>
        </w:rPr>
        <w:t>5</w:t>
      </w:r>
      <w:r w:rsidR="00D37C18" w:rsidRPr="009D4627">
        <w:rPr>
          <w:lang w:eastAsia="en-MY"/>
        </w:rPr>
        <w:t>.</w:t>
      </w:r>
    </w:p>
    <w:p w14:paraId="0AA02F5D" w14:textId="6035552A" w:rsidR="00586B56" w:rsidRPr="009D4627" w:rsidRDefault="00586B56" w:rsidP="0001790E">
      <w:pPr>
        <w:rPr>
          <w:lang w:eastAsia="en-MY"/>
        </w:rPr>
      </w:pPr>
      <w:r w:rsidRPr="009D4627">
        <w:rPr>
          <w:lang w:eastAsia="en-MY"/>
        </w:rPr>
        <w:t>The saccadic eye movements in CN III are the most affected, including horizontal and vertical saccadic latency, peak velocity, and gain. CN VI palsy affected all the horizontal saccadic parameters as expected, as well as vertical saccadic gain and latency. Upward saccades had longer latency and lower gain than downward saccades in CN IV palsy. In contrast, the reduction in CN IV palsy upward saccadic gain was not clinically significant (mean = 0.94) because the reduction was &lt;0.1.</w:t>
      </w:r>
    </w:p>
    <w:p w14:paraId="4D8EBB85" w14:textId="3A4945C5" w:rsidR="000B624A" w:rsidRDefault="00160B34" w:rsidP="0001790E">
      <w:pPr>
        <w:rPr>
          <w:lang w:eastAsia="en-MY"/>
        </w:rPr>
      </w:pPr>
      <w:r>
        <w:rPr>
          <w:lang w:eastAsia="en-MY"/>
        </w:rPr>
        <w:t>T</w:t>
      </w:r>
      <w:r w:rsidR="00C73F6E" w:rsidRPr="009D4627">
        <w:rPr>
          <w:lang w:eastAsia="en-MY"/>
        </w:rPr>
        <w:t xml:space="preserve">he result suggested that, the saccadic EMR from the study is reliable of detecting the impact of acquired unilateral ONP. The horizontal saccadic EMR </w:t>
      </w:r>
      <w:r w:rsidR="00586B56" w:rsidRPr="009D4627">
        <w:rPr>
          <w:lang w:eastAsia="en-MY"/>
        </w:rPr>
        <w:t xml:space="preserve">with ±10° target amplitude </w:t>
      </w:r>
      <w:r w:rsidR="00C73F6E" w:rsidRPr="009D4627">
        <w:rPr>
          <w:lang w:eastAsia="en-MY"/>
        </w:rPr>
        <w:t>is highly recommended to be tested on the CN III and VI palsy while the vertical saccadic EMR</w:t>
      </w:r>
      <w:r w:rsidR="00586B56" w:rsidRPr="009D4627">
        <w:rPr>
          <w:lang w:eastAsia="en-MY"/>
        </w:rPr>
        <w:t xml:space="preserve"> with ±8° target amplitude</w:t>
      </w:r>
      <w:r w:rsidR="00C73F6E" w:rsidRPr="009D4627">
        <w:rPr>
          <w:lang w:eastAsia="en-MY"/>
        </w:rPr>
        <w:t xml:space="preserve"> should be tested on the CN III and IV palsy.</w:t>
      </w:r>
      <w:r w:rsidR="00586B56" w:rsidRPr="009D4627">
        <w:rPr>
          <w:lang w:eastAsia="en-MY"/>
        </w:rPr>
        <w:t xml:space="preserve"> </w:t>
      </w:r>
    </w:p>
    <w:p w14:paraId="442FB553" w14:textId="4548D78C" w:rsidR="00D6136C" w:rsidRPr="009D4627" w:rsidRDefault="00160B34" w:rsidP="00D6136C">
      <w:pPr>
        <w:rPr>
          <w:lang w:eastAsia="en-MY"/>
        </w:rPr>
      </w:pPr>
      <w:r>
        <w:lastRenderedPageBreak/>
        <w:t>A p</w:t>
      </w:r>
      <w:r w:rsidR="00F04395">
        <w:t xml:space="preserve">revious </w:t>
      </w:r>
      <w:r w:rsidR="00D6136C" w:rsidRPr="009D4627">
        <w:t>study suggest</w:t>
      </w:r>
      <w:r w:rsidR="00F04395">
        <w:t>ed</w:t>
      </w:r>
      <w:r w:rsidR="00D6136C" w:rsidRPr="009D4627">
        <w:t xml:space="preserve"> performing a full investigation if a CN VI palsy did not recover within 16 weeks </w:t>
      </w:r>
      <w:r w:rsidR="00D6136C" w:rsidRPr="009D4627">
        <w:fldChar w:fldCharType="begin"/>
      </w:r>
      <w:r w:rsidR="00D6136C" w:rsidRPr="009D4627">
        <w:instrText xml:space="preserve"> ADDIN EN.CITE &lt;EndNote&gt;&lt;Cite&gt;&lt;Author&gt;King&lt;/Author&gt;&lt;Year&gt;1995&lt;/Year&gt;&lt;IDText&gt;Spontaneous recovery rates for unilateral sixth nerve palsies&lt;/IDText&gt;&lt;DisplayText&gt;(King et al., 1995)&lt;/DisplayText&gt;&lt;record&gt;&lt;keywords&gt;&lt;keyword&gt;Medicine&lt;/keyword&gt;&lt;/keywords&gt;&lt;isbn&gt;0950-222X&lt;/isbn&gt;&lt;titles&gt;&lt;title&gt;Spontaneous recovery rates for unilateral sixth nerve palsies&lt;/title&gt;&lt;secondary-title&gt;Eye&lt;/secondary-title&gt;&lt;/titles&gt;&lt;pages&gt;476&lt;/pages&gt;&lt;number&gt;4&lt;/number&gt;&lt;contributors&gt;&lt;authors&gt;&lt;author&gt;King, Anthony J&lt;/author&gt;&lt;author&gt;Stacey, Emma&lt;/author&gt;&lt;author&gt;Stephenson, Gail&lt;/author&gt;&lt;author&gt;Trimble, Roger B&lt;/author&gt;&lt;/authors&gt;&lt;/contributors&gt;&lt;added-date format="utc"&gt;1495907024&lt;/added-date&gt;&lt;ref-type name="Journal Article"&gt;17&lt;/ref-type&gt;&lt;dates&gt;&lt;year&gt;1995&lt;/year&gt;&lt;/dates&gt;&lt;rec-number&gt;110&lt;/rec-number&gt;&lt;last-updated-date format="utc"&gt;1499940797&lt;/last-updated-date&gt;&lt;electronic-resource-num&gt;10.1038/eye.1995.110&lt;/electronic-resource-num&gt;&lt;volume&gt;9&lt;/volume&gt;&lt;/record&gt;&lt;/Cite&gt;&lt;/EndNote&gt;</w:instrText>
      </w:r>
      <w:r w:rsidR="00D6136C" w:rsidRPr="009D4627">
        <w:fldChar w:fldCharType="separate"/>
      </w:r>
      <w:r w:rsidR="00D6136C" w:rsidRPr="009D4627">
        <w:rPr>
          <w:noProof/>
        </w:rPr>
        <w:t>(King et al., 1995)</w:t>
      </w:r>
      <w:r w:rsidR="00D6136C" w:rsidRPr="009D4627">
        <w:fldChar w:fldCharType="end"/>
      </w:r>
      <w:r w:rsidR="00D6136C" w:rsidRPr="009D4627">
        <w:t xml:space="preserve">, but </w:t>
      </w:r>
      <w:r>
        <w:t xml:space="preserve">the </w:t>
      </w:r>
      <w:r w:rsidR="00F04395">
        <w:t>current</w:t>
      </w:r>
      <w:r w:rsidR="00D6136C" w:rsidRPr="009D4627">
        <w:t xml:space="preserve"> study had no evidence to support or refute this. However, patient ID: 10 </w:t>
      </w:r>
      <w:r w:rsidR="00980DEB">
        <w:t xml:space="preserve">(CN VI palsy) </w:t>
      </w:r>
      <w:r w:rsidR="00F04395">
        <w:t xml:space="preserve">in the current study </w:t>
      </w:r>
      <w:r w:rsidR="00D6136C" w:rsidRPr="009D4627">
        <w:t xml:space="preserve">showed a complete recovery of the horizontal saccadic parameters, towards the affected gaze position, within 15 weeks. </w:t>
      </w:r>
      <w:r w:rsidR="00980DEB">
        <w:t xml:space="preserve">In contrast another </w:t>
      </w:r>
      <w:r w:rsidR="00426AAC">
        <w:t>p</w:t>
      </w:r>
      <w:r w:rsidR="00426AAC" w:rsidRPr="009D4627">
        <w:t xml:space="preserve">atient </w:t>
      </w:r>
      <w:r w:rsidR="00426AAC">
        <w:t>who</w:t>
      </w:r>
      <w:r w:rsidR="00980DEB">
        <w:t xml:space="preserve"> </w:t>
      </w:r>
      <w:r>
        <w:t xml:space="preserve">was </w:t>
      </w:r>
      <w:r w:rsidR="00980DEB">
        <w:t xml:space="preserve">diagnosed with CN VI palsy (ID:7) showed </w:t>
      </w:r>
      <w:r w:rsidR="00980DEB" w:rsidRPr="009D4627">
        <w:t xml:space="preserve">abnormal </w:t>
      </w:r>
      <w:r w:rsidR="00D6136C" w:rsidRPr="009D4627">
        <w:t>horizontal saccadic gain 19 weeks post-onset,</w:t>
      </w:r>
      <w:r w:rsidR="00980DEB">
        <w:t xml:space="preserve"> normal</w:t>
      </w:r>
      <w:r w:rsidR="00D6136C" w:rsidRPr="009D4627">
        <w:t xml:space="preserve"> horizontal saccadic peak velocity but the horizontal saccadic latency deteriorated </w:t>
      </w:r>
      <w:r w:rsidR="00980DEB">
        <w:t xml:space="preserve">starting </w:t>
      </w:r>
      <w:r w:rsidR="00D6136C" w:rsidRPr="009D4627">
        <w:t xml:space="preserve">from 13 weeks post-onset. </w:t>
      </w:r>
      <w:r w:rsidR="00980DEB">
        <w:t>Her</w:t>
      </w:r>
      <w:r w:rsidR="00D6136C" w:rsidRPr="009D4627">
        <w:t xml:space="preserve"> horizontal SP parameters remained defective throughout the study period.</w:t>
      </w:r>
      <w:r w:rsidR="00F04395">
        <w:t xml:space="preserve"> </w:t>
      </w:r>
    </w:p>
    <w:p w14:paraId="11AF6248" w14:textId="688A0A76" w:rsidR="00877436" w:rsidRPr="009D4627" w:rsidRDefault="00D37C18" w:rsidP="00D04E3B">
      <w:pPr>
        <w:pStyle w:val="Heading2"/>
      </w:pPr>
      <w:bookmarkStart w:id="554" w:name="_Toc98964733"/>
      <w:bookmarkStart w:id="555" w:name="_Toc103344775"/>
      <w:r w:rsidRPr="009D4627">
        <w:t>Conclusion</w:t>
      </w:r>
      <w:bookmarkEnd w:id="554"/>
      <w:bookmarkEnd w:id="555"/>
    </w:p>
    <w:p w14:paraId="2C14A1C6" w14:textId="1F8915B9" w:rsidR="0074410C" w:rsidRPr="009D4627" w:rsidRDefault="00D37C18" w:rsidP="00D37C18">
      <w:r w:rsidRPr="009D4627">
        <w:t>In conclusion, it is highly recommended to implement the EMR to examine the eye movements of acquired ONP patients. The suggested EMR recordings is performing fixation, horizontal and vertical smooth pursuit as well as horizontal and vertical saccades.</w:t>
      </w:r>
      <w:r w:rsidR="00EC0341">
        <w:t xml:space="preserve"> </w:t>
      </w:r>
      <w:r w:rsidR="009D5EBC" w:rsidRPr="009D4627">
        <w:t xml:space="preserve">The target size used </w:t>
      </w:r>
      <w:r w:rsidR="00160B34">
        <w:t>should be</w:t>
      </w:r>
      <w:r w:rsidR="009D5EBC" w:rsidRPr="009D4627">
        <w:t xml:space="preserve"> between 0.5° and 1.0°, depending on the patient's vision status, </w:t>
      </w:r>
      <w:proofErr w:type="gramStart"/>
      <w:r w:rsidR="009D5EBC" w:rsidRPr="009D4627">
        <w:t>as long as</w:t>
      </w:r>
      <w:proofErr w:type="gramEnd"/>
      <w:r w:rsidR="009D5EBC" w:rsidRPr="009D4627">
        <w:t xml:space="preserve"> the patient can comfortably focus on the target. The following are the suggested EMR testing paradigms based on the findings</w:t>
      </w:r>
      <w:r w:rsidR="0074410C" w:rsidRPr="009D4627">
        <w:t>:</w:t>
      </w:r>
    </w:p>
    <w:tbl>
      <w:tblPr>
        <w:tblStyle w:val="TableGrid"/>
        <w:tblW w:w="0" w:type="auto"/>
        <w:tblLook w:val="04A0" w:firstRow="1" w:lastRow="0" w:firstColumn="1" w:lastColumn="0" w:noHBand="0" w:noVBand="1"/>
      </w:tblPr>
      <w:tblGrid>
        <w:gridCol w:w="4508"/>
        <w:gridCol w:w="4508"/>
      </w:tblGrid>
      <w:tr w:rsidR="004C5CF7" w:rsidRPr="009D4627" w14:paraId="4880B5E3" w14:textId="77777777" w:rsidTr="004C5CF7">
        <w:tc>
          <w:tcPr>
            <w:tcW w:w="4508" w:type="dxa"/>
          </w:tcPr>
          <w:p w14:paraId="1AED4C56" w14:textId="642781C4" w:rsidR="004C5CF7" w:rsidRPr="009D4627" w:rsidRDefault="009D5EBC" w:rsidP="004C5CF7">
            <w:pPr>
              <w:spacing w:before="0" w:after="0" w:line="240" w:lineRule="auto"/>
            </w:pPr>
            <w:r w:rsidRPr="009D4627">
              <w:t>Proposed EMR test:</w:t>
            </w:r>
          </w:p>
        </w:tc>
        <w:tc>
          <w:tcPr>
            <w:tcW w:w="4508" w:type="dxa"/>
          </w:tcPr>
          <w:p w14:paraId="1C962E73" w14:textId="5CD2562A" w:rsidR="004C5CF7" w:rsidRPr="009D4627" w:rsidRDefault="009D5EBC" w:rsidP="004C5CF7">
            <w:pPr>
              <w:spacing w:before="0" w:after="0" w:line="240" w:lineRule="auto"/>
            </w:pPr>
            <w:r w:rsidRPr="009D4627">
              <w:t>Proposed parameters to be investigated:</w:t>
            </w:r>
          </w:p>
        </w:tc>
      </w:tr>
      <w:tr w:rsidR="004C5CF7" w:rsidRPr="009D4627" w14:paraId="5E8BCAE2" w14:textId="77777777" w:rsidTr="004C5CF7">
        <w:tc>
          <w:tcPr>
            <w:tcW w:w="4508" w:type="dxa"/>
          </w:tcPr>
          <w:p w14:paraId="52EBA6CA" w14:textId="77777777" w:rsidR="004C5CF7" w:rsidRPr="009D4627" w:rsidRDefault="009D5EBC" w:rsidP="004C5CF7">
            <w:pPr>
              <w:spacing w:before="0" w:after="0" w:line="240" w:lineRule="auto"/>
            </w:pPr>
            <w:r w:rsidRPr="009D4627">
              <w:t>Central fixation with a stationary target between 120 and 180 seconds.</w:t>
            </w:r>
          </w:p>
          <w:p w14:paraId="0CCEA394" w14:textId="23216350" w:rsidR="009D5EBC" w:rsidRPr="009D4627" w:rsidRDefault="009D5EBC" w:rsidP="004C5CF7">
            <w:pPr>
              <w:spacing w:before="0" w:after="0" w:line="240" w:lineRule="auto"/>
            </w:pPr>
          </w:p>
        </w:tc>
        <w:tc>
          <w:tcPr>
            <w:tcW w:w="4508" w:type="dxa"/>
          </w:tcPr>
          <w:p w14:paraId="6E661DA2" w14:textId="20AF3BBA" w:rsidR="004C5CF7" w:rsidRPr="009D4627" w:rsidRDefault="004C5CF7" w:rsidP="004C5CF7">
            <w:pPr>
              <w:spacing w:before="0" w:after="0" w:line="240" w:lineRule="auto"/>
            </w:pPr>
            <w:r w:rsidRPr="009D4627">
              <w:t>Percentage DT</w:t>
            </w:r>
            <w:r w:rsidR="009D5EBC" w:rsidRPr="009D4627">
              <w:t>.</w:t>
            </w:r>
          </w:p>
        </w:tc>
      </w:tr>
      <w:tr w:rsidR="004C5CF7" w:rsidRPr="009D4627" w14:paraId="05F871AB" w14:textId="77777777" w:rsidTr="004C5CF7">
        <w:tc>
          <w:tcPr>
            <w:tcW w:w="4508" w:type="dxa"/>
          </w:tcPr>
          <w:p w14:paraId="30D347A4" w14:textId="77777777" w:rsidR="004C5CF7" w:rsidRPr="009D4627" w:rsidRDefault="009D5EBC" w:rsidP="004C5CF7">
            <w:pPr>
              <w:spacing w:before="0" w:after="0" w:line="240" w:lineRule="auto"/>
            </w:pPr>
            <w:r w:rsidRPr="009D4627">
              <w:t>SP sinusoidal horizontal wave with a frequency range of 0.4 to 0.6 Hz.</w:t>
            </w:r>
          </w:p>
          <w:p w14:paraId="33F323D5" w14:textId="09CA4C06" w:rsidR="009D5EBC" w:rsidRPr="009D4627" w:rsidRDefault="009D5EBC" w:rsidP="004C5CF7">
            <w:pPr>
              <w:spacing w:before="0" w:after="0" w:line="240" w:lineRule="auto"/>
            </w:pPr>
          </w:p>
        </w:tc>
        <w:tc>
          <w:tcPr>
            <w:tcW w:w="4508" w:type="dxa"/>
          </w:tcPr>
          <w:p w14:paraId="11B27328" w14:textId="6FF5A717" w:rsidR="004C5CF7" w:rsidRPr="009D4627" w:rsidRDefault="004C5CF7" w:rsidP="004C5CF7">
            <w:pPr>
              <w:spacing w:before="0" w:after="0" w:line="240" w:lineRule="auto"/>
            </w:pPr>
            <w:r w:rsidRPr="009D4627">
              <w:t>Horizontal SP gain and RMSE</w:t>
            </w:r>
            <w:r w:rsidR="009D5EBC" w:rsidRPr="009D4627">
              <w:t>.</w:t>
            </w:r>
          </w:p>
        </w:tc>
      </w:tr>
      <w:tr w:rsidR="004C5CF7" w:rsidRPr="009D4627" w14:paraId="240074C5" w14:textId="77777777" w:rsidTr="004C5CF7">
        <w:tc>
          <w:tcPr>
            <w:tcW w:w="4508" w:type="dxa"/>
          </w:tcPr>
          <w:p w14:paraId="4E48B419" w14:textId="77777777" w:rsidR="004C5CF7" w:rsidRPr="009D4627" w:rsidRDefault="009D5EBC" w:rsidP="004C5CF7">
            <w:pPr>
              <w:spacing w:before="0" w:after="0" w:line="240" w:lineRule="auto"/>
            </w:pPr>
            <w:r w:rsidRPr="009D4627">
              <w:t>Vertical sinusoidal wave with a target frequency of 1.0 Hz.</w:t>
            </w:r>
          </w:p>
          <w:p w14:paraId="272D6013" w14:textId="5CB60773" w:rsidR="009D5EBC" w:rsidRPr="009D4627" w:rsidRDefault="009D5EBC" w:rsidP="004C5CF7">
            <w:pPr>
              <w:spacing w:before="0" w:after="0" w:line="240" w:lineRule="auto"/>
            </w:pPr>
          </w:p>
        </w:tc>
        <w:tc>
          <w:tcPr>
            <w:tcW w:w="4508" w:type="dxa"/>
          </w:tcPr>
          <w:p w14:paraId="12CB802A" w14:textId="46D4BDFF" w:rsidR="004C5CF7" w:rsidRPr="009D4627" w:rsidRDefault="004C5CF7" w:rsidP="004C5CF7">
            <w:pPr>
              <w:spacing w:before="0" w:after="0" w:line="240" w:lineRule="auto"/>
            </w:pPr>
            <w:r w:rsidRPr="009D4627">
              <w:t>Vertical SP gain and RMSE</w:t>
            </w:r>
            <w:r w:rsidR="009D5EBC" w:rsidRPr="009D4627">
              <w:t>.</w:t>
            </w:r>
          </w:p>
        </w:tc>
      </w:tr>
      <w:tr w:rsidR="004C5CF7" w:rsidRPr="009D4627" w14:paraId="023DFCA4" w14:textId="77777777" w:rsidTr="004C5CF7">
        <w:tc>
          <w:tcPr>
            <w:tcW w:w="4508" w:type="dxa"/>
          </w:tcPr>
          <w:p w14:paraId="08CBA92A" w14:textId="1BB8F096" w:rsidR="004C5CF7" w:rsidRPr="009D4627" w:rsidRDefault="009D5EBC" w:rsidP="004C5CF7">
            <w:pPr>
              <w:spacing w:before="0" w:after="0" w:line="240" w:lineRule="auto"/>
            </w:pPr>
            <w:r w:rsidRPr="009D4627">
              <w:t xml:space="preserve">Horizontal saccades with a maximum amplitude of </w:t>
            </w:r>
            <w:r w:rsidR="004C5CF7" w:rsidRPr="009D4627">
              <w:t>±10</w:t>
            </w:r>
            <w:r w:rsidRPr="009D4627">
              <w:t xml:space="preserve"> </w:t>
            </w:r>
            <w:r w:rsidR="004C5CF7" w:rsidRPr="009D4627">
              <w:t>°</w:t>
            </w:r>
            <w:r w:rsidRPr="009D4627">
              <w:t>.</w:t>
            </w:r>
          </w:p>
          <w:p w14:paraId="3E9D316B" w14:textId="77777777" w:rsidR="004C5CF7" w:rsidRPr="009D4627" w:rsidRDefault="004C5CF7" w:rsidP="004C5CF7">
            <w:pPr>
              <w:spacing w:before="0" w:after="0" w:line="240" w:lineRule="auto"/>
            </w:pPr>
          </w:p>
        </w:tc>
        <w:tc>
          <w:tcPr>
            <w:tcW w:w="4508" w:type="dxa"/>
          </w:tcPr>
          <w:p w14:paraId="2F7DA55F" w14:textId="2E4C4CF9" w:rsidR="004C5CF7" w:rsidRPr="009D4627" w:rsidRDefault="004C5CF7" w:rsidP="004C5CF7">
            <w:pPr>
              <w:spacing w:before="0" w:after="0" w:line="240" w:lineRule="auto"/>
            </w:pPr>
            <w:r w:rsidRPr="009D4627">
              <w:t>Horizontal saccadic latency, peak velocity and gain</w:t>
            </w:r>
            <w:r w:rsidR="009D5EBC" w:rsidRPr="009D4627">
              <w:t>.</w:t>
            </w:r>
          </w:p>
        </w:tc>
      </w:tr>
      <w:tr w:rsidR="004C5CF7" w:rsidRPr="009D4627" w14:paraId="7B80EA4D" w14:textId="77777777" w:rsidTr="004C5CF7">
        <w:tc>
          <w:tcPr>
            <w:tcW w:w="4508" w:type="dxa"/>
          </w:tcPr>
          <w:p w14:paraId="353C927D" w14:textId="69C40EF5" w:rsidR="004C5CF7" w:rsidRPr="009D4627" w:rsidRDefault="004C5CF7" w:rsidP="004C5CF7">
            <w:pPr>
              <w:spacing w:before="0" w:after="0" w:line="240" w:lineRule="auto"/>
            </w:pPr>
            <w:r w:rsidRPr="009D4627">
              <w:t xml:space="preserve">Vertical saccades with </w:t>
            </w:r>
            <w:r w:rsidR="009D5EBC" w:rsidRPr="009D4627">
              <w:t xml:space="preserve">a maximum amplitude of </w:t>
            </w:r>
            <w:r w:rsidRPr="009D4627">
              <w:t>±°</w:t>
            </w:r>
            <w:r w:rsidR="009D5EBC" w:rsidRPr="009D4627">
              <w:t xml:space="preserve"> </w:t>
            </w:r>
            <w:r w:rsidRPr="009D4627">
              <w:t>8</w:t>
            </w:r>
            <w:r w:rsidR="009D5EBC" w:rsidRPr="009D4627">
              <w:t>.</w:t>
            </w:r>
          </w:p>
          <w:p w14:paraId="408C752B" w14:textId="77777777" w:rsidR="004C5CF7" w:rsidRPr="009D4627" w:rsidRDefault="004C5CF7" w:rsidP="004C5CF7">
            <w:pPr>
              <w:spacing w:before="0" w:after="0" w:line="240" w:lineRule="auto"/>
            </w:pPr>
          </w:p>
        </w:tc>
        <w:tc>
          <w:tcPr>
            <w:tcW w:w="4508" w:type="dxa"/>
          </w:tcPr>
          <w:p w14:paraId="6777D706" w14:textId="081326ED" w:rsidR="004C5CF7" w:rsidRPr="009D4627" w:rsidRDefault="004C5CF7" w:rsidP="004C5CF7">
            <w:pPr>
              <w:spacing w:before="0" w:after="0" w:line="240" w:lineRule="auto"/>
            </w:pPr>
            <w:r w:rsidRPr="009D4627">
              <w:t>Vertical saccadic latency, peak velocity and gain</w:t>
            </w:r>
            <w:r w:rsidR="009D5EBC" w:rsidRPr="009D4627">
              <w:t>.</w:t>
            </w:r>
          </w:p>
        </w:tc>
      </w:tr>
    </w:tbl>
    <w:p w14:paraId="039575D6" w14:textId="77777777" w:rsidR="00E72A13" w:rsidRPr="009D4627" w:rsidRDefault="00E72A13" w:rsidP="00D37C18">
      <w:pPr>
        <w:sectPr w:rsidR="00E72A13" w:rsidRPr="009D4627" w:rsidSect="00477959">
          <w:headerReference w:type="default" r:id="rId237"/>
          <w:pgSz w:w="11906" w:h="16838" w:code="9"/>
          <w:pgMar w:top="1440" w:right="1440" w:bottom="1440" w:left="1440" w:header="708" w:footer="708" w:gutter="0"/>
          <w:cols w:space="708"/>
          <w:docGrid w:linePitch="360"/>
        </w:sectPr>
      </w:pPr>
    </w:p>
    <w:p w14:paraId="0AF00062" w14:textId="185AC8DB" w:rsidR="00D50EDE" w:rsidRPr="009D4627" w:rsidRDefault="00D50EDE" w:rsidP="002A7EB3">
      <w:pPr>
        <w:pStyle w:val="Heading1"/>
      </w:pPr>
      <w:bookmarkStart w:id="556" w:name="_Toc98964734"/>
      <w:bookmarkStart w:id="557" w:name="_Toc103344776"/>
      <w:r w:rsidRPr="009D4627">
        <w:lastRenderedPageBreak/>
        <w:t>Final discussion and conclusions</w:t>
      </w:r>
      <w:bookmarkEnd w:id="556"/>
      <w:bookmarkEnd w:id="557"/>
    </w:p>
    <w:p w14:paraId="360ABAD3" w14:textId="32F3CE68" w:rsidR="00CC115E" w:rsidRPr="009D4627" w:rsidRDefault="00A2401B" w:rsidP="00D04E3B">
      <w:pPr>
        <w:pStyle w:val="Heading2"/>
      </w:pPr>
      <w:bookmarkStart w:id="558" w:name="_Toc98964735"/>
      <w:bookmarkStart w:id="559" w:name="_Toc103344777"/>
      <w:r w:rsidRPr="009D4627">
        <w:t>Introduction</w:t>
      </w:r>
      <w:bookmarkEnd w:id="558"/>
      <w:bookmarkEnd w:id="559"/>
    </w:p>
    <w:p w14:paraId="6C3FA03A" w14:textId="1451562B" w:rsidR="00561AA1" w:rsidRDefault="00673D1A" w:rsidP="00E64E9E">
      <w:bookmarkStart w:id="560" w:name="_Hlk71906441"/>
      <w:r>
        <w:t xml:space="preserve">This study set out with the aim of assessing the </w:t>
      </w:r>
      <w:r w:rsidR="00F85EDC">
        <w:t>value</w:t>
      </w:r>
      <w:r w:rsidR="00D83EC6">
        <w:t xml:space="preserve"> </w:t>
      </w:r>
      <w:r>
        <w:t>of using EMR technique as an objective method to monitor the eye movement anomalies of ONP patients during the potential recovery period.</w:t>
      </w:r>
      <w:r w:rsidR="009C0EE9">
        <w:t xml:space="preserve"> </w:t>
      </w:r>
      <w:r w:rsidR="006A3ED7" w:rsidRPr="006A3ED7">
        <w:t>This study is significant in current clinical practi</w:t>
      </w:r>
      <w:r w:rsidR="00F85EDC">
        <w:t>c</w:t>
      </w:r>
      <w:r w:rsidR="006A3ED7" w:rsidRPr="006A3ED7">
        <w:t>e, as clinicians require an objective </w:t>
      </w:r>
      <w:r w:rsidR="006A3ED7">
        <w:t>approach</w:t>
      </w:r>
      <w:r w:rsidR="006A3ED7" w:rsidRPr="006A3ED7">
        <w:t xml:space="preserve"> for monitoring eye movements that is both time efficient and worthwhile</w:t>
      </w:r>
      <w:r w:rsidR="00CF2348">
        <w:t xml:space="preserve"> </w:t>
      </w:r>
      <w:r w:rsidR="006A3ED7">
        <w:fldChar w:fldCharType="begin"/>
      </w:r>
      <w:r w:rsidR="006A3ED7">
        <w:instrText xml:space="preserve"> ADDIN EN.CITE &lt;EndNote&gt;&lt;Cite&gt;&lt;Author&gt;Jukes&lt;/Author&gt;&lt;Year&gt;2021&lt;/Year&gt;&lt;IDText&gt;Measurement of ductions and fields of binocular single vision (BSV): orthoptic practice in the UK and Ireland&lt;/IDText&gt;&lt;DisplayText&gt;(Jukes et al., 2021)&lt;/DisplayText&gt;&lt;record&gt;&lt;keywords&gt;&lt;keyword&gt;Duction&lt;/keyword&gt;&lt;keyword&gt;fields of BSV&lt;/keyword&gt;&lt;keyword&gt;incomitant&lt;/keyword&gt;&lt;keyword&gt;quantitative measurement&lt;/keyword&gt;&lt;keyword&gt;questionnaire&lt;/keyword&gt;&lt;keyword&gt;uniocular fields of fixation (UFOF)&lt;/keyword&gt;&lt;/keywords&gt;&lt;isbn&gt;0927-3972&lt;/isbn&gt;&lt;titles&gt;&lt;title&gt;Measurement of ductions and fields of binocular single vision (BSV): orthoptic practice in the UK and Ireland&lt;/title&gt;&lt;secondary-title&gt;Strabismus&lt;/secondary-title&gt;&lt;/titles&gt;&lt;pages&gt;95-101&lt;/pages&gt;&lt;number&gt;2&lt;/number&gt;&lt;contributors&gt;&lt;authors&gt;&lt;author&gt;Jukes, Catherine&lt;/author&gt;&lt;author&gt;Bjerre, A.&lt;/author&gt;&lt;author&gt;Codina, C.&lt;/author&gt;&lt;author&gt;Griffiths, H.&lt;/author&gt;&lt;/authors&gt;&lt;/contributors&gt;&lt;added-date format="utc"&gt;1647392390&lt;/added-date&gt;&lt;ref-type name="Journal Article"&gt;17&lt;/ref-type&gt;&lt;dates&gt;&lt;year&gt;2021&lt;/year&gt;&lt;/dates&gt;&lt;rec-number&gt;829&lt;/rec-number&gt;&lt;publisher&gt;Taylor &amp;amp; Francis&lt;/publisher&gt;&lt;last-updated-date format="utc"&gt;1647392390&lt;/last-updated-date&gt;&lt;electronic-resource-num&gt;10.1080/09273972.2021.1914679&lt;/electronic-resource-num&gt;&lt;volume&gt;29&lt;/volume&gt;&lt;/record&gt;&lt;/Cite&gt;&lt;/EndNote&gt;</w:instrText>
      </w:r>
      <w:r w:rsidR="006A3ED7">
        <w:fldChar w:fldCharType="separate"/>
      </w:r>
      <w:r w:rsidR="006A3ED7">
        <w:rPr>
          <w:noProof/>
        </w:rPr>
        <w:t>(Jukes et al., 2021)</w:t>
      </w:r>
      <w:r w:rsidR="006A3ED7">
        <w:fldChar w:fldCharType="end"/>
      </w:r>
      <w:r w:rsidR="006A3ED7" w:rsidRPr="006A3ED7">
        <w:t>.</w:t>
      </w:r>
      <w:r w:rsidR="006A3ED7">
        <w:t xml:space="preserve"> </w:t>
      </w:r>
    </w:p>
    <w:p w14:paraId="58AF7236" w14:textId="592F92CD" w:rsidR="001729A3" w:rsidRDefault="009C0EE9" w:rsidP="00E64E9E">
      <w:r w:rsidRPr="009C0EE9">
        <w:t>10</w:t>
      </w:r>
      <w:r w:rsidR="00F85EDC">
        <w:t>5</w:t>
      </w:r>
      <w:r w:rsidRPr="009C0EE9">
        <w:t xml:space="preserve"> orthoptists working in the UK and Ireland completed an online survey, in which they were asked questions about the </w:t>
      </w:r>
      <w:r w:rsidR="00F85EDC">
        <w:t>eye</w:t>
      </w:r>
      <w:r w:rsidR="00960C43">
        <w:t xml:space="preserve"> </w:t>
      </w:r>
      <w:r w:rsidRPr="009C0EE9">
        <w:t>measurement methods they used, how often they were assessed, what factors limited their ability to measure, and how important they thought it was to quantify ductions</w:t>
      </w:r>
      <w:r w:rsidR="00561AA1">
        <w:t xml:space="preserve"> </w:t>
      </w:r>
      <w:r w:rsidR="00561AA1">
        <w:fldChar w:fldCharType="begin"/>
      </w:r>
      <w:r w:rsidR="00561AA1">
        <w:instrText xml:space="preserve"> ADDIN EN.CITE &lt;EndNote&gt;&lt;Cite&gt;&lt;Author&gt;Jukes&lt;/Author&gt;&lt;Year&gt;2021&lt;/Year&gt;&lt;IDText&gt;Measurement of ductions and fields of binocular single vision (BSV): orthoptic practice in the UK and Ireland&lt;/IDText&gt;&lt;DisplayText&gt;(Jukes et al., 2021)&lt;/DisplayText&gt;&lt;record&gt;&lt;keywords&gt;&lt;keyword&gt;Duction&lt;/keyword&gt;&lt;keyword&gt;fields of BSV&lt;/keyword&gt;&lt;keyword&gt;incomitant&lt;/keyword&gt;&lt;keyword&gt;quantitative measurement&lt;/keyword&gt;&lt;keyword&gt;questionnaire&lt;/keyword&gt;&lt;keyword&gt;uniocular fields of fixation (UFOF)&lt;/keyword&gt;&lt;/keywords&gt;&lt;isbn&gt;0927-3972&lt;/isbn&gt;&lt;titles&gt;&lt;title&gt;Measurement of ductions and fields of binocular single vision (BSV): orthoptic practice in the UK and Ireland&lt;/title&gt;&lt;secondary-title&gt;Strabismus&lt;/secondary-title&gt;&lt;/titles&gt;&lt;pages&gt;95-101&lt;/pages&gt;&lt;number&gt;2&lt;/number&gt;&lt;contributors&gt;&lt;authors&gt;&lt;author&gt;Jukes, Catherine&lt;/author&gt;&lt;author&gt;Bjerre, A.&lt;/author&gt;&lt;author&gt;Codina, C.&lt;/author&gt;&lt;author&gt;Griffiths, H.&lt;/author&gt;&lt;/authors&gt;&lt;/contributors&gt;&lt;added-date format="utc"&gt;1647392390&lt;/added-date&gt;&lt;ref-type name="Journal Article"&gt;17&lt;/ref-type&gt;&lt;dates&gt;&lt;year&gt;2021&lt;/year&gt;&lt;/dates&gt;&lt;rec-number&gt;829&lt;/rec-number&gt;&lt;publisher&gt;Taylor &amp;amp; Francis&lt;/publisher&gt;&lt;last-updated-date format="utc"&gt;1647392390&lt;/last-updated-date&gt;&lt;electronic-resource-num&gt;10.1080/09273972.2021.1914679&lt;/electronic-resource-num&gt;&lt;volume&gt;29&lt;/volume&gt;&lt;/record&gt;&lt;/Cite&gt;&lt;/EndNote&gt;</w:instrText>
      </w:r>
      <w:r w:rsidR="00561AA1">
        <w:fldChar w:fldCharType="separate"/>
      </w:r>
      <w:r w:rsidR="00561AA1">
        <w:rPr>
          <w:noProof/>
        </w:rPr>
        <w:t>(Jukes et al., 2021)</w:t>
      </w:r>
      <w:r w:rsidR="00561AA1">
        <w:fldChar w:fldCharType="end"/>
      </w:r>
      <w:r w:rsidRPr="009C0EE9">
        <w:t>.</w:t>
      </w:r>
      <w:r w:rsidR="00673D1A">
        <w:t xml:space="preserve"> </w:t>
      </w:r>
      <w:r w:rsidR="008646BD" w:rsidRPr="008646BD">
        <w:t>Importantly, the results revealed that while the majority of respondents believed it was critical to monitor ductions (89</w:t>
      </w:r>
      <w:r w:rsidR="008646BD">
        <w:t>%</w:t>
      </w:r>
      <w:r w:rsidR="008646BD" w:rsidRPr="008646BD">
        <w:t>), the frequency of performing the test</w:t>
      </w:r>
      <w:r w:rsidR="008646BD">
        <w:t>s</w:t>
      </w:r>
      <w:r w:rsidR="008646BD" w:rsidRPr="008646BD">
        <w:t xml:space="preserve"> w</w:t>
      </w:r>
      <w:r w:rsidR="008646BD">
        <w:t>ere</w:t>
      </w:r>
      <w:r w:rsidR="008646BD" w:rsidRPr="008646BD">
        <w:t xml:space="preserve"> significantly low due to several constraints such as insufficient time, no method available, and insufficient space and time</w:t>
      </w:r>
      <w:r w:rsidR="008646BD">
        <w:t xml:space="preserve"> </w:t>
      </w:r>
      <w:r w:rsidR="008646BD">
        <w:fldChar w:fldCharType="begin"/>
      </w:r>
      <w:r w:rsidR="008646BD">
        <w:instrText xml:space="preserve"> ADDIN EN.CITE &lt;EndNote&gt;&lt;Cite&gt;&lt;Author&gt;Jukes&lt;/Author&gt;&lt;Year&gt;2021&lt;/Year&gt;&lt;IDText&gt;Measurement of ductions and fields of binocular single vision (BSV): orthoptic practice in the UK and Ireland&lt;/IDText&gt;&lt;DisplayText&gt;(Jukes et al., 2021)&lt;/DisplayText&gt;&lt;record&gt;&lt;keywords&gt;&lt;keyword&gt;Duction&lt;/keyword&gt;&lt;keyword&gt;fields of BSV&lt;/keyword&gt;&lt;keyword&gt;incomitant&lt;/keyword&gt;&lt;keyword&gt;quantitative measurement&lt;/keyword&gt;&lt;keyword&gt;questionnaire&lt;/keyword&gt;&lt;keyword&gt;uniocular fields of fixation (UFOF)&lt;/keyword&gt;&lt;/keywords&gt;&lt;isbn&gt;0927-3972&lt;/isbn&gt;&lt;titles&gt;&lt;title&gt;Measurement of ductions and fields of binocular single vision (BSV): orthoptic practice in the UK and Ireland&lt;/title&gt;&lt;secondary-title&gt;Strabismus&lt;/secondary-title&gt;&lt;/titles&gt;&lt;pages&gt;95-101&lt;/pages&gt;&lt;number&gt;2&lt;/number&gt;&lt;contributors&gt;&lt;authors&gt;&lt;author&gt;Jukes, Catherine&lt;/author&gt;&lt;author&gt;Bjerre, A.&lt;/author&gt;&lt;author&gt;Codina, C.&lt;/author&gt;&lt;author&gt;Griffiths, H.&lt;/author&gt;&lt;/authors&gt;&lt;/contributors&gt;&lt;added-date format="utc"&gt;1647392390&lt;/added-date&gt;&lt;ref-type name="Journal Article"&gt;17&lt;/ref-type&gt;&lt;dates&gt;&lt;year&gt;2021&lt;/year&gt;&lt;/dates&gt;&lt;rec-number&gt;829&lt;/rec-number&gt;&lt;publisher&gt;Taylor &amp;amp; Francis&lt;/publisher&gt;&lt;last-updated-date format="utc"&gt;1647392390&lt;/last-updated-date&gt;&lt;electronic-resource-num&gt;10.1080/09273972.2021.1914679&lt;/electronic-resource-num&gt;&lt;volume&gt;29&lt;/volume&gt;&lt;/record&gt;&lt;/Cite&gt;&lt;/EndNote&gt;</w:instrText>
      </w:r>
      <w:r w:rsidR="008646BD">
        <w:fldChar w:fldCharType="separate"/>
      </w:r>
      <w:r w:rsidR="008646BD">
        <w:rPr>
          <w:noProof/>
        </w:rPr>
        <w:t>(Jukes et al., 2021)</w:t>
      </w:r>
      <w:r w:rsidR="008646BD">
        <w:fldChar w:fldCharType="end"/>
      </w:r>
      <w:r w:rsidR="008646BD" w:rsidRPr="008646BD">
        <w:t>.</w:t>
      </w:r>
      <w:r w:rsidR="00EC0341">
        <w:t xml:space="preserve"> </w:t>
      </w:r>
      <w:r w:rsidR="00E23D20" w:rsidRPr="00E23D20">
        <w:t xml:space="preserve">The significance of this study is that it may aid in monitoring how well patients perform ductions by utilising the </w:t>
      </w:r>
      <w:proofErr w:type="gramStart"/>
      <w:r w:rsidR="00E23D20" w:rsidRPr="00E23D20">
        <w:t>EMR  saccades</w:t>
      </w:r>
      <w:proofErr w:type="gramEnd"/>
      <w:r w:rsidR="00E23D20" w:rsidRPr="00E23D20">
        <w:t xml:space="preserve"> and pursuits analysis. The results can be easily compared across the follow-up visit to track the improvement of eye movements.</w:t>
      </w:r>
    </w:p>
    <w:p w14:paraId="7FEAE9F2" w14:textId="13BB1613" w:rsidR="00561AA1" w:rsidRDefault="00CF23FA" w:rsidP="00E64E9E">
      <w:r w:rsidRPr="00CF23FA">
        <w:t xml:space="preserve">In clinical settings, eye movement </w:t>
      </w:r>
      <w:r w:rsidR="00D83EC6">
        <w:t>d</w:t>
      </w:r>
      <w:r w:rsidRPr="00CF23FA">
        <w:t xml:space="preserve">uctions are frequently measured using the grading scale approach, which rates movements from </w:t>
      </w:r>
      <w:r w:rsidR="003A179F">
        <w:t>-</w:t>
      </w:r>
      <w:r w:rsidRPr="00CF23FA">
        <w:t>4 to +4</w:t>
      </w:r>
      <w:r w:rsidR="00DD7908">
        <w:t xml:space="preserve"> </w:t>
      </w:r>
      <w:r w:rsidR="00DD7908">
        <w:fldChar w:fldCharType="begin"/>
      </w:r>
      <w:r w:rsidR="00720FD7">
        <w:instrText xml:space="preserve"> ADDIN EN.CITE &lt;EndNote&gt;&lt;Cite&gt;&lt;Author&gt;Ansons&lt;/Author&gt;&lt;Year&gt;2014&lt;/Year&gt;&lt;IDText&gt;Clinical assessment of ocular movement range. In:  Diagnosis and management of ocular motility disorders&lt;/IDText&gt;&lt;DisplayText&gt;(Ansons &amp;amp; Davis, 2014)&lt;/DisplayText&gt;&lt;record&gt;&lt;titles&gt;&lt;title&gt;Clinical assessment of ocular movement range. In:  Diagnosis and management of ocular motility disorders&lt;/title&gt;&lt;/titles&gt;&lt;contributors&gt;&lt;authors&gt;&lt;author&gt;Ansons, Alec M.&lt;/author&gt;&lt;author&gt;Davis, Helen&lt;/author&gt;&lt;/authors&gt;&lt;/contributors&gt;&lt;section&gt;127-129&lt;/section&gt;&lt;edition&gt;Fourth&lt;/edition&gt;&lt;added-date format="utc"&gt;1647405889&lt;/added-date&gt;&lt;ref-type name="Book"&gt;6&lt;/ref-type&gt;&lt;dates&gt;&lt;year&gt;2014&lt;/year&gt;&lt;/dates&gt;&lt;rec-number&gt;832&lt;/rec-number&gt;&lt;publisher&gt;John Wiley &amp;amp; Sons, Ltd&lt;/publisher&gt;&lt;last-updated-date format="utc"&gt;1647406711&lt;/last-updated-date&gt;&lt;/record&gt;&lt;/Cite&gt;&lt;/EndNote&gt;</w:instrText>
      </w:r>
      <w:r w:rsidR="00DD7908">
        <w:fldChar w:fldCharType="separate"/>
      </w:r>
      <w:r w:rsidR="00720FD7">
        <w:rPr>
          <w:noProof/>
        </w:rPr>
        <w:t>(Ansons &amp; Davis, 2014)</w:t>
      </w:r>
      <w:r w:rsidR="00DD7908">
        <w:fldChar w:fldCharType="end"/>
      </w:r>
      <w:r w:rsidRPr="00CF23FA">
        <w:t>.</w:t>
      </w:r>
      <w:r w:rsidR="0045721B">
        <w:t xml:space="preserve"> </w:t>
      </w:r>
      <w:r w:rsidR="0045721B" w:rsidRPr="0045721B">
        <w:t>Inaccurate, inconsistent, and sensitive to inter and intra-observer variance are some of the drawbacks of this method</w:t>
      </w:r>
      <w:r w:rsidR="001235A8">
        <w:t xml:space="preserve"> </w:t>
      </w:r>
      <w:r w:rsidR="001235A8">
        <w:fldChar w:fldCharType="begin"/>
      </w:r>
      <w:r w:rsidR="001235A8">
        <w:instrText xml:space="preserve"> ADDIN EN.CITE &lt;EndNote&gt;&lt;Cite&gt;&lt;Author&gt;Dolman&lt;/Author&gt;&lt;Year&gt;2012&lt;/Year&gt;&lt;IDText&gt;Reliability of Estimating Ductions in Thyroid Eye Disease&lt;/IDText&gt;&lt;DisplayText&gt;(Dolman et al., 2012)&lt;/DisplayText&gt;&lt;record&gt;&lt;keywords&gt;&lt;keyword&gt;Medical colleges&lt;/keyword&gt;&lt;keyword&gt;Medical research&lt;/keyword&gt;&lt;keyword&gt;Medicine, Experimental&lt;/keyword&gt;&lt;keyword&gt;Ophthalmology&lt;/keyword&gt;&lt;keyword&gt;Thyroid eye disease&lt;/keyword&gt;&lt;/keywords&gt;&lt;isbn&gt;0161-6420&lt;/isbn&gt;&lt;titles&gt;&lt;title&gt;Reliability of Estimating Ductions in Thyroid Eye Disease&lt;/title&gt;&lt;secondary-title&gt;Ophthalmology (Rochester, Minn.)&lt;/secondary-title&gt;&lt;/titles&gt;&lt;pages&gt;382-389&lt;/pages&gt;&lt;number&gt;2&lt;/number&gt;&lt;contributors&gt;&lt;authors&gt;&lt;author&gt;Dolman, Peter J. M. D. Frcsc&lt;/author&gt;&lt;author&gt;Cahill, Kenneth M. D.&lt;/author&gt;&lt;author&gt;Czyz, Craig N. D. O. Facos&lt;/author&gt;&lt;author&gt;Douglas, Raymond S. M. D. PhD&lt;/author&gt;&lt;author&gt;Elner, Victor M. M. D. PhD&lt;/author&gt;&lt;author&gt;Feldon, Steven M. D. M. B. A.&lt;/author&gt;&lt;author&gt;Kazim, Michael M. D.&lt;/author&gt;&lt;author&gt;Lucarelli, Mark M. D.&lt;/author&gt;&lt;author&gt;Sivak-Collcott, Jennifer M. D.&lt;/author&gt;&lt;author&gt;Stacey, Andrew W. MSc&lt;/author&gt;&lt;author&gt;Strianese, Diego M. D.&lt;/author&gt;&lt;author&gt;Uddin, Jimmy M. A.&lt;/author&gt;&lt;/authors&gt;&lt;/contributors&gt;&lt;added-date format="utc"&gt;1647408695&lt;/added-date&gt;&lt;ref-type name="Journal Article"&gt;17&lt;/ref-type&gt;&lt;dates&gt;&lt;year&gt;2012&lt;/year&gt;&lt;/dates&gt;&lt;rec-number&gt;833&lt;/rec-number&gt;&lt;publisher&gt;Elsevier Inc&lt;/publisher&gt;&lt;last-updated-date format="utc"&gt;1647408695&lt;/last-updated-date&gt;&lt;electronic-resource-num&gt;10.1016/j.ophtha.2011.07.011&lt;/electronic-resource-num&gt;&lt;volume&gt;119&lt;/volume&gt;&lt;/record&gt;&lt;/Cite&gt;&lt;/EndNote&gt;</w:instrText>
      </w:r>
      <w:r w:rsidR="001235A8">
        <w:fldChar w:fldCharType="separate"/>
      </w:r>
      <w:r w:rsidR="001235A8">
        <w:rPr>
          <w:noProof/>
        </w:rPr>
        <w:t>(Dolman et al., 2012)</w:t>
      </w:r>
      <w:r w:rsidR="001235A8">
        <w:fldChar w:fldCharType="end"/>
      </w:r>
      <w:r w:rsidR="0045721B" w:rsidRPr="0045721B">
        <w:t>.</w:t>
      </w:r>
      <w:r w:rsidR="00DD7908">
        <w:t xml:space="preserve"> </w:t>
      </w:r>
      <w:r w:rsidR="00E64E9E" w:rsidRPr="009D4627">
        <w:t xml:space="preserve">Currently, ocular motor nerve palsies are monitored using </w:t>
      </w:r>
      <w:r w:rsidR="00E64E9E" w:rsidRPr="009D4627">
        <w:lastRenderedPageBreak/>
        <w:t xml:space="preserve">the conventional subjective method by assessing the ocular misalignment and </w:t>
      </w:r>
      <w:r w:rsidR="002E63E9" w:rsidRPr="009D4627">
        <w:t>PCT</w:t>
      </w:r>
      <w:r w:rsidR="00E64E9E" w:rsidRPr="009D4627">
        <w:t xml:space="preserve"> measurements </w:t>
      </w:r>
      <w:r w:rsidR="00E64E9E" w:rsidRPr="009D4627">
        <w:fldChar w:fldCharType="begin"/>
      </w:r>
      <w:r w:rsidR="00E64E9E" w:rsidRPr="009D4627">
        <w:instrText xml:space="preserve"> ADDIN EN.CITE &lt;EndNote&gt;&lt;Cite&gt;&lt;Author&gt;Danchaivijitr&lt;/Author&gt;&lt;Year&gt;2004&lt;/Year&gt;&lt;IDText&gt;Diplopia and eye movement disorders&lt;/IDText&gt;&lt;DisplayText&gt;(Danchaivijitr &amp;amp; Kennard, 2004)&lt;/DisplayText&gt;&lt;record&gt;&lt;keywords&gt;&lt;keyword&gt;Medicine&lt;/keyword&gt;&lt;/keywords&gt;&lt;isbn&gt;14737086&amp;#xD;00223050&lt;/isbn&gt;&lt;titles&gt;&lt;title&gt;Diplopia and eye movement disorders&lt;/title&gt;&lt;secondary-title&gt;Neurology in Practice&lt;/secondary-title&gt;&lt;/titles&gt;&lt;pages&gt;iv24-iv31&lt;/pages&gt;&lt;number&gt;4&lt;/number&gt;&lt;contributors&gt;&lt;authors&gt;&lt;author&gt;Danchaivijitr, C.&lt;/author&gt;&lt;author&gt;Kennard, C.&lt;/author&gt;&lt;/authors&gt;&lt;/contributors&gt;&lt;added-date format="utc"&gt;1583683784&lt;/added-date&gt;&lt;ref-type name="Journal Article"&gt;17&lt;/ref-type&gt;&lt;dates&gt;&lt;year&gt;2004&lt;/year&gt;&lt;/dates&gt;&lt;rec-number&gt;691&lt;/rec-number&gt;&lt;last-updated-date format="utc"&gt;1583683784&lt;/last-updated-date&gt;&lt;electronic-resource-num&gt;10.1136/jnnp.2004.053413&lt;/electronic-resource-num&gt;&lt;volume&gt;75&lt;/volume&gt;&lt;/record&gt;&lt;/Cite&gt;&lt;/EndNote&gt;</w:instrText>
      </w:r>
      <w:r w:rsidR="00E64E9E" w:rsidRPr="009D4627">
        <w:fldChar w:fldCharType="separate"/>
      </w:r>
      <w:r w:rsidR="00E64E9E" w:rsidRPr="009D4627">
        <w:t>(</w:t>
      </w:r>
      <w:proofErr w:type="spellStart"/>
      <w:r w:rsidR="00E64E9E" w:rsidRPr="009D4627">
        <w:t>Danchaivijitr</w:t>
      </w:r>
      <w:proofErr w:type="spellEnd"/>
      <w:r w:rsidR="00E64E9E" w:rsidRPr="009D4627">
        <w:t xml:space="preserve"> &amp; Kennard, 2004)</w:t>
      </w:r>
      <w:r w:rsidR="00E64E9E" w:rsidRPr="009D4627">
        <w:fldChar w:fldCharType="end"/>
      </w:r>
      <w:r w:rsidR="00E64E9E" w:rsidRPr="009D4627">
        <w:t xml:space="preserve">. </w:t>
      </w:r>
    </w:p>
    <w:p w14:paraId="3C163E23" w14:textId="0569364A" w:rsidR="00E64E9E" w:rsidRPr="009D4627" w:rsidRDefault="00E64E9E" w:rsidP="00E64E9E">
      <w:r w:rsidRPr="009D4627">
        <w:t xml:space="preserve">There are numerous laboratory-based and clinical methods for assessing eye movements using video-based eye movement recorders </w:t>
      </w:r>
      <w:r w:rsidRPr="009D4627">
        <w:fldChar w:fldCharType="begin">
          <w:fldData xml:space="preserve">PEVuZE5vdGU+PENpdGU+PEF1dGhvcj5Ib3ViZW48L0F1dGhvcj48WWVhcj4yMDA2PC9ZZWFyPjxJ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</w:fldData>
        </w:fldChar>
      </w:r>
      <w:r w:rsidRPr="009D4627">
        <w:instrText xml:space="preserve"> ADDIN EN.CITE </w:instrText>
      </w:r>
      <w:r w:rsidRPr="009D4627">
        <w:fldChar w:fldCharType="begin">
          <w:fldData xml:space="preserve">PEVuZE5vdGU+PENpdGU+PEF1dGhvcj5Ib3ViZW48L0F1dGhvcj48WWVhcj4yMDA2PC9ZZWFyPjxJ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</w:fldData>
        </w:fldChar>
      </w:r>
      <w:r w:rsidRPr="009D4627">
        <w:instrText xml:space="preserve"> ADDIN EN.CITE.DATA </w:instrText>
      </w:r>
      <w:r w:rsidRPr="009D4627">
        <w:fldChar w:fldCharType="end"/>
      </w:r>
      <w:r w:rsidRPr="009D4627">
        <w:fldChar w:fldCharType="separate"/>
      </w:r>
      <w:r w:rsidRPr="009D4627">
        <w:rPr>
          <w:noProof/>
        </w:rPr>
        <w:t>(Bedell &amp; Stevenson, 2013; Houben et al., 2006; Pinkhardt et al., 2008; van der Geest &amp; Frens, 2002)</w:t>
      </w:r>
      <w:r w:rsidRPr="009D4627">
        <w:fldChar w:fldCharType="end"/>
      </w:r>
      <w:r w:rsidRPr="009D4627">
        <w:t xml:space="preserve">. In 1970, a cross-sectional study showed that the saccadic peak velocity of a patient diagnosed with unilateral CN VI palsy was reduced in the affected eye compared with the non-affected eye </w:t>
      </w:r>
      <w:r w:rsidRPr="009D4627">
        <w:fldChar w:fldCharType="begin"/>
      </w:r>
      <w:r w:rsidRPr="009D4627">
        <w:instrText xml:space="preserve"> ADDIN EN.CITE &lt;EndNote&gt;&lt;Cite&gt;&lt;Author&gt;Metz&lt;/Author&gt;&lt;Year&gt;1970&lt;/Year&gt;&lt;IDText&gt;Ocular saccades in lateral rectus palsy&lt;/IDText&gt;&lt;DisplayText&gt;(Metz et al., 1970)&lt;/DisplayText&gt;&lt;record&gt;&lt;keywords&gt;&lt;keyword&gt;Medicine&lt;/keyword&gt;&lt;/keywords&gt;&lt;isbn&gt;0003-9950&lt;/isbn&gt;&lt;titles&gt;&lt;title&gt;Ocular saccades in lateral rectus palsy&lt;/title&gt;&lt;secondary-title&gt;Archives of Ophthalmology&lt;/secondary-title&gt;&lt;/titles&gt;&lt;pages&gt;453-460&lt;/pages&gt;&lt;number&gt;4&lt;/number&gt;&lt;contributors&gt;&lt;authors&gt;&lt;author&gt;Metz, Henry S.&lt;/author&gt;&lt;author&gt;Scott, Alan B.&lt;/author&gt;&lt;author&gt;Meara, David&lt;/author&gt;&lt;author&gt;Stewart, H. Lee&lt;/author&gt;&lt;/authors&gt;&lt;/contributors&gt;&lt;added-date format="utc"&gt;1497370858&lt;/added-date&gt;&lt;ref-type name="Journal Article"&gt;17&lt;/ref-type&gt;&lt;dates&gt;&lt;year&gt;1970&lt;/year&gt;&lt;/dates&gt;&lt;rec-number&gt;118&lt;/rec-number&gt;&lt;last-updated-date format="utc"&gt;1499733089&lt;/last-updated-date&gt;&lt;electronic-resource-num&gt;10.1001/archopht.1970.00990040455010&lt;/electronic-resource-num&gt;&lt;volume&gt;84&lt;/volume&gt;&lt;/record&gt;&lt;/Cite&gt;&lt;/EndNote&gt;</w:instrText>
      </w:r>
      <w:r w:rsidRPr="009D4627">
        <w:fldChar w:fldCharType="separate"/>
      </w:r>
      <w:r w:rsidRPr="009D4627">
        <w:rPr>
          <w:noProof/>
        </w:rPr>
        <w:t>(Metz et al., 1970)</w:t>
      </w:r>
      <w:r w:rsidRPr="009D4627">
        <w:fldChar w:fldCharType="end"/>
      </w:r>
      <w:r w:rsidRPr="009D4627">
        <w:t>.  There has been no published study using the EMR in monitoring the progress of acquired ocular nerve palsies during the potential recovery period.</w:t>
      </w:r>
    </w:p>
    <w:p w14:paraId="3C5AA97E" w14:textId="1ACB77C6" w:rsidR="00E64E9E" w:rsidRPr="009D4627" w:rsidRDefault="00E64E9E" w:rsidP="00E64E9E">
      <w:r w:rsidRPr="009D4627">
        <w:t xml:space="preserve">The advancement in EMR provides a good objective ocular motility assessment to monitor the acquired </w:t>
      </w:r>
      <w:r w:rsidR="00940AE5" w:rsidRPr="009D4627">
        <w:t>ONP</w:t>
      </w:r>
      <w:r w:rsidRPr="009D4627">
        <w:t xml:space="preserve"> during the potential recovery period </w:t>
      </w:r>
      <w:r w:rsidRPr="009D4627">
        <w:fldChar w:fldCharType="begin"/>
      </w:r>
      <w:r w:rsidR="00C40138" w:rsidRPr="009D4627">
        <w:instrText xml:space="preserve"> ADDIN EN.CITE &lt;EndNote&gt;&lt;Cite&gt;&lt;Author&gt;Clark&lt;/Author&gt;&lt;Year&gt;2019&lt;/Year&gt;&lt;IDText&gt;The potential and value of objective eye tracking in the ophthalmology clinic&lt;/IDText&gt;&lt;DisplayText&gt;(Clark et al., 2019)&lt;/DisplayText&gt;&lt;record&gt;&lt;isbn&gt;0950222X&lt;/isbn&gt;&lt;titles&gt;&lt;title&gt;The potential and value of objective eye tracking in the ophthalmology clinic&lt;/title&gt;&lt;secondary-title&gt;Eye&lt;/secondary-title&gt;&lt;/titles&gt;&lt;pages&gt;1200-1202&lt;/pages&gt;&lt;number&gt;8&lt;/number&gt;&lt;contributors&gt;&lt;authors&gt;&lt;author&gt;Clark, Rosie&lt;/author&gt;&lt;author&gt;Blundell, James&lt;/author&gt;&lt;author&gt;Dunn, Matt&lt;/author&gt;&lt;author&gt;Erichsen, Jonathan&lt;/author&gt;&lt;author&gt;Giardini, Mario&lt;/author&gt;&lt;author&gt;Gottlob, Irene&lt;/author&gt;&lt;author&gt;Harris, Chris&lt;/author&gt;&lt;author&gt;Lee, Helena&lt;/author&gt;&lt;author&gt;Lee, Mcilreavy&lt;/author&gt;&lt;author&gt;Olson, Andrew&lt;/author&gt;&lt;author&gt;Self, Jay&lt;/author&gt;&lt;author&gt;Vinuela-Navarro, Valldeflors&lt;/author&gt;&lt;author&gt;Waddington, Jonathan&lt;/author&gt;&lt;author&gt;Woodhouse, J.&lt;/author&gt;&lt;author&gt;Gilchrist, Iain&lt;/author&gt;&lt;author&gt;Williams, Cathy&lt;/author&gt;&lt;/authors&gt;&lt;/contributors&gt;&lt;added-date format="utc"&gt;1571826965&lt;/added-date&gt;&lt;pub-location&gt;London&lt;/pub-location&gt;&lt;ref-type name="Journal Article"&gt;17&lt;/ref-type&gt;&lt;dates&gt;&lt;year&gt;2019&lt;/year&gt;&lt;/dates&gt;&lt;rec-number&gt;607&lt;/rec-number&gt;&lt;last-updated-date format="utc"&gt;1571826965&lt;/last-updated-date&gt;&lt;electronic-resource-num&gt;10.1038/s41433-019-0417-z&lt;/electronic-resource-num&gt;&lt;volume&gt;33&lt;/volume&gt;&lt;/record&gt;&lt;/Cite&gt;&lt;/EndNote&gt;</w:instrText>
      </w:r>
      <w:r w:rsidRPr="009D4627">
        <w:fldChar w:fldCharType="separate"/>
      </w:r>
      <w:r w:rsidR="00C40138" w:rsidRPr="009D4627">
        <w:rPr>
          <w:noProof/>
        </w:rPr>
        <w:t>(Clark et al., 2019)</w:t>
      </w:r>
      <w:r w:rsidRPr="009D4627">
        <w:fldChar w:fldCharType="end"/>
      </w:r>
      <w:r w:rsidRPr="009D4627">
        <w:t xml:space="preserve">. This requires permanent, </w:t>
      </w:r>
      <w:proofErr w:type="gramStart"/>
      <w:r w:rsidRPr="009D4627">
        <w:t>accurate</w:t>
      </w:r>
      <w:proofErr w:type="gramEnd"/>
      <w:r w:rsidRPr="009D4627">
        <w:t xml:space="preserve"> and repeatable recording paradigms, which allows the clinician to derive an accurate clinical diagnosis with details of eye movement properties such as latency, velocity and gain. The feasibility of implementing EMR in this clinical field has yet to be explored and a set of standard eye recording program</w:t>
      </w:r>
      <w:r w:rsidR="002E63E9" w:rsidRPr="009D4627">
        <w:t>mes</w:t>
      </w:r>
      <w:r w:rsidRPr="009D4627">
        <w:t xml:space="preserve"> and their analysis is not readily available.</w:t>
      </w:r>
    </w:p>
    <w:p w14:paraId="046FE9FB" w14:textId="5EB559E7" w:rsidR="00CC115E" w:rsidRPr="009D4627" w:rsidRDefault="00E64E9E" w:rsidP="00E64E9E">
      <w:pPr>
        <w:rPr>
          <w:lang w:eastAsia="en-MY"/>
        </w:rPr>
      </w:pPr>
      <w:r w:rsidRPr="009D4627">
        <w:t xml:space="preserve">Therefore, a set of eye movement testing paradigms </w:t>
      </w:r>
      <w:r w:rsidR="00111489">
        <w:t>was</w:t>
      </w:r>
      <w:r w:rsidRPr="009D4627">
        <w:t xml:space="preserve"> designed to assess fixations, pursuits and saccadic eye movement performance using the </w:t>
      </w:r>
      <w:proofErr w:type="spellStart"/>
      <w:r w:rsidRPr="009D4627">
        <w:t>EyeLink</w:t>
      </w:r>
      <w:proofErr w:type="spellEnd"/>
      <w:r w:rsidRPr="009D4627">
        <w:t xml:space="preserve"> 1000 Plus.  The main objective of this study was to design, develop and validate the EMR using a non-invasive IR eye tracker. Experiment 1 was conducted to establish the normative data of the eye movement parameters according to age group of participants. Subsequently, the result served as the control group to compare with the age-matched </w:t>
      </w:r>
      <w:r w:rsidR="00940AE5" w:rsidRPr="009D4627">
        <w:t>ONP</w:t>
      </w:r>
      <w:r w:rsidRPr="009D4627">
        <w:t xml:space="preserve"> patients</w:t>
      </w:r>
      <w:bookmarkEnd w:id="560"/>
      <w:r w:rsidR="0033556B" w:rsidRPr="009D4627">
        <w:rPr>
          <w:lang w:eastAsia="en-MY"/>
        </w:rPr>
        <w:t>.</w:t>
      </w:r>
    </w:p>
    <w:p w14:paraId="244028AD" w14:textId="5E3609FA" w:rsidR="008F638A" w:rsidRPr="009D4627" w:rsidRDefault="008F638A" w:rsidP="00D04E3B">
      <w:pPr>
        <w:pStyle w:val="Heading2"/>
      </w:pPr>
      <w:bookmarkStart w:id="561" w:name="_Toc98964736"/>
      <w:bookmarkStart w:id="562" w:name="_Toc103344778"/>
      <w:r w:rsidRPr="009D4627">
        <w:lastRenderedPageBreak/>
        <w:t xml:space="preserve">Assessment of the effect of changing target size and recording method (binocular and monocular) on the eye movement </w:t>
      </w:r>
      <w:r w:rsidR="00C65289" w:rsidRPr="009D4627">
        <w:t>criteria</w:t>
      </w:r>
      <w:bookmarkEnd w:id="561"/>
      <w:bookmarkEnd w:id="562"/>
    </w:p>
    <w:p w14:paraId="659A9BA1" w14:textId="365E7F41" w:rsidR="002F20DB" w:rsidRDefault="00F85EDC" w:rsidP="002F20DB">
      <w:bookmarkStart w:id="563" w:name="_Hlk71906498"/>
      <w:r>
        <w:t xml:space="preserve">Concerns have been raised </w:t>
      </w:r>
      <w:r w:rsidR="009424F8" w:rsidRPr="009424F8">
        <w:t xml:space="preserve">about how the target size or shape </w:t>
      </w:r>
      <w:r w:rsidR="006877D6">
        <w:t>us</w:t>
      </w:r>
      <w:r w:rsidR="009424F8" w:rsidRPr="009424F8">
        <w:t>ed could alter the EMR results</w:t>
      </w:r>
      <w:r w:rsidR="00504D3A">
        <w:t xml:space="preserve"> </w:t>
      </w:r>
      <w:r w:rsidR="00504D3A">
        <w:fldChar w:fldCharType="begin"/>
      </w:r>
      <w:r w:rsidR="00504D3A">
        <w:instrText xml:space="preserve"> ADDIN EN.CITE &lt;EndNote&gt;&lt;Cite&gt;&lt;Author&gt;Irving&lt;/Author&gt;&lt;Year&gt;2011&lt;/Year&gt;&lt;IDText&gt;Effect of stimulus type on the eye movements of children&lt;/IDText&gt;&lt;DisplayText&gt;(Irving et al., 2011)&lt;/DisplayText&gt;&lt;record&gt;&lt;keywords&gt;&lt;keyword&gt;Adolescent–Physiology&lt;/keyword&gt;&lt;keyword&gt;Adult–Physiology&lt;/keyword&gt;&lt;keyword&gt;Child–Physiology&lt;/keyword&gt;&lt;keyword&gt;Child, Preschool–Physiology&lt;/keyword&gt;&lt;keyword&gt;Female–Physiology&lt;/keyword&gt;&lt;keyword&gt;Form Perception–Physiology&lt;/keyword&gt;&lt;keyword&gt;Humans–Physiology&lt;/keyword&gt;&lt;keyword&gt;Male–Physiology&lt;/keyword&gt;&lt;keyword&gt;Photic Stimulation–Physiology&lt;/keyword&gt;&lt;keyword&gt;Psychomotor Performance–Physiology&lt;/keyword&gt;&lt;keyword&gt;Pursuit, Smooth–Physiology&lt;/keyword&gt;&lt;keyword&gt;Saccades–Physiology&lt;/keyword&gt;&lt;keyword&gt;Visual Fields–Physiology&lt;/keyword&gt;&lt;keyword&gt;Young Adult–Physiology&lt;/keyword&gt;&lt;/keywords&gt;&lt;titles&gt;&lt;title&gt;Effect of stimulus type on the eye movements of children&lt;/title&gt;&lt;secondary-title&gt;Investigative ophthalmology &amp;amp; visual science&lt;/secondary-title&gt;&lt;/titles&gt;&lt;pages&gt;658-664&lt;/pages&gt;&lt;number&gt;2&lt;/number&gt;&lt;contributors&gt;&lt;authors&gt;&lt;author&gt;Irving, Elizabeth L.&lt;/author&gt;&lt;author&gt;González, Esther G.&lt;/author&gt;&lt;author&gt;Lillakas, Linda&lt;/author&gt;&lt;author&gt;Wareham, Jonathan&lt;/author&gt;&lt;author&gt;McCarthy, Tara&lt;/author&gt;&lt;/authors&gt;&lt;/contributors&gt;&lt;added-date format="utc"&gt;1583669478&lt;/added-date&gt;&lt;ref-type name="Journal Article"&gt;17&lt;/ref-type&gt;&lt;dates&gt;&lt;year&gt;2011&lt;/year&gt;&lt;/dates&gt;&lt;rec-number&gt;687&lt;/rec-number&gt;&lt;last-updated-date format="utc"&gt;1583669478&lt;/last-updated-date&gt;&lt;contributors&gt;&lt;secondary-authors&gt;&lt;author&gt;Irving, Elizabeth L.&lt;/author&gt;&lt;/secondary-authors&gt;&lt;/contributors&gt;&lt;electronic-resource-num&gt;10.1167/iovs.10-5480&lt;/electronic-resource-num&gt;&lt;volume&gt;52&lt;/volume&gt;&lt;/record&gt;&lt;/Cite&gt;&lt;/EndNote&gt;</w:instrText>
      </w:r>
      <w:r w:rsidR="00504D3A">
        <w:fldChar w:fldCharType="separate"/>
      </w:r>
      <w:r w:rsidR="00504D3A">
        <w:rPr>
          <w:noProof/>
        </w:rPr>
        <w:t>(Irving et al., 2011)</w:t>
      </w:r>
      <w:r w:rsidR="00504D3A">
        <w:fldChar w:fldCharType="end"/>
      </w:r>
      <w:r w:rsidR="009424F8" w:rsidRPr="009424F8">
        <w:t>.</w:t>
      </w:r>
      <w:r w:rsidR="00D41D8B">
        <w:t xml:space="preserve"> </w:t>
      </w:r>
      <w:r w:rsidR="009424F8" w:rsidRPr="009424F8">
        <w:t xml:space="preserve">Thus, the question being addressed is </w:t>
      </w:r>
      <w:r w:rsidR="00D9156F" w:rsidRPr="009424F8">
        <w:t>whether</w:t>
      </w:r>
      <w:r w:rsidR="009424F8" w:rsidRPr="009424F8">
        <w:t xml:space="preserve"> utilising cross targets of varying sizes affects the accuracy of EMR measurements. This is because size 0.5° has been </w:t>
      </w:r>
      <w:r>
        <w:t>used</w:t>
      </w:r>
      <w:r w:rsidR="009424F8" w:rsidRPr="009424F8">
        <w:t xml:space="preserve"> for EMR testing on normal participants, however certain patients, particularly those attending their first EMR session, require a bigger target size to aid </w:t>
      </w:r>
      <w:r>
        <w:t>fixation</w:t>
      </w:r>
      <w:r w:rsidR="009424F8" w:rsidRPr="009424F8">
        <w:t xml:space="preserve">. Some of them struggle to </w:t>
      </w:r>
      <w:r>
        <w:t>fixate</w:t>
      </w:r>
      <w:r w:rsidR="009424F8" w:rsidRPr="009424F8">
        <w:t xml:space="preserve"> on small targets, particularly those positioned in </w:t>
      </w:r>
      <w:r>
        <w:t>the most affected gaze</w:t>
      </w:r>
      <w:r w:rsidR="009424F8" w:rsidRPr="009424F8">
        <w:t xml:space="preserve">. The larger the target, the easier it is for some of them to remain </w:t>
      </w:r>
      <w:r>
        <w:t>fixated</w:t>
      </w:r>
      <w:r w:rsidR="009424F8" w:rsidRPr="009424F8">
        <w:t>. </w:t>
      </w:r>
      <w:r w:rsidR="00E842B6">
        <w:t xml:space="preserve">The result from this </w:t>
      </w:r>
      <w:r w:rsidR="00040C08">
        <w:t>s</w:t>
      </w:r>
      <w:r w:rsidR="00E842B6">
        <w:t xml:space="preserve">tudy </w:t>
      </w:r>
      <w:r>
        <w:t xml:space="preserve">determined </w:t>
      </w:r>
      <w:r w:rsidR="00D9156F">
        <w:t>whether</w:t>
      </w:r>
      <w:r w:rsidR="00040C08">
        <w:t xml:space="preserve"> a direct comparison between control and patient groups in later experiments is valid</w:t>
      </w:r>
      <w:r w:rsidR="0035477C">
        <w:t>.</w:t>
      </w:r>
      <w:r w:rsidR="00160B34">
        <w:t xml:space="preserve"> </w:t>
      </w:r>
      <w:r w:rsidR="00E64E9E" w:rsidRPr="009D4627">
        <w:t>Experiment 2 evaluate</w:t>
      </w:r>
      <w:r w:rsidR="000C7C3E">
        <w:t>d</w:t>
      </w:r>
      <w:r w:rsidR="00E64E9E" w:rsidRPr="009D4627">
        <w:t xml:space="preserve"> the effect of altering the target size on saccadic, pursuit, and fixational eye movement characteristics. </w:t>
      </w:r>
      <w:r>
        <w:t xml:space="preserve">The objective was to assess if the size of the target could be increased for the patient population. </w:t>
      </w:r>
      <w:r w:rsidR="00E64E9E" w:rsidRPr="009D4627">
        <w:t xml:space="preserve">Results showed that different target sizes influence the specific eye movement parameters, especially saccadic latency since it involves the higher brain processing centre to initiate the movements </w:t>
      </w:r>
      <w:r w:rsidR="00E64E9E" w:rsidRPr="009D4627">
        <w:fldChar w:fldCharType="begin"/>
      </w:r>
      <w:r w:rsidR="00E64E9E" w:rsidRPr="009D4627">
        <w:instrText xml:space="preserve"> ADDIN EN.CITE &lt;EndNote&gt;&lt;Cite&gt;&lt;Author&gt;Ploner&lt;/Author&gt;&lt;Year&gt;2004&lt;/Year&gt;&lt;IDText&gt;Target size modulates saccadic eye movements in humans&lt;/IDText&gt;&lt;DisplayText&gt;(Ploner et al., 2004)&lt;/DisplayText&gt;&lt;record&gt;&lt;keywords&gt;&lt;keyword&gt;Adult&lt;/keyword&gt;&lt;keyword&gt;Chi-Square Distribution&lt;/keyword&gt;&lt;keyword&gt;Female&lt;/keyword&gt;&lt;keyword&gt;Humans&lt;/keyword&gt;&lt;keyword&gt;Male&lt;/keyword&gt;&lt;keyword&gt;Photic Stimulation&lt;/keyword&gt;&lt;keyword&gt;Saccades&lt;/keyword&gt;&lt;keyword&gt;Statistics, Nonparametric&lt;/keyword&gt;&lt;keyword&gt;Time Factors&lt;/keyword&gt;&lt;keyword&gt;Eye Movements&lt;/keyword&gt;&lt;keyword&gt;Neural Pathways&lt;/keyword&gt;&lt;keyword&gt;Spatial Organization&lt;/keyword&gt;&lt;keyword&gt;Superior Colliculus&lt;/keyword&gt;&lt;keyword&gt;Visual Tracking&lt;/keyword&gt;&lt;keyword&gt;Sensorimotor Measures&lt;/keyword&gt;&lt;keyword&gt;Neuropsychology &amp;amp; Neurology&lt;/keyword&gt;&lt;keyword&gt;Saccadic Eye Movements&lt;/keyword&gt;&lt;keyword&gt;Sensorimotor Transformation&lt;/keyword&gt;&lt;keyword&gt;Superior Colliculus&lt;/keyword&gt;&lt;keyword&gt;Saccade Amplitude&lt;/keyword&gt;&lt;keyword&gt;Neuronal Activity&lt;/keyword&gt;&lt;keyword&gt;Spatially Extended Targets&lt;/keyword&gt;&lt;keyword&gt;Empirical Study&lt;/keyword&gt;&lt;keyword&gt;Quantitative Study&lt;/keyword&gt;&lt;keyword&gt;Human&lt;/keyword&gt;&lt;keyword&gt;Male&lt;/keyword&gt;&lt;keyword&gt;Female&lt;/keyword&gt;&lt;keyword&gt;Adulthood (18 Yrs &amp;amp; Older)&lt;/keyword&gt;&lt;keyword&gt;Article&lt;/keyword&gt;&lt;/keywords&gt;&lt;isbn&gt;0735-7044&lt;/isbn&gt;&lt;titles&gt;&lt;title&gt;Target size modulates saccadic eye movements in humans&lt;/title&gt;&lt;secondary-title&gt;Behavioral Neuroscience&lt;/secondary-title&gt;&lt;/titles&gt;&lt;pages&gt;237-242&lt;/pages&gt;&lt;number&gt;1&lt;/number&gt;&lt;contributors&gt;&lt;authors&gt;&lt;author&gt;Ploner, Christoph J.&lt;/author&gt;&lt;author&gt;Ostendorf, Florian&lt;/author&gt;&lt;author&gt;Dick, Sandra&lt;/author&gt;&lt;/authors&gt;&lt;/contributors&gt;&lt;added-date format="utc"&gt;1583670484&lt;/added-date&gt;&lt;ref-type name="Journal Article"&gt;17&lt;/ref-type&gt;&lt;dates&gt;&lt;year&gt;2004&lt;/year&gt;&lt;/dates&gt;&lt;rec-number&gt;688&lt;/rec-number&gt;&lt;last-updated-date format="utc"&gt;1603814543&lt;/last-updated-date&gt;&lt;electronic-resource-num&gt;10.1037/0735-7044.118.1.237&lt;/electronic-resource-num&gt;&lt;volume&gt;118&lt;/volume&gt;&lt;/record&gt;&lt;/Cite&gt;&lt;/EndNote&gt;</w:instrText>
      </w:r>
      <w:r w:rsidR="00E64E9E" w:rsidRPr="009D4627">
        <w:fldChar w:fldCharType="separate"/>
      </w:r>
      <w:r w:rsidR="00E64E9E" w:rsidRPr="009D4627">
        <w:rPr>
          <w:noProof/>
        </w:rPr>
        <w:t>(Ploner et al., 2004)</w:t>
      </w:r>
      <w:r w:rsidR="00E64E9E" w:rsidRPr="009D4627">
        <w:fldChar w:fldCharType="end"/>
      </w:r>
      <w:r w:rsidR="00E64E9E" w:rsidRPr="009D4627">
        <w:t xml:space="preserve">.  </w:t>
      </w:r>
      <w:r w:rsidR="002F20DB">
        <w:t xml:space="preserve">Overall results showed </w:t>
      </w:r>
      <w:r w:rsidR="002F20DB" w:rsidRPr="00923495">
        <w:t>target size has little effect on eye movements such as fixation, SP, and saccades. Comparing controls using the smallest target size gives slight variation in the patient data even when patients used different target sizes at follow-up visits based on their ability</w:t>
      </w:r>
      <w:r w:rsidR="000C7C3E">
        <w:t xml:space="preserve"> </w:t>
      </w:r>
      <w:r>
        <w:t>to see the target</w:t>
      </w:r>
      <w:r w:rsidR="002F20DB" w:rsidRPr="00923495">
        <w:t xml:space="preserve"> on the day of the test. </w:t>
      </w:r>
      <w:r w:rsidR="00052C3D">
        <w:t>A few</w:t>
      </w:r>
      <w:r>
        <w:t xml:space="preserve"> participants had illnesses and took medication which could affect fixation.</w:t>
      </w:r>
    </w:p>
    <w:bookmarkEnd w:id="563"/>
    <w:p w14:paraId="4B787445" w14:textId="14ED3661" w:rsidR="00A2401B" w:rsidRPr="009D4627" w:rsidRDefault="00B91EFA" w:rsidP="00BA4D6B">
      <w:r w:rsidRPr="00B91EFA">
        <w:t xml:space="preserve"> </w:t>
      </w:r>
      <w:r>
        <w:t>A</w:t>
      </w:r>
      <w:r w:rsidRPr="009D4627">
        <w:t xml:space="preserve"> previous study found that the LE and the RE behaved equally among healthy participants when they were recorded binocularly, although they were analysed separately </w:t>
      </w:r>
      <w:r w:rsidRPr="009D4627">
        <w:fldChar w:fldCharType="begin"/>
      </w:r>
      <w:r w:rsidRPr="009D4627">
        <w:instrText xml:space="preserve"> ADDIN EN.CITE &lt;EndNote&gt;&lt;Cite&gt;&lt;Author&gt;Houben&lt;/Author&gt;&lt;Year&gt;2006&lt;/Year&gt;&lt;IDText&gt;Recording three-dimensional eye movements: Scleral search coils versus video oculography&lt;/IDText&gt;&lt;DisplayText&gt;(Houben et al., 2006)&lt;/DisplayText&gt;&lt;record&gt;&lt;dates&gt;&lt;pub-dates&gt;&lt;date&gt;Jan&lt;/date&gt;&lt;/pub-dates&gt;&lt;year&gt;2006&lt;/year&gt;&lt;/dates&gt;&lt;keywords&gt;&lt;keyword&gt;ocular torsion&lt;/keyword&gt;&lt;keyword&gt;listing law&lt;/keyword&gt;&lt;keyword&gt;saccades&lt;/keyword&gt;&lt;keyword&gt;mathematics&lt;/keyword&gt;&lt;keyword&gt;orientation&lt;/keyword&gt;&lt;keyword&gt;&lt;/keyword&gt;&lt;keyword&gt;stability&lt;/keyword&gt;&lt;keyword&gt;humans&lt;/keyword&gt;&lt;keyword&gt;blinks&lt;/keyword&gt;&lt;keyword&gt;Ophthalmology&lt;/keyword&gt;&lt;/keywords&gt;&lt;urls&gt;&lt;related-urls&gt;&lt;url&gt;&amp;lt;Go to ISI&amp;gt;://WOS:000234289700025&lt;/url&gt;&lt;/related-urls&gt;&lt;/urls&gt;&lt;isbn&gt;0146-0404&lt;/isbn&gt;&lt;work-type&gt;Article&lt;/work-type&gt;&lt;titles&gt;&lt;title&gt;Recording three-dimensional eye movements: Scleral search coils versus video oculography&lt;/title&gt;&lt;secondary-title&gt;Investigative Ophthalmology &amp;amp; Visual Science&lt;/secondary-title&gt;&lt;alt-title&gt;Invest. Ophthalmol. Vis. Sci.&lt;/alt-title&gt;&lt;/titles&gt;&lt;pages&gt;179-187&lt;/pages&gt;&lt;number&gt;1&lt;/number&gt;&lt;contributors&gt;&lt;authors&gt;&lt;author&gt;Houben, M. M. J.&lt;/author&gt;&lt;author&gt;Goumans, J.&lt;/author&gt;&lt;author&gt;van der Steen, J.&lt;/author&gt;&lt;/authors&gt;&lt;/contributors&gt;&lt;language&gt;English&lt;/language&gt;&lt;added-date format="utc"&gt;1490793823&lt;/added-date&gt;&lt;ref-type name="Journal Article"&gt;17&lt;/ref-type&gt;&lt;auth-address&gt;Erasmus Univ, Dept Neurosci, Med Ctr, NL-3000 DR Rotterdam, Netherlands. Erasmus Univ, Dept Otorhinolaryngol, Med Ctr, NL-3000 DR Rotterdam, Netherlands.&amp;#xD;van der Steen, J (reprint author), Erasmus Univ, Dept Neurosci, Med Ctr, Room Ee1259,POB 1738, NL-3000 DR Rotterdam, Netherlands.&amp;#xD;j.vandersteen@erasmusmc.nl&lt;/auth-address&gt;&lt;rec-number&gt;29&lt;/rec-number&gt;&lt;last-updated-date format="utc"&gt;1490793823&lt;/last-updated-date&gt;&lt;accession-num&gt;WOS:000234289700025&lt;/accession-num&gt;&lt;electronic-resource-num&gt;10.1167/iovs.05-0234&lt;/electronic-resource-num&gt;&lt;volume&gt;47&lt;/volume&gt;&lt;/record&gt;&lt;/Cite&gt;&lt;/EndNote&gt;</w:instrText>
      </w:r>
      <w:r w:rsidRPr="009D4627">
        <w:fldChar w:fldCharType="separate"/>
      </w:r>
      <w:r w:rsidRPr="009D4627">
        <w:rPr>
          <w:noProof/>
        </w:rPr>
        <w:t>(Houben et al., 2006)</w:t>
      </w:r>
      <w:r w:rsidRPr="009D4627">
        <w:fldChar w:fldCharType="end"/>
      </w:r>
      <w:r w:rsidRPr="009D4627">
        <w:t>.</w:t>
      </w:r>
      <w:r>
        <w:t xml:space="preserve"> </w:t>
      </w:r>
      <w:r w:rsidR="009A5E58" w:rsidRPr="009A5E58">
        <w:t xml:space="preserve">Experiment 3 reveals that when binocular recording is used, normal people's RE and LE eye movements behave equally. </w:t>
      </w:r>
      <w:r w:rsidR="00160B34">
        <w:t>T</w:t>
      </w:r>
      <w:r w:rsidR="009A5E58" w:rsidRPr="009A5E58">
        <w:t xml:space="preserve">hus, comparing RE data collected during binocular viewing </w:t>
      </w:r>
      <w:r w:rsidR="009A5E58" w:rsidRPr="009A5E58">
        <w:lastRenderedPageBreak/>
        <w:t>(Chapter 3 - experiment 1) to patients' monocular EMR data (Chapter 5 - experiment 4) is acceptable, as individuals with ocular nerve palsy do not have BSV in free space.</w:t>
      </w:r>
      <w:r w:rsidR="00E23D20">
        <w:t xml:space="preserve"> </w:t>
      </w:r>
      <w:bookmarkStart w:id="564" w:name="_Toc98964737"/>
      <w:r w:rsidR="00A2401B" w:rsidRPr="009D4627">
        <w:t>Assessment of eye mov</w:t>
      </w:r>
      <w:r w:rsidR="000165EA" w:rsidRPr="009D4627">
        <w:t>ement performance of the healthy participants</w:t>
      </w:r>
      <w:bookmarkEnd w:id="564"/>
    </w:p>
    <w:p w14:paraId="103A0C46" w14:textId="16C4F157" w:rsidR="00DF7F24" w:rsidRPr="009D4627" w:rsidRDefault="00E64E9E" w:rsidP="001C4840">
      <w:bookmarkStart w:id="565" w:name="_Hlk71906539"/>
      <w:r w:rsidRPr="009D4627">
        <w:t xml:space="preserve">Previous studies reported that ageing affected the saccadic and SP performance </w:t>
      </w:r>
      <w:r w:rsidRPr="009D4627">
        <w:fldChar w:fldCharType="begin">
          <w:fldData xml:space="preserve">PEVuZE5vdGU+PENpdGU+PEF1dGhvcj5Ib3BmPC9BdXRob3I+PFllYXI+MjAxODwvWWVhcj48SURU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</w:fldData>
        </w:fldChar>
      </w:r>
      <w:r w:rsidRPr="009D4627">
        <w:instrText xml:space="preserve"> ADDIN EN.CITE </w:instrText>
      </w:r>
      <w:r w:rsidRPr="009D4627">
        <w:fldChar w:fldCharType="begin">
          <w:fldData xml:space="preserve">PEVuZE5vdGU+PENpdGU+PEF1dGhvcj5Ib3BmPC9BdXRob3I+PFllYXI+MjAxODwvWWVhcj48SURU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</w:fldData>
        </w:fldChar>
      </w:r>
      <w:r w:rsidRPr="009D4627">
        <w:instrText xml:space="preserve"> ADDIN EN.CITE.DATA </w:instrText>
      </w:r>
      <w:r w:rsidRPr="009D4627">
        <w:fldChar w:fldCharType="end"/>
      </w:r>
      <w:r w:rsidRPr="009D4627">
        <w:fldChar w:fldCharType="separate"/>
      </w:r>
      <w:r w:rsidRPr="009D4627">
        <w:rPr>
          <w:noProof/>
        </w:rPr>
        <w:t>(Hopf et al., 2018; Munoz et al., 1998)</w:t>
      </w:r>
      <w:r w:rsidRPr="009D4627">
        <w:fldChar w:fldCharType="end"/>
      </w:r>
      <w:r w:rsidRPr="009D4627">
        <w:t xml:space="preserve">, while others stated ageing did not affect the eye movement performance </w:t>
      </w:r>
      <w:r w:rsidRPr="009D4627">
        <w:fldChar w:fldCharType="begin">
          <w:fldData xml:space="preserve">PEVuZE5vdGU+PENpdGU+PEF1dGhvcj5JcnZpbmc8L0F1dGhvcj48WWVhcj4yMDE4PC9ZZWFyPjxJ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</w:fldData>
        </w:fldChar>
      </w:r>
      <w:r w:rsidR="00C40138" w:rsidRPr="009D4627">
        <w:instrText xml:space="preserve"> ADDIN EN.CITE </w:instrText>
      </w:r>
      <w:r w:rsidR="00C40138" w:rsidRPr="009D4627">
        <w:fldChar w:fldCharType="begin">
          <w:fldData xml:space="preserve">PEVuZE5vdGU+PENpdGU+PEF1dGhvcj5JcnZpbmc8L0F1dGhvcj48WWVhcj4yMDE4PC9ZZWFyPjxJ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</w:fldData>
        </w:fldChar>
      </w:r>
      <w:r w:rsidR="00C40138" w:rsidRPr="009D4627">
        <w:instrText xml:space="preserve"> ADDIN EN.CITE.DATA </w:instrText>
      </w:r>
      <w:r w:rsidR="00C40138" w:rsidRPr="009D4627">
        <w:fldChar w:fldCharType="end"/>
      </w:r>
      <w:r w:rsidRPr="009D4627">
        <w:fldChar w:fldCharType="separate"/>
      </w:r>
      <w:r w:rsidR="00C40138" w:rsidRPr="009D4627">
        <w:rPr>
          <w:noProof/>
        </w:rPr>
        <w:t>(Huaman &amp; Sharpe, 1993; Irving &amp; Lillakas, 2018)</w:t>
      </w:r>
      <w:r w:rsidRPr="009D4627">
        <w:fldChar w:fldCharType="end"/>
      </w:r>
      <w:r w:rsidRPr="009D4627">
        <w:t>, as discussed in Chapter 1 (section 1.5.2).  Chapter 3 investigated the changes in fixation, SP and saccadic performance in different age groups using the proposed eye movement testing paradigms</w:t>
      </w:r>
      <w:r w:rsidR="00953556" w:rsidRPr="009D4627">
        <w:t xml:space="preserve">. </w:t>
      </w:r>
    </w:p>
    <w:p w14:paraId="285DD918" w14:textId="0DE56852" w:rsidR="001C4840" w:rsidRDefault="00E64E9E" w:rsidP="001C4840">
      <w:r w:rsidRPr="009D4627">
        <w:t xml:space="preserve">The current study found that fixation eye movement was not affected by age. However, the SP RMSE and saccadic latency deteriorated with increasing age in horizontal and vertical directions. Saccadic peak velocity increased in the older age group in the horizontal and downward saccade directions. Meanwhile, upward saccadic gain reduced with ageing, but saccadic gain reduced for the older age group, only at the greater amplitudes for the horizontal direction. These findings agree with a study that reported that older people had longer latency and </w:t>
      </w:r>
      <w:proofErr w:type="spellStart"/>
      <w:r w:rsidRPr="009D4627">
        <w:t>hypometric</w:t>
      </w:r>
      <w:proofErr w:type="spellEnd"/>
      <w:r w:rsidRPr="009D4627">
        <w:t xml:space="preserve"> saccades at larger saccade amplitudes </w:t>
      </w:r>
      <w:r w:rsidRPr="009D4627">
        <w:fldChar w:fldCharType="begin"/>
      </w:r>
      <w:r w:rsidRPr="009D4627">
        <w:instrText xml:space="preserve"> ADDIN EN.CITE &lt;EndNote&gt;&lt;Cite&gt;&lt;Author&gt;Peltsch&lt;/Author&gt;&lt;Year&gt;2011&lt;/Year&gt;&lt;IDText&gt;Age-related trends in saccade characteristics among the elderly&lt;/IDText&gt;&lt;DisplayText&gt;(Peltsch et al., 2011b)&lt;/DisplayText&gt;&lt;record&gt;&lt;keywords&gt;&lt;keyword&gt;Saccades&lt;/keyword&gt;&lt;keyword&gt;Eye Movements&lt;/keyword&gt;&lt;keyword&gt;Aging&lt;/keyword&gt;&lt;keyword&gt;Oculomotor&lt;/keyword&gt;&lt;keyword&gt;Frontal Inhibition&lt;/keyword&gt;&lt;/keywords&gt;&lt;isbn&gt;0197-4580&lt;/isbn&gt;&lt;titles&gt;&lt;title&gt;Age-related trends in saccade characteristics among the elderly&lt;/title&gt;&lt;secondary-title&gt;Neurobiology of Aging&lt;/secondary-title&gt;&lt;/titles&gt;&lt;pages&gt;669-679&lt;/pages&gt;&lt;number&gt;4&lt;/number&gt;&lt;contributors&gt;&lt;authors&gt;&lt;author&gt;Peltsch, A.&lt;/author&gt;&lt;author&gt;Hemraj, A.&lt;/author&gt;&lt;author&gt;Garcia, A.&lt;/author&gt;&lt;author&gt;Munoz, D. P.&lt;/author&gt;&lt;/authors&gt;&lt;/contributors&gt;&lt;added-date format="utc"&gt;1518422821&lt;/added-date&gt;&lt;ref-type name="Journal Article"&gt;17&lt;/ref-type&gt;&lt;dates&gt;&lt;year&gt;2011&lt;/year&gt;&lt;/dates&gt;&lt;rec-number&gt;206&lt;/rec-number&gt;&lt;last-updated-date format="utc"&gt;1603814487&lt;/last-updated-date&gt;&lt;electronic-resource-num&gt;10.1016/j.neurobiolaging.2009.04.001&lt;/electronic-resource-num&gt;&lt;volume&gt;32&lt;/volume&gt;&lt;/record&gt;&lt;/Cite&gt;&lt;/EndNote&gt;</w:instrText>
      </w:r>
      <w:r w:rsidRPr="009D4627">
        <w:fldChar w:fldCharType="separate"/>
      </w:r>
      <w:r w:rsidRPr="009D4627">
        <w:rPr>
          <w:noProof/>
        </w:rPr>
        <w:t>(Peltsch et al., 2011b)</w:t>
      </w:r>
      <w:r w:rsidRPr="009D4627">
        <w:fldChar w:fldCharType="end"/>
      </w:r>
      <w:r w:rsidR="001C4840" w:rsidRPr="009D4627">
        <w:t>.</w:t>
      </w:r>
    </w:p>
    <w:p w14:paraId="34DFC09F" w14:textId="62996BFA" w:rsidR="005B2F6E" w:rsidRPr="009D4627" w:rsidRDefault="005B2F6E" w:rsidP="001C4840">
      <w:r w:rsidRPr="005B2F6E">
        <w:t xml:space="preserve">The results obtained in this study </w:t>
      </w:r>
      <w:r w:rsidR="00F85EDC">
        <w:t>provide</w:t>
      </w:r>
      <w:r w:rsidRPr="005B2F6E">
        <w:t xml:space="preserve"> clinicians </w:t>
      </w:r>
      <w:r w:rsidR="00F85EDC">
        <w:t xml:space="preserve">with normative data which can be compared to </w:t>
      </w:r>
      <w:r w:rsidRPr="005B2F6E">
        <w:t xml:space="preserve">the results </w:t>
      </w:r>
      <w:r w:rsidR="00F85EDC">
        <w:t xml:space="preserve">found </w:t>
      </w:r>
      <w:r w:rsidR="00052C3D">
        <w:t xml:space="preserve">in </w:t>
      </w:r>
      <w:r w:rsidR="00052C3D" w:rsidRPr="005B2F6E">
        <w:t>patients</w:t>
      </w:r>
      <w:r w:rsidR="00DB234F">
        <w:t>.</w:t>
      </w:r>
      <w:r w:rsidRPr="005B2F6E">
        <w:t xml:space="preserve"> It emphasises the need to compare patients with abnormal OMT to age-matched control data in EMR examinations. Furthermore, the EMR paradigms and specific parameters used in this study are suitable for patient assessment and consultation in clinics.</w:t>
      </w:r>
    </w:p>
    <w:p w14:paraId="6AAC2B30" w14:textId="7779C118" w:rsidR="00EE6C52" w:rsidRPr="009D4627" w:rsidRDefault="00A2401B" w:rsidP="00D04E3B">
      <w:pPr>
        <w:pStyle w:val="Heading2"/>
      </w:pPr>
      <w:bookmarkStart w:id="566" w:name="_Toc98964738"/>
      <w:bookmarkStart w:id="567" w:name="_Toc103344779"/>
      <w:bookmarkEnd w:id="565"/>
      <w:r w:rsidRPr="009D4627">
        <w:lastRenderedPageBreak/>
        <w:t>Assessment of eye movement</w:t>
      </w:r>
      <w:r w:rsidR="00F85EDC">
        <w:t xml:space="preserve"> </w:t>
      </w:r>
      <w:r w:rsidR="00052C3D">
        <w:t>improvement</w:t>
      </w:r>
      <w:r w:rsidR="00052C3D" w:rsidRPr="009D4627">
        <w:t xml:space="preserve"> during</w:t>
      </w:r>
      <w:r w:rsidRPr="009D4627">
        <w:t xml:space="preserve"> the potential recovery period among ocular nerve palsie</w:t>
      </w:r>
      <w:bookmarkStart w:id="568" w:name="_Hlk71906570"/>
      <w:r w:rsidR="00EE6C52" w:rsidRPr="009D4627">
        <w:t>s</w:t>
      </w:r>
      <w:bookmarkEnd w:id="566"/>
      <w:bookmarkEnd w:id="567"/>
    </w:p>
    <w:p w14:paraId="0228CD6A" w14:textId="7DCB81ED" w:rsidR="006A3ED7" w:rsidRDefault="00E64E9E" w:rsidP="001C4840">
      <w:r w:rsidRPr="009D4627">
        <w:t xml:space="preserve">The eye movement programmes proposed for this study were deemed feasible to be applied as a clinical paradigm for monitoring patients with an ocular motility defect to evaluate the progression of the disease. </w:t>
      </w:r>
      <w:r w:rsidR="003D576B" w:rsidRPr="009D4627">
        <w:t xml:space="preserve">Patients had clinically limited ocular motility at the onset of the palsy (see Appendix 6). The condition was </w:t>
      </w:r>
      <w:r w:rsidR="00ED3C16" w:rsidRPr="009D4627">
        <w:t>reflect</w:t>
      </w:r>
      <w:r w:rsidR="003D576B" w:rsidRPr="009D4627">
        <w:t xml:space="preserve">ed with deficiencies in fixation, SP, and saccadic eye movement parameters </w:t>
      </w:r>
      <w:r w:rsidR="00F85EDC">
        <w:t>tested</w:t>
      </w:r>
      <w:r w:rsidR="008828F9">
        <w:t xml:space="preserve"> </w:t>
      </w:r>
      <w:r w:rsidR="003D576B" w:rsidRPr="009D4627">
        <w:t xml:space="preserve">by EMR. </w:t>
      </w:r>
    </w:p>
    <w:p w14:paraId="11DA882F" w14:textId="50EF1764" w:rsidR="00EE6C52" w:rsidRDefault="006A3ED7" w:rsidP="001C4840">
      <w:r>
        <w:t xml:space="preserve">In addition, </w:t>
      </w:r>
      <w:r w:rsidR="003D576B" w:rsidRPr="009D4627">
        <w:t xml:space="preserve">CN III palsy, for example, </w:t>
      </w:r>
      <w:r w:rsidR="00ED3C16" w:rsidRPr="009D4627">
        <w:t>wa</w:t>
      </w:r>
      <w:r w:rsidR="003D576B" w:rsidRPr="009D4627">
        <w:t xml:space="preserve">s </w:t>
      </w:r>
      <w:r w:rsidR="00ED3C16" w:rsidRPr="009D4627">
        <w:t>shown</w:t>
      </w:r>
      <w:r w:rsidR="003D576B" w:rsidRPr="009D4627">
        <w:t xml:space="preserve"> clinically by a limitation of ocular movement toward adduction, elevation, and depression. In the EMR, the condition was reflected by reduced percentage DT, impaired SP parameters at the specified frequency, and poor saccadic parameters toward the </w:t>
      </w:r>
      <w:r w:rsidR="00F85EDC">
        <w:t>affected</w:t>
      </w:r>
      <w:r w:rsidR="003D576B" w:rsidRPr="009D4627">
        <w:t xml:space="preserve"> gaze.</w:t>
      </w:r>
      <w:r w:rsidR="00ED3C16" w:rsidRPr="009D4627">
        <w:t xml:space="preserve"> P</w:t>
      </w:r>
      <w:r w:rsidR="003D576B" w:rsidRPr="009D4627">
        <w:t xml:space="preserve">atients showed clinical improvement with </w:t>
      </w:r>
      <w:r w:rsidR="00F85EDC">
        <w:t>improved</w:t>
      </w:r>
      <w:r w:rsidR="003D576B" w:rsidRPr="009D4627">
        <w:t xml:space="preserve"> motility </w:t>
      </w:r>
      <w:r w:rsidR="00ED3C16" w:rsidRPr="009D4627">
        <w:t>on the subsequent visits</w:t>
      </w:r>
      <w:r w:rsidR="003D576B" w:rsidRPr="009D4627">
        <w:t>, suggesting that they were recovering; corresponding to the EMR parameters</w:t>
      </w:r>
      <w:r w:rsidR="00AD1698">
        <w:t xml:space="preserve"> such as improvement of saccadic latency, peak velocity and gain as well as SP parameters from visit 1 to visit 5 as discussed in detail in Chapter 5, under the result section. </w:t>
      </w:r>
      <w:r w:rsidR="003D576B" w:rsidRPr="009D4627">
        <w:t xml:space="preserve">Thus, the EMR results were consistent with the clinical picture, with improved ocular motility reflecting the improved response in EMR. </w:t>
      </w:r>
    </w:p>
    <w:p w14:paraId="120196C1" w14:textId="6F8C2390" w:rsidR="00D6136C" w:rsidRDefault="00983FFA" w:rsidP="00D6136C">
      <w:r w:rsidRPr="009D4627">
        <w:rPr>
          <w:rFonts w:eastAsia="Times New Roman"/>
          <w:color w:val="auto"/>
          <w:lang w:eastAsia="en-MY"/>
        </w:rPr>
        <w:t>Furthermore, patient</w:t>
      </w:r>
      <w:r w:rsidR="00AD1698">
        <w:rPr>
          <w:rFonts w:eastAsia="Times New Roman"/>
          <w:color w:val="auto"/>
          <w:lang w:eastAsia="en-MY"/>
        </w:rPr>
        <w:t>s</w:t>
      </w:r>
      <w:r w:rsidRPr="009D4627">
        <w:rPr>
          <w:rFonts w:eastAsia="Times New Roman"/>
          <w:color w:val="auto"/>
          <w:lang w:eastAsia="en-MY"/>
        </w:rPr>
        <w:t xml:space="preserve"> with the worst affected ocular motility at the onset of the palsy, showed the most reduced EMR response. For example, Patient ID 2</w:t>
      </w:r>
      <w:r w:rsidR="001027C1" w:rsidRPr="009D4627">
        <w:rPr>
          <w:rFonts w:eastAsia="Times New Roman"/>
          <w:color w:val="auto"/>
          <w:lang w:eastAsia="en-MY"/>
        </w:rPr>
        <w:t xml:space="preserve"> and 3</w:t>
      </w:r>
      <w:r w:rsidR="00BE5902" w:rsidRPr="009D4627">
        <w:rPr>
          <w:rFonts w:eastAsia="Times New Roman"/>
          <w:color w:val="auto"/>
          <w:lang w:eastAsia="en-MY"/>
        </w:rPr>
        <w:t xml:space="preserve"> (</w:t>
      </w:r>
      <w:r w:rsidRPr="009D4627">
        <w:rPr>
          <w:rFonts w:eastAsia="Times New Roman"/>
          <w:color w:val="auto"/>
          <w:lang w:eastAsia="en-MY"/>
        </w:rPr>
        <w:t xml:space="preserve">Appendix 6.2 </w:t>
      </w:r>
      <w:r w:rsidR="001027C1" w:rsidRPr="009D4627">
        <w:rPr>
          <w:rFonts w:eastAsia="Times New Roman"/>
          <w:color w:val="auto"/>
          <w:lang w:eastAsia="en-MY"/>
        </w:rPr>
        <w:t>and 6.3</w:t>
      </w:r>
      <w:r w:rsidR="00BE5902" w:rsidRPr="009D4627">
        <w:rPr>
          <w:rFonts w:eastAsia="Times New Roman"/>
          <w:color w:val="auto"/>
          <w:lang w:eastAsia="en-MY"/>
        </w:rPr>
        <w:t>)</w:t>
      </w:r>
      <w:r w:rsidR="001027C1" w:rsidRPr="009D4627">
        <w:rPr>
          <w:rFonts w:eastAsia="Times New Roman"/>
          <w:color w:val="auto"/>
          <w:lang w:eastAsia="en-MY"/>
        </w:rPr>
        <w:t xml:space="preserve"> </w:t>
      </w:r>
      <w:r w:rsidRPr="009D4627">
        <w:rPr>
          <w:rFonts w:eastAsia="Times New Roman"/>
          <w:color w:val="auto"/>
          <w:lang w:eastAsia="en-MY"/>
        </w:rPr>
        <w:t xml:space="preserve">showed the </w:t>
      </w:r>
      <w:r w:rsidR="00AD1698">
        <w:rPr>
          <w:rFonts w:eastAsia="Times New Roman"/>
          <w:color w:val="auto"/>
          <w:lang w:eastAsia="en-MY"/>
        </w:rPr>
        <w:t>largest</w:t>
      </w:r>
      <w:r w:rsidRPr="009D4627">
        <w:rPr>
          <w:rFonts w:eastAsia="Times New Roman"/>
          <w:color w:val="auto"/>
          <w:lang w:eastAsia="en-MY"/>
        </w:rPr>
        <w:t xml:space="preserve"> ocular motility</w:t>
      </w:r>
      <w:r w:rsidR="00052C3D">
        <w:rPr>
          <w:rFonts w:eastAsia="Times New Roman"/>
          <w:color w:val="auto"/>
          <w:lang w:eastAsia="en-MY"/>
        </w:rPr>
        <w:t xml:space="preserve"> </w:t>
      </w:r>
      <w:r w:rsidR="00AD1698">
        <w:rPr>
          <w:rFonts w:eastAsia="Times New Roman"/>
          <w:color w:val="auto"/>
          <w:lang w:eastAsia="en-MY"/>
        </w:rPr>
        <w:t>deficit</w:t>
      </w:r>
      <w:r w:rsidRPr="009D4627">
        <w:rPr>
          <w:rFonts w:eastAsia="Times New Roman"/>
          <w:color w:val="auto"/>
          <w:lang w:eastAsia="en-MY"/>
        </w:rPr>
        <w:t xml:space="preserve">. He also had the worst EMR </w:t>
      </w:r>
      <w:r w:rsidR="001027C1" w:rsidRPr="009D4627">
        <w:rPr>
          <w:rFonts w:eastAsia="Times New Roman"/>
          <w:color w:val="auto"/>
          <w:lang w:eastAsia="en-MY"/>
        </w:rPr>
        <w:t xml:space="preserve">responses for most of the </w:t>
      </w:r>
      <w:r w:rsidR="00DC3412" w:rsidRPr="009D4627">
        <w:rPr>
          <w:rFonts w:eastAsia="Times New Roman"/>
          <w:color w:val="auto"/>
          <w:lang w:eastAsia="en-MY"/>
        </w:rPr>
        <w:t xml:space="preserve">saccadic </w:t>
      </w:r>
      <w:r w:rsidR="001027C1" w:rsidRPr="009D4627">
        <w:rPr>
          <w:rFonts w:eastAsia="Times New Roman"/>
          <w:color w:val="auto"/>
          <w:lang w:eastAsia="en-MY"/>
        </w:rPr>
        <w:t>parameters at the first visit (</w:t>
      </w:r>
      <w:proofErr w:type="spellStart"/>
      <w:r w:rsidR="001027C1" w:rsidRPr="009D4627">
        <w:rPr>
          <w:rFonts w:eastAsia="Times New Roman"/>
          <w:color w:val="auto"/>
          <w:lang w:eastAsia="en-MY"/>
        </w:rPr>
        <w:t>sac_latency_H</w:t>
      </w:r>
      <w:proofErr w:type="spellEnd"/>
      <w:r w:rsidR="001027C1" w:rsidRPr="009D4627">
        <w:rPr>
          <w:rFonts w:eastAsia="Times New Roman"/>
          <w:color w:val="auto"/>
          <w:lang w:eastAsia="en-MY"/>
        </w:rPr>
        <w:t xml:space="preserve"> = 329 </w:t>
      </w:r>
      <w:proofErr w:type="spellStart"/>
      <w:r w:rsidR="001027C1" w:rsidRPr="009D4627">
        <w:rPr>
          <w:rFonts w:eastAsia="Times New Roman"/>
          <w:color w:val="auto"/>
          <w:lang w:eastAsia="en-MY"/>
        </w:rPr>
        <w:t>ms</w:t>
      </w:r>
      <w:proofErr w:type="spellEnd"/>
      <w:r w:rsidR="00DC3412" w:rsidRPr="009D4627">
        <w:rPr>
          <w:rFonts w:eastAsia="Times New Roman"/>
          <w:color w:val="auto"/>
          <w:lang w:eastAsia="en-MY"/>
        </w:rPr>
        <w:t xml:space="preserve"> and V = 331 </w:t>
      </w:r>
      <w:proofErr w:type="spellStart"/>
      <w:r w:rsidR="00DC3412" w:rsidRPr="009D4627">
        <w:rPr>
          <w:rFonts w:eastAsia="Times New Roman"/>
          <w:color w:val="auto"/>
          <w:lang w:eastAsia="en-MY"/>
        </w:rPr>
        <w:t>ms</w:t>
      </w:r>
      <w:proofErr w:type="spellEnd"/>
      <w:r w:rsidR="001027C1" w:rsidRPr="009D4627">
        <w:rPr>
          <w:rFonts w:eastAsia="Times New Roman"/>
          <w:color w:val="auto"/>
          <w:lang w:eastAsia="en-MY"/>
        </w:rPr>
        <w:t xml:space="preserve">, </w:t>
      </w:r>
      <w:proofErr w:type="spellStart"/>
      <w:r w:rsidR="001027C1" w:rsidRPr="009D4627">
        <w:rPr>
          <w:rFonts w:eastAsia="Times New Roman"/>
          <w:color w:val="auto"/>
          <w:lang w:eastAsia="en-MY"/>
        </w:rPr>
        <w:t>sac_peak</w:t>
      </w:r>
      <w:proofErr w:type="spellEnd"/>
      <w:r w:rsidR="001027C1" w:rsidRPr="009D4627">
        <w:rPr>
          <w:rFonts w:eastAsia="Times New Roman"/>
          <w:color w:val="auto"/>
          <w:lang w:eastAsia="en-MY"/>
        </w:rPr>
        <w:t xml:space="preserve"> </w:t>
      </w:r>
      <w:proofErr w:type="spellStart"/>
      <w:r w:rsidR="001027C1" w:rsidRPr="009D4627">
        <w:rPr>
          <w:rFonts w:eastAsia="Times New Roman"/>
          <w:color w:val="auto"/>
          <w:lang w:eastAsia="en-MY"/>
        </w:rPr>
        <w:t>velocity_H</w:t>
      </w:r>
      <w:proofErr w:type="spellEnd"/>
      <w:r w:rsidR="001027C1" w:rsidRPr="009D4627">
        <w:rPr>
          <w:rFonts w:eastAsia="Times New Roman"/>
          <w:color w:val="auto"/>
          <w:lang w:eastAsia="en-MY"/>
        </w:rPr>
        <w:t xml:space="preserve"> = 90.6 °/s</w:t>
      </w:r>
      <w:r w:rsidR="00DC3412" w:rsidRPr="009D4627">
        <w:rPr>
          <w:rFonts w:eastAsia="Times New Roman"/>
          <w:color w:val="auto"/>
          <w:lang w:eastAsia="en-MY"/>
        </w:rPr>
        <w:t xml:space="preserve"> and V = 137.5</w:t>
      </w:r>
      <w:r w:rsidR="001027C1" w:rsidRPr="009D4627">
        <w:rPr>
          <w:rFonts w:eastAsia="Times New Roman"/>
          <w:color w:val="auto"/>
          <w:lang w:eastAsia="en-MY"/>
        </w:rPr>
        <w:t xml:space="preserve">, </w:t>
      </w:r>
      <w:proofErr w:type="spellStart"/>
      <w:r w:rsidR="00DC3412" w:rsidRPr="009D4627">
        <w:rPr>
          <w:rFonts w:eastAsia="Times New Roman"/>
          <w:color w:val="auto"/>
          <w:lang w:eastAsia="en-MY"/>
        </w:rPr>
        <w:t>sac_gain_H</w:t>
      </w:r>
      <w:proofErr w:type="spellEnd"/>
      <w:r w:rsidR="00DC3412" w:rsidRPr="009D4627">
        <w:rPr>
          <w:rFonts w:eastAsia="Times New Roman"/>
          <w:color w:val="auto"/>
          <w:lang w:eastAsia="en-MY"/>
        </w:rPr>
        <w:t xml:space="preserve"> = 0.3,</w:t>
      </w:r>
      <w:r w:rsidR="001027C1" w:rsidRPr="009D4627">
        <w:rPr>
          <w:rFonts w:eastAsia="Times New Roman"/>
          <w:color w:val="auto"/>
          <w:lang w:eastAsia="en-MY"/>
        </w:rPr>
        <w:t xml:space="preserve"> </w:t>
      </w:r>
      <w:r w:rsidR="00DC3412" w:rsidRPr="009D4627">
        <w:rPr>
          <w:rFonts w:eastAsia="Times New Roman"/>
          <w:color w:val="auto"/>
          <w:lang w:eastAsia="en-MY"/>
        </w:rPr>
        <w:t>and V = 0.6)</w:t>
      </w:r>
      <w:r w:rsidR="001027C1" w:rsidRPr="009D4627">
        <w:rPr>
          <w:rFonts w:eastAsia="Times New Roman"/>
          <w:color w:val="auto"/>
          <w:lang w:eastAsia="en-MY"/>
        </w:rPr>
        <w:t xml:space="preserve">. </w:t>
      </w:r>
      <w:r w:rsidR="00DC3412" w:rsidRPr="009D4627">
        <w:rPr>
          <w:rFonts w:eastAsia="Times New Roman"/>
          <w:color w:val="auto"/>
          <w:lang w:eastAsia="en-MY"/>
        </w:rPr>
        <w:t xml:space="preserve">His SP also showed </w:t>
      </w:r>
      <w:r w:rsidR="00B72017" w:rsidRPr="009D4627">
        <w:rPr>
          <w:rFonts w:eastAsia="Times New Roman"/>
          <w:color w:val="auto"/>
          <w:lang w:eastAsia="en-MY"/>
        </w:rPr>
        <w:t xml:space="preserve">poor responses indicated with high RMSE_H = 1.2 and V = 0.9, and low </w:t>
      </w:r>
      <w:proofErr w:type="spellStart"/>
      <w:r w:rsidR="00B72017" w:rsidRPr="009D4627">
        <w:rPr>
          <w:rFonts w:eastAsia="Times New Roman"/>
          <w:color w:val="auto"/>
          <w:lang w:eastAsia="en-MY"/>
        </w:rPr>
        <w:t>gain_H</w:t>
      </w:r>
      <w:proofErr w:type="spellEnd"/>
      <w:r w:rsidR="00B72017" w:rsidRPr="009D4627">
        <w:rPr>
          <w:rFonts w:eastAsia="Times New Roman"/>
          <w:color w:val="auto"/>
          <w:lang w:eastAsia="en-MY"/>
        </w:rPr>
        <w:t xml:space="preserve"> = 0.6 and V = 0.7. Therefore, this </w:t>
      </w:r>
      <w:r w:rsidR="001F38FA">
        <w:rPr>
          <w:rFonts w:eastAsia="Times New Roman"/>
          <w:color w:val="auto"/>
          <w:lang w:eastAsia="en-MY"/>
        </w:rPr>
        <w:t>support</w:t>
      </w:r>
      <w:r w:rsidR="00AD1698">
        <w:rPr>
          <w:rFonts w:eastAsia="Times New Roman"/>
          <w:color w:val="auto"/>
          <w:lang w:eastAsia="en-MY"/>
        </w:rPr>
        <w:t>s the premises</w:t>
      </w:r>
      <w:r w:rsidR="00B72017" w:rsidRPr="009D4627">
        <w:rPr>
          <w:rFonts w:eastAsia="Times New Roman"/>
          <w:color w:val="auto"/>
          <w:lang w:eastAsia="en-MY"/>
        </w:rPr>
        <w:t xml:space="preserve"> that EMR </w:t>
      </w:r>
      <w:r w:rsidR="00AD1698" w:rsidRPr="009D4627">
        <w:rPr>
          <w:rFonts w:eastAsia="Times New Roman"/>
          <w:color w:val="auto"/>
          <w:lang w:eastAsia="en-MY"/>
        </w:rPr>
        <w:t>response</w:t>
      </w:r>
      <w:r w:rsidR="00AD1698">
        <w:rPr>
          <w:rFonts w:eastAsia="Times New Roman"/>
          <w:color w:val="auto"/>
          <w:lang w:eastAsia="en-MY"/>
        </w:rPr>
        <w:t xml:space="preserve">s </w:t>
      </w:r>
      <w:r w:rsidR="00B72017" w:rsidRPr="009D4627">
        <w:rPr>
          <w:rFonts w:eastAsia="Times New Roman"/>
          <w:color w:val="auto"/>
          <w:lang w:eastAsia="en-MY"/>
        </w:rPr>
        <w:t xml:space="preserve">reflected the ocular motility </w:t>
      </w:r>
      <w:r w:rsidR="00052C3D" w:rsidRPr="009D4627">
        <w:rPr>
          <w:rFonts w:eastAsia="Times New Roman"/>
          <w:color w:val="auto"/>
          <w:lang w:eastAsia="en-MY"/>
        </w:rPr>
        <w:t xml:space="preserve">assessed </w:t>
      </w:r>
      <w:r w:rsidR="00052C3D" w:rsidRPr="009D4627">
        <w:rPr>
          <w:rFonts w:eastAsia="Times New Roman"/>
          <w:color w:val="auto"/>
          <w:lang w:eastAsia="en-MY"/>
        </w:rPr>
        <w:lastRenderedPageBreak/>
        <w:t>in</w:t>
      </w:r>
      <w:r w:rsidR="00B72017" w:rsidRPr="009D4627">
        <w:rPr>
          <w:rFonts w:eastAsia="Times New Roman"/>
          <w:color w:val="auto"/>
          <w:lang w:eastAsia="en-MY"/>
        </w:rPr>
        <w:t xml:space="preserve"> the clinic.</w:t>
      </w:r>
      <w:r w:rsidR="00E23D20">
        <w:rPr>
          <w:rFonts w:eastAsia="Times New Roman"/>
          <w:color w:val="auto"/>
          <w:lang w:eastAsia="en-MY"/>
        </w:rPr>
        <w:t xml:space="preserve"> </w:t>
      </w:r>
      <w:r w:rsidR="00D6136C" w:rsidRPr="009D4627">
        <w:t xml:space="preserve">The recovery rate of patients varies despite experiencing similar types of ONP. For example, patient 10 (left CN VI palsy) had a greater initial PCT than patient 7 (right CN VI palsy). The former showed a faster rate of recovery of ocular motility and a faster </w:t>
      </w:r>
      <w:r w:rsidR="00AD1698">
        <w:t>improvement</w:t>
      </w:r>
      <w:r w:rsidR="00D6136C" w:rsidRPr="009D4627">
        <w:t xml:space="preserve"> in EMR than the latter. </w:t>
      </w:r>
    </w:p>
    <w:p w14:paraId="749518D6" w14:textId="07C31FD6" w:rsidR="00327838" w:rsidRDefault="00327838" w:rsidP="00327838">
      <w:pPr>
        <w:rPr>
          <w:rFonts w:eastAsia="Times New Roman"/>
          <w:color w:val="auto"/>
          <w:lang w:eastAsia="en-MY"/>
        </w:rPr>
      </w:pPr>
      <w:r>
        <w:rPr>
          <w:rFonts w:eastAsia="Times New Roman"/>
          <w:color w:val="auto"/>
          <w:lang w:eastAsia="en-MY"/>
        </w:rPr>
        <w:t xml:space="preserve">An outstanding feature of this DV software is allowing the examiner to easily compare the patient performance by visit </w:t>
      </w:r>
      <w:r w:rsidR="00160B34">
        <w:rPr>
          <w:rFonts w:eastAsia="Times New Roman"/>
          <w:color w:val="auto"/>
          <w:lang w:eastAsia="en-MY"/>
        </w:rPr>
        <w:t xml:space="preserve">for </w:t>
      </w:r>
      <w:r w:rsidR="00AD1698">
        <w:rPr>
          <w:rFonts w:eastAsia="Times New Roman"/>
          <w:color w:val="auto"/>
          <w:lang w:eastAsia="en-MY"/>
        </w:rPr>
        <w:t>every</w:t>
      </w:r>
      <w:r>
        <w:rPr>
          <w:rFonts w:eastAsia="Times New Roman"/>
          <w:color w:val="auto"/>
          <w:lang w:eastAsia="en-MY"/>
        </w:rPr>
        <w:t xml:space="preserve"> trial frequency. Therefore, it provides a good clinical picture for monitoring SP as well as other type of eye movement performance across time (Figure 6.1). This feature is time efficient compared to manually searching for the clinical patient reports and try</w:t>
      </w:r>
      <w:r w:rsidR="00526A7C">
        <w:rPr>
          <w:rFonts w:eastAsia="Times New Roman"/>
          <w:color w:val="auto"/>
          <w:lang w:eastAsia="en-MY"/>
        </w:rPr>
        <w:t>ing</w:t>
      </w:r>
      <w:r>
        <w:rPr>
          <w:rFonts w:eastAsia="Times New Roman"/>
          <w:color w:val="auto"/>
          <w:lang w:eastAsia="en-MY"/>
        </w:rPr>
        <w:t xml:space="preserve"> to compare them visit by visit.</w:t>
      </w:r>
    </w:p>
    <w:p w14:paraId="2A24A948" w14:textId="77777777" w:rsidR="00BA4D6B" w:rsidRDefault="006A3ED7" w:rsidP="00BA4D6B">
      <w:pPr>
        <w:spacing w:after="0" w:line="240" w:lineRule="auto"/>
      </w:pPr>
      <w:r>
        <w:rPr>
          <w:noProof/>
        </w:rPr>
        <w:drawing>
          <wp:inline distT="0" distB="0" distL="0" distR="0" wp14:anchorId="3FDF78C9" wp14:editId="5E2E721D">
            <wp:extent cx="5731510" cy="322262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8" cstate="screen">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bookmarkStart w:id="569" w:name="_Toc98569781"/>
    </w:p>
    <w:p w14:paraId="48E9B4B3" w14:textId="438F75C9" w:rsidR="006A3ED7" w:rsidRDefault="006A3ED7" w:rsidP="00BA4D6B">
      <w:pPr>
        <w:spacing w:line="240" w:lineRule="auto"/>
      </w:pPr>
      <w:r>
        <w:t>Figure 6.</w:t>
      </w:r>
      <w:r w:rsidR="007E7CC8">
        <w:fldChar w:fldCharType="begin"/>
      </w:r>
      <w:r w:rsidR="007E7CC8">
        <w:instrText xml:space="preserve"> SEQ Figure_6. \* ARABIC </w:instrText>
      </w:r>
      <w:r w:rsidR="007E7CC8">
        <w:fldChar w:fldCharType="separate"/>
      </w:r>
      <w:r w:rsidR="00E268F6">
        <w:rPr>
          <w:noProof/>
        </w:rPr>
        <w:t>1</w:t>
      </w:r>
      <w:r w:rsidR="007E7CC8">
        <w:rPr>
          <w:noProof/>
        </w:rPr>
        <w:fldChar w:fldCharType="end"/>
      </w:r>
      <w:r>
        <w:t xml:space="preserve">: </w:t>
      </w:r>
      <w:r w:rsidR="005B2F6E">
        <w:t>A sample of output in DV software. Patient’s SP performance of all follow-up visits is imported into a single viewing pane and separated according to trial frequency.</w:t>
      </w:r>
      <w:bookmarkEnd w:id="569"/>
    </w:p>
    <w:p w14:paraId="151D8DF2" w14:textId="3DA41A03" w:rsidR="004C54A2" w:rsidRDefault="005B2F6E" w:rsidP="006A3ED7">
      <w:r w:rsidRPr="00804782">
        <w:t>Additionally, data was extracted into an excel worksheet to analyse saccadic performance. If a patient has multiple visits, this can be identified using the coding established during the EMR assessment, allowing for easy tracing of data.</w:t>
      </w:r>
      <w:r>
        <w:t xml:space="preserve"> However, r</w:t>
      </w:r>
      <w:r w:rsidRPr="002E400D">
        <w:t xml:space="preserve">ows and rows of raw data in </w:t>
      </w:r>
      <w:r w:rsidRPr="002E400D">
        <w:lastRenderedPageBreak/>
        <w:t xml:space="preserve">spreadsheets might be difficult to </w:t>
      </w:r>
      <w:r>
        <w:t xml:space="preserve">filter </w:t>
      </w:r>
      <w:r w:rsidRPr="002E400D">
        <w:t>through</w:t>
      </w:r>
      <w:r>
        <w:t xml:space="preserve"> to get the deeper meaning, as shown in Figure 6.2. </w:t>
      </w:r>
      <w:r w:rsidRPr="002E400D">
        <w:t xml:space="preserve">Datasets can be difficult to interpret, especially as they </w:t>
      </w:r>
      <w:r>
        <w:t>expand</w:t>
      </w:r>
      <w:r w:rsidRPr="002E400D">
        <w:t xml:space="preserve">. Numerical summaries can be beneficial but might be confusing if they are large </w:t>
      </w:r>
      <w:r>
        <w:fldChar w:fldCharType="begin"/>
      </w:r>
      <w:r>
        <w:instrText xml:space="preserve"> ADDIN EN.CITE &lt;EndNote&gt;&lt;Cite&gt;&lt;Author&gt;Miller&lt;/Author&gt;&lt;Year&gt;2014&lt;/Year&gt;&lt;IDText&gt;Introduction to Using Excel® Pivot Tables and Pivot Charts to Increase Efficiency in Library Data Analysis and Illustration&lt;/IDText&gt;&lt;DisplayText&gt;(Miller, 2014)&lt;/DisplayText&gt;&lt;record&gt;&lt;keywords&gt;&lt;keyword&gt;Analysis&lt;/keyword&gt;&lt;keyword&gt;Excel® PivotCharts&lt;/keyword&gt;&lt;keyword&gt;Excel® PivotTables&lt;/keyword&gt;&lt;keyword&gt;Librarians&lt;/keyword&gt;&lt;keyword&gt;library data analysis&lt;/keyword&gt;&lt;keyword&gt;library data illustration&lt;/keyword&gt;&lt;keyword&gt;pivot charts&lt;/keyword&gt;&lt;keyword&gt;pivot tables&lt;/keyword&gt;&lt;keyword&gt;Practice&lt;/keyword&gt;&lt;keyword&gt;Skill learning&lt;/keyword&gt;&lt;keyword&gt;Spreadsheets&lt;/keyword&gt;&lt;keyword&gt;Training&lt;/keyword&gt;&lt;keyword&gt;Usage&lt;/keyword&gt;&lt;/keywords&gt;&lt;isbn&gt;0193-0826&lt;/isbn&gt;&lt;titles&gt;&lt;title&gt;Introduction to Using Excel® Pivot Tables and Pivot Charts to Increase Efficiency in Library Data Analysis and Illustration&lt;/title&gt;&lt;secondary-title&gt;Journal of library administration&lt;/secondary-title&gt;&lt;/titles&gt;&lt;pages&gt;94-106&lt;/pages&gt;&lt;number&gt;2&lt;/number&gt;&lt;contributors&gt;&lt;authors&gt;&lt;author&gt;Miller, Andrea&lt;/author&gt;&lt;/authors&gt;&lt;/contributors&gt;&lt;added-date format="utc"&gt;1647490673&lt;/added-date&gt;&lt;ref-type name="Journal Article"&gt;17&lt;/ref-type&gt;&lt;dates&gt;&lt;year&gt;2014&lt;/year&gt;&lt;/dates&gt;&lt;rec-number&gt;834&lt;/rec-number&gt;&lt;publisher&gt;Routledge&lt;/publisher&gt;&lt;last-updated-date format="utc"&gt;1647490673&lt;/last-updated-date&gt;&lt;electronic-resource-num&gt;10.1080/01930826.2014.903365&lt;/electronic-resource-num&gt;&lt;volume&gt;54&lt;/volume&gt;&lt;/record&gt;&lt;/Cite&gt;&lt;/EndNote&gt;</w:instrText>
      </w:r>
      <w:r>
        <w:fldChar w:fldCharType="separate"/>
      </w:r>
      <w:r>
        <w:rPr>
          <w:noProof/>
        </w:rPr>
        <w:t>(Miller, 2014)</w:t>
      </w:r>
      <w:r>
        <w:fldChar w:fldCharType="end"/>
      </w:r>
      <w:r>
        <w:t xml:space="preserve">. </w:t>
      </w:r>
      <w:r w:rsidRPr="00F818E8">
        <w:t>Excel® includes various powerful features that can save users many hours of tiresome and unproductive effort. For example, pivot tables and pivot charts are powerful tools that may significantly speed up the process of evaluating data by making it practically quick, visually pleasing, and efficient</w:t>
      </w:r>
      <w:r>
        <w:t xml:space="preserve"> </w:t>
      </w:r>
      <w:r>
        <w:fldChar w:fldCharType="begin"/>
      </w:r>
      <w:r>
        <w:instrText xml:space="preserve"> ADDIN EN.CITE &lt;EndNote&gt;&lt;Cite&gt;&lt;Author&gt;Miller&lt;/Author&gt;&lt;Year&gt;2014&lt;/Year&gt;&lt;IDText&gt;Introduction to Using Excel® Pivot Tables and Pivot Charts to Increase Efficiency in Library Data Analysis and Illustration&lt;/IDText&gt;&lt;DisplayText&gt;(Miller, 2014)&lt;/DisplayText&gt;&lt;record&gt;&lt;keywords&gt;&lt;keyword&gt;Analysis&lt;/keyword&gt;&lt;keyword&gt;Excel® PivotCharts&lt;/keyword&gt;&lt;keyword&gt;Excel® PivotTables&lt;/keyword&gt;&lt;keyword&gt;Librarians&lt;/keyword&gt;&lt;keyword&gt;library data analysis&lt;/keyword&gt;&lt;keyword&gt;library data illustration&lt;/keyword&gt;&lt;keyword&gt;pivot charts&lt;/keyword&gt;&lt;keyword&gt;pivot tables&lt;/keyword&gt;&lt;keyword&gt;Practice&lt;/keyword&gt;&lt;keyword&gt;Skill learning&lt;/keyword&gt;&lt;keyword&gt;Spreadsheets&lt;/keyword&gt;&lt;keyword&gt;Training&lt;/keyword&gt;&lt;keyword&gt;Usage&lt;/keyword&gt;&lt;/keywords&gt;&lt;isbn&gt;0193-0826&lt;/isbn&gt;&lt;titles&gt;&lt;title&gt;Introduction to Using Excel® Pivot Tables and Pivot Charts to Increase Efficiency in Library Data Analysis and Illustration&lt;/title&gt;&lt;secondary-title&gt;Journal of library administration&lt;/secondary-title&gt;&lt;/titles&gt;&lt;pages&gt;94-106&lt;/pages&gt;&lt;number&gt;2&lt;/number&gt;&lt;contributors&gt;&lt;authors&gt;&lt;author&gt;Miller, Andrea&lt;/author&gt;&lt;/authors&gt;&lt;/contributors&gt;&lt;added-date format="utc"&gt;1647490673&lt;/added-date&gt;&lt;ref-type name="Journal Article"&gt;17&lt;/ref-type&gt;&lt;dates&gt;&lt;year&gt;2014&lt;/year&gt;&lt;/dates&gt;&lt;rec-number&gt;834&lt;/rec-number&gt;&lt;publisher&gt;Routledge&lt;/publisher&gt;&lt;last-updated-date format="utc"&gt;1647490673&lt;/last-updated-date&gt;&lt;electronic-resource-num&gt;10.1080/01930826.2014.903365&lt;/electronic-resource-num&gt;&lt;volume&gt;54&lt;/volume&gt;&lt;/record&gt;&lt;/Cite&gt;&lt;/EndNote&gt;</w:instrText>
      </w:r>
      <w:r>
        <w:fldChar w:fldCharType="separate"/>
      </w:r>
      <w:r>
        <w:rPr>
          <w:noProof/>
        </w:rPr>
        <w:t>(Miller, 2014)</w:t>
      </w:r>
      <w:r>
        <w:fldChar w:fldCharType="end"/>
      </w:r>
      <w:r w:rsidR="00F818E8" w:rsidRPr="00F818E8">
        <w:t>.</w:t>
      </w:r>
    </w:p>
    <w:p w14:paraId="2AD85FE1" w14:textId="77777777" w:rsidR="004C54A2" w:rsidRDefault="004C54A2" w:rsidP="00BA4D6B">
      <w:pPr>
        <w:keepNext/>
        <w:spacing w:after="0" w:line="240" w:lineRule="auto"/>
      </w:pPr>
      <w:r>
        <w:rPr>
          <w:noProof/>
        </w:rPr>
        <w:drawing>
          <wp:inline distT="0" distB="0" distL="0" distR="0" wp14:anchorId="24B684AD" wp14:editId="36DCB374">
            <wp:extent cx="5731510" cy="2988905"/>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extLst>
                        <a:ext uri="{28A0092B-C50C-407E-A947-70E740481C1C}">
                          <a14:useLocalDpi xmlns:a14="http://schemas.microsoft.com/office/drawing/2010/main" val="0"/>
                        </a:ext>
                      </a:extLst>
                    </a:blip>
                    <a:srcRect/>
                    <a:stretch/>
                  </pic:blipFill>
                  <pic:spPr bwMode="auto">
                    <a:xfrm>
                      <a:off x="0" y="0"/>
                      <a:ext cx="5731510" cy="2988905"/>
                    </a:xfrm>
                    <a:prstGeom prst="rect">
                      <a:avLst/>
                    </a:prstGeom>
                    <a:ln>
                      <a:noFill/>
                    </a:ln>
                    <a:extLst>
                      <a:ext uri="{53640926-AAD7-44D8-BBD7-CCE9431645EC}">
                        <a14:shadowObscured xmlns:a14="http://schemas.microsoft.com/office/drawing/2010/main"/>
                      </a:ext>
                    </a:extLst>
                  </pic:spPr>
                </pic:pic>
              </a:graphicData>
            </a:graphic>
          </wp:inline>
        </w:drawing>
      </w:r>
    </w:p>
    <w:p w14:paraId="4ACAC5D4" w14:textId="59DDBC1F" w:rsidR="00327838" w:rsidRDefault="004C54A2" w:rsidP="00C4130D">
      <w:pPr>
        <w:pStyle w:val="Caption"/>
      </w:pPr>
      <w:bookmarkStart w:id="570" w:name="_Toc98569782"/>
      <w:r>
        <w:t xml:space="preserve">Figure 6. </w:t>
      </w:r>
      <w:r>
        <w:fldChar w:fldCharType="begin"/>
      </w:r>
      <w:r>
        <w:instrText xml:space="preserve"> SEQ Figure_6. \* ARABIC </w:instrText>
      </w:r>
      <w:r>
        <w:fldChar w:fldCharType="separate"/>
      </w:r>
      <w:r w:rsidR="00E268F6">
        <w:rPr>
          <w:noProof/>
        </w:rPr>
        <w:t>2</w:t>
      </w:r>
      <w:r>
        <w:fldChar w:fldCharType="end"/>
      </w:r>
      <w:r>
        <w:t xml:space="preserve">: </w:t>
      </w:r>
      <w:r w:rsidR="00327838">
        <w:t>Example of saccade source data formatted in regular table.</w:t>
      </w:r>
      <w:bookmarkEnd w:id="570"/>
    </w:p>
    <w:p w14:paraId="6F37F7F6" w14:textId="77777777" w:rsidR="00BA4D6B" w:rsidRPr="00BA4D6B" w:rsidRDefault="00BA4D6B" w:rsidP="00BA4D6B">
      <w:pPr>
        <w:spacing w:before="0" w:after="0"/>
        <w:rPr>
          <w:lang w:val="en-MY" w:eastAsia="en-MY"/>
        </w:rPr>
      </w:pPr>
    </w:p>
    <w:p w14:paraId="5663C504" w14:textId="63A91674" w:rsidR="00F818E8" w:rsidRDefault="00327838" w:rsidP="00BA4D6B">
      <w:pPr>
        <w:spacing w:before="0"/>
      </w:pPr>
      <w:r>
        <w:t>T</w:t>
      </w:r>
      <w:r w:rsidR="005B2F6E" w:rsidRPr="002E400D">
        <w:t>o save time and effort, these simple-to-use tools can be applied, eliminating the need to manually build formulas or to manually sort and resort data.</w:t>
      </w:r>
      <w:r w:rsidR="005B2F6E">
        <w:t xml:space="preserve"> It</w:t>
      </w:r>
      <w:r w:rsidR="005B2F6E" w:rsidRPr="002E400D">
        <w:t xml:space="preserve"> simplifies the process of organising and summarising data, as well as comparing it and identifying patterns.</w:t>
      </w:r>
      <w:r w:rsidR="005B2F6E">
        <w:t xml:space="preserve"> </w:t>
      </w:r>
      <w:r w:rsidR="005B2F6E" w:rsidRPr="004E0A62">
        <w:t>Pivot tables and pivot charts are dynamic and allow their content to be modified instantaneously</w:t>
      </w:r>
      <w:r w:rsidR="005B2F6E">
        <w:t xml:space="preserve"> </w:t>
      </w:r>
      <w:r w:rsidR="005B2F6E">
        <w:fldChar w:fldCharType="begin"/>
      </w:r>
      <w:r w:rsidR="005B2F6E">
        <w:instrText xml:space="preserve"> ADDIN EN.CITE &lt;EndNote&gt;&lt;Cite&gt;&lt;Author&gt;Miller&lt;/Author&gt;&lt;Year&gt;2014&lt;/Year&gt;&lt;IDText&gt;Introduction to Using Excel® Pivot Tables and Pivot Charts to Increase Efficiency in Library Data Analysis and Illustration&lt;/IDText&gt;&lt;DisplayText&gt;(Miller, 2014)&lt;/DisplayText&gt;&lt;record&gt;&lt;keywords&gt;&lt;keyword&gt;Analysis&lt;/keyword&gt;&lt;keyword&gt;Excel® PivotCharts&lt;/keyword&gt;&lt;keyword&gt;Excel® PivotTables&lt;/keyword&gt;&lt;keyword&gt;Librarians&lt;/keyword&gt;&lt;keyword&gt;library data analysis&lt;/keyword&gt;&lt;keyword&gt;library data illustration&lt;/keyword&gt;&lt;keyword&gt;pivot charts&lt;/keyword&gt;&lt;keyword&gt;pivot tables&lt;/keyword&gt;&lt;keyword&gt;Practice&lt;/keyword&gt;&lt;keyword&gt;Skill learning&lt;/keyword&gt;&lt;keyword&gt;Spreadsheets&lt;/keyword&gt;&lt;keyword&gt;Training&lt;/keyword&gt;&lt;keyword&gt;Usage&lt;/keyword&gt;&lt;/keywords&gt;&lt;isbn&gt;0193-0826&lt;/isbn&gt;&lt;titles&gt;&lt;title&gt;Introduction to Using Excel® Pivot Tables and Pivot Charts to Increase Efficiency in Library Data Analysis and Illustration&lt;/title&gt;&lt;secondary-title&gt;Journal of library administration&lt;/secondary-title&gt;&lt;/titles&gt;&lt;pages&gt;94-106&lt;/pages&gt;&lt;number&gt;2&lt;/number&gt;&lt;contributors&gt;&lt;authors&gt;&lt;author&gt;Miller, Andrea&lt;/author&gt;&lt;/authors&gt;&lt;/contributors&gt;&lt;added-date format="utc"&gt;1647490673&lt;/added-date&gt;&lt;ref-type name="Journal Article"&gt;17&lt;/ref-type&gt;&lt;dates&gt;&lt;year&gt;2014&lt;/year&gt;&lt;/dates&gt;&lt;rec-number&gt;834&lt;/rec-number&gt;&lt;publisher&gt;Routledge&lt;/publisher&gt;&lt;last-updated-date format="utc"&gt;1647490673&lt;/last-updated-date&gt;&lt;electronic-resource-num&gt;10.1080/01930826.2014.903365&lt;/electronic-resource-num&gt;&lt;volume&gt;54&lt;/volume&gt;&lt;/record&gt;&lt;/Cite&gt;&lt;/EndNote&gt;</w:instrText>
      </w:r>
      <w:r w:rsidR="005B2F6E">
        <w:fldChar w:fldCharType="separate"/>
      </w:r>
      <w:r w:rsidR="005B2F6E">
        <w:rPr>
          <w:noProof/>
        </w:rPr>
        <w:t>(Miller, 2014)</w:t>
      </w:r>
      <w:r w:rsidR="005B2F6E">
        <w:fldChar w:fldCharType="end"/>
      </w:r>
      <w:r w:rsidR="005B2F6E" w:rsidRPr="004E0A62">
        <w:t xml:space="preserve">. </w:t>
      </w:r>
      <w:r w:rsidR="004C54A2" w:rsidRPr="004E0A62">
        <w:t>In contrast, traditional tables may need substantial work to rearrange the data to produce answers.</w:t>
      </w:r>
      <w:r w:rsidR="004C54A2">
        <w:t xml:space="preserve"> </w:t>
      </w:r>
      <w:r w:rsidR="00B6224A" w:rsidRPr="00B6224A">
        <w:t>Field variables can also be moved around and filters can be used</w:t>
      </w:r>
      <w:r w:rsidR="000F7EE1">
        <w:t xml:space="preserve"> (Figure 6.3)</w:t>
      </w:r>
      <w:r w:rsidR="00B6224A" w:rsidRPr="00B6224A">
        <w:t xml:space="preserve">. </w:t>
      </w:r>
      <w:r w:rsidR="004C54A2">
        <w:t>Therefore,</w:t>
      </w:r>
      <w:r w:rsidR="004C54A2" w:rsidRPr="00C85A23">
        <w:t xml:space="preserve"> the pivot table is beneficial for efficiently evaluating the EMR's performance at each </w:t>
      </w:r>
      <w:r w:rsidR="004C54A2" w:rsidRPr="00C85A23">
        <w:lastRenderedPageBreak/>
        <w:t xml:space="preserve">follow-up appointment. </w:t>
      </w:r>
      <w:r w:rsidR="001D16F5" w:rsidRPr="001D16F5">
        <w:t>Elements of the pivot table or chart can be collapsed or expanded to focus on specific data points within the broader results set</w:t>
      </w:r>
      <w:r w:rsidR="001D16F5">
        <w:t xml:space="preserve"> (Figure 6.4</w:t>
      </w:r>
      <w:r w:rsidR="00F818E8">
        <w:t xml:space="preserve"> </w:t>
      </w:r>
      <w:r w:rsidR="001D16F5">
        <w:t>and 6.</w:t>
      </w:r>
      <w:r w:rsidR="001F38FA">
        <w:t>5</w:t>
      </w:r>
      <w:r w:rsidR="001D16F5">
        <w:t>)</w:t>
      </w:r>
      <w:r w:rsidR="001D16F5" w:rsidRPr="001D16F5">
        <w:t>.</w:t>
      </w:r>
      <w:r w:rsidR="001D16F5">
        <w:t xml:space="preserve"> </w:t>
      </w:r>
      <w:r w:rsidR="00F818E8" w:rsidRPr="009D4627">
        <w:t xml:space="preserve">The bar chart produced in the Excel worksheet was very illustrative and impressive, which allows us to convey confirmation of the </w:t>
      </w:r>
      <w:r w:rsidR="00AD1698">
        <w:t>motility</w:t>
      </w:r>
      <w:r w:rsidR="00F818E8">
        <w:t xml:space="preserve"> r</w:t>
      </w:r>
      <w:r w:rsidR="00F818E8" w:rsidRPr="009D4627">
        <w:t xml:space="preserve">ecovery to the patient. </w:t>
      </w:r>
      <w:r w:rsidR="001F38FA" w:rsidRPr="001F38FA">
        <w:t>Pivot tables and pivot charts can help make complex data more understandable and visually engaging.</w:t>
      </w:r>
      <w:r w:rsidR="001F38FA">
        <w:t xml:space="preserve"> </w:t>
      </w:r>
      <w:r w:rsidR="00E313DB" w:rsidRPr="00E313DB">
        <w:t>However, no study has been published on the use of pivot tables to aid in the monitoring of disease progression over time.</w:t>
      </w:r>
    </w:p>
    <w:p w14:paraId="446C2B3E" w14:textId="77777777" w:rsidR="00B6224A" w:rsidRDefault="00B6224A" w:rsidP="00526A7C">
      <w:pPr>
        <w:keepNext/>
        <w:spacing w:before="0" w:line="240" w:lineRule="auto"/>
        <w:jc w:val="center"/>
      </w:pPr>
      <w:r>
        <w:rPr>
          <w:noProof/>
        </w:rPr>
        <w:drawing>
          <wp:inline distT="0" distB="0" distL="0" distR="0" wp14:anchorId="3D6128AB" wp14:editId="02960618">
            <wp:extent cx="2018986" cy="288000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screen">
                      <a:extLst>
                        <a:ext uri="{28A0092B-C50C-407E-A947-70E740481C1C}">
                          <a14:useLocalDpi xmlns:a14="http://schemas.microsoft.com/office/drawing/2010/main" val="0"/>
                        </a:ext>
                      </a:extLst>
                    </a:blip>
                    <a:srcRect/>
                    <a:stretch/>
                  </pic:blipFill>
                  <pic:spPr bwMode="auto">
                    <a:xfrm>
                      <a:off x="0" y="0"/>
                      <a:ext cx="2018986" cy="2880000"/>
                    </a:xfrm>
                    <a:prstGeom prst="rect">
                      <a:avLst/>
                    </a:prstGeom>
                    <a:ln>
                      <a:noFill/>
                    </a:ln>
                    <a:extLst>
                      <a:ext uri="{53640926-AAD7-44D8-BBD7-CCE9431645EC}">
                        <a14:shadowObscured xmlns:a14="http://schemas.microsoft.com/office/drawing/2010/main"/>
                      </a:ext>
                    </a:extLst>
                  </pic:spPr>
                </pic:pic>
              </a:graphicData>
            </a:graphic>
          </wp:inline>
        </w:drawing>
      </w:r>
    </w:p>
    <w:p w14:paraId="2BA63DE1" w14:textId="5DA1169C" w:rsidR="00B6224A" w:rsidRDefault="00B6224A" w:rsidP="00C4130D">
      <w:pPr>
        <w:pStyle w:val="Caption"/>
      </w:pPr>
      <w:bookmarkStart w:id="571" w:name="_Toc98569783"/>
      <w:r>
        <w:t>Figure 6.</w:t>
      </w:r>
      <w:r>
        <w:fldChar w:fldCharType="begin"/>
      </w:r>
      <w:r>
        <w:instrText xml:space="preserve"> SEQ Figure_6. \* ARABIC </w:instrText>
      </w:r>
      <w:r>
        <w:fldChar w:fldCharType="separate"/>
      </w:r>
      <w:r w:rsidR="00E268F6">
        <w:rPr>
          <w:noProof/>
        </w:rPr>
        <w:t>3</w:t>
      </w:r>
      <w:r>
        <w:fldChar w:fldCharType="end"/>
      </w:r>
      <w:r>
        <w:t xml:space="preserve">: </w:t>
      </w:r>
      <w:r w:rsidR="00670DBD">
        <w:t>Example of pivot table fields. The items under the “Filters”, “Columns”, “Rows” and “Values” can be moves freely to get different data rep</w:t>
      </w:r>
      <w:r w:rsidR="00F818E8">
        <w:t>re</w:t>
      </w:r>
      <w:r w:rsidR="00670DBD">
        <w:t>sentation.</w:t>
      </w:r>
      <w:bookmarkEnd w:id="571"/>
    </w:p>
    <w:p w14:paraId="05A2DB79" w14:textId="77777777" w:rsidR="00526A7C" w:rsidRPr="00526A7C" w:rsidRDefault="00526A7C" w:rsidP="00526A7C">
      <w:pPr>
        <w:rPr>
          <w:lang w:val="en-MY" w:eastAsia="en-MY"/>
        </w:rPr>
      </w:pPr>
    </w:p>
    <w:p w14:paraId="6BE88E5F" w14:textId="4926738F" w:rsidR="00FD1B07" w:rsidRDefault="00FD1B07" w:rsidP="001D16F5">
      <w:pPr>
        <w:spacing w:after="0" w:line="240" w:lineRule="auto"/>
        <w:jc w:val="left"/>
      </w:pPr>
      <w:r>
        <w:rPr>
          <w:noProof/>
        </w:rPr>
        <w:lastRenderedPageBreak/>
        <w:drawing>
          <wp:inline distT="0" distB="0" distL="0" distR="0" wp14:anchorId="4B99A358" wp14:editId="63586F11">
            <wp:extent cx="2006497" cy="216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cstate="screen">
                      <a:extLst>
                        <a:ext uri="{28A0092B-C50C-407E-A947-70E740481C1C}">
                          <a14:useLocalDpi xmlns:a14="http://schemas.microsoft.com/office/drawing/2010/main" val="0"/>
                        </a:ext>
                      </a:extLst>
                    </a:blip>
                    <a:srcRect/>
                    <a:stretch/>
                  </pic:blipFill>
                  <pic:spPr bwMode="auto">
                    <a:xfrm>
                      <a:off x="0" y="0"/>
                      <a:ext cx="2006497" cy="2160000"/>
                    </a:xfrm>
                    <a:prstGeom prst="rect">
                      <a:avLst/>
                    </a:prstGeom>
                    <a:ln>
                      <a:noFill/>
                    </a:ln>
                    <a:extLst>
                      <a:ext uri="{53640926-AAD7-44D8-BBD7-CCE9431645EC}">
                        <a14:shadowObscured xmlns:a14="http://schemas.microsoft.com/office/drawing/2010/main"/>
                      </a:ext>
                    </a:extLst>
                  </pic:spPr>
                </pic:pic>
              </a:graphicData>
            </a:graphic>
          </wp:inline>
        </w:drawing>
      </w:r>
      <w:r w:rsidR="001D16F5">
        <w:t xml:space="preserve">                   </w:t>
      </w:r>
      <w:r w:rsidR="001D16F5">
        <w:rPr>
          <w:noProof/>
        </w:rPr>
        <w:drawing>
          <wp:inline distT="0" distB="0" distL="0" distR="0" wp14:anchorId="6D55CEEA" wp14:editId="05C55940">
            <wp:extent cx="2480000" cy="216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screen">
                      <a:extLst>
                        <a:ext uri="{28A0092B-C50C-407E-A947-70E740481C1C}">
                          <a14:useLocalDpi xmlns:a14="http://schemas.microsoft.com/office/drawing/2010/main" val="0"/>
                        </a:ext>
                      </a:extLst>
                    </a:blip>
                    <a:srcRect/>
                    <a:stretch/>
                  </pic:blipFill>
                  <pic:spPr bwMode="auto">
                    <a:xfrm>
                      <a:off x="0" y="0"/>
                      <a:ext cx="2480000" cy="2160000"/>
                    </a:xfrm>
                    <a:prstGeom prst="rect">
                      <a:avLst/>
                    </a:prstGeom>
                    <a:ln>
                      <a:noFill/>
                    </a:ln>
                    <a:extLst>
                      <a:ext uri="{53640926-AAD7-44D8-BBD7-CCE9431645EC}">
                        <a14:shadowObscured xmlns:a14="http://schemas.microsoft.com/office/drawing/2010/main"/>
                      </a:ext>
                    </a:extLst>
                  </pic:spPr>
                </pic:pic>
              </a:graphicData>
            </a:graphic>
          </wp:inline>
        </w:drawing>
      </w:r>
    </w:p>
    <w:p w14:paraId="58D4722B" w14:textId="20396F02" w:rsidR="00FD1B07" w:rsidRDefault="00FD1B07" w:rsidP="00C4130D">
      <w:pPr>
        <w:pStyle w:val="Caption"/>
      </w:pPr>
      <w:bookmarkStart w:id="572" w:name="_Toc98569784"/>
      <w:r>
        <w:t>Figure 6.</w:t>
      </w:r>
      <w:r>
        <w:fldChar w:fldCharType="begin"/>
      </w:r>
      <w:r>
        <w:instrText xml:space="preserve"> SEQ Figure_6. \* ARABIC </w:instrText>
      </w:r>
      <w:r>
        <w:fldChar w:fldCharType="separate"/>
      </w:r>
      <w:r w:rsidR="00E268F6">
        <w:rPr>
          <w:noProof/>
        </w:rPr>
        <w:t>4</w:t>
      </w:r>
      <w:r>
        <w:fldChar w:fldCharType="end"/>
      </w:r>
      <w:r>
        <w:t xml:space="preserve">: </w:t>
      </w:r>
      <w:r w:rsidR="001D16F5" w:rsidRPr="001D16F5">
        <w:t>Pivot table on the left-hand side, displaying the average peak velocity of patient IDs 2 and 4 over five visits. Meanwhile, a collapsing pivot table focusing on all patients' performance is presented on the right.</w:t>
      </w:r>
      <w:bookmarkEnd w:id="572"/>
    </w:p>
    <w:p w14:paraId="41A20395" w14:textId="3087D6E3" w:rsidR="00FD1B07" w:rsidRDefault="00FD1B07" w:rsidP="00526A7C">
      <w:pPr>
        <w:spacing w:before="0" w:after="0"/>
        <w:rPr>
          <w:lang w:val="en-MY" w:eastAsia="en-MY"/>
        </w:rPr>
      </w:pPr>
    </w:p>
    <w:p w14:paraId="664BA093" w14:textId="7C91A2FC" w:rsidR="00F818E8" w:rsidRDefault="00F818E8" w:rsidP="00F818E8">
      <w:pPr>
        <w:spacing w:before="0" w:after="0" w:line="240" w:lineRule="auto"/>
        <w:jc w:val="center"/>
        <w:rPr>
          <w:lang w:val="en-MY" w:eastAsia="en-MY"/>
        </w:rPr>
      </w:pPr>
      <w:r>
        <w:rPr>
          <w:noProof/>
        </w:rPr>
        <w:drawing>
          <wp:inline distT="0" distB="0" distL="0" distR="0" wp14:anchorId="42551195" wp14:editId="5600306D">
            <wp:extent cx="2795433" cy="16200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cstate="screen">
                      <a:extLst>
                        <a:ext uri="{28A0092B-C50C-407E-A947-70E740481C1C}">
                          <a14:useLocalDpi xmlns:a14="http://schemas.microsoft.com/office/drawing/2010/main" val="0"/>
                        </a:ext>
                      </a:extLst>
                    </a:blip>
                    <a:srcRect/>
                    <a:stretch>
                      <a:fillRect/>
                    </a:stretch>
                  </pic:blipFill>
                  <pic:spPr bwMode="auto">
                    <a:xfrm>
                      <a:off x="0" y="0"/>
                      <a:ext cx="2795433" cy="1620000"/>
                    </a:xfrm>
                    <a:prstGeom prst="rect">
                      <a:avLst/>
                    </a:prstGeom>
                    <a:noFill/>
                  </pic:spPr>
                </pic:pic>
              </a:graphicData>
            </a:graphic>
          </wp:inline>
        </w:drawing>
      </w:r>
    </w:p>
    <w:p w14:paraId="7A268B04" w14:textId="2DA0F79C" w:rsidR="00F818E8" w:rsidRPr="001D16F5" w:rsidRDefault="00F818E8" w:rsidP="001F38FA">
      <w:pPr>
        <w:spacing w:before="0" w:after="0" w:line="240" w:lineRule="auto"/>
        <w:jc w:val="center"/>
        <w:rPr>
          <w:lang w:val="en-MY" w:eastAsia="en-MY"/>
        </w:rPr>
      </w:pPr>
      <w:r>
        <w:rPr>
          <w:noProof/>
          <w:lang w:val="en-MY" w:eastAsia="en-MY"/>
        </w:rPr>
        <w:drawing>
          <wp:inline distT="0" distB="0" distL="0" distR="0" wp14:anchorId="1347DCA3" wp14:editId="637D4D10">
            <wp:extent cx="4037848" cy="2340000"/>
            <wp:effectExtent l="0" t="0" r="127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cstate="screen">
                      <a:extLst>
                        <a:ext uri="{28A0092B-C50C-407E-A947-70E740481C1C}">
                          <a14:useLocalDpi xmlns:a14="http://schemas.microsoft.com/office/drawing/2010/main" val="0"/>
                        </a:ext>
                      </a:extLst>
                    </a:blip>
                    <a:srcRect/>
                    <a:stretch>
                      <a:fillRect/>
                    </a:stretch>
                  </pic:blipFill>
                  <pic:spPr bwMode="auto">
                    <a:xfrm>
                      <a:off x="0" y="0"/>
                      <a:ext cx="4037848" cy="2340000"/>
                    </a:xfrm>
                    <a:prstGeom prst="rect">
                      <a:avLst/>
                    </a:prstGeom>
                    <a:noFill/>
                  </pic:spPr>
                </pic:pic>
              </a:graphicData>
            </a:graphic>
          </wp:inline>
        </w:drawing>
      </w:r>
    </w:p>
    <w:p w14:paraId="58EB5A01" w14:textId="7141AAB1" w:rsidR="00F818E8" w:rsidRDefault="00F818E8" w:rsidP="00C4130D">
      <w:pPr>
        <w:pStyle w:val="Caption"/>
      </w:pPr>
      <w:bookmarkStart w:id="573" w:name="_Toc98569785"/>
      <w:r>
        <w:t>F</w:t>
      </w:r>
      <w:r w:rsidRPr="009D4627">
        <w:t>igure 6.</w:t>
      </w:r>
      <w:r w:rsidRPr="009D4627">
        <w:fldChar w:fldCharType="begin"/>
      </w:r>
      <w:r w:rsidRPr="009D4627">
        <w:instrText xml:space="preserve"> SEQ Figure_6. \* ARABIC </w:instrText>
      </w:r>
      <w:r w:rsidRPr="009D4627">
        <w:fldChar w:fldCharType="separate"/>
      </w:r>
      <w:r w:rsidR="00E268F6">
        <w:rPr>
          <w:noProof/>
        </w:rPr>
        <w:t>5</w:t>
      </w:r>
      <w:r w:rsidRPr="009D4627">
        <w:rPr>
          <w:noProof/>
        </w:rPr>
        <w:fldChar w:fldCharType="end"/>
      </w:r>
      <w:r w:rsidRPr="009D4627">
        <w:t xml:space="preserve">: </w:t>
      </w:r>
      <w:r w:rsidR="001F38FA" w:rsidRPr="001F38FA">
        <w:t>The top figure illustrates an example of a pivot chart focused on a single patient. The saccadic</w:t>
      </w:r>
      <w:r w:rsidR="00F46312">
        <w:t xml:space="preserve"> </w:t>
      </w:r>
      <w:r w:rsidR="00AD1698">
        <w:t>velocity</w:t>
      </w:r>
      <w:r w:rsidR="001F38FA" w:rsidRPr="001F38FA">
        <w:t xml:space="preserve"> was evaluated at four different amplitudes (±10° and ±5° horizontally) during five follow-up visits, using a pivot chart. On the bottom, a pivot chart depicts an example</w:t>
      </w:r>
      <w:r w:rsidR="00EB044F">
        <w:t xml:space="preserve"> </w:t>
      </w:r>
      <w:r w:rsidR="001F38FA" w:rsidRPr="001F38FA">
        <w:t>of saccadic peak velocity for all ten patients tested at ±5° amplitudes horizontally throughout five follow-up visits.</w:t>
      </w:r>
      <w:bookmarkEnd w:id="573"/>
    </w:p>
    <w:p w14:paraId="6E97F70F" w14:textId="77777777" w:rsidR="00EB044F" w:rsidRPr="00EB044F" w:rsidRDefault="00EB044F" w:rsidP="00EB044F">
      <w:pPr>
        <w:rPr>
          <w:lang w:val="en-MY" w:eastAsia="en-MY"/>
        </w:rPr>
      </w:pPr>
    </w:p>
    <w:p w14:paraId="4D57DD40" w14:textId="77777777" w:rsidR="00D64351" w:rsidRDefault="00D64351" w:rsidP="00D64351">
      <w:pPr>
        <w:pStyle w:val="Heading2"/>
      </w:pPr>
      <w:bookmarkStart w:id="574" w:name="_Toc103344780"/>
      <w:r w:rsidRPr="00D64351">
        <w:lastRenderedPageBreak/>
        <w:t>Patients' verbal comments about the EMR in monitoring their conditions.</w:t>
      </w:r>
      <w:bookmarkEnd w:id="574"/>
    </w:p>
    <w:p w14:paraId="3086705E" w14:textId="003005B7" w:rsidR="006A3ED7" w:rsidRDefault="00AD1698" w:rsidP="006A3ED7">
      <w:r>
        <w:t>A</w:t>
      </w:r>
      <w:r w:rsidR="00C85A23" w:rsidRPr="00C85A23">
        <w:t xml:space="preserve"> patient who returned for the follow-up visit</w:t>
      </w:r>
      <w:r w:rsidR="001F38FA">
        <w:t>s</w:t>
      </w:r>
      <w:r w:rsidR="00C85A23" w:rsidRPr="00C85A23">
        <w:t xml:space="preserve"> expressed satisfaction, stating that they noticed an improvement in their eye movement between visits 1 </w:t>
      </w:r>
      <w:r w:rsidR="001F38FA">
        <w:t>until</w:t>
      </w:r>
      <w:r w:rsidR="00C85A23" w:rsidRPr="00C85A23">
        <w:t xml:space="preserve"> </w:t>
      </w:r>
      <w:r w:rsidR="00526A7C">
        <w:t>and this was reflected in the EMR results</w:t>
      </w:r>
      <w:r w:rsidR="00C85A23" w:rsidRPr="00C85A23">
        <w:t xml:space="preserve">. They believed that this EMR technique should be utilised as the clinical standard for explaining the ONP condition to patients during follow-up visits. Thus, EMR analysis may reassure patients about their nerve palsy </w:t>
      </w:r>
      <w:r>
        <w:t>recovery</w:t>
      </w:r>
      <w:r w:rsidR="00C85A23" w:rsidRPr="00C85A23">
        <w:t>.</w:t>
      </w:r>
      <w:r w:rsidR="006A3ED7" w:rsidRPr="009D4627">
        <w:t xml:space="preserve"> </w:t>
      </w:r>
      <w:r w:rsidR="00D6136C" w:rsidRPr="00D6136C">
        <w:t xml:space="preserve">Therefore, it is </w:t>
      </w:r>
      <w:r w:rsidR="00526A7C">
        <w:t>highly</w:t>
      </w:r>
      <w:r w:rsidR="00D6136C" w:rsidRPr="00D6136C">
        <w:t xml:space="preserve"> </w:t>
      </w:r>
      <w:r>
        <w:t>recommended</w:t>
      </w:r>
      <w:r w:rsidR="00D6136C" w:rsidRPr="00D6136C">
        <w:t xml:space="preserve"> to utilise an EMR to monitor eye movement changes in the eye clinic since the recording procedure was user-friendly, produced reproducible </w:t>
      </w:r>
      <w:r w:rsidR="00052C3D" w:rsidRPr="00D6136C">
        <w:t>results,</w:t>
      </w:r>
      <w:r w:rsidR="00052C3D">
        <w:t xml:space="preserve"> and</w:t>
      </w:r>
      <w:r w:rsidR="00D6136C" w:rsidRPr="00D6136C">
        <w:t xml:space="preserve"> data processing is efficient and quick. In addition, it can acquire a complete picture of the patient's condition.</w:t>
      </w:r>
    </w:p>
    <w:p w14:paraId="76582724" w14:textId="5F96A0B3" w:rsidR="0015318A" w:rsidRPr="00EB044F" w:rsidRDefault="0015318A" w:rsidP="006A3ED7">
      <w:pPr>
        <w:rPr>
          <w:color w:val="auto"/>
        </w:rPr>
      </w:pPr>
      <w:r w:rsidRPr="00EB044F">
        <w:rPr>
          <w:color w:val="auto"/>
          <w:shd w:val="clear" w:color="auto" w:fill="FFFFFF"/>
        </w:rPr>
        <w:t xml:space="preserve">In summary, the objective EMR utilising </w:t>
      </w:r>
      <w:proofErr w:type="spellStart"/>
      <w:r w:rsidRPr="00EB044F">
        <w:rPr>
          <w:color w:val="auto"/>
          <w:shd w:val="clear" w:color="auto" w:fill="FFFFFF"/>
        </w:rPr>
        <w:t>EyeLink</w:t>
      </w:r>
      <w:proofErr w:type="spellEnd"/>
      <w:r w:rsidRPr="00EB044F">
        <w:rPr>
          <w:color w:val="auto"/>
          <w:shd w:val="clear" w:color="auto" w:fill="FFFFFF"/>
        </w:rPr>
        <w:t xml:space="preserve"> 1000 Plus is simple to operate, rapid, and capable of permanent reproducible records of results instantly. Fixation, saccades, and SP assessments can provide insight into how well ONP patients' eyes can fixate steadily, moving smoothly, accurately, and rapidly toward the affected and unaffected gaze. The study proposed several testing paradigms and analysis strategies that enable clinicians to monitor ONP patients' motility improvement. </w:t>
      </w:r>
    </w:p>
    <w:p w14:paraId="2D5C3FAD" w14:textId="1E5AA655" w:rsidR="000165EA" w:rsidRPr="009D4627" w:rsidRDefault="000165EA" w:rsidP="00D04E3B">
      <w:pPr>
        <w:pStyle w:val="Heading2"/>
      </w:pPr>
      <w:bookmarkStart w:id="575" w:name="_Toc98964739"/>
      <w:bookmarkStart w:id="576" w:name="_Toc103344781"/>
      <w:bookmarkEnd w:id="568"/>
      <w:r w:rsidRPr="009D4627">
        <w:t>Limitations</w:t>
      </w:r>
      <w:bookmarkEnd w:id="575"/>
      <w:bookmarkEnd w:id="576"/>
      <w:r w:rsidRPr="009D4627">
        <w:t xml:space="preserve"> </w:t>
      </w:r>
    </w:p>
    <w:p w14:paraId="001D4257" w14:textId="76DB0A02" w:rsidR="001C4840" w:rsidRPr="009D4627" w:rsidRDefault="0090031F" w:rsidP="001C4840">
      <w:bookmarkStart w:id="577" w:name="_Hlk71906593"/>
      <w:r w:rsidRPr="009D4627">
        <w:t xml:space="preserve">It was found that EMR cannot be performed while wearing </w:t>
      </w:r>
      <w:r w:rsidR="00F52031" w:rsidRPr="009D4627">
        <w:t>PALs</w:t>
      </w:r>
      <w:r w:rsidRPr="009D4627">
        <w:t xml:space="preserve"> due to the aberrations created by </w:t>
      </w:r>
      <w:r w:rsidR="00E64E9E" w:rsidRPr="009D4627">
        <w:t xml:space="preserve">the </w:t>
      </w:r>
      <w:r w:rsidRPr="009D4627">
        <w:t>gradual change of focusing power on the lenses. The problem found with the older age group was that we needed to do the recording using the bigger target size to improve the fixation performance on the target. Similar problems were also found</w:t>
      </w:r>
      <w:r w:rsidR="00AD1698">
        <w:t xml:space="preserve"> in</w:t>
      </w:r>
      <w:r w:rsidRPr="009D4627">
        <w:t xml:space="preserve"> high myopia, where it is quite hard to obtain a good calibration </w:t>
      </w:r>
      <w:r w:rsidR="00BD127B">
        <w:t>at the eccentric</w:t>
      </w:r>
      <w:r w:rsidRPr="009D4627">
        <w:t xml:space="preserve"> gaze</w:t>
      </w:r>
      <w:r w:rsidR="001C4840" w:rsidRPr="009D4627">
        <w:t xml:space="preserve">. </w:t>
      </w:r>
    </w:p>
    <w:bookmarkEnd w:id="577"/>
    <w:p w14:paraId="081EA55F" w14:textId="59D4C690" w:rsidR="002435C3" w:rsidRDefault="00E64E9E" w:rsidP="001C4840">
      <w:pPr>
        <w:rPr>
          <w:lang w:eastAsia="en-MY"/>
        </w:rPr>
      </w:pPr>
      <w:r w:rsidRPr="009D4627">
        <w:lastRenderedPageBreak/>
        <w:t xml:space="preserve">It was hard to organise the same interval of the follow-up EMR for all </w:t>
      </w:r>
      <w:r w:rsidR="00940AE5" w:rsidRPr="009D4627">
        <w:t>ONP</w:t>
      </w:r>
      <w:r w:rsidRPr="009D4627">
        <w:t xml:space="preserve"> </w:t>
      </w:r>
      <w:r w:rsidR="005C5883" w:rsidRPr="009D4627">
        <w:t xml:space="preserve">(ONP) </w:t>
      </w:r>
      <w:r w:rsidRPr="009D4627">
        <w:t>patients d</w:t>
      </w:r>
      <w:r w:rsidR="0090031F" w:rsidRPr="009D4627">
        <w:t>ue to the ageing population</w:t>
      </w:r>
      <w:r w:rsidRPr="009D4627">
        <w:t>. T</w:t>
      </w:r>
      <w:r w:rsidR="0090031F" w:rsidRPr="009D4627">
        <w:t>hey were among the fragile group of participants and prone to an unexpected illness</w:t>
      </w:r>
      <w:r w:rsidRPr="009D4627">
        <w:t>,</w:t>
      </w:r>
      <w:r w:rsidR="0090031F" w:rsidRPr="009D4627">
        <w:t xml:space="preserve"> and unable to attend</w:t>
      </w:r>
      <w:r w:rsidR="00D50D6E" w:rsidRPr="009D4627">
        <w:rPr>
          <w:lang w:eastAsia="en-MY"/>
        </w:rPr>
        <w:t>.</w:t>
      </w:r>
    </w:p>
    <w:p w14:paraId="45A31972" w14:textId="04E11EA9" w:rsidR="001F38FA" w:rsidRDefault="001F38FA" w:rsidP="001F38FA">
      <w:r w:rsidRPr="009D4627">
        <w:t xml:space="preserve">In addition, the statistical analysis suggested that some parameters are valid for the clinical assessment while some were ambiguous. The SP gain, SP RMSE, saccadic latency, peak </w:t>
      </w:r>
      <w:proofErr w:type="gramStart"/>
      <w:r w:rsidRPr="009D4627">
        <w:t>velocity</w:t>
      </w:r>
      <w:proofErr w:type="gramEnd"/>
      <w:r w:rsidRPr="009D4627">
        <w:t xml:space="preserve"> and gain are valid for the clinical analysis. The SP duration analysis does not reflect the actual SP eye movement, especially in people with severely defective SP; the example is explained in the next paragraph.  In addition, it was suggested that fixation analysis using the DT parameter was unable to detect any fixation eye movement defect for the ONP, or it could be that their fixation was not affected by the palsy. This research indicates that patients’ fixational eye movements are normal, but future studies are required to investigate this further.</w:t>
      </w:r>
    </w:p>
    <w:p w14:paraId="2BC13D15" w14:textId="270C3B27" w:rsidR="00D6136C" w:rsidRDefault="00D6136C" w:rsidP="00D6136C">
      <w:pPr>
        <w:rPr>
          <w:rFonts w:eastAsia="Times New Roman"/>
          <w:color w:val="auto"/>
          <w:lang w:eastAsia="en-MY"/>
        </w:rPr>
      </w:pPr>
      <w:r w:rsidRPr="009D4627">
        <w:rPr>
          <w:rFonts w:eastAsia="Times New Roman"/>
          <w:color w:val="auto"/>
          <w:lang w:eastAsia="en-MY"/>
        </w:rPr>
        <w:t xml:space="preserve">As shown in Figure </w:t>
      </w:r>
      <w:r w:rsidR="00D41D8B">
        <w:rPr>
          <w:rFonts w:eastAsia="Times New Roman"/>
          <w:color w:val="auto"/>
          <w:lang w:eastAsia="en-MY"/>
        </w:rPr>
        <w:t>6.6</w:t>
      </w:r>
      <w:r w:rsidRPr="009D4627">
        <w:rPr>
          <w:rFonts w:eastAsia="Times New Roman"/>
          <w:color w:val="auto"/>
          <w:lang w:eastAsia="en-MY"/>
        </w:rPr>
        <w:t xml:space="preserve">, the data had some erroneous responses even though the duration of the pursuit fixation segment was included in the SP maintenance phase. </w:t>
      </w:r>
      <w:r w:rsidRPr="009D4627">
        <w:t xml:space="preserve">Despite having inaccurate horizontal SP movement, the software recognised that the patient’s eye was smoothly following the target, marked as the SP fixation duration (turquoise bar), resulting in a longer duration which seems like good SP maintenance. The movement was only recognised as CUS when the jump movements were beyond 30° amplitude. Thus, SP duration </w:t>
      </w:r>
      <w:r>
        <w:t xml:space="preserve">alone </w:t>
      </w:r>
      <w:r w:rsidRPr="009D4627">
        <w:t>may not be an appropriate clinical assessment for ONP patients' eye movement.</w:t>
      </w:r>
      <w:r w:rsidRPr="009D4627">
        <w:rPr>
          <w:rFonts w:eastAsia="Times New Roman"/>
          <w:color w:val="auto"/>
          <w:lang w:eastAsia="en-MY"/>
        </w:rPr>
        <w:t xml:space="preserve"> It </w:t>
      </w:r>
      <w:r w:rsidR="00AD1698">
        <w:rPr>
          <w:rFonts w:eastAsia="Times New Roman"/>
          <w:color w:val="auto"/>
          <w:lang w:eastAsia="en-MY"/>
        </w:rPr>
        <w:t>is</w:t>
      </w:r>
      <w:r w:rsidR="00933D8C">
        <w:rPr>
          <w:rFonts w:eastAsia="Times New Roman"/>
          <w:color w:val="auto"/>
          <w:lang w:eastAsia="en-MY"/>
        </w:rPr>
        <w:t xml:space="preserve"> </w:t>
      </w:r>
      <w:r w:rsidRPr="009D4627">
        <w:rPr>
          <w:rFonts w:eastAsia="Times New Roman"/>
          <w:color w:val="auto"/>
          <w:lang w:eastAsia="en-MY"/>
        </w:rPr>
        <w:t xml:space="preserve">also not a sensitive metric for detecting eye movement anomalies in ONP patients, as evidenced by no significant differences identified between the affected and unaffected eyes in both horizontal and vertical orientations for all trial frequencies. </w:t>
      </w:r>
      <w:r w:rsidRPr="009D4627">
        <w:rPr>
          <w:lang w:eastAsia="en-MY"/>
        </w:rPr>
        <w:t xml:space="preserve">Furthermore, it has been </w:t>
      </w:r>
      <w:r w:rsidR="00AD1698">
        <w:rPr>
          <w:lang w:eastAsia="en-MY"/>
        </w:rPr>
        <w:t xml:space="preserve">demonstrated </w:t>
      </w:r>
      <w:r w:rsidRPr="009D4627">
        <w:rPr>
          <w:lang w:eastAsia="en-MY"/>
        </w:rPr>
        <w:t>that the frequency of trials has a considerable impact on the variability of SP parameters both horizontally and vertically.</w:t>
      </w:r>
      <w:r w:rsidRPr="009D4627">
        <w:rPr>
          <w:rFonts w:eastAsia="Times New Roman"/>
          <w:color w:val="auto"/>
          <w:lang w:eastAsia="en-MY"/>
        </w:rPr>
        <w:t xml:space="preserve"> </w:t>
      </w:r>
    </w:p>
    <w:p w14:paraId="62768D70" w14:textId="4CDC97E0" w:rsidR="001F38FA" w:rsidRPr="009D4627" w:rsidDel="00BD6222" w:rsidRDefault="00AC0A4E" w:rsidP="00526A7C">
      <w:r>
        <w:rPr>
          <w:rFonts w:eastAsia="Times New Roman"/>
          <w:color w:val="auto"/>
          <w:lang w:eastAsia="en-MY"/>
        </w:rPr>
        <w:lastRenderedPageBreak/>
        <w:t xml:space="preserve"> </w:t>
      </w:r>
      <w:r w:rsidR="00AD1698">
        <w:rPr>
          <w:rFonts w:eastAsia="Times New Roman"/>
          <w:color w:val="auto"/>
          <w:lang w:eastAsia="en-MY"/>
        </w:rPr>
        <w:t xml:space="preserve"> </w:t>
      </w:r>
      <w:r w:rsidR="001F38FA" w:rsidRPr="009D4627">
        <w:rPr>
          <w:noProof/>
        </w:rPr>
        <w:drawing>
          <wp:inline distT="0" distB="0" distL="0" distR="0" wp14:anchorId="75B3B1F6" wp14:editId="1AFCB94F">
            <wp:extent cx="5731510" cy="3209290"/>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screen">
                      <a:extLst>
                        <a:ext uri="{28A0092B-C50C-407E-A947-70E740481C1C}">
                          <a14:useLocalDpi xmlns:a14="http://schemas.microsoft.com/office/drawing/2010/main" val="0"/>
                        </a:ext>
                      </a:extLst>
                    </a:blip>
                    <a:srcRect/>
                    <a:stretch>
                      <a:fillRect/>
                    </a:stretch>
                  </pic:blipFill>
                  <pic:spPr bwMode="auto">
                    <a:xfrm>
                      <a:off x="0" y="0"/>
                      <a:ext cx="5731510" cy="3209290"/>
                    </a:xfrm>
                    <a:prstGeom prst="rect">
                      <a:avLst/>
                    </a:prstGeom>
                    <a:noFill/>
                    <a:ln>
                      <a:noFill/>
                    </a:ln>
                  </pic:spPr>
                </pic:pic>
              </a:graphicData>
            </a:graphic>
          </wp:inline>
        </w:drawing>
      </w:r>
    </w:p>
    <w:p w14:paraId="791CF72C" w14:textId="1C02C672" w:rsidR="001F38FA" w:rsidRPr="009D4627" w:rsidRDefault="001F38FA" w:rsidP="00C4130D">
      <w:pPr>
        <w:pStyle w:val="Caption"/>
      </w:pPr>
      <w:bookmarkStart w:id="578" w:name="_Toc98569786"/>
      <w:r w:rsidRPr="009D4627">
        <w:t>Figure 6.</w:t>
      </w:r>
      <w:r w:rsidRPr="009D4627">
        <w:fldChar w:fldCharType="begin"/>
      </w:r>
      <w:r w:rsidRPr="009D4627">
        <w:instrText xml:space="preserve"> SEQ Figure_6. \* ARABIC </w:instrText>
      </w:r>
      <w:r w:rsidRPr="009D4627">
        <w:fldChar w:fldCharType="separate"/>
      </w:r>
      <w:r w:rsidR="00E268F6">
        <w:rPr>
          <w:noProof/>
        </w:rPr>
        <w:t>6</w:t>
      </w:r>
      <w:r w:rsidRPr="009D4627">
        <w:rPr>
          <w:noProof/>
        </w:rPr>
        <w:fldChar w:fldCharType="end"/>
      </w:r>
      <w:r w:rsidRPr="009D4627">
        <w:t>: A sample SP traces of a patient with right CN VI palsy who had a defective horizontal SP movement. Despite having inaccurate horizontal SP movement, the software recognised that the patient’s eye was smoothly following the target, marked as the SP fixation duration (turquoise bar). The movement was only recognised as CUS when the jump movements are beyond 30° amplitude, which only denoted as the SP movement was interrupted.</w:t>
      </w:r>
      <w:bookmarkEnd w:id="578"/>
    </w:p>
    <w:p w14:paraId="67434BFE" w14:textId="77777777" w:rsidR="001F38FA" w:rsidRPr="009D4627" w:rsidRDefault="001F38FA" w:rsidP="00D64351">
      <w:pPr>
        <w:pStyle w:val="Caption"/>
        <w:spacing w:after="0"/>
      </w:pPr>
      <w:r w:rsidRPr="009D4627">
        <w:rPr>
          <w:b/>
        </w:rPr>
        <w:t>—</w:t>
      </w:r>
      <w:r w:rsidRPr="009D4627">
        <w:t xml:space="preserve"> target movement in the horizontal direction </w:t>
      </w:r>
    </w:p>
    <w:p w14:paraId="1BC7369A" w14:textId="77777777" w:rsidR="001F38FA" w:rsidRPr="009D4627" w:rsidRDefault="001F38FA" w:rsidP="00D64351">
      <w:pPr>
        <w:pStyle w:val="Caption"/>
        <w:spacing w:after="0"/>
      </w:pPr>
      <w:r w:rsidRPr="009D4627">
        <w:rPr>
          <w:b/>
          <w:color w:val="FF0000"/>
        </w:rPr>
        <w:t>—</w:t>
      </w:r>
      <w:r w:rsidRPr="009D4627">
        <w:t xml:space="preserve"> eye movement following the target movement</w:t>
      </w:r>
    </w:p>
    <w:p w14:paraId="448677EE" w14:textId="77777777" w:rsidR="001F38FA" w:rsidRPr="009D4627" w:rsidDel="00BD6222" w:rsidRDefault="001F38FA" w:rsidP="00C4130D">
      <w:pPr>
        <w:pStyle w:val="Caption"/>
      </w:pPr>
      <w:r w:rsidRPr="009D4627">
        <w:rPr>
          <w:noProof/>
        </w:rPr>
        <mc:AlternateContent>
          <mc:Choice Requires="wps">
            <w:drawing>
              <wp:anchor distT="0" distB="0" distL="114300" distR="114300" simplePos="0" relativeHeight="251975168" behindDoc="0" locked="0" layoutInCell="1" allowOverlap="1" wp14:anchorId="02AEF8CC" wp14:editId="6C5DBBE0">
                <wp:simplePos x="0" y="0"/>
                <wp:positionH relativeFrom="margin">
                  <wp:posOffset>-26670</wp:posOffset>
                </wp:positionH>
                <wp:positionV relativeFrom="paragraph">
                  <wp:posOffset>166370</wp:posOffset>
                </wp:positionV>
                <wp:extent cx="180975" cy="60325"/>
                <wp:effectExtent l="0" t="0" r="9525" b="0"/>
                <wp:wrapNone/>
                <wp:docPr id="24015" name="Rectangle 240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60325"/>
                        </a:xfrm>
                        <a:prstGeom prst="rect">
                          <a:avLst/>
                        </a:prstGeom>
                        <a:solidFill>
                          <a:srgbClr val="00FFFF"/>
                        </a:solidFill>
                        <a:ln>
                          <a:solidFill>
                            <a:srgbClr val="00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6622B" id="Rectangle 24015" o:spid="_x0000_s1026" style="position:absolute;margin-left:-2.1pt;margin-top:13.1pt;width:14.25pt;height:4.75pt;z-index:25197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" fillcolor="aqua" strokecolor="aqua" strokeweight="1pt">
                <v:path arrowok="t"/>
                <w10:wrap anchorx="margin"/>
              </v:rect>
            </w:pict>
          </mc:Fallback>
        </mc:AlternateContent>
      </w:r>
      <w:r w:rsidRPr="009D4627">
        <w:t xml:space="preserve">       SP duration</w:t>
      </w:r>
    </w:p>
    <w:p w14:paraId="52D26538" w14:textId="439FC75A" w:rsidR="001F38FA" w:rsidRDefault="001F38FA" w:rsidP="001C4840">
      <w:pPr>
        <w:rPr>
          <w:lang w:eastAsia="en-MY"/>
        </w:rPr>
      </w:pPr>
    </w:p>
    <w:p w14:paraId="63AF9984" w14:textId="351B4A10" w:rsidR="00526A7C" w:rsidRDefault="00526A7C" w:rsidP="001C4840">
      <w:pPr>
        <w:rPr>
          <w:lang w:eastAsia="en-MY"/>
        </w:rPr>
      </w:pPr>
    </w:p>
    <w:p w14:paraId="72F525D8" w14:textId="77777777" w:rsidR="00526A7C" w:rsidRPr="009D4627" w:rsidRDefault="00526A7C" w:rsidP="001C4840">
      <w:pPr>
        <w:rPr>
          <w:lang w:eastAsia="en-MY"/>
        </w:rPr>
      </w:pPr>
    </w:p>
    <w:p w14:paraId="524DAD0D" w14:textId="190A91D4" w:rsidR="0035721D" w:rsidRPr="009D4627" w:rsidRDefault="0035721D" w:rsidP="00D04E3B">
      <w:pPr>
        <w:pStyle w:val="Heading2"/>
      </w:pPr>
      <w:bookmarkStart w:id="579" w:name="_Toc98964740"/>
      <w:bookmarkStart w:id="580" w:name="_Toc103344782"/>
      <w:r w:rsidRPr="009D4627">
        <w:lastRenderedPageBreak/>
        <w:t>Future research</w:t>
      </w:r>
      <w:bookmarkStart w:id="581" w:name="_Hlk96984215"/>
      <w:bookmarkEnd w:id="579"/>
      <w:bookmarkEnd w:id="580"/>
    </w:p>
    <w:p w14:paraId="08F4A62A" w14:textId="4600BCC2" w:rsidR="0035721D" w:rsidRPr="009D4627" w:rsidRDefault="0035721D" w:rsidP="0035721D">
      <w:bookmarkStart w:id="582" w:name="_Hlk71906614"/>
      <w:r w:rsidRPr="009D4627">
        <w:t xml:space="preserve">A </w:t>
      </w:r>
      <w:r w:rsidR="00AD1698">
        <w:t xml:space="preserve">larger </w:t>
      </w:r>
      <w:r w:rsidRPr="009D4627">
        <w:t>study</w:t>
      </w:r>
      <w:r w:rsidR="00120593">
        <w:t xml:space="preserve"> </w:t>
      </w:r>
      <w:r w:rsidR="00AD1698">
        <w:t>would enable</w:t>
      </w:r>
      <w:r w:rsidRPr="009D4627">
        <w:t xml:space="preserve"> every type of nerve palsy </w:t>
      </w:r>
      <w:r w:rsidR="00AD1698">
        <w:t xml:space="preserve">to be studied </w:t>
      </w:r>
      <w:r w:rsidR="008F2994" w:rsidRPr="009D4627">
        <w:t xml:space="preserve">separately </w:t>
      </w:r>
      <w:r w:rsidR="008F2994">
        <w:t>and provide more information on</w:t>
      </w:r>
      <w:r w:rsidR="00120593">
        <w:t xml:space="preserve"> </w:t>
      </w:r>
      <w:r w:rsidRPr="009D4627">
        <w:t>the pattern and r</w:t>
      </w:r>
      <w:r w:rsidR="00E64E9E" w:rsidRPr="009D4627">
        <w:t>ecovery rate</w:t>
      </w:r>
      <w:r w:rsidRPr="009D4627">
        <w:t xml:space="preserve">. </w:t>
      </w:r>
    </w:p>
    <w:p w14:paraId="2C9755F4" w14:textId="57363FB2" w:rsidR="0035721D" w:rsidRPr="009D4627" w:rsidRDefault="0035721D" w:rsidP="0035721D">
      <w:r w:rsidRPr="009D4627">
        <w:t xml:space="preserve">Gain and RMSE are </w:t>
      </w:r>
      <w:r w:rsidR="00E64E9E" w:rsidRPr="009D4627">
        <w:t>suitable</w:t>
      </w:r>
      <w:r w:rsidRPr="009D4627">
        <w:t xml:space="preserve"> parameters to evaluate SP performance. In addition, saccadic latency, peak </w:t>
      </w:r>
      <w:proofErr w:type="gramStart"/>
      <w:r w:rsidRPr="009D4627">
        <w:t>velocity</w:t>
      </w:r>
      <w:proofErr w:type="gramEnd"/>
      <w:r w:rsidRPr="009D4627">
        <w:t xml:space="preserve"> and gain are the recommended parameters to assess saccadic performance. </w:t>
      </w:r>
    </w:p>
    <w:p w14:paraId="7B4EF6C6" w14:textId="334DA4F7" w:rsidR="0035721D" w:rsidRDefault="0035721D" w:rsidP="0035721D">
      <w:pPr>
        <w:rPr>
          <w:lang w:eastAsia="en-MY"/>
        </w:rPr>
      </w:pPr>
      <w:r w:rsidRPr="009D4627">
        <w:t xml:space="preserve">Disposable daily soft contact lenses could also </w:t>
      </w:r>
      <w:proofErr w:type="gramStart"/>
      <w:r w:rsidRPr="009D4627">
        <w:t>be considered to be</w:t>
      </w:r>
      <w:proofErr w:type="gramEnd"/>
      <w:r w:rsidRPr="009D4627">
        <w:t xml:space="preserve"> fitted on participant’s during testing in an attempt to enhance the eye </w:t>
      </w:r>
      <w:r w:rsidR="00AD1698">
        <w:t>movement</w:t>
      </w:r>
      <w:r w:rsidR="00120593">
        <w:t xml:space="preserve"> </w:t>
      </w:r>
      <w:r w:rsidRPr="009D4627">
        <w:t>recording process whil</w:t>
      </w:r>
      <w:r w:rsidR="00120593">
        <w:t>st</w:t>
      </w:r>
      <w:r w:rsidRPr="009D4627">
        <w:t xml:space="preserve"> reducing the effect of aberrations in ophthalmic lenses.</w:t>
      </w:r>
      <w:bookmarkEnd w:id="582"/>
      <w:r w:rsidRPr="009D4627">
        <w:rPr>
          <w:lang w:eastAsia="en-MY"/>
        </w:rPr>
        <w:t xml:space="preserve"> </w:t>
      </w:r>
    </w:p>
    <w:p w14:paraId="167EA5A7" w14:textId="752660A6" w:rsidR="00980DEB" w:rsidRDefault="00CB28CB" w:rsidP="00D04E3B">
      <w:pPr>
        <w:pStyle w:val="Heading2"/>
      </w:pPr>
      <w:bookmarkStart w:id="583" w:name="_Toc103344783"/>
      <w:r>
        <w:t>Summary</w:t>
      </w:r>
      <w:bookmarkEnd w:id="583"/>
    </w:p>
    <w:p w14:paraId="31C4E10D" w14:textId="77777777" w:rsidR="00526A7C" w:rsidRPr="0089369E" w:rsidRDefault="00526A7C" w:rsidP="00CB28CB">
      <w:pPr>
        <w:rPr>
          <w:color w:val="222222"/>
          <w:lang w:eastAsia="zh-CN"/>
        </w:rPr>
      </w:pPr>
      <w:r w:rsidRPr="0089369E">
        <w:rPr>
          <w:lang w:eastAsia="zh-CN"/>
        </w:rPr>
        <w:t xml:space="preserve">In summary, the objective EMR utilising </w:t>
      </w:r>
      <w:proofErr w:type="spellStart"/>
      <w:r w:rsidRPr="0089369E">
        <w:rPr>
          <w:lang w:eastAsia="zh-CN"/>
        </w:rPr>
        <w:t>EyeLink</w:t>
      </w:r>
      <w:proofErr w:type="spellEnd"/>
      <w:r w:rsidRPr="0089369E">
        <w:rPr>
          <w:lang w:eastAsia="zh-CN"/>
        </w:rPr>
        <w:t xml:space="preserve"> 1000 Plus is simple to operate</w:t>
      </w:r>
      <w:r>
        <w:rPr>
          <w:lang w:eastAsia="zh-CN"/>
        </w:rPr>
        <w:t>,</w:t>
      </w:r>
      <w:r w:rsidRPr="0089369E">
        <w:rPr>
          <w:lang w:eastAsia="zh-CN"/>
        </w:rPr>
        <w:t xml:space="preserve"> rapid, and capable of creating</w:t>
      </w:r>
      <w:r>
        <w:rPr>
          <w:lang w:eastAsia="zh-CN"/>
        </w:rPr>
        <w:t xml:space="preserve"> permanent </w:t>
      </w:r>
      <w:r w:rsidRPr="0089369E">
        <w:rPr>
          <w:lang w:eastAsia="zh-CN"/>
        </w:rPr>
        <w:t>reproducible records of results instantly. Fixation, saccades, and SP assessments can provide insight into how well ONP patients' eyes can fixate steadily, moving smoothly, accurately, and rapidly toward the affected and unaffected gaze. The study proposed several testing paradigms and analysis strategies that enable clinicians to monitor ONP patients' motility improvement</w:t>
      </w:r>
      <w:r w:rsidRPr="0089369E">
        <w:rPr>
          <w:color w:val="0000FF"/>
          <w:lang w:eastAsia="zh-CN"/>
        </w:rPr>
        <w:t>. </w:t>
      </w:r>
    </w:p>
    <w:p w14:paraId="2EBB2456" w14:textId="5BA61C51" w:rsidR="0089369E" w:rsidRPr="0089369E" w:rsidRDefault="0089369E" w:rsidP="0089369E">
      <w:pPr>
        <w:shd w:val="clear" w:color="auto" w:fill="FFFFFF"/>
        <w:spacing w:before="0" w:after="0" w:line="240" w:lineRule="auto"/>
        <w:jc w:val="left"/>
        <w:rPr>
          <w:rFonts w:asciiTheme="majorBidi" w:eastAsia="Times New Roman" w:hAnsiTheme="majorBidi" w:cstheme="majorBidi"/>
          <w:color w:val="222222"/>
          <w:lang w:eastAsia="zh-CN"/>
        </w:rPr>
      </w:pPr>
      <w:r w:rsidRPr="0089369E">
        <w:rPr>
          <w:rFonts w:asciiTheme="majorBidi" w:eastAsia="Times New Roman" w:hAnsiTheme="majorBidi" w:cstheme="majorBidi"/>
          <w:color w:val="0000FF"/>
          <w:lang w:eastAsia="zh-CN"/>
        </w:rPr>
        <w:t> </w:t>
      </w:r>
    </w:p>
    <w:p w14:paraId="44C92A10" w14:textId="1C028715" w:rsidR="0089369E" w:rsidRPr="009D4627" w:rsidRDefault="0089369E" w:rsidP="0035721D">
      <w:pPr>
        <w:rPr>
          <w:lang w:eastAsia="en-MY"/>
        </w:rPr>
        <w:sectPr w:rsidR="0089369E" w:rsidRPr="009D4627" w:rsidSect="00EB044F">
          <w:headerReference w:type="default" r:id="rId246"/>
          <w:footerReference w:type="default" r:id="rId247"/>
          <w:pgSz w:w="11906" w:h="16838" w:code="9"/>
          <w:pgMar w:top="1440" w:right="1440" w:bottom="1440" w:left="1440" w:header="708" w:footer="709" w:gutter="0"/>
          <w:cols w:space="708"/>
          <w:docGrid w:linePitch="360"/>
        </w:sectPr>
      </w:pPr>
    </w:p>
    <w:p w14:paraId="745F7908" w14:textId="77777777" w:rsidR="0035721D" w:rsidRPr="009D4627" w:rsidRDefault="0035721D" w:rsidP="00FD2BC9">
      <w:pPr>
        <w:pStyle w:val="Heading1"/>
        <w:numPr>
          <w:ilvl w:val="0"/>
          <w:numId w:val="0"/>
        </w:numPr>
      </w:pPr>
      <w:bookmarkStart w:id="584" w:name="_Toc103344784"/>
      <w:bookmarkEnd w:id="581"/>
      <w:r w:rsidRPr="009D4627">
        <w:lastRenderedPageBreak/>
        <w:t>Appendices</w:t>
      </w:r>
      <w:bookmarkEnd w:id="584"/>
    </w:p>
    <w:p w14:paraId="13ACEDEC" w14:textId="7822DAA9" w:rsidR="00FD2BC9" w:rsidRPr="009D4627" w:rsidRDefault="00FD2BC9" w:rsidP="00C4130D">
      <w:pPr>
        <w:pStyle w:val="Caption"/>
      </w:pPr>
      <w:bookmarkStart w:id="585" w:name="_Toc55942565"/>
      <w:bookmarkStart w:id="586" w:name="_Toc57322399"/>
      <w:bookmarkStart w:id="587" w:name="_Toc98967401"/>
      <w:bookmarkStart w:id="588" w:name="_Toc70088690"/>
      <w:bookmarkStart w:id="589" w:name="_Toc55942566"/>
      <w:bookmarkStart w:id="590" w:name="_Toc57322400"/>
      <w:bookmarkStart w:id="591" w:name="_Toc55942561"/>
      <w:bookmarkStart w:id="592" w:name="_Toc57322395"/>
      <w:bookmarkStart w:id="593" w:name="_Hlk57322294"/>
      <w:r w:rsidRPr="009D4627">
        <w:t>Appendix 1.</w:t>
      </w:r>
      <w:r w:rsidRPr="009D4627">
        <w:fldChar w:fldCharType="begin"/>
      </w:r>
      <w:r w:rsidRPr="009D4627">
        <w:instrText xml:space="preserve"> SEQ Appendix_1. \* ARABIC </w:instrText>
      </w:r>
      <w:r w:rsidRPr="009D4627">
        <w:fldChar w:fldCharType="separate"/>
      </w:r>
      <w:r w:rsidR="00E268F6">
        <w:rPr>
          <w:noProof/>
        </w:rPr>
        <w:t>1</w:t>
      </w:r>
      <w:r w:rsidRPr="009D4627">
        <w:rPr>
          <w:noProof/>
        </w:rPr>
        <w:fldChar w:fldCharType="end"/>
      </w:r>
      <w:r w:rsidRPr="009D4627">
        <w:t>:</w:t>
      </w:r>
      <w:r>
        <w:t xml:space="preserve"> The Univers</w:t>
      </w:r>
      <w:r w:rsidR="00CB28CB">
        <w:t>i</w:t>
      </w:r>
      <w:r>
        <w:t>ty of Sheffield ethical approval letter</w:t>
      </w:r>
      <w:r w:rsidRPr="009D4627">
        <w:t xml:space="preserve"> for Chapter 3 and 4.  </w:t>
      </w:r>
    </w:p>
    <w:p w14:paraId="1262E7FC" w14:textId="66BAFC5E" w:rsidR="003213B7" w:rsidRDefault="003213B7" w:rsidP="00FD2BC9">
      <w:pPr>
        <w:spacing w:before="0" w:after="0" w:line="240" w:lineRule="auto"/>
      </w:pPr>
    </w:p>
    <w:bookmarkEnd w:id="585"/>
    <w:bookmarkEnd w:id="586"/>
    <w:bookmarkEnd w:id="587"/>
    <w:p w14:paraId="266EEBAE" w14:textId="3B5DFAB6" w:rsidR="008D0D6F" w:rsidRPr="009D4627" w:rsidRDefault="008D0D6F" w:rsidP="00C4130D">
      <w:pPr>
        <w:pStyle w:val="Caption"/>
      </w:pPr>
      <w:r w:rsidRPr="009D4627">
        <w:rPr>
          <w:noProof/>
        </w:rPr>
        <w:drawing>
          <wp:inline distT="0" distB="0" distL="0" distR="0" wp14:anchorId="21DA2438" wp14:editId="62FD78B5">
            <wp:extent cx="5333431" cy="6241312"/>
            <wp:effectExtent l="0" t="0" r="635" b="7620"/>
            <wp:docPr id="21079" name="Picture 2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cstate="print">
                      <a:extLst>
                        <a:ext uri="{28A0092B-C50C-407E-A947-70E740481C1C}">
                          <a14:useLocalDpi xmlns:a14="http://schemas.microsoft.com/office/drawing/2010/main" val="0"/>
                        </a:ext>
                      </a:extLst>
                    </a:blip>
                    <a:srcRect/>
                    <a:stretch/>
                  </pic:blipFill>
                  <pic:spPr bwMode="auto">
                    <a:xfrm>
                      <a:off x="0" y="0"/>
                      <a:ext cx="5382800" cy="6299085"/>
                    </a:xfrm>
                    <a:prstGeom prst="rect">
                      <a:avLst/>
                    </a:prstGeom>
                    <a:ln>
                      <a:noFill/>
                    </a:ln>
                    <a:extLst>
                      <a:ext uri="{53640926-AAD7-44D8-BBD7-CCE9431645EC}">
                        <a14:shadowObscured xmlns:a14="http://schemas.microsoft.com/office/drawing/2010/main"/>
                      </a:ext>
                    </a:extLst>
                  </pic:spPr>
                </pic:pic>
              </a:graphicData>
            </a:graphic>
          </wp:inline>
        </w:drawing>
      </w:r>
      <w:bookmarkEnd w:id="588"/>
    </w:p>
    <w:p w14:paraId="71B72005" w14:textId="29A1B0B9" w:rsidR="003F1D28" w:rsidRPr="009D4627" w:rsidRDefault="003F1D28" w:rsidP="00C4130D">
      <w:pPr>
        <w:pStyle w:val="Caption"/>
      </w:pPr>
    </w:p>
    <w:p w14:paraId="3B0584B2" w14:textId="3BDE4C2C" w:rsidR="00362826" w:rsidRPr="009D4627" w:rsidRDefault="00362826" w:rsidP="00362826">
      <w:pPr>
        <w:rPr>
          <w:lang w:val="en-MY"/>
        </w:rPr>
      </w:pPr>
    </w:p>
    <w:p w14:paraId="57C2AC72" w14:textId="77777777" w:rsidR="008A3843" w:rsidRDefault="008A3843" w:rsidP="00C4130D">
      <w:pPr>
        <w:pStyle w:val="Caption"/>
        <w:sectPr w:rsidR="008A3843" w:rsidSect="00477959">
          <w:headerReference w:type="default" r:id="rId249"/>
          <w:pgSz w:w="11906" w:h="16838" w:code="9"/>
          <w:pgMar w:top="1440" w:right="1440" w:bottom="1440" w:left="1440" w:header="708" w:footer="708" w:gutter="0"/>
          <w:cols w:space="708"/>
          <w:docGrid w:linePitch="360"/>
        </w:sectPr>
      </w:pPr>
      <w:bookmarkStart w:id="594" w:name="_Toc70088691"/>
      <w:bookmarkStart w:id="595" w:name="_Toc98967402"/>
    </w:p>
    <w:p w14:paraId="52E4462B" w14:textId="74F06EF3" w:rsidR="00720228" w:rsidRPr="009D4627" w:rsidRDefault="00F418D9" w:rsidP="00C4130D">
      <w:pPr>
        <w:pStyle w:val="Caption"/>
      </w:pPr>
      <w:r w:rsidRPr="009D4627">
        <w:lastRenderedPageBreak/>
        <w:t>Appendix 1.</w:t>
      </w:r>
      <w:r w:rsidR="002E63E9" w:rsidRPr="009D4627">
        <w:fldChar w:fldCharType="begin"/>
      </w:r>
      <w:r w:rsidR="002E63E9" w:rsidRPr="009D4627">
        <w:instrText xml:space="preserve"> SEQ Appendix_1. \* ARABIC </w:instrText>
      </w:r>
      <w:r w:rsidR="002E63E9" w:rsidRPr="009D4627">
        <w:fldChar w:fldCharType="separate"/>
      </w:r>
      <w:r w:rsidR="00E268F6">
        <w:rPr>
          <w:noProof/>
        </w:rPr>
        <w:t>2</w:t>
      </w:r>
      <w:r w:rsidR="002E63E9" w:rsidRPr="009D4627">
        <w:rPr>
          <w:noProof/>
        </w:rPr>
        <w:fldChar w:fldCharType="end"/>
      </w:r>
      <w:r w:rsidRPr="009D4627">
        <w:t>:</w:t>
      </w:r>
      <w:r w:rsidR="0071060C">
        <w:t xml:space="preserve"> </w:t>
      </w:r>
      <w:r w:rsidR="00720228" w:rsidRPr="009D4627">
        <w:t xml:space="preserve">Participant information sheet for </w:t>
      </w:r>
      <w:bookmarkEnd w:id="589"/>
      <w:bookmarkEnd w:id="590"/>
      <w:r w:rsidR="00C73FAB" w:rsidRPr="009D4627">
        <w:t>C</w:t>
      </w:r>
      <w:r w:rsidR="006C22BE" w:rsidRPr="009D4627">
        <w:t>hapter 3 and</w:t>
      </w:r>
      <w:r w:rsidR="008D0D6F" w:rsidRPr="009D4627">
        <w:t xml:space="preserve"> 4.</w:t>
      </w:r>
      <w:bookmarkEnd w:id="594"/>
      <w:bookmarkEnd w:id="595"/>
      <w:r w:rsidR="006C22BE" w:rsidRPr="009D4627">
        <w:t xml:space="preserve"> </w:t>
      </w:r>
      <w:r w:rsidR="00720228" w:rsidRPr="009D4627">
        <w:t xml:space="preserve"> </w:t>
      </w:r>
    </w:p>
    <w:p w14:paraId="3BFCBEB4" w14:textId="77777777" w:rsidR="00A11B1C" w:rsidRPr="009D4627" w:rsidRDefault="00A11B1C" w:rsidP="00A11B1C">
      <w:pPr>
        <w:spacing w:after="0" w:line="240" w:lineRule="auto"/>
        <w:jc w:val="center"/>
        <w:rPr>
          <w:rFonts w:eastAsia="Calibri"/>
          <w:b/>
          <w:color w:val="auto"/>
          <w:sz w:val="20"/>
          <w:szCs w:val="20"/>
        </w:rPr>
      </w:pPr>
    </w:p>
    <w:p w14:paraId="60615D0D" w14:textId="2D4B4758" w:rsidR="00720228" w:rsidRPr="009D4627" w:rsidRDefault="00720228" w:rsidP="00A11B1C">
      <w:pPr>
        <w:spacing w:after="0" w:line="240" w:lineRule="auto"/>
        <w:jc w:val="center"/>
        <w:rPr>
          <w:rFonts w:eastAsia="Calibri"/>
          <w:b/>
          <w:color w:val="auto"/>
          <w:sz w:val="20"/>
          <w:szCs w:val="20"/>
        </w:rPr>
      </w:pPr>
      <w:r w:rsidRPr="009D4627">
        <w:rPr>
          <w:rFonts w:eastAsia="Calibri"/>
          <w:b/>
          <w:color w:val="auto"/>
          <w:sz w:val="20"/>
          <w:szCs w:val="20"/>
        </w:rPr>
        <w:t>Participant Information</w:t>
      </w:r>
    </w:p>
    <w:p w14:paraId="1618C221"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Project Title: A study to measure normal eye movement in different age groups.</w:t>
      </w:r>
    </w:p>
    <w:p w14:paraId="6FD4F133"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 xml:space="preserve">You are being invited to take part in a research project. Before you decide </w:t>
      </w:r>
      <w:proofErr w:type="gramStart"/>
      <w:r w:rsidRPr="009D4627">
        <w:rPr>
          <w:rFonts w:eastAsia="Calibri"/>
          <w:color w:val="auto"/>
          <w:sz w:val="20"/>
          <w:szCs w:val="20"/>
        </w:rPr>
        <w:t>whether or not</w:t>
      </w:r>
      <w:proofErr w:type="gramEnd"/>
      <w:r w:rsidRPr="009D4627">
        <w:rPr>
          <w:rFonts w:eastAsia="Calibri"/>
          <w:color w:val="auto"/>
          <w:sz w:val="20"/>
          <w:szCs w:val="20"/>
        </w:rPr>
        <w:t xml:space="preserve"> to participate it is important for you to understand why the research is being done and what it will involve. Please take time to read the following information carefully and discuss it with others if you wish. Please ask if there is anything that is not clear or if you would like more information. Thank you for reading this.</w:t>
      </w:r>
    </w:p>
    <w:p w14:paraId="5213A7A7"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What is the project’s purpose?</w:t>
      </w:r>
    </w:p>
    <w:p w14:paraId="57138F54" w14:textId="77777777" w:rsidR="00720228" w:rsidRPr="009D4627" w:rsidRDefault="00720228" w:rsidP="00A11B1C">
      <w:pPr>
        <w:spacing w:after="120" w:line="240" w:lineRule="auto"/>
        <w:rPr>
          <w:rFonts w:eastAsia="Calibri"/>
          <w:color w:val="auto"/>
          <w:sz w:val="20"/>
          <w:szCs w:val="20"/>
        </w:rPr>
      </w:pPr>
      <w:r w:rsidRPr="009D4627">
        <w:rPr>
          <w:rFonts w:eastAsia="Calibri"/>
          <w:color w:val="auto"/>
          <w:sz w:val="20"/>
          <w:szCs w:val="20"/>
        </w:rPr>
        <w:t>The research aims to establish normal values for three types of eye movement using a video-based eye movement recorder. The eye movements include fixation of a stationary target; following a target moving smoothly on a screen; and quickly changing fixation from one target to another. Specifically, the aim is to define normal values in adults of different age groups.</w:t>
      </w:r>
    </w:p>
    <w:p w14:paraId="3A31285E"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 xml:space="preserve">Why have I been chosen? </w:t>
      </w:r>
    </w:p>
    <w:p w14:paraId="0AE67F7C"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You have been invited to participate because you have no known eye problems and good vision in both eyes.</w:t>
      </w:r>
    </w:p>
    <w:p w14:paraId="15A2E896"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What will happen to me if I take part?</w:t>
      </w:r>
    </w:p>
    <w:p w14:paraId="25C18FD2"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 xml:space="preserve">We will invite you to the Academic Unit of Ophthalmology and Orthoptics within the Medical School at the University of Sheffield. At this visit we will record your eye movements using a camera. To do this you will need to put your head onto a chin rest and look at a target on a computer screen. This will take approximately 20 minutes. The eye movement recording will not cause any discomfort and there will be no contact with your eyes. The recorded data will be saved on a university computer and will not contain any personal information. </w:t>
      </w:r>
    </w:p>
    <w:p w14:paraId="0DB73027"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 xml:space="preserve">We are unfortunately not able to offer payment for taking part. But if you are an undergraduate Orthoptic student, you will receive tokens. </w:t>
      </w:r>
    </w:p>
    <w:p w14:paraId="045E5F67"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What are the possible benefits of taking part?</w:t>
      </w:r>
    </w:p>
    <w:p w14:paraId="337EA479"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 xml:space="preserve">Your contribution will be invaluable to establish the normal eye movement responses in various age groups. After establishing this, we are planning to use the same equipment to detect any subtle changes to the eye movements that occur in patients with sudden onset double vision. The comparison with normal values will enable deficiencies to be identified. The aim of this follow-on study is to improve the care of patients with double vision by monitoring progression of the eye movement disorder and assist in development of more precise management planning. </w:t>
      </w:r>
    </w:p>
    <w:p w14:paraId="546002C0"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Will my taking part in this project be kept confidential?</w:t>
      </w:r>
    </w:p>
    <w:p w14:paraId="02566D39"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Yes, your participation will be anonymised. None of the information collected will contain personal details. Only the research team involved in this study will have access to your data.</w:t>
      </w:r>
    </w:p>
    <w:p w14:paraId="127EBECB" w14:textId="77777777" w:rsidR="00720228" w:rsidRPr="009D4627" w:rsidRDefault="00720228" w:rsidP="00A11B1C">
      <w:pPr>
        <w:spacing w:after="0" w:line="240" w:lineRule="auto"/>
        <w:rPr>
          <w:rFonts w:eastAsia="Calibri"/>
          <w:color w:val="auto"/>
          <w:sz w:val="20"/>
          <w:szCs w:val="20"/>
        </w:rPr>
      </w:pPr>
      <w:r w:rsidRPr="009D4627">
        <w:rPr>
          <w:rFonts w:eastAsia="Calibri"/>
          <w:b/>
          <w:color w:val="auto"/>
          <w:sz w:val="20"/>
          <w:szCs w:val="20"/>
        </w:rPr>
        <w:t>What will happen to the results of the research project?</w:t>
      </w:r>
      <w:r w:rsidRPr="009D4627">
        <w:rPr>
          <w:rFonts w:eastAsia="Calibri"/>
          <w:color w:val="auto"/>
          <w:sz w:val="20"/>
          <w:szCs w:val="20"/>
        </w:rPr>
        <w:t xml:space="preserve"> </w:t>
      </w:r>
    </w:p>
    <w:p w14:paraId="236A1FAE"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lastRenderedPageBreak/>
        <w:t>The results will be reported in the researchers PhD thesis. We also aim to present the results at a national conference and/or within a published journal. Participants will remain unidentifiable in any dissemination of results.</w:t>
      </w:r>
    </w:p>
    <w:p w14:paraId="03D33FB9" w14:textId="77777777" w:rsidR="00720228" w:rsidRPr="009D4627" w:rsidRDefault="00720228" w:rsidP="00A11B1C">
      <w:pPr>
        <w:spacing w:after="0" w:line="240" w:lineRule="auto"/>
        <w:rPr>
          <w:rFonts w:eastAsia="Calibri"/>
          <w:color w:val="auto"/>
          <w:sz w:val="20"/>
          <w:szCs w:val="20"/>
        </w:rPr>
      </w:pPr>
      <w:r w:rsidRPr="009D4627">
        <w:rPr>
          <w:rFonts w:eastAsia="Calibri"/>
          <w:b/>
          <w:color w:val="auto"/>
          <w:sz w:val="20"/>
          <w:szCs w:val="20"/>
        </w:rPr>
        <w:t>Who is organising and funding the research?</w:t>
      </w:r>
      <w:r w:rsidRPr="009D4627">
        <w:rPr>
          <w:rFonts w:eastAsia="Calibri"/>
          <w:color w:val="auto"/>
          <w:sz w:val="20"/>
          <w:szCs w:val="20"/>
        </w:rPr>
        <w:t xml:space="preserve"> </w:t>
      </w:r>
    </w:p>
    <w:p w14:paraId="5A404EB5"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This study is part of a PhD study and has received no external funding.</w:t>
      </w:r>
    </w:p>
    <w:p w14:paraId="7224EFB2" w14:textId="77777777" w:rsidR="00720228" w:rsidRPr="009D4627" w:rsidRDefault="00720228" w:rsidP="00A11B1C">
      <w:pPr>
        <w:spacing w:after="0" w:line="240" w:lineRule="auto"/>
        <w:rPr>
          <w:rFonts w:eastAsia="Calibri"/>
          <w:b/>
          <w:color w:val="auto"/>
          <w:sz w:val="20"/>
          <w:szCs w:val="20"/>
        </w:rPr>
      </w:pPr>
      <w:r w:rsidRPr="009D4627">
        <w:rPr>
          <w:rFonts w:eastAsia="Calibri"/>
          <w:b/>
          <w:color w:val="auto"/>
          <w:sz w:val="20"/>
          <w:szCs w:val="20"/>
        </w:rPr>
        <w:t xml:space="preserve">Who has ethically reviewed the project? </w:t>
      </w:r>
    </w:p>
    <w:p w14:paraId="0E0C6F63"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This project has been ethically approved by the Medical School Ethics Committee.</w:t>
      </w:r>
    </w:p>
    <w:p w14:paraId="102DB81B" w14:textId="77777777" w:rsidR="00720228" w:rsidRPr="009D4627" w:rsidRDefault="00720228" w:rsidP="00A11B1C">
      <w:pPr>
        <w:spacing w:after="0" w:line="240" w:lineRule="auto"/>
        <w:rPr>
          <w:rFonts w:eastAsia="Calibri"/>
          <w:color w:val="auto"/>
          <w:sz w:val="20"/>
          <w:szCs w:val="20"/>
        </w:rPr>
      </w:pPr>
      <w:r w:rsidRPr="009D4627">
        <w:rPr>
          <w:rFonts w:eastAsia="Calibri"/>
          <w:b/>
          <w:color w:val="auto"/>
          <w:sz w:val="20"/>
          <w:szCs w:val="20"/>
        </w:rPr>
        <w:t>Contact for further information</w:t>
      </w:r>
      <w:r w:rsidRPr="009D4627">
        <w:rPr>
          <w:rFonts w:eastAsia="Calibri"/>
          <w:color w:val="auto"/>
          <w:sz w:val="20"/>
          <w:szCs w:val="20"/>
        </w:rPr>
        <w:t xml:space="preserve"> </w:t>
      </w:r>
    </w:p>
    <w:p w14:paraId="44FCA838"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 xml:space="preserve">For further information, please contact the research Lead: </w:t>
      </w:r>
    </w:p>
    <w:p w14:paraId="2BCE3FF7" w14:textId="77777777" w:rsidR="00720228" w:rsidRPr="009D4627" w:rsidRDefault="00720228" w:rsidP="00A11B1C">
      <w:pPr>
        <w:shd w:val="clear" w:color="auto" w:fill="FFFFFF"/>
        <w:spacing w:after="120" w:line="240" w:lineRule="auto"/>
        <w:rPr>
          <w:rFonts w:eastAsia="Calibri"/>
          <w:color w:val="auto"/>
          <w:sz w:val="20"/>
          <w:szCs w:val="20"/>
        </w:rPr>
      </w:pPr>
      <w:r w:rsidRPr="009D4627">
        <w:rPr>
          <w:rFonts w:eastAsia="Calibri"/>
          <w:color w:val="auto"/>
          <w:sz w:val="20"/>
          <w:szCs w:val="20"/>
        </w:rPr>
        <w:t xml:space="preserve">Dr Helen Griffiths, Senior Lecturer, </w:t>
      </w:r>
      <w:r w:rsidRPr="009D4627">
        <w:rPr>
          <w:rFonts w:eastAsia="Times New Roman"/>
          <w:color w:val="222222"/>
          <w:sz w:val="20"/>
          <w:szCs w:val="20"/>
          <w:lang w:eastAsia="en-GB"/>
        </w:rPr>
        <w:t xml:space="preserve">Academic Unit of Medical Physics, O Floor, Faculty of Medicine, Dentistry and Health, University of Sheffield, Beech Hill Rd, Sheffield, S10 2RX. </w:t>
      </w:r>
      <w:hyperlink r:id="rId250" w:history="1">
        <w:r w:rsidRPr="009D4627">
          <w:rPr>
            <w:rFonts w:eastAsia="Calibri"/>
            <w:color w:val="0000FF"/>
            <w:sz w:val="20"/>
            <w:szCs w:val="20"/>
            <w:u w:val="single"/>
          </w:rPr>
          <w:t>h.griffiths@sheffield.ac.uk</w:t>
        </w:r>
      </w:hyperlink>
    </w:p>
    <w:p w14:paraId="2278B57B" w14:textId="77777777" w:rsidR="00720228" w:rsidRPr="009D4627" w:rsidRDefault="00720228" w:rsidP="00A11B1C">
      <w:pPr>
        <w:shd w:val="clear" w:color="auto" w:fill="FFFFFF"/>
        <w:spacing w:after="120" w:line="240" w:lineRule="auto"/>
        <w:rPr>
          <w:rFonts w:eastAsia="Calibri"/>
          <w:color w:val="auto"/>
          <w:sz w:val="20"/>
          <w:szCs w:val="20"/>
        </w:rPr>
      </w:pPr>
      <w:r w:rsidRPr="009D4627">
        <w:rPr>
          <w:rFonts w:eastAsia="Calibri"/>
          <w:color w:val="auto"/>
          <w:sz w:val="20"/>
          <w:szCs w:val="20"/>
        </w:rPr>
        <w:t>Or</w:t>
      </w:r>
    </w:p>
    <w:p w14:paraId="0BD705DB" w14:textId="77777777" w:rsidR="00720228" w:rsidRPr="009D4627" w:rsidRDefault="00720228" w:rsidP="00A11B1C">
      <w:pPr>
        <w:shd w:val="clear" w:color="auto" w:fill="FFFFFF"/>
        <w:spacing w:after="120" w:line="240" w:lineRule="auto"/>
        <w:rPr>
          <w:rFonts w:eastAsia="Calibri"/>
          <w:color w:val="auto"/>
          <w:sz w:val="20"/>
          <w:szCs w:val="20"/>
        </w:rPr>
      </w:pPr>
      <w:r w:rsidRPr="009D4627">
        <w:rPr>
          <w:rFonts w:eastAsia="Calibri"/>
          <w:color w:val="auto"/>
          <w:sz w:val="20"/>
          <w:szCs w:val="20"/>
        </w:rPr>
        <w:t xml:space="preserve">Dr Helen Davis, Professor of Orthoptics, Academic Unit of Ophthalmology and Orthoptics, E Floor, Faculty of Medicine, Dentistry and Health, University of Sheffield, Beech Hill Rd, Sheffield, S10 2RX. </w:t>
      </w:r>
      <w:hyperlink r:id="rId251" w:history="1">
        <w:r w:rsidRPr="009D4627">
          <w:rPr>
            <w:rFonts w:eastAsia="Calibri"/>
            <w:color w:val="0000FF"/>
            <w:sz w:val="20"/>
            <w:szCs w:val="20"/>
            <w:u w:val="single"/>
          </w:rPr>
          <w:t>h.davis@sheffield.ac.uk</w:t>
        </w:r>
      </w:hyperlink>
    </w:p>
    <w:p w14:paraId="530851B0" w14:textId="77777777" w:rsidR="00720228" w:rsidRPr="009D4627" w:rsidRDefault="00720228" w:rsidP="00A11B1C">
      <w:pPr>
        <w:shd w:val="clear" w:color="auto" w:fill="FFFFFF"/>
        <w:spacing w:after="120" w:line="240" w:lineRule="auto"/>
        <w:rPr>
          <w:rFonts w:eastAsia="Calibri"/>
          <w:color w:val="auto"/>
          <w:sz w:val="20"/>
          <w:szCs w:val="20"/>
        </w:rPr>
      </w:pPr>
      <w:r w:rsidRPr="009D4627">
        <w:rPr>
          <w:rFonts w:eastAsia="Calibri"/>
          <w:color w:val="auto"/>
          <w:sz w:val="20"/>
          <w:szCs w:val="20"/>
        </w:rPr>
        <w:t>Or</w:t>
      </w:r>
    </w:p>
    <w:p w14:paraId="0132B072"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 xml:space="preserve">Noor Wafirah Shafee, Post-graduate Researcher. </w:t>
      </w:r>
      <w:hyperlink r:id="rId252" w:history="1">
        <w:r w:rsidRPr="009D4627">
          <w:rPr>
            <w:rFonts w:eastAsia="Calibri"/>
            <w:color w:val="0000FF"/>
            <w:sz w:val="20"/>
            <w:szCs w:val="20"/>
            <w:u w:val="single"/>
          </w:rPr>
          <w:t>nwshafee1@sheffield.ac.uk</w:t>
        </w:r>
      </w:hyperlink>
    </w:p>
    <w:p w14:paraId="10A7C149" w14:textId="77777777" w:rsidR="00720228" w:rsidRPr="009D4627" w:rsidRDefault="00720228" w:rsidP="00A11B1C">
      <w:pPr>
        <w:spacing w:after="0" w:line="240" w:lineRule="auto"/>
        <w:rPr>
          <w:rFonts w:eastAsia="Calibri"/>
          <w:color w:val="auto"/>
          <w:sz w:val="20"/>
          <w:szCs w:val="20"/>
        </w:rPr>
      </w:pPr>
    </w:p>
    <w:p w14:paraId="0EAEC605" w14:textId="77777777" w:rsidR="00720228" w:rsidRPr="009D4627" w:rsidRDefault="00720228" w:rsidP="00A11B1C">
      <w:pPr>
        <w:spacing w:after="0" w:line="240" w:lineRule="auto"/>
        <w:rPr>
          <w:rFonts w:eastAsia="Calibri"/>
          <w:color w:val="auto"/>
          <w:sz w:val="20"/>
          <w:szCs w:val="20"/>
        </w:rPr>
      </w:pPr>
      <w:r w:rsidRPr="009D4627">
        <w:rPr>
          <w:rFonts w:eastAsia="Calibri"/>
          <w:color w:val="auto"/>
          <w:sz w:val="20"/>
          <w:szCs w:val="20"/>
        </w:rPr>
        <w:t>You will be given a copy of the information sheet and a signed consent form to keep</w:t>
      </w:r>
    </w:p>
    <w:p w14:paraId="61EF6B25" w14:textId="77777777" w:rsidR="00720228" w:rsidRPr="009D4627" w:rsidRDefault="00720228" w:rsidP="00A11B1C">
      <w:pPr>
        <w:spacing w:after="0" w:line="240" w:lineRule="auto"/>
        <w:rPr>
          <w:rFonts w:eastAsia="Calibri"/>
          <w:color w:val="auto"/>
          <w:sz w:val="20"/>
          <w:szCs w:val="20"/>
        </w:rPr>
      </w:pPr>
    </w:p>
    <w:p w14:paraId="38EE4AEA" w14:textId="77777777" w:rsidR="00720228" w:rsidRPr="009D4627" w:rsidRDefault="00720228" w:rsidP="00A11B1C">
      <w:pPr>
        <w:spacing w:after="0" w:line="240" w:lineRule="auto"/>
        <w:jc w:val="center"/>
        <w:rPr>
          <w:rFonts w:eastAsia="Calibri"/>
          <w:b/>
          <w:color w:val="auto"/>
          <w:sz w:val="20"/>
          <w:szCs w:val="20"/>
        </w:rPr>
      </w:pPr>
      <w:r w:rsidRPr="009D4627">
        <w:rPr>
          <w:rFonts w:eastAsia="Calibri"/>
          <w:b/>
          <w:color w:val="auto"/>
          <w:sz w:val="20"/>
          <w:szCs w:val="20"/>
        </w:rPr>
        <w:t>Thank you for considering taking part in the project</w:t>
      </w:r>
    </w:p>
    <w:p w14:paraId="28BCB459" w14:textId="77777777" w:rsidR="00720228" w:rsidRPr="009D4627" w:rsidRDefault="00720228" w:rsidP="00A11B1C">
      <w:pPr>
        <w:spacing w:after="0" w:line="240" w:lineRule="auto"/>
        <w:rPr>
          <w:color w:val="auto"/>
          <w:sz w:val="20"/>
          <w:szCs w:val="20"/>
        </w:rPr>
      </w:pPr>
    </w:p>
    <w:p w14:paraId="6A5F7CCB" w14:textId="77777777" w:rsidR="00720228" w:rsidRPr="009D4627" w:rsidRDefault="00720228" w:rsidP="00971F41">
      <w:pPr>
        <w:spacing w:after="0"/>
        <w:jc w:val="center"/>
        <w:rPr>
          <w:color w:val="auto"/>
          <w:sz w:val="20"/>
          <w:szCs w:val="20"/>
        </w:rPr>
      </w:pPr>
    </w:p>
    <w:p w14:paraId="6C435601" w14:textId="77777777" w:rsidR="00720228" w:rsidRPr="009D4627" w:rsidRDefault="00720228" w:rsidP="00971F41">
      <w:pPr>
        <w:spacing w:after="0"/>
        <w:jc w:val="center"/>
        <w:rPr>
          <w:color w:val="auto"/>
          <w:sz w:val="20"/>
          <w:szCs w:val="20"/>
        </w:rPr>
      </w:pPr>
    </w:p>
    <w:p w14:paraId="6E475188" w14:textId="77777777" w:rsidR="00720228" w:rsidRPr="009D4627" w:rsidRDefault="00720228" w:rsidP="00971F41">
      <w:pPr>
        <w:spacing w:after="0"/>
        <w:jc w:val="center"/>
        <w:rPr>
          <w:color w:val="auto"/>
          <w:sz w:val="20"/>
          <w:szCs w:val="20"/>
        </w:rPr>
      </w:pPr>
    </w:p>
    <w:p w14:paraId="410FC146" w14:textId="77777777" w:rsidR="00720228" w:rsidRPr="009D4627" w:rsidRDefault="00720228" w:rsidP="00971F41">
      <w:pPr>
        <w:spacing w:after="0"/>
        <w:jc w:val="center"/>
        <w:rPr>
          <w:color w:val="auto"/>
          <w:sz w:val="20"/>
          <w:szCs w:val="20"/>
        </w:rPr>
      </w:pPr>
    </w:p>
    <w:p w14:paraId="5C2D370D" w14:textId="77777777" w:rsidR="00920DD4" w:rsidRPr="009D4627" w:rsidRDefault="00920DD4" w:rsidP="00C4130D">
      <w:pPr>
        <w:pStyle w:val="Caption"/>
        <w:sectPr w:rsidR="00920DD4" w:rsidRPr="009D4627" w:rsidSect="00477959">
          <w:pgSz w:w="11906" w:h="16838" w:code="9"/>
          <w:pgMar w:top="1440" w:right="1440" w:bottom="1440" w:left="1440" w:header="708" w:footer="708" w:gutter="0"/>
          <w:cols w:space="708"/>
          <w:docGrid w:linePitch="360"/>
        </w:sectPr>
      </w:pPr>
      <w:bookmarkStart w:id="596" w:name="_Toc55942567"/>
      <w:bookmarkStart w:id="597" w:name="_Toc57322401"/>
      <w:bookmarkStart w:id="598" w:name="_Toc70088692"/>
    </w:p>
    <w:p w14:paraId="5DE9E4EB" w14:textId="0BB6F038" w:rsidR="00720228" w:rsidRPr="009D4627" w:rsidRDefault="00F418D9" w:rsidP="00C4130D">
      <w:pPr>
        <w:pStyle w:val="Caption"/>
      </w:pPr>
      <w:bookmarkStart w:id="599" w:name="_Toc98967403"/>
      <w:r w:rsidRPr="009D4627">
        <w:lastRenderedPageBreak/>
        <w:t>Appendix 1.</w:t>
      </w:r>
      <w:r w:rsidR="002E63E9" w:rsidRPr="009D4627">
        <w:fldChar w:fldCharType="begin"/>
      </w:r>
      <w:r w:rsidR="002E63E9" w:rsidRPr="009D4627">
        <w:instrText xml:space="preserve"> SEQ Appendix_1. \* ARABIC </w:instrText>
      </w:r>
      <w:r w:rsidR="002E63E9" w:rsidRPr="009D4627">
        <w:fldChar w:fldCharType="separate"/>
      </w:r>
      <w:r w:rsidR="00E268F6">
        <w:rPr>
          <w:noProof/>
        </w:rPr>
        <w:t>3</w:t>
      </w:r>
      <w:r w:rsidR="002E63E9" w:rsidRPr="009D4627">
        <w:rPr>
          <w:noProof/>
        </w:rPr>
        <w:fldChar w:fldCharType="end"/>
      </w:r>
      <w:r w:rsidRPr="009D4627">
        <w:t xml:space="preserve">: </w:t>
      </w:r>
      <w:r w:rsidR="00703F33" w:rsidRPr="009D4627">
        <w:t>Participant c</w:t>
      </w:r>
      <w:r w:rsidR="00720228" w:rsidRPr="009D4627">
        <w:t xml:space="preserve">onsent form for </w:t>
      </w:r>
      <w:r w:rsidR="00C73FAB" w:rsidRPr="009D4627">
        <w:t>C</w:t>
      </w:r>
      <w:r w:rsidR="006C22BE" w:rsidRPr="009D4627">
        <w:t>hapter</w:t>
      </w:r>
      <w:r w:rsidR="00C73FAB" w:rsidRPr="009D4627">
        <w:t>s</w:t>
      </w:r>
      <w:r w:rsidR="006C22BE" w:rsidRPr="009D4627">
        <w:t xml:space="preserve"> 3 and 4</w:t>
      </w:r>
      <w:r w:rsidR="00720228" w:rsidRPr="009D4627">
        <w:t>.</w:t>
      </w:r>
      <w:bookmarkEnd w:id="596"/>
      <w:bookmarkEnd w:id="597"/>
      <w:bookmarkEnd w:id="598"/>
      <w:bookmarkEnd w:id="599"/>
    </w:p>
    <w:p w14:paraId="79321C8E" w14:textId="77777777" w:rsidR="003F1D28" w:rsidRPr="009D4627" w:rsidRDefault="003F1D28" w:rsidP="00C73FAB">
      <w:pPr>
        <w:spacing w:before="0" w:after="0" w:line="240" w:lineRule="auto"/>
        <w:rPr>
          <w:lang w:val="en-MY"/>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16"/>
      </w:tblGrid>
      <w:tr w:rsidR="00720228" w:rsidRPr="009D4627" w14:paraId="155F2126" w14:textId="77777777" w:rsidTr="00971F41">
        <w:tc>
          <w:tcPr>
            <w:tcW w:w="9016" w:type="dxa"/>
          </w:tcPr>
          <w:p w14:paraId="245F5669" w14:textId="77777777" w:rsidR="00720228" w:rsidRPr="009D4627" w:rsidRDefault="00720228" w:rsidP="00D03588">
            <w:pPr>
              <w:spacing w:before="0" w:after="0"/>
              <w:rPr>
                <w:rFonts w:eastAsia="Calibri"/>
                <w:color w:val="auto"/>
                <w:sz w:val="20"/>
                <w:szCs w:val="20"/>
              </w:rPr>
            </w:pPr>
            <w:r w:rsidRPr="009D4627">
              <w:rPr>
                <w:b/>
                <w:color w:val="auto"/>
                <w:sz w:val="20"/>
                <w:szCs w:val="20"/>
              </w:rPr>
              <w:t>Title of Research Project:</w:t>
            </w:r>
            <w:r w:rsidRPr="009D4627">
              <w:rPr>
                <w:color w:val="auto"/>
                <w:sz w:val="20"/>
                <w:szCs w:val="20"/>
              </w:rPr>
              <w:t xml:space="preserve"> </w:t>
            </w:r>
            <w:r w:rsidRPr="009D4627">
              <w:rPr>
                <w:rFonts w:eastAsia="Calibri"/>
                <w:b/>
                <w:color w:val="auto"/>
                <w:sz w:val="20"/>
                <w:szCs w:val="20"/>
              </w:rPr>
              <w:t>A study to measure normal eye movement in different age groups.</w:t>
            </w:r>
          </w:p>
          <w:p w14:paraId="4CB24BBD" w14:textId="77777777" w:rsidR="00720228" w:rsidRPr="009D4627" w:rsidRDefault="00720228" w:rsidP="00971F41">
            <w:pPr>
              <w:spacing w:after="0"/>
              <w:rPr>
                <w:color w:val="auto"/>
                <w:sz w:val="20"/>
                <w:szCs w:val="20"/>
              </w:rPr>
            </w:pPr>
            <w:r w:rsidRPr="009D4627">
              <w:rPr>
                <w:b/>
                <w:color w:val="auto"/>
                <w:sz w:val="20"/>
                <w:szCs w:val="20"/>
              </w:rPr>
              <w:t>Name of Researchers:</w:t>
            </w:r>
            <w:r w:rsidRPr="009D4627">
              <w:rPr>
                <w:color w:val="auto"/>
                <w:sz w:val="20"/>
                <w:szCs w:val="20"/>
              </w:rPr>
              <w:t xml:space="preserve"> Noor Wafirah Shafee, Dr Helen Griffiths, Professor Helen Davis</w:t>
            </w:r>
          </w:p>
          <w:p w14:paraId="634C66EE" w14:textId="77777777" w:rsidR="00720228" w:rsidRPr="009D4627" w:rsidRDefault="00720228" w:rsidP="00E0424F">
            <w:pPr>
              <w:spacing w:after="0"/>
              <w:jc w:val="left"/>
              <w:rPr>
                <w:rFonts w:eastAsia="Times New Roman"/>
                <w:b/>
                <w:bCs/>
                <w:color w:val="auto"/>
                <w:sz w:val="20"/>
                <w:szCs w:val="20"/>
              </w:rPr>
            </w:pPr>
            <w:r w:rsidRPr="009D4627">
              <w:rPr>
                <w:rFonts w:eastAsia="Times New Roman"/>
                <w:b/>
                <w:bCs/>
                <w:color w:val="auto"/>
                <w:sz w:val="20"/>
                <w:szCs w:val="20"/>
              </w:rPr>
              <w:t>Participant Identification Number for this project:</w:t>
            </w:r>
            <w:r w:rsidRPr="009D4627">
              <w:rPr>
                <w:rFonts w:eastAsia="Times New Roman"/>
                <w:b/>
                <w:bCs/>
                <w:color w:val="auto"/>
                <w:sz w:val="20"/>
                <w:szCs w:val="20"/>
              </w:rPr>
              <w:tab/>
              <w:t xml:space="preserve">                                              Please initial box</w:t>
            </w:r>
          </w:p>
          <w:p w14:paraId="2A1E48AD" w14:textId="08A445D9" w:rsidR="00720228" w:rsidRPr="009D4627" w:rsidRDefault="00A2792E" w:rsidP="003F408B">
            <w:pPr>
              <w:numPr>
                <w:ilvl w:val="0"/>
                <w:numId w:val="91"/>
              </w:numPr>
              <w:tabs>
                <w:tab w:val="num" w:pos="360"/>
              </w:tabs>
              <w:spacing w:before="0" w:after="0" w:line="240" w:lineRule="auto"/>
              <w:ind w:left="360"/>
              <w:jc w:val="left"/>
              <w:rPr>
                <w:color w:val="auto"/>
                <w:sz w:val="20"/>
                <w:szCs w:val="20"/>
              </w:rPr>
            </w:pPr>
            <w:r w:rsidRPr="009D4627">
              <w:rPr>
                <w:noProof/>
              </w:rPr>
              <mc:AlternateContent>
                <mc:Choice Requires="wps">
                  <w:drawing>
                    <wp:anchor distT="0" distB="0" distL="114300" distR="114300" simplePos="0" relativeHeight="251658240" behindDoc="0" locked="0" layoutInCell="1" allowOverlap="1" wp14:anchorId="331CE020" wp14:editId="310CAD2B">
                      <wp:simplePos x="0" y="0"/>
                      <wp:positionH relativeFrom="column">
                        <wp:posOffset>5143500</wp:posOffset>
                      </wp:positionH>
                      <wp:positionV relativeFrom="paragraph">
                        <wp:posOffset>34925</wp:posOffset>
                      </wp:positionV>
                      <wp:extent cx="457200" cy="342900"/>
                      <wp:effectExtent l="0" t="0" r="0" b="0"/>
                      <wp:wrapNone/>
                      <wp:docPr id="24014" name="Rectangle 24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F3B30" id="Rectangle 24014" o:spid="_x0000_s1026" style="position:absolute;margin-left:405pt;margin-top:2.75pt;width:3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"/>
                  </w:pict>
                </mc:Fallback>
              </mc:AlternateContent>
            </w:r>
            <w:r w:rsidR="00720228" w:rsidRPr="009D4627">
              <w:rPr>
                <w:color w:val="auto"/>
                <w:sz w:val="20"/>
                <w:szCs w:val="20"/>
              </w:rPr>
              <w:t xml:space="preserve">I confirm that I have read and understand the information sheet dated 29/03/17 </w:t>
            </w:r>
          </w:p>
          <w:p w14:paraId="66D6EBD6" w14:textId="77777777" w:rsidR="00720228" w:rsidRPr="009D4627" w:rsidRDefault="00720228" w:rsidP="00D03588">
            <w:pPr>
              <w:spacing w:before="0" w:after="0" w:line="240" w:lineRule="auto"/>
              <w:ind w:left="360"/>
              <w:rPr>
                <w:color w:val="auto"/>
                <w:sz w:val="20"/>
                <w:szCs w:val="20"/>
              </w:rPr>
            </w:pPr>
            <w:r w:rsidRPr="009D4627">
              <w:rPr>
                <w:color w:val="auto"/>
                <w:sz w:val="20"/>
                <w:szCs w:val="20"/>
              </w:rPr>
              <w:t xml:space="preserve">explaining the above research project and I have had the opportunity to ask </w:t>
            </w:r>
          </w:p>
          <w:p w14:paraId="5E226C86" w14:textId="77777777" w:rsidR="00720228" w:rsidRPr="009D4627" w:rsidRDefault="00720228" w:rsidP="00D03588">
            <w:pPr>
              <w:spacing w:before="0" w:after="0" w:line="240" w:lineRule="auto"/>
              <w:ind w:left="360"/>
              <w:rPr>
                <w:color w:val="auto"/>
                <w:sz w:val="20"/>
                <w:szCs w:val="20"/>
              </w:rPr>
            </w:pPr>
            <w:r w:rsidRPr="009D4627">
              <w:rPr>
                <w:color w:val="auto"/>
                <w:sz w:val="20"/>
                <w:szCs w:val="20"/>
              </w:rPr>
              <w:t>questions about the project.</w:t>
            </w:r>
          </w:p>
          <w:p w14:paraId="40957D55" w14:textId="5DCEEB7C" w:rsidR="00720228" w:rsidRPr="009D4627" w:rsidRDefault="00A2792E" w:rsidP="003F408B">
            <w:pPr>
              <w:numPr>
                <w:ilvl w:val="0"/>
                <w:numId w:val="91"/>
              </w:numPr>
              <w:tabs>
                <w:tab w:val="num" w:pos="360"/>
              </w:tabs>
              <w:spacing w:after="0" w:line="240" w:lineRule="auto"/>
              <w:ind w:left="360"/>
              <w:jc w:val="left"/>
              <w:rPr>
                <w:color w:val="auto"/>
                <w:sz w:val="20"/>
                <w:szCs w:val="20"/>
              </w:rPr>
            </w:pPr>
            <w:r w:rsidRPr="009D4627">
              <w:rPr>
                <w:noProof/>
              </w:rPr>
              <mc:AlternateContent>
                <mc:Choice Requires="wps">
                  <w:drawing>
                    <wp:anchor distT="0" distB="0" distL="114300" distR="114300" simplePos="0" relativeHeight="251659264" behindDoc="0" locked="0" layoutInCell="1" allowOverlap="1" wp14:anchorId="172D533B" wp14:editId="4E5C164C">
                      <wp:simplePos x="0" y="0"/>
                      <wp:positionH relativeFrom="column">
                        <wp:posOffset>5143500</wp:posOffset>
                      </wp:positionH>
                      <wp:positionV relativeFrom="paragraph">
                        <wp:posOffset>22225</wp:posOffset>
                      </wp:positionV>
                      <wp:extent cx="457200" cy="342900"/>
                      <wp:effectExtent l="0" t="0" r="0" b="0"/>
                      <wp:wrapNone/>
                      <wp:docPr id="24013" name="Rectangle 24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2A021" id="Rectangle 24013" o:spid="_x0000_s1026" style="position:absolute;margin-left:405pt;margin-top:1.75pt;width:36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"/>
                  </w:pict>
                </mc:Fallback>
              </mc:AlternateContent>
            </w:r>
            <w:r w:rsidR="00720228" w:rsidRPr="009D4627">
              <w:rPr>
                <w:color w:val="auto"/>
                <w:sz w:val="20"/>
                <w:szCs w:val="20"/>
              </w:rPr>
              <w:t>I understand that my participation is voluntary and that I am free to withdraw</w:t>
            </w:r>
            <w:r w:rsidR="00720228" w:rsidRPr="009D4627">
              <w:rPr>
                <w:color w:val="auto"/>
                <w:sz w:val="20"/>
                <w:szCs w:val="20"/>
              </w:rPr>
              <w:br/>
              <w:t>at any time without giving any reason and without there being any negative</w:t>
            </w:r>
            <w:r w:rsidR="00720228" w:rsidRPr="009D4627">
              <w:rPr>
                <w:color w:val="auto"/>
                <w:sz w:val="20"/>
                <w:szCs w:val="20"/>
              </w:rPr>
              <w:br/>
              <w:t>consequences. In addition, should I not wish to answer any particular</w:t>
            </w:r>
            <w:r w:rsidR="00720228" w:rsidRPr="009D4627">
              <w:rPr>
                <w:color w:val="auto"/>
                <w:sz w:val="20"/>
                <w:szCs w:val="20"/>
              </w:rPr>
              <w:br/>
              <w:t>question or questions, I am free to decline.</w:t>
            </w:r>
          </w:p>
          <w:p w14:paraId="16123F80" w14:textId="21A1AF94" w:rsidR="00720228" w:rsidRPr="009D4627" w:rsidRDefault="00A2792E" w:rsidP="003F408B">
            <w:pPr>
              <w:numPr>
                <w:ilvl w:val="0"/>
                <w:numId w:val="91"/>
              </w:numPr>
              <w:tabs>
                <w:tab w:val="left" w:pos="360"/>
              </w:tabs>
              <w:spacing w:after="0" w:line="240" w:lineRule="auto"/>
              <w:ind w:left="360"/>
              <w:jc w:val="left"/>
              <w:rPr>
                <w:color w:val="auto"/>
                <w:sz w:val="20"/>
                <w:szCs w:val="20"/>
              </w:rPr>
            </w:pPr>
            <w:r w:rsidRPr="009D4627">
              <w:rPr>
                <w:noProof/>
              </w:rPr>
              <mc:AlternateContent>
                <mc:Choice Requires="wps">
                  <w:drawing>
                    <wp:anchor distT="0" distB="0" distL="114300" distR="114300" simplePos="0" relativeHeight="251660288" behindDoc="0" locked="0" layoutInCell="1" allowOverlap="1" wp14:anchorId="620A0025" wp14:editId="3DD04CFB">
                      <wp:simplePos x="0" y="0"/>
                      <wp:positionH relativeFrom="column">
                        <wp:posOffset>5143500</wp:posOffset>
                      </wp:positionH>
                      <wp:positionV relativeFrom="paragraph">
                        <wp:posOffset>74930</wp:posOffset>
                      </wp:positionV>
                      <wp:extent cx="457200" cy="342900"/>
                      <wp:effectExtent l="0" t="0" r="0" b="0"/>
                      <wp:wrapNone/>
                      <wp:docPr id="24012" name="Rectangle 24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9AADA" id="Rectangle 24012" o:spid="_x0000_s1026" style="position:absolute;margin-left:405pt;margin-top:5.9pt;width:36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"/>
                  </w:pict>
                </mc:Fallback>
              </mc:AlternateContent>
            </w:r>
            <w:r w:rsidR="00720228" w:rsidRPr="009D4627">
              <w:rPr>
                <w:color w:val="auto"/>
                <w:sz w:val="20"/>
                <w:szCs w:val="20"/>
              </w:rPr>
              <w:t>I understand that my responses will be kept strictly confidential.</w:t>
            </w:r>
            <w:r w:rsidR="00720228" w:rsidRPr="009D4627">
              <w:rPr>
                <w:color w:val="auto"/>
                <w:sz w:val="20"/>
                <w:szCs w:val="20"/>
              </w:rPr>
              <w:br/>
              <w:t>I give permission for members of the research team to have access to my</w:t>
            </w:r>
            <w:r w:rsidR="00720228" w:rsidRPr="009D4627">
              <w:rPr>
                <w:color w:val="auto"/>
                <w:sz w:val="20"/>
                <w:szCs w:val="20"/>
              </w:rPr>
              <w:br/>
              <w:t>anonymised responses. I understand that my name will not be linked with</w:t>
            </w:r>
            <w:r w:rsidR="00720228" w:rsidRPr="009D4627">
              <w:rPr>
                <w:color w:val="auto"/>
                <w:sz w:val="20"/>
                <w:szCs w:val="20"/>
              </w:rPr>
              <w:br/>
              <w:t>the research materials, and I will not be identified or identifiable in the</w:t>
            </w:r>
            <w:r w:rsidR="00720228" w:rsidRPr="009D4627">
              <w:rPr>
                <w:color w:val="auto"/>
                <w:sz w:val="20"/>
                <w:szCs w:val="20"/>
              </w:rPr>
              <w:br/>
              <w:t xml:space="preserve">report or reports that result from the research.  </w:t>
            </w:r>
          </w:p>
          <w:p w14:paraId="00E666C5" w14:textId="00D59C87" w:rsidR="00720228" w:rsidRPr="009D4627" w:rsidRDefault="00A2792E" w:rsidP="00971F41">
            <w:pPr>
              <w:tabs>
                <w:tab w:val="left" w:pos="360"/>
              </w:tabs>
              <w:spacing w:after="0"/>
              <w:rPr>
                <w:color w:val="auto"/>
                <w:sz w:val="20"/>
                <w:szCs w:val="20"/>
              </w:rPr>
            </w:pPr>
            <w:r w:rsidRPr="009D4627">
              <w:rPr>
                <w:noProof/>
              </w:rPr>
              <mc:AlternateContent>
                <mc:Choice Requires="wps">
                  <w:drawing>
                    <wp:anchor distT="0" distB="0" distL="114300" distR="114300" simplePos="0" relativeHeight="251661312" behindDoc="0" locked="0" layoutInCell="1" allowOverlap="1" wp14:anchorId="3CF41D00" wp14:editId="7B261E2F">
                      <wp:simplePos x="0" y="0"/>
                      <wp:positionH relativeFrom="column">
                        <wp:posOffset>5141595</wp:posOffset>
                      </wp:positionH>
                      <wp:positionV relativeFrom="paragraph">
                        <wp:posOffset>95250</wp:posOffset>
                      </wp:positionV>
                      <wp:extent cx="457200" cy="342900"/>
                      <wp:effectExtent l="0" t="0" r="0" b="0"/>
                      <wp:wrapNone/>
                      <wp:docPr id="24011" name="Rectangle 24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0BE9A" id="Rectangle 24011" o:spid="_x0000_s1026" style="position:absolute;margin-left:404.85pt;margin-top:7.5pt;width:36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"/>
                  </w:pict>
                </mc:Fallback>
              </mc:AlternateContent>
            </w:r>
            <w:r w:rsidR="00720228" w:rsidRPr="009D4627">
              <w:rPr>
                <w:color w:val="auto"/>
                <w:sz w:val="20"/>
                <w:szCs w:val="20"/>
              </w:rPr>
              <w:t>4.     I agree for the data collected from me to be used in future research.</w:t>
            </w:r>
          </w:p>
          <w:p w14:paraId="25B9068D" w14:textId="15E4E3A2" w:rsidR="00720228" w:rsidRPr="009D4627" w:rsidRDefault="00A2792E" w:rsidP="003F408B">
            <w:pPr>
              <w:numPr>
                <w:ilvl w:val="0"/>
                <w:numId w:val="92"/>
              </w:numPr>
              <w:tabs>
                <w:tab w:val="left" w:pos="360"/>
              </w:tabs>
              <w:spacing w:after="0"/>
              <w:ind w:hanging="720"/>
              <w:jc w:val="left"/>
              <w:rPr>
                <w:color w:val="auto"/>
                <w:sz w:val="20"/>
                <w:szCs w:val="20"/>
              </w:rPr>
            </w:pPr>
            <w:r w:rsidRPr="009D4627">
              <w:rPr>
                <w:noProof/>
              </w:rPr>
              <mc:AlternateContent>
                <mc:Choice Requires="wps">
                  <w:drawing>
                    <wp:anchor distT="0" distB="0" distL="114300" distR="114300" simplePos="0" relativeHeight="251662336" behindDoc="0" locked="0" layoutInCell="1" allowOverlap="1" wp14:anchorId="2FD613EE" wp14:editId="0060EB96">
                      <wp:simplePos x="0" y="0"/>
                      <wp:positionH relativeFrom="column">
                        <wp:posOffset>5137785</wp:posOffset>
                      </wp:positionH>
                      <wp:positionV relativeFrom="paragraph">
                        <wp:posOffset>97790</wp:posOffset>
                      </wp:positionV>
                      <wp:extent cx="457200" cy="342900"/>
                      <wp:effectExtent l="0" t="0" r="0" b="0"/>
                      <wp:wrapNone/>
                      <wp:docPr id="24010" name="Rectangle 24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2A028" id="Rectangle 24010" o:spid="_x0000_s1026" style="position:absolute;margin-left:404.55pt;margin-top:7.7pt;width:36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"/>
                  </w:pict>
                </mc:Fallback>
              </mc:AlternateContent>
            </w:r>
            <w:r w:rsidR="00720228" w:rsidRPr="009D4627">
              <w:rPr>
                <w:color w:val="auto"/>
                <w:sz w:val="20"/>
                <w:szCs w:val="20"/>
              </w:rPr>
              <w:t>I agree to take part in the above research project.</w:t>
            </w:r>
          </w:p>
          <w:p w14:paraId="308D0CE2" w14:textId="77777777" w:rsidR="00720228" w:rsidRPr="009D4627" w:rsidRDefault="00720228" w:rsidP="00971F41">
            <w:pPr>
              <w:spacing w:after="0"/>
              <w:rPr>
                <w:color w:val="auto"/>
                <w:sz w:val="20"/>
                <w:szCs w:val="20"/>
              </w:rPr>
            </w:pPr>
          </w:p>
          <w:p w14:paraId="2E33FCCA" w14:textId="77777777" w:rsidR="00720228" w:rsidRPr="009D4627" w:rsidRDefault="00720228" w:rsidP="00971F41">
            <w:pPr>
              <w:tabs>
                <w:tab w:val="left" w:pos="3600"/>
                <w:tab w:val="left" w:pos="6480"/>
              </w:tabs>
              <w:spacing w:after="0"/>
              <w:rPr>
                <w:color w:val="auto"/>
                <w:sz w:val="20"/>
                <w:szCs w:val="20"/>
              </w:rPr>
            </w:pPr>
            <w:r w:rsidRPr="009D4627">
              <w:rPr>
                <w:color w:val="auto"/>
                <w:sz w:val="20"/>
                <w:szCs w:val="20"/>
              </w:rPr>
              <w:t>________________________</w:t>
            </w:r>
            <w:r w:rsidRPr="009D4627">
              <w:rPr>
                <w:color w:val="auto"/>
                <w:sz w:val="20"/>
                <w:szCs w:val="20"/>
              </w:rPr>
              <w:tab/>
              <w:t>________________         ____________________</w:t>
            </w:r>
          </w:p>
          <w:p w14:paraId="1B759E30" w14:textId="77777777" w:rsidR="00720228" w:rsidRPr="009D4627" w:rsidRDefault="00720228" w:rsidP="00D03588">
            <w:pPr>
              <w:tabs>
                <w:tab w:val="left" w:pos="3600"/>
                <w:tab w:val="left" w:pos="6480"/>
              </w:tabs>
              <w:spacing w:before="0" w:after="0"/>
              <w:rPr>
                <w:color w:val="auto"/>
                <w:sz w:val="20"/>
                <w:szCs w:val="20"/>
              </w:rPr>
            </w:pPr>
            <w:r w:rsidRPr="009D4627">
              <w:rPr>
                <w:color w:val="auto"/>
                <w:sz w:val="20"/>
                <w:szCs w:val="20"/>
              </w:rPr>
              <w:t>Name of Participant</w:t>
            </w:r>
            <w:r w:rsidRPr="009D4627">
              <w:rPr>
                <w:color w:val="auto"/>
                <w:sz w:val="20"/>
                <w:szCs w:val="20"/>
              </w:rPr>
              <w:tab/>
              <w:t>Date</w:t>
            </w:r>
            <w:r w:rsidRPr="009D4627">
              <w:rPr>
                <w:color w:val="auto"/>
                <w:sz w:val="20"/>
                <w:szCs w:val="20"/>
              </w:rPr>
              <w:tab/>
              <w:t>Signature</w:t>
            </w:r>
          </w:p>
          <w:p w14:paraId="3D96A507" w14:textId="77777777" w:rsidR="00720228" w:rsidRPr="009D4627" w:rsidRDefault="00720228" w:rsidP="00971F41">
            <w:pPr>
              <w:tabs>
                <w:tab w:val="left" w:pos="3600"/>
                <w:tab w:val="center" w:pos="4513"/>
                <w:tab w:val="left" w:pos="6480"/>
                <w:tab w:val="right" w:pos="9026"/>
              </w:tabs>
              <w:spacing w:after="0"/>
              <w:rPr>
                <w:color w:val="auto"/>
                <w:sz w:val="20"/>
                <w:szCs w:val="20"/>
              </w:rPr>
            </w:pPr>
            <w:r w:rsidRPr="009D4627">
              <w:rPr>
                <w:color w:val="auto"/>
                <w:sz w:val="20"/>
                <w:szCs w:val="20"/>
              </w:rPr>
              <w:t>_________________________</w:t>
            </w:r>
            <w:r w:rsidRPr="009D4627">
              <w:rPr>
                <w:color w:val="auto"/>
                <w:sz w:val="20"/>
                <w:szCs w:val="20"/>
              </w:rPr>
              <w:tab/>
              <w:t>________________         ____________________</w:t>
            </w:r>
          </w:p>
          <w:p w14:paraId="5745DB0D" w14:textId="77777777" w:rsidR="00720228" w:rsidRPr="009D4627" w:rsidRDefault="00720228" w:rsidP="00971F41">
            <w:pPr>
              <w:tabs>
                <w:tab w:val="left" w:pos="3600"/>
                <w:tab w:val="left" w:pos="6480"/>
              </w:tabs>
              <w:spacing w:after="0"/>
              <w:rPr>
                <w:color w:val="auto"/>
                <w:sz w:val="20"/>
                <w:szCs w:val="20"/>
              </w:rPr>
            </w:pPr>
            <w:r w:rsidRPr="009D4627">
              <w:rPr>
                <w:color w:val="auto"/>
                <w:sz w:val="20"/>
                <w:szCs w:val="20"/>
              </w:rPr>
              <w:t xml:space="preserve"> Lead Researcher</w:t>
            </w:r>
            <w:r w:rsidRPr="009D4627">
              <w:rPr>
                <w:color w:val="auto"/>
                <w:sz w:val="20"/>
                <w:szCs w:val="20"/>
              </w:rPr>
              <w:tab/>
              <w:t>Date</w:t>
            </w:r>
            <w:r w:rsidRPr="009D4627">
              <w:rPr>
                <w:color w:val="auto"/>
                <w:sz w:val="20"/>
                <w:szCs w:val="20"/>
              </w:rPr>
              <w:tab/>
              <w:t>Signature</w:t>
            </w:r>
          </w:p>
          <w:p w14:paraId="2DF175F0" w14:textId="77777777" w:rsidR="00720228" w:rsidRPr="009D4627" w:rsidRDefault="00720228" w:rsidP="00D03588">
            <w:pPr>
              <w:spacing w:after="0" w:line="240" w:lineRule="auto"/>
              <w:rPr>
                <w:i/>
                <w:iCs/>
                <w:color w:val="auto"/>
                <w:sz w:val="20"/>
                <w:szCs w:val="20"/>
              </w:rPr>
            </w:pPr>
            <w:r w:rsidRPr="009D4627">
              <w:rPr>
                <w:i/>
                <w:iCs/>
                <w:color w:val="auto"/>
                <w:sz w:val="20"/>
                <w:szCs w:val="20"/>
              </w:rPr>
              <w:t>To be signed and dated in presence of the participant</w:t>
            </w:r>
          </w:p>
          <w:p w14:paraId="5A305A73" w14:textId="77777777" w:rsidR="00720228" w:rsidRPr="009D4627" w:rsidRDefault="00720228" w:rsidP="00D03588">
            <w:pPr>
              <w:tabs>
                <w:tab w:val="center" w:pos="4513"/>
                <w:tab w:val="right" w:pos="9026"/>
              </w:tabs>
              <w:spacing w:after="0" w:line="240" w:lineRule="auto"/>
              <w:rPr>
                <w:color w:val="auto"/>
                <w:sz w:val="20"/>
                <w:szCs w:val="20"/>
              </w:rPr>
            </w:pPr>
            <w:r w:rsidRPr="009D4627">
              <w:rPr>
                <w:color w:val="auto"/>
                <w:sz w:val="20"/>
                <w:szCs w:val="20"/>
              </w:rPr>
              <w:t>Copies:</w:t>
            </w:r>
          </w:p>
          <w:p w14:paraId="0C0ACCCA" w14:textId="77777777" w:rsidR="00720228" w:rsidRPr="009D4627" w:rsidRDefault="00720228" w:rsidP="00D03588">
            <w:pPr>
              <w:tabs>
                <w:tab w:val="center" w:pos="4513"/>
                <w:tab w:val="right" w:pos="9026"/>
              </w:tabs>
              <w:spacing w:before="0" w:after="0" w:line="240" w:lineRule="auto"/>
              <w:rPr>
                <w:i/>
                <w:iCs/>
                <w:color w:val="auto"/>
                <w:sz w:val="20"/>
                <w:szCs w:val="20"/>
              </w:rPr>
            </w:pPr>
            <w:r w:rsidRPr="009D4627">
              <w:rPr>
                <w:i/>
                <w:iCs/>
                <w:color w:val="auto"/>
                <w:sz w:val="20"/>
                <w:szCs w:val="20"/>
              </w:rPr>
              <w:t>Once this has been signed by all parties the participant should receive a copy of the signed and dated participant consent form, the letter/pre-written script/information sheet and any other written information provided to the participants. A copy of the signed and dated consent form should be placed in the project’s main record (</w:t>
            </w:r>
            <w:proofErr w:type="gramStart"/>
            <w:r w:rsidRPr="009D4627">
              <w:rPr>
                <w:i/>
                <w:iCs/>
                <w:color w:val="auto"/>
                <w:sz w:val="20"/>
                <w:szCs w:val="20"/>
              </w:rPr>
              <w:t>e.g.</w:t>
            </w:r>
            <w:proofErr w:type="gramEnd"/>
            <w:r w:rsidRPr="009D4627">
              <w:rPr>
                <w:i/>
                <w:iCs/>
                <w:color w:val="auto"/>
                <w:sz w:val="20"/>
                <w:szCs w:val="20"/>
              </w:rPr>
              <w:t xml:space="preserve"> a site file), which must be kept in a secure location. </w:t>
            </w:r>
          </w:p>
        </w:tc>
      </w:tr>
    </w:tbl>
    <w:p w14:paraId="63B21F5F" w14:textId="5613EF83" w:rsidR="000E77F9" w:rsidRPr="009D4627" w:rsidRDefault="00F418D9" w:rsidP="00C4130D">
      <w:pPr>
        <w:pStyle w:val="Caption"/>
      </w:pPr>
      <w:bookmarkStart w:id="600" w:name="_Toc70088693"/>
      <w:bookmarkStart w:id="601" w:name="_Toc98967404"/>
      <w:r w:rsidRPr="009D4627">
        <w:lastRenderedPageBreak/>
        <w:t>Appendix 1.</w:t>
      </w:r>
      <w:r w:rsidR="002E63E9" w:rsidRPr="009D4627">
        <w:fldChar w:fldCharType="begin"/>
      </w:r>
      <w:r w:rsidR="002E63E9" w:rsidRPr="009D4627">
        <w:instrText xml:space="preserve"> SEQ Appendix_1. \* ARABIC </w:instrText>
      </w:r>
      <w:r w:rsidR="002E63E9" w:rsidRPr="009D4627">
        <w:fldChar w:fldCharType="separate"/>
      </w:r>
      <w:r w:rsidR="00E268F6">
        <w:rPr>
          <w:noProof/>
        </w:rPr>
        <w:t>4</w:t>
      </w:r>
      <w:r w:rsidR="002E63E9" w:rsidRPr="009D4627">
        <w:rPr>
          <w:noProof/>
        </w:rPr>
        <w:fldChar w:fldCharType="end"/>
      </w:r>
      <w:r w:rsidRPr="009D4627">
        <w:t xml:space="preserve">: </w:t>
      </w:r>
      <w:r w:rsidR="000E77F9" w:rsidRPr="009D4627">
        <w:t>Ethical approval letter from Health Research Authority (HRA)</w:t>
      </w:r>
      <w:r w:rsidR="006C22BE" w:rsidRPr="009D4627">
        <w:t xml:space="preserve"> for </w:t>
      </w:r>
      <w:r w:rsidR="00110BE0" w:rsidRPr="009D4627">
        <w:t>C</w:t>
      </w:r>
      <w:r w:rsidR="006C22BE" w:rsidRPr="009D4627">
        <w:t>hapter 5.</w:t>
      </w:r>
      <w:bookmarkEnd w:id="600"/>
      <w:bookmarkEnd w:id="601"/>
    </w:p>
    <w:p w14:paraId="630696F3" w14:textId="7623C4D5" w:rsidR="000E77F9" w:rsidRPr="009D4627" w:rsidRDefault="000E77F9" w:rsidP="00A11B1C">
      <w:pPr>
        <w:spacing w:line="240" w:lineRule="auto"/>
        <w:jc w:val="center"/>
      </w:pPr>
      <w:r w:rsidRPr="009D4627">
        <w:rPr>
          <w:noProof/>
          <w:color w:val="auto"/>
          <w:sz w:val="20"/>
          <w:szCs w:val="20"/>
          <w:lang w:val="en-US"/>
        </w:rPr>
        <w:drawing>
          <wp:inline distT="0" distB="0" distL="0" distR="0" wp14:anchorId="4ADB916E" wp14:editId="213A8C5F">
            <wp:extent cx="5699051" cy="3814762"/>
            <wp:effectExtent l="0" t="0" r="0" b="0"/>
            <wp:docPr id="21081" name="Picture 2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screen">
                      <a:extLst>
                        <a:ext uri="{28A0092B-C50C-407E-A947-70E740481C1C}">
                          <a14:useLocalDpi xmlns:a14="http://schemas.microsoft.com/office/drawing/2010/main" val="0"/>
                        </a:ext>
                      </a:extLst>
                    </a:blip>
                    <a:srcRect/>
                    <a:stretch/>
                  </pic:blipFill>
                  <pic:spPr bwMode="auto">
                    <a:xfrm>
                      <a:off x="0" y="0"/>
                      <a:ext cx="5883603" cy="3938295"/>
                    </a:xfrm>
                    <a:prstGeom prst="rect">
                      <a:avLst/>
                    </a:prstGeom>
                    <a:ln>
                      <a:noFill/>
                    </a:ln>
                    <a:extLst>
                      <a:ext uri="{53640926-AAD7-44D8-BBD7-CCE9431645EC}">
                        <a14:shadowObscured xmlns:a14="http://schemas.microsoft.com/office/drawing/2010/main"/>
                      </a:ext>
                    </a:extLst>
                  </pic:spPr>
                </pic:pic>
              </a:graphicData>
            </a:graphic>
          </wp:inline>
        </w:drawing>
      </w:r>
    </w:p>
    <w:p w14:paraId="554311F1" w14:textId="77777777" w:rsidR="00A11B1C" w:rsidRPr="009D4627" w:rsidRDefault="00A11B1C" w:rsidP="00A11B1C">
      <w:pPr>
        <w:spacing w:before="0" w:after="0" w:line="240" w:lineRule="auto"/>
        <w:jc w:val="center"/>
      </w:pPr>
    </w:p>
    <w:p w14:paraId="45958B1F" w14:textId="02E04EC1" w:rsidR="000E77F9" w:rsidRPr="009D4627" w:rsidRDefault="000E77F9" w:rsidP="00D03588">
      <w:pPr>
        <w:spacing w:line="240" w:lineRule="auto"/>
        <w:jc w:val="center"/>
      </w:pPr>
      <w:r w:rsidRPr="009D4627">
        <w:rPr>
          <w:noProof/>
          <w:color w:val="auto"/>
          <w:sz w:val="20"/>
          <w:szCs w:val="20"/>
          <w:lang w:val="en-US"/>
        </w:rPr>
        <w:drawing>
          <wp:inline distT="0" distB="0" distL="0" distR="0" wp14:anchorId="2590FE98" wp14:editId="5E27D8CD">
            <wp:extent cx="5692335" cy="3848986"/>
            <wp:effectExtent l="0" t="0" r="3810" b="0"/>
            <wp:docPr id="21082" name="Picture 2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cstate="screen">
                      <a:extLst>
                        <a:ext uri="{28A0092B-C50C-407E-A947-70E740481C1C}">
                          <a14:useLocalDpi xmlns:a14="http://schemas.microsoft.com/office/drawing/2010/main" val="0"/>
                        </a:ext>
                      </a:extLst>
                    </a:blip>
                    <a:srcRect/>
                    <a:stretch/>
                  </pic:blipFill>
                  <pic:spPr bwMode="auto">
                    <a:xfrm>
                      <a:off x="0" y="0"/>
                      <a:ext cx="5854686" cy="3958763"/>
                    </a:xfrm>
                    <a:prstGeom prst="rect">
                      <a:avLst/>
                    </a:prstGeom>
                    <a:ln>
                      <a:noFill/>
                    </a:ln>
                    <a:extLst>
                      <a:ext uri="{53640926-AAD7-44D8-BBD7-CCE9431645EC}">
                        <a14:shadowObscured xmlns:a14="http://schemas.microsoft.com/office/drawing/2010/main"/>
                      </a:ext>
                    </a:extLst>
                  </pic:spPr>
                </pic:pic>
              </a:graphicData>
            </a:graphic>
          </wp:inline>
        </w:drawing>
      </w:r>
    </w:p>
    <w:p w14:paraId="6BE17A32" w14:textId="78E3C79B" w:rsidR="000E77F9" w:rsidRPr="009D4627" w:rsidRDefault="000E77F9" w:rsidP="003F1D28">
      <w:pPr>
        <w:jc w:val="center"/>
      </w:pPr>
      <w:r w:rsidRPr="009D4627">
        <w:rPr>
          <w:noProof/>
          <w:color w:val="auto"/>
          <w:sz w:val="20"/>
          <w:szCs w:val="20"/>
          <w:lang w:val="en-US"/>
        </w:rPr>
        <w:lastRenderedPageBreak/>
        <w:drawing>
          <wp:inline distT="0" distB="0" distL="0" distR="0" wp14:anchorId="31373B78" wp14:editId="39B512DB">
            <wp:extent cx="6066174" cy="4028305"/>
            <wp:effectExtent l="0" t="0" r="0" b="0"/>
            <wp:docPr id="21083" name="Picture 2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cstate="screen">
                      <a:extLst>
                        <a:ext uri="{28A0092B-C50C-407E-A947-70E740481C1C}">
                          <a14:useLocalDpi xmlns:a14="http://schemas.microsoft.com/office/drawing/2010/main" val="0"/>
                        </a:ext>
                      </a:extLst>
                    </a:blip>
                    <a:srcRect/>
                    <a:stretch/>
                  </pic:blipFill>
                  <pic:spPr bwMode="auto">
                    <a:xfrm>
                      <a:off x="0" y="0"/>
                      <a:ext cx="6199106" cy="4116580"/>
                    </a:xfrm>
                    <a:prstGeom prst="rect">
                      <a:avLst/>
                    </a:prstGeom>
                    <a:ln>
                      <a:noFill/>
                    </a:ln>
                    <a:extLst>
                      <a:ext uri="{53640926-AAD7-44D8-BBD7-CCE9431645EC}">
                        <a14:shadowObscured xmlns:a14="http://schemas.microsoft.com/office/drawing/2010/main"/>
                      </a:ext>
                    </a:extLst>
                  </pic:spPr>
                </pic:pic>
              </a:graphicData>
            </a:graphic>
          </wp:inline>
        </w:drawing>
      </w:r>
    </w:p>
    <w:p w14:paraId="556D78B2" w14:textId="0C6723B2" w:rsidR="000E77F9" w:rsidRPr="009D4627" w:rsidRDefault="000E77F9" w:rsidP="003F1D28">
      <w:pPr>
        <w:jc w:val="center"/>
      </w:pPr>
      <w:r w:rsidRPr="009D4627">
        <w:rPr>
          <w:noProof/>
          <w:color w:val="auto"/>
          <w:sz w:val="20"/>
          <w:szCs w:val="20"/>
          <w:lang w:val="en-US"/>
        </w:rPr>
        <w:drawing>
          <wp:inline distT="0" distB="0" distL="0" distR="0" wp14:anchorId="17C5F285" wp14:editId="72A121FD">
            <wp:extent cx="5749659" cy="3891516"/>
            <wp:effectExtent l="0" t="0" r="3810" b="0"/>
            <wp:docPr id="21084" name="Picture 2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cstate="screen">
                      <a:extLst>
                        <a:ext uri="{28A0092B-C50C-407E-A947-70E740481C1C}">
                          <a14:useLocalDpi xmlns:a14="http://schemas.microsoft.com/office/drawing/2010/main" val="0"/>
                        </a:ext>
                      </a:extLst>
                    </a:blip>
                    <a:srcRect/>
                    <a:stretch/>
                  </pic:blipFill>
                  <pic:spPr bwMode="auto">
                    <a:xfrm>
                      <a:off x="0" y="0"/>
                      <a:ext cx="5851613" cy="3960521"/>
                    </a:xfrm>
                    <a:prstGeom prst="rect">
                      <a:avLst/>
                    </a:prstGeom>
                    <a:ln>
                      <a:noFill/>
                    </a:ln>
                    <a:extLst>
                      <a:ext uri="{53640926-AAD7-44D8-BBD7-CCE9431645EC}">
                        <a14:shadowObscured xmlns:a14="http://schemas.microsoft.com/office/drawing/2010/main"/>
                      </a:ext>
                    </a:extLst>
                  </pic:spPr>
                </pic:pic>
              </a:graphicData>
            </a:graphic>
          </wp:inline>
        </w:drawing>
      </w:r>
    </w:p>
    <w:p w14:paraId="6ADF9556" w14:textId="77777777" w:rsidR="00920DD4" w:rsidRPr="009D4627" w:rsidRDefault="00920DD4" w:rsidP="00C4130D">
      <w:pPr>
        <w:pStyle w:val="Caption"/>
        <w:sectPr w:rsidR="00920DD4" w:rsidRPr="009D4627" w:rsidSect="00477959">
          <w:pgSz w:w="11906" w:h="16838" w:code="9"/>
          <w:pgMar w:top="1440" w:right="1440" w:bottom="1440" w:left="1440" w:header="708" w:footer="708" w:gutter="0"/>
          <w:cols w:space="708"/>
          <w:docGrid w:linePitch="360"/>
        </w:sectPr>
      </w:pPr>
      <w:bookmarkStart w:id="602" w:name="_Toc70088694"/>
    </w:p>
    <w:p w14:paraId="12D540B9" w14:textId="151A27A4" w:rsidR="00A11B1C" w:rsidRPr="009D4627" w:rsidRDefault="00F418D9" w:rsidP="00C4130D">
      <w:pPr>
        <w:pStyle w:val="Caption"/>
      </w:pPr>
      <w:bookmarkStart w:id="603" w:name="_Toc98967405"/>
      <w:r w:rsidRPr="009D4627">
        <w:lastRenderedPageBreak/>
        <w:t>Appendix 1.</w:t>
      </w:r>
      <w:r w:rsidR="002E63E9" w:rsidRPr="009D4627">
        <w:fldChar w:fldCharType="begin"/>
      </w:r>
      <w:r w:rsidR="002E63E9" w:rsidRPr="009D4627">
        <w:instrText xml:space="preserve"> SEQ Appendix_1. \* ARABIC </w:instrText>
      </w:r>
      <w:r w:rsidR="002E63E9" w:rsidRPr="009D4627">
        <w:fldChar w:fldCharType="separate"/>
      </w:r>
      <w:r w:rsidR="00E268F6">
        <w:rPr>
          <w:noProof/>
        </w:rPr>
        <w:t>5</w:t>
      </w:r>
      <w:r w:rsidR="002E63E9" w:rsidRPr="009D4627">
        <w:rPr>
          <w:noProof/>
        </w:rPr>
        <w:fldChar w:fldCharType="end"/>
      </w:r>
      <w:r w:rsidRPr="009D4627">
        <w:t>:</w:t>
      </w:r>
      <w:r w:rsidR="009A5E58">
        <w:t xml:space="preserve"> </w:t>
      </w:r>
      <w:r w:rsidR="000E77F9" w:rsidRPr="009D4627">
        <w:t xml:space="preserve">Participant information sheet for </w:t>
      </w:r>
      <w:r w:rsidR="008D0D6F" w:rsidRPr="009D4627">
        <w:t>Chapter 5</w:t>
      </w:r>
      <w:r w:rsidR="000E77F9" w:rsidRPr="009D4627">
        <w:t>.</w:t>
      </w:r>
      <w:bookmarkEnd w:id="602"/>
      <w:bookmarkEnd w:id="603"/>
    </w:p>
    <w:p w14:paraId="29DD309D" w14:textId="2592A23F" w:rsidR="00A11B1C" w:rsidRPr="009D4627" w:rsidRDefault="00A11B1C" w:rsidP="00A11B1C">
      <w:pPr>
        <w:rPr>
          <w:lang w:val="en-MY"/>
        </w:rPr>
      </w:pPr>
      <w:r w:rsidRPr="009D4627">
        <w:rPr>
          <w:noProof/>
          <w:color w:val="auto"/>
          <w:sz w:val="20"/>
          <w:szCs w:val="20"/>
          <w:lang w:val="en-US"/>
        </w:rPr>
        <w:drawing>
          <wp:inline distT="0" distB="0" distL="0" distR="0" wp14:anchorId="22CE7C38" wp14:editId="2AA1DD39">
            <wp:extent cx="5684558" cy="3700130"/>
            <wp:effectExtent l="0" t="0" r="0" b="0"/>
            <wp:docPr id="21085" name="Picture 2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cstate="screen">
                      <a:extLst>
                        <a:ext uri="{28A0092B-C50C-407E-A947-70E740481C1C}">
                          <a14:useLocalDpi xmlns:a14="http://schemas.microsoft.com/office/drawing/2010/main" val="0"/>
                        </a:ext>
                      </a:extLst>
                    </a:blip>
                    <a:srcRect/>
                    <a:stretch/>
                  </pic:blipFill>
                  <pic:spPr bwMode="auto">
                    <a:xfrm>
                      <a:off x="0" y="0"/>
                      <a:ext cx="5835116" cy="3798129"/>
                    </a:xfrm>
                    <a:prstGeom prst="rect">
                      <a:avLst/>
                    </a:prstGeom>
                    <a:ln>
                      <a:noFill/>
                    </a:ln>
                    <a:extLst>
                      <a:ext uri="{53640926-AAD7-44D8-BBD7-CCE9431645EC}">
                        <a14:shadowObscured xmlns:a14="http://schemas.microsoft.com/office/drawing/2010/main"/>
                      </a:ext>
                    </a:extLst>
                  </pic:spPr>
                </pic:pic>
              </a:graphicData>
            </a:graphic>
          </wp:inline>
        </w:drawing>
      </w:r>
    </w:p>
    <w:p w14:paraId="056701AA" w14:textId="77777777" w:rsidR="00A11B1C" w:rsidRPr="009D4627" w:rsidRDefault="00A11B1C" w:rsidP="00A11B1C">
      <w:pPr>
        <w:spacing w:line="240" w:lineRule="auto"/>
        <w:rPr>
          <w:lang w:val="en-MY"/>
        </w:rPr>
      </w:pPr>
    </w:p>
    <w:p w14:paraId="59AEACA9" w14:textId="692CD639" w:rsidR="003F1D28" w:rsidRPr="009D4627" w:rsidRDefault="003F1D28" w:rsidP="00C4130D">
      <w:pPr>
        <w:pStyle w:val="Caption"/>
      </w:pPr>
      <w:r w:rsidRPr="009D4627">
        <w:rPr>
          <w:noProof/>
        </w:rPr>
        <w:lastRenderedPageBreak/>
        <w:drawing>
          <wp:inline distT="0" distB="0" distL="0" distR="0" wp14:anchorId="699F19B8" wp14:editId="1EB0A65B">
            <wp:extent cx="5768823" cy="3785191"/>
            <wp:effectExtent l="0" t="0" r="3810" b="6350"/>
            <wp:docPr id="21086" name="Picture 2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cstate="screen">
                      <a:extLst>
                        <a:ext uri="{28A0092B-C50C-407E-A947-70E740481C1C}">
                          <a14:useLocalDpi xmlns:a14="http://schemas.microsoft.com/office/drawing/2010/main" val="0"/>
                        </a:ext>
                      </a:extLst>
                    </a:blip>
                    <a:srcRect/>
                    <a:stretch/>
                  </pic:blipFill>
                  <pic:spPr bwMode="auto">
                    <a:xfrm>
                      <a:off x="0" y="0"/>
                      <a:ext cx="5840873" cy="3832466"/>
                    </a:xfrm>
                    <a:prstGeom prst="rect">
                      <a:avLst/>
                    </a:prstGeom>
                    <a:ln>
                      <a:noFill/>
                    </a:ln>
                    <a:extLst>
                      <a:ext uri="{53640926-AAD7-44D8-BBD7-CCE9431645EC}">
                        <a14:shadowObscured xmlns:a14="http://schemas.microsoft.com/office/drawing/2010/main"/>
                      </a:ext>
                    </a:extLst>
                  </pic:spPr>
                </pic:pic>
              </a:graphicData>
            </a:graphic>
          </wp:inline>
        </w:drawing>
      </w:r>
    </w:p>
    <w:p w14:paraId="4EF04C77" w14:textId="4785B2EF" w:rsidR="000E77F9" w:rsidRPr="009D4627" w:rsidRDefault="003F1D28" w:rsidP="000E77F9">
      <w:pPr>
        <w:spacing w:after="0"/>
        <w:jc w:val="center"/>
        <w:rPr>
          <w:color w:val="auto"/>
          <w:sz w:val="20"/>
          <w:szCs w:val="20"/>
        </w:rPr>
      </w:pPr>
      <w:r w:rsidRPr="009D4627">
        <w:rPr>
          <w:noProof/>
          <w:color w:val="auto"/>
          <w:sz w:val="20"/>
          <w:szCs w:val="20"/>
          <w:lang w:val="en-US"/>
        </w:rPr>
        <w:drawing>
          <wp:inline distT="0" distB="0" distL="0" distR="0" wp14:anchorId="60514BC4" wp14:editId="79EAB1F1">
            <wp:extent cx="5578268" cy="3839215"/>
            <wp:effectExtent l="0" t="0" r="3810" b="8890"/>
            <wp:docPr id="21087" name="Picture 2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screen">
                      <a:extLst>
                        <a:ext uri="{28A0092B-C50C-407E-A947-70E740481C1C}">
                          <a14:useLocalDpi xmlns:a14="http://schemas.microsoft.com/office/drawing/2010/main" val="0"/>
                        </a:ext>
                      </a:extLst>
                    </a:blip>
                    <a:srcRect/>
                    <a:stretch/>
                  </pic:blipFill>
                  <pic:spPr bwMode="auto">
                    <a:xfrm>
                      <a:off x="0" y="0"/>
                      <a:ext cx="5641981" cy="3883065"/>
                    </a:xfrm>
                    <a:prstGeom prst="rect">
                      <a:avLst/>
                    </a:prstGeom>
                    <a:ln>
                      <a:noFill/>
                    </a:ln>
                    <a:extLst>
                      <a:ext uri="{53640926-AAD7-44D8-BBD7-CCE9431645EC}">
                        <a14:shadowObscured xmlns:a14="http://schemas.microsoft.com/office/drawing/2010/main"/>
                      </a:ext>
                    </a:extLst>
                  </pic:spPr>
                </pic:pic>
              </a:graphicData>
            </a:graphic>
          </wp:inline>
        </w:drawing>
      </w:r>
    </w:p>
    <w:p w14:paraId="60BACE73" w14:textId="77777777" w:rsidR="00A11B1C" w:rsidRPr="009D4627" w:rsidRDefault="00A11B1C" w:rsidP="00C4130D">
      <w:pPr>
        <w:pStyle w:val="Caption"/>
      </w:pPr>
      <w:bookmarkStart w:id="604" w:name="_Toc70088695"/>
    </w:p>
    <w:p w14:paraId="7C19F0BF" w14:textId="77777777" w:rsidR="00A11B1C" w:rsidRPr="009D4627" w:rsidRDefault="00A11B1C" w:rsidP="00C4130D">
      <w:pPr>
        <w:pStyle w:val="Caption"/>
      </w:pPr>
    </w:p>
    <w:p w14:paraId="7015031F" w14:textId="77777777" w:rsidR="00920DD4" w:rsidRPr="009D4627" w:rsidRDefault="00920DD4" w:rsidP="00C4130D">
      <w:pPr>
        <w:pStyle w:val="Caption"/>
        <w:sectPr w:rsidR="00920DD4" w:rsidRPr="009D4627" w:rsidSect="00477959">
          <w:pgSz w:w="11906" w:h="16838" w:code="9"/>
          <w:pgMar w:top="1440" w:right="1440" w:bottom="1440" w:left="1440" w:header="708" w:footer="708" w:gutter="0"/>
          <w:cols w:space="708"/>
          <w:docGrid w:linePitch="360"/>
        </w:sectPr>
      </w:pPr>
    </w:p>
    <w:p w14:paraId="6542BBFA" w14:textId="5FB91DF8" w:rsidR="000E77F9" w:rsidRPr="009D4627" w:rsidRDefault="00F418D9" w:rsidP="00C4130D">
      <w:pPr>
        <w:pStyle w:val="Caption"/>
        <w:rPr>
          <w:rFonts w:eastAsiaTheme="majorEastAsia"/>
        </w:rPr>
      </w:pPr>
      <w:bookmarkStart w:id="605" w:name="_Toc98967406"/>
      <w:r w:rsidRPr="009D4627">
        <w:lastRenderedPageBreak/>
        <w:t>Appendix 1.</w:t>
      </w:r>
      <w:r w:rsidR="002E63E9" w:rsidRPr="009D4627">
        <w:fldChar w:fldCharType="begin"/>
      </w:r>
      <w:r w:rsidR="002E63E9" w:rsidRPr="009D4627">
        <w:instrText xml:space="preserve"> SEQ Appendix_1. \* ARABIC </w:instrText>
      </w:r>
      <w:r w:rsidR="002E63E9" w:rsidRPr="009D4627">
        <w:fldChar w:fldCharType="separate"/>
      </w:r>
      <w:r w:rsidR="00E268F6">
        <w:rPr>
          <w:noProof/>
        </w:rPr>
        <w:t>6</w:t>
      </w:r>
      <w:r w:rsidR="002E63E9" w:rsidRPr="009D4627">
        <w:rPr>
          <w:noProof/>
        </w:rPr>
        <w:fldChar w:fldCharType="end"/>
      </w:r>
      <w:r w:rsidRPr="009D4627">
        <w:t>:</w:t>
      </w:r>
      <w:r w:rsidR="002312ED">
        <w:t xml:space="preserve"> </w:t>
      </w:r>
      <w:r w:rsidR="000E77F9" w:rsidRPr="009D4627">
        <w:rPr>
          <w:rFonts w:eastAsiaTheme="majorEastAsia"/>
        </w:rPr>
        <w:t xml:space="preserve">Participant consent form for </w:t>
      </w:r>
      <w:r w:rsidR="008D0D6F" w:rsidRPr="009D4627">
        <w:rPr>
          <w:rFonts w:eastAsiaTheme="majorEastAsia"/>
        </w:rPr>
        <w:t>Chapter 5</w:t>
      </w:r>
      <w:r w:rsidR="000E77F9" w:rsidRPr="009D4627">
        <w:rPr>
          <w:rFonts w:eastAsiaTheme="majorEastAsia"/>
        </w:rPr>
        <w:t>.</w:t>
      </w:r>
      <w:bookmarkEnd w:id="604"/>
      <w:bookmarkEnd w:id="605"/>
    </w:p>
    <w:p w14:paraId="4F2F1963" w14:textId="77777777" w:rsidR="00920DD4" w:rsidRPr="009D4627" w:rsidRDefault="000E77F9" w:rsidP="000E77F9">
      <w:pPr>
        <w:spacing w:after="0"/>
        <w:jc w:val="center"/>
        <w:rPr>
          <w:color w:val="auto"/>
          <w:sz w:val="20"/>
          <w:szCs w:val="20"/>
        </w:rPr>
        <w:sectPr w:rsidR="00920DD4" w:rsidRPr="009D4627" w:rsidSect="00477959">
          <w:pgSz w:w="11906" w:h="16838" w:code="9"/>
          <w:pgMar w:top="1440" w:right="1440" w:bottom="1440" w:left="1440" w:header="708" w:footer="708" w:gutter="0"/>
          <w:cols w:space="708"/>
          <w:docGrid w:linePitch="360"/>
        </w:sectPr>
      </w:pPr>
      <w:r w:rsidRPr="009D4627">
        <w:rPr>
          <w:noProof/>
          <w:color w:val="auto"/>
          <w:sz w:val="20"/>
          <w:szCs w:val="20"/>
          <w:lang w:val="en-US"/>
        </w:rPr>
        <w:drawing>
          <wp:inline distT="0" distB="0" distL="0" distR="0" wp14:anchorId="6954B1C4" wp14:editId="3BB9764B">
            <wp:extent cx="4582733" cy="6686550"/>
            <wp:effectExtent l="0" t="0" r="8890" b="0"/>
            <wp:docPr id="21088" name="Picture 2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cstate="print">
                      <a:extLst>
                        <a:ext uri="{28A0092B-C50C-407E-A947-70E740481C1C}">
                          <a14:useLocalDpi xmlns:a14="http://schemas.microsoft.com/office/drawing/2010/main" val="0"/>
                        </a:ext>
                      </a:extLst>
                    </a:blip>
                    <a:srcRect/>
                    <a:stretch/>
                  </pic:blipFill>
                  <pic:spPr bwMode="auto">
                    <a:xfrm>
                      <a:off x="0" y="0"/>
                      <a:ext cx="4598818" cy="6710019"/>
                    </a:xfrm>
                    <a:prstGeom prst="rect">
                      <a:avLst/>
                    </a:prstGeom>
                    <a:ln>
                      <a:noFill/>
                    </a:ln>
                    <a:extLst>
                      <a:ext uri="{53640926-AAD7-44D8-BBD7-CCE9431645EC}">
                        <a14:shadowObscured xmlns:a14="http://schemas.microsoft.com/office/drawing/2010/main"/>
                      </a:ext>
                    </a:extLst>
                  </pic:spPr>
                </pic:pic>
              </a:graphicData>
            </a:graphic>
          </wp:inline>
        </w:drawing>
      </w:r>
    </w:p>
    <w:p w14:paraId="5D15135C" w14:textId="0F989B26" w:rsidR="00387897" w:rsidRDefault="00387897" w:rsidP="00C4130D">
      <w:pPr>
        <w:pStyle w:val="Caption"/>
      </w:pPr>
      <w:bookmarkStart w:id="606" w:name="_Toc70087723"/>
      <w:bookmarkStart w:id="607" w:name="_Toc98967419"/>
      <w:bookmarkEnd w:id="591"/>
      <w:bookmarkEnd w:id="592"/>
      <w:r w:rsidRPr="009D4627">
        <w:lastRenderedPageBreak/>
        <w:t>Appendix 2.</w:t>
      </w:r>
      <w:r w:rsidR="002E63E9" w:rsidRPr="009D4627">
        <w:fldChar w:fldCharType="begin"/>
      </w:r>
      <w:r w:rsidR="002E63E9" w:rsidRPr="009D4627">
        <w:instrText xml:space="preserve"> SEQ Appendix_2. \* ARABIC </w:instrText>
      </w:r>
      <w:r w:rsidR="002E63E9" w:rsidRPr="009D4627">
        <w:fldChar w:fldCharType="separate"/>
      </w:r>
      <w:r w:rsidR="00E268F6">
        <w:rPr>
          <w:noProof/>
        </w:rPr>
        <w:t>1</w:t>
      </w:r>
      <w:r w:rsidR="002E63E9" w:rsidRPr="009D4627">
        <w:rPr>
          <w:noProof/>
        </w:rPr>
        <w:fldChar w:fldCharType="end"/>
      </w:r>
      <w:r w:rsidRPr="009D4627">
        <w:t>: Fixation data extraction process</w:t>
      </w:r>
      <w:bookmarkEnd w:id="606"/>
      <w:bookmarkEnd w:id="607"/>
    </w:p>
    <w:p w14:paraId="5270C08C" w14:textId="77777777" w:rsidR="00CB28CB" w:rsidRPr="00CB28CB" w:rsidRDefault="00CB28CB" w:rsidP="00CB28CB">
      <w:pPr>
        <w:spacing w:before="0" w:after="0" w:line="240" w:lineRule="auto"/>
        <w:rPr>
          <w:lang w:val="en-MY" w:eastAsia="en-MY"/>
        </w:rPr>
      </w:pPr>
    </w:p>
    <w:p w14:paraId="0C94A77D" w14:textId="77777777" w:rsidR="00387897" w:rsidRPr="009D4627" w:rsidRDefault="00387897" w:rsidP="003F408B">
      <w:pPr>
        <w:numPr>
          <w:ilvl w:val="0"/>
          <w:numId w:val="85"/>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Open the deployed fixation folder.</w:t>
      </w:r>
    </w:p>
    <w:p w14:paraId="3DEA2294" w14:textId="77777777" w:rsidR="00387897" w:rsidRPr="009D4627" w:rsidRDefault="00387897" w:rsidP="003F408B">
      <w:pPr>
        <w:numPr>
          <w:ilvl w:val="0"/>
          <w:numId w:val="85"/>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 xml:space="preserve">Open result folder. Then, select the correct participant folder. </w:t>
      </w:r>
    </w:p>
    <w:p w14:paraId="5A3D5C22" w14:textId="77777777" w:rsidR="00387897" w:rsidRPr="009D4627" w:rsidRDefault="00387897" w:rsidP="003F408B">
      <w:pPr>
        <w:numPr>
          <w:ilvl w:val="0"/>
          <w:numId w:val="85"/>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 xml:space="preserve">Open the file generated in </w:t>
      </w:r>
      <w:proofErr w:type="spellStart"/>
      <w:r w:rsidRPr="009D4627">
        <w:rPr>
          <w:rFonts w:eastAsia="Times New Roman"/>
          <w:color w:val="000000"/>
        </w:rPr>
        <w:t>the</w:t>
      </w:r>
      <w:r w:rsidRPr="009D4627">
        <w:rPr>
          <w:rFonts w:eastAsia="Times New Roman"/>
          <w:i/>
          <w:iCs/>
          <w:color w:val="000000"/>
        </w:rPr>
        <w:t>.edf</w:t>
      </w:r>
      <w:proofErr w:type="spellEnd"/>
      <w:r w:rsidRPr="009D4627">
        <w:rPr>
          <w:rFonts w:eastAsia="Times New Roman"/>
          <w:color w:val="000000"/>
        </w:rPr>
        <w:t xml:space="preserve"> format.</w:t>
      </w:r>
    </w:p>
    <w:p w14:paraId="7F04726B" w14:textId="77777777" w:rsidR="00387897" w:rsidRPr="009D4627" w:rsidRDefault="00387897" w:rsidP="003F408B">
      <w:pPr>
        <w:numPr>
          <w:ilvl w:val="0"/>
          <w:numId w:val="85"/>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 xml:space="preserve">Import the AOIs for every </w:t>
      </w:r>
      <w:r w:rsidRPr="009D4627">
        <w:rPr>
          <w:rFonts w:eastAsia="Times New Roman"/>
          <w:color w:val="auto"/>
        </w:rPr>
        <w:t>fixation</w:t>
      </w:r>
      <w:r w:rsidRPr="009D4627">
        <w:rPr>
          <w:rFonts w:eastAsia="Times New Roman"/>
          <w:color w:val="000000"/>
        </w:rPr>
        <w:t xml:space="preserve"> target </w:t>
      </w:r>
      <w:proofErr w:type="spellStart"/>
      <w:r w:rsidRPr="009D4627">
        <w:rPr>
          <w:rFonts w:eastAsia="Times New Roman"/>
          <w:color w:val="000000"/>
        </w:rPr>
        <w:t>target</w:t>
      </w:r>
      <w:proofErr w:type="spellEnd"/>
      <w:r w:rsidRPr="009D4627">
        <w:rPr>
          <w:rFonts w:eastAsia="Times New Roman"/>
          <w:color w:val="000000"/>
        </w:rPr>
        <w:t xml:space="preserve"> (T1 = PP, T2 = left, T3 = right, T4 = up, T5 = down).</w:t>
      </w:r>
    </w:p>
    <w:p w14:paraId="68A66C8D" w14:textId="77777777" w:rsidR="00387897" w:rsidRPr="009D4627" w:rsidRDefault="00387897" w:rsidP="00387897">
      <w:pPr>
        <w:pBdr>
          <w:top w:val="nil"/>
          <w:left w:val="nil"/>
          <w:bottom w:val="nil"/>
          <w:right w:val="nil"/>
          <w:between w:val="nil"/>
        </w:pBdr>
        <w:spacing w:before="0" w:after="0" w:line="240" w:lineRule="auto"/>
        <w:ind w:left="720"/>
        <w:rPr>
          <w:rFonts w:eastAsia="Times New Roman"/>
          <w:color w:val="000000"/>
        </w:rPr>
      </w:pPr>
    </w:p>
    <w:p w14:paraId="539F5CD3" w14:textId="31E7D8ED" w:rsidR="00387897" w:rsidRPr="009D4627" w:rsidRDefault="00A2792E" w:rsidP="00387897">
      <w:pPr>
        <w:pBdr>
          <w:top w:val="nil"/>
          <w:left w:val="nil"/>
          <w:bottom w:val="nil"/>
          <w:right w:val="nil"/>
          <w:between w:val="nil"/>
        </w:pBdr>
        <w:spacing w:after="0" w:line="240" w:lineRule="auto"/>
        <w:ind w:left="1800" w:hanging="720"/>
        <w:rPr>
          <w:rFonts w:eastAsia="Times New Roman"/>
          <w:color w:val="000000"/>
          <w:sz w:val="20"/>
          <w:szCs w:val="20"/>
        </w:rPr>
      </w:pPr>
      <w:r w:rsidRPr="009D4627">
        <w:rPr>
          <w:noProof/>
        </w:rPr>
        <mc:AlternateContent>
          <mc:Choice Requires="wpg">
            <w:drawing>
              <wp:inline distT="0" distB="0" distL="0" distR="0" wp14:anchorId="3B80124D" wp14:editId="54FBEBF1">
                <wp:extent cx="4800600" cy="2857500"/>
                <wp:effectExtent l="0" t="0" r="0" b="0"/>
                <wp:docPr id="24000" name="Group 24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0600" cy="2857500"/>
                          <a:chOff x="29457" y="23512"/>
                          <a:chExt cx="48006" cy="28575"/>
                        </a:xfrm>
                      </wpg:grpSpPr>
                      <wpg:grpSp>
                        <wpg:cNvPr id="24001" name="Group 20722"/>
                        <wpg:cNvGrpSpPr>
                          <a:grpSpLocks/>
                        </wpg:cNvGrpSpPr>
                        <wpg:grpSpPr bwMode="auto">
                          <a:xfrm>
                            <a:off x="29457" y="23512"/>
                            <a:ext cx="48006" cy="28575"/>
                            <a:chOff x="0" y="0"/>
                            <a:chExt cx="47529" cy="28575"/>
                          </a:xfrm>
                        </wpg:grpSpPr>
                        <wps:wsp>
                          <wps:cNvPr id="24002" name="Rectangle 20723"/>
                          <wps:cNvSpPr>
                            <a:spLocks noChangeArrowheads="1"/>
                          </wps:cNvSpPr>
                          <wps:spPr bwMode="auto">
                            <a:xfrm>
                              <a:off x="0" y="0"/>
                              <a:ext cx="47529" cy="28575"/>
                            </a:xfrm>
                            <a:prstGeom prst="rect">
                              <a:avLst/>
                            </a:prstGeom>
                            <a:noFill/>
                            <a:ln>
                              <a:noFill/>
                            </a:ln>
                          </wps:spPr>
                          <wps:txbx>
                            <w:txbxContent>
                              <w:p w14:paraId="62020952" w14:textId="77777777" w:rsidR="00527127" w:rsidRDefault="00527127" w:rsidP="00387897">
                                <w:pPr>
                                  <w:textDirection w:val="btLr"/>
                                </w:pPr>
                              </w:p>
                            </w:txbxContent>
                          </wps:txbx>
                          <wps:bodyPr rot="0" vert="horz" wrap="square" lIns="91425" tIns="91425" rIns="91425" bIns="91425" anchor="ctr" anchorCtr="0" upright="1">
                            <a:noAutofit/>
                          </wps:bodyPr>
                        </wps:wsp>
                        <wps:wsp>
                          <wps:cNvPr id="24003" name="Rectangle 20724"/>
                          <wps:cNvSpPr>
                            <a:spLocks noChangeArrowheads="1"/>
                          </wps:cNvSpPr>
                          <wps:spPr bwMode="auto">
                            <a:xfrm>
                              <a:off x="0" y="0"/>
                              <a:ext cx="47529" cy="28575"/>
                            </a:xfrm>
                            <a:prstGeom prst="rect">
                              <a:avLst/>
                            </a:prstGeom>
                            <a:noFill/>
                            <a:ln w="12700">
                              <a:solidFill>
                                <a:srgbClr val="000000"/>
                              </a:solidFill>
                              <a:miter lim="800000"/>
                              <a:headEnd type="none" w="sm" len="sm"/>
                              <a:tailEnd type="none" w="sm" len="sm"/>
                            </a:ln>
                          </wps:spPr>
                          <wps:txbx>
                            <w:txbxContent>
                              <w:p w14:paraId="032C7F1C" w14:textId="77777777" w:rsidR="00527127" w:rsidRDefault="00527127" w:rsidP="00387897">
                                <w:pPr>
                                  <w:textDirection w:val="btLr"/>
                                </w:pPr>
                              </w:p>
                            </w:txbxContent>
                          </wps:txbx>
                          <wps:bodyPr rot="0" vert="horz" wrap="square" lIns="91425" tIns="91425" rIns="91425" bIns="91425" anchor="ctr" anchorCtr="0" upright="1">
                            <a:noAutofit/>
                          </wps:bodyPr>
                        </wps:wsp>
                        <wpg:grpSp>
                          <wpg:cNvPr id="24004" name="Group 20725"/>
                          <wpg:cNvGrpSpPr>
                            <a:grpSpLocks/>
                          </wpg:cNvGrpSpPr>
                          <wpg:grpSpPr bwMode="auto">
                            <a:xfrm>
                              <a:off x="2857" y="95"/>
                              <a:ext cx="42196" cy="28480"/>
                              <a:chOff x="5524" y="762"/>
                              <a:chExt cx="42195" cy="28479"/>
                            </a:xfrm>
                          </wpg:grpSpPr>
                          <pic:pic xmlns:pic="http://schemas.openxmlformats.org/drawingml/2006/picture">
                            <pic:nvPicPr>
                              <pic:cNvPr id="24005" name="Shape 38"/>
                              <pic:cNvPicPr preferRelativeResize="0">
                                <a:picLocks noChangeAspect="1" noChangeArrowheads="1"/>
                              </pic:cNvPicPr>
                            </pic:nvPicPr>
                            <pic:blipFill>
                              <a:blip r:embed="rId261" cstate="screen">
                                <a:extLst>
                                  <a:ext uri="{28A0092B-C50C-407E-A947-70E740481C1C}">
                                    <a14:useLocalDpi xmlns:a14="http://schemas.microsoft.com/office/drawing/2010/main" val="0"/>
                                  </a:ext>
                                </a:extLst>
                              </a:blip>
                              <a:srcRect/>
                              <a:stretch>
                                <a:fillRect/>
                              </a:stretch>
                            </pic:blipFill>
                            <pic:spPr bwMode="auto">
                              <a:xfrm>
                                <a:off x="16287" y="8667"/>
                                <a:ext cx="17717" cy="14193"/>
                              </a:xfrm>
                              <a:prstGeom prst="rect">
                                <a:avLst/>
                              </a:prstGeom>
                              <a:noFill/>
                            </pic:spPr>
                          </pic:pic>
                          <pic:pic xmlns:pic="http://schemas.openxmlformats.org/drawingml/2006/picture">
                            <pic:nvPicPr>
                              <pic:cNvPr id="24006" name="Shape 39"/>
                              <pic:cNvPicPr preferRelativeResize="0">
                                <a:picLocks noChangeAspect="1" noChangeArrowheads="1"/>
                              </pic:cNvPicPr>
                            </pic:nvPicPr>
                            <pic:blipFill>
                              <a:blip r:embed="rId262" cstate="screen">
                                <a:extLst>
                                  <a:ext uri="{28A0092B-C50C-407E-A947-70E740481C1C}">
                                    <a14:useLocalDpi xmlns:a14="http://schemas.microsoft.com/office/drawing/2010/main" val="0"/>
                                  </a:ext>
                                </a:extLst>
                              </a:blip>
                              <a:srcRect/>
                              <a:stretch>
                                <a:fillRect/>
                              </a:stretch>
                            </pic:blipFill>
                            <pic:spPr bwMode="auto">
                              <a:xfrm>
                                <a:off x="5524" y="10096"/>
                                <a:ext cx="10763" cy="11716"/>
                              </a:xfrm>
                              <a:prstGeom prst="rect">
                                <a:avLst/>
                              </a:prstGeom>
                              <a:noFill/>
                            </pic:spPr>
                          </pic:pic>
                          <pic:pic xmlns:pic="http://schemas.openxmlformats.org/drawingml/2006/picture">
                            <pic:nvPicPr>
                              <pic:cNvPr id="24007" name="Shape 40"/>
                              <pic:cNvPicPr preferRelativeResize="0">
                                <a:picLocks noChangeAspect="1" noChangeArrowheads="1"/>
                              </pic:cNvPicPr>
                            </pic:nvPicPr>
                            <pic:blipFill>
                              <a:blip r:embed="rId263" cstate="screen">
                                <a:extLst>
                                  <a:ext uri="{28A0092B-C50C-407E-A947-70E740481C1C}">
                                    <a14:useLocalDpi xmlns:a14="http://schemas.microsoft.com/office/drawing/2010/main" val="0"/>
                                  </a:ext>
                                </a:extLst>
                              </a:blip>
                              <a:srcRect/>
                              <a:stretch>
                                <a:fillRect/>
                              </a:stretch>
                            </pic:blipFill>
                            <pic:spPr bwMode="auto">
                              <a:xfrm>
                                <a:off x="37528" y="9715"/>
                                <a:ext cx="10192" cy="11716"/>
                              </a:xfrm>
                              <a:prstGeom prst="rect">
                                <a:avLst/>
                              </a:prstGeom>
                              <a:noFill/>
                            </pic:spPr>
                          </pic:pic>
                          <pic:pic xmlns:pic="http://schemas.openxmlformats.org/drawingml/2006/picture">
                            <pic:nvPicPr>
                              <pic:cNvPr id="24008" name="Shape 41"/>
                              <pic:cNvPicPr preferRelativeResize="0">
                                <a:picLocks noChangeAspect="1" noChangeArrowheads="1"/>
                              </pic:cNvPicPr>
                            </pic:nvPicPr>
                            <pic:blipFill>
                              <a:blip r:embed="rId264" cstate="screen">
                                <a:extLst>
                                  <a:ext uri="{28A0092B-C50C-407E-A947-70E740481C1C}">
                                    <a14:useLocalDpi xmlns:a14="http://schemas.microsoft.com/office/drawing/2010/main" val="0"/>
                                  </a:ext>
                                </a:extLst>
                              </a:blip>
                              <a:srcRect/>
                              <a:stretch>
                                <a:fillRect/>
                              </a:stretch>
                            </pic:blipFill>
                            <pic:spPr bwMode="auto">
                              <a:xfrm>
                                <a:off x="18192" y="762"/>
                                <a:ext cx="14955" cy="6286"/>
                              </a:xfrm>
                              <a:prstGeom prst="rect">
                                <a:avLst/>
                              </a:prstGeom>
                              <a:noFill/>
                            </pic:spPr>
                          </pic:pic>
                          <pic:pic xmlns:pic="http://schemas.openxmlformats.org/drawingml/2006/picture">
                            <pic:nvPicPr>
                              <pic:cNvPr id="24009" name="Shape 42"/>
                              <pic:cNvPicPr preferRelativeResize="0">
                                <a:picLocks noChangeAspect="1" noChangeArrowheads="1"/>
                              </pic:cNvPicPr>
                            </pic:nvPicPr>
                            <pic:blipFill>
                              <a:blip r:embed="rId265" cstate="screen">
                                <a:extLst>
                                  <a:ext uri="{28A0092B-C50C-407E-A947-70E740481C1C}">
                                    <a14:useLocalDpi xmlns:a14="http://schemas.microsoft.com/office/drawing/2010/main" val="0"/>
                                  </a:ext>
                                </a:extLst>
                              </a:blip>
                              <a:srcRect/>
                              <a:stretch>
                                <a:fillRect/>
                              </a:stretch>
                            </pic:blipFill>
                            <pic:spPr bwMode="auto">
                              <a:xfrm>
                                <a:off x="17430" y="21621"/>
                                <a:ext cx="15812" cy="7620"/>
                              </a:xfrm>
                              <a:prstGeom prst="rect">
                                <a:avLst/>
                              </a:prstGeom>
                              <a:noFill/>
                            </pic:spPr>
                          </pic:pic>
                        </wpg:grpSp>
                      </wpg:grpSp>
                    </wpg:wgp>
                  </a:graphicData>
                </a:graphic>
              </wp:inline>
            </w:drawing>
          </mc:Choice>
          <mc:Fallback>
            <w:pict>
              <v:group w14:anchorId="3B80124D" id="Group 24000" o:spid="_x0000_s1435" style="width:378pt;height:225pt;mso-position-horizontal-relative:char;mso-position-vertical-relative:line" coordorigin="29457,23512" coordsize="48006,2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">
                <v:group id="Group 20722" o:spid="_x0000_s1436" style="position:absolute;left:29457;top:23512;width:48006;height:28575" coordsize="47529,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">
                  <v:rect id="Rectangle 20723" o:spid="_x0000_s1437" style="position:absolute;width:47529;height:28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" filled="f" stroked="f">
                    <v:textbox inset="2.53958mm,2.53958mm,2.53958mm,2.53958mm">
                      <w:txbxContent>
                        <w:p w14:paraId="62020952" w14:textId="77777777" w:rsidR="00527127" w:rsidRDefault="00527127" w:rsidP="00387897">
                          <w:pPr>
                            <w:textDirection w:val="btLr"/>
                          </w:pPr>
                        </w:p>
                      </w:txbxContent>
                    </v:textbox>
                  </v:rect>
                  <v:rect id="Rectangle 20724" o:spid="_x0000_s1438" style="position:absolute;width:47529;height:28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" filled="f" strokeweight="1pt">
                    <v:stroke startarrowwidth="narrow" startarrowlength="short" endarrowwidth="narrow" endarrowlength="short"/>
                    <v:textbox inset="2.53958mm,2.53958mm,2.53958mm,2.53958mm">
                      <w:txbxContent>
                        <w:p w14:paraId="032C7F1C" w14:textId="77777777" w:rsidR="00527127" w:rsidRDefault="00527127" w:rsidP="00387897">
                          <w:pPr>
                            <w:textDirection w:val="btLr"/>
                          </w:pPr>
                        </w:p>
                      </w:txbxContent>
                    </v:textbox>
                  </v:rect>
                  <v:group id="Group 20725" o:spid="_x0000_s1439" style="position:absolute;left:2857;top:95;width:42196;height:28480" coordorigin="5524,762" coordsize="42195,2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">
                    <v:shape id="Shape 38" o:spid="_x0000_s1440" type="#_x0000_t75" style="position:absolute;left:16287;top:8667;width:17717;height:141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">
                      <v:imagedata r:id="rId266" o:title=""/>
                    </v:shape>
                    <v:shape id="Shape 39" o:spid="_x0000_s1441" type="#_x0000_t75" style="position:absolute;left:5524;top:10096;width:10763;height:117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">
                      <v:imagedata r:id="rId267" o:title=""/>
                    </v:shape>
                    <v:shape id="Shape 40" o:spid="_x0000_s1442" type="#_x0000_t75" style="position:absolute;left:37528;top:9715;width:10192;height:117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">
                      <v:imagedata r:id="rId268" o:title=""/>
                    </v:shape>
                    <v:shape id="Shape 41" o:spid="_x0000_s1443" type="#_x0000_t75" style="position:absolute;left:18192;top:762;width:14955;height:62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">
                      <v:imagedata r:id="rId269" o:title=""/>
                    </v:shape>
                    <v:shape id="Shape 42" o:spid="_x0000_s1444" type="#_x0000_t75" style="position:absolute;left:17430;top:21621;width:15812;height:76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">
                      <v:imagedata r:id="rId270" o:title=""/>
                    </v:shape>
                  </v:group>
                </v:group>
                <w10:anchorlock/>
              </v:group>
            </w:pict>
          </mc:Fallback>
        </mc:AlternateContent>
      </w:r>
    </w:p>
    <w:p w14:paraId="23B8F14E" w14:textId="461BBF4F" w:rsidR="00387897" w:rsidRPr="009D4627" w:rsidRDefault="00387897" w:rsidP="00387897">
      <w:pPr>
        <w:spacing w:before="0" w:after="0" w:line="240" w:lineRule="auto"/>
        <w:jc w:val="center"/>
        <w:rPr>
          <w:color w:val="auto"/>
        </w:rPr>
      </w:pPr>
      <w:r w:rsidRPr="009D4627">
        <w:rPr>
          <w:i/>
          <w:iCs/>
        </w:rPr>
        <w:t xml:space="preserve"> </w:t>
      </w:r>
      <w:r w:rsidRPr="009D4627">
        <w:rPr>
          <w:color w:val="auto"/>
        </w:rPr>
        <w:t xml:space="preserve">Sample of fixation data with AOI set up at five </w:t>
      </w:r>
      <w:r w:rsidR="001F1EA0" w:rsidRPr="009D4627">
        <w:rPr>
          <w:color w:val="auto"/>
        </w:rPr>
        <w:t>fixation position</w:t>
      </w:r>
      <w:r w:rsidRPr="009D4627">
        <w:rPr>
          <w:color w:val="auto"/>
        </w:rPr>
        <w:t>s.</w:t>
      </w:r>
    </w:p>
    <w:p w14:paraId="090E1156" w14:textId="77777777" w:rsidR="00387897" w:rsidRPr="009D4627" w:rsidRDefault="00387897" w:rsidP="00387897">
      <w:pPr>
        <w:spacing w:before="0" w:after="0" w:line="240" w:lineRule="auto"/>
        <w:jc w:val="center"/>
        <w:rPr>
          <w:color w:val="auto"/>
          <w:sz w:val="20"/>
          <w:szCs w:val="20"/>
        </w:rPr>
      </w:pPr>
    </w:p>
    <w:p w14:paraId="7BBBB51B" w14:textId="77777777" w:rsidR="00387897" w:rsidRPr="009D4627" w:rsidRDefault="00387897" w:rsidP="00387897">
      <w:pPr>
        <w:spacing w:before="0" w:after="0" w:line="240" w:lineRule="auto"/>
        <w:jc w:val="center"/>
        <w:rPr>
          <w:color w:val="auto"/>
          <w:sz w:val="20"/>
          <w:szCs w:val="20"/>
        </w:rPr>
      </w:pPr>
    </w:p>
    <w:p w14:paraId="6B1FB4BB" w14:textId="77777777" w:rsidR="00387897" w:rsidRPr="009D4627" w:rsidRDefault="00387897" w:rsidP="003F408B">
      <w:pPr>
        <w:numPr>
          <w:ilvl w:val="0"/>
          <w:numId w:val="85"/>
        </w:numPr>
        <w:pBdr>
          <w:top w:val="nil"/>
          <w:left w:val="nil"/>
          <w:bottom w:val="nil"/>
          <w:right w:val="nil"/>
          <w:between w:val="nil"/>
        </w:pBdr>
        <w:spacing w:before="0" w:after="0" w:line="240" w:lineRule="auto"/>
        <w:rPr>
          <w:rFonts w:eastAsia="Times New Roman"/>
          <w:color w:val="000000"/>
        </w:rPr>
      </w:pPr>
      <w:bookmarkStart w:id="608" w:name="_1ksv4uv" w:colFirst="0" w:colLast="0"/>
      <w:bookmarkEnd w:id="608"/>
      <w:r w:rsidRPr="009D4627">
        <w:rPr>
          <w:rFonts w:eastAsia="Times New Roman"/>
          <w:color w:val="000000"/>
        </w:rPr>
        <w:t xml:space="preserve">Click on 'Analysis' </w:t>
      </w:r>
      <w:r w:rsidRPr="009D4627">
        <w:rPr>
          <w:rFonts w:eastAsia="Times New Roman"/>
          <w:color w:val="000000"/>
        </w:rPr>
        <w:sym w:font="Wingdings" w:char="F0E0"/>
      </w:r>
      <w:r w:rsidRPr="009D4627">
        <w:rPr>
          <w:rFonts w:eastAsia="Times New Roman"/>
          <w:color w:val="000000"/>
        </w:rPr>
        <w:t xml:space="preserve">'Reports' </w:t>
      </w:r>
      <w:r w:rsidRPr="009D4627">
        <w:rPr>
          <w:rFonts w:eastAsia="Times New Roman"/>
          <w:color w:val="000000"/>
        </w:rPr>
        <w:sym w:font="Wingdings" w:char="F0E0"/>
      </w:r>
      <w:r w:rsidRPr="009D4627">
        <w:rPr>
          <w:rFonts w:eastAsia="Times New Roman"/>
          <w:color w:val="000000"/>
        </w:rPr>
        <w:t xml:space="preserve">'Interest Area Report'. Then, six variables were inserted at the selected variables pane. </w:t>
      </w:r>
    </w:p>
    <w:p w14:paraId="3A6567BD" w14:textId="77777777" w:rsidR="00387897" w:rsidRPr="009D4627" w:rsidRDefault="00387897" w:rsidP="003F408B">
      <w:pPr>
        <w:numPr>
          <w:ilvl w:val="0"/>
          <w:numId w:val="86"/>
        </w:numPr>
        <w:pBdr>
          <w:top w:val="nil"/>
          <w:left w:val="nil"/>
          <w:bottom w:val="nil"/>
          <w:right w:val="nil"/>
          <w:between w:val="nil"/>
        </w:pBdr>
        <w:spacing w:before="0" w:after="0" w:line="240" w:lineRule="auto"/>
        <w:jc w:val="left"/>
        <w:rPr>
          <w:rFonts w:eastAsia="Times New Roman"/>
          <w:color w:val="000000"/>
        </w:rPr>
      </w:pPr>
      <w:r w:rsidRPr="009D4627">
        <w:rPr>
          <w:rFonts w:eastAsia="Times New Roman"/>
          <w:color w:val="000000"/>
        </w:rPr>
        <w:t>RECORDING_SESSION_LABEL</w:t>
      </w:r>
    </w:p>
    <w:p w14:paraId="5F499699" w14:textId="77777777" w:rsidR="00387897" w:rsidRPr="009D4627" w:rsidRDefault="00387897" w:rsidP="003F408B">
      <w:pPr>
        <w:numPr>
          <w:ilvl w:val="0"/>
          <w:numId w:val="86"/>
        </w:numPr>
        <w:pBdr>
          <w:top w:val="nil"/>
          <w:left w:val="nil"/>
          <w:bottom w:val="nil"/>
          <w:right w:val="nil"/>
          <w:between w:val="nil"/>
        </w:pBdr>
        <w:spacing w:before="0" w:after="0" w:line="240" w:lineRule="auto"/>
        <w:jc w:val="left"/>
        <w:rPr>
          <w:rFonts w:eastAsia="Times New Roman"/>
          <w:color w:val="000000"/>
        </w:rPr>
      </w:pPr>
      <w:r w:rsidRPr="009D4627">
        <w:rPr>
          <w:rFonts w:eastAsia="Times New Roman"/>
          <w:color w:val="000000"/>
        </w:rPr>
        <w:t>TRIAL_INDEX</w:t>
      </w:r>
    </w:p>
    <w:p w14:paraId="25235CBA" w14:textId="77777777" w:rsidR="00387897" w:rsidRPr="009D4627" w:rsidRDefault="00387897" w:rsidP="003F408B">
      <w:pPr>
        <w:numPr>
          <w:ilvl w:val="0"/>
          <w:numId w:val="86"/>
        </w:numPr>
        <w:pBdr>
          <w:top w:val="nil"/>
          <w:left w:val="nil"/>
          <w:bottom w:val="nil"/>
          <w:right w:val="nil"/>
          <w:between w:val="nil"/>
        </w:pBdr>
        <w:spacing w:before="0" w:after="0" w:line="240" w:lineRule="auto"/>
        <w:jc w:val="left"/>
        <w:rPr>
          <w:rFonts w:eastAsia="Times New Roman"/>
          <w:color w:val="000000"/>
        </w:rPr>
      </w:pPr>
      <w:r w:rsidRPr="009D4627">
        <w:rPr>
          <w:rFonts w:eastAsia="Times New Roman"/>
          <w:color w:val="000000"/>
        </w:rPr>
        <w:t>EYE_USED</w:t>
      </w:r>
    </w:p>
    <w:p w14:paraId="58A909AF" w14:textId="77777777" w:rsidR="00387897" w:rsidRPr="009D4627" w:rsidRDefault="00387897" w:rsidP="003F408B">
      <w:pPr>
        <w:numPr>
          <w:ilvl w:val="0"/>
          <w:numId w:val="86"/>
        </w:numPr>
        <w:pBdr>
          <w:top w:val="nil"/>
          <w:left w:val="nil"/>
          <w:bottom w:val="nil"/>
          <w:right w:val="nil"/>
          <w:between w:val="nil"/>
        </w:pBdr>
        <w:spacing w:before="0" w:after="0" w:line="240" w:lineRule="auto"/>
        <w:jc w:val="left"/>
        <w:rPr>
          <w:rFonts w:eastAsia="Times New Roman"/>
          <w:color w:val="000000"/>
        </w:rPr>
      </w:pPr>
      <w:r w:rsidRPr="009D4627">
        <w:rPr>
          <w:rFonts w:eastAsia="Times New Roman"/>
          <w:color w:val="000000"/>
        </w:rPr>
        <w:t xml:space="preserve">IA_DWELL_TIME_% </w:t>
      </w:r>
    </w:p>
    <w:p w14:paraId="67E56EAA" w14:textId="77777777" w:rsidR="00387897" w:rsidRPr="009D4627" w:rsidRDefault="00387897" w:rsidP="003F408B">
      <w:pPr>
        <w:numPr>
          <w:ilvl w:val="0"/>
          <w:numId w:val="86"/>
        </w:numPr>
        <w:pBdr>
          <w:top w:val="nil"/>
          <w:left w:val="nil"/>
          <w:bottom w:val="nil"/>
          <w:right w:val="nil"/>
          <w:between w:val="nil"/>
        </w:pBdr>
        <w:spacing w:before="0" w:after="0" w:line="240" w:lineRule="auto"/>
        <w:jc w:val="left"/>
        <w:rPr>
          <w:rFonts w:eastAsia="Times New Roman"/>
          <w:color w:val="000000"/>
        </w:rPr>
      </w:pPr>
      <w:r w:rsidRPr="009D4627">
        <w:rPr>
          <w:rFonts w:eastAsia="Times New Roman"/>
          <w:color w:val="000000"/>
        </w:rPr>
        <w:t>IA_AREA</w:t>
      </w:r>
    </w:p>
    <w:p w14:paraId="67D365C5" w14:textId="77777777" w:rsidR="00387897" w:rsidRPr="009D4627" w:rsidRDefault="00387897" w:rsidP="003F408B">
      <w:pPr>
        <w:numPr>
          <w:ilvl w:val="0"/>
          <w:numId w:val="86"/>
        </w:numPr>
        <w:pBdr>
          <w:top w:val="nil"/>
          <w:left w:val="nil"/>
          <w:bottom w:val="nil"/>
          <w:right w:val="nil"/>
          <w:between w:val="nil"/>
        </w:pBdr>
        <w:spacing w:before="0" w:after="0" w:line="240" w:lineRule="auto"/>
        <w:jc w:val="left"/>
        <w:rPr>
          <w:rFonts w:eastAsia="Times New Roman"/>
          <w:color w:val="000000"/>
        </w:rPr>
      </w:pPr>
      <w:r w:rsidRPr="009D4627">
        <w:rPr>
          <w:rFonts w:eastAsia="Times New Roman"/>
          <w:color w:val="000000"/>
        </w:rPr>
        <w:t>Label</w:t>
      </w:r>
    </w:p>
    <w:p w14:paraId="33F413A1" w14:textId="77777777" w:rsidR="00387897" w:rsidRPr="009D4627" w:rsidRDefault="00387897" w:rsidP="00387897">
      <w:pPr>
        <w:pBdr>
          <w:top w:val="nil"/>
          <w:left w:val="nil"/>
          <w:bottom w:val="nil"/>
          <w:right w:val="nil"/>
          <w:between w:val="nil"/>
        </w:pBdr>
        <w:spacing w:before="0" w:after="0" w:line="240" w:lineRule="auto"/>
        <w:ind w:left="1800"/>
        <w:jc w:val="left"/>
        <w:rPr>
          <w:rFonts w:eastAsia="Times New Roman"/>
          <w:color w:val="000000"/>
        </w:rPr>
      </w:pPr>
    </w:p>
    <w:p w14:paraId="35A1D1E5" w14:textId="77777777" w:rsidR="00387897" w:rsidRPr="009D4627" w:rsidRDefault="00387897" w:rsidP="003F408B">
      <w:pPr>
        <w:numPr>
          <w:ilvl w:val="0"/>
          <w:numId w:val="85"/>
        </w:numPr>
        <w:pBdr>
          <w:top w:val="nil"/>
          <w:left w:val="nil"/>
          <w:bottom w:val="nil"/>
          <w:right w:val="nil"/>
          <w:between w:val="nil"/>
        </w:pBdr>
        <w:spacing w:before="0" w:after="160" w:line="240" w:lineRule="auto"/>
        <w:rPr>
          <w:color w:val="auto"/>
        </w:rPr>
      </w:pPr>
      <w:r w:rsidRPr="009D4627">
        <w:rPr>
          <w:rFonts w:eastAsia="Times New Roman"/>
          <w:color w:val="000000"/>
        </w:rPr>
        <w:t>Finally, click 'Next,' and each participant's report was saved at the dedicated data analysis folder according to the type of study.</w:t>
      </w:r>
    </w:p>
    <w:p w14:paraId="1BFDFFD5" w14:textId="77777777" w:rsidR="00387897" w:rsidRPr="009D4627" w:rsidRDefault="00387897" w:rsidP="00387897">
      <w:pPr>
        <w:pBdr>
          <w:top w:val="nil"/>
          <w:left w:val="nil"/>
          <w:bottom w:val="nil"/>
          <w:right w:val="nil"/>
          <w:between w:val="nil"/>
        </w:pBdr>
        <w:spacing w:before="0" w:after="0" w:line="240" w:lineRule="auto"/>
        <w:rPr>
          <w:rFonts w:eastAsia="Times New Roman"/>
          <w:color w:val="000000"/>
          <w:sz w:val="20"/>
          <w:szCs w:val="20"/>
        </w:rPr>
      </w:pPr>
    </w:p>
    <w:p w14:paraId="7A4C4659" w14:textId="77777777" w:rsidR="00387897" w:rsidRPr="009D4627" w:rsidRDefault="00387897" w:rsidP="00387897">
      <w:pPr>
        <w:pBdr>
          <w:top w:val="nil"/>
          <w:left w:val="nil"/>
          <w:bottom w:val="nil"/>
          <w:right w:val="nil"/>
          <w:between w:val="nil"/>
        </w:pBdr>
        <w:spacing w:before="0" w:after="0" w:line="240" w:lineRule="auto"/>
        <w:rPr>
          <w:rFonts w:eastAsia="Times New Roman"/>
          <w:color w:val="000000"/>
          <w:sz w:val="20"/>
          <w:szCs w:val="20"/>
        </w:rPr>
      </w:pPr>
    </w:p>
    <w:p w14:paraId="5B33B878" w14:textId="77777777" w:rsidR="00387897" w:rsidRPr="009D4627" w:rsidRDefault="00387897" w:rsidP="00387897">
      <w:pPr>
        <w:pBdr>
          <w:top w:val="nil"/>
          <w:left w:val="nil"/>
          <w:bottom w:val="nil"/>
          <w:right w:val="nil"/>
          <w:between w:val="nil"/>
        </w:pBdr>
        <w:spacing w:before="0" w:after="0" w:line="240" w:lineRule="auto"/>
        <w:rPr>
          <w:rFonts w:eastAsia="Times New Roman"/>
          <w:color w:val="000000"/>
          <w:sz w:val="20"/>
          <w:szCs w:val="20"/>
        </w:rPr>
      </w:pPr>
    </w:p>
    <w:p w14:paraId="2C303BA4" w14:textId="77777777" w:rsidR="00920DD4" w:rsidRPr="009D4627" w:rsidRDefault="00920DD4" w:rsidP="00C4130D">
      <w:pPr>
        <w:pStyle w:val="Caption"/>
        <w:sectPr w:rsidR="00920DD4" w:rsidRPr="009D4627" w:rsidSect="00477959">
          <w:headerReference w:type="default" r:id="rId271"/>
          <w:pgSz w:w="11906" w:h="16838" w:code="9"/>
          <w:pgMar w:top="1440" w:right="1440" w:bottom="1440" w:left="1440" w:header="708" w:footer="708" w:gutter="0"/>
          <w:cols w:space="708"/>
          <w:docGrid w:linePitch="360"/>
        </w:sectPr>
      </w:pPr>
      <w:bookmarkStart w:id="609" w:name="_Toc55942562"/>
      <w:bookmarkStart w:id="610" w:name="_Toc57322396"/>
      <w:bookmarkStart w:id="611" w:name="_Toc70087724"/>
    </w:p>
    <w:p w14:paraId="738426D3" w14:textId="09E5F859" w:rsidR="00387897" w:rsidRDefault="00387897" w:rsidP="00C4130D">
      <w:pPr>
        <w:pStyle w:val="Caption"/>
      </w:pPr>
      <w:bookmarkStart w:id="612" w:name="_Toc98967420"/>
      <w:r w:rsidRPr="009D4627">
        <w:lastRenderedPageBreak/>
        <w:t>Appendix 2.</w:t>
      </w:r>
      <w:r w:rsidR="002E63E9" w:rsidRPr="009D4627">
        <w:fldChar w:fldCharType="begin"/>
      </w:r>
      <w:r w:rsidR="002E63E9" w:rsidRPr="009D4627">
        <w:instrText xml:space="preserve"> SEQ Appendix_2. \* ARABIC </w:instrText>
      </w:r>
      <w:r w:rsidR="002E63E9" w:rsidRPr="009D4627">
        <w:fldChar w:fldCharType="separate"/>
      </w:r>
      <w:r w:rsidR="00E268F6">
        <w:rPr>
          <w:noProof/>
        </w:rPr>
        <w:t>2</w:t>
      </w:r>
      <w:r w:rsidR="002E63E9" w:rsidRPr="009D4627">
        <w:rPr>
          <w:noProof/>
        </w:rPr>
        <w:fldChar w:fldCharType="end"/>
      </w:r>
      <w:r w:rsidRPr="009D4627">
        <w:t>: SP data extraction process</w:t>
      </w:r>
      <w:bookmarkEnd w:id="609"/>
      <w:bookmarkEnd w:id="610"/>
      <w:bookmarkEnd w:id="611"/>
      <w:bookmarkEnd w:id="612"/>
    </w:p>
    <w:p w14:paraId="3C436AC1" w14:textId="77777777" w:rsidR="000C3065" w:rsidRPr="000C3065" w:rsidRDefault="000C3065" w:rsidP="000C3065">
      <w:pPr>
        <w:spacing w:before="0" w:after="0" w:line="240" w:lineRule="auto"/>
        <w:rPr>
          <w:lang w:val="en-MY" w:eastAsia="en-MY"/>
        </w:rPr>
      </w:pPr>
    </w:p>
    <w:p w14:paraId="2FD2685C" w14:textId="77777777" w:rsidR="00387897" w:rsidRPr="009D4627" w:rsidRDefault="00387897" w:rsidP="00C171FA">
      <w:pPr>
        <w:numPr>
          <w:ilvl w:val="0"/>
          <w:numId w:val="94"/>
        </w:numPr>
        <w:spacing w:before="0" w:after="0" w:line="240" w:lineRule="auto"/>
        <w:ind w:left="284" w:hanging="284"/>
        <w:contextualSpacing/>
        <w:rPr>
          <w:i/>
          <w:iCs/>
          <w:color w:val="auto"/>
        </w:rPr>
      </w:pPr>
      <w:r w:rsidRPr="009D4627">
        <w:rPr>
          <w:i/>
          <w:iCs/>
          <w:color w:val="auto"/>
        </w:rPr>
        <w:t>How to generate “sample report” from DV</w:t>
      </w:r>
    </w:p>
    <w:p w14:paraId="35FA6711" w14:textId="77777777" w:rsidR="00387897" w:rsidRPr="009D4627" w:rsidRDefault="00387897" w:rsidP="00387897">
      <w:pPr>
        <w:spacing w:before="0" w:after="0" w:line="240" w:lineRule="auto"/>
        <w:rPr>
          <w:rFonts w:eastAsia="Times New Roman"/>
          <w:color w:val="auto"/>
        </w:rPr>
      </w:pPr>
    </w:p>
    <w:p w14:paraId="6250C241" w14:textId="77777777" w:rsidR="00387897" w:rsidRPr="009D4627" w:rsidRDefault="00387897" w:rsidP="00387897">
      <w:pPr>
        <w:spacing w:before="0" w:after="0" w:line="240" w:lineRule="auto"/>
        <w:rPr>
          <w:rFonts w:eastAsia="Times New Roman"/>
          <w:color w:val="auto"/>
        </w:rPr>
      </w:pPr>
      <w:r w:rsidRPr="009D4627">
        <w:rPr>
          <w:rFonts w:eastAsia="Times New Roman"/>
          <w:color w:val="auto"/>
        </w:rPr>
        <w:t>SP data were extracted using the 'sample report' produced from the DV. Steps taken to extract the data were described as follow:</w:t>
      </w:r>
    </w:p>
    <w:p w14:paraId="4F39119A" w14:textId="77777777" w:rsidR="00387897" w:rsidRPr="009D4627" w:rsidRDefault="00387897" w:rsidP="00387897">
      <w:pPr>
        <w:spacing w:before="0" w:after="0" w:line="240" w:lineRule="auto"/>
        <w:rPr>
          <w:rFonts w:eastAsia="Times New Roman"/>
          <w:color w:val="auto"/>
        </w:rPr>
      </w:pPr>
    </w:p>
    <w:p w14:paraId="5B65208D" w14:textId="24A0AE7C" w:rsidR="00387897" w:rsidRPr="009D4627" w:rsidRDefault="00387897" w:rsidP="003F408B">
      <w:pPr>
        <w:numPr>
          <w:ilvl w:val="0"/>
          <w:numId w:val="89"/>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 xml:space="preserve">Open the deployed </w:t>
      </w:r>
      <w:r w:rsidR="00444E5B" w:rsidRPr="009D4627">
        <w:rPr>
          <w:rFonts w:eastAsia="Times New Roman"/>
          <w:color w:val="000000"/>
        </w:rPr>
        <w:t xml:space="preserve">SP </w:t>
      </w:r>
      <w:r w:rsidRPr="009D4627">
        <w:rPr>
          <w:rFonts w:eastAsia="Times New Roman"/>
          <w:color w:val="000000"/>
        </w:rPr>
        <w:t>(horizontal or vertical) folder.</w:t>
      </w:r>
    </w:p>
    <w:p w14:paraId="519EB8BC" w14:textId="77777777" w:rsidR="00387897" w:rsidRPr="009D4627" w:rsidRDefault="00387897" w:rsidP="003F408B">
      <w:pPr>
        <w:numPr>
          <w:ilvl w:val="0"/>
          <w:numId w:val="89"/>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 xml:space="preserve">Open result folder. Then, select the correct participant folder. </w:t>
      </w:r>
    </w:p>
    <w:p w14:paraId="5121D345" w14:textId="77777777" w:rsidR="00387897" w:rsidRPr="009D4627" w:rsidRDefault="00387897" w:rsidP="003F408B">
      <w:pPr>
        <w:numPr>
          <w:ilvl w:val="0"/>
          <w:numId w:val="89"/>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 xml:space="preserve">Open the file generated </w:t>
      </w:r>
      <w:proofErr w:type="gramStart"/>
      <w:r w:rsidRPr="009D4627">
        <w:rPr>
          <w:rFonts w:eastAsia="Times New Roman"/>
          <w:color w:val="000000"/>
        </w:rPr>
        <w:t xml:space="preserve">using </w:t>
      </w:r>
      <w:r w:rsidRPr="009D4627">
        <w:rPr>
          <w:rFonts w:eastAsia="Times New Roman"/>
          <w:i/>
          <w:iCs/>
          <w:color w:val="000000"/>
        </w:rPr>
        <w:t>.</w:t>
      </w:r>
      <w:proofErr w:type="spellStart"/>
      <w:r w:rsidRPr="009D4627">
        <w:rPr>
          <w:rFonts w:eastAsia="Times New Roman"/>
          <w:i/>
          <w:iCs/>
          <w:color w:val="000000"/>
        </w:rPr>
        <w:t>edf</w:t>
      </w:r>
      <w:proofErr w:type="spellEnd"/>
      <w:proofErr w:type="gramEnd"/>
      <w:r w:rsidRPr="009D4627">
        <w:rPr>
          <w:rFonts w:eastAsia="Times New Roman"/>
          <w:color w:val="000000"/>
        </w:rPr>
        <w:t xml:space="preserve"> format.</w:t>
      </w:r>
    </w:p>
    <w:p w14:paraId="19B2E924" w14:textId="77777777" w:rsidR="00387897" w:rsidRPr="009D4627" w:rsidRDefault="00387897" w:rsidP="003F408B">
      <w:pPr>
        <w:numPr>
          <w:ilvl w:val="0"/>
          <w:numId w:val="89"/>
        </w:numPr>
        <w:pBdr>
          <w:top w:val="nil"/>
          <w:left w:val="nil"/>
          <w:bottom w:val="nil"/>
          <w:right w:val="nil"/>
          <w:between w:val="nil"/>
        </w:pBdr>
        <w:spacing w:before="0" w:after="160" w:line="240" w:lineRule="auto"/>
        <w:rPr>
          <w:rFonts w:eastAsia="Times New Roman"/>
          <w:color w:val="000000"/>
        </w:rPr>
      </w:pPr>
      <w:r w:rsidRPr="009D4627">
        <w:rPr>
          <w:rFonts w:eastAsia="Times New Roman"/>
          <w:color w:val="000000"/>
        </w:rPr>
        <w:t xml:space="preserve">Click on 'Analysis' </w:t>
      </w:r>
      <w:r w:rsidRPr="009D4627">
        <w:rPr>
          <w:rFonts w:eastAsia="Times New Roman"/>
          <w:color w:val="000000"/>
        </w:rPr>
        <w:sym w:font="Wingdings" w:char="F0E0"/>
      </w:r>
      <w:r w:rsidRPr="009D4627">
        <w:rPr>
          <w:rFonts w:eastAsia="Times New Roman"/>
          <w:color w:val="000000"/>
        </w:rPr>
        <w:t xml:space="preserve">'Reports' </w:t>
      </w:r>
      <w:r w:rsidRPr="009D4627">
        <w:rPr>
          <w:rFonts w:eastAsia="Times New Roman"/>
          <w:color w:val="000000"/>
        </w:rPr>
        <w:sym w:font="Wingdings" w:char="F0E0"/>
      </w:r>
      <w:r w:rsidRPr="009D4627">
        <w:rPr>
          <w:rFonts w:eastAsia="Times New Roman"/>
          <w:color w:val="000000"/>
        </w:rPr>
        <w:t>'Sample Report'. Then, the following 12 variables were inserted at the selected variables pane:</w:t>
      </w:r>
    </w:p>
    <w:p w14:paraId="7FA6D334"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RECORDING_SESSION_LABEL </w:t>
      </w:r>
    </w:p>
    <w:p w14:paraId="3E017CE2"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TRIAL_INDEX </w:t>
      </w:r>
    </w:p>
    <w:p w14:paraId="5A20C1D7"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RESOLUTION_X </w:t>
      </w:r>
    </w:p>
    <w:p w14:paraId="35B949D8"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RIGHT_FIX_INDEX </w:t>
      </w:r>
    </w:p>
    <w:p w14:paraId="2052BD29"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RIGHT_GAZE_X</w:t>
      </w:r>
    </w:p>
    <w:p w14:paraId="212F91A2"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RIGHT_IN_BLINK </w:t>
      </w:r>
    </w:p>
    <w:p w14:paraId="38F2AF1F"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RIGHT_IN_SACCADE </w:t>
      </w:r>
    </w:p>
    <w:p w14:paraId="513505BD"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RIGHT_SACCADE_INDEX </w:t>
      </w:r>
    </w:p>
    <w:p w14:paraId="7A29F674"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RIGHT_VELOCITY_X</w:t>
      </w:r>
    </w:p>
    <w:p w14:paraId="36E0B554"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 xml:space="preserve">SAMPLE_MESSAGE </w:t>
      </w:r>
    </w:p>
    <w:p w14:paraId="659934A6"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TARGET_VELOCITY_X</w:t>
      </w:r>
    </w:p>
    <w:p w14:paraId="4185BC0A" w14:textId="77777777" w:rsidR="00387897" w:rsidRPr="009D4627" w:rsidRDefault="00387897" w:rsidP="00C171FA">
      <w:pPr>
        <w:pStyle w:val="ListParagraph"/>
        <w:numPr>
          <w:ilvl w:val="0"/>
          <w:numId w:val="106"/>
        </w:numPr>
        <w:spacing w:before="0" w:after="0" w:line="240" w:lineRule="auto"/>
        <w:ind w:hanging="229"/>
        <w:rPr>
          <w:rFonts w:eastAsia="Times New Roman"/>
          <w:color w:val="auto"/>
        </w:rPr>
      </w:pPr>
      <w:r w:rsidRPr="009D4627">
        <w:rPr>
          <w:rFonts w:eastAsia="Times New Roman"/>
          <w:color w:val="auto"/>
        </w:rPr>
        <w:t>TARGET_X</w:t>
      </w:r>
    </w:p>
    <w:p w14:paraId="428BAF83" w14:textId="77777777" w:rsidR="00387897" w:rsidRPr="009D4627" w:rsidRDefault="00387897" w:rsidP="00387897">
      <w:pPr>
        <w:spacing w:before="0" w:after="0" w:line="240" w:lineRule="auto"/>
        <w:ind w:left="720"/>
        <w:rPr>
          <w:rFonts w:eastAsia="Times New Roman"/>
          <w:color w:val="auto"/>
        </w:rPr>
      </w:pPr>
    </w:p>
    <w:p w14:paraId="03D9134E" w14:textId="1609A72D" w:rsidR="00387897" w:rsidRPr="009D4627" w:rsidRDefault="00387897" w:rsidP="00387897">
      <w:pPr>
        <w:spacing w:before="0" w:after="0" w:line="240" w:lineRule="auto"/>
        <w:rPr>
          <w:rFonts w:eastAsia="Times New Roman"/>
          <w:color w:val="auto"/>
        </w:rPr>
      </w:pPr>
      <w:r w:rsidRPr="009D4627">
        <w:rPr>
          <w:rFonts w:eastAsia="Times New Roman"/>
          <w:color w:val="auto"/>
        </w:rPr>
        <w:t xml:space="preserve">The example given is used for the horizontal SP of the </w:t>
      </w:r>
      <w:r w:rsidR="00EF5204" w:rsidRPr="009D4627">
        <w:rPr>
          <w:rFonts w:eastAsia="Times New Roman"/>
          <w:color w:val="auto"/>
        </w:rPr>
        <w:t>RE</w:t>
      </w:r>
      <w:r w:rsidRPr="009D4627">
        <w:rPr>
          <w:rFonts w:eastAsia="Times New Roman"/>
          <w:color w:val="auto"/>
        </w:rPr>
        <w:t xml:space="preserve">. The RE was automatically set in the software if the data were recorded binocularly, which applies to experiment 1 and 2. However, for the monocular eye recording method, the variables started with "RIGHT" when extracting the data from the RE and it must be changed to “LEFT” when extracting data from the LE. The condition applies to experiment 3 and 4. The variables ended with “_X,” which indicates horizontal SP. Therefore, it must be changed to “_Y” for the vertical SP data. </w:t>
      </w:r>
    </w:p>
    <w:p w14:paraId="39C63B3A" w14:textId="77777777" w:rsidR="00387897" w:rsidRPr="009D4627" w:rsidRDefault="00387897" w:rsidP="00387897">
      <w:pPr>
        <w:spacing w:before="0" w:after="0" w:line="240" w:lineRule="auto"/>
        <w:rPr>
          <w:rFonts w:eastAsia="Times New Roman"/>
          <w:i/>
          <w:iCs/>
          <w:color w:val="auto"/>
        </w:rPr>
      </w:pPr>
    </w:p>
    <w:p w14:paraId="04DAFA23" w14:textId="77777777" w:rsidR="00387897" w:rsidRPr="009D4627" w:rsidRDefault="00387897" w:rsidP="003F408B">
      <w:pPr>
        <w:numPr>
          <w:ilvl w:val="0"/>
          <w:numId w:val="89"/>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Finally, click 'Next,' and a sample report for every participant is saved at the dedicated data analysis folder according to the type of study.</w:t>
      </w:r>
    </w:p>
    <w:p w14:paraId="5FBAD0ED" w14:textId="77777777" w:rsidR="00387897" w:rsidRPr="009D4627" w:rsidRDefault="00387897" w:rsidP="00387897">
      <w:pPr>
        <w:spacing w:before="0" w:after="0" w:line="240" w:lineRule="auto"/>
        <w:rPr>
          <w:rFonts w:eastAsia="Times New Roman"/>
          <w:color w:val="auto"/>
        </w:rPr>
      </w:pPr>
    </w:p>
    <w:p w14:paraId="1CEE077D" w14:textId="77777777" w:rsidR="00387897" w:rsidRPr="009D4627" w:rsidRDefault="00387897" w:rsidP="00387897">
      <w:pPr>
        <w:spacing w:before="0" w:after="0" w:line="240" w:lineRule="auto"/>
        <w:rPr>
          <w:rFonts w:eastAsia="Times New Roman"/>
          <w:color w:val="auto"/>
        </w:rPr>
      </w:pPr>
    </w:p>
    <w:p w14:paraId="72A215C2" w14:textId="77777777" w:rsidR="00387897" w:rsidRPr="009D4627" w:rsidRDefault="00387897" w:rsidP="00387897">
      <w:pPr>
        <w:shd w:val="clear" w:color="auto" w:fill="FFFFFF"/>
        <w:spacing w:before="0" w:after="0" w:line="240" w:lineRule="auto"/>
        <w:rPr>
          <w:rFonts w:eastAsia="Times New Roman"/>
          <w:color w:val="222222"/>
          <w:lang w:eastAsia="en-GB"/>
        </w:rPr>
      </w:pPr>
      <w:r w:rsidRPr="009D4627">
        <w:rPr>
          <w:rFonts w:eastAsia="Times New Roman"/>
          <w:color w:val="222222"/>
          <w:lang w:eastAsia="en-GB"/>
        </w:rPr>
        <w:t>The RIGHT_FIX_INDEX is the key one. It is used to identify portions of "possible SP" (e.g., samples not in a saccade or blink). It flags samples that, according to the parser on the Host PC are "in a fixation" (e.g., not in a saccade or blink). SP is a fixation that has some (sub-saccade threshold) velocity. All the samples in the first fixation (SP segment) have a value of 1, all the samples in the second fixation (SP segment) have a value of 2, and so forth. </w:t>
      </w:r>
    </w:p>
    <w:p w14:paraId="4F299B07" w14:textId="77777777" w:rsidR="00387897" w:rsidRPr="009D4627" w:rsidRDefault="00387897" w:rsidP="00387897">
      <w:pPr>
        <w:shd w:val="clear" w:color="auto" w:fill="FFFFFF"/>
        <w:spacing w:before="0" w:after="0" w:line="240" w:lineRule="auto"/>
        <w:rPr>
          <w:rFonts w:eastAsia="Times New Roman"/>
          <w:color w:val="222222"/>
          <w:lang w:eastAsia="en-GB"/>
        </w:rPr>
      </w:pPr>
    </w:p>
    <w:p w14:paraId="6AD2E149" w14:textId="516CDE11" w:rsidR="00387897" w:rsidRPr="009D4627" w:rsidRDefault="00387897" w:rsidP="00387897">
      <w:pPr>
        <w:spacing w:before="0" w:after="0" w:line="240" w:lineRule="auto"/>
        <w:rPr>
          <w:rFonts w:eastAsia="Times New Roman"/>
          <w:color w:val="auto"/>
          <w:sz w:val="20"/>
          <w:szCs w:val="20"/>
        </w:rPr>
      </w:pPr>
    </w:p>
    <w:p w14:paraId="589003B2" w14:textId="27EAB57B" w:rsidR="00920DD4" w:rsidRPr="009D4627" w:rsidRDefault="00920DD4" w:rsidP="00387897">
      <w:pPr>
        <w:spacing w:before="0" w:after="0" w:line="240" w:lineRule="auto"/>
        <w:rPr>
          <w:rFonts w:eastAsia="Times New Roman"/>
          <w:color w:val="auto"/>
          <w:sz w:val="20"/>
          <w:szCs w:val="20"/>
        </w:rPr>
      </w:pPr>
    </w:p>
    <w:p w14:paraId="32129A7E" w14:textId="77777777" w:rsidR="00920DD4" w:rsidRPr="009D4627" w:rsidRDefault="00920DD4" w:rsidP="00C171FA">
      <w:pPr>
        <w:numPr>
          <w:ilvl w:val="0"/>
          <w:numId w:val="94"/>
        </w:numPr>
        <w:spacing w:before="0" w:after="0" w:line="240" w:lineRule="auto"/>
        <w:ind w:left="284" w:hanging="284"/>
        <w:contextualSpacing/>
        <w:rPr>
          <w:rFonts w:eastAsia="Times New Roman"/>
          <w:i/>
          <w:iCs/>
          <w:color w:val="auto"/>
        </w:rPr>
        <w:sectPr w:rsidR="00920DD4" w:rsidRPr="009D4627" w:rsidSect="00477959">
          <w:pgSz w:w="11906" w:h="16838" w:code="9"/>
          <w:pgMar w:top="1440" w:right="1440" w:bottom="1440" w:left="1440" w:header="708" w:footer="708" w:gutter="0"/>
          <w:cols w:space="708"/>
          <w:docGrid w:linePitch="360"/>
        </w:sectPr>
      </w:pPr>
    </w:p>
    <w:p w14:paraId="37199B37" w14:textId="1527C739" w:rsidR="00387897" w:rsidRPr="009D4627" w:rsidRDefault="00387897" w:rsidP="00C171FA">
      <w:pPr>
        <w:numPr>
          <w:ilvl w:val="0"/>
          <w:numId w:val="94"/>
        </w:numPr>
        <w:spacing w:before="0" w:after="0" w:line="240" w:lineRule="auto"/>
        <w:ind w:left="284" w:hanging="284"/>
        <w:contextualSpacing/>
        <w:rPr>
          <w:rFonts w:eastAsia="Times New Roman"/>
          <w:i/>
          <w:iCs/>
          <w:color w:val="auto"/>
        </w:rPr>
      </w:pPr>
      <w:r w:rsidRPr="009D4627">
        <w:rPr>
          <w:rFonts w:eastAsia="Times New Roman"/>
          <w:i/>
          <w:iCs/>
          <w:color w:val="auto"/>
        </w:rPr>
        <w:lastRenderedPageBreak/>
        <w:t>How to compute the SP variables (gain, RMSE and duration) from the sample report using R-statistical software</w:t>
      </w:r>
    </w:p>
    <w:p w14:paraId="6C6463D2" w14:textId="77777777" w:rsidR="00387897" w:rsidRPr="009D4627" w:rsidRDefault="00387897" w:rsidP="00387897">
      <w:pPr>
        <w:spacing w:before="0" w:after="0" w:line="240" w:lineRule="auto"/>
        <w:rPr>
          <w:rFonts w:eastAsia="Times New Roman"/>
          <w:color w:val="auto"/>
        </w:rPr>
      </w:pPr>
    </w:p>
    <w:p w14:paraId="62565D22" w14:textId="51958C47" w:rsidR="00387897" w:rsidRPr="009D4627" w:rsidRDefault="00387897" w:rsidP="00387897">
      <w:pPr>
        <w:spacing w:before="0" w:after="0" w:line="240" w:lineRule="auto"/>
        <w:rPr>
          <w:rFonts w:eastAsia="Times New Roman"/>
          <w:color w:val="auto"/>
        </w:rPr>
      </w:pPr>
      <w:r w:rsidRPr="009D4627">
        <w:rPr>
          <w:rFonts w:eastAsia="Times New Roman"/>
          <w:color w:val="auto"/>
        </w:rPr>
        <w:t xml:space="preserve">The “sample report” run in R statistical analysis software, using the following script, to compute the value for gain, RMSE and </w:t>
      </w:r>
      <w:r w:rsidR="00444E5B" w:rsidRPr="009D4627">
        <w:rPr>
          <w:rFonts w:eastAsia="Times New Roman"/>
          <w:color w:val="auto"/>
        </w:rPr>
        <w:t xml:space="preserve">SP </w:t>
      </w:r>
      <w:r w:rsidRPr="009D4627">
        <w:rPr>
          <w:rFonts w:eastAsia="Times New Roman"/>
          <w:color w:val="auto"/>
        </w:rPr>
        <w:t xml:space="preserve">duration. </w:t>
      </w:r>
    </w:p>
    <w:p w14:paraId="263FC648" w14:textId="77777777" w:rsidR="00387897" w:rsidRPr="009D4627" w:rsidRDefault="00387897" w:rsidP="00387897">
      <w:pPr>
        <w:spacing w:before="0" w:after="0" w:line="240" w:lineRule="auto"/>
        <w:rPr>
          <w:rFonts w:eastAsia="Times New Roman"/>
          <w:color w:val="auto"/>
        </w:rPr>
      </w:pPr>
    </w:p>
    <w:p w14:paraId="77A68554" w14:textId="77777777" w:rsidR="00387897" w:rsidRPr="009D4627" w:rsidRDefault="00387897" w:rsidP="00387897">
      <w:pPr>
        <w:shd w:val="clear" w:color="auto" w:fill="FFFFFF"/>
        <w:spacing w:before="0" w:after="0" w:line="240" w:lineRule="auto"/>
        <w:ind w:left="720"/>
        <w:rPr>
          <w:rFonts w:eastAsia="Times New Roman"/>
          <w:color w:val="222222"/>
          <w:sz w:val="22"/>
          <w:szCs w:val="22"/>
          <w:lang w:eastAsia="en-GB"/>
        </w:rPr>
      </w:pPr>
      <w:r w:rsidRPr="009D4627">
        <w:rPr>
          <w:rFonts w:eastAsia="Times New Roman"/>
          <w:color w:val="222222"/>
          <w:sz w:val="22"/>
          <w:szCs w:val="22"/>
          <w:lang w:eastAsia="en-GB"/>
        </w:rPr>
        <w:t># Read in Sample Report</w:t>
      </w:r>
    </w:p>
    <w:p w14:paraId="4A55EB2A" w14:textId="5C021681" w:rsidR="00387897" w:rsidRPr="009D4627" w:rsidRDefault="00444E5B" w:rsidP="00387897">
      <w:pPr>
        <w:shd w:val="clear" w:color="auto" w:fill="FFFFFF"/>
        <w:spacing w:before="0" w:after="0" w:line="240" w:lineRule="auto"/>
        <w:ind w:left="720"/>
        <w:rPr>
          <w:rFonts w:eastAsia="Times New Roman"/>
          <w:color w:val="222222"/>
          <w:sz w:val="22"/>
          <w:szCs w:val="22"/>
          <w:lang w:eastAsia="en-GB"/>
        </w:rPr>
      </w:pPr>
      <w:r w:rsidRPr="009D4627">
        <w:rPr>
          <w:rFonts w:eastAsia="Times New Roman"/>
          <w:color w:val="222222"/>
          <w:sz w:val="22"/>
          <w:szCs w:val="22"/>
          <w:lang w:eastAsia="en-GB"/>
        </w:rPr>
        <w:t xml:space="preserve">SP </w:t>
      </w:r>
      <w:r w:rsidR="00387897" w:rsidRPr="009D4627">
        <w:rPr>
          <w:rFonts w:eastAsia="Times New Roman"/>
          <w:color w:val="222222"/>
          <w:sz w:val="22"/>
          <w:szCs w:val="22"/>
          <w:lang w:eastAsia="en-GB"/>
        </w:rPr>
        <w:t xml:space="preserve">&lt;- </w:t>
      </w:r>
      <w:proofErr w:type="spellStart"/>
      <w:proofErr w:type="gramStart"/>
      <w:r w:rsidR="00387897" w:rsidRPr="009D4627">
        <w:rPr>
          <w:rFonts w:eastAsia="Times New Roman"/>
          <w:color w:val="222222"/>
          <w:sz w:val="22"/>
          <w:szCs w:val="22"/>
          <w:lang w:eastAsia="en-GB"/>
        </w:rPr>
        <w:t>read.table</w:t>
      </w:r>
      <w:proofErr w:type="spellEnd"/>
      <w:proofErr w:type="gramEnd"/>
      <w:r w:rsidR="00387897" w:rsidRPr="009D4627">
        <w:rPr>
          <w:rFonts w:eastAsia="Times New Roman"/>
          <w:color w:val="222222"/>
          <w:sz w:val="22"/>
          <w:szCs w:val="22"/>
          <w:lang w:eastAsia="en-GB"/>
        </w:rPr>
        <w:t xml:space="preserve">('Pursuit_Sample_reports_uni164.xls', </w:t>
      </w:r>
      <w:proofErr w:type="spellStart"/>
      <w:r w:rsidR="00387897" w:rsidRPr="009D4627">
        <w:rPr>
          <w:rFonts w:eastAsia="Times New Roman"/>
          <w:color w:val="222222"/>
          <w:sz w:val="22"/>
          <w:szCs w:val="22"/>
          <w:lang w:eastAsia="en-GB"/>
        </w:rPr>
        <w:t>sep</w:t>
      </w:r>
      <w:proofErr w:type="spellEnd"/>
      <w:r w:rsidR="00387897" w:rsidRPr="009D4627">
        <w:rPr>
          <w:rFonts w:eastAsia="Times New Roman"/>
          <w:color w:val="222222"/>
          <w:sz w:val="22"/>
          <w:szCs w:val="22"/>
          <w:lang w:eastAsia="en-GB"/>
        </w:rPr>
        <w:t xml:space="preserve"> = "\t", </w:t>
      </w:r>
      <w:proofErr w:type="spellStart"/>
      <w:r w:rsidR="00387897" w:rsidRPr="009D4627">
        <w:rPr>
          <w:rFonts w:eastAsia="Times New Roman"/>
          <w:color w:val="222222"/>
          <w:sz w:val="22"/>
          <w:szCs w:val="22"/>
          <w:lang w:eastAsia="en-GB"/>
        </w:rPr>
        <w:t>na.strings</w:t>
      </w:r>
      <w:proofErr w:type="spellEnd"/>
      <w:r w:rsidR="00387897" w:rsidRPr="009D4627">
        <w:rPr>
          <w:rFonts w:eastAsia="Times New Roman"/>
          <w:color w:val="222222"/>
          <w:sz w:val="22"/>
          <w:szCs w:val="22"/>
          <w:lang w:eastAsia="en-GB"/>
        </w:rPr>
        <w:t xml:space="preserve"> = ".", header = TRUE)</w:t>
      </w:r>
    </w:p>
    <w:p w14:paraId="5D2B89A4" w14:textId="77777777" w:rsidR="00387897" w:rsidRPr="009D4627" w:rsidRDefault="00387897" w:rsidP="00387897">
      <w:pPr>
        <w:shd w:val="clear" w:color="auto" w:fill="FFFFFF"/>
        <w:spacing w:before="0" w:after="0" w:line="240" w:lineRule="auto"/>
        <w:ind w:left="720"/>
        <w:rPr>
          <w:rFonts w:eastAsia="Times New Roman"/>
          <w:color w:val="222222"/>
          <w:sz w:val="22"/>
          <w:szCs w:val="22"/>
          <w:lang w:eastAsia="en-GB"/>
        </w:rPr>
      </w:pPr>
    </w:p>
    <w:p w14:paraId="6A4C3B2E" w14:textId="77777777" w:rsidR="00387897" w:rsidRPr="009D4627" w:rsidRDefault="00387897" w:rsidP="00387897">
      <w:pPr>
        <w:shd w:val="clear" w:color="auto" w:fill="FFFFFF"/>
        <w:spacing w:before="0" w:after="0" w:line="240" w:lineRule="auto"/>
        <w:ind w:left="720"/>
        <w:rPr>
          <w:rFonts w:eastAsia="Times New Roman"/>
          <w:color w:val="222222"/>
          <w:sz w:val="22"/>
          <w:szCs w:val="22"/>
          <w:lang w:eastAsia="en-GB"/>
        </w:rPr>
      </w:pPr>
      <w:r w:rsidRPr="009D4627">
        <w:rPr>
          <w:rFonts w:eastAsia="Times New Roman"/>
          <w:color w:val="222222"/>
          <w:sz w:val="22"/>
          <w:szCs w:val="22"/>
          <w:lang w:eastAsia="en-GB"/>
        </w:rPr>
        <w:t># Strip out first trial</w:t>
      </w:r>
    </w:p>
    <w:p w14:paraId="0987556A" w14:textId="77777777" w:rsidR="00387897" w:rsidRPr="002312ED" w:rsidRDefault="00387897" w:rsidP="00387897">
      <w:pPr>
        <w:shd w:val="clear" w:color="auto" w:fill="FFFFFF"/>
        <w:spacing w:before="0" w:after="0" w:line="240" w:lineRule="auto"/>
        <w:ind w:left="720"/>
        <w:rPr>
          <w:rFonts w:eastAsia="Times New Roman"/>
          <w:color w:val="222222"/>
          <w:sz w:val="22"/>
          <w:szCs w:val="22"/>
          <w:lang w:val="fr-FR" w:eastAsia="en-GB"/>
        </w:rPr>
      </w:pPr>
      <w:proofErr w:type="gramStart"/>
      <w:r w:rsidRPr="002312ED">
        <w:rPr>
          <w:rFonts w:eastAsia="Times New Roman"/>
          <w:color w:val="222222"/>
          <w:sz w:val="22"/>
          <w:szCs w:val="22"/>
          <w:lang w:val="fr-FR" w:eastAsia="en-GB"/>
        </w:rPr>
        <w:t>pursuit</w:t>
      </w:r>
      <w:proofErr w:type="gramEnd"/>
      <w:r w:rsidRPr="002312ED">
        <w:rPr>
          <w:rFonts w:eastAsia="Times New Roman"/>
          <w:color w:val="222222"/>
          <w:sz w:val="22"/>
          <w:szCs w:val="22"/>
          <w:lang w:val="fr-FR" w:eastAsia="en-GB"/>
        </w:rPr>
        <w:t xml:space="preserve">1 &lt;- </w:t>
      </w:r>
      <w:proofErr w:type="spellStart"/>
      <w:r w:rsidRPr="002312ED">
        <w:rPr>
          <w:rFonts w:eastAsia="Times New Roman"/>
          <w:color w:val="222222"/>
          <w:sz w:val="22"/>
          <w:szCs w:val="22"/>
          <w:lang w:val="fr-FR" w:eastAsia="en-GB"/>
        </w:rPr>
        <w:t>pursuit</w:t>
      </w:r>
      <w:proofErr w:type="spellEnd"/>
      <w:r w:rsidRPr="002312ED">
        <w:rPr>
          <w:rFonts w:eastAsia="Times New Roman"/>
          <w:color w:val="222222"/>
          <w:sz w:val="22"/>
          <w:szCs w:val="22"/>
          <w:lang w:val="fr-FR" w:eastAsia="en-GB"/>
        </w:rPr>
        <w:t>[</w:t>
      </w:r>
      <w:proofErr w:type="spellStart"/>
      <w:r w:rsidRPr="002312ED">
        <w:rPr>
          <w:rFonts w:eastAsia="Times New Roman"/>
          <w:color w:val="222222"/>
          <w:sz w:val="22"/>
          <w:szCs w:val="22"/>
          <w:lang w:val="fr-FR" w:eastAsia="en-GB"/>
        </w:rPr>
        <w:t>pursuit$TRIAL_INDEX</w:t>
      </w:r>
      <w:proofErr w:type="spellEnd"/>
      <w:r w:rsidRPr="002312ED">
        <w:rPr>
          <w:rFonts w:eastAsia="Times New Roman"/>
          <w:color w:val="222222"/>
          <w:sz w:val="22"/>
          <w:szCs w:val="22"/>
          <w:lang w:val="fr-FR" w:eastAsia="en-GB"/>
        </w:rPr>
        <w:t xml:space="preserve"> ==2,]</w:t>
      </w:r>
    </w:p>
    <w:p w14:paraId="27E48718" w14:textId="77777777" w:rsidR="00387897" w:rsidRPr="002312ED" w:rsidRDefault="00387897" w:rsidP="00387897">
      <w:pPr>
        <w:shd w:val="clear" w:color="auto" w:fill="FFFFFF"/>
        <w:spacing w:before="0" w:after="0" w:line="240" w:lineRule="auto"/>
        <w:ind w:left="720"/>
        <w:rPr>
          <w:rFonts w:eastAsia="Times New Roman"/>
          <w:color w:val="222222"/>
          <w:sz w:val="22"/>
          <w:szCs w:val="22"/>
          <w:lang w:val="fr-FR" w:eastAsia="en-GB"/>
        </w:rPr>
      </w:pPr>
      <w:proofErr w:type="spellStart"/>
      <w:proofErr w:type="gramStart"/>
      <w:r w:rsidRPr="002312ED">
        <w:rPr>
          <w:rFonts w:eastAsia="Times New Roman"/>
          <w:color w:val="222222"/>
          <w:sz w:val="22"/>
          <w:szCs w:val="22"/>
          <w:lang w:val="fr-FR" w:eastAsia="en-GB"/>
        </w:rPr>
        <w:t>str</w:t>
      </w:r>
      <w:proofErr w:type="spellEnd"/>
      <w:proofErr w:type="gramEnd"/>
      <w:r w:rsidRPr="002312ED">
        <w:rPr>
          <w:rFonts w:eastAsia="Times New Roman"/>
          <w:color w:val="222222"/>
          <w:sz w:val="22"/>
          <w:szCs w:val="22"/>
          <w:lang w:val="fr-FR" w:eastAsia="en-GB"/>
        </w:rPr>
        <w:t>(pursuit1)</w:t>
      </w:r>
    </w:p>
    <w:p w14:paraId="051F776B" w14:textId="77777777" w:rsidR="00387897" w:rsidRPr="002312ED" w:rsidRDefault="00387897" w:rsidP="00387897">
      <w:pPr>
        <w:shd w:val="clear" w:color="auto" w:fill="FFFFFF"/>
        <w:spacing w:before="0" w:after="0" w:line="240" w:lineRule="auto"/>
        <w:ind w:left="720"/>
        <w:rPr>
          <w:rFonts w:eastAsia="Times New Roman"/>
          <w:color w:val="222222"/>
          <w:sz w:val="22"/>
          <w:szCs w:val="22"/>
          <w:lang w:val="fr-FR" w:eastAsia="en-GB"/>
        </w:rPr>
      </w:pPr>
    </w:p>
    <w:p w14:paraId="2334F33A"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w:t>
      </w:r>
      <w:proofErr w:type="gramStart"/>
      <w:r w:rsidRPr="009D4627">
        <w:rPr>
          <w:rFonts w:eastAsia="Times New Roman"/>
          <w:color w:val="222222"/>
          <w:sz w:val="22"/>
          <w:szCs w:val="22"/>
          <w:lang w:val="en-MY" w:eastAsia="en-GB"/>
        </w:rPr>
        <w:t>quick</w:t>
      </w:r>
      <w:proofErr w:type="gramEnd"/>
      <w:r w:rsidRPr="009D4627">
        <w:rPr>
          <w:rFonts w:eastAsia="Times New Roman"/>
          <w:color w:val="222222"/>
          <w:sz w:val="22"/>
          <w:szCs w:val="22"/>
          <w:lang w:val="en-MY" w:eastAsia="en-GB"/>
        </w:rPr>
        <w:t xml:space="preserve"> plot of target and gaze</w:t>
      </w:r>
    </w:p>
    <w:p w14:paraId="4163CA1E"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gramStart"/>
      <w:r w:rsidRPr="009D4627">
        <w:rPr>
          <w:rFonts w:eastAsia="Times New Roman"/>
          <w:color w:val="222222"/>
          <w:sz w:val="22"/>
          <w:szCs w:val="22"/>
          <w:lang w:val="en-MY" w:eastAsia="en-GB"/>
        </w:rPr>
        <w:t>plot(</w:t>
      </w:r>
      <w:proofErr w:type="gramEnd"/>
      <w:r w:rsidRPr="009D4627">
        <w:rPr>
          <w:rFonts w:eastAsia="Times New Roman"/>
          <w:color w:val="222222"/>
          <w:sz w:val="22"/>
          <w:szCs w:val="22"/>
          <w:lang w:val="en-MY" w:eastAsia="en-GB"/>
        </w:rPr>
        <w:t xml:space="preserve">pursuit1$TARGET_X_TARG1, </w:t>
      </w:r>
      <w:proofErr w:type="spellStart"/>
      <w:r w:rsidRPr="009D4627">
        <w:rPr>
          <w:rFonts w:eastAsia="Times New Roman"/>
          <w:color w:val="222222"/>
          <w:sz w:val="22"/>
          <w:szCs w:val="22"/>
          <w:lang w:val="en-MY" w:eastAsia="en-GB"/>
        </w:rPr>
        <w:t>typ</w:t>
      </w:r>
      <w:proofErr w:type="spellEnd"/>
      <w:r w:rsidRPr="009D4627">
        <w:rPr>
          <w:rFonts w:eastAsia="Times New Roman"/>
          <w:color w:val="222222"/>
          <w:sz w:val="22"/>
          <w:szCs w:val="22"/>
          <w:lang w:val="en-MY" w:eastAsia="en-GB"/>
        </w:rPr>
        <w:t>='</w:t>
      </w:r>
      <w:proofErr w:type="spellStart"/>
      <w:r w:rsidRPr="009D4627">
        <w:rPr>
          <w:rFonts w:eastAsia="Times New Roman"/>
          <w:color w:val="222222"/>
          <w:sz w:val="22"/>
          <w:szCs w:val="22"/>
          <w:lang w:val="en-MY" w:eastAsia="en-GB"/>
        </w:rPr>
        <w:t>l',col</w:t>
      </w:r>
      <w:proofErr w:type="spellEnd"/>
      <w:r w:rsidRPr="009D4627">
        <w:rPr>
          <w:rFonts w:eastAsia="Times New Roman"/>
          <w:color w:val="222222"/>
          <w:sz w:val="22"/>
          <w:szCs w:val="22"/>
          <w:lang w:val="en-MY" w:eastAsia="en-GB"/>
        </w:rPr>
        <w:t>='black')</w:t>
      </w:r>
    </w:p>
    <w:p w14:paraId="2C4DB6C5"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gramStart"/>
      <w:r w:rsidRPr="009D4627">
        <w:rPr>
          <w:rFonts w:eastAsia="Times New Roman"/>
          <w:color w:val="222222"/>
          <w:sz w:val="22"/>
          <w:szCs w:val="22"/>
          <w:lang w:val="en-MY" w:eastAsia="en-GB"/>
        </w:rPr>
        <w:t>points(</w:t>
      </w:r>
      <w:proofErr w:type="gramEnd"/>
      <w:r w:rsidRPr="009D4627">
        <w:rPr>
          <w:rFonts w:eastAsia="Times New Roman"/>
          <w:color w:val="222222"/>
          <w:sz w:val="22"/>
          <w:szCs w:val="22"/>
          <w:lang w:val="en-MY" w:eastAsia="en-GB"/>
        </w:rPr>
        <w:t xml:space="preserve">pursuit1$RIGHT_GAZE_X, </w:t>
      </w:r>
      <w:proofErr w:type="spellStart"/>
      <w:r w:rsidRPr="009D4627">
        <w:rPr>
          <w:rFonts w:eastAsia="Times New Roman"/>
          <w:color w:val="222222"/>
          <w:sz w:val="22"/>
          <w:szCs w:val="22"/>
          <w:lang w:val="en-MY" w:eastAsia="en-GB"/>
        </w:rPr>
        <w:t>typ</w:t>
      </w:r>
      <w:proofErr w:type="spellEnd"/>
      <w:r w:rsidRPr="009D4627">
        <w:rPr>
          <w:rFonts w:eastAsia="Times New Roman"/>
          <w:color w:val="222222"/>
          <w:sz w:val="22"/>
          <w:szCs w:val="22"/>
          <w:lang w:val="en-MY" w:eastAsia="en-GB"/>
        </w:rPr>
        <w:t>='</w:t>
      </w:r>
      <w:proofErr w:type="spellStart"/>
      <w:r w:rsidRPr="009D4627">
        <w:rPr>
          <w:rFonts w:eastAsia="Times New Roman"/>
          <w:color w:val="222222"/>
          <w:sz w:val="22"/>
          <w:szCs w:val="22"/>
          <w:lang w:val="en-MY" w:eastAsia="en-GB"/>
        </w:rPr>
        <w:t>l',col</w:t>
      </w:r>
      <w:proofErr w:type="spellEnd"/>
      <w:r w:rsidRPr="009D4627">
        <w:rPr>
          <w:rFonts w:eastAsia="Times New Roman"/>
          <w:color w:val="222222"/>
          <w:sz w:val="22"/>
          <w:szCs w:val="22"/>
          <w:lang w:val="en-MY" w:eastAsia="en-GB"/>
        </w:rPr>
        <w:t>='blue')</w:t>
      </w:r>
    </w:p>
    <w:p w14:paraId="3C695D30" w14:textId="77777777" w:rsidR="00387897" w:rsidRPr="009D4627" w:rsidRDefault="00387897" w:rsidP="00387897">
      <w:pPr>
        <w:spacing w:before="0" w:after="0" w:line="240" w:lineRule="auto"/>
        <w:ind w:left="720"/>
        <w:rPr>
          <w:rFonts w:eastAsia="Times New Roman"/>
          <w:color w:val="222222"/>
          <w:sz w:val="22"/>
          <w:szCs w:val="22"/>
          <w:lang w:val="en-MY" w:eastAsia="en-GB"/>
        </w:rPr>
      </w:pPr>
    </w:p>
    <w:p w14:paraId="3128C810"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w:t>
      </w:r>
      <w:proofErr w:type="gramStart"/>
      <w:r w:rsidRPr="009D4627">
        <w:rPr>
          <w:rFonts w:eastAsia="Times New Roman"/>
          <w:color w:val="222222"/>
          <w:sz w:val="22"/>
          <w:szCs w:val="22"/>
          <w:lang w:val="en-MY" w:eastAsia="en-GB"/>
        </w:rPr>
        <w:t>set</w:t>
      </w:r>
      <w:proofErr w:type="gramEnd"/>
      <w:r w:rsidRPr="009D4627">
        <w:rPr>
          <w:rFonts w:eastAsia="Times New Roman"/>
          <w:color w:val="222222"/>
          <w:sz w:val="22"/>
          <w:szCs w:val="22"/>
          <w:lang w:val="en-MY" w:eastAsia="en-GB"/>
        </w:rPr>
        <w:t xml:space="preserve"> up variables</w:t>
      </w:r>
    </w:p>
    <w:p w14:paraId="048FEE8D"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N_Psegs</w:t>
      </w:r>
      <w:proofErr w:type="spellEnd"/>
      <w:r w:rsidRPr="009D4627">
        <w:rPr>
          <w:rFonts w:eastAsia="Times New Roman"/>
          <w:color w:val="222222"/>
          <w:sz w:val="22"/>
          <w:szCs w:val="22"/>
          <w:lang w:val="en-MY" w:eastAsia="en-GB"/>
        </w:rPr>
        <w:t>=max(pursuit1$RIGHT_FIX_</w:t>
      </w:r>
      <w:proofErr w:type="gramStart"/>
      <w:r w:rsidRPr="009D4627">
        <w:rPr>
          <w:rFonts w:eastAsia="Times New Roman"/>
          <w:color w:val="222222"/>
          <w:sz w:val="22"/>
          <w:szCs w:val="22"/>
          <w:lang w:val="en-MY" w:eastAsia="en-GB"/>
        </w:rPr>
        <w:t>INDEX,na.rm</w:t>
      </w:r>
      <w:proofErr w:type="gramEnd"/>
      <w:r w:rsidRPr="009D4627">
        <w:rPr>
          <w:rFonts w:eastAsia="Times New Roman"/>
          <w:color w:val="222222"/>
          <w:sz w:val="22"/>
          <w:szCs w:val="22"/>
          <w:lang w:val="en-MY" w:eastAsia="en-GB"/>
        </w:rPr>
        <w:t>=TRUE)</w:t>
      </w:r>
    </w:p>
    <w:p w14:paraId="20BF3772"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vgains</w:t>
      </w:r>
      <w:proofErr w:type="spellEnd"/>
      <w:r w:rsidRPr="009D4627">
        <w:rPr>
          <w:rFonts w:eastAsia="Times New Roman"/>
          <w:color w:val="222222"/>
          <w:sz w:val="22"/>
          <w:szCs w:val="22"/>
          <w:lang w:val="en-MY" w:eastAsia="en-GB"/>
        </w:rPr>
        <w:t xml:space="preserve"> &lt;-integer(</w:t>
      </w:r>
      <w:proofErr w:type="spellStart"/>
      <w:r w:rsidRPr="009D4627">
        <w:rPr>
          <w:rFonts w:eastAsia="Times New Roman"/>
          <w:color w:val="222222"/>
          <w:sz w:val="22"/>
          <w:szCs w:val="22"/>
          <w:lang w:val="en-MY" w:eastAsia="en-GB"/>
        </w:rPr>
        <w:t>N_Psegs</w:t>
      </w:r>
      <w:proofErr w:type="spellEnd"/>
      <w:r w:rsidRPr="009D4627">
        <w:rPr>
          <w:rFonts w:eastAsia="Times New Roman"/>
          <w:color w:val="222222"/>
          <w:sz w:val="22"/>
          <w:szCs w:val="22"/>
          <w:lang w:val="en-MY" w:eastAsia="en-GB"/>
        </w:rPr>
        <w:t>)</w:t>
      </w:r>
    </w:p>
    <w:p w14:paraId="62BEC7EF"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rmses</w:t>
      </w:r>
      <w:proofErr w:type="spellEnd"/>
      <w:r w:rsidRPr="009D4627">
        <w:rPr>
          <w:rFonts w:eastAsia="Times New Roman"/>
          <w:color w:val="222222"/>
          <w:sz w:val="22"/>
          <w:szCs w:val="22"/>
          <w:lang w:val="en-MY" w:eastAsia="en-GB"/>
        </w:rPr>
        <w:t xml:space="preserve"> &lt;-integer(</w:t>
      </w:r>
      <w:proofErr w:type="spellStart"/>
      <w:r w:rsidRPr="009D4627">
        <w:rPr>
          <w:rFonts w:eastAsia="Times New Roman"/>
          <w:color w:val="222222"/>
          <w:sz w:val="22"/>
          <w:szCs w:val="22"/>
          <w:lang w:val="en-MY" w:eastAsia="en-GB"/>
        </w:rPr>
        <w:t>N_Psegs</w:t>
      </w:r>
      <w:proofErr w:type="spellEnd"/>
      <w:r w:rsidRPr="009D4627">
        <w:rPr>
          <w:rFonts w:eastAsia="Times New Roman"/>
          <w:color w:val="222222"/>
          <w:sz w:val="22"/>
          <w:szCs w:val="22"/>
          <w:lang w:val="en-MY" w:eastAsia="en-GB"/>
        </w:rPr>
        <w:t>)</w:t>
      </w:r>
    </w:p>
    <w:p w14:paraId="4C090C84"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lengths &lt;-integer(</w:t>
      </w:r>
      <w:proofErr w:type="spellStart"/>
      <w:r w:rsidRPr="009D4627">
        <w:rPr>
          <w:rFonts w:eastAsia="Times New Roman"/>
          <w:color w:val="222222"/>
          <w:sz w:val="22"/>
          <w:szCs w:val="22"/>
          <w:lang w:val="en-MY" w:eastAsia="en-GB"/>
        </w:rPr>
        <w:t>N_Psegs</w:t>
      </w:r>
      <w:proofErr w:type="spellEnd"/>
      <w:r w:rsidRPr="009D4627">
        <w:rPr>
          <w:rFonts w:eastAsia="Times New Roman"/>
          <w:color w:val="222222"/>
          <w:sz w:val="22"/>
          <w:szCs w:val="22"/>
          <w:lang w:val="en-MY" w:eastAsia="en-GB"/>
        </w:rPr>
        <w:t>)</w:t>
      </w:r>
    </w:p>
    <w:p w14:paraId="123204FD" w14:textId="77777777" w:rsidR="00387897" w:rsidRPr="009D4627" w:rsidRDefault="00387897" w:rsidP="00387897">
      <w:pPr>
        <w:spacing w:before="0" w:after="0" w:line="240" w:lineRule="auto"/>
        <w:ind w:left="720"/>
        <w:rPr>
          <w:rFonts w:eastAsia="Times New Roman"/>
          <w:color w:val="222222"/>
          <w:sz w:val="22"/>
          <w:szCs w:val="22"/>
          <w:lang w:val="en-MY" w:eastAsia="en-GB"/>
        </w:rPr>
      </w:pPr>
    </w:p>
    <w:p w14:paraId="23F61A01"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Counter =1</w:t>
      </w:r>
    </w:p>
    <w:p w14:paraId="335065C4"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while (Counter &lt;=</w:t>
      </w:r>
      <w:proofErr w:type="spellStart"/>
      <w:r w:rsidRPr="009D4627">
        <w:rPr>
          <w:rFonts w:eastAsia="Times New Roman"/>
          <w:color w:val="222222"/>
          <w:sz w:val="22"/>
          <w:szCs w:val="22"/>
          <w:lang w:val="en-MY" w:eastAsia="en-GB"/>
        </w:rPr>
        <w:t>N_Psegs</w:t>
      </w:r>
      <w:proofErr w:type="spellEnd"/>
      <w:r w:rsidRPr="009D4627">
        <w:rPr>
          <w:rFonts w:eastAsia="Times New Roman"/>
          <w:color w:val="222222"/>
          <w:sz w:val="22"/>
          <w:szCs w:val="22"/>
          <w:lang w:val="en-MY" w:eastAsia="en-GB"/>
        </w:rPr>
        <w:t>)</w:t>
      </w:r>
    </w:p>
    <w:p w14:paraId="2E5CDC08"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w:t>
      </w:r>
    </w:p>
    <w:p w14:paraId="3B71F1DA"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gaze_v</w:t>
      </w:r>
      <w:proofErr w:type="spellEnd"/>
      <w:r w:rsidRPr="009D4627">
        <w:rPr>
          <w:rFonts w:eastAsia="Times New Roman"/>
          <w:color w:val="222222"/>
          <w:sz w:val="22"/>
          <w:szCs w:val="22"/>
          <w:lang w:val="en-MY" w:eastAsia="en-GB"/>
        </w:rPr>
        <w:t xml:space="preserve"> =pursuit1$RIGHT_VELOCITY_X[which(pursuit1$RIGHT_FIX_INDEX==Counter)]</w:t>
      </w:r>
    </w:p>
    <w:p w14:paraId="1D5814F5"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target_v</w:t>
      </w:r>
      <w:proofErr w:type="spellEnd"/>
      <w:r w:rsidRPr="009D4627">
        <w:rPr>
          <w:rFonts w:eastAsia="Times New Roman"/>
          <w:color w:val="222222"/>
          <w:sz w:val="22"/>
          <w:szCs w:val="22"/>
          <w:lang w:val="en-MY" w:eastAsia="en-GB"/>
        </w:rPr>
        <w:t xml:space="preserve"> =pursuit1$TARGET_VELOCITY_X_TARG1[which(pursuit1$RIGHT_FIX_INDEX==Counter)]</w:t>
      </w:r>
    </w:p>
    <w:p w14:paraId="5728CFE6"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gain =</w:t>
      </w:r>
      <w:proofErr w:type="spellStart"/>
      <w:r w:rsidRPr="009D4627">
        <w:rPr>
          <w:rFonts w:eastAsia="Times New Roman"/>
          <w:color w:val="222222"/>
          <w:sz w:val="22"/>
          <w:szCs w:val="22"/>
          <w:lang w:val="en-MY" w:eastAsia="en-GB"/>
        </w:rPr>
        <w:t>ifelse</w:t>
      </w:r>
      <w:proofErr w:type="spellEnd"/>
      <w:r w:rsidRPr="009D4627">
        <w:rPr>
          <w:rFonts w:eastAsia="Times New Roman"/>
          <w:color w:val="222222"/>
          <w:sz w:val="22"/>
          <w:szCs w:val="22"/>
          <w:lang w:val="en-MY" w:eastAsia="en-GB"/>
        </w:rPr>
        <w:t>(abs(</w:t>
      </w:r>
      <w:proofErr w:type="spellStart"/>
      <w:r w:rsidRPr="009D4627">
        <w:rPr>
          <w:rFonts w:eastAsia="Times New Roman"/>
          <w:color w:val="222222"/>
          <w:sz w:val="22"/>
          <w:szCs w:val="22"/>
          <w:lang w:val="en-MY" w:eastAsia="en-GB"/>
        </w:rPr>
        <w:t>target_v</w:t>
      </w:r>
      <w:proofErr w:type="spellEnd"/>
      <w:r w:rsidRPr="009D4627">
        <w:rPr>
          <w:rFonts w:eastAsia="Times New Roman"/>
          <w:color w:val="222222"/>
          <w:sz w:val="22"/>
          <w:szCs w:val="22"/>
          <w:lang w:val="en-MY" w:eastAsia="en-GB"/>
        </w:rPr>
        <w:t xml:space="preserve">) &lt; </w:t>
      </w:r>
      <w:proofErr w:type="gramStart"/>
      <w:r w:rsidRPr="009D4627">
        <w:rPr>
          <w:rFonts w:eastAsia="Times New Roman"/>
          <w:color w:val="222222"/>
          <w:sz w:val="22"/>
          <w:szCs w:val="22"/>
          <w:lang w:val="en-MY" w:eastAsia="en-GB"/>
        </w:rPr>
        <w:t>2,NA</w:t>
      </w:r>
      <w:proofErr w:type="gramEnd"/>
      <w:r w:rsidRPr="009D4627">
        <w:rPr>
          <w:rFonts w:eastAsia="Times New Roman"/>
          <w:color w:val="222222"/>
          <w:sz w:val="22"/>
          <w:szCs w:val="22"/>
          <w:lang w:val="en-MY" w:eastAsia="en-GB"/>
        </w:rPr>
        <w:t>,gaze_v/</w:t>
      </w:r>
      <w:proofErr w:type="spellStart"/>
      <w:r w:rsidRPr="009D4627">
        <w:rPr>
          <w:rFonts w:eastAsia="Times New Roman"/>
          <w:color w:val="222222"/>
          <w:sz w:val="22"/>
          <w:szCs w:val="22"/>
          <w:lang w:val="en-MY" w:eastAsia="en-GB"/>
        </w:rPr>
        <w:t>target_v</w:t>
      </w:r>
      <w:proofErr w:type="spellEnd"/>
      <w:r w:rsidRPr="009D4627">
        <w:rPr>
          <w:rFonts w:eastAsia="Times New Roman"/>
          <w:color w:val="222222"/>
          <w:sz w:val="22"/>
          <w:szCs w:val="22"/>
          <w:lang w:val="en-MY" w:eastAsia="en-GB"/>
        </w:rPr>
        <w:t>)</w:t>
      </w:r>
    </w:p>
    <w:p w14:paraId="53BC7CAD"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vgain</w:t>
      </w:r>
      <w:proofErr w:type="spellEnd"/>
      <w:r w:rsidRPr="009D4627">
        <w:rPr>
          <w:rFonts w:eastAsia="Times New Roman"/>
          <w:color w:val="222222"/>
          <w:sz w:val="22"/>
          <w:szCs w:val="22"/>
          <w:lang w:val="en-MY" w:eastAsia="en-GB"/>
        </w:rPr>
        <w:t xml:space="preserve"> =mean(</w:t>
      </w:r>
      <w:proofErr w:type="gramStart"/>
      <w:r w:rsidRPr="009D4627">
        <w:rPr>
          <w:rFonts w:eastAsia="Times New Roman"/>
          <w:color w:val="222222"/>
          <w:sz w:val="22"/>
          <w:szCs w:val="22"/>
          <w:lang w:val="en-MY" w:eastAsia="en-GB"/>
        </w:rPr>
        <w:t>gain,na.rm</w:t>
      </w:r>
      <w:proofErr w:type="gramEnd"/>
      <w:r w:rsidRPr="009D4627">
        <w:rPr>
          <w:rFonts w:eastAsia="Times New Roman"/>
          <w:color w:val="222222"/>
          <w:sz w:val="22"/>
          <w:szCs w:val="22"/>
          <w:lang w:val="en-MY" w:eastAsia="en-GB"/>
        </w:rPr>
        <w:t>=TRUE)</w:t>
      </w:r>
    </w:p>
    <w:p w14:paraId="0107D5B0"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length =length(gain[!</w:t>
      </w:r>
      <w:hyperlink r:id="rId272" w:tgtFrame="_blank" w:history="1">
        <w:r w:rsidRPr="009D4627">
          <w:rPr>
            <w:rFonts w:eastAsia="Times New Roman"/>
            <w:color w:val="0563C1" w:themeColor="hyperlink"/>
            <w:sz w:val="22"/>
            <w:szCs w:val="22"/>
            <w:u w:val="single"/>
            <w:lang w:val="en-MY" w:eastAsia="en-GB"/>
          </w:rPr>
          <w:t>is.na</w:t>
        </w:r>
      </w:hyperlink>
      <w:r w:rsidRPr="009D4627">
        <w:rPr>
          <w:rFonts w:eastAsia="Times New Roman"/>
          <w:color w:val="222222"/>
          <w:sz w:val="22"/>
          <w:szCs w:val="22"/>
          <w:lang w:val="en-MY" w:eastAsia="en-GB"/>
        </w:rPr>
        <w:t>(gain)</w:t>
      </w:r>
      <w:proofErr w:type="gramStart"/>
      <w:r w:rsidRPr="009D4627">
        <w:rPr>
          <w:rFonts w:eastAsia="Times New Roman"/>
          <w:color w:val="222222"/>
          <w:sz w:val="22"/>
          <w:szCs w:val="22"/>
          <w:lang w:val="en-MY" w:eastAsia="en-GB"/>
        </w:rPr>
        <w:t>])*</w:t>
      </w:r>
      <w:proofErr w:type="gramEnd"/>
      <w:r w:rsidRPr="009D4627">
        <w:rPr>
          <w:rFonts w:eastAsia="Times New Roman"/>
          <w:color w:val="222222"/>
          <w:sz w:val="22"/>
          <w:szCs w:val="22"/>
          <w:lang w:val="en-MY" w:eastAsia="en-GB"/>
        </w:rPr>
        <w:t>2</w:t>
      </w:r>
    </w:p>
    <w:p w14:paraId="249D7670"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temp1 =pursuit1$RIGHT_GAZE_X[which(pursuit1$RIGHT_FIX_INDEX==Counter)]</w:t>
      </w:r>
    </w:p>
    <w:p w14:paraId="47D574B0"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temp2 =pursuit1$TARGET_X_TARG1[which(pursuit1$RIGHT_FIX_INDEX==Counter)]</w:t>
      </w:r>
    </w:p>
    <w:p w14:paraId="62EA6CA6"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e =(temp2-temp1)/pursuit1$RESOLUTION_X[which(pursuit1$RIGHT_FIX_INDEX==Counter)]</w:t>
      </w:r>
    </w:p>
    <w:p w14:paraId="56570341"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se =e^2</w:t>
      </w:r>
    </w:p>
    <w:p w14:paraId="6324C47B"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mse</w:t>
      </w:r>
      <w:proofErr w:type="spellEnd"/>
      <w:r w:rsidRPr="009D4627">
        <w:rPr>
          <w:rFonts w:eastAsia="Times New Roman"/>
          <w:color w:val="222222"/>
          <w:sz w:val="22"/>
          <w:szCs w:val="22"/>
          <w:lang w:val="en-MY" w:eastAsia="en-GB"/>
        </w:rPr>
        <w:t xml:space="preserve"> =mean(se)</w:t>
      </w:r>
    </w:p>
    <w:p w14:paraId="149283CB"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r w:rsidRPr="009D4627">
        <w:rPr>
          <w:rFonts w:eastAsia="Times New Roman"/>
          <w:color w:val="222222"/>
          <w:sz w:val="22"/>
          <w:szCs w:val="22"/>
          <w:lang w:val="en-MY" w:eastAsia="en-GB"/>
        </w:rPr>
        <w:t>rmse</w:t>
      </w:r>
      <w:proofErr w:type="spellEnd"/>
      <w:r w:rsidRPr="009D4627">
        <w:rPr>
          <w:rFonts w:eastAsia="Times New Roman"/>
          <w:color w:val="222222"/>
          <w:sz w:val="22"/>
          <w:szCs w:val="22"/>
          <w:lang w:val="en-MY" w:eastAsia="en-GB"/>
        </w:rPr>
        <w:t xml:space="preserve"> =sqrt(</w:t>
      </w:r>
      <w:proofErr w:type="spellStart"/>
      <w:r w:rsidRPr="009D4627">
        <w:rPr>
          <w:rFonts w:eastAsia="Times New Roman"/>
          <w:color w:val="222222"/>
          <w:sz w:val="22"/>
          <w:szCs w:val="22"/>
          <w:lang w:val="en-MY" w:eastAsia="en-GB"/>
        </w:rPr>
        <w:t>mse</w:t>
      </w:r>
      <w:proofErr w:type="spellEnd"/>
      <w:r w:rsidRPr="009D4627">
        <w:rPr>
          <w:rFonts w:eastAsia="Times New Roman"/>
          <w:color w:val="222222"/>
          <w:sz w:val="22"/>
          <w:szCs w:val="22"/>
          <w:lang w:val="en-MY" w:eastAsia="en-GB"/>
        </w:rPr>
        <w:t>)</w:t>
      </w:r>
    </w:p>
    <w:p w14:paraId="53D6C5CE"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proofErr w:type="gramStart"/>
      <w:r w:rsidRPr="009D4627">
        <w:rPr>
          <w:rFonts w:eastAsia="Times New Roman"/>
          <w:color w:val="222222"/>
          <w:sz w:val="22"/>
          <w:szCs w:val="22"/>
          <w:lang w:val="en-MY" w:eastAsia="en-GB"/>
        </w:rPr>
        <w:t>vgains</w:t>
      </w:r>
      <w:proofErr w:type="spellEnd"/>
      <w:r w:rsidRPr="009D4627">
        <w:rPr>
          <w:rFonts w:eastAsia="Times New Roman"/>
          <w:color w:val="222222"/>
          <w:sz w:val="22"/>
          <w:szCs w:val="22"/>
          <w:lang w:val="en-MY" w:eastAsia="en-GB"/>
        </w:rPr>
        <w:t>[</w:t>
      </w:r>
      <w:proofErr w:type="gramEnd"/>
      <w:r w:rsidRPr="009D4627">
        <w:rPr>
          <w:rFonts w:eastAsia="Times New Roman"/>
          <w:color w:val="222222"/>
          <w:sz w:val="22"/>
          <w:szCs w:val="22"/>
          <w:lang w:val="en-MY" w:eastAsia="en-GB"/>
        </w:rPr>
        <w:t>Counter]=</w:t>
      </w:r>
      <w:proofErr w:type="spellStart"/>
      <w:r w:rsidRPr="009D4627">
        <w:rPr>
          <w:rFonts w:eastAsia="Times New Roman"/>
          <w:color w:val="222222"/>
          <w:sz w:val="22"/>
          <w:szCs w:val="22"/>
          <w:lang w:val="en-MY" w:eastAsia="en-GB"/>
        </w:rPr>
        <w:t>vgain</w:t>
      </w:r>
      <w:proofErr w:type="spellEnd"/>
    </w:p>
    <w:p w14:paraId="716F5F7A"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proofErr w:type="gramStart"/>
      <w:r w:rsidRPr="009D4627">
        <w:rPr>
          <w:rFonts w:eastAsia="Times New Roman"/>
          <w:color w:val="222222"/>
          <w:sz w:val="22"/>
          <w:szCs w:val="22"/>
          <w:lang w:val="en-MY" w:eastAsia="en-GB"/>
        </w:rPr>
        <w:t>rmses</w:t>
      </w:r>
      <w:proofErr w:type="spellEnd"/>
      <w:r w:rsidRPr="009D4627">
        <w:rPr>
          <w:rFonts w:eastAsia="Times New Roman"/>
          <w:color w:val="222222"/>
          <w:sz w:val="22"/>
          <w:szCs w:val="22"/>
          <w:lang w:val="en-MY" w:eastAsia="en-GB"/>
        </w:rPr>
        <w:t>[</w:t>
      </w:r>
      <w:proofErr w:type="gramEnd"/>
      <w:r w:rsidRPr="009D4627">
        <w:rPr>
          <w:rFonts w:eastAsia="Times New Roman"/>
          <w:color w:val="222222"/>
          <w:sz w:val="22"/>
          <w:szCs w:val="22"/>
          <w:lang w:val="en-MY" w:eastAsia="en-GB"/>
        </w:rPr>
        <w:t>Counter]=</w:t>
      </w:r>
      <w:proofErr w:type="spellStart"/>
      <w:r w:rsidRPr="009D4627">
        <w:rPr>
          <w:rFonts w:eastAsia="Times New Roman"/>
          <w:color w:val="222222"/>
          <w:sz w:val="22"/>
          <w:szCs w:val="22"/>
          <w:lang w:val="en-MY" w:eastAsia="en-GB"/>
        </w:rPr>
        <w:t>rmse</w:t>
      </w:r>
      <w:proofErr w:type="spellEnd"/>
    </w:p>
    <w:p w14:paraId="58AEBDE2"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gramStart"/>
      <w:r w:rsidRPr="009D4627">
        <w:rPr>
          <w:rFonts w:eastAsia="Times New Roman"/>
          <w:color w:val="222222"/>
          <w:sz w:val="22"/>
          <w:szCs w:val="22"/>
          <w:lang w:val="en-MY" w:eastAsia="en-GB"/>
        </w:rPr>
        <w:t>lengths[</w:t>
      </w:r>
      <w:proofErr w:type="gramEnd"/>
      <w:r w:rsidRPr="009D4627">
        <w:rPr>
          <w:rFonts w:eastAsia="Times New Roman"/>
          <w:color w:val="222222"/>
          <w:sz w:val="22"/>
          <w:szCs w:val="22"/>
          <w:lang w:val="en-MY" w:eastAsia="en-GB"/>
        </w:rPr>
        <w:t>Counter]=length</w:t>
      </w:r>
    </w:p>
    <w:p w14:paraId="42B77CF7"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print(c(</w:t>
      </w:r>
      <w:proofErr w:type="spellStart"/>
      <w:proofErr w:type="gramStart"/>
      <w:r w:rsidRPr="009D4627">
        <w:rPr>
          <w:rFonts w:eastAsia="Times New Roman"/>
          <w:color w:val="222222"/>
          <w:sz w:val="22"/>
          <w:szCs w:val="22"/>
          <w:lang w:val="en-MY" w:eastAsia="en-GB"/>
        </w:rPr>
        <w:t>Counter,vgain</w:t>
      </w:r>
      <w:proofErr w:type="gramEnd"/>
      <w:r w:rsidRPr="009D4627">
        <w:rPr>
          <w:rFonts w:eastAsia="Times New Roman"/>
          <w:color w:val="222222"/>
          <w:sz w:val="22"/>
          <w:szCs w:val="22"/>
          <w:lang w:val="en-MY" w:eastAsia="en-GB"/>
        </w:rPr>
        <w:t>,length,rmse</w:t>
      </w:r>
      <w:proofErr w:type="spellEnd"/>
      <w:r w:rsidRPr="009D4627">
        <w:rPr>
          <w:rFonts w:eastAsia="Times New Roman"/>
          <w:color w:val="222222"/>
          <w:sz w:val="22"/>
          <w:szCs w:val="22"/>
          <w:lang w:val="en-MY" w:eastAsia="en-GB"/>
        </w:rPr>
        <w:t>))</w:t>
      </w:r>
    </w:p>
    <w:p w14:paraId="1441DEDC"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Counter=Counter +1</w:t>
      </w:r>
    </w:p>
    <w:p w14:paraId="3E0F4A34"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w:t>
      </w:r>
    </w:p>
    <w:p w14:paraId="6B9E9424" w14:textId="77777777" w:rsidR="00387897" w:rsidRPr="009D4627" w:rsidRDefault="00387897" w:rsidP="00387897">
      <w:pPr>
        <w:spacing w:before="0" w:after="0" w:line="240" w:lineRule="auto"/>
        <w:ind w:left="720"/>
        <w:rPr>
          <w:rFonts w:eastAsia="Times New Roman"/>
          <w:color w:val="222222"/>
          <w:sz w:val="22"/>
          <w:szCs w:val="22"/>
          <w:lang w:val="en-MY" w:eastAsia="en-GB"/>
        </w:rPr>
      </w:pPr>
    </w:p>
    <w:p w14:paraId="3DA60E75" w14:textId="77777777" w:rsidR="00387897" w:rsidRPr="009D4627" w:rsidRDefault="00387897" w:rsidP="00387897">
      <w:pPr>
        <w:spacing w:before="0" w:after="0" w:line="240" w:lineRule="auto"/>
        <w:ind w:left="720"/>
        <w:rPr>
          <w:rFonts w:eastAsia="Times New Roman"/>
          <w:color w:val="222222"/>
          <w:sz w:val="22"/>
          <w:szCs w:val="22"/>
          <w:lang w:val="en-MY" w:eastAsia="en-GB"/>
        </w:rPr>
      </w:pPr>
      <w:r w:rsidRPr="009D4627">
        <w:rPr>
          <w:rFonts w:eastAsia="Times New Roman"/>
          <w:color w:val="222222"/>
          <w:sz w:val="22"/>
          <w:szCs w:val="22"/>
          <w:lang w:val="en-MY" w:eastAsia="en-GB"/>
        </w:rPr>
        <w:t>output=</w:t>
      </w:r>
      <w:proofErr w:type="spellStart"/>
      <w:r w:rsidRPr="009D4627">
        <w:rPr>
          <w:rFonts w:eastAsia="Times New Roman"/>
          <w:color w:val="222222"/>
          <w:sz w:val="22"/>
          <w:szCs w:val="22"/>
          <w:lang w:val="en-MY" w:eastAsia="en-GB"/>
        </w:rPr>
        <w:t>cbind</w:t>
      </w:r>
      <w:proofErr w:type="spellEnd"/>
      <w:r w:rsidRPr="009D4627">
        <w:rPr>
          <w:rFonts w:eastAsia="Times New Roman"/>
          <w:color w:val="222222"/>
          <w:sz w:val="22"/>
          <w:szCs w:val="22"/>
          <w:lang w:val="en-MY" w:eastAsia="en-GB"/>
        </w:rPr>
        <w:t>(</w:t>
      </w:r>
      <w:proofErr w:type="spellStart"/>
      <w:proofErr w:type="gramStart"/>
      <w:r w:rsidRPr="009D4627">
        <w:rPr>
          <w:rFonts w:eastAsia="Times New Roman"/>
          <w:color w:val="222222"/>
          <w:sz w:val="22"/>
          <w:szCs w:val="22"/>
          <w:lang w:val="en-MY" w:eastAsia="en-GB"/>
        </w:rPr>
        <w:t>vgains,rmses</w:t>
      </w:r>
      <w:proofErr w:type="gramEnd"/>
      <w:r w:rsidRPr="009D4627">
        <w:rPr>
          <w:rFonts w:eastAsia="Times New Roman"/>
          <w:color w:val="222222"/>
          <w:sz w:val="22"/>
          <w:szCs w:val="22"/>
          <w:lang w:val="en-MY" w:eastAsia="en-GB"/>
        </w:rPr>
        <w:t>,lengths</w:t>
      </w:r>
      <w:proofErr w:type="spellEnd"/>
      <w:r w:rsidRPr="009D4627">
        <w:rPr>
          <w:rFonts w:eastAsia="Times New Roman"/>
          <w:color w:val="222222"/>
          <w:sz w:val="22"/>
          <w:szCs w:val="22"/>
          <w:lang w:val="en-MY" w:eastAsia="en-GB"/>
        </w:rPr>
        <w:t>)</w:t>
      </w:r>
    </w:p>
    <w:p w14:paraId="26856F34" w14:textId="77777777" w:rsidR="00387897" w:rsidRPr="009D4627" w:rsidRDefault="00387897" w:rsidP="00387897">
      <w:pPr>
        <w:spacing w:before="0" w:after="0" w:line="240" w:lineRule="auto"/>
        <w:ind w:left="720"/>
        <w:rPr>
          <w:rFonts w:eastAsia="Times New Roman"/>
          <w:color w:val="222222"/>
          <w:sz w:val="22"/>
          <w:szCs w:val="22"/>
          <w:lang w:val="en-MY" w:eastAsia="en-GB"/>
        </w:rPr>
      </w:pPr>
      <w:proofErr w:type="spellStart"/>
      <w:proofErr w:type="gramStart"/>
      <w:r w:rsidRPr="009D4627">
        <w:rPr>
          <w:rFonts w:eastAsia="Times New Roman"/>
          <w:color w:val="222222"/>
          <w:sz w:val="22"/>
          <w:szCs w:val="22"/>
          <w:lang w:val="en-MY" w:eastAsia="en-GB"/>
        </w:rPr>
        <w:t>write.table</w:t>
      </w:r>
      <w:proofErr w:type="spellEnd"/>
      <w:proofErr w:type="gramEnd"/>
      <w:r w:rsidRPr="009D4627">
        <w:rPr>
          <w:rFonts w:eastAsia="Times New Roman"/>
          <w:color w:val="222222"/>
          <w:sz w:val="22"/>
          <w:szCs w:val="22"/>
          <w:lang w:val="en-MY" w:eastAsia="en-GB"/>
        </w:rPr>
        <w:t>(output,'Output.</w:t>
      </w:r>
      <w:proofErr w:type="spellStart"/>
      <w:r w:rsidRPr="009D4627">
        <w:rPr>
          <w:rFonts w:eastAsia="Times New Roman"/>
          <w:color w:val="222222"/>
          <w:sz w:val="22"/>
          <w:szCs w:val="22"/>
          <w:lang w:val="en-MY" w:eastAsia="en-GB"/>
        </w:rPr>
        <w:t>xls</w:t>
      </w:r>
      <w:proofErr w:type="spellEnd"/>
      <w:r w:rsidRPr="009D4627">
        <w:rPr>
          <w:rFonts w:eastAsia="Times New Roman"/>
          <w:color w:val="222222"/>
          <w:sz w:val="22"/>
          <w:szCs w:val="22"/>
          <w:lang w:val="en-MY" w:eastAsia="en-GB"/>
        </w:rPr>
        <w:t>',</w:t>
      </w:r>
      <w:proofErr w:type="spellStart"/>
      <w:r w:rsidRPr="009D4627">
        <w:rPr>
          <w:rFonts w:eastAsia="Times New Roman"/>
          <w:color w:val="222222"/>
          <w:sz w:val="22"/>
          <w:szCs w:val="22"/>
          <w:lang w:val="en-MY" w:eastAsia="en-GB"/>
        </w:rPr>
        <w:t>sep</w:t>
      </w:r>
      <w:proofErr w:type="spellEnd"/>
      <w:r w:rsidRPr="009D4627">
        <w:rPr>
          <w:rFonts w:eastAsia="Times New Roman"/>
          <w:color w:val="222222"/>
          <w:sz w:val="22"/>
          <w:szCs w:val="22"/>
          <w:lang w:val="en-MY" w:eastAsia="en-GB"/>
        </w:rPr>
        <w:t>='\t',</w:t>
      </w:r>
      <w:proofErr w:type="spellStart"/>
      <w:r w:rsidRPr="009D4627">
        <w:rPr>
          <w:rFonts w:eastAsia="Times New Roman"/>
          <w:color w:val="222222"/>
          <w:sz w:val="22"/>
          <w:szCs w:val="22"/>
          <w:lang w:val="en-MY" w:eastAsia="en-GB"/>
        </w:rPr>
        <w:t>col.names</w:t>
      </w:r>
      <w:proofErr w:type="spellEnd"/>
      <w:r w:rsidRPr="009D4627">
        <w:rPr>
          <w:rFonts w:eastAsia="Times New Roman"/>
          <w:color w:val="222222"/>
          <w:sz w:val="22"/>
          <w:szCs w:val="22"/>
          <w:lang w:val="en-MY" w:eastAsia="en-GB"/>
        </w:rPr>
        <w:t>=NA)</w:t>
      </w:r>
    </w:p>
    <w:p w14:paraId="6807E96B" w14:textId="77777777" w:rsidR="00387897" w:rsidRPr="009D4627" w:rsidRDefault="00387897" w:rsidP="00387897">
      <w:pPr>
        <w:spacing w:before="0" w:after="0" w:line="240" w:lineRule="auto"/>
        <w:ind w:left="720"/>
        <w:rPr>
          <w:rFonts w:eastAsia="Times New Roman"/>
          <w:color w:val="auto"/>
        </w:rPr>
      </w:pPr>
    </w:p>
    <w:p w14:paraId="12928B4F" w14:textId="77777777" w:rsidR="00387897" w:rsidRPr="009D4627" w:rsidRDefault="00387897" w:rsidP="00387897">
      <w:pPr>
        <w:spacing w:before="0" w:after="0" w:line="240" w:lineRule="auto"/>
        <w:ind w:left="720"/>
        <w:rPr>
          <w:rFonts w:eastAsia="Times New Roman"/>
          <w:color w:val="auto"/>
        </w:rPr>
      </w:pPr>
    </w:p>
    <w:p w14:paraId="1C448286" w14:textId="77777777" w:rsidR="00920DD4" w:rsidRPr="009D4627" w:rsidRDefault="00920DD4" w:rsidP="00C4130D">
      <w:pPr>
        <w:pStyle w:val="Caption"/>
        <w:sectPr w:rsidR="00920DD4" w:rsidRPr="009D4627" w:rsidSect="00477959">
          <w:pgSz w:w="11906" w:h="16838" w:code="9"/>
          <w:pgMar w:top="1440" w:right="1440" w:bottom="1440" w:left="1440" w:header="708" w:footer="708" w:gutter="0"/>
          <w:cols w:space="708"/>
          <w:docGrid w:linePitch="360"/>
        </w:sectPr>
      </w:pPr>
      <w:bookmarkStart w:id="613" w:name="_Toc55942563"/>
      <w:bookmarkStart w:id="614" w:name="_Toc57322397"/>
      <w:bookmarkStart w:id="615" w:name="_Toc70087725"/>
    </w:p>
    <w:p w14:paraId="1AF71C95" w14:textId="2E72B686" w:rsidR="00387897" w:rsidRDefault="00387897" w:rsidP="00C4130D">
      <w:pPr>
        <w:pStyle w:val="Caption"/>
      </w:pPr>
      <w:bookmarkStart w:id="616" w:name="_Toc98967421"/>
      <w:r w:rsidRPr="009D4627">
        <w:lastRenderedPageBreak/>
        <w:t>Appendix 2.</w:t>
      </w:r>
      <w:r w:rsidR="002E63E9" w:rsidRPr="009D4627">
        <w:fldChar w:fldCharType="begin"/>
      </w:r>
      <w:r w:rsidR="002E63E9" w:rsidRPr="009D4627">
        <w:instrText xml:space="preserve"> SEQ Appendix_2. \* ARABIC </w:instrText>
      </w:r>
      <w:r w:rsidR="002E63E9" w:rsidRPr="009D4627">
        <w:fldChar w:fldCharType="separate"/>
      </w:r>
      <w:r w:rsidR="00E268F6">
        <w:rPr>
          <w:noProof/>
        </w:rPr>
        <w:t>3</w:t>
      </w:r>
      <w:r w:rsidR="002E63E9" w:rsidRPr="009D4627">
        <w:rPr>
          <w:noProof/>
        </w:rPr>
        <w:fldChar w:fldCharType="end"/>
      </w:r>
      <w:r w:rsidRPr="009D4627">
        <w:t>: Saccade data extraction process</w:t>
      </w:r>
      <w:bookmarkEnd w:id="613"/>
      <w:bookmarkEnd w:id="614"/>
      <w:bookmarkEnd w:id="615"/>
      <w:bookmarkEnd w:id="616"/>
    </w:p>
    <w:p w14:paraId="2505E9C8" w14:textId="77777777" w:rsidR="000C3065" w:rsidRPr="000C3065" w:rsidRDefault="000C3065" w:rsidP="000C3065">
      <w:pPr>
        <w:spacing w:before="0" w:after="0" w:line="240" w:lineRule="auto"/>
        <w:rPr>
          <w:lang w:val="en-MY" w:eastAsia="en-MY"/>
        </w:rPr>
      </w:pPr>
    </w:p>
    <w:p w14:paraId="2E611BE4" w14:textId="77777777" w:rsidR="00387897" w:rsidRPr="009D4627" w:rsidRDefault="00387897" w:rsidP="00387897">
      <w:pPr>
        <w:spacing w:before="0" w:after="0" w:line="240" w:lineRule="auto"/>
        <w:rPr>
          <w:rFonts w:eastAsia="Times New Roman"/>
          <w:color w:val="auto"/>
        </w:rPr>
      </w:pPr>
      <w:r w:rsidRPr="009D4627">
        <w:rPr>
          <w:rFonts w:eastAsia="Times New Roman"/>
          <w:color w:val="auto"/>
        </w:rPr>
        <w:t>The data were extracted from the DV for further statistical analysis:</w:t>
      </w:r>
    </w:p>
    <w:p w14:paraId="5E77B5FE" w14:textId="77777777" w:rsidR="00387897" w:rsidRPr="009D4627" w:rsidRDefault="00387897" w:rsidP="00387897">
      <w:pPr>
        <w:spacing w:before="0" w:after="0" w:line="240" w:lineRule="auto"/>
        <w:rPr>
          <w:rFonts w:eastAsia="Times New Roman"/>
          <w:color w:val="auto"/>
        </w:rPr>
      </w:pPr>
    </w:p>
    <w:p w14:paraId="318DCC02" w14:textId="77777777" w:rsidR="00387897" w:rsidRPr="009D4627" w:rsidRDefault="00387897" w:rsidP="003F408B">
      <w:pPr>
        <w:numPr>
          <w:ilvl w:val="0"/>
          <w:numId w:val="87"/>
        </w:numPr>
        <w:pBdr>
          <w:top w:val="nil"/>
          <w:left w:val="nil"/>
          <w:bottom w:val="nil"/>
          <w:right w:val="nil"/>
          <w:between w:val="nil"/>
        </w:pBdr>
        <w:spacing w:before="0" w:after="0" w:line="240" w:lineRule="auto"/>
        <w:rPr>
          <w:rFonts w:eastAsia="Times New Roman"/>
          <w:color w:val="000000"/>
        </w:rPr>
      </w:pPr>
      <w:r w:rsidRPr="009D4627">
        <w:rPr>
          <w:rFonts w:eastAsia="Times New Roman"/>
          <w:color w:val="000000"/>
        </w:rPr>
        <w:t>Open the deployed saccade (horizontal or vertical) folder.</w:t>
      </w:r>
    </w:p>
    <w:p w14:paraId="27D8306F" w14:textId="77777777" w:rsidR="00387897" w:rsidRPr="009D4627" w:rsidRDefault="00387897" w:rsidP="003F408B">
      <w:pPr>
        <w:numPr>
          <w:ilvl w:val="0"/>
          <w:numId w:val="87"/>
        </w:numPr>
        <w:pBdr>
          <w:top w:val="nil"/>
          <w:left w:val="nil"/>
          <w:bottom w:val="nil"/>
          <w:right w:val="nil"/>
          <w:between w:val="nil"/>
        </w:pBdr>
        <w:spacing w:before="0" w:after="0" w:line="240" w:lineRule="auto"/>
        <w:ind w:left="709" w:hanging="349"/>
        <w:rPr>
          <w:rFonts w:eastAsia="Times New Roman"/>
          <w:color w:val="000000"/>
        </w:rPr>
      </w:pPr>
      <w:r w:rsidRPr="009D4627">
        <w:rPr>
          <w:rFonts w:eastAsia="Times New Roman"/>
          <w:color w:val="000000"/>
        </w:rPr>
        <w:t xml:space="preserve">Open result folder. Then, select the correct participant folder. </w:t>
      </w:r>
    </w:p>
    <w:p w14:paraId="2BC6E5A5" w14:textId="77777777" w:rsidR="00387897" w:rsidRPr="009D4627" w:rsidRDefault="00387897" w:rsidP="003F408B">
      <w:pPr>
        <w:numPr>
          <w:ilvl w:val="0"/>
          <w:numId w:val="87"/>
        </w:numPr>
        <w:pBdr>
          <w:top w:val="nil"/>
          <w:left w:val="nil"/>
          <w:bottom w:val="nil"/>
          <w:right w:val="nil"/>
          <w:between w:val="nil"/>
        </w:pBdr>
        <w:spacing w:before="0" w:after="0" w:line="240" w:lineRule="auto"/>
        <w:ind w:left="709" w:hanging="349"/>
        <w:rPr>
          <w:rFonts w:eastAsia="Times New Roman"/>
          <w:color w:val="000000"/>
        </w:rPr>
      </w:pPr>
      <w:r w:rsidRPr="009D4627">
        <w:rPr>
          <w:rFonts w:eastAsia="Times New Roman"/>
          <w:color w:val="000000"/>
        </w:rPr>
        <w:t xml:space="preserve">Open the file generated using </w:t>
      </w:r>
      <w:proofErr w:type="gramStart"/>
      <w:r w:rsidRPr="009D4627">
        <w:rPr>
          <w:rFonts w:eastAsia="Times New Roman"/>
          <w:color w:val="000000"/>
        </w:rPr>
        <w:t xml:space="preserve">the </w:t>
      </w:r>
      <w:r w:rsidRPr="009D4627">
        <w:rPr>
          <w:rFonts w:eastAsia="Times New Roman"/>
          <w:i/>
          <w:iCs/>
          <w:color w:val="000000"/>
        </w:rPr>
        <w:t>.</w:t>
      </w:r>
      <w:proofErr w:type="spellStart"/>
      <w:r w:rsidRPr="009D4627">
        <w:rPr>
          <w:rFonts w:eastAsia="Times New Roman"/>
          <w:i/>
          <w:iCs/>
          <w:color w:val="000000"/>
        </w:rPr>
        <w:t>edf</w:t>
      </w:r>
      <w:proofErr w:type="spellEnd"/>
      <w:proofErr w:type="gramEnd"/>
      <w:r w:rsidRPr="009D4627">
        <w:rPr>
          <w:rFonts w:eastAsia="Times New Roman"/>
          <w:color w:val="000000"/>
        </w:rPr>
        <w:t xml:space="preserve"> format. </w:t>
      </w:r>
    </w:p>
    <w:p w14:paraId="0864C42F" w14:textId="104CD82F" w:rsidR="00387897" w:rsidRPr="009D4627" w:rsidRDefault="00387897" w:rsidP="003F408B">
      <w:pPr>
        <w:numPr>
          <w:ilvl w:val="0"/>
          <w:numId w:val="87"/>
        </w:numPr>
        <w:pBdr>
          <w:top w:val="nil"/>
          <w:left w:val="nil"/>
          <w:bottom w:val="nil"/>
          <w:right w:val="nil"/>
          <w:between w:val="nil"/>
        </w:pBdr>
        <w:spacing w:before="0" w:after="0" w:line="240" w:lineRule="auto"/>
        <w:ind w:left="709" w:hanging="349"/>
        <w:rPr>
          <w:rFonts w:eastAsia="Times New Roman"/>
          <w:color w:val="000000"/>
        </w:rPr>
      </w:pPr>
      <w:r w:rsidRPr="009D4627">
        <w:rPr>
          <w:rFonts w:eastAsia="Times New Roman"/>
          <w:color w:val="000000"/>
        </w:rPr>
        <w:t xml:space="preserve">Set the Reaction Time Event, which will mark when the target appeared and when the saccade towards it was made. It is a crucial step to ensure the latency time was extracted correctly. </w:t>
      </w:r>
    </w:p>
    <w:p w14:paraId="1CC6FF5D" w14:textId="77777777" w:rsidR="00387897" w:rsidRPr="009D4627" w:rsidRDefault="00387897" w:rsidP="00387897">
      <w:pPr>
        <w:pBdr>
          <w:top w:val="nil"/>
          <w:left w:val="nil"/>
          <w:bottom w:val="nil"/>
          <w:right w:val="nil"/>
          <w:between w:val="nil"/>
        </w:pBdr>
        <w:spacing w:before="0" w:after="0" w:line="240" w:lineRule="auto"/>
        <w:ind w:left="709"/>
        <w:rPr>
          <w:rFonts w:eastAsia="Times New Roman"/>
          <w:color w:val="000000"/>
        </w:rPr>
      </w:pPr>
    </w:p>
    <w:p w14:paraId="193F66C8" w14:textId="77777777" w:rsidR="00387897" w:rsidRPr="009D4627" w:rsidRDefault="00387897" w:rsidP="003F408B">
      <w:pPr>
        <w:numPr>
          <w:ilvl w:val="0"/>
          <w:numId w:val="88"/>
        </w:numPr>
        <w:pBdr>
          <w:top w:val="nil"/>
          <w:left w:val="nil"/>
          <w:bottom w:val="nil"/>
          <w:right w:val="nil"/>
          <w:between w:val="nil"/>
        </w:pBdr>
        <w:spacing w:before="0" w:after="0" w:line="240" w:lineRule="auto"/>
        <w:ind w:hanging="218"/>
        <w:jc w:val="left"/>
        <w:rPr>
          <w:rFonts w:eastAsia="Times New Roman"/>
          <w:iCs/>
          <w:color w:val="000000"/>
        </w:rPr>
      </w:pPr>
      <w:r w:rsidRPr="009D4627">
        <w:rPr>
          <w:rFonts w:eastAsia="Times New Roman"/>
          <w:iCs/>
          <w:color w:val="000000"/>
        </w:rPr>
        <w:t xml:space="preserve">Click 'Analysis' </w:t>
      </w:r>
      <w:r w:rsidRPr="009D4627">
        <w:rPr>
          <w:rFonts w:eastAsia="Times New Roman"/>
          <w:iCs/>
          <w:color w:val="000000"/>
        </w:rPr>
        <w:sym w:font="Wingdings" w:char="F0E0"/>
      </w:r>
      <w:r w:rsidRPr="009D4627">
        <w:rPr>
          <w:rFonts w:eastAsia="Times New Roman"/>
          <w:iCs/>
          <w:color w:val="000000"/>
        </w:rPr>
        <w:t xml:space="preserve">  ‘Reaction Time Manager’, then click the ‘New RT definition’ button highlighted in yellow. </w:t>
      </w:r>
    </w:p>
    <w:p w14:paraId="3056D1E3" w14:textId="77777777" w:rsidR="00387897" w:rsidRPr="009D4627" w:rsidRDefault="00387897" w:rsidP="00387897">
      <w:pPr>
        <w:pBdr>
          <w:top w:val="nil"/>
          <w:left w:val="nil"/>
          <w:bottom w:val="nil"/>
          <w:right w:val="nil"/>
          <w:between w:val="nil"/>
        </w:pBdr>
        <w:spacing w:before="0" w:after="0" w:line="240" w:lineRule="auto"/>
        <w:ind w:left="1069"/>
        <w:rPr>
          <w:rFonts w:eastAsia="Times New Roman"/>
          <w:iCs/>
          <w:color w:val="000000"/>
        </w:rPr>
      </w:pPr>
    </w:p>
    <w:p w14:paraId="0DBEB308" w14:textId="77777777" w:rsidR="00387897" w:rsidRPr="009D4627" w:rsidRDefault="00387897" w:rsidP="00387897">
      <w:pPr>
        <w:keepNext/>
        <w:pBdr>
          <w:top w:val="nil"/>
          <w:left w:val="nil"/>
          <w:bottom w:val="nil"/>
          <w:right w:val="nil"/>
          <w:between w:val="nil"/>
        </w:pBdr>
        <w:spacing w:before="0" w:after="0" w:line="240" w:lineRule="auto"/>
        <w:ind w:left="709" w:hanging="720"/>
        <w:jc w:val="center"/>
        <w:rPr>
          <w:color w:val="auto"/>
        </w:rPr>
      </w:pPr>
      <w:r w:rsidRPr="009D4627">
        <w:rPr>
          <w:rFonts w:eastAsia="Times New Roman"/>
          <w:i/>
          <w:noProof/>
          <w:color w:val="000000"/>
          <w:lang w:val="en-US"/>
        </w:rPr>
        <w:drawing>
          <wp:inline distT="0" distB="0" distL="0" distR="0" wp14:anchorId="7BE70465" wp14:editId="5F976E71">
            <wp:extent cx="2239645" cy="1609725"/>
            <wp:effectExtent l="19050" t="19050" r="27305" b="28575"/>
            <wp:docPr id="21076" name="Shape 69"/>
            <wp:cNvGraphicFramePr/>
            <a:graphic xmlns:a="http://schemas.openxmlformats.org/drawingml/2006/main">
              <a:graphicData uri="http://schemas.openxmlformats.org/drawingml/2006/picture">
                <pic:pic xmlns:pic="http://schemas.openxmlformats.org/drawingml/2006/picture">
                  <pic:nvPicPr>
                    <pic:cNvPr id="231" name="Shape 69"/>
                    <pic:cNvPicPr preferRelativeResize="0"/>
                  </pic:nvPicPr>
                  <pic:blipFill rotWithShape="1">
                    <a:blip r:embed="rId273" cstate="screen">
                      <a:alphaModFix/>
                      <a:extLst>
                        <a:ext uri="{28A0092B-C50C-407E-A947-70E740481C1C}">
                          <a14:useLocalDpi xmlns:a14="http://schemas.microsoft.com/office/drawing/2010/main" val="0"/>
                        </a:ext>
                      </a:extLst>
                    </a:blip>
                    <a:srcRect/>
                    <a:stretch/>
                  </pic:blipFill>
                  <pic:spPr>
                    <a:xfrm>
                      <a:off x="0" y="0"/>
                      <a:ext cx="2250102" cy="1617241"/>
                    </a:xfrm>
                    <a:prstGeom prst="rect">
                      <a:avLst/>
                    </a:prstGeom>
                    <a:noFill/>
                    <a:ln w="9525" cap="flat" cmpd="sng">
                      <a:solidFill>
                        <a:sysClr val="windowText" lastClr="000000"/>
                      </a:solidFill>
                      <a:prstDash val="solid"/>
                      <a:round/>
                      <a:headEnd type="none" w="sm" len="sm"/>
                      <a:tailEnd type="none" w="sm" len="sm"/>
                    </a:ln>
                  </pic:spPr>
                </pic:pic>
              </a:graphicData>
            </a:graphic>
          </wp:inline>
        </w:drawing>
      </w:r>
    </w:p>
    <w:p w14:paraId="67E6EAE8" w14:textId="77777777" w:rsidR="00387897" w:rsidRPr="009D4627" w:rsidRDefault="00387897" w:rsidP="00387897">
      <w:pPr>
        <w:spacing w:before="0" w:after="200"/>
        <w:jc w:val="center"/>
        <w:rPr>
          <w:color w:val="auto"/>
        </w:rPr>
      </w:pPr>
      <w:r w:rsidRPr="009D4627">
        <w:rPr>
          <w:color w:val="auto"/>
        </w:rPr>
        <w:t>RT manager interface.</w:t>
      </w:r>
    </w:p>
    <w:p w14:paraId="20CEBE8B" w14:textId="77777777" w:rsidR="00387897" w:rsidRPr="009D4627" w:rsidRDefault="00387897" w:rsidP="003F408B">
      <w:pPr>
        <w:numPr>
          <w:ilvl w:val="0"/>
          <w:numId w:val="88"/>
        </w:numPr>
        <w:pBdr>
          <w:top w:val="nil"/>
          <w:left w:val="nil"/>
          <w:bottom w:val="nil"/>
          <w:right w:val="nil"/>
          <w:between w:val="nil"/>
        </w:pBdr>
        <w:spacing w:after="0" w:line="240" w:lineRule="auto"/>
        <w:rPr>
          <w:rFonts w:eastAsia="Times New Roman"/>
          <w:iCs/>
          <w:color w:val="000000"/>
        </w:rPr>
      </w:pPr>
      <w:r w:rsidRPr="009D4627">
        <w:rPr>
          <w:rFonts w:eastAsia="Times New Roman"/>
          <w:iCs/>
          <w:color w:val="000000"/>
        </w:rPr>
        <w:t xml:space="preserve">Next, the other RT interface appeared.  Under the ‘General’ tab, it </w:t>
      </w:r>
      <w:proofErr w:type="gramStart"/>
      <w:r w:rsidRPr="009D4627">
        <w:rPr>
          <w:rFonts w:eastAsia="Times New Roman"/>
          <w:iCs/>
          <w:color w:val="000000"/>
        </w:rPr>
        <w:t>has to</w:t>
      </w:r>
      <w:proofErr w:type="gramEnd"/>
      <w:r w:rsidRPr="009D4627">
        <w:rPr>
          <w:rFonts w:eastAsia="Times New Roman"/>
          <w:iCs/>
          <w:color w:val="000000"/>
        </w:rPr>
        <w:t xml:space="preserve"> specify the 'Label' space as '</w:t>
      </w:r>
      <w:proofErr w:type="spellStart"/>
      <w:r w:rsidRPr="009D4627">
        <w:rPr>
          <w:rFonts w:eastAsia="Times New Roman"/>
          <w:iCs/>
          <w:color w:val="000000"/>
        </w:rPr>
        <w:t>First_Saccade</w:t>
      </w:r>
      <w:proofErr w:type="spellEnd"/>
      <w:r w:rsidRPr="009D4627">
        <w:rPr>
          <w:rFonts w:eastAsia="Times New Roman"/>
          <w:iCs/>
          <w:color w:val="000000"/>
        </w:rPr>
        <w:t>' and choose the 'Saccade Event' as the End Event Type.</w:t>
      </w:r>
    </w:p>
    <w:p w14:paraId="3670A26E" w14:textId="77777777" w:rsidR="00387897" w:rsidRPr="009D4627" w:rsidRDefault="00387897" w:rsidP="00387897">
      <w:pPr>
        <w:keepNext/>
        <w:pBdr>
          <w:top w:val="nil"/>
          <w:left w:val="nil"/>
          <w:bottom w:val="nil"/>
          <w:right w:val="nil"/>
          <w:between w:val="nil"/>
        </w:pBdr>
        <w:spacing w:after="0" w:line="240" w:lineRule="auto"/>
        <w:ind w:left="709"/>
        <w:jc w:val="center"/>
        <w:rPr>
          <w:color w:val="auto"/>
          <w:sz w:val="20"/>
          <w:szCs w:val="20"/>
        </w:rPr>
      </w:pPr>
      <w:r w:rsidRPr="009D4627">
        <w:rPr>
          <w:rFonts w:eastAsia="Times New Roman"/>
          <w:i/>
          <w:noProof/>
          <w:color w:val="000000"/>
          <w:sz w:val="20"/>
          <w:szCs w:val="20"/>
          <w:lang w:val="en-US"/>
        </w:rPr>
        <w:lastRenderedPageBreak/>
        <w:drawing>
          <wp:inline distT="0" distB="0" distL="0" distR="0" wp14:anchorId="750B9273" wp14:editId="4F74C27C">
            <wp:extent cx="2657475" cy="3181350"/>
            <wp:effectExtent l="19050" t="19050" r="28575" b="19050"/>
            <wp:docPr id="21077" name="Shape 70"/>
            <wp:cNvGraphicFramePr/>
            <a:graphic xmlns:a="http://schemas.openxmlformats.org/drawingml/2006/main">
              <a:graphicData uri="http://schemas.openxmlformats.org/drawingml/2006/picture">
                <pic:pic xmlns:pic="http://schemas.openxmlformats.org/drawingml/2006/picture">
                  <pic:nvPicPr>
                    <pic:cNvPr id="232" name="Shape 70"/>
                    <pic:cNvPicPr preferRelativeResize="0"/>
                  </pic:nvPicPr>
                  <pic:blipFill rotWithShape="1">
                    <a:blip r:embed="rId274" cstate="screen">
                      <a:alphaModFix/>
                      <a:extLst>
                        <a:ext uri="{28A0092B-C50C-407E-A947-70E740481C1C}">
                          <a14:useLocalDpi xmlns:a14="http://schemas.microsoft.com/office/drawing/2010/main" val="0"/>
                        </a:ext>
                      </a:extLst>
                    </a:blip>
                    <a:srcRect/>
                    <a:stretch/>
                  </pic:blipFill>
                  <pic:spPr>
                    <a:xfrm>
                      <a:off x="0" y="0"/>
                      <a:ext cx="2669526" cy="3195777"/>
                    </a:xfrm>
                    <a:prstGeom prst="rect">
                      <a:avLst/>
                    </a:prstGeom>
                    <a:noFill/>
                    <a:ln w="9525" cap="flat" cmpd="sng">
                      <a:solidFill>
                        <a:sysClr val="windowText" lastClr="000000"/>
                      </a:solidFill>
                      <a:prstDash val="solid"/>
                      <a:round/>
                      <a:headEnd type="none" w="sm" len="sm"/>
                      <a:tailEnd type="none" w="sm" len="sm"/>
                    </a:ln>
                  </pic:spPr>
                </pic:pic>
              </a:graphicData>
            </a:graphic>
          </wp:inline>
        </w:drawing>
      </w:r>
    </w:p>
    <w:p w14:paraId="1A1417D3" w14:textId="77777777" w:rsidR="00387897" w:rsidRPr="009D4627" w:rsidRDefault="00387897" w:rsidP="00387897">
      <w:pPr>
        <w:spacing w:before="0" w:after="200"/>
        <w:jc w:val="center"/>
        <w:rPr>
          <w:rFonts w:eastAsia="Times New Roman"/>
        </w:rPr>
      </w:pPr>
      <w:r w:rsidRPr="009D4627">
        <w:t>RT definition editor 1.</w:t>
      </w:r>
    </w:p>
    <w:p w14:paraId="0FE2C688" w14:textId="77777777" w:rsidR="00387897" w:rsidRPr="009D4627" w:rsidRDefault="00387897" w:rsidP="003F408B">
      <w:pPr>
        <w:numPr>
          <w:ilvl w:val="0"/>
          <w:numId w:val="88"/>
        </w:numPr>
        <w:pBdr>
          <w:top w:val="nil"/>
          <w:left w:val="nil"/>
          <w:bottom w:val="nil"/>
          <w:right w:val="nil"/>
          <w:between w:val="nil"/>
        </w:pBdr>
        <w:spacing w:line="240" w:lineRule="auto"/>
        <w:rPr>
          <w:rFonts w:eastAsia="Times New Roman"/>
          <w:iCs/>
          <w:color w:val="000000"/>
        </w:rPr>
      </w:pPr>
      <w:r w:rsidRPr="009D4627">
        <w:rPr>
          <w:rFonts w:eastAsia="Times New Roman"/>
          <w:iCs/>
          <w:color w:val="222222"/>
          <w:highlight w:val="white"/>
        </w:rPr>
        <w:t xml:space="preserve">Next, click the ‘Reaction Time’ tab and type 'PERIPH_TARGET' at the Start Time Message Text space, which refers to the message sent when the target is drawn. Then click OK. </w:t>
      </w:r>
    </w:p>
    <w:p w14:paraId="09E710D3" w14:textId="77777777" w:rsidR="00387897" w:rsidRPr="009D4627" w:rsidRDefault="00387897" w:rsidP="00387897">
      <w:pPr>
        <w:keepNext/>
        <w:pBdr>
          <w:top w:val="nil"/>
          <w:left w:val="nil"/>
          <w:bottom w:val="nil"/>
          <w:right w:val="nil"/>
          <w:between w:val="nil"/>
        </w:pBdr>
        <w:spacing w:before="0" w:after="0" w:line="240" w:lineRule="auto"/>
        <w:ind w:left="709" w:hanging="720"/>
        <w:jc w:val="center"/>
        <w:rPr>
          <w:color w:val="auto"/>
          <w:sz w:val="20"/>
          <w:szCs w:val="20"/>
        </w:rPr>
      </w:pPr>
      <w:r w:rsidRPr="009D4627">
        <w:rPr>
          <w:rFonts w:eastAsia="Times New Roman"/>
          <w:i/>
          <w:noProof/>
          <w:color w:val="000000"/>
          <w:sz w:val="20"/>
          <w:szCs w:val="20"/>
          <w:lang w:val="en-US"/>
        </w:rPr>
        <w:drawing>
          <wp:inline distT="0" distB="0" distL="0" distR="0" wp14:anchorId="519B96D3" wp14:editId="4D55FC4B">
            <wp:extent cx="2923540" cy="3457575"/>
            <wp:effectExtent l="19050" t="19050" r="10160" b="28575"/>
            <wp:docPr id="21078" name="Shape 72"/>
            <wp:cNvGraphicFramePr/>
            <a:graphic xmlns:a="http://schemas.openxmlformats.org/drawingml/2006/main">
              <a:graphicData uri="http://schemas.openxmlformats.org/drawingml/2006/picture">
                <pic:pic xmlns:pic="http://schemas.openxmlformats.org/drawingml/2006/picture">
                  <pic:nvPicPr>
                    <pic:cNvPr id="234" name="Shape 72"/>
                    <pic:cNvPicPr preferRelativeResize="0"/>
                  </pic:nvPicPr>
                  <pic:blipFill rotWithShape="1">
                    <a:blip r:embed="rId275">
                      <a:alphaModFix/>
                      <a:extLst>
                        <a:ext uri="{28A0092B-C50C-407E-A947-70E740481C1C}">
                          <a14:useLocalDpi xmlns:a14="http://schemas.microsoft.com/office/drawing/2010/main" val="0"/>
                        </a:ext>
                      </a:extLst>
                    </a:blip>
                    <a:srcRect/>
                    <a:stretch/>
                  </pic:blipFill>
                  <pic:spPr>
                    <a:xfrm>
                      <a:off x="0" y="0"/>
                      <a:ext cx="2997719" cy="3545304"/>
                    </a:xfrm>
                    <a:prstGeom prst="rect">
                      <a:avLst/>
                    </a:prstGeom>
                    <a:noFill/>
                    <a:ln w="9525" cap="flat" cmpd="sng">
                      <a:solidFill>
                        <a:sysClr val="windowText" lastClr="000000"/>
                      </a:solidFill>
                      <a:prstDash val="solid"/>
                      <a:round/>
                      <a:headEnd type="none" w="sm" len="sm"/>
                      <a:tailEnd type="none" w="sm" len="sm"/>
                    </a:ln>
                  </pic:spPr>
                </pic:pic>
              </a:graphicData>
            </a:graphic>
          </wp:inline>
        </w:drawing>
      </w:r>
    </w:p>
    <w:p w14:paraId="007D11B9" w14:textId="77777777" w:rsidR="00387897" w:rsidRPr="009D4627" w:rsidRDefault="00387897" w:rsidP="00387897">
      <w:pPr>
        <w:spacing w:before="0" w:after="200" w:line="240" w:lineRule="auto"/>
        <w:jc w:val="center"/>
        <w:rPr>
          <w:rFonts w:eastAsia="Times New Roman"/>
        </w:rPr>
      </w:pPr>
      <w:r w:rsidRPr="009D4627">
        <w:t>RT definition editor 2.</w:t>
      </w:r>
    </w:p>
    <w:p w14:paraId="591D99FB" w14:textId="77777777" w:rsidR="00387897" w:rsidRPr="009D4627" w:rsidRDefault="00387897" w:rsidP="003F408B">
      <w:pPr>
        <w:numPr>
          <w:ilvl w:val="0"/>
          <w:numId w:val="88"/>
        </w:numPr>
        <w:pBdr>
          <w:top w:val="nil"/>
          <w:left w:val="nil"/>
          <w:bottom w:val="nil"/>
          <w:right w:val="nil"/>
          <w:between w:val="nil"/>
        </w:pBdr>
        <w:spacing w:after="0" w:line="240" w:lineRule="auto"/>
        <w:rPr>
          <w:rFonts w:eastAsia="Times New Roman"/>
          <w:color w:val="000000"/>
        </w:rPr>
      </w:pPr>
      <w:r w:rsidRPr="009D4627">
        <w:rPr>
          <w:rFonts w:eastAsia="Times New Roman"/>
          <w:color w:val="000000"/>
        </w:rPr>
        <w:t xml:space="preserve">Then, click on 'Analysis' </w:t>
      </w:r>
      <w:r w:rsidRPr="009D4627">
        <w:rPr>
          <w:rFonts w:eastAsia="Times New Roman"/>
          <w:color w:val="000000"/>
        </w:rPr>
        <w:sym w:font="Wingdings" w:char="F0E0"/>
      </w:r>
      <w:r w:rsidRPr="009D4627">
        <w:rPr>
          <w:rFonts w:eastAsia="Times New Roman"/>
          <w:color w:val="000000"/>
        </w:rPr>
        <w:t xml:space="preserve">'Reports' </w:t>
      </w:r>
      <w:r w:rsidRPr="009D4627">
        <w:rPr>
          <w:rFonts w:eastAsia="Times New Roman"/>
          <w:color w:val="000000"/>
        </w:rPr>
        <w:sym w:font="Wingdings" w:char="F0E0"/>
      </w:r>
      <w:r w:rsidRPr="009D4627">
        <w:rPr>
          <w:rFonts w:eastAsia="Times New Roman"/>
          <w:color w:val="000000"/>
        </w:rPr>
        <w:t xml:space="preserve">'Saccade Report.' </w:t>
      </w:r>
    </w:p>
    <w:p w14:paraId="5FA91FBA" w14:textId="77777777" w:rsidR="00387897" w:rsidRPr="009D4627" w:rsidRDefault="00387897" w:rsidP="003F408B">
      <w:pPr>
        <w:numPr>
          <w:ilvl w:val="0"/>
          <w:numId w:val="88"/>
        </w:numPr>
        <w:pBdr>
          <w:top w:val="nil"/>
          <w:left w:val="nil"/>
          <w:bottom w:val="nil"/>
          <w:right w:val="nil"/>
          <w:between w:val="nil"/>
        </w:pBdr>
        <w:spacing w:after="0" w:line="240" w:lineRule="auto"/>
        <w:rPr>
          <w:rFonts w:eastAsia="Times New Roman"/>
          <w:color w:val="000000"/>
        </w:rPr>
      </w:pPr>
      <w:r w:rsidRPr="009D4627">
        <w:rPr>
          <w:rFonts w:eastAsia="Times New Roman"/>
          <w:color w:val="000000"/>
        </w:rPr>
        <w:lastRenderedPageBreak/>
        <w:t xml:space="preserve">Then, the following seven variables were inserted at the selected variables pane: </w:t>
      </w:r>
    </w:p>
    <w:p w14:paraId="175AB0EC" w14:textId="77777777" w:rsidR="000D75C8" w:rsidRPr="009D4627" w:rsidRDefault="00387897" w:rsidP="003F408B">
      <w:pPr>
        <w:numPr>
          <w:ilvl w:val="0"/>
          <w:numId w:val="90"/>
        </w:numPr>
        <w:spacing w:after="0" w:line="240" w:lineRule="auto"/>
        <w:contextualSpacing/>
        <w:jc w:val="left"/>
        <w:rPr>
          <w:rFonts w:eastAsia="Times New Roman"/>
          <w:color w:val="auto"/>
        </w:rPr>
      </w:pPr>
      <w:r w:rsidRPr="009D4627">
        <w:rPr>
          <w:rFonts w:eastAsia="Times New Roman"/>
          <w:color w:val="auto"/>
        </w:rPr>
        <w:t xml:space="preserve">RECORDING_SESSION_LABEL </w:t>
      </w:r>
    </w:p>
    <w:p w14:paraId="76331D4D" w14:textId="23E4B0AD" w:rsidR="00387897" w:rsidRPr="009D4627" w:rsidRDefault="00387897" w:rsidP="003F408B">
      <w:pPr>
        <w:numPr>
          <w:ilvl w:val="0"/>
          <w:numId w:val="90"/>
        </w:numPr>
        <w:spacing w:after="0" w:line="240" w:lineRule="auto"/>
        <w:contextualSpacing/>
        <w:jc w:val="left"/>
        <w:rPr>
          <w:rFonts w:eastAsia="Times New Roman"/>
          <w:color w:val="auto"/>
        </w:rPr>
      </w:pPr>
      <w:r w:rsidRPr="009D4627">
        <w:rPr>
          <w:rFonts w:eastAsia="Times New Roman"/>
          <w:color w:val="auto"/>
        </w:rPr>
        <w:t xml:space="preserve">TRIAL_INDEX </w:t>
      </w:r>
    </w:p>
    <w:p w14:paraId="21F8010B" w14:textId="77777777" w:rsidR="00387897" w:rsidRPr="009D4627" w:rsidRDefault="00387897" w:rsidP="003F408B">
      <w:pPr>
        <w:numPr>
          <w:ilvl w:val="0"/>
          <w:numId w:val="90"/>
        </w:numPr>
        <w:spacing w:after="0" w:line="240" w:lineRule="auto"/>
        <w:contextualSpacing/>
        <w:jc w:val="left"/>
        <w:rPr>
          <w:rFonts w:eastAsia="Times New Roman"/>
          <w:color w:val="auto"/>
        </w:rPr>
      </w:pPr>
      <w:r w:rsidRPr="009D4627">
        <w:rPr>
          <w:rFonts w:eastAsia="Times New Roman"/>
          <w:color w:val="auto"/>
        </w:rPr>
        <w:t>CURRENT_SAC_AMPLITUDE</w:t>
      </w:r>
    </w:p>
    <w:p w14:paraId="424CD664" w14:textId="77777777" w:rsidR="00387897" w:rsidRPr="009D4627" w:rsidRDefault="00387897" w:rsidP="003F408B">
      <w:pPr>
        <w:numPr>
          <w:ilvl w:val="0"/>
          <w:numId w:val="90"/>
        </w:numPr>
        <w:spacing w:after="0" w:line="240" w:lineRule="auto"/>
        <w:contextualSpacing/>
        <w:jc w:val="left"/>
        <w:rPr>
          <w:rFonts w:eastAsia="Times New Roman"/>
          <w:color w:val="auto"/>
        </w:rPr>
      </w:pPr>
      <w:r w:rsidRPr="009D4627">
        <w:rPr>
          <w:rFonts w:eastAsia="Times New Roman"/>
          <w:color w:val="auto"/>
        </w:rPr>
        <w:t xml:space="preserve">CURRENT_SAC_PEAK_VELOCITY </w:t>
      </w:r>
    </w:p>
    <w:p w14:paraId="18C99A8A" w14:textId="77777777" w:rsidR="00387897" w:rsidRPr="009D4627" w:rsidRDefault="00387897" w:rsidP="003F408B">
      <w:pPr>
        <w:numPr>
          <w:ilvl w:val="0"/>
          <w:numId w:val="90"/>
        </w:numPr>
        <w:spacing w:after="0" w:line="240" w:lineRule="auto"/>
        <w:contextualSpacing/>
        <w:jc w:val="left"/>
        <w:rPr>
          <w:rFonts w:eastAsia="Times New Roman"/>
          <w:color w:val="auto"/>
        </w:rPr>
      </w:pPr>
      <w:r w:rsidRPr="009D4627">
        <w:rPr>
          <w:rFonts w:eastAsia="Times New Roman"/>
          <w:color w:val="auto"/>
        </w:rPr>
        <w:t>CURRENT_SAC_START_TIME</w:t>
      </w:r>
    </w:p>
    <w:p w14:paraId="093A5C4E" w14:textId="77777777" w:rsidR="00387897" w:rsidRPr="009D4627" w:rsidRDefault="00387897" w:rsidP="003F408B">
      <w:pPr>
        <w:numPr>
          <w:ilvl w:val="0"/>
          <w:numId w:val="90"/>
        </w:numPr>
        <w:spacing w:after="0" w:line="240" w:lineRule="auto"/>
        <w:contextualSpacing/>
        <w:jc w:val="left"/>
        <w:rPr>
          <w:rFonts w:eastAsia="Times New Roman"/>
          <w:color w:val="auto"/>
        </w:rPr>
      </w:pPr>
      <w:r w:rsidRPr="009D4627">
        <w:rPr>
          <w:rFonts w:eastAsia="Times New Roman"/>
          <w:color w:val="auto"/>
        </w:rPr>
        <w:t xml:space="preserve">CURRENT_SAC_IS_RT_END </w:t>
      </w:r>
    </w:p>
    <w:p w14:paraId="1EF3CA58" w14:textId="77777777" w:rsidR="00387897" w:rsidRPr="009D4627" w:rsidRDefault="00387897" w:rsidP="003F408B">
      <w:pPr>
        <w:numPr>
          <w:ilvl w:val="0"/>
          <w:numId w:val="90"/>
        </w:numPr>
        <w:spacing w:after="0" w:line="240" w:lineRule="auto"/>
        <w:contextualSpacing/>
        <w:jc w:val="left"/>
        <w:rPr>
          <w:rFonts w:eastAsia="Times New Roman"/>
          <w:color w:val="auto"/>
        </w:rPr>
      </w:pPr>
      <w:proofErr w:type="spellStart"/>
      <w:r w:rsidRPr="009D4627">
        <w:rPr>
          <w:rFonts w:eastAsia="Times New Roman"/>
          <w:color w:val="auto"/>
        </w:rPr>
        <w:t>target_ampl</w:t>
      </w:r>
      <w:proofErr w:type="spellEnd"/>
    </w:p>
    <w:p w14:paraId="09A659AE" w14:textId="77777777" w:rsidR="00387897" w:rsidRPr="009D4627" w:rsidRDefault="00387897" w:rsidP="00387897">
      <w:pPr>
        <w:spacing w:after="0" w:line="240" w:lineRule="auto"/>
        <w:ind w:left="1859"/>
        <w:contextualSpacing/>
        <w:rPr>
          <w:rFonts w:eastAsia="Times New Roman"/>
          <w:color w:val="auto"/>
        </w:rPr>
      </w:pPr>
    </w:p>
    <w:p w14:paraId="4DCB152B" w14:textId="6BE3D249" w:rsidR="00387897" w:rsidRPr="009D4627" w:rsidRDefault="00387897" w:rsidP="003F408B">
      <w:pPr>
        <w:numPr>
          <w:ilvl w:val="0"/>
          <w:numId w:val="87"/>
        </w:numPr>
        <w:pBdr>
          <w:top w:val="nil"/>
          <w:left w:val="nil"/>
          <w:bottom w:val="nil"/>
          <w:right w:val="nil"/>
          <w:between w:val="nil"/>
        </w:pBdr>
        <w:spacing w:after="0" w:line="240" w:lineRule="auto"/>
        <w:ind w:left="709" w:hanging="720"/>
        <w:rPr>
          <w:rFonts w:eastAsia="Times New Roman"/>
          <w:i/>
          <w:color w:val="000000"/>
          <w:sz w:val="20"/>
          <w:szCs w:val="20"/>
        </w:rPr>
      </w:pPr>
      <w:r w:rsidRPr="009D4627">
        <w:rPr>
          <w:rFonts w:eastAsia="Times New Roman"/>
          <w:color w:val="000000"/>
        </w:rPr>
        <w:t xml:space="preserve">Finally, click 'Next' and saccade report are saved at the dedicated data analysis folder according to the type of study (01 = age group, 02 = target size different, 03 = monocular versus binocular and 04 = </w:t>
      </w:r>
      <w:r w:rsidR="00940AE5" w:rsidRPr="009D4627">
        <w:rPr>
          <w:rFonts w:eastAsia="Times New Roman"/>
          <w:color w:val="000000"/>
        </w:rPr>
        <w:t>ONP</w:t>
      </w:r>
      <w:r w:rsidRPr="009D4627">
        <w:rPr>
          <w:rFonts w:eastAsia="Times New Roman"/>
          <w:color w:val="000000"/>
        </w:rPr>
        <w:t>) with the assigned coding system. The reports are used for further analysis.</w:t>
      </w:r>
    </w:p>
    <w:p w14:paraId="59B526D2" w14:textId="77777777" w:rsidR="00634F45" w:rsidRPr="009D4627" w:rsidRDefault="00634F45" w:rsidP="004808A2">
      <w:pPr>
        <w:pBdr>
          <w:top w:val="nil"/>
          <w:left w:val="nil"/>
          <w:bottom w:val="nil"/>
          <w:right w:val="nil"/>
          <w:between w:val="nil"/>
        </w:pBdr>
        <w:spacing w:after="0"/>
        <w:ind w:left="709" w:hanging="720"/>
        <w:rPr>
          <w:rFonts w:eastAsia="Times New Roman"/>
          <w:i/>
          <w:color w:val="000000"/>
          <w:sz w:val="20"/>
          <w:szCs w:val="20"/>
        </w:rPr>
        <w:sectPr w:rsidR="00634F45" w:rsidRPr="009D4627" w:rsidSect="00477959">
          <w:pgSz w:w="11906" w:h="16838" w:code="9"/>
          <w:pgMar w:top="1440" w:right="1440" w:bottom="1440" w:left="1440" w:header="708" w:footer="708" w:gutter="0"/>
          <w:cols w:space="708"/>
          <w:docGrid w:linePitch="360"/>
        </w:sectPr>
      </w:pPr>
    </w:p>
    <w:p w14:paraId="7CDDA027" w14:textId="05F7EDDA" w:rsidR="006267AA" w:rsidRPr="009D4627" w:rsidRDefault="00967807" w:rsidP="003213B7">
      <w:pPr>
        <w:spacing w:before="0"/>
      </w:pPr>
      <w:bookmarkStart w:id="617" w:name="_Toc99444689"/>
      <w:r w:rsidRPr="009D4627">
        <w:lastRenderedPageBreak/>
        <w:t>Appendix 3.</w:t>
      </w:r>
      <w:r w:rsidR="007E7CC8">
        <w:fldChar w:fldCharType="begin"/>
      </w:r>
      <w:r w:rsidR="007E7CC8">
        <w:instrText xml:space="preserve"> SEQ Appendix_3. \* ARABIC </w:instrText>
      </w:r>
      <w:r w:rsidR="007E7CC8">
        <w:fldChar w:fldCharType="separate"/>
      </w:r>
      <w:r w:rsidR="00E268F6">
        <w:rPr>
          <w:noProof/>
        </w:rPr>
        <w:t>1</w:t>
      </w:r>
      <w:r w:rsidR="007E7CC8">
        <w:rPr>
          <w:noProof/>
        </w:rPr>
        <w:fldChar w:fldCharType="end"/>
      </w:r>
      <w:r w:rsidRPr="009D4627">
        <w:t xml:space="preserve">: </w:t>
      </w:r>
      <w:r w:rsidR="006267AA" w:rsidRPr="009D4627">
        <w:t xml:space="preserve">The differences between RE and LE are demonstrated by </w:t>
      </w:r>
      <w:proofErr w:type="spellStart"/>
      <w:proofErr w:type="gramStart"/>
      <w:r w:rsidR="006267AA" w:rsidRPr="009D4627">
        <w:t>a</w:t>
      </w:r>
      <w:proofErr w:type="spellEnd"/>
      <w:proofErr w:type="gramEnd"/>
      <w:r w:rsidR="006267AA" w:rsidRPr="009D4627">
        <w:t xml:space="preserve"> </w:t>
      </w:r>
      <w:r w:rsidR="00393BEB">
        <w:t>independent samples t-tests</w:t>
      </w:r>
      <w:r w:rsidR="006267AA" w:rsidRPr="009D4627">
        <w:t>.</w:t>
      </w:r>
      <w:bookmarkEnd w:id="617"/>
    </w:p>
    <w:p w14:paraId="5D560183" w14:textId="77777777" w:rsidR="006267AA" w:rsidRPr="009D4627" w:rsidRDefault="006267AA" w:rsidP="006267AA">
      <w:pPr>
        <w:spacing w:before="0" w:after="0" w:line="240" w:lineRule="auto"/>
      </w:pPr>
    </w:p>
    <w:p w14:paraId="4784D67B" w14:textId="77777777" w:rsidR="006267AA" w:rsidRPr="009D4627" w:rsidRDefault="006267AA" w:rsidP="006267AA">
      <w:pPr>
        <w:spacing w:before="0" w:after="0" w:line="240" w:lineRule="auto"/>
      </w:pPr>
      <w:r w:rsidRPr="009D4627">
        <w:t>Null Hypothesis = 0</w:t>
      </w:r>
    </w:p>
    <w:p w14:paraId="22727AC1" w14:textId="4E2508FF" w:rsidR="002C52CE" w:rsidRPr="009D4627" w:rsidRDefault="002C52CE" w:rsidP="006267AA">
      <w:pPr>
        <w:spacing w:before="0" w:after="0" w:line="240" w:lineRule="auto"/>
      </w:pPr>
    </w:p>
    <w:p w14:paraId="74E7534F" w14:textId="77777777" w:rsidR="002C52CE" w:rsidRPr="009D4627" w:rsidRDefault="002C52CE" w:rsidP="006267AA">
      <w:pPr>
        <w:spacing w:before="0" w:after="0" w:line="240" w:lineRule="auto"/>
      </w:pPr>
    </w:p>
    <w:tbl>
      <w:tblPr>
        <w:tblStyle w:val="TableGrid"/>
        <w:tblW w:w="4528" w:type="pct"/>
        <w:jc w:val="center"/>
        <w:tblLook w:val="04A0" w:firstRow="1" w:lastRow="0" w:firstColumn="1" w:lastColumn="0" w:noHBand="0" w:noVBand="1"/>
      </w:tblPr>
      <w:tblGrid>
        <w:gridCol w:w="4392"/>
        <w:gridCol w:w="1417"/>
        <w:gridCol w:w="1133"/>
        <w:gridCol w:w="1223"/>
      </w:tblGrid>
      <w:tr w:rsidR="006267AA" w:rsidRPr="009D4627" w14:paraId="5F66DEB6" w14:textId="77777777" w:rsidTr="00281A92">
        <w:trPr>
          <w:jc w:val="center"/>
        </w:trPr>
        <w:tc>
          <w:tcPr>
            <w:tcW w:w="2689" w:type="pct"/>
          </w:tcPr>
          <w:p w14:paraId="70ED0A6A" w14:textId="77777777" w:rsidR="006267AA" w:rsidRPr="009D4627" w:rsidRDefault="006267AA" w:rsidP="00281A92">
            <w:pPr>
              <w:spacing w:before="0" w:after="0" w:line="240" w:lineRule="auto"/>
            </w:pPr>
          </w:p>
        </w:tc>
        <w:tc>
          <w:tcPr>
            <w:tcW w:w="868" w:type="pct"/>
          </w:tcPr>
          <w:p w14:paraId="50B588FB" w14:textId="77777777" w:rsidR="006267AA" w:rsidRPr="009D4627" w:rsidRDefault="006267AA" w:rsidP="00281A92">
            <w:pPr>
              <w:spacing w:before="0" w:after="0" w:line="240" w:lineRule="auto"/>
            </w:pPr>
            <w:r w:rsidRPr="009D4627">
              <w:t>Mean diff</w:t>
            </w:r>
          </w:p>
        </w:tc>
        <w:tc>
          <w:tcPr>
            <w:tcW w:w="694" w:type="pct"/>
          </w:tcPr>
          <w:p w14:paraId="5F54E46A" w14:textId="77777777" w:rsidR="006267AA" w:rsidRPr="009D4627" w:rsidRDefault="006267AA" w:rsidP="00281A92">
            <w:pPr>
              <w:spacing w:before="0" w:after="0" w:line="240" w:lineRule="auto"/>
            </w:pPr>
            <w:r w:rsidRPr="009D4627">
              <w:t>t value</w:t>
            </w:r>
          </w:p>
        </w:tc>
        <w:tc>
          <w:tcPr>
            <w:tcW w:w="749" w:type="pct"/>
          </w:tcPr>
          <w:p w14:paraId="56CBB18A" w14:textId="77777777" w:rsidR="006267AA" w:rsidRPr="009D4627" w:rsidRDefault="006267AA" w:rsidP="00281A92">
            <w:pPr>
              <w:spacing w:before="0" w:after="0" w:line="240" w:lineRule="auto"/>
            </w:pPr>
            <w:r w:rsidRPr="009D4627">
              <w:t>p value</w:t>
            </w:r>
          </w:p>
        </w:tc>
      </w:tr>
      <w:tr w:rsidR="006267AA" w:rsidRPr="009D4627" w14:paraId="167F85AF" w14:textId="77777777" w:rsidTr="00281A92">
        <w:trPr>
          <w:jc w:val="center"/>
        </w:trPr>
        <w:tc>
          <w:tcPr>
            <w:tcW w:w="2689" w:type="pct"/>
          </w:tcPr>
          <w:p w14:paraId="087AD552" w14:textId="77777777" w:rsidR="006267AA" w:rsidRPr="009D4627" w:rsidRDefault="006267AA" w:rsidP="00281A92">
            <w:pPr>
              <w:spacing w:before="0" w:after="0" w:line="240" w:lineRule="auto"/>
              <w:jc w:val="left"/>
            </w:pPr>
            <w:r w:rsidRPr="009D4627">
              <w:t>Dwell time (RE/LE)</w:t>
            </w:r>
          </w:p>
          <w:p w14:paraId="6B565F29" w14:textId="77777777" w:rsidR="006267AA" w:rsidRPr="009D4627" w:rsidRDefault="006267AA" w:rsidP="00281A92">
            <w:pPr>
              <w:spacing w:before="0" w:after="0" w:line="240" w:lineRule="auto"/>
              <w:jc w:val="right"/>
            </w:pPr>
            <w:r w:rsidRPr="009D4627">
              <w:t xml:space="preserve"> 1° AOI</w:t>
            </w:r>
          </w:p>
          <w:p w14:paraId="6B8DA6D2" w14:textId="77777777" w:rsidR="006267AA" w:rsidRPr="009D4627" w:rsidRDefault="006267AA" w:rsidP="00281A92">
            <w:pPr>
              <w:spacing w:before="0" w:after="0" w:line="240" w:lineRule="auto"/>
              <w:jc w:val="right"/>
            </w:pPr>
            <w:r w:rsidRPr="009D4627">
              <w:t>2° AOI</w:t>
            </w:r>
          </w:p>
          <w:p w14:paraId="3445BB1A" w14:textId="77777777" w:rsidR="006267AA" w:rsidRPr="009D4627" w:rsidRDefault="006267AA" w:rsidP="00281A92">
            <w:pPr>
              <w:spacing w:before="0" w:after="0" w:line="240" w:lineRule="auto"/>
              <w:jc w:val="right"/>
            </w:pPr>
            <w:r w:rsidRPr="009D4627">
              <w:t xml:space="preserve">&gt;2° AOI </w:t>
            </w:r>
          </w:p>
        </w:tc>
        <w:tc>
          <w:tcPr>
            <w:tcW w:w="868" w:type="pct"/>
          </w:tcPr>
          <w:p w14:paraId="7227B52D" w14:textId="77777777" w:rsidR="006267AA" w:rsidRPr="009D4627" w:rsidRDefault="006267AA" w:rsidP="00281A92">
            <w:pPr>
              <w:spacing w:before="0" w:after="0" w:line="240" w:lineRule="auto"/>
            </w:pPr>
          </w:p>
          <w:p w14:paraId="785E6C4A" w14:textId="77777777" w:rsidR="006267AA" w:rsidRPr="009D4627" w:rsidRDefault="006267AA" w:rsidP="00281A92">
            <w:pPr>
              <w:spacing w:before="0" w:after="0" w:line="240" w:lineRule="auto"/>
            </w:pPr>
            <w:r w:rsidRPr="009D4627">
              <w:t>-0.930</w:t>
            </w:r>
          </w:p>
          <w:p w14:paraId="596D5748" w14:textId="77777777" w:rsidR="006267AA" w:rsidRPr="009D4627" w:rsidRDefault="006267AA" w:rsidP="00281A92">
            <w:pPr>
              <w:spacing w:before="0" w:after="0" w:line="240" w:lineRule="auto"/>
            </w:pPr>
            <w:r w:rsidRPr="009D4627">
              <w:t>2.437</w:t>
            </w:r>
          </w:p>
          <w:p w14:paraId="52BA3D7F" w14:textId="77777777" w:rsidR="006267AA" w:rsidRPr="009D4627" w:rsidRDefault="006267AA" w:rsidP="00281A92">
            <w:pPr>
              <w:spacing w:before="0" w:after="0" w:line="240" w:lineRule="auto"/>
            </w:pPr>
            <w:r w:rsidRPr="009D4627">
              <w:t>-1.507</w:t>
            </w:r>
          </w:p>
        </w:tc>
        <w:tc>
          <w:tcPr>
            <w:tcW w:w="694" w:type="pct"/>
          </w:tcPr>
          <w:p w14:paraId="4DD610E5" w14:textId="77777777" w:rsidR="006267AA" w:rsidRPr="009D4627" w:rsidRDefault="006267AA" w:rsidP="00281A92">
            <w:pPr>
              <w:spacing w:before="0" w:after="0" w:line="240" w:lineRule="auto"/>
            </w:pPr>
          </w:p>
          <w:p w14:paraId="28530047" w14:textId="77777777" w:rsidR="006267AA" w:rsidRPr="009D4627" w:rsidRDefault="006267AA" w:rsidP="00281A92">
            <w:pPr>
              <w:spacing w:before="0" w:after="0" w:line="240" w:lineRule="auto"/>
            </w:pPr>
            <w:r w:rsidRPr="009D4627">
              <w:t>-0.281</w:t>
            </w:r>
          </w:p>
          <w:p w14:paraId="133E6A87" w14:textId="77777777" w:rsidR="006267AA" w:rsidRPr="009D4627" w:rsidRDefault="006267AA" w:rsidP="00281A92">
            <w:pPr>
              <w:spacing w:before="0" w:after="0" w:line="240" w:lineRule="auto"/>
            </w:pPr>
            <w:r w:rsidRPr="009D4627">
              <w:t>0.857</w:t>
            </w:r>
          </w:p>
          <w:p w14:paraId="5C898280" w14:textId="77777777" w:rsidR="006267AA" w:rsidRPr="009D4627" w:rsidRDefault="006267AA" w:rsidP="00281A92">
            <w:pPr>
              <w:spacing w:before="0" w:after="0" w:line="240" w:lineRule="auto"/>
            </w:pPr>
            <w:r w:rsidRPr="009D4627">
              <w:t>-0.795</w:t>
            </w:r>
          </w:p>
        </w:tc>
        <w:tc>
          <w:tcPr>
            <w:tcW w:w="749" w:type="pct"/>
          </w:tcPr>
          <w:p w14:paraId="226050F4" w14:textId="77777777" w:rsidR="006267AA" w:rsidRPr="009D4627" w:rsidRDefault="006267AA" w:rsidP="00281A92">
            <w:pPr>
              <w:spacing w:before="0" w:after="0" w:line="240" w:lineRule="auto"/>
            </w:pPr>
          </w:p>
          <w:p w14:paraId="640E5C0F" w14:textId="77777777" w:rsidR="006267AA" w:rsidRPr="009D4627" w:rsidRDefault="006267AA" w:rsidP="00281A92">
            <w:pPr>
              <w:spacing w:before="0" w:after="0" w:line="240" w:lineRule="auto"/>
            </w:pPr>
            <w:r w:rsidRPr="009D4627">
              <w:t>0.779</w:t>
            </w:r>
          </w:p>
          <w:p w14:paraId="15EE86DD" w14:textId="77777777" w:rsidR="006267AA" w:rsidRPr="009D4627" w:rsidRDefault="006267AA" w:rsidP="00281A92">
            <w:pPr>
              <w:spacing w:before="0" w:after="0" w:line="240" w:lineRule="auto"/>
            </w:pPr>
            <w:r w:rsidRPr="009D4627">
              <w:t>0.392</w:t>
            </w:r>
          </w:p>
          <w:p w14:paraId="7AB896D6" w14:textId="77777777" w:rsidR="006267AA" w:rsidRPr="009D4627" w:rsidRDefault="006267AA" w:rsidP="00281A92">
            <w:pPr>
              <w:spacing w:before="0" w:after="0" w:line="240" w:lineRule="auto"/>
            </w:pPr>
            <w:r w:rsidRPr="009D4627">
              <w:t>0.497</w:t>
            </w:r>
          </w:p>
        </w:tc>
      </w:tr>
      <w:tr w:rsidR="006267AA" w:rsidRPr="009D4627" w14:paraId="1A79F268" w14:textId="77777777" w:rsidTr="00281A92">
        <w:trPr>
          <w:jc w:val="center"/>
        </w:trPr>
        <w:tc>
          <w:tcPr>
            <w:tcW w:w="2689" w:type="pct"/>
          </w:tcPr>
          <w:p w14:paraId="35383A74" w14:textId="77777777" w:rsidR="006267AA" w:rsidRPr="009D4627" w:rsidRDefault="006267AA" w:rsidP="00281A92">
            <w:pPr>
              <w:spacing w:before="0" w:after="0" w:line="240" w:lineRule="auto"/>
            </w:pPr>
            <w:r w:rsidRPr="009D4627">
              <w:t>Horizontal SP (RE/LE)</w:t>
            </w:r>
          </w:p>
          <w:p w14:paraId="4927509A" w14:textId="77777777" w:rsidR="006267AA" w:rsidRPr="009D4627" w:rsidRDefault="006267AA" w:rsidP="00281A92">
            <w:pPr>
              <w:spacing w:before="0" w:after="0" w:line="240" w:lineRule="auto"/>
              <w:jc w:val="right"/>
            </w:pPr>
            <w:r w:rsidRPr="009D4627">
              <w:t>Gain</w:t>
            </w:r>
          </w:p>
          <w:p w14:paraId="044C0355" w14:textId="77777777" w:rsidR="006267AA" w:rsidRPr="009D4627" w:rsidRDefault="006267AA" w:rsidP="00281A92">
            <w:pPr>
              <w:spacing w:before="0" w:after="0" w:line="240" w:lineRule="auto"/>
              <w:jc w:val="right"/>
            </w:pPr>
            <w:r w:rsidRPr="009D4627">
              <w:t>RMSE</w:t>
            </w:r>
          </w:p>
          <w:p w14:paraId="7328901E" w14:textId="77777777" w:rsidR="006267AA" w:rsidRPr="009D4627" w:rsidRDefault="006267AA" w:rsidP="00281A92">
            <w:pPr>
              <w:spacing w:before="0" w:after="0" w:line="240" w:lineRule="auto"/>
              <w:jc w:val="right"/>
            </w:pPr>
            <w:r w:rsidRPr="009D4627">
              <w:t>Length</w:t>
            </w:r>
          </w:p>
        </w:tc>
        <w:tc>
          <w:tcPr>
            <w:tcW w:w="868" w:type="pct"/>
          </w:tcPr>
          <w:p w14:paraId="762DD099" w14:textId="77777777" w:rsidR="006267AA" w:rsidRPr="009D4627" w:rsidRDefault="006267AA" w:rsidP="00281A92">
            <w:pPr>
              <w:spacing w:before="0" w:after="0" w:line="240" w:lineRule="auto"/>
            </w:pPr>
          </w:p>
          <w:p w14:paraId="56A8679B" w14:textId="77777777" w:rsidR="006267AA" w:rsidRPr="009D4627" w:rsidRDefault="006267AA" w:rsidP="00281A92">
            <w:pPr>
              <w:spacing w:before="0" w:after="0" w:line="240" w:lineRule="auto"/>
            </w:pPr>
            <w:r w:rsidRPr="009D4627">
              <w:t>0.004</w:t>
            </w:r>
          </w:p>
          <w:p w14:paraId="159B800D" w14:textId="77777777" w:rsidR="006267AA" w:rsidRPr="009D4627" w:rsidRDefault="006267AA" w:rsidP="00281A92">
            <w:pPr>
              <w:spacing w:before="0" w:after="0" w:line="240" w:lineRule="auto"/>
            </w:pPr>
            <w:r w:rsidRPr="009D4627">
              <w:t>-0.020</w:t>
            </w:r>
          </w:p>
          <w:p w14:paraId="098C24EE" w14:textId="77777777" w:rsidR="006267AA" w:rsidRPr="009D4627" w:rsidRDefault="006267AA" w:rsidP="00281A92">
            <w:pPr>
              <w:spacing w:before="0" w:after="0" w:line="240" w:lineRule="auto"/>
            </w:pPr>
            <w:r w:rsidRPr="009D4627">
              <w:t>-6.767</w:t>
            </w:r>
          </w:p>
        </w:tc>
        <w:tc>
          <w:tcPr>
            <w:tcW w:w="694" w:type="pct"/>
          </w:tcPr>
          <w:p w14:paraId="60716665" w14:textId="77777777" w:rsidR="006267AA" w:rsidRPr="009D4627" w:rsidRDefault="006267AA" w:rsidP="00281A92">
            <w:pPr>
              <w:spacing w:before="0" w:after="0" w:line="240" w:lineRule="auto"/>
            </w:pPr>
          </w:p>
          <w:p w14:paraId="797229C6" w14:textId="77777777" w:rsidR="006267AA" w:rsidRPr="009D4627" w:rsidRDefault="006267AA" w:rsidP="00281A92">
            <w:pPr>
              <w:spacing w:before="0" w:after="0" w:line="240" w:lineRule="auto"/>
            </w:pPr>
            <w:r w:rsidRPr="009D4627">
              <w:t>0.320</w:t>
            </w:r>
          </w:p>
          <w:p w14:paraId="2BB97F27" w14:textId="77777777" w:rsidR="006267AA" w:rsidRPr="009D4627" w:rsidRDefault="006267AA" w:rsidP="00281A92">
            <w:pPr>
              <w:spacing w:before="0" w:after="0" w:line="240" w:lineRule="auto"/>
            </w:pPr>
            <w:r w:rsidRPr="009D4627">
              <w:t>-0.429</w:t>
            </w:r>
          </w:p>
          <w:p w14:paraId="064FB624" w14:textId="77777777" w:rsidR="006267AA" w:rsidRPr="009D4627" w:rsidRDefault="006267AA" w:rsidP="00281A92">
            <w:pPr>
              <w:spacing w:before="0" w:after="0" w:line="240" w:lineRule="auto"/>
            </w:pPr>
            <w:r w:rsidRPr="009D4627">
              <w:t>-0.324</w:t>
            </w:r>
          </w:p>
        </w:tc>
        <w:tc>
          <w:tcPr>
            <w:tcW w:w="749" w:type="pct"/>
          </w:tcPr>
          <w:p w14:paraId="3B0B34AE" w14:textId="77777777" w:rsidR="006267AA" w:rsidRPr="009D4627" w:rsidRDefault="006267AA" w:rsidP="00281A92">
            <w:pPr>
              <w:spacing w:before="0" w:after="0" w:line="240" w:lineRule="auto"/>
            </w:pPr>
          </w:p>
          <w:p w14:paraId="37F0DA7E" w14:textId="77777777" w:rsidR="006267AA" w:rsidRPr="009D4627" w:rsidRDefault="006267AA" w:rsidP="00281A92">
            <w:pPr>
              <w:spacing w:before="0" w:after="0" w:line="240" w:lineRule="auto"/>
            </w:pPr>
            <w:r w:rsidRPr="009D4627">
              <w:t>0.749</w:t>
            </w:r>
          </w:p>
          <w:p w14:paraId="2DFAE11A" w14:textId="77777777" w:rsidR="006267AA" w:rsidRPr="009D4627" w:rsidRDefault="006267AA" w:rsidP="00281A92">
            <w:pPr>
              <w:spacing w:before="0" w:after="0" w:line="240" w:lineRule="auto"/>
            </w:pPr>
            <w:r w:rsidRPr="009D4627">
              <w:t>0.668</w:t>
            </w:r>
          </w:p>
          <w:p w14:paraId="0C9A674F" w14:textId="77777777" w:rsidR="006267AA" w:rsidRPr="009D4627" w:rsidRDefault="006267AA" w:rsidP="00281A92">
            <w:pPr>
              <w:spacing w:before="0" w:after="0" w:line="240" w:lineRule="auto"/>
            </w:pPr>
            <w:r w:rsidRPr="009D4627">
              <w:t>0.746</w:t>
            </w:r>
          </w:p>
        </w:tc>
      </w:tr>
      <w:tr w:rsidR="006267AA" w:rsidRPr="009D4627" w14:paraId="713300C8" w14:textId="77777777" w:rsidTr="00281A92">
        <w:trPr>
          <w:jc w:val="center"/>
        </w:trPr>
        <w:tc>
          <w:tcPr>
            <w:tcW w:w="2689" w:type="pct"/>
          </w:tcPr>
          <w:p w14:paraId="535535CE" w14:textId="77777777" w:rsidR="006267AA" w:rsidRPr="009D4627" w:rsidRDefault="006267AA" w:rsidP="00281A92">
            <w:pPr>
              <w:spacing w:before="0" w:after="0" w:line="240" w:lineRule="auto"/>
            </w:pPr>
            <w:r w:rsidRPr="009D4627">
              <w:t>Vertical SP (RE/LE)</w:t>
            </w:r>
          </w:p>
          <w:p w14:paraId="06FDF841" w14:textId="77777777" w:rsidR="006267AA" w:rsidRPr="009D4627" w:rsidRDefault="006267AA" w:rsidP="00281A92">
            <w:pPr>
              <w:spacing w:before="0" w:after="0" w:line="240" w:lineRule="auto"/>
              <w:jc w:val="right"/>
            </w:pPr>
            <w:r w:rsidRPr="009D4627">
              <w:t>Gain</w:t>
            </w:r>
          </w:p>
          <w:p w14:paraId="582995FA" w14:textId="77777777" w:rsidR="006267AA" w:rsidRPr="009D4627" w:rsidRDefault="006267AA" w:rsidP="00281A92">
            <w:pPr>
              <w:spacing w:before="0" w:after="0" w:line="240" w:lineRule="auto"/>
              <w:jc w:val="right"/>
            </w:pPr>
            <w:r w:rsidRPr="009D4627">
              <w:t>RMSE</w:t>
            </w:r>
          </w:p>
          <w:p w14:paraId="4E6B72C8" w14:textId="77777777" w:rsidR="006267AA" w:rsidRPr="009D4627" w:rsidRDefault="006267AA" w:rsidP="00281A92">
            <w:pPr>
              <w:spacing w:before="0" w:after="0" w:line="240" w:lineRule="auto"/>
              <w:jc w:val="right"/>
            </w:pPr>
            <w:r w:rsidRPr="009D4627">
              <w:t>Length</w:t>
            </w:r>
          </w:p>
        </w:tc>
        <w:tc>
          <w:tcPr>
            <w:tcW w:w="868" w:type="pct"/>
          </w:tcPr>
          <w:p w14:paraId="0B1F5021" w14:textId="77777777" w:rsidR="006267AA" w:rsidRPr="009D4627" w:rsidRDefault="006267AA" w:rsidP="00281A92">
            <w:pPr>
              <w:spacing w:before="0" w:after="0" w:line="240" w:lineRule="auto"/>
            </w:pPr>
          </w:p>
          <w:p w14:paraId="4B51C3ED" w14:textId="77777777" w:rsidR="006267AA" w:rsidRPr="009D4627" w:rsidRDefault="006267AA" w:rsidP="00281A92">
            <w:pPr>
              <w:spacing w:before="0" w:after="0" w:line="240" w:lineRule="auto"/>
            </w:pPr>
            <w:r w:rsidRPr="009D4627">
              <w:t>-0.006</w:t>
            </w:r>
          </w:p>
          <w:p w14:paraId="1AD62EF2" w14:textId="77777777" w:rsidR="006267AA" w:rsidRPr="009D4627" w:rsidRDefault="006267AA" w:rsidP="00281A92">
            <w:pPr>
              <w:spacing w:before="0" w:after="0" w:line="240" w:lineRule="auto"/>
            </w:pPr>
            <w:r w:rsidRPr="009D4627">
              <w:t>-0.099</w:t>
            </w:r>
          </w:p>
          <w:p w14:paraId="25D3B735" w14:textId="77777777" w:rsidR="006267AA" w:rsidRPr="009D4627" w:rsidRDefault="006267AA" w:rsidP="00281A92">
            <w:pPr>
              <w:spacing w:before="0" w:after="0" w:line="240" w:lineRule="auto"/>
            </w:pPr>
            <w:r w:rsidRPr="009D4627">
              <w:t>0.532</w:t>
            </w:r>
          </w:p>
        </w:tc>
        <w:tc>
          <w:tcPr>
            <w:tcW w:w="694" w:type="pct"/>
          </w:tcPr>
          <w:p w14:paraId="4628360F" w14:textId="77777777" w:rsidR="006267AA" w:rsidRPr="009D4627" w:rsidRDefault="006267AA" w:rsidP="00281A92">
            <w:pPr>
              <w:spacing w:before="0" w:after="0" w:line="240" w:lineRule="auto"/>
            </w:pPr>
          </w:p>
          <w:p w14:paraId="0FAEB412" w14:textId="77777777" w:rsidR="006267AA" w:rsidRPr="009D4627" w:rsidRDefault="006267AA" w:rsidP="00281A92">
            <w:pPr>
              <w:spacing w:before="0" w:after="0" w:line="240" w:lineRule="auto"/>
            </w:pPr>
            <w:r w:rsidRPr="009D4627">
              <w:t>-0.328</w:t>
            </w:r>
          </w:p>
          <w:p w14:paraId="3C3EC91E" w14:textId="77777777" w:rsidR="006267AA" w:rsidRPr="009D4627" w:rsidRDefault="006267AA" w:rsidP="00281A92">
            <w:pPr>
              <w:spacing w:before="0" w:after="0" w:line="240" w:lineRule="auto"/>
            </w:pPr>
            <w:r w:rsidRPr="009D4627">
              <w:t>-1.938</w:t>
            </w:r>
          </w:p>
          <w:p w14:paraId="4FB64EAD" w14:textId="77777777" w:rsidR="006267AA" w:rsidRPr="009D4627" w:rsidRDefault="006267AA" w:rsidP="00281A92">
            <w:pPr>
              <w:spacing w:before="0" w:after="0" w:line="240" w:lineRule="auto"/>
            </w:pPr>
            <w:r w:rsidRPr="009D4627">
              <w:t>0.046</w:t>
            </w:r>
          </w:p>
        </w:tc>
        <w:tc>
          <w:tcPr>
            <w:tcW w:w="749" w:type="pct"/>
          </w:tcPr>
          <w:p w14:paraId="1FF52754" w14:textId="77777777" w:rsidR="006267AA" w:rsidRPr="009D4627" w:rsidRDefault="006267AA" w:rsidP="00281A92">
            <w:pPr>
              <w:spacing w:before="0" w:after="0" w:line="240" w:lineRule="auto"/>
            </w:pPr>
          </w:p>
          <w:p w14:paraId="1AF28B3F" w14:textId="77777777" w:rsidR="006267AA" w:rsidRPr="009D4627" w:rsidRDefault="006267AA" w:rsidP="00281A92">
            <w:pPr>
              <w:spacing w:before="0" w:after="0" w:line="240" w:lineRule="auto"/>
            </w:pPr>
            <w:r w:rsidRPr="009D4627">
              <w:t>0.743</w:t>
            </w:r>
          </w:p>
          <w:p w14:paraId="65D4BF89" w14:textId="77777777" w:rsidR="006267AA" w:rsidRPr="009D4627" w:rsidRDefault="006267AA" w:rsidP="00281A92">
            <w:pPr>
              <w:spacing w:before="0" w:after="0" w:line="240" w:lineRule="auto"/>
            </w:pPr>
            <w:r w:rsidRPr="009D4627">
              <w:t>0.053</w:t>
            </w:r>
          </w:p>
          <w:p w14:paraId="2DC4C7D5" w14:textId="77777777" w:rsidR="006267AA" w:rsidRPr="009D4627" w:rsidRDefault="006267AA" w:rsidP="00281A92">
            <w:pPr>
              <w:spacing w:before="0" w:after="0" w:line="240" w:lineRule="auto"/>
            </w:pPr>
            <w:r w:rsidRPr="009D4627">
              <w:t>0.964</w:t>
            </w:r>
          </w:p>
        </w:tc>
      </w:tr>
      <w:tr w:rsidR="006267AA" w:rsidRPr="009D4627" w14:paraId="27E34040" w14:textId="77777777" w:rsidTr="00281A92">
        <w:trPr>
          <w:jc w:val="center"/>
        </w:trPr>
        <w:tc>
          <w:tcPr>
            <w:tcW w:w="2689" w:type="pct"/>
          </w:tcPr>
          <w:p w14:paraId="4CB1E0A8" w14:textId="77777777" w:rsidR="006267AA" w:rsidRPr="009D4627" w:rsidRDefault="006267AA" w:rsidP="00281A92">
            <w:pPr>
              <w:spacing w:before="0" w:after="0" w:line="240" w:lineRule="auto"/>
            </w:pPr>
            <w:r w:rsidRPr="009D4627">
              <w:t>Horizontal saccade (RE/LE)</w:t>
            </w:r>
          </w:p>
          <w:p w14:paraId="5F046B5D" w14:textId="77777777" w:rsidR="006267AA" w:rsidRPr="009D4627" w:rsidRDefault="006267AA" w:rsidP="00281A92">
            <w:pPr>
              <w:spacing w:before="0" w:after="0" w:line="240" w:lineRule="auto"/>
              <w:jc w:val="right"/>
            </w:pPr>
            <w:r w:rsidRPr="009D4627">
              <w:t>Latency</w:t>
            </w:r>
          </w:p>
          <w:p w14:paraId="4797C2ED" w14:textId="77777777" w:rsidR="006267AA" w:rsidRPr="009D4627" w:rsidRDefault="006267AA" w:rsidP="00281A92">
            <w:pPr>
              <w:spacing w:before="0" w:after="0" w:line="240" w:lineRule="auto"/>
              <w:jc w:val="right"/>
            </w:pPr>
            <w:r w:rsidRPr="009D4627">
              <w:t>Peak velocity</w:t>
            </w:r>
          </w:p>
          <w:p w14:paraId="241DC668" w14:textId="77777777" w:rsidR="006267AA" w:rsidRPr="009D4627" w:rsidRDefault="006267AA" w:rsidP="00281A92">
            <w:pPr>
              <w:spacing w:before="0" w:after="0" w:line="240" w:lineRule="auto"/>
              <w:jc w:val="right"/>
            </w:pPr>
            <w:r w:rsidRPr="009D4627">
              <w:t xml:space="preserve">Gain </w:t>
            </w:r>
          </w:p>
        </w:tc>
        <w:tc>
          <w:tcPr>
            <w:tcW w:w="868" w:type="pct"/>
          </w:tcPr>
          <w:p w14:paraId="25514220" w14:textId="77777777" w:rsidR="006267AA" w:rsidRPr="009D4627" w:rsidRDefault="006267AA" w:rsidP="00281A92">
            <w:pPr>
              <w:spacing w:before="0" w:after="0" w:line="240" w:lineRule="auto"/>
            </w:pPr>
          </w:p>
          <w:p w14:paraId="39627DE6" w14:textId="77777777" w:rsidR="006267AA" w:rsidRPr="009D4627" w:rsidRDefault="006267AA" w:rsidP="00281A92">
            <w:pPr>
              <w:spacing w:before="0" w:after="0" w:line="240" w:lineRule="auto"/>
            </w:pPr>
            <w:r w:rsidRPr="009D4627">
              <w:t>-0.385</w:t>
            </w:r>
          </w:p>
          <w:p w14:paraId="1284A3D8" w14:textId="77777777" w:rsidR="006267AA" w:rsidRPr="009D4627" w:rsidRDefault="006267AA" w:rsidP="00281A92">
            <w:pPr>
              <w:spacing w:before="0" w:after="0" w:line="240" w:lineRule="auto"/>
            </w:pPr>
            <w:r w:rsidRPr="009D4627">
              <w:t>-5.847</w:t>
            </w:r>
          </w:p>
          <w:p w14:paraId="058E4D4B" w14:textId="77777777" w:rsidR="006267AA" w:rsidRPr="009D4627" w:rsidRDefault="006267AA" w:rsidP="00281A92">
            <w:pPr>
              <w:spacing w:before="0" w:after="0" w:line="240" w:lineRule="auto"/>
            </w:pPr>
            <w:r w:rsidRPr="009D4627">
              <w:t>-0.019</w:t>
            </w:r>
          </w:p>
        </w:tc>
        <w:tc>
          <w:tcPr>
            <w:tcW w:w="694" w:type="pct"/>
          </w:tcPr>
          <w:p w14:paraId="3F37F616" w14:textId="77777777" w:rsidR="006267AA" w:rsidRPr="009D4627" w:rsidRDefault="006267AA" w:rsidP="00281A92">
            <w:pPr>
              <w:spacing w:before="0" w:after="0" w:line="240" w:lineRule="auto"/>
            </w:pPr>
          </w:p>
          <w:p w14:paraId="60E87A8A" w14:textId="77777777" w:rsidR="006267AA" w:rsidRPr="009D4627" w:rsidRDefault="006267AA" w:rsidP="00281A92">
            <w:pPr>
              <w:spacing w:before="0" w:after="0" w:line="240" w:lineRule="auto"/>
            </w:pPr>
            <w:r w:rsidRPr="009D4627">
              <w:t>-0.212</w:t>
            </w:r>
          </w:p>
          <w:p w14:paraId="51B1E416" w14:textId="77777777" w:rsidR="006267AA" w:rsidRPr="009D4627" w:rsidRDefault="006267AA" w:rsidP="00281A92">
            <w:pPr>
              <w:spacing w:before="0" w:after="0" w:line="240" w:lineRule="auto"/>
            </w:pPr>
            <w:r w:rsidRPr="009D4627">
              <w:t>-1.850</w:t>
            </w:r>
          </w:p>
          <w:p w14:paraId="308805AC" w14:textId="77777777" w:rsidR="006267AA" w:rsidRPr="009D4627" w:rsidRDefault="006267AA" w:rsidP="00281A92">
            <w:pPr>
              <w:spacing w:before="0" w:after="0" w:line="240" w:lineRule="auto"/>
            </w:pPr>
            <w:r w:rsidRPr="009D4627">
              <w:t>-3.420</w:t>
            </w:r>
          </w:p>
        </w:tc>
        <w:tc>
          <w:tcPr>
            <w:tcW w:w="749" w:type="pct"/>
          </w:tcPr>
          <w:p w14:paraId="6D4E5D9D" w14:textId="77777777" w:rsidR="006267AA" w:rsidRPr="009D4627" w:rsidRDefault="006267AA" w:rsidP="00281A92">
            <w:pPr>
              <w:spacing w:before="0" w:after="0" w:line="240" w:lineRule="auto"/>
            </w:pPr>
          </w:p>
          <w:p w14:paraId="726A50D6" w14:textId="77777777" w:rsidR="006267AA" w:rsidRPr="009D4627" w:rsidRDefault="006267AA" w:rsidP="00281A92">
            <w:pPr>
              <w:spacing w:before="0" w:after="0" w:line="240" w:lineRule="auto"/>
            </w:pPr>
            <w:r w:rsidRPr="009D4627">
              <w:t>0.766</w:t>
            </w:r>
          </w:p>
          <w:p w14:paraId="73AC04DF" w14:textId="77777777" w:rsidR="006267AA" w:rsidRPr="009D4627" w:rsidRDefault="006267AA" w:rsidP="00281A92">
            <w:pPr>
              <w:spacing w:before="0" w:after="0" w:line="240" w:lineRule="auto"/>
            </w:pPr>
            <w:r w:rsidRPr="009D4627">
              <w:t>0.968</w:t>
            </w:r>
          </w:p>
          <w:p w14:paraId="2943C4D7" w14:textId="77777777" w:rsidR="006267AA" w:rsidRPr="009D4627" w:rsidRDefault="006267AA" w:rsidP="00281A92">
            <w:pPr>
              <w:spacing w:before="0" w:after="0" w:line="240" w:lineRule="auto"/>
            </w:pPr>
            <w:r w:rsidRPr="009D4627">
              <w:t>0.684</w:t>
            </w:r>
          </w:p>
        </w:tc>
      </w:tr>
      <w:tr w:rsidR="006267AA" w:rsidRPr="009D4627" w14:paraId="08CEF36C" w14:textId="77777777" w:rsidTr="00281A92">
        <w:trPr>
          <w:jc w:val="center"/>
        </w:trPr>
        <w:tc>
          <w:tcPr>
            <w:tcW w:w="2689" w:type="pct"/>
          </w:tcPr>
          <w:p w14:paraId="5424B06A" w14:textId="77777777" w:rsidR="006267AA" w:rsidRPr="009D4627" w:rsidRDefault="006267AA" w:rsidP="00281A92">
            <w:pPr>
              <w:spacing w:before="0" w:after="0" w:line="240" w:lineRule="auto"/>
            </w:pPr>
            <w:r w:rsidRPr="009D4627">
              <w:t>Vertical saccade (RE/LE)</w:t>
            </w:r>
          </w:p>
          <w:p w14:paraId="1E90B232" w14:textId="77777777" w:rsidR="006267AA" w:rsidRPr="009D4627" w:rsidRDefault="006267AA" w:rsidP="00281A92">
            <w:pPr>
              <w:spacing w:before="0" w:after="0" w:line="240" w:lineRule="auto"/>
              <w:jc w:val="right"/>
            </w:pPr>
            <w:r w:rsidRPr="009D4627">
              <w:t>Latency</w:t>
            </w:r>
          </w:p>
          <w:p w14:paraId="3010D9EB" w14:textId="77777777" w:rsidR="006267AA" w:rsidRPr="009D4627" w:rsidRDefault="006267AA" w:rsidP="00281A92">
            <w:pPr>
              <w:spacing w:before="0" w:after="0" w:line="240" w:lineRule="auto"/>
              <w:jc w:val="right"/>
            </w:pPr>
            <w:r w:rsidRPr="009D4627">
              <w:t>Peak velocity</w:t>
            </w:r>
          </w:p>
          <w:p w14:paraId="1184D73A" w14:textId="77777777" w:rsidR="006267AA" w:rsidRPr="009D4627" w:rsidRDefault="006267AA" w:rsidP="00281A92">
            <w:pPr>
              <w:spacing w:before="0" w:after="0" w:line="240" w:lineRule="auto"/>
              <w:jc w:val="right"/>
            </w:pPr>
            <w:r w:rsidRPr="009D4627">
              <w:t xml:space="preserve">Gain </w:t>
            </w:r>
          </w:p>
        </w:tc>
        <w:tc>
          <w:tcPr>
            <w:tcW w:w="868" w:type="pct"/>
          </w:tcPr>
          <w:p w14:paraId="30419128" w14:textId="77777777" w:rsidR="006267AA" w:rsidRPr="009D4627" w:rsidRDefault="006267AA" w:rsidP="00281A92">
            <w:pPr>
              <w:spacing w:before="0" w:after="0" w:line="240" w:lineRule="auto"/>
            </w:pPr>
          </w:p>
          <w:p w14:paraId="5E6A7123" w14:textId="77777777" w:rsidR="006267AA" w:rsidRPr="009D4627" w:rsidRDefault="006267AA" w:rsidP="00281A92">
            <w:pPr>
              <w:spacing w:before="0" w:after="0" w:line="240" w:lineRule="auto"/>
            </w:pPr>
            <w:r w:rsidRPr="009D4627">
              <w:t>0.497</w:t>
            </w:r>
          </w:p>
          <w:p w14:paraId="3483421A" w14:textId="77777777" w:rsidR="006267AA" w:rsidRPr="009D4627" w:rsidRDefault="006267AA" w:rsidP="00281A92">
            <w:pPr>
              <w:spacing w:before="0" w:after="0" w:line="240" w:lineRule="auto"/>
            </w:pPr>
            <w:r w:rsidRPr="009D4627">
              <w:t>-2.584</w:t>
            </w:r>
          </w:p>
          <w:p w14:paraId="2A8BB8FC" w14:textId="77777777" w:rsidR="006267AA" w:rsidRPr="009D4627" w:rsidRDefault="006267AA" w:rsidP="00281A92">
            <w:pPr>
              <w:spacing w:before="0" w:after="0" w:line="240" w:lineRule="auto"/>
            </w:pPr>
            <w:r w:rsidRPr="009D4627">
              <w:t>0.001</w:t>
            </w:r>
          </w:p>
        </w:tc>
        <w:tc>
          <w:tcPr>
            <w:tcW w:w="694" w:type="pct"/>
          </w:tcPr>
          <w:p w14:paraId="4D4477B5" w14:textId="77777777" w:rsidR="006267AA" w:rsidRPr="009D4627" w:rsidRDefault="006267AA" w:rsidP="00281A92">
            <w:pPr>
              <w:spacing w:before="0" w:after="0" w:line="240" w:lineRule="auto"/>
            </w:pPr>
          </w:p>
          <w:p w14:paraId="56B144A0" w14:textId="77777777" w:rsidR="006267AA" w:rsidRPr="009D4627" w:rsidRDefault="006267AA" w:rsidP="00281A92">
            <w:pPr>
              <w:spacing w:before="0" w:after="0" w:line="240" w:lineRule="auto"/>
            </w:pPr>
            <w:r w:rsidRPr="009D4627">
              <w:t>0.330</w:t>
            </w:r>
          </w:p>
          <w:p w14:paraId="69A2A136" w14:textId="77777777" w:rsidR="006267AA" w:rsidRPr="009D4627" w:rsidRDefault="006267AA" w:rsidP="00281A92">
            <w:pPr>
              <w:spacing w:before="0" w:after="0" w:line="240" w:lineRule="auto"/>
            </w:pPr>
            <w:r w:rsidRPr="009D4627">
              <w:t>-0.700</w:t>
            </w:r>
          </w:p>
          <w:p w14:paraId="1F0F94D2" w14:textId="77777777" w:rsidR="006267AA" w:rsidRPr="009D4627" w:rsidRDefault="006267AA" w:rsidP="00281A92">
            <w:pPr>
              <w:spacing w:before="0" w:after="0" w:line="240" w:lineRule="auto"/>
            </w:pPr>
            <w:r w:rsidRPr="009D4627">
              <w:t>0.123</w:t>
            </w:r>
          </w:p>
        </w:tc>
        <w:tc>
          <w:tcPr>
            <w:tcW w:w="749" w:type="pct"/>
          </w:tcPr>
          <w:p w14:paraId="33CD0DF6" w14:textId="77777777" w:rsidR="006267AA" w:rsidRPr="009D4627" w:rsidRDefault="006267AA" w:rsidP="00281A92">
            <w:pPr>
              <w:spacing w:before="0" w:after="0" w:line="240" w:lineRule="auto"/>
            </w:pPr>
          </w:p>
          <w:p w14:paraId="5C9D6FC1" w14:textId="77777777" w:rsidR="006267AA" w:rsidRPr="009D4627" w:rsidRDefault="006267AA" w:rsidP="00281A92">
            <w:pPr>
              <w:spacing w:before="0" w:after="0" w:line="240" w:lineRule="auto"/>
            </w:pPr>
            <w:r w:rsidRPr="009D4627">
              <w:t>0.741</w:t>
            </w:r>
          </w:p>
          <w:p w14:paraId="1ED533B4" w14:textId="77777777" w:rsidR="006267AA" w:rsidRPr="009D4627" w:rsidRDefault="006267AA" w:rsidP="00281A92">
            <w:pPr>
              <w:spacing w:before="0" w:after="0" w:line="240" w:lineRule="auto"/>
            </w:pPr>
            <w:r w:rsidRPr="009D4627">
              <w:t>0.484</w:t>
            </w:r>
          </w:p>
          <w:p w14:paraId="742D4C24" w14:textId="77777777" w:rsidR="006267AA" w:rsidRPr="009D4627" w:rsidRDefault="006267AA" w:rsidP="00281A92">
            <w:pPr>
              <w:spacing w:before="0" w:after="0" w:line="240" w:lineRule="auto"/>
            </w:pPr>
            <w:r w:rsidRPr="009D4627">
              <w:t>0.902</w:t>
            </w:r>
          </w:p>
        </w:tc>
      </w:tr>
    </w:tbl>
    <w:p w14:paraId="76C95633" w14:textId="51A481D3" w:rsidR="006E7BDE" w:rsidRPr="009D4627" w:rsidRDefault="006E7BDE" w:rsidP="006E7BDE"/>
    <w:p w14:paraId="2F156514" w14:textId="77777777" w:rsidR="009E3584" w:rsidRPr="009D4627" w:rsidRDefault="009E3584" w:rsidP="006E7BDE"/>
    <w:p w14:paraId="00C6BD88" w14:textId="77777777" w:rsidR="00AC5B4F" w:rsidRPr="009D4627" w:rsidRDefault="00AC5B4F" w:rsidP="00D50C28"/>
    <w:p w14:paraId="0A9F781E" w14:textId="77777777" w:rsidR="007A66B3" w:rsidRPr="009D4627" w:rsidRDefault="007A66B3" w:rsidP="00C4130D">
      <w:pPr>
        <w:pStyle w:val="Caption"/>
      </w:pPr>
      <w:bookmarkStart w:id="618" w:name="_Toc70087847"/>
    </w:p>
    <w:p w14:paraId="7C487679" w14:textId="77777777" w:rsidR="007A66B3" w:rsidRPr="009D4627" w:rsidRDefault="007A66B3" w:rsidP="00C4130D">
      <w:pPr>
        <w:pStyle w:val="Caption"/>
      </w:pPr>
    </w:p>
    <w:p w14:paraId="0C050B29" w14:textId="77777777" w:rsidR="007A66B3" w:rsidRPr="009D4627" w:rsidRDefault="007A66B3" w:rsidP="00C4130D">
      <w:pPr>
        <w:pStyle w:val="Caption"/>
        <w:sectPr w:rsidR="007A66B3" w:rsidRPr="009D4627" w:rsidSect="00477959">
          <w:headerReference w:type="default" r:id="rId276"/>
          <w:pgSz w:w="11906" w:h="16838" w:code="9"/>
          <w:pgMar w:top="1440" w:right="1440" w:bottom="1440" w:left="1440" w:header="708" w:footer="708" w:gutter="0"/>
          <w:cols w:space="708"/>
          <w:docGrid w:linePitch="360"/>
        </w:sectPr>
      </w:pPr>
    </w:p>
    <w:p w14:paraId="6ED76553" w14:textId="19E7B1E8" w:rsidR="004808A2" w:rsidRPr="009D4627" w:rsidRDefault="00F418D9" w:rsidP="00C4130D">
      <w:pPr>
        <w:pStyle w:val="Caption"/>
      </w:pPr>
      <w:bookmarkStart w:id="619" w:name="_Toc70087849"/>
      <w:bookmarkStart w:id="620" w:name="_Toc99444690"/>
      <w:bookmarkEnd w:id="618"/>
      <w:r w:rsidRPr="009D4627">
        <w:lastRenderedPageBreak/>
        <w:t>Appendix 3.</w:t>
      </w:r>
      <w:r w:rsidR="00DE330E">
        <w:fldChar w:fldCharType="begin"/>
      </w:r>
      <w:r w:rsidR="00DE330E">
        <w:instrText xml:space="preserve"> SEQ Appendix_3. \* ARABIC </w:instrText>
      </w:r>
      <w:r w:rsidR="00DE330E">
        <w:fldChar w:fldCharType="separate"/>
      </w:r>
      <w:r w:rsidR="00E268F6">
        <w:rPr>
          <w:noProof/>
        </w:rPr>
        <w:t>2</w:t>
      </w:r>
      <w:r w:rsidR="00DE330E">
        <w:fldChar w:fldCharType="end"/>
      </w:r>
      <w:r w:rsidRPr="009D4627">
        <w:t>:</w:t>
      </w:r>
      <w:r w:rsidR="00D83B5A" w:rsidRPr="009D4627">
        <w:t xml:space="preserve"> </w:t>
      </w:r>
      <w:r w:rsidR="004808A2" w:rsidRPr="009D4627">
        <w:t xml:space="preserve">Mean horizontal </w:t>
      </w:r>
      <w:r w:rsidR="00356A10" w:rsidRPr="009D4627">
        <w:t>SP</w:t>
      </w:r>
      <w:r w:rsidR="004808A2" w:rsidRPr="009D4627">
        <w:t xml:space="preserve"> a) gain</w:t>
      </w:r>
      <w:r w:rsidR="00356A10" w:rsidRPr="009D4627">
        <w:t>,</w:t>
      </w:r>
      <w:r w:rsidR="004808A2" w:rsidRPr="009D4627">
        <w:t xml:space="preserve"> b) </w:t>
      </w:r>
      <w:r w:rsidR="00356A10" w:rsidRPr="009D4627">
        <w:t>RMSE</w:t>
      </w:r>
      <w:r w:rsidR="004808A2" w:rsidRPr="009D4627">
        <w:t xml:space="preserve"> (°)</w:t>
      </w:r>
      <w:r w:rsidR="00356A10" w:rsidRPr="009D4627">
        <w:t>,</w:t>
      </w:r>
      <w:r w:rsidR="004808A2" w:rsidRPr="009D4627">
        <w:t xml:space="preserve"> and c) </w:t>
      </w:r>
      <w:r w:rsidR="00356A10" w:rsidRPr="009D4627">
        <w:t>SP</w:t>
      </w:r>
      <w:r w:rsidR="004808A2" w:rsidRPr="009D4627">
        <w:t xml:space="preserve"> duration (</w:t>
      </w:r>
      <w:proofErr w:type="spellStart"/>
      <w:r w:rsidR="004808A2" w:rsidRPr="009D4627">
        <w:t>ms</w:t>
      </w:r>
      <w:proofErr w:type="spellEnd"/>
      <w:r w:rsidR="004808A2" w:rsidRPr="009D4627">
        <w:t xml:space="preserve">), of individual participant from three age groups (young, middle </w:t>
      </w:r>
      <w:r w:rsidR="00336F1C" w:rsidRPr="009D4627">
        <w:t>a</w:t>
      </w:r>
      <w:r w:rsidR="004808A2" w:rsidRPr="009D4627">
        <w:t>nd old</w:t>
      </w:r>
      <w:r w:rsidR="00336F1C" w:rsidRPr="009D4627">
        <w:t>er</w:t>
      </w:r>
      <w:r w:rsidR="004808A2" w:rsidRPr="009D4627">
        <w:t xml:space="preserve"> age) with normal BSV. The result of </w:t>
      </w:r>
      <w:r w:rsidR="00356A10" w:rsidRPr="009D4627">
        <w:t>RE</w:t>
      </w:r>
      <w:r w:rsidR="004808A2" w:rsidRPr="009D4627">
        <w:t xml:space="preserve"> was presented.</w:t>
      </w:r>
      <w:bookmarkEnd w:id="619"/>
      <w:bookmarkEnd w:id="620"/>
    </w:p>
    <w:tbl>
      <w:tblPr>
        <w:tblW w:w="45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5"/>
        <w:gridCol w:w="1277"/>
        <w:gridCol w:w="1609"/>
        <w:gridCol w:w="1609"/>
        <w:gridCol w:w="1612"/>
      </w:tblGrid>
      <w:tr w:rsidR="009A36D2" w:rsidRPr="009D4627" w14:paraId="5802D256" w14:textId="77777777" w:rsidTr="00281A92">
        <w:trPr>
          <w:trHeight w:val="20"/>
          <w:jc w:val="center"/>
        </w:trPr>
        <w:tc>
          <w:tcPr>
            <w:tcW w:w="5000" w:type="pct"/>
            <w:gridSpan w:val="5"/>
            <w:shd w:val="clear" w:color="auto" w:fill="auto"/>
            <w:noWrap/>
            <w:vAlign w:val="bottom"/>
            <w:hideMark/>
          </w:tcPr>
          <w:p w14:paraId="10A65475" w14:textId="77777777" w:rsidR="009A36D2" w:rsidRPr="009D4627" w:rsidRDefault="009A36D2" w:rsidP="00281A92">
            <w:pPr>
              <w:pStyle w:val="ListParagraph"/>
              <w:numPr>
                <w:ilvl w:val="0"/>
                <w:numId w:val="109"/>
              </w:numPr>
              <w:tabs>
                <w:tab w:val="left" w:pos="525"/>
              </w:tabs>
              <w:spacing w:before="0" w:after="0" w:line="240" w:lineRule="auto"/>
              <w:ind w:right="417"/>
              <w:jc w:val="left"/>
              <w:rPr>
                <w:b/>
                <w:bCs/>
                <w:color w:val="auto"/>
                <w:sz w:val="20"/>
                <w:szCs w:val="20"/>
              </w:rPr>
            </w:pPr>
            <w:r w:rsidRPr="009D4627">
              <w:rPr>
                <w:b/>
                <w:bCs/>
                <w:color w:val="auto"/>
                <w:sz w:val="20"/>
                <w:szCs w:val="20"/>
              </w:rPr>
              <w:t xml:space="preserve">Horizontal SP gain </w:t>
            </w:r>
          </w:p>
        </w:tc>
      </w:tr>
      <w:tr w:rsidR="009A36D2" w:rsidRPr="009D4627" w14:paraId="2461EF2A" w14:textId="77777777" w:rsidTr="00281A92">
        <w:trPr>
          <w:trHeight w:val="20"/>
          <w:jc w:val="center"/>
        </w:trPr>
        <w:tc>
          <w:tcPr>
            <w:tcW w:w="5000" w:type="pct"/>
            <w:gridSpan w:val="5"/>
            <w:shd w:val="clear" w:color="auto" w:fill="D9D9D9" w:themeFill="background1" w:themeFillShade="D9"/>
            <w:noWrap/>
            <w:vAlign w:val="bottom"/>
          </w:tcPr>
          <w:p w14:paraId="7F4C122B" w14:textId="77777777" w:rsidR="009A36D2" w:rsidRPr="009D4627" w:rsidRDefault="009A36D2" w:rsidP="00281A92">
            <w:pPr>
              <w:spacing w:before="0" w:after="0" w:line="240" w:lineRule="auto"/>
              <w:jc w:val="left"/>
              <w:rPr>
                <w:color w:val="auto"/>
                <w:sz w:val="20"/>
                <w:szCs w:val="20"/>
              </w:rPr>
            </w:pPr>
            <w:r w:rsidRPr="009D4627">
              <w:rPr>
                <w:color w:val="auto"/>
                <w:sz w:val="20"/>
                <w:szCs w:val="20"/>
              </w:rPr>
              <w:t>Young (18-39 years old)</w:t>
            </w:r>
          </w:p>
        </w:tc>
      </w:tr>
      <w:tr w:rsidR="009A36D2" w:rsidRPr="009D4627" w14:paraId="1CEE8961" w14:textId="77777777" w:rsidTr="00281A92">
        <w:trPr>
          <w:trHeight w:val="20"/>
          <w:jc w:val="center"/>
        </w:trPr>
        <w:tc>
          <w:tcPr>
            <w:tcW w:w="1291" w:type="pct"/>
            <w:tcBorders>
              <w:tl2br w:val="single" w:sz="4" w:space="0" w:color="auto"/>
            </w:tcBorders>
            <w:shd w:val="clear" w:color="auto" w:fill="auto"/>
            <w:hideMark/>
          </w:tcPr>
          <w:p w14:paraId="5C20D554"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Target frequency</w:t>
            </w:r>
          </w:p>
          <w:p w14:paraId="72A4E4C2" w14:textId="77777777" w:rsidR="009A36D2" w:rsidRPr="009D4627" w:rsidRDefault="009A36D2" w:rsidP="00281A92">
            <w:pPr>
              <w:spacing w:before="0" w:after="0" w:line="240" w:lineRule="auto"/>
              <w:rPr>
                <w:color w:val="auto"/>
                <w:sz w:val="20"/>
                <w:szCs w:val="20"/>
              </w:rPr>
            </w:pPr>
          </w:p>
          <w:p w14:paraId="3AE8E03C" w14:textId="77777777" w:rsidR="009A36D2" w:rsidRPr="009D4627" w:rsidRDefault="009A36D2" w:rsidP="00281A92">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12EF3E15"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7F2D6EC3"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0CFF2574"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0.6 Hz</w:t>
            </w:r>
          </w:p>
        </w:tc>
        <w:tc>
          <w:tcPr>
            <w:tcW w:w="979" w:type="pct"/>
          </w:tcPr>
          <w:p w14:paraId="334C9B4C"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0.8 Hz</w:t>
            </w:r>
          </w:p>
        </w:tc>
      </w:tr>
      <w:tr w:rsidR="009A36D2" w:rsidRPr="009D4627" w14:paraId="36A86925" w14:textId="77777777" w:rsidTr="00281A92">
        <w:trPr>
          <w:trHeight w:val="20"/>
          <w:jc w:val="center"/>
        </w:trPr>
        <w:tc>
          <w:tcPr>
            <w:tcW w:w="1291" w:type="pct"/>
            <w:shd w:val="clear" w:color="auto" w:fill="auto"/>
            <w:noWrap/>
            <w:vAlign w:val="bottom"/>
            <w:hideMark/>
          </w:tcPr>
          <w:p w14:paraId="06190EC1" w14:textId="77777777" w:rsidR="009A36D2" w:rsidRPr="009D4627" w:rsidRDefault="009A36D2" w:rsidP="00281A92">
            <w:pPr>
              <w:spacing w:before="0" w:after="0" w:line="240" w:lineRule="auto"/>
              <w:rPr>
                <w:color w:val="auto"/>
                <w:sz w:val="20"/>
                <w:szCs w:val="20"/>
              </w:rPr>
            </w:pPr>
            <w:r w:rsidRPr="009D4627">
              <w:rPr>
                <w:color w:val="000000"/>
                <w:sz w:val="22"/>
                <w:szCs w:val="22"/>
              </w:rPr>
              <w:t>1</w:t>
            </w:r>
          </w:p>
        </w:tc>
        <w:tc>
          <w:tcPr>
            <w:tcW w:w="776" w:type="pct"/>
            <w:shd w:val="clear" w:color="auto" w:fill="auto"/>
            <w:noWrap/>
            <w:vAlign w:val="bottom"/>
          </w:tcPr>
          <w:p w14:paraId="0A57C4A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641FF98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7" w:type="pct"/>
            <w:shd w:val="clear" w:color="auto" w:fill="auto"/>
            <w:noWrap/>
            <w:vAlign w:val="bottom"/>
          </w:tcPr>
          <w:p w14:paraId="39B4BF7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9" w:type="pct"/>
            <w:vAlign w:val="bottom"/>
          </w:tcPr>
          <w:p w14:paraId="6621B84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0.74</w:t>
            </w:r>
          </w:p>
        </w:tc>
      </w:tr>
      <w:tr w:rsidR="009A36D2" w:rsidRPr="009D4627" w14:paraId="6C8C9D7C" w14:textId="77777777" w:rsidTr="00281A92">
        <w:trPr>
          <w:trHeight w:val="20"/>
          <w:jc w:val="center"/>
        </w:trPr>
        <w:tc>
          <w:tcPr>
            <w:tcW w:w="1291" w:type="pct"/>
            <w:shd w:val="clear" w:color="auto" w:fill="auto"/>
            <w:noWrap/>
            <w:vAlign w:val="bottom"/>
            <w:hideMark/>
          </w:tcPr>
          <w:p w14:paraId="75D67DFD" w14:textId="77777777" w:rsidR="009A36D2" w:rsidRPr="009D4627" w:rsidRDefault="009A36D2" w:rsidP="00281A92">
            <w:pPr>
              <w:spacing w:before="0" w:after="0" w:line="240" w:lineRule="auto"/>
              <w:rPr>
                <w:color w:val="auto"/>
                <w:sz w:val="20"/>
                <w:szCs w:val="20"/>
              </w:rPr>
            </w:pPr>
            <w:r w:rsidRPr="009D4627">
              <w:rPr>
                <w:color w:val="000000"/>
                <w:sz w:val="22"/>
                <w:szCs w:val="22"/>
              </w:rPr>
              <w:t>2</w:t>
            </w:r>
          </w:p>
        </w:tc>
        <w:tc>
          <w:tcPr>
            <w:tcW w:w="776" w:type="pct"/>
            <w:shd w:val="clear" w:color="auto" w:fill="auto"/>
            <w:noWrap/>
            <w:vAlign w:val="bottom"/>
          </w:tcPr>
          <w:p w14:paraId="40AC530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2DFA717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7" w:type="pct"/>
            <w:shd w:val="clear" w:color="auto" w:fill="auto"/>
            <w:noWrap/>
            <w:vAlign w:val="bottom"/>
          </w:tcPr>
          <w:p w14:paraId="7BE08D7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70A106B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0.64</w:t>
            </w:r>
          </w:p>
        </w:tc>
      </w:tr>
      <w:tr w:rsidR="009A36D2" w:rsidRPr="009D4627" w14:paraId="750E031A" w14:textId="77777777" w:rsidTr="00281A92">
        <w:trPr>
          <w:trHeight w:val="20"/>
          <w:jc w:val="center"/>
        </w:trPr>
        <w:tc>
          <w:tcPr>
            <w:tcW w:w="1291" w:type="pct"/>
            <w:shd w:val="clear" w:color="auto" w:fill="auto"/>
            <w:noWrap/>
            <w:vAlign w:val="bottom"/>
            <w:hideMark/>
          </w:tcPr>
          <w:p w14:paraId="69827EA1" w14:textId="77777777" w:rsidR="009A36D2" w:rsidRPr="009D4627" w:rsidRDefault="009A36D2" w:rsidP="00281A92">
            <w:pPr>
              <w:spacing w:before="0" w:after="0" w:line="240" w:lineRule="auto"/>
              <w:rPr>
                <w:color w:val="auto"/>
                <w:sz w:val="20"/>
                <w:szCs w:val="20"/>
              </w:rPr>
            </w:pPr>
            <w:r w:rsidRPr="009D4627">
              <w:rPr>
                <w:color w:val="000000"/>
                <w:sz w:val="22"/>
                <w:szCs w:val="22"/>
              </w:rPr>
              <w:t>3</w:t>
            </w:r>
          </w:p>
        </w:tc>
        <w:tc>
          <w:tcPr>
            <w:tcW w:w="776" w:type="pct"/>
            <w:shd w:val="clear" w:color="auto" w:fill="auto"/>
            <w:noWrap/>
            <w:vAlign w:val="bottom"/>
          </w:tcPr>
          <w:p w14:paraId="4E40C59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25E85F2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5E96872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9" w:type="pct"/>
            <w:vAlign w:val="bottom"/>
          </w:tcPr>
          <w:p w14:paraId="4FCC8B6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0.81</w:t>
            </w:r>
          </w:p>
        </w:tc>
      </w:tr>
      <w:tr w:rsidR="009A36D2" w:rsidRPr="009D4627" w14:paraId="3E3913A7" w14:textId="77777777" w:rsidTr="00281A92">
        <w:trPr>
          <w:trHeight w:val="20"/>
          <w:jc w:val="center"/>
        </w:trPr>
        <w:tc>
          <w:tcPr>
            <w:tcW w:w="1291" w:type="pct"/>
            <w:shd w:val="clear" w:color="auto" w:fill="auto"/>
            <w:noWrap/>
            <w:vAlign w:val="bottom"/>
            <w:hideMark/>
          </w:tcPr>
          <w:p w14:paraId="3599FE39" w14:textId="77777777" w:rsidR="009A36D2" w:rsidRPr="009D4627" w:rsidRDefault="009A36D2" w:rsidP="00281A92">
            <w:pPr>
              <w:spacing w:before="0" w:after="0" w:line="240" w:lineRule="auto"/>
              <w:rPr>
                <w:color w:val="auto"/>
                <w:sz w:val="20"/>
                <w:szCs w:val="20"/>
              </w:rPr>
            </w:pPr>
            <w:r w:rsidRPr="009D4627">
              <w:rPr>
                <w:color w:val="000000"/>
                <w:sz w:val="22"/>
                <w:szCs w:val="22"/>
              </w:rPr>
              <w:t>4</w:t>
            </w:r>
          </w:p>
        </w:tc>
        <w:tc>
          <w:tcPr>
            <w:tcW w:w="776" w:type="pct"/>
            <w:shd w:val="clear" w:color="auto" w:fill="auto"/>
            <w:noWrap/>
            <w:vAlign w:val="bottom"/>
          </w:tcPr>
          <w:p w14:paraId="6FBA9B4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1.00</w:t>
            </w:r>
          </w:p>
        </w:tc>
        <w:tc>
          <w:tcPr>
            <w:tcW w:w="977" w:type="pct"/>
            <w:shd w:val="clear" w:color="auto" w:fill="auto"/>
            <w:noWrap/>
            <w:vAlign w:val="bottom"/>
          </w:tcPr>
          <w:p w14:paraId="64E328E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79A56F3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0.83</w:t>
            </w:r>
          </w:p>
        </w:tc>
        <w:tc>
          <w:tcPr>
            <w:tcW w:w="979" w:type="pct"/>
            <w:vAlign w:val="bottom"/>
          </w:tcPr>
          <w:p w14:paraId="5AA9C6B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r>
      <w:tr w:rsidR="009A36D2" w:rsidRPr="009D4627" w14:paraId="212E80EA" w14:textId="77777777" w:rsidTr="00281A92">
        <w:trPr>
          <w:trHeight w:val="20"/>
          <w:jc w:val="center"/>
        </w:trPr>
        <w:tc>
          <w:tcPr>
            <w:tcW w:w="1291" w:type="pct"/>
            <w:shd w:val="clear" w:color="auto" w:fill="auto"/>
            <w:noWrap/>
            <w:vAlign w:val="bottom"/>
            <w:hideMark/>
          </w:tcPr>
          <w:p w14:paraId="2EB3B7D9" w14:textId="77777777" w:rsidR="009A36D2" w:rsidRPr="009D4627" w:rsidRDefault="009A36D2" w:rsidP="00281A92">
            <w:pPr>
              <w:spacing w:before="0" w:after="0" w:line="240" w:lineRule="auto"/>
              <w:rPr>
                <w:color w:val="auto"/>
                <w:sz w:val="20"/>
                <w:szCs w:val="20"/>
              </w:rPr>
            </w:pPr>
            <w:r w:rsidRPr="009D4627">
              <w:rPr>
                <w:color w:val="000000"/>
                <w:sz w:val="22"/>
                <w:szCs w:val="22"/>
              </w:rPr>
              <w:t>5</w:t>
            </w:r>
          </w:p>
        </w:tc>
        <w:tc>
          <w:tcPr>
            <w:tcW w:w="776" w:type="pct"/>
            <w:shd w:val="clear" w:color="auto" w:fill="auto"/>
            <w:noWrap/>
            <w:vAlign w:val="bottom"/>
          </w:tcPr>
          <w:p w14:paraId="3FA0D2E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7" w:type="pct"/>
            <w:shd w:val="clear" w:color="auto" w:fill="auto"/>
            <w:noWrap/>
            <w:vAlign w:val="bottom"/>
          </w:tcPr>
          <w:p w14:paraId="17C8B8C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0.43</w:t>
            </w:r>
          </w:p>
        </w:tc>
        <w:tc>
          <w:tcPr>
            <w:tcW w:w="977" w:type="pct"/>
            <w:shd w:val="clear" w:color="auto" w:fill="auto"/>
            <w:noWrap/>
            <w:vAlign w:val="bottom"/>
          </w:tcPr>
          <w:p w14:paraId="0A6636C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0.62</w:t>
            </w:r>
          </w:p>
        </w:tc>
        <w:tc>
          <w:tcPr>
            <w:tcW w:w="979" w:type="pct"/>
            <w:vAlign w:val="bottom"/>
          </w:tcPr>
          <w:p w14:paraId="0E4FA9B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0.35</w:t>
            </w:r>
          </w:p>
        </w:tc>
      </w:tr>
      <w:tr w:rsidR="009A36D2" w:rsidRPr="009D4627" w14:paraId="6ADA5F9C" w14:textId="77777777" w:rsidTr="00281A92">
        <w:trPr>
          <w:trHeight w:val="20"/>
          <w:jc w:val="center"/>
        </w:trPr>
        <w:tc>
          <w:tcPr>
            <w:tcW w:w="1291" w:type="pct"/>
            <w:shd w:val="clear" w:color="auto" w:fill="auto"/>
            <w:noWrap/>
            <w:vAlign w:val="bottom"/>
            <w:hideMark/>
          </w:tcPr>
          <w:p w14:paraId="101443AA" w14:textId="77777777" w:rsidR="009A36D2" w:rsidRPr="009D4627" w:rsidRDefault="009A36D2" w:rsidP="00281A92">
            <w:pPr>
              <w:spacing w:before="0" w:after="0" w:line="240" w:lineRule="auto"/>
              <w:rPr>
                <w:color w:val="auto"/>
                <w:sz w:val="20"/>
                <w:szCs w:val="20"/>
              </w:rPr>
            </w:pPr>
            <w:r w:rsidRPr="009D4627">
              <w:rPr>
                <w:color w:val="000000"/>
                <w:sz w:val="22"/>
                <w:szCs w:val="22"/>
              </w:rPr>
              <w:t>6</w:t>
            </w:r>
          </w:p>
        </w:tc>
        <w:tc>
          <w:tcPr>
            <w:tcW w:w="776" w:type="pct"/>
            <w:shd w:val="clear" w:color="auto" w:fill="auto"/>
            <w:noWrap/>
            <w:vAlign w:val="bottom"/>
          </w:tcPr>
          <w:p w14:paraId="74747C2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33CB517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19FFFFF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9" w:type="pct"/>
            <w:vAlign w:val="bottom"/>
          </w:tcPr>
          <w:p w14:paraId="0D0A9A9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r>
      <w:tr w:rsidR="009A36D2" w:rsidRPr="009D4627" w14:paraId="48A59A40" w14:textId="77777777" w:rsidTr="00281A92">
        <w:trPr>
          <w:trHeight w:val="20"/>
          <w:jc w:val="center"/>
        </w:trPr>
        <w:tc>
          <w:tcPr>
            <w:tcW w:w="1291" w:type="pct"/>
            <w:shd w:val="clear" w:color="auto" w:fill="auto"/>
            <w:noWrap/>
            <w:vAlign w:val="bottom"/>
            <w:hideMark/>
          </w:tcPr>
          <w:p w14:paraId="5692D70F" w14:textId="77777777" w:rsidR="009A36D2" w:rsidRPr="009D4627" w:rsidRDefault="009A36D2" w:rsidP="00281A92">
            <w:pPr>
              <w:spacing w:before="0" w:after="0" w:line="240" w:lineRule="auto"/>
              <w:rPr>
                <w:color w:val="auto"/>
                <w:sz w:val="20"/>
                <w:szCs w:val="20"/>
              </w:rPr>
            </w:pPr>
            <w:r w:rsidRPr="009D4627">
              <w:rPr>
                <w:color w:val="000000"/>
                <w:sz w:val="22"/>
                <w:szCs w:val="22"/>
              </w:rPr>
              <w:t>7</w:t>
            </w:r>
          </w:p>
        </w:tc>
        <w:tc>
          <w:tcPr>
            <w:tcW w:w="776" w:type="pct"/>
            <w:shd w:val="clear" w:color="auto" w:fill="auto"/>
            <w:noWrap/>
            <w:vAlign w:val="bottom"/>
          </w:tcPr>
          <w:p w14:paraId="5A51502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7C7D1C7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66B91C4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c>
          <w:tcPr>
            <w:tcW w:w="979" w:type="pct"/>
            <w:vAlign w:val="bottom"/>
          </w:tcPr>
          <w:p w14:paraId="667F9C8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0.69</w:t>
            </w:r>
          </w:p>
        </w:tc>
      </w:tr>
      <w:tr w:rsidR="009A36D2" w:rsidRPr="009D4627" w14:paraId="1E77684A" w14:textId="77777777" w:rsidTr="00281A92">
        <w:trPr>
          <w:trHeight w:val="20"/>
          <w:jc w:val="center"/>
        </w:trPr>
        <w:tc>
          <w:tcPr>
            <w:tcW w:w="1291" w:type="pct"/>
            <w:shd w:val="clear" w:color="auto" w:fill="auto"/>
            <w:noWrap/>
            <w:vAlign w:val="bottom"/>
            <w:hideMark/>
          </w:tcPr>
          <w:p w14:paraId="141B589A" w14:textId="77777777" w:rsidR="009A36D2" w:rsidRPr="009D4627" w:rsidRDefault="009A36D2" w:rsidP="00281A92">
            <w:pPr>
              <w:spacing w:before="0" w:after="0" w:line="240" w:lineRule="auto"/>
              <w:rPr>
                <w:color w:val="auto"/>
                <w:sz w:val="20"/>
                <w:szCs w:val="20"/>
              </w:rPr>
            </w:pPr>
            <w:r w:rsidRPr="009D4627">
              <w:rPr>
                <w:color w:val="000000"/>
                <w:sz w:val="22"/>
                <w:szCs w:val="22"/>
              </w:rPr>
              <w:t>8</w:t>
            </w:r>
          </w:p>
        </w:tc>
        <w:tc>
          <w:tcPr>
            <w:tcW w:w="776" w:type="pct"/>
            <w:shd w:val="clear" w:color="auto" w:fill="auto"/>
            <w:noWrap/>
            <w:vAlign w:val="bottom"/>
          </w:tcPr>
          <w:p w14:paraId="7822CD2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6A246C3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7" w:type="pct"/>
            <w:shd w:val="clear" w:color="auto" w:fill="auto"/>
            <w:noWrap/>
            <w:vAlign w:val="bottom"/>
          </w:tcPr>
          <w:p w14:paraId="125946B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0.80</w:t>
            </w:r>
          </w:p>
        </w:tc>
        <w:tc>
          <w:tcPr>
            <w:tcW w:w="979" w:type="pct"/>
            <w:vAlign w:val="bottom"/>
          </w:tcPr>
          <w:p w14:paraId="05FB8DB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0.64</w:t>
            </w:r>
          </w:p>
        </w:tc>
      </w:tr>
      <w:tr w:rsidR="009A36D2" w:rsidRPr="009D4627" w14:paraId="18C8D80F" w14:textId="77777777" w:rsidTr="00281A92">
        <w:trPr>
          <w:trHeight w:val="20"/>
          <w:jc w:val="center"/>
        </w:trPr>
        <w:tc>
          <w:tcPr>
            <w:tcW w:w="1291" w:type="pct"/>
            <w:shd w:val="clear" w:color="auto" w:fill="auto"/>
            <w:noWrap/>
            <w:vAlign w:val="bottom"/>
            <w:hideMark/>
          </w:tcPr>
          <w:p w14:paraId="65E8A012" w14:textId="77777777" w:rsidR="009A36D2" w:rsidRPr="009D4627" w:rsidRDefault="009A36D2" w:rsidP="00281A92">
            <w:pPr>
              <w:spacing w:before="0" w:after="0" w:line="240" w:lineRule="auto"/>
              <w:rPr>
                <w:color w:val="auto"/>
                <w:sz w:val="20"/>
                <w:szCs w:val="20"/>
              </w:rPr>
            </w:pPr>
            <w:r w:rsidRPr="009D4627">
              <w:rPr>
                <w:color w:val="000000"/>
                <w:sz w:val="22"/>
                <w:szCs w:val="22"/>
              </w:rPr>
              <w:t>9</w:t>
            </w:r>
          </w:p>
        </w:tc>
        <w:tc>
          <w:tcPr>
            <w:tcW w:w="776" w:type="pct"/>
            <w:shd w:val="clear" w:color="auto" w:fill="auto"/>
            <w:noWrap/>
            <w:vAlign w:val="bottom"/>
          </w:tcPr>
          <w:p w14:paraId="2851AD6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6077151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53714C8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9" w:type="pct"/>
            <w:vAlign w:val="bottom"/>
          </w:tcPr>
          <w:p w14:paraId="3C90C45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r>
      <w:tr w:rsidR="009A36D2" w:rsidRPr="009D4627" w14:paraId="45763FE9" w14:textId="77777777" w:rsidTr="00281A92">
        <w:trPr>
          <w:trHeight w:val="20"/>
          <w:jc w:val="center"/>
        </w:trPr>
        <w:tc>
          <w:tcPr>
            <w:tcW w:w="1291" w:type="pct"/>
            <w:shd w:val="clear" w:color="auto" w:fill="auto"/>
            <w:noWrap/>
            <w:vAlign w:val="bottom"/>
            <w:hideMark/>
          </w:tcPr>
          <w:p w14:paraId="6C156F7E" w14:textId="77777777" w:rsidR="009A36D2" w:rsidRPr="009D4627" w:rsidRDefault="009A36D2" w:rsidP="00281A92">
            <w:pPr>
              <w:spacing w:before="0" w:after="0" w:line="240" w:lineRule="auto"/>
              <w:rPr>
                <w:color w:val="auto"/>
                <w:sz w:val="20"/>
                <w:szCs w:val="20"/>
              </w:rPr>
            </w:pPr>
            <w:r w:rsidRPr="009D4627">
              <w:rPr>
                <w:color w:val="000000"/>
                <w:sz w:val="22"/>
                <w:szCs w:val="22"/>
              </w:rPr>
              <w:t>10</w:t>
            </w:r>
          </w:p>
        </w:tc>
        <w:tc>
          <w:tcPr>
            <w:tcW w:w="776" w:type="pct"/>
            <w:shd w:val="clear" w:color="auto" w:fill="auto"/>
            <w:noWrap/>
            <w:vAlign w:val="bottom"/>
          </w:tcPr>
          <w:p w14:paraId="0D632FE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3130B55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34AA767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9" w:type="pct"/>
            <w:vAlign w:val="bottom"/>
          </w:tcPr>
          <w:p w14:paraId="0A8FB09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r>
      <w:tr w:rsidR="009A36D2" w:rsidRPr="009D4627" w14:paraId="6A457B6E" w14:textId="77777777" w:rsidTr="00281A92">
        <w:trPr>
          <w:trHeight w:val="20"/>
          <w:jc w:val="center"/>
        </w:trPr>
        <w:tc>
          <w:tcPr>
            <w:tcW w:w="1291" w:type="pct"/>
            <w:shd w:val="clear" w:color="auto" w:fill="auto"/>
            <w:noWrap/>
            <w:vAlign w:val="bottom"/>
            <w:hideMark/>
          </w:tcPr>
          <w:p w14:paraId="647EAA2E" w14:textId="77777777" w:rsidR="009A36D2" w:rsidRPr="009D4627" w:rsidRDefault="009A36D2" w:rsidP="00281A92">
            <w:pPr>
              <w:spacing w:before="0" w:after="0" w:line="240" w:lineRule="auto"/>
              <w:rPr>
                <w:color w:val="auto"/>
                <w:sz w:val="20"/>
                <w:szCs w:val="20"/>
              </w:rPr>
            </w:pPr>
            <w:r w:rsidRPr="009D4627">
              <w:rPr>
                <w:color w:val="000000"/>
                <w:sz w:val="22"/>
                <w:szCs w:val="22"/>
              </w:rPr>
              <w:t>11</w:t>
            </w:r>
          </w:p>
        </w:tc>
        <w:tc>
          <w:tcPr>
            <w:tcW w:w="776" w:type="pct"/>
            <w:shd w:val="clear" w:color="auto" w:fill="auto"/>
            <w:noWrap/>
            <w:vAlign w:val="bottom"/>
          </w:tcPr>
          <w:p w14:paraId="6A538D1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0.97</w:t>
            </w:r>
          </w:p>
        </w:tc>
        <w:tc>
          <w:tcPr>
            <w:tcW w:w="977" w:type="pct"/>
            <w:shd w:val="clear" w:color="auto" w:fill="auto"/>
            <w:noWrap/>
            <w:vAlign w:val="bottom"/>
          </w:tcPr>
          <w:p w14:paraId="22577D4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0.97</w:t>
            </w:r>
          </w:p>
        </w:tc>
        <w:tc>
          <w:tcPr>
            <w:tcW w:w="977" w:type="pct"/>
            <w:shd w:val="clear" w:color="auto" w:fill="auto"/>
            <w:noWrap/>
            <w:vAlign w:val="bottom"/>
          </w:tcPr>
          <w:p w14:paraId="116EA85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9" w:type="pct"/>
            <w:vAlign w:val="bottom"/>
          </w:tcPr>
          <w:p w14:paraId="5D3C383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r>
      <w:tr w:rsidR="009A36D2" w:rsidRPr="009D4627" w14:paraId="6D1FEBB1" w14:textId="77777777" w:rsidTr="00281A92">
        <w:trPr>
          <w:trHeight w:val="20"/>
          <w:jc w:val="center"/>
        </w:trPr>
        <w:tc>
          <w:tcPr>
            <w:tcW w:w="1291" w:type="pct"/>
            <w:shd w:val="clear" w:color="auto" w:fill="auto"/>
            <w:noWrap/>
            <w:vAlign w:val="bottom"/>
            <w:hideMark/>
          </w:tcPr>
          <w:p w14:paraId="069D28EB" w14:textId="77777777" w:rsidR="009A36D2" w:rsidRPr="009D4627" w:rsidRDefault="009A36D2" w:rsidP="00281A92">
            <w:pPr>
              <w:spacing w:before="0" w:after="0" w:line="240" w:lineRule="auto"/>
              <w:rPr>
                <w:color w:val="auto"/>
                <w:sz w:val="20"/>
                <w:szCs w:val="20"/>
              </w:rPr>
            </w:pPr>
            <w:r w:rsidRPr="009D4627">
              <w:rPr>
                <w:color w:val="000000"/>
                <w:sz w:val="22"/>
                <w:szCs w:val="22"/>
              </w:rPr>
              <w:t>12</w:t>
            </w:r>
          </w:p>
        </w:tc>
        <w:tc>
          <w:tcPr>
            <w:tcW w:w="776" w:type="pct"/>
            <w:shd w:val="clear" w:color="auto" w:fill="auto"/>
            <w:noWrap/>
            <w:vAlign w:val="bottom"/>
          </w:tcPr>
          <w:p w14:paraId="56377FC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0.96</w:t>
            </w:r>
          </w:p>
        </w:tc>
        <w:tc>
          <w:tcPr>
            <w:tcW w:w="977" w:type="pct"/>
            <w:shd w:val="clear" w:color="auto" w:fill="auto"/>
            <w:noWrap/>
            <w:vAlign w:val="bottom"/>
          </w:tcPr>
          <w:p w14:paraId="2A2F0A2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7" w:type="pct"/>
            <w:shd w:val="clear" w:color="auto" w:fill="auto"/>
            <w:noWrap/>
            <w:vAlign w:val="bottom"/>
          </w:tcPr>
          <w:p w14:paraId="69A47D5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c>
          <w:tcPr>
            <w:tcW w:w="979" w:type="pct"/>
            <w:vAlign w:val="bottom"/>
          </w:tcPr>
          <w:p w14:paraId="666934E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0.78</w:t>
            </w:r>
          </w:p>
        </w:tc>
      </w:tr>
      <w:tr w:rsidR="009A36D2" w:rsidRPr="009D4627" w14:paraId="32E36E38" w14:textId="77777777" w:rsidTr="00281A92">
        <w:trPr>
          <w:trHeight w:val="20"/>
          <w:jc w:val="center"/>
        </w:trPr>
        <w:tc>
          <w:tcPr>
            <w:tcW w:w="1291" w:type="pct"/>
            <w:shd w:val="clear" w:color="auto" w:fill="auto"/>
            <w:noWrap/>
            <w:vAlign w:val="bottom"/>
            <w:hideMark/>
          </w:tcPr>
          <w:p w14:paraId="7CA1DAB6" w14:textId="77777777" w:rsidR="009A36D2" w:rsidRPr="009D4627" w:rsidRDefault="009A36D2" w:rsidP="00281A92">
            <w:pPr>
              <w:spacing w:before="0" w:after="0" w:line="240" w:lineRule="auto"/>
              <w:rPr>
                <w:color w:val="auto"/>
                <w:sz w:val="20"/>
                <w:szCs w:val="20"/>
              </w:rPr>
            </w:pPr>
            <w:r w:rsidRPr="009D4627">
              <w:rPr>
                <w:color w:val="000000"/>
                <w:sz w:val="22"/>
                <w:szCs w:val="22"/>
              </w:rPr>
              <w:t>13</w:t>
            </w:r>
          </w:p>
        </w:tc>
        <w:tc>
          <w:tcPr>
            <w:tcW w:w="776" w:type="pct"/>
            <w:shd w:val="clear" w:color="auto" w:fill="auto"/>
            <w:noWrap/>
            <w:vAlign w:val="bottom"/>
          </w:tcPr>
          <w:p w14:paraId="68506A3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0.98</w:t>
            </w:r>
          </w:p>
        </w:tc>
        <w:tc>
          <w:tcPr>
            <w:tcW w:w="977" w:type="pct"/>
            <w:shd w:val="clear" w:color="auto" w:fill="auto"/>
            <w:noWrap/>
            <w:vAlign w:val="bottom"/>
          </w:tcPr>
          <w:p w14:paraId="70084BD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0952ABB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9" w:type="pct"/>
            <w:vAlign w:val="bottom"/>
          </w:tcPr>
          <w:p w14:paraId="4391291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r>
      <w:tr w:rsidR="009A36D2" w:rsidRPr="009D4627" w14:paraId="06D60362" w14:textId="77777777" w:rsidTr="00281A92">
        <w:trPr>
          <w:trHeight w:val="20"/>
          <w:jc w:val="center"/>
        </w:trPr>
        <w:tc>
          <w:tcPr>
            <w:tcW w:w="1291" w:type="pct"/>
            <w:shd w:val="clear" w:color="auto" w:fill="auto"/>
            <w:noWrap/>
            <w:vAlign w:val="bottom"/>
            <w:hideMark/>
          </w:tcPr>
          <w:p w14:paraId="5A0819A8" w14:textId="77777777" w:rsidR="009A36D2" w:rsidRPr="009D4627" w:rsidRDefault="009A36D2" w:rsidP="00281A92">
            <w:pPr>
              <w:spacing w:before="0" w:after="0" w:line="240" w:lineRule="auto"/>
              <w:rPr>
                <w:color w:val="auto"/>
                <w:sz w:val="20"/>
                <w:szCs w:val="20"/>
              </w:rPr>
            </w:pPr>
            <w:r w:rsidRPr="009D4627">
              <w:rPr>
                <w:color w:val="000000"/>
                <w:sz w:val="22"/>
                <w:szCs w:val="22"/>
              </w:rPr>
              <w:t>14</w:t>
            </w:r>
          </w:p>
        </w:tc>
        <w:tc>
          <w:tcPr>
            <w:tcW w:w="776" w:type="pct"/>
            <w:shd w:val="clear" w:color="auto" w:fill="auto"/>
            <w:noWrap/>
            <w:vAlign w:val="bottom"/>
          </w:tcPr>
          <w:p w14:paraId="03CD2E8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717ECB7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285110B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c>
          <w:tcPr>
            <w:tcW w:w="979" w:type="pct"/>
            <w:vAlign w:val="bottom"/>
          </w:tcPr>
          <w:p w14:paraId="48FC019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r>
      <w:tr w:rsidR="009A36D2" w:rsidRPr="009D4627" w14:paraId="49B152AD" w14:textId="77777777" w:rsidTr="00281A92">
        <w:trPr>
          <w:trHeight w:val="20"/>
          <w:jc w:val="center"/>
        </w:trPr>
        <w:tc>
          <w:tcPr>
            <w:tcW w:w="1291" w:type="pct"/>
            <w:shd w:val="clear" w:color="auto" w:fill="auto"/>
            <w:noWrap/>
            <w:vAlign w:val="bottom"/>
            <w:hideMark/>
          </w:tcPr>
          <w:p w14:paraId="5B4C6DF0" w14:textId="77777777" w:rsidR="009A36D2" w:rsidRPr="009D4627" w:rsidRDefault="009A36D2" w:rsidP="00281A92">
            <w:pPr>
              <w:spacing w:before="0" w:after="0" w:line="240" w:lineRule="auto"/>
              <w:rPr>
                <w:color w:val="auto"/>
                <w:sz w:val="20"/>
                <w:szCs w:val="20"/>
              </w:rPr>
            </w:pPr>
            <w:r w:rsidRPr="009D4627">
              <w:rPr>
                <w:color w:val="000000"/>
                <w:sz w:val="22"/>
                <w:szCs w:val="22"/>
              </w:rPr>
              <w:t>15</w:t>
            </w:r>
          </w:p>
        </w:tc>
        <w:tc>
          <w:tcPr>
            <w:tcW w:w="776" w:type="pct"/>
            <w:shd w:val="clear" w:color="auto" w:fill="auto"/>
            <w:noWrap/>
            <w:vAlign w:val="bottom"/>
          </w:tcPr>
          <w:p w14:paraId="1E2277E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2B5E284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563C7D2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0.83</w:t>
            </w:r>
          </w:p>
        </w:tc>
        <w:tc>
          <w:tcPr>
            <w:tcW w:w="979" w:type="pct"/>
            <w:vAlign w:val="bottom"/>
          </w:tcPr>
          <w:p w14:paraId="6999BB3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0.58</w:t>
            </w:r>
          </w:p>
        </w:tc>
      </w:tr>
      <w:tr w:rsidR="009A36D2" w:rsidRPr="009D4627" w14:paraId="2CA8BED8" w14:textId="77777777" w:rsidTr="00281A92">
        <w:trPr>
          <w:trHeight w:val="20"/>
          <w:jc w:val="center"/>
        </w:trPr>
        <w:tc>
          <w:tcPr>
            <w:tcW w:w="1291" w:type="pct"/>
            <w:shd w:val="clear" w:color="auto" w:fill="auto"/>
            <w:noWrap/>
            <w:vAlign w:val="bottom"/>
            <w:hideMark/>
          </w:tcPr>
          <w:p w14:paraId="32BD9B2E" w14:textId="77777777" w:rsidR="009A36D2" w:rsidRPr="009D4627" w:rsidRDefault="009A36D2" w:rsidP="00281A92">
            <w:pPr>
              <w:spacing w:before="0" w:after="0" w:line="240" w:lineRule="auto"/>
              <w:rPr>
                <w:color w:val="auto"/>
                <w:sz w:val="20"/>
                <w:szCs w:val="20"/>
              </w:rPr>
            </w:pPr>
            <w:r w:rsidRPr="009D4627">
              <w:rPr>
                <w:color w:val="000000"/>
                <w:sz w:val="22"/>
                <w:szCs w:val="22"/>
              </w:rPr>
              <w:t>16</w:t>
            </w:r>
          </w:p>
        </w:tc>
        <w:tc>
          <w:tcPr>
            <w:tcW w:w="776" w:type="pct"/>
            <w:shd w:val="clear" w:color="auto" w:fill="auto"/>
            <w:noWrap/>
            <w:vAlign w:val="bottom"/>
          </w:tcPr>
          <w:p w14:paraId="2EF6EF8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1.00</w:t>
            </w:r>
          </w:p>
        </w:tc>
        <w:tc>
          <w:tcPr>
            <w:tcW w:w="977" w:type="pct"/>
            <w:shd w:val="clear" w:color="auto" w:fill="auto"/>
            <w:noWrap/>
            <w:vAlign w:val="bottom"/>
          </w:tcPr>
          <w:p w14:paraId="524EFFC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3BB66B6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0.97</w:t>
            </w:r>
          </w:p>
        </w:tc>
        <w:tc>
          <w:tcPr>
            <w:tcW w:w="979" w:type="pct"/>
            <w:vAlign w:val="bottom"/>
          </w:tcPr>
          <w:p w14:paraId="6044060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r>
      <w:tr w:rsidR="009A36D2" w:rsidRPr="009D4627" w14:paraId="111E4535" w14:textId="77777777" w:rsidTr="00281A92">
        <w:trPr>
          <w:trHeight w:val="20"/>
          <w:jc w:val="center"/>
        </w:trPr>
        <w:tc>
          <w:tcPr>
            <w:tcW w:w="1291" w:type="pct"/>
            <w:shd w:val="clear" w:color="auto" w:fill="auto"/>
            <w:noWrap/>
            <w:vAlign w:val="bottom"/>
            <w:hideMark/>
          </w:tcPr>
          <w:p w14:paraId="60AE3F0E" w14:textId="77777777" w:rsidR="009A36D2" w:rsidRPr="009D4627" w:rsidRDefault="009A36D2" w:rsidP="00281A92">
            <w:pPr>
              <w:spacing w:before="0" w:after="0" w:line="240" w:lineRule="auto"/>
              <w:rPr>
                <w:color w:val="auto"/>
                <w:sz w:val="20"/>
                <w:szCs w:val="20"/>
              </w:rPr>
            </w:pPr>
            <w:r w:rsidRPr="009D4627">
              <w:rPr>
                <w:color w:val="000000"/>
                <w:sz w:val="22"/>
                <w:szCs w:val="22"/>
              </w:rPr>
              <w:t>17</w:t>
            </w:r>
          </w:p>
        </w:tc>
        <w:tc>
          <w:tcPr>
            <w:tcW w:w="776" w:type="pct"/>
            <w:shd w:val="clear" w:color="auto" w:fill="auto"/>
            <w:noWrap/>
            <w:vAlign w:val="bottom"/>
          </w:tcPr>
          <w:p w14:paraId="17B5ED1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3954EEC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0A5A4D2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9" w:type="pct"/>
            <w:vAlign w:val="bottom"/>
          </w:tcPr>
          <w:p w14:paraId="454F5FE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r>
      <w:tr w:rsidR="009A36D2" w:rsidRPr="009D4627" w14:paraId="70FA6EF0" w14:textId="77777777" w:rsidTr="00281A92">
        <w:trPr>
          <w:trHeight w:val="20"/>
          <w:jc w:val="center"/>
        </w:trPr>
        <w:tc>
          <w:tcPr>
            <w:tcW w:w="1291" w:type="pct"/>
            <w:shd w:val="clear" w:color="auto" w:fill="auto"/>
            <w:noWrap/>
            <w:vAlign w:val="bottom"/>
            <w:hideMark/>
          </w:tcPr>
          <w:p w14:paraId="5151CF81" w14:textId="77777777" w:rsidR="009A36D2" w:rsidRPr="009D4627" w:rsidRDefault="009A36D2" w:rsidP="00281A92">
            <w:pPr>
              <w:spacing w:before="0" w:after="0" w:line="240" w:lineRule="auto"/>
              <w:rPr>
                <w:color w:val="auto"/>
                <w:sz w:val="20"/>
                <w:szCs w:val="20"/>
              </w:rPr>
            </w:pPr>
            <w:r w:rsidRPr="009D4627">
              <w:rPr>
                <w:color w:val="000000"/>
                <w:sz w:val="22"/>
                <w:szCs w:val="22"/>
              </w:rPr>
              <w:t>18</w:t>
            </w:r>
          </w:p>
        </w:tc>
        <w:tc>
          <w:tcPr>
            <w:tcW w:w="776" w:type="pct"/>
            <w:shd w:val="clear" w:color="auto" w:fill="auto"/>
            <w:noWrap/>
            <w:vAlign w:val="bottom"/>
          </w:tcPr>
          <w:p w14:paraId="4A926C1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6E4A961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3E6CA60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9" w:type="pct"/>
            <w:vAlign w:val="bottom"/>
          </w:tcPr>
          <w:p w14:paraId="6929504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0.81</w:t>
            </w:r>
          </w:p>
        </w:tc>
      </w:tr>
      <w:tr w:rsidR="009A36D2" w:rsidRPr="009D4627" w14:paraId="63CD64E3" w14:textId="77777777" w:rsidTr="00281A92">
        <w:trPr>
          <w:trHeight w:val="20"/>
          <w:jc w:val="center"/>
        </w:trPr>
        <w:tc>
          <w:tcPr>
            <w:tcW w:w="1291" w:type="pct"/>
            <w:shd w:val="clear" w:color="auto" w:fill="auto"/>
            <w:noWrap/>
            <w:vAlign w:val="bottom"/>
            <w:hideMark/>
          </w:tcPr>
          <w:p w14:paraId="527EECA4" w14:textId="77777777" w:rsidR="009A36D2" w:rsidRPr="009D4627" w:rsidRDefault="009A36D2" w:rsidP="00281A92">
            <w:pPr>
              <w:spacing w:before="0" w:after="0" w:line="240" w:lineRule="auto"/>
              <w:rPr>
                <w:color w:val="auto"/>
                <w:sz w:val="20"/>
                <w:szCs w:val="20"/>
              </w:rPr>
            </w:pPr>
            <w:r w:rsidRPr="009D4627">
              <w:rPr>
                <w:color w:val="000000"/>
                <w:sz w:val="22"/>
                <w:szCs w:val="22"/>
              </w:rPr>
              <w:t>19</w:t>
            </w:r>
          </w:p>
        </w:tc>
        <w:tc>
          <w:tcPr>
            <w:tcW w:w="776" w:type="pct"/>
            <w:shd w:val="clear" w:color="auto" w:fill="auto"/>
            <w:noWrap/>
            <w:vAlign w:val="bottom"/>
          </w:tcPr>
          <w:p w14:paraId="6A49285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139E815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7" w:type="pct"/>
            <w:shd w:val="clear" w:color="auto" w:fill="auto"/>
            <w:noWrap/>
            <w:vAlign w:val="bottom"/>
          </w:tcPr>
          <w:p w14:paraId="42D5466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0.80</w:t>
            </w:r>
          </w:p>
        </w:tc>
        <w:tc>
          <w:tcPr>
            <w:tcW w:w="979" w:type="pct"/>
            <w:vAlign w:val="bottom"/>
          </w:tcPr>
          <w:p w14:paraId="0AFB3FD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0.70</w:t>
            </w:r>
          </w:p>
        </w:tc>
      </w:tr>
      <w:tr w:rsidR="009A36D2" w:rsidRPr="009D4627" w14:paraId="56AEFAA3" w14:textId="77777777" w:rsidTr="00281A92">
        <w:trPr>
          <w:trHeight w:val="20"/>
          <w:jc w:val="center"/>
        </w:trPr>
        <w:tc>
          <w:tcPr>
            <w:tcW w:w="1291" w:type="pct"/>
            <w:shd w:val="clear" w:color="auto" w:fill="auto"/>
            <w:noWrap/>
            <w:vAlign w:val="bottom"/>
            <w:hideMark/>
          </w:tcPr>
          <w:p w14:paraId="59A4385F" w14:textId="77777777" w:rsidR="009A36D2" w:rsidRPr="009D4627" w:rsidRDefault="009A36D2" w:rsidP="00281A92">
            <w:pPr>
              <w:spacing w:before="0" w:after="0" w:line="240" w:lineRule="auto"/>
              <w:rPr>
                <w:color w:val="auto"/>
                <w:sz w:val="20"/>
                <w:szCs w:val="20"/>
              </w:rPr>
            </w:pPr>
            <w:r w:rsidRPr="009D4627">
              <w:rPr>
                <w:color w:val="000000"/>
                <w:sz w:val="22"/>
                <w:szCs w:val="22"/>
              </w:rPr>
              <w:t>20</w:t>
            </w:r>
          </w:p>
        </w:tc>
        <w:tc>
          <w:tcPr>
            <w:tcW w:w="776" w:type="pct"/>
            <w:shd w:val="clear" w:color="auto" w:fill="auto"/>
            <w:noWrap/>
            <w:vAlign w:val="bottom"/>
          </w:tcPr>
          <w:p w14:paraId="0C13818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7" w:type="pct"/>
            <w:shd w:val="clear" w:color="auto" w:fill="auto"/>
            <w:noWrap/>
            <w:vAlign w:val="bottom"/>
          </w:tcPr>
          <w:p w14:paraId="635D234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071E878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0.81</w:t>
            </w:r>
          </w:p>
        </w:tc>
        <w:tc>
          <w:tcPr>
            <w:tcW w:w="979" w:type="pct"/>
            <w:vAlign w:val="bottom"/>
          </w:tcPr>
          <w:p w14:paraId="3942E74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0.74</w:t>
            </w:r>
          </w:p>
        </w:tc>
      </w:tr>
      <w:tr w:rsidR="009A36D2" w:rsidRPr="009D4627" w14:paraId="5126DD31" w14:textId="77777777" w:rsidTr="00281A92">
        <w:trPr>
          <w:trHeight w:val="20"/>
          <w:jc w:val="center"/>
        </w:trPr>
        <w:tc>
          <w:tcPr>
            <w:tcW w:w="1291" w:type="pct"/>
            <w:shd w:val="clear" w:color="auto" w:fill="auto"/>
            <w:noWrap/>
            <w:vAlign w:val="bottom"/>
            <w:hideMark/>
          </w:tcPr>
          <w:p w14:paraId="11D21E60" w14:textId="77777777" w:rsidR="009A36D2" w:rsidRPr="009D4627" w:rsidRDefault="009A36D2" w:rsidP="00281A92">
            <w:pPr>
              <w:spacing w:before="0" w:after="0" w:line="240" w:lineRule="auto"/>
              <w:rPr>
                <w:color w:val="auto"/>
                <w:sz w:val="20"/>
                <w:szCs w:val="20"/>
              </w:rPr>
            </w:pPr>
            <w:r w:rsidRPr="009D4627">
              <w:rPr>
                <w:color w:val="000000"/>
                <w:sz w:val="22"/>
                <w:szCs w:val="22"/>
              </w:rPr>
              <w:t>21</w:t>
            </w:r>
          </w:p>
        </w:tc>
        <w:tc>
          <w:tcPr>
            <w:tcW w:w="776" w:type="pct"/>
            <w:shd w:val="clear" w:color="auto" w:fill="auto"/>
            <w:noWrap/>
            <w:vAlign w:val="bottom"/>
          </w:tcPr>
          <w:p w14:paraId="44E4169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7D42ED1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7" w:type="pct"/>
            <w:shd w:val="clear" w:color="auto" w:fill="auto"/>
            <w:noWrap/>
            <w:vAlign w:val="bottom"/>
          </w:tcPr>
          <w:p w14:paraId="0B8EE74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9" w:type="pct"/>
            <w:vAlign w:val="bottom"/>
          </w:tcPr>
          <w:p w14:paraId="044B206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0.64</w:t>
            </w:r>
          </w:p>
        </w:tc>
      </w:tr>
      <w:tr w:rsidR="009A36D2" w:rsidRPr="009D4627" w14:paraId="156296D4" w14:textId="77777777" w:rsidTr="00281A92">
        <w:trPr>
          <w:trHeight w:val="20"/>
          <w:jc w:val="center"/>
        </w:trPr>
        <w:tc>
          <w:tcPr>
            <w:tcW w:w="1291" w:type="pct"/>
            <w:shd w:val="clear" w:color="auto" w:fill="auto"/>
            <w:noWrap/>
            <w:vAlign w:val="bottom"/>
            <w:hideMark/>
          </w:tcPr>
          <w:p w14:paraId="5B008F78" w14:textId="77777777" w:rsidR="009A36D2" w:rsidRPr="009D4627" w:rsidRDefault="009A36D2" w:rsidP="00281A92">
            <w:pPr>
              <w:spacing w:before="0" w:after="0" w:line="240" w:lineRule="auto"/>
              <w:rPr>
                <w:color w:val="auto"/>
                <w:sz w:val="20"/>
                <w:szCs w:val="20"/>
              </w:rPr>
            </w:pPr>
            <w:r w:rsidRPr="009D4627">
              <w:rPr>
                <w:color w:val="000000"/>
                <w:sz w:val="22"/>
                <w:szCs w:val="22"/>
              </w:rPr>
              <w:t>22</w:t>
            </w:r>
          </w:p>
        </w:tc>
        <w:tc>
          <w:tcPr>
            <w:tcW w:w="776" w:type="pct"/>
            <w:shd w:val="clear" w:color="auto" w:fill="auto"/>
            <w:noWrap/>
            <w:vAlign w:val="bottom"/>
          </w:tcPr>
          <w:p w14:paraId="3F8CD34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1892E93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570AD92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9" w:type="pct"/>
            <w:vAlign w:val="bottom"/>
          </w:tcPr>
          <w:p w14:paraId="563A4B2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r>
      <w:tr w:rsidR="009A36D2" w:rsidRPr="009D4627" w14:paraId="5D1143B0" w14:textId="77777777" w:rsidTr="00281A92">
        <w:trPr>
          <w:trHeight w:val="20"/>
          <w:jc w:val="center"/>
        </w:trPr>
        <w:tc>
          <w:tcPr>
            <w:tcW w:w="1291" w:type="pct"/>
            <w:shd w:val="clear" w:color="auto" w:fill="auto"/>
            <w:noWrap/>
            <w:vAlign w:val="bottom"/>
            <w:hideMark/>
          </w:tcPr>
          <w:p w14:paraId="0240ED34" w14:textId="77777777" w:rsidR="009A36D2" w:rsidRPr="009D4627" w:rsidRDefault="009A36D2" w:rsidP="00281A92">
            <w:pPr>
              <w:spacing w:before="0" w:after="0" w:line="240" w:lineRule="auto"/>
              <w:rPr>
                <w:color w:val="auto"/>
                <w:sz w:val="20"/>
                <w:szCs w:val="20"/>
              </w:rPr>
            </w:pPr>
            <w:r w:rsidRPr="009D4627">
              <w:rPr>
                <w:color w:val="000000"/>
                <w:sz w:val="22"/>
                <w:szCs w:val="22"/>
              </w:rPr>
              <w:t>23</w:t>
            </w:r>
          </w:p>
        </w:tc>
        <w:tc>
          <w:tcPr>
            <w:tcW w:w="776" w:type="pct"/>
            <w:shd w:val="clear" w:color="auto" w:fill="auto"/>
            <w:noWrap/>
            <w:vAlign w:val="bottom"/>
          </w:tcPr>
          <w:p w14:paraId="0FD8A17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1.00</w:t>
            </w:r>
          </w:p>
        </w:tc>
        <w:tc>
          <w:tcPr>
            <w:tcW w:w="977" w:type="pct"/>
            <w:shd w:val="clear" w:color="auto" w:fill="auto"/>
            <w:noWrap/>
            <w:vAlign w:val="bottom"/>
          </w:tcPr>
          <w:p w14:paraId="04B7D15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1AE7B9E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0.83</w:t>
            </w:r>
          </w:p>
        </w:tc>
        <w:tc>
          <w:tcPr>
            <w:tcW w:w="979" w:type="pct"/>
            <w:vAlign w:val="bottom"/>
          </w:tcPr>
          <w:p w14:paraId="46D4641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r>
      <w:tr w:rsidR="009A36D2" w:rsidRPr="009D4627" w14:paraId="0B44321F" w14:textId="77777777" w:rsidTr="00281A92">
        <w:trPr>
          <w:trHeight w:val="20"/>
          <w:jc w:val="center"/>
        </w:trPr>
        <w:tc>
          <w:tcPr>
            <w:tcW w:w="5000" w:type="pct"/>
            <w:gridSpan w:val="5"/>
            <w:shd w:val="clear" w:color="auto" w:fill="D9D9D9" w:themeFill="background1" w:themeFillShade="D9"/>
            <w:noWrap/>
            <w:vAlign w:val="bottom"/>
          </w:tcPr>
          <w:p w14:paraId="2C74789F" w14:textId="77777777" w:rsidR="009A36D2" w:rsidRPr="009D4627" w:rsidRDefault="009A36D2" w:rsidP="00281A92">
            <w:pPr>
              <w:spacing w:before="0" w:after="0" w:line="240" w:lineRule="auto"/>
              <w:jc w:val="left"/>
              <w:rPr>
                <w:color w:val="auto"/>
                <w:sz w:val="20"/>
                <w:szCs w:val="20"/>
              </w:rPr>
            </w:pPr>
            <w:r w:rsidRPr="009D4627">
              <w:rPr>
                <w:color w:val="auto"/>
                <w:sz w:val="20"/>
                <w:szCs w:val="20"/>
              </w:rPr>
              <w:t>Middle (40-59 years old)</w:t>
            </w:r>
          </w:p>
        </w:tc>
      </w:tr>
      <w:tr w:rsidR="009A36D2" w:rsidRPr="009D4627" w14:paraId="1571EAA0" w14:textId="77777777" w:rsidTr="00281A92">
        <w:trPr>
          <w:trHeight w:val="20"/>
          <w:jc w:val="center"/>
        </w:trPr>
        <w:tc>
          <w:tcPr>
            <w:tcW w:w="1291" w:type="pct"/>
            <w:tcBorders>
              <w:tl2br w:val="single" w:sz="4" w:space="0" w:color="auto"/>
            </w:tcBorders>
            <w:shd w:val="clear" w:color="auto" w:fill="auto"/>
            <w:hideMark/>
          </w:tcPr>
          <w:p w14:paraId="5243983E"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Target frequency</w:t>
            </w:r>
          </w:p>
          <w:p w14:paraId="06345938" w14:textId="77777777" w:rsidR="009A36D2" w:rsidRPr="009D4627" w:rsidRDefault="009A36D2" w:rsidP="00281A92">
            <w:pPr>
              <w:spacing w:before="0" w:after="0" w:line="240" w:lineRule="auto"/>
              <w:rPr>
                <w:color w:val="auto"/>
                <w:sz w:val="20"/>
                <w:szCs w:val="20"/>
              </w:rPr>
            </w:pPr>
          </w:p>
          <w:p w14:paraId="214F72E4" w14:textId="77777777" w:rsidR="009A36D2" w:rsidRPr="009D4627" w:rsidRDefault="009A36D2" w:rsidP="00281A92">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7FF75B7B"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4F7D88E6"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1DF9CC47"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0.6 Hz</w:t>
            </w:r>
          </w:p>
        </w:tc>
        <w:tc>
          <w:tcPr>
            <w:tcW w:w="979" w:type="pct"/>
          </w:tcPr>
          <w:p w14:paraId="131E88C7"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0.8 Hz</w:t>
            </w:r>
          </w:p>
        </w:tc>
      </w:tr>
      <w:tr w:rsidR="009A36D2" w:rsidRPr="009D4627" w14:paraId="03A47DBA" w14:textId="77777777" w:rsidTr="00281A92">
        <w:trPr>
          <w:trHeight w:val="20"/>
          <w:jc w:val="center"/>
        </w:trPr>
        <w:tc>
          <w:tcPr>
            <w:tcW w:w="1291" w:type="pct"/>
            <w:shd w:val="clear" w:color="auto" w:fill="auto"/>
            <w:noWrap/>
            <w:vAlign w:val="bottom"/>
            <w:hideMark/>
          </w:tcPr>
          <w:p w14:paraId="4E42B5AB" w14:textId="77777777" w:rsidR="009A36D2" w:rsidRPr="009D4627" w:rsidRDefault="009A36D2" w:rsidP="00281A92">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70404E2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7" w:type="pct"/>
            <w:shd w:val="clear" w:color="auto" w:fill="auto"/>
            <w:noWrap/>
            <w:vAlign w:val="bottom"/>
          </w:tcPr>
          <w:p w14:paraId="6E029FE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75BE5A2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2296862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0.67</w:t>
            </w:r>
          </w:p>
        </w:tc>
      </w:tr>
      <w:tr w:rsidR="009A36D2" w:rsidRPr="009D4627" w14:paraId="653D15D9" w14:textId="77777777" w:rsidTr="00281A92">
        <w:trPr>
          <w:trHeight w:val="20"/>
          <w:jc w:val="center"/>
        </w:trPr>
        <w:tc>
          <w:tcPr>
            <w:tcW w:w="1291" w:type="pct"/>
            <w:shd w:val="clear" w:color="auto" w:fill="auto"/>
            <w:noWrap/>
            <w:vAlign w:val="bottom"/>
            <w:hideMark/>
          </w:tcPr>
          <w:p w14:paraId="587804F6" w14:textId="77777777" w:rsidR="009A36D2" w:rsidRPr="009D4627" w:rsidRDefault="009A36D2" w:rsidP="00281A92">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0F633AA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0.98</w:t>
            </w:r>
          </w:p>
        </w:tc>
        <w:tc>
          <w:tcPr>
            <w:tcW w:w="977" w:type="pct"/>
            <w:shd w:val="clear" w:color="auto" w:fill="auto"/>
            <w:noWrap/>
            <w:vAlign w:val="bottom"/>
          </w:tcPr>
          <w:p w14:paraId="6CCD874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23CBCFF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c>
          <w:tcPr>
            <w:tcW w:w="979" w:type="pct"/>
            <w:vAlign w:val="bottom"/>
          </w:tcPr>
          <w:p w14:paraId="5CF6057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r>
      <w:tr w:rsidR="009A36D2" w:rsidRPr="009D4627" w14:paraId="1D7308A8" w14:textId="77777777" w:rsidTr="00281A92">
        <w:trPr>
          <w:trHeight w:val="20"/>
          <w:jc w:val="center"/>
        </w:trPr>
        <w:tc>
          <w:tcPr>
            <w:tcW w:w="1291" w:type="pct"/>
            <w:shd w:val="clear" w:color="auto" w:fill="auto"/>
            <w:noWrap/>
            <w:vAlign w:val="bottom"/>
            <w:hideMark/>
          </w:tcPr>
          <w:p w14:paraId="737C21B0" w14:textId="77777777" w:rsidR="009A36D2" w:rsidRPr="009D4627" w:rsidRDefault="009A36D2" w:rsidP="00281A92">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7C25407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c>
          <w:tcPr>
            <w:tcW w:w="977" w:type="pct"/>
            <w:shd w:val="clear" w:color="auto" w:fill="auto"/>
            <w:noWrap/>
            <w:vAlign w:val="bottom"/>
          </w:tcPr>
          <w:p w14:paraId="3C26114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c>
          <w:tcPr>
            <w:tcW w:w="977" w:type="pct"/>
            <w:shd w:val="clear" w:color="auto" w:fill="auto"/>
            <w:noWrap/>
            <w:vAlign w:val="bottom"/>
          </w:tcPr>
          <w:p w14:paraId="1B71D61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0.35</w:t>
            </w:r>
          </w:p>
        </w:tc>
        <w:tc>
          <w:tcPr>
            <w:tcW w:w="979" w:type="pct"/>
            <w:vAlign w:val="bottom"/>
          </w:tcPr>
          <w:p w14:paraId="792F0F8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0.24</w:t>
            </w:r>
          </w:p>
        </w:tc>
      </w:tr>
      <w:tr w:rsidR="009A36D2" w:rsidRPr="009D4627" w14:paraId="03B0A9F5" w14:textId="77777777" w:rsidTr="00281A92">
        <w:trPr>
          <w:trHeight w:val="20"/>
          <w:jc w:val="center"/>
        </w:trPr>
        <w:tc>
          <w:tcPr>
            <w:tcW w:w="1291" w:type="pct"/>
            <w:shd w:val="clear" w:color="auto" w:fill="auto"/>
            <w:noWrap/>
            <w:vAlign w:val="bottom"/>
            <w:hideMark/>
          </w:tcPr>
          <w:p w14:paraId="611FD671" w14:textId="77777777" w:rsidR="009A36D2" w:rsidRPr="009D4627" w:rsidRDefault="009A36D2" w:rsidP="00281A92">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1D729CD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50F7E49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5109FBD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0.81</w:t>
            </w:r>
          </w:p>
        </w:tc>
        <w:tc>
          <w:tcPr>
            <w:tcW w:w="979" w:type="pct"/>
            <w:vAlign w:val="bottom"/>
          </w:tcPr>
          <w:p w14:paraId="070FC97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r>
      <w:tr w:rsidR="009A36D2" w:rsidRPr="009D4627" w14:paraId="17CBE93B" w14:textId="77777777" w:rsidTr="00281A92">
        <w:trPr>
          <w:trHeight w:val="20"/>
          <w:jc w:val="center"/>
        </w:trPr>
        <w:tc>
          <w:tcPr>
            <w:tcW w:w="1291" w:type="pct"/>
            <w:shd w:val="clear" w:color="auto" w:fill="auto"/>
            <w:noWrap/>
            <w:vAlign w:val="bottom"/>
            <w:hideMark/>
          </w:tcPr>
          <w:p w14:paraId="2B74D9AC" w14:textId="77777777" w:rsidR="009A36D2" w:rsidRPr="009D4627" w:rsidRDefault="009A36D2" w:rsidP="00281A92">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3CCF61C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7AE6849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7878FC9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0.82</w:t>
            </w:r>
          </w:p>
        </w:tc>
        <w:tc>
          <w:tcPr>
            <w:tcW w:w="979" w:type="pct"/>
            <w:vAlign w:val="bottom"/>
          </w:tcPr>
          <w:p w14:paraId="547E994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0.74</w:t>
            </w:r>
          </w:p>
        </w:tc>
      </w:tr>
      <w:tr w:rsidR="009A36D2" w:rsidRPr="009D4627" w14:paraId="3C1B346E" w14:textId="77777777" w:rsidTr="00281A92">
        <w:trPr>
          <w:trHeight w:val="20"/>
          <w:jc w:val="center"/>
        </w:trPr>
        <w:tc>
          <w:tcPr>
            <w:tcW w:w="1291" w:type="pct"/>
            <w:shd w:val="clear" w:color="auto" w:fill="auto"/>
            <w:noWrap/>
            <w:vAlign w:val="bottom"/>
            <w:hideMark/>
          </w:tcPr>
          <w:p w14:paraId="04BF3023" w14:textId="77777777" w:rsidR="009A36D2" w:rsidRPr="009D4627" w:rsidRDefault="009A36D2" w:rsidP="00281A92">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35A66EE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4CFA6D7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0.96</w:t>
            </w:r>
          </w:p>
        </w:tc>
        <w:tc>
          <w:tcPr>
            <w:tcW w:w="977" w:type="pct"/>
            <w:shd w:val="clear" w:color="auto" w:fill="auto"/>
            <w:noWrap/>
            <w:vAlign w:val="bottom"/>
          </w:tcPr>
          <w:p w14:paraId="3E4723C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0.82</w:t>
            </w:r>
          </w:p>
        </w:tc>
        <w:tc>
          <w:tcPr>
            <w:tcW w:w="979" w:type="pct"/>
            <w:vAlign w:val="bottom"/>
          </w:tcPr>
          <w:p w14:paraId="4A33B10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0.63</w:t>
            </w:r>
          </w:p>
        </w:tc>
      </w:tr>
      <w:tr w:rsidR="009A36D2" w:rsidRPr="009D4627" w14:paraId="2C937F2F" w14:textId="77777777" w:rsidTr="00281A92">
        <w:trPr>
          <w:trHeight w:val="20"/>
          <w:jc w:val="center"/>
        </w:trPr>
        <w:tc>
          <w:tcPr>
            <w:tcW w:w="1291" w:type="pct"/>
            <w:shd w:val="clear" w:color="auto" w:fill="auto"/>
            <w:noWrap/>
            <w:vAlign w:val="bottom"/>
            <w:hideMark/>
          </w:tcPr>
          <w:p w14:paraId="7AB74676" w14:textId="77777777" w:rsidR="009A36D2" w:rsidRPr="009D4627" w:rsidRDefault="009A36D2" w:rsidP="00281A92">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6417094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7" w:type="pct"/>
            <w:shd w:val="clear" w:color="auto" w:fill="auto"/>
            <w:noWrap/>
            <w:vAlign w:val="bottom"/>
          </w:tcPr>
          <w:p w14:paraId="62CC2F6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0.96</w:t>
            </w:r>
          </w:p>
        </w:tc>
        <w:tc>
          <w:tcPr>
            <w:tcW w:w="977" w:type="pct"/>
            <w:shd w:val="clear" w:color="auto" w:fill="auto"/>
            <w:noWrap/>
            <w:vAlign w:val="bottom"/>
          </w:tcPr>
          <w:p w14:paraId="4E4456B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9" w:type="pct"/>
            <w:vAlign w:val="bottom"/>
          </w:tcPr>
          <w:p w14:paraId="2EC0915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r>
      <w:tr w:rsidR="009A36D2" w:rsidRPr="009D4627" w14:paraId="324E5013" w14:textId="77777777" w:rsidTr="00281A92">
        <w:trPr>
          <w:trHeight w:val="20"/>
          <w:jc w:val="center"/>
        </w:trPr>
        <w:tc>
          <w:tcPr>
            <w:tcW w:w="1291" w:type="pct"/>
            <w:shd w:val="clear" w:color="auto" w:fill="auto"/>
            <w:noWrap/>
            <w:vAlign w:val="bottom"/>
            <w:hideMark/>
          </w:tcPr>
          <w:p w14:paraId="3182EEBD" w14:textId="77777777" w:rsidR="009A36D2" w:rsidRPr="009D4627" w:rsidRDefault="009A36D2" w:rsidP="00281A92">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070D992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2FB88A5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559FEF0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0.74</w:t>
            </w:r>
          </w:p>
        </w:tc>
        <w:tc>
          <w:tcPr>
            <w:tcW w:w="979" w:type="pct"/>
            <w:vAlign w:val="bottom"/>
          </w:tcPr>
          <w:p w14:paraId="73A23EC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0.71</w:t>
            </w:r>
          </w:p>
        </w:tc>
      </w:tr>
      <w:tr w:rsidR="009A36D2" w:rsidRPr="009D4627" w14:paraId="0349CAA8" w14:textId="77777777" w:rsidTr="00281A92">
        <w:trPr>
          <w:trHeight w:val="20"/>
          <w:jc w:val="center"/>
        </w:trPr>
        <w:tc>
          <w:tcPr>
            <w:tcW w:w="1291" w:type="pct"/>
            <w:shd w:val="clear" w:color="auto" w:fill="auto"/>
            <w:noWrap/>
            <w:vAlign w:val="bottom"/>
            <w:hideMark/>
          </w:tcPr>
          <w:p w14:paraId="0162BA5B" w14:textId="77777777" w:rsidR="009A36D2" w:rsidRPr="009D4627" w:rsidRDefault="009A36D2" w:rsidP="00281A92">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4393D32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1919664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7" w:type="pct"/>
            <w:shd w:val="clear" w:color="auto" w:fill="auto"/>
            <w:noWrap/>
            <w:vAlign w:val="bottom"/>
          </w:tcPr>
          <w:p w14:paraId="7E766E1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0.82</w:t>
            </w:r>
          </w:p>
        </w:tc>
        <w:tc>
          <w:tcPr>
            <w:tcW w:w="979" w:type="pct"/>
            <w:vAlign w:val="bottom"/>
          </w:tcPr>
          <w:p w14:paraId="206950B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r>
      <w:tr w:rsidR="009A36D2" w:rsidRPr="009D4627" w14:paraId="5A44E456" w14:textId="77777777" w:rsidTr="00281A92">
        <w:trPr>
          <w:trHeight w:val="20"/>
          <w:jc w:val="center"/>
        </w:trPr>
        <w:tc>
          <w:tcPr>
            <w:tcW w:w="1291" w:type="pct"/>
            <w:shd w:val="clear" w:color="auto" w:fill="auto"/>
            <w:noWrap/>
            <w:vAlign w:val="bottom"/>
            <w:hideMark/>
          </w:tcPr>
          <w:p w14:paraId="40F04A86" w14:textId="77777777" w:rsidR="009A36D2" w:rsidRPr="009D4627" w:rsidRDefault="009A36D2" w:rsidP="00281A92">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5D67D91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73FF183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7" w:type="pct"/>
            <w:shd w:val="clear" w:color="auto" w:fill="auto"/>
            <w:noWrap/>
            <w:vAlign w:val="bottom"/>
          </w:tcPr>
          <w:p w14:paraId="1C52162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1427E9E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0.69</w:t>
            </w:r>
          </w:p>
        </w:tc>
      </w:tr>
      <w:tr w:rsidR="009A36D2" w:rsidRPr="009D4627" w14:paraId="24B142E3" w14:textId="77777777" w:rsidTr="00281A92">
        <w:trPr>
          <w:trHeight w:val="20"/>
          <w:jc w:val="center"/>
        </w:trPr>
        <w:tc>
          <w:tcPr>
            <w:tcW w:w="1291" w:type="pct"/>
            <w:shd w:val="clear" w:color="auto" w:fill="auto"/>
            <w:noWrap/>
            <w:vAlign w:val="bottom"/>
            <w:hideMark/>
          </w:tcPr>
          <w:p w14:paraId="1FF89188" w14:textId="77777777" w:rsidR="009A36D2" w:rsidRPr="009D4627" w:rsidRDefault="009A36D2" w:rsidP="00281A92">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1DF3E38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306C72B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4B795A3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c>
          <w:tcPr>
            <w:tcW w:w="979" w:type="pct"/>
            <w:vAlign w:val="bottom"/>
          </w:tcPr>
          <w:p w14:paraId="0987400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r>
      <w:tr w:rsidR="009A36D2" w:rsidRPr="009D4627" w14:paraId="73E6725D" w14:textId="77777777" w:rsidTr="00281A92">
        <w:trPr>
          <w:trHeight w:val="20"/>
          <w:jc w:val="center"/>
        </w:trPr>
        <w:tc>
          <w:tcPr>
            <w:tcW w:w="1291" w:type="pct"/>
            <w:shd w:val="clear" w:color="auto" w:fill="auto"/>
            <w:noWrap/>
            <w:vAlign w:val="bottom"/>
            <w:hideMark/>
          </w:tcPr>
          <w:p w14:paraId="3F5FC439" w14:textId="77777777" w:rsidR="009A36D2" w:rsidRPr="009D4627" w:rsidRDefault="009A36D2" w:rsidP="00281A92">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57F79CA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51421D6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7" w:type="pct"/>
            <w:shd w:val="clear" w:color="auto" w:fill="auto"/>
            <w:noWrap/>
            <w:vAlign w:val="bottom"/>
          </w:tcPr>
          <w:p w14:paraId="706F6EC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9" w:type="pct"/>
            <w:vAlign w:val="bottom"/>
          </w:tcPr>
          <w:p w14:paraId="7DF9D17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r>
      <w:tr w:rsidR="009A36D2" w:rsidRPr="009D4627" w14:paraId="5441BA06" w14:textId="77777777" w:rsidTr="00281A92">
        <w:trPr>
          <w:trHeight w:val="20"/>
          <w:jc w:val="center"/>
        </w:trPr>
        <w:tc>
          <w:tcPr>
            <w:tcW w:w="1291" w:type="pct"/>
            <w:shd w:val="clear" w:color="auto" w:fill="auto"/>
            <w:noWrap/>
            <w:vAlign w:val="bottom"/>
            <w:hideMark/>
          </w:tcPr>
          <w:p w14:paraId="6ABE3E69" w14:textId="77777777" w:rsidR="009A36D2" w:rsidRPr="009D4627" w:rsidRDefault="009A36D2" w:rsidP="00281A92">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1F6D404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0.98</w:t>
            </w:r>
          </w:p>
        </w:tc>
        <w:tc>
          <w:tcPr>
            <w:tcW w:w="977" w:type="pct"/>
            <w:shd w:val="clear" w:color="auto" w:fill="auto"/>
            <w:noWrap/>
            <w:vAlign w:val="bottom"/>
          </w:tcPr>
          <w:p w14:paraId="3D46A5A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7" w:type="pct"/>
            <w:shd w:val="clear" w:color="auto" w:fill="auto"/>
            <w:noWrap/>
            <w:vAlign w:val="bottom"/>
          </w:tcPr>
          <w:p w14:paraId="5A4CC4D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c>
          <w:tcPr>
            <w:tcW w:w="979" w:type="pct"/>
            <w:vAlign w:val="bottom"/>
          </w:tcPr>
          <w:p w14:paraId="4E2749A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0.69</w:t>
            </w:r>
          </w:p>
        </w:tc>
      </w:tr>
      <w:tr w:rsidR="009A36D2" w:rsidRPr="009D4627" w14:paraId="223AFA44" w14:textId="77777777" w:rsidTr="00281A92">
        <w:trPr>
          <w:trHeight w:val="20"/>
          <w:jc w:val="center"/>
        </w:trPr>
        <w:tc>
          <w:tcPr>
            <w:tcW w:w="1291" w:type="pct"/>
            <w:shd w:val="clear" w:color="auto" w:fill="auto"/>
            <w:noWrap/>
            <w:vAlign w:val="bottom"/>
            <w:hideMark/>
          </w:tcPr>
          <w:p w14:paraId="788A6C04" w14:textId="77777777" w:rsidR="009A36D2" w:rsidRPr="009D4627" w:rsidRDefault="009A36D2" w:rsidP="00281A92">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715ECE9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7" w:type="pct"/>
            <w:shd w:val="clear" w:color="auto" w:fill="auto"/>
            <w:noWrap/>
            <w:vAlign w:val="bottom"/>
          </w:tcPr>
          <w:p w14:paraId="5D292BE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c>
          <w:tcPr>
            <w:tcW w:w="977" w:type="pct"/>
            <w:shd w:val="clear" w:color="auto" w:fill="auto"/>
            <w:noWrap/>
            <w:vAlign w:val="bottom"/>
          </w:tcPr>
          <w:p w14:paraId="0F87540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0.71</w:t>
            </w:r>
          </w:p>
        </w:tc>
        <w:tc>
          <w:tcPr>
            <w:tcW w:w="979" w:type="pct"/>
            <w:vAlign w:val="bottom"/>
          </w:tcPr>
          <w:p w14:paraId="55AE7E9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0.59</w:t>
            </w:r>
          </w:p>
        </w:tc>
      </w:tr>
      <w:tr w:rsidR="009A36D2" w:rsidRPr="009D4627" w14:paraId="2C756871" w14:textId="77777777" w:rsidTr="00281A92">
        <w:trPr>
          <w:trHeight w:val="20"/>
          <w:jc w:val="center"/>
        </w:trPr>
        <w:tc>
          <w:tcPr>
            <w:tcW w:w="1291" w:type="pct"/>
            <w:shd w:val="clear" w:color="auto" w:fill="auto"/>
            <w:noWrap/>
            <w:vAlign w:val="bottom"/>
            <w:hideMark/>
          </w:tcPr>
          <w:p w14:paraId="4B9FB7E7" w14:textId="77777777" w:rsidR="009A36D2" w:rsidRPr="009D4627" w:rsidRDefault="009A36D2" w:rsidP="00281A92">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495EF16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5A60107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3264EF2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9" w:type="pct"/>
            <w:vAlign w:val="bottom"/>
          </w:tcPr>
          <w:p w14:paraId="6537E5B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0.70</w:t>
            </w:r>
          </w:p>
        </w:tc>
      </w:tr>
      <w:tr w:rsidR="009A36D2" w:rsidRPr="009D4627" w14:paraId="2496C04C" w14:textId="77777777" w:rsidTr="00281A92">
        <w:trPr>
          <w:trHeight w:val="20"/>
          <w:jc w:val="center"/>
        </w:trPr>
        <w:tc>
          <w:tcPr>
            <w:tcW w:w="1291" w:type="pct"/>
            <w:shd w:val="clear" w:color="auto" w:fill="auto"/>
            <w:noWrap/>
            <w:vAlign w:val="bottom"/>
            <w:hideMark/>
          </w:tcPr>
          <w:p w14:paraId="2F34764B" w14:textId="77777777" w:rsidR="009A36D2" w:rsidRPr="009D4627" w:rsidRDefault="009A36D2" w:rsidP="00281A92">
            <w:pPr>
              <w:spacing w:before="0" w:after="0" w:line="240" w:lineRule="auto"/>
              <w:rPr>
                <w:color w:val="auto"/>
                <w:sz w:val="20"/>
                <w:szCs w:val="20"/>
              </w:rPr>
            </w:pPr>
            <w:r w:rsidRPr="009D4627">
              <w:rPr>
                <w:color w:val="auto"/>
                <w:sz w:val="20"/>
                <w:szCs w:val="20"/>
              </w:rPr>
              <w:t>16</w:t>
            </w:r>
          </w:p>
        </w:tc>
        <w:tc>
          <w:tcPr>
            <w:tcW w:w="776" w:type="pct"/>
            <w:shd w:val="clear" w:color="auto" w:fill="auto"/>
            <w:noWrap/>
            <w:vAlign w:val="bottom"/>
          </w:tcPr>
          <w:p w14:paraId="0AAADA6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5789CCB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5C7EF81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9" w:type="pct"/>
            <w:vAlign w:val="bottom"/>
          </w:tcPr>
          <w:p w14:paraId="0DFFACD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r>
      <w:tr w:rsidR="009A36D2" w:rsidRPr="009D4627" w14:paraId="3F0DECAD" w14:textId="77777777" w:rsidTr="00281A92">
        <w:trPr>
          <w:trHeight w:val="20"/>
          <w:jc w:val="center"/>
        </w:trPr>
        <w:tc>
          <w:tcPr>
            <w:tcW w:w="1291" w:type="pct"/>
            <w:shd w:val="clear" w:color="auto" w:fill="auto"/>
            <w:noWrap/>
            <w:vAlign w:val="bottom"/>
            <w:hideMark/>
          </w:tcPr>
          <w:p w14:paraId="465BF7AE" w14:textId="77777777" w:rsidR="009A36D2" w:rsidRPr="009D4627" w:rsidRDefault="009A36D2" w:rsidP="00281A92">
            <w:pPr>
              <w:spacing w:before="0" w:after="0" w:line="240" w:lineRule="auto"/>
              <w:rPr>
                <w:color w:val="auto"/>
                <w:sz w:val="20"/>
                <w:szCs w:val="20"/>
              </w:rPr>
            </w:pPr>
            <w:r w:rsidRPr="009D4627">
              <w:rPr>
                <w:color w:val="auto"/>
                <w:sz w:val="20"/>
                <w:szCs w:val="20"/>
              </w:rPr>
              <w:t>17</w:t>
            </w:r>
          </w:p>
        </w:tc>
        <w:tc>
          <w:tcPr>
            <w:tcW w:w="776" w:type="pct"/>
            <w:shd w:val="clear" w:color="auto" w:fill="auto"/>
            <w:noWrap/>
            <w:vAlign w:val="bottom"/>
          </w:tcPr>
          <w:p w14:paraId="5139A06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2ACB999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7" w:type="pct"/>
            <w:shd w:val="clear" w:color="auto" w:fill="auto"/>
            <w:noWrap/>
            <w:vAlign w:val="bottom"/>
          </w:tcPr>
          <w:p w14:paraId="5FCFE73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45E6B72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0.63</w:t>
            </w:r>
          </w:p>
        </w:tc>
      </w:tr>
      <w:tr w:rsidR="009A36D2" w:rsidRPr="009D4627" w14:paraId="5C102F9E" w14:textId="77777777" w:rsidTr="00281A92">
        <w:trPr>
          <w:trHeight w:val="20"/>
          <w:jc w:val="center"/>
        </w:trPr>
        <w:tc>
          <w:tcPr>
            <w:tcW w:w="1291" w:type="pct"/>
            <w:shd w:val="clear" w:color="auto" w:fill="auto"/>
            <w:noWrap/>
            <w:vAlign w:val="bottom"/>
            <w:hideMark/>
          </w:tcPr>
          <w:p w14:paraId="143D6C96" w14:textId="77777777" w:rsidR="009A36D2" w:rsidRPr="009D4627" w:rsidRDefault="009A36D2" w:rsidP="00281A92">
            <w:pPr>
              <w:spacing w:before="0" w:after="0" w:line="240" w:lineRule="auto"/>
              <w:rPr>
                <w:color w:val="auto"/>
                <w:sz w:val="20"/>
                <w:szCs w:val="20"/>
              </w:rPr>
            </w:pPr>
            <w:r w:rsidRPr="009D4627">
              <w:rPr>
                <w:color w:val="auto"/>
                <w:sz w:val="20"/>
                <w:szCs w:val="20"/>
              </w:rPr>
              <w:lastRenderedPageBreak/>
              <w:t>18</w:t>
            </w:r>
          </w:p>
        </w:tc>
        <w:tc>
          <w:tcPr>
            <w:tcW w:w="776" w:type="pct"/>
            <w:shd w:val="clear" w:color="auto" w:fill="auto"/>
            <w:noWrap/>
            <w:vAlign w:val="bottom"/>
          </w:tcPr>
          <w:p w14:paraId="137B71C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01C8135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7" w:type="pct"/>
            <w:shd w:val="clear" w:color="auto" w:fill="auto"/>
            <w:noWrap/>
            <w:vAlign w:val="bottom"/>
          </w:tcPr>
          <w:p w14:paraId="7399DD3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0.74</w:t>
            </w:r>
          </w:p>
        </w:tc>
        <w:tc>
          <w:tcPr>
            <w:tcW w:w="979" w:type="pct"/>
            <w:vAlign w:val="bottom"/>
          </w:tcPr>
          <w:p w14:paraId="70C8A28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0.59</w:t>
            </w:r>
          </w:p>
        </w:tc>
      </w:tr>
      <w:tr w:rsidR="009A36D2" w:rsidRPr="009D4627" w14:paraId="50829429" w14:textId="77777777" w:rsidTr="00281A92">
        <w:trPr>
          <w:trHeight w:val="20"/>
          <w:jc w:val="center"/>
        </w:trPr>
        <w:tc>
          <w:tcPr>
            <w:tcW w:w="5000" w:type="pct"/>
            <w:gridSpan w:val="5"/>
            <w:shd w:val="clear" w:color="auto" w:fill="D9D9D9" w:themeFill="background1" w:themeFillShade="D9"/>
            <w:noWrap/>
            <w:vAlign w:val="bottom"/>
          </w:tcPr>
          <w:p w14:paraId="0A0081DC" w14:textId="77777777" w:rsidR="009A36D2" w:rsidRPr="009D4627" w:rsidRDefault="009A36D2" w:rsidP="00281A92">
            <w:pPr>
              <w:spacing w:before="0" w:after="0" w:line="240" w:lineRule="auto"/>
              <w:jc w:val="left"/>
              <w:rPr>
                <w:color w:val="auto"/>
                <w:sz w:val="20"/>
                <w:szCs w:val="20"/>
              </w:rPr>
            </w:pPr>
            <w:r w:rsidRPr="009D4627">
              <w:rPr>
                <w:color w:val="auto"/>
                <w:sz w:val="20"/>
                <w:szCs w:val="20"/>
              </w:rPr>
              <w:t>Older (60-79 years old)</w:t>
            </w:r>
          </w:p>
        </w:tc>
      </w:tr>
      <w:tr w:rsidR="009A36D2" w:rsidRPr="009D4627" w14:paraId="69A78AD4" w14:textId="77777777" w:rsidTr="00281A92">
        <w:trPr>
          <w:trHeight w:val="20"/>
          <w:jc w:val="center"/>
        </w:trPr>
        <w:tc>
          <w:tcPr>
            <w:tcW w:w="1291" w:type="pct"/>
            <w:tcBorders>
              <w:tl2br w:val="single" w:sz="4" w:space="0" w:color="auto"/>
            </w:tcBorders>
            <w:shd w:val="clear" w:color="auto" w:fill="auto"/>
            <w:hideMark/>
          </w:tcPr>
          <w:p w14:paraId="3C7ACE6C"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Target frequency</w:t>
            </w:r>
          </w:p>
          <w:p w14:paraId="4E4DE3CB" w14:textId="77777777" w:rsidR="009A36D2" w:rsidRPr="009D4627" w:rsidRDefault="009A36D2" w:rsidP="00281A92">
            <w:pPr>
              <w:spacing w:before="0" w:after="0" w:line="240" w:lineRule="auto"/>
              <w:rPr>
                <w:color w:val="auto"/>
                <w:sz w:val="20"/>
                <w:szCs w:val="20"/>
              </w:rPr>
            </w:pPr>
          </w:p>
          <w:p w14:paraId="1D28C56E" w14:textId="77777777" w:rsidR="009A36D2" w:rsidRPr="009D4627" w:rsidRDefault="009A36D2" w:rsidP="00281A92">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402AC8E7"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446A2BBF"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381D1275"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0.6 Hz</w:t>
            </w:r>
          </w:p>
        </w:tc>
        <w:tc>
          <w:tcPr>
            <w:tcW w:w="979" w:type="pct"/>
          </w:tcPr>
          <w:p w14:paraId="4E59E4B3"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0.8 Hz</w:t>
            </w:r>
          </w:p>
        </w:tc>
      </w:tr>
      <w:tr w:rsidR="009A36D2" w:rsidRPr="009D4627" w14:paraId="6300D277" w14:textId="77777777" w:rsidTr="00281A92">
        <w:trPr>
          <w:trHeight w:val="20"/>
          <w:jc w:val="center"/>
        </w:trPr>
        <w:tc>
          <w:tcPr>
            <w:tcW w:w="1291" w:type="pct"/>
            <w:shd w:val="clear" w:color="auto" w:fill="auto"/>
            <w:noWrap/>
            <w:vAlign w:val="bottom"/>
            <w:hideMark/>
          </w:tcPr>
          <w:p w14:paraId="5B85E51E" w14:textId="77777777" w:rsidR="009A36D2" w:rsidRPr="009D4627" w:rsidRDefault="009A36D2" w:rsidP="00281A92">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3AB3A4A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7" w:type="pct"/>
            <w:shd w:val="clear" w:color="auto" w:fill="auto"/>
            <w:noWrap/>
            <w:vAlign w:val="bottom"/>
          </w:tcPr>
          <w:p w14:paraId="18BFDAE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c>
          <w:tcPr>
            <w:tcW w:w="977" w:type="pct"/>
            <w:shd w:val="clear" w:color="auto" w:fill="auto"/>
            <w:noWrap/>
            <w:vAlign w:val="bottom"/>
          </w:tcPr>
          <w:p w14:paraId="133DBA0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0.64</w:t>
            </w:r>
          </w:p>
        </w:tc>
        <w:tc>
          <w:tcPr>
            <w:tcW w:w="979" w:type="pct"/>
            <w:vAlign w:val="bottom"/>
          </w:tcPr>
          <w:p w14:paraId="42160D1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0.48</w:t>
            </w:r>
          </w:p>
        </w:tc>
      </w:tr>
      <w:tr w:rsidR="009A36D2" w:rsidRPr="009D4627" w14:paraId="3844C14E" w14:textId="77777777" w:rsidTr="00281A92">
        <w:trPr>
          <w:trHeight w:val="20"/>
          <w:jc w:val="center"/>
        </w:trPr>
        <w:tc>
          <w:tcPr>
            <w:tcW w:w="1291" w:type="pct"/>
            <w:shd w:val="clear" w:color="auto" w:fill="auto"/>
            <w:noWrap/>
            <w:vAlign w:val="bottom"/>
            <w:hideMark/>
          </w:tcPr>
          <w:p w14:paraId="31971864" w14:textId="77777777" w:rsidR="009A36D2" w:rsidRPr="009D4627" w:rsidRDefault="009A36D2" w:rsidP="00281A92">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0C8F832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78A74C4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c>
          <w:tcPr>
            <w:tcW w:w="977" w:type="pct"/>
            <w:shd w:val="clear" w:color="auto" w:fill="auto"/>
            <w:noWrap/>
            <w:vAlign w:val="bottom"/>
          </w:tcPr>
          <w:p w14:paraId="45271DB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0.71</w:t>
            </w:r>
          </w:p>
        </w:tc>
        <w:tc>
          <w:tcPr>
            <w:tcW w:w="979" w:type="pct"/>
            <w:vAlign w:val="bottom"/>
          </w:tcPr>
          <w:p w14:paraId="08AB8CC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0.63</w:t>
            </w:r>
          </w:p>
        </w:tc>
      </w:tr>
      <w:tr w:rsidR="009A36D2" w:rsidRPr="009D4627" w14:paraId="01A2A96C" w14:textId="77777777" w:rsidTr="00281A92">
        <w:trPr>
          <w:trHeight w:val="20"/>
          <w:jc w:val="center"/>
        </w:trPr>
        <w:tc>
          <w:tcPr>
            <w:tcW w:w="1291" w:type="pct"/>
            <w:shd w:val="clear" w:color="auto" w:fill="auto"/>
            <w:noWrap/>
            <w:vAlign w:val="bottom"/>
            <w:hideMark/>
          </w:tcPr>
          <w:p w14:paraId="40B88F59" w14:textId="77777777" w:rsidR="009A36D2" w:rsidRPr="009D4627" w:rsidRDefault="009A36D2" w:rsidP="00281A92">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0360242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7" w:type="pct"/>
            <w:shd w:val="clear" w:color="auto" w:fill="auto"/>
            <w:noWrap/>
            <w:vAlign w:val="bottom"/>
          </w:tcPr>
          <w:p w14:paraId="1A577EF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29AF070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9" w:type="pct"/>
            <w:vAlign w:val="bottom"/>
          </w:tcPr>
          <w:p w14:paraId="3AAC5E1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r>
      <w:tr w:rsidR="009A36D2" w:rsidRPr="009D4627" w14:paraId="4CCBEFFC" w14:textId="77777777" w:rsidTr="00281A92">
        <w:trPr>
          <w:trHeight w:val="20"/>
          <w:jc w:val="center"/>
        </w:trPr>
        <w:tc>
          <w:tcPr>
            <w:tcW w:w="1291" w:type="pct"/>
            <w:shd w:val="clear" w:color="auto" w:fill="auto"/>
            <w:noWrap/>
            <w:vAlign w:val="bottom"/>
            <w:hideMark/>
          </w:tcPr>
          <w:p w14:paraId="584A3A86" w14:textId="77777777" w:rsidR="009A36D2" w:rsidRPr="009D4627" w:rsidRDefault="009A36D2" w:rsidP="00281A92">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32B3F98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7" w:type="pct"/>
            <w:shd w:val="clear" w:color="auto" w:fill="auto"/>
            <w:noWrap/>
            <w:vAlign w:val="bottom"/>
          </w:tcPr>
          <w:p w14:paraId="3D79777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c>
          <w:tcPr>
            <w:tcW w:w="977" w:type="pct"/>
            <w:shd w:val="clear" w:color="auto" w:fill="auto"/>
            <w:noWrap/>
            <w:vAlign w:val="bottom"/>
          </w:tcPr>
          <w:p w14:paraId="77E97AA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0.80</w:t>
            </w:r>
          </w:p>
        </w:tc>
        <w:tc>
          <w:tcPr>
            <w:tcW w:w="979" w:type="pct"/>
            <w:vAlign w:val="bottom"/>
          </w:tcPr>
          <w:p w14:paraId="53144C9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0.62</w:t>
            </w:r>
          </w:p>
        </w:tc>
      </w:tr>
      <w:tr w:rsidR="009A36D2" w:rsidRPr="009D4627" w14:paraId="17A39FB5" w14:textId="77777777" w:rsidTr="00281A92">
        <w:trPr>
          <w:trHeight w:val="20"/>
          <w:jc w:val="center"/>
        </w:trPr>
        <w:tc>
          <w:tcPr>
            <w:tcW w:w="1291" w:type="pct"/>
            <w:shd w:val="clear" w:color="auto" w:fill="auto"/>
            <w:noWrap/>
            <w:vAlign w:val="bottom"/>
            <w:hideMark/>
          </w:tcPr>
          <w:p w14:paraId="46C2854A" w14:textId="77777777" w:rsidR="009A36D2" w:rsidRPr="009D4627" w:rsidRDefault="009A36D2" w:rsidP="00281A92">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2F80538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0.86</w:t>
            </w:r>
          </w:p>
        </w:tc>
        <w:tc>
          <w:tcPr>
            <w:tcW w:w="977" w:type="pct"/>
            <w:shd w:val="clear" w:color="auto" w:fill="auto"/>
            <w:noWrap/>
            <w:vAlign w:val="bottom"/>
          </w:tcPr>
          <w:p w14:paraId="6912491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7" w:type="pct"/>
            <w:shd w:val="clear" w:color="auto" w:fill="auto"/>
            <w:noWrap/>
            <w:vAlign w:val="bottom"/>
          </w:tcPr>
          <w:p w14:paraId="7D8B2E1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c>
          <w:tcPr>
            <w:tcW w:w="979" w:type="pct"/>
            <w:vAlign w:val="bottom"/>
          </w:tcPr>
          <w:p w14:paraId="5F749C7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0.60</w:t>
            </w:r>
          </w:p>
        </w:tc>
      </w:tr>
      <w:tr w:rsidR="009A36D2" w:rsidRPr="009D4627" w14:paraId="46AB6AC4" w14:textId="77777777" w:rsidTr="00281A92">
        <w:trPr>
          <w:trHeight w:val="20"/>
          <w:jc w:val="center"/>
        </w:trPr>
        <w:tc>
          <w:tcPr>
            <w:tcW w:w="1291" w:type="pct"/>
            <w:shd w:val="clear" w:color="auto" w:fill="auto"/>
            <w:noWrap/>
            <w:vAlign w:val="bottom"/>
            <w:hideMark/>
          </w:tcPr>
          <w:p w14:paraId="7B329CBF" w14:textId="77777777" w:rsidR="009A36D2" w:rsidRPr="009D4627" w:rsidRDefault="009A36D2" w:rsidP="00281A92">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5FB43BD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7" w:type="pct"/>
            <w:shd w:val="clear" w:color="auto" w:fill="auto"/>
            <w:noWrap/>
            <w:vAlign w:val="bottom"/>
          </w:tcPr>
          <w:p w14:paraId="20690CC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791B644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9" w:type="pct"/>
            <w:vAlign w:val="bottom"/>
          </w:tcPr>
          <w:p w14:paraId="2AE24CD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0.76</w:t>
            </w:r>
          </w:p>
        </w:tc>
      </w:tr>
      <w:tr w:rsidR="009A36D2" w:rsidRPr="009D4627" w14:paraId="0AD02A1D" w14:textId="77777777" w:rsidTr="00281A92">
        <w:trPr>
          <w:trHeight w:val="20"/>
          <w:jc w:val="center"/>
        </w:trPr>
        <w:tc>
          <w:tcPr>
            <w:tcW w:w="1291" w:type="pct"/>
            <w:shd w:val="clear" w:color="auto" w:fill="auto"/>
            <w:noWrap/>
            <w:vAlign w:val="bottom"/>
            <w:hideMark/>
          </w:tcPr>
          <w:p w14:paraId="392BA8AF" w14:textId="77777777" w:rsidR="009A36D2" w:rsidRPr="009D4627" w:rsidRDefault="009A36D2" w:rsidP="00281A92">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5AF3265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0.98</w:t>
            </w:r>
          </w:p>
        </w:tc>
        <w:tc>
          <w:tcPr>
            <w:tcW w:w="977" w:type="pct"/>
            <w:shd w:val="clear" w:color="auto" w:fill="auto"/>
            <w:noWrap/>
            <w:vAlign w:val="bottom"/>
          </w:tcPr>
          <w:p w14:paraId="3D13304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2430B92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c>
          <w:tcPr>
            <w:tcW w:w="979" w:type="pct"/>
            <w:vAlign w:val="bottom"/>
          </w:tcPr>
          <w:p w14:paraId="7C3B524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0.66</w:t>
            </w:r>
          </w:p>
        </w:tc>
      </w:tr>
      <w:tr w:rsidR="009A36D2" w:rsidRPr="009D4627" w14:paraId="0C449703" w14:textId="77777777" w:rsidTr="00281A92">
        <w:trPr>
          <w:trHeight w:val="20"/>
          <w:jc w:val="center"/>
        </w:trPr>
        <w:tc>
          <w:tcPr>
            <w:tcW w:w="1291" w:type="pct"/>
            <w:shd w:val="clear" w:color="auto" w:fill="auto"/>
            <w:noWrap/>
            <w:vAlign w:val="bottom"/>
            <w:hideMark/>
          </w:tcPr>
          <w:p w14:paraId="6EEC568D" w14:textId="77777777" w:rsidR="009A36D2" w:rsidRPr="009D4627" w:rsidRDefault="009A36D2" w:rsidP="00281A92">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7BC14C0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7" w:type="pct"/>
            <w:shd w:val="clear" w:color="auto" w:fill="auto"/>
            <w:noWrap/>
            <w:vAlign w:val="bottom"/>
          </w:tcPr>
          <w:p w14:paraId="418E2BC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7" w:type="pct"/>
            <w:shd w:val="clear" w:color="auto" w:fill="auto"/>
            <w:noWrap/>
            <w:vAlign w:val="bottom"/>
          </w:tcPr>
          <w:p w14:paraId="0631D0D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0.80</w:t>
            </w:r>
          </w:p>
        </w:tc>
        <w:tc>
          <w:tcPr>
            <w:tcW w:w="979" w:type="pct"/>
            <w:vAlign w:val="bottom"/>
          </w:tcPr>
          <w:p w14:paraId="4025FC1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r>
      <w:tr w:rsidR="009A36D2" w:rsidRPr="009D4627" w14:paraId="2FA9BEC1" w14:textId="77777777" w:rsidTr="00281A92">
        <w:trPr>
          <w:trHeight w:val="20"/>
          <w:jc w:val="center"/>
        </w:trPr>
        <w:tc>
          <w:tcPr>
            <w:tcW w:w="1291" w:type="pct"/>
            <w:shd w:val="clear" w:color="auto" w:fill="auto"/>
            <w:noWrap/>
            <w:vAlign w:val="bottom"/>
            <w:hideMark/>
          </w:tcPr>
          <w:p w14:paraId="3E61F85A" w14:textId="77777777" w:rsidR="009A36D2" w:rsidRPr="009D4627" w:rsidRDefault="009A36D2" w:rsidP="00281A92">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4F81594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0.94</w:t>
            </w:r>
          </w:p>
        </w:tc>
        <w:tc>
          <w:tcPr>
            <w:tcW w:w="977" w:type="pct"/>
            <w:shd w:val="clear" w:color="auto" w:fill="auto"/>
            <w:noWrap/>
            <w:vAlign w:val="bottom"/>
          </w:tcPr>
          <w:p w14:paraId="3049F42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0.83</w:t>
            </w:r>
          </w:p>
        </w:tc>
        <w:tc>
          <w:tcPr>
            <w:tcW w:w="977" w:type="pct"/>
            <w:shd w:val="clear" w:color="auto" w:fill="auto"/>
            <w:noWrap/>
            <w:vAlign w:val="bottom"/>
          </w:tcPr>
          <w:p w14:paraId="2029027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605172B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0.46</w:t>
            </w:r>
          </w:p>
        </w:tc>
      </w:tr>
      <w:tr w:rsidR="009A36D2" w:rsidRPr="009D4627" w14:paraId="6806EE48" w14:textId="77777777" w:rsidTr="00281A92">
        <w:trPr>
          <w:trHeight w:val="20"/>
          <w:jc w:val="center"/>
        </w:trPr>
        <w:tc>
          <w:tcPr>
            <w:tcW w:w="1291" w:type="pct"/>
            <w:shd w:val="clear" w:color="auto" w:fill="auto"/>
            <w:noWrap/>
            <w:vAlign w:val="bottom"/>
            <w:hideMark/>
          </w:tcPr>
          <w:p w14:paraId="1E07AC69" w14:textId="77777777" w:rsidR="009A36D2" w:rsidRPr="009D4627" w:rsidRDefault="009A36D2" w:rsidP="00281A92">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276DF7C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1.03</w:t>
            </w:r>
          </w:p>
        </w:tc>
        <w:tc>
          <w:tcPr>
            <w:tcW w:w="977" w:type="pct"/>
            <w:shd w:val="clear" w:color="auto" w:fill="auto"/>
            <w:noWrap/>
            <w:vAlign w:val="bottom"/>
          </w:tcPr>
          <w:p w14:paraId="40C6AF7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7" w:type="pct"/>
            <w:shd w:val="clear" w:color="auto" w:fill="auto"/>
            <w:noWrap/>
            <w:vAlign w:val="bottom"/>
          </w:tcPr>
          <w:p w14:paraId="2146F20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0.83</w:t>
            </w:r>
          </w:p>
        </w:tc>
        <w:tc>
          <w:tcPr>
            <w:tcW w:w="979" w:type="pct"/>
            <w:vAlign w:val="bottom"/>
          </w:tcPr>
          <w:p w14:paraId="39BECE8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r>
      <w:tr w:rsidR="009A36D2" w:rsidRPr="009D4627" w14:paraId="40937F40" w14:textId="77777777" w:rsidTr="00281A92">
        <w:trPr>
          <w:trHeight w:val="20"/>
          <w:jc w:val="center"/>
        </w:trPr>
        <w:tc>
          <w:tcPr>
            <w:tcW w:w="1291" w:type="pct"/>
            <w:shd w:val="clear" w:color="auto" w:fill="auto"/>
            <w:noWrap/>
            <w:vAlign w:val="bottom"/>
            <w:hideMark/>
          </w:tcPr>
          <w:p w14:paraId="6CF0320B" w14:textId="77777777" w:rsidR="009A36D2" w:rsidRPr="009D4627" w:rsidRDefault="009A36D2" w:rsidP="00281A92">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55BCD3C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4816001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0F0D668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0.78</w:t>
            </w:r>
          </w:p>
        </w:tc>
        <w:tc>
          <w:tcPr>
            <w:tcW w:w="979" w:type="pct"/>
            <w:vAlign w:val="bottom"/>
          </w:tcPr>
          <w:p w14:paraId="1023983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r>
      <w:tr w:rsidR="009A36D2" w:rsidRPr="009D4627" w14:paraId="5817F5AC" w14:textId="77777777" w:rsidTr="00281A92">
        <w:trPr>
          <w:trHeight w:val="20"/>
          <w:jc w:val="center"/>
        </w:trPr>
        <w:tc>
          <w:tcPr>
            <w:tcW w:w="1291" w:type="pct"/>
            <w:shd w:val="clear" w:color="auto" w:fill="auto"/>
            <w:noWrap/>
            <w:vAlign w:val="bottom"/>
            <w:hideMark/>
          </w:tcPr>
          <w:p w14:paraId="75858B18" w14:textId="77777777" w:rsidR="009A36D2" w:rsidRPr="009D4627" w:rsidRDefault="009A36D2" w:rsidP="00281A92">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1F36178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0.96</w:t>
            </w:r>
          </w:p>
        </w:tc>
        <w:tc>
          <w:tcPr>
            <w:tcW w:w="977" w:type="pct"/>
            <w:shd w:val="clear" w:color="auto" w:fill="auto"/>
            <w:noWrap/>
            <w:vAlign w:val="bottom"/>
          </w:tcPr>
          <w:p w14:paraId="79322B3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14B03F7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9" w:type="pct"/>
            <w:vAlign w:val="bottom"/>
          </w:tcPr>
          <w:p w14:paraId="487F562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r>
      <w:tr w:rsidR="009A36D2" w:rsidRPr="009D4627" w14:paraId="047E5467" w14:textId="77777777" w:rsidTr="00281A92">
        <w:trPr>
          <w:trHeight w:val="20"/>
          <w:jc w:val="center"/>
        </w:trPr>
        <w:tc>
          <w:tcPr>
            <w:tcW w:w="1291" w:type="pct"/>
            <w:shd w:val="clear" w:color="auto" w:fill="auto"/>
            <w:noWrap/>
            <w:vAlign w:val="bottom"/>
            <w:hideMark/>
          </w:tcPr>
          <w:p w14:paraId="2A389E7A" w14:textId="77777777" w:rsidR="009A36D2" w:rsidRPr="009D4627" w:rsidRDefault="009A36D2" w:rsidP="00281A92">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592483B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1.07</w:t>
            </w:r>
          </w:p>
        </w:tc>
        <w:tc>
          <w:tcPr>
            <w:tcW w:w="977" w:type="pct"/>
            <w:shd w:val="clear" w:color="auto" w:fill="auto"/>
            <w:noWrap/>
            <w:vAlign w:val="bottom"/>
          </w:tcPr>
          <w:p w14:paraId="68DEC63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7" w:type="pct"/>
            <w:shd w:val="clear" w:color="auto" w:fill="auto"/>
            <w:noWrap/>
            <w:vAlign w:val="bottom"/>
          </w:tcPr>
          <w:p w14:paraId="4566528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c>
          <w:tcPr>
            <w:tcW w:w="979" w:type="pct"/>
            <w:vAlign w:val="bottom"/>
          </w:tcPr>
          <w:p w14:paraId="0178707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0.78</w:t>
            </w:r>
          </w:p>
        </w:tc>
      </w:tr>
      <w:tr w:rsidR="009A36D2" w:rsidRPr="009D4627" w14:paraId="0A6F7A0A" w14:textId="77777777" w:rsidTr="00281A92">
        <w:trPr>
          <w:trHeight w:val="20"/>
          <w:jc w:val="center"/>
        </w:trPr>
        <w:tc>
          <w:tcPr>
            <w:tcW w:w="1291" w:type="pct"/>
            <w:shd w:val="clear" w:color="auto" w:fill="auto"/>
            <w:noWrap/>
            <w:vAlign w:val="bottom"/>
            <w:hideMark/>
          </w:tcPr>
          <w:p w14:paraId="7D78B37B" w14:textId="77777777" w:rsidR="009A36D2" w:rsidRPr="009D4627" w:rsidRDefault="009A36D2" w:rsidP="00281A92">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1A8A66A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7" w:type="pct"/>
            <w:shd w:val="clear" w:color="auto" w:fill="auto"/>
            <w:noWrap/>
            <w:vAlign w:val="bottom"/>
          </w:tcPr>
          <w:p w14:paraId="4A90337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0.95</w:t>
            </w:r>
          </w:p>
        </w:tc>
        <w:tc>
          <w:tcPr>
            <w:tcW w:w="977" w:type="pct"/>
            <w:shd w:val="clear" w:color="auto" w:fill="auto"/>
            <w:noWrap/>
            <w:vAlign w:val="bottom"/>
          </w:tcPr>
          <w:p w14:paraId="191405B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0.92</w:t>
            </w:r>
          </w:p>
        </w:tc>
        <w:tc>
          <w:tcPr>
            <w:tcW w:w="979" w:type="pct"/>
            <w:vAlign w:val="bottom"/>
          </w:tcPr>
          <w:p w14:paraId="302B5BD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r>
      <w:tr w:rsidR="009A36D2" w:rsidRPr="009D4627" w14:paraId="1F24F803" w14:textId="77777777" w:rsidTr="00281A92">
        <w:trPr>
          <w:trHeight w:val="20"/>
          <w:jc w:val="center"/>
        </w:trPr>
        <w:tc>
          <w:tcPr>
            <w:tcW w:w="1291" w:type="pct"/>
            <w:shd w:val="clear" w:color="auto" w:fill="auto"/>
            <w:noWrap/>
            <w:vAlign w:val="bottom"/>
            <w:hideMark/>
          </w:tcPr>
          <w:p w14:paraId="71A97BD1" w14:textId="77777777" w:rsidR="009A36D2" w:rsidRPr="009D4627" w:rsidRDefault="009A36D2" w:rsidP="00281A92">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0DFFE4E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7" w:type="pct"/>
            <w:shd w:val="clear" w:color="auto" w:fill="auto"/>
            <w:noWrap/>
            <w:vAlign w:val="bottom"/>
          </w:tcPr>
          <w:p w14:paraId="2CFC719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0.87</w:t>
            </w:r>
          </w:p>
        </w:tc>
        <w:tc>
          <w:tcPr>
            <w:tcW w:w="977" w:type="pct"/>
            <w:shd w:val="clear" w:color="auto" w:fill="auto"/>
            <w:noWrap/>
            <w:vAlign w:val="bottom"/>
          </w:tcPr>
          <w:p w14:paraId="6B9D9BB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c>
          <w:tcPr>
            <w:tcW w:w="979" w:type="pct"/>
            <w:vAlign w:val="bottom"/>
          </w:tcPr>
          <w:p w14:paraId="186CC09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r>
      <w:tr w:rsidR="009A36D2" w:rsidRPr="009D4627" w14:paraId="0683FAAF" w14:textId="77777777" w:rsidTr="00281A92">
        <w:trPr>
          <w:trHeight w:val="20"/>
          <w:jc w:val="center"/>
        </w:trPr>
        <w:tc>
          <w:tcPr>
            <w:tcW w:w="5000" w:type="pct"/>
            <w:gridSpan w:val="5"/>
            <w:shd w:val="clear" w:color="auto" w:fill="auto"/>
            <w:noWrap/>
            <w:vAlign w:val="bottom"/>
            <w:hideMark/>
          </w:tcPr>
          <w:p w14:paraId="26362707" w14:textId="77777777" w:rsidR="009A36D2" w:rsidRPr="009D4627" w:rsidRDefault="009A36D2" w:rsidP="00281A92">
            <w:pPr>
              <w:pStyle w:val="ListParagraph"/>
              <w:numPr>
                <w:ilvl w:val="0"/>
                <w:numId w:val="109"/>
              </w:numPr>
              <w:tabs>
                <w:tab w:val="left" w:pos="525"/>
              </w:tabs>
              <w:spacing w:before="0" w:after="0" w:line="240" w:lineRule="auto"/>
              <w:ind w:right="417"/>
              <w:jc w:val="left"/>
              <w:rPr>
                <w:b/>
                <w:bCs/>
                <w:color w:val="auto"/>
                <w:sz w:val="20"/>
                <w:szCs w:val="20"/>
              </w:rPr>
            </w:pPr>
            <w:r w:rsidRPr="009D4627">
              <w:rPr>
                <w:b/>
                <w:bCs/>
                <w:color w:val="auto"/>
                <w:sz w:val="20"/>
                <w:szCs w:val="20"/>
              </w:rPr>
              <w:t xml:space="preserve">Horizontal SP RMSE (°) </w:t>
            </w:r>
          </w:p>
        </w:tc>
      </w:tr>
      <w:tr w:rsidR="009A36D2" w:rsidRPr="009D4627" w14:paraId="512237F3" w14:textId="77777777" w:rsidTr="00281A92">
        <w:trPr>
          <w:trHeight w:val="20"/>
          <w:jc w:val="center"/>
        </w:trPr>
        <w:tc>
          <w:tcPr>
            <w:tcW w:w="5000" w:type="pct"/>
            <w:gridSpan w:val="5"/>
            <w:shd w:val="clear" w:color="auto" w:fill="D9D9D9" w:themeFill="background1" w:themeFillShade="D9"/>
            <w:noWrap/>
            <w:vAlign w:val="bottom"/>
          </w:tcPr>
          <w:p w14:paraId="1034B576" w14:textId="77777777" w:rsidR="009A36D2" w:rsidRPr="009D4627" w:rsidRDefault="009A36D2" w:rsidP="00281A92">
            <w:pPr>
              <w:spacing w:before="0" w:after="0" w:line="240" w:lineRule="auto"/>
              <w:jc w:val="left"/>
              <w:rPr>
                <w:color w:val="auto"/>
                <w:sz w:val="20"/>
                <w:szCs w:val="20"/>
              </w:rPr>
            </w:pPr>
            <w:r w:rsidRPr="009D4627">
              <w:rPr>
                <w:color w:val="auto"/>
                <w:sz w:val="20"/>
                <w:szCs w:val="20"/>
              </w:rPr>
              <w:t>Young (18-39 years old)</w:t>
            </w:r>
          </w:p>
        </w:tc>
      </w:tr>
      <w:tr w:rsidR="009A36D2" w:rsidRPr="009D4627" w14:paraId="5FB8192B" w14:textId="77777777" w:rsidTr="00281A92">
        <w:trPr>
          <w:trHeight w:val="20"/>
          <w:jc w:val="center"/>
        </w:trPr>
        <w:tc>
          <w:tcPr>
            <w:tcW w:w="1291" w:type="pct"/>
            <w:tcBorders>
              <w:tl2br w:val="single" w:sz="4" w:space="0" w:color="auto"/>
            </w:tcBorders>
            <w:shd w:val="clear" w:color="auto" w:fill="auto"/>
            <w:hideMark/>
          </w:tcPr>
          <w:p w14:paraId="28C93514"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Target frequency</w:t>
            </w:r>
          </w:p>
          <w:p w14:paraId="4A0604E6" w14:textId="77777777" w:rsidR="009A36D2" w:rsidRPr="009D4627" w:rsidRDefault="009A36D2" w:rsidP="00281A92">
            <w:pPr>
              <w:spacing w:before="0" w:after="0" w:line="240" w:lineRule="auto"/>
              <w:rPr>
                <w:color w:val="auto"/>
                <w:sz w:val="20"/>
                <w:szCs w:val="20"/>
              </w:rPr>
            </w:pPr>
          </w:p>
          <w:p w14:paraId="63F6D414" w14:textId="77777777" w:rsidR="009A36D2" w:rsidRPr="009D4627" w:rsidRDefault="009A36D2" w:rsidP="00281A92">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0F32EC05"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2F952CBF"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08E26652"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0.6 Hz</w:t>
            </w:r>
          </w:p>
        </w:tc>
        <w:tc>
          <w:tcPr>
            <w:tcW w:w="979" w:type="pct"/>
          </w:tcPr>
          <w:p w14:paraId="707BFD7A"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0.8 Hz</w:t>
            </w:r>
          </w:p>
        </w:tc>
      </w:tr>
      <w:tr w:rsidR="009A36D2" w:rsidRPr="009D4627" w14:paraId="7F1F51F2" w14:textId="77777777" w:rsidTr="00281A92">
        <w:trPr>
          <w:trHeight w:val="20"/>
          <w:jc w:val="center"/>
        </w:trPr>
        <w:tc>
          <w:tcPr>
            <w:tcW w:w="1291" w:type="pct"/>
            <w:shd w:val="clear" w:color="auto" w:fill="auto"/>
            <w:noWrap/>
            <w:vAlign w:val="bottom"/>
            <w:hideMark/>
          </w:tcPr>
          <w:p w14:paraId="34AA7D89" w14:textId="77777777" w:rsidR="009A36D2" w:rsidRPr="009D4627" w:rsidRDefault="009A36D2" w:rsidP="00281A92">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0B9EAE5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c>
          <w:tcPr>
            <w:tcW w:w="977" w:type="pct"/>
            <w:shd w:val="clear" w:color="auto" w:fill="auto"/>
            <w:noWrap/>
            <w:vAlign w:val="bottom"/>
          </w:tcPr>
          <w:p w14:paraId="6193E51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0.77</w:t>
            </w:r>
          </w:p>
        </w:tc>
        <w:tc>
          <w:tcPr>
            <w:tcW w:w="977" w:type="pct"/>
            <w:shd w:val="clear" w:color="auto" w:fill="auto"/>
            <w:noWrap/>
            <w:vAlign w:val="bottom"/>
          </w:tcPr>
          <w:p w14:paraId="01C8DC9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0.84</w:t>
            </w:r>
          </w:p>
        </w:tc>
        <w:tc>
          <w:tcPr>
            <w:tcW w:w="979" w:type="pct"/>
            <w:vAlign w:val="bottom"/>
          </w:tcPr>
          <w:p w14:paraId="11C2F43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1.00</w:t>
            </w:r>
          </w:p>
        </w:tc>
      </w:tr>
      <w:tr w:rsidR="009A36D2" w:rsidRPr="009D4627" w14:paraId="4706F1FC" w14:textId="77777777" w:rsidTr="00281A92">
        <w:trPr>
          <w:trHeight w:val="20"/>
          <w:jc w:val="center"/>
        </w:trPr>
        <w:tc>
          <w:tcPr>
            <w:tcW w:w="1291" w:type="pct"/>
            <w:shd w:val="clear" w:color="auto" w:fill="auto"/>
            <w:noWrap/>
            <w:vAlign w:val="bottom"/>
            <w:hideMark/>
          </w:tcPr>
          <w:p w14:paraId="6F97A6B3" w14:textId="77777777" w:rsidR="009A36D2" w:rsidRPr="009D4627" w:rsidRDefault="009A36D2" w:rsidP="00281A92">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27E30F8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0.24</w:t>
            </w:r>
          </w:p>
        </w:tc>
        <w:tc>
          <w:tcPr>
            <w:tcW w:w="977" w:type="pct"/>
            <w:shd w:val="clear" w:color="auto" w:fill="auto"/>
            <w:noWrap/>
            <w:vAlign w:val="bottom"/>
          </w:tcPr>
          <w:p w14:paraId="4CD844B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0.46</w:t>
            </w:r>
          </w:p>
        </w:tc>
        <w:tc>
          <w:tcPr>
            <w:tcW w:w="977" w:type="pct"/>
            <w:shd w:val="clear" w:color="auto" w:fill="auto"/>
            <w:noWrap/>
            <w:vAlign w:val="bottom"/>
          </w:tcPr>
          <w:p w14:paraId="1FD074E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1B2073C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1.27</w:t>
            </w:r>
          </w:p>
        </w:tc>
      </w:tr>
      <w:tr w:rsidR="009A36D2" w:rsidRPr="009D4627" w14:paraId="407D4C78" w14:textId="77777777" w:rsidTr="00281A92">
        <w:trPr>
          <w:trHeight w:val="20"/>
          <w:jc w:val="center"/>
        </w:trPr>
        <w:tc>
          <w:tcPr>
            <w:tcW w:w="1291" w:type="pct"/>
            <w:shd w:val="clear" w:color="auto" w:fill="auto"/>
            <w:noWrap/>
            <w:vAlign w:val="bottom"/>
            <w:hideMark/>
          </w:tcPr>
          <w:p w14:paraId="707E3612" w14:textId="77777777" w:rsidR="009A36D2" w:rsidRPr="009D4627" w:rsidRDefault="009A36D2" w:rsidP="00281A92">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34ED557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0.31</w:t>
            </w:r>
          </w:p>
        </w:tc>
        <w:tc>
          <w:tcPr>
            <w:tcW w:w="977" w:type="pct"/>
            <w:shd w:val="clear" w:color="auto" w:fill="auto"/>
            <w:noWrap/>
            <w:vAlign w:val="bottom"/>
          </w:tcPr>
          <w:p w14:paraId="0FF472B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0.53</w:t>
            </w:r>
          </w:p>
        </w:tc>
        <w:tc>
          <w:tcPr>
            <w:tcW w:w="977" w:type="pct"/>
            <w:shd w:val="clear" w:color="auto" w:fill="auto"/>
            <w:noWrap/>
            <w:vAlign w:val="bottom"/>
          </w:tcPr>
          <w:p w14:paraId="2FE106E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9" w:type="pct"/>
            <w:vAlign w:val="bottom"/>
          </w:tcPr>
          <w:p w14:paraId="66D2CFD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1.40</w:t>
            </w:r>
          </w:p>
        </w:tc>
      </w:tr>
      <w:tr w:rsidR="009A36D2" w:rsidRPr="009D4627" w14:paraId="05C8431C" w14:textId="77777777" w:rsidTr="00281A92">
        <w:trPr>
          <w:trHeight w:val="20"/>
          <w:jc w:val="center"/>
        </w:trPr>
        <w:tc>
          <w:tcPr>
            <w:tcW w:w="1291" w:type="pct"/>
            <w:shd w:val="clear" w:color="auto" w:fill="auto"/>
            <w:noWrap/>
            <w:vAlign w:val="bottom"/>
            <w:hideMark/>
          </w:tcPr>
          <w:p w14:paraId="21EB62C0" w14:textId="77777777" w:rsidR="009A36D2" w:rsidRPr="009D4627" w:rsidRDefault="009A36D2" w:rsidP="00281A92">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5E381A5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0.38</w:t>
            </w:r>
          </w:p>
        </w:tc>
        <w:tc>
          <w:tcPr>
            <w:tcW w:w="977" w:type="pct"/>
            <w:shd w:val="clear" w:color="auto" w:fill="auto"/>
            <w:noWrap/>
            <w:vAlign w:val="bottom"/>
          </w:tcPr>
          <w:p w14:paraId="29577D7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0.56</w:t>
            </w:r>
          </w:p>
        </w:tc>
        <w:tc>
          <w:tcPr>
            <w:tcW w:w="977" w:type="pct"/>
            <w:shd w:val="clear" w:color="auto" w:fill="auto"/>
            <w:noWrap/>
            <w:vAlign w:val="bottom"/>
          </w:tcPr>
          <w:p w14:paraId="1C74C30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c>
          <w:tcPr>
            <w:tcW w:w="979" w:type="pct"/>
            <w:vAlign w:val="bottom"/>
          </w:tcPr>
          <w:p w14:paraId="466AAEF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1.23</w:t>
            </w:r>
          </w:p>
        </w:tc>
      </w:tr>
      <w:tr w:rsidR="009A36D2" w:rsidRPr="009D4627" w14:paraId="28614336" w14:textId="77777777" w:rsidTr="00281A92">
        <w:trPr>
          <w:trHeight w:val="20"/>
          <w:jc w:val="center"/>
        </w:trPr>
        <w:tc>
          <w:tcPr>
            <w:tcW w:w="1291" w:type="pct"/>
            <w:shd w:val="clear" w:color="auto" w:fill="auto"/>
            <w:noWrap/>
            <w:vAlign w:val="bottom"/>
            <w:hideMark/>
          </w:tcPr>
          <w:p w14:paraId="6EC32DCF" w14:textId="77777777" w:rsidR="009A36D2" w:rsidRPr="009D4627" w:rsidRDefault="009A36D2" w:rsidP="00281A92">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50C1579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0.46</w:t>
            </w:r>
          </w:p>
        </w:tc>
        <w:tc>
          <w:tcPr>
            <w:tcW w:w="977" w:type="pct"/>
            <w:shd w:val="clear" w:color="auto" w:fill="auto"/>
            <w:noWrap/>
            <w:vAlign w:val="bottom"/>
          </w:tcPr>
          <w:p w14:paraId="2449D2D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7" w:type="pct"/>
            <w:shd w:val="clear" w:color="auto" w:fill="auto"/>
            <w:noWrap/>
            <w:vAlign w:val="bottom"/>
          </w:tcPr>
          <w:p w14:paraId="3F2B12B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1.73</w:t>
            </w:r>
          </w:p>
        </w:tc>
        <w:tc>
          <w:tcPr>
            <w:tcW w:w="979" w:type="pct"/>
            <w:vAlign w:val="bottom"/>
          </w:tcPr>
          <w:p w14:paraId="7279092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1.86</w:t>
            </w:r>
          </w:p>
        </w:tc>
      </w:tr>
      <w:tr w:rsidR="009A36D2" w:rsidRPr="009D4627" w14:paraId="47762486" w14:textId="77777777" w:rsidTr="00281A92">
        <w:trPr>
          <w:trHeight w:val="20"/>
          <w:jc w:val="center"/>
        </w:trPr>
        <w:tc>
          <w:tcPr>
            <w:tcW w:w="1291" w:type="pct"/>
            <w:shd w:val="clear" w:color="auto" w:fill="auto"/>
            <w:noWrap/>
            <w:vAlign w:val="bottom"/>
            <w:hideMark/>
          </w:tcPr>
          <w:p w14:paraId="365C35E0" w14:textId="77777777" w:rsidR="009A36D2" w:rsidRPr="009D4627" w:rsidRDefault="009A36D2" w:rsidP="00281A92">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0A8BA24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0.58</w:t>
            </w:r>
          </w:p>
        </w:tc>
        <w:tc>
          <w:tcPr>
            <w:tcW w:w="977" w:type="pct"/>
            <w:shd w:val="clear" w:color="auto" w:fill="auto"/>
            <w:noWrap/>
            <w:vAlign w:val="bottom"/>
          </w:tcPr>
          <w:p w14:paraId="29DC3CD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c>
          <w:tcPr>
            <w:tcW w:w="977" w:type="pct"/>
            <w:shd w:val="clear" w:color="auto" w:fill="auto"/>
            <w:noWrap/>
            <w:vAlign w:val="bottom"/>
          </w:tcPr>
          <w:p w14:paraId="01175B9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0.69</w:t>
            </w:r>
          </w:p>
        </w:tc>
        <w:tc>
          <w:tcPr>
            <w:tcW w:w="979" w:type="pct"/>
            <w:vAlign w:val="bottom"/>
          </w:tcPr>
          <w:p w14:paraId="7821E5B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1.03</w:t>
            </w:r>
          </w:p>
        </w:tc>
      </w:tr>
      <w:tr w:rsidR="009A36D2" w:rsidRPr="009D4627" w14:paraId="05E4242D" w14:textId="77777777" w:rsidTr="00281A92">
        <w:trPr>
          <w:trHeight w:val="20"/>
          <w:jc w:val="center"/>
        </w:trPr>
        <w:tc>
          <w:tcPr>
            <w:tcW w:w="1291" w:type="pct"/>
            <w:shd w:val="clear" w:color="auto" w:fill="auto"/>
            <w:noWrap/>
            <w:vAlign w:val="bottom"/>
            <w:hideMark/>
          </w:tcPr>
          <w:p w14:paraId="1A6410E8" w14:textId="77777777" w:rsidR="009A36D2" w:rsidRPr="009D4627" w:rsidRDefault="009A36D2" w:rsidP="00281A92">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0BE9612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0.36</w:t>
            </w:r>
          </w:p>
        </w:tc>
        <w:tc>
          <w:tcPr>
            <w:tcW w:w="977" w:type="pct"/>
            <w:shd w:val="clear" w:color="auto" w:fill="auto"/>
            <w:noWrap/>
            <w:vAlign w:val="bottom"/>
          </w:tcPr>
          <w:p w14:paraId="1341234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0.40</w:t>
            </w:r>
          </w:p>
        </w:tc>
        <w:tc>
          <w:tcPr>
            <w:tcW w:w="977" w:type="pct"/>
            <w:shd w:val="clear" w:color="auto" w:fill="auto"/>
            <w:noWrap/>
            <w:vAlign w:val="bottom"/>
          </w:tcPr>
          <w:p w14:paraId="44F4572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9" w:type="pct"/>
            <w:vAlign w:val="bottom"/>
          </w:tcPr>
          <w:p w14:paraId="6CBF672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1.62</w:t>
            </w:r>
          </w:p>
        </w:tc>
      </w:tr>
      <w:tr w:rsidR="009A36D2" w:rsidRPr="009D4627" w14:paraId="716A4260" w14:textId="77777777" w:rsidTr="00281A92">
        <w:trPr>
          <w:trHeight w:val="20"/>
          <w:jc w:val="center"/>
        </w:trPr>
        <w:tc>
          <w:tcPr>
            <w:tcW w:w="1291" w:type="pct"/>
            <w:shd w:val="clear" w:color="auto" w:fill="auto"/>
            <w:noWrap/>
            <w:vAlign w:val="bottom"/>
            <w:hideMark/>
          </w:tcPr>
          <w:p w14:paraId="1C4C750B" w14:textId="77777777" w:rsidR="009A36D2" w:rsidRPr="009D4627" w:rsidRDefault="009A36D2" w:rsidP="00281A92">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3C32DE4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0.22</w:t>
            </w:r>
          </w:p>
        </w:tc>
        <w:tc>
          <w:tcPr>
            <w:tcW w:w="977" w:type="pct"/>
            <w:shd w:val="clear" w:color="auto" w:fill="auto"/>
            <w:noWrap/>
            <w:vAlign w:val="bottom"/>
          </w:tcPr>
          <w:p w14:paraId="0686BF0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0.39</w:t>
            </w:r>
          </w:p>
        </w:tc>
        <w:tc>
          <w:tcPr>
            <w:tcW w:w="977" w:type="pct"/>
            <w:shd w:val="clear" w:color="auto" w:fill="auto"/>
            <w:noWrap/>
            <w:vAlign w:val="bottom"/>
          </w:tcPr>
          <w:p w14:paraId="7A5B834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c>
          <w:tcPr>
            <w:tcW w:w="979" w:type="pct"/>
            <w:vAlign w:val="bottom"/>
          </w:tcPr>
          <w:p w14:paraId="23C9024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1.34</w:t>
            </w:r>
          </w:p>
        </w:tc>
      </w:tr>
      <w:tr w:rsidR="009A36D2" w:rsidRPr="009D4627" w14:paraId="6148EBAB" w14:textId="77777777" w:rsidTr="00281A92">
        <w:trPr>
          <w:trHeight w:val="20"/>
          <w:jc w:val="center"/>
        </w:trPr>
        <w:tc>
          <w:tcPr>
            <w:tcW w:w="1291" w:type="pct"/>
            <w:shd w:val="clear" w:color="auto" w:fill="auto"/>
            <w:noWrap/>
            <w:vAlign w:val="bottom"/>
            <w:hideMark/>
          </w:tcPr>
          <w:p w14:paraId="14814720" w14:textId="77777777" w:rsidR="009A36D2" w:rsidRPr="009D4627" w:rsidRDefault="009A36D2" w:rsidP="00281A92">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3E925FF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0.70</w:t>
            </w:r>
          </w:p>
        </w:tc>
        <w:tc>
          <w:tcPr>
            <w:tcW w:w="977" w:type="pct"/>
            <w:shd w:val="clear" w:color="auto" w:fill="auto"/>
            <w:noWrap/>
            <w:vAlign w:val="bottom"/>
          </w:tcPr>
          <w:p w14:paraId="1078F35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0.67</w:t>
            </w:r>
          </w:p>
        </w:tc>
        <w:tc>
          <w:tcPr>
            <w:tcW w:w="977" w:type="pct"/>
            <w:shd w:val="clear" w:color="auto" w:fill="auto"/>
            <w:noWrap/>
            <w:vAlign w:val="bottom"/>
          </w:tcPr>
          <w:p w14:paraId="0B1CB55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0.55</w:t>
            </w:r>
          </w:p>
        </w:tc>
        <w:tc>
          <w:tcPr>
            <w:tcW w:w="979" w:type="pct"/>
            <w:vAlign w:val="bottom"/>
          </w:tcPr>
          <w:p w14:paraId="6766795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1.10</w:t>
            </w:r>
          </w:p>
        </w:tc>
      </w:tr>
      <w:tr w:rsidR="009A36D2" w:rsidRPr="009D4627" w14:paraId="2EFEC32A" w14:textId="77777777" w:rsidTr="00281A92">
        <w:trPr>
          <w:trHeight w:val="20"/>
          <w:jc w:val="center"/>
        </w:trPr>
        <w:tc>
          <w:tcPr>
            <w:tcW w:w="1291" w:type="pct"/>
            <w:shd w:val="clear" w:color="auto" w:fill="auto"/>
            <w:noWrap/>
            <w:vAlign w:val="bottom"/>
            <w:hideMark/>
          </w:tcPr>
          <w:p w14:paraId="4585F7C1" w14:textId="77777777" w:rsidR="009A36D2" w:rsidRPr="009D4627" w:rsidRDefault="009A36D2" w:rsidP="00281A92">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3F7E91E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0.38</w:t>
            </w:r>
          </w:p>
        </w:tc>
        <w:tc>
          <w:tcPr>
            <w:tcW w:w="977" w:type="pct"/>
            <w:shd w:val="clear" w:color="auto" w:fill="auto"/>
            <w:noWrap/>
            <w:vAlign w:val="bottom"/>
          </w:tcPr>
          <w:p w14:paraId="75AF851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0.52</w:t>
            </w:r>
          </w:p>
        </w:tc>
        <w:tc>
          <w:tcPr>
            <w:tcW w:w="977" w:type="pct"/>
            <w:shd w:val="clear" w:color="auto" w:fill="auto"/>
            <w:noWrap/>
            <w:vAlign w:val="bottom"/>
          </w:tcPr>
          <w:p w14:paraId="69916BB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c>
          <w:tcPr>
            <w:tcW w:w="979" w:type="pct"/>
            <w:vAlign w:val="bottom"/>
          </w:tcPr>
          <w:p w14:paraId="0ADF2E4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r>
      <w:tr w:rsidR="009A36D2" w:rsidRPr="009D4627" w14:paraId="5F37CAF7" w14:textId="77777777" w:rsidTr="00281A92">
        <w:trPr>
          <w:trHeight w:val="20"/>
          <w:jc w:val="center"/>
        </w:trPr>
        <w:tc>
          <w:tcPr>
            <w:tcW w:w="1291" w:type="pct"/>
            <w:shd w:val="clear" w:color="auto" w:fill="auto"/>
            <w:noWrap/>
            <w:vAlign w:val="bottom"/>
            <w:hideMark/>
          </w:tcPr>
          <w:p w14:paraId="7E9201A3" w14:textId="77777777" w:rsidR="009A36D2" w:rsidRPr="009D4627" w:rsidRDefault="009A36D2" w:rsidP="00281A92">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4255D32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0.17</w:t>
            </w:r>
          </w:p>
        </w:tc>
        <w:tc>
          <w:tcPr>
            <w:tcW w:w="977" w:type="pct"/>
            <w:shd w:val="clear" w:color="auto" w:fill="auto"/>
            <w:noWrap/>
            <w:vAlign w:val="bottom"/>
          </w:tcPr>
          <w:p w14:paraId="71938D6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0.35</w:t>
            </w:r>
          </w:p>
        </w:tc>
        <w:tc>
          <w:tcPr>
            <w:tcW w:w="977" w:type="pct"/>
            <w:shd w:val="clear" w:color="auto" w:fill="auto"/>
            <w:noWrap/>
            <w:vAlign w:val="bottom"/>
          </w:tcPr>
          <w:p w14:paraId="44A4DF1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c>
          <w:tcPr>
            <w:tcW w:w="979" w:type="pct"/>
            <w:vAlign w:val="bottom"/>
          </w:tcPr>
          <w:p w14:paraId="040F6F9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0.93</w:t>
            </w:r>
          </w:p>
        </w:tc>
      </w:tr>
      <w:tr w:rsidR="009A36D2" w:rsidRPr="009D4627" w14:paraId="2E1BA908" w14:textId="77777777" w:rsidTr="00281A92">
        <w:trPr>
          <w:trHeight w:val="20"/>
          <w:jc w:val="center"/>
        </w:trPr>
        <w:tc>
          <w:tcPr>
            <w:tcW w:w="1291" w:type="pct"/>
            <w:shd w:val="clear" w:color="auto" w:fill="auto"/>
            <w:noWrap/>
            <w:vAlign w:val="bottom"/>
            <w:hideMark/>
          </w:tcPr>
          <w:p w14:paraId="7A7255E5" w14:textId="77777777" w:rsidR="009A36D2" w:rsidRPr="009D4627" w:rsidRDefault="009A36D2" w:rsidP="00281A92">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0F562F2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0.32</w:t>
            </w:r>
          </w:p>
        </w:tc>
        <w:tc>
          <w:tcPr>
            <w:tcW w:w="977" w:type="pct"/>
            <w:shd w:val="clear" w:color="auto" w:fill="auto"/>
            <w:noWrap/>
            <w:vAlign w:val="bottom"/>
          </w:tcPr>
          <w:p w14:paraId="785C83E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0.41</w:t>
            </w:r>
          </w:p>
        </w:tc>
        <w:tc>
          <w:tcPr>
            <w:tcW w:w="977" w:type="pct"/>
            <w:shd w:val="clear" w:color="auto" w:fill="auto"/>
            <w:noWrap/>
            <w:vAlign w:val="bottom"/>
          </w:tcPr>
          <w:p w14:paraId="103DE5E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0.69</w:t>
            </w:r>
          </w:p>
        </w:tc>
        <w:tc>
          <w:tcPr>
            <w:tcW w:w="979" w:type="pct"/>
            <w:vAlign w:val="bottom"/>
          </w:tcPr>
          <w:p w14:paraId="31A8A70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1.06</w:t>
            </w:r>
          </w:p>
        </w:tc>
      </w:tr>
      <w:tr w:rsidR="009A36D2" w:rsidRPr="009D4627" w14:paraId="184B3BD9" w14:textId="77777777" w:rsidTr="00281A92">
        <w:trPr>
          <w:trHeight w:val="20"/>
          <w:jc w:val="center"/>
        </w:trPr>
        <w:tc>
          <w:tcPr>
            <w:tcW w:w="1291" w:type="pct"/>
            <w:shd w:val="clear" w:color="auto" w:fill="auto"/>
            <w:noWrap/>
            <w:vAlign w:val="bottom"/>
            <w:hideMark/>
          </w:tcPr>
          <w:p w14:paraId="76305F4F" w14:textId="77777777" w:rsidR="009A36D2" w:rsidRPr="009D4627" w:rsidRDefault="009A36D2" w:rsidP="00281A92">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38C55DE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0.60</w:t>
            </w:r>
          </w:p>
        </w:tc>
        <w:tc>
          <w:tcPr>
            <w:tcW w:w="977" w:type="pct"/>
            <w:shd w:val="clear" w:color="auto" w:fill="auto"/>
            <w:noWrap/>
            <w:vAlign w:val="bottom"/>
          </w:tcPr>
          <w:p w14:paraId="06AF1DB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c>
          <w:tcPr>
            <w:tcW w:w="977" w:type="pct"/>
            <w:shd w:val="clear" w:color="auto" w:fill="auto"/>
            <w:noWrap/>
            <w:vAlign w:val="bottom"/>
          </w:tcPr>
          <w:p w14:paraId="07149A7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0.81</w:t>
            </w:r>
          </w:p>
        </w:tc>
        <w:tc>
          <w:tcPr>
            <w:tcW w:w="979" w:type="pct"/>
            <w:vAlign w:val="bottom"/>
          </w:tcPr>
          <w:p w14:paraId="3C760FD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1.16</w:t>
            </w:r>
          </w:p>
        </w:tc>
      </w:tr>
      <w:tr w:rsidR="009A36D2" w:rsidRPr="009D4627" w14:paraId="19B4DCFC" w14:textId="77777777" w:rsidTr="00281A92">
        <w:trPr>
          <w:trHeight w:val="20"/>
          <w:jc w:val="center"/>
        </w:trPr>
        <w:tc>
          <w:tcPr>
            <w:tcW w:w="1291" w:type="pct"/>
            <w:shd w:val="clear" w:color="auto" w:fill="auto"/>
            <w:noWrap/>
            <w:vAlign w:val="bottom"/>
            <w:hideMark/>
          </w:tcPr>
          <w:p w14:paraId="1943ADE7" w14:textId="77777777" w:rsidR="009A36D2" w:rsidRPr="009D4627" w:rsidRDefault="009A36D2" w:rsidP="00281A92">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547347F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0.52</w:t>
            </w:r>
          </w:p>
        </w:tc>
        <w:tc>
          <w:tcPr>
            <w:tcW w:w="977" w:type="pct"/>
            <w:shd w:val="clear" w:color="auto" w:fill="auto"/>
            <w:noWrap/>
            <w:vAlign w:val="bottom"/>
          </w:tcPr>
          <w:p w14:paraId="659DA34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c>
          <w:tcPr>
            <w:tcW w:w="977" w:type="pct"/>
            <w:shd w:val="clear" w:color="auto" w:fill="auto"/>
            <w:noWrap/>
            <w:vAlign w:val="bottom"/>
          </w:tcPr>
          <w:p w14:paraId="6B8DC9F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c>
          <w:tcPr>
            <w:tcW w:w="979" w:type="pct"/>
            <w:vAlign w:val="bottom"/>
          </w:tcPr>
          <w:p w14:paraId="398AB7A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1.30</w:t>
            </w:r>
          </w:p>
        </w:tc>
      </w:tr>
      <w:tr w:rsidR="009A36D2" w:rsidRPr="009D4627" w14:paraId="2764A2D8" w14:textId="77777777" w:rsidTr="00281A92">
        <w:trPr>
          <w:trHeight w:val="20"/>
          <w:jc w:val="center"/>
        </w:trPr>
        <w:tc>
          <w:tcPr>
            <w:tcW w:w="1291" w:type="pct"/>
            <w:shd w:val="clear" w:color="auto" w:fill="auto"/>
            <w:noWrap/>
            <w:vAlign w:val="bottom"/>
            <w:hideMark/>
          </w:tcPr>
          <w:p w14:paraId="4A8E7C6C" w14:textId="77777777" w:rsidR="009A36D2" w:rsidRPr="009D4627" w:rsidRDefault="009A36D2" w:rsidP="00281A92">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5748230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0.79</w:t>
            </w:r>
          </w:p>
        </w:tc>
        <w:tc>
          <w:tcPr>
            <w:tcW w:w="977" w:type="pct"/>
            <w:shd w:val="clear" w:color="auto" w:fill="auto"/>
            <w:noWrap/>
            <w:vAlign w:val="bottom"/>
          </w:tcPr>
          <w:p w14:paraId="0573F38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0.83</w:t>
            </w:r>
          </w:p>
        </w:tc>
        <w:tc>
          <w:tcPr>
            <w:tcW w:w="977" w:type="pct"/>
            <w:shd w:val="clear" w:color="auto" w:fill="auto"/>
            <w:noWrap/>
            <w:vAlign w:val="bottom"/>
          </w:tcPr>
          <w:p w14:paraId="4C520F7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1.26</w:t>
            </w:r>
          </w:p>
        </w:tc>
        <w:tc>
          <w:tcPr>
            <w:tcW w:w="979" w:type="pct"/>
            <w:vAlign w:val="bottom"/>
          </w:tcPr>
          <w:p w14:paraId="0327C2B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1.61</w:t>
            </w:r>
          </w:p>
        </w:tc>
      </w:tr>
      <w:tr w:rsidR="009A36D2" w:rsidRPr="009D4627" w14:paraId="1BADEA0E" w14:textId="77777777" w:rsidTr="00281A92">
        <w:trPr>
          <w:trHeight w:val="20"/>
          <w:jc w:val="center"/>
        </w:trPr>
        <w:tc>
          <w:tcPr>
            <w:tcW w:w="1291" w:type="pct"/>
            <w:shd w:val="clear" w:color="auto" w:fill="auto"/>
            <w:noWrap/>
            <w:vAlign w:val="bottom"/>
            <w:hideMark/>
          </w:tcPr>
          <w:p w14:paraId="5AC80832" w14:textId="77777777" w:rsidR="009A36D2" w:rsidRPr="009D4627" w:rsidRDefault="009A36D2" w:rsidP="00281A92">
            <w:pPr>
              <w:spacing w:before="0" w:after="0" w:line="240" w:lineRule="auto"/>
              <w:rPr>
                <w:color w:val="auto"/>
                <w:sz w:val="20"/>
                <w:szCs w:val="20"/>
              </w:rPr>
            </w:pPr>
            <w:r w:rsidRPr="009D4627">
              <w:rPr>
                <w:color w:val="auto"/>
                <w:sz w:val="20"/>
                <w:szCs w:val="20"/>
              </w:rPr>
              <w:t>16</w:t>
            </w:r>
          </w:p>
        </w:tc>
        <w:tc>
          <w:tcPr>
            <w:tcW w:w="776" w:type="pct"/>
            <w:shd w:val="clear" w:color="auto" w:fill="auto"/>
            <w:noWrap/>
            <w:vAlign w:val="bottom"/>
          </w:tcPr>
          <w:p w14:paraId="46EF3AD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0.32</w:t>
            </w:r>
          </w:p>
        </w:tc>
        <w:tc>
          <w:tcPr>
            <w:tcW w:w="977" w:type="pct"/>
            <w:shd w:val="clear" w:color="auto" w:fill="auto"/>
            <w:noWrap/>
            <w:vAlign w:val="bottom"/>
          </w:tcPr>
          <w:p w14:paraId="62B0E0F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0.40</w:t>
            </w:r>
          </w:p>
        </w:tc>
        <w:tc>
          <w:tcPr>
            <w:tcW w:w="977" w:type="pct"/>
            <w:shd w:val="clear" w:color="auto" w:fill="auto"/>
            <w:noWrap/>
            <w:vAlign w:val="bottom"/>
          </w:tcPr>
          <w:p w14:paraId="36B3003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0.64</w:t>
            </w:r>
          </w:p>
        </w:tc>
        <w:tc>
          <w:tcPr>
            <w:tcW w:w="979" w:type="pct"/>
            <w:vAlign w:val="bottom"/>
          </w:tcPr>
          <w:p w14:paraId="0C1BA5A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0.90</w:t>
            </w:r>
          </w:p>
        </w:tc>
      </w:tr>
      <w:tr w:rsidR="009A36D2" w:rsidRPr="009D4627" w14:paraId="354C4091" w14:textId="77777777" w:rsidTr="00281A92">
        <w:trPr>
          <w:trHeight w:val="20"/>
          <w:jc w:val="center"/>
        </w:trPr>
        <w:tc>
          <w:tcPr>
            <w:tcW w:w="1291" w:type="pct"/>
            <w:shd w:val="clear" w:color="auto" w:fill="auto"/>
            <w:noWrap/>
            <w:vAlign w:val="bottom"/>
            <w:hideMark/>
          </w:tcPr>
          <w:p w14:paraId="79F8E962" w14:textId="77777777" w:rsidR="009A36D2" w:rsidRPr="009D4627" w:rsidRDefault="009A36D2" w:rsidP="00281A92">
            <w:pPr>
              <w:spacing w:before="0" w:after="0" w:line="240" w:lineRule="auto"/>
              <w:rPr>
                <w:color w:val="auto"/>
                <w:sz w:val="20"/>
                <w:szCs w:val="20"/>
              </w:rPr>
            </w:pPr>
            <w:r w:rsidRPr="009D4627">
              <w:rPr>
                <w:color w:val="auto"/>
                <w:sz w:val="20"/>
                <w:szCs w:val="20"/>
              </w:rPr>
              <w:t>17</w:t>
            </w:r>
          </w:p>
        </w:tc>
        <w:tc>
          <w:tcPr>
            <w:tcW w:w="776" w:type="pct"/>
            <w:shd w:val="clear" w:color="auto" w:fill="auto"/>
            <w:noWrap/>
            <w:vAlign w:val="bottom"/>
          </w:tcPr>
          <w:p w14:paraId="5D1E4DA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0.33</w:t>
            </w:r>
          </w:p>
        </w:tc>
        <w:tc>
          <w:tcPr>
            <w:tcW w:w="977" w:type="pct"/>
            <w:shd w:val="clear" w:color="auto" w:fill="auto"/>
            <w:noWrap/>
            <w:vAlign w:val="bottom"/>
          </w:tcPr>
          <w:p w14:paraId="6E9720C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0.43</w:t>
            </w:r>
          </w:p>
        </w:tc>
        <w:tc>
          <w:tcPr>
            <w:tcW w:w="977" w:type="pct"/>
            <w:shd w:val="clear" w:color="auto" w:fill="auto"/>
            <w:noWrap/>
            <w:vAlign w:val="bottom"/>
          </w:tcPr>
          <w:p w14:paraId="36D1ED0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0.73</w:t>
            </w:r>
          </w:p>
        </w:tc>
        <w:tc>
          <w:tcPr>
            <w:tcW w:w="979" w:type="pct"/>
            <w:vAlign w:val="bottom"/>
          </w:tcPr>
          <w:p w14:paraId="2E7E108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1.13</w:t>
            </w:r>
          </w:p>
        </w:tc>
      </w:tr>
      <w:tr w:rsidR="009A36D2" w:rsidRPr="009D4627" w14:paraId="6D3E395A" w14:textId="77777777" w:rsidTr="00281A92">
        <w:trPr>
          <w:trHeight w:val="20"/>
          <w:jc w:val="center"/>
        </w:trPr>
        <w:tc>
          <w:tcPr>
            <w:tcW w:w="1291" w:type="pct"/>
            <w:shd w:val="clear" w:color="auto" w:fill="auto"/>
            <w:noWrap/>
            <w:vAlign w:val="bottom"/>
            <w:hideMark/>
          </w:tcPr>
          <w:p w14:paraId="4955BF63" w14:textId="77777777" w:rsidR="009A36D2" w:rsidRPr="009D4627" w:rsidRDefault="009A36D2" w:rsidP="00281A92">
            <w:pPr>
              <w:spacing w:before="0" w:after="0" w:line="240" w:lineRule="auto"/>
              <w:rPr>
                <w:color w:val="auto"/>
                <w:sz w:val="20"/>
                <w:szCs w:val="20"/>
              </w:rPr>
            </w:pPr>
            <w:r w:rsidRPr="009D4627">
              <w:rPr>
                <w:color w:val="auto"/>
                <w:sz w:val="20"/>
                <w:szCs w:val="20"/>
              </w:rPr>
              <w:t>18</w:t>
            </w:r>
          </w:p>
        </w:tc>
        <w:tc>
          <w:tcPr>
            <w:tcW w:w="776" w:type="pct"/>
            <w:shd w:val="clear" w:color="auto" w:fill="auto"/>
            <w:noWrap/>
            <w:vAlign w:val="bottom"/>
          </w:tcPr>
          <w:p w14:paraId="799C021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0.71</w:t>
            </w:r>
          </w:p>
        </w:tc>
        <w:tc>
          <w:tcPr>
            <w:tcW w:w="977" w:type="pct"/>
            <w:shd w:val="clear" w:color="auto" w:fill="auto"/>
            <w:noWrap/>
            <w:vAlign w:val="bottom"/>
          </w:tcPr>
          <w:p w14:paraId="7109375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c>
          <w:tcPr>
            <w:tcW w:w="977" w:type="pct"/>
            <w:shd w:val="clear" w:color="auto" w:fill="auto"/>
            <w:noWrap/>
            <w:vAlign w:val="bottom"/>
          </w:tcPr>
          <w:p w14:paraId="099D291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0.75</w:t>
            </w:r>
          </w:p>
        </w:tc>
        <w:tc>
          <w:tcPr>
            <w:tcW w:w="979" w:type="pct"/>
            <w:vAlign w:val="bottom"/>
          </w:tcPr>
          <w:p w14:paraId="6D3D8C5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1.44</w:t>
            </w:r>
          </w:p>
        </w:tc>
      </w:tr>
      <w:tr w:rsidR="009A36D2" w:rsidRPr="009D4627" w14:paraId="24EFF2DD" w14:textId="77777777" w:rsidTr="00281A92">
        <w:trPr>
          <w:trHeight w:val="20"/>
          <w:jc w:val="center"/>
        </w:trPr>
        <w:tc>
          <w:tcPr>
            <w:tcW w:w="1291" w:type="pct"/>
            <w:shd w:val="clear" w:color="auto" w:fill="auto"/>
            <w:noWrap/>
            <w:vAlign w:val="bottom"/>
            <w:hideMark/>
          </w:tcPr>
          <w:p w14:paraId="072B17D4" w14:textId="77777777" w:rsidR="009A36D2" w:rsidRPr="009D4627" w:rsidRDefault="009A36D2" w:rsidP="00281A92">
            <w:pPr>
              <w:spacing w:before="0" w:after="0" w:line="240" w:lineRule="auto"/>
              <w:rPr>
                <w:color w:val="auto"/>
                <w:sz w:val="20"/>
                <w:szCs w:val="20"/>
              </w:rPr>
            </w:pPr>
            <w:r w:rsidRPr="009D4627">
              <w:rPr>
                <w:color w:val="auto"/>
                <w:sz w:val="20"/>
                <w:szCs w:val="20"/>
              </w:rPr>
              <w:t>19</w:t>
            </w:r>
          </w:p>
        </w:tc>
        <w:tc>
          <w:tcPr>
            <w:tcW w:w="776" w:type="pct"/>
            <w:shd w:val="clear" w:color="auto" w:fill="auto"/>
            <w:noWrap/>
            <w:vAlign w:val="bottom"/>
          </w:tcPr>
          <w:p w14:paraId="1B3DC34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0.24</w:t>
            </w:r>
          </w:p>
        </w:tc>
        <w:tc>
          <w:tcPr>
            <w:tcW w:w="977" w:type="pct"/>
            <w:shd w:val="clear" w:color="auto" w:fill="auto"/>
            <w:noWrap/>
            <w:vAlign w:val="bottom"/>
          </w:tcPr>
          <w:p w14:paraId="2B7A766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0.44</w:t>
            </w:r>
          </w:p>
        </w:tc>
        <w:tc>
          <w:tcPr>
            <w:tcW w:w="977" w:type="pct"/>
            <w:shd w:val="clear" w:color="auto" w:fill="auto"/>
            <w:noWrap/>
            <w:vAlign w:val="bottom"/>
          </w:tcPr>
          <w:p w14:paraId="141C486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0.81</w:t>
            </w:r>
          </w:p>
        </w:tc>
        <w:tc>
          <w:tcPr>
            <w:tcW w:w="979" w:type="pct"/>
            <w:vAlign w:val="bottom"/>
          </w:tcPr>
          <w:p w14:paraId="1C13214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1.46</w:t>
            </w:r>
          </w:p>
        </w:tc>
      </w:tr>
      <w:tr w:rsidR="009A36D2" w:rsidRPr="009D4627" w14:paraId="4A3C8A57" w14:textId="77777777" w:rsidTr="00281A92">
        <w:trPr>
          <w:trHeight w:val="20"/>
          <w:jc w:val="center"/>
        </w:trPr>
        <w:tc>
          <w:tcPr>
            <w:tcW w:w="1291" w:type="pct"/>
            <w:shd w:val="clear" w:color="auto" w:fill="auto"/>
            <w:noWrap/>
            <w:vAlign w:val="bottom"/>
            <w:hideMark/>
          </w:tcPr>
          <w:p w14:paraId="2444D4DD" w14:textId="77777777" w:rsidR="009A36D2" w:rsidRPr="009D4627" w:rsidRDefault="009A36D2" w:rsidP="00281A92">
            <w:pPr>
              <w:spacing w:before="0" w:after="0" w:line="240" w:lineRule="auto"/>
              <w:rPr>
                <w:color w:val="auto"/>
                <w:sz w:val="20"/>
                <w:szCs w:val="20"/>
              </w:rPr>
            </w:pPr>
            <w:r w:rsidRPr="009D4627">
              <w:rPr>
                <w:color w:val="auto"/>
                <w:sz w:val="20"/>
                <w:szCs w:val="20"/>
              </w:rPr>
              <w:t>20</w:t>
            </w:r>
          </w:p>
        </w:tc>
        <w:tc>
          <w:tcPr>
            <w:tcW w:w="776" w:type="pct"/>
            <w:shd w:val="clear" w:color="auto" w:fill="auto"/>
            <w:noWrap/>
            <w:vAlign w:val="bottom"/>
          </w:tcPr>
          <w:p w14:paraId="7FA6EE2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0.25</w:t>
            </w:r>
          </w:p>
        </w:tc>
        <w:tc>
          <w:tcPr>
            <w:tcW w:w="977" w:type="pct"/>
            <w:shd w:val="clear" w:color="auto" w:fill="auto"/>
            <w:noWrap/>
            <w:vAlign w:val="bottom"/>
          </w:tcPr>
          <w:p w14:paraId="420C815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0.28</w:t>
            </w:r>
          </w:p>
        </w:tc>
        <w:tc>
          <w:tcPr>
            <w:tcW w:w="977" w:type="pct"/>
            <w:shd w:val="clear" w:color="auto" w:fill="auto"/>
            <w:noWrap/>
            <w:vAlign w:val="bottom"/>
          </w:tcPr>
          <w:p w14:paraId="74CB325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c>
          <w:tcPr>
            <w:tcW w:w="979" w:type="pct"/>
            <w:vAlign w:val="bottom"/>
          </w:tcPr>
          <w:p w14:paraId="3256E28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1.10</w:t>
            </w:r>
          </w:p>
        </w:tc>
      </w:tr>
      <w:tr w:rsidR="009A36D2" w:rsidRPr="009D4627" w14:paraId="474DE947" w14:textId="77777777" w:rsidTr="00281A92">
        <w:trPr>
          <w:trHeight w:val="20"/>
          <w:jc w:val="center"/>
        </w:trPr>
        <w:tc>
          <w:tcPr>
            <w:tcW w:w="1291" w:type="pct"/>
            <w:shd w:val="clear" w:color="auto" w:fill="auto"/>
            <w:noWrap/>
            <w:vAlign w:val="bottom"/>
            <w:hideMark/>
          </w:tcPr>
          <w:p w14:paraId="0F9401C7" w14:textId="77777777" w:rsidR="009A36D2" w:rsidRPr="009D4627" w:rsidRDefault="009A36D2" w:rsidP="00281A92">
            <w:pPr>
              <w:spacing w:before="0" w:after="0" w:line="240" w:lineRule="auto"/>
              <w:rPr>
                <w:color w:val="auto"/>
                <w:sz w:val="20"/>
                <w:szCs w:val="20"/>
              </w:rPr>
            </w:pPr>
            <w:r w:rsidRPr="009D4627">
              <w:rPr>
                <w:color w:val="auto"/>
                <w:sz w:val="20"/>
                <w:szCs w:val="20"/>
              </w:rPr>
              <w:t>21</w:t>
            </w:r>
          </w:p>
        </w:tc>
        <w:tc>
          <w:tcPr>
            <w:tcW w:w="776" w:type="pct"/>
            <w:shd w:val="clear" w:color="auto" w:fill="auto"/>
            <w:noWrap/>
            <w:vAlign w:val="bottom"/>
          </w:tcPr>
          <w:p w14:paraId="3C14DE6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0.53</w:t>
            </w:r>
          </w:p>
        </w:tc>
        <w:tc>
          <w:tcPr>
            <w:tcW w:w="977" w:type="pct"/>
            <w:shd w:val="clear" w:color="auto" w:fill="auto"/>
            <w:noWrap/>
            <w:vAlign w:val="bottom"/>
          </w:tcPr>
          <w:p w14:paraId="07A5B8B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0.63</w:t>
            </w:r>
          </w:p>
        </w:tc>
        <w:tc>
          <w:tcPr>
            <w:tcW w:w="977" w:type="pct"/>
            <w:shd w:val="clear" w:color="auto" w:fill="auto"/>
            <w:noWrap/>
            <w:vAlign w:val="bottom"/>
          </w:tcPr>
          <w:p w14:paraId="7BAD0CE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0.99</w:t>
            </w:r>
          </w:p>
        </w:tc>
        <w:tc>
          <w:tcPr>
            <w:tcW w:w="979" w:type="pct"/>
            <w:vAlign w:val="bottom"/>
          </w:tcPr>
          <w:p w14:paraId="38D465B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1.80</w:t>
            </w:r>
          </w:p>
        </w:tc>
      </w:tr>
      <w:tr w:rsidR="009A36D2" w:rsidRPr="009D4627" w14:paraId="60F4A297" w14:textId="77777777" w:rsidTr="00281A92">
        <w:trPr>
          <w:trHeight w:val="20"/>
          <w:jc w:val="center"/>
        </w:trPr>
        <w:tc>
          <w:tcPr>
            <w:tcW w:w="1291" w:type="pct"/>
            <w:shd w:val="clear" w:color="auto" w:fill="auto"/>
            <w:noWrap/>
            <w:vAlign w:val="bottom"/>
            <w:hideMark/>
          </w:tcPr>
          <w:p w14:paraId="12FB288E" w14:textId="77777777" w:rsidR="009A36D2" w:rsidRPr="009D4627" w:rsidRDefault="009A36D2" w:rsidP="00281A92">
            <w:pPr>
              <w:spacing w:before="0" w:after="0" w:line="240" w:lineRule="auto"/>
              <w:rPr>
                <w:color w:val="auto"/>
                <w:sz w:val="20"/>
                <w:szCs w:val="20"/>
              </w:rPr>
            </w:pPr>
            <w:r w:rsidRPr="009D4627">
              <w:rPr>
                <w:color w:val="auto"/>
                <w:sz w:val="20"/>
                <w:szCs w:val="20"/>
              </w:rPr>
              <w:t>22</w:t>
            </w:r>
          </w:p>
        </w:tc>
        <w:tc>
          <w:tcPr>
            <w:tcW w:w="776" w:type="pct"/>
            <w:shd w:val="clear" w:color="auto" w:fill="auto"/>
            <w:noWrap/>
            <w:vAlign w:val="bottom"/>
          </w:tcPr>
          <w:p w14:paraId="484F884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0.33</w:t>
            </w:r>
          </w:p>
        </w:tc>
        <w:tc>
          <w:tcPr>
            <w:tcW w:w="977" w:type="pct"/>
            <w:shd w:val="clear" w:color="auto" w:fill="auto"/>
            <w:noWrap/>
            <w:vAlign w:val="bottom"/>
          </w:tcPr>
          <w:p w14:paraId="2E2D056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0.39</w:t>
            </w:r>
          </w:p>
        </w:tc>
        <w:tc>
          <w:tcPr>
            <w:tcW w:w="977" w:type="pct"/>
            <w:shd w:val="clear" w:color="auto" w:fill="auto"/>
            <w:noWrap/>
            <w:vAlign w:val="bottom"/>
          </w:tcPr>
          <w:p w14:paraId="103638C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c>
          <w:tcPr>
            <w:tcW w:w="979" w:type="pct"/>
            <w:vAlign w:val="bottom"/>
          </w:tcPr>
          <w:p w14:paraId="0B2D391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1.23</w:t>
            </w:r>
          </w:p>
        </w:tc>
      </w:tr>
      <w:tr w:rsidR="009A36D2" w:rsidRPr="009D4627" w14:paraId="783572B2" w14:textId="77777777" w:rsidTr="00281A92">
        <w:trPr>
          <w:trHeight w:val="20"/>
          <w:jc w:val="center"/>
        </w:trPr>
        <w:tc>
          <w:tcPr>
            <w:tcW w:w="1291" w:type="pct"/>
            <w:shd w:val="clear" w:color="auto" w:fill="auto"/>
            <w:noWrap/>
            <w:vAlign w:val="bottom"/>
            <w:hideMark/>
          </w:tcPr>
          <w:p w14:paraId="240E5645" w14:textId="77777777" w:rsidR="009A36D2" w:rsidRPr="009D4627" w:rsidRDefault="009A36D2" w:rsidP="00281A92">
            <w:pPr>
              <w:spacing w:before="0" w:after="0" w:line="240" w:lineRule="auto"/>
              <w:rPr>
                <w:color w:val="auto"/>
                <w:sz w:val="20"/>
                <w:szCs w:val="20"/>
              </w:rPr>
            </w:pPr>
            <w:r w:rsidRPr="009D4627">
              <w:rPr>
                <w:color w:val="auto"/>
                <w:sz w:val="20"/>
                <w:szCs w:val="20"/>
              </w:rPr>
              <w:t>23</w:t>
            </w:r>
          </w:p>
        </w:tc>
        <w:tc>
          <w:tcPr>
            <w:tcW w:w="776" w:type="pct"/>
            <w:shd w:val="clear" w:color="auto" w:fill="auto"/>
            <w:noWrap/>
            <w:vAlign w:val="bottom"/>
          </w:tcPr>
          <w:p w14:paraId="55105F9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0.40</w:t>
            </w:r>
          </w:p>
        </w:tc>
        <w:tc>
          <w:tcPr>
            <w:tcW w:w="977" w:type="pct"/>
            <w:shd w:val="clear" w:color="auto" w:fill="auto"/>
            <w:noWrap/>
            <w:vAlign w:val="bottom"/>
          </w:tcPr>
          <w:p w14:paraId="7031265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0.42</w:t>
            </w:r>
          </w:p>
        </w:tc>
        <w:tc>
          <w:tcPr>
            <w:tcW w:w="977" w:type="pct"/>
            <w:shd w:val="clear" w:color="auto" w:fill="auto"/>
            <w:noWrap/>
            <w:vAlign w:val="bottom"/>
          </w:tcPr>
          <w:p w14:paraId="2898875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c>
          <w:tcPr>
            <w:tcW w:w="979" w:type="pct"/>
            <w:vAlign w:val="bottom"/>
          </w:tcPr>
          <w:p w14:paraId="7E8CBCD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1.25</w:t>
            </w:r>
          </w:p>
        </w:tc>
      </w:tr>
      <w:tr w:rsidR="009A36D2" w:rsidRPr="009D4627" w14:paraId="5ED9F9B1" w14:textId="77777777" w:rsidTr="00281A92">
        <w:trPr>
          <w:trHeight w:val="20"/>
          <w:jc w:val="center"/>
        </w:trPr>
        <w:tc>
          <w:tcPr>
            <w:tcW w:w="5000" w:type="pct"/>
            <w:gridSpan w:val="5"/>
            <w:shd w:val="clear" w:color="auto" w:fill="D9D9D9" w:themeFill="background1" w:themeFillShade="D9"/>
            <w:noWrap/>
            <w:vAlign w:val="bottom"/>
          </w:tcPr>
          <w:p w14:paraId="1BD1E8BA" w14:textId="77777777" w:rsidR="009A36D2" w:rsidRPr="009D4627" w:rsidRDefault="009A36D2" w:rsidP="00281A92">
            <w:pPr>
              <w:spacing w:before="0" w:after="0" w:line="240" w:lineRule="auto"/>
              <w:jc w:val="left"/>
              <w:rPr>
                <w:color w:val="auto"/>
                <w:sz w:val="20"/>
                <w:szCs w:val="20"/>
              </w:rPr>
            </w:pPr>
            <w:r w:rsidRPr="009D4627">
              <w:rPr>
                <w:color w:val="auto"/>
                <w:sz w:val="20"/>
                <w:szCs w:val="20"/>
              </w:rPr>
              <w:t>Middle (40-59 years old)</w:t>
            </w:r>
          </w:p>
        </w:tc>
      </w:tr>
      <w:tr w:rsidR="009A36D2" w:rsidRPr="009D4627" w14:paraId="04E42778" w14:textId="77777777" w:rsidTr="00281A92">
        <w:trPr>
          <w:trHeight w:val="20"/>
          <w:jc w:val="center"/>
        </w:trPr>
        <w:tc>
          <w:tcPr>
            <w:tcW w:w="1291" w:type="pct"/>
            <w:tcBorders>
              <w:tl2br w:val="single" w:sz="4" w:space="0" w:color="auto"/>
            </w:tcBorders>
            <w:shd w:val="clear" w:color="auto" w:fill="auto"/>
            <w:hideMark/>
          </w:tcPr>
          <w:p w14:paraId="6B4CD822"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Target frequency</w:t>
            </w:r>
          </w:p>
          <w:p w14:paraId="7E0C9293" w14:textId="77777777" w:rsidR="009A36D2" w:rsidRPr="009D4627" w:rsidRDefault="009A36D2" w:rsidP="00281A92">
            <w:pPr>
              <w:spacing w:before="0" w:after="0" w:line="240" w:lineRule="auto"/>
              <w:rPr>
                <w:color w:val="auto"/>
                <w:sz w:val="20"/>
                <w:szCs w:val="20"/>
              </w:rPr>
            </w:pPr>
          </w:p>
          <w:p w14:paraId="436005EA" w14:textId="77777777" w:rsidR="009A36D2" w:rsidRPr="009D4627" w:rsidRDefault="009A36D2" w:rsidP="00281A92">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55CFCD3B"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20012781"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675535E2"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0.6 Hz</w:t>
            </w:r>
          </w:p>
        </w:tc>
        <w:tc>
          <w:tcPr>
            <w:tcW w:w="979" w:type="pct"/>
          </w:tcPr>
          <w:p w14:paraId="4B011DE1" w14:textId="77777777" w:rsidR="009A36D2" w:rsidRPr="009D4627" w:rsidRDefault="009A36D2" w:rsidP="00281A92">
            <w:pPr>
              <w:spacing w:before="0" w:after="0" w:line="240" w:lineRule="auto"/>
              <w:jc w:val="right"/>
              <w:rPr>
                <w:color w:val="auto"/>
                <w:sz w:val="20"/>
                <w:szCs w:val="20"/>
              </w:rPr>
            </w:pPr>
            <w:r w:rsidRPr="009D4627">
              <w:rPr>
                <w:color w:val="auto"/>
                <w:sz w:val="20"/>
                <w:szCs w:val="20"/>
              </w:rPr>
              <w:t>0.8 Hz</w:t>
            </w:r>
          </w:p>
        </w:tc>
      </w:tr>
      <w:tr w:rsidR="009A36D2" w:rsidRPr="009D4627" w14:paraId="6C86FB43" w14:textId="77777777" w:rsidTr="00281A92">
        <w:trPr>
          <w:trHeight w:val="20"/>
          <w:jc w:val="center"/>
        </w:trPr>
        <w:tc>
          <w:tcPr>
            <w:tcW w:w="1291" w:type="pct"/>
            <w:shd w:val="clear" w:color="auto" w:fill="auto"/>
            <w:noWrap/>
            <w:vAlign w:val="bottom"/>
            <w:hideMark/>
          </w:tcPr>
          <w:p w14:paraId="3FCADB32" w14:textId="77777777" w:rsidR="009A36D2" w:rsidRPr="009D4627" w:rsidRDefault="009A36D2" w:rsidP="00281A92">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6447D44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0.85</w:t>
            </w:r>
          </w:p>
        </w:tc>
        <w:tc>
          <w:tcPr>
            <w:tcW w:w="977" w:type="pct"/>
            <w:shd w:val="clear" w:color="auto" w:fill="auto"/>
            <w:noWrap/>
            <w:vAlign w:val="bottom"/>
          </w:tcPr>
          <w:p w14:paraId="32A7435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1.22</w:t>
            </w:r>
          </w:p>
        </w:tc>
        <w:tc>
          <w:tcPr>
            <w:tcW w:w="977" w:type="pct"/>
            <w:shd w:val="clear" w:color="auto" w:fill="auto"/>
            <w:noWrap/>
            <w:vAlign w:val="bottom"/>
          </w:tcPr>
          <w:p w14:paraId="55D040F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1.57</w:t>
            </w:r>
          </w:p>
        </w:tc>
        <w:tc>
          <w:tcPr>
            <w:tcW w:w="979" w:type="pct"/>
            <w:vAlign w:val="bottom"/>
          </w:tcPr>
          <w:p w14:paraId="315A33E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1.33</w:t>
            </w:r>
          </w:p>
        </w:tc>
      </w:tr>
      <w:tr w:rsidR="009A36D2" w:rsidRPr="009D4627" w14:paraId="3266E57E" w14:textId="77777777" w:rsidTr="00281A92">
        <w:trPr>
          <w:trHeight w:val="20"/>
          <w:jc w:val="center"/>
        </w:trPr>
        <w:tc>
          <w:tcPr>
            <w:tcW w:w="1291" w:type="pct"/>
            <w:shd w:val="clear" w:color="auto" w:fill="auto"/>
            <w:noWrap/>
            <w:vAlign w:val="bottom"/>
            <w:hideMark/>
          </w:tcPr>
          <w:p w14:paraId="11623653" w14:textId="77777777" w:rsidR="009A36D2" w:rsidRPr="009D4627" w:rsidRDefault="009A36D2" w:rsidP="00281A92">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7FCAC0B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0.40</w:t>
            </w:r>
          </w:p>
        </w:tc>
        <w:tc>
          <w:tcPr>
            <w:tcW w:w="977" w:type="pct"/>
            <w:shd w:val="clear" w:color="auto" w:fill="auto"/>
            <w:noWrap/>
            <w:vAlign w:val="bottom"/>
          </w:tcPr>
          <w:p w14:paraId="205090B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1.06</w:t>
            </w:r>
          </w:p>
        </w:tc>
        <w:tc>
          <w:tcPr>
            <w:tcW w:w="977" w:type="pct"/>
            <w:shd w:val="clear" w:color="auto" w:fill="auto"/>
            <w:noWrap/>
            <w:vAlign w:val="bottom"/>
          </w:tcPr>
          <w:p w14:paraId="4DCC7AB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1.27</w:t>
            </w:r>
          </w:p>
        </w:tc>
        <w:tc>
          <w:tcPr>
            <w:tcW w:w="979" w:type="pct"/>
            <w:vAlign w:val="bottom"/>
          </w:tcPr>
          <w:p w14:paraId="388DC90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1.79</w:t>
            </w:r>
          </w:p>
        </w:tc>
      </w:tr>
      <w:tr w:rsidR="009A36D2" w:rsidRPr="009D4627" w14:paraId="25822866" w14:textId="77777777" w:rsidTr="00281A92">
        <w:trPr>
          <w:trHeight w:val="20"/>
          <w:jc w:val="center"/>
        </w:trPr>
        <w:tc>
          <w:tcPr>
            <w:tcW w:w="1291" w:type="pct"/>
            <w:shd w:val="clear" w:color="auto" w:fill="auto"/>
            <w:noWrap/>
            <w:vAlign w:val="bottom"/>
            <w:hideMark/>
          </w:tcPr>
          <w:p w14:paraId="307EF096" w14:textId="77777777" w:rsidR="009A36D2" w:rsidRPr="009D4627" w:rsidRDefault="009A36D2" w:rsidP="00281A92">
            <w:pPr>
              <w:spacing w:before="0" w:after="0" w:line="240" w:lineRule="auto"/>
              <w:rPr>
                <w:color w:val="auto"/>
                <w:sz w:val="20"/>
                <w:szCs w:val="20"/>
              </w:rPr>
            </w:pPr>
            <w:r w:rsidRPr="009D4627">
              <w:rPr>
                <w:color w:val="auto"/>
                <w:sz w:val="20"/>
                <w:szCs w:val="20"/>
              </w:rPr>
              <w:lastRenderedPageBreak/>
              <w:t>3</w:t>
            </w:r>
          </w:p>
        </w:tc>
        <w:tc>
          <w:tcPr>
            <w:tcW w:w="776" w:type="pct"/>
            <w:shd w:val="clear" w:color="auto" w:fill="auto"/>
            <w:noWrap/>
            <w:vAlign w:val="bottom"/>
          </w:tcPr>
          <w:p w14:paraId="10E06DD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0.44</w:t>
            </w:r>
          </w:p>
        </w:tc>
        <w:tc>
          <w:tcPr>
            <w:tcW w:w="977" w:type="pct"/>
            <w:shd w:val="clear" w:color="auto" w:fill="auto"/>
            <w:noWrap/>
            <w:vAlign w:val="bottom"/>
          </w:tcPr>
          <w:p w14:paraId="0CE3295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01B61D6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1.69</w:t>
            </w:r>
          </w:p>
        </w:tc>
        <w:tc>
          <w:tcPr>
            <w:tcW w:w="979" w:type="pct"/>
            <w:vAlign w:val="bottom"/>
          </w:tcPr>
          <w:p w14:paraId="42933C6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1.98</w:t>
            </w:r>
          </w:p>
        </w:tc>
      </w:tr>
      <w:tr w:rsidR="009A36D2" w:rsidRPr="009D4627" w14:paraId="1FFD6B49" w14:textId="77777777" w:rsidTr="00281A92">
        <w:trPr>
          <w:trHeight w:val="20"/>
          <w:jc w:val="center"/>
        </w:trPr>
        <w:tc>
          <w:tcPr>
            <w:tcW w:w="1291" w:type="pct"/>
            <w:shd w:val="clear" w:color="auto" w:fill="auto"/>
            <w:noWrap/>
            <w:vAlign w:val="bottom"/>
            <w:hideMark/>
          </w:tcPr>
          <w:p w14:paraId="0D5492C5" w14:textId="77777777" w:rsidR="009A36D2" w:rsidRPr="009D4627" w:rsidRDefault="009A36D2" w:rsidP="00281A92">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008F4E8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0.25</w:t>
            </w:r>
          </w:p>
        </w:tc>
        <w:tc>
          <w:tcPr>
            <w:tcW w:w="977" w:type="pct"/>
            <w:shd w:val="clear" w:color="auto" w:fill="auto"/>
            <w:noWrap/>
            <w:vAlign w:val="bottom"/>
          </w:tcPr>
          <w:p w14:paraId="14C39AE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0.48</w:t>
            </w:r>
          </w:p>
        </w:tc>
        <w:tc>
          <w:tcPr>
            <w:tcW w:w="977" w:type="pct"/>
            <w:shd w:val="clear" w:color="auto" w:fill="auto"/>
            <w:noWrap/>
            <w:vAlign w:val="bottom"/>
          </w:tcPr>
          <w:p w14:paraId="2F1998C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0.74</w:t>
            </w:r>
          </w:p>
        </w:tc>
        <w:tc>
          <w:tcPr>
            <w:tcW w:w="979" w:type="pct"/>
            <w:vAlign w:val="bottom"/>
          </w:tcPr>
          <w:p w14:paraId="04071D5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1.29</w:t>
            </w:r>
          </w:p>
        </w:tc>
      </w:tr>
      <w:tr w:rsidR="009A36D2" w:rsidRPr="009D4627" w14:paraId="30F3ED2E" w14:textId="77777777" w:rsidTr="00281A92">
        <w:trPr>
          <w:trHeight w:val="20"/>
          <w:jc w:val="center"/>
        </w:trPr>
        <w:tc>
          <w:tcPr>
            <w:tcW w:w="1291" w:type="pct"/>
            <w:shd w:val="clear" w:color="auto" w:fill="auto"/>
            <w:noWrap/>
            <w:vAlign w:val="bottom"/>
            <w:hideMark/>
          </w:tcPr>
          <w:p w14:paraId="58099517" w14:textId="77777777" w:rsidR="009A36D2" w:rsidRPr="009D4627" w:rsidRDefault="009A36D2" w:rsidP="00281A92">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02A9731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0.31</w:t>
            </w:r>
          </w:p>
        </w:tc>
        <w:tc>
          <w:tcPr>
            <w:tcW w:w="977" w:type="pct"/>
            <w:shd w:val="clear" w:color="auto" w:fill="auto"/>
            <w:noWrap/>
            <w:vAlign w:val="bottom"/>
          </w:tcPr>
          <w:p w14:paraId="39B08EA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0.44</w:t>
            </w:r>
          </w:p>
        </w:tc>
        <w:tc>
          <w:tcPr>
            <w:tcW w:w="977" w:type="pct"/>
            <w:shd w:val="clear" w:color="auto" w:fill="auto"/>
            <w:noWrap/>
            <w:vAlign w:val="bottom"/>
          </w:tcPr>
          <w:p w14:paraId="455D3B9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9" w:type="pct"/>
            <w:vAlign w:val="bottom"/>
          </w:tcPr>
          <w:p w14:paraId="24C4E78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1.26</w:t>
            </w:r>
          </w:p>
        </w:tc>
      </w:tr>
      <w:tr w:rsidR="009A36D2" w:rsidRPr="009D4627" w14:paraId="119A8E4D" w14:textId="77777777" w:rsidTr="00281A92">
        <w:trPr>
          <w:trHeight w:val="20"/>
          <w:jc w:val="center"/>
        </w:trPr>
        <w:tc>
          <w:tcPr>
            <w:tcW w:w="1291" w:type="pct"/>
            <w:shd w:val="clear" w:color="auto" w:fill="auto"/>
            <w:noWrap/>
            <w:vAlign w:val="bottom"/>
            <w:hideMark/>
          </w:tcPr>
          <w:p w14:paraId="18DED933" w14:textId="77777777" w:rsidR="009A36D2" w:rsidRPr="009D4627" w:rsidRDefault="009A36D2" w:rsidP="00281A92">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383F4B0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0.36</w:t>
            </w:r>
          </w:p>
        </w:tc>
        <w:tc>
          <w:tcPr>
            <w:tcW w:w="977" w:type="pct"/>
            <w:shd w:val="clear" w:color="auto" w:fill="auto"/>
            <w:noWrap/>
            <w:vAlign w:val="bottom"/>
          </w:tcPr>
          <w:p w14:paraId="6F2EFD2C"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0.48</w:t>
            </w:r>
          </w:p>
        </w:tc>
        <w:tc>
          <w:tcPr>
            <w:tcW w:w="977" w:type="pct"/>
            <w:shd w:val="clear" w:color="auto" w:fill="auto"/>
            <w:noWrap/>
            <w:vAlign w:val="bottom"/>
          </w:tcPr>
          <w:p w14:paraId="78B37DD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c>
          <w:tcPr>
            <w:tcW w:w="979" w:type="pct"/>
            <w:vAlign w:val="bottom"/>
          </w:tcPr>
          <w:p w14:paraId="18EE861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1.36</w:t>
            </w:r>
          </w:p>
        </w:tc>
      </w:tr>
      <w:tr w:rsidR="009A36D2" w:rsidRPr="009D4627" w14:paraId="4011F2CE" w14:textId="77777777" w:rsidTr="00281A92">
        <w:trPr>
          <w:trHeight w:val="20"/>
          <w:jc w:val="center"/>
        </w:trPr>
        <w:tc>
          <w:tcPr>
            <w:tcW w:w="1291" w:type="pct"/>
            <w:shd w:val="clear" w:color="auto" w:fill="auto"/>
            <w:noWrap/>
            <w:vAlign w:val="bottom"/>
            <w:hideMark/>
          </w:tcPr>
          <w:p w14:paraId="7151DC10" w14:textId="77777777" w:rsidR="009A36D2" w:rsidRPr="009D4627" w:rsidRDefault="009A36D2" w:rsidP="00281A92">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6C74459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0.46</w:t>
            </w:r>
          </w:p>
        </w:tc>
        <w:tc>
          <w:tcPr>
            <w:tcW w:w="977" w:type="pct"/>
            <w:shd w:val="clear" w:color="auto" w:fill="auto"/>
            <w:noWrap/>
            <w:vAlign w:val="bottom"/>
          </w:tcPr>
          <w:p w14:paraId="439E0AA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0.56</w:t>
            </w:r>
          </w:p>
        </w:tc>
        <w:tc>
          <w:tcPr>
            <w:tcW w:w="977" w:type="pct"/>
            <w:shd w:val="clear" w:color="auto" w:fill="auto"/>
            <w:noWrap/>
            <w:vAlign w:val="bottom"/>
          </w:tcPr>
          <w:p w14:paraId="210C1C1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0.65</w:t>
            </w:r>
          </w:p>
        </w:tc>
        <w:tc>
          <w:tcPr>
            <w:tcW w:w="979" w:type="pct"/>
            <w:vAlign w:val="bottom"/>
          </w:tcPr>
          <w:p w14:paraId="689F3DC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0.88</w:t>
            </w:r>
          </w:p>
        </w:tc>
      </w:tr>
      <w:tr w:rsidR="009A36D2" w:rsidRPr="009D4627" w14:paraId="217FB5BC" w14:textId="77777777" w:rsidTr="00281A92">
        <w:trPr>
          <w:trHeight w:val="20"/>
          <w:jc w:val="center"/>
        </w:trPr>
        <w:tc>
          <w:tcPr>
            <w:tcW w:w="1291" w:type="pct"/>
            <w:shd w:val="clear" w:color="auto" w:fill="auto"/>
            <w:noWrap/>
            <w:vAlign w:val="bottom"/>
            <w:hideMark/>
          </w:tcPr>
          <w:p w14:paraId="0B9C97D0" w14:textId="77777777" w:rsidR="009A36D2" w:rsidRPr="009D4627" w:rsidRDefault="009A36D2" w:rsidP="00281A92">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1178CB4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0.42</w:t>
            </w:r>
          </w:p>
        </w:tc>
        <w:tc>
          <w:tcPr>
            <w:tcW w:w="977" w:type="pct"/>
            <w:shd w:val="clear" w:color="auto" w:fill="auto"/>
            <w:noWrap/>
            <w:vAlign w:val="bottom"/>
          </w:tcPr>
          <w:p w14:paraId="621B058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1.01</w:t>
            </w:r>
          </w:p>
        </w:tc>
        <w:tc>
          <w:tcPr>
            <w:tcW w:w="977" w:type="pct"/>
            <w:shd w:val="clear" w:color="auto" w:fill="auto"/>
            <w:noWrap/>
            <w:vAlign w:val="bottom"/>
          </w:tcPr>
          <w:p w14:paraId="41B1239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1.51</w:t>
            </w:r>
          </w:p>
        </w:tc>
        <w:tc>
          <w:tcPr>
            <w:tcW w:w="979" w:type="pct"/>
            <w:vAlign w:val="bottom"/>
          </w:tcPr>
          <w:p w14:paraId="43AEBC6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1.45</w:t>
            </w:r>
          </w:p>
        </w:tc>
      </w:tr>
      <w:tr w:rsidR="009A36D2" w:rsidRPr="009D4627" w14:paraId="73D10E59" w14:textId="77777777" w:rsidTr="00281A92">
        <w:trPr>
          <w:trHeight w:val="20"/>
          <w:jc w:val="center"/>
        </w:trPr>
        <w:tc>
          <w:tcPr>
            <w:tcW w:w="1291" w:type="pct"/>
            <w:shd w:val="clear" w:color="auto" w:fill="auto"/>
            <w:noWrap/>
            <w:vAlign w:val="bottom"/>
            <w:hideMark/>
          </w:tcPr>
          <w:p w14:paraId="3B6BA4BF" w14:textId="77777777" w:rsidR="009A36D2" w:rsidRPr="009D4627" w:rsidRDefault="009A36D2" w:rsidP="00281A92">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2B9BF6C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0.37</w:t>
            </w:r>
          </w:p>
        </w:tc>
        <w:tc>
          <w:tcPr>
            <w:tcW w:w="977" w:type="pct"/>
            <w:shd w:val="clear" w:color="auto" w:fill="auto"/>
            <w:noWrap/>
            <w:vAlign w:val="bottom"/>
          </w:tcPr>
          <w:p w14:paraId="1955E28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0.56</w:t>
            </w:r>
          </w:p>
        </w:tc>
        <w:tc>
          <w:tcPr>
            <w:tcW w:w="977" w:type="pct"/>
            <w:shd w:val="clear" w:color="auto" w:fill="auto"/>
            <w:noWrap/>
            <w:vAlign w:val="bottom"/>
          </w:tcPr>
          <w:p w14:paraId="0EE0AA3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1.20</w:t>
            </w:r>
          </w:p>
        </w:tc>
        <w:tc>
          <w:tcPr>
            <w:tcW w:w="979" w:type="pct"/>
            <w:vAlign w:val="bottom"/>
          </w:tcPr>
          <w:p w14:paraId="5BEED0E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1.22</w:t>
            </w:r>
          </w:p>
        </w:tc>
      </w:tr>
      <w:tr w:rsidR="009A36D2" w:rsidRPr="009D4627" w14:paraId="4DB82685" w14:textId="77777777" w:rsidTr="00281A92">
        <w:trPr>
          <w:trHeight w:val="20"/>
          <w:jc w:val="center"/>
        </w:trPr>
        <w:tc>
          <w:tcPr>
            <w:tcW w:w="1291" w:type="pct"/>
            <w:shd w:val="clear" w:color="auto" w:fill="auto"/>
            <w:noWrap/>
            <w:vAlign w:val="bottom"/>
            <w:hideMark/>
          </w:tcPr>
          <w:p w14:paraId="362063C5" w14:textId="77777777" w:rsidR="009A36D2" w:rsidRPr="009D4627" w:rsidRDefault="009A36D2" w:rsidP="00281A92">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13A044B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0.49</w:t>
            </w:r>
          </w:p>
        </w:tc>
        <w:tc>
          <w:tcPr>
            <w:tcW w:w="977" w:type="pct"/>
            <w:shd w:val="clear" w:color="auto" w:fill="auto"/>
            <w:noWrap/>
            <w:vAlign w:val="bottom"/>
          </w:tcPr>
          <w:p w14:paraId="067943F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c>
          <w:tcPr>
            <w:tcW w:w="977" w:type="pct"/>
            <w:shd w:val="clear" w:color="auto" w:fill="auto"/>
            <w:noWrap/>
            <w:vAlign w:val="bottom"/>
          </w:tcPr>
          <w:p w14:paraId="75318E55"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0.82</w:t>
            </w:r>
          </w:p>
        </w:tc>
        <w:tc>
          <w:tcPr>
            <w:tcW w:w="979" w:type="pct"/>
            <w:vAlign w:val="bottom"/>
          </w:tcPr>
          <w:p w14:paraId="092E3BC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1.18</w:t>
            </w:r>
          </w:p>
        </w:tc>
      </w:tr>
      <w:tr w:rsidR="009A36D2" w:rsidRPr="009D4627" w14:paraId="1DD5660C" w14:textId="77777777" w:rsidTr="00281A92">
        <w:trPr>
          <w:trHeight w:val="20"/>
          <w:jc w:val="center"/>
        </w:trPr>
        <w:tc>
          <w:tcPr>
            <w:tcW w:w="1291" w:type="pct"/>
            <w:shd w:val="clear" w:color="auto" w:fill="auto"/>
            <w:noWrap/>
            <w:vAlign w:val="bottom"/>
            <w:hideMark/>
          </w:tcPr>
          <w:p w14:paraId="2CAAA55E" w14:textId="77777777" w:rsidR="009A36D2" w:rsidRPr="009D4627" w:rsidRDefault="009A36D2" w:rsidP="00281A92">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2996D3F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0.28</w:t>
            </w:r>
          </w:p>
        </w:tc>
        <w:tc>
          <w:tcPr>
            <w:tcW w:w="977" w:type="pct"/>
            <w:shd w:val="clear" w:color="auto" w:fill="auto"/>
            <w:noWrap/>
            <w:vAlign w:val="bottom"/>
          </w:tcPr>
          <w:p w14:paraId="1A4DF21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0.37</w:t>
            </w:r>
          </w:p>
        </w:tc>
        <w:tc>
          <w:tcPr>
            <w:tcW w:w="977" w:type="pct"/>
            <w:shd w:val="clear" w:color="auto" w:fill="auto"/>
            <w:noWrap/>
            <w:vAlign w:val="bottom"/>
          </w:tcPr>
          <w:p w14:paraId="3B4D038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0.80</w:t>
            </w:r>
          </w:p>
        </w:tc>
        <w:tc>
          <w:tcPr>
            <w:tcW w:w="979" w:type="pct"/>
            <w:vAlign w:val="bottom"/>
          </w:tcPr>
          <w:p w14:paraId="148DC54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1.42</w:t>
            </w:r>
          </w:p>
        </w:tc>
      </w:tr>
      <w:tr w:rsidR="009A36D2" w:rsidRPr="009D4627" w14:paraId="6F673A89" w14:textId="77777777" w:rsidTr="00281A92">
        <w:trPr>
          <w:trHeight w:val="20"/>
          <w:jc w:val="center"/>
        </w:trPr>
        <w:tc>
          <w:tcPr>
            <w:tcW w:w="1291" w:type="pct"/>
            <w:shd w:val="clear" w:color="auto" w:fill="auto"/>
            <w:noWrap/>
            <w:vAlign w:val="bottom"/>
            <w:hideMark/>
          </w:tcPr>
          <w:p w14:paraId="1EB89182" w14:textId="77777777" w:rsidR="009A36D2" w:rsidRPr="009D4627" w:rsidRDefault="009A36D2" w:rsidP="00281A92">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29B2F61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0.39</w:t>
            </w:r>
          </w:p>
        </w:tc>
        <w:tc>
          <w:tcPr>
            <w:tcW w:w="977" w:type="pct"/>
            <w:shd w:val="clear" w:color="auto" w:fill="auto"/>
            <w:noWrap/>
            <w:vAlign w:val="bottom"/>
          </w:tcPr>
          <w:p w14:paraId="51972C8A"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0.60</w:t>
            </w:r>
          </w:p>
        </w:tc>
        <w:tc>
          <w:tcPr>
            <w:tcW w:w="977" w:type="pct"/>
            <w:shd w:val="clear" w:color="auto" w:fill="auto"/>
            <w:noWrap/>
            <w:vAlign w:val="bottom"/>
          </w:tcPr>
          <w:p w14:paraId="2F948AB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0.68</w:t>
            </w:r>
          </w:p>
        </w:tc>
        <w:tc>
          <w:tcPr>
            <w:tcW w:w="979" w:type="pct"/>
            <w:vAlign w:val="bottom"/>
          </w:tcPr>
          <w:p w14:paraId="709A6D7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0.91</w:t>
            </w:r>
          </w:p>
        </w:tc>
      </w:tr>
      <w:tr w:rsidR="009A36D2" w:rsidRPr="009D4627" w14:paraId="120CC01B" w14:textId="77777777" w:rsidTr="00281A92">
        <w:trPr>
          <w:trHeight w:val="20"/>
          <w:jc w:val="center"/>
        </w:trPr>
        <w:tc>
          <w:tcPr>
            <w:tcW w:w="1291" w:type="pct"/>
            <w:shd w:val="clear" w:color="auto" w:fill="auto"/>
            <w:noWrap/>
            <w:vAlign w:val="bottom"/>
            <w:hideMark/>
          </w:tcPr>
          <w:p w14:paraId="663D89C9" w14:textId="77777777" w:rsidR="009A36D2" w:rsidRPr="009D4627" w:rsidRDefault="009A36D2" w:rsidP="00281A92">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61DBD32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0.64</w:t>
            </w:r>
          </w:p>
        </w:tc>
        <w:tc>
          <w:tcPr>
            <w:tcW w:w="977" w:type="pct"/>
            <w:shd w:val="clear" w:color="auto" w:fill="auto"/>
            <w:noWrap/>
            <w:vAlign w:val="bottom"/>
          </w:tcPr>
          <w:p w14:paraId="493FCDD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1.38</w:t>
            </w:r>
          </w:p>
        </w:tc>
        <w:tc>
          <w:tcPr>
            <w:tcW w:w="977" w:type="pct"/>
            <w:shd w:val="clear" w:color="auto" w:fill="auto"/>
            <w:noWrap/>
            <w:vAlign w:val="bottom"/>
          </w:tcPr>
          <w:p w14:paraId="2FC9838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1.22</w:t>
            </w:r>
          </w:p>
        </w:tc>
        <w:tc>
          <w:tcPr>
            <w:tcW w:w="979" w:type="pct"/>
            <w:vAlign w:val="bottom"/>
          </w:tcPr>
          <w:p w14:paraId="60C8CA7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1.16</w:t>
            </w:r>
          </w:p>
        </w:tc>
      </w:tr>
      <w:tr w:rsidR="009A36D2" w:rsidRPr="009D4627" w14:paraId="1092BBD2" w14:textId="77777777" w:rsidTr="00281A92">
        <w:trPr>
          <w:trHeight w:val="20"/>
          <w:jc w:val="center"/>
        </w:trPr>
        <w:tc>
          <w:tcPr>
            <w:tcW w:w="1291" w:type="pct"/>
            <w:shd w:val="clear" w:color="auto" w:fill="auto"/>
            <w:noWrap/>
            <w:vAlign w:val="bottom"/>
            <w:hideMark/>
          </w:tcPr>
          <w:p w14:paraId="0E32831C" w14:textId="77777777" w:rsidR="009A36D2" w:rsidRPr="009D4627" w:rsidRDefault="009A36D2" w:rsidP="00281A92">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42DC7E9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0.23</w:t>
            </w:r>
          </w:p>
        </w:tc>
        <w:tc>
          <w:tcPr>
            <w:tcW w:w="977" w:type="pct"/>
            <w:shd w:val="clear" w:color="auto" w:fill="auto"/>
            <w:noWrap/>
            <w:vAlign w:val="bottom"/>
          </w:tcPr>
          <w:p w14:paraId="1FF17A9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0.45</w:t>
            </w:r>
          </w:p>
        </w:tc>
        <w:tc>
          <w:tcPr>
            <w:tcW w:w="977" w:type="pct"/>
            <w:shd w:val="clear" w:color="auto" w:fill="auto"/>
            <w:noWrap/>
            <w:vAlign w:val="bottom"/>
          </w:tcPr>
          <w:p w14:paraId="0DF9BA5F"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0.71</w:t>
            </w:r>
          </w:p>
        </w:tc>
        <w:tc>
          <w:tcPr>
            <w:tcW w:w="979" w:type="pct"/>
            <w:vAlign w:val="bottom"/>
          </w:tcPr>
          <w:p w14:paraId="406F801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1.41</w:t>
            </w:r>
          </w:p>
        </w:tc>
      </w:tr>
      <w:tr w:rsidR="009A36D2" w:rsidRPr="009D4627" w14:paraId="3B2B0715" w14:textId="77777777" w:rsidTr="00281A92">
        <w:trPr>
          <w:trHeight w:val="20"/>
          <w:jc w:val="center"/>
        </w:trPr>
        <w:tc>
          <w:tcPr>
            <w:tcW w:w="1291" w:type="pct"/>
            <w:shd w:val="clear" w:color="auto" w:fill="auto"/>
            <w:noWrap/>
            <w:vAlign w:val="bottom"/>
            <w:hideMark/>
          </w:tcPr>
          <w:p w14:paraId="683C0E40" w14:textId="77777777" w:rsidR="009A36D2" w:rsidRPr="009D4627" w:rsidRDefault="009A36D2" w:rsidP="00281A92">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62FB987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0.49</w:t>
            </w:r>
          </w:p>
        </w:tc>
        <w:tc>
          <w:tcPr>
            <w:tcW w:w="977" w:type="pct"/>
            <w:shd w:val="clear" w:color="auto" w:fill="auto"/>
            <w:noWrap/>
            <w:vAlign w:val="bottom"/>
          </w:tcPr>
          <w:p w14:paraId="69153106"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0.66</w:t>
            </w:r>
          </w:p>
        </w:tc>
        <w:tc>
          <w:tcPr>
            <w:tcW w:w="977" w:type="pct"/>
            <w:shd w:val="clear" w:color="auto" w:fill="auto"/>
            <w:noWrap/>
            <w:vAlign w:val="bottom"/>
          </w:tcPr>
          <w:p w14:paraId="6D068F90"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0.71</w:t>
            </w:r>
          </w:p>
        </w:tc>
        <w:tc>
          <w:tcPr>
            <w:tcW w:w="979" w:type="pct"/>
            <w:vAlign w:val="bottom"/>
          </w:tcPr>
          <w:p w14:paraId="2FBE8618"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1.46</w:t>
            </w:r>
          </w:p>
        </w:tc>
      </w:tr>
      <w:tr w:rsidR="009A36D2" w:rsidRPr="009D4627" w14:paraId="678581E5" w14:textId="77777777" w:rsidTr="00281A92">
        <w:trPr>
          <w:trHeight w:val="20"/>
          <w:jc w:val="center"/>
        </w:trPr>
        <w:tc>
          <w:tcPr>
            <w:tcW w:w="1291" w:type="pct"/>
            <w:shd w:val="clear" w:color="auto" w:fill="auto"/>
            <w:noWrap/>
            <w:vAlign w:val="bottom"/>
            <w:hideMark/>
          </w:tcPr>
          <w:p w14:paraId="7CBB8B97" w14:textId="77777777" w:rsidR="009A36D2" w:rsidRPr="009D4627" w:rsidRDefault="009A36D2" w:rsidP="00281A92">
            <w:pPr>
              <w:spacing w:before="0" w:after="0" w:line="240" w:lineRule="auto"/>
              <w:rPr>
                <w:color w:val="auto"/>
                <w:sz w:val="20"/>
                <w:szCs w:val="20"/>
              </w:rPr>
            </w:pPr>
            <w:r w:rsidRPr="009D4627">
              <w:rPr>
                <w:color w:val="auto"/>
                <w:sz w:val="20"/>
                <w:szCs w:val="20"/>
              </w:rPr>
              <w:t>16</w:t>
            </w:r>
          </w:p>
        </w:tc>
        <w:tc>
          <w:tcPr>
            <w:tcW w:w="776" w:type="pct"/>
            <w:shd w:val="clear" w:color="auto" w:fill="auto"/>
            <w:noWrap/>
            <w:vAlign w:val="bottom"/>
          </w:tcPr>
          <w:p w14:paraId="41E70D5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0.72</w:t>
            </w:r>
          </w:p>
        </w:tc>
        <w:tc>
          <w:tcPr>
            <w:tcW w:w="977" w:type="pct"/>
            <w:shd w:val="clear" w:color="auto" w:fill="auto"/>
            <w:noWrap/>
            <w:vAlign w:val="bottom"/>
          </w:tcPr>
          <w:p w14:paraId="57F71187"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1.00</w:t>
            </w:r>
          </w:p>
        </w:tc>
        <w:tc>
          <w:tcPr>
            <w:tcW w:w="977" w:type="pct"/>
            <w:shd w:val="clear" w:color="auto" w:fill="auto"/>
            <w:noWrap/>
            <w:vAlign w:val="bottom"/>
          </w:tcPr>
          <w:p w14:paraId="3C6842D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1.00</w:t>
            </w:r>
          </w:p>
        </w:tc>
        <w:tc>
          <w:tcPr>
            <w:tcW w:w="979" w:type="pct"/>
            <w:vAlign w:val="bottom"/>
          </w:tcPr>
          <w:p w14:paraId="06D9AB19"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1.34</w:t>
            </w:r>
          </w:p>
        </w:tc>
      </w:tr>
      <w:tr w:rsidR="009A36D2" w:rsidRPr="009D4627" w14:paraId="657C8EED" w14:textId="77777777" w:rsidTr="00281A92">
        <w:trPr>
          <w:trHeight w:val="20"/>
          <w:jc w:val="center"/>
        </w:trPr>
        <w:tc>
          <w:tcPr>
            <w:tcW w:w="1291" w:type="pct"/>
            <w:shd w:val="clear" w:color="auto" w:fill="auto"/>
            <w:noWrap/>
            <w:vAlign w:val="bottom"/>
            <w:hideMark/>
          </w:tcPr>
          <w:p w14:paraId="07D527A7" w14:textId="77777777" w:rsidR="009A36D2" w:rsidRPr="009D4627" w:rsidRDefault="009A36D2" w:rsidP="00281A92">
            <w:pPr>
              <w:spacing w:before="0" w:after="0" w:line="240" w:lineRule="auto"/>
              <w:rPr>
                <w:color w:val="auto"/>
                <w:sz w:val="20"/>
                <w:szCs w:val="20"/>
              </w:rPr>
            </w:pPr>
            <w:r w:rsidRPr="009D4627">
              <w:rPr>
                <w:color w:val="auto"/>
                <w:sz w:val="20"/>
                <w:szCs w:val="20"/>
              </w:rPr>
              <w:t>17</w:t>
            </w:r>
          </w:p>
        </w:tc>
        <w:tc>
          <w:tcPr>
            <w:tcW w:w="776" w:type="pct"/>
            <w:shd w:val="clear" w:color="auto" w:fill="auto"/>
            <w:noWrap/>
            <w:vAlign w:val="bottom"/>
          </w:tcPr>
          <w:p w14:paraId="175EF60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0.44</w:t>
            </w:r>
          </w:p>
        </w:tc>
        <w:tc>
          <w:tcPr>
            <w:tcW w:w="977" w:type="pct"/>
            <w:shd w:val="clear" w:color="auto" w:fill="auto"/>
            <w:noWrap/>
            <w:vAlign w:val="bottom"/>
          </w:tcPr>
          <w:p w14:paraId="31105104"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0.89</w:t>
            </w:r>
          </w:p>
        </w:tc>
        <w:tc>
          <w:tcPr>
            <w:tcW w:w="977" w:type="pct"/>
            <w:shd w:val="clear" w:color="auto" w:fill="auto"/>
            <w:noWrap/>
            <w:vAlign w:val="bottom"/>
          </w:tcPr>
          <w:p w14:paraId="5A00D953"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1.40</w:t>
            </w:r>
          </w:p>
        </w:tc>
        <w:tc>
          <w:tcPr>
            <w:tcW w:w="979" w:type="pct"/>
            <w:vAlign w:val="bottom"/>
          </w:tcPr>
          <w:p w14:paraId="6D9E1AF1"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1.67</w:t>
            </w:r>
          </w:p>
        </w:tc>
      </w:tr>
      <w:tr w:rsidR="009A36D2" w:rsidRPr="009D4627" w14:paraId="01C340CE" w14:textId="77777777" w:rsidTr="00281A92">
        <w:trPr>
          <w:trHeight w:val="20"/>
          <w:jc w:val="center"/>
        </w:trPr>
        <w:tc>
          <w:tcPr>
            <w:tcW w:w="1291" w:type="pct"/>
            <w:shd w:val="clear" w:color="auto" w:fill="auto"/>
            <w:noWrap/>
            <w:vAlign w:val="bottom"/>
            <w:hideMark/>
          </w:tcPr>
          <w:p w14:paraId="76841234" w14:textId="77777777" w:rsidR="009A36D2" w:rsidRPr="009D4627" w:rsidRDefault="009A36D2" w:rsidP="00281A92">
            <w:pPr>
              <w:spacing w:before="0" w:after="0" w:line="240" w:lineRule="auto"/>
              <w:rPr>
                <w:color w:val="auto"/>
                <w:sz w:val="20"/>
                <w:szCs w:val="20"/>
              </w:rPr>
            </w:pPr>
            <w:r w:rsidRPr="009D4627">
              <w:rPr>
                <w:color w:val="auto"/>
                <w:sz w:val="20"/>
                <w:szCs w:val="20"/>
              </w:rPr>
              <w:t>18</w:t>
            </w:r>
          </w:p>
        </w:tc>
        <w:tc>
          <w:tcPr>
            <w:tcW w:w="776" w:type="pct"/>
            <w:shd w:val="clear" w:color="auto" w:fill="auto"/>
            <w:noWrap/>
            <w:vAlign w:val="bottom"/>
          </w:tcPr>
          <w:p w14:paraId="43BB5B9D"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0.33</w:t>
            </w:r>
          </w:p>
        </w:tc>
        <w:tc>
          <w:tcPr>
            <w:tcW w:w="977" w:type="pct"/>
            <w:shd w:val="clear" w:color="auto" w:fill="auto"/>
            <w:noWrap/>
            <w:vAlign w:val="bottom"/>
          </w:tcPr>
          <w:p w14:paraId="05B6604B"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0.45</w:t>
            </w:r>
          </w:p>
        </w:tc>
        <w:tc>
          <w:tcPr>
            <w:tcW w:w="977" w:type="pct"/>
            <w:shd w:val="clear" w:color="auto" w:fill="auto"/>
            <w:noWrap/>
            <w:vAlign w:val="bottom"/>
          </w:tcPr>
          <w:p w14:paraId="4098D0F2"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1.18</w:t>
            </w:r>
          </w:p>
        </w:tc>
        <w:tc>
          <w:tcPr>
            <w:tcW w:w="979" w:type="pct"/>
            <w:vAlign w:val="bottom"/>
          </w:tcPr>
          <w:p w14:paraId="4194BA7E" w14:textId="77777777" w:rsidR="009A36D2" w:rsidRPr="009D4627" w:rsidRDefault="009A36D2" w:rsidP="00281A92">
            <w:pPr>
              <w:spacing w:before="0" w:after="0" w:line="240" w:lineRule="auto"/>
              <w:jc w:val="right"/>
              <w:rPr>
                <w:color w:val="auto"/>
                <w:sz w:val="20"/>
                <w:szCs w:val="20"/>
              </w:rPr>
            </w:pPr>
            <w:r w:rsidRPr="009D4627">
              <w:rPr>
                <w:color w:val="000000"/>
                <w:sz w:val="22"/>
                <w:szCs w:val="22"/>
              </w:rPr>
              <w:t>1.20</w:t>
            </w:r>
          </w:p>
        </w:tc>
      </w:tr>
      <w:tr w:rsidR="00714E0B" w:rsidRPr="009D4627" w14:paraId="6B93B11E" w14:textId="77777777" w:rsidTr="00281A92">
        <w:trPr>
          <w:trHeight w:val="20"/>
          <w:jc w:val="center"/>
        </w:trPr>
        <w:tc>
          <w:tcPr>
            <w:tcW w:w="1291" w:type="pct"/>
            <w:shd w:val="clear" w:color="auto" w:fill="auto"/>
            <w:noWrap/>
            <w:vAlign w:val="bottom"/>
          </w:tcPr>
          <w:p w14:paraId="74CC5306" w14:textId="37D8ABF0" w:rsidR="00714E0B" w:rsidRPr="009D4627" w:rsidRDefault="00714E0B" w:rsidP="00714E0B">
            <w:pPr>
              <w:spacing w:before="0" w:after="0" w:line="240" w:lineRule="auto"/>
              <w:rPr>
                <w:color w:val="auto"/>
                <w:sz w:val="20"/>
                <w:szCs w:val="20"/>
              </w:rPr>
            </w:pPr>
            <w:r w:rsidRPr="009D4627">
              <w:rPr>
                <w:b/>
                <w:bCs/>
                <w:color w:val="auto"/>
                <w:sz w:val="20"/>
                <w:szCs w:val="20"/>
              </w:rPr>
              <w:t>Grouped mean</w:t>
            </w:r>
          </w:p>
        </w:tc>
        <w:tc>
          <w:tcPr>
            <w:tcW w:w="776" w:type="pct"/>
            <w:shd w:val="clear" w:color="auto" w:fill="auto"/>
            <w:noWrap/>
            <w:vAlign w:val="bottom"/>
          </w:tcPr>
          <w:p w14:paraId="5D9A1420" w14:textId="23E2D6B7" w:rsidR="00714E0B" w:rsidRPr="009D4627" w:rsidRDefault="00714E0B" w:rsidP="00714E0B">
            <w:pPr>
              <w:spacing w:before="0" w:after="0" w:line="240" w:lineRule="auto"/>
              <w:jc w:val="right"/>
              <w:rPr>
                <w:color w:val="000000"/>
                <w:sz w:val="22"/>
                <w:szCs w:val="22"/>
              </w:rPr>
            </w:pPr>
            <w:r>
              <w:rPr>
                <w:b/>
                <w:bCs/>
                <w:color w:val="000000"/>
                <w:sz w:val="22"/>
                <w:szCs w:val="22"/>
              </w:rPr>
              <w:t>0.44</w:t>
            </w:r>
          </w:p>
        </w:tc>
        <w:tc>
          <w:tcPr>
            <w:tcW w:w="977" w:type="pct"/>
            <w:shd w:val="clear" w:color="auto" w:fill="auto"/>
            <w:noWrap/>
            <w:vAlign w:val="bottom"/>
          </w:tcPr>
          <w:p w14:paraId="7B02EEB5" w14:textId="5053DD0E" w:rsidR="00714E0B" w:rsidRPr="009D4627" w:rsidRDefault="00714E0B" w:rsidP="00714E0B">
            <w:pPr>
              <w:spacing w:before="0" w:after="0" w:line="240" w:lineRule="auto"/>
              <w:jc w:val="right"/>
              <w:rPr>
                <w:color w:val="000000"/>
                <w:sz w:val="22"/>
                <w:szCs w:val="22"/>
              </w:rPr>
            </w:pPr>
            <w:r>
              <w:rPr>
                <w:b/>
                <w:bCs/>
                <w:color w:val="000000"/>
                <w:sz w:val="22"/>
                <w:szCs w:val="22"/>
              </w:rPr>
              <w:t>0.73</w:t>
            </w:r>
          </w:p>
        </w:tc>
        <w:tc>
          <w:tcPr>
            <w:tcW w:w="977" w:type="pct"/>
            <w:shd w:val="clear" w:color="auto" w:fill="auto"/>
            <w:noWrap/>
            <w:vAlign w:val="bottom"/>
          </w:tcPr>
          <w:p w14:paraId="3A8C82DA" w14:textId="3C54533A" w:rsidR="00714E0B" w:rsidRPr="009D4627" w:rsidRDefault="00714E0B" w:rsidP="00714E0B">
            <w:pPr>
              <w:spacing w:before="0" w:after="0" w:line="240" w:lineRule="auto"/>
              <w:jc w:val="right"/>
              <w:rPr>
                <w:color w:val="000000"/>
                <w:sz w:val="22"/>
                <w:szCs w:val="22"/>
              </w:rPr>
            </w:pPr>
            <w:r>
              <w:rPr>
                <w:b/>
                <w:bCs/>
                <w:color w:val="000000"/>
                <w:sz w:val="22"/>
                <w:szCs w:val="22"/>
              </w:rPr>
              <w:t>1.05</w:t>
            </w:r>
          </w:p>
        </w:tc>
        <w:tc>
          <w:tcPr>
            <w:tcW w:w="979" w:type="pct"/>
            <w:vAlign w:val="bottom"/>
          </w:tcPr>
          <w:p w14:paraId="3B84AAA8" w14:textId="0A09BC8E" w:rsidR="00714E0B" w:rsidRPr="009D4627" w:rsidRDefault="00714E0B" w:rsidP="00714E0B">
            <w:pPr>
              <w:spacing w:before="0" w:after="0" w:line="240" w:lineRule="auto"/>
              <w:jc w:val="right"/>
              <w:rPr>
                <w:color w:val="000000"/>
                <w:sz w:val="22"/>
                <w:szCs w:val="22"/>
              </w:rPr>
            </w:pPr>
            <w:r>
              <w:rPr>
                <w:b/>
                <w:bCs/>
                <w:color w:val="000000"/>
                <w:sz w:val="22"/>
                <w:szCs w:val="22"/>
              </w:rPr>
              <w:t>1.35</w:t>
            </w:r>
          </w:p>
        </w:tc>
      </w:tr>
      <w:tr w:rsidR="00714E0B" w:rsidRPr="009D4627" w14:paraId="33EDFE59" w14:textId="77777777" w:rsidTr="00281A92">
        <w:trPr>
          <w:trHeight w:val="20"/>
          <w:jc w:val="center"/>
        </w:trPr>
        <w:tc>
          <w:tcPr>
            <w:tcW w:w="1291" w:type="pct"/>
            <w:shd w:val="clear" w:color="auto" w:fill="auto"/>
            <w:noWrap/>
            <w:vAlign w:val="bottom"/>
          </w:tcPr>
          <w:p w14:paraId="3535EBD7" w14:textId="0C070588" w:rsidR="00714E0B" w:rsidRPr="00E31976" w:rsidRDefault="00714E0B" w:rsidP="00714E0B">
            <w:pPr>
              <w:spacing w:before="0" w:after="0" w:line="240" w:lineRule="auto"/>
              <w:rPr>
                <w:b/>
                <w:bCs/>
                <w:color w:val="auto"/>
                <w:sz w:val="20"/>
                <w:szCs w:val="20"/>
              </w:rPr>
            </w:pPr>
            <w:r w:rsidRPr="00E31976">
              <w:rPr>
                <w:b/>
                <w:bCs/>
                <w:color w:val="auto"/>
                <w:sz w:val="20"/>
                <w:szCs w:val="20"/>
              </w:rPr>
              <w:t>SD</w:t>
            </w:r>
          </w:p>
        </w:tc>
        <w:tc>
          <w:tcPr>
            <w:tcW w:w="776" w:type="pct"/>
            <w:shd w:val="clear" w:color="auto" w:fill="auto"/>
            <w:noWrap/>
            <w:vAlign w:val="bottom"/>
          </w:tcPr>
          <w:p w14:paraId="70A560C2" w14:textId="329336F4" w:rsidR="00714E0B" w:rsidRPr="009D4627" w:rsidRDefault="00714E0B" w:rsidP="00714E0B">
            <w:pPr>
              <w:spacing w:before="0" w:after="0" w:line="240" w:lineRule="auto"/>
              <w:jc w:val="right"/>
              <w:rPr>
                <w:color w:val="000000"/>
                <w:sz w:val="22"/>
                <w:szCs w:val="22"/>
              </w:rPr>
            </w:pPr>
            <w:r>
              <w:rPr>
                <w:b/>
                <w:bCs/>
                <w:color w:val="000000"/>
                <w:sz w:val="22"/>
                <w:szCs w:val="22"/>
              </w:rPr>
              <w:t>0.16</w:t>
            </w:r>
          </w:p>
        </w:tc>
        <w:tc>
          <w:tcPr>
            <w:tcW w:w="977" w:type="pct"/>
            <w:shd w:val="clear" w:color="auto" w:fill="auto"/>
            <w:noWrap/>
            <w:vAlign w:val="bottom"/>
          </w:tcPr>
          <w:p w14:paraId="137DE186" w14:textId="54AFFE4A" w:rsidR="00714E0B" w:rsidRPr="009D4627" w:rsidRDefault="00714E0B" w:rsidP="00714E0B">
            <w:pPr>
              <w:spacing w:before="0" w:after="0" w:line="240" w:lineRule="auto"/>
              <w:jc w:val="right"/>
              <w:rPr>
                <w:color w:val="000000"/>
                <w:sz w:val="22"/>
                <w:szCs w:val="22"/>
              </w:rPr>
            </w:pPr>
            <w:r>
              <w:rPr>
                <w:b/>
                <w:bCs/>
                <w:color w:val="000000"/>
                <w:sz w:val="22"/>
                <w:szCs w:val="22"/>
              </w:rPr>
              <w:t>0.30</w:t>
            </w:r>
          </w:p>
        </w:tc>
        <w:tc>
          <w:tcPr>
            <w:tcW w:w="977" w:type="pct"/>
            <w:shd w:val="clear" w:color="auto" w:fill="auto"/>
            <w:noWrap/>
            <w:vAlign w:val="bottom"/>
          </w:tcPr>
          <w:p w14:paraId="5F418CA6" w14:textId="7EBB39F1" w:rsidR="00714E0B" w:rsidRPr="009D4627" w:rsidRDefault="00714E0B" w:rsidP="00714E0B">
            <w:pPr>
              <w:spacing w:before="0" w:after="0" w:line="240" w:lineRule="auto"/>
              <w:jc w:val="right"/>
              <w:rPr>
                <w:color w:val="000000"/>
                <w:sz w:val="22"/>
                <w:szCs w:val="22"/>
              </w:rPr>
            </w:pPr>
            <w:r>
              <w:rPr>
                <w:b/>
                <w:bCs/>
                <w:color w:val="000000"/>
                <w:sz w:val="22"/>
                <w:szCs w:val="22"/>
              </w:rPr>
              <w:t>0.35</w:t>
            </w:r>
          </w:p>
        </w:tc>
        <w:tc>
          <w:tcPr>
            <w:tcW w:w="979" w:type="pct"/>
            <w:vAlign w:val="bottom"/>
          </w:tcPr>
          <w:p w14:paraId="70BD9445" w14:textId="6FAAC351" w:rsidR="00714E0B" w:rsidRPr="009D4627" w:rsidRDefault="00714E0B" w:rsidP="00714E0B">
            <w:pPr>
              <w:spacing w:before="0" w:after="0" w:line="240" w:lineRule="auto"/>
              <w:jc w:val="right"/>
              <w:rPr>
                <w:color w:val="000000"/>
                <w:sz w:val="22"/>
                <w:szCs w:val="22"/>
              </w:rPr>
            </w:pPr>
            <w:r>
              <w:rPr>
                <w:b/>
                <w:bCs/>
                <w:color w:val="000000"/>
                <w:sz w:val="22"/>
                <w:szCs w:val="22"/>
              </w:rPr>
              <w:t>0.27</w:t>
            </w:r>
          </w:p>
        </w:tc>
      </w:tr>
      <w:tr w:rsidR="00E31976" w:rsidRPr="009D4627" w14:paraId="3893AAD8" w14:textId="77777777" w:rsidTr="00281A92">
        <w:trPr>
          <w:trHeight w:val="20"/>
          <w:jc w:val="center"/>
        </w:trPr>
        <w:tc>
          <w:tcPr>
            <w:tcW w:w="5000" w:type="pct"/>
            <w:gridSpan w:val="5"/>
            <w:shd w:val="clear" w:color="auto" w:fill="D9D9D9" w:themeFill="background1" w:themeFillShade="D9"/>
            <w:noWrap/>
            <w:vAlign w:val="bottom"/>
          </w:tcPr>
          <w:p w14:paraId="3A99C7D3" w14:textId="77777777" w:rsidR="00E31976" w:rsidRPr="009D4627" w:rsidRDefault="00E31976" w:rsidP="00E31976">
            <w:pPr>
              <w:spacing w:before="0" w:after="0" w:line="240" w:lineRule="auto"/>
              <w:jc w:val="left"/>
              <w:rPr>
                <w:color w:val="auto"/>
                <w:sz w:val="20"/>
                <w:szCs w:val="20"/>
              </w:rPr>
            </w:pPr>
            <w:r w:rsidRPr="009D4627">
              <w:rPr>
                <w:color w:val="auto"/>
                <w:sz w:val="20"/>
                <w:szCs w:val="20"/>
              </w:rPr>
              <w:t>Older (60-79 years old)</w:t>
            </w:r>
          </w:p>
        </w:tc>
      </w:tr>
      <w:tr w:rsidR="00E31976" w:rsidRPr="009D4627" w14:paraId="2DB01184" w14:textId="77777777" w:rsidTr="00281A92">
        <w:trPr>
          <w:trHeight w:val="20"/>
          <w:jc w:val="center"/>
        </w:trPr>
        <w:tc>
          <w:tcPr>
            <w:tcW w:w="1291" w:type="pct"/>
            <w:tcBorders>
              <w:tl2br w:val="single" w:sz="4" w:space="0" w:color="auto"/>
            </w:tcBorders>
            <w:shd w:val="clear" w:color="auto" w:fill="auto"/>
            <w:hideMark/>
          </w:tcPr>
          <w:p w14:paraId="140DEC00"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Target frequency</w:t>
            </w:r>
          </w:p>
          <w:p w14:paraId="75237312" w14:textId="77777777" w:rsidR="00E31976" w:rsidRPr="009D4627" w:rsidRDefault="00E31976" w:rsidP="00E31976">
            <w:pPr>
              <w:spacing w:before="0" w:after="0" w:line="240" w:lineRule="auto"/>
              <w:rPr>
                <w:color w:val="auto"/>
                <w:sz w:val="20"/>
                <w:szCs w:val="20"/>
              </w:rPr>
            </w:pPr>
          </w:p>
          <w:p w14:paraId="6C0266C8" w14:textId="77777777" w:rsidR="00E31976" w:rsidRPr="009D4627" w:rsidRDefault="00E31976" w:rsidP="00E31976">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332E0091"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06D88289"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3B147CAA"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0.6 Hz</w:t>
            </w:r>
          </w:p>
        </w:tc>
        <w:tc>
          <w:tcPr>
            <w:tcW w:w="979" w:type="pct"/>
          </w:tcPr>
          <w:p w14:paraId="1BFF56C2"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0.8 Hz</w:t>
            </w:r>
          </w:p>
        </w:tc>
      </w:tr>
      <w:tr w:rsidR="00E31976" w:rsidRPr="009D4627" w14:paraId="28A98708" w14:textId="77777777" w:rsidTr="00281A92">
        <w:trPr>
          <w:trHeight w:val="20"/>
          <w:jc w:val="center"/>
        </w:trPr>
        <w:tc>
          <w:tcPr>
            <w:tcW w:w="1291" w:type="pct"/>
            <w:shd w:val="clear" w:color="auto" w:fill="auto"/>
            <w:noWrap/>
            <w:vAlign w:val="bottom"/>
            <w:hideMark/>
          </w:tcPr>
          <w:p w14:paraId="569CC1E7" w14:textId="77777777" w:rsidR="00E31976" w:rsidRPr="009D4627" w:rsidRDefault="00E31976" w:rsidP="00E31976">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56C7A9A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0.85</w:t>
            </w:r>
          </w:p>
        </w:tc>
        <w:tc>
          <w:tcPr>
            <w:tcW w:w="977" w:type="pct"/>
            <w:shd w:val="clear" w:color="auto" w:fill="auto"/>
            <w:noWrap/>
            <w:vAlign w:val="bottom"/>
          </w:tcPr>
          <w:p w14:paraId="44C4A41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0.88</w:t>
            </w:r>
          </w:p>
        </w:tc>
        <w:tc>
          <w:tcPr>
            <w:tcW w:w="977" w:type="pct"/>
            <w:shd w:val="clear" w:color="auto" w:fill="auto"/>
            <w:noWrap/>
            <w:vAlign w:val="bottom"/>
          </w:tcPr>
          <w:p w14:paraId="46D6FAB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1.49</w:t>
            </w:r>
          </w:p>
        </w:tc>
        <w:tc>
          <w:tcPr>
            <w:tcW w:w="979" w:type="pct"/>
            <w:vAlign w:val="bottom"/>
          </w:tcPr>
          <w:p w14:paraId="405C1BF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2.01</w:t>
            </w:r>
          </w:p>
        </w:tc>
      </w:tr>
      <w:tr w:rsidR="00E31976" w:rsidRPr="009D4627" w14:paraId="20D9751F" w14:textId="77777777" w:rsidTr="00281A92">
        <w:trPr>
          <w:trHeight w:val="20"/>
          <w:jc w:val="center"/>
        </w:trPr>
        <w:tc>
          <w:tcPr>
            <w:tcW w:w="1291" w:type="pct"/>
            <w:shd w:val="clear" w:color="auto" w:fill="auto"/>
            <w:noWrap/>
            <w:vAlign w:val="bottom"/>
            <w:hideMark/>
          </w:tcPr>
          <w:p w14:paraId="0AAE0F82" w14:textId="77777777" w:rsidR="00E31976" w:rsidRPr="009D4627" w:rsidRDefault="00E31976" w:rsidP="00E31976">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52959A4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1.71</w:t>
            </w:r>
          </w:p>
        </w:tc>
        <w:tc>
          <w:tcPr>
            <w:tcW w:w="977" w:type="pct"/>
            <w:shd w:val="clear" w:color="auto" w:fill="auto"/>
            <w:noWrap/>
            <w:vAlign w:val="bottom"/>
          </w:tcPr>
          <w:p w14:paraId="504CB4D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1.97</w:t>
            </w:r>
          </w:p>
        </w:tc>
        <w:tc>
          <w:tcPr>
            <w:tcW w:w="977" w:type="pct"/>
            <w:shd w:val="clear" w:color="auto" w:fill="auto"/>
            <w:noWrap/>
            <w:vAlign w:val="bottom"/>
          </w:tcPr>
          <w:p w14:paraId="29C3740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1.73</w:t>
            </w:r>
          </w:p>
        </w:tc>
        <w:tc>
          <w:tcPr>
            <w:tcW w:w="979" w:type="pct"/>
            <w:vAlign w:val="bottom"/>
          </w:tcPr>
          <w:p w14:paraId="4A47000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1.84</w:t>
            </w:r>
          </w:p>
        </w:tc>
      </w:tr>
      <w:tr w:rsidR="00E31976" w:rsidRPr="009D4627" w14:paraId="4A850E0E" w14:textId="77777777" w:rsidTr="00281A92">
        <w:trPr>
          <w:trHeight w:val="20"/>
          <w:jc w:val="center"/>
        </w:trPr>
        <w:tc>
          <w:tcPr>
            <w:tcW w:w="1291" w:type="pct"/>
            <w:shd w:val="clear" w:color="auto" w:fill="auto"/>
            <w:noWrap/>
            <w:vAlign w:val="bottom"/>
            <w:hideMark/>
          </w:tcPr>
          <w:p w14:paraId="516EF8E8" w14:textId="77777777" w:rsidR="00E31976" w:rsidRPr="009D4627" w:rsidRDefault="00E31976" w:rsidP="00E31976">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294FC38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0.61</w:t>
            </w:r>
          </w:p>
        </w:tc>
        <w:tc>
          <w:tcPr>
            <w:tcW w:w="977" w:type="pct"/>
            <w:shd w:val="clear" w:color="auto" w:fill="auto"/>
            <w:noWrap/>
            <w:vAlign w:val="bottom"/>
          </w:tcPr>
          <w:p w14:paraId="740D1DC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1.15</w:t>
            </w:r>
          </w:p>
        </w:tc>
        <w:tc>
          <w:tcPr>
            <w:tcW w:w="977" w:type="pct"/>
            <w:shd w:val="clear" w:color="auto" w:fill="auto"/>
            <w:noWrap/>
            <w:vAlign w:val="bottom"/>
          </w:tcPr>
          <w:p w14:paraId="363C78A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1.56</w:t>
            </w:r>
          </w:p>
        </w:tc>
        <w:tc>
          <w:tcPr>
            <w:tcW w:w="979" w:type="pct"/>
            <w:vAlign w:val="bottom"/>
          </w:tcPr>
          <w:p w14:paraId="48ED168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2.12</w:t>
            </w:r>
          </w:p>
        </w:tc>
      </w:tr>
      <w:tr w:rsidR="00E31976" w:rsidRPr="009D4627" w14:paraId="2C83A6A7" w14:textId="77777777" w:rsidTr="00281A92">
        <w:trPr>
          <w:trHeight w:val="20"/>
          <w:jc w:val="center"/>
        </w:trPr>
        <w:tc>
          <w:tcPr>
            <w:tcW w:w="1291" w:type="pct"/>
            <w:shd w:val="clear" w:color="auto" w:fill="auto"/>
            <w:noWrap/>
            <w:vAlign w:val="bottom"/>
            <w:hideMark/>
          </w:tcPr>
          <w:p w14:paraId="6D791BF4" w14:textId="77777777" w:rsidR="00E31976" w:rsidRPr="009D4627" w:rsidRDefault="00E31976" w:rsidP="00E31976">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5A325CE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0.23</w:t>
            </w:r>
          </w:p>
        </w:tc>
        <w:tc>
          <w:tcPr>
            <w:tcW w:w="977" w:type="pct"/>
            <w:shd w:val="clear" w:color="auto" w:fill="auto"/>
            <w:noWrap/>
            <w:vAlign w:val="bottom"/>
          </w:tcPr>
          <w:p w14:paraId="5923982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0.48</w:t>
            </w:r>
          </w:p>
        </w:tc>
        <w:tc>
          <w:tcPr>
            <w:tcW w:w="977" w:type="pct"/>
            <w:shd w:val="clear" w:color="auto" w:fill="auto"/>
            <w:noWrap/>
            <w:vAlign w:val="bottom"/>
          </w:tcPr>
          <w:p w14:paraId="459223B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0.86</w:t>
            </w:r>
          </w:p>
        </w:tc>
        <w:tc>
          <w:tcPr>
            <w:tcW w:w="979" w:type="pct"/>
            <w:vAlign w:val="bottom"/>
          </w:tcPr>
          <w:p w14:paraId="1271A2E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1.08</w:t>
            </w:r>
          </w:p>
        </w:tc>
      </w:tr>
      <w:tr w:rsidR="00E31976" w:rsidRPr="009D4627" w14:paraId="03B41345" w14:textId="77777777" w:rsidTr="00281A92">
        <w:trPr>
          <w:trHeight w:val="20"/>
          <w:jc w:val="center"/>
        </w:trPr>
        <w:tc>
          <w:tcPr>
            <w:tcW w:w="1291" w:type="pct"/>
            <w:shd w:val="clear" w:color="auto" w:fill="auto"/>
            <w:noWrap/>
            <w:vAlign w:val="bottom"/>
            <w:hideMark/>
          </w:tcPr>
          <w:p w14:paraId="519D1E9F" w14:textId="77777777" w:rsidR="00E31976" w:rsidRPr="009D4627" w:rsidRDefault="00E31976" w:rsidP="00E31976">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13AC9E5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0.81</w:t>
            </w:r>
          </w:p>
        </w:tc>
        <w:tc>
          <w:tcPr>
            <w:tcW w:w="977" w:type="pct"/>
            <w:shd w:val="clear" w:color="auto" w:fill="auto"/>
            <w:noWrap/>
            <w:vAlign w:val="bottom"/>
          </w:tcPr>
          <w:p w14:paraId="60425A1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0.99</w:t>
            </w:r>
          </w:p>
        </w:tc>
        <w:tc>
          <w:tcPr>
            <w:tcW w:w="977" w:type="pct"/>
            <w:shd w:val="clear" w:color="auto" w:fill="auto"/>
            <w:noWrap/>
            <w:vAlign w:val="bottom"/>
          </w:tcPr>
          <w:p w14:paraId="6C88492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1.44</w:t>
            </w:r>
          </w:p>
        </w:tc>
        <w:tc>
          <w:tcPr>
            <w:tcW w:w="979" w:type="pct"/>
            <w:vAlign w:val="bottom"/>
          </w:tcPr>
          <w:p w14:paraId="436B3A9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1.78</w:t>
            </w:r>
          </w:p>
        </w:tc>
      </w:tr>
      <w:tr w:rsidR="00E31976" w:rsidRPr="009D4627" w14:paraId="58BA7B09" w14:textId="77777777" w:rsidTr="00281A92">
        <w:trPr>
          <w:trHeight w:val="20"/>
          <w:jc w:val="center"/>
        </w:trPr>
        <w:tc>
          <w:tcPr>
            <w:tcW w:w="1291" w:type="pct"/>
            <w:shd w:val="clear" w:color="auto" w:fill="auto"/>
            <w:noWrap/>
            <w:vAlign w:val="bottom"/>
            <w:hideMark/>
          </w:tcPr>
          <w:p w14:paraId="2E53F211" w14:textId="77777777" w:rsidR="00E31976" w:rsidRPr="009D4627" w:rsidRDefault="00E31976" w:rsidP="00E31976">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657A524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0.43</w:t>
            </w:r>
          </w:p>
        </w:tc>
        <w:tc>
          <w:tcPr>
            <w:tcW w:w="977" w:type="pct"/>
            <w:shd w:val="clear" w:color="auto" w:fill="auto"/>
            <w:noWrap/>
            <w:vAlign w:val="bottom"/>
          </w:tcPr>
          <w:p w14:paraId="20B2B73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1.04</w:t>
            </w:r>
          </w:p>
        </w:tc>
        <w:tc>
          <w:tcPr>
            <w:tcW w:w="977" w:type="pct"/>
            <w:shd w:val="clear" w:color="auto" w:fill="auto"/>
            <w:noWrap/>
            <w:vAlign w:val="bottom"/>
          </w:tcPr>
          <w:p w14:paraId="032CBCB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0.93</w:t>
            </w:r>
          </w:p>
        </w:tc>
        <w:tc>
          <w:tcPr>
            <w:tcW w:w="979" w:type="pct"/>
            <w:vAlign w:val="bottom"/>
          </w:tcPr>
          <w:p w14:paraId="665151C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1.31</w:t>
            </w:r>
          </w:p>
        </w:tc>
      </w:tr>
      <w:tr w:rsidR="00E31976" w:rsidRPr="009D4627" w14:paraId="5EC892F0" w14:textId="77777777" w:rsidTr="00281A92">
        <w:trPr>
          <w:trHeight w:val="20"/>
          <w:jc w:val="center"/>
        </w:trPr>
        <w:tc>
          <w:tcPr>
            <w:tcW w:w="1291" w:type="pct"/>
            <w:shd w:val="clear" w:color="auto" w:fill="auto"/>
            <w:noWrap/>
            <w:vAlign w:val="bottom"/>
            <w:hideMark/>
          </w:tcPr>
          <w:p w14:paraId="050EE6E8" w14:textId="77777777" w:rsidR="00E31976" w:rsidRPr="009D4627" w:rsidRDefault="00E31976" w:rsidP="00E31976">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27BD159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0.49</w:t>
            </w:r>
          </w:p>
        </w:tc>
        <w:tc>
          <w:tcPr>
            <w:tcW w:w="977" w:type="pct"/>
            <w:shd w:val="clear" w:color="auto" w:fill="auto"/>
            <w:noWrap/>
            <w:vAlign w:val="bottom"/>
          </w:tcPr>
          <w:p w14:paraId="1BF139D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0.63</w:t>
            </w:r>
          </w:p>
        </w:tc>
        <w:tc>
          <w:tcPr>
            <w:tcW w:w="977" w:type="pct"/>
            <w:shd w:val="clear" w:color="auto" w:fill="auto"/>
            <w:noWrap/>
            <w:vAlign w:val="bottom"/>
          </w:tcPr>
          <w:p w14:paraId="1045932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0.67</w:t>
            </w:r>
          </w:p>
        </w:tc>
        <w:tc>
          <w:tcPr>
            <w:tcW w:w="979" w:type="pct"/>
            <w:vAlign w:val="bottom"/>
          </w:tcPr>
          <w:p w14:paraId="582A032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1.62</w:t>
            </w:r>
          </w:p>
        </w:tc>
      </w:tr>
      <w:tr w:rsidR="00E31976" w:rsidRPr="009D4627" w14:paraId="7E2429C6" w14:textId="77777777" w:rsidTr="00281A92">
        <w:trPr>
          <w:trHeight w:val="20"/>
          <w:jc w:val="center"/>
        </w:trPr>
        <w:tc>
          <w:tcPr>
            <w:tcW w:w="1291" w:type="pct"/>
            <w:shd w:val="clear" w:color="auto" w:fill="auto"/>
            <w:noWrap/>
            <w:vAlign w:val="bottom"/>
            <w:hideMark/>
          </w:tcPr>
          <w:p w14:paraId="4FB9E6DD" w14:textId="77777777" w:rsidR="00E31976" w:rsidRPr="009D4627" w:rsidRDefault="00E31976" w:rsidP="00E31976">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29DA98C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0.56</w:t>
            </w:r>
          </w:p>
        </w:tc>
        <w:tc>
          <w:tcPr>
            <w:tcW w:w="977" w:type="pct"/>
            <w:shd w:val="clear" w:color="auto" w:fill="auto"/>
            <w:noWrap/>
            <w:vAlign w:val="bottom"/>
          </w:tcPr>
          <w:p w14:paraId="42240B1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0.83</w:t>
            </w:r>
          </w:p>
        </w:tc>
        <w:tc>
          <w:tcPr>
            <w:tcW w:w="977" w:type="pct"/>
            <w:shd w:val="clear" w:color="auto" w:fill="auto"/>
            <w:noWrap/>
            <w:vAlign w:val="bottom"/>
          </w:tcPr>
          <w:p w14:paraId="7BCA7AC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1.16</w:t>
            </w:r>
          </w:p>
        </w:tc>
        <w:tc>
          <w:tcPr>
            <w:tcW w:w="979" w:type="pct"/>
            <w:vAlign w:val="bottom"/>
          </w:tcPr>
          <w:p w14:paraId="21D4DCB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1.51</w:t>
            </w:r>
          </w:p>
        </w:tc>
      </w:tr>
      <w:tr w:rsidR="00E31976" w:rsidRPr="009D4627" w14:paraId="139DE085" w14:textId="77777777" w:rsidTr="00281A92">
        <w:trPr>
          <w:trHeight w:val="20"/>
          <w:jc w:val="center"/>
        </w:trPr>
        <w:tc>
          <w:tcPr>
            <w:tcW w:w="1291" w:type="pct"/>
            <w:shd w:val="clear" w:color="auto" w:fill="auto"/>
            <w:noWrap/>
            <w:vAlign w:val="bottom"/>
            <w:hideMark/>
          </w:tcPr>
          <w:p w14:paraId="4C639434" w14:textId="77777777" w:rsidR="00E31976" w:rsidRPr="009D4627" w:rsidRDefault="00E31976" w:rsidP="00E31976">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233971B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1.24</w:t>
            </w:r>
          </w:p>
        </w:tc>
        <w:tc>
          <w:tcPr>
            <w:tcW w:w="977" w:type="pct"/>
            <w:shd w:val="clear" w:color="auto" w:fill="auto"/>
            <w:noWrap/>
            <w:vAlign w:val="bottom"/>
          </w:tcPr>
          <w:p w14:paraId="6DCC901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1.50</w:t>
            </w:r>
          </w:p>
        </w:tc>
        <w:tc>
          <w:tcPr>
            <w:tcW w:w="977" w:type="pct"/>
            <w:shd w:val="clear" w:color="auto" w:fill="auto"/>
            <w:noWrap/>
            <w:vAlign w:val="bottom"/>
          </w:tcPr>
          <w:p w14:paraId="5BC0799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1.61</w:t>
            </w:r>
          </w:p>
        </w:tc>
        <w:tc>
          <w:tcPr>
            <w:tcW w:w="979" w:type="pct"/>
            <w:vAlign w:val="bottom"/>
          </w:tcPr>
          <w:p w14:paraId="0204F7A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0.86</w:t>
            </w:r>
          </w:p>
        </w:tc>
      </w:tr>
      <w:tr w:rsidR="00E31976" w:rsidRPr="009D4627" w14:paraId="47A74C59" w14:textId="77777777" w:rsidTr="00281A92">
        <w:trPr>
          <w:trHeight w:val="20"/>
          <w:jc w:val="center"/>
        </w:trPr>
        <w:tc>
          <w:tcPr>
            <w:tcW w:w="1291" w:type="pct"/>
            <w:shd w:val="clear" w:color="auto" w:fill="auto"/>
            <w:noWrap/>
            <w:vAlign w:val="bottom"/>
            <w:hideMark/>
          </w:tcPr>
          <w:p w14:paraId="2ABB04CB" w14:textId="77777777" w:rsidR="00E31976" w:rsidRPr="009D4627" w:rsidRDefault="00E31976" w:rsidP="00E31976">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63B3AC3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0.52</w:t>
            </w:r>
          </w:p>
        </w:tc>
        <w:tc>
          <w:tcPr>
            <w:tcW w:w="977" w:type="pct"/>
            <w:shd w:val="clear" w:color="auto" w:fill="auto"/>
            <w:noWrap/>
            <w:vAlign w:val="bottom"/>
          </w:tcPr>
          <w:p w14:paraId="7EE3D82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0.79</w:t>
            </w:r>
          </w:p>
        </w:tc>
        <w:tc>
          <w:tcPr>
            <w:tcW w:w="977" w:type="pct"/>
            <w:shd w:val="clear" w:color="auto" w:fill="auto"/>
            <w:noWrap/>
            <w:vAlign w:val="bottom"/>
          </w:tcPr>
          <w:p w14:paraId="05E9611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0.95</w:t>
            </w:r>
          </w:p>
        </w:tc>
        <w:tc>
          <w:tcPr>
            <w:tcW w:w="979" w:type="pct"/>
            <w:vAlign w:val="bottom"/>
          </w:tcPr>
          <w:p w14:paraId="653F478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1.08</w:t>
            </w:r>
          </w:p>
        </w:tc>
      </w:tr>
      <w:tr w:rsidR="00E31976" w:rsidRPr="009D4627" w14:paraId="4EEF9530" w14:textId="77777777" w:rsidTr="00281A92">
        <w:trPr>
          <w:trHeight w:val="20"/>
          <w:jc w:val="center"/>
        </w:trPr>
        <w:tc>
          <w:tcPr>
            <w:tcW w:w="1291" w:type="pct"/>
            <w:shd w:val="clear" w:color="auto" w:fill="auto"/>
            <w:noWrap/>
            <w:vAlign w:val="bottom"/>
            <w:hideMark/>
          </w:tcPr>
          <w:p w14:paraId="7828D16A" w14:textId="77777777" w:rsidR="00E31976" w:rsidRPr="009D4627" w:rsidRDefault="00E31976" w:rsidP="00E31976">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50F6BC9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0.42</w:t>
            </w:r>
          </w:p>
        </w:tc>
        <w:tc>
          <w:tcPr>
            <w:tcW w:w="977" w:type="pct"/>
            <w:shd w:val="clear" w:color="auto" w:fill="auto"/>
            <w:noWrap/>
            <w:vAlign w:val="bottom"/>
          </w:tcPr>
          <w:p w14:paraId="24AE4BC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0.34</w:t>
            </w:r>
          </w:p>
        </w:tc>
        <w:tc>
          <w:tcPr>
            <w:tcW w:w="977" w:type="pct"/>
            <w:shd w:val="clear" w:color="auto" w:fill="auto"/>
            <w:noWrap/>
            <w:vAlign w:val="bottom"/>
          </w:tcPr>
          <w:p w14:paraId="4D9D86A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0.83</w:t>
            </w:r>
          </w:p>
        </w:tc>
        <w:tc>
          <w:tcPr>
            <w:tcW w:w="979" w:type="pct"/>
            <w:vAlign w:val="bottom"/>
          </w:tcPr>
          <w:p w14:paraId="2F43967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1.54</w:t>
            </w:r>
          </w:p>
        </w:tc>
      </w:tr>
      <w:tr w:rsidR="00E31976" w:rsidRPr="009D4627" w14:paraId="2938FFD0" w14:textId="77777777" w:rsidTr="00281A92">
        <w:trPr>
          <w:trHeight w:val="20"/>
          <w:jc w:val="center"/>
        </w:trPr>
        <w:tc>
          <w:tcPr>
            <w:tcW w:w="1291" w:type="pct"/>
            <w:shd w:val="clear" w:color="auto" w:fill="auto"/>
            <w:noWrap/>
            <w:vAlign w:val="bottom"/>
            <w:hideMark/>
          </w:tcPr>
          <w:p w14:paraId="583B435A" w14:textId="77777777" w:rsidR="00E31976" w:rsidRPr="009D4627" w:rsidRDefault="00E31976" w:rsidP="00E31976">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7493C9A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0.39</w:t>
            </w:r>
          </w:p>
        </w:tc>
        <w:tc>
          <w:tcPr>
            <w:tcW w:w="977" w:type="pct"/>
            <w:shd w:val="clear" w:color="auto" w:fill="auto"/>
            <w:noWrap/>
            <w:vAlign w:val="bottom"/>
          </w:tcPr>
          <w:p w14:paraId="64AB21F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0.48</w:t>
            </w:r>
          </w:p>
        </w:tc>
        <w:tc>
          <w:tcPr>
            <w:tcW w:w="977" w:type="pct"/>
            <w:shd w:val="clear" w:color="auto" w:fill="auto"/>
            <w:noWrap/>
            <w:vAlign w:val="bottom"/>
          </w:tcPr>
          <w:p w14:paraId="14420F8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0.78</w:t>
            </w:r>
          </w:p>
        </w:tc>
        <w:tc>
          <w:tcPr>
            <w:tcW w:w="979" w:type="pct"/>
            <w:vAlign w:val="bottom"/>
          </w:tcPr>
          <w:p w14:paraId="455A032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1.12</w:t>
            </w:r>
          </w:p>
        </w:tc>
      </w:tr>
      <w:tr w:rsidR="00E31976" w:rsidRPr="009D4627" w14:paraId="57DDAA13" w14:textId="77777777" w:rsidTr="00281A92">
        <w:trPr>
          <w:trHeight w:val="20"/>
          <w:jc w:val="center"/>
        </w:trPr>
        <w:tc>
          <w:tcPr>
            <w:tcW w:w="1291" w:type="pct"/>
            <w:shd w:val="clear" w:color="auto" w:fill="auto"/>
            <w:noWrap/>
            <w:vAlign w:val="bottom"/>
            <w:hideMark/>
          </w:tcPr>
          <w:p w14:paraId="0ABA8AF5" w14:textId="77777777" w:rsidR="00E31976" w:rsidRPr="009D4627" w:rsidRDefault="00E31976" w:rsidP="00E31976">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31719BE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0.29</w:t>
            </w:r>
          </w:p>
        </w:tc>
        <w:tc>
          <w:tcPr>
            <w:tcW w:w="977" w:type="pct"/>
            <w:shd w:val="clear" w:color="auto" w:fill="auto"/>
            <w:noWrap/>
            <w:vAlign w:val="bottom"/>
          </w:tcPr>
          <w:p w14:paraId="6E7741B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0.42</w:t>
            </w:r>
          </w:p>
        </w:tc>
        <w:tc>
          <w:tcPr>
            <w:tcW w:w="977" w:type="pct"/>
            <w:shd w:val="clear" w:color="auto" w:fill="auto"/>
            <w:noWrap/>
            <w:vAlign w:val="bottom"/>
          </w:tcPr>
          <w:p w14:paraId="7020DDE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0.74</w:t>
            </w:r>
          </w:p>
        </w:tc>
        <w:tc>
          <w:tcPr>
            <w:tcW w:w="979" w:type="pct"/>
            <w:vAlign w:val="bottom"/>
          </w:tcPr>
          <w:p w14:paraId="37EE9BD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1.01</w:t>
            </w:r>
          </w:p>
        </w:tc>
      </w:tr>
      <w:tr w:rsidR="00E31976" w:rsidRPr="009D4627" w14:paraId="175906E9" w14:textId="77777777" w:rsidTr="00281A92">
        <w:trPr>
          <w:trHeight w:val="20"/>
          <w:jc w:val="center"/>
        </w:trPr>
        <w:tc>
          <w:tcPr>
            <w:tcW w:w="1291" w:type="pct"/>
            <w:shd w:val="clear" w:color="auto" w:fill="auto"/>
            <w:noWrap/>
            <w:vAlign w:val="bottom"/>
            <w:hideMark/>
          </w:tcPr>
          <w:p w14:paraId="6DD2775D" w14:textId="77777777" w:rsidR="00E31976" w:rsidRPr="009D4627" w:rsidRDefault="00E31976" w:rsidP="00E31976">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3E3A0A2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0.31</w:t>
            </w:r>
          </w:p>
        </w:tc>
        <w:tc>
          <w:tcPr>
            <w:tcW w:w="977" w:type="pct"/>
            <w:shd w:val="clear" w:color="auto" w:fill="auto"/>
            <w:noWrap/>
            <w:vAlign w:val="bottom"/>
          </w:tcPr>
          <w:p w14:paraId="53A4F64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0.43</w:t>
            </w:r>
          </w:p>
        </w:tc>
        <w:tc>
          <w:tcPr>
            <w:tcW w:w="977" w:type="pct"/>
            <w:shd w:val="clear" w:color="auto" w:fill="auto"/>
            <w:noWrap/>
            <w:vAlign w:val="bottom"/>
          </w:tcPr>
          <w:p w14:paraId="7A89CA4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0.63</w:t>
            </w:r>
          </w:p>
        </w:tc>
        <w:tc>
          <w:tcPr>
            <w:tcW w:w="979" w:type="pct"/>
            <w:vAlign w:val="bottom"/>
          </w:tcPr>
          <w:p w14:paraId="1321EBA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0.88</w:t>
            </w:r>
          </w:p>
        </w:tc>
      </w:tr>
      <w:tr w:rsidR="00E31976" w:rsidRPr="009D4627" w14:paraId="079E376C" w14:textId="77777777" w:rsidTr="00281A92">
        <w:trPr>
          <w:trHeight w:val="20"/>
          <w:jc w:val="center"/>
        </w:trPr>
        <w:tc>
          <w:tcPr>
            <w:tcW w:w="1291" w:type="pct"/>
            <w:shd w:val="clear" w:color="auto" w:fill="auto"/>
            <w:noWrap/>
            <w:vAlign w:val="bottom"/>
            <w:hideMark/>
          </w:tcPr>
          <w:p w14:paraId="4D6ACB72" w14:textId="77777777" w:rsidR="00E31976" w:rsidRPr="009D4627" w:rsidRDefault="00E31976" w:rsidP="00E31976">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150BB41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0.36</w:t>
            </w:r>
          </w:p>
        </w:tc>
        <w:tc>
          <w:tcPr>
            <w:tcW w:w="977" w:type="pct"/>
            <w:shd w:val="clear" w:color="auto" w:fill="auto"/>
            <w:noWrap/>
            <w:vAlign w:val="bottom"/>
          </w:tcPr>
          <w:p w14:paraId="7D08FB3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0.48</w:t>
            </w:r>
          </w:p>
        </w:tc>
        <w:tc>
          <w:tcPr>
            <w:tcW w:w="977" w:type="pct"/>
            <w:shd w:val="clear" w:color="auto" w:fill="auto"/>
            <w:noWrap/>
            <w:vAlign w:val="bottom"/>
          </w:tcPr>
          <w:p w14:paraId="5C999E6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0.83</w:t>
            </w:r>
          </w:p>
        </w:tc>
        <w:tc>
          <w:tcPr>
            <w:tcW w:w="979" w:type="pct"/>
            <w:vAlign w:val="bottom"/>
          </w:tcPr>
          <w:p w14:paraId="0C5DDAC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1.04</w:t>
            </w:r>
          </w:p>
        </w:tc>
      </w:tr>
      <w:tr w:rsidR="00E31976" w:rsidRPr="009D4627" w14:paraId="3F2241E6" w14:textId="77777777" w:rsidTr="00281A92">
        <w:trPr>
          <w:trHeight w:val="20"/>
          <w:jc w:val="center"/>
        </w:trPr>
        <w:tc>
          <w:tcPr>
            <w:tcW w:w="1291" w:type="pct"/>
            <w:shd w:val="clear" w:color="auto" w:fill="auto"/>
            <w:noWrap/>
            <w:vAlign w:val="bottom"/>
          </w:tcPr>
          <w:p w14:paraId="5BC0CFC6" w14:textId="77777777" w:rsidR="00E31976" w:rsidRPr="009D4627" w:rsidRDefault="00E31976" w:rsidP="00E31976">
            <w:pPr>
              <w:spacing w:before="0" w:after="0" w:line="240" w:lineRule="auto"/>
              <w:rPr>
                <w:color w:val="auto"/>
                <w:sz w:val="20"/>
                <w:szCs w:val="20"/>
              </w:rPr>
            </w:pPr>
            <w:r w:rsidRPr="009D4627">
              <w:rPr>
                <w:b/>
                <w:bCs/>
                <w:color w:val="auto"/>
                <w:sz w:val="20"/>
                <w:szCs w:val="20"/>
              </w:rPr>
              <w:t>Grouped mean</w:t>
            </w:r>
          </w:p>
        </w:tc>
        <w:tc>
          <w:tcPr>
            <w:tcW w:w="776" w:type="pct"/>
            <w:shd w:val="clear" w:color="auto" w:fill="auto"/>
            <w:noWrap/>
            <w:vAlign w:val="bottom"/>
          </w:tcPr>
          <w:p w14:paraId="0EEFB8D9"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0.61</w:t>
            </w:r>
          </w:p>
        </w:tc>
        <w:tc>
          <w:tcPr>
            <w:tcW w:w="977" w:type="pct"/>
            <w:shd w:val="clear" w:color="auto" w:fill="auto"/>
            <w:noWrap/>
            <w:vAlign w:val="bottom"/>
          </w:tcPr>
          <w:p w14:paraId="1D930F1D"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0.83</w:t>
            </w:r>
          </w:p>
        </w:tc>
        <w:tc>
          <w:tcPr>
            <w:tcW w:w="977" w:type="pct"/>
            <w:shd w:val="clear" w:color="auto" w:fill="auto"/>
            <w:noWrap/>
            <w:vAlign w:val="bottom"/>
          </w:tcPr>
          <w:p w14:paraId="2DB77A71"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1.08</w:t>
            </w:r>
          </w:p>
        </w:tc>
        <w:tc>
          <w:tcPr>
            <w:tcW w:w="979" w:type="pct"/>
            <w:vAlign w:val="bottom"/>
          </w:tcPr>
          <w:p w14:paraId="72E10FA6"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1.39</w:t>
            </w:r>
          </w:p>
        </w:tc>
      </w:tr>
      <w:tr w:rsidR="00E31976" w:rsidRPr="009D4627" w14:paraId="38846BA5" w14:textId="77777777" w:rsidTr="00281A92">
        <w:trPr>
          <w:trHeight w:val="20"/>
          <w:jc w:val="center"/>
        </w:trPr>
        <w:tc>
          <w:tcPr>
            <w:tcW w:w="1291" w:type="pct"/>
            <w:shd w:val="clear" w:color="auto" w:fill="auto"/>
            <w:noWrap/>
            <w:vAlign w:val="bottom"/>
          </w:tcPr>
          <w:p w14:paraId="2046F24B" w14:textId="77777777" w:rsidR="00E31976" w:rsidRPr="009D4627" w:rsidRDefault="00E31976" w:rsidP="00E31976">
            <w:pPr>
              <w:spacing w:before="0" w:after="0" w:line="240" w:lineRule="auto"/>
              <w:rPr>
                <w:color w:val="auto"/>
                <w:sz w:val="20"/>
                <w:szCs w:val="20"/>
              </w:rPr>
            </w:pPr>
            <w:r w:rsidRPr="009D4627">
              <w:rPr>
                <w:b/>
                <w:bCs/>
                <w:color w:val="auto"/>
                <w:sz w:val="20"/>
                <w:szCs w:val="20"/>
              </w:rPr>
              <w:t>SD</w:t>
            </w:r>
          </w:p>
        </w:tc>
        <w:tc>
          <w:tcPr>
            <w:tcW w:w="776" w:type="pct"/>
            <w:shd w:val="clear" w:color="auto" w:fill="auto"/>
            <w:noWrap/>
            <w:vAlign w:val="bottom"/>
          </w:tcPr>
          <w:p w14:paraId="5CC9E3A3"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0.40</w:t>
            </w:r>
          </w:p>
        </w:tc>
        <w:tc>
          <w:tcPr>
            <w:tcW w:w="977" w:type="pct"/>
            <w:shd w:val="clear" w:color="auto" w:fill="auto"/>
            <w:noWrap/>
            <w:vAlign w:val="bottom"/>
          </w:tcPr>
          <w:p w14:paraId="482ECD7D"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0.45</w:t>
            </w:r>
          </w:p>
        </w:tc>
        <w:tc>
          <w:tcPr>
            <w:tcW w:w="977" w:type="pct"/>
            <w:shd w:val="clear" w:color="auto" w:fill="auto"/>
            <w:noWrap/>
            <w:vAlign w:val="bottom"/>
          </w:tcPr>
          <w:p w14:paraId="468E161E"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0.38</w:t>
            </w:r>
          </w:p>
        </w:tc>
        <w:tc>
          <w:tcPr>
            <w:tcW w:w="979" w:type="pct"/>
            <w:vAlign w:val="bottom"/>
          </w:tcPr>
          <w:p w14:paraId="53F35157" w14:textId="77777777" w:rsidR="00E31976" w:rsidRPr="009D4627" w:rsidRDefault="00E31976" w:rsidP="00E31976">
            <w:pPr>
              <w:spacing w:before="0" w:after="0" w:line="240" w:lineRule="auto"/>
              <w:jc w:val="right"/>
              <w:rPr>
                <w:color w:val="000000"/>
                <w:sz w:val="22"/>
                <w:szCs w:val="22"/>
              </w:rPr>
            </w:pPr>
            <w:r w:rsidRPr="009D4627">
              <w:rPr>
                <w:b/>
                <w:bCs/>
                <w:color w:val="000000"/>
                <w:sz w:val="22"/>
                <w:szCs w:val="22"/>
              </w:rPr>
              <w:t>0.42</w:t>
            </w:r>
          </w:p>
        </w:tc>
      </w:tr>
      <w:tr w:rsidR="00E31976" w:rsidRPr="009D4627" w14:paraId="020206B2" w14:textId="77777777" w:rsidTr="00281A92">
        <w:trPr>
          <w:trHeight w:val="20"/>
          <w:jc w:val="center"/>
        </w:trPr>
        <w:tc>
          <w:tcPr>
            <w:tcW w:w="5000" w:type="pct"/>
            <w:gridSpan w:val="5"/>
            <w:shd w:val="clear" w:color="auto" w:fill="auto"/>
            <w:noWrap/>
            <w:vAlign w:val="bottom"/>
            <w:hideMark/>
          </w:tcPr>
          <w:p w14:paraId="4B226824" w14:textId="77777777" w:rsidR="00E31976" w:rsidRPr="009D4627" w:rsidRDefault="00E31976" w:rsidP="00E31976">
            <w:pPr>
              <w:pStyle w:val="ListParagraph"/>
              <w:numPr>
                <w:ilvl w:val="0"/>
                <w:numId w:val="109"/>
              </w:numPr>
              <w:tabs>
                <w:tab w:val="left" w:pos="731"/>
              </w:tabs>
              <w:spacing w:before="0" w:after="0" w:line="240" w:lineRule="auto"/>
              <w:ind w:right="417"/>
              <w:jc w:val="left"/>
              <w:rPr>
                <w:b/>
                <w:bCs/>
                <w:color w:val="auto"/>
                <w:sz w:val="20"/>
                <w:szCs w:val="20"/>
              </w:rPr>
            </w:pPr>
            <w:r w:rsidRPr="009D4627">
              <w:rPr>
                <w:b/>
                <w:bCs/>
                <w:color w:val="auto"/>
                <w:sz w:val="20"/>
                <w:szCs w:val="20"/>
              </w:rPr>
              <w:t>Horizontal SP duration (</w:t>
            </w:r>
            <w:proofErr w:type="spellStart"/>
            <w:r w:rsidRPr="009D4627">
              <w:rPr>
                <w:b/>
                <w:bCs/>
                <w:color w:val="auto"/>
                <w:sz w:val="20"/>
                <w:szCs w:val="20"/>
              </w:rPr>
              <w:t>ms</w:t>
            </w:r>
            <w:proofErr w:type="spellEnd"/>
            <w:r w:rsidRPr="009D4627">
              <w:rPr>
                <w:b/>
                <w:bCs/>
                <w:color w:val="auto"/>
                <w:sz w:val="20"/>
                <w:szCs w:val="20"/>
              </w:rPr>
              <w:t xml:space="preserve">) </w:t>
            </w:r>
          </w:p>
        </w:tc>
      </w:tr>
      <w:tr w:rsidR="00E31976" w:rsidRPr="009D4627" w14:paraId="5E093CB7" w14:textId="77777777" w:rsidTr="00281A92">
        <w:trPr>
          <w:trHeight w:val="20"/>
          <w:jc w:val="center"/>
        </w:trPr>
        <w:tc>
          <w:tcPr>
            <w:tcW w:w="5000" w:type="pct"/>
            <w:gridSpan w:val="5"/>
            <w:shd w:val="clear" w:color="auto" w:fill="D9D9D9" w:themeFill="background1" w:themeFillShade="D9"/>
            <w:noWrap/>
            <w:vAlign w:val="bottom"/>
          </w:tcPr>
          <w:p w14:paraId="22C7976F" w14:textId="77777777" w:rsidR="00E31976" w:rsidRPr="009D4627" w:rsidRDefault="00E31976" w:rsidP="00E31976">
            <w:pPr>
              <w:spacing w:before="0" w:after="0" w:line="240" w:lineRule="auto"/>
              <w:jc w:val="left"/>
              <w:rPr>
                <w:color w:val="auto"/>
                <w:sz w:val="20"/>
                <w:szCs w:val="20"/>
              </w:rPr>
            </w:pPr>
            <w:r w:rsidRPr="009D4627">
              <w:rPr>
                <w:color w:val="auto"/>
                <w:sz w:val="20"/>
                <w:szCs w:val="20"/>
              </w:rPr>
              <w:t>Young (18-39 years old)</w:t>
            </w:r>
          </w:p>
        </w:tc>
      </w:tr>
      <w:tr w:rsidR="00E31976" w:rsidRPr="009D4627" w14:paraId="460FD6CD" w14:textId="77777777" w:rsidTr="00281A92">
        <w:trPr>
          <w:trHeight w:val="20"/>
          <w:jc w:val="center"/>
        </w:trPr>
        <w:tc>
          <w:tcPr>
            <w:tcW w:w="1291" w:type="pct"/>
            <w:tcBorders>
              <w:tl2br w:val="single" w:sz="4" w:space="0" w:color="auto"/>
            </w:tcBorders>
            <w:shd w:val="clear" w:color="auto" w:fill="auto"/>
            <w:hideMark/>
          </w:tcPr>
          <w:p w14:paraId="236B1C96"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Target frequency</w:t>
            </w:r>
          </w:p>
          <w:p w14:paraId="5F3473BE" w14:textId="77777777" w:rsidR="00E31976" w:rsidRPr="009D4627" w:rsidRDefault="00E31976" w:rsidP="00E31976">
            <w:pPr>
              <w:spacing w:before="0" w:after="0" w:line="240" w:lineRule="auto"/>
              <w:rPr>
                <w:color w:val="auto"/>
                <w:sz w:val="20"/>
                <w:szCs w:val="20"/>
              </w:rPr>
            </w:pPr>
          </w:p>
          <w:p w14:paraId="7A492446" w14:textId="77777777" w:rsidR="00E31976" w:rsidRPr="009D4627" w:rsidRDefault="00E31976" w:rsidP="00E31976">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630192FB"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4E708345"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4D68D0F9"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0.6 Hz</w:t>
            </w:r>
          </w:p>
        </w:tc>
        <w:tc>
          <w:tcPr>
            <w:tcW w:w="979" w:type="pct"/>
          </w:tcPr>
          <w:p w14:paraId="4925B14E"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0.8 Hz</w:t>
            </w:r>
          </w:p>
        </w:tc>
      </w:tr>
      <w:tr w:rsidR="00E31976" w:rsidRPr="009D4627" w14:paraId="21329A9D" w14:textId="77777777" w:rsidTr="00281A92">
        <w:trPr>
          <w:trHeight w:val="20"/>
          <w:jc w:val="center"/>
        </w:trPr>
        <w:tc>
          <w:tcPr>
            <w:tcW w:w="1291" w:type="pct"/>
            <w:shd w:val="clear" w:color="auto" w:fill="auto"/>
            <w:noWrap/>
            <w:vAlign w:val="bottom"/>
            <w:hideMark/>
          </w:tcPr>
          <w:p w14:paraId="68B04BAA" w14:textId="77777777" w:rsidR="00E31976" w:rsidRPr="009D4627" w:rsidRDefault="00E31976" w:rsidP="00E31976">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4E53A6C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835</w:t>
            </w:r>
          </w:p>
        </w:tc>
        <w:tc>
          <w:tcPr>
            <w:tcW w:w="977" w:type="pct"/>
            <w:shd w:val="clear" w:color="auto" w:fill="auto"/>
            <w:noWrap/>
            <w:vAlign w:val="bottom"/>
          </w:tcPr>
          <w:p w14:paraId="7A31067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458</w:t>
            </w:r>
          </w:p>
        </w:tc>
        <w:tc>
          <w:tcPr>
            <w:tcW w:w="977" w:type="pct"/>
            <w:shd w:val="clear" w:color="auto" w:fill="auto"/>
            <w:noWrap/>
            <w:vAlign w:val="bottom"/>
          </w:tcPr>
          <w:p w14:paraId="45D1E09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266</w:t>
            </w:r>
          </w:p>
        </w:tc>
        <w:tc>
          <w:tcPr>
            <w:tcW w:w="979" w:type="pct"/>
            <w:vAlign w:val="bottom"/>
          </w:tcPr>
          <w:p w14:paraId="1FA1E74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221</w:t>
            </w:r>
          </w:p>
        </w:tc>
      </w:tr>
      <w:tr w:rsidR="00E31976" w:rsidRPr="009D4627" w14:paraId="01FD8718" w14:textId="77777777" w:rsidTr="00281A92">
        <w:trPr>
          <w:trHeight w:val="20"/>
          <w:jc w:val="center"/>
        </w:trPr>
        <w:tc>
          <w:tcPr>
            <w:tcW w:w="1291" w:type="pct"/>
            <w:shd w:val="clear" w:color="auto" w:fill="auto"/>
            <w:noWrap/>
            <w:vAlign w:val="bottom"/>
            <w:hideMark/>
          </w:tcPr>
          <w:p w14:paraId="2D622A44" w14:textId="77777777" w:rsidR="00E31976" w:rsidRPr="009D4627" w:rsidRDefault="00E31976" w:rsidP="00E31976">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29FC332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717</w:t>
            </w:r>
          </w:p>
        </w:tc>
        <w:tc>
          <w:tcPr>
            <w:tcW w:w="977" w:type="pct"/>
            <w:shd w:val="clear" w:color="auto" w:fill="auto"/>
            <w:noWrap/>
            <w:vAlign w:val="bottom"/>
          </w:tcPr>
          <w:p w14:paraId="4B42CE0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393</w:t>
            </w:r>
          </w:p>
        </w:tc>
        <w:tc>
          <w:tcPr>
            <w:tcW w:w="977" w:type="pct"/>
            <w:shd w:val="clear" w:color="auto" w:fill="auto"/>
            <w:noWrap/>
            <w:vAlign w:val="bottom"/>
          </w:tcPr>
          <w:p w14:paraId="5CE60C1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275</w:t>
            </w:r>
          </w:p>
        </w:tc>
        <w:tc>
          <w:tcPr>
            <w:tcW w:w="979" w:type="pct"/>
            <w:vAlign w:val="bottom"/>
          </w:tcPr>
          <w:p w14:paraId="006A1D9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242</w:t>
            </w:r>
          </w:p>
        </w:tc>
      </w:tr>
      <w:tr w:rsidR="00E31976" w:rsidRPr="009D4627" w14:paraId="422F30F7" w14:textId="77777777" w:rsidTr="00281A92">
        <w:trPr>
          <w:trHeight w:val="20"/>
          <w:jc w:val="center"/>
        </w:trPr>
        <w:tc>
          <w:tcPr>
            <w:tcW w:w="1291" w:type="pct"/>
            <w:shd w:val="clear" w:color="auto" w:fill="auto"/>
            <w:noWrap/>
            <w:vAlign w:val="bottom"/>
            <w:hideMark/>
          </w:tcPr>
          <w:p w14:paraId="76344C67" w14:textId="77777777" w:rsidR="00E31976" w:rsidRPr="009D4627" w:rsidRDefault="00E31976" w:rsidP="00E31976">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4F6408F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608</w:t>
            </w:r>
          </w:p>
        </w:tc>
        <w:tc>
          <w:tcPr>
            <w:tcW w:w="977" w:type="pct"/>
            <w:shd w:val="clear" w:color="auto" w:fill="auto"/>
            <w:noWrap/>
            <w:vAlign w:val="bottom"/>
          </w:tcPr>
          <w:p w14:paraId="4BB8822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555</w:t>
            </w:r>
          </w:p>
        </w:tc>
        <w:tc>
          <w:tcPr>
            <w:tcW w:w="977" w:type="pct"/>
            <w:shd w:val="clear" w:color="auto" w:fill="auto"/>
            <w:noWrap/>
            <w:vAlign w:val="bottom"/>
          </w:tcPr>
          <w:p w14:paraId="0065381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429</w:t>
            </w:r>
          </w:p>
        </w:tc>
        <w:tc>
          <w:tcPr>
            <w:tcW w:w="979" w:type="pct"/>
            <w:vAlign w:val="bottom"/>
          </w:tcPr>
          <w:p w14:paraId="462630E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308</w:t>
            </w:r>
          </w:p>
        </w:tc>
      </w:tr>
      <w:tr w:rsidR="00E31976" w:rsidRPr="009D4627" w14:paraId="33A93906" w14:textId="77777777" w:rsidTr="00281A92">
        <w:trPr>
          <w:trHeight w:val="20"/>
          <w:jc w:val="center"/>
        </w:trPr>
        <w:tc>
          <w:tcPr>
            <w:tcW w:w="1291" w:type="pct"/>
            <w:shd w:val="clear" w:color="auto" w:fill="auto"/>
            <w:noWrap/>
            <w:vAlign w:val="bottom"/>
            <w:hideMark/>
          </w:tcPr>
          <w:p w14:paraId="27763F2F" w14:textId="77777777" w:rsidR="00E31976" w:rsidRPr="009D4627" w:rsidRDefault="00E31976" w:rsidP="00E31976">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7E62C48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988</w:t>
            </w:r>
          </w:p>
        </w:tc>
        <w:tc>
          <w:tcPr>
            <w:tcW w:w="977" w:type="pct"/>
            <w:shd w:val="clear" w:color="auto" w:fill="auto"/>
            <w:noWrap/>
            <w:vAlign w:val="bottom"/>
          </w:tcPr>
          <w:p w14:paraId="2E1AD38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704</w:t>
            </w:r>
          </w:p>
        </w:tc>
        <w:tc>
          <w:tcPr>
            <w:tcW w:w="977" w:type="pct"/>
            <w:shd w:val="clear" w:color="auto" w:fill="auto"/>
            <w:noWrap/>
            <w:vAlign w:val="bottom"/>
          </w:tcPr>
          <w:p w14:paraId="5630A89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370</w:t>
            </w:r>
          </w:p>
        </w:tc>
        <w:tc>
          <w:tcPr>
            <w:tcW w:w="979" w:type="pct"/>
            <w:vAlign w:val="bottom"/>
          </w:tcPr>
          <w:p w14:paraId="23C0B9E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277</w:t>
            </w:r>
          </w:p>
        </w:tc>
      </w:tr>
      <w:tr w:rsidR="00E31976" w:rsidRPr="009D4627" w14:paraId="15C3626E" w14:textId="77777777" w:rsidTr="00281A92">
        <w:trPr>
          <w:trHeight w:val="20"/>
          <w:jc w:val="center"/>
        </w:trPr>
        <w:tc>
          <w:tcPr>
            <w:tcW w:w="1291" w:type="pct"/>
            <w:shd w:val="clear" w:color="auto" w:fill="auto"/>
            <w:noWrap/>
            <w:vAlign w:val="bottom"/>
            <w:hideMark/>
          </w:tcPr>
          <w:p w14:paraId="7DFD6E0C" w14:textId="77777777" w:rsidR="00E31976" w:rsidRPr="009D4627" w:rsidRDefault="00E31976" w:rsidP="00E31976">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7E73BE8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707</w:t>
            </w:r>
          </w:p>
        </w:tc>
        <w:tc>
          <w:tcPr>
            <w:tcW w:w="977" w:type="pct"/>
            <w:shd w:val="clear" w:color="auto" w:fill="auto"/>
            <w:noWrap/>
            <w:vAlign w:val="bottom"/>
          </w:tcPr>
          <w:p w14:paraId="3960A70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532</w:t>
            </w:r>
          </w:p>
        </w:tc>
        <w:tc>
          <w:tcPr>
            <w:tcW w:w="977" w:type="pct"/>
            <w:shd w:val="clear" w:color="auto" w:fill="auto"/>
            <w:noWrap/>
            <w:vAlign w:val="bottom"/>
          </w:tcPr>
          <w:p w14:paraId="4BF529C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331</w:t>
            </w:r>
          </w:p>
        </w:tc>
        <w:tc>
          <w:tcPr>
            <w:tcW w:w="979" w:type="pct"/>
            <w:vAlign w:val="bottom"/>
          </w:tcPr>
          <w:p w14:paraId="1750E73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217</w:t>
            </w:r>
          </w:p>
        </w:tc>
      </w:tr>
      <w:tr w:rsidR="00E31976" w:rsidRPr="009D4627" w14:paraId="08B0B3D8" w14:textId="77777777" w:rsidTr="00281A92">
        <w:trPr>
          <w:trHeight w:val="20"/>
          <w:jc w:val="center"/>
        </w:trPr>
        <w:tc>
          <w:tcPr>
            <w:tcW w:w="1291" w:type="pct"/>
            <w:shd w:val="clear" w:color="auto" w:fill="auto"/>
            <w:noWrap/>
            <w:vAlign w:val="bottom"/>
            <w:hideMark/>
          </w:tcPr>
          <w:p w14:paraId="03A3DEF2" w14:textId="77777777" w:rsidR="00E31976" w:rsidRPr="009D4627" w:rsidRDefault="00E31976" w:rsidP="00E31976">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40AC9A3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747</w:t>
            </w:r>
          </w:p>
        </w:tc>
        <w:tc>
          <w:tcPr>
            <w:tcW w:w="977" w:type="pct"/>
            <w:shd w:val="clear" w:color="auto" w:fill="auto"/>
            <w:noWrap/>
            <w:vAlign w:val="bottom"/>
          </w:tcPr>
          <w:p w14:paraId="38A61C6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410</w:t>
            </w:r>
          </w:p>
        </w:tc>
        <w:tc>
          <w:tcPr>
            <w:tcW w:w="977" w:type="pct"/>
            <w:shd w:val="clear" w:color="auto" w:fill="auto"/>
            <w:noWrap/>
            <w:vAlign w:val="bottom"/>
          </w:tcPr>
          <w:p w14:paraId="579D94F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265</w:t>
            </w:r>
          </w:p>
        </w:tc>
        <w:tc>
          <w:tcPr>
            <w:tcW w:w="979" w:type="pct"/>
            <w:vAlign w:val="bottom"/>
          </w:tcPr>
          <w:p w14:paraId="5369460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196</w:t>
            </w:r>
          </w:p>
        </w:tc>
      </w:tr>
      <w:tr w:rsidR="00E31976" w:rsidRPr="009D4627" w14:paraId="433D61F7" w14:textId="77777777" w:rsidTr="00281A92">
        <w:trPr>
          <w:trHeight w:val="20"/>
          <w:jc w:val="center"/>
        </w:trPr>
        <w:tc>
          <w:tcPr>
            <w:tcW w:w="1291" w:type="pct"/>
            <w:shd w:val="clear" w:color="auto" w:fill="auto"/>
            <w:noWrap/>
            <w:vAlign w:val="bottom"/>
            <w:hideMark/>
          </w:tcPr>
          <w:p w14:paraId="7DF02082" w14:textId="77777777" w:rsidR="00E31976" w:rsidRPr="009D4627" w:rsidRDefault="00E31976" w:rsidP="00E31976">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001C208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707</w:t>
            </w:r>
          </w:p>
        </w:tc>
        <w:tc>
          <w:tcPr>
            <w:tcW w:w="977" w:type="pct"/>
            <w:shd w:val="clear" w:color="auto" w:fill="auto"/>
            <w:noWrap/>
            <w:vAlign w:val="bottom"/>
          </w:tcPr>
          <w:p w14:paraId="521893E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665</w:t>
            </w:r>
          </w:p>
        </w:tc>
        <w:tc>
          <w:tcPr>
            <w:tcW w:w="977" w:type="pct"/>
            <w:shd w:val="clear" w:color="auto" w:fill="auto"/>
            <w:noWrap/>
            <w:vAlign w:val="bottom"/>
          </w:tcPr>
          <w:p w14:paraId="13EF4CA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272</w:t>
            </w:r>
          </w:p>
        </w:tc>
        <w:tc>
          <w:tcPr>
            <w:tcW w:w="979" w:type="pct"/>
            <w:vAlign w:val="bottom"/>
          </w:tcPr>
          <w:p w14:paraId="5E5D7AD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248</w:t>
            </w:r>
          </w:p>
        </w:tc>
      </w:tr>
      <w:tr w:rsidR="00E31976" w:rsidRPr="009D4627" w14:paraId="5AC51715" w14:textId="77777777" w:rsidTr="00281A92">
        <w:trPr>
          <w:trHeight w:val="20"/>
          <w:jc w:val="center"/>
        </w:trPr>
        <w:tc>
          <w:tcPr>
            <w:tcW w:w="1291" w:type="pct"/>
            <w:shd w:val="clear" w:color="auto" w:fill="auto"/>
            <w:noWrap/>
            <w:vAlign w:val="bottom"/>
            <w:hideMark/>
          </w:tcPr>
          <w:p w14:paraId="24E429DB" w14:textId="77777777" w:rsidR="00E31976" w:rsidRPr="009D4627" w:rsidRDefault="00E31976" w:rsidP="00E31976">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60268A5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605</w:t>
            </w:r>
          </w:p>
        </w:tc>
        <w:tc>
          <w:tcPr>
            <w:tcW w:w="977" w:type="pct"/>
            <w:shd w:val="clear" w:color="auto" w:fill="auto"/>
            <w:noWrap/>
            <w:vAlign w:val="bottom"/>
          </w:tcPr>
          <w:p w14:paraId="4195953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347</w:t>
            </w:r>
          </w:p>
        </w:tc>
        <w:tc>
          <w:tcPr>
            <w:tcW w:w="977" w:type="pct"/>
            <w:shd w:val="clear" w:color="auto" w:fill="auto"/>
            <w:noWrap/>
            <w:vAlign w:val="bottom"/>
          </w:tcPr>
          <w:p w14:paraId="2289B9D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228</w:t>
            </w:r>
          </w:p>
        </w:tc>
        <w:tc>
          <w:tcPr>
            <w:tcW w:w="979" w:type="pct"/>
            <w:vAlign w:val="bottom"/>
          </w:tcPr>
          <w:p w14:paraId="18AA5D2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201</w:t>
            </w:r>
          </w:p>
        </w:tc>
      </w:tr>
      <w:tr w:rsidR="00E31976" w:rsidRPr="009D4627" w14:paraId="26DBECEB" w14:textId="77777777" w:rsidTr="00281A92">
        <w:trPr>
          <w:trHeight w:val="20"/>
          <w:jc w:val="center"/>
        </w:trPr>
        <w:tc>
          <w:tcPr>
            <w:tcW w:w="1291" w:type="pct"/>
            <w:shd w:val="clear" w:color="auto" w:fill="auto"/>
            <w:noWrap/>
            <w:vAlign w:val="bottom"/>
            <w:hideMark/>
          </w:tcPr>
          <w:p w14:paraId="56136003" w14:textId="77777777" w:rsidR="00E31976" w:rsidRPr="009D4627" w:rsidRDefault="00E31976" w:rsidP="00E31976">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405735B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730</w:t>
            </w:r>
          </w:p>
        </w:tc>
        <w:tc>
          <w:tcPr>
            <w:tcW w:w="977" w:type="pct"/>
            <w:shd w:val="clear" w:color="auto" w:fill="auto"/>
            <w:noWrap/>
            <w:vAlign w:val="bottom"/>
          </w:tcPr>
          <w:p w14:paraId="6CB3C90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475</w:t>
            </w:r>
          </w:p>
        </w:tc>
        <w:tc>
          <w:tcPr>
            <w:tcW w:w="977" w:type="pct"/>
            <w:shd w:val="clear" w:color="auto" w:fill="auto"/>
            <w:noWrap/>
            <w:vAlign w:val="bottom"/>
          </w:tcPr>
          <w:p w14:paraId="4832EEF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315</w:t>
            </w:r>
          </w:p>
        </w:tc>
        <w:tc>
          <w:tcPr>
            <w:tcW w:w="979" w:type="pct"/>
            <w:vAlign w:val="bottom"/>
          </w:tcPr>
          <w:p w14:paraId="6505B41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222</w:t>
            </w:r>
          </w:p>
        </w:tc>
      </w:tr>
      <w:tr w:rsidR="00E31976" w:rsidRPr="009D4627" w14:paraId="4FF769C2" w14:textId="77777777" w:rsidTr="00281A92">
        <w:trPr>
          <w:trHeight w:val="20"/>
          <w:jc w:val="center"/>
        </w:trPr>
        <w:tc>
          <w:tcPr>
            <w:tcW w:w="1291" w:type="pct"/>
            <w:shd w:val="clear" w:color="auto" w:fill="auto"/>
            <w:noWrap/>
            <w:vAlign w:val="bottom"/>
            <w:hideMark/>
          </w:tcPr>
          <w:p w14:paraId="5E1CBD2D" w14:textId="77777777" w:rsidR="00E31976" w:rsidRPr="009D4627" w:rsidRDefault="00E31976" w:rsidP="00E31976">
            <w:pPr>
              <w:spacing w:before="0" w:after="0" w:line="240" w:lineRule="auto"/>
              <w:rPr>
                <w:color w:val="auto"/>
                <w:sz w:val="20"/>
                <w:szCs w:val="20"/>
              </w:rPr>
            </w:pPr>
            <w:r w:rsidRPr="009D4627">
              <w:rPr>
                <w:color w:val="auto"/>
                <w:sz w:val="20"/>
                <w:szCs w:val="20"/>
              </w:rPr>
              <w:lastRenderedPageBreak/>
              <w:t>10</w:t>
            </w:r>
          </w:p>
        </w:tc>
        <w:tc>
          <w:tcPr>
            <w:tcW w:w="776" w:type="pct"/>
            <w:shd w:val="clear" w:color="auto" w:fill="auto"/>
            <w:noWrap/>
            <w:vAlign w:val="bottom"/>
          </w:tcPr>
          <w:p w14:paraId="0F923DF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704</w:t>
            </w:r>
          </w:p>
        </w:tc>
        <w:tc>
          <w:tcPr>
            <w:tcW w:w="977" w:type="pct"/>
            <w:shd w:val="clear" w:color="auto" w:fill="auto"/>
            <w:noWrap/>
            <w:vAlign w:val="bottom"/>
          </w:tcPr>
          <w:p w14:paraId="786005A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359</w:t>
            </w:r>
          </w:p>
        </w:tc>
        <w:tc>
          <w:tcPr>
            <w:tcW w:w="977" w:type="pct"/>
            <w:shd w:val="clear" w:color="auto" w:fill="auto"/>
            <w:noWrap/>
            <w:vAlign w:val="bottom"/>
          </w:tcPr>
          <w:p w14:paraId="16C6624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248</w:t>
            </w:r>
          </w:p>
        </w:tc>
        <w:tc>
          <w:tcPr>
            <w:tcW w:w="979" w:type="pct"/>
            <w:vAlign w:val="bottom"/>
          </w:tcPr>
          <w:p w14:paraId="53B488F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128</w:t>
            </w:r>
          </w:p>
        </w:tc>
      </w:tr>
      <w:tr w:rsidR="00E31976" w:rsidRPr="009D4627" w14:paraId="06C947DF" w14:textId="77777777" w:rsidTr="00281A92">
        <w:trPr>
          <w:trHeight w:val="20"/>
          <w:jc w:val="center"/>
        </w:trPr>
        <w:tc>
          <w:tcPr>
            <w:tcW w:w="1291" w:type="pct"/>
            <w:shd w:val="clear" w:color="auto" w:fill="auto"/>
            <w:noWrap/>
            <w:vAlign w:val="bottom"/>
            <w:hideMark/>
          </w:tcPr>
          <w:p w14:paraId="61A1253F" w14:textId="77777777" w:rsidR="00E31976" w:rsidRPr="009D4627" w:rsidRDefault="00E31976" w:rsidP="00E31976">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7E1EBFB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639</w:t>
            </w:r>
          </w:p>
        </w:tc>
        <w:tc>
          <w:tcPr>
            <w:tcW w:w="977" w:type="pct"/>
            <w:shd w:val="clear" w:color="auto" w:fill="auto"/>
            <w:noWrap/>
            <w:vAlign w:val="bottom"/>
          </w:tcPr>
          <w:p w14:paraId="7CACF96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400</w:t>
            </w:r>
          </w:p>
        </w:tc>
        <w:tc>
          <w:tcPr>
            <w:tcW w:w="977" w:type="pct"/>
            <w:shd w:val="clear" w:color="auto" w:fill="auto"/>
            <w:noWrap/>
            <w:vAlign w:val="bottom"/>
          </w:tcPr>
          <w:p w14:paraId="12E8303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294</w:t>
            </w:r>
          </w:p>
        </w:tc>
        <w:tc>
          <w:tcPr>
            <w:tcW w:w="979" w:type="pct"/>
            <w:vAlign w:val="bottom"/>
          </w:tcPr>
          <w:p w14:paraId="708DB0E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182</w:t>
            </w:r>
          </w:p>
        </w:tc>
      </w:tr>
      <w:tr w:rsidR="00E31976" w:rsidRPr="009D4627" w14:paraId="4852FE64" w14:textId="77777777" w:rsidTr="00281A92">
        <w:trPr>
          <w:trHeight w:val="20"/>
          <w:jc w:val="center"/>
        </w:trPr>
        <w:tc>
          <w:tcPr>
            <w:tcW w:w="1291" w:type="pct"/>
            <w:shd w:val="clear" w:color="auto" w:fill="auto"/>
            <w:noWrap/>
            <w:vAlign w:val="bottom"/>
            <w:hideMark/>
          </w:tcPr>
          <w:p w14:paraId="72D6EC7B" w14:textId="77777777" w:rsidR="00E31976" w:rsidRPr="009D4627" w:rsidRDefault="00E31976" w:rsidP="00E31976">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3A3B2CE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831</w:t>
            </w:r>
          </w:p>
        </w:tc>
        <w:tc>
          <w:tcPr>
            <w:tcW w:w="977" w:type="pct"/>
            <w:shd w:val="clear" w:color="auto" w:fill="auto"/>
            <w:noWrap/>
            <w:vAlign w:val="bottom"/>
          </w:tcPr>
          <w:p w14:paraId="0B36B4C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410</w:t>
            </w:r>
          </w:p>
        </w:tc>
        <w:tc>
          <w:tcPr>
            <w:tcW w:w="977" w:type="pct"/>
            <w:shd w:val="clear" w:color="auto" w:fill="auto"/>
            <w:noWrap/>
            <w:vAlign w:val="bottom"/>
          </w:tcPr>
          <w:p w14:paraId="4CC2BAE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273</w:t>
            </w:r>
          </w:p>
        </w:tc>
        <w:tc>
          <w:tcPr>
            <w:tcW w:w="979" w:type="pct"/>
            <w:vAlign w:val="bottom"/>
          </w:tcPr>
          <w:p w14:paraId="6588B34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213</w:t>
            </w:r>
          </w:p>
        </w:tc>
      </w:tr>
      <w:tr w:rsidR="00E31976" w:rsidRPr="009D4627" w14:paraId="0E875710" w14:textId="77777777" w:rsidTr="00281A92">
        <w:trPr>
          <w:trHeight w:val="20"/>
          <w:jc w:val="center"/>
        </w:trPr>
        <w:tc>
          <w:tcPr>
            <w:tcW w:w="1291" w:type="pct"/>
            <w:shd w:val="clear" w:color="auto" w:fill="auto"/>
            <w:noWrap/>
            <w:vAlign w:val="bottom"/>
            <w:hideMark/>
          </w:tcPr>
          <w:p w14:paraId="32F61A5F" w14:textId="77777777" w:rsidR="00E31976" w:rsidRPr="009D4627" w:rsidRDefault="00E31976" w:rsidP="00E31976">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265E726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826</w:t>
            </w:r>
          </w:p>
        </w:tc>
        <w:tc>
          <w:tcPr>
            <w:tcW w:w="977" w:type="pct"/>
            <w:shd w:val="clear" w:color="auto" w:fill="auto"/>
            <w:noWrap/>
            <w:vAlign w:val="bottom"/>
          </w:tcPr>
          <w:p w14:paraId="10577C4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578</w:t>
            </w:r>
          </w:p>
        </w:tc>
        <w:tc>
          <w:tcPr>
            <w:tcW w:w="977" w:type="pct"/>
            <w:shd w:val="clear" w:color="auto" w:fill="auto"/>
            <w:noWrap/>
            <w:vAlign w:val="bottom"/>
          </w:tcPr>
          <w:p w14:paraId="0746DB9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336</w:t>
            </w:r>
          </w:p>
        </w:tc>
        <w:tc>
          <w:tcPr>
            <w:tcW w:w="979" w:type="pct"/>
            <w:vAlign w:val="bottom"/>
          </w:tcPr>
          <w:p w14:paraId="446269F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226</w:t>
            </w:r>
          </w:p>
        </w:tc>
      </w:tr>
      <w:tr w:rsidR="00E31976" w:rsidRPr="009D4627" w14:paraId="4281C6F4" w14:textId="77777777" w:rsidTr="00281A92">
        <w:trPr>
          <w:trHeight w:val="20"/>
          <w:jc w:val="center"/>
        </w:trPr>
        <w:tc>
          <w:tcPr>
            <w:tcW w:w="1291" w:type="pct"/>
            <w:shd w:val="clear" w:color="auto" w:fill="auto"/>
            <w:noWrap/>
            <w:vAlign w:val="bottom"/>
            <w:hideMark/>
          </w:tcPr>
          <w:p w14:paraId="7923B4BC" w14:textId="77777777" w:rsidR="00E31976" w:rsidRPr="009D4627" w:rsidRDefault="00E31976" w:rsidP="00E31976">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69D98BC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467</w:t>
            </w:r>
          </w:p>
        </w:tc>
        <w:tc>
          <w:tcPr>
            <w:tcW w:w="977" w:type="pct"/>
            <w:shd w:val="clear" w:color="auto" w:fill="auto"/>
            <w:noWrap/>
            <w:vAlign w:val="bottom"/>
          </w:tcPr>
          <w:p w14:paraId="59D4385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332</w:t>
            </w:r>
          </w:p>
        </w:tc>
        <w:tc>
          <w:tcPr>
            <w:tcW w:w="977" w:type="pct"/>
            <w:shd w:val="clear" w:color="auto" w:fill="auto"/>
            <w:noWrap/>
            <w:vAlign w:val="bottom"/>
          </w:tcPr>
          <w:p w14:paraId="3D81724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261</w:t>
            </w:r>
          </w:p>
        </w:tc>
        <w:tc>
          <w:tcPr>
            <w:tcW w:w="979" w:type="pct"/>
            <w:vAlign w:val="bottom"/>
          </w:tcPr>
          <w:p w14:paraId="2A09515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208</w:t>
            </w:r>
          </w:p>
        </w:tc>
      </w:tr>
      <w:tr w:rsidR="00E31976" w:rsidRPr="009D4627" w14:paraId="716627F2" w14:textId="77777777" w:rsidTr="00281A92">
        <w:trPr>
          <w:trHeight w:val="20"/>
          <w:jc w:val="center"/>
        </w:trPr>
        <w:tc>
          <w:tcPr>
            <w:tcW w:w="1291" w:type="pct"/>
            <w:shd w:val="clear" w:color="auto" w:fill="auto"/>
            <w:noWrap/>
            <w:vAlign w:val="bottom"/>
            <w:hideMark/>
          </w:tcPr>
          <w:p w14:paraId="07BA4467" w14:textId="77777777" w:rsidR="00E31976" w:rsidRPr="009D4627" w:rsidRDefault="00E31976" w:rsidP="00E31976">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0FDEDB0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454</w:t>
            </w:r>
          </w:p>
        </w:tc>
        <w:tc>
          <w:tcPr>
            <w:tcW w:w="977" w:type="pct"/>
            <w:shd w:val="clear" w:color="auto" w:fill="auto"/>
            <w:noWrap/>
            <w:vAlign w:val="bottom"/>
          </w:tcPr>
          <w:p w14:paraId="7384F9B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315</w:t>
            </w:r>
          </w:p>
        </w:tc>
        <w:tc>
          <w:tcPr>
            <w:tcW w:w="977" w:type="pct"/>
            <w:shd w:val="clear" w:color="auto" w:fill="auto"/>
            <w:noWrap/>
            <w:vAlign w:val="bottom"/>
          </w:tcPr>
          <w:p w14:paraId="4F6E17A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287</w:t>
            </w:r>
          </w:p>
        </w:tc>
        <w:tc>
          <w:tcPr>
            <w:tcW w:w="979" w:type="pct"/>
            <w:vAlign w:val="bottom"/>
          </w:tcPr>
          <w:p w14:paraId="4D8E913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222</w:t>
            </w:r>
          </w:p>
        </w:tc>
      </w:tr>
      <w:tr w:rsidR="00E31976" w:rsidRPr="009D4627" w14:paraId="25F214AC" w14:textId="77777777" w:rsidTr="00281A92">
        <w:trPr>
          <w:trHeight w:val="20"/>
          <w:jc w:val="center"/>
        </w:trPr>
        <w:tc>
          <w:tcPr>
            <w:tcW w:w="1291" w:type="pct"/>
            <w:shd w:val="clear" w:color="auto" w:fill="auto"/>
            <w:noWrap/>
            <w:vAlign w:val="bottom"/>
            <w:hideMark/>
          </w:tcPr>
          <w:p w14:paraId="771772DC" w14:textId="77777777" w:rsidR="00E31976" w:rsidRPr="009D4627" w:rsidRDefault="00E31976" w:rsidP="00E31976">
            <w:pPr>
              <w:spacing w:before="0" w:after="0" w:line="240" w:lineRule="auto"/>
              <w:rPr>
                <w:color w:val="auto"/>
                <w:sz w:val="20"/>
                <w:szCs w:val="20"/>
              </w:rPr>
            </w:pPr>
            <w:r w:rsidRPr="009D4627">
              <w:rPr>
                <w:color w:val="auto"/>
                <w:sz w:val="20"/>
                <w:szCs w:val="20"/>
              </w:rPr>
              <w:t>16</w:t>
            </w:r>
          </w:p>
        </w:tc>
        <w:tc>
          <w:tcPr>
            <w:tcW w:w="776" w:type="pct"/>
            <w:shd w:val="clear" w:color="auto" w:fill="auto"/>
            <w:noWrap/>
            <w:vAlign w:val="bottom"/>
          </w:tcPr>
          <w:p w14:paraId="599E5D2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933</w:t>
            </w:r>
          </w:p>
        </w:tc>
        <w:tc>
          <w:tcPr>
            <w:tcW w:w="977" w:type="pct"/>
            <w:shd w:val="clear" w:color="auto" w:fill="auto"/>
            <w:noWrap/>
            <w:vAlign w:val="bottom"/>
          </w:tcPr>
          <w:p w14:paraId="2B697FE9" w14:textId="75EED4BA" w:rsidR="00E31976" w:rsidRPr="009D4627" w:rsidRDefault="00424033" w:rsidP="00E31976">
            <w:pPr>
              <w:spacing w:before="0" w:after="0" w:line="240" w:lineRule="auto"/>
              <w:jc w:val="right"/>
              <w:rPr>
                <w:color w:val="auto"/>
                <w:sz w:val="20"/>
                <w:szCs w:val="20"/>
              </w:rPr>
            </w:pPr>
            <w:r w:rsidRPr="009D4627">
              <w:rPr>
                <w:color w:val="000000"/>
                <w:sz w:val="22"/>
                <w:szCs w:val="22"/>
              </w:rPr>
              <w:t>6</w:t>
            </w:r>
            <w:r>
              <w:rPr>
                <w:color w:val="000000"/>
                <w:sz w:val="22"/>
                <w:szCs w:val="22"/>
              </w:rPr>
              <w:t>76</w:t>
            </w:r>
          </w:p>
        </w:tc>
        <w:tc>
          <w:tcPr>
            <w:tcW w:w="977" w:type="pct"/>
            <w:shd w:val="clear" w:color="auto" w:fill="auto"/>
            <w:noWrap/>
            <w:vAlign w:val="bottom"/>
          </w:tcPr>
          <w:p w14:paraId="095CCB1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424</w:t>
            </w:r>
          </w:p>
        </w:tc>
        <w:tc>
          <w:tcPr>
            <w:tcW w:w="979" w:type="pct"/>
            <w:vAlign w:val="bottom"/>
          </w:tcPr>
          <w:p w14:paraId="47E7E2B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208</w:t>
            </w:r>
          </w:p>
        </w:tc>
      </w:tr>
      <w:tr w:rsidR="00E31976" w:rsidRPr="009D4627" w14:paraId="215CC41C" w14:textId="77777777" w:rsidTr="00281A92">
        <w:trPr>
          <w:trHeight w:val="20"/>
          <w:jc w:val="center"/>
        </w:trPr>
        <w:tc>
          <w:tcPr>
            <w:tcW w:w="1291" w:type="pct"/>
            <w:shd w:val="clear" w:color="auto" w:fill="auto"/>
            <w:noWrap/>
            <w:vAlign w:val="bottom"/>
            <w:hideMark/>
          </w:tcPr>
          <w:p w14:paraId="530FE42C" w14:textId="77777777" w:rsidR="00E31976" w:rsidRPr="009D4627" w:rsidRDefault="00E31976" w:rsidP="00E31976">
            <w:pPr>
              <w:spacing w:before="0" w:after="0" w:line="240" w:lineRule="auto"/>
              <w:rPr>
                <w:color w:val="auto"/>
                <w:sz w:val="20"/>
                <w:szCs w:val="20"/>
              </w:rPr>
            </w:pPr>
            <w:r w:rsidRPr="009D4627">
              <w:rPr>
                <w:color w:val="auto"/>
                <w:sz w:val="20"/>
                <w:szCs w:val="20"/>
              </w:rPr>
              <w:t>17</w:t>
            </w:r>
          </w:p>
        </w:tc>
        <w:tc>
          <w:tcPr>
            <w:tcW w:w="776" w:type="pct"/>
            <w:shd w:val="clear" w:color="auto" w:fill="auto"/>
            <w:noWrap/>
            <w:vAlign w:val="bottom"/>
          </w:tcPr>
          <w:p w14:paraId="23B1561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703</w:t>
            </w:r>
          </w:p>
        </w:tc>
        <w:tc>
          <w:tcPr>
            <w:tcW w:w="977" w:type="pct"/>
            <w:shd w:val="clear" w:color="auto" w:fill="auto"/>
            <w:noWrap/>
            <w:vAlign w:val="bottom"/>
          </w:tcPr>
          <w:p w14:paraId="6540454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380</w:t>
            </w:r>
          </w:p>
        </w:tc>
        <w:tc>
          <w:tcPr>
            <w:tcW w:w="977" w:type="pct"/>
            <w:shd w:val="clear" w:color="auto" w:fill="auto"/>
            <w:noWrap/>
            <w:vAlign w:val="bottom"/>
          </w:tcPr>
          <w:p w14:paraId="6DADE8D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272</w:t>
            </w:r>
          </w:p>
        </w:tc>
        <w:tc>
          <w:tcPr>
            <w:tcW w:w="979" w:type="pct"/>
            <w:vAlign w:val="bottom"/>
          </w:tcPr>
          <w:p w14:paraId="43C96CB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193</w:t>
            </w:r>
          </w:p>
        </w:tc>
      </w:tr>
      <w:tr w:rsidR="00E31976" w:rsidRPr="009D4627" w14:paraId="48CFBA25" w14:textId="77777777" w:rsidTr="00281A92">
        <w:trPr>
          <w:trHeight w:val="20"/>
          <w:jc w:val="center"/>
        </w:trPr>
        <w:tc>
          <w:tcPr>
            <w:tcW w:w="1291" w:type="pct"/>
            <w:shd w:val="clear" w:color="auto" w:fill="auto"/>
            <w:noWrap/>
            <w:vAlign w:val="bottom"/>
            <w:hideMark/>
          </w:tcPr>
          <w:p w14:paraId="7EDC23E9" w14:textId="77777777" w:rsidR="00E31976" w:rsidRPr="009D4627" w:rsidRDefault="00E31976" w:rsidP="00E31976">
            <w:pPr>
              <w:spacing w:before="0" w:after="0" w:line="240" w:lineRule="auto"/>
              <w:rPr>
                <w:color w:val="auto"/>
                <w:sz w:val="20"/>
                <w:szCs w:val="20"/>
              </w:rPr>
            </w:pPr>
            <w:r w:rsidRPr="009D4627">
              <w:rPr>
                <w:color w:val="auto"/>
                <w:sz w:val="20"/>
                <w:szCs w:val="20"/>
              </w:rPr>
              <w:t>18</w:t>
            </w:r>
          </w:p>
        </w:tc>
        <w:tc>
          <w:tcPr>
            <w:tcW w:w="776" w:type="pct"/>
            <w:shd w:val="clear" w:color="auto" w:fill="auto"/>
            <w:noWrap/>
            <w:vAlign w:val="bottom"/>
          </w:tcPr>
          <w:p w14:paraId="5E5A954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625</w:t>
            </w:r>
          </w:p>
        </w:tc>
        <w:tc>
          <w:tcPr>
            <w:tcW w:w="977" w:type="pct"/>
            <w:shd w:val="clear" w:color="auto" w:fill="auto"/>
            <w:noWrap/>
            <w:vAlign w:val="bottom"/>
          </w:tcPr>
          <w:p w14:paraId="541CE94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431</w:t>
            </w:r>
          </w:p>
        </w:tc>
        <w:tc>
          <w:tcPr>
            <w:tcW w:w="977" w:type="pct"/>
            <w:shd w:val="clear" w:color="auto" w:fill="auto"/>
            <w:noWrap/>
            <w:vAlign w:val="bottom"/>
          </w:tcPr>
          <w:p w14:paraId="742F377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244</w:t>
            </w:r>
          </w:p>
        </w:tc>
        <w:tc>
          <w:tcPr>
            <w:tcW w:w="979" w:type="pct"/>
            <w:vAlign w:val="bottom"/>
          </w:tcPr>
          <w:p w14:paraId="5270B4A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191</w:t>
            </w:r>
          </w:p>
        </w:tc>
      </w:tr>
      <w:tr w:rsidR="00E31976" w:rsidRPr="009D4627" w14:paraId="11167F18" w14:textId="77777777" w:rsidTr="00281A92">
        <w:trPr>
          <w:trHeight w:val="20"/>
          <w:jc w:val="center"/>
        </w:trPr>
        <w:tc>
          <w:tcPr>
            <w:tcW w:w="1291" w:type="pct"/>
            <w:shd w:val="clear" w:color="auto" w:fill="auto"/>
            <w:noWrap/>
            <w:vAlign w:val="bottom"/>
            <w:hideMark/>
          </w:tcPr>
          <w:p w14:paraId="6424F5DB" w14:textId="77777777" w:rsidR="00E31976" w:rsidRPr="009D4627" w:rsidRDefault="00E31976" w:rsidP="00E31976">
            <w:pPr>
              <w:spacing w:before="0" w:after="0" w:line="240" w:lineRule="auto"/>
              <w:rPr>
                <w:color w:val="auto"/>
                <w:sz w:val="20"/>
                <w:szCs w:val="20"/>
              </w:rPr>
            </w:pPr>
            <w:r w:rsidRPr="009D4627">
              <w:rPr>
                <w:color w:val="auto"/>
                <w:sz w:val="20"/>
                <w:szCs w:val="20"/>
              </w:rPr>
              <w:t>19</w:t>
            </w:r>
          </w:p>
        </w:tc>
        <w:tc>
          <w:tcPr>
            <w:tcW w:w="776" w:type="pct"/>
            <w:shd w:val="clear" w:color="auto" w:fill="auto"/>
            <w:noWrap/>
            <w:vAlign w:val="bottom"/>
          </w:tcPr>
          <w:p w14:paraId="78F8B94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542</w:t>
            </w:r>
          </w:p>
        </w:tc>
        <w:tc>
          <w:tcPr>
            <w:tcW w:w="977" w:type="pct"/>
            <w:shd w:val="clear" w:color="auto" w:fill="auto"/>
            <w:noWrap/>
            <w:vAlign w:val="bottom"/>
          </w:tcPr>
          <w:p w14:paraId="78E9007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336</w:t>
            </w:r>
          </w:p>
        </w:tc>
        <w:tc>
          <w:tcPr>
            <w:tcW w:w="977" w:type="pct"/>
            <w:shd w:val="clear" w:color="auto" w:fill="auto"/>
            <w:noWrap/>
            <w:vAlign w:val="bottom"/>
          </w:tcPr>
          <w:p w14:paraId="1DC45C4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237</w:t>
            </w:r>
          </w:p>
        </w:tc>
        <w:tc>
          <w:tcPr>
            <w:tcW w:w="979" w:type="pct"/>
            <w:vAlign w:val="bottom"/>
          </w:tcPr>
          <w:p w14:paraId="1115EC4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155</w:t>
            </w:r>
          </w:p>
        </w:tc>
      </w:tr>
      <w:tr w:rsidR="00E31976" w:rsidRPr="009D4627" w14:paraId="1F201840" w14:textId="77777777" w:rsidTr="00281A92">
        <w:trPr>
          <w:trHeight w:val="20"/>
          <w:jc w:val="center"/>
        </w:trPr>
        <w:tc>
          <w:tcPr>
            <w:tcW w:w="1291" w:type="pct"/>
            <w:shd w:val="clear" w:color="auto" w:fill="auto"/>
            <w:noWrap/>
            <w:vAlign w:val="bottom"/>
            <w:hideMark/>
          </w:tcPr>
          <w:p w14:paraId="271675A4" w14:textId="77777777" w:rsidR="00E31976" w:rsidRPr="009D4627" w:rsidRDefault="00E31976" w:rsidP="00E31976">
            <w:pPr>
              <w:spacing w:before="0" w:after="0" w:line="240" w:lineRule="auto"/>
              <w:rPr>
                <w:color w:val="auto"/>
                <w:sz w:val="20"/>
                <w:szCs w:val="20"/>
              </w:rPr>
            </w:pPr>
            <w:r w:rsidRPr="009D4627">
              <w:rPr>
                <w:color w:val="auto"/>
                <w:sz w:val="20"/>
                <w:szCs w:val="20"/>
              </w:rPr>
              <w:t>20</w:t>
            </w:r>
          </w:p>
        </w:tc>
        <w:tc>
          <w:tcPr>
            <w:tcW w:w="776" w:type="pct"/>
            <w:shd w:val="clear" w:color="auto" w:fill="auto"/>
            <w:noWrap/>
            <w:vAlign w:val="bottom"/>
          </w:tcPr>
          <w:p w14:paraId="23ABD7B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550</w:t>
            </w:r>
          </w:p>
        </w:tc>
        <w:tc>
          <w:tcPr>
            <w:tcW w:w="977" w:type="pct"/>
            <w:shd w:val="clear" w:color="auto" w:fill="auto"/>
            <w:noWrap/>
            <w:vAlign w:val="bottom"/>
          </w:tcPr>
          <w:p w14:paraId="127F57B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509</w:t>
            </w:r>
          </w:p>
        </w:tc>
        <w:tc>
          <w:tcPr>
            <w:tcW w:w="977" w:type="pct"/>
            <w:shd w:val="clear" w:color="auto" w:fill="auto"/>
            <w:noWrap/>
            <w:vAlign w:val="bottom"/>
          </w:tcPr>
          <w:p w14:paraId="3A55690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219</w:t>
            </w:r>
          </w:p>
        </w:tc>
        <w:tc>
          <w:tcPr>
            <w:tcW w:w="979" w:type="pct"/>
            <w:vAlign w:val="bottom"/>
          </w:tcPr>
          <w:p w14:paraId="79AA8E4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147</w:t>
            </w:r>
          </w:p>
        </w:tc>
      </w:tr>
      <w:tr w:rsidR="00E31976" w:rsidRPr="009D4627" w14:paraId="58394CF0" w14:textId="77777777" w:rsidTr="00281A92">
        <w:trPr>
          <w:trHeight w:val="20"/>
          <w:jc w:val="center"/>
        </w:trPr>
        <w:tc>
          <w:tcPr>
            <w:tcW w:w="1291" w:type="pct"/>
            <w:shd w:val="clear" w:color="auto" w:fill="auto"/>
            <w:noWrap/>
            <w:vAlign w:val="bottom"/>
            <w:hideMark/>
          </w:tcPr>
          <w:p w14:paraId="2D4F116A" w14:textId="77777777" w:rsidR="00E31976" w:rsidRPr="009D4627" w:rsidRDefault="00E31976" w:rsidP="00E31976">
            <w:pPr>
              <w:spacing w:before="0" w:after="0" w:line="240" w:lineRule="auto"/>
              <w:rPr>
                <w:color w:val="auto"/>
                <w:sz w:val="20"/>
                <w:szCs w:val="20"/>
              </w:rPr>
            </w:pPr>
            <w:r w:rsidRPr="009D4627">
              <w:rPr>
                <w:color w:val="auto"/>
                <w:sz w:val="20"/>
                <w:szCs w:val="20"/>
              </w:rPr>
              <w:t>21</w:t>
            </w:r>
          </w:p>
        </w:tc>
        <w:tc>
          <w:tcPr>
            <w:tcW w:w="776" w:type="pct"/>
            <w:shd w:val="clear" w:color="auto" w:fill="auto"/>
            <w:noWrap/>
            <w:vAlign w:val="bottom"/>
          </w:tcPr>
          <w:p w14:paraId="4D5BD1E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519</w:t>
            </w:r>
          </w:p>
        </w:tc>
        <w:tc>
          <w:tcPr>
            <w:tcW w:w="977" w:type="pct"/>
            <w:shd w:val="clear" w:color="auto" w:fill="auto"/>
            <w:noWrap/>
            <w:vAlign w:val="bottom"/>
          </w:tcPr>
          <w:p w14:paraId="5690157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366</w:t>
            </w:r>
          </w:p>
        </w:tc>
        <w:tc>
          <w:tcPr>
            <w:tcW w:w="977" w:type="pct"/>
            <w:shd w:val="clear" w:color="auto" w:fill="auto"/>
            <w:noWrap/>
            <w:vAlign w:val="bottom"/>
          </w:tcPr>
          <w:p w14:paraId="709500F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226</w:t>
            </w:r>
          </w:p>
        </w:tc>
        <w:tc>
          <w:tcPr>
            <w:tcW w:w="979" w:type="pct"/>
            <w:vAlign w:val="bottom"/>
          </w:tcPr>
          <w:p w14:paraId="1F5342E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211</w:t>
            </w:r>
          </w:p>
        </w:tc>
      </w:tr>
      <w:tr w:rsidR="00E31976" w:rsidRPr="009D4627" w14:paraId="10B234CA" w14:textId="77777777" w:rsidTr="00281A92">
        <w:trPr>
          <w:trHeight w:val="20"/>
          <w:jc w:val="center"/>
        </w:trPr>
        <w:tc>
          <w:tcPr>
            <w:tcW w:w="1291" w:type="pct"/>
            <w:shd w:val="clear" w:color="auto" w:fill="auto"/>
            <w:noWrap/>
            <w:vAlign w:val="bottom"/>
            <w:hideMark/>
          </w:tcPr>
          <w:p w14:paraId="29496A8E" w14:textId="77777777" w:rsidR="00E31976" w:rsidRPr="009D4627" w:rsidRDefault="00E31976" w:rsidP="00E31976">
            <w:pPr>
              <w:spacing w:before="0" w:after="0" w:line="240" w:lineRule="auto"/>
              <w:rPr>
                <w:color w:val="auto"/>
                <w:sz w:val="20"/>
                <w:szCs w:val="20"/>
              </w:rPr>
            </w:pPr>
            <w:r w:rsidRPr="009D4627">
              <w:rPr>
                <w:color w:val="auto"/>
                <w:sz w:val="20"/>
                <w:szCs w:val="20"/>
              </w:rPr>
              <w:t>22</w:t>
            </w:r>
          </w:p>
        </w:tc>
        <w:tc>
          <w:tcPr>
            <w:tcW w:w="776" w:type="pct"/>
            <w:shd w:val="clear" w:color="auto" w:fill="auto"/>
            <w:noWrap/>
            <w:vAlign w:val="bottom"/>
          </w:tcPr>
          <w:p w14:paraId="00899B7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920</w:t>
            </w:r>
          </w:p>
        </w:tc>
        <w:tc>
          <w:tcPr>
            <w:tcW w:w="977" w:type="pct"/>
            <w:shd w:val="clear" w:color="auto" w:fill="auto"/>
            <w:noWrap/>
            <w:vAlign w:val="bottom"/>
          </w:tcPr>
          <w:p w14:paraId="3A1EABF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693</w:t>
            </w:r>
          </w:p>
        </w:tc>
        <w:tc>
          <w:tcPr>
            <w:tcW w:w="977" w:type="pct"/>
            <w:shd w:val="clear" w:color="auto" w:fill="auto"/>
            <w:noWrap/>
            <w:vAlign w:val="bottom"/>
          </w:tcPr>
          <w:p w14:paraId="45B87E0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368</w:t>
            </w:r>
          </w:p>
        </w:tc>
        <w:tc>
          <w:tcPr>
            <w:tcW w:w="979" w:type="pct"/>
            <w:vAlign w:val="bottom"/>
          </w:tcPr>
          <w:p w14:paraId="51C86AB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249</w:t>
            </w:r>
          </w:p>
        </w:tc>
      </w:tr>
      <w:tr w:rsidR="00E31976" w:rsidRPr="009D4627" w14:paraId="501107DE" w14:textId="77777777" w:rsidTr="00281A92">
        <w:trPr>
          <w:trHeight w:val="20"/>
          <w:jc w:val="center"/>
        </w:trPr>
        <w:tc>
          <w:tcPr>
            <w:tcW w:w="1291" w:type="pct"/>
            <w:shd w:val="clear" w:color="auto" w:fill="auto"/>
            <w:noWrap/>
            <w:vAlign w:val="bottom"/>
            <w:hideMark/>
          </w:tcPr>
          <w:p w14:paraId="1F9FE21B" w14:textId="77777777" w:rsidR="00E31976" w:rsidRPr="009D4627" w:rsidRDefault="00E31976" w:rsidP="00E31976">
            <w:pPr>
              <w:spacing w:before="0" w:after="0" w:line="240" w:lineRule="auto"/>
              <w:rPr>
                <w:color w:val="auto"/>
                <w:sz w:val="20"/>
                <w:szCs w:val="20"/>
              </w:rPr>
            </w:pPr>
            <w:r w:rsidRPr="009D4627">
              <w:rPr>
                <w:color w:val="auto"/>
                <w:sz w:val="20"/>
                <w:szCs w:val="20"/>
              </w:rPr>
              <w:t>23</w:t>
            </w:r>
          </w:p>
        </w:tc>
        <w:tc>
          <w:tcPr>
            <w:tcW w:w="776" w:type="pct"/>
            <w:shd w:val="clear" w:color="auto" w:fill="auto"/>
            <w:noWrap/>
            <w:vAlign w:val="bottom"/>
          </w:tcPr>
          <w:p w14:paraId="53B1EC8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579</w:t>
            </w:r>
          </w:p>
        </w:tc>
        <w:tc>
          <w:tcPr>
            <w:tcW w:w="977" w:type="pct"/>
            <w:shd w:val="clear" w:color="auto" w:fill="auto"/>
            <w:noWrap/>
            <w:vAlign w:val="bottom"/>
          </w:tcPr>
          <w:p w14:paraId="6BCC55F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432</w:t>
            </w:r>
          </w:p>
        </w:tc>
        <w:tc>
          <w:tcPr>
            <w:tcW w:w="977" w:type="pct"/>
            <w:shd w:val="clear" w:color="auto" w:fill="auto"/>
            <w:noWrap/>
            <w:vAlign w:val="bottom"/>
          </w:tcPr>
          <w:p w14:paraId="190A5A1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267</w:t>
            </w:r>
          </w:p>
        </w:tc>
        <w:tc>
          <w:tcPr>
            <w:tcW w:w="979" w:type="pct"/>
            <w:vAlign w:val="bottom"/>
          </w:tcPr>
          <w:p w14:paraId="3D2F064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188</w:t>
            </w:r>
          </w:p>
        </w:tc>
      </w:tr>
      <w:tr w:rsidR="00E31976" w:rsidRPr="009D4627" w14:paraId="3ED9518B" w14:textId="77777777" w:rsidTr="00281A92">
        <w:trPr>
          <w:trHeight w:val="20"/>
          <w:jc w:val="center"/>
        </w:trPr>
        <w:tc>
          <w:tcPr>
            <w:tcW w:w="5000" w:type="pct"/>
            <w:gridSpan w:val="5"/>
            <w:shd w:val="clear" w:color="auto" w:fill="D9D9D9" w:themeFill="background1" w:themeFillShade="D9"/>
            <w:noWrap/>
            <w:vAlign w:val="bottom"/>
          </w:tcPr>
          <w:p w14:paraId="66C56C51" w14:textId="77777777" w:rsidR="00E31976" w:rsidRPr="009D4627" w:rsidRDefault="00E31976" w:rsidP="00E31976">
            <w:pPr>
              <w:spacing w:before="0" w:after="0" w:line="240" w:lineRule="auto"/>
              <w:jc w:val="left"/>
              <w:rPr>
                <w:color w:val="auto"/>
                <w:sz w:val="20"/>
                <w:szCs w:val="20"/>
              </w:rPr>
            </w:pPr>
            <w:r w:rsidRPr="009D4627">
              <w:rPr>
                <w:color w:val="auto"/>
                <w:sz w:val="20"/>
                <w:szCs w:val="20"/>
              </w:rPr>
              <w:t>Middle (40-59 years old)</w:t>
            </w:r>
          </w:p>
        </w:tc>
      </w:tr>
      <w:tr w:rsidR="00E31976" w:rsidRPr="009D4627" w14:paraId="372FFEB0" w14:textId="77777777" w:rsidTr="00281A92">
        <w:trPr>
          <w:trHeight w:val="20"/>
          <w:jc w:val="center"/>
        </w:trPr>
        <w:tc>
          <w:tcPr>
            <w:tcW w:w="1291" w:type="pct"/>
            <w:tcBorders>
              <w:tl2br w:val="single" w:sz="4" w:space="0" w:color="auto"/>
            </w:tcBorders>
            <w:shd w:val="clear" w:color="auto" w:fill="auto"/>
            <w:hideMark/>
          </w:tcPr>
          <w:p w14:paraId="321A0D79"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Target frequency</w:t>
            </w:r>
          </w:p>
          <w:p w14:paraId="2C83BBD7" w14:textId="77777777" w:rsidR="00E31976" w:rsidRPr="009D4627" w:rsidRDefault="00E31976" w:rsidP="00E31976">
            <w:pPr>
              <w:spacing w:before="0" w:after="0" w:line="240" w:lineRule="auto"/>
              <w:rPr>
                <w:color w:val="auto"/>
                <w:sz w:val="20"/>
                <w:szCs w:val="20"/>
              </w:rPr>
            </w:pPr>
          </w:p>
          <w:p w14:paraId="54C9FBA0" w14:textId="77777777" w:rsidR="00E31976" w:rsidRPr="009D4627" w:rsidRDefault="00E31976" w:rsidP="00E31976">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63C6FEC4"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642896A5"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042811EF"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0.6 Hz</w:t>
            </w:r>
          </w:p>
        </w:tc>
        <w:tc>
          <w:tcPr>
            <w:tcW w:w="979" w:type="pct"/>
          </w:tcPr>
          <w:p w14:paraId="1044B713"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0.8 Hz</w:t>
            </w:r>
          </w:p>
        </w:tc>
      </w:tr>
      <w:tr w:rsidR="00E31976" w:rsidRPr="009D4627" w14:paraId="71807ECC" w14:textId="77777777" w:rsidTr="00281A92">
        <w:trPr>
          <w:trHeight w:val="20"/>
          <w:jc w:val="center"/>
        </w:trPr>
        <w:tc>
          <w:tcPr>
            <w:tcW w:w="1291" w:type="pct"/>
            <w:shd w:val="clear" w:color="auto" w:fill="auto"/>
            <w:noWrap/>
            <w:vAlign w:val="bottom"/>
            <w:hideMark/>
          </w:tcPr>
          <w:p w14:paraId="474A74E9" w14:textId="77777777" w:rsidR="00E31976" w:rsidRPr="009D4627" w:rsidRDefault="00E31976" w:rsidP="00E31976">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0E73F9B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309</w:t>
            </w:r>
          </w:p>
        </w:tc>
        <w:tc>
          <w:tcPr>
            <w:tcW w:w="977" w:type="pct"/>
            <w:shd w:val="clear" w:color="auto" w:fill="auto"/>
            <w:noWrap/>
            <w:vAlign w:val="bottom"/>
          </w:tcPr>
          <w:p w14:paraId="123FD0F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232</w:t>
            </w:r>
          </w:p>
        </w:tc>
        <w:tc>
          <w:tcPr>
            <w:tcW w:w="977" w:type="pct"/>
            <w:shd w:val="clear" w:color="auto" w:fill="auto"/>
            <w:noWrap/>
            <w:vAlign w:val="bottom"/>
          </w:tcPr>
          <w:p w14:paraId="3540C51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198</w:t>
            </w:r>
          </w:p>
        </w:tc>
        <w:tc>
          <w:tcPr>
            <w:tcW w:w="979" w:type="pct"/>
            <w:vAlign w:val="bottom"/>
          </w:tcPr>
          <w:p w14:paraId="10D5B4A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235</w:t>
            </w:r>
          </w:p>
        </w:tc>
      </w:tr>
      <w:tr w:rsidR="00E31976" w:rsidRPr="009D4627" w14:paraId="122A24E5" w14:textId="77777777" w:rsidTr="00281A92">
        <w:trPr>
          <w:trHeight w:val="20"/>
          <w:jc w:val="center"/>
        </w:trPr>
        <w:tc>
          <w:tcPr>
            <w:tcW w:w="1291" w:type="pct"/>
            <w:shd w:val="clear" w:color="auto" w:fill="auto"/>
            <w:noWrap/>
            <w:vAlign w:val="bottom"/>
            <w:hideMark/>
          </w:tcPr>
          <w:p w14:paraId="698D5C48" w14:textId="77777777" w:rsidR="00E31976" w:rsidRPr="009D4627" w:rsidRDefault="00E31976" w:rsidP="00E31976">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6F1A1FE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637</w:t>
            </w:r>
          </w:p>
        </w:tc>
        <w:tc>
          <w:tcPr>
            <w:tcW w:w="977" w:type="pct"/>
            <w:shd w:val="clear" w:color="auto" w:fill="auto"/>
            <w:noWrap/>
            <w:vAlign w:val="bottom"/>
          </w:tcPr>
          <w:p w14:paraId="5845DFE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300</w:t>
            </w:r>
          </w:p>
        </w:tc>
        <w:tc>
          <w:tcPr>
            <w:tcW w:w="977" w:type="pct"/>
            <w:shd w:val="clear" w:color="auto" w:fill="auto"/>
            <w:noWrap/>
            <w:vAlign w:val="bottom"/>
          </w:tcPr>
          <w:p w14:paraId="0BAB101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219</w:t>
            </w:r>
          </w:p>
        </w:tc>
        <w:tc>
          <w:tcPr>
            <w:tcW w:w="979" w:type="pct"/>
            <w:vAlign w:val="bottom"/>
          </w:tcPr>
          <w:p w14:paraId="3C93EE4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223</w:t>
            </w:r>
          </w:p>
        </w:tc>
      </w:tr>
      <w:tr w:rsidR="00E31976" w:rsidRPr="009D4627" w14:paraId="1E76B887" w14:textId="77777777" w:rsidTr="00281A92">
        <w:trPr>
          <w:trHeight w:val="20"/>
          <w:jc w:val="center"/>
        </w:trPr>
        <w:tc>
          <w:tcPr>
            <w:tcW w:w="1291" w:type="pct"/>
            <w:shd w:val="clear" w:color="auto" w:fill="auto"/>
            <w:noWrap/>
            <w:vAlign w:val="bottom"/>
            <w:hideMark/>
          </w:tcPr>
          <w:p w14:paraId="75D610A6" w14:textId="77777777" w:rsidR="00E31976" w:rsidRPr="009D4627" w:rsidRDefault="00E31976" w:rsidP="00E31976">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304997A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575</w:t>
            </w:r>
          </w:p>
        </w:tc>
        <w:tc>
          <w:tcPr>
            <w:tcW w:w="977" w:type="pct"/>
            <w:shd w:val="clear" w:color="auto" w:fill="auto"/>
            <w:noWrap/>
            <w:vAlign w:val="bottom"/>
          </w:tcPr>
          <w:p w14:paraId="124AE7E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363</w:t>
            </w:r>
          </w:p>
        </w:tc>
        <w:tc>
          <w:tcPr>
            <w:tcW w:w="977" w:type="pct"/>
            <w:shd w:val="clear" w:color="auto" w:fill="auto"/>
            <w:noWrap/>
            <w:vAlign w:val="bottom"/>
          </w:tcPr>
          <w:p w14:paraId="5EAFA91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339</w:t>
            </w:r>
          </w:p>
        </w:tc>
        <w:tc>
          <w:tcPr>
            <w:tcW w:w="979" w:type="pct"/>
            <w:vAlign w:val="bottom"/>
          </w:tcPr>
          <w:p w14:paraId="13F7A4B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272</w:t>
            </w:r>
          </w:p>
        </w:tc>
      </w:tr>
      <w:tr w:rsidR="00E31976" w:rsidRPr="009D4627" w14:paraId="25DC7498" w14:textId="77777777" w:rsidTr="00281A92">
        <w:trPr>
          <w:trHeight w:val="20"/>
          <w:jc w:val="center"/>
        </w:trPr>
        <w:tc>
          <w:tcPr>
            <w:tcW w:w="1291" w:type="pct"/>
            <w:shd w:val="clear" w:color="auto" w:fill="auto"/>
            <w:noWrap/>
            <w:vAlign w:val="bottom"/>
            <w:hideMark/>
          </w:tcPr>
          <w:p w14:paraId="4B91E7C9" w14:textId="77777777" w:rsidR="00E31976" w:rsidRPr="009D4627" w:rsidRDefault="00E31976" w:rsidP="00E31976">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3775F49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842</w:t>
            </w:r>
          </w:p>
        </w:tc>
        <w:tc>
          <w:tcPr>
            <w:tcW w:w="977" w:type="pct"/>
            <w:shd w:val="clear" w:color="auto" w:fill="auto"/>
            <w:noWrap/>
            <w:vAlign w:val="bottom"/>
          </w:tcPr>
          <w:p w14:paraId="433443C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318</w:t>
            </w:r>
          </w:p>
        </w:tc>
        <w:tc>
          <w:tcPr>
            <w:tcW w:w="977" w:type="pct"/>
            <w:shd w:val="clear" w:color="auto" w:fill="auto"/>
            <w:noWrap/>
            <w:vAlign w:val="bottom"/>
          </w:tcPr>
          <w:p w14:paraId="47181E3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207</w:t>
            </w:r>
          </w:p>
        </w:tc>
        <w:tc>
          <w:tcPr>
            <w:tcW w:w="979" w:type="pct"/>
            <w:vAlign w:val="bottom"/>
          </w:tcPr>
          <w:p w14:paraId="034C6C1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153</w:t>
            </w:r>
          </w:p>
        </w:tc>
      </w:tr>
      <w:tr w:rsidR="00E31976" w:rsidRPr="009D4627" w14:paraId="2A8462B9" w14:textId="77777777" w:rsidTr="00281A92">
        <w:trPr>
          <w:trHeight w:val="20"/>
          <w:jc w:val="center"/>
        </w:trPr>
        <w:tc>
          <w:tcPr>
            <w:tcW w:w="1291" w:type="pct"/>
            <w:shd w:val="clear" w:color="auto" w:fill="auto"/>
            <w:noWrap/>
            <w:vAlign w:val="bottom"/>
            <w:hideMark/>
          </w:tcPr>
          <w:p w14:paraId="1571BFD1" w14:textId="77777777" w:rsidR="00E31976" w:rsidRPr="009D4627" w:rsidRDefault="00E31976" w:rsidP="00E31976">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47D8822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682</w:t>
            </w:r>
          </w:p>
        </w:tc>
        <w:tc>
          <w:tcPr>
            <w:tcW w:w="977" w:type="pct"/>
            <w:shd w:val="clear" w:color="auto" w:fill="auto"/>
            <w:noWrap/>
            <w:vAlign w:val="bottom"/>
          </w:tcPr>
          <w:p w14:paraId="5806DC9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471</w:t>
            </w:r>
          </w:p>
        </w:tc>
        <w:tc>
          <w:tcPr>
            <w:tcW w:w="977" w:type="pct"/>
            <w:shd w:val="clear" w:color="auto" w:fill="auto"/>
            <w:noWrap/>
            <w:vAlign w:val="bottom"/>
          </w:tcPr>
          <w:p w14:paraId="1A49DB2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268</w:t>
            </w:r>
          </w:p>
        </w:tc>
        <w:tc>
          <w:tcPr>
            <w:tcW w:w="979" w:type="pct"/>
            <w:vAlign w:val="bottom"/>
          </w:tcPr>
          <w:p w14:paraId="1E68835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219</w:t>
            </w:r>
          </w:p>
        </w:tc>
      </w:tr>
      <w:tr w:rsidR="00E31976" w:rsidRPr="009D4627" w14:paraId="0AA77C33" w14:textId="77777777" w:rsidTr="00281A92">
        <w:trPr>
          <w:trHeight w:val="20"/>
          <w:jc w:val="center"/>
        </w:trPr>
        <w:tc>
          <w:tcPr>
            <w:tcW w:w="1291" w:type="pct"/>
            <w:shd w:val="clear" w:color="auto" w:fill="auto"/>
            <w:noWrap/>
            <w:vAlign w:val="bottom"/>
            <w:hideMark/>
          </w:tcPr>
          <w:p w14:paraId="33CC282D" w14:textId="77777777" w:rsidR="00E31976" w:rsidRPr="009D4627" w:rsidRDefault="00E31976" w:rsidP="00E31976">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3A2E1F7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383</w:t>
            </w:r>
          </w:p>
        </w:tc>
        <w:tc>
          <w:tcPr>
            <w:tcW w:w="977" w:type="pct"/>
            <w:shd w:val="clear" w:color="auto" w:fill="auto"/>
            <w:noWrap/>
            <w:vAlign w:val="bottom"/>
          </w:tcPr>
          <w:p w14:paraId="1678E46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438</w:t>
            </w:r>
          </w:p>
        </w:tc>
        <w:tc>
          <w:tcPr>
            <w:tcW w:w="977" w:type="pct"/>
            <w:shd w:val="clear" w:color="auto" w:fill="auto"/>
            <w:noWrap/>
            <w:vAlign w:val="bottom"/>
          </w:tcPr>
          <w:p w14:paraId="36DF1FA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295</w:t>
            </w:r>
          </w:p>
        </w:tc>
        <w:tc>
          <w:tcPr>
            <w:tcW w:w="979" w:type="pct"/>
            <w:vAlign w:val="bottom"/>
          </w:tcPr>
          <w:p w14:paraId="28CE3A8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246</w:t>
            </w:r>
          </w:p>
        </w:tc>
      </w:tr>
      <w:tr w:rsidR="00E31976" w:rsidRPr="009D4627" w14:paraId="43276865" w14:textId="77777777" w:rsidTr="00281A92">
        <w:trPr>
          <w:trHeight w:val="20"/>
          <w:jc w:val="center"/>
        </w:trPr>
        <w:tc>
          <w:tcPr>
            <w:tcW w:w="1291" w:type="pct"/>
            <w:shd w:val="clear" w:color="auto" w:fill="auto"/>
            <w:noWrap/>
            <w:vAlign w:val="bottom"/>
            <w:hideMark/>
          </w:tcPr>
          <w:p w14:paraId="56546460" w14:textId="77777777" w:rsidR="00E31976" w:rsidRPr="009D4627" w:rsidRDefault="00E31976" w:rsidP="00E31976">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7E9BAB6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420</w:t>
            </w:r>
          </w:p>
        </w:tc>
        <w:tc>
          <w:tcPr>
            <w:tcW w:w="977" w:type="pct"/>
            <w:shd w:val="clear" w:color="auto" w:fill="auto"/>
            <w:noWrap/>
            <w:vAlign w:val="bottom"/>
          </w:tcPr>
          <w:p w14:paraId="350AE01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379</w:t>
            </w:r>
          </w:p>
        </w:tc>
        <w:tc>
          <w:tcPr>
            <w:tcW w:w="977" w:type="pct"/>
            <w:shd w:val="clear" w:color="auto" w:fill="auto"/>
            <w:noWrap/>
            <w:vAlign w:val="bottom"/>
          </w:tcPr>
          <w:p w14:paraId="7D4488C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236</w:t>
            </w:r>
          </w:p>
        </w:tc>
        <w:tc>
          <w:tcPr>
            <w:tcW w:w="979" w:type="pct"/>
            <w:vAlign w:val="bottom"/>
          </w:tcPr>
          <w:p w14:paraId="49404F1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149</w:t>
            </w:r>
          </w:p>
        </w:tc>
      </w:tr>
      <w:tr w:rsidR="00E31976" w:rsidRPr="009D4627" w14:paraId="5CC26CFC" w14:textId="77777777" w:rsidTr="00281A92">
        <w:trPr>
          <w:trHeight w:val="20"/>
          <w:jc w:val="center"/>
        </w:trPr>
        <w:tc>
          <w:tcPr>
            <w:tcW w:w="1291" w:type="pct"/>
            <w:shd w:val="clear" w:color="auto" w:fill="auto"/>
            <w:noWrap/>
            <w:vAlign w:val="bottom"/>
            <w:hideMark/>
          </w:tcPr>
          <w:p w14:paraId="59DCBD43" w14:textId="77777777" w:rsidR="00E31976" w:rsidRPr="009D4627" w:rsidRDefault="00E31976" w:rsidP="00E31976">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045593A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614</w:t>
            </w:r>
          </w:p>
        </w:tc>
        <w:tc>
          <w:tcPr>
            <w:tcW w:w="977" w:type="pct"/>
            <w:shd w:val="clear" w:color="auto" w:fill="auto"/>
            <w:noWrap/>
            <w:vAlign w:val="bottom"/>
          </w:tcPr>
          <w:p w14:paraId="620D244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356</w:t>
            </w:r>
          </w:p>
        </w:tc>
        <w:tc>
          <w:tcPr>
            <w:tcW w:w="977" w:type="pct"/>
            <w:shd w:val="clear" w:color="auto" w:fill="auto"/>
            <w:noWrap/>
            <w:vAlign w:val="bottom"/>
          </w:tcPr>
          <w:p w14:paraId="2D34EE9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256</w:t>
            </w:r>
          </w:p>
        </w:tc>
        <w:tc>
          <w:tcPr>
            <w:tcW w:w="979" w:type="pct"/>
            <w:vAlign w:val="bottom"/>
          </w:tcPr>
          <w:p w14:paraId="62B1DEE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220</w:t>
            </w:r>
          </w:p>
        </w:tc>
      </w:tr>
      <w:tr w:rsidR="00E31976" w:rsidRPr="009D4627" w14:paraId="15D99704" w14:textId="77777777" w:rsidTr="00281A92">
        <w:trPr>
          <w:trHeight w:val="20"/>
          <w:jc w:val="center"/>
        </w:trPr>
        <w:tc>
          <w:tcPr>
            <w:tcW w:w="1291" w:type="pct"/>
            <w:shd w:val="clear" w:color="auto" w:fill="auto"/>
            <w:noWrap/>
            <w:vAlign w:val="bottom"/>
            <w:hideMark/>
          </w:tcPr>
          <w:p w14:paraId="29DBEA8C" w14:textId="77777777" w:rsidR="00E31976" w:rsidRPr="009D4627" w:rsidRDefault="00E31976" w:rsidP="00E31976">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74C1BF0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451</w:t>
            </w:r>
          </w:p>
        </w:tc>
        <w:tc>
          <w:tcPr>
            <w:tcW w:w="977" w:type="pct"/>
            <w:shd w:val="clear" w:color="auto" w:fill="auto"/>
            <w:noWrap/>
            <w:vAlign w:val="bottom"/>
          </w:tcPr>
          <w:p w14:paraId="47CA0B9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441</w:t>
            </w:r>
          </w:p>
        </w:tc>
        <w:tc>
          <w:tcPr>
            <w:tcW w:w="977" w:type="pct"/>
            <w:shd w:val="clear" w:color="auto" w:fill="auto"/>
            <w:noWrap/>
            <w:vAlign w:val="bottom"/>
          </w:tcPr>
          <w:p w14:paraId="2D2A911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224</w:t>
            </w:r>
          </w:p>
        </w:tc>
        <w:tc>
          <w:tcPr>
            <w:tcW w:w="979" w:type="pct"/>
            <w:vAlign w:val="bottom"/>
          </w:tcPr>
          <w:p w14:paraId="550E04C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212</w:t>
            </w:r>
          </w:p>
        </w:tc>
      </w:tr>
      <w:tr w:rsidR="00E31976" w:rsidRPr="009D4627" w14:paraId="7B9030E8" w14:textId="77777777" w:rsidTr="00281A92">
        <w:trPr>
          <w:trHeight w:val="20"/>
          <w:jc w:val="center"/>
        </w:trPr>
        <w:tc>
          <w:tcPr>
            <w:tcW w:w="1291" w:type="pct"/>
            <w:shd w:val="clear" w:color="auto" w:fill="auto"/>
            <w:noWrap/>
            <w:vAlign w:val="bottom"/>
            <w:hideMark/>
          </w:tcPr>
          <w:p w14:paraId="578336B0" w14:textId="77777777" w:rsidR="00E31976" w:rsidRPr="009D4627" w:rsidRDefault="00E31976" w:rsidP="00E31976">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5FD5EDA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741</w:t>
            </w:r>
          </w:p>
        </w:tc>
        <w:tc>
          <w:tcPr>
            <w:tcW w:w="977" w:type="pct"/>
            <w:shd w:val="clear" w:color="auto" w:fill="auto"/>
            <w:noWrap/>
            <w:vAlign w:val="bottom"/>
          </w:tcPr>
          <w:p w14:paraId="2D0B193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649</w:t>
            </w:r>
          </w:p>
        </w:tc>
        <w:tc>
          <w:tcPr>
            <w:tcW w:w="977" w:type="pct"/>
            <w:shd w:val="clear" w:color="auto" w:fill="auto"/>
            <w:noWrap/>
            <w:vAlign w:val="bottom"/>
          </w:tcPr>
          <w:p w14:paraId="1DD2AB3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225</w:t>
            </w:r>
          </w:p>
        </w:tc>
        <w:tc>
          <w:tcPr>
            <w:tcW w:w="979" w:type="pct"/>
            <w:vAlign w:val="bottom"/>
          </w:tcPr>
          <w:p w14:paraId="35FE65B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357</w:t>
            </w:r>
          </w:p>
        </w:tc>
      </w:tr>
      <w:tr w:rsidR="00E31976" w:rsidRPr="009D4627" w14:paraId="4A25E4FD" w14:textId="77777777" w:rsidTr="00281A92">
        <w:trPr>
          <w:trHeight w:val="20"/>
          <w:jc w:val="center"/>
        </w:trPr>
        <w:tc>
          <w:tcPr>
            <w:tcW w:w="1291" w:type="pct"/>
            <w:shd w:val="clear" w:color="auto" w:fill="auto"/>
            <w:noWrap/>
            <w:vAlign w:val="bottom"/>
            <w:hideMark/>
          </w:tcPr>
          <w:p w14:paraId="65B12CEA" w14:textId="77777777" w:rsidR="00E31976" w:rsidRPr="009D4627" w:rsidRDefault="00E31976" w:rsidP="00E31976">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5914F7E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602</w:t>
            </w:r>
          </w:p>
        </w:tc>
        <w:tc>
          <w:tcPr>
            <w:tcW w:w="977" w:type="pct"/>
            <w:shd w:val="clear" w:color="auto" w:fill="auto"/>
            <w:noWrap/>
            <w:vAlign w:val="bottom"/>
          </w:tcPr>
          <w:p w14:paraId="1478470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336</w:t>
            </w:r>
          </w:p>
        </w:tc>
        <w:tc>
          <w:tcPr>
            <w:tcW w:w="977" w:type="pct"/>
            <w:shd w:val="clear" w:color="auto" w:fill="auto"/>
            <w:noWrap/>
            <w:vAlign w:val="bottom"/>
          </w:tcPr>
          <w:p w14:paraId="6549515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206</w:t>
            </w:r>
          </w:p>
        </w:tc>
        <w:tc>
          <w:tcPr>
            <w:tcW w:w="979" w:type="pct"/>
            <w:vAlign w:val="bottom"/>
          </w:tcPr>
          <w:p w14:paraId="48C1B41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175</w:t>
            </w:r>
          </w:p>
        </w:tc>
      </w:tr>
      <w:tr w:rsidR="00E31976" w:rsidRPr="009D4627" w14:paraId="56E93A3D" w14:textId="77777777" w:rsidTr="00281A92">
        <w:trPr>
          <w:trHeight w:val="20"/>
          <w:jc w:val="center"/>
        </w:trPr>
        <w:tc>
          <w:tcPr>
            <w:tcW w:w="1291" w:type="pct"/>
            <w:shd w:val="clear" w:color="auto" w:fill="auto"/>
            <w:noWrap/>
            <w:vAlign w:val="bottom"/>
            <w:hideMark/>
          </w:tcPr>
          <w:p w14:paraId="2ACE9E92" w14:textId="77777777" w:rsidR="00E31976" w:rsidRPr="009D4627" w:rsidRDefault="00E31976" w:rsidP="00E31976">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53A606A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603</w:t>
            </w:r>
          </w:p>
        </w:tc>
        <w:tc>
          <w:tcPr>
            <w:tcW w:w="977" w:type="pct"/>
            <w:shd w:val="clear" w:color="auto" w:fill="auto"/>
            <w:noWrap/>
            <w:vAlign w:val="bottom"/>
          </w:tcPr>
          <w:p w14:paraId="235A16A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398</w:t>
            </w:r>
          </w:p>
        </w:tc>
        <w:tc>
          <w:tcPr>
            <w:tcW w:w="977" w:type="pct"/>
            <w:shd w:val="clear" w:color="auto" w:fill="auto"/>
            <w:noWrap/>
            <w:vAlign w:val="bottom"/>
          </w:tcPr>
          <w:p w14:paraId="5224B4C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302</w:t>
            </w:r>
          </w:p>
        </w:tc>
        <w:tc>
          <w:tcPr>
            <w:tcW w:w="979" w:type="pct"/>
            <w:vAlign w:val="bottom"/>
          </w:tcPr>
          <w:p w14:paraId="6539010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331</w:t>
            </w:r>
          </w:p>
        </w:tc>
      </w:tr>
      <w:tr w:rsidR="00E31976" w:rsidRPr="009D4627" w14:paraId="7DED7DC0" w14:textId="77777777" w:rsidTr="00281A92">
        <w:trPr>
          <w:trHeight w:val="20"/>
          <w:jc w:val="center"/>
        </w:trPr>
        <w:tc>
          <w:tcPr>
            <w:tcW w:w="1291" w:type="pct"/>
            <w:shd w:val="clear" w:color="auto" w:fill="auto"/>
            <w:noWrap/>
            <w:vAlign w:val="bottom"/>
            <w:hideMark/>
          </w:tcPr>
          <w:p w14:paraId="4C6C280D" w14:textId="77777777" w:rsidR="00E31976" w:rsidRPr="009D4627" w:rsidRDefault="00E31976" w:rsidP="00E31976">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6C49582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398</w:t>
            </w:r>
          </w:p>
        </w:tc>
        <w:tc>
          <w:tcPr>
            <w:tcW w:w="977" w:type="pct"/>
            <w:shd w:val="clear" w:color="auto" w:fill="auto"/>
            <w:noWrap/>
            <w:vAlign w:val="bottom"/>
          </w:tcPr>
          <w:p w14:paraId="54C7E3C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364</w:t>
            </w:r>
          </w:p>
        </w:tc>
        <w:tc>
          <w:tcPr>
            <w:tcW w:w="977" w:type="pct"/>
            <w:shd w:val="clear" w:color="auto" w:fill="auto"/>
            <w:noWrap/>
            <w:vAlign w:val="bottom"/>
          </w:tcPr>
          <w:p w14:paraId="137A1CD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463</w:t>
            </w:r>
          </w:p>
        </w:tc>
        <w:tc>
          <w:tcPr>
            <w:tcW w:w="979" w:type="pct"/>
            <w:vAlign w:val="bottom"/>
          </w:tcPr>
          <w:p w14:paraId="4EB12BE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374</w:t>
            </w:r>
          </w:p>
        </w:tc>
      </w:tr>
      <w:tr w:rsidR="00E31976" w:rsidRPr="009D4627" w14:paraId="11D625CB" w14:textId="77777777" w:rsidTr="00281A92">
        <w:trPr>
          <w:trHeight w:val="20"/>
          <w:jc w:val="center"/>
        </w:trPr>
        <w:tc>
          <w:tcPr>
            <w:tcW w:w="1291" w:type="pct"/>
            <w:shd w:val="clear" w:color="auto" w:fill="auto"/>
            <w:noWrap/>
            <w:vAlign w:val="bottom"/>
            <w:hideMark/>
          </w:tcPr>
          <w:p w14:paraId="1AFE2A3C" w14:textId="77777777" w:rsidR="00E31976" w:rsidRPr="009D4627" w:rsidRDefault="00E31976" w:rsidP="00E31976">
            <w:pPr>
              <w:spacing w:before="0" w:after="0" w:line="240" w:lineRule="auto"/>
              <w:rPr>
                <w:color w:val="auto"/>
                <w:sz w:val="20"/>
                <w:szCs w:val="20"/>
              </w:rPr>
            </w:pPr>
            <w:r w:rsidRPr="009D4627">
              <w:rPr>
                <w:color w:val="auto"/>
                <w:sz w:val="20"/>
                <w:szCs w:val="20"/>
              </w:rPr>
              <w:t>14</w:t>
            </w:r>
          </w:p>
        </w:tc>
        <w:tc>
          <w:tcPr>
            <w:tcW w:w="776" w:type="pct"/>
            <w:shd w:val="clear" w:color="auto" w:fill="auto"/>
            <w:noWrap/>
            <w:vAlign w:val="bottom"/>
          </w:tcPr>
          <w:p w14:paraId="23A7007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522</w:t>
            </w:r>
          </w:p>
        </w:tc>
        <w:tc>
          <w:tcPr>
            <w:tcW w:w="977" w:type="pct"/>
            <w:shd w:val="clear" w:color="auto" w:fill="auto"/>
            <w:noWrap/>
            <w:vAlign w:val="bottom"/>
          </w:tcPr>
          <w:p w14:paraId="58C97F5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373</w:t>
            </w:r>
          </w:p>
        </w:tc>
        <w:tc>
          <w:tcPr>
            <w:tcW w:w="977" w:type="pct"/>
            <w:shd w:val="clear" w:color="auto" w:fill="auto"/>
            <w:noWrap/>
            <w:vAlign w:val="bottom"/>
          </w:tcPr>
          <w:p w14:paraId="4527099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267</w:t>
            </w:r>
          </w:p>
        </w:tc>
        <w:tc>
          <w:tcPr>
            <w:tcW w:w="979" w:type="pct"/>
            <w:vAlign w:val="bottom"/>
          </w:tcPr>
          <w:p w14:paraId="05A7CFA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201</w:t>
            </w:r>
          </w:p>
        </w:tc>
      </w:tr>
      <w:tr w:rsidR="00E31976" w:rsidRPr="009D4627" w14:paraId="63E5B5A0" w14:textId="77777777" w:rsidTr="00281A92">
        <w:trPr>
          <w:trHeight w:val="20"/>
          <w:jc w:val="center"/>
        </w:trPr>
        <w:tc>
          <w:tcPr>
            <w:tcW w:w="1291" w:type="pct"/>
            <w:shd w:val="clear" w:color="auto" w:fill="auto"/>
            <w:noWrap/>
            <w:vAlign w:val="bottom"/>
            <w:hideMark/>
          </w:tcPr>
          <w:p w14:paraId="5F749457" w14:textId="77777777" w:rsidR="00E31976" w:rsidRPr="009D4627" w:rsidRDefault="00E31976" w:rsidP="00E31976">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166BC54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727</w:t>
            </w:r>
          </w:p>
        </w:tc>
        <w:tc>
          <w:tcPr>
            <w:tcW w:w="977" w:type="pct"/>
            <w:shd w:val="clear" w:color="auto" w:fill="auto"/>
            <w:noWrap/>
            <w:vAlign w:val="bottom"/>
          </w:tcPr>
          <w:p w14:paraId="3F7B9E9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432</w:t>
            </w:r>
          </w:p>
        </w:tc>
        <w:tc>
          <w:tcPr>
            <w:tcW w:w="977" w:type="pct"/>
            <w:shd w:val="clear" w:color="auto" w:fill="auto"/>
            <w:noWrap/>
            <w:vAlign w:val="bottom"/>
          </w:tcPr>
          <w:p w14:paraId="0480CFD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338</w:t>
            </w:r>
          </w:p>
        </w:tc>
        <w:tc>
          <w:tcPr>
            <w:tcW w:w="979" w:type="pct"/>
            <w:vAlign w:val="bottom"/>
          </w:tcPr>
          <w:p w14:paraId="5CB3418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235</w:t>
            </w:r>
          </w:p>
        </w:tc>
      </w:tr>
      <w:tr w:rsidR="00E31976" w:rsidRPr="009D4627" w14:paraId="1D8CDF3E" w14:textId="77777777" w:rsidTr="00281A92">
        <w:trPr>
          <w:trHeight w:val="20"/>
          <w:jc w:val="center"/>
        </w:trPr>
        <w:tc>
          <w:tcPr>
            <w:tcW w:w="1291" w:type="pct"/>
            <w:shd w:val="clear" w:color="auto" w:fill="auto"/>
            <w:noWrap/>
            <w:vAlign w:val="bottom"/>
            <w:hideMark/>
          </w:tcPr>
          <w:p w14:paraId="7E75B64E" w14:textId="77777777" w:rsidR="00E31976" w:rsidRPr="009D4627" w:rsidRDefault="00E31976" w:rsidP="00E31976">
            <w:pPr>
              <w:spacing w:before="0" w:after="0" w:line="240" w:lineRule="auto"/>
              <w:rPr>
                <w:color w:val="auto"/>
                <w:sz w:val="20"/>
                <w:szCs w:val="20"/>
              </w:rPr>
            </w:pPr>
            <w:r w:rsidRPr="009D4627">
              <w:rPr>
                <w:color w:val="auto"/>
                <w:sz w:val="20"/>
                <w:szCs w:val="20"/>
              </w:rPr>
              <w:t>16</w:t>
            </w:r>
          </w:p>
        </w:tc>
        <w:tc>
          <w:tcPr>
            <w:tcW w:w="776" w:type="pct"/>
            <w:shd w:val="clear" w:color="auto" w:fill="auto"/>
            <w:noWrap/>
            <w:vAlign w:val="bottom"/>
          </w:tcPr>
          <w:p w14:paraId="04DFBFD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620</w:t>
            </w:r>
          </w:p>
        </w:tc>
        <w:tc>
          <w:tcPr>
            <w:tcW w:w="977" w:type="pct"/>
            <w:shd w:val="clear" w:color="auto" w:fill="auto"/>
            <w:noWrap/>
            <w:vAlign w:val="bottom"/>
          </w:tcPr>
          <w:p w14:paraId="16CFEF3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497</w:t>
            </w:r>
          </w:p>
        </w:tc>
        <w:tc>
          <w:tcPr>
            <w:tcW w:w="977" w:type="pct"/>
            <w:shd w:val="clear" w:color="auto" w:fill="auto"/>
            <w:noWrap/>
            <w:vAlign w:val="bottom"/>
          </w:tcPr>
          <w:p w14:paraId="4219668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361</w:t>
            </w:r>
          </w:p>
        </w:tc>
        <w:tc>
          <w:tcPr>
            <w:tcW w:w="979" w:type="pct"/>
            <w:vAlign w:val="bottom"/>
          </w:tcPr>
          <w:p w14:paraId="637F167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298</w:t>
            </w:r>
          </w:p>
        </w:tc>
      </w:tr>
      <w:tr w:rsidR="00E31976" w:rsidRPr="009D4627" w14:paraId="35F7A6C9" w14:textId="77777777" w:rsidTr="00281A92">
        <w:trPr>
          <w:trHeight w:val="20"/>
          <w:jc w:val="center"/>
        </w:trPr>
        <w:tc>
          <w:tcPr>
            <w:tcW w:w="1291" w:type="pct"/>
            <w:shd w:val="clear" w:color="auto" w:fill="auto"/>
            <w:noWrap/>
            <w:vAlign w:val="bottom"/>
            <w:hideMark/>
          </w:tcPr>
          <w:p w14:paraId="405D2078" w14:textId="77777777" w:rsidR="00E31976" w:rsidRPr="009D4627" w:rsidRDefault="00E31976" w:rsidP="00E31976">
            <w:pPr>
              <w:spacing w:before="0" w:after="0" w:line="240" w:lineRule="auto"/>
              <w:rPr>
                <w:color w:val="auto"/>
                <w:sz w:val="20"/>
                <w:szCs w:val="20"/>
              </w:rPr>
            </w:pPr>
            <w:r w:rsidRPr="009D4627">
              <w:rPr>
                <w:color w:val="auto"/>
                <w:sz w:val="20"/>
                <w:szCs w:val="20"/>
              </w:rPr>
              <w:t>17</w:t>
            </w:r>
          </w:p>
        </w:tc>
        <w:tc>
          <w:tcPr>
            <w:tcW w:w="776" w:type="pct"/>
            <w:shd w:val="clear" w:color="auto" w:fill="auto"/>
            <w:noWrap/>
            <w:vAlign w:val="bottom"/>
          </w:tcPr>
          <w:p w14:paraId="4FB3785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530</w:t>
            </w:r>
          </w:p>
        </w:tc>
        <w:tc>
          <w:tcPr>
            <w:tcW w:w="977" w:type="pct"/>
            <w:shd w:val="clear" w:color="auto" w:fill="auto"/>
            <w:noWrap/>
            <w:vAlign w:val="bottom"/>
          </w:tcPr>
          <w:p w14:paraId="331D0FF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347</w:t>
            </w:r>
          </w:p>
        </w:tc>
        <w:tc>
          <w:tcPr>
            <w:tcW w:w="977" w:type="pct"/>
            <w:shd w:val="clear" w:color="auto" w:fill="auto"/>
            <w:noWrap/>
            <w:vAlign w:val="bottom"/>
          </w:tcPr>
          <w:p w14:paraId="7CF9D5C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317</w:t>
            </w:r>
          </w:p>
        </w:tc>
        <w:tc>
          <w:tcPr>
            <w:tcW w:w="979" w:type="pct"/>
            <w:vAlign w:val="bottom"/>
          </w:tcPr>
          <w:p w14:paraId="178A76A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269</w:t>
            </w:r>
          </w:p>
        </w:tc>
      </w:tr>
      <w:tr w:rsidR="00E31976" w:rsidRPr="009D4627" w14:paraId="6FD27208" w14:textId="77777777" w:rsidTr="00281A92">
        <w:trPr>
          <w:trHeight w:val="20"/>
          <w:jc w:val="center"/>
        </w:trPr>
        <w:tc>
          <w:tcPr>
            <w:tcW w:w="1291" w:type="pct"/>
            <w:shd w:val="clear" w:color="auto" w:fill="auto"/>
            <w:noWrap/>
            <w:vAlign w:val="bottom"/>
            <w:hideMark/>
          </w:tcPr>
          <w:p w14:paraId="78C641FC" w14:textId="77777777" w:rsidR="00E31976" w:rsidRPr="009D4627" w:rsidRDefault="00E31976" w:rsidP="00E31976">
            <w:pPr>
              <w:spacing w:before="0" w:after="0" w:line="240" w:lineRule="auto"/>
              <w:rPr>
                <w:color w:val="auto"/>
                <w:sz w:val="20"/>
                <w:szCs w:val="20"/>
              </w:rPr>
            </w:pPr>
            <w:r w:rsidRPr="009D4627">
              <w:rPr>
                <w:color w:val="auto"/>
                <w:sz w:val="20"/>
                <w:szCs w:val="20"/>
              </w:rPr>
              <w:t>18</w:t>
            </w:r>
          </w:p>
        </w:tc>
        <w:tc>
          <w:tcPr>
            <w:tcW w:w="776" w:type="pct"/>
            <w:shd w:val="clear" w:color="auto" w:fill="auto"/>
            <w:noWrap/>
            <w:vAlign w:val="bottom"/>
          </w:tcPr>
          <w:p w14:paraId="68DE5FF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467</w:t>
            </w:r>
          </w:p>
        </w:tc>
        <w:tc>
          <w:tcPr>
            <w:tcW w:w="977" w:type="pct"/>
            <w:shd w:val="clear" w:color="auto" w:fill="auto"/>
            <w:noWrap/>
            <w:vAlign w:val="bottom"/>
          </w:tcPr>
          <w:p w14:paraId="3615B8C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480</w:t>
            </w:r>
          </w:p>
        </w:tc>
        <w:tc>
          <w:tcPr>
            <w:tcW w:w="977" w:type="pct"/>
            <w:shd w:val="clear" w:color="auto" w:fill="auto"/>
            <w:noWrap/>
            <w:vAlign w:val="bottom"/>
          </w:tcPr>
          <w:p w14:paraId="7A5F009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277</w:t>
            </w:r>
          </w:p>
        </w:tc>
        <w:tc>
          <w:tcPr>
            <w:tcW w:w="979" w:type="pct"/>
            <w:vAlign w:val="bottom"/>
          </w:tcPr>
          <w:p w14:paraId="29A6673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169</w:t>
            </w:r>
          </w:p>
        </w:tc>
      </w:tr>
      <w:tr w:rsidR="00E31976" w:rsidRPr="009D4627" w14:paraId="6497A55C" w14:textId="77777777" w:rsidTr="00281A92">
        <w:trPr>
          <w:trHeight w:val="20"/>
          <w:jc w:val="center"/>
        </w:trPr>
        <w:tc>
          <w:tcPr>
            <w:tcW w:w="5000" w:type="pct"/>
            <w:gridSpan w:val="5"/>
            <w:shd w:val="clear" w:color="auto" w:fill="D9D9D9" w:themeFill="background1" w:themeFillShade="D9"/>
            <w:noWrap/>
            <w:vAlign w:val="bottom"/>
          </w:tcPr>
          <w:p w14:paraId="3A7639E4" w14:textId="77777777" w:rsidR="00E31976" w:rsidRPr="009D4627" w:rsidRDefault="00E31976" w:rsidP="00E31976">
            <w:pPr>
              <w:spacing w:before="0" w:after="0" w:line="240" w:lineRule="auto"/>
              <w:jc w:val="left"/>
              <w:rPr>
                <w:color w:val="auto"/>
                <w:sz w:val="20"/>
                <w:szCs w:val="20"/>
              </w:rPr>
            </w:pPr>
            <w:r w:rsidRPr="009D4627">
              <w:rPr>
                <w:color w:val="auto"/>
                <w:sz w:val="20"/>
                <w:szCs w:val="20"/>
              </w:rPr>
              <w:t>Older (60-79 years old)</w:t>
            </w:r>
          </w:p>
        </w:tc>
      </w:tr>
      <w:tr w:rsidR="00E31976" w:rsidRPr="009D4627" w14:paraId="33DB6520" w14:textId="77777777" w:rsidTr="00281A92">
        <w:trPr>
          <w:trHeight w:val="20"/>
          <w:jc w:val="center"/>
        </w:trPr>
        <w:tc>
          <w:tcPr>
            <w:tcW w:w="1291" w:type="pct"/>
            <w:tcBorders>
              <w:tl2br w:val="single" w:sz="4" w:space="0" w:color="auto"/>
            </w:tcBorders>
            <w:shd w:val="clear" w:color="auto" w:fill="auto"/>
            <w:hideMark/>
          </w:tcPr>
          <w:p w14:paraId="28AFA9D8"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Target frequency</w:t>
            </w:r>
          </w:p>
          <w:p w14:paraId="76137AC3" w14:textId="77777777" w:rsidR="00E31976" w:rsidRPr="009D4627" w:rsidRDefault="00E31976" w:rsidP="00E31976">
            <w:pPr>
              <w:spacing w:before="0" w:after="0" w:line="240" w:lineRule="auto"/>
              <w:rPr>
                <w:color w:val="auto"/>
                <w:sz w:val="20"/>
                <w:szCs w:val="20"/>
              </w:rPr>
            </w:pPr>
          </w:p>
          <w:p w14:paraId="64598CFD" w14:textId="77777777" w:rsidR="00E31976" w:rsidRPr="009D4627" w:rsidRDefault="00E31976" w:rsidP="00E31976">
            <w:pPr>
              <w:spacing w:before="0" w:after="0" w:line="240" w:lineRule="auto"/>
              <w:rPr>
                <w:color w:val="auto"/>
                <w:sz w:val="20"/>
                <w:szCs w:val="20"/>
              </w:rPr>
            </w:pPr>
            <w:r w:rsidRPr="009D4627">
              <w:rPr>
                <w:color w:val="auto"/>
                <w:sz w:val="20"/>
                <w:szCs w:val="20"/>
              </w:rPr>
              <w:t>Participant ID</w:t>
            </w:r>
          </w:p>
        </w:tc>
        <w:tc>
          <w:tcPr>
            <w:tcW w:w="776" w:type="pct"/>
            <w:shd w:val="clear" w:color="auto" w:fill="auto"/>
            <w:noWrap/>
          </w:tcPr>
          <w:p w14:paraId="5A82B361"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0.2 Hz</w:t>
            </w:r>
          </w:p>
        </w:tc>
        <w:tc>
          <w:tcPr>
            <w:tcW w:w="977" w:type="pct"/>
            <w:shd w:val="clear" w:color="auto" w:fill="auto"/>
            <w:noWrap/>
          </w:tcPr>
          <w:p w14:paraId="63287889"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0.4 Hz</w:t>
            </w:r>
          </w:p>
        </w:tc>
        <w:tc>
          <w:tcPr>
            <w:tcW w:w="977" w:type="pct"/>
            <w:shd w:val="clear" w:color="auto" w:fill="auto"/>
            <w:noWrap/>
          </w:tcPr>
          <w:p w14:paraId="22A519FB"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0.6 Hz</w:t>
            </w:r>
          </w:p>
        </w:tc>
        <w:tc>
          <w:tcPr>
            <w:tcW w:w="979" w:type="pct"/>
          </w:tcPr>
          <w:p w14:paraId="32E26F7A" w14:textId="77777777" w:rsidR="00E31976" w:rsidRPr="009D4627" w:rsidRDefault="00E31976" w:rsidP="00E31976">
            <w:pPr>
              <w:spacing w:before="0" w:after="0" w:line="240" w:lineRule="auto"/>
              <w:jc w:val="right"/>
              <w:rPr>
                <w:color w:val="auto"/>
                <w:sz w:val="20"/>
                <w:szCs w:val="20"/>
              </w:rPr>
            </w:pPr>
            <w:r w:rsidRPr="009D4627">
              <w:rPr>
                <w:color w:val="auto"/>
                <w:sz w:val="20"/>
                <w:szCs w:val="20"/>
              </w:rPr>
              <w:t>0.8 Hz</w:t>
            </w:r>
          </w:p>
        </w:tc>
      </w:tr>
      <w:tr w:rsidR="00E31976" w:rsidRPr="009D4627" w14:paraId="70D824A0" w14:textId="77777777" w:rsidTr="00281A92">
        <w:trPr>
          <w:trHeight w:val="20"/>
          <w:jc w:val="center"/>
        </w:trPr>
        <w:tc>
          <w:tcPr>
            <w:tcW w:w="1291" w:type="pct"/>
            <w:shd w:val="clear" w:color="auto" w:fill="auto"/>
            <w:noWrap/>
            <w:vAlign w:val="bottom"/>
            <w:hideMark/>
          </w:tcPr>
          <w:p w14:paraId="02C3533F" w14:textId="77777777" w:rsidR="00E31976" w:rsidRPr="009D4627" w:rsidRDefault="00E31976" w:rsidP="00E31976">
            <w:pPr>
              <w:spacing w:before="0" w:after="0" w:line="240" w:lineRule="auto"/>
              <w:rPr>
                <w:color w:val="auto"/>
                <w:sz w:val="20"/>
                <w:szCs w:val="20"/>
              </w:rPr>
            </w:pPr>
            <w:r w:rsidRPr="009D4627">
              <w:rPr>
                <w:color w:val="auto"/>
                <w:sz w:val="20"/>
                <w:szCs w:val="20"/>
              </w:rPr>
              <w:t>1</w:t>
            </w:r>
          </w:p>
        </w:tc>
        <w:tc>
          <w:tcPr>
            <w:tcW w:w="776" w:type="pct"/>
            <w:shd w:val="clear" w:color="auto" w:fill="auto"/>
            <w:noWrap/>
            <w:vAlign w:val="bottom"/>
          </w:tcPr>
          <w:p w14:paraId="1A5D4A7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239</w:t>
            </w:r>
          </w:p>
        </w:tc>
        <w:tc>
          <w:tcPr>
            <w:tcW w:w="977" w:type="pct"/>
            <w:shd w:val="clear" w:color="auto" w:fill="auto"/>
            <w:noWrap/>
            <w:vAlign w:val="bottom"/>
          </w:tcPr>
          <w:p w14:paraId="07FE820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266</w:t>
            </w:r>
          </w:p>
        </w:tc>
        <w:tc>
          <w:tcPr>
            <w:tcW w:w="977" w:type="pct"/>
            <w:shd w:val="clear" w:color="auto" w:fill="auto"/>
            <w:noWrap/>
            <w:vAlign w:val="bottom"/>
          </w:tcPr>
          <w:p w14:paraId="49CE823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222</w:t>
            </w:r>
          </w:p>
        </w:tc>
        <w:tc>
          <w:tcPr>
            <w:tcW w:w="979" w:type="pct"/>
            <w:vAlign w:val="bottom"/>
          </w:tcPr>
          <w:p w14:paraId="1266124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140</w:t>
            </w:r>
          </w:p>
        </w:tc>
      </w:tr>
      <w:tr w:rsidR="00E31976" w:rsidRPr="009D4627" w14:paraId="5D48BA35" w14:textId="77777777" w:rsidTr="00281A92">
        <w:trPr>
          <w:trHeight w:val="20"/>
          <w:jc w:val="center"/>
        </w:trPr>
        <w:tc>
          <w:tcPr>
            <w:tcW w:w="1291" w:type="pct"/>
            <w:shd w:val="clear" w:color="auto" w:fill="auto"/>
            <w:noWrap/>
            <w:vAlign w:val="bottom"/>
            <w:hideMark/>
          </w:tcPr>
          <w:p w14:paraId="2F02117A" w14:textId="77777777" w:rsidR="00E31976" w:rsidRPr="009D4627" w:rsidRDefault="00E31976" w:rsidP="00E31976">
            <w:pPr>
              <w:spacing w:before="0" w:after="0" w:line="240" w:lineRule="auto"/>
              <w:rPr>
                <w:color w:val="auto"/>
                <w:sz w:val="20"/>
                <w:szCs w:val="20"/>
              </w:rPr>
            </w:pPr>
            <w:r w:rsidRPr="009D4627">
              <w:rPr>
                <w:color w:val="auto"/>
                <w:sz w:val="20"/>
                <w:szCs w:val="20"/>
              </w:rPr>
              <w:t>2</w:t>
            </w:r>
          </w:p>
        </w:tc>
        <w:tc>
          <w:tcPr>
            <w:tcW w:w="776" w:type="pct"/>
            <w:shd w:val="clear" w:color="auto" w:fill="auto"/>
            <w:noWrap/>
            <w:vAlign w:val="bottom"/>
          </w:tcPr>
          <w:p w14:paraId="7D6538D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289</w:t>
            </w:r>
          </w:p>
        </w:tc>
        <w:tc>
          <w:tcPr>
            <w:tcW w:w="977" w:type="pct"/>
            <w:shd w:val="clear" w:color="auto" w:fill="auto"/>
            <w:noWrap/>
            <w:vAlign w:val="bottom"/>
          </w:tcPr>
          <w:p w14:paraId="2F42101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279</w:t>
            </w:r>
          </w:p>
        </w:tc>
        <w:tc>
          <w:tcPr>
            <w:tcW w:w="977" w:type="pct"/>
            <w:shd w:val="clear" w:color="auto" w:fill="auto"/>
            <w:noWrap/>
            <w:vAlign w:val="bottom"/>
          </w:tcPr>
          <w:p w14:paraId="1470B5A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195</w:t>
            </w:r>
          </w:p>
        </w:tc>
        <w:tc>
          <w:tcPr>
            <w:tcW w:w="979" w:type="pct"/>
            <w:vAlign w:val="bottom"/>
          </w:tcPr>
          <w:p w14:paraId="42F572F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177</w:t>
            </w:r>
          </w:p>
        </w:tc>
      </w:tr>
      <w:tr w:rsidR="00E31976" w:rsidRPr="009D4627" w14:paraId="22E711D3" w14:textId="77777777" w:rsidTr="00281A92">
        <w:trPr>
          <w:trHeight w:val="20"/>
          <w:jc w:val="center"/>
        </w:trPr>
        <w:tc>
          <w:tcPr>
            <w:tcW w:w="1291" w:type="pct"/>
            <w:shd w:val="clear" w:color="auto" w:fill="auto"/>
            <w:noWrap/>
            <w:vAlign w:val="bottom"/>
            <w:hideMark/>
          </w:tcPr>
          <w:p w14:paraId="4A1C77D8" w14:textId="77777777" w:rsidR="00E31976" w:rsidRPr="009D4627" w:rsidRDefault="00E31976" w:rsidP="00E31976">
            <w:pPr>
              <w:spacing w:before="0" w:after="0" w:line="240" w:lineRule="auto"/>
              <w:rPr>
                <w:color w:val="auto"/>
                <w:sz w:val="20"/>
                <w:szCs w:val="20"/>
              </w:rPr>
            </w:pPr>
            <w:r w:rsidRPr="009D4627">
              <w:rPr>
                <w:color w:val="auto"/>
                <w:sz w:val="20"/>
                <w:szCs w:val="20"/>
              </w:rPr>
              <w:t>3</w:t>
            </w:r>
          </w:p>
        </w:tc>
        <w:tc>
          <w:tcPr>
            <w:tcW w:w="776" w:type="pct"/>
            <w:shd w:val="clear" w:color="auto" w:fill="auto"/>
            <w:noWrap/>
            <w:vAlign w:val="bottom"/>
          </w:tcPr>
          <w:p w14:paraId="412E653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639</w:t>
            </w:r>
          </w:p>
        </w:tc>
        <w:tc>
          <w:tcPr>
            <w:tcW w:w="977" w:type="pct"/>
            <w:shd w:val="clear" w:color="auto" w:fill="auto"/>
            <w:noWrap/>
            <w:vAlign w:val="bottom"/>
          </w:tcPr>
          <w:p w14:paraId="2BEE07B0"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523</w:t>
            </w:r>
          </w:p>
        </w:tc>
        <w:tc>
          <w:tcPr>
            <w:tcW w:w="977" w:type="pct"/>
            <w:shd w:val="clear" w:color="auto" w:fill="auto"/>
            <w:noWrap/>
            <w:vAlign w:val="bottom"/>
          </w:tcPr>
          <w:p w14:paraId="65A9A57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338</w:t>
            </w:r>
          </w:p>
        </w:tc>
        <w:tc>
          <w:tcPr>
            <w:tcW w:w="979" w:type="pct"/>
            <w:vAlign w:val="bottom"/>
          </w:tcPr>
          <w:p w14:paraId="383D4E0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252</w:t>
            </w:r>
          </w:p>
        </w:tc>
      </w:tr>
      <w:tr w:rsidR="00E31976" w:rsidRPr="009D4627" w14:paraId="56573615" w14:textId="77777777" w:rsidTr="00281A92">
        <w:trPr>
          <w:trHeight w:val="20"/>
          <w:jc w:val="center"/>
        </w:trPr>
        <w:tc>
          <w:tcPr>
            <w:tcW w:w="1291" w:type="pct"/>
            <w:shd w:val="clear" w:color="auto" w:fill="auto"/>
            <w:noWrap/>
            <w:vAlign w:val="bottom"/>
            <w:hideMark/>
          </w:tcPr>
          <w:p w14:paraId="15A396BC" w14:textId="77777777" w:rsidR="00E31976" w:rsidRPr="009D4627" w:rsidRDefault="00E31976" w:rsidP="00E31976">
            <w:pPr>
              <w:spacing w:before="0" w:after="0" w:line="240" w:lineRule="auto"/>
              <w:rPr>
                <w:color w:val="auto"/>
                <w:sz w:val="20"/>
                <w:szCs w:val="20"/>
              </w:rPr>
            </w:pPr>
            <w:r w:rsidRPr="009D4627">
              <w:rPr>
                <w:color w:val="auto"/>
                <w:sz w:val="20"/>
                <w:szCs w:val="20"/>
              </w:rPr>
              <w:t>4</w:t>
            </w:r>
          </w:p>
        </w:tc>
        <w:tc>
          <w:tcPr>
            <w:tcW w:w="776" w:type="pct"/>
            <w:shd w:val="clear" w:color="auto" w:fill="auto"/>
            <w:noWrap/>
            <w:vAlign w:val="bottom"/>
          </w:tcPr>
          <w:p w14:paraId="3FDA5DE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658</w:t>
            </w:r>
          </w:p>
        </w:tc>
        <w:tc>
          <w:tcPr>
            <w:tcW w:w="977" w:type="pct"/>
            <w:shd w:val="clear" w:color="auto" w:fill="auto"/>
            <w:noWrap/>
            <w:vAlign w:val="bottom"/>
          </w:tcPr>
          <w:p w14:paraId="3752065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310</w:t>
            </w:r>
          </w:p>
        </w:tc>
        <w:tc>
          <w:tcPr>
            <w:tcW w:w="977" w:type="pct"/>
            <w:shd w:val="clear" w:color="auto" w:fill="auto"/>
            <w:noWrap/>
            <w:vAlign w:val="bottom"/>
          </w:tcPr>
          <w:p w14:paraId="60CA2F1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222</w:t>
            </w:r>
          </w:p>
        </w:tc>
        <w:tc>
          <w:tcPr>
            <w:tcW w:w="979" w:type="pct"/>
            <w:vAlign w:val="bottom"/>
          </w:tcPr>
          <w:p w14:paraId="477E60D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182</w:t>
            </w:r>
          </w:p>
        </w:tc>
      </w:tr>
      <w:tr w:rsidR="00E31976" w:rsidRPr="009D4627" w14:paraId="5A2D650F" w14:textId="77777777" w:rsidTr="00281A92">
        <w:trPr>
          <w:trHeight w:val="20"/>
          <w:jc w:val="center"/>
        </w:trPr>
        <w:tc>
          <w:tcPr>
            <w:tcW w:w="1291" w:type="pct"/>
            <w:shd w:val="clear" w:color="auto" w:fill="auto"/>
            <w:noWrap/>
            <w:vAlign w:val="bottom"/>
            <w:hideMark/>
          </w:tcPr>
          <w:p w14:paraId="6AC2B31F" w14:textId="77777777" w:rsidR="00E31976" w:rsidRPr="009D4627" w:rsidRDefault="00E31976" w:rsidP="00E31976">
            <w:pPr>
              <w:spacing w:before="0" w:after="0" w:line="240" w:lineRule="auto"/>
              <w:rPr>
                <w:color w:val="auto"/>
                <w:sz w:val="20"/>
                <w:szCs w:val="20"/>
              </w:rPr>
            </w:pPr>
            <w:r w:rsidRPr="009D4627">
              <w:rPr>
                <w:color w:val="auto"/>
                <w:sz w:val="20"/>
                <w:szCs w:val="20"/>
              </w:rPr>
              <w:t>5</w:t>
            </w:r>
          </w:p>
        </w:tc>
        <w:tc>
          <w:tcPr>
            <w:tcW w:w="776" w:type="pct"/>
            <w:shd w:val="clear" w:color="auto" w:fill="auto"/>
            <w:noWrap/>
            <w:vAlign w:val="bottom"/>
          </w:tcPr>
          <w:p w14:paraId="4A5E90E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603</w:t>
            </w:r>
          </w:p>
        </w:tc>
        <w:tc>
          <w:tcPr>
            <w:tcW w:w="977" w:type="pct"/>
            <w:shd w:val="clear" w:color="auto" w:fill="auto"/>
            <w:noWrap/>
            <w:vAlign w:val="bottom"/>
          </w:tcPr>
          <w:p w14:paraId="28E9527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612</w:t>
            </w:r>
          </w:p>
        </w:tc>
        <w:tc>
          <w:tcPr>
            <w:tcW w:w="977" w:type="pct"/>
            <w:shd w:val="clear" w:color="auto" w:fill="auto"/>
            <w:noWrap/>
            <w:vAlign w:val="bottom"/>
          </w:tcPr>
          <w:p w14:paraId="1A0E998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386</w:t>
            </w:r>
          </w:p>
        </w:tc>
        <w:tc>
          <w:tcPr>
            <w:tcW w:w="979" w:type="pct"/>
            <w:vAlign w:val="bottom"/>
          </w:tcPr>
          <w:p w14:paraId="3D25474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412</w:t>
            </w:r>
          </w:p>
        </w:tc>
      </w:tr>
      <w:tr w:rsidR="00E31976" w:rsidRPr="009D4627" w14:paraId="59050A89" w14:textId="77777777" w:rsidTr="00281A92">
        <w:trPr>
          <w:trHeight w:val="20"/>
          <w:jc w:val="center"/>
        </w:trPr>
        <w:tc>
          <w:tcPr>
            <w:tcW w:w="1291" w:type="pct"/>
            <w:shd w:val="clear" w:color="auto" w:fill="auto"/>
            <w:noWrap/>
            <w:vAlign w:val="bottom"/>
            <w:hideMark/>
          </w:tcPr>
          <w:p w14:paraId="1A8AD59B" w14:textId="77777777" w:rsidR="00E31976" w:rsidRPr="009D4627" w:rsidRDefault="00E31976" w:rsidP="00E31976">
            <w:pPr>
              <w:spacing w:before="0" w:after="0" w:line="240" w:lineRule="auto"/>
              <w:rPr>
                <w:color w:val="auto"/>
                <w:sz w:val="20"/>
                <w:szCs w:val="20"/>
              </w:rPr>
            </w:pPr>
            <w:r w:rsidRPr="009D4627">
              <w:rPr>
                <w:color w:val="auto"/>
                <w:sz w:val="20"/>
                <w:szCs w:val="20"/>
              </w:rPr>
              <w:t>6</w:t>
            </w:r>
          </w:p>
        </w:tc>
        <w:tc>
          <w:tcPr>
            <w:tcW w:w="776" w:type="pct"/>
            <w:shd w:val="clear" w:color="auto" w:fill="auto"/>
            <w:noWrap/>
            <w:vAlign w:val="bottom"/>
          </w:tcPr>
          <w:p w14:paraId="5B31570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409</w:t>
            </w:r>
          </w:p>
        </w:tc>
        <w:tc>
          <w:tcPr>
            <w:tcW w:w="977" w:type="pct"/>
            <w:shd w:val="clear" w:color="auto" w:fill="auto"/>
            <w:noWrap/>
            <w:vAlign w:val="bottom"/>
          </w:tcPr>
          <w:p w14:paraId="0EE4787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436</w:t>
            </w:r>
          </w:p>
        </w:tc>
        <w:tc>
          <w:tcPr>
            <w:tcW w:w="977" w:type="pct"/>
            <w:shd w:val="clear" w:color="auto" w:fill="auto"/>
            <w:noWrap/>
            <w:vAlign w:val="bottom"/>
          </w:tcPr>
          <w:p w14:paraId="6DEE4DA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284</w:t>
            </w:r>
          </w:p>
        </w:tc>
        <w:tc>
          <w:tcPr>
            <w:tcW w:w="979" w:type="pct"/>
            <w:vAlign w:val="bottom"/>
          </w:tcPr>
          <w:p w14:paraId="6A2643D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242</w:t>
            </w:r>
          </w:p>
        </w:tc>
      </w:tr>
      <w:tr w:rsidR="00E31976" w:rsidRPr="009D4627" w14:paraId="56372543" w14:textId="77777777" w:rsidTr="00281A92">
        <w:trPr>
          <w:trHeight w:val="20"/>
          <w:jc w:val="center"/>
        </w:trPr>
        <w:tc>
          <w:tcPr>
            <w:tcW w:w="1291" w:type="pct"/>
            <w:shd w:val="clear" w:color="auto" w:fill="auto"/>
            <w:noWrap/>
            <w:vAlign w:val="bottom"/>
            <w:hideMark/>
          </w:tcPr>
          <w:p w14:paraId="3172008A" w14:textId="77777777" w:rsidR="00E31976" w:rsidRPr="009D4627" w:rsidRDefault="00E31976" w:rsidP="00E31976">
            <w:pPr>
              <w:spacing w:before="0" w:after="0" w:line="240" w:lineRule="auto"/>
              <w:rPr>
                <w:color w:val="auto"/>
                <w:sz w:val="20"/>
                <w:szCs w:val="20"/>
              </w:rPr>
            </w:pPr>
            <w:r w:rsidRPr="009D4627">
              <w:rPr>
                <w:color w:val="auto"/>
                <w:sz w:val="20"/>
                <w:szCs w:val="20"/>
              </w:rPr>
              <w:t>7</w:t>
            </w:r>
          </w:p>
        </w:tc>
        <w:tc>
          <w:tcPr>
            <w:tcW w:w="776" w:type="pct"/>
            <w:shd w:val="clear" w:color="auto" w:fill="auto"/>
            <w:noWrap/>
            <w:vAlign w:val="bottom"/>
          </w:tcPr>
          <w:p w14:paraId="7D8B6EA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576</w:t>
            </w:r>
          </w:p>
        </w:tc>
        <w:tc>
          <w:tcPr>
            <w:tcW w:w="977" w:type="pct"/>
            <w:shd w:val="clear" w:color="auto" w:fill="auto"/>
            <w:noWrap/>
            <w:vAlign w:val="bottom"/>
          </w:tcPr>
          <w:p w14:paraId="692098D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388</w:t>
            </w:r>
          </w:p>
        </w:tc>
        <w:tc>
          <w:tcPr>
            <w:tcW w:w="977" w:type="pct"/>
            <w:shd w:val="clear" w:color="auto" w:fill="auto"/>
            <w:noWrap/>
            <w:vAlign w:val="bottom"/>
          </w:tcPr>
          <w:p w14:paraId="2294555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303</w:t>
            </w:r>
          </w:p>
        </w:tc>
        <w:tc>
          <w:tcPr>
            <w:tcW w:w="979" w:type="pct"/>
            <w:vAlign w:val="bottom"/>
          </w:tcPr>
          <w:p w14:paraId="2F9A86E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268</w:t>
            </w:r>
          </w:p>
        </w:tc>
      </w:tr>
      <w:tr w:rsidR="00E31976" w:rsidRPr="009D4627" w14:paraId="45FEC6C3" w14:textId="77777777" w:rsidTr="00281A92">
        <w:trPr>
          <w:trHeight w:val="20"/>
          <w:jc w:val="center"/>
        </w:trPr>
        <w:tc>
          <w:tcPr>
            <w:tcW w:w="1291" w:type="pct"/>
            <w:shd w:val="clear" w:color="auto" w:fill="auto"/>
            <w:noWrap/>
            <w:vAlign w:val="bottom"/>
            <w:hideMark/>
          </w:tcPr>
          <w:p w14:paraId="1C9D5C26" w14:textId="77777777" w:rsidR="00E31976" w:rsidRPr="009D4627" w:rsidRDefault="00E31976" w:rsidP="00E31976">
            <w:pPr>
              <w:spacing w:before="0" w:after="0" w:line="240" w:lineRule="auto"/>
              <w:rPr>
                <w:color w:val="auto"/>
                <w:sz w:val="20"/>
                <w:szCs w:val="20"/>
              </w:rPr>
            </w:pPr>
            <w:r w:rsidRPr="009D4627">
              <w:rPr>
                <w:color w:val="auto"/>
                <w:sz w:val="20"/>
                <w:szCs w:val="20"/>
              </w:rPr>
              <w:t>8</w:t>
            </w:r>
          </w:p>
        </w:tc>
        <w:tc>
          <w:tcPr>
            <w:tcW w:w="776" w:type="pct"/>
            <w:shd w:val="clear" w:color="auto" w:fill="auto"/>
            <w:noWrap/>
            <w:vAlign w:val="bottom"/>
          </w:tcPr>
          <w:p w14:paraId="5BE4EB5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381</w:t>
            </w:r>
          </w:p>
        </w:tc>
        <w:tc>
          <w:tcPr>
            <w:tcW w:w="977" w:type="pct"/>
            <w:shd w:val="clear" w:color="auto" w:fill="auto"/>
            <w:noWrap/>
            <w:vAlign w:val="bottom"/>
          </w:tcPr>
          <w:p w14:paraId="7825DBD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310</w:t>
            </w:r>
          </w:p>
        </w:tc>
        <w:tc>
          <w:tcPr>
            <w:tcW w:w="977" w:type="pct"/>
            <w:shd w:val="clear" w:color="auto" w:fill="auto"/>
            <w:noWrap/>
            <w:vAlign w:val="bottom"/>
          </w:tcPr>
          <w:p w14:paraId="5F6EF85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242</w:t>
            </w:r>
          </w:p>
        </w:tc>
        <w:tc>
          <w:tcPr>
            <w:tcW w:w="979" w:type="pct"/>
            <w:vAlign w:val="bottom"/>
          </w:tcPr>
          <w:p w14:paraId="3F3A98A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234</w:t>
            </w:r>
          </w:p>
        </w:tc>
      </w:tr>
      <w:tr w:rsidR="00E31976" w:rsidRPr="009D4627" w14:paraId="7E078E51" w14:textId="77777777" w:rsidTr="00281A92">
        <w:trPr>
          <w:trHeight w:val="20"/>
          <w:jc w:val="center"/>
        </w:trPr>
        <w:tc>
          <w:tcPr>
            <w:tcW w:w="1291" w:type="pct"/>
            <w:shd w:val="clear" w:color="auto" w:fill="auto"/>
            <w:noWrap/>
            <w:vAlign w:val="bottom"/>
            <w:hideMark/>
          </w:tcPr>
          <w:p w14:paraId="5A1BF1FE" w14:textId="77777777" w:rsidR="00E31976" w:rsidRPr="009D4627" w:rsidRDefault="00E31976" w:rsidP="00E31976">
            <w:pPr>
              <w:spacing w:before="0" w:after="0" w:line="240" w:lineRule="auto"/>
              <w:rPr>
                <w:color w:val="auto"/>
                <w:sz w:val="20"/>
                <w:szCs w:val="20"/>
              </w:rPr>
            </w:pPr>
            <w:r w:rsidRPr="009D4627">
              <w:rPr>
                <w:color w:val="auto"/>
                <w:sz w:val="20"/>
                <w:szCs w:val="20"/>
              </w:rPr>
              <w:t>9</w:t>
            </w:r>
          </w:p>
        </w:tc>
        <w:tc>
          <w:tcPr>
            <w:tcW w:w="776" w:type="pct"/>
            <w:shd w:val="clear" w:color="auto" w:fill="auto"/>
            <w:noWrap/>
            <w:vAlign w:val="bottom"/>
          </w:tcPr>
          <w:p w14:paraId="7D1F7E3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425</w:t>
            </w:r>
          </w:p>
        </w:tc>
        <w:tc>
          <w:tcPr>
            <w:tcW w:w="977" w:type="pct"/>
            <w:shd w:val="clear" w:color="auto" w:fill="auto"/>
            <w:noWrap/>
            <w:vAlign w:val="bottom"/>
          </w:tcPr>
          <w:p w14:paraId="3C3A78E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305</w:t>
            </w:r>
          </w:p>
        </w:tc>
        <w:tc>
          <w:tcPr>
            <w:tcW w:w="977" w:type="pct"/>
            <w:shd w:val="clear" w:color="auto" w:fill="auto"/>
            <w:noWrap/>
            <w:vAlign w:val="bottom"/>
          </w:tcPr>
          <w:p w14:paraId="2A3DC755"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301</w:t>
            </w:r>
          </w:p>
        </w:tc>
        <w:tc>
          <w:tcPr>
            <w:tcW w:w="979" w:type="pct"/>
            <w:vAlign w:val="bottom"/>
          </w:tcPr>
          <w:p w14:paraId="1F14DA4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212</w:t>
            </w:r>
          </w:p>
        </w:tc>
      </w:tr>
      <w:tr w:rsidR="00E31976" w:rsidRPr="009D4627" w14:paraId="70F1455B" w14:textId="77777777" w:rsidTr="00281A92">
        <w:trPr>
          <w:trHeight w:val="20"/>
          <w:jc w:val="center"/>
        </w:trPr>
        <w:tc>
          <w:tcPr>
            <w:tcW w:w="1291" w:type="pct"/>
            <w:shd w:val="clear" w:color="auto" w:fill="auto"/>
            <w:noWrap/>
            <w:vAlign w:val="bottom"/>
            <w:hideMark/>
          </w:tcPr>
          <w:p w14:paraId="02EBAB2C" w14:textId="77777777" w:rsidR="00E31976" w:rsidRPr="009D4627" w:rsidRDefault="00E31976" w:rsidP="00E31976">
            <w:pPr>
              <w:spacing w:before="0" w:after="0" w:line="240" w:lineRule="auto"/>
              <w:rPr>
                <w:color w:val="auto"/>
                <w:sz w:val="20"/>
                <w:szCs w:val="20"/>
              </w:rPr>
            </w:pPr>
            <w:r w:rsidRPr="009D4627">
              <w:rPr>
                <w:color w:val="auto"/>
                <w:sz w:val="20"/>
                <w:szCs w:val="20"/>
              </w:rPr>
              <w:t>10</w:t>
            </w:r>
          </w:p>
        </w:tc>
        <w:tc>
          <w:tcPr>
            <w:tcW w:w="776" w:type="pct"/>
            <w:shd w:val="clear" w:color="auto" w:fill="auto"/>
            <w:noWrap/>
            <w:vAlign w:val="bottom"/>
          </w:tcPr>
          <w:p w14:paraId="2612604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504</w:t>
            </w:r>
          </w:p>
        </w:tc>
        <w:tc>
          <w:tcPr>
            <w:tcW w:w="977" w:type="pct"/>
            <w:shd w:val="clear" w:color="auto" w:fill="auto"/>
            <w:noWrap/>
            <w:vAlign w:val="bottom"/>
          </w:tcPr>
          <w:p w14:paraId="2A04142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637</w:t>
            </w:r>
          </w:p>
        </w:tc>
        <w:tc>
          <w:tcPr>
            <w:tcW w:w="977" w:type="pct"/>
            <w:shd w:val="clear" w:color="auto" w:fill="auto"/>
            <w:noWrap/>
            <w:vAlign w:val="bottom"/>
          </w:tcPr>
          <w:p w14:paraId="7985176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260</w:t>
            </w:r>
          </w:p>
        </w:tc>
        <w:tc>
          <w:tcPr>
            <w:tcW w:w="979" w:type="pct"/>
            <w:vAlign w:val="bottom"/>
          </w:tcPr>
          <w:p w14:paraId="01DF5CA1"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255</w:t>
            </w:r>
          </w:p>
        </w:tc>
      </w:tr>
      <w:tr w:rsidR="00E31976" w:rsidRPr="009D4627" w14:paraId="61537057" w14:textId="77777777" w:rsidTr="00281A92">
        <w:trPr>
          <w:trHeight w:val="20"/>
          <w:jc w:val="center"/>
        </w:trPr>
        <w:tc>
          <w:tcPr>
            <w:tcW w:w="1291" w:type="pct"/>
            <w:shd w:val="clear" w:color="auto" w:fill="auto"/>
            <w:noWrap/>
            <w:vAlign w:val="bottom"/>
            <w:hideMark/>
          </w:tcPr>
          <w:p w14:paraId="72FEAF17" w14:textId="77777777" w:rsidR="00E31976" w:rsidRPr="009D4627" w:rsidRDefault="00E31976" w:rsidP="00E31976">
            <w:pPr>
              <w:spacing w:before="0" w:after="0" w:line="240" w:lineRule="auto"/>
              <w:rPr>
                <w:color w:val="auto"/>
                <w:sz w:val="20"/>
                <w:szCs w:val="20"/>
              </w:rPr>
            </w:pPr>
            <w:r w:rsidRPr="009D4627">
              <w:rPr>
                <w:color w:val="auto"/>
                <w:sz w:val="20"/>
                <w:szCs w:val="20"/>
              </w:rPr>
              <w:t>11</w:t>
            </w:r>
          </w:p>
        </w:tc>
        <w:tc>
          <w:tcPr>
            <w:tcW w:w="776" w:type="pct"/>
            <w:shd w:val="clear" w:color="auto" w:fill="auto"/>
            <w:noWrap/>
            <w:vAlign w:val="bottom"/>
          </w:tcPr>
          <w:p w14:paraId="2F90000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568</w:t>
            </w:r>
          </w:p>
        </w:tc>
        <w:tc>
          <w:tcPr>
            <w:tcW w:w="977" w:type="pct"/>
            <w:shd w:val="clear" w:color="auto" w:fill="auto"/>
            <w:noWrap/>
            <w:vAlign w:val="bottom"/>
          </w:tcPr>
          <w:p w14:paraId="425D5A44"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542</w:t>
            </w:r>
          </w:p>
        </w:tc>
        <w:tc>
          <w:tcPr>
            <w:tcW w:w="977" w:type="pct"/>
            <w:shd w:val="clear" w:color="auto" w:fill="auto"/>
            <w:noWrap/>
            <w:vAlign w:val="bottom"/>
          </w:tcPr>
          <w:p w14:paraId="125CC11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407</w:t>
            </w:r>
          </w:p>
        </w:tc>
        <w:tc>
          <w:tcPr>
            <w:tcW w:w="979" w:type="pct"/>
            <w:vAlign w:val="bottom"/>
          </w:tcPr>
          <w:p w14:paraId="0B694A48"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374</w:t>
            </w:r>
          </w:p>
        </w:tc>
      </w:tr>
      <w:tr w:rsidR="00E31976" w:rsidRPr="009D4627" w14:paraId="68E86182" w14:textId="77777777" w:rsidTr="00281A92">
        <w:trPr>
          <w:trHeight w:val="20"/>
          <w:jc w:val="center"/>
        </w:trPr>
        <w:tc>
          <w:tcPr>
            <w:tcW w:w="1291" w:type="pct"/>
            <w:shd w:val="clear" w:color="auto" w:fill="auto"/>
            <w:noWrap/>
            <w:vAlign w:val="bottom"/>
            <w:hideMark/>
          </w:tcPr>
          <w:p w14:paraId="59099EAF" w14:textId="77777777" w:rsidR="00E31976" w:rsidRPr="009D4627" w:rsidRDefault="00E31976" w:rsidP="00E31976">
            <w:pPr>
              <w:spacing w:before="0" w:after="0" w:line="240" w:lineRule="auto"/>
              <w:rPr>
                <w:color w:val="auto"/>
                <w:sz w:val="20"/>
                <w:szCs w:val="20"/>
              </w:rPr>
            </w:pPr>
            <w:r w:rsidRPr="009D4627">
              <w:rPr>
                <w:color w:val="auto"/>
                <w:sz w:val="20"/>
                <w:szCs w:val="20"/>
              </w:rPr>
              <w:t>12</w:t>
            </w:r>
          </w:p>
        </w:tc>
        <w:tc>
          <w:tcPr>
            <w:tcW w:w="776" w:type="pct"/>
            <w:shd w:val="clear" w:color="auto" w:fill="auto"/>
            <w:noWrap/>
            <w:vAlign w:val="bottom"/>
          </w:tcPr>
          <w:p w14:paraId="61197AAF"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437</w:t>
            </w:r>
          </w:p>
        </w:tc>
        <w:tc>
          <w:tcPr>
            <w:tcW w:w="977" w:type="pct"/>
            <w:shd w:val="clear" w:color="auto" w:fill="auto"/>
            <w:noWrap/>
            <w:vAlign w:val="bottom"/>
          </w:tcPr>
          <w:p w14:paraId="298486F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367</w:t>
            </w:r>
          </w:p>
        </w:tc>
        <w:tc>
          <w:tcPr>
            <w:tcW w:w="977" w:type="pct"/>
            <w:shd w:val="clear" w:color="auto" w:fill="auto"/>
            <w:noWrap/>
            <w:vAlign w:val="bottom"/>
          </w:tcPr>
          <w:p w14:paraId="5C3B2B3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270</w:t>
            </w:r>
          </w:p>
        </w:tc>
        <w:tc>
          <w:tcPr>
            <w:tcW w:w="979" w:type="pct"/>
            <w:vAlign w:val="bottom"/>
          </w:tcPr>
          <w:p w14:paraId="64F6BE1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298</w:t>
            </w:r>
          </w:p>
        </w:tc>
      </w:tr>
      <w:tr w:rsidR="00E31976" w:rsidRPr="009D4627" w14:paraId="55AE9E6B" w14:textId="77777777" w:rsidTr="00281A92">
        <w:trPr>
          <w:trHeight w:val="20"/>
          <w:jc w:val="center"/>
        </w:trPr>
        <w:tc>
          <w:tcPr>
            <w:tcW w:w="1291" w:type="pct"/>
            <w:shd w:val="clear" w:color="auto" w:fill="auto"/>
            <w:noWrap/>
            <w:vAlign w:val="bottom"/>
            <w:hideMark/>
          </w:tcPr>
          <w:p w14:paraId="35F1A58C" w14:textId="77777777" w:rsidR="00E31976" w:rsidRPr="009D4627" w:rsidRDefault="00E31976" w:rsidP="00E31976">
            <w:pPr>
              <w:spacing w:before="0" w:after="0" w:line="240" w:lineRule="auto"/>
              <w:rPr>
                <w:color w:val="auto"/>
                <w:sz w:val="20"/>
                <w:szCs w:val="20"/>
              </w:rPr>
            </w:pPr>
            <w:r w:rsidRPr="009D4627">
              <w:rPr>
                <w:color w:val="auto"/>
                <w:sz w:val="20"/>
                <w:szCs w:val="20"/>
              </w:rPr>
              <w:t>13</w:t>
            </w:r>
          </w:p>
        </w:tc>
        <w:tc>
          <w:tcPr>
            <w:tcW w:w="776" w:type="pct"/>
            <w:shd w:val="clear" w:color="auto" w:fill="auto"/>
            <w:noWrap/>
            <w:vAlign w:val="bottom"/>
          </w:tcPr>
          <w:p w14:paraId="1268C63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615</w:t>
            </w:r>
          </w:p>
        </w:tc>
        <w:tc>
          <w:tcPr>
            <w:tcW w:w="977" w:type="pct"/>
            <w:shd w:val="clear" w:color="auto" w:fill="auto"/>
            <w:noWrap/>
            <w:vAlign w:val="bottom"/>
          </w:tcPr>
          <w:p w14:paraId="588954CB"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505</w:t>
            </w:r>
          </w:p>
        </w:tc>
        <w:tc>
          <w:tcPr>
            <w:tcW w:w="977" w:type="pct"/>
            <w:shd w:val="clear" w:color="auto" w:fill="auto"/>
            <w:noWrap/>
            <w:vAlign w:val="bottom"/>
          </w:tcPr>
          <w:p w14:paraId="2786D2A7"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256</w:t>
            </w:r>
          </w:p>
        </w:tc>
        <w:tc>
          <w:tcPr>
            <w:tcW w:w="979" w:type="pct"/>
            <w:vAlign w:val="bottom"/>
          </w:tcPr>
          <w:p w14:paraId="7A4C2183"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255</w:t>
            </w:r>
          </w:p>
        </w:tc>
      </w:tr>
      <w:tr w:rsidR="00E31976" w:rsidRPr="009D4627" w14:paraId="57C13F1D" w14:textId="77777777" w:rsidTr="00281A92">
        <w:trPr>
          <w:trHeight w:val="20"/>
          <w:jc w:val="center"/>
        </w:trPr>
        <w:tc>
          <w:tcPr>
            <w:tcW w:w="1291" w:type="pct"/>
            <w:shd w:val="clear" w:color="auto" w:fill="auto"/>
            <w:noWrap/>
            <w:vAlign w:val="bottom"/>
            <w:hideMark/>
          </w:tcPr>
          <w:p w14:paraId="27004437" w14:textId="77777777" w:rsidR="00E31976" w:rsidRPr="009D4627" w:rsidRDefault="00E31976" w:rsidP="00E31976">
            <w:pPr>
              <w:spacing w:before="0" w:after="0" w:line="240" w:lineRule="auto"/>
              <w:rPr>
                <w:color w:val="auto"/>
                <w:sz w:val="20"/>
                <w:szCs w:val="20"/>
              </w:rPr>
            </w:pPr>
            <w:r w:rsidRPr="009D4627">
              <w:rPr>
                <w:color w:val="auto"/>
                <w:sz w:val="20"/>
                <w:szCs w:val="20"/>
              </w:rPr>
              <w:lastRenderedPageBreak/>
              <w:t>14</w:t>
            </w:r>
          </w:p>
        </w:tc>
        <w:tc>
          <w:tcPr>
            <w:tcW w:w="776" w:type="pct"/>
            <w:shd w:val="clear" w:color="auto" w:fill="auto"/>
            <w:noWrap/>
            <w:vAlign w:val="bottom"/>
          </w:tcPr>
          <w:p w14:paraId="5045C78C"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724</w:t>
            </w:r>
          </w:p>
        </w:tc>
        <w:tc>
          <w:tcPr>
            <w:tcW w:w="977" w:type="pct"/>
            <w:shd w:val="clear" w:color="auto" w:fill="auto"/>
            <w:noWrap/>
            <w:vAlign w:val="bottom"/>
          </w:tcPr>
          <w:p w14:paraId="2005305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495</w:t>
            </w:r>
          </w:p>
        </w:tc>
        <w:tc>
          <w:tcPr>
            <w:tcW w:w="977" w:type="pct"/>
            <w:shd w:val="clear" w:color="auto" w:fill="auto"/>
            <w:noWrap/>
            <w:vAlign w:val="bottom"/>
          </w:tcPr>
          <w:p w14:paraId="021C0AFE"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368</w:t>
            </w:r>
          </w:p>
        </w:tc>
        <w:tc>
          <w:tcPr>
            <w:tcW w:w="979" w:type="pct"/>
            <w:vAlign w:val="bottom"/>
          </w:tcPr>
          <w:p w14:paraId="08DE6B26"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324</w:t>
            </w:r>
          </w:p>
        </w:tc>
      </w:tr>
      <w:tr w:rsidR="00E31976" w:rsidRPr="009D4627" w14:paraId="79196BA3" w14:textId="77777777" w:rsidTr="00281A92">
        <w:trPr>
          <w:trHeight w:val="20"/>
          <w:jc w:val="center"/>
        </w:trPr>
        <w:tc>
          <w:tcPr>
            <w:tcW w:w="1291" w:type="pct"/>
            <w:shd w:val="clear" w:color="auto" w:fill="auto"/>
            <w:noWrap/>
            <w:vAlign w:val="bottom"/>
            <w:hideMark/>
          </w:tcPr>
          <w:p w14:paraId="2B9F0FBF" w14:textId="77777777" w:rsidR="00E31976" w:rsidRPr="009D4627" w:rsidRDefault="00E31976" w:rsidP="00E31976">
            <w:pPr>
              <w:spacing w:before="0" w:after="0" w:line="240" w:lineRule="auto"/>
              <w:rPr>
                <w:color w:val="auto"/>
                <w:sz w:val="20"/>
                <w:szCs w:val="20"/>
              </w:rPr>
            </w:pPr>
            <w:r w:rsidRPr="009D4627">
              <w:rPr>
                <w:color w:val="auto"/>
                <w:sz w:val="20"/>
                <w:szCs w:val="20"/>
              </w:rPr>
              <w:t>15</w:t>
            </w:r>
          </w:p>
        </w:tc>
        <w:tc>
          <w:tcPr>
            <w:tcW w:w="776" w:type="pct"/>
            <w:shd w:val="clear" w:color="auto" w:fill="auto"/>
            <w:noWrap/>
            <w:vAlign w:val="bottom"/>
          </w:tcPr>
          <w:p w14:paraId="102BE33D"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462</w:t>
            </w:r>
          </w:p>
        </w:tc>
        <w:tc>
          <w:tcPr>
            <w:tcW w:w="977" w:type="pct"/>
            <w:shd w:val="clear" w:color="auto" w:fill="auto"/>
            <w:noWrap/>
            <w:vAlign w:val="bottom"/>
          </w:tcPr>
          <w:p w14:paraId="7EB94E42"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488</w:t>
            </w:r>
          </w:p>
        </w:tc>
        <w:tc>
          <w:tcPr>
            <w:tcW w:w="977" w:type="pct"/>
            <w:shd w:val="clear" w:color="auto" w:fill="auto"/>
            <w:noWrap/>
            <w:vAlign w:val="bottom"/>
          </w:tcPr>
          <w:p w14:paraId="25FC3589"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338</w:t>
            </w:r>
          </w:p>
        </w:tc>
        <w:tc>
          <w:tcPr>
            <w:tcW w:w="979" w:type="pct"/>
            <w:vAlign w:val="bottom"/>
          </w:tcPr>
          <w:p w14:paraId="579E907A" w14:textId="77777777" w:rsidR="00E31976" w:rsidRPr="009D4627" w:rsidRDefault="00E31976" w:rsidP="00E31976">
            <w:pPr>
              <w:spacing w:before="0" w:after="0" w:line="240" w:lineRule="auto"/>
              <w:jc w:val="right"/>
              <w:rPr>
                <w:color w:val="auto"/>
                <w:sz w:val="20"/>
                <w:szCs w:val="20"/>
              </w:rPr>
            </w:pPr>
            <w:r w:rsidRPr="009D4627">
              <w:rPr>
                <w:color w:val="000000"/>
                <w:sz w:val="22"/>
                <w:szCs w:val="22"/>
              </w:rPr>
              <w:t>268</w:t>
            </w:r>
          </w:p>
        </w:tc>
      </w:tr>
    </w:tbl>
    <w:p w14:paraId="4B850A01" w14:textId="1DAD587A" w:rsidR="005B3AD2" w:rsidRPr="009D4627" w:rsidRDefault="005B3AD2" w:rsidP="004808A2">
      <w:pPr>
        <w:spacing w:after="0"/>
        <w:rPr>
          <w:color w:val="auto"/>
          <w:sz w:val="22"/>
          <w:szCs w:val="22"/>
        </w:rPr>
      </w:pPr>
    </w:p>
    <w:p w14:paraId="47B3731E" w14:textId="77777777" w:rsidR="00920DD4" w:rsidRPr="009D4627" w:rsidRDefault="00920DD4" w:rsidP="00C4130D">
      <w:pPr>
        <w:pStyle w:val="Caption"/>
        <w:sectPr w:rsidR="00920DD4" w:rsidRPr="009D4627" w:rsidSect="00477959">
          <w:pgSz w:w="11906" w:h="16838" w:code="9"/>
          <w:pgMar w:top="1440" w:right="1440" w:bottom="1440" w:left="1440" w:header="708" w:footer="708" w:gutter="0"/>
          <w:cols w:space="708"/>
          <w:docGrid w:linePitch="360"/>
        </w:sectPr>
      </w:pPr>
      <w:bookmarkStart w:id="621" w:name="_Toc70087850"/>
    </w:p>
    <w:p w14:paraId="5D361DC1" w14:textId="4F40FBBD" w:rsidR="00DE330E" w:rsidRDefault="00DE330E" w:rsidP="00C4130D">
      <w:pPr>
        <w:pStyle w:val="Caption"/>
      </w:pPr>
      <w:bookmarkStart w:id="622" w:name="_Toc99444691"/>
      <w:r>
        <w:lastRenderedPageBreak/>
        <w:t>Appendix 3.</w:t>
      </w:r>
      <w:r>
        <w:fldChar w:fldCharType="begin"/>
      </w:r>
      <w:r>
        <w:instrText xml:space="preserve"> SEQ Appendix_3. \* ARABIC </w:instrText>
      </w:r>
      <w:r>
        <w:fldChar w:fldCharType="separate"/>
      </w:r>
      <w:r w:rsidR="00E268F6">
        <w:rPr>
          <w:noProof/>
        </w:rPr>
        <w:t>3</w:t>
      </w:r>
      <w:r>
        <w:fldChar w:fldCharType="end"/>
      </w:r>
      <w:r>
        <w:t xml:space="preserve">: </w:t>
      </w:r>
      <w:r w:rsidRPr="009D4627">
        <w:t xml:space="preserve">Mean </w:t>
      </w:r>
      <w:r>
        <w:t>vertic</w:t>
      </w:r>
      <w:r w:rsidRPr="009D4627">
        <w:t>al SP a) gain, b) RMSE (°), and c) SP duration (</w:t>
      </w:r>
      <w:proofErr w:type="spellStart"/>
      <w:r w:rsidRPr="009D4627">
        <w:t>ms</w:t>
      </w:r>
      <w:proofErr w:type="spellEnd"/>
      <w:r w:rsidRPr="009D4627">
        <w:t>), of individual participant from three age groups (young, middle and older age) with normal BSV. The result of RE was presented.</w:t>
      </w:r>
      <w:bookmarkEnd w:id="622"/>
    </w:p>
    <w:tbl>
      <w:tblPr>
        <w:tblW w:w="45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525"/>
        <w:gridCol w:w="1526"/>
        <w:gridCol w:w="1526"/>
        <w:gridCol w:w="1520"/>
      </w:tblGrid>
      <w:tr w:rsidR="009A36D2" w:rsidRPr="009A3489" w14:paraId="302FDAB6" w14:textId="77777777" w:rsidTr="00281A92">
        <w:trPr>
          <w:trHeight w:val="20"/>
          <w:jc w:val="center"/>
        </w:trPr>
        <w:tc>
          <w:tcPr>
            <w:tcW w:w="5000" w:type="pct"/>
            <w:gridSpan w:val="5"/>
            <w:shd w:val="clear" w:color="auto" w:fill="auto"/>
            <w:noWrap/>
            <w:vAlign w:val="bottom"/>
            <w:hideMark/>
          </w:tcPr>
          <w:p w14:paraId="3E5DD136" w14:textId="77777777" w:rsidR="009A36D2" w:rsidRPr="009A3489" w:rsidRDefault="009A36D2" w:rsidP="00281A92">
            <w:pPr>
              <w:pStyle w:val="ListParagraph"/>
              <w:numPr>
                <w:ilvl w:val="0"/>
                <w:numId w:val="110"/>
              </w:numPr>
              <w:tabs>
                <w:tab w:val="left" w:pos="525"/>
              </w:tabs>
              <w:spacing w:before="0" w:after="0" w:line="240" w:lineRule="auto"/>
              <w:ind w:right="417"/>
              <w:jc w:val="left"/>
              <w:rPr>
                <w:b/>
                <w:bCs/>
                <w:color w:val="auto"/>
                <w:sz w:val="20"/>
                <w:szCs w:val="20"/>
              </w:rPr>
            </w:pPr>
            <w:r w:rsidRPr="009A3489">
              <w:rPr>
                <w:b/>
                <w:bCs/>
                <w:color w:val="auto"/>
                <w:sz w:val="20"/>
                <w:szCs w:val="20"/>
              </w:rPr>
              <w:t xml:space="preserve">Vertical SP gain </w:t>
            </w:r>
          </w:p>
        </w:tc>
      </w:tr>
      <w:tr w:rsidR="009A36D2" w:rsidRPr="009A3489" w14:paraId="3B30E934" w14:textId="77777777" w:rsidTr="00281A92">
        <w:trPr>
          <w:trHeight w:val="20"/>
          <w:jc w:val="center"/>
        </w:trPr>
        <w:tc>
          <w:tcPr>
            <w:tcW w:w="5000" w:type="pct"/>
            <w:gridSpan w:val="5"/>
            <w:shd w:val="clear" w:color="auto" w:fill="D9D9D9" w:themeFill="background1" w:themeFillShade="D9"/>
            <w:noWrap/>
            <w:vAlign w:val="bottom"/>
          </w:tcPr>
          <w:p w14:paraId="36E646A5"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Young (18-39 years old)</w:t>
            </w:r>
          </w:p>
        </w:tc>
      </w:tr>
      <w:tr w:rsidR="009A36D2" w:rsidRPr="009A3489" w14:paraId="20DF3585" w14:textId="77777777" w:rsidTr="00281A92">
        <w:trPr>
          <w:trHeight w:val="20"/>
          <w:jc w:val="center"/>
        </w:trPr>
        <w:tc>
          <w:tcPr>
            <w:tcW w:w="1293" w:type="pct"/>
            <w:tcBorders>
              <w:tl2br w:val="single" w:sz="4" w:space="0" w:color="auto"/>
            </w:tcBorders>
            <w:shd w:val="clear" w:color="auto" w:fill="auto"/>
            <w:hideMark/>
          </w:tcPr>
          <w:p w14:paraId="5E6F51BF"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6F9FEEC4" w14:textId="77777777" w:rsidR="009A36D2" w:rsidRPr="009A3489" w:rsidRDefault="009A36D2" w:rsidP="00281A92">
            <w:pPr>
              <w:spacing w:before="0" w:after="0" w:line="240" w:lineRule="auto"/>
              <w:rPr>
                <w:color w:val="auto"/>
                <w:sz w:val="20"/>
                <w:szCs w:val="20"/>
              </w:rPr>
            </w:pPr>
          </w:p>
          <w:p w14:paraId="6597C1FF"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09FA49F4"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61F3C1D9"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5F60821D"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146C7C0A"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5412DE35" w14:textId="77777777" w:rsidTr="00281A92">
        <w:trPr>
          <w:trHeight w:val="20"/>
          <w:jc w:val="center"/>
        </w:trPr>
        <w:tc>
          <w:tcPr>
            <w:tcW w:w="1293" w:type="pct"/>
            <w:shd w:val="clear" w:color="auto" w:fill="auto"/>
            <w:noWrap/>
            <w:vAlign w:val="bottom"/>
            <w:hideMark/>
          </w:tcPr>
          <w:p w14:paraId="2E14F766"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center"/>
          </w:tcPr>
          <w:p w14:paraId="7563D3D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center"/>
          </w:tcPr>
          <w:p w14:paraId="11C33D3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0.79</w:t>
            </w:r>
          </w:p>
        </w:tc>
        <w:tc>
          <w:tcPr>
            <w:tcW w:w="928" w:type="pct"/>
            <w:shd w:val="clear" w:color="auto" w:fill="auto"/>
            <w:noWrap/>
            <w:vAlign w:val="center"/>
          </w:tcPr>
          <w:p w14:paraId="0A0F695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0.58</w:t>
            </w:r>
          </w:p>
        </w:tc>
        <w:tc>
          <w:tcPr>
            <w:tcW w:w="924" w:type="pct"/>
            <w:vAlign w:val="center"/>
          </w:tcPr>
          <w:p w14:paraId="0C487DE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0.38</w:t>
            </w:r>
          </w:p>
        </w:tc>
      </w:tr>
      <w:tr w:rsidR="009A36D2" w:rsidRPr="009A3489" w14:paraId="3F9D6624" w14:textId="77777777" w:rsidTr="00281A92">
        <w:trPr>
          <w:trHeight w:val="20"/>
          <w:jc w:val="center"/>
        </w:trPr>
        <w:tc>
          <w:tcPr>
            <w:tcW w:w="1293" w:type="pct"/>
            <w:shd w:val="clear" w:color="auto" w:fill="auto"/>
            <w:noWrap/>
            <w:vAlign w:val="bottom"/>
            <w:hideMark/>
          </w:tcPr>
          <w:p w14:paraId="72E3888B"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center"/>
          </w:tcPr>
          <w:p w14:paraId="1DFA2EE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0.87</w:t>
            </w:r>
          </w:p>
        </w:tc>
        <w:tc>
          <w:tcPr>
            <w:tcW w:w="928" w:type="pct"/>
            <w:shd w:val="clear" w:color="auto" w:fill="auto"/>
            <w:noWrap/>
            <w:vAlign w:val="center"/>
          </w:tcPr>
          <w:p w14:paraId="21E6889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center"/>
          </w:tcPr>
          <w:p w14:paraId="2412206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0.62</w:t>
            </w:r>
          </w:p>
        </w:tc>
        <w:tc>
          <w:tcPr>
            <w:tcW w:w="924" w:type="pct"/>
            <w:vAlign w:val="center"/>
          </w:tcPr>
          <w:p w14:paraId="667207A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0.39</w:t>
            </w:r>
          </w:p>
        </w:tc>
      </w:tr>
      <w:tr w:rsidR="009A36D2" w:rsidRPr="009A3489" w14:paraId="261FECAD" w14:textId="77777777" w:rsidTr="00281A92">
        <w:trPr>
          <w:trHeight w:val="20"/>
          <w:jc w:val="center"/>
        </w:trPr>
        <w:tc>
          <w:tcPr>
            <w:tcW w:w="1293" w:type="pct"/>
            <w:shd w:val="clear" w:color="auto" w:fill="auto"/>
            <w:noWrap/>
            <w:vAlign w:val="bottom"/>
            <w:hideMark/>
          </w:tcPr>
          <w:p w14:paraId="14645B4E"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center"/>
          </w:tcPr>
          <w:p w14:paraId="690F8C3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0.89</w:t>
            </w:r>
          </w:p>
        </w:tc>
        <w:tc>
          <w:tcPr>
            <w:tcW w:w="928" w:type="pct"/>
            <w:shd w:val="clear" w:color="auto" w:fill="auto"/>
            <w:noWrap/>
            <w:vAlign w:val="center"/>
          </w:tcPr>
          <w:p w14:paraId="1482DB6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0.87</w:t>
            </w:r>
          </w:p>
        </w:tc>
        <w:tc>
          <w:tcPr>
            <w:tcW w:w="928" w:type="pct"/>
            <w:shd w:val="clear" w:color="auto" w:fill="auto"/>
            <w:noWrap/>
            <w:vAlign w:val="center"/>
          </w:tcPr>
          <w:p w14:paraId="7B277B1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0.80</w:t>
            </w:r>
          </w:p>
        </w:tc>
        <w:tc>
          <w:tcPr>
            <w:tcW w:w="924" w:type="pct"/>
            <w:vAlign w:val="center"/>
          </w:tcPr>
          <w:p w14:paraId="34AB2E6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0.50</w:t>
            </w:r>
          </w:p>
        </w:tc>
      </w:tr>
      <w:tr w:rsidR="009A36D2" w:rsidRPr="009A3489" w14:paraId="5D886F89" w14:textId="77777777" w:rsidTr="00281A92">
        <w:trPr>
          <w:trHeight w:val="20"/>
          <w:jc w:val="center"/>
        </w:trPr>
        <w:tc>
          <w:tcPr>
            <w:tcW w:w="1293" w:type="pct"/>
            <w:shd w:val="clear" w:color="auto" w:fill="auto"/>
            <w:noWrap/>
            <w:vAlign w:val="bottom"/>
            <w:hideMark/>
          </w:tcPr>
          <w:p w14:paraId="31C778B9"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center"/>
          </w:tcPr>
          <w:p w14:paraId="4C6F1CC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c>
          <w:tcPr>
            <w:tcW w:w="928" w:type="pct"/>
            <w:shd w:val="clear" w:color="auto" w:fill="auto"/>
            <w:noWrap/>
            <w:vAlign w:val="center"/>
          </w:tcPr>
          <w:p w14:paraId="5DB115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0.62</w:t>
            </w:r>
          </w:p>
        </w:tc>
        <w:tc>
          <w:tcPr>
            <w:tcW w:w="928" w:type="pct"/>
            <w:shd w:val="clear" w:color="auto" w:fill="auto"/>
            <w:noWrap/>
            <w:vAlign w:val="center"/>
          </w:tcPr>
          <w:p w14:paraId="6D969E1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0.39</w:t>
            </w:r>
          </w:p>
        </w:tc>
        <w:tc>
          <w:tcPr>
            <w:tcW w:w="924" w:type="pct"/>
            <w:vAlign w:val="center"/>
          </w:tcPr>
          <w:p w14:paraId="463AEC4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0.31</w:t>
            </w:r>
          </w:p>
        </w:tc>
      </w:tr>
      <w:tr w:rsidR="009A36D2" w:rsidRPr="009A3489" w14:paraId="3D45C7E7" w14:textId="77777777" w:rsidTr="00281A92">
        <w:trPr>
          <w:trHeight w:val="20"/>
          <w:jc w:val="center"/>
        </w:trPr>
        <w:tc>
          <w:tcPr>
            <w:tcW w:w="1293" w:type="pct"/>
            <w:shd w:val="clear" w:color="auto" w:fill="auto"/>
            <w:noWrap/>
            <w:vAlign w:val="bottom"/>
            <w:hideMark/>
          </w:tcPr>
          <w:p w14:paraId="562BB6A1"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center"/>
          </w:tcPr>
          <w:p w14:paraId="660A32D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0.61</w:t>
            </w:r>
          </w:p>
        </w:tc>
        <w:tc>
          <w:tcPr>
            <w:tcW w:w="928" w:type="pct"/>
            <w:shd w:val="clear" w:color="auto" w:fill="auto"/>
            <w:noWrap/>
            <w:vAlign w:val="center"/>
          </w:tcPr>
          <w:p w14:paraId="304DB26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0.52</w:t>
            </w:r>
          </w:p>
        </w:tc>
        <w:tc>
          <w:tcPr>
            <w:tcW w:w="928" w:type="pct"/>
            <w:shd w:val="clear" w:color="auto" w:fill="auto"/>
            <w:noWrap/>
            <w:vAlign w:val="center"/>
          </w:tcPr>
          <w:p w14:paraId="2FC2181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0.17</w:t>
            </w:r>
          </w:p>
        </w:tc>
        <w:tc>
          <w:tcPr>
            <w:tcW w:w="924" w:type="pct"/>
            <w:vAlign w:val="center"/>
          </w:tcPr>
          <w:p w14:paraId="44243D0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0.39</w:t>
            </w:r>
          </w:p>
        </w:tc>
      </w:tr>
      <w:tr w:rsidR="009A36D2" w:rsidRPr="009A3489" w14:paraId="7EC01576" w14:textId="77777777" w:rsidTr="00281A92">
        <w:trPr>
          <w:trHeight w:val="20"/>
          <w:jc w:val="center"/>
        </w:trPr>
        <w:tc>
          <w:tcPr>
            <w:tcW w:w="1293" w:type="pct"/>
            <w:shd w:val="clear" w:color="auto" w:fill="auto"/>
            <w:noWrap/>
            <w:vAlign w:val="bottom"/>
            <w:hideMark/>
          </w:tcPr>
          <w:p w14:paraId="3912AFA7"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center"/>
          </w:tcPr>
          <w:p w14:paraId="1CE95F2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0.74</w:t>
            </w:r>
          </w:p>
        </w:tc>
        <w:tc>
          <w:tcPr>
            <w:tcW w:w="928" w:type="pct"/>
            <w:shd w:val="clear" w:color="auto" w:fill="auto"/>
            <w:noWrap/>
            <w:vAlign w:val="center"/>
          </w:tcPr>
          <w:p w14:paraId="3FF3371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c>
          <w:tcPr>
            <w:tcW w:w="928" w:type="pct"/>
            <w:shd w:val="clear" w:color="auto" w:fill="auto"/>
            <w:noWrap/>
            <w:vAlign w:val="center"/>
          </w:tcPr>
          <w:p w14:paraId="7094B5A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0.54</w:t>
            </w:r>
          </w:p>
        </w:tc>
        <w:tc>
          <w:tcPr>
            <w:tcW w:w="924" w:type="pct"/>
            <w:vAlign w:val="center"/>
          </w:tcPr>
          <w:p w14:paraId="140AD5F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r>
      <w:tr w:rsidR="009A36D2" w:rsidRPr="009A3489" w14:paraId="3CA46A69" w14:textId="77777777" w:rsidTr="00281A92">
        <w:trPr>
          <w:trHeight w:val="20"/>
          <w:jc w:val="center"/>
        </w:trPr>
        <w:tc>
          <w:tcPr>
            <w:tcW w:w="1293" w:type="pct"/>
            <w:shd w:val="clear" w:color="auto" w:fill="auto"/>
            <w:noWrap/>
            <w:vAlign w:val="bottom"/>
            <w:hideMark/>
          </w:tcPr>
          <w:p w14:paraId="2A0445CE"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center"/>
          </w:tcPr>
          <w:p w14:paraId="00F6C61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0.78</w:t>
            </w:r>
          </w:p>
        </w:tc>
        <w:tc>
          <w:tcPr>
            <w:tcW w:w="928" w:type="pct"/>
            <w:shd w:val="clear" w:color="auto" w:fill="auto"/>
            <w:noWrap/>
            <w:vAlign w:val="center"/>
          </w:tcPr>
          <w:p w14:paraId="1619C9B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0.69</w:t>
            </w:r>
          </w:p>
        </w:tc>
        <w:tc>
          <w:tcPr>
            <w:tcW w:w="928" w:type="pct"/>
            <w:shd w:val="clear" w:color="auto" w:fill="auto"/>
            <w:noWrap/>
            <w:vAlign w:val="center"/>
          </w:tcPr>
          <w:p w14:paraId="765CC3F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0.57</w:t>
            </w:r>
          </w:p>
        </w:tc>
        <w:tc>
          <w:tcPr>
            <w:tcW w:w="924" w:type="pct"/>
            <w:vAlign w:val="center"/>
          </w:tcPr>
          <w:p w14:paraId="5FD655B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0.34</w:t>
            </w:r>
          </w:p>
        </w:tc>
      </w:tr>
      <w:tr w:rsidR="009A36D2" w:rsidRPr="009A3489" w14:paraId="12D31947" w14:textId="77777777" w:rsidTr="00281A92">
        <w:trPr>
          <w:trHeight w:val="20"/>
          <w:jc w:val="center"/>
        </w:trPr>
        <w:tc>
          <w:tcPr>
            <w:tcW w:w="1293" w:type="pct"/>
            <w:shd w:val="clear" w:color="auto" w:fill="auto"/>
            <w:noWrap/>
            <w:vAlign w:val="bottom"/>
            <w:hideMark/>
          </w:tcPr>
          <w:p w14:paraId="0A9318D0"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center"/>
          </w:tcPr>
          <w:p w14:paraId="482B8EC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0.93</w:t>
            </w:r>
          </w:p>
        </w:tc>
        <w:tc>
          <w:tcPr>
            <w:tcW w:w="928" w:type="pct"/>
            <w:shd w:val="clear" w:color="auto" w:fill="auto"/>
            <w:noWrap/>
            <w:vAlign w:val="center"/>
          </w:tcPr>
          <w:p w14:paraId="4A11FA8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center"/>
          </w:tcPr>
          <w:p w14:paraId="2EC505C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0.55</w:t>
            </w:r>
          </w:p>
        </w:tc>
        <w:tc>
          <w:tcPr>
            <w:tcW w:w="924" w:type="pct"/>
            <w:vAlign w:val="center"/>
          </w:tcPr>
          <w:p w14:paraId="577A887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0.47</w:t>
            </w:r>
          </w:p>
        </w:tc>
      </w:tr>
      <w:tr w:rsidR="009A36D2" w:rsidRPr="009A3489" w14:paraId="52C27D43" w14:textId="77777777" w:rsidTr="00281A92">
        <w:trPr>
          <w:trHeight w:val="20"/>
          <w:jc w:val="center"/>
        </w:trPr>
        <w:tc>
          <w:tcPr>
            <w:tcW w:w="1293" w:type="pct"/>
            <w:shd w:val="clear" w:color="auto" w:fill="auto"/>
            <w:noWrap/>
            <w:vAlign w:val="bottom"/>
            <w:hideMark/>
          </w:tcPr>
          <w:p w14:paraId="477D618E"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center"/>
          </w:tcPr>
          <w:p w14:paraId="3014573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0.84</w:t>
            </w:r>
          </w:p>
        </w:tc>
        <w:tc>
          <w:tcPr>
            <w:tcW w:w="928" w:type="pct"/>
            <w:shd w:val="clear" w:color="auto" w:fill="auto"/>
            <w:noWrap/>
            <w:vAlign w:val="center"/>
          </w:tcPr>
          <w:p w14:paraId="176359B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0.75</w:t>
            </w:r>
          </w:p>
        </w:tc>
        <w:tc>
          <w:tcPr>
            <w:tcW w:w="928" w:type="pct"/>
            <w:shd w:val="clear" w:color="auto" w:fill="auto"/>
            <w:noWrap/>
            <w:vAlign w:val="center"/>
          </w:tcPr>
          <w:p w14:paraId="597473F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0.53</w:t>
            </w:r>
          </w:p>
        </w:tc>
        <w:tc>
          <w:tcPr>
            <w:tcW w:w="924" w:type="pct"/>
            <w:vAlign w:val="center"/>
          </w:tcPr>
          <w:p w14:paraId="6391284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0.37</w:t>
            </w:r>
          </w:p>
        </w:tc>
      </w:tr>
      <w:tr w:rsidR="009A36D2" w:rsidRPr="009A3489" w14:paraId="33161BF5" w14:textId="77777777" w:rsidTr="00281A92">
        <w:trPr>
          <w:trHeight w:val="20"/>
          <w:jc w:val="center"/>
        </w:trPr>
        <w:tc>
          <w:tcPr>
            <w:tcW w:w="1293" w:type="pct"/>
            <w:shd w:val="clear" w:color="auto" w:fill="auto"/>
            <w:noWrap/>
            <w:vAlign w:val="bottom"/>
            <w:hideMark/>
          </w:tcPr>
          <w:p w14:paraId="0A4C54E6"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center"/>
          </w:tcPr>
          <w:p w14:paraId="2D61C21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center"/>
          </w:tcPr>
          <w:p w14:paraId="1A5EB6B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0.70</w:t>
            </w:r>
          </w:p>
        </w:tc>
        <w:tc>
          <w:tcPr>
            <w:tcW w:w="928" w:type="pct"/>
            <w:shd w:val="clear" w:color="auto" w:fill="auto"/>
            <w:noWrap/>
            <w:vAlign w:val="center"/>
          </w:tcPr>
          <w:p w14:paraId="3E94F26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0.51</w:t>
            </w:r>
          </w:p>
        </w:tc>
        <w:tc>
          <w:tcPr>
            <w:tcW w:w="924" w:type="pct"/>
            <w:vAlign w:val="center"/>
          </w:tcPr>
          <w:p w14:paraId="73237A4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0.33</w:t>
            </w:r>
          </w:p>
        </w:tc>
      </w:tr>
      <w:tr w:rsidR="009A36D2" w:rsidRPr="009A3489" w14:paraId="04F6FF54" w14:textId="77777777" w:rsidTr="00281A92">
        <w:trPr>
          <w:trHeight w:val="20"/>
          <w:jc w:val="center"/>
        </w:trPr>
        <w:tc>
          <w:tcPr>
            <w:tcW w:w="1293" w:type="pct"/>
            <w:shd w:val="clear" w:color="auto" w:fill="auto"/>
            <w:noWrap/>
            <w:vAlign w:val="bottom"/>
            <w:hideMark/>
          </w:tcPr>
          <w:p w14:paraId="723B41B8"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center"/>
          </w:tcPr>
          <w:p w14:paraId="66552721" w14:textId="77777777" w:rsidR="009A36D2" w:rsidRPr="009A3489" w:rsidRDefault="009A36D2" w:rsidP="00281A92">
            <w:pPr>
              <w:spacing w:before="0" w:after="0" w:line="240" w:lineRule="auto"/>
              <w:jc w:val="right"/>
              <w:rPr>
                <w:color w:val="000000"/>
                <w:sz w:val="22"/>
                <w:szCs w:val="22"/>
              </w:rPr>
            </w:pPr>
            <w:r w:rsidRPr="009A3489">
              <w:rPr>
                <w:color w:val="000000"/>
                <w:sz w:val="22"/>
                <w:szCs w:val="22"/>
              </w:rPr>
              <w:t>1.00</w:t>
            </w:r>
          </w:p>
        </w:tc>
        <w:tc>
          <w:tcPr>
            <w:tcW w:w="928" w:type="pct"/>
            <w:shd w:val="clear" w:color="auto" w:fill="auto"/>
            <w:noWrap/>
            <w:vAlign w:val="center"/>
          </w:tcPr>
          <w:p w14:paraId="6BCAFD6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0.80</w:t>
            </w:r>
          </w:p>
        </w:tc>
        <w:tc>
          <w:tcPr>
            <w:tcW w:w="928" w:type="pct"/>
            <w:shd w:val="clear" w:color="auto" w:fill="auto"/>
            <w:noWrap/>
            <w:vAlign w:val="center"/>
          </w:tcPr>
          <w:p w14:paraId="6568E94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0.56</w:t>
            </w:r>
          </w:p>
        </w:tc>
        <w:tc>
          <w:tcPr>
            <w:tcW w:w="924" w:type="pct"/>
            <w:vAlign w:val="center"/>
          </w:tcPr>
          <w:p w14:paraId="04CB43D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0.30</w:t>
            </w:r>
          </w:p>
        </w:tc>
      </w:tr>
      <w:tr w:rsidR="009A36D2" w:rsidRPr="009A3489" w14:paraId="2A905DE0" w14:textId="77777777" w:rsidTr="00281A92">
        <w:trPr>
          <w:trHeight w:val="20"/>
          <w:jc w:val="center"/>
        </w:trPr>
        <w:tc>
          <w:tcPr>
            <w:tcW w:w="1293" w:type="pct"/>
            <w:shd w:val="clear" w:color="auto" w:fill="auto"/>
            <w:noWrap/>
            <w:vAlign w:val="bottom"/>
            <w:hideMark/>
          </w:tcPr>
          <w:p w14:paraId="12ADFA08"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center"/>
          </w:tcPr>
          <w:p w14:paraId="375DC77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center"/>
          </w:tcPr>
          <w:p w14:paraId="23B91F4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8" w:type="pct"/>
            <w:shd w:val="clear" w:color="auto" w:fill="auto"/>
            <w:noWrap/>
            <w:vAlign w:val="center"/>
          </w:tcPr>
          <w:p w14:paraId="0FF1CFD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4" w:type="pct"/>
            <w:vAlign w:val="center"/>
          </w:tcPr>
          <w:p w14:paraId="4ABF5E4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0.31</w:t>
            </w:r>
          </w:p>
        </w:tc>
      </w:tr>
      <w:tr w:rsidR="009A36D2" w:rsidRPr="009A3489" w14:paraId="5E3273BF" w14:textId="77777777" w:rsidTr="00281A92">
        <w:trPr>
          <w:trHeight w:val="20"/>
          <w:jc w:val="center"/>
        </w:trPr>
        <w:tc>
          <w:tcPr>
            <w:tcW w:w="1293" w:type="pct"/>
            <w:shd w:val="clear" w:color="auto" w:fill="auto"/>
            <w:noWrap/>
            <w:vAlign w:val="bottom"/>
            <w:hideMark/>
          </w:tcPr>
          <w:p w14:paraId="7F6E27EC"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center"/>
          </w:tcPr>
          <w:p w14:paraId="3FFE88D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0.83</w:t>
            </w:r>
          </w:p>
        </w:tc>
        <w:tc>
          <w:tcPr>
            <w:tcW w:w="928" w:type="pct"/>
            <w:shd w:val="clear" w:color="auto" w:fill="auto"/>
            <w:noWrap/>
            <w:vAlign w:val="center"/>
          </w:tcPr>
          <w:p w14:paraId="22D5512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0.77</w:t>
            </w:r>
          </w:p>
        </w:tc>
        <w:tc>
          <w:tcPr>
            <w:tcW w:w="928" w:type="pct"/>
            <w:shd w:val="clear" w:color="auto" w:fill="auto"/>
            <w:noWrap/>
            <w:vAlign w:val="center"/>
          </w:tcPr>
          <w:p w14:paraId="6C96972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4" w:type="pct"/>
            <w:vAlign w:val="center"/>
          </w:tcPr>
          <w:p w14:paraId="6831EBD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0.46</w:t>
            </w:r>
          </w:p>
        </w:tc>
      </w:tr>
      <w:tr w:rsidR="009A36D2" w:rsidRPr="009A3489" w14:paraId="321E4560" w14:textId="77777777" w:rsidTr="00281A92">
        <w:trPr>
          <w:trHeight w:val="20"/>
          <w:jc w:val="center"/>
        </w:trPr>
        <w:tc>
          <w:tcPr>
            <w:tcW w:w="1293" w:type="pct"/>
            <w:shd w:val="clear" w:color="auto" w:fill="auto"/>
            <w:noWrap/>
            <w:vAlign w:val="bottom"/>
            <w:hideMark/>
          </w:tcPr>
          <w:p w14:paraId="508F46E5"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center"/>
          </w:tcPr>
          <w:p w14:paraId="239F973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0.91</w:t>
            </w:r>
          </w:p>
        </w:tc>
        <w:tc>
          <w:tcPr>
            <w:tcW w:w="928" w:type="pct"/>
            <w:shd w:val="clear" w:color="auto" w:fill="auto"/>
            <w:noWrap/>
            <w:vAlign w:val="center"/>
          </w:tcPr>
          <w:p w14:paraId="3C799CA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0.83</w:t>
            </w:r>
          </w:p>
        </w:tc>
        <w:tc>
          <w:tcPr>
            <w:tcW w:w="928" w:type="pct"/>
            <w:shd w:val="clear" w:color="auto" w:fill="auto"/>
            <w:noWrap/>
            <w:vAlign w:val="center"/>
          </w:tcPr>
          <w:p w14:paraId="207CAEC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c>
          <w:tcPr>
            <w:tcW w:w="924" w:type="pct"/>
            <w:vAlign w:val="center"/>
          </w:tcPr>
          <w:p w14:paraId="6A49F3E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r>
      <w:tr w:rsidR="009A36D2" w:rsidRPr="009A3489" w14:paraId="5F4B4EF8" w14:textId="77777777" w:rsidTr="00281A92">
        <w:trPr>
          <w:trHeight w:val="20"/>
          <w:jc w:val="center"/>
        </w:trPr>
        <w:tc>
          <w:tcPr>
            <w:tcW w:w="1293" w:type="pct"/>
            <w:shd w:val="clear" w:color="auto" w:fill="auto"/>
            <w:noWrap/>
            <w:vAlign w:val="bottom"/>
            <w:hideMark/>
          </w:tcPr>
          <w:p w14:paraId="4E583BA8"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center"/>
          </w:tcPr>
          <w:p w14:paraId="29F5765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0.87</w:t>
            </w:r>
          </w:p>
        </w:tc>
        <w:tc>
          <w:tcPr>
            <w:tcW w:w="928" w:type="pct"/>
            <w:shd w:val="clear" w:color="auto" w:fill="auto"/>
            <w:noWrap/>
            <w:vAlign w:val="center"/>
          </w:tcPr>
          <w:p w14:paraId="48C8FCE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0.67</w:t>
            </w:r>
          </w:p>
        </w:tc>
        <w:tc>
          <w:tcPr>
            <w:tcW w:w="928" w:type="pct"/>
            <w:shd w:val="clear" w:color="auto" w:fill="auto"/>
            <w:noWrap/>
            <w:vAlign w:val="center"/>
          </w:tcPr>
          <w:p w14:paraId="619B374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0.61</w:t>
            </w:r>
          </w:p>
        </w:tc>
        <w:tc>
          <w:tcPr>
            <w:tcW w:w="924" w:type="pct"/>
            <w:vAlign w:val="center"/>
          </w:tcPr>
          <w:p w14:paraId="1AA5A22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r>
      <w:tr w:rsidR="009A36D2" w:rsidRPr="009A3489" w14:paraId="61D24648" w14:textId="77777777" w:rsidTr="00281A92">
        <w:trPr>
          <w:trHeight w:val="20"/>
          <w:jc w:val="center"/>
        </w:trPr>
        <w:tc>
          <w:tcPr>
            <w:tcW w:w="1293" w:type="pct"/>
            <w:shd w:val="clear" w:color="auto" w:fill="auto"/>
            <w:noWrap/>
            <w:vAlign w:val="bottom"/>
            <w:hideMark/>
          </w:tcPr>
          <w:p w14:paraId="672169E4" w14:textId="77777777" w:rsidR="009A36D2" w:rsidRPr="009A3489" w:rsidRDefault="009A36D2" w:rsidP="00281A92">
            <w:pPr>
              <w:spacing w:before="0" w:after="0" w:line="240" w:lineRule="auto"/>
              <w:rPr>
                <w:color w:val="auto"/>
                <w:sz w:val="20"/>
                <w:szCs w:val="20"/>
              </w:rPr>
            </w:pPr>
            <w:r w:rsidRPr="009A3489">
              <w:rPr>
                <w:color w:val="auto"/>
                <w:sz w:val="20"/>
                <w:szCs w:val="20"/>
              </w:rPr>
              <w:t>16</w:t>
            </w:r>
          </w:p>
        </w:tc>
        <w:tc>
          <w:tcPr>
            <w:tcW w:w="927" w:type="pct"/>
            <w:shd w:val="clear" w:color="auto" w:fill="auto"/>
            <w:noWrap/>
            <w:vAlign w:val="center"/>
          </w:tcPr>
          <w:p w14:paraId="07E83BF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0.97</w:t>
            </w:r>
          </w:p>
        </w:tc>
        <w:tc>
          <w:tcPr>
            <w:tcW w:w="928" w:type="pct"/>
            <w:shd w:val="clear" w:color="auto" w:fill="auto"/>
            <w:noWrap/>
            <w:vAlign w:val="center"/>
          </w:tcPr>
          <w:p w14:paraId="7350B73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0.88</w:t>
            </w:r>
          </w:p>
        </w:tc>
        <w:tc>
          <w:tcPr>
            <w:tcW w:w="928" w:type="pct"/>
            <w:shd w:val="clear" w:color="auto" w:fill="auto"/>
            <w:noWrap/>
            <w:vAlign w:val="center"/>
          </w:tcPr>
          <w:p w14:paraId="7A92707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0.88</w:t>
            </w:r>
          </w:p>
        </w:tc>
        <w:tc>
          <w:tcPr>
            <w:tcW w:w="924" w:type="pct"/>
            <w:vAlign w:val="center"/>
          </w:tcPr>
          <w:p w14:paraId="5EF1157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r>
      <w:tr w:rsidR="009A36D2" w:rsidRPr="009A3489" w14:paraId="1809D56D" w14:textId="77777777" w:rsidTr="00281A92">
        <w:trPr>
          <w:trHeight w:val="20"/>
          <w:jc w:val="center"/>
        </w:trPr>
        <w:tc>
          <w:tcPr>
            <w:tcW w:w="1293" w:type="pct"/>
            <w:shd w:val="clear" w:color="auto" w:fill="auto"/>
            <w:noWrap/>
            <w:vAlign w:val="bottom"/>
            <w:hideMark/>
          </w:tcPr>
          <w:p w14:paraId="5ADF2B3F" w14:textId="77777777" w:rsidR="009A36D2" w:rsidRPr="009A3489" w:rsidRDefault="009A36D2" w:rsidP="00281A92">
            <w:pPr>
              <w:spacing w:before="0" w:after="0" w:line="240" w:lineRule="auto"/>
              <w:rPr>
                <w:color w:val="auto"/>
                <w:sz w:val="20"/>
                <w:szCs w:val="20"/>
              </w:rPr>
            </w:pPr>
            <w:r w:rsidRPr="009A3489">
              <w:rPr>
                <w:color w:val="auto"/>
                <w:sz w:val="20"/>
                <w:szCs w:val="20"/>
              </w:rPr>
              <w:t>17</w:t>
            </w:r>
          </w:p>
        </w:tc>
        <w:tc>
          <w:tcPr>
            <w:tcW w:w="927" w:type="pct"/>
            <w:shd w:val="clear" w:color="auto" w:fill="auto"/>
            <w:noWrap/>
            <w:vAlign w:val="center"/>
          </w:tcPr>
          <w:p w14:paraId="3E8AE9B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0.69</w:t>
            </w:r>
          </w:p>
        </w:tc>
        <w:tc>
          <w:tcPr>
            <w:tcW w:w="928" w:type="pct"/>
            <w:shd w:val="clear" w:color="auto" w:fill="auto"/>
            <w:noWrap/>
            <w:vAlign w:val="center"/>
          </w:tcPr>
          <w:p w14:paraId="7235563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0.59</w:t>
            </w:r>
          </w:p>
        </w:tc>
        <w:tc>
          <w:tcPr>
            <w:tcW w:w="928" w:type="pct"/>
            <w:shd w:val="clear" w:color="auto" w:fill="auto"/>
            <w:noWrap/>
            <w:vAlign w:val="center"/>
          </w:tcPr>
          <w:p w14:paraId="033A61E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0.45</w:t>
            </w:r>
          </w:p>
        </w:tc>
        <w:tc>
          <w:tcPr>
            <w:tcW w:w="924" w:type="pct"/>
            <w:vAlign w:val="center"/>
          </w:tcPr>
          <w:p w14:paraId="71CB1C4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0.38</w:t>
            </w:r>
          </w:p>
        </w:tc>
      </w:tr>
      <w:tr w:rsidR="009A36D2" w:rsidRPr="009A3489" w14:paraId="0200E23D" w14:textId="77777777" w:rsidTr="00281A92">
        <w:trPr>
          <w:trHeight w:val="20"/>
          <w:jc w:val="center"/>
        </w:trPr>
        <w:tc>
          <w:tcPr>
            <w:tcW w:w="1293" w:type="pct"/>
            <w:shd w:val="clear" w:color="auto" w:fill="auto"/>
            <w:noWrap/>
            <w:vAlign w:val="bottom"/>
            <w:hideMark/>
          </w:tcPr>
          <w:p w14:paraId="4C4D6F2B" w14:textId="77777777" w:rsidR="009A36D2" w:rsidRPr="009A3489" w:rsidRDefault="009A36D2" w:rsidP="00281A92">
            <w:pPr>
              <w:spacing w:before="0" w:after="0" w:line="240" w:lineRule="auto"/>
              <w:rPr>
                <w:color w:val="auto"/>
                <w:sz w:val="20"/>
                <w:szCs w:val="20"/>
              </w:rPr>
            </w:pPr>
            <w:r w:rsidRPr="009A3489">
              <w:rPr>
                <w:color w:val="auto"/>
                <w:sz w:val="20"/>
                <w:szCs w:val="20"/>
              </w:rPr>
              <w:t>18</w:t>
            </w:r>
          </w:p>
        </w:tc>
        <w:tc>
          <w:tcPr>
            <w:tcW w:w="927" w:type="pct"/>
            <w:shd w:val="clear" w:color="auto" w:fill="auto"/>
            <w:noWrap/>
            <w:vAlign w:val="center"/>
          </w:tcPr>
          <w:p w14:paraId="51AEA3C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c>
          <w:tcPr>
            <w:tcW w:w="928" w:type="pct"/>
            <w:shd w:val="clear" w:color="auto" w:fill="auto"/>
            <w:noWrap/>
            <w:vAlign w:val="center"/>
          </w:tcPr>
          <w:p w14:paraId="33CDFD5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0.78</w:t>
            </w:r>
          </w:p>
        </w:tc>
        <w:tc>
          <w:tcPr>
            <w:tcW w:w="928" w:type="pct"/>
            <w:shd w:val="clear" w:color="auto" w:fill="auto"/>
            <w:noWrap/>
            <w:vAlign w:val="center"/>
          </w:tcPr>
          <w:p w14:paraId="007D73C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0.58</w:t>
            </w:r>
          </w:p>
        </w:tc>
        <w:tc>
          <w:tcPr>
            <w:tcW w:w="924" w:type="pct"/>
            <w:vAlign w:val="center"/>
          </w:tcPr>
          <w:p w14:paraId="67CEC24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0.40</w:t>
            </w:r>
          </w:p>
        </w:tc>
      </w:tr>
      <w:tr w:rsidR="009A36D2" w:rsidRPr="009A3489" w14:paraId="269C259C" w14:textId="77777777" w:rsidTr="00281A92">
        <w:trPr>
          <w:trHeight w:val="20"/>
          <w:jc w:val="center"/>
        </w:trPr>
        <w:tc>
          <w:tcPr>
            <w:tcW w:w="1293" w:type="pct"/>
            <w:shd w:val="clear" w:color="auto" w:fill="auto"/>
            <w:noWrap/>
            <w:vAlign w:val="bottom"/>
            <w:hideMark/>
          </w:tcPr>
          <w:p w14:paraId="76F3EA11" w14:textId="77777777" w:rsidR="009A36D2" w:rsidRPr="009A3489" w:rsidRDefault="009A36D2" w:rsidP="00281A92">
            <w:pPr>
              <w:spacing w:before="0" w:after="0" w:line="240" w:lineRule="auto"/>
              <w:rPr>
                <w:color w:val="auto"/>
                <w:sz w:val="20"/>
                <w:szCs w:val="20"/>
              </w:rPr>
            </w:pPr>
            <w:r w:rsidRPr="009A3489">
              <w:rPr>
                <w:color w:val="auto"/>
                <w:sz w:val="20"/>
                <w:szCs w:val="20"/>
              </w:rPr>
              <w:t>19</w:t>
            </w:r>
          </w:p>
        </w:tc>
        <w:tc>
          <w:tcPr>
            <w:tcW w:w="927" w:type="pct"/>
            <w:shd w:val="clear" w:color="auto" w:fill="auto"/>
            <w:noWrap/>
            <w:vAlign w:val="center"/>
          </w:tcPr>
          <w:p w14:paraId="066778F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0.84</w:t>
            </w:r>
          </w:p>
        </w:tc>
        <w:tc>
          <w:tcPr>
            <w:tcW w:w="928" w:type="pct"/>
            <w:shd w:val="clear" w:color="auto" w:fill="auto"/>
            <w:noWrap/>
            <w:vAlign w:val="center"/>
          </w:tcPr>
          <w:p w14:paraId="4A97ECE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c>
          <w:tcPr>
            <w:tcW w:w="928" w:type="pct"/>
            <w:shd w:val="clear" w:color="auto" w:fill="auto"/>
            <w:noWrap/>
            <w:vAlign w:val="center"/>
          </w:tcPr>
          <w:p w14:paraId="41681F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0.56</w:t>
            </w:r>
          </w:p>
        </w:tc>
        <w:tc>
          <w:tcPr>
            <w:tcW w:w="924" w:type="pct"/>
            <w:vAlign w:val="center"/>
          </w:tcPr>
          <w:p w14:paraId="52912DF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r>
      <w:tr w:rsidR="009A36D2" w:rsidRPr="009A3489" w14:paraId="5F1389D1" w14:textId="77777777" w:rsidTr="00281A92">
        <w:trPr>
          <w:trHeight w:val="20"/>
          <w:jc w:val="center"/>
        </w:trPr>
        <w:tc>
          <w:tcPr>
            <w:tcW w:w="1293" w:type="pct"/>
            <w:shd w:val="clear" w:color="auto" w:fill="auto"/>
            <w:noWrap/>
            <w:vAlign w:val="bottom"/>
            <w:hideMark/>
          </w:tcPr>
          <w:p w14:paraId="4F5B87D8" w14:textId="77777777" w:rsidR="009A36D2" w:rsidRPr="009A3489" w:rsidRDefault="009A36D2" w:rsidP="00281A92">
            <w:pPr>
              <w:spacing w:before="0" w:after="0" w:line="240" w:lineRule="auto"/>
              <w:rPr>
                <w:color w:val="auto"/>
                <w:sz w:val="20"/>
                <w:szCs w:val="20"/>
              </w:rPr>
            </w:pPr>
            <w:r w:rsidRPr="009A3489">
              <w:rPr>
                <w:color w:val="auto"/>
                <w:sz w:val="20"/>
                <w:szCs w:val="20"/>
              </w:rPr>
              <w:t>20</w:t>
            </w:r>
          </w:p>
        </w:tc>
        <w:tc>
          <w:tcPr>
            <w:tcW w:w="927" w:type="pct"/>
            <w:shd w:val="clear" w:color="auto" w:fill="auto"/>
            <w:noWrap/>
            <w:vAlign w:val="center"/>
          </w:tcPr>
          <w:p w14:paraId="05774FD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0.90</w:t>
            </w:r>
          </w:p>
        </w:tc>
        <w:tc>
          <w:tcPr>
            <w:tcW w:w="928" w:type="pct"/>
            <w:shd w:val="clear" w:color="auto" w:fill="auto"/>
            <w:noWrap/>
            <w:vAlign w:val="center"/>
          </w:tcPr>
          <w:p w14:paraId="4D3E09C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0.89</w:t>
            </w:r>
          </w:p>
        </w:tc>
        <w:tc>
          <w:tcPr>
            <w:tcW w:w="928" w:type="pct"/>
            <w:shd w:val="clear" w:color="auto" w:fill="auto"/>
            <w:noWrap/>
            <w:vAlign w:val="center"/>
          </w:tcPr>
          <w:p w14:paraId="6009CC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4" w:type="pct"/>
            <w:vAlign w:val="center"/>
          </w:tcPr>
          <w:p w14:paraId="72FC960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r>
      <w:tr w:rsidR="009A36D2" w:rsidRPr="009A3489" w14:paraId="62A57913" w14:textId="77777777" w:rsidTr="00281A92">
        <w:trPr>
          <w:trHeight w:val="20"/>
          <w:jc w:val="center"/>
        </w:trPr>
        <w:tc>
          <w:tcPr>
            <w:tcW w:w="1293" w:type="pct"/>
            <w:shd w:val="clear" w:color="auto" w:fill="auto"/>
            <w:noWrap/>
            <w:vAlign w:val="bottom"/>
            <w:hideMark/>
          </w:tcPr>
          <w:p w14:paraId="0B9AEEAC" w14:textId="77777777" w:rsidR="009A36D2" w:rsidRPr="009A3489" w:rsidRDefault="009A36D2" w:rsidP="00281A92">
            <w:pPr>
              <w:spacing w:before="0" w:after="0" w:line="240" w:lineRule="auto"/>
              <w:rPr>
                <w:color w:val="auto"/>
                <w:sz w:val="20"/>
                <w:szCs w:val="20"/>
              </w:rPr>
            </w:pPr>
            <w:r w:rsidRPr="009A3489">
              <w:rPr>
                <w:color w:val="auto"/>
                <w:sz w:val="20"/>
                <w:szCs w:val="20"/>
              </w:rPr>
              <w:t>21</w:t>
            </w:r>
          </w:p>
        </w:tc>
        <w:tc>
          <w:tcPr>
            <w:tcW w:w="927" w:type="pct"/>
            <w:shd w:val="clear" w:color="auto" w:fill="auto"/>
            <w:noWrap/>
            <w:vAlign w:val="center"/>
          </w:tcPr>
          <w:p w14:paraId="51C2E47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0.85</w:t>
            </w:r>
          </w:p>
        </w:tc>
        <w:tc>
          <w:tcPr>
            <w:tcW w:w="928" w:type="pct"/>
            <w:shd w:val="clear" w:color="auto" w:fill="auto"/>
            <w:noWrap/>
            <w:vAlign w:val="center"/>
          </w:tcPr>
          <w:p w14:paraId="3CC4B5D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0.67</w:t>
            </w:r>
          </w:p>
        </w:tc>
        <w:tc>
          <w:tcPr>
            <w:tcW w:w="928" w:type="pct"/>
            <w:shd w:val="clear" w:color="auto" w:fill="auto"/>
            <w:noWrap/>
            <w:vAlign w:val="center"/>
          </w:tcPr>
          <w:p w14:paraId="618049C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0.48</w:t>
            </w:r>
          </w:p>
        </w:tc>
        <w:tc>
          <w:tcPr>
            <w:tcW w:w="924" w:type="pct"/>
            <w:vAlign w:val="center"/>
          </w:tcPr>
          <w:p w14:paraId="119A2C6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r>
      <w:tr w:rsidR="009A36D2" w:rsidRPr="009A3489" w14:paraId="74F51513" w14:textId="77777777" w:rsidTr="00281A92">
        <w:trPr>
          <w:trHeight w:val="20"/>
          <w:jc w:val="center"/>
        </w:trPr>
        <w:tc>
          <w:tcPr>
            <w:tcW w:w="1293" w:type="pct"/>
            <w:shd w:val="clear" w:color="auto" w:fill="auto"/>
            <w:noWrap/>
            <w:vAlign w:val="bottom"/>
            <w:hideMark/>
          </w:tcPr>
          <w:p w14:paraId="0122C711" w14:textId="77777777" w:rsidR="009A36D2" w:rsidRPr="009A3489" w:rsidRDefault="009A36D2" w:rsidP="00281A92">
            <w:pPr>
              <w:spacing w:before="0" w:after="0" w:line="240" w:lineRule="auto"/>
              <w:rPr>
                <w:color w:val="auto"/>
                <w:sz w:val="20"/>
                <w:szCs w:val="20"/>
              </w:rPr>
            </w:pPr>
            <w:r w:rsidRPr="009A3489">
              <w:rPr>
                <w:color w:val="auto"/>
                <w:sz w:val="20"/>
                <w:szCs w:val="20"/>
              </w:rPr>
              <w:t>22</w:t>
            </w:r>
          </w:p>
        </w:tc>
        <w:tc>
          <w:tcPr>
            <w:tcW w:w="927" w:type="pct"/>
            <w:shd w:val="clear" w:color="auto" w:fill="auto"/>
            <w:noWrap/>
            <w:vAlign w:val="center"/>
          </w:tcPr>
          <w:p w14:paraId="2E3B7FA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0.87</w:t>
            </w:r>
          </w:p>
        </w:tc>
        <w:tc>
          <w:tcPr>
            <w:tcW w:w="928" w:type="pct"/>
            <w:shd w:val="clear" w:color="auto" w:fill="auto"/>
            <w:noWrap/>
            <w:vAlign w:val="center"/>
          </w:tcPr>
          <w:p w14:paraId="3B9C6D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0.72</w:t>
            </w:r>
          </w:p>
        </w:tc>
        <w:tc>
          <w:tcPr>
            <w:tcW w:w="928" w:type="pct"/>
            <w:shd w:val="clear" w:color="auto" w:fill="auto"/>
            <w:noWrap/>
            <w:vAlign w:val="center"/>
          </w:tcPr>
          <w:p w14:paraId="7B1BF29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0.47</w:t>
            </w:r>
          </w:p>
        </w:tc>
        <w:tc>
          <w:tcPr>
            <w:tcW w:w="924" w:type="pct"/>
            <w:vAlign w:val="center"/>
          </w:tcPr>
          <w:p w14:paraId="7A35972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0.26</w:t>
            </w:r>
          </w:p>
        </w:tc>
      </w:tr>
      <w:tr w:rsidR="009A36D2" w:rsidRPr="009A3489" w14:paraId="11D6F06B" w14:textId="77777777" w:rsidTr="00281A92">
        <w:trPr>
          <w:trHeight w:val="20"/>
          <w:jc w:val="center"/>
        </w:trPr>
        <w:tc>
          <w:tcPr>
            <w:tcW w:w="1293" w:type="pct"/>
            <w:shd w:val="clear" w:color="auto" w:fill="auto"/>
            <w:noWrap/>
            <w:vAlign w:val="bottom"/>
            <w:hideMark/>
          </w:tcPr>
          <w:p w14:paraId="79366C9D" w14:textId="77777777" w:rsidR="009A36D2" w:rsidRPr="009A3489" w:rsidRDefault="009A36D2" w:rsidP="00281A92">
            <w:pPr>
              <w:spacing w:before="0" w:after="0" w:line="240" w:lineRule="auto"/>
              <w:rPr>
                <w:color w:val="auto"/>
                <w:sz w:val="20"/>
                <w:szCs w:val="20"/>
              </w:rPr>
            </w:pPr>
            <w:r w:rsidRPr="009A3489">
              <w:rPr>
                <w:color w:val="auto"/>
                <w:sz w:val="20"/>
                <w:szCs w:val="20"/>
              </w:rPr>
              <w:t>23</w:t>
            </w:r>
          </w:p>
        </w:tc>
        <w:tc>
          <w:tcPr>
            <w:tcW w:w="927" w:type="pct"/>
            <w:shd w:val="clear" w:color="auto" w:fill="auto"/>
            <w:noWrap/>
            <w:vAlign w:val="center"/>
          </w:tcPr>
          <w:p w14:paraId="37F1C6D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0.86</w:t>
            </w:r>
          </w:p>
        </w:tc>
        <w:tc>
          <w:tcPr>
            <w:tcW w:w="928" w:type="pct"/>
            <w:shd w:val="clear" w:color="auto" w:fill="auto"/>
            <w:noWrap/>
            <w:vAlign w:val="center"/>
          </w:tcPr>
          <w:p w14:paraId="5165C6B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0.74</w:t>
            </w:r>
          </w:p>
        </w:tc>
        <w:tc>
          <w:tcPr>
            <w:tcW w:w="928" w:type="pct"/>
            <w:shd w:val="clear" w:color="auto" w:fill="auto"/>
            <w:noWrap/>
            <w:vAlign w:val="center"/>
          </w:tcPr>
          <w:p w14:paraId="48849B6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4" w:type="pct"/>
            <w:vAlign w:val="center"/>
          </w:tcPr>
          <w:p w14:paraId="224A276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0.42</w:t>
            </w:r>
          </w:p>
        </w:tc>
      </w:tr>
      <w:tr w:rsidR="009A36D2" w:rsidRPr="009A3489" w14:paraId="44B5ACCB" w14:textId="77777777" w:rsidTr="00281A92">
        <w:trPr>
          <w:trHeight w:val="20"/>
          <w:jc w:val="center"/>
        </w:trPr>
        <w:tc>
          <w:tcPr>
            <w:tcW w:w="1293" w:type="pct"/>
            <w:shd w:val="clear" w:color="auto" w:fill="auto"/>
            <w:noWrap/>
            <w:vAlign w:val="bottom"/>
            <w:hideMark/>
          </w:tcPr>
          <w:p w14:paraId="7DD1E35A"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780BF385"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0.82</w:t>
            </w:r>
          </w:p>
        </w:tc>
        <w:tc>
          <w:tcPr>
            <w:tcW w:w="928" w:type="pct"/>
            <w:shd w:val="clear" w:color="auto" w:fill="auto"/>
            <w:noWrap/>
            <w:vAlign w:val="bottom"/>
          </w:tcPr>
          <w:p w14:paraId="7D8A3105"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0.73</w:t>
            </w:r>
          </w:p>
        </w:tc>
        <w:tc>
          <w:tcPr>
            <w:tcW w:w="928" w:type="pct"/>
            <w:shd w:val="clear" w:color="auto" w:fill="auto"/>
            <w:noWrap/>
            <w:vAlign w:val="bottom"/>
          </w:tcPr>
          <w:p w14:paraId="398788D3"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0.56</w:t>
            </w:r>
          </w:p>
        </w:tc>
        <w:tc>
          <w:tcPr>
            <w:tcW w:w="924" w:type="pct"/>
            <w:vAlign w:val="bottom"/>
          </w:tcPr>
          <w:p w14:paraId="1F98D1C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0.42</w:t>
            </w:r>
          </w:p>
        </w:tc>
      </w:tr>
      <w:tr w:rsidR="009A36D2" w:rsidRPr="009A3489" w14:paraId="13C6D48F" w14:textId="77777777" w:rsidTr="00281A92">
        <w:trPr>
          <w:trHeight w:val="20"/>
          <w:jc w:val="center"/>
        </w:trPr>
        <w:tc>
          <w:tcPr>
            <w:tcW w:w="1293" w:type="pct"/>
            <w:shd w:val="clear" w:color="auto" w:fill="auto"/>
            <w:noWrap/>
            <w:vAlign w:val="bottom"/>
          </w:tcPr>
          <w:p w14:paraId="08B2C33D"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4CF8A652"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0.10</w:t>
            </w:r>
          </w:p>
        </w:tc>
        <w:tc>
          <w:tcPr>
            <w:tcW w:w="928" w:type="pct"/>
            <w:shd w:val="clear" w:color="auto" w:fill="auto"/>
            <w:noWrap/>
            <w:vAlign w:val="bottom"/>
          </w:tcPr>
          <w:p w14:paraId="7A11633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0.09</w:t>
            </w:r>
          </w:p>
        </w:tc>
        <w:tc>
          <w:tcPr>
            <w:tcW w:w="928" w:type="pct"/>
            <w:shd w:val="clear" w:color="auto" w:fill="auto"/>
            <w:noWrap/>
            <w:vAlign w:val="bottom"/>
          </w:tcPr>
          <w:p w14:paraId="081917F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0.15</w:t>
            </w:r>
          </w:p>
        </w:tc>
        <w:tc>
          <w:tcPr>
            <w:tcW w:w="924" w:type="pct"/>
            <w:vAlign w:val="bottom"/>
          </w:tcPr>
          <w:p w14:paraId="45BA366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0.10</w:t>
            </w:r>
          </w:p>
        </w:tc>
      </w:tr>
      <w:tr w:rsidR="009A36D2" w:rsidRPr="009A3489" w14:paraId="0548D56E" w14:textId="77777777" w:rsidTr="00281A92">
        <w:trPr>
          <w:trHeight w:val="20"/>
          <w:jc w:val="center"/>
        </w:trPr>
        <w:tc>
          <w:tcPr>
            <w:tcW w:w="5000" w:type="pct"/>
            <w:gridSpan w:val="5"/>
            <w:shd w:val="clear" w:color="auto" w:fill="D9D9D9" w:themeFill="background1" w:themeFillShade="D9"/>
            <w:noWrap/>
            <w:vAlign w:val="bottom"/>
          </w:tcPr>
          <w:p w14:paraId="4DD52713"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Middle (40-59 years old)</w:t>
            </w:r>
          </w:p>
        </w:tc>
      </w:tr>
      <w:tr w:rsidR="009A36D2" w:rsidRPr="009A3489" w14:paraId="44BCE55C" w14:textId="77777777" w:rsidTr="00281A92">
        <w:trPr>
          <w:trHeight w:val="20"/>
          <w:jc w:val="center"/>
        </w:trPr>
        <w:tc>
          <w:tcPr>
            <w:tcW w:w="1293" w:type="pct"/>
            <w:tcBorders>
              <w:tl2br w:val="single" w:sz="4" w:space="0" w:color="auto"/>
            </w:tcBorders>
            <w:shd w:val="clear" w:color="auto" w:fill="auto"/>
            <w:hideMark/>
          </w:tcPr>
          <w:p w14:paraId="5630820D"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1DFA0331" w14:textId="77777777" w:rsidR="009A36D2" w:rsidRPr="009A3489" w:rsidRDefault="009A36D2" w:rsidP="00281A92">
            <w:pPr>
              <w:spacing w:before="0" w:after="0" w:line="240" w:lineRule="auto"/>
              <w:rPr>
                <w:color w:val="auto"/>
                <w:sz w:val="20"/>
                <w:szCs w:val="20"/>
              </w:rPr>
            </w:pPr>
          </w:p>
          <w:p w14:paraId="1B5939CE"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490B66DB"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5575C34A"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21D1BEA8"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068C0588"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05E5DA50" w14:textId="77777777" w:rsidTr="00281A92">
        <w:trPr>
          <w:trHeight w:val="20"/>
          <w:jc w:val="center"/>
        </w:trPr>
        <w:tc>
          <w:tcPr>
            <w:tcW w:w="1293" w:type="pct"/>
            <w:shd w:val="clear" w:color="auto" w:fill="auto"/>
            <w:noWrap/>
            <w:vAlign w:val="bottom"/>
            <w:hideMark/>
          </w:tcPr>
          <w:p w14:paraId="1DB7C1AE"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2D8E001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8" w:type="pct"/>
            <w:shd w:val="clear" w:color="auto" w:fill="auto"/>
            <w:noWrap/>
            <w:vAlign w:val="bottom"/>
          </w:tcPr>
          <w:p w14:paraId="3BA6179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8" w:type="pct"/>
            <w:shd w:val="clear" w:color="auto" w:fill="auto"/>
            <w:noWrap/>
            <w:vAlign w:val="bottom"/>
          </w:tcPr>
          <w:p w14:paraId="6DE4069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0.31</w:t>
            </w:r>
          </w:p>
        </w:tc>
        <w:tc>
          <w:tcPr>
            <w:tcW w:w="924" w:type="pct"/>
            <w:vAlign w:val="bottom"/>
          </w:tcPr>
          <w:p w14:paraId="5FDEEAE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0.25</w:t>
            </w:r>
          </w:p>
        </w:tc>
      </w:tr>
      <w:tr w:rsidR="009A36D2" w:rsidRPr="009A3489" w14:paraId="3F8F4382" w14:textId="77777777" w:rsidTr="00281A92">
        <w:trPr>
          <w:trHeight w:val="20"/>
          <w:jc w:val="center"/>
        </w:trPr>
        <w:tc>
          <w:tcPr>
            <w:tcW w:w="1293" w:type="pct"/>
            <w:shd w:val="clear" w:color="auto" w:fill="auto"/>
            <w:noWrap/>
            <w:vAlign w:val="bottom"/>
            <w:hideMark/>
          </w:tcPr>
          <w:p w14:paraId="5DF4EC5A"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bottom"/>
          </w:tcPr>
          <w:p w14:paraId="181C28D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bottom"/>
          </w:tcPr>
          <w:p w14:paraId="0B587CE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5CBC82D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4" w:type="pct"/>
            <w:vAlign w:val="bottom"/>
          </w:tcPr>
          <w:p w14:paraId="46F4FCB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0.19</w:t>
            </w:r>
          </w:p>
        </w:tc>
      </w:tr>
      <w:tr w:rsidR="009A36D2" w:rsidRPr="009A3489" w14:paraId="7B28DC0F" w14:textId="77777777" w:rsidTr="00281A92">
        <w:trPr>
          <w:trHeight w:val="20"/>
          <w:jc w:val="center"/>
        </w:trPr>
        <w:tc>
          <w:tcPr>
            <w:tcW w:w="1293" w:type="pct"/>
            <w:shd w:val="clear" w:color="auto" w:fill="auto"/>
            <w:noWrap/>
            <w:vAlign w:val="bottom"/>
            <w:hideMark/>
          </w:tcPr>
          <w:p w14:paraId="761D9BF4"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68F4D5A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13B544C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0.58</w:t>
            </w:r>
          </w:p>
        </w:tc>
        <w:tc>
          <w:tcPr>
            <w:tcW w:w="928" w:type="pct"/>
            <w:shd w:val="clear" w:color="auto" w:fill="auto"/>
            <w:noWrap/>
            <w:vAlign w:val="bottom"/>
          </w:tcPr>
          <w:p w14:paraId="2C1D643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0.20</w:t>
            </w:r>
          </w:p>
        </w:tc>
        <w:tc>
          <w:tcPr>
            <w:tcW w:w="924" w:type="pct"/>
            <w:vAlign w:val="bottom"/>
          </w:tcPr>
          <w:p w14:paraId="7E9A292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0.14</w:t>
            </w:r>
          </w:p>
        </w:tc>
      </w:tr>
      <w:tr w:rsidR="009A36D2" w:rsidRPr="009A3489" w14:paraId="01027D72" w14:textId="77777777" w:rsidTr="00281A92">
        <w:trPr>
          <w:trHeight w:val="20"/>
          <w:jc w:val="center"/>
        </w:trPr>
        <w:tc>
          <w:tcPr>
            <w:tcW w:w="1293" w:type="pct"/>
            <w:shd w:val="clear" w:color="auto" w:fill="auto"/>
            <w:noWrap/>
            <w:vAlign w:val="bottom"/>
            <w:hideMark/>
          </w:tcPr>
          <w:p w14:paraId="698F1C10"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3234925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0.90</w:t>
            </w:r>
          </w:p>
        </w:tc>
        <w:tc>
          <w:tcPr>
            <w:tcW w:w="928" w:type="pct"/>
            <w:shd w:val="clear" w:color="auto" w:fill="auto"/>
            <w:noWrap/>
            <w:vAlign w:val="bottom"/>
          </w:tcPr>
          <w:p w14:paraId="25DDF49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0.87</w:t>
            </w:r>
          </w:p>
        </w:tc>
        <w:tc>
          <w:tcPr>
            <w:tcW w:w="928" w:type="pct"/>
            <w:shd w:val="clear" w:color="auto" w:fill="auto"/>
            <w:noWrap/>
            <w:vAlign w:val="bottom"/>
          </w:tcPr>
          <w:p w14:paraId="4EFDCD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0.74</w:t>
            </w:r>
          </w:p>
        </w:tc>
        <w:tc>
          <w:tcPr>
            <w:tcW w:w="924" w:type="pct"/>
            <w:vAlign w:val="bottom"/>
          </w:tcPr>
          <w:p w14:paraId="79C4767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r>
      <w:tr w:rsidR="009A36D2" w:rsidRPr="009A3489" w14:paraId="46FF704E" w14:textId="77777777" w:rsidTr="00281A92">
        <w:trPr>
          <w:trHeight w:val="20"/>
          <w:jc w:val="center"/>
        </w:trPr>
        <w:tc>
          <w:tcPr>
            <w:tcW w:w="1293" w:type="pct"/>
            <w:shd w:val="clear" w:color="auto" w:fill="auto"/>
            <w:noWrap/>
            <w:vAlign w:val="bottom"/>
            <w:hideMark/>
          </w:tcPr>
          <w:p w14:paraId="57931E68"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42026B2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bottom"/>
          </w:tcPr>
          <w:p w14:paraId="71D48CC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8" w:type="pct"/>
            <w:shd w:val="clear" w:color="auto" w:fill="auto"/>
            <w:noWrap/>
            <w:vAlign w:val="bottom"/>
          </w:tcPr>
          <w:p w14:paraId="0229AC8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0.35</w:t>
            </w:r>
          </w:p>
        </w:tc>
        <w:tc>
          <w:tcPr>
            <w:tcW w:w="924" w:type="pct"/>
            <w:vAlign w:val="bottom"/>
          </w:tcPr>
          <w:p w14:paraId="13CD534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0.26</w:t>
            </w:r>
          </w:p>
        </w:tc>
      </w:tr>
      <w:tr w:rsidR="009A36D2" w:rsidRPr="009A3489" w14:paraId="24E63CC1" w14:textId="77777777" w:rsidTr="00281A92">
        <w:trPr>
          <w:trHeight w:val="20"/>
          <w:jc w:val="center"/>
        </w:trPr>
        <w:tc>
          <w:tcPr>
            <w:tcW w:w="1293" w:type="pct"/>
            <w:shd w:val="clear" w:color="auto" w:fill="auto"/>
            <w:noWrap/>
            <w:vAlign w:val="bottom"/>
            <w:hideMark/>
          </w:tcPr>
          <w:p w14:paraId="508437B4"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7B59C64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0.88</w:t>
            </w:r>
          </w:p>
        </w:tc>
        <w:tc>
          <w:tcPr>
            <w:tcW w:w="928" w:type="pct"/>
            <w:shd w:val="clear" w:color="auto" w:fill="auto"/>
            <w:noWrap/>
            <w:vAlign w:val="bottom"/>
          </w:tcPr>
          <w:p w14:paraId="3E18CCD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0.88</w:t>
            </w:r>
          </w:p>
        </w:tc>
        <w:tc>
          <w:tcPr>
            <w:tcW w:w="928" w:type="pct"/>
            <w:shd w:val="clear" w:color="auto" w:fill="auto"/>
            <w:noWrap/>
            <w:vAlign w:val="bottom"/>
          </w:tcPr>
          <w:p w14:paraId="58762FC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0.54</w:t>
            </w:r>
          </w:p>
        </w:tc>
        <w:tc>
          <w:tcPr>
            <w:tcW w:w="924" w:type="pct"/>
            <w:vAlign w:val="bottom"/>
          </w:tcPr>
          <w:p w14:paraId="4914254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0.57</w:t>
            </w:r>
          </w:p>
        </w:tc>
      </w:tr>
      <w:tr w:rsidR="009A36D2" w:rsidRPr="009A3489" w14:paraId="18000763" w14:textId="77777777" w:rsidTr="00281A92">
        <w:trPr>
          <w:trHeight w:val="20"/>
          <w:jc w:val="center"/>
        </w:trPr>
        <w:tc>
          <w:tcPr>
            <w:tcW w:w="1293" w:type="pct"/>
            <w:shd w:val="clear" w:color="auto" w:fill="auto"/>
            <w:noWrap/>
            <w:vAlign w:val="bottom"/>
            <w:hideMark/>
          </w:tcPr>
          <w:p w14:paraId="2FB5818B"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61378BA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bottom"/>
          </w:tcPr>
          <w:p w14:paraId="2AF4B36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0.65</w:t>
            </w:r>
          </w:p>
        </w:tc>
        <w:tc>
          <w:tcPr>
            <w:tcW w:w="928" w:type="pct"/>
            <w:shd w:val="clear" w:color="auto" w:fill="auto"/>
            <w:noWrap/>
            <w:vAlign w:val="bottom"/>
          </w:tcPr>
          <w:p w14:paraId="089318F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0.53</w:t>
            </w:r>
          </w:p>
        </w:tc>
        <w:tc>
          <w:tcPr>
            <w:tcW w:w="924" w:type="pct"/>
            <w:vAlign w:val="bottom"/>
          </w:tcPr>
          <w:p w14:paraId="0E31651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0.48</w:t>
            </w:r>
          </w:p>
        </w:tc>
      </w:tr>
      <w:tr w:rsidR="009A36D2" w:rsidRPr="009A3489" w14:paraId="478B7722" w14:textId="77777777" w:rsidTr="00281A92">
        <w:trPr>
          <w:trHeight w:val="20"/>
          <w:jc w:val="center"/>
        </w:trPr>
        <w:tc>
          <w:tcPr>
            <w:tcW w:w="1293" w:type="pct"/>
            <w:shd w:val="clear" w:color="auto" w:fill="auto"/>
            <w:noWrap/>
            <w:vAlign w:val="bottom"/>
            <w:hideMark/>
          </w:tcPr>
          <w:p w14:paraId="5428273F"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2376844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bottom"/>
          </w:tcPr>
          <w:p w14:paraId="14BCD92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2BE38CB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4" w:type="pct"/>
            <w:vAlign w:val="bottom"/>
          </w:tcPr>
          <w:p w14:paraId="53999F9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0.61</w:t>
            </w:r>
          </w:p>
        </w:tc>
      </w:tr>
      <w:tr w:rsidR="009A36D2" w:rsidRPr="009A3489" w14:paraId="6B529551" w14:textId="77777777" w:rsidTr="00281A92">
        <w:trPr>
          <w:trHeight w:val="20"/>
          <w:jc w:val="center"/>
        </w:trPr>
        <w:tc>
          <w:tcPr>
            <w:tcW w:w="1293" w:type="pct"/>
            <w:shd w:val="clear" w:color="auto" w:fill="auto"/>
            <w:noWrap/>
            <w:vAlign w:val="bottom"/>
            <w:hideMark/>
          </w:tcPr>
          <w:p w14:paraId="4C663E0D"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0967456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0.86</w:t>
            </w:r>
          </w:p>
        </w:tc>
        <w:tc>
          <w:tcPr>
            <w:tcW w:w="928" w:type="pct"/>
            <w:shd w:val="clear" w:color="auto" w:fill="auto"/>
            <w:noWrap/>
            <w:vAlign w:val="bottom"/>
          </w:tcPr>
          <w:p w14:paraId="59DD46B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0.99</w:t>
            </w:r>
          </w:p>
        </w:tc>
        <w:tc>
          <w:tcPr>
            <w:tcW w:w="928" w:type="pct"/>
            <w:shd w:val="clear" w:color="auto" w:fill="auto"/>
            <w:noWrap/>
            <w:vAlign w:val="bottom"/>
          </w:tcPr>
          <w:p w14:paraId="18EFE32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0.94</w:t>
            </w:r>
          </w:p>
        </w:tc>
        <w:tc>
          <w:tcPr>
            <w:tcW w:w="924" w:type="pct"/>
            <w:vAlign w:val="bottom"/>
          </w:tcPr>
          <w:p w14:paraId="45EB34B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0.65</w:t>
            </w:r>
          </w:p>
        </w:tc>
      </w:tr>
      <w:tr w:rsidR="009A36D2" w:rsidRPr="009A3489" w14:paraId="5AD7558E" w14:textId="77777777" w:rsidTr="00281A92">
        <w:trPr>
          <w:trHeight w:val="20"/>
          <w:jc w:val="center"/>
        </w:trPr>
        <w:tc>
          <w:tcPr>
            <w:tcW w:w="1293" w:type="pct"/>
            <w:shd w:val="clear" w:color="auto" w:fill="auto"/>
            <w:noWrap/>
            <w:vAlign w:val="bottom"/>
            <w:hideMark/>
          </w:tcPr>
          <w:p w14:paraId="5A3724C8"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108AFD4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0.78</w:t>
            </w:r>
          </w:p>
        </w:tc>
        <w:tc>
          <w:tcPr>
            <w:tcW w:w="928" w:type="pct"/>
            <w:shd w:val="clear" w:color="auto" w:fill="auto"/>
            <w:noWrap/>
            <w:vAlign w:val="bottom"/>
          </w:tcPr>
          <w:p w14:paraId="3F23407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0.81</w:t>
            </w:r>
          </w:p>
        </w:tc>
        <w:tc>
          <w:tcPr>
            <w:tcW w:w="928" w:type="pct"/>
            <w:shd w:val="clear" w:color="auto" w:fill="auto"/>
            <w:noWrap/>
            <w:vAlign w:val="bottom"/>
          </w:tcPr>
          <w:p w14:paraId="466E08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4" w:type="pct"/>
            <w:vAlign w:val="bottom"/>
          </w:tcPr>
          <w:p w14:paraId="064331B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0.52</w:t>
            </w:r>
          </w:p>
        </w:tc>
      </w:tr>
      <w:tr w:rsidR="009A36D2" w:rsidRPr="009A3489" w14:paraId="2FC813F2" w14:textId="77777777" w:rsidTr="00281A92">
        <w:trPr>
          <w:trHeight w:val="20"/>
          <w:jc w:val="center"/>
        </w:trPr>
        <w:tc>
          <w:tcPr>
            <w:tcW w:w="1293" w:type="pct"/>
            <w:shd w:val="clear" w:color="auto" w:fill="auto"/>
            <w:noWrap/>
            <w:vAlign w:val="bottom"/>
            <w:hideMark/>
          </w:tcPr>
          <w:p w14:paraId="11FA1024"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4149E9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0.78</w:t>
            </w:r>
          </w:p>
        </w:tc>
        <w:tc>
          <w:tcPr>
            <w:tcW w:w="928" w:type="pct"/>
            <w:shd w:val="clear" w:color="auto" w:fill="auto"/>
            <w:noWrap/>
            <w:vAlign w:val="bottom"/>
          </w:tcPr>
          <w:p w14:paraId="4B939F7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8" w:type="pct"/>
            <w:shd w:val="clear" w:color="auto" w:fill="auto"/>
            <w:noWrap/>
            <w:vAlign w:val="bottom"/>
          </w:tcPr>
          <w:p w14:paraId="7958C4D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0.40</w:t>
            </w:r>
          </w:p>
        </w:tc>
        <w:tc>
          <w:tcPr>
            <w:tcW w:w="924" w:type="pct"/>
            <w:vAlign w:val="bottom"/>
          </w:tcPr>
          <w:p w14:paraId="5D84193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0.24</w:t>
            </w:r>
          </w:p>
        </w:tc>
      </w:tr>
      <w:tr w:rsidR="009A36D2" w:rsidRPr="009A3489" w14:paraId="7CFAD578" w14:textId="77777777" w:rsidTr="00281A92">
        <w:trPr>
          <w:trHeight w:val="20"/>
          <w:jc w:val="center"/>
        </w:trPr>
        <w:tc>
          <w:tcPr>
            <w:tcW w:w="1293" w:type="pct"/>
            <w:shd w:val="clear" w:color="auto" w:fill="auto"/>
            <w:noWrap/>
            <w:vAlign w:val="bottom"/>
            <w:hideMark/>
          </w:tcPr>
          <w:p w14:paraId="29B1F0E6"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2A73740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0.89</w:t>
            </w:r>
          </w:p>
        </w:tc>
        <w:tc>
          <w:tcPr>
            <w:tcW w:w="928" w:type="pct"/>
            <w:shd w:val="clear" w:color="auto" w:fill="auto"/>
            <w:noWrap/>
            <w:vAlign w:val="bottom"/>
          </w:tcPr>
          <w:p w14:paraId="2A38286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0.88</w:t>
            </w:r>
          </w:p>
        </w:tc>
        <w:tc>
          <w:tcPr>
            <w:tcW w:w="928" w:type="pct"/>
            <w:shd w:val="clear" w:color="auto" w:fill="auto"/>
            <w:noWrap/>
            <w:vAlign w:val="bottom"/>
          </w:tcPr>
          <w:p w14:paraId="477215A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4" w:type="pct"/>
            <w:vAlign w:val="bottom"/>
          </w:tcPr>
          <w:p w14:paraId="7EB4E67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0.46</w:t>
            </w:r>
          </w:p>
        </w:tc>
      </w:tr>
      <w:tr w:rsidR="009A36D2" w:rsidRPr="009A3489" w14:paraId="7E217371" w14:textId="77777777" w:rsidTr="00281A92">
        <w:trPr>
          <w:trHeight w:val="20"/>
          <w:jc w:val="center"/>
        </w:trPr>
        <w:tc>
          <w:tcPr>
            <w:tcW w:w="1293" w:type="pct"/>
            <w:shd w:val="clear" w:color="auto" w:fill="auto"/>
            <w:noWrap/>
            <w:vAlign w:val="bottom"/>
            <w:hideMark/>
          </w:tcPr>
          <w:p w14:paraId="3DDC663D"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4B4AFF9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0.55</w:t>
            </w:r>
          </w:p>
        </w:tc>
        <w:tc>
          <w:tcPr>
            <w:tcW w:w="928" w:type="pct"/>
            <w:shd w:val="clear" w:color="auto" w:fill="auto"/>
            <w:noWrap/>
            <w:vAlign w:val="bottom"/>
          </w:tcPr>
          <w:p w14:paraId="173B032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0.53</w:t>
            </w:r>
          </w:p>
        </w:tc>
        <w:tc>
          <w:tcPr>
            <w:tcW w:w="928" w:type="pct"/>
            <w:shd w:val="clear" w:color="auto" w:fill="auto"/>
            <w:noWrap/>
            <w:vAlign w:val="bottom"/>
          </w:tcPr>
          <w:p w14:paraId="4DF44F0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0.31</w:t>
            </w:r>
          </w:p>
        </w:tc>
        <w:tc>
          <w:tcPr>
            <w:tcW w:w="924" w:type="pct"/>
            <w:vAlign w:val="bottom"/>
          </w:tcPr>
          <w:p w14:paraId="308875F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0.21</w:t>
            </w:r>
          </w:p>
        </w:tc>
      </w:tr>
      <w:tr w:rsidR="009A36D2" w:rsidRPr="009A3489" w14:paraId="0C1053C0" w14:textId="77777777" w:rsidTr="00281A92">
        <w:trPr>
          <w:trHeight w:val="20"/>
          <w:jc w:val="center"/>
        </w:trPr>
        <w:tc>
          <w:tcPr>
            <w:tcW w:w="1293" w:type="pct"/>
            <w:shd w:val="clear" w:color="auto" w:fill="auto"/>
            <w:noWrap/>
            <w:vAlign w:val="bottom"/>
            <w:hideMark/>
          </w:tcPr>
          <w:p w14:paraId="6456AE89"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6C729A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0.70</w:t>
            </w:r>
          </w:p>
        </w:tc>
        <w:tc>
          <w:tcPr>
            <w:tcW w:w="928" w:type="pct"/>
            <w:shd w:val="clear" w:color="auto" w:fill="auto"/>
            <w:noWrap/>
            <w:vAlign w:val="bottom"/>
          </w:tcPr>
          <w:p w14:paraId="03A2082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0.62</w:t>
            </w:r>
          </w:p>
        </w:tc>
        <w:tc>
          <w:tcPr>
            <w:tcW w:w="928" w:type="pct"/>
            <w:shd w:val="clear" w:color="auto" w:fill="auto"/>
            <w:noWrap/>
            <w:vAlign w:val="bottom"/>
          </w:tcPr>
          <w:p w14:paraId="7A204E2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0.45</w:t>
            </w:r>
          </w:p>
        </w:tc>
        <w:tc>
          <w:tcPr>
            <w:tcW w:w="924" w:type="pct"/>
            <w:vAlign w:val="bottom"/>
          </w:tcPr>
          <w:p w14:paraId="4462598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0.29</w:t>
            </w:r>
          </w:p>
        </w:tc>
      </w:tr>
      <w:tr w:rsidR="009A36D2" w:rsidRPr="009A3489" w14:paraId="6D15C1F8" w14:textId="77777777" w:rsidTr="00281A92">
        <w:trPr>
          <w:trHeight w:val="20"/>
          <w:jc w:val="center"/>
        </w:trPr>
        <w:tc>
          <w:tcPr>
            <w:tcW w:w="1293" w:type="pct"/>
            <w:shd w:val="clear" w:color="auto" w:fill="auto"/>
            <w:noWrap/>
            <w:vAlign w:val="bottom"/>
            <w:hideMark/>
          </w:tcPr>
          <w:p w14:paraId="6969B4D4"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174B1F2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0.95</w:t>
            </w:r>
          </w:p>
        </w:tc>
        <w:tc>
          <w:tcPr>
            <w:tcW w:w="928" w:type="pct"/>
            <w:shd w:val="clear" w:color="auto" w:fill="auto"/>
            <w:noWrap/>
            <w:vAlign w:val="bottom"/>
          </w:tcPr>
          <w:p w14:paraId="37F7EC5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0.78</w:t>
            </w:r>
          </w:p>
        </w:tc>
        <w:tc>
          <w:tcPr>
            <w:tcW w:w="928" w:type="pct"/>
            <w:shd w:val="clear" w:color="auto" w:fill="auto"/>
            <w:noWrap/>
            <w:vAlign w:val="bottom"/>
          </w:tcPr>
          <w:p w14:paraId="3D32D47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0.61</w:t>
            </w:r>
          </w:p>
        </w:tc>
        <w:tc>
          <w:tcPr>
            <w:tcW w:w="924" w:type="pct"/>
            <w:vAlign w:val="bottom"/>
          </w:tcPr>
          <w:p w14:paraId="620ECE8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0.55</w:t>
            </w:r>
          </w:p>
        </w:tc>
      </w:tr>
      <w:tr w:rsidR="009A36D2" w:rsidRPr="009A3489" w14:paraId="4243142F" w14:textId="77777777" w:rsidTr="00281A92">
        <w:trPr>
          <w:trHeight w:val="20"/>
          <w:jc w:val="center"/>
        </w:trPr>
        <w:tc>
          <w:tcPr>
            <w:tcW w:w="1293" w:type="pct"/>
            <w:shd w:val="clear" w:color="auto" w:fill="auto"/>
            <w:noWrap/>
            <w:vAlign w:val="bottom"/>
            <w:hideMark/>
          </w:tcPr>
          <w:p w14:paraId="76BF3862" w14:textId="77777777" w:rsidR="009A36D2" w:rsidRPr="009A3489" w:rsidRDefault="009A36D2" w:rsidP="00281A92">
            <w:pPr>
              <w:spacing w:before="0" w:after="0" w:line="240" w:lineRule="auto"/>
              <w:rPr>
                <w:color w:val="auto"/>
                <w:sz w:val="20"/>
                <w:szCs w:val="20"/>
              </w:rPr>
            </w:pPr>
            <w:r w:rsidRPr="009A3489">
              <w:rPr>
                <w:color w:val="auto"/>
                <w:sz w:val="20"/>
                <w:szCs w:val="20"/>
              </w:rPr>
              <w:lastRenderedPageBreak/>
              <w:t>16</w:t>
            </w:r>
          </w:p>
        </w:tc>
        <w:tc>
          <w:tcPr>
            <w:tcW w:w="927" w:type="pct"/>
            <w:shd w:val="clear" w:color="auto" w:fill="auto"/>
            <w:noWrap/>
            <w:vAlign w:val="bottom"/>
          </w:tcPr>
          <w:p w14:paraId="20E2FA0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0.79</w:t>
            </w:r>
          </w:p>
        </w:tc>
        <w:tc>
          <w:tcPr>
            <w:tcW w:w="928" w:type="pct"/>
            <w:shd w:val="clear" w:color="auto" w:fill="auto"/>
            <w:noWrap/>
            <w:vAlign w:val="bottom"/>
          </w:tcPr>
          <w:p w14:paraId="3E9E536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bottom"/>
          </w:tcPr>
          <w:p w14:paraId="5AF187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0.56</w:t>
            </w:r>
          </w:p>
        </w:tc>
        <w:tc>
          <w:tcPr>
            <w:tcW w:w="924" w:type="pct"/>
            <w:vAlign w:val="bottom"/>
          </w:tcPr>
          <w:p w14:paraId="7EEC173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0.27</w:t>
            </w:r>
          </w:p>
        </w:tc>
      </w:tr>
      <w:tr w:rsidR="009A36D2" w:rsidRPr="009A3489" w14:paraId="356DDBAD" w14:textId="77777777" w:rsidTr="00281A92">
        <w:trPr>
          <w:trHeight w:val="20"/>
          <w:jc w:val="center"/>
        </w:trPr>
        <w:tc>
          <w:tcPr>
            <w:tcW w:w="1293" w:type="pct"/>
            <w:shd w:val="clear" w:color="auto" w:fill="auto"/>
            <w:noWrap/>
            <w:vAlign w:val="bottom"/>
            <w:hideMark/>
          </w:tcPr>
          <w:p w14:paraId="226A374D" w14:textId="77777777" w:rsidR="009A36D2" w:rsidRPr="009A3489" w:rsidRDefault="009A36D2" w:rsidP="00281A92">
            <w:pPr>
              <w:spacing w:before="0" w:after="0" w:line="240" w:lineRule="auto"/>
              <w:rPr>
                <w:color w:val="auto"/>
                <w:sz w:val="20"/>
                <w:szCs w:val="20"/>
              </w:rPr>
            </w:pPr>
            <w:r w:rsidRPr="009A3489">
              <w:rPr>
                <w:color w:val="auto"/>
                <w:sz w:val="20"/>
                <w:szCs w:val="20"/>
              </w:rPr>
              <w:t>17</w:t>
            </w:r>
          </w:p>
        </w:tc>
        <w:tc>
          <w:tcPr>
            <w:tcW w:w="927" w:type="pct"/>
            <w:shd w:val="clear" w:color="auto" w:fill="auto"/>
            <w:noWrap/>
            <w:vAlign w:val="bottom"/>
          </w:tcPr>
          <w:p w14:paraId="5FD851D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c>
          <w:tcPr>
            <w:tcW w:w="928" w:type="pct"/>
            <w:shd w:val="clear" w:color="auto" w:fill="auto"/>
            <w:noWrap/>
            <w:vAlign w:val="bottom"/>
          </w:tcPr>
          <w:p w14:paraId="08C8D99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0.36</w:t>
            </w:r>
          </w:p>
        </w:tc>
        <w:tc>
          <w:tcPr>
            <w:tcW w:w="928" w:type="pct"/>
            <w:shd w:val="clear" w:color="auto" w:fill="auto"/>
            <w:noWrap/>
            <w:vAlign w:val="bottom"/>
          </w:tcPr>
          <w:p w14:paraId="1C50FF1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0.37</w:t>
            </w:r>
          </w:p>
        </w:tc>
        <w:tc>
          <w:tcPr>
            <w:tcW w:w="924" w:type="pct"/>
            <w:vAlign w:val="bottom"/>
          </w:tcPr>
          <w:p w14:paraId="6A57629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0.15</w:t>
            </w:r>
          </w:p>
        </w:tc>
      </w:tr>
      <w:tr w:rsidR="009A36D2" w:rsidRPr="009A3489" w14:paraId="0C3437E8" w14:textId="77777777" w:rsidTr="00281A92">
        <w:trPr>
          <w:trHeight w:val="20"/>
          <w:jc w:val="center"/>
        </w:trPr>
        <w:tc>
          <w:tcPr>
            <w:tcW w:w="1293" w:type="pct"/>
            <w:shd w:val="clear" w:color="auto" w:fill="auto"/>
            <w:noWrap/>
            <w:vAlign w:val="bottom"/>
            <w:hideMark/>
          </w:tcPr>
          <w:p w14:paraId="529144C1" w14:textId="77777777" w:rsidR="009A36D2" w:rsidRPr="009A3489" w:rsidRDefault="009A36D2" w:rsidP="00281A92">
            <w:pPr>
              <w:spacing w:before="0" w:after="0" w:line="240" w:lineRule="auto"/>
              <w:rPr>
                <w:color w:val="auto"/>
                <w:sz w:val="20"/>
                <w:szCs w:val="20"/>
              </w:rPr>
            </w:pPr>
            <w:r w:rsidRPr="009A3489">
              <w:rPr>
                <w:color w:val="auto"/>
                <w:sz w:val="20"/>
                <w:szCs w:val="20"/>
              </w:rPr>
              <w:t>18</w:t>
            </w:r>
          </w:p>
        </w:tc>
        <w:tc>
          <w:tcPr>
            <w:tcW w:w="927" w:type="pct"/>
            <w:shd w:val="clear" w:color="auto" w:fill="auto"/>
            <w:noWrap/>
            <w:vAlign w:val="bottom"/>
          </w:tcPr>
          <w:p w14:paraId="2A076FD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bottom"/>
          </w:tcPr>
          <w:p w14:paraId="7A5A48C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0.77</w:t>
            </w:r>
          </w:p>
        </w:tc>
        <w:tc>
          <w:tcPr>
            <w:tcW w:w="928" w:type="pct"/>
            <w:shd w:val="clear" w:color="auto" w:fill="auto"/>
            <w:noWrap/>
            <w:vAlign w:val="bottom"/>
          </w:tcPr>
          <w:p w14:paraId="74A69A3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4" w:type="pct"/>
            <w:vAlign w:val="bottom"/>
          </w:tcPr>
          <w:p w14:paraId="3676F22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0.27</w:t>
            </w:r>
          </w:p>
        </w:tc>
      </w:tr>
      <w:tr w:rsidR="009A36D2" w:rsidRPr="009A3489" w14:paraId="6C771615" w14:textId="77777777" w:rsidTr="00281A92">
        <w:trPr>
          <w:trHeight w:val="20"/>
          <w:jc w:val="center"/>
        </w:trPr>
        <w:tc>
          <w:tcPr>
            <w:tcW w:w="1293" w:type="pct"/>
            <w:shd w:val="clear" w:color="auto" w:fill="auto"/>
            <w:noWrap/>
            <w:vAlign w:val="bottom"/>
            <w:hideMark/>
          </w:tcPr>
          <w:p w14:paraId="4A51772D"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3255E685"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0.78</w:t>
            </w:r>
          </w:p>
        </w:tc>
        <w:tc>
          <w:tcPr>
            <w:tcW w:w="928" w:type="pct"/>
            <w:shd w:val="clear" w:color="auto" w:fill="auto"/>
            <w:noWrap/>
            <w:vAlign w:val="bottom"/>
          </w:tcPr>
          <w:p w14:paraId="247948B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0.70</w:t>
            </w:r>
          </w:p>
        </w:tc>
        <w:tc>
          <w:tcPr>
            <w:tcW w:w="928" w:type="pct"/>
            <w:shd w:val="clear" w:color="auto" w:fill="auto"/>
            <w:noWrap/>
            <w:vAlign w:val="bottom"/>
          </w:tcPr>
          <w:p w14:paraId="5BE8855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0.51</w:t>
            </w:r>
          </w:p>
        </w:tc>
        <w:tc>
          <w:tcPr>
            <w:tcW w:w="924" w:type="pct"/>
            <w:vAlign w:val="bottom"/>
          </w:tcPr>
          <w:p w14:paraId="0250AFDB"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0.37</w:t>
            </w:r>
          </w:p>
        </w:tc>
      </w:tr>
      <w:tr w:rsidR="009A36D2" w:rsidRPr="009A3489" w14:paraId="29104AC3" w14:textId="77777777" w:rsidTr="00281A92">
        <w:trPr>
          <w:trHeight w:val="20"/>
          <w:jc w:val="center"/>
        </w:trPr>
        <w:tc>
          <w:tcPr>
            <w:tcW w:w="1293" w:type="pct"/>
            <w:shd w:val="clear" w:color="auto" w:fill="auto"/>
            <w:noWrap/>
            <w:vAlign w:val="bottom"/>
          </w:tcPr>
          <w:p w14:paraId="2F97264F"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54A566DC"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0.10</w:t>
            </w:r>
          </w:p>
        </w:tc>
        <w:tc>
          <w:tcPr>
            <w:tcW w:w="928" w:type="pct"/>
            <w:shd w:val="clear" w:color="auto" w:fill="auto"/>
            <w:noWrap/>
            <w:vAlign w:val="bottom"/>
          </w:tcPr>
          <w:p w14:paraId="6867EEAB"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0.16</w:t>
            </w:r>
          </w:p>
        </w:tc>
        <w:tc>
          <w:tcPr>
            <w:tcW w:w="928" w:type="pct"/>
            <w:shd w:val="clear" w:color="auto" w:fill="auto"/>
            <w:noWrap/>
            <w:vAlign w:val="bottom"/>
          </w:tcPr>
          <w:p w14:paraId="763C13C6"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0.19</w:t>
            </w:r>
          </w:p>
        </w:tc>
        <w:tc>
          <w:tcPr>
            <w:tcW w:w="924" w:type="pct"/>
            <w:vAlign w:val="bottom"/>
          </w:tcPr>
          <w:p w14:paraId="79CF8438"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0.18</w:t>
            </w:r>
          </w:p>
        </w:tc>
      </w:tr>
      <w:tr w:rsidR="009A36D2" w:rsidRPr="009A3489" w14:paraId="2EE432C9" w14:textId="77777777" w:rsidTr="00281A92">
        <w:trPr>
          <w:trHeight w:val="20"/>
          <w:jc w:val="center"/>
        </w:trPr>
        <w:tc>
          <w:tcPr>
            <w:tcW w:w="5000" w:type="pct"/>
            <w:gridSpan w:val="5"/>
            <w:shd w:val="clear" w:color="auto" w:fill="D9D9D9" w:themeFill="background1" w:themeFillShade="D9"/>
            <w:noWrap/>
            <w:vAlign w:val="bottom"/>
          </w:tcPr>
          <w:p w14:paraId="7110DC66"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Older (60-79 years old)</w:t>
            </w:r>
          </w:p>
        </w:tc>
      </w:tr>
      <w:tr w:rsidR="009A36D2" w:rsidRPr="009A3489" w14:paraId="7684D505" w14:textId="77777777" w:rsidTr="00281A92">
        <w:trPr>
          <w:trHeight w:val="20"/>
          <w:jc w:val="center"/>
        </w:trPr>
        <w:tc>
          <w:tcPr>
            <w:tcW w:w="1293" w:type="pct"/>
            <w:tcBorders>
              <w:tl2br w:val="single" w:sz="4" w:space="0" w:color="auto"/>
            </w:tcBorders>
            <w:shd w:val="clear" w:color="auto" w:fill="auto"/>
            <w:hideMark/>
          </w:tcPr>
          <w:p w14:paraId="037D1B12"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7184310A" w14:textId="77777777" w:rsidR="009A36D2" w:rsidRPr="009A3489" w:rsidRDefault="009A36D2" w:rsidP="00281A92">
            <w:pPr>
              <w:spacing w:before="0" w:after="0" w:line="240" w:lineRule="auto"/>
              <w:rPr>
                <w:color w:val="auto"/>
                <w:sz w:val="20"/>
                <w:szCs w:val="20"/>
              </w:rPr>
            </w:pPr>
          </w:p>
          <w:p w14:paraId="775A52FA"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5F2E34E2"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0AAFA9E1"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1014E62C"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0CCED9C3"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119AC570" w14:textId="77777777" w:rsidTr="00281A92">
        <w:trPr>
          <w:trHeight w:val="20"/>
          <w:jc w:val="center"/>
        </w:trPr>
        <w:tc>
          <w:tcPr>
            <w:tcW w:w="1293" w:type="pct"/>
            <w:shd w:val="clear" w:color="auto" w:fill="auto"/>
            <w:noWrap/>
            <w:vAlign w:val="bottom"/>
            <w:hideMark/>
          </w:tcPr>
          <w:p w14:paraId="60ED1015"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018EEBC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0.80</w:t>
            </w:r>
          </w:p>
        </w:tc>
        <w:tc>
          <w:tcPr>
            <w:tcW w:w="928" w:type="pct"/>
            <w:shd w:val="clear" w:color="auto" w:fill="auto"/>
            <w:noWrap/>
            <w:vAlign w:val="bottom"/>
          </w:tcPr>
          <w:p w14:paraId="62F88F6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0.50</w:t>
            </w:r>
          </w:p>
        </w:tc>
        <w:tc>
          <w:tcPr>
            <w:tcW w:w="928" w:type="pct"/>
            <w:shd w:val="clear" w:color="auto" w:fill="auto"/>
            <w:noWrap/>
            <w:vAlign w:val="bottom"/>
          </w:tcPr>
          <w:p w14:paraId="74A164C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0.32</w:t>
            </w:r>
          </w:p>
        </w:tc>
        <w:tc>
          <w:tcPr>
            <w:tcW w:w="924" w:type="pct"/>
            <w:vAlign w:val="bottom"/>
          </w:tcPr>
          <w:p w14:paraId="6EA3810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0.20</w:t>
            </w:r>
          </w:p>
        </w:tc>
      </w:tr>
      <w:tr w:rsidR="009A36D2" w:rsidRPr="009A3489" w14:paraId="0EA8B415" w14:textId="77777777" w:rsidTr="00281A92">
        <w:trPr>
          <w:trHeight w:val="20"/>
          <w:jc w:val="center"/>
        </w:trPr>
        <w:tc>
          <w:tcPr>
            <w:tcW w:w="1293" w:type="pct"/>
            <w:shd w:val="clear" w:color="auto" w:fill="auto"/>
            <w:noWrap/>
            <w:vAlign w:val="bottom"/>
            <w:hideMark/>
          </w:tcPr>
          <w:p w14:paraId="79951AF2"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bottom"/>
          </w:tcPr>
          <w:p w14:paraId="6837BE2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0.81</w:t>
            </w:r>
          </w:p>
        </w:tc>
        <w:tc>
          <w:tcPr>
            <w:tcW w:w="928" w:type="pct"/>
            <w:shd w:val="clear" w:color="auto" w:fill="auto"/>
            <w:noWrap/>
            <w:vAlign w:val="bottom"/>
          </w:tcPr>
          <w:p w14:paraId="3D8600E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0.55</w:t>
            </w:r>
          </w:p>
        </w:tc>
        <w:tc>
          <w:tcPr>
            <w:tcW w:w="928" w:type="pct"/>
            <w:shd w:val="clear" w:color="auto" w:fill="auto"/>
            <w:noWrap/>
            <w:vAlign w:val="bottom"/>
          </w:tcPr>
          <w:p w14:paraId="58DCB27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c>
          <w:tcPr>
            <w:tcW w:w="924" w:type="pct"/>
            <w:vAlign w:val="bottom"/>
          </w:tcPr>
          <w:p w14:paraId="25B793A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0.30</w:t>
            </w:r>
          </w:p>
        </w:tc>
      </w:tr>
      <w:tr w:rsidR="009A36D2" w:rsidRPr="009A3489" w14:paraId="41F1E428" w14:textId="77777777" w:rsidTr="00281A92">
        <w:trPr>
          <w:trHeight w:val="20"/>
          <w:jc w:val="center"/>
        </w:trPr>
        <w:tc>
          <w:tcPr>
            <w:tcW w:w="1293" w:type="pct"/>
            <w:shd w:val="clear" w:color="auto" w:fill="auto"/>
            <w:noWrap/>
            <w:vAlign w:val="bottom"/>
            <w:hideMark/>
          </w:tcPr>
          <w:p w14:paraId="79113C81"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254B078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0.80</w:t>
            </w:r>
          </w:p>
        </w:tc>
        <w:tc>
          <w:tcPr>
            <w:tcW w:w="928" w:type="pct"/>
            <w:shd w:val="clear" w:color="auto" w:fill="auto"/>
            <w:noWrap/>
            <w:vAlign w:val="bottom"/>
          </w:tcPr>
          <w:p w14:paraId="4A6C271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8" w:type="pct"/>
            <w:shd w:val="clear" w:color="auto" w:fill="auto"/>
            <w:noWrap/>
            <w:vAlign w:val="bottom"/>
          </w:tcPr>
          <w:p w14:paraId="3224C33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c>
          <w:tcPr>
            <w:tcW w:w="924" w:type="pct"/>
            <w:vAlign w:val="bottom"/>
          </w:tcPr>
          <w:p w14:paraId="4763279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0.27</w:t>
            </w:r>
          </w:p>
        </w:tc>
      </w:tr>
      <w:tr w:rsidR="009A36D2" w:rsidRPr="009A3489" w14:paraId="58D9A825" w14:textId="77777777" w:rsidTr="00281A92">
        <w:trPr>
          <w:trHeight w:val="20"/>
          <w:jc w:val="center"/>
        </w:trPr>
        <w:tc>
          <w:tcPr>
            <w:tcW w:w="1293" w:type="pct"/>
            <w:shd w:val="clear" w:color="auto" w:fill="auto"/>
            <w:noWrap/>
            <w:vAlign w:val="bottom"/>
            <w:hideMark/>
          </w:tcPr>
          <w:p w14:paraId="77CA9D62"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3304A40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0.77</w:t>
            </w:r>
          </w:p>
        </w:tc>
        <w:tc>
          <w:tcPr>
            <w:tcW w:w="928" w:type="pct"/>
            <w:shd w:val="clear" w:color="auto" w:fill="auto"/>
            <w:noWrap/>
            <w:vAlign w:val="bottom"/>
          </w:tcPr>
          <w:p w14:paraId="54164C7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0.65</w:t>
            </w:r>
          </w:p>
        </w:tc>
        <w:tc>
          <w:tcPr>
            <w:tcW w:w="928" w:type="pct"/>
            <w:shd w:val="clear" w:color="auto" w:fill="auto"/>
            <w:noWrap/>
            <w:vAlign w:val="bottom"/>
          </w:tcPr>
          <w:p w14:paraId="7680E8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0.58</w:t>
            </w:r>
          </w:p>
        </w:tc>
        <w:tc>
          <w:tcPr>
            <w:tcW w:w="924" w:type="pct"/>
            <w:vAlign w:val="bottom"/>
          </w:tcPr>
          <w:p w14:paraId="4A69D33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0.31</w:t>
            </w:r>
          </w:p>
        </w:tc>
      </w:tr>
      <w:tr w:rsidR="009A36D2" w:rsidRPr="009A3489" w14:paraId="76187FA9" w14:textId="77777777" w:rsidTr="00281A92">
        <w:trPr>
          <w:trHeight w:val="20"/>
          <w:jc w:val="center"/>
        </w:trPr>
        <w:tc>
          <w:tcPr>
            <w:tcW w:w="1293" w:type="pct"/>
            <w:shd w:val="clear" w:color="auto" w:fill="auto"/>
            <w:noWrap/>
            <w:vAlign w:val="bottom"/>
            <w:hideMark/>
          </w:tcPr>
          <w:p w14:paraId="31147D3E"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7A15794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8" w:type="pct"/>
            <w:shd w:val="clear" w:color="auto" w:fill="auto"/>
            <w:noWrap/>
            <w:vAlign w:val="bottom"/>
          </w:tcPr>
          <w:p w14:paraId="24DA9D1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0.48</w:t>
            </w:r>
          </w:p>
        </w:tc>
        <w:tc>
          <w:tcPr>
            <w:tcW w:w="928" w:type="pct"/>
            <w:shd w:val="clear" w:color="auto" w:fill="auto"/>
            <w:noWrap/>
            <w:vAlign w:val="bottom"/>
          </w:tcPr>
          <w:p w14:paraId="71CA595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0.20</w:t>
            </w:r>
          </w:p>
        </w:tc>
        <w:tc>
          <w:tcPr>
            <w:tcW w:w="924" w:type="pct"/>
            <w:vAlign w:val="bottom"/>
          </w:tcPr>
          <w:p w14:paraId="7AD26FD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r>
      <w:tr w:rsidR="009A36D2" w:rsidRPr="009A3489" w14:paraId="3B0AC584" w14:textId="77777777" w:rsidTr="00281A92">
        <w:trPr>
          <w:trHeight w:val="20"/>
          <w:jc w:val="center"/>
        </w:trPr>
        <w:tc>
          <w:tcPr>
            <w:tcW w:w="1293" w:type="pct"/>
            <w:shd w:val="clear" w:color="auto" w:fill="auto"/>
            <w:noWrap/>
            <w:vAlign w:val="bottom"/>
            <w:hideMark/>
          </w:tcPr>
          <w:p w14:paraId="24E67566"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38329F6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0.81</w:t>
            </w:r>
          </w:p>
        </w:tc>
        <w:tc>
          <w:tcPr>
            <w:tcW w:w="928" w:type="pct"/>
            <w:shd w:val="clear" w:color="auto" w:fill="auto"/>
            <w:noWrap/>
            <w:vAlign w:val="bottom"/>
          </w:tcPr>
          <w:p w14:paraId="0919E1A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40F17B3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0.57</w:t>
            </w:r>
          </w:p>
        </w:tc>
        <w:tc>
          <w:tcPr>
            <w:tcW w:w="924" w:type="pct"/>
            <w:vAlign w:val="bottom"/>
          </w:tcPr>
          <w:p w14:paraId="0B118AE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0.33</w:t>
            </w:r>
          </w:p>
        </w:tc>
      </w:tr>
      <w:tr w:rsidR="009A36D2" w:rsidRPr="009A3489" w14:paraId="4DEA0665" w14:textId="77777777" w:rsidTr="00281A92">
        <w:trPr>
          <w:trHeight w:val="20"/>
          <w:jc w:val="center"/>
        </w:trPr>
        <w:tc>
          <w:tcPr>
            <w:tcW w:w="1293" w:type="pct"/>
            <w:shd w:val="clear" w:color="auto" w:fill="auto"/>
            <w:noWrap/>
            <w:vAlign w:val="bottom"/>
            <w:hideMark/>
          </w:tcPr>
          <w:p w14:paraId="27482DA0"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170B105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0.72</w:t>
            </w:r>
          </w:p>
        </w:tc>
        <w:tc>
          <w:tcPr>
            <w:tcW w:w="928" w:type="pct"/>
            <w:shd w:val="clear" w:color="auto" w:fill="auto"/>
            <w:noWrap/>
            <w:vAlign w:val="bottom"/>
          </w:tcPr>
          <w:p w14:paraId="1E7EC2C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c>
          <w:tcPr>
            <w:tcW w:w="928" w:type="pct"/>
            <w:shd w:val="clear" w:color="auto" w:fill="auto"/>
            <w:noWrap/>
            <w:vAlign w:val="bottom"/>
          </w:tcPr>
          <w:p w14:paraId="000433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0.70</w:t>
            </w:r>
          </w:p>
        </w:tc>
        <w:tc>
          <w:tcPr>
            <w:tcW w:w="924" w:type="pct"/>
            <w:vAlign w:val="bottom"/>
          </w:tcPr>
          <w:p w14:paraId="3C3B66F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0.24</w:t>
            </w:r>
          </w:p>
        </w:tc>
      </w:tr>
      <w:tr w:rsidR="009A36D2" w:rsidRPr="009A3489" w14:paraId="02D6BA92" w14:textId="77777777" w:rsidTr="00281A92">
        <w:trPr>
          <w:trHeight w:val="20"/>
          <w:jc w:val="center"/>
        </w:trPr>
        <w:tc>
          <w:tcPr>
            <w:tcW w:w="1293" w:type="pct"/>
            <w:shd w:val="clear" w:color="auto" w:fill="auto"/>
            <w:noWrap/>
            <w:vAlign w:val="bottom"/>
            <w:hideMark/>
          </w:tcPr>
          <w:p w14:paraId="26043147"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09E3297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0.80</w:t>
            </w:r>
          </w:p>
        </w:tc>
        <w:tc>
          <w:tcPr>
            <w:tcW w:w="928" w:type="pct"/>
            <w:shd w:val="clear" w:color="auto" w:fill="auto"/>
            <w:noWrap/>
            <w:vAlign w:val="bottom"/>
          </w:tcPr>
          <w:p w14:paraId="6AB993D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c>
          <w:tcPr>
            <w:tcW w:w="928" w:type="pct"/>
            <w:shd w:val="clear" w:color="auto" w:fill="auto"/>
            <w:noWrap/>
            <w:vAlign w:val="bottom"/>
          </w:tcPr>
          <w:p w14:paraId="6C68828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4" w:type="pct"/>
            <w:vAlign w:val="bottom"/>
          </w:tcPr>
          <w:p w14:paraId="006376F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0.36</w:t>
            </w:r>
          </w:p>
        </w:tc>
      </w:tr>
      <w:tr w:rsidR="009A36D2" w:rsidRPr="009A3489" w14:paraId="61D12F74" w14:textId="77777777" w:rsidTr="00281A92">
        <w:trPr>
          <w:trHeight w:val="20"/>
          <w:jc w:val="center"/>
        </w:trPr>
        <w:tc>
          <w:tcPr>
            <w:tcW w:w="1293" w:type="pct"/>
            <w:shd w:val="clear" w:color="auto" w:fill="auto"/>
            <w:noWrap/>
            <w:vAlign w:val="bottom"/>
            <w:hideMark/>
          </w:tcPr>
          <w:p w14:paraId="02C01D4E"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1F30E5E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bottom"/>
          </w:tcPr>
          <w:p w14:paraId="31F0D22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0.70</w:t>
            </w:r>
          </w:p>
        </w:tc>
        <w:tc>
          <w:tcPr>
            <w:tcW w:w="928" w:type="pct"/>
            <w:shd w:val="clear" w:color="auto" w:fill="auto"/>
            <w:noWrap/>
            <w:vAlign w:val="bottom"/>
          </w:tcPr>
          <w:p w14:paraId="7EBB14B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0.53</w:t>
            </w:r>
          </w:p>
        </w:tc>
        <w:tc>
          <w:tcPr>
            <w:tcW w:w="924" w:type="pct"/>
            <w:vAlign w:val="bottom"/>
          </w:tcPr>
          <w:p w14:paraId="6A15CFC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0.29</w:t>
            </w:r>
          </w:p>
        </w:tc>
      </w:tr>
      <w:tr w:rsidR="009A36D2" w:rsidRPr="009A3489" w14:paraId="5A13184B" w14:textId="77777777" w:rsidTr="00281A92">
        <w:trPr>
          <w:trHeight w:val="20"/>
          <w:jc w:val="center"/>
        </w:trPr>
        <w:tc>
          <w:tcPr>
            <w:tcW w:w="1293" w:type="pct"/>
            <w:shd w:val="clear" w:color="auto" w:fill="auto"/>
            <w:noWrap/>
            <w:vAlign w:val="bottom"/>
            <w:hideMark/>
          </w:tcPr>
          <w:p w14:paraId="31166263"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42C9435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c>
          <w:tcPr>
            <w:tcW w:w="928" w:type="pct"/>
            <w:shd w:val="clear" w:color="auto" w:fill="auto"/>
            <w:noWrap/>
            <w:vAlign w:val="bottom"/>
          </w:tcPr>
          <w:p w14:paraId="3E2A00A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0.49</w:t>
            </w:r>
          </w:p>
        </w:tc>
        <w:tc>
          <w:tcPr>
            <w:tcW w:w="928" w:type="pct"/>
            <w:shd w:val="clear" w:color="auto" w:fill="auto"/>
            <w:noWrap/>
            <w:vAlign w:val="bottom"/>
          </w:tcPr>
          <w:p w14:paraId="6C67030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0.42</w:t>
            </w:r>
          </w:p>
        </w:tc>
        <w:tc>
          <w:tcPr>
            <w:tcW w:w="924" w:type="pct"/>
            <w:vAlign w:val="bottom"/>
          </w:tcPr>
          <w:p w14:paraId="46EBAB3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0.35</w:t>
            </w:r>
          </w:p>
        </w:tc>
      </w:tr>
      <w:tr w:rsidR="009A36D2" w:rsidRPr="009A3489" w14:paraId="317AB41C" w14:textId="77777777" w:rsidTr="00281A92">
        <w:trPr>
          <w:trHeight w:val="20"/>
          <w:jc w:val="center"/>
        </w:trPr>
        <w:tc>
          <w:tcPr>
            <w:tcW w:w="1293" w:type="pct"/>
            <w:shd w:val="clear" w:color="auto" w:fill="auto"/>
            <w:noWrap/>
            <w:vAlign w:val="bottom"/>
            <w:hideMark/>
          </w:tcPr>
          <w:p w14:paraId="2997D681"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410CE3D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0.84</w:t>
            </w:r>
          </w:p>
        </w:tc>
        <w:tc>
          <w:tcPr>
            <w:tcW w:w="928" w:type="pct"/>
            <w:shd w:val="clear" w:color="auto" w:fill="auto"/>
            <w:noWrap/>
            <w:vAlign w:val="bottom"/>
          </w:tcPr>
          <w:p w14:paraId="268E565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0.77</w:t>
            </w:r>
          </w:p>
        </w:tc>
        <w:tc>
          <w:tcPr>
            <w:tcW w:w="928" w:type="pct"/>
            <w:shd w:val="clear" w:color="auto" w:fill="auto"/>
            <w:noWrap/>
            <w:vAlign w:val="bottom"/>
          </w:tcPr>
          <w:p w14:paraId="3D927B1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0.75</w:t>
            </w:r>
          </w:p>
        </w:tc>
        <w:tc>
          <w:tcPr>
            <w:tcW w:w="924" w:type="pct"/>
            <w:vAlign w:val="bottom"/>
          </w:tcPr>
          <w:p w14:paraId="3789833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0.60</w:t>
            </w:r>
          </w:p>
        </w:tc>
      </w:tr>
      <w:tr w:rsidR="009A36D2" w:rsidRPr="009A3489" w14:paraId="74D435F0" w14:textId="77777777" w:rsidTr="00281A92">
        <w:trPr>
          <w:trHeight w:val="20"/>
          <w:jc w:val="center"/>
        </w:trPr>
        <w:tc>
          <w:tcPr>
            <w:tcW w:w="1293" w:type="pct"/>
            <w:shd w:val="clear" w:color="auto" w:fill="auto"/>
            <w:noWrap/>
            <w:vAlign w:val="bottom"/>
            <w:hideMark/>
          </w:tcPr>
          <w:p w14:paraId="4B5C70AF"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345BD39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0.91</w:t>
            </w:r>
          </w:p>
        </w:tc>
        <w:tc>
          <w:tcPr>
            <w:tcW w:w="928" w:type="pct"/>
            <w:shd w:val="clear" w:color="auto" w:fill="auto"/>
            <w:noWrap/>
            <w:vAlign w:val="bottom"/>
          </w:tcPr>
          <w:p w14:paraId="41D16F3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0.72</w:t>
            </w:r>
          </w:p>
        </w:tc>
        <w:tc>
          <w:tcPr>
            <w:tcW w:w="928" w:type="pct"/>
            <w:shd w:val="clear" w:color="auto" w:fill="auto"/>
            <w:noWrap/>
            <w:vAlign w:val="bottom"/>
          </w:tcPr>
          <w:p w14:paraId="1AA5957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0.67</w:t>
            </w:r>
          </w:p>
        </w:tc>
        <w:tc>
          <w:tcPr>
            <w:tcW w:w="924" w:type="pct"/>
            <w:vAlign w:val="bottom"/>
          </w:tcPr>
          <w:p w14:paraId="5D64887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r>
      <w:tr w:rsidR="009A36D2" w:rsidRPr="009A3489" w14:paraId="5E4BB752" w14:textId="77777777" w:rsidTr="00281A92">
        <w:trPr>
          <w:trHeight w:val="20"/>
          <w:jc w:val="center"/>
        </w:trPr>
        <w:tc>
          <w:tcPr>
            <w:tcW w:w="1293" w:type="pct"/>
            <w:shd w:val="clear" w:color="auto" w:fill="auto"/>
            <w:noWrap/>
            <w:vAlign w:val="bottom"/>
            <w:hideMark/>
          </w:tcPr>
          <w:p w14:paraId="0C2629EF"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2F235F1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0.88</w:t>
            </w:r>
          </w:p>
        </w:tc>
        <w:tc>
          <w:tcPr>
            <w:tcW w:w="928" w:type="pct"/>
            <w:shd w:val="clear" w:color="auto" w:fill="auto"/>
            <w:noWrap/>
            <w:vAlign w:val="bottom"/>
          </w:tcPr>
          <w:p w14:paraId="7B04923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0.74</w:t>
            </w:r>
          </w:p>
        </w:tc>
        <w:tc>
          <w:tcPr>
            <w:tcW w:w="928" w:type="pct"/>
            <w:shd w:val="clear" w:color="auto" w:fill="auto"/>
            <w:noWrap/>
            <w:vAlign w:val="bottom"/>
          </w:tcPr>
          <w:p w14:paraId="796AD23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4" w:type="pct"/>
            <w:vAlign w:val="bottom"/>
          </w:tcPr>
          <w:p w14:paraId="120ED69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0.41</w:t>
            </w:r>
          </w:p>
        </w:tc>
      </w:tr>
      <w:tr w:rsidR="009A36D2" w:rsidRPr="009A3489" w14:paraId="52B2B6A9" w14:textId="77777777" w:rsidTr="00281A92">
        <w:trPr>
          <w:trHeight w:val="20"/>
          <w:jc w:val="center"/>
        </w:trPr>
        <w:tc>
          <w:tcPr>
            <w:tcW w:w="1293" w:type="pct"/>
            <w:shd w:val="clear" w:color="auto" w:fill="auto"/>
            <w:noWrap/>
            <w:vAlign w:val="bottom"/>
            <w:hideMark/>
          </w:tcPr>
          <w:p w14:paraId="19C4BBC7"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2B6485D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bottom"/>
          </w:tcPr>
          <w:p w14:paraId="4A6FDDC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0.67</w:t>
            </w:r>
          </w:p>
        </w:tc>
        <w:tc>
          <w:tcPr>
            <w:tcW w:w="928" w:type="pct"/>
            <w:shd w:val="clear" w:color="auto" w:fill="auto"/>
            <w:noWrap/>
            <w:vAlign w:val="bottom"/>
          </w:tcPr>
          <w:p w14:paraId="409AFB9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0.57</w:t>
            </w:r>
          </w:p>
        </w:tc>
        <w:tc>
          <w:tcPr>
            <w:tcW w:w="924" w:type="pct"/>
            <w:vAlign w:val="bottom"/>
          </w:tcPr>
          <w:p w14:paraId="14B3D9A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0.64</w:t>
            </w:r>
          </w:p>
        </w:tc>
      </w:tr>
      <w:tr w:rsidR="009A36D2" w:rsidRPr="009A3489" w14:paraId="1561740A" w14:textId="77777777" w:rsidTr="00281A92">
        <w:trPr>
          <w:trHeight w:val="20"/>
          <w:jc w:val="center"/>
        </w:trPr>
        <w:tc>
          <w:tcPr>
            <w:tcW w:w="1293" w:type="pct"/>
            <w:shd w:val="clear" w:color="auto" w:fill="auto"/>
            <w:noWrap/>
            <w:vAlign w:val="bottom"/>
            <w:hideMark/>
          </w:tcPr>
          <w:p w14:paraId="2D16520E"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4C56A2B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0.82</w:t>
            </w:r>
          </w:p>
        </w:tc>
        <w:tc>
          <w:tcPr>
            <w:tcW w:w="928" w:type="pct"/>
            <w:shd w:val="clear" w:color="auto" w:fill="auto"/>
            <w:noWrap/>
            <w:vAlign w:val="bottom"/>
          </w:tcPr>
          <w:p w14:paraId="32AC8F0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0.89</w:t>
            </w:r>
          </w:p>
        </w:tc>
        <w:tc>
          <w:tcPr>
            <w:tcW w:w="928" w:type="pct"/>
            <w:shd w:val="clear" w:color="auto" w:fill="auto"/>
            <w:noWrap/>
            <w:vAlign w:val="bottom"/>
          </w:tcPr>
          <w:p w14:paraId="20F8163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0.81</w:t>
            </w:r>
          </w:p>
        </w:tc>
        <w:tc>
          <w:tcPr>
            <w:tcW w:w="924" w:type="pct"/>
            <w:vAlign w:val="bottom"/>
          </w:tcPr>
          <w:p w14:paraId="68796D4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r>
      <w:tr w:rsidR="009A36D2" w:rsidRPr="009A3489" w14:paraId="01100EE6" w14:textId="77777777" w:rsidTr="00281A92">
        <w:trPr>
          <w:trHeight w:val="20"/>
          <w:jc w:val="center"/>
        </w:trPr>
        <w:tc>
          <w:tcPr>
            <w:tcW w:w="1293" w:type="pct"/>
            <w:shd w:val="clear" w:color="auto" w:fill="auto"/>
            <w:noWrap/>
            <w:vAlign w:val="bottom"/>
            <w:hideMark/>
          </w:tcPr>
          <w:p w14:paraId="56AD6F29"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568E5554"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0.79</w:t>
            </w:r>
          </w:p>
        </w:tc>
        <w:tc>
          <w:tcPr>
            <w:tcW w:w="928" w:type="pct"/>
            <w:shd w:val="clear" w:color="auto" w:fill="auto"/>
            <w:noWrap/>
            <w:vAlign w:val="bottom"/>
          </w:tcPr>
          <w:p w14:paraId="2D6C64C3"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0.65</w:t>
            </w:r>
          </w:p>
        </w:tc>
        <w:tc>
          <w:tcPr>
            <w:tcW w:w="928" w:type="pct"/>
            <w:shd w:val="clear" w:color="auto" w:fill="auto"/>
            <w:noWrap/>
            <w:vAlign w:val="bottom"/>
          </w:tcPr>
          <w:p w14:paraId="3262603C"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0.55</w:t>
            </w:r>
          </w:p>
        </w:tc>
        <w:tc>
          <w:tcPr>
            <w:tcW w:w="924" w:type="pct"/>
            <w:vAlign w:val="bottom"/>
          </w:tcPr>
          <w:p w14:paraId="0312BE02"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0.40</w:t>
            </w:r>
          </w:p>
        </w:tc>
      </w:tr>
      <w:tr w:rsidR="009A36D2" w:rsidRPr="009A3489" w14:paraId="4B19CFDF" w14:textId="77777777" w:rsidTr="00281A92">
        <w:trPr>
          <w:trHeight w:val="20"/>
          <w:jc w:val="center"/>
        </w:trPr>
        <w:tc>
          <w:tcPr>
            <w:tcW w:w="1293" w:type="pct"/>
            <w:shd w:val="clear" w:color="auto" w:fill="auto"/>
            <w:noWrap/>
            <w:vAlign w:val="bottom"/>
          </w:tcPr>
          <w:p w14:paraId="60183B90"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1CB1E205"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0.07</w:t>
            </w:r>
          </w:p>
        </w:tc>
        <w:tc>
          <w:tcPr>
            <w:tcW w:w="928" w:type="pct"/>
            <w:shd w:val="clear" w:color="auto" w:fill="auto"/>
            <w:noWrap/>
            <w:vAlign w:val="bottom"/>
          </w:tcPr>
          <w:p w14:paraId="6F3890F6"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0.13</w:t>
            </w:r>
          </w:p>
        </w:tc>
        <w:tc>
          <w:tcPr>
            <w:tcW w:w="928" w:type="pct"/>
            <w:shd w:val="clear" w:color="auto" w:fill="auto"/>
            <w:noWrap/>
            <w:vAlign w:val="bottom"/>
          </w:tcPr>
          <w:p w14:paraId="681E2194"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0.17</w:t>
            </w:r>
          </w:p>
        </w:tc>
        <w:tc>
          <w:tcPr>
            <w:tcW w:w="924" w:type="pct"/>
            <w:vAlign w:val="bottom"/>
          </w:tcPr>
          <w:p w14:paraId="66FB207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0.16</w:t>
            </w:r>
          </w:p>
        </w:tc>
      </w:tr>
      <w:tr w:rsidR="009A36D2" w:rsidRPr="009A3489" w14:paraId="4F52F60E" w14:textId="77777777" w:rsidTr="00281A92">
        <w:trPr>
          <w:trHeight w:val="20"/>
          <w:jc w:val="center"/>
        </w:trPr>
        <w:tc>
          <w:tcPr>
            <w:tcW w:w="5000" w:type="pct"/>
            <w:gridSpan w:val="5"/>
            <w:shd w:val="clear" w:color="auto" w:fill="auto"/>
            <w:noWrap/>
            <w:vAlign w:val="bottom"/>
            <w:hideMark/>
          </w:tcPr>
          <w:p w14:paraId="384878E7" w14:textId="77777777" w:rsidR="009A36D2" w:rsidRPr="009A3489" w:rsidRDefault="009A36D2" w:rsidP="00281A92">
            <w:pPr>
              <w:pStyle w:val="ListParagraph"/>
              <w:numPr>
                <w:ilvl w:val="0"/>
                <w:numId w:val="110"/>
              </w:numPr>
              <w:tabs>
                <w:tab w:val="left" w:pos="525"/>
              </w:tabs>
              <w:spacing w:before="0" w:after="0" w:line="240" w:lineRule="auto"/>
              <w:ind w:right="417"/>
              <w:jc w:val="left"/>
              <w:rPr>
                <w:b/>
                <w:bCs/>
                <w:color w:val="auto"/>
                <w:sz w:val="20"/>
                <w:szCs w:val="20"/>
              </w:rPr>
            </w:pPr>
            <w:r w:rsidRPr="009A3489">
              <w:rPr>
                <w:b/>
                <w:bCs/>
                <w:color w:val="auto"/>
                <w:sz w:val="20"/>
                <w:szCs w:val="20"/>
              </w:rPr>
              <w:t>Vertical SP RMSE (°)</w:t>
            </w:r>
          </w:p>
        </w:tc>
      </w:tr>
      <w:tr w:rsidR="009A36D2" w:rsidRPr="009A3489" w14:paraId="3C1445B2" w14:textId="77777777" w:rsidTr="00281A92">
        <w:trPr>
          <w:trHeight w:val="20"/>
          <w:jc w:val="center"/>
        </w:trPr>
        <w:tc>
          <w:tcPr>
            <w:tcW w:w="5000" w:type="pct"/>
            <w:gridSpan w:val="5"/>
            <w:shd w:val="clear" w:color="auto" w:fill="D9D9D9" w:themeFill="background1" w:themeFillShade="D9"/>
            <w:noWrap/>
            <w:vAlign w:val="bottom"/>
          </w:tcPr>
          <w:p w14:paraId="3CB66382"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Young (18-39 years old)</w:t>
            </w:r>
          </w:p>
        </w:tc>
      </w:tr>
      <w:tr w:rsidR="009A36D2" w:rsidRPr="009A3489" w14:paraId="47AE7DAB" w14:textId="77777777" w:rsidTr="00281A92">
        <w:trPr>
          <w:trHeight w:val="20"/>
          <w:jc w:val="center"/>
        </w:trPr>
        <w:tc>
          <w:tcPr>
            <w:tcW w:w="1293" w:type="pct"/>
            <w:tcBorders>
              <w:tl2br w:val="single" w:sz="4" w:space="0" w:color="auto"/>
            </w:tcBorders>
            <w:shd w:val="clear" w:color="auto" w:fill="auto"/>
            <w:hideMark/>
          </w:tcPr>
          <w:p w14:paraId="70C2A4D6"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763AAA83" w14:textId="77777777" w:rsidR="009A36D2" w:rsidRPr="009A3489" w:rsidRDefault="009A36D2" w:rsidP="00281A92">
            <w:pPr>
              <w:spacing w:before="0" w:after="0" w:line="240" w:lineRule="auto"/>
              <w:rPr>
                <w:color w:val="auto"/>
                <w:sz w:val="20"/>
                <w:szCs w:val="20"/>
              </w:rPr>
            </w:pPr>
          </w:p>
          <w:p w14:paraId="43AC5EB2"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46B9BD49"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5E9F8591"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28D3E2AB"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63AB8F8A"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0E0F6047" w14:textId="77777777" w:rsidTr="00281A92">
        <w:trPr>
          <w:trHeight w:val="20"/>
          <w:jc w:val="center"/>
        </w:trPr>
        <w:tc>
          <w:tcPr>
            <w:tcW w:w="1293" w:type="pct"/>
            <w:shd w:val="clear" w:color="auto" w:fill="auto"/>
            <w:noWrap/>
            <w:vAlign w:val="bottom"/>
            <w:hideMark/>
          </w:tcPr>
          <w:p w14:paraId="0C17EF7A"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0D4AD37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0.52</w:t>
            </w:r>
          </w:p>
        </w:tc>
        <w:tc>
          <w:tcPr>
            <w:tcW w:w="928" w:type="pct"/>
            <w:shd w:val="clear" w:color="auto" w:fill="auto"/>
            <w:noWrap/>
            <w:vAlign w:val="bottom"/>
          </w:tcPr>
          <w:p w14:paraId="0A9E71C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0.68</w:t>
            </w:r>
          </w:p>
        </w:tc>
        <w:tc>
          <w:tcPr>
            <w:tcW w:w="928" w:type="pct"/>
            <w:shd w:val="clear" w:color="auto" w:fill="auto"/>
            <w:noWrap/>
            <w:vAlign w:val="bottom"/>
          </w:tcPr>
          <w:p w14:paraId="7B7F2C4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0.95</w:t>
            </w:r>
          </w:p>
        </w:tc>
        <w:tc>
          <w:tcPr>
            <w:tcW w:w="924" w:type="pct"/>
            <w:vAlign w:val="bottom"/>
          </w:tcPr>
          <w:p w14:paraId="58D2122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1.74</w:t>
            </w:r>
          </w:p>
        </w:tc>
      </w:tr>
      <w:tr w:rsidR="009A36D2" w:rsidRPr="009A3489" w14:paraId="55E9894A" w14:textId="77777777" w:rsidTr="00281A92">
        <w:trPr>
          <w:trHeight w:val="20"/>
          <w:jc w:val="center"/>
        </w:trPr>
        <w:tc>
          <w:tcPr>
            <w:tcW w:w="1293" w:type="pct"/>
            <w:shd w:val="clear" w:color="auto" w:fill="auto"/>
            <w:noWrap/>
            <w:vAlign w:val="bottom"/>
            <w:hideMark/>
          </w:tcPr>
          <w:p w14:paraId="7EED2BCD"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bottom"/>
          </w:tcPr>
          <w:p w14:paraId="6BB6578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0.36</w:t>
            </w:r>
          </w:p>
        </w:tc>
        <w:tc>
          <w:tcPr>
            <w:tcW w:w="928" w:type="pct"/>
            <w:shd w:val="clear" w:color="auto" w:fill="auto"/>
            <w:noWrap/>
            <w:vAlign w:val="bottom"/>
          </w:tcPr>
          <w:p w14:paraId="4D4899D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0.46</w:t>
            </w:r>
          </w:p>
        </w:tc>
        <w:tc>
          <w:tcPr>
            <w:tcW w:w="928" w:type="pct"/>
            <w:shd w:val="clear" w:color="auto" w:fill="auto"/>
            <w:noWrap/>
            <w:vAlign w:val="bottom"/>
          </w:tcPr>
          <w:p w14:paraId="754328D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0.94</w:t>
            </w:r>
          </w:p>
        </w:tc>
        <w:tc>
          <w:tcPr>
            <w:tcW w:w="924" w:type="pct"/>
            <w:vAlign w:val="bottom"/>
          </w:tcPr>
          <w:p w14:paraId="2C83C35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2.44</w:t>
            </w:r>
          </w:p>
        </w:tc>
      </w:tr>
      <w:tr w:rsidR="009A36D2" w:rsidRPr="009A3489" w14:paraId="4A7CC842" w14:textId="77777777" w:rsidTr="00281A92">
        <w:trPr>
          <w:trHeight w:val="20"/>
          <w:jc w:val="center"/>
        </w:trPr>
        <w:tc>
          <w:tcPr>
            <w:tcW w:w="1293" w:type="pct"/>
            <w:shd w:val="clear" w:color="auto" w:fill="auto"/>
            <w:noWrap/>
            <w:vAlign w:val="bottom"/>
            <w:hideMark/>
          </w:tcPr>
          <w:p w14:paraId="7B44CDEC"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199CC21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0.35</w:t>
            </w:r>
          </w:p>
        </w:tc>
        <w:tc>
          <w:tcPr>
            <w:tcW w:w="928" w:type="pct"/>
            <w:shd w:val="clear" w:color="auto" w:fill="auto"/>
            <w:noWrap/>
            <w:vAlign w:val="bottom"/>
          </w:tcPr>
          <w:p w14:paraId="2DCF6AE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1.17</w:t>
            </w:r>
          </w:p>
        </w:tc>
        <w:tc>
          <w:tcPr>
            <w:tcW w:w="928" w:type="pct"/>
            <w:shd w:val="clear" w:color="auto" w:fill="auto"/>
            <w:noWrap/>
            <w:vAlign w:val="bottom"/>
          </w:tcPr>
          <w:p w14:paraId="0944619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1.01</w:t>
            </w:r>
          </w:p>
        </w:tc>
        <w:tc>
          <w:tcPr>
            <w:tcW w:w="924" w:type="pct"/>
            <w:vAlign w:val="bottom"/>
          </w:tcPr>
          <w:p w14:paraId="1F603FD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2.03</w:t>
            </w:r>
          </w:p>
        </w:tc>
      </w:tr>
      <w:tr w:rsidR="009A36D2" w:rsidRPr="009A3489" w14:paraId="7E96681D" w14:textId="77777777" w:rsidTr="00281A92">
        <w:trPr>
          <w:trHeight w:val="20"/>
          <w:jc w:val="center"/>
        </w:trPr>
        <w:tc>
          <w:tcPr>
            <w:tcW w:w="1293" w:type="pct"/>
            <w:shd w:val="clear" w:color="auto" w:fill="auto"/>
            <w:noWrap/>
            <w:vAlign w:val="bottom"/>
            <w:hideMark/>
          </w:tcPr>
          <w:p w14:paraId="301B6092"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25549DA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0.64</w:t>
            </w:r>
          </w:p>
        </w:tc>
        <w:tc>
          <w:tcPr>
            <w:tcW w:w="928" w:type="pct"/>
            <w:shd w:val="clear" w:color="auto" w:fill="auto"/>
            <w:noWrap/>
            <w:vAlign w:val="bottom"/>
          </w:tcPr>
          <w:p w14:paraId="3A30D6A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1.18</w:t>
            </w:r>
          </w:p>
        </w:tc>
        <w:tc>
          <w:tcPr>
            <w:tcW w:w="928" w:type="pct"/>
            <w:shd w:val="clear" w:color="auto" w:fill="auto"/>
            <w:noWrap/>
            <w:vAlign w:val="bottom"/>
          </w:tcPr>
          <w:p w14:paraId="7EA6927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1.86</w:t>
            </w:r>
          </w:p>
        </w:tc>
        <w:tc>
          <w:tcPr>
            <w:tcW w:w="924" w:type="pct"/>
            <w:vAlign w:val="bottom"/>
          </w:tcPr>
          <w:p w14:paraId="574EA17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2.81</w:t>
            </w:r>
          </w:p>
        </w:tc>
      </w:tr>
      <w:tr w:rsidR="009A36D2" w:rsidRPr="009A3489" w14:paraId="70BF51C7" w14:textId="77777777" w:rsidTr="00281A92">
        <w:trPr>
          <w:trHeight w:val="20"/>
          <w:jc w:val="center"/>
        </w:trPr>
        <w:tc>
          <w:tcPr>
            <w:tcW w:w="1293" w:type="pct"/>
            <w:shd w:val="clear" w:color="auto" w:fill="auto"/>
            <w:noWrap/>
            <w:vAlign w:val="bottom"/>
            <w:hideMark/>
          </w:tcPr>
          <w:p w14:paraId="6B251EB6"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0A1827D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1.01</w:t>
            </w:r>
          </w:p>
        </w:tc>
        <w:tc>
          <w:tcPr>
            <w:tcW w:w="928" w:type="pct"/>
            <w:shd w:val="clear" w:color="auto" w:fill="auto"/>
            <w:noWrap/>
            <w:vAlign w:val="bottom"/>
          </w:tcPr>
          <w:p w14:paraId="5BBC9F4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0.92</w:t>
            </w:r>
          </w:p>
        </w:tc>
        <w:tc>
          <w:tcPr>
            <w:tcW w:w="928" w:type="pct"/>
            <w:shd w:val="clear" w:color="auto" w:fill="auto"/>
            <w:noWrap/>
            <w:vAlign w:val="bottom"/>
          </w:tcPr>
          <w:p w14:paraId="6E37F1A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2.41</w:t>
            </w:r>
          </w:p>
        </w:tc>
        <w:tc>
          <w:tcPr>
            <w:tcW w:w="924" w:type="pct"/>
            <w:vAlign w:val="bottom"/>
          </w:tcPr>
          <w:p w14:paraId="733FC6E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2.27</w:t>
            </w:r>
          </w:p>
        </w:tc>
      </w:tr>
      <w:tr w:rsidR="009A36D2" w:rsidRPr="009A3489" w14:paraId="228A6936" w14:textId="77777777" w:rsidTr="00281A92">
        <w:trPr>
          <w:trHeight w:val="20"/>
          <w:jc w:val="center"/>
        </w:trPr>
        <w:tc>
          <w:tcPr>
            <w:tcW w:w="1293" w:type="pct"/>
            <w:shd w:val="clear" w:color="auto" w:fill="auto"/>
            <w:noWrap/>
            <w:vAlign w:val="bottom"/>
            <w:hideMark/>
          </w:tcPr>
          <w:p w14:paraId="76B13DD8"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089E7FB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0.36</w:t>
            </w:r>
          </w:p>
        </w:tc>
        <w:tc>
          <w:tcPr>
            <w:tcW w:w="928" w:type="pct"/>
            <w:shd w:val="clear" w:color="auto" w:fill="auto"/>
            <w:noWrap/>
            <w:vAlign w:val="bottom"/>
          </w:tcPr>
          <w:p w14:paraId="4396F0F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0.65</w:t>
            </w:r>
          </w:p>
        </w:tc>
        <w:tc>
          <w:tcPr>
            <w:tcW w:w="928" w:type="pct"/>
            <w:shd w:val="clear" w:color="auto" w:fill="auto"/>
            <w:noWrap/>
            <w:vAlign w:val="bottom"/>
          </w:tcPr>
          <w:p w14:paraId="10A6166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0.96</w:t>
            </w:r>
          </w:p>
        </w:tc>
        <w:tc>
          <w:tcPr>
            <w:tcW w:w="924" w:type="pct"/>
            <w:vAlign w:val="bottom"/>
          </w:tcPr>
          <w:p w14:paraId="4EB5765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1.53</w:t>
            </w:r>
          </w:p>
        </w:tc>
      </w:tr>
      <w:tr w:rsidR="009A36D2" w:rsidRPr="009A3489" w14:paraId="4B2A2635" w14:textId="77777777" w:rsidTr="00281A92">
        <w:trPr>
          <w:trHeight w:val="20"/>
          <w:jc w:val="center"/>
        </w:trPr>
        <w:tc>
          <w:tcPr>
            <w:tcW w:w="1293" w:type="pct"/>
            <w:shd w:val="clear" w:color="auto" w:fill="auto"/>
            <w:noWrap/>
            <w:vAlign w:val="bottom"/>
            <w:hideMark/>
          </w:tcPr>
          <w:p w14:paraId="32F30287"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2FB4BA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0.51</w:t>
            </w:r>
          </w:p>
        </w:tc>
        <w:tc>
          <w:tcPr>
            <w:tcW w:w="928" w:type="pct"/>
            <w:shd w:val="clear" w:color="auto" w:fill="auto"/>
            <w:noWrap/>
            <w:vAlign w:val="bottom"/>
          </w:tcPr>
          <w:p w14:paraId="436688D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0.86</w:t>
            </w:r>
          </w:p>
        </w:tc>
        <w:tc>
          <w:tcPr>
            <w:tcW w:w="928" w:type="pct"/>
            <w:shd w:val="clear" w:color="auto" w:fill="auto"/>
            <w:noWrap/>
            <w:vAlign w:val="bottom"/>
          </w:tcPr>
          <w:p w14:paraId="4F9BBDF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1.47</w:t>
            </w:r>
          </w:p>
        </w:tc>
        <w:tc>
          <w:tcPr>
            <w:tcW w:w="924" w:type="pct"/>
            <w:vAlign w:val="bottom"/>
          </w:tcPr>
          <w:p w14:paraId="24D2EF1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2.00</w:t>
            </w:r>
          </w:p>
        </w:tc>
      </w:tr>
      <w:tr w:rsidR="009A36D2" w:rsidRPr="009A3489" w14:paraId="730172F1" w14:textId="77777777" w:rsidTr="00281A92">
        <w:trPr>
          <w:trHeight w:val="20"/>
          <w:jc w:val="center"/>
        </w:trPr>
        <w:tc>
          <w:tcPr>
            <w:tcW w:w="1293" w:type="pct"/>
            <w:shd w:val="clear" w:color="auto" w:fill="auto"/>
            <w:noWrap/>
            <w:vAlign w:val="bottom"/>
            <w:hideMark/>
          </w:tcPr>
          <w:p w14:paraId="2B08A096"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0505727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0.43</w:t>
            </w:r>
          </w:p>
        </w:tc>
        <w:tc>
          <w:tcPr>
            <w:tcW w:w="928" w:type="pct"/>
            <w:shd w:val="clear" w:color="auto" w:fill="auto"/>
            <w:noWrap/>
            <w:vAlign w:val="bottom"/>
          </w:tcPr>
          <w:p w14:paraId="3D04D5C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0.85</w:t>
            </w:r>
          </w:p>
        </w:tc>
        <w:tc>
          <w:tcPr>
            <w:tcW w:w="928" w:type="pct"/>
            <w:shd w:val="clear" w:color="auto" w:fill="auto"/>
            <w:noWrap/>
            <w:vAlign w:val="bottom"/>
          </w:tcPr>
          <w:p w14:paraId="7D8A4D5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1.34</w:t>
            </w:r>
          </w:p>
        </w:tc>
        <w:tc>
          <w:tcPr>
            <w:tcW w:w="924" w:type="pct"/>
            <w:vAlign w:val="bottom"/>
          </w:tcPr>
          <w:p w14:paraId="3DC6143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2.03</w:t>
            </w:r>
          </w:p>
        </w:tc>
      </w:tr>
      <w:tr w:rsidR="009A36D2" w:rsidRPr="009A3489" w14:paraId="23176E71" w14:textId="77777777" w:rsidTr="00281A92">
        <w:trPr>
          <w:trHeight w:val="20"/>
          <w:jc w:val="center"/>
        </w:trPr>
        <w:tc>
          <w:tcPr>
            <w:tcW w:w="1293" w:type="pct"/>
            <w:shd w:val="clear" w:color="auto" w:fill="auto"/>
            <w:noWrap/>
            <w:vAlign w:val="bottom"/>
            <w:hideMark/>
          </w:tcPr>
          <w:p w14:paraId="19A36AE9"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2D491AB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0.75</w:t>
            </w:r>
          </w:p>
        </w:tc>
        <w:tc>
          <w:tcPr>
            <w:tcW w:w="928" w:type="pct"/>
            <w:shd w:val="clear" w:color="auto" w:fill="auto"/>
            <w:noWrap/>
            <w:vAlign w:val="bottom"/>
          </w:tcPr>
          <w:p w14:paraId="6893203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0.85</w:t>
            </w:r>
          </w:p>
        </w:tc>
        <w:tc>
          <w:tcPr>
            <w:tcW w:w="928" w:type="pct"/>
            <w:shd w:val="clear" w:color="auto" w:fill="auto"/>
            <w:noWrap/>
            <w:vAlign w:val="bottom"/>
          </w:tcPr>
          <w:p w14:paraId="6F48E01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1.25</w:t>
            </w:r>
          </w:p>
        </w:tc>
        <w:tc>
          <w:tcPr>
            <w:tcW w:w="924" w:type="pct"/>
            <w:vAlign w:val="bottom"/>
          </w:tcPr>
          <w:p w14:paraId="59C9859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1.78</w:t>
            </w:r>
          </w:p>
        </w:tc>
      </w:tr>
      <w:tr w:rsidR="009A36D2" w:rsidRPr="009A3489" w14:paraId="0E15DC1D" w14:textId="77777777" w:rsidTr="00281A92">
        <w:trPr>
          <w:trHeight w:val="20"/>
          <w:jc w:val="center"/>
        </w:trPr>
        <w:tc>
          <w:tcPr>
            <w:tcW w:w="1293" w:type="pct"/>
            <w:shd w:val="clear" w:color="auto" w:fill="auto"/>
            <w:noWrap/>
            <w:vAlign w:val="bottom"/>
            <w:hideMark/>
          </w:tcPr>
          <w:p w14:paraId="54F4A470"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4855502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0.49</w:t>
            </w:r>
          </w:p>
        </w:tc>
        <w:tc>
          <w:tcPr>
            <w:tcW w:w="928" w:type="pct"/>
            <w:shd w:val="clear" w:color="auto" w:fill="auto"/>
            <w:noWrap/>
            <w:vAlign w:val="bottom"/>
          </w:tcPr>
          <w:p w14:paraId="0BF0BE7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0.65</w:t>
            </w:r>
          </w:p>
        </w:tc>
        <w:tc>
          <w:tcPr>
            <w:tcW w:w="928" w:type="pct"/>
            <w:shd w:val="clear" w:color="auto" w:fill="auto"/>
            <w:noWrap/>
            <w:vAlign w:val="bottom"/>
          </w:tcPr>
          <w:p w14:paraId="2DC87E7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1.29</w:t>
            </w:r>
          </w:p>
        </w:tc>
        <w:tc>
          <w:tcPr>
            <w:tcW w:w="924" w:type="pct"/>
            <w:vAlign w:val="bottom"/>
          </w:tcPr>
          <w:p w14:paraId="7FA8E9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1.86</w:t>
            </w:r>
          </w:p>
        </w:tc>
      </w:tr>
      <w:tr w:rsidR="009A36D2" w:rsidRPr="009A3489" w14:paraId="727FF836" w14:textId="77777777" w:rsidTr="00281A92">
        <w:trPr>
          <w:trHeight w:val="20"/>
          <w:jc w:val="center"/>
        </w:trPr>
        <w:tc>
          <w:tcPr>
            <w:tcW w:w="1293" w:type="pct"/>
            <w:shd w:val="clear" w:color="auto" w:fill="auto"/>
            <w:noWrap/>
            <w:vAlign w:val="bottom"/>
            <w:hideMark/>
          </w:tcPr>
          <w:p w14:paraId="77A9F60F"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4E51A02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0.37</w:t>
            </w:r>
          </w:p>
        </w:tc>
        <w:tc>
          <w:tcPr>
            <w:tcW w:w="928" w:type="pct"/>
            <w:shd w:val="clear" w:color="auto" w:fill="auto"/>
            <w:noWrap/>
            <w:vAlign w:val="bottom"/>
          </w:tcPr>
          <w:p w14:paraId="2C78BD1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0.48</w:t>
            </w:r>
          </w:p>
        </w:tc>
        <w:tc>
          <w:tcPr>
            <w:tcW w:w="928" w:type="pct"/>
            <w:shd w:val="clear" w:color="auto" w:fill="auto"/>
            <w:noWrap/>
            <w:vAlign w:val="bottom"/>
          </w:tcPr>
          <w:p w14:paraId="2EFA466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1.08</w:t>
            </w:r>
          </w:p>
        </w:tc>
        <w:tc>
          <w:tcPr>
            <w:tcW w:w="924" w:type="pct"/>
            <w:vAlign w:val="bottom"/>
          </w:tcPr>
          <w:p w14:paraId="526B1E8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1.69</w:t>
            </w:r>
          </w:p>
        </w:tc>
      </w:tr>
      <w:tr w:rsidR="009A36D2" w:rsidRPr="009A3489" w14:paraId="61B69DAF" w14:textId="77777777" w:rsidTr="00281A92">
        <w:trPr>
          <w:trHeight w:val="20"/>
          <w:jc w:val="center"/>
        </w:trPr>
        <w:tc>
          <w:tcPr>
            <w:tcW w:w="1293" w:type="pct"/>
            <w:shd w:val="clear" w:color="auto" w:fill="auto"/>
            <w:noWrap/>
            <w:vAlign w:val="bottom"/>
            <w:hideMark/>
          </w:tcPr>
          <w:p w14:paraId="32622C86"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7B52E2B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35D0CF7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1.13</w:t>
            </w:r>
          </w:p>
        </w:tc>
        <w:tc>
          <w:tcPr>
            <w:tcW w:w="928" w:type="pct"/>
            <w:shd w:val="clear" w:color="auto" w:fill="auto"/>
            <w:noWrap/>
            <w:vAlign w:val="bottom"/>
          </w:tcPr>
          <w:p w14:paraId="26B2DBD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1.48</w:t>
            </w:r>
          </w:p>
        </w:tc>
        <w:tc>
          <w:tcPr>
            <w:tcW w:w="924" w:type="pct"/>
            <w:vAlign w:val="bottom"/>
          </w:tcPr>
          <w:p w14:paraId="36A7E2D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1.79</w:t>
            </w:r>
          </w:p>
        </w:tc>
      </w:tr>
      <w:tr w:rsidR="009A36D2" w:rsidRPr="009A3489" w14:paraId="18A43121" w14:textId="77777777" w:rsidTr="00281A92">
        <w:trPr>
          <w:trHeight w:val="20"/>
          <w:jc w:val="center"/>
        </w:trPr>
        <w:tc>
          <w:tcPr>
            <w:tcW w:w="1293" w:type="pct"/>
            <w:shd w:val="clear" w:color="auto" w:fill="auto"/>
            <w:noWrap/>
            <w:vAlign w:val="bottom"/>
            <w:hideMark/>
          </w:tcPr>
          <w:p w14:paraId="35CC3045"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75649DE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0.41</w:t>
            </w:r>
          </w:p>
        </w:tc>
        <w:tc>
          <w:tcPr>
            <w:tcW w:w="928" w:type="pct"/>
            <w:shd w:val="clear" w:color="auto" w:fill="auto"/>
            <w:noWrap/>
            <w:vAlign w:val="bottom"/>
          </w:tcPr>
          <w:p w14:paraId="300ABB2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0.58</w:t>
            </w:r>
          </w:p>
        </w:tc>
        <w:tc>
          <w:tcPr>
            <w:tcW w:w="928" w:type="pct"/>
            <w:shd w:val="clear" w:color="auto" w:fill="auto"/>
            <w:noWrap/>
            <w:vAlign w:val="bottom"/>
          </w:tcPr>
          <w:p w14:paraId="26B99F8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1.12</w:t>
            </w:r>
          </w:p>
        </w:tc>
        <w:tc>
          <w:tcPr>
            <w:tcW w:w="924" w:type="pct"/>
            <w:vAlign w:val="bottom"/>
          </w:tcPr>
          <w:p w14:paraId="3A2AD7C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1.66</w:t>
            </w:r>
          </w:p>
        </w:tc>
      </w:tr>
      <w:tr w:rsidR="009A36D2" w:rsidRPr="009A3489" w14:paraId="7D6B7549" w14:textId="77777777" w:rsidTr="00281A92">
        <w:trPr>
          <w:trHeight w:val="20"/>
          <w:jc w:val="center"/>
        </w:trPr>
        <w:tc>
          <w:tcPr>
            <w:tcW w:w="1293" w:type="pct"/>
            <w:shd w:val="clear" w:color="auto" w:fill="auto"/>
            <w:noWrap/>
            <w:vAlign w:val="bottom"/>
            <w:hideMark/>
          </w:tcPr>
          <w:p w14:paraId="6DFD77EE"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2FEEE77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0.38</w:t>
            </w:r>
          </w:p>
        </w:tc>
        <w:tc>
          <w:tcPr>
            <w:tcW w:w="928" w:type="pct"/>
            <w:shd w:val="clear" w:color="auto" w:fill="auto"/>
            <w:noWrap/>
            <w:vAlign w:val="bottom"/>
          </w:tcPr>
          <w:p w14:paraId="7B32796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0.67</w:t>
            </w:r>
          </w:p>
        </w:tc>
        <w:tc>
          <w:tcPr>
            <w:tcW w:w="928" w:type="pct"/>
            <w:shd w:val="clear" w:color="auto" w:fill="auto"/>
            <w:noWrap/>
            <w:vAlign w:val="bottom"/>
          </w:tcPr>
          <w:p w14:paraId="5A682E9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1.17</w:t>
            </w:r>
          </w:p>
        </w:tc>
        <w:tc>
          <w:tcPr>
            <w:tcW w:w="924" w:type="pct"/>
            <w:vAlign w:val="bottom"/>
          </w:tcPr>
          <w:p w14:paraId="69D076D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1.50</w:t>
            </w:r>
          </w:p>
        </w:tc>
      </w:tr>
      <w:tr w:rsidR="009A36D2" w:rsidRPr="009A3489" w14:paraId="19FC3167" w14:textId="77777777" w:rsidTr="00281A92">
        <w:trPr>
          <w:trHeight w:val="20"/>
          <w:jc w:val="center"/>
        </w:trPr>
        <w:tc>
          <w:tcPr>
            <w:tcW w:w="1293" w:type="pct"/>
            <w:shd w:val="clear" w:color="auto" w:fill="auto"/>
            <w:noWrap/>
            <w:vAlign w:val="bottom"/>
            <w:hideMark/>
          </w:tcPr>
          <w:p w14:paraId="1E7F5C4B"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17047CF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0.48</w:t>
            </w:r>
          </w:p>
        </w:tc>
        <w:tc>
          <w:tcPr>
            <w:tcW w:w="928" w:type="pct"/>
            <w:shd w:val="clear" w:color="auto" w:fill="auto"/>
            <w:noWrap/>
            <w:vAlign w:val="bottom"/>
          </w:tcPr>
          <w:p w14:paraId="2239FF4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1.16</w:t>
            </w:r>
          </w:p>
        </w:tc>
        <w:tc>
          <w:tcPr>
            <w:tcW w:w="928" w:type="pct"/>
            <w:shd w:val="clear" w:color="auto" w:fill="auto"/>
            <w:noWrap/>
            <w:vAlign w:val="bottom"/>
          </w:tcPr>
          <w:p w14:paraId="2602CC1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1.54</w:t>
            </w:r>
          </w:p>
        </w:tc>
        <w:tc>
          <w:tcPr>
            <w:tcW w:w="924" w:type="pct"/>
            <w:vAlign w:val="bottom"/>
          </w:tcPr>
          <w:p w14:paraId="545D4A6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2.63</w:t>
            </w:r>
          </w:p>
        </w:tc>
      </w:tr>
      <w:tr w:rsidR="009A36D2" w:rsidRPr="009A3489" w14:paraId="19D4BE90" w14:textId="77777777" w:rsidTr="00281A92">
        <w:trPr>
          <w:trHeight w:val="20"/>
          <w:jc w:val="center"/>
        </w:trPr>
        <w:tc>
          <w:tcPr>
            <w:tcW w:w="1293" w:type="pct"/>
            <w:shd w:val="clear" w:color="auto" w:fill="auto"/>
            <w:noWrap/>
            <w:vAlign w:val="bottom"/>
            <w:hideMark/>
          </w:tcPr>
          <w:p w14:paraId="7B000A0A" w14:textId="77777777" w:rsidR="009A36D2" w:rsidRPr="009A3489" w:rsidRDefault="009A36D2" w:rsidP="00281A92">
            <w:pPr>
              <w:spacing w:before="0" w:after="0" w:line="240" w:lineRule="auto"/>
              <w:rPr>
                <w:color w:val="auto"/>
                <w:sz w:val="20"/>
                <w:szCs w:val="20"/>
              </w:rPr>
            </w:pPr>
            <w:r w:rsidRPr="009A3489">
              <w:rPr>
                <w:color w:val="auto"/>
                <w:sz w:val="20"/>
                <w:szCs w:val="20"/>
              </w:rPr>
              <w:t>16</w:t>
            </w:r>
          </w:p>
        </w:tc>
        <w:tc>
          <w:tcPr>
            <w:tcW w:w="927" w:type="pct"/>
            <w:shd w:val="clear" w:color="auto" w:fill="auto"/>
            <w:noWrap/>
            <w:vAlign w:val="bottom"/>
          </w:tcPr>
          <w:p w14:paraId="4B8E28B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0.36</w:t>
            </w:r>
          </w:p>
        </w:tc>
        <w:tc>
          <w:tcPr>
            <w:tcW w:w="928" w:type="pct"/>
            <w:shd w:val="clear" w:color="auto" w:fill="auto"/>
            <w:noWrap/>
            <w:vAlign w:val="bottom"/>
          </w:tcPr>
          <w:p w14:paraId="27BD549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0.57</w:t>
            </w:r>
          </w:p>
        </w:tc>
        <w:tc>
          <w:tcPr>
            <w:tcW w:w="928" w:type="pct"/>
            <w:shd w:val="clear" w:color="auto" w:fill="auto"/>
            <w:noWrap/>
            <w:vAlign w:val="bottom"/>
          </w:tcPr>
          <w:p w14:paraId="256309B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1.00</w:t>
            </w:r>
          </w:p>
        </w:tc>
        <w:tc>
          <w:tcPr>
            <w:tcW w:w="924" w:type="pct"/>
            <w:vAlign w:val="bottom"/>
          </w:tcPr>
          <w:p w14:paraId="6378515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1.14</w:t>
            </w:r>
          </w:p>
        </w:tc>
      </w:tr>
      <w:tr w:rsidR="009A36D2" w:rsidRPr="009A3489" w14:paraId="0F6D16A7" w14:textId="77777777" w:rsidTr="00281A92">
        <w:trPr>
          <w:trHeight w:val="20"/>
          <w:jc w:val="center"/>
        </w:trPr>
        <w:tc>
          <w:tcPr>
            <w:tcW w:w="1293" w:type="pct"/>
            <w:shd w:val="clear" w:color="auto" w:fill="auto"/>
            <w:noWrap/>
            <w:vAlign w:val="bottom"/>
            <w:hideMark/>
          </w:tcPr>
          <w:p w14:paraId="119F52E3" w14:textId="77777777" w:rsidR="009A36D2" w:rsidRPr="009A3489" w:rsidRDefault="009A36D2" w:rsidP="00281A92">
            <w:pPr>
              <w:spacing w:before="0" w:after="0" w:line="240" w:lineRule="auto"/>
              <w:rPr>
                <w:color w:val="auto"/>
                <w:sz w:val="20"/>
                <w:szCs w:val="20"/>
              </w:rPr>
            </w:pPr>
            <w:r w:rsidRPr="009A3489">
              <w:rPr>
                <w:color w:val="auto"/>
                <w:sz w:val="20"/>
                <w:szCs w:val="20"/>
              </w:rPr>
              <w:t>17</w:t>
            </w:r>
          </w:p>
        </w:tc>
        <w:tc>
          <w:tcPr>
            <w:tcW w:w="927" w:type="pct"/>
            <w:shd w:val="clear" w:color="auto" w:fill="auto"/>
            <w:noWrap/>
            <w:vAlign w:val="bottom"/>
          </w:tcPr>
          <w:p w14:paraId="283B874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0.40</w:t>
            </w:r>
          </w:p>
        </w:tc>
        <w:tc>
          <w:tcPr>
            <w:tcW w:w="928" w:type="pct"/>
            <w:shd w:val="clear" w:color="auto" w:fill="auto"/>
            <w:noWrap/>
            <w:vAlign w:val="bottom"/>
          </w:tcPr>
          <w:p w14:paraId="0EC0E30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0.89</w:t>
            </w:r>
          </w:p>
        </w:tc>
        <w:tc>
          <w:tcPr>
            <w:tcW w:w="928" w:type="pct"/>
            <w:shd w:val="clear" w:color="auto" w:fill="auto"/>
            <w:noWrap/>
            <w:vAlign w:val="bottom"/>
          </w:tcPr>
          <w:p w14:paraId="18D2DE5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1.33</w:t>
            </w:r>
          </w:p>
        </w:tc>
        <w:tc>
          <w:tcPr>
            <w:tcW w:w="924" w:type="pct"/>
            <w:vAlign w:val="bottom"/>
          </w:tcPr>
          <w:p w14:paraId="6CA84BB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2.03</w:t>
            </w:r>
          </w:p>
        </w:tc>
      </w:tr>
      <w:tr w:rsidR="009A36D2" w:rsidRPr="009A3489" w14:paraId="37858EEF" w14:textId="77777777" w:rsidTr="00281A92">
        <w:trPr>
          <w:trHeight w:val="20"/>
          <w:jc w:val="center"/>
        </w:trPr>
        <w:tc>
          <w:tcPr>
            <w:tcW w:w="1293" w:type="pct"/>
            <w:shd w:val="clear" w:color="auto" w:fill="auto"/>
            <w:noWrap/>
            <w:vAlign w:val="bottom"/>
            <w:hideMark/>
          </w:tcPr>
          <w:p w14:paraId="670ACB9F" w14:textId="77777777" w:rsidR="009A36D2" w:rsidRPr="009A3489" w:rsidRDefault="009A36D2" w:rsidP="00281A92">
            <w:pPr>
              <w:spacing w:before="0" w:after="0" w:line="240" w:lineRule="auto"/>
              <w:rPr>
                <w:color w:val="auto"/>
                <w:sz w:val="20"/>
                <w:szCs w:val="20"/>
              </w:rPr>
            </w:pPr>
            <w:r w:rsidRPr="009A3489">
              <w:rPr>
                <w:color w:val="auto"/>
                <w:sz w:val="20"/>
                <w:szCs w:val="20"/>
              </w:rPr>
              <w:t>18</w:t>
            </w:r>
          </w:p>
        </w:tc>
        <w:tc>
          <w:tcPr>
            <w:tcW w:w="927" w:type="pct"/>
            <w:shd w:val="clear" w:color="auto" w:fill="auto"/>
            <w:noWrap/>
            <w:vAlign w:val="bottom"/>
          </w:tcPr>
          <w:p w14:paraId="2432937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1.00</w:t>
            </w:r>
          </w:p>
        </w:tc>
        <w:tc>
          <w:tcPr>
            <w:tcW w:w="928" w:type="pct"/>
            <w:shd w:val="clear" w:color="auto" w:fill="auto"/>
            <w:noWrap/>
            <w:vAlign w:val="bottom"/>
          </w:tcPr>
          <w:p w14:paraId="4350FE7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0.80</w:t>
            </w:r>
          </w:p>
        </w:tc>
        <w:tc>
          <w:tcPr>
            <w:tcW w:w="928" w:type="pct"/>
            <w:shd w:val="clear" w:color="auto" w:fill="auto"/>
            <w:noWrap/>
            <w:vAlign w:val="bottom"/>
          </w:tcPr>
          <w:p w14:paraId="1540310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1.25</w:t>
            </w:r>
          </w:p>
        </w:tc>
        <w:tc>
          <w:tcPr>
            <w:tcW w:w="924" w:type="pct"/>
            <w:vAlign w:val="bottom"/>
          </w:tcPr>
          <w:p w14:paraId="5AA643D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1.68</w:t>
            </w:r>
          </w:p>
        </w:tc>
      </w:tr>
      <w:tr w:rsidR="009A36D2" w:rsidRPr="009A3489" w14:paraId="1CF17631" w14:textId="77777777" w:rsidTr="00281A92">
        <w:trPr>
          <w:trHeight w:val="20"/>
          <w:jc w:val="center"/>
        </w:trPr>
        <w:tc>
          <w:tcPr>
            <w:tcW w:w="1293" w:type="pct"/>
            <w:shd w:val="clear" w:color="auto" w:fill="auto"/>
            <w:noWrap/>
            <w:vAlign w:val="bottom"/>
            <w:hideMark/>
          </w:tcPr>
          <w:p w14:paraId="19C93C05" w14:textId="77777777" w:rsidR="009A36D2" w:rsidRPr="009A3489" w:rsidRDefault="009A36D2" w:rsidP="00281A92">
            <w:pPr>
              <w:spacing w:before="0" w:after="0" w:line="240" w:lineRule="auto"/>
              <w:rPr>
                <w:color w:val="auto"/>
                <w:sz w:val="20"/>
                <w:szCs w:val="20"/>
              </w:rPr>
            </w:pPr>
            <w:r w:rsidRPr="009A3489">
              <w:rPr>
                <w:color w:val="auto"/>
                <w:sz w:val="20"/>
                <w:szCs w:val="20"/>
              </w:rPr>
              <w:t>19</w:t>
            </w:r>
          </w:p>
        </w:tc>
        <w:tc>
          <w:tcPr>
            <w:tcW w:w="927" w:type="pct"/>
            <w:shd w:val="clear" w:color="auto" w:fill="auto"/>
            <w:noWrap/>
            <w:vAlign w:val="bottom"/>
          </w:tcPr>
          <w:p w14:paraId="5810537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0.38</w:t>
            </w:r>
          </w:p>
        </w:tc>
        <w:tc>
          <w:tcPr>
            <w:tcW w:w="928" w:type="pct"/>
            <w:shd w:val="clear" w:color="auto" w:fill="auto"/>
            <w:noWrap/>
            <w:vAlign w:val="bottom"/>
          </w:tcPr>
          <w:p w14:paraId="055E2F2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0942E2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1.10</w:t>
            </w:r>
          </w:p>
        </w:tc>
        <w:tc>
          <w:tcPr>
            <w:tcW w:w="924" w:type="pct"/>
            <w:vAlign w:val="bottom"/>
          </w:tcPr>
          <w:p w14:paraId="65F2569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1.89</w:t>
            </w:r>
          </w:p>
        </w:tc>
      </w:tr>
      <w:tr w:rsidR="009A36D2" w:rsidRPr="009A3489" w14:paraId="3EBD028C" w14:textId="77777777" w:rsidTr="00281A92">
        <w:trPr>
          <w:trHeight w:val="20"/>
          <w:jc w:val="center"/>
        </w:trPr>
        <w:tc>
          <w:tcPr>
            <w:tcW w:w="1293" w:type="pct"/>
            <w:shd w:val="clear" w:color="auto" w:fill="auto"/>
            <w:noWrap/>
            <w:vAlign w:val="bottom"/>
            <w:hideMark/>
          </w:tcPr>
          <w:p w14:paraId="764FEF45" w14:textId="77777777" w:rsidR="009A36D2" w:rsidRPr="009A3489" w:rsidRDefault="009A36D2" w:rsidP="00281A92">
            <w:pPr>
              <w:spacing w:before="0" w:after="0" w:line="240" w:lineRule="auto"/>
              <w:rPr>
                <w:color w:val="auto"/>
                <w:sz w:val="20"/>
                <w:szCs w:val="20"/>
              </w:rPr>
            </w:pPr>
            <w:r w:rsidRPr="009A3489">
              <w:rPr>
                <w:color w:val="auto"/>
                <w:sz w:val="20"/>
                <w:szCs w:val="20"/>
              </w:rPr>
              <w:t>20</w:t>
            </w:r>
          </w:p>
        </w:tc>
        <w:tc>
          <w:tcPr>
            <w:tcW w:w="927" w:type="pct"/>
            <w:shd w:val="clear" w:color="auto" w:fill="auto"/>
            <w:noWrap/>
            <w:vAlign w:val="bottom"/>
          </w:tcPr>
          <w:p w14:paraId="739B101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0.71</w:t>
            </w:r>
          </w:p>
        </w:tc>
        <w:tc>
          <w:tcPr>
            <w:tcW w:w="928" w:type="pct"/>
            <w:shd w:val="clear" w:color="auto" w:fill="auto"/>
            <w:noWrap/>
            <w:vAlign w:val="bottom"/>
          </w:tcPr>
          <w:p w14:paraId="1EC6380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1.21</w:t>
            </w:r>
          </w:p>
        </w:tc>
        <w:tc>
          <w:tcPr>
            <w:tcW w:w="928" w:type="pct"/>
            <w:shd w:val="clear" w:color="auto" w:fill="auto"/>
            <w:noWrap/>
            <w:vAlign w:val="bottom"/>
          </w:tcPr>
          <w:p w14:paraId="3560120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1.37</w:t>
            </w:r>
          </w:p>
        </w:tc>
        <w:tc>
          <w:tcPr>
            <w:tcW w:w="924" w:type="pct"/>
            <w:vAlign w:val="bottom"/>
          </w:tcPr>
          <w:p w14:paraId="41A053D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1.76</w:t>
            </w:r>
          </w:p>
        </w:tc>
      </w:tr>
      <w:tr w:rsidR="009A36D2" w:rsidRPr="009A3489" w14:paraId="6EBF9805" w14:textId="77777777" w:rsidTr="00281A92">
        <w:trPr>
          <w:trHeight w:val="20"/>
          <w:jc w:val="center"/>
        </w:trPr>
        <w:tc>
          <w:tcPr>
            <w:tcW w:w="1293" w:type="pct"/>
            <w:shd w:val="clear" w:color="auto" w:fill="auto"/>
            <w:noWrap/>
            <w:vAlign w:val="bottom"/>
            <w:hideMark/>
          </w:tcPr>
          <w:p w14:paraId="74178B79" w14:textId="77777777" w:rsidR="009A36D2" w:rsidRPr="009A3489" w:rsidRDefault="009A36D2" w:rsidP="00281A92">
            <w:pPr>
              <w:spacing w:before="0" w:after="0" w:line="240" w:lineRule="auto"/>
              <w:rPr>
                <w:color w:val="auto"/>
                <w:sz w:val="20"/>
                <w:szCs w:val="20"/>
              </w:rPr>
            </w:pPr>
            <w:r w:rsidRPr="009A3489">
              <w:rPr>
                <w:color w:val="auto"/>
                <w:sz w:val="20"/>
                <w:szCs w:val="20"/>
              </w:rPr>
              <w:t>21</w:t>
            </w:r>
          </w:p>
        </w:tc>
        <w:tc>
          <w:tcPr>
            <w:tcW w:w="927" w:type="pct"/>
            <w:shd w:val="clear" w:color="auto" w:fill="auto"/>
            <w:noWrap/>
            <w:vAlign w:val="bottom"/>
          </w:tcPr>
          <w:p w14:paraId="464EA04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0.81</w:t>
            </w:r>
          </w:p>
        </w:tc>
        <w:tc>
          <w:tcPr>
            <w:tcW w:w="928" w:type="pct"/>
            <w:shd w:val="clear" w:color="auto" w:fill="auto"/>
            <w:noWrap/>
            <w:vAlign w:val="bottom"/>
          </w:tcPr>
          <w:p w14:paraId="5166F53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1.81</w:t>
            </w:r>
          </w:p>
        </w:tc>
        <w:tc>
          <w:tcPr>
            <w:tcW w:w="928" w:type="pct"/>
            <w:shd w:val="clear" w:color="auto" w:fill="auto"/>
            <w:noWrap/>
            <w:vAlign w:val="bottom"/>
          </w:tcPr>
          <w:p w14:paraId="75D9443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3.19</w:t>
            </w:r>
          </w:p>
        </w:tc>
        <w:tc>
          <w:tcPr>
            <w:tcW w:w="924" w:type="pct"/>
            <w:vAlign w:val="bottom"/>
          </w:tcPr>
          <w:p w14:paraId="2B1C10D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1.99</w:t>
            </w:r>
          </w:p>
        </w:tc>
      </w:tr>
      <w:tr w:rsidR="009A36D2" w:rsidRPr="009A3489" w14:paraId="1DBDBBB7" w14:textId="77777777" w:rsidTr="00281A92">
        <w:trPr>
          <w:trHeight w:val="20"/>
          <w:jc w:val="center"/>
        </w:trPr>
        <w:tc>
          <w:tcPr>
            <w:tcW w:w="1293" w:type="pct"/>
            <w:shd w:val="clear" w:color="auto" w:fill="auto"/>
            <w:noWrap/>
            <w:vAlign w:val="bottom"/>
            <w:hideMark/>
          </w:tcPr>
          <w:p w14:paraId="4737D853" w14:textId="77777777" w:rsidR="009A36D2" w:rsidRPr="009A3489" w:rsidRDefault="009A36D2" w:rsidP="00281A92">
            <w:pPr>
              <w:spacing w:before="0" w:after="0" w:line="240" w:lineRule="auto"/>
              <w:rPr>
                <w:color w:val="auto"/>
                <w:sz w:val="20"/>
                <w:szCs w:val="20"/>
              </w:rPr>
            </w:pPr>
            <w:r w:rsidRPr="009A3489">
              <w:rPr>
                <w:color w:val="auto"/>
                <w:sz w:val="20"/>
                <w:szCs w:val="20"/>
              </w:rPr>
              <w:t>22</w:t>
            </w:r>
          </w:p>
        </w:tc>
        <w:tc>
          <w:tcPr>
            <w:tcW w:w="927" w:type="pct"/>
            <w:shd w:val="clear" w:color="auto" w:fill="auto"/>
            <w:noWrap/>
            <w:vAlign w:val="bottom"/>
          </w:tcPr>
          <w:p w14:paraId="4472C03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0.28</w:t>
            </w:r>
          </w:p>
        </w:tc>
        <w:tc>
          <w:tcPr>
            <w:tcW w:w="928" w:type="pct"/>
            <w:shd w:val="clear" w:color="auto" w:fill="auto"/>
            <w:noWrap/>
            <w:vAlign w:val="bottom"/>
          </w:tcPr>
          <w:p w14:paraId="0144020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0.75</w:t>
            </w:r>
          </w:p>
        </w:tc>
        <w:tc>
          <w:tcPr>
            <w:tcW w:w="928" w:type="pct"/>
            <w:shd w:val="clear" w:color="auto" w:fill="auto"/>
            <w:noWrap/>
            <w:vAlign w:val="bottom"/>
          </w:tcPr>
          <w:p w14:paraId="290F75E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1.23</w:t>
            </w:r>
          </w:p>
        </w:tc>
        <w:tc>
          <w:tcPr>
            <w:tcW w:w="924" w:type="pct"/>
            <w:vAlign w:val="bottom"/>
          </w:tcPr>
          <w:p w14:paraId="512BF0B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1.91</w:t>
            </w:r>
          </w:p>
        </w:tc>
      </w:tr>
      <w:tr w:rsidR="009A36D2" w:rsidRPr="009A3489" w14:paraId="62FFD6FA" w14:textId="77777777" w:rsidTr="00281A92">
        <w:trPr>
          <w:trHeight w:val="20"/>
          <w:jc w:val="center"/>
        </w:trPr>
        <w:tc>
          <w:tcPr>
            <w:tcW w:w="1293" w:type="pct"/>
            <w:shd w:val="clear" w:color="auto" w:fill="auto"/>
            <w:noWrap/>
            <w:vAlign w:val="bottom"/>
            <w:hideMark/>
          </w:tcPr>
          <w:p w14:paraId="12D70B96" w14:textId="77777777" w:rsidR="009A36D2" w:rsidRPr="009A3489" w:rsidRDefault="009A36D2" w:rsidP="00281A92">
            <w:pPr>
              <w:spacing w:before="0" w:after="0" w:line="240" w:lineRule="auto"/>
              <w:rPr>
                <w:color w:val="auto"/>
                <w:sz w:val="20"/>
                <w:szCs w:val="20"/>
              </w:rPr>
            </w:pPr>
            <w:r w:rsidRPr="009A3489">
              <w:rPr>
                <w:color w:val="auto"/>
                <w:sz w:val="20"/>
                <w:szCs w:val="20"/>
              </w:rPr>
              <w:lastRenderedPageBreak/>
              <w:t>23</w:t>
            </w:r>
          </w:p>
        </w:tc>
        <w:tc>
          <w:tcPr>
            <w:tcW w:w="927" w:type="pct"/>
            <w:shd w:val="clear" w:color="auto" w:fill="auto"/>
            <w:noWrap/>
            <w:vAlign w:val="bottom"/>
          </w:tcPr>
          <w:p w14:paraId="5EE4447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0.32</w:t>
            </w:r>
          </w:p>
        </w:tc>
        <w:tc>
          <w:tcPr>
            <w:tcW w:w="928" w:type="pct"/>
            <w:shd w:val="clear" w:color="auto" w:fill="auto"/>
            <w:noWrap/>
            <w:vAlign w:val="bottom"/>
          </w:tcPr>
          <w:p w14:paraId="76248F2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0.52</w:t>
            </w:r>
          </w:p>
        </w:tc>
        <w:tc>
          <w:tcPr>
            <w:tcW w:w="928" w:type="pct"/>
            <w:shd w:val="clear" w:color="auto" w:fill="auto"/>
            <w:noWrap/>
            <w:vAlign w:val="bottom"/>
          </w:tcPr>
          <w:p w14:paraId="7394D54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1.08</w:t>
            </w:r>
          </w:p>
        </w:tc>
        <w:tc>
          <w:tcPr>
            <w:tcW w:w="924" w:type="pct"/>
            <w:vAlign w:val="bottom"/>
          </w:tcPr>
          <w:p w14:paraId="2FC63C3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1.18</w:t>
            </w:r>
          </w:p>
        </w:tc>
      </w:tr>
      <w:tr w:rsidR="009A36D2" w:rsidRPr="009A3489" w14:paraId="3548BDB6" w14:textId="77777777" w:rsidTr="00281A92">
        <w:trPr>
          <w:trHeight w:val="20"/>
          <w:jc w:val="center"/>
        </w:trPr>
        <w:tc>
          <w:tcPr>
            <w:tcW w:w="1293" w:type="pct"/>
            <w:shd w:val="clear" w:color="auto" w:fill="auto"/>
            <w:noWrap/>
            <w:vAlign w:val="bottom"/>
            <w:hideMark/>
          </w:tcPr>
          <w:p w14:paraId="0BE710FC"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3A83570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0.51</w:t>
            </w:r>
          </w:p>
        </w:tc>
        <w:tc>
          <w:tcPr>
            <w:tcW w:w="928" w:type="pct"/>
            <w:shd w:val="clear" w:color="auto" w:fill="auto"/>
            <w:noWrap/>
            <w:vAlign w:val="bottom"/>
          </w:tcPr>
          <w:p w14:paraId="5BAFA72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0.83</w:t>
            </w:r>
          </w:p>
        </w:tc>
        <w:tc>
          <w:tcPr>
            <w:tcW w:w="928" w:type="pct"/>
            <w:shd w:val="clear" w:color="auto" w:fill="auto"/>
            <w:noWrap/>
            <w:vAlign w:val="bottom"/>
          </w:tcPr>
          <w:p w14:paraId="7CAD432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1.33</w:t>
            </w:r>
          </w:p>
        </w:tc>
        <w:tc>
          <w:tcPr>
            <w:tcW w:w="924" w:type="pct"/>
            <w:vAlign w:val="bottom"/>
          </w:tcPr>
          <w:p w14:paraId="1DF75A1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1.82</w:t>
            </w:r>
          </w:p>
        </w:tc>
      </w:tr>
      <w:tr w:rsidR="009A36D2" w:rsidRPr="009A3489" w14:paraId="298C05EC" w14:textId="77777777" w:rsidTr="00281A92">
        <w:trPr>
          <w:trHeight w:val="20"/>
          <w:jc w:val="center"/>
        </w:trPr>
        <w:tc>
          <w:tcPr>
            <w:tcW w:w="1293" w:type="pct"/>
            <w:shd w:val="clear" w:color="auto" w:fill="auto"/>
            <w:noWrap/>
            <w:vAlign w:val="bottom"/>
          </w:tcPr>
          <w:p w14:paraId="42A2CB47"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7A5D4CA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0.21</w:t>
            </w:r>
          </w:p>
        </w:tc>
        <w:tc>
          <w:tcPr>
            <w:tcW w:w="928" w:type="pct"/>
            <w:shd w:val="clear" w:color="auto" w:fill="auto"/>
            <w:noWrap/>
            <w:vAlign w:val="bottom"/>
          </w:tcPr>
          <w:p w14:paraId="685308D8"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0.31</w:t>
            </w:r>
          </w:p>
        </w:tc>
        <w:tc>
          <w:tcPr>
            <w:tcW w:w="928" w:type="pct"/>
            <w:shd w:val="clear" w:color="auto" w:fill="auto"/>
            <w:noWrap/>
            <w:vAlign w:val="bottom"/>
          </w:tcPr>
          <w:p w14:paraId="548746AC"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0.52</w:t>
            </w:r>
          </w:p>
        </w:tc>
        <w:tc>
          <w:tcPr>
            <w:tcW w:w="924" w:type="pct"/>
            <w:vAlign w:val="bottom"/>
          </w:tcPr>
          <w:p w14:paraId="64AF0628"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0.40</w:t>
            </w:r>
          </w:p>
        </w:tc>
      </w:tr>
      <w:tr w:rsidR="009A36D2" w:rsidRPr="009A3489" w14:paraId="5BB4351E" w14:textId="77777777" w:rsidTr="00281A92">
        <w:trPr>
          <w:trHeight w:val="20"/>
          <w:jc w:val="center"/>
        </w:trPr>
        <w:tc>
          <w:tcPr>
            <w:tcW w:w="5000" w:type="pct"/>
            <w:gridSpan w:val="5"/>
            <w:shd w:val="clear" w:color="auto" w:fill="D9D9D9" w:themeFill="background1" w:themeFillShade="D9"/>
            <w:noWrap/>
            <w:vAlign w:val="bottom"/>
          </w:tcPr>
          <w:p w14:paraId="7BCBFCF5"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Middle (40-59 years old)</w:t>
            </w:r>
          </w:p>
        </w:tc>
      </w:tr>
      <w:tr w:rsidR="009A36D2" w:rsidRPr="009A3489" w14:paraId="6261ABB0" w14:textId="77777777" w:rsidTr="00281A92">
        <w:trPr>
          <w:trHeight w:val="20"/>
          <w:jc w:val="center"/>
        </w:trPr>
        <w:tc>
          <w:tcPr>
            <w:tcW w:w="1293" w:type="pct"/>
            <w:tcBorders>
              <w:tl2br w:val="single" w:sz="4" w:space="0" w:color="auto"/>
            </w:tcBorders>
            <w:shd w:val="clear" w:color="auto" w:fill="auto"/>
            <w:hideMark/>
          </w:tcPr>
          <w:p w14:paraId="2B66B251"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1DD38EEA" w14:textId="77777777" w:rsidR="009A36D2" w:rsidRPr="009A3489" w:rsidRDefault="009A36D2" w:rsidP="00281A92">
            <w:pPr>
              <w:spacing w:before="0" w:after="0" w:line="240" w:lineRule="auto"/>
              <w:rPr>
                <w:color w:val="auto"/>
                <w:sz w:val="20"/>
                <w:szCs w:val="20"/>
              </w:rPr>
            </w:pPr>
          </w:p>
          <w:p w14:paraId="581E7768"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23D7A6CD"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2326CE08"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22BACE4B"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7388CE5D"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6F3A77BC" w14:textId="77777777" w:rsidTr="00281A92">
        <w:trPr>
          <w:trHeight w:val="20"/>
          <w:jc w:val="center"/>
        </w:trPr>
        <w:tc>
          <w:tcPr>
            <w:tcW w:w="1293" w:type="pct"/>
            <w:shd w:val="clear" w:color="auto" w:fill="auto"/>
            <w:noWrap/>
            <w:vAlign w:val="bottom"/>
            <w:hideMark/>
          </w:tcPr>
          <w:p w14:paraId="580459F9"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39FC99E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1.13</w:t>
            </w:r>
          </w:p>
        </w:tc>
        <w:tc>
          <w:tcPr>
            <w:tcW w:w="928" w:type="pct"/>
            <w:shd w:val="clear" w:color="auto" w:fill="auto"/>
            <w:noWrap/>
            <w:vAlign w:val="bottom"/>
          </w:tcPr>
          <w:p w14:paraId="2AA8CA5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1.62</w:t>
            </w:r>
          </w:p>
        </w:tc>
        <w:tc>
          <w:tcPr>
            <w:tcW w:w="928" w:type="pct"/>
            <w:shd w:val="clear" w:color="auto" w:fill="auto"/>
            <w:noWrap/>
            <w:vAlign w:val="bottom"/>
          </w:tcPr>
          <w:p w14:paraId="286872B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2.07</w:t>
            </w:r>
          </w:p>
        </w:tc>
        <w:tc>
          <w:tcPr>
            <w:tcW w:w="924" w:type="pct"/>
            <w:vAlign w:val="bottom"/>
          </w:tcPr>
          <w:p w14:paraId="4A06501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2.59</w:t>
            </w:r>
          </w:p>
        </w:tc>
      </w:tr>
      <w:tr w:rsidR="009A36D2" w:rsidRPr="009A3489" w14:paraId="1E00C96E" w14:textId="77777777" w:rsidTr="00281A92">
        <w:trPr>
          <w:trHeight w:val="20"/>
          <w:jc w:val="center"/>
        </w:trPr>
        <w:tc>
          <w:tcPr>
            <w:tcW w:w="1293" w:type="pct"/>
            <w:shd w:val="clear" w:color="auto" w:fill="auto"/>
            <w:noWrap/>
            <w:vAlign w:val="bottom"/>
            <w:hideMark/>
          </w:tcPr>
          <w:p w14:paraId="31106627"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bottom"/>
          </w:tcPr>
          <w:p w14:paraId="5D2BAD9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1.20</w:t>
            </w:r>
          </w:p>
        </w:tc>
        <w:tc>
          <w:tcPr>
            <w:tcW w:w="928" w:type="pct"/>
            <w:shd w:val="clear" w:color="auto" w:fill="auto"/>
            <w:noWrap/>
            <w:vAlign w:val="bottom"/>
          </w:tcPr>
          <w:p w14:paraId="6FAEBE3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1.96</w:t>
            </w:r>
          </w:p>
        </w:tc>
        <w:tc>
          <w:tcPr>
            <w:tcW w:w="928" w:type="pct"/>
            <w:shd w:val="clear" w:color="auto" w:fill="auto"/>
            <w:noWrap/>
            <w:vAlign w:val="bottom"/>
          </w:tcPr>
          <w:p w14:paraId="1DC4075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2.49</w:t>
            </w:r>
          </w:p>
        </w:tc>
        <w:tc>
          <w:tcPr>
            <w:tcW w:w="924" w:type="pct"/>
            <w:vAlign w:val="bottom"/>
          </w:tcPr>
          <w:p w14:paraId="045A79D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2.83</w:t>
            </w:r>
          </w:p>
        </w:tc>
      </w:tr>
      <w:tr w:rsidR="009A36D2" w:rsidRPr="009A3489" w14:paraId="29BF1712" w14:textId="77777777" w:rsidTr="00281A92">
        <w:trPr>
          <w:trHeight w:val="20"/>
          <w:jc w:val="center"/>
        </w:trPr>
        <w:tc>
          <w:tcPr>
            <w:tcW w:w="1293" w:type="pct"/>
            <w:shd w:val="clear" w:color="auto" w:fill="auto"/>
            <w:noWrap/>
            <w:vAlign w:val="bottom"/>
            <w:hideMark/>
          </w:tcPr>
          <w:p w14:paraId="1F3C4DC4"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678012A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1.31</w:t>
            </w:r>
          </w:p>
        </w:tc>
        <w:tc>
          <w:tcPr>
            <w:tcW w:w="928" w:type="pct"/>
            <w:shd w:val="clear" w:color="auto" w:fill="auto"/>
            <w:noWrap/>
            <w:vAlign w:val="bottom"/>
          </w:tcPr>
          <w:p w14:paraId="375837D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3.42</w:t>
            </w:r>
          </w:p>
        </w:tc>
        <w:tc>
          <w:tcPr>
            <w:tcW w:w="928" w:type="pct"/>
            <w:shd w:val="clear" w:color="auto" w:fill="auto"/>
            <w:noWrap/>
            <w:vAlign w:val="bottom"/>
          </w:tcPr>
          <w:p w14:paraId="4E63A65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2.79</w:t>
            </w:r>
          </w:p>
        </w:tc>
        <w:tc>
          <w:tcPr>
            <w:tcW w:w="924" w:type="pct"/>
            <w:vAlign w:val="bottom"/>
          </w:tcPr>
          <w:p w14:paraId="5FF088D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2.52</w:t>
            </w:r>
          </w:p>
        </w:tc>
      </w:tr>
      <w:tr w:rsidR="009A36D2" w:rsidRPr="009A3489" w14:paraId="6A3594C6" w14:textId="77777777" w:rsidTr="00281A92">
        <w:trPr>
          <w:trHeight w:val="20"/>
          <w:jc w:val="center"/>
        </w:trPr>
        <w:tc>
          <w:tcPr>
            <w:tcW w:w="1293" w:type="pct"/>
            <w:shd w:val="clear" w:color="auto" w:fill="auto"/>
            <w:noWrap/>
            <w:vAlign w:val="bottom"/>
            <w:hideMark/>
          </w:tcPr>
          <w:p w14:paraId="22E4DB64"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40C15A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0.37</w:t>
            </w:r>
          </w:p>
        </w:tc>
        <w:tc>
          <w:tcPr>
            <w:tcW w:w="928" w:type="pct"/>
            <w:shd w:val="clear" w:color="auto" w:fill="auto"/>
            <w:noWrap/>
            <w:vAlign w:val="bottom"/>
          </w:tcPr>
          <w:p w14:paraId="54BDA68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c>
          <w:tcPr>
            <w:tcW w:w="928" w:type="pct"/>
            <w:shd w:val="clear" w:color="auto" w:fill="auto"/>
            <w:noWrap/>
            <w:vAlign w:val="bottom"/>
          </w:tcPr>
          <w:p w14:paraId="0AAA680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0.72</w:t>
            </w:r>
          </w:p>
        </w:tc>
        <w:tc>
          <w:tcPr>
            <w:tcW w:w="924" w:type="pct"/>
            <w:vAlign w:val="bottom"/>
          </w:tcPr>
          <w:p w14:paraId="4666A0D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0.96</w:t>
            </w:r>
          </w:p>
        </w:tc>
      </w:tr>
      <w:tr w:rsidR="009A36D2" w:rsidRPr="009A3489" w14:paraId="36435459" w14:textId="77777777" w:rsidTr="00281A92">
        <w:trPr>
          <w:trHeight w:val="20"/>
          <w:jc w:val="center"/>
        </w:trPr>
        <w:tc>
          <w:tcPr>
            <w:tcW w:w="1293" w:type="pct"/>
            <w:shd w:val="clear" w:color="auto" w:fill="auto"/>
            <w:noWrap/>
            <w:vAlign w:val="bottom"/>
            <w:hideMark/>
          </w:tcPr>
          <w:p w14:paraId="24995802"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29D203A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0.46</w:t>
            </w:r>
          </w:p>
        </w:tc>
        <w:tc>
          <w:tcPr>
            <w:tcW w:w="928" w:type="pct"/>
            <w:shd w:val="clear" w:color="auto" w:fill="auto"/>
            <w:noWrap/>
            <w:vAlign w:val="bottom"/>
          </w:tcPr>
          <w:p w14:paraId="78E380C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0.85</w:t>
            </w:r>
          </w:p>
        </w:tc>
        <w:tc>
          <w:tcPr>
            <w:tcW w:w="928" w:type="pct"/>
            <w:shd w:val="clear" w:color="auto" w:fill="auto"/>
            <w:noWrap/>
            <w:vAlign w:val="bottom"/>
          </w:tcPr>
          <w:p w14:paraId="4AD01AF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1.94</w:t>
            </w:r>
          </w:p>
        </w:tc>
        <w:tc>
          <w:tcPr>
            <w:tcW w:w="924" w:type="pct"/>
            <w:vAlign w:val="bottom"/>
          </w:tcPr>
          <w:p w14:paraId="2CA7A3C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2.45</w:t>
            </w:r>
          </w:p>
        </w:tc>
      </w:tr>
      <w:tr w:rsidR="009A36D2" w:rsidRPr="009A3489" w14:paraId="6110BFB1" w14:textId="77777777" w:rsidTr="00281A92">
        <w:trPr>
          <w:trHeight w:val="20"/>
          <w:jc w:val="center"/>
        </w:trPr>
        <w:tc>
          <w:tcPr>
            <w:tcW w:w="1293" w:type="pct"/>
            <w:shd w:val="clear" w:color="auto" w:fill="auto"/>
            <w:noWrap/>
            <w:vAlign w:val="bottom"/>
            <w:hideMark/>
          </w:tcPr>
          <w:p w14:paraId="5007BD9D"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5401FD5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0.55</w:t>
            </w:r>
          </w:p>
        </w:tc>
        <w:tc>
          <w:tcPr>
            <w:tcW w:w="928" w:type="pct"/>
            <w:shd w:val="clear" w:color="auto" w:fill="auto"/>
            <w:noWrap/>
            <w:vAlign w:val="bottom"/>
          </w:tcPr>
          <w:p w14:paraId="6B619D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0.83</w:t>
            </w:r>
          </w:p>
        </w:tc>
        <w:tc>
          <w:tcPr>
            <w:tcW w:w="928" w:type="pct"/>
            <w:shd w:val="clear" w:color="auto" w:fill="auto"/>
            <w:noWrap/>
            <w:vAlign w:val="bottom"/>
          </w:tcPr>
          <w:p w14:paraId="1AE99A0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2.41</w:t>
            </w:r>
          </w:p>
        </w:tc>
        <w:tc>
          <w:tcPr>
            <w:tcW w:w="924" w:type="pct"/>
            <w:vAlign w:val="bottom"/>
          </w:tcPr>
          <w:p w14:paraId="0EC61B4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1.68</w:t>
            </w:r>
          </w:p>
        </w:tc>
      </w:tr>
      <w:tr w:rsidR="009A36D2" w:rsidRPr="009A3489" w14:paraId="41794188" w14:textId="77777777" w:rsidTr="00281A92">
        <w:trPr>
          <w:trHeight w:val="20"/>
          <w:jc w:val="center"/>
        </w:trPr>
        <w:tc>
          <w:tcPr>
            <w:tcW w:w="1293" w:type="pct"/>
            <w:shd w:val="clear" w:color="auto" w:fill="auto"/>
            <w:noWrap/>
            <w:vAlign w:val="bottom"/>
            <w:hideMark/>
          </w:tcPr>
          <w:p w14:paraId="5A96C7C9"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657B45B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8" w:type="pct"/>
            <w:shd w:val="clear" w:color="auto" w:fill="auto"/>
            <w:noWrap/>
            <w:vAlign w:val="bottom"/>
          </w:tcPr>
          <w:p w14:paraId="452EFD5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0.89</w:t>
            </w:r>
          </w:p>
        </w:tc>
        <w:tc>
          <w:tcPr>
            <w:tcW w:w="928" w:type="pct"/>
            <w:shd w:val="clear" w:color="auto" w:fill="auto"/>
            <w:noWrap/>
            <w:vAlign w:val="bottom"/>
          </w:tcPr>
          <w:p w14:paraId="36BA97E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1.60</w:t>
            </w:r>
          </w:p>
        </w:tc>
        <w:tc>
          <w:tcPr>
            <w:tcW w:w="924" w:type="pct"/>
            <w:vAlign w:val="bottom"/>
          </w:tcPr>
          <w:p w14:paraId="2F6143F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1.85</w:t>
            </w:r>
          </w:p>
        </w:tc>
      </w:tr>
      <w:tr w:rsidR="009A36D2" w:rsidRPr="009A3489" w14:paraId="603FA539" w14:textId="77777777" w:rsidTr="00281A92">
        <w:trPr>
          <w:trHeight w:val="20"/>
          <w:jc w:val="center"/>
        </w:trPr>
        <w:tc>
          <w:tcPr>
            <w:tcW w:w="1293" w:type="pct"/>
            <w:shd w:val="clear" w:color="auto" w:fill="auto"/>
            <w:noWrap/>
            <w:vAlign w:val="bottom"/>
            <w:hideMark/>
          </w:tcPr>
          <w:p w14:paraId="63D3E056"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52522C9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0.52</w:t>
            </w:r>
          </w:p>
        </w:tc>
        <w:tc>
          <w:tcPr>
            <w:tcW w:w="928" w:type="pct"/>
            <w:shd w:val="clear" w:color="auto" w:fill="auto"/>
            <w:noWrap/>
            <w:vAlign w:val="bottom"/>
          </w:tcPr>
          <w:p w14:paraId="3585858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1.61</w:t>
            </w:r>
          </w:p>
        </w:tc>
        <w:tc>
          <w:tcPr>
            <w:tcW w:w="928" w:type="pct"/>
            <w:shd w:val="clear" w:color="auto" w:fill="auto"/>
            <w:noWrap/>
            <w:vAlign w:val="bottom"/>
          </w:tcPr>
          <w:p w14:paraId="5E6082B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1.71</w:t>
            </w:r>
          </w:p>
        </w:tc>
        <w:tc>
          <w:tcPr>
            <w:tcW w:w="924" w:type="pct"/>
            <w:vAlign w:val="bottom"/>
          </w:tcPr>
          <w:p w14:paraId="37840EF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1.87</w:t>
            </w:r>
          </w:p>
        </w:tc>
      </w:tr>
      <w:tr w:rsidR="009A36D2" w:rsidRPr="009A3489" w14:paraId="0BE91FBA" w14:textId="77777777" w:rsidTr="00281A92">
        <w:trPr>
          <w:trHeight w:val="20"/>
          <w:jc w:val="center"/>
        </w:trPr>
        <w:tc>
          <w:tcPr>
            <w:tcW w:w="1293" w:type="pct"/>
            <w:shd w:val="clear" w:color="auto" w:fill="auto"/>
            <w:noWrap/>
            <w:vAlign w:val="bottom"/>
            <w:hideMark/>
          </w:tcPr>
          <w:p w14:paraId="04B26715"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4B294F4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1.27</w:t>
            </w:r>
          </w:p>
        </w:tc>
        <w:tc>
          <w:tcPr>
            <w:tcW w:w="928" w:type="pct"/>
            <w:shd w:val="clear" w:color="auto" w:fill="auto"/>
            <w:noWrap/>
            <w:vAlign w:val="bottom"/>
          </w:tcPr>
          <w:p w14:paraId="0AD2DE3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1.13</w:t>
            </w:r>
          </w:p>
        </w:tc>
        <w:tc>
          <w:tcPr>
            <w:tcW w:w="928" w:type="pct"/>
            <w:shd w:val="clear" w:color="auto" w:fill="auto"/>
            <w:noWrap/>
            <w:vAlign w:val="bottom"/>
          </w:tcPr>
          <w:p w14:paraId="56A396C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1.22</w:t>
            </w:r>
          </w:p>
        </w:tc>
        <w:tc>
          <w:tcPr>
            <w:tcW w:w="924" w:type="pct"/>
            <w:vAlign w:val="bottom"/>
          </w:tcPr>
          <w:p w14:paraId="5CDC565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1.03</w:t>
            </w:r>
          </w:p>
        </w:tc>
      </w:tr>
      <w:tr w:rsidR="009A36D2" w:rsidRPr="009A3489" w14:paraId="6A20A8D3" w14:textId="77777777" w:rsidTr="00281A92">
        <w:trPr>
          <w:trHeight w:val="20"/>
          <w:jc w:val="center"/>
        </w:trPr>
        <w:tc>
          <w:tcPr>
            <w:tcW w:w="1293" w:type="pct"/>
            <w:shd w:val="clear" w:color="auto" w:fill="auto"/>
            <w:noWrap/>
            <w:vAlign w:val="bottom"/>
            <w:hideMark/>
          </w:tcPr>
          <w:p w14:paraId="0972C710"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134B75E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0.79</w:t>
            </w:r>
          </w:p>
        </w:tc>
        <w:tc>
          <w:tcPr>
            <w:tcW w:w="928" w:type="pct"/>
            <w:shd w:val="clear" w:color="auto" w:fill="auto"/>
            <w:noWrap/>
            <w:vAlign w:val="bottom"/>
          </w:tcPr>
          <w:p w14:paraId="50F6BE2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0.87</w:t>
            </w:r>
          </w:p>
        </w:tc>
        <w:tc>
          <w:tcPr>
            <w:tcW w:w="928" w:type="pct"/>
            <w:shd w:val="clear" w:color="auto" w:fill="auto"/>
            <w:noWrap/>
            <w:vAlign w:val="bottom"/>
          </w:tcPr>
          <w:p w14:paraId="24EA214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1.16</w:t>
            </w:r>
          </w:p>
        </w:tc>
        <w:tc>
          <w:tcPr>
            <w:tcW w:w="924" w:type="pct"/>
            <w:vAlign w:val="bottom"/>
          </w:tcPr>
          <w:p w14:paraId="450BA0B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1.81</w:t>
            </w:r>
          </w:p>
        </w:tc>
      </w:tr>
      <w:tr w:rsidR="009A36D2" w:rsidRPr="009A3489" w14:paraId="03455C12" w14:textId="77777777" w:rsidTr="00281A92">
        <w:trPr>
          <w:trHeight w:val="20"/>
          <w:jc w:val="center"/>
        </w:trPr>
        <w:tc>
          <w:tcPr>
            <w:tcW w:w="1293" w:type="pct"/>
            <w:shd w:val="clear" w:color="auto" w:fill="auto"/>
            <w:noWrap/>
            <w:vAlign w:val="bottom"/>
            <w:hideMark/>
          </w:tcPr>
          <w:p w14:paraId="01F99088"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5E2A57C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0.29</w:t>
            </w:r>
          </w:p>
        </w:tc>
        <w:tc>
          <w:tcPr>
            <w:tcW w:w="928" w:type="pct"/>
            <w:shd w:val="clear" w:color="auto" w:fill="auto"/>
            <w:noWrap/>
            <w:vAlign w:val="bottom"/>
          </w:tcPr>
          <w:p w14:paraId="1975FA6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c>
          <w:tcPr>
            <w:tcW w:w="928" w:type="pct"/>
            <w:shd w:val="clear" w:color="auto" w:fill="auto"/>
            <w:noWrap/>
            <w:vAlign w:val="bottom"/>
          </w:tcPr>
          <w:p w14:paraId="5E14507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1.37</w:t>
            </w:r>
          </w:p>
        </w:tc>
        <w:tc>
          <w:tcPr>
            <w:tcW w:w="924" w:type="pct"/>
            <w:vAlign w:val="bottom"/>
          </w:tcPr>
          <w:p w14:paraId="4C5F68D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2.38</w:t>
            </w:r>
          </w:p>
        </w:tc>
      </w:tr>
      <w:tr w:rsidR="009A36D2" w:rsidRPr="009A3489" w14:paraId="0DCB1BA5" w14:textId="77777777" w:rsidTr="00281A92">
        <w:trPr>
          <w:trHeight w:val="20"/>
          <w:jc w:val="center"/>
        </w:trPr>
        <w:tc>
          <w:tcPr>
            <w:tcW w:w="1293" w:type="pct"/>
            <w:shd w:val="clear" w:color="auto" w:fill="auto"/>
            <w:noWrap/>
            <w:vAlign w:val="bottom"/>
            <w:hideMark/>
          </w:tcPr>
          <w:p w14:paraId="16E9C3DB"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210B6D9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0.59</w:t>
            </w:r>
          </w:p>
        </w:tc>
        <w:tc>
          <w:tcPr>
            <w:tcW w:w="928" w:type="pct"/>
            <w:shd w:val="clear" w:color="auto" w:fill="auto"/>
            <w:noWrap/>
            <w:vAlign w:val="bottom"/>
          </w:tcPr>
          <w:p w14:paraId="4E774FA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0.76</w:t>
            </w:r>
          </w:p>
        </w:tc>
        <w:tc>
          <w:tcPr>
            <w:tcW w:w="928" w:type="pct"/>
            <w:shd w:val="clear" w:color="auto" w:fill="auto"/>
            <w:noWrap/>
            <w:vAlign w:val="bottom"/>
          </w:tcPr>
          <w:p w14:paraId="5238B7A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1.61</w:t>
            </w:r>
          </w:p>
        </w:tc>
        <w:tc>
          <w:tcPr>
            <w:tcW w:w="924" w:type="pct"/>
            <w:vAlign w:val="bottom"/>
          </w:tcPr>
          <w:p w14:paraId="64EA5BA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2.25</w:t>
            </w:r>
          </w:p>
        </w:tc>
      </w:tr>
      <w:tr w:rsidR="009A36D2" w:rsidRPr="009A3489" w14:paraId="0ACC90CF" w14:textId="77777777" w:rsidTr="00281A92">
        <w:trPr>
          <w:trHeight w:val="20"/>
          <w:jc w:val="center"/>
        </w:trPr>
        <w:tc>
          <w:tcPr>
            <w:tcW w:w="1293" w:type="pct"/>
            <w:shd w:val="clear" w:color="auto" w:fill="auto"/>
            <w:noWrap/>
            <w:vAlign w:val="bottom"/>
            <w:hideMark/>
          </w:tcPr>
          <w:p w14:paraId="43F033BA"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70FD358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1.18</w:t>
            </w:r>
          </w:p>
        </w:tc>
        <w:tc>
          <w:tcPr>
            <w:tcW w:w="928" w:type="pct"/>
            <w:shd w:val="clear" w:color="auto" w:fill="auto"/>
            <w:noWrap/>
            <w:vAlign w:val="bottom"/>
          </w:tcPr>
          <w:p w14:paraId="3CFC009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2.83</w:t>
            </w:r>
          </w:p>
        </w:tc>
        <w:tc>
          <w:tcPr>
            <w:tcW w:w="928" w:type="pct"/>
            <w:shd w:val="clear" w:color="auto" w:fill="auto"/>
            <w:noWrap/>
            <w:vAlign w:val="bottom"/>
          </w:tcPr>
          <w:p w14:paraId="2AAEAA3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3.40</w:t>
            </w:r>
          </w:p>
        </w:tc>
        <w:tc>
          <w:tcPr>
            <w:tcW w:w="924" w:type="pct"/>
            <w:vAlign w:val="bottom"/>
          </w:tcPr>
          <w:p w14:paraId="09C5F82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3.05</w:t>
            </w:r>
          </w:p>
        </w:tc>
      </w:tr>
      <w:tr w:rsidR="009A36D2" w:rsidRPr="009A3489" w14:paraId="4A45DCF6" w14:textId="77777777" w:rsidTr="00281A92">
        <w:trPr>
          <w:trHeight w:val="20"/>
          <w:jc w:val="center"/>
        </w:trPr>
        <w:tc>
          <w:tcPr>
            <w:tcW w:w="1293" w:type="pct"/>
            <w:shd w:val="clear" w:color="auto" w:fill="auto"/>
            <w:noWrap/>
            <w:vAlign w:val="bottom"/>
            <w:hideMark/>
          </w:tcPr>
          <w:p w14:paraId="64DC1CFB"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6B50A37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0.63</w:t>
            </w:r>
          </w:p>
        </w:tc>
        <w:tc>
          <w:tcPr>
            <w:tcW w:w="928" w:type="pct"/>
            <w:shd w:val="clear" w:color="auto" w:fill="auto"/>
            <w:noWrap/>
            <w:vAlign w:val="bottom"/>
          </w:tcPr>
          <w:p w14:paraId="0F9C2E1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0.85</w:t>
            </w:r>
          </w:p>
        </w:tc>
        <w:tc>
          <w:tcPr>
            <w:tcW w:w="928" w:type="pct"/>
            <w:shd w:val="clear" w:color="auto" w:fill="auto"/>
            <w:noWrap/>
            <w:vAlign w:val="bottom"/>
          </w:tcPr>
          <w:p w14:paraId="75A075E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1.43</w:t>
            </w:r>
          </w:p>
        </w:tc>
        <w:tc>
          <w:tcPr>
            <w:tcW w:w="924" w:type="pct"/>
            <w:vAlign w:val="bottom"/>
          </w:tcPr>
          <w:p w14:paraId="27D8FBF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2.41</w:t>
            </w:r>
          </w:p>
        </w:tc>
      </w:tr>
      <w:tr w:rsidR="009A36D2" w:rsidRPr="009A3489" w14:paraId="65AEC0EB" w14:textId="77777777" w:rsidTr="00281A92">
        <w:trPr>
          <w:trHeight w:val="20"/>
          <w:jc w:val="center"/>
        </w:trPr>
        <w:tc>
          <w:tcPr>
            <w:tcW w:w="1293" w:type="pct"/>
            <w:shd w:val="clear" w:color="auto" w:fill="auto"/>
            <w:noWrap/>
            <w:vAlign w:val="bottom"/>
            <w:hideMark/>
          </w:tcPr>
          <w:p w14:paraId="753A9ABD"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644F288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8" w:type="pct"/>
            <w:shd w:val="clear" w:color="auto" w:fill="auto"/>
            <w:noWrap/>
            <w:vAlign w:val="bottom"/>
          </w:tcPr>
          <w:p w14:paraId="4BD314E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1.15</w:t>
            </w:r>
          </w:p>
        </w:tc>
        <w:tc>
          <w:tcPr>
            <w:tcW w:w="928" w:type="pct"/>
            <w:shd w:val="clear" w:color="auto" w:fill="auto"/>
            <w:noWrap/>
            <w:vAlign w:val="bottom"/>
          </w:tcPr>
          <w:p w14:paraId="7BD64C9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1.85</w:t>
            </w:r>
          </w:p>
        </w:tc>
        <w:tc>
          <w:tcPr>
            <w:tcW w:w="924" w:type="pct"/>
            <w:vAlign w:val="bottom"/>
          </w:tcPr>
          <w:p w14:paraId="6745392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1.58</w:t>
            </w:r>
          </w:p>
        </w:tc>
      </w:tr>
      <w:tr w:rsidR="009A36D2" w:rsidRPr="009A3489" w14:paraId="5E27C111" w14:textId="77777777" w:rsidTr="00281A92">
        <w:trPr>
          <w:trHeight w:val="20"/>
          <w:jc w:val="center"/>
        </w:trPr>
        <w:tc>
          <w:tcPr>
            <w:tcW w:w="1293" w:type="pct"/>
            <w:shd w:val="clear" w:color="auto" w:fill="auto"/>
            <w:noWrap/>
            <w:vAlign w:val="bottom"/>
            <w:hideMark/>
          </w:tcPr>
          <w:p w14:paraId="7C2BEE34" w14:textId="77777777" w:rsidR="009A36D2" w:rsidRPr="009A3489" w:rsidRDefault="009A36D2" w:rsidP="00281A92">
            <w:pPr>
              <w:spacing w:before="0" w:after="0" w:line="240" w:lineRule="auto"/>
              <w:rPr>
                <w:color w:val="auto"/>
                <w:sz w:val="20"/>
                <w:szCs w:val="20"/>
              </w:rPr>
            </w:pPr>
            <w:r w:rsidRPr="009A3489">
              <w:rPr>
                <w:color w:val="auto"/>
                <w:sz w:val="20"/>
                <w:szCs w:val="20"/>
              </w:rPr>
              <w:t>16</w:t>
            </w:r>
          </w:p>
        </w:tc>
        <w:tc>
          <w:tcPr>
            <w:tcW w:w="927" w:type="pct"/>
            <w:shd w:val="clear" w:color="auto" w:fill="auto"/>
            <w:noWrap/>
            <w:vAlign w:val="bottom"/>
          </w:tcPr>
          <w:p w14:paraId="3C5E443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0.53</w:t>
            </w:r>
          </w:p>
        </w:tc>
        <w:tc>
          <w:tcPr>
            <w:tcW w:w="928" w:type="pct"/>
            <w:shd w:val="clear" w:color="auto" w:fill="auto"/>
            <w:noWrap/>
            <w:vAlign w:val="bottom"/>
          </w:tcPr>
          <w:p w14:paraId="076CC20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0.91</w:t>
            </w:r>
          </w:p>
        </w:tc>
        <w:tc>
          <w:tcPr>
            <w:tcW w:w="928" w:type="pct"/>
            <w:shd w:val="clear" w:color="auto" w:fill="auto"/>
            <w:noWrap/>
            <w:vAlign w:val="bottom"/>
          </w:tcPr>
          <w:p w14:paraId="725C9FF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1.83</w:t>
            </w:r>
          </w:p>
        </w:tc>
        <w:tc>
          <w:tcPr>
            <w:tcW w:w="924" w:type="pct"/>
            <w:vAlign w:val="bottom"/>
          </w:tcPr>
          <w:p w14:paraId="6672D37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2.57</w:t>
            </w:r>
          </w:p>
        </w:tc>
      </w:tr>
      <w:tr w:rsidR="009A36D2" w:rsidRPr="009A3489" w14:paraId="72B2EC91" w14:textId="77777777" w:rsidTr="00281A92">
        <w:trPr>
          <w:trHeight w:val="20"/>
          <w:jc w:val="center"/>
        </w:trPr>
        <w:tc>
          <w:tcPr>
            <w:tcW w:w="1293" w:type="pct"/>
            <w:shd w:val="clear" w:color="auto" w:fill="auto"/>
            <w:noWrap/>
            <w:vAlign w:val="bottom"/>
            <w:hideMark/>
          </w:tcPr>
          <w:p w14:paraId="36268989" w14:textId="77777777" w:rsidR="009A36D2" w:rsidRPr="009A3489" w:rsidRDefault="009A36D2" w:rsidP="00281A92">
            <w:pPr>
              <w:spacing w:before="0" w:after="0" w:line="240" w:lineRule="auto"/>
              <w:rPr>
                <w:color w:val="auto"/>
                <w:sz w:val="20"/>
                <w:szCs w:val="20"/>
              </w:rPr>
            </w:pPr>
            <w:r w:rsidRPr="009A3489">
              <w:rPr>
                <w:color w:val="auto"/>
                <w:sz w:val="20"/>
                <w:szCs w:val="20"/>
              </w:rPr>
              <w:t>17</w:t>
            </w:r>
          </w:p>
        </w:tc>
        <w:tc>
          <w:tcPr>
            <w:tcW w:w="927" w:type="pct"/>
            <w:shd w:val="clear" w:color="auto" w:fill="auto"/>
            <w:noWrap/>
            <w:vAlign w:val="bottom"/>
          </w:tcPr>
          <w:p w14:paraId="7F7716D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1.52</w:t>
            </w:r>
          </w:p>
        </w:tc>
        <w:tc>
          <w:tcPr>
            <w:tcW w:w="928" w:type="pct"/>
            <w:shd w:val="clear" w:color="auto" w:fill="auto"/>
            <w:noWrap/>
            <w:vAlign w:val="bottom"/>
          </w:tcPr>
          <w:p w14:paraId="16B55B8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2.38</w:t>
            </w:r>
          </w:p>
        </w:tc>
        <w:tc>
          <w:tcPr>
            <w:tcW w:w="928" w:type="pct"/>
            <w:shd w:val="clear" w:color="auto" w:fill="auto"/>
            <w:noWrap/>
            <w:vAlign w:val="bottom"/>
          </w:tcPr>
          <w:p w14:paraId="46842C5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2.73</w:t>
            </w:r>
          </w:p>
        </w:tc>
        <w:tc>
          <w:tcPr>
            <w:tcW w:w="924" w:type="pct"/>
            <w:vAlign w:val="bottom"/>
          </w:tcPr>
          <w:p w14:paraId="57A5121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2.30</w:t>
            </w:r>
          </w:p>
        </w:tc>
      </w:tr>
      <w:tr w:rsidR="009A36D2" w:rsidRPr="009A3489" w14:paraId="06A93189" w14:textId="77777777" w:rsidTr="00281A92">
        <w:trPr>
          <w:trHeight w:val="20"/>
          <w:jc w:val="center"/>
        </w:trPr>
        <w:tc>
          <w:tcPr>
            <w:tcW w:w="1293" w:type="pct"/>
            <w:shd w:val="clear" w:color="auto" w:fill="auto"/>
            <w:noWrap/>
            <w:vAlign w:val="bottom"/>
            <w:hideMark/>
          </w:tcPr>
          <w:p w14:paraId="552A6113" w14:textId="77777777" w:rsidR="009A36D2" w:rsidRPr="009A3489" w:rsidRDefault="009A36D2" w:rsidP="00281A92">
            <w:pPr>
              <w:spacing w:before="0" w:after="0" w:line="240" w:lineRule="auto"/>
              <w:rPr>
                <w:color w:val="auto"/>
                <w:sz w:val="20"/>
                <w:szCs w:val="20"/>
              </w:rPr>
            </w:pPr>
            <w:r w:rsidRPr="009A3489">
              <w:rPr>
                <w:color w:val="auto"/>
                <w:sz w:val="20"/>
                <w:szCs w:val="20"/>
              </w:rPr>
              <w:t>18</w:t>
            </w:r>
          </w:p>
        </w:tc>
        <w:tc>
          <w:tcPr>
            <w:tcW w:w="927" w:type="pct"/>
            <w:shd w:val="clear" w:color="auto" w:fill="auto"/>
            <w:noWrap/>
            <w:vAlign w:val="bottom"/>
          </w:tcPr>
          <w:p w14:paraId="55DAED0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0.44</w:t>
            </w:r>
          </w:p>
        </w:tc>
        <w:tc>
          <w:tcPr>
            <w:tcW w:w="928" w:type="pct"/>
            <w:shd w:val="clear" w:color="auto" w:fill="auto"/>
            <w:noWrap/>
            <w:vAlign w:val="bottom"/>
          </w:tcPr>
          <w:p w14:paraId="4AC4A2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0.69</w:t>
            </w:r>
          </w:p>
        </w:tc>
        <w:tc>
          <w:tcPr>
            <w:tcW w:w="928" w:type="pct"/>
            <w:shd w:val="clear" w:color="auto" w:fill="auto"/>
            <w:noWrap/>
            <w:vAlign w:val="bottom"/>
          </w:tcPr>
          <w:p w14:paraId="74952AF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1.69</w:t>
            </w:r>
          </w:p>
        </w:tc>
        <w:tc>
          <w:tcPr>
            <w:tcW w:w="924" w:type="pct"/>
            <w:vAlign w:val="bottom"/>
          </w:tcPr>
          <w:p w14:paraId="199F130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2.75</w:t>
            </w:r>
          </w:p>
        </w:tc>
      </w:tr>
      <w:tr w:rsidR="009A36D2" w:rsidRPr="009A3489" w14:paraId="0C98758C" w14:textId="77777777" w:rsidTr="00281A92">
        <w:trPr>
          <w:trHeight w:val="20"/>
          <w:jc w:val="center"/>
        </w:trPr>
        <w:tc>
          <w:tcPr>
            <w:tcW w:w="1293" w:type="pct"/>
            <w:shd w:val="clear" w:color="auto" w:fill="auto"/>
            <w:noWrap/>
            <w:vAlign w:val="bottom"/>
            <w:hideMark/>
          </w:tcPr>
          <w:p w14:paraId="23DE0746"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17C9CC3E"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0.79</w:t>
            </w:r>
          </w:p>
        </w:tc>
        <w:tc>
          <w:tcPr>
            <w:tcW w:w="928" w:type="pct"/>
            <w:shd w:val="clear" w:color="auto" w:fill="auto"/>
            <w:noWrap/>
            <w:vAlign w:val="bottom"/>
          </w:tcPr>
          <w:p w14:paraId="33AD28C3"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1.32</w:t>
            </w:r>
          </w:p>
        </w:tc>
        <w:tc>
          <w:tcPr>
            <w:tcW w:w="928" w:type="pct"/>
            <w:shd w:val="clear" w:color="auto" w:fill="auto"/>
            <w:noWrap/>
            <w:vAlign w:val="bottom"/>
          </w:tcPr>
          <w:p w14:paraId="15018A33"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1.89</w:t>
            </w:r>
          </w:p>
        </w:tc>
        <w:tc>
          <w:tcPr>
            <w:tcW w:w="924" w:type="pct"/>
            <w:vAlign w:val="bottom"/>
          </w:tcPr>
          <w:p w14:paraId="771F7355"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2.16</w:t>
            </w:r>
          </w:p>
        </w:tc>
      </w:tr>
      <w:tr w:rsidR="009A36D2" w:rsidRPr="009A3489" w14:paraId="2F9EA33D" w14:textId="77777777" w:rsidTr="00281A92">
        <w:trPr>
          <w:trHeight w:val="20"/>
          <w:jc w:val="center"/>
        </w:trPr>
        <w:tc>
          <w:tcPr>
            <w:tcW w:w="1293" w:type="pct"/>
            <w:shd w:val="clear" w:color="auto" w:fill="auto"/>
            <w:noWrap/>
            <w:vAlign w:val="bottom"/>
          </w:tcPr>
          <w:p w14:paraId="4FE24477"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36696372"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0.38</w:t>
            </w:r>
          </w:p>
        </w:tc>
        <w:tc>
          <w:tcPr>
            <w:tcW w:w="928" w:type="pct"/>
            <w:shd w:val="clear" w:color="auto" w:fill="auto"/>
            <w:noWrap/>
            <w:vAlign w:val="bottom"/>
          </w:tcPr>
          <w:p w14:paraId="0418DA91"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0.83</w:t>
            </w:r>
          </w:p>
        </w:tc>
        <w:tc>
          <w:tcPr>
            <w:tcW w:w="928" w:type="pct"/>
            <w:shd w:val="clear" w:color="auto" w:fill="auto"/>
            <w:noWrap/>
            <w:vAlign w:val="bottom"/>
          </w:tcPr>
          <w:p w14:paraId="4885B176"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0.67</w:t>
            </w:r>
          </w:p>
        </w:tc>
        <w:tc>
          <w:tcPr>
            <w:tcW w:w="924" w:type="pct"/>
            <w:vAlign w:val="bottom"/>
          </w:tcPr>
          <w:p w14:paraId="4BF5CBF7"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0.59</w:t>
            </w:r>
          </w:p>
        </w:tc>
      </w:tr>
      <w:tr w:rsidR="009A36D2" w:rsidRPr="009A3489" w14:paraId="545E15C6" w14:textId="77777777" w:rsidTr="00281A92">
        <w:trPr>
          <w:trHeight w:val="20"/>
          <w:jc w:val="center"/>
        </w:trPr>
        <w:tc>
          <w:tcPr>
            <w:tcW w:w="5000" w:type="pct"/>
            <w:gridSpan w:val="5"/>
            <w:shd w:val="clear" w:color="auto" w:fill="D9D9D9" w:themeFill="background1" w:themeFillShade="D9"/>
            <w:noWrap/>
            <w:vAlign w:val="bottom"/>
          </w:tcPr>
          <w:p w14:paraId="73E93333"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Older (60-79 years old)</w:t>
            </w:r>
          </w:p>
        </w:tc>
      </w:tr>
      <w:tr w:rsidR="009A36D2" w:rsidRPr="009A3489" w14:paraId="7EF9641C" w14:textId="77777777" w:rsidTr="00281A92">
        <w:trPr>
          <w:trHeight w:val="20"/>
          <w:jc w:val="center"/>
        </w:trPr>
        <w:tc>
          <w:tcPr>
            <w:tcW w:w="1293" w:type="pct"/>
            <w:tcBorders>
              <w:tl2br w:val="single" w:sz="4" w:space="0" w:color="auto"/>
            </w:tcBorders>
            <w:shd w:val="clear" w:color="auto" w:fill="auto"/>
            <w:hideMark/>
          </w:tcPr>
          <w:p w14:paraId="38763CA6"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2B017F7A" w14:textId="77777777" w:rsidR="009A36D2" w:rsidRPr="009A3489" w:rsidRDefault="009A36D2" w:rsidP="00281A92">
            <w:pPr>
              <w:spacing w:before="0" w:after="0" w:line="240" w:lineRule="auto"/>
              <w:rPr>
                <w:color w:val="auto"/>
                <w:sz w:val="20"/>
                <w:szCs w:val="20"/>
              </w:rPr>
            </w:pPr>
          </w:p>
          <w:p w14:paraId="7384369F"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323060A8"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04F8E048"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5AC0D610"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32E10E96"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51A30518" w14:textId="77777777" w:rsidTr="00281A92">
        <w:trPr>
          <w:trHeight w:val="20"/>
          <w:jc w:val="center"/>
        </w:trPr>
        <w:tc>
          <w:tcPr>
            <w:tcW w:w="1293" w:type="pct"/>
            <w:shd w:val="clear" w:color="auto" w:fill="auto"/>
            <w:noWrap/>
            <w:vAlign w:val="bottom"/>
            <w:hideMark/>
          </w:tcPr>
          <w:p w14:paraId="40827B49"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68C075C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2.58</w:t>
            </w:r>
          </w:p>
        </w:tc>
        <w:tc>
          <w:tcPr>
            <w:tcW w:w="928" w:type="pct"/>
            <w:shd w:val="clear" w:color="auto" w:fill="auto"/>
            <w:noWrap/>
            <w:vAlign w:val="bottom"/>
          </w:tcPr>
          <w:p w14:paraId="3A72964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2.09</w:t>
            </w:r>
          </w:p>
        </w:tc>
        <w:tc>
          <w:tcPr>
            <w:tcW w:w="928" w:type="pct"/>
            <w:shd w:val="clear" w:color="auto" w:fill="auto"/>
            <w:noWrap/>
            <w:vAlign w:val="bottom"/>
          </w:tcPr>
          <w:p w14:paraId="58FCE75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2.54</w:t>
            </w:r>
          </w:p>
        </w:tc>
        <w:tc>
          <w:tcPr>
            <w:tcW w:w="924" w:type="pct"/>
            <w:vAlign w:val="bottom"/>
          </w:tcPr>
          <w:p w14:paraId="794470A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2.60</w:t>
            </w:r>
          </w:p>
        </w:tc>
      </w:tr>
      <w:tr w:rsidR="009A36D2" w:rsidRPr="009A3489" w14:paraId="4EC598AA" w14:textId="77777777" w:rsidTr="00281A92">
        <w:trPr>
          <w:trHeight w:val="20"/>
          <w:jc w:val="center"/>
        </w:trPr>
        <w:tc>
          <w:tcPr>
            <w:tcW w:w="1293" w:type="pct"/>
            <w:shd w:val="clear" w:color="auto" w:fill="auto"/>
            <w:noWrap/>
            <w:vAlign w:val="bottom"/>
            <w:hideMark/>
          </w:tcPr>
          <w:p w14:paraId="760753BD"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bottom"/>
          </w:tcPr>
          <w:p w14:paraId="12247AB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0.94</w:t>
            </w:r>
          </w:p>
        </w:tc>
        <w:tc>
          <w:tcPr>
            <w:tcW w:w="928" w:type="pct"/>
            <w:shd w:val="clear" w:color="auto" w:fill="auto"/>
            <w:noWrap/>
            <w:vAlign w:val="bottom"/>
          </w:tcPr>
          <w:p w14:paraId="1C8383B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1.21</w:t>
            </w:r>
          </w:p>
        </w:tc>
        <w:tc>
          <w:tcPr>
            <w:tcW w:w="928" w:type="pct"/>
            <w:shd w:val="clear" w:color="auto" w:fill="auto"/>
            <w:noWrap/>
            <w:vAlign w:val="bottom"/>
          </w:tcPr>
          <w:p w14:paraId="7C5FB0E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2.37</w:t>
            </w:r>
          </w:p>
        </w:tc>
        <w:tc>
          <w:tcPr>
            <w:tcW w:w="924" w:type="pct"/>
            <w:vAlign w:val="bottom"/>
          </w:tcPr>
          <w:p w14:paraId="7E138AE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2.43</w:t>
            </w:r>
          </w:p>
        </w:tc>
      </w:tr>
      <w:tr w:rsidR="009A36D2" w:rsidRPr="009A3489" w14:paraId="7DE57C8F" w14:textId="77777777" w:rsidTr="00281A92">
        <w:trPr>
          <w:trHeight w:val="20"/>
          <w:jc w:val="center"/>
        </w:trPr>
        <w:tc>
          <w:tcPr>
            <w:tcW w:w="1293" w:type="pct"/>
            <w:shd w:val="clear" w:color="auto" w:fill="auto"/>
            <w:noWrap/>
            <w:vAlign w:val="bottom"/>
            <w:hideMark/>
          </w:tcPr>
          <w:p w14:paraId="0D7E8143"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4931901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1.23</w:t>
            </w:r>
          </w:p>
        </w:tc>
        <w:tc>
          <w:tcPr>
            <w:tcW w:w="928" w:type="pct"/>
            <w:shd w:val="clear" w:color="auto" w:fill="auto"/>
            <w:noWrap/>
            <w:vAlign w:val="bottom"/>
          </w:tcPr>
          <w:p w14:paraId="0D72081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1.44</w:t>
            </w:r>
          </w:p>
        </w:tc>
        <w:tc>
          <w:tcPr>
            <w:tcW w:w="928" w:type="pct"/>
            <w:shd w:val="clear" w:color="auto" w:fill="auto"/>
            <w:noWrap/>
            <w:vAlign w:val="bottom"/>
          </w:tcPr>
          <w:p w14:paraId="6AAD419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2.46</w:t>
            </w:r>
          </w:p>
        </w:tc>
        <w:tc>
          <w:tcPr>
            <w:tcW w:w="924" w:type="pct"/>
            <w:vAlign w:val="bottom"/>
          </w:tcPr>
          <w:p w14:paraId="13BABCB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2.61</w:t>
            </w:r>
          </w:p>
        </w:tc>
      </w:tr>
      <w:tr w:rsidR="009A36D2" w:rsidRPr="009A3489" w14:paraId="6BFA4D0C" w14:textId="77777777" w:rsidTr="00281A92">
        <w:trPr>
          <w:trHeight w:val="20"/>
          <w:jc w:val="center"/>
        </w:trPr>
        <w:tc>
          <w:tcPr>
            <w:tcW w:w="1293" w:type="pct"/>
            <w:shd w:val="clear" w:color="auto" w:fill="auto"/>
            <w:noWrap/>
            <w:vAlign w:val="bottom"/>
            <w:hideMark/>
          </w:tcPr>
          <w:p w14:paraId="67E864DF"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5972A0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0.74</w:t>
            </w:r>
          </w:p>
        </w:tc>
        <w:tc>
          <w:tcPr>
            <w:tcW w:w="928" w:type="pct"/>
            <w:shd w:val="clear" w:color="auto" w:fill="auto"/>
            <w:noWrap/>
            <w:vAlign w:val="bottom"/>
          </w:tcPr>
          <w:p w14:paraId="1D89A76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0.66</w:t>
            </w:r>
          </w:p>
        </w:tc>
        <w:tc>
          <w:tcPr>
            <w:tcW w:w="928" w:type="pct"/>
            <w:shd w:val="clear" w:color="auto" w:fill="auto"/>
            <w:noWrap/>
            <w:vAlign w:val="bottom"/>
          </w:tcPr>
          <w:p w14:paraId="44E886A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1.29</w:t>
            </w:r>
          </w:p>
        </w:tc>
        <w:tc>
          <w:tcPr>
            <w:tcW w:w="924" w:type="pct"/>
            <w:vAlign w:val="bottom"/>
          </w:tcPr>
          <w:p w14:paraId="27831CF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1.97</w:t>
            </w:r>
          </w:p>
        </w:tc>
      </w:tr>
      <w:tr w:rsidR="009A36D2" w:rsidRPr="009A3489" w14:paraId="689511D4" w14:textId="77777777" w:rsidTr="00281A92">
        <w:trPr>
          <w:trHeight w:val="20"/>
          <w:jc w:val="center"/>
        </w:trPr>
        <w:tc>
          <w:tcPr>
            <w:tcW w:w="1293" w:type="pct"/>
            <w:shd w:val="clear" w:color="auto" w:fill="auto"/>
            <w:noWrap/>
            <w:vAlign w:val="bottom"/>
            <w:hideMark/>
          </w:tcPr>
          <w:p w14:paraId="7C6ABD17"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25E525C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2.15</w:t>
            </w:r>
          </w:p>
        </w:tc>
        <w:tc>
          <w:tcPr>
            <w:tcW w:w="928" w:type="pct"/>
            <w:shd w:val="clear" w:color="auto" w:fill="auto"/>
            <w:noWrap/>
            <w:vAlign w:val="bottom"/>
          </w:tcPr>
          <w:p w14:paraId="62E5FD1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2.68</w:t>
            </w:r>
          </w:p>
        </w:tc>
        <w:tc>
          <w:tcPr>
            <w:tcW w:w="928" w:type="pct"/>
            <w:shd w:val="clear" w:color="auto" w:fill="auto"/>
            <w:noWrap/>
            <w:vAlign w:val="bottom"/>
          </w:tcPr>
          <w:p w14:paraId="2C2BE42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1.92</w:t>
            </w:r>
          </w:p>
        </w:tc>
        <w:tc>
          <w:tcPr>
            <w:tcW w:w="924" w:type="pct"/>
            <w:vAlign w:val="bottom"/>
          </w:tcPr>
          <w:p w14:paraId="2ADC82D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2.74</w:t>
            </w:r>
          </w:p>
        </w:tc>
      </w:tr>
      <w:tr w:rsidR="009A36D2" w:rsidRPr="009A3489" w14:paraId="5C15D4B0" w14:textId="77777777" w:rsidTr="00281A92">
        <w:trPr>
          <w:trHeight w:val="20"/>
          <w:jc w:val="center"/>
        </w:trPr>
        <w:tc>
          <w:tcPr>
            <w:tcW w:w="1293" w:type="pct"/>
            <w:shd w:val="clear" w:color="auto" w:fill="auto"/>
            <w:noWrap/>
            <w:vAlign w:val="bottom"/>
            <w:hideMark/>
          </w:tcPr>
          <w:p w14:paraId="39D9DF09"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764E411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0.73</w:t>
            </w:r>
          </w:p>
        </w:tc>
        <w:tc>
          <w:tcPr>
            <w:tcW w:w="928" w:type="pct"/>
            <w:shd w:val="clear" w:color="auto" w:fill="auto"/>
            <w:noWrap/>
            <w:vAlign w:val="bottom"/>
          </w:tcPr>
          <w:p w14:paraId="33252ED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0.91</w:t>
            </w:r>
          </w:p>
        </w:tc>
        <w:tc>
          <w:tcPr>
            <w:tcW w:w="928" w:type="pct"/>
            <w:shd w:val="clear" w:color="auto" w:fill="auto"/>
            <w:noWrap/>
            <w:vAlign w:val="bottom"/>
          </w:tcPr>
          <w:p w14:paraId="348282D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2.10</w:t>
            </w:r>
          </w:p>
        </w:tc>
        <w:tc>
          <w:tcPr>
            <w:tcW w:w="924" w:type="pct"/>
            <w:vAlign w:val="bottom"/>
          </w:tcPr>
          <w:p w14:paraId="0DE317D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2.42</w:t>
            </w:r>
          </w:p>
        </w:tc>
      </w:tr>
      <w:tr w:rsidR="009A36D2" w:rsidRPr="009A3489" w14:paraId="5F8D122B" w14:textId="77777777" w:rsidTr="00281A92">
        <w:trPr>
          <w:trHeight w:val="20"/>
          <w:jc w:val="center"/>
        </w:trPr>
        <w:tc>
          <w:tcPr>
            <w:tcW w:w="1293" w:type="pct"/>
            <w:shd w:val="clear" w:color="auto" w:fill="auto"/>
            <w:noWrap/>
            <w:vAlign w:val="bottom"/>
            <w:hideMark/>
          </w:tcPr>
          <w:p w14:paraId="4C8D5860"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65843F0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1.07</w:t>
            </w:r>
          </w:p>
        </w:tc>
        <w:tc>
          <w:tcPr>
            <w:tcW w:w="928" w:type="pct"/>
            <w:shd w:val="clear" w:color="auto" w:fill="auto"/>
            <w:noWrap/>
            <w:vAlign w:val="bottom"/>
          </w:tcPr>
          <w:p w14:paraId="1D73D04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1.45</w:t>
            </w:r>
          </w:p>
        </w:tc>
        <w:tc>
          <w:tcPr>
            <w:tcW w:w="928" w:type="pct"/>
            <w:shd w:val="clear" w:color="auto" w:fill="auto"/>
            <w:noWrap/>
            <w:vAlign w:val="bottom"/>
          </w:tcPr>
          <w:p w14:paraId="7F0B207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1.68</w:t>
            </w:r>
          </w:p>
        </w:tc>
        <w:tc>
          <w:tcPr>
            <w:tcW w:w="924" w:type="pct"/>
            <w:vAlign w:val="bottom"/>
          </w:tcPr>
          <w:p w14:paraId="68E9772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1.96</w:t>
            </w:r>
          </w:p>
        </w:tc>
      </w:tr>
      <w:tr w:rsidR="009A36D2" w:rsidRPr="009A3489" w14:paraId="33661A34" w14:textId="77777777" w:rsidTr="00281A92">
        <w:trPr>
          <w:trHeight w:val="20"/>
          <w:jc w:val="center"/>
        </w:trPr>
        <w:tc>
          <w:tcPr>
            <w:tcW w:w="1293" w:type="pct"/>
            <w:shd w:val="clear" w:color="auto" w:fill="auto"/>
            <w:noWrap/>
            <w:vAlign w:val="bottom"/>
            <w:hideMark/>
          </w:tcPr>
          <w:p w14:paraId="41FEF741"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6D60473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0.60</w:t>
            </w:r>
          </w:p>
        </w:tc>
        <w:tc>
          <w:tcPr>
            <w:tcW w:w="928" w:type="pct"/>
            <w:shd w:val="clear" w:color="auto" w:fill="auto"/>
            <w:noWrap/>
            <w:vAlign w:val="bottom"/>
          </w:tcPr>
          <w:p w14:paraId="2198D13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0.61</w:t>
            </w:r>
          </w:p>
        </w:tc>
        <w:tc>
          <w:tcPr>
            <w:tcW w:w="928" w:type="pct"/>
            <w:shd w:val="clear" w:color="auto" w:fill="auto"/>
            <w:noWrap/>
            <w:vAlign w:val="bottom"/>
          </w:tcPr>
          <w:p w14:paraId="7E9EE25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1.72</w:t>
            </w:r>
          </w:p>
        </w:tc>
        <w:tc>
          <w:tcPr>
            <w:tcW w:w="924" w:type="pct"/>
            <w:vAlign w:val="bottom"/>
          </w:tcPr>
          <w:p w14:paraId="305E797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1.99</w:t>
            </w:r>
          </w:p>
        </w:tc>
      </w:tr>
      <w:tr w:rsidR="009A36D2" w:rsidRPr="009A3489" w14:paraId="09A8E215" w14:textId="77777777" w:rsidTr="00281A92">
        <w:trPr>
          <w:trHeight w:val="20"/>
          <w:jc w:val="center"/>
        </w:trPr>
        <w:tc>
          <w:tcPr>
            <w:tcW w:w="1293" w:type="pct"/>
            <w:shd w:val="clear" w:color="auto" w:fill="auto"/>
            <w:noWrap/>
            <w:vAlign w:val="bottom"/>
            <w:hideMark/>
          </w:tcPr>
          <w:p w14:paraId="6F08062B"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21E1923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1.69</w:t>
            </w:r>
          </w:p>
        </w:tc>
        <w:tc>
          <w:tcPr>
            <w:tcW w:w="928" w:type="pct"/>
            <w:shd w:val="clear" w:color="auto" w:fill="auto"/>
            <w:noWrap/>
            <w:vAlign w:val="bottom"/>
          </w:tcPr>
          <w:p w14:paraId="65B20AE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2.00</w:t>
            </w:r>
          </w:p>
        </w:tc>
        <w:tc>
          <w:tcPr>
            <w:tcW w:w="928" w:type="pct"/>
            <w:shd w:val="clear" w:color="auto" w:fill="auto"/>
            <w:noWrap/>
            <w:vAlign w:val="bottom"/>
          </w:tcPr>
          <w:p w14:paraId="7A5A684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2.74</w:t>
            </w:r>
          </w:p>
        </w:tc>
        <w:tc>
          <w:tcPr>
            <w:tcW w:w="924" w:type="pct"/>
            <w:vAlign w:val="bottom"/>
          </w:tcPr>
          <w:p w14:paraId="796097B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2.27</w:t>
            </w:r>
          </w:p>
        </w:tc>
      </w:tr>
      <w:tr w:rsidR="009A36D2" w:rsidRPr="009A3489" w14:paraId="3000A9CD" w14:textId="77777777" w:rsidTr="00281A92">
        <w:trPr>
          <w:trHeight w:val="20"/>
          <w:jc w:val="center"/>
        </w:trPr>
        <w:tc>
          <w:tcPr>
            <w:tcW w:w="1293" w:type="pct"/>
            <w:shd w:val="clear" w:color="auto" w:fill="auto"/>
            <w:noWrap/>
            <w:vAlign w:val="bottom"/>
            <w:hideMark/>
          </w:tcPr>
          <w:p w14:paraId="2EF605B0"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2F45046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1.65</w:t>
            </w:r>
          </w:p>
        </w:tc>
        <w:tc>
          <w:tcPr>
            <w:tcW w:w="928" w:type="pct"/>
            <w:shd w:val="clear" w:color="auto" w:fill="auto"/>
            <w:noWrap/>
            <w:vAlign w:val="bottom"/>
          </w:tcPr>
          <w:p w14:paraId="05C6F0F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2.46</w:t>
            </w:r>
          </w:p>
        </w:tc>
        <w:tc>
          <w:tcPr>
            <w:tcW w:w="928" w:type="pct"/>
            <w:shd w:val="clear" w:color="auto" w:fill="auto"/>
            <w:noWrap/>
            <w:vAlign w:val="bottom"/>
          </w:tcPr>
          <w:p w14:paraId="3C16C56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2.03</w:t>
            </w:r>
          </w:p>
        </w:tc>
        <w:tc>
          <w:tcPr>
            <w:tcW w:w="924" w:type="pct"/>
            <w:vAlign w:val="bottom"/>
          </w:tcPr>
          <w:p w14:paraId="50A0484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2.66</w:t>
            </w:r>
          </w:p>
        </w:tc>
      </w:tr>
      <w:tr w:rsidR="009A36D2" w:rsidRPr="009A3489" w14:paraId="6C4B0DEF" w14:textId="77777777" w:rsidTr="00281A92">
        <w:trPr>
          <w:trHeight w:val="20"/>
          <w:jc w:val="center"/>
        </w:trPr>
        <w:tc>
          <w:tcPr>
            <w:tcW w:w="1293" w:type="pct"/>
            <w:shd w:val="clear" w:color="auto" w:fill="auto"/>
            <w:noWrap/>
            <w:vAlign w:val="bottom"/>
            <w:hideMark/>
          </w:tcPr>
          <w:p w14:paraId="247EDC31"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31D1F88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0.55</w:t>
            </w:r>
          </w:p>
        </w:tc>
        <w:tc>
          <w:tcPr>
            <w:tcW w:w="928" w:type="pct"/>
            <w:shd w:val="clear" w:color="auto" w:fill="auto"/>
            <w:noWrap/>
            <w:vAlign w:val="bottom"/>
          </w:tcPr>
          <w:p w14:paraId="5F390E4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0.72</w:t>
            </w:r>
          </w:p>
        </w:tc>
        <w:tc>
          <w:tcPr>
            <w:tcW w:w="928" w:type="pct"/>
            <w:shd w:val="clear" w:color="auto" w:fill="auto"/>
            <w:noWrap/>
            <w:vAlign w:val="bottom"/>
          </w:tcPr>
          <w:p w14:paraId="2AE526C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1.27</w:t>
            </w:r>
          </w:p>
        </w:tc>
        <w:tc>
          <w:tcPr>
            <w:tcW w:w="924" w:type="pct"/>
            <w:vAlign w:val="bottom"/>
          </w:tcPr>
          <w:p w14:paraId="340CDB6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1.32</w:t>
            </w:r>
          </w:p>
        </w:tc>
      </w:tr>
      <w:tr w:rsidR="009A36D2" w:rsidRPr="009A3489" w14:paraId="4DABDC6E" w14:textId="77777777" w:rsidTr="00281A92">
        <w:trPr>
          <w:trHeight w:val="20"/>
          <w:jc w:val="center"/>
        </w:trPr>
        <w:tc>
          <w:tcPr>
            <w:tcW w:w="1293" w:type="pct"/>
            <w:shd w:val="clear" w:color="auto" w:fill="auto"/>
            <w:noWrap/>
            <w:vAlign w:val="bottom"/>
            <w:hideMark/>
          </w:tcPr>
          <w:p w14:paraId="16627726"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5A81A0E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1.33</w:t>
            </w:r>
          </w:p>
        </w:tc>
        <w:tc>
          <w:tcPr>
            <w:tcW w:w="928" w:type="pct"/>
            <w:shd w:val="clear" w:color="auto" w:fill="auto"/>
            <w:noWrap/>
            <w:vAlign w:val="bottom"/>
          </w:tcPr>
          <w:p w14:paraId="3A05BAC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1.68</w:t>
            </w:r>
          </w:p>
        </w:tc>
        <w:tc>
          <w:tcPr>
            <w:tcW w:w="928" w:type="pct"/>
            <w:shd w:val="clear" w:color="auto" w:fill="auto"/>
            <w:noWrap/>
            <w:vAlign w:val="bottom"/>
          </w:tcPr>
          <w:p w14:paraId="08DBDC8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1.41</w:t>
            </w:r>
          </w:p>
        </w:tc>
        <w:tc>
          <w:tcPr>
            <w:tcW w:w="924" w:type="pct"/>
            <w:vAlign w:val="bottom"/>
          </w:tcPr>
          <w:p w14:paraId="75A81EA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1.60</w:t>
            </w:r>
          </w:p>
        </w:tc>
      </w:tr>
      <w:tr w:rsidR="009A36D2" w:rsidRPr="009A3489" w14:paraId="2BB36B66" w14:textId="77777777" w:rsidTr="00281A92">
        <w:trPr>
          <w:trHeight w:val="20"/>
          <w:jc w:val="center"/>
        </w:trPr>
        <w:tc>
          <w:tcPr>
            <w:tcW w:w="1293" w:type="pct"/>
            <w:shd w:val="clear" w:color="auto" w:fill="auto"/>
            <w:noWrap/>
            <w:vAlign w:val="bottom"/>
            <w:hideMark/>
          </w:tcPr>
          <w:p w14:paraId="55344EFD"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52C7106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0.51</w:t>
            </w:r>
          </w:p>
        </w:tc>
        <w:tc>
          <w:tcPr>
            <w:tcW w:w="928" w:type="pct"/>
            <w:shd w:val="clear" w:color="auto" w:fill="auto"/>
            <w:noWrap/>
            <w:vAlign w:val="bottom"/>
          </w:tcPr>
          <w:p w14:paraId="39CC5C9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0.59</w:t>
            </w:r>
          </w:p>
        </w:tc>
        <w:tc>
          <w:tcPr>
            <w:tcW w:w="928" w:type="pct"/>
            <w:shd w:val="clear" w:color="auto" w:fill="auto"/>
            <w:noWrap/>
            <w:vAlign w:val="bottom"/>
          </w:tcPr>
          <w:p w14:paraId="7008D04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1.04</w:t>
            </w:r>
          </w:p>
        </w:tc>
        <w:tc>
          <w:tcPr>
            <w:tcW w:w="924" w:type="pct"/>
            <w:vAlign w:val="bottom"/>
          </w:tcPr>
          <w:p w14:paraId="1D2B930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1.36</w:t>
            </w:r>
          </w:p>
        </w:tc>
      </w:tr>
      <w:tr w:rsidR="009A36D2" w:rsidRPr="009A3489" w14:paraId="2EC064FA" w14:textId="77777777" w:rsidTr="00281A92">
        <w:trPr>
          <w:trHeight w:val="20"/>
          <w:jc w:val="center"/>
        </w:trPr>
        <w:tc>
          <w:tcPr>
            <w:tcW w:w="1293" w:type="pct"/>
            <w:shd w:val="clear" w:color="auto" w:fill="auto"/>
            <w:noWrap/>
            <w:vAlign w:val="bottom"/>
            <w:hideMark/>
          </w:tcPr>
          <w:p w14:paraId="1D2C0053"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3C1522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0.47</w:t>
            </w:r>
          </w:p>
        </w:tc>
        <w:tc>
          <w:tcPr>
            <w:tcW w:w="928" w:type="pct"/>
            <w:shd w:val="clear" w:color="auto" w:fill="auto"/>
            <w:noWrap/>
            <w:vAlign w:val="bottom"/>
          </w:tcPr>
          <w:p w14:paraId="11DC6AF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0.81</w:t>
            </w:r>
          </w:p>
        </w:tc>
        <w:tc>
          <w:tcPr>
            <w:tcW w:w="928" w:type="pct"/>
            <w:shd w:val="clear" w:color="auto" w:fill="auto"/>
            <w:noWrap/>
            <w:vAlign w:val="bottom"/>
          </w:tcPr>
          <w:p w14:paraId="500098D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1.35</w:t>
            </w:r>
          </w:p>
        </w:tc>
        <w:tc>
          <w:tcPr>
            <w:tcW w:w="924" w:type="pct"/>
            <w:vAlign w:val="bottom"/>
          </w:tcPr>
          <w:p w14:paraId="41F352E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1.79</w:t>
            </w:r>
          </w:p>
        </w:tc>
      </w:tr>
      <w:tr w:rsidR="009A36D2" w:rsidRPr="009A3489" w14:paraId="2BE9DCCA" w14:textId="77777777" w:rsidTr="00281A92">
        <w:trPr>
          <w:trHeight w:val="20"/>
          <w:jc w:val="center"/>
        </w:trPr>
        <w:tc>
          <w:tcPr>
            <w:tcW w:w="1293" w:type="pct"/>
            <w:shd w:val="clear" w:color="auto" w:fill="auto"/>
            <w:noWrap/>
            <w:vAlign w:val="bottom"/>
            <w:hideMark/>
          </w:tcPr>
          <w:p w14:paraId="25EE845E"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4A58D0C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0.47</w:t>
            </w:r>
          </w:p>
        </w:tc>
        <w:tc>
          <w:tcPr>
            <w:tcW w:w="928" w:type="pct"/>
            <w:shd w:val="clear" w:color="auto" w:fill="auto"/>
            <w:noWrap/>
            <w:vAlign w:val="bottom"/>
          </w:tcPr>
          <w:p w14:paraId="4C4F53B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0.59</w:t>
            </w:r>
          </w:p>
        </w:tc>
        <w:tc>
          <w:tcPr>
            <w:tcW w:w="928" w:type="pct"/>
            <w:shd w:val="clear" w:color="auto" w:fill="auto"/>
            <w:noWrap/>
            <w:vAlign w:val="bottom"/>
          </w:tcPr>
          <w:p w14:paraId="1A4A738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0.99</w:t>
            </w:r>
          </w:p>
        </w:tc>
        <w:tc>
          <w:tcPr>
            <w:tcW w:w="924" w:type="pct"/>
            <w:vAlign w:val="bottom"/>
          </w:tcPr>
          <w:p w14:paraId="353E23A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1.44</w:t>
            </w:r>
          </w:p>
        </w:tc>
      </w:tr>
      <w:tr w:rsidR="009A36D2" w:rsidRPr="009A3489" w14:paraId="4160F309" w14:textId="77777777" w:rsidTr="00281A92">
        <w:trPr>
          <w:trHeight w:val="20"/>
          <w:jc w:val="center"/>
        </w:trPr>
        <w:tc>
          <w:tcPr>
            <w:tcW w:w="1293" w:type="pct"/>
            <w:shd w:val="clear" w:color="auto" w:fill="auto"/>
            <w:noWrap/>
            <w:vAlign w:val="bottom"/>
            <w:hideMark/>
          </w:tcPr>
          <w:p w14:paraId="45C7EA2E"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216FB46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1.11</w:t>
            </w:r>
          </w:p>
        </w:tc>
        <w:tc>
          <w:tcPr>
            <w:tcW w:w="928" w:type="pct"/>
            <w:shd w:val="clear" w:color="auto" w:fill="auto"/>
            <w:noWrap/>
            <w:vAlign w:val="bottom"/>
          </w:tcPr>
          <w:p w14:paraId="556907D8"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1.33</w:t>
            </w:r>
          </w:p>
        </w:tc>
        <w:tc>
          <w:tcPr>
            <w:tcW w:w="928" w:type="pct"/>
            <w:shd w:val="clear" w:color="auto" w:fill="auto"/>
            <w:noWrap/>
            <w:vAlign w:val="bottom"/>
          </w:tcPr>
          <w:p w14:paraId="395ED24B"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1.79</w:t>
            </w:r>
          </w:p>
        </w:tc>
        <w:tc>
          <w:tcPr>
            <w:tcW w:w="924" w:type="pct"/>
            <w:vAlign w:val="bottom"/>
          </w:tcPr>
          <w:p w14:paraId="05B66583"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2.08</w:t>
            </w:r>
          </w:p>
        </w:tc>
      </w:tr>
      <w:tr w:rsidR="009A36D2" w:rsidRPr="009A3489" w14:paraId="777BA88B" w14:textId="77777777" w:rsidTr="00281A92">
        <w:trPr>
          <w:trHeight w:val="20"/>
          <w:jc w:val="center"/>
        </w:trPr>
        <w:tc>
          <w:tcPr>
            <w:tcW w:w="1293" w:type="pct"/>
            <w:shd w:val="clear" w:color="auto" w:fill="auto"/>
            <w:noWrap/>
            <w:vAlign w:val="bottom"/>
          </w:tcPr>
          <w:p w14:paraId="3F586CB2"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3E4ECCFE"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0.65</w:t>
            </w:r>
          </w:p>
        </w:tc>
        <w:tc>
          <w:tcPr>
            <w:tcW w:w="928" w:type="pct"/>
            <w:shd w:val="clear" w:color="auto" w:fill="auto"/>
            <w:noWrap/>
            <w:vAlign w:val="bottom"/>
          </w:tcPr>
          <w:p w14:paraId="701B0E6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0.72</w:t>
            </w:r>
          </w:p>
        </w:tc>
        <w:tc>
          <w:tcPr>
            <w:tcW w:w="928" w:type="pct"/>
            <w:shd w:val="clear" w:color="auto" w:fill="auto"/>
            <w:noWrap/>
            <w:vAlign w:val="bottom"/>
          </w:tcPr>
          <w:p w14:paraId="590569D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0.57</w:t>
            </w:r>
          </w:p>
        </w:tc>
        <w:tc>
          <w:tcPr>
            <w:tcW w:w="924" w:type="pct"/>
            <w:vAlign w:val="bottom"/>
          </w:tcPr>
          <w:p w14:paraId="3FBAAC95"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0.50</w:t>
            </w:r>
          </w:p>
        </w:tc>
      </w:tr>
      <w:tr w:rsidR="009A36D2" w:rsidRPr="009A3489" w14:paraId="6B373CBE" w14:textId="77777777" w:rsidTr="00281A92">
        <w:trPr>
          <w:trHeight w:val="20"/>
          <w:jc w:val="center"/>
        </w:trPr>
        <w:tc>
          <w:tcPr>
            <w:tcW w:w="5000" w:type="pct"/>
            <w:gridSpan w:val="5"/>
            <w:shd w:val="clear" w:color="auto" w:fill="auto"/>
            <w:noWrap/>
            <w:vAlign w:val="bottom"/>
            <w:hideMark/>
          </w:tcPr>
          <w:p w14:paraId="5DFDC339" w14:textId="77777777" w:rsidR="009A36D2" w:rsidRPr="009A3489" w:rsidRDefault="009A36D2" w:rsidP="00281A92">
            <w:pPr>
              <w:pStyle w:val="ListParagraph"/>
              <w:numPr>
                <w:ilvl w:val="0"/>
                <w:numId w:val="110"/>
              </w:numPr>
              <w:tabs>
                <w:tab w:val="left" w:pos="731"/>
              </w:tabs>
              <w:spacing w:before="0" w:after="0" w:line="240" w:lineRule="auto"/>
              <w:ind w:right="417"/>
              <w:jc w:val="left"/>
              <w:rPr>
                <w:b/>
                <w:bCs/>
                <w:color w:val="auto"/>
                <w:sz w:val="20"/>
                <w:szCs w:val="20"/>
              </w:rPr>
            </w:pPr>
            <w:r w:rsidRPr="009A3489">
              <w:rPr>
                <w:b/>
                <w:bCs/>
                <w:color w:val="auto"/>
                <w:sz w:val="20"/>
                <w:szCs w:val="20"/>
              </w:rPr>
              <w:t>Vertical SP duration (</w:t>
            </w:r>
            <w:proofErr w:type="spellStart"/>
            <w:r w:rsidRPr="009A3489">
              <w:rPr>
                <w:b/>
                <w:bCs/>
                <w:color w:val="auto"/>
                <w:sz w:val="20"/>
                <w:szCs w:val="20"/>
              </w:rPr>
              <w:t>ms</w:t>
            </w:r>
            <w:proofErr w:type="spellEnd"/>
            <w:r w:rsidRPr="009A3489">
              <w:rPr>
                <w:b/>
                <w:bCs/>
                <w:color w:val="auto"/>
                <w:sz w:val="20"/>
                <w:szCs w:val="20"/>
              </w:rPr>
              <w:t xml:space="preserve">) </w:t>
            </w:r>
          </w:p>
        </w:tc>
      </w:tr>
      <w:tr w:rsidR="009A36D2" w:rsidRPr="009A3489" w14:paraId="59034832" w14:textId="77777777" w:rsidTr="00281A92">
        <w:trPr>
          <w:trHeight w:val="20"/>
          <w:jc w:val="center"/>
        </w:trPr>
        <w:tc>
          <w:tcPr>
            <w:tcW w:w="5000" w:type="pct"/>
            <w:gridSpan w:val="5"/>
            <w:shd w:val="clear" w:color="auto" w:fill="D9D9D9" w:themeFill="background1" w:themeFillShade="D9"/>
            <w:noWrap/>
            <w:vAlign w:val="bottom"/>
          </w:tcPr>
          <w:p w14:paraId="41223976"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Young (18-39 years old)</w:t>
            </w:r>
          </w:p>
        </w:tc>
      </w:tr>
      <w:tr w:rsidR="009A36D2" w:rsidRPr="009A3489" w14:paraId="25E7113B" w14:textId="77777777" w:rsidTr="00281A92">
        <w:trPr>
          <w:trHeight w:val="20"/>
          <w:jc w:val="center"/>
        </w:trPr>
        <w:tc>
          <w:tcPr>
            <w:tcW w:w="1293" w:type="pct"/>
            <w:tcBorders>
              <w:tl2br w:val="single" w:sz="4" w:space="0" w:color="auto"/>
            </w:tcBorders>
            <w:shd w:val="clear" w:color="auto" w:fill="auto"/>
            <w:hideMark/>
          </w:tcPr>
          <w:p w14:paraId="6DF58851"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7F7B89AD" w14:textId="77777777" w:rsidR="009A36D2" w:rsidRPr="009A3489" w:rsidRDefault="009A36D2" w:rsidP="00281A92">
            <w:pPr>
              <w:spacing w:before="0" w:after="0" w:line="240" w:lineRule="auto"/>
              <w:rPr>
                <w:color w:val="auto"/>
                <w:sz w:val="20"/>
                <w:szCs w:val="20"/>
              </w:rPr>
            </w:pPr>
          </w:p>
          <w:p w14:paraId="415DB499"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42E62A13"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12E8E23D"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0B3BEEA4"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153ED110"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02C65C07" w14:textId="77777777" w:rsidTr="00281A92">
        <w:trPr>
          <w:trHeight w:val="20"/>
          <w:jc w:val="center"/>
        </w:trPr>
        <w:tc>
          <w:tcPr>
            <w:tcW w:w="1293" w:type="pct"/>
            <w:shd w:val="clear" w:color="auto" w:fill="auto"/>
            <w:noWrap/>
            <w:vAlign w:val="bottom"/>
            <w:hideMark/>
          </w:tcPr>
          <w:p w14:paraId="2C8CC3AD"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2F3B830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 xml:space="preserve"> 408</w:t>
            </w:r>
          </w:p>
        </w:tc>
        <w:tc>
          <w:tcPr>
            <w:tcW w:w="928" w:type="pct"/>
            <w:shd w:val="clear" w:color="auto" w:fill="auto"/>
            <w:noWrap/>
            <w:vAlign w:val="bottom"/>
          </w:tcPr>
          <w:p w14:paraId="191DE8A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303</w:t>
            </w:r>
          </w:p>
        </w:tc>
        <w:tc>
          <w:tcPr>
            <w:tcW w:w="928" w:type="pct"/>
            <w:shd w:val="clear" w:color="auto" w:fill="auto"/>
            <w:noWrap/>
            <w:vAlign w:val="bottom"/>
          </w:tcPr>
          <w:p w14:paraId="2B730AF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265</w:t>
            </w:r>
          </w:p>
        </w:tc>
        <w:tc>
          <w:tcPr>
            <w:tcW w:w="924" w:type="pct"/>
            <w:vAlign w:val="bottom"/>
          </w:tcPr>
          <w:p w14:paraId="777947D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247</w:t>
            </w:r>
          </w:p>
        </w:tc>
      </w:tr>
      <w:tr w:rsidR="009A36D2" w:rsidRPr="009A3489" w14:paraId="7CC7B2FD" w14:textId="77777777" w:rsidTr="00281A92">
        <w:trPr>
          <w:trHeight w:val="20"/>
          <w:jc w:val="center"/>
        </w:trPr>
        <w:tc>
          <w:tcPr>
            <w:tcW w:w="1293" w:type="pct"/>
            <w:shd w:val="clear" w:color="auto" w:fill="auto"/>
            <w:noWrap/>
            <w:vAlign w:val="bottom"/>
            <w:hideMark/>
          </w:tcPr>
          <w:p w14:paraId="0EC52654" w14:textId="77777777" w:rsidR="009A36D2" w:rsidRPr="009A3489" w:rsidRDefault="009A36D2" w:rsidP="00281A92">
            <w:pPr>
              <w:spacing w:before="0" w:after="0" w:line="240" w:lineRule="auto"/>
              <w:rPr>
                <w:color w:val="auto"/>
                <w:sz w:val="20"/>
                <w:szCs w:val="20"/>
              </w:rPr>
            </w:pPr>
            <w:r w:rsidRPr="009A3489">
              <w:rPr>
                <w:color w:val="auto"/>
                <w:sz w:val="20"/>
                <w:szCs w:val="20"/>
              </w:rPr>
              <w:lastRenderedPageBreak/>
              <w:t>2</w:t>
            </w:r>
          </w:p>
        </w:tc>
        <w:tc>
          <w:tcPr>
            <w:tcW w:w="927" w:type="pct"/>
            <w:shd w:val="clear" w:color="auto" w:fill="auto"/>
            <w:noWrap/>
            <w:vAlign w:val="bottom"/>
          </w:tcPr>
          <w:p w14:paraId="3C5C175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481</w:t>
            </w:r>
          </w:p>
        </w:tc>
        <w:tc>
          <w:tcPr>
            <w:tcW w:w="928" w:type="pct"/>
            <w:shd w:val="clear" w:color="auto" w:fill="auto"/>
            <w:noWrap/>
            <w:vAlign w:val="bottom"/>
          </w:tcPr>
          <w:p w14:paraId="33F7751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279</w:t>
            </w:r>
          </w:p>
        </w:tc>
        <w:tc>
          <w:tcPr>
            <w:tcW w:w="928" w:type="pct"/>
            <w:shd w:val="clear" w:color="auto" w:fill="auto"/>
            <w:noWrap/>
            <w:vAlign w:val="bottom"/>
          </w:tcPr>
          <w:p w14:paraId="3754A89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273</w:t>
            </w:r>
          </w:p>
        </w:tc>
        <w:tc>
          <w:tcPr>
            <w:tcW w:w="924" w:type="pct"/>
            <w:vAlign w:val="bottom"/>
          </w:tcPr>
          <w:p w14:paraId="45D44E2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205</w:t>
            </w:r>
          </w:p>
        </w:tc>
      </w:tr>
      <w:tr w:rsidR="009A36D2" w:rsidRPr="009A3489" w14:paraId="79C750E9" w14:textId="77777777" w:rsidTr="00281A92">
        <w:trPr>
          <w:trHeight w:val="20"/>
          <w:jc w:val="center"/>
        </w:trPr>
        <w:tc>
          <w:tcPr>
            <w:tcW w:w="1293" w:type="pct"/>
            <w:shd w:val="clear" w:color="auto" w:fill="auto"/>
            <w:noWrap/>
            <w:vAlign w:val="bottom"/>
            <w:hideMark/>
          </w:tcPr>
          <w:p w14:paraId="142A9F48"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422D3AF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566</w:t>
            </w:r>
          </w:p>
        </w:tc>
        <w:tc>
          <w:tcPr>
            <w:tcW w:w="928" w:type="pct"/>
            <w:shd w:val="clear" w:color="auto" w:fill="auto"/>
            <w:noWrap/>
            <w:vAlign w:val="bottom"/>
          </w:tcPr>
          <w:p w14:paraId="5C3AE2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411</w:t>
            </w:r>
          </w:p>
        </w:tc>
        <w:tc>
          <w:tcPr>
            <w:tcW w:w="928" w:type="pct"/>
            <w:shd w:val="clear" w:color="auto" w:fill="auto"/>
            <w:noWrap/>
            <w:vAlign w:val="bottom"/>
          </w:tcPr>
          <w:p w14:paraId="5A0A766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287</w:t>
            </w:r>
          </w:p>
        </w:tc>
        <w:tc>
          <w:tcPr>
            <w:tcW w:w="924" w:type="pct"/>
            <w:vAlign w:val="bottom"/>
          </w:tcPr>
          <w:p w14:paraId="5E6C3F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220</w:t>
            </w:r>
          </w:p>
        </w:tc>
      </w:tr>
      <w:tr w:rsidR="009A36D2" w:rsidRPr="009A3489" w14:paraId="110C25D5" w14:textId="77777777" w:rsidTr="00281A92">
        <w:trPr>
          <w:trHeight w:val="20"/>
          <w:jc w:val="center"/>
        </w:trPr>
        <w:tc>
          <w:tcPr>
            <w:tcW w:w="1293" w:type="pct"/>
            <w:shd w:val="clear" w:color="auto" w:fill="auto"/>
            <w:noWrap/>
            <w:vAlign w:val="bottom"/>
            <w:hideMark/>
          </w:tcPr>
          <w:p w14:paraId="6E77E617"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08C2EC7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426</w:t>
            </w:r>
          </w:p>
        </w:tc>
        <w:tc>
          <w:tcPr>
            <w:tcW w:w="928" w:type="pct"/>
            <w:shd w:val="clear" w:color="auto" w:fill="auto"/>
            <w:noWrap/>
            <w:vAlign w:val="bottom"/>
          </w:tcPr>
          <w:p w14:paraId="38F6E25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299</w:t>
            </w:r>
          </w:p>
        </w:tc>
        <w:tc>
          <w:tcPr>
            <w:tcW w:w="928" w:type="pct"/>
            <w:shd w:val="clear" w:color="auto" w:fill="auto"/>
            <w:noWrap/>
            <w:vAlign w:val="bottom"/>
          </w:tcPr>
          <w:p w14:paraId="7256955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285</w:t>
            </w:r>
          </w:p>
        </w:tc>
        <w:tc>
          <w:tcPr>
            <w:tcW w:w="924" w:type="pct"/>
            <w:vAlign w:val="bottom"/>
          </w:tcPr>
          <w:p w14:paraId="7EAB69F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296</w:t>
            </w:r>
          </w:p>
        </w:tc>
      </w:tr>
      <w:tr w:rsidR="009A36D2" w:rsidRPr="009A3489" w14:paraId="79A3E460" w14:textId="77777777" w:rsidTr="00281A92">
        <w:trPr>
          <w:trHeight w:val="20"/>
          <w:jc w:val="center"/>
        </w:trPr>
        <w:tc>
          <w:tcPr>
            <w:tcW w:w="1293" w:type="pct"/>
            <w:shd w:val="clear" w:color="auto" w:fill="auto"/>
            <w:noWrap/>
            <w:vAlign w:val="bottom"/>
            <w:hideMark/>
          </w:tcPr>
          <w:p w14:paraId="1A1429C8"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1293A97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409</w:t>
            </w:r>
          </w:p>
        </w:tc>
        <w:tc>
          <w:tcPr>
            <w:tcW w:w="928" w:type="pct"/>
            <w:shd w:val="clear" w:color="auto" w:fill="auto"/>
            <w:noWrap/>
            <w:vAlign w:val="bottom"/>
          </w:tcPr>
          <w:p w14:paraId="45D9CCF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253</w:t>
            </w:r>
          </w:p>
        </w:tc>
        <w:tc>
          <w:tcPr>
            <w:tcW w:w="928" w:type="pct"/>
            <w:shd w:val="clear" w:color="auto" w:fill="auto"/>
            <w:noWrap/>
            <w:vAlign w:val="bottom"/>
          </w:tcPr>
          <w:p w14:paraId="4F9A090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279</w:t>
            </w:r>
          </w:p>
        </w:tc>
        <w:tc>
          <w:tcPr>
            <w:tcW w:w="924" w:type="pct"/>
            <w:vAlign w:val="bottom"/>
          </w:tcPr>
          <w:p w14:paraId="6359732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317</w:t>
            </w:r>
          </w:p>
        </w:tc>
      </w:tr>
      <w:tr w:rsidR="009A36D2" w:rsidRPr="009A3489" w14:paraId="52EDEE25" w14:textId="77777777" w:rsidTr="00281A92">
        <w:trPr>
          <w:trHeight w:val="20"/>
          <w:jc w:val="center"/>
        </w:trPr>
        <w:tc>
          <w:tcPr>
            <w:tcW w:w="1293" w:type="pct"/>
            <w:shd w:val="clear" w:color="auto" w:fill="auto"/>
            <w:noWrap/>
            <w:vAlign w:val="bottom"/>
            <w:hideMark/>
          </w:tcPr>
          <w:p w14:paraId="1F7D3A14"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2229C6D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362</w:t>
            </w:r>
          </w:p>
        </w:tc>
        <w:tc>
          <w:tcPr>
            <w:tcW w:w="928" w:type="pct"/>
            <w:shd w:val="clear" w:color="auto" w:fill="auto"/>
            <w:noWrap/>
            <w:vAlign w:val="bottom"/>
          </w:tcPr>
          <w:p w14:paraId="37BDFB1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280</w:t>
            </w:r>
          </w:p>
        </w:tc>
        <w:tc>
          <w:tcPr>
            <w:tcW w:w="928" w:type="pct"/>
            <w:shd w:val="clear" w:color="auto" w:fill="auto"/>
            <w:noWrap/>
            <w:vAlign w:val="bottom"/>
          </w:tcPr>
          <w:p w14:paraId="0E55E0F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215</w:t>
            </w:r>
          </w:p>
        </w:tc>
        <w:tc>
          <w:tcPr>
            <w:tcW w:w="924" w:type="pct"/>
            <w:vAlign w:val="bottom"/>
          </w:tcPr>
          <w:p w14:paraId="0FA548F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216</w:t>
            </w:r>
          </w:p>
        </w:tc>
      </w:tr>
      <w:tr w:rsidR="009A36D2" w:rsidRPr="009A3489" w14:paraId="71F312EF" w14:textId="77777777" w:rsidTr="00281A92">
        <w:trPr>
          <w:trHeight w:val="20"/>
          <w:jc w:val="center"/>
        </w:trPr>
        <w:tc>
          <w:tcPr>
            <w:tcW w:w="1293" w:type="pct"/>
            <w:shd w:val="clear" w:color="auto" w:fill="auto"/>
            <w:noWrap/>
            <w:vAlign w:val="bottom"/>
            <w:hideMark/>
          </w:tcPr>
          <w:p w14:paraId="0CD5F249"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06BCA32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423</w:t>
            </w:r>
          </w:p>
        </w:tc>
        <w:tc>
          <w:tcPr>
            <w:tcW w:w="928" w:type="pct"/>
            <w:shd w:val="clear" w:color="auto" w:fill="auto"/>
            <w:noWrap/>
            <w:vAlign w:val="bottom"/>
          </w:tcPr>
          <w:p w14:paraId="0DCADCD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243</w:t>
            </w:r>
          </w:p>
        </w:tc>
        <w:tc>
          <w:tcPr>
            <w:tcW w:w="928" w:type="pct"/>
            <w:shd w:val="clear" w:color="auto" w:fill="auto"/>
            <w:noWrap/>
            <w:vAlign w:val="bottom"/>
          </w:tcPr>
          <w:p w14:paraId="3A86F24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201</w:t>
            </w:r>
          </w:p>
        </w:tc>
        <w:tc>
          <w:tcPr>
            <w:tcW w:w="924" w:type="pct"/>
            <w:vAlign w:val="bottom"/>
          </w:tcPr>
          <w:p w14:paraId="660892C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265</w:t>
            </w:r>
          </w:p>
        </w:tc>
      </w:tr>
      <w:tr w:rsidR="009A36D2" w:rsidRPr="009A3489" w14:paraId="61BAA128" w14:textId="77777777" w:rsidTr="00281A92">
        <w:trPr>
          <w:trHeight w:val="20"/>
          <w:jc w:val="center"/>
        </w:trPr>
        <w:tc>
          <w:tcPr>
            <w:tcW w:w="1293" w:type="pct"/>
            <w:shd w:val="clear" w:color="auto" w:fill="auto"/>
            <w:noWrap/>
            <w:vAlign w:val="bottom"/>
            <w:hideMark/>
          </w:tcPr>
          <w:p w14:paraId="152A61B3"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15F2C1B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390</w:t>
            </w:r>
          </w:p>
        </w:tc>
        <w:tc>
          <w:tcPr>
            <w:tcW w:w="928" w:type="pct"/>
            <w:shd w:val="clear" w:color="auto" w:fill="auto"/>
            <w:noWrap/>
            <w:vAlign w:val="bottom"/>
          </w:tcPr>
          <w:p w14:paraId="1CFE00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212</w:t>
            </w:r>
          </w:p>
        </w:tc>
        <w:tc>
          <w:tcPr>
            <w:tcW w:w="928" w:type="pct"/>
            <w:shd w:val="clear" w:color="auto" w:fill="auto"/>
            <w:noWrap/>
            <w:vAlign w:val="bottom"/>
          </w:tcPr>
          <w:p w14:paraId="576B5CC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181</w:t>
            </w:r>
          </w:p>
        </w:tc>
        <w:tc>
          <w:tcPr>
            <w:tcW w:w="924" w:type="pct"/>
            <w:vAlign w:val="bottom"/>
          </w:tcPr>
          <w:p w14:paraId="4CD3504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190</w:t>
            </w:r>
          </w:p>
        </w:tc>
      </w:tr>
      <w:tr w:rsidR="009A36D2" w:rsidRPr="009A3489" w14:paraId="6B937578" w14:textId="77777777" w:rsidTr="00281A92">
        <w:trPr>
          <w:trHeight w:val="20"/>
          <w:jc w:val="center"/>
        </w:trPr>
        <w:tc>
          <w:tcPr>
            <w:tcW w:w="1293" w:type="pct"/>
            <w:shd w:val="clear" w:color="auto" w:fill="auto"/>
            <w:noWrap/>
            <w:vAlign w:val="bottom"/>
            <w:hideMark/>
          </w:tcPr>
          <w:p w14:paraId="4FC569AD"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6373EC2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334</w:t>
            </w:r>
          </w:p>
        </w:tc>
        <w:tc>
          <w:tcPr>
            <w:tcW w:w="928" w:type="pct"/>
            <w:shd w:val="clear" w:color="auto" w:fill="auto"/>
            <w:noWrap/>
            <w:vAlign w:val="bottom"/>
          </w:tcPr>
          <w:p w14:paraId="7136CFD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312</w:t>
            </w:r>
          </w:p>
        </w:tc>
        <w:tc>
          <w:tcPr>
            <w:tcW w:w="928" w:type="pct"/>
            <w:shd w:val="clear" w:color="auto" w:fill="auto"/>
            <w:noWrap/>
            <w:vAlign w:val="bottom"/>
          </w:tcPr>
          <w:p w14:paraId="5ED0056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200</w:t>
            </w:r>
          </w:p>
        </w:tc>
        <w:tc>
          <w:tcPr>
            <w:tcW w:w="924" w:type="pct"/>
            <w:vAlign w:val="bottom"/>
          </w:tcPr>
          <w:p w14:paraId="6D6C375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231</w:t>
            </w:r>
          </w:p>
        </w:tc>
      </w:tr>
      <w:tr w:rsidR="009A36D2" w:rsidRPr="009A3489" w14:paraId="3E1B0609" w14:textId="77777777" w:rsidTr="00281A92">
        <w:trPr>
          <w:trHeight w:val="20"/>
          <w:jc w:val="center"/>
        </w:trPr>
        <w:tc>
          <w:tcPr>
            <w:tcW w:w="1293" w:type="pct"/>
            <w:shd w:val="clear" w:color="auto" w:fill="auto"/>
            <w:noWrap/>
            <w:vAlign w:val="bottom"/>
            <w:hideMark/>
          </w:tcPr>
          <w:p w14:paraId="130E626D"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29E29D6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508</w:t>
            </w:r>
          </w:p>
        </w:tc>
        <w:tc>
          <w:tcPr>
            <w:tcW w:w="928" w:type="pct"/>
            <w:shd w:val="clear" w:color="auto" w:fill="auto"/>
            <w:noWrap/>
            <w:vAlign w:val="bottom"/>
          </w:tcPr>
          <w:p w14:paraId="75BC6B6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237</w:t>
            </w:r>
          </w:p>
        </w:tc>
        <w:tc>
          <w:tcPr>
            <w:tcW w:w="928" w:type="pct"/>
            <w:shd w:val="clear" w:color="auto" w:fill="auto"/>
            <w:noWrap/>
            <w:vAlign w:val="bottom"/>
          </w:tcPr>
          <w:p w14:paraId="58712E1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221</w:t>
            </w:r>
          </w:p>
        </w:tc>
        <w:tc>
          <w:tcPr>
            <w:tcW w:w="924" w:type="pct"/>
            <w:vAlign w:val="bottom"/>
          </w:tcPr>
          <w:p w14:paraId="090273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186</w:t>
            </w:r>
          </w:p>
        </w:tc>
      </w:tr>
      <w:tr w:rsidR="009A36D2" w:rsidRPr="009A3489" w14:paraId="3B7C7716" w14:textId="77777777" w:rsidTr="00281A92">
        <w:trPr>
          <w:trHeight w:val="20"/>
          <w:jc w:val="center"/>
        </w:trPr>
        <w:tc>
          <w:tcPr>
            <w:tcW w:w="1293" w:type="pct"/>
            <w:shd w:val="clear" w:color="auto" w:fill="auto"/>
            <w:noWrap/>
            <w:vAlign w:val="bottom"/>
            <w:hideMark/>
          </w:tcPr>
          <w:p w14:paraId="2DC36E99"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3D76A99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533</w:t>
            </w:r>
          </w:p>
        </w:tc>
        <w:tc>
          <w:tcPr>
            <w:tcW w:w="928" w:type="pct"/>
            <w:shd w:val="clear" w:color="auto" w:fill="auto"/>
            <w:noWrap/>
            <w:vAlign w:val="bottom"/>
          </w:tcPr>
          <w:p w14:paraId="0C53EC2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304</w:t>
            </w:r>
          </w:p>
        </w:tc>
        <w:tc>
          <w:tcPr>
            <w:tcW w:w="928" w:type="pct"/>
            <w:shd w:val="clear" w:color="auto" w:fill="auto"/>
            <w:noWrap/>
            <w:vAlign w:val="bottom"/>
          </w:tcPr>
          <w:p w14:paraId="0A9865A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224</w:t>
            </w:r>
          </w:p>
        </w:tc>
        <w:tc>
          <w:tcPr>
            <w:tcW w:w="924" w:type="pct"/>
            <w:vAlign w:val="bottom"/>
          </w:tcPr>
          <w:p w14:paraId="138048F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244</w:t>
            </w:r>
          </w:p>
        </w:tc>
      </w:tr>
      <w:tr w:rsidR="009A36D2" w:rsidRPr="009A3489" w14:paraId="601D5D94" w14:textId="77777777" w:rsidTr="00281A92">
        <w:trPr>
          <w:trHeight w:val="20"/>
          <w:jc w:val="center"/>
        </w:trPr>
        <w:tc>
          <w:tcPr>
            <w:tcW w:w="1293" w:type="pct"/>
            <w:shd w:val="clear" w:color="auto" w:fill="auto"/>
            <w:noWrap/>
            <w:vAlign w:val="bottom"/>
            <w:hideMark/>
          </w:tcPr>
          <w:p w14:paraId="30F15FC9"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36F45ED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442</w:t>
            </w:r>
          </w:p>
        </w:tc>
        <w:tc>
          <w:tcPr>
            <w:tcW w:w="928" w:type="pct"/>
            <w:shd w:val="clear" w:color="auto" w:fill="auto"/>
            <w:noWrap/>
            <w:vAlign w:val="bottom"/>
          </w:tcPr>
          <w:p w14:paraId="57E80AA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249</w:t>
            </w:r>
          </w:p>
        </w:tc>
        <w:tc>
          <w:tcPr>
            <w:tcW w:w="928" w:type="pct"/>
            <w:shd w:val="clear" w:color="auto" w:fill="auto"/>
            <w:noWrap/>
            <w:vAlign w:val="bottom"/>
          </w:tcPr>
          <w:p w14:paraId="7BED24E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187</w:t>
            </w:r>
          </w:p>
        </w:tc>
        <w:tc>
          <w:tcPr>
            <w:tcW w:w="924" w:type="pct"/>
            <w:vAlign w:val="bottom"/>
          </w:tcPr>
          <w:p w14:paraId="53AE486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172</w:t>
            </w:r>
          </w:p>
        </w:tc>
      </w:tr>
      <w:tr w:rsidR="009A36D2" w:rsidRPr="009A3489" w14:paraId="7F9135D9" w14:textId="77777777" w:rsidTr="00281A92">
        <w:trPr>
          <w:trHeight w:val="20"/>
          <w:jc w:val="center"/>
        </w:trPr>
        <w:tc>
          <w:tcPr>
            <w:tcW w:w="1293" w:type="pct"/>
            <w:shd w:val="clear" w:color="auto" w:fill="auto"/>
            <w:noWrap/>
            <w:vAlign w:val="bottom"/>
            <w:hideMark/>
          </w:tcPr>
          <w:p w14:paraId="619BEAC1"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3589CED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549</w:t>
            </w:r>
          </w:p>
        </w:tc>
        <w:tc>
          <w:tcPr>
            <w:tcW w:w="928" w:type="pct"/>
            <w:shd w:val="clear" w:color="auto" w:fill="auto"/>
            <w:noWrap/>
            <w:vAlign w:val="bottom"/>
          </w:tcPr>
          <w:p w14:paraId="02D1216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334</w:t>
            </w:r>
          </w:p>
        </w:tc>
        <w:tc>
          <w:tcPr>
            <w:tcW w:w="928" w:type="pct"/>
            <w:shd w:val="clear" w:color="auto" w:fill="auto"/>
            <w:noWrap/>
            <w:vAlign w:val="bottom"/>
          </w:tcPr>
          <w:p w14:paraId="2BFBBD6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216</w:t>
            </w:r>
          </w:p>
        </w:tc>
        <w:tc>
          <w:tcPr>
            <w:tcW w:w="924" w:type="pct"/>
            <w:vAlign w:val="bottom"/>
          </w:tcPr>
          <w:p w14:paraId="739D960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198</w:t>
            </w:r>
          </w:p>
        </w:tc>
      </w:tr>
      <w:tr w:rsidR="009A36D2" w:rsidRPr="009A3489" w14:paraId="26CF314C" w14:textId="77777777" w:rsidTr="00281A92">
        <w:trPr>
          <w:trHeight w:val="20"/>
          <w:jc w:val="center"/>
        </w:trPr>
        <w:tc>
          <w:tcPr>
            <w:tcW w:w="1293" w:type="pct"/>
            <w:shd w:val="clear" w:color="auto" w:fill="auto"/>
            <w:noWrap/>
            <w:vAlign w:val="bottom"/>
            <w:hideMark/>
          </w:tcPr>
          <w:p w14:paraId="00CBC5BD"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246D998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367</w:t>
            </w:r>
          </w:p>
        </w:tc>
        <w:tc>
          <w:tcPr>
            <w:tcW w:w="928" w:type="pct"/>
            <w:shd w:val="clear" w:color="auto" w:fill="auto"/>
            <w:noWrap/>
            <w:vAlign w:val="bottom"/>
          </w:tcPr>
          <w:p w14:paraId="1BA7E74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246</w:t>
            </w:r>
          </w:p>
        </w:tc>
        <w:tc>
          <w:tcPr>
            <w:tcW w:w="928" w:type="pct"/>
            <w:shd w:val="clear" w:color="auto" w:fill="auto"/>
            <w:noWrap/>
            <w:vAlign w:val="bottom"/>
          </w:tcPr>
          <w:p w14:paraId="135F565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200</w:t>
            </w:r>
          </w:p>
        </w:tc>
        <w:tc>
          <w:tcPr>
            <w:tcW w:w="924" w:type="pct"/>
            <w:vAlign w:val="bottom"/>
          </w:tcPr>
          <w:p w14:paraId="4B80C9E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191</w:t>
            </w:r>
          </w:p>
        </w:tc>
      </w:tr>
      <w:tr w:rsidR="009A36D2" w:rsidRPr="009A3489" w14:paraId="3F72DD03" w14:textId="77777777" w:rsidTr="00281A92">
        <w:trPr>
          <w:trHeight w:val="20"/>
          <w:jc w:val="center"/>
        </w:trPr>
        <w:tc>
          <w:tcPr>
            <w:tcW w:w="1293" w:type="pct"/>
            <w:shd w:val="clear" w:color="auto" w:fill="auto"/>
            <w:noWrap/>
            <w:vAlign w:val="bottom"/>
            <w:hideMark/>
          </w:tcPr>
          <w:p w14:paraId="75A30892"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0A8CD2B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408</w:t>
            </w:r>
          </w:p>
        </w:tc>
        <w:tc>
          <w:tcPr>
            <w:tcW w:w="928" w:type="pct"/>
            <w:shd w:val="clear" w:color="auto" w:fill="auto"/>
            <w:noWrap/>
            <w:vAlign w:val="bottom"/>
          </w:tcPr>
          <w:p w14:paraId="577B50F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270</w:t>
            </w:r>
          </w:p>
        </w:tc>
        <w:tc>
          <w:tcPr>
            <w:tcW w:w="928" w:type="pct"/>
            <w:shd w:val="clear" w:color="auto" w:fill="auto"/>
            <w:noWrap/>
            <w:vAlign w:val="bottom"/>
          </w:tcPr>
          <w:p w14:paraId="30DE52A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214</w:t>
            </w:r>
          </w:p>
        </w:tc>
        <w:tc>
          <w:tcPr>
            <w:tcW w:w="924" w:type="pct"/>
            <w:vAlign w:val="bottom"/>
          </w:tcPr>
          <w:p w14:paraId="5C157D4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212</w:t>
            </w:r>
          </w:p>
        </w:tc>
      </w:tr>
      <w:tr w:rsidR="009A36D2" w:rsidRPr="009A3489" w14:paraId="11594A85" w14:textId="77777777" w:rsidTr="00281A92">
        <w:trPr>
          <w:trHeight w:val="20"/>
          <w:jc w:val="center"/>
        </w:trPr>
        <w:tc>
          <w:tcPr>
            <w:tcW w:w="1293" w:type="pct"/>
            <w:shd w:val="clear" w:color="auto" w:fill="auto"/>
            <w:noWrap/>
            <w:vAlign w:val="bottom"/>
            <w:hideMark/>
          </w:tcPr>
          <w:p w14:paraId="349590FC" w14:textId="77777777" w:rsidR="009A36D2" w:rsidRPr="009A3489" w:rsidRDefault="009A36D2" w:rsidP="00281A92">
            <w:pPr>
              <w:spacing w:before="0" w:after="0" w:line="240" w:lineRule="auto"/>
              <w:rPr>
                <w:color w:val="auto"/>
                <w:sz w:val="20"/>
                <w:szCs w:val="20"/>
              </w:rPr>
            </w:pPr>
            <w:r w:rsidRPr="009A3489">
              <w:rPr>
                <w:color w:val="auto"/>
                <w:sz w:val="20"/>
                <w:szCs w:val="20"/>
              </w:rPr>
              <w:t>16</w:t>
            </w:r>
          </w:p>
        </w:tc>
        <w:tc>
          <w:tcPr>
            <w:tcW w:w="927" w:type="pct"/>
            <w:shd w:val="clear" w:color="auto" w:fill="auto"/>
            <w:noWrap/>
            <w:vAlign w:val="bottom"/>
          </w:tcPr>
          <w:p w14:paraId="68E7E5A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527</w:t>
            </w:r>
          </w:p>
        </w:tc>
        <w:tc>
          <w:tcPr>
            <w:tcW w:w="928" w:type="pct"/>
            <w:shd w:val="clear" w:color="auto" w:fill="auto"/>
            <w:noWrap/>
            <w:vAlign w:val="bottom"/>
          </w:tcPr>
          <w:p w14:paraId="2362ADF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167</w:t>
            </w:r>
          </w:p>
        </w:tc>
        <w:tc>
          <w:tcPr>
            <w:tcW w:w="928" w:type="pct"/>
            <w:shd w:val="clear" w:color="auto" w:fill="auto"/>
            <w:noWrap/>
            <w:vAlign w:val="bottom"/>
          </w:tcPr>
          <w:p w14:paraId="1BB86BD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196</w:t>
            </w:r>
          </w:p>
        </w:tc>
        <w:tc>
          <w:tcPr>
            <w:tcW w:w="924" w:type="pct"/>
            <w:vAlign w:val="bottom"/>
          </w:tcPr>
          <w:p w14:paraId="0D0EF1A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141</w:t>
            </w:r>
          </w:p>
        </w:tc>
      </w:tr>
      <w:tr w:rsidR="009A36D2" w:rsidRPr="009A3489" w14:paraId="7C37D1CE" w14:textId="77777777" w:rsidTr="00281A92">
        <w:trPr>
          <w:trHeight w:val="20"/>
          <w:jc w:val="center"/>
        </w:trPr>
        <w:tc>
          <w:tcPr>
            <w:tcW w:w="1293" w:type="pct"/>
            <w:shd w:val="clear" w:color="auto" w:fill="auto"/>
            <w:noWrap/>
            <w:vAlign w:val="bottom"/>
            <w:hideMark/>
          </w:tcPr>
          <w:p w14:paraId="298C824C" w14:textId="77777777" w:rsidR="009A36D2" w:rsidRPr="009A3489" w:rsidRDefault="009A36D2" w:rsidP="00281A92">
            <w:pPr>
              <w:spacing w:before="0" w:after="0" w:line="240" w:lineRule="auto"/>
              <w:rPr>
                <w:color w:val="auto"/>
                <w:sz w:val="20"/>
                <w:szCs w:val="20"/>
              </w:rPr>
            </w:pPr>
            <w:r w:rsidRPr="009A3489">
              <w:rPr>
                <w:color w:val="auto"/>
                <w:sz w:val="20"/>
                <w:szCs w:val="20"/>
              </w:rPr>
              <w:t>17</w:t>
            </w:r>
          </w:p>
        </w:tc>
        <w:tc>
          <w:tcPr>
            <w:tcW w:w="927" w:type="pct"/>
            <w:shd w:val="clear" w:color="auto" w:fill="auto"/>
            <w:noWrap/>
            <w:vAlign w:val="bottom"/>
          </w:tcPr>
          <w:p w14:paraId="0E6F570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396</w:t>
            </w:r>
          </w:p>
        </w:tc>
        <w:tc>
          <w:tcPr>
            <w:tcW w:w="928" w:type="pct"/>
            <w:shd w:val="clear" w:color="auto" w:fill="auto"/>
            <w:noWrap/>
            <w:vAlign w:val="bottom"/>
          </w:tcPr>
          <w:p w14:paraId="6069A07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279</w:t>
            </w:r>
          </w:p>
        </w:tc>
        <w:tc>
          <w:tcPr>
            <w:tcW w:w="928" w:type="pct"/>
            <w:shd w:val="clear" w:color="auto" w:fill="auto"/>
            <w:noWrap/>
            <w:vAlign w:val="bottom"/>
          </w:tcPr>
          <w:p w14:paraId="4F3D228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228</w:t>
            </w:r>
          </w:p>
        </w:tc>
        <w:tc>
          <w:tcPr>
            <w:tcW w:w="924" w:type="pct"/>
            <w:vAlign w:val="bottom"/>
          </w:tcPr>
          <w:p w14:paraId="7761C10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194</w:t>
            </w:r>
          </w:p>
        </w:tc>
      </w:tr>
      <w:tr w:rsidR="009A36D2" w:rsidRPr="009A3489" w14:paraId="019C2367" w14:textId="77777777" w:rsidTr="00281A92">
        <w:trPr>
          <w:trHeight w:val="20"/>
          <w:jc w:val="center"/>
        </w:trPr>
        <w:tc>
          <w:tcPr>
            <w:tcW w:w="1293" w:type="pct"/>
            <w:shd w:val="clear" w:color="auto" w:fill="auto"/>
            <w:noWrap/>
            <w:vAlign w:val="bottom"/>
            <w:hideMark/>
          </w:tcPr>
          <w:p w14:paraId="0478D422" w14:textId="77777777" w:rsidR="009A36D2" w:rsidRPr="009A3489" w:rsidRDefault="009A36D2" w:rsidP="00281A92">
            <w:pPr>
              <w:spacing w:before="0" w:after="0" w:line="240" w:lineRule="auto"/>
              <w:rPr>
                <w:color w:val="auto"/>
                <w:sz w:val="20"/>
                <w:szCs w:val="20"/>
              </w:rPr>
            </w:pPr>
            <w:r w:rsidRPr="009A3489">
              <w:rPr>
                <w:color w:val="auto"/>
                <w:sz w:val="20"/>
                <w:szCs w:val="20"/>
              </w:rPr>
              <w:t>18</w:t>
            </w:r>
          </w:p>
        </w:tc>
        <w:tc>
          <w:tcPr>
            <w:tcW w:w="927" w:type="pct"/>
            <w:shd w:val="clear" w:color="auto" w:fill="auto"/>
            <w:noWrap/>
            <w:vAlign w:val="bottom"/>
          </w:tcPr>
          <w:p w14:paraId="2A6EDF6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281</w:t>
            </w:r>
          </w:p>
        </w:tc>
        <w:tc>
          <w:tcPr>
            <w:tcW w:w="928" w:type="pct"/>
            <w:shd w:val="clear" w:color="auto" w:fill="auto"/>
            <w:noWrap/>
            <w:vAlign w:val="bottom"/>
          </w:tcPr>
          <w:p w14:paraId="7A7DAEC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202</w:t>
            </w:r>
          </w:p>
        </w:tc>
        <w:tc>
          <w:tcPr>
            <w:tcW w:w="928" w:type="pct"/>
            <w:shd w:val="clear" w:color="auto" w:fill="auto"/>
            <w:noWrap/>
            <w:vAlign w:val="bottom"/>
          </w:tcPr>
          <w:p w14:paraId="42A7479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158</w:t>
            </w:r>
          </w:p>
        </w:tc>
        <w:tc>
          <w:tcPr>
            <w:tcW w:w="924" w:type="pct"/>
            <w:vAlign w:val="bottom"/>
          </w:tcPr>
          <w:p w14:paraId="267214F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175</w:t>
            </w:r>
          </w:p>
        </w:tc>
      </w:tr>
      <w:tr w:rsidR="009A36D2" w:rsidRPr="009A3489" w14:paraId="02A0B204" w14:textId="77777777" w:rsidTr="00281A92">
        <w:trPr>
          <w:trHeight w:val="20"/>
          <w:jc w:val="center"/>
        </w:trPr>
        <w:tc>
          <w:tcPr>
            <w:tcW w:w="1293" w:type="pct"/>
            <w:shd w:val="clear" w:color="auto" w:fill="auto"/>
            <w:noWrap/>
            <w:vAlign w:val="bottom"/>
            <w:hideMark/>
          </w:tcPr>
          <w:p w14:paraId="5E06D2B3" w14:textId="77777777" w:rsidR="009A36D2" w:rsidRPr="009A3489" w:rsidRDefault="009A36D2" w:rsidP="00281A92">
            <w:pPr>
              <w:spacing w:before="0" w:after="0" w:line="240" w:lineRule="auto"/>
              <w:rPr>
                <w:color w:val="auto"/>
                <w:sz w:val="20"/>
                <w:szCs w:val="20"/>
              </w:rPr>
            </w:pPr>
            <w:r w:rsidRPr="009A3489">
              <w:rPr>
                <w:color w:val="auto"/>
                <w:sz w:val="20"/>
                <w:szCs w:val="20"/>
              </w:rPr>
              <w:t>19</w:t>
            </w:r>
          </w:p>
        </w:tc>
        <w:tc>
          <w:tcPr>
            <w:tcW w:w="927" w:type="pct"/>
            <w:shd w:val="clear" w:color="auto" w:fill="auto"/>
            <w:noWrap/>
            <w:vAlign w:val="bottom"/>
          </w:tcPr>
          <w:p w14:paraId="46CE044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437</w:t>
            </w:r>
          </w:p>
        </w:tc>
        <w:tc>
          <w:tcPr>
            <w:tcW w:w="928" w:type="pct"/>
            <w:shd w:val="clear" w:color="auto" w:fill="auto"/>
            <w:noWrap/>
            <w:vAlign w:val="bottom"/>
          </w:tcPr>
          <w:p w14:paraId="688708A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288</w:t>
            </w:r>
          </w:p>
        </w:tc>
        <w:tc>
          <w:tcPr>
            <w:tcW w:w="928" w:type="pct"/>
            <w:shd w:val="clear" w:color="auto" w:fill="auto"/>
            <w:noWrap/>
            <w:vAlign w:val="bottom"/>
          </w:tcPr>
          <w:p w14:paraId="1F631DD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229</w:t>
            </w:r>
          </w:p>
        </w:tc>
        <w:tc>
          <w:tcPr>
            <w:tcW w:w="924" w:type="pct"/>
            <w:vAlign w:val="bottom"/>
          </w:tcPr>
          <w:p w14:paraId="387BDB8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181</w:t>
            </w:r>
          </w:p>
        </w:tc>
      </w:tr>
      <w:tr w:rsidR="009A36D2" w:rsidRPr="009A3489" w14:paraId="68514EDE" w14:textId="77777777" w:rsidTr="00281A92">
        <w:trPr>
          <w:trHeight w:val="20"/>
          <w:jc w:val="center"/>
        </w:trPr>
        <w:tc>
          <w:tcPr>
            <w:tcW w:w="1293" w:type="pct"/>
            <w:shd w:val="clear" w:color="auto" w:fill="auto"/>
            <w:noWrap/>
            <w:vAlign w:val="bottom"/>
            <w:hideMark/>
          </w:tcPr>
          <w:p w14:paraId="69DA083C" w14:textId="77777777" w:rsidR="009A36D2" w:rsidRPr="009A3489" w:rsidRDefault="009A36D2" w:rsidP="00281A92">
            <w:pPr>
              <w:spacing w:before="0" w:after="0" w:line="240" w:lineRule="auto"/>
              <w:rPr>
                <w:color w:val="auto"/>
                <w:sz w:val="20"/>
                <w:szCs w:val="20"/>
              </w:rPr>
            </w:pPr>
            <w:r w:rsidRPr="009A3489">
              <w:rPr>
                <w:color w:val="auto"/>
                <w:sz w:val="20"/>
                <w:szCs w:val="20"/>
              </w:rPr>
              <w:t>20</w:t>
            </w:r>
          </w:p>
        </w:tc>
        <w:tc>
          <w:tcPr>
            <w:tcW w:w="927" w:type="pct"/>
            <w:shd w:val="clear" w:color="auto" w:fill="auto"/>
            <w:noWrap/>
            <w:vAlign w:val="bottom"/>
          </w:tcPr>
          <w:p w14:paraId="6C7ADC4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392</w:t>
            </w:r>
          </w:p>
        </w:tc>
        <w:tc>
          <w:tcPr>
            <w:tcW w:w="928" w:type="pct"/>
            <w:shd w:val="clear" w:color="auto" w:fill="auto"/>
            <w:noWrap/>
            <w:vAlign w:val="bottom"/>
          </w:tcPr>
          <w:p w14:paraId="4060C77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237</w:t>
            </w:r>
          </w:p>
        </w:tc>
        <w:tc>
          <w:tcPr>
            <w:tcW w:w="928" w:type="pct"/>
            <w:shd w:val="clear" w:color="auto" w:fill="auto"/>
            <w:noWrap/>
            <w:vAlign w:val="bottom"/>
          </w:tcPr>
          <w:p w14:paraId="5BD1D57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177</w:t>
            </w:r>
          </w:p>
        </w:tc>
        <w:tc>
          <w:tcPr>
            <w:tcW w:w="924" w:type="pct"/>
            <w:vAlign w:val="bottom"/>
          </w:tcPr>
          <w:p w14:paraId="1BF6DB8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146</w:t>
            </w:r>
          </w:p>
        </w:tc>
      </w:tr>
      <w:tr w:rsidR="009A36D2" w:rsidRPr="009A3489" w14:paraId="20CD3D84" w14:textId="77777777" w:rsidTr="00281A92">
        <w:trPr>
          <w:trHeight w:val="20"/>
          <w:jc w:val="center"/>
        </w:trPr>
        <w:tc>
          <w:tcPr>
            <w:tcW w:w="1293" w:type="pct"/>
            <w:shd w:val="clear" w:color="auto" w:fill="auto"/>
            <w:noWrap/>
            <w:vAlign w:val="bottom"/>
            <w:hideMark/>
          </w:tcPr>
          <w:p w14:paraId="124B7FA8" w14:textId="77777777" w:rsidR="009A36D2" w:rsidRPr="009A3489" w:rsidRDefault="009A36D2" w:rsidP="00281A92">
            <w:pPr>
              <w:spacing w:before="0" w:after="0" w:line="240" w:lineRule="auto"/>
              <w:rPr>
                <w:color w:val="auto"/>
                <w:sz w:val="20"/>
                <w:szCs w:val="20"/>
              </w:rPr>
            </w:pPr>
            <w:r w:rsidRPr="009A3489">
              <w:rPr>
                <w:color w:val="auto"/>
                <w:sz w:val="20"/>
                <w:szCs w:val="20"/>
              </w:rPr>
              <w:t>21</w:t>
            </w:r>
          </w:p>
        </w:tc>
        <w:tc>
          <w:tcPr>
            <w:tcW w:w="927" w:type="pct"/>
            <w:shd w:val="clear" w:color="auto" w:fill="auto"/>
            <w:noWrap/>
            <w:vAlign w:val="bottom"/>
          </w:tcPr>
          <w:p w14:paraId="756CFDC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383</w:t>
            </w:r>
          </w:p>
        </w:tc>
        <w:tc>
          <w:tcPr>
            <w:tcW w:w="928" w:type="pct"/>
            <w:shd w:val="clear" w:color="auto" w:fill="auto"/>
            <w:noWrap/>
            <w:vAlign w:val="bottom"/>
          </w:tcPr>
          <w:p w14:paraId="7151EDB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261</w:t>
            </w:r>
          </w:p>
        </w:tc>
        <w:tc>
          <w:tcPr>
            <w:tcW w:w="928" w:type="pct"/>
            <w:shd w:val="clear" w:color="auto" w:fill="auto"/>
            <w:noWrap/>
            <w:vAlign w:val="bottom"/>
          </w:tcPr>
          <w:p w14:paraId="6F19D86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254</w:t>
            </w:r>
          </w:p>
        </w:tc>
        <w:tc>
          <w:tcPr>
            <w:tcW w:w="924" w:type="pct"/>
            <w:vAlign w:val="bottom"/>
          </w:tcPr>
          <w:p w14:paraId="4D8FCD8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251</w:t>
            </w:r>
          </w:p>
        </w:tc>
      </w:tr>
      <w:tr w:rsidR="009A36D2" w:rsidRPr="009A3489" w14:paraId="5ACA3D91" w14:textId="77777777" w:rsidTr="00281A92">
        <w:trPr>
          <w:trHeight w:val="20"/>
          <w:jc w:val="center"/>
        </w:trPr>
        <w:tc>
          <w:tcPr>
            <w:tcW w:w="1293" w:type="pct"/>
            <w:shd w:val="clear" w:color="auto" w:fill="auto"/>
            <w:noWrap/>
            <w:vAlign w:val="bottom"/>
            <w:hideMark/>
          </w:tcPr>
          <w:p w14:paraId="7CBDB9A1" w14:textId="77777777" w:rsidR="009A36D2" w:rsidRPr="009A3489" w:rsidRDefault="009A36D2" w:rsidP="00281A92">
            <w:pPr>
              <w:spacing w:before="0" w:after="0" w:line="240" w:lineRule="auto"/>
              <w:rPr>
                <w:color w:val="auto"/>
                <w:sz w:val="20"/>
                <w:szCs w:val="20"/>
              </w:rPr>
            </w:pPr>
            <w:r w:rsidRPr="009A3489">
              <w:rPr>
                <w:color w:val="auto"/>
                <w:sz w:val="20"/>
                <w:szCs w:val="20"/>
              </w:rPr>
              <w:t>22</w:t>
            </w:r>
          </w:p>
        </w:tc>
        <w:tc>
          <w:tcPr>
            <w:tcW w:w="927" w:type="pct"/>
            <w:shd w:val="clear" w:color="auto" w:fill="auto"/>
            <w:noWrap/>
            <w:vAlign w:val="bottom"/>
          </w:tcPr>
          <w:p w14:paraId="15875D0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613</w:t>
            </w:r>
          </w:p>
        </w:tc>
        <w:tc>
          <w:tcPr>
            <w:tcW w:w="928" w:type="pct"/>
            <w:shd w:val="clear" w:color="auto" w:fill="auto"/>
            <w:noWrap/>
            <w:vAlign w:val="bottom"/>
          </w:tcPr>
          <w:p w14:paraId="0508EC6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397</w:t>
            </w:r>
          </w:p>
        </w:tc>
        <w:tc>
          <w:tcPr>
            <w:tcW w:w="928" w:type="pct"/>
            <w:shd w:val="clear" w:color="auto" w:fill="auto"/>
            <w:noWrap/>
            <w:vAlign w:val="bottom"/>
          </w:tcPr>
          <w:p w14:paraId="4260EB0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216</w:t>
            </w:r>
          </w:p>
        </w:tc>
        <w:tc>
          <w:tcPr>
            <w:tcW w:w="924" w:type="pct"/>
            <w:vAlign w:val="bottom"/>
          </w:tcPr>
          <w:p w14:paraId="1B244DD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168</w:t>
            </w:r>
          </w:p>
        </w:tc>
      </w:tr>
      <w:tr w:rsidR="009A36D2" w:rsidRPr="009A3489" w14:paraId="35185283" w14:textId="77777777" w:rsidTr="00281A92">
        <w:trPr>
          <w:trHeight w:val="20"/>
          <w:jc w:val="center"/>
        </w:trPr>
        <w:tc>
          <w:tcPr>
            <w:tcW w:w="1293" w:type="pct"/>
            <w:shd w:val="clear" w:color="auto" w:fill="auto"/>
            <w:noWrap/>
            <w:vAlign w:val="bottom"/>
            <w:hideMark/>
          </w:tcPr>
          <w:p w14:paraId="1BA8BA12" w14:textId="77777777" w:rsidR="009A36D2" w:rsidRPr="009A3489" w:rsidRDefault="009A36D2" w:rsidP="00281A92">
            <w:pPr>
              <w:spacing w:before="0" w:after="0" w:line="240" w:lineRule="auto"/>
              <w:rPr>
                <w:color w:val="auto"/>
                <w:sz w:val="20"/>
                <w:szCs w:val="20"/>
              </w:rPr>
            </w:pPr>
            <w:r w:rsidRPr="009A3489">
              <w:rPr>
                <w:color w:val="auto"/>
                <w:sz w:val="20"/>
                <w:szCs w:val="20"/>
              </w:rPr>
              <w:t>23</w:t>
            </w:r>
          </w:p>
        </w:tc>
        <w:tc>
          <w:tcPr>
            <w:tcW w:w="927" w:type="pct"/>
            <w:shd w:val="clear" w:color="auto" w:fill="auto"/>
            <w:noWrap/>
            <w:vAlign w:val="bottom"/>
          </w:tcPr>
          <w:p w14:paraId="32F7089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620</w:t>
            </w:r>
          </w:p>
        </w:tc>
        <w:tc>
          <w:tcPr>
            <w:tcW w:w="928" w:type="pct"/>
            <w:shd w:val="clear" w:color="auto" w:fill="auto"/>
            <w:noWrap/>
            <w:vAlign w:val="bottom"/>
          </w:tcPr>
          <w:p w14:paraId="4A10C68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239</w:t>
            </w:r>
          </w:p>
        </w:tc>
        <w:tc>
          <w:tcPr>
            <w:tcW w:w="928" w:type="pct"/>
            <w:shd w:val="clear" w:color="auto" w:fill="auto"/>
            <w:noWrap/>
            <w:vAlign w:val="bottom"/>
          </w:tcPr>
          <w:p w14:paraId="009DA5D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190</w:t>
            </w:r>
          </w:p>
        </w:tc>
        <w:tc>
          <w:tcPr>
            <w:tcW w:w="924" w:type="pct"/>
            <w:vAlign w:val="bottom"/>
          </w:tcPr>
          <w:p w14:paraId="3AF0707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188</w:t>
            </w:r>
          </w:p>
        </w:tc>
      </w:tr>
      <w:tr w:rsidR="009A36D2" w:rsidRPr="009A3489" w14:paraId="0B6521BD" w14:textId="77777777" w:rsidTr="00281A92">
        <w:trPr>
          <w:trHeight w:val="20"/>
          <w:jc w:val="center"/>
        </w:trPr>
        <w:tc>
          <w:tcPr>
            <w:tcW w:w="1293" w:type="pct"/>
            <w:shd w:val="clear" w:color="auto" w:fill="auto"/>
            <w:noWrap/>
            <w:vAlign w:val="bottom"/>
            <w:hideMark/>
          </w:tcPr>
          <w:p w14:paraId="01224E80"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1C2A2EF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446</w:t>
            </w:r>
          </w:p>
        </w:tc>
        <w:tc>
          <w:tcPr>
            <w:tcW w:w="928" w:type="pct"/>
            <w:shd w:val="clear" w:color="auto" w:fill="auto"/>
            <w:noWrap/>
            <w:vAlign w:val="bottom"/>
          </w:tcPr>
          <w:p w14:paraId="19595304"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274</w:t>
            </w:r>
          </w:p>
        </w:tc>
        <w:tc>
          <w:tcPr>
            <w:tcW w:w="928" w:type="pct"/>
            <w:shd w:val="clear" w:color="auto" w:fill="auto"/>
            <w:noWrap/>
            <w:vAlign w:val="bottom"/>
          </w:tcPr>
          <w:p w14:paraId="12D27AC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221</w:t>
            </w:r>
          </w:p>
        </w:tc>
        <w:tc>
          <w:tcPr>
            <w:tcW w:w="924" w:type="pct"/>
            <w:vAlign w:val="bottom"/>
          </w:tcPr>
          <w:p w14:paraId="2FBD474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210</w:t>
            </w:r>
          </w:p>
        </w:tc>
      </w:tr>
      <w:tr w:rsidR="009A36D2" w:rsidRPr="009A3489" w14:paraId="6CD1A793" w14:textId="77777777" w:rsidTr="00281A92">
        <w:trPr>
          <w:trHeight w:val="20"/>
          <w:jc w:val="center"/>
        </w:trPr>
        <w:tc>
          <w:tcPr>
            <w:tcW w:w="1293" w:type="pct"/>
            <w:shd w:val="clear" w:color="auto" w:fill="auto"/>
            <w:noWrap/>
            <w:vAlign w:val="bottom"/>
          </w:tcPr>
          <w:p w14:paraId="41CC19CD"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4E06B044"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89</w:t>
            </w:r>
          </w:p>
        </w:tc>
        <w:tc>
          <w:tcPr>
            <w:tcW w:w="928" w:type="pct"/>
            <w:shd w:val="clear" w:color="auto" w:fill="auto"/>
            <w:noWrap/>
            <w:vAlign w:val="bottom"/>
          </w:tcPr>
          <w:p w14:paraId="71A4FA51"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56</w:t>
            </w:r>
          </w:p>
        </w:tc>
        <w:tc>
          <w:tcPr>
            <w:tcW w:w="928" w:type="pct"/>
            <w:shd w:val="clear" w:color="auto" w:fill="auto"/>
            <w:noWrap/>
            <w:vAlign w:val="bottom"/>
          </w:tcPr>
          <w:p w14:paraId="6123D88E"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36</w:t>
            </w:r>
          </w:p>
        </w:tc>
        <w:tc>
          <w:tcPr>
            <w:tcW w:w="924" w:type="pct"/>
            <w:vAlign w:val="bottom"/>
          </w:tcPr>
          <w:p w14:paraId="3737A56A"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44</w:t>
            </w:r>
          </w:p>
        </w:tc>
      </w:tr>
      <w:tr w:rsidR="009A36D2" w:rsidRPr="009A3489" w14:paraId="7AA9833E" w14:textId="77777777" w:rsidTr="00281A92">
        <w:trPr>
          <w:trHeight w:val="20"/>
          <w:jc w:val="center"/>
        </w:trPr>
        <w:tc>
          <w:tcPr>
            <w:tcW w:w="5000" w:type="pct"/>
            <w:gridSpan w:val="5"/>
            <w:shd w:val="clear" w:color="auto" w:fill="D9D9D9" w:themeFill="background1" w:themeFillShade="D9"/>
            <w:noWrap/>
            <w:vAlign w:val="bottom"/>
          </w:tcPr>
          <w:p w14:paraId="4216AAF6"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Middle (40-59 years old)</w:t>
            </w:r>
          </w:p>
        </w:tc>
      </w:tr>
      <w:tr w:rsidR="009A36D2" w:rsidRPr="009A3489" w14:paraId="6D33AE67" w14:textId="77777777" w:rsidTr="00281A92">
        <w:trPr>
          <w:trHeight w:val="20"/>
          <w:jc w:val="center"/>
        </w:trPr>
        <w:tc>
          <w:tcPr>
            <w:tcW w:w="1293" w:type="pct"/>
            <w:tcBorders>
              <w:tl2br w:val="single" w:sz="4" w:space="0" w:color="auto"/>
            </w:tcBorders>
            <w:shd w:val="clear" w:color="auto" w:fill="auto"/>
            <w:hideMark/>
          </w:tcPr>
          <w:p w14:paraId="541CE698"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73C745D5" w14:textId="77777777" w:rsidR="009A36D2" w:rsidRPr="009A3489" w:rsidRDefault="009A36D2" w:rsidP="00281A92">
            <w:pPr>
              <w:spacing w:before="0" w:after="0" w:line="240" w:lineRule="auto"/>
              <w:rPr>
                <w:color w:val="auto"/>
                <w:sz w:val="20"/>
                <w:szCs w:val="20"/>
              </w:rPr>
            </w:pPr>
          </w:p>
          <w:p w14:paraId="3ECEFCCE"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25C55191"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1DD6DC47"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56CD56E6"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1E8B9DDB"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738278CA" w14:textId="77777777" w:rsidTr="00281A92">
        <w:trPr>
          <w:trHeight w:val="20"/>
          <w:jc w:val="center"/>
        </w:trPr>
        <w:tc>
          <w:tcPr>
            <w:tcW w:w="1293" w:type="pct"/>
            <w:shd w:val="clear" w:color="auto" w:fill="auto"/>
            <w:noWrap/>
            <w:vAlign w:val="bottom"/>
            <w:hideMark/>
          </w:tcPr>
          <w:p w14:paraId="72B68912"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5FB567D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254</w:t>
            </w:r>
          </w:p>
        </w:tc>
        <w:tc>
          <w:tcPr>
            <w:tcW w:w="928" w:type="pct"/>
            <w:shd w:val="clear" w:color="auto" w:fill="auto"/>
            <w:noWrap/>
            <w:vAlign w:val="bottom"/>
          </w:tcPr>
          <w:p w14:paraId="4D5E213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192</w:t>
            </w:r>
          </w:p>
        </w:tc>
        <w:tc>
          <w:tcPr>
            <w:tcW w:w="928" w:type="pct"/>
            <w:shd w:val="clear" w:color="auto" w:fill="auto"/>
            <w:noWrap/>
            <w:vAlign w:val="bottom"/>
          </w:tcPr>
          <w:p w14:paraId="2F2C061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204</w:t>
            </w:r>
          </w:p>
        </w:tc>
        <w:tc>
          <w:tcPr>
            <w:tcW w:w="924" w:type="pct"/>
            <w:vAlign w:val="bottom"/>
          </w:tcPr>
          <w:p w14:paraId="46F3013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193</w:t>
            </w:r>
          </w:p>
        </w:tc>
      </w:tr>
      <w:tr w:rsidR="009A36D2" w:rsidRPr="009A3489" w14:paraId="6F146A8D" w14:textId="77777777" w:rsidTr="00281A92">
        <w:trPr>
          <w:trHeight w:val="20"/>
          <w:jc w:val="center"/>
        </w:trPr>
        <w:tc>
          <w:tcPr>
            <w:tcW w:w="1293" w:type="pct"/>
            <w:shd w:val="clear" w:color="auto" w:fill="auto"/>
            <w:noWrap/>
            <w:vAlign w:val="bottom"/>
            <w:hideMark/>
          </w:tcPr>
          <w:p w14:paraId="6F60C71B" w14:textId="77777777" w:rsidR="009A36D2" w:rsidRPr="009A3489" w:rsidRDefault="009A36D2" w:rsidP="00281A92">
            <w:pPr>
              <w:spacing w:before="0" w:after="0" w:line="240" w:lineRule="auto"/>
              <w:rPr>
                <w:color w:val="auto"/>
                <w:sz w:val="20"/>
                <w:szCs w:val="20"/>
              </w:rPr>
            </w:pPr>
            <w:r w:rsidRPr="009A3489">
              <w:rPr>
                <w:color w:val="auto"/>
                <w:sz w:val="20"/>
                <w:szCs w:val="20"/>
              </w:rPr>
              <w:t>2</w:t>
            </w:r>
          </w:p>
        </w:tc>
        <w:tc>
          <w:tcPr>
            <w:tcW w:w="927" w:type="pct"/>
            <w:shd w:val="clear" w:color="auto" w:fill="auto"/>
            <w:noWrap/>
            <w:vAlign w:val="bottom"/>
          </w:tcPr>
          <w:p w14:paraId="6EC33C0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333</w:t>
            </w:r>
          </w:p>
        </w:tc>
        <w:tc>
          <w:tcPr>
            <w:tcW w:w="928" w:type="pct"/>
            <w:shd w:val="clear" w:color="auto" w:fill="auto"/>
            <w:noWrap/>
            <w:vAlign w:val="bottom"/>
          </w:tcPr>
          <w:p w14:paraId="52E30E6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246</w:t>
            </w:r>
          </w:p>
        </w:tc>
        <w:tc>
          <w:tcPr>
            <w:tcW w:w="928" w:type="pct"/>
            <w:shd w:val="clear" w:color="auto" w:fill="auto"/>
            <w:noWrap/>
            <w:vAlign w:val="bottom"/>
          </w:tcPr>
          <w:p w14:paraId="6BAC0C8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240</w:t>
            </w:r>
          </w:p>
        </w:tc>
        <w:tc>
          <w:tcPr>
            <w:tcW w:w="924" w:type="pct"/>
            <w:vAlign w:val="bottom"/>
          </w:tcPr>
          <w:p w14:paraId="4269C76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229</w:t>
            </w:r>
          </w:p>
        </w:tc>
      </w:tr>
      <w:tr w:rsidR="009A36D2" w:rsidRPr="009A3489" w14:paraId="27E29B32" w14:textId="77777777" w:rsidTr="00281A92">
        <w:trPr>
          <w:trHeight w:val="20"/>
          <w:jc w:val="center"/>
        </w:trPr>
        <w:tc>
          <w:tcPr>
            <w:tcW w:w="1293" w:type="pct"/>
            <w:shd w:val="clear" w:color="auto" w:fill="auto"/>
            <w:noWrap/>
            <w:vAlign w:val="bottom"/>
            <w:hideMark/>
          </w:tcPr>
          <w:p w14:paraId="7D4887C6"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628DAE2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372</w:t>
            </w:r>
          </w:p>
        </w:tc>
        <w:tc>
          <w:tcPr>
            <w:tcW w:w="928" w:type="pct"/>
            <w:shd w:val="clear" w:color="auto" w:fill="auto"/>
            <w:noWrap/>
            <w:vAlign w:val="bottom"/>
          </w:tcPr>
          <w:p w14:paraId="705E749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411</w:t>
            </w:r>
          </w:p>
        </w:tc>
        <w:tc>
          <w:tcPr>
            <w:tcW w:w="928" w:type="pct"/>
            <w:shd w:val="clear" w:color="auto" w:fill="auto"/>
            <w:noWrap/>
            <w:vAlign w:val="bottom"/>
          </w:tcPr>
          <w:p w14:paraId="72ACAD8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343</w:t>
            </w:r>
          </w:p>
        </w:tc>
        <w:tc>
          <w:tcPr>
            <w:tcW w:w="924" w:type="pct"/>
            <w:vAlign w:val="bottom"/>
          </w:tcPr>
          <w:p w14:paraId="658B30F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401</w:t>
            </w:r>
          </w:p>
        </w:tc>
      </w:tr>
      <w:tr w:rsidR="009A36D2" w:rsidRPr="009A3489" w14:paraId="2CC6DB86" w14:textId="77777777" w:rsidTr="00281A92">
        <w:trPr>
          <w:trHeight w:val="20"/>
          <w:jc w:val="center"/>
        </w:trPr>
        <w:tc>
          <w:tcPr>
            <w:tcW w:w="1293" w:type="pct"/>
            <w:shd w:val="clear" w:color="auto" w:fill="auto"/>
            <w:noWrap/>
            <w:vAlign w:val="bottom"/>
            <w:hideMark/>
          </w:tcPr>
          <w:p w14:paraId="3B68A5BB"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38AAC53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503</w:t>
            </w:r>
          </w:p>
        </w:tc>
        <w:tc>
          <w:tcPr>
            <w:tcW w:w="928" w:type="pct"/>
            <w:shd w:val="clear" w:color="auto" w:fill="auto"/>
            <w:noWrap/>
            <w:vAlign w:val="bottom"/>
          </w:tcPr>
          <w:p w14:paraId="0A5D618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276</w:t>
            </w:r>
          </w:p>
        </w:tc>
        <w:tc>
          <w:tcPr>
            <w:tcW w:w="928" w:type="pct"/>
            <w:shd w:val="clear" w:color="auto" w:fill="auto"/>
            <w:noWrap/>
            <w:vAlign w:val="bottom"/>
          </w:tcPr>
          <w:p w14:paraId="3B72F32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183</w:t>
            </w:r>
          </w:p>
        </w:tc>
        <w:tc>
          <w:tcPr>
            <w:tcW w:w="924" w:type="pct"/>
            <w:vAlign w:val="bottom"/>
          </w:tcPr>
          <w:p w14:paraId="43E7C03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171</w:t>
            </w:r>
          </w:p>
        </w:tc>
      </w:tr>
      <w:tr w:rsidR="009A36D2" w:rsidRPr="009A3489" w14:paraId="298B531A" w14:textId="77777777" w:rsidTr="00281A92">
        <w:trPr>
          <w:trHeight w:val="20"/>
          <w:jc w:val="center"/>
        </w:trPr>
        <w:tc>
          <w:tcPr>
            <w:tcW w:w="1293" w:type="pct"/>
            <w:shd w:val="clear" w:color="auto" w:fill="auto"/>
            <w:noWrap/>
            <w:vAlign w:val="bottom"/>
            <w:hideMark/>
          </w:tcPr>
          <w:p w14:paraId="63E064B7"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3284B3C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459</w:t>
            </w:r>
          </w:p>
        </w:tc>
        <w:tc>
          <w:tcPr>
            <w:tcW w:w="928" w:type="pct"/>
            <w:shd w:val="clear" w:color="auto" w:fill="auto"/>
            <w:noWrap/>
            <w:vAlign w:val="bottom"/>
          </w:tcPr>
          <w:p w14:paraId="27F2617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307</w:t>
            </w:r>
          </w:p>
        </w:tc>
        <w:tc>
          <w:tcPr>
            <w:tcW w:w="928" w:type="pct"/>
            <w:shd w:val="clear" w:color="auto" w:fill="auto"/>
            <w:noWrap/>
            <w:vAlign w:val="bottom"/>
          </w:tcPr>
          <w:p w14:paraId="1892E41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290</w:t>
            </w:r>
          </w:p>
        </w:tc>
        <w:tc>
          <w:tcPr>
            <w:tcW w:w="924" w:type="pct"/>
            <w:vAlign w:val="bottom"/>
          </w:tcPr>
          <w:p w14:paraId="5644D42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259</w:t>
            </w:r>
          </w:p>
        </w:tc>
      </w:tr>
      <w:tr w:rsidR="009A36D2" w:rsidRPr="009A3489" w14:paraId="4264A28F" w14:textId="77777777" w:rsidTr="00281A92">
        <w:trPr>
          <w:trHeight w:val="20"/>
          <w:jc w:val="center"/>
        </w:trPr>
        <w:tc>
          <w:tcPr>
            <w:tcW w:w="1293" w:type="pct"/>
            <w:shd w:val="clear" w:color="auto" w:fill="auto"/>
            <w:noWrap/>
            <w:vAlign w:val="bottom"/>
            <w:hideMark/>
          </w:tcPr>
          <w:p w14:paraId="60FFE71B"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5451EEC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491</w:t>
            </w:r>
          </w:p>
        </w:tc>
        <w:tc>
          <w:tcPr>
            <w:tcW w:w="928" w:type="pct"/>
            <w:shd w:val="clear" w:color="auto" w:fill="auto"/>
            <w:noWrap/>
            <w:vAlign w:val="bottom"/>
          </w:tcPr>
          <w:p w14:paraId="6641CDF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389</w:t>
            </w:r>
          </w:p>
        </w:tc>
        <w:tc>
          <w:tcPr>
            <w:tcW w:w="928" w:type="pct"/>
            <w:shd w:val="clear" w:color="auto" w:fill="auto"/>
            <w:noWrap/>
            <w:vAlign w:val="bottom"/>
          </w:tcPr>
          <w:p w14:paraId="0588354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258</w:t>
            </w:r>
          </w:p>
        </w:tc>
        <w:tc>
          <w:tcPr>
            <w:tcW w:w="924" w:type="pct"/>
            <w:vAlign w:val="bottom"/>
          </w:tcPr>
          <w:p w14:paraId="556FF0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202</w:t>
            </w:r>
          </w:p>
        </w:tc>
      </w:tr>
      <w:tr w:rsidR="009A36D2" w:rsidRPr="009A3489" w14:paraId="36713564" w14:textId="77777777" w:rsidTr="00281A92">
        <w:trPr>
          <w:trHeight w:val="20"/>
          <w:jc w:val="center"/>
        </w:trPr>
        <w:tc>
          <w:tcPr>
            <w:tcW w:w="1293" w:type="pct"/>
            <w:shd w:val="clear" w:color="auto" w:fill="auto"/>
            <w:noWrap/>
            <w:vAlign w:val="bottom"/>
            <w:hideMark/>
          </w:tcPr>
          <w:p w14:paraId="29BD1713"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562B068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375</w:t>
            </w:r>
          </w:p>
        </w:tc>
        <w:tc>
          <w:tcPr>
            <w:tcW w:w="928" w:type="pct"/>
            <w:shd w:val="clear" w:color="auto" w:fill="auto"/>
            <w:noWrap/>
            <w:vAlign w:val="bottom"/>
          </w:tcPr>
          <w:p w14:paraId="4BA7101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219</w:t>
            </w:r>
          </w:p>
        </w:tc>
        <w:tc>
          <w:tcPr>
            <w:tcW w:w="928" w:type="pct"/>
            <w:shd w:val="clear" w:color="auto" w:fill="auto"/>
            <w:noWrap/>
            <w:vAlign w:val="bottom"/>
          </w:tcPr>
          <w:p w14:paraId="6321E78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178</w:t>
            </w:r>
          </w:p>
        </w:tc>
        <w:tc>
          <w:tcPr>
            <w:tcW w:w="924" w:type="pct"/>
            <w:vAlign w:val="bottom"/>
          </w:tcPr>
          <w:p w14:paraId="26BCDCD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160</w:t>
            </w:r>
          </w:p>
        </w:tc>
      </w:tr>
      <w:tr w:rsidR="009A36D2" w:rsidRPr="009A3489" w14:paraId="59E5E72D" w14:textId="77777777" w:rsidTr="00281A92">
        <w:trPr>
          <w:trHeight w:val="20"/>
          <w:jc w:val="center"/>
        </w:trPr>
        <w:tc>
          <w:tcPr>
            <w:tcW w:w="1293" w:type="pct"/>
            <w:shd w:val="clear" w:color="auto" w:fill="auto"/>
            <w:noWrap/>
            <w:vAlign w:val="bottom"/>
            <w:hideMark/>
          </w:tcPr>
          <w:p w14:paraId="301A1EE3"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751FB0F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373</w:t>
            </w:r>
          </w:p>
        </w:tc>
        <w:tc>
          <w:tcPr>
            <w:tcW w:w="928" w:type="pct"/>
            <w:shd w:val="clear" w:color="auto" w:fill="auto"/>
            <w:noWrap/>
            <w:vAlign w:val="bottom"/>
          </w:tcPr>
          <w:p w14:paraId="5BD5175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240</w:t>
            </w:r>
          </w:p>
        </w:tc>
        <w:tc>
          <w:tcPr>
            <w:tcW w:w="928" w:type="pct"/>
            <w:shd w:val="clear" w:color="auto" w:fill="auto"/>
            <w:noWrap/>
            <w:vAlign w:val="bottom"/>
          </w:tcPr>
          <w:p w14:paraId="18EE8C5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223</w:t>
            </w:r>
          </w:p>
        </w:tc>
        <w:tc>
          <w:tcPr>
            <w:tcW w:w="924" w:type="pct"/>
            <w:vAlign w:val="bottom"/>
          </w:tcPr>
          <w:p w14:paraId="128A2CD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187</w:t>
            </w:r>
          </w:p>
        </w:tc>
      </w:tr>
      <w:tr w:rsidR="009A36D2" w:rsidRPr="009A3489" w14:paraId="5C91253E" w14:textId="77777777" w:rsidTr="00281A92">
        <w:trPr>
          <w:trHeight w:val="20"/>
          <w:jc w:val="center"/>
        </w:trPr>
        <w:tc>
          <w:tcPr>
            <w:tcW w:w="1293" w:type="pct"/>
            <w:shd w:val="clear" w:color="auto" w:fill="auto"/>
            <w:noWrap/>
            <w:vAlign w:val="bottom"/>
            <w:hideMark/>
          </w:tcPr>
          <w:p w14:paraId="63E28B5A"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0508EC0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798</w:t>
            </w:r>
          </w:p>
        </w:tc>
        <w:tc>
          <w:tcPr>
            <w:tcW w:w="928" w:type="pct"/>
            <w:shd w:val="clear" w:color="auto" w:fill="auto"/>
            <w:noWrap/>
            <w:vAlign w:val="bottom"/>
          </w:tcPr>
          <w:p w14:paraId="425313A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176</w:t>
            </w:r>
          </w:p>
        </w:tc>
        <w:tc>
          <w:tcPr>
            <w:tcW w:w="928" w:type="pct"/>
            <w:shd w:val="clear" w:color="auto" w:fill="auto"/>
            <w:noWrap/>
            <w:vAlign w:val="bottom"/>
          </w:tcPr>
          <w:p w14:paraId="082571A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174</w:t>
            </w:r>
          </w:p>
        </w:tc>
        <w:tc>
          <w:tcPr>
            <w:tcW w:w="924" w:type="pct"/>
            <w:vAlign w:val="bottom"/>
          </w:tcPr>
          <w:p w14:paraId="1F856C1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175</w:t>
            </w:r>
          </w:p>
        </w:tc>
      </w:tr>
      <w:tr w:rsidR="009A36D2" w:rsidRPr="009A3489" w14:paraId="78783904" w14:textId="77777777" w:rsidTr="00281A92">
        <w:trPr>
          <w:trHeight w:val="20"/>
          <w:jc w:val="center"/>
        </w:trPr>
        <w:tc>
          <w:tcPr>
            <w:tcW w:w="1293" w:type="pct"/>
            <w:shd w:val="clear" w:color="auto" w:fill="auto"/>
            <w:noWrap/>
            <w:vAlign w:val="bottom"/>
            <w:hideMark/>
          </w:tcPr>
          <w:p w14:paraId="474EA8C5"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2FAD60F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895</w:t>
            </w:r>
          </w:p>
        </w:tc>
        <w:tc>
          <w:tcPr>
            <w:tcW w:w="928" w:type="pct"/>
            <w:shd w:val="clear" w:color="auto" w:fill="auto"/>
            <w:noWrap/>
            <w:vAlign w:val="bottom"/>
          </w:tcPr>
          <w:p w14:paraId="296D9D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469</w:t>
            </w:r>
          </w:p>
        </w:tc>
        <w:tc>
          <w:tcPr>
            <w:tcW w:w="928" w:type="pct"/>
            <w:shd w:val="clear" w:color="auto" w:fill="auto"/>
            <w:noWrap/>
            <w:vAlign w:val="bottom"/>
          </w:tcPr>
          <w:p w14:paraId="6D42F2E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304</w:t>
            </w:r>
          </w:p>
        </w:tc>
        <w:tc>
          <w:tcPr>
            <w:tcW w:w="924" w:type="pct"/>
            <w:vAlign w:val="bottom"/>
          </w:tcPr>
          <w:p w14:paraId="3C6E8F3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268</w:t>
            </w:r>
          </w:p>
        </w:tc>
      </w:tr>
      <w:tr w:rsidR="009A36D2" w:rsidRPr="009A3489" w14:paraId="19D894F6" w14:textId="77777777" w:rsidTr="00281A92">
        <w:trPr>
          <w:trHeight w:val="20"/>
          <w:jc w:val="center"/>
        </w:trPr>
        <w:tc>
          <w:tcPr>
            <w:tcW w:w="1293" w:type="pct"/>
            <w:shd w:val="clear" w:color="auto" w:fill="auto"/>
            <w:noWrap/>
            <w:vAlign w:val="bottom"/>
            <w:hideMark/>
          </w:tcPr>
          <w:p w14:paraId="37305613"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5462E80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389</w:t>
            </w:r>
          </w:p>
        </w:tc>
        <w:tc>
          <w:tcPr>
            <w:tcW w:w="928" w:type="pct"/>
            <w:shd w:val="clear" w:color="auto" w:fill="auto"/>
            <w:noWrap/>
            <w:vAlign w:val="bottom"/>
          </w:tcPr>
          <w:p w14:paraId="716D09B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225</w:t>
            </w:r>
          </w:p>
        </w:tc>
        <w:tc>
          <w:tcPr>
            <w:tcW w:w="928" w:type="pct"/>
            <w:shd w:val="clear" w:color="auto" w:fill="auto"/>
            <w:noWrap/>
            <w:vAlign w:val="bottom"/>
          </w:tcPr>
          <w:p w14:paraId="7F19DCB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193</w:t>
            </w:r>
          </w:p>
        </w:tc>
        <w:tc>
          <w:tcPr>
            <w:tcW w:w="924" w:type="pct"/>
            <w:vAlign w:val="bottom"/>
          </w:tcPr>
          <w:p w14:paraId="1E3607D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190</w:t>
            </w:r>
          </w:p>
        </w:tc>
      </w:tr>
      <w:tr w:rsidR="009A36D2" w:rsidRPr="009A3489" w14:paraId="05F94F11" w14:textId="77777777" w:rsidTr="00281A92">
        <w:trPr>
          <w:trHeight w:val="20"/>
          <w:jc w:val="center"/>
        </w:trPr>
        <w:tc>
          <w:tcPr>
            <w:tcW w:w="1293" w:type="pct"/>
            <w:shd w:val="clear" w:color="auto" w:fill="auto"/>
            <w:noWrap/>
            <w:vAlign w:val="bottom"/>
            <w:hideMark/>
          </w:tcPr>
          <w:p w14:paraId="24D75585"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73F892F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745</w:t>
            </w:r>
          </w:p>
        </w:tc>
        <w:tc>
          <w:tcPr>
            <w:tcW w:w="928" w:type="pct"/>
            <w:shd w:val="clear" w:color="auto" w:fill="auto"/>
            <w:noWrap/>
            <w:vAlign w:val="bottom"/>
          </w:tcPr>
          <w:p w14:paraId="222B5B7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392</w:t>
            </w:r>
          </w:p>
        </w:tc>
        <w:tc>
          <w:tcPr>
            <w:tcW w:w="928" w:type="pct"/>
            <w:shd w:val="clear" w:color="auto" w:fill="auto"/>
            <w:noWrap/>
            <w:vAlign w:val="bottom"/>
          </w:tcPr>
          <w:p w14:paraId="746175C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280</w:t>
            </w:r>
          </w:p>
        </w:tc>
        <w:tc>
          <w:tcPr>
            <w:tcW w:w="924" w:type="pct"/>
            <w:vAlign w:val="bottom"/>
          </w:tcPr>
          <w:p w14:paraId="59F0CD1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212</w:t>
            </w:r>
          </w:p>
        </w:tc>
      </w:tr>
      <w:tr w:rsidR="009A36D2" w:rsidRPr="009A3489" w14:paraId="51760654" w14:textId="77777777" w:rsidTr="00281A92">
        <w:trPr>
          <w:trHeight w:val="20"/>
          <w:jc w:val="center"/>
        </w:trPr>
        <w:tc>
          <w:tcPr>
            <w:tcW w:w="1293" w:type="pct"/>
            <w:shd w:val="clear" w:color="auto" w:fill="auto"/>
            <w:noWrap/>
            <w:vAlign w:val="bottom"/>
            <w:hideMark/>
          </w:tcPr>
          <w:p w14:paraId="485AF2E0"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642461F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278</w:t>
            </w:r>
          </w:p>
        </w:tc>
        <w:tc>
          <w:tcPr>
            <w:tcW w:w="928" w:type="pct"/>
            <w:shd w:val="clear" w:color="auto" w:fill="auto"/>
            <w:noWrap/>
            <w:vAlign w:val="bottom"/>
          </w:tcPr>
          <w:p w14:paraId="62CE9AA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255</w:t>
            </w:r>
          </w:p>
        </w:tc>
        <w:tc>
          <w:tcPr>
            <w:tcW w:w="928" w:type="pct"/>
            <w:shd w:val="clear" w:color="auto" w:fill="auto"/>
            <w:noWrap/>
            <w:vAlign w:val="bottom"/>
          </w:tcPr>
          <w:p w14:paraId="2B10617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313</w:t>
            </w:r>
          </w:p>
        </w:tc>
        <w:tc>
          <w:tcPr>
            <w:tcW w:w="924" w:type="pct"/>
            <w:vAlign w:val="bottom"/>
          </w:tcPr>
          <w:p w14:paraId="2E78202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209</w:t>
            </w:r>
          </w:p>
        </w:tc>
      </w:tr>
      <w:tr w:rsidR="009A36D2" w:rsidRPr="009A3489" w14:paraId="5E2E8E70" w14:textId="77777777" w:rsidTr="00281A92">
        <w:trPr>
          <w:trHeight w:val="20"/>
          <w:jc w:val="center"/>
        </w:trPr>
        <w:tc>
          <w:tcPr>
            <w:tcW w:w="1293" w:type="pct"/>
            <w:shd w:val="clear" w:color="auto" w:fill="auto"/>
            <w:noWrap/>
            <w:vAlign w:val="bottom"/>
            <w:hideMark/>
          </w:tcPr>
          <w:p w14:paraId="37DDAB05"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4DF6A4E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419</w:t>
            </w:r>
          </w:p>
        </w:tc>
        <w:tc>
          <w:tcPr>
            <w:tcW w:w="928" w:type="pct"/>
            <w:shd w:val="clear" w:color="auto" w:fill="auto"/>
            <w:noWrap/>
            <w:vAlign w:val="bottom"/>
          </w:tcPr>
          <w:p w14:paraId="0A1FF8D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273</w:t>
            </w:r>
          </w:p>
        </w:tc>
        <w:tc>
          <w:tcPr>
            <w:tcW w:w="928" w:type="pct"/>
            <w:shd w:val="clear" w:color="auto" w:fill="auto"/>
            <w:noWrap/>
            <w:vAlign w:val="bottom"/>
          </w:tcPr>
          <w:p w14:paraId="079A5DA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262</w:t>
            </w:r>
          </w:p>
        </w:tc>
        <w:tc>
          <w:tcPr>
            <w:tcW w:w="924" w:type="pct"/>
            <w:vAlign w:val="bottom"/>
          </w:tcPr>
          <w:p w14:paraId="4807615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187</w:t>
            </w:r>
          </w:p>
        </w:tc>
      </w:tr>
      <w:tr w:rsidR="009A36D2" w:rsidRPr="009A3489" w14:paraId="56E8B61F" w14:textId="77777777" w:rsidTr="00281A92">
        <w:trPr>
          <w:trHeight w:val="20"/>
          <w:jc w:val="center"/>
        </w:trPr>
        <w:tc>
          <w:tcPr>
            <w:tcW w:w="1293" w:type="pct"/>
            <w:shd w:val="clear" w:color="auto" w:fill="auto"/>
            <w:noWrap/>
            <w:vAlign w:val="bottom"/>
            <w:hideMark/>
          </w:tcPr>
          <w:p w14:paraId="3B1B493C"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20D567E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522</w:t>
            </w:r>
          </w:p>
        </w:tc>
        <w:tc>
          <w:tcPr>
            <w:tcW w:w="928" w:type="pct"/>
            <w:shd w:val="clear" w:color="auto" w:fill="auto"/>
            <w:noWrap/>
            <w:vAlign w:val="bottom"/>
          </w:tcPr>
          <w:p w14:paraId="35FED77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316</w:t>
            </w:r>
          </w:p>
        </w:tc>
        <w:tc>
          <w:tcPr>
            <w:tcW w:w="928" w:type="pct"/>
            <w:shd w:val="clear" w:color="auto" w:fill="auto"/>
            <w:noWrap/>
            <w:vAlign w:val="bottom"/>
          </w:tcPr>
          <w:p w14:paraId="0C9DAB7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247</w:t>
            </w:r>
          </w:p>
        </w:tc>
        <w:tc>
          <w:tcPr>
            <w:tcW w:w="924" w:type="pct"/>
            <w:vAlign w:val="bottom"/>
          </w:tcPr>
          <w:p w14:paraId="17C7613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214</w:t>
            </w:r>
          </w:p>
        </w:tc>
      </w:tr>
      <w:tr w:rsidR="009A36D2" w:rsidRPr="009A3489" w14:paraId="58F3299D" w14:textId="77777777" w:rsidTr="00281A92">
        <w:trPr>
          <w:trHeight w:val="20"/>
          <w:jc w:val="center"/>
        </w:trPr>
        <w:tc>
          <w:tcPr>
            <w:tcW w:w="1293" w:type="pct"/>
            <w:shd w:val="clear" w:color="auto" w:fill="auto"/>
            <w:noWrap/>
            <w:vAlign w:val="bottom"/>
            <w:hideMark/>
          </w:tcPr>
          <w:p w14:paraId="389F9FE0" w14:textId="77777777" w:rsidR="009A36D2" w:rsidRPr="009A3489" w:rsidRDefault="009A36D2" w:rsidP="00281A92">
            <w:pPr>
              <w:spacing w:before="0" w:after="0" w:line="240" w:lineRule="auto"/>
              <w:rPr>
                <w:color w:val="auto"/>
                <w:sz w:val="20"/>
                <w:szCs w:val="20"/>
              </w:rPr>
            </w:pPr>
            <w:r w:rsidRPr="009A3489">
              <w:rPr>
                <w:color w:val="auto"/>
                <w:sz w:val="20"/>
                <w:szCs w:val="20"/>
              </w:rPr>
              <w:t>16</w:t>
            </w:r>
          </w:p>
        </w:tc>
        <w:tc>
          <w:tcPr>
            <w:tcW w:w="927" w:type="pct"/>
            <w:shd w:val="clear" w:color="auto" w:fill="auto"/>
            <w:noWrap/>
            <w:vAlign w:val="bottom"/>
          </w:tcPr>
          <w:p w14:paraId="5EC51B5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451</w:t>
            </w:r>
          </w:p>
        </w:tc>
        <w:tc>
          <w:tcPr>
            <w:tcW w:w="928" w:type="pct"/>
            <w:shd w:val="clear" w:color="auto" w:fill="auto"/>
            <w:noWrap/>
            <w:vAlign w:val="bottom"/>
          </w:tcPr>
          <w:p w14:paraId="4AB6663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264</w:t>
            </w:r>
          </w:p>
        </w:tc>
        <w:tc>
          <w:tcPr>
            <w:tcW w:w="928" w:type="pct"/>
            <w:shd w:val="clear" w:color="auto" w:fill="auto"/>
            <w:noWrap/>
            <w:vAlign w:val="bottom"/>
          </w:tcPr>
          <w:p w14:paraId="527D349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243</w:t>
            </w:r>
          </w:p>
        </w:tc>
        <w:tc>
          <w:tcPr>
            <w:tcW w:w="924" w:type="pct"/>
            <w:vAlign w:val="bottom"/>
          </w:tcPr>
          <w:p w14:paraId="2858279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287</w:t>
            </w:r>
          </w:p>
        </w:tc>
      </w:tr>
      <w:tr w:rsidR="009A36D2" w:rsidRPr="009A3489" w14:paraId="117DE25A" w14:textId="77777777" w:rsidTr="00281A92">
        <w:trPr>
          <w:trHeight w:val="20"/>
          <w:jc w:val="center"/>
        </w:trPr>
        <w:tc>
          <w:tcPr>
            <w:tcW w:w="1293" w:type="pct"/>
            <w:shd w:val="clear" w:color="auto" w:fill="auto"/>
            <w:noWrap/>
            <w:vAlign w:val="bottom"/>
            <w:hideMark/>
          </w:tcPr>
          <w:p w14:paraId="03904581" w14:textId="77777777" w:rsidR="009A36D2" w:rsidRPr="009A3489" w:rsidRDefault="009A36D2" w:rsidP="00281A92">
            <w:pPr>
              <w:spacing w:before="0" w:after="0" w:line="240" w:lineRule="auto"/>
              <w:rPr>
                <w:color w:val="auto"/>
                <w:sz w:val="20"/>
                <w:szCs w:val="20"/>
              </w:rPr>
            </w:pPr>
            <w:r w:rsidRPr="009A3489">
              <w:rPr>
                <w:color w:val="auto"/>
                <w:sz w:val="20"/>
                <w:szCs w:val="20"/>
              </w:rPr>
              <w:t>17</w:t>
            </w:r>
          </w:p>
        </w:tc>
        <w:tc>
          <w:tcPr>
            <w:tcW w:w="927" w:type="pct"/>
            <w:shd w:val="clear" w:color="auto" w:fill="auto"/>
            <w:noWrap/>
            <w:vAlign w:val="bottom"/>
          </w:tcPr>
          <w:p w14:paraId="50C714B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414</w:t>
            </w:r>
          </w:p>
        </w:tc>
        <w:tc>
          <w:tcPr>
            <w:tcW w:w="928" w:type="pct"/>
            <w:shd w:val="clear" w:color="auto" w:fill="auto"/>
            <w:noWrap/>
            <w:vAlign w:val="bottom"/>
          </w:tcPr>
          <w:p w14:paraId="0071B84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619</w:t>
            </w:r>
          </w:p>
        </w:tc>
        <w:tc>
          <w:tcPr>
            <w:tcW w:w="928" w:type="pct"/>
            <w:shd w:val="clear" w:color="auto" w:fill="auto"/>
            <w:noWrap/>
            <w:vAlign w:val="bottom"/>
          </w:tcPr>
          <w:p w14:paraId="25B807F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383</w:t>
            </w:r>
          </w:p>
        </w:tc>
        <w:tc>
          <w:tcPr>
            <w:tcW w:w="924" w:type="pct"/>
            <w:vAlign w:val="bottom"/>
          </w:tcPr>
          <w:p w14:paraId="201645B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351</w:t>
            </w:r>
          </w:p>
        </w:tc>
      </w:tr>
      <w:tr w:rsidR="009A36D2" w:rsidRPr="009A3489" w14:paraId="0683EDDA" w14:textId="77777777" w:rsidTr="00281A92">
        <w:trPr>
          <w:trHeight w:val="20"/>
          <w:jc w:val="center"/>
        </w:trPr>
        <w:tc>
          <w:tcPr>
            <w:tcW w:w="1293" w:type="pct"/>
            <w:shd w:val="clear" w:color="auto" w:fill="auto"/>
            <w:noWrap/>
            <w:vAlign w:val="bottom"/>
            <w:hideMark/>
          </w:tcPr>
          <w:p w14:paraId="25615680" w14:textId="77777777" w:rsidR="009A36D2" w:rsidRPr="009A3489" w:rsidRDefault="009A36D2" w:rsidP="00281A92">
            <w:pPr>
              <w:spacing w:before="0" w:after="0" w:line="240" w:lineRule="auto"/>
              <w:rPr>
                <w:color w:val="auto"/>
                <w:sz w:val="20"/>
                <w:szCs w:val="20"/>
              </w:rPr>
            </w:pPr>
            <w:r w:rsidRPr="009A3489">
              <w:rPr>
                <w:color w:val="auto"/>
                <w:sz w:val="20"/>
                <w:szCs w:val="20"/>
              </w:rPr>
              <w:t>18</w:t>
            </w:r>
          </w:p>
        </w:tc>
        <w:tc>
          <w:tcPr>
            <w:tcW w:w="927" w:type="pct"/>
            <w:shd w:val="clear" w:color="auto" w:fill="auto"/>
            <w:noWrap/>
            <w:vAlign w:val="bottom"/>
          </w:tcPr>
          <w:p w14:paraId="2240266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464</w:t>
            </w:r>
          </w:p>
        </w:tc>
        <w:tc>
          <w:tcPr>
            <w:tcW w:w="928" w:type="pct"/>
            <w:shd w:val="clear" w:color="auto" w:fill="auto"/>
            <w:noWrap/>
            <w:vAlign w:val="bottom"/>
          </w:tcPr>
          <w:p w14:paraId="120D507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289</w:t>
            </w:r>
          </w:p>
        </w:tc>
        <w:tc>
          <w:tcPr>
            <w:tcW w:w="928" w:type="pct"/>
            <w:shd w:val="clear" w:color="auto" w:fill="auto"/>
            <w:noWrap/>
            <w:vAlign w:val="bottom"/>
          </w:tcPr>
          <w:p w14:paraId="23D397D1"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457</w:t>
            </w:r>
          </w:p>
        </w:tc>
        <w:tc>
          <w:tcPr>
            <w:tcW w:w="924" w:type="pct"/>
            <w:vAlign w:val="bottom"/>
          </w:tcPr>
          <w:p w14:paraId="0773F4D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260</w:t>
            </w:r>
          </w:p>
        </w:tc>
      </w:tr>
      <w:tr w:rsidR="009A36D2" w:rsidRPr="009A3489" w14:paraId="11626057" w14:textId="77777777" w:rsidTr="00281A92">
        <w:trPr>
          <w:trHeight w:val="20"/>
          <w:jc w:val="center"/>
        </w:trPr>
        <w:tc>
          <w:tcPr>
            <w:tcW w:w="1293" w:type="pct"/>
            <w:shd w:val="clear" w:color="auto" w:fill="auto"/>
            <w:noWrap/>
            <w:vAlign w:val="bottom"/>
            <w:hideMark/>
          </w:tcPr>
          <w:p w14:paraId="0E487FF4"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0E6174DE"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474</w:t>
            </w:r>
          </w:p>
        </w:tc>
        <w:tc>
          <w:tcPr>
            <w:tcW w:w="928" w:type="pct"/>
            <w:shd w:val="clear" w:color="auto" w:fill="auto"/>
            <w:noWrap/>
            <w:vAlign w:val="bottom"/>
          </w:tcPr>
          <w:p w14:paraId="4BCD33D7"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309</w:t>
            </w:r>
          </w:p>
        </w:tc>
        <w:tc>
          <w:tcPr>
            <w:tcW w:w="928" w:type="pct"/>
            <w:shd w:val="clear" w:color="auto" w:fill="auto"/>
            <w:noWrap/>
            <w:vAlign w:val="bottom"/>
          </w:tcPr>
          <w:p w14:paraId="1A4A905E"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265</w:t>
            </w:r>
          </w:p>
        </w:tc>
        <w:tc>
          <w:tcPr>
            <w:tcW w:w="924" w:type="pct"/>
            <w:vAlign w:val="bottom"/>
          </w:tcPr>
          <w:p w14:paraId="39912C6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231</w:t>
            </w:r>
          </w:p>
        </w:tc>
      </w:tr>
      <w:tr w:rsidR="009A36D2" w:rsidRPr="009A3489" w14:paraId="621E333A" w14:textId="77777777" w:rsidTr="00281A92">
        <w:trPr>
          <w:trHeight w:val="20"/>
          <w:jc w:val="center"/>
        </w:trPr>
        <w:tc>
          <w:tcPr>
            <w:tcW w:w="1293" w:type="pct"/>
            <w:shd w:val="clear" w:color="auto" w:fill="auto"/>
            <w:noWrap/>
            <w:vAlign w:val="bottom"/>
          </w:tcPr>
          <w:p w14:paraId="06169E0F"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2CBA5E9F"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173</w:t>
            </w:r>
          </w:p>
        </w:tc>
        <w:tc>
          <w:tcPr>
            <w:tcW w:w="928" w:type="pct"/>
            <w:shd w:val="clear" w:color="auto" w:fill="auto"/>
            <w:noWrap/>
            <w:vAlign w:val="bottom"/>
          </w:tcPr>
          <w:p w14:paraId="04CCC3F2"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111</w:t>
            </w:r>
          </w:p>
        </w:tc>
        <w:tc>
          <w:tcPr>
            <w:tcW w:w="928" w:type="pct"/>
            <w:shd w:val="clear" w:color="auto" w:fill="auto"/>
            <w:noWrap/>
            <w:vAlign w:val="bottom"/>
          </w:tcPr>
          <w:p w14:paraId="3E85C7A6"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75</w:t>
            </w:r>
          </w:p>
        </w:tc>
        <w:tc>
          <w:tcPr>
            <w:tcW w:w="924" w:type="pct"/>
            <w:vAlign w:val="bottom"/>
          </w:tcPr>
          <w:p w14:paraId="2D48EFA4"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64</w:t>
            </w:r>
          </w:p>
        </w:tc>
      </w:tr>
      <w:tr w:rsidR="009A36D2" w:rsidRPr="009A3489" w14:paraId="0B905322" w14:textId="77777777" w:rsidTr="00281A92">
        <w:trPr>
          <w:trHeight w:val="20"/>
          <w:jc w:val="center"/>
        </w:trPr>
        <w:tc>
          <w:tcPr>
            <w:tcW w:w="5000" w:type="pct"/>
            <w:gridSpan w:val="5"/>
            <w:shd w:val="clear" w:color="auto" w:fill="D9D9D9" w:themeFill="background1" w:themeFillShade="D9"/>
            <w:noWrap/>
            <w:vAlign w:val="bottom"/>
          </w:tcPr>
          <w:p w14:paraId="3BA0314E" w14:textId="77777777" w:rsidR="009A36D2" w:rsidRPr="009A3489" w:rsidRDefault="009A36D2" w:rsidP="00281A92">
            <w:pPr>
              <w:spacing w:before="0" w:after="0" w:line="240" w:lineRule="auto"/>
              <w:jc w:val="left"/>
              <w:rPr>
                <w:color w:val="auto"/>
                <w:sz w:val="20"/>
                <w:szCs w:val="20"/>
              </w:rPr>
            </w:pPr>
            <w:r w:rsidRPr="009A3489">
              <w:rPr>
                <w:color w:val="auto"/>
                <w:sz w:val="20"/>
                <w:szCs w:val="20"/>
              </w:rPr>
              <w:t>Older (60-79 years old)</w:t>
            </w:r>
          </w:p>
        </w:tc>
      </w:tr>
      <w:tr w:rsidR="009A36D2" w:rsidRPr="009A3489" w14:paraId="1B6EF684" w14:textId="77777777" w:rsidTr="00281A92">
        <w:trPr>
          <w:trHeight w:val="20"/>
          <w:jc w:val="center"/>
        </w:trPr>
        <w:tc>
          <w:tcPr>
            <w:tcW w:w="1293" w:type="pct"/>
            <w:tcBorders>
              <w:tl2br w:val="single" w:sz="4" w:space="0" w:color="auto"/>
            </w:tcBorders>
            <w:shd w:val="clear" w:color="auto" w:fill="auto"/>
            <w:hideMark/>
          </w:tcPr>
          <w:p w14:paraId="3AD1F201" w14:textId="77777777" w:rsidR="009A36D2" w:rsidRPr="009A3489" w:rsidRDefault="009A36D2" w:rsidP="00281A92">
            <w:pPr>
              <w:spacing w:before="0" w:after="0" w:line="240" w:lineRule="auto"/>
              <w:jc w:val="right"/>
              <w:rPr>
                <w:color w:val="auto"/>
                <w:sz w:val="20"/>
                <w:szCs w:val="20"/>
              </w:rPr>
            </w:pPr>
            <w:r w:rsidRPr="009A3489">
              <w:rPr>
                <w:color w:val="auto"/>
                <w:sz w:val="20"/>
                <w:szCs w:val="20"/>
              </w:rPr>
              <w:t>Target frequency</w:t>
            </w:r>
          </w:p>
          <w:p w14:paraId="233DE21D" w14:textId="77777777" w:rsidR="009A36D2" w:rsidRPr="009A3489" w:rsidRDefault="009A36D2" w:rsidP="00281A92">
            <w:pPr>
              <w:spacing w:before="0" w:after="0" w:line="240" w:lineRule="auto"/>
              <w:rPr>
                <w:color w:val="auto"/>
                <w:sz w:val="20"/>
                <w:szCs w:val="20"/>
              </w:rPr>
            </w:pPr>
          </w:p>
          <w:p w14:paraId="18182C88" w14:textId="77777777" w:rsidR="009A36D2" w:rsidRPr="009A3489" w:rsidRDefault="009A36D2" w:rsidP="00281A92">
            <w:pPr>
              <w:spacing w:before="0" w:after="0" w:line="240" w:lineRule="auto"/>
              <w:rPr>
                <w:color w:val="auto"/>
                <w:sz w:val="20"/>
                <w:szCs w:val="20"/>
              </w:rPr>
            </w:pPr>
            <w:r w:rsidRPr="009A3489">
              <w:rPr>
                <w:color w:val="auto"/>
                <w:sz w:val="20"/>
                <w:szCs w:val="20"/>
              </w:rPr>
              <w:t>Participant ID</w:t>
            </w:r>
          </w:p>
        </w:tc>
        <w:tc>
          <w:tcPr>
            <w:tcW w:w="927" w:type="pct"/>
            <w:shd w:val="clear" w:color="auto" w:fill="auto"/>
            <w:noWrap/>
          </w:tcPr>
          <w:p w14:paraId="72712782"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0.25 Hz</w:t>
            </w:r>
          </w:p>
        </w:tc>
        <w:tc>
          <w:tcPr>
            <w:tcW w:w="928" w:type="pct"/>
            <w:shd w:val="clear" w:color="auto" w:fill="auto"/>
            <w:noWrap/>
          </w:tcPr>
          <w:p w14:paraId="7A0598B7"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0.50 Hz</w:t>
            </w:r>
          </w:p>
        </w:tc>
        <w:tc>
          <w:tcPr>
            <w:tcW w:w="928" w:type="pct"/>
            <w:shd w:val="clear" w:color="auto" w:fill="auto"/>
            <w:noWrap/>
          </w:tcPr>
          <w:p w14:paraId="43C0934D"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0.75 Hz</w:t>
            </w:r>
          </w:p>
        </w:tc>
        <w:tc>
          <w:tcPr>
            <w:tcW w:w="924" w:type="pct"/>
          </w:tcPr>
          <w:p w14:paraId="4DDFBD53" w14:textId="77777777" w:rsidR="009A36D2" w:rsidRPr="009A3489" w:rsidRDefault="009A36D2" w:rsidP="00281A92">
            <w:pPr>
              <w:spacing w:before="0" w:after="0" w:line="240" w:lineRule="auto"/>
              <w:jc w:val="right"/>
              <w:rPr>
                <w:b/>
                <w:bCs/>
                <w:color w:val="auto"/>
                <w:sz w:val="20"/>
                <w:szCs w:val="20"/>
              </w:rPr>
            </w:pPr>
            <w:r w:rsidRPr="009A3489">
              <w:rPr>
                <w:b/>
                <w:bCs/>
                <w:color w:val="auto"/>
                <w:sz w:val="20"/>
                <w:szCs w:val="20"/>
              </w:rPr>
              <w:t>1.00 Hz</w:t>
            </w:r>
          </w:p>
        </w:tc>
      </w:tr>
      <w:tr w:rsidR="009A36D2" w:rsidRPr="009A3489" w14:paraId="3DDC6A4F" w14:textId="77777777" w:rsidTr="00281A92">
        <w:trPr>
          <w:trHeight w:val="20"/>
          <w:jc w:val="center"/>
        </w:trPr>
        <w:tc>
          <w:tcPr>
            <w:tcW w:w="1293" w:type="pct"/>
            <w:shd w:val="clear" w:color="auto" w:fill="auto"/>
            <w:noWrap/>
            <w:vAlign w:val="bottom"/>
            <w:hideMark/>
          </w:tcPr>
          <w:p w14:paraId="0AF3E5DF" w14:textId="77777777" w:rsidR="009A36D2" w:rsidRPr="009A3489" w:rsidRDefault="009A36D2" w:rsidP="00281A92">
            <w:pPr>
              <w:spacing w:before="0" w:after="0" w:line="240" w:lineRule="auto"/>
              <w:rPr>
                <w:color w:val="auto"/>
                <w:sz w:val="20"/>
                <w:szCs w:val="20"/>
              </w:rPr>
            </w:pPr>
            <w:r w:rsidRPr="009A3489">
              <w:rPr>
                <w:color w:val="auto"/>
                <w:sz w:val="20"/>
                <w:szCs w:val="20"/>
              </w:rPr>
              <w:t>1</w:t>
            </w:r>
          </w:p>
        </w:tc>
        <w:tc>
          <w:tcPr>
            <w:tcW w:w="927" w:type="pct"/>
            <w:shd w:val="clear" w:color="auto" w:fill="auto"/>
            <w:noWrap/>
            <w:vAlign w:val="bottom"/>
          </w:tcPr>
          <w:p w14:paraId="49C64D2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197</w:t>
            </w:r>
          </w:p>
        </w:tc>
        <w:tc>
          <w:tcPr>
            <w:tcW w:w="928" w:type="pct"/>
            <w:shd w:val="clear" w:color="auto" w:fill="auto"/>
            <w:noWrap/>
            <w:vAlign w:val="bottom"/>
          </w:tcPr>
          <w:p w14:paraId="578B241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165</w:t>
            </w:r>
          </w:p>
        </w:tc>
        <w:tc>
          <w:tcPr>
            <w:tcW w:w="928" w:type="pct"/>
            <w:shd w:val="clear" w:color="auto" w:fill="auto"/>
            <w:noWrap/>
            <w:vAlign w:val="bottom"/>
          </w:tcPr>
          <w:p w14:paraId="0FF46C6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257</w:t>
            </w:r>
          </w:p>
        </w:tc>
        <w:tc>
          <w:tcPr>
            <w:tcW w:w="924" w:type="pct"/>
            <w:vAlign w:val="bottom"/>
          </w:tcPr>
          <w:p w14:paraId="2EEFBAC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287</w:t>
            </w:r>
          </w:p>
        </w:tc>
      </w:tr>
      <w:tr w:rsidR="009A36D2" w:rsidRPr="009A3489" w14:paraId="2C259121" w14:textId="77777777" w:rsidTr="00281A92">
        <w:trPr>
          <w:trHeight w:val="20"/>
          <w:jc w:val="center"/>
        </w:trPr>
        <w:tc>
          <w:tcPr>
            <w:tcW w:w="1293" w:type="pct"/>
            <w:shd w:val="clear" w:color="auto" w:fill="auto"/>
            <w:noWrap/>
            <w:vAlign w:val="bottom"/>
            <w:hideMark/>
          </w:tcPr>
          <w:p w14:paraId="4BE73DA1" w14:textId="77777777" w:rsidR="009A36D2" w:rsidRPr="009A3489" w:rsidRDefault="009A36D2" w:rsidP="00281A92">
            <w:pPr>
              <w:spacing w:before="0" w:after="0" w:line="240" w:lineRule="auto"/>
              <w:rPr>
                <w:color w:val="auto"/>
                <w:sz w:val="20"/>
                <w:szCs w:val="20"/>
              </w:rPr>
            </w:pPr>
            <w:r w:rsidRPr="009A3489">
              <w:rPr>
                <w:color w:val="auto"/>
                <w:sz w:val="20"/>
                <w:szCs w:val="20"/>
              </w:rPr>
              <w:lastRenderedPageBreak/>
              <w:t>2</w:t>
            </w:r>
          </w:p>
        </w:tc>
        <w:tc>
          <w:tcPr>
            <w:tcW w:w="927" w:type="pct"/>
            <w:shd w:val="clear" w:color="auto" w:fill="auto"/>
            <w:noWrap/>
            <w:vAlign w:val="bottom"/>
          </w:tcPr>
          <w:p w14:paraId="013416A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339</w:t>
            </w:r>
          </w:p>
        </w:tc>
        <w:tc>
          <w:tcPr>
            <w:tcW w:w="928" w:type="pct"/>
            <w:shd w:val="clear" w:color="auto" w:fill="auto"/>
            <w:noWrap/>
            <w:vAlign w:val="bottom"/>
          </w:tcPr>
          <w:p w14:paraId="4656550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299</w:t>
            </w:r>
          </w:p>
        </w:tc>
        <w:tc>
          <w:tcPr>
            <w:tcW w:w="928" w:type="pct"/>
            <w:shd w:val="clear" w:color="auto" w:fill="auto"/>
            <w:noWrap/>
            <w:vAlign w:val="bottom"/>
          </w:tcPr>
          <w:p w14:paraId="7909664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164</w:t>
            </w:r>
          </w:p>
        </w:tc>
        <w:tc>
          <w:tcPr>
            <w:tcW w:w="924" w:type="pct"/>
            <w:vAlign w:val="bottom"/>
          </w:tcPr>
          <w:p w14:paraId="78A6A56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206</w:t>
            </w:r>
          </w:p>
        </w:tc>
      </w:tr>
      <w:tr w:rsidR="009A36D2" w:rsidRPr="009A3489" w14:paraId="224D5E65" w14:textId="77777777" w:rsidTr="00281A92">
        <w:trPr>
          <w:trHeight w:val="20"/>
          <w:jc w:val="center"/>
        </w:trPr>
        <w:tc>
          <w:tcPr>
            <w:tcW w:w="1293" w:type="pct"/>
            <w:shd w:val="clear" w:color="auto" w:fill="auto"/>
            <w:noWrap/>
            <w:vAlign w:val="bottom"/>
            <w:hideMark/>
          </w:tcPr>
          <w:p w14:paraId="383D77EE" w14:textId="77777777" w:rsidR="009A36D2" w:rsidRPr="009A3489" w:rsidRDefault="009A36D2" w:rsidP="00281A92">
            <w:pPr>
              <w:spacing w:before="0" w:after="0" w:line="240" w:lineRule="auto"/>
              <w:rPr>
                <w:color w:val="auto"/>
                <w:sz w:val="20"/>
                <w:szCs w:val="20"/>
              </w:rPr>
            </w:pPr>
            <w:r w:rsidRPr="009A3489">
              <w:rPr>
                <w:color w:val="auto"/>
                <w:sz w:val="20"/>
                <w:szCs w:val="20"/>
              </w:rPr>
              <w:t>3</w:t>
            </w:r>
          </w:p>
        </w:tc>
        <w:tc>
          <w:tcPr>
            <w:tcW w:w="927" w:type="pct"/>
            <w:shd w:val="clear" w:color="auto" w:fill="auto"/>
            <w:noWrap/>
            <w:vAlign w:val="bottom"/>
          </w:tcPr>
          <w:p w14:paraId="292EB03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422</w:t>
            </w:r>
          </w:p>
        </w:tc>
        <w:tc>
          <w:tcPr>
            <w:tcW w:w="928" w:type="pct"/>
            <w:shd w:val="clear" w:color="auto" w:fill="auto"/>
            <w:noWrap/>
            <w:vAlign w:val="bottom"/>
          </w:tcPr>
          <w:p w14:paraId="7F2BF8A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356</w:t>
            </w:r>
          </w:p>
        </w:tc>
        <w:tc>
          <w:tcPr>
            <w:tcW w:w="928" w:type="pct"/>
            <w:shd w:val="clear" w:color="auto" w:fill="auto"/>
            <w:noWrap/>
            <w:vAlign w:val="bottom"/>
          </w:tcPr>
          <w:p w14:paraId="54EE754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336</w:t>
            </w:r>
          </w:p>
        </w:tc>
        <w:tc>
          <w:tcPr>
            <w:tcW w:w="924" w:type="pct"/>
            <w:vAlign w:val="bottom"/>
          </w:tcPr>
          <w:p w14:paraId="5B17275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290</w:t>
            </w:r>
          </w:p>
        </w:tc>
      </w:tr>
      <w:tr w:rsidR="009A36D2" w:rsidRPr="009A3489" w14:paraId="79CCF641" w14:textId="77777777" w:rsidTr="00281A92">
        <w:trPr>
          <w:trHeight w:val="20"/>
          <w:jc w:val="center"/>
        </w:trPr>
        <w:tc>
          <w:tcPr>
            <w:tcW w:w="1293" w:type="pct"/>
            <w:shd w:val="clear" w:color="auto" w:fill="auto"/>
            <w:noWrap/>
            <w:vAlign w:val="bottom"/>
            <w:hideMark/>
          </w:tcPr>
          <w:p w14:paraId="0D2B1319" w14:textId="77777777" w:rsidR="009A36D2" w:rsidRPr="009A3489" w:rsidRDefault="009A36D2" w:rsidP="00281A92">
            <w:pPr>
              <w:spacing w:before="0" w:after="0" w:line="240" w:lineRule="auto"/>
              <w:rPr>
                <w:color w:val="auto"/>
                <w:sz w:val="20"/>
                <w:szCs w:val="20"/>
              </w:rPr>
            </w:pPr>
            <w:r w:rsidRPr="009A3489">
              <w:rPr>
                <w:color w:val="auto"/>
                <w:sz w:val="20"/>
                <w:szCs w:val="20"/>
              </w:rPr>
              <w:t>4</w:t>
            </w:r>
          </w:p>
        </w:tc>
        <w:tc>
          <w:tcPr>
            <w:tcW w:w="927" w:type="pct"/>
            <w:shd w:val="clear" w:color="auto" w:fill="auto"/>
            <w:noWrap/>
            <w:vAlign w:val="bottom"/>
          </w:tcPr>
          <w:p w14:paraId="488867B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479</w:t>
            </w:r>
          </w:p>
        </w:tc>
        <w:tc>
          <w:tcPr>
            <w:tcW w:w="928" w:type="pct"/>
            <w:shd w:val="clear" w:color="auto" w:fill="auto"/>
            <w:noWrap/>
            <w:vAlign w:val="bottom"/>
          </w:tcPr>
          <w:p w14:paraId="33FFDC2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243</w:t>
            </w:r>
          </w:p>
        </w:tc>
        <w:tc>
          <w:tcPr>
            <w:tcW w:w="928" w:type="pct"/>
            <w:shd w:val="clear" w:color="auto" w:fill="auto"/>
            <w:noWrap/>
            <w:vAlign w:val="bottom"/>
          </w:tcPr>
          <w:p w14:paraId="79AE9E7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179</w:t>
            </w:r>
          </w:p>
        </w:tc>
        <w:tc>
          <w:tcPr>
            <w:tcW w:w="924" w:type="pct"/>
            <w:vAlign w:val="bottom"/>
          </w:tcPr>
          <w:p w14:paraId="3B02E9B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187</w:t>
            </w:r>
          </w:p>
        </w:tc>
      </w:tr>
      <w:tr w:rsidR="009A36D2" w:rsidRPr="009A3489" w14:paraId="5B7B19AC" w14:textId="77777777" w:rsidTr="00281A92">
        <w:trPr>
          <w:trHeight w:val="20"/>
          <w:jc w:val="center"/>
        </w:trPr>
        <w:tc>
          <w:tcPr>
            <w:tcW w:w="1293" w:type="pct"/>
            <w:shd w:val="clear" w:color="auto" w:fill="auto"/>
            <w:noWrap/>
            <w:vAlign w:val="bottom"/>
            <w:hideMark/>
          </w:tcPr>
          <w:p w14:paraId="47102794" w14:textId="77777777" w:rsidR="009A36D2" w:rsidRPr="009A3489" w:rsidRDefault="009A36D2" w:rsidP="00281A92">
            <w:pPr>
              <w:spacing w:before="0" w:after="0" w:line="240" w:lineRule="auto"/>
              <w:rPr>
                <w:color w:val="auto"/>
                <w:sz w:val="20"/>
                <w:szCs w:val="20"/>
              </w:rPr>
            </w:pPr>
            <w:r w:rsidRPr="009A3489">
              <w:rPr>
                <w:color w:val="auto"/>
                <w:sz w:val="20"/>
                <w:szCs w:val="20"/>
              </w:rPr>
              <w:t>5</w:t>
            </w:r>
          </w:p>
        </w:tc>
        <w:tc>
          <w:tcPr>
            <w:tcW w:w="927" w:type="pct"/>
            <w:shd w:val="clear" w:color="auto" w:fill="auto"/>
            <w:noWrap/>
            <w:vAlign w:val="bottom"/>
          </w:tcPr>
          <w:p w14:paraId="51CB3E4B"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430</w:t>
            </w:r>
          </w:p>
        </w:tc>
        <w:tc>
          <w:tcPr>
            <w:tcW w:w="928" w:type="pct"/>
            <w:shd w:val="clear" w:color="auto" w:fill="auto"/>
            <w:noWrap/>
            <w:vAlign w:val="bottom"/>
          </w:tcPr>
          <w:p w14:paraId="7D21A1C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265</w:t>
            </w:r>
          </w:p>
        </w:tc>
        <w:tc>
          <w:tcPr>
            <w:tcW w:w="928" w:type="pct"/>
            <w:shd w:val="clear" w:color="auto" w:fill="auto"/>
            <w:noWrap/>
            <w:vAlign w:val="bottom"/>
          </w:tcPr>
          <w:p w14:paraId="0E493E8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388</w:t>
            </w:r>
          </w:p>
        </w:tc>
        <w:tc>
          <w:tcPr>
            <w:tcW w:w="924" w:type="pct"/>
            <w:vAlign w:val="bottom"/>
          </w:tcPr>
          <w:p w14:paraId="2AF0305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217</w:t>
            </w:r>
          </w:p>
        </w:tc>
      </w:tr>
      <w:tr w:rsidR="009A36D2" w:rsidRPr="009A3489" w14:paraId="5166174B" w14:textId="77777777" w:rsidTr="00281A92">
        <w:trPr>
          <w:trHeight w:val="20"/>
          <w:jc w:val="center"/>
        </w:trPr>
        <w:tc>
          <w:tcPr>
            <w:tcW w:w="1293" w:type="pct"/>
            <w:shd w:val="clear" w:color="auto" w:fill="auto"/>
            <w:noWrap/>
            <w:vAlign w:val="bottom"/>
            <w:hideMark/>
          </w:tcPr>
          <w:p w14:paraId="1C94D1CC" w14:textId="77777777" w:rsidR="009A36D2" w:rsidRPr="009A3489" w:rsidRDefault="009A36D2" w:rsidP="00281A92">
            <w:pPr>
              <w:spacing w:before="0" w:after="0" w:line="240" w:lineRule="auto"/>
              <w:rPr>
                <w:color w:val="auto"/>
                <w:sz w:val="20"/>
                <w:szCs w:val="20"/>
              </w:rPr>
            </w:pPr>
            <w:r w:rsidRPr="009A3489">
              <w:rPr>
                <w:color w:val="auto"/>
                <w:sz w:val="20"/>
                <w:szCs w:val="20"/>
              </w:rPr>
              <w:t>6</w:t>
            </w:r>
          </w:p>
        </w:tc>
        <w:tc>
          <w:tcPr>
            <w:tcW w:w="927" w:type="pct"/>
            <w:shd w:val="clear" w:color="auto" w:fill="auto"/>
            <w:noWrap/>
            <w:vAlign w:val="bottom"/>
          </w:tcPr>
          <w:p w14:paraId="144151A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539</w:t>
            </w:r>
          </w:p>
        </w:tc>
        <w:tc>
          <w:tcPr>
            <w:tcW w:w="928" w:type="pct"/>
            <w:shd w:val="clear" w:color="auto" w:fill="auto"/>
            <w:noWrap/>
            <w:vAlign w:val="bottom"/>
          </w:tcPr>
          <w:p w14:paraId="28E7607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341</w:t>
            </w:r>
          </w:p>
        </w:tc>
        <w:tc>
          <w:tcPr>
            <w:tcW w:w="928" w:type="pct"/>
            <w:shd w:val="clear" w:color="auto" w:fill="auto"/>
            <w:noWrap/>
            <w:vAlign w:val="bottom"/>
          </w:tcPr>
          <w:p w14:paraId="4F6DAB4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372</w:t>
            </w:r>
          </w:p>
        </w:tc>
        <w:tc>
          <w:tcPr>
            <w:tcW w:w="924" w:type="pct"/>
            <w:vAlign w:val="bottom"/>
          </w:tcPr>
          <w:p w14:paraId="3D506CA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287</w:t>
            </w:r>
          </w:p>
        </w:tc>
      </w:tr>
      <w:tr w:rsidR="009A36D2" w:rsidRPr="009A3489" w14:paraId="4BF91FF3" w14:textId="77777777" w:rsidTr="00281A92">
        <w:trPr>
          <w:trHeight w:val="20"/>
          <w:jc w:val="center"/>
        </w:trPr>
        <w:tc>
          <w:tcPr>
            <w:tcW w:w="1293" w:type="pct"/>
            <w:shd w:val="clear" w:color="auto" w:fill="auto"/>
            <w:noWrap/>
            <w:vAlign w:val="bottom"/>
            <w:hideMark/>
          </w:tcPr>
          <w:p w14:paraId="5498680B" w14:textId="77777777" w:rsidR="009A36D2" w:rsidRPr="009A3489" w:rsidRDefault="009A36D2" w:rsidP="00281A92">
            <w:pPr>
              <w:spacing w:before="0" w:after="0" w:line="240" w:lineRule="auto"/>
              <w:rPr>
                <w:color w:val="auto"/>
                <w:sz w:val="20"/>
                <w:szCs w:val="20"/>
              </w:rPr>
            </w:pPr>
            <w:r w:rsidRPr="009A3489">
              <w:rPr>
                <w:color w:val="auto"/>
                <w:sz w:val="20"/>
                <w:szCs w:val="20"/>
              </w:rPr>
              <w:t>7</w:t>
            </w:r>
          </w:p>
        </w:tc>
        <w:tc>
          <w:tcPr>
            <w:tcW w:w="927" w:type="pct"/>
            <w:shd w:val="clear" w:color="auto" w:fill="auto"/>
            <w:noWrap/>
            <w:vAlign w:val="bottom"/>
          </w:tcPr>
          <w:p w14:paraId="75DC58F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533</w:t>
            </w:r>
          </w:p>
        </w:tc>
        <w:tc>
          <w:tcPr>
            <w:tcW w:w="928" w:type="pct"/>
            <w:shd w:val="clear" w:color="auto" w:fill="auto"/>
            <w:noWrap/>
            <w:vAlign w:val="bottom"/>
          </w:tcPr>
          <w:p w14:paraId="214EF0CD"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285</w:t>
            </w:r>
          </w:p>
        </w:tc>
        <w:tc>
          <w:tcPr>
            <w:tcW w:w="928" w:type="pct"/>
            <w:shd w:val="clear" w:color="auto" w:fill="auto"/>
            <w:noWrap/>
            <w:vAlign w:val="bottom"/>
          </w:tcPr>
          <w:p w14:paraId="6C78AAE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306</w:t>
            </w:r>
          </w:p>
        </w:tc>
        <w:tc>
          <w:tcPr>
            <w:tcW w:w="924" w:type="pct"/>
            <w:vAlign w:val="bottom"/>
          </w:tcPr>
          <w:p w14:paraId="6C42711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215</w:t>
            </w:r>
          </w:p>
        </w:tc>
      </w:tr>
      <w:tr w:rsidR="009A36D2" w:rsidRPr="009A3489" w14:paraId="435E94EC" w14:textId="77777777" w:rsidTr="00281A92">
        <w:trPr>
          <w:trHeight w:val="20"/>
          <w:jc w:val="center"/>
        </w:trPr>
        <w:tc>
          <w:tcPr>
            <w:tcW w:w="1293" w:type="pct"/>
            <w:shd w:val="clear" w:color="auto" w:fill="auto"/>
            <w:noWrap/>
            <w:vAlign w:val="bottom"/>
            <w:hideMark/>
          </w:tcPr>
          <w:p w14:paraId="2F4B87B8" w14:textId="77777777" w:rsidR="009A36D2" w:rsidRPr="009A3489" w:rsidRDefault="009A36D2" w:rsidP="00281A92">
            <w:pPr>
              <w:spacing w:before="0" w:after="0" w:line="240" w:lineRule="auto"/>
              <w:rPr>
                <w:color w:val="auto"/>
                <w:sz w:val="20"/>
                <w:szCs w:val="20"/>
              </w:rPr>
            </w:pPr>
            <w:r w:rsidRPr="009A3489">
              <w:rPr>
                <w:color w:val="auto"/>
                <w:sz w:val="20"/>
                <w:szCs w:val="20"/>
              </w:rPr>
              <w:t>8</w:t>
            </w:r>
          </w:p>
        </w:tc>
        <w:tc>
          <w:tcPr>
            <w:tcW w:w="927" w:type="pct"/>
            <w:shd w:val="clear" w:color="auto" w:fill="auto"/>
            <w:noWrap/>
            <w:vAlign w:val="bottom"/>
          </w:tcPr>
          <w:p w14:paraId="7FA25A8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347</w:t>
            </w:r>
          </w:p>
        </w:tc>
        <w:tc>
          <w:tcPr>
            <w:tcW w:w="928" w:type="pct"/>
            <w:shd w:val="clear" w:color="auto" w:fill="auto"/>
            <w:noWrap/>
            <w:vAlign w:val="bottom"/>
          </w:tcPr>
          <w:p w14:paraId="1278188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239</w:t>
            </w:r>
          </w:p>
        </w:tc>
        <w:tc>
          <w:tcPr>
            <w:tcW w:w="928" w:type="pct"/>
            <w:shd w:val="clear" w:color="auto" w:fill="auto"/>
            <w:noWrap/>
            <w:vAlign w:val="bottom"/>
          </w:tcPr>
          <w:p w14:paraId="2452D0E3"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170</w:t>
            </w:r>
          </w:p>
        </w:tc>
        <w:tc>
          <w:tcPr>
            <w:tcW w:w="924" w:type="pct"/>
            <w:vAlign w:val="bottom"/>
          </w:tcPr>
          <w:p w14:paraId="18244B0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205</w:t>
            </w:r>
          </w:p>
        </w:tc>
      </w:tr>
      <w:tr w:rsidR="009A36D2" w:rsidRPr="009A3489" w14:paraId="1E202506" w14:textId="77777777" w:rsidTr="00281A92">
        <w:trPr>
          <w:trHeight w:val="20"/>
          <w:jc w:val="center"/>
        </w:trPr>
        <w:tc>
          <w:tcPr>
            <w:tcW w:w="1293" w:type="pct"/>
            <w:shd w:val="clear" w:color="auto" w:fill="auto"/>
            <w:noWrap/>
            <w:vAlign w:val="bottom"/>
            <w:hideMark/>
          </w:tcPr>
          <w:p w14:paraId="1E83EB9E" w14:textId="77777777" w:rsidR="009A36D2" w:rsidRPr="009A3489" w:rsidRDefault="009A36D2" w:rsidP="00281A92">
            <w:pPr>
              <w:spacing w:before="0" w:after="0" w:line="240" w:lineRule="auto"/>
              <w:rPr>
                <w:color w:val="auto"/>
                <w:sz w:val="20"/>
                <w:szCs w:val="20"/>
              </w:rPr>
            </w:pPr>
            <w:r w:rsidRPr="009A3489">
              <w:rPr>
                <w:color w:val="auto"/>
                <w:sz w:val="20"/>
                <w:szCs w:val="20"/>
              </w:rPr>
              <w:t>9</w:t>
            </w:r>
          </w:p>
        </w:tc>
        <w:tc>
          <w:tcPr>
            <w:tcW w:w="927" w:type="pct"/>
            <w:shd w:val="clear" w:color="auto" w:fill="auto"/>
            <w:noWrap/>
            <w:vAlign w:val="bottom"/>
          </w:tcPr>
          <w:p w14:paraId="45F2C39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461</w:t>
            </w:r>
          </w:p>
        </w:tc>
        <w:tc>
          <w:tcPr>
            <w:tcW w:w="928" w:type="pct"/>
            <w:shd w:val="clear" w:color="auto" w:fill="auto"/>
            <w:noWrap/>
            <w:vAlign w:val="bottom"/>
          </w:tcPr>
          <w:p w14:paraId="0D477F95"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341</w:t>
            </w:r>
          </w:p>
        </w:tc>
        <w:tc>
          <w:tcPr>
            <w:tcW w:w="928" w:type="pct"/>
            <w:shd w:val="clear" w:color="auto" w:fill="auto"/>
            <w:noWrap/>
            <w:vAlign w:val="bottom"/>
          </w:tcPr>
          <w:p w14:paraId="0AF6424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260</w:t>
            </w:r>
          </w:p>
        </w:tc>
        <w:tc>
          <w:tcPr>
            <w:tcW w:w="924" w:type="pct"/>
            <w:vAlign w:val="bottom"/>
          </w:tcPr>
          <w:p w14:paraId="2459A51E"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283</w:t>
            </w:r>
          </w:p>
        </w:tc>
      </w:tr>
      <w:tr w:rsidR="009A36D2" w:rsidRPr="009A3489" w14:paraId="0AECB3AD" w14:textId="77777777" w:rsidTr="00281A92">
        <w:trPr>
          <w:trHeight w:val="20"/>
          <w:jc w:val="center"/>
        </w:trPr>
        <w:tc>
          <w:tcPr>
            <w:tcW w:w="1293" w:type="pct"/>
            <w:shd w:val="clear" w:color="auto" w:fill="auto"/>
            <w:noWrap/>
            <w:vAlign w:val="bottom"/>
            <w:hideMark/>
          </w:tcPr>
          <w:p w14:paraId="523928B3" w14:textId="77777777" w:rsidR="009A36D2" w:rsidRPr="009A3489" w:rsidRDefault="009A36D2" w:rsidP="00281A92">
            <w:pPr>
              <w:spacing w:before="0" w:after="0" w:line="240" w:lineRule="auto"/>
              <w:rPr>
                <w:color w:val="auto"/>
                <w:sz w:val="20"/>
                <w:szCs w:val="20"/>
              </w:rPr>
            </w:pPr>
            <w:r w:rsidRPr="009A3489">
              <w:rPr>
                <w:color w:val="auto"/>
                <w:sz w:val="20"/>
                <w:szCs w:val="20"/>
              </w:rPr>
              <w:t>10</w:t>
            </w:r>
          </w:p>
        </w:tc>
        <w:tc>
          <w:tcPr>
            <w:tcW w:w="927" w:type="pct"/>
            <w:shd w:val="clear" w:color="auto" w:fill="auto"/>
            <w:noWrap/>
            <w:vAlign w:val="bottom"/>
          </w:tcPr>
          <w:p w14:paraId="75DB4CD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330</w:t>
            </w:r>
          </w:p>
        </w:tc>
        <w:tc>
          <w:tcPr>
            <w:tcW w:w="928" w:type="pct"/>
            <w:shd w:val="clear" w:color="auto" w:fill="auto"/>
            <w:noWrap/>
            <w:vAlign w:val="bottom"/>
          </w:tcPr>
          <w:p w14:paraId="791FD0EF"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282</w:t>
            </w:r>
          </w:p>
        </w:tc>
        <w:tc>
          <w:tcPr>
            <w:tcW w:w="928" w:type="pct"/>
            <w:shd w:val="clear" w:color="auto" w:fill="auto"/>
            <w:noWrap/>
            <w:vAlign w:val="bottom"/>
          </w:tcPr>
          <w:p w14:paraId="549F525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265</w:t>
            </w:r>
          </w:p>
        </w:tc>
        <w:tc>
          <w:tcPr>
            <w:tcW w:w="924" w:type="pct"/>
            <w:vAlign w:val="bottom"/>
          </w:tcPr>
          <w:p w14:paraId="7F26B4A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178</w:t>
            </w:r>
          </w:p>
        </w:tc>
      </w:tr>
      <w:tr w:rsidR="009A36D2" w:rsidRPr="009A3489" w14:paraId="694FF443" w14:textId="77777777" w:rsidTr="00281A92">
        <w:trPr>
          <w:trHeight w:val="20"/>
          <w:jc w:val="center"/>
        </w:trPr>
        <w:tc>
          <w:tcPr>
            <w:tcW w:w="1293" w:type="pct"/>
            <w:shd w:val="clear" w:color="auto" w:fill="auto"/>
            <w:noWrap/>
            <w:vAlign w:val="bottom"/>
            <w:hideMark/>
          </w:tcPr>
          <w:p w14:paraId="35B59B09" w14:textId="77777777" w:rsidR="009A36D2" w:rsidRPr="009A3489" w:rsidRDefault="009A36D2" w:rsidP="00281A92">
            <w:pPr>
              <w:spacing w:before="0" w:after="0" w:line="240" w:lineRule="auto"/>
              <w:rPr>
                <w:color w:val="auto"/>
                <w:sz w:val="20"/>
                <w:szCs w:val="20"/>
              </w:rPr>
            </w:pPr>
            <w:r w:rsidRPr="009A3489">
              <w:rPr>
                <w:color w:val="auto"/>
                <w:sz w:val="20"/>
                <w:szCs w:val="20"/>
              </w:rPr>
              <w:t>11</w:t>
            </w:r>
          </w:p>
        </w:tc>
        <w:tc>
          <w:tcPr>
            <w:tcW w:w="927" w:type="pct"/>
            <w:shd w:val="clear" w:color="auto" w:fill="auto"/>
            <w:noWrap/>
            <w:vAlign w:val="bottom"/>
          </w:tcPr>
          <w:p w14:paraId="13098209"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541</w:t>
            </w:r>
          </w:p>
        </w:tc>
        <w:tc>
          <w:tcPr>
            <w:tcW w:w="928" w:type="pct"/>
            <w:shd w:val="clear" w:color="auto" w:fill="auto"/>
            <w:noWrap/>
            <w:vAlign w:val="bottom"/>
          </w:tcPr>
          <w:p w14:paraId="6ECE5DF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312</w:t>
            </w:r>
          </w:p>
        </w:tc>
        <w:tc>
          <w:tcPr>
            <w:tcW w:w="928" w:type="pct"/>
            <w:shd w:val="clear" w:color="auto" w:fill="auto"/>
            <w:noWrap/>
            <w:vAlign w:val="bottom"/>
          </w:tcPr>
          <w:p w14:paraId="7DF7F6F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178</w:t>
            </w:r>
          </w:p>
        </w:tc>
        <w:tc>
          <w:tcPr>
            <w:tcW w:w="924" w:type="pct"/>
            <w:vAlign w:val="bottom"/>
          </w:tcPr>
          <w:p w14:paraId="2CCA55F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139</w:t>
            </w:r>
          </w:p>
        </w:tc>
      </w:tr>
      <w:tr w:rsidR="009A36D2" w:rsidRPr="009A3489" w14:paraId="4A8BA39E" w14:textId="77777777" w:rsidTr="00281A92">
        <w:trPr>
          <w:trHeight w:val="20"/>
          <w:jc w:val="center"/>
        </w:trPr>
        <w:tc>
          <w:tcPr>
            <w:tcW w:w="1293" w:type="pct"/>
            <w:shd w:val="clear" w:color="auto" w:fill="auto"/>
            <w:noWrap/>
            <w:vAlign w:val="bottom"/>
            <w:hideMark/>
          </w:tcPr>
          <w:p w14:paraId="3B5A95E4" w14:textId="77777777" w:rsidR="009A36D2" w:rsidRPr="009A3489" w:rsidRDefault="009A36D2" w:rsidP="00281A92">
            <w:pPr>
              <w:spacing w:before="0" w:after="0" w:line="240" w:lineRule="auto"/>
              <w:rPr>
                <w:color w:val="auto"/>
                <w:sz w:val="20"/>
                <w:szCs w:val="20"/>
              </w:rPr>
            </w:pPr>
            <w:r w:rsidRPr="009A3489">
              <w:rPr>
                <w:color w:val="auto"/>
                <w:sz w:val="20"/>
                <w:szCs w:val="20"/>
              </w:rPr>
              <w:t>12</w:t>
            </w:r>
          </w:p>
        </w:tc>
        <w:tc>
          <w:tcPr>
            <w:tcW w:w="927" w:type="pct"/>
            <w:shd w:val="clear" w:color="auto" w:fill="auto"/>
            <w:noWrap/>
            <w:vAlign w:val="bottom"/>
          </w:tcPr>
          <w:p w14:paraId="1D3526B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443</w:t>
            </w:r>
          </w:p>
        </w:tc>
        <w:tc>
          <w:tcPr>
            <w:tcW w:w="928" w:type="pct"/>
            <w:shd w:val="clear" w:color="auto" w:fill="auto"/>
            <w:noWrap/>
            <w:vAlign w:val="bottom"/>
          </w:tcPr>
          <w:p w14:paraId="1B1B20FC"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430</w:t>
            </w:r>
          </w:p>
        </w:tc>
        <w:tc>
          <w:tcPr>
            <w:tcW w:w="928" w:type="pct"/>
            <w:shd w:val="clear" w:color="auto" w:fill="auto"/>
            <w:noWrap/>
            <w:vAlign w:val="bottom"/>
          </w:tcPr>
          <w:p w14:paraId="7ACD299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302</w:t>
            </w:r>
          </w:p>
        </w:tc>
        <w:tc>
          <w:tcPr>
            <w:tcW w:w="924" w:type="pct"/>
            <w:vAlign w:val="bottom"/>
          </w:tcPr>
          <w:p w14:paraId="2BC1F2C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378</w:t>
            </w:r>
          </w:p>
        </w:tc>
      </w:tr>
      <w:tr w:rsidR="009A36D2" w:rsidRPr="009A3489" w14:paraId="7FB44D3C" w14:textId="77777777" w:rsidTr="00281A92">
        <w:trPr>
          <w:trHeight w:val="20"/>
          <w:jc w:val="center"/>
        </w:trPr>
        <w:tc>
          <w:tcPr>
            <w:tcW w:w="1293" w:type="pct"/>
            <w:shd w:val="clear" w:color="auto" w:fill="auto"/>
            <w:noWrap/>
            <w:vAlign w:val="bottom"/>
            <w:hideMark/>
          </w:tcPr>
          <w:p w14:paraId="6A10D0BE" w14:textId="77777777" w:rsidR="009A36D2" w:rsidRPr="009A3489" w:rsidRDefault="009A36D2" w:rsidP="00281A92">
            <w:pPr>
              <w:spacing w:before="0" w:after="0" w:line="240" w:lineRule="auto"/>
              <w:rPr>
                <w:color w:val="auto"/>
                <w:sz w:val="20"/>
                <w:szCs w:val="20"/>
              </w:rPr>
            </w:pPr>
            <w:r w:rsidRPr="009A3489">
              <w:rPr>
                <w:color w:val="auto"/>
                <w:sz w:val="20"/>
                <w:szCs w:val="20"/>
              </w:rPr>
              <w:t>13</w:t>
            </w:r>
          </w:p>
        </w:tc>
        <w:tc>
          <w:tcPr>
            <w:tcW w:w="927" w:type="pct"/>
            <w:shd w:val="clear" w:color="auto" w:fill="auto"/>
            <w:noWrap/>
            <w:vAlign w:val="bottom"/>
          </w:tcPr>
          <w:p w14:paraId="2224FBE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551</w:t>
            </w:r>
          </w:p>
        </w:tc>
        <w:tc>
          <w:tcPr>
            <w:tcW w:w="928" w:type="pct"/>
            <w:shd w:val="clear" w:color="auto" w:fill="auto"/>
            <w:noWrap/>
            <w:vAlign w:val="bottom"/>
          </w:tcPr>
          <w:p w14:paraId="7FE01EC2"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408</w:t>
            </w:r>
          </w:p>
        </w:tc>
        <w:tc>
          <w:tcPr>
            <w:tcW w:w="928" w:type="pct"/>
            <w:shd w:val="clear" w:color="auto" w:fill="auto"/>
            <w:noWrap/>
            <w:vAlign w:val="bottom"/>
          </w:tcPr>
          <w:p w14:paraId="5408FCE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268</w:t>
            </w:r>
          </w:p>
        </w:tc>
        <w:tc>
          <w:tcPr>
            <w:tcW w:w="924" w:type="pct"/>
            <w:vAlign w:val="bottom"/>
          </w:tcPr>
          <w:p w14:paraId="77D9F5B6"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181</w:t>
            </w:r>
          </w:p>
        </w:tc>
      </w:tr>
      <w:tr w:rsidR="009A36D2" w:rsidRPr="009A3489" w14:paraId="16CF48A4" w14:textId="77777777" w:rsidTr="00281A92">
        <w:trPr>
          <w:trHeight w:val="20"/>
          <w:jc w:val="center"/>
        </w:trPr>
        <w:tc>
          <w:tcPr>
            <w:tcW w:w="1293" w:type="pct"/>
            <w:shd w:val="clear" w:color="auto" w:fill="auto"/>
            <w:noWrap/>
            <w:vAlign w:val="bottom"/>
            <w:hideMark/>
          </w:tcPr>
          <w:p w14:paraId="4303FC65" w14:textId="77777777" w:rsidR="009A36D2" w:rsidRPr="009A3489" w:rsidRDefault="009A36D2" w:rsidP="00281A92">
            <w:pPr>
              <w:spacing w:before="0" w:after="0" w:line="240" w:lineRule="auto"/>
              <w:rPr>
                <w:color w:val="auto"/>
                <w:sz w:val="20"/>
                <w:szCs w:val="20"/>
              </w:rPr>
            </w:pPr>
            <w:r w:rsidRPr="009A3489">
              <w:rPr>
                <w:color w:val="auto"/>
                <w:sz w:val="20"/>
                <w:szCs w:val="20"/>
              </w:rPr>
              <w:t>14</w:t>
            </w:r>
          </w:p>
        </w:tc>
        <w:tc>
          <w:tcPr>
            <w:tcW w:w="927" w:type="pct"/>
            <w:shd w:val="clear" w:color="auto" w:fill="auto"/>
            <w:noWrap/>
            <w:vAlign w:val="bottom"/>
          </w:tcPr>
          <w:p w14:paraId="0AF6837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699</w:t>
            </w:r>
          </w:p>
        </w:tc>
        <w:tc>
          <w:tcPr>
            <w:tcW w:w="928" w:type="pct"/>
            <w:shd w:val="clear" w:color="auto" w:fill="auto"/>
            <w:noWrap/>
            <w:vAlign w:val="bottom"/>
          </w:tcPr>
          <w:p w14:paraId="2E1D23E0"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345</w:t>
            </w:r>
          </w:p>
        </w:tc>
        <w:tc>
          <w:tcPr>
            <w:tcW w:w="928" w:type="pct"/>
            <w:shd w:val="clear" w:color="auto" w:fill="auto"/>
            <w:noWrap/>
            <w:vAlign w:val="bottom"/>
          </w:tcPr>
          <w:p w14:paraId="2EF6071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233</w:t>
            </w:r>
          </w:p>
        </w:tc>
        <w:tc>
          <w:tcPr>
            <w:tcW w:w="924" w:type="pct"/>
            <w:vAlign w:val="bottom"/>
          </w:tcPr>
          <w:p w14:paraId="2F7AD878"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193</w:t>
            </w:r>
          </w:p>
        </w:tc>
      </w:tr>
      <w:tr w:rsidR="009A36D2" w:rsidRPr="009A3489" w14:paraId="3E799E12" w14:textId="77777777" w:rsidTr="00281A92">
        <w:trPr>
          <w:trHeight w:val="20"/>
          <w:jc w:val="center"/>
        </w:trPr>
        <w:tc>
          <w:tcPr>
            <w:tcW w:w="1293" w:type="pct"/>
            <w:shd w:val="clear" w:color="auto" w:fill="auto"/>
            <w:noWrap/>
            <w:vAlign w:val="bottom"/>
            <w:hideMark/>
          </w:tcPr>
          <w:p w14:paraId="29227546" w14:textId="77777777" w:rsidR="009A36D2" w:rsidRPr="009A3489" w:rsidRDefault="009A36D2" w:rsidP="00281A92">
            <w:pPr>
              <w:spacing w:before="0" w:after="0" w:line="240" w:lineRule="auto"/>
              <w:rPr>
                <w:color w:val="auto"/>
                <w:sz w:val="20"/>
                <w:szCs w:val="20"/>
              </w:rPr>
            </w:pPr>
            <w:r w:rsidRPr="009A3489">
              <w:rPr>
                <w:color w:val="auto"/>
                <w:sz w:val="20"/>
                <w:szCs w:val="20"/>
              </w:rPr>
              <w:t>15</w:t>
            </w:r>
          </w:p>
        </w:tc>
        <w:tc>
          <w:tcPr>
            <w:tcW w:w="927" w:type="pct"/>
            <w:shd w:val="clear" w:color="auto" w:fill="auto"/>
            <w:noWrap/>
            <w:vAlign w:val="bottom"/>
          </w:tcPr>
          <w:p w14:paraId="29F9D307"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699</w:t>
            </w:r>
          </w:p>
        </w:tc>
        <w:tc>
          <w:tcPr>
            <w:tcW w:w="928" w:type="pct"/>
            <w:shd w:val="clear" w:color="auto" w:fill="auto"/>
            <w:noWrap/>
            <w:vAlign w:val="bottom"/>
          </w:tcPr>
          <w:p w14:paraId="702169CA"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397</w:t>
            </w:r>
          </w:p>
        </w:tc>
        <w:tc>
          <w:tcPr>
            <w:tcW w:w="928" w:type="pct"/>
            <w:shd w:val="clear" w:color="auto" w:fill="auto"/>
            <w:noWrap/>
            <w:vAlign w:val="bottom"/>
          </w:tcPr>
          <w:p w14:paraId="4CE457B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269</w:t>
            </w:r>
          </w:p>
        </w:tc>
        <w:tc>
          <w:tcPr>
            <w:tcW w:w="924" w:type="pct"/>
            <w:vAlign w:val="bottom"/>
          </w:tcPr>
          <w:p w14:paraId="6F056ED4" w14:textId="77777777" w:rsidR="009A36D2" w:rsidRPr="009A3489" w:rsidRDefault="009A36D2" w:rsidP="00281A92">
            <w:pPr>
              <w:spacing w:before="0" w:after="0" w:line="240" w:lineRule="auto"/>
              <w:jc w:val="right"/>
              <w:rPr>
                <w:color w:val="auto"/>
                <w:sz w:val="20"/>
                <w:szCs w:val="20"/>
              </w:rPr>
            </w:pPr>
            <w:r w:rsidRPr="009A3489">
              <w:rPr>
                <w:color w:val="000000"/>
                <w:sz w:val="22"/>
                <w:szCs w:val="22"/>
              </w:rPr>
              <w:t>214</w:t>
            </w:r>
          </w:p>
        </w:tc>
      </w:tr>
      <w:tr w:rsidR="009A36D2" w:rsidRPr="009A3489" w14:paraId="0A79A435" w14:textId="77777777" w:rsidTr="00281A92">
        <w:trPr>
          <w:trHeight w:val="20"/>
          <w:jc w:val="center"/>
        </w:trPr>
        <w:tc>
          <w:tcPr>
            <w:tcW w:w="1293" w:type="pct"/>
            <w:shd w:val="clear" w:color="auto" w:fill="auto"/>
            <w:noWrap/>
            <w:vAlign w:val="bottom"/>
            <w:hideMark/>
          </w:tcPr>
          <w:p w14:paraId="5AB1F779"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 xml:space="preserve">Grouped Mean </w:t>
            </w:r>
          </w:p>
        </w:tc>
        <w:tc>
          <w:tcPr>
            <w:tcW w:w="927" w:type="pct"/>
            <w:shd w:val="clear" w:color="auto" w:fill="auto"/>
            <w:noWrap/>
            <w:vAlign w:val="bottom"/>
          </w:tcPr>
          <w:p w14:paraId="786FBC1D"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467</w:t>
            </w:r>
          </w:p>
        </w:tc>
        <w:tc>
          <w:tcPr>
            <w:tcW w:w="928" w:type="pct"/>
            <w:shd w:val="clear" w:color="auto" w:fill="auto"/>
            <w:noWrap/>
            <w:vAlign w:val="bottom"/>
          </w:tcPr>
          <w:p w14:paraId="71909899"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314</w:t>
            </w:r>
          </w:p>
        </w:tc>
        <w:tc>
          <w:tcPr>
            <w:tcW w:w="928" w:type="pct"/>
            <w:shd w:val="clear" w:color="auto" w:fill="auto"/>
            <w:noWrap/>
            <w:vAlign w:val="bottom"/>
          </w:tcPr>
          <w:p w14:paraId="533B0D5B"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263</w:t>
            </w:r>
          </w:p>
        </w:tc>
        <w:tc>
          <w:tcPr>
            <w:tcW w:w="924" w:type="pct"/>
            <w:vAlign w:val="bottom"/>
          </w:tcPr>
          <w:p w14:paraId="1B7C4BEE"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231</w:t>
            </w:r>
          </w:p>
        </w:tc>
      </w:tr>
      <w:tr w:rsidR="009A36D2" w:rsidRPr="009A3489" w14:paraId="735BCB11" w14:textId="77777777" w:rsidTr="00281A92">
        <w:trPr>
          <w:trHeight w:val="20"/>
          <w:jc w:val="center"/>
        </w:trPr>
        <w:tc>
          <w:tcPr>
            <w:tcW w:w="1293" w:type="pct"/>
            <w:shd w:val="clear" w:color="auto" w:fill="auto"/>
            <w:noWrap/>
            <w:vAlign w:val="bottom"/>
          </w:tcPr>
          <w:p w14:paraId="779D4850" w14:textId="77777777" w:rsidR="009A36D2" w:rsidRPr="009A3489" w:rsidRDefault="009A36D2" w:rsidP="00281A92">
            <w:pPr>
              <w:spacing w:before="0" w:after="0" w:line="240" w:lineRule="auto"/>
              <w:rPr>
                <w:b/>
                <w:bCs/>
                <w:color w:val="auto"/>
                <w:sz w:val="20"/>
                <w:szCs w:val="20"/>
              </w:rPr>
            </w:pPr>
            <w:r w:rsidRPr="009A3489">
              <w:rPr>
                <w:b/>
                <w:bCs/>
                <w:color w:val="auto"/>
                <w:sz w:val="20"/>
                <w:szCs w:val="20"/>
              </w:rPr>
              <w:t>SD</w:t>
            </w:r>
          </w:p>
        </w:tc>
        <w:tc>
          <w:tcPr>
            <w:tcW w:w="927" w:type="pct"/>
            <w:shd w:val="clear" w:color="auto" w:fill="auto"/>
            <w:noWrap/>
            <w:vAlign w:val="bottom"/>
          </w:tcPr>
          <w:p w14:paraId="67EC14B4"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135</w:t>
            </w:r>
          </w:p>
        </w:tc>
        <w:tc>
          <w:tcPr>
            <w:tcW w:w="928" w:type="pct"/>
            <w:shd w:val="clear" w:color="auto" w:fill="auto"/>
            <w:noWrap/>
            <w:vAlign w:val="bottom"/>
          </w:tcPr>
          <w:p w14:paraId="66E3301B"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71</w:t>
            </w:r>
          </w:p>
        </w:tc>
        <w:tc>
          <w:tcPr>
            <w:tcW w:w="928" w:type="pct"/>
            <w:shd w:val="clear" w:color="auto" w:fill="auto"/>
            <w:noWrap/>
            <w:vAlign w:val="bottom"/>
          </w:tcPr>
          <w:p w14:paraId="34B9592C"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71</w:t>
            </w:r>
          </w:p>
        </w:tc>
        <w:tc>
          <w:tcPr>
            <w:tcW w:w="924" w:type="pct"/>
            <w:vAlign w:val="bottom"/>
          </w:tcPr>
          <w:p w14:paraId="459EACE6" w14:textId="77777777" w:rsidR="009A36D2" w:rsidRPr="009A3489" w:rsidRDefault="009A36D2" w:rsidP="00281A92">
            <w:pPr>
              <w:spacing w:before="0" w:after="0" w:line="240" w:lineRule="auto"/>
              <w:jc w:val="right"/>
              <w:rPr>
                <w:b/>
                <w:bCs/>
                <w:color w:val="auto"/>
                <w:sz w:val="20"/>
                <w:szCs w:val="20"/>
              </w:rPr>
            </w:pPr>
            <w:r w:rsidRPr="009A3489">
              <w:rPr>
                <w:b/>
                <w:bCs/>
                <w:color w:val="000000"/>
                <w:sz w:val="22"/>
                <w:szCs w:val="22"/>
              </w:rPr>
              <w:t>62</w:t>
            </w:r>
          </w:p>
        </w:tc>
      </w:tr>
    </w:tbl>
    <w:p w14:paraId="088E066E" w14:textId="77777777" w:rsidR="00DE330E" w:rsidRPr="00DE330E" w:rsidRDefault="00DE330E" w:rsidP="00DE330E">
      <w:pPr>
        <w:rPr>
          <w:lang w:val="en-MY" w:eastAsia="en-MY"/>
        </w:rPr>
      </w:pPr>
    </w:p>
    <w:p w14:paraId="5DFD9444" w14:textId="642DE23F" w:rsidR="00CC2CD3" w:rsidRPr="009D4627" w:rsidRDefault="00CC2CD3" w:rsidP="00CC2CD3">
      <w:pPr>
        <w:rPr>
          <w:lang w:val="en-MY"/>
        </w:rPr>
      </w:pPr>
      <w:bookmarkStart w:id="623" w:name="_Toc70087851"/>
      <w:bookmarkEnd w:id="621"/>
    </w:p>
    <w:p w14:paraId="4F4D7A28" w14:textId="6A542041" w:rsidR="00CC2CD3" w:rsidRPr="009D4627" w:rsidRDefault="00CC2CD3" w:rsidP="00CC2CD3">
      <w:pPr>
        <w:rPr>
          <w:lang w:val="en-MY"/>
        </w:rPr>
      </w:pPr>
    </w:p>
    <w:p w14:paraId="386641A5" w14:textId="45F11D39" w:rsidR="00CC2CD3" w:rsidRPr="009D4627" w:rsidRDefault="00CC2CD3" w:rsidP="00CC2CD3">
      <w:pPr>
        <w:rPr>
          <w:lang w:val="en-MY"/>
        </w:rPr>
      </w:pPr>
    </w:p>
    <w:p w14:paraId="166C9D31" w14:textId="77777777" w:rsidR="00920DD4" w:rsidRPr="009D4627" w:rsidRDefault="00920DD4" w:rsidP="00C4130D">
      <w:pPr>
        <w:pStyle w:val="Caption"/>
        <w:sectPr w:rsidR="00920DD4" w:rsidRPr="009D4627" w:rsidSect="00477959">
          <w:pgSz w:w="11906" w:h="16838" w:code="9"/>
          <w:pgMar w:top="1440" w:right="1440" w:bottom="1440" w:left="1440" w:header="708" w:footer="708" w:gutter="0"/>
          <w:cols w:space="708"/>
          <w:docGrid w:linePitch="360"/>
        </w:sectPr>
      </w:pPr>
    </w:p>
    <w:p w14:paraId="790375AB" w14:textId="5B53EB38" w:rsidR="004808A2" w:rsidRPr="009D4627" w:rsidRDefault="00DD1B16" w:rsidP="00C4130D">
      <w:pPr>
        <w:pStyle w:val="Caption"/>
      </w:pPr>
      <w:bookmarkStart w:id="624" w:name="_Toc70087855"/>
      <w:bookmarkStart w:id="625" w:name="_Toc99444692"/>
      <w:bookmarkEnd w:id="623"/>
      <w:r>
        <w:lastRenderedPageBreak/>
        <w:t>A</w:t>
      </w:r>
      <w:r w:rsidR="00E44E28" w:rsidRPr="009D4627">
        <w:t>ppendix 3.</w:t>
      </w:r>
      <w:r w:rsidR="00DE330E">
        <w:fldChar w:fldCharType="begin"/>
      </w:r>
      <w:r w:rsidR="00DE330E">
        <w:instrText xml:space="preserve"> SEQ Appendix_3. \* ARABIC </w:instrText>
      </w:r>
      <w:r w:rsidR="00DE330E">
        <w:fldChar w:fldCharType="separate"/>
      </w:r>
      <w:r w:rsidR="00E268F6">
        <w:rPr>
          <w:noProof/>
        </w:rPr>
        <w:t>4</w:t>
      </w:r>
      <w:r w:rsidR="00DE330E">
        <w:fldChar w:fldCharType="end"/>
      </w:r>
      <w:r w:rsidR="00E44E28" w:rsidRPr="009D4627">
        <w:t xml:space="preserve">: </w:t>
      </w:r>
      <w:r w:rsidR="004808A2" w:rsidRPr="009D4627">
        <w:t>Mean horizontal saccad</w:t>
      </w:r>
      <w:r w:rsidR="004F3507" w:rsidRPr="009D4627">
        <w:t>ic</w:t>
      </w:r>
      <w:r w:rsidR="004808A2" w:rsidRPr="009D4627">
        <w:t xml:space="preserve"> a) latency, b) peak velocity and c) gain, of individual participant from three age groups (young, middle and old</w:t>
      </w:r>
      <w:r w:rsidR="008D5712" w:rsidRPr="009D4627">
        <w:t>er</w:t>
      </w:r>
      <w:r w:rsidR="004808A2" w:rsidRPr="009D4627">
        <w:t>) with norm</w:t>
      </w:r>
      <w:r w:rsidR="00BC5FD0" w:rsidRPr="009D4627">
        <w:t>a</w:t>
      </w:r>
      <w:r w:rsidR="004808A2" w:rsidRPr="009D4627">
        <w:t xml:space="preserve">l BSV. The result of </w:t>
      </w:r>
      <w:r w:rsidR="00E44E28" w:rsidRPr="009D4627">
        <w:t>RE</w:t>
      </w:r>
      <w:r w:rsidR="004808A2" w:rsidRPr="009D4627">
        <w:t xml:space="preserve"> was presented.</w:t>
      </w:r>
      <w:bookmarkEnd w:id="624"/>
      <w:bookmarkEnd w:id="625"/>
      <w:r w:rsidR="004808A2" w:rsidRPr="009D4627">
        <w:t xml:space="preserve"> </w:t>
      </w:r>
    </w:p>
    <w:tbl>
      <w:tblPr>
        <w:tblW w:w="5000" w:type="pct"/>
        <w:jc w:val="center"/>
        <w:tblLook w:val="04A0" w:firstRow="1" w:lastRow="0" w:firstColumn="1" w:lastColumn="0" w:noHBand="0" w:noVBand="1"/>
      </w:tblPr>
      <w:tblGrid>
        <w:gridCol w:w="2009"/>
        <w:gridCol w:w="157"/>
        <w:gridCol w:w="995"/>
        <w:gridCol w:w="92"/>
        <w:gridCol w:w="99"/>
        <w:gridCol w:w="967"/>
        <w:gridCol w:w="69"/>
        <w:gridCol w:w="155"/>
        <w:gridCol w:w="903"/>
        <w:gridCol w:w="70"/>
        <w:gridCol w:w="9"/>
        <w:gridCol w:w="985"/>
        <w:gridCol w:w="97"/>
        <w:gridCol w:w="81"/>
        <w:gridCol w:w="1078"/>
        <w:gridCol w:w="87"/>
        <w:gridCol w:w="1163"/>
      </w:tblGrid>
      <w:tr w:rsidR="009A36D2" w:rsidRPr="009A36D2" w14:paraId="15BFE48B" w14:textId="77777777" w:rsidTr="00281A92">
        <w:trPr>
          <w:trHeight w:val="20"/>
          <w:jc w:val="center"/>
        </w:trPr>
        <w:tc>
          <w:tcPr>
            <w:tcW w:w="111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CFFD1" w14:textId="77777777" w:rsidR="009A36D2" w:rsidRPr="009A36D2" w:rsidRDefault="009A36D2" w:rsidP="00281A92">
            <w:pPr>
              <w:numPr>
                <w:ilvl w:val="1"/>
                <w:numId w:val="93"/>
              </w:numPr>
              <w:tabs>
                <w:tab w:val="left" w:pos="525"/>
              </w:tabs>
              <w:spacing w:before="0" w:after="0" w:line="240" w:lineRule="auto"/>
              <w:ind w:left="157" w:right="417" w:hanging="270"/>
              <w:contextualSpacing/>
              <w:jc w:val="center"/>
              <w:rPr>
                <w:b/>
                <w:bCs/>
                <w:color w:val="auto"/>
                <w:sz w:val="20"/>
                <w:szCs w:val="20"/>
              </w:rPr>
            </w:pPr>
            <w:bookmarkStart w:id="626" w:name="_Toc70087856"/>
            <w:r w:rsidRPr="009A36D2">
              <w:rPr>
                <w:b/>
                <w:bCs/>
                <w:color w:val="auto"/>
                <w:sz w:val="20"/>
                <w:szCs w:val="20"/>
              </w:rPr>
              <w:t>Latency (</w:t>
            </w:r>
            <w:proofErr w:type="spellStart"/>
            <w:r w:rsidRPr="009A36D2">
              <w:rPr>
                <w:b/>
                <w:bCs/>
                <w:color w:val="auto"/>
                <w:sz w:val="20"/>
                <w:szCs w:val="20"/>
              </w:rPr>
              <w:t>ms</w:t>
            </w:r>
            <w:proofErr w:type="spellEnd"/>
            <w:r w:rsidRPr="009A36D2">
              <w:rPr>
                <w:b/>
                <w:bCs/>
                <w:color w:val="auto"/>
                <w:sz w:val="20"/>
                <w:szCs w:val="20"/>
              </w:rPr>
              <w:t>)</w:t>
            </w:r>
          </w:p>
        </w:tc>
        <w:tc>
          <w:tcPr>
            <w:tcW w:w="1906" w:type="pct"/>
            <w:gridSpan w:val="8"/>
            <w:tcBorders>
              <w:top w:val="single" w:sz="4" w:space="0" w:color="auto"/>
              <w:left w:val="nil"/>
              <w:bottom w:val="single" w:sz="4" w:space="0" w:color="auto"/>
              <w:right w:val="single" w:sz="4" w:space="0" w:color="auto"/>
            </w:tcBorders>
            <w:shd w:val="clear" w:color="auto" w:fill="auto"/>
            <w:noWrap/>
            <w:vAlign w:val="bottom"/>
            <w:hideMark/>
          </w:tcPr>
          <w:p w14:paraId="405EA46E" w14:textId="77777777" w:rsidR="009A36D2" w:rsidRPr="009A36D2" w:rsidRDefault="009A36D2" w:rsidP="00281A92">
            <w:pPr>
              <w:spacing w:before="0" w:after="0" w:line="240" w:lineRule="auto"/>
              <w:jc w:val="center"/>
              <w:rPr>
                <w:b/>
                <w:bCs/>
                <w:color w:val="auto"/>
                <w:sz w:val="20"/>
                <w:szCs w:val="20"/>
              </w:rPr>
            </w:pPr>
            <w:r w:rsidRPr="009A36D2">
              <w:rPr>
                <w:b/>
                <w:bCs/>
                <w:color w:val="auto"/>
                <w:sz w:val="20"/>
                <w:szCs w:val="20"/>
              </w:rPr>
              <w:t xml:space="preserve">Leftward saccades </w:t>
            </w:r>
          </w:p>
        </w:tc>
        <w:tc>
          <w:tcPr>
            <w:tcW w:w="1980" w:type="pct"/>
            <w:gridSpan w:val="8"/>
            <w:tcBorders>
              <w:top w:val="single" w:sz="4" w:space="0" w:color="auto"/>
              <w:left w:val="nil"/>
              <w:bottom w:val="single" w:sz="4" w:space="0" w:color="auto"/>
              <w:right w:val="single" w:sz="4" w:space="0" w:color="auto"/>
            </w:tcBorders>
            <w:shd w:val="clear" w:color="auto" w:fill="auto"/>
            <w:noWrap/>
            <w:vAlign w:val="bottom"/>
            <w:hideMark/>
          </w:tcPr>
          <w:p w14:paraId="09D6EFF3" w14:textId="77777777" w:rsidR="009A36D2" w:rsidRPr="009A36D2" w:rsidRDefault="009A36D2" w:rsidP="00281A92">
            <w:pPr>
              <w:spacing w:before="0" w:after="0" w:line="240" w:lineRule="auto"/>
              <w:jc w:val="center"/>
              <w:rPr>
                <w:b/>
                <w:bCs/>
                <w:color w:val="auto"/>
                <w:sz w:val="20"/>
                <w:szCs w:val="20"/>
              </w:rPr>
            </w:pPr>
            <w:r w:rsidRPr="009A36D2">
              <w:rPr>
                <w:b/>
                <w:bCs/>
                <w:color w:val="auto"/>
                <w:sz w:val="20"/>
                <w:szCs w:val="20"/>
              </w:rPr>
              <w:t>Rightward saccades</w:t>
            </w:r>
          </w:p>
        </w:tc>
      </w:tr>
      <w:tr w:rsidR="009A36D2" w:rsidRPr="009A36D2" w14:paraId="4C70A53B"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DAF62DD"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Young (18-39 years old)</w:t>
            </w:r>
          </w:p>
        </w:tc>
      </w:tr>
      <w:tr w:rsidR="009A36D2" w:rsidRPr="009A36D2" w14:paraId="03759BA3" w14:textId="77777777" w:rsidTr="00281A92">
        <w:trPr>
          <w:trHeight w:val="20"/>
          <w:jc w:val="center"/>
        </w:trPr>
        <w:tc>
          <w:tcPr>
            <w:tcW w:w="1114" w:type="pct"/>
            <w:tcBorders>
              <w:top w:val="nil"/>
              <w:left w:val="single" w:sz="4" w:space="0" w:color="auto"/>
              <w:bottom w:val="single" w:sz="4" w:space="0" w:color="auto"/>
              <w:right w:val="single" w:sz="4" w:space="0" w:color="auto"/>
              <w:tl2br w:val="single" w:sz="4" w:space="0" w:color="auto"/>
            </w:tcBorders>
            <w:shd w:val="clear" w:color="auto" w:fill="auto"/>
            <w:hideMark/>
          </w:tcPr>
          <w:p w14:paraId="187FA679"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742221DB" w14:textId="77777777" w:rsidR="009A36D2" w:rsidRPr="009A36D2" w:rsidRDefault="009A36D2" w:rsidP="00281A92">
            <w:pPr>
              <w:spacing w:before="0" w:after="0" w:line="240" w:lineRule="auto"/>
              <w:rPr>
                <w:color w:val="auto"/>
                <w:sz w:val="20"/>
                <w:szCs w:val="20"/>
              </w:rPr>
            </w:pPr>
          </w:p>
          <w:p w14:paraId="5C79CDB6"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39" w:type="pct"/>
            <w:gridSpan w:val="2"/>
            <w:tcBorders>
              <w:top w:val="nil"/>
              <w:left w:val="nil"/>
              <w:bottom w:val="single" w:sz="4" w:space="0" w:color="auto"/>
              <w:right w:val="single" w:sz="4" w:space="0" w:color="auto"/>
            </w:tcBorders>
            <w:shd w:val="clear" w:color="auto" w:fill="auto"/>
            <w:noWrap/>
            <w:hideMark/>
          </w:tcPr>
          <w:p w14:paraId="47D5A266"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42" w:type="pct"/>
            <w:gridSpan w:val="3"/>
            <w:tcBorders>
              <w:top w:val="nil"/>
              <w:left w:val="nil"/>
              <w:bottom w:val="single" w:sz="4" w:space="0" w:color="auto"/>
              <w:right w:val="single" w:sz="4" w:space="0" w:color="auto"/>
            </w:tcBorders>
            <w:shd w:val="clear" w:color="auto" w:fill="auto"/>
            <w:noWrap/>
            <w:hideMark/>
          </w:tcPr>
          <w:p w14:paraId="69C3F061"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25" w:type="pct"/>
            <w:gridSpan w:val="3"/>
            <w:tcBorders>
              <w:top w:val="nil"/>
              <w:left w:val="nil"/>
              <w:bottom w:val="single" w:sz="4" w:space="0" w:color="auto"/>
              <w:right w:val="single" w:sz="4" w:space="0" w:color="auto"/>
            </w:tcBorders>
            <w:shd w:val="clear" w:color="auto" w:fill="auto"/>
            <w:noWrap/>
            <w:hideMark/>
          </w:tcPr>
          <w:p w14:paraId="1CE9A477"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4" w:type="pct"/>
            <w:gridSpan w:val="4"/>
            <w:tcBorders>
              <w:top w:val="nil"/>
              <w:left w:val="nil"/>
              <w:bottom w:val="single" w:sz="4" w:space="0" w:color="auto"/>
              <w:right w:val="single" w:sz="4" w:space="0" w:color="auto"/>
            </w:tcBorders>
            <w:shd w:val="clear" w:color="auto" w:fill="auto"/>
            <w:noWrap/>
            <w:hideMark/>
          </w:tcPr>
          <w:p w14:paraId="4A5719EF"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3" w:type="pct"/>
            <w:gridSpan w:val="2"/>
            <w:tcBorders>
              <w:top w:val="nil"/>
              <w:left w:val="nil"/>
              <w:bottom w:val="single" w:sz="4" w:space="0" w:color="auto"/>
              <w:right w:val="single" w:sz="4" w:space="0" w:color="auto"/>
            </w:tcBorders>
            <w:shd w:val="clear" w:color="auto" w:fill="auto"/>
            <w:noWrap/>
            <w:hideMark/>
          </w:tcPr>
          <w:p w14:paraId="0A8AC237"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93" w:type="pct"/>
            <w:gridSpan w:val="2"/>
            <w:tcBorders>
              <w:top w:val="nil"/>
              <w:left w:val="nil"/>
              <w:bottom w:val="single" w:sz="4" w:space="0" w:color="auto"/>
              <w:right w:val="single" w:sz="4" w:space="0" w:color="auto"/>
            </w:tcBorders>
            <w:shd w:val="clear" w:color="auto" w:fill="auto"/>
            <w:noWrap/>
            <w:hideMark/>
          </w:tcPr>
          <w:p w14:paraId="08496A09"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6B3C17C5"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51E070D0"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2A54C909" w14:textId="77777777" w:rsidR="009A36D2" w:rsidRPr="009A36D2" w:rsidRDefault="009A36D2" w:rsidP="00281A92">
            <w:pPr>
              <w:spacing w:before="0" w:after="0" w:line="240" w:lineRule="auto"/>
              <w:rPr>
                <w:color w:val="auto"/>
                <w:sz w:val="20"/>
                <w:szCs w:val="20"/>
              </w:rPr>
            </w:pPr>
            <w:r w:rsidRPr="009A36D2">
              <w:rPr>
                <w:color w:val="000000"/>
                <w:sz w:val="22"/>
                <w:szCs w:val="22"/>
              </w:rPr>
              <w:t>202.3</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11B12036" w14:textId="77777777" w:rsidR="009A36D2" w:rsidRPr="009A36D2" w:rsidRDefault="009A36D2" w:rsidP="00281A92">
            <w:pPr>
              <w:spacing w:before="0" w:after="0" w:line="240" w:lineRule="auto"/>
              <w:rPr>
                <w:color w:val="auto"/>
                <w:sz w:val="20"/>
                <w:szCs w:val="20"/>
              </w:rPr>
            </w:pPr>
            <w:r w:rsidRPr="009A36D2">
              <w:rPr>
                <w:color w:val="000000"/>
                <w:sz w:val="22"/>
                <w:szCs w:val="22"/>
              </w:rPr>
              <w:t>204.8</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532D6519" w14:textId="77777777" w:rsidR="009A36D2" w:rsidRPr="009A36D2" w:rsidRDefault="009A36D2" w:rsidP="00281A92">
            <w:pPr>
              <w:spacing w:before="0" w:after="0" w:line="240" w:lineRule="auto"/>
              <w:rPr>
                <w:color w:val="auto"/>
                <w:sz w:val="20"/>
                <w:szCs w:val="20"/>
              </w:rPr>
            </w:pPr>
            <w:r w:rsidRPr="009A36D2">
              <w:rPr>
                <w:color w:val="000000"/>
                <w:sz w:val="22"/>
                <w:szCs w:val="22"/>
              </w:rPr>
              <w:t>200.7</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0F8C53BD" w14:textId="77777777" w:rsidR="009A36D2" w:rsidRPr="009A36D2" w:rsidRDefault="009A36D2" w:rsidP="00281A92">
            <w:pPr>
              <w:spacing w:before="0" w:after="0" w:line="240" w:lineRule="auto"/>
              <w:rPr>
                <w:color w:val="auto"/>
                <w:sz w:val="20"/>
                <w:szCs w:val="20"/>
              </w:rPr>
            </w:pPr>
            <w:r w:rsidRPr="009A36D2">
              <w:rPr>
                <w:color w:val="000000"/>
                <w:sz w:val="22"/>
                <w:szCs w:val="22"/>
              </w:rPr>
              <w:t>185.1</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15754378" w14:textId="77777777" w:rsidR="009A36D2" w:rsidRPr="009A36D2" w:rsidRDefault="009A36D2" w:rsidP="00281A92">
            <w:pPr>
              <w:spacing w:before="0" w:after="0" w:line="240" w:lineRule="auto"/>
              <w:rPr>
                <w:color w:val="auto"/>
                <w:sz w:val="20"/>
                <w:szCs w:val="20"/>
              </w:rPr>
            </w:pPr>
            <w:r w:rsidRPr="009A36D2">
              <w:rPr>
                <w:color w:val="000000"/>
                <w:sz w:val="22"/>
                <w:szCs w:val="22"/>
              </w:rPr>
              <w:t>183.7</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4EAA02D9" w14:textId="77777777" w:rsidR="009A36D2" w:rsidRPr="009A36D2" w:rsidRDefault="009A36D2" w:rsidP="00281A92">
            <w:pPr>
              <w:spacing w:before="0" w:after="0" w:line="240" w:lineRule="auto"/>
              <w:rPr>
                <w:color w:val="auto"/>
                <w:sz w:val="20"/>
                <w:szCs w:val="20"/>
              </w:rPr>
            </w:pPr>
            <w:r w:rsidRPr="009A36D2">
              <w:rPr>
                <w:color w:val="000000"/>
                <w:sz w:val="22"/>
                <w:szCs w:val="22"/>
              </w:rPr>
              <w:t>205.7</w:t>
            </w:r>
          </w:p>
        </w:tc>
      </w:tr>
      <w:tr w:rsidR="009A36D2" w:rsidRPr="009A36D2" w14:paraId="78D61162"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B68D1B4"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7F41F161" w14:textId="77777777" w:rsidR="009A36D2" w:rsidRPr="009A36D2" w:rsidRDefault="009A36D2" w:rsidP="00281A92">
            <w:pPr>
              <w:spacing w:before="0" w:after="0" w:line="240" w:lineRule="auto"/>
              <w:rPr>
                <w:color w:val="auto"/>
                <w:sz w:val="20"/>
                <w:szCs w:val="20"/>
              </w:rPr>
            </w:pPr>
            <w:r w:rsidRPr="009A36D2">
              <w:rPr>
                <w:color w:val="000000"/>
                <w:sz w:val="22"/>
                <w:szCs w:val="22"/>
              </w:rPr>
              <w:t>254.8</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1FD61458" w14:textId="77777777" w:rsidR="009A36D2" w:rsidRPr="009A36D2" w:rsidRDefault="009A36D2" w:rsidP="00281A92">
            <w:pPr>
              <w:spacing w:before="0" w:after="0" w:line="240" w:lineRule="auto"/>
              <w:rPr>
                <w:color w:val="auto"/>
                <w:sz w:val="20"/>
                <w:szCs w:val="20"/>
              </w:rPr>
            </w:pPr>
            <w:r w:rsidRPr="009A36D2">
              <w:rPr>
                <w:color w:val="000000"/>
                <w:sz w:val="22"/>
                <w:szCs w:val="22"/>
              </w:rPr>
              <w:t>194.6</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72D7426A" w14:textId="77777777" w:rsidR="009A36D2" w:rsidRPr="009A36D2" w:rsidRDefault="009A36D2" w:rsidP="00281A92">
            <w:pPr>
              <w:spacing w:before="0" w:after="0" w:line="240" w:lineRule="auto"/>
              <w:rPr>
                <w:color w:val="auto"/>
                <w:sz w:val="20"/>
                <w:szCs w:val="20"/>
              </w:rPr>
            </w:pPr>
            <w:r w:rsidRPr="009A36D2">
              <w:rPr>
                <w:color w:val="000000"/>
                <w:sz w:val="22"/>
                <w:szCs w:val="22"/>
              </w:rPr>
              <w:t>147.4</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471BE387" w14:textId="77777777" w:rsidR="009A36D2" w:rsidRPr="009A36D2" w:rsidRDefault="009A36D2" w:rsidP="00281A92">
            <w:pPr>
              <w:spacing w:before="0" w:after="0" w:line="240" w:lineRule="auto"/>
              <w:rPr>
                <w:color w:val="auto"/>
                <w:sz w:val="20"/>
                <w:szCs w:val="20"/>
              </w:rPr>
            </w:pPr>
            <w:r w:rsidRPr="009A36D2">
              <w:rPr>
                <w:color w:val="000000"/>
                <w:sz w:val="22"/>
                <w:szCs w:val="22"/>
              </w:rPr>
              <w:t>160.5</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13F4982C" w14:textId="77777777" w:rsidR="009A36D2" w:rsidRPr="009A36D2" w:rsidRDefault="009A36D2" w:rsidP="00281A92">
            <w:pPr>
              <w:spacing w:before="0" w:after="0" w:line="240" w:lineRule="auto"/>
              <w:rPr>
                <w:color w:val="auto"/>
                <w:sz w:val="20"/>
                <w:szCs w:val="20"/>
              </w:rPr>
            </w:pPr>
            <w:r w:rsidRPr="009A36D2">
              <w:rPr>
                <w:color w:val="000000"/>
                <w:sz w:val="22"/>
                <w:szCs w:val="22"/>
              </w:rPr>
              <w:t>185.5</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297E9991" w14:textId="77777777" w:rsidR="009A36D2" w:rsidRPr="009A36D2" w:rsidRDefault="009A36D2" w:rsidP="00281A92">
            <w:pPr>
              <w:spacing w:before="0" w:after="0" w:line="240" w:lineRule="auto"/>
              <w:rPr>
                <w:color w:val="auto"/>
                <w:sz w:val="20"/>
                <w:szCs w:val="20"/>
              </w:rPr>
            </w:pPr>
            <w:r w:rsidRPr="009A36D2">
              <w:rPr>
                <w:color w:val="000000"/>
                <w:sz w:val="22"/>
                <w:szCs w:val="22"/>
              </w:rPr>
              <w:t>239.8</w:t>
            </w:r>
          </w:p>
        </w:tc>
      </w:tr>
      <w:tr w:rsidR="009A36D2" w:rsidRPr="009A36D2" w14:paraId="65CD35B0"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765E845"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2B8C68B9" w14:textId="77777777" w:rsidR="009A36D2" w:rsidRPr="009A36D2" w:rsidRDefault="009A36D2" w:rsidP="00281A92">
            <w:pPr>
              <w:spacing w:before="0" w:after="0" w:line="240" w:lineRule="auto"/>
              <w:rPr>
                <w:color w:val="auto"/>
                <w:sz w:val="20"/>
                <w:szCs w:val="20"/>
              </w:rPr>
            </w:pPr>
            <w:r w:rsidRPr="009A36D2">
              <w:rPr>
                <w:color w:val="000000"/>
                <w:sz w:val="22"/>
                <w:szCs w:val="22"/>
              </w:rPr>
              <w:t>194.0</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449A49E3" w14:textId="77777777" w:rsidR="009A36D2" w:rsidRPr="009A36D2" w:rsidRDefault="009A36D2" w:rsidP="00281A92">
            <w:pPr>
              <w:spacing w:before="0" w:after="0" w:line="240" w:lineRule="auto"/>
              <w:rPr>
                <w:color w:val="auto"/>
                <w:sz w:val="20"/>
                <w:szCs w:val="20"/>
              </w:rPr>
            </w:pPr>
            <w:r w:rsidRPr="009A36D2">
              <w:rPr>
                <w:color w:val="000000"/>
                <w:sz w:val="22"/>
                <w:szCs w:val="22"/>
              </w:rPr>
              <w:t>157.5</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6E116AA5" w14:textId="77777777" w:rsidR="009A36D2" w:rsidRPr="009A36D2" w:rsidRDefault="009A36D2" w:rsidP="00281A92">
            <w:pPr>
              <w:spacing w:before="0" w:after="0" w:line="240" w:lineRule="auto"/>
              <w:rPr>
                <w:color w:val="auto"/>
                <w:sz w:val="20"/>
                <w:szCs w:val="20"/>
              </w:rPr>
            </w:pPr>
            <w:r w:rsidRPr="009A36D2">
              <w:rPr>
                <w:color w:val="000000"/>
                <w:sz w:val="22"/>
                <w:szCs w:val="22"/>
              </w:rPr>
              <w:t>154.1</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2D352C56" w14:textId="77777777" w:rsidR="009A36D2" w:rsidRPr="009A36D2" w:rsidRDefault="009A36D2" w:rsidP="00281A92">
            <w:pPr>
              <w:spacing w:before="0" w:after="0" w:line="240" w:lineRule="auto"/>
              <w:rPr>
                <w:color w:val="auto"/>
                <w:sz w:val="20"/>
                <w:szCs w:val="20"/>
              </w:rPr>
            </w:pPr>
            <w:r w:rsidRPr="009A36D2">
              <w:rPr>
                <w:color w:val="000000"/>
                <w:sz w:val="22"/>
                <w:szCs w:val="22"/>
              </w:rPr>
              <w:t>140.9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6BF2A466" w14:textId="77777777" w:rsidR="009A36D2" w:rsidRPr="009A36D2" w:rsidRDefault="009A36D2" w:rsidP="00281A92">
            <w:pPr>
              <w:spacing w:before="0" w:after="0" w:line="240" w:lineRule="auto"/>
              <w:rPr>
                <w:color w:val="auto"/>
                <w:sz w:val="20"/>
                <w:szCs w:val="20"/>
              </w:rPr>
            </w:pPr>
            <w:r w:rsidRPr="009A36D2">
              <w:rPr>
                <w:color w:val="000000"/>
                <w:sz w:val="22"/>
                <w:szCs w:val="22"/>
              </w:rPr>
              <w:t>178.6</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5699CFFE" w14:textId="77777777" w:rsidR="009A36D2" w:rsidRPr="009A36D2" w:rsidRDefault="009A36D2" w:rsidP="00281A92">
            <w:pPr>
              <w:spacing w:before="0" w:after="0" w:line="240" w:lineRule="auto"/>
              <w:rPr>
                <w:color w:val="auto"/>
                <w:sz w:val="20"/>
                <w:szCs w:val="20"/>
              </w:rPr>
            </w:pPr>
            <w:r w:rsidRPr="009A36D2">
              <w:rPr>
                <w:color w:val="000000"/>
                <w:sz w:val="22"/>
                <w:szCs w:val="22"/>
              </w:rPr>
              <w:t>180.3</w:t>
            </w:r>
          </w:p>
        </w:tc>
      </w:tr>
      <w:tr w:rsidR="009A36D2" w:rsidRPr="009A36D2" w14:paraId="5DB5F959"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C9188CB"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46397DC8" w14:textId="77777777" w:rsidR="009A36D2" w:rsidRPr="009A36D2" w:rsidRDefault="009A36D2" w:rsidP="00281A92">
            <w:pPr>
              <w:spacing w:before="0" w:after="0" w:line="240" w:lineRule="auto"/>
              <w:rPr>
                <w:color w:val="auto"/>
                <w:sz w:val="20"/>
                <w:szCs w:val="20"/>
              </w:rPr>
            </w:pPr>
            <w:r w:rsidRPr="009A36D2">
              <w:rPr>
                <w:color w:val="000000"/>
                <w:sz w:val="22"/>
                <w:szCs w:val="22"/>
              </w:rPr>
              <w:t>176.8</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269B37AD" w14:textId="77777777" w:rsidR="009A36D2" w:rsidRPr="009A36D2" w:rsidRDefault="009A36D2" w:rsidP="00281A92">
            <w:pPr>
              <w:spacing w:before="0" w:after="0" w:line="240" w:lineRule="auto"/>
              <w:rPr>
                <w:color w:val="auto"/>
                <w:sz w:val="20"/>
                <w:szCs w:val="20"/>
              </w:rPr>
            </w:pPr>
            <w:r w:rsidRPr="009A36D2">
              <w:rPr>
                <w:color w:val="000000"/>
                <w:sz w:val="22"/>
                <w:szCs w:val="22"/>
              </w:rPr>
              <w:t>175.5</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2BB3AF68" w14:textId="77777777" w:rsidR="009A36D2" w:rsidRPr="009A36D2" w:rsidRDefault="009A36D2" w:rsidP="00281A92">
            <w:pPr>
              <w:spacing w:before="0" w:after="0" w:line="240" w:lineRule="auto"/>
              <w:rPr>
                <w:color w:val="auto"/>
                <w:sz w:val="20"/>
                <w:szCs w:val="20"/>
              </w:rPr>
            </w:pPr>
            <w:r w:rsidRPr="009A36D2">
              <w:rPr>
                <w:color w:val="000000"/>
                <w:sz w:val="22"/>
                <w:szCs w:val="22"/>
              </w:rPr>
              <w:t>154.5</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275CEE2B" w14:textId="77777777" w:rsidR="009A36D2" w:rsidRPr="009A36D2" w:rsidRDefault="009A36D2" w:rsidP="00281A92">
            <w:pPr>
              <w:spacing w:before="0" w:after="0" w:line="240" w:lineRule="auto"/>
              <w:rPr>
                <w:color w:val="auto"/>
                <w:sz w:val="20"/>
                <w:szCs w:val="20"/>
              </w:rPr>
            </w:pPr>
            <w:r w:rsidRPr="009A36D2">
              <w:rPr>
                <w:color w:val="000000"/>
                <w:sz w:val="22"/>
                <w:szCs w:val="22"/>
              </w:rPr>
              <w:t>184.9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3329A2BE" w14:textId="77777777" w:rsidR="009A36D2" w:rsidRPr="009A36D2" w:rsidRDefault="009A36D2" w:rsidP="00281A92">
            <w:pPr>
              <w:spacing w:before="0" w:after="0" w:line="240" w:lineRule="auto"/>
              <w:rPr>
                <w:color w:val="auto"/>
                <w:sz w:val="20"/>
                <w:szCs w:val="20"/>
              </w:rPr>
            </w:pPr>
            <w:r w:rsidRPr="009A36D2">
              <w:rPr>
                <w:color w:val="000000"/>
                <w:sz w:val="22"/>
                <w:szCs w:val="22"/>
              </w:rPr>
              <w:t>190.4</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5F551290" w14:textId="77777777" w:rsidR="009A36D2" w:rsidRPr="009A36D2" w:rsidRDefault="009A36D2" w:rsidP="00281A92">
            <w:pPr>
              <w:spacing w:before="0" w:after="0" w:line="240" w:lineRule="auto"/>
              <w:rPr>
                <w:color w:val="auto"/>
                <w:sz w:val="20"/>
                <w:szCs w:val="20"/>
              </w:rPr>
            </w:pPr>
            <w:r w:rsidRPr="009A36D2">
              <w:rPr>
                <w:color w:val="000000"/>
                <w:sz w:val="22"/>
                <w:szCs w:val="22"/>
              </w:rPr>
              <w:t>200.7</w:t>
            </w:r>
          </w:p>
        </w:tc>
      </w:tr>
      <w:tr w:rsidR="009A36D2" w:rsidRPr="009A36D2" w14:paraId="6EAC9203"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292BBFC6"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0E68CCC0" w14:textId="77777777" w:rsidR="009A36D2" w:rsidRPr="009A36D2" w:rsidRDefault="009A36D2" w:rsidP="00281A92">
            <w:pPr>
              <w:spacing w:before="0" w:after="0" w:line="240" w:lineRule="auto"/>
              <w:rPr>
                <w:color w:val="auto"/>
                <w:sz w:val="20"/>
                <w:szCs w:val="20"/>
              </w:rPr>
            </w:pPr>
            <w:r w:rsidRPr="009A36D2">
              <w:rPr>
                <w:color w:val="000000"/>
                <w:sz w:val="22"/>
                <w:szCs w:val="22"/>
              </w:rPr>
              <w:t>202.0</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65838F9B" w14:textId="77777777" w:rsidR="009A36D2" w:rsidRPr="009A36D2" w:rsidRDefault="009A36D2" w:rsidP="00281A92">
            <w:pPr>
              <w:spacing w:before="0" w:after="0" w:line="240" w:lineRule="auto"/>
              <w:rPr>
                <w:color w:val="auto"/>
                <w:sz w:val="20"/>
                <w:szCs w:val="20"/>
              </w:rPr>
            </w:pPr>
            <w:r w:rsidRPr="009A36D2">
              <w:rPr>
                <w:color w:val="000000"/>
                <w:sz w:val="22"/>
                <w:szCs w:val="22"/>
              </w:rPr>
              <w:t>164.3</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03290D72" w14:textId="77777777" w:rsidR="009A36D2" w:rsidRPr="009A36D2" w:rsidRDefault="009A36D2" w:rsidP="00281A92">
            <w:pPr>
              <w:spacing w:before="0" w:after="0" w:line="240" w:lineRule="auto"/>
              <w:rPr>
                <w:color w:val="auto"/>
                <w:sz w:val="20"/>
                <w:szCs w:val="20"/>
              </w:rPr>
            </w:pPr>
            <w:r w:rsidRPr="009A36D2">
              <w:rPr>
                <w:color w:val="000000"/>
                <w:sz w:val="22"/>
                <w:szCs w:val="22"/>
              </w:rPr>
              <w:t>181.1</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58F5839D" w14:textId="77777777" w:rsidR="009A36D2" w:rsidRPr="009A36D2" w:rsidRDefault="009A36D2" w:rsidP="00281A92">
            <w:pPr>
              <w:spacing w:before="0" w:after="0" w:line="240" w:lineRule="auto"/>
              <w:rPr>
                <w:color w:val="auto"/>
                <w:sz w:val="20"/>
                <w:szCs w:val="20"/>
              </w:rPr>
            </w:pPr>
            <w:r w:rsidRPr="009A36D2">
              <w:rPr>
                <w:color w:val="000000"/>
                <w:sz w:val="22"/>
                <w:szCs w:val="22"/>
              </w:rPr>
              <w:t>171.7</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5DC6F687" w14:textId="77777777" w:rsidR="009A36D2" w:rsidRPr="009A36D2" w:rsidRDefault="009A36D2" w:rsidP="00281A92">
            <w:pPr>
              <w:spacing w:before="0" w:after="0" w:line="240" w:lineRule="auto"/>
              <w:rPr>
                <w:color w:val="auto"/>
                <w:sz w:val="20"/>
                <w:szCs w:val="20"/>
              </w:rPr>
            </w:pPr>
            <w:r w:rsidRPr="009A36D2">
              <w:rPr>
                <w:color w:val="000000"/>
                <w:sz w:val="22"/>
                <w:szCs w:val="22"/>
              </w:rPr>
              <w:t>150.8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34EC7761" w14:textId="77777777" w:rsidR="009A36D2" w:rsidRPr="009A36D2" w:rsidRDefault="009A36D2" w:rsidP="00281A92">
            <w:pPr>
              <w:spacing w:before="0" w:after="0" w:line="240" w:lineRule="auto"/>
              <w:rPr>
                <w:color w:val="auto"/>
                <w:sz w:val="20"/>
                <w:szCs w:val="20"/>
              </w:rPr>
            </w:pPr>
            <w:r w:rsidRPr="009A36D2">
              <w:rPr>
                <w:color w:val="000000"/>
                <w:sz w:val="22"/>
                <w:szCs w:val="22"/>
              </w:rPr>
              <w:t>218.4</w:t>
            </w:r>
          </w:p>
        </w:tc>
      </w:tr>
      <w:tr w:rsidR="009A36D2" w:rsidRPr="009A36D2" w14:paraId="3E6E890C"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D6A6BC2"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26B4D642" w14:textId="77777777" w:rsidR="009A36D2" w:rsidRPr="009A36D2" w:rsidRDefault="009A36D2" w:rsidP="00281A92">
            <w:pPr>
              <w:spacing w:before="0" w:after="0" w:line="240" w:lineRule="auto"/>
              <w:rPr>
                <w:color w:val="auto"/>
                <w:sz w:val="20"/>
                <w:szCs w:val="20"/>
              </w:rPr>
            </w:pPr>
            <w:r w:rsidRPr="009A36D2">
              <w:rPr>
                <w:color w:val="000000"/>
                <w:sz w:val="22"/>
                <w:szCs w:val="22"/>
              </w:rPr>
              <w:t>152.4</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028C614C" w14:textId="77777777" w:rsidR="009A36D2" w:rsidRPr="009A36D2" w:rsidRDefault="009A36D2" w:rsidP="00281A92">
            <w:pPr>
              <w:spacing w:before="0" w:after="0" w:line="240" w:lineRule="auto"/>
              <w:rPr>
                <w:color w:val="auto"/>
                <w:sz w:val="20"/>
                <w:szCs w:val="20"/>
              </w:rPr>
            </w:pPr>
            <w:r w:rsidRPr="009A36D2">
              <w:rPr>
                <w:color w:val="000000"/>
                <w:sz w:val="22"/>
                <w:szCs w:val="22"/>
              </w:rPr>
              <w:t>122.5</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5E7D4061" w14:textId="77777777" w:rsidR="009A36D2" w:rsidRPr="009A36D2" w:rsidRDefault="009A36D2" w:rsidP="00281A92">
            <w:pPr>
              <w:spacing w:before="0" w:after="0" w:line="240" w:lineRule="auto"/>
              <w:rPr>
                <w:color w:val="auto"/>
                <w:sz w:val="20"/>
                <w:szCs w:val="20"/>
              </w:rPr>
            </w:pPr>
            <w:r w:rsidRPr="009A36D2">
              <w:rPr>
                <w:color w:val="000000"/>
                <w:sz w:val="22"/>
                <w:szCs w:val="22"/>
              </w:rPr>
              <w:t>123.6</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061BA3AF" w14:textId="77777777" w:rsidR="009A36D2" w:rsidRPr="009A36D2" w:rsidRDefault="009A36D2" w:rsidP="00281A92">
            <w:pPr>
              <w:spacing w:before="0" w:after="0" w:line="240" w:lineRule="auto"/>
              <w:rPr>
                <w:color w:val="auto"/>
                <w:sz w:val="20"/>
                <w:szCs w:val="20"/>
              </w:rPr>
            </w:pPr>
            <w:r w:rsidRPr="009A36D2">
              <w:rPr>
                <w:color w:val="000000"/>
                <w:sz w:val="22"/>
                <w:szCs w:val="22"/>
              </w:rPr>
              <w:t>152.9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6D631DE7" w14:textId="77777777" w:rsidR="009A36D2" w:rsidRPr="009A36D2" w:rsidRDefault="009A36D2" w:rsidP="00281A92">
            <w:pPr>
              <w:spacing w:before="0" w:after="0" w:line="240" w:lineRule="auto"/>
              <w:rPr>
                <w:color w:val="auto"/>
                <w:sz w:val="20"/>
                <w:szCs w:val="20"/>
              </w:rPr>
            </w:pPr>
            <w:r w:rsidRPr="009A36D2">
              <w:rPr>
                <w:color w:val="000000"/>
                <w:sz w:val="22"/>
                <w:szCs w:val="22"/>
              </w:rPr>
              <w:t>155.7</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0E7F2301" w14:textId="77777777" w:rsidR="009A36D2" w:rsidRPr="009A36D2" w:rsidRDefault="009A36D2" w:rsidP="00281A92">
            <w:pPr>
              <w:spacing w:before="0" w:after="0" w:line="240" w:lineRule="auto"/>
              <w:rPr>
                <w:color w:val="auto"/>
                <w:sz w:val="20"/>
                <w:szCs w:val="20"/>
              </w:rPr>
            </w:pPr>
            <w:r w:rsidRPr="009A36D2">
              <w:rPr>
                <w:color w:val="000000"/>
                <w:sz w:val="22"/>
                <w:szCs w:val="22"/>
              </w:rPr>
              <w:t>172.8</w:t>
            </w:r>
          </w:p>
        </w:tc>
      </w:tr>
      <w:tr w:rsidR="009A36D2" w:rsidRPr="009A36D2" w14:paraId="79CDC888"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318C673A"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7260FC0D" w14:textId="77777777" w:rsidR="009A36D2" w:rsidRPr="009A36D2" w:rsidRDefault="009A36D2" w:rsidP="00281A92">
            <w:pPr>
              <w:spacing w:before="0" w:after="0" w:line="240" w:lineRule="auto"/>
              <w:rPr>
                <w:color w:val="auto"/>
                <w:sz w:val="20"/>
                <w:szCs w:val="20"/>
              </w:rPr>
            </w:pPr>
            <w:r w:rsidRPr="009A36D2">
              <w:rPr>
                <w:color w:val="000000"/>
                <w:sz w:val="22"/>
                <w:szCs w:val="22"/>
              </w:rPr>
              <w:t>167.5</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0DB272B7" w14:textId="77777777" w:rsidR="009A36D2" w:rsidRPr="009A36D2" w:rsidRDefault="009A36D2" w:rsidP="00281A92">
            <w:pPr>
              <w:spacing w:before="0" w:after="0" w:line="240" w:lineRule="auto"/>
              <w:rPr>
                <w:color w:val="auto"/>
                <w:sz w:val="20"/>
                <w:szCs w:val="20"/>
              </w:rPr>
            </w:pPr>
            <w:r w:rsidRPr="009A36D2">
              <w:rPr>
                <w:color w:val="000000"/>
                <w:sz w:val="22"/>
                <w:szCs w:val="22"/>
              </w:rPr>
              <w:t>146.6</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11E790DA" w14:textId="77777777" w:rsidR="009A36D2" w:rsidRPr="009A36D2" w:rsidRDefault="009A36D2" w:rsidP="00281A92">
            <w:pPr>
              <w:spacing w:before="0" w:after="0" w:line="240" w:lineRule="auto"/>
              <w:rPr>
                <w:color w:val="auto"/>
                <w:sz w:val="20"/>
                <w:szCs w:val="20"/>
              </w:rPr>
            </w:pPr>
            <w:r w:rsidRPr="009A36D2">
              <w:rPr>
                <w:color w:val="000000"/>
                <w:sz w:val="22"/>
                <w:szCs w:val="22"/>
              </w:rPr>
              <w:t>148.6</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7BACC1C6" w14:textId="77777777" w:rsidR="009A36D2" w:rsidRPr="009A36D2" w:rsidRDefault="009A36D2" w:rsidP="00281A92">
            <w:pPr>
              <w:spacing w:before="0" w:after="0" w:line="240" w:lineRule="auto"/>
              <w:rPr>
                <w:color w:val="auto"/>
                <w:sz w:val="20"/>
                <w:szCs w:val="20"/>
              </w:rPr>
            </w:pPr>
            <w:r w:rsidRPr="009A36D2">
              <w:rPr>
                <w:color w:val="000000"/>
                <w:sz w:val="22"/>
                <w:szCs w:val="22"/>
              </w:rPr>
              <w:t>189.1</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2D92CD2E" w14:textId="77777777" w:rsidR="009A36D2" w:rsidRPr="009A36D2" w:rsidRDefault="009A36D2" w:rsidP="00281A92">
            <w:pPr>
              <w:spacing w:before="0" w:after="0" w:line="240" w:lineRule="auto"/>
              <w:rPr>
                <w:color w:val="auto"/>
                <w:sz w:val="20"/>
                <w:szCs w:val="20"/>
              </w:rPr>
            </w:pPr>
            <w:r w:rsidRPr="009A36D2">
              <w:rPr>
                <w:color w:val="000000"/>
                <w:sz w:val="22"/>
                <w:szCs w:val="22"/>
              </w:rPr>
              <w:t>174.8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73D6281D" w14:textId="77777777" w:rsidR="009A36D2" w:rsidRPr="009A36D2" w:rsidRDefault="009A36D2" w:rsidP="00281A92">
            <w:pPr>
              <w:spacing w:before="0" w:after="0" w:line="240" w:lineRule="auto"/>
              <w:rPr>
                <w:color w:val="auto"/>
                <w:sz w:val="20"/>
                <w:szCs w:val="20"/>
              </w:rPr>
            </w:pPr>
            <w:r w:rsidRPr="009A36D2">
              <w:rPr>
                <w:color w:val="000000"/>
                <w:sz w:val="22"/>
                <w:szCs w:val="22"/>
              </w:rPr>
              <w:t>181.8</w:t>
            </w:r>
          </w:p>
        </w:tc>
      </w:tr>
      <w:tr w:rsidR="009A36D2" w:rsidRPr="009A36D2" w14:paraId="0404B306"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6930E1A"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3290EFA9" w14:textId="77777777" w:rsidR="009A36D2" w:rsidRPr="009A36D2" w:rsidRDefault="009A36D2" w:rsidP="00281A92">
            <w:pPr>
              <w:spacing w:before="0" w:after="0" w:line="240" w:lineRule="auto"/>
              <w:rPr>
                <w:color w:val="auto"/>
                <w:sz w:val="20"/>
                <w:szCs w:val="20"/>
              </w:rPr>
            </w:pPr>
            <w:r w:rsidRPr="009A36D2">
              <w:rPr>
                <w:color w:val="000000"/>
                <w:sz w:val="22"/>
                <w:szCs w:val="22"/>
              </w:rPr>
              <w:t>178.3</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7D46F5AA" w14:textId="77777777" w:rsidR="009A36D2" w:rsidRPr="009A36D2" w:rsidRDefault="009A36D2" w:rsidP="00281A92">
            <w:pPr>
              <w:spacing w:before="0" w:after="0" w:line="240" w:lineRule="auto"/>
              <w:rPr>
                <w:color w:val="auto"/>
                <w:sz w:val="20"/>
                <w:szCs w:val="20"/>
              </w:rPr>
            </w:pPr>
            <w:r w:rsidRPr="009A36D2">
              <w:rPr>
                <w:color w:val="000000"/>
                <w:sz w:val="22"/>
                <w:szCs w:val="22"/>
              </w:rPr>
              <w:t>173.8</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264B81B5" w14:textId="77777777" w:rsidR="009A36D2" w:rsidRPr="009A36D2" w:rsidRDefault="009A36D2" w:rsidP="00281A92">
            <w:pPr>
              <w:spacing w:before="0" w:after="0" w:line="240" w:lineRule="auto"/>
              <w:rPr>
                <w:color w:val="auto"/>
                <w:sz w:val="20"/>
                <w:szCs w:val="20"/>
              </w:rPr>
            </w:pPr>
            <w:r w:rsidRPr="009A36D2">
              <w:rPr>
                <w:color w:val="000000"/>
                <w:sz w:val="22"/>
                <w:szCs w:val="22"/>
              </w:rPr>
              <w:t>148.3</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39BBB57A" w14:textId="77777777" w:rsidR="009A36D2" w:rsidRPr="009A36D2" w:rsidRDefault="009A36D2" w:rsidP="00281A92">
            <w:pPr>
              <w:spacing w:before="0" w:after="0" w:line="240" w:lineRule="auto"/>
              <w:rPr>
                <w:color w:val="auto"/>
                <w:sz w:val="20"/>
                <w:szCs w:val="20"/>
              </w:rPr>
            </w:pPr>
            <w:r w:rsidRPr="009A36D2">
              <w:rPr>
                <w:color w:val="000000"/>
                <w:sz w:val="22"/>
                <w:szCs w:val="22"/>
              </w:rPr>
              <w:t>136.0</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712DD00D" w14:textId="77777777" w:rsidR="009A36D2" w:rsidRPr="009A36D2" w:rsidRDefault="009A36D2" w:rsidP="00281A92">
            <w:pPr>
              <w:spacing w:before="0" w:after="0" w:line="240" w:lineRule="auto"/>
              <w:rPr>
                <w:color w:val="auto"/>
                <w:sz w:val="20"/>
                <w:szCs w:val="20"/>
              </w:rPr>
            </w:pPr>
            <w:r w:rsidRPr="009A36D2">
              <w:rPr>
                <w:color w:val="000000"/>
                <w:sz w:val="22"/>
                <w:szCs w:val="22"/>
              </w:rPr>
              <w:t>155.3</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05936E8C" w14:textId="77777777" w:rsidR="009A36D2" w:rsidRPr="009A36D2" w:rsidRDefault="009A36D2" w:rsidP="00281A92">
            <w:pPr>
              <w:spacing w:before="0" w:after="0" w:line="240" w:lineRule="auto"/>
              <w:rPr>
                <w:color w:val="auto"/>
                <w:sz w:val="20"/>
                <w:szCs w:val="20"/>
              </w:rPr>
            </w:pPr>
            <w:r w:rsidRPr="009A36D2">
              <w:rPr>
                <w:color w:val="000000"/>
                <w:sz w:val="22"/>
                <w:szCs w:val="22"/>
              </w:rPr>
              <w:t>223.4</w:t>
            </w:r>
          </w:p>
        </w:tc>
      </w:tr>
      <w:tr w:rsidR="009A36D2" w:rsidRPr="009A36D2" w14:paraId="12A77ED5"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354AF91"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22E024F8" w14:textId="77777777" w:rsidR="009A36D2" w:rsidRPr="009A36D2" w:rsidRDefault="009A36D2" w:rsidP="00281A92">
            <w:pPr>
              <w:spacing w:before="0" w:after="0" w:line="240" w:lineRule="auto"/>
              <w:rPr>
                <w:color w:val="auto"/>
                <w:sz w:val="20"/>
                <w:szCs w:val="20"/>
              </w:rPr>
            </w:pPr>
            <w:r w:rsidRPr="009A36D2">
              <w:rPr>
                <w:color w:val="000000"/>
                <w:sz w:val="22"/>
                <w:szCs w:val="22"/>
              </w:rPr>
              <w:t>225.9</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0BF70907" w14:textId="77777777" w:rsidR="009A36D2" w:rsidRPr="009A36D2" w:rsidRDefault="009A36D2" w:rsidP="00281A92">
            <w:pPr>
              <w:spacing w:before="0" w:after="0" w:line="240" w:lineRule="auto"/>
              <w:rPr>
                <w:color w:val="auto"/>
                <w:sz w:val="20"/>
                <w:szCs w:val="20"/>
              </w:rPr>
            </w:pPr>
            <w:r w:rsidRPr="009A36D2">
              <w:rPr>
                <w:color w:val="000000"/>
                <w:sz w:val="22"/>
                <w:szCs w:val="22"/>
              </w:rPr>
              <w:t>215.7</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1F21F73C" w14:textId="77777777" w:rsidR="009A36D2" w:rsidRPr="009A36D2" w:rsidRDefault="009A36D2" w:rsidP="00281A92">
            <w:pPr>
              <w:spacing w:before="0" w:after="0" w:line="240" w:lineRule="auto"/>
              <w:rPr>
                <w:color w:val="auto"/>
                <w:sz w:val="20"/>
                <w:szCs w:val="20"/>
              </w:rPr>
            </w:pPr>
            <w:r w:rsidRPr="009A36D2">
              <w:rPr>
                <w:color w:val="000000"/>
                <w:sz w:val="22"/>
                <w:szCs w:val="22"/>
              </w:rPr>
              <w:t>219.5</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75167A48" w14:textId="77777777" w:rsidR="009A36D2" w:rsidRPr="009A36D2" w:rsidRDefault="009A36D2" w:rsidP="00281A92">
            <w:pPr>
              <w:spacing w:before="0" w:after="0" w:line="240" w:lineRule="auto"/>
              <w:rPr>
                <w:color w:val="auto"/>
                <w:sz w:val="20"/>
                <w:szCs w:val="20"/>
              </w:rPr>
            </w:pPr>
            <w:r w:rsidRPr="009A36D2">
              <w:rPr>
                <w:color w:val="000000"/>
                <w:sz w:val="22"/>
                <w:szCs w:val="22"/>
              </w:rPr>
              <w:t>220.5</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7A5E12EA" w14:textId="77777777" w:rsidR="009A36D2" w:rsidRPr="009A36D2" w:rsidRDefault="009A36D2" w:rsidP="00281A92">
            <w:pPr>
              <w:spacing w:before="0" w:after="0" w:line="240" w:lineRule="auto"/>
              <w:rPr>
                <w:color w:val="auto"/>
                <w:sz w:val="20"/>
                <w:szCs w:val="20"/>
              </w:rPr>
            </w:pPr>
            <w:r w:rsidRPr="009A36D2">
              <w:rPr>
                <w:color w:val="000000"/>
                <w:sz w:val="22"/>
                <w:szCs w:val="22"/>
              </w:rPr>
              <w:t>232.8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06089778" w14:textId="77777777" w:rsidR="009A36D2" w:rsidRPr="009A36D2" w:rsidRDefault="009A36D2" w:rsidP="00281A92">
            <w:pPr>
              <w:spacing w:before="0" w:after="0" w:line="240" w:lineRule="auto"/>
              <w:rPr>
                <w:color w:val="auto"/>
                <w:sz w:val="20"/>
                <w:szCs w:val="20"/>
              </w:rPr>
            </w:pPr>
            <w:r w:rsidRPr="009A36D2">
              <w:rPr>
                <w:color w:val="000000"/>
                <w:sz w:val="22"/>
                <w:szCs w:val="22"/>
              </w:rPr>
              <w:t>243.3</w:t>
            </w:r>
          </w:p>
        </w:tc>
      </w:tr>
      <w:tr w:rsidR="009A36D2" w:rsidRPr="009A36D2" w14:paraId="7AFCD2CE"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3EB9799C"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6C7B3368" w14:textId="77777777" w:rsidR="009A36D2" w:rsidRPr="009A36D2" w:rsidRDefault="009A36D2" w:rsidP="00281A92">
            <w:pPr>
              <w:spacing w:before="0" w:after="0" w:line="240" w:lineRule="auto"/>
              <w:rPr>
                <w:color w:val="auto"/>
                <w:sz w:val="20"/>
                <w:szCs w:val="20"/>
              </w:rPr>
            </w:pPr>
            <w:r w:rsidRPr="009A36D2">
              <w:rPr>
                <w:color w:val="000000"/>
                <w:sz w:val="22"/>
                <w:szCs w:val="22"/>
              </w:rPr>
              <w:t>166.9</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4D6FFF89" w14:textId="77777777" w:rsidR="009A36D2" w:rsidRPr="009A36D2" w:rsidRDefault="009A36D2" w:rsidP="00281A92">
            <w:pPr>
              <w:spacing w:before="0" w:after="0" w:line="240" w:lineRule="auto"/>
              <w:rPr>
                <w:color w:val="auto"/>
                <w:sz w:val="20"/>
                <w:szCs w:val="20"/>
              </w:rPr>
            </w:pPr>
            <w:r w:rsidRPr="009A36D2">
              <w:rPr>
                <w:color w:val="000000"/>
                <w:sz w:val="22"/>
                <w:szCs w:val="22"/>
              </w:rPr>
              <w:t>154.2</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5CAB1431" w14:textId="77777777" w:rsidR="009A36D2" w:rsidRPr="009A36D2" w:rsidRDefault="009A36D2" w:rsidP="00281A92">
            <w:pPr>
              <w:spacing w:before="0" w:after="0" w:line="240" w:lineRule="auto"/>
              <w:rPr>
                <w:color w:val="auto"/>
                <w:sz w:val="20"/>
                <w:szCs w:val="20"/>
              </w:rPr>
            </w:pPr>
            <w:r w:rsidRPr="009A36D2">
              <w:rPr>
                <w:color w:val="000000"/>
                <w:sz w:val="22"/>
                <w:szCs w:val="22"/>
              </w:rPr>
              <w:t>142.3</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2A328B72" w14:textId="77777777" w:rsidR="009A36D2" w:rsidRPr="009A36D2" w:rsidRDefault="009A36D2" w:rsidP="00281A92">
            <w:pPr>
              <w:spacing w:before="0" w:after="0" w:line="240" w:lineRule="auto"/>
              <w:rPr>
                <w:color w:val="auto"/>
                <w:sz w:val="20"/>
                <w:szCs w:val="20"/>
              </w:rPr>
            </w:pPr>
            <w:r w:rsidRPr="009A36D2">
              <w:rPr>
                <w:color w:val="000000"/>
                <w:sz w:val="22"/>
                <w:szCs w:val="22"/>
              </w:rPr>
              <w:t>148.8</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701C609D" w14:textId="77777777" w:rsidR="009A36D2" w:rsidRPr="009A36D2" w:rsidRDefault="009A36D2" w:rsidP="00281A92">
            <w:pPr>
              <w:spacing w:before="0" w:after="0" w:line="240" w:lineRule="auto"/>
              <w:rPr>
                <w:color w:val="auto"/>
                <w:sz w:val="20"/>
                <w:szCs w:val="20"/>
              </w:rPr>
            </w:pPr>
            <w:r w:rsidRPr="009A36D2">
              <w:rPr>
                <w:color w:val="000000"/>
                <w:sz w:val="22"/>
                <w:szCs w:val="22"/>
              </w:rPr>
              <w:t>151.8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0BB35CD3" w14:textId="77777777" w:rsidR="009A36D2" w:rsidRPr="009A36D2" w:rsidRDefault="009A36D2" w:rsidP="00281A92">
            <w:pPr>
              <w:spacing w:before="0" w:after="0" w:line="240" w:lineRule="auto"/>
              <w:rPr>
                <w:color w:val="auto"/>
                <w:sz w:val="20"/>
                <w:szCs w:val="20"/>
              </w:rPr>
            </w:pPr>
            <w:r w:rsidRPr="009A36D2">
              <w:rPr>
                <w:color w:val="000000"/>
                <w:sz w:val="22"/>
                <w:szCs w:val="22"/>
              </w:rPr>
              <w:t>204.1</w:t>
            </w:r>
          </w:p>
        </w:tc>
      </w:tr>
      <w:tr w:rsidR="009A36D2" w:rsidRPr="009A36D2" w14:paraId="796CEDD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503025F7"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622D5BC1" w14:textId="77777777" w:rsidR="009A36D2" w:rsidRPr="009A36D2" w:rsidRDefault="009A36D2" w:rsidP="00281A92">
            <w:pPr>
              <w:spacing w:before="0" w:after="0" w:line="240" w:lineRule="auto"/>
              <w:rPr>
                <w:color w:val="auto"/>
                <w:sz w:val="20"/>
                <w:szCs w:val="20"/>
              </w:rPr>
            </w:pPr>
            <w:r w:rsidRPr="009A36D2">
              <w:rPr>
                <w:color w:val="000000"/>
                <w:sz w:val="22"/>
                <w:szCs w:val="22"/>
              </w:rPr>
              <w:t>146.5</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0125F1F4" w14:textId="77777777" w:rsidR="009A36D2" w:rsidRPr="009A36D2" w:rsidRDefault="009A36D2" w:rsidP="00281A92">
            <w:pPr>
              <w:spacing w:before="0" w:after="0" w:line="240" w:lineRule="auto"/>
              <w:rPr>
                <w:color w:val="auto"/>
                <w:sz w:val="20"/>
                <w:szCs w:val="20"/>
              </w:rPr>
            </w:pPr>
            <w:r w:rsidRPr="009A36D2">
              <w:rPr>
                <w:color w:val="000000"/>
                <w:sz w:val="22"/>
                <w:szCs w:val="22"/>
              </w:rPr>
              <w:t>126.5</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27BFD444" w14:textId="77777777" w:rsidR="009A36D2" w:rsidRPr="009A36D2" w:rsidRDefault="009A36D2" w:rsidP="00281A92">
            <w:pPr>
              <w:spacing w:before="0" w:after="0" w:line="240" w:lineRule="auto"/>
              <w:rPr>
                <w:color w:val="auto"/>
                <w:sz w:val="20"/>
                <w:szCs w:val="20"/>
              </w:rPr>
            </w:pPr>
            <w:r w:rsidRPr="009A36D2">
              <w:rPr>
                <w:color w:val="000000"/>
                <w:sz w:val="22"/>
                <w:szCs w:val="22"/>
              </w:rPr>
              <w:t>128.9</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053EF825" w14:textId="77777777" w:rsidR="009A36D2" w:rsidRPr="009A36D2" w:rsidRDefault="009A36D2" w:rsidP="00281A92">
            <w:pPr>
              <w:spacing w:before="0" w:after="0" w:line="240" w:lineRule="auto"/>
              <w:rPr>
                <w:color w:val="auto"/>
                <w:sz w:val="20"/>
                <w:szCs w:val="20"/>
              </w:rPr>
            </w:pPr>
            <w:r w:rsidRPr="009A36D2">
              <w:rPr>
                <w:color w:val="000000"/>
                <w:sz w:val="22"/>
                <w:szCs w:val="22"/>
              </w:rPr>
              <w:t>133.1</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5BC24E56" w14:textId="77777777" w:rsidR="009A36D2" w:rsidRPr="009A36D2" w:rsidRDefault="009A36D2" w:rsidP="00281A92">
            <w:pPr>
              <w:spacing w:before="0" w:after="0" w:line="240" w:lineRule="auto"/>
              <w:rPr>
                <w:color w:val="auto"/>
                <w:sz w:val="20"/>
                <w:szCs w:val="20"/>
              </w:rPr>
            </w:pPr>
            <w:r w:rsidRPr="009A36D2">
              <w:rPr>
                <w:color w:val="000000"/>
                <w:sz w:val="22"/>
                <w:szCs w:val="22"/>
              </w:rPr>
              <w:t>140.1</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484425DA" w14:textId="77777777" w:rsidR="009A36D2" w:rsidRPr="009A36D2" w:rsidRDefault="009A36D2" w:rsidP="00281A92">
            <w:pPr>
              <w:spacing w:before="0" w:after="0" w:line="240" w:lineRule="auto"/>
              <w:rPr>
                <w:color w:val="auto"/>
                <w:sz w:val="20"/>
                <w:szCs w:val="20"/>
              </w:rPr>
            </w:pPr>
            <w:r w:rsidRPr="009A36D2">
              <w:rPr>
                <w:color w:val="000000"/>
                <w:sz w:val="22"/>
                <w:szCs w:val="22"/>
              </w:rPr>
              <w:t>162.1</w:t>
            </w:r>
          </w:p>
        </w:tc>
      </w:tr>
      <w:tr w:rsidR="009A36D2" w:rsidRPr="009A36D2" w14:paraId="76D3E025"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2EE3709"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67C248EE" w14:textId="77777777" w:rsidR="009A36D2" w:rsidRPr="009A36D2" w:rsidRDefault="009A36D2" w:rsidP="00281A92">
            <w:pPr>
              <w:spacing w:before="0" w:after="0" w:line="240" w:lineRule="auto"/>
              <w:rPr>
                <w:color w:val="auto"/>
                <w:sz w:val="20"/>
                <w:szCs w:val="20"/>
              </w:rPr>
            </w:pPr>
            <w:r w:rsidRPr="009A36D2">
              <w:rPr>
                <w:color w:val="000000"/>
                <w:sz w:val="22"/>
                <w:szCs w:val="22"/>
              </w:rPr>
              <w:t>198.1</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2374CB8C" w14:textId="77777777" w:rsidR="009A36D2" w:rsidRPr="009A36D2" w:rsidRDefault="009A36D2" w:rsidP="00281A92">
            <w:pPr>
              <w:spacing w:before="0" w:after="0" w:line="240" w:lineRule="auto"/>
              <w:rPr>
                <w:color w:val="auto"/>
                <w:sz w:val="20"/>
                <w:szCs w:val="20"/>
              </w:rPr>
            </w:pPr>
            <w:r w:rsidRPr="009A36D2">
              <w:rPr>
                <w:color w:val="000000"/>
                <w:sz w:val="22"/>
                <w:szCs w:val="22"/>
              </w:rPr>
              <w:t>165.8</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52B181B7" w14:textId="77777777" w:rsidR="009A36D2" w:rsidRPr="009A36D2" w:rsidRDefault="009A36D2" w:rsidP="00281A92">
            <w:pPr>
              <w:spacing w:before="0" w:after="0" w:line="240" w:lineRule="auto"/>
              <w:rPr>
                <w:color w:val="auto"/>
                <w:sz w:val="20"/>
                <w:szCs w:val="20"/>
              </w:rPr>
            </w:pPr>
            <w:r w:rsidRPr="009A36D2">
              <w:rPr>
                <w:color w:val="000000"/>
                <w:sz w:val="22"/>
                <w:szCs w:val="22"/>
              </w:rPr>
              <w:t>167.1</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7ECA2ABC" w14:textId="77777777" w:rsidR="009A36D2" w:rsidRPr="009A36D2" w:rsidRDefault="009A36D2" w:rsidP="00281A92">
            <w:pPr>
              <w:spacing w:before="0" w:after="0" w:line="240" w:lineRule="auto"/>
              <w:rPr>
                <w:color w:val="auto"/>
                <w:sz w:val="20"/>
                <w:szCs w:val="20"/>
              </w:rPr>
            </w:pPr>
            <w:r w:rsidRPr="009A36D2">
              <w:rPr>
                <w:color w:val="000000"/>
                <w:sz w:val="22"/>
                <w:szCs w:val="22"/>
              </w:rPr>
              <w:t>161.3</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2CD665A9" w14:textId="77777777" w:rsidR="009A36D2" w:rsidRPr="009A36D2" w:rsidRDefault="009A36D2" w:rsidP="00281A92">
            <w:pPr>
              <w:spacing w:before="0" w:after="0" w:line="240" w:lineRule="auto"/>
              <w:rPr>
                <w:color w:val="auto"/>
                <w:sz w:val="20"/>
                <w:szCs w:val="20"/>
              </w:rPr>
            </w:pPr>
            <w:r w:rsidRPr="009A36D2">
              <w:rPr>
                <w:color w:val="000000"/>
                <w:sz w:val="22"/>
                <w:szCs w:val="22"/>
              </w:rPr>
              <w:t>166.8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3806C582" w14:textId="77777777" w:rsidR="009A36D2" w:rsidRPr="009A36D2" w:rsidRDefault="009A36D2" w:rsidP="00281A92">
            <w:pPr>
              <w:spacing w:before="0" w:after="0" w:line="240" w:lineRule="auto"/>
              <w:rPr>
                <w:color w:val="auto"/>
                <w:sz w:val="20"/>
                <w:szCs w:val="20"/>
              </w:rPr>
            </w:pPr>
            <w:r w:rsidRPr="009A36D2">
              <w:rPr>
                <w:color w:val="000000"/>
                <w:sz w:val="22"/>
                <w:szCs w:val="22"/>
              </w:rPr>
              <w:t>179.6</w:t>
            </w:r>
          </w:p>
        </w:tc>
      </w:tr>
      <w:tr w:rsidR="009A36D2" w:rsidRPr="009A36D2" w14:paraId="74BFA33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394AD611"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07030FF0" w14:textId="77777777" w:rsidR="009A36D2" w:rsidRPr="009A36D2" w:rsidRDefault="009A36D2" w:rsidP="00281A92">
            <w:pPr>
              <w:spacing w:before="0" w:after="0" w:line="240" w:lineRule="auto"/>
              <w:rPr>
                <w:color w:val="auto"/>
                <w:sz w:val="20"/>
                <w:szCs w:val="20"/>
              </w:rPr>
            </w:pPr>
            <w:r w:rsidRPr="009A36D2">
              <w:rPr>
                <w:color w:val="000000"/>
                <w:sz w:val="22"/>
                <w:szCs w:val="22"/>
              </w:rPr>
              <w:t>172.4</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1B8721C9" w14:textId="77777777" w:rsidR="009A36D2" w:rsidRPr="009A36D2" w:rsidRDefault="009A36D2" w:rsidP="00281A92">
            <w:pPr>
              <w:spacing w:before="0" w:after="0" w:line="240" w:lineRule="auto"/>
              <w:rPr>
                <w:color w:val="auto"/>
                <w:sz w:val="20"/>
                <w:szCs w:val="20"/>
              </w:rPr>
            </w:pPr>
            <w:r w:rsidRPr="009A36D2">
              <w:rPr>
                <w:color w:val="000000"/>
                <w:sz w:val="22"/>
                <w:szCs w:val="22"/>
              </w:rPr>
              <w:t>148.3</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2A27ED52" w14:textId="77777777" w:rsidR="009A36D2" w:rsidRPr="009A36D2" w:rsidRDefault="009A36D2" w:rsidP="00281A92">
            <w:pPr>
              <w:spacing w:before="0" w:after="0" w:line="240" w:lineRule="auto"/>
              <w:rPr>
                <w:color w:val="auto"/>
                <w:sz w:val="20"/>
                <w:szCs w:val="20"/>
              </w:rPr>
            </w:pPr>
            <w:r w:rsidRPr="009A36D2">
              <w:rPr>
                <w:color w:val="000000"/>
                <w:sz w:val="22"/>
                <w:szCs w:val="22"/>
              </w:rPr>
              <w:t>146.3</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58C81956" w14:textId="77777777" w:rsidR="009A36D2" w:rsidRPr="009A36D2" w:rsidRDefault="009A36D2" w:rsidP="00281A92">
            <w:pPr>
              <w:spacing w:before="0" w:after="0" w:line="240" w:lineRule="auto"/>
              <w:rPr>
                <w:color w:val="auto"/>
                <w:sz w:val="20"/>
                <w:szCs w:val="20"/>
              </w:rPr>
            </w:pPr>
            <w:r w:rsidRPr="009A36D2">
              <w:rPr>
                <w:color w:val="000000"/>
                <w:sz w:val="22"/>
                <w:szCs w:val="22"/>
              </w:rPr>
              <w:t>141.5</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0F80DB13" w14:textId="77777777" w:rsidR="009A36D2" w:rsidRPr="009A36D2" w:rsidRDefault="009A36D2" w:rsidP="00281A92">
            <w:pPr>
              <w:spacing w:before="0" w:after="0" w:line="240" w:lineRule="auto"/>
              <w:rPr>
                <w:color w:val="auto"/>
                <w:sz w:val="20"/>
                <w:szCs w:val="20"/>
              </w:rPr>
            </w:pPr>
            <w:r w:rsidRPr="009A36D2">
              <w:rPr>
                <w:color w:val="000000"/>
                <w:sz w:val="22"/>
                <w:szCs w:val="22"/>
              </w:rPr>
              <w:t>162.8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5D6131C8" w14:textId="77777777" w:rsidR="009A36D2" w:rsidRPr="009A36D2" w:rsidRDefault="009A36D2" w:rsidP="00281A92">
            <w:pPr>
              <w:spacing w:before="0" w:after="0" w:line="240" w:lineRule="auto"/>
              <w:rPr>
                <w:color w:val="auto"/>
                <w:sz w:val="20"/>
                <w:szCs w:val="20"/>
              </w:rPr>
            </w:pPr>
            <w:r w:rsidRPr="009A36D2">
              <w:rPr>
                <w:color w:val="000000"/>
                <w:sz w:val="22"/>
                <w:szCs w:val="22"/>
              </w:rPr>
              <w:t>175.5</w:t>
            </w:r>
          </w:p>
        </w:tc>
      </w:tr>
      <w:tr w:rsidR="009A36D2" w:rsidRPr="009A36D2" w14:paraId="4B010B3E"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6E65657"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7D8B391E" w14:textId="77777777" w:rsidR="009A36D2" w:rsidRPr="009A36D2" w:rsidRDefault="009A36D2" w:rsidP="00281A92">
            <w:pPr>
              <w:spacing w:before="0" w:after="0" w:line="240" w:lineRule="auto"/>
              <w:rPr>
                <w:color w:val="auto"/>
                <w:sz w:val="20"/>
                <w:szCs w:val="20"/>
              </w:rPr>
            </w:pPr>
            <w:r w:rsidRPr="009A36D2">
              <w:rPr>
                <w:color w:val="000000"/>
                <w:sz w:val="22"/>
                <w:szCs w:val="22"/>
              </w:rPr>
              <w:t>186.8</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611B3B4B" w14:textId="77777777" w:rsidR="009A36D2" w:rsidRPr="009A36D2" w:rsidRDefault="009A36D2" w:rsidP="00281A92">
            <w:pPr>
              <w:spacing w:before="0" w:after="0" w:line="240" w:lineRule="auto"/>
              <w:rPr>
                <w:color w:val="auto"/>
                <w:sz w:val="20"/>
                <w:szCs w:val="20"/>
              </w:rPr>
            </w:pPr>
            <w:r w:rsidRPr="009A36D2">
              <w:rPr>
                <w:color w:val="000000"/>
                <w:sz w:val="22"/>
                <w:szCs w:val="22"/>
              </w:rPr>
              <w:t>174.0</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6CBE8EC6" w14:textId="77777777" w:rsidR="009A36D2" w:rsidRPr="009A36D2" w:rsidRDefault="009A36D2" w:rsidP="00281A92">
            <w:pPr>
              <w:spacing w:before="0" w:after="0" w:line="240" w:lineRule="auto"/>
              <w:rPr>
                <w:color w:val="auto"/>
                <w:sz w:val="20"/>
                <w:szCs w:val="20"/>
              </w:rPr>
            </w:pPr>
            <w:r w:rsidRPr="009A36D2">
              <w:rPr>
                <w:color w:val="000000"/>
                <w:sz w:val="22"/>
                <w:szCs w:val="22"/>
              </w:rPr>
              <w:t>156.9</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65783CA9" w14:textId="77777777" w:rsidR="009A36D2" w:rsidRPr="009A36D2" w:rsidRDefault="009A36D2" w:rsidP="00281A92">
            <w:pPr>
              <w:spacing w:before="0" w:after="0" w:line="240" w:lineRule="auto"/>
              <w:rPr>
                <w:color w:val="auto"/>
                <w:sz w:val="20"/>
                <w:szCs w:val="20"/>
              </w:rPr>
            </w:pPr>
            <w:r w:rsidRPr="009A36D2">
              <w:rPr>
                <w:color w:val="000000"/>
                <w:sz w:val="22"/>
                <w:szCs w:val="22"/>
              </w:rPr>
              <w:t>164.2</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50BC0D9D" w14:textId="77777777" w:rsidR="009A36D2" w:rsidRPr="009A36D2" w:rsidRDefault="009A36D2" w:rsidP="00281A92">
            <w:pPr>
              <w:spacing w:before="0" w:after="0" w:line="240" w:lineRule="auto"/>
              <w:rPr>
                <w:color w:val="auto"/>
                <w:sz w:val="20"/>
                <w:szCs w:val="20"/>
              </w:rPr>
            </w:pPr>
            <w:r w:rsidRPr="009A36D2">
              <w:rPr>
                <w:color w:val="000000"/>
                <w:sz w:val="22"/>
                <w:szCs w:val="22"/>
              </w:rPr>
              <w:t>166.6</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5963214A" w14:textId="77777777" w:rsidR="009A36D2" w:rsidRPr="009A36D2" w:rsidRDefault="009A36D2" w:rsidP="00281A92">
            <w:pPr>
              <w:spacing w:before="0" w:after="0" w:line="240" w:lineRule="auto"/>
              <w:rPr>
                <w:color w:val="auto"/>
                <w:sz w:val="20"/>
                <w:szCs w:val="20"/>
              </w:rPr>
            </w:pPr>
            <w:r w:rsidRPr="009A36D2">
              <w:rPr>
                <w:color w:val="000000"/>
                <w:sz w:val="22"/>
                <w:szCs w:val="22"/>
              </w:rPr>
              <w:t>183.9</w:t>
            </w:r>
          </w:p>
        </w:tc>
      </w:tr>
      <w:tr w:rsidR="009A36D2" w:rsidRPr="009A36D2" w14:paraId="60671023"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21930EE"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1B76C10D" w14:textId="77777777" w:rsidR="009A36D2" w:rsidRPr="009A36D2" w:rsidRDefault="009A36D2" w:rsidP="00281A92">
            <w:pPr>
              <w:spacing w:before="0" w:after="0" w:line="240" w:lineRule="auto"/>
              <w:rPr>
                <w:color w:val="auto"/>
                <w:sz w:val="20"/>
                <w:szCs w:val="20"/>
              </w:rPr>
            </w:pPr>
            <w:r w:rsidRPr="009A36D2">
              <w:rPr>
                <w:color w:val="000000"/>
                <w:sz w:val="22"/>
                <w:szCs w:val="22"/>
              </w:rPr>
              <w:t>169.8</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35D8D81B" w14:textId="77777777" w:rsidR="009A36D2" w:rsidRPr="009A36D2" w:rsidRDefault="009A36D2" w:rsidP="00281A92">
            <w:pPr>
              <w:spacing w:before="0" w:after="0" w:line="240" w:lineRule="auto"/>
              <w:rPr>
                <w:color w:val="auto"/>
                <w:sz w:val="20"/>
                <w:szCs w:val="20"/>
              </w:rPr>
            </w:pPr>
            <w:r w:rsidRPr="009A36D2">
              <w:rPr>
                <w:color w:val="000000"/>
                <w:sz w:val="22"/>
                <w:szCs w:val="22"/>
              </w:rPr>
              <w:t>149.4</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5AE7601E" w14:textId="77777777" w:rsidR="009A36D2" w:rsidRPr="009A36D2" w:rsidRDefault="009A36D2" w:rsidP="00281A92">
            <w:pPr>
              <w:spacing w:before="0" w:after="0" w:line="240" w:lineRule="auto"/>
              <w:rPr>
                <w:color w:val="auto"/>
                <w:sz w:val="20"/>
                <w:szCs w:val="20"/>
              </w:rPr>
            </w:pPr>
            <w:r w:rsidRPr="009A36D2">
              <w:rPr>
                <w:color w:val="000000"/>
                <w:sz w:val="22"/>
                <w:szCs w:val="22"/>
              </w:rPr>
              <w:t>145.5</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795F56B5" w14:textId="77777777" w:rsidR="009A36D2" w:rsidRPr="009A36D2" w:rsidRDefault="009A36D2" w:rsidP="00281A92">
            <w:pPr>
              <w:spacing w:before="0" w:after="0" w:line="240" w:lineRule="auto"/>
              <w:rPr>
                <w:color w:val="auto"/>
                <w:sz w:val="20"/>
                <w:szCs w:val="20"/>
              </w:rPr>
            </w:pPr>
            <w:r w:rsidRPr="009A36D2">
              <w:rPr>
                <w:color w:val="000000"/>
                <w:sz w:val="22"/>
                <w:szCs w:val="22"/>
              </w:rPr>
              <w:t>181.6</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598E489A" w14:textId="77777777" w:rsidR="009A36D2" w:rsidRPr="009A36D2" w:rsidRDefault="009A36D2" w:rsidP="00281A92">
            <w:pPr>
              <w:spacing w:before="0" w:after="0" w:line="240" w:lineRule="auto"/>
              <w:rPr>
                <w:color w:val="auto"/>
                <w:sz w:val="20"/>
                <w:szCs w:val="20"/>
              </w:rPr>
            </w:pPr>
            <w:r w:rsidRPr="009A36D2">
              <w:rPr>
                <w:color w:val="000000"/>
                <w:sz w:val="22"/>
                <w:szCs w:val="22"/>
              </w:rPr>
              <w:t>188.3</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428416AF" w14:textId="77777777" w:rsidR="009A36D2" w:rsidRPr="009A36D2" w:rsidRDefault="009A36D2" w:rsidP="00281A92">
            <w:pPr>
              <w:spacing w:before="0" w:after="0" w:line="240" w:lineRule="auto"/>
              <w:rPr>
                <w:color w:val="auto"/>
                <w:sz w:val="20"/>
                <w:szCs w:val="20"/>
              </w:rPr>
            </w:pPr>
            <w:r w:rsidRPr="009A36D2">
              <w:rPr>
                <w:color w:val="000000"/>
                <w:sz w:val="22"/>
                <w:szCs w:val="22"/>
              </w:rPr>
              <w:t>205.3</w:t>
            </w:r>
          </w:p>
        </w:tc>
      </w:tr>
      <w:tr w:rsidR="009A36D2" w:rsidRPr="009A36D2" w14:paraId="4B3CE586"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CE30360" w14:textId="77777777" w:rsidR="009A36D2" w:rsidRPr="009A36D2" w:rsidRDefault="009A36D2" w:rsidP="00281A92">
            <w:pPr>
              <w:spacing w:before="0" w:after="0" w:line="240" w:lineRule="auto"/>
              <w:rPr>
                <w:color w:val="auto"/>
                <w:sz w:val="20"/>
                <w:szCs w:val="20"/>
              </w:rPr>
            </w:pPr>
            <w:r w:rsidRPr="009A36D2">
              <w:rPr>
                <w:color w:val="auto"/>
                <w:sz w:val="20"/>
                <w:szCs w:val="20"/>
              </w:rPr>
              <w:t>16</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5C0572F5" w14:textId="77777777" w:rsidR="009A36D2" w:rsidRPr="009A36D2" w:rsidRDefault="009A36D2" w:rsidP="00281A92">
            <w:pPr>
              <w:spacing w:before="0" w:after="0" w:line="240" w:lineRule="auto"/>
              <w:rPr>
                <w:color w:val="auto"/>
                <w:sz w:val="20"/>
                <w:szCs w:val="20"/>
              </w:rPr>
            </w:pPr>
            <w:r w:rsidRPr="009A36D2">
              <w:rPr>
                <w:color w:val="000000"/>
                <w:sz w:val="22"/>
                <w:szCs w:val="22"/>
              </w:rPr>
              <w:t>202.2</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58180F39" w14:textId="77777777" w:rsidR="009A36D2" w:rsidRPr="009A36D2" w:rsidRDefault="009A36D2" w:rsidP="00281A92">
            <w:pPr>
              <w:spacing w:before="0" w:after="0" w:line="240" w:lineRule="auto"/>
              <w:rPr>
                <w:color w:val="auto"/>
                <w:sz w:val="20"/>
                <w:szCs w:val="20"/>
              </w:rPr>
            </w:pPr>
            <w:r w:rsidRPr="009A36D2">
              <w:rPr>
                <w:color w:val="000000"/>
                <w:sz w:val="22"/>
                <w:szCs w:val="22"/>
              </w:rPr>
              <w:t>172.3</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2E0CDEF7" w14:textId="77777777" w:rsidR="009A36D2" w:rsidRPr="009A36D2" w:rsidRDefault="009A36D2" w:rsidP="00281A92">
            <w:pPr>
              <w:spacing w:before="0" w:after="0" w:line="240" w:lineRule="auto"/>
              <w:rPr>
                <w:color w:val="auto"/>
                <w:sz w:val="20"/>
                <w:szCs w:val="20"/>
              </w:rPr>
            </w:pPr>
            <w:r w:rsidRPr="009A36D2">
              <w:rPr>
                <w:color w:val="000000"/>
                <w:sz w:val="22"/>
                <w:szCs w:val="22"/>
              </w:rPr>
              <w:t>196.0</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3ED27ABA" w14:textId="77777777" w:rsidR="009A36D2" w:rsidRPr="009A36D2" w:rsidRDefault="009A36D2" w:rsidP="00281A92">
            <w:pPr>
              <w:spacing w:before="0" w:after="0" w:line="240" w:lineRule="auto"/>
              <w:rPr>
                <w:color w:val="auto"/>
                <w:sz w:val="20"/>
                <w:szCs w:val="20"/>
              </w:rPr>
            </w:pPr>
            <w:r w:rsidRPr="009A36D2">
              <w:rPr>
                <w:color w:val="000000"/>
                <w:sz w:val="22"/>
                <w:szCs w:val="22"/>
              </w:rPr>
              <w:t>192.2</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2BBB18F9" w14:textId="77777777" w:rsidR="009A36D2" w:rsidRPr="009A36D2" w:rsidRDefault="009A36D2" w:rsidP="00281A92">
            <w:pPr>
              <w:spacing w:before="0" w:after="0" w:line="240" w:lineRule="auto"/>
              <w:rPr>
                <w:color w:val="auto"/>
                <w:sz w:val="20"/>
                <w:szCs w:val="20"/>
              </w:rPr>
            </w:pPr>
            <w:r w:rsidRPr="009A36D2">
              <w:rPr>
                <w:color w:val="000000"/>
                <w:sz w:val="22"/>
                <w:szCs w:val="22"/>
              </w:rPr>
              <w:t>167.0</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43B9D569" w14:textId="77777777" w:rsidR="009A36D2" w:rsidRPr="009A36D2" w:rsidRDefault="009A36D2" w:rsidP="00281A92">
            <w:pPr>
              <w:spacing w:before="0" w:after="0" w:line="240" w:lineRule="auto"/>
              <w:rPr>
                <w:color w:val="auto"/>
                <w:sz w:val="20"/>
                <w:szCs w:val="20"/>
              </w:rPr>
            </w:pPr>
            <w:r w:rsidRPr="009A36D2">
              <w:rPr>
                <w:color w:val="000000"/>
                <w:sz w:val="22"/>
                <w:szCs w:val="22"/>
              </w:rPr>
              <w:t>194.2</w:t>
            </w:r>
          </w:p>
        </w:tc>
      </w:tr>
      <w:tr w:rsidR="009A36D2" w:rsidRPr="009A36D2" w14:paraId="64D59203"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A3E3159" w14:textId="77777777" w:rsidR="009A36D2" w:rsidRPr="009A36D2" w:rsidRDefault="009A36D2" w:rsidP="00281A92">
            <w:pPr>
              <w:spacing w:before="0" w:after="0" w:line="240" w:lineRule="auto"/>
              <w:rPr>
                <w:color w:val="auto"/>
                <w:sz w:val="20"/>
                <w:szCs w:val="20"/>
              </w:rPr>
            </w:pPr>
            <w:r w:rsidRPr="009A36D2">
              <w:rPr>
                <w:color w:val="auto"/>
                <w:sz w:val="20"/>
                <w:szCs w:val="20"/>
              </w:rPr>
              <w:t>17</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3EF82436" w14:textId="77777777" w:rsidR="009A36D2" w:rsidRPr="009A36D2" w:rsidRDefault="009A36D2" w:rsidP="00281A92">
            <w:pPr>
              <w:spacing w:before="0" w:after="0" w:line="240" w:lineRule="auto"/>
              <w:rPr>
                <w:color w:val="auto"/>
                <w:sz w:val="20"/>
                <w:szCs w:val="20"/>
              </w:rPr>
            </w:pPr>
            <w:r w:rsidRPr="009A36D2">
              <w:rPr>
                <w:color w:val="000000"/>
                <w:sz w:val="22"/>
                <w:szCs w:val="22"/>
              </w:rPr>
              <w:t>232.0</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5091EF47" w14:textId="77777777" w:rsidR="009A36D2" w:rsidRPr="009A36D2" w:rsidRDefault="009A36D2" w:rsidP="00281A92">
            <w:pPr>
              <w:spacing w:before="0" w:after="0" w:line="240" w:lineRule="auto"/>
              <w:rPr>
                <w:color w:val="auto"/>
                <w:sz w:val="20"/>
                <w:szCs w:val="20"/>
              </w:rPr>
            </w:pPr>
            <w:r w:rsidRPr="009A36D2">
              <w:rPr>
                <w:color w:val="000000"/>
                <w:sz w:val="22"/>
                <w:szCs w:val="22"/>
              </w:rPr>
              <w:t>171.2</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09955176" w14:textId="77777777" w:rsidR="009A36D2" w:rsidRPr="009A36D2" w:rsidRDefault="009A36D2" w:rsidP="00281A92">
            <w:pPr>
              <w:spacing w:before="0" w:after="0" w:line="240" w:lineRule="auto"/>
              <w:rPr>
                <w:color w:val="auto"/>
                <w:sz w:val="20"/>
                <w:szCs w:val="20"/>
              </w:rPr>
            </w:pPr>
            <w:r w:rsidRPr="009A36D2">
              <w:rPr>
                <w:color w:val="000000"/>
                <w:sz w:val="22"/>
                <w:szCs w:val="22"/>
              </w:rPr>
              <w:t>167.8</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4062C71A" w14:textId="77777777" w:rsidR="009A36D2" w:rsidRPr="009A36D2" w:rsidRDefault="009A36D2" w:rsidP="00281A92">
            <w:pPr>
              <w:spacing w:before="0" w:after="0" w:line="240" w:lineRule="auto"/>
              <w:rPr>
                <w:color w:val="auto"/>
                <w:sz w:val="20"/>
                <w:szCs w:val="20"/>
              </w:rPr>
            </w:pPr>
            <w:r w:rsidRPr="009A36D2">
              <w:rPr>
                <w:color w:val="000000"/>
                <w:sz w:val="22"/>
                <w:szCs w:val="22"/>
              </w:rPr>
              <w:t>183.9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287D02DE" w14:textId="77777777" w:rsidR="009A36D2" w:rsidRPr="009A36D2" w:rsidRDefault="009A36D2" w:rsidP="00281A92">
            <w:pPr>
              <w:spacing w:before="0" w:after="0" w:line="240" w:lineRule="auto"/>
              <w:rPr>
                <w:color w:val="auto"/>
                <w:sz w:val="20"/>
                <w:szCs w:val="20"/>
              </w:rPr>
            </w:pPr>
            <w:r w:rsidRPr="009A36D2">
              <w:rPr>
                <w:color w:val="000000"/>
                <w:sz w:val="22"/>
                <w:szCs w:val="22"/>
              </w:rPr>
              <w:t>198.6</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5EE3D0FE" w14:textId="77777777" w:rsidR="009A36D2" w:rsidRPr="009A36D2" w:rsidRDefault="009A36D2" w:rsidP="00281A92">
            <w:pPr>
              <w:spacing w:before="0" w:after="0" w:line="240" w:lineRule="auto"/>
              <w:rPr>
                <w:color w:val="auto"/>
                <w:sz w:val="20"/>
                <w:szCs w:val="20"/>
              </w:rPr>
            </w:pPr>
            <w:r w:rsidRPr="009A36D2">
              <w:rPr>
                <w:color w:val="000000"/>
                <w:sz w:val="22"/>
                <w:szCs w:val="22"/>
              </w:rPr>
              <w:t>266.3</w:t>
            </w:r>
          </w:p>
        </w:tc>
      </w:tr>
      <w:tr w:rsidR="009A36D2" w:rsidRPr="009A36D2" w14:paraId="4A2C622B"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04F72F3" w14:textId="77777777" w:rsidR="009A36D2" w:rsidRPr="009A36D2" w:rsidRDefault="009A36D2" w:rsidP="00281A92">
            <w:pPr>
              <w:spacing w:before="0" w:after="0" w:line="240" w:lineRule="auto"/>
              <w:rPr>
                <w:color w:val="auto"/>
                <w:sz w:val="20"/>
                <w:szCs w:val="20"/>
              </w:rPr>
            </w:pPr>
            <w:r w:rsidRPr="009A36D2">
              <w:rPr>
                <w:color w:val="auto"/>
                <w:sz w:val="20"/>
                <w:szCs w:val="20"/>
              </w:rPr>
              <w:t>18</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32F9C9C4" w14:textId="77777777" w:rsidR="009A36D2" w:rsidRPr="009A36D2" w:rsidRDefault="009A36D2" w:rsidP="00281A92">
            <w:pPr>
              <w:spacing w:before="0" w:after="0" w:line="240" w:lineRule="auto"/>
              <w:rPr>
                <w:color w:val="auto"/>
                <w:sz w:val="20"/>
                <w:szCs w:val="20"/>
              </w:rPr>
            </w:pPr>
            <w:r w:rsidRPr="009A36D2">
              <w:rPr>
                <w:color w:val="000000"/>
                <w:sz w:val="22"/>
                <w:szCs w:val="22"/>
              </w:rPr>
              <w:t>235.4</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33BE36DA" w14:textId="77777777" w:rsidR="009A36D2" w:rsidRPr="009A36D2" w:rsidRDefault="009A36D2" w:rsidP="00281A92">
            <w:pPr>
              <w:spacing w:before="0" w:after="0" w:line="240" w:lineRule="auto"/>
              <w:rPr>
                <w:color w:val="auto"/>
                <w:sz w:val="20"/>
                <w:szCs w:val="20"/>
              </w:rPr>
            </w:pPr>
            <w:r w:rsidRPr="009A36D2">
              <w:rPr>
                <w:color w:val="000000"/>
                <w:sz w:val="22"/>
                <w:szCs w:val="22"/>
              </w:rPr>
              <w:t>195.8</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234B0A16" w14:textId="77777777" w:rsidR="009A36D2" w:rsidRPr="009A36D2" w:rsidRDefault="009A36D2" w:rsidP="00281A92">
            <w:pPr>
              <w:spacing w:before="0" w:after="0" w:line="240" w:lineRule="auto"/>
              <w:rPr>
                <w:color w:val="auto"/>
                <w:sz w:val="20"/>
                <w:szCs w:val="20"/>
              </w:rPr>
            </w:pPr>
            <w:r w:rsidRPr="009A36D2">
              <w:rPr>
                <w:color w:val="000000"/>
                <w:sz w:val="22"/>
                <w:szCs w:val="22"/>
              </w:rPr>
              <w:t>162.9</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10CEAD03" w14:textId="77777777" w:rsidR="009A36D2" w:rsidRPr="009A36D2" w:rsidRDefault="009A36D2" w:rsidP="00281A92">
            <w:pPr>
              <w:spacing w:before="0" w:after="0" w:line="240" w:lineRule="auto"/>
              <w:rPr>
                <w:color w:val="auto"/>
                <w:sz w:val="20"/>
                <w:szCs w:val="20"/>
              </w:rPr>
            </w:pPr>
            <w:r w:rsidRPr="009A36D2">
              <w:rPr>
                <w:color w:val="000000"/>
                <w:sz w:val="22"/>
                <w:szCs w:val="22"/>
              </w:rPr>
              <w:t>201.7</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63CFF659" w14:textId="77777777" w:rsidR="009A36D2" w:rsidRPr="009A36D2" w:rsidRDefault="009A36D2" w:rsidP="00281A92">
            <w:pPr>
              <w:spacing w:before="0" w:after="0" w:line="240" w:lineRule="auto"/>
              <w:rPr>
                <w:color w:val="auto"/>
                <w:sz w:val="20"/>
                <w:szCs w:val="20"/>
              </w:rPr>
            </w:pPr>
            <w:r w:rsidRPr="009A36D2">
              <w:rPr>
                <w:color w:val="000000"/>
                <w:sz w:val="22"/>
                <w:szCs w:val="22"/>
              </w:rPr>
              <w:t>217.2</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3C2A9F41" w14:textId="77777777" w:rsidR="009A36D2" w:rsidRPr="009A36D2" w:rsidRDefault="009A36D2" w:rsidP="00281A92">
            <w:pPr>
              <w:spacing w:before="0" w:after="0" w:line="240" w:lineRule="auto"/>
              <w:rPr>
                <w:color w:val="auto"/>
                <w:sz w:val="20"/>
                <w:szCs w:val="20"/>
              </w:rPr>
            </w:pPr>
            <w:r w:rsidRPr="009A36D2">
              <w:rPr>
                <w:color w:val="000000"/>
                <w:sz w:val="22"/>
                <w:szCs w:val="22"/>
              </w:rPr>
              <w:t>209.8</w:t>
            </w:r>
          </w:p>
        </w:tc>
      </w:tr>
      <w:tr w:rsidR="009A36D2" w:rsidRPr="009A36D2" w14:paraId="5296D3EC"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23BEF87E" w14:textId="77777777" w:rsidR="009A36D2" w:rsidRPr="009A36D2" w:rsidRDefault="009A36D2" w:rsidP="00281A92">
            <w:pPr>
              <w:spacing w:before="0" w:after="0" w:line="240" w:lineRule="auto"/>
              <w:rPr>
                <w:color w:val="auto"/>
                <w:sz w:val="20"/>
                <w:szCs w:val="20"/>
              </w:rPr>
            </w:pPr>
            <w:r w:rsidRPr="009A36D2">
              <w:rPr>
                <w:color w:val="auto"/>
                <w:sz w:val="20"/>
                <w:szCs w:val="20"/>
              </w:rPr>
              <w:t>19</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704FD0B0" w14:textId="77777777" w:rsidR="009A36D2" w:rsidRPr="009A36D2" w:rsidRDefault="009A36D2" w:rsidP="00281A92">
            <w:pPr>
              <w:spacing w:before="0" w:after="0" w:line="240" w:lineRule="auto"/>
              <w:rPr>
                <w:color w:val="auto"/>
                <w:sz w:val="20"/>
                <w:szCs w:val="20"/>
              </w:rPr>
            </w:pPr>
            <w:r w:rsidRPr="009A36D2">
              <w:rPr>
                <w:color w:val="000000"/>
                <w:sz w:val="22"/>
                <w:szCs w:val="22"/>
              </w:rPr>
              <w:t>275.7</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4105E4C0" w14:textId="77777777" w:rsidR="009A36D2" w:rsidRPr="009A36D2" w:rsidRDefault="009A36D2" w:rsidP="00281A92">
            <w:pPr>
              <w:spacing w:before="0" w:after="0" w:line="240" w:lineRule="auto"/>
              <w:rPr>
                <w:color w:val="auto"/>
                <w:sz w:val="20"/>
                <w:szCs w:val="20"/>
              </w:rPr>
            </w:pPr>
            <w:r w:rsidRPr="009A36D2">
              <w:rPr>
                <w:color w:val="000000"/>
                <w:sz w:val="22"/>
                <w:szCs w:val="22"/>
              </w:rPr>
              <w:t>241.3</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1A257A7C" w14:textId="77777777" w:rsidR="009A36D2" w:rsidRPr="009A36D2" w:rsidRDefault="009A36D2" w:rsidP="00281A92">
            <w:pPr>
              <w:spacing w:before="0" w:after="0" w:line="240" w:lineRule="auto"/>
              <w:rPr>
                <w:color w:val="auto"/>
                <w:sz w:val="20"/>
                <w:szCs w:val="20"/>
              </w:rPr>
            </w:pPr>
            <w:r w:rsidRPr="009A36D2">
              <w:rPr>
                <w:color w:val="000000"/>
                <w:sz w:val="22"/>
                <w:szCs w:val="22"/>
              </w:rPr>
              <w:t>225.5</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2AD8ADA2" w14:textId="77777777" w:rsidR="009A36D2" w:rsidRPr="009A36D2" w:rsidRDefault="009A36D2" w:rsidP="00281A92">
            <w:pPr>
              <w:spacing w:before="0" w:after="0" w:line="240" w:lineRule="auto"/>
              <w:rPr>
                <w:color w:val="auto"/>
                <w:sz w:val="20"/>
                <w:szCs w:val="20"/>
              </w:rPr>
            </w:pPr>
            <w:r w:rsidRPr="009A36D2">
              <w:rPr>
                <w:color w:val="000000"/>
                <w:sz w:val="22"/>
                <w:szCs w:val="22"/>
              </w:rPr>
              <w:t>239.0</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5589D75F" w14:textId="77777777" w:rsidR="009A36D2" w:rsidRPr="009A36D2" w:rsidRDefault="009A36D2" w:rsidP="00281A92">
            <w:pPr>
              <w:spacing w:before="0" w:after="0" w:line="240" w:lineRule="auto"/>
              <w:rPr>
                <w:color w:val="auto"/>
                <w:sz w:val="20"/>
                <w:szCs w:val="20"/>
              </w:rPr>
            </w:pPr>
            <w:r w:rsidRPr="009A36D2">
              <w:rPr>
                <w:color w:val="000000"/>
                <w:sz w:val="22"/>
                <w:szCs w:val="22"/>
              </w:rPr>
              <w:t>276.6</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24184835" w14:textId="77777777" w:rsidR="009A36D2" w:rsidRPr="009A36D2" w:rsidRDefault="009A36D2" w:rsidP="00281A92">
            <w:pPr>
              <w:spacing w:before="0" w:after="0" w:line="240" w:lineRule="auto"/>
              <w:rPr>
                <w:color w:val="auto"/>
                <w:sz w:val="20"/>
                <w:szCs w:val="20"/>
              </w:rPr>
            </w:pPr>
            <w:r w:rsidRPr="009A36D2">
              <w:rPr>
                <w:color w:val="000000"/>
                <w:sz w:val="22"/>
                <w:szCs w:val="22"/>
              </w:rPr>
              <w:t>283.9</w:t>
            </w:r>
          </w:p>
        </w:tc>
      </w:tr>
      <w:tr w:rsidR="009A36D2" w:rsidRPr="009A36D2" w14:paraId="174FB9F7"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F4CE730" w14:textId="77777777" w:rsidR="009A36D2" w:rsidRPr="009A36D2" w:rsidRDefault="009A36D2" w:rsidP="00281A92">
            <w:pPr>
              <w:spacing w:before="0" w:after="0" w:line="240" w:lineRule="auto"/>
              <w:rPr>
                <w:color w:val="auto"/>
                <w:sz w:val="20"/>
                <w:szCs w:val="20"/>
              </w:rPr>
            </w:pPr>
            <w:r w:rsidRPr="009A36D2">
              <w:rPr>
                <w:color w:val="auto"/>
                <w:sz w:val="20"/>
                <w:szCs w:val="20"/>
              </w:rPr>
              <w:t>20</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444E1034" w14:textId="77777777" w:rsidR="009A36D2" w:rsidRPr="009A36D2" w:rsidRDefault="009A36D2" w:rsidP="00281A92">
            <w:pPr>
              <w:spacing w:before="0" w:after="0" w:line="240" w:lineRule="auto"/>
              <w:rPr>
                <w:color w:val="auto"/>
                <w:sz w:val="20"/>
                <w:szCs w:val="20"/>
              </w:rPr>
            </w:pPr>
            <w:r w:rsidRPr="009A36D2">
              <w:rPr>
                <w:color w:val="000000"/>
                <w:sz w:val="22"/>
                <w:szCs w:val="22"/>
              </w:rPr>
              <w:t>159.1</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01D066CC" w14:textId="77777777" w:rsidR="009A36D2" w:rsidRPr="009A36D2" w:rsidRDefault="009A36D2" w:rsidP="00281A92">
            <w:pPr>
              <w:spacing w:before="0" w:after="0" w:line="240" w:lineRule="auto"/>
              <w:rPr>
                <w:color w:val="auto"/>
                <w:sz w:val="20"/>
                <w:szCs w:val="20"/>
              </w:rPr>
            </w:pPr>
            <w:r w:rsidRPr="009A36D2">
              <w:rPr>
                <w:color w:val="000000"/>
                <w:sz w:val="22"/>
                <w:szCs w:val="22"/>
              </w:rPr>
              <w:t>136.1</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330453A9" w14:textId="77777777" w:rsidR="009A36D2" w:rsidRPr="009A36D2" w:rsidRDefault="009A36D2" w:rsidP="00281A92">
            <w:pPr>
              <w:spacing w:before="0" w:after="0" w:line="240" w:lineRule="auto"/>
              <w:rPr>
                <w:color w:val="auto"/>
                <w:sz w:val="20"/>
                <w:szCs w:val="20"/>
              </w:rPr>
            </w:pPr>
            <w:r w:rsidRPr="009A36D2">
              <w:rPr>
                <w:color w:val="000000"/>
                <w:sz w:val="22"/>
                <w:szCs w:val="22"/>
              </w:rPr>
              <w:t>128.5</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480A5309" w14:textId="77777777" w:rsidR="009A36D2" w:rsidRPr="009A36D2" w:rsidRDefault="009A36D2" w:rsidP="00281A92">
            <w:pPr>
              <w:spacing w:before="0" w:after="0" w:line="240" w:lineRule="auto"/>
              <w:rPr>
                <w:color w:val="auto"/>
                <w:sz w:val="20"/>
                <w:szCs w:val="20"/>
              </w:rPr>
            </w:pPr>
            <w:r w:rsidRPr="009A36D2">
              <w:rPr>
                <w:color w:val="000000"/>
                <w:sz w:val="22"/>
                <w:szCs w:val="22"/>
              </w:rPr>
              <w:t>127.6</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4F206C8A" w14:textId="77777777" w:rsidR="009A36D2" w:rsidRPr="009A36D2" w:rsidRDefault="009A36D2" w:rsidP="00281A92">
            <w:pPr>
              <w:spacing w:before="0" w:after="0" w:line="240" w:lineRule="auto"/>
              <w:rPr>
                <w:color w:val="auto"/>
                <w:sz w:val="20"/>
                <w:szCs w:val="20"/>
              </w:rPr>
            </w:pPr>
            <w:r w:rsidRPr="009A36D2">
              <w:rPr>
                <w:color w:val="000000"/>
                <w:sz w:val="22"/>
                <w:szCs w:val="22"/>
              </w:rPr>
              <w:t>142.8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29F0D608" w14:textId="77777777" w:rsidR="009A36D2" w:rsidRPr="009A36D2" w:rsidRDefault="009A36D2" w:rsidP="00281A92">
            <w:pPr>
              <w:spacing w:before="0" w:after="0" w:line="240" w:lineRule="auto"/>
              <w:rPr>
                <w:color w:val="auto"/>
                <w:sz w:val="20"/>
                <w:szCs w:val="20"/>
              </w:rPr>
            </w:pPr>
            <w:r w:rsidRPr="009A36D2">
              <w:rPr>
                <w:color w:val="000000"/>
                <w:sz w:val="22"/>
                <w:szCs w:val="22"/>
              </w:rPr>
              <w:t>145.8</w:t>
            </w:r>
          </w:p>
        </w:tc>
      </w:tr>
      <w:tr w:rsidR="009A36D2" w:rsidRPr="009A36D2" w14:paraId="366B3BB4"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89DF007" w14:textId="77777777" w:rsidR="009A36D2" w:rsidRPr="009A36D2" w:rsidRDefault="009A36D2" w:rsidP="00281A92">
            <w:pPr>
              <w:spacing w:before="0" w:after="0" w:line="240" w:lineRule="auto"/>
              <w:rPr>
                <w:color w:val="auto"/>
                <w:sz w:val="20"/>
                <w:szCs w:val="20"/>
              </w:rPr>
            </w:pPr>
            <w:r w:rsidRPr="009A36D2">
              <w:rPr>
                <w:color w:val="auto"/>
                <w:sz w:val="20"/>
                <w:szCs w:val="20"/>
              </w:rPr>
              <w:t>21</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0E0E1855" w14:textId="77777777" w:rsidR="009A36D2" w:rsidRPr="009A36D2" w:rsidRDefault="009A36D2" w:rsidP="00281A92">
            <w:pPr>
              <w:spacing w:before="0" w:after="0" w:line="240" w:lineRule="auto"/>
              <w:rPr>
                <w:color w:val="auto"/>
                <w:sz w:val="20"/>
                <w:szCs w:val="20"/>
              </w:rPr>
            </w:pPr>
            <w:r w:rsidRPr="009A36D2">
              <w:rPr>
                <w:color w:val="000000"/>
                <w:sz w:val="22"/>
                <w:szCs w:val="22"/>
              </w:rPr>
              <w:t>176.2</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4DC83BE9" w14:textId="77777777" w:rsidR="009A36D2" w:rsidRPr="009A36D2" w:rsidRDefault="009A36D2" w:rsidP="00281A92">
            <w:pPr>
              <w:spacing w:before="0" w:after="0" w:line="240" w:lineRule="auto"/>
              <w:rPr>
                <w:color w:val="auto"/>
                <w:sz w:val="20"/>
                <w:szCs w:val="20"/>
              </w:rPr>
            </w:pPr>
            <w:r w:rsidRPr="009A36D2">
              <w:rPr>
                <w:color w:val="000000"/>
                <w:sz w:val="22"/>
                <w:szCs w:val="22"/>
              </w:rPr>
              <w:t>145.5</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15AF3AFB" w14:textId="77777777" w:rsidR="009A36D2" w:rsidRPr="009A36D2" w:rsidRDefault="009A36D2" w:rsidP="00281A92">
            <w:pPr>
              <w:spacing w:before="0" w:after="0" w:line="240" w:lineRule="auto"/>
              <w:rPr>
                <w:color w:val="auto"/>
                <w:sz w:val="20"/>
                <w:szCs w:val="20"/>
              </w:rPr>
            </w:pPr>
            <w:r w:rsidRPr="009A36D2">
              <w:rPr>
                <w:color w:val="000000"/>
                <w:sz w:val="22"/>
                <w:szCs w:val="22"/>
              </w:rPr>
              <w:t>150.3</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7E7660C8" w14:textId="77777777" w:rsidR="009A36D2" w:rsidRPr="009A36D2" w:rsidRDefault="009A36D2" w:rsidP="00281A92">
            <w:pPr>
              <w:spacing w:before="0" w:after="0" w:line="240" w:lineRule="auto"/>
              <w:rPr>
                <w:color w:val="auto"/>
                <w:sz w:val="20"/>
                <w:szCs w:val="20"/>
              </w:rPr>
            </w:pPr>
            <w:r w:rsidRPr="009A36D2">
              <w:rPr>
                <w:color w:val="000000"/>
                <w:sz w:val="22"/>
                <w:szCs w:val="22"/>
              </w:rPr>
              <w:t>124.8</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1E6BE24D" w14:textId="77777777" w:rsidR="009A36D2" w:rsidRPr="009A36D2" w:rsidRDefault="009A36D2" w:rsidP="00281A92">
            <w:pPr>
              <w:spacing w:before="0" w:after="0" w:line="240" w:lineRule="auto"/>
              <w:rPr>
                <w:color w:val="auto"/>
                <w:sz w:val="20"/>
                <w:szCs w:val="20"/>
              </w:rPr>
            </w:pPr>
            <w:r w:rsidRPr="009A36D2">
              <w:rPr>
                <w:color w:val="000000"/>
                <w:sz w:val="22"/>
                <w:szCs w:val="22"/>
              </w:rPr>
              <w:t>147.6</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2BD57160" w14:textId="77777777" w:rsidR="009A36D2" w:rsidRPr="009A36D2" w:rsidRDefault="009A36D2" w:rsidP="00281A92">
            <w:pPr>
              <w:spacing w:before="0" w:after="0" w:line="240" w:lineRule="auto"/>
              <w:rPr>
                <w:color w:val="auto"/>
                <w:sz w:val="20"/>
                <w:szCs w:val="20"/>
              </w:rPr>
            </w:pPr>
            <w:r w:rsidRPr="009A36D2">
              <w:rPr>
                <w:color w:val="000000"/>
                <w:sz w:val="22"/>
                <w:szCs w:val="22"/>
              </w:rPr>
              <w:t>173.9</w:t>
            </w:r>
          </w:p>
        </w:tc>
      </w:tr>
      <w:tr w:rsidR="009A36D2" w:rsidRPr="009A36D2" w14:paraId="2B79AC52"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ADE3B56" w14:textId="77777777" w:rsidR="009A36D2" w:rsidRPr="009A36D2" w:rsidRDefault="009A36D2" w:rsidP="00281A92">
            <w:pPr>
              <w:spacing w:before="0" w:after="0" w:line="240" w:lineRule="auto"/>
              <w:rPr>
                <w:color w:val="auto"/>
                <w:sz w:val="20"/>
                <w:szCs w:val="20"/>
              </w:rPr>
            </w:pPr>
            <w:r w:rsidRPr="009A36D2">
              <w:rPr>
                <w:color w:val="auto"/>
                <w:sz w:val="20"/>
                <w:szCs w:val="20"/>
              </w:rPr>
              <w:t>22</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4A972F01" w14:textId="77777777" w:rsidR="009A36D2" w:rsidRPr="009A36D2" w:rsidRDefault="009A36D2" w:rsidP="00281A92">
            <w:pPr>
              <w:spacing w:before="0" w:after="0" w:line="240" w:lineRule="auto"/>
              <w:rPr>
                <w:color w:val="auto"/>
                <w:sz w:val="20"/>
                <w:szCs w:val="20"/>
              </w:rPr>
            </w:pPr>
            <w:r w:rsidRPr="009A36D2">
              <w:rPr>
                <w:color w:val="000000"/>
                <w:sz w:val="22"/>
                <w:szCs w:val="22"/>
              </w:rPr>
              <w:t>213.8</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24F30E42" w14:textId="77777777" w:rsidR="009A36D2" w:rsidRPr="009A36D2" w:rsidRDefault="009A36D2" w:rsidP="00281A92">
            <w:pPr>
              <w:spacing w:before="0" w:after="0" w:line="240" w:lineRule="auto"/>
              <w:rPr>
                <w:color w:val="auto"/>
                <w:sz w:val="20"/>
                <w:szCs w:val="20"/>
              </w:rPr>
            </w:pPr>
            <w:r w:rsidRPr="009A36D2">
              <w:rPr>
                <w:color w:val="000000"/>
                <w:sz w:val="22"/>
                <w:szCs w:val="22"/>
              </w:rPr>
              <w:t>179.3</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1B76CC1A" w14:textId="77777777" w:rsidR="009A36D2" w:rsidRPr="009A36D2" w:rsidRDefault="009A36D2" w:rsidP="00281A92">
            <w:pPr>
              <w:spacing w:before="0" w:after="0" w:line="240" w:lineRule="auto"/>
              <w:rPr>
                <w:color w:val="auto"/>
                <w:sz w:val="20"/>
                <w:szCs w:val="20"/>
              </w:rPr>
            </w:pPr>
            <w:r w:rsidRPr="009A36D2">
              <w:rPr>
                <w:color w:val="000000"/>
                <w:sz w:val="22"/>
                <w:szCs w:val="22"/>
              </w:rPr>
              <w:t>179.2</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3780B7EB" w14:textId="77777777" w:rsidR="009A36D2" w:rsidRPr="009A36D2" w:rsidRDefault="009A36D2" w:rsidP="00281A92">
            <w:pPr>
              <w:spacing w:before="0" w:after="0" w:line="240" w:lineRule="auto"/>
              <w:rPr>
                <w:color w:val="auto"/>
                <w:sz w:val="20"/>
                <w:szCs w:val="20"/>
              </w:rPr>
            </w:pPr>
            <w:r w:rsidRPr="009A36D2">
              <w:rPr>
                <w:color w:val="000000"/>
                <w:sz w:val="22"/>
                <w:szCs w:val="22"/>
              </w:rPr>
              <w:t>174.2</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601C8E3B" w14:textId="77777777" w:rsidR="009A36D2" w:rsidRPr="009A36D2" w:rsidRDefault="009A36D2" w:rsidP="00281A92">
            <w:pPr>
              <w:spacing w:before="0" w:after="0" w:line="240" w:lineRule="auto"/>
              <w:rPr>
                <w:color w:val="auto"/>
                <w:sz w:val="20"/>
                <w:szCs w:val="20"/>
              </w:rPr>
            </w:pPr>
            <w:r w:rsidRPr="009A36D2">
              <w:rPr>
                <w:color w:val="000000"/>
                <w:sz w:val="22"/>
                <w:szCs w:val="22"/>
              </w:rPr>
              <w:t>187.1</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428961CC" w14:textId="77777777" w:rsidR="009A36D2" w:rsidRPr="009A36D2" w:rsidRDefault="009A36D2" w:rsidP="00281A92">
            <w:pPr>
              <w:spacing w:before="0" w:after="0" w:line="240" w:lineRule="auto"/>
              <w:rPr>
                <w:color w:val="auto"/>
                <w:sz w:val="20"/>
                <w:szCs w:val="20"/>
              </w:rPr>
            </w:pPr>
            <w:r w:rsidRPr="009A36D2">
              <w:rPr>
                <w:color w:val="000000"/>
                <w:sz w:val="22"/>
                <w:szCs w:val="22"/>
              </w:rPr>
              <w:t>199.0</w:t>
            </w:r>
          </w:p>
        </w:tc>
      </w:tr>
      <w:tr w:rsidR="009A36D2" w:rsidRPr="009A36D2" w14:paraId="78A41F88"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5D49E20" w14:textId="77777777" w:rsidR="009A36D2" w:rsidRPr="009A36D2" w:rsidRDefault="009A36D2" w:rsidP="00281A92">
            <w:pPr>
              <w:spacing w:before="0" w:after="0" w:line="240" w:lineRule="auto"/>
              <w:rPr>
                <w:color w:val="auto"/>
                <w:sz w:val="20"/>
                <w:szCs w:val="20"/>
              </w:rPr>
            </w:pPr>
            <w:r w:rsidRPr="009A36D2">
              <w:rPr>
                <w:color w:val="auto"/>
                <w:sz w:val="20"/>
                <w:szCs w:val="20"/>
              </w:rPr>
              <w:t>23</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78C337BE" w14:textId="77777777" w:rsidR="009A36D2" w:rsidRPr="009A36D2" w:rsidRDefault="009A36D2" w:rsidP="00281A92">
            <w:pPr>
              <w:spacing w:before="0" w:after="0" w:line="240" w:lineRule="auto"/>
              <w:rPr>
                <w:color w:val="auto"/>
                <w:sz w:val="20"/>
                <w:szCs w:val="20"/>
              </w:rPr>
            </w:pPr>
            <w:r w:rsidRPr="009A36D2">
              <w:rPr>
                <w:color w:val="000000"/>
                <w:sz w:val="22"/>
                <w:szCs w:val="22"/>
              </w:rPr>
              <w:t>159.6</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743E799E" w14:textId="77777777" w:rsidR="009A36D2" w:rsidRPr="009A36D2" w:rsidRDefault="009A36D2" w:rsidP="00281A92">
            <w:pPr>
              <w:spacing w:before="0" w:after="0" w:line="240" w:lineRule="auto"/>
              <w:rPr>
                <w:color w:val="auto"/>
                <w:sz w:val="20"/>
                <w:szCs w:val="20"/>
              </w:rPr>
            </w:pPr>
            <w:r w:rsidRPr="009A36D2">
              <w:rPr>
                <w:color w:val="000000"/>
                <w:sz w:val="22"/>
                <w:szCs w:val="22"/>
              </w:rPr>
              <w:t>145.8</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1BCC9D82" w14:textId="77777777" w:rsidR="009A36D2" w:rsidRPr="009A36D2" w:rsidRDefault="009A36D2" w:rsidP="00281A92">
            <w:pPr>
              <w:spacing w:before="0" w:after="0" w:line="240" w:lineRule="auto"/>
              <w:rPr>
                <w:color w:val="auto"/>
                <w:sz w:val="20"/>
                <w:szCs w:val="20"/>
              </w:rPr>
            </w:pPr>
            <w:r w:rsidRPr="009A36D2">
              <w:rPr>
                <w:color w:val="000000"/>
                <w:sz w:val="22"/>
                <w:szCs w:val="22"/>
              </w:rPr>
              <w:t>141.9</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13C3487D" w14:textId="77777777" w:rsidR="009A36D2" w:rsidRPr="009A36D2" w:rsidRDefault="009A36D2" w:rsidP="00281A92">
            <w:pPr>
              <w:spacing w:before="0" w:after="0" w:line="240" w:lineRule="auto"/>
              <w:rPr>
                <w:color w:val="auto"/>
                <w:sz w:val="20"/>
                <w:szCs w:val="20"/>
              </w:rPr>
            </w:pPr>
            <w:r w:rsidRPr="009A36D2">
              <w:rPr>
                <w:color w:val="000000"/>
                <w:sz w:val="22"/>
                <w:szCs w:val="22"/>
              </w:rPr>
              <w:t>175.9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45C0A918" w14:textId="77777777" w:rsidR="009A36D2" w:rsidRPr="009A36D2" w:rsidRDefault="009A36D2" w:rsidP="00281A92">
            <w:pPr>
              <w:spacing w:before="0" w:after="0" w:line="240" w:lineRule="auto"/>
              <w:rPr>
                <w:color w:val="auto"/>
                <w:sz w:val="20"/>
                <w:szCs w:val="20"/>
              </w:rPr>
            </w:pPr>
            <w:r w:rsidRPr="009A36D2">
              <w:rPr>
                <w:color w:val="000000"/>
                <w:sz w:val="22"/>
                <w:szCs w:val="22"/>
              </w:rPr>
              <w:t>175.5</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0B23D4B7" w14:textId="77777777" w:rsidR="009A36D2" w:rsidRPr="009A36D2" w:rsidRDefault="009A36D2" w:rsidP="00281A92">
            <w:pPr>
              <w:spacing w:before="0" w:after="0" w:line="240" w:lineRule="auto"/>
              <w:rPr>
                <w:color w:val="auto"/>
                <w:sz w:val="20"/>
                <w:szCs w:val="20"/>
              </w:rPr>
            </w:pPr>
            <w:r w:rsidRPr="009A36D2">
              <w:rPr>
                <w:color w:val="000000"/>
                <w:sz w:val="22"/>
                <w:szCs w:val="22"/>
              </w:rPr>
              <w:t>175.4</w:t>
            </w:r>
          </w:p>
        </w:tc>
      </w:tr>
      <w:tr w:rsidR="009A36D2" w:rsidRPr="009A36D2" w14:paraId="636FCE70"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B5AA74E"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6FD141C3" w14:textId="5FA3E258" w:rsidR="009A36D2" w:rsidRPr="009A36D2" w:rsidRDefault="009A36D2" w:rsidP="00281A92">
            <w:pPr>
              <w:spacing w:before="0" w:after="0" w:line="240" w:lineRule="auto"/>
              <w:rPr>
                <w:b/>
                <w:bCs/>
                <w:color w:val="auto"/>
                <w:sz w:val="20"/>
                <w:szCs w:val="20"/>
              </w:rPr>
            </w:pPr>
            <w:r w:rsidRPr="009A36D2">
              <w:rPr>
                <w:b/>
                <w:bCs/>
                <w:color w:val="000000"/>
                <w:sz w:val="22"/>
                <w:szCs w:val="22"/>
              </w:rPr>
              <w:t>193</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49D4BB4B" w14:textId="0C533297" w:rsidR="009A36D2" w:rsidRPr="009A36D2" w:rsidRDefault="009A36D2" w:rsidP="00281A92">
            <w:pPr>
              <w:spacing w:before="0" w:after="0" w:line="240" w:lineRule="auto"/>
              <w:rPr>
                <w:b/>
                <w:bCs/>
                <w:color w:val="auto"/>
                <w:sz w:val="20"/>
                <w:szCs w:val="20"/>
              </w:rPr>
            </w:pPr>
            <w:r w:rsidRPr="009A36D2">
              <w:rPr>
                <w:b/>
                <w:bCs/>
                <w:color w:val="000000"/>
                <w:sz w:val="22"/>
                <w:szCs w:val="22"/>
              </w:rPr>
              <w:t>168</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012203FE" w14:textId="30E85716" w:rsidR="009A36D2" w:rsidRPr="009A36D2" w:rsidRDefault="009A36D2" w:rsidP="00281A92">
            <w:pPr>
              <w:spacing w:before="0" w:after="0" w:line="240" w:lineRule="auto"/>
              <w:rPr>
                <w:b/>
                <w:bCs/>
                <w:color w:val="auto"/>
                <w:sz w:val="20"/>
                <w:szCs w:val="20"/>
              </w:rPr>
            </w:pPr>
            <w:r w:rsidRPr="009A36D2">
              <w:rPr>
                <w:b/>
                <w:bCs/>
                <w:color w:val="000000"/>
                <w:sz w:val="22"/>
                <w:szCs w:val="22"/>
              </w:rPr>
              <w:t>16</w:t>
            </w:r>
            <w:r w:rsidR="00890A0F">
              <w:rPr>
                <w:b/>
                <w:bCs/>
                <w:color w:val="000000"/>
                <w:sz w:val="22"/>
                <w:szCs w:val="22"/>
              </w:rPr>
              <w:t>2</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10FFCF4A" w14:textId="30A5E7E7" w:rsidR="009A36D2" w:rsidRPr="009A36D2" w:rsidRDefault="009A36D2" w:rsidP="00281A92">
            <w:pPr>
              <w:spacing w:before="0" w:after="0" w:line="240" w:lineRule="auto"/>
              <w:rPr>
                <w:b/>
                <w:bCs/>
                <w:color w:val="auto"/>
                <w:sz w:val="20"/>
                <w:szCs w:val="20"/>
              </w:rPr>
            </w:pPr>
            <w:r w:rsidRPr="009A36D2">
              <w:rPr>
                <w:b/>
                <w:bCs/>
                <w:color w:val="000000"/>
                <w:sz w:val="22"/>
                <w:szCs w:val="22"/>
              </w:rPr>
              <w:t>169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40BFFD36" w14:textId="35F84D3A" w:rsidR="009A36D2" w:rsidRPr="009A36D2" w:rsidRDefault="009A36D2" w:rsidP="00281A92">
            <w:pPr>
              <w:spacing w:before="0" w:after="0" w:line="240" w:lineRule="auto"/>
              <w:rPr>
                <w:b/>
                <w:bCs/>
                <w:color w:val="auto"/>
                <w:sz w:val="20"/>
                <w:szCs w:val="20"/>
              </w:rPr>
            </w:pPr>
            <w:r w:rsidRPr="009A36D2">
              <w:rPr>
                <w:b/>
                <w:bCs/>
                <w:color w:val="000000"/>
                <w:sz w:val="22"/>
                <w:szCs w:val="22"/>
              </w:rPr>
              <w:t>178</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2061CFDB" w14:textId="7CD71585" w:rsidR="009A36D2" w:rsidRPr="009A36D2" w:rsidRDefault="009A36D2" w:rsidP="00281A92">
            <w:pPr>
              <w:spacing w:before="0" w:after="0" w:line="240" w:lineRule="auto"/>
              <w:rPr>
                <w:b/>
                <w:bCs/>
                <w:color w:val="auto"/>
                <w:sz w:val="20"/>
                <w:szCs w:val="20"/>
              </w:rPr>
            </w:pPr>
            <w:r w:rsidRPr="009A36D2">
              <w:rPr>
                <w:b/>
                <w:bCs/>
                <w:color w:val="000000"/>
                <w:sz w:val="22"/>
                <w:szCs w:val="22"/>
              </w:rPr>
              <w:t>201</w:t>
            </w:r>
          </w:p>
        </w:tc>
      </w:tr>
      <w:tr w:rsidR="009A36D2" w:rsidRPr="009A36D2" w14:paraId="41367FA3"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534F7C46"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39" w:type="pct"/>
            <w:gridSpan w:val="2"/>
            <w:tcBorders>
              <w:top w:val="nil"/>
              <w:left w:val="nil"/>
              <w:bottom w:val="single" w:sz="4" w:space="0" w:color="auto"/>
              <w:right w:val="single" w:sz="4" w:space="0" w:color="auto"/>
            </w:tcBorders>
            <w:shd w:val="clear" w:color="auto" w:fill="auto"/>
            <w:noWrap/>
            <w:vAlign w:val="bottom"/>
            <w:hideMark/>
          </w:tcPr>
          <w:p w14:paraId="2B5F5E40" w14:textId="581E8E78" w:rsidR="009A36D2" w:rsidRPr="009A36D2" w:rsidRDefault="009A36D2" w:rsidP="00281A92">
            <w:pPr>
              <w:spacing w:before="0" w:after="0" w:line="240" w:lineRule="auto"/>
              <w:rPr>
                <w:b/>
                <w:bCs/>
                <w:color w:val="auto"/>
                <w:sz w:val="20"/>
                <w:szCs w:val="20"/>
              </w:rPr>
            </w:pPr>
            <w:r w:rsidRPr="009A36D2">
              <w:rPr>
                <w:b/>
                <w:bCs/>
                <w:color w:val="000000"/>
                <w:sz w:val="22"/>
                <w:szCs w:val="22"/>
              </w:rPr>
              <w:t>3</w:t>
            </w:r>
            <w:r w:rsidR="00890A0F">
              <w:rPr>
                <w:b/>
                <w:bCs/>
                <w:color w:val="000000"/>
                <w:sz w:val="22"/>
                <w:szCs w:val="22"/>
              </w:rPr>
              <w:t>4</w:t>
            </w:r>
          </w:p>
        </w:tc>
        <w:tc>
          <w:tcPr>
            <w:tcW w:w="642" w:type="pct"/>
            <w:gridSpan w:val="3"/>
            <w:tcBorders>
              <w:top w:val="nil"/>
              <w:left w:val="nil"/>
              <w:bottom w:val="single" w:sz="4" w:space="0" w:color="auto"/>
              <w:right w:val="single" w:sz="4" w:space="0" w:color="auto"/>
            </w:tcBorders>
            <w:shd w:val="clear" w:color="auto" w:fill="auto"/>
            <w:noWrap/>
            <w:vAlign w:val="bottom"/>
            <w:hideMark/>
          </w:tcPr>
          <w:p w14:paraId="04AF8868" w14:textId="0C09F003" w:rsidR="009A36D2" w:rsidRPr="009A36D2" w:rsidRDefault="009A36D2" w:rsidP="00281A92">
            <w:pPr>
              <w:spacing w:before="0" w:after="0" w:line="240" w:lineRule="auto"/>
              <w:rPr>
                <w:b/>
                <w:bCs/>
                <w:color w:val="auto"/>
                <w:sz w:val="20"/>
                <w:szCs w:val="20"/>
              </w:rPr>
            </w:pPr>
            <w:r w:rsidRPr="009A36D2">
              <w:rPr>
                <w:b/>
                <w:bCs/>
                <w:color w:val="000000"/>
                <w:sz w:val="22"/>
                <w:szCs w:val="22"/>
              </w:rPr>
              <w:t>2</w:t>
            </w:r>
            <w:r w:rsidR="00890A0F">
              <w:rPr>
                <w:b/>
                <w:bCs/>
                <w:color w:val="000000"/>
                <w:sz w:val="22"/>
                <w:szCs w:val="22"/>
              </w:rPr>
              <w:t>9</w:t>
            </w:r>
          </w:p>
        </w:tc>
        <w:tc>
          <w:tcPr>
            <w:tcW w:w="625" w:type="pct"/>
            <w:gridSpan w:val="3"/>
            <w:tcBorders>
              <w:top w:val="nil"/>
              <w:left w:val="nil"/>
              <w:bottom w:val="single" w:sz="4" w:space="0" w:color="auto"/>
              <w:right w:val="single" w:sz="4" w:space="0" w:color="auto"/>
            </w:tcBorders>
            <w:shd w:val="clear" w:color="auto" w:fill="auto"/>
            <w:noWrap/>
            <w:vAlign w:val="bottom"/>
            <w:hideMark/>
          </w:tcPr>
          <w:p w14:paraId="5D10B860" w14:textId="573DAEF6" w:rsidR="009A36D2" w:rsidRPr="009A36D2" w:rsidRDefault="009A36D2" w:rsidP="00281A92">
            <w:pPr>
              <w:spacing w:before="0" w:after="0" w:line="240" w:lineRule="auto"/>
              <w:rPr>
                <w:b/>
                <w:bCs/>
                <w:color w:val="auto"/>
                <w:sz w:val="20"/>
                <w:szCs w:val="20"/>
              </w:rPr>
            </w:pPr>
            <w:r w:rsidRPr="009A36D2">
              <w:rPr>
                <w:b/>
                <w:bCs/>
                <w:color w:val="000000"/>
                <w:sz w:val="22"/>
                <w:szCs w:val="22"/>
              </w:rPr>
              <w:t>27</w:t>
            </w:r>
          </w:p>
        </w:tc>
        <w:tc>
          <w:tcPr>
            <w:tcW w:w="644" w:type="pct"/>
            <w:gridSpan w:val="4"/>
            <w:tcBorders>
              <w:top w:val="nil"/>
              <w:left w:val="nil"/>
              <w:bottom w:val="single" w:sz="4" w:space="0" w:color="auto"/>
              <w:right w:val="single" w:sz="4" w:space="0" w:color="auto"/>
            </w:tcBorders>
            <w:shd w:val="clear" w:color="auto" w:fill="auto"/>
            <w:noWrap/>
            <w:vAlign w:val="bottom"/>
            <w:hideMark/>
          </w:tcPr>
          <w:p w14:paraId="657E165C" w14:textId="4537949D" w:rsidR="009A36D2" w:rsidRPr="009A36D2" w:rsidRDefault="009A36D2" w:rsidP="00281A92">
            <w:pPr>
              <w:spacing w:before="0" w:after="0" w:line="240" w:lineRule="auto"/>
              <w:rPr>
                <w:b/>
                <w:bCs/>
                <w:color w:val="auto"/>
                <w:sz w:val="20"/>
                <w:szCs w:val="20"/>
              </w:rPr>
            </w:pPr>
            <w:r w:rsidRPr="009A36D2">
              <w:rPr>
                <w:b/>
                <w:bCs/>
                <w:color w:val="000000"/>
                <w:sz w:val="22"/>
                <w:szCs w:val="22"/>
              </w:rPr>
              <w:t>29</w:t>
            </w:r>
          </w:p>
        </w:tc>
        <w:tc>
          <w:tcPr>
            <w:tcW w:w="643" w:type="pct"/>
            <w:gridSpan w:val="2"/>
            <w:tcBorders>
              <w:top w:val="nil"/>
              <w:left w:val="nil"/>
              <w:bottom w:val="single" w:sz="4" w:space="0" w:color="auto"/>
              <w:right w:val="single" w:sz="4" w:space="0" w:color="auto"/>
            </w:tcBorders>
            <w:shd w:val="clear" w:color="auto" w:fill="auto"/>
            <w:noWrap/>
            <w:vAlign w:val="bottom"/>
            <w:hideMark/>
          </w:tcPr>
          <w:p w14:paraId="312CBF4F" w14:textId="484C52A1" w:rsidR="009A36D2" w:rsidRPr="009A36D2" w:rsidRDefault="009A36D2" w:rsidP="00281A92">
            <w:pPr>
              <w:spacing w:before="0" w:after="0" w:line="240" w:lineRule="auto"/>
              <w:rPr>
                <w:b/>
                <w:bCs/>
                <w:color w:val="auto"/>
                <w:sz w:val="20"/>
                <w:szCs w:val="20"/>
              </w:rPr>
            </w:pPr>
            <w:r w:rsidRPr="009A36D2">
              <w:rPr>
                <w:b/>
                <w:bCs/>
                <w:color w:val="000000"/>
                <w:sz w:val="22"/>
                <w:szCs w:val="22"/>
              </w:rPr>
              <w:t>3</w:t>
            </w:r>
            <w:r w:rsidR="00890A0F">
              <w:rPr>
                <w:b/>
                <w:bCs/>
                <w:color w:val="000000"/>
                <w:sz w:val="22"/>
                <w:szCs w:val="22"/>
              </w:rPr>
              <w:t>2</w:t>
            </w:r>
          </w:p>
        </w:tc>
        <w:tc>
          <w:tcPr>
            <w:tcW w:w="693" w:type="pct"/>
            <w:gridSpan w:val="2"/>
            <w:tcBorders>
              <w:top w:val="nil"/>
              <w:left w:val="nil"/>
              <w:bottom w:val="single" w:sz="4" w:space="0" w:color="auto"/>
              <w:right w:val="single" w:sz="4" w:space="0" w:color="auto"/>
            </w:tcBorders>
            <w:shd w:val="clear" w:color="auto" w:fill="auto"/>
            <w:noWrap/>
            <w:vAlign w:val="bottom"/>
            <w:hideMark/>
          </w:tcPr>
          <w:p w14:paraId="1CB40528" w14:textId="1ADD3E71" w:rsidR="009A36D2" w:rsidRPr="009A36D2" w:rsidRDefault="009A36D2" w:rsidP="00281A92">
            <w:pPr>
              <w:spacing w:before="0" w:after="0" w:line="240" w:lineRule="auto"/>
              <w:rPr>
                <w:b/>
                <w:bCs/>
                <w:color w:val="auto"/>
                <w:sz w:val="20"/>
                <w:szCs w:val="20"/>
              </w:rPr>
            </w:pPr>
            <w:r w:rsidRPr="009A36D2">
              <w:rPr>
                <w:b/>
                <w:bCs/>
                <w:color w:val="000000"/>
                <w:sz w:val="22"/>
                <w:szCs w:val="22"/>
              </w:rPr>
              <w:t>33</w:t>
            </w:r>
          </w:p>
        </w:tc>
      </w:tr>
      <w:tr w:rsidR="009A36D2" w:rsidRPr="009A36D2" w14:paraId="2E77465E"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2CB5B37"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Middle (40-59 years old)</w:t>
            </w:r>
          </w:p>
        </w:tc>
      </w:tr>
      <w:tr w:rsidR="009A36D2" w:rsidRPr="009A36D2" w14:paraId="15C35673" w14:textId="77777777" w:rsidTr="00281A92">
        <w:trPr>
          <w:trHeight w:val="20"/>
          <w:jc w:val="center"/>
        </w:trPr>
        <w:tc>
          <w:tcPr>
            <w:tcW w:w="1114" w:type="pct"/>
            <w:tcBorders>
              <w:top w:val="nil"/>
              <w:left w:val="single" w:sz="4" w:space="0" w:color="auto"/>
              <w:bottom w:val="single" w:sz="4" w:space="0" w:color="auto"/>
              <w:right w:val="single" w:sz="4" w:space="0" w:color="auto"/>
              <w:tl2br w:val="single" w:sz="4" w:space="0" w:color="auto"/>
            </w:tcBorders>
            <w:shd w:val="clear" w:color="auto" w:fill="auto"/>
            <w:hideMark/>
          </w:tcPr>
          <w:p w14:paraId="30D34184"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338535BA" w14:textId="77777777" w:rsidR="009A36D2" w:rsidRPr="009A36D2" w:rsidRDefault="009A36D2" w:rsidP="00281A92">
            <w:pPr>
              <w:spacing w:before="0" w:after="0" w:line="240" w:lineRule="auto"/>
              <w:rPr>
                <w:color w:val="auto"/>
                <w:sz w:val="20"/>
                <w:szCs w:val="20"/>
              </w:rPr>
            </w:pPr>
          </w:p>
          <w:p w14:paraId="186AF312"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39" w:type="pct"/>
            <w:gridSpan w:val="2"/>
            <w:tcBorders>
              <w:top w:val="nil"/>
              <w:left w:val="nil"/>
              <w:bottom w:val="single" w:sz="4" w:space="0" w:color="auto"/>
              <w:right w:val="single" w:sz="4" w:space="0" w:color="auto"/>
            </w:tcBorders>
            <w:shd w:val="clear" w:color="auto" w:fill="auto"/>
            <w:noWrap/>
            <w:hideMark/>
          </w:tcPr>
          <w:p w14:paraId="59FBAC7D"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42" w:type="pct"/>
            <w:gridSpan w:val="3"/>
            <w:tcBorders>
              <w:top w:val="nil"/>
              <w:left w:val="nil"/>
              <w:bottom w:val="single" w:sz="4" w:space="0" w:color="auto"/>
              <w:right w:val="single" w:sz="4" w:space="0" w:color="auto"/>
            </w:tcBorders>
            <w:shd w:val="clear" w:color="auto" w:fill="auto"/>
            <w:noWrap/>
            <w:hideMark/>
          </w:tcPr>
          <w:p w14:paraId="27152508"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25" w:type="pct"/>
            <w:gridSpan w:val="3"/>
            <w:tcBorders>
              <w:top w:val="nil"/>
              <w:left w:val="nil"/>
              <w:bottom w:val="single" w:sz="4" w:space="0" w:color="auto"/>
              <w:right w:val="single" w:sz="4" w:space="0" w:color="auto"/>
            </w:tcBorders>
            <w:shd w:val="clear" w:color="auto" w:fill="auto"/>
            <w:noWrap/>
            <w:hideMark/>
          </w:tcPr>
          <w:p w14:paraId="713A73C7"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4" w:type="pct"/>
            <w:gridSpan w:val="4"/>
            <w:tcBorders>
              <w:top w:val="nil"/>
              <w:left w:val="nil"/>
              <w:bottom w:val="single" w:sz="4" w:space="0" w:color="auto"/>
              <w:right w:val="single" w:sz="4" w:space="0" w:color="auto"/>
            </w:tcBorders>
            <w:shd w:val="clear" w:color="auto" w:fill="auto"/>
            <w:noWrap/>
            <w:hideMark/>
          </w:tcPr>
          <w:p w14:paraId="6A788B42"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3" w:type="pct"/>
            <w:gridSpan w:val="2"/>
            <w:tcBorders>
              <w:top w:val="nil"/>
              <w:left w:val="nil"/>
              <w:bottom w:val="single" w:sz="4" w:space="0" w:color="auto"/>
              <w:right w:val="single" w:sz="4" w:space="0" w:color="auto"/>
            </w:tcBorders>
            <w:shd w:val="clear" w:color="auto" w:fill="auto"/>
            <w:noWrap/>
            <w:hideMark/>
          </w:tcPr>
          <w:p w14:paraId="2D834775"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93" w:type="pct"/>
            <w:gridSpan w:val="2"/>
            <w:tcBorders>
              <w:top w:val="nil"/>
              <w:left w:val="nil"/>
              <w:bottom w:val="single" w:sz="4" w:space="0" w:color="auto"/>
              <w:right w:val="single" w:sz="4" w:space="0" w:color="auto"/>
            </w:tcBorders>
            <w:shd w:val="clear" w:color="auto" w:fill="auto"/>
            <w:noWrap/>
            <w:hideMark/>
          </w:tcPr>
          <w:p w14:paraId="20591D3C"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553FE531"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1D8307B"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39" w:type="pct"/>
            <w:gridSpan w:val="2"/>
            <w:tcBorders>
              <w:top w:val="nil"/>
              <w:left w:val="nil"/>
              <w:bottom w:val="single" w:sz="4" w:space="0" w:color="auto"/>
              <w:right w:val="single" w:sz="4" w:space="0" w:color="auto"/>
            </w:tcBorders>
            <w:shd w:val="clear" w:color="auto" w:fill="auto"/>
            <w:noWrap/>
            <w:vAlign w:val="bottom"/>
          </w:tcPr>
          <w:p w14:paraId="5DC882B9" w14:textId="77777777" w:rsidR="009A36D2" w:rsidRPr="009A36D2" w:rsidRDefault="009A36D2" w:rsidP="00281A92">
            <w:pPr>
              <w:spacing w:before="0" w:after="0" w:line="240" w:lineRule="auto"/>
              <w:rPr>
                <w:color w:val="auto"/>
                <w:sz w:val="20"/>
                <w:szCs w:val="20"/>
              </w:rPr>
            </w:pPr>
            <w:r w:rsidRPr="009A36D2">
              <w:rPr>
                <w:color w:val="000000"/>
                <w:sz w:val="22"/>
                <w:szCs w:val="22"/>
              </w:rPr>
              <w:t>188</w:t>
            </w:r>
          </w:p>
        </w:tc>
        <w:tc>
          <w:tcPr>
            <w:tcW w:w="642" w:type="pct"/>
            <w:gridSpan w:val="3"/>
            <w:tcBorders>
              <w:top w:val="nil"/>
              <w:left w:val="nil"/>
              <w:bottom w:val="single" w:sz="4" w:space="0" w:color="auto"/>
              <w:right w:val="single" w:sz="4" w:space="0" w:color="auto"/>
            </w:tcBorders>
            <w:shd w:val="clear" w:color="auto" w:fill="auto"/>
            <w:noWrap/>
            <w:vAlign w:val="bottom"/>
          </w:tcPr>
          <w:p w14:paraId="704BDB35" w14:textId="77777777" w:rsidR="009A36D2" w:rsidRPr="009A36D2" w:rsidRDefault="009A36D2" w:rsidP="00281A92">
            <w:pPr>
              <w:spacing w:before="0" w:after="0" w:line="240" w:lineRule="auto"/>
              <w:rPr>
                <w:color w:val="auto"/>
                <w:sz w:val="20"/>
                <w:szCs w:val="20"/>
              </w:rPr>
            </w:pPr>
            <w:r w:rsidRPr="009A36D2">
              <w:rPr>
                <w:color w:val="000000"/>
                <w:sz w:val="22"/>
                <w:szCs w:val="22"/>
              </w:rPr>
              <w:t>156</w:t>
            </w:r>
          </w:p>
        </w:tc>
        <w:tc>
          <w:tcPr>
            <w:tcW w:w="625" w:type="pct"/>
            <w:gridSpan w:val="3"/>
            <w:tcBorders>
              <w:top w:val="nil"/>
              <w:left w:val="nil"/>
              <w:bottom w:val="single" w:sz="4" w:space="0" w:color="auto"/>
              <w:right w:val="single" w:sz="4" w:space="0" w:color="auto"/>
            </w:tcBorders>
            <w:shd w:val="clear" w:color="auto" w:fill="auto"/>
            <w:noWrap/>
            <w:vAlign w:val="bottom"/>
          </w:tcPr>
          <w:p w14:paraId="29257598" w14:textId="77777777" w:rsidR="009A36D2" w:rsidRPr="009A36D2" w:rsidRDefault="009A36D2" w:rsidP="00281A92">
            <w:pPr>
              <w:spacing w:before="0" w:after="0" w:line="240" w:lineRule="auto"/>
              <w:rPr>
                <w:color w:val="auto"/>
                <w:sz w:val="20"/>
                <w:szCs w:val="20"/>
              </w:rPr>
            </w:pPr>
            <w:r w:rsidRPr="009A36D2">
              <w:rPr>
                <w:color w:val="000000"/>
                <w:sz w:val="22"/>
                <w:szCs w:val="22"/>
              </w:rPr>
              <w:t>161</w:t>
            </w:r>
          </w:p>
        </w:tc>
        <w:tc>
          <w:tcPr>
            <w:tcW w:w="644" w:type="pct"/>
            <w:gridSpan w:val="4"/>
            <w:tcBorders>
              <w:top w:val="nil"/>
              <w:left w:val="nil"/>
              <w:bottom w:val="single" w:sz="4" w:space="0" w:color="auto"/>
              <w:right w:val="single" w:sz="4" w:space="0" w:color="auto"/>
            </w:tcBorders>
            <w:shd w:val="clear" w:color="auto" w:fill="auto"/>
            <w:noWrap/>
            <w:vAlign w:val="bottom"/>
          </w:tcPr>
          <w:p w14:paraId="1D1D0D15" w14:textId="77777777" w:rsidR="009A36D2" w:rsidRPr="009A36D2" w:rsidRDefault="009A36D2" w:rsidP="00281A92">
            <w:pPr>
              <w:spacing w:before="0" w:after="0" w:line="240" w:lineRule="auto"/>
              <w:rPr>
                <w:color w:val="auto"/>
                <w:sz w:val="20"/>
                <w:szCs w:val="20"/>
              </w:rPr>
            </w:pPr>
            <w:r w:rsidRPr="009A36D2">
              <w:rPr>
                <w:color w:val="000000"/>
                <w:sz w:val="22"/>
                <w:szCs w:val="22"/>
              </w:rPr>
              <w:t>184</w:t>
            </w:r>
          </w:p>
        </w:tc>
        <w:tc>
          <w:tcPr>
            <w:tcW w:w="643" w:type="pct"/>
            <w:gridSpan w:val="2"/>
            <w:tcBorders>
              <w:top w:val="nil"/>
              <w:left w:val="nil"/>
              <w:bottom w:val="single" w:sz="4" w:space="0" w:color="auto"/>
              <w:right w:val="single" w:sz="4" w:space="0" w:color="auto"/>
            </w:tcBorders>
            <w:shd w:val="clear" w:color="auto" w:fill="auto"/>
            <w:noWrap/>
            <w:vAlign w:val="bottom"/>
          </w:tcPr>
          <w:p w14:paraId="7E8B8F54" w14:textId="77777777" w:rsidR="009A36D2" w:rsidRPr="009A36D2" w:rsidRDefault="009A36D2" w:rsidP="00281A92">
            <w:pPr>
              <w:spacing w:before="0" w:after="0" w:line="240" w:lineRule="auto"/>
              <w:rPr>
                <w:color w:val="auto"/>
                <w:sz w:val="20"/>
                <w:szCs w:val="20"/>
              </w:rPr>
            </w:pPr>
            <w:r w:rsidRPr="009A36D2">
              <w:rPr>
                <w:color w:val="000000"/>
                <w:sz w:val="22"/>
                <w:szCs w:val="22"/>
              </w:rPr>
              <w:t>176</w:t>
            </w:r>
          </w:p>
        </w:tc>
        <w:tc>
          <w:tcPr>
            <w:tcW w:w="693" w:type="pct"/>
            <w:gridSpan w:val="2"/>
            <w:tcBorders>
              <w:top w:val="nil"/>
              <w:left w:val="nil"/>
              <w:bottom w:val="single" w:sz="4" w:space="0" w:color="auto"/>
              <w:right w:val="single" w:sz="4" w:space="0" w:color="auto"/>
            </w:tcBorders>
            <w:shd w:val="clear" w:color="auto" w:fill="auto"/>
            <w:noWrap/>
            <w:vAlign w:val="bottom"/>
          </w:tcPr>
          <w:p w14:paraId="4B068C44" w14:textId="77777777" w:rsidR="009A36D2" w:rsidRPr="009A36D2" w:rsidRDefault="009A36D2" w:rsidP="00281A92">
            <w:pPr>
              <w:spacing w:before="0" w:after="0" w:line="240" w:lineRule="auto"/>
              <w:rPr>
                <w:color w:val="auto"/>
                <w:sz w:val="20"/>
                <w:szCs w:val="20"/>
              </w:rPr>
            </w:pPr>
            <w:r w:rsidRPr="009A36D2">
              <w:rPr>
                <w:color w:val="000000"/>
                <w:sz w:val="22"/>
                <w:szCs w:val="22"/>
              </w:rPr>
              <w:t>193</w:t>
            </w:r>
          </w:p>
        </w:tc>
      </w:tr>
      <w:tr w:rsidR="009A36D2" w:rsidRPr="009A36D2" w14:paraId="3A8AE17B"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F487680"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39" w:type="pct"/>
            <w:gridSpan w:val="2"/>
            <w:tcBorders>
              <w:top w:val="nil"/>
              <w:left w:val="nil"/>
              <w:bottom w:val="single" w:sz="4" w:space="0" w:color="auto"/>
              <w:right w:val="single" w:sz="4" w:space="0" w:color="auto"/>
            </w:tcBorders>
            <w:shd w:val="clear" w:color="auto" w:fill="auto"/>
            <w:noWrap/>
            <w:vAlign w:val="bottom"/>
          </w:tcPr>
          <w:p w14:paraId="69F6BCFA" w14:textId="77777777" w:rsidR="009A36D2" w:rsidRPr="009A36D2" w:rsidRDefault="009A36D2" w:rsidP="00281A92">
            <w:pPr>
              <w:spacing w:before="0" w:after="0" w:line="240" w:lineRule="auto"/>
              <w:rPr>
                <w:color w:val="auto"/>
                <w:sz w:val="20"/>
                <w:szCs w:val="20"/>
              </w:rPr>
            </w:pPr>
            <w:r w:rsidRPr="009A36D2">
              <w:rPr>
                <w:color w:val="000000"/>
                <w:sz w:val="22"/>
                <w:szCs w:val="22"/>
              </w:rPr>
              <w:t>183</w:t>
            </w:r>
          </w:p>
        </w:tc>
        <w:tc>
          <w:tcPr>
            <w:tcW w:w="642" w:type="pct"/>
            <w:gridSpan w:val="3"/>
            <w:tcBorders>
              <w:top w:val="nil"/>
              <w:left w:val="nil"/>
              <w:bottom w:val="single" w:sz="4" w:space="0" w:color="auto"/>
              <w:right w:val="single" w:sz="4" w:space="0" w:color="auto"/>
            </w:tcBorders>
            <w:shd w:val="clear" w:color="auto" w:fill="auto"/>
            <w:noWrap/>
            <w:vAlign w:val="bottom"/>
          </w:tcPr>
          <w:p w14:paraId="39BCB0AA" w14:textId="77777777" w:rsidR="009A36D2" w:rsidRPr="009A36D2" w:rsidRDefault="009A36D2" w:rsidP="00281A92">
            <w:pPr>
              <w:spacing w:before="0" w:after="0" w:line="240" w:lineRule="auto"/>
              <w:rPr>
                <w:color w:val="auto"/>
                <w:sz w:val="20"/>
                <w:szCs w:val="20"/>
              </w:rPr>
            </w:pPr>
            <w:r w:rsidRPr="009A36D2">
              <w:rPr>
                <w:color w:val="000000"/>
                <w:sz w:val="22"/>
                <w:szCs w:val="22"/>
              </w:rPr>
              <w:t>157</w:t>
            </w:r>
          </w:p>
        </w:tc>
        <w:tc>
          <w:tcPr>
            <w:tcW w:w="625" w:type="pct"/>
            <w:gridSpan w:val="3"/>
            <w:tcBorders>
              <w:top w:val="nil"/>
              <w:left w:val="nil"/>
              <w:bottom w:val="single" w:sz="4" w:space="0" w:color="auto"/>
              <w:right w:val="single" w:sz="4" w:space="0" w:color="auto"/>
            </w:tcBorders>
            <w:shd w:val="clear" w:color="auto" w:fill="auto"/>
            <w:noWrap/>
            <w:vAlign w:val="bottom"/>
          </w:tcPr>
          <w:p w14:paraId="16D24E8A" w14:textId="77777777" w:rsidR="009A36D2" w:rsidRPr="009A36D2" w:rsidRDefault="009A36D2" w:rsidP="00281A92">
            <w:pPr>
              <w:spacing w:before="0" w:after="0" w:line="240" w:lineRule="auto"/>
              <w:rPr>
                <w:color w:val="auto"/>
                <w:sz w:val="20"/>
                <w:szCs w:val="20"/>
              </w:rPr>
            </w:pPr>
            <w:r w:rsidRPr="009A36D2">
              <w:rPr>
                <w:color w:val="000000"/>
                <w:sz w:val="22"/>
                <w:szCs w:val="22"/>
              </w:rPr>
              <w:t>162</w:t>
            </w:r>
          </w:p>
        </w:tc>
        <w:tc>
          <w:tcPr>
            <w:tcW w:w="644" w:type="pct"/>
            <w:gridSpan w:val="4"/>
            <w:tcBorders>
              <w:top w:val="nil"/>
              <w:left w:val="nil"/>
              <w:bottom w:val="single" w:sz="4" w:space="0" w:color="auto"/>
              <w:right w:val="single" w:sz="4" w:space="0" w:color="auto"/>
            </w:tcBorders>
            <w:shd w:val="clear" w:color="auto" w:fill="auto"/>
            <w:noWrap/>
            <w:vAlign w:val="bottom"/>
          </w:tcPr>
          <w:p w14:paraId="1D1BC360" w14:textId="77777777" w:rsidR="009A36D2" w:rsidRPr="009A36D2" w:rsidRDefault="009A36D2" w:rsidP="00281A92">
            <w:pPr>
              <w:spacing w:before="0" w:after="0" w:line="240" w:lineRule="auto"/>
              <w:rPr>
                <w:color w:val="auto"/>
                <w:sz w:val="20"/>
                <w:szCs w:val="20"/>
              </w:rPr>
            </w:pPr>
            <w:r w:rsidRPr="009A36D2">
              <w:rPr>
                <w:color w:val="000000"/>
                <w:sz w:val="22"/>
                <w:szCs w:val="22"/>
              </w:rPr>
              <w:t>153</w:t>
            </w:r>
          </w:p>
        </w:tc>
        <w:tc>
          <w:tcPr>
            <w:tcW w:w="643" w:type="pct"/>
            <w:gridSpan w:val="2"/>
            <w:tcBorders>
              <w:top w:val="nil"/>
              <w:left w:val="nil"/>
              <w:bottom w:val="single" w:sz="4" w:space="0" w:color="auto"/>
              <w:right w:val="single" w:sz="4" w:space="0" w:color="auto"/>
            </w:tcBorders>
            <w:shd w:val="clear" w:color="auto" w:fill="auto"/>
            <w:noWrap/>
            <w:vAlign w:val="bottom"/>
          </w:tcPr>
          <w:p w14:paraId="4D22F90A" w14:textId="77777777" w:rsidR="009A36D2" w:rsidRPr="009A36D2" w:rsidRDefault="009A36D2" w:rsidP="00281A92">
            <w:pPr>
              <w:spacing w:before="0" w:after="0" w:line="240" w:lineRule="auto"/>
              <w:rPr>
                <w:color w:val="auto"/>
                <w:sz w:val="20"/>
                <w:szCs w:val="20"/>
              </w:rPr>
            </w:pPr>
            <w:r w:rsidRPr="009A36D2">
              <w:rPr>
                <w:color w:val="000000"/>
                <w:sz w:val="22"/>
                <w:szCs w:val="22"/>
              </w:rPr>
              <w:t>145</w:t>
            </w:r>
          </w:p>
        </w:tc>
        <w:tc>
          <w:tcPr>
            <w:tcW w:w="693" w:type="pct"/>
            <w:gridSpan w:val="2"/>
            <w:tcBorders>
              <w:top w:val="nil"/>
              <w:left w:val="nil"/>
              <w:bottom w:val="single" w:sz="4" w:space="0" w:color="auto"/>
              <w:right w:val="single" w:sz="4" w:space="0" w:color="auto"/>
            </w:tcBorders>
            <w:shd w:val="clear" w:color="auto" w:fill="auto"/>
            <w:noWrap/>
            <w:vAlign w:val="bottom"/>
          </w:tcPr>
          <w:p w14:paraId="51B8D331" w14:textId="77777777" w:rsidR="009A36D2" w:rsidRPr="009A36D2" w:rsidRDefault="009A36D2" w:rsidP="00281A92">
            <w:pPr>
              <w:spacing w:before="0" w:after="0" w:line="240" w:lineRule="auto"/>
              <w:rPr>
                <w:color w:val="auto"/>
                <w:sz w:val="20"/>
                <w:szCs w:val="20"/>
              </w:rPr>
            </w:pPr>
            <w:r w:rsidRPr="009A36D2">
              <w:rPr>
                <w:color w:val="000000"/>
                <w:sz w:val="22"/>
                <w:szCs w:val="22"/>
              </w:rPr>
              <w:t>164</w:t>
            </w:r>
          </w:p>
        </w:tc>
      </w:tr>
      <w:tr w:rsidR="009A36D2" w:rsidRPr="009A36D2" w14:paraId="1D0469F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CF90DFC"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39" w:type="pct"/>
            <w:gridSpan w:val="2"/>
            <w:tcBorders>
              <w:top w:val="nil"/>
              <w:left w:val="nil"/>
              <w:bottom w:val="single" w:sz="4" w:space="0" w:color="auto"/>
              <w:right w:val="single" w:sz="4" w:space="0" w:color="auto"/>
            </w:tcBorders>
            <w:shd w:val="clear" w:color="auto" w:fill="auto"/>
            <w:noWrap/>
            <w:vAlign w:val="bottom"/>
          </w:tcPr>
          <w:p w14:paraId="799A88BC" w14:textId="77777777" w:rsidR="009A36D2" w:rsidRPr="009A36D2" w:rsidRDefault="009A36D2" w:rsidP="00281A92">
            <w:pPr>
              <w:spacing w:before="0" w:after="0" w:line="240" w:lineRule="auto"/>
              <w:rPr>
                <w:color w:val="auto"/>
                <w:sz w:val="20"/>
                <w:szCs w:val="20"/>
              </w:rPr>
            </w:pPr>
            <w:r w:rsidRPr="009A36D2">
              <w:rPr>
                <w:color w:val="000000"/>
                <w:sz w:val="22"/>
                <w:szCs w:val="22"/>
              </w:rPr>
              <w:t>252</w:t>
            </w:r>
          </w:p>
        </w:tc>
        <w:tc>
          <w:tcPr>
            <w:tcW w:w="642" w:type="pct"/>
            <w:gridSpan w:val="3"/>
            <w:tcBorders>
              <w:top w:val="nil"/>
              <w:left w:val="nil"/>
              <w:bottom w:val="single" w:sz="4" w:space="0" w:color="auto"/>
              <w:right w:val="single" w:sz="4" w:space="0" w:color="auto"/>
            </w:tcBorders>
            <w:shd w:val="clear" w:color="auto" w:fill="auto"/>
            <w:noWrap/>
            <w:vAlign w:val="bottom"/>
          </w:tcPr>
          <w:p w14:paraId="387C8ECE" w14:textId="77777777" w:rsidR="009A36D2" w:rsidRPr="009A36D2" w:rsidRDefault="009A36D2" w:rsidP="00281A92">
            <w:pPr>
              <w:spacing w:before="0" w:after="0" w:line="240" w:lineRule="auto"/>
              <w:rPr>
                <w:color w:val="auto"/>
                <w:sz w:val="20"/>
                <w:szCs w:val="20"/>
              </w:rPr>
            </w:pPr>
            <w:r w:rsidRPr="009A36D2">
              <w:rPr>
                <w:color w:val="000000"/>
                <w:sz w:val="22"/>
                <w:szCs w:val="22"/>
              </w:rPr>
              <w:t>194</w:t>
            </w:r>
          </w:p>
        </w:tc>
        <w:tc>
          <w:tcPr>
            <w:tcW w:w="625" w:type="pct"/>
            <w:gridSpan w:val="3"/>
            <w:tcBorders>
              <w:top w:val="nil"/>
              <w:left w:val="nil"/>
              <w:bottom w:val="single" w:sz="4" w:space="0" w:color="auto"/>
              <w:right w:val="single" w:sz="4" w:space="0" w:color="auto"/>
            </w:tcBorders>
            <w:shd w:val="clear" w:color="auto" w:fill="auto"/>
            <w:noWrap/>
            <w:vAlign w:val="bottom"/>
          </w:tcPr>
          <w:p w14:paraId="1D7F4E14" w14:textId="77777777" w:rsidR="009A36D2" w:rsidRPr="009A36D2" w:rsidRDefault="009A36D2" w:rsidP="00281A92">
            <w:pPr>
              <w:spacing w:before="0" w:after="0" w:line="240" w:lineRule="auto"/>
              <w:rPr>
                <w:color w:val="auto"/>
                <w:sz w:val="20"/>
                <w:szCs w:val="20"/>
              </w:rPr>
            </w:pPr>
            <w:r w:rsidRPr="009A36D2">
              <w:rPr>
                <w:color w:val="000000"/>
                <w:sz w:val="22"/>
                <w:szCs w:val="22"/>
              </w:rPr>
              <w:t>225</w:t>
            </w:r>
          </w:p>
        </w:tc>
        <w:tc>
          <w:tcPr>
            <w:tcW w:w="644" w:type="pct"/>
            <w:gridSpan w:val="4"/>
            <w:tcBorders>
              <w:top w:val="nil"/>
              <w:left w:val="nil"/>
              <w:bottom w:val="single" w:sz="4" w:space="0" w:color="auto"/>
              <w:right w:val="single" w:sz="4" w:space="0" w:color="auto"/>
            </w:tcBorders>
            <w:shd w:val="clear" w:color="auto" w:fill="auto"/>
            <w:noWrap/>
            <w:vAlign w:val="bottom"/>
          </w:tcPr>
          <w:p w14:paraId="37E3158E" w14:textId="77777777" w:rsidR="009A36D2" w:rsidRPr="009A36D2" w:rsidRDefault="009A36D2" w:rsidP="00281A92">
            <w:pPr>
              <w:spacing w:before="0" w:after="0" w:line="240" w:lineRule="auto"/>
              <w:rPr>
                <w:color w:val="auto"/>
                <w:sz w:val="20"/>
                <w:szCs w:val="20"/>
              </w:rPr>
            </w:pPr>
            <w:r w:rsidRPr="009A36D2">
              <w:rPr>
                <w:color w:val="000000"/>
                <w:sz w:val="22"/>
                <w:szCs w:val="22"/>
              </w:rPr>
              <w:t>180</w:t>
            </w:r>
          </w:p>
        </w:tc>
        <w:tc>
          <w:tcPr>
            <w:tcW w:w="643" w:type="pct"/>
            <w:gridSpan w:val="2"/>
            <w:tcBorders>
              <w:top w:val="nil"/>
              <w:left w:val="nil"/>
              <w:bottom w:val="single" w:sz="4" w:space="0" w:color="auto"/>
              <w:right w:val="single" w:sz="4" w:space="0" w:color="auto"/>
            </w:tcBorders>
            <w:shd w:val="clear" w:color="auto" w:fill="auto"/>
            <w:noWrap/>
            <w:vAlign w:val="bottom"/>
          </w:tcPr>
          <w:p w14:paraId="1DBEBC95" w14:textId="77777777" w:rsidR="009A36D2" w:rsidRPr="009A36D2" w:rsidRDefault="009A36D2" w:rsidP="00281A92">
            <w:pPr>
              <w:spacing w:before="0" w:after="0" w:line="240" w:lineRule="auto"/>
              <w:rPr>
                <w:color w:val="auto"/>
                <w:sz w:val="20"/>
                <w:szCs w:val="20"/>
              </w:rPr>
            </w:pPr>
            <w:r w:rsidRPr="009A36D2">
              <w:rPr>
                <w:color w:val="000000"/>
                <w:sz w:val="22"/>
                <w:szCs w:val="22"/>
              </w:rPr>
              <w:t>188</w:t>
            </w:r>
          </w:p>
        </w:tc>
        <w:tc>
          <w:tcPr>
            <w:tcW w:w="693" w:type="pct"/>
            <w:gridSpan w:val="2"/>
            <w:tcBorders>
              <w:top w:val="nil"/>
              <w:left w:val="nil"/>
              <w:bottom w:val="single" w:sz="4" w:space="0" w:color="auto"/>
              <w:right w:val="single" w:sz="4" w:space="0" w:color="auto"/>
            </w:tcBorders>
            <w:shd w:val="clear" w:color="auto" w:fill="auto"/>
            <w:noWrap/>
            <w:vAlign w:val="bottom"/>
          </w:tcPr>
          <w:p w14:paraId="39556B5C" w14:textId="77777777" w:rsidR="009A36D2" w:rsidRPr="009A36D2" w:rsidRDefault="009A36D2" w:rsidP="00281A92">
            <w:pPr>
              <w:spacing w:before="0" w:after="0" w:line="240" w:lineRule="auto"/>
              <w:rPr>
                <w:color w:val="auto"/>
                <w:sz w:val="20"/>
                <w:szCs w:val="20"/>
              </w:rPr>
            </w:pPr>
            <w:r w:rsidRPr="009A36D2">
              <w:rPr>
                <w:color w:val="000000"/>
                <w:sz w:val="22"/>
                <w:szCs w:val="22"/>
              </w:rPr>
              <w:t>258</w:t>
            </w:r>
          </w:p>
        </w:tc>
      </w:tr>
      <w:tr w:rsidR="009A36D2" w:rsidRPr="009A36D2" w14:paraId="691115CA"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D62BFEA"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39" w:type="pct"/>
            <w:gridSpan w:val="2"/>
            <w:tcBorders>
              <w:top w:val="nil"/>
              <w:left w:val="nil"/>
              <w:bottom w:val="single" w:sz="4" w:space="0" w:color="auto"/>
              <w:right w:val="single" w:sz="4" w:space="0" w:color="auto"/>
            </w:tcBorders>
            <w:shd w:val="clear" w:color="auto" w:fill="auto"/>
            <w:noWrap/>
            <w:vAlign w:val="bottom"/>
          </w:tcPr>
          <w:p w14:paraId="606945E7" w14:textId="77777777" w:rsidR="009A36D2" w:rsidRPr="009A36D2" w:rsidRDefault="009A36D2" w:rsidP="00281A92">
            <w:pPr>
              <w:spacing w:before="0" w:after="0" w:line="240" w:lineRule="auto"/>
              <w:rPr>
                <w:color w:val="auto"/>
                <w:sz w:val="20"/>
                <w:szCs w:val="20"/>
              </w:rPr>
            </w:pPr>
            <w:r w:rsidRPr="009A36D2">
              <w:rPr>
                <w:color w:val="000000"/>
                <w:sz w:val="22"/>
                <w:szCs w:val="22"/>
              </w:rPr>
              <w:t>191</w:t>
            </w:r>
          </w:p>
        </w:tc>
        <w:tc>
          <w:tcPr>
            <w:tcW w:w="642" w:type="pct"/>
            <w:gridSpan w:val="3"/>
            <w:tcBorders>
              <w:top w:val="nil"/>
              <w:left w:val="nil"/>
              <w:bottom w:val="single" w:sz="4" w:space="0" w:color="auto"/>
              <w:right w:val="single" w:sz="4" w:space="0" w:color="auto"/>
            </w:tcBorders>
            <w:shd w:val="clear" w:color="auto" w:fill="auto"/>
            <w:noWrap/>
            <w:vAlign w:val="bottom"/>
          </w:tcPr>
          <w:p w14:paraId="41AB9D36" w14:textId="77777777" w:rsidR="009A36D2" w:rsidRPr="009A36D2" w:rsidRDefault="009A36D2" w:rsidP="00281A92">
            <w:pPr>
              <w:spacing w:before="0" w:after="0" w:line="240" w:lineRule="auto"/>
              <w:rPr>
                <w:color w:val="auto"/>
                <w:sz w:val="20"/>
                <w:szCs w:val="20"/>
              </w:rPr>
            </w:pPr>
            <w:r w:rsidRPr="009A36D2">
              <w:rPr>
                <w:color w:val="000000"/>
                <w:sz w:val="22"/>
                <w:szCs w:val="22"/>
              </w:rPr>
              <w:t>170</w:t>
            </w:r>
          </w:p>
        </w:tc>
        <w:tc>
          <w:tcPr>
            <w:tcW w:w="625" w:type="pct"/>
            <w:gridSpan w:val="3"/>
            <w:tcBorders>
              <w:top w:val="nil"/>
              <w:left w:val="nil"/>
              <w:bottom w:val="single" w:sz="4" w:space="0" w:color="auto"/>
              <w:right w:val="single" w:sz="4" w:space="0" w:color="auto"/>
            </w:tcBorders>
            <w:shd w:val="clear" w:color="auto" w:fill="auto"/>
            <w:noWrap/>
            <w:vAlign w:val="bottom"/>
          </w:tcPr>
          <w:p w14:paraId="6FBB08D7" w14:textId="77777777" w:rsidR="009A36D2" w:rsidRPr="009A36D2" w:rsidRDefault="009A36D2" w:rsidP="00281A92">
            <w:pPr>
              <w:spacing w:before="0" w:after="0" w:line="240" w:lineRule="auto"/>
              <w:rPr>
                <w:color w:val="auto"/>
                <w:sz w:val="20"/>
                <w:szCs w:val="20"/>
              </w:rPr>
            </w:pPr>
            <w:r w:rsidRPr="009A36D2">
              <w:rPr>
                <w:color w:val="000000"/>
                <w:sz w:val="22"/>
                <w:szCs w:val="22"/>
              </w:rPr>
              <w:t>158</w:t>
            </w:r>
          </w:p>
        </w:tc>
        <w:tc>
          <w:tcPr>
            <w:tcW w:w="644" w:type="pct"/>
            <w:gridSpan w:val="4"/>
            <w:tcBorders>
              <w:top w:val="nil"/>
              <w:left w:val="nil"/>
              <w:bottom w:val="single" w:sz="4" w:space="0" w:color="auto"/>
              <w:right w:val="single" w:sz="4" w:space="0" w:color="auto"/>
            </w:tcBorders>
            <w:shd w:val="clear" w:color="auto" w:fill="auto"/>
            <w:noWrap/>
            <w:vAlign w:val="bottom"/>
          </w:tcPr>
          <w:p w14:paraId="754F1358" w14:textId="77777777" w:rsidR="009A36D2" w:rsidRPr="009A36D2" w:rsidRDefault="009A36D2" w:rsidP="00281A92">
            <w:pPr>
              <w:spacing w:before="0" w:after="0" w:line="240" w:lineRule="auto"/>
              <w:rPr>
                <w:color w:val="auto"/>
                <w:sz w:val="20"/>
                <w:szCs w:val="20"/>
              </w:rPr>
            </w:pPr>
            <w:r w:rsidRPr="009A36D2">
              <w:rPr>
                <w:color w:val="000000"/>
                <w:sz w:val="22"/>
                <w:szCs w:val="22"/>
              </w:rPr>
              <w:t>168</w:t>
            </w:r>
          </w:p>
        </w:tc>
        <w:tc>
          <w:tcPr>
            <w:tcW w:w="643" w:type="pct"/>
            <w:gridSpan w:val="2"/>
            <w:tcBorders>
              <w:top w:val="nil"/>
              <w:left w:val="nil"/>
              <w:bottom w:val="single" w:sz="4" w:space="0" w:color="auto"/>
              <w:right w:val="single" w:sz="4" w:space="0" w:color="auto"/>
            </w:tcBorders>
            <w:shd w:val="clear" w:color="auto" w:fill="auto"/>
            <w:noWrap/>
            <w:vAlign w:val="bottom"/>
          </w:tcPr>
          <w:p w14:paraId="75A5FEE4" w14:textId="77777777" w:rsidR="009A36D2" w:rsidRPr="009A36D2" w:rsidRDefault="009A36D2" w:rsidP="00281A92">
            <w:pPr>
              <w:spacing w:before="0" w:after="0" w:line="240" w:lineRule="auto"/>
              <w:rPr>
                <w:color w:val="auto"/>
                <w:sz w:val="20"/>
                <w:szCs w:val="20"/>
              </w:rPr>
            </w:pPr>
            <w:r w:rsidRPr="009A36D2">
              <w:rPr>
                <w:color w:val="000000"/>
                <w:sz w:val="22"/>
                <w:szCs w:val="22"/>
              </w:rPr>
              <w:t>177</w:t>
            </w:r>
          </w:p>
        </w:tc>
        <w:tc>
          <w:tcPr>
            <w:tcW w:w="693" w:type="pct"/>
            <w:gridSpan w:val="2"/>
            <w:tcBorders>
              <w:top w:val="nil"/>
              <w:left w:val="nil"/>
              <w:bottom w:val="single" w:sz="4" w:space="0" w:color="auto"/>
              <w:right w:val="single" w:sz="4" w:space="0" w:color="auto"/>
            </w:tcBorders>
            <w:shd w:val="clear" w:color="auto" w:fill="auto"/>
            <w:noWrap/>
            <w:vAlign w:val="bottom"/>
          </w:tcPr>
          <w:p w14:paraId="7C306EA1" w14:textId="77777777" w:rsidR="009A36D2" w:rsidRPr="009A36D2" w:rsidRDefault="009A36D2" w:rsidP="00281A92">
            <w:pPr>
              <w:spacing w:before="0" w:after="0" w:line="240" w:lineRule="auto"/>
              <w:rPr>
                <w:color w:val="auto"/>
                <w:sz w:val="20"/>
                <w:szCs w:val="20"/>
              </w:rPr>
            </w:pPr>
            <w:r w:rsidRPr="009A36D2">
              <w:rPr>
                <w:color w:val="000000"/>
                <w:sz w:val="22"/>
                <w:szCs w:val="22"/>
              </w:rPr>
              <w:t>184</w:t>
            </w:r>
          </w:p>
        </w:tc>
      </w:tr>
      <w:tr w:rsidR="009A36D2" w:rsidRPr="009A36D2" w14:paraId="662D4916"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F7DD799"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39" w:type="pct"/>
            <w:gridSpan w:val="2"/>
            <w:tcBorders>
              <w:top w:val="nil"/>
              <w:left w:val="nil"/>
              <w:bottom w:val="single" w:sz="4" w:space="0" w:color="auto"/>
              <w:right w:val="single" w:sz="4" w:space="0" w:color="auto"/>
            </w:tcBorders>
            <w:shd w:val="clear" w:color="auto" w:fill="auto"/>
            <w:noWrap/>
            <w:vAlign w:val="bottom"/>
          </w:tcPr>
          <w:p w14:paraId="29C4F408" w14:textId="77777777" w:rsidR="009A36D2" w:rsidRPr="009A36D2" w:rsidRDefault="009A36D2" w:rsidP="00281A92">
            <w:pPr>
              <w:spacing w:before="0" w:after="0" w:line="240" w:lineRule="auto"/>
              <w:rPr>
                <w:color w:val="auto"/>
                <w:sz w:val="20"/>
                <w:szCs w:val="20"/>
              </w:rPr>
            </w:pPr>
            <w:r w:rsidRPr="009A36D2">
              <w:rPr>
                <w:color w:val="000000"/>
                <w:sz w:val="22"/>
                <w:szCs w:val="22"/>
              </w:rPr>
              <w:t>300</w:t>
            </w:r>
          </w:p>
        </w:tc>
        <w:tc>
          <w:tcPr>
            <w:tcW w:w="642" w:type="pct"/>
            <w:gridSpan w:val="3"/>
            <w:tcBorders>
              <w:top w:val="nil"/>
              <w:left w:val="nil"/>
              <w:bottom w:val="single" w:sz="4" w:space="0" w:color="auto"/>
              <w:right w:val="single" w:sz="4" w:space="0" w:color="auto"/>
            </w:tcBorders>
            <w:shd w:val="clear" w:color="auto" w:fill="auto"/>
            <w:noWrap/>
            <w:vAlign w:val="bottom"/>
          </w:tcPr>
          <w:p w14:paraId="03D29C85"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c>
          <w:tcPr>
            <w:tcW w:w="625" w:type="pct"/>
            <w:gridSpan w:val="3"/>
            <w:tcBorders>
              <w:top w:val="nil"/>
              <w:left w:val="nil"/>
              <w:bottom w:val="single" w:sz="4" w:space="0" w:color="auto"/>
              <w:right w:val="single" w:sz="4" w:space="0" w:color="auto"/>
            </w:tcBorders>
            <w:shd w:val="clear" w:color="auto" w:fill="auto"/>
            <w:noWrap/>
            <w:vAlign w:val="bottom"/>
          </w:tcPr>
          <w:p w14:paraId="41CB43FA" w14:textId="77777777" w:rsidR="009A36D2" w:rsidRPr="009A36D2" w:rsidRDefault="009A36D2" w:rsidP="00281A92">
            <w:pPr>
              <w:spacing w:before="0" w:after="0" w:line="240" w:lineRule="auto"/>
              <w:rPr>
                <w:color w:val="auto"/>
                <w:sz w:val="20"/>
                <w:szCs w:val="20"/>
              </w:rPr>
            </w:pPr>
            <w:r w:rsidRPr="009A36D2">
              <w:rPr>
                <w:color w:val="000000"/>
                <w:sz w:val="22"/>
                <w:szCs w:val="22"/>
              </w:rPr>
              <w:t>196</w:t>
            </w:r>
          </w:p>
        </w:tc>
        <w:tc>
          <w:tcPr>
            <w:tcW w:w="644" w:type="pct"/>
            <w:gridSpan w:val="4"/>
            <w:tcBorders>
              <w:top w:val="nil"/>
              <w:left w:val="nil"/>
              <w:bottom w:val="single" w:sz="4" w:space="0" w:color="auto"/>
              <w:right w:val="single" w:sz="4" w:space="0" w:color="auto"/>
            </w:tcBorders>
            <w:shd w:val="clear" w:color="auto" w:fill="auto"/>
            <w:noWrap/>
            <w:vAlign w:val="bottom"/>
          </w:tcPr>
          <w:p w14:paraId="2DFBA75C" w14:textId="77777777" w:rsidR="009A36D2" w:rsidRPr="009A36D2" w:rsidRDefault="009A36D2" w:rsidP="00281A92">
            <w:pPr>
              <w:spacing w:before="0" w:after="0" w:line="240" w:lineRule="auto"/>
              <w:rPr>
                <w:color w:val="auto"/>
                <w:sz w:val="20"/>
                <w:szCs w:val="20"/>
              </w:rPr>
            </w:pPr>
            <w:r w:rsidRPr="009A36D2">
              <w:rPr>
                <w:color w:val="000000"/>
                <w:sz w:val="22"/>
                <w:szCs w:val="22"/>
              </w:rPr>
              <w:t>153</w:t>
            </w:r>
          </w:p>
        </w:tc>
        <w:tc>
          <w:tcPr>
            <w:tcW w:w="643" w:type="pct"/>
            <w:gridSpan w:val="2"/>
            <w:tcBorders>
              <w:top w:val="nil"/>
              <w:left w:val="nil"/>
              <w:bottom w:val="single" w:sz="4" w:space="0" w:color="auto"/>
              <w:right w:val="single" w:sz="4" w:space="0" w:color="auto"/>
            </w:tcBorders>
            <w:shd w:val="clear" w:color="auto" w:fill="auto"/>
            <w:noWrap/>
            <w:vAlign w:val="bottom"/>
          </w:tcPr>
          <w:p w14:paraId="2A505096" w14:textId="77777777" w:rsidR="009A36D2" w:rsidRPr="009A36D2" w:rsidRDefault="009A36D2" w:rsidP="00281A92">
            <w:pPr>
              <w:spacing w:before="0" w:after="0" w:line="240" w:lineRule="auto"/>
              <w:rPr>
                <w:color w:val="auto"/>
                <w:sz w:val="20"/>
                <w:szCs w:val="20"/>
              </w:rPr>
            </w:pPr>
            <w:r w:rsidRPr="009A36D2">
              <w:rPr>
                <w:color w:val="000000"/>
                <w:sz w:val="22"/>
                <w:szCs w:val="22"/>
              </w:rPr>
              <w:t>189</w:t>
            </w:r>
          </w:p>
        </w:tc>
        <w:tc>
          <w:tcPr>
            <w:tcW w:w="693" w:type="pct"/>
            <w:gridSpan w:val="2"/>
            <w:tcBorders>
              <w:top w:val="nil"/>
              <w:left w:val="nil"/>
              <w:bottom w:val="single" w:sz="4" w:space="0" w:color="auto"/>
              <w:right w:val="single" w:sz="4" w:space="0" w:color="auto"/>
            </w:tcBorders>
            <w:shd w:val="clear" w:color="auto" w:fill="auto"/>
            <w:noWrap/>
            <w:vAlign w:val="bottom"/>
          </w:tcPr>
          <w:p w14:paraId="66304E00" w14:textId="77777777" w:rsidR="009A36D2" w:rsidRPr="009A36D2" w:rsidRDefault="009A36D2" w:rsidP="00281A92">
            <w:pPr>
              <w:spacing w:before="0" w:after="0" w:line="240" w:lineRule="auto"/>
              <w:rPr>
                <w:color w:val="auto"/>
                <w:sz w:val="20"/>
                <w:szCs w:val="20"/>
              </w:rPr>
            </w:pPr>
            <w:r w:rsidRPr="009A36D2">
              <w:rPr>
                <w:color w:val="000000"/>
                <w:sz w:val="22"/>
                <w:szCs w:val="22"/>
              </w:rPr>
              <w:t>241</w:t>
            </w:r>
          </w:p>
        </w:tc>
      </w:tr>
      <w:tr w:rsidR="009A36D2" w:rsidRPr="009A36D2" w14:paraId="2A4E3E1B"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259D131"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39" w:type="pct"/>
            <w:gridSpan w:val="2"/>
            <w:tcBorders>
              <w:top w:val="nil"/>
              <w:left w:val="nil"/>
              <w:bottom w:val="single" w:sz="4" w:space="0" w:color="auto"/>
              <w:right w:val="single" w:sz="4" w:space="0" w:color="auto"/>
            </w:tcBorders>
            <w:shd w:val="clear" w:color="auto" w:fill="auto"/>
            <w:noWrap/>
            <w:vAlign w:val="bottom"/>
          </w:tcPr>
          <w:p w14:paraId="7ABB3CD5" w14:textId="77777777" w:rsidR="009A36D2" w:rsidRPr="009A36D2" w:rsidRDefault="009A36D2" w:rsidP="00281A92">
            <w:pPr>
              <w:spacing w:before="0" w:after="0" w:line="240" w:lineRule="auto"/>
              <w:rPr>
                <w:color w:val="auto"/>
                <w:sz w:val="20"/>
                <w:szCs w:val="20"/>
              </w:rPr>
            </w:pPr>
            <w:r w:rsidRPr="009A36D2">
              <w:rPr>
                <w:color w:val="000000"/>
                <w:sz w:val="22"/>
                <w:szCs w:val="22"/>
              </w:rPr>
              <w:t>256</w:t>
            </w:r>
          </w:p>
        </w:tc>
        <w:tc>
          <w:tcPr>
            <w:tcW w:w="642" w:type="pct"/>
            <w:gridSpan w:val="3"/>
            <w:tcBorders>
              <w:top w:val="nil"/>
              <w:left w:val="nil"/>
              <w:bottom w:val="single" w:sz="4" w:space="0" w:color="auto"/>
              <w:right w:val="single" w:sz="4" w:space="0" w:color="auto"/>
            </w:tcBorders>
            <w:shd w:val="clear" w:color="auto" w:fill="auto"/>
            <w:noWrap/>
            <w:vAlign w:val="bottom"/>
          </w:tcPr>
          <w:p w14:paraId="7C19B747" w14:textId="77777777" w:rsidR="009A36D2" w:rsidRPr="009A36D2" w:rsidRDefault="009A36D2" w:rsidP="00281A92">
            <w:pPr>
              <w:spacing w:before="0" w:after="0" w:line="240" w:lineRule="auto"/>
              <w:rPr>
                <w:color w:val="auto"/>
                <w:sz w:val="20"/>
                <w:szCs w:val="20"/>
              </w:rPr>
            </w:pPr>
            <w:r w:rsidRPr="009A36D2">
              <w:rPr>
                <w:color w:val="000000"/>
                <w:sz w:val="22"/>
                <w:szCs w:val="22"/>
              </w:rPr>
              <w:t>194</w:t>
            </w:r>
          </w:p>
        </w:tc>
        <w:tc>
          <w:tcPr>
            <w:tcW w:w="625" w:type="pct"/>
            <w:gridSpan w:val="3"/>
            <w:tcBorders>
              <w:top w:val="nil"/>
              <w:left w:val="nil"/>
              <w:bottom w:val="single" w:sz="4" w:space="0" w:color="auto"/>
              <w:right w:val="single" w:sz="4" w:space="0" w:color="auto"/>
            </w:tcBorders>
            <w:shd w:val="clear" w:color="auto" w:fill="auto"/>
            <w:noWrap/>
            <w:vAlign w:val="bottom"/>
          </w:tcPr>
          <w:p w14:paraId="01992166" w14:textId="77777777" w:rsidR="009A36D2" w:rsidRPr="009A36D2" w:rsidRDefault="009A36D2" w:rsidP="00281A92">
            <w:pPr>
              <w:spacing w:before="0" w:after="0" w:line="240" w:lineRule="auto"/>
              <w:rPr>
                <w:color w:val="auto"/>
                <w:sz w:val="20"/>
                <w:szCs w:val="20"/>
              </w:rPr>
            </w:pPr>
            <w:r w:rsidRPr="009A36D2">
              <w:rPr>
                <w:color w:val="000000"/>
                <w:sz w:val="22"/>
                <w:szCs w:val="22"/>
              </w:rPr>
              <w:t>188</w:t>
            </w:r>
          </w:p>
        </w:tc>
        <w:tc>
          <w:tcPr>
            <w:tcW w:w="644" w:type="pct"/>
            <w:gridSpan w:val="4"/>
            <w:tcBorders>
              <w:top w:val="nil"/>
              <w:left w:val="nil"/>
              <w:bottom w:val="single" w:sz="4" w:space="0" w:color="auto"/>
              <w:right w:val="single" w:sz="4" w:space="0" w:color="auto"/>
            </w:tcBorders>
            <w:shd w:val="clear" w:color="auto" w:fill="auto"/>
            <w:noWrap/>
            <w:vAlign w:val="bottom"/>
          </w:tcPr>
          <w:p w14:paraId="6AA2EA3E" w14:textId="77777777" w:rsidR="009A36D2" w:rsidRPr="009A36D2" w:rsidRDefault="009A36D2" w:rsidP="00281A92">
            <w:pPr>
              <w:spacing w:before="0" w:after="0" w:line="240" w:lineRule="auto"/>
              <w:rPr>
                <w:color w:val="auto"/>
                <w:sz w:val="20"/>
                <w:szCs w:val="20"/>
              </w:rPr>
            </w:pPr>
            <w:r w:rsidRPr="009A36D2">
              <w:rPr>
                <w:color w:val="000000"/>
                <w:sz w:val="22"/>
                <w:szCs w:val="22"/>
              </w:rPr>
              <w:t>171</w:t>
            </w:r>
          </w:p>
        </w:tc>
        <w:tc>
          <w:tcPr>
            <w:tcW w:w="643" w:type="pct"/>
            <w:gridSpan w:val="2"/>
            <w:tcBorders>
              <w:top w:val="nil"/>
              <w:left w:val="nil"/>
              <w:bottom w:val="single" w:sz="4" w:space="0" w:color="auto"/>
              <w:right w:val="single" w:sz="4" w:space="0" w:color="auto"/>
            </w:tcBorders>
            <w:shd w:val="clear" w:color="auto" w:fill="auto"/>
            <w:noWrap/>
            <w:vAlign w:val="bottom"/>
          </w:tcPr>
          <w:p w14:paraId="07014277" w14:textId="77777777" w:rsidR="009A36D2" w:rsidRPr="009A36D2" w:rsidRDefault="009A36D2" w:rsidP="00281A92">
            <w:pPr>
              <w:spacing w:before="0" w:after="0" w:line="240" w:lineRule="auto"/>
              <w:rPr>
                <w:color w:val="auto"/>
                <w:sz w:val="20"/>
                <w:szCs w:val="20"/>
              </w:rPr>
            </w:pPr>
            <w:r w:rsidRPr="009A36D2">
              <w:rPr>
                <w:color w:val="000000"/>
                <w:sz w:val="22"/>
                <w:szCs w:val="22"/>
              </w:rPr>
              <w:t>174</w:t>
            </w:r>
          </w:p>
        </w:tc>
        <w:tc>
          <w:tcPr>
            <w:tcW w:w="693" w:type="pct"/>
            <w:gridSpan w:val="2"/>
            <w:tcBorders>
              <w:top w:val="nil"/>
              <w:left w:val="nil"/>
              <w:bottom w:val="single" w:sz="4" w:space="0" w:color="auto"/>
              <w:right w:val="single" w:sz="4" w:space="0" w:color="auto"/>
            </w:tcBorders>
            <w:shd w:val="clear" w:color="auto" w:fill="auto"/>
            <w:noWrap/>
            <w:vAlign w:val="bottom"/>
          </w:tcPr>
          <w:p w14:paraId="565F8A6C" w14:textId="77777777" w:rsidR="009A36D2" w:rsidRPr="009A36D2" w:rsidRDefault="009A36D2" w:rsidP="00281A92">
            <w:pPr>
              <w:spacing w:before="0" w:after="0" w:line="240" w:lineRule="auto"/>
              <w:rPr>
                <w:color w:val="auto"/>
                <w:sz w:val="20"/>
                <w:szCs w:val="20"/>
              </w:rPr>
            </w:pPr>
            <w:r w:rsidRPr="009A36D2">
              <w:rPr>
                <w:color w:val="000000"/>
                <w:sz w:val="22"/>
                <w:szCs w:val="22"/>
              </w:rPr>
              <w:t>234</w:t>
            </w:r>
          </w:p>
        </w:tc>
      </w:tr>
      <w:tr w:rsidR="009A36D2" w:rsidRPr="009A36D2" w14:paraId="7052E42B"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6B168BA"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39" w:type="pct"/>
            <w:gridSpan w:val="2"/>
            <w:tcBorders>
              <w:top w:val="nil"/>
              <w:left w:val="nil"/>
              <w:bottom w:val="single" w:sz="4" w:space="0" w:color="auto"/>
              <w:right w:val="single" w:sz="4" w:space="0" w:color="auto"/>
            </w:tcBorders>
            <w:shd w:val="clear" w:color="auto" w:fill="auto"/>
            <w:noWrap/>
            <w:vAlign w:val="bottom"/>
          </w:tcPr>
          <w:p w14:paraId="2F0B7606" w14:textId="77777777" w:rsidR="009A36D2" w:rsidRPr="009A36D2" w:rsidRDefault="009A36D2" w:rsidP="00281A92">
            <w:pPr>
              <w:spacing w:before="0" w:after="0" w:line="240" w:lineRule="auto"/>
              <w:rPr>
                <w:color w:val="auto"/>
                <w:sz w:val="20"/>
                <w:szCs w:val="20"/>
              </w:rPr>
            </w:pPr>
            <w:r w:rsidRPr="009A36D2">
              <w:rPr>
                <w:color w:val="000000"/>
                <w:sz w:val="22"/>
                <w:szCs w:val="22"/>
              </w:rPr>
              <w:t>209</w:t>
            </w:r>
          </w:p>
        </w:tc>
        <w:tc>
          <w:tcPr>
            <w:tcW w:w="642" w:type="pct"/>
            <w:gridSpan w:val="3"/>
            <w:tcBorders>
              <w:top w:val="nil"/>
              <w:left w:val="nil"/>
              <w:bottom w:val="single" w:sz="4" w:space="0" w:color="auto"/>
              <w:right w:val="single" w:sz="4" w:space="0" w:color="auto"/>
            </w:tcBorders>
            <w:shd w:val="clear" w:color="auto" w:fill="auto"/>
            <w:noWrap/>
            <w:vAlign w:val="bottom"/>
          </w:tcPr>
          <w:p w14:paraId="65BB7E79" w14:textId="77777777" w:rsidR="009A36D2" w:rsidRPr="009A36D2" w:rsidRDefault="009A36D2" w:rsidP="00281A92">
            <w:pPr>
              <w:spacing w:before="0" w:after="0" w:line="240" w:lineRule="auto"/>
              <w:rPr>
                <w:color w:val="auto"/>
                <w:sz w:val="20"/>
                <w:szCs w:val="20"/>
              </w:rPr>
            </w:pPr>
            <w:r w:rsidRPr="009A36D2">
              <w:rPr>
                <w:color w:val="000000"/>
                <w:sz w:val="22"/>
                <w:szCs w:val="22"/>
              </w:rPr>
              <w:t>171</w:t>
            </w:r>
          </w:p>
        </w:tc>
        <w:tc>
          <w:tcPr>
            <w:tcW w:w="625" w:type="pct"/>
            <w:gridSpan w:val="3"/>
            <w:tcBorders>
              <w:top w:val="nil"/>
              <w:left w:val="nil"/>
              <w:bottom w:val="single" w:sz="4" w:space="0" w:color="auto"/>
              <w:right w:val="single" w:sz="4" w:space="0" w:color="auto"/>
            </w:tcBorders>
            <w:shd w:val="clear" w:color="auto" w:fill="auto"/>
            <w:noWrap/>
            <w:vAlign w:val="bottom"/>
          </w:tcPr>
          <w:p w14:paraId="64EFCDEF" w14:textId="77777777" w:rsidR="009A36D2" w:rsidRPr="009A36D2" w:rsidRDefault="009A36D2" w:rsidP="00281A92">
            <w:pPr>
              <w:spacing w:before="0" w:after="0" w:line="240" w:lineRule="auto"/>
              <w:rPr>
                <w:color w:val="auto"/>
                <w:sz w:val="20"/>
                <w:szCs w:val="20"/>
              </w:rPr>
            </w:pPr>
            <w:r w:rsidRPr="009A36D2">
              <w:rPr>
                <w:color w:val="000000"/>
                <w:sz w:val="22"/>
                <w:szCs w:val="22"/>
              </w:rPr>
              <w:t>139</w:t>
            </w:r>
          </w:p>
        </w:tc>
        <w:tc>
          <w:tcPr>
            <w:tcW w:w="644" w:type="pct"/>
            <w:gridSpan w:val="4"/>
            <w:tcBorders>
              <w:top w:val="nil"/>
              <w:left w:val="nil"/>
              <w:bottom w:val="single" w:sz="4" w:space="0" w:color="auto"/>
              <w:right w:val="single" w:sz="4" w:space="0" w:color="auto"/>
            </w:tcBorders>
            <w:shd w:val="clear" w:color="auto" w:fill="auto"/>
            <w:noWrap/>
            <w:vAlign w:val="bottom"/>
          </w:tcPr>
          <w:p w14:paraId="5EBC2BD4" w14:textId="77777777" w:rsidR="009A36D2" w:rsidRPr="009A36D2" w:rsidRDefault="009A36D2" w:rsidP="00281A92">
            <w:pPr>
              <w:spacing w:before="0" w:after="0" w:line="240" w:lineRule="auto"/>
              <w:rPr>
                <w:color w:val="auto"/>
                <w:sz w:val="20"/>
                <w:szCs w:val="20"/>
              </w:rPr>
            </w:pPr>
            <w:r w:rsidRPr="009A36D2">
              <w:rPr>
                <w:color w:val="000000"/>
                <w:sz w:val="22"/>
                <w:szCs w:val="22"/>
              </w:rPr>
              <w:t>162</w:t>
            </w:r>
          </w:p>
        </w:tc>
        <w:tc>
          <w:tcPr>
            <w:tcW w:w="643" w:type="pct"/>
            <w:gridSpan w:val="2"/>
            <w:tcBorders>
              <w:top w:val="nil"/>
              <w:left w:val="nil"/>
              <w:bottom w:val="single" w:sz="4" w:space="0" w:color="auto"/>
              <w:right w:val="single" w:sz="4" w:space="0" w:color="auto"/>
            </w:tcBorders>
            <w:shd w:val="clear" w:color="auto" w:fill="auto"/>
            <w:noWrap/>
            <w:vAlign w:val="bottom"/>
          </w:tcPr>
          <w:p w14:paraId="73EA5455" w14:textId="77777777" w:rsidR="009A36D2" w:rsidRPr="009A36D2" w:rsidRDefault="009A36D2" w:rsidP="00281A92">
            <w:pPr>
              <w:spacing w:before="0" w:after="0" w:line="240" w:lineRule="auto"/>
              <w:rPr>
                <w:color w:val="auto"/>
                <w:sz w:val="20"/>
                <w:szCs w:val="20"/>
              </w:rPr>
            </w:pPr>
            <w:r w:rsidRPr="009A36D2">
              <w:rPr>
                <w:color w:val="000000"/>
                <w:sz w:val="22"/>
                <w:szCs w:val="22"/>
              </w:rPr>
              <w:t>156</w:t>
            </w:r>
          </w:p>
        </w:tc>
        <w:tc>
          <w:tcPr>
            <w:tcW w:w="693" w:type="pct"/>
            <w:gridSpan w:val="2"/>
            <w:tcBorders>
              <w:top w:val="nil"/>
              <w:left w:val="nil"/>
              <w:bottom w:val="single" w:sz="4" w:space="0" w:color="auto"/>
              <w:right w:val="single" w:sz="4" w:space="0" w:color="auto"/>
            </w:tcBorders>
            <w:shd w:val="clear" w:color="auto" w:fill="auto"/>
            <w:noWrap/>
            <w:vAlign w:val="bottom"/>
          </w:tcPr>
          <w:p w14:paraId="7FB2256E" w14:textId="77777777" w:rsidR="009A36D2" w:rsidRPr="009A36D2" w:rsidRDefault="009A36D2" w:rsidP="00281A92">
            <w:pPr>
              <w:spacing w:before="0" w:after="0" w:line="240" w:lineRule="auto"/>
              <w:rPr>
                <w:color w:val="auto"/>
                <w:sz w:val="20"/>
                <w:szCs w:val="20"/>
              </w:rPr>
            </w:pPr>
            <w:r w:rsidRPr="009A36D2">
              <w:rPr>
                <w:color w:val="000000"/>
                <w:sz w:val="22"/>
                <w:szCs w:val="22"/>
              </w:rPr>
              <w:t>228</w:t>
            </w:r>
          </w:p>
        </w:tc>
      </w:tr>
      <w:tr w:rsidR="009A36D2" w:rsidRPr="009A36D2" w14:paraId="6E80112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37084586"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39" w:type="pct"/>
            <w:gridSpan w:val="2"/>
            <w:tcBorders>
              <w:top w:val="nil"/>
              <w:left w:val="nil"/>
              <w:bottom w:val="single" w:sz="4" w:space="0" w:color="auto"/>
              <w:right w:val="single" w:sz="4" w:space="0" w:color="auto"/>
            </w:tcBorders>
            <w:shd w:val="clear" w:color="auto" w:fill="auto"/>
            <w:noWrap/>
            <w:vAlign w:val="bottom"/>
          </w:tcPr>
          <w:p w14:paraId="536001EA" w14:textId="77777777" w:rsidR="009A36D2" w:rsidRPr="009A36D2" w:rsidRDefault="009A36D2" w:rsidP="00281A92">
            <w:pPr>
              <w:spacing w:before="0" w:after="0" w:line="240" w:lineRule="auto"/>
              <w:rPr>
                <w:color w:val="auto"/>
                <w:sz w:val="20"/>
                <w:szCs w:val="20"/>
              </w:rPr>
            </w:pPr>
            <w:r w:rsidRPr="009A36D2">
              <w:rPr>
                <w:color w:val="000000"/>
                <w:sz w:val="22"/>
                <w:szCs w:val="22"/>
              </w:rPr>
              <w:t>229</w:t>
            </w:r>
          </w:p>
        </w:tc>
        <w:tc>
          <w:tcPr>
            <w:tcW w:w="642" w:type="pct"/>
            <w:gridSpan w:val="3"/>
            <w:tcBorders>
              <w:top w:val="nil"/>
              <w:left w:val="nil"/>
              <w:bottom w:val="single" w:sz="4" w:space="0" w:color="auto"/>
              <w:right w:val="single" w:sz="4" w:space="0" w:color="auto"/>
            </w:tcBorders>
            <w:shd w:val="clear" w:color="auto" w:fill="auto"/>
            <w:noWrap/>
            <w:vAlign w:val="bottom"/>
          </w:tcPr>
          <w:p w14:paraId="25365EDA" w14:textId="77777777" w:rsidR="009A36D2" w:rsidRPr="009A36D2" w:rsidRDefault="009A36D2" w:rsidP="00281A92">
            <w:pPr>
              <w:spacing w:before="0" w:after="0" w:line="240" w:lineRule="auto"/>
              <w:rPr>
                <w:color w:val="auto"/>
                <w:sz w:val="20"/>
                <w:szCs w:val="20"/>
              </w:rPr>
            </w:pPr>
            <w:r w:rsidRPr="009A36D2">
              <w:rPr>
                <w:color w:val="000000"/>
                <w:sz w:val="22"/>
                <w:szCs w:val="22"/>
              </w:rPr>
              <w:t>223</w:t>
            </w:r>
          </w:p>
        </w:tc>
        <w:tc>
          <w:tcPr>
            <w:tcW w:w="625" w:type="pct"/>
            <w:gridSpan w:val="3"/>
            <w:tcBorders>
              <w:top w:val="nil"/>
              <w:left w:val="nil"/>
              <w:bottom w:val="single" w:sz="4" w:space="0" w:color="auto"/>
              <w:right w:val="single" w:sz="4" w:space="0" w:color="auto"/>
            </w:tcBorders>
            <w:shd w:val="clear" w:color="auto" w:fill="auto"/>
            <w:noWrap/>
            <w:vAlign w:val="bottom"/>
          </w:tcPr>
          <w:p w14:paraId="31E199CD" w14:textId="77777777" w:rsidR="009A36D2" w:rsidRPr="009A36D2" w:rsidRDefault="009A36D2" w:rsidP="00281A92">
            <w:pPr>
              <w:spacing w:before="0" w:after="0" w:line="240" w:lineRule="auto"/>
              <w:rPr>
                <w:color w:val="auto"/>
                <w:sz w:val="20"/>
                <w:szCs w:val="20"/>
              </w:rPr>
            </w:pPr>
            <w:r w:rsidRPr="009A36D2">
              <w:rPr>
                <w:color w:val="000000"/>
                <w:sz w:val="22"/>
                <w:szCs w:val="22"/>
              </w:rPr>
              <w:t>218</w:t>
            </w:r>
          </w:p>
        </w:tc>
        <w:tc>
          <w:tcPr>
            <w:tcW w:w="644" w:type="pct"/>
            <w:gridSpan w:val="4"/>
            <w:tcBorders>
              <w:top w:val="nil"/>
              <w:left w:val="nil"/>
              <w:bottom w:val="single" w:sz="4" w:space="0" w:color="auto"/>
              <w:right w:val="single" w:sz="4" w:space="0" w:color="auto"/>
            </w:tcBorders>
            <w:shd w:val="clear" w:color="auto" w:fill="auto"/>
            <w:noWrap/>
            <w:vAlign w:val="bottom"/>
          </w:tcPr>
          <w:p w14:paraId="36D627B0" w14:textId="77777777" w:rsidR="009A36D2" w:rsidRPr="009A36D2" w:rsidRDefault="009A36D2" w:rsidP="00281A92">
            <w:pPr>
              <w:spacing w:before="0" w:after="0" w:line="240" w:lineRule="auto"/>
              <w:rPr>
                <w:color w:val="auto"/>
                <w:sz w:val="20"/>
                <w:szCs w:val="20"/>
              </w:rPr>
            </w:pPr>
            <w:r w:rsidRPr="009A36D2">
              <w:rPr>
                <w:color w:val="000000"/>
                <w:sz w:val="22"/>
                <w:szCs w:val="22"/>
              </w:rPr>
              <w:t>195</w:t>
            </w:r>
          </w:p>
        </w:tc>
        <w:tc>
          <w:tcPr>
            <w:tcW w:w="643" w:type="pct"/>
            <w:gridSpan w:val="2"/>
            <w:tcBorders>
              <w:top w:val="nil"/>
              <w:left w:val="nil"/>
              <w:bottom w:val="single" w:sz="4" w:space="0" w:color="auto"/>
              <w:right w:val="single" w:sz="4" w:space="0" w:color="auto"/>
            </w:tcBorders>
            <w:shd w:val="clear" w:color="auto" w:fill="auto"/>
            <w:noWrap/>
            <w:vAlign w:val="bottom"/>
          </w:tcPr>
          <w:p w14:paraId="50BD5916" w14:textId="77777777" w:rsidR="009A36D2" w:rsidRPr="009A36D2" w:rsidRDefault="009A36D2" w:rsidP="00281A92">
            <w:pPr>
              <w:spacing w:before="0" w:after="0" w:line="240" w:lineRule="auto"/>
              <w:rPr>
                <w:color w:val="auto"/>
                <w:sz w:val="20"/>
                <w:szCs w:val="20"/>
              </w:rPr>
            </w:pPr>
            <w:r w:rsidRPr="009A36D2">
              <w:rPr>
                <w:color w:val="000000"/>
                <w:sz w:val="22"/>
                <w:szCs w:val="22"/>
              </w:rPr>
              <w:t>201</w:t>
            </w:r>
          </w:p>
        </w:tc>
        <w:tc>
          <w:tcPr>
            <w:tcW w:w="693" w:type="pct"/>
            <w:gridSpan w:val="2"/>
            <w:tcBorders>
              <w:top w:val="nil"/>
              <w:left w:val="nil"/>
              <w:bottom w:val="single" w:sz="4" w:space="0" w:color="auto"/>
              <w:right w:val="single" w:sz="4" w:space="0" w:color="auto"/>
            </w:tcBorders>
            <w:shd w:val="clear" w:color="auto" w:fill="auto"/>
            <w:noWrap/>
            <w:vAlign w:val="bottom"/>
          </w:tcPr>
          <w:p w14:paraId="0B0F8C25" w14:textId="77777777" w:rsidR="009A36D2" w:rsidRPr="009A36D2" w:rsidRDefault="009A36D2" w:rsidP="00281A92">
            <w:pPr>
              <w:spacing w:before="0" w:after="0" w:line="240" w:lineRule="auto"/>
              <w:rPr>
                <w:color w:val="auto"/>
                <w:sz w:val="20"/>
                <w:szCs w:val="20"/>
              </w:rPr>
            </w:pPr>
            <w:r w:rsidRPr="009A36D2">
              <w:rPr>
                <w:color w:val="000000"/>
                <w:sz w:val="22"/>
                <w:szCs w:val="22"/>
              </w:rPr>
              <w:t>218</w:t>
            </w:r>
          </w:p>
        </w:tc>
      </w:tr>
      <w:tr w:rsidR="009A36D2" w:rsidRPr="009A36D2" w14:paraId="74DB285E"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21FCBDB"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39" w:type="pct"/>
            <w:gridSpan w:val="2"/>
            <w:tcBorders>
              <w:top w:val="nil"/>
              <w:left w:val="nil"/>
              <w:bottom w:val="single" w:sz="4" w:space="0" w:color="auto"/>
              <w:right w:val="single" w:sz="4" w:space="0" w:color="auto"/>
            </w:tcBorders>
            <w:shd w:val="clear" w:color="auto" w:fill="auto"/>
            <w:noWrap/>
            <w:vAlign w:val="bottom"/>
          </w:tcPr>
          <w:p w14:paraId="58DC6899" w14:textId="77777777" w:rsidR="009A36D2" w:rsidRPr="009A36D2" w:rsidRDefault="009A36D2" w:rsidP="00281A92">
            <w:pPr>
              <w:spacing w:before="0" w:after="0" w:line="240" w:lineRule="auto"/>
              <w:rPr>
                <w:color w:val="auto"/>
                <w:sz w:val="20"/>
                <w:szCs w:val="20"/>
              </w:rPr>
            </w:pPr>
            <w:r w:rsidRPr="009A36D2">
              <w:rPr>
                <w:color w:val="000000"/>
                <w:sz w:val="22"/>
                <w:szCs w:val="22"/>
              </w:rPr>
              <w:t>211</w:t>
            </w:r>
          </w:p>
        </w:tc>
        <w:tc>
          <w:tcPr>
            <w:tcW w:w="642" w:type="pct"/>
            <w:gridSpan w:val="3"/>
            <w:tcBorders>
              <w:top w:val="nil"/>
              <w:left w:val="nil"/>
              <w:bottom w:val="single" w:sz="4" w:space="0" w:color="auto"/>
              <w:right w:val="single" w:sz="4" w:space="0" w:color="auto"/>
            </w:tcBorders>
            <w:shd w:val="clear" w:color="auto" w:fill="auto"/>
            <w:noWrap/>
            <w:vAlign w:val="bottom"/>
          </w:tcPr>
          <w:p w14:paraId="1AA59FD5" w14:textId="77777777" w:rsidR="009A36D2" w:rsidRPr="009A36D2" w:rsidRDefault="009A36D2" w:rsidP="00281A92">
            <w:pPr>
              <w:spacing w:before="0" w:after="0" w:line="240" w:lineRule="auto"/>
              <w:rPr>
                <w:color w:val="auto"/>
                <w:sz w:val="20"/>
                <w:szCs w:val="20"/>
              </w:rPr>
            </w:pPr>
            <w:r w:rsidRPr="009A36D2">
              <w:rPr>
                <w:color w:val="000000"/>
                <w:sz w:val="22"/>
                <w:szCs w:val="22"/>
              </w:rPr>
              <w:t>218</w:t>
            </w:r>
          </w:p>
        </w:tc>
        <w:tc>
          <w:tcPr>
            <w:tcW w:w="625" w:type="pct"/>
            <w:gridSpan w:val="3"/>
            <w:tcBorders>
              <w:top w:val="nil"/>
              <w:left w:val="nil"/>
              <w:bottom w:val="single" w:sz="4" w:space="0" w:color="auto"/>
              <w:right w:val="single" w:sz="4" w:space="0" w:color="auto"/>
            </w:tcBorders>
            <w:shd w:val="clear" w:color="auto" w:fill="auto"/>
            <w:noWrap/>
            <w:vAlign w:val="bottom"/>
          </w:tcPr>
          <w:p w14:paraId="5EF17795" w14:textId="77777777" w:rsidR="009A36D2" w:rsidRPr="009A36D2" w:rsidRDefault="009A36D2" w:rsidP="00281A92">
            <w:pPr>
              <w:spacing w:before="0" w:after="0" w:line="240" w:lineRule="auto"/>
              <w:rPr>
                <w:color w:val="auto"/>
                <w:sz w:val="20"/>
                <w:szCs w:val="20"/>
              </w:rPr>
            </w:pPr>
            <w:r w:rsidRPr="009A36D2">
              <w:rPr>
                <w:color w:val="000000"/>
                <w:sz w:val="22"/>
                <w:szCs w:val="22"/>
              </w:rPr>
              <w:t>198</w:t>
            </w:r>
          </w:p>
        </w:tc>
        <w:tc>
          <w:tcPr>
            <w:tcW w:w="644" w:type="pct"/>
            <w:gridSpan w:val="4"/>
            <w:tcBorders>
              <w:top w:val="nil"/>
              <w:left w:val="nil"/>
              <w:bottom w:val="single" w:sz="4" w:space="0" w:color="auto"/>
              <w:right w:val="single" w:sz="4" w:space="0" w:color="auto"/>
            </w:tcBorders>
            <w:shd w:val="clear" w:color="auto" w:fill="auto"/>
            <w:noWrap/>
            <w:vAlign w:val="bottom"/>
          </w:tcPr>
          <w:p w14:paraId="70857AB9" w14:textId="77777777" w:rsidR="009A36D2" w:rsidRPr="009A36D2" w:rsidRDefault="009A36D2" w:rsidP="00281A92">
            <w:pPr>
              <w:spacing w:before="0" w:after="0" w:line="240" w:lineRule="auto"/>
              <w:rPr>
                <w:color w:val="auto"/>
                <w:sz w:val="20"/>
                <w:szCs w:val="20"/>
              </w:rPr>
            </w:pPr>
            <w:r w:rsidRPr="009A36D2">
              <w:rPr>
                <w:color w:val="000000"/>
                <w:sz w:val="22"/>
                <w:szCs w:val="22"/>
              </w:rPr>
              <w:t>189</w:t>
            </w:r>
          </w:p>
        </w:tc>
        <w:tc>
          <w:tcPr>
            <w:tcW w:w="643" w:type="pct"/>
            <w:gridSpan w:val="2"/>
            <w:tcBorders>
              <w:top w:val="nil"/>
              <w:left w:val="nil"/>
              <w:bottom w:val="single" w:sz="4" w:space="0" w:color="auto"/>
              <w:right w:val="single" w:sz="4" w:space="0" w:color="auto"/>
            </w:tcBorders>
            <w:shd w:val="clear" w:color="auto" w:fill="auto"/>
            <w:noWrap/>
            <w:vAlign w:val="bottom"/>
          </w:tcPr>
          <w:p w14:paraId="4BC2051D" w14:textId="77777777" w:rsidR="009A36D2" w:rsidRPr="009A36D2" w:rsidRDefault="009A36D2" w:rsidP="00281A92">
            <w:pPr>
              <w:spacing w:before="0" w:after="0" w:line="240" w:lineRule="auto"/>
              <w:rPr>
                <w:color w:val="auto"/>
                <w:sz w:val="20"/>
                <w:szCs w:val="20"/>
              </w:rPr>
            </w:pPr>
            <w:r w:rsidRPr="009A36D2">
              <w:rPr>
                <w:color w:val="000000"/>
                <w:sz w:val="22"/>
                <w:szCs w:val="22"/>
              </w:rPr>
              <w:t>191</w:t>
            </w:r>
          </w:p>
        </w:tc>
        <w:tc>
          <w:tcPr>
            <w:tcW w:w="693" w:type="pct"/>
            <w:gridSpan w:val="2"/>
            <w:tcBorders>
              <w:top w:val="nil"/>
              <w:left w:val="nil"/>
              <w:bottom w:val="single" w:sz="4" w:space="0" w:color="auto"/>
              <w:right w:val="single" w:sz="4" w:space="0" w:color="auto"/>
            </w:tcBorders>
            <w:shd w:val="clear" w:color="auto" w:fill="auto"/>
            <w:noWrap/>
            <w:vAlign w:val="bottom"/>
          </w:tcPr>
          <w:p w14:paraId="6D4B17C1" w14:textId="77777777" w:rsidR="009A36D2" w:rsidRPr="009A36D2" w:rsidRDefault="009A36D2" w:rsidP="00281A92">
            <w:pPr>
              <w:spacing w:before="0" w:after="0" w:line="240" w:lineRule="auto"/>
              <w:rPr>
                <w:color w:val="auto"/>
                <w:sz w:val="20"/>
                <w:szCs w:val="20"/>
              </w:rPr>
            </w:pPr>
            <w:r w:rsidRPr="009A36D2">
              <w:rPr>
                <w:color w:val="000000"/>
                <w:sz w:val="22"/>
                <w:szCs w:val="22"/>
              </w:rPr>
              <w:t>190</w:t>
            </w:r>
          </w:p>
        </w:tc>
      </w:tr>
      <w:tr w:rsidR="009A36D2" w:rsidRPr="009A36D2" w14:paraId="4D9D55D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6A895A9"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39" w:type="pct"/>
            <w:gridSpan w:val="2"/>
            <w:tcBorders>
              <w:top w:val="nil"/>
              <w:left w:val="nil"/>
              <w:bottom w:val="single" w:sz="4" w:space="0" w:color="auto"/>
              <w:right w:val="single" w:sz="4" w:space="0" w:color="auto"/>
            </w:tcBorders>
            <w:shd w:val="clear" w:color="auto" w:fill="auto"/>
            <w:noWrap/>
            <w:vAlign w:val="bottom"/>
          </w:tcPr>
          <w:p w14:paraId="5C824371" w14:textId="77777777" w:rsidR="009A36D2" w:rsidRPr="009A36D2" w:rsidRDefault="009A36D2" w:rsidP="00281A92">
            <w:pPr>
              <w:spacing w:before="0" w:after="0" w:line="240" w:lineRule="auto"/>
              <w:rPr>
                <w:color w:val="auto"/>
                <w:sz w:val="20"/>
                <w:szCs w:val="20"/>
              </w:rPr>
            </w:pPr>
            <w:r w:rsidRPr="009A36D2">
              <w:rPr>
                <w:color w:val="000000"/>
                <w:sz w:val="22"/>
                <w:szCs w:val="22"/>
              </w:rPr>
              <w:t>247</w:t>
            </w:r>
          </w:p>
        </w:tc>
        <w:tc>
          <w:tcPr>
            <w:tcW w:w="642" w:type="pct"/>
            <w:gridSpan w:val="3"/>
            <w:tcBorders>
              <w:top w:val="nil"/>
              <w:left w:val="nil"/>
              <w:bottom w:val="single" w:sz="4" w:space="0" w:color="auto"/>
              <w:right w:val="single" w:sz="4" w:space="0" w:color="auto"/>
            </w:tcBorders>
            <w:shd w:val="clear" w:color="auto" w:fill="auto"/>
            <w:noWrap/>
            <w:vAlign w:val="bottom"/>
          </w:tcPr>
          <w:p w14:paraId="0C623818" w14:textId="77777777" w:rsidR="009A36D2" w:rsidRPr="009A36D2" w:rsidRDefault="009A36D2" w:rsidP="00281A92">
            <w:pPr>
              <w:spacing w:before="0" w:after="0" w:line="240" w:lineRule="auto"/>
              <w:rPr>
                <w:color w:val="auto"/>
                <w:sz w:val="20"/>
                <w:szCs w:val="20"/>
              </w:rPr>
            </w:pPr>
            <w:r w:rsidRPr="009A36D2">
              <w:rPr>
                <w:color w:val="000000"/>
                <w:sz w:val="22"/>
                <w:szCs w:val="22"/>
              </w:rPr>
              <w:t>210</w:t>
            </w:r>
          </w:p>
        </w:tc>
        <w:tc>
          <w:tcPr>
            <w:tcW w:w="625" w:type="pct"/>
            <w:gridSpan w:val="3"/>
            <w:tcBorders>
              <w:top w:val="nil"/>
              <w:left w:val="nil"/>
              <w:bottom w:val="single" w:sz="4" w:space="0" w:color="auto"/>
              <w:right w:val="single" w:sz="4" w:space="0" w:color="auto"/>
            </w:tcBorders>
            <w:shd w:val="clear" w:color="auto" w:fill="auto"/>
            <w:noWrap/>
            <w:vAlign w:val="bottom"/>
          </w:tcPr>
          <w:p w14:paraId="2F0EB5BB" w14:textId="77777777" w:rsidR="009A36D2" w:rsidRPr="009A36D2" w:rsidRDefault="009A36D2" w:rsidP="00281A92">
            <w:pPr>
              <w:spacing w:before="0" w:after="0" w:line="240" w:lineRule="auto"/>
              <w:rPr>
                <w:color w:val="auto"/>
                <w:sz w:val="20"/>
                <w:szCs w:val="20"/>
              </w:rPr>
            </w:pPr>
            <w:r w:rsidRPr="009A36D2">
              <w:rPr>
                <w:color w:val="000000"/>
                <w:sz w:val="22"/>
                <w:szCs w:val="22"/>
              </w:rPr>
              <w:t>179</w:t>
            </w:r>
          </w:p>
        </w:tc>
        <w:tc>
          <w:tcPr>
            <w:tcW w:w="644" w:type="pct"/>
            <w:gridSpan w:val="4"/>
            <w:tcBorders>
              <w:top w:val="nil"/>
              <w:left w:val="nil"/>
              <w:bottom w:val="single" w:sz="4" w:space="0" w:color="auto"/>
              <w:right w:val="single" w:sz="4" w:space="0" w:color="auto"/>
            </w:tcBorders>
            <w:shd w:val="clear" w:color="auto" w:fill="auto"/>
            <w:noWrap/>
            <w:vAlign w:val="bottom"/>
          </w:tcPr>
          <w:p w14:paraId="625E8592" w14:textId="77777777" w:rsidR="009A36D2" w:rsidRPr="009A36D2" w:rsidRDefault="009A36D2" w:rsidP="00281A92">
            <w:pPr>
              <w:spacing w:before="0" w:after="0" w:line="240" w:lineRule="auto"/>
              <w:rPr>
                <w:color w:val="auto"/>
                <w:sz w:val="20"/>
                <w:szCs w:val="20"/>
              </w:rPr>
            </w:pPr>
            <w:r w:rsidRPr="009A36D2">
              <w:rPr>
                <w:color w:val="000000"/>
                <w:sz w:val="22"/>
                <w:szCs w:val="22"/>
              </w:rPr>
              <w:t>169</w:t>
            </w:r>
          </w:p>
        </w:tc>
        <w:tc>
          <w:tcPr>
            <w:tcW w:w="643" w:type="pct"/>
            <w:gridSpan w:val="2"/>
            <w:tcBorders>
              <w:top w:val="nil"/>
              <w:left w:val="nil"/>
              <w:bottom w:val="single" w:sz="4" w:space="0" w:color="auto"/>
              <w:right w:val="single" w:sz="4" w:space="0" w:color="auto"/>
            </w:tcBorders>
            <w:shd w:val="clear" w:color="auto" w:fill="auto"/>
            <w:noWrap/>
            <w:vAlign w:val="bottom"/>
          </w:tcPr>
          <w:p w14:paraId="5F372C8C" w14:textId="77777777" w:rsidR="009A36D2" w:rsidRPr="009A36D2" w:rsidRDefault="009A36D2" w:rsidP="00281A92">
            <w:pPr>
              <w:spacing w:before="0" w:after="0" w:line="240" w:lineRule="auto"/>
              <w:rPr>
                <w:color w:val="auto"/>
                <w:sz w:val="20"/>
                <w:szCs w:val="20"/>
              </w:rPr>
            </w:pPr>
            <w:r w:rsidRPr="009A36D2">
              <w:rPr>
                <w:color w:val="000000"/>
                <w:sz w:val="22"/>
                <w:szCs w:val="22"/>
              </w:rPr>
              <w:t>183</w:t>
            </w:r>
          </w:p>
        </w:tc>
        <w:tc>
          <w:tcPr>
            <w:tcW w:w="693" w:type="pct"/>
            <w:gridSpan w:val="2"/>
            <w:tcBorders>
              <w:top w:val="nil"/>
              <w:left w:val="nil"/>
              <w:bottom w:val="single" w:sz="4" w:space="0" w:color="auto"/>
              <w:right w:val="single" w:sz="4" w:space="0" w:color="auto"/>
            </w:tcBorders>
            <w:shd w:val="clear" w:color="auto" w:fill="auto"/>
            <w:noWrap/>
            <w:vAlign w:val="bottom"/>
          </w:tcPr>
          <w:p w14:paraId="62B4D006" w14:textId="77777777" w:rsidR="009A36D2" w:rsidRPr="009A36D2" w:rsidRDefault="009A36D2" w:rsidP="00281A92">
            <w:pPr>
              <w:spacing w:before="0" w:after="0" w:line="240" w:lineRule="auto"/>
              <w:rPr>
                <w:color w:val="auto"/>
                <w:sz w:val="20"/>
                <w:szCs w:val="20"/>
              </w:rPr>
            </w:pPr>
            <w:r w:rsidRPr="009A36D2">
              <w:rPr>
                <w:color w:val="000000"/>
                <w:sz w:val="22"/>
                <w:szCs w:val="22"/>
              </w:rPr>
              <w:t>239</w:t>
            </w:r>
          </w:p>
        </w:tc>
      </w:tr>
      <w:tr w:rsidR="009A36D2" w:rsidRPr="009A36D2" w14:paraId="55D5A400"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27F3D767"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39" w:type="pct"/>
            <w:gridSpan w:val="2"/>
            <w:tcBorders>
              <w:top w:val="nil"/>
              <w:left w:val="nil"/>
              <w:bottom w:val="single" w:sz="4" w:space="0" w:color="auto"/>
              <w:right w:val="single" w:sz="4" w:space="0" w:color="auto"/>
            </w:tcBorders>
            <w:shd w:val="clear" w:color="auto" w:fill="auto"/>
            <w:noWrap/>
            <w:vAlign w:val="bottom"/>
          </w:tcPr>
          <w:p w14:paraId="509B5545" w14:textId="77777777" w:rsidR="009A36D2" w:rsidRPr="009A36D2" w:rsidRDefault="009A36D2" w:rsidP="00281A92">
            <w:pPr>
              <w:spacing w:before="0" w:after="0" w:line="240" w:lineRule="auto"/>
              <w:rPr>
                <w:color w:val="auto"/>
                <w:sz w:val="20"/>
                <w:szCs w:val="20"/>
              </w:rPr>
            </w:pPr>
            <w:r w:rsidRPr="009A36D2">
              <w:rPr>
                <w:color w:val="000000"/>
                <w:sz w:val="22"/>
                <w:szCs w:val="22"/>
              </w:rPr>
              <w:t>207</w:t>
            </w:r>
          </w:p>
        </w:tc>
        <w:tc>
          <w:tcPr>
            <w:tcW w:w="642" w:type="pct"/>
            <w:gridSpan w:val="3"/>
            <w:tcBorders>
              <w:top w:val="nil"/>
              <w:left w:val="nil"/>
              <w:bottom w:val="single" w:sz="4" w:space="0" w:color="auto"/>
              <w:right w:val="single" w:sz="4" w:space="0" w:color="auto"/>
            </w:tcBorders>
            <w:shd w:val="clear" w:color="auto" w:fill="auto"/>
            <w:noWrap/>
            <w:vAlign w:val="bottom"/>
          </w:tcPr>
          <w:p w14:paraId="72232383" w14:textId="77777777" w:rsidR="009A36D2" w:rsidRPr="009A36D2" w:rsidRDefault="009A36D2" w:rsidP="00281A92">
            <w:pPr>
              <w:spacing w:before="0" w:after="0" w:line="240" w:lineRule="auto"/>
              <w:rPr>
                <w:color w:val="auto"/>
                <w:sz w:val="20"/>
                <w:szCs w:val="20"/>
              </w:rPr>
            </w:pPr>
            <w:r w:rsidRPr="009A36D2">
              <w:rPr>
                <w:color w:val="000000"/>
                <w:sz w:val="22"/>
                <w:szCs w:val="22"/>
              </w:rPr>
              <w:t>173</w:t>
            </w:r>
          </w:p>
        </w:tc>
        <w:tc>
          <w:tcPr>
            <w:tcW w:w="625" w:type="pct"/>
            <w:gridSpan w:val="3"/>
            <w:tcBorders>
              <w:top w:val="nil"/>
              <w:left w:val="nil"/>
              <w:bottom w:val="single" w:sz="4" w:space="0" w:color="auto"/>
              <w:right w:val="single" w:sz="4" w:space="0" w:color="auto"/>
            </w:tcBorders>
            <w:shd w:val="clear" w:color="auto" w:fill="auto"/>
            <w:noWrap/>
            <w:vAlign w:val="bottom"/>
          </w:tcPr>
          <w:p w14:paraId="49164490" w14:textId="77777777" w:rsidR="009A36D2" w:rsidRPr="009A36D2" w:rsidRDefault="009A36D2" w:rsidP="00281A92">
            <w:pPr>
              <w:spacing w:before="0" w:after="0" w:line="240" w:lineRule="auto"/>
              <w:rPr>
                <w:color w:val="auto"/>
                <w:sz w:val="20"/>
                <w:szCs w:val="20"/>
              </w:rPr>
            </w:pPr>
            <w:r w:rsidRPr="009A36D2">
              <w:rPr>
                <w:color w:val="000000"/>
                <w:sz w:val="22"/>
                <w:szCs w:val="22"/>
              </w:rPr>
              <w:t>154</w:t>
            </w:r>
          </w:p>
        </w:tc>
        <w:tc>
          <w:tcPr>
            <w:tcW w:w="644" w:type="pct"/>
            <w:gridSpan w:val="4"/>
            <w:tcBorders>
              <w:top w:val="nil"/>
              <w:left w:val="nil"/>
              <w:bottom w:val="single" w:sz="4" w:space="0" w:color="auto"/>
              <w:right w:val="single" w:sz="4" w:space="0" w:color="auto"/>
            </w:tcBorders>
            <w:shd w:val="clear" w:color="auto" w:fill="auto"/>
            <w:noWrap/>
            <w:vAlign w:val="bottom"/>
          </w:tcPr>
          <w:p w14:paraId="76511868" w14:textId="77777777" w:rsidR="009A36D2" w:rsidRPr="009A36D2" w:rsidRDefault="009A36D2" w:rsidP="00281A92">
            <w:pPr>
              <w:spacing w:before="0" w:after="0" w:line="240" w:lineRule="auto"/>
              <w:rPr>
                <w:color w:val="auto"/>
                <w:sz w:val="20"/>
                <w:szCs w:val="20"/>
              </w:rPr>
            </w:pPr>
            <w:r w:rsidRPr="009A36D2">
              <w:rPr>
                <w:color w:val="000000"/>
                <w:sz w:val="22"/>
                <w:szCs w:val="22"/>
              </w:rPr>
              <w:t>160</w:t>
            </w:r>
          </w:p>
        </w:tc>
        <w:tc>
          <w:tcPr>
            <w:tcW w:w="643" w:type="pct"/>
            <w:gridSpan w:val="2"/>
            <w:tcBorders>
              <w:top w:val="nil"/>
              <w:left w:val="nil"/>
              <w:bottom w:val="single" w:sz="4" w:space="0" w:color="auto"/>
              <w:right w:val="single" w:sz="4" w:space="0" w:color="auto"/>
            </w:tcBorders>
            <w:shd w:val="clear" w:color="auto" w:fill="auto"/>
            <w:noWrap/>
            <w:vAlign w:val="bottom"/>
          </w:tcPr>
          <w:p w14:paraId="202254A8" w14:textId="77777777" w:rsidR="009A36D2" w:rsidRPr="009A36D2" w:rsidRDefault="009A36D2" w:rsidP="00281A92">
            <w:pPr>
              <w:spacing w:before="0" w:after="0" w:line="240" w:lineRule="auto"/>
              <w:rPr>
                <w:color w:val="auto"/>
                <w:sz w:val="20"/>
                <w:szCs w:val="20"/>
              </w:rPr>
            </w:pPr>
            <w:r w:rsidRPr="009A36D2">
              <w:rPr>
                <w:color w:val="000000"/>
                <w:sz w:val="22"/>
                <w:szCs w:val="22"/>
              </w:rPr>
              <w:t>176</w:t>
            </w:r>
          </w:p>
        </w:tc>
        <w:tc>
          <w:tcPr>
            <w:tcW w:w="693" w:type="pct"/>
            <w:gridSpan w:val="2"/>
            <w:tcBorders>
              <w:top w:val="nil"/>
              <w:left w:val="nil"/>
              <w:bottom w:val="single" w:sz="4" w:space="0" w:color="auto"/>
              <w:right w:val="single" w:sz="4" w:space="0" w:color="auto"/>
            </w:tcBorders>
            <w:shd w:val="clear" w:color="auto" w:fill="auto"/>
            <w:noWrap/>
            <w:vAlign w:val="bottom"/>
          </w:tcPr>
          <w:p w14:paraId="601662B5" w14:textId="77777777" w:rsidR="009A36D2" w:rsidRPr="009A36D2" w:rsidRDefault="009A36D2" w:rsidP="00281A92">
            <w:pPr>
              <w:spacing w:before="0" w:after="0" w:line="240" w:lineRule="auto"/>
              <w:rPr>
                <w:color w:val="auto"/>
                <w:sz w:val="20"/>
                <w:szCs w:val="20"/>
              </w:rPr>
            </w:pPr>
            <w:r w:rsidRPr="009A36D2">
              <w:rPr>
                <w:color w:val="000000"/>
                <w:sz w:val="22"/>
                <w:szCs w:val="22"/>
              </w:rPr>
              <w:t>224</w:t>
            </w:r>
          </w:p>
        </w:tc>
      </w:tr>
      <w:tr w:rsidR="009A36D2" w:rsidRPr="009A36D2" w14:paraId="7ABD6035"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0018393"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39" w:type="pct"/>
            <w:gridSpan w:val="2"/>
            <w:tcBorders>
              <w:top w:val="nil"/>
              <w:left w:val="nil"/>
              <w:bottom w:val="single" w:sz="4" w:space="0" w:color="auto"/>
              <w:right w:val="single" w:sz="4" w:space="0" w:color="auto"/>
            </w:tcBorders>
            <w:shd w:val="clear" w:color="auto" w:fill="auto"/>
            <w:noWrap/>
            <w:vAlign w:val="bottom"/>
          </w:tcPr>
          <w:p w14:paraId="55213D46" w14:textId="77777777" w:rsidR="009A36D2" w:rsidRPr="009A36D2" w:rsidRDefault="009A36D2" w:rsidP="00281A92">
            <w:pPr>
              <w:spacing w:before="0" w:after="0" w:line="240" w:lineRule="auto"/>
              <w:rPr>
                <w:color w:val="auto"/>
                <w:sz w:val="20"/>
                <w:szCs w:val="20"/>
              </w:rPr>
            </w:pPr>
            <w:r w:rsidRPr="009A36D2">
              <w:rPr>
                <w:color w:val="000000"/>
                <w:sz w:val="22"/>
                <w:szCs w:val="22"/>
              </w:rPr>
              <w:t>239</w:t>
            </w:r>
          </w:p>
        </w:tc>
        <w:tc>
          <w:tcPr>
            <w:tcW w:w="642" w:type="pct"/>
            <w:gridSpan w:val="3"/>
            <w:tcBorders>
              <w:top w:val="nil"/>
              <w:left w:val="nil"/>
              <w:bottom w:val="single" w:sz="4" w:space="0" w:color="auto"/>
              <w:right w:val="single" w:sz="4" w:space="0" w:color="auto"/>
            </w:tcBorders>
            <w:shd w:val="clear" w:color="auto" w:fill="auto"/>
            <w:noWrap/>
            <w:vAlign w:val="bottom"/>
          </w:tcPr>
          <w:p w14:paraId="773879F9" w14:textId="77777777" w:rsidR="009A36D2" w:rsidRPr="009A36D2" w:rsidRDefault="009A36D2" w:rsidP="00281A92">
            <w:pPr>
              <w:spacing w:before="0" w:after="0" w:line="240" w:lineRule="auto"/>
              <w:rPr>
                <w:color w:val="auto"/>
                <w:sz w:val="20"/>
                <w:szCs w:val="20"/>
              </w:rPr>
            </w:pPr>
            <w:r w:rsidRPr="009A36D2">
              <w:rPr>
                <w:color w:val="000000"/>
                <w:sz w:val="22"/>
                <w:szCs w:val="22"/>
              </w:rPr>
              <w:t>208</w:t>
            </w:r>
          </w:p>
        </w:tc>
        <w:tc>
          <w:tcPr>
            <w:tcW w:w="625" w:type="pct"/>
            <w:gridSpan w:val="3"/>
            <w:tcBorders>
              <w:top w:val="nil"/>
              <w:left w:val="nil"/>
              <w:bottom w:val="single" w:sz="4" w:space="0" w:color="auto"/>
              <w:right w:val="single" w:sz="4" w:space="0" w:color="auto"/>
            </w:tcBorders>
            <w:shd w:val="clear" w:color="auto" w:fill="auto"/>
            <w:noWrap/>
            <w:vAlign w:val="bottom"/>
          </w:tcPr>
          <w:p w14:paraId="4CAC4177" w14:textId="77777777" w:rsidR="009A36D2" w:rsidRPr="009A36D2" w:rsidRDefault="009A36D2" w:rsidP="00281A92">
            <w:pPr>
              <w:spacing w:before="0" w:after="0" w:line="240" w:lineRule="auto"/>
              <w:rPr>
                <w:color w:val="auto"/>
                <w:sz w:val="20"/>
                <w:szCs w:val="20"/>
              </w:rPr>
            </w:pPr>
            <w:r w:rsidRPr="009A36D2">
              <w:rPr>
                <w:color w:val="000000"/>
                <w:sz w:val="22"/>
                <w:szCs w:val="22"/>
              </w:rPr>
              <w:t>162</w:t>
            </w:r>
          </w:p>
        </w:tc>
        <w:tc>
          <w:tcPr>
            <w:tcW w:w="644" w:type="pct"/>
            <w:gridSpan w:val="4"/>
            <w:tcBorders>
              <w:top w:val="nil"/>
              <w:left w:val="nil"/>
              <w:bottom w:val="single" w:sz="4" w:space="0" w:color="auto"/>
              <w:right w:val="single" w:sz="4" w:space="0" w:color="auto"/>
            </w:tcBorders>
            <w:shd w:val="clear" w:color="auto" w:fill="auto"/>
            <w:noWrap/>
            <w:vAlign w:val="bottom"/>
          </w:tcPr>
          <w:p w14:paraId="07583D63" w14:textId="77777777" w:rsidR="009A36D2" w:rsidRPr="009A36D2" w:rsidRDefault="009A36D2" w:rsidP="00281A92">
            <w:pPr>
              <w:spacing w:before="0" w:after="0" w:line="240" w:lineRule="auto"/>
              <w:rPr>
                <w:color w:val="auto"/>
                <w:sz w:val="20"/>
                <w:szCs w:val="20"/>
              </w:rPr>
            </w:pPr>
            <w:r w:rsidRPr="009A36D2">
              <w:rPr>
                <w:color w:val="000000"/>
                <w:sz w:val="22"/>
                <w:szCs w:val="22"/>
              </w:rPr>
              <w:t>193</w:t>
            </w:r>
          </w:p>
        </w:tc>
        <w:tc>
          <w:tcPr>
            <w:tcW w:w="643" w:type="pct"/>
            <w:gridSpan w:val="2"/>
            <w:tcBorders>
              <w:top w:val="nil"/>
              <w:left w:val="nil"/>
              <w:bottom w:val="single" w:sz="4" w:space="0" w:color="auto"/>
              <w:right w:val="single" w:sz="4" w:space="0" w:color="auto"/>
            </w:tcBorders>
            <w:shd w:val="clear" w:color="auto" w:fill="auto"/>
            <w:noWrap/>
            <w:vAlign w:val="bottom"/>
          </w:tcPr>
          <w:p w14:paraId="5F37B98F" w14:textId="77777777" w:rsidR="009A36D2" w:rsidRPr="009A36D2" w:rsidRDefault="009A36D2" w:rsidP="00281A92">
            <w:pPr>
              <w:spacing w:before="0" w:after="0" w:line="240" w:lineRule="auto"/>
              <w:rPr>
                <w:color w:val="auto"/>
                <w:sz w:val="20"/>
                <w:szCs w:val="20"/>
              </w:rPr>
            </w:pPr>
            <w:r w:rsidRPr="009A36D2">
              <w:rPr>
                <w:color w:val="000000"/>
                <w:sz w:val="22"/>
                <w:szCs w:val="22"/>
              </w:rPr>
              <w:t>191</w:t>
            </w:r>
          </w:p>
        </w:tc>
        <w:tc>
          <w:tcPr>
            <w:tcW w:w="693" w:type="pct"/>
            <w:gridSpan w:val="2"/>
            <w:tcBorders>
              <w:top w:val="nil"/>
              <w:left w:val="nil"/>
              <w:bottom w:val="single" w:sz="4" w:space="0" w:color="auto"/>
              <w:right w:val="single" w:sz="4" w:space="0" w:color="auto"/>
            </w:tcBorders>
            <w:shd w:val="clear" w:color="auto" w:fill="auto"/>
            <w:noWrap/>
            <w:vAlign w:val="bottom"/>
          </w:tcPr>
          <w:p w14:paraId="77D67E6F" w14:textId="77777777" w:rsidR="009A36D2" w:rsidRPr="009A36D2" w:rsidRDefault="009A36D2" w:rsidP="00281A92">
            <w:pPr>
              <w:spacing w:before="0" w:after="0" w:line="240" w:lineRule="auto"/>
              <w:rPr>
                <w:color w:val="auto"/>
                <w:sz w:val="20"/>
                <w:szCs w:val="20"/>
              </w:rPr>
            </w:pPr>
            <w:r w:rsidRPr="009A36D2">
              <w:rPr>
                <w:color w:val="000000"/>
                <w:sz w:val="22"/>
                <w:szCs w:val="22"/>
              </w:rPr>
              <w:t>202</w:t>
            </w:r>
          </w:p>
        </w:tc>
      </w:tr>
      <w:tr w:rsidR="009A36D2" w:rsidRPr="009A36D2" w14:paraId="0A1785E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E20C312"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39" w:type="pct"/>
            <w:gridSpan w:val="2"/>
            <w:tcBorders>
              <w:top w:val="nil"/>
              <w:left w:val="nil"/>
              <w:bottom w:val="single" w:sz="4" w:space="0" w:color="auto"/>
              <w:right w:val="single" w:sz="4" w:space="0" w:color="auto"/>
            </w:tcBorders>
            <w:shd w:val="clear" w:color="auto" w:fill="auto"/>
            <w:noWrap/>
            <w:vAlign w:val="bottom"/>
          </w:tcPr>
          <w:p w14:paraId="59E86014" w14:textId="77777777" w:rsidR="009A36D2" w:rsidRPr="009A36D2" w:rsidRDefault="009A36D2" w:rsidP="00281A92">
            <w:pPr>
              <w:spacing w:before="0" w:after="0" w:line="240" w:lineRule="auto"/>
              <w:rPr>
                <w:color w:val="auto"/>
                <w:sz w:val="20"/>
                <w:szCs w:val="20"/>
              </w:rPr>
            </w:pPr>
            <w:r w:rsidRPr="009A36D2">
              <w:rPr>
                <w:color w:val="000000"/>
                <w:sz w:val="22"/>
                <w:szCs w:val="22"/>
              </w:rPr>
              <w:t>187</w:t>
            </w:r>
          </w:p>
        </w:tc>
        <w:tc>
          <w:tcPr>
            <w:tcW w:w="642" w:type="pct"/>
            <w:gridSpan w:val="3"/>
            <w:tcBorders>
              <w:top w:val="nil"/>
              <w:left w:val="nil"/>
              <w:bottom w:val="single" w:sz="4" w:space="0" w:color="auto"/>
              <w:right w:val="single" w:sz="4" w:space="0" w:color="auto"/>
            </w:tcBorders>
            <w:shd w:val="clear" w:color="auto" w:fill="auto"/>
            <w:noWrap/>
            <w:vAlign w:val="bottom"/>
          </w:tcPr>
          <w:p w14:paraId="42BAD79A" w14:textId="77777777" w:rsidR="009A36D2" w:rsidRPr="009A36D2" w:rsidRDefault="009A36D2" w:rsidP="00281A92">
            <w:pPr>
              <w:spacing w:before="0" w:after="0" w:line="240" w:lineRule="auto"/>
              <w:rPr>
                <w:color w:val="auto"/>
                <w:sz w:val="20"/>
                <w:szCs w:val="20"/>
              </w:rPr>
            </w:pPr>
            <w:r w:rsidRPr="009A36D2">
              <w:rPr>
                <w:color w:val="000000"/>
                <w:sz w:val="22"/>
                <w:szCs w:val="22"/>
              </w:rPr>
              <w:t>169</w:t>
            </w:r>
          </w:p>
        </w:tc>
        <w:tc>
          <w:tcPr>
            <w:tcW w:w="625" w:type="pct"/>
            <w:gridSpan w:val="3"/>
            <w:tcBorders>
              <w:top w:val="nil"/>
              <w:left w:val="nil"/>
              <w:bottom w:val="single" w:sz="4" w:space="0" w:color="auto"/>
              <w:right w:val="single" w:sz="4" w:space="0" w:color="auto"/>
            </w:tcBorders>
            <w:shd w:val="clear" w:color="auto" w:fill="auto"/>
            <w:noWrap/>
            <w:vAlign w:val="bottom"/>
          </w:tcPr>
          <w:p w14:paraId="14EDFDD9" w14:textId="77777777" w:rsidR="009A36D2" w:rsidRPr="009A36D2" w:rsidRDefault="009A36D2" w:rsidP="00281A92">
            <w:pPr>
              <w:spacing w:before="0" w:after="0" w:line="240" w:lineRule="auto"/>
              <w:rPr>
                <w:color w:val="auto"/>
                <w:sz w:val="20"/>
                <w:szCs w:val="20"/>
              </w:rPr>
            </w:pPr>
            <w:r w:rsidRPr="009A36D2">
              <w:rPr>
                <w:color w:val="000000"/>
                <w:sz w:val="22"/>
                <w:szCs w:val="22"/>
              </w:rPr>
              <w:t>177</w:t>
            </w:r>
          </w:p>
        </w:tc>
        <w:tc>
          <w:tcPr>
            <w:tcW w:w="644" w:type="pct"/>
            <w:gridSpan w:val="4"/>
            <w:tcBorders>
              <w:top w:val="nil"/>
              <w:left w:val="nil"/>
              <w:bottom w:val="single" w:sz="4" w:space="0" w:color="auto"/>
              <w:right w:val="single" w:sz="4" w:space="0" w:color="auto"/>
            </w:tcBorders>
            <w:shd w:val="clear" w:color="auto" w:fill="auto"/>
            <w:noWrap/>
            <w:vAlign w:val="bottom"/>
          </w:tcPr>
          <w:p w14:paraId="09302B94" w14:textId="77777777" w:rsidR="009A36D2" w:rsidRPr="009A36D2" w:rsidRDefault="009A36D2" w:rsidP="00281A92">
            <w:pPr>
              <w:spacing w:before="0" w:after="0" w:line="240" w:lineRule="auto"/>
              <w:rPr>
                <w:color w:val="auto"/>
                <w:sz w:val="20"/>
                <w:szCs w:val="20"/>
              </w:rPr>
            </w:pPr>
            <w:r w:rsidRPr="009A36D2">
              <w:rPr>
                <w:color w:val="000000"/>
                <w:sz w:val="22"/>
                <w:szCs w:val="22"/>
              </w:rPr>
              <w:t>197</w:t>
            </w:r>
          </w:p>
        </w:tc>
        <w:tc>
          <w:tcPr>
            <w:tcW w:w="643" w:type="pct"/>
            <w:gridSpan w:val="2"/>
            <w:tcBorders>
              <w:top w:val="nil"/>
              <w:left w:val="nil"/>
              <w:bottom w:val="single" w:sz="4" w:space="0" w:color="auto"/>
              <w:right w:val="single" w:sz="4" w:space="0" w:color="auto"/>
            </w:tcBorders>
            <w:shd w:val="clear" w:color="auto" w:fill="auto"/>
            <w:noWrap/>
            <w:vAlign w:val="bottom"/>
          </w:tcPr>
          <w:p w14:paraId="180473A8" w14:textId="77777777" w:rsidR="009A36D2" w:rsidRPr="009A36D2" w:rsidRDefault="009A36D2" w:rsidP="00281A92">
            <w:pPr>
              <w:spacing w:before="0" w:after="0" w:line="240" w:lineRule="auto"/>
              <w:rPr>
                <w:color w:val="auto"/>
                <w:sz w:val="20"/>
                <w:szCs w:val="20"/>
              </w:rPr>
            </w:pPr>
            <w:r w:rsidRPr="009A36D2">
              <w:rPr>
                <w:color w:val="000000"/>
                <w:sz w:val="22"/>
                <w:szCs w:val="22"/>
              </w:rPr>
              <w:t>184</w:t>
            </w:r>
          </w:p>
        </w:tc>
        <w:tc>
          <w:tcPr>
            <w:tcW w:w="693" w:type="pct"/>
            <w:gridSpan w:val="2"/>
            <w:tcBorders>
              <w:top w:val="nil"/>
              <w:left w:val="nil"/>
              <w:bottom w:val="single" w:sz="4" w:space="0" w:color="auto"/>
              <w:right w:val="single" w:sz="4" w:space="0" w:color="auto"/>
            </w:tcBorders>
            <w:shd w:val="clear" w:color="auto" w:fill="auto"/>
            <w:noWrap/>
            <w:vAlign w:val="bottom"/>
          </w:tcPr>
          <w:p w14:paraId="7DD5B1EB" w14:textId="77777777" w:rsidR="009A36D2" w:rsidRPr="009A36D2" w:rsidRDefault="009A36D2" w:rsidP="00281A92">
            <w:pPr>
              <w:spacing w:before="0" w:after="0" w:line="240" w:lineRule="auto"/>
              <w:rPr>
                <w:color w:val="auto"/>
                <w:sz w:val="20"/>
                <w:szCs w:val="20"/>
              </w:rPr>
            </w:pPr>
            <w:r w:rsidRPr="009A36D2">
              <w:rPr>
                <w:color w:val="000000"/>
                <w:sz w:val="22"/>
                <w:szCs w:val="22"/>
              </w:rPr>
              <w:t>255</w:t>
            </w:r>
          </w:p>
        </w:tc>
      </w:tr>
      <w:tr w:rsidR="009A36D2" w:rsidRPr="009A36D2" w14:paraId="72AA6C0C"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43798AD2"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39" w:type="pct"/>
            <w:gridSpan w:val="2"/>
            <w:tcBorders>
              <w:top w:val="nil"/>
              <w:left w:val="nil"/>
              <w:bottom w:val="single" w:sz="4" w:space="0" w:color="auto"/>
              <w:right w:val="single" w:sz="4" w:space="0" w:color="auto"/>
            </w:tcBorders>
            <w:shd w:val="clear" w:color="auto" w:fill="auto"/>
            <w:noWrap/>
            <w:vAlign w:val="bottom"/>
          </w:tcPr>
          <w:p w14:paraId="28CF7D32" w14:textId="77777777" w:rsidR="009A36D2" w:rsidRPr="009A36D2" w:rsidRDefault="009A36D2" w:rsidP="00281A92">
            <w:pPr>
              <w:spacing w:before="0" w:after="0" w:line="240" w:lineRule="auto"/>
              <w:rPr>
                <w:color w:val="auto"/>
                <w:sz w:val="20"/>
                <w:szCs w:val="20"/>
              </w:rPr>
            </w:pPr>
            <w:r w:rsidRPr="009A36D2">
              <w:rPr>
                <w:color w:val="000000"/>
                <w:sz w:val="22"/>
                <w:szCs w:val="22"/>
              </w:rPr>
              <w:t>193</w:t>
            </w:r>
          </w:p>
        </w:tc>
        <w:tc>
          <w:tcPr>
            <w:tcW w:w="642" w:type="pct"/>
            <w:gridSpan w:val="3"/>
            <w:tcBorders>
              <w:top w:val="nil"/>
              <w:left w:val="nil"/>
              <w:bottom w:val="single" w:sz="4" w:space="0" w:color="auto"/>
              <w:right w:val="single" w:sz="4" w:space="0" w:color="auto"/>
            </w:tcBorders>
            <w:shd w:val="clear" w:color="auto" w:fill="auto"/>
            <w:noWrap/>
            <w:vAlign w:val="bottom"/>
          </w:tcPr>
          <w:p w14:paraId="3B02B803"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c>
          <w:tcPr>
            <w:tcW w:w="625" w:type="pct"/>
            <w:gridSpan w:val="3"/>
            <w:tcBorders>
              <w:top w:val="nil"/>
              <w:left w:val="nil"/>
              <w:bottom w:val="single" w:sz="4" w:space="0" w:color="auto"/>
              <w:right w:val="single" w:sz="4" w:space="0" w:color="auto"/>
            </w:tcBorders>
            <w:shd w:val="clear" w:color="auto" w:fill="auto"/>
            <w:noWrap/>
            <w:vAlign w:val="bottom"/>
          </w:tcPr>
          <w:p w14:paraId="725A248D" w14:textId="77777777" w:rsidR="009A36D2" w:rsidRPr="009A36D2" w:rsidRDefault="009A36D2" w:rsidP="00281A92">
            <w:pPr>
              <w:spacing w:before="0" w:after="0" w:line="240" w:lineRule="auto"/>
              <w:rPr>
                <w:color w:val="auto"/>
                <w:sz w:val="20"/>
                <w:szCs w:val="20"/>
              </w:rPr>
            </w:pPr>
            <w:r w:rsidRPr="009A36D2">
              <w:rPr>
                <w:color w:val="000000"/>
                <w:sz w:val="22"/>
                <w:szCs w:val="22"/>
              </w:rPr>
              <w:t>181</w:t>
            </w:r>
          </w:p>
        </w:tc>
        <w:tc>
          <w:tcPr>
            <w:tcW w:w="644" w:type="pct"/>
            <w:gridSpan w:val="4"/>
            <w:tcBorders>
              <w:top w:val="nil"/>
              <w:left w:val="nil"/>
              <w:bottom w:val="single" w:sz="4" w:space="0" w:color="auto"/>
              <w:right w:val="single" w:sz="4" w:space="0" w:color="auto"/>
            </w:tcBorders>
            <w:shd w:val="clear" w:color="auto" w:fill="auto"/>
            <w:noWrap/>
            <w:vAlign w:val="bottom"/>
          </w:tcPr>
          <w:p w14:paraId="073930C9" w14:textId="77777777" w:rsidR="009A36D2" w:rsidRPr="009A36D2" w:rsidRDefault="009A36D2" w:rsidP="00281A92">
            <w:pPr>
              <w:spacing w:before="0" w:after="0" w:line="240" w:lineRule="auto"/>
              <w:rPr>
                <w:color w:val="auto"/>
                <w:sz w:val="20"/>
                <w:szCs w:val="20"/>
              </w:rPr>
            </w:pPr>
            <w:r w:rsidRPr="009A36D2">
              <w:rPr>
                <w:color w:val="000000"/>
                <w:sz w:val="22"/>
                <w:szCs w:val="22"/>
              </w:rPr>
              <w:t>169</w:t>
            </w:r>
          </w:p>
        </w:tc>
        <w:tc>
          <w:tcPr>
            <w:tcW w:w="643" w:type="pct"/>
            <w:gridSpan w:val="2"/>
            <w:tcBorders>
              <w:top w:val="nil"/>
              <w:left w:val="nil"/>
              <w:bottom w:val="single" w:sz="4" w:space="0" w:color="auto"/>
              <w:right w:val="single" w:sz="4" w:space="0" w:color="auto"/>
            </w:tcBorders>
            <w:shd w:val="clear" w:color="auto" w:fill="auto"/>
            <w:noWrap/>
            <w:vAlign w:val="bottom"/>
          </w:tcPr>
          <w:p w14:paraId="3811305D" w14:textId="77777777" w:rsidR="009A36D2" w:rsidRPr="009A36D2" w:rsidRDefault="009A36D2" w:rsidP="00281A92">
            <w:pPr>
              <w:spacing w:before="0" w:after="0" w:line="240" w:lineRule="auto"/>
              <w:rPr>
                <w:color w:val="auto"/>
                <w:sz w:val="20"/>
                <w:szCs w:val="20"/>
              </w:rPr>
            </w:pPr>
            <w:r w:rsidRPr="009A36D2">
              <w:rPr>
                <w:color w:val="000000"/>
                <w:sz w:val="22"/>
                <w:szCs w:val="22"/>
              </w:rPr>
              <w:t>192</w:t>
            </w:r>
          </w:p>
        </w:tc>
        <w:tc>
          <w:tcPr>
            <w:tcW w:w="693" w:type="pct"/>
            <w:gridSpan w:val="2"/>
            <w:tcBorders>
              <w:top w:val="nil"/>
              <w:left w:val="nil"/>
              <w:bottom w:val="single" w:sz="4" w:space="0" w:color="auto"/>
              <w:right w:val="single" w:sz="4" w:space="0" w:color="auto"/>
            </w:tcBorders>
            <w:shd w:val="clear" w:color="auto" w:fill="auto"/>
            <w:noWrap/>
            <w:vAlign w:val="bottom"/>
          </w:tcPr>
          <w:p w14:paraId="0679331C" w14:textId="77777777" w:rsidR="009A36D2" w:rsidRPr="009A36D2" w:rsidRDefault="009A36D2" w:rsidP="00281A92">
            <w:pPr>
              <w:spacing w:before="0" w:after="0" w:line="240" w:lineRule="auto"/>
              <w:rPr>
                <w:color w:val="auto"/>
                <w:sz w:val="20"/>
                <w:szCs w:val="20"/>
              </w:rPr>
            </w:pPr>
            <w:r w:rsidRPr="009A36D2">
              <w:rPr>
                <w:color w:val="000000"/>
                <w:sz w:val="22"/>
                <w:szCs w:val="22"/>
              </w:rPr>
              <w:t>208</w:t>
            </w:r>
          </w:p>
        </w:tc>
      </w:tr>
      <w:tr w:rsidR="009A36D2" w:rsidRPr="009A36D2" w14:paraId="5B7314B6"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EFFEF04"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39" w:type="pct"/>
            <w:gridSpan w:val="2"/>
            <w:tcBorders>
              <w:top w:val="nil"/>
              <w:left w:val="nil"/>
              <w:bottom w:val="single" w:sz="4" w:space="0" w:color="auto"/>
              <w:right w:val="single" w:sz="4" w:space="0" w:color="auto"/>
            </w:tcBorders>
            <w:shd w:val="clear" w:color="auto" w:fill="auto"/>
            <w:noWrap/>
            <w:vAlign w:val="bottom"/>
          </w:tcPr>
          <w:p w14:paraId="0B811A3D" w14:textId="77777777" w:rsidR="009A36D2" w:rsidRPr="009A36D2" w:rsidRDefault="009A36D2" w:rsidP="00281A92">
            <w:pPr>
              <w:spacing w:before="0" w:after="0" w:line="240" w:lineRule="auto"/>
              <w:rPr>
                <w:color w:val="auto"/>
                <w:sz w:val="20"/>
                <w:szCs w:val="20"/>
              </w:rPr>
            </w:pPr>
            <w:r w:rsidRPr="009A36D2">
              <w:rPr>
                <w:color w:val="000000"/>
                <w:sz w:val="22"/>
                <w:szCs w:val="22"/>
              </w:rPr>
              <w:t>204</w:t>
            </w:r>
          </w:p>
        </w:tc>
        <w:tc>
          <w:tcPr>
            <w:tcW w:w="642" w:type="pct"/>
            <w:gridSpan w:val="3"/>
            <w:tcBorders>
              <w:top w:val="nil"/>
              <w:left w:val="nil"/>
              <w:bottom w:val="single" w:sz="4" w:space="0" w:color="auto"/>
              <w:right w:val="single" w:sz="4" w:space="0" w:color="auto"/>
            </w:tcBorders>
            <w:shd w:val="clear" w:color="auto" w:fill="auto"/>
            <w:noWrap/>
            <w:vAlign w:val="bottom"/>
          </w:tcPr>
          <w:p w14:paraId="72D848F5"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c>
          <w:tcPr>
            <w:tcW w:w="625" w:type="pct"/>
            <w:gridSpan w:val="3"/>
            <w:tcBorders>
              <w:top w:val="nil"/>
              <w:left w:val="nil"/>
              <w:bottom w:val="single" w:sz="4" w:space="0" w:color="auto"/>
              <w:right w:val="single" w:sz="4" w:space="0" w:color="auto"/>
            </w:tcBorders>
            <w:shd w:val="clear" w:color="auto" w:fill="auto"/>
            <w:noWrap/>
            <w:vAlign w:val="bottom"/>
          </w:tcPr>
          <w:p w14:paraId="6E73E50C" w14:textId="77777777" w:rsidR="009A36D2" w:rsidRPr="009A36D2" w:rsidRDefault="009A36D2" w:rsidP="00281A92">
            <w:pPr>
              <w:spacing w:before="0" w:after="0" w:line="240" w:lineRule="auto"/>
              <w:rPr>
                <w:color w:val="auto"/>
                <w:sz w:val="20"/>
                <w:szCs w:val="20"/>
              </w:rPr>
            </w:pPr>
            <w:r w:rsidRPr="009A36D2">
              <w:rPr>
                <w:color w:val="000000"/>
                <w:sz w:val="22"/>
                <w:szCs w:val="22"/>
              </w:rPr>
              <w:t>165</w:t>
            </w:r>
          </w:p>
        </w:tc>
        <w:tc>
          <w:tcPr>
            <w:tcW w:w="644" w:type="pct"/>
            <w:gridSpan w:val="4"/>
            <w:tcBorders>
              <w:top w:val="nil"/>
              <w:left w:val="nil"/>
              <w:bottom w:val="single" w:sz="4" w:space="0" w:color="auto"/>
              <w:right w:val="single" w:sz="4" w:space="0" w:color="auto"/>
            </w:tcBorders>
            <w:shd w:val="clear" w:color="auto" w:fill="auto"/>
            <w:noWrap/>
            <w:vAlign w:val="bottom"/>
          </w:tcPr>
          <w:p w14:paraId="6F26FBE9" w14:textId="77777777" w:rsidR="009A36D2" w:rsidRPr="009A36D2" w:rsidRDefault="009A36D2" w:rsidP="00281A92">
            <w:pPr>
              <w:spacing w:before="0" w:after="0" w:line="240" w:lineRule="auto"/>
              <w:rPr>
                <w:color w:val="auto"/>
                <w:sz w:val="20"/>
                <w:szCs w:val="20"/>
              </w:rPr>
            </w:pPr>
            <w:r w:rsidRPr="009A36D2">
              <w:rPr>
                <w:color w:val="000000"/>
                <w:sz w:val="22"/>
                <w:szCs w:val="22"/>
              </w:rPr>
              <w:t>174</w:t>
            </w:r>
          </w:p>
        </w:tc>
        <w:tc>
          <w:tcPr>
            <w:tcW w:w="643" w:type="pct"/>
            <w:gridSpan w:val="2"/>
            <w:tcBorders>
              <w:top w:val="nil"/>
              <w:left w:val="nil"/>
              <w:bottom w:val="single" w:sz="4" w:space="0" w:color="auto"/>
              <w:right w:val="single" w:sz="4" w:space="0" w:color="auto"/>
            </w:tcBorders>
            <w:shd w:val="clear" w:color="auto" w:fill="auto"/>
            <w:noWrap/>
            <w:vAlign w:val="bottom"/>
          </w:tcPr>
          <w:p w14:paraId="459B11E8" w14:textId="77777777" w:rsidR="009A36D2" w:rsidRPr="009A36D2" w:rsidRDefault="009A36D2" w:rsidP="00281A92">
            <w:pPr>
              <w:spacing w:before="0" w:after="0" w:line="240" w:lineRule="auto"/>
              <w:rPr>
                <w:color w:val="auto"/>
                <w:sz w:val="20"/>
                <w:szCs w:val="20"/>
              </w:rPr>
            </w:pPr>
            <w:r w:rsidRPr="009A36D2">
              <w:rPr>
                <w:color w:val="000000"/>
                <w:sz w:val="22"/>
                <w:szCs w:val="22"/>
              </w:rPr>
              <w:t>184</w:t>
            </w:r>
          </w:p>
        </w:tc>
        <w:tc>
          <w:tcPr>
            <w:tcW w:w="693" w:type="pct"/>
            <w:gridSpan w:val="2"/>
            <w:tcBorders>
              <w:top w:val="nil"/>
              <w:left w:val="nil"/>
              <w:bottom w:val="single" w:sz="4" w:space="0" w:color="auto"/>
              <w:right w:val="single" w:sz="4" w:space="0" w:color="auto"/>
            </w:tcBorders>
            <w:shd w:val="clear" w:color="auto" w:fill="auto"/>
            <w:noWrap/>
            <w:vAlign w:val="bottom"/>
          </w:tcPr>
          <w:p w14:paraId="690AB949" w14:textId="77777777" w:rsidR="009A36D2" w:rsidRPr="009A36D2" w:rsidRDefault="009A36D2" w:rsidP="00281A92">
            <w:pPr>
              <w:spacing w:before="0" w:after="0" w:line="240" w:lineRule="auto"/>
              <w:rPr>
                <w:color w:val="auto"/>
                <w:sz w:val="20"/>
                <w:szCs w:val="20"/>
              </w:rPr>
            </w:pPr>
            <w:r w:rsidRPr="009A36D2">
              <w:rPr>
                <w:color w:val="000000"/>
                <w:sz w:val="22"/>
                <w:szCs w:val="22"/>
              </w:rPr>
              <w:t>194</w:t>
            </w:r>
          </w:p>
        </w:tc>
      </w:tr>
      <w:tr w:rsidR="009A36D2" w:rsidRPr="009A36D2" w14:paraId="033ADD2C"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8EE793C" w14:textId="77777777" w:rsidR="009A36D2" w:rsidRPr="009A36D2" w:rsidRDefault="009A36D2" w:rsidP="00281A92">
            <w:pPr>
              <w:spacing w:before="0" w:after="0" w:line="240" w:lineRule="auto"/>
              <w:rPr>
                <w:color w:val="auto"/>
                <w:sz w:val="20"/>
                <w:szCs w:val="20"/>
              </w:rPr>
            </w:pPr>
            <w:r w:rsidRPr="009A36D2">
              <w:rPr>
                <w:color w:val="auto"/>
                <w:sz w:val="20"/>
                <w:szCs w:val="20"/>
              </w:rPr>
              <w:lastRenderedPageBreak/>
              <w:t>16</w:t>
            </w:r>
          </w:p>
        </w:tc>
        <w:tc>
          <w:tcPr>
            <w:tcW w:w="639" w:type="pct"/>
            <w:gridSpan w:val="2"/>
            <w:tcBorders>
              <w:top w:val="nil"/>
              <w:left w:val="nil"/>
              <w:bottom w:val="single" w:sz="4" w:space="0" w:color="auto"/>
              <w:right w:val="single" w:sz="4" w:space="0" w:color="auto"/>
            </w:tcBorders>
            <w:shd w:val="clear" w:color="auto" w:fill="auto"/>
            <w:noWrap/>
            <w:vAlign w:val="bottom"/>
          </w:tcPr>
          <w:p w14:paraId="1FADDAF3"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c>
          <w:tcPr>
            <w:tcW w:w="642" w:type="pct"/>
            <w:gridSpan w:val="3"/>
            <w:tcBorders>
              <w:top w:val="nil"/>
              <w:left w:val="nil"/>
              <w:bottom w:val="single" w:sz="4" w:space="0" w:color="auto"/>
              <w:right w:val="single" w:sz="4" w:space="0" w:color="auto"/>
            </w:tcBorders>
            <w:shd w:val="clear" w:color="auto" w:fill="auto"/>
            <w:noWrap/>
            <w:vAlign w:val="bottom"/>
          </w:tcPr>
          <w:p w14:paraId="6BB5622F" w14:textId="77777777" w:rsidR="009A36D2" w:rsidRPr="009A36D2" w:rsidRDefault="009A36D2" w:rsidP="00281A92">
            <w:pPr>
              <w:spacing w:before="0" w:after="0" w:line="240" w:lineRule="auto"/>
              <w:rPr>
                <w:color w:val="auto"/>
                <w:sz w:val="20"/>
                <w:szCs w:val="20"/>
              </w:rPr>
            </w:pPr>
            <w:r w:rsidRPr="009A36D2">
              <w:rPr>
                <w:color w:val="000000"/>
                <w:sz w:val="22"/>
                <w:szCs w:val="22"/>
              </w:rPr>
              <w:t>184</w:t>
            </w:r>
          </w:p>
        </w:tc>
        <w:tc>
          <w:tcPr>
            <w:tcW w:w="625" w:type="pct"/>
            <w:gridSpan w:val="3"/>
            <w:tcBorders>
              <w:top w:val="nil"/>
              <w:left w:val="nil"/>
              <w:bottom w:val="single" w:sz="4" w:space="0" w:color="auto"/>
              <w:right w:val="single" w:sz="4" w:space="0" w:color="auto"/>
            </w:tcBorders>
            <w:shd w:val="clear" w:color="auto" w:fill="auto"/>
            <w:noWrap/>
            <w:vAlign w:val="bottom"/>
          </w:tcPr>
          <w:p w14:paraId="288490F9" w14:textId="77777777" w:rsidR="009A36D2" w:rsidRPr="009A36D2" w:rsidRDefault="009A36D2" w:rsidP="00281A92">
            <w:pPr>
              <w:spacing w:before="0" w:after="0" w:line="240" w:lineRule="auto"/>
              <w:rPr>
                <w:color w:val="auto"/>
                <w:sz w:val="20"/>
                <w:szCs w:val="20"/>
              </w:rPr>
            </w:pPr>
            <w:r w:rsidRPr="009A36D2">
              <w:rPr>
                <w:color w:val="000000"/>
                <w:sz w:val="22"/>
                <w:szCs w:val="22"/>
              </w:rPr>
              <w:t>198</w:t>
            </w:r>
          </w:p>
        </w:tc>
        <w:tc>
          <w:tcPr>
            <w:tcW w:w="644" w:type="pct"/>
            <w:gridSpan w:val="4"/>
            <w:tcBorders>
              <w:top w:val="nil"/>
              <w:left w:val="nil"/>
              <w:bottom w:val="single" w:sz="4" w:space="0" w:color="auto"/>
              <w:right w:val="single" w:sz="4" w:space="0" w:color="auto"/>
            </w:tcBorders>
            <w:shd w:val="clear" w:color="auto" w:fill="auto"/>
            <w:noWrap/>
            <w:vAlign w:val="bottom"/>
          </w:tcPr>
          <w:p w14:paraId="00BA6984" w14:textId="77777777" w:rsidR="009A36D2" w:rsidRPr="009A36D2" w:rsidRDefault="009A36D2" w:rsidP="00281A92">
            <w:pPr>
              <w:spacing w:before="0" w:after="0" w:line="240" w:lineRule="auto"/>
              <w:rPr>
                <w:color w:val="auto"/>
                <w:sz w:val="20"/>
                <w:szCs w:val="20"/>
              </w:rPr>
            </w:pPr>
            <w:r w:rsidRPr="009A36D2">
              <w:rPr>
                <w:color w:val="000000"/>
                <w:sz w:val="22"/>
                <w:szCs w:val="22"/>
              </w:rPr>
              <w:t>182</w:t>
            </w:r>
          </w:p>
        </w:tc>
        <w:tc>
          <w:tcPr>
            <w:tcW w:w="643" w:type="pct"/>
            <w:gridSpan w:val="2"/>
            <w:tcBorders>
              <w:top w:val="nil"/>
              <w:left w:val="nil"/>
              <w:bottom w:val="single" w:sz="4" w:space="0" w:color="auto"/>
              <w:right w:val="single" w:sz="4" w:space="0" w:color="auto"/>
            </w:tcBorders>
            <w:shd w:val="clear" w:color="auto" w:fill="auto"/>
            <w:noWrap/>
            <w:vAlign w:val="bottom"/>
          </w:tcPr>
          <w:p w14:paraId="0A6EA441" w14:textId="77777777" w:rsidR="009A36D2" w:rsidRPr="009A36D2" w:rsidRDefault="009A36D2" w:rsidP="00281A92">
            <w:pPr>
              <w:spacing w:before="0" w:after="0" w:line="240" w:lineRule="auto"/>
              <w:rPr>
                <w:color w:val="auto"/>
                <w:sz w:val="20"/>
                <w:szCs w:val="20"/>
              </w:rPr>
            </w:pPr>
            <w:r w:rsidRPr="009A36D2">
              <w:rPr>
                <w:color w:val="000000"/>
                <w:sz w:val="22"/>
                <w:szCs w:val="22"/>
              </w:rPr>
              <w:t>181</w:t>
            </w:r>
          </w:p>
        </w:tc>
        <w:tc>
          <w:tcPr>
            <w:tcW w:w="693" w:type="pct"/>
            <w:gridSpan w:val="2"/>
            <w:tcBorders>
              <w:top w:val="nil"/>
              <w:left w:val="nil"/>
              <w:bottom w:val="single" w:sz="4" w:space="0" w:color="auto"/>
              <w:right w:val="single" w:sz="4" w:space="0" w:color="auto"/>
            </w:tcBorders>
            <w:shd w:val="clear" w:color="auto" w:fill="auto"/>
            <w:noWrap/>
            <w:vAlign w:val="bottom"/>
          </w:tcPr>
          <w:p w14:paraId="51A0070A" w14:textId="77777777" w:rsidR="009A36D2" w:rsidRPr="009A36D2" w:rsidRDefault="009A36D2" w:rsidP="00281A92">
            <w:pPr>
              <w:spacing w:before="0" w:after="0" w:line="240" w:lineRule="auto"/>
              <w:rPr>
                <w:color w:val="auto"/>
                <w:sz w:val="20"/>
                <w:szCs w:val="20"/>
              </w:rPr>
            </w:pPr>
            <w:r w:rsidRPr="009A36D2">
              <w:rPr>
                <w:color w:val="000000"/>
                <w:sz w:val="22"/>
                <w:szCs w:val="22"/>
              </w:rPr>
              <w:t>231</w:t>
            </w:r>
          </w:p>
        </w:tc>
      </w:tr>
      <w:tr w:rsidR="009A36D2" w:rsidRPr="009A36D2" w14:paraId="62488AA9"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4438434" w14:textId="77777777" w:rsidR="009A36D2" w:rsidRPr="009A36D2" w:rsidRDefault="009A36D2" w:rsidP="00281A92">
            <w:pPr>
              <w:spacing w:before="0" w:after="0" w:line="240" w:lineRule="auto"/>
              <w:rPr>
                <w:color w:val="auto"/>
                <w:sz w:val="20"/>
                <w:szCs w:val="20"/>
              </w:rPr>
            </w:pPr>
            <w:r w:rsidRPr="009A36D2">
              <w:rPr>
                <w:color w:val="auto"/>
                <w:sz w:val="20"/>
                <w:szCs w:val="20"/>
              </w:rPr>
              <w:t>17</w:t>
            </w:r>
          </w:p>
        </w:tc>
        <w:tc>
          <w:tcPr>
            <w:tcW w:w="639" w:type="pct"/>
            <w:gridSpan w:val="2"/>
            <w:tcBorders>
              <w:top w:val="nil"/>
              <w:left w:val="nil"/>
              <w:bottom w:val="single" w:sz="4" w:space="0" w:color="auto"/>
              <w:right w:val="single" w:sz="4" w:space="0" w:color="auto"/>
            </w:tcBorders>
            <w:shd w:val="clear" w:color="auto" w:fill="auto"/>
            <w:noWrap/>
            <w:vAlign w:val="bottom"/>
          </w:tcPr>
          <w:p w14:paraId="2D33809B" w14:textId="77777777" w:rsidR="009A36D2" w:rsidRPr="009A36D2" w:rsidRDefault="009A36D2" w:rsidP="00281A92">
            <w:pPr>
              <w:spacing w:before="0" w:after="0" w:line="240" w:lineRule="auto"/>
              <w:rPr>
                <w:color w:val="auto"/>
                <w:sz w:val="20"/>
                <w:szCs w:val="20"/>
              </w:rPr>
            </w:pPr>
            <w:r w:rsidRPr="009A36D2">
              <w:rPr>
                <w:color w:val="000000"/>
                <w:sz w:val="22"/>
                <w:szCs w:val="22"/>
              </w:rPr>
              <w:t>217</w:t>
            </w:r>
          </w:p>
        </w:tc>
        <w:tc>
          <w:tcPr>
            <w:tcW w:w="642" w:type="pct"/>
            <w:gridSpan w:val="3"/>
            <w:tcBorders>
              <w:top w:val="nil"/>
              <w:left w:val="nil"/>
              <w:bottom w:val="single" w:sz="4" w:space="0" w:color="auto"/>
              <w:right w:val="single" w:sz="4" w:space="0" w:color="auto"/>
            </w:tcBorders>
            <w:shd w:val="clear" w:color="auto" w:fill="auto"/>
            <w:noWrap/>
            <w:vAlign w:val="bottom"/>
          </w:tcPr>
          <w:p w14:paraId="2BD9903E" w14:textId="77777777" w:rsidR="009A36D2" w:rsidRPr="009A36D2" w:rsidRDefault="009A36D2" w:rsidP="00281A92">
            <w:pPr>
              <w:spacing w:before="0" w:after="0" w:line="240" w:lineRule="auto"/>
              <w:rPr>
                <w:color w:val="auto"/>
                <w:sz w:val="20"/>
                <w:szCs w:val="20"/>
              </w:rPr>
            </w:pPr>
            <w:r w:rsidRPr="009A36D2">
              <w:rPr>
                <w:color w:val="000000"/>
                <w:sz w:val="22"/>
                <w:szCs w:val="22"/>
              </w:rPr>
              <w:t>187</w:t>
            </w:r>
          </w:p>
        </w:tc>
        <w:tc>
          <w:tcPr>
            <w:tcW w:w="625" w:type="pct"/>
            <w:gridSpan w:val="3"/>
            <w:tcBorders>
              <w:top w:val="nil"/>
              <w:left w:val="nil"/>
              <w:bottom w:val="single" w:sz="4" w:space="0" w:color="auto"/>
              <w:right w:val="single" w:sz="4" w:space="0" w:color="auto"/>
            </w:tcBorders>
            <w:shd w:val="clear" w:color="auto" w:fill="auto"/>
            <w:noWrap/>
            <w:vAlign w:val="bottom"/>
          </w:tcPr>
          <w:p w14:paraId="547F723A" w14:textId="77777777" w:rsidR="009A36D2" w:rsidRPr="009A36D2" w:rsidRDefault="009A36D2" w:rsidP="00281A92">
            <w:pPr>
              <w:spacing w:before="0" w:after="0" w:line="240" w:lineRule="auto"/>
              <w:rPr>
                <w:color w:val="auto"/>
                <w:sz w:val="20"/>
                <w:szCs w:val="20"/>
              </w:rPr>
            </w:pPr>
            <w:r w:rsidRPr="009A36D2">
              <w:rPr>
                <w:color w:val="000000"/>
                <w:sz w:val="22"/>
                <w:szCs w:val="22"/>
              </w:rPr>
              <w:t>160</w:t>
            </w:r>
          </w:p>
        </w:tc>
        <w:tc>
          <w:tcPr>
            <w:tcW w:w="644" w:type="pct"/>
            <w:gridSpan w:val="4"/>
            <w:tcBorders>
              <w:top w:val="nil"/>
              <w:left w:val="nil"/>
              <w:bottom w:val="single" w:sz="4" w:space="0" w:color="auto"/>
              <w:right w:val="single" w:sz="4" w:space="0" w:color="auto"/>
            </w:tcBorders>
            <w:shd w:val="clear" w:color="auto" w:fill="auto"/>
            <w:noWrap/>
            <w:vAlign w:val="bottom"/>
          </w:tcPr>
          <w:p w14:paraId="384DF925" w14:textId="77777777" w:rsidR="009A36D2" w:rsidRPr="009A36D2" w:rsidRDefault="009A36D2" w:rsidP="00281A92">
            <w:pPr>
              <w:spacing w:before="0" w:after="0" w:line="240" w:lineRule="auto"/>
              <w:rPr>
                <w:color w:val="auto"/>
                <w:sz w:val="20"/>
                <w:szCs w:val="20"/>
              </w:rPr>
            </w:pPr>
            <w:r w:rsidRPr="009A36D2">
              <w:rPr>
                <w:color w:val="000000"/>
                <w:sz w:val="22"/>
                <w:szCs w:val="22"/>
              </w:rPr>
              <w:t>210</w:t>
            </w:r>
          </w:p>
        </w:tc>
        <w:tc>
          <w:tcPr>
            <w:tcW w:w="643" w:type="pct"/>
            <w:gridSpan w:val="2"/>
            <w:tcBorders>
              <w:top w:val="nil"/>
              <w:left w:val="nil"/>
              <w:bottom w:val="single" w:sz="4" w:space="0" w:color="auto"/>
              <w:right w:val="single" w:sz="4" w:space="0" w:color="auto"/>
            </w:tcBorders>
            <w:shd w:val="clear" w:color="auto" w:fill="auto"/>
            <w:noWrap/>
            <w:vAlign w:val="bottom"/>
          </w:tcPr>
          <w:p w14:paraId="225BC8F9" w14:textId="77777777" w:rsidR="009A36D2" w:rsidRPr="009A36D2" w:rsidRDefault="009A36D2" w:rsidP="00281A92">
            <w:pPr>
              <w:spacing w:before="0" w:after="0" w:line="240" w:lineRule="auto"/>
              <w:rPr>
                <w:color w:val="auto"/>
                <w:sz w:val="20"/>
                <w:szCs w:val="20"/>
              </w:rPr>
            </w:pPr>
            <w:r w:rsidRPr="009A36D2">
              <w:rPr>
                <w:color w:val="000000"/>
                <w:sz w:val="22"/>
                <w:szCs w:val="22"/>
              </w:rPr>
              <w:t>189</w:t>
            </w:r>
          </w:p>
        </w:tc>
        <w:tc>
          <w:tcPr>
            <w:tcW w:w="693" w:type="pct"/>
            <w:gridSpan w:val="2"/>
            <w:tcBorders>
              <w:top w:val="nil"/>
              <w:left w:val="nil"/>
              <w:bottom w:val="single" w:sz="4" w:space="0" w:color="auto"/>
              <w:right w:val="single" w:sz="4" w:space="0" w:color="auto"/>
            </w:tcBorders>
            <w:shd w:val="clear" w:color="auto" w:fill="auto"/>
            <w:noWrap/>
            <w:vAlign w:val="bottom"/>
          </w:tcPr>
          <w:p w14:paraId="3639CBB4" w14:textId="77777777" w:rsidR="009A36D2" w:rsidRPr="009A36D2" w:rsidRDefault="009A36D2" w:rsidP="00281A92">
            <w:pPr>
              <w:spacing w:before="0" w:after="0" w:line="240" w:lineRule="auto"/>
              <w:rPr>
                <w:color w:val="auto"/>
                <w:sz w:val="20"/>
                <w:szCs w:val="20"/>
              </w:rPr>
            </w:pPr>
            <w:r w:rsidRPr="009A36D2">
              <w:rPr>
                <w:color w:val="000000"/>
                <w:sz w:val="22"/>
                <w:szCs w:val="22"/>
              </w:rPr>
              <w:t>265</w:t>
            </w:r>
          </w:p>
        </w:tc>
      </w:tr>
      <w:tr w:rsidR="009A36D2" w:rsidRPr="009A36D2" w14:paraId="5E8B3A18"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tcPr>
          <w:p w14:paraId="13FC602C" w14:textId="77777777" w:rsidR="009A36D2" w:rsidRPr="009A36D2" w:rsidRDefault="009A36D2" w:rsidP="00281A92">
            <w:pPr>
              <w:spacing w:before="0" w:after="0" w:line="240" w:lineRule="auto"/>
              <w:rPr>
                <w:color w:val="auto"/>
                <w:sz w:val="20"/>
                <w:szCs w:val="20"/>
              </w:rPr>
            </w:pPr>
            <w:r w:rsidRPr="009A36D2">
              <w:rPr>
                <w:b/>
                <w:bCs/>
                <w:color w:val="auto"/>
                <w:sz w:val="20"/>
                <w:szCs w:val="20"/>
              </w:rPr>
              <w:t xml:space="preserve">Grouped Mean </w:t>
            </w:r>
          </w:p>
        </w:tc>
        <w:tc>
          <w:tcPr>
            <w:tcW w:w="639" w:type="pct"/>
            <w:gridSpan w:val="2"/>
            <w:tcBorders>
              <w:top w:val="nil"/>
              <w:left w:val="nil"/>
              <w:bottom w:val="single" w:sz="4" w:space="0" w:color="auto"/>
              <w:right w:val="single" w:sz="4" w:space="0" w:color="auto"/>
            </w:tcBorders>
            <w:shd w:val="clear" w:color="auto" w:fill="auto"/>
            <w:noWrap/>
            <w:vAlign w:val="bottom"/>
          </w:tcPr>
          <w:p w14:paraId="5402253D" w14:textId="77777777" w:rsidR="009A36D2" w:rsidRPr="009A36D2" w:rsidRDefault="009A36D2" w:rsidP="00281A92">
            <w:pPr>
              <w:spacing w:before="0" w:after="0" w:line="240" w:lineRule="auto"/>
              <w:rPr>
                <w:color w:val="auto"/>
                <w:sz w:val="20"/>
                <w:szCs w:val="20"/>
              </w:rPr>
            </w:pPr>
            <w:r w:rsidRPr="009A36D2">
              <w:rPr>
                <w:b/>
                <w:bCs/>
                <w:color w:val="000000"/>
                <w:sz w:val="22"/>
                <w:szCs w:val="22"/>
              </w:rPr>
              <w:t>218</w:t>
            </w:r>
          </w:p>
        </w:tc>
        <w:tc>
          <w:tcPr>
            <w:tcW w:w="642" w:type="pct"/>
            <w:gridSpan w:val="3"/>
            <w:tcBorders>
              <w:top w:val="nil"/>
              <w:left w:val="nil"/>
              <w:bottom w:val="single" w:sz="4" w:space="0" w:color="auto"/>
              <w:right w:val="single" w:sz="4" w:space="0" w:color="auto"/>
            </w:tcBorders>
            <w:shd w:val="clear" w:color="auto" w:fill="auto"/>
            <w:noWrap/>
            <w:vAlign w:val="bottom"/>
          </w:tcPr>
          <w:p w14:paraId="715B8A45" w14:textId="77777777" w:rsidR="009A36D2" w:rsidRPr="009A36D2" w:rsidRDefault="009A36D2" w:rsidP="00281A92">
            <w:pPr>
              <w:spacing w:before="0" w:after="0" w:line="240" w:lineRule="auto"/>
              <w:rPr>
                <w:color w:val="auto"/>
                <w:sz w:val="20"/>
                <w:szCs w:val="20"/>
              </w:rPr>
            </w:pPr>
            <w:r w:rsidRPr="009A36D2">
              <w:rPr>
                <w:b/>
                <w:bCs/>
                <w:color w:val="000000"/>
                <w:sz w:val="22"/>
                <w:szCs w:val="22"/>
              </w:rPr>
              <w:t>186</w:t>
            </w:r>
          </w:p>
        </w:tc>
        <w:tc>
          <w:tcPr>
            <w:tcW w:w="625" w:type="pct"/>
            <w:gridSpan w:val="3"/>
            <w:tcBorders>
              <w:top w:val="nil"/>
              <w:left w:val="nil"/>
              <w:bottom w:val="single" w:sz="4" w:space="0" w:color="auto"/>
              <w:right w:val="single" w:sz="4" w:space="0" w:color="auto"/>
            </w:tcBorders>
            <w:shd w:val="clear" w:color="auto" w:fill="auto"/>
            <w:noWrap/>
            <w:vAlign w:val="bottom"/>
          </w:tcPr>
          <w:p w14:paraId="5FD47598" w14:textId="77777777" w:rsidR="009A36D2" w:rsidRPr="009A36D2" w:rsidRDefault="009A36D2" w:rsidP="00281A92">
            <w:pPr>
              <w:spacing w:before="0" w:after="0" w:line="240" w:lineRule="auto"/>
              <w:rPr>
                <w:color w:val="auto"/>
                <w:sz w:val="20"/>
                <w:szCs w:val="20"/>
              </w:rPr>
            </w:pPr>
            <w:r w:rsidRPr="009A36D2">
              <w:rPr>
                <w:b/>
                <w:bCs/>
                <w:color w:val="000000"/>
                <w:sz w:val="22"/>
                <w:szCs w:val="22"/>
              </w:rPr>
              <w:t>178</w:t>
            </w:r>
          </w:p>
        </w:tc>
        <w:tc>
          <w:tcPr>
            <w:tcW w:w="644" w:type="pct"/>
            <w:gridSpan w:val="4"/>
            <w:tcBorders>
              <w:top w:val="nil"/>
              <w:left w:val="nil"/>
              <w:bottom w:val="single" w:sz="4" w:space="0" w:color="auto"/>
              <w:right w:val="single" w:sz="4" w:space="0" w:color="auto"/>
            </w:tcBorders>
            <w:shd w:val="clear" w:color="auto" w:fill="auto"/>
            <w:noWrap/>
            <w:vAlign w:val="bottom"/>
          </w:tcPr>
          <w:p w14:paraId="74B04439" w14:textId="77777777" w:rsidR="009A36D2" w:rsidRPr="009A36D2" w:rsidRDefault="009A36D2" w:rsidP="00281A92">
            <w:pPr>
              <w:spacing w:before="0" w:after="0" w:line="240" w:lineRule="auto"/>
              <w:rPr>
                <w:color w:val="auto"/>
                <w:sz w:val="20"/>
                <w:szCs w:val="20"/>
              </w:rPr>
            </w:pPr>
            <w:r w:rsidRPr="009A36D2">
              <w:rPr>
                <w:b/>
                <w:bCs/>
                <w:color w:val="000000"/>
                <w:sz w:val="22"/>
                <w:szCs w:val="22"/>
              </w:rPr>
              <w:t>177</w:t>
            </w:r>
          </w:p>
        </w:tc>
        <w:tc>
          <w:tcPr>
            <w:tcW w:w="643" w:type="pct"/>
            <w:gridSpan w:val="2"/>
            <w:tcBorders>
              <w:top w:val="nil"/>
              <w:left w:val="nil"/>
              <w:bottom w:val="single" w:sz="4" w:space="0" w:color="auto"/>
              <w:right w:val="single" w:sz="4" w:space="0" w:color="auto"/>
            </w:tcBorders>
            <w:shd w:val="clear" w:color="auto" w:fill="auto"/>
            <w:noWrap/>
            <w:vAlign w:val="bottom"/>
          </w:tcPr>
          <w:p w14:paraId="29363026" w14:textId="77777777" w:rsidR="009A36D2" w:rsidRPr="009A36D2" w:rsidRDefault="009A36D2" w:rsidP="00281A92">
            <w:pPr>
              <w:spacing w:before="0" w:after="0" w:line="240" w:lineRule="auto"/>
              <w:rPr>
                <w:color w:val="auto"/>
                <w:sz w:val="20"/>
                <w:szCs w:val="20"/>
              </w:rPr>
            </w:pPr>
            <w:r w:rsidRPr="009A36D2">
              <w:rPr>
                <w:b/>
                <w:bCs/>
                <w:color w:val="000000"/>
                <w:sz w:val="22"/>
                <w:szCs w:val="22"/>
              </w:rPr>
              <w:t>181</w:t>
            </w:r>
          </w:p>
        </w:tc>
        <w:tc>
          <w:tcPr>
            <w:tcW w:w="693" w:type="pct"/>
            <w:gridSpan w:val="2"/>
            <w:tcBorders>
              <w:top w:val="nil"/>
              <w:left w:val="nil"/>
              <w:bottom w:val="single" w:sz="4" w:space="0" w:color="auto"/>
              <w:right w:val="single" w:sz="4" w:space="0" w:color="auto"/>
            </w:tcBorders>
            <w:shd w:val="clear" w:color="auto" w:fill="auto"/>
            <w:noWrap/>
            <w:vAlign w:val="bottom"/>
          </w:tcPr>
          <w:p w14:paraId="1EE1FBF2" w14:textId="77777777" w:rsidR="009A36D2" w:rsidRPr="009A36D2" w:rsidRDefault="009A36D2" w:rsidP="00281A92">
            <w:pPr>
              <w:spacing w:before="0" w:after="0" w:line="240" w:lineRule="auto"/>
              <w:rPr>
                <w:color w:val="auto"/>
                <w:sz w:val="20"/>
                <w:szCs w:val="20"/>
              </w:rPr>
            </w:pPr>
            <w:r w:rsidRPr="009A36D2">
              <w:rPr>
                <w:b/>
                <w:bCs/>
                <w:color w:val="000000"/>
                <w:sz w:val="22"/>
                <w:szCs w:val="22"/>
              </w:rPr>
              <w:t>219</w:t>
            </w:r>
          </w:p>
        </w:tc>
      </w:tr>
      <w:tr w:rsidR="009A36D2" w:rsidRPr="009A36D2" w14:paraId="366FA7E8"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tcPr>
          <w:p w14:paraId="1E4099FD"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39" w:type="pct"/>
            <w:gridSpan w:val="2"/>
            <w:tcBorders>
              <w:top w:val="nil"/>
              <w:left w:val="nil"/>
              <w:bottom w:val="single" w:sz="4" w:space="0" w:color="auto"/>
              <w:right w:val="single" w:sz="4" w:space="0" w:color="auto"/>
            </w:tcBorders>
            <w:shd w:val="clear" w:color="auto" w:fill="auto"/>
            <w:noWrap/>
            <w:vAlign w:val="bottom"/>
          </w:tcPr>
          <w:p w14:paraId="2F604EA3"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32</w:t>
            </w:r>
          </w:p>
        </w:tc>
        <w:tc>
          <w:tcPr>
            <w:tcW w:w="642" w:type="pct"/>
            <w:gridSpan w:val="3"/>
            <w:tcBorders>
              <w:top w:val="nil"/>
              <w:left w:val="nil"/>
              <w:bottom w:val="single" w:sz="4" w:space="0" w:color="auto"/>
              <w:right w:val="single" w:sz="4" w:space="0" w:color="auto"/>
            </w:tcBorders>
            <w:shd w:val="clear" w:color="auto" w:fill="auto"/>
            <w:noWrap/>
            <w:vAlign w:val="bottom"/>
          </w:tcPr>
          <w:p w14:paraId="1CB580E2"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20</w:t>
            </w:r>
          </w:p>
        </w:tc>
        <w:tc>
          <w:tcPr>
            <w:tcW w:w="625" w:type="pct"/>
            <w:gridSpan w:val="3"/>
            <w:tcBorders>
              <w:top w:val="nil"/>
              <w:left w:val="nil"/>
              <w:bottom w:val="single" w:sz="4" w:space="0" w:color="auto"/>
              <w:right w:val="single" w:sz="4" w:space="0" w:color="auto"/>
            </w:tcBorders>
            <w:shd w:val="clear" w:color="auto" w:fill="auto"/>
            <w:noWrap/>
            <w:vAlign w:val="bottom"/>
          </w:tcPr>
          <w:p w14:paraId="7A1E2462"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24</w:t>
            </w:r>
          </w:p>
        </w:tc>
        <w:tc>
          <w:tcPr>
            <w:tcW w:w="644" w:type="pct"/>
            <w:gridSpan w:val="4"/>
            <w:tcBorders>
              <w:top w:val="nil"/>
              <w:left w:val="nil"/>
              <w:bottom w:val="single" w:sz="4" w:space="0" w:color="auto"/>
              <w:right w:val="single" w:sz="4" w:space="0" w:color="auto"/>
            </w:tcBorders>
            <w:shd w:val="clear" w:color="auto" w:fill="auto"/>
            <w:noWrap/>
            <w:vAlign w:val="bottom"/>
          </w:tcPr>
          <w:p w14:paraId="7166ABF9"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16</w:t>
            </w:r>
          </w:p>
        </w:tc>
        <w:tc>
          <w:tcPr>
            <w:tcW w:w="643" w:type="pct"/>
            <w:gridSpan w:val="2"/>
            <w:tcBorders>
              <w:top w:val="nil"/>
              <w:left w:val="nil"/>
              <w:bottom w:val="single" w:sz="4" w:space="0" w:color="auto"/>
              <w:right w:val="single" w:sz="4" w:space="0" w:color="auto"/>
            </w:tcBorders>
            <w:shd w:val="clear" w:color="auto" w:fill="auto"/>
            <w:noWrap/>
            <w:vAlign w:val="bottom"/>
          </w:tcPr>
          <w:p w14:paraId="0AE070B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14</w:t>
            </w:r>
          </w:p>
        </w:tc>
        <w:tc>
          <w:tcPr>
            <w:tcW w:w="693" w:type="pct"/>
            <w:gridSpan w:val="2"/>
            <w:tcBorders>
              <w:top w:val="nil"/>
              <w:left w:val="nil"/>
              <w:bottom w:val="single" w:sz="4" w:space="0" w:color="auto"/>
              <w:right w:val="single" w:sz="4" w:space="0" w:color="auto"/>
            </w:tcBorders>
            <w:shd w:val="clear" w:color="auto" w:fill="auto"/>
            <w:noWrap/>
            <w:vAlign w:val="bottom"/>
          </w:tcPr>
          <w:p w14:paraId="5F50B654"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29</w:t>
            </w:r>
          </w:p>
        </w:tc>
      </w:tr>
      <w:tr w:rsidR="009A36D2" w:rsidRPr="009A36D2" w14:paraId="50348E0A"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74893EA1"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Older (≤60 years old)</w:t>
            </w:r>
          </w:p>
        </w:tc>
      </w:tr>
      <w:tr w:rsidR="009A36D2" w:rsidRPr="009A36D2" w14:paraId="2347E271" w14:textId="77777777" w:rsidTr="00281A92">
        <w:trPr>
          <w:trHeight w:val="20"/>
          <w:jc w:val="center"/>
        </w:trPr>
        <w:tc>
          <w:tcPr>
            <w:tcW w:w="1114" w:type="pct"/>
            <w:tcBorders>
              <w:top w:val="nil"/>
              <w:left w:val="single" w:sz="4" w:space="0" w:color="auto"/>
              <w:bottom w:val="single" w:sz="4" w:space="0" w:color="auto"/>
              <w:right w:val="single" w:sz="4" w:space="0" w:color="auto"/>
              <w:tl2br w:val="single" w:sz="4" w:space="0" w:color="auto"/>
            </w:tcBorders>
            <w:shd w:val="clear" w:color="auto" w:fill="auto"/>
            <w:hideMark/>
          </w:tcPr>
          <w:p w14:paraId="0B39F0AD"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48D2C48F" w14:textId="77777777" w:rsidR="009A36D2" w:rsidRPr="009A36D2" w:rsidRDefault="009A36D2" w:rsidP="00281A92">
            <w:pPr>
              <w:spacing w:before="0" w:after="0" w:line="240" w:lineRule="auto"/>
              <w:rPr>
                <w:color w:val="auto"/>
                <w:sz w:val="20"/>
                <w:szCs w:val="20"/>
              </w:rPr>
            </w:pPr>
          </w:p>
          <w:p w14:paraId="58CB8621"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39" w:type="pct"/>
            <w:gridSpan w:val="2"/>
            <w:tcBorders>
              <w:top w:val="nil"/>
              <w:left w:val="nil"/>
              <w:bottom w:val="single" w:sz="4" w:space="0" w:color="auto"/>
              <w:right w:val="single" w:sz="4" w:space="0" w:color="auto"/>
            </w:tcBorders>
            <w:shd w:val="clear" w:color="auto" w:fill="auto"/>
            <w:noWrap/>
            <w:hideMark/>
          </w:tcPr>
          <w:p w14:paraId="12E57436"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42" w:type="pct"/>
            <w:gridSpan w:val="3"/>
            <w:tcBorders>
              <w:top w:val="nil"/>
              <w:left w:val="nil"/>
              <w:bottom w:val="single" w:sz="4" w:space="0" w:color="auto"/>
              <w:right w:val="single" w:sz="4" w:space="0" w:color="auto"/>
            </w:tcBorders>
            <w:shd w:val="clear" w:color="auto" w:fill="auto"/>
            <w:noWrap/>
            <w:hideMark/>
          </w:tcPr>
          <w:p w14:paraId="07A7F564"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25" w:type="pct"/>
            <w:gridSpan w:val="3"/>
            <w:tcBorders>
              <w:top w:val="nil"/>
              <w:left w:val="nil"/>
              <w:bottom w:val="single" w:sz="4" w:space="0" w:color="auto"/>
              <w:right w:val="single" w:sz="4" w:space="0" w:color="auto"/>
            </w:tcBorders>
            <w:shd w:val="clear" w:color="auto" w:fill="auto"/>
            <w:noWrap/>
            <w:hideMark/>
          </w:tcPr>
          <w:p w14:paraId="517DB287"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4" w:type="pct"/>
            <w:gridSpan w:val="4"/>
            <w:tcBorders>
              <w:top w:val="nil"/>
              <w:left w:val="nil"/>
              <w:bottom w:val="single" w:sz="4" w:space="0" w:color="auto"/>
              <w:right w:val="single" w:sz="4" w:space="0" w:color="auto"/>
            </w:tcBorders>
            <w:shd w:val="clear" w:color="auto" w:fill="auto"/>
            <w:noWrap/>
            <w:hideMark/>
          </w:tcPr>
          <w:p w14:paraId="5E36BD88"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3" w:type="pct"/>
            <w:gridSpan w:val="2"/>
            <w:tcBorders>
              <w:top w:val="nil"/>
              <w:left w:val="nil"/>
              <w:bottom w:val="single" w:sz="4" w:space="0" w:color="auto"/>
              <w:right w:val="single" w:sz="4" w:space="0" w:color="auto"/>
            </w:tcBorders>
            <w:shd w:val="clear" w:color="auto" w:fill="auto"/>
            <w:noWrap/>
            <w:hideMark/>
          </w:tcPr>
          <w:p w14:paraId="7511F819"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93" w:type="pct"/>
            <w:gridSpan w:val="2"/>
            <w:tcBorders>
              <w:top w:val="nil"/>
              <w:left w:val="nil"/>
              <w:bottom w:val="single" w:sz="4" w:space="0" w:color="auto"/>
              <w:right w:val="single" w:sz="4" w:space="0" w:color="auto"/>
            </w:tcBorders>
            <w:shd w:val="clear" w:color="auto" w:fill="auto"/>
            <w:noWrap/>
            <w:hideMark/>
          </w:tcPr>
          <w:p w14:paraId="4D67D449"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1ADA0E4F"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7C6CE70"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39" w:type="pct"/>
            <w:gridSpan w:val="2"/>
            <w:tcBorders>
              <w:top w:val="nil"/>
              <w:left w:val="nil"/>
              <w:bottom w:val="single" w:sz="4" w:space="0" w:color="auto"/>
              <w:right w:val="single" w:sz="4" w:space="0" w:color="auto"/>
            </w:tcBorders>
            <w:shd w:val="clear" w:color="auto" w:fill="auto"/>
            <w:noWrap/>
            <w:vAlign w:val="bottom"/>
          </w:tcPr>
          <w:p w14:paraId="40EA59CE" w14:textId="77777777" w:rsidR="009A36D2" w:rsidRPr="009A36D2" w:rsidRDefault="009A36D2" w:rsidP="00281A92">
            <w:pPr>
              <w:spacing w:before="0" w:after="0" w:line="240" w:lineRule="auto"/>
              <w:rPr>
                <w:color w:val="auto"/>
                <w:sz w:val="20"/>
                <w:szCs w:val="20"/>
              </w:rPr>
            </w:pPr>
            <w:r w:rsidRPr="009A36D2">
              <w:rPr>
                <w:color w:val="000000"/>
                <w:sz w:val="22"/>
                <w:szCs w:val="22"/>
              </w:rPr>
              <w:t>179</w:t>
            </w:r>
          </w:p>
        </w:tc>
        <w:tc>
          <w:tcPr>
            <w:tcW w:w="642" w:type="pct"/>
            <w:gridSpan w:val="3"/>
            <w:tcBorders>
              <w:top w:val="nil"/>
              <w:left w:val="nil"/>
              <w:bottom w:val="single" w:sz="4" w:space="0" w:color="auto"/>
              <w:right w:val="single" w:sz="4" w:space="0" w:color="auto"/>
            </w:tcBorders>
            <w:shd w:val="clear" w:color="auto" w:fill="auto"/>
            <w:noWrap/>
            <w:vAlign w:val="bottom"/>
          </w:tcPr>
          <w:p w14:paraId="798419BC" w14:textId="77777777" w:rsidR="009A36D2" w:rsidRPr="009A36D2" w:rsidRDefault="009A36D2" w:rsidP="00281A92">
            <w:pPr>
              <w:spacing w:before="0" w:after="0" w:line="240" w:lineRule="auto"/>
              <w:rPr>
                <w:color w:val="auto"/>
                <w:sz w:val="20"/>
                <w:szCs w:val="20"/>
              </w:rPr>
            </w:pPr>
            <w:r w:rsidRPr="009A36D2">
              <w:rPr>
                <w:color w:val="000000"/>
                <w:sz w:val="22"/>
                <w:szCs w:val="22"/>
              </w:rPr>
              <w:t>151</w:t>
            </w:r>
          </w:p>
        </w:tc>
        <w:tc>
          <w:tcPr>
            <w:tcW w:w="625" w:type="pct"/>
            <w:gridSpan w:val="3"/>
            <w:tcBorders>
              <w:top w:val="nil"/>
              <w:left w:val="nil"/>
              <w:bottom w:val="single" w:sz="4" w:space="0" w:color="auto"/>
              <w:right w:val="single" w:sz="4" w:space="0" w:color="auto"/>
            </w:tcBorders>
            <w:shd w:val="clear" w:color="auto" w:fill="auto"/>
            <w:noWrap/>
            <w:vAlign w:val="bottom"/>
          </w:tcPr>
          <w:p w14:paraId="5BDC42B2" w14:textId="77777777" w:rsidR="009A36D2" w:rsidRPr="009A36D2" w:rsidRDefault="009A36D2" w:rsidP="00281A92">
            <w:pPr>
              <w:spacing w:before="0" w:after="0" w:line="240" w:lineRule="auto"/>
              <w:rPr>
                <w:color w:val="auto"/>
                <w:sz w:val="20"/>
                <w:szCs w:val="20"/>
              </w:rPr>
            </w:pPr>
            <w:r w:rsidRPr="009A36D2">
              <w:rPr>
                <w:color w:val="000000"/>
                <w:sz w:val="22"/>
                <w:szCs w:val="22"/>
              </w:rPr>
              <w:t>157</w:t>
            </w:r>
          </w:p>
        </w:tc>
        <w:tc>
          <w:tcPr>
            <w:tcW w:w="644" w:type="pct"/>
            <w:gridSpan w:val="4"/>
            <w:tcBorders>
              <w:top w:val="nil"/>
              <w:left w:val="nil"/>
              <w:bottom w:val="single" w:sz="4" w:space="0" w:color="auto"/>
              <w:right w:val="single" w:sz="4" w:space="0" w:color="auto"/>
            </w:tcBorders>
            <w:shd w:val="clear" w:color="auto" w:fill="auto"/>
            <w:noWrap/>
            <w:vAlign w:val="bottom"/>
          </w:tcPr>
          <w:p w14:paraId="2BF79B2E" w14:textId="77777777" w:rsidR="009A36D2" w:rsidRPr="009A36D2" w:rsidRDefault="009A36D2" w:rsidP="00281A92">
            <w:pPr>
              <w:spacing w:before="0" w:after="0" w:line="240" w:lineRule="auto"/>
              <w:rPr>
                <w:color w:val="auto"/>
                <w:sz w:val="20"/>
                <w:szCs w:val="20"/>
              </w:rPr>
            </w:pPr>
            <w:r w:rsidRPr="009A36D2">
              <w:rPr>
                <w:color w:val="000000"/>
                <w:sz w:val="22"/>
                <w:szCs w:val="22"/>
              </w:rPr>
              <w:t>156</w:t>
            </w:r>
          </w:p>
        </w:tc>
        <w:tc>
          <w:tcPr>
            <w:tcW w:w="643" w:type="pct"/>
            <w:gridSpan w:val="2"/>
            <w:tcBorders>
              <w:top w:val="nil"/>
              <w:left w:val="nil"/>
              <w:bottom w:val="single" w:sz="4" w:space="0" w:color="auto"/>
              <w:right w:val="single" w:sz="4" w:space="0" w:color="auto"/>
            </w:tcBorders>
            <w:shd w:val="clear" w:color="auto" w:fill="auto"/>
            <w:noWrap/>
            <w:vAlign w:val="bottom"/>
          </w:tcPr>
          <w:p w14:paraId="5508F87F" w14:textId="77777777" w:rsidR="009A36D2" w:rsidRPr="009A36D2" w:rsidRDefault="009A36D2" w:rsidP="00281A92">
            <w:pPr>
              <w:spacing w:before="0" w:after="0" w:line="240" w:lineRule="auto"/>
              <w:rPr>
                <w:color w:val="auto"/>
                <w:sz w:val="20"/>
                <w:szCs w:val="20"/>
              </w:rPr>
            </w:pPr>
            <w:r w:rsidRPr="009A36D2">
              <w:rPr>
                <w:color w:val="000000"/>
                <w:sz w:val="22"/>
                <w:szCs w:val="22"/>
              </w:rPr>
              <w:t>172</w:t>
            </w:r>
          </w:p>
        </w:tc>
        <w:tc>
          <w:tcPr>
            <w:tcW w:w="693" w:type="pct"/>
            <w:gridSpan w:val="2"/>
            <w:tcBorders>
              <w:top w:val="nil"/>
              <w:left w:val="nil"/>
              <w:bottom w:val="single" w:sz="4" w:space="0" w:color="auto"/>
              <w:right w:val="single" w:sz="4" w:space="0" w:color="auto"/>
            </w:tcBorders>
            <w:shd w:val="clear" w:color="auto" w:fill="auto"/>
            <w:noWrap/>
            <w:vAlign w:val="bottom"/>
          </w:tcPr>
          <w:p w14:paraId="5431F03C"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r>
      <w:tr w:rsidR="009A36D2" w:rsidRPr="009A36D2" w14:paraId="2491FDF2"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3A639E61"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39" w:type="pct"/>
            <w:gridSpan w:val="2"/>
            <w:tcBorders>
              <w:top w:val="nil"/>
              <w:left w:val="nil"/>
              <w:bottom w:val="single" w:sz="4" w:space="0" w:color="auto"/>
              <w:right w:val="single" w:sz="4" w:space="0" w:color="auto"/>
            </w:tcBorders>
            <w:shd w:val="clear" w:color="auto" w:fill="auto"/>
            <w:noWrap/>
            <w:vAlign w:val="bottom"/>
          </w:tcPr>
          <w:p w14:paraId="1ABFB320" w14:textId="77777777" w:rsidR="009A36D2" w:rsidRPr="009A36D2" w:rsidRDefault="009A36D2" w:rsidP="00281A92">
            <w:pPr>
              <w:spacing w:before="0" w:after="0" w:line="240" w:lineRule="auto"/>
              <w:rPr>
                <w:color w:val="auto"/>
                <w:sz w:val="20"/>
                <w:szCs w:val="20"/>
              </w:rPr>
            </w:pPr>
            <w:r w:rsidRPr="009A36D2">
              <w:rPr>
                <w:color w:val="000000"/>
                <w:sz w:val="22"/>
                <w:szCs w:val="22"/>
              </w:rPr>
              <w:t>304</w:t>
            </w:r>
          </w:p>
        </w:tc>
        <w:tc>
          <w:tcPr>
            <w:tcW w:w="642" w:type="pct"/>
            <w:gridSpan w:val="3"/>
            <w:tcBorders>
              <w:top w:val="nil"/>
              <w:left w:val="nil"/>
              <w:bottom w:val="single" w:sz="4" w:space="0" w:color="auto"/>
              <w:right w:val="single" w:sz="4" w:space="0" w:color="auto"/>
            </w:tcBorders>
            <w:shd w:val="clear" w:color="auto" w:fill="auto"/>
            <w:noWrap/>
            <w:vAlign w:val="bottom"/>
          </w:tcPr>
          <w:p w14:paraId="47479BD4" w14:textId="77777777" w:rsidR="009A36D2" w:rsidRPr="009A36D2" w:rsidRDefault="009A36D2" w:rsidP="00281A92">
            <w:pPr>
              <w:spacing w:before="0" w:after="0" w:line="240" w:lineRule="auto"/>
              <w:rPr>
                <w:color w:val="auto"/>
                <w:sz w:val="20"/>
                <w:szCs w:val="20"/>
              </w:rPr>
            </w:pPr>
            <w:r w:rsidRPr="009A36D2">
              <w:rPr>
                <w:color w:val="000000"/>
                <w:sz w:val="22"/>
                <w:szCs w:val="22"/>
              </w:rPr>
              <w:t>249</w:t>
            </w:r>
          </w:p>
        </w:tc>
        <w:tc>
          <w:tcPr>
            <w:tcW w:w="625" w:type="pct"/>
            <w:gridSpan w:val="3"/>
            <w:tcBorders>
              <w:top w:val="nil"/>
              <w:left w:val="nil"/>
              <w:bottom w:val="single" w:sz="4" w:space="0" w:color="auto"/>
              <w:right w:val="single" w:sz="4" w:space="0" w:color="auto"/>
            </w:tcBorders>
            <w:shd w:val="clear" w:color="auto" w:fill="auto"/>
            <w:noWrap/>
            <w:vAlign w:val="bottom"/>
          </w:tcPr>
          <w:p w14:paraId="2131FF9D" w14:textId="77777777" w:rsidR="009A36D2" w:rsidRPr="009A36D2" w:rsidRDefault="009A36D2" w:rsidP="00281A92">
            <w:pPr>
              <w:spacing w:before="0" w:after="0" w:line="240" w:lineRule="auto"/>
              <w:rPr>
                <w:color w:val="auto"/>
                <w:sz w:val="20"/>
                <w:szCs w:val="20"/>
              </w:rPr>
            </w:pPr>
            <w:r w:rsidRPr="009A36D2">
              <w:rPr>
                <w:color w:val="000000"/>
                <w:sz w:val="22"/>
                <w:szCs w:val="22"/>
              </w:rPr>
              <w:t>217</w:t>
            </w:r>
          </w:p>
        </w:tc>
        <w:tc>
          <w:tcPr>
            <w:tcW w:w="644" w:type="pct"/>
            <w:gridSpan w:val="4"/>
            <w:tcBorders>
              <w:top w:val="nil"/>
              <w:left w:val="nil"/>
              <w:bottom w:val="single" w:sz="4" w:space="0" w:color="auto"/>
              <w:right w:val="single" w:sz="4" w:space="0" w:color="auto"/>
            </w:tcBorders>
            <w:shd w:val="clear" w:color="auto" w:fill="auto"/>
            <w:noWrap/>
            <w:vAlign w:val="bottom"/>
          </w:tcPr>
          <w:p w14:paraId="1627FD95" w14:textId="77777777" w:rsidR="009A36D2" w:rsidRPr="009A36D2" w:rsidRDefault="009A36D2" w:rsidP="00281A92">
            <w:pPr>
              <w:spacing w:before="0" w:after="0" w:line="240" w:lineRule="auto"/>
              <w:rPr>
                <w:color w:val="auto"/>
                <w:sz w:val="20"/>
                <w:szCs w:val="20"/>
              </w:rPr>
            </w:pPr>
            <w:r w:rsidRPr="009A36D2">
              <w:rPr>
                <w:color w:val="000000"/>
                <w:sz w:val="22"/>
                <w:szCs w:val="22"/>
              </w:rPr>
              <w:t>205</w:t>
            </w:r>
          </w:p>
        </w:tc>
        <w:tc>
          <w:tcPr>
            <w:tcW w:w="643" w:type="pct"/>
            <w:gridSpan w:val="2"/>
            <w:tcBorders>
              <w:top w:val="nil"/>
              <w:left w:val="nil"/>
              <w:bottom w:val="single" w:sz="4" w:space="0" w:color="auto"/>
              <w:right w:val="single" w:sz="4" w:space="0" w:color="auto"/>
            </w:tcBorders>
            <w:shd w:val="clear" w:color="auto" w:fill="auto"/>
            <w:noWrap/>
            <w:vAlign w:val="bottom"/>
          </w:tcPr>
          <w:p w14:paraId="173804EA" w14:textId="77777777" w:rsidR="009A36D2" w:rsidRPr="009A36D2" w:rsidRDefault="009A36D2" w:rsidP="00281A92">
            <w:pPr>
              <w:spacing w:before="0" w:after="0" w:line="240" w:lineRule="auto"/>
              <w:rPr>
                <w:color w:val="auto"/>
                <w:sz w:val="20"/>
                <w:szCs w:val="20"/>
              </w:rPr>
            </w:pPr>
            <w:r w:rsidRPr="009A36D2">
              <w:rPr>
                <w:color w:val="000000"/>
                <w:sz w:val="22"/>
                <w:szCs w:val="22"/>
              </w:rPr>
              <w:t>241</w:t>
            </w:r>
          </w:p>
        </w:tc>
        <w:tc>
          <w:tcPr>
            <w:tcW w:w="693" w:type="pct"/>
            <w:gridSpan w:val="2"/>
            <w:tcBorders>
              <w:top w:val="nil"/>
              <w:left w:val="nil"/>
              <w:bottom w:val="single" w:sz="4" w:space="0" w:color="auto"/>
              <w:right w:val="single" w:sz="4" w:space="0" w:color="auto"/>
            </w:tcBorders>
            <w:shd w:val="clear" w:color="auto" w:fill="auto"/>
            <w:noWrap/>
            <w:vAlign w:val="bottom"/>
          </w:tcPr>
          <w:p w14:paraId="5B2138EF" w14:textId="77777777" w:rsidR="009A36D2" w:rsidRPr="009A36D2" w:rsidRDefault="009A36D2" w:rsidP="00281A92">
            <w:pPr>
              <w:spacing w:before="0" w:after="0" w:line="240" w:lineRule="auto"/>
              <w:rPr>
                <w:color w:val="auto"/>
                <w:sz w:val="20"/>
                <w:szCs w:val="20"/>
              </w:rPr>
            </w:pPr>
            <w:r w:rsidRPr="009A36D2">
              <w:rPr>
                <w:color w:val="000000"/>
                <w:sz w:val="22"/>
                <w:szCs w:val="22"/>
              </w:rPr>
              <w:t>282</w:t>
            </w:r>
          </w:p>
        </w:tc>
      </w:tr>
      <w:tr w:rsidR="009A36D2" w:rsidRPr="009A36D2" w14:paraId="245B5427"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FC7ED95"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39" w:type="pct"/>
            <w:gridSpan w:val="2"/>
            <w:tcBorders>
              <w:top w:val="nil"/>
              <w:left w:val="nil"/>
              <w:bottom w:val="single" w:sz="4" w:space="0" w:color="auto"/>
              <w:right w:val="single" w:sz="4" w:space="0" w:color="auto"/>
            </w:tcBorders>
            <w:shd w:val="clear" w:color="auto" w:fill="auto"/>
            <w:noWrap/>
            <w:vAlign w:val="bottom"/>
          </w:tcPr>
          <w:p w14:paraId="03F2173E" w14:textId="77777777" w:rsidR="009A36D2" w:rsidRPr="009A36D2" w:rsidRDefault="009A36D2" w:rsidP="00281A92">
            <w:pPr>
              <w:spacing w:before="0" w:after="0" w:line="240" w:lineRule="auto"/>
              <w:rPr>
                <w:color w:val="auto"/>
                <w:sz w:val="20"/>
                <w:szCs w:val="20"/>
              </w:rPr>
            </w:pPr>
            <w:r w:rsidRPr="009A36D2">
              <w:rPr>
                <w:color w:val="000000"/>
                <w:sz w:val="22"/>
                <w:szCs w:val="22"/>
              </w:rPr>
              <w:t>266</w:t>
            </w:r>
          </w:p>
        </w:tc>
        <w:tc>
          <w:tcPr>
            <w:tcW w:w="642" w:type="pct"/>
            <w:gridSpan w:val="3"/>
            <w:tcBorders>
              <w:top w:val="nil"/>
              <w:left w:val="nil"/>
              <w:bottom w:val="single" w:sz="4" w:space="0" w:color="auto"/>
              <w:right w:val="single" w:sz="4" w:space="0" w:color="auto"/>
            </w:tcBorders>
            <w:shd w:val="clear" w:color="auto" w:fill="auto"/>
            <w:noWrap/>
            <w:vAlign w:val="bottom"/>
          </w:tcPr>
          <w:p w14:paraId="79725C25" w14:textId="77777777" w:rsidR="009A36D2" w:rsidRPr="009A36D2" w:rsidRDefault="009A36D2" w:rsidP="00281A92">
            <w:pPr>
              <w:spacing w:before="0" w:after="0" w:line="240" w:lineRule="auto"/>
              <w:rPr>
                <w:color w:val="auto"/>
                <w:sz w:val="20"/>
                <w:szCs w:val="20"/>
              </w:rPr>
            </w:pPr>
            <w:r w:rsidRPr="009A36D2">
              <w:rPr>
                <w:color w:val="000000"/>
                <w:sz w:val="22"/>
                <w:szCs w:val="22"/>
              </w:rPr>
              <w:t>223</w:t>
            </w:r>
          </w:p>
        </w:tc>
        <w:tc>
          <w:tcPr>
            <w:tcW w:w="625" w:type="pct"/>
            <w:gridSpan w:val="3"/>
            <w:tcBorders>
              <w:top w:val="nil"/>
              <w:left w:val="nil"/>
              <w:bottom w:val="single" w:sz="4" w:space="0" w:color="auto"/>
              <w:right w:val="single" w:sz="4" w:space="0" w:color="auto"/>
            </w:tcBorders>
            <w:shd w:val="clear" w:color="auto" w:fill="auto"/>
            <w:noWrap/>
            <w:vAlign w:val="bottom"/>
          </w:tcPr>
          <w:p w14:paraId="3345E13E" w14:textId="77777777" w:rsidR="009A36D2" w:rsidRPr="009A36D2" w:rsidRDefault="009A36D2" w:rsidP="00281A92">
            <w:pPr>
              <w:spacing w:before="0" w:after="0" w:line="240" w:lineRule="auto"/>
              <w:rPr>
                <w:color w:val="auto"/>
                <w:sz w:val="20"/>
                <w:szCs w:val="20"/>
              </w:rPr>
            </w:pPr>
            <w:r w:rsidRPr="009A36D2">
              <w:rPr>
                <w:color w:val="000000"/>
                <w:sz w:val="22"/>
                <w:szCs w:val="22"/>
              </w:rPr>
              <w:t>214</w:t>
            </w:r>
          </w:p>
        </w:tc>
        <w:tc>
          <w:tcPr>
            <w:tcW w:w="644" w:type="pct"/>
            <w:gridSpan w:val="4"/>
            <w:tcBorders>
              <w:top w:val="nil"/>
              <w:left w:val="nil"/>
              <w:bottom w:val="single" w:sz="4" w:space="0" w:color="auto"/>
              <w:right w:val="single" w:sz="4" w:space="0" w:color="auto"/>
            </w:tcBorders>
            <w:shd w:val="clear" w:color="auto" w:fill="auto"/>
            <w:noWrap/>
            <w:vAlign w:val="bottom"/>
          </w:tcPr>
          <w:p w14:paraId="1ADECD49" w14:textId="77777777" w:rsidR="009A36D2" w:rsidRPr="009A36D2" w:rsidRDefault="009A36D2" w:rsidP="00281A92">
            <w:pPr>
              <w:spacing w:before="0" w:after="0" w:line="240" w:lineRule="auto"/>
              <w:rPr>
                <w:color w:val="auto"/>
                <w:sz w:val="20"/>
                <w:szCs w:val="20"/>
              </w:rPr>
            </w:pPr>
            <w:r w:rsidRPr="009A36D2">
              <w:rPr>
                <w:color w:val="000000"/>
                <w:sz w:val="22"/>
                <w:szCs w:val="22"/>
              </w:rPr>
              <w:t>214</w:t>
            </w:r>
          </w:p>
        </w:tc>
        <w:tc>
          <w:tcPr>
            <w:tcW w:w="643" w:type="pct"/>
            <w:gridSpan w:val="2"/>
            <w:tcBorders>
              <w:top w:val="nil"/>
              <w:left w:val="nil"/>
              <w:bottom w:val="single" w:sz="4" w:space="0" w:color="auto"/>
              <w:right w:val="single" w:sz="4" w:space="0" w:color="auto"/>
            </w:tcBorders>
            <w:shd w:val="clear" w:color="auto" w:fill="auto"/>
            <w:noWrap/>
            <w:vAlign w:val="bottom"/>
          </w:tcPr>
          <w:p w14:paraId="7076211D" w14:textId="77777777" w:rsidR="009A36D2" w:rsidRPr="009A36D2" w:rsidRDefault="009A36D2" w:rsidP="00281A92">
            <w:pPr>
              <w:spacing w:before="0" w:after="0" w:line="240" w:lineRule="auto"/>
              <w:rPr>
                <w:color w:val="auto"/>
                <w:sz w:val="20"/>
                <w:szCs w:val="20"/>
              </w:rPr>
            </w:pPr>
            <w:r w:rsidRPr="009A36D2">
              <w:rPr>
                <w:color w:val="000000"/>
                <w:sz w:val="22"/>
                <w:szCs w:val="22"/>
              </w:rPr>
              <w:t>216</w:t>
            </w:r>
          </w:p>
        </w:tc>
        <w:tc>
          <w:tcPr>
            <w:tcW w:w="693" w:type="pct"/>
            <w:gridSpan w:val="2"/>
            <w:tcBorders>
              <w:top w:val="nil"/>
              <w:left w:val="nil"/>
              <w:bottom w:val="single" w:sz="4" w:space="0" w:color="auto"/>
              <w:right w:val="single" w:sz="4" w:space="0" w:color="auto"/>
            </w:tcBorders>
            <w:shd w:val="clear" w:color="auto" w:fill="auto"/>
            <w:noWrap/>
            <w:vAlign w:val="bottom"/>
          </w:tcPr>
          <w:p w14:paraId="7EE14D31" w14:textId="77777777" w:rsidR="009A36D2" w:rsidRPr="009A36D2" w:rsidRDefault="009A36D2" w:rsidP="00281A92">
            <w:pPr>
              <w:spacing w:before="0" w:after="0" w:line="240" w:lineRule="auto"/>
              <w:rPr>
                <w:color w:val="auto"/>
                <w:sz w:val="20"/>
                <w:szCs w:val="20"/>
              </w:rPr>
            </w:pPr>
            <w:r w:rsidRPr="009A36D2">
              <w:rPr>
                <w:color w:val="000000"/>
                <w:sz w:val="22"/>
                <w:szCs w:val="22"/>
              </w:rPr>
              <w:t>237</w:t>
            </w:r>
          </w:p>
        </w:tc>
      </w:tr>
      <w:tr w:rsidR="009A36D2" w:rsidRPr="009A36D2" w14:paraId="6A77EE7C"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5EB81FAD"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39" w:type="pct"/>
            <w:gridSpan w:val="2"/>
            <w:tcBorders>
              <w:top w:val="nil"/>
              <w:left w:val="nil"/>
              <w:bottom w:val="single" w:sz="4" w:space="0" w:color="auto"/>
              <w:right w:val="single" w:sz="4" w:space="0" w:color="auto"/>
            </w:tcBorders>
            <w:shd w:val="clear" w:color="auto" w:fill="auto"/>
            <w:noWrap/>
            <w:vAlign w:val="bottom"/>
          </w:tcPr>
          <w:p w14:paraId="58A422F0" w14:textId="77777777" w:rsidR="009A36D2" w:rsidRPr="009A36D2" w:rsidRDefault="009A36D2" w:rsidP="00281A92">
            <w:pPr>
              <w:spacing w:before="0" w:after="0" w:line="240" w:lineRule="auto"/>
              <w:rPr>
                <w:color w:val="auto"/>
                <w:sz w:val="20"/>
                <w:szCs w:val="20"/>
              </w:rPr>
            </w:pPr>
            <w:r w:rsidRPr="009A36D2">
              <w:rPr>
                <w:color w:val="000000"/>
                <w:sz w:val="22"/>
                <w:szCs w:val="22"/>
              </w:rPr>
              <w:t>230</w:t>
            </w:r>
          </w:p>
        </w:tc>
        <w:tc>
          <w:tcPr>
            <w:tcW w:w="642" w:type="pct"/>
            <w:gridSpan w:val="3"/>
            <w:tcBorders>
              <w:top w:val="nil"/>
              <w:left w:val="nil"/>
              <w:bottom w:val="single" w:sz="4" w:space="0" w:color="auto"/>
              <w:right w:val="single" w:sz="4" w:space="0" w:color="auto"/>
            </w:tcBorders>
            <w:shd w:val="clear" w:color="auto" w:fill="auto"/>
            <w:noWrap/>
            <w:vAlign w:val="bottom"/>
          </w:tcPr>
          <w:p w14:paraId="2BDD2B07" w14:textId="77777777" w:rsidR="009A36D2" w:rsidRPr="009A36D2" w:rsidRDefault="009A36D2" w:rsidP="00281A92">
            <w:pPr>
              <w:spacing w:before="0" w:after="0" w:line="240" w:lineRule="auto"/>
              <w:rPr>
                <w:color w:val="auto"/>
                <w:sz w:val="20"/>
                <w:szCs w:val="20"/>
              </w:rPr>
            </w:pPr>
            <w:r w:rsidRPr="009A36D2">
              <w:rPr>
                <w:color w:val="000000"/>
                <w:sz w:val="22"/>
                <w:szCs w:val="22"/>
              </w:rPr>
              <w:t>173</w:t>
            </w:r>
          </w:p>
        </w:tc>
        <w:tc>
          <w:tcPr>
            <w:tcW w:w="625" w:type="pct"/>
            <w:gridSpan w:val="3"/>
            <w:tcBorders>
              <w:top w:val="nil"/>
              <w:left w:val="nil"/>
              <w:bottom w:val="single" w:sz="4" w:space="0" w:color="auto"/>
              <w:right w:val="single" w:sz="4" w:space="0" w:color="auto"/>
            </w:tcBorders>
            <w:shd w:val="clear" w:color="auto" w:fill="auto"/>
            <w:noWrap/>
            <w:vAlign w:val="bottom"/>
          </w:tcPr>
          <w:p w14:paraId="5EC87D37" w14:textId="77777777" w:rsidR="009A36D2" w:rsidRPr="009A36D2" w:rsidRDefault="009A36D2" w:rsidP="00281A92">
            <w:pPr>
              <w:spacing w:before="0" w:after="0" w:line="240" w:lineRule="auto"/>
              <w:rPr>
                <w:color w:val="auto"/>
                <w:sz w:val="20"/>
                <w:szCs w:val="20"/>
              </w:rPr>
            </w:pPr>
            <w:r w:rsidRPr="009A36D2">
              <w:rPr>
                <w:color w:val="000000"/>
                <w:sz w:val="22"/>
                <w:szCs w:val="22"/>
              </w:rPr>
              <w:t>199</w:t>
            </w:r>
          </w:p>
        </w:tc>
        <w:tc>
          <w:tcPr>
            <w:tcW w:w="644" w:type="pct"/>
            <w:gridSpan w:val="4"/>
            <w:tcBorders>
              <w:top w:val="nil"/>
              <w:left w:val="nil"/>
              <w:bottom w:val="single" w:sz="4" w:space="0" w:color="auto"/>
              <w:right w:val="single" w:sz="4" w:space="0" w:color="auto"/>
            </w:tcBorders>
            <w:shd w:val="clear" w:color="auto" w:fill="auto"/>
            <w:noWrap/>
            <w:vAlign w:val="bottom"/>
          </w:tcPr>
          <w:p w14:paraId="4C78805F" w14:textId="77777777" w:rsidR="009A36D2" w:rsidRPr="009A36D2" w:rsidRDefault="009A36D2" w:rsidP="00281A92">
            <w:pPr>
              <w:spacing w:before="0" w:after="0" w:line="240" w:lineRule="auto"/>
              <w:rPr>
                <w:color w:val="auto"/>
                <w:sz w:val="20"/>
                <w:szCs w:val="20"/>
              </w:rPr>
            </w:pPr>
            <w:r w:rsidRPr="009A36D2">
              <w:rPr>
                <w:color w:val="000000"/>
                <w:sz w:val="22"/>
                <w:szCs w:val="22"/>
              </w:rPr>
              <w:t>217</w:t>
            </w:r>
          </w:p>
        </w:tc>
        <w:tc>
          <w:tcPr>
            <w:tcW w:w="643" w:type="pct"/>
            <w:gridSpan w:val="2"/>
            <w:tcBorders>
              <w:top w:val="nil"/>
              <w:left w:val="nil"/>
              <w:bottom w:val="single" w:sz="4" w:space="0" w:color="auto"/>
              <w:right w:val="single" w:sz="4" w:space="0" w:color="auto"/>
            </w:tcBorders>
            <w:shd w:val="clear" w:color="auto" w:fill="auto"/>
            <w:noWrap/>
            <w:vAlign w:val="bottom"/>
          </w:tcPr>
          <w:p w14:paraId="45E18ABD" w14:textId="77777777" w:rsidR="009A36D2" w:rsidRPr="009A36D2" w:rsidRDefault="009A36D2" w:rsidP="00281A92">
            <w:pPr>
              <w:spacing w:before="0" w:after="0" w:line="240" w:lineRule="auto"/>
              <w:rPr>
                <w:color w:val="auto"/>
                <w:sz w:val="20"/>
                <w:szCs w:val="20"/>
              </w:rPr>
            </w:pPr>
            <w:r w:rsidRPr="009A36D2">
              <w:rPr>
                <w:color w:val="000000"/>
                <w:sz w:val="22"/>
                <w:szCs w:val="22"/>
              </w:rPr>
              <w:t>224</w:t>
            </w:r>
          </w:p>
        </w:tc>
        <w:tc>
          <w:tcPr>
            <w:tcW w:w="693" w:type="pct"/>
            <w:gridSpan w:val="2"/>
            <w:tcBorders>
              <w:top w:val="nil"/>
              <w:left w:val="nil"/>
              <w:bottom w:val="single" w:sz="4" w:space="0" w:color="auto"/>
              <w:right w:val="single" w:sz="4" w:space="0" w:color="auto"/>
            </w:tcBorders>
            <w:shd w:val="clear" w:color="auto" w:fill="auto"/>
            <w:noWrap/>
            <w:vAlign w:val="bottom"/>
          </w:tcPr>
          <w:p w14:paraId="78944069" w14:textId="77777777" w:rsidR="009A36D2" w:rsidRPr="009A36D2" w:rsidRDefault="009A36D2" w:rsidP="00281A92">
            <w:pPr>
              <w:spacing w:before="0" w:after="0" w:line="240" w:lineRule="auto"/>
              <w:rPr>
                <w:color w:val="auto"/>
                <w:sz w:val="20"/>
                <w:szCs w:val="20"/>
              </w:rPr>
            </w:pPr>
            <w:r w:rsidRPr="009A36D2">
              <w:rPr>
                <w:color w:val="000000"/>
                <w:sz w:val="22"/>
                <w:szCs w:val="22"/>
              </w:rPr>
              <w:t>263</w:t>
            </w:r>
          </w:p>
        </w:tc>
      </w:tr>
      <w:tr w:rsidR="009A36D2" w:rsidRPr="009A36D2" w14:paraId="1D59D9A6"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604EC15"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39" w:type="pct"/>
            <w:gridSpan w:val="2"/>
            <w:tcBorders>
              <w:top w:val="nil"/>
              <w:left w:val="nil"/>
              <w:bottom w:val="single" w:sz="4" w:space="0" w:color="auto"/>
              <w:right w:val="single" w:sz="4" w:space="0" w:color="auto"/>
            </w:tcBorders>
            <w:shd w:val="clear" w:color="auto" w:fill="auto"/>
            <w:noWrap/>
            <w:vAlign w:val="bottom"/>
          </w:tcPr>
          <w:p w14:paraId="55E19DB8" w14:textId="77777777" w:rsidR="009A36D2" w:rsidRPr="009A36D2" w:rsidRDefault="009A36D2" w:rsidP="00281A92">
            <w:pPr>
              <w:spacing w:before="0" w:after="0" w:line="240" w:lineRule="auto"/>
              <w:rPr>
                <w:color w:val="auto"/>
                <w:sz w:val="20"/>
                <w:szCs w:val="20"/>
              </w:rPr>
            </w:pPr>
            <w:r w:rsidRPr="009A36D2">
              <w:rPr>
                <w:color w:val="000000"/>
                <w:sz w:val="22"/>
                <w:szCs w:val="22"/>
              </w:rPr>
              <w:t>279</w:t>
            </w:r>
          </w:p>
        </w:tc>
        <w:tc>
          <w:tcPr>
            <w:tcW w:w="642" w:type="pct"/>
            <w:gridSpan w:val="3"/>
            <w:tcBorders>
              <w:top w:val="nil"/>
              <w:left w:val="nil"/>
              <w:bottom w:val="single" w:sz="4" w:space="0" w:color="auto"/>
              <w:right w:val="single" w:sz="4" w:space="0" w:color="auto"/>
            </w:tcBorders>
            <w:shd w:val="clear" w:color="auto" w:fill="auto"/>
            <w:noWrap/>
            <w:vAlign w:val="bottom"/>
          </w:tcPr>
          <w:p w14:paraId="4B6C8F9C" w14:textId="77777777" w:rsidR="009A36D2" w:rsidRPr="009A36D2" w:rsidRDefault="009A36D2" w:rsidP="00281A92">
            <w:pPr>
              <w:spacing w:before="0" w:after="0" w:line="240" w:lineRule="auto"/>
              <w:rPr>
                <w:color w:val="auto"/>
                <w:sz w:val="20"/>
                <w:szCs w:val="20"/>
              </w:rPr>
            </w:pPr>
            <w:r w:rsidRPr="009A36D2">
              <w:rPr>
                <w:color w:val="000000"/>
                <w:sz w:val="22"/>
                <w:szCs w:val="22"/>
              </w:rPr>
              <w:t>235</w:t>
            </w:r>
          </w:p>
        </w:tc>
        <w:tc>
          <w:tcPr>
            <w:tcW w:w="625" w:type="pct"/>
            <w:gridSpan w:val="3"/>
            <w:tcBorders>
              <w:top w:val="nil"/>
              <w:left w:val="nil"/>
              <w:bottom w:val="single" w:sz="4" w:space="0" w:color="auto"/>
              <w:right w:val="single" w:sz="4" w:space="0" w:color="auto"/>
            </w:tcBorders>
            <w:shd w:val="clear" w:color="auto" w:fill="auto"/>
            <w:noWrap/>
            <w:vAlign w:val="bottom"/>
          </w:tcPr>
          <w:p w14:paraId="1ECE1F80" w14:textId="77777777" w:rsidR="009A36D2" w:rsidRPr="009A36D2" w:rsidRDefault="009A36D2" w:rsidP="00281A92">
            <w:pPr>
              <w:spacing w:before="0" w:after="0" w:line="240" w:lineRule="auto"/>
              <w:rPr>
                <w:color w:val="auto"/>
                <w:sz w:val="20"/>
                <w:szCs w:val="20"/>
              </w:rPr>
            </w:pPr>
            <w:r w:rsidRPr="009A36D2">
              <w:rPr>
                <w:color w:val="000000"/>
                <w:sz w:val="22"/>
                <w:szCs w:val="22"/>
              </w:rPr>
              <w:t>182</w:t>
            </w:r>
          </w:p>
        </w:tc>
        <w:tc>
          <w:tcPr>
            <w:tcW w:w="644" w:type="pct"/>
            <w:gridSpan w:val="4"/>
            <w:tcBorders>
              <w:top w:val="nil"/>
              <w:left w:val="nil"/>
              <w:bottom w:val="single" w:sz="4" w:space="0" w:color="auto"/>
              <w:right w:val="single" w:sz="4" w:space="0" w:color="auto"/>
            </w:tcBorders>
            <w:shd w:val="clear" w:color="auto" w:fill="auto"/>
            <w:noWrap/>
            <w:vAlign w:val="bottom"/>
          </w:tcPr>
          <w:p w14:paraId="649B4472" w14:textId="77777777" w:rsidR="009A36D2" w:rsidRPr="009A36D2" w:rsidRDefault="009A36D2" w:rsidP="00281A92">
            <w:pPr>
              <w:spacing w:before="0" w:after="0" w:line="240" w:lineRule="auto"/>
              <w:rPr>
                <w:color w:val="auto"/>
                <w:sz w:val="20"/>
                <w:szCs w:val="20"/>
              </w:rPr>
            </w:pPr>
            <w:r w:rsidRPr="009A36D2">
              <w:rPr>
                <w:color w:val="000000"/>
                <w:sz w:val="22"/>
                <w:szCs w:val="22"/>
              </w:rPr>
              <w:t>238</w:t>
            </w:r>
          </w:p>
        </w:tc>
        <w:tc>
          <w:tcPr>
            <w:tcW w:w="643" w:type="pct"/>
            <w:gridSpan w:val="2"/>
            <w:tcBorders>
              <w:top w:val="nil"/>
              <w:left w:val="nil"/>
              <w:bottom w:val="single" w:sz="4" w:space="0" w:color="auto"/>
              <w:right w:val="single" w:sz="4" w:space="0" w:color="auto"/>
            </w:tcBorders>
            <w:shd w:val="clear" w:color="auto" w:fill="auto"/>
            <w:noWrap/>
            <w:vAlign w:val="bottom"/>
          </w:tcPr>
          <w:p w14:paraId="339DA62D" w14:textId="77777777" w:rsidR="009A36D2" w:rsidRPr="009A36D2" w:rsidRDefault="009A36D2" w:rsidP="00281A92">
            <w:pPr>
              <w:spacing w:before="0" w:after="0" w:line="240" w:lineRule="auto"/>
              <w:rPr>
                <w:color w:val="auto"/>
                <w:sz w:val="20"/>
                <w:szCs w:val="20"/>
              </w:rPr>
            </w:pPr>
            <w:r w:rsidRPr="009A36D2">
              <w:rPr>
                <w:color w:val="000000"/>
                <w:sz w:val="22"/>
                <w:szCs w:val="22"/>
              </w:rPr>
              <w:t>266</w:t>
            </w:r>
          </w:p>
        </w:tc>
        <w:tc>
          <w:tcPr>
            <w:tcW w:w="693" w:type="pct"/>
            <w:gridSpan w:val="2"/>
            <w:tcBorders>
              <w:top w:val="nil"/>
              <w:left w:val="nil"/>
              <w:bottom w:val="single" w:sz="4" w:space="0" w:color="auto"/>
              <w:right w:val="single" w:sz="4" w:space="0" w:color="auto"/>
            </w:tcBorders>
            <w:shd w:val="clear" w:color="auto" w:fill="auto"/>
            <w:noWrap/>
            <w:vAlign w:val="bottom"/>
          </w:tcPr>
          <w:p w14:paraId="41FCE13E" w14:textId="77777777" w:rsidR="009A36D2" w:rsidRPr="009A36D2" w:rsidRDefault="009A36D2" w:rsidP="00281A92">
            <w:pPr>
              <w:spacing w:before="0" w:after="0" w:line="240" w:lineRule="auto"/>
              <w:rPr>
                <w:color w:val="auto"/>
                <w:sz w:val="20"/>
                <w:szCs w:val="20"/>
              </w:rPr>
            </w:pPr>
            <w:r w:rsidRPr="009A36D2">
              <w:rPr>
                <w:color w:val="000000"/>
                <w:sz w:val="22"/>
                <w:szCs w:val="22"/>
              </w:rPr>
              <w:t>280</w:t>
            </w:r>
          </w:p>
        </w:tc>
      </w:tr>
      <w:tr w:rsidR="009A36D2" w:rsidRPr="009A36D2" w14:paraId="08AC82B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AFF6BC8"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39" w:type="pct"/>
            <w:gridSpan w:val="2"/>
            <w:tcBorders>
              <w:top w:val="nil"/>
              <w:left w:val="nil"/>
              <w:bottom w:val="single" w:sz="4" w:space="0" w:color="auto"/>
              <w:right w:val="single" w:sz="4" w:space="0" w:color="auto"/>
            </w:tcBorders>
            <w:shd w:val="clear" w:color="auto" w:fill="auto"/>
            <w:noWrap/>
            <w:vAlign w:val="bottom"/>
          </w:tcPr>
          <w:p w14:paraId="53D68D27" w14:textId="77777777" w:rsidR="009A36D2" w:rsidRPr="009A36D2" w:rsidRDefault="009A36D2" w:rsidP="00281A92">
            <w:pPr>
              <w:spacing w:before="0" w:after="0" w:line="240" w:lineRule="auto"/>
              <w:rPr>
                <w:color w:val="auto"/>
                <w:sz w:val="20"/>
                <w:szCs w:val="20"/>
              </w:rPr>
            </w:pPr>
            <w:r w:rsidRPr="009A36D2">
              <w:rPr>
                <w:color w:val="000000"/>
                <w:sz w:val="22"/>
                <w:szCs w:val="22"/>
              </w:rPr>
              <w:t>231</w:t>
            </w:r>
          </w:p>
        </w:tc>
        <w:tc>
          <w:tcPr>
            <w:tcW w:w="642" w:type="pct"/>
            <w:gridSpan w:val="3"/>
            <w:tcBorders>
              <w:top w:val="nil"/>
              <w:left w:val="nil"/>
              <w:bottom w:val="single" w:sz="4" w:space="0" w:color="auto"/>
              <w:right w:val="single" w:sz="4" w:space="0" w:color="auto"/>
            </w:tcBorders>
            <w:shd w:val="clear" w:color="auto" w:fill="auto"/>
            <w:noWrap/>
            <w:vAlign w:val="bottom"/>
          </w:tcPr>
          <w:p w14:paraId="68F20588" w14:textId="77777777" w:rsidR="009A36D2" w:rsidRPr="009A36D2" w:rsidRDefault="009A36D2" w:rsidP="00281A92">
            <w:pPr>
              <w:spacing w:before="0" w:after="0" w:line="240" w:lineRule="auto"/>
              <w:rPr>
                <w:color w:val="auto"/>
                <w:sz w:val="20"/>
                <w:szCs w:val="20"/>
              </w:rPr>
            </w:pPr>
            <w:r w:rsidRPr="009A36D2">
              <w:rPr>
                <w:color w:val="000000"/>
                <w:sz w:val="22"/>
                <w:szCs w:val="22"/>
              </w:rPr>
              <w:t>269</w:t>
            </w:r>
          </w:p>
        </w:tc>
        <w:tc>
          <w:tcPr>
            <w:tcW w:w="625" w:type="pct"/>
            <w:gridSpan w:val="3"/>
            <w:tcBorders>
              <w:top w:val="nil"/>
              <w:left w:val="nil"/>
              <w:bottom w:val="single" w:sz="4" w:space="0" w:color="auto"/>
              <w:right w:val="single" w:sz="4" w:space="0" w:color="auto"/>
            </w:tcBorders>
            <w:shd w:val="clear" w:color="auto" w:fill="auto"/>
            <w:noWrap/>
            <w:vAlign w:val="bottom"/>
          </w:tcPr>
          <w:p w14:paraId="27CB0F9E" w14:textId="77777777" w:rsidR="009A36D2" w:rsidRPr="009A36D2" w:rsidRDefault="009A36D2" w:rsidP="00281A92">
            <w:pPr>
              <w:spacing w:before="0" w:after="0" w:line="240" w:lineRule="auto"/>
              <w:rPr>
                <w:color w:val="auto"/>
                <w:sz w:val="20"/>
                <w:szCs w:val="20"/>
              </w:rPr>
            </w:pPr>
            <w:r w:rsidRPr="009A36D2">
              <w:rPr>
                <w:color w:val="000000"/>
                <w:sz w:val="22"/>
                <w:szCs w:val="22"/>
              </w:rPr>
              <w:t>263</w:t>
            </w:r>
          </w:p>
        </w:tc>
        <w:tc>
          <w:tcPr>
            <w:tcW w:w="644" w:type="pct"/>
            <w:gridSpan w:val="4"/>
            <w:tcBorders>
              <w:top w:val="nil"/>
              <w:left w:val="nil"/>
              <w:bottom w:val="single" w:sz="4" w:space="0" w:color="auto"/>
              <w:right w:val="single" w:sz="4" w:space="0" w:color="auto"/>
            </w:tcBorders>
            <w:shd w:val="clear" w:color="auto" w:fill="auto"/>
            <w:noWrap/>
            <w:vAlign w:val="bottom"/>
          </w:tcPr>
          <w:p w14:paraId="3422F8BD" w14:textId="77777777" w:rsidR="009A36D2" w:rsidRPr="009A36D2" w:rsidRDefault="009A36D2" w:rsidP="00281A92">
            <w:pPr>
              <w:spacing w:before="0" w:after="0" w:line="240" w:lineRule="auto"/>
              <w:rPr>
                <w:color w:val="auto"/>
                <w:sz w:val="20"/>
                <w:szCs w:val="20"/>
              </w:rPr>
            </w:pPr>
            <w:r w:rsidRPr="009A36D2">
              <w:rPr>
                <w:color w:val="000000"/>
                <w:sz w:val="22"/>
                <w:szCs w:val="22"/>
              </w:rPr>
              <w:t>242</w:t>
            </w:r>
          </w:p>
        </w:tc>
        <w:tc>
          <w:tcPr>
            <w:tcW w:w="643" w:type="pct"/>
            <w:gridSpan w:val="2"/>
            <w:tcBorders>
              <w:top w:val="nil"/>
              <w:left w:val="nil"/>
              <w:bottom w:val="single" w:sz="4" w:space="0" w:color="auto"/>
              <w:right w:val="single" w:sz="4" w:space="0" w:color="auto"/>
            </w:tcBorders>
            <w:shd w:val="clear" w:color="auto" w:fill="auto"/>
            <w:noWrap/>
            <w:vAlign w:val="bottom"/>
          </w:tcPr>
          <w:p w14:paraId="3CAD4A6B" w14:textId="77777777" w:rsidR="009A36D2" w:rsidRPr="009A36D2" w:rsidRDefault="009A36D2" w:rsidP="00281A92">
            <w:pPr>
              <w:spacing w:before="0" w:after="0" w:line="240" w:lineRule="auto"/>
              <w:rPr>
                <w:color w:val="auto"/>
                <w:sz w:val="20"/>
                <w:szCs w:val="20"/>
              </w:rPr>
            </w:pPr>
            <w:r w:rsidRPr="009A36D2">
              <w:rPr>
                <w:color w:val="000000"/>
                <w:sz w:val="22"/>
                <w:szCs w:val="22"/>
              </w:rPr>
              <w:t>288</w:t>
            </w:r>
          </w:p>
        </w:tc>
        <w:tc>
          <w:tcPr>
            <w:tcW w:w="693" w:type="pct"/>
            <w:gridSpan w:val="2"/>
            <w:tcBorders>
              <w:top w:val="nil"/>
              <w:left w:val="nil"/>
              <w:bottom w:val="single" w:sz="4" w:space="0" w:color="auto"/>
              <w:right w:val="single" w:sz="4" w:space="0" w:color="auto"/>
            </w:tcBorders>
            <w:shd w:val="clear" w:color="auto" w:fill="auto"/>
            <w:noWrap/>
            <w:vAlign w:val="bottom"/>
          </w:tcPr>
          <w:p w14:paraId="5F0CC9F4" w14:textId="77777777" w:rsidR="009A36D2" w:rsidRPr="009A36D2" w:rsidRDefault="009A36D2" w:rsidP="00281A92">
            <w:pPr>
              <w:spacing w:before="0" w:after="0" w:line="240" w:lineRule="auto"/>
              <w:rPr>
                <w:color w:val="auto"/>
                <w:sz w:val="20"/>
                <w:szCs w:val="20"/>
              </w:rPr>
            </w:pPr>
            <w:r w:rsidRPr="009A36D2">
              <w:rPr>
                <w:color w:val="000000"/>
                <w:sz w:val="22"/>
                <w:szCs w:val="22"/>
              </w:rPr>
              <w:t>265</w:t>
            </w:r>
          </w:p>
        </w:tc>
      </w:tr>
      <w:tr w:rsidR="009A36D2" w:rsidRPr="009A36D2" w14:paraId="6AD8C4B6"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5D20521E"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39" w:type="pct"/>
            <w:gridSpan w:val="2"/>
            <w:tcBorders>
              <w:top w:val="nil"/>
              <w:left w:val="nil"/>
              <w:bottom w:val="single" w:sz="4" w:space="0" w:color="auto"/>
              <w:right w:val="single" w:sz="4" w:space="0" w:color="auto"/>
            </w:tcBorders>
            <w:shd w:val="clear" w:color="auto" w:fill="auto"/>
            <w:noWrap/>
            <w:vAlign w:val="bottom"/>
          </w:tcPr>
          <w:p w14:paraId="3BFB3159" w14:textId="77777777" w:rsidR="009A36D2" w:rsidRPr="009A36D2" w:rsidRDefault="009A36D2" w:rsidP="00281A92">
            <w:pPr>
              <w:spacing w:before="0" w:after="0" w:line="240" w:lineRule="auto"/>
              <w:rPr>
                <w:color w:val="auto"/>
                <w:sz w:val="20"/>
                <w:szCs w:val="20"/>
              </w:rPr>
            </w:pPr>
            <w:r w:rsidRPr="009A36D2">
              <w:rPr>
                <w:color w:val="000000"/>
                <w:sz w:val="22"/>
                <w:szCs w:val="22"/>
              </w:rPr>
              <w:t>214</w:t>
            </w:r>
          </w:p>
        </w:tc>
        <w:tc>
          <w:tcPr>
            <w:tcW w:w="642" w:type="pct"/>
            <w:gridSpan w:val="3"/>
            <w:tcBorders>
              <w:top w:val="nil"/>
              <w:left w:val="nil"/>
              <w:bottom w:val="single" w:sz="4" w:space="0" w:color="auto"/>
              <w:right w:val="single" w:sz="4" w:space="0" w:color="auto"/>
            </w:tcBorders>
            <w:shd w:val="clear" w:color="auto" w:fill="auto"/>
            <w:noWrap/>
            <w:vAlign w:val="bottom"/>
          </w:tcPr>
          <w:p w14:paraId="2EA1051D" w14:textId="77777777" w:rsidR="009A36D2" w:rsidRPr="009A36D2" w:rsidRDefault="009A36D2" w:rsidP="00281A92">
            <w:pPr>
              <w:spacing w:before="0" w:after="0" w:line="240" w:lineRule="auto"/>
              <w:rPr>
                <w:color w:val="auto"/>
                <w:sz w:val="20"/>
                <w:szCs w:val="20"/>
              </w:rPr>
            </w:pPr>
            <w:r w:rsidRPr="009A36D2">
              <w:rPr>
                <w:color w:val="000000"/>
                <w:sz w:val="22"/>
                <w:szCs w:val="22"/>
              </w:rPr>
              <w:t>178</w:t>
            </w:r>
          </w:p>
        </w:tc>
        <w:tc>
          <w:tcPr>
            <w:tcW w:w="625" w:type="pct"/>
            <w:gridSpan w:val="3"/>
            <w:tcBorders>
              <w:top w:val="nil"/>
              <w:left w:val="nil"/>
              <w:bottom w:val="single" w:sz="4" w:space="0" w:color="auto"/>
              <w:right w:val="single" w:sz="4" w:space="0" w:color="auto"/>
            </w:tcBorders>
            <w:shd w:val="clear" w:color="auto" w:fill="auto"/>
            <w:noWrap/>
            <w:vAlign w:val="bottom"/>
          </w:tcPr>
          <w:p w14:paraId="724E04F2" w14:textId="77777777" w:rsidR="009A36D2" w:rsidRPr="009A36D2" w:rsidRDefault="009A36D2" w:rsidP="00281A92">
            <w:pPr>
              <w:spacing w:before="0" w:after="0" w:line="240" w:lineRule="auto"/>
              <w:rPr>
                <w:color w:val="auto"/>
                <w:sz w:val="20"/>
                <w:szCs w:val="20"/>
              </w:rPr>
            </w:pPr>
            <w:r w:rsidRPr="009A36D2">
              <w:rPr>
                <w:color w:val="000000"/>
                <w:sz w:val="22"/>
                <w:szCs w:val="22"/>
              </w:rPr>
              <w:t>172</w:t>
            </w:r>
          </w:p>
        </w:tc>
        <w:tc>
          <w:tcPr>
            <w:tcW w:w="644" w:type="pct"/>
            <w:gridSpan w:val="4"/>
            <w:tcBorders>
              <w:top w:val="nil"/>
              <w:left w:val="nil"/>
              <w:bottom w:val="single" w:sz="4" w:space="0" w:color="auto"/>
              <w:right w:val="single" w:sz="4" w:space="0" w:color="auto"/>
            </w:tcBorders>
            <w:shd w:val="clear" w:color="auto" w:fill="auto"/>
            <w:noWrap/>
            <w:vAlign w:val="bottom"/>
          </w:tcPr>
          <w:p w14:paraId="3620A8D5" w14:textId="77777777" w:rsidR="009A36D2" w:rsidRPr="009A36D2" w:rsidRDefault="009A36D2" w:rsidP="00281A92">
            <w:pPr>
              <w:spacing w:before="0" w:after="0" w:line="240" w:lineRule="auto"/>
              <w:rPr>
                <w:color w:val="auto"/>
                <w:sz w:val="20"/>
                <w:szCs w:val="20"/>
              </w:rPr>
            </w:pPr>
            <w:r w:rsidRPr="009A36D2">
              <w:rPr>
                <w:color w:val="000000"/>
                <w:sz w:val="22"/>
                <w:szCs w:val="22"/>
              </w:rPr>
              <w:t>162</w:t>
            </w:r>
          </w:p>
        </w:tc>
        <w:tc>
          <w:tcPr>
            <w:tcW w:w="643" w:type="pct"/>
            <w:gridSpan w:val="2"/>
            <w:tcBorders>
              <w:top w:val="nil"/>
              <w:left w:val="nil"/>
              <w:bottom w:val="single" w:sz="4" w:space="0" w:color="auto"/>
              <w:right w:val="single" w:sz="4" w:space="0" w:color="auto"/>
            </w:tcBorders>
            <w:shd w:val="clear" w:color="auto" w:fill="auto"/>
            <w:noWrap/>
            <w:vAlign w:val="bottom"/>
          </w:tcPr>
          <w:p w14:paraId="1DF9C308" w14:textId="77777777" w:rsidR="009A36D2" w:rsidRPr="009A36D2" w:rsidRDefault="009A36D2" w:rsidP="00281A92">
            <w:pPr>
              <w:spacing w:before="0" w:after="0" w:line="240" w:lineRule="auto"/>
              <w:rPr>
                <w:color w:val="auto"/>
                <w:sz w:val="20"/>
                <w:szCs w:val="20"/>
              </w:rPr>
            </w:pPr>
            <w:r w:rsidRPr="009A36D2">
              <w:rPr>
                <w:color w:val="000000"/>
                <w:sz w:val="22"/>
                <w:szCs w:val="22"/>
              </w:rPr>
              <w:t>177</w:t>
            </w:r>
          </w:p>
        </w:tc>
        <w:tc>
          <w:tcPr>
            <w:tcW w:w="693" w:type="pct"/>
            <w:gridSpan w:val="2"/>
            <w:tcBorders>
              <w:top w:val="nil"/>
              <w:left w:val="nil"/>
              <w:bottom w:val="single" w:sz="4" w:space="0" w:color="auto"/>
              <w:right w:val="single" w:sz="4" w:space="0" w:color="auto"/>
            </w:tcBorders>
            <w:shd w:val="clear" w:color="auto" w:fill="auto"/>
            <w:noWrap/>
            <w:vAlign w:val="bottom"/>
          </w:tcPr>
          <w:p w14:paraId="11BBC09B" w14:textId="77777777" w:rsidR="009A36D2" w:rsidRPr="009A36D2" w:rsidRDefault="009A36D2" w:rsidP="00281A92">
            <w:pPr>
              <w:spacing w:before="0" w:after="0" w:line="240" w:lineRule="auto"/>
              <w:rPr>
                <w:color w:val="auto"/>
                <w:sz w:val="20"/>
                <w:szCs w:val="20"/>
              </w:rPr>
            </w:pPr>
            <w:r w:rsidRPr="009A36D2">
              <w:rPr>
                <w:color w:val="000000"/>
                <w:sz w:val="22"/>
                <w:szCs w:val="22"/>
              </w:rPr>
              <w:t>210</w:t>
            </w:r>
          </w:p>
        </w:tc>
      </w:tr>
      <w:tr w:rsidR="009A36D2" w:rsidRPr="009A36D2" w14:paraId="53DD55F8"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8FF621F"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39" w:type="pct"/>
            <w:gridSpan w:val="2"/>
            <w:tcBorders>
              <w:top w:val="nil"/>
              <w:left w:val="nil"/>
              <w:bottom w:val="single" w:sz="4" w:space="0" w:color="auto"/>
              <w:right w:val="single" w:sz="4" w:space="0" w:color="auto"/>
            </w:tcBorders>
            <w:shd w:val="clear" w:color="auto" w:fill="auto"/>
            <w:noWrap/>
            <w:vAlign w:val="bottom"/>
          </w:tcPr>
          <w:p w14:paraId="1863F73C" w14:textId="77777777" w:rsidR="009A36D2" w:rsidRPr="009A36D2" w:rsidRDefault="009A36D2" w:rsidP="00281A92">
            <w:pPr>
              <w:spacing w:before="0" w:after="0" w:line="240" w:lineRule="auto"/>
              <w:rPr>
                <w:color w:val="auto"/>
                <w:sz w:val="20"/>
                <w:szCs w:val="20"/>
              </w:rPr>
            </w:pPr>
            <w:r w:rsidRPr="009A36D2">
              <w:rPr>
                <w:color w:val="000000"/>
                <w:sz w:val="22"/>
                <w:szCs w:val="22"/>
              </w:rPr>
              <w:t>179</w:t>
            </w:r>
          </w:p>
        </w:tc>
        <w:tc>
          <w:tcPr>
            <w:tcW w:w="642" w:type="pct"/>
            <w:gridSpan w:val="3"/>
            <w:tcBorders>
              <w:top w:val="nil"/>
              <w:left w:val="nil"/>
              <w:bottom w:val="single" w:sz="4" w:space="0" w:color="auto"/>
              <w:right w:val="single" w:sz="4" w:space="0" w:color="auto"/>
            </w:tcBorders>
            <w:shd w:val="clear" w:color="auto" w:fill="auto"/>
            <w:noWrap/>
            <w:vAlign w:val="bottom"/>
          </w:tcPr>
          <w:p w14:paraId="4E108692" w14:textId="77777777" w:rsidR="009A36D2" w:rsidRPr="009A36D2" w:rsidRDefault="009A36D2" w:rsidP="00281A92">
            <w:pPr>
              <w:spacing w:before="0" w:after="0" w:line="240" w:lineRule="auto"/>
              <w:rPr>
                <w:color w:val="auto"/>
                <w:sz w:val="20"/>
                <w:szCs w:val="20"/>
              </w:rPr>
            </w:pPr>
            <w:r w:rsidRPr="009A36D2">
              <w:rPr>
                <w:color w:val="000000"/>
                <w:sz w:val="22"/>
                <w:szCs w:val="22"/>
              </w:rPr>
              <w:t>151</w:t>
            </w:r>
          </w:p>
        </w:tc>
        <w:tc>
          <w:tcPr>
            <w:tcW w:w="625" w:type="pct"/>
            <w:gridSpan w:val="3"/>
            <w:tcBorders>
              <w:top w:val="nil"/>
              <w:left w:val="nil"/>
              <w:bottom w:val="single" w:sz="4" w:space="0" w:color="auto"/>
              <w:right w:val="single" w:sz="4" w:space="0" w:color="auto"/>
            </w:tcBorders>
            <w:shd w:val="clear" w:color="auto" w:fill="auto"/>
            <w:noWrap/>
            <w:vAlign w:val="bottom"/>
          </w:tcPr>
          <w:p w14:paraId="6B077DB5" w14:textId="77777777" w:rsidR="009A36D2" w:rsidRPr="009A36D2" w:rsidRDefault="009A36D2" w:rsidP="00281A92">
            <w:pPr>
              <w:spacing w:before="0" w:after="0" w:line="240" w:lineRule="auto"/>
              <w:rPr>
                <w:color w:val="auto"/>
                <w:sz w:val="20"/>
                <w:szCs w:val="20"/>
              </w:rPr>
            </w:pPr>
            <w:r w:rsidRPr="009A36D2">
              <w:rPr>
                <w:color w:val="000000"/>
                <w:sz w:val="22"/>
                <w:szCs w:val="22"/>
              </w:rPr>
              <w:t>150</w:t>
            </w:r>
          </w:p>
        </w:tc>
        <w:tc>
          <w:tcPr>
            <w:tcW w:w="644" w:type="pct"/>
            <w:gridSpan w:val="4"/>
            <w:tcBorders>
              <w:top w:val="nil"/>
              <w:left w:val="nil"/>
              <w:bottom w:val="single" w:sz="4" w:space="0" w:color="auto"/>
              <w:right w:val="single" w:sz="4" w:space="0" w:color="auto"/>
            </w:tcBorders>
            <w:shd w:val="clear" w:color="auto" w:fill="auto"/>
            <w:noWrap/>
            <w:vAlign w:val="bottom"/>
          </w:tcPr>
          <w:p w14:paraId="196E6D76" w14:textId="77777777" w:rsidR="009A36D2" w:rsidRPr="009A36D2" w:rsidRDefault="009A36D2" w:rsidP="00281A92">
            <w:pPr>
              <w:spacing w:before="0" w:after="0" w:line="240" w:lineRule="auto"/>
              <w:rPr>
                <w:color w:val="auto"/>
                <w:sz w:val="20"/>
                <w:szCs w:val="20"/>
              </w:rPr>
            </w:pPr>
            <w:r w:rsidRPr="009A36D2">
              <w:rPr>
                <w:color w:val="000000"/>
                <w:sz w:val="22"/>
                <w:szCs w:val="22"/>
              </w:rPr>
              <w:t>133</w:t>
            </w:r>
          </w:p>
        </w:tc>
        <w:tc>
          <w:tcPr>
            <w:tcW w:w="643" w:type="pct"/>
            <w:gridSpan w:val="2"/>
            <w:tcBorders>
              <w:top w:val="nil"/>
              <w:left w:val="nil"/>
              <w:bottom w:val="single" w:sz="4" w:space="0" w:color="auto"/>
              <w:right w:val="single" w:sz="4" w:space="0" w:color="auto"/>
            </w:tcBorders>
            <w:shd w:val="clear" w:color="auto" w:fill="auto"/>
            <w:noWrap/>
            <w:vAlign w:val="bottom"/>
          </w:tcPr>
          <w:p w14:paraId="3C6A0024" w14:textId="77777777" w:rsidR="009A36D2" w:rsidRPr="009A36D2" w:rsidRDefault="009A36D2" w:rsidP="00281A92">
            <w:pPr>
              <w:spacing w:before="0" w:after="0" w:line="240" w:lineRule="auto"/>
              <w:rPr>
                <w:color w:val="auto"/>
                <w:sz w:val="20"/>
                <w:szCs w:val="20"/>
              </w:rPr>
            </w:pPr>
            <w:r w:rsidRPr="009A36D2">
              <w:rPr>
                <w:color w:val="000000"/>
                <w:sz w:val="22"/>
                <w:szCs w:val="22"/>
              </w:rPr>
              <w:t>160</w:t>
            </w:r>
          </w:p>
        </w:tc>
        <w:tc>
          <w:tcPr>
            <w:tcW w:w="693" w:type="pct"/>
            <w:gridSpan w:val="2"/>
            <w:tcBorders>
              <w:top w:val="nil"/>
              <w:left w:val="nil"/>
              <w:bottom w:val="single" w:sz="4" w:space="0" w:color="auto"/>
              <w:right w:val="single" w:sz="4" w:space="0" w:color="auto"/>
            </w:tcBorders>
            <w:shd w:val="clear" w:color="auto" w:fill="auto"/>
            <w:noWrap/>
            <w:vAlign w:val="bottom"/>
          </w:tcPr>
          <w:p w14:paraId="4994285D" w14:textId="77777777" w:rsidR="009A36D2" w:rsidRPr="009A36D2" w:rsidRDefault="009A36D2" w:rsidP="00281A92">
            <w:pPr>
              <w:spacing w:before="0" w:after="0" w:line="240" w:lineRule="auto"/>
              <w:rPr>
                <w:color w:val="auto"/>
                <w:sz w:val="20"/>
                <w:szCs w:val="20"/>
              </w:rPr>
            </w:pPr>
            <w:r w:rsidRPr="009A36D2">
              <w:rPr>
                <w:color w:val="000000"/>
                <w:sz w:val="22"/>
                <w:szCs w:val="22"/>
              </w:rPr>
              <w:t>172</w:t>
            </w:r>
          </w:p>
        </w:tc>
      </w:tr>
      <w:tr w:rsidR="009A36D2" w:rsidRPr="009A36D2" w14:paraId="772C6D4D"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6D37F14B"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39" w:type="pct"/>
            <w:gridSpan w:val="2"/>
            <w:tcBorders>
              <w:top w:val="nil"/>
              <w:left w:val="nil"/>
              <w:bottom w:val="single" w:sz="4" w:space="0" w:color="auto"/>
              <w:right w:val="single" w:sz="4" w:space="0" w:color="auto"/>
            </w:tcBorders>
            <w:shd w:val="clear" w:color="auto" w:fill="auto"/>
            <w:noWrap/>
            <w:vAlign w:val="bottom"/>
          </w:tcPr>
          <w:p w14:paraId="1630C129" w14:textId="77777777" w:rsidR="009A36D2" w:rsidRPr="009A36D2" w:rsidRDefault="009A36D2" w:rsidP="00281A92">
            <w:pPr>
              <w:spacing w:before="0" w:after="0" w:line="240" w:lineRule="auto"/>
              <w:rPr>
                <w:color w:val="auto"/>
                <w:sz w:val="20"/>
                <w:szCs w:val="20"/>
              </w:rPr>
            </w:pPr>
            <w:r w:rsidRPr="009A36D2">
              <w:rPr>
                <w:color w:val="000000"/>
                <w:sz w:val="22"/>
                <w:szCs w:val="22"/>
              </w:rPr>
              <w:t>275</w:t>
            </w:r>
          </w:p>
        </w:tc>
        <w:tc>
          <w:tcPr>
            <w:tcW w:w="642" w:type="pct"/>
            <w:gridSpan w:val="3"/>
            <w:tcBorders>
              <w:top w:val="nil"/>
              <w:left w:val="nil"/>
              <w:bottom w:val="single" w:sz="4" w:space="0" w:color="auto"/>
              <w:right w:val="single" w:sz="4" w:space="0" w:color="auto"/>
            </w:tcBorders>
            <w:shd w:val="clear" w:color="auto" w:fill="auto"/>
            <w:noWrap/>
            <w:vAlign w:val="bottom"/>
          </w:tcPr>
          <w:p w14:paraId="676EFF8F" w14:textId="77777777" w:rsidR="009A36D2" w:rsidRPr="009A36D2" w:rsidRDefault="009A36D2" w:rsidP="00281A92">
            <w:pPr>
              <w:spacing w:before="0" w:after="0" w:line="240" w:lineRule="auto"/>
              <w:rPr>
                <w:color w:val="auto"/>
                <w:sz w:val="20"/>
                <w:szCs w:val="20"/>
              </w:rPr>
            </w:pPr>
            <w:r w:rsidRPr="009A36D2">
              <w:rPr>
                <w:color w:val="000000"/>
                <w:sz w:val="22"/>
                <w:szCs w:val="22"/>
              </w:rPr>
              <w:t>216</w:t>
            </w:r>
          </w:p>
        </w:tc>
        <w:tc>
          <w:tcPr>
            <w:tcW w:w="625" w:type="pct"/>
            <w:gridSpan w:val="3"/>
            <w:tcBorders>
              <w:top w:val="nil"/>
              <w:left w:val="nil"/>
              <w:bottom w:val="single" w:sz="4" w:space="0" w:color="auto"/>
              <w:right w:val="single" w:sz="4" w:space="0" w:color="auto"/>
            </w:tcBorders>
            <w:shd w:val="clear" w:color="auto" w:fill="auto"/>
            <w:noWrap/>
            <w:vAlign w:val="bottom"/>
          </w:tcPr>
          <w:p w14:paraId="284EFD99" w14:textId="77777777" w:rsidR="009A36D2" w:rsidRPr="009A36D2" w:rsidRDefault="009A36D2" w:rsidP="00281A92">
            <w:pPr>
              <w:spacing w:before="0" w:after="0" w:line="240" w:lineRule="auto"/>
              <w:rPr>
                <w:color w:val="auto"/>
                <w:sz w:val="20"/>
                <w:szCs w:val="20"/>
              </w:rPr>
            </w:pPr>
            <w:r w:rsidRPr="009A36D2">
              <w:rPr>
                <w:color w:val="000000"/>
                <w:sz w:val="22"/>
                <w:szCs w:val="22"/>
              </w:rPr>
              <w:t>193</w:t>
            </w:r>
          </w:p>
        </w:tc>
        <w:tc>
          <w:tcPr>
            <w:tcW w:w="644" w:type="pct"/>
            <w:gridSpan w:val="4"/>
            <w:tcBorders>
              <w:top w:val="nil"/>
              <w:left w:val="nil"/>
              <w:bottom w:val="single" w:sz="4" w:space="0" w:color="auto"/>
              <w:right w:val="single" w:sz="4" w:space="0" w:color="auto"/>
            </w:tcBorders>
            <w:shd w:val="clear" w:color="auto" w:fill="auto"/>
            <w:noWrap/>
            <w:vAlign w:val="bottom"/>
          </w:tcPr>
          <w:p w14:paraId="79639897" w14:textId="77777777" w:rsidR="009A36D2" w:rsidRPr="009A36D2" w:rsidRDefault="009A36D2" w:rsidP="00281A92">
            <w:pPr>
              <w:spacing w:before="0" w:after="0" w:line="240" w:lineRule="auto"/>
              <w:rPr>
                <w:color w:val="auto"/>
                <w:sz w:val="20"/>
                <w:szCs w:val="20"/>
              </w:rPr>
            </w:pPr>
            <w:r w:rsidRPr="009A36D2">
              <w:rPr>
                <w:color w:val="000000"/>
                <w:sz w:val="22"/>
                <w:szCs w:val="22"/>
              </w:rPr>
              <w:t>194</w:t>
            </w:r>
          </w:p>
        </w:tc>
        <w:tc>
          <w:tcPr>
            <w:tcW w:w="643" w:type="pct"/>
            <w:gridSpan w:val="2"/>
            <w:tcBorders>
              <w:top w:val="nil"/>
              <w:left w:val="nil"/>
              <w:bottom w:val="single" w:sz="4" w:space="0" w:color="auto"/>
              <w:right w:val="single" w:sz="4" w:space="0" w:color="auto"/>
            </w:tcBorders>
            <w:shd w:val="clear" w:color="auto" w:fill="auto"/>
            <w:noWrap/>
            <w:vAlign w:val="bottom"/>
          </w:tcPr>
          <w:p w14:paraId="7CE1DA07" w14:textId="77777777" w:rsidR="009A36D2" w:rsidRPr="009A36D2" w:rsidRDefault="009A36D2" w:rsidP="00281A92">
            <w:pPr>
              <w:spacing w:before="0" w:after="0" w:line="240" w:lineRule="auto"/>
              <w:rPr>
                <w:color w:val="auto"/>
                <w:sz w:val="20"/>
                <w:szCs w:val="20"/>
              </w:rPr>
            </w:pPr>
            <w:r w:rsidRPr="009A36D2">
              <w:rPr>
                <w:color w:val="000000"/>
                <w:sz w:val="22"/>
                <w:szCs w:val="22"/>
              </w:rPr>
              <w:t>211</w:t>
            </w:r>
          </w:p>
        </w:tc>
        <w:tc>
          <w:tcPr>
            <w:tcW w:w="693" w:type="pct"/>
            <w:gridSpan w:val="2"/>
            <w:tcBorders>
              <w:top w:val="nil"/>
              <w:left w:val="nil"/>
              <w:bottom w:val="single" w:sz="4" w:space="0" w:color="auto"/>
              <w:right w:val="single" w:sz="4" w:space="0" w:color="auto"/>
            </w:tcBorders>
            <w:shd w:val="clear" w:color="auto" w:fill="auto"/>
            <w:noWrap/>
            <w:vAlign w:val="bottom"/>
          </w:tcPr>
          <w:p w14:paraId="7F764470" w14:textId="77777777" w:rsidR="009A36D2" w:rsidRPr="009A36D2" w:rsidRDefault="009A36D2" w:rsidP="00281A92">
            <w:pPr>
              <w:spacing w:before="0" w:after="0" w:line="240" w:lineRule="auto"/>
              <w:rPr>
                <w:color w:val="auto"/>
                <w:sz w:val="20"/>
                <w:szCs w:val="20"/>
              </w:rPr>
            </w:pPr>
            <w:r w:rsidRPr="009A36D2">
              <w:rPr>
                <w:color w:val="000000"/>
                <w:sz w:val="22"/>
                <w:szCs w:val="22"/>
              </w:rPr>
              <w:t>249</w:t>
            </w:r>
          </w:p>
        </w:tc>
      </w:tr>
      <w:tr w:rsidR="009A36D2" w:rsidRPr="009A36D2" w14:paraId="34B9A9DA"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E6A2379"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39" w:type="pct"/>
            <w:gridSpan w:val="2"/>
            <w:tcBorders>
              <w:top w:val="nil"/>
              <w:left w:val="nil"/>
              <w:bottom w:val="single" w:sz="4" w:space="0" w:color="auto"/>
              <w:right w:val="single" w:sz="4" w:space="0" w:color="auto"/>
            </w:tcBorders>
            <w:shd w:val="clear" w:color="auto" w:fill="auto"/>
            <w:noWrap/>
            <w:vAlign w:val="bottom"/>
          </w:tcPr>
          <w:p w14:paraId="48DFC694" w14:textId="77777777" w:rsidR="009A36D2" w:rsidRPr="009A36D2" w:rsidRDefault="009A36D2" w:rsidP="00281A92">
            <w:pPr>
              <w:spacing w:before="0" w:after="0" w:line="240" w:lineRule="auto"/>
              <w:rPr>
                <w:color w:val="auto"/>
                <w:sz w:val="20"/>
                <w:szCs w:val="20"/>
              </w:rPr>
            </w:pPr>
            <w:r w:rsidRPr="009A36D2">
              <w:rPr>
                <w:color w:val="000000"/>
                <w:sz w:val="22"/>
                <w:szCs w:val="22"/>
              </w:rPr>
              <w:t>211</w:t>
            </w:r>
          </w:p>
        </w:tc>
        <w:tc>
          <w:tcPr>
            <w:tcW w:w="642" w:type="pct"/>
            <w:gridSpan w:val="3"/>
            <w:tcBorders>
              <w:top w:val="nil"/>
              <w:left w:val="nil"/>
              <w:bottom w:val="single" w:sz="4" w:space="0" w:color="auto"/>
              <w:right w:val="single" w:sz="4" w:space="0" w:color="auto"/>
            </w:tcBorders>
            <w:shd w:val="clear" w:color="auto" w:fill="auto"/>
            <w:noWrap/>
            <w:vAlign w:val="bottom"/>
          </w:tcPr>
          <w:p w14:paraId="4BD1EBB7" w14:textId="77777777" w:rsidR="009A36D2" w:rsidRPr="009A36D2" w:rsidRDefault="009A36D2" w:rsidP="00281A92">
            <w:pPr>
              <w:spacing w:before="0" w:after="0" w:line="240" w:lineRule="auto"/>
              <w:rPr>
                <w:color w:val="auto"/>
                <w:sz w:val="20"/>
                <w:szCs w:val="20"/>
              </w:rPr>
            </w:pPr>
            <w:r w:rsidRPr="009A36D2">
              <w:rPr>
                <w:color w:val="000000"/>
                <w:sz w:val="22"/>
                <w:szCs w:val="22"/>
              </w:rPr>
              <w:t>178</w:t>
            </w:r>
          </w:p>
        </w:tc>
        <w:tc>
          <w:tcPr>
            <w:tcW w:w="625" w:type="pct"/>
            <w:gridSpan w:val="3"/>
            <w:tcBorders>
              <w:top w:val="nil"/>
              <w:left w:val="nil"/>
              <w:bottom w:val="single" w:sz="4" w:space="0" w:color="auto"/>
              <w:right w:val="single" w:sz="4" w:space="0" w:color="auto"/>
            </w:tcBorders>
            <w:shd w:val="clear" w:color="auto" w:fill="auto"/>
            <w:noWrap/>
            <w:vAlign w:val="bottom"/>
          </w:tcPr>
          <w:p w14:paraId="4F4C9E0D" w14:textId="77777777" w:rsidR="009A36D2" w:rsidRPr="009A36D2" w:rsidRDefault="009A36D2" w:rsidP="00281A92">
            <w:pPr>
              <w:spacing w:before="0" w:after="0" w:line="240" w:lineRule="auto"/>
              <w:rPr>
                <w:color w:val="auto"/>
                <w:sz w:val="20"/>
                <w:szCs w:val="20"/>
              </w:rPr>
            </w:pPr>
            <w:r w:rsidRPr="009A36D2">
              <w:rPr>
                <w:color w:val="000000"/>
                <w:sz w:val="22"/>
                <w:szCs w:val="22"/>
              </w:rPr>
              <w:t>189</w:t>
            </w:r>
          </w:p>
        </w:tc>
        <w:tc>
          <w:tcPr>
            <w:tcW w:w="644" w:type="pct"/>
            <w:gridSpan w:val="4"/>
            <w:tcBorders>
              <w:top w:val="nil"/>
              <w:left w:val="nil"/>
              <w:bottom w:val="single" w:sz="4" w:space="0" w:color="auto"/>
              <w:right w:val="single" w:sz="4" w:space="0" w:color="auto"/>
            </w:tcBorders>
            <w:shd w:val="clear" w:color="auto" w:fill="auto"/>
            <w:noWrap/>
            <w:vAlign w:val="bottom"/>
          </w:tcPr>
          <w:p w14:paraId="49583901" w14:textId="77777777" w:rsidR="009A36D2" w:rsidRPr="009A36D2" w:rsidRDefault="009A36D2" w:rsidP="00281A92">
            <w:pPr>
              <w:spacing w:before="0" w:after="0" w:line="240" w:lineRule="auto"/>
              <w:rPr>
                <w:color w:val="auto"/>
                <w:sz w:val="20"/>
                <w:szCs w:val="20"/>
              </w:rPr>
            </w:pPr>
            <w:r w:rsidRPr="009A36D2">
              <w:rPr>
                <w:color w:val="000000"/>
                <w:sz w:val="22"/>
                <w:szCs w:val="22"/>
              </w:rPr>
              <w:t>177</w:t>
            </w:r>
          </w:p>
        </w:tc>
        <w:tc>
          <w:tcPr>
            <w:tcW w:w="643" w:type="pct"/>
            <w:gridSpan w:val="2"/>
            <w:tcBorders>
              <w:top w:val="nil"/>
              <w:left w:val="nil"/>
              <w:bottom w:val="single" w:sz="4" w:space="0" w:color="auto"/>
              <w:right w:val="single" w:sz="4" w:space="0" w:color="auto"/>
            </w:tcBorders>
            <w:shd w:val="clear" w:color="auto" w:fill="auto"/>
            <w:noWrap/>
            <w:vAlign w:val="bottom"/>
          </w:tcPr>
          <w:p w14:paraId="588FC4DC" w14:textId="77777777" w:rsidR="009A36D2" w:rsidRPr="009A36D2" w:rsidRDefault="009A36D2" w:rsidP="00281A92">
            <w:pPr>
              <w:spacing w:before="0" w:after="0" w:line="240" w:lineRule="auto"/>
              <w:rPr>
                <w:color w:val="auto"/>
                <w:sz w:val="20"/>
                <w:szCs w:val="20"/>
              </w:rPr>
            </w:pPr>
            <w:r w:rsidRPr="009A36D2">
              <w:rPr>
                <w:color w:val="000000"/>
                <w:sz w:val="22"/>
                <w:szCs w:val="22"/>
              </w:rPr>
              <w:t>180</w:t>
            </w:r>
          </w:p>
        </w:tc>
        <w:tc>
          <w:tcPr>
            <w:tcW w:w="693" w:type="pct"/>
            <w:gridSpan w:val="2"/>
            <w:tcBorders>
              <w:top w:val="nil"/>
              <w:left w:val="nil"/>
              <w:bottom w:val="single" w:sz="4" w:space="0" w:color="auto"/>
              <w:right w:val="single" w:sz="4" w:space="0" w:color="auto"/>
            </w:tcBorders>
            <w:shd w:val="clear" w:color="auto" w:fill="auto"/>
            <w:noWrap/>
            <w:vAlign w:val="bottom"/>
          </w:tcPr>
          <w:p w14:paraId="1E802289" w14:textId="77777777" w:rsidR="009A36D2" w:rsidRPr="009A36D2" w:rsidRDefault="009A36D2" w:rsidP="00281A92">
            <w:pPr>
              <w:spacing w:before="0" w:after="0" w:line="240" w:lineRule="auto"/>
              <w:rPr>
                <w:color w:val="auto"/>
                <w:sz w:val="20"/>
                <w:szCs w:val="20"/>
              </w:rPr>
            </w:pPr>
            <w:r w:rsidRPr="009A36D2">
              <w:rPr>
                <w:color w:val="000000"/>
                <w:sz w:val="22"/>
                <w:szCs w:val="22"/>
              </w:rPr>
              <w:t>210</w:t>
            </w:r>
          </w:p>
        </w:tc>
      </w:tr>
      <w:tr w:rsidR="009A36D2" w:rsidRPr="009A36D2" w14:paraId="5C60A372"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51B5DFFE"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39" w:type="pct"/>
            <w:gridSpan w:val="2"/>
            <w:tcBorders>
              <w:top w:val="nil"/>
              <w:left w:val="nil"/>
              <w:bottom w:val="single" w:sz="4" w:space="0" w:color="auto"/>
              <w:right w:val="single" w:sz="4" w:space="0" w:color="auto"/>
            </w:tcBorders>
            <w:shd w:val="clear" w:color="auto" w:fill="auto"/>
            <w:noWrap/>
            <w:vAlign w:val="bottom"/>
          </w:tcPr>
          <w:p w14:paraId="495EFE45" w14:textId="77777777" w:rsidR="009A36D2" w:rsidRPr="009A36D2" w:rsidRDefault="009A36D2" w:rsidP="00281A92">
            <w:pPr>
              <w:spacing w:before="0" w:after="0" w:line="240" w:lineRule="auto"/>
              <w:rPr>
                <w:color w:val="auto"/>
                <w:sz w:val="20"/>
                <w:szCs w:val="20"/>
              </w:rPr>
            </w:pPr>
            <w:r w:rsidRPr="009A36D2">
              <w:rPr>
                <w:color w:val="000000"/>
                <w:sz w:val="22"/>
                <w:szCs w:val="22"/>
              </w:rPr>
              <w:t>225</w:t>
            </w:r>
          </w:p>
        </w:tc>
        <w:tc>
          <w:tcPr>
            <w:tcW w:w="642" w:type="pct"/>
            <w:gridSpan w:val="3"/>
            <w:tcBorders>
              <w:top w:val="nil"/>
              <w:left w:val="nil"/>
              <w:bottom w:val="single" w:sz="4" w:space="0" w:color="auto"/>
              <w:right w:val="single" w:sz="4" w:space="0" w:color="auto"/>
            </w:tcBorders>
            <w:shd w:val="clear" w:color="auto" w:fill="auto"/>
            <w:noWrap/>
            <w:vAlign w:val="bottom"/>
          </w:tcPr>
          <w:p w14:paraId="5C4D8597" w14:textId="77777777" w:rsidR="009A36D2" w:rsidRPr="009A36D2" w:rsidRDefault="009A36D2" w:rsidP="00281A92">
            <w:pPr>
              <w:spacing w:before="0" w:after="0" w:line="240" w:lineRule="auto"/>
              <w:rPr>
                <w:color w:val="auto"/>
                <w:sz w:val="20"/>
                <w:szCs w:val="20"/>
              </w:rPr>
            </w:pPr>
            <w:r w:rsidRPr="009A36D2">
              <w:rPr>
                <w:color w:val="000000"/>
                <w:sz w:val="22"/>
                <w:szCs w:val="22"/>
              </w:rPr>
              <w:t>227</w:t>
            </w:r>
          </w:p>
        </w:tc>
        <w:tc>
          <w:tcPr>
            <w:tcW w:w="625" w:type="pct"/>
            <w:gridSpan w:val="3"/>
            <w:tcBorders>
              <w:top w:val="nil"/>
              <w:left w:val="nil"/>
              <w:bottom w:val="single" w:sz="4" w:space="0" w:color="auto"/>
              <w:right w:val="single" w:sz="4" w:space="0" w:color="auto"/>
            </w:tcBorders>
            <w:shd w:val="clear" w:color="auto" w:fill="auto"/>
            <w:noWrap/>
            <w:vAlign w:val="bottom"/>
          </w:tcPr>
          <w:p w14:paraId="250ADA9B" w14:textId="77777777" w:rsidR="009A36D2" w:rsidRPr="009A36D2" w:rsidRDefault="009A36D2" w:rsidP="00281A92">
            <w:pPr>
              <w:spacing w:before="0" w:after="0" w:line="240" w:lineRule="auto"/>
              <w:rPr>
                <w:color w:val="auto"/>
                <w:sz w:val="20"/>
                <w:szCs w:val="20"/>
              </w:rPr>
            </w:pPr>
            <w:r w:rsidRPr="009A36D2">
              <w:rPr>
                <w:color w:val="000000"/>
                <w:sz w:val="22"/>
                <w:szCs w:val="22"/>
              </w:rPr>
              <w:t>239</w:t>
            </w:r>
          </w:p>
        </w:tc>
        <w:tc>
          <w:tcPr>
            <w:tcW w:w="644" w:type="pct"/>
            <w:gridSpan w:val="4"/>
            <w:tcBorders>
              <w:top w:val="nil"/>
              <w:left w:val="nil"/>
              <w:bottom w:val="single" w:sz="4" w:space="0" w:color="auto"/>
              <w:right w:val="single" w:sz="4" w:space="0" w:color="auto"/>
            </w:tcBorders>
            <w:shd w:val="clear" w:color="auto" w:fill="auto"/>
            <w:noWrap/>
            <w:vAlign w:val="bottom"/>
          </w:tcPr>
          <w:p w14:paraId="2C71439A" w14:textId="77777777" w:rsidR="009A36D2" w:rsidRPr="009A36D2" w:rsidRDefault="009A36D2" w:rsidP="00281A92">
            <w:pPr>
              <w:spacing w:before="0" w:after="0" w:line="240" w:lineRule="auto"/>
              <w:rPr>
                <w:color w:val="auto"/>
                <w:sz w:val="20"/>
                <w:szCs w:val="20"/>
              </w:rPr>
            </w:pPr>
            <w:r w:rsidRPr="009A36D2">
              <w:rPr>
                <w:color w:val="000000"/>
                <w:sz w:val="22"/>
                <w:szCs w:val="22"/>
              </w:rPr>
              <w:t>203</w:t>
            </w:r>
          </w:p>
        </w:tc>
        <w:tc>
          <w:tcPr>
            <w:tcW w:w="643" w:type="pct"/>
            <w:gridSpan w:val="2"/>
            <w:tcBorders>
              <w:top w:val="nil"/>
              <w:left w:val="nil"/>
              <w:bottom w:val="single" w:sz="4" w:space="0" w:color="auto"/>
              <w:right w:val="single" w:sz="4" w:space="0" w:color="auto"/>
            </w:tcBorders>
            <w:shd w:val="clear" w:color="auto" w:fill="auto"/>
            <w:noWrap/>
            <w:vAlign w:val="bottom"/>
          </w:tcPr>
          <w:p w14:paraId="103B35E0" w14:textId="77777777" w:rsidR="009A36D2" w:rsidRPr="009A36D2" w:rsidRDefault="009A36D2" w:rsidP="00281A92">
            <w:pPr>
              <w:spacing w:before="0" w:after="0" w:line="240" w:lineRule="auto"/>
              <w:rPr>
                <w:color w:val="auto"/>
                <w:sz w:val="20"/>
                <w:szCs w:val="20"/>
              </w:rPr>
            </w:pPr>
            <w:r w:rsidRPr="009A36D2">
              <w:rPr>
                <w:color w:val="000000"/>
                <w:sz w:val="22"/>
                <w:szCs w:val="22"/>
              </w:rPr>
              <w:t>219</w:t>
            </w:r>
          </w:p>
        </w:tc>
        <w:tc>
          <w:tcPr>
            <w:tcW w:w="693" w:type="pct"/>
            <w:gridSpan w:val="2"/>
            <w:tcBorders>
              <w:top w:val="nil"/>
              <w:left w:val="nil"/>
              <w:bottom w:val="single" w:sz="4" w:space="0" w:color="auto"/>
              <w:right w:val="single" w:sz="4" w:space="0" w:color="auto"/>
            </w:tcBorders>
            <w:shd w:val="clear" w:color="auto" w:fill="auto"/>
            <w:noWrap/>
            <w:vAlign w:val="bottom"/>
          </w:tcPr>
          <w:p w14:paraId="4A8E9E6D" w14:textId="77777777" w:rsidR="009A36D2" w:rsidRPr="009A36D2" w:rsidRDefault="009A36D2" w:rsidP="00281A92">
            <w:pPr>
              <w:spacing w:before="0" w:after="0" w:line="240" w:lineRule="auto"/>
              <w:rPr>
                <w:color w:val="auto"/>
                <w:sz w:val="20"/>
                <w:szCs w:val="20"/>
              </w:rPr>
            </w:pPr>
            <w:r w:rsidRPr="009A36D2">
              <w:rPr>
                <w:color w:val="000000"/>
                <w:sz w:val="22"/>
                <w:szCs w:val="22"/>
              </w:rPr>
              <w:t>189</w:t>
            </w:r>
          </w:p>
        </w:tc>
      </w:tr>
      <w:tr w:rsidR="009A36D2" w:rsidRPr="009A36D2" w14:paraId="4AD9B28A"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26B432E"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39" w:type="pct"/>
            <w:gridSpan w:val="2"/>
            <w:tcBorders>
              <w:top w:val="nil"/>
              <w:left w:val="nil"/>
              <w:bottom w:val="single" w:sz="4" w:space="0" w:color="auto"/>
              <w:right w:val="single" w:sz="4" w:space="0" w:color="auto"/>
            </w:tcBorders>
            <w:shd w:val="clear" w:color="auto" w:fill="auto"/>
            <w:noWrap/>
            <w:vAlign w:val="bottom"/>
          </w:tcPr>
          <w:p w14:paraId="67FCEB5D" w14:textId="77777777" w:rsidR="009A36D2" w:rsidRPr="009A36D2" w:rsidRDefault="009A36D2" w:rsidP="00281A92">
            <w:pPr>
              <w:spacing w:before="0" w:after="0" w:line="240" w:lineRule="auto"/>
              <w:rPr>
                <w:color w:val="auto"/>
                <w:sz w:val="20"/>
                <w:szCs w:val="20"/>
              </w:rPr>
            </w:pPr>
            <w:r w:rsidRPr="009A36D2">
              <w:rPr>
                <w:color w:val="000000"/>
                <w:sz w:val="22"/>
                <w:szCs w:val="22"/>
              </w:rPr>
              <w:t>214</w:t>
            </w:r>
          </w:p>
        </w:tc>
        <w:tc>
          <w:tcPr>
            <w:tcW w:w="642" w:type="pct"/>
            <w:gridSpan w:val="3"/>
            <w:tcBorders>
              <w:top w:val="nil"/>
              <w:left w:val="nil"/>
              <w:bottom w:val="single" w:sz="4" w:space="0" w:color="auto"/>
              <w:right w:val="single" w:sz="4" w:space="0" w:color="auto"/>
            </w:tcBorders>
            <w:shd w:val="clear" w:color="auto" w:fill="auto"/>
            <w:noWrap/>
            <w:vAlign w:val="bottom"/>
          </w:tcPr>
          <w:p w14:paraId="6CDE3CB4" w14:textId="77777777" w:rsidR="009A36D2" w:rsidRPr="009A36D2" w:rsidRDefault="009A36D2" w:rsidP="00281A92">
            <w:pPr>
              <w:spacing w:before="0" w:after="0" w:line="240" w:lineRule="auto"/>
              <w:rPr>
                <w:color w:val="auto"/>
                <w:sz w:val="20"/>
                <w:szCs w:val="20"/>
              </w:rPr>
            </w:pPr>
            <w:r w:rsidRPr="009A36D2">
              <w:rPr>
                <w:color w:val="000000"/>
                <w:sz w:val="22"/>
                <w:szCs w:val="22"/>
              </w:rPr>
              <w:t>197</w:t>
            </w:r>
          </w:p>
        </w:tc>
        <w:tc>
          <w:tcPr>
            <w:tcW w:w="625" w:type="pct"/>
            <w:gridSpan w:val="3"/>
            <w:tcBorders>
              <w:top w:val="nil"/>
              <w:left w:val="nil"/>
              <w:bottom w:val="single" w:sz="4" w:space="0" w:color="auto"/>
              <w:right w:val="single" w:sz="4" w:space="0" w:color="auto"/>
            </w:tcBorders>
            <w:shd w:val="clear" w:color="auto" w:fill="auto"/>
            <w:noWrap/>
            <w:vAlign w:val="bottom"/>
          </w:tcPr>
          <w:p w14:paraId="24CBC824" w14:textId="77777777" w:rsidR="009A36D2" w:rsidRPr="009A36D2" w:rsidRDefault="009A36D2" w:rsidP="00281A92">
            <w:pPr>
              <w:spacing w:before="0" w:after="0" w:line="240" w:lineRule="auto"/>
              <w:rPr>
                <w:color w:val="auto"/>
                <w:sz w:val="20"/>
                <w:szCs w:val="20"/>
              </w:rPr>
            </w:pPr>
            <w:r w:rsidRPr="009A36D2">
              <w:rPr>
                <w:color w:val="000000"/>
                <w:sz w:val="22"/>
                <w:szCs w:val="22"/>
              </w:rPr>
              <w:t>172</w:t>
            </w:r>
          </w:p>
        </w:tc>
        <w:tc>
          <w:tcPr>
            <w:tcW w:w="644" w:type="pct"/>
            <w:gridSpan w:val="4"/>
            <w:tcBorders>
              <w:top w:val="nil"/>
              <w:left w:val="nil"/>
              <w:bottom w:val="single" w:sz="4" w:space="0" w:color="auto"/>
              <w:right w:val="single" w:sz="4" w:space="0" w:color="auto"/>
            </w:tcBorders>
            <w:shd w:val="clear" w:color="auto" w:fill="auto"/>
            <w:noWrap/>
            <w:vAlign w:val="bottom"/>
          </w:tcPr>
          <w:p w14:paraId="38C9E592" w14:textId="77777777" w:rsidR="009A36D2" w:rsidRPr="009A36D2" w:rsidRDefault="009A36D2" w:rsidP="00281A92">
            <w:pPr>
              <w:spacing w:before="0" w:after="0" w:line="240" w:lineRule="auto"/>
              <w:rPr>
                <w:color w:val="auto"/>
                <w:sz w:val="20"/>
                <w:szCs w:val="20"/>
              </w:rPr>
            </w:pPr>
            <w:r w:rsidRPr="009A36D2">
              <w:rPr>
                <w:color w:val="000000"/>
                <w:sz w:val="22"/>
                <w:szCs w:val="22"/>
              </w:rPr>
              <w:t>207</w:t>
            </w:r>
          </w:p>
        </w:tc>
        <w:tc>
          <w:tcPr>
            <w:tcW w:w="643" w:type="pct"/>
            <w:gridSpan w:val="2"/>
            <w:tcBorders>
              <w:top w:val="nil"/>
              <w:left w:val="nil"/>
              <w:bottom w:val="single" w:sz="4" w:space="0" w:color="auto"/>
              <w:right w:val="single" w:sz="4" w:space="0" w:color="auto"/>
            </w:tcBorders>
            <w:shd w:val="clear" w:color="auto" w:fill="auto"/>
            <w:noWrap/>
            <w:vAlign w:val="bottom"/>
          </w:tcPr>
          <w:p w14:paraId="3478D95F" w14:textId="77777777" w:rsidR="009A36D2" w:rsidRPr="009A36D2" w:rsidRDefault="009A36D2" w:rsidP="00281A92">
            <w:pPr>
              <w:spacing w:before="0" w:after="0" w:line="240" w:lineRule="auto"/>
              <w:rPr>
                <w:color w:val="auto"/>
                <w:sz w:val="20"/>
                <w:szCs w:val="20"/>
              </w:rPr>
            </w:pPr>
            <w:r w:rsidRPr="009A36D2">
              <w:rPr>
                <w:color w:val="000000"/>
                <w:sz w:val="22"/>
                <w:szCs w:val="22"/>
              </w:rPr>
              <w:t>188</w:t>
            </w:r>
          </w:p>
        </w:tc>
        <w:tc>
          <w:tcPr>
            <w:tcW w:w="693" w:type="pct"/>
            <w:gridSpan w:val="2"/>
            <w:tcBorders>
              <w:top w:val="nil"/>
              <w:left w:val="nil"/>
              <w:bottom w:val="single" w:sz="4" w:space="0" w:color="auto"/>
              <w:right w:val="single" w:sz="4" w:space="0" w:color="auto"/>
            </w:tcBorders>
            <w:shd w:val="clear" w:color="auto" w:fill="auto"/>
            <w:noWrap/>
            <w:vAlign w:val="bottom"/>
          </w:tcPr>
          <w:p w14:paraId="1B37E85B" w14:textId="77777777" w:rsidR="009A36D2" w:rsidRPr="009A36D2" w:rsidRDefault="009A36D2" w:rsidP="00281A92">
            <w:pPr>
              <w:spacing w:before="0" w:after="0" w:line="240" w:lineRule="auto"/>
              <w:rPr>
                <w:color w:val="auto"/>
                <w:sz w:val="20"/>
                <w:szCs w:val="20"/>
              </w:rPr>
            </w:pPr>
            <w:r w:rsidRPr="009A36D2">
              <w:rPr>
                <w:color w:val="000000"/>
                <w:sz w:val="22"/>
                <w:szCs w:val="22"/>
              </w:rPr>
              <w:t>259</w:t>
            </w:r>
          </w:p>
        </w:tc>
      </w:tr>
      <w:tr w:rsidR="009A36D2" w:rsidRPr="009A36D2" w14:paraId="3C2FBC9B"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1CA33CEA"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39" w:type="pct"/>
            <w:gridSpan w:val="2"/>
            <w:tcBorders>
              <w:top w:val="nil"/>
              <w:left w:val="nil"/>
              <w:bottom w:val="single" w:sz="4" w:space="0" w:color="auto"/>
              <w:right w:val="single" w:sz="4" w:space="0" w:color="auto"/>
            </w:tcBorders>
            <w:shd w:val="clear" w:color="auto" w:fill="auto"/>
            <w:noWrap/>
            <w:vAlign w:val="bottom"/>
          </w:tcPr>
          <w:p w14:paraId="3D649C3F" w14:textId="77777777" w:rsidR="009A36D2" w:rsidRPr="009A36D2" w:rsidRDefault="009A36D2" w:rsidP="00281A92">
            <w:pPr>
              <w:spacing w:before="0" w:after="0" w:line="240" w:lineRule="auto"/>
              <w:rPr>
                <w:color w:val="auto"/>
                <w:sz w:val="20"/>
                <w:szCs w:val="20"/>
              </w:rPr>
            </w:pPr>
            <w:r w:rsidRPr="009A36D2">
              <w:rPr>
                <w:color w:val="000000"/>
                <w:sz w:val="22"/>
                <w:szCs w:val="22"/>
              </w:rPr>
              <w:t>248</w:t>
            </w:r>
          </w:p>
        </w:tc>
        <w:tc>
          <w:tcPr>
            <w:tcW w:w="642" w:type="pct"/>
            <w:gridSpan w:val="3"/>
            <w:tcBorders>
              <w:top w:val="nil"/>
              <w:left w:val="nil"/>
              <w:bottom w:val="single" w:sz="4" w:space="0" w:color="auto"/>
              <w:right w:val="single" w:sz="4" w:space="0" w:color="auto"/>
            </w:tcBorders>
            <w:shd w:val="clear" w:color="auto" w:fill="auto"/>
            <w:noWrap/>
            <w:vAlign w:val="bottom"/>
          </w:tcPr>
          <w:p w14:paraId="57CB026A" w14:textId="77777777" w:rsidR="009A36D2" w:rsidRPr="009A36D2" w:rsidRDefault="009A36D2" w:rsidP="00281A92">
            <w:pPr>
              <w:spacing w:before="0" w:after="0" w:line="240" w:lineRule="auto"/>
              <w:rPr>
                <w:color w:val="auto"/>
                <w:sz w:val="20"/>
                <w:szCs w:val="20"/>
              </w:rPr>
            </w:pPr>
            <w:r w:rsidRPr="009A36D2">
              <w:rPr>
                <w:color w:val="000000"/>
                <w:sz w:val="22"/>
                <w:szCs w:val="22"/>
              </w:rPr>
              <w:t>174</w:t>
            </w:r>
          </w:p>
        </w:tc>
        <w:tc>
          <w:tcPr>
            <w:tcW w:w="625" w:type="pct"/>
            <w:gridSpan w:val="3"/>
            <w:tcBorders>
              <w:top w:val="nil"/>
              <w:left w:val="nil"/>
              <w:bottom w:val="single" w:sz="4" w:space="0" w:color="auto"/>
              <w:right w:val="single" w:sz="4" w:space="0" w:color="auto"/>
            </w:tcBorders>
            <w:shd w:val="clear" w:color="auto" w:fill="auto"/>
            <w:noWrap/>
            <w:vAlign w:val="bottom"/>
          </w:tcPr>
          <w:p w14:paraId="22287B12" w14:textId="77777777" w:rsidR="009A36D2" w:rsidRPr="009A36D2" w:rsidRDefault="009A36D2" w:rsidP="00281A92">
            <w:pPr>
              <w:spacing w:before="0" w:after="0" w:line="240" w:lineRule="auto"/>
              <w:rPr>
                <w:color w:val="auto"/>
                <w:sz w:val="20"/>
                <w:szCs w:val="20"/>
              </w:rPr>
            </w:pPr>
            <w:r w:rsidRPr="009A36D2">
              <w:rPr>
                <w:color w:val="000000"/>
                <w:sz w:val="22"/>
                <w:szCs w:val="22"/>
              </w:rPr>
              <w:t>183</w:t>
            </w:r>
          </w:p>
        </w:tc>
        <w:tc>
          <w:tcPr>
            <w:tcW w:w="644" w:type="pct"/>
            <w:gridSpan w:val="4"/>
            <w:tcBorders>
              <w:top w:val="nil"/>
              <w:left w:val="nil"/>
              <w:bottom w:val="single" w:sz="4" w:space="0" w:color="auto"/>
              <w:right w:val="single" w:sz="4" w:space="0" w:color="auto"/>
            </w:tcBorders>
            <w:shd w:val="clear" w:color="auto" w:fill="auto"/>
            <w:noWrap/>
            <w:vAlign w:val="bottom"/>
          </w:tcPr>
          <w:p w14:paraId="06061DDC" w14:textId="77777777" w:rsidR="009A36D2" w:rsidRPr="009A36D2" w:rsidRDefault="009A36D2" w:rsidP="00281A92">
            <w:pPr>
              <w:spacing w:before="0" w:after="0" w:line="240" w:lineRule="auto"/>
              <w:rPr>
                <w:color w:val="auto"/>
                <w:sz w:val="20"/>
                <w:szCs w:val="20"/>
              </w:rPr>
            </w:pPr>
            <w:r w:rsidRPr="009A36D2">
              <w:rPr>
                <w:color w:val="000000"/>
                <w:sz w:val="22"/>
                <w:szCs w:val="22"/>
              </w:rPr>
              <w:t>206</w:t>
            </w:r>
          </w:p>
        </w:tc>
        <w:tc>
          <w:tcPr>
            <w:tcW w:w="643" w:type="pct"/>
            <w:gridSpan w:val="2"/>
            <w:tcBorders>
              <w:top w:val="nil"/>
              <w:left w:val="nil"/>
              <w:bottom w:val="single" w:sz="4" w:space="0" w:color="auto"/>
              <w:right w:val="single" w:sz="4" w:space="0" w:color="auto"/>
            </w:tcBorders>
            <w:shd w:val="clear" w:color="auto" w:fill="auto"/>
            <w:noWrap/>
            <w:vAlign w:val="bottom"/>
          </w:tcPr>
          <w:p w14:paraId="33B43CDE" w14:textId="77777777" w:rsidR="009A36D2" w:rsidRPr="009A36D2" w:rsidRDefault="009A36D2" w:rsidP="00281A92">
            <w:pPr>
              <w:spacing w:before="0" w:after="0" w:line="240" w:lineRule="auto"/>
              <w:rPr>
                <w:color w:val="auto"/>
                <w:sz w:val="20"/>
                <w:szCs w:val="20"/>
              </w:rPr>
            </w:pPr>
            <w:r w:rsidRPr="009A36D2">
              <w:rPr>
                <w:color w:val="000000"/>
                <w:sz w:val="22"/>
                <w:szCs w:val="22"/>
              </w:rPr>
              <w:t>187</w:t>
            </w:r>
          </w:p>
        </w:tc>
        <w:tc>
          <w:tcPr>
            <w:tcW w:w="693" w:type="pct"/>
            <w:gridSpan w:val="2"/>
            <w:tcBorders>
              <w:top w:val="nil"/>
              <w:left w:val="nil"/>
              <w:bottom w:val="single" w:sz="4" w:space="0" w:color="auto"/>
              <w:right w:val="single" w:sz="4" w:space="0" w:color="auto"/>
            </w:tcBorders>
            <w:shd w:val="clear" w:color="auto" w:fill="auto"/>
            <w:noWrap/>
            <w:vAlign w:val="bottom"/>
          </w:tcPr>
          <w:p w14:paraId="248FD01D" w14:textId="77777777" w:rsidR="009A36D2" w:rsidRPr="009A36D2" w:rsidRDefault="009A36D2" w:rsidP="00281A92">
            <w:pPr>
              <w:spacing w:before="0" w:after="0" w:line="240" w:lineRule="auto"/>
              <w:rPr>
                <w:color w:val="auto"/>
                <w:sz w:val="20"/>
                <w:szCs w:val="20"/>
              </w:rPr>
            </w:pPr>
            <w:r w:rsidRPr="009A36D2">
              <w:rPr>
                <w:color w:val="000000"/>
                <w:sz w:val="22"/>
                <w:szCs w:val="22"/>
              </w:rPr>
              <w:t>258</w:t>
            </w:r>
          </w:p>
        </w:tc>
      </w:tr>
      <w:tr w:rsidR="009A36D2" w:rsidRPr="009A36D2" w14:paraId="61CA4E41"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0E635882"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39" w:type="pct"/>
            <w:gridSpan w:val="2"/>
            <w:tcBorders>
              <w:top w:val="nil"/>
              <w:left w:val="nil"/>
              <w:bottom w:val="single" w:sz="4" w:space="0" w:color="auto"/>
              <w:right w:val="single" w:sz="4" w:space="0" w:color="auto"/>
            </w:tcBorders>
            <w:shd w:val="clear" w:color="auto" w:fill="auto"/>
            <w:noWrap/>
            <w:vAlign w:val="bottom"/>
          </w:tcPr>
          <w:p w14:paraId="144730AC"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c>
          <w:tcPr>
            <w:tcW w:w="642" w:type="pct"/>
            <w:gridSpan w:val="3"/>
            <w:tcBorders>
              <w:top w:val="nil"/>
              <w:left w:val="nil"/>
              <w:bottom w:val="single" w:sz="4" w:space="0" w:color="auto"/>
              <w:right w:val="single" w:sz="4" w:space="0" w:color="auto"/>
            </w:tcBorders>
            <w:shd w:val="clear" w:color="auto" w:fill="auto"/>
            <w:noWrap/>
            <w:vAlign w:val="bottom"/>
          </w:tcPr>
          <w:p w14:paraId="0A22E7DE" w14:textId="77777777" w:rsidR="009A36D2" w:rsidRPr="009A36D2" w:rsidRDefault="009A36D2" w:rsidP="00281A92">
            <w:pPr>
              <w:spacing w:before="0" w:after="0" w:line="240" w:lineRule="auto"/>
              <w:rPr>
                <w:color w:val="auto"/>
                <w:sz w:val="20"/>
                <w:szCs w:val="20"/>
              </w:rPr>
            </w:pPr>
            <w:r w:rsidRPr="009A36D2">
              <w:rPr>
                <w:color w:val="000000"/>
                <w:sz w:val="22"/>
                <w:szCs w:val="22"/>
              </w:rPr>
              <w:t>180</w:t>
            </w:r>
          </w:p>
        </w:tc>
        <w:tc>
          <w:tcPr>
            <w:tcW w:w="625" w:type="pct"/>
            <w:gridSpan w:val="3"/>
            <w:tcBorders>
              <w:top w:val="nil"/>
              <w:left w:val="nil"/>
              <w:bottom w:val="single" w:sz="4" w:space="0" w:color="auto"/>
              <w:right w:val="single" w:sz="4" w:space="0" w:color="auto"/>
            </w:tcBorders>
            <w:shd w:val="clear" w:color="auto" w:fill="auto"/>
            <w:noWrap/>
            <w:vAlign w:val="bottom"/>
          </w:tcPr>
          <w:p w14:paraId="7825D7A8" w14:textId="77777777" w:rsidR="009A36D2" w:rsidRPr="009A36D2" w:rsidRDefault="009A36D2" w:rsidP="00281A92">
            <w:pPr>
              <w:spacing w:before="0" w:after="0" w:line="240" w:lineRule="auto"/>
              <w:rPr>
                <w:color w:val="auto"/>
                <w:sz w:val="20"/>
                <w:szCs w:val="20"/>
              </w:rPr>
            </w:pPr>
            <w:r w:rsidRPr="009A36D2">
              <w:rPr>
                <w:color w:val="000000"/>
                <w:sz w:val="22"/>
                <w:szCs w:val="22"/>
              </w:rPr>
              <w:t>182</w:t>
            </w:r>
          </w:p>
        </w:tc>
        <w:tc>
          <w:tcPr>
            <w:tcW w:w="644" w:type="pct"/>
            <w:gridSpan w:val="4"/>
            <w:tcBorders>
              <w:top w:val="nil"/>
              <w:left w:val="nil"/>
              <w:bottom w:val="single" w:sz="4" w:space="0" w:color="auto"/>
              <w:right w:val="single" w:sz="4" w:space="0" w:color="auto"/>
            </w:tcBorders>
            <w:shd w:val="clear" w:color="auto" w:fill="auto"/>
            <w:noWrap/>
            <w:vAlign w:val="bottom"/>
          </w:tcPr>
          <w:p w14:paraId="5ECF4815" w14:textId="77777777" w:rsidR="009A36D2" w:rsidRPr="009A36D2" w:rsidRDefault="009A36D2" w:rsidP="00281A92">
            <w:pPr>
              <w:spacing w:before="0" w:after="0" w:line="240" w:lineRule="auto"/>
              <w:rPr>
                <w:color w:val="auto"/>
                <w:sz w:val="20"/>
                <w:szCs w:val="20"/>
              </w:rPr>
            </w:pPr>
            <w:r w:rsidRPr="009A36D2">
              <w:rPr>
                <w:color w:val="000000"/>
                <w:sz w:val="22"/>
                <w:szCs w:val="22"/>
              </w:rPr>
              <w:t>179</w:t>
            </w:r>
          </w:p>
        </w:tc>
        <w:tc>
          <w:tcPr>
            <w:tcW w:w="643" w:type="pct"/>
            <w:gridSpan w:val="2"/>
            <w:tcBorders>
              <w:top w:val="nil"/>
              <w:left w:val="nil"/>
              <w:bottom w:val="single" w:sz="4" w:space="0" w:color="auto"/>
              <w:right w:val="single" w:sz="4" w:space="0" w:color="auto"/>
            </w:tcBorders>
            <w:shd w:val="clear" w:color="auto" w:fill="auto"/>
            <w:noWrap/>
            <w:vAlign w:val="bottom"/>
          </w:tcPr>
          <w:p w14:paraId="510D37CD" w14:textId="77777777" w:rsidR="009A36D2" w:rsidRPr="009A36D2" w:rsidRDefault="009A36D2" w:rsidP="00281A92">
            <w:pPr>
              <w:spacing w:before="0" w:after="0" w:line="240" w:lineRule="auto"/>
              <w:rPr>
                <w:color w:val="auto"/>
                <w:sz w:val="20"/>
                <w:szCs w:val="20"/>
              </w:rPr>
            </w:pPr>
            <w:r w:rsidRPr="009A36D2">
              <w:rPr>
                <w:color w:val="000000"/>
                <w:sz w:val="22"/>
                <w:szCs w:val="22"/>
              </w:rPr>
              <w:t>192</w:t>
            </w:r>
          </w:p>
        </w:tc>
        <w:tc>
          <w:tcPr>
            <w:tcW w:w="693" w:type="pct"/>
            <w:gridSpan w:val="2"/>
            <w:tcBorders>
              <w:top w:val="nil"/>
              <w:left w:val="nil"/>
              <w:bottom w:val="single" w:sz="4" w:space="0" w:color="auto"/>
              <w:right w:val="single" w:sz="4" w:space="0" w:color="auto"/>
            </w:tcBorders>
            <w:shd w:val="clear" w:color="auto" w:fill="auto"/>
            <w:noWrap/>
            <w:vAlign w:val="bottom"/>
          </w:tcPr>
          <w:p w14:paraId="03229C14" w14:textId="77777777" w:rsidR="009A36D2" w:rsidRPr="009A36D2" w:rsidRDefault="009A36D2" w:rsidP="00281A92">
            <w:pPr>
              <w:spacing w:before="0" w:after="0" w:line="240" w:lineRule="auto"/>
              <w:rPr>
                <w:color w:val="auto"/>
                <w:sz w:val="20"/>
                <w:szCs w:val="20"/>
              </w:rPr>
            </w:pPr>
            <w:r w:rsidRPr="009A36D2">
              <w:rPr>
                <w:color w:val="000000"/>
                <w:sz w:val="22"/>
                <w:szCs w:val="22"/>
              </w:rPr>
              <w:t>215</w:t>
            </w:r>
          </w:p>
        </w:tc>
      </w:tr>
      <w:tr w:rsidR="009A36D2" w:rsidRPr="009A36D2" w14:paraId="38A207B4"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29290D27"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39" w:type="pct"/>
            <w:gridSpan w:val="2"/>
            <w:tcBorders>
              <w:top w:val="nil"/>
              <w:left w:val="nil"/>
              <w:bottom w:val="single" w:sz="4" w:space="0" w:color="auto"/>
              <w:right w:val="single" w:sz="4" w:space="0" w:color="auto"/>
            </w:tcBorders>
            <w:shd w:val="clear" w:color="auto" w:fill="auto"/>
            <w:noWrap/>
            <w:vAlign w:val="bottom"/>
          </w:tcPr>
          <w:p w14:paraId="26EA4D1D" w14:textId="77777777" w:rsidR="009A36D2" w:rsidRPr="009A36D2" w:rsidRDefault="009A36D2" w:rsidP="00281A92">
            <w:pPr>
              <w:spacing w:before="0" w:after="0" w:line="240" w:lineRule="auto"/>
              <w:rPr>
                <w:color w:val="auto"/>
                <w:sz w:val="20"/>
                <w:szCs w:val="20"/>
              </w:rPr>
            </w:pPr>
            <w:r w:rsidRPr="009A36D2">
              <w:rPr>
                <w:color w:val="000000"/>
                <w:sz w:val="22"/>
                <w:szCs w:val="22"/>
              </w:rPr>
              <w:t>242</w:t>
            </w:r>
          </w:p>
        </w:tc>
        <w:tc>
          <w:tcPr>
            <w:tcW w:w="642" w:type="pct"/>
            <w:gridSpan w:val="3"/>
            <w:tcBorders>
              <w:top w:val="nil"/>
              <w:left w:val="nil"/>
              <w:bottom w:val="single" w:sz="4" w:space="0" w:color="auto"/>
              <w:right w:val="single" w:sz="4" w:space="0" w:color="auto"/>
            </w:tcBorders>
            <w:shd w:val="clear" w:color="auto" w:fill="auto"/>
            <w:noWrap/>
            <w:vAlign w:val="bottom"/>
          </w:tcPr>
          <w:p w14:paraId="059D1101" w14:textId="77777777" w:rsidR="009A36D2" w:rsidRPr="009A36D2" w:rsidRDefault="009A36D2" w:rsidP="00281A92">
            <w:pPr>
              <w:spacing w:before="0" w:after="0" w:line="240" w:lineRule="auto"/>
              <w:rPr>
                <w:color w:val="auto"/>
                <w:sz w:val="20"/>
                <w:szCs w:val="20"/>
              </w:rPr>
            </w:pPr>
            <w:r w:rsidRPr="009A36D2">
              <w:rPr>
                <w:color w:val="000000"/>
                <w:sz w:val="22"/>
                <w:szCs w:val="22"/>
              </w:rPr>
              <w:t>185</w:t>
            </w:r>
          </w:p>
        </w:tc>
        <w:tc>
          <w:tcPr>
            <w:tcW w:w="625" w:type="pct"/>
            <w:gridSpan w:val="3"/>
            <w:tcBorders>
              <w:top w:val="nil"/>
              <w:left w:val="nil"/>
              <w:bottom w:val="single" w:sz="4" w:space="0" w:color="auto"/>
              <w:right w:val="single" w:sz="4" w:space="0" w:color="auto"/>
            </w:tcBorders>
            <w:shd w:val="clear" w:color="auto" w:fill="auto"/>
            <w:noWrap/>
            <w:vAlign w:val="bottom"/>
          </w:tcPr>
          <w:p w14:paraId="75A20111" w14:textId="77777777" w:rsidR="009A36D2" w:rsidRPr="009A36D2" w:rsidRDefault="009A36D2" w:rsidP="00281A92">
            <w:pPr>
              <w:spacing w:before="0" w:after="0" w:line="240" w:lineRule="auto"/>
              <w:rPr>
                <w:color w:val="auto"/>
                <w:sz w:val="20"/>
                <w:szCs w:val="20"/>
              </w:rPr>
            </w:pPr>
            <w:r w:rsidRPr="009A36D2">
              <w:rPr>
                <w:color w:val="000000"/>
                <w:sz w:val="22"/>
                <w:szCs w:val="22"/>
              </w:rPr>
              <w:t>175</w:t>
            </w:r>
          </w:p>
        </w:tc>
        <w:tc>
          <w:tcPr>
            <w:tcW w:w="644" w:type="pct"/>
            <w:gridSpan w:val="4"/>
            <w:tcBorders>
              <w:top w:val="nil"/>
              <w:left w:val="nil"/>
              <w:bottom w:val="single" w:sz="4" w:space="0" w:color="auto"/>
              <w:right w:val="single" w:sz="4" w:space="0" w:color="auto"/>
            </w:tcBorders>
            <w:shd w:val="clear" w:color="auto" w:fill="auto"/>
            <w:noWrap/>
            <w:vAlign w:val="bottom"/>
          </w:tcPr>
          <w:p w14:paraId="630FE1BC" w14:textId="77777777" w:rsidR="009A36D2" w:rsidRPr="009A36D2" w:rsidRDefault="009A36D2" w:rsidP="00281A92">
            <w:pPr>
              <w:spacing w:before="0" w:after="0" w:line="240" w:lineRule="auto"/>
              <w:rPr>
                <w:color w:val="auto"/>
                <w:sz w:val="20"/>
                <w:szCs w:val="20"/>
              </w:rPr>
            </w:pPr>
            <w:r w:rsidRPr="009A36D2">
              <w:rPr>
                <w:color w:val="000000"/>
                <w:sz w:val="22"/>
                <w:szCs w:val="22"/>
              </w:rPr>
              <w:t>183</w:t>
            </w:r>
          </w:p>
        </w:tc>
        <w:tc>
          <w:tcPr>
            <w:tcW w:w="643" w:type="pct"/>
            <w:gridSpan w:val="2"/>
            <w:tcBorders>
              <w:top w:val="nil"/>
              <w:left w:val="nil"/>
              <w:bottom w:val="single" w:sz="4" w:space="0" w:color="auto"/>
              <w:right w:val="single" w:sz="4" w:space="0" w:color="auto"/>
            </w:tcBorders>
            <w:shd w:val="clear" w:color="auto" w:fill="auto"/>
            <w:noWrap/>
            <w:vAlign w:val="bottom"/>
          </w:tcPr>
          <w:p w14:paraId="7353CD2C" w14:textId="77777777" w:rsidR="009A36D2" w:rsidRPr="009A36D2" w:rsidRDefault="009A36D2" w:rsidP="00281A92">
            <w:pPr>
              <w:spacing w:before="0" w:after="0" w:line="240" w:lineRule="auto"/>
              <w:rPr>
                <w:color w:val="auto"/>
                <w:sz w:val="20"/>
                <w:szCs w:val="20"/>
              </w:rPr>
            </w:pPr>
            <w:r w:rsidRPr="009A36D2">
              <w:rPr>
                <w:color w:val="000000"/>
                <w:sz w:val="22"/>
                <w:szCs w:val="22"/>
              </w:rPr>
              <w:t>193</w:t>
            </w:r>
          </w:p>
        </w:tc>
        <w:tc>
          <w:tcPr>
            <w:tcW w:w="693" w:type="pct"/>
            <w:gridSpan w:val="2"/>
            <w:tcBorders>
              <w:top w:val="nil"/>
              <w:left w:val="nil"/>
              <w:bottom w:val="single" w:sz="4" w:space="0" w:color="auto"/>
              <w:right w:val="single" w:sz="4" w:space="0" w:color="auto"/>
            </w:tcBorders>
            <w:shd w:val="clear" w:color="auto" w:fill="auto"/>
            <w:noWrap/>
            <w:vAlign w:val="bottom"/>
          </w:tcPr>
          <w:p w14:paraId="70F3160E" w14:textId="77777777" w:rsidR="009A36D2" w:rsidRPr="009A36D2" w:rsidRDefault="009A36D2" w:rsidP="00281A92">
            <w:pPr>
              <w:spacing w:before="0" w:after="0" w:line="240" w:lineRule="auto"/>
              <w:rPr>
                <w:color w:val="auto"/>
                <w:sz w:val="20"/>
                <w:szCs w:val="20"/>
              </w:rPr>
            </w:pPr>
            <w:r w:rsidRPr="009A36D2">
              <w:rPr>
                <w:color w:val="000000"/>
                <w:sz w:val="22"/>
                <w:szCs w:val="22"/>
              </w:rPr>
              <w:t>232</w:t>
            </w:r>
          </w:p>
        </w:tc>
      </w:tr>
      <w:tr w:rsidR="009A36D2" w:rsidRPr="009A36D2" w14:paraId="5DF0D0F0"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3B0E5E88"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39" w:type="pct"/>
            <w:gridSpan w:val="2"/>
            <w:tcBorders>
              <w:top w:val="nil"/>
              <w:left w:val="nil"/>
              <w:bottom w:val="single" w:sz="4" w:space="0" w:color="auto"/>
              <w:right w:val="single" w:sz="4" w:space="0" w:color="auto"/>
            </w:tcBorders>
            <w:shd w:val="clear" w:color="auto" w:fill="auto"/>
            <w:noWrap/>
            <w:vAlign w:val="bottom"/>
          </w:tcPr>
          <w:p w14:paraId="314D4E97"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232</w:t>
            </w:r>
          </w:p>
        </w:tc>
        <w:tc>
          <w:tcPr>
            <w:tcW w:w="642" w:type="pct"/>
            <w:gridSpan w:val="3"/>
            <w:tcBorders>
              <w:top w:val="nil"/>
              <w:left w:val="nil"/>
              <w:bottom w:val="single" w:sz="4" w:space="0" w:color="auto"/>
              <w:right w:val="single" w:sz="4" w:space="0" w:color="auto"/>
            </w:tcBorders>
            <w:shd w:val="clear" w:color="auto" w:fill="auto"/>
            <w:noWrap/>
            <w:vAlign w:val="bottom"/>
          </w:tcPr>
          <w:p w14:paraId="7DCCBFC2"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199</w:t>
            </w:r>
          </w:p>
        </w:tc>
        <w:tc>
          <w:tcPr>
            <w:tcW w:w="625" w:type="pct"/>
            <w:gridSpan w:val="3"/>
            <w:tcBorders>
              <w:top w:val="nil"/>
              <w:left w:val="nil"/>
              <w:bottom w:val="single" w:sz="4" w:space="0" w:color="auto"/>
              <w:right w:val="single" w:sz="4" w:space="0" w:color="auto"/>
            </w:tcBorders>
            <w:shd w:val="clear" w:color="auto" w:fill="auto"/>
            <w:noWrap/>
            <w:vAlign w:val="bottom"/>
          </w:tcPr>
          <w:p w14:paraId="32E56B9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192</w:t>
            </w:r>
          </w:p>
        </w:tc>
        <w:tc>
          <w:tcPr>
            <w:tcW w:w="644" w:type="pct"/>
            <w:gridSpan w:val="4"/>
            <w:tcBorders>
              <w:top w:val="nil"/>
              <w:left w:val="nil"/>
              <w:bottom w:val="single" w:sz="4" w:space="0" w:color="auto"/>
              <w:right w:val="single" w:sz="4" w:space="0" w:color="auto"/>
            </w:tcBorders>
            <w:shd w:val="clear" w:color="auto" w:fill="auto"/>
            <w:noWrap/>
            <w:vAlign w:val="bottom"/>
          </w:tcPr>
          <w:p w14:paraId="265C575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194</w:t>
            </w:r>
          </w:p>
        </w:tc>
        <w:tc>
          <w:tcPr>
            <w:tcW w:w="643" w:type="pct"/>
            <w:gridSpan w:val="2"/>
            <w:tcBorders>
              <w:top w:val="nil"/>
              <w:left w:val="nil"/>
              <w:bottom w:val="single" w:sz="4" w:space="0" w:color="auto"/>
              <w:right w:val="single" w:sz="4" w:space="0" w:color="auto"/>
            </w:tcBorders>
            <w:shd w:val="clear" w:color="auto" w:fill="auto"/>
            <w:noWrap/>
            <w:vAlign w:val="bottom"/>
          </w:tcPr>
          <w:p w14:paraId="3F8F9140"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208</w:t>
            </w:r>
          </w:p>
        </w:tc>
        <w:tc>
          <w:tcPr>
            <w:tcW w:w="693" w:type="pct"/>
            <w:gridSpan w:val="2"/>
            <w:tcBorders>
              <w:top w:val="nil"/>
              <w:left w:val="nil"/>
              <w:bottom w:val="single" w:sz="4" w:space="0" w:color="auto"/>
              <w:right w:val="single" w:sz="4" w:space="0" w:color="auto"/>
            </w:tcBorders>
            <w:shd w:val="clear" w:color="auto" w:fill="auto"/>
            <w:noWrap/>
            <w:vAlign w:val="bottom"/>
          </w:tcPr>
          <w:p w14:paraId="01C42CA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234</w:t>
            </w:r>
          </w:p>
        </w:tc>
      </w:tr>
      <w:tr w:rsidR="009A36D2" w:rsidRPr="009A36D2" w14:paraId="7F08E5EB" w14:textId="77777777" w:rsidTr="00281A92">
        <w:trPr>
          <w:trHeight w:val="20"/>
          <w:jc w:val="center"/>
        </w:trPr>
        <w:tc>
          <w:tcPr>
            <w:tcW w:w="1114" w:type="pct"/>
            <w:tcBorders>
              <w:top w:val="nil"/>
              <w:left w:val="single" w:sz="4" w:space="0" w:color="auto"/>
              <w:bottom w:val="single" w:sz="4" w:space="0" w:color="auto"/>
              <w:right w:val="single" w:sz="4" w:space="0" w:color="auto"/>
            </w:tcBorders>
            <w:shd w:val="clear" w:color="auto" w:fill="auto"/>
            <w:noWrap/>
            <w:vAlign w:val="bottom"/>
            <w:hideMark/>
          </w:tcPr>
          <w:p w14:paraId="7A8C66B8"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39" w:type="pct"/>
            <w:gridSpan w:val="2"/>
            <w:tcBorders>
              <w:top w:val="nil"/>
              <w:left w:val="nil"/>
              <w:bottom w:val="single" w:sz="4" w:space="0" w:color="auto"/>
              <w:right w:val="single" w:sz="4" w:space="0" w:color="auto"/>
            </w:tcBorders>
            <w:shd w:val="clear" w:color="auto" w:fill="auto"/>
            <w:noWrap/>
            <w:vAlign w:val="bottom"/>
          </w:tcPr>
          <w:p w14:paraId="774DA863"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37</w:t>
            </w:r>
          </w:p>
        </w:tc>
        <w:tc>
          <w:tcPr>
            <w:tcW w:w="642" w:type="pct"/>
            <w:gridSpan w:val="3"/>
            <w:tcBorders>
              <w:top w:val="nil"/>
              <w:left w:val="nil"/>
              <w:bottom w:val="single" w:sz="4" w:space="0" w:color="auto"/>
              <w:right w:val="single" w:sz="4" w:space="0" w:color="auto"/>
            </w:tcBorders>
            <w:shd w:val="clear" w:color="auto" w:fill="auto"/>
            <w:noWrap/>
            <w:vAlign w:val="bottom"/>
          </w:tcPr>
          <w:p w14:paraId="7941CE6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36</w:t>
            </w:r>
          </w:p>
        </w:tc>
        <w:tc>
          <w:tcPr>
            <w:tcW w:w="625" w:type="pct"/>
            <w:gridSpan w:val="3"/>
            <w:tcBorders>
              <w:top w:val="nil"/>
              <w:left w:val="nil"/>
              <w:bottom w:val="single" w:sz="4" w:space="0" w:color="auto"/>
              <w:right w:val="single" w:sz="4" w:space="0" w:color="auto"/>
            </w:tcBorders>
            <w:shd w:val="clear" w:color="auto" w:fill="auto"/>
            <w:noWrap/>
            <w:vAlign w:val="bottom"/>
          </w:tcPr>
          <w:p w14:paraId="6C99448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30</w:t>
            </w:r>
          </w:p>
        </w:tc>
        <w:tc>
          <w:tcPr>
            <w:tcW w:w="644" w:type="pct"/>
            <w:gridSpan w:val="4"/>
            <w:tcBorders>
              <w:top w:val="nil"/>
              <w:left w:val="nil"/>
              <w:bottom w:val="single" w:sz="4" w:space="0" w:color="auto"/>
              <w:right w:val="single" w:sz="4" w:space="0" w:color="auto"/>
            </w:tcBorders>
            <w:shd w:val="clear" w:color="auto" w:fill="auto"/>
            <w:noWrap/>
            <w:vAlign w:val="bottom"/>
          </w:tcPr>
          <w:p w14:paraId="4EE6BE8B"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30</w:t>
            </w:r>
          </w:p>
        </w:tc>
        <w:tc>
          <w:tcPr>
            <w:tcW w:w="643" w:type="pct"/>
            <w:gridSpan w:val="2"/>
            <w:tcBorders>
              <w:top w:val="nil"/>
              <w:left w:val="nil"/>
              <w:bottom w:val="single" w:sz="4" w:space="0" w:color="auto"/>
              <w:right w:val="single" w:sz="4" w:space="0" w:color="auto"/>
            </w:tcBorders>
            <w:shd w:val="clear" w:color="auto" w:fill="auto"/>
            <w:noWrap/>
            <w:vAlign w:val="bottom"/>
          </w:tcPr>
          <w:p w14:paraId="0528A9B3"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36</w:t>
            </w:r>
          </w:p>
        </w:tc>
        <w:tc>
          <w:tcPr>
            <w:tcW w:w="693" w:type="pct"/>
            <w:gridSpan w:val="2"/>
            <w:tcBorders>
              <w:top w:val="nil"/>
              <w:left w:val="nil"/>
              <w:bottom w:val="single" w:sz="4" w:space="0" w:color="auto"/>
              <w:right w:val="single" w:sz="4" w:space="0" w:color="auto"/>
            </w:tcBorders>
            <w:shd w:val="clear" w:color="auto" w:fill="auto"/>
            <w:noWrap/>
            <w:vAlign w:val="bottom"/>
          </w:tcPr>
          <w:p w14:paraId="0402EB4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35</w:t>
            </w:r>
          </w:p>
        </w:tc>
      </w:tr>
      <w:tr w:rsidR="009A36D2" w:rsidRPr="009A36D2" w14:paraId="0F0AC27F" w14:textId="77777777" w:rsidTr="00281A92">
        <w:trPr>
          <w:trHeight w:val="20"/>
          <w:jc w:val="center"/>
        </w:trPr>
        <w:tc>
          <w:tcPr>
            <w:tcW w:w="120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369747D" w14:textId="77777777" w:rsidR="009A36D2" w:rsidRPr="009A36D2" w:rsidRDefault="009A36D2" w:rsidP="00281A92">
            <w:pPr>
              <w:numPr>
                <w:ilvl w:val="1"/>
                <w:numId w:val="93"/>
              </w:numPr>
              <w:spacing w:before="0" w:after="0" w:line="240" w:lineRule="auto"/>
              <w:ind w:left="247" w:hanging="247"/>
              <w:contextualSpacing/>
              <w:jc w:val="left"/>
              <w:rPr>
                <w:b/>
                <w:bCs/>
                <w:color w:val="auto"/>
                <w:sz w:val="20"/>
                <w:szCs w:val="20"/>
              </w:rPr>
            </w:pPr>
            <w:r w:rsidRPr="009A36D2">
              <w:rPr>
                <w:b/>
                <w:bCs/>
                <w:color w:val="auto"/>
                <w:sz w:val="20"/>
                <w:szCs w:val="20"/>
              </w:rPr>
              <w:t>Peak velocity (°/sec)</w:t>
            </w:r>
          </w:p>
        </w:tc>
        <w:tc>
          <w:tcPr>
            <w:tcW w:w="1858" w:type="pct"/>
            <w:gridSpan w:val="8"/>
            <w:tcBorders>
              <w:top w:val="single" w:sz="4" w:space="0" w:color="auto"/>
              <w:left w:val="nil"/>
              <w:bottom w:val="single" w:sz="4" w:space="0" w:color="auto"/>
              <w:right w:val="single" w:sz="4" w:space="0" w:color="auto"/>
            </w:tcBorders>
            <w:shd w:val="clear" w:color="auto" w:fill="auto"/>
            <w:noWrap/>
            <w:vAlign w:val="bottom"/>
            <w:hideMark/>
          </w:tcPr>
          <w:p w14:paraId="4FA6ACA9" w14:textId="77777777" w:rsidR="009A36D2" w:rsidRPr="009A36D2" w:rsidRDefault="009A36D2" w:rsidP="00281A92">
            <w:pPr>
              <w:spacing w:before="0" w:after="0" w:line="240" w:lineRule="auto"/>
              <w:jc w:val="center"/>
              <w:rPr>
                <w:b/>
                <w:bCs/>
                <w:color w:val="auto"/>
                <w:sz w:val="20"/>
                <w:szCs w:val="20"/>
              </w:rPr>
            </w:pPr>
            <w:r w:rsidRPr="009A36D2">
              <w:rPr>
                <w:b/>
                <w:bCs/>
                <w:color w:val="auto"/>
                <w:sz w:val="20"/>
                <w:szCs w:val="20"/>
              </w:rPr>
              <w:t>Leftward saccades</w:t>
            </w:r>
          </w:p>
        </w:tc>
        <w:tc>
          <w:tcPr>
            <w:tcW w:w="1941" w:type="pct"/>
            <w:gridSpan w:val="7"/>
            <w:tcBorders>
              <w:top w:val="single" w:sz="4" w:space="0" w:color="auto"/>
              <w:left w:val="nil"/>
              <w:bottom w:val="single" w:sz="4" w:space="0" w:color="auto"/>
              <w:right w:val="single" w:sz="4" w:space="0" w:color="auto"/>
            </w:tcBorders>
            <w:shd w:val="clear" w:color="auto" w:fill="auto"/>
            <w:noWrap/>
            <w:vAlign w:val="bottom"/>
            <w:hideMark/>
          </w:tcPr>
          <w:p w14:paraId="483AB3A6" w14:textId="77777777" w:rsidR="009A36D2" w:rsidRPr="009A36D2" w:rsidRDefault="009A36D2" w:rsidP="00281A92">
            <w:pPr>
              <w:spacing w:before="0" w:after="0" w:line="240" w:lineRule="auto"/>
              <w:jc w:val="center"/>
              <w:rPr>
                <w:b/>
                <w:bCs/>
                <w:color w:val="auto"/>
                <w:sz w:val="20"/>
                <w:szCs w:val="20"/>
              </w:rPr>
            </w:pPr>
            <w:r w:rsidRPr="009A36D2">
              <w:rPr>
                <w:b/>
                <w:bCs/>
                <w:color w:val="auto"/>
                <w:sz w:val="20"/>
                <w:szCs w:val="20"/>
              </w:rPr>
              <w:t>Rightward saccades</w:t>
            </w:r>
          </w:p>
        </w:tc>
      </w:tr>
      <w:tr w:rsidR="009A36D2" w:rsidRPr="009A36D2" w14:paraId="2A6CF5F5"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AD437C9"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Young (18-39 years old)</w:t>
            </w:r>
          </w:p>
        </w:tc>
      </w:tr>
      <w:tr w:rsidR="009A36D2" w:rsidRPr="009A36D2" w14:paraId="4F712326" w14:textId="77777777" w:rsidTr="00281A92">
        <w:trPr>
          <w:trHeight w:val="20"/>
          <w:jc w:val="center"/>
        </w:trPr>
        <w:tc>
          <w:tcPr>
            <w:tcW w:w="1201" w:type="pct"/>
            <w:gridSpan w:val="2"/>
            <w:tcBorders>
              <w:top w:val="nil"/>
              <w:left w:val="single" w:sz="4" w:space="0" w:color="auto"/>
              <w:bottom w:val="single" w:sz="4" w:space="0" w:color="auto"/>
              <w:right w:val="single" w:sz="4" w:space="0" w:color="auto"/>
              <w:tl2br w:val="single" w:sz="4" w:space="0" w:color="auto"/>
            </w:tcBorders>
            <w:shd w:val="clear" w:color="auto" w:fill="auto"/>
            <w:hideMark/>
          </w:tcPr>
          <w:p w14:paraId="31248CF9"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6241058C" w14:textId="77777777" w:rsidR="009A36D2" w:rsidRPr="009A36D2" w:rsidRDefault="009A36D2" w:rsidP="00281A92">
            <w:pPr>
              <w:spacing w:before="0" w:after="0" w:line="240" w:lineRule="auto"/>
              <w:rPr>
                <w:color w:val="auto"/>
                <w:sz w:val="20"/>
                <w:szCs w:val="20"/>
              </w:rPr>
            </w:pPr>
          </w:p>
          <w:p w14:paraId="737EA492"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58" w:type="pct"/>
            <w:gridSpan w:val="3"/>
            <w:tcBorders>
              <w:top w:val="nil"/>
              <w:left w:val="nil"/>
              <w:bottom w:val="single" w:sz="4" w:space="0" w:color="auto"/>
              <w:right w:val="single" w:sz="4" w:space="0" w:color="auto"/>
            </w:tcBorders>
            <w:shd w:val="clear" w:color="auto" w:fill="auto"/>
            <w:noWrap/>
            <w:hideMark/>
          </w:tcPr>
          <w:p w14:paraId="5C7C77A3"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60" w:type="pct"/>
            <w:gridSpan w:val="3"/>
            <w:tcBorders>
              <w:top w:val="nil"/>
              <w:left w:val="nil"/>
              <w:bottom w:val="single" w:sz="4" w:space="0" w:color="auto"/>
              <w:right w:val="single" w:sz="4" w:space="0" w:color="auto"/>
            </w:tcBorders>
            <w:shd w:val="clear" w:color="auto" w:fill="auto"/>
            <w:noWrap/>
            <w:hideMark/>
          </w:tcPr>
          <w:p w14:paraId="2E069922"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540" w:type="pct"/>
            <w:gridSpan w:val="2"/>
            <w:tcBorders>
              <w:top w:val="nil"/>
              <w:left w:val="nil"/>
              <w:bottom w:val="single" w:sz="4" w:space="0" w:color="auto"/>
              <w:right w:val="single" w:sz="4" w:space="0" w:color="auto"/>
            </w:tcBorders>
            <w:shd w:val="clear" w:color="auto" w:fill="auto"/>
            <w:noWrap/>
            <w:hideMark/>
          </w:tcPr>
          <w:p w14:paraId="4E2D7CED"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551" w:type="pct"/>
            <w:gridSpan w:val="2"/>
            <w:tcBorders>
              <w:top w:val="nil"/>
              <w:left w:val="nil"/>
              <w:bottom w:val="single" w:sz="4" w:space="0" w:color="auto"/>
              <w:right w:val="single" w:sz="4" w:space="0" w:color="auto"/>
            </w:tcBorders>
            <w:shd w:val="clear" w:color="auto" w:fill="auto"/>
            <w:noWrap/>
            <w:hideMark/>
          </w:tcPr>
          <w:p w14:paraId="421E6631"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97" w:type="pct"/>
            <w:gridSpan w:val="3"/>
            <w:tcBorders>
              <w:top w:val="nil"/>
              <w:left w:val="nil"/>
              <w:bottom w:val="single" w:sz="4" w:space="0" w:color="auto"/>
              <w:right w:val="single" w:sz="4" w:space="0" w:color="auto"/>
            </w:tcBorders>
            <w:shd w:val="clear" w:color="auto" w:fill="auto"/>
            <w:noWrap/>
            <w:hideMark/>
          </w:tcPr>
          <w:p w14:paraId="23433454"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93" w:type="pct"/>
            <w:gridSpan w:val="2"/>
            <w:tcBorders>
              <w:top w:val="nil"/>
              <w:left w:val="nil"/>
              <w:bottom w:val="single" w:sz="4" w:space="0" w:color="auto"/>
              <w:right w:val="single" w:sz="4" w:space="0" w:color="auto"/>
            </w:tcBorders>
            <w:shd w:val="clear" w:color="auto" w:fill="auto"/>
            <w:noWrap/>
            <w:hideMark/>
          </w:tcPr>
          <w:p w14:paraId="643B3BC7"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0EB7914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25E4B30"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58" w:type="pct"/>
            <w:gridSpan w:val="3"/>
            <w:tcBorders>
              <w:top w:val="nil"/>
              <w:left w:val="nil"/>
              <w:bottom w:val="single" w:sz="4" w:space="0" w:color="auto"/>
              <w:right w:val="single" w:sz="4" w:space="0" w:color="auto"/>
            </w:tcBorders>
            <w:shd w:val="clear" w:color="auto" w:fill="auto"/>
            <w:noWrap/>
            <w:vAlign w:val="bottom"/>
          </w:tcPr>
          <w:p w14:paraId="367736DF" w14:textId="77777777" w:rsidR="009A36D2" w:rsidRPr="009A36D2" w:rsidRDefault="009A36D2" w:rsidP="00281A92">
            <w:pPr>
              <w:spacing w:before="0" w:after="0" w:line="240" w:lineRule="auto"/>
              <w:rPr>
                <w:color w:val="auto"/>
                <w:sz w:val="20"/>
                <w:szCs w:val="20"/>
              </w:rPr>
            </w:pPr>
            <w:r w:rsidRPr="009A36D2">
              <w:rPr>
                <w:color w:val="000000"/>
                <w:sz w:val="22"/>
                <w:szCs w:val="22"/>
              </w:rPr>
              <w:t>361.3</w:t>
            </w:r>
          </w:p>
        </w:tc>
        <w:tc>
          <w:tcPr>
            <w:tcW w:w="660" w:type="pct"/>
            <w:gridSpan w:val="3"/>
            <w:tcBorders>
              <w:top w:val="nil"/>
              <w:left w:val="nil"/>
              <w:bottom w:val="single" w:sz="4" w:space="0" w:color="auto"/>
              <w:right w:val="single" w:sz="4" w:space="0" w:color="auto"/>
            </w:tcBorders>
            <w:shd w:val="clear" w:color="auto" w:fill="auto"/>
            <w:noWrap/>
            <w:vAlign w:val="bottom"/>
          </w:tcPr>
          <w:p w14:paraId="1680D8F7" w14:textId="77777777" w:rsidR="009A36D2" w:rsidRPr="009A36D2" w:rsidRDefault="009A36D2" w:rsidP="00281A92">
            <w:pPr>
              <w:spacing w:before="0" w:after="0" w:line="240" w:lineRule="auto"/>
              <w:rPr>
                <w:color w:val="auto"/>
                <w:sz w:val="20"/>
                <w:szCs w:val="20"/>
              </w:rPr>
            </w:pPr>
            <w:r w:rsidRPr="009A36D2">
              <w:rPr>
                <w:color w:val="000000"/>
                <w:sz w:val="22"/>
                <w:szCs w:val="22"/>
              </w:rPr>
              <w:t>371.3</w:t>
            </w:r>
          </w:p>
        </w:tc>
        <w:tc>
          <w:tcPr>
            <w:tcW w:w="540" w:type="pct"/>
            <w:gridSpan w:val="2"/>
            <w:tcBorders>
              <w:top w:val="nil"/>
              <w:left w:val="nil"/>
              <w:bottom w:val="single" w:sz="4" w:space="0" w:color="auto"/>
              <w:right w:val="single" w:sz="4" w:space="0" w:color="auto"/>
            </w:tcBorders>
            <w:shd w:val="clear" w:color="auto" w:fill="auto"/>
            <w:noWrap/>
            <w:vAlign w:val="bottom"/>
          </w:tcPr>
          <w:p w14:paraId="681027F0" w14:textId="77777777" w:rsidR="009A36D2" w:rsidRPr="009A36D2" w:rsidRDefault="009A36D2" w:rsidP="00281A92">
            <w:pPr>
              <w:spacing w:before="0" w:after="0" w:line="240" w:lineRule="auto"/>
              <w:rPr>
                <w:color w:val="auto"/>
                <w:sz w:val="20"/>
                <w:szCs w:val="20"/>
              </w:rPr>
            </w:pPr>
            <w:r w:rsidRPr="009A36D2">
              <w:rPr>
                <w:color w:val="000000"/>
                <w:sz w:val="22"/>
                <w:szCs w:val="22"/>
              </w:rPr>
              <w:t>196.2</w:t>
            </w:r>
          </w:p>
        </w:tc>
        <w:tc>
          <w:tcPr>
            <w:tcW w:w="551" w:type="pct"/>
            <w:gridSpan w:val="2"/>
            <w:tcBorders>
              <w:top w:val="nil"/>
              <w:left w:val="nil"/>
              <w:bottom w:val="single" w:sz="4" w:space="0" w:color="auto"/>
              <w:right w:val="single" w:sz="4" w:space="0" w:color="auto"/>
            </w:tcBorders>
            <w:shd w:val="clear" w:color="auto" w:fill="auto"/>
            <w:noWrap/>
            <w:vAlign w:val="bottom"/>
          </w:tcPr>
          <w:p w14:paraId="4ED90278" w14:textId="77777777" w:rsidR="009A36D2" w:rsidRPr="009A36D2" w:rsidRDefault="009A36D2" w:rsidP="00281A92">
            <w:pPr>
              <w:spacing w:before="0" w:after="0" w:line="240" w:lineRule="auto"/>
              <w:rPr>
                <w:color w:val="auto"/>
                <w:sz w:val="20"/>
                <w:szCs w:val="20"/>
              </w:rPr>
            </w:pPr>
            <w:r w:rsidRPr="009A36D2">
              <w:rPr>
                <w:color w:val="000000"/>
                <w:sz w:val="22"/>
                <w:szCs w:val="22"/>
              </w:rPr>
              <w:t>221.2</w:t>
            </w:r>
          </w:p>
        </w:tc>
        <w:tc>
          <w:tcPr>
            <w:tcW w:w="697" w:type="pct"/>
            <w:gridSpan w:val="3"/>
            <w:tcBorders>
              <w:top w:val="nil"/>
              <w:left w:val="nil"/>
              <w:bottom w:val="single" w:sz="4" w:space="0" w:color="auto"/>
              <w:right w:val="single" w:sz="4" w:space="0" w:color="auto"/>
            </w:tcBorders>
            <w:shd w:val="clear" w:color="auto" w:fill="auto"/>
            <w:noWrap/>
            <w:vAlign w:val="bottom"/>
          </w:tcPr>
          <w:p w14:paraId="76409F17" w14:textId="77777777" w:rsidR="009A36D2" w:rsidRPr="009A36D2" w:rsidRDefault="009A36D2" w:rsidP="00281A92">
            <w:pPr>
              <w:spacing w:before="0" w:after="0" w:line="240" w:lineRule="auto"/>
              <w:rPr>
                <w:color w:val="auto"/>
                <w:sz w:val="20"/>
                <w:szCs w:val="20"/>
              </w:rPr>
            </w:pPr>
            <w:r w:rsidRPr="009A36D2">
              <w:rPr>
                <w:color w:val="000000"/>
                <w:sz w:val="22"/>
                <w:szCs w:val="22"/>
              </w:rPr>
              <w:t>330.8</w:t>
            </w:r>
          </w:p>
        </w:tc>
        <w:tc>
          <w:tcPr>
            <w:tcW w:w="693" w:type="pct"/>
            <w:gridSpan w:val="2"/>
            <w:tcBorders>
              <w:top w:val="nil"/>
              <w:left w:val="nil"/>
              <w:bottom w:val="single" w:sz="4" w:space="0" w:color="auto"/>
              <w:right w:val="single" w:sz="4" w:space="0" w:color="auto"/>
            </w:tcBorders>
            <w:shd w:val="clear" w:color="auto" w:fill="auto"/>
            <w:noWrap/>
            <w:vAlign w:val="bottom"/>
          </w:tcPr>
          <w:p w14:paraId="28242BF8" w14:textId="77777777" w:rsidR="009A36D2" w:rsidRPr="009A36D2" w:rsidRDefault="009A36D2" w:rsidP="00281A92">
            <w:pPr>
              <w:spacing w:before="0" w:after="0" w:line="240" w:lineRule="auto"/>
              <w:rPr>
                <w:color w:val="auto"/>
                <w:sz w:val="20"/>
                <w:szCs w:val="20"/>
              </w:rPr>
            </w:pPr>
            <w:r w:rsidRPr="009A36D2">
              <w:rPr>
                <w:color w:val="000000"/>
                <w:sz w:val="22"/>
                <w:szCs w:val="22"/>
              </w:rPr>
              <w:t>398.8</w:t>
            </w:r>
          </w:p>
        </w:tc>
      </w:tr>
      <w:tr w:rsidR="009A36D2" w:rsidRPr="009A36D2" w14:paraId="41750C7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34C1B05"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58" w:type="pct"/>
            <w:gridSpan w:val="3"/>
            <w:tcBorders>
              <w:top w:val="nil"/>
              <w:left w:val="nil"/>
              <w:bottom w:val="single" w:sz="4" w:space="0" w:color="auto"/>
              <w:right w:val="single" w:sz="4" w:space="0" w:color="auto"/>
            </w:tcBorders>
            <w:shd w:val="clear" w:color="auto" w:fill="auto"/>
            <w:noWrap/>
            <w:vAlign w:val="bottom"/>
          </w:tcPr>
          <w:p w14:paraId="09B54F55" w14:textId="77777777" w:rsidR="009A36D2" w:rsidRPr="009A36D2" w:rsidRDefault="009A36D2" w:rsidP="00281A92">
            <w:pPr>
              <w:spacing w:before="0" w:after="0" w:line="240" w:lineRule="auto"/>
              <w:rPr>
                <w:color w:val="auto"/>
                <w:sz w:val="20"/>
                <w:szCs w:val="20"/>
              </w:rPr>
            </w:pPr>
            <w:r w:rsidRPr="009A36D2">
              <w:rPr>
                <w:color w:val="000000"/>
                <w:sz w:val="22"/>
                <w:szCs w:val="22"/>
              </w:rPr>
              <w:t>329.1</w:t>
            </w:r>
          </w:p>
        </w:tc>
        <w:tc>
          <w:tcPr>
            <w:tcW w:w="660" w:type="pct"/>
            <w:gridSpan w:val="3"/>
            <w:tcBorders>
              <w:top w:val="nil"/>
              <w:left w:val="nil"/>
              <w:bottom w:val="single" w:sz="4" w:space="0" w:color="auto"/>
              <w:right w:val="single" w:sz="4" w:space="0" w:color="auto"/>
            </w:tcBorders>
            <w:shd w:val="clear" w:color="auto" w:fill="auto"/>
            <w:noWrap/>
            <w:vAlign w:val="bottom"/>
          </w:tcPr>
          <w:p w14:paraId="0BB1326B" w14:textId="77777777" w:rsidR="009A36D2" w:rsidRPr="009A36D2" w:rsidRDefault="009A36D2" w:rsidP="00281A92">
            <w:pPr>
              <w:spacing w:before="0" w:after="0" w:line="240" w:lineRule="auto"/>
              <w:rPr>
                <w:color w:val="auto"/>
                <w:sz w:val="20"/>
                <w:szCs w:val="20"/>
              </w:rPr>
            </w:pPr>
            <w:r w:rsidRPr="009A36D2">
              <w:rPr>
                <w:color w:val="000000"/>
                <w:sz w:val="22"/>
                <w:szCs w:val="22"/>
              </w:rPr>
              <w:t>301.1</w:t>
            </w:r>
          </w:p>
        </w:tc>
        <w:tc>
          <w:tcPr>
            <w:tcW w:w="540" w:type="pct"/>
            <w:gridSpan w:val="2"/>
            <w:tcBorders>
              <w:top w:val="nil"/>
              <w:left w:val="nil"/>
              <w:bottom w:val="single" w:sz="4" w:space="0" w:color="auto"/>
              <w:right w:val="single" w:sz="4" w:space="0" w:color="auto"/>
            </w:tcBorders>
            <w:shd w:val="clear" w:color="auto" w:fill="auto"/>
            <w:noWrap/>
            <w:vAlign w:val="bottom"/>
          </w:tcPr>
          <w:p w14:paraId="27E7F1BD" w14:textId="77777777" w:rsidR="009A36D2" w:rsidRPr="009A36D2" w:rsidRDefault="009A36D2" w:rsidP="00281A92">
            <w:pPr>
              <w:spacing w:before="0" w:after="0" w:line="240" w:lineRule="auto"/>
              <w:rPr>
                <w:color w:val="auto"/>
                <w:sz w:val="20"/>
                <w:szCs w:val="20"/>
              </w:rPr>
            </w:pPr>
            <w:r w:rsidRPr="009A36D2">
              <w:rPr>
                <w:color w:val="000000"/>
                <w:sz w:val="22"/>
                <w:szCs w:val="22"/>
              </w:rPr>
              <w:t>212.6</w:t>
            </w:r>
          </w:p>
        </w:tc>
        <w:tc>
          <w:tcPr>
            <w:tcW w:w="551" w:type="pct"/>
            <w:gridSpan w:val="2"/>
            <w:tcBorders>
              <w:top w:val="nil"/>
              <w:left w:val="nil"/>
              <w:bottom w:val="single" w:sz="4" w:space="0" w:color="auto"/>
              <w:right w:val="single" w:sz="4" w:space="0" w:color="auto"/>
            </w:tcBorders>
            <w:shd w:val="clear" w:color="auto" w:fill="auto"/>
            <w:noWrap/>
            <w:vAlign w:val="bottom"/>
          </w:tcPr>
          <w:p w14:paraId="0831A25A" w14:textId="77777777" w:rsidR="009A36D2" w:rsidRPr="009A36D2" w:rsidRDefault="009A36D2" w:rsidP="00281A92">
            <w:pPr>
              <w:spacing w:before="0" w:after="0" w:line="240" w:lineRule="auto"/>
              <w:rPr>
                <w:color w:val="auto"/>
                <w:sz w:val="20"/>
                <w:szCs w:val="20"/>
              </w:rPr>
            </w:pPr>
            <w:r w:rsidRPr="009A36D2">
              <w:rPr>
                <w:color w:val="000000"/>
                <w:sz w:val="22"/>
                <w:szCs w:val="22"/>
              </w:rPr>
              <w:t>239.4</w:t>
            </w:r>
          </w:p>
        </w:tc>
        <w:tc>
          <w:tcPr>
            <w:tcW w:w="697" w:type="pct"/>
            <w:gridSpan w:val="3"/>
            <w:tcBorders>
              <w:top w:val="nil"/>
              <w:left w:val="nil"/>
              <w:bottom w:val="single" w:sz="4" w:space="0" w:color="auto"/>
              <w:right w:val="single" w:sz="4" w:space="0" w:color="auto"/>
            </w:tcBorders>
            <w:shd w:val="clear" w:color="auto" w:fill="auto"/>
            <w:noWrap/>
            <w:vAlign w:val="bottom"/>
          </w:tcPr>
          <w:p w14:paraId="732DFD21" w14:textId="77777777" w:rsidR="009A36D2" w:rsidRPr="009A36D2" w:rsidRDefault="009A36D2" w:rsidP="00281A92">
            <w:pPr>
              <w:spacing w:before="0" w:after="0" w:line="240" w:lineRule="auto"/>
              <w:rPr>
                <w:color w:val="auto"/>
                <w:sz w:val="20"/>
                <w:szCs w:val="20"/>
              </w:rPr>
            </w:pPr>
            <w:r w:rsidRPr="009A36D2">
              <w:rPr>
                <w:color w:val="000000"/>
                <w:sz w:val="22"/>
                <w:szCs w:val="22"/>
              </w:rPr>
              <w:t>316.4</w:t>
            </w:r>
          </w:p>
        </w:tc>
        <w:tc>
          <w:tcPr>
            <w:tcW w:w="693" w:type="pct"/>
            <w:gridSpan w:val="2"/>
            <w:tcBorders>
              <w:top w:val="nil"/>
              <w:left w:val="nil"/>
              <w:bottom w:val="single" w:sz="4" w:space="0" w:color="auto"/>
              <w:right w:val="single" w:sz="4" w:space="0" w:color="auto"/>
            </w:tcBorders>
            <w:shd w:val="clear" w:color="auto" w:fill="auto"/>
            <w:noWrap/>
            <w:vAlign w:val="bottom"/>
          </w:tcPr>
          <w:p w14:paraId="4654E229" w14:textId="77777777" w:rsidR="009A36D2" w:rsidRPr="009A36D2" w:rsidRDefault="009A36D2" w:rsidP="00281A92">
            <w:pPr>
              <w:spacing w:before="0" w:after="0" w:line="240" w:lineRule="auto"/>
              <w:rPr>
                <w:color w:val="auto"/>
                <w:sz w:val="20"/>
                <w:szCs w:val="20"/>
              </w:rPr>
            </w:pPr>
            <w:r w:rsidRPr="009A36D2">
              <w:rPr>
                <w:color w:val="000000"/>
                <w:sz w:val="22"/>
                <w:szCs w:val="22"/>
              </w:rPr>
              <w:t>348.6</w:t>
            </w:r>
          </w:p>
        </w:tc>
      </w:tr>
      <w:tr w:rsidR="009A36D2" w:rsidRPr="009A36D2" w14:paraId="2766BBD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26B4B2E"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58" w:type="pct"/>
            <w:gridSpan w:val="3"/>
            <w:tcBorders>
              <w:top w:val="nil"/>
              <w:left w:val="nil"/>
              <w:bottom w:val="single" w:sz="4" w:space="0" w:color="auto"/>
              <w:right w:val="single" w:sz="4" w:space="0" w:color="auto"/>
            </w:tcBorders>
            <w:shd w:val="clear" w:color="auto" w:fill="auto"/>
            <w:noWrap/>
            <w:vAlign w:val="bottom"/>
          </w:tcPr>
          <w:p w14:paraId="292FEE6B" w14:textId="77777777" w:rsidR="009A36D2" w:rsidRPr="009A36D2" w:rsidRDefault="009A36D2" w:rsidP="00281A92">
            <w:pPr>
              <w:spacing w:before="0" w:after="0" w:line="240" w:lineRule="auto"/>
              <w:rPr>
                <w:color w:val="auto"/>
                <w:sz w:val="20"/>
                <w:szCs w:val="20"/>
              </w:rPr>
            </w:pPr>
            <w:r w:rsidRPr="009A36D2">
              <w:rPr>
                <w:color w:val="000000"/>
                <w:sz w:val="22"/>
                <w:szCs w:val="22"/>
              </w:rPr>
              <w:t>353.9</w:t>
            </w:r>
          </w:p>
        </w:tc>
        <w:tc>
          <w:tcPr>
            <w:tcW w:w="660" w:type="pct"/>
            <w:gridSpan w:val="3"/>
            <w:tcBorders>
              <w:top w:val="nil"/>
              <w:left w:val="nil"/>
              <w:bottom w:val="single" w:sz="4" w:space="0" w:color="auto"/>
              <w:right w:val="single" w:sz="4" w:space="0" w:color="auto"/>
            </w:tcBorders>
            <w:shd w:val="clear" w:color="auto" w:fill="auto"/>
            <w:noWrap/>
            <w:vAlign w:val="bottom"/>
          </w:tcPr>
          <w:p w14:paraId="2EDA3605" w14:textId="77777777" w:rsidR="009A36D2" w:rsidRPr="009A36D2" w:rsidRDefault="009A36D2" w:rsidP="00281A92">
            <w:pPr>
              <w:spacing w:before="0" w:after="0" w:line="240" w:lineRule="auto"/>
              <w:rPr>
                <w:color w:val="auto"/>
                <w:sz w:val="20"/>
                <w:szCs w:val="20"/>
              </w:rPr>
            </w:pPr>
            <w:r w:rsidRPr="009A36D2">
              <w:rPr>
                <w:color w:val="000000"/>
                <w:sz w:val="22"/>
                <w:szCs w:val="22"/>
              </w:rPr>
              <w:t>308.3</w:t>
            </w:r>
          </w:p>
        </w:tc>
        <w:tc>
          <w:tcPr>
            <w:tcW w:w="540" w:type="pct"/>
            <w:gridSpan w:val="2"/>
            <w:tcBorders>
              <w:top w:val="nil"/>
              <w:left w:val="nil"/>
              <w:bottom w:val="single" w:sz="4" w:space="0" w:color="auto"/>
              <w:right w:val="single" w:sz="4" w:space="0" w:color="auto"/>
            </w:tcBorders>
            <w:shd w:val="clear" w:color="auto" w:fill="auto"/>
            <w:noWrap/>
            <w:vAlign w:val="bottom"/>
          </w:tcPr>
          <w:p w14:paraId="04572BAC" w14:textId="77777777" w:rsidR="009A36D2" w:rsidRPr="009A36D2" w:rsidRDefault="009A36D2" w:rsidP="00281A92">
            <w:pPr>
              <w:spacing w:before="0" w:after="0" w:line="240" w:lineRule="auto"/>
              <w:rPr>
                <w:color w:val="auto"/>
                <w:sz w:val="20"/>
                <w:szCs w:val="20"/>
              </w:rPr>
            </w:pPr>
            <w:r w:rsidRPr="009A36D2">
              <w:rPr>
                <w:color w:val="000000"/>
                <w:sz w:val="22"/>
                <w:szCs w:val="22"/>
              </w:rPr>
              <w:t>237.7</w:t>
            </w:r>
          </w:p>
        </w:tc>
        <w:tc>
          <w:tcPr>
            <w:tcW w:w="551" w:type="pct"/>
            <w:gridSpan w:val="2"/>
            <w:tcBorders>
              <w:top w:val="nil"/>
              <w:left w:val="nil"/>
              <w:bottom w:val="single" w:sz="4" w:space="0" w:color="auto"/>
              <w:right w:val="single" w:sz="4" w:space="0" w:color="auto"/>
            </w:tcBorders>
            <w:shd w:val="clear" w:color="auto" w:fill="auto"/>
            <w:noWrap/>
            <w:vAlign w:val="bottom"/>
          </w:tcPr>
          <w:p w14:paraId="1F330E66" w14:textId="77777777" w:rsidR="009A36D2" w:rsidRPr="009A36D2" w:rsidRDefault="009A36D2" w:rsidP="00281A92">
            <w:pPr>
              <w:spacing w:before="0" w:after="0" w:line="240" w:lineRule="auto"/>
              <w:rPr>
                <w:color w:val="auto"/>
                <w:sz w:val="20"/>
                <w:szCs w:val="20"/>
              </w:rPr>
            </w:pPr>
            <w:r w:rsidRPr="009A36D2">
              <w:rPr>
                <w:color w:val="000000"/>
                <w:sz w:val="22"/>
                <w:szCs w:val="22"/>
              </w:rPr>
              <w:t>255.2</w:t>
            </w:r>
          </w:p>
        </w:tc>
        <w:tc>
          <w:tcPr>
            <w:tcW w:w="697" w:type="pct"/>
            <w:gridSpan w:val="3"/>
            <w:tcBorders>
              <w:top w:val="nil"/>
              <w:left w:val="nil"/>
              <w:bottom w:val="single" w:sz="4" w:space="0" w:color="auto"/>
              <w:right w:val="single" w:sz="4" w:space="0" w:color="auto"/>
            </w:tcBorders>
            <w:shd w:val="clear" w:color="auto" w:fill="auto"/>
            <w:noWrap/>
            <w:vAlign w:val="bottom"/>
          </w:tcPr>
          <w:p w14:paraId="04BC1947" w14:textId="77777777" w:rsidR="009A36D2" w:rsidRPr="009A36D2" w:rsidRDefault="009A36D2" w:rsidP="00281A92">
            <w:pPr>
              <w:spacing w:before="0" w:after="0" w:line="240" w:lineRule="auto"/>
              <w:rPr>
                <w:color w:val="auto"/>
                <w:sz w:val="20"/>
                <w:szCs w:val="20"/>
              </w:rPr>
            </w:pPr>
            <w:r w:rsidRPr="009A36D2">
              <w:rPr>
                <w:color w:val="000000"/>
                <w:sz w:val="22"/>
                <w:szCs w:val="22"/>
              </w:rPr>
              <w:t>338.2</w:t>
            </w:r>
          </w:p>
        </w:tc>
        <w:tc>
          <w:tcPr>
            <w:tcW w:w="693" w:type="pct"/>
            <w:gridSpan w:val="2"/>
            <w:tcBorders>
              <w:top w:val="nil"/>
              <w:left w:val="nil"/>
              <w:bottom w:val="single" w:sz="4" w:space="0" w:color="auto"/>
              <w:right w:val="single" w:sz="4" w:space="0" w:color="auto"/>
            </w:tcBorders>
            <w:shd w:val="clear" w:color="auto" w:fill="auto"/>
            <w:noWrap/>
            <w:vAlign w:val="bottom"/>
          </w:tcPr>
          <w:p w14:paraId="3F227170" w14:textId="77777777" w:rsidR="009A36D2" w:rsidRPr="009A36D2" w:rsidRDefault="009A36D2" w:rsidP="00281A92">
            <w:pPr>
              <w:spacing w:before="0" w:after="0" w:line="240" w:lineRule="auto"/>
              <w:rPr>
                <w:color w:val="auto"/>
                <w:sz w:val="20"/>
                <w:szCs w:val="20"/>
              </w:rPr>
            </w:pPr>
            <w:r w:rsidRPr="009A36D2">
              <w:rPr>
                <w:color w:val="000000"/>
                <w:sz w:val="22"/>
                <w:szCs w:val="22"/>
              </w:rPr>
              <w:t>370.1</w:t>
            </w:r>
          </w:p>
        </w:tc>
      </w:tr>
      <w:tr w:rsidR="009A36D2" w:rsidRPr="009A36D2" w14:paraId="5777975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400A82"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58" w:type="pct"/>
            <w:gridSpan w:val="3"/>
            <w:tcBorders>
              <w:top w:val="nil"/>
              <w:left w:val="nil"/>
              <w:bottom w:val="single" w:sz="4" w:space="0" w:color="auto"/>
              <w:right w:val="single" w:sz="4" w:space="0" w:color="auto"/>
            </w:tcBorders>
            <w:shd w:val="clear" w:color="auto" w:fill="auto"/>
            <w:noWrap/>
            <w:vAlign w:val="bottom"/>
          </w:tcPr>
          <w:p w14:paraId="52DFDEF0" w14:textId="77777777" w:rsidR="009A36D2" w:rsidRPr="009A36D2" w:rsidRDefault="009A36D2" w:rsidP="00281A92">
            <w:pPr>
              <w:spacing w:before="0" w:after="0" w:line="240" w:lineRule="auto"/>
              <w:rPr>
                <w:color w:val="auto"/>
                <w:sz w:val="20"/>
                <w:szCs w:val="20"/>
              </w:rPr>
            </w:pPr>
            <w:r w:rsidRPr="009A36D2">
              <w:rPr>
                <w:color w:val="000000"/>
                <w:sz w:val="22"/>
                <w:szCs w:val="22"/>
              </w:rPr>
              <w:t>541.3</w:t>
            </w:r>
          </w:p>
        </w:tc>
        <w:tc>
          <w:tcPr>
            <w:tcW w:w="660" w:type="pct"/>
            <w:gridSpan w:val="3"/>
            <w:tcBorders>
              <w:top w:val="nil"/>
              <w:left w:val="nil"/>
              <w:bottom w:val="single" w:sz="4" w:space="0" w:color="auto"/>
              <w:right w:val="single" w:sz="4" w:space="0" w:color="auto"/>
            </w:tcBorders>
            <w:shd w:val="clear" w:color="auto" w:fill="auto"/>
            <w:noWrap/>
            <w:vAlign w:val="bottom"/>
          </w:tcPr>
          <w:p w14:paraId="7178827D" w14:textId="77777777" w:rsidR="009A36D2" w:rsidRPr="009A36D2" w:rsidRDefault="009A36D2" w:rsidP="00281A92">
            <w:pPr>
              <w:spacing w:before="0" w:after="0" w:line="240" w:lineRule="auto"/>
              <w:rPr>
                <w:color w:val="auto"/>
                <w:sz w:val="20"/>
                <w:szCs w:val="20"/>
              </w:rPr>
            </w:pPr>
            <w:r w:rsidRPr="009A36D2">
              <w:rPr>
                <w:color w:val="000000"/>
                <w:sz w:val="22"/>
                <w:szCs w:val="22"/>
              </w:rPr>
              <w:t>441.6</w:t>
            </w:r>
          </w:p>
        </w:tc>
        <w:tc>
          <w:tcPr>
            <w:tcW w:w="540" w:type="pct"/>
            <w:gridSpan w:val="2"/>
            <w:tcBorders>
              <w:top w:val="nil"/>
              <w:left w:val="nil"/>
              <w:bottom w:val="single" w:sz="4" w:space="0" w:color="auto"/>
              <w:right w:val="single" w:sz="4" w:space="0" w:color="auto"/>
            </w:tcBorders>
            <w:shd w:val="clear" w:color="auto" w:fill="auto"/>
            <w:noWrap/>
            <w:vAlign w:val="bottom"/>
          </w:tcPr>
          <w:p w14:paraId="3732E56E" w14:textId="77777777" w:rsidR="009A36D2" w:rsidRPr="009A36D2" w:rsidRDefault="009A36D2" w:rsidP="00281A92">
            <w:pPr>
              <w:spacing w:before="0" w:after="0" w:line="240" w:lineRule="auto"/>
              <w:rPr>
                <w:color w:val="auto"/>
                <w:sz w:val="20"/>
                <w:szCs w:val="20"/>
              </w:rPr>
            </w:pPr>
            <w:r w:rsidRPr="009A36D2">
              <w:rPr>
                <w:color w:val="000000"/>
                <w:sz w:val="22"/>
                <w:szCs w:val="22"/>
              </w:rPr>
              <w:t>328.0</w:t>
            </w:r>
          </w:p>
        </w:tc>
        <w:tc>
          <w:tcPr>
            <w:tcW w:w="551" w:type="pct"/>
            <w:gridSpan w:val="2"/>
            <w:tcBorders>
              <w:top w:val="nil"/>
              <w:left w:val="nil"/>
              <w:bottom w:val="single" w:sz="4" w:space="0" w:color="auto"/>
              <w:right w:val="single" w:sz="4" w:space="0" w:color="auto"/>
            </w:tcBorders>
            <w:shd w:val="clear" w:color="auto" w:fill="auto"/>
            <w:noWrap/>
            <w:vAlign w:val="bottom"/>
          </w:tcPr>
          <w:p w14:paraId="369875B8" w14:textId="77777777" w:rsidR="009A36D2" w:rsidRPr="009A36D2" w:rsidRDefault="009A36D2" w:rsidP="00281A92">
            <w:pPr>
              <w:spacing w:before="0" w:after="0" w:line="240" w:lineRule="auto"/>
              <w:rPr>
                <w:color w:val="auto"/>
                <w:sz w:val="20"/>
                <w:szCs w:val="20"/>
              </w:rPr>
            </w:pPr>
            <w:r w:rsidRPr="009A36D2">
              <w:rPr>
                <w:color w:val="000000"/>
                <w:sz w:val="22"/>
                <w:szCs w:val="22"/>
              </w:rPr>
              <w:t>317.2</w:t>
            </w:r>
          </w:p>
        </w:tc>
        <w:tc>
          <w:tcPr>
            <w:tcW w:w="697" w:type="pct"/>
            <w:gridSpan w:val="3"/>
            <w:tcBorders>
              <w:top w:val="nil"/>
              <w:left w:val="nil"/>
              <w:bottom w:val="single" w:sz="4" w:space="0" w:color="auto"/>
              <w:right w:val="single" w:sz="4" w:space="0" w:color="auto"/>
            </w:tcBorders>
            <w:shd w:val="clear" w:color="auto" w:fill="auto"/>
            <w:noWrap/>
            <w:vAlign w:val="bottom"/>
          </w:tcPr>
          <w:p w14:paraId="11E8D5A2" w14:textId="77777777" w:rsidR="009A36D2" w:rsidRPr="009A36D2" w:rsidRDefault="009A36D2" w:rsidP="00281A92">
            <w:pPr>
              <w:spacing w:before="0" w:after="0" w:line="240" w:lineRule="auto"/>
              <w:rPr>
                <w:color w:val="auto"/>
                <w:sz w:val="20"/>
                <w:szCs w:val="20"/>
              </w:rPr>
            </w:pPr>
            <w:r w:rsidRPr="009A36D2">
              <w:rPr>
                <w:color w:val="000000"/>
                <w:sz w:val="22"/>
                <w:szCs w:val="22"/>
              </w:rPr>
              <w:t>438.8</w:t>
            </w:r>
          </w:p>
        </w:tc>
        <w:tc>
          <w:tcPr>
            <w:tcW w:w="693" w:type="pct"/>
            <w:gridSpan w:val="2"/>
            <w:tcBorders>
              <w:top w:val="nil"/>
              <w:left w:val="nil"/>
              <w:bottom w:val="single" w:sz="4" w:space="0" w:color="auto"/>
              <w:right w:val="single" w:sz="4" w:space="0" w:color="auto"/>
            </w:tcBorders>
            <w:shd w:val="clear" w:color="auto" w:fill="auto"/>
            <w:noWrap/>
            <w:vAlign w:val="bottom"/>
          </w:tcPr>
          <w:p w14:paraId="2C586DC3" w14:textId="77777777" w:rsidR="009A36D2" w:rsidRPr="009A36D2" w:rsidRDefault="009A36D2" w:rsidP="00281A92">
            <w:pPr>
              <w:spacing w:before="0" w:after="0" w:line="240" w:lineRule="auto"/>
              <w:rPr>
                <w:color w:val="auto"/>
                <w:sz w:val="20"/>
                <w:szCs w:val="20"/>
              </w:rPr>
            </w:pPr>
            <w:r w:rsidRPr="009A36D2">
              <w:rPr>
                <w:color w:val="000000"/>
                <w:sz w:val="22"/>
                <w:szCs w:val="22"/>
              </w:rPr>
              <w:t>507.2</w:t>
            </w:r>
          </w:p>
        </w:tc>
      </w:tr>
      <w:tr w:rsidR="009A36D2" w:rsidRPr="009A36D2" w14:paraId="6055096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1F706EF"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58" w:type="pct"/>
            <w:gridSpan w:val="3"/>
            <w:tcBorders>
              <w:top w:val="nil"/>
              <w:left w:val="nil"/>
              <w:bottom w:val="single" w:sz="4" w:space="0" w:color="auto"/>
              <w:right w:val="single" w:sz="4" w:space="0" w:color="auto"/>
            </w:tcBorders>
            <w:shd w:val="clear" w:color="auto" w:fill="auto"/>
            <w:noWrap/>
            <w:vAlign w:val="bottom"/>
          </w:tcPr>
          <w:p w14:paraId="1CD1B620" w14:textId="77777777" w:rsidR="009A36D2" w:rsidRPr="009A36D2" w:rsidRDefault="009A36D2" w:rsidP="00281A92">
            <w:pPr>
              <w:spacing w:before="0" w:after="0" w:line="240" w:lineRule="auto"/>
              <w:rPr>
                <w:color w:val="auto"/>
                <w:sz w:val="20"/>
                <w:szCs w:val="20"/>
              </w:rPr>
            </w:pPr>
            <w:r w:rsidRPr="009A36D2">
              <w:rPr>
                <w:color w:val="000000"/>
                <w:sz w:val="22"/>
                <w:szCs w:val="22"/>
              </w:rPr>
              <w:t>411.1</w:t>
            </w:r>
          </w:p>
        </w:tc>
        <w:tc>
          <w:tcPr>
            <w:tcW w:w="660" w:type="pct"/>
            <w:gridSpan w:val="3"/>
            <w:tcBorders>
              <w:top w:val="nil"/>
              <w:left w:val="nil"/>
              <w:bottom w:val="single" w:sz="4" w:space="0" w:color="auto"/>
              <w:right w:val="single" w:sz="4" w:space="0" w:color="auto"/>
            </w:tcBorders>
            <w:shd w:val="clear" w:color="auto" w:fill="auto"/>
            <w:noWrap/>
            <w:vAlign w:val="bottom"/>
          </w:tcPr>
          <w:p w14:paraId="34449F0D" w14:textId="77777777" w:rsidR="009A36D2" w:rsidRPr="009A36D2" w:rsidRDefault="009A36D2" w:rsidP="00281A92">
            <w:pPr>
              <w:spacing w:before="0" w:after="0" w:line="240" w:lineRule="auto"/>
              <w:rPr>
                <w:color w:val="auto"/>
                <w:sz w:val="20"/>
                <w:szCs w:val="20"/>
              </w:rPr>
            </w:pPr>
            <w:r w:rsidRPr="009A36D2">
              <w:rPr>
                <w:color w:val="000000"/>
                <w:sz w:val="22"/>
                <w:szCs w:val="22"/>
              </w:rPr>
              <w:t>333.1</w:t>
            </w:r>
          </w:p>
        </w:tc>
        <w:tc>
          <w:tcPr>
            <w:tcW w:w="540" w:type="pct"/>
            <w:gridSpan w:val="2"/>
            <w:tcBorders>
              <w:top w:val="nil"/>
              <w:left w:val="nil"/>
              <w:bottom w:val="single" w:sz="4" w:space="0" w:color="auto"/>
              <w:right w:val="single" w:sz="4" w:space="0" w:color="auto"/>
            </w:tcBorders>
            <w:shd w:val="clear" w:color="auto" w:fill="auto"/>
            <w:noWrap/>
            <w:vAlign w:val="bottom"/>
          </w:tcPr>
          <w:p w14:paraId="47967CC1" w14:textId="77777777" w:rsidR="009A36D2" w:rsidRPr="009A36D2" w:rsidRDefault="009A36D2" w:rsidP="00281A92">
            <w:pPr>
              <w:spacing w:before="0" w:after="0" w:line="240" w:lineRule="auto"/>
              <w:rPr>
                <w:color w:val="auto"/>
                <w:sz w:val="20"/>
                <w:szCs w:val="20"/>
              </w:rPr>
            </w:pPr>
            <w:r w:rsidRPr="009A36D2">
              <w:rPr>
                <w:color w:val="000000"/>
                <w:sz w:val="22"/>
                <w:szCs w:val="22"/>
              </w:rPr>
              <w:t>195.6</w:t>
            </w:r>
          </w:p>
        </w:tc>
        <w:tc>
          <w:tcPr>
            <w:tcW w:w="551" w:type="pct"/>
            <w:gridSpan w:val="2"/>
            <w:tcBorders>
              <w:top w:val="nil"/>
              <w:left w:val="nil"/>
              <w:bottom w:val="single" w:sz="4" w:space="0" w:color="auto"/>
              <w:right w:val="single" w:sz="4" w:space="0" w:color="auto"/>
            </w:tcBorders>
            <w:shd w:val="clear" w:color="auto" w:fill="auto"/>
            <w:noWrap/>
            <w:vAlign w:val="bottom"/>
          </w:tcPr>
          <w:p w14:paraId="733CD971" w14:textId="77777777" w:rsidR="009A36D2" w:rsidRPr="009A36D2" w:rsidRDefault="009A36D2" w:rsidP="00281A92">
            <w:pPr>
              <w:spacing w:before="0" w:after="0" w:line="240" w:lineRule="auto"/>
              <w:rPr>
                <w:color w:val="auto"/>
                <w:sz w:val="20"/>
                <w:szCs w:val="20"/>
              </w:rPr>
            </w:pPr>
            <w:r w:rsidRPr="009A36D2">
              <w:rPr>
                <w:color w:val="000000"/>
                <w:sz w:val="22"/>
                <w:szCs w:val="22"/>
              </w:rPr>
              <w:t>182.5</w:t>
            </w:r>
          </w:p>
        </w:tc>
        <w:tc>
          <w:tcPr>
            <w:tcW w:w="697" w:type="pct"/>
            <w:gridSpan w:val="3"/>
            <w:tcBorders>
              <w:top w:val="nil"/>
              <w:left w:val="nil"/>
              <w:bottom w:val="single" w:sz="4" w:space="0" w:color="auto"/>
              <w:right w:val="single" w:sz="4" w:space="0" w:color="auto"/>
            </w:tcBorders>
            <w:shd w:val="clear" w:color="auto" w:fill="auto"/>
            <w:noWrap/>
            <w:vAlign w:val="bottom"/>
          </w:tcPr>
          <w:p w14:paraId="006EC262" w14:textId="77777777" w:rsidR="009A36D2" w:rsidRPr="009A36D2" w:rsidRDefault="009A36D2" w:rsidP="00281A92">
            <w:pPr>
              <w:spacing w:before="0" w:after="0" w:line="240" w:lineRule="auto"/>
              <w:rPr>
                <w:color w:val="auto"/>
                <w:sz w:val="20"/>
                <w:szCs w:val="20"/>
              </w:rPr>
            </w:pPr>
            <w:r w:rsidRPr="009A36D2">
              <w:rPr>
                <w:color w:val="000000"/>
                <w:sz w:val="22"/>
                <w:szCs w:val="22"/>
              </w:rPr>
              <w:t>302.5</w:t>
            </w:r>
          </w:p>
        </w:tc>
        <w:tc>
          <w:tcPr>
            <w:tcW w:w="693" w:type="pct"/>
            <w:gridSpan w:val="2"/>
            <w:tcBorders>
              <w:top w:val="nil"/>
              <w:left w:val="nil"/>
              <w:bottom w:val="single" w:sz="4" w:space="0" w:color="auto"/>
              <w:right w:val="single" w:sz="4" w:space="0" w:color="auto"/>
            </w:tcBorders>
            <w:shd w:val="clear" w:color="auto" w:fill="auto"/>
            <w:noWrap/>
            <w:vAlign w:val="bottom"/>
          </w:tcPr>
          <w:p w14:paraId="3423E6AB" w14:textId="77777777" w:rsidR="009A36D2" w:rsidRPr="009A36D2" w:rsidRDefault="009A36D2" w:rsidP="00281A92">
            <w:pPr>
              <w:spacing w:before="0" w:after="0" w:line="240" w:lineRule="auto"/>
              <w:rPr>
                <w:color w:val="auto"/>
                <w:sz w:val="20"/>
                <w:szCs w:val="20"/>
              </w:rPr>
            </w:pPr>
            <w:r w:rsidRPr="009A36D2">
              <w:rPr>
                <w:color w:val="000000"/>
                <w:sz w:val="22"/>
                <w:szCs w:val="22"/>
              </w:rPr>
              <w:t>371.8</w:t>
            </w:r>
          </w:p>
        </w:tc>
      </w:tr>
      <w:tr w:rsidR="009A36D2" w:rsidRPr="009A36D2" w14:paraId="0D613DD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955E316"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58" w:type="pct"/>
            <w:gridSpan w:val="3"/>
            <w:tcBorders>
              <w:top w:val="nil"/>
              <w:left w:val="nil"/>
              <w:bottom w:val="single" w:sz="4" w:space="0" w:color="auto"/>
              <w:right w:val="single" w:sz="4" w:space="0" w:color="auto"/>
            </w:tcBorders>
            <w:shd w:val="clear" w:color="auto" w:fill="auto"/>
            <w:noWrap/>
            <w:vAlign w:val="bottom"/>
          </w:tcPr>
          <w:p w14:paraId="2EF58322" w14:textId="77777777" w:rsidR="009A36D2" w:rsidRPr="009A36D2" w:rsidRDefault="009A36D2" w:rsidP="00281A92">
            <w:pPr>
              <w:spacing w:before="0" w:after="0" w:line="240" w:lineRule="auto"/>
              <w:rPr>
                <w:color w:val="auto"/>
                <w:sz w:val="20"/>
                <w:szCs w:val="20"/>
              </w:rPr>
            </w:pPr>
            <w:r w:rsidRPr="009A36D2">
              <w:rPr>
                <w:color w:val="000000"/>
                <w:sz w:val="22"/>
                <w:szCs w:val="22"/>
              </w:rPr>
              <w:t>378.9</w:t>
            </w:r>
          </w:p>
        </w:tc>
        <w:tc>
          <w:tcPr>
            <w:tcW w:w="660" w:type="pct"/>
            <w:gridSpan w:val="3"/>
            <w:tcBorders>
              <w:top w:val="nil"/>
              <w:left w:val="nil"/>
              <w:bottom w:val="single" w:sz="4" w:space="0" w:color="auto"/>
              <w:right w:val="single" w:sz="4" w:space="0" w:color="auto"/>
            </w:tcBorders>
            <w:shd w:val="clear" w:color="auto" w:fill="auto"/>
            <w:noWrap/>
            <w:vAlign w:val="bottom"/>
          </w:tcPr>
          <w:p w14:paraId="1BB47569" w14:textId="77777777" w:rsidR="009A36D2" w:rsidRPr="009A36D2" w:rsidRDefault="009A36D2" w:rsidP="00281A92">
            <w:pPr>
              <w:spacing w:before="0" w:after="0" w:line="240" w:lineRule="auto"/>
              <w:rPr>
                <w:color w:val="auto"/>
                <w:sz w:val="20"/>
                <w:szCs w:val="20"/>
              </w:rPr>
            </w:pPr>
            <w:r w:rsidRPr="009A36D2">
              <w:rPr>
                <w:color w:val="000000"/>
                <w:sz w:val="22"/>
                <w:szCs w:val="22"/>
              </w:rPr>
              <w:t>304.4</w:t>
            </w:r>
          </w:p>
        </w:tc>
        <w:tc>
          <w:tcPr>
            <w:tcW w:w="540" w:type="pct"/>
            <w:gridSpan w:val="2"/>
            <w:tcBorders>
              <w:top w:val="nil"/>
              <w:left w:val="nil"/>
              <w:bottom w:val="single" w:sz="4" w:space="0" w:color="auto"/>
              <w:right w:val="single" w:sz="4" w:space="0" w:color="auto"/>
            </w:tcBorders>
            <w:shd w:val="clear" w:color="auto" w:fill="auto"/>
            <w:noWrap/>
            <w:vAlign w:val="bottom"/>
          </w:tcPr>
          <w:p w14:paraId="7509109D" w14:textId="77777777" w:rsidR="009A36D2" w:rsidRPr="009A36D2" w:rsidRDefault="009A36D2" w:rsidP="00281A92">
            <w:pPr>
              <w:spacing w:before="0" w:after="0" w:line="240" w:lineRule="auto"/>
              <w:rPr>
                <w:color w:val="auto"/>
                <w:sz w:val="20"/>
                <w:szCs w:val="20"/>
              </w:rPr>
            </w:pPr>
            <w:r w:rsidRPr="009A36D2">
              <w:rPr>
                <w:color w:val="000000"/>
                <w:sz w:val="22"/>
                <w:szCs w:val="22"/>
              </w:rPr>
              <w:t>252.4</w:t>
            </w:r>
          </w:p>
        </w:tc>
        <w:tc>
          <w:tcPr>
            <w:tcW w:w="551" w:type="pct"/>
            <w:gridSpan w:val="2"/>
            <w:tcBorders>
              <w:top w:val="nil"/>
              <w:left w:val="nil"/>
              <w:bottom w:val="single" w:sz="4" w:space="0" w:color="auto"/>
              <w:right w:val="single" w:sz="4" w:space="0" w:color="auto"/>
            </w:tcBorders>
            <w:shd w:val="clear" w:color="auto" w:fill="auto"/>
            <w:noWrap/>
            <w:vAlign w:val="bottom"/>
          </w:tcPr>
          <w:p w14:paraId="77CF3E35" w14:textId="77777777" w:rsidR="009A36D2" w:rsidRPr="009A36D2" w:rsidRDefault="009A36D2" w:rsidP="00281A92">
            <w:pPr>
              <w:spacing w:before="0" w:after="0" w:line="240" w:lineRule="auto"/>
              <w:rPr>
                <w:color w:val="auto"/>
                <w:sz w:val="20"/>
                <w:szCs w:val="20"/>
              </w:rPr>
            </w:pPr>
            <w:r w:rsidRPr="009A36D2">
              <w:rPr>
                <w:color w:val="000000"/>
                <w:sz w:val="22"/>
                <w:szCs w:val="22"/>
              </w:rPr>
              <w:t>237.4</w:t>
            </w:r>
          </w:p>
        </w:tc>
        <w:tc>
          <w:tcPr>
            <w:tcW w:w="697" w:type="pct"/>
            <w:gridSpan w:val="3"/>
            <w:tcBorders>
              <w:top w:val="nil"/>
              <w:left w:val="nil"/>
              <w:bottom w:val="single" w:sz="4" w:space="0" w:color="auto"/>
              <w:right w:val="single" w:sz="4" w:space="0" w:color="auto"/>
            </w:tcBorders>
            <w:shd w:val="clear" w:color="auto" w:fill="auto"/>
            <w:noWrap/>
            <w:vAlign w:val="bottom"/>
          </w:tcPr>
          <w:p w14:paraId="64927C1A" w14:textId="77777777" w:rsidR="009A36D2" w:rsidRPr="009A36D2" w:rsidRDefault="009A36D2" w:rsidP="00281A92">
            <w:pPr>
              <w:spacing w:before="0" w:after="0" w:line="240" w:lineRule="auto"/>
              <w:rPr>
                <w:color w:val="auto"/>
                <w:sz w:val="20"/>
                <w:szCs w:val="20"/>
              </w:rPr>
            </w:pPr>
            <w:r w:rsidRPr="009A36D2">
              <w:rPr>
                <w:color w:val="000000"/>
                <w:sz w:val="22"/>
                <w:szCs w:val="22"/>
              </w:rPr>
              <w:t>283.6</w:t>
            </w:r>
          </w:p>
        </w:tc>
        <w:tc>
          <w:tcPr>
            <w:tcW w:w="693" w:type="pct"/>
            <w:gridSpan w:val="2"/>
            <w:tcBorders>
              <w:top w:val="nil"/>
              <w:left w:val="nil"/>
              <w:bottom w:val="single" w:sz="4" w:space="0" w:color="auto"/>
              <w:right w:val="single" w:sz="4" w:space="0" w:color="auto"/>
            </w:tcBorders>
            <w:shd w:val="clear" w:color="auto" w:fill="auto"/>
            <w:noWrap/>
            <w:vAlign w:val="bottom"/>
          </w:tcPr>
          <w:p w14:paraId="62AFCD3B" w14:textId="77777777" w:rsidR="009A36D2" w:rsidRPr="009A36D2" w:rsidRDefault="009A36D2" w:rsidP="00281A92">
            <w:pPr>
              <w:spacing w:before="0" w:after="0" w:line="240" w:lineRule="auto"/>
              <w:rPr>
                <w:color w:val="auto"/>
                <w:sz w:val="20"/>
                <w:szCs w:val="20"/>
              </w:rPr>
            </w:pPr>
            <w:r w:rsidRPr="009A36D2">
              <w:rPr>
                <w:color w:val="000000"/>
                <w:sz w:val="22"/>
                <w:szCs w:val="22"/>
              </w:rPr>
              <w:t>400.4</w:t>
            </w:r>
          </w:p>
        </w:tc>
      </w:tr>
      <w:tr w:rsidR="009A36D2" w:rsidRPr="009A36D2" w14:paraId="56E3736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68DCF58"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58" w:type="pct"/>
            <w:gridSpan w:val="3"/>
            <w:tcBorders>
              <w:top w:val="nil"/>
              <w:left w:val="nil"/>
              <w:bottom w:val="single" w:sz="4" w:space="0" w:color="auto"/>
              <w:right w:val="single" w:sz="4" w:space="0" w:color="auto"/>
            </w:tcBorders>
            <w:shd w:val="clear" w:color="auto" w:fill="auto"/>
            <w:noWrap/>
            <w:vAlign w:val="bottom"/>
          </w:tcPr>
          <w:p w14:paraId="6958614C" w14:textId="77777777" w:rsidR="009A36D2" w:rsidRPr="009A36D2" w:rsidRDefault="009A36D2" w:rsidP="00281A92">
            <w:pPr>
              <w:spacing w:before="0" w:after="0" w:line="240" w:lineRule="auto"/>
              <w:rPr>
                <w:color w:val="auto"/>
                <w:sz w:val="20"/>
                <w:szCs w:val="20"/>
              </w:rPr>
            </w:pPr>
            <w:r w:rsidRPr="009A36D2">
              <w:rPr>
                <w:color w:val="000000"/>
                <w:sz w:val="22"/>
                <w:szCs w:val="22"/>
              </w:rPr>
              <w:t>339.4</w:t>
            </w:r>
          </w:p>
        </w:tc>
        <w:tc>
          <w:tcPr>
            <w:tcW w:w="660" w:type="pct"/>
            <w:gridSpan w:val="3"/>
            <w:tcBorders>
              <w:top w:val="nil"/>
              <w:left w:val="nil"/>
              <w:bottom w:val="single" w:sz="4" w:space="0" w:color="auto"/>
              <w:right w:val="single" w:sz="4" w:space="0" w:color="auto"/>
            </w:tcBorders>
            <w:shd w:val="clear" w:color="auto" w:fill="auto"/>
            <w:noWrap/>
            <w:vAlign w:val="bottom"/>
          </w:tcPr>
          <w:p w14:paraId="7E9983E3" w14:textId="77777777" w:rsidR="009A36D2" w:rsidRPr="009A36D2" w:rsidRDefault="009A36D2" w:rsidP="00281A92">
            <w:pPr>
              <w:spacing w:before="0" w:after="0" w:line="240" w:lineRule="auto"/>
              <w:rPr>
                <w:color w:val="auto"/>
                <w:sz w:val="20"/>
                <w:szCs w:val="20"/>
              </w:rPr>
            </w:pPr>
            <w:r w:rsidRPr="009A36D2">
              <w:rPr>
                <w:color w:val="000000"/>
                <w:sz w:val="22"/>
                <w:szCs w:val="22"/>
              </w:rPr>
              <w:t>295.9</w:t>
            </w:r>
          </w:p>
        </w:tc>
        <w:tc>
          <w:tcPr>
            <w:tcW w:w="540" w:type="pct"/>
            <w:gridSpan w:val="2"/>
            <w:tcBorders>
              <w:top w:val="nil"/>
              <w:left w:val="nil"/>
              <w:bottom w:val="single" w:sz="4" w:space="0" w:color="auto"/>
              <w:right w:val="single" w:sz="4" w:space="0" w:color="auto"/>
            </w:tcBorders>
            <w:shd w:val="clear" w:color="auto" w:fill="auto"/>
            <w:noWrap/>
            <w:vAlign w:val="bottom"/>
          </w:tcPr>
          <w:p w14:paraId="62658F27" w14:textId="77777777" w:rsidR="009A36D2" w:rsidRPr="009A36D2" w:rsidRDefault="009A36D2" w:rsidP="00281A92">
            <w:pPr>
              <w:spacing w:before="0" w:after="0" w:line="240" w:lineRule="auto"/>
              <w:rPr>
                <w:color w:val="auto"/>
                <w:sz w:val="20"/>
                <w:szCs w:val="20"/>
              </w:rPr>
            </w:pPr>
            <w:r w:rsidRPr="009A36D2">
              <w:rPr>
                <w:color w:val="000000"/>
                <w:sz w:val="22"/>
                <w:szCs w:val="22"/>
              </w:rPr>
              <w:t>224.2</w:t>
            </w:r>
          </w:p>
        </w:tc>
        <w:tc>
          <w:tcPr>
            <w:tcW w:w="551" w:type="pct"/>
            <w:gridSpan w:val="2"/>
            <w:tcBorders>
              <w:top w:val="nil"/>
              <w:left w:val="nil"/>
              <w:bottom w:val="single" w:sz="4" w:space="0" w:color="auto"/>
              <w:right w:val="single" w:sz="4" w:space="0" w:color="auto"/>
            </w:tcBorders>
            <w:shd w:val="clear" w:color="auto" w:fill="auto"/>
            <w:noWrap/>
            <w:vAlign w:val="bottom"/>
          </w:tcPr>
          <w:p w14:paraId="6D31B663" w14:textId="77777777" w:rsidR="009A36D2" w:rsidRPr="009A36D2" w:rsidRDefault="009A36D2" w:rsidP="00281A92">
            <w:pPr>
              <w:spacing w:before="0" w:after="0" w:line="240" w:lineRule="auto"/>
              <w:rPr>
                <w:color w:val="auto"/>
                <w:sz w:val="20"/>
                <w:szCs w:val="20"/>
              </w:rPr>
            </w:pPr>
            <w:r w:rsidRPr="009A36D2">
              <w:rPr>
                <w:color w:val="000000"/>
                <w:sz w:val="22"/>
                <w:szCs w:val="22"/>
              </w:rPr>
              <w:t>223.0</w:t>
            </w:r>
          </w:p>
        </w:tc>
        <w:tc>
          <w:tcPr>
            <w:tcW w:w="697" w:type="pct"/>
            <w:gridSpan w:val="3"/>
            <w:tcBorders>
              <w:top w:val="nil"/>
              <w:left w:val="nil"/>
              <w:bottom w:val="single" w:sz="4" w:space="0" w:color="auto"/>
              <w:right w:val="single" w:sz="4" w:space="0" w:color="auto"/>
            </w:tcBorders>
            <w:shd w:val="clear" w:color="auto" w:fill="auto"/>
            <w:noWrap/>
            <w:vAlign w:val="bottom"/>
          </w:tcPr>
          <w:p w14:paraId="272EF166" w14:textId="77777777" w:rsidR="009A36D2" w:rsidRPr="009A36D2" w:rsidRDefault="009A36D2" w:rsidP="00281A92">
            <w:pPr>
              <w:spacing w:before="0" w:after="0" w:line="240" w:lineRule="auto"/>
              <w:rPr>
                <w:color w:val="auto"/>
                <w:sz w:val="20"/>
                <w:szCs w:val="20"/>
              </w:rPr>
            </w:pPr>
            <w:r w:rsidRPr="009A36D2">
              <w:rPr>
                <w:color w:val="000000"/>
                <w:sz w:val="22"/>
                <w:szCs w:val="22"/>
              </w:rPr>
              <w:t>305.9</w:t>
            </w:r>
          </w:p>
        </w:tc>
        <w:tc>
          <w:tcPr>
            <w:tcW w:w="693" w:type="pct"/>
            <w:gridSpan w:val="2"/>
            <w:tcBorders>
              <w:top w:val="nil"/>
              <w:left w:val="nil"/>
              <w:bottom w:val="single" w:sz="4" w:space="0" w:color="auto"/>
              <w:right w:val="single" w:sz="4" w:space="0" w:color="auto"/>
            </w:tcBorders>
            <w:shd w:val="clear" w:color="auto" w:fill="auto"/>
            <w:noWrap/>
            <w:vAlign w:val="bottom"/>
          </w:tcPr>
          <w:p w14:paraId="4EEF8C3A" w14:textId="77777777" w:rsidR="009A36D2" w:rsidRPr="009A36D2" w:rsidRDefault="009A36D2" w:rsidP="00281A92">
            <w:pPr>
              <w:spacing w:before="0" w:after="0" w:line="240" w:lineRule="auto"/>
              <w:rPr>
                <w:color w:val="auto"/>
                <w:sz w:val="20"/>
                <w:szCs w:val="20"/>
              </w:rPr>
            </w:pPr>
            <w:r w:rsidRPr="009A36D2">
              <w:rPr>
                <w:color w:val="000000"/>
                <w:sz w:val="22"/>
                <w:szCs w:val="22"/>
              </w:rPr>
              <w:t>347.8</w:t>
            </w:r>
          </w:p>
        </w:tc>
      </w:tr>
      <w:tr w:rsidR="009A36D2" w:rsidRPr="009A36D2" w14:paraId="547DFD3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ECFD4B7"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58" w:type="pct"/>
            <w:gridSpan w:val="3"/>
            <w:tcBorders>
              <w:top w:val="nil"/>
              <w:left w:val="nil"/>
              <w:bottom w:val="single" w:sz="4" w:space="0" w:color="auto"/>
              <w:right w:val="single" w:sz="4" w:space="0" w:color="auto"/>
            </w:tcBorders>
            <w:shd w:val="clear" w:color="auto" w:fill="auto"/>
            <w:noWrap/>
            <w:vAlign w:val="bottom"/>
          </w:tcPr>
          <w:p w14:paraId="3620728F" w14:textId="77777777" w:rsidR="009A36D2" w:rsidRPr="009A36D2" w:rsidRDefault="009A36D2" w:rsidP="00281A92">
            <w:pPr>
              <w:spacing w:before="0" w:after="0" w:line="240" w:lineRule="auto"/>
              <w:rPr>
                <w:color w:val="auto"/>
                <w:sz w:val="20"/>
                <w:szCs w:val="20"/>
              </w:rPr>
            </w:pPr>
            <w:r w:rsidRPr="009A36D2">
              <w:rPr>
                <w:color w:val="000000"/>
                <w:sz w:val="22"/>
                <w:szCs w:val="22"/>
              </w:rPr>
              <w:t>295.9</w:t>
            </w:r>
          </w:p>
        </w:tc>
        <w:tc>
          <w:tcPr>
            <w:tcW w:w="660" w:type="pct"/>
            <w:gridSpan w:val="3"/>
            <w:tcBorders>
              <w:top w:val="nil"/>
              <w:left w:val="nil"/>
              <w:bottom w:val="single" w:sz="4" w:space="0" w:color="auto"/>
              <w:right w:val="single" w:sz="4" w:space="0" w:color="auto"/>
            </w:tcBorders>
            <w:shd w:val="clear" w:color="auto" w:fill="auto"/>
            <w:noWrap/>
            <w:vAlign w:val="bottom"/>
          </w:tcPr>
          <w:p w14:paraId="15D79804" w14:textId="77777777" w:rsidR="009A36D2" w:rsidRPr="009A36D2" w:rsidRDefault="009A36D2" w:rsidP="00281A92">
            <w:pPr>
              <w:spacing w:before="0" w:after="0" w:line="240" w:lineRule="auto"/>
              <w:rPr>
                <w:color w:val="auto"/>
                <w:sz w:val="20"/>
                <w:szCs w:val="20"/>
              </w:rPr>
            </w:pPr>
            <w:r w:rsidRPr="009A36D2">
              <w:rPr>
                <w:color w:val="000000"/>
                <w:sz w:val="22"/>
                <w:szCs w:val="22"/>
              </w:rPr>
              <w:t>292.2</w:t>
            </w:r>
          </w:p>
        </w:tc>
        <w:tc>
          <w:tcPr>
            <w:tcW w:w="540" w:type="pct"/>
            <w:gridSpan w:val="2"/>
            <w:tcBorders>
              <w:top w:val="nil"/>
              <w:left w:val="nil"/>
              <w:bottom w:val="single" w:sz="4" w:space="0" w:color="auto"/>
              <w:right w:val="single" w:sz="4" w:space="0" w:color="auto"/>
            </w:tcBorders>
            <w:shd w:val="clear" w:color="auto" w:fill="auto"/>
            <w:noWrap/>
            <w:vAlign w:val="bottom"/>
          </w:tcPr>
          <w:p w14:paraId="0AEF908C" w14:textId="77777777" w:rsidR="009A36D2" w:rsidRPr="009A36D2" w:rsidRDefault="009A36D2" w:rsidP="00281A92">
            <w:pPr>
              <w:spacing w:before="0" w:after="0" w:line="240" w:lineRule="auto"/>
              <w:rPr>
                <w:color w:val="auto"/>
                <w:sz w:val="20"/>
                <w:szCs w:val="20"/>
              </w:rPr>
            </w:pPr>
            <w:r w:rsidRPr="009A36D2">
              <w:rPr>
                <w:color w:val="000000"/>
                <w:sz w:val="22"/>
                <w:szCs w:val="22"/>
              </w:rPr>
              <w:t>219.7</w:t>
            </w:r>
          </w:p>
        </w:tc>
        <w:tc>
          <w:tcPr>
            <w:tcW w:w="551" w:type="pct"/>
            <w:gridSpan w:val="2"/>
            <w:tcBorders>
              <w:top w:val="nil"/>
              <w:left w:val="nil"/>
              <w:bottom w:val="single" w:sz="4" w:space="0" w:color="auto"/>
              <w:right w:val="single" w:sz="4" w:space="0" w:color="auto"/>
            </w:tcBorders>
            <w:shd w:val="clear" w:color="auto" w:fill="auto"/>
            <w:noWrap/>
            <w:vAlign w:val="bottom"/>
          </w:tcPr>
          <w:p w14:paraId="2388FC17" w14:textId="77777777" w:rsidR="009A36D2" w:rsidRPr="009A36D2" w:rsidRDefault="009A36D2" w:rsidP="00281A92">
            <w:pPr>
              <w:spacing w:before="0" w:after="0" w:line="240" w:lineRule="auto"/>
              <w:rPr>
                <w:color w:val="auto"/>
                <w:sz w:val="20"/>
                <w:szCs w:val="20"/>
              </w:rPr>
            </w:pPr>
            <w:r w:rsidRPr="009A36D2">
              <w:rPr>
                <w:color w:val="000000"/>
                <w:sz w:val="22"/>
                <w:szCs w:val="22"/>
              </w:rPr>
              <w:t>225.4</w:t>
            </w:r>
          </w:p>
        </w:tc>
        <w:tc>
          <w:tcPr>
            <w:tcW w:w="697" w:type="pct"/>
            <w:gridSpan w:val="3"/>
            <w:tcBorders>
              <w:top w:val="nil"/>
              <w:left w:val="nil"/>
              <w:bottom w:val="single" w:sz="4" w:space="0" w:color="auto"/>
              <w:right w:val="single" w:sz="4" w:space="0" w:color="auto"/>
            </w:tcBorders>
            <w:shd w:val="clear" w:color="auto" w:fill="auto"/>
            <w:noWrap/>
            <w:vAlign w:val="bottom"/>
          </w:tcPr>
          <w:p w14:paraId="593BBECB" w14:textId="77777777" w:rsidR="009A36D2" w:rsidRPr="009A36D2" w:rsidRDefault="009A36D2" w:rsidP="00281A92">
            <w:pPr>
              <w:spacing w:before="0" w:after="0" w:line="240" w:lineRule="auto"/>
              <w:rPr>
                <w:color w:val="auto"/>
                <w:sz w:val="20"/>
                <w:szCs w:val="20"/>
              </w:rPr>
            </w:pPr>
            <w:r w:rsidRPr="009A36D2">
              <w:rPr>
                <w:color w:val="000000"/>
                <w:sz w:val="22"/>
                <w:szCs w:val="22"/>
              </w:rPr>
              <w:t>281.6</w:t>
            </w:r>
          </w:p>
        </w:tc>
        <w:tc>
          <w:tcPr>
            <w:tcW w:w="693" w:type="pct"/>
            <w:gridSpan w:val="2"/>
            <w:tcBorders>
              <w:top w:val="nil"/>
              <w:left w:val="nil"/>
              <w:bottom w:val="single" w:sz="4" w:space="0" w:color="auto"/>
              <w:right w:val="single" w:sz="4" w:space="0" w:color="auto"/>
            </w:tcBorders>
            <w:shd w:val="clear" w:color="auto" w:fill="auto"/>
            <w:noWrap/>
            <w:vAlign w:val="bottom"/>
          </w:tcPr>
          <w:p w14:paraId="641353AD" w14:textId="77777777" w:rsidR="009A36D2" w:rsidRPr="009A36D2" w:rsidRDefault="009A36D2" w:rsidP="00281A92">
            <w:pPr>
              <w:spacing w:before="0" w:after="0" w:line="240" w:lineRule="auto"/>
              <w:rPr>
                <w:color w:val="auto"/>
                <w:sz w:val="20"/>
                <w:szCs w:val="20"/>
              </w:rPr>
            </w:pPr>
            <w:r w:rsidRPr="009A36D2">
              <w:rPr>
                <w:color w:val="000000"/>
                <w:sz w:val="22"/>
                <w:szCs w:val="22"/>
              </w:rPr>
              <w:t>318.0</w:t>
            </w:r>
          </w:p>
        </w:tc>
      </w:tr>
      <w:tr w:rsidR="009A36D2" w:rsidRPr="009A36D2" w14:paraId="4EE3F55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0674FD8"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58" w:type="pct"/>
            <w:gridSpan w:val="3"/>
            <w:tcBorders>
              <w:top w:val="nil"/>
              <w:left w:val="nil"/>
              <w:bottom w:val="single" w:sz="4" w:space="0" w:color="auto"/>
              <w:right w:val="single" w:sz="4" w:space="0" w:color="auto"/>
            </w:tcBorders>
            <w:shd w:val="clear" w:color="auto" w:fill="auto"/>
            <w:noWrap/>
            <w:vAlign w:val="bottom"/>
          </w:tcPr>
          <w:p w14:paraId="166EBB6E" w14:textId="77777777" w:rsidR="009A36D2" w:rsidRPr="009A36D2" w:rsidRDefault="009A36D2" w:rsidP="00281A92">
            <w:pPr>
              <w:spacing w:before="0" w:after="0" w:line="240" w:lineRule="auto"/>
              <w:rPr>
                <w:color w:val="auto"/>
                <w:sz w:val="20"/>
                <w:szCs w:val="20"/>
              </w:rPr>
            </w:pPr>
            <w:r w:rsidRPr="009A36D2">
              <w:rPr>
                <w:color w:val="000000"/>
                <w:sz w:val="22"/>
                <w:szCs w:val="22"/>
              </w:rPr>
              <w:t>240.8</w:t>
            </w:r>
          </w:p>
        </w:tc>
        <w:tc>
          <w:tcPr>
            <w:tcW w:w="660" w:type="pct"/>
            <w:gridSpan w:val="3"/>
            <w:tcBorders>
              <w:top w:val="nil"/>
              <w:left w:val="nil"/>
              <w:bottom w:val="single" w:sz="4" w:space="0" w:color="auto"/>
              <w:right w:val="single" w:sz="4" w:space="0" w:color="auto"/>
            </w:tcBorders>
            <w:shd w:val="clear" w:color="auto" w:fill="auto"/>
            <w:noWrap/>
            <w:vAlign w:val="bottom"/>
          </w:tcPr>
          <w:p w14:paraId="31193A03" w14:textId="77777777" w:rsidR="009A36D2" w:rsidRPr="009A36D2" w:rsidRDefault="009A36D2" w:rsidP="00281A92">
            <w:pPr>
              <w:spacing w:before="0" w:after="0" w:line="240" w:lineRule="auto"/>
              <w:rPr>
                <w:color w:val="auto"/>
                <w:sz w:val="20"/>
                <w:szCs w:val="20"/>
              </w:rPr>
            </w:pPr>
            <w:r w:rsidRPr="009A36D2">
              <w:rPr>
                <w:color w:val="000000"/>
                <w:sz w:val="22"/>
                <w:szCs w:val="22"/>
              </w:rPr>
              <w:t>231.4</w:t>
            </w:r>
          </w:p>
        </w:tc>
        <w:tc>
          <w:tcPr>
            <w:tcW w:w="540" w:type="pct"/>
            <w:gridSpan w:val="2"/>
            <w:tcBorders>
              <w:top w:val="nil"/>
              <w:left w:val="nil"/>
              <w:bottom w:val="single" w:sz="4" w:space="0" w:color="auto"/>
              <w:right w:val="single" w:sz="4" w:space="0" w:color="auto"/>
            </w:tcBorders>
            <w:shd w:val="clear" w:color="auto" w:fill="auto"/>
            <w:noWrap/>
            <w:vAlign w:val="bottom"/>
          </w:tcPr>
          <w:p w14:paraId="2FD35F23" w14:textId="77777777" w:rsidR="009A36D2" w:rsidRPr="009A36D2" w:rsidRDefault="009A36D2" w:rsidP="00281A92">
            <w:pPr>
              <w:spacing w:before="0" w:after="0" w:line="240" w:lineRule="auto"/>
              <w:rPr>
                <w:color w:val="auto"/>
                <w:sz w:val="20"/>
                <w:szCs w:val="20"/>
              </w:rPr>
            </w:pPr>
            <w:r w:rsidRPr="009A36D2">
              <w:rPr>
                <w:color w:val="000000"/>
                <w:sz w:val="22"/>
                <w:szCs w:val="22"/>
              </w:rPr>
              <w:t>210.8</w:t>
            </w:r>
          </w:p>
        </w:tc>
        <w:tc>
          <w:tcPr>
            <w:tcW w:w="551" w:type="pct"/>
            <w:gridSpan w:val="2"/>
            <w:tcBorders>
              <w:top w:val="nil"/>
              <w:left w:val="nil"/>
              <w:bottom w:val="single" w:sz="4" w:space="0" w:color="auto"/>
              <w:right w:val="single" w:sz="4" w:space="0" w:color="auto"/>
            </w:tcBorders>
            <w:shd w:val="clear" w:color="auto" w:fill="auto"/>
            <w:noWrap/>
            <w:vAlign w:val="bottom"/>
          </w:tcPr>
          <w:p w14:paraId="5AF589CB" w14:textId="77777777" w:rsidR="009A36D2" w:rsidRPr="009A36D2" w:rsidRDefault="009A36D2" w:rsidP="00281A92">
            <w:pPr>
              <w:spacing w:before="0" w:after="0" w:line="240" w:lineRule="auto"/>
              <w:rPr>
                <w:color w:val="auto"/>
                <w:sz w:val="20"/>
                <w:szCs w:val="20"/>
              </w:rPr>
            </w:pPr>
            <w:r w:rsidRPr="009A36D2">
              <w:rPr>
                <w:color w:val="000000"/>
                <w:sz w:val="22"/>
                <w:szCs w:val="22"/>
              </w:rPr>
              <w:t>267.8</w:t>
            </w:r>
          </w:p>
        </w:tc>
        <w:tc>
          <w:tcPr>
            <w:tcW w:w="697" w:type="pct"/>
            <w:gridSpan w:val="3"/>
            <w:tcBorders>
              <w:top w:val="nil"/>
              <w:left w:val="nil"/>
              <w:bottom w:val="single" w:sz="4" w:space="0" w:color="auto"/>
              <w:right w:val="single" w:sz="4" w:space="0" w:color="auto"/>
            </w:tcBorders>
            <w:shd w:val="clear" w:color="auto" w:fill="auto"/>
            <w:noWrap/>
            <w:vAlign w:val="bottom"/>
          </w:tcPr>
          <w:p w14:paraId="18B426E9" w14:textId="77777777" w:rsidR="009A36D2" w:rsidRPr="009A36D2" w:rsidRDefault="009A36D2" w:rsidP="00281A92">
            <w:pPr>
              <w:spacing w:before="0" w:after="0" w:line="240" w:lineRule="auto"/>
              <w:rPr>
                <w:color w:val="auto"/>
                <w:sz w:val="20"/>
                <w:szCs w:val="20"/>
              </w:rPr>
            </w:pPr>
            <w:r w:rsidRPr="009A36D2">
              <w:rPr>
                <w:color w:val="000000"/>
                <w:sz w:val="22"/>
                <w:szCs w:val="22"/>
              </w:rPr>
              <w:t>333.4</w:t>
            </w:r>
          </w:p>
        </w:tc>
        <w:tc>
          <w:tcPr>
            <w:tcW w:w="693" w:type="pct"/>
            <w:gridSpan w:val="2"/>
            <w:tcBorders>
              <w:top w:val="nil"/>
              <w:left w:val="nil"/>
              <w:bottom w:val="single" w:sz="4" w:space="0" w:color="auto"/>
              <w:right w:val="single" w:sz="4" w:space="0" w:color="auto"/>
            </w:tcBorders>
            <w:shd w:val="clear" w:color="auto" w:fill="auto"/>
            <w:noWrap/>
            <w:vAlign w:val="bottom"/>
          </w:tcPr>
          <w:p w14:paraId="52457D47" w14:textId="77777777" w:rsidR="009A36D2" w:rsidRPr="009A36D2" w:rsidRDefault="009A36D2" w:rsidP="00281A92">
            <w:pPr>
              <w:spacing w:before="0" w:after="0" w:line="240" w:lineRule="auto"/>
              <w:rPr>
                <w:color w:val="auto"/>
                <w:sz w:val="20"/>
                <w:szCs w:val="20"/>
              </w:rPr>
            </w:pPr>
            <w:r w:rsidRPr="009A36D2">
              <w:rPr>
                <w:color w:val="000000"/>
                <w:sz w:val="22"/>
                <w:szCs w:val="22"/>
              </w:rPr>
              <w:t>356.3</w:t>
            </w:r>
          </w:p>
        </w:tc>
      </w:tr>
      <w:tr w:rsidR="009A36D2" w:rsidRPr="009A36D2" w14:paraId="496970AE"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A470D2E"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58" w:type="pct"/>
            <w:gridSpan w:val="3"/>
            <w:tcBorders>
              <w:top w:val="nil"/>
              <w:left w:val="nil"/>
              <w:bottom w:val="single" w:sz="4" w:space="0" w:color="auto"/>
              <w:right w:val="single" w:sz="4" w:space="0" w:color="auto"/>
            </w:tcBorders>
            <w:shd w:val="clear" w:color="auto" w:fill="auto"/>
            <w:noWrap/>
            <w:vAlign w:val="bottom"/>
          </w:tcPr>
          <w:p w14:paraId="32D14EA4" w14:textId="77777777" w:rsidR="009A36D2" w:rsidRPr="009A36D2" w:rsidRDefault="009A36D2" w:rsidP="00281A92">
            <w:pPr>
              <w:spacing w:before="0" w:after="0" w:line="240" w:lineRule="auto"/>
              <w:rPr>
                <w:color w:val="auto"/>
                <w:sz w:val="20"/>
                <w:szCs w:val="20"/>
              </w:rPr>
            </w:pPr>
            <w:r w:rsidRPr="009A36D2">
              <w:rPr>
                <w:color w:val="000000"/>
                <w:sz w:val="22"/>
                <w:szCs w:val="22"/>
              </w:rPr>
              <w:t>390.7</w:t>
            </w:r>
          </w:p>
        </w:tc>
        <w:tc>
          <w:tcPr>
            <w:tcW w:w="660" w:type="pct"/>
            <w:gridSpan w:val="3"/>
            <w:tcBorders>
              <w:top w:val="nil"/>
              <w:left w:val="nil"/>
              <w:bottom w:val="single" w:sz="4" w:space="0" w:color="auto"/>
              <w:right w:val="single" w:sz="4" w:space="0" w:color="auto"/>
            </w:tcBorders>
            <w:shd w:val="clear" w:color="auto" w:fill="auto"/>
            <w:noWrap/>
            <w:vAlign w:val="bottom"/>
          </w:tcPr>
          <w:p w14:paraId="22C2B482" w14:textId="77777777" w:rsidR="009A36D2" w:rsidRPr="009A36D2" w:rsidRDefault="009A36D2" w:rsidP="00281A92">
            <w:pPr>
              <w:spacing w:before="0" w:after="0" w:line="240" w:lineRule="auto"/>
              <w:rPr>
                <w:color w:val="auto"/>
                <w:sz w:val="20"/>
                <w:szCs w:val="20"/>
              </w:rPr>
            </w:pPr>
            <w:r w:rsidRPr="009A36D2">
              <w:rPr>
                <w:color w:val="000000"/>
                <w:sz w:val="22"/>
                <w:szCs w:val="22"/>
              </w:rPr>
              <w:t>345.0</w:t>
            </w:r>
          </w:p>
        </w:tc>
        <w:tc>
          <w:tcPr>
            <w:tcW w:w="540" w:type="pct"/>
            <w:gridSpan w:val="2"/>
            <w:tcBorders>
              <w:top w:val="nil"/>
              <w:left w:val="nil"/>
              <w:bottom w:val="single" w:sz="4" w:space="0" w:color="auto"/>
              <w:right w:val="single" w:sz="4" w:space="0" w:color="auto"/>
            </w:tcBorders>
            <w:shd w:val="clear" w:color="auto" w:fill="auto"/>
            <w:noWrap/>
            <w:vAlign w:val="bottom"/>
          </w:tcPr>
          <w:p w14:paraId="2293AB48" w14:textId="77777777" w:rsidR="009A36D2" w:rsidRPr="009A36D2" w:rsidRDefault="009A36D2" w:rsidP="00281A92">
            <w:pPr>
              <w:spacing w:before="0" w:after="0" w:line="240" w:lineRule="auto"/>
              <w:rPr>
                <w:color w:val="auto"/>
                <w:sz w:val="20"/>
                <w:szCs w:val="20"/>
              </w:rPr>
            </w:pPr>
            <w:r w:rsidRPr="009A36D2">
              <w:rPr>
                <w:color w:val="000000"/>
                <w:sz w:val="22"/>
                <w:szCs w:val="22"/>
              </w:rPr>
              <w:t>228.7</w:t>
            </w:r>
          </w:p>
        </w:tc>
        <w:tc>
          <w:tcPr>
            <w:tcW w:w="551" w:type="pct"/>
            <w:gridSpan w:val="2"/>
            <w:tcBorders>
              <w:top w:val="nil"/>
              <w:left w:val="nil"/>
              <w:bottom w:val="single" w:sz="4" w:space="0" w:color="auto"/>
              <w:right w:val="single" w:sz="4" w:space="0" w:color="auto"/>
            </w:tcBorders>
            <w:shd w:val="clear" w:color="auto" w:fill="auto"/>
            <w:noWrap/>
            <w:vAlign w:val="bottom"/>
          </w:tcPr>
          <w:p w14:paraId="161EAAA5" w14:textId="77777777" w:rsidR="009A36D2" w:rsidRPr="009A36D2" w:rsidRDefault="009A36D2" w:rsidP="00281A92">
            <w:pPr>
              <w:spacing w:before="0" w:after="0" w:line="240" w:lineRule="auto"/>
              <w:rPr>
                <w:color w:val="auto"/>
                <w:sz w:val="20"/>
                <w:szCs w:val="20"/>
              </w:rPr>
            </w:pPr>
            <w:r w:rsidRPr="009A36D2">
              <w:rPr>
                <w:color w:val="000000"/>
                <w:sz w:val="22"/>
                <w:szCs w:val="22"/>
              </w:rPr>
              <w:t>233.8</w:t>
            </w:r>
          </w:p>
        </w:tc>
        <w:tc>
          <w:tcPr>
            <w:tcW w:w="697" w:type="pct"/>
            <w:gridSpan w:val="3"/>
            <w:tcBorders>
              <w:top w:val="nil"/>
              <w:left w:val="nil"/>
              <w:bottom w:val="single" w:sz="4" w:space="0" w:color="auto"/>
              <w:right w:val="single" w:sz="4" w:space="0" w:color="auto"/>
            </w:tcBorders>
            <w:shd w:val="clear" w:color="auto" w:fill="auto"/>
            <w:noWrap/>
            <w:vAlign w:val="bottom"/>
          </w:tcPr>
          <w:p w14:paraId="31854C57" w14:textId="77777777" w:rsidR="009A36D2" w:rsidRPr="009A36D2" w:rsidRDefault="009A36D2" w:rsidP="00281A92">
            <w:pPr>
              <w:spacing w:before="0" w:after="0" w:line="240" w:lineRule="auto"/>
              <w:rPr>
                <w:color w:val="auto"/>
                <w:sz w:val="20"/>
                <w:szCs w:val="20"/>
              </w:rPr>
            </w:pPr>
            <w:r w:rsidRPr="009A36D2">
              <w:rPr>
                <w:color w:val="000000"/>
                <w:sz w:val="22"/>
                <w:szCs w:val="22"/>
              </w:rPr>
              <w:t>339.3</w:t>
            </w:r>
          </w:p>
        </w:tc>
        <w:tc>
          <w:tcPr>
            <w:tcW w:w="693" w:type="pct"/>
            <w:gridSpan w:val="2"/>
            <w:tcBorders>
              <w:top w:val="nil"/>
              <w:left w:val="nil"/>
              <w:bottom w:val="single" w:sz="4" w:space="0" w:color="auto"/>
              <w:right w:val="single" w:sz="4" w:space="0" w:color="auto"/>
            </w:tcBorders>
            <w:shd w:val="clear" w:color="auto" w:fill="auto"/>
            <w:noWrap/>
            <w:vAlign w:val="bottom"/>
          </w:tcPr>
          <w:p w14:paraId="61CE7B9F" w14:textId="77777777" w:rsidR="009A36D2" w:rsidRPr="009A36D2" w:rsidRDefault="009A36D2" w:rsidP="00281A92">
            <w:pPr>
              <w:spacing w:before="0" w:after="0" w:line="240" w:lineRule="auto"/>
              <w:rPr>
                <w:color w:val="auto"/>
                <w:sz w:val="20"/>
                <w:szCs w:val="20"/>
              </w:rPr>
            </w:pPr>
            <w:r w:rsidRPr="009A36D2">
              <w:rPr>
                <w:color w:val="000000"/>
                <w:sz w:val="22"/>
                <w:szCs w:val="22"/>
              </w:rPr>
              <w:t>382.2</w:t>
            </w:r>
          </w:p>
        </w:tc>
      </w:tr>
      <w:tr w:rsidR="009A36D2" w:rsidRPr="009A36D2" w14:paraId="20A685BE"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D14AEF5"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58" w:type="pct"/>
            <w:gridSpan w:val="3"/>
            <w:tcBorders>
              <w:top w:val="nil"/>
              <w:left w:val="nil"/>
              <w:bottom w:val="single" w:sz="4" w:space="0" w:color="auto"/>
              <w:right w:val="single" w:sz="4" w:space="0" w:color="auto"/>
            </w:tcBorders>
            <w:shd w:val="clear" w:color="auto" w:fill="auto"/>
            <w:noWrap/>
            <w:vAlign w:val="bottom"/>
          </w:tcPr>
          <w:p w14:paraId="4D88CE7C" w14:textId="77777777" w:rsidR="009A36D2" w:rsidRPr="009A36D2" w:rsidRDefault="009A36D2" w:rsidP="00281A92">
            <w:pPr>
              <w:spacing w:before="0" w:after="0" w:line="240" w:lineRule="auto"/>
              <w:rPr>
                <w:color w:val="auto"/>
                <w:sz w:val="20"/>
                <w:szCs w:val="20"/>
              </w:rPr>
            </w:pPr>
            <w:r w:rsidRPr="009A36D2">
              <w:rPr>
                <w:color w:val="000000"/>
                <w:sz w:val="22"/>
                <w:szCs w:val="22"/>
              </w:rPr>
              <w:t>357.3</w:t>
            </w:r>
          </w:p>
        </w:tc>
        <w:tc>
          <w:tcPr>
            <w:tcW w:w="660" w:type="pct"/>
            <w:gridSpan w:val="3"/>
            <w:tcBorders>
              <w:top w:val="nil"/>
              <w:left w:val="nil"/>
              <w:bottom w:val="single" w:sz="4" w:space="0" w:color="auto"/>
              <w:right w:val="single" w:sz="4" w:space="0" w:color="auto"/>
            </w:tcBorders>
            <w:shd w:val="clear" w:color="auto" w:fill="auto"/>
            <w:noWrap/>
            <w:vAlign w:val="bottom"/>
          </w:tcPr>
          <w:p w14:paraId="14665107" w14:textId="77777777" w:rsidR="009A36D2" w:rsidRPr="009A36D2" w:rsidRDefault="009A36D2" w:rsidP="00281A92">
            <w:pPr>
              <w:spacing w:before="0" w:after="0" w:line="240" w:lineRule="auto"/>
              <w:rPr>
                <w:color w:val="auto"/>
                <w:sz w:val="20"/>
                <w:szCs w:val="20"/>
              </w:rPr>
            </w:pPr>
            <w:r w:rsidRPr="009A36D2">
              <w:rPr>
                <w:color w:val="000000"/>
                <w:sz w:val="22"/>
                <w:szCs w:val="22"/>
              </w:rPr>
              <w:t>306.0</w:t>
            </w:r>
          </w:p>
        </w:tc>
        <w:tc>
          <w:tcPr>
            <w:tcW w:w="540" w:type="pct"/>
            <w:gridSpan w:val="2"/>
            <w:tcBorders>
              <w:top w:val="nil"/>
              <w:left w:val="nil"/>
              <w:bottom w:val="single" w:sz="4" w:space="0" w:color="auto"/>
              <w:right w:val="single" w:sz="4" w:space="0" w:color="auto"/>
            </w:tcBorders>
            <w:shd w:val="clear" w:color="auto" w:fill="auto"/>
            <w:noWrap/>
            <w:vAlign w:val="bottom"/>
          </w:tcPr>
          <w:p w14:paraId="343F3530" w14:textId="77777777" w:rsidR="009A36D2" w:rsidRPr="009A36D2" w:rsidRDefault="009A36D2" w:rsidP="00281A92">
            <w:pPr>
              <w:spacing w:before="0" w:after="0" w:line="240" w:lineRule="auto"/>
              <w:rPr>
                <w:color w:val="auto"/>
                <w:sz w:val="20"/>
                <w:szCs w:val="20"/>
              </w:rPr>
            </w:pPr>
            <w:r w:rsidRPr="009A36D2">
              <w:rPr>
                <w:color w:val="000000"/>
                <w:sz w:val="22"/>
                <w:szCs w:val="22"/>
              </w:rPr>
              <w:t>268.9</w:t>
            </w:r>
          </w:p>
        </w:tc>
        <w:tc>
          <w:tcPr>
            <w:tcW w:w="551" w:type="pct"/>
            <w:gridSpan w:val="2"/>
            <w:tcBorders>
              <w:top w:val="nil"/>
              <w:left w:val="nil"/>
              <w:bottom w:val="single" w:sz="4" w:space="0" w:color="auto"/>
              <w:right w:val="single" w:sz="4" w:space="0" w:color="auto"/>
            </w:tcBorders>
            <w:shd w:val="clear" w:color="auto" w:fill="auto"/>
            <w:noWrap/>
            <w:vAlign w:val="bottom"/>
          </w:tcPr>
          <w:p w14:paraId="77E83C63" w14:textId="77777777" w:rsidR="009A36D2" w:rsidRPr="009A36D2" w:rsidRDefault="009A36D2" w:rsidP="00281A92">
            <w:pPr>
              <w:spacing w:before="0" w:after="0" w:line="240" w:lineRule="auto"/>
              <w:rPr>
                <w:color w:val="auto"/>
                <w:sz w:val="20"/>
                <w:szCs w:val="20"/>
              </w:rPr>
            </w:pPr>
            <w:r w:rsidRPr="009A36D2">
              <w:rPr>
                <w:color w:val="000000"/>
                <w:sz w:val="22"/>
                <w:szCs w:val="22"/>
              </w:rPr>
              <w:t>277.3</w:t>
            </w:r>
          </w:p>
        </w:tc>
        <w:tc>
          <w:tcPr>
            <w:tcW w:w="697" w:type="pct"/>
            <w:gridSpan w:val="3"/>
            <w:tcBorders>
              <w:top w:val="nil"/>
              <w:left w:val="nil"/>
              <w:bottom w:val="single" w:sz="4" w:space="0" w:color="auto"/>
              <w:right w:val="single" w:sz="4" w:space="0" w:color="auto"/>
            </w:tcBorders>
            <w:shd w:val="clear" w:color="auto" w:fill="auto"/>
            <w:noWrap/>
            <w:vAlign w:val="bottom"/>
          </w:tcPr>
          <w:p w14:paraId="2361ACE2" w14:textId="77777777" w:rsidR="009A36D2" w:rsidRPr="009A36D2" w:rsidRDefault="009A36D2" w:rsidP="00281A92">
            <w:pPr>
              <w:spacing w:before="0" w:after="0" w:line="240" w:lineRule="auto"/>
              <w:rPr>
                <w:color w:val="auto"/>
                <w:sz w:val="20"/>
                <w:szCs w:val="20"/>
              </w:rPr>
            </w:pPr>
            <w:r w:rsidRPr="009A36D2">
              <w:rPr>
                <w:color w:val="000000"/>
                <w:sz w:val="22"/>
                <w:szCs w:val="22"/>
              </w:rPr>
              <w:t>341.6</w:t>
            </w:r>
          </w:p>
        </w:tc>
        <w:tc>
          <w:tcPr>
            <w:tcW w:w="693" w:type="pct"/>
            <w:gridSpan w:val="2"/>
            <w:tcBorders>
              <w:top w:val="nil"/>
              <w:left w:val="nil"/>
              <w:bottom w:val="single" w:sz="4" w:space="0" w:color="auto"/>
              <w:right w:val="single" w:sz="4" w:space="0" w:color="auto"/>
            </w:tcBorders>
            <w:shd w:val="clear" w:color="auto" w:fill="auto"/>
            <w:noWrap/>
            <w:vAlign w:val="bottom"/>
          </w:tcPr>
          <w:p w14:paraId="75322AF2" w14:textId="77777777" w:rsidR="009A36D2" w:rsidRPr="009A36D2" w:rsidRDefault="009A36D2" w:rsidP="00281A92">
            <w:pPr>
              <w:spacing w:before="0" w:after="0" w:line="240" w:lineRule="auto"/>
              <w:rPr>
                <w:color w:val="auto"/>
                <w:sz w:val="20"/>
                <w:szCs w:val="20"/>
              </w:rPr>
            </w:pPr>
            <w:r w:rsidRPr="009A36D2">
              <w:rPr>
                <w:color w:val="000000"/>
                <w:sz w:val="22"/>
                <w:szCs w:val="22"/>
              </w:rPr>
              <w:t>380.8</w:t>
            </w:r>
          </w:p>
        </w:tc>
      </w:tr>
      <w:tr w:rsidR="009A36D2" w:rsidRPr="009A36D2" w14:paraId="56AB4A26"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F659F5E"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58" w:type="pct"/>
            <w:gridSpan w:val="3"/>
            <w:tcBorders>
              <w:top w:val="nil"/>
              <w:left w:val="nil"/>
              <w:bottom w:val="single" w:sz="4" w:space="0" w:color="auto"/>
              <w:right w:val="single" w:sz="4" w:space="0" w:color="auto"/>
            </w:tcBorders>
            <w:shd w:val="clear" w:color="auto" w:fill="auto"/>
            <w:noWrap/>
            <w:vAlign w:val="bottom"/>
          </w:tcPr>
          <w:p w14:paraId="689FAEB7" w14:textId="77777777" w:rsidR="009A36D2" w:rsidRPr="009A36D2" w:rsidRDefault="009A36D2" w:rsidP="00281A92">
            <w:pPr>
              <w:spacing w:before="0" w:after="0" w:line="240" w:lineRule="auto"/>
              <w:rPr>
                <w:color w:val="auto"/>
                <w:sz w:val="20"/>
                <w:szCs w:val="20"/>
              </w:rPr>
            </w:pPr>
            <w:r w:rsidRPr="009A36D2">
              <w:rPr>
                <w:color w:val="000000"/>
                <w:sz w:val="22"/>
                <w:szCs w:val="22"/>
              </w:rPr>
              <w:t>407.2</w:t>
            </w:r>
          </w:p>
        </w:tc>
        <w:tc>
          <w:tcPr>
            <w:tcW w:w="660" w:type="pct"/>
            <w:gridSpan w:val="3"/>
            <w:tcBorders>
              <w:top w:val="nil"/>
              <w:left w:val="nil"/>
              <w:bottom w:val="single" w:sz="4" w:space="0" w:color="auto"/>
              <w:right w:val="single" w:sz="4" w:space="0" w:color="auto"/>
            </w:tcBorders>
            <w:shd w:val="clear" w:color="auto" w:fill="auto"/>
            <w:noWrap/>
            <w:vAlign w:val="bottom"/>
          </w:tcPr>
          <w:p w14:paraId="50FE8CF4" w14:textId="77777777" w:rsidR="009A36D2" w:rsidRPr="009A36D2" w:rsidRDefault="009A36D2" w:rsidP="00281A92">
            <w:pPr>
              <w:spacing w:before="0" w:after="0" w:line="240" w:lineRule="auto"/>
              <w:rPr>
                <w:color w:val="auto"/>
                <w:sz w:val="20"/>
                <w:szCs w:val="20"/>
              </w:rPr>
            </w:pPr>
            <w:r w:rsidRPr="009A36D2">
              <w:rPr>
                <w:color w:val="000000"/>
                <w:sz w:val="22"/>
                <w:szCs w:val="22"/>
              </w:rPr>
              <w:t>343.5</w:t>
            </w:r>
          </w:p>
        </w:tc>
        <w:tc>
          <w:tcPr>
            <w:tcW w:w="540" w:type="pct"/>
            <w:gridSpan w:val="2"/>
            <w:tcBorders>
              <w:top w:val="nil"/>
              <w:left w:val="nil"/>
              <w:bottom w:val="single" w:sz="4" w:space="0" w:color="auto"/>
              <w:right w:val="single" w:sz="4" w:space="0" w:color="auto"/>
            </w:tcBorders>
            <w:shd w:val="clear" w:color="auto" w:fill="auto"/>
            <w:noWrap/>
            <w:vAlign w:val="bottom"/>
          </w:tcPr>
          <w:p w14:paraId="50724AC0" w14:textId="77777777" w:rsidR="009A36D2" w:rsidRPr="009A36D2" w:rsidRDefault="009A36D2" w:rsidP="00281A92">
            <w:pPr>
              <w:spacing w:before="0" w:after="0" w:line="240" w:lineRule="auto"/>
              <w:rPr>
                <w:color w:val="auto"/>
                <w:sz w:val="20"/>
                <w:szCs w:val="20"/>
              </w:rPr>
            </w:pPr>
            <w:r w:rsidRPr="009A36D2">
              <w:rPr>
                <w:color w:val="000000"/>
                <w:sz w:val="22"/>
                <w:szCs w:val="22"/>
              </w:rPr>
              <w:t>261.5</w:t>
            </w:r>
          </w:p>
        </w:tc>
        <w:tc>
          <w:tcPr>
            <w:tcW w:w="551" w:type="pct"/>
            <w:gridSpan w:val="2"/>
            <w:tcBorders>
              <w:top w:val="nil"/>
              <w:left w:val="nil"/>
              <w:bottom w:val="single" w:sz="4" w:space="0" w:color="auto"/>
              <w:right w:val="single" w:sz="4" w:space="0" w:color="auto"/>
            </w:tcBorders>
            <w:shd w:val="clear" w:color="auto" w:fill="auto"/>
            <w:noWrap/>
            <w:vAlign w:val="bottom"/>
          </w:tcPr>
          <w:p w14:paraId="4BAA86FC" w14:textId="77777777" w:rsidR="009A36D2" w:rsidRPr="009A36D2" w:rsidRDefault="009A36D2" w:rsidP="00281A92">
            <w:pPr>
              <w:spacing w:before="0" w:after="0" w:line="240" w:lineRule="auto"/>
              <w:rPr>
                <w:color w:val="auto"/>
                <w:sz w:val="20"/>
                <w:szCs w:val="20"/>
              </w:rPr>
            </w:pPr>
            <w:r w:rsidRPr="009A36D2">
              <w:rPr>
                <w:color w:val="000000"/>
                <w:sz w:val="22"/>
                <w:szCs w:val="22"/>
              </w:rPr>
              <w:t>254.1</w:t>
            </w:r>
          </w:p>
        </w:tc>
        <w:tc>
          <w:tcPr>
            <w:tcW w:w="697" w:type="pct"/>
            <w:gridSpan w:val="3"/>
            <w:tcBorders>
              <w:top w:val="nil"/>
              <w:left w:val="nil"/>
              <w:bottom w:val="single" w:sz="4" w:space="0" w:color="auto"/>
              <w:right w:val="single" w:sz="4" w:space="0" w:color="auto"/>
            </w:tcBorders>
            <w:shd w:val="clear" w:color="auto" w:fill="auto"/>
            <w:noWrap/>
            <w:vAlign w:val="bottom"/>
          </w:tcPr>
          <w:p w14:paraId="68094637" w14:textId="77777777" w:rsidR="009A36D2" w:rsidRPr="009A36D2" w:rsidRDefault="009A36D2" w:rsidP="00281A92">
            <w:pPr>
              <w:spacing w:before="0" w:after="0" w:line="240" w:lineRule="auto"/>
              <w:rPr>
                <w:color w:val="auto"/>
                <w:sz w:val="20"/>
                <w:szCs w:val="20"/>
              </w:rPr>
            </w:pPr>
            <w:r w:rsidRPr="009A36D2">
              <w:rPr>
                <w:color w:val="000000"/>
                <w:sz w:val="22"/>
                <w:szCs w:val="22"/>
              </w:rPr>
              <w:t>324.5</w:t>
            </w:r>
          </w:p>
        </w:tc>
        <w:tc>
          <w:tcPr>
            <w:tcW w:w="693" w:type="pct"/>
            <w:gridSpan w:val="2"/>
            <w:tcBorders>
              <w:top w:val="nil"/>
              <w:left w:val="nil"/>
              <w:bottom w:val="single" w:sz="4" w:space="0" w:color="auto"/>
              <w:right w:val="single" w:sz="4" w:space="0" w:color="auto"/>
            </w:tcBorders>
            <w:shd w:val="clear" w:color="auto" w:fill="auto"/>
            <w:noWrap/>
            <w:vAlign w:val="bottom"/>
          </w:tcPr>
          <w:p w14:paraId="46D78F8F" w14:textId="77777777" w:rsidR="009A36D2" w:rsidRPr="009A36D2" w:rsidRDefault="009A36D2" w:rsidP="00281A92">
            <w:pPr>
              <w:spacing w:before="0" w:after="0" w:line="240" w:lineRule="auto"/>
              <w:rPr>
                <w:color w:val="auto"/>
                <w:sz w:val="20"/>
                <w:szCs w:val="20"/>
              </w:rPr>
            </w:pPr>
            <w:r w:rsidRPr="009A36D2">
              <w:rPr>
                <w:color w:val="000000"/>
                <w:sz w:val="22"/>
                <w:szCs w:val="22"/>
              </w:rPr>
              <w:t>380.3</w:t>
            </w:r>
          </w:p>
        </w:tc>
      </w:tr>
      <w:tr w:rsidR="009A36D2" w:rsidRPr="009A36D2" w14:paraId="51F3320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486E8C"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58" w:type="pct"/>
            <w:gridSpan w:val="3"/>
            <w:tcBorders>
              <w:top w:val="nil"/>
              <w:left w:val="nil"/>
              <w:bottom w:val="single" w:sz="4" w:space="0" w:color="auto"/>
              <w:right w:val="single" w:sz="4" w:space="0" w:color="auto"/>
            </w:tcBorders>
            <w:shd w:val="clear" w:color="auto" w:fill="auto"/>
            <w:noWrap/>
            <w:vAlign w:val="bottom"/>
          </w:tcPr>
          <w:p w14:paraId="69C5A30F" w14:textId="77777777" w:rsidR="009A36D2" w:rsidRPr="009A36D2" w:rsidRDefault="009A36D2" w:rsidP="00281A92">
            <w:pPr>
              <w:spacing w:before="0" w:after="0" w:line="240" w:lineRule="auto"/>
              <w:rPr>
                <w:color w:val="auto"/>
                <w:sz w:val="20"/>
                <w:szCs w:val="20"/>
              </w:rPr>
            </w:pPr>
            <w:r w:rsidRPr="009A36D2">
              <w:rPr>
                <w:color w:val="000000"/>
                <w:sz w:val="22"/>
                <w:szCs w:val="22"/>
              </w:rPr>
              <w:t>323.3</w:t>
            </w:r>
          </w:p>
        </w:tc>
        <w:tc>
          <w:tcPr>
            <w:tcW w:w="660" w:type="pct"/>
            <w:gridSpan w:val="3"/>
            <w:tcBorders>
              <w:top w:val="nil"/>
              <w:left w:val="nil"/>
              <w:bottom w:val="single" w:sz="4" w:space="0" w:color="auto"/>
              <w:right w:val="single" w:sz="4" w:space="0" w:color="auto"/>
            </w:tcBorders>
            <w:shd w:val="clear" w:color="auto" w:fill="auto"/>
            <w:noWrap/>
            <w:vAlign w:val="bottom"/>
          </w:tcPr>
          <w:p w14:paraId="5E0D6B1C" w14:textId="77777777" w:rsidR="009A36D2" w:rsidRPr="009A36D2" w:rsidRDefault="009A36D2" w:rsidP="00281A92">
            <w:pPr>
              <w:spacing w:before="0" w:after="0" w:line="240" w:lineRule="auto"/>
              <w:rPr>
                <w:color w:val="auto"/>
                <w:sz w:val="20"/>
                <w:szCs w:val="20"/>
              </w:rPr>
            </w:pPr>
            <w:r w:rsidRPr="009A36D2">
              <w:rPr>
                <w:color w:val="000000"/>
                <w:sz w:val="22"/>
                <w:szCs w:val="22"/>
              </w:rPr>
              <w:t>303.2</w:t>
            </w:r>
          </w:p>
        </w:tc>
        <w:tc>
          <w:tcPr>
            <w:tcW w:w="540" w:type="pct"/>
            <w:gridSpan w:val="2"/>
            <w:tcBorders>
              <w:top w:val="nil"/>
              <w:left w:val="nil"/>
              <w:bottom w:val="single" w:sz="4" w:space="0" w:color="auto"/>
              <w:right w:val="single" w:sz="4" w:space="0" w:color="auto"/>
            </w:tcBorders>
            <w:shd w:val="clear" w:color="auto" w:fill="auto"/>
            <w:noWrap/>
            <w:vAlign w:val="bottom"/>
          </w:tcPr>
          <w:p w14:paraId="43D30A42" w14:textId="77777777" w:rsidR="009A36D2" w:rsidRPr="009A36D2" w:rsidRDefault="009A36D2" w:rsidP="00281A92">
            <w:pPr>
              <w:spacing w:before="0" w:after="0" w:line="240" w:lineRule="auto"/>
              <w:rPr>
                <w:color w:val="auto"/>
                <w:sz w:val="20"/>
                <w:szCs w:val="20"/>
              </w:rPr>
            </w:pPr>
            <w:r w:rsidRPr="009A36D2">
              <w:rPr>
                <w:color w:val="000000"/>
                <w:sz w:val="22"/>
                <w:szCs w:val="22"/>
              </w:rPr>
              <w:t>212.2</w:t>
            </w:r>
          </w:p>
        </w:tc>
        <w:tc>
          <w:tcPr>
            <w:tcW w:w="551" w:type="pct"/>
            <w:gridSpan w:val="2"/>
            <w:tcBorders>
              <w:top w:val="nil"/>
              <w:left w:val="nil"/>
              <w:bottom w:val="single" w:sz="4" w:space="0" w:color="auto"/>
              <w:right w:val="single" w:sz="4" w:space="0" w:color="auto"/>
            </w:tcBorders>
            <w:shd w:val="clear" w:color="auto" w:fill="auto"/>
            <w:noWrap/>
            <w:vAlign w:val="bottom"/>
          </w:tcPr>
          <w:p w14:paraId="123D4DD6" w14:textId="77777777" w:rsidR="009A36D2" w:rsidRPr="009A36D2" w:rsidRDefault="009A36D2" w:rsidP="00281A92">
            <w:pPr>
              <w:spacing w:before="0" w:after="0" w:line="240" w:lineRule="auto"/>
              <w:rPr>
                <w:color w:val="auto"/>
                <w:sz w:val="20"/>
                <w:szCs w:val="20"/>
              </w:rPr>
            </w:pPr>
            <w:r w:rsidRPr="009A36D2">
              <w:rPr>
                <w:color w:val="000000"/>
                <w:sz w:val="22"/>
                <w:szCs w:val="22"/>
              </w:rPr>
              <w:t>208.2</w:t>
            </w:r>
          </w:p>
        </w:tc>
        <w:tc>
          <w:tcPr>
            <w:tcW w:w="697" w:type="pct"/>
            <w:gridSpan w:val="3"/>
            <w:tcBorders>
              <w:top w:val="nil"/>
              <w:left w:val="nil"/>
              <w:bottom w:val="single" w:sz="4" w:space="0" w:color="auto"/>
              <w:right w:val="single" w:sz="4" w:space="0" w:color="auto"/>
            </w:tcBorders>
            <w:shd w:val="clear" w:color="auto" w:fill="auto"/>
            <w:noWrap/>
            <w:vAlign w:val="bottom"/>
          </w:tcPr>
          <w:p w14:paraId="54DFC5A3" w14:textId="77777777" w:rsidR="009A36D2" w:rsidRPr="009A36D2" w:rsidRDefault="009A36D2" w:rsidP="00281A92">
            <w:pPr>
              <w:spacing w:before="0" w:after="0" w:line="240" w:lineRule="auto"/>
              <w:rPr>
                <w:color w:val="auto"/>
                <w:sz w:val="20"/>
                <w:szCs w:val="20"/>
              </w:rPr>
            </w:pPr>
            <w:r w:rsidRPr="009A36D2">
              <w:rPr>
                <w:color w:val="000000"/>
                <w:sz w:val="22"/>
                <w:szCs w:val="22"/>
              </w:rPr>
              <w:t>289.8</w:t>
            </w:r>
          </w:p>
        </w:tc>
        <w:tc>
          <w:tcPr>
            <w:tcW w:w="693" w:type="pct"/>
            <w:gridSpan w:val="2"/>
            <w:tcBorders>
              <w:top w:val="nil"/>
              <w:left w:val="nil"/>
              <w:bottom w:val="single" w:sz="4" w:space="0" w:color="auto"/>
              <w:right w:val="single" w:sz="4" w:space="0" w:color="auto"/>
            </w:tcBorders>
            <w:shd w:val="clear" w:color="auto" w:fill="auto"/>
            <w:noWrap/>
            <w:vAlign w:val="bottom"/>
          </w:tcPr>
          <w:p w14:paraId="27ADCF37" w14:textId="77777777" w:rsidR="009A36D2" w:rsidRPr="009A36D2" w:rsidRDefault="009A36D2" w:rsidP="00281A92">
            <w:pPr>
              <w:spacing w:before="0" w:after="0" w:line="240" w:lineRule="auto"/>
              <w:rPr>
                <w:color w:val="auto"/>
                <w:sz w:val="20"/>
                <w:szCs w:val="20"/>
              </w:rPr>
            </w:pPr>
            <w:r w:rsidRPr="009A36D2">
              <w:rPr>
                <w:color w:val="000000"/>
                <w:sz w:val="22"/>
                <w:szCs w:val="22"/>
              </w:rPr>
              <w:t>332.8</w:t>
            </w:r>
          </w:p>
        </w:tc>
      </w:tr>
      <w:tr w:rsidR="009A36D2" w:rsidRPr="009A36D2" w14:paraId="40DF694D"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9D2B6C4"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58" w:type="pct"/>
            <w:gridSpan w:val="3"/>
            <w:tcBorders>
              <w:top w:val="nil"/>
              <w:left w:val="nil"/>
              <w:bottom w:val="single" w:sz="4" w:space="0" w:color="auto"/>
              <w:right w:val="single" w:sz="4" w:space="0" w:color="auto"/>
            </w:tcBorders>
            <w:shd w:val="clear" w:color="auto" w:fill="auto"/>
            <w:noWrap/>
            <w:vAlign w:val="bottom"/>
          </w:tcPr>
          <w:p w14:paraId="23BA6BF3" w14:textId="77777777" w:rsidR="009A36D2" w:rsidRPr="009A36D2" w:rsidRDefault="009A36D2" w:rsidP="00281A92">
            <w:pPr>
              <w:spacing w:before="0" w:after="0" w:line="240" w:lineRule="auto"/>
              <w:rPr>
                <w:color w:val="auto"/>
                <w:sz w:val="20"/>
                <w:szCs w:val="20"/>
              </w:rPr>
            </w:pPr>
            <w:r w:rsidRPr="009A36D2">
              <w:rPr>
                <w:color w:val="000000"/>
                <w:sz w:val="22"/>
                <w:szCs w:val="22"/>
              </w:rPr>
              <w:t>283.7</w:t>
            </w:r>
          </w:p>
        </w:tc>
        <w:tc>
          <w:tcPr>
            <w:tcW w:w="660" w:type="pct"/>
            <w:gridSpan w:val="3"/>
            <w:tcBorders>
              <w:top w:val="nil"/>
              <w:left w:val="nil"/>
              <w:bottom w:val="single" w:sz="4" w:space="0" w:color="auto"/>
              <w:right w:val="single" w:sz="4" w:space="0" w:color="auto"/>
            </w:tcBorders>
            <w:shd w:val="clear" w:color="auto" w:fill="auto"/>
            <w:noWrap/>
            <w:vAlign w:val="bottom"/>
          </w:tcPr>
          <w:p w14:paraId="41CC0EBC" w14:textId="77777777" w:rsidR="009A36D2" w:rsidRPr="009A36D2" w:rsidRDefault="009A36D2" w:rsidP="00281A92">
            <w:pPr>
              <w:spacing w:before="0" w:after="0" w:line="240" w:lineRule="auto"/>
              <w:rPr>
                <w:color w:val="auto"/>
                <w:sz w:val="20"/>
                <w:szCs w:val="20"/>
              </w:rPr>
            </w:pPr>
            <w:r w:rsidRPr="009A36D2">
              <w:rPr>
                <w:color w:val="000000"/>
                <w:sz w:val="22"/>
                <w:szCs w:val="22"/>
              </w:rPr>
              <w:t>265.3</w:t>
            </w:r>
          </w:p>
        </w:tc>
        <w:tc>
          <w:tcPr>
            <w:tcW w:w="540" w:type="pct"/>
            <w:gridSpan w:val="2"/>
            <w:tcBorders>
              <w:top w:val="nil"/>
              <w:left w:val="nil"/>
              <w:bottom w:val="single" w:sz="4" w:space="0" w:color="auto"/>
              <w:right w:val="single" w:sz="4" w:space="0" w:color="auto"/>
            </w:tcBorders>
            <w:shd w:val="clear" w:color="auto" w:fill="auto"/>
            <w:noWrap/>
            <w:vAlign w:val="bottom"/>
          </w:tcPr>
          <w:p w14:paraId="4C5E2ABF" w14:textId="77777777" w:rsidR="009A36D2" w:rsidRPr="009A36D2" w:rsidRDefault="009A36D2" w:rsidP="00281A92">
            <w:pPr>
              <w:spacing w:before="0" w:after="0" w:line="240" w:lineRule="auto"/>
              <w:rPr>
                <w:color w:val="auto"/>
                <w:sz w:val="20"/>
                <w:szCs w:val="20"/>
              </w:rPr>
            </w:pPr>
            <w:r w:rsidRPr="009A36D2">
              <w:rPr>
                <w:color w:val="000000"/>
                <w:sz w:val="22"/>
                <w:szCs w:val="22"/>
              </w:rPr>
              <w:t>225.8</w:t>
            </w:r>
          </w:p>
        </w:tc>
        <w:tc>
          <w:tcPr>
            <w:tcW w:w="551" w:type="pct"/>
            <w:gridSpan w:val="2"/>
            <w:tcBorders>
              <w:top w:val="nil"/>
              <w:left w:val="nil"/>
              <w:bottom w:val="single" w:sz="4" w:space="0" w:color="auto"/>
              <w:right w:val="single" w:sz="4" w:space="0" w:color="auto"/>
            </w:tcBorders>
            <w:shd w:val="clear" w:color="auto" w:fill="auto"/>
            <w:noWrap/>
            <w:vAlign w:val="bottom"/>
          </w:tcPr>
          <w:p w14:paraId="539AC32B" w14:textId="77777777" w:rsidR="009A36D2" w:rsidRPr="009A36D2" w:rsidRDefault="009A36D2" w:rsidP="00281A92">
            <w:pPr>
              <w:spacing w:before="0" w:after="0" w:line="240" w:lineRule="auto"/>
              <w:rPr>
                <w:color w:val="auto"/>
                <w:sz w:val="20"/>
                <w:szCs w:val="20"/>
              </w:rPr>
            </w:pPr>
            <w:r w:rsidRPr="009A36D2">
              <w:rPr>
                <w:color w:val="000000"/>
                <w:sz w:val="22"/>
                <w:szCs w:val="22"/>
              </w:rPr>
              <w:t>238.7</w:t>
            </w:r>
          </w:p>
        </w:tc>
        <w:tc>
          <w:tcPr>
            <w:tcW w:w="697" w:type="pct"/>
            <w:gridSpan w:val="3"/>
            <w:tcBorders>
              <w:top w:val="nil"/>
              <w:left w:val="nil"/>
              <w:bottom w:val="single" w:sz="4" w:space="0" w:color="auto"/>
              <w:right w:val="single" w:sz="4" w:space="0" w:color="auto"/>
            </w:tcBorders>
            <w:shd w:val="clear" w:color="auto" w:fill="auto"/>
            <w:noWrap/>
            <w:vAlign w:val="bottom"/>
          </w:tcPr>
          <w:p w14:paraId="733E2408" w14:textId="77777777" w:rsidR="009A36D2" w:rsidRPr="009A36D2" w:rsidRDefault="009A36D2" w:rsidP="00281A92">
            <w:pPr>
              <w:spacing w:before="0" w:after="0" w:line="240" w:lineRule="auto"/>
              <w:rPr>
                <w:color w:val="auto"/>
                <w:sz w:val="20"/>
                <w:szCs w:val="20"/>
              </w:rPr>
            </w:pPr>
            <w:r w:rsidRPr="009A36D2">
              <w:rPr>
                <w:color w:val="000000"/>
                <w:sz w:val="22"/>
                <w:szCs w:val="22"/>
              </w:rPr>
              <w:t>264.3</w:t>
            </w:r>
          </w:p>
        </w:tc>
        <w:tc>
          <w:tcPr>
            <w:tcW w:w="693" w:type="pct"/>
            <w:gridSpan w:val="2"/>
            <w:tcBorders>
              <w:top w:val="nil"/>
              <w:left w:val="nil"/>
              <w:bottom w:val="single" w:sz="4" w:space="0" w:color="auto"/>
              <w:right w:val="single" w:sz="4" w:space="0" w:color="auto"/>
            </w:tcBorders>
            <w:shd w:val="clear" w:color="auto" w:fill="auto"/>
            <w:noWrap/>
            <w:vAlign w:val="bottom"/>
          </w:tcPr>
          <w:p w14:paraId="31F937D3" w14:textId="77777777" w:rsidR="009A36D2" w:rsidRPr="009A36D2" w:rsidRDefault="009A36D2" w:rsidP="00281A92">
            <w:pPr>
              <w:spacing w:before="0" w:after="0" w:line="240" w:lineRule="auto"/>
              <w:rPr>
                <w:color w:val="auto"/>
                <w:sz w:val="20"/>
                <w:szCs w:val="20"/>
              </w:rPr>
            </w:pPr>
            <w:r w:rsidRPr="009A36D2">
              <w:rPr>
                <w:color w:val="000000"/>
                <w:sz w:val="22"/>
                <w:szCs w:val="22"/>
              </w:rPr>
              <w:t>313.6</w:t>
            </w:r>
          </w:p>
        </w:tc>
      </w:tr>
      <w:tr w:rsidR="009A36D2" w:rsidRPr="009A36D2" w14:paraId="180575F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5D78C08"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58" w:type="pct"/>
            <w:gridSpan w:val="3"/>
            <w:tcBorders>
              <w:top w:val="nil"/>
              <w:left w:val="nil"/>
              <w:bottom w:val="single" w:sz="4" w:space="0" w:color="auto"/>
              <w:right w:val="single" w:sz="4" w:space="0" w:color="auto"/>
            </w:tcBorders>
            <w:shd w:val="clear" w:color="auto" w:fill="auto"/>
            <w:noWrap/>
            <w:vAlign w:val="bottom"/>
          </w:tcPr>
          <w:p w14:paraId="4923FFAC" w14:textId="77777777" w:rsidR="009A36D2" w:rsidRPr="009A36D2" w:rsidRDefault="009A36D2" w:rsidP="00281A92">
            <w:pPr>
              <w:spacing w:before="0" w:after="0" w:line="240" w:lineRule="auto"/>
              <w:rPr>
                <w:color w:val="auto"/>
                <w:sz w:val="20"/>
                <w:szCs w:val="20"/>
              </w:rPr>
            </w:pPr>
            <w:r w:rsidRPr="009A36D2">
              <w:rPr>
                <w:color w:val="000000"/>
                <w:sz w:val="22"/>
                <w:szCs w:val="22"/>
              </w:rPr>
              <w:t>397.3</w:t>
            </w:r>
          </w:p>
        </w:tc>
        <w:tc>
          <w:tcPr>
            <w:tcW w:w="660" w:type="pct"/>
            <w:gridSpan w:val="3"/>
            <w:tcBorders>
              <w:top w:val="nil"/>
              <w:left w:val="nil"/>
              <w:bottom w:val="single" w:sz="4" w:space="0" w:color="auto"/>
              <w:right w:val="single" w:sz="4" w:space="0" w:color="auto"/>
            </w:tcBorders>
            <w:shd w:val="clear" w:color="auto" w:fill="auto"/>
            <w:noWrap/>
            <w:vAlign w:val="bottom"/>
          </w:tcPr>
          <w:p w14:paraId="0514517D" w14:textId="77777777" w:rsidR="009A36D2" w:rsidRPr="009A36D2" w:rsidRDefault="009A36D2" w:rsidP="00281A92">
            <w:pPr>
              <w:spacing w:before="0" w:after="0" w:line="240" w:lineRule="auto"/>
              <w:rPr>
                <w:color w:val="auto"/>
                <w:sz w:val="20"/>
                <w:szCs w:val="20"/>
              </w:rPr>
            </w:pPr>
            <w:r w:rsidRPr="009A36D2">
              <w:rPr>
                <w:color w:val="000000"/>
                <w:sz w:val="22"/>
                <w:szCs w:val="22"/>
              </w:rPr>
              <w:t>378.3</w:t>
            </w:r>
          </w:p>
        </w:tc>
        <w:tc>
          <w:tcPr>
            <w:tcW w:w="540" w:type="pct"/>
            <w:gridSpan w:val="2"/>
            <w:tcBorders>
              <w:top w:val="nil"/>
              <w:left w:val="nil"/>
              <w:bottom w:val="single" w:sz="4" w:space="0" w:color="auto"/>
              <w:right w:val="single" w:sz="4" w:space="0" w:color="auto"/>
            </w:tcBorders>
            <w:shd w:val="clear" w:color="auto" w:fill="auto"/>
            <w:noWrap/>
            <w:vAlign w:val="bottom"/>
          </w:tcPr>
          <w:p w14:paraId="7786E061" w14:textId="77777777" w:rsidR="009A36D2" w:rsidRPr="009A36D2" w:rsidRDefault="009A36D2" w:rsidP="00281A92">
            <w:pPr>
              <w:spacing w:before="0" w:after="0" w:line="240" w:lineRule="auto"/>
              <w:rPr>
                <w:color w:val="auto"/>
                <w:sz w:val="20"/>
                <w:szCs w:val="20"/>
              </w:rPr>
            </w:pPr>
            <w:r w:rsidRPr="009A36D2">
              <w:rPr>
                <w:color w:val="000000"/>
                <w:sz w:val="22"/>
                <w:szCs w:val="22"/>
              </w:rPr>
              <w:t>290.2</w:t>
            </w:r>
          </w:p>
        </w:tc>
        <w:tc>
          <w:tcPr>
            <w:tcW w:w="551" w:type="pct"/>
            <w:gridSpan w:val="2"/>
            <w:tcBorders>
              <w:top w:val="nil"/>
              <w:left w:val="nil"/>
              <w:bottom w:val="single" w:sz="4" w:space="0" w:color="auto"/>
              <w:right w:val="single" w:sz="4" w:space="0" w:color="auto"/>
            </w:tcBorders>
            <w:shd w:val="clear" w:color="auto" w:fill="auto"/>
            <w:noWrap/>
            <w:vAlign w:val="bottom"/>
          </w:tcPr>
          <w:p w14:paraId="0C5ADD61" w14:textId="77777777" w:rsidR="009A36D2" w:rsidRPr="009A36D2" w:rsidRDefault="009A36D2" w:rsidP="00281A92">
            <w:pPr>
              <w:spacing w:before="0" w:after="0" w:line="240" w:lineRule="auto"/>
              <w:rPr>
                <w:color w:val="auto"/>
                <w:sz w:val="20"/>
                <w:szCs w:val="20"/>
              </w:rPr>
            </w:pPr>
            <w:r w:rsidRPr="009A36D2">
              <w:rPr>
                <w:color w:val="000000"/>
                <w:sz w:val="22"/>
                <w:szCs w:val="22"/>
              </w:rPr>
              <w:t>324.1</w:t>
            </w:r>
          </w:p>
        </w:tc>
        <w:tc>
          <w:tcPr>
            <w:tcW w:w="697" w:type="pct"/>
            <w:gridSpan w:val="3"/>
            <w:tcBorders>
              <w:top w:val="nil"/>
              <w:left w:val="nil"/>
              <w:bottom w:val="single" w:sz="4" w:space="0" w:color="auto"/>
              <w:right w:val="single" w:sz="4" w:space="0" w:color="auto"/>
            </w:tcBorders>
            <w:shd w:val="clear" w:color="auto" w:fill="auto"/>
            <w:noWrap/>
            <w:vAlign w:val="bottom"/>
          </w:tcPr>
          <w:p w14:paraId="14EB9AB2" w14:textId="77777777" w:rsidR="009A36D2" w:rsidRPr="009A36D2" w:rsidRDefault="009A36D2" w:rsidP="00281A92">
            <w:pPr>
              <w:spacing w:before="0" w:after="0" w:line="240" w:lineRule="auto"/>
              <w:rPr>
                <w:color w:val="auto"/>
                <w:sz w:val="20"/>
                <w:szCs w:val="20"/>
              </w:rPr>
            </w:pPr>
            <w:r w:rsidRPr="009A36D2">
              <w:rPr>
                <w:color w:val="000000"/>
                <w:sz w:val="22"/>
                <w:szCs w:val="22"/>
              </w:rPr>
              <w:t>344.0</w:t>
            </w:r>
          </w:p>
        </w:tc>
        <w:tc>
          <w:tcPr>
            <w:tcW w:w="693" w:type="pct"/>
            <w:gridSpan w:val="2"/>
            <w:tcBorders>
              <w:top w:val="nil"/>
              <w:left w:val="nil"/>
              <w:bottom w:val="single" w:sz="4" w:space="0" w:color="auto"/>
              <w:right w:val="single" w:sz="4" w:space="0" w:color="auto"/>
            </w:tcBorders>
            <w:shd w:val="clear" w:color="auto" w:fill="auto"/>
            <w:noWrap/>
            <w:vAlign w:val="bottom"/>
          </w:tcPr>
          <w:p w14:paraId="2D9A6AF1" w14:textId="77777777" w:rsidR="009A36D2" w:rsidRPr="009A36D2" w:rsidRDefault="009A36D2" w:rsidP="00281A92">
            <w:pPr>
              <w:spacing w:before="0" w:after="0" w:line="240" w:lineRule="auto"/>
              <w:rPr>
                <w:color w:val="auto"/>
                <w:sz w:val="20"/>
                <w:szCs w:val="20"/>
              </w:rPr>
            </w:pPr>
            <w:r w:rsidRPr="009A36D2">
              <w:rPr>
                <w:color w:val="000000"/>
                <w:sz w:val="22"/>
                <w:szCs w:val="22"/>
              </w:rPr>
              <w:t>430.8</w:t>
            </w:r>
          </w:p>
        </w:tc>
      </w:tr>
      <w:tr w:rsidR="009A36D2" w:rsidRPr="009A36D2" w14:paraId="00C9CB3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48A88F3" w14:textId="77777777" w:rsidR="009A36D2" w:rsidRPr="009A36D2" w:rsidRDefault="009A36D2" w:rsidP="00281A92">
            <w:pPr>
              <w:spacing w:before="0" w:after="0" w:line="240" w:lineRule="auto"/>
              <w:rPr>
                <w:color w:val="auto"/>
                <w:sz w:val="20"/>
                <w:szCs w:val="20"/>
              </w:rPr>
            </w:pPr>
            <w:r w:rsidRPr="009A36D2">
              <w:rPr>
                <w:color w:val="auto"/>
                <w:sz w:val="20"/>
                <w:szCs w:val="20"/>
              </w:rPr>
              <w:t>16</w:t>
            </w:r>
          </w:p>
        </w:tc>
        <w:tc>
          <w:tcPr>
            <w:tcW w:w="658" w:type="pct"/>
            <w:gridSpan w:val="3"/>
            <w:tcBorders>
              <w:top w:val="nil"/>
              <w:left w:val="nil"/>
              <w:bottom w:val="single" w:sz="4" w:space="0" w:color="auto"/>
              <w:right w:val="single" w:sz="4" w:space="0" w:color="auto"/>
            </w:tcBorders>
            <w:shd w:val="clear" w:color="auto" w:fill="auto"/>
            <w:noWrap/>
            <w:vAlign w:val="bottom"/>
          </w:tcPr>
          <w:p w14:paraId="71B4A96B" w14:textId="77777777" w:rsidR="009A36D2" w:rsidRPr="009A36D2" w:rsidRDefault="009A36D2" w:rsidP="00281A92">
            <w:pPr>
              <w:spacing w:before="0" w:after="0" w:line="240" w:lineRule="auto"/>
              <w:rPr>
                <w:color w:val="auto"/>
                <w:sz w:val="20"/>
                <w:szCs w:val="20"/>
              </w:rPr>
            </w:pPr>
            <w:r w:rsidRPr="009A36D2">
              <w:rPr>
                <w:color w:val="000000"/>
                <w:sz w:val="22"/>
                <w:szCs w:val="22"/>
              </w:rPr>
              <w:t>404.9</w:t>
            </w:r>
          </w:p>
        </w:tc>
        <w:tc>
          <w:tcPr>
            <w:tcW w:w="660" w:type="pct"/>
            <w:gridSpan w:val="3"/>
            <w:tcBorders>
              <w:top w:val="nil"/>
              <w:left w:val="nil"/>
              <w:bottom w:val="single" w:sz="4" w:space="0" w:color="auto"/>
              <w:right w:val="single" w:sz="4" w:space="0" w:color="auto"/>
            </w:tcBorders>
            <w:shd w:val="clear" w:color="auto" w:fill="auto"/>
            <w:noWrap/>
            <w:vAlign w:val="bottom"/>
          </w:tcPr>
          <w:p w14:paraId="3AD4513A" w14:textId="77777777" w:rsidR="009A36D2" w:rsidRPr="009A36D2" w:rsidRDefault="009A36D2" w:rsidP="00281A92">
            <w:pPr>
              <w:spacing w:before="0" w:after="0" w:line="240" w:lineRule="auto"/>
              <w:rPr>
                <w:color w:val="auto"/>
                <w:sz w:val="20"/>
                <w:szCs w:val="20"/>
              </w:rPr>
            </w:pPr>
            <w:r w:rsidRPr="009A36D2">
              <w:rPr>
                <w:color w:val="000000"/>
                <w:sz w:val="22"/>
                <w:szCs w:val="22"/>
              </w:rPr>
              <w:t>353.2</w:t>
            </w:r>
          </w:p>
        </w:tc>
        <w:tc>
          <w:tcPr>
            <w:tcW w:w="540" w:type="pct"/>
            <w:gridSpan w:val="2"/>
            <w:tcBorders>
              <w:top w:val="nil"/>
              <w:left w:val="nil"/>
              <w:bottom w:val="single" w:sz="4" w:space="0" w:color="auto"/>
              <w:right w:val="single" w:sz="4" w:space="0" w:color="auto"/>
            </w:tcBorders>
            <w:shd w:val="clear" w:color="auto" w:fill="auto"/>
            <w:noWrap/>
            <w:vAlign w:val="bottom"/>
          </w:tcPr>
          <w:p w14:paraId="7E3CF283" w14:textId="77777777" w:rsidR="009A36D2" w:rsidRPr="009A36D2" w:rsidRDefault="009A36D2" w:rsidP="00281A92">
            <w:pPr>
              <w:spacing w:before="0" w:after="0" w:line="240" w:lineRule="auto"/>
              <w:rPr>
                <w:color w:val="auto"/>
                <w:sz w:val="20"/>
                <w:szCs w:val="20"/>
              </w:rPr>
            </w:pPr>
            <w:r w:rsidRPr="009A36D2">
              <w:rPr>
                <w:color w:val="000000"/>
                <w:sz w:val="22"/>
                <w:szCs w:val="22"/>
              </w:rPr>
              <w:t>220.2</w:t>
            </w:r>
          </w:p>
        </w:tc>
        <w:tc>
          <w:tcPr>
            <w:tcW w:w="551" w:type="pct"/>
            <w:gridSpan w:val="2"/>
            <w:tcBorders>
              <w:top w:val="nil"/>
              <w:left w:val="nil"/>
              <w:bottom w:val="single" w:sz="4" w:space="0" w:color="auto"/>
              <w:right w:val="single" w:sz="4" w:space="0" w:color="auto"/>
            </w:tcBorders>
            <w:shd w:val="clear" w:color="auto" w:fill="auto"/>
            <w:noWrap/>
            <w:vAlign w:val="bottom"/>
          </w:tcPr>
          <w:p w14:paraId="033080A2" w14:textId="77777777" w:rsidR="009A36D2" w:rsidRPr="009A36D2" w:rsidRDefault="009A36D2" w:rsidP="00281A92">
            <w:pPr>
              <w:spacing w:before="0" w:after="0" w:line="240" w:lineRule="auto"/>
              <w:rPr>
                <w:color w:val="auto"/>
                <w:sz w:val="20"/>
                <w:szCs w:val="20"/>
              </w:rPr>
            </w:pPr>
            <w:r w:rsidRPr="009A36D2">
              <w:rPr>
                <w:color w:val="000000"/>
                <w:sz w:val="22"/>
                <w:szCs w:val="22"/>
              </w:rPr>
              <w:t>223.1</w:t>
            </w:r>
          </w:p>
        </w:tc>
        <w:tc>
          <w:tcPr>
            <w:tcW w:w="697" w:type="pct"/>
            <w:gridSpan w:val="3"/>
            <w:tcBorders>
              <w:top w:val="nil"/>
              <w:left w:val="nil"/>
              <w:bottom w:val="single" w:sz="4" w:space="0" w:color="auto"/>
              <w:right w:val="single" w:sz="4" w:space="0" w:color="auto"/>
            </w:tcBorders>
            <w:shd w:val="clear" w:color="auto" w:fill="auto"/>
            <w:noWrap/>
            <w:vAlign w:val="bottom"/>
          </w:tcPr>
          <w:p w14:paraId="76C36FD6" w14:textId="77777777" w:rsidR="009A36D2" w:rsidRPr="009A36D2" w:rsidRDefault="009A36D2" w:rsidP="00281A92">
            <w:pPr>
              <w:spacing w:before="0" w:after="0" w:line="240" w:lineRule="auto"/>
              <w:rPr>
                <w:color w:val="auto"/>
                <w:sz w:val="20"/>
                <w:szCs w:val="20"/>
              </w:rPr>
            </w:pPr>
            <w:r w:rsidRPr="009A36D2">
              <w:rPr>
                <w:color w:val="000000"/>
                <w:sz w:val="22"/>
                <w:szCs w:val="22"/>
              </w:rPr>
              <w:t>380.2</w:t>
            </w:r>
          </w:p>
        </w:tc>
        <w:tc>
          <w:tcPr>
            <w:tcW w:w="693" w:type="pct"/>
            <w:gridSpan w:val="2"/>
            <w:tcBorders>
              <w:top w:val="nil"/>
              <w:left w:val="nil"/>
              <w:bottom w:val="single" w:sz="4" w:space="0" w:color="auto"/>
              <w:right w:val="single" w:sz="4" w:space="0" w:color="auto"/>
            </w:tcBorders>
            <w:shd w:val="clear" w:color="auto" w:fill="auto"/>
            <w:noWrap/>
            <w:vAlign w:val="bottom"/>
          </w:tcPr>
          <w:p w14:paraId="42A64C4C" w14:textId="77777777" w:rsidR="009A36D2" w:rsidRPr="009A36D2" w:rsidRDefault="009A36D2" w:rsidP="00281A92">
            <w:pPr>
              <w:spacing w:before="0" w:after="0" w:line="240" w:lineRule="auto"/>
              <w:rPr>
                <w:color w:val="auto"/>
                <w:sz w:val="20"/>
                <w:szCs w:val="20"/>
              </w:rPr>
            </w:pPr>
            <w:r w:rsidRPr="009A36D2">
              <w:rPr>
                <w:color w:val="000000"/>
                <w:sz w:val="22"/>
                <w:szCs w:val="22"/>
              </w:rPr>
              <w:t>452.5</w:t>
            </w:r>
          </w:p>
        </w:tc>
      </w:tr>
      <w:tr w:rsidR="009A36D2" w:rsidRPr="009A36D2" w14:paraId="729BFCEB"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885BB05" w14:textId="77777777" w:rsidR="009A36D2" w:rsidRPr="009A36D2" w:rsidRDefault="009A36D2" w:rsidP="00281A92">
            <w:pPr>
              <w:spacing w:before="0" w:after="0" w:line="240" w:lineRule="auto"/>
              <w:rPr>
                <w:color w:val="auto"/>
                <w:sz w:val="20"/>
                <w:szCs w:val="20"/>
              </w:rPr>
            </w:pPr>
            <w:r w:rsidRPr="009A36D2">
              <w:rPr>
                <w:color w:val="auto"/>
                <w:sz w:val="20"/>
                <w:szCs w:val="20"/>
              </w:rPr>
              <w:t>17</w:t>
            </w:r>
          </w:p>
        </w:tc>
        <w:tc>
          <w:tcPr>
            <w:tcW w:w="658" w:type="pct"/>
            <w:gridSpan w:val="3"/>
            <w:tcBorders>
              <w:top w:val="nil"/>
              <w:left w:val="nil"/>
              <w:bottom w:val="single" w:sz="4" w:space="0" w:color="auto"/>
              <w:right w:val="single" w:sz="4" w:space="0" w:color="auto"/>
            </w:tcBorders>
            <w:shd w:val="clear" w:color="auto" w:fill="auto"/>
            <w:noWrap/>
            <w:vAlign w:val="bottom"/>
          </w:tcPr>
          <w:p w14:paraId="1D6497F2" w14:textId="77777777" w:rsidR="009A36D2" w:rsidRPr="009A36D2" w:rsidRDefault="009A36D2" w:rsidP="00281A92">
            <w:pPr>
              <w:spacing w:before="0" w:after="0" w:line="240" w:lineRule="auto"/>
              <w:rPr>
                <w:color w:val="auto"/>
                <w:sz w:val="20"/>
                <w:szCs w:val="20"/>
              </w:rPr>
            </w:pPr>
            <w:r w:rsidRPr="009A36D2">
              <w:rPr>
                <w:color w:val="000000"/>
                <w:sz w:val="22"/>
                <w:szCs w:val="22"/>
              </w:rPr>
              <w:t>389.1</w:t>
            </w:r>
          </w:p>
        </w:tc>
        <w:tc>
          <w:tcPr>
            <w:tcW w:w="660" w:type="pct"/>
            <w:gridSpan w:val="3"/>
            <w:tcBorders>
              <w:top w:val="nil"/>
              <w:left w:val="nil"/>
              <w:bottom w:val="single" w:sz="4" w:space="0" w:color="auto"/>
              <w:right w:val="single" w:sz="4" w:space="0" w:color="auto"/>
            </w:tcBorders>
            <w:shd w:val="clear" w:color="auto" w:fill="auto"/>
            <w:noWrap/>
            <w:vAlign w:val="bottom"/>
          </w:tcPr>
          <w:p w14:paraId="3725D7C9" w14:textId="77777777" w:rsidR="009A36D2" w:rsidRPr="009A36D2" w:rsidRDefault="009A36D2" w:rsidP="00281A92">
            <w:pPr>
              <w:spacing w:before="0" w:after="0" w:line="240" w:lineRule="auto"/>
              <w:rPr>
                <w:color w:val="auto"/>
                <w:sz w:val="20"/>
                <w:szCs w:val="20"/>
              </w:rPr>
            </w:pPr>
            <w:r w:rsidRPr="009A36D2">
              <w:rPr>
                <w:color w:val="000000"/>
                <w:sz w:val="22"/>
                <w:szCs w:val="22"/>
              </w:rPr>
              <w:t>441.4</w:t>
            </w:r>
          </w:p>
        </w:tc>
        <w:tc>
          <w:tcPr>
            <w:tcW w:w="540" w:type="pct"/>
            <w:gridSpan w:val="2"/>
            <w:tcBorders>
              <w:top w:val="nil"/>
              <w:left w:val="nil"/>
              <w:bottom w:val="single" w:sz="4" w:space="0" w:color="auto"/>
              <w:right w:val="single" w:sz="4" w:space="0" w:color="auto"/>
            </w:tcBorders>
            <w:shd w:val="clear" w:color="auto" w:fill="auto"/>
            <w:noWrap/>
            <w:vAlign w:val="bottom"/>
          </w:tcPr>
          <w:p w14:paraId="41D40EB0" w14:textId="77777777" w:rsidR="009A36D2" w:rsidRPr="009A36D2" w:rsidRDefault="009A36D2" w:rsidP="00281A92">
            <w:pPr>
              <w:spacing w:before="0" w:after="0" w:line="240" w:lineRule="auto"/>
              <w:rPr>
                <w:color w:val="auto"/>
                <w:sz w:val="20"/>
                <w:szCs w:val="20"/>
              </w:rPr>
            </w:pPr>
            <w:r w:rsidRPr="009A36D2">
              <w:rPr>
                <w:color w:val="000000"/>
                <w:sz w:val="22"/>
                <w:szCs w:val="22"/>
              </w:rPr>
              <w:t>304.5</w:t>
            </w:r>
          </w:p>
        </w:tc>
        <w:tc>
          <w:tcPr>
            <w:tcW w:w="551" w:type="pct"/>
            <w:gridSpan w:val="2"/>
            <w:tcBorders>
              <w:top w:val="nil"/>
              <w:left w:val="nil"/>
              <w:bottom w:val="single" w:sz="4" w:space="0" w:color="auto"/>
              <w:right w:val="single" w:sz="4" w:space="0" w:color="auto"/>
            </w:tcBorders>
            <w:shd w:val="clear" w:color="auto" w:fill="auto"/>
            <w:noWrap/>
            <w:vAlign w:val="bottom"/>
          </w:tcPr>
          <w:p w14:paraId="7F445983" w14:textId="77777777" w:rsidR="009A36D2" w:rsidRPr="009A36D2" w:rsidRDefault="009A36D2" w:rsidP="00281A92">
            <w:pPr>
              <w:spacing w:before="0" w:after="0" w:line="240" w:lineRule="auto"/>
              <w:rPr>
                <w:color w:val="auto"/>
                <w:sz w:val="20"/>
                <w:szCs w:val="20"/>
              </w:rPr>
            </w:pPr>
            <w:r w:rsidRPr="009A36D2">
              <w:rPr>
                <w:color w:val="000000"/>
                <w:sz w:val="22"/>
                <w:szCs w:val="22"/>
              </w:rPr>
              <w:t>358.1</w:t>
            </w:r>
          </w:p>
        </w:tc>
        <w:tc>
          <w:tcPr>
            <w:tcW w:w="697" w:type="pct"/>
            <w:gridSpan w:val="3"/>
            <w:tcBorders>
              <w:top w:val="nil"/>
              <w:left w:val="nil"/>
              <w:bottom w:val="single" w:sz="4" w:space="0" w:color="auto"/>
              <w:right w:val="single" w:sz="4" w:space="0" w:color="auto"/>
            </w:tcBorders>
            <w:shd w:val="clear" w:color="auto" w:fill="auto"/>
            <w:noWrap/>
            <w:vAlign w:val="bottom"/>
          </w:tcPr>
          <w:p w14:paraId="7C2B0626" w14:textId="77777777" w:rsidR="009A36D2" w:rsidRPr="009A36D2" w:rsidRDefault="009A36D2" w:rsidP="00281A92">
            <w:pPr>
              <w:spacing w:before="0" w:after="0" w:line="240" w:lineRule="auto"/>
              <w:rPr>
                <w:color w:val="auto"/>
                <w:sz w:val="20"/>
                <w:szCs w:val="20"/>
              </w:rPr>
            </w:pPr>
            <w:r w:rsidRPr="009A36D2">
              <w:rPr>
                <w:color w:val="000000"/>
                <w:sz w:val="22"/>
                <w:szCs w:val="22"/>
              </w:rPr>
              <w:t>435.7</w:t>
            </w:r>
          </w:p>
        </w:tc>
        <w:tc>
          <w:tcPr>
            <w:tcW w:w="693" w:type="pct"/>
            <w:gridSpan w:val="2"/>
            <w:tcBorders>
              <w:top w:val="nil"/>
              <w:left w:val="nil"/>
              <w:bottom w:val="single" w:sz="4" w:space="0" w:color="auto"/>
              <w:right w:val="single" w:sz="4" w:space="0" w:color="auto"/>
            </w:tcBorders>
            <w:shd w:val="clear" w:color="auto" w:fill="auto"/>
            <w:noWrap/>
            <w:vAlign w:val="bottom"/>
          </w:tcPr>
          <w:p w14:paraId="1997E0E9" w14:textId="77777777" w:rsidR="009A36D2" w:rsidRPr="009A36D2" w:rsidRDefault="009A36D2" w:rsidP="00281A92">
            <w:pPr>
              <w:spacing w:before="0" w:after="0" w:line="240" w:lineRule="auto"/>
              <w:rPr>
                <w:color w:val="auto"/>
                <w:sz w:val="20"/>
                <w:szCs w:val="20"/>
              </w:rPr>
            </w:pPr>
            <w:r w:rsidRPr="009A36D2">
              <w:rPr>
                <w:color w:val="000000"/>
                <w:sz w:val="22"/>
                <w:szCs w:val="22"/>
              </w:rPr>
              <w:t>463.6</w:t>
            </w:r>
          </w:p>
        </w:tc>
      </w:tr>
      <w:tr w:rsidR="009A36D2" w:rsidRPr="009A36D2" w14:paraId="2AB1E17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542BF00" w14:textId="77777777" w:rsidR="009A36D2" w:rsidRPr="009A36D2" w:rsidRDefault="009A36D2" w:rsidP="00281A92">
            <w:pPr>
              <w:spacing w:before="0" w:after="0" w:line="240" w:lineRule="auto"/>
              <w:rPr>
                <w:color w:val="auto"/>
                <w:sz w:val="20"/>
                <w:szCs w:val="20"/>
              </w:rPr>
            </w:pPr>
            <w:r w:rsidRPr="009A36D2">
              <w:rPr>
                <w:color w:val="auto"/>
                <w:sz w:val="20"/>
                <w:szCs w:val="20"/>
              </w:rPr>
              <w:t>18</w:t>
            </w:r>
          </w:p>
        </w:tc>
        <w:tc>
          <w:tcPr>
            <w:tcW w:w="658" w:type="pct"/>
            <w:gridSpan w:val="3"/>
            <w:tcBorders>
              <w:top w:val="nil"/>
              <w:left w:val="nil"/>
              <w:bottom w:val="single" w:sz="4" w:space="0" w:color="auto"/>
              <w:right w:val="single" w:sz="4" w:space="0" w:color="auto"/>
            </w:tcBorders>
            <w:shd w:val="clear" w:color="auto" w:fill="auto"/>
            <w:noWrap/>
            <w:vAlign w:val="bottom"/>
          </w:tcPr>
          <w:p w14:paraId="4CA6581D" w14:textId="77777777" w:rsidR="009A36D2" w:rsidRPr="009A36D2" w:rsidRDefault="009A36D2" w:rsidP="00281A92">
            <w:pPr>
              <w:spacing w:before="0" w:after="0" w:line="240" w:lineRule="auto"/>
              <w:rPr>
                <w:color w:val="auto"/>
                <w:sz w:val="20"/>
                <w:szCs w:val="20"/>
              </w:rPr>
            </w:pPr>
            <w:r w:rsidRPr="009A36D2">
              <w:rPr>
                <w:color w:val="000000"/>
                <w:sz w:val="22"/>
                <w:szCs w:val="22"/>
              </w:rPr>
              <w:t>490.4</w:t>
            </w:r>
          </w:p>
        </w:tc>
        <w:tc>
          <w:tcPr>
            <w:tcW w:w="660" w:type="pct"/>
            <w:gridSpan w:val="3"/>
            <w:tcBorders>
              <w:top w:val="nil"/>
              <w:left w:val="nil"/>
              <w:bottom w:val="single" w:sz="4" w:space="0" w:color="auto"/>
              <w:right w:val="single" w:sz="4" w:space="0" w:color="auto"/>
            </w:tcBorders>
            <w:shd w:val="clear" w:color="auto" w:fill="auto"/>
            <w:noWrap/>
            <w:vAlign w:val="bottom"/>
          </w:tcPr>
          <w:p w14:paraId="248F26B4" w14:textId="77777777" w:rsidR="009A36D2" w:rsidRPr="009A36D2" w:rsidRDefault="009A36D2" w:rsidP="00281A92">
            <w:pPr>
              <w:spacing w:before="0" w:after="0" w:line="240" w:lineRule="auto"/>
              <w:rPr>
                <w:color w:val="auto"/>
                <w:sz w:val="20"/>
                <w:szCs w:val="20"/>
              </w:rPr>
            </w:pPr>
            <w:r w:rsidRPr="009A36D2">
              <w:rPr>
                <w:color w:val="000000"/>
                <w:sz w:val="22"/>
                <w:szCs w:val="22"/>
              </w:rPr>
              <w:t>288.6</w:t>
            </w:r>
          </w:p>
        </w:tc>
        <w:tc>
          <w:tcPr>
            <w:tcW w:w="540" w:type="pct"/>
            <w:gridSpan w:val="2"/>
            <w:tcBorders>
              <w:top w:val="nil"/>
              <w:left w:val="nil"/>
              <w:bottom w:val="single" w:sz="4" w:space="0" w:color="auto"/>
              <w:right w:val="single" w:sz="4" w:space="0" w:color="auto"/>
            </w:tcBorders>
            <w:shd w:val="clear" w:color="auto" w:fill="auto"/>
            <w:noWrap/>
            <w:vAlign w:val="bottom"/>
          </w:tcPr>
          <w:p w14:paraId="22CC9CE3" w14:textId="77777777" w:rsidR="009A36D2" w:rsidRPr="009A36D2" w:rsidRDefault="009A36D2" w:rsidP="00281A92">
            <w:pPr>
              <w:spacing w:before="0" w:after="0" w:line="240" w:lineRule="auto"/>
              <w:rPr>
                <w:color w:val="auto"/>
                <w:sz w:val="20"/>
                <w:szCs w:val="20"/>
              </w:rPr>
            </w:pPr>
            <w:r w:rsidRPr="009A36D2">
              <w:rPr>
                <w:color w:val="000000"/>
                <w:sz w:val="22"/>
                <w:szCs w:val="22"/>
              </w:rPr>
              <w:t>229.4</w:t>
            </w:r>
          </w:p>
        </w:tc>
        <w:tc>
          <w:tcPr>
            <w:tcW w:w="551" w:type="pct"/>
            <w:gridSpan w:val="2"/>
            <w:tcBorders>
              <w:top w:val="nil"/>
              <w:left w:val="nil"/>
              <w:bottom w:val="single" w:sz="4" w:space="0" w:color="auto"/>
              <w:right w:val="single" w:sz="4" w:space="0" w:color="auto"/>
            </w:tcBorders>
            <w:shd w:val="clear" w:color="auto" w:fill="auto"/>
            <w:noWrap/>
            <w:vAlign w:val="bottom"/>
          </w:tcPr>
          <w:p w14:paraId="1EAB6D9C" w14:textId="77777777" w:rsidR="009A36D2" w:rsidRPr="009A36D2" w:rsidRDefault="009A36D2" w:rsidP="00281A92">
            <w:pPr>
              <w:spacing w:before="0" w:after="0" w:line="240" w:lineRule="auto"/>
              <w:rPr>
                <w:color w:val="auto"/>
                <w:sz w:val="20"/>
                <w:szCs w:val="20"/>
              </w:rPr>
            </w:pPr>
            <w:r w:rsidRPr="009A36D2">
              <w:rPr>
                <w:color w:val="000000"/>
                <w:sz w:val="22"/>
                <w:szCs w:val="22"/>
              </w:rPr>
              <w:t>211.0</w:t>
            </w:r>
          </w:p>
        </w:tc>
        <w:tc>
          <w:tcPr>
            <w:tcW w:w="697" w:type="pct"/>
            <w:gridSpan w:val="3"/>
            <w:tcBorders>
              <w:top w:val="nil"/>
              <w:left w:val="nil"/>
              <w:bottom w:val="single" w:sz="4" w:space="0" w:color="auto"/>
              <w:right w:val="single" w:sz="4" w:space="0" w:color="auto"/>
            </w:tcBorders>
            <w:shd w:val="clear" w:color="auto" w:fill="auto"/>
            <w:noWrap/>
            <w:vAlign w:val="bottom"/>
          </w:tcPr>
          <w:p w14:paraId="3198B58A" w14:textId="77777777" w:rsidR="009A36D2" w:rsidRPr="009A36D2" w:rsidRDefault="009A36D2" w:rsidP="00281A92">
            <w:pPr>
              <w:spacing w:before="0" w:after="0" w:line="240" w:lineRule="auto"/>
              <w:rPr>
                <w:color w:val="auto"/>
                <w:sz w:val="20"/>
                <w:szCs w:val="20"/>
              </w:rPr>
            </w:pPr>
            <w:r w:rsidRPr="009A36D2">
              <w:rPr>
                <w:color w:val="000000"/>
                <w:sz w:val="22"/>
                <w:szCs w:val="22"/>
              </w:rPr>
              <w:t>280.0</w:t>
            </w:r>
          </w:p>
        </w:tc>
        <w:tc>
          <w:tcPr>
            <w:tcW w:w="693" w:type="pct"/>
            <w:gridSpan w:val="2"/>
            <w:tcBorders>
              <w:top w:val="nil"/>
              <w:left w:val="nil"/>
              <w:bottom w:val="single" w:sz="4" w:space="0" w:color="auto"/>
              <w:right w:val="single" w:sz="4" w:space="0" w:color="auto"/>
            </w:tcBorders>
            <w:shd w:val="clear" w:color="auto" w:fill="auto"/>
            <w:noWrap/>
            <w:vAlign w:val="bottom"/>
          </w:tcPr>
          <w:p w14:paraId="4A794DFE" w14:textId="77777777" w:rsidR="009A36D2" w:rsidRPr="009A36D2" w:rsidRDefault="009A36D2" w:rsidP="00281A92">
            <w:pPr>
              <w:spacing w:before="0" w:after="0" w:line="240" w:lineRule="auto"/>
              <w:rPr>
                <w:color w:val="auto"/>
                <w:sz w:val="20"/>
                <w:szCs w:val="20"/>
              </w:rPr>
            </w:pPr>
            <w:r w:rsidRPr="009A36D2">
              <w:rPr>
                <w:color w:val="000000"/>
                <w:sz w:val="22"/>
                <w:szCs w:val="22"/>
              </w:rPr>
              <w:t>288.6</w:t>
            </w:r>
          </w:p>
        </w:tc>
      </w:tr>
      <w:tr w:rsidR="009A36D2" w:rsidRPr="009A36D2" w14:paraId="3FA4521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523640E" w14:textId="77777777" w:rsidR="009A36D2" w:rsidRPr="009A36D2" w:rsidRDefault="009A36D2" w:rsidP="00281A92">
            <w:pPr>
              <w:spacing w:before="0" w:after="0" w:line="240" w:lineRule="auto"/>
              <w:rPr>
                <w:color w:val="auto"/>
                <w:sz w:val="20"/>
                <w:szCs w:val="20"/>
              </w:rPr>
            </w:pPr>
            <w:r w:rsidRPr="009A36D2">
              <w:rPr>
                <w:color w:val="auto"/>
                <w:sz w:val="20"/>
                <w:szCs w:val="20"/>
              </w:rPr>
              <w:t>19</w:t>
            </w:r>
          </w:p>
        </w:tc>
        <w:tc>
          <w:tcPr>
            <w:tcW w:w="658" w:type="pct"/>
            <w:gridSpan w:val="3"/>
            <w:tcBorders>
              <w:top w:val="nil"/>
              <w:left w:val="nil"/>
              <w:bottom w:val="single" w:sz="4" w:space="0" w:color="auto"/>
              <w:right w:val="single" w:sz="4" w:space="0" w:color="auto"/>
            </w:tcBorders>
            <w:shd w:val="clear" w:color="auto" w:fill="auto"/>
            <w:noWrap/>
            <w:vAlign w:val="bottom"/>
          </w:tcPr>
          <w:p w14:paraId="39C22E0D" w14:textId="77777777" w:rsidR="009A36D2" w:rsidRPr="009A36D2" w:rsidRDefault="009A36D2" w:rsidP="00281A92">
            <w:pPr>
              <w:spacing w:before="0" w:after="0" w:line="240" w:lineRule="auto"/>
              <w:rPr>
                <w:color w:val="auto"/>
                <w:sz w:val="20"/>
                <w:szCs w:val="20"/>
              </w:rPr>
            </w:pPr>
            <w:r w:rsidRPr="009A36D2">
              <w:rPr>
                <w:color w:val="000000"/>
                <w:sz w:val="22"/>
                <w:szCs w:val="22"/>
              </w:rPr>
              <w:t>289.1</w:t>
            </w:r>
          </w:p>
        </w:tc>
        <w:tc>
          <w:tcPr>
            <w:tcW w:w="660" w:type="pct"/>
            <w:gridSpan w:val="3"/>
            <w:tcBorders>
              <w:top w:val="nil"/>
              <w:left w:val="nil"/>
              <w:bottom w:val="single" w:sz="4" w:space="0" w:color="auto"/>
              <w:right w:val="single" w:sz="4" w:space="0" w:color="auto"/>
            </w:tcBorders>
            <w:shd w:val="clear" w:color="auto" w:fill="auto"/>
            <w:noWrap/>
            <w:vAlign w:val="bottom"/>
          </w:tcPr>
          <w:p w14:paraId="696D6EB4" w14:textId="77777777" w:rsidR="009A36D2" w:rsidRPr="009A36D2" w:rsidRDefault="009A36D2" w:rsidP="00281A92">
            <w:pPr>
              <w:spacing w:before="0" w:after="0" w:line="240" w:lineRule="auto"/>
              <w:rPr>
                <w:color w:val="auto"/>
                <w:sz w:val="20"/>
                <w:szCs w:val="20"/>
              </w:rPr>
            </w:pPr>
            <w:r w:rsidRPr="009A36D2">
              <w:rPr>
                <w:color w:val="000000"/>
                <w:sz w:val="22"/>
                <w:szCs w:val="22"/>
              </w:rPr>
              <w:t>243.1</w:t>
            </w:r>
          </w:p>
        </w:tc>
        <w:tc>
          <w:tcPr>
            <w:tcW w:w="540" w:type="pct"/>
            <w:gridSpan w:val="2"/>
            <w:tcBorders>
              <w:top w:val="nil"/>
              <w:left w:val="nil"/>
              <w:bottom w:val="single" w:sz="4" w:space="0" w:color="auto"/>
              <w:right w:val="single" w:sz="4" w:space="0" w:color="auto"/>
            </w:tcBorders>
            <w:shd w:val="clear" w:color="auto" w:fill="auto"/>
            <w:noWrap/>
            <w:vAlign w:val="bottom"/>
          </w:tcPr>
          <w:p w14:paraId="263CE242" w14:textId="77777777" w:rsidR="009A36D2" w:rsidRPr="009A36D2" w:rsidRDefault="009A36D2" w:rsidP="00281A92">
            <w:pPr>
              <w:spacing w:before="0" w:after="0" w:line="240" w:lineRule="auto"/>
              <w:rPr>
                <w:color w:val="auto"/>
                <w:sz w:val="20"/>
                <w:szCs w:val="20"/>
              </w:rPr>
            </w:pPr>
            <w:r w:rsidRPr="009A36D2">
              <w:rPr>
                <w:color w:val="000000"/>
                <w:sz w:val="22"/>
                <w:szCs w:val="22"/>
              </w:rPr>
              <w:t>216.3</w:t>
            </w:r>
          </w:p>
        </w:tc>
        <w:tc>
          <w:tcPr>
            <w:tcW w:w="551" w:type="pct"/>
            <w:gridSpan w:val="2"/>
            <w:tcBorders>
              <w:top w:val="nil"/>
              <w:left w:val="nil"/>
              <w:bottom w:val="single" w:sz="4" w:space="0" w:color="auto"/>
              <w:right w:val="single" w:sz="4" w:space="0" w:color="auto"/>
            </w:tcBorders>
            <w:shd w:val="clear" w:color="auto" w:fill="auto"/>
            <w:noWrap/>
            <w:vAlign w:val="bottom"/>
          </w:tcPr>
          <w:p w14:paraId="08C0C2EA" w14:textId="77777777" w:rsidR="009A36D2" w:rsidRPr="009A36D2" w:rsidRDefault="009A36D2" w:rsidP="00281A92">
            <w:pPr>
              <w:spacing w:before="0" w:after="0" w:line="240" w:lineRule="auto"/>
              <w:rPr>
                <w:color w:val="auto"/>
                <w:sz w:val="20"/>
                <w:szCs w:val="20"/>
              </w:rPr>
            </w:pPr>
            <w:r w:rsidRPr="009A36D2">
              <w:rPr>
                <w:color w:val="000000"/>
                <w:sz w:val="22"/>
                <w:szCs w:val="22"/>
              </w:rPr>
              <w:t>245.2</w:t>
            </w:r>
          </w:p>
        </w:tc>
        <w:tc>
          <w:tcPr>
            <w:tcW w:w="697" w:type="pct"/>
            <w:gridSpan w:val="3"/>
            <w:tcBorders>
              <w:top w:val="nil"/>
              <w:left w:val="nil"/>
              <w:bottom w:val="single" w:sz="4" w:space="0" w:color="auto"/>
              <w:right w:val="single" w:sz="4" w:space="0" w:color="auto"/>
            </w:tcBorders>
            <w:shd w:val="clear" w:color="auto" w:fill="auto"/>
            <w:noWrap/>
            <w:vAlign w:val="bottom"/>
          </w:tcPr>
          <w:p w14:paraId="660242AD" w14:textId="77777777" w:rsidR="009A36D2" w:rsidRPr="009A36D2" w:rsidRDefault="009A36D2" w:rsidP="00281A92">
            <w:pPr>
              <w:spacing w:before="0" w:after="0" w:line="240" w:lineRule="auto"/>
              <w:rPr>
                <w:color w:val="auto"/>
                <w:sz w:val="20"/>
                <w:szCs w:val="20"/>
              </w:rPr>
            </w:pPr>
            <w:r w:rsidRPr="009A36D2">
              <w:rPr>
                <w:color w:val="000000"/>
                <w:sz w:val="22"/>
                <w:szCs w:val="22"/>
              </w:rPr>
              <w:t>301.4</w:t>
            </w:r>
          </w:p>
        </w:tc>
        <w:tc>
          <w:tcPr>
            <w:tcW w:w="693" w:type="pct"/>
            <w:gridSpan w:val="2"/>
            <w:tcBorders>
              <w:top w:val="nil"/>
              <w:left w:val="nil"/>
              <w:bottom w:val="single" w:sz="4" w:space="0" w:color="auto"/>
              <w:right w:val="single" w:sz="4" w:space="0" w:color="auto"/>
            </w:tcBorders>
            <w:shd w:val="clear" w:color="auto" w:fill="auto"/>
            <w:noWrap/>
            <w:vAlign w:val="bottom"/>
          </w:tcPr>
          <w:p w14:paraId="7FC4E579" w14:textId="77777777" w:rsidR="009A36D2" w:rsidRPr="009A36D2" w:rsidRDefault="009A36D2" w:rsidP="00281A92">
            <w:pPr>
              <w:spacing w:before="0" w:after="0" w:line="240" w:lineRule="auto"/>
              <w:rPr>
                <w:color w:val="auto"/>
                <w:sz w:val="20"/>
                <w:szCs w:val="20"/>
              </w:rPr>
            </w:pPr>
            <w:r w:rsidRPr="009A36D2">
              <w:rPr>
                <w:color w:val="000000"/>
                <w:sz w:val="22"/>
                <w:szCs w:val="22"/>
              </w:rPr>
              <w:t>397.2</w:t>
            </w:r>
          </w:p>
        </w:tc>
      </w:tr>
      <w:tr w:rsidR="009A36D2" w:rsidRPr="009A36D2" w14:paraId="776D7C33"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DEEDF74" w14:textId="77777777" w:rsidR="009A36D2" w:rsidRPr="009A36D2" w:rsidRDefault="009A36D2" w:rsidP="00281A92">
            <w:pPr>
              <w:spacing w:before="0" w:after="0" w:line="240" w:lineRule="auto"/>
              <w:rPr>
                <w:color w:val="auto"/>
                <w:sz w:val="20"/>
                <w:szCs w:val="20"/>
              </w:rPr>
            </w:pPr>
            <w:r w:rsidRPr="009A36D2">
              <w:rPr>
                <w:color w:val="auto"/>
                <w:sz w:val="20"/>
                <w:szCs w:val="20"/>
              </w:rPr>
              <w:t>20</w:t>
            </w:r>
          </w:p>
        </w:tc>
        <w:tc>
          <w:tcPr>
            <w:tcW w:w="658" w:type="pct"/>
            <w:gridSpan w:val="3"/>
            <w:tcBorders>
              <w:top w:val="nil"/>
              <w:left w:val="nil"/>
              <w:bottom w:val="single" w:sz="4" w:space="0" w:color="auto"/>
              <w:right w:val="single" w:sz="4" w:space="0" w:color="auto"/>
            </w:tcBorders>
            <w:shd w:val="clear" w:color="auto" w:fill="auto"/>
            <w:noWrap/>
            <w:vAlign w:val="bottom"/>
          </w:tcPr>
          <w:p w14:paraId="6FFF3277" w14:textId="77777777" w:rsidR="009A36D2" w:rsidRPr="009A36D2" w:rsidRDefault="009A36D2" w:rsidP="00281A92">
            <w:pPr>
              <w:spacing w:before="0" w:after="0" w:line="240" w:lineRule="auto"/>
              <w:rPr>
                <w:color w:val="auto"/>
                <w:sz w:val="20"/>
                <w:szCs w:val="20"/>
              </w:rPr>
            </w:pPr>
            <w:r w:rsidRPr="009A36D2">
              <w:rPr>
                <w:color w:val="000000"/>
                <w:sz w:val="22"/>
                <w:szCs w:val="22"/>
              </w:rPr>
              <w:t>326.9</w:t>
            </w:r>
          </w:p>
        </w:tc>
        <w:tc>
          <w:tcPr>
            <w:tcW w:w="660" w:type="pct"/>
            <w:gridSpan w:val="3"/>
            <w:tcBorders>
              <w:top w:val="nil"/>
              <w:left w:val="nil"/>
              <w:bottom w:val="single" w:sz="4" w:space="0" w:color="auto"/>
              <w:right w:val="single" w:sz="4" w:space="0" w:color="auto"/>
            </w:tcBorders>
            <w:shd w:val="clear" w:color="auto" w:fill="auto"/>
            <w:noWrap/>
            <w:vAlign w:val="bottom"/>
          </w:tcPr>
          <w:p w14:paraId="2C3FEA74" w14:textId="77777777" w:rsidR="009A36D2" w:rsidRPr="009A36D2" w:rsidRDefault="009A36D2" w:rsidP="00281A92">
            <w:pPr>
              <w:spacing w:before="0" w:after="0" w:line="240" w:lineRule="auto"/>
              <w:rPr>
                <w:color w:val="auto"/>
                <w:sz w:val="20"/>
                <w:szCs w:val="20"/>
              </w:rPr>
            </w:pPr>
            <w:r w:rsidRPr="009A36D2">
              <w:rPr>
                <w:color w:val="000000"/>
                <w:sz w:val="22"/>
                <w:szCs w:val="22"/>
              </w:rPr>
              <w:t>274.6</w:t>
            </w:r>
          </w:p>
        </w:tc>
        <w:tc>
          <w:tcPr>
            <w:tcW w:w="540" w:type="pct"/>
            <w:gridSpan w:val="2"/>
            <w:tcBorders>
              <w:top w:val="nil"/>
              <w:left w:val="nil"/>
              <w:bottom w:val="single" w:sz="4" w:space="0" w:color="auto"/>
              <w:right w:val="single" w:sz="4" w:space="0" w:color="auto"/>
            </w:tcBorders>
            <w:shd w:val="clear" w:color="auto" w:fill="auto"/>
            <w:noWrap/>
            <w:vAlign w:val="bottom"/>
          </w:tcPr>
          <w:p w14:paraId="2B123B49" w14:textId="77777777" w:rsidR="009A36D2" w:rsidRPr="009A36D2" w:rsidRDefault="009A36D2" w:rsidP="00281A92">
            <w:pPr>
              <w:spacing w:before="0" w:after="0" w:line="240" w:lineRule="auto"/>
              <w:rPr>
                <w:color w:val="auto"/>
                <w:sz w:val="20"/>
                <w:szCs w:val="20"/>
              </w:rPr>
            </w:pPr>
            <w:r w:rsidRPr="009A36D2">
              <w:rPr>
                <w:color w:val="000000"/>
                <w:sz w:val="22"/>
                <w:szCs w:val="22"/>
              </w:rPr>
              <w:t>212.7</w:t>
            </w:r>
          </w:p>
        </w:tc>
        <w:tc>
          <w:tcPr>
            <w:tcW w:w="551" w:type="pct"/>
            <w:gridSpan w:val="2"/>
            <w:tcBorders>
              <w:top w:val="nil"/>
              <w:left w:val="nil"/>
              <w:bottom w:val="single" w:sz="4" w:space="0" w:color="auto"/>
              <w:right w:val="single" w:sz="4" w:space="0" w:color="auto"/>
            </w:tcBorders>
            <w:shd w:val="clear" w:color="auto" w:fill="auto"/>
            <w:noWrap/>
            <w:vAlign w:val="bottom"/>
          </w:tcPr>
          <w:p w14:paraId="75791C82" w14:textId="77777777" w:rsidR="009A36D2" w:rsidRPr="009A36D2" w:rsidRDefault="009A36D2" w:rsidP="00281A92">
            <w:pPr>
              <w:spacing w:before="0" w:after="0" w:line="240" w:lineRule="auto"/>
              <w:rPr>
                <w:color w:val="auto"/>
                <w:sz w:val="20"/>
                <w:szCs w:val="20"/>
              </w:rPr>
            </w:pPr>
            <w:r w:rsidRPr="009A36D2">
              <w:rPr>
                <w:color w:val="000000"/>
                <w:sz w:val="22"/>
                <w:szCs w:val="22"/>
              </w:rPr>
              <w:t>210.6</w:t>
            </w:r>
          </w:p>
        </w:tc>
        <w:tc>
          <w:tcPr>
            <w:tcW w:w="697" w:type="pct"/>
            <w:gridSpan w:val="3"/>
            <w:tcBorders>
              <w:top w:val="nil"/>
              <w:left w:val="nil"/>
              <w:bottom w:val="single" w:sz="4" w:space="0" w:color="auto"/>
              <w:right w:val="single" w:sz="4" w:space="0" w:color="auto"/>
            </w:tcBorders>
            <w:shd w:val="clear" w:color="auto" w:fill="auto"/>
            <w:noWrap/>
            <w:vAlign w:val="bottom"/>
          </w:tcPr>
          <w:p w14:paraId="4247A1E2" w14:textId="77777777" w:rsidR="009A36D2" w:rsidRPr="009A36D2" w:rsidRDefault="009A36D2" w:rsidP="00281A92">
            <w:pPr>
              <w:spacing w:before="0" w:after="0" w:line="240" w:lineRule="auto"/>
              <w:rPr>
                <w:color w:val="auto"/>
                <w:sz w:val="20"/>
                <w:szCs w:val="20"/>
              </w:rPr>
            </w:pPr>
            <w:r w:rsidRPr="009A36D2">
              <w:rPr>
                <w:color w:val="000000"/>
                <w:sz w:val="22"/>
                <w:szCs w:val="22"/>
              </w:rPr>
              <w:t>265.3</w:t>
            </w:r>
          </w:p>
        </w:tc>
        <w:tc>
          <w:tcPr>
            <w:tcW w:w="693" w:type="pct"/>
            <w:gridSpan w:val="2"/>
            <w:tcBorders>
              <w:top w:val="nil"/>
              <w:left w:val="nil"/>
              <w:bottom w:val="single" w:sz="4" w:space="0" w:color="auto"/>
              <w:right w:val="single" w:sz="4" w:space="0" w:color="auto"/>
            </w:tcBorders>
            <w:shd w:val="clear" w:color="auto" w:fill="auto"/>
            <w:noWrap/>
            <w:vAlign w:val="bottom"/>
          </w:tcPr>
          <w:p w14:paraId="511A4247" w14:textId="77777777" w:rsidR="009A36D2" w:rsidRPr="009A36D2" w:rsidRDefault="009A36D2" w:rsidP="00281A92">
            <w:pPr>
              <w:spacing w:before="0" w:after="0" w:line="240" w:lineRule="auto"/>
              <w:rPr>
                <w:color w:val="auto"/>
                <w:sz w:val="20"/>
                <w:szCs w:val="20"/>
              </w:rPr>
            </w:pPr>
            <w:r w:rsidRPr="009A36D2">
              <w:rPr>
                <w:color w:val="000000"/>
                <w:sz w:val="22"/>
                <w:szCs w:val="22"/>
              </w:rPr>
              <w:t>299.2</w:t>
            </w:r>
          </w:p>
        </w:tc>
      </w:tr>
      <w:tr w:rsidR="009A36D2" w:rsidRPr="009A36D2" w14:paraId="655D332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E42ABA3" w14:textId="77777777" w:rsidR="009A36D2" w:rsidRPr="009A36D2" w:rsidRDefault="009A36D2" w:rsidP="00281A92">
            <w:pPr>
              <w:spacing w:before="0" w:after="0" w:line="240" w:lineRule="auto"/>
              <w:rPr>
                <w:color w:val="auto"/>
                <w:sz w:val="20"/>
                <w:szCs w:val="20"/>
              </w:rPr>
            </w:pPr>
            <w:r w:rsidRPr="009A36D2">
              <w:rPr>
                <w:color w:val="auto"/>
                <w:sz w:val="20"/>
                <w:szCs w:val="20"/>
              </w:rPr>
              <w:t>21</w:t>
            </w:r>
          </w:p>
        </w:tc>
        <w:tc>
          <w:tcPr>
            <w:tcW w:w="658" w:type="pct"/>
            <w:gridSpan w:val="3"/>
            <w:tcBorders>
              <w:top w:val="nil"/>
              <w:left w:val="nil"/>
              <w:bottom w:val="single" w:sz="4" w:space="0" w:color="auto"/>
              <w:right w:val="single" w:sz="4" w:space="0" w:color="auto"/>
            </w:tcBorders>
            <w:shd w:val="clear" w:color="auto" w:fill="auto"/>
            <w:noWrap/>
            <w:vAlign w:val="bottom"/>
          </w:tcPr>
          <w:p w14:paraId="1EBF507A" w14:textId="77777777" w:rsidR="009A36D2" w:rsidRPr="009A36D2" w:rsidRDefault="009A36D2" w:rsidP="00281A92">
            <w:pPr>
              <w:spacing w:before="0" w:after="0" w:line="240" w:lineRule="auto"/>
              <w:rPr>
                <w:color w:val="auto"/>
                <w:sz w:val="20"/>
                <w:szCs w:val="20"/>
              </w:rPr>
            </w:pPr>
            <w:r w:rsidRPr="009A36D2">
              <w:rPr>
                <w:color w:val="000000"/>
                <w:sz w:val="22"/>
                <w:szCs w:val="22"/>
              </w:rPr>
              <w:t>373.3</w:t>
            </w:r>
          </w:p>
        </w:tc>
        <w:tc>
          <w:tcPr>
            <w:tcW w:w="660" w:type="pct"/>
            <w:gridSpan w:val="3"/>
            <w:tcBorders>
              <w:top w:val="nil"/>
              <w:left w:val="nil"/>
              <w:bottom w:val="single" w:sz="4" w:space="0" w:color="auto"/>
              <w:right w:val="single" w:sz="4" w:space="0" w:color="auto"/>
            </w:tcBorders>
            <w:shd w:val="clear" w:color="auto" w:fill="auto"/>
            <w:noWrap/>
            <w:vAlign w:val="bottom"/>
          </w:tcPr>
          <w:p w14:paraId="2C7F1E01" w14:textId="77777777" w:rsidR="009A36D2" w:rsidRPr="009A36D2" w:rsidRDefault="009A36D2" w:rsidP="00281A92">
            <w:pPr>
              <w:spacing w:before="0" w:after="0" w:line="240" w:lineRule="auto"/>
              <w:rPr>
                <w:color w:val="auto"/>
                <w:sz w:val="20"/>
                <w:szCs w:val="20"/>
              </w:rPr>
            </w:pPr>
            <w:r w:rsidRPr="009A36D2">
              <w:rPr>
                <w:color w:val="000000"/>
                <w:sz w:val="22"/>
                <w:szCs w:val="22"/>
              </w:rPr>
              <w:t>343.6</w:t>
            </w:r>
          </w:p>
        </w:tc>
        <w:tc>
          <w:tcPr>
            <w:tcW w:w="540" w:type="pct"/>
            <w:gridSpan w:val="2"/>
            <w:tcBorders>
              <w:top w:val="nil"/>
              <w:left w:val="nil"/>
              <w:bottom w:val="single" w:sz="4" w:space="0" w:color="auto"/>
              <w:right w:val="single" w:sz="4" w:space="0" w:color="auto"/>
            </w:tcBorders>
            <w:shd w:val="clear" w:color="auto" w:fill="auto"/>
            <w:noWrap/>
            <w:vAlign w:val="bottom"/>
          </w:tcPr>
          <w:p w14:paraId="23AEE35B" w14:textId="77777777" w:rsidR="009A36D2" w:rsidRPr="009A36D2" w:rsidRDefault="009A36D2" w:rsidP="00281A92">
            <w:pPr>
              <w:spacing w:before="0" w:after="0" w:line="240" w:lineRule="auto"/>
              <w:rPr>
                <w:color w:val="auto"/>
                <w:sz w:val="20"/>
                <w:szCs w:val="20"/>
              </w:rPr>
            </w:pPr>
            <w:r w:rsidRPr="009A36D2">
              <w:rPr>
                <w:color w:val="000000"/>
                <w:sz w:val="22"/>
                <w:szCs w:val="22"/>
              </w:rPr>
              <w:t>247.3</w:t>
            </w:r>
          </w:p>
        </w:tc>
        <w:tc>
          <w:tcPr>
            <w:tcW w:w="551" w:type="pct"/>
            <w:gridSpan w:val="2"/>
            <w:tcBorders>
              <w:top w:val="nil"/>
              <w:left w:val="nil"/>
              <w:bottom w:val="single" w:sz="4" w:space="0" w:color="auto"/>
              <w:right w:val="single" w:sz="4" w:space="0" w:color="auto"/>
            </w:tcBorders>
            <w:shd w:val="clear" w:color="auto" w:fill="auto"/>
            <w:noWrap/>
            <w:vAlign w:val="bottom"/>
          </w:tcPr>
          <w:p w14:paraId="0754EF7B" w14:textId="77777777" w:rsidR="009A36D2" w:rsidRPr="009A36D2" w:rsidRDefault="009A36D2" w:rsidP="00281A92">
            <w:pPr>
              <w:spacing w:before="0" w:after="0" w:line="240" w:lineRule="auto"/>
              <w:rPr>
                <w:color w:val="auto"/>
                <w:sz w:val="20"/>
                <w:szCs w:val="20"/>
              </w:rPr>
            </w:pPr>
            <w:r w:rsidRPr="009A36D2">
              <w:rPr>
                <w:color w:val="000000"/>
                <w:sz w:val="22"/>
                <w:szCs w:val="22"/>
              </w:rPr>
              <w:t>269.7</w:t>
            </w:r>
          </w:p>
        </w:tc>
        <w:tc>
          <w:tcPr>
            <w:tcW w:w="697" w:type="pct"/>
            <w:gridSpan w:val="3"/>
            <w:tcBorders>
              <w:top w:val="nil"/>
              <w:left w:val="nil"/>
              <w:bottom w:val="single" w:sz="4" w:space="0" w:color="auto"/>
              <w:right w:val="single" w:sz="4" w:space="0" w:color="auto"/>
            </w:tcBorders>
            <w:shd w:val="clear" w:color="auto" w:fill="auto"/>
            <w:noWrap/>
            <w:vAlign w:val="bottom"/>
          </w:tcPr>
          <w:p w14:paraId="6073F7DB" w14:textId="77777777" w:rsidR="009A36D2" w:rsidRPr="009A36D2" w:rsidRDefault="009A36D2" w:rsidP="00281A92">
            <w:pPr>
              <w:spacing w:before="0" w:after="0" w:line="240" w:lineRule="auto"/>
              <w:rPr>
                <w:color w:val="auto"/>
                <w:sz w:val="20"/>
                <w:szCs w:val="20"/>
              </w:rPr>
            </w:pPr>
            <w:r w:rsidRPr="009A36D2">
              <w:rPr>
                <w:color w:val="000000"/>
                <w:sz w:val="22"/>
                <w:szCs w:val="22"/>
              </w:rPr>
              <w:t>325.6</w:t>
            </w:r>
          </w:p>
        </w:tc>
        <w:tc>
          <w:tcPr>
            <w:tcW w:w="693" w:type="pct"/>
            <w:gridSpan w:val="2"/>
            <w:tcBorders>
              <w:top w:val="nil"/>
              <w:left w:val="nil"/>
              <w:bottom w:val="single" w:sz="4" w:space="0" w:color="auto"/>
              <w:right w:val="single" w:sz="4" w:space="0" w:color="auto"/>
            </w:tcBorders>
            <w:shd w:val="clear" w:color="auto" w:fill="auto"/>
            <w:noWrap/>
            <w:vAlign w:val="bottom"/>
          </w:tcPr>
          <w:p w14:paraId="5BF872E9" w14:textId="77777777" w:rsidR="009A36D2" w:rsidRPr="009A36D2" w:rsidRDefault="009A36D2" w:rsidP="00281A92">
            <w:pPr>
              <w:spacing w:before="0" w:after="0" w:line="240" w:lineRule="auto"/>
              <w:rPr>
                <w:color w:val="auto"/>
                <w:sz w:val="20"/>
                <w:szCs w:val="20"/>
              </w:rPr>
            </w:pPr>
            <w:r w:rsidRPr="009A36D2">
              <w:rPr>
                <w:color w:val="000000"/>
                <w:sz w:val="22"/>
                <w:szCs w:val="22"/>
              </w:rPr>
              <w:t>369.3</w:t>
            </w:r>
          </w:p>
        </w:tc>
      </w:tr>
      <w:tr w:rsidR="009A36D2" w:rsidRPr="009A36D2" w14:paraId="607947D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37F54B3" w14:textId="77777777" w:rsidR="009A36D2" w:rsidRPr="009A36D2" w:rsidRDefault="009A36D2" w:rsidP="00281A92">
            <w:pPr>
              <w:spacing w:before="0" w:after="0" w:line="240" w:lineRule="auto"/>
              <w:rPr>
                <w:color w:val="auto"/>
                <w:sz w:val="20"/>
                <w:szCs w:val="20"/>
              </w:rPr>
            </w:pPr>
            <w:r w:rsidRPr="009A36D2">
              <w:rPr>
                <w:color w:val="auto"/>
                <w:sz w:val="20"/>
                <w:szCs w:val="20"/>
              </w:rPr>
              <w:t>22</w:t>
            </w:r>
          </w:p>
        </w:tc>
        <w:tc>
          <w:tcPr>
            <w:tcW w:w="658" w:type="pct"/>
            <w:gridSpan w:val="3"/>
            <w:tcBorders>
              <w:top w:val="nil"/>
              <w:left w:val="nil"/>
              <w:bottom w:val="single" w:sz="4" w:space="0" w:color="auto"/>
              <w:right w:val="single" w:sz="4" w:space="0" w:color="auto"/>
            </w:tcBorders>
            <w:shd w:val="clear" w:color="auto" w:fill="auto"/>
            <w:noWrap/>
            <w:vAlign w:val="bottom"/>
          </w:tcPr>
          <w:p w14:paraId="06E13D75" w14:textId="77777777" w:rsidR="009A36D2" w:rsidRPr="009A36D2" w:rsidRDefault="009A36D2" w:rsidP="00281A92">
            <w:pPr>
              <w:spacing w:before="0" w:after="0" w:line="240" w:lineRule="auto"/>
              <w:rPr>
                <w:color w:val="auto"/>
                <w:sz w:val="20"/>
                <w:szCs w:val="20"/>
              </w:rPr>
            </w:pPr>
            <w:r w:rsidRPr="009A36D2">
              <w:rPr>
                <w:color w:val="000000"/>
                <w:sz w:val="22"/>
                <w:szCs w:val="22"/>
              </w:rPr>
              <w:t>368.1</w:t>
            </w:r>
          </w:p>
        </w:tc>
        <w:tc>
          <w:tcPr>
            <w:tcW w:w="660" w:type="pct"/>
            <w:gridSpan w:val="3"/>
            <w:tcBorders>
              <w:top w:val="nil"/>
              <w:left w:val="nil"/>
              <w:bottom w:val="single" w:sz="4" w:space="0" w:color="auto"/>
              <w:right w:val="single" w:sz="4" w:space="0" w:color="auto"/>
            </w:tcBorders>
            <w:shd w:val="clear" w:color="auto" w:fill="auto"/>
            <w:noWrap/>
            <w:vAlign w:val="bottom"/>
          </w:tcPr>
          <w:p w14:paraId="09FF7099" w14:textId="77777777" w:rsidR="009A36D2" w:rsidRPr="009A36D2" w:rsidRDefault="009A36D2" w:rsidP="00281A92">
            <w:pPr>
              <w:spacing w:before="0" w:after="0" w:line="240" w:lineRule="auto"/>
              <w:rPr>
                <w:color w:val="auto"/>
                <w:sz w:val="20"/>
                <w:szCs w:val="20"/>
              </w:rPr>
            </w:pPr>
            <w:r w:rsidRPr="009A36D2">
              <w:rPr>
                <w:color w:val="000000"/>
                <w:sz w:val="22"/>
                <w:szCs w:val="22"/>
              </w:rPr>
              <w:t>344.8</w:t>
            </w:r>
          </w:p>
        </w:tc>
        <w:tc>
          <w:tcPr>
            <w:tcW w:w="540" w:type="pct"/>
            <w:gridSpan w:val="2"/>
            <w:tcBorders>
              <w:top w:val="nil"/>
              <w:left w:val="nil"/>
              <w:bottom w:val="single" w:sz="4" w:space="0" w:color="auto"/>
              <w:right w:val="single" w:sz="4" w:space="0" w:color="auto"/>
            </w:tcBorders>
            <w:shd w:val="clear" w:color="auto" w:fill="auto"/>
            <w:noWrap/>
            <w:vAlign w:val="bottom"/>
          </w:tcPr>
          <w:p w14:paraId="278F4ED0" w14:textId="77777777" w:rsidR="009A36D2" w:rsidRPr="009A36D2" w:rsidRDefault="009A36D2" w:rsidP="00281A92">
            <w:pPr>
              <w:spacing w:before="0" w:after="0" w:line="240" w:lineRule="auto"/>
              <w:rPr>
                <w:color w:val="auto"/>
                <w:sz w:val="20"/>
                <w:szCs w:val="20"/>
              </w:rPr>
            </w:pPr>
            <w:r w:rsidRPr="009A36D2">
              <w:rPr>
                <w:color w:val="000000"/>
                <w:sz w:val="22"/>
                <w:szCs w:val="22"/>
              </w:rPr>
              <w:t>275.5</w:t>
            </w:r>
          </w:p>
        </w:tc>
        <w:tc>
          <w:tcPr>
            <w:tcW w:w="551" w:type="pct"/>
            <w:gridSpan w:val="2"/>
            <w:tcBorders>
              <w:top w:val="nil"/>
              <w:left w:val="nil"/>
              <w:bottom w:val="single" w:sz="4" w:space="0" w:color="auto"/>
              <w:right w:val="single" w:sz="4" w:space="0" w:color="auto"/>
            </w:tcBorders>
            <w:shd w:val="clear" w:color="auto" w:fill="auto"/>
            <w:noWrap/>
            <w:vAlign w:val="bottom"/>
          </w:tcPr>
          <w:p w14:paraId="3FCF4200" w14:textId="77777777" w:rsidR="009A36D2" w:rsidRPr="009A36D2" w:rsidRDefault="009A36D2" w:rsidP="00281A92">
            <w:pPr>
              <w:spacing w:before="0" w:after="0" w:line="240" w:lineRule="auto"/>
              <w:rPr>
                <w:color w:val="auto"/>
                <w:sz w:val="20"/>
                <w:szCs w:val="20"/>
              </w:rPr>
            </w:pPr>
            <w:r w:rsidRPr="009A36D2">
              <w:rPr>
                <w:color w:val="000000"/>
                <w:sz w:val="22"/>
                <w:szCs w:val="22"/>
              </w:rPr>
              <w:t>284.2</w:t>
            </w:r>
          </w:p>
        </w:tc>
        <w:tc>
          <w:tcPr>
            <w:tcW w:w="697" w:type="pct"/>
            <w:gridSpan w:val="3"/>
            <w:tcBorders>
              <w:top w:val="nil"/>
              <w:left w:val="nil"/>
              <w:bottom w:val="single" w:sz="4" w:space="0" w:color="auto"/>
              <w:right w:val="single" w:sz="4" w:space="0" w:color="auto"/>
            </w:tcBorders>
            <w:shd w:val="clear" w:color="auto" w:fill="auto"/>
            <w:noWrap/>
            <w:vAlign w:val="bottom"/>
          </w:tcPr>
          <w:p w14:paraId="0D23DBEF" w14:textId="77777777" w:rsidR="009A36D2" w:rsidRPr="009A36D2" w:rsidRDefault="009A36D2" w:rsidP="00281A92">
            <w:pPr>
              <w:spacing w:before="0" w:after="0" w:line="240" w:lineRule="auto"/>
              <w:rPr>
                <w:color w:val="auto"/>
                <w:sz w:val="20"/>
                <w:szCs w:val="20"/>
              </w:rPr>
            </w:pPr>
            <w:r w:rsidRPr="009A36D2">
              <w:rPr>
                <w:color w:val="000000"/>
                <w:sz w:val="22"/>
                <w:szCs w:val="22"/>
              </w:rPr>
              <w:t>435.2</w:t>
            </w:r>
          </w:p>
        </w:tc>
        <w:tc>
          <w:tcPr>
            <w:tcW w:w="693" w:type="pct"/>
            <w:gridSpan w:val="2"/>
            <w:tcBorders>
              <w:top w:val="nil"/>
              <w:left w:val="nil"/>
              <w:bottom w:val="single" w:sz="4" w:space="0" w:color="auto"/>
              <w:right w:val="single" w:sz="4" w:space="0" w:color="auto"/>
            </w:tcBorders>
            <w:shd w:val="clear" w:color="auto" w:fill="auto"/>
            <w:noWrap/>
            <w:vAlign w:val="bottom"/>
          </w:tcPr>
          <w:p w14:paraId="33B922D0" w14:textId="77777777" w:rsidR="009A36D2" w:rsidRPr="009A36D2" w:rsidRDefault="009A36D2" w:rsidP="00281A92">
            <w:pPr>
              <w:spacing w:before="0" w:after="0" w:line="240" w:lineRule="auto"/>
              <w:rPr>
                <w:color w:val="auto"/>
                <w:sz w:val="20"/>
                <w:szCs w:val="20"/>
              </w:rPr>
            </w:pPr>
            <w:r w:rsidRPr="009A36D2">
              <w:rPr>
                <w:color w:val="000000"/>
                <w:sz w:val="22"/>
                <w:szCs w:val="22"/>
              </w:rPr>
              <w:t>454.1</w:t>
            </w:r>
          </w:p>
        </w:tc>
      </w:tr>
      <w:tr w:rsidR="009A36D2" w:rsidRPr="009A36D2" w14:paraId="48082B5A"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7C72CB3" w14:textId="77777777" w:rsidR="009A36D2" w:rsidRPr="009A36D2" w:rsidRDefault="009A36D2" w:rsidP="00281A92">
            <w:pPr>
              <w:spacing w:before="0" w:after="0" w:line="240" w:lineRule="auto"/>
              <w:rPr>
                <w:color w:val="auto"/>
                <w:sz w:val="20"/>
                <w:szCs w:val="20"/>
              </w:rPr>
            </w:pPr>
            <w:r w:rsidRPr="009A36D2">
              <w:rPr>
                <w:color w:val="auto"/>
                <w:sz w:val="20"/>
                <w:szCs w:val="20"/>
              </w:rPr>
              <w:t>23</w:t>
            </w:r>
          </w:p>
        </w:tc>
        <w:tc>
          <w:tcPr>
            <w:tcW w:w="658" w:type="pct"/>
            <w:gridSpan w:val="3"/>
            <w:tcBorders>
              <w:top w:val="nil"/>
              <w:left w:val="nil"/>
              <w:bottom w:val="single" w:sz="4" w:space="0" w:color="auto"/>
              <w:right w:val="single" w:sz="4" w:space="0" w:color="auto"/>
            </w:tcBorders>
            <w:shd w:val="clear" w:color="auto" w:fill="auto"/>
            <w:noWrap/>
            <w:vAlign w:val="bottom"/>
          </w:tcPr>
          <w:p w14:paraId="1F0A9E14" w14:textId="77777777" w:rsidR="009A36D2" w:rsidRPr="009A36D2" w:rsidRDefault="009A36D2" w:rsidP="00281A92">
            <w:pPr>
              <w:spacing w:before="0" w:after="0" w:line="240" w:lineRule="auto"/>
              <w:rPr>
                <w:color w:val="auto"/>
                <w:sz w:val="20"/>
                <w:szCs w:val="20"/>
              </w:rPr>
            </w:pPr>
            <w:r w:rsidRPr="009A36D2">
              <w:rPr>
                <w:color w:val="000000"/>
                <w:sz w:val="22"/>
                <w:szCs w:val="22"/>
              </w:rPr>
              <w:t>447.3</w:t>
            </w:r>
          </w:p>
        </w:tc>
        <w:tc>
          <w:tcPr>
            <w:tcW w:w="660" w:type="pct"/>
            <w:gridSpan w:val="3"/>
            <w:tcBorders>
              <w:top w:val="nil"/>
              <w:left w:val="nil"/>
              <w:bottom w:val="single" w:sz="4" w:space="0" w:color="auto"/>
              <w:right w:val="single" w:sz="4" w:space="0" w:color="auto"/>
            </w:tcBorders>
            <w:shd w:val="clear" w:color="auto" w:fill="auto"/>
            <w:noWrap/>
            <w:vAlign w:val="bottom"/>
          </w:tcPr>
          <w:p w14:paraId="755F30F1" w14:textId="77777777" w:rsidR="009A36D2" w:rsidRPr="009A36D2" w:rsidRDefault="009A36D2" w:rsidP="00281A92">
            <w:pPr>
              <w:spacing w:before="0" w:after="0" w:line="240" w:lineRule="auto"/>
              <w:rPr>
                <w:color w:val="auto"/>
                <w:sz w:val="20"/>
                <w:szCs w:val="20"/>
              </w:rPr>
            </w:pPr>
            <w:r w:rsidRPr="009A36D2">
              <w:rPr>
                <w:color w:val="000000"/>
                <w:sz w:val="22"/>
                <w:szCs w:val="22"/>
              </w:rPr>
              <w:t>417.0</w:t>
            </w:r>
          </w:p>
        </w:tc>
        <w:tc>
          <w:tcPr>
            <w:tcW w:w="540" w:type="pct"/>
            <w:gridSpan w:val="2"/>
            <w:tcBorders>
              <w:top w:val="nil"/>
              <w:left w:val="nil"/>
              <w:bottom w:val="single" w:sz="4" w:space="0" w:color="auto"/>
              <w:right w:val="single" w:sz="4" w:space="0" w:color="auto"/>
            </w:tcBorders>
            <w:shd w:val="clear" w:color="auto" w:fill="auto"/>
            <w:noWrap/>
            <w:vAlign w:val="bottom"/>
          </w:tcPr>
          <w:p w14:paraId="5FE578EC" w14:textId="77777777" w:rsidR="009A36D2" w:rsidRPr="009A36D2" w:rsidRDefault="009A36D2" w:rsidP="00281A92">
            <w:pPr>
              <w:spacing w:before="0" w:after="0" w:line="240" w:lineRule="auto"/>
              <w:rPr>
                <w:color w:val="auto"/>
                <w:sz w:val="20"/>
                <w:szCs w:val="20"/>
              </w:rPr>
            </w:pPr>
            <w:r w:rsidRPr="009A36D2">
              <w:rPr>
                <w:color w:val="000000"/>
                <w:sz w:val="22"/>
                <w:szCs w:val="22"/>
              </w:rPr>
              <w:t>312.0</w:t>
            </w:r>
          </w:p>
        </w:tc>
        <w:tc>
          <w:tcPr>
            <w:tcW w:w="551" w:type="pct"/>
            <w:gridSpan w:val="2"/>
            <w:tcBorders>
              <w:top w:val="nil"/>
              <w:left w:val="nil"/>
              <w:bottom w:val="single" w:sz="4" w:space="0" w:color="auto"/>
              <w:right w:val="single" w:sz="4" w:space="0" w:color="auto"/>
            </w:tcBorders>
            <w:shd w:val="clear" w:color="auto" w:fill="auto"/>
            <w:noWrap/>
            <w:vAlign w:val="bottom"/>
          </w:tcPr>
          <w:p w14:paraId="015CDAD1" w14:textId="77777777" w:rsidR="009A36D2" w:rsidRPr="009A36D2" w:rsidRDefault="009A36D2" w:rsidP="00281A92">
            <w:pPr>
              <w:spacing w:before="0" w:after="0" w:line="240" w:lineRule="auto"/>
              <w:rPr>
                <w:color w:val="auto"/>
                <w:sz w:val="20"/>
                <w:szCs w:val="20"/>
              </w:rPr>
            </w:pPr>
            <w:r w:rsidRPr="009A36D2">
              <w:rPr>
                <w:color w:val="000000"/>
                <w:sz w:val="22"/>
                <w:szCs w:val="22"/>
              </w:rPr>
              <w:t>282.9</w:t>
            </w:r>
          </w:p>
        </w:tc>
        <w:tc>
          <w:tcPr>
            <w:tcW w:w="697" w:type="pct"/>
            <w:gridSpan w:val="3"/>
            <w:tcBorders>
              <w:top w:val="nil"/>
              <w:left w:val="nil"/>
              <w:bottom w:val="single" w:sz="4" w:space="0" w:color="auto"/>
              <w:right w:val="single" w:sz="4" w:space="0" w:color="auto"/>
            </w:tcBorders>
            <w:shd w:val="clear" w:color="auto" w:fill="auto"/>
            <w:noWrap/>
            <w:vAlign w:val="bottom"/>
          </w:tcPr>
          <w:p w14:paraId="624338AC" w14:textId="77777777" w:rsidR="009A36D2" w:rsidRPr="009A36D2" w:rsidRDefault="009A36D2" w:rsidP="00281A92">
            <w:pPr>
              <w:spacing w:before="0" w:after="0" w:line="240" w:lineRule="auto"/>
              <w:rPr>
                <w:color w:val="auto"/>
                <w:sz w:val="20"/>
                <w:szCs w:val="20"/>
              </w:rPr>
            </w:pPr>
            <w:r w:rsidRPr="009A36D2">
              <w:rPr>
                <w:color w:val="000000"/>
                <w:sz w:val="22"/>
                <w:szCs w:val="22"/>
              </w:rPr>
              <w:t>386.0</w:t>
            </w:r>
          </w:p>
        </w:tc>
        <w:tc>
          <w:tcPr>
            <w:tcW w:w="693" w:type="pct"/>
            <w:gridSpan w:val="2"/>
            <w:tcBorders>
              <w:top w:val="nil"/>
              <w:left w:val="nil"/>
              <w:bottom w:val="single" w:sz="4" w:space="0" w:color="auto"/>
              <w:right w:val="single" w:sz="4" w:space="0" w:color="auto"/>
            </w:tcBorders>
            <w:shd w:val="clear" w:color="auto" w:fill="auto"/>
            <w:noWrap/>
            <w:vAlign w:val="bottom"/>
          </w:tcPr>
          <w:p w14:paraId="47E219E4" w14:textId="77777777" w:rsidR="009A36D2" w:rsidRPr="009A36D2" w:rsidRDefault="009A36D2" w:rsidP="00281A92">
            <w:pPr>
              <w:spacing w:before="0" w:after="0" w:line="240" w:lineRule="auto"/>
              <w:rPr>
                <w:color w:val="auto"/>
                <w:sz w:val="20"/>
                <w:szCs w:val="20"/>
              </w:rPr>
            </w:pPr>
            <w:r w:rsidRPr="009A36D2">
              <w:rPr>
                <w:color w:val="000000"/>
                <w:sz w:val="22"/>
                <w:szCs w:val="22"/>
              </w:rPr>
              <w:t>435.2</w:t>
            </w:r>
          </w:p>
        </w:tc>
      </w:tr>
      <w:tr w:rsidR="009A36D2" w:rsidRPr="009A36D2" w14:paraId="70484C2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C73E845"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58" w:type="pct"/>
            <w:gridSpan w:val="3"/>
            <w:tcBorders>
              <w:top w:val="nil"/>
              <w:left w:val="nil"/>
              <w:bottom w:val="single" w:sz="4" w:space="0" w:color="auto"/>
              <w:right w:val="single" w:sz="4" w:space="0" w:color="auto"/>
            </w:tcBorders>
            <w:shd w:val="clear" w:color="auto" w:fill="auto"/>
            <w:noWrap/>
            <w:vAlign w:val="bottom"/>
          </w:tcPr>
          <w:p w14:paraId="05A2915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369.6</w:t>
            </w:r>
          </w:p>
        </w:tc>
        <w:tc>
          <w:tcPr>
            <w:tcW w:w="660" w:type="pct"/>
            <w:gridSpan w:val="3"/>
            <w:tcBorders>
              <w:top w:val="nil"/>
              <w:left w:val="nil"/>
              <w:bottom w:val="single" w:sz="4" w:space="0" w:color="auto"/>
              <w:right w:val="single" w:sz="4" w:space="0" w:color="auto"/>
            </w:tcBorders>
            <w:shd w:val="clear" w:color="auto" w:fill="auto"/>
            <w:noWrap/>
            <w:vAlign w:val="bottom"/>
          </w:tcPr>
          <w:p w14:paraId="48AE43D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327.2</w:t>
            </w:r>
          </w:p>
        </w:tc>
        <w:tc>
          <w:tcPr>
            <w:tcW w:w="540" w:type="pct"/>
            <w:gridSpan w:val="2"/>
            <w:tcBorders>
              <w:top w:val="nil"/>
              <w:left w:val="nil"/>
              <w:bottom w:val="single" w:sz="4" w:space="0" w:color="auto"/>
              <w:right w:val="single" w:sz="4" w:space="0" w:color="auto"/>
            </w:tcBorders>
            <w:shd w:val="clear" w:color="auto" w:fill="auto"/>
            <w:noWrap/>
            <w:vAlign w:val="bottom"/>
          </w:tcPr>
          <w:p w14:paraId="606E7B4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242.7</w:t>
            </w:r>
          </w:p>
        </w:tc>
        <w:tc>
          <w:tcPr>
            <w:tcW w:w="551" w:type="pct"/>
            <w:gridSpan w:val="2"/>
            <w:tcBorders>
              <w:top w:val="nil"/>
              <w:left w:val="nil"/>
              <w:bottom w:val="single" w:sz="4" w:space="0" w:color="auto"/>
              <w:right w:val="single" w:sz="4" w:space="0" w:color="auto"/>
            </w:tcBorders>
            <w:shd w:val="clear" w:color="auto" w:fill="auto"/>
            <w:noWrap/>
            <w:vAlign w:val="bottom"/>
          </w:tcPr>
          <w:p w14:paraId="097B642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251.7</w:t>
            </w:r>
          </w:p>
        </w:tc>
        <w:tc>
          <w:tcPr>
            <w:tcW w:w="697" w:type="pct"/>
            <w:gridSpan w:val="3"/>
            <w:tcBorders>
              <w:top w:val="nil"/>
              <w:left w:val="nil"/>
              <w:bottom w:val="single" w:sz="4" w:space="0" w:color="auto"/>
              <w:right w:val="single" w:sz="4" w:space="0" w:color="auto"/>
            </w:tcBorders>
            <w:shd w:val="clear" w:color="auto" w:fill="auto"/>
            <w:noWrap/>
            <w:vAlign w:val="bottom"/>
          </w:tcPr>
          <w:p w14:paraId="5DBCEE99"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332.4</w:t>
            </w:r>
          </w:p>
        </w:tc>
        <w:tc>
          <w:tcPr>
            <w:tcW w:w="693" w:type="pct"/>
            <w:gridSpan w:val="2"/>
            <w:tcBorders>
              <w:top w:val="nil"/>
              <w:left w:val="nil"/>
              <w:bottom w:val="single" w:sz="4" w:space="0" w:color="auto"/>
              <w:right w:val="single" w:sz="4" w:space="0" w:color="auto"/>
            </w:tcBorders>
            <w:shd w:val="clear" w:color="auto" w:fill="auto"/>
            <w:noWrap/>
            <w:vAlign w:val="bottom"/>
          </w:tcPr>
          <w:p w14:paraId="341A4EA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382.6</w:t>
            </w:r>
          </w:p>
        </w:tc>
      </w:tr>
      <w:tr w:rsidR="009A36D2" w:rsidRPr="009A36D2" w14:paraId="60DAFF0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09EA587"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lastRenderedPageBreak/>
              <w:t>SD</w:t>
            </w:r>
          </w:p>
        </w:tc>
        <w:tc>
          <w:tcPr>
            <w:tcW w:w="658" w:type="pct"/>
            <w:gridSpan w:val="3"/>
            <w:tcBorders>
              <w:top w:val="nil"/>
              <w:left w:val="nil"/>
              <w:bottom w:val="single" w:sz="4" w:space="0" w:color="auto"/>
              <w:right w:val="single" w:sz="4" w:space="0" w:color="auto"/>
            </w:tcBorders>
            <w:shd w:val="clear" w:color="auto" w:fill="auto"/>
            <w:noWrap/>
            <w:vAlign w:val="bottom"/>
          </w:tcPr>
          <w:p w14:paraId="0140DD6D"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67.1</w:t>
            </w:r>
          </w:p>
        </w:tc>
        <w:tc>
          <w:tcPr>
            <w:tcW w:w="660" w:type="pct"/>
            <w:gridSpan w:val="3"/>
            <w:tcBorders>
              <w:top w:val="nil"/>
              <w:left w:val="nil"/>
              <w:bottom w:val="single" w:sz="4" w:space="0" w:color="auto"/>
              <w:right w:val="single" w:sz="4" w:space="0" w:color="auto"/>
            </w:tcBorders>
            <w:shd w:val="clear" w:color="auto" w:fill="auto"/>
            <w:noWrap/>
            <w:vAlign w:val="bottom"/>
          </w:tcPr>
          <w:p w14:paraId="307B469C"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56.3</w:t>
            </w:r>
          </w:p>
        </w:tc>
        <w:tc>
          <w:tcPr>
            <w:tcW w:w="540" w:type="pct"/>
            <w:gridSpan w:val="2"/>
            <w:tcBorders>
              <w:top w:val="nil"/>
              <w:left w:val="nil"/>
              <w:bottom w:val="single" w:sz="4" w:space="0" w:color="auto"/>
              <w:right w:val="single" w:sz="4" w:space="0" w:color="auto"/>
            </w:tcBorders>
            <w:shd w:val="clear" w:color="auto" w:fill="auto"/>
            <w:noWrap/>
            <w:vAlign w:val="bottom"/>
          </w:tcPr>
          <w:p w14:paraId="0450A85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37.7</w:t>
            </w:r>
          </w:p>
        </w:tc>
        <w:tc>
          <w:tcPr>
            <w:tcW w:w="551" w:type="pct"/>
            <w:gridSpan w:val="2"/>
            <w:tcBorders>
              <w:top w:val="nil"/>
              <w:left w:val="nil"/>
              <w:bottom w:val="single" w:sz="4" w:space="0" w:color="auto"/>
              <w:right w:val="single" w:sz="4" w:space="0" w:color="auto"/>
            </w:tcBorders>
            <w:shd w:val="clear" w:color="auto" w:fill="auto"/>
            <w:noWrap/>
            <w:vAlign w:val="bottom"/>
          </w:tcPr>
          <w:p w14:paraId="2557C70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41.7</w:t>
            </w:r>
          </w:p>
        </w:tc>
        <w:tc>
          <w:tcPr>
            <w:tcW w:w="697" w:type="pct"/>
            <w:gridSpan w:val="3"/>
            <w:tcBorders>
              <w:top w:val="nil"/>
              <w:left w:val="nil"/>
              <w:bottom w:val="single" w:sz="4" w:space="0" w:color="auto"/>
              <w:right w:val="single" w:sz="4" w:space="0" w:color="auto"/>
            </w:tcBorders>
            <w:shd w:val="clear" w:color="auto" w:fill="auto"/>
            <w:noWrap/>
            <w:vAlign w:val="bottom"/>
          </w:tcPr>
          <w:p w14:paraId="337AFB19"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52.0</w:t>
            </w:r>
          </w:p>
        </w:tc>
        <w:tc>
          <w:tcPr>
            <w:tcW w:w="693" w:type="pct"/>
            <w:gridSpan w:val="2"/>
            <w:tcBorders>
              <w:top w:val="nil"/>
              <w:left w:val="nil"/>
              <w:bottom w:val="single" w:sz="4" w:space="0" w:color="auto"/>
              <w:right w:val="single" w:sz="4" w:space="0" w:color="auto"/>
            </w:tcBorders>
            <w:shd w:val="clear" w:color="auto" w:fill="auto"/>
            <w:noWrap/>
            <w:vAlign w:val="bottom"/>
          </w:tcPr>
          <w:p w14:paraId="0FFFBBF9"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55.9</w:t>
            </w:r>
          </w:p>
        </w:tc>
      </w:tr>
      <w:tr w:rsidR="009A36D2" w:rsidRPr="009A36D2" w14:paraId="03D48AD6"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C76C79C"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Middle (40-59 years old)</w:t>
            </w:r>
          </w:p>
        </w:tc>
      </w:tr>
      <w:tr w:rsidR="009A36D2" w:rsidRPr="009A36D2" w14:paraId="6EA3D628" w14:textId="77777777" w:rsidTr="00281A92">
        <w:trPr>
          <w:trHeight w:val="20"/>
          <w:jc w:val="center"/>
        </w:trPr>
        <w:tc>
          <w:tcPr>
            <w:tcW w:w="1201" w:type="pct"/>
            <w:gridSpan w:val="2"/>
            <w:tcBorders>
              <w:top w:val="nil"/>
              <w:left w:val="single" w:sz="4" w:space="0" w:color="auto"/>
              <w:bottom w:val="single" w:sz="4" w:space="0" w:color="auto"/>
              <w:right w:val="single" w:sz="4" w:space="0" w:color="auto"/>
              <w:tl2br w:val="single" w:sz="4" w:space="0" w:color="auto"/>
            </w:tcBorders>
            <w:shd w:val="clear" w:color="auto" w:fill="auto"/>
            <w:hideMark/>
          </w:tcPr>
          <w:p w14:paraId="0BDEDB15"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7F8775F6" w14:textId="77777777" w:rsidR="009A36D2" w:rsidRPr="009A36D2" w:rsidRDefault="009A36D2" w:rsidP="00281A92">
            <w:pPr>
              <w:spacing w:before="0" w:after="0" w:line="240" w:lineRule="auto"/>
              <w:rPr>
                <w:color w:val="auto"/>
                <w:sz w:val="20"/>
                <w:szCs w:val="20"/>
              </w:rPr>
            </w:pPr>
          </w:p>
          <w:p w14:paraId="0AC56D8F"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58" w:type="pct"/>
            <w:gridSpan w:val="3"/>
            <w:tcBorders>
              <w:top w:val="nil"/>
              <w:left w:val="nil"/>
              <w:bottom w:val="single" w:sz="4" w:space="0" w:color="auto"/>
              <w:right w:val="single" w:sz="4" w:space="0" w:color="auto"/>
            </w:tcBorders>
            <w:shd w:val="clear" w:color="auto" w:fill="auto"/>
            <w:noWrap/>
            <w:hideMark/>
          </w:tcPr>
          <w:p w14:paraId="5308BEEB"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60" w:type="pct"/>
            <w:gridSpan w:val="3"/>
            <w:tcBorders>
              <w:top w:val="nil"/>
              <w:left w:val="nil"/>
              <w:bottom w:val="single" w:sz="4" w:space="0" w:color="auto"/>
              <w:right w:val="single" w:sz="4" w:space="0" w:color="auto"/>
            </w:tcBorders>
            <w:shd w:val="clear" w:color="auto" w:fill="auto"/>
            <w:noWrap/>
            <w:hideMark/>
          </w:tcPr>
          <w:p w14:paraId="11913183"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540" w:type="pct"/>
            <w:gridSpan w:val="2"/>
            <w:tcBorders>
              <w:top w:val="nil"/>
              <w:left w:val="nil"/>
              <w:bottom w:val="single" w:sz="4" w:space="0" w:color="auto"/>
              <w:right w:val="single" w:sz="4" w:space="0" w:color="auto"/>
            </w:tcBorders>
            <w:shd w:val="clear" w:color="auto" w:fill="auto"/>
            <w:noWrap/>
            <w:hideMark/>
          </w:tcPr>
          <w:p w14:paraId="0A2536E6"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551" w:type="pct"/>
            <w:gridSpan w:val="2"/>
            <w:tcBorders>
              <w:top w:val="nil"/>
              <w:left w:val="nil"/>
              <w:bottom w:val="single" w:sz="4" w:space="0" w:color="auto"/>
              <w:right w:val="single" w:sz="4" w:space="0" w:color="auto"/>
            </w:tcBorders>
            <w:shd w:val="clear" w:color="auto" w:fill="auto"/>
            <w:noWrap/>
            <w:hideMark/>
          </w:tcPr>
          <w:p w14:paraId="50B7D3E5"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97" w:type="pct"/>
            <w:gridSpan w:val="3"/>
            <w:tcBorders>
              <w:top w:val="nil"/>
              <w:left w:val="nil"/>
              <w:bottom w:val="single" w:sz="4" w:space="0" w:color="auto"/>
              <w:right w:val="single" w:sz="4" w:space="0" w:color="auto"/>
            </w:tcBorders>
            <w:shd w:val="clear" w:color="auto" w:fill="auto"/>
            <w:noWrap/>
            <w:hideMark/>
          </w:tcPr>
          <w:p w14:paraId="3748D6D4"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93" w:type="pct"/>
            <w:gridSpan w:val="2"/>
            <w:tcBorders>
              <w:top w:val="nil"/>
              <w:left w:val="nil"/>
              <w:bottom w:val="single" w:sz="4" w:space="0" w:color="auto"/>
              <w:right w:val="single" w:sz="4" w:space="0" w:color="auto"/>
            </w:tcBorders>
            <w:shd w:val="clear" w:color="auto" w:fill="auto"/>
            <w:noWrap/>
            <w:hideMark/>
          </w:tcPr>
          <w:p w14:paraId="0066464E"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3551B65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E5BA2BD"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58" w:type="pct"/>
            <w:gridSpan w:val="3"/>
            <w:tcBorders>
              <w:top w:val="nil"/>
              <w:left w:val="nil"/>
              <w:bottom w:val="single" w:sz="4" w:space="0" w:color="auto"/>
              <w:right w:val="single" w:sz="4" w:space="0" w:color="auto"/>
            </w:tcBorders>
            <w:shd w:val="clear" w:color="auto" w:fill="auto"/>
            <w:noWrap/>
            <w:vAlign w:val="bottom"/>
          </w:tcPr>
          <w:p w14:paraId="3C7EE53B" w14:textId="77777777" w:rsidR="009A36D2" w:rsidRPr="009A36D2" w:rsidRDefault="009A36D2" w:rsidP="00281A92">
            <w:pPr>
              <w:spacing w:before="0" w:after="0" w:line="240" w:lineRule="auto"/>
              <w:rPr>
                <w:color w:val="auto"/>
                <w:sz w:val="20"/>
                <w:szCs w:val="20"/>
              </w:rPr>
            </w:pPr>
            <w:r w:rsidRPr="009A36D2">
              <w:rPr>
                <w:color w:val="000000"/>
                <w:sz w:val="22"/>
                <w:szCs w:val="22"/>
              </w:rPr>
              <w:t>323</w:t>
            </w:r>
          </w:p>
        </w:tc>
        <w:tc>
          <w:tcPr>
            <w:tcW w:w="660" w:type="pct"/>
            <w:gridSpan w:val="3"/>
            <w:tcBorders>
              <w:top w:val="nil"/>
              <w:left w:val="nil"/>
              <w:bottom w:val="single" w:sz="4" w:space="0" w:color="auto"/>
              <w:right w:val="single" w:sz="4" w:space="0" w:color="auto"/>
            </w:tcBorders>
            <w:shd w:val="clear" w:color="auto" w:fill="auto"/>
            <w:noWrap/>
            <w:vAlign w:val="bottom"/>
          </w:tcPr>
          <w:p w14:paraId="6B2CE797" w14:textId="77777777" w:rsidR="009A36D2" w:rsidRPr="009A36D2" w:rsidRDefault="009A36D2" w:rsidP="00281A92">
            <w:pPr>
              <w:spacing w:before="0" w:after="0" w:line="240" w:lineRule="auto"/>
              <w:rPr>
                <w:color w:val="auto"/>
                <w:sz w:val="20"/>
                <w:szCs w:val="20"/>
              </w:rPr>
            </w:pPr>
            <w:r w:rsidRPr="009A36D2">
              <w:rPr>
                <w:color w:val="000000"/>
                <w:sz w:val="22"/>
                <w:szCs w:val="22"/>
              </w:rPr>
              <w:t>294</w:t>
            </w:r>
          </w:p>
        </w:tc>
        <w:tc>
          <w:tcPr>
            <w:tcW w:w="540" w:type="pct"/>
            <w:gridSpan w:val="2"/>
            <w:tcBorders>
              <w:top w:val="nil"/>
              <w:left w:val="nil"/>
              <w:bottom w:val="single" w:sz="4" w:space="0" w:color="auto"/>
              <w:right w:val="single" w:sz="4" w:space="0" w:color="auto"/>
            </w:tcBorders>
            <w:shd w:val="clear" w:color="auto" w:fill="auto"/>
            <w:noWrap/>
            <w:vAlign w:val="bottom"/>
          </w:tcPr>
          <w:p w14:paraId="34BD7FEC" w14:textId="77777777" w:rsidR="009A36D2" w:rsidRPr="009A36D2" w:rsidRDefault="009A36D2" w:rsidP="00281A92">
            <w:pPr>
              <w:spacing w:before="0" w:after="0" w:line="240" w:lineRule="auto"/>
              <w:rPr>
                <w:color w:val="auto"/>
                <w:sz w:val="20"/>
                <w:szCs w:val="20"/>
              </w:rPr>
            </w:pPr>
            <w:r w:rsidRPr="009A36D2">
              <w:rPr>
                <w:color w:val="000000"/>
                <w:sz w:val="22"/>
                <w:szCs w:val="22"/>
              </w:rPr>
              <w:t>209</w:t>
            </w:r>
          </w:p>
        </w:tc>
        <w:tc>
          <w:tcPr>
            <w:tcW w:w="551" w:type="pct"/>
            <w:gridSpan w:val="2"/>
            <w:tcBorders>
              <w:top w:val="nil"/>
              <w:left w:val="nil"/>
              <w:bottom w:val="single" w:sz="4" w:space="0" w:color="auto"/>
              <w:right w:val="single" w:sz="4" w:space="0" w:color="auto"/>
            </w:tcBorders>
            <w:shd w:val="clear" w:color="auto" w:fill="auto"/>
            <w:noWrap/>
            <w:vAlign w:val="bottom"/>
          </w:tcPr>
          <w:p w14:paraId="64E14225" w14:textId="77777777" w:rsidR="009A36D2" w:rsidRPr="009A36D2" w:rsidRDefault="009A36D2" w:rsidP="00281A92">
            <w:pPr>
              <w:spacing w:before="0" w:after="0" w:line="240" w:lineRule="auto"/>
              <w:rPr>
                <w:color w:val="auto"/>
                <w:sz w:val="20"/>
                <w:szCs w:val="20"/>
              </w:rPr>
            </w:pPr>
            <w:r w:rsidRPr="009A36D2">
              <w:rPr>
                <w:color w:val="000000"/>
                <w:sz w:val="22"/>
                <w:szCs w:val="22"/>
              </w:rPr>
              <w:t>194</w:t>
            </w:r>
          </w:p>
        </w:tc>
        <w:tc>
          <w:tcPr>
            <w:tcW w:w="697" w:type="pct"/>
            <w:gridSpan w:val="3"/>
            <w:tcBorders>
              <w:top w:val="nil"/>
              <w:left w:val="nil"/>
              <w:bottom w:val="single" w:sz="4" w:space="0" w:color="auto"/>
              <w:right w:val="single" w:sz="4" w:space="0" w:color="auto"/>
            </w:tcBorders>
            <w:shd w:val="clear" w:color="auto" w:fill="auto"/>
            <w:noWrap/>
            <w:vAlign w:val="bottom"/>
          </w:tcPr>
          <w:p w14:paraId="30B3753C" w14:textId="77777777" w:rsidR="009A36D2" w:rsidRPr="009A36D2" w:rsidRDefault="009A36D2" w:rsidP="00281A92">
            <w:pPr>
              <w:spacing w:before="0" w:after="0" w:line="240" w:lineRule="auto"/>
              <w:rPr>
                <w:color w:val="auto"/>
                <w:sz w:val="20"/>
                <w:szCs w:val="20"/>
              </w:rPr>
            </w:pPr>
            <w:r w:rsidRPr="009A36D2">
              <w:rPr>
                <w:color w:val="000000"/>
                <w:sz w:val="22"/>
                <w:szCs w:val="22"/>
              </w:rPr>
              <w:t>283</w:t>
            </w:r>
          </w:p>
        </w:tc>
        <w:tc>
          <w:tcPr>
            <w:tcW w:w="693" w:type="pct"/>
            <w:gridSpan w:val="2"/>
            <w:tcBorders>
              <w:top w:val="nil"/>
              <w:left w:val="nil"/>
              <w:bottom w:val="single" w:sz="4" w:space="0" w:color="auto"/>
              <w:right w:val="single" w:sz="4" w:space="0" w:color="auto"/>
            </w:tcBorders>
            <w:shd w:val="clear" w:color="auto" w:fill="auto"/>
            <w:noWrap/>
            <w:vAlign w:val="bottom"/>
          </w:tcPr>
          <w:p w14:paraId="6FA558EF" w14:textId="77777777" w:rsidR="009A36D2" w:rsidRPr="009A36D2" w:rsidRDefault="009A36D2" w:rsidP="00281A92">
            <w:pPr>
              <w:spacing w:before="0" w:after="0" w:line="240" w:lineRule="auto"/>
              <w:rPr>
                <w:color w:val="auto"/>
                <w:sz w:val="20"/>
                <w:szCs w:val="20"/>
              </w:rPr>
            </w:pPr>
            <w:r w:rsidRPr="009A36D2">
              <w:rPr>
                <w:color w:val="000000"/>
                <w:sz w:val="22"/>
                <w:szCs w:val="22"/>
              </w:rPr>
              <w:t>287</w:t>
            </w:r>
          </w:p>
        </w:tc>
      </w:tr>
      <w:tr w:rsidR="009A36D2" w:rsidRPr="009A36D2" w14:paraId="107E817B"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ACE2392"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58" w:type="pct"/>
            <w:gridSpan w:val="3"/>
            <w:tcBorders>
              <w:top w:val="nil"/>
              <w:left w:val="nil"/>
              <w:bottom w:val="single" w:sz="4" w:space="0" w:color="auto"/>
              <w:right w:val="single" w:sz="4" w:space="0" w:color="auto"/>
            </w:tcBorders>
            <w:shd w:val="clear" w:color="auto" w:fill="auto"/>
            <w:noWrap/>
            <w:vAlign w:val="bottom"/>
          </w:tcPr>
          <w:p w14:paraId="71374F55" w14:textId="77777777" w:rsidR="009A36D2" w:rsidRPr="009A36D2" w:rsidRDefault="009A36D2" w:rsidP="00281A92">
            <w:pPr>
              <w:spacing w:before="0" w:after="0" w:line="240" w:lineRule="auto"/>
              <w:rPr>
                <w:color w:val="auto"/>
                <w:sz w:val="20"/>
                <w:szCs w:val="20"/>
              </w:rPr>
            </w:pPr>
            <w:r w:rsidRPr="009A36D2">
              <w:rPr>
                <w:color w:val="000000"/>
                <w:sz w:val="22"/>
                <w:szCs w:val="22"/>
              </w:rPr>
              <w:t>361</w:t>
            </w:r>
          </w:p>
        </w:tc>
        <w:tc>
          <w:tcPr>
            <w:tcW w:w="660" w:type="pct"/>
            <w:gridSpan w:val="3"/>
            <w:tcBorders>
              <w:top w:val="nil"/>
              <w:left w:val="nil"/>
              <w:bottom w:val="single" w:sz="4" w:space="0" w:color="auto"/>
              <w:right w:val="single" w:sz="4" w:space="0" w:color="auto"/>
            </w:tcBorders>
            <w:shd w:val="clear" w:color="auto" w:fill="auto"/>
            <w:noWrap/>
            <w:vAlign w:val="bottom"/>
          </w:tcPr>
          <w:p w14:paraId="71EB7207" w14:textId="77777777" w:rsidR="009A36D2" w:rsidRPr="009A36D2" w:rsidRDefault="009A36D2" w:rsidP="00281A92">
            <w:pPr>
              <w:spacing w:before="0" w:after="0" w:line="240" w:lineRule="auto"/>
              <w:rPr>
                <w:color w:val="auto"/>
                <w:sz w:val="20"/>
                <w:szCs w:val="20"/>
              </w:rPr>
            </w:pPr>
            <w:r w:rsidRPr="009A36D2">
              <w:rPr>
                <w:color w:val="000000"/>
                <w:sz w:val="22"/>
                <w:szCs w:val="22"/>
              </w:rPr>
              <w:t>328</w:t>
            </w:r>
          </w:p>
        </w:tc>
        <w:tc>
          <w:tcPr>
            <w:tcW w:w="540" w:type="pct"/>
            <w:gridSpan w:val="2"/>
            <w:tcBorders>
              <w:top w:val="nil"/>
              <w:left w:val="nil"/>
              <w:bottom w:val="single" w:sz="4" w:space="0" w:color="auto"/>
              <w:right w:val="single" w:sz="4" w:space="0" w:color="auto"/>
            </w:tcBorders>
            <w:shd w:val="clear" w:color="auto" w:fill="auto"/>
            <w:noWrap/>
            <w:vAlign w:val="bottom"/>
          </w:tcPr>
          <w:p w14:paraId="70826403" w14:textId="77777777" w:rsidR="009A36D2" w:rsidRPr="009A36D2" w:rsidRDefault="009A36D2" w:rsidP="00281A92">
            <w:pPr>
              <w:spacing w:before="0" w:after="0" w:line="240" w:lineRule="auto"/>
              <w:rPr>
                <w:color w:val="auto"/>
                <w:sz w:val="20"/>
                <w:szCs w:val="20"/>
              </w:rPr>
            </w:pPr>
            <w:r w:rsidRPr="009A36D2">
              <w:rPr>
                <w:color w:val="000000"/>
                <w:sz w:val="22"/>
                <w:szCs w:val="22"/>
              </w:rPr>
              <w:t>256</w:t>
            </w:r>
          </w:p>
        </w:tc>
        <w:tc>
          <w:tcPr>
            <w:tcW w:w="551" w:type="pct"/>
            <w:gridSpan w:val="2"/>
            <w:tcBorders>
              <w:top w:val="nil"/>
              <w:left w:val="nil"/>
              <w:bottom w:val="single" w:sz="4" w:space="0" w:color="auto"/>
              <w:right w:val="single" w:sz="4" w:space="0" w:color="auto"/>
            </w:tcBorders>
            <w:shd w:val="clear" w:color="auto" w:fill="auto"/>
            <w:noWrap/>
            <w:vAlign w:val="bottom"/>
          </w:tcPr>
          <w:p w14:paraId="5543AF77" w14:textId="77777777" w:rsidR="009A36D2" w:rsidRPr="009A36D2" w:rsidRDefault="009A36D2" w:rsidP="00281A92">
            <w:pPr>
              <w:spacing w:before="0" w:after="0" w:line="240" w:lineRule="auto"/>
              <w:rPr>
                <w:color w:val="auto"/>
                <w:sz w:val="20"/>
                <w:szCs w:val="20"/>
              </w:rPr>
            </w:pPr>
            <w:r w:rsidRPr="009A36D2">
              <w:rPr>
                <w:color w:val="000000"/>
                <w:sz w:val="22"/>
                <w:szCs w:val="22"/>
              </w:rPr>
              <w:t>269</w:t>
            </w:r>
          </w:p>
        </w:tc>
        <w:tc>
          <w:tcPr>
            <w:tcW w:w="697" w:type="pct"/>
            <w:gridSpan w:val="3"/>
            <w:tcBorders>
              <w:top w:val="nil"/>
              <w:left w:val="nil"/>
              <w:bottom w:val="single" w:sz="4" w:space="0" w:color="auto"/>
              <w:right w:val="single" w:sz="4" w:space="0" w:color="auto"/>
            </w:tcBorders>
            <w:shd w:val="clear" w:color="auto" w:fill="auto"/>
            <w:noWrap/>
            <w:vAlign w:val="bottom"/>
          </w:tcPr>
          <w:p w14:paraId="20AF431F" w14:textId="77777777" w:rsidR="009A36D2" w:rsidRPr="009A36D2" w:rsidRDefault="009A36D2" w:rsidP="00281A92">
            <w:pPr>
              <w:spacing w:before="0" w:after="0" w:line="240" w:lineRule="auto"/>
              <w:rPr>
                <w:color w:val="auto"/>
                <w:sz w:val="20"/>
                <w:szCs w:val="20"/>
              </w:rPr>
            </w:pPr>
            <w:r w:rsidRPr="009A36D2">
              <w:rPr>
                <w:color w:val="000000"/>
                <w:sz w:val="22"/>
                <w:szCs w:val="22"/>
              </w:rPr>
              <w:t>324</w:t>
            </w:r>
          </w:p>
        </w:tc>
        <w:tc>
          <w:tcPr>
            <w:tcW w:w="693" w:type="pct"/>
            <w:gridSpan w:val="2"/>
            <w:tcBorders>
              <w:top w:val="nil"/>
              <w:left w:val="nil"/>
              <w:bottom w:val="single" w:sz="4" w:space="0" w:color="auto"/>
              <w:right w:val="single" w:sz="4" w:space="0" w:color="auto"/>
            </w:tcBorders>
            <w:shd w:val="clear" w:color="auto" w:fill="auto"/>
            <w:noWrap/>
            <w:vAlign w:val="bottom"/>
          </w:tcPr>
          <w:p w14:paraId="7EAEBC66" w14:textId="77777777" w:rsidR="009A36D2" w:rsidRPr="009A36D2" w:rsidRDefault="009A36D2" w:rsidP="00281A92">
            <w:pPr>
              <w:spacing w:before="0" w:after="0" w:line="240" w:lineRule="auto"/>
              <w:rPr>
                <w:color w:val="auto"/>
                <w:sz w:val="20"/>
                <w:szCs w:val="20"/>
              </w:rPr>
            </w:pPr>
            <w:r w:rsidRPr="009A36D2">
              <w:rPr>
                <w:color w:val="000000"/>
                <w:sz w:val="22"/>
                <w:szCs w:val="22"/>
              </w:rPr>
              <w:t>375</w:t>
            </w:r>
          </w:p>
        </w:tc>
      </w:tr>
      <w:tr w:rsidR="009A36D2" w:rsidRPr="009A36D2" w14:paraId="28CB053B"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039F8DD"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58" w:type="pct"/>
            <w:gridSpan w:val="3"/>
            <w:tcBorders>
              <w:top w:val="nil"/>
              <w:left w:val="nil"/>
              <w:bottom w:val="single" w:sz="4" w:space="0" w:color="auto"/>
              <w:right w:val="single" w:sz="4" w:space="0" w:color="auto"/>
            </w:tcBorders>
            <w:shd w:val="clear" w:color="auto" w:fill="auto"/>
            <w:noWrap/>
            <w:vAlign w:val="bottom"/>
          </w:tcPr>
          <w:p w14:paraId="2B0D246E" w14:textId="77777777" w:rsidR="009A36D2" w:rsidRPr="009A36D2" w:rsidRDefault="009A36D2" w:rsidP="00281A92">
            <w:pPr>
              <w:spacing w:before="0" w:after="0" w:line="240" w:lineRule="auto"/>
              <w:rPr>
                <w:color w:val="auto"/>
                <w:sz w:val="20"/>
                <w:szCs w:val="20"/>
              </w:rPr>
            </w:pPr>
            <w:r w:rsidRPr="009A36D2">
              <w:rPr>
                <w:color w:val="000000"/>
                <w:sz w:val="22"/>
                <w:szCs w:val="22"/>
              </w:rPr>
              <w:t>361</w:t>
            </w:r>
          </w:p>
        </w:tc>
        <w:tc>
          <w:tcPr>
            <w:tcW w:w="660" w:type="pct"/>
            <w:gridSpan w:val="3"/>
            <w:tcBorders>
              <w:top w:val="nil"/>
              <w:left w:val="nil"/>
              <w:bottom w:val="single" w:sz="4" w:space="0" w:color="auto"/>
              <w:right w:val="single" w:sz="4" w:space="0" w:color="auto"/>
            </w:tcBorders>
            <w:shd w:val="clear" w:color="auto" w:fill="auto"/>
            <w:noWrap/>
            <w:vAlign w:val="bottom"/>
          </w:tcPr>
          <w:p w14:paraId="323B6A40" w14:textId="77777777" w:rsidR="009A36D2" w:rsidRPr="009A36D2" w:rsidRDefault="009A36D2" w:rsidP="00281A92">
            <w:pPr>
              <w:spacing w:before="0" w:after="0" w:line="240" w:lineRule="auto"/>
              <w:rPr>
                <w:color w:val="auto"/>
                <w:sz w:val="20"/>
                <w:szCs w:val="20"/>
              </w:rPr>
            </w:pPr>
            <w:r w:rsidRPr="009A36D2">
              <w:rPr>
                <w:color w:val="000000"/>
                <w:sz w:val="22"/>
                <w:szCs w:val="22"/>
              </w:rPr>
              <w:t>319</w:t>
            </w:r>
          </w:p>
        </w:tc>
        <w:tc>
          <w:tcPr>
            <w:tcW w:w="540" w:type="pct"/>
            <w:gridSpan w:val="2"/>
            <w:tcBorders>
              <w:top w:val="nil"/>
              <w:left w:val="nil"/>
              <w:bottom w:val="single" w:sz="4" w:space="0" w:color="auto"/>
              <w:right w:val="single" w:sz="4" w:space="0" w:color="auto"/>
            </w:tcBorders>
            <w:shd w:val="clear" w:color="auto" w:fill="auto"/>
            <w:noWrap/>
            <w:vAlign w:val="bottom"/>
          </w:tcPr>
          <w:p w14:paraId="2C67EE5F" w14:textId="77777777" w:rsidR="009A36D2" w:rsidRPr="009A36D2" w:rsidRDefault="009A36D2" w:rsidP="00281A92">
            <w:pPr>
              <w:spacing w:before="0" w:after="0" w:line="240" w:lineRule="auto"/>
              <w:rPr>
                <w:color w:val="auto"/>
                <w:sz w:val="20"/>
                <w:szCs w:val="20"/>
              </w:rPr>
            </w:pPr>
            <w:r w:rsidRPr="009A36D2">
              <w:rPr>
                <w:color w:val="000000"/>
                <w:sz w:val="22"/>
                <w:szCs w:val="22"/>
              </w:rPr>
              <w:t>244</w:t>
            </w:r>
          </w:p>
        </w:tc>
        <w:tc>
          <w:tcPr>
            <w:tcW w:w="551" w:type="pct"/>
            <w:gridSpan w:val="2"/>
            <w:tcBorders>
              <w:top w:val="nil"/>
              <w:left w:val="nil"/>
              <w:bottom w:val="single" w:sz="4" w:space="0" w:color="auto"/>
              <w:right w:val="single" w:sz="4" w:space="0" w:color="auto"/>
            </w:tcBorders>
            <w:shd w:val="clear" w:color="auto" w:fill="auto"/>
            <w:noWrap/>
            <w:vAlign w:val="bottom"/>
          </w:tcPr>
          <w:p w14:paraId="2A30732D" w14:textId="77777777" w:rsidR="009A36D2" w:rsidRPr="009A36D2" w:rsidRDefault="009A36D2" w:rsidP="00281A92">
            <w:pPr>
              <w:spacing w:before="0" w:after="0" w:line="240" w:lineRule="auto"/>
              <w:rPr>
                <w:color w:val="auto"/>
                <w:sz w:val="20"/>
                <w:szCs w:val="20"/>
              </w:rPr>
            </w:pPr>
            <w:r w:rsidRPr="009A36D2">
              <w:rPr>
                <w:color w:val="000000"/>
                <w:sz w:val="22"/>
                <w:szCs w:val="22"/>
              </w:rPr>
              <w:t>284</w:t>
            </w:r>
          </w:p>
        </w:tc>
        <w:tc>
          <w:tcPr>
            <w:tcW w:w="697" w:type="pct"/>
            <w:gridSpan w:val="3"/>
            <w:tcBorders>
              <w:top w:val="nil"/>
              <w:left w:val="nil"/>
              <w:bottom w:val="single" w:sz="4" w:space="0" w:color="auto"/>
              <w:right w:val="single" w:sz="4" w:space="0" w:color="auto"/>
            </w:tcBorders>
            <w:shd w:val="clear" w:color="auto" w:fill="auto"/>
            <w:noWrap/>
            <w:vAlign w:val="bottom"/>
          </w:tcPr>
          <w:p w14:paraId="1FBF55D3" w14:textId="77777777" w:rsidR="009A36D2" w:rsidRPr="009A36D2" w:rsidRDefault="009A36D2" w:rsidP="00281A92">
            <w:pPr>
              <w:spacing w:before="0" w:after="0" w:line="240" w:lineRule="auto"/>
              <w:rPr>
                <w:color w:val="auto"/>
                <w:sz w:val="20"/>
                <w:szCs w:val="20"/>
              </w:rPr>
            </w:pPr>
            <w:r w:rsidRPr="009A36D2">
              <w:rPr>
                <w:color w:val="000000"/>
                <w:sz w:val="22"/>
                <w:szCs w:val="22"/>
              </w:rPr>
              <w:t>373</w:t>
            </w:r>
          </w:p>
        </w:tc>
        <w:tc>
          <w:tcPr>
            <w:tcW w:w="693" w:type="pct"/>
            <w:gridSpan w:val="2"/>
            <w:tcBorders>
              <w:top w:val="nil"/>
              <w:left w:val="nil"/>
              <w:bottom w:val="single" w:sz="4" w:space="0" w:color="auto"/>
              <w:right w:val="single" w:sz="4" w:space="0" w:color="auto"/>
            </w:tcBorders>
            <w:shd w:val="clear" w:color="auto" w:fill="auto"/>
            <w:noWrap/>
            <w:vAlign w:val="bottom"/>
          </w:tcPr>
          <w:p w14:paraId="0A4C3647" w14:textId="77777777" w:rsidR="009A36D2" w:rsidRPr="009A36D2" w:rsidRDefault="009A36D2" w:rsidP="00281A92">
            <w:pPr>
              <w:spacing w:before="0" w:after="0" w:line="240" w:lineRule="auto"/>
              <w:rPr>
                <w:color w:val="auto"/>
                <w:sz w:val="20"/>
                <w:szCs w:val="20"/>
              </w:rPr>
            </w:pPr>
            <w:r w:rsidRPr="009A36D2">
              <w:rPr>
                <w:color w:val="000000"/>
                <w:sz w:val="22"/>
                <w:szCs w:val="22"/>
              </w:rPr>
              <w:t>378</w:t>
            </w:r>
          </w:p>
        </w:tc>
      </w:tr>
      <w:tr w:rsidR="009A36D2" w:rsidRPr="009A36D2" w14:paraId="39E96FC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F946E32"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58" w:type="pct"/>
            <w:gridSpan w:val="3"/>
            <w:tcBorders>
              <w:top w:val="nil"/>
              <w:left w:val="nil"/>
              <w:bottom w:val="single" w:sz="4" w:space="0" w:color="auto"/>
              <w:right w:val="single" w:sz="4" w:space="0" w:color="auto"/>
            </w:tcBorders>
            <w:shd w:val="clear" w:color="auto" w:fill="auto"/>
            <w:noWrap/>
            <w:vAlign w:val="bottom"/>
          </w:tcPr>
          <w:p w14:paraId="4C542BC3" w14:textId="77777777" w:rsidR="009A36D2" w:rsidRPr="009A36D2" w:rsidRDefault="009A36D2" w:rsidP="00281A92">
            <w:pPr>
              <w:spacing w:before="0" w:after="0" w:line="240" w:lineRule="auto"/>
              <w:rPr>
                <w:color w:val="auto"/>
                <w:sz w:val="20"/>
                <w:szCs w:val="20"/>
              </w:rPr>
            </w:pPr>
            <w:r w:rsidRPr="009A36D2">
              <w:rPr>
                <w:color w:val="000000"/>
                <w:sz w:val="22"/>
                <w:szCs w:val="22"/>
              </w:rPr>
              <w:t>590</w:t>
            </w:r>
          </w:p>
        </w:tc>
        <w:tc>
          <w:tcPr>
            <w:tcW w:w="660" w:type="pct"/>
            <w:gridSpan w:val="3"/>
            <w:tcBorders>
              <w:top w:val="nil"/>
              <w:left w:val="nil"/>
              <w:bottom w:val="single" w:sz="4" w:space="0" w:color="auto"/>
              <w:right w:val="single" w:sz="4" w:space="0" w:color="auto"/>
            </w:tcBorders>
            <w:shd w:val="clear" w:color="auto" w:fill="auto"/>
            <w:noWrap/>
            <w:vAlign w:val="bottom"/>
          </w:tcPr>
          <w:p w14:paraId="541FA923" w14:textId="77777777" w:rsidR="009A36D2" w:rsidRPr="009A36D2" w:rsidRDefault="009A36D2" w:rsidP="00281A92">
            <w:pPr>
              <w:spacing w:before="0" w:after="0" w:line="240" w:lineRule="auto"/>
              <w:rPr>
                <w:color w:val="auto"/>
                <w:sz w:val="20"/>
                <w:szCs w:val="20"/>
              </w:rPr>
            </w:pPr>
            <w:r w:rsidRPr="009A36D2">
              <w:rPr>
                <w:color w:val="000000"/>
                <w:sz w:val="22"/>
                <w:szCs w:val="22"/>
              </w:rPr>
              <w:t>529</w:t>
            </w:r>
          </w:p>
        </w:tc>
        <w:tc>
          <w:tcPr>
            <w:tcW w:w="540" w:type="pct"/>
            <w:gridSpan w:val="2"/>
            <w:tcBorders>
              <w:top w:val="nil"/>
              <w:left w:val="nil"/>
              <w:bottom w:val="single" w:sz="4" w:space="0" w:color="auto"/>
              <w:right w:val="single" w:sz="4" w:space="0" w:color="auto"/>
            </w:tcBorders>
            <w:shd w:val="clear" w:color="auto" w:fill="auto"/>
            <w:noWrap/>
            <w:vAlign w:val="bottom"/>
          </w:tcPr>
          <w:p w14:paraId="5DA880A0" w14:textId="77777777" w:rsidR="009A36D2" w:rsidRPr="009A36D2" w:rsidRDefault="009A36D2" w:rsidP="00281A92">
            <w:pPr>
              <w:spacing w:before="0" w:after="0" w:line="240" w:lineRule="auto"/>
              <w:rPr>
                <w:color w:val="auto"/>
                <w:sz w:val="20"/>
                <w:szCs w:val="20"/>
              </w:rPr>
            </w:pPr>
            <w:r w:rsidRPr="009A36D2">
              <w:rPr>
                <w:color w:val="000000"/>
                <w:sz w:val="22"/>
                <w:szCs w:val="22"/>
              </w:rPr>
              <w:t>400</w:t>
            </w:r>
          </w:p>
        </w:tc>
        <w:tc>
          <w:tcPr>
            <w:tcW w:w="551" w:type="pct"/>
            <w:gridSpan w:val="2"/>
            <w:tcBorders>
              <w:top w:val="nil"/>
              <w:left w:val="nil"/>
              <w:bottom w:val="single" w:sz="4" w:space="0" w:color="auto"/>
              <w:right w:val="single" w:sz="4" w:space="0" w:color="auto"/>
            </w:tcBorders>
            <w:shd w:val="clear" w:color="auto" w:fill="auto"/>
            <w:noWrap/>
            <w:vAlign w:val="bottom"/>
          </w:tcPr>
          <w:p w14:paraId="245B5CF5" w14:textId="77777777" w:rsidR="009A36D2" w:rsidRPr="009A36D2" w:rsidRDefault="009A36D2" w:rsidP="00281A92">
            <w:pPr>
              <w:spacing w:before="0" w:after="0" w:line="240" w:lineRule="auto"/>
              <w:rPr>
                <w:color w:val="auto"/>
                <w:sz w:val="20"/>
                <w:szCs w:val="20"/>
              </w:rPr>
            </w:pPr>
            <w:r w:rsidRPr="009A36D2">
              <w:rPr>
                <w:color w:val="000000"/>
                <w:sz w:val="22"/>
                <w:szCs w:val="22"/>
              </w:rPr>
              <w:t>399</w:t>
            </w:r>
          </w:p>
        </w:tc>
        <w:tc>
          <w:tcPr>
            <w:tcW w:w="697" w:type="pct"/>
            <w:gridSpan w:val="3"/>
            <w:tcBorders>
              <w:top w:val="nil"/>
              <w:left w:val="nil"/>
              <w:bottom w:val="single" w:sz="4" w:space="0" w:color="auto"/>
              <w:right w:val="single" w:sz="4" w:space="0" w:color="auto"/>
            </w:tcBorders>
            <w:shd w:val="clear" w:color="auto" w:fill="auto"/>
            <w:noWrap/>
            <w:vAlign w:val="bottom"/>
          </w:tcPr>
          <w:p w14:paraId="6009ECE2" w14:textId="77777777" w:rsidR="009A36D2" w:rsidRPr="009A36D2" w:rsidRDefault="009A36D2" w:rsidP="00281A92">
            <w:pPr>
              <w:spacing w:before="0" w:after="0" w:line="240" w:lineRule="auto"/>
              <w:rPr>
                <w:color w:val="auto"/>
                <w:sz w:val="20"/>
                <w:szCs w:val="20"/>
              </w:rPr>
            </w:pPr>
            <w:r w:rsidRPr="009A36D2">
              <w:rPr>
                <w:color w:val="000000"/>
                <w:sz w:val="22"/>
                <w:szCs w:val="22"/>
              </w:rPr>
              <w:t>516</w:t>
            </w:r>
          </w:p>
        </w:tc>
        <w:tc>
          <w:tcPr>
            <w:tcW w:w="693" w:type="pct"/>
            <w:gridSpan w:val="2"/>
            <w:tcBorders>
              <w:top w:val="nil"/>
              <w:left w:val="nil"/>
              <w:bottom w:val="single" w:sz="4" w:space="0" w:color="auto"/>
              <w:right w:val="single" w:sz="4" w:space="0" w:color="auto"/>
            </w:tcBorders>
            <w:shd w:val="clear" w:color="auto" w:fill="auto"/>
            <w:noWrap/>
            <w:vAlign w:val="bottom"/>
          </w:tcPr>
          <w:p w14:paraId="77D177AF" w14:textId="77777777" w:rsidR="009A36D2" w:rsidRPr="009A36D2" w:rsidRDefault="009A36D2" w:rsidP="00281A92">
            <w:pPr>
              <w:spacing w:before="0" w:after="0" w:line="240" w:lineRule="auto"/>
              <w:rPr>
                <w:color w:val="auto"/>
                <w:sz w:val="20"/>
                <w:szCs w:val="20"/>
              </w:rPr>
            </w:pPr>
            <w:r w:rsidRPr="009A36D2">
              <w:rPr>
                <w:color w:val="000000"/>
                <w:sz w:val="22"/>
                <w:szCs w:val="22"/>
              </w:rPr>
              <w:t>571</w:t>
            </w:r>
          </w:p>
        </w:tc>
      </w:tr>
      <w:tr w:rsidR="009A36D2" w:rsidRPr="009A36D2" w14:paraId="2643F92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B7130A1"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58" w:type="pct"/>
            <w:gridSpan w:val="3"/>
            <w:tcBorders>
              <w:top w:val="nil"/>
              <w:left w:val="nil"/>
              <w:bottom w:val="single" w:sz="4" w:space="0" w:color="auto"/>
              <w:right w:val="single" w:sz="4" w:space="0" w:color="auto"/>
            </w:tcBorders>
            <w:shd w:val="clear" w:color="auto" w:fill="auto"/>
            <w:noWrap/>
            <w:vAlign w:val="bottom"/>
          </w:tcPr>
          <w:p w14:paraId="50637172" w14:textId="77777777" w:rsidR="009A36D2" w:rsidRPr="009A36D2" w:rsidRDefault="009A36D2" w:rsidP="00281A92">
            <w:pPr>
              <w:spacing w:before="0" w:after="0" w:line="240" w:lineRule="auto"/>
              <w:rPr>
                <w:color w:val="auto"/>
                <w:sz w:val="20"/>
                <w:szCs w:val="20"/>
              </w:rPr>
            </w:pPr>
            <w:r w:rsidRPr="009A36D2">
              <w:rPr>
                <w:color w:val="000000"/>
                <w:sz w:val="22"/>
                <w:szCs w:val="22"/>
              </w:rPr>
              <w:t>500</w:t>
            </w:r>
          </w:p>
        </w:tc>
        <w:tc>
          <w:tcPr>
            <w:tcW w:w="660" w:type="pct"/>
            <w:gridSpan w:val="3"/>
            <w:tcBorders>
              <w:top w:val="nil"/>
              <w:left w:val="nil"/>
              <w:bottom w:val="single" w:sz="4" w:space="0" w:color="auto"/>
              <w:right w:val="single" w:sz="4" w:space="0" w:color="auto"/>
            </w:tcBorders>
            <w:shd w:val="clear" w:color="auto" w:fill="auto"/>
            <w:noWrap/>
            <w:vAlign w:val="bottom"/>
          </w:tcPr>
          <w:p w14:paraId="1203FDE8" w14:textId="77777777" w:rsidR="009A36D2" w:rsidRPr="009A36D2" w:rsidRDefault="009A36D2" w:rsidP="00281A92">
            <w:pPr>
              <w:spacing w:before="0" w:after="0" w:line="240" w:lineRule="auto"/>
              <w:rPr>
                <w:color w:val="auto"/>
                <w:sz w:val="20"/>
                <w:szCs w:val="20"/>
              </w:rPr>
            </w:pPr>
            <w:r w:rsidRPr="009A36D2">
              <w:rPr>
                <w:color w:val="000000"/>
                <w:sz w:val="22"/>
                <w:szCs w:val="22"/>
              </w:rPr>
              <w:t>435</w:t>
            </w:r>
          </w:p>
        </w:tc>
        <w:tc>
          <w:tcPr>
            <w:tcW w:w="540" w:type="pct"/>
            <w:gridSpan w:val="2"/>
            <w:tcBorders>
              <w:top w:val="nil"/>
              <w:left w:val="nil"/>
              <w:bottom w:val="single" w:sz="4" w:space="0" w:color="auto"/>
              <w:right w:val="single" w:sz="4" w:space="0" w:color="auto"/>
            </w:tcBorders>
            <w:shd w:val="clear" w:color="auto" w:fill="auto"/>
            <w:noWrap/>
            <w:vAlign w:val="bottom"/>
          </w:tcPr>
          <w:p w14:paraId="3E305871" w14:textId="77777777" w:rsidR="009A36D2" w:rsidRPr="009A36D2" w:rsidRDefault="009A36D2" w:rsidP="00281A92">
            <w:pPr>
              <w:spacing w:before="0" w:after="0" w:line="240" w:lineRule="auto"/>
              <w:rPr>
                <w:color w:val="auto"/>
                <w:sz w:val="20"/>
                <w:szCs w:val="20"/>
              </w:rPr>
            </w:pPr>
            <w:r w:rsidRPr="009A36D2">
              <w:rPr>
                <w:color w:val="000000"/>
                <w:sz w:val="22"/>
                <w:szCs w:val="22"/>
              </w:rPr>
              <w:t>326</w:t>
            </w:r>
          </w:p>
        </w:tc>
        <w:tc>
          <w:tcPr>
            <w:tcW w:w="551" w:type="pct"/>
            <w:gridSpan w:val="2"/>
            <w:tcBorders>
              <w:top w:val="nil"/>
              <w:left w:val="nil"/>
              <w:bottom w:val="single" w:sz="4" w:space="0" w:color="auto"/>
              <w:right w:val="single" w:sz="4" w:space="0" w:color="auto"/>
            </w:tcBorders>
            <w:shd w:val="clear" w:color="auto" w:fill="auto"/>
            <w:noWrap/>
            <w:vAlign w:val="bottom"/>
          </w:tcPr>
          <w:p w14:paraId="5FBDB281" w14:textId="77777777" w:rsidR="009A36D2" w:rsidRPr="009A36D2" w:rsidRDefault="009A36D2" w:rsidP="00281A92">
            <w:pPr>
              <w:spacing w:before="0" w:after="0" w:line="240" w:lineRule="auto"/>
              <w:rPr>
                <w:color w:val="auto"/>
                <w:sz w:val="20"/>
                <w:szCs w:val="20"/>
              </w:rPr>
            </w:pPr>
            <w:r w:rsidRPr="009A36D2">
              <w:rPr>
                <w:color w:val="000000"/>
                <w:sz w:val="22"/>
                <w:szCs w:val="22"/>
              </w:rPr>
              <w:t>282</w:t>
            </w:r>
          </w:p>
        </w:tc>
        <w:tc>
          <w:tcPr>
            <w:tcW w:w="697" w:type="pct"/>
            <w:gridSpan w:val="3"/>
            <w:tcBorders>
              <w:top w:val="nil"/>
              <w:left w:val="nil"/>
              <w:bottom w:val="single" w:sz="4" w:space="0" w:color="auto"/>
              <w:right w:val="single" w:sz="4" w:space="0" w:color="auto"/>
            </w:tcBorders>
            <w:shd w:val="clear" w:color="auto" w:fill="auto"/>
            <w:noWrap/>
            <w:vAlign w:val="bottom"/>
          </w:tcPr>
          <w:p w14:paraId="0B75D556" w14:textId="77777777" w:rsidR="009A36D2" w:rsidRPr="009A36D2" w:rsidRDefault="009A36D2" w:rsidP="00281A92">
            <w:pPr>
              <w:spacing w:before="0" w:after="0" w:line="240" w:lineRule="auto"/>
              <w:rPr>
                <w:color w:val="auto"/>
                <w:sz w:val="20"/>
                <w:szCs w:val="20"/>
              </w:rPr>
            </w:pPr>
            <w:r w:rsidRPr="009A36D2">
              <w:rPr>
                <w:color w:val="000000"/>
                <w:sz w:val="22"/>
                <w:szCs w:val="22"/>
              </w:rPr>
              <w:t>390</w:t>
            </w:r>
          </w:p>
        </w:tc>
        <w:tc>
          <w:tcPr>
            <w:tcW w:w="693" w:type="pct"/>
            <w:gridSpan w:val="2"/>
            <w:tcBorders>
              <w:top w:val="nil"/>
              <w:left w:val="nil"/>
              <w:bottom w:val="single" w:sz="4" w:space="0" w:color="auto"/>
              <w:right w:val="single" w:sz="4" w:space="0" w:color="auto"/>
            </w:tcBorders>
            <w:shd w:val="clear" w:color="auto" w:fill="auto"/>
            <w:noWrap/>
            <w:vAlign w:val="bottom"/>
          </w:tcPr>
          <w:p w14:paraId="4285E8E2" w14:textId="77777777" w:rsidR="009A36D2" w:rsidRPr="009A36D2" w:rsidRDefault="009A36D2" w:rsidP="00281A92">
            <w:pPr>
              <w:spacing w:before="0" w:after="0" w:line="240" w:lineRule="auto"/>
              <w:rPr>
                <w:color w:val="auto"/>
                <w:sz w:val="20"/>
                <w:szCs w:val="20"/>
              </w:rPr>
            </w:pPr>
            <w:r w:rsidRPr="009A36D2">
              <w:rPr>
                <w:color w:val="000000"/>
                <w:sz w:val="22"/>
                <w:szCs w:val="22"/>
              </w:rPr>
              <w:t>430</w:t>
            </w:r>
          </w:p>
        </w:tc>
      </w:tr>
      <w:tr w:rsidR="009A36D2" w:rsidRPr="009A36D2" w14:paraId="4DCBCD6E"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B8FDFE"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58" w:type="pct"/>
            <w:gridSpan w:val="3"/>
            <w:tcBorders>
              <w:top w:val="nil"/>
              <w:left w:val="nil"/>
              <w:bottom w:val="single" w:sz="4" w:space="0" w:color="auto"/>
              <w:right w:val="single" w:sz="4" w:space="0" w:color="auto"/>
            </w:tcBorders>
            <w:shd w:val="clear" w:color="auto" w:fill="auto"/>
            <w:noWrap/>
            <w:vAlign w:val="bottom"/>
          </w:tcPr>
          <w:p w14:paraId="0BF4CA0D" w14:textId="77777777" w:rsidR="009A36D2" w:rsidRPr="009A36D2" w:rsidRDefault="009A36D2" w:rsidP="00281A92">
            <w:pPr>
              <w:spacing w:before="0" w:after="0" w:line="240" w:lineRule="auto"/>
              <w:rPr>
                <w:color w:val="auto"/>
                <w:sz w:val="20"/>
                <w:szCs w:val="20"/>
              </w:rPr>
            </w:pPr>
            <w:r w:rsidRPr="009A36D2">
              <w:rPr>
                <w:color w:val="000000"/>
                <w:sz w:val="22"/>
                <w:szCs w:val="22"/>
              </w:rPr>
              <w:t>627</w:t>
            </w:r>
          </w:p>
        </w:tc>
        <w:tc>
          <w:tcPr>
            <w:tcW w:w="660" w:type="pct"/>
            <w:gridSpan w:val="3"/>
            <w:tcBorders>
              <w:top w:val="nil"/>
              <w:left w:val="nil"/>
              <w:bottom w:val="single" w:sz="4" w:space="0" w:color="auto"/>
              <w:right w:val="single" w:sz="4" w:space="0" w:color="auto"/>
            </w:tcBorders>
            <w:shd w:val="clear" w:color="auto" w:fill="auto"/>
            <w:noWrap/>
            <w:vAlign w:val="bottom"/>
          </w:tcPr>
          <w:p w14:paraId="48F800DB" w14:textId="77777777" w:rsidR="009A36D2" w:rsidRPr="009A36D2" w:rsidRDefault="009A36D2" w:rsidP="00281A92">
            <w:pPr>
              <w:spacing w:before="0" w:after="0" w:line="240" w:lineRule="auto"/>
              <w:rPr>
                <w:color w:val="auto"/>
                <w:sz w:val="20"/>
                <w:szCs w:val="20"/>
              </w:rPr>
            </w:pPr>
            <w:r w:rsidRPr="009A36D2">
              <w:rPr>
                <w:color w:val="000000"/>
                <w:sz w:val="22"/>
                <w:szCs w:val="22"/>
              </w:rPr>
              <w:t>446</w:t>
            </w:r>
          </w:p>
        </w:tc>
        <w:tc>
          <w:tcPr>
            <w:tcW w:w="540" w:type="pct"/>
            <w:gridSpan w:val="2"/>
            <w:tcBorders>
              <w:top w:val="nil"/>
              <w:left w:val="nil"/>
              <w:bottom w:val="single" w:sz="4" w:space="0" w:color="auto"/>
              <w:right w:val="single" w:sz="4" w:space="0" w:color="auto"/>
            </w:tcBorders>
            <w:shd w:val="clear" w:color="auto" w:fill="auto"/>
            <w:noWrap/>
            <w:vAlign w:val="bottom"/>
          </w:tcPr>
          <w:p w14:paraId="6D45AADF" w14:textId="77777777" w:rsidR="009A36D2" w:rsidRPr="009A36D2" w:rsidRDefault="009A36D2" w:rsidP="00281A92">
            <w:pPr>
              <w:spacing w:before="0" w:after="0" w:line="240" w:lineRule="auto"/>
              <w:rPr>
                <w:color w:val="auto"/>
                <w:sz w:val="20"/>
                <w:szCs w:val="20"/>
              </w:rPr>
            </w:pPr>
            <w:r w:rsidRPr="009A36D2">
              <w:rPr>
                <w:color w:val="000000"/>
                <w:sz w:val="22"/>
                <w:szCs w:val="22"/>
              </w:rPr>
              <w:t>347</w:t>
            </w:r>
          </w:p>
        </w:tc>
        <w:tc>
          <w:tcPr>
            <w:tcW w:w="551" w:type="pct"/>
            <w:gridSpan w:val="2"/>
            <w:tcBorders>
              <w:top w:val="nil"/>
              <w:left w:val="nil"/>
              <w:bottom w:val="single" w:sz="4" w:space="0" w:color="auto"/>
              <w:right w:val="single" w:sz="4" w:space="0" w:color="auto"/>
            </w:tcBorders>
            <w:shd w:val="clear" w:color="auto" w:fill="auto"/>
            <w:noWrap/>
            <w:vAlign w:val="bottom"/>
          </w:tcPr>
          <w:p w14:paraId="24B91AA2" w14:textId="77777777" w:rsidR="009A36D2" w:rsidRPr="009A36D2" w:rsidRDefault="009A36D2" w:rsidP="00281A92">
            <w:pPr>
              <w:spacing w:before="0" w:after="0" w:line="240" w:lineRule="auto"/>
              <w:rPr>
                <w:color w:val="auto"/>
                <w:sz w:val="20"/>
                <w:szCs w:val="20"/>
              </w:rPr>
            </w:pPr>
            <w:r w:rsidRPr="009A36D2">
              <w:rPr>
                <w:color w:val="000000"/>
                <w:sz w:val="22"/>
                <w:szCs w:val="22"/>
              </w:rPr>
              <w:t>526</w:t>
            </w:r>
          </w:p>
        </w:tc>
        <w:tc>
          <w:tcPr>
            <w:tcW w:w="697" w:type="pct"/>
            <w:gridSpan w:val="3"/>
            <w:tcBorders>
              <w:top w:val="nil"/>
              <w:left w:val="nil"/>
              <w:bottom w:val="single" w:sz="4" w:space="0" w:color="auto"/>
              <w:right w:val="single" w:sz="4" w:space="0" w:color="auto"/>
            </w:tcBorders>
            <w:shd w:val="clear" w:color="auto" w:fill="auto"/>
            <w:noWrap/>
            <w:vAlign w:val="bottom"/>
          </w:tcPr>
          <w:p w14:paraId="6C3F88CC" w14:textId="77777777" w:rsidR="009A36D2" w:rsidRPr="009A36D2" w:rsidRDefault="009A36D2" w:rsidP="00281A92">
            <w:pPr>
              <w:spacing w:before="0" w:after="0" w:line="240" w:lineRule="auto"/>
              <w:rPr>
                <w:color w:val="auto"/>
                <w:sz w:val="20"/>
                <w:szCs w:val="20"/>
              </w:rPr>
            </w:pPr>
            <w:r w:rsidRPr="009A36D2">
              <w:rPr>
                <w:color w:val="000000"/>
                <w:sz w:val="22"/>
                <w:szCs w:val="22"/>
              </w:rPr>
              <w:t>401</w:t>
            </w:r>
          </w:p>
        </w:tc>
        <w:tc>
          <w:tcPr>
            <w:tcW w:w="693" w:type="pct"/>
            <w:gridSpan w:val="2"/>
            <w:tcBorders>
              <w:top w:val="nil"/>
              <w:left w:val="nil"/>
              <w:bottom w:val="single" w:sz="4" w:space="0" w:color="auto"/>
              <w:right w:val="single" w:sz="4" w:space="0" w:color="auto"/>
            </w:tcBorders>
            <w:shd w:val="clear" w:color="auto" w:fill="auto"/>
            <w:noWrap/>
            <w:vAlign w:val="bottom"/>
          </w:tcPr>
          <w:p w14:paraId="5C6FF30B" w14:textId="77777777" w:rsidR="009A36D2" w:rsidRPr="009A36D2" w:rsidRDefault="009A36D2" w:rsidP="00281A92">
            <w:pPr>
              <w:spacing w:before="0" w:after="0" w:line="240" w:lineRule="auto"/>
              <w:rPr>
                <w:color w:val="auto"/>
                <w:sz w:val="20"/>
                <w:szCs w:val="20"/>
              </w:rPr>
            </w:pPr>
            <w:r w:rsidRPr="009A36D2">
              <w:rPr>
                <w:color w:val="000000"/>
                <w:sz w:val="22"/>
                <w:szCs w:val="22"/>
              </w:rPr>
              <w:t>716</w:t>
            </w:r>
          </w:p>
        </w:tc>
      </w:tr>
      <w:tr w:rsidR="009A36D2" w:rsidRPr="009A36D2" w14:paraId="354C5F3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E94C609"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58" w:type="pct"/>
            <w:gridSpan w:val="3"/>
            <w:tcBorders>
              <w:top w:val="nil"/>
              <w:left w:val="nil"/>
              <w:bottom w:val="single" w:sz="4" w:space="0" w:color="auto"/>
              <w:right w:val="single" w:sz="4" w:space="0" w:color="auto"/>
            </w:tcBorders>
            <w:shd w:val="clear" w:color="auto" w:fill="auto"/>
            <w:noWrap/>
            <w:vAlign w:val="bottom"/>
          </w:tcPr>
          <w:p w14:paraId="4C7E0F46" w14:textId="77777777" w:rsidR="009A36D2" w:rsidRPr="009A36D2" w:rsidRDefault="009A36D2" w:rsidP="00281A92">
            <w:pPr>
              <w:spacing w:before="0" w:after="0" w:line="240" w:lineRule="auto"/>
              <w:rPr>
                <w:color w:val="auto"/>
                <w:sz w:val="20"/>
                <w:szCs w:val="20"/>
              </w:rPr>
            </w:pPr>
            <w:r w:rsidRPr="009A36D2">
              <w:rPr>
                <w:color w:val="000000"/>
                <w:sz w:val="22"/>
                <w:szCs w:val="22"/>
              </w:rPr>
              <w:t>259</w:t>
            </w:r>
          </w:p>
        </w:tc>
        <w:tc>
          <w:tcPr>
            <w:tcW w:w="660" w:type="pct"/>
            <w:gridSpan w:val="3"/>
            <w:tcBorders>
              <w:top w:val="nil"/>
              <w:left w:val="nil"/>
              <w:bottom w:val="single" w:sz="4" w:space="0" w:color="auto"/>
              <w:right w:val="single" w:sz="4" w:space="0" w:color="auto"/>
            </w:tcBorders>
            <w:shd w:val="clear" w:color="auto" w:fill="auto"/>
            <w:noWrap/>
            <w:vAlign w:val="bottom"/>
          </w:tcPr>
          <w:p w14:paraId="1B1CDFA0" w14:textId="77777777" w:rsidR="009A36D2" w:rsidRPr="009A36D2" w:rsidRDefault="009A36D2" w:rsidP="00281A92">
            <w:pPr>
              <w:spacing w:before="0" w:after="0" w:line="240" w:lineRule="auto"/>
              <w:rPr>
                <w:color w:val="auto"/>
                <w:sz w:val="20"/>
                <w:szCs w:val="20"/>
              </w:rPr>
            </w:pPr>
            <w:r w:rsidRPr="009A36D2">
              <w:rPr>
                <w:color w:val="000000"/>
                <w:sz w:val="22"/>
                <w:szCs w:val="22"/>
              </w:rPr>
              <w:t>212</w:t>
            </w:r>
          </w:p>
        </w:tc>
        <w:tc>
          <w:tcPr>
            <w:tcW w:w="540" w:type="pct"/>
            <w:gridSpan w:val="2"/>
            <w:tcBorders>
              <w:top w:val="nil"/>
              <w:left w:val="nil"/>
              <w:bottom w:val="single" w:sz="4" w:space="0" w:color="auto"/>
              <w:right w:val="single" w:sz="4" w:space="0" w:color="auto"/>
            </w:tcBorders>
            <w:shd w:val="clear" w:color="auto" w:fill="auto"/>
            <w:noWrap/>
            <w:vAlign w:val="bottom"/>
          </w:tcPr>
          <w:p w14:paraId="3DBBC5E1" w14:textId="77777777" w:rsidR="009A36D2" w:rsidRPr="009A36D2" w:rsidRDefault="009A36D2" w:rsidP="00281A92">
            <w:pPr>
              <w:spacing w:before="0" w:after="0" w:line="240" w:lineRule="auto"/>
              <w:rPr>
                <w:color w:val="auto"/>
                <w:sz w:val="20"/>
                <w:szCs w:val="20"/>
              </w:rPr>
            </w:pPr>
            <w:r w:rsidRPr="009A36D2">
              <w:rPr>
                <w:color w:val="000000"/>
                <w:sz w:val="22"/>
                <w:szCs w:val="22"/>
              </w:rPr>
              <w:t>116</w:t>
            </w:r>
          </w:p>
        </w:tc>
        <w:tc>
          <w:tcPr>
            <w:tcW w:w="551" w:type="pct"/>
            <w:gridSpan w:val="2"/>
            <w:tcBorders>
              <w:top w:val="nil"/>
              <w:left w:val="nil"/>
              <w:bottom w:val="single" w:sz="4" w:space="0" w:color="auto"/>
              <w:right w:val="single" w:sz="4" w:space="0" w:color="auto"/>
            </w:tcBorders>
            <w:shd w:val="clear" w:color="auto" w:fill="auto"/>
            <w:noWrap/>
            <w:vAlign w:val="bottom"/>
          </w:tcPr>
          <w:p w14:paraId="67A330E3" w14:textId="77777777" w:rsidR="009A36D2" w:rsidRPr="009A36D2" w:rsidRDefault="009A36D2" w:rsidP="00281A92">
            <w:pPr>
              <w:spacing w:before="0" w:after="0" w:line="240" w:lineRule="auto"/>
              <w:rPr>
                <w:color w:val="auto"/>
                <w:sz w:val="20"/>
                <w:szCs w:val="20"/>
              </w:rPr>
            </w:pPr>
            <w:r w:rsidRPr="009A36D2">
              <w:rPr>
                <w:color w:val="000000"/>
                <w:sz w:val="22"/>
                <w:szCs w:val="22"/>
              </w:rPr>
              <w:t>265</w:t>
            </w:r>
          </w:p>
        </w:tc>
        <w:tc>
          <w:tcPr>
            <w:tcW w:w="697" w:type="pct"/>
            <w:gridSpan w:val="3"/>
            <w:tcBorders>
              <w:top w:val="nil"/>
              <w:left w:val="nil"/>
              <w:bottom w:val="single" w:sz="4" w:space="0" w:color="auto"/>
              <w:right w:val="single" w:sz="4" w:space="0" w:color="auto"/>
            </w:tcBorders>
            <w:shd w:val="clear" w:color="auto" w:fill="auto"/>
            <w:noWrap/>
            <w:vAlign w:val="bottom"/>
          </w:tcPr>
          <w:p w14:paraId="7A9760BC" w14:textId="77777777" w:rsidR="009A36D2" w:rsidRPr="009A36D2" w:rsidRDefault="009A36D2" w:rsidP="00281A92">
            <w:pPr>
              <w:spacing w:before="0" w:after="0" w:line="240" w:lineRule="auto"/>
              <w:rPr>
                <w:color w:val="auto"/>
                <w:sz w:val="20"/>
                <w:szCs w:val="20"/>
              </w:rPr>
            </w:pPr>
            <w:r w:rsidRPr="009A36D2">
              <w:rPr>
                <w:color w:val="000000"/>
                <w:sz w:val="22"/>
                <w:szCs w:val="22"/>
              </w:rPr>
              <w:t>253</w:t>
            </w:r>
          </w:p>
        </w:tc>
        <w:tc>
          <w:tcPr>
            <w:tcW w:w="693" w:type="pct"/>
            <w:gridSpan w:val="2"/>
            <w:tcBorders>
              <w:top w:val="nil"/>
              <w:left w:val="nil"/>
              <w:bottom w:val="single" w:sz="4" w:space="0" w:color="auto"/>
              <w:right w:val="single" w:sz="4" w:space="0" w:color="auto"/>
            </w:tcBorders>
            <w:shd w:val="clear" w:color="auto" w:fill="auto"/>
            <w:noWrap/>
            <w:vAlign w:val="bottom"/>
          </w:tcPr>
          <w:p w14:paraId="1C66F832" w14:textId="77777777" w:rsidR="009A36D2" w:rsidRPr="009A36D2" w:rsidRDefault="009A36D2" w:rsidP="00281A92">
            <w:pPr>
              <w:spacing w:before="0" w:after="0" w:line="240" w:lineRule="auto"/>
              <w:rPr>
                <w:color w:val="auto"/>
                <w:sz w:val="20"/>
                <w:szCs w:val="20"/>
              </w:rPr>
            </w:pPr>
            <w:r w:rsidRPr="009A36D2">
              <w:rPr>
                <w:color w:val="000000"/>
                <w:sz w:val="22"/>
                <w:szCs w:val="22"/>
              </w:rPr>
              <w:t>285</w:t>
            </w:r>
          </w:p>
        </w:tc>
      </w:tr>
      <w:tr w:rsidR="009A36D2" w:rsidRPr="009A36D2" w14:paraId="2FADFA5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DEDC501"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58" w:type="pct"/>
            <w:gridSpan w:val="3"/>
            <w:tcBorders>
              <w:top w:val="nil"/>
              <w:left w:val="nil"/>
              <w:bottom w:val="single" w:sz="4" w:space="0" w:color="auto"/>
              <w:right w:val="single" w:sz="4" w:space="0" w:color="auto"/>
            </w:tcBorders>
            <w:shd w:val="clear" w:color="auto" w:fill="auto"/>
            <w:noWrap/>
            <w:vAlign w:val="bottom"/>
          </w:tcPr>
          <w:p w14:paraId="35AB9327" w14:textId="77777777" w:rsidR="009A36D2" w:rsidRPr="009A36D2" w:rsidRDefault="009A36D2" w:rsidP="00281A92">
            <w:pPr>
              <w:spacing w:before="0" w:after="0" w:line="240" w:lineRule="auto"/>
              <w:rPr>
                <w:color w:val="auto"/>
                <w:sz w:val="20"/>
                <w:szCs w:val="20"/>
              </w:rPr>
            </w:pPr>
            <w:r w:rsidRPr="009A36D2">
              <w:rPr>
                <w:color w:val="000000"/>
                <w:sz w:val="22"/>
                <w:szCs w:val="22"/>
              </w:rPr>
              <w:t>390</w:t>
            </w:r>
          </w:p>
        </w:tc>
        <w:tc>
          <w:tcPr>
            <w:tcW w:w="660" w:type="pct"/>
            <w:gridSpan w:val="3"/>
            <w:tcBorders>
              <w:top w:val="nil"/>
              <w:left w:val="nil"/>
              <w:bottom w:val="single" w:sz="4" w:space="0" w:color="auto"/>
              <w:right w:val="single" w:sz="4" w:space="0" w:color="auto"/>
            </w:tcBorders>
            <w:shd w:val="clear" w:color="auto" w:fill="auto"/>
            <w:noWrap/>
            <w:vAlign w:val="bottom"/>
          </w:tcPr>
          <w:p w14:paraId="12390634" w14:textId="77777777" w:rsidR="009A36D2" w:rsidRPr="009A36D2" w:rsidRDefault="009A36D2" w:rsidP="00281A92">
            <w:pPr>
              <w:spacing w:before="0" w:after="0" w:line="240" w:lineRule="auto"/>
              <w:rPr>
                <w:color w:val="auto"/>
                <w:sz w:val="20"/>
                <w:szCs w:val="20"/>
              </w:rPr>
            </w:pPr>
            <w:r w:rsidRPr="009A36D2">
              <w:rPr>
                <w:color w:val="000000"/>
                <w:sz w:val="22"/>
                <w:szCs w:val="22"/>
              </w:rPr>
              <w:t>357</w:t>
            </w:r>
          </w:p>
        </w:tc>
        <w:tc>
          <w:tcPr>
            <w:tcW w:w="540" w:type="pct"/>
            <w:gridSpan w:val="2"/>
            <w:tcBorders>
              <w:top w:val="nil"/>
              <w:left w:val="nil"/>
              <w:bottom w:val="single" w:sz="4" w:space="0" w:color="auto"/>
              <w:right w:val="single" w:sz="4" w:space="0" w:color="auto"/>
            </w:tcBorders>
            <w:shd w:val="clear" w:color="auto" w:fill="auto"/>
            <w:noWrap/>
            <w:vAlign w:val="bottom"/>
          </w:tcPr>
          <w:p w14:paraId="30AFB3DC" w14:textId="77777777" w:rsidR="009A36D2" w:rsidRPr="009A36D2" w:rsidRDefault="009A36D2" w:rsidP="00281A92">
            <w:pPr>
              <w:spacing w:before="0" w:after="0" w:line="240" w:lineRule="auto"/>
              <w:rPr>
                <w:color w:val="auto"/>
                <w:sz w:val="20"/>
                <w:szCs w:val="20"/>
              </w:rPr>
            </w:pPr>
            <w:r w:rsidRPr="009A36D2">
              <w:rPr>
                <w:color w:val="000000"/>
                <w:sz w:val="22"/>
                <w:szCs w:val="22"/>
              </w:rPr>
              <w:t>287</w:t>
            </w:r>
          </w:p>
        </w:tc>
        <w:tc>
          <w:tcPr>
            <w:tcW w:w="551" w:type="pct"/>
            <w:gridSpan w:val="2"/>
            <w:tcBorders>
              <w:top w:val="nil"/>
              <w:left w:val="nil"/>
              <w:bottom w:val="single" w:sz="4" w:space="0" w:color="auto"/>
              <w:right w:val="single" w:sz="4" w:space="0" w:color="auto"/>
            </w:tcBorders>
            <w:shd w:val="clear" w:color="auto" w:fill="auto"/>
            <w:noWrap/>
            <w:vAlign w:val="bottom"/>
          </w:tcPr>
          <w:p w14:paraId="5F93D6E3" w14:textId="77777777" w:rsidR="009A36D2" w:rsidRPr="009A36D2" w:rsidRDefault="009A36D2" w:rsidP="00281A92">
            <w:pPr>
              <w:spacing w:before="0" w:after="0" w:line="240" w:lineRule="auto"/>
              <w:rPr>
                <w:color w:val="auto"/>
                <w:sz w:val="20"/>
                <w:szCs w:val="20"/>
              </w:rPr>
            </w:pPr>
            <w:r w:rsidRPr="009A36D2">
              <w:rPr>
                <w:color w:val="000000"/>
                <w:sz w:val="22"/>
                <w:szCs w:val="22"/>
              </w:rPr>
              <w:t>269</w:t>
            </w:r>
          </w:p>
        </w:tc>
        <w:tc>
          <w:tcPr>
            <w:tcW w:w="697" w:type="pct"/>
            <w:gridSpan w:val="3"/>
            <w:tcBorders>
              <w:top w:val="nil"/>
              <w:left w:val="nil"/>
              <w:bottom w:val="single" w:sz="4" w:space="0" w:color="auto"/>
              <w:right w:val="single" w:sz="4" w:space="0" w:color="auto"/>
            </w:tcBorders>
            <w:shd w:val="clear" w:color="auto" w:fill="auto"/>
            <w:noWrap/>
            <w:vAlign w:val="bottom"/>
          </w:tcPr>
          <w:p w14:paraId="45A7A5BF" w14:textId="77777777" w:rsidR="009A36D2" w:rsidRPr="009A36D2" w:rsidRDefault="009A36D2" w:rsidP="00281A92">
            <w:pPr>
              <w:spacing w:before="0" w:after="0" w:line="240" w:lineRule="auto"/>
              <w:rPr>
                <w:color w:val="auto"/>
                <w:sz w:val="20"/>
                <w:szCs w:val="20"/>
              </w:rPr>
            </w:pPr>
            <w:r w:rsidRPr="009A36D2">
              <w:rPr>
                <w:color w:val="000000"/>
                <w:sz w:val="22"/>
                <w:szCs w:val="22"/>
              </w:rPr>
              <w:t>331</w:t>
            </w:r>
          </w:p>
        </w:tc>
        <w:tc>
          <w:tcPr>
            <w:tcW w:w="693" w:type="pct"/>
            <w:gridSpan w:val="2"/>
            <w:tcBorders>
              <w:top w:val="nil"/>
              <w:left w:val="nil"/>
              <w:bottom w:val="single" w:sz="4" w:space="0" w:color="auto"/>
              <w:right w:val="single" w:sz="4" w:space="0" w:color="auto"/>
            </w:tcBorders>
            <w:shd w:val="clear" w:color="auto" w:fill="auto"/>
            <w:noWrap/>
            <w:vAlign w:val="bottom"/>
          </w:tcPr>
          <w:p w14:paraId="4B8E5DB6" w14:textId="77777777" w:rsidR="009A36D2" w:rsidRPr="009A36D2" w:rsidRDefault="009A36D2" w:rsidP="00281A92">
            <w:pPr>
              <w:spacing w:before="0" w:after="0" w:line="240" w:lineRule="auto"/>
              <w:rPr>
                <w:color w:val="auto"/>
                <w:sz w:val="20"/>
                <w:szCs w:val="20"/>
              </w:rPr>
            </w:pPr>
            <w:r w:rsidRPr="009A36D2">
              <w:rPr>
                <w:color w:val="000000"/>
                <w:sz w:val="22"/>
                <w:szCs w:val="22"/>
              </w:rPr>
              <w:t>377</w:t>
            </w:r>
          </w:p>
        </w:tc>
      </w:tr>
      <w:tr w:rsidR="009A36D2" w:rsidRPr="009A36D2" w14:paraId="63563F9A"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069B2AC"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58" w:type="pct"/>
            <w:gridSpan w:val="3"/>
            <w:tcBorders>
              <w:top w:val="nil"/>
              <w:left w:val="nil"/>
              <w:bottom w:val="single" w:sz="4" w:space="0" w:color="auto"/>
              <w:right w:val="single" w:sz="4" w:space="0" w:color="auto"/>
            </w:tcBorders>
            <w:shd w:val="clear" w:color="auto" w:fill="auto"/>
            <w:noWrap/>
            <w:vAlign w:val="bottom"/>
          </w:tcPr>
          <w:p w14:paraId="31F84CDF" w14:textId="77777777" w:rsidR="009A36D2" w:rsidRPr="009A36D2" w:rsidRDefault="009A36D2" w:rsidP="00281A92">
            <w:pPr>
              <w:spacing w:before="0" w:after="0" w:line="240" w:lineRule="auto"/>
              <w:rPr>
                <w:color w:val="auto"/>
                <w:sz w:val="20"/>
                <w:szCs w:val="20"/>
              </w:rPr>
            </w:pPr>
            <w:r w:rsidRPr="009A36D2">
              <w:rPr>
                <w:color w:val="000000"/>
                <w:sz w:val="22"/>
                <w:szCs w:val="22"/>
              </w:rPr>
              <w:t>385</w:t>
            </w:r>
          </w:p>
        </w:tc>
        <w:tc>
          <w:tcPr>
            <w:tcW w:w="660" w:type="pct"/>
            <w:gridSpan w:val="3"/>
            <w:tcBorders>
              <w:top w:val="nil"/>
              <w:left w:val="nil"/>
              <w:bottom w:val="single" w:sz="4" w:space="0" w:color="auto"/>
              <w:right w:val="single" w:sz="4" w:space="0" w:color="auto"/>
            </w:tcBorders>
            <w:shd w:val="clear" w:color="auto" w:fill="auto"/>
            <w:noWrap/>
            <w:vAlign w:val="bottom"/>
          </w:tcPr>
          <w:p w14:paraId="1DA9DF6E" w14:textId="77777777" w:rsidR="009A36D2" w:rsidRPr="009A36D2" w:rsidRDefault="009A36D2" w:rsidP="00281A92">
            <w:pPr>
              <w:spacing w:before="0" w:after="0" w:line="240" w:lineRule="auto"/>
              <w:rPr>
                <w:color w:val="auto"/>
                <w:sz w:val="20"/>
                <w:szCs w:val="20"/>
              </w:rPr>
            </w:pPr>
            <w:r w:rsidRPr="009A36D2">
              <w:rPr>
                <w:color w:val="000000"/>
                <w:sz w:val="22"/>
                <w:szCs w:val="22"/>
              </w:rPr>
              <w:t>328</w:t>
            </w:r>
          </w:p>
        </w:tc>
        <w:tc>
          <w:tcPr>
            <w:tcW w:w="540" w:type="pct"/>
            <w:gridSpan w:val="2"/>
            <w:tcBorders>
              <w:top w:val="nil"/>
              <w:left w:val="nil"/>
              <w:bottom w:val="single" w:sz="4" w:space="0" w:color="auto"/>
              <w:right w:val="single" w:sz="4" w:space="0" w:color="auto"/>
            </w:tcBorders>
            <w:shd w:val="clear" w:color="auto" w:fill="auto"/>
            <w:noWrap/>
            <w:vAlign w:val="bottom"/>
          </w:tcPr>
          <w:p w14:paraId="18ED3F54" w14:textId="77777777" w:rsidR="009A36D2" w:rsidRPr="009A36D2" w:rsidRDefault="009A36D2" w:rsidP="00281A92">
            <w:pPr>
              <w:spacing w:before="0" w:after="0" w:line="240" w:lineRule="auto"/>
              <w:rPr>
                <w:color w:val="auto"/>
                <w:sz w:val="20"/>
                <w:szCs w:val="20"/>
              </w:rPr>
            </w:pPr>
            <w:r w:rsidRPr="009A36D2">
              <w:rPr>
                <w:color w:val="000000"/>
                <w:sz w:val="22"/>
                <w:szCs w:val="22"/>
              </w:rPr>
              <w:t>261</w:t>
            </w:r>
          </w:p>
        </w:tc>
        <w:tc>
          <w:tcPr>
            <w:tcW w:w="551" w:type="pct"/>
            <w:gridSpan w:val="2"/>
            <w:tcBorders>
              <w:top w:val="nil"/>
              <w:left w:val="nil"/>
              <w:bottom w:val="single" w:sz="4" w:space="0" w:color="auto"/>
              <w:right w:val="single" w:sz="4" w:space="0" w:color="auto"/>
            </w:tcBorders>
            <w:shd w:val="clear" w:color="auto" w:fill="auto"/>
            <w:noWrap/>
            <w:vAlign w:val="bottom"/>
          </w:tcPr>
          <w:p w14:paraId="60A32E1D" w14:textId="77777777" w:rsidR="009A36D2" w:rsidRPr="009A36D2" w:rsidRDefault="009A36D2" w:rsidP="00281A92">
            <w:pPr>
              <w:spacing w:before="0" w:after="0" w:line="240" w:lineRule="auto"/>
              <w:rPr>
                <w:color w:val="auto"/>
                <w:sz w:val="20"/>
                <w:szCs w:val="20"/>
              </w:rPr>
            </w:pPr>
            <w:r w:rsidRPr="009A36D2">
              <w:rPr>
                <w:color w:val="000000"/>
                <w:sz w:val="22"/>
                <w:szCs w:val="22"/>
              </w:rPr>
              <w:t>244</w:t>
            </w:r>
          </w:p>
        </w:tc>
        <w:tc>
          <w:tcPr>
            <w:tcW w:w="697" w:type="pct"/>
            <w:gridSpan w:val="3"/>
            <w:tcBorders>
              <w:top w:val="nil"/>
              <w:left w:val="nil"/>
              <w:bottom w:val="single" w:sz="4" w:space="0" w:color="auto"/>
              <w:right w:val="single" w:sz="4" w:space="0" w:color="auto"/>
            </w:tcBorders>
            <w:shd w:val="clear" w:color="auto" w:fill="auto"/>
            <w:noWrap/>
            <w:vAlign w:val="bottom"/>
          </w:tcPr>
          <w:p w14:paraId="6F2CFC01" w14:textId="77777777" w:rsidR="009A36D2" w:rsidRPr="009A36D2" w:rsidRDefault="009A36D2" w:rsidP="00281A92">
            <w:pPr>
              <w:spacing w:before="0" w:after="0" w:line="240" w:lineRule="auto"/>
              <w:rPr>
                <w:color w:val="auto"/>
                <w:sz w:val="20"/>
                <w:szCs w:val="20"/>
              </w:rPr>
            </w:pPr>
            <w:r w:rsidRPr="009A36D2">
              <w:rPr>
                <w:color w:val="000000"/>
                <w:sz w:val="22"/>
                <w:szCs w:val="22"/>
              </w:rPr>
              <w:t>352</w:t>
            </w:r>
          </w:p>
        </w:tc>
        <w:tc>
          <w:tcPr>
            <w:tcW w:w="693" w:type="pct"/>
            <w:gridSpan w:val="2"/>
            <w:tcBorders>
              <w:top w:val="nil"/>
              <w:left w:val="nil"/>
              <w:bottom w:val="single" w:sz="4" w:space="0" w:color="auto"/>
              <w:right w:val="single" w:sz="4" w:space="0" w:color="auto"/>
            </w:tcBorders>
            <w:shd w:val="clear" w:color="auto" w:fill="auto"/>
            <w:noWrap/>
            <w:vAlign w:val="bottom"/>
          </w:tcPr>
          <w:p w14:paraId="2BCC9AAA" w14:textId="77777777" w:rsidR="009A36D2" w:rsidRPr="009A36D2" w:rsidRDefault="009A36D2" w:rsidP="00281A92">
            <w:pPr>
              <w:spacing w:before="0" w:after="0" w:line="240" w:lineRule="auto"/>
              <w:rPr>
                <w:color w:val="auto"/>
                <w:sz w:val="20"/>
                <w:szCs w:val="20"/>
              </w:rPr>
            </w:pPr>
            <w:r w:rsidRPr="009A36D2">
              <w:rPr>
                <w:color w:val="000000"/>
                <w:sz w:val="22"/>
                <w:szCs w:val="22"/>
              </w:rPr>
              <w:t>402</w:t>
            </w:r>
          </w:p>
        </w:tc>
      </w:tr>
      <w:tr w:rsidR="009A36D2" w:rsidRPr="009A36D2" w14:paraId="1D35EC1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ED2DA99"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58" w:type="pct"/>
            <w:gridSpan w:val="3"/>
            <w:tcBorders>
              <w:top w:val="nil"/>
              <w:left w:val="nil"/>
              <w:bottom w:val="single" w:sz="4" w:space="0" w:color="auto"/>
              <w:right w:val="single" w:sz="4" w:space="0" w:color="auto"/>
            </w:tcBorders>
            <w:shd w:val="clear" w:color="auto" w:fill="auto"/>
            <w:noWrap/>
            <w:vAlign w:val="bottom"/>
          </w:tcPr>
          <w:p w14:paraId="7A190FBF" w14:textId="77777777" w:rsidR="009A36D2" w:rsidRPr="009A36D2" w:rsidRDefault="009A36D2" w:rsidP="00281A92">
            <w:pPr>
              <w:spacing w:before="0" w:after="0" w:line="240" w:lineRule="auto"/>
              <w:rPr>
                <w:color w:val="auto"/>
                <w:sz w:val="20"/>
                <w:szCs w:val="20"/>
              </w:rPr>
            </w:pPr>
            <w:r w:rsidRPr="009A36D2">
              <w:rPr>
                <w:color w:val="000000"/>
                <w:sz w:val="22"/>
                <w:szCs w:val="22"/>
              </w:rPr>
              <w:t>372</w:t>
            </w:r>
          </w:p>
        </w:tc>
        <w:tc>
          <w:tcPr>
            <w:tcW w:w="660" w:type="pct"/>
            <w:gridSpan w:val="3"/>
            <w:tcBorders>
              <w:top w:val="nil"/>
              <w:left w:val="nil"/>
              <w:bottom w:val="single" w:sz="4" w:space="0" w:color="auto"/>
              <w:right w:val="single" w:sz="4" w:space="0" w:color="auto"/>
            </w:tcBorders>
            <w:shd w:val="clear" w:color="auto" w:fill="auto"/>
            <w:noWrap/>
            <w:vAlign w:val="bottom"/>
          </w:tcPr>
          <w:p w14:paraId="2E7E0F72" w14:textId="77777777" w:rsidR="009A36D2" w:rsidRPr="009A36D2" w:rsidRDefault="009A36D2" w:rsidP="00281A92">
            <w:pPr>
              <w:spacing w:before="0" w:after="0" w:line="240" w:lineRule="auto"/>
              <w:rPr>
                <w:color w:val="auto"/>
                <w:sz w:val="20"/>
                <w:szCs w:val="20"/>
              </w:rPr>
            </w:pPr>
            <w:r w:rsidRPr="009A36D2">
              <w:rPr>
                <w:color w:val="000000"/>
                <w:sz w:val="22"/>
                <w:szCs w:val="22"/>
              </w:rPr>
              <w:t>335</w:t>
            </w:r>
          </w:p>
        </w:tc>
        <w:tc>
          <w:tcPr>
            <w:tcW w:w="540" w:type="pct"/>
            <w:gridSpan w:val="2"/>
            <w:tcBorders>
              <w:top w:val="nil"/>
              <w:left w:val="nil"/>
              <w:bottom w:val="single" w:sz="4" w:space="0" w:color="auto"/>
              <w:right w:val="single" w:sz="4" w:space="0" w:color="auto"/>
            </w:tcBorders>
            <w:shd w:val="clear" w:color="auto" w:fill="auto"/>
            <w:noWrap/>
            <w:vAlign w:val="bottom"/>
          </w:tcPr>
          <w:p w14:paraId="35234209" w14:textId="77777777" w:rsidR="009A36D2" w:rsidRPr="009A36D2" w:rsidRDefault="009A36D2" w:rsidP="00281A92">
            <w:pPr>
              <w:spacing w:before="0" w:after="0" w:line="240" w:lineRule="auto"/>
              <w:rPr>
                <w:color w:val="auto"/>
                <w:sz w:val="20"/>
                <w:szCs w:val="20"/>
              </w:rPr>
            </w:pPr>
            <w:r w:rsidRPr="009A36D2">
              <w:rPr>
                <w:color w:val="000000"/>
                <w:sz w:val="22"/>
                <w:szCs w:val="22"/>
              </w:rPr>
              <w:t>250</w:t>
            </w:r>
          </w:p>
        </w:tc>
        <w:tc>
          <w:tcPr>
            <w:tcW w:w="551" w:type="pct"/>
            <w:gridSpan w:val="2"/>
            <w:tcBorders>
              <w:top w:val="nil"/>
              <w:left w:val="nil"/>
              <w:bottom w:val="single" w:sz="4" w:space="0" w:color="auto"/>
              <w:right w:val="single" w:sz="4" w:space="0" w:color="auto"/>
            </w:tcBorders>
            <w:shd w:val="clear" w:color="auto" w:fill="auto"/>
            <w:noWrap/>
            <w:vAlign w:val="bottom"/>
          </w:tcPr>
          <w:p w14:paraId="24A920E6" w14:textId="77777777" w:rsidR="009A36D2" w:rsidRPr="009A36D2" w:rsidRDefault="009A36D2" w:rsidP="00281A92">
            <w:pPr>
              <w:spacing w:before="0" w:after="0" w:line="240" w:lineRule="auto"/>
              <w:rPr>
                <w:color w:val="auto"/>
                <w:sz w:val="20"/>
                <w:szCs w:val="20"/>
              </w:rPr>
            </w:pPr>
            <w:r w:rsidRPr="009A36D2">
              <w:rPr>
                <w:color w:val="000000"/>
                <w:sz w:val="22"/>
                <w:szCs w:val="22"/>
              </w:rPr>
              <w:t>273</w:t>
            </w:r>
          </w:p>
        </w:tc>
        <w:tc>
          <w:tcPr>
            <w:tcW w:w="697" w:type="pct"/>
            <w:gridSpan w:val="3"/>
            <w:tcBorders>
              <w:top w:val="nil"/>
              <w:left w:val="nil"/>
              <w:bottom w:val="single" w:sz="4" w:space="0" w:color="auto"/>
              <w:right w:val="single" w:sz="4" w:space="0" w:color="auto"/>
            </w:tcBorders>
            <w:shd w:val="clear" w:color="auto" w:fill="auto"/>
            <w:noWrap/>
            <w:vAlign w:val="bottom"/>
          </w:tcPr>
          <w:p w14:paraId="075FD1ED" w14:textId="77777777" w:rsidR="009A36D2" w:rsidRPr="009A36D2" w:rsidRDefault="009A36D2" w:rsidP="00281A92">
            <w:pPr>
              <w:spacing w:before="0" w:after="0" w:line="240" w:lineRule="auto"/>
              <w:rPr>
                <w:color w:val="auto"/>
                <w:sz w:val="20"/>
                <w:szCs w:val="20"/>
              </w:rPr>
            </w:pPr>
            <w:r w:rsidRPr="009A36D2">
              <w:rPr>
                <w:color w:val="000000"/>
                <w:sz w:val="22"/>
                <w:szCs w:val="22"/>
              </w:rPr>
              <w:t>358</w:t>
            </w:r>
          </w:p>
        </w:tc>
        <w:tc>
          <w:tcPr>
            <w:tcW w:w="693" w:type="pct"/>
            <w:gridSpan w:val="2"/>
            <w:tcBorders>
              <w:top w:val="nil"/>
              <w:left w:val="nil"/>
              <w:bottom w:val="single" w:sz="4" w:space="0" w:color="auto"/>
              <w:right w:val="single" w:sz="4" w:space="0" w:color="auto"/>
            </w:tcBorders>
            <w:shd w:val="clear" w:color="auto" w:fill="auto"/>
            <w:noWrap/>
            <w:vAlign w:val="bottom"/>
          </w:tcPr>
          <w:p w14:paraId="020537AF" w14:textId="77777777" w:rsidR="009A36D2" w:rsidRPr="009A36D2" w:rsidRDefault="009A36D2" w:rsidP="00281A92">
            <w:pPr>
              <w:spacing w:before="0" w:after="0" w:line="240" w:lineRule="auto"/>
              <w:rPr>
                <w:color w:val="auto"/>
                <w:sz w:val="20"/>
                <w:szCs w:val="20"/>
              </w:rPr>
            </w:pPr>
            <w:r w:rsidRPr="009A36D2">
              <w:rPr>
                <w:color w:val="000000"/>
                <w:sz w:val="22"/>
                <w:szCs w:val="22"/>
              </w:rPr>
              <w:t>393</w:t>
            </w:r>
          </w:p>
        </w:tc>
      </w:tr>
      <w:tr w:rsidR="009A36D2" w:rsidRPr="009A36D2" w14:paraId="45BC951A"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8AF456A"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58" w:type="pct"/>
            <w:gridSpan w:val="3"/>
            <w:tcBorders>
              <w:top w:val="nil"/>
              <w:left w:val="nil"/>
              <w:bottom w:val="single" w:sz="4" w:space="0" w:color="auto"/>
              <w:right w:val="single" w:sz="4" w:space="0" w:color="auto"/>
            </w:tcBorders>
            <w:shd w:val="clear" w:color="auto" w:fill="auto"/>
            <w:noWrap/>
            <w:vAlign w:val="bottom"/>
          </w:tcPr>
          <w:p w14:paraId="3706C52E" w14:textId="77777777" w:rsidR="009A36D2" w:rsidRPr="009A36D2" w:rsidRDefault="009A36D2" w:rsidP="00281A92">
            <w:pPr>
              <w:spacing w:before="0" w:after="0" w:line="240" w:lineRule="auto"/>
              <w:rPr>
                <w:color w:val="auto"/>
                <w:sz w:val="20"/>
                <w:szCs w:val="20"/>
              </w:rPr>
            </w:pPr>
            <w:r w:rsidRPr="009A36D2">
              <w:rPr>
                <w:color w:val="000000"/>
                <w:sz w:val="22"/>
                <w:szCs w:val="22"/>
              </w:rPr>
              <w:t>487</w:t>
            </w:r>
          </w:p>
        </w:tc>
        <w:tc>
          <w:tcPr>
            <w:tcW w:w="660" w:type="pct"/>
            <w:gridSpan w:val="3"/>
            <w:tcBorders>
              <w:top w:val="nil"/>
              <w:left w:val="nil"/>
              <w:bottom w:val="single" w:sz="4" w:space="0" w:color="auto"/>
              <w:right w:val="single" w:sz="4" w:space="0" w:color="auto"/>
            </w:tcBorders>
            <w:shd w:val="clear" w:color="auto" w:fill="auto"/>
            <w:noWrap/>
            <w:vAlign w:val="bottom"/>
          </w:tcPr>
          <w:p w14:paraId="19C74F1A" w14:textId="77777777" w:rsidR="009A36D2" w:rsidRPr="009A36D2" w:rsidRDefault="009A36D2" w:rsidP="00281A92">
            <w:pPr>
              <w:spacing w:before="0" w:after="0" w:line="240" w:lineRule="auto"/>
              <w:rPr>
                <w:color w:val="auto"/>
                <w:sz w:val="20"/>
                <w:szCs w:val="20"/>
              </w:rPr>
            </w:pPr>
            <w:r w:rsidRPr="009A36D2">
              <w:rPr>
                <w:color w:val="000000"/>
                <w:sz w:val="22"/>
                <w:szCs w:val="22"/>
              </w:rPr>
              <w:t>381</w:t>
            </w:r>
          </w:p>
        </w:tc>
        <w:tc>
          <w:tcPr>
            <w:tcW w:w="540" w:type="pct"/>
            <w:gridSpan w:val="2"/>
            <w:tcBorders>
              <w:top w:val="nil"/>
              <w:left w:val="nil"/>
              <w:bottom w:val="single" w:sz="4" w:space="0" w:color="auto"/>
              <w:right w:val="single" w:sz="4" w:space="0" w:color="auto"/>
            </w:tcBorders>
            <w:shd w:val="clear" w:color="auto" w:fill="auto"/>
            <w:noWrap/>
            <w:vAlign w:val="bottom"/>
          </w:tcPr>
          <w:p w14:paraId="0E3266AC" w14:textId="77777777" w:rsidR="009A36D2" w:rsidRPr="009A36D2" w:rsidRDefault="009A36D2" w:rsidP="00281A92">
            <w:pPr>
              <w:spacing w:before="0" w:after="0" w:line="240" w:lineRule="auto"/>
              <w:rPr>
                <w:color w:val="auto"/>
                <w:sz w:val="20"/>
                <w:szCs w:val="20"/>
              </w:rPr>
            </w:pPr>
            <w:r w:rsidRPr="009A36D2">
              <w:rPr>
                <w:color w:val="000000"/>
                <w:sz w:val="22"/>
                <w:szCs w:val="22"/>
              </w:rPr>
              <w:t>288</w:t>
            </w:r>
          </w:p>
        </w:tc>
        <w:tc>
          <w:tcPr>
            <w:tcW w:w="551" w:type="pct"/>
            <w:gridSpan w:val="2"/>
            <w:tcBorders>
              <w:top w:val="nil"/>
              <w:left w:val="nil"/>
              <w:bottom w:val="single" w:sz="4" w:space="0" w:color="auto"/>
              <w:right w:val="single" w:sz="4" w:space="0" w:color="auto"/>
            </w:tcBorders>
            <w:shd w:val="clear" w:color="auto" w:fill="auto"/>
            <w:noWrap/>
            <w:vAlign w:val="bottom"/>
          </w:tcPr>
          <w:p w14:paraId="3E99A03D" w14:textId="77777777" w:rsidR="009A36D2" w:rsidRPr="009A36D2" w:rsidRDefault="009A36D2" w:rsidP="00281A92">
            <w:pPr>
              <w:spacing w:before="0" w:after="0" w:line="240" w:lineRule="auto"/>
              <w:rPr>
                <w:color w:val="auto"/>
                <w:sz w:val="20"/>
                <w:szCs w:val="20"/>
              </w:rPr>
            </w:pPr>
            <w:r w:rsidRPr="009A36D2">
              <w:rPr>
                <w:color w:val="000000"/>
                <w:sz w:val="22"/>
                <w:szCs w:val="22"/>
              </w:rPr>
              <w:t>275</w:t>
            </w:r>
          </w:p>
        </w:tc>
        <w:tc>
          <w:tcPr>
            <w:tcW w:w="697" w:type="pct"/>
            <w:gridSpan w:val="3"/>
            <w:tcBorders>
              <w:top w:val="nil"/>
              <w:left w:val="nil"/>
              <w:bottom w:val="single" w:sz="4" w:space="0" w:color="auto"/>
              <w:right w:val="single" w:sz="4" w:space="0" w:color="auto"/>
            </w:tcBorders>
            <w:shd w:val="clear" w:color="auto" w:fill="auto"/>
            <w:noWrap/>
            <w:vAlign w:val="bottom"/>
          </w:tcPr>
          <w:p w14:paraId="26A51024" w14:textId="77777777" w:rsidR="009A36D2" w:rsidRPr="009A36D2" w:rsidRDefault="009A36D2" w:rsidP="00281A92">
            <w:pPr>
              <w:spacing w:before="0" w:after="0" w:line="240" w:lineRule="auto"/>
              <w:rPr>
                <w:color w:val="auto"/>
                <w:sz w:val="20"/>
                <w:szCs w:val="20"/>
              </w:rPr>
            </w:pPr>
            <w:r w:rsidRPr="009A36D2">
              <w:rPr>
                <w:color w:val="000000"/>
                <w:sz w:val="22"/>
                <w:szCs w:val="22"/>
              </w:rPr>
              <w:t>357</w:t>
            </w:r>
          </w:p>
        </w:tc>
        <w:tc>
          <w:tcPr>
            <w:tcW w:w="693" w:type="pct"/>
            <w:gridSpan w:val="2"/>
            <w:tcBorders>
              <w:top w:val="nil"/>
              <w:left w:val="nil"/>
              <w:bottom w:val="single" w:sz="4" w:space="0" w:color="auto"/>
              <w:right w:val="single" w:sz="4" w:space="0" w:color="auto"/>
            </w:tcBorders>
            <w:shd w:val="clear" w:color="auto" w:fill="auto"/>
            <w:noWrap/>
            <w:vAlign w:val="bottom"/>
          </w:tcPr>
          <w:p w14:paraId="2568EF99" w14:textId="77777777" w:rsidR="009A36D2" w:rsidRPr="009A36D2" w:rsidRDefault="009A36D2" w:rsidP="00281A92">
            <w:pPr>
              <w:spacing w:before="0" w:after="0" w:line="240" w:lineRule="auto"/>
              <w:rPr>
                <w:color w:val="auto"/>
                <w:sz w:val="20"/>
                <w:szCs w:val="20"/>
              </w:rPr>
            </w:pPr>
            <w:r w:rsidRPr="009A36D2">
              <w:rPr>
                <w:color w:val="000000"/>
                <w:sz w:val="22"/>
                <w:szCs w:val="22"/>
              </w:rPr>
              <w:t>382</w:t>
            </w:r>
          </w:p>
        </w:tc>
      </w:tr>
      <w:tr w:rsidR="009A36D2" w:rsidRPr="009A36D2" w14:paraId="05206CE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EB0DC16"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58" w:type="pct"/>
            <w:gridSpan w:val="3"/>
            <w:tcBorders>
              <w:top w:val="nil"/>
              <w:left w:val="nil"/>
              <w:bottom w:val="single" w:sz="4" w:space="0" w:color="auto"/>
              <w:right w:val="single" w:sz="4" w:space="0" w:color="auto"/>
            </w:tcBorders>
            <w:shd w:val="clear" w:color="auto" w:fill="auto"/>
            <w:noWrap/>
            <w:vAlign w:val="bottom"/>
          </w:tcPr>
          <w:p w14:paraId="11F82970" w14:textId="77777777" w:rsidR="009A36D2" w:rsidRPr="009A36D2" w:rsidRDefault="009A36D2" w:rsidP="00281A92">
            <w:pPr>
              <w:spacing w:before="0" w:after="0" w:line="240" w:lineRule="auto"/>
              <w:rPr>
                <w:color w:val="auto"/>
                <w:sz w:val="20"/>
                <w:szCs w:val="20"/>
              </w:rPr>
            </w:pPr>
            <w:r w:rsidRPr="009A36D2">
              <w:rPr>
                <w:color w:val="000000"/>
                <w:sz w:val="22"/>
                <w:szCs w:val="22"/>
              </w:rPr>
              <w:t>442</w:t>
            </w:r>
          </w:p>
        </w:tc>
        <w:tc>
          <w:tcPr>
            <w:tcW w:w="660" w:type="pct"/>
            <w:gridSpan w:val="3"/>
            <w:tcBorders>
              <w:top w:val="nil"/>
              <w:left w:val="nil"/>
              <w:bottom w:val="single" w:sz="4" w:space="0" w:color="auto"/>
              <w:right w:val="single" w:sz="4" w:space="0" w:color="auto"/>
            </w:tcBorders>
            <w:shd w:val="clear" w:color="auto" w:fill="auto"/>
            <w:noWrap/>
            <w:vAlign w:val="bottom"/>
          </w:tcPr>
          <w:p w14:paraId="785A6176" w14:textId="77777777" w:rsidR="009A36D2" w:rsidRPr="009A36D2" w:rsidRDefault="009A36D2" w:rsidP="00281A92">
            <w:pPr>
              <w:spacing w:before="0" w:after="0" w:line="240" w:lineRule="auto"/>
              <w:rPr>
                <w:color w:val="auto"/>
                <w:sz w:val="20"/>
                <w:szCs w:val="20"/>
              </w:rPr>
            </w:pPr>
            <w:r w:rsidRPr="009A36D2">
              <w:rPr>
                <w:color w:val="000000"/>
                <w:sz w:val="22"/>
                <w:szCs w:val="22"/>
              </w:rPr>
              <w:t>371</w:t>
            </w:r>
          </w:p>
        </w:tc>
        <w:tc>
          <w:tcPr>
            <w:tcW w:w="540" w:type="pct"/>
            <w:gridSpan w:val="2"/>
            <w:tcBorders>
              <w:top w:val="nil"/>
              <w:left w:val="nil"/>
              <w:bottom w:val="single" w:sz="4" w:space="0" w:color="auto"/>
              <w:right w:val="single" w:sz="4" w:space="0" w:color="auto"/>
            </w:tcBorders>
            <w:shd w:val="clear" w:color="auto" w:fill="auto"/>
            <w:noWrap/>
            <w:vAlign w:val="bottom"/>
          </w:tcPr>
          <w:p w14:paraId="3E59D96A" w14:textId="77777777" w:rsidR="009A36D2" w:rsidRPr="009A36D2" w:rsidRDefault="009A36D2" w:rsidP="00281A92">
            <w:pPr>
              <w:spacing w:before="0" w:after="0" w:line="240" w:lineRule="auto"/>
              <w:rPr>
                <w:color w:val="auto"/>
                <w:sz w:val="20"/>
                <w:szCs w:val="20"/>
              </w:rPr>
            </w:pPr>
            <w:r w:rsidRPr="009A36D2">
              <w:rPr>
                <w:color w:val="000000"/>
                <w:sz w:val="22"/>
                <w:szCs w:val="22"/>
              </w:rPr>
              <w:t>262</w:t>
            </w:r>
          </w:p>
        </w:tc>
        <w:tc>
          <w:tcPr>
            <w:tcW w:w="551" w:type="pct"/>
            <w:gridSpan w:val="2"/>
            <w:tcBorders>
              <w:top w:val="nil"/>
              <w:left w:val="nil"/>
              <w:bottom w:val="single" w:sz="4" w:space="0" w:color="auto"/>
              <w:right w:val="single" w:sz="4" w:space="0" w:color="auto"/>
            </w:tcBorders>
            <w:shd w:val="clear" w:color="auto" w:fill="auto"/>
            <w:noWrap/>
            <w:vAlign w:val="bottom"/>
          </w:tcPr>
          <w:p w14:paraId="17F68091" w14:textId="77777777" w:rsidR="009A36D2" w:rsidRPr="009A36D2" w:rsidRDefault="009A36D2" w:rsidP="00281A92">
            <w:pPr>
              <w:spacing w:before="0" w:after="0" w:line="240" w:lineRule="auto"/>
              <w:rPr>
                <w:color w:val="auto"/>
                <w:sz w:val="20"/>
                <w:szCs w:val="20"/>
              </w:rPr>
            </w:pPr>
            <w:r w:rsidRPr="009A36D2">
              <w:rPr>
                <w:color w:val="000000"/>
                <w:sz w:val="22"/>
                <w:szCs w:val="22"/>
              </w:rPr>
              <w:t>294</w:t>
            </w:r>
          </w:p>
        </w:tc>
        <w:tc>
          <w:tcPr>
            <w:tcW w:w="697" w:type="pct"/>
            <w:gridSpan w:val="3"/>
            <w:tcBorders>
              <w:top w:val="nil"/>
              <w:left w:val="nil"/>
              <w:bottom w:val="single" w:sz="4" w:space="0" w:color="auto"/>
              <w:right w:val="single" w:sz="4" w:space="0" w:color="auto"/>
            </w:tcBorders>
            <w:shd w:val="clear" w:color="auto" w:fill="auto"/>
            <w:noWrap/>
            <w:vAlign w:val="bottom"/>
          </w:tcPr>
          <w:p w14:paraId="66AEF1F9" w14:textId="77777777" w:rsidR="009A36D2" w:rsidRPr="009A36D2" w:rsidRDefault="009A36D2" w:rsidP="00281A92">
            <w:pPr>
              <w:spacing w:before="0" w:after="0" w:line="240" w:lineRule="auto"/>
              <w:rPr>
                <w:color w:val="auto"/>
                <w:sz w:val="20"/>
                <w:szCs w:val="20"/>
              </w:rPr>
            </w:pPr>
            <w:r w:rsidRPr="009A36D2">
              <w:rPr>
                <w:color w:val="000000"/>
                <w:sz w:val="22"/>
                <w:szCs w:val="22"/>
              </w:rPr>
              <w:t>382</w:t>
            </w:r>
          </w:p>
        </w:tc>
        <w:tc>
          <w:tcPr>
            <w:tcW w:w="693" w:type="pct"/>
            <w:gridSpan w:val="2"/>
            <w:tcBorders>
              <w:top w:val="nil"/>
              <w:left w:val="nil"/>
              <w:bottom w:val="single" w:sz="4" w:space="0" w:color="auto"/>
              <w:right w:val="single" w:sz="4" w:space="0" w:color="auto"/>
            </w:tcBorders>
            <w:shd w:val="clear" w:color="auto" w:fill="auto"/>
            <w:noWrap/>
            <w:vAlign w:val="bottom"/>
          </w:tcPr>
          <w:p w14:paraId="6085B93E" w14:textId="77777777" w:rsidR="009A36D2" w:rsidRPr="009A36D2" w:rsidRDefault="009A36D2" w:rsidP="00281A92">
            <w:pPr>
              <w:spacing w:before="0" w:after="0" w:line="240" w:lineRule="auto"/>
              <w:rPr>
                <w:color w:val="auto"/>
                <w:sz w:val="20"/>
                <w:szCs w:val="20"/>
              </w:rPr>
            </w:pPr>
            <w:r w:rsidRPr="009A36D2">
              <w:rPr>
                <w:color w:val="000000"/>
                <w:sz w:val="22"/>
                <w:szCs w:val="22"/>
              </w:rPr>
              <w:t>431</w:t>
            </w:r>
          </w:p>
        </w:tc>
      </w:tr>
      <w:tr w:rsidR="009A36D2" w:rsidRPr="009A36D2" w14:paraId="1DD4B93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7FF54B4"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58" w:type="pct"/>
            <w:gridSpan w:val="3"/>
            <w:tcBorders>
              <w:top w:val="nil"/>
              <w:left w:val="nil"/>
              <w:bottom w:val="single" w:sz="4" w:space="0" w:color="auto"/>
              <w:right w:val="single" w:sz="4" w:space="0" w:color="auto"/>
            </w:tcBorders>
            <w:shd w:val="clear" w:color="auto" w:fill="auto"/>
            <w:noWrap/>
            <w:vAlign w:val="bottom"/>
          </w:tcPr>
          <w:p w14:paraId="2961555C" w14:textId="77777777" w:rsidR="009A36D2" w:rsidRPr="009A36D2" w:rsidRDefault="009A36D2" w:rsidP="00281A92">
            <w:pPr>
              <w:spacing w:before="0" w:after="0" w:line="240" w:lineRule="auto"/>
              <w:rPr>
                <w:color w:val="auto"/>
                <w:sz w:val="20"/>
                <w:szCs w:val="20"/>
              </w:rPr>
            </w:pPr>
            <w:r w:rsidRPr="009A36D2">
              <w:rPr>
                <w:color w:val="000000"/>
                <w:sz w:val="22"/>
                <w:szCs w:val="22"/>
              </w:rPr>
              <w:t>396</w:t>
            </w:r>
          </w:p>
        </w:tc>
        <w:tc>
          <w:tcPr>
            <w:tcW w:w="660" w:type="pct"/>
            <w:gridSpan w:val="3"/>
            <w:tcBorders>
              <w:top w:val="nil"/>
              <w:left w:val="nil"/>
              <w:bottom w:val="single" w:sz="4" w:space="0" w:color="auto"/>
              <w:right w:val="single" w:sz="4" w:space="0" w:color="auto"/>
            </w:tcBorders>
            <w:shd w:val="clear" w:color="auto" w:fill="auto"/>
            <w:noWrap/>
            <w:vAlign w:val="bottom"/>
          </w:tcPr>
          <w:p w14:paraId="16146757" w14:textId="77777777" w:rsidR="009A36D2" w:rsidRPr="009A36D2" w:rsidRDefault="009A36D2" w:rsidP="00281A92">
            <w:pPr>
              <w:spacing w:before="0" w:after="0" w:line="240" w:lineRule="auto"/>
              <w:rPr>
                <w:color w:val="auto"/>
                <w:sz w:val="20"/>
                <w:szCs w:val="20"/>
              </w:rPr>
            </w:pPr>
            <w:r w:rsidRPr="009A36D2">
              <w:rPr>
                <w:color w:val="000000"/>
                <w:sz w:val="22"/>
                <w:szCs w:val="22"/>
              </w:rPr>
              <w:t>377</w:t>
            </w:r>
          </w:p>
        </w:tc>
        <w:tc>
          <w:tcPr>
            <w:tcW w:w="540" w:type="pct"/>
            <w:gridSpan w:val="2"/>
            <w:tcBorders>
              <w:top w:val="nil"/>
              <w:left w:val="nil"/>
              <w:bottom w:val="single" w:sz="4" w:space="0" w:color="auto"/>
              <w:right w:val="single" w:sz="4" w:space="0" w:color="auto"/>
            </w:tcBorders>
            <w:shd w:val="clear" w:color="auto" w:fill="auto"/>
            <w:noWrap/>
            <w:vAlign w:val="bottom"/>
          </w:tcPr>
          <w:p w14:paraId="27CD41EF" w14:textId="77777777" w:rsidR="009A36D2" w:rsidRPr="009A36D2" w:rsidRDefault="009A36D2" w:rsidP="00281A92">
            <w:pPr>
              <w:spacing w:before="0" w:after="0" w:line="240" w:lineRule="auto"/>
              <w:rPr>
                <w:color w:val="auto"/>
                <w:sz w:val="20"/>
                <w:szCs w:val="20"/>
              </w:rPr>
            </w:pPr>
            <w:r w:rsidRPr="009A36D2">
              <w:rPr>
                <w:color w:val="000000"/>
                <w:sz w:val="22"/>
                <w:szCs w:val="22"/>
              </w:rPr>
              <w:t>282</w:t>
            </w:r>
          </w:p>
        </w:tc>
        <w:tc>
          <w:tcPr>
            <w:tcW w:w="551" w:type="pct"/>
            <w:gridSpan w:val="2"/>
            <w:tcBorders>
              <w:top w:val="nil"/>
              <w:left w:val="nil"/>
              <w:bottom w:val="single" w:sz="4" w:space="0" w:color="auto"/>
              <w:right w:val="single" w:sz="4" w:space="0" w:color="auto"/>
            </w:tcBorders>
            <w:shd w:val="clear" w:color="auto" w:fill="auto"/>
            <w:noWrap/>
            <w:vAlign w:val="bottom"/>
          </w:tcPr>
          <w:p w14:paraId="086732B0" w14:textId="77777777" w:rsidR="009A36D2" w:rsidRPr="009A36D2" w:rsidRDefault="009A36D2" w:rsidP="00281A92">
            <w:pPr>
              <w:spacing w:before="0" w:after="0" w:line="240" w:lineRule="auto"/>
              <w:rPr>
                <w:color w:val="auto"/>
                <w:sz w:val="20"/>
                <w:szCs w:val="20"/>
              </w:rPr>
            </w:pPr>
            <w:r w:rsidRPr="009A36D2">
              <w:rPr>
                <w:color w:val="000000"/>
                <w:sz w:val="22"/>
                <w:szCs w:val="22"/>
              </w:rPr>
              <w:t>326</w:t>
            </w:r>
          </w:p>
        </w:tc>
        <w:tc>
          <w:tcPr>
            <w:tcW w:w="697" w:type="pct"/>
            <w:gridSpan w:val="3"/>
            <w:tcBorders>
              <w:top w:val="nil"/>
              <w:left w:val="nil"/>
              <w:bottom w:val="single" w:sz="4" w:space="0" w:color="auto"/>
              <w:right w:val="single" w:sz="4" w:space="0" w:color="auto"/>
            </w:tcBorders>
            <w:shd w:val="clear" w:color="auto" w:fill="auto"/>
            <w:noWrap/>
            <w:vAlign w:val="bottom"/>
          </w:tcPr>
          <w:p w14:paraId="7A103AA3" w14:textId="77777777" w:rsidR="009A36D2" w:rsidRPr="009A36D2" w:rsidRDefault="009A36D2" w:rsidP="00281A92">
            <w:pPr>
              <w:spacing w:before="0" w:after="0" w:line="240" w:lineRule="auto"/>
              <w:rPr>
                <w:color w:val="auto"/>
                <w:sz w:val="20"/>
                <w:szCs w:val="20"/>
              </w:rPr>
            </w:pPr>
            <w:r w:rsidRPr="009A36D2">
              <w:rPr>
                <w:color w:val="000000"/>
                <w:sz w:val="22"/>
                <w:szCs w:val="22"/>
              </w:rPr>
              <w:t>453</w:t>
            </w:r>
          </w:p>
        </w:tc>
        <w:tc>
          <w:tcPr>
            <w:tcW w:w="693" w:type="pct"/>
            <w:gridSpan w:val="2"/>
            <w:tcBorders>
              <w:top w:val="nil"/>
              <w:left w:val="nil"/>
              <w:bottom w:val="single" w:sz="4" w:space="0" w:color="auto"/>
              <w:right w:val="single" w:sz="4" w:space="0" w:color="auto"/>
            </w:tcBorders>
            <w:shd w:val="clear" w:color="auto" w:fill="auto"/>
            <w:noWrap/>
            <w:vAlign w:val="bottom"/>
          </w:tcPr>
          <w:p w14:paraId="5BA681F7" w14:textId="77777777" w:rsidR="009A36D2" w:rsidRPr="009A36D2" w:rsidRDefault="009A36D2" w:rsidP="00281A92">
            <w:pPr>
              <w:spacing w:before="0" w:after="0" w:line="240" w:lineRule="auto"/>
              <w:rPr>
                <w:color w:val="auto"/>
                <w:sz w:val="20"/>
                <w:szCs w:val="20"/>
              </w:rPr>
            </w:pPr>
            <w:r w:rsidRPr="009A36D2">
              <w:rPr>
                <w:color w:val="000000"/>
                <w:sz w:val="22"/>
                <w:szCs w:val="22"/>
              </w:rPr>
              <w:t>405</w:t>
            </w:r>
          </w:p>
        </w:tc>
      </w:tr>
      <w:tr w:rsidR="009A36D2" w:rsidRPr="009A36D2" w14:paraId="688B49DA"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D2870B"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58" w:type="pct"/>
            <w:gridSpan w:val="3"/>
            <w:tcBorders>
              <w:top w:val="nil"/>
              <w:left w:val="nil"/>
              <w:bottom w:val="single" w:sz="4" w:space="0" w:color="auto"/>
              <w:right w:val="single" w:sz="4" w:space="0" w:color="auto"/>
            </w:tcBorders>
            <w:shd w:val="clear" w:color="auto" w:fill="auto"/>
            <w:noWrap/>
            <w:vAlign w:val="bottom"/>
          </w:tcPr>
          <w:p w14:paraId="1B93617A" w14:textId="77777777" w:rsidR="009A36D2" w:rsidRPr="009A36D2" w:rsidRDefault="009A36D2" w:rsidP="00281A92">
            <w:pPr>
              <w:spacing w:before="0" w:after="0" w:line="240" w:lineRule="auto"/>
              <w:rPr>
                <w:color w:val="auto"/>
                <w:sz w:val="20"/>
                <w:szCs w:val="20"/>
              </w:rPr>
            </w:pPr>
            <w:r w:rsidRPr="009A36D2">
              <w:rPr>
                <w:color w:val="000000"/>
                <w:sz w:val="22"/>
                <w:szCs w:val="22"/>
              </w:rPr>
              <w:t>294</w:t>
            </w:r>
          </w:p>
        </w:tc>
        <w:tc>
          <w:tcPr>
            <w:tcW w:w="660" w:type="pct"/>
            <w:gridSpan w:val="3"/>
            <w:tcBorders>
              <w:top w:val="nil"/>
              <w:left w:val="nil"/>
              <w:bottom w:val="single" w:sz="4" w:space="0" w:color="auto"/>
              <w:right w:val="single" w:sz="4" w:space="0" w:color="auto"/>
            </w:tcBorders>
            <w:shd w:val="clear" w:color="auto" w:fill="auto"/>
            <w:noWrap/>
            <w:vAlign w:val="bottom"/>
          </w:tcPr>
          <w:p w14:paraId="000F4CCE" w14:textId="77777777" w:rsidR="009A36D2" w:rsidRPr="009A36D2" w:rsidRDefault="009A36D2" w:rsidP="00281A92">
            <w:pPr>
              <w:spacing w:before="0" w:after="0" w:line="240" w:lineRule="auto"/>
              <w:rPr>
                <w:color w:val="auto"/>
                <w:sz w:val="20"/>
                <w:szCs w:val="20"/>
              </w:rPr>
            </w:pPr>
            <w:r w:rsidRPr="009A36D2">
              <w:rPr>
                <w:color w:val="000000"/>
                <w:sz w:val="22"/>
                <w:szCs w:val="22"/>
              </w:rPr>
              <w:t>295</w:t>
            </w:r>
          </w:p>
        </w:tc>
        <w:tc>
          <w:tcPr>
            <w:tcW w:w="540" w:type="pct"/>
            <w:gridSpan w:val="2"/>
            <w:tcBorders>
              <w:top w:val="nil"/>
              <w:left w:val="nil"/>
              <w:bottom w:val="single" w:sz="4" w:space="0" w:color="auto"/>
              <w:right w:val="single" w:sz="4" w:space="0" w:color="auto"/>
            </w:tcBorders>
            <w:shd w:val="clear" w:color="auto" w:fill="auto"/>
            <w:noWrap/>
            <w:vAlign w:val="bottom"/>
          </w:tcPr>
          <w:p w14:paraId="66023940" w14:textId="77777777" w:rsidR="009A36D2" w:rsidRPr="009A36D2" w:rsidRDefault="009A36D2" w:rsidP="00281A92">
            <w:pPr>
              <w:spacing w:before="0" w:after="0" w:line="240" w:lineRule="auto"/>
              <w:rPr>
                <w:color w:val="auto"/>
                <w:sz w:val="20"/>
                <w:szCs w:val="20"/>
              </w:rPr>
            </w:pPr>
            <w:r w:rsidRPr="009A36D2">
              <w:rPr>
                <w:color w:val="000000"/>
                <w:sz w:val="22"/>
                <w:szCs w:val="22"/>
              </w:rPr>
              <w:t>233</w:t>
            </w:r>
          </w:p>
        </w:tc>
        <w:tc>
          <w:tcPr>
            <w:tcW w:w="551" w:type="pct"/>
            <w:gridSpan w:val="2"/>
            <w:tcBorders>
              <w:top w:val="nil"/>
              <w:left w:val="nil"/>
              <w:bottom w:val="single" w:sz="4" w:space="0" w:color="auto"/>
              <w:right w:val="single" w:sz="4" w:space="0" w:color="auto"/>
            </w:tcBorders>
            <w:shd w:val="clear" w:color="auto" w:fill="auto"/>
            <w:noWrap/>
            <w:vAlign w:val="bottom"/>
          </w:tcPr>
          <w:p w14:paraId="7E5B31DA" w14:textId="77777777" w:rsidR="009A36D2" w:rsidRPr="009A36D2" w:rsidRDefault="009A36D2" w:rsidP="00281A92">
            <w:pPr>
              <w:spacing w:before="0" w:after="0" w:line="240" w:lineRule="auto"/>
              <w:rPr>
                <w:color w:val="auto"/>
                <w:sz w:val="20"/>
                <w:szCs w:val="20"/>
              </w:rPr>
            </w:pPr>
            <w:r w:rsidRPr="009A36D2">
              <w:rPr>
                <w:color w:val="000000"/>
                <w:sz w:val="22"/>
                <w:szCs w:val="22"/>
              </w:rPr>
              <w:t>230</w:t>
            </w:r>
          </w:p>
        </w:tc>
        <w:tc>
          <w:tcPr>
            <w:tcW w:w="697" w:type="pct"/>
            <w:gridSpan w:val="3"/>
            <w:tcBorders>
              <w:top w:val="nil"/>
              <w:left w:val="nil"/>
              <w:bottom w:val="single" w:sz="4" w:space="0" w:color="auto"/>
              <w:right w:val="single" w:sz="4" w:space="0" w:color="auto"/>
            </w:tcBorders>
            <w:shd w:val="clear" w:color="auto" w:fill="auto"/>
            <w:noWrap/>
            <w:vAlign w:val="bottom"/>
          </w:tcPr>
          <w:p w14:paraId="0B946B5D" w14:textId="77777777" w:rsidR="009A36D2" w:rsidRPr="009A36D2" w:rsidRDefault="009A36D2" w:rsidP="00281A92">
            <w:pPr>
              <w:spacing w:before="0" w:after="0" w:line="240" w:lineRule="auto"/>
              <w:rPr>
                <w:color w:val="auto"/>
                <w:sz w:val="20"/>
                <w:szCs w:val="20"/>
              </w:rPr>
            </w:pPr>
            <w:r w:rsidRPr="009A36D2">
              <w:rPr>
                <w:color w:val="000000"/>
                <w:sz w:val="22"/>
                <w:szCs w:val="22"/>
              </w:rPr>
              <w:t>300</w:t>
            </w:r>
          </w:p>
        </w:tc>
        <w:tc>
          <w:tcPr>
            <w:tcW w:w="693" w:type="pct"/>
            <w:gridSpan w:val="2"/>
            <w:tcBorders>
              <w:top w:val="nil"/>
              <w:left w:val="nil"/>
              <w:bottom w:val="single" w:sz="4" w:space="0" w:color="auto"/>
              <w:right w:val="single" w:sz="4" w:space="0" w:color="auto"/>
            </w:tcBorders>
            <w:shd w:val="clear" w:color="auto" w:fill="auto"/>
            <w:noWrap/>
            <w:vAlign w:val="bottom"/>
          </w:tcPr>
          <w:p w14:paraId="57E7894E" w14:textId="77777777" w:rsidR="009A36D2" w:rsidRPr="009A36D2" w:rsidRDefault="009A36D2" w:rsidP="00281A92">
            <w:pPr>
              <w:spacing w:before="0" w:after="0" w:line="240" w:lineRule="auto"/>
              <w:rPr>
                <w:color w:val="auto"/>
                <w:sz w:val="20"/>
                <w:szCs w:val="20"/>
              </w:rPr>
            </w:pPr>
            <w:r w:rsidRPr="009A36D2">
              <w:rPr>
                <w:color w:val="000000"/>
                <w:sz w:val="22"/>
                <w:szCs w:val="22"/>
              </w:rPr>
              <w:t>306</w:t>
            </w:r>
          </w:p>
        </w:tc>
      </w:tr>
      <w:tr w:rsidR="009A36D2" w:rsidRPr="009A36D2" w14:paraId="7056CC2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29D2C34"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58" w:type="pct"/>
            <w:gridSpan w:val="3"/>
            <w:tcBorders>
              <w:top w:val="nil"/>
              <w:left w:val="nil"/>
              <w:bottom w:val="single" w:sz="4" w:space="0" w:color="auto"/>
              <w:right w:val="single" w:sz="4" w:space="0" w:color="auto"/>
            </w:tcBorders>
            <w:shd w:val="clear" w:color="auto" w:fill="auto"/>
            <w:noWrap/>
            <w:vAlign w:val="bottom"/>
          </w:tcPr>
          <w:p w14:paraId="22B591F9" w14:textId="77777777" w:rsidR="009A36D2" w:rsidRPr="009A36D2" w:rsidRDefault="009A36D2" w:rsidP="00281A92">
            <w:pPr>
              <w:spacing w:before="0" w:after="0" w:line="240" w:lineRule="auto"/>
              <w:rPr>
                <w:color w:val="auto"/>
                <w:sz w:val="20"/>
                <w:szCs w:val="20"/>
              </w:rPr>
            </w:pPr>
            <w:r w:rsidRPr="009A36D2">
              <w:rPr>
                <w:color w:val="000000"/>
                <w:sz w:val="22"/>
                <w:szCs w:val="22"/>
              </w:rPr>
              <w:t>358</w:t>
            </w:r>
          </w:p>
        </w:tc>
        <w:tc>
          <w:tcPr>
            <w:tcW w:w="660" w:type="pct"/>
            <w:gridSpan w:val="3"/>
            <w:tcBorders>
              <w:top w:val="nil"/>
              <w:left w:val="nil"/>
              <w:bottom w:val="single" w:sz="4" w:space="0" w:color="auto"/>
              <w:right w:val="single" w:sz="4" w:space="0" w:color="auto"/>
            </w:tcBorders>
            <w:shd w:val="clear" w:color="auto" w:fill="auto"/>
            <w:noWrap/>
            <w:vAlign w:val="bottom"/>
          </w:tcPr>
          <w:p w14:paraId="2AADB116" w14:textId="77777777" w:rsidR="009A36D2" w:rsidRPr="009A36D2" w:rsidRDefault="009A36D2" w:rsidP="00281A92">
            <w:pPr>
              <w:spacing w:before="0" w:after="0" w:line="240" w:lineRule="auto"/>
              <w:rPr>
                <w:color w:val="auto"/>
                <w:sz w:val="20"/>
                <w:szCs w:val="20"/>
              </w:rPr>
            </w:pPr>
            <w:r w:rsidRPr="009A36D2">
              <w:rPr>
                <w:color w:val="000000"/>
                <w:sz w:val="22"/>
                <w:szCs w:val="22"/>
              </w:rPr>
              <w:t>367</w:t>
            </w:r>
          </w:p>
        </w:tc>
        <w:tc>
          <w:tcPr>
            <w:tcW w:w="540" w:type="pct"/>
            <w:gridSpan w:val="2"/>
            <w:tcBorders>
              <w:top w:val="nil"/>
              <w:left w:val="nil"/>
              <w:bottom w:val="single" w:sz="4" w:space="0" w:color="auto"/>
              <w:right w:val="single" w:sz="4" w:space="0" w:color="auto"/>
            </w:tcBorders>
            <w:shd w:val="clear" w:color="auto" w:fill="auto"/>
            <w:noWrap/>
            <w:vAlign w:val="bottom"/>
          </w:tcPr>
          <w:p w14:paraId="646F523C" w14:textId="77777777" w:rsidR="009A36D2" w:rsidRPr="009A36D2" w:rsidRDefault="009A36D2" w:rsidP="00281A92">
            <w:pPr>
              <w:spacing w:before="0" w:after="0" w:line="240" w:lineRule="auto"/>
              <w:rPr>
                <w:color w:val="auto"/>
                <w:sz w:val="20"/>
                <w:szCs w:val="20"/>
              </w:rPr>
            </w:pPr>
            <w:r w:rsidRPr="009A36D2">
              <w:rPr>
                <w:color w:val="000000"/>
                <w:sz w:val="22"/>
                <w:szCs w:val="22"/>
              </w:rPr>
              <w:t>290</w:t>
            </w:r>
          </w:p>
        </w:tc>
        <w:tc>
          <w:tcPr>
            <w:tcW w:w="551" w:type="pct"/>
            <w:gridSpan w:val="2"/>
            <w:tcBorders>
              <w:top w:val="nil"/>
              <w:left w:val="nil"/>
              <w:bottom w:val="single" w:sz="4" w:space="0" w:color="auto"/>
              <w:right w:val="single" w:sz="4" w:space="0" w:color="auto"/>
            </w:tcBorders>
            <w:shd w:val="clear" w:color="auto" w:fill="auto"/>
            <w:noWrap/>
            <w:vAlign w:val="bottom"/>
          </w:tcPr>
          <w:p w14:paraId="1DB2BF4F" w14:textId="77777777" w:rsidR="009A36D2" w:rsidRPr="009A36D2" w:rsidRDefault="009A36D2" w:rsidP="00281A92">
            <w:pPr>
              <w:spacing w:before="0" w:after="0" w:line="240" w:lineRule="auto"/>
              <w:rPr>
                <w:color w:val="auto"/>
                <w:sz w:val="20"/>
                <w:szCs w:val="20"/>
              </w:rPr>
            </w:pPr>
            <w:r w:rsidRPr="009A36D2">
              <w:rPr>
                <w:color w:val="000000"/>
                <w:sz w:val="22"/>
                <w:szCs w:val="22"/>
              </w:rPr>
              <w:t>272</w:t>
            </w:r>
          </w:p>
        </w:tc>
        <w:tc>
          <w:tcPr>
            <w:tcW w:w="697" w:type="pct"/>
            <w:gridSpan w:val="3"/>
            <w:tcBorders>
              <w:top w:val="nil"/>
              <w:left w:val="nil"/>
              <w:bottom w:val="single" w:sz="4" w:space="0" w:color="auto"/>
              <w:right w:val="single" w:sz="4" w:space="0" w:color="auto"/>
            </w:tcBorders>
            <w:shd w:val="clear" w:color="auto" w:fill="auto"/>
            <w:noWrap/>
            <w:vAlign w:val="bottom"/>
          </w:tcPr>
          <w:p w14:paraId="6D6208AC" w14:textId="77777777" w:rsidR="009A36D2" w:rsidRPr="009A36D2" w:rsidRDefault="009A36D2" w:rsidP="00281A92">
            <w:pPr>
              <w:spacing w:before="0" w:after="0" w:line="240" w:lineRule="auto"/>
              <w:rPr>
                <w:color w:val="auto"/>
                <w:sz w:val="20"/>
                <w:szCs w:val="20"/>
              </w:rPr>
            </w:pPr>
            <w:r w:rsidRPr="009A36D2">
              <w:rPr>
                <w:color w:val="000000"/>
                <w:sz w:val="22"/>
                <w:szCs w:val="22"/>
              </w:rPr>
              <w:t>333</w:t>
            </w:r>
          </w:p>
        </w:tc>
        <w:tc>
          <w:tcPr>
            <w:tcW w:w="693" w:type="pct"/>
            <w:gridSpan w:val="2"/>
            <w:tcBorders>
              <w:top w:val="nil"/>
              <w:left w:val="nil"/>
              <w:bottom w:val="single" w:sz="4" w:space="0" w:color="auto"/>
              <w:right w:val="single" w:sz="4" w:space="0" w:color="auto"/>
            </w:tcBorders>
            <w:shd w:val="clear" w:color="auto" w:fill="auto"/>
            <w:noWrap/>
            <w:vAlign w:val="bottom"/>
          </w:tcPr>
          <w:p w14:paraId="64F3998E" w14:textId="77777777" w:rsidR="009A36D2" w:rsidRPr="009A36D2" w:rsidRDefault="009A36D2" w:rsidP="00281A92">
            <w:pPr>
              <w:spacing w:before="0" w:after="0" w:line="240" w:lineRule="auto"/>
              <w:rPr>
                <w:color w:val="auto"/>
                <w:sz w:val="20"/>
                <w:szCs w:val="20"/>
              </w:rPr>
            </w:pPr>
            <w:r w:rsidRPr="009A36D2">
              <w:rPr>
                <w:color w:val="000000"/>
                <w:sz w:val="22"/>
                <w:szCs w:val="22"/>
              </w:rPr>
              <w:t>355</w:t>
            </w:r>
          </w:p>
        </w:tc>
      </w:tr>
      <w:tr w:rsidR="009A36D2" w:rsidRPr="009A36D2" w14:paraId="6833827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CE2DFC4" w14:textId="77777777" w:rsidR="009A36D2" w:rsidRPr="009A36D2" w:rsidRDefault="009A36D2" w:rsidP="00281A92">
            <w:pPr>
              <w:spacing w:before="0" w:after="0" w:line="240" w:lineRule="auto"/>
              <w:rPr>
                <w:color w:val="auto"/>
                <w:sz w:val="20"/>
                <w:szCs w:val="20"/>
              </w:rPr>
            </w:pPr>
            <w:r w:rsidRPr="009A36D2">
              <w:rPr>
                <w:color w:val="auto"/>
                <w:sz w:val="20"/>
                <w:szCs w:val="20"/>
              </w:rPr>
              <w:t>16</w:t>
            </w:r>
          </w:p>
        </w:tc>
        <w:tc>
          <w:tcPr>
            <w:tcW w:w="658" w:type="pct"/>
            <w:gridSpan w:val="3"/>
            <w:tcBorders>
              <w:top w:val="nil"/>
              <w:left w:val="nil"/>
              <w:bottom w:val="single" w:sz="4" w:space="0" w:color="auto"/>
              <w:right w:val="single" w:sz="4" w:space="0" w:color="auto"/>
            </w:tcBorders>
            <w:shd w:val="clear" w:color="auto" w:fill="auto"/>
            <w:noWrap/>
            <w:vAlign w:val="bottom"/>
          </w:tcPr>
          <w:p w14:paraId="36AF35C0" w14:textId="77777777" w:rsidR="009A36D2" w:rsidRPr="009A36D2" w:rsidRDefault="009A36D2" w:rsidP="00281A92">
            <w:pPr>
              <w:spacing w:before="0" w:after="0" w:line="240" w:lineRule="auto"/>
              <w:rPr>
                <w:color w:val="auto"/>
                <w:sz w:val="20"/>
                <w:szCs w:val="20"/>
              </w:rPr>
            </w:pPr>
            <w:r w:rsidRPr="009A36D2">
              <w:rPr>
                <w:color w:val="000000"/>
                <w:sz w:val="22"/>
                <w:szCs w:val="22"/>
              </w:rPr>
              <w:t>460</w:t>
            </w:r>
          </w:p>
        </w:tc>
        <w:tc>
          <w:tcPr>
            <w:tcW w:w="660" w:type="pct"/>
            <w:gridSpan w:val="3"/>
            <w:tcBorders>
              <w:top w:val="nil"/>
              <w:left w:val="nil"/>
              <w:bottom w:val="single" w:sz="4" w:space="0" w:color="auto"/>
              <w:right w:val="single" w:sz="4" w:space="0" w:color="auto"/>
            </w:tcBorders>
            <w:shd w:val="clear" w:color="auto" w:fill="auto"/>
            <w:noWrap/>
            <w:vAlign w:val="bottom"/>
          </w:tcPr>
          <w:p w14:paraId="7AADCE87" w14:textId="77777777" w:rsidR="009A36D2" w:rsidRPr="009A36D2" w:rsidRDefault="009A36D2" w:rsidP="00281A92">
            <w:pPr>
              <w:spacing w:before="0" w:after="0" w:line="240" w:lineRule="auto"/>
              <w:rPr>
                <w:color w:val="auto"/>
                <w:sz w:val="20"/>
                <w:szCs w:val="20"/>
              </w:rPr>
            </w:pPr>
            <w:r w:rsidRPr="009A36D2">
              <w:rPr>
                <w:color w:val="000000"/>
                <w:sz w:val="22"/>
                <w:szCs w:val="22"/>
              </w:rPr>
              <w:t>411</w:t>
            </w:r>
          </w:p>
        </w:tc>
        <w:tc>
          <w:tcPr>
            <w:tcW w:w="540" w:type="pct"/>
            <w:gridSpan w:val="2"/>
            <w:tcBorders>
              <w:top w:val="nil"/>
              <w:left w:val="nil"/>
              <w:bottom w:val="single" w:sz="4" w:space="0" w:color="auto"/>
              <w:right w:val="single" w:sz="4" w:space="0" w:color="auto"/>
            </w:tcBorders>
            <w:shd w:val="clear" w:color="auto" w:fill="auto"/>
            <w:noWrap/>
            <w:vAlign w:val="bottom"/>
          </w:tcPr>
          <w:p w14:paraId="78D911B1" w14:textId="77777777" w:rsidR="009A36D2" w:rsidRPr="009A36D2" w:rsidRDefault="009A36D2" w:rsidP="00281A92">
            <w:pPr>
              <w:spacing w:before="0" w:after="0" w:line="240" w:lineRule="auto"/>
              <w:rPr>
                <w:color w:val="auto"/>
                <w:sz w:val="20"/>
                <w:szCs w:val="20"/>
              </w:rPr>
            </w:pPr>
            <w:r w:rsidRPr="009A36D2">
              <w:rPr>
                <w:color w:val="000000"/>
                <w:sz w:val="22"/>
                <w:szCs w:val="22"/>
              </w:rPr>
              <w:t>301</w:t>
            </w:r>
          </w:p>
        </w:tc>
        <w:tc>
          <w:tcPr>
            <w:tcW w:w="551" w:type="pct"/>
            <w:gridSpan w:val="2"/>
            <w:tcBorders>
              <w:top w:val="nil"/>
              <w:left w:val="nil"/>
              <w:bottom w:val="single" w:sz="4" w:space="0" w:color="auto"/>
              <w:right w:val="single" w:sz="4" w:space="0" w:color="auto"/>
            </w:tcBorders>
            <w:shd w:val="clear" w:color="auto" w:fill="auto"/>
            <w:noWrap/>
            <w:vAlign w:val="bottom"/>
          </w:tcPr>
          <w:p w14:paraId="3A88AEDC" w14:textId="77777777" w:rsidR="009A36D2" w:rsidRPr="009A36D2" w:rsidRDefault="009A36D2" w:rsidP="00281A92">
            <w:pPr>
              <w:spacing w:before="0" w:after="0" w:line="240" w:lineRule="auto"/>
              <w:rPr>
                <w:color w:val="auto"/>
                <w:sz w:val="20"/>
                <w:szCs w:val="20"/>
              </w:rPr>
            </w:pPr>
            <w:r w:rsidRPr="009A36D2">
              <w:rPr>
                <w:color w:val="000000"/>
                <w:sz w:val="22"/>
                <w:szCs w:val="22"/>
              </w:rPr>
              <w:t>360</w:t>
            </w:r>
          </w:p>
        </w:tc>
        <w:tc>
          <w:tcPr>
            <w:tcW w:w="697" w:type="pct"/>
            <w:gridSpan w:val="3"/>
            <w:tcBorders>
              <w:top w:val="nil"/>
              <w:left w:val="nil"/>
              <w:bottom w:val="single" w:sz="4" w:space="0" w:color="auto"/>
              <w:right w:val="single" w:sz="4" w:space="0" w:color="auto"/>
            </w:tcBorders>
            <w:shd w:val="clear" w:color="auto" w:fill="auto"/>
            <w:noWrap/>
            <w:vAlign w:val="bottom"/>
          </w:tcPr>
          <w:p w14:paraId="28A8F5A1" w14:textId="77777777" w:rsidR="009A36D2" w:rsidRPr="009A36D2" w:rsidRDefault="009A36D2" w:rsidP="00281A92">
            <w:pPr>
              <w:spacing w:before="0" w:after="0" w:line="240" w:lineRule="auto"/>
              <w:rPr>
                <w:color w:val="auto"/>
                <w:sz w:val="20"/>
                <w:szCs w:val="20"/>
              </w:rPr>
            </w:pPr>
            <w:r w:rsidRPr="009A36D2">
              <w:rPr>
                <w:color w:val="000000"/>
                <w:sz w:val="22"/>
                <w:szCs w:val="22"/>
              </w:rPr>
              <w:t>464</w:t>
            </w:r>
          </w:p>
        </w:tc>
        <w:tc>
          <w:tcPr>
            <w:tcW w:w="693" w:type="pct"/>
            <w:gridSpan w:val="2"/>
            <w:tcBorders>
              <w:top w:val="nil"/>
              <w:left w:val="nil"/>
              <w:bottom w:val="single" w:sz="4" w:space="0" w:color="auto"/>
              <w:right w:val="single" w:sz="4" w:space="0" w:color="auto"/>
            </w:tcBorders>
            <w:shd w:val="clear" w:color="auto" w:fill="auto"/>
            <w:noWrap/>
            <w:vAlign w:val="bottom"/>
          </w:tcPr>
          <w:p w14:paraId="74E3F4CE" w14:textId="77777777" w:rsidR="009A36D2" w:rsidRPr="009A36D2" w:rsidRDefault="009A36D2" w:rsidP="00281A92">
            <w:pPr>
              <w:spacing w:before="0" w:after="0" w:line="240" w:lineRule="auto"/>
              <w:rPr>
                <w:color w:val="auto"/>
                <w:sz w:val="20"/>
                <w:szCs w:val="20"/>
              </w:rPr>
            </w:pPr>
            <w:r w:rsidRPr="009A36D2">
              <w:rPr>
                <w:color w:val="000000"/>
                <w:sz w:val="22"/>
                <w:szCs w:val="22"/>
              </w:rPr>
              <w:t>524</w:t>
            </w:r>
          </w:p>
        </w:tc>
      </w:tr>
      <w:tr w:rsidR="009A36D2" w:rsidRPr="009A36D2" w14:paraId="39A31C4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B1FE96B" w14:textId="77777777" w:rsidR="009A36D2" w:rsidRPr="009A36D2" w:rsidRDefault="009A36D2" w:rsidP="00281A92">
            <w:pPr>
              <w:spacing w:before="0" w:after="0" w:line="240" w:lineRule="auto"/>
              <w:rPr>
                <w:color w:val="auto"/>
                <w:sz w:val="20"/>
                <w:szCs w:val="20"/>
              </w:rPr>
            </w:pPr>
            <w:r w:rsidRPr="009A36D2">
              <w:rPr>
                <w:color w:val="auto"/>
                <w:sz w:val="20"/>
                <w:szCs w:val="20"/>
              </w:rPr>
              <w:t>17</w:t>
            </w:r>
          </w:p>
        </w:tc>
        <w:tc>
          <w:tcPr>
            <w:tcW w:w="658" w:type="pct"/>
            <w:gridSpan w:val="3"/>
            <w:tcBorders>
              <w:top w:val="nil"/>
              <w:left w:val="nil"/>
              <w:bottom w:val="single" w:sz="4" w:space="0" w:color="auto"/>
              <w:right w:val="single" w:sz="4" w:space="0" w:color="auto"/>
            </w:tcBorders>
            <w:shd w:val="clear" w:color="auto" w:fill="auto"/>
            <w:noWrap/>
            <w:vAlign w:val="bottom"/>
          </w:tcPr>
          <w:p w14:paraId="324A6279" w14:textId="77777777" w:rsidR="009A36D2" w:rsidRPr="009A36D2" w:rsidRDefault="009A36D2" w:rsidP="00281A92">
            <w:pPr>
              <w:spacing w:before="0" w:after="0" w:line="240" w:lineRule="auto"/>
              <w:rPr>
                <w:color w:val="auto"/>
                <w:sz w:val="20"/>
                <w:szCs w:val="20"/>
              </w:rPr>
            </w:pPr>
            <w:r w:rsidRPr="009A36D2">
              <w:rPr>
                <w:color w:val="000000"/>
                <w:sz w:val="22"/>
                <w:szCs w:val="22"/>
              </w:rPr>
              <w:t>391</w:t>
            </w:r>
          </w:p>
        </w:tc>
        <w:tc>
          <w:tcPr>
            <w:tcW w:w="660" w:type="pct"/>
            <w:gridSpan w:val="3"/>
            <w:tcBorders>
              <w:top w:val="nil"/>
              <w:left w:val="nil"/>
              <w:bottom w:val="single" w:sz="4" w:space="0" w:color="auto"/>
              <w:right w:val="single" w:sz="4" w:space="0" w:color="auto"/>
            </w:tcBorders>
            <w:shd w:val="clear" w:color="auto" w:fill="auto"/>
            <w:noWrap/>
            <w:vAlign w:val="bottom"/>
          </w:tcPr>
          <w:p w14:paraId="6AB08310" w14:textId="77777777" w:rsidR="009A36D2" w:rsidRPr="009A36D2" w:rsidRDefault="009A36D2" w:rsidP="00281A92">
            <w:pPr>
              <w:spacing w:before="0" w:after="0" w:line="240" w:lineRule="auto"/>
              <w:rPr>
                <w:color w:val="auto"/>
                <w:sz w:val="20"/>
                <w:szCs w:val="20"/>
              </w:rPr>
            </w:pPr>
            <w:r w:rsidRPr="009A36D2">
              <w:rPr>
                <w:color w:val="000000"/>
                <w:sz w:val="22"/>
                <w:szCs w:val="22"/>
              </w:rPr>
              <w:t>346</w:t>
            </w:r>
          </w:p>
        </w:tc>
        <w:tc>
          <w:tcPr>
            <w:tcW w:w="540" w:type="pct"/>
            <w:gridSpan w:val="2"/>
            <w:tcBorders>
              <w:top w:val="nil"/>
              <w:left w:val="nil"/>
              <w:bottom w:val="single" w:sz="4" w:space="0" w:color="auto"/>
              <w:right w:val="single" w:sz="4" w:space="0" w:color="auto"/>
            </w:tcBorders>
            <w:shd w:val="clear" w:color="auto" w:fill="auto"/>
            <w:noWrap/>
            <w:vAlign w:val="bottom"/>
          </w:tcPr>
          <w:p w14:paraId="10A0E51E" w14:textId="77777777" w:rsidR="009A36D2" w:rsidRPr="009A36D2" w:rsidRDefault="009A36D2" w:rsidP="00281A92">
            <w:pPr>
              <w:spacing w:before="0" w:after="0" w:line="240" w:lineRule="auto"/>
              <w:rPr>
                <w:color w:val="auto"/>
                <w:sz w:val="20"/>
                <w:szCs w:val="20"/>
              </w:rPr>
            </w:pPr>
            <w:r w:rsidRPr="009A36D2">
              <w:rPr>
                <w:color w:val="000000"/>
                <w:sz w:val="22"/>
                <w:szCs w:val="22"/>
              </w:rPr>
              <w:t>243</w:t>
            </w:r>
          </w:p>
        </w:tc>
        <w:tc>
          <w:tcPr>
            <w:tcW w:w="551" w:type="pct"/>
            <w:gridSpan w:val="2"/>
            <w:tcBorders>
              <w:top w:val="nil"/>
              <w:left w:val="nil"/>
              <w:bottom w:val="single" w:sz="4" w:space="0" w:color="auto"/>
              <w:right w:val="single" w:sz="4" w:space="0" w:color="auto"/>
            </w:tcBorders>
            <w:shd w:val="clear" w:color="auto" w:fill="auto"/>
            <w:noWrap/>
            <w:vAlign w:val="bottom"/>
          </w:tcPr>
          <w:p w14:paraId="07825D62" w14:textId="77777777" w:rsidR="009A36D2" w:rsidRPr="009A36D2" w:rsidRDefault="009A36D2" w:rsidP="00281A92">
            <w:pPr>
              <w:spacing w:before="0" w:after="0" w:line="240" w:lineRule="auto"/>
              <w:rPr>
                <w:color w:val="auto"/>
                <w:sz w:val="20"/>
                <w:szCs w:val="20"/>
              </w:rPr>
            </w:pPr>
            <w:r w:rsidRPr="009A36D2">
              <w:rPr>
                <w:color w:val="000000"/>
                <w:sz w:val="22"/>
                <w:szCs w:val="22"/>
              </w:rPr>
              <w:t>298</w:t>
            </w:r>
          </w:p>
        </w:tc>
        <w:tc>
          <w:tcPr>
            <w:tcW w:w="697" w:type="pct"/>
            <w:gridSpan w:val="3"/>
            <w:tcBorders>
              <w:top w:val="nil"/>
              <w:left w:val="nil"/>
              <w:bottom w:val="single" w:sz="4" w:space="0" w:color="auto"/>
              <w:right w:val="single" w:sz="4" w:space="0" w:color="auto"/>
            </w:tcBorders>
            <w:shd w:val="clear" w:color="auto" w:fill="auto"/>
            <w:noWrap/>
            <w:vAlign w:val="bottom"/>
          </w:tcPr>
          <w:p w14:paraId="2F4535E5" w14:textId="77777777" w:rsidR="009A36D2" w:rsidRPr="009A36D2" w:rsidRDefault="009A36D2" w:rsidP="00281A92">
            <w:pPr>
              <w:spacing w:before="0" w:after="0" w:line="240" w:lineRule="auto"/>
              <w:rPr>
                <w:color w:val="auto"/>
                <w:sz w:val="20"/>
                <w:szCs w:val="20"/>
              </w:rPr>
            </w:pPr>
            <w:r w:rsidRPr="009A36D2">
              <w:rPr>
                <w:color w:val="000000"/>
                <w:sz w:val="22"/>
                <w:szCs w:val="22"/>
              </w:rPr>
              <w:t>337</w:t>
            </w:r>
          </w:p>
        </w:tc>
        <w:tc>
          <w:tcPr>
            <w:tcW w:w="693" w:type="pct"/>
            <w:gridSpan w:val="2"/>
            <w:tcBorders>
              <w:top w:val="nil"/>
              <w:left w:val="nil"/>
              <w:bottom w:val="single" w:sz="4" w:space="0" w:color="auto"/>
              <w:right w:val="single" w:sz="4" w:space="0" w:color="auto"/>
            </w:tcBorders>
            <w:shd w:val="clear" w:color="auto" w:fill="auto"/>
            <w:noWrap/>
            <w:vAlign w:val="bottom"/>
          </w:tcPr>
          <w:p w14:paraId="0D315C00" w14:textId="77777777" w:rsidR="009A36D2" w:rsidRPr="009A36D2" w:rsidRDefault="009A36D2" w:rsidP="00281A92">
            <w:pPr>
              <w:spacing w:before="0" w:after="0" w:line="240" w:lineRule="auto"/>
              <w:rPr>
                <w:color w:val="auto"/>
                <w:sz w:val="20"/>
                <w:szCs w:val="20"/>
              </w:rPr>
            </w:pPr>
            <w:r w:rsidRPr="009A36D2">
              <w:rPr>
                <w:color w:val="000000"/>
                <w:sz w:val="22"/>
                <w:szCs w:val="22"/>
              </w:rPr>
              <w:t>402</w:t>
            </w:r>
          </w:p>
        </w:tc>
      </w:tr>
      <w:tr w:rsidR="009A36D2" w:rsidRPr="009A36D2" w14:paraId="2E70E34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17FC28E"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58" w:type="pct"/>
            <w:gridSpan w:val="3"/>
            <w:tcBorders>
              <w:top w:val="nil"/>
              <w:left w:val="nil"/>
              <w:bottom w:val="single" w:sz="4" w:space="0" w:color="auto"/>
              <w:right w:val="single" w:sz="4" w:space="0" w:color="auto"/>
            </w:tcBorders>
            <w:shd w:val="clear" w:color="auto" w:fill="auto"/>
            <w:noWrap/>
            <w:vAlign w:val="bottom"/>
          </w:tcPr>
          <w:p w14:paraId="5D578C5D"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411</w:t>
            </w:r>
          </w:p>
        </w:tc>
        <w:tc>
          <w:tcPr>
            <w:tcW w:w="660" w:type="pct"/>
            <w:gridSpan w:val="3"/>
            <w:tcBorders>
              <w:top w:val="nil"/>
              <w:left w:val="nil"/>
              <w:bottom w:val="single" w:sz="4" w:space="0" w:color="auto"/>
              <w:right w:val="single" w:sz="4" w:space="0" w:color="auto"/>
            </w:tcBorders>
            <w:shd w:val="clear" w:color="auto" w:fill="auto"/>
            <w:noWrap/>
            <w:vAlign w:val="bottom"/>
          </w:tcPr>
          <w:p w14:paraId="02B0B04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361</w:t>
            </w:r>
          </w:p>
        </w:tc>
        <w:tc>
          <w:tcPr>
            <w:tcW w:w="540" w:type="pct"/>
            <w:gridSpan w:val="2"/>
            <w:tcBorders>
              <w:top w:val="nil"/>
              <w:left w:val="nil"/>
              <w:bottom w:val="single" w:sz="4" w:space="0" w:color="auto"/>
              <w:right w:val="single" w:sz="4" w:space="0" w:color="auto"/>
            </w:tcBorders>
            <w:shd w:val="clear" w:color="auto" w:fill="auto"/>
            <w:noWrap/>
            <w:vAlign w:val="bottom"/>
          </w:tcPr>
          <w:p w14:paraId="4F66EA6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270</w:t>
            </w:r>
          </w:p>
        </w:tc>
        <w:tc>
          <w:tcPr>
            <w:tcW w:w="551" w:type="pct"/>
            <w:gridSpan w:val="2"/>
            <w:tcBorders>
              <w:top w:val="nil"/>
              <w:left w:val="nil"/>
              <w:bottom w:val="single" w:sz="4" w:space="0" w:color="auto"/>
              <w:right w:val="single" w:sz="4" w:space="0" w:color="auto"/>
            </w:tcBorders>
            <w:shd w:val="clear" w:color="auto" w:fill="auto"/>
            <w:noWrap/>
            <w:vAlign w:val="bottom"/>
          </w:tcPr>
          <w:p w14:paraId="3A3C73FA"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298</w:t>
            </w:r>
          </w:p>
        </w:tc>
        <w:tc>
          <w:tcPr>
            <w:tcW w:w="697" w:type="pct"/>
            <w:gridSpan w:val="3"/>
            <w:tcBorders>
              <w:top w:val="nil"/>
              <w:left w:val="nil"/>
              <w:bottom w:val="single" w:sz="4" w:space="0" w:color="auto"/>
              <w:right w:val="single" w:sz="4" w:space="0" w:color="auto"/>
            </w:tcBorders>
            <w:shd w:val="clear" w:color="auto" w:fill="auto"/>
            <w:noWrap/>
            <w:vAlign w:val="bottom"/>
          </w:tcPr>
          <w:p w14:paraId="3C3A0B8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365</w:t>
            </w:r>
          </w:p>
        </w:tc>
        <w:tc>
          <w:tcPr>
            <w:tcW w:w="693" w:type="pct"/>
            <w:gridSpan w:val="2"/>
            <w:tcBorders>
              <w:top w:val="nil"/>
              <w:left w:val="nil"/>
              <w:bottom w:val="single" w:sz="4" w:space="0" w:color="auto"/>
              <w:right w:val="single" w:sz="4" w:space="0" w:color="auto"/>
            </w:tcBorders>
            <w:shd w:val="clear" w:color="auto" w:fill="auto"/>
            <w:noWrap/>
            <w:vAlign w:val="bottom"/>
          </w:tcPr>
          <w:p w14:paraId="19D8D50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413</w:t>
            </w:r>
          </w:p>
        </w:tc>
      </w:tr>
      <w:tr w:rsidR="009A36D2" w:rsidRPr="009A36D2" w14:paraId="4512675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BCBF90E"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58" w:type="pct"/>
            <w:gridSpan w:val="3"/>
            <w:tcBorders>
              <w:top w:val="nil"/>
              <w:left w:val="nil"/>
              <w:bottom w:val="single" w:sz="4" w:space="0" w:color="auto"/>
              <w:right w:val="single" w:sz="4" w:space="0" w:color="auto"/>
            </w:tcBorders>
            <w:shd w:val="clear" w:color="auto" w:fill="auto"/>
            <w:noWrap/>
            <w:vAlign w:val="bottom"/>
          </w:tcPr>
          <w:p w14:paraId="1B1E54E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97</w:t>
            </w:r>
          </w:p>
        </w:tc>
        <w:tc>
          <w:tcPr>
            <w:tcW w:w="660" w:type="pct"/>
            <w:gridSpan w:val="3"/>
            <w:tcBorders>
              <w:top w:val="nil"/>
              <w:left w:val="nil"/>
              <w:bottom w:val="single" w:sz="4" w:space="0" w:color="auto"/>
              <w:right w:val="single" w:sz="4" w:space="0" w:color="auto"/>
            </w:tcBorders>
            <w:shd w:val="clear" w:color="auto" w:fill="auto"/>
            <w:noWrap/>
            <w:vAlign w:val="bottom"/>
          </w:tcPr>
          <w:p w14:paraId="75ABA19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71</w:t>
            </w:r>
          </w:p>
        </w:tc>
        <w:tc>
          <w:tcPr>
            <w:tcW w:w="540" w:type="pct"/>
            <w:gridSpan w:val="2"/>
            <w:tcBorders>
              <w:top w:val="nil"/>
              <w:left w:val="nil"/>
              <w:bottom w:val="single" w:sz="4" w:space="0" w:color="auto"/>
              <w:right w:val="single" w:sz="4" w:space="0" w:color="auto"/>
            </w:tcBorders>
            <w:shd w:val="clear" w:color="auto" w:fill="auto"/>
            <w:noWrap/>
            <w:vAlign w:val="bottom"/>
          </w:tcPr>
          <w:p w14:paraId="54640EBA"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61</w:t>
            </w:r>
          </w:p>
        </w:tc>
        <w:tc>
          <w:tcPr>
            <w:tcW w:w="551" w:type="pct"/>
            <w:gridSpan w:val="2"/>
            <w:tcBorders>
              <w:top w:val="nil"/>
              <w:left w:val="nil"/>
              <w:bottom w:val="single" w:sz="4" w:space="0" w:color="auto"/>
              <w:right w:val="single" w:sz="4" w:space="0" w:color="auto"/>
            </w:tcBorders>
            <w:shd w:val="clear" w:color="auto" w:fill="auto"/>
            <w:noWrap/>
            <w:vAlign w:val="bottom"/>
          </w:tcPr>
          <w:p w14:paraId="1D95D7C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75</w:t>
            </w:r>
          </w:p>
        </w:tc>
        <w:tc>
          <w:tcPr>
            <w:tcW w:w="697" w:type="pct"/>
            <w:gridSpan w:val="3"/>
            <w:tcBorders>
              <w:top w:val="nil"/>
              <w:left w:val="nil"/>
              <w:bottom w:val="single" w:sz="4" w:space="0" w:color="auto"/>
              <w:right w:val="single" w:sz="4" w:space="0" w:color="auto"/>
            </w:tcBorders>
            <w:shd w:val="clear" w:color="auto" w:fill="auto"/>
            <w:noWrap/>
            <w:vAlign w:val="bottom"/>
          </w:tcPr>
          <w:p w14:paraId="1884B25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67</w:t>
            </w:r>
          </w:p>
        </w:tc>
        <w:tc>
          <w:tcPr>
            <w:tcW w:w="693" w:type="pct"/>
            <w:gridSpan w:val="2"/>
            <w:tcBorders>
              <w:top w:val="nil"/>
              <w:left w:val="nil"/>
              <w:bottom w:val="single" w:sz="4" w:space="0" w:color="auto"/>
              <w:right w:val="single" w:sz="4" w:space="0" w:color="auto"/>
            </w:tcBorders>
            <w:shd w:val="clear" w:color="auto" w:fill="auto"/>
            <w:noWrap/>
            <w:vAlign w:val="bottom"/>
          </w:tcPr>
          <w:p w14:paraId="35BA3F12"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107</w:t>
            </w:r>
          </w:p>
        </w:tc>
      </w:tr>
      <w:tr w:rsidR="009A36D2" w:rsidRPr="009A36D2" w14:paraId="14795ABC"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6E141BBF"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Older (60-79 years old)</w:t>
            </w:r>
          </w:p>
        </w:tc>
      </w:tr>
      <w:tr w:rsidR="009A36D2" w:rsidRPr="009A36D2" w14:paraId="54A37218" w14:textId="77777777" w:rsidTr="00281A92">
        <w:trPr>
          <w:trHeight w:val="20"/>
          <w:jc w:val="center"/>
        </w:trPr>
        <w:tc>
          <w:tcPr>
            <w:tcW w:w="1201" w:type="pct"/>
            <w:gridSpan w:val="2"/>
            <w:tcBorders>
              <w:top w:val="nil"/>
              <w:left w:val="single" w:sz="4" w:space="0" w:color="auto"/>
              <w:bottom w:val="single" w:sz="4" w:space="0" w:color="auto"/>
              <w:right w:val="single" w:sz="4" w:space="0" w:color="auto"/>
              <w:tl2br w:val="single" w:sz="4" w:space="0" w:color="auto"/>
            </w:tcBorders>
            <w:shd w:val="clear" w:color="auto" w:fill="auto"/>
            <w:hideMark/>
          </w:tcPr>
          <w:p w14:paraId="0E9AAAF4"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5E9CFF26" w14:textId="77777777" w:rsidR="009A36D2" w:rsidRPr="009A36D2" w:rsidRDefault="009A36D2" w:rsidP="00281A92">
            <w:pPr>
              <w:spacing w:before="0" w:after="0" w:line="240" w:lineRule="auto"/>
              <w:rPr>
                <w:color w:val="auto"/>
                <w:sz w:val="20"/>
                <w:szCs w:val="20"/>
              </w:rPr>
            </w:pPr>
          </w:p>
          <w:p w14:paraId="47F52A99"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58" w:type="pct"/>
            <w:gridSpan w:val="3"/>
            <w:tcBorders>
              <w:top w:val="nil"/>
              <w:left w:val="nil"/>
              <w:bottom w:val="single" w:sz="4" w:space="0" w:color="auto"/>
              <w:right w:val="single" w:sz="4" w:space="0" w:color="auto"/>
            </w:tcBorders>
            <w:shd w:val="clear" w:color="auto" w:fill="auto"/>
            <w:noWrap/>
            <w:hideMark/>
          </w:tcPr>
          <w:p w14:paraId="23700899"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60" w:type="pct"/>
            <w:gridSpan w:val="3"/>
            <w:tcBorders>
              <w:top w:val="nil"/>
              <w:left w:val="nil"/>
              <w:bottom w:val="single" w:sz="4" w:space="0" w:color="auto"/>
              <w:right w:val="single" w:sz="4" w:space="0" w:color="auto"/>
            </w:tcBorders>
            <w:shd w:val="clear" w:color="auto" w:fill="auto"/>
            <w:noWrap/>
            <w:hideMark/>
          </w:tcPr>
          <w:p w14:paraId="1C06A755"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540" w:type="pct"/>
            <w:gridSpan w:val="2"/>
            <w:tcBorders>
              <w:top w:val="nil"/>
              <w:left w:val="nil"/>
              <w:bottom w:val="single" w:sz="4" w:space="0" w:color="auto"/>
              <w:right w:val="single" w:sz="4" w:space="0" w:color="auto"/>
            </w:tcBorders>
            <w:shd w:val="clear" w:color="auto" w:fill="auto"/>
            <w:noWrap/>
            <w:hideMark/>
          </w:tcPr>
          <w:p w14:paraId="464E21E0"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551" w:type="pct"/>
            <w:gridSpan w:val="2"/>
            <w:tcBorders>
              <w:top w:val="nil"/>
              <w:left w:val="nil"/>
              <w:bottom w:val="single" w:sz="4" w:space="0" w:color="auto"/>
              <w:right w:val="single" w:sz="4" w:space="0" w:color="auto"/>
            </w:tcBorders>
            <w:shd w:val="clear" w:color="auto" w:fill="auto"/>
            <w:noWrap/>
            <w:hideMark/>
          </w:tcPr>
          <w:p w14:paraId="3E76587B"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97" w:type="pct"/>
            <w:gridSpan w:val="3"/>
            <w:tcBorders>
              <w:top w:val="nil"/>
              <w:left w:val="nil"/>
              <w:bottom w:val="single" w:sz="4" w:space="0" w:color="auto"/>
              <w:right w:val="single" w:sz="4" w:space="0" w:color="auto"/>
            </w:tcBorders>
            <w:shd w:val="clear" w:color="auto" w:fill="auto"/>
            <w:noWrap/>
            <w:hideMark/>
          </w:tcPr>
          <w:p w14:paraId="5D2D32CF"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93" w:type="pct"/>
            <w:gridSpan w:val="2"/>
            <w:tcBorders>
              <w:top w:val="nil"/>
              <w:left w:val="nil"/>
              <w:bottom w:val="single" w:sz="4" w:space="0" w:color="auto"/>
              <w:right w:val="single" w:sz="4" w:space="0" w:color="auto"/>
            </w:tcBorders>
            <w:shd w:val="clear" w:color="auto" w:fill="auto"/>
            <w:noWrap/>
            <w:hideMark/>
          </w:tcPr>
          <w:p w14:paraId="2A031E05"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22E5F42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D5CD91D"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58" w:type="pct"/>
            <w:gridSpan w:val="3"/>
            <w:tcBorders>
              <w:top w:val="nil"/>
              <w:left w:val="nil"/>
              <w:bottom w:val="single" w:sz="4" w:space="0" w:color="auto"/>
              <w:right w:val="single" w:sz="4" w:space="0" w:color="auto"/>
            </w:tcBorders>
            <w:shd w:val="clear" w:color="auto" w:fill="auto"/>
            <w:noWrap/>
            <w:vAlign w:val="bottom"/>
          </w:tcPr>
          <w:p w14:paraId="0E01F193" w14:textId="77777777" w:rsidR="009A36D2" w:rsidRPr="009A36D2" w:rsidRDefault="009A36D2" w:rsidP="00281A92">
            <w:pPr>
              <w:spacing w:before="0" w:after="0" w:line="240" w:lineRule="auto"/>
              <w:rPr>
                <w:color w:val="auto"/>
                <w:sz w:val="20"/>
                <w:szCs w:val="20"/>
              </w:rPr>
            </w:pPr>
            <w:r w:rsidRPr="009A36D2">
              <w:rPr>
                <w:color w:val="000000"/>
                <w:sz w:val="22"/>
                <w:szCs w:val="22"/>
              </w:rPr>
              <w:t>394</w:t>
            </w:r>
          </w:p>
        </w:tc>
        <w:tc>
          <w:tcPr>
            <w:tcW w:w="660" w:type="pct"/>
            <w:gridSpan w:val="3"/>
            <w:tcBorders>
              <w:top w:val="nil"/>
              <w:left w:val="nil"/>
              <w:bottom w:val="single" w:sz="4" w:space="0" w:color="auto"/>
              <w:right w:val="single" w:sz="4" w:space="0" w:color="auto"/>
            </w:tcBorders>
            <w:shd w:val="clear" w:color="auto" w:fill="auto"/>
            <w:noWrap/>
            <w:vAlign w:val="bottom"/>
          </w:tcPr>
          <w:p w14:paraId="7B9D452D" w14:textId="77777777" w:rsidR="009A36D2" w:rsidRPr="009A36D2" w:rsidRDefault="009A36D2" w:rsidP="00281A92">
            <w:pPr>
              <w:spacing w:before="0" w:after="0" w:line="240" w:lineRule="auto"/>
              <w:rPr>
                <w:color w:val="auto"/>
                <w:sz w:val="20"/>
                <w:szCs w:val="20"/>
              </w:rPr>
            </w:pPr>
            <w:r w:rsidRPr="009A36D2">
              <w:rPr>
                <w:color w:val="000000"/>
                <w:sz w:val="22"/>
                <w:szCs w:val="22"/>
              </w:rPr>
              <w:t>344</w:t>
            </w:r>
          </w:p>
        </w:tc>
        <w:tc>
          <w:tcPr>
            <w:tcW w:w="540" w:type="pct"/>
            <w:gridSpan w:val="2"/>
            <w:tcBorders>
              <w:top w:val="nil"/>
              <w:left w:val="nil"/>
              <w:bottom w:val="single" w:sz="4" w:space="0" w:color="auto"/>
              <w:right w:val="single" w:sz="4" w:space="0" w:color="auto"/>
            </w:tcBorders>
            <w:shd w:val="clear" w:color="auto" w:fill="auto"/>
            <w:noWrap/>
            <w:vAlign w:val="bottom"/>
          </w:tcPr>
          <w:p w14:paraId="5B73D911" w14:textId="77777777" w:rsidR="009A36D2" w:rsidRPr="009A36D2" w:rsidRDefault="009A36D2" w:rsidP="00281A92">
            <w:pPr>
              <w:spacing w:before="0" w:after="0" w:line="240" w:lineRule="auto"/>
              <w:rPr>
                <w:color w:val="auto"/>
                <w:sz w:val="20"/>
                <w:szCs w:val="20"/>
              </w:rPr>
            </w:pPr>
            <w:r w:rsidRPr="009A36D2">
              <w:rPr>
                <w:color w:val="000000"/>
                <w:sz w:val="22"/>
                <w:szCs w:val="22"/>
              </w:rPr>
              <w:t>289</w:t>
            </w:r>
          </w:p>
        </w:tc>
        <w:tc>
          <w:tcPr>
            <w:tcW w:w="551" w:type="pct"/>
            <w:gridSpan w:val="2"/>
            <w:tcBorders>
              <w:top w:val="nil"/>
              <w:left w:val="nil"/>
              <w:bottom w:val="single" w:sz="4" w:space="0" w:color="auto"/>
              <w:right w:val="single" w:sz="4" w:space="0" w:color="auto"/>
            </w:tcBorders>
            <w:shd w:val="clear" w:color="auto" w:fill="auto"/>
            <w:noWrap/>
            <w:vAlign w:val="bottom"/>
          </w:tcPr>
          <w:p w14:paraId="065B35A0" w14:textId="77777777" w:rsidR="009A36D2" w:rsidRPr="009A36D2" w:rsidRDefault="009A36D2" w:rsidP="00281A92">
            <w:pPr>
              <w:spacing w:before="0" w:after="0" w:line="240" w:lineRule="auto"/>
              <w:rPr>
                <w:color w:val="auto"/>
                <w:sz w:val="20"/>
                <w:szCs w:val="20"/>
              </w:rPr>
            </w:pPr>
            <w:r w:rsidRPr="009A36D2">
              <w:rPr>
                <w:color w:val="000000"/>
                <w:sz w:val="22"/>
                <w:szCs w:val="22"/>
              </w:rPr>
              <w:t>254</w:t>
            </w:r>
          </w:p>
        </w:tc>
        <w:tc>
          <w:tcPr>
            <w:tcW w:w="697" w:type="pct"/>
            <w:gridSpan w:val="3"/>
            <w:tcBorders>
              <w:top w:val="nil"/>
              <w:left w:val="nil"/>
              <w:bottom w:val="single" w:sz="4" w:space="0" w:color="auto"/>
              <w:right w:val="single" w:sz="4" w:space="0" w:color="auto"/>
            </w:tcBorders>
            <w:shd w:val="clear" w:color="auto" w:fill="auto"/>
            <w:noWrap/>
            <w:vAlign w:val="bottom"/>
          </w:tcPr>
          <w:p w14:paraId="7424E36F" w14:textId="77777777" w:rsidR="009A36D2" w:rsidRPr="009A36D2" w:rsidRDefault="009A36D2" w:rsidP="00281A92">
            <w:pPr>
              <w:spacing w:before="0" w:after="0" w:line="240" w:lineRule="auto"/>
              <w:rPr>
                <w:color w:val="auto"/>
                <w:sz w:val="20"/>
                <w:szCs w:val="20"/>
              </w:rPr>
            </w:pPr>
            <w:r w:rsidRPr="009A36D2">
              <w:rPr>
                <w:color w:val="000000"/>
                <w:sz w:val="22"/>
                <w:szCs w:val="22"/>
              </w:rPr>
              <w:t>295</w:t>
            </w:r>
          </w:p>
        </w:tc>
        <w:tc>
          <w:tcPr>
            <w:tcW w:w="693" w:type="pct"/>
            <w:gridSpan w:val="2"/>
            <w:tcBorders>
              <w:top w:val="nil"/>
              <w:left w:val="nil"/>
              <w:bottom w:val="single" w:sz="4" w:space="0" w:color="auto"/>
              <w:right w:val="single" w:sz="4" w:space="0" w:color="auto"/>
            </w:tcBorders>
            <w:shd w:val="clear" w:color="auto" w:fill="auto"/>
            <w:noWrap/>
            <w:vAlign w:val="bottom"/>
          </w:tcPr>
          <w:p w14:paraId="46360EE3" w14:textId="77777777" w:rsidR="009A36D2" w:rsidRPr="009A36D2" w:rsidRDefault="009A36D2" w:rsidP="00281A92">
            <w:pPr>
              <w:spacing w:before="0" w:after="0" w:line="240" w:lineRule="auto"/>
              <w:rPr>
                <w:color w:val="auto"/>
                <w:sz w:val="20"/>
                <w:szCs w:val="20"/>
              </w:rPr>
            </w:pPr>
            <w:r w:rsidRPr="009A36D2">
              <w:rPr>
                <w:color w:val="000000"/>
                <w:sz w:val="22"/>
                <w:szCs w:val="22"/>
              </w:rPr>
              <w:t>392</w:t>
            </w:r>
          </w:p>
        </w:tc>
      </w:tr>
      <w:tr w:rsidR="009A36D2" w:rsidRPr="009A36D2" w14:paraId="6636882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AD46644"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58" w:type="pct"/>
            <w:gridSpan w:val="3"/>
            <w:tcBorders>
              <w:top w:val="nil"/>
              <w:left w:val="nil"/>
              <w:bottom w:val="single" w:sz="4" w:space="0" w:color="auto"/>
              <w:right w:val="single" w:sz="4" w:space="0" w:color="auto"/>
            </w:tcBorders>
            <w:shd w:val="clear" w:color="auto" w:fill="auto"/>
            <w:noWrap/>
            <w:vAlign w:val="bottom"/>
          </w:tcPr>
          <w:p w14:paraId="71642055" w14:textId="77777777" w:rsidR="009A36D2" w:rsidRPr="009A36D2" w:rsidRDefault="009A36D2" w:rsidP="00281A92">
            <w:pPr>
              <w:spacing w:before="0" w:after="0" w:line="240" w:lineRule="auto"/>
              <w:rPr>
                <w:color w:val="auto"/>
                <w:sz w:val="20"/>
                <w:szCs w:val="20"/>
              </w:rPr>
            </w:pPr>
            <w:r w:rsidRPr="009A36D2">
              <w:rPr>
                <w:color w:val="000000"/>
                <w:sz w:val="22"/>
                <w:szCs w:val="22"/>
              </w:rPr>
              <w:t>285</w:t>
            </w:r>
          </w:p>
        </w:tc>
        <w:tc>
          <w:tcPr>
            <w:tcW w:w="660" w:type="pct"/>
            <w:gridSpan w:val="3"/>
            <w:tcBorders>
              <w:top w:val="nil"/>
              <w:left w:val="nil"/>
              <w:bottom w:val="single" w:sz="4" w:space="0" w:color="auto"/>
              <w:right w:val="single" w:sz="4" w:space="0" w:color="auto"/>
            </w:tcBorders>
            <w:shd w:val="clear" w:color="auto" w:fill="auto"/>
            <w:noWrap/>
            <w:vAlign w:val="bottom"/>
          </w:tcPr>
          <w:p w14:paraId="293950CB" w14:textId="77777777" w:rsidR="009A36D2" w:rsidRPr="009A36D2" w:rsidRDefault="009A36D2" w:rsidP="00281A92">
            <w:pPr>
              <w:spacing w:before="0" w:after="0" w:line="240" w:lineRule="auto"/>
              <w:rPr>
                <w:color w:val="auto"/>
                <w:sz w:val="20"/>
                <w:szCs w:val="20"/>
              </w:rPr>
            </w:pPr>
            <w:r w:rsidRPr="009A36D2">
              <w:rPr>
                <w:color w:val="000000"/>
                <w:sz w:val="22"/>
                <w:szCs w:val="22"/>
              </w:rPr>
              <w:t>222</w:t>
            </w:r>
          </w:p>
        </w:tc>
        <w:tc>
          <w:tcPr>
            <w:tcW w:w="540" w:type="pct"/>
            <w:gridSpan w:val="2"/>
            <w:tcBorders>
              <w:top w:val="nil"/>
              <w:left w:val="nil"/>
              <w:bottom w:val="single" w:sz="4" w:space="0" w:color="auto"/>
              <w:right w:val="single" w:sz="4" w:space="0" w:color="auto"/>
            </w:tcBorders>
            <w:shd w:val="clear" w:color="auto" w:fill="auto"/>
            <w:noWrap/>
            <w:vAlign w:val="bottom"/>
          </w:tcPr>
          <w:p w14:paraId="16DD5597" w14:textId="77777777" w:rsidR="009A36D2" w:rsidRPr="009A36D2" w:rsidRDefault="009A36D2" w:rsidP="00281A92">
            <w:pPr>
              <w:spacing w:before="0" w:after="0" w:line="240" w:lineRule="auto"/>
              <w:rPr>
                <w:color w:val="auto"/>
                <w:sz w:val="20"/>
                <w:szCs w:val="20"/>
              </w:rPr>
            </w:pPr>
            <w:r w:rsidRPr="009A36D2">
              <w:rPr>
                <w:color w:val="000000"/>
                <w:sz w:val="22"/>
                <w:szCs w:val="22"/>
              </w:rPr>
              <w:t>233</w:t>
            </w:r>
          </w:p>
        </w:tc>
        <w:tc>
          <w:tcPr>
            <w:tcW w:w="551" w:type="pct"/>
            <w:gridSpan w:val="2"/>
            <w:tcBorders>
              <w:top w:val="nil"/>
              <w:left w:val="nil"/>
              <w:bottom w:val="single" w:sz="4" w:space="0" w:color="auto"/>
              <w:right w:val="single" w:sz="4" w:space="0" w:color="auto"/>
            </w:tcBorders>
            <w:shd w:val="clear" w:color="auto" w:fill="auto"/>
            <w:noWrap/>
            <w:vAlign w:val="bottom"/>
          </w:tcPr>
          <w:p w14:paraId="44292D2A" w14:textId="77777777" w:rsidR="009A36D2" w:rsidRPr="009A36D2" w:rsidRDefault="009A36D2" w:rsidP="00281A92">
            <w:pPr>
              <w:spacing w:before="0" w:after="0" w:line="240" w:lineRule="auto"/>
              <w:rPr>
                <w:color w:val="auto"/>
                <w:sz w:val="20"/>
                <w:szCs w:val="20"/>
              </w:rPr>
            </w:pPr>
            <w:r w:rsidRPr="009A36D2">
              <w:rPr>
                <w:color w:val="000000"/>
                <w:sz w:val="22"/>
                <w:szCs w:val="22"/>
              </w:rPr>
              <w:t>243</w:t>
            </w:r>
          </w:p>
        </w:tc>
        <w:tc>
          <w:tcPr>
            <w:tcW w:w="697" w:type="pct"/>
            <w:gridSpan w:val="3"/>
            <w:tcBorders>
              <w:top w:val="nil"/>
              <w:left w:val="nil"/>
              <w:bottom w:val="single" w:sz="4" w:space="0" w:color="auto"/>
              <w:right w:val="single" w:sz="4" w:space="0" w:color="auto"/>
            </w:tcBorders>
            <w:shd w:val="clear" w:color="auto" w:fill="auto"/>
            <w:noWrap/>
            <w:vAlign w:val="bottom"/>
          </w:tcPr>
          <w:p w14:paraId="7AB67DA5" w14:textId="77777777" w:rsidR="009A36D2" w:rsidRPr="009A36D2" w:rsidRDefault="009A36D2" w:rsidP="00281A92">
            <w:pPr>
              <w:spacing w:before="0" w:after="0" w:line="240" w:lineRule="auto"/>
              <w:rPr>
                <w:color w:val="auto"/>
                <w:sz w:val="20"/>
                <w:szCs w:val="20"/>
              </w:rPr>
            </w:pPr>
            <w:r w:rsidRPr="009A36D2">
              <w:rPr>
                <w:color w:val="000000"/>
                <w:sz w:val="22"/>
                <w:szCs w:val="22"/>
              </w:rPr>
              <w:t>347</w:t>
            </w:r>
          </w:p>
        </w:tc>
        <w:tc>
          <w:tcPr>
            <w:tcW w:w="693" w:type="pct"/>
            <w:gridSpan w:val="2"/>
            <w:tcBorders>
              <w:top w:val="nil"/>
              <w:left w:val="nil"/>
              <w:bottom w:val="single" w:sz="4" w:space="0" w:color="auto"/>
              <w:right w:val="single" w:sz="4" w:space="0" w:color="auto"/>
            </w:tcBorders>
            <w:shd w:val="clear" w:color="auto" w:fill="auto"/>
            <w:noWrap/>
            <w:vAlign w:val="bottom"/>
          </w:tcPr>
          <w:p w14:paraId="45FF1788" w14:textId="77777777" w:rsidR="009A36D2" w:rsidRPr="009A36D2" w:rsidRDefault="009A36D2" w:rsidP="00281A92">
            <w:pPr>
              <w:spacing w:before="0" w:after="0" w:line="240" w:lineRule="auto"/>
              <w:rPr>
                <w:color w:val="auto"/>
                <w:sz w:val="20"/>
                <w:szCs w:val="20"/>
              </w:rPr>
            </w:pPr>
            <w:r w:rsidRPr="009A36D2">
              <w:rPr>
                <w:color w:val="000000"/>
                <w:sz w:val="22"/>
                <w:szCs w:val="22"/>
              </w:rPr>
              <w:t>267</w:t>
            </w:r>
          </w:p>
        </w:tc>
      </w:tr>
      <w:tr w:rsidR="009A36D2" w:rsidRPr="009A36D2" w14:paraId="1A5F7BD6"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51258DF"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58" w:type="pct"/>
            <w:gridSpan w:val="3"/>
            <w:tcBorders>
              <w:top w:val="nil"/>
              <w:left w:val="nil"/>
              <w:bottom w:val="single" w:sz="4" w:space="0" w:color="auto"/>
              <w:right w:val="single" w:sz="4" w:space="0" w:color="auto"/>
            </w:tcBorders>
            <w:shd w:val="clear" w:color="auto" w:fill="auto"/>
            <w:noWrap/>
            <w:vAlign w:val="bottom"/>
          </w:tcPr>
          <w:p w14:paraId="3BE843E5" w14:textId="77777777" w:rsidR="009A36D2" w:rsidRPr="009A36D2" w:rsidRDefault="009A36D2" w:rsidP="00281A92">
            <w:pPr>
              <w:spacing w:before="0" w:after="0" w:line="240" w:lineRule="auto"/>
              <w:rPr>
                <w:color w:val="auto"/>
                <w:sz w:val="20"/>
                <w:szCs w:val="20"/>
              </w:rPr>
            </w:pPr>
            <w:r w:rsidRPr="009A36D2">
              <w:rPr>
                <w:color w:val="000000"/>
                <w:sz w:val="22"/>
                <w:szCs w:val="22"/>
              </w:rPr>
              <w:t>439</w:t>
            </w:r>
          </w:p>
        </w:tc>
        <w:tc>
          <w:tcPr>
            <w:tcW w:w="660" w:type="pct"/>
            <w:gridSpan w:val="3"/>
            <w:tcBorders>
              <w:top w:val="nil"/>
              <w:left w:val="nil"/>
              <w:bottom w:val="single" w:sz="4" w:space="0" w:color="auto"/>
              <w:right w:val="single" w:sz="4" w:space="0" w:color="auto"/>
            </w:tcBorders>
            <w:shd w:val="clear" w:color="auto" w:fill="auto"/>
            <w:noWrap/>
            <w:vAlign w:val="bottom"/>
          </w:tcPr>
          <w:p w14:paraId="58817CB6" w14:textId="77777777" w:rsidR="009A36D2" w:rsidRPr="009A36D2" w:rsidRDefault="009A36D2" w:rsidP="00281A92">
            <w:pPr>
              <w:spacing w:before="0" w:after="0" w:line="240" w:lineRule="auto"/>
              <w:rPr>
                <w:color w:val="auto"/>
                <w:sz w:val="20"/>
                <w:szCs w:val="20"/>
              </w:rPr>
            </w:pPr>
            <w:r w:rsidRPr="009A36D2">
              <w:rPr>
                <w:color w:val="000000"/>
                <w:sz w:val="22"/>
                <w:szCs w:val="22"/>
              </w:rPr>
              <w:t>389</w:t>
            </w:r>
          </w:p>
        </w:tc>
        <w:tc>
          <w:tcPr>
            <w:tcW w:w="540" w:type="pct"/>
            <w:gridSpan w:val="2"/>
            <w:tcBorders>
              <w:top w:val="nil"/>
              <w:left w:val="nil"/>
              <w:bottom w:val="single" w:sz="4" w:space="0" w:color="auto"/>
              <w:right w:val="single" w:sz="4" w:space="0" w:color="auto"/>
            </w:tcBorders>
            <w:shd w:val="clear" w:color="auto" w:fill="auto"/>
            <w:noWrap/>
            <w:vAlign w:val="bottom"/>
          </w:tcPr>
          <w:p w14:paraId="7A9A27C2" w14:textId="77777777" w:rsidR="009A36D2" w:rsidRPr="009A36D2" w:rsidRDefault="009A36D2" w:rsidP="00281A92">
            <w:pPr>
              <w:spacing w:before="0" w:after="0" w:line="240" w:lineRule="auto"/>
              <w:rPr>
                <w:color w:val="auto"/>
                <w:sz w:val="20"/>
                <w:szCs w:val="20"/>
              </w:rPr>
            </w:pPr>
            <w:r w:rsidRPr="009A36D2">
              <w:rPr>
                <w:color w:val="000000"/>
                <w:sz w:val="22"/>
                <w:szCs w:val="22"/>
              </w:rPr>
              <w:t>289</w:t>
            </w:r>
          </w:p>
        </w:tc>
        <w:tc>
          <w:tcPr>
            <w:tcW w:w="551" w:type="pct"/>
            <w:gridSpan w:val="2"/>
            <w:tcBorders>
              <w:top w:val="nil"/>
              <w:left w:val="nil"/>
              <w:bottom w:val="single" w:sz="4" w:space="0" w:color="auto"/>
              <w:right w:val="single" w:sz="4" w:space="0" w:color="auto"/>
            </w:tcBorders>
            <w:shd w:val="clear" w:color="auto" w:fill="auto"/>
            <w:noWrap/>
            <w:vAlign w:val="bottom"/>
          </w:tcPr>
          <w:p w14:paraId="06F42EEC" w14:textId="77777777" w:rsidR="009A36D2" w:rsidRPr="009A36D2" w:rsidRDefault="009A36D2" w:rsidP="00281A92">
            <w:pPr>
              <w:spacing w:before="0" w:after="0" w:line="240" w:lineRule="auto"/>
              <w:rPr>
                <w:color w:val="auto"/>
                <w:sz w:val="20"/>
                <w:szCs w:val="20"/>
              </w:rPr>
            </w:pPr>
            <w:r w:rsidRPr="009A36D2">
              <w:rPr>
                <w:color w:val="000000"/>
                <w:sz w:val="22"/>
                <w:szCs w:val="22"/>
              </w:rPr>
              <w:t>279</w:t>
            </w:r>
          </w:p>
        </w:tc>
        <w:tc>
          <w:tcPr>
            <w:tcW w:w="697" w:type="pct"/>
            <w:gridSpan w:val="3"/>
            <w:tcBorders>
              <w:top w:val="nil"/>
              <w:left w:val="nil"/>
              <w:bottom w:val="single" w:sz="4" w:space="0" w:color="auto"/>
              <w:right w:val="single" w:sz="4" w:space="0" w:color="auto"/>
            </w:tcBorders>
            <w:shd w:val="clear" w:color="auto" w:fill="auto"/>
            <w:noWrap/>
            <w:vAlign w:val="bottom"/>
          </w:tcPr>
          <w:p w14:paraId="60B8C782" w14:textId="77777777" w:rsidR="009A36D2" w:rsidRPr="009A36D2" w:rsidRDefault="009A36D2" w:rsidP="00281A92">
            <w:pPr>
              <w:spacing w:before="0" w:after="0" w:line="240" w:lineRule="auto"/>
              <w:rPr>
                <w:color w:val="auto"/>
                <w:sz w:val="20"/>
                <w:szCs w:val="20"/>
              </w:rPr>
            </w:pPr>
            <w:r w:rsidRPr="009A36D2">
              <w:rPr>
                <w:color w:val="000000"/>
                <w:sz w:val="22"/>
                <w:szCs w:val="22"/>
              </w:rPr>
              <w:t>381</w:t>
            </w:r>
          </w:p>
        </w:tc>
        <w:tc>
          <w:tcPr>
            <w:tcW w:w="693" w:type="pct"/>
            <w:gridSpan w:val="2"/>
            <w:tcBorders>
              <w:top w:val="nil"/>
              <w:left w:val="nil"/>
              <w:bottom w:val="single" w:sz="4" w:space="0" w:color="auto"/>
              <w:right w:val="single" w:sz="4" w:space="0" w:color="auto"/>
            </w:tcBorders>
            <w:shd w:val="clear" w:color="auto" w:fill="auto"/>
            <w:noWrap/>
            <w:vAlign w:val="bottom"/>
          </w:tcPr>
          <w:p w14:paraId="2BCAB3C6" w14:textId="77777777" w:rsidR="009A36D2" w:rsidRPr="009A36D2" w:rsidRDefault="009A36D2" w:rsidP="00281A92">
            <w:pPr>
              <w:spacing w:before="0" w:after="0" w:line="240" w:lineRule="auto"/>
              <w:rPr>
                <w:color w:val="auto"/>
                <w:sz w:val="20"/>
                <w:szCs w:val="20"/>
              </w:rPr>
            </w:pPr>
            <w:r w:rsidRPr="009A36D2">
              <w:rPr>
                <w:color w:val="000000"/>
                <w:sz w:val="22"/>
                <w:szCs w:val="22"/>
              </w:rPr>
              <w:t>401</w:t>
            </w:r>
          </w:p>
        </w:tc>
      </w:tr>
      <w:tr w:rsidR="009A36D2" w:rsidRPr="009A36D2" w14:paraId="6C62A60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C1E9077"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58" w:type="pct"/>
            <w:gridSpan w:val="3"/>
            <w:tcBorders>
              <w:top w:val="nil"/>
              <w:left w:val="nil"/>
              <w:bottom w:val="single" w:sz="4" w:space="0" w:color="auto"/>
              <w:right w:val="single" w:sz="4" w:space="0" w:color="auto"/>
            </w:tcBorders>
            <w:shd w:val="clear" w:color="auto" w:fill="auto"/>
            <w:noWrap/>
            <w:vAlign w:val="bottom"/>
          </w:tcPr>
          <w:p w14:paraId="1B990943" w14:textId="77777777" w:rsidR="009A36D2" w:rsidRPr="009A36D2" w:rsidRDefault="009A36D2" w:rsidP="00281A92">
            <w:pPr>
              <w:spacing w:before="0" w:after="0" w:line="240" w:lineRule="auto"/>
              <w:rPr>
                <w:color w:val="auto"/>
                <w:sz w:val="20"/>
                <w:szCs w:val="20"/>
              </w:rPr>
            </w:pPr>
            <w:r w:rsidRPr="009A36D2">
              <w:rPr>
                <w:color w:val="000000"/>
                <w:sz w:val="22"/>
                <w:szCs w:val="22"/>
              </w:rPr>
              <w:t>402</w:t>
            </w:r>
          </w:p>
        </w:tc>
        <w:tc>
          <w:tcPr>
            <w:tcW w:w="660" w:type="pct"/>
            <w:gridSpan w:val="3"/>
            <w:tcBorders>
              <w:top w:val="nil"/>
              <w:left w:val="nil"/>
              <w:bottom w:val="single" w:sz="4" w:space="0" w:color="auto"/>
              <w:right w:val="single" w:sz="4" w:space="0" w:color="auto"/>
            </w:tcBorders>
            <w:shd w:val="clear" w:color="auto" w:fill="auto"/>
            <w:noWrap/>
            <w:vAlign w:val="bottom"/>
          </w:tcPr>
          <w:p w14:paraId="5905159F" w14:textId="77777777" w:rsidR="009A36D2" w:rsidRPr="009A36D2" w:rsidRDefault="009A36D2" w:rsidP="00281A92">
            <w:pPr>
              <w:spacing w:before="0" w:after="0" w:line="240" w:lineRule="auto"/>
              <w:rPr>
                <w:color w:val="auto"/>
                <w:sz w:val="20"/>
                <w:szCs w:val="20"/>
              </w:rPr>
            </w:pPr>
            <w:r w:rsidRPr="009A36D2">
              <w:rPr>
                <w:color w:val="000000"/>
                <w:sz w:val="22"/>
                <w:szCs w:val="22"/>
              </w:rPr>
              <w:t>367</w:t>
            </w:r>
          </w:p>
        </w:tc>
        <w:tc>
          <w:tcPr>
            <w:tcW w:w="540" w:type="pct"/>
            <w:gridSpan w:val="2"/>
            <w:tcBorders>
              <w:top w:val="nil"/>
              <w:left w:val="nil"/>
              <w:bottom w:val="single" w:sz="4" w:space="0" w:color="auto"/>
              <w:right w:val="single" w:sz="4" w:space="0" w:color="auto"/>
            </w:tcBorders>
            <w:shd w:val="clear" w:color="auto" w:fill="auto"/>
            <w:noWrap/>
            <w:vAlign w:val="bottom"/>
          </w:tcPr>
          <w:p w14:paraId="331B5D23" w14:textId="77777777" w:rsidR="009A36D2" w:rsidRPr="009A36D2" w:rsidRDefault="009A36D2" w:rsidP="00281A92">
            <w:pPr>
              <w:spacing w:before="0" w:after="0" w:line="240" w:lineRule="auto"/>
              <w:rPr>
                <w:color w:val="auto"/>
                <w:sz w:val="20"/>
                <w:szCs w:val="20"/>
              </w:rPr>
            </w:pPr>
            <w:r w:rsidRPr="009A36D2">
              <w:rPr>
                <w:color w:val="000000"/>
                <w:sz w:val="22"/>
                <w:szCs w:val="22"/>
              </w:rPr>
              <w:t>305</w:t>
            </w:r>
          </w:p>
        </w:tc>
        <w:tc>
          <w:tcPr>
            <w:tcW w:w="551" w:type="pct"/>
            <w:gridSpan w:val="2"/>
            <w:tcBorders>
              <w:top w:val="nil"/>
              <w:left w:val="nil"/>
              <w:bottom w:val="single" w:sz="4" w:space="0" w:color="auto"/>
              <w:right w:val="single" w:sz="4" w:space="0" w:color="auto"/>
            </w:tcBorders>
            <w:shd w:val="clear" w:color="auto" w:fill="auto"/>
            <w:noWrap/>
            <w:vAlign w:val="bottom"/>
          </w:tcPr>
          <w:p w14:paraId="3BD0E287" w14:textId="77777777" w:rsidR="009A36D2" w:rsidRPr="009A36D2" w:rsidRDefault="009A36D2" w:rsidP="00281A92">
            <w:pPr>
              <w:spacing w:before="0" w:after="0" w:line="240" w:lineRule="auto"/>
              <w:rPr>
                <w:color w:val="auto"/>
                <w:sz w:val="20"/>
                <w:szCs w:val="20"/>
              </w:rPr>
            </w:pPr>
            <w:r w:rsidRPr="009A36D2">
              <w:rPr>
                <w:color w:val="000000"/>
                <w:sz w:val="22"/>
                <w:szCs w:val="22"/>
              </w:rPr>
              <w:t>270</w:t>
            </w:r>
          </w:p>
        </w:tc>
        <w:tc>
          <w:tcPr>
            <w:tcW w:w="697" w:type="pct"/>
            <w:gridSpan w:val="3"/>
            <w:tcBorders>
              <w:top w:val="nil"/>
              <w:left w:val="nil"/>
              <w:bottom w:val="single" w:sz="4" w:space="0" w:color="auto"/>
              <w:right w:val="single" w:sz="4" w:space="0" w:color="auto"/>
            </w:tcBorders>
            <w:shd w:val="clear" w:color="auto" w:fill="auto"/>
            <w:noWrap/>
            <w:vAlign w:val="bottom"/>
          </w:tcPr>
          <w:p w14:paraId="578F3493" w14:textId="77777777" w:rsidR="009A36D2" w:rsidRPr="009A36D2" w:rsidRDefault="009A36D2" w:rsidP="00281A92">
            <w:pPr>
              <w:spacing w:before="0" w:after="0" w:line="240" w:lineRule="auto"/>
              <w:rPr>
                <w:color w:val="auto"/>
                <w:sz w:val="20"/>
                <w:szCs w:val="20"/>
              </w:rPr>
            </w:pPr>
            <w:r w:rsidRPr="009A36D2">
              <w:rPr>
                <w:color w:val="000000"/>
                <w:sz w:val="22"/>
                <w:szCs w:val="22"/>
              </w:rPr>
              <w:t>341</w:t>
            </w:r>
          </w:p>
        </w:tc>
        <w:tc>
          <w:tcPr>
            <w:tcW w:w="693" w:type="pct"/>
            <w:gridSpan w:val="2"/>
            <w:tcBorders>
              <w:top w:val="nil"/>
              <w:left w:val="nil"/>
              <w:bottom w:val="single" w:sz="4" w:space="0" w:color="auto"/>
              <w:right w:val="single" w:sz="4" w:space="0" w:color="auto"/>
            </w:tcBorders>
            <w:shd w:val="clear" w:color="auto" w:fill="auto"/>
            <w:noWrap/>
            <w:vAlign w:val="bottom"/>
          </w:tcPr>
          <w:p w14:paraId="2BE0DBF2" w14:textId="77777777" w:rsidR="009A36D2" w:rsidRPr="009A36D2" w:rsidRDefault="009A36D2" w:rsidP="00281A92">
            <w:pPr>
              <w:spacing w:before="0" w:after="0" w:line="240" w:lineRule="auto"/>
              <w:rPr>
                <w:color w:val="auto"/>
                <w:sz w:val="20"/>
                <w:szCs w:val="20"/>
              </w:rPr>
            </w:pPr>
            <w:r w:rsidRPr="009A36D2">
              <w:rPr>
                <w:color w:val="000000"/>
                <w:sz w:val="22"/>
                <w:szCs w:val="22"/>
              </w:rPr>
              <w:t>369</w:t>
            </w:r>
          </w:p>
        </w:tc>
      </w:tr>
      <w:tr w:rsidR="009A36D2" w:rsidRPr="009A36D2" w14:paraId="374C780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F87856D"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58" w:type="pct"/>
            <w:gridSpan w:val="3"/>
            <w:tcBorders>
              <w:top w:val="nil"/>
              <w:left w:val="nil"/>
              <w:bottom w:val="single" w:sz="4" w:space="0" w:color="auto"/>
              <w:right w:val="single" w:sz="4" w:space="0" w:color="auto"/>
            </w:tcBorders>
            <w:shd w:val="clear" w:color="auto" w:fill="auto"/>
            <w:noWrap/>
            <w:vAlign w:val="bottom"/>
          </w:tcPr>
          <w:p w14:paraId="2D167340" w14:textId="77777777" w:rsidR="009A36D2" w:rsidRPr="009A36D2" w:rsidRDefault="009A36D2" w:rsidP="00281A92">
            <w:pPr>
              <w:spacing w:before="0" w:after="0" w:line="240" w:lineRule="auto"/>
              <w:rPr>
                <w:color w:val="auto"/>
                <w:sz w:val="20"/>
                <w:szCs w:val="20"/>
              </w:rPr>
            </w:pPr>
            <w:r w:rsidRPr="009A36D2">
              <w:rPr>
                <w:color w:val="000000"/>
                <w:sz w:val="22"/>
                <w:szCs w:val="22"/>
              </w:rPr>
              <w:t>339</w:t>
            </w:r>
          </w:p>
        </w:tc>
        <w:tc>
          <w:tcPr>
            <w:tcW w:w="660" w:type="pct"/>
            <w:gridSpan w:val="3"/>
            <w:tcBorders>
              <w:top w:val="nil"/>
              <w:left w:val="nil"/>
              <w:bottom w:val="single" w:sz="4" w:space="0" w:color="auto"/>
              <w:right w:val="single" w:sz="4" w:space="0" w:color="auto"/>
            </w:tcBorders>
            <w:shd w:val="clear" w:color="auto" w:fill="auto"/>
            <w:noWrap/>
            <w:vAlign w:val="bottom"/>
          </w:tcPr>
          <w:p w14:paraId="5150311F" w14:textId="77777777" w:rsidR="009A36D2" w:rsidRPr="009A36D2" w:rsidRDefault="009A36D2" w:rsidP="00281A92">
            <w:pPr>
              <w:spacing w:before="0" w:after="0" w:line="240" w:lineRule="auto"/>
              <w:rPr>
                <w:color w:val="auto"/>
                <w:sz w:val="20"/>
                <w:szCs w:val="20"/>
              </w:rPr>
            </w:pPr>
            <w:r w:rsidRPr="009A36D2">
              <w:rPr>
                <w:color w:val="000000"/>
                <w:sz w:val="22"/>
                <w:szCs w:val="22"/>
              </w:rPr>
              <w:t>282</w:t>
            </w:r>
          </w:p>
        </w:tc>
        <w:tc>
          <w:tcPr>
            <w:tcW w:w="540" w:type="pct"/>
            <w:gridSpan w:val="2"/>
            <w:tcBorders>
              <w:top w:val="nil"/>
              <w:left w:val="nil"/>
              <w:bottom w:val="single" w:sz="4" w:space="0" w:color="auto"/>
              <w:right w:val="single" w:sz="4" w:space="0" w:color="auto"/>
            </w:tcBorders>
            <w:shd w:val="clear" w:color="auto" w:fill="auto"/>
            <w:noWrap/>
            <w:vAlign w:val="bottom"/>
          </w:tcPr>
          <w:p w14:paraId="0C79480F" w14:textId="77777777" w:rsidR="009A36D2" w:rsidRPr="009A36D2" w:rsidRDefault="009A36D2" w:rsidP="00281A92">
            <w:pPr>
              <w:spacing w:before="0" w:after="0" w:line="240" w:lineRule="auto"/>
              <w:rPr>
                <w:color w:val="auto"/>
                <w:sz w:val="20"/>
                <w:szCs w:val="20"/>
              </w:rPr>
            </w:pPr>
            <w:r w:rsidRPr="009A36D2">
              <w:rPr>
                <w:color w:val="000000"/>
                <w:sz w:val="22"/>
                <w:szCs w:val="22"/>
              </w:rPr>
              <w:t>188</w:t>
            </w:r>
          </w:p>
        </w:tc>
        <w:tc>
          <w:tcPr>
            <w:tcW w:w="551" w:type="pct"/>
            <w:gridSpan w:val="2"/>
            <w:tcBorders>
              <w:top w:val="nil"/>
              <w:left w:val="nil"/>
              <w:bottom w:val="single" w:sz="4" w:space="0" w:color="auto"/>
              <w:right w:val="single" w:sz="4" w:space="0" w:color="auto"/>
            </w:tcBorders>
            <w:shd w:val="clear" w:color="auto" w:fill="auto"/>
            <w:noWrap/>
            <w:vAlign w:val="bottom"/>
          </w:tcPr>
          <w:p w14:paraId="23CE1A1A" w14:textId="77777777" w:rsidR="009A36D2" w:rsidRPr="009A36D2" w:rsidRDefault="009A36D2" w:rsidP="00281A92">
            <w:pPr>
              <w:spacing w:before="0" w:after="0" w:line="240" w:lineRule="auto"/>
              <w:rPr>
                <w:color w:val="auto"/>
                <w:sz w:val="20"/>
                <w:szCs w:val="20"/>
              </w:rPr>
            </w:pPr>
            <w:r w:rsidRPr="009A36D2">
              <w:rPr>
                <w:color w:val="000000"/>
                <w:sz w:val="22"/>
                <w:szCs w:val="22"/>
              </w:rPr>
              <w:t>262</w:t>
            </w:r>
          </w:p>
        </w:tc>
        <w:tc>
          <w:tcPr>
            <w:tcW w:w="697" w:type="pct"/>
            <w:gridSpan w:val="3"/>
            <w:tcBorders>
              <w:top w:val="nil"/>
              <w:left w:val="nil"/>
              <w:bottom w:val="single" w:sz="4" w:space="0" w:color="auto"/>
              <w:right w:val="single" w:sz="4" w:space="0" w:color="auto"/>
            </w:tcBorders>
            <w:shd w:val="clear" w:color="auto" w:fill="auto"/>
            <w:noWrap/>
            <w:vAlign w:val="bottom"/>
          </w:tcPr>
          <w:p w14:paraId="34CC2931" w14:textId="77777777" w:rsidR="009A36D2" w:rsidRPr="009A36D2" w:rsidRDefault="009A36D2" w:rsidP="00281A92">
            <w:pPr>
              <w:spacing w:before="0" w:after="0" w:line="240" w:lineRule="auto"/>
              <w:rPr>
                <w:color w:val="auto"/>
                <w:sz w:val="20"/>
                <w:szCs w:val="20"/>
              </w:rPr>
            </w:pPr>
            <w:r w:rsidRPr="009A36D2">
              <w:rPr>
                <w:color w:val="000000"/>
                <w:sz w:val="22"/>
                <w:szCs w:val="22"/>
              </w:rPr>
              <w:t>320</w:t>
            </w:r>
          </w:p>
        </w:tc>
        <w:tc>
          <w:tcPr>
            <w:tcW w:w="693" w:type="pct"/>
            <w:gridSpan w:val="2"/>
            <w:tcBorders>
              <w:top w:val="nil"/>
              <w:left w:val="nil"/>
              <w:bottom w:val="single" w:sz="4" w:space="0" w:color="auto"/>
              <w:right w:val="single" w:sz="4" w:space="0" w:color="auto"/>
            </w:tcBorders>
            <w:shd w:val="clear" w:color="auto" w:fill="auto"/>
            <w:noWrap/>
            <w:vAlign w:val="bottom"/>
          </w:tcPr>
          <w:p w14:paraId="17551D29" w14:textId="77777777" w:rsidR="009A36D2" w:rsidRPr="009A36D2" w:rsidRDefault="009A36D2" w:rsidP="00281A92">
            <w:pPr>
              <w:spacing w:before="0" w:after="0" w:line="240" w:lineRule="auto"/>
              <w:rPr>
                <w:color w:val="auto"/>
                <w:sz w:val="20"/>
                <w:szCs w:val="20"/>
              </w:rPr>
            </w:pPr>
            <w:r w:rsidRPr="009A36D2">
              <w:rPr>
                <w:color w:val="000000"/>
                <w:sz w:val="22"/>
                <w:szCs w:val="22"/>
              </w:rPr>
              <w:t>340</w:t>
            </w:r>
          </w:p>
        </w:tc>
      </w:tr>
      <w:tr w:rsidR="009A36D2" w:rsidRPr="009A36D2" w14:paraId="3FDA401D"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BA46421"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58" w:type="pct"/>
            <w:gridSpan w:val="3"/>
            <w:tcBorders>
              <w:top w:val="nil"/>
              <w:left w:val="nil"/>
              <w:bottom w:val="single" w:sz="4" w:space="0" w:color="auto"/>
              <w:right w:val="single" w:sz="4" w:space="0" w:color="auto"/>
            </w:tcBorders>
            <w:shd w:val="clear" w:color="auto" w:fill="auto"/>
            <w:noWrap/>
            <w:vAlign w:val="bottom"/>
          </w:tcPr>
          <w:p w14:paraId="3CA20E72" w14:textId="77777777" w:rsidR="009A36D2" w:rsidRPr="009A36D2" w:rsidRDefault="009A36D2" w:rsidP="00281A92">
            <w:pPr>
              <w:spacing w:before="0" w:after="0" w:line="240" w:lineRule="auto"/>
              <w:rPr>
                <w:color w:val="auto"/>
                <w:sz w:val="20"/>
                <w:szCs w:val="20"/>
              </w:rPr>
            </w:pPr>
            <w:r w:rsidRPr="009A36D2">
              <w:rPr>
                <w:color w:val="000000"/>
                <w:sz w:val="22"/>
                <w:szCs w:val="22"/>
              </w:rPr>
              <w:t>429</w:t>
            </w:r>
          </w:p>
        </w:tc>
        <w:tc>
          <w:tcPr>
            <w:tcW w:w="660" w:type="pct"/>
            <w:gridSpan w:val="3"/>
            <w:tcBorders>
              <w:top w:val="nil"/>
              <w:left w:val="nil"/>
              <w:bottom w:val="single" w:sz="4" w:space="0" w:color="auto"/>
              <w:right w:val="single" w:sz="4" w:space="0" w:color="auto"/>
            </w:tcBorders>
            <w:shd w:val="clear" w:color="auto" w:fill="auto"/>
            <w:noWrap/>
            <w:vAlign w:val="bottom"/>
          </w:tcPr>
          <w:p w14:paraId="3010F7B1" w14:textId="77777777" w:rsidR="009A36D2" w:rsidRPr="009A36D2" w:rsidRDefault="009A36D2" w:rsidP="00281A92">
            <w:pPr>
              <w:spacing w:before="0" w:after="0" w:line="240" w:lineRule="auto"/>
              <w:rPr>
                <w:color w:val="auto"/>
                <w:sz w:val="20"/>
                <w:szCs w:val="20"/>
              </w:rPr>
            </w:pPr>
            <w:r w:rsidRPr="009A36D2">
              <w:rPr>
                <w:color w:val="000000"/>
                <w:sz w:val="22"/>
                <w:szCs w:val="22"/>
              </w:rPr>
              <w:t>399</w:t>
            </w:r>
          </w:p>
        </w:tc>
        <w:tc>
          <w:tcPr>
            <w:tcW w:w="540" w:type="pct"/>
            <w:gridSpan w:val="2"/>
            <w:tcBorders>
              <w:top w:val="nil"/>
              <w:left w:val="nil"/>
              <w:bottom w:val="single" w:sz="4" w:space="0" w:color="auto"/>
              <w:right w:val="single" w:sz="4" w:space="0" w:color="auto"/>
            </w:tcBorders>
            <w:shd w:val="clear" w:color="auto" w:fill="auto"/>
            <w:noWrap/>
            <w:vAlign w:val="bottom"/>
          </w:tcPr>
          <w:p w14:paraId="15FB17B2" w14:textId="77777777" w:rsidR="009A36D2" w:rsidRPr="009A36D2" w:rsidRDefault="009A36D2" w:rsidP="00281A92">
            <w:pPr>
              <w:spacing w:before="0" w:after="0" w:line="240" w:lineRule="auto"/>
              <w:rPr>
                <w:color w:val="auto"/>
                <w:sz w:val="20"/>
                <w:szCs w:val="20"/>
              </w:rPr>
            </w:pPr>
            <w:r w:rsidRPr="009A36D2">
              <w:rPr>
                <w:color w:val="000000"/>
                <w:sz w:val="22"/>
                <w:szCs w:val="22"/>
              </w:rPr>
              <w:t>307</w:t>
            </w:r>
          </w:p>
        </w:tc>
        <w:tc>
          <w:tcPr>
            <w:tcW w:w="551" w:type="pct"/>
            <w:gridSpan w:val="2"/>
            <w:tcBorders>
              <w:top w:val="nil"/>
              <w:left w:val="nil"/>
              <w:bottom w:val="single" w:sz="4" w:space="0" w:color="auto"/>
              <w:right w:val="single" w:sz="4" w:space="0" w:color="auto"/>
            </w:tcBorders>
            <w:shd w:val="clear" w:color="auto" w:fill="auto"/>
            <w:noWrap/>
            <w:vAlign w:val="bottom"/>
          </w:tcPr>
          <w:p w14:paraId="5CC8CBB3" w14:textId="77777777" w:rsidR="009A36D2" w:rsidRPr="009A36D2" w:rsidRDefault="009A36D2" w:rsidP="00281A92">
            <w:pPr>
              <w:spacing w:before="0" w:after="0" w:line="240" w:lineRule="auto"/>
              <w:rPr>
                <w:color w:val="auto"/>
                <w:sz w:val="20"/>
                <w:szCs w:val="20"/>
              </w:rPr>
            </w:pPr>
            <w:r w:rsidRPr="009A36D2">
              <w:rPr>
                <w:color w:val="000000"/>
                <w:sz w:val="22"/>
                <w:szCs w:val="22"/>
              </w:rPr>
              <w:t>309</w:t>
            </w:r>
          </w:p>
        </w:tc>
        <w:tc>
          <w:tcPr>
            <w:tcW w:w="697" w:type="pct"/>
            <w:gridSpan w:val="3"/>
            <w:tcBorders>
              <w:top w:val="nil"/>
              <w:left w:val="nil"/>
              <w:bottom w:val="single" w:sz="4" w:space="0" w:color="auto"/>
              <w:right w:val="single" w:sz="4" w:space="0" w:color="auto"/>
            </w:tcBorders>
            <w:shd w:val="clear" w:color="auto" w:fill="auto"/>
            <w:noWrap/>
            <w:vAlign w:val="bottom"/>
          </w:tcPr>
          <w:p w14:paraId="1E3B692C" w14:textId="77777777" w:rsidR="009A36D2" w:rsidRPr="009A36D2" w:rsidRDefault="009A36D2" w:rsidP="00281A92">
            <w:pPr>
              <w:spacing w:before="0" w:after="0" w:line="240" w:lineRule="auto"/>
              <w:rPr>
                <w:color w:val="auto"/>
                <w:sz w:val="20"/>
                <w:szCs w:val="20"/>
              </w:rPr>
            </w:pPr>
            <w:r w:rsidRPr="009A36D2">
              <w:rPr>
                <w:color w:val="000000"/>
                <w:sz w:val="22"/>
                <w:szCs w:val="22"/>
              </w:rPr>
              <w:t>422</w:t>
            </w:r>
          </w:p>
        </w:tc>
        <w:tc>
          <w:tcPr>
            <w:tcW w:w="693" w:type="pct"/>
            <w:gridSpan w:val="2"/>
            <w:tcBorders>
              <w:top w:val="nil"/>
              <w:left w:val="nil"/>
              <w:bottom w:val="single" w:sz="4" w:space="0" w:color="auto"/>
              <w:right w:val="single" w:sz="4" w:space="0" w:color="auto"/>
            </w:tcBorders>
            <w:shd w:val="clear" w:color="auto" w:fill="auto"/>
            <w:noWrap/>
            <w:vAlign w:val="bottom"/>
          </w:tcPr>
          <w:p w14:paraId="683E79F9" w14:textId="77777777" w:rsidR="009A36D2" w:rsidRPr="009A36D2" w:rsidRDefault="009A36D2" w:rsidP="00281A92">
            <w:pPr>
              <w:spacing w:before="0" w:after="0" w:line="240" w:lineRule="auto"/>
              <w:rPr>
                <w:color w:val="auto"/>
                <w:sz w:val="20"/>
                <w:szCs w:val="20"/>
              </w:rPr>
            </w:pPr>
            <w:r w:rsidRPr="009A36D2">
              <w:rPr>
                <w:color w:val="000000"/>
                <w:sz w:val="22"/>
                <w:szCs w:val="22"/>
              </w:rPr>
              <w:t>438</w:t>
            </w:r>
          </w:p>
        </w:tc>
      </w:tr>
      <w:tr w:rsidR="009A36D2" w:rsidRPr="009A36D2" w14:paraId="684A0ED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2DA7FA3"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58" w:type="pct"/>
            <w:gridSpan w:val="3"/>
            <w:tcBorders>
              <w:top w:val="nil"/>
              <w:left w:val="nil"/>
              <w:bottom w:val="single" w:sz="4" w:space="0" w:color="auto"/>
              <w:right w:val="single" w:sz="4" w:space="0" w:color="auto"/>
            </w:tcBorders>
            <w:shd w:val="clear" w:color="auto" w:fill="auto"/>
            <w:noWrap/>
            <w:vAlign w:val="bottom"/>
          </w:tcPr>
          <w:p w14:paraId="035F67A9" w14:textId="77777777" w:rsidR="009A36D2" w:rsidRPr="009A36D2" w:rsidRDefault="009A36D2" w:rsidP="00281A92">
            <w:pPr>
              <w:spacing w:before="0" w:after="0" w:line="240" w:lineRule="auto"/>
              <w:rPr>
                <w:color w:val="auto"/>
                <w:sz w:val="20"/>
                <w:szCs w:val="20"/>
              </w:rPr>
            </w:pPr>
            <w:r w:rsidRPr="009A36D2">
              <w:rPr>
                <w:color w:val="000000"/>
                <w:sz w:val="22"/>
                <w:szCs w:val="22"/>
              </w:rPr>
              <w:t>456</w:t>
            </w:r>
          </w:p>
        </w:tc>
        <w:tc>
          <w:tcPr>
            <w:tcW w:w="660" w:type="pct"/>
            <w:gridSpan w:val="3"/>
            <w:tcBorders>
              <w:top w:val="nil"/>
              <w:left w:val="nil"/>
              <w:bottom w:val="single" w:sz="4" w:space="0" w:color="auto"/>
              <w:right w:val="single" w:sz="4" w:space="0" w:color="auto"/>
            </w:tcBorders>
            <w:shd w:val="clear" w:color="auto" w:fill="auto"/>
            <w:noWrap/>
            <w:vAlign w:val="bottom"/>
          </w:tcPr>
          <w:p w14:paraId="7E1870E5" w14:textId="77777777" w:rsidR="009A36D2" w:rsidRPr="009A36D2" w:rsidRDefault="009A36D2" w:rsidP="00281A92">
            <w:pPr>
              <w:spacing w:before="0" w:after="0" w:line="240" w:lineRule="auto"/>
              <w:rPr>
                <w:color w:val="auto"/>
                <w:sz w:val="20"/>
                <w:szCs w:val="20"/>
              </w:rPr>
            </w:pPr>
            <w:r w:rsidRPr="009A36D2">
              <w:rPr>
                <w:color w:val="000000"/>
                <w:sz w:val="22"/>
                <w:szCs w:val="22"/>
              </w:rPr>
              <w:t>337</w:t>
            </w:r>
          </w:p>
        </w:tc>
        <w:tc>
          <w:tcPr>
            <w:tcW w:w="540" w:type="pct"/>
            <w:gridSpan w:val="2"/>
            <w:tcBorders>
              <w:top w:val="nil"/>
              <w:left w:val="nil"/>
              <w:bottom w:val="single" w:sz="4" w:space="0" w:color="auto"/>
              <w:right w:val="single" w:sz="4" w:space="0" w:color="auto"/>
            </w:tcBorders>
            <w:shd w:val="clear" w:color="auto" w:fill="auto"/>
            <w:noWrap/>
            <w:vAlign w:val="bottom"/>
          </w:tcPr>
          <w:p w14:paraId="0AAFEB5E" w14:textId="77777777" w:rsidR="009A36D2" w:rsidRPr="009A36D2" w:rsidRDefault="009A36D2" w:rsidP="00281A92">
            <w:pPr>
              <w:spacing w:before="0" w:after="0" w:line="240" w:lineRule="auto"/>
              <w:rPr>
                <w:color w:val="auto"/>
                <w:sz w:val="20"/>
                <w:szCs w:val="20"/>
              </w:rPr>
            </w:pPr>
            <w:r w:rsidRPr="009A36D2">
              <w:rPr>
                <w:color w:val="000000"/>
                <w:sz w:val="22"/>
                <w:szCs w:val="22"/>
              </w:rPr>
              <w:t>240</w:t>
            </w:r>
          </w:p>
        </w:tc>
        <w:tc>
          <w:tcPr>
            <w:tcW w:w="551" w:type="pct"/>
            <w:gridSpan w:val="2"/>
            <w:tcBorders>
              <w:top w:val="nil"/>
              <w:left w:val="nil"/>
              <w:bottom w:val="single" w:sz="4" w:space="0" w:color="auto"/>
              <w:right w:val="single" w:sz="4" w:space="0" w:color="auto"/>
            </w:tcBorders>
            <w:shd w:val="clear" w:color="auto" w:fill="auto"/>
            <w:noWrap/>
            <w:vAlign w:val="bottom"/>
          </w:tcPr>
          <w:p w14:paraId="19E53776" w14:textId="77777777" w:rsidR="009A36D2" w:rsidRPr="009A36D2" w:rsidRDefault="009A36D2" w:rsidP="00281A92">
            <w:pPr>
              <w:spacing w:before="0" w:after="0" w:line="240" w:lineRule="auto"/>
              <w:rPr>
                <w:color w:val="auto"/>
                <w:sz w:val="20"/>
                <w:szCs w:val="20"/>
              </w:rPr>
            </w:pPr>
            <w:r w:rsidRPr="009A36D2">
              <w:rPr>
                <w:color w:val="000000"/>
                <w:sz w:val="22"/>
                <w:szCs w:val="22"/>
              </w:rPr>
              <w:t>232</w:t>
            </w:r>
          </w:p>
        </w:tc>
        <w:tc>
          <w:tcPr>
            <w:tcW w:w="697" w:type="pct"/>
            <w:gridSpan w:val="3"/>
            <w:tcBorders>
              <w:top w:val="nil"/>
              <w:left w:val="nil"/>
              <w:bottom w:val="single" w:sz="4" w:space="0" w:color="auto"/>
              <w:right w:val="single" w:sz="4" w:space="0" w:color="auto"/>
            </w:tcBorders>
            <w:shd w:val="clear" w:color="auto" w:fill="auto"/>
            <w:noWrap/>
            <w:vAlign w:val="bottom"/>
          </w:tcPr>
          <w:p w14:paraId="098D7A32" w14:textId="77777777" w:rsidR="009A36D2" w:rsidRPr="009A36D2" w:rsidRDefault="009A36D2" w:rsidP="00281A92">
            <w:pPr>
              <w:spacing w:before="0" w:after="0" w:line="240" w:lineRule="auto"/>
              <w:rPr>
                <w:color w:val="auto"/>
                <w:sz w:val="20"/>
                <w:szCs w:val="20"/>
              </w:rPr>
            </w:pPr>
            <w:r w:rsidRPr="009A36D2">
              <w:rPr>
                <w:color w:val="000000"/>
                <w:sz w:val="22"/>
                <w:szCs w:val="22"/>
              </w:rPr>
              <w:t>373</w:t>
            </w:r>
          </w:p>
        </w:tc>
        <w:tc>
          <w:tcPr>
            <w:tcW w:w="693" w:type="pct"/>
            <w:gridSpan w:val="2"/>
            <w:tcBorders>
              <w:top w:val="nil"/>
              <w:left w:val="nil"/>
              <w:bottom w:val="single" w:sz="4" w:space="0" w:color="auto"/>
              <w:right w:val="single" w:sz="4" w:space="0" w:color="auto"/>
            </w:tcBorders>
            <w:shd w:val="clear" w:color="auto" w:fill="auto"/>
            <w:noWrap/>
            <w:vAlign w:val="bottom"/>
          </w:tcPr>
          <w:p w14:paraId="139578DA" w14:textId="77777777" w:rsidR="009A36D2" w:rsidRPr="009A36D2" w:rsidRDefault="009A36D2" w:rsidP="00281A92">
            <w:pPr>
              <w:spacing w:before="0" w:after="0" w:line="240" w:lineRule="auto"/>
              <w:rPr>
                <w:color w:val="auto"/>
                <w:sz w:val="20"/>
                <w:szCs w:val="20"/>
              </w:rPr>
            </w:pPr>
            <w:r w:rsidRPr="009A36D2">
              <w:rPr>
                <w:color w:val="000000"/>
                <w:sz w:val="22"/>
                <w:szCs w:val="22"/>
              </w:rPr>
              <w:t>339</w:t>
            </w:r>
          </w:p>
        </w:tc>
      </w:tr>
      <w:tr w:rsidR="009A36D2" w:rsidRPr="009A36D2" w14:paraId="3FB1F75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C296C61"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58" w:type="pct"/>
            <w:gridSpan w:val="3"/>
            <w:tcBorders>
              <w:top w:val="nil"/>
              <w:left w:val="nil"/>
              <w:bottom w:val="single" w:sz="4" w:space="0" w:color="auto"/>
              <w:right w:val="single" w:sz="4" w:space="0" w:color="auto"/>
            </w:tcBorders>
            <w:shd w:val="clear" w:color="auto" w:fill="auto"/>
            <w:noWrap/>
            <w:vAlign w:val="bottom"/>
          </w:tcPr>
          <w:p w14:paraId="5C2FD09A" w14:textId="77777777" w:rsidR="009A36D2" w:rsidRPr="009A36D2" w:rsidRDefault="009A36D2" w:rsidP="00281A92">
            <w:pPr>
              <w:spacing w:before="0" w:after="0" w:line="240" w:lineRule="auto"/>
              <w:rPr>
                <w:color w:val="auto"/>
                <w:sz w:val="20"/>
                <w:szCs w:val="20"/>
              </w:rPr>
            </w:pPr>
            <w:r w:rsidRPr="009A36D2">
              <w:rPr>
                <w:color w:val="000000"/>
                <w:sz w:val="22"/>
                <w:szCs w:val="22"/>
              </w:rPr>
              <w:t>379</w:t>
            </w:r>
          </w:p>
        </w:tc>
        <w:tc>
          <w:tcPr>
            <w:tcW w:w="660" w:type="pct"/>
            <w:gridSpan w:val="3"/>
            <w:tcBorders>
              <w:top w:val="nil"/>
              <w:left w:val="nil"/>
              <w:bottom w:val="single" w:sz="4" w:space="0" w:color="auto"/>
              <w:right w:val="single" w:sz="4" w:space="0" w:color="auto"/>
            </w:tcBorders>
            <w:shd w:val="clear" w:color="auto" w:fill="auto"/>
            <w:noWrap/>
            <w:vAlign w:val="bottom"/>
          </w:tcPr>
          <w:p w14:paraId="31629E74" w14:textId="77777777" w:rsidR="009A36D2" w:rsidRPr="009A36D2" w:rsidRDefault="009A36D2" w:rsidP="00281A92">
            <w:pPr>
              <w:spacing w:before="0" w:after="0" w:line="240" w:lineRule="auto"/>
              <w:rPr>
                <w:color w:val="auto"/>
                <w:sz w:val="20"/>
                <w:szCs w:val="20"/>
              </w:rPr>
            </w:pPr>
            <w:r w:rsidRPr="009A36D2">
              <w:rPr>
                <w:color w:val="000000"/>
                <w:sz w:val="22"/>
                <w:szCs w:val="22"/>
              </w:rPr>
              <w:t>354</w:t>
            </w:r>
          </w:p>
        </w:tc>
        <w:tc>
          <w:tcPr>
            <w:tcW w:w="540" w:type="pct"/>
            <w:gridSpan w:val="2"/>
            <w:tcBorders>
              <w:top w:val="nil"/>
              <w:left w:val="nil"/>
              <w:bottom w:val="single" w:sz="4" w:space="0" w:color="auto"/>
              <w:right w:val="single" w:sz="4" w:space="0" w:color="auto"/>
            </w:tcBorders>
            <w:shd w:val="clear" w:color="auto" w:fill="auto"/>
            <w:noWrap/>
            <w:vAlign w:val="bottom"/>
          </w:tcPr>
          <w:p w14:paraId="2F65A14E" w14:textId="77777777" w:rsidR="009A36D2" w:rsidRPr="009A36D2" w:rsidRDefault="009A36D2" w:rsidP="00281A92">
            <w:pPr>
              <w:spacing w:before="0" w:after="0" w:line="240" w:lineRule="auto"/>
              <w:rPr>
                <w:color w:val="auto"/>
                <w:sz w:val="20"/>
                <w:szCs w:val="20"/>
              </w:rPr>
            </w:pPr>
            <w:r w:rsidRPr="009A36D2">
              <w:rPr>
                <w:color w:val="000000"/>
                <w:sz w:val="22"/>
                <w:szCs w:val="22"/>
              </w:rPr>
              <w:t>268</w:t>
            </w:r>
          </w:p>
        </w:tc>
        <w:tc>
          <w:tcPr>
            <w:tcW w:w="551" w:type="pct"/>
            <w:gridSpan w:val="2"/>
            <w:tcBorders>
              <w:top w:val="nil"/>
              <w:left w:val="nil"/>
              <w:bottom w:val="single" w:sz="4" w:space="0" w:color="auto"/>
              <w:right w:val="single" w:sz="4" w:space="0" w:color="auto"/>
            </w:tcBorders>
            <w:shd w:val="clear" w:color="auto" w:fill="auto"/>
            <w:noWrap/>
            <w:vAlign w:val="bottom"/>
          </w:tcPr>
          <w:p w14:paraId="68EA0D04" w14:textId="77777777" w:rsidR="009A36D2" w:rsidRPr="009A36D2" w:rsidRDefault="009A36D2" w:rsidP="00281A92">
            <w:pPr>
              <w:spacing w:before="0" w:after="0" w:line="240" w:lineRule="auto"/>
              <w:rPr>
                <w:color w:val="auto"/>
                <w:sz w:val="20"/>
                <w:szCs w:val="20"/>
              </w:rPr>
            </w:pPr>
            <w:r w:rsidRPr="009A36D2">
              <w:rPr>
                <w:color w:val="000000"/>
                <w:sz w:val="22"/>
                <w:szCs w:val="22"/>
              </w:rPr>
              <w:t>284</w:t>
            </w:r>
          </w:p>
        </w:tc>
        <w:tc>
          <w:tcPr>
            <w:tcW w:w="697" w:type="pct"/>
            <w:gridSpan w:val="3"/>
            <w:tcBorders>
              <w:top w:val="nil"/>
              <w:left w:val="nil"/>
              <w:bottom w:val="single" w:sz="4" w:space="0" w:color="auto"/>
              <w:right w:val="single" w:sz="4" w:space="0" w:color="auto"/>
            </w:tcBorders>
            <w:shd w:val="clear" w:color="auto" w:fill="auto"/>
            <w:noWrap/>
            <w:vAlign w:val="bottom"/>
          </w:tcPr>
          <w:p w14:paraId="760250EE" w14:textId="77777777" w:rsidR="009A36D2" w:rsidRPr="009A36D2" w:rsidRDefault="009A36D2" w:rsidP="00281A92">
            <w:pPr>
              <w:spacing w:before="0" w:after="0" w:line="240" w:lineRule="auto"/>
              <w:rPr>
                <w:color w:val="auto"/>
                <w:sz w:val="20"/>
                <w:szCs w:val="20"/>
              </w:rPr>
            </w:pPr>
            <w:r w:rsidRPr="009A36D2">
              <w:rPr>
                <w:color w:val="000000"/>
                <w:sz w:val="22"/>
                <w:szCs w:val="22"/>
              </w:rPr>
              <w:t>376</w:t>
            </w:r>
          </w:p>
        </w:tc>
        <w:tc>
          <w:tcPr>
            <w:tcW w:w="693" w:type="pct"/>
            <w:gridSpan w:val="2"/>
            <w:tcBorders>
              <w:top w:val="nil"/>
              <w:left w:val="nil"/>
              <w:bottom w:val="single" w:sz="4" w:space="0" w:color="auto"/>
              <w:right w:val="single" w:sz="4" w:space="0" w:color="auto"/>
            </w:tcBorders>
            <w:shd w:val="clear" w:color="auto" w:fill="auto"/>
            <w:noWrap/>
            <w:vAlign w:val="bottom"/>
          </w:tcPr>
          <w:p w14:paraId="51E7ABAD" w14:textId="77777777" w:rsidR="009A36D2" w:rsidRPr="009A36D2" w:rsidRDefault="009A36D2" w:rsidP="00281A92">
            <w:pPr>
              <w:spacing w:before="0" w:after="0" w:line="240" w:lineRule="auto"/>
              <w:rPr>
                <w:color w:val="auto"/>
                <w:sz w:val="20"/>
                <w:szCs w:val="20"/>
              </w:rPr>
            </w:pPr>
            <w:r w:rsidRPr="009A36D2">
              <w:rPr>
                <w:color w:val="000000"/>
                <w:sz w:val="22"/>
                <w:szCs w:val="22"/>
              </w:rPr>
              <w:t>381</w:t>
            </w:r>
          </w:p>
        </w:tc>
      </w:tr>
      <w:tr w:rsidR="009A36D2" w:rsidRPr="009A36D2" w14:paraId="368C9066"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96BC417"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58" w:type="pct"/>
            <w:gridSpan w:val="3"/>
            <w:tcBorders>
              <w:top w:val="nil"/>
              <w:left w:val="nil"/>
              <w:bottom w:val="single" w:sz="4" w:space="0" w:color="auto"/>
              <w:right w:val="single" w:sz="4" w:space="0" w:color="auto"/>
            </w:tcBorders>
            <w:shd w:val="clear" w:color="auto" w:fill="auto"/>
            <w:noWrap/>
            <w:vAlign w:val="bottom"/>
          </w:tcPr>
          <w:p w14:paraId="264E7242" w14:textId="77777777" w:rsidR="009A36D2" w:rsidRPr="009A36D2" w:rsidRDefault="009A36D2" w:rsidP="00281A92">
            <w:pPr>
              <w:spacing w:before="0" w:after="0" w:line="240" w:lineRule="auto"/>
              <w:rPr>
                <w:color w:val="auto"/>
                <w:sz w:val="20"/>
                <w:szCs w:val="20"/>
              </w:rPr>
            </w:pPr>
            <w:r w:rsidRPr="009A36D2">
              <w:rPr>
                <w:color w:val="000000"/>
                <w:sz w:val="22"/>
                <w:szCs w:val="22"/>
              </w:rPr>
              <w:t>651</w:t>
            </w:r>
          </w:p>
        </w:tc>
        <w:tc>
          <w:tcPr>
            <w:tcW w:w="660" w:type="pct"/>
            <w:gridSpan w:val="3"/>
            <w:tcBorders>
              <w:top w:val="nil"/>
              <w:left w:val="nil"/>
              <w:bottom w:val="single" w:sz="4" w:space="0" w:color="auto"/>
              <w:right w:val="single" w:sz="4" w:space="0" w:color="auto"/>
            </w:tcBorders>
            <w:shd w:val="clear" w:color="auto" w:fill="auto"/>
            <w:noWrap/>
            <w:vAlign w:val="bottom"/>
          </w:tcPr>
          <w:p w14:paraId="2A8227E4" w14:textId="77777777" w:rsidR="009A36D2" w:rsidRPr="009A36D2" w:rsidRDefault="009A36D2" w:rsidP="00281A92">
            <w:pPr>
              <w:spacing w:before="0" w:after="0" w:line="240" w:lineRule="auto"/>
              <w:rPr>
                <w:color w:val="auto"/>
                <w:sz w:val="20"/>
                <w:szCs w:val="20"/>
              </w:rPr>
            </w:pPr>
            <w:r w:rsidRPr="009A36D2">
              <w:rPr>
                <w:color w:val="000000"/>
                <w:sz w:val="22"/>
                <w:szCs w:val="22"/>
              </w:rPr>
              <w:t>396</w:t>
            </w:r>
          </w:p>
        </w:tc>
        <w:tc>
          <w:tcPr>
            <w:tcW w:w="540" w:type="pct"/>
            <w:gridSpan w:val="2"/>
            <w:tcBorders>
              <w:top w:val="nil"/>
              <w:left w:val="nil"/>
              <w:bottom w:val="single" w:sz="4" w:space="0" w:color="auto"/>
              <w:right w:val="single" w:sz="4" w:space="0" w:color="auto"/>
            </w:tcBorders>
            <w:shd w:val="clear" w:color="auto" w:fill="auto"/>
            <w:noWrap/>
            <w:vAlign w:val="bottom"/>
          </w:tcPr>
          <w:p w14:paraId="5E412E77" w14:textId="77777777" w:rsidR="009A36D2" w:rsidRPr="009A36D2" w:rsidRDefault="009A36D2" w:rsidP="00281A92">
            <w:pPr>
              <w:spacing w:before="0" w:after="0" w:line="240" w:lineRule="auto"/>
              <w:rPr>
                <w:color w:val="auto"/>
                <w:sz w:val="20"/>
                <w:szCs w:val="20"/>
              </w:rPr>
            </w:pPr>
            <w:r w:rsidRPr="009A36D2">
              <w:rPr>
                <w:color w:val="000000"/>
                <w:sz w:val="22"/>
                <w:szCs w:val="22"/>
              </w:rPr>
              <w:t>285</w:t>
            </w:r>
          </w:p>
        </w:tc>
        <w:tc>
          <w:tcPr>
            <w:tcW w:w="551" w:type="pct"/>
            <w:gridSpan w:val="2"/>
            <w:tcBorders>
              <w:top w:val="nil"/>
              <w:left w:val="nil"/>
              <w:bottom w:val="single" w:sz="4" w:space="0" w:color="auto"/>
              <w:right w:val="single" w:sz="4" w:space="0" w:color="auto"/>
            </w:tcBorders>
            <w:shd w:val="clear" w:color="auto" w:fill="auto"/>
            <w:noWrap/>
            <w:vAlign w:val="bottom"/>
          </w:tcPr>
          <w:p w14:paraId="05A086DE" w14:textId="77777777" w:rsidR="009A36D2" w:rsidRPr="009A36D2" w:rsidRDefault="009A36D2" w:rsidP="00281A92">
            <w:pPr>
              <w:spacing w:before="0" w:after="0" w:line="240" w:lineRule="auto"/>
              <w:rPr>
                <w:color w:val="auto"/>
                <w:sz w:val="20"/>
                <w:szCs w:val="20"/>
              </w:rPr>
            </w:pPr>
            <w:r w:rsidRPr="009A36D2">
              <w:rPr>
                <w:color w:val="000000"/>
                <w:sz w:val="22"/>
                <w:szCs w:val="22"/>
              </w:rPr>
              <w:t>223</w:t>
            </w:r>
          </w:p>
        </w:tc>
        <w:tc>
          <w:tcPr>
            <w:tcW w:w="697" w:type="pct"/>
            <w:gridSpan w:val="3"/>
            <w:tcBorders>
              <w:top w:val="nil"/>
              <w:left w:val="nil"/>
              <w:bottom w:val="single" w:sz="4" w:space="0" w:color="auto"/>
              <w:right w:val="single" w:sz="4" w:space="0" w:color="auto"/>
            </w:tcBorders>
            <w:shd w:val="clear" w:color="auto" w:fill="auto"/>
            <w:noWrap/>
            <w:vAlign w:val="bottom"/>
          </w:tcPr>
          <w:p w14:paraId="7A629AE2" w14:textId="77777777" w:rsidR="009A36D2" w:rsidRPr="009A36D2" w:rsidRDefault="009A36D2" w:rsidP="00281A92">
            <w:pPr>
              <w:spacing w:before="0" w:after="0" w:line="240" w:lineRule="auto"/>
              <w:rPr>
                <w:color w:val="auto"/>
                <w:sz w:val="20"/>
                <w:szCs w:val="20"/>
              </w:rPr>
            </w:pPr>
            <w:r w:rsidRPr="009A36D2">
              <w:rPr>
                <w:color w:val="000000"/>
                <w:sz w:val="22"/>
                <w:szCs w:val="22"/>
              </w:rPr>
              <w:t>341</w:t>
            </w:r>
          </w:p>
        </w:tc>
        <w:tc>
          <w:tcPr>
            <w:tcW w:w="693" w:type="pct"/>
            <w:gridSpan w:val="2"/>
            <w:tcBorders>
              <w:top w:val="nil"/>
              <w:left w:val="nil"/>
              <w:bottom w:val="single" w:sz="4" w:space="0" w:color="auto"/>
              <w:right w:val="single" w:sz="4" w:space="0" w:color="auto"/>
            </w:tcBorders>
            <w:shd w:val="clear" w:color="auto" w:fill="auto"/>
            <w:noWrap/>
            <w:vAlign w:val="bottom"/>
          </w:tcPr>
          <w:p w14:paraId="33DCBEB2" w14:textId="77777777" w:rsidR="009A36D2" w:rsidRPr="009A36D2" w:rsidRDefault="009A36D2" w:rsidP="00281A92">
            <w:pPr>
              <w:spacing w:before="0" w:after="0" w:line="240" w:lineRule="auto"/>
              <w:rPr>
                <w:color w:val="auto"/>
                <w:sz w:val="20"/>
                <w:szCs w:val="20"/>
              </w:rPr>
            </w:pPr>
            <w:r w:rsidRPr="009A36D2">
              <w:rPr>
                <w:color w:val="000000"/>
                <w:sz w:val="22"/>
                <w:szCs w:val="22"/>
              </w:rPr>
              <w:t>626</w:t>
            </w:r>
          </w:p>
        </w:tc>
      </w:tr>
      <w:tr w:rsidR="009A36D2" w:rsidRPr="009A36D2" w14:paraId="1A407AF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98C7BCF"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58" w:type="pct"/>
            <w:gridSpan w:val="3"/>
            <w:tcBorders>
              <w:top w:val="nil"/>
              <w:left w:val="nil"/>
              <w:bottom w:val="single" w:sz="4" w:space="0" w:color="auto"/>
              <w:right w:val="single" w:sz="4" w:space="0" w:color="auto"/>
            </w:tcBorders>
            <w:shd w:val="clear" w:color="auto" w:fill="auto"/>
            <w:noWrap/>
            <w:vAlign w:val="bottom"/>
          </w:tcPr>
          <w:p w14:paraId="2D769D7A" w14:textId="77777777" w:rsidR="009A36D2" w:rsidRPr="009A36D2" w:rsidRDefault="009A36D2" w:rsidP="00281A92">
            <w:pPr>
              <w:spacing w:before="0" w:after="0" w:line="240" w:lineRule="auto"/>
              <w:rPr>
                <w:color w:val="auto"/>
                <w:sz w:val="20"/>
                <w:szCs w:val="20"/>
              </w:rPr>
            </w:pPr>
            <w:r w:rsidRPr="009A36D2">
              <w:rPr>
                <w:color w:val="000000"/>
                <w:sz w:val="22"/>
                <w:szCs w:val="22"/>
              </w:rPr>
              <w:t>513</w:t>
            </w:r>
          </w:p>
        </w:tc>
        <w:tc>
          <w:tcPr>
            <w:tcW w:w="660" w:type="pct"/>
            <w:gridSpan w:val="3"/>
            <w:tcBorders>
              <w:top w:val="nil"/>
              <w:left w:val="nil"/>
              <w:bottom w:val="single" w:sz="4" w:space="0" w:color="auto"/>
              <w:right w:val="single" w:sz="4" w:space="0" w:color="auto"/>
            </w:tcBorders>
            <w:shd w:val="clear" w:color="auto" w:fill="auto"/>
            <w:noWrap/>
            <w:vAlign w:val="bottom"/>
          </w:tcPr>
          <w:p w14:paraId="3A840CAA" w14:textId="77777777" w:rsidR="009A36D2" w:rsidRPr="009A36D2" w:rsidRDefault="009A36D2" w:rsidP="00281A92">
            <w:pPr>
              <w:spacing w:before="0" w:after="0" w:line="240" w:lineRule="auto"/>
              <w:rPr>
                <w:color w:val="auto"/>
                <w:sz w:val="20"/>
                <w:szCs w:val="20"/>
              </w:rPr>
            </w:pPr>
            <w:r w:rsidRPr="009A36D2">
              <w:rPr>
                <w:color w:val="000000"/>
                <w:sz w:val="22"/>
                <w:szCs w:val="22"/>
              </w:rPr>
              <w:t>478</w:t>
            </w:r>
          </w:p>
        </w:tc>
        <w:tc>
          <w:tcPr>
            <w:tcW w:w="540" w:type="pct"/>
            <w:gridSpan w:val="2"/>
            <w:tcBorders>
              <w:top w:val="nil"/>
              <w:left w:val="nil"/>
              <w:bottom w:val="single" w:sz="4" w:space="0" w:color="auto"/>
              <w:right w:val="single" w:sz="4" w:space="0" w:color="auto"/>
            </w:tcBorders>
            <w:shd w:val="clear" w:color="auto" w:fill="auto"/>
            <w:noWrap/>
            <w:vAlign w:val="bottom"/>
          </w:tcPr>
          <w:p w14:paraId="76E6AA33" w14:textId="77777777" w:rsidR="009A36D2" w:rsidRPr="009A36D2" w:rsidRDefault="009A36D2" w:rsidP="00281A92">
            <w:pPr>
              <w:spacing w:before="0" w:after="0" w:line="240" w:lineRule="auto"/>
              <w:rPr>
                <w:color w:val="auto"/>
                <w:sz w:val="20"/>
                <w:szCs w:val="20"/>
              </w:rPr>
            </w:pPr>
            <w:r w:rsidRPr="009A36D2">
              <w:rPr>
                <w:color w:val="000000"/>
                <w:sz w:val="22"/>
                <w:szCs w:val="22"/>
              </w:rPr>
              <w:t>403</w:t>
            </w:r>
          </w:p>
        </w:tc>
        <w:tc>
          <w:tcPr>
            <w:tcW w:w="551" w:type="pct"/>
            <w:gridSpan w:val="2"/>
            <w:tcBorders>
              <w:top w:val="nil"/>
              <w:left w:val="nil"/>
              <w:bottom w:val="single" w:sz="4" w:space="0" w:color="auto"/>
              <w:right w:val="single" w:sz="4" w:space="0" w:color="auto"/>
            </w:tcBorders>
            <w:shd w:val="clear" w:color="auto" w:fill="auto"/>
            <w:noWrap/>
            <w:vAlign w:val="bottom"/>
          </w:tcPr>
          <w:p w14:paraId="0A1C5B92" w14:textId="77777777" w:rsidR="009A36D2" w:rsidRPr="009A36D2" w:rsidRDefault="009A36D2" w:rsidP="00281A92">
            <w:pPr>
              <w:spacing w:before="0" w:after="0" w:line="240" w:lineRule="auto"/>
              <w:rPr>
                <w:color w:val="auto"/>
                <w:sz w:val="20"/>
                <w:szCs w:val="20"/>
              </w:rPr>
            </w:pPr>
            <w:r w:rsidRPr="009A36D2">
              <w:rPr>
                <w:color w:val="000000"/>
                <w:sz w:val="22"/>
                <w:szCs w:val="22"/>
              </w:rPr>
              <w:t>479</w:t>
            </w:r>
          </w:p>
        </w:tc>
        <w:tc>
          <w:tcPr>
            <w:tcW w:w="697" w:type="pct"/>
            <w:gridSpan w:val="3"/>
            <w:tcBorders>
              <w:top w:val="nil"/>
              <w:left w:val="nil"/>
              <w:bottom w:val="single" w:sz="4" w:space="0" w:color="auto"/>
              <w:right w:val="single" w:sz="4" w:space="0" w:color="auto"/>
            </w:tcBorders>
            <w:shd w:val="clear" w:color="auto" w:fill="auto"/>
            <w:noWrap/>
            <w:vAlign w:val="bottom"/>
          </w:tcPr>
          <w:p w14:paraId="7CF19905" w14:textId="77777777" w:rsidR="009A36D2" w:rsidRPr="009A36D2" w:rsidRDefault="009A36D2" w:rsidP="00281A92">
            <w:pPr>
              <w:spacing w:before="0" w:after="0" w:line="240" w:lineRule="auto"/>
              <w:rPr>
                <w:color w:val="auto"/>
                <w:sz w:val="20"/>
                <w:szCs w:val="20"/>
              </w:rPr>
            </w:pPr>
            <w:r w:rsidRPr="009A36D2">
              <w:rPr>
                <w:color w:val="000000"/>
                <w:sz w:val="22"/>
                <w:szCs w:val="22"/>
              </w:rPr>
              <w:t>596</w:t>
            </w:r>
          </w:p>
        </w:tc>
        <w:tc>
          <w:tcPr>
            <w:tcW w:w="693" w:type="pct"/>
            <w:gridSpan w:val="2"/>
            <w:tcBorders>
              <w:top w:val="nil"/>
              <w:left w:val="nil"/>
              <w:bottom w:val="single" w:sz="4" w:space="0" w:color="auto"/>
              <w:right w:val="single" w:sz="4" w:space="0" w:color="auto"/>
            </w:tcBorders>
            <w:shd w:val="clear" w:color="auto" w:fill="auto"/>
            <w:noWrap/>
            <w:vAlign w:val="bottom"/>
          </w:tcPr>
          <w:p w14:paraId="5B8862BB" w14:textId="77777777" w:rsidR="009A36D2" w:rsidRPr="009A36D2" w:rsidRDefault="009A36D2" w:rsidP="00281A92">
            <w:pPr>
              <w:spacing w:before="0" w:after="0" w:line="240" w:lineRule="auto"/>
              <w:rPr>
                <w:color w:val="auto"/>
                <w:sz w:val="20"/>
                <w:szCs w:val="20"/>
              </w:rPr>
            </w:pPr>
            <w:r w:rsidRPr="009A36D2">
              <w:rPr>
                <w:color w:val="000000"/>
                <w:sz w:val="22"/>
                <w:szCs w:val="22"/>
              </w:rPr>
              <w:t>634</w:t>
            </w:r>
          </w:p>
        </w:tc>
      </w:tr>
      <w:tr w:rsidR="009A36D2" w:rsidRPr="009A36D2" w14:paraId="2CFAC6B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6BA7089"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58" w:type="pct"/>
            <w:gridSpan w:val="3"/>
            <w:tcBorders>
              <w:top w:val="nil"/>
              <w:left w:val="nil"/>
              <w:bottom w:val="single" w:sz="4" w:space="0" w:color="auto"/>
              <w:right w:val="single" w:sz="4" w:space="0" w:color="auto"/>
            </w:tcBorders>
            <w:shd w:val="clear" w:color="auto" w:fill="auto"/>
            <w:noWrap/>
            <w:vAlign w:val="bottom"/>
          </w:tcPr>
          <w:p w14:paraId="297BF596" w14:textId="77777777" w:rsidR="009A36D2" w:rsidRPr="009A36D2" w:rsidRDefault="009A36D2" w:rsidP="00281A92">
            <w:pPr>
              <w:spacing w:before="0" w:after="0" w:line="240" w:lineRule="auto"/>
              <w:rPr>
                <w:color w:val="auto"/>
                <w:sz w:val="20"/>
                <w:szCs w:val="20"/>
              </w:rPr>
            </w:pPr>
            <w:r w:rsidRPr="009A36D2">
              <w:rPr>
                <w:color w:val="000000"/>
                <w:sz w:val="22"/>
                <w:szCs w:val="22"/>
              </w:rPr>
              <w:t>317</w:t>
            </w:r>
          </w:p>
        </w:tc>
        <w:tc>
          <w:tcPr>
            <w:tcW w:w="660" w:type="pct"/>
            <w:gridSpan w:val="3"/>
            <w:tcBorders>
              <w:top w:val="nil"/>
              <w:left w:val="nil"/>
              <w:bottom w:val="single" w:sz="4" w:space="0" w:color="auto"/>
              <w:right w:val="single" w:sz="4" w:space="0" w:color="auto"/>
            </w:tcBorders>
            <w:shd w:val="clear" w:color="auto" w:fill="auto"/>
            <w:noWrap/>
            <w:vAlign w:val="bottom"/>
          </w:tcPr>
          <w:p w14:paraId="13894FB7" w14:textId="77777777" w:rsidR="009A36D2" w:rsidRPr="009A36D2" w:rsidRDefault="009A36D2" w:rsidP="00281A92">
            <w:pPr>
              <w:spacing w:before="0" w:after="0" w:line="240" w:lineRule="auto"/>
              <w:rPr>
                <w:color w:val="auto"/>
                <w:sz w:val="20"/>
                <w:szCs w:val="20"/>
              </w:rPr>
            </w:pPr>
            <w:r w:rsidRPr="009A36D2">
              <w:rPr>
                <w:color w:val="000000"/>
                <w:sz w:val="22"/>
                <w:szCs w:val="22"/>
              </w:rPr>
              <w:t>299</w:t>
            </w:r>
          </w:p>
        </w:tc>
        <w:tc>
          <w:tcPr>
            <w:tcW w:w="540" w:type="pct"/>
            <w:gridSpan w:val="2"/>
            <w:tcBorders>
              <w:top w:val="nil"/>
              <w:left w:val="nil"/>
              <w:bottom w:val="single" w:sz="4" w:space="0" w:color="auto"/>
              <w:right w:val="single" w:sz="4" w:space="0" w:color="auto"/>
            </w:tcBorders>
            <w:shd w:val="clear" w:color="auto" w:fill="auto"/>
            <w:noWrap/>
            <w:vAlign w:val="bottom"/>
          </w:tcPr>
          <w:p w14:paraId="15C3D941" w14:textId="77777777" w:rsidR="009A36D2" w:rsidRPr="009A36D2" w:rsidRDefault="009A36D2" w:rsidP="00281A92">
            <w:pPr>
              <w:spacing w:before="0" w:after="0" w:line="240" w:lineRule="auto"/>
              <w:rPr>
                <w:color w:val="auto"/>
                <w:sz w:val="20"/>
                <w:szCs w:val="20"/>
              </w:rPr>
            </w:pPr>
            <w:r w:rsidRPr="009A36D2">
              <w:rPr>
                <w:color w:val="000000"/>
                <w:sz w:val="22"/>
                <w:szCs w:val="22"/>
              </w:rPr>
              <w:t>193</w:t>
            </w:r>
          </w:p>
        </w:tc>
        <w:tc>
          <w:tcPr>
            <w:tcW w:w="551" w:type="pct"/>
            <w:gridSpan w:val="2"/>
            <w:tcBorders>
              <w:top w:val="nil"/>
              <w:left w:val="nil"/>
              <w:bottom w:val="single" w:sz="4" w:space="0" w:color="auto"/>
              <w:right w:val="single" w:sz="4" w:space="0" w:color="auto"/>
            </w:tcBorders>
            <w:shd w:val="clear" w:color="auto" w:fill="auto"/>
            <w:noWrap/>
            <w:vAlign w:val="bottom"/>
          </w:tcPr>
          <w:p w14:paraId="157247D1" w14:textId="77777777" w:rsidR="009A36D2" w:rsidRPr="009A36D2" w:rsidRDefault="009A36D2" w:rsidP="00281A92">
            <w:pPr>
              <w:spacing w:before="0" w:after="0" w:line="240" w:lineRule="auto"/>
              <w:rPr>
                <w:color w:val="auto"/>
                <w:sz w:val="20"/>
                <w:szCs w:val="20"/>
              </w:rPr>
            </w:pPr>
            <w:r w:rsidRPr="009A36D2">
              <w:rPr>
                <w:color w:val="000000"/>
                <w:sz w:val="22"/>
                <w:szCs w:val="22"/>
              </w:rPr>
              <w:t>197</w:t>
            </w:r>
          </w:p>
        </w:tc>
        <w:tc>
          <w:tcPr>
            <w:tcW w:w="697" w:type="pct"/>
            <w:gridSpan w:val="3"/>
            <w:tcBorders>
              <w:top w:val="nil"/>
              <w:left w:val="nil"/>
              <w:bottom w:val="single" w:sz="4" w:space="0" w:color="auto"/>
              <w:right w:val="single" w:sz="4" w:space="0" w:color="auto"/>
            </w:tcBorders>
            <w:shd w:val="clear" w:color="auto" w:fill="auto"/>
            <w:noWrap/>
            <w:vAlign w:val="bottom"/>
          </w:tcPr>
          <w:p w14:paraId="5C39CF0D" w14:textId="77777777" w:rsidR="009A36D2" w:rsidRPr="009A36D2" w:rsidRDefault="009A36D2" w:rsidP="00281A92">
            <w:pPr>
              <w:spacing w:before="0" w:after="0" w:line="240" w:lineRule="auto"/>
              <w:rPr>
                <w:color w:val="auto"/>
                <w:sz w:val="20"/>
                <w:szCs w:val="20"/>
              </w:rPr>
            </w:pPr>
            <w:r w:rsidRPr="009A36D2">
              <w:rPr>
                <w:color w:val="000000"/>
                <w:sz w:val="22"/>
                <w:szCs w:val="22"/>
              </w:rPr>
              <w:t>253</w:t>
            </w:r>
          </w:p>
        </w:tc>
        <w:tc>
          <w:tcPr>
            <w:tcW w:w="693" w:type="pct"/>
            <w:gridSpan w:val="2"/>
            <w:tcBorders>
              <w:top w:val="nil"/>
              <w:left w:val="nil"/>
              <w:bottom w:val="single" w:sz="4" w:space="0" w:color="auto"/>
              <w:right w:val="single" w:sz="4" w:space="0" w:color="auto"/>
            </w:tcBorders>
            <w:shd w:val="clear" w:color="auto" w:fill="auto"/>
            <w:noWrap/>
            <w:vAlign w:val="bottom"/>
          </w:tcPr>
          <w:p w14:paraId="30C9136B" w14:textId="77777777" w:rsidR="009A36D2" w:rsidRPr="009A36D2" w:rsidRDefault="009A36D2" w:rsidP="00281A92">
            <w:pPr>
              <w:spacing w:before="0" w:after="0" w:line="240" w:lineRule="auto"/>
              <w:rPr>
                <w:color w:val="auto"/>
                <w:sz w:val="20"/>
                <w:szCs w:val="20"/>
              </w:rPr>
            </w:pPr>
            <w:r w:rsidRPr="009A36D2">
              <w:rPr>
                <w:color w:val="000000"/>
                <w:sz w:val="22"/>
                <w:szCs w:val="22"/>
              </w:rPr>
              <w:t>288</w:t>
            </w:r>
          </w:p>
        </w:tc>
      </w:tr>
      <w:tr w:rsidR="009A36D2" w:rsidRPr="009A36D2" w14:paraId="2DB747F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A621F7"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58" w:type="pct"/>
            <w:gridSpan w:val="3"/>
            <w:tcBorders>
              <w:top w:val="nil"/>
              <w:left w:val="nil"/>
              <w:bottom w:val="single" w:sz="4" w:space="0" w:color="auto"/>
              <w:right w:val="single" w:sz="4" w:space="0" w:color="auto"/>
            </w:tcBorders>
            <w:shd w:val="clear" w:color="auto" w:fill="auto"/>
            <w:noWrap/>
            <w:vAlign w:val="bottom"/>
          </w:tcPr>
          <w:p w14:paraId="1F71BF26" w14:textId="77777777" w:rsidR="009A36D2" w:rsidRPr="009A36D2" w:rsidRDefault="009A36D2" w:rsidP="00281A92">
            <w:pPr>
              <w:spacing w:before="0" w:after="0" w:line="240" w:lineRule="auto"/>
              <w:rPr>
                <w:color w:val="auto"/>
                <w:sz w:val="20"/>
                <w:szCs w:val="20"/>
              </w:rPr>
            </w:pPr>
            <w:r w:rsidRPr="009A36D2">
              <w:rPr>
                <w:color w:val="000000"/>
                <w:sz w:val="22"/>
                <w:szCs w:val="22"/>
              </w:rPr>
              <w:t>367</w:t>
            </w:r>
          </w:p>
        </w:tc>
        <w:tc>
          <w:tcPr>
            <w:tcW w:w="660" w:type="pct"/>
            <w:gridSpan w:val="3"/>
            <w:tcBorders>
              <w:top w:val="nil"/>
              <w:left w:val="nil"/>
              <w:bottom w:val="single" w:sz="4" w:space="0" w:color="auto"/>
              <w:right w:val="single" w:sz="4" w:space="0" w:color="auto"/>
            </w:tcBorders>
            <w:shd w:val="clear" w:color="auto" w:fill="auto"/>
            <w:noWrap/>
            <w:vAlign w:val="bottom"/>
          </w:tcPr>
          <w:p w14:paraId="69BED40B" w14:textId="77777777" w:rsidR="009A36D2" w:rsidRPr="009A36D2" w:rsidRDefault="009A36D2" w:rsidP="00281A92">
            <w:pPr>
              <w:spacing w:before="0" w:after="0" w:line="240" w:lineRule="auto"/>
              <w:rPr>
                <w:color w:val="auto"/>
                <w:sz w:val="20"/>
                <w:szCs w:val="20"/>
              </w:rPr>
            </w:pPr>
            <w:r w:rsidRPr="009A36D2">
              <w:rPr>
                <w:color w:val="000000"/>
                <w:sz w:val="22"/>
                <w:szCs w:val="22"/>
              </w:rPr>
              <w:t>366</w:t>
            </w:r>
          </w:p>
        </w:tc>
        <w:tc>
          <w:tcPr>
            <w:tcW w:w="540" w:type="pct"/>
            <w:gridSpan w:val="2"/>
            <w:tcBorders>
              <w:top w:val="nil"/>
              <w:left w:val="nil"/>
              <w:bottom w:val="single" w:sz="4" w:space="0" w:color="auto"/>
              <w:right w:val="single" w:sz="4" w:space="0" w:color="auto"/>
            </w:tcBorders>
            <w:shd w:val="clear" w:color="auto" w:fill="auto"/>
            <w:noWrap/>
            <w:vAlign w:val="bottom"/>
          </w:tcPr>
          <w:p w14:paraId="58D98F86" w14:textId="77777777" w:rsidR="009A36D2" w:rsidRPr="009A36D2" w:rsidRDefault="009A36D2" w:rsidP="00281A92">
            <w:pPr>
              <w:spacing w:before="0" w:after="0" w:line="240" w:lineRule="auto"/>
              <w:rPr>
                <w:color w:val="auto"/>
                <w:sz w:val="20"/>
                <w:szCs w:val="20"/>
              </w:rPr>
            </w:pPr>
            <w:r w:rsidRPr="009A36D2">
              <w:rPr>
                <w:color w:val="000000"/>
                <w:sz w:val="22"/>
                <w:szCs w:val="22"/>
              </w:rPr>
              <w:t>302</w:t>
            </w:r>
          </w:p>
        </w:tc>
        <w:tc>
          <w:tcPr>
            <w:tcW w:w="551" w:type="pct"/>
            <w:gridSpan w:val="2"/>
            <w:tcBorders>
              <w:top w:val="nil"/>
              <w:left w:val="nil"/>
              <w:bottom w:val="single" w:sz="4" w:space="0" w:color="auto"/>
              <w:right w:val="single" w:sz="4" w:space="0" w:color="auto"/>
            </w:tcBorders>
            <w:shd w:val="clear" w:color="auto" w:fill="auto"/>
            <w:noWrap/>
            <w:vAlign w:val="bottom"/>
          </w:tcPr>
          <w:p w14:paraId="2D63E63E" w14:textId="77777777" w:rsidR="009A36D2" w:rsidRPr="009A36D2" w:rsidRDefault="009A36D2" w:rsidP="00281A92">
            <w:pPr>
              <w:spacing w:before="0" w:after="0" w:line="240" w:lineRule="auto"/>
              <w:rPr>
                <w:color w:val="auto"/>
                <w:sz w:val="20"/>
                <w:szCs w:val="20"/>
              </w:rPr>
            </w:pPr>
            <w:r w:rsidRPr="009A36D2">
              <w:rPr>
                <w:color w:val="000000"/>
                <w:sz w:val="22"/>
                <w:szCs w:val="22"/>
              </w:rPr>
              <w:t>310</w:t>
            </w:r>
          </w:p>
        </w:tc>
        <w:tc>
          <w:tcPr>
            <w:tcW w:w="697" w:type="pct"/>
            <w:gridSpan w:val="3"/>
            <w:tcBorders>
              <w:top w:val="nil"/>
              <w:left w:val="nil"/>
              <w:bottom w:val="single" w:sz="4" w:space="0" w:color="auto"/>
              <w:right w:val="single" w:sz="4" w:space="0" w:color="auto"/>
            </w:tcBorders>
            <w:shd w:val="clear" w:color="auto" w:fill="auto"/>
            <w:noWrap/>
            <w:vAlign w:val="bottom"/>
          </w:tcPr>
          <w:p w14:paraId="6C8494D7" w14:textId="77777777" w:rsidR="009A36D2" w:rsidRPr="009A36D2" w:rsidRDefault="009A36D2" w:rsidP="00281A92">
            <w:pPr>
              <w:spacing w:before="0" w:after="0" w:line="240" w:lineRule="auto"/>
              <w:rPr>
                <w:color w:val="auto"/>
                <w:sz w:val="20"/>
                <w:szCs w:val="20"/>
              </w:rPr>
            </w:pPr>
            <w:r w:rsidRPr="009A36D2">
              <w:rPr>
                <w:color w:val="000000"/>
                <w:sz w:val="22"/>
                <w:szCs w:val="22"/>
              </w:rPr>
              <w:t>406</w:t>
            </w:r>
          </w:p>
        </w:tc>
        <w:tc>
          <w:tcPr>
            <w:tcW w:w="693" w:type="pct"/>
            <w:gridSpan w:val="2"/>
            <w:tcBorders>
              <w:top w:val="nil"/>
              <w:left w:val="nil"/>
              <w:bottom w:val="single" w:sz="4" w:space="0" w:color="auto"/>
              <w:right w:val="single" w:sz="4" w:space="0" w:color="auto"/>
            </w:tcBorders>
            <w:shd w:val="clear" w:color="auto" w:fill="auto"/>
            <w:noWrap/>
            <w:vAlign w:val="bottom"/>
          </w:tcPr>
          <w:p w14:paraId="354EDE6A" w14:textId="77777777" w:rsidR="009A36D2" w:rsidRPr="009A36D2" w:rsidRDefault="009A36D2" w:rsidP="00281A92">
            <w:pPr>
              <w:spacing w:before="0" w:after="0" w:line="240" w:lineRule="auto"/>
              <w:rPr>
                <w:color w:val="auto"/>
                <w:sz w:val="20"/>
                <w:szCs w:val="20"/>
              </w:rPr>
            </w:pPr>
            <w:r w:rsidRPr="009A36D2">
              <w:rPr>
                <w:color w:val="000000"/>
                <w:sz w:val="22"/>
                <w:szCs w:val="22"/>
              </w:rPr>
              <w:t>369</w:t>
            </w:r>
          </w:p>
        </w:tc>
      </w:tr>
      <w:tr w:rsidR="009A36D2" w:rsidRPr="009A36D2" w14:paraId="183C6A83"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B50EF86"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58" w:type="pct"/>
            <w:gridSpan w:val="3"/>
            <w:tcBorders>
              <w:top w:val="nil"/>
              <w:left w:val="nil"/>
              <w:bottom w:val="single" w:sz="4" w:space="0" w:color="auto"/>
              <w:right w:val="single" w:sz="4" w:space="0" w:color="auto"/>
            </w:tcBorders>
            <w:shd w:val="clear" w:color="auto" w:fill="auto"/>
            <w:noWrap/>
            <w:vAlign w:val="bottom"/>
          </w:tcPr>
          <w:p w14:paraId="1B01E03E" w14:textId="77777777" w:rsidR="009A36D2" w:rsidRPr="009A36D2" w:rsidRDefault="009A36D2" w:rsidP="00281A92">
            <w:pPr>
              <w:spacing w:before="0" w:after="0" w:line="240" w:lineRule="auto"/>
              <w:rPr>
                <w:color w:val="auto"/>
                <w:sz w:val="20"/>
                <w:szCs w:val="20"/>
              </w:rPr>
            </w:pPr>
            <w:r w:rsidRPr="009A36D2">
              <w:rPr>
                <w:color w:val="000000"/>
                <w:sz w:val="22"/>
                <w:szCs w:val="22"/>
              </w:rPr>
              <w:t>503</w:t>
            </w:r>
          </w:p>
        </w:tc>
        <w:tc>
          <w:tcPr>
            <w:tcW w:w="660" w:type="pct"/>
            <w:gridSpan w:val="3"/>
            <w:tcBorders>
              <w:top w:val="nil"/>
              <w:left w:val="nil"/>
              <w:bottom w:val="single" w:sz="4" w:space="0" w:color="auto"/>
              <w:right w:val="single" w:sz="4" w:space="0" w:color="auto"/>
            </w:tcBorders>
            <w:shd w:val="clear" w:color="auto" w:fill="auto"/>
            <w:noWrap/>
            <w:vAlign w:val="bottom"/>
          </w:tcPr>
          <w:p w14:paraId="3204680A" w14:textId="77777777" w:rsidR="009A36D2" w:rsidRPr="009A36D2" w:rsidRDefault="009A36D2" w:rsidP="00281A92">
            <w:pPr>
              <w:spacing w:before="0" w:after="0" w:line="240" w:lineRule="auto"/>
              <w:rPr>
                <w:color w:val="auto"/>
                <w:sz w:val="20"/>
                <w:szCs w:val="20"/>
              </w:rPr>
            </w:pPr>
            <w:r w:rsidRPr="009A36D2">
              <w:rPr>
                <w:color w:val="000000"/>
                <w:sz w:val="22"/>
                <w:szCs w:val="22"/>
              </w:rPr>
              <w:t>443</w:t>
            </w:r>
          </w:p>
        </w:tc>
        <w:tc>
          <w:tcPr>
            <w:tcW w:w="540" w:type="pct"/>
            <w:gridSpan w:val="2"/>
            <w:tcBorders>
              <w:top w:val="nil"/>
              <w:left w:val="nil"/>
              <w:bottom w:val="single" w:sz="4" w:space="0" w:color="auto"/>
              <w:right w:val="single" w:sz="4" w:space="0" w:color="auto"/>
            </w:tcBorders>
            <w:shd w:val="clear" w:color="auto" w:fill="auto"/>
            <w:noWrap/>
            <w:vAlign w:val="bottom"/>
          </w:tcPr>
          <w:p w14:paraId="6E182657" w14:textId="77777777" w:rsidR="009A36D2" w:rsidRPr="009A36D2" w:rsidRDefault="009A36D2" w:rsidP="00281A92">
            <w:pPr>
              <w:spacing w:before="0" w:after="0" w:line="240" w:lineRule="auto"/>
              <w:rPr>
                <w:color w:val="auto"/>
                <w:sz w:val="20"/>
                <w:szCs w:val="20"/>
              </w:rPr>
            </w:pPr>
            <w:r w:rsidRPr="009A36D2">
              <w:rPr>
                <w:color w:val="000000"/>
                <w:sz w:val="22"/>
                <w:szCs w:val="22"/>
              </w:rPr>
              <w:t>320</w:t>
            </w:r>
          </w:p>
        </w:tc>
        <w:tc>
          <w:tcPr>
            <w:tcW w:w="551" w:type="pct"/>
            <w:gridSpan w:val="2"/>
            <w:tcBorders>
              <w:top w:val="nil"/>
              <w:left w:val="nil"/>
              <w:bottom w:val="single" w:sz="4" w:space="0" w:color="auto"/>
              <w:right w:val="single" w:sz="4" w:space="0" w:color="auto"/>
            </w:tcBorders>
            <w:shd w:val="clear" w:color="auto" w:fill="auto"/>
            <w:noWrap/>
            <w:vAlign w:val="bottom"/>
          </w:tcPr>
          <w:p w14:paraId="2F83C839" w14:textId="77777777" w:rsidR="009A36D2" w:rsidRPr="009A36D2" w:rsidRDefault="009A36D2" w:rsidP="00281A92">
            <w:pPr>
              <w:spacing w:before="0" w:after="0" w:line="240" w:lineRule="auto"/>
              <w:rPr>
                <w:color w:val="auto"/>
                <w:sz w:val="20"/>
                <w:szCs w:val="20"/>
              </w:rPr>
            </w:pPr>
            <w:r w:rsidRPr="009A36D2">
              <w:rPr>
                <w:color w:val="000000"/>
                <w:sz w:val="22"/>
                <w:szCs w:val="22"/>
              </w:rPr>
              <w:t>334</w:t>
            </w:r>
          </w:p>
        </w:tc>
        <w:tc>
          <w:tcPr>
            <w:tcW w:w="697" w:type="pct"/>
            <w:gridSpan w:val="3"/>
            <w:tcBorders>
              <w:top w:val="nil"/>
              <w:left w:val="nil"/>
              <w:bottom w:val="single" w:sz="4" w:space="0" w:color="auto"/>
              <w:right w:val="single" w:sz="4" w:space="0" w:color="auto"/>
            </w:tcBorders>
            <w:shd w:val="clear" w:color="auto" w:fill="auto"/>
            <w:noWrap/>
            <w:vAlign w:val="bottom"/>
          </w:tcPr>
          <w:p w14:paraId="6DA50CD8" w14:textId="77777777" w:rsidR="009A36D2" w:rsidRPr="009A36D2" w:rsidRDefault="009A36D2" w:rsidP="00281A92">
            <w:pPr>
              <w:spacing w:before="0" w:after="0" w:line="240" w:lineRule="auto"/>
              <w:rPr>
                <w:color w:val="auto"/>
                <w:sz w:val="20"/>
                <w:szCs w:val="20"/>
              </w:rPr>
            </w:pPr>
            <w:r w:rsidRPr="009A36D2">
              <w:rPr>
                <w:color w:val="000000"/>
                <w:sz w:val="22"/>
                <w:szCs w:val="22"/>
              </w:rPr>
              <w:t>381</w:t>
            </w:r>
          </w:p>
        </w:tc>
        <w:tc>
          <w:tcPr>
            <w:tcW w:w="693" w:type="pct"/>
            <w:gridSpan w:val="2"/>
            <w:tcBorders>
              <w:top w:val="nil"/>
              <w:left w:val="nil"/>
              <w:bottom w:val="single" w:sz="4" w:space="0" w:color="auto"/>
              <w:right w:val="single" w:sz="4" w:space="0" w:color="auto"/>
            </w:tcBorders>
            <w:shd w:val="clear" w:color="auto" w:fill="auto"/>
            <w:noWrap/>
            <w:vAlign w:val="bottom"/>
          </w:tcPr>
          <w:p w14:paraId="6FEAA803" w14:textId="77777777" w:rsidR="009A36D2" w:rsidRPr="009A36D2" w:rsidRDefault="009A36D2" w:rsidP="00281A92">
            <w:pPr>
              <w:spacing w:before="0" w:after="0" w:line="240" w:lineRule="auto"/>
              <w:rPr>
                <w:color w:val="auto"/>
                <w:sz w:val="20"/>
                <w:szCs w:val="20"/>
              </w:rPr>
            </w:pPr>
            <w:r w:rsidRPr="009A36D2">
              <w:rPr>
                <w:color w:val="000000"/>
                <w:sz w:val="22"/>
                <w:szCs w:val="22"/>
              </w:rPr>
              <w:t>437</w:t>
            </w:r>
          </w:p>
        </w:tc>
      </w:tr>
      <w:tr w:rsidR="009A36D2" w:rsidRPr="009A36D2" w14:paraId="2696082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0CEDAF6"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58" w:type="pct"/>
            <w:gridSpan w:val="3"/>
            <w:tcBorders>
              <w:top w:val="nil"/>
              <w:left w:val="nil"/>
              <w:bottom w:val="single" w:sz="4" w:space="0" w:color="auto"/>
              <w:right w:val="single" w:sz="4" w:space="0" w:color="auto"/>
            </w:tcBorders>
            <w:shd w:val="clear" w:color="auto" w:fill="auto"/>
            <w:noWrap/>
            <w:vAlign w:val="bottom"/>
          </w:tcPr>
          <w:p w14:paraId="7AB2F21F" w14:textId="77777777" w:rsidR="009A36D2" w:rsidRPr="009A36D2" w:rsidRDefault="009A36D2" w:rsidP="00281A92">
            <w:pPr>
              <w:spacing w:before="0" w:after="0" w:line="240" w:lineRule="auto"/>
              <w:rPr>
                <w:color w:val="auto"/>
                <w:sz w:val="20"/>
                <w:szCs w:val="20"/>
              </w:rPr>
            </w:pPr>
            <w:r w:rsidRPr="009A36D2">
              <w:rPr>
                <w:color w:val="000000"/>
                <w:sz w:val="22"/>
                <w:szCs w:val="22"/>
              </w:rPr>
              <w:t>558</w:t>
            </w:r>
          </w:p>
        </w:tc>
        <w:tc>
          <w:tcPr>
            <w:tcW w:w="660" w:type="pct"/>
            <w:gridSpan w:val="3"/>
            <w:tcBorders>
              <w:top w:val="nil"/>
              <w:left w:val="nil"/>
              <w:bottom w:val="single" w:sz="4" w:space="0" w:color="auto"/>
              <w:right w:val="single" w:sz="4" w:space="0" w:color="auto"/>
            </w:tcBorders>
            <w:shd w:val="clear" w:color="auto" w:fill="auto"/>
            <w:noWrap/>
            <w:vAlign w:val="bottom"/>
          </w:tcPr>
          <w:p w14:paraId="3DFF7889" w14:textId="77777777" w:rsidR="009A36D2" w:rsidRPr="009A36D2" w:rsidRDefault="009A36D2" w:rsidP="00281A92">
            <w:pPr>
              <w:spacing w:before="0" w:after="0" w:line="240" w:lineRule="auto"/>
              <w:rPr>
                <w:color w:val="auto"/>
                <w:sz w:val="20"/>
                <w:szCs w:val="20"/>
              </w:rPr>
            </w:pPr>
            <w:r w:rsidRPr="009A36D2">
              <w:rPr>
                <w:color w:val="000000"/>
                <w:sz w:val="22"/>
                <w:szCs w:val="22"/>
              </w:rPr>
              <w:t>485</w:t>
            </w:r>
          </w:p>
        </w:tc>
        <w:tc>
          <w:tcPr>
            <w:tcW w:w="540" w:type="pct"/>
            <w:gridSpan w:val="2"/>
            <w:tcBorders>
              <w:top w:val="nil"/>
              <w:left w:val="nil"/>
              <w:bottom w:val="single" w:sz="4" w:space="0" w:color="auto"/>
              <w:right w:val="single" w:sz="4" w:space="0" w:color="auto"/>
            </w:tcBorders>
            <w:shd w:val="clear" w:color="auto" w:fill="auto"/>
            <w:noWrap/>
            <w:vAlign w:val="bottom"/>
          </w:tcPr>
          <w:p w14:paraId="0CC0018E" w14:textId="77777777" w:rsidR="009A36D2" w:rsidRPr="009A36D2" w:rsidRDefault="009A36D2" w:rsidP="00281A92">
            <w:pPr>
              <w:spacing w:before="0" w:after="0" w:line="240" w:lineRule="auto"/>
              <w:rPr>
                <w:color w:val="auto"/>
                <w:sz w:val="20"/>
                <w:szCs w:val="20"/>
              </w:rPr>
            </w:pPr>
            <w:r w:rsidRPr="009A36D2">
              <w:rPr>
                <w:color w:val="000000"/>
                <w:sz w:val="22"/>
                <w:szCs w:val="22"/>
              </w:rPr>
              <w:t>360</w:t>
            </w:r>
          </w:p>
        </w:tc>
        <w:tc>
          <w:tcPr>
            <w:tcW w:w="551" w:type="pct"/>
            <w:gridSpan w:val="2"/>
            <w:tcBorders>
              <w:top w:val="nil"/>
              <w:left w:val="nil"/>
              <w:bottom w:val="single" w:sz="4" w:space="0" w:color="auto"/>
              <w:right w:val="single" w:sz="4" w:space="0" w:color="auto"/>
            </w:tcBorders>
            <w:shd w:val="clear" w:color="auto" w:fill="auto"/>
            <w:noWrap/>
            <w:vAlign w:val="bottom"/>
          </w:tcPr>
          <w:p w14:paraId="3D0859A3" w14:textId="77777777" w:rsidR="009A36D2" w:rsidRPr="009A36D2" w:rsidRDefault="009A36D2" w:rsidP="00281A92">
            <w:pPr>
              <w:spacing w:before="0" w:after="0" w:line="240" w:lineRule="auto"/>
              <w:rPr>
                <w:color w:val="auto"/>
                <w:sz w:val="20"/>
                <w:szCs w:val="20"/>
              </w:rPr>
            </w:pPr>
            <w:r w:rsidRPr="009A36D2">
              <w:rPr>
                <w:color w:val="000000"/>
                <w:sz w:val="22"/>
                <w:szCs w:val="22"/>
              </w:rPr>
              <w:t>354</w:t>
            </w:r>
          </w:p>
        </w:tc>
        <w:tc>
          <w:tcPr>
            <w:tcW w:w="697" w:type="pct"/>
            <w:gridSpan w:val="3"/>
            <w:tcBorders>
              <w:top w:val="nil"/>
              <w:left w:val="nil"/>
              <w:bottom w:val="single" w:sz="4" w:space="0" w:color="auto"/>
              <w:right w:val="single" w:sz="4" w:space="0" w:color="auto"/>
            </w:tcBorders>
            <w:shd w:val="clear" w:color="auto" w:fill="auto"/>
            <w:noWrap/>
            <w:vAlign w:val="bottom"/>
          </w:tcPr>
          <w:p w14:paraId="04638CC6" w14:textId="77777777" w:rsidR="009A36D2" w:rsidRPr="009A36D2" w:rsidRDefault="009A36D2" w:rsidP="00281A92">
            <w:pPr>
              <w:spacing w:before="0" w:after="0" w:line="240" w:lineRule="auto"/>
              <w:rPr>
                <w:color w:val="auto"/>
                <w:sz w:val="20"/>
                <w:szCs w:val="20"/>
              </w:rPr>
            </w:pPr>
            <w:r w:rsidRPr="009A36D2">
              <w:rPr>
                <w:color w:val="000000"/>
                <w:sz w:val="22"/>
                <w:szCs w:val="22"/>
              </w:rPr>
              <w:t>461</w:t>
            </w:r>
          </w:p>
        </w:tc>
        <w:tc>
          <w:tcPr>
            <w:tcW w:w="693" w:type="pct"/>
            <w:gridSpan w:val="2"/>
            <w:tcBorders>
              <w:top w:val="nil"/>
              <w:left w:val="nil"/>
              <w:bottom w:val="single" w:sz="4" w:space="0" w:color="auto"/>
              <w:right w:val="single" w:sz="4" w:space="0" w:color="auto"/>
            </w:tcBorders>
            <w:shd w:val="clear" w:color="auto" w:fill="auto"/>
            <w:noWrap/>
            <w:vAlign w:val="bottom"/>
          </w:tcPr>
          <w:p w14:paraId="7A1C3123" w14:textId="77777777" w:rsidR="009A36D2" w:rsidRPr="009A36D2" w:rsidRDefault="009A36D2" w:rsidP="00281A92">
            <w:pPr>
              <w:spacing w:before="0" w:after="0" w:line="240" w:lineRule="auto"/>
              <w:rPr>
                <w:color w:val="auto"/>
                <w:sz w:val="20"/>
                <w:szCs w:val="20"/>
              </w:rPr>
            </w:pPr>
            <w:r w:rsidRPr="009A36D2">
              <w:rPr>
                <w:color w:val="000000"/>
                <w:sz w:val="22"/>
                <w:szCs w:val="22"/>
              </w:rPr>
              <w:t>508</w:t>
            </w:r>
          </w:p>
        </w:tc>
      </w:tr>
      <w:tr w:rsidR="009A36D2" w:rsidRPr="009A36D2" w14:paraId="75B2B66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4C44E95"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58" w:type="pct"/>
            <w:gridSpan w:val="3"/>
            <w:tcBorders>
              <w:top w:val="nil"/>
              <w:left w:val="nil"/>
              <w:bottom w:val="single" w:sz="4" w:space="0" w:color="auto"/>
              <w:right w:val="single" w:sz="4" w:space="0" w:color="auto"/>
            </w:tcBorders>
            <w:shd w:val="clear" w:color="auto" w:fill="auto"/>
            <w:noWrap/>
            <w:vAlign w:val="bottom"/>
          </w:tcPr>
          <w:p w14:paraId="5A0798B9" w14:textId="77777777" w:rsidR="009A36D2" w:rsidRPr="009A36D2" w:rsidRDefault="009A36D2" w:rsidP="00281A92">
            <w:pPr>
              <w:spacing w:before="0" w:after="0" w:line="240" w:lineRule="auto"/>
              <w:rPr>
                <w:color w:val="auto"/>
                <w:sz w:val="20"/>
                <w:szCs w:val="20"/>
              </w:rPr>
            </w:pPr>
            <w:r w:rsidRPr="009A36D2">
              <w:rPr>
                <w:color w:val="000000"/>
                <w:sz w:val="22"/>
                <w:szCs w:val="22"/>
              </w:rPr>
              <w:t>493</w:t>
            </w:r>
          </w:p>
        </w:tc>
        <w:tc>
          <w:tcPr>
            <w:tcW w:w="660" w:type="pct"/>
            <w:gridSpan w:val="3"/>
            <w:tcBorders>
              <w:top w:val="nil"/>
              <w:left w:val="nil"/>
              <w:bottom w:val="single" w:sz="4" w:space="0" w:color="auto"/>
              <w:right w:val="single" w:sz="4" w:space="0" w:color="auto"/>
            </w:tcBorders>
            <w:shd w:val="clear" w:color="auto" w:fill="auto"/>
            <w:noWrap/>
            <w:vAlign w:val="bottom"/>
          </w:tcPr>
          <w:p w14:paraId="707ACEF1" w14:textId="77777777" w:rsidR="009A36D2" w:rsidRPr="009A36D2" w:rsidRDefault="009A36D2" w:rsidP="00281A92">
            <w:pPr>
              <w:spacing w:before="0" w:after="0" w:line="240" w:lineRule="auto"/>
              <w:rPr>
                <w:color w:val="auto"/>
                <w:sz w:val="20"/>
                <w:szCs w:val="20"/>
              </w:rPr>
            </w:pPr>
            <w:r w:rsidRPr="009A36D2">
              <w:rPr>
                <w:color w:val="000000"/>
                <w:sz w:val="22"/>
                <w:szCs w:val="22"/>
              </w:rPr>
              <w:t>435</w:t>
            </w:r>
          </w:p>
        </w:tc>
        <w:tc>
          <w:tcPr>
            <w:tcW w:w="540" w:type="pct"/>
            <w:gridSpan w:val="2"/>
            <w:tcBorders>
              <w:top w:val="nil"/>
              <w:left w:val="nil"/>
              <w:bottom w:val="single" w:sz="4" w:space="0" w:color="auto"/>
              <w:right w:val="single" w:sz="4" w:space="0" w:color="auto"/>
            </w:tcBorders>
            <w:shd w:val="clear" w:color="auto" w:fill="auto"/>
            <w:noWrap/>
            <w:vAlign w:val="bottom"/>
          </w:tcPr>
          <w:p w14:paraId="3261D64F" w14:textId="77777777" w:rsidR="009A36D2" w:rsidRPr="009A36D2" w:rsidRDefault="009A36D2" w:rsidP="00281A92">
            <w:pPr>
              <w:spacing w:before="0" w:after="0" w:line="240" w:lineRule="auto"/>
              <w:rPr>
                <w:color w:val="auto"/>
                <w:sz w:val="20"/>
                <w:szCs w:val="20"/>
              </w:rPr>
            </w:pPr>
            <w:r w:rsidRPr="009A36D2">
              <w:rPr>
                <w:color w:val="000000"/>
                <w:sz w:val="22"/>
                <w:szCs w:val="22"/>
              </w:rPr>
              <w:t>326</w:t>
            </w:r>
          </w:p>
        </w:tc>
        <w:tc>
          <w:tcPr>
            <w:tcW w:w="551" w:type="pct"/>
            <w:gridSpan w:val="2"/>
            <w:tcBorders>
              <w:top w:val="nil"/>
              <w:left w:val="nil"/>
              <w:bottom w:val="single" w:sz="4" w:space="0" w:color="auto"/>
              <w:right w:val="single" w:sz="4" w:space="0" w:color="auto"/>
            </w:tcBorders>
            <w:shd w:val="clear" w:color="auto" w:fill="auto"/>
            <w:noWrap/>
            <w:vAlign w:val="bottom"/>
          </w:tcPr>
          <w:p w14:paraId="6E6757C2" w14:textId="77777777" w:rsidR="009A36D2" w:rsidRPr="009A36D2" w:rsidRDefault="009A36D2" w:rsidP="00281A92">
            <w:pPr>
              <w:spacing w:before="0" w:after="0" w:line="240" w:lineRule="auto"/>
              <w:rPr>
                <w:color w:val="auto"/>
                <w:sz w:val="20"/>
                <w:szCs w:val="20"/>
              </w:rPr>
            </w:pPr>
            <w:r w:rsidRPr="009A36D2">
              <w:rPr>
                <w:color w:val="000000"/>
                <w:sz w:val="22"/>
                <w:szCs w:val="22"/>
              </w:rPr>
              <w:t>357</w:t>
            </w:r>
          </w:p>
        </w:tc>
        <w:tc>
          <w:tcPr>
            <w:tcW w:w="697" w:type="pct"/>
            <w:gridSpan w:val="3"/>
            <w:tcBorders>
              <w:top w:val="nil"/>
              <w:left w:val="nil"/>
              <w:bottom w:val="single" w:sz="4" w:space="0" w:color="auto"/>
              <w:right w:val="single" w:sz="4" w:space="0" w:color="auto"/>
            </w:tcBorders>
            <w:shd w:val="clear" w:color="auto" w:fill="auto"/>
            <w:noWrap/>
            <w:vAlign w:val="bottom"/>
          </w:tcPr>
          <w:p w14:paraId="0D9E9D20" w14:textId="77777777" w:rsidR="009A36D2" w:rsidRPr="009A36D2" w:rsidRDefault="009A36D2" w:rsidP="00281A92">
            <w:pPr>
              <w:spacing w:before="0" w:after="0" w:line="240" w:lineRule="auto"/>
              <w:rPr>
                <w:color w:val="auto"/>
                <w:sz w:val="20"/>
                <w:szCs w:val="20"/>
              </w:rPr>
            </w:pPr>
            <w:r w:rsidRPr="009A36D2">
              <w:rPr>
                <w:color w:val="000000"/>
                <w:sz w:val="22"/>
                <w:szCs w:val="22"/>
              </w:rPr>
              <w:t>402</w:t>
            </w:r>
          </w:p>
        </w:tc>
        <w:tc>
          <w:tcPr>
            <w:tcW w:w="693" w:type="pct"/>
            <w:gridSpan w:val="2"/>
            <w:tcBorders>
              <w:top w:val="nil"/>
              <w:left w:val="nil"/>
              <w:bottom w:val="single" w:sz="4" w:space="0" w:color="auto"/>
              <w:right w:val="single" w:sz="4" w:space="0" w:color="auto"/>
            </w:tcBorders>
            <w:shd w:val="clear" w:color="auto" w:fill="auto"/>
            <w:noWrap/>
            <w:vAlign w:val="bottom"/>
          </w:tcPr>
          <w:p w14:paraId="18FE7A9E" w14:textId="77777777" w:rsidR="009A36D2" w:rsidRPr="009A36D2" w:rsidRDefault="009A36D2" w:rsidP="00281A92">
            <w:pPr>
              <w:spacing w:before="0" w:after="0" w:line="240" w:lineRule="auto"/>
              <w:rPr>
                <w:color w:val="auto"/>
                <w:sz w:val="20"/>
                <w:szCs w:val="20"/>
              </w:rPr>
            </w:pPr>
            <w:r w:rsidRPr="009A36D2">
              <w:rPr>
                <w:color w:val="000000"/>
                <w:sz w:val="22"/>
                <w:szCs w:val="22"/>
              </w:rPr>
              <w:t>465</w:t>
            </w:r>
          </w:p>
        </w:tc>
      </w:tr>
      <w:tr w:rsidR="009A36D2" w:rsidRPr="009A36D2" w14:paraId="7E5D33F3"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40C26F7"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58" w:type="pct"/>
            <w:gridSpan w:val="3"/>
            <w:tcBorders>
              <w:top w:val="nil"/>
              <w:left w:val="nil"/>
              <w:bottom w:val="single" w:sz="4" w:space="0" w:color="auto"/>
              <w:right w:val="single" w:sz="4" w:space="0" w:color="auto"/>
            </w:tcBorders>
            <w:shd w:val="clear" w:color="auto" w:fill="auto"/>
            <w:noWrap/>
            <w:vAlign w:val="bottom"/>
          </w:tcPr>
          <w:p w14:paraId="413FCFA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435</w:t>
            </w:r>
          </w:p>
        </w:tc>
        <w:tc>
          <w:tcPr>
            <w:tcW w:w="660" w:type="pct"/>
            <w:gridSpan w:val="3"/>
            <w:tcBorders>
              <w:top w:val="nil"/>
              <w:left w:val="nil"/>
              <w:bottom w:val="single" w:sz="4" w:space="0" w:color="auto"/>
              <w:right w:val="single" w:sz="4" w:space="0" w:color="auto"/>
            </w:tcBorders>
            <w:shd w:val="clear" w:color="auto" w:fill="auto"/>
            <w:noWrap/>
            <w:vAlign w:val="bottom"/>
          </w:tcPr>
          <w:p w14:paraId="480F5360"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373</w:t>
            </w:r>
          </w:p>
        </w:tc>
        <w:tc>
          <w:tcPr>
            <w:tcW w:w="540" w:type="pct"/>
            <w:gridSpan w:val="2"/>
            <w:tcBorders>
              <w:top w:val="nil"/>
              <w:left w:val="nil"/>
              <w:bottom w:val="single" w:sz="4" w:space="0" w:color="auto"/>
              <w:right w:val="single" w:sz="4" w:space="0" w:color="auto"/>
            </w:tcBorders>
            <w:shd w:val="clear" w:color="auto" w:fill="auto"/>
            <w:noWrap/>
            <w:vAlign w:val="bottom"/>
          </w:tcPr>
          <w:p w14:paraId="0EFE6BC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287</w:t>
            </w:r>
          </w:p>
        </w:tc>
        <w:tc>
          <w:tcPr>
            <w:tcW w:w="551" w:type="pct"/>
            <w:gridSpan w:val="2"/>
            <w:tcBorders>
              <w:top w:val="nil"/>
              <w:left w:val="nil"/>
              <w:bottom w:val="single" w:sz="4" w:space="0" w:color="auto"/>
              <w:right w:val="single" w:sz="4" w:space="0" w:color="auto"/>
            </w:tcBorders>
            <w:shd w:val="clear" w:color="auto" w:fill="auto"/>
            <w:noWrap/>
            <w:vAlign w:val="bottom"/>
          </w:tcPr>
          <w:p w14:paraId="517AA72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292</w:t>
            </w:r>
          </w:p>
        </w:tc>
        <w:tc>
          <w:tcPr>
            <w:tcW w:w="697" w:type="pct"/>
            <w:gridSpan w:val="3"/>
            <w:tcBorders>
              <w:top w:val="nil"/>
              <w:left w:val="nil"/>
              <w:bottom w:val="single" w:sz="4" w:space="0" w:color="auto"/>
              <w:right w:val="single" w:sz="4" w:space="0" w:color="auto"/>
            </w:tcBorders>
            <w:shd w:val="clear" w:color="auto" w:fill="auto"/>
            <w:noWrap/>
            <w:vAlign w:val="bottom"/>
          </w:tcPr>
          <w:p w14:paraId="696C9EB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380</w:t>
            </w:r>
          </w:p>
        </w:tc>
        <w:tc>
          <w:tcPr>
            <w:tcW w:w="693" w:type="pct"/>
            <w:gridSpan w:val="2"/>
            <w:tcBorders>
              <w:top w:val="nil"/>
              <w:left w:val="nil"/>
              <w:bottom w:val="single" w:sz="4" w:space="0" w:color="auto"/>
              <w:right w:val="single" w:sz="4" w:space="0" w:color="auto"/>
            </w:tcBorders>
            <w:shd w:val="clear" w:color="auto" w:fill="auto"/>
            <w:noWrap/>
            <w:vAlign w:val="bottom"/>
          </w:tcPr>
          <w:p w14:paraId="0712FC14"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417</w:t>
            </w:r>
          </w:p>
        </w:tc>
      </w:tr>
      <w:tr w:rsidR="009A36D2" w:rsidRPr="009A36D2" w14:paraId="2795C75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89EE351"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58" w:type="pct"/>
            <w:gridSpan w:val="3"/>
            <w:tcBorders>
              <w:top w:val="nil"/>
              <w:left w:val="nil"/>
              <w:bottom w:val="single" w:sz="4" w:space="0" w:color="auto"/>
              <w:right w:val="single" w:sz="4" w:space="0" w:color="auto"/>
            </w:tcBorders>
            <w:shd w:val="clear" w:color="auto" w:fill="auto"/>
            <w:noWrap/>
            <w:vAlign w:val="bottom"/>
          </w:tcPr>
          <w:p w14:paraId="628385F2"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97</w:t>
            </w:r>
          </w:p>
        </w:tc>
        <w:tc>
          <w:tcPr>
            <w:tcW w:w="660" w:type="pct"/>
            <w:gridSpan w:val="3"/>
            <w:tcBorders>
              <w:top w:val="nil"/>
              <w:left w:val="nil"/>
              <w:bottom w:val="single" w:sz="4" w:space="0" w:color="auto"/>
              <w:right w:val="single" w:sz="4" w:space="0" w:color="auto"/>
            </w:tcBorders>
            <w:shd w:val="clear" w:color="auto" w:fill="auto"/>
            <w:noWrap/>
            <w:vAlign w:val="bottom"/>
          </w:tcPr>
          <w:p w14:paraId="6AB687DA"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72</w:t>
            </w:r>
          </w:p>
        </w:tc>
        <w:tc>
          <w:tcPr>
            <w:tcW w:w="540" w:type="pct"/>
            <w:gridSpan w:val="2"/>
            <w:tcBorders>
              <w:top w:val="nil"/>
              <w:left w:val="nil"/>
              <w:bottom w:val="single" w:sz="4" w:space="0" w:color="auto"/>
              <w:right w:val="single" w:sz="4" w:space="0" w:color="auto"/>
            </w:tcBorders>
            <w:shd w:val="clear" w:color="auto" w:fill="auto"/>
            <w:noWrap/>
            <w:vAlign w:val="bottom"/>
          </w:tcPr>
          <w:p w14:paraId="7786A87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58</w:t>
            </w:r>
          </w:p>
        </w:tc>
        <w:tc>
          <w:tcPr>
            <w:tcW w:w="551" w:type="pct"/>
            <w:gridSpan w:val="2"/>
            <w:tcBorders>
              <w:top w:val="nil"/>
              <w:left w:val="nil"/>
              <w:bottom w:val="single" w:sz="4" w:space="0" w:color="auto"/>
              <w:right w:val="single" w:sz="4" w:space="0" w:color="auto"/>
            </w:tcBorders>
            <w:shd w:val="clear" w:color="auto" w:fill="auto"/>
            <w:noWrap/>
            <w:vAlign w:val="bottom"/>
          </w:tcPr>
          <w:p w14:paraId="03F990C9"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70</w:t>
            </w:r>
          </w:p>
        </w:tc>
        <w:tc>
          <w:tcPr>
            <w:tcW w:w="697" w:type="pct"/>
            <w:gridSpan w:val="3"/>
            <w:tcBorders>
              <w:top w:val="nil"/>
              <w:left w:val="nil"/>
              <w:bottom w:val="single" w:sz="4" w:space="0" w:color="auto"/>
              <w:right w:val="single" w:sz="4" w:space="0" w:color="auto"/>
            </w:tcBorders>
            <w:shd w:val="clear" w:color="auto" w:fill="auto"/>
            <w:noWrap/>
            <w:vAlign w:val="bottom"/>
          </w:tcPr>
          <w:p w14:paraId="1834214D"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79</w:t>
            </w:r>
          </w:p>
        </w:tc>
        <w:tc>
          <w:tcPr>
            <w:tcW w:w="693" w:type="pct"/>
            <w:gridSpan w:val="2"/>
            <w:tcBorders>
              <w:top w:val="nil"/>
              <w:left w:val="nil"/>
              <w:bottom w:val="single" w:sz="4" w:space="0" w:color="auto"/>
              <w:right w:val="single" w:sz="4" w:space="0" w:color="auto"/>
            </w:tcBorders>
            <w:shd w:val="clear" w:color="auto" w:fill="auto"/>
            <w:noWrap/>
            <w:vAlign w:val="bottom"/>
          </w:tcPr>
          <w:p w14:paraId="22EE35E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107</w:t>
            </w:r>
          </w:p>
        </w:tc>
      </w:tr>
      <w:tr w:rsidR="009A36D2" w:rsidRPr="009A36D2" w14:paraId="53A0942D" w14:textId="77777777" w:rsidTr="00281A92">
        <w:trPr>
          <w:trHeight w:val="20"/>
          <w:jc w:val="center"/>
        </w:trPr>
        <w:tc>
          <w:tcPr>
            <w:tcW w:w="120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80D1CD6" w14:textId="77777777" w:rsidR="009A36D2" w:rsidRPr="009A36D2" w:rsidRDefault="009A36D2" w:rsidP="00281A92">
            <w:pPr>
              <w:numPr>
                <w:ilvl w:val="1"/>
                <w:numId w:val="93"/>
              </w:numPr>
              <w:spacing w:before="0" w:after="0" w:line="240" w:lineRule="auto"/>
              <w:ind w:left="157" w:hanging="203"/>
              <w:contextualSpacing/>
              <w:jc w:val="left"/>
              <w:rPr>
                <w:b/>
                <w:bCs/>
                <w:color w:val="auto"/>
                <w:sz w:val="20"/>
                <w:szCs w:val="20"/>
              </w:rPr>
            </w:pPr>
            <w:r w:rsidRPr="009A36D2">
              <w:rPr>
                <w:b/>
                <w:bCs/>
                <w:color w:val="auto"/>
                <w:sz w:val="20"/>
                <w:szCs w:val="20"/>
              </w:rPr>
              <w:t>Gain</w:t>
            </w:r>
          </w:p>
        </w:tc>
        <w:tc>
          <w:tcPr>
            <w:tcW w:w="1863" w:type="pct"/>
            <w:gridSpan w:val="9"/>
            <w:tcBorders>
              <w:top w:val="single" w:sz="4" w:space="0" w:color="auto"/>
              <w:left w:val="nil"/>
              <w:bottom w:val="single" w:sz="4" w:space="0" w:color="auto"/>
              <w:right w:val="single" w:sz="4" w:space="0" w:color="auto"/>
            </w:tcBorders>
            <w:shd w:val="clear" w:color="auto" w:fill="auto"/>
            <w:noWrap/>
            <w:vAlign w:val="bottom"/>
            <w:hideMark/>
          </w:tcPr>
          <w:p w14:paraId="6A181B7A" w14:textId="77777777" w:rsidR="009A36D2" w:rsidRPr="009A36D2" w:rsidRDefault="009A36D2" w:rsidP="00281A92">
            <w:pPr>
              <w:spacing w:before="0" w:after="0" w:line="240" w:lineRule="auto"/>
              <w:jc w:val="center"/>
              <w:rPr>
                <w:b/>
                <w:bCs/>
                <w:color w:val="auto"/>
                <w:sz w:val="20"/>
                <w:szCs w:val="20"/>
              </w:rPr>
            </w:pPr>
            <w:r w:rsidRPr="009A36D2">
              <w:rPr>
                <w:b/>
                <w:bCs/>
                <w:color w:val="auto"/>
                <w:sz w:val="20"/>
                <w:szCs w:val="20"/>
              </w:rPr>
              <w:t xml:space="preserve">Leftward saccades </w:t>
            </w:r>
          </w:p>
        </w:tc>
        <w:tc>
          <w:tcPr>
            <w:tcW w:w="1936" w:type="pct"/>
            <w:gridSpan w:val="6"/>
            <w:tcBorders>
              <w:top w:val="single" w:sz="4" w:space="0" w:color="auto"/>
              <w:left w:val="nil"/>
              <w:bottom w:val="single" w:sz="4" w:space="0" w:color="auto"/>
              <w:right w:val="single" w:sz="4" w:space="0" w:color="auto"/>
            </w:tcBorders>
            <w:shd w:val="clear" w:color="auto" w:fill="auto"/>
            <w:noWrap/>
            <w:vAlign w:val="bottom"/>
            <w:hideMark/>
          </w:tcPr>
          <w:p w14:paraId="39E2FA14" w14:textId="77777777" w:rsidR="009A36D2" w:rsidRPr="009A36D2" w:rsidRDefault="009A36D2" w:rsidP="00281A92">
            <w:pPr>
              <w:spacing w:before="0" w:after="0" w:line="240" w:lineRule="auto"/>
              <w:jc w:val="center"/>
              <w:rPr>
                <w:b/>
                <w:bCs/>
                <w:color w:val="auto"/>
                <w:sz w:val="20"/>
                <w:szCs w:val="20"/>
              </w:rPr>
            </w:pPr>
            <w:r w:rsidRPr="009A36D2">
              <w:rPr>
                <w:b/>
                <w:bCs/>
                <w:color w:val="auto"/>
                <w:sz w:val="20"/>
                <w:szCs w:val="20"/>
              </w:rPr>
              <w:t xml:space="preserve">Rightward saccades </w:t>
            </w:r>
          </w:p>
        </w:tc>
      </w:tr>
      <w:tr w:rsidR="009A36D2" w:rsidRPr="009A36D2" w14:paraId="7D484187"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261640E"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Young (18-39 years old)</w:t>
            </w:r>
          </w:p>
        </w:tc>
      </w:tr>
      <w:tr w:rsidR="009A36D2" w:rsidRPr="009A36D2" w14:paraId="0FE86C67" w14:textId="77777777" w:rsidTr="00281A92">
        <w:trPr>
          <w:trHeight w:val="20"/>
          <w:jc w:val="center"/>
        </w:trPr>
        <w:tc>
          <w:tcPr>
            <w:tcW w:w="1201" w:type="pct"/>
            <w:gridSpan w:val="2"/>
            <w:tcBorders>
              <w:top w:val="nil"/>
              <w:left w:val="single" w:sz="4" w:space="0" w:color="auto"/>
              <w:bottom w:val="single" w:sz="4" w:space="0" w:color="auto"/>
              <w:right w:val="single" w:sz="4" w:space="0" w:color="auto"/>
              <w:tl2br w:val="single" w:sz="4" w:space="0" w:color="auto"/>
            </w:tcBorders>
            <w:shd w:val="clear" w:color="auto" w:fill="auto"/>
            <w:hideMark/>
          </w:tcPr>
          <w:p w14:paraId="5806CD14"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17F66DFB" w14:textId="77777777" w:rsidR="009A36D2" w:rsidRPr="009A36D2" w:rsidRDefault="009A36D2" w:rsidP="00281A92">
            <w:pPr>
              <w:spacing w:before="0" w:after="0" w:line="240" w:lineRule="auto"/>
              <w:rPr>
                <w:color w:val="auto"/>
                <w:sz w:val="20"/>
                <w:szCs w:val="20"/>
              </w:rPr>
            </w:pPr>
          </w:p>
          <w:p w14:paraId="63E5F75F"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03" w:type="pct"/>
            <w:gridSpan w:val="2"/>
            <w:tcBorders>
              <w:top w:val="nil"/>
              <w:left w:val="nil"/>
              <w:bottom w:val="single" w:sz="4" w:space="0" w:color="auto"/>
              <w:right w:val="single" w:sz="4" w:space="0" w:color="auto"/>
            </w:tcBorders>
            <w:shd w:val="clear" w:color="auto" w:fill="auto"/>
            <w:noWrap/>
            <w:hideMark/>
          </w:tcPr>
          <w:p w14:paraId="084FD267"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29" w:type="pct"/>
            <w:gridSpan w:val="3"/>
            <w:tcBorders>
              <w:top w:val="nil"/>
              <w:left w:val="nil"/>
              <w:bottom w:val="single" w:sz="4" w:space="0" w:color="auto"/>
              <w:right w:val="single" w:sz="4" w:space="0" w:color="auto"/>
            </w:tcBorders>
            <w:shd w:val="clear" w:color="auto" w:fill="auto"/>
            <w:noWrap/>
            <w:hideMark/>
          </w:tcPr>
          <w:p w14:paraId="7947798E"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31" w:type="pct"/>
            <w:gridSpan w:val="4"/>
            <w:tcBorders>
              <w:top w:val="nil"/>
              <w:left w:val="nil"/>
              <w:bottom w:val="single" w:sz="4" w:space="0" w:color="auto"/>
              <w:right w:val="single" w:sz="4" w:space="0" w:color="auto"/>
            </w:tcBorders>
            <w:shd w:val="clear" w:color="auto" w:fill="auto"/>
            <w:noWrap/>
            <w:hideMark/>
          </w:tcPr>
          <w:p w14:paraId="460F2902"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5" w:type="pct"/>
            <w:gridSpan w:val="3"/>
            <w:tcBorders>
              <w:top w:val="nil"/>
              <w:left w:val="nil"/>
              <w:bottom w:val="single" w:sz="4" w:space="0" w:color="auto"/>
              <w:right w:val="single" w:sz="4" w:space="0" w:color="auto"/>
            </w:tcBorders>
            <w:shd w:val="clear" w:color="auto" w:fill="auto"/>
            <w:noWrap/>
            <w:hideMark/>
          </w:tcPr>
          <w:p w14:paraId="4EA50545"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6" w:type="pct"/>
            <w:gridSpan w:val="2"/>
            <w:tcBorders>
              <w:top w:val="nil"/>
              <w:left w:val="nil"/>
              <w:bottom w:val="single" w:sz="4" w:space="0" w:color="auto"/>
              <w:right w:val="single" w:sz="4" w:space="0" w:color="auto"/>
            </w:tcBorders>
            <w:shd w:val="clear" w:color="auto" w:fill="auto"/>
            <w:noWrap/>
            <w:hideMark/>
          </w:tcPr>
          <w:p w14:paraId="2BC81636"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45" w:type="pct"/>
            <w:tcBorders>
              <w:top w:val="nil"/>
              <w:left w:val="nil"/>
              <w:bottom w:val="single" w:sz="4" w:space="0" w:color="auto"/>
              <w:right w:val="single" w:sz="4" w:space="0" w:color="auto"/>
            </w:tcBorders>
            <w:shd w:val="clear" w:color="auto" w:fill="auto"/>
            <w:noWrap/>
            <w:hideMark/>
          </w:tcPr>
          <w:p w14:paraId="3608EFE8"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249683A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2936C14"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03" w:type="pct"/>
            <w:gridSpan w:val="2"/>
            <w:tcBorders>
              <w:top w:val="nil"/>
              <w:left w:val="nil"/>
              <w:bottom w:val="single" w:sz="4" w:space="0" w:color="auto"/>
              <w:right w:val="single" w:sz="4" w:space="0" w:color="auto"/>
            </w:tcBorders>
            <w:shd w:val="clear" w:color="auto" w:fill="auto"/>
            <w:noWrap/>
            <w:vAlign w:val="bottom"/>
          </w:tcPr>
          <w:p w14:paraId="4CA6321A"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29" w:type="pct"/>
            <w:gridSpan w:val="3"/>
            <w:tcBorders>
              <w:top w:val="nil"/>
              <w:left w:val="nil"/>
              <w:bottom w:val="single" w:sz="4" w:space="0" w:color="auto"/>
              <w:right w:val="single" w:sz="4" w:space="0" w:color="auto"/>
            </w:tcBorders>
            <w:shd w:val="clear" w:color="auto" w:fill="auto"/>
            <w:noWrap/>
            <w:vAlign w:val="bottom"/>
          </w:tcPr>
          <w:p w14:paraId="1EDCEC6F"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31" w:type="pct"/>
            <w:gridSpan w:val="4"/>
            <w:tcBorders>
              <w:top w:val="nil"/>
              <w:left w:val="nil"/>
              <w:bottom w:val="single" w:sz="4" w:space="0" w:color="auto"/>
              <w:right w:val="single" w:sz="4" w:space="0" w:color="auto"/>
            </w:tcBorders>
            <w:shd w:val="clear" w:color="auto" w:fill="auto"/>
            <w:noWrap/>
            <w:vAlign w:val="bottom"/>
          </w:tcPr>
          <w:p w14:paraId="1C6721C3"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5" w:type="pct"/>
            <w:gridSpan w:val="3"/>
            <w:tcBorders>
              <w:top w:val="nil"/>
              <w:left w:val="nil"/>
              <w:bottom w:val="single" w:sz="4" w:space="0" w:color="auto"/>
              <w:right w:val="single" w:sz="4" w:space="0" w:color="auto"/>
            </w:tcBorders>
            <w:shd w:val="clear" w:color="auto" w:fill="auto"/>
            <w:noWrap/>
            <w:vAlign w:val="bottom"/>
          </w:tcPr>
          <w:p w14:paraId="3B86FB99" w14:textId="77777777" w:rsidR="009A36D2" w:rsidRPr="009A36D2" w:rsidRDefault="009A36D2" w:rsidP="00281A92">
            <w:pPr>
              <w:spacing w:before="0" w:after="0" w:line="240" w:lineRule="auto"/>
              <w:rPr>
                <w:color w:val="auto"/>
                <w:sz w:val="20"/>
                <w:szCs w:val="20"/>
              </w:rPr>
            </w:pPr>
            <w:r w:rsidRPr="009A36D2">
              <w:rPr>
                <w:color w:val="000000"/>
                <w:sz w:val="22"/>
                <w:szCs w:val="22"/>
              </w:rPr>
              <w:t>1.04</w:t>
            </w:r>
          </w:p>
        </w:tc>
        <w:tc>
          <w:tcPr>
            <w:tcW w:w="646" w:type="pct"/>
            <w:gridSpan w:val="2"/>
            <w:tcBorders>
              <w:top w:val="nil"/>
              <w:left w:val="nil"/>
              <w:bottom w:val="single" w:sz="4" w:space="0" w:color="auto"/>
              <w:right w:val="single" w:sz="4" w:space="0" w:color="auto"/>
            </w:tcBorders>
            <w:shd w:val="clear" w:color="auto" w:fill="auto"/>
            <w:noWrap/>
            <w:vAlign w:val="bottom"/>
          </w:tcPr>
          <w:p w14:paraId="446EFA8B" w14:textId="77777777" w:rsidR="009A36D2" w:rsidRPr="009A36D2" w:rsidRDefault="009A36D2" w:rsidP="00281A92">
            <w:pPr>
              <w:spacing w:before="0" w:after="0" w:line="240" w:lineRule="auto"/>
              <w:rPr>
                <w:color w:val="auto"/>
                <w:sz w:val="20"/>
                <w:szCs w:val="20"/>
              </w:rPr>
            </w:pPr>
            <w:r w:rsidRPr="009A36D2">
              <w:rPr>
                <w:color w:val="000000"/>
                <w:sz w:val="22"/>
                <w:szCs w:val="22"/>
              </w:rPr>
              <w:t>1.00</w:t>
            </w:r>
          </w:p>
        </w:tc>
        <w:tc>
          <w:tcPr>
            <w:tcW w:w="645" w:type="pct"/>
            <w:tcBorders>
              <w:top w:val="nil"/>
              <w:left w:val="nil"/>
              <w:bottom w:val="single" w:sz="4" w:space="0" w:color="auto"/>
              <w:right w:val="single" w:sz="4" w:space="0" w:color="auto"/>
            </w:tcBorders>
            <w:shd w:val="clear" w:color="auto" w:fill="auto"/>
            <w:noWrap/>
            <w:vAlign w:val="bottom"/>
          </w:tcPr>
          <w:p w14:paraId="708E77CA"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r>
      <w:tr w:rsidR="009A36D2" w:rsidRPr="009A36D2" w14:paraId="3237007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D45A6DD"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03" w:type="pct"/>
            <w:gridSpan w:val="2"/>
            <w:tcBorders>
              <w:top w:val="nil"/>
              <w:left w:val="nil"/>
              <w:bottom w:val="single" w:sz="4" w:space="0" w:color="auto"/>
              <w:right w:val="single" w:sz="4" w:space="0" w:color="auto"/>
            </w:tcBorders>
            <w:shd w:val="clear" w:color="auto" w:fill="auto"/>
            <w:noWrap/>
            <w:vAlign w:val="bottom"/>
          </w:tcPr>
          <w:p w14:paraId="341F362A"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29" w:type="pct"/>
            <w:gridSpan w:val="3"/>
            <w:tcBorders>
              <w:top w:val="nil"/>
              <w:left w:val="nil"/>
              <w:bottom w:val="single" w:sz="4" w:space="0" w:color="auto"/>
              <w:right w:val="single" w:sz="4" w:space="0" w:color="auto"/>
            </w:tcBorders>
            <w:shd w:val="clear" w:color="auto" w:fill="auto"/>
            <w:noWrap/>
            <w:vAlign w:val="bottom"/>
          </w:tcPr>
          <w:p w14:paraId="2C6DC6D8"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31" w:type="pct"/>
            <w:gridSpan w:val="4"/>
            <w:tcBorders>
              <w:top w:val="nil"/>
              <w:left w:val="nil"/>
              <w:bottom w:val="single" w:sz="4" w:space="0" w:color="auto"/>
              <w:right w:val="single" w:sz="4" w:space="0" w:color="auto"/>
            </w:tcBorders>
            <w:shd w:val="clear" w:color="auto" w:fill="auto"/>
            <w:noWrap/>
            <w:vAlign w:val="bottom"/>
          </w:tcPr>
          <w:p w14:paraId="0A72214B"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gridSpan w:val="3"/>
            <w:tcBorders>
              <w:top w:val="nil"/>
              <w:left w:val="nil"/>
              <w:bottom w:val="single" w:sz="4" w:space="0" w:color="auto"/>
              <w:right w:val="single" w:sz="4" w:space="0" w:color="auto"/>
            </w:tcBorders>
            <w:shd w:val="clear" w:color="auto" w:fill="auto"/>
            <w:noWrap/>
            <w:vAlign w:val="bottom"/>
          </w:tcPr>
          <w:p w14:paraId="5773DF09"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46" w:type="pct"/>
            <w:gridSpan w:val="2"/>
            <w:tcBorders>
              <w:top w:val="nil"/>
              <w:left w:val="nil"/>
              <w:bottom w:val="single" w:sz="4" w:space="0" w:color="auto"/>
              <w:right w:val="single" w:sz="4" w:space="0" w:color="auto"/>
            </w:tcBorders>
            <w:shd w:val="clear" w:color="auto" w:fill="auto"/>
            <w:noWrap/>
            <w:vAlign w:val="bottom"/>
          </w:tcPr>
          <w:p w14:paraId="13403D3B" w14:textId="77777777" w:rsidR="009A36D2" w:rsidRPr="009A36D2" w:rsidRDefault="009A36D2" w:rsidP="00281A92">
            <w:pPr>
              <w:spacing w:before="0" w:after="0" w:line="240" w:lineRule="auto"/>
              <w:rPr>
                <w:color w:val="auto"/>
                <w:sz w:val="20"/>
                <w:szCs w:val="20"/>
              </w:rPr>
            </w:pPr>
            <w:r w:rsidRPr="009A36D2">
              <w:rPr>
                <w:color w:val="000000"/>
                <w:sz w:val="22"/>
                <w:szCs w:val="22"/>
              </w:rPr>
              <w:t>1.00</w:t>
            </w:r>
          </w:p>
        </w:tc>
        <w:tc>
          <w:tcPr>
            <w:tcW w:w="645" w:type="pct"/>
            <w:tcBorders>
              <w:top w:val="nil"/>
              <w:left w:val="nil"/>
              <w:bottom w:val="single" w:sz="4" w:space="0" w:color="auto"/>
              <w:right w:val="single" w:sz="4" w:space="0" w:color="auto"/>
            </w:tcBorders>
            <w:shd w:val="clear" w:color="auto" w:fill="auto"/>
            <w:noWrap/>
            <w:vAlign w:val="bottom"/>
          </w:tcPr>
          <w:p w14:paraId="2279B58F"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r>
      <w:tr w:rsidR="009A36D2" w:rsidRPr="009A36D2" w14:paraId="58E65E2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319ED6A"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03" w:type="pct"/>
            <w:gridSpan w:val="2"/>
            <w:tcBorders>
              <w:top w:val="nil"/>
              <w:left w:val="nil"/>
              <w:bottom w:val="single" w:sz="4" w:space="0" w:color="auto"/>
              <w:right w:val="single" w:sz="4" w:space="0" w:color="auto"/>
            </w:tcBorders>
            <w:shd w:val="clear" w:color="auto" w:fill="auto"/>
            <w:noWrap/>
            <w:vAlign w:val="bottom"/>
          </w:tcPr>
          <w:p w14:paraId="14B5AB9D"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29" w:type="pct"/>
            <w:gridSpan w:val="3"/>
            <w:tcBorders>
              <w:top w:val="nil"/>
              <w:left w:val="nil"/>
              <w:bottom w:val="single" w:sz="4" w:space="0" w:color="auto"/>
              <w:right w:val="single" w:sz="4" w:space="0" w:color="auto"/>
            </w:tcBorders>
            <w:shd w:val="clear" w:color="auto" w:fill="auto"/>
            <w:noWrap/>
            <w:vAlign w:val="bottom"/>
          </w:tcPr>
          <w:p w14:paraId="1885710B"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31" w:type="pct"/>
            <w:gridSpan w:val="4"/>
            <w:tcBorders>
              <w:top w:val="nil"/>
              <w:left w:val="nil"/>
              <w:bottom w:val="single" w:sz="4" w:space="0" w:color="auto"/>
              <w:right w:val="single" w:sz="4" w:space="0" w:color="auto"/>
            </w:tcBorders>
            <w:shd w:val="clear" w:color="auto" w:fill="auto"/>
            <w:noWrap/>
            <w:vAlign w:val="bottom"/>
          </w:tcPr>
          <w:p w14:paraId="524E76A8"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gridSpan w:val="3"/>
            <w:tcBorders>
              <w:top w:val="nil"/>
              <w:left w:val="nil"/>
              <w:bottom w:val="single" w:sz="4" w:space="0" w:color="auto"/>
              <w:right w:val="single" w:sz="4" w:space="0" w:color="auto"/>
            </w:tcBorders>
            <w:shd w:val="clear" w:color="auto" w:fill="auto"/>
            <w:noWrap/>
            <w:vAlign w:val="bottom"/>
          </w:tcPr>
          <w:p w14:paraId="272AE5B2"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6" w:type="pct"/>
            <w:gridSpan w:val="2"/>
            <w:tcBorders>
              <w:top w:val="nil"/>
              <w:left w:val="nil"/>
              <w:bottom w:val="single" w:sz="4" w:space="0" w:color="auto"/>
              <w:right w:val="single" w:sz="4" w:space="0" w:color="auto"/>
            </w:tcBorders>
            <w:shd w:val="clear" w:color="auto" w:fill="auto"/>
            <w:noWrap/>
            <w:vAlign w:val="bottom"/>
          </w:tcPr>
          <w:p w14:paraId="33BAAF43"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45" w:type="pct"/>
            <w:tcBorders>
              <w:top w:val="nil"/>
              <w:left w:val="nil"/>
              <w:bottom w:val="single" w:sz="4" w:space="0" w:color="auto"/>
              <w:right w:val="single" w:sz="4" w:space="0" w:color="auto"/>
            </w:tcBorders>
            <w:shd w:val="clear" w:color="auto" w:fill="auto"/>
            <w:noWrap/>
            <w:vAlign w:val="bottom"/>
          </w:tcPr>
          <w:p w14:paraId="1BE26FC3"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r>
      <w:tr w:rsidR="009A36D2" w:rsidRPr="009A36D2" w14:paraId="23EFC313"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B822D1"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03" w:type="pct"/>
            <w:gridSpan w:val="2"/>
            <w:tcBorders>
              <w:top w:val="nil"/>
              <w:left w:val="nil"/>
              <w:bottom w:val="single" w:sz="4" w:space="0" w:color="auto"/>
              <w:right w:val="single" w:sz="4" w:space="0" w:color="auto"/>
            </w:tcBorders>
            <w:shd w:val="clear" w:color="auto" w:fill="auto"/>
            <w:noWrap/>
            <w:vAlign w:val="bottom"/>
          </w:tcPr>
          <w:p w14:paraId="6B1C7B6C"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29" w:type="pct"/>
            <w:gridSpan w:val="3"/>
            <w:tcBorders>
              <w:top w:val="nil"/>
              <w:left w:val="nil"/>
              <w:bottom w:val="single" w:sz="4" w:space="0" w:color="auto"/>
              <w:right w:val="single" w:sz="4" w:space="0" w:color="auto"/>
            </w:tcBorders>
            <w:shd w:val="clear" w:color="auto" w:fill="auto"/>
            <w:noWrap/>
            <w:vAlign w:val="bottom"/>
          </w:tcPr>
          <w:p w14:paraId="3EB7D3B9"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31" w:type="pct"/>
            <w:gridSpan w:val="4"/>
            <w:tcBorders>
              <w:top w:val="nil"/>
              <w:left w:val="nil"/>
              <w:bottom w:val="single" w:sz="4" w:space="0" w:color="auto"/>
              <w:right w:val="single" w:sz="4" w:space="0" w:color="auto"/>
            </w:tcBorders>
            <w:shd w:val="clear" w:color="auto" w:fill="auto"/>
            <w:noWrap/>
            <w:vAlign w:val="bottom"/>
          </w:tcPr>
          <w:p w14:paraId="2D4232DB" w14:textId="77777777" w:rsidR="009A36D2" w:rsidRPr="009A36D2" w:rsidRDefault="009A36D2" w:rsidP="00281A92">
            <w:pPr>
              <w:spacing w:before="0" w:after="0" w:line="240" w:lineRule="auto"/>
              <w:rPr>
                <w:color w:val="auto"/>
                <w:sz w:val="20"/>
                <w:szCs w:val="20"/>
              </w:rPr>
            </w:pPr>
            <w:r w:rsidRPr="009A36D2">
              <w:rPr>
                <w:color w:val="000000"/>
                <w:sz w:val="22"/>
                <w:szCs w:val="22"/>
              </w:rPr>
              <w:t>1.04</w:t>
            </w:r>
          </w:p>
        </w:tc>
        <w:tc>
          <w:tcPr>
            <w:tcW w:w="645" w:type="pct"/>
            <w:gridSpan w:val="3"/>
            <w:tcBorders>
              <w:top w:val="nil"/>
              <w:left w:val="nil"/>
              <w:bottom w:val="single" w:sz="4" w:space="0" w:color="auto"/>
              <w:right w:val="single" w:sz="4" w:space="0" w:color="auto"/>
            </w:tcBorders>
            <w:shd w:val="clear" w:color="auto" w:fill="auto"/>
            <w:noWrap/>
            <w:vAlign w:val="bottom"/>
          </w:tcPr>
          <w:p w14:paraId="5FA5BC72" w14:textId="77777777" w:rsidR="009A36D2" w:rsidRPr="009A36D2" w:rsidRDefault="009A36D2" w:rsidP="00281A92">
            <w:pPr>
              <w:spacing w:before="0" w:after="0" w:line="240" w:lineRule="auto"/>
              <w:rPr>
                <w:color w:val="auto"/>
                <w:sz w:val="20"/>
                <w:szCs w:val="20"/>
              </w:rPr>
            </w:pPr>
            <w:r w:rsidRPr="009A36D2">
              <w:rPr>
                <w:color w:val="000000"/>
                <w:sz w:val="22"/>
                <w:szCs w:val="22"/>
              </w:rPr>
              <w:t>1.04</w:t>
            </w:r>
          </w:p>
        </w:tc>
        <w:tc>
          <w:tcPr>
            <w:tcW w:w="646" w:type="pct"/>
            <w:gridSpan w:val="2"/>
            <w:tcBorders>
              <w:top w:val="nil"/>
              <w:left w:val="nil"/>
              <w:bottom w:val="single" w:sz="4" w:space="0" w:color="auto"/>
              <w:right w:val="single" w:sz="4" w:space="0" w:color="auto"/>
            </w:tcBorders>
            <w:shd w:val="clear" w:color="auto" w:fill="auto"/>
            <w:noWrap/>
            <w:vAlign w:val="bottom"/>
          </w:tcPr>
          <w:p w14:paraId="743B46CA"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c>
          <w:tcPr>
            <w:tcW w:w="645" w:type="pct"/>
            <w:tcBorders>
              <w:top w:val="nil"/>
              <w:left w:val="nil"/>
              <w:bottom w:val="single" w:sz="4" w:space="0" w:color="auto"/>
              <w:right w:val="single" w:sz="4" w:space="0" w:color="auto"/>
            </w:tcBorders>
            <w:shd w:val="clear" w:color="auto" w:fill="auto"/>
            <w:noWrap/>
            <w:vAlign w:val="bottom"/>
          </w:tcPr>
          <w:p w14:paraId="2117AA5F"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r>
      <w:tr w:rsidR="009A36D2" w:rsidRPr="009A36D2" w14:paraId="7CA8D67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01B6B19" w14:textId="77777777" w:rsidR="009A36D2" w:rsidRPr="009A36D2" w:rsidRDefault="009A36D2" w:rsidP="00281A92">
            <w:pPr>
              <w:spacing w:before="0" w:after="0" w:line="240" w:lineRule="auto"/>
              <w:rPr>
                <w:color w:val="auto"/>
                <w:sz w:val="20"/>
                <w:szCs w:val="20"/>
              </w:rPr>
            </w:pPr>
            <w:r w:rsidRPr="009A36D2">
              <w:rPr>
                <w:color w:val="auto"/>
                <w:sz w:val="20"/>
                <w:szCs w:val="20"/>
              </w:rPr>
              <w:lastRenderedPageBreak/>
              <w:t>5</w:t>
            </w:r>
          </w:p>
        </w:tc>
        <w:tc>
          <w:tcPr>
            <w:tcW w:w="603" w:type="pct"/>
            <w:gridSpan w:val="2"/>
            <w:tcBorders>
              <w:top w:val="nil"/>
              <w:left w:val="nil"/>
              <w:bottom w:val="single" w:sz="4" w:space="0" w:color="auto"/>
              <w:right w:val="single" w:sz="4" w:space="0" w:color="auto"/>
            </w:tcBorders>
            <w:shd w:val="clear" w:color="auto" w:fill="auto"/>
            <w:noWrap/>
            <w:vAlign w:val="bottom"/>
          </w:tcPr>
          <w:p w14:paraId="76E86496"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29" w:type="pct"/>
            <w:gridSpan w:val="3"/>
            <w:tcBorders>
              <w:top w:val="nil"/>
              <w:left w:val="nil"/>
              <w:bottom w:val="single" w:sz="4" w:space="0" w:color="auto"/>
              <w:right w:val="single" w:sz="4" w:space="0" w:color="auto"/>
            </w:tcBorders>
            <w:shd w:val="clear" w:color="auto" w:fill="auto"/>
            <w:noWrap/>
            <w:vAlign w:val="bottom"/>
          </w:tcPr>
          <w:p w14:paraId="4C67CBC6"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31" w:type="pct"/>
            <w:gridSpan w:val="4"/>
            <w:tcBorders>
              <w:top w:val="nil"/>
              <w:left w:val="nil"/>
              <w:bottom w:val="single" w:sz="4" w:space="0" w:color="auto"/>
              <w:right w:val="single" w:sz="4" w:space="0" w:color="auto"/>
            </w:tcBorders>
            <w:shd w:val="clear" w:color="auto" w:fill="auto"/>
            <w:noWrap/>
            <w:vAlign w:val="bottom"/>
          </w:tcPr>
          <w:p w14:paraId="45013961"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gridSpan w:val="3"/>
            <w:tcBorders>
              <w:top w:val="nil"/>
              <w:left w:val="nil"/>
              <w:bottom w:val="single" w:sz="4" w:space="0" w:color="auto"/>
              <w:right w:val="single" w:sz="4" w:space="0" w:color="auto"/>
            </w:tcBorders>
            <w:shd w:val="clear" w:color="auto" w:fill="auto"/>
            <w:noWrap/>
            <w:vAlign w:val="bottom"/>
          </w:tcPr>
          <w:p w14:paraId="5B031EE5"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46" w:type="pct"/>
            <w:gridSpan w:val="2"/>
            <w:tcBorders>
              <w:top w:val="nil"/>
              <w:left w:val="nil"/>
              <w:bottom w:val="single" w:sz="4" w:space="0" w:color="auto"/>
              <w:right w:val="single" w:sz="4" w:space="0" w:color="auto"/>
            </w:tcBorders>
            <w:shd w:val="clear" w:color="auto" w:fill="auto"/>
            <w:noWrap/>
            <w:vAlign w:val="bottom"/>
          </w:tcPr>
          <w:p w14:paraId="21C51D2C"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5" w:type="pct"/>
            <w:tcBorders>
              <w:top w:val="nil"/>
              <w:left w:val="nil"/>
              <w:bottom w:val="single" w:sz="4" w:space="0" w:color="auto"/>
              <w:right w:val="single" w:sz="4" w:space="0" w:color="auto"/>
            </w:tcBorders>
            <w:shd w:val="clear" w:color="auto" w:fill="auto"/>
            <w:noWrap/>
            <w:vAlign w:val="bottom"/>
          </w:tcPr>
          <w:p w14:paraId="21FCDCA1"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r>
      <w:tr w:rsidR="009A36D2" w:rsidRPr="009A36D2" w14:paraId="276FF55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437919A"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03" w:type="pct"/>
            <w:gridSpan w:val="2"/>
            <w:tcBorders>
              <w:top w:val="nil"/>
              <w:left w:val="nil"/>
              <w:bottom w:val="single" w:sz="4" w:space="0" w:color="auto"/>
              <w:right w:val="single" w:sz="4" w:space="0" w:color="auto"/>
            </w:tcBorders>
            <w:shd w:val="clear" w:color="auto" w:fill="auto"/>
            <w:noWrap/>
            <w:vAlign w:val="bottom"/>
          </w:tcPr>
          <w:p w14:paraId="12D9B829"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29" w:type="pct"/>
            <w:gridSpan w:val="3"/>
            <w:tcBorders>
              <w:top w:val="nil"/>
              <w:left w:val="nil"/>
              <w:bottom w:val="single" w:sz="4" w:space="0" w:color="auto"/>
              <w:right w:val="single" w:sz="4" w:space="0" w:color="auto"/>
            </w:tcBorders>
            <w:shd w:val="clear" w:color="auto" w:fill="auto"/>
            <w:noWrap/>
            <w:vAlign w:val="bottom"/>
          </w:tcPr>
          <w:p w14:paraId="457AB012"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31" w:type="pct"/>
            <w:gridSpan w:val="4"/>
            <w:tcBorders>
              <w:top w:val="nil"/>
              <w:left w:val="nil"/>
              <w:bottom w:val="single" w:sz="4" w:space="0" w:color="auto"/>
              <w:right w:val="single" w:sz="4" w:space="0" w:color="auto"/>
            </w:tcBorders>
            <w:shd w:val="clear" w:color="auto" w:fill="auto"/>
            <w:noWrap/>
            <w:vAlign w:val="bottom"/>
          </w:tcPr>
          <w:p w14:paraId="0EC17EB4" w14:textId="77777777" w:rsidR="009A36D2" w:rsidRPr="009A36D2" w:rsidRDefault="009A36D2" w:rsidP="00281A92">
            <w:pPr>
              <w:spacing w:before="0" w:after="0" w:line="240" w:lineRule="auto"/>
              <w:rPr>
                <w:color w:val="auto"/>
                <w:sz w:val="20"/>
                <w:szCs w:val="20"/>
              </w:rPr>
            </w:pPr>
            <w:r w:rsidRPr="009A36D2">
              <w:rPr>
                <w:color w:val="000000"/>
                <w:sz w:val="22"/>
                <w:szCs w:val="22"/>
              </w:rPr>
              <w:t>1.05</w:t>
            </w:r>
          </w:p>
        </w:tc>
        <w:tc>
          <w:tcPr>
            <w:tcW w:w="645" w:type="pct"/>
            <w:gridSpan w:val="3"/>
            <w:tcBorders>
              <w:top w:val="nil"/>
              <w:left w:val="nil"/>
              <w:bottom w:val="single" w:sz="4" w:space="0" w:color="auto"/>
              <w:right w:val="single" w:sz="4" w:space="0" w:color="auto"/>
            </w:tcBorders>
            <w:shd w:val="clear" w:color="auto" w:fill="auto"/>
            <w:noWrap/>
            <w:vAlign w:val="bottom"/>
          </w:tcPr>
          <w:p w14:paraId="302682E7"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c>
          <w:tcPr>
            <w:tcW w:w="646" w:type="pct"/>
            <w:gridSpan w:val="2"/>
            <w:tcBorders>
              <w:top w:val="nil"/>
              <w:left w:val="nil"/>
              <w:bottom w:val="single" w:sz="4" w:space="0" w:color="auto"/>
              <w:right w:val="single" w:sz="4" w:space="0" w:color="auto"/>
            </w:tcBorders>
            <w:shd w:val="clear" w:color="auto" w:fill="auto"/>
            <w:noWrap/>
            <w:vAlign w:val="bottom"/>
          </w:tcPr>
          <w:p w14:paraId="5078A4A5" w14:textId="77777777" w:rsidR="009A36D2" w:rsidRPr="009A36D2" w:rsidRDefault="009A36D2" w:rsidP="00281A92">
            <w:pPr>
              <w:spacing w:before="0" w:after="0" w:line="240" w:lineRule="auto"/>
              <w:rPr>
                <w:color w:val="auto"/>
                <w:sz w:val="20"/>
                <w:szCs w:val="20"/>
              </w:rPr>
            </w:pPr>
            <w:r w:rsidRPr="009A36D2">
              <w:rPr>
                <w:color w:val="000000"/>
                <w:sz w:val="22"/>
                <w:szCs w:val="22"/>
              </w:rPr>
              <w:t>0.79</w:t>
            </w:r>
          </w:p>
        </w:tc>
        <w:tc>
          <w:tcPr>
            <w:tcW w:w="645" w:type="pct"/>
            <w:tcBorders>
              <w:top w:val="nil"/>
              <w:left w:val="nil"/>
              <w:bottom w:val="single" w:sz="4" w:space="0" w:color="auto"/>
              <w:right w:val="single" w:sz="4" w:space="0" w:color="auto"/>
            </w:tcBorders>
            <w:shd w:val="clear" w:color="auto" w:fill="auto"/>
            <w:noWrap/>
            <w:vAlign w:val="bottom"/>
          </w:tcPr>
          <w:p w14:paraId="3F5127C8"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r>
      <w:tr w:rsidR="009A36D2" w:rsidRPr="009A36D2" w14:paraId="5BF5815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D2370E9"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03" w:type="pct"/>
            <w:gridSpan w:val="2"/>
            <w:tcBorders>
              <w:top w:val="nil"/>
              <w:left w:val="nil"/>
              <w:bottom w:val="single" w:sz="4" w:space="0" w:color="auto"/>
              <w:right w:val="single" w:sz="4" w:space="0" w:color="auto"/>
            </w:tcBorders>
            <w:shd w:val="clear" w:color="auto" w:fill="auto"/>
            <w:noWrap/>
            <w:vAlign w:val="bottom"/>
          </w:tcPr>
          <w:p w14:paraId="23AF4282"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29" w:type="pct"/>
            <w:gridSpan w:val="3"/>
            <w:tcBorders>
              <w:top w:val="nil"/>
              <w:left w:val="nil"/>
              <w:bottom w:val="single" w:sz="4" w:space="0" w:color="auto"/>
              <w:right w:val="single" w:sz="4" w:space="0" w:color="auto"/>
            </w:tcBorders>
            <w:shd w:val="clear" w:color="auto" w:fill="auto"/>
            <w:noWrap/>
            <w:vAlign w:val="bottom"/>
          </w:tcPr>
          <w:p w14:paraId="159740FB"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31" w:type="pct"/>
            <w:gridSpan w:val="4"/>
            <w:tcBorders>
              <w:top w:val="nil"/>
              <w:left w:val="nil"/>
              <w:bottom w:val="single" w:sz="4" w:space="0" w:color="auto"/>
              <w:right w:val="single" w:sz="4" w:space="0" w:color="auto"/>
            </w:tcBorders>
            <w:shd w:val="clear" w:color="auto" w:fill="auto"/>
            <w:noWrap/>
            <w:vAlign w:val="bottom"/>
          </w:tcPr>
          <w:p w14:paraId="66A4A929"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gridSpan w:val="3"/>
            <w:tcBorders>
              <w:top w:val="nil"/>
              <w:left w:val="nil"/>
              <w:bottom w:val="single" w:sz="4" w:space="0" w:color="auto"/>
              <w:right w:val="single" w:sz="4" w:space="0" w:color="auto"/>
            </w:tcBorders>
            <w:shd w:val="clear" w:color="auto" w:fill="auto"/>
            <w:noWrap/>
            <w:vAlign w:val="bottom"/>
          </w:tcPr>
          <w:p w14:paraId="55FA6AC7"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02DF28D1"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tcBorders>
              <w:top w:val="nil"/>
              <w:left w:val="nil"/>
              <w:bottom w:val="single" w:sz="4" w:space="0" w:color="auto"/>
              <w:right w:val="single" w:sz="4" w:space="0" w:color="auto"/>
            </w:tcBorders>
            <w:shd w:val="clear" w:color="auto" w:fill="auto"/>
            <w:noWrap/>
            <w:vAlign w:val="bottom"/>
          </w:tcPr>
          <w:p w14:paraId="462D8935"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r>
      <w:tr w:rsidR="009A36D2" w:rsidRPr="009A36D2" w14:paraId="08BD470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46F8ADE"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03" w:type="pct"/>
            <w:gridSpan w:val="2"/>
            <w:tcBorders>
              <w:top w:val="nil"/>
              <w:left w:val="nil"/>
              <w:bottom w:val="single" w:sz="4" w:space="0" w:color="auto"/>
              <w:right w:val="single" w:sz="4" w:space="0" w:color="auto"/>
            </w:tcBorders>
            <w:shd w:val="clear" w:color="auto" w:fill="auto"/>
            <w:noWrap/>
            <w:vAlign w:val="bottom"/>
          </w:tcPr>
          <w:p w14:paraId="762F638D"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29" w:type="pct"/>
            <w:gridSpan w:val="3"/>
            <w:tcBorders>
              <w:top w:val="nil"/>
              <w:left w:val="nil"/>
              <w:bottom w:val="single" w:sz="4" w:space="0" w:color="auto"/>
              <w:right w:val="single" w:sz="4" w:space="0" w:color="auto"/>
            </w:tcBorders>
            <w:shd w:val="clear" w:color="auto" w:fill="auto"/>
            <w:noWrap/>
            <w:vAlign w:val="bottom"/>
          </w:tcPr>
          <w:p w14:paraId="130B10A3"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31" w:type="pct"/>
            <w:gridSpan w:val="4"/>
            <w:tcBorders>
              <w:top w:val="nil"/>
              <w:left w:val="nil"/>
              <w:bottom w:val="single" w:sz="4" w:space="0" w:color="auto"/>
              <w:right w:val="single" w:sz="4" w:space="0" w:color="auto"/>
            </w:tcBorders>
            <w:shd w:val="clear" w:color="auto" w:fill="auto"/>
            <w:noWrap/>
            <w:vAlign w:val="bottom"/>
          </w:tcPr>
          <w:p w14:paraId="2A89ECCC"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gridSpan w:val="3"/>
            <w:tcBorders>
              <w:top w:val="nil"/>
              <w:left w:val="nil"/>
              <w:bottom w:val="single" w:sz="4" w:space="0" w:color="auto"/>
              <w:right w:val="single" w:sz="4" w:space="0" w:color="auto"/>
            </w:tcBorders>
            <w:shd w:val="clear" w:color="auto" w:fill="auto"/>
            <w:noWrap/>
            <w:vAlign w:val="bottom"/>
          </w:tcPr>
          <w:p w14:paraId="084E0EB4"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3596B288"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5" w:type="pct"/>
            <w:tcBorders>
              <w:top w:val="nil"/>
              <w:left w:val="nil"/>
              <w:bottom w:val="single" w:sz="4" w:space="0" w:color="auto"/>
              <w:right w:val="single" w:sz="4" w:space="0" w:color="auto"/>
            </w:tcBorders>
            <w:shd w:val="clear" w:color="auto" w:fill="auto"/>
            <w:noWrap/>
            <w:vAlign w:val="bottom"/>
          </w:tcPr>
          <w:p w14:paraId="714BEC83"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r>
      <w:tr w:rsidR="009A36D2" w:rsidRPr="009A36D2" w14:paraId="4838AAFE"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05A2DCE"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03" w:type="pct"/>
            <w:gridSpan w:val="2"/>
            <w:tcBorders>
              <w:top w:val="nil"/>
              <w:left w:val="nil"/>
              <w:bottom w:val="single" w:sz="4" w:space="0" w:color="auto"/>
              <w:right w:val="single" w:sz="4" w:space="0" w:color="auto"/>
            </w:tcBorders>
            <w:shd w:val="clear" w:color="auto" w:fill="auto"/>
            <w:noWrap/>
            <w:vAlign w:val="bottom"/>
          </w:tcPr>
          <w:p w14:paraId="7E9C315E"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29" w:type="pct"/>
            <w:gridSpan w:val="3"/>
            <w:tcBorders>
              <w:top w:val="nil"/>
              <w:left w:val="nil"/>
              <w:bottom w:val="single" w:sz="4" w:space="0" w:color="auto"/>
              <w:right w:val="single" w:sz="4" w:space="0" w:color="auto"/>
            </w:tcBorders>
            <w:shd w:val="clear" w:color="auto" w:fill="auto"/>
            <w:noWrap/>
            <w:vAlign w:val="bottom"/>
          </w:tcPr>
          <w:p w14:paraId="491ED4D0"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c>
          <w:tcPr>
            <w:tcW w:w="631" w:type="pct"/>
            <w:gridSpan w:val="4"/>
            <w:tcBorders>
              <w:top w:val="nil"/>
              <w:left w:val="nil"/>
              <w:bottom w:val="single" w:sz="4" w:space="0" w:color="auto"/>
              <w:right w:val="single" w:sz="4" w:space="0" w:color="auto"/>
            </w:tcBorders>
            <w:shd w:val="clear" w:color="auto" w:fill="auto"/>
            <w:noWrap/>
            <w:vAlign w:val="bottom"/>
          </w:tcPr>
          <w:p w14:paraId="3ED71E88"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gridSpan w:val="3"/>
            <w:tcBorders>
              <w:top w:val="nil"/>
              <w:left w:val="nil"/>
              <w:bottom w:val="single" w:sz="4" w:space="0" w:color="auto"/>
              <w:right w:val="single" w:sz="4" w:space="0" w:color="auto"/>
            </w:tcBorders>
            <w:shd w:val="clear" w:color="auto" w:fill="auto"/>
            <w:noWrap/>
            <w:vAlign w:val="bottom"/>
          </w:tcPr>
          <w:p w14:paraId="5DBB219E"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6" w:type="pct"/>
            <w:gridSpan w:val="2"/>
            <w:tcBorders>
              <w:top w:val="nil"/>
              <w:left w:val="nil"/>
              <w:bottom w:val="single" w:sz="4" w:space="0" w:color="auto"/>
              <w:right w:val="single" w:sz="4" w:space="0" w:color="auto"/>
            </w:tcBorders>
            <w:shd w:val="clear" w:color="auto" w:fill="auto"/>
            <w:noWrap/>
            <w:vAlign w:val="bottom"/>
          </w:tcPr>
          <w:p w14:paraId="6F059EE9"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5" w:type="pct"/>
            <w:tcBorders>
              <w:top w:val="nil"/>
              <w:left w:val="nil"/>
              <w:bottom w:val="single" w:sz="4" w:space="0" w:color="auto"/>
              <w:right w:val="single" w:sz="4" w:space="0" w:color="auto"/>
            </w:tcBorders>
            <w:shd w:val="clear" w:color="auto" w:fill="auto"/>
            <w:noWrap/>
            <w:vAlign w:val="bottom"/>
          </w:tcPr>
          <w:p w14:paraId="45AE3BCB"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r>
      <w:tr w:rsidR="009A36D2" w:rsidRPr="009A36D2" w14:paraId="75C8E08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104C0B8"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03" w:type="pct"/>
            <w:gridSpan w:val="2"/>
            <w:tcBorders>
              <w:top w:val="nil"/>
              <w:left w:val="nil"/>
              <w:bottom w:val="single" w:sz="4" w:space="0" w:color="auto"/>
              <w:right w:val="single" w:sz="4" w:space="0" w:color="auto"/>
            </w:tcBorders>
            <w:shd w:val="clear" w:color="auto" w:fill="auto"/>
            <w:noWrap/>
            <w:vAlign w:val="bottom"/>
          </w:tcPr>
          <w:p w14:paraId="6E6222A4"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29" w:type="pct"/>
            <w:gridSpan w:val="3"/>
            <w:tcBorders>
              <w:top w:val="nil"/>
              <w:left w:val="nil"/>
              <w:bottom w:val="single" w:sz="4" w:space="0" w:color="auto"/>
              <w:right w:val="single" w:sz="4" w:space="0" w:color="auto"/>
            </w:tcBorders>
            <w:shd w:val="clear" w:color="auto" w:fill="auto"/>
            <w:noWrap/>
            <w:vAlign w:val="bottom"/>
          </w:tcPr>
          <w:p w14:paraId="45D7D893"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31" w:type="pct"/>
            <w:gridSpan w:val="4"/>
            <w:tcBorders>
              <w:top w:val="nil"/>
              <w:left w:val="nil"/>
              <w:bottom w:val="single" w:sz="4" w:space="0" w:color="auto"/>
              <w:right w:val="single" w:sz="4" w:space="0" w:color="auto"/>
            </w:tcBorders>
            <w:shd w:val="clear" w:color="auto" w:fill="auto"/>
            <w:noWrap/>
            <w:vAlign w:val="bottom"/>
          </w:tcPr>
          <w:p w14:paraId="049C67EE"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45" w:type="pct"/>
            <w:gridSpan w:val="3"/>
            <w:tcBorders>
              <w:top w:val="nil"/>
              <w:left w:val="nil"/>
              <w:bottom w:val="single" w:sz="4" w:space="0" w:color="auto"/>
              <w:right w:val="single" w:sz="4" w:space="0" w:color="auto"/>
            </w:tcBorders>
            <w:shd w:val="clear" w:color="auto" w:fill="auto"/>
            <w:noWrap/>
            <w:vAlign w:val="bottom"/>
          </w:tcPr>
          <w:p w14:paraId="7F4BD7D8"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c>
          <w:tcPr>
            <w:tcW w:w="646" w:type="pct"/>
            <w:gridSpan w:val="2"/>
            <w:tcBorders>
              <w:top w:val="nil"/>
              <w:left w:val="nil"/>
              <w:bottom w:val="single" w:sz="4" w:space="0" w:color="auto"/>
              <w:right w:val="single" w:sz="4" w:space="0" w:color="auto"/>
            </w:tcBorders>
            <w:shd w:val="clear" w:color="auto" w:fill="auto"/>
            <w:noWrap/>
            <w:vAlign w:val="bottom"/>
          </w:tcPr>
          <w:p w14:paraId="1BA47720"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5" w:type="pct"/>
            <w:tcBorders>
              <w:top w:val="nil"/>
              <w:left w:val="nil"/>
              <w:bottom w:val="single" w:sz="4" w:space="0" w:color="auto"/>
              <w:right w:val="single" w:sz="4" w:space="0" w:color="auto"/>
            </w:tcBorders>
            <w:shd w:val="clear" w:color="auto" w:fill="auto"/>
            <w:noWrap/>
            <w:vAlign w:val="bottom"/>
          </w:tcPr>
          <w:p w14:paraId="0F7AD1A2"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r>
      <w:tr w:rsidR="009A36D2" w:rsidRPr="009A36D2" w14:paraId="6ED630CD"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659BEF5"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03" w:type="pct"/>
            <w:gridSpan w:val="2"/>
            <w:tcBorders>
              <w:top w:val="nil"/>
              <w:left w:val="nil"/>
              <w:bottom w:val="single" w:sz="4" w:space="0" w:color="auto"/>
              <w:right w:val="single" w:sz="4" w:space="0" w:color="auto"/>
            </w:tcBorders>
            <w:shd w:val="clear" w:color="auto" w:fill="auto"/>
            <w:noWrap/>
            <w:vAlign w:val="bottom"/>
          </w:tcPr>
          <w:p w14:paraId="2BFF8DDA"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29" w:type="pct"/>
            <w:gridSpan w:val="3"/>
            <w:tcBorders>
              <w:top w:val="nil"/>
              <w:left w:val="nil"/>
              <w:bottom w:val="single" w:sz="4" w:space="0" w:color="auto"/>
              <w:right w:val="single" w:sz="4" w:space="0" w:color="auto"/>
            </w:tcBorders>
            <w:shd w:val="clear" w:color="auto" w:fill="auto"/>
            <w:noWrap/>
            <w:vAlign w:val="bottom"/>
          </w:tcPr>
          <w:p w14:paraId="05F1BDAA"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31" w:type="pct"/>
            <w:gridSpan w:val="4"/>
            <w:tcBorders>
              <w:top w:val="nil"/>
              <w:left w:val="nil"/>
              <w:bottom w:val="single" w:sz="4" w:space="0" w:color="auto"/>
              <w:right w:val="single" w:sz="4" w:space="0" w:color="auto"/>
            </w:tcBorders>
            <w:shd w:val="clear" w:color="auto" w:fill="auto"/>
            <w:noWrap/>
            <w:vAlign w:val="bottom"/>
          </w:tcPr>
          <w:p w14:paraId="2605D197"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5" w:type="pct"/>
            <w:gridSpan w:val="3"/>
            <w:tcBorders>
              <w:top w:val="nil"/>
              <w:left w:val="nil"/>
              <w:bottom w:val="single" w:sz="4" w:space="0" w:color="auto"/>
              <w:right w:val="single" w:sz="4" w:space="0" w:color="auto"/>
            </w:tcBorders>
            <w:shd w:val="clear" w:color="auto" w:fill="auto"/>
            <w:noWrap/>
            <w:vAlign w:val="bottom"/>
          </w:tcPr>
          <w:p w14:paraId="4846557D"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6" w:type="pct"/>
            <w:gridSpan w:val="2"/>
            <w:tcBorders>
              <w:top w:val="nil"/>
              <w:left w:val="nil"/>
              <w:bottom w:val="single" w:sz="4" w:space="0" w:color="auto"/>
              <w:right w:val="single" w:sz="4" w:space="0" w:color="auto"/>
            </w:tcBorders>
            <w:shd w:val="clear" w:color="auto" w:fill="auto"/>
            <w:noWrap/>
            <w:vAlign w:val="bottom"/>
          </w:tcPr>
          <w:p w14:paraId="4D4A68C3"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5" w:type="pct"/>
            <w:tcBorders>
              <w:top w:val="nil"/>
              <w:left w:val="nil"/>
              <w:bottom w:val="single" w:sz="4" w:space="0" w:color="auto"/>
              <w:right w:val="single" w:sz="4" w:space="0" w:color="auto"/>
            </w:tcBorders>
            <w:shd w:val="clear" w:color="auto" w:fill="auto"/>
            <w:noWrap/>
            <w:vAlign w:val="bottom"/>
          </w:tcPr>
          <w:p w14:paraId="3AA1DE33"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r>
      <w:tr w:rsidR="009A36D2" w:rsidRPr="009A36D2" w14:paraId="3193A4B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A1B265B"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03" w:type="pct"/>
            <w:gridSpan w:val="2"/>
            <w:tcBorders>
              <w:top w:val="nil"/>
              <w:left w:val="nil"/>
              <w:bottom w:val="single" w:sz="4" w:space="0" w:color="auto"/>
              <w:right w:val="single" w:sz="4" w:space="0" w:color="auto"/>
            </w:tcBorders>
            <w:shd w:val="clear" w:color="auto" w:fill="auto"/>
            <w:noWrap/>
            <w:vAlign w:val="bottom"/>
          </w:tcPr>
          <w:p w14:paraId="6E9B2A87"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29" w:type="pct"/>
            <w:gridSpan w:val="3"/>
            <w:tcBorders>
              <w:top w:val="nil"/>
              <w:left w:val="nil"/>
              <w:bottom w:val="single" w:sz="4" w:space="0" w:color="auto"/>
              <w:right w:val="single" w:sz="4" w:space="0" w:color="auto"/>
            </w:tcBorders>
            <w:shd w:val="clear" w:color="auto" w:fill="auto"/>
            <w:noWrap/>
            <w:vAlign w:val="bottom"/>
          </w:tcPr>
          <w:p w14:paraId="51BB6318"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31" w:type="pct"/>
            <w:gridSpan w:val="4"/>
            <w:tcBorders>
              <w:top w:val="nil"/>
              <w:left w:val="nil"/>
              <w:bottom w:val="single" w:sz="4" w:space="0" w:color="auto"/>
              <w:right w:val="single" w:sz="4" w:space="0" w:color="auto"/>
            </w:tcBorders>
            <w:shd w:val="clear" w:color="auto" w:fill="auto"/>
            <w:noWrap/>
            <w:vAlign w:val="bottom"/>
          </w:tcPr>
          <w:p w14:paraId="1CD578D8"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c>
          <w:tcPr>
            <w:tcW w:w="645" w:type="pct"/>
            <w:gridSpan w:val="3"/>
            <w:tcBorders>
              <w:top w:val="nil"/>
              <w:left w:val="nil"/>
              <w:bottom w:val="single" w:sz="4" w:space="0" w:color="auto"/>
              <w:right w:val="single" w:sz="4" w:space="0" w:color="auto"/>
            </w:tcBorders>
            <w:shd w:val="clear" w:color="auto" w:fill="auto"/>
            <w:noWrap/>
            <w:vAlign w:val="bottom"/>
          </w:tcPr>
          <w:p w14:paraId="4489CA3D"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752062D8"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5" w:type="pct"/>
            <w:tcBorders>
              <w:top w:val="nil"/>
              <w:left w:val="nil"/>
              <w:bottom w:val="single" w:sz="4" w:space="0" w:color="auto"/>
              <w:right w:val="single" w:sz="4" w:space="0" w:color="auto"/>
            </w:tcBorders>
            <w:shd w:val="clear" w:color="auto" w:fill="auto"/>
            <w:noWrap/>
            <w:vAlign w:val="bottom"/>
          </w:tcPr>
          <w:p w14:paraId="767CECC1"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r>
      <w:tr w:rsidR="009A36D2" w:rsidRPr="009A36D2" w14:paraId="57F8167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8230362"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03" w:type="pct"/>
            <w:gridSpan w:val="2"/>
            <w:tcBorders>
              <w:top w:val="nil"/>
              <w:left w:val="nil"/>
              <w:bottom w:val="single" w:sz="4" w:space="0" w:color="auto"/>
              <w:right w:val="single" w:sz="4" w:space="0" w:color="auto"/>
            </w:tcBorders>
            <w:shd w:val="clear" w:color="auto" w:fill="auto"/>
            <w:noWrap/>
            <w:vAlign w:val="bottom"/>
          </w:tcPr>
          <w:p w14:paraId="42458697" w14:textId="77777777" w:rsidR="009A36D2" w:rsidRPr="009A36D2" w:rsidRDefault="009A36D2" w:rsidP="00281A92">
            <w:pPr>
              <w:spacing w:before="0" w:after="0" w:line="240" w:lineRule="auto"/>
              <w:rPr>
                <w:color w:val="auto"/>
                <w:sz w:val="20"/>
                <w:szCs w:val="20"/>
              </w:rPr>
            </w:pPr>
            <w:r w:rsidRPr="009A36D2">
              <w:rPr>
                <w:color w:val="000000"/>
                <w:sz w:val="22"/>
                <w:szCs w:val="22"/>
              </w:rPr>
              <w:t>0.78</w:t>
            </w:r>
          </w:p>
        </w:tc>
        <w:tc>
          <w:tcPr>
            <w:tcW w:w="629" w:type="pct"/>
            <w:gridSpan w:val="3"/>
            <w:tcBorders>
              <w:top w:val="nil"/>
              <w:left w:val="nil"/>
              <w:bottom w:val="single" w:sz="4" w:space="0" w:color="auto"/>
              <w:right w:val="single" w:sz="4" w:space="0" w:color="auto"/>
            </w:tcBorders>
            <w:shd w:val="clear" w:color="auto" w:fill="auto"/>
            <w:noWrap/>
            <w:vAlign w:val="bottom"/>
          </w:tcPr>
          <w:p w14:paraId="00492D58"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31" w:type="pct"/>
            <w:gridSpan w:val="4"/>
            <w:tcBorders>
              <w:top w:val="nil"/>
              <w:left w:val="nil"/>
              <w:bottom w:val="single" w:sz="4" w:space="0" w:color="auto"/>
              <w:right w:val="single" w:sz="4" w:space="0" w:color="auto"/>
            </w:tcBorders>
            <w:shd w:val="clear" w:color="auto" w:fill="auto"/>
            <w:noWrap/>
            <w:vAlign w:val="bottom"/>
          </w:tcPr>
          <w:p w14:paraId="125D3E52"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45" w:type="pct"/>
            <w:gridSpan w:val="3"/>
            <w:tcBorders>
              <w:top w:val="nil"/>
              <w:left w:val="nil"/>
              <w:bottom w:val="single" w:sz="4" w:space="0" w:color="auto"/>
              <w:right w:val="single" w:sz="4" w:space="0" w:color="auto"/>
            </w:tcBorders>
            <w:shd w:val="clear" w:color="auto" w:fill="auto"/>
            <w:noWrap/>
            <w:vAlign w:val="bottom"/>
          </w:tcPr>
          <w:p w14:paraId="1E2C8FDB"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46" w:type="pct"/>
            <w:gridSpan w:val="2"/>
            <w:tcBorders>
              <w:top w:val="nil"/>
              <w:left w:val="nil"/>
              <w:bottom w:val="single" w:sz="4" w:space="0" w:color="auto"/>
              <w:right w:val="single" w:sz="4" w:space="0" w:color="auto"/>
            </w:tcBorders>
            <w:shd w:val="clear" w:color="auto" w:fill="auto"/>
            <w:noWrap/>
            <w:vAlign w:val="bottom"/>
          </w:tcPr>
          <w:p w14:paraId="2E979204"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45" w:type="pct"/>
            <w:tcBorders>
              <w:top w:val="nil"/>
              <w:left w:val="nil"/>
              <w:bottom w:val="single" w:sz="4" w:space="0" w:color="auto"/>
              <w:right w:val="single" w:sz="4" w:space="0" w:color="auto"/>
            </w:tcBorders>
            <w:shd w:val="clear" w:color="auto" w:fill="auto"/>
            <w:noWrap/>
            <w:vAlign w:val="bottom"/>
          </w:tcPr>
          <w:p w14:paraId="07C97E1F"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r>
      <w:tr w:rsidR="009A36D2" w:rsidRPr="009A36D2" w14:paraId="35CFD38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383D88E"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03" w:type="pct"/>
            <w:gridSpan w:val="2"/>
            <w:tcBorders>
              <w:top w:val="nil"/>
              <w:left w:val="nil"/>
              <w:bottom w:val="single" w:sz="4" w:space="0" w:color="auto"/>
              <w:right w:val="single" w:sz="4" w:space="0" w:color="auto"/>
            </w:tcBorders>
            <w:shd w:val="clear" w:color="auto" w:fill="auto"/>
            <w:noWrap/>
            <w:vAlign w:val="bottom"/>
          </w:tcPr>
          <w:p w14:paraId="5417B84B"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29" w:type="pct"/>
            <w:gridSpan w:val="3"/>
            <w:tcBorders>
              <w:top w:val="nil"/>
              <w:left w:val="nil"/>
              <w:bottom w:val="single" w:sz="4" w:space="0" w:color="auto"/>
              <w:right w:val="single" w:sz="4" w:space="0" w:color="auto"/>
            </w:tcBorders>
            <w:shd w:val="clear" w:color="auto" w:fill="auto"/>
            <w:noWrap/>
            <w:vAlign w:val="bottom"/>
          </w:tcPr>
          <w:p w14:paraId="2D0606FD"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31" w:type="pct"/>
            <w:gridSpan w:val="4"/>
            <w:tcBorders>
              <w:top w:val="nil"/>
              <w:left w:val="nil"/>
              <w:bottom w:val="single" w:sz="4" w:space="0" w:color="auto"/>
              <w:right w:val="single" w:sz="4" w:space="0" w:color="auto"/>
            </w:tcBorders>
            <w:shd w:val="clear" w:color="auto" w:fill="auto"/>
            <w:noWrap/>
            <w:vAlign w:val="bottom"/>
          </w:tcPr>
          <w:p w14:paraId="5B46E768"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gridSpan w:val="3"/>
            <w:tcBorders>
              <w:top w:val="nil"/>
              <w:left w:val="nil"/>
              <w:bottom w:val="single" w:sz="4" w:space="0" w:color="auto"/>
              <w:right w:val="single" w:sz="4" w:space="0" w:color="auto"/>
            </w:tcBorders>
            <w:shd w:val="clear" w:color="auto" w:fill="auto"/>
            <w:noWrap/>
            <w:vAlign w:val="bottom"/>
          </w:tcPr>
          <w:p w14:paraId="4A287645"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6" w:type="pct"/>
            <w:gridSpan w:val="2"/>
            <w:tcBorders>
              <w:top w:val="nil"/>
              <w:left w:val="nil"/>
              <w:bottom w:val="single" w:sz="4" w:space="0" w:color="auto"/>
              <w:right w:val="single" w:sz="4" w:space="0" w:color="auto"/>
            </w:tcBorders>
            <w:shd w:val="clear" w:color="auto" w:fill="auto"/>
            <w:noWrap/>
            <w:vAlign w:val="bottom"/>
          </w:tcPr>
          <w:p w14:paraId="0D4E07B7"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45" w:type="pct"/>
            <w:tcBorders>
              <w:top w:val="nil"/>
              <w:left w:val="nil"/>
              <w:bottom w:val="single" w:sz="4" w:space="0" w:color="auto"/>
              <w:right w:val="single" w:sz="4" w:space="0" w:color="auto"/>
            </w:tcBorders>
            <w:shd w:val="clear" w:color="auto" w:fill="auto"/>
            <w:noWrap/>
            <w:vAlign w:val="bottom"/>
          </w:tcPr>
          <w:p w14:paraId="058AB85F"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r>
      <w:tr w:rsidR="009A36D2" w:rsidRPr="009A36D2" w14:paraId="6510AE1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0F2B2AC"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03" w:type="pct"/>
            <w:gridSpan w:val="2"/>
            <w:tcBorders>
              <w:top w:val="nil"/>
              <w:left w:val="nil"/>
              <w:bottom w:val="single" w:sz="4" w:space="0" w:color="auto"/>
              <w:right w:val="single" w:sz="4" w:space="0" w:color="auto"/>
            </w:tcBorders>
            <w:shd w:val="clear" w:color="auto" w:fill="auto"/>
            <w:noWrap/>
            <w:vAlign w:val="bottom"/>
          </w:tcPr>
          <w:p w14:paraId="79BD0EAD"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29" w:type="pct"/>
            <w:gridSpan w:val="3"/>
            <w:tcBorders>
              <w:top w:val="nil"/>
              <w:left w:val="nil"/>
              <w:bottom w:val="single" w:sz="4" w:space="0" w:color="auto"/>
              <w:right w:val="single" w:sz="4" w:space="0" w:color="auto"/>
            </w:tcBorders>
            <w:shd w:val="clear" w:color="auto" w:fill="auto"/>
            <w:noWrap/>
            <w:vAlign w:val="bottom"/>
          </w:tcPr>
          <w:p w14:paraId="64E90AC4"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31" w:type="pct"/>
            <w:gridSpan w:val="4"/>
            <w:tcBorders>
              <w:top w:val="nil"/>
              <w:left w:val="nil"/>
              <w:bottom w:val="single" w:sz="4" w:space="0" w:color="auto"/>
              <w:right w:val="single" w:sz="4" w:space="0" w:color="auto"/>
            </w:tcBorders>
            <w:shd w:val="clear" w:color="auto" w:fill="auto"/>
            <w:noWrap/>
            <w:vAlign w:val="bottom"/>
          </w:tcPr>
          <w:p w14:paraId="5B4EF99D"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45" w:type="pct"/>
            <w:gridSpan w:val="3"/>
            <w:tcBorders>
              <w:top w:val="nil"/>
              <w:left w:val="nil"/>
              <w:bottom w:val="single" w:sz="4" w:space="0" w:color="auto"/>
              <w:right w:val="single" w:sz="4" w:space="0" w:color="auto"/>
            </w:tcBorders>
            <w:shd w:val="clear" w:color="auto" w:fill="auto"/>
            <w:noWrap/>
            <w:vAlign w:val="bottom"/>
          </w:tcPr>
          <w:p w14:paraId="7FCAD1E6"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c>
          <w:tcPr>
            <w:tcW w:w="646" w:type="pct"/>
            <w:gridSpan w:val="2"/>
            <w:tcBorders>
              <w:top w:val="nil"/>
              <w:left w:val="nil"/>
              <w:bottom w:val="single" w:sz="4" w:space="0" w:color="auto"/>
              <w:right w:val="single" w:sz="4" w:space="0" w:color="auto"/>
            </w:tcBorders>
            <w:shd w:val="clear" w:color="auto" w:fill="auto"/>
            <w:noWrap/>
            <w:vAlign w:val="bottom"/>
          </w:tcPr>
          <w:p w14:paraId="22E36AE7"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45" w:type="pct"/>
            <w:tcBorders>
              <w:top w:val="nil"/>
              <w:left w:val="nil"/>
              <w:bottom w:val="single" w:sz="4" w:space="0" w:color="auto"/>
              <w:right w:val="single" w:sz="4" w:space="0" w:color="auto"/>
            </w:tcBorders>
            <w:shd w:val="clear" w:color="auto" w:fill="auto"/>
            <w:noWrap/>
            <w:vAlign w:val="bottom"/>
          </w:tcPr>
          <w:p w14:paraId="0988ED9F"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r>
      <w:tr w:rsidR="009A36D2" w:rsidRPr="009A36D2" w14:paraId="26507D4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BF3DDE8" w14:textId="77777777" w:rsidR="009A36D2" w:rsidRPr="009A36D2" w:rsidRDefault="009A36D2" w:rsidP="00281A92">
            <w:pPr>
              <w:spacing w:before="0" w:after="0" w:line="240" w:lineRule="auto"/>
              <w:rPr>
                <w:color w:val="auto"/>
                <w:sz w:val="20"/>
                <w:szCs w:val="20"/>
              </w:rPr>
            </w:pPr>
            <w:r w:rsidRPr="009A36D2">
              <w:rPr>
                <w:color w:val="auto"/>
                <w:sz w:val="20"/>
                <w:szCs w:val="20"/>
              </w:rPr>
              <w:t>16</w:t>
            </w:r>
          </w:p>
        </w:tc>
        <w:tc>
          <w:tcPr>
            <w:tcW w:w="603" w:type="pct"/>
            <w:gridSpan w:val="2"/>
            <w:tcBorders>
              <w:top w:val="nil"/>
              <w:left w:val="nil"/>
              <w:bottom w:val="single" w:sz="4" w:space="0" w:color="auto"/>
              <w:right w:val="single" w:sz="4" w:space="0" w:color="auto"/>
            </w:tcBorders>
            <w:shd w:val="clear" w:color="auto" w:fill="auto"/>
            <w:noWrap/>
            <w:vAlign w:val="bottom"/>
          </w:tcPr>
          <w:p w14:paraId="6594EB8A"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29" w:type="pct"/>
            <w:gridSpan w:val="3"/>
            <w:tcBorders>
              <w:top w:val="nil"/>
              <w:left w:val="nil"/>
              <w:bottom w:val="single" w:sz="4" w:space="0" w:color="auto"/>
              <w:right w:val="single" w:sz="4" w:space="0" w:color="auto"/>
            </w:tcBorders>
            <w:shd w:val="clear" w:color="auto" w:fill="auto"/>
            <w:noWrap/>
            <w:vAlign w:val="bottom"/>
          </w:tcPr>
          <w:p w14:paraId="1D1CFA4E"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31" w:type="pct"/>
            <w:gridSpan w:val="4"/>
            <w:tcBorders>
              <w:top w:val="nil"/>
              <w:left w:val="nil"/>
              <w:bottom w:val="single" w:sz="4" w:space="0" w:color="auto"/>
              <w:right w:val="single" w:sz="4" w:space="0" w:color="auto"/>
            </w:tcBorders>
            <w:shd w:val="clear" w:color="auto" w:fill="auto"/>
            <w:noWrap/>
            <w:vAlign w:val="bottom"/>
          </w:tcPr>
          <w:p w14:paraId="7BBB4EC2" w14:textId="77777777" w:rsidR="009A36D2" w:rsidRPr="009A36D2" w:rsidRDefault="009A36D2" w:rsidP="00281A92">
            <w:pPr>
              <w:spacing w:before="0" w:after="0" w:line="240" w:lineRule="auto"/>
              <w:rPr>
                <w:color w:val="auto"/>
                <w:sz w:val="20"/>
                <w:szCs w:val="20"/>
              </w:rPr>
            </w:pPr>
            <w:r w:rsidRPr="009A36D2">
              <w:rPr>
                <w:color w:val="000000"/>
                <w:sz w:val="22"/>
                <w:szCs w:val="22"/>
              </w:rPr>
              <w:t>0.79</w:t>
            </w:r>
          </w:p>
        </w:tc>
        <w:tc>
          <w:tcPr>
            <w:tcW w:w="645" w:type="pct"/>
            <w:gridSpan w:val="3"/>
            <w:tcBorders>
              <w:top w:val="nil"/>
              <w:left w:val="nil"/>
              <w:bottom w:val="single" w:sz="4" w:space="0" w:color="auto"/>
              <w:right w:val="single" w:sz="4" w:space="0" w:color="auto"/>
            </w:tcBorders>
            <w:shd w:val="clear" w:color="auto" w:fill="auto"/>
            <w:noWrap/>
            <w:vAlign w:val="bottom"/>
          </w:tcPr>
          <w:p w14:paraId="5BC9732B"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46" w:type="pct"/>
            <w:gridSpan w:val="2"/>
            <w:tcBorders>
              <w:top w:val="nil"/>
              <w:left w:val="nil"/>
              <w:bottom w:val="single" w:sz="4" w:space="0" w:color="auto"/>
              <w:right w:val="single" w:sz="4" w:space="0" w:color="auto"/>
            </w:tcBorders>
            <w:shd w:val="clear" w:color="auto" w:fill="auto"/>
            <w:noWrap/>
            <w:vAlign w:val="bottom"/>
          </w:tcPr>
          <w:p w14:paraId="5A541ADA"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45" w:type="pct"/>
            <w:tcBorders>
              <w:top w:val="nil"/>
              <w:left w:val="nil"/>
              <w:bottom w:val="single" w:sz="4" w:space="0" w:color="auto"/>
              <w:right w:val="single" w:sz="4" w:space="0" w:color="auto"/>
            </w:tcBorders>
            <w:shd w:val="clear" w:color="auto" w:fill="auto"/>
            <w:noWrap/>
            <w:vAlign w:val="bottom"/>
          </w:tcPr>
          <w:p w14:paraId="6796FC0D"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r>
      <w:tr w:rsidR="009A36D2" w:rsidRPr="009A36D2" w14:paraId="759212D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8E2DE9D" w14:textId="77777777" w:rsidR="009A36D2" w:rsidRPr="009A36D2" w:rsidRDefault="009A36D2" w:rsidP="00281A92">
            <w:pPr>
              <w:spacing w:before="0" w:after="0" w:line="240" w:lineRule="auto"/>
              <w:rPr>
                <w:color w:val="auto"/>
                <w:sz w:val="20"/>
                <w:szCs w:val="20"/>
              </w:rPr>
            </w:pPr>
            <w:r w:rsidRPr="009A36D2">
              <w:rPr>
                <w:color w:val="auto"/>
                <w:sz w:val="20"/>
                <w:szCs w:val="20"/>
              </w:rPr>
              <w:t>17</w:t>
            </w:r>
          </w:p>
        </w:tc>
        <w:tc>
          <w:tcPr>
            <w:tcW w:w="603" w:type="pct"/>
            <w:gridSpan w:val="2"/>
            <w:tcBorders>
              <w:top w:val="nil"/>
              <w:left w:val="nil"/>
              <w:bottom w:val="single" w:sz="4" w:space="0" w:color="auto"/>
              <w:right w:val="single" w:sz="4" w:space="0" w:color="auto"/>
            </w:tcBorders>
            <w:shd w:val="clear" w:color="auto" w:fill="auto"/>
            <w:noWrap/>
            <w:vAlign w:val="bottom"/>
          </w:tcPr>
          <w:p w14:paraId="3283145D" w14:textId="77777777" w:rsidR="009A36D2" w:rsidRPr="009A36D2" w:rsidRDefault="009A36D2" w:rsidP="00281A92">
            <w:pPr>
              <w:spacing w:before="0" w:after="0" w:line="240" w:lineRule="auto"/>
              <w:rPr>
                <w:color w:val="auto"/>
                <w:sz w:val="20"/>
                <w:szCs w:val="20"/>
              </w:rPr>
            </w:pPr>
            <w:r w:rsidRPr="009A36D2">
              <w:rPr>
                <w:color w:val="000000"/>
                <w:sz w:val="22"/>
                <w:szCs w:val="22"/>
              </w:rPr>
              <w:t>0.75</w:t>
            </w:r>
          </w:p>
        </w:tc>
        <w:tc>
          <w:tcPr>
            <w:tcW w:w="629" w:type="pct"/>
            <w:gridSpan w:val="3"/>
            <w:tcBorders>
              <w:top w:val="nil"/>
              <w:left w:val="nil"/>
              <w:bottom w:val="single" w:sz="4" w:space="0" w:color="auto"/>
              <w:right w:val="single" w:sz="4" w:space="0" w:color="auto"/>
            </w:tcBorders>
            <w:shd w:val="clear" w:color="auto" w:fill="auto"/>
            <w:noWrap/>
            <w:vAlign w:val="bottom"/>
          </w:tcPr>
          <w:p w14:paraId="69B0F9D7"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31" w:type="pct"/>
            <w:gridSpan w:val="4"/>
            <w:tcBorders>
              <w:top w:val="nil"/>
              <w:left w:val="nil"/>
              <w:bottom w:val="single" w:sz="4" w:space="0" w:color="auto"/>
              <w:right w:val="single" w:sz="4" w:space="0" w:color="auto"/>
            </w:tcBorders>
            <w:shd w:val="clear" w:color="auto" w:fill="auto"/>
            <w:noWrap/>
            <w:vAlign w:val="bottom"/>
          </w:tcPr>
          <w:p w14:paraId="456DA6F0"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5" w:type="pct"/>
            <w:gridSpan w:val="3"/>
            <w:tcBorders>
              <w:top w:val="nil"/>
              <w:left w:val="nil"/>
              <w:bottom w:val="single" w:sz="4" w:space="0" w:color="auto"/>
              <w:right w:val="single" w:sz="4" w:space="0" w:color="auto"/>
            </w:tcBorders>
            <w:shd w:val="clear" w:color="auto" w:fill="auto"/>
            <w:noWrap/>
            <w:vAlign w:val="bottom"/>
          </w:tcPr>
          <w:p w14:paraId="1AAA2C5E"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46" w:type="pct"/>
            <w:gridSpan w:val="2"/>
            <w:tcBorders>
              <w:top w:val="nil"/>
              <w:left w:val="nil"/>
              <w:bottom w:val="single" w:sz="4" w:space="0" w:color="auto"/>
              <w:right w:val="single" w:sz="4" w:space="0" w:color="auto"/>
            </w:tcBorders>
            <w:shd w:val="clear" w:color="auto" w:fill="auto"/>
            <w:noWrap/>
            <w:vAlign w:val="bottom"/>
          </w:tcPr>
          <w:p w14:paraId="0D74CA33"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45" w:type="pct"/>
            <w:tcBorders>
              <w:top w:val="nil"/>
              <w:left w:val="nil"/>
              <w:bottom w:val="single" w:sz="4" w:space="0" w:color="auto"/>
              <w:right w:val="single" w:sz="4" w:space="0" w:color="auto"/>
            </w:tcBorders>
            <w:shd w:val="clear" w:color="auto" w:fill="auto"/>
            <w:noWrap/>
            <w:vAlign w:val="bottom"/>
          </w:tcPr>
          <w:p w14:paraId="547DB4E8"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r>
      <w:tr w:rsidR="009A36D2" w:rsidRPr="009A36D2" w14:paraId="0AD671E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FE93417" w14:textId="77777777" w:rsidR="009A36D2" w:rsidRPr="009A36D2" w:rsidRDefault="009A36D2" w:rsidP="00281A92">
            <w:pPr>
              <w:spacing w:before="0" w:after="0" w:line="240" w:lineRule="auto"/>
              <w:rPr>
                <w:color w:val="auto"/>
                <w:sz w:val="20"/>
                <w:szCs w:val="20"/>
              </w:rPr>
            </w:pPr>
            <w:r w:rsidRPr="009A36D2">
              <w:rPr>
                <w:color w:val="auto"/>
                <w:sz w:val="20"/>
                <w:szCs w:val="20"/>
              </w:rPr>
              <w:t>18</w:t>
            </w:r>
          </w:p>
        </w:tc>
        <w:tc>
          <w:tcPr>
            <w:tcW w:w="603" w:type="pct"/>
            <w:gridSpan w:val="2"/>
            <w:tcBorders>
              <w:top w:val="nil"/>
              <w:left w:val="nil"/>
              <w:bottom w:val="single" w:sz="4" w:space="0" w:color="auto"/>
              <w:right w:val="single" w:sz="4" w:space="0" w:color="auto"/>
            </w:tcBorders>
            <w:shd w:val="clear" w:color="auto" w:fill="auto"/>
            <w:noWrap/>
            <w:vAlign w:val="bottom"/>
          </w:tcPr>
          <w:p w14:paraId="308057E8"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29" w:type="pct"/>
            <w:gridSpan w:val="3"/>
            <w:tcBorders>
              <w:top w:val="nil"/>
              <w:left w:val="nil"/>
              <w:bottom w:val="single" w:sz="4" w:space="0" w:color="auto"/>
              <w:right w:val="single" w:sz="4" w:space="0" w:color="auto"/>
            </w:tcBorders>
            <w:shd w:val="clear" w:color="auto" w:fill="auto"/>
            <w:noWrap/>
            <w:vAlign w:val="bottom"/>
          </w:tcPr>
          <w:p w14:paraId="46B93B5E"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31" w:type="pct"/>
            <w:gridSpan w:val="4"/>
            <w:tcBorders>
              <w:top w:val="nil"/>
              <w:left w:val="nil"/>
              <w:bottom w:val="single" w:sz="4" w:space="0" w:color="auto"/>
              <w:right w:val="single" w:sz="4" w:space="0" w:color="auto"/>
            </w:tcBorders>
            <w:shd w:val="clear" w:color="auto" w:fill="auto"/>
            <w:noWrap/>
            <w:vAlign w:val="bottom"/>
          </w:tcPr>
          <w:p w14:paraId="4B27680E" w14:textId="77777777" w:rsidR="009A36D2" w:rsidRPr="009A36D2" w:rsidRDefault="009A36D2" w:rsidP="00281A92">
            <w:pPr>
              <w:spacing w:before="0" w:after="0" w:line="240" w:lineRule="auto"/>
              <w:rPr>
                <w:color w:val="auto"/>
                <w:sz w:val="20"/>
                <w:szCs w:val="20"/>
              </w:rPr>
            </w:pPr>
            <w:r w:rsidRPr="009A36D2">
              <w:rPr>
                <w:color w:val="000000"/>
                <w:sz w:val="22"/>
                <w:szCs w:val="22"/>
              </w:rPr>
              <w:t>1.00</w:t>
            </w:r>
          </w:p>
        </w:tc>
        <w:tc>
          <w:tcPr>
            <w:tcW w:w="645" w:type="pct"/>
            <w:gridSpan w:val="3"/>
            <w:tcBorders>
              <w:top w:val="nil"/>
              <w:left w:val="nil"/>
              <w:bottom w:val="single" w:sz="4" w:space="0" w:color="auto"/>
              <w:right w:val="single" w:sz="4" w:space="0" w:color="auto"/>
            </w:tcBorders>
            <w:shd w:val="clear" w:color="auto" w:fill="auto"/>
            <w:noWrap/>
            <w:vAlign w:val="bottom"/>
          </w:tcPr>
          <w:p w14:paraId="41CFB1EF"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6" w:type="pct"/>
            <w:gridSpan w:val="2"/>
            <w:tcBorders>
              <w:top w:val="nil"/>
              <w:left w:val="nil"/>
              <w:bottom w:val="single" w:sz="4" w:space="0" w:color="auto"/>
              <w:right w:val="single" w:sz="4" w:space="0" w:color="auto"/>
            </w:tcBorders>
            <w:shd w:val="clear" w:color="auto" w:fill="auto"/>
            <w:noWrap/>
            <w:vAlign w:val="bottom"/>
          </w:tcPr>
          <w:p w14:paraId="57E9F74A"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c>
          <w:tcPr>
            <w:tcW w:w="645" w:type="pct"/>
            <w:tcBorders>
              <w:top w:val="nil"/>
              <w:left w:val="nil"/>
              <w:bottom w:val="single" w:sz="4" w:space="0" w:color="auto"/>
              <w:right w:val="single" w:sz="4" w:space="0" w:color="auto"/>
            </w:tcBorders>
            <w:shd w:val="clear" w:color="auto" w:fill="auto"/>
            <w:noWrap/>
            <w:vAlign w:val="bottom"/>
          </w:tcPr>
          <w:p w14:paraId="45C0A714"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r>
      <w:tr w:rsidR="009A36D2" w:rsidRPr="009A36D2" w14:paraId="509F808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FDC50E8" w14:textId="77777777" w:rsidR="009A36D2" w:rsidRPr="009A36D2" w:rsidRDefault="009A36D2" w:rsidP="00281A92">
            <w:pPr>
              <w:spacing w:before="0" w:after="0" w:line="240" w:lineRule="auto"/>
              <w:rPr>
                <w:color w:val="auto"/>
                <w:sz w:val="20"/>
                <w:szCs w:val="20"/>
              </w:rPr>
            </w:pPr>
            <w:r w:rsidRPr="009A36D2">
              <w:rPr>
                <w:color w:val="auto"/>
                <w:sz w:val="20"/>
                <w:szCs w:val="20"/>
              </w:rPr>
              <w:t>19</w:t>
            </w:r>
          </w:p>
        </w:tc>
        <w:tc>
          <w:tcPr>
            <w:tcW w:w="603" w:type="pct"/>
            <w:gridSpan w:val="2"/>
            <w:tcBorders>
              <w:top w:val="nil"/>
              <w:left w:val="nil"/>
              <w:bottom w:val="single" w:sz="4" w:space="0" w:color="auto"/>
              <w:right w:val="single" w:sz="4" w:space="0" w:color="auto"/>
            </w:tcBorders>
            <w:shd w:val="clear" w:color="auto" w:fill="auto"/>
            <w:noWrap/>
            <w:vAlign w:val="bottom"/>
          </w:tcPr>
          <w:p w14:paraId="2218B1A5" w14:textId="77777777" w:rsidR="009A36D2" w:rsidRPr="009A36D2" w:rsidRDefault="009A36D2" w:rsidP="00281A92">
            <w:pPr>
              <w:spacing w:before="0" w:after="0" w:line="240" w:lineRule="auto"/>
              <w:rPr>
                <w:color w:val="auto"/>
                <w:sz w:val="20"/>
                <w:szCs w:val="20"/>
              </w:rPr>
            </w:pPr>
            <w:r w:rsidRPr="009A36D2">
              <w:rPr>
                <w:color w:val="000000"/>
                <w:sz w:val="22"/>
                <w:szCs w:val="22"/>
              </w:rPr>
              <w:t>0.72</w:t>
            </w:r>
          </w:p>
        </w:tc>
        <w:tc>
          <w:tcPr>
            <w:tcW w:w="629" w:type="pct"/>
            <w:gridSpan w:val="3"/>
            <w:tcBorders>
              <w:top w:val="nil"/>
              <w:left w:val="nil"/>
              <w:bottom w:val="single" w:sz="4" w:space="0" w:color="auto"/>
              <w:right w:val="single" w:sz="4" w:space="0" w:color="auto"/>
            </w:tcBorders>
            <w:shd w:val="clear" w:color="auto" w:fill="auto"/>
            <w:noWrap/>
            <w:vAlign w:val="bottom"/>
          </w:tcPr>
          <w:p w14:paraId="2863C6DB" w14:textId="77777777" w:rsidR="009A36D2" w:rsidRPr="009A36D2" w:rsidRDefault="009A36D2" w:rsidP="00281A92">
            <w:pPr>
              <w:spacing w:before="0" w:after="0" w:line="240" w:lineRule="auto"/>
              <w:rPr>
                <w:color w:val="auto"/>
                <w:sz w:val="20"/>
                <w:szCs w:val="20"/>
              </w:rPr>
            </w:pPr>
            <w:r w:rsidRPr="009A36D2">
              <w:rPr>
                <w:color w:val="000000"/>
                <w:sz w:val="22"/>
                <w:szCs w:val="22"/>
              </w:rPr>
              <w:t>0.68</w:t>
            </w:r>
          </w:p>
        </w:tc>
        <w:tc>
          <w:tcPr>
            <w:tcW w:w="631" w:type="pct"/>
            <w:gridSpan w:val="4"/>
            <w:tcBorders>
              <w:top w:val="nil"/>
              <w:left w:val="nil"/>
              <w:bottom w:val="single" w:sz="4" w:space="0" w:color="auto"/>
              <w:right w:val="single" w:sz="4" w:space="0" w:color="auto"/>
            </w:tcBorders>
            <w:shd w:val="clear" w:color="auto" w:fill="auto"/>
            <w:noWrap/>
            <w:vAlign w:val="bottom"/>
          </w:tcPr>
          <w:p w14:paraId="16D09714"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45" w:type="pct"/>
            <w:gridSpan w:val="3"/>
            <w:tcBorders>
              <w:top w:val="nil"/>
              <w:left w:val="nil"/>
              <w:bottom w:val="single" w:sz="4" w:space="0" w:color="auto"/>
              <w:right w:val="single" w:sz="4" w:space="0" w:color="auto"/>
            </w:tcBorders>
            <w:shd w:val="clear" w:color="auto" w:fill="auto"/>
            <w:noWrap/>
            <w:vAlign w:val="bottom"/>
          </w:tcPr>
          <w:p w14:paraId="5B4093BC"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57707959" w14:textId="77777777" w:rsidR="009A36D2" w:rsidRPr="009A36D2" w:rsidRDefault="009A36D2" w:rsidP="00281A92">
            <w:pPr>
              <w:spacing w:before="0" w:after="0" w:line="240" w:lineRule="auto"/>
              <w:rPr>
                <w:color w:val="auto"/>
                <w:sz w:val="20"/>
                <w:szCs w:val="20"/>
              </w:rPr>
            </w:pPr>
            <w:r w:rsidRPr="009A36D2">
              <w:rPr>
                <w:color w:val="000000"/>
                <w:sz w:val="22"/>
                <w:szCs w:val="22"/>
              </w:rPr>
              <w:t>0.76</w:t>
            </w:r>
          </w:p>
        </w:tc>
        <w:tc>
          <w:tcPr>
            <w:tcW w:w="645" w:type="pct"/>
            <w:tcBorders>
              <w:top w:val="nil"/>
              <w:left w:val="nil"/>
              <w:bottom w:val="single" w:sz="4" w:space="0" w:color="auto"/>
              <w:right w:val="single" w:sz="4" w:space="0" w:color="auto"/>
            </w:tcBorders>
            <w:shd w:val="clear" w:color="auto" w:fill="auto"/>
            <w:noWrap/>
            <w:vAlign w:val="bottom"/>
          </w:tcPr>
          <w:p w14:paraId="10EC344F"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r>
      <w:tr w:rsidR="009A36D2" w:rsidRPr="009A36D2" w14:paraId="3F72CA9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212C656" w14:textId="77777777" w:rsidR="009A36D2" w:rsidRPr="009A36D2" w:rsidRDefault="009A36D2" w:rsidP="00281A92">
            <w:pPr>
              <w:spacing w:before="0" w:after="0" w:line="240" w:lineRule="auto"/>
              <w:rPr>
                <w:color w:val="auto"/>
                <w:sz w:val="20"/>
                <w:szCs w:val="20"/>
              </w:rPr>
            </w:pPr>
            <w:r w:rsidRPr="009A36D2">
              <w:rPr>
                <w:color w:val="auto"/>
                <w:sz w:val="20"/>
                <w:szCs w:val="20"/>
              </w:rPr>
              <w:t>20</w:t>
            </w:r>
          </w:p>
        </w:tc>
        <w:tc>
          <w:tcPr>
            <w:tcW w:w="603" w:type="pct"/>
            <w:gridSpan w:val="2"/>
            <w:tcBorders>
              <w:top w:val="nil"/>
              <w:left w:val="nil"/>
              <w:bottom w:val="single" w:sz="4" w:space="0" w:color="auto"/>
              <w:right w:val="single" w:sz="4" w:space="0" w:color="auto"/>
            </w:tcBorders>
            <w:shd w:val="clear" w:color="auto" w:fill="auto"/>
            <w:noWrap/>
            <w:vAlign w:val="bottom"/>
          </w:tcPr>
          <w:p w14:paraId="754F9E6A"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29" w:type="pct"/>
            <w:gridSpan w:val="3"/>
            <w:tcBorders>
              <w:top w:val="nil"/>
              <w:left w:val="nil"/>
              <w:bottom w:val="single" w:sz="4" w:space="0" w:color="auto"/>
              <w:right w:val="single" w:sz="4" w:space="0" w:color="auto"/>
            </w:tcBorders>
            <w:shd w:val="clear" w:color="auto" w:fill="auto"/>
            <w:noWrap/>
            <w:vAlign w:val="bottom"/>
          </w:tcPr>
          <w:p w14:paraId="0A7D4C29"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31" w:type="pct"/>
            <w:gridSpan w:val="4"/>
            <w:tcBorders>
              <w:top w:val="nil"/>
              <w:left w:val="nil"/>
              <w:bottom w:val="single" w:sz="4" w:space="0" w:color="auto"/>
              <w:right w:val="single" w:sz="4" w:space="0" w:color="auto"/>
            </w:tcBorders>
            <w:shd w:val="clear" w:color="auto" w:fill="auto"/>
            <w:noWrap/>
            <w:vAlign w:val="bottom"/>
          </w:tcPr>
          <w:p w14:paraId="03DF79EB"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gridSpan w:val="3"/>
            <w:tcBorders>
              <w:top w:val="nil"/>
              <w:left w:val="nil"/>
              <w:bottom w:val="single" w:sz="4" w:space="0" w:color="auto"/>
              <w:right w:val="single" w:sz="4" w:space="0" w:color="auto"/>
            </w:tcBorders>
            <w:shd w:val="clear" w:color="auto" w:fill="auto"/>
            <w:noWrap/>
            <w:vAlign w:val="bottom"/>
          </w:tcPr>
          <w:p w14:paraId="2F54E89D"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6" w:type="pct"/>
            <w:gridSpan w:val="2"/>
            <w:tcBorders>
              <w:top w:val="nil"/>
              <w:left w:val="nil"/>
              <w:bottom w:val="single" w:sz="4" w:space="0" w:color="auto"/>
              <w:right w:val="single" w:sz="4" w:space="0" w:color="auto"/>
            </w:tcBorders>
            <w:shd w:val="clear" w:color="auto" w:fill="auto"/>
            <w:noWrap/>
            <w:vAlign w:val="bottom"/>
          </w:tcPr>
          <w:p w14:paraId="676CAA5F"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tcBorders>
              <w:top w:val="nil"/>
              <w:left w:val="nil"/>
              <w:bottom w:val="single" w:sz="4" w:space="0" w:color="auto"/>
              <w:right w:val="single" w:sz="4" w:space="0" w:color="auto"/>
            </w:tcBorders>
            <w:shd w:val="clear" w:color="auto" w:fill="auto"/>
            <w:noWrap/>
            <w:vAlign w:val="bottom"/>
          </w:tcPr>
          <w:p w14:paraId="4ED0E876"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r>
      <w:tr w:rsidR="009A36D2" w:rsidRPr="009A36D2" w14:paraId="618422D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1D1CC08" w14:textId="77777777" w:rsidR="009A36D2" w:rsidRPr="009A36D2" w:rsidRDefault="009A36D2" w:rsidP="00281A92">
            <w:pPr>
              <w:spacing w:before="0" w:after="0" w:line="240" w:lineRule="auto"/>
              <w:rPr>
                <w:color w:val="auto"/>
                <w:sz w:val="20"/>
                <w:szCs w:val="20"/>
              </w:rPr>
            </w:pPr>
            <w:r w:rsidRPr="009A36D2">
              <w:rPr>
                <w:color w:val="auto"/>
                <w:sz w:val="20"/>
                <w:szCs w:val="20"/>
              </w:rPr>
              <w:t>21</w:t>
            </w:r>
          </w:p>
        </w:tc>
        <w:tc>
          <w:tcPr>
            <w:tcW w:w="603" w:type="pct"/>
            <w:gridSpan w:val="2"/>
            <w:tcBorders>
              <w:top w:val="nil"/>
              <w:left w:val="nil"/>
              <w:bottom w:val="single" w:sz="4" w:space="0" w:color="auto"/>
              <w:right w:val="single" w:sz="4" w:space="0" w:color="auto"/>
            </w:tcBorders>
            <w:shd w:val="clear" w:color="auto" w:fill="auto"/>
            <w:noWrap/>
            <w:vAlign w:val="bottom"/>
          </w:tcPr>
          <w:p w14:paraId="588D20F4"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29" w:type="pct"/>
            <w:gridSpan w:val="3"/>
            <w:tcBorders>
              <w:top w:val="nil"/>
              <w:left w:val="nil"/>
              <w:bottom w:val="single" w:sz="4" w:space="0" w:color="auto"/>
              <w:right w:val="single" w:sz="4" w:space="0" w:color="auto"/>
            </w:tcBorders>
            <w:shd w:val="clear" w:color="auto" w:fill="auto"/>
            <w:noWrap/>
            <w:vAlign w:val="bottom"/>
          </w:tcPr>
          <w:p w14:paraId="39360682"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31" w:type="pct"/>
            <w:gridSpan w:val="4"/>
            <w:tcBorders>
              <w:top w:val="nil"/>
              <w:left w:val="nil"/>
              <w:bottom w:val="single" w:sz="4" w:space="0" w:color="auto"/>
              <w:right w:val="single" w:sz="4" w:space="0" w:color="auto"/>
            </w:tcBorders>
            <w:shd w:val="clear" w:color="auto" w:fill="auto"/>
            <w:noWrap/>
            <w:vAlign w:val="bottom"/>
          </w:tcPr>
          <w:p w14:paraId="68A48935"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45" w:type="pct"/>
            <w:gridSpan w:val="3"/>
            <w:tcBorders>
              <w:top w:val="nil"/>
              <w:left w:val="nil"/>
              <w:bottom w:val="single" w:sz="4" w:space="0" w:color="auto"/>
              <w:right w:val="single" w:sz="4" w:space="0" w:color="auto"/>
            </w:tcBorders>
            <w:shd w:val="clear" w:color="auto" w:fill="auto"/>
            <w:noWrap/>
            <w:vAlign w:val="bottom"/>
          </w:tcPr>
          <w:p w14:paraId="0B30AA3F"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6" w:type="pct"/>
            <w:gridSpan w:val="2"/>
            <w:tcBorders>
              <w:top w:val="nil"/>
              <w:left w:val="nil"/>
              <w:bottom w:val="single" w:sz="4" w:space="0" w:color="auto"/>
              <w:right w:val="single" w:sz="4" w:space="0" w:color="auto"/>
            </w:tcBorders>
            <w:shd w:val="clear" w:color="auto" w:fill="auto"/>
            <w:noWrap/>
            <w:vAlign w:val="bottom"/>
          </w:tcPr>
          <w:p w14:paraId="64FFED41"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tcBorders>
              <w:top w:val="nil"/>
              <w:left w:val="nil"/>
              <w:bottom w:val="single" w:sz="4" w:space="0" w:color="auto"/>
              <w:right w:val="single" w:sz="4" w:space="0" w:color="auto"/>
            </w:tcBorders>
            <w:shd w:val="clear" w:color="auto" w:fill="auto"/>
            <w:noWrap/>
            <w:vAlign w:val="bottom"/>
          </w:tcPr>
          <w:p w14:paraId="493DC38F"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r>
      <w:tr w:rsidR="009A36D2" w:rsidRPr="009A36D2" w14:paraId="3EBE75B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5393613" w14:textId="77777777" w:rsidR="009A36D2" w:rsidRPr="009A36D2" w:rsidRDefault="009A36D2" w:rsidP="00281A92">
            <w:pPr>
              <w:spacing w:before="0" w:after="0" w:line="240" w:lineRule="auto"/>
              <w:rPr>
                <w:color w:val="auto"/>
                <w:sz w:val="20"/>
                <w:szCs w:val="20"/>
              </w:rPr>
            </w:pPr>
            <w:r w:rsidRPr="009A36D2">
              <w:rPr>
                <w:color w:val="auto"/>
                <w:sz w:val="20"/>
                <w:szCs w:val="20"/>
              </w:rPr>
              <w:t>22</w:t>
            </w:r>
          </w:p>
        </w:tc>
        <w:tc>
          <w:tcPr>
            <w:tcW w:w="603" w:type="pct"/>
            <w:gridSpan w:val="2"/>
            <w:tcBorders>
              <w:top w:val="nil"/>
              <w:left w:val="nil"/>
              <w:bottom w:val="single" w:sz="4" w:space="0" w:color="auto"/>
              <w:right w:val="single" w:sz="4" w:space="0" w:color="auto"/>
            </w:tcBorders>
            <w:shd w:val="clear" w:color="auto" w:fill="auto"/>
            <w:noWrap/>
            <w:vAlign w:val="bottom"/>
          </w:tcPr>
          <w:p w14:paraId="1EDC3193"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29" w:type="pct"/>
            <w:gridSpan w:val="3"/>
            <w:tcBorders>
              <w:top w:val="nil"/>
              <w:left w:val="nil"/>
              <w:bottom w:val="single" w:sz="4" w:space="0" w:color="auto"/>
              <w:right w:val="single" w:sz="4" w:space="0" w:color="auto"/>
            </w:tcBorders>
            <w:shd w:val="clear" w:color="auto" w:fill="auto"/>
            <w:noWrap/>
            <w:vAlign w:val="bottom"/>
          </w:tcPr>
          <w:p w14:paraId="00669080"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31" w:type="pct"/>
            <w:gridSpan w:val="4"/>
            <w:tcBorders>
              <w:top w:val="nil"/>
              <w:left w:val="nil"/>
              <w:bottom w:val="single" w:sz="4" w:space="0" w:color="auto"/>
              <w:right w:val="single" w:sz="4" w:space="0" w:color="auto"/>
            </w:tcBorders>
            <w:shd w:val="clear" w:color="auto" w:fill="auto"/>
            <w:noWrap/>
            <w:vAlign w:val="bottom"/>
          </w:tcPr>
          <w:p w14:paraId="79C22589"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5" w:type="pct"/>
            <w:gridSpan w:val="3"/>
            <w:tcBorders>
              <w:top w:val="nil"/>
              <w:left w:val="nil"/>
              <w:bottom w:val="single" w:sz="4" w:space="0" w:color="auto"/>
              <w:right w:val="single" w:sz="4" w:space="0" w:color="auto"/>
            </w:tcBorders>
            <w:shd w:val="clear" w:color="auto" w:fill="auto"/>
            <w:noWrap/>
            <w:vAlign w:val="bottom"/>
          </w:tcPr>
          <w:p w14:paraId="2826EAF7"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6" w:type="pct"/>
            <w:gridSpan w:val="2"/>
            <w:tcBorders>
              <w:top w:val="nil"/>
              <w:left w:val="nil"/>
              <w:bottom w:val="single" w:sz="4" w:space="0" w:color="auto"/>
              <w:right w:val="single" w:sz="4" w:space="0" w:color="auto"/>
            </w:tcBorders>
            <w:shd w:val="clear" w:color="auto" w:fill="auto"/>
            <w:noWrap/>
            <w:vAlign w:val="bottom"/>
          </w:tcPr>
          <w:p w14:paraId="7810C0B2"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tcBorders>
              <w:top w:val="nil"/>
              <w:left w:val="nil"/>
              <w:bottom w:val="single" w:sz="4" w:space="0" w:color="auto"/>
              <w:right w:val="single" w:sz="4" w:space="0" w:color="auto"/>
            </w:tcBorders>
            <w:shd w:val="clear" w:color="auto" w:fill="auto"/>
            <w:noWrap/>
            <w:vAlign w:val="bottom"/>
          </w:tcPr>
          <w:p w14:paraId="35BD6AFE"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r>
      <w:tr w:rsidR="009A36D2" w:rsidRPr="009A36D2" w14:paraId="59D970F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B655A8" w14:textId="77777777" w:rsidR="009A36D2" w:rsidRPr="009A36D2" w:rsidRDefault="009A36D2" w:rsidP="00281A92">
            <w:pPr>
              <w:spacing w:before="0" w:after="0" w:line="240" w:lineRule="auto"/>
              <w:rPr>
                <w:color w:val="auto"/>
                <w:sz w:val="20"/>
                <w:szCs w:val="20"/>
              </w:rPr>
            </w:pPr>
            <w:r w:rsidRPr="009A36D2">
              <w:rPr>
                <w:color w:val="auto"/>
                <w:sz w:val="20"/>
                <w:szCs w:val="20"/>
              </w:rPr>
              <w:t>23</w:t>
            </w:r>
          </w:p>
        </w:tc>
        <w:tc>
          <w:tcPr>
            <w:tcW w:w="603" w:type="pct"/>
            <w:gridSpan w:val="2"/>
            <w:tcBorders>
              <w:top w:val="nil"/>
              <w:left w:val="nil"/>
              <w:bottom w:val="single" w:sz="4" w:space="0" w:color="auto"/>
              <w:right w:val="single" w:sz="4" w:space="0" w:color="auto"/>
            </w:tcBorders>
            <w:shd w:val="clear" w:color="auto" w:fill="auto"/>
            <w:noWrap/>
            <w:vAlign w:val="bottom"/>
          </w:tcPr>
          <w:p w14:paraId="0D00CAA7"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c>
          <w:tcPr>
            <w:tcW w:w="629" w:type="pct"/>
            <w:gridSpan w:val="3"/>
            <w:tcBorders>
              <w:top w:val="nil"/>
              <w:left w:val="nil"/>
              <w:bottom w:val="single" w:sz="4" w:space="0" w:color="auto"/>
              <w:right w:val="single" w:sz="4" w:space="0" w:color="auto"/>
            </w:tcBorders>
            <w:shd w:val="clear" w:color="auto" w:fill="auto"/>
            <w:noWrap/>
            <w:vAlign w:val="bottom"/>
          </w:tcPr>
          <w:p w14:paraId="726B1A1E" w14:textId="77777777" w:rsidR="009A36D2" w:rsidRPr="009A36D2" w:rsidRDefault="009A36D2" w:rsidP="00281A92">
            <w:pPr>
              <w:spacing w:before="0" w:after="0" w:line="240" w:lineRule="auto"/>
              <w:rPr>
                <w:color w:val="auto"/>
                <w:sz w:val="20"/>
                <w:szCs w:val="20"/>
              </w:rPr>
            </w:pPr>
            <w:r w:rsidRPr="009A36D2">
              <w:rPr>
                <w:color w:val="000000"/>
                <w:sz w:val="22"/>
                <w:szCs w:val="22"/>
              </w:rPr>
              <w:t>1.05</w:t>
            </w:r>
          </w:p>
        </w:tc>
        <w:tc>
          <w:tcPr>
            <w:tcW w:w="631" w:type="pct"/>
            <w:gridSpan w:val="4"/>
            <w:tcBorders>
              <w:top w:val="nil"/>
              <w:left w:val="nil"/>
              <w:bottom w:val="single" w:sz="4" w:space="0" w:color="auto"/>
              <w:right w:val="single" w:sz="4" w:space="0" w:color="auto"/>
            </w:tcBorders>
            <w:shd w:val="clear" w:color="auto" w:fill="auto"/>
            <w:noWrap/>
            <w:vAlign w:val="bottom"/>
          </w:tcPr>
          <w:p w14:paraId="11D5EC9C" w14:textId="77777777" w:rsidR="009A36D2" w:rsidRPr="009A36D2" w:rsidRDefault="009A36D2" w:rsidP="00281A92">
            <w:pPr>
              <w:spacing w:before="0" w:after="0" w:line="240" w:lineRule="auto"/>
              <w:rPr>
                <w:color w:val="auto"/>
                <w:sz w:val="20"/>
                <w:szCs w:val="20"/>
              </w:rPr>
            </w:pPr>
            <w:r w:rsidRPr="009A36D2">
              <w:rPr>
                <w:color w:val="000000"/>
                <w:sz w:val="22"/>
                <w:szCs w:val="22"/>
              </w:rPr>
              <w:t>1.14</w:t>
            </w:r>
          </w:p>
        </w:tc>
        <w:tc>
          <w:tcPr>
            <w:tcW w:w="645" w:type="pct"/>
            <w:gridSpan w:val="3"/>
            <w:tcBorders>
              <w:top w:val="nil"/>
              <w:left w:val="nil"/>
              <w:bottom w:val="single" w:sz="4" w:space="0" w:color="auto"/>
              <w:right w:val="single" w:sz="4" w:space="0" w:color="auto"/>
            </w:tcBorders>
            <w:shd w:val="clear" w:color="auto" w:fill="auto"/>
            <w:noWrap/>
            <w:vAlign w:val="bottom"/>
          </w:tcPr>
          <w:p w14:paraId="56E2CBF3"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c>
          <w:tcPr>
            <w:tcW w:w="646" w:type="pct"/>
            <w:gridSpan w:val="2"/>
            <w:tcBorders>
              <w:top w:val="nil"/>
              <w:left w:val="nil"/>
              <w:bottom w:val="single" w:sz="4" w:space="0" w:color="auto"/>
              <w:right w:val="single" w:sz="4" w:space="0" w:color="auto"/>
            </w:tcBorders>
            <w:shd w:val="clear" w:color="auto" w:fill="auto"/>
            <w:noWrap/>
            <w:vAlign w:val="bottom"/>
          </w:tcPr>
          <w:p w14:paraId="55B71AB8"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45" w:type="pct"/>
            <w:tcBorders>
              <w:top w:val="nil"/>
              <w:left w:val="nil"/>
              <w:bottom w:val="single" w:sz="4" w:space="0" w:color="auto"/>
              <w:right w:val="single" w:sz="4" w:space="0" w:color="auto"/>
            </w:tcBorders>
            <w:shd w:val="clear" w:color="auto" w:fill="auto"/>
            <w:noWrap/>
            <w:vAlign w:val="bottom"/>
          </w:tcPr>
          <w:p w14:paraId="6C88DED5"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r>
      <w:tr w:rsidR="009A36D2" w:rsidRPr="009A36D2" w14:paraId="44A7912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5D06B10"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03" w:type="pct"/>
            <w:gridSpan w:val="2"/>
            <w:tcBorders>
              <w:top w:val="nil"/>
              <w:left w:val="nil"/>
              <w:bottom w:val="single" w:sz="4" w:space="0" w:color="auto"/>
              <w:right w:val="single" w:sz="4" w:space="0" w:color="auto"/>
            </w:tcBorders>
            <w:shd w:val="clear" w:color="auto" w:fill="auto"/>
            <w:noWrap/>
            <w:vAlign w:val="bottom"/>
          </w:tcPr>
          <w:p w14:paraId="27A7ED6D"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0.89</w:t>
            </w:r>
          </w:p>
        </w:tc>
        <w:tc>
          <w:tcPr>
            <w:tcW w:w="629" w:type="pct"/>
            <w:gridSpan w:val="3"/>
            <w:tcBorders>
              <w:top w:val="nil"/>
              <w:left w:val="nil"/>
              <w:bottom w:val="single" w:sz="4" w:space="0" w:color="auto"/>
              <w:right w:val="single" w:sz="4" w:space="0" w:color="auto"/>
            </w:tcBorders>
            <w:shd w:val="clear" w:color="auto" w:fill="auto"/>
            <w:noWrap/>
            <w:vAlign w:val="bottom"/>
          </w:tcPr>
          <w:p w14:paraId="704C334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0.91</w:t>
            </w:r>
          </w:p>
        </w:tc>
        <w:tc>
          <w:tcPr>
            <w:tcW w:w="631" w:type="pct"/>
            <w:gridSpan w:val="4"/>
            <w:tcBorders>
              <w:top w:val="nil"/>
              <w:left w:val="nil"/>
              <w:bottom w:val="single" w:sz="4" w:space="0" w:color="auto"/>
              <w:right w:val="single" w:sz="4" w:space="0" w:color="auto"/>
            </w:tcBorders>
            <w:shd w:val="clear" w:color="auto" w:fill="auto"/>
            <w:noWrap/>
            <w:vAlign w:val="bottom"/>
          </w:tcPr>
          <w:p w14:paraId="365926D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0.94</w:t>
            </w:r>
          </w:p>
        </w:tc>
        <w:tc>
          <w:tcPr>
            <w:tcW w:w="645" w:type="pct"/>
            <w:gridSpan w:val="3"/>
            <w:tcBorders>
              <w:top w:val="nil"/>
              <w:left w:val="nil"/>
              <w:bottom w:val="single" w:sz="4" w:space="0" w:color="auto"/>
              <w:right w:val="single" w:sz="4" w:space="0" w:color="auto"/>
            </w:tcBorders>
            <w:shd w:val="clear" w:color="auto" w:fill="auto"/>
            <w:noWrap/>
            <w:vAlign w:val="bottom"/>
          </w:tcPr>
          <w:p w14:paraId="153377A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0.94</w:t>
            </w:r>
          </w:p>
        </w:tc>
        <w:tc>
          <w:tcPr>
            <w:tcW w:w="646" w:type="pct"/>
            <w:gridSpan w:val="2"/>
            <w:tcBorders>
              <w:top w:val="nil"/>
              <w:left w:val="nil"/>
              <w:bottom w:val="single" w:sz="4" w:space="0" w:color="auto"/>
              <w:right w:val="single" w:sz="4" w:space="0" w:color="auto"/>
            </w:tcBorders>
            <w:shd w:val="clear" w:color="auto" w:fill="auto"/>
            <w:noWrap/>
            <w:vAlign w:val="bottom"/>
          </w:tcPr>
          <w:p w14:paraId="7281CC9B"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0.90</w:t>
            </w:r>
          </w:p>
        </w:tc>
        <w:tc>
          <w:tcPr>
            <w:tcW w:w="645" w:type="pct"/>
            <w:tcBorders>
              <w:top w:val="nil"/>
              <w:left w:val="nil"/>
              <w:bottom w:val="single" w:sz="4" w:space="0" w:color="auto"/>
              <w:right w:val="single" w:sz="4" w:space="0" w:color="auto"/>
            </w:tcBorders>
            <w:shd w:val="clear" w:color="auto" w:fill="auto"/>
            <w:noWrap/>
            <w:vAlign w:val="bottom"/>
          </w:tcPr>
          <w:p w14:paraId="78934413"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0.91</w:t>
            </w:r>
          </w:p>
        </w:tc>
      </w:tr>
      <w:tr w:rsidR="009A36D2" w:rsidRPr="009A36D2" w14:paraId="35205F6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B784F92"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03" w:type="pct"/>
            <w:gridSpan w:val="2"/>
            <w:tcBorders>
              <w:top w:val="nil"/>
              <w:left w:val="nil"/>
              <w:bottom w:val="single" w:sz="4" w:space="0" w:color="auto"/>
              <w:right w:val="single" w:sz="4" w:space="0" w:color="auto"/>
            </w:tcBorders>
            <w:shd w:val="clear" w:color="auto" w:fill="auto"/>
            <w:noWrap/>
            <w:vAlign w:val="bottom"/>
          </w:tcPr>
          <w:p w14:paraId="01917C0B"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0.07</w:t>
            </w:r>
          </w:p>
        </w:tc>
        <w:tc>
          <w:tcPr>
            <w:tcW w:w="629" w:type="pct"/>
            <w:gridSpan w:val="3"/>
            <w:tcBorders>
              <w:top w:val="nil"/>
              <w:left w:val="nil"/>
              <w:bottom w:val="single" w:sz="4" w:space="0" w:color="auto"/>
              <w:right w:val="single" w:sz="4" w:space="0" w:color="auto"/>
            </w:tcBorders>
            <w:shd w:val="clear" w:color="auto" w:fill="auto"/>
            <w:noWrap/>
            <w:vAlign w:val="bottom"/>
          </w:tcPr>
          <w:p w14:paraId="455069F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0.07</w:t>
            </w:r>
          </w:p>
        </w:tc>
        <w:tc>
          <w:tcPr>
            <w:tcW w:w="631" w:type="pct"/>
            <w:gridSpan w:val="4"/>
            <w:tcBorders>
              <w:top w:val="nil"/>
              <w:left w:val="nil"/>
              <w:bottom w:val="single" w:sz="4" w:space="0" w:color="auto"/>
              <w:right w:val="single" w:sz="4" w:space="0" w:color="auto"/>
            </w:tcBorders>
            <w:shd w:val="clear" w:color="auto" w:fill="auto"/>
            <w:noWrap/>
            <w:vAlign w:val="bottom"/>
          </w:tcPr>
          <w:p w14:paraId="38FE1CD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0.08</w:t>
            </w:r>
          </w:p>
        </w:tc>
        <w:tc>
          <w:tcPr>
            <w:tcW w:w="645" w:type="pct"/>
            <w:gridSpan w:val="3"/>
            <w:tcBorders>
              <w:top w:val="nil"/>
              <w:left w:val="nil"/>
              <w:bottom w:val="single" w:sz="4" w:space="0" w:color="auto"/>
              <w:right w:val="single" w:sz="4" w:space="0" w:color="auto"/>
            </w:tcBorders>
            <w:shd w:val="clear" w:color="auto" w:fill="auto"/>
            <w:noWrap/>
            <w:vAlign w:val="bottom"/>
          </w:tcPr>
          <w:p w14:paraId="07A66AC9"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0.07</w:t>
            </w:r>
          </w:p>
        </w:tc>
        <w:tc>
          <w:tcPr>
            <w:tcW w:w="646" w:type="pct"/>
            <w:gridSpan w:val="2"/>
            <w:tcBorders>
              <w:top w:val="nil"/>
              <w:left w:val="nil"/>
              <w:bottom w:val="single" w:sz="4" w:space="0" w:color="auto"/>
              <w:right w:val="single" w:sz="4" w:space="0" w:color="auto"/>
            </w:tcBorders>
            <w:shd w:val="clear" w:color="auto" w:fill="auto"/>
            <w:noWrap/>
            <w:vAlign w:val="bottom"/>
          </w:tcPr>
          <w:p w14:paraId="165B575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0.07</w:t>
            </w:r>
          </w:p>
        </w:tc>
        <w:tc>
          <w:tcPr>
            <w:tcW w:w="645" w:type="pct"/>
            <w:tcBorders>
              <w:top w:val="nil"/>
              <w:left w:val="nil"/>
              <w:bottom w:val="single" w:sz="4" w:space="0" w:color="auto"/>
              <w:right w:val="single" w:sz="4" w:space="0" w:color="auto"/>
            </w:tcBorders>
            <w:shd w:val="clear" w:color="auto" w:fill="auto"/>
            <w:noWrap/>
            <w:vAlign w:val="bottom"/>
          </w:tcPr>
          <w:p w14:paraId="493298E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0.05</w:t>
            </w:r>
          </w:p>
        </w:tc>
      </w:tr>
      <w:tr w:rsidR="009A36D2" w:rsidRPr="009A36D2" w14:paraId="53235B67"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5FA01C9"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Middle (40-59 years old)</w:t>
            </w:r>
          </w:p>
        </w:tc>
      </w:tr>
      <w:tr w:rsidR="009A36D2" w:rsidRPr="009A36D2" w14:paraId="1AD64F98" w14:textId="77777777" w:rsidTr="00281A92">
        <w:trPr>
          <w:trHeight w:val="20"/>
          <w:jc w:val="center"/>
        </w:trPr>
        <w:tc>
          <w:tcPr>
            <w:tcW w:w="1201" w:type="pct"/>
            <w:gridSpan w:val="2"/>
            <w:tcBorders>
              <w:top w:val="nil"/>
              <w:left w:val="single" w:sz="4" w:space="0" w:color="auto"/>
              <w:bottom w:val="single" w:sz="4" w:space="0" w:color="auto"/>
              <w:right w:val="single" w:sz="4" w:space="0" w:color="auto"/>
              <w:tl2br w:val="single" w:sz="4" w:space="0" w:color="auto"/>
            </w:tcBorders>
            <w:shd w:val="clear" w:color="auto" w:fill="auto"/>
            <w:hideMark/>
          </w:tcPr>
          <w:p w14:paraId="0E766107"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6E74FE84" w14:textId="77777777" w:rsidR="009A36D2" w:rsidRPr="009A36D2" w:rsidRDefault="009A36D2" w:rsidP="00281A92">
            <w:pPr>
              <w:spacing w:before="0" w:after="0" w:line="240" w:lineRule="auto"/>
              <w:rPr>
                <w:color w:val="auto"/>
                <w:sz w:val="20"/>
                <w:szCs w:val="20"/>
              </w:rPr>
            </w:pPr>
          </w:p>
          <w:p w14:paraId="1954F7E8"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03" w:type="pct"/>
            <w:gridSpan w:val="2"/>
            <w:tcBorders>
              <w:top w:val="nil"/>
              <w:left w:val="nil"/>
              <w:bottom w:val="single" w:sz="4" w:space="0" w:color="auto"/>
              <w:right w:val="single" w:sz="4" w:space="0" w:color="auto"/>
            </w:tcBorders>
            <w:shd w:val="clear" w:color="auto" w:fill="auto"/>
            <w:noWrap/>
            <w:hideMark/>
          </w:tcPr>
          <w:p w14:paraId="6BB72CC3"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29" w:type="pct"/>
            <w:gridSpan w:val="3"/>
            <w:tcBorders>
              <w:top w:val="nil"/>
              <w:left w:val="nil"/>
              <w:bottom w:val="single" w:sz="4" w:space="0" w:color="auto"/>
              <w:right w:val="single" w:sz="4" w:space="0" w:color="auto"/>
            </w:tcBorders>
            <w:shd w:val="clear" w:color="auto" w:fill="auto"/>
            <w:noWrap/>
            <w:hideMark/>
          </w:tcPr>
          <w:p w14:paraId="6D3D187E"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31" w:type="pct"/>
            <w:gridSpan w:val="4"/>
            <w:tcBorders>
              <w:top w:val="nil"/>
              <w:left w:val="nil"/>
              <w:bottom w:val="single" w:sz="4" w:space="0" w:color="auto"/>
              <w:right w:val="single" w:sz="4" w:space="0" w:color="auto"/>
            </w:tcBorders>
            <w:shd w:val="clear" w:color="auto" w:fill="auto"/>
            <w:noWrap/>
            <w:hideMark/>
          </w:tcPr>
          <w:p w14:paraId="5BE18A17"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5" w:type="pct"/>
            <w:gridSpan w:val="3"/>
            <w:tcBorders>
              <w:top w:val="nil"/>
              <w:left w:val="nil"/>
              <w:bottom w:val="single" w:sz="4" w:space="0" w:color="auto"/>
              <w:right w:val="single" w:sz="4" w:space="0" w:color="auto"/>
            </w:tcBorders>
            <w:shd w:val="clear" w:color="auto" w:fill="auto"/>
            <w:noWrap/>
            <w:hideMark/>
          </w:tcPr>
          <w:p w14:paraId="767B78FB"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6" w:type="pct"/>
            <w:gridSpan w:val="2"/>
            <w:tcBorders>
              <w:top w:val="nil"/>
              <w:left w:val="nil"/>
              <w:bottom w:val="single" w:sz="4" w:space="0" w:color="auto"/>
              <w:right w:val="single" w:sz="4" w:space="0" w:color="auto"/>
            </w:tcBorders>
            <w:shd w:val="clear" w:color="auto" w:fill="auto"/>
            <w:noWrap/>
            <w:hideMark/>
          </w:tcPr>
          <w:p w14:paraId="79DD3336"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45" w:type="pct"/>
            <w:tcBorders>
              <w:top w:val="nil"/>
              <w:left w:val="nil"/>
              <w:bottom w:val="single" w:sz="4" w:space="0" w:color="auto"/>
              <w:right w:val="single" w:sz="4" w:space="0" w:color="auto"/>
            </w:tcBorders>
            <w:shd w:val="clear" w:color="auto" w:fill="auto"/>
            <w:noWrap/>
            <w:hideMark/>
          </w:tcPr>
          <w:p w14:paraId="36028C8A"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3C62E337"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AB83C4F"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03" w:type="pct"/>
            <w:gridSpan w:val="2"/>
            <w:tcBorders>
              <w:top w:val="nil"/>
              <w:left w:val="nil"/>
              <w:bottom w:val="single" w:sz="4" w:space="0" w:color="auto"/>
              <w:right w:val="single" w:sz="4" w:space="0" w:color="auto"/>
            </w:tcBorders>
            <w:shd w:val="clear" w:color="auto" w:fill="auto"/>
            <w:noWrap/>
            <w:vAlign w:val="bottom"/>
          </w:tcPr>
          <w:p w14:paraId="78EE5E1D" w14:textId="77777777" w:rsidR="009A36D2" w:rsidRPr="009A36D2" w:rsidRDefault="009A36D2" w:rsidP="00281A92">
            <w:pPr>
              <w:spacing w:before="0" w:after="0" w:line="240" w:lineRule="auto"/>
              <w:rPr>
                <w:color w:val="auto"/>
                <w:sz w:val="20"/>
                <w:szCs w:val="20"/>
              </w:rPr>
            </w:pPr>
            <w:r w:rsidRPr="009A36D2">
              <w:rPr>
                <w:color w:val="000000"/>
                <w:sz w:val="22"/>
                <w:szCs w:val="22"/>
              </w:rPr>
              <w:t>0.57</w:t>
            </w:r>
          </w:p>
        </w:tc>
        <w:tc>
          <w:tcPr>
            <w:tcW w:w="629" w:type="pct"/>
            <w:gridSpan w:val="3"/>
            <w:tcBorders>
              <w:top w:val="nil"/>
              <w:left w:val="nil"/>
              <w:bottom w:val="single" w:sz="4" w:space="0" w:color="auto"/>
              <w:right w:val="single" w:sz="4" w:space="0" w:color="auto"/>
            </w:tcBorders>
            <w:shd w:val="clear" w:color="auto" w:fill="auto"/>
            <w:noWrap/>
            <w:vAlign w:val="bottom"/>
          </w:tcPr>
          <w:p w14:paraId="6B9D804F"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31" w:type="pct"/>
            <w:gridSpan w:val="4"/>
            <w:tcBorders>
              <w:top w:val="nil"/>
              <w:left w:val="nil"/>
              <w:bottom w:val="single" w:sz="4" w:space="0" w:color="auto"/>
              <w:right w:val="single" w:sz="4" w:space="0" w:color="auto"/>
            </w:tcBorders>
            <w:shd w:val="clear" w:color="auto" w:fill="auto"/>
            <w:noWrap/>
            <w:vAlign w:val="bottom"/>
          </w:tcPr>
          <w:p w14:paraId="1450479F"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45" w:type="pct"/>
            <w:gridSpan w:val="3"/>
            <w:tcBorders>
              <w:top w:val="nil"/>
              <w:left w:val="nil"/>
              <w:bottom w:val="single" w:sz="4" w:space="0" w:color="auto"/>
              <w:right w:val="single" w:sz="4" w:space="0" w:color="auto"/>
            </w:tcBorders>
            <w:shd w:val="clear" w:color="auto" w:fill="auto"/>
            <w:noWrap/>
            <w:vAlign w:val="bottom"/>
          </w:tcPr>
          <w:p w14:paraId="66D8480C" w14:textId="77777777" w:rsidR="009A36D2" w:rsidRPr="009A36D2" w:rsidRDefault="009A36D2" w:rsidP="00281A92">
            <w:pPr>
              <w:spacing w:before="0" w:after="0" w:line="240" w:lineRule="auto"/>
              <w:rPr>
                <w:color w:val="auto"/>
                <w:sz w:val="20"/>
                <w:szCs w:val="20"/>
              </w:rPr>
            </w:pPr>
            <w:r w:rsidRPr="009A36D2">
              <w:rPr>
                <w:color w:val="000000"/>
                <w:sz w:val="22"/>
                <w:szCs w:val="22"/>
              </w:rPr>
              <w:t>0.79</w:t>
            </w:r>
          </w:p>
        </w:tc>
        <w:tc>
          <w:tcPr>
            <w:tcW w:w="646" w:type="pct"/>
            <w:gridSpan w:val="2"/>
            <w:tcBorders>
              <w:top w:val="nil"/>
              <w:left w:val="nil"/>
              <w:bottom w:val="single" w:sz="4" w:space="0" w:color="auto"/>
              <w:right w:val="single" w:sz="4" w:space="0" w:color="auto"/>
            </w:tcBorders>
            <w:shd w:val="clear" w:color="auto" w:fill="auto"/>
            <w:noWrap/>
            <w:vAlign w:val="bottom"/>
          </w:tcPr>
          <w:p w14:paraId="1250D16C"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45" w:type="pct"/>
            <w:tcBorders>
              <w:top w:val="nil"/>
              <w:left w:val="nil"/>
              <w:bottom w:val="single" w:sz="4" w:space="0" w:color="auto"/>
              <w:right w:val="single" w:sz="4" w:space="0" w:color="auto"/>
            </w:tcBorders>
            <w:shd w:val="clear" w:color="auto" w:fill="auto"/>
            <w:noWrap/>
            <w:vAlign w:val="bottom"/>
          </w:tcPr>
          <w:p w14:paraId="417EE6A3" w14:textId="77777777" w:rsidR="009A36D2" w:rsidRPr="009A36D2" w:rsidRDefault="009A36D2" w:rsidP="00281A92">
            <w:pPr>
              <w:spacing w:before="0" w:after="0" w:line="240" w:lineRule="auto"/>
              <w:rPr>
                <w:color w:val="auto"/>
                <w:sz w:val="20"/>
                <w:szCs w:val="20"/>
              </w:rPr>
            </w:pPr>
            <w:r w:rsidRPr="009A36D2">
              <w:rPr>
                <w:color w:val="000000"/>
                <w:sz w:val="22"/>
                <w:szCs w:val="22"/>
              </w:rPr>
              <w:t>0.76</w:t>
            </w:r>
          </w:p>
        </w:tc>
      </w:tr>
      <w:tr w:rsidR="009A36D2" w:rsidRPr="009A36D2" w14:paraId="0C6A3A06"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8B39351"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03" w:type="pct"/>
            <w:gridSpan w:val="2"/>
            <w:tcBorders>
              <w:top w:val="nil"/>
              <w:left w:val="nil"/>
              <w:bottom w:val="single" w:sz="4" w:space="0" w:color="auto"/>
              <w:right w:val="single" w:sz="4" w:space="0" w:color="auto"/>
            </w:tcBorders>
            <w:shd w:val="clear" w:color="auto" w:fill="auto"/>
            <w:noWrap/>
            <w:vAlign w:val="bottom"/>
          </w:tcPr>
          <w:p w14:paraId="5C275833"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29" w:type="pct"/>
            <w:gridSpan w:val="3"/>
            <w:tcBorders>
              <w:top w:val="nil"/>
              <w:left w:val="nil"/>
              <w:bottom w:val="single" w:sz="4" w:space="0" w:color="auto"/>
              <w:right w:val="single" w:sz="4" w:space="0" w:color="auto"/>
            </w:tcBorders>
            <w:shd w:val="clear" w:color="auto" w:fill="auto"/>
            <w:noWrap/>
            <w:vAlign w:val="bottom"/>
          </w:tcPr>
          <w:p w14:paraId="6C6F8B32" w14:textId="77777777" w:rsidR="009A36D2" w:rsidRPr="009A36D2" w:rsidRDefault="009A36D2" w:rsidP="00281A92">
            <w:pPr>
              <w:spacing w:before="0" w:after="0" w:line="240" w:lineRule="auto"/>
              <w:rPr>
                <w:color w:val="auto"/>
                <w:sz w:val="20"/>
                <w:szCs w:val="20"/>
              </w:rPr>
            </w:pPr>
            <w:r w:rsidRPr="009A36D2">
              <w:rPr>
                <w:color w:val="000000"/>
                <w:sz w:val="22"/>
                <w:szCs w:val="22"/>
              </w:rPr>
              <w:t>1.05</w:t>
            </w:r>
          </w:p>
        </w:tc>
        <w:tc>
          <w:tcPr>
            <w:tcW w:w="631" w:type="pct"/>
            <w:gridSpan w:val="4"/>
            <w:tcBorders>
              <w:top w:val="nil"/>
              <w:left w:val="nil"/>
              <w:bottom w:val="single" w:sz="4" w:space="0" w:color="auto"/>
              <w:right w:val="single" w:sz="4" w:space="0" w:color="auto"/>
            </w:tcBorders>
            <w:shd w:val="clear" w:color="auto" w:fill="auto"/>
            <w:noWrap/>
            <w:vAlign w:val="bottom"/>
          </w:tcPr>
          <w:p w14:paraId="0E3BE1DF"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gridSpan w:val="3"/>
            <w:tcBorders>
              <w:top w:val="nil"/>
              <w:left w:val="nil"/>
              <w:bottom w:val="single" w:sz="4" w:space="0" w:color="auto"/>
              <w:right w:val="single" w:sz="4" w:space="0" w:color="auto"/>
            </w:tcBorders>
            <w:shd w:val="clear" w:color="auto" w:fill="auto"/>
            <w:noWrap/>
            <w:vAlign w:val="bottom"/>
          </w:tcPr>
          <w:p w14:paraId="2A54E049" w14:textId="77777777" w:rsidR="009A36D2" w:rsidRPr="009A36D2" w:rsidRDefault="009A36D2" w:rsidP="00281A92">
            <w:pPr>
              <w:spacing w:before="0" w:after="0" w:line="240" w:lineRule="auto"/>
              <w:rPr>
                <w:color w:val="auto"/>
                <w:sz w:val="20"/>
                <w:szCs w:val="20"/>
              </w:rPr>
            </w:pPr>
            <w:r w:rsidRPr="009A36D2">
              <w:rPr>
                <w:color w:val="000000"/>
                <w:sz w:val="22"/>
                <w:szCs w:val="22"/>
              </w:rPr>
              <w:t>1.05</w:t>
            </w:r>
          </w:p>
        </w:tc>
        <w:tc>
          <w:tcPr>
            <w:tcW w:w="646" w:type="pct"/>
            <w:gridSpan w:val="2"/>
            <w:tcBorders>
              <w:top w:val="nil"/>
              <w:left w:val="nil"/>
              <w:bottom w:val="single" w:sz="4" w:space="0" w:color="auto"/>
              <w:right w:val="single" w:sz="4" w:space="0" w:color="auto"/>
            </w:tcBorders>
            <w:shd w:val="clear" w:color="auto" w:fill="auto"/>
            <w:noWrap/>
            <w:vAlign w:val="bottom"/>
          </w:tcPr>
          <w:p w14:paraId="152D13CF"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tcBorders>
              <w:top w:val="nil"/>
              <w:left w:val="nil"/>
              <w:bottom w:val="single" w:sz="4" w:space="0" w:color="auto"/>
              <w:right w:val="single" w:sz="4" w:space="0" w:color="auto"/>
            </w:tcBorders>
            <w:shd w:val="clear" w:color="auto" w:fill="auto"/>
            <w:noWrap/>
            <w:vAlign w:val="bottom"/>
          </w:tcPr>
          <w:p w14:paraId="7D5DA404"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r>
      <w:tr w:rsidR="009A36D2" w:rsidRPr="009A36D2" w14:paraId="3E9F57B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240A25D"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03" w:type="pct"/>
            <w:gridSpan w:val="2"/>
            <w:tcBorders>
              <w:top w:val="nil"/>
              <w:left w:val="nil"/>
              <w:bottom w:val="single" w:sz="4" w:space="0" w:color="auto"/>
              <w:right w:val="single" w:sz="4" w:space="0" w:color="auto"/>
            </w:tcBorders>
            <w:shd w:val="clear" w:color="auto" w:fill="auto"/>
            <w:noWrap/>
            <w:vAlign w:val="bottom"/>
          </w:tcPr>
          <w:p w14:paraId="64A1ADBD"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29" w:type="pct"/>
            <w:gridSpan w:val="3"/>
            <w:tcBorders>
              <w:top w:val="nil"/>
              <w:left w:val="nil"/>
              <w:bottom w:val="single" w:sz="4" w:space="0" w:color="auto"/>
              <w:right w:val="single" w:sz="4" w:space="0" w:color="auto"/>
            </w:tcBorders>
            <w:shd w:val="clear" w:color="auto" w:fill="auto"/>
            <w:noWrap/>
            <w:vAlign w:val="bottom"/>
          </w:tcPr>
          <w:p w14:paraId="29931157"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31" w:type="pct"/>
            <w:gridSpan w:val="4"/>
            <w:tcBorders>
              <w:top w:val="nil"/>
              <w:left w:val="nil"/>
              <w:bottom w:val="single" w:sz="4" w:space="0" w:color="auto"/>
              <w:right w:val="single" w:sz="4" w:space="0" w:color="auto"/>
            </w:tcBorders>
            <w:shd w:val="clear" w:color="auto" w:fill="auto"/>
            <w:noWrap/>
            <w:vAlign w:val="bottom"/>
          </w:tcPr>
          <w:p w14:paraId="0A0CFCBE"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45" w:type="pct"/>
            <w:gridSpan w:val="3"/>
            <w:tcBorders>
              <w:top w:val="nil"/>
              <w:left w:val="nil"/>
              <w:bottom w:val="single" w:sz="4" w:space="0" w:color="auto"/>
              <w:right w:val="single" w:sz="4" w:space="0" w:color="auto"/>
            </w:tcBorders>
            <w:shd w:val="clear" w:color="auto" w:fill="auto"/>
            <w:noWrap/>
            <w:vAlign w:val="bottom"/>
          </w:tcPr>
          <w:p w14:paraId="2F48B91A" w14:textId="77777777" w:rsidR="009A36D2" w:rsidRPr="009A36D2" w:rsidRDefault="009A36D2" w:rsidP="00281A92">
            <w:pPr>
              <w:spacing w:before="0" w:after="0" w:line="240" w:lineRule="auto"/>
              <w:rPr>
                <w:color w:val="auto"/>
                <w:sz w:val="20"/>
                <w:szCs w:val="20"/>
              </w:rPr>
            </w:pPr>
            <w:r w:rsidRPr="009A36D2">
              <w:rPr>
                <w:color w:val="000000"/>
                <w:sz w:val="22"/>
                <w:szCs w:val="22"/>
              </w:rPr>
              <w:t>1.17</w:t>
            </w:r>
          </w:p>
        </w:tc>
        <w:tc>
          <w:tcPr>
            <w:tcW w:w="646" w:type="pct"/>
            <w:gridSpan w:val="2"/>
            <w:tcBorders>
              <w:top w:val="nil"/>
              <w:left w:val="nil"/>
              <w:bottom w:val="single" w:sz="4" w:space="0" w:color="auto"/>
              <w:right w:val="single" w:sz="4" w:space="0" w:color="auto"/>
            </w:tcBorders>
            <w:shd w:val="clear" w:color="auto" w:fill="auto"/>
            <w:noWrap/>
            <w:vAlign w:val="bottom"/>
          </w:tcPr>
          <w:p w14:paraId="13F1D724" w14:textId="77777777" w:rsidR="009A36D2" w:rsidRPr="009A36D2" w:rsidRDefault="009A36D2" w:rsidP="00281A92">
            <w:pPr>
              <w:spacing w:before="0" w:after="0" w:line="240" w:lineRule="auto"/>
              <w:rPr>
                <w:color w:val="auto"/>
                <w:sz w:val="20"/>
                <w:szCs w:val="20"/>
              </w:rPr>
            </w:pPr>
            <w:r w:rsidRPr="009A36D2">
              <w:rPr>
                <w:color w:val="000000"/>
                <w:sz w:val="22"/>
                <w:szCs w:val="22"/>
              </w:rPr>
              <w:t>1.06</w:t>
            </w:r>
          </w:p>
        </w:tc>
        <w:tc>
          <w:tcPr>
            <w:tcW w:w="645" w:type="pct"/>
            <w:tcBorders>
              <w:top w:val="nil"/>
              <w:left w:val="nil"/>
              <w:bottom w:val="single" w:sz="4" w:space="0" w:color="auto"/>
              <w:right w:val="single" w:sz="4" w:space="0" w:color="auto"/>
            </w:tcBorders>
            <w:shd w:val="clear" w:color="auto" w:fill="auto"/>
            <w:noWrap/>
            <w:vAlign w:val="bottom"/>
          </w:tcPr>
          <w:p w14:paraId="3FD73880"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r>
      <w:tr w:rsidR="009A36D2" w:rsidRPr="009A36D2" w14:paraId="51F8AE8A"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1F52A27"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03" w:type="pct"/>
            <w:gridSpan w:val="2"/>
            <w:tcBorders>
              <w:top w:val="nil"/>
              <w:left w:val="nil"/>
              <w:bottom w:val="single" w:sz="4" w:space="0" w:color="auto"/>
              <w:right w:val="single" w:sz="4" w:space="0" w:color="auto"/>
            </w:tcBorders>
            <w:shd w:val="clear" w:color="auto" w:fill="auto"/>
            <w:noWrap/>
            <w:vAlign w:val="bottom"/>
          </w:tcPr>
          <w:p w14:paraId="355EDAC2"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c>
          <w:tcPr>
            <w:tcW w:w="629" w:type="pct"/>
            <w:gridSpan w:val="3"/>
            <w:tcBorders>
              <w:top w:val="nil"/>
              <w:left w:val="nil"/>
              <w:bottom w:val="single" w:sz="4" w:space="0" w:color="auto"/>
              <w:right w:val="single" w:sz="4" w:space="0" w:color="auto"/>
            </w:tcBorders>
            <w:shd w:val="clear" w:color="auto" w:fill="auto"/>
            <w:noWrap/>
            <w:vAlign w:val="bottom"/>
          </w:tcPr>
          <w:p w14:paraId="12FB0DFD" w14:textId="77777777" w:rsidR="009A36D2" w:rsidRPr="009A36D2" w:rsidRDefault="009A36D2" w:rsidP="00281A92">
            <w:pPr>
              <w:spacing w:before="0" w:after="0" w:line="240" w:lineRule="auto"/>
              <w:rPr>
                <w:color w:val="auto"/>
                <w:sz w:val="20"/>
                <w:szCs w:val="20"/>
              </w:rPr>
            </w:pPr>
            <w:r w:rsidRPr="009A36D2">
              <w:rPr>
                <w:color w:val="000000"/>
                <w:sz w:val="22"/>
                <w:szCs w:val="22"/>
              </w:rPr>
              <w:t>1.04</w:t>
            </w:r>
          </w:p>
        </w:tc>
        <w:tc>
          <w:tcPr>
            <w:tcW w:w="631" w:type="pct"/>
            <w:gridSpan w:val="4"/>
            <w:tcBorders>
              <w:top w:val="nil"/>
              <w:left w:val="nil"/>
              <w:bottom w:val="single" w:sz="4" w:space="0" w:color="auto"/>
              <w:right w:val="single" w:sz="4" w:space="0" w:color="auto"/>
            </w:tcBorders>
            <w:shd w:val="clear" w:color="auto" w:fill="auto"/>
            <w:noWrap/>
            <w:vAlign w:val="bottom"/>
          </w:tcPr>
          <w:p w14:paraId="44544E4B"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gridSpan w:val="3"/>
            <w:tcBorders>
              <w:top w:val="nil"/>
              <w:left w:val="nil"/>
              <w:bottom w:val="single" w:sz="4" w:space="0" w:color="auto"/>
              <w:right w:val="single" w:sz="4" w:space="0" w:color="auto"/>
            </w:tcBorders>
            <w:shd w:val="clear" w:color="auto" w:fill="auto"/>
            <w:noWrap/>
            <w:vAlign w:val="bottom"/>
          </w:tcPr>
          <w:p w14:paraId="714C739A" w14:textId="77777777" w:rsidR="009A36D2" w:rsidRPr="009A36D2" w:rsidRDefault="009A36D2" w:rsidP="00281A92">
            <w:pPr>
              <w:spacing w:before="0" w:after="0" w:line="240" w:lineRule="auto"/>
              <w:rPr>
                <w:color w:val="auto"/>
                <w:sz w:val="20"/>
                <w:szCs w:val="20"/>
              </w:rPr>
            </w:pPr>
            <w:r w:rsidRPr="009A36D2">
              <w:rPr>
                <w:color w:val="000000"/>
                <w:sz w:val="22"/>
                <w:szCs w:val="22"/>
              </w:rPr>
              <w:t>1.03</w:t>
            </w:r>
          </w:p>
        </w:tc>
        <w:tc>
          <w:tcPr>
            <w:tcW w:w="646" w:type="pct"/>
            <w:gridSpan w:val="2"/>
            <w:tcBorders>
              <w:top w:val="nil"/>
              <w:left w:val="nil"/>
              <w:bottom w:val="single" w:sz="4" w:space="0" w:color="auto"/>
              <w:right w:val="single" w:sz="4" w:space="0" w:color="auto"/>
            </w:tcBorders>
            <w:shd w:val="clear" w:color="auto" w:fill="auto"/>
            <w:noWrap/>
            <w:vAlign w:val="bottom"/>
          </w:tcPr>
          <w:p w14:paraId="1CFBCB6A" w14:textId="77777777" w:rsidR="009A36D2" w:rsidRPr="009A36D2" w:rsidRDefault="009A36D2" w:rsidP="00281A92">
            <w:pPr>
              <w:spacing w:before="0" w:after="0" w:line="240" w:lineRule="auto"/>
              <w:rPr>
                <w:color w:val="auto"/>
                <w:sz w:val="20"/>
                <w:szCs w:val="20"/>
              </w:rPr>
            </w:pPr>
            <w:r w:rsidRPr="009A36D2">
              <w:rPr>
                <w:color w:val="000000"/>
                <w:sz w:val="22"/>
                <w:szCs w:val="22"/>
              </w:rPr>
              <w:t>1.04</w:t>
            </w:r>
          </w:p>
        </w:tc>
        <w:tc>
          <w:tcPr>
            <w:tcW w:w="645" w:type="pct"/>
            <w:tcBorders>
              <w:top w:val="nil"/>
              <w:left w:val="nil"/>
              <w:bottom w:val="single" w:sz="4" w:space="0" w:color="auto"/>
              <w:right w:val="single" w:sz="4" w:space="0" w:color="auto"/>
            </w:tcBorders>
            <w:shd w:val="clear" w:color="auto" w:fill="auto"/>
            <w:noWrap/>
            <w:vAlign w:val="bottom"/>
          </w:tcPr>
          <w:p w14:paraId="02B76DB7"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r>
      <w:tr w:rsidR="009A36D2" w:rsidRPr="009A36D2" w14:paraId="2F2757E6"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C4CD2A7"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03" w:type="pct"/>
            <w:gridSpan w:val="2"/>
            <w:tcBorders>
              <w:top w:val="nil"/>
              <w:left w:val="nil"/>
              <w:bottom w:val="single" w:sz="4" w:space="0" w:color="auto"/>
              <w:right w:val="single" w:sz="4" w:space="0" w:color="auto"/>
            </w:tcBorders>
            <w:shd w:val="clear" w:color="auto" w:fill="auto"/>
            <w:noWrap/>
            <w:vAlign w:val="bottom"/>
          </w:tcPr>
          <w:p w14:paraId="3A3A3E70"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29" w:type="pct"/>
            <w:gridSpan w:val="3"/>
            <w:tcBorders>
              <w:top w:val="nil"/>
              <w:left w:val="nil"/>
              <w:bottom w:val="single" w:sz="4" w:space="0" w:color="auto"/>
              <w:right w:val="single" w:sz="4" w:space="0" w:color="auto"/>
            </w:tcBorders>
            <w:shd w:val="clear" w:color="auto" w:fill="auto"/>
            <w:noWrap/>
            <w:vAlign w:val="bottom"/>
          </w:tcPr>
          <w:p w14:paraId="677A2C7F"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31" w:type="pct"/>
            <w:gridSpan w:val="4"/>
            <w:tcBorders>
              <w:top w:val="nil"/>
              <w:left w:val="nil"/>
              <w:bottom w:val="single" w:sz="4" w:space="0" w:color="auto"/>
              <w:right w:val="single" w:sz="4" w:space="0" w:color="auto"/>
            </w:tcBorders>
            <w:shd w:val="clear" w:color="auto" w:fill="auto"/>
            <w:noWrap/>
            <w:vAlign w:val="bottom"/>
          </w:tcPr>
          <w:p w14:paraId="5509EDDC"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5" w:type="pct"/>
            <w:gridSpan w:val="3"/>
            <w:tcBorders>
              <w:top w:val="nil"/>
              <w:left w:val="nil"/>
              <w:bottom w:val="single" w:sz="4" w:space="0" w:color="auto"/>
              <w:right w:val="single" w:sz="4" w:space="0" w:color="auto"/>
            </w:tcBorders>
            <w:shd w:val="clear" w:color="auto" w:fill="auto"/>
            <w:noWrap/>
            <w:vAlign w:val="bottom"/>
          </w:tcPr>
          <w:p w14:paraId="78F6F612"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6" w:type="pct"/>
            <w:gridSpan w:val="2"/>
            <w:tcBorders>
              <w:top w:val="nil"/>
              <w:left w:val="nil"/>
              <w:bottom w:val="single" w:sz="4" w:space="0" w:color="auto"/>
              <w:right w:val="single" w:sz="4" w:space="0" w:color="auto"/>
            </w:tcBorders>
            <w:shd w:val="clear" w:color="auto" w:fill="auto"/>
            <w:noWrap/>
            <w:vAlign w:val="bottom"/>
          </w:tcPr>
          <w:p w14:paraId="354B18FC"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5" w:type="pct"/>
            <w:tcBorders>
              <w:top w:val="nil"/>
              <w:left w:val="nil"/>
              <w:bottom w:val="single" w:sz="4" w:space="0" w:color="auto"/>
              <w:right w:val="single" w:sz="4" w:space="0" w:color="auto"/>
            </w:tcBorders>
            <w:shd w:val="clear" w:color="auto" w:fill="auto"/>
            <w:noWrap/>
            <w:vAlign w:val="bottom"/>
          </w:tcPr>
          <w:p w14:paraId="1D0A4C8C"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r>
      <w:tr w:rsidR="009A36D2" w:rsidRPr="009A36D2" w14:paraId="3EB1452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363DF82" w14:textId="77777777" w:rsidR="009A36D2" w:rsidRPr="009A36D2" w:rsidRDefault="009A36D2" w:rsidP="00281A92">
            <w:pPr>
              <w:spacing w:before="0" w:after="0" w:line="240" w:lineRule="auto"/>
              <w:rPr>
                <w:color w:val="auto"/>
                <w:sz w:val="20"/>
                <w:szCs w:val="20"/>
              </w:rPr>
            </w:pPr>
            <w:r w:rsidRPr="009A36D2">
              <w:rPr>
                <w:color w:val="auto"/>
                <w:sz w:val="20"/>
                <w:szCs w:val="20"/>
              </w:rPr>
              <w:t>6</w:t>
            </w:r>
          </w:p>
        </w:tc>
        <w:tc>
          <w:tcPr>
            <w:tcW w:w="603" w:type="pct"/>
            <w:gridSpan w:val="2"/>
            <w:tcBorders>
              <w:top w:val="nil"/>
              <w:left w:val="nil"/>
              <w:bottom w:val="single" w:sz="4" w:space="0" w:color="auto"/>
              <w:right w:val="single" w:sz="4" w:space="0" w:color="auto"/>
            </w:tcBorders>
            <w:shd w:val="clear" w:color="auto" w:fill="auto"/>
            <w:noWrap/>
            <w:vAlign w:val="bottom"/>
          </w:tcPr>
          <w:p w14:paraId="7982469B" w14:textId="77777777" w:rsidR="009A36D2" w:rsidRPr="009A36D2" w:rsidRDefault="009A36D2" w:rsidP="00281A92">
            <w:pPr>
              <w:spacing w:before="0" w:after="0" w:line="240" w:lineRule="auto"/>
              <w:rPr>
                <w:color w:val="auto"/>
                <w:sz w:val="20"/>
                <w:szCs w:val="20"/>
              </w:rPr>
            </w:pPr>
            <w:r w:rsidRPr="009A36D2">
              <w:rPr>
                <w:color w:val="000000"/>
                <w:sz w:val="22"/>
                <w:szCs w:val="22"/>
              </w:rPr>
              <w:t>0.75</w:t>
            </w:r>
          </w:p>
        </w:tc>
        <w:tc>
          <w:tcPr>
            <w:tcW w:w="629" w:type="pct"/>
            <w:gridSpan w:val="3"/>
            <w:tcBorders>
              <w:top w:val="nil"/>
              <w:left w:val="nil"/>
              <w:bottom w:val="single" w:sz="4" w:space="0" w:color="auto"/>
              <w:right w:val="single" w:sz="4" w:space="0" w:color="auto"/>
            </w:tcBorders>
            <w:shd w:val="clear" w:color="auto" w:fill="auto"/>
            <w:noWrap/>
            <w:vAlign w:val="bottom"/>
          </w:tcPr>
          <w:p w14:paraId="15DB93FC"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c>
          <w:tcPr>
            <w:tcW w:w="631" w:type="pct"/>
            <w:gridSpan w:val="4"/>
            <w:tcBorders>
              <w:top w:val="nil"/>
              <w:left w:val="nil"/>
              <w:bottom w:val="single" w:sz="4" w:space="0" w:color="auto"/>
              <w:right w:val="single" w:sz="4" w:space="0" w:color="auto"/>
            </w:tcBorders>
            <w:shd w:val="clear" w:color="auto" w:fill="auto"/>
            <w:noWrap/>
            <w:vAlign w:val="bottom"/>
          </w:tcPr>
          <w:p w14:paraId="23C8DEC6"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5" w:type="pct"/>
            <w:gridSpan w:val="3"/>
            <w:tcBorders>
              <w:top w:val="nil"/>
              <w:left w:val="nil"/>
              <w:bottom w:val="single" w:sz="4" w:space="0" w:color="auto"/>
              <w:right w:val="single" w:sz="4" w:space="0" w:color="auto"/>
            </w:tcBorders>
            <w:shd w:val="clear" w:color="auto" w:fill="auto"/>
            <w:noWrap/>
            <w:vAlign w:val="bottom"/>
          </w:tcPr>
          <w:p w14:paraId="6C171C8E"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6" w:type="pct"/>
            <w:gridSpan w:val="2"/>
            <w:tcBorders>
              <w:top w:val="nil"/>
              <w:left w:val="nil"/>
              <w:bottom w:val="single" w:sz="4" w:space="0" w:color="auto"/>
              <w:right w:val="single" w:sz="4" w:space="0" w:color="auto"/>
            </w:tcBorders>
            <w:shd w:val="clear" w:color="auto" w:fill="auto"/>
            <w:noWrap/>
            <w:vAlign w:val="bottom"/>
          </w:tcPr>
          <w:p w14:paraId="4DAF707E"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c>
          <w:tcPr>
            <w:tcW w:w="645" w:type="pct"/>
            <w:tcBorders>
              <w:top w:val="nil"/>
              <w:left w:val="nil"/>
              <w:bottom w:val="single" w:sz="4" w:space="0" w:color="auto"/>
              <w:right w:val="single" w:sz="4" w:space="0" w:color="auto"/>
            </w:tcBorders>
            <w:shd w:val="clear" w:color="auto" w:fill="auto"/>
            <w:noWrap/>
            <w:vAlign w:val="bottom"/>
          </w:tcPr>
          <w:p w14:paraId="5E7B63D2"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r>
      <w:tr w:rsidR="009A36D2" w:rsidRPr="009A36D2" w14:paraId="517B06E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1B6EF84"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03" w:type="pct"/>
            <w:gridSpan w:val="2"/>
            <w:tcBorders>
              <w:top w:val="nil"/>
              <w:left w:val="nil"/>
              <w:bottom w:val="single" w:sz="4" w:space="0" w:color="auto"/>
              <w:right w:val="single" w:sz="4" w:space="0" w:color="auto"/>
            </w:tcBorders>
            <w:shd w:val="clear" w:color="auto" w:fill="auto"/>
            <w:noWrap/>
            <w:vAlign w:val="bottom"/>
          </w:tcPr>
          <w:p w14:paraId="520F6894" w14:textId="77777777" w:rsidR="009A36D2" w:rsidRPr="009A36D2" w:rsidRDefault="009A36D2" w:rsidP="00281A92">
            <w:pPr>
              <w:spacing w:before="0" w:after="0" w:line="240" w:lineRule="auto"/>
              <w:rPr>
                <w:color w:val="auto"/>
                <w:sz w:val="20"/>
                <w:szCs w:val="20"/>
              </w:rPr>
            </w:pPr>
            <w:r w:rsidRPr="009A36D2">
              <w:rPr>
                <w:color w:val="000000"/>
                <w:sz w:val="22"/>
                <w:szCs w:val="22"/>
              </w:rPr>
              <w:t>0.76</w:t>
            </w:r>
          </w:p>
        </w:tc>
        <w:tc>
          <w:tcPr>
            <w:tcW w:w="629" w:type="pct"/>
            <w:gridSpan w:val="3"/>
            <w:tcBorders>
              <w:top w:val="nil"/>
              <w:left w:val="nil"/>
              <w:bottom w:val="single" w:sz="4" w:space="0" w:color="auto"/>
              <w:right w:val="single" w:sz="4" w:space="0" w:color="auto"/>
            </w:tcBorders>
            <w:shd w:val="clear" w:color="auto" w:fill="auto"/>
            <w:noWrap/>
            <w:vAlign w:val="bottom"/>
          </w:tcPr>
          <w:p w14:paraId="342BD680"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c>
          <w:tcPr>
            <w:tcW w:w="631" w:type="pct"/>
            <w:gridSpan w:val="4"/>
            <w:tcBorders>
              <w:top w:val="nil"/>
              <w:left w:val="nil"/>
              <w:bottom w:val="single" w:sz="4" w:space="0" w:color="auto"/>
              <w:right w:val="single" w:sz="4" w:space="0" w:color="auto"/>
            </w:tcBorders>
            <w:shd w:val="clear" w:color="auto" w:fill="auto"/>
            <w:noWrap/>
            <w:vAlign w:val="bottom"/>
          </w:tcPr>
          <w:p w14:paraId="10D0B316" w14:textId="77777777" w:rsidR="009A36D2" w:rsidRPr="009A36D2" w:rsidRDefault="009A36D2" w:rsidP="00281A92">
            <w:pPr>
              <w:spacing w:before="0" w:after="0" w:line="240" w:lineRule="auto"/>
              <w:rPr>
                <w:color w:val="auto"/>
                <w:sz w:val="20"/>
                <w:szCs w:val="20"/>
              </w:rPr>
            </w:pPr>
            <w:r w:rsidRPr="009A36D2">
              <w:rPr>
                <w:color w:val="000000"/>
                <w:sz w:val="22"/>
                <w:szCs w:val="22"/>
              </w:rPr>
              <w:t>0.43</w:t>
            </w:r>
          </w:p>
        </w:tc>
        <w:tc>
          <w:tcPr>
            <w:tcW w:w="645" w:type="pct"/>
            <w:gridSpan w:val="3"/>
            <w:tcBorders>
              <w:top w:val="nil"/>
              <w:left w:val="nil"/>
              <w:bottom w:val="single" w:sz="4" w:space="0" w:color="auto"/>
              <w:right w:val="single" w:sz="4" w:space="0" w:color="auto"/>
            </w:tcBorders>
            <w:shd w:val="clear" w:color="auto" w:fill="auto"/>
            <w:noWrap/>
            <w:vAlign w:val="bottom"/>
          </w:tcPr>
          <w:p w14:paraId="31730A84"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46" w:type="pct"/>
            <w:gridSpan w:val="2"/>
            <w:tcBorders>
              <w:top w:val="nil"/>
              <w:left w:val="nil"/>
              <w:bottom w:val="single" w:sz="4" w:space="0" w:color="auto"/>
              <w:right w:val="single" w:sz="4" w:space="0" w:color="auto"/>
            </w:tcBorders>
            <w:shd w:val="clear" w:color="auto" w:fill="auto"/>
            <w:noWrap/>
            <w:vAlign w:val="bottom"/>
          </w:tcPr>
          <w:p w14:paraId="25673449" w14:textId="77777777" w:rsidR="009A36D2" w:rsidRPr="009A36D2" w:rsidRDefault="009A36D2" w:rsidP="00281A92">
            <w:pPr>
              <w:spacing w:before="0" w:after="0" w:line="240" w:lineRule="auto"/>
              <w:rPr>
                <w:color w:val="auto"/>
                <w:sz w:val="20"/>
                <w:szCs w:val="20"/>
              </w:rPr>
            </w:pPr>
            <w:r w:rsidRPr="009A36D2">
              <w:rPr>
                <w:color w:val="000000"/>
                <w:sz w:val="22"/>
                <w:szCs w:val="22"/>
              </w:rPr>
              <w:t>0.62</w:t>
            </w:r>
          </w:p>
        </w:tc>
        <w:tc>
          <w:tcPr>
            <w:tcW w:w="645" w:type="pct"/>
            <w:tcBorders>
              <w:top w:val="nil"/>
              <w:left w:val="nil"/>
              <w:bottom w:val="single" w:sz="4" w:space="0" w:color="auto"/>
              <w:right w:val="single" w:sz="4" w:space="0" w:color="auto"/>
            </w:tcBorders>
            <w:shd w:val="clear" w:color="auto" w:fill="auto"/>
            <w:noWrap/>
            <w:vAlign w:val="bottom"/>
          </w:tcPr>
          <w:p w14:paraId="034D8F31" w14:textId="77777777" w:rsidR="009A36D2" w:rsidRPr="009A36D2" w:rsidRDefault="009A36D2" w:rsidP="00281A92">
            <w:pPr>
              <w:spacing w:before="0" w:after="0" w:line="240" w:lineRule="auto"/>
              <w:rPr>
                <w:color w:val="auto"/>
                <w:sz w:val="20"/>
                <w:szCs w:val="20"/>
              </w:rPr>
            </w:pPr>
            <w:r w:rsidRPr="009A36D2">
              <w:rPr>
                <w:color w:val="000000"/>
                <w:sz w:val="22"/>
                <w:szCs w:val="22"/>
              </w:rPr>
              <w:t>0.61</w:t>
            </w:r>
          </w:p>
        </w:tc>
      </w:tr>
      <w:tr w:rsidR="009A36D2" w:rsidRPr="009A36D2" w14:paraId="3B828E9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7C44C97"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03" w:type="pct"/>
            <w:gridSpan w:val="2"/>
            <w:tcBorders>
              <w:top w:val="nil"/>
              <w:left w:val="nil"/>
              <w:bottom w:val="single" w:sz="4" w:space="0" w:color="auto"/>
              <w:right w:val="single" w:sz="4" w:space="0" w:color="auto"/>
            </w:tcBorders>
            <w:shd w:val="clear" w:color="auto" w:fill="auto"/>
            <w:noWrap/>
            <w:vAlign w:val="bottom"/>
          </w:tcPr>
          <w:p w14:paraId="40BB460D"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c>
          <w:tcPr>
            <w:tcW w:w="629" w:type="pct"/>
            <w:gridSpan w:val="3"/>
            <w:tcBorders>
              <w:top w:val="nil"/>
              <w:left w:val="nil"/>
              <w:bottom w:val="single" w:sz="4" w:space="0" w:color="auto"/>
              <w:right w:val="single" w:sz="4" w:space="0" w:color="auto"/>
            </w:tcBorders>
            <w:shd w:val="clear" w:color="auto" w:fill="auto"/>
            <w:noWrap/>
            <w:vAlign w:val="bottom"/>
          </w:tcPr>
          <w:p w14:paraId="6B7B2AAD"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31" w:type="pct"/>
            <w:gridSpan w:val="4"/>
            <w:tcBorders>
              <w:top w:val="nil"/>
              <w:left w:val="nil"/>
              <w:bottom w:val="single" w:sz="4" w:space="0" w:color="auto"/>
              <w:right w:val="single" w:sz="4" w:space="0" w:color="auto"/>
            </w:tcBorders>
            <w:shd w:val="clear" w:color="auto" w:fill="auto"/>
            <w:noWrap/>
            <w:vAlign w:val="bottom"/>
          </w:tcPr>
          <w:p w14:paraId="6F211366"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c>
          <w:tcPr>
            <w:tcW w:w="645" w:type="pct"/>
            <w:gridSpan w:val="3"/>
            <w:tcBorders>
              <w:top w:val="nil"/>
              <w:left w:val="nil"/>
              <w:bottom w:val="single" w:sz="4" w:space="0" w:color="auto"/>
              <w:right w:val="single" w:sz="4" w:space="0" w:color="auto"/>
            </w:tcBorders>
            <w:shd w:val="clear" w:color="auto" w:fill="auto"/>
            <w:noWrap/>
            <w:vAlign w:val="bottom"/>
          </w:tcPr>
          <w:p w14:paraId="62F22744"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6" w:type="pct"/>
            <w:gridSpan w:val="2"/>
            <w:tcBorders>
              <w:top w:val="nil"/>
              <w:left w:val="nil"/>
              <w:bottom w:val="single" w:sz="4" w:space="0" w:color="auto"/>
              <w:right w:val="single" w:sz="4" w:space="0" w:color="auto"/>
            </w:tcBorders>
            <w:shd w:val="clear" w:color="auto" w:fill="auto"/>
            <w:noWrap/>
            <w:vAlign w:val="bottom"/>
          </w:tcPr>
          <w:p w14:paraId="7ED9353D"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45" w:type="pct"/>
            <w:tcBorders>
              <w:top w:val="nil"/>
              <w:left w:val="nil"/>
              <w:bottom w:val="single" w:sz="4" w:space="0" w:color="auto"/>
              <w:right w:val="single" w:sz="4" w:space="0" w:color="auto"/>
            </w:tcBorders>
            <w:shd w:val="clear" w:color="auto" w:fill="auto"/>
            <w:noWrap/>
            <w:vAlign w:val="bottom"/>
          </w:tcPr>
          <w:p w14:paraId="6DDC67AF"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r>
      <w:tr w:rsidR="009A36D2" w:rsidRPr="009A36D2" w14:paraId="1811465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AA55E53"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03" w:type="pct"/>
            <w:gridSpan w:val="2"/>
            <w:tcBorders>
              <w:top w:val="nil"/>
              <w:left w:val="nil"/>
              <w:bottom w:val="single" w:sz="4" w:space="0" w:color="auto"/>
              <w:right w:val="single" w:sz="4" w:space="0" w:color="auto"/>
            </w:tcBorders>
            <w:shd w:val="clear" w:color="auto" w:fill="auto"/>
            <w:noWrap/>
            <w:vAlign w:val="bottom"/>
          </w:tcPr>
          <w:p w14:paraId="5520485A"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29" w:type="pct"/>
            <w:gridSpan w:val="3"/>
            <w:tcBorders>
              <w:top w:val="nil"/>
              <w:left w:val="nil"/>
              <w:bottom w:val="single" w:sz="4" w:space="0" w:color="auto"/>
              <w:right w:val="single" w:sz="4" w:space="0" w:color="auto"/>
            </w:tcBorders>
            <w:shd w:val="clear" w:color="auto" w:fill="auto"/>
            <w:noWrap/>
            <w:vAlign w:val="bottom"/>
          </w:tcPr>
          <w:p w14:paraId="5284995C" w14:textId="77777777" w:rsidR="009A36D2" w:rsidRPr="009A36D2" w:rsidRDefault="009A36D2" w:rsidP="00281A92">
            <w:pPr>
              <w:spacing w:before="0" w:after="0" w:line="240" w:lineRule="auto"/>
              <w:rPr>
                <w:color w:val="auto"/>
                <w:sz w:val="20"/>
                <w:szCs w:val="20"/>
              </w:rPr>
            </w:pPr>
            <w:r w:rsidRPr="009A36D2">
              <w:rPr>
                <w:color w:val="000000"/>
                <w:sz w:val="22"/>
                <w:szCs w:val="22"/>
              </w:rPr>
              <w:t>0.78</w:t>
            </w:r>
          </w:p>
        </w:tc>
        <w:tc>
          <w:tcPr>
            <w:tcW w:w="631" w:type="pct"/>
            <w:gridSpan w:val="4"/>
            <w:tcBorders>
              <w:top w:val="nil"/>
              <w:left w:val="nil"/>
              <w:bottom w:val="single" w:sz="4" w:space="0" w:color="auto"/>
              <w:right w:val="single" w:sz="4" w:space="0" w:color="auto"/>
            </w:tcBorders>
            <w:shd w:val="clear" w:color="auto" w:fill="auto"/>
            <w:noWrap/>
            <w:vAlign w:val="bottom"/>
          </w:tcPr>
          <w:p w14:paraId="43FC3125"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gridSpan w:val="3"/>
            <w:tcBorders>
              <w:top w:val="nil"/>
              <w:left w:val="nil"/>
              <w:bottom w:val="single" w:sz="4" w:space="0" w:color="auto"/>
              <w:right w:val="single" w:sz="4" w:space="0" w:color="auto"/>
            </w:tcBorders>
            <w:shd w:val="clear" w:color="auto" w:fill="auto"/>
            <w:noWrap/>
            <w:vAlign w:val="bottom"/>
          </w:tcPr>
          <w:p w14:paraId="3CF6204C"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c>
          <w:tcPr>
            <w:tcW w:w="646" w:type="pct"/>
            <w:gridSpan w:val="2"/>
            <w:tcBorders>
              <w:top w:val="nil"/>
              <w:left w:val="nil"/>
              <w:bottom w:val="single" w:sz="4" w:space="0" w:color="auto"/>
              <w:right w:val="single" w:sz="4" w:space="0" w:color="auto"/>
            </w:tcBorders>
            <w:shd w:val="clear" w:color="auto" w:fill="auto"/>
            <w:noWrap/>
            <w:vAlign w:val="bottom"/>
          </w:tcPr>
          <w:p w14:paraId="4941E4DE"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tcBorders>
              <w:top w:val="nil"/>
              <w:left w:val="nil"/>
              <w:bottom w:val="single" w:sz="4" w:space="0" w:color="auto"/>
              <w:right w:val="single" w:sz="4" w:space="0" w:color="auto"/>
            </w:tcBorders>
            <w:shd w:val="clear" w:color="auto" w:fill="auto"/>
            <w:noWrap/>
            <w:vAlign w:val="bottom"/>
          </w:tcPr>
          <w:p w14:paraId="7FF5E9A4"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r>
      <w:tr w:rsidR="009A36D2" w:rsidRPr="009A36D2" w14:paraId="47FEB39D"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9C46AEB"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03" w:type="pct"/>
            <w:gridSpan w:val="2"/>
            <w:tcBorders>
              <w:top w:val="nil"/>
              <w:left w:val="nil"/>
              <w:bottom w:val="single" w:sz="4" w:space="0" w:color="auto"/>
              <w:right w:val="single" w:sz="4" w:space="0" w:color="auto"/>
            </w:tcBorders>
            <w:shd w:val="clear" w:color="auto" w:fill="auto"/>
            <w:noWrap/>
            <w:vAlign w:val="bottom"/>
          </w:tcPr>
          <w:p w14:paraId="2F46A81E"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29" w:type="pct"/>
            <w:gridSpan w:val="3"/>
            <w:tcBorders>
              <w:top w:val="nil"/>
              <w:left w:val="nil"/>
              <w:bottom w:val="single" w:sz="4" w:space="0" w:color="auto"/>
              <w:right w:val="single" w:sz="4" w:space="0" w:color="auto"/>
            </w:tcBorders>
            <w:shd w:val="clear" w:color="auto" w:fill="auto"/>
            <w:noWrap/>
            <w:vAlign w:val="bottom"/>
          </w:tcPr>
          <w:p w14:paraId="44AC4C35"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31" w:type="pct"/>
            <w:gridSpan w:val="4"/>
            <w:tcBorders>
              <w:top w:val="nil"/>
              <w:left w:val="nil"/>
              <w:bottom w:val="single" w:sz="4" w:space="0" w:color="auto"/>
              <w:right w:val="single" w:sz="4" w:space="0" w:color="auto"/>
            </w:tcBorders>
            <w:shd w:val="clear" w:color="auto" w:fill="auto"/>
            <w:noWrap/>
            <w:vAlign w:val="bottom"/>
          </w:tcPr>
          <w:p w14:paraId="20F467C5"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gridSpan w:val="3"/>
            <w:tcBorders>
              <w:top w:val="nil"/>
              <w:left w:val="nil"/>
              <w:bottom w:val="single" w:sz="4" w:space="0" w:color="auto"/>
              <w:right w:val="single" w:sz="4" w:space="0" w:color="auto"/>
            </w:tcBorders>
            <w:shd w:val="clear" w:color="auto" w:fill="auto"/>
            <w:noWrap/>
            <w:vAlign w:val="bottom"/>
          </w:tcPr>
          <w:p w14:paraId="5B3DB43A"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6" w:type="pct"/>
            <w:gridSpan w:val="2"/>
            <w:tcBorders>
              <w:top w:val="nil"/>
              <w:left w:val="nil"/>
              <w:bottom w:val="single" w:sz="4" w:space="0" w:color="auto"/>
              <w:right w:val="single" w:sz="4" w:space="0" w:color="auto"/>
            </w:tcBorders>
            <w:shd w:val="clear" w:color="auto" w:fill="auto"/>
            <w:noWrap/>
            <w:vAlign w:val="bottom"/>
          </w:tcPr>
          <w:p w14:paraId="6937EFBB"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5" w:type="pct"/>
            <w:tcBorders>
              <w:top w:val="nil"/>
              <w:left w:val="nil"/>
              <w:bottom w:val="single" w:sz="4" w:space="0" w:color="auto"/>
              <w:right w:val="single" w:sz="4" w:space="0" w:color="auto"/>
            </w:tcBorders>
            <w:shd w:val="clear" w:color="auto" w:fill="auto"/>
            <w:noWrap/>
            <w:vAlign w:val="bottom"/>
          </w:tcPr>
          <w:p w14:paraId="21F4D0E5"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r>
      <w:tr w:rsidR="009A36D2" w:rsidRPr="009A36D2" w14:paraId="11E4D10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13D6062"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03" w:type="pct"/>
            <w:gridSpan w:val="2"/>
            <w:tcBorders>
              <w:top w:val="nil"/>
              <w:left w:val="nil"/>
              <w:bottom w:val="single" w:sz="4" w:space="0" w:color="auto"/>
              <w:right w:val="single" w:sz="4" w:space="0" w:color="auto"/>
            </w:tcBorders>
            <w:shd w:val="clear" w:color="auto" w:fill="auto"/>
            <w:noWrap/>
            <w:vAlign w:val="bottom"/>
          </w:tcPr>
          <w:p w14:paraId="7AA75AFA"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29" w:type="pct"/>
            <w:gridSpan w:val="3"/>
            <w:tcBorders>
              <w:top w:val="nil"/>
              <w:left w:val="nil"/>
              <w:bottom w:val="single" w:sz="4" w:space="0" w:color="auto"/>
              <w:right w:val="single" w:sz="4" w:space="0" w:color="auto"/>
            </w:tcBorders>
            <w:shd w:val="clear" w:color="auto" w:fill="auto"/>
            <w:noWrap/>
            <w:vAlign w:val="bottom"/>
          </w:tcPr>
          <w:p w14:paraId="015A1EB0"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31" w:type="pct"/>
            <w:gridSpan w:val="4"/>
            <w:tcBorders>
              <w:top w:val="nil"/>
              <w:left w:val="nil"/>
              <w:bottom w:val="single" w:sz="4" w:space="0" w:color="auto"/>
              <w:right w:val="single" w:sz="4" w:space="0" w:color="auto"/>
            </w:tcBorders>
            <w:shd w:val="clear" w:color="auto" w:fill="auto"/>
            <w:noWrap/>
            <w:vAlign w:val="bottom"/>
          </w:tcPr>
          <w:p w14:paraId="7957EEC5"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gridSpan w:val="3"/>
            <w:tcBorders>
              <w:top w:val="nil"/>
              <w:left w:val="nil"/>
              <w:bottom w:val="single" w:sz="4" w:space="0" w:color="auto"/>
              <w:right w:val="single" w:sz="4" w:space="0" w:color="auto"/>
            </w:tcBorders>
            <w:shd w:val="clear" w:color="auto" w:fill="auto"/>
            <w:noWrap/>
            <w:vAlign w:val="bottom"/>
          </w:tcPr>
          <w:p w14:paraId="3D6FFB8C"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6" w:type="pct"/>
            <w:gridSpan w:val="2"/>
            <w:tcBorders>
              <w:top w:val="nil"/>
              <w:left w:val="nil"/>
              <w:bottom w:val="single" w:sz="4" w:space="0" w:color="auto"/>
              <w:right w:val="single" w:sz="4" w:space="0" w:color="auto"/>
            </w:tcBorders>
            <w:shd w:val="clear" w:color="auto" w:fill="auto"/>
            <w:noWrap/>
            <w:vAlign w:val="bottom"/>
          </w:tcPr>
          <w:p w14:paraId="0C11F22B"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45" w:type="pct"/>
            <w:tcBorders>
              <w:top w:val="nil"/>
              <w:left w:val="nil"/>
              <w:bottom w:val="single" w:sz="4" w:space="0" w:color="auto"/>
              <w:right w:val="single" w:sz="4" w:space="0" w:color="auto"/>
            </w:tcBorders>
            <w:shd w:val="clear" w:color="auto" w:fill="auto"/>
            <w:noWrap/>
            <w:vAlign w:val="bottom"/>
          </w:tcPr>
          <w:p w14:paraId="278419F7"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r>
      <w:tr w:rsidR="009A36D2" w:rsidRPr="009A36D2" w14:paraId="3BE25CD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232D6A7"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03" w:type="pct"/>
            <w:gridSpan w:val="2"/>
            <w:tcBorders>
              <w:top w:val="nil"/>
              <w:left w:val="nil"/>
              <w:bottom w:val="single" w:sz="4" w:space="0" w:color="auto"/>
              <w:right w:val="single" w:sz="4" w:space="0" w:color="auto"/>
            </w:tcBorders>
            <w:shd w:val="clear" w:color="auto" w:fill="auto"/>
            <w:noWrap/>
            <w:vAlign w:val="bottom"/>
          </w:tcPr>
          <w:p w14:paraId="43617C7D"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29" w:type="pct"/>
            <w:gridSpan w:val="3"/>
            <w:tcBorders>
              <w:top w:val="nil"/>
              <w:left w:val="nil"/>
              <w:bottom w:val="single" w:sz="4" w:space="0" w:color="auto"/>
              <w:right w:val="single" w:sz="4" w:space="0" w:color="auto"/>
            </w:tcBorders>
            <w:shd w:val="clear" w:color="auto" w:fill="auto"/>
            <w:noWrap/>
            <w:vAlign w:val="bottom"/>
          </w:tcPr>
          <w:p w14:paraId="0DF1AD9E"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31" w:type="pct"/>
            <w:gridSpan w:val="4"/>
            <w:tcBorders>
              <w:top w:val="nil"/>
              <w:left w:val="nil"/>
              <w:bottom w:val="single" w:sz="4" w:space="0" w:color="auto"/>
              <w:right w:val="single" w:sz="4" w:space="0" w:color="auto"/>
            </w:tcBorders>
            <w:shd w:val="clear" w:color="auto" w:fill="auto"/>
            <w:noWrap/>
            <w:vAlign w:val="bottom"/>
          </w:tcPr>
          <w:p w14:paraId="0B9E3096"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5" w:type="pct"/>
            <w:gridSpan w:val="3"/>
            <w:tcBorders>
              <w:top w:val="nil"/>
              <w:left w:val="nil"/>
              <w:bottom w:val="single" w:sz="4" w:space="0" w:color="auto"/>
              <w:right w:val="single" w:sz="4" w:space="0" w:color="auto"/>
            </w:tcBorders>
            <w:shd w:val="clear" w:color="auto" w:fill="auto"/>
            <w:noWrap/>
            <w:vAlign w:val="bottom"/>
          </w:tcPr>
          <w:p w14:paraId="4EBAA815" w14:textId="77777777" w:rsidR="009A36D2" w:rsidRPr="009A36D2" w:rsidRDefault="009A36D2" w:rsidP="00281A92">
            <w:pPr>
              <w:spacing w:before="0" w:after="0" w:line="240" w:lineRule="auto"/>
              <w:rPr>
                <w:color w:val="auto"/>
                <w:sz w:val="20"/>
                <w:szCs w:val="20"/>
              </w:rPr>
            </w:pPr>
            <w:r w:rsidRPr="009A36D2">
              <w:rPr>
                <w:color w:val="000000"/>
                <w:sz w:val="22"/>
                <w:szCs w:val="22"/>
              </w:rPr>
              <w:t>1.10</w:t>
            </w:r>
          </w:p>
        </w:tc>
        <w:tc>
          <w:tcPr>
            <w:tcW w:w="646" w:type="pct"/>
            <w:gridSpan w:val="2"/>
            <w:tcBorders>
              <w:top w:val="nil"/>
              <w:left w:val="nil"/>
              <w:bottom w:val="single" w:sz="4" w:space="0" w:color="auto"/>
              <w:right w:val="single" w:sz="4" w:space="0" w:color="auto"/>
            </w:tcBorders>
            <w:shd w:val="clear" w:color="auto" w:fill="auto"/>
            <w:noWrap/>
            <w:vAlign w:val="bottom"/>
          </w:tcPr>
          <w:p w14:paraId="69CF134E"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tcBorders>
              <w:top w:val="nil"/>
              <w:left w:val="nil"/>
              <w:bottom w:val="single" w:sz="4" w:space="0" w:color="auto"/>
              <w:right w:val="single" w:sz="4" w:space="0" w:color="auto"/>
            </w:tcBorders>
            <w:shd w:val="clear" w:color="auto" w:fill="auto"/>
            <w:noWrap/>
            <w:vAlign w:val="bottom"/>
          </w:tcPr>
          <w:p w14:paraId="482483D5"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r>
      <w:tr w:rsidR="009A36D2" w:rsidRPr="009A36D2" w14:paraId="77FB74EE"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60FA0FA"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03" w:type="pct"/>
            <w:gridSpan w:val="2"/>
            <w:tcBorders>
              <w:top w:val="nil"/>
              <w:left w:val="nil"/>
              <w:bottom w:val="single" w:sz="4" w:space="0" w:color="auto"/>
              <w:right w:val="single" w:sz="4" w:space="0" w:color="auto"/>
            </w:tcBorders>
            <w:shd w:val="clear" w:color="auto" w:fill="auto"/>
            <w:noWrap/>
            <w:vAlign w:val="bottom"/>
          </w:tcPr>
          <w:p w14:paraId="509F9BF8"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29" w:type="pct"/>
            <w:gridSpan w:val="3"/>
            <w:tcBorders>
              <w:top w:val="nil"/>
              <w:left w:val="nil"/>
              <w:bottom w:val="single" w:sz="4" w:space="0" w:color="auto"/>
              <w:right w:val="single" w:sz="4" w:space="0" w:color="auto"/>
            </w:tcBorders>
            <w:shd w:val="clear" w:color="auto" w:fill="auto"/>
            <w:noWrap/>
            <w:vAlign w:val="bottom"/>
          </w:tcPr>
          <w:p w14:paraId="162F4A65"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31" w:type="pct"/>
            <w:gridSpan w:val="4"/>
            <w:tcBorders>
              <w:top w:val="nil"/>
              <w:left w:val="nil"/>
              <w:bottom w:val="single" w:sz="4" w:space="0" w:color="auto"/>
              <w:right w:val="single" w:sz="4" w:space="0" w:color="auto"/>
            </w:tcBorders>
            <w:shd w:val="clear" w:color="auto" w:fill="auto"/>
            <w:noWrap/>
            <w:vAlign w:val="bottom"/>
          </w:tcPr>
          <w:p w14:paraId="2F45BB3E"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45" w:type="pct"/>
            <w:gridSpan w:val="3"/>
            <w:tcBorders>
              <w:top w:val="nil"/>
              <w:left w:val="nil"/>
              <w:bottom w:val="single" w:sz="4" w:space="0" w:color="auto"/>
              <w:right w:val="single" w:sz="4" w:space="0" w:color="auto"/>
            </w:tcBorders>
            <w:shd w:val="clear" w:color="auto" w:fill="auto"/>
            <w:noWrap/>
            <w:vAlign w:val="bottom"/>
          </w:tcPr>
          <w:p w14:paraId="212CF5FE"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54E5DB27"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c>
          <w:tcPr>
            <w:tcW w:w="645" w:type="pct"/>
            <w:tcBorders>
              <w:top w:val="nil"/>
              <w:left w:val="nil"/>
              <w:bottom w:val="single" w:sz="4" w:space="0" w:color="auto"/>
              <w:right w:val="single" w:sz="4" w:space="0" w:color="auto"/>
            </w:tcBorders>
            <w:shd w:val="clear" w:color="auto" w:fill="auto"/>
            <w:noWrap/>
            <w:vAlign w:val="bottom"/>
          </w:tcPr>
          <w:p w14:paraId="111544C2"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r>
      <w:tr w:rsidR="009A36D2" w:rsidRPr="009A36D2" w14:paraId="1EB0F29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4C1BFFB"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03" w:type="pct"/>
            <w:gridSpan w:val="2"/>
            <w:tcBorders>
              <w:top w:val="nil"/>
              <w:left w:val="nil"/>
              <w:bottom w:val="single" w:sz="4" w:space="0" w:color="auto"/>
              <w:right w:val="single" w:sz="4" w:space="0" w:color="auto"/>
            </w:tcBorders>
            <w:shd w:val="clear" w:color="auto" w:fill="auto"/>
            <w:noWrap/>
            <w:vAlign w:val="bottom"/>
          </w:tcPr>
          <w:p w14:paraId="17EEBADB" w14:textId="77777777" w:rsidR="009A36D2" w:rsidRPr="009A36D2" w:rsidRDefault="009A36D2" w:rsidP="00281A92">
            <w:pPr>
              <w:spacing w:before="0" w:after="0" w:line="240" w:lineRule="auto"/>
              <w:rPr>
                <w:color w:val="auto"/>
                <w:sz w:val="20"/>
                <w:szCs w:val="20"/>
              </w:rPr>
            </w:pPr>
            <w:r w:rsidRPr="009A36D2">
              <w:rPr>
                <w:color w:val="000000"/>
                <w:sz w:val="22"/>
                <w:szCs w:val="22"/>
              </w:rPr>
              <w:t>0.65</w:t>
            </w:r>
          </w:p>
        </w:tc>
        <w:tc>
          <w:tcPr>
            <w:tcW w:w="629" w:type="pct"/>
            <w:gridSpan w:val="3"/>
            <w:tcBorders>
              <w:top w:val="nil"/>
              <w:left w:val="nil"/>
              <w:bottom w:val="single" w:sz="4" w:space="0" w:color="auto"/>
              <w:right w:val="single" w:sz="4" w:space="0" w:color="auto"/>
            </w:tcBorders>
            <w:shd w:val="clear" w:color="auto" w:fill="auto"/>
            <w:noWrap/>
            <w:vAlign w:val="bottom"/>
          </w:tcPr>
          <w:p w14:paraId="3C831FA7"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31" w:type="pct"/>
            <w:gridSpan w:val="4"/>
            <w:tcBorders>
              <w:top w:val="nil"/>
              <w:left w:val="nil"/>
              <w:bottom w:val="single" w:sz="4" w:space="0" w:color="auto"/>
              <w:right w:val="single" w:sz="4" w:space="0" w:color="auto"/>
            </w:tcBorders>
            <w:shd w:val="clear" w:color="auto" w:fill="auto"/>
            <w:noWrap/>
            <w:vAlign w:val="bottom"/>
          </w:tcPr>
          <w:p w14:paraId="0D621713"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45" w:type="pct"/>
            <w:gridSpan w:val="3"/>
            <w:tcBorders>
              <w:top w:val="nil"/>
              <w:left w:val="nil"/>
              <w:bottom w:val="single" w:sz="4" w:space="0" w:color="auto"/>
              <w:right w:val="single" w:sz="4" w:space="0" w:color="auto"/>
            </w:tcBorders>
            <w:shd w:val="clear" w:color="auto" w:fill="auto"/>
            <w:noWrap/>
            <w:vAlign w:val="bottom"/>
          </w:tcPr>
          <w:p w14:paraId="071BD95F"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46" w:type="pct"/>
            <w:gridSpan w:val="2"/>
            <w:tcBorders>
              <w:top w:val="nil"/>
              <w:left w:val="nil"/>
              <w:bottom w:val="single" w:sz="4" w:space="0" w:color="auto"/>
              <w:right w:val="single" w:sz="4" w:space="0" w:color="auto"/>
            </w:tcBorders>
            <w:shd w:val="clear" w:color="auto" w:fill="auto"/>
            <w:noWrap/>
            <w:vAlign w:val="bottom"/>
          </w:tcPr>
          <w:p w14:paraId="526EBE18"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c>
          <w:tcPr>
            <w:tcW w:w="645" w:type="pct"/>
            <w:tcBorders>
              <w:top w:val="nil"/>
              <w:left w:val="nil"/>
              <w:bottom w:val="single" w:sz="4" w:space="0" w:color="auto"/>
              <w:right w:val="single" w:sz="4" w:space="0" w:color="auto"/>
            </w:tcBorders>
            <w:shd w:val="clear" w:color="auto" w:fill="auto"/>
            <w:noWrap/>
            <w:vAlign w:val="bottom"/>
          </w:tcPr>
          <w:p w14:paraId="7D7F7B7A" w14:textId="77777777" w:rsidR="009A36D2" w:rsidRPr="009A36D2" w:rsidRDefault="009A36D2" w:rsidP="00281A92">
            <w:pPr>
              <w:spacing w:before="0" w:after="0" w:line="240" w:lineRule="auto"/>
              <w:rPr>
                <w:color w:val="auto"/>
                <w:sz w:val="20"/>
                <w:szCs w:val="20"/>
              </w:rPr>
            </w:pPr>
            <w:r w:rsidRPr="009A36D2">
              <w:rPr>
                <w:color w:val="000000"/>
                <w:sz w:val="22"/>
                <w:szCs w:val="22"/>
              </w:rPr>
              <w:t>0.74</w:t>
            </w:r>
          </w:p>
        </w:tc>
      </w:tr>
      <w:tr w:rsidR="009A36D2" w:rsidRPr="009A36D2" w14:paraId="3A0F991D"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556E9F7"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03" w:type="pct"/>
            <w:gridSpan w:val="2"/>
            <w:tcBorders>
              <w:top w:val="nil"/>
              <w:left w:val="nil"/>
              <w:bottom w:val="single" w:sz="4" w:space="0" w:color="auto"/>
              <w:right w:val="single" w:sz="4" w:space="0" w:color="auto"/>
            </w:tcBorders>
            <w:shd w:val="clear" w:color="auto" w:fill="auto"/>
            <w:noWrap/>
            <w:vAlign w:val="bottom"/>
          </w:tcPr>
          <w:p w14:paraId="725A662B"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c>
          <w:tcPr>
            <w:tcW w:w="629" w:type="pct"/>
            <w:gridSpan w:val="3"/>
            <w:tcBorders>
              <w:top w:val="nil"/>
              <w:left w:val="nil"/>
              <w:bottom w:val="single" w:sz="4" w:space="0" w:color="auto"/>
              <w:right w:val="single" w:sz="4" w:space="0" w:color="auto"/>
            </w:tcBorders>
            <w:shd w:val="clear" w:color="auto" w:fill="auto"/>
            <w:noWrap/>
            <w:vAlign w:val="bottom"/>
          </w:tcPr>
          <w:p w14:paraId="110E7DBB"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31" w:type="pct"/>
            <w:gridSpan w:val="4"/>
            <w:tcBorders>
              <w:top w:val="nil"/>
              <w:left w:val="nil"/>
              <w:bottom w:val="single" w:sz="4" w:space="0" w:color="auto"/>
              <w:right w:val="single" w:sz="4" w:space="0" w:color="auto"/>
            </w:tcBorders>
            <w:shd w:val="clear" w:color="auto" w:fill="auto"/>
            <w:noWrap/>
            <w:vAlign w:val="bottom"/>
          </w:tcPr>
          <w:p w14:paraId="73FA1704" w14:textId="77777777" w:rsidR="009A36D2" w:rsidRPr="009A36D2" w:rsidRDefault="009A36D2" w:rsidP="00281A92">
            <w:pPr>
              <w:spacing w:before="0" w:after="0" w:line="240" w:lineRule="auto"/>
              <w:rPr>
                <w:color w:val="auto"/>
                <w:sz w:val="20"/>
                <w:szCs w:val="20"/>
              </w:rPr>
            </w:pPr>
            <w:r w:rsidRPr="009A36D2">
              <w:rPr>
                <w:color w:val="000000"/>
                <w:sz w:val="22"/>
                <w:szCs w:val="22"/>
              </w:rPr>
              <w:t>1.08</w:t>
            </w:r>
          </w:p>
        </w:tc>
        <w:tc>
          <w:tcPr>
            <w:tcW w:w="645" w:type="pct"/>
            <w:gridSpan w:val="3"/>
            <w:tcBorders>
              <w:top w:val="nil"/>
              <w:left w:val="nil"/>
              <w:bottom w:val="single" w:sz="4" w:space="0" w:color="auto"/>
              <w:right w:val="single" w:sz="4" w:space="0" w:color="auto"/>
            </w:tcBorders>
            <w:shd w:val="clear" w:color="auto" w:fill="auto"/>
            <w:noWrap/>
            <w:vAlign w:val="bottom"/>
          </w:tcPr>
          <w:p w14:paraId="5C51FB79"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6" w:type="pct"/>
            <w:gridSpan w:val="2"/>
            <w:tcBorders>
              <w:top w:val="nil"/>
              <w:left w:val="nil"/>
              <w:bottom w:val="single" w:sz="4" w:space="0" w:color="auto"/>
              <w:right w:val="single" w:sz="4" w:space="0" w:color="auto"/>
            </w:tcBorders>
            <w:shd w:val="clear" w:color="auto" w:fill="auto"/>
            <w:noWrap/>
            <w:vAlign w:val="bottom"/>
          </w:tcPr>
          <w:p w14:paraId="50293715"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tcBorders>
              <w:top w:val="nil"/>
              <w:left w:val="nil"/>
              <w:bottom w:val="single" w:sz="4" w:space="0" w:color="auto"/>
              <w:right w:val="single" w:sz="4" w:space="0" w:color="auto"/>
            </w:tcBorders>
            <w:shd w:val="clear" w:color="auto" w:fill="auto"/>
            <w:noWrap/>
            <w:vAlign w:val="bottom"/>
          </w:tcPr>
          <w:p w14:paraId="58331092" w14:textId="77777777" w:rsidR="009A36D2" w:rsidRPr="009A36D2" w:rsidRDefault="009A36D2" w:rsidP="00281A92">
            <w:pPr>
              <w:spacing w:before="0" w:after="0" w:line="240" w:lineRule="auto"/>
              <w:rPr>
                <w:color w:val="auto"/>
                <w:sz w:val="20"/>
                <w:szCs w:val="20"/>
              </w:rPr>
            </w:pPr>
            <w:r w:rsidRPr="009A36D2">
              <w:rPr>
                <w:color w:val="000000"/>
                <w:sz w:val="22"/>
                <w:szCs w:val="22"/>
              </w:rPr>
              <w:t>0.82</w:t>
            </w:r>
          </w:p>
        </w:tc>
      </w:tr>
      <w:tr w:rsidR="009A36D2" w:rsidRPr="009A36D2" w14:paraId="2B2A8184"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371D2D8" w14:textId="77777777" w:rsidR="009A36D2" w:rsidRPr="009A36D2" w:rsidRDefault="009A36D2" w:rsidP="00281A92">
            <w:pPr>
              <w:spacing w:before="0" w:after="0" w:line="240" w:lineRule="auto"/>
              <w:rPr>
                <w:color w:val="auto"/>
                <w:sz w:val="20"/>
                <w:szCs w:val="20"/>
              </w:rPr>
            </w:pPr>
            <w:r w:rsidRPr="009A36D2">
              <w:rPr>
                <w:color w:val="auto"/>
                <w:sz w:val="20"/>
                <w:szCs w:val="20"/>
              </w:rPr>
              <w:t>16</w:t>
            </w:r>
          </w:p>
        </w:tc>
        <w:tc>
          <w:tcPr>
            <w:tcW w:w="603" w:type="pct"/>
            <w:gridSpan w:val="2"/>
            <w:tcBorders>
              <w:top w:val="nil"/>
              <w:left w:val="nil"/>
              <w:bottom w:val="single" w:sz="4" w:space="0" w:color="auto"/>
              <w:right w:val="single" w:sz="4" w:space="0" w:color="auto"/>
            </w:tcBorders>
            <w:shd w:val="clear" w:color="auto" w:fill="auto"/>
            <w:noWrap/>
            <w:vAlign w:val="bottom"/>
          </w:tcPr>
          <w:p w14:paraId="40B24BC3"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29" w:type="pct"/>
            <w:gridSpan w:val="3"/>
            <w:tcBorders>
              <w:top w:val="nil"/>
              <w:left w:val="nil"/>
              <w:bottom w:val="single" w:sz="4" w:space="0" w:color="auto"/>
              <w:right w:val="single" w:sz="4" w:space="0" w:color="auto"/>
            </w:tcBorders>
            <w:shd w:val="clear" w:color="auto" w:fill="auto"/>
            <w:noWrap/>
            <w:vAlign w:val="bottom"/>
          </w:tcPr>
          <w:p w14:paraId="13114086"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31" w:type="pct"/>
            <w:gridSpan w:val="4"/>
            <w:tcBorders>
              <w:top w:val="nil"/>
              <w:left w:val="nil"/>
              <w:bottom w:val="single" w:sz="4" w:space="0" w:color="auto"/>
              <w:right w:val="single" w:sz="4" w:space="0" w:color="auto"/>
            </w:tcBorders>
            <w:shd w:val="clear" w:color="auto" w:fill="auto"/>
            <w:noWrap/>
            <w:vAlign w:val="bottom"/>
          </w:tcPr>
          <w:p w14:paraId="17E50F80"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gridSpan w:val="3"/>
            <w:tcBorders>
              <w:top w:val="nil"/>
              <w:left w:val="nil"/>
              <w:bottom w:val="single" w:sz="4" w:space="0" w:color="auto"/>
              <w:right w:val="single" w:sz="4" w:space="0" w:color="auto"/>
            </w:tcBorders>
            <w:shd w:val="clear" w:color="auto" w:fill="auto"/>
            <w:noWrap/>
            <w:vAlign w:val="bottom"/>
          </w:tcPr>
          <w:p w14:paraId="49906B87" w14:textId="77777777" w:rsidR="009A36D2" w:rsidRPr="009A36D2" w:rsidRDefault="009A36D2" w:rsidP="00281A92">
            <w:pPr>
              <w:spacing w:before="0" w:after="0" w:line="240" w:lineRule="auto"/>
              <w:rPr>
                <w:color w:val="auto"/>
                <w:sz w:val="20"/>
                <w:szCs w:val="20"/>
              </w:rPr>
            </w:pPr>
            <w:r w:rsidRPr="009A36D2">
              <w:rPr>
                <w:color w:val="000000"/>
                <w:sz w:val="22"/>
                <w:szCs w:val="22"/>
              </w:rPr>
              <w:t>1.05</w:t>
            </w:r>
          </w:p>
        </w:tc>
        <w:tc>
          <w:tcPr>
            <w:tcW w:w="646" w:type="pct"/>
            <w:gridSpan w:val="2"/>
            <w:tcBorders>
              <w:top w:val="nil"/>
              <w:left w:val="nil"/>
              <w:bottom w:val="single" w:sz="4" w:space="0" w:color="auto"/>
              <w:right w:val="single" w:sz="4" w:space="0" w:color="auto"/>
            </w:tcBorders>
            <w:shd w:val="clear" w:color="auto" w:fill="auto"/>
            <w:noWrap/>
            <w:vAlign w:val="bottom"/>
          </w:tcPr>
          <w:p w14:paraId="447A0591"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tcBorders>
              <w:top w:val="nil"/>
              <w:left w:val="nil"/>
              <w:bottom w:val="single" w:sz="4" w:space="0" w:color="auto"/>
              <w:right w:val="single" w:sz="4" w:space="0" w:color="auto"/>
            </w:tcBorders>
            <w:shd w:val="clear" w:color="auto" w:fill="auto"/>
            <w:noWrap/>
            <w:vAlign w:val="bottom"/>
          </w:tcPr>
          <w:p w14:paraId="18345841"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r>
      <w:tr w:rsidR="009A36D2" w:rsidRPr="009A36D2" w14:paraId="34B0C5DB"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8B77EDF" w14:textId="77777777" w:rsidR="009A36D2" w:rsidRPr="009A36D2" w:rsidRDefault="009A36D2" w:rsidP="00281A92">
            <w:pPr>
              <w:spacing w:before="0" w:after="0" w:line="240" w:lineRule="auto"/>
              <w:rPr>
                <w:color w:val="auto"/>
                <w:sz w:val="20"/>
                <w:szCs w:val="20"/>
              </w:rPr>
            </w:pPr>
            <w:r w:rsidRPr="009A36D2">
              <w:rPr>
                <w:color w:val="auto"/>
                <w:sz w:val="20"/>
                <w:szCs w:val="20"/>
              </w:rPr>
              <w:t>17</w:t>
            </w:r>
          </w:p>
        </w:tc>
        <w:tc>
          <w:tcPr>
            <w:tcW w:w="603" w:type="pct"/>
            <w:gridSpan w:val="2"/>
            <w:tcBorders>
              <w:top w:val="nil"/>
              <w:left w:val="nil"/>
              <w:bottom w:val="single" w:sz="4" w:space="0" w:color="auto"/>
              <w:right w:val="single" w:sz="4" w:space="0" w:color="auto"/>
            </w:tcBorders>
            <w:shd w:val="clear" w:color="auto" w:fill="auto"/>
            <w:noWrap/>
            <w:vAlign w:val="bottom"/>
          </w:tcPr>
          <w:p w14:paraId="528AE34A"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29" w:type="pct"/>
            <w:gridSpan w:val="3"/>
            <w:tcBorders>
              <w:top w:val="nil"/>
              <w:left w:val="nil"/>
              <w:bottom w:val="single" w:sz="4" w:space="0" w:color="auto"/>
              <w:right w:val="single" w:sz="4" w:space="0" w:color="auto"/>
            </w:tcBorders>
            <w:shd w:val="clear" w:color="auto" w:fill="auto"/>
            <w:noWrap/>
            <w:vAlign w:val="bottom"/>
          </w:tcPr>
          <w:p w14:paraId="353E6327"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31" w:type="pct"/>
            <w:gridSpan w:val="4"/>
            <w:tcBorders>
              <w:top w:val="nil"/>
              <w:left w:val="nil"/>
              <w:bottom w:val="single" w:sz="4" w:space="0" w:color="auto"/>
              <w:right w:val="single" w:sz="4" w:space="0" w:color="auto"/>
            </w:tcBorders>
            <w:shd w:val="clear" w:color="auto" w:fill="auto"/>
            <w:noWrap/>
            <w:vAlign w:val="bottom"/>
          </w:tcPr>
          <w:p w14:paraId="356E9DC5"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5" w:type="pct"/>
            <w:gridSpan w:val="3"/>
            <w:tcBorders>
              <w:top w:val="nil"/>
              <w:left w:val="nil"/>
              <w:bottom w:val="single" w:sz="4" w:space="0" w:color="auto"/>
              <w:right w:val="single" w:sz="4" w:space="0" w:color="auto"/>
            </w:tcBorders>
            <w:shd w:val="clear" w:color="auto" w:fill="auto"/>
            <w:noWrap/>
            <w:vAlign w:val="bottom"/>
          </w:tcPr>
          <w:p w14:paraId="6FA756CB"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01B9ADD9"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45" w:type="pct"/>
            <w:tcBorders>
              <w:top w:val="nil"/>
              <w:left w:val="nil"/>
              <w:bottom w:val="single" w:sz="4" w:space="0" w:color="auto"/>
              <w:right w:val="single" w:sz="4" w:space="0" w:color="auto"/>
            </w:tcBorders>
            <w:shd w:val="clear" w:color="auto" w:fill="auto"/>
            <w:noWrap/>
            <w:vAlign w:val="bottom"/>
          </w:tcPr>
          <w:p w14:paraId="4B4F1A4C"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r>
      <w:tr w:rsidR="009A36D2" w:rsidRPr="009A36D2" w14:paraId="5878CC0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CA330C8"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03" w:type="pct"/>
            <w:gridSpan w:val="2"/>
            <w:tcBorders>
              <w:top w:val="nil"/>
              <w:left w:val="nil"/>
              <w:bottom w:val="single" w:sz="4" w:space="0" w:color="auto"/>
              <w:right w:val="single" w:sz="4" w:space="0" w:color="auto"/>
            </w:tcBorders>
            <w:shd w:val="clear" w:color="auto" w:fill="auto"/>
            <w:noWrap/>
            <w:vAlign w:val="bottom"/>
          </w:tcPr>
          <w:p w14:paraId="1B935AC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0.84</w:t>
            </w:r>
          </w:p>
        </w:tc>
        <w:tc>
          <w:tcPr>
            <w:tcW w:w="629" w:type="pct"/>
            <w:gridSpan w:val="3"/>
            <w:tcBorders>
              <w:top w:val="nil"/>
              <w:left w:val="nil"/>
              <w:bottom w:val="single" w:sz="4" w:space="0" w:color="auto"/>
              <w:right w:val="single" w:sz="4" w:space="0" w:color="auto"/>
            </w:tcBorders>
            <w:shd w:val="clear" w:color="auto" w:fill="auto"/>
            <w:noWrap/>
            <w:vAlign w:val="bottom"/>
          </w:tcPr>
          <w:p w14:paraId="7F0E29FA"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0.91</w:t>
            </w:r>
          </w:p>
        </w:tc>
        <w:tc>
          <w:tcPr>
            <w:tcW w:w="631" w:type="pct"/>
            <w:gridSpan w:val="4"/>
            <w:tcBorders>
              <w:top w:val="nil"/>
              <w:left w:val="nil"/>
              <w:bottom w:val="single" w:sz="4" w:space="0" w:color="auto"/>
              <w:right w:val="single" w:sz="4" w:space="0" w:color="auto"/>
            </w:tcBorders>
            <w:shd w:val="clear" w:color="auto" w:fill="auto"/>
            <w:noWrap/>
            <w:vAlign w:val="bottom"/>
          </w:tcPr>
          <w:p w14:paraId="5D6D6A0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0.92</w:t>
            </w:r>
          </w:p>
        </w:tc>
        <w:tc>
          <w:tcPr>
            <w:tcW w:w="645" w:type="pct"/>
            <w:gridSpan w:val="3"/>
            <w:tcBorders>
              <w:top w:val="nil"/>
              <w:left w:val="nil"/>
              <w:bottom w:val="single" w:sz="4" w:space="0" w:color="auto"/>
              <w:right w:val="single" w:sz="4" w:space="0" w:color="auto"/>
            </w:tcBorders>
            <w:shd w:val="clear" w:color="auto" w:fill="auto"/>
            <w:noWrap/>
            <w:vAlign w:val="bottom"/>
          </w:tcPr>
          <w:p w14:paraId="4989ABD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0.97</w:t>
            </w:r>
          </w:p>
        </w:tc>
        <w:tc>
          <w:tcPr>
            <w:tcW w:w="646" w:type="pct"/>
            <w:gridSpan w:val="2"/>
            <w:tcBorders>
              <w:top w:val="nil"/>
              <w:left w:val="nil"/>
              <w:bottom w:val="single" w:sz="4" w:space="0" w:color="auto"/>
              <w:right w:val="single" w:sz="4" w:space="0" w:color="auto"/>
            </w:tcBorders>
            <w:shd w:val="clear" w:color="auto" w:fill="auto"/>
            <w:noWrap/>
            <w:vAlign w:val="bottom"/>
          </w:tcPr>
          <w:p w14:paraId="419154E1"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0.89</w:t>
            </w:r>
          </w:p>
        </w:tc>
        <w:tc>
          <w:tcPr>
            <w:tcW w:w="645" w:type="pct"/>
            <w:tcBorders>
              <w:top w:val="nil"/>
              <w:left w:val="nil"/>
              <w:bottom w:val="single" w:sz="4" w:space="0" w:color="auto"/>
              <w:right w:val="single" w:sz="4" w:space="0" w:color="auto"/>
            </w:tcBorders>
            <w:shd w:val="clear" w:color="auto" w:fill="auto"/>
            <w:noWrap/>
            <w:vAlign w:val="bottom"/>
          </w:tcPr>
          <w:p w14:paraId="7F72216A"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0.85</w:t>
            </w:r>
          </w:p>
        </w:tc>
      </w:tr>
      <w:tr w:rsidR="009A36D2" w:rsidRPr="009A36D2" w14:paraId="57ACB0C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2D371CCE"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03" w:type="pct"/>
            <w:gridSpan w:val="2"/>
            <w:tcBorders>
              <w:top w:val="nil"/>
              <w:left w:val="nil"/>
              <w:bottom w:val="single" w:sz="4" w:space="0" w:color="auto"/>
              <w:right w:val="single" w:sz="4" w:space="0" w:color="auto"/>
            </w:tcBorders>
            <w:shd w:val="clear" w:color="auto" w:fill="auto"/>
            <w:noWrap/>
            <w:vAlign w:val="bottom"/>
          </w:tcPr>
          <w:p w14:paraId="3658C787"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0.11</w:t>
            </w:r>
          </w:p>
        </w:tc>
        <w:tc>
          <w:tcPr>
            <w:tcW w:w="629" w:type="pct"/>
            <w:gridSpan w:val="3"/>
            <w:tcBorders>
              <w:top w:val="nil"/>
              <w:left w:val="nil"/>
              <w:bottom w:val="single" w:sz="4" w:space="0" w:color="auto"/>
              <w:right w:val="single" w:sz="4" w:space="0" w:color="auto"/>
            </w:tcBorders>
            <w:shd w:val="clear" w:color="auto" w:fill="auto"/>
            <w:noWrap/>
            <w:vAlign w:val="bottom"/>
          </w:tcPr>
          <w:p w14:paraId="06EB64D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0.08</w:t>
            </w:r>
          </w:p>
        </w:tc>
        <w:tc>
          <w:tcPr>
            <w:tcW w:w="631" w:type="pct"/>
            <w:gridSpan w:val="4"/>
            <w:tcBorders>
              <w:top w:val="nil"/>
              <w:left w:val="nil"/>
              <w:bottom w:val="single" w:sz="4" w:space="0" w:color="auto"/>
              <w:right w:val="single" w:sz="4" w:space="0" w:color="auto"/>
            </w:tcBorders>
            <w:shd w:val="clear" w:color="auto" w:fill="auto"/>
            <w:noWrap/>
            <w:vAlign w:val="bottom"/>
          </w:tcPr>
          <w:p w14:paraId="0F87EA3E"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0.14</w:t>
            </w:r>
          </w:p>
        </w:tc>
        <w:tc>
          <w:tcPr>
            <w:tcW w:w="645" w:type="pct"/>
            <w:gridSpan w:val="3"/>
            <w:tcBorders>
              <w:top w:val="nil"/>
              <w:left w:val="nil"/>
              <w:bottom w:val="single" w:sz="4" w:space="0" w:color="auto"/>
              <w:right w:val="single" w:sz="4" w:space="0" w:color="auto"/>
            </w:tcBorders>
            <w:shd w:val="clear" w:color="auto" w:fill="auto"/>
            <w:noWrap/>
            <w:vAlign w:val="bottom"/>
          </w:tcPr>
          <w:p w14:paraId="6C31FC1A"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0.10</w:t>
            </w:r>
          </w:p>
        </w:tc>
        <w:tc>
          <w:tcPr>
            <w:tcW w:w="646" w:type="pct"/>
            <w:gridSpan w:val="2"/>
            <w:tcBorders>
              <w:top w:val="nil"/>
              <w:left w:val="nil"/>
              <w:bottom w:val="single" w:sz="4" w:space="0" w:color="auto"/>
              <w:right w:val="single" w:sz="4" w:space="0" w:color="auto"/>
            </w:tcBorders>
            <w:shd w:val="clear" w:color="auto" w:fill="auto"/>
            <w:noWrap/>
            <w:vAlign w:val="bottom"/>
          </w:tcPr>
          <w:p w14:paraId="54A1586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0.10</w:t>
            </w:r>
          </w:p>
        </w:tc>
        <w:tc>
          <w:tcPr>
            <w:tcW w:w="645" w:type="pct"/>
            <w:tcBorders>
              <w:top w:val="nil"/>
              <w:left w:val="nil"/>
              <w:bottom w:val="single" w:sz="4" w:space="0" w:color="auto"/>
              <w:right w:val="single" w:sz="4" w:space="0" w:color="auto"/>
            </w:tcBorders>
            <w:shd w:val="clear" w:color="auto" w:fill="auto"/>
            <w:noWrap/>
            <w:vAlign w:val="bottom"/>
          </w:tcPr>
          <w:p w14:paraId="4CC90AB5"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0.09</w:t>
            </w:r>
          </w:p>
        </w:tc>
      </w:tr>
      <w:tr w:rsidR="009A36D2" w:rsidRPr="009A36D2" w14:paraId="1178FE47" w14:textId="77777777" w:rsidTr="00281A92">
        <w:trPr>
          <w:trHeight w:val="20"/>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707634B" w14:textId="77777777" w:rsidR="009A36D2" w:rsidRPr="009A36D2" w:rsidRDefault="009A36D2" w:rsidP="00281A92">
            <w:pPr>
              <w:spacing w:before="0" w:after="0" w:line="240" w:lineRule="auto"/>
              <w:jc w:val="left"/>
              <w:rPr>
                <w:iCs/>
                <w:color w:val="auto"/>
                <w:sz w:val="20"/>
                <w:szCs w:val="20"/>
              </w:rPr>
            </w:pPr>
            <w:r w:rsidRPr="009A36D2">
              <w:rPr>
                <w:iCs/>
                <w:color w:val="auto"/>
                <w:sz w:val="20"/>
                <w:szCs w:val="20"/>
              </w:rPr>
              <w:t>Older (60-79 years old)</w:t>
            </w:r>
          </w:p>
        </w:tc>
      </w:tr>
      <w:tr w:rsidR="009A36D2" w:rsidRPr="009A36D2" w14:paraId="14A14D3C" w14:textId="77777777" w:rsidTr="00281A92">
        <w:trPr>
          <w:trHeight w:val="20"/>
          <w:jc w:val="center"/>
        </w:trPr>
        <w:tc>
          <w:tcPr>
            <w:tcW w:w="1201" w:type="pct"/>
            <w:gridSpan w:val="2"/>
            <w:tcBorders>
              <w:top w:val="nil"/>
              <w:left w:val="single" w:sz="4" w:space="0" w:color="auto"/>
              <w:bottom w:val="single" w:sz="4" w:space="0" w:color="auto"/>
              <w:right w:val="single" w:sz="4" w:space="0" w:color="auto"/>
              <w:tl2br w:val="single" w:sz="4" w:space="0" w:color="auto"/>
            </w:tcBorders>
            <w:shd w:val="clear" w:color="auto" w:fill="auto"/>
            <w:hideMark/>
          </w:tcPr>
          <w:p w14:paraId="69BFAEF3" w14:textId="77777777" w:rsidR="009A36D2" w:rsidRPr="009A36D2" w:rsidRDefault="009A36D2" w:rsidP="00281A92">
            <w:pPr>
              <w:spacing w:before="0" w:after="0" w:line="240" w:lineRule="auto"/>
              <w:jc w:val="right"/>
              <w:rPr>
                <w:color w:val="auto"/>
                <w:sz w:val="20"/>
                <w:szCs w:val="20"/>
              </w:rPr>
            </w:pPr>
            <w:r w:rsidRPr="009A36D2">
              <w:rPr>
                <w:color w:val="auto"/>
                <w:sz w:val="20"/>
                <w:szCs w:val="20"/>
              </w:rPr>
              <w:t>Target amplitude</w:t>
            </w:r>
          </w:p>
          <w:p w14:paraId="79A79337" w14:textId="77777777" w:rsidR="009A36D2" w:rsidRPr="009A36D2" w:rsidRDefault="009A36D2" w:rsidP="00281A92">
            <w:pPr>
              <w:spacing w:before="0" w:after="0" w:line="240" w:lineRule="auto"/>
              <w:rPr>
                <w:color w:val="auto"/>
                <w:sz w:val="20"/>
                <w:szCs w:val="20"/>
              </w:rPr>
            </w:pPr>
          </w:p>
          <w:p w14:paraId="2CC7973F" w14:textId="77777777" w:rsidR="009A36D2" w:rsidRPr="009A36D2" w:rsidRDefault="009A36D2" w:rsidP="00281A92">
            <w:pPr>
              <w:spacing w:before="0" w:after="0" w:line="240" w:lineRule="auto"/>
              <w:rPr>
                <w:color w:val="auto"/>
                <w:sz w:val="20"/>
                <w:szCs w:val="20"/>
              </w:rPr>
            </w:pPr>
            <w:r w:rsidRPr="009A36D2">
              <w:rPr>
                <w:color w:val="auto"/>
                <w:sz w:val="20"/>
                <w:szCs w:val="20"/>
              </w:rPr>
              <w:t>Participant ID</w:t>
            </w:r>
          </w:p>
        </w:tc>
        <w:tc>
          <w:tcPr>
            <w:tcW w:w="603" w:type="pct"/>
            <w:gridSpan w:val="2"/>
            <w:tcBorders>
              <w:top w:val="nil"/>
              <w:left w:val="nil"/>
              <w:bottom w:val="single" w:sz="4" w:space="0" w:color="auto"/>
              <w:right w:val="single" w:sz="4" w:space="0" w:color="auto"/>
            </w:tcBorders>
            <w:shd w:val="clear" w:color="auto" w:fill="auto"/>
            <w:noWrap/>
            <w:hideMark/>
          </w:tcPr>
          <w:p w14:paraId="000225E1" w14:textId="77777777" w:rsidR="009A36D2" w:rsidRPr="009A36D2" w:rsidRDefault="009A36D2" w:rsidP="00281A92">
            <w:pPr>
              <w:spacing w:before="0" w:after="0" w:line="240" w:lineRule="auto"/>
              <w:rPr>
                <w:color w:val="auto"/>
                <w:sz w:val="20"/>
                <w:szCs w:val="20"/>
              </w:rPr>
            </w:pPr>
            <w:r w:rsidRPr="009A36D2">
              <w:rPr>
                <w:color w:val="auto"/>
                <w:sz w:val="20"/>
                <w:szCs w:val="20"/>
              </w:rPr>
              <w:t xml:space="preserve">-15° </w:t>
            </w:r>
          </w:p>
        </w:tc>
        <w:tc>
          <w:tcPr>
            <w:tcW w:w="629" w:type="pct"/>
            <w:gridSpan w:val="3"/>
            <w:tcBorders>
              <w:top w:val="nil"/>
              <w:left w:val="nil"/>
              <w:bottom w:val="single" w:sz="4" w:space="0" w:color="auto"/>
              <w:right w:val="single" w:sz="4" w:space="0" w:color="auto"/>
            </w:tcBorders>
            <w:shd w:val="clear" w:color="auto" w:fill="auto"/>
            <w:noWrap/>
            <w:hideMark/>
          </w:tcPr>
          <w:p w14:paraId="6D73E1FB"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31" w:type="pct"/>
            <w:gridSpan w:val="4"/>
            <w:tcBorders>
              <w:top w:val="nil"/>
              <w:left w:val="nil"/>
              <w:bottom w:val="single" w:sz="4" w:space="0" w:color="auto"/>
              <w:right w:val="single" w:sz="4" w:space="0" w:color="auto"/>
            </w:tcBorders>
            <w:shd w:val="clear" w:color="auto" w:fill="auto"/>
            <w:noWrap/>
            <w:hideMark/>
          </w:tcPr>
          <w:p w14:paraId="11B151B3"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5" w:type="pct"/>
            <w:gridSpan w:val="3"/>
            <w:tcBorders>
              <w:top w:val="nil"/>
              <w:left w:val="nil"/>
              <w:bottom w:val="single" w:sz="4" w:space="0" w:color="auto"/>
              <w:right w:val="single" w:sz="4" w:space="0" w:color="auto"/>
            </w:tcBorders>
            <w:shd w:val="clear" w:color="auto" w:fill="auto"/>
            <w:noWrap/>
            <w:hideMark/>
          </w:tcPr>
          <w:p w14:paraId="5A97F680"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46" w:type="pct"/>
            <w:gridSpan w:val="2"/>
            <w:tcBorders>
              <w:top w:val="nil"/>
              <w:left w:val="nil"/>
              <w:bottom w:val="single" w:sz="4" w:space="0" w:color="auto"/>
              <w:right w:val="single" w:sz="4" w:space="0" w:color="auto"/>
            </w:tcBorders>
            <w:shd w:val="clear" w:color="auto" w:fill="auto"/>
            <w:noWrap/>
            <w:hideMark/>
          </w:tcPr>
          <w:p w14:paraId="12D8685D"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45" w:type="pct"/>
            <w:tcBorders>
              <w:top w:val="nil"/>
              <w:left w:val="nil"/>
              <w:bottom w:val="single" w:sz="4" w:space="0" w:color="auto"/>
              <w:right w:val="single" w:sz="4" w:space="0" w:color="auto"/>
            </w:tcBorders>
            <w:shd w:val="clear" w:color="auto" w:fill="auto"/>
            <w:noWrap/>
            <w:hideMark/>
          </w:tcPr>
          <w:p w14:paraId="132885CA"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r>
      <w:tr w:rsidR="009A36D2" w:rsidRPr="009A36D2" w14:paraId="179C3CB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B1CA8C7" w14:textId="77777777" w:rsidR="009A36D2" w:rsidRPr="009A36D2" w:rsidRDefault="009A36D2" w:rsidP="00281A92">
            <w:pPr>
              <w:spacing w:before="0" w:after="0" w:line="240" w:lineRule="auto"/>
              <w:rPr>
                <w:color w:val="auto"/>
                <w:sz w:val="20"/>
                <w:szCs w:val="20"/>
              </w:rPr>
            </w:pPr>
            <w:r w:rsidRPr="009A36D2">
              <w:rPr>
                <w:color w:val="auto"/>
                <w:sz w:val="20"/>
                <w:szCs w:val="20"/>
              </w:rPr>
              <w:t>1</w:t>
            </w:r>
          </w:p>
        </w:tc>
        <w:tc>
          <w:tcPr>
            <w:tcW w:w="603" w:type="pct"/>
            <w:gridSpan w:val="2"/>
            <w:tcBorders>
              <w:top w:val="nil"/>
              <w:left w:val="nil"/>
              <w:bottom w:val="single" w:sz="4" w:space="0" w:color="auto"/>
              <w:right w:val="single" w:sz="4" w:space="0" w:color="auto"/>
            </w:tcBorders>
            <w:shd w:val="clear" w:color="auto" w:fill="auto"/>
            <w:noWrap/>
            <w:vAlign w:val="bottom"/>
          </w:tcPr>
          <w:p w14:paraId="658393B0"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29" w:type="pct"/>
            <w:gridSpan w:val="3"/>
            <w:tcBorders>
              <w:top w:val="nil"/>
              <w:left w:val="nil"/>
              <w:bottom w:val="single" w:sz="4" w:space="0" w:color="auto"/>
              <w:right w:val="single" w:sz="4" w:space="0" w:color="auto"/>
            </w:tcBorders>
            <w:shd w:val="clear" w:color="auto" w:fill="auto"/>
            <w:noWrap/>
            <w:vAlign w:val="bottom"/>
          </w:tcPr>
          <w:p w14:paraId="03C5A607"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31" w:type="pct"/>
            <w:gridSpan w:val="4"/>
            <w:tcBorders>
              <w:top w:val="nil"/>
              <w:left w:val="nil"/>
              <w:bottom w:val="single" w:sz="4" w:space="0" w:color="auto"/>
              <w:right w:val="single" w:sz="4" w:space="0" w:color="auto"/>
            </w:tcBorders>
            <w:shd w:val="clear" w:color="auto" w:fill="auto"/>
            <w:noWrap/>
            <w:vAlign w:val="bottom"/>
          </w:tcPr>
          <w:p w14:paraId="507EFAE9"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45" w:type="pct"/>
            <w:gridSpan w:val="3"/>
            <w:tcBorders>
              <w:top w:val="nil"/>
              <w:left w:val="nil"/>
              <w:bottom w:val="single" w:sz="4" w:space="0" w:color="auto"/>
              <w:right w:val="single" w:sz="4" w:space="0" w:color="auto"/>
            </w:tcBorders>
            <w:shd w:val="clear" w:color="auto" w:fill="auto"/>
            <w:noWrap/>
            <w:vAlign w:val="bottom"/>
          </w:tcPr>
          <w:p w14:paraId="326CA878"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46" w:type="pct"/>
            <w:gridSpan w:val="2"/>
            <w:tcBorders>
              <w:top w:val="nil"/>
              <w:left w:val="nil"/>
              <w:bottom w:val="single" w:sz="4" w:space="0" w:color="auto"/>
              <w:right w:val="single" w:sz="4" w:space="0" w:color="auto"/>
            </w:tcBorders>
            <w:shd w:val="clear" w:color="auto" w:fill="auto"/>
            <w:noWrap/>
            <w:vAlign w:val="bottom"/>
          </w:tcPr>
          <w:p w14:paraId="0D87C5AF" w14:textId="77777777" w:rsidR="009A36D2" w:rsidRPr="009A36D2" w:rsidRDefault="009A36D2" w:rsidP="00281A92">
            <w:pPr>
              <w:spacing w:before="0" w:after="0" w:line="240" w:lineRule="auto"/>
              <w:rPr>
                <w:color w:val="auto"/>
                <w:sz w:val="20"/>
                <w:szCs w:val="20"/>
              </w:rPr>
            </w:pPr>
            <w:r w:rsidRPr="009A36D2">
              <w:rPr>
                <w:color w:val="000000"/>
                <w:sz w:val="22"/>
                <w:szCs w:val="22"/>
              </w:rPr>
              <w:t>0.72</w:t>
            </w:r>
          </w:p>
        </w:tc>
        <w:tc>
          <w:tcPr>
            <w:tcW w:w="645" w:type="pct"/>
            <w:tcBorders>
              <w:top w:val="nil"/>
              <w:left w:val="nil"/>
              <w:bottom w:val="single" w:sz="4" w:space="0" w:color="auto"/>
              <w:right w:val="single" w:sz="4" w:space="0" w:color="auto"/>
            </w:tcBorders>
            <w:shd w:val="clear" w:color="auto" w:fill="auto"/>
            <w:noWrap/>
            <w:vAlign w:val="bottom"/>
          </w:tcPr>
          <w:p w14:paraId="2CB785FE" w14:textId="77777777" w:rsidR="009A36D2" w:rsidRPr="009A36D2" w:rsidRDefault="009A36D2" w:rsidP="00281A92">
            <w:pPr>
              <w:spacing w:before="0" w:after="0" w:line="240" w:lineRule="auto"/>
              <w:rPr>
                <w:color w:val="auto"/>
                <w:sz w:val="20"/>
                <w:szCs w:val="20"/>
              </w:rPr>
            </w:pPr>
            <w:r w:rsidRPr="009A36D2">
              <w:rPr>
                <w:color w:val="000000"/>
                <w:sz w:val="22"/>
                <w:szCs w:val="22"/>
              </w:rPr>
              <w:t>0.81</w:t>
            </w:r>
          </w:p>
        </w:tc>
      </w:tr>
      <w:tr w:rsidR="009A36D2" w:rsidRPr="009A36D2" w14:paraId="2F83FAA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5FD0F67D" w14:textId="77777777" w:rsidR="009A36D2" w:rsidRPr="009A36D2" w:rsidRDefault="009A36D2" w:rsidP="00281A92">
            <w:pPr>
              <w:spacing w:before="0" w:after="0" w:line="240" w:lineRule="auto"/>
              <w:rPr>
                <w:color w:val="auto"/>
                <w:sz w:val="20"/>
                <w:szCs w:val="20"/>
              </w:rPr>
            </w:pPr>
            <w:r w:rsidRPr="009A36D2">
              <w:rPr>
                <w:color w:val="auto"/>
                <w:sz w:val="20"/>
                <w:szCs w:val="20"/>
              </w:rPr>
              <w:t>2</w:t>
            </w:r>
          </w:p>
        </w:tc>
        <w:tc>
          <w:tcPr>
            <w:tcW w:w="603" w:type="pct"/>
            <w:gridSpan w:val="2"/>
            <w:tcBorders>
              <w:top w:val="nil"/>
              <w:left w:val="nil"/>
              <w:bottom w:val="single" w:sz="4" w:space="0" w:color="auto"/>
              <w:right w:val="single" w:sz="4" w:space="0" w:color="auto"/>
            </w:tcBorders>
            <w:shd w:val="clear" w:color="auto" w:fill="auto"/>
            <w:noWrap/>
            <w:vAlign w:val="bottom"/>
          </w:tcPr>
          <w:p w14:paraId="6E8D0F58" w14:textId="77777777" w:rsidR="009A36D2" w:rsidRPr="009A36D2" w:rsidRDefault="009A36D2" w:rsidP="00281A92">
            <w:pPr>
              <w:spacing w:before="0" w:after="0" w:line="240" w:lineRule="auto"/>
              <w:rPr>
                <w:color w:val="auto"/>
                <w:sz w:val="20"/>
                <w:szCs w:val="20"/>
              </w:rPr>
            </w:pPr>
            <w:r w:rsidRPr="009A36D2">
              <w:rPr>
                <w:color w:val="000000"/>
                <w:sz w:val="22"/>
                <w:szCs w:val="22"/>
              </w:rPr>
              <w:t>0.53</w:t>
            </w:r>
          </w:p>
        </w:tc>
        <w:tc>
          <w:tcPr>
            <w:tcW w:w="629" w:type="pct"/>
            <w:gridSpan w:val="3"/>
            <w:tcBorders>
              <w:top w:val="nil"/>
              <w:left w:val="nil"/>
              <w:bottom w:val="single" w:sz="4" w:space="0" w:color="auto"/>
              <w:right w:val="single" w:sz="4" w:space="0" w:color="auto"/>
            </w:tcBorders>
            <w:shd w:val="clear" w:color="auto" w:fill="auto"/>
            <w:noWrap/>
            <w:vAlign w:val="bottom"/>
          </w:tcPr>
          <w:p w14:paraId="34929F6D" w14:textId="77777777" w:rsidR="009A36D2" w:rsidRPr="009A36D2" w:rsidRDefault="009A36D2" w:rsidP="00281A92">
            <w:pPr>
              <w:spacing w:before="0" w:after="0" w:line="240" w:lineRule="auto"/>
              <w:rPr>
                <w:color w:val="auto"/>
                <w:sz w:val="20"/>
                <w:szCs w:val="20"/>
              </w:rPr>
            </w:pPr>
            <w:r w:rsidRPr="009A36D2">
              <w:rPr>
                <w:color w:val="000000"/>
                <w:sz w:val="22"/>
                <w:szCs w:val="22"/>
              </w:rPr>
              <w:t>0.52</w:t>
            </w:r>
          </w:p>
        </w:tc>
        <w:tc>
          <w:tcPr>
            <w:tcW w:w="631" w:type="pct"/>
            <w:gridSpan w:val="4"/>
            <w:tcBorders>
              <w:top w:val="nil"/>
              <w:left w:val="nil"/>
              <w:bottom w:val="single" w:sz="4" w:space="0" w:color="auto"/>
              <w:right w:val="single" w:sz="4" w:space="0" w:color="auto"/>
            </w:tcBorders>
            <w:shd w:val="clear" w:color="auto" w:fill="auto"/>
            <w:noWrap/>
            <w:vAlign w:val="bottom"/>
          </w:tcPr>
          <w:p w14:paraId="77FAE732"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45" w:type="pct"/>
            <w:gridSpan w:val="3"/>
            <w:tcBorders>
              <w:top w:val="nil"/>
              <w:left w:val="nil"/>
              <w:bottom w:val="single" w:sz="4" w:space="0" w:color="auto"/>
              <w:right w:val="single" w:sz="4" w:space="0" w:color="auto"/>
            </w:tcBorders>
            <w:shd w:val="clear" w:color="auto" w:fill="auto"/>
            <w:noWrap/>
            <w:vAlign w:val="bottom"/>
          </w:tcPr>
          <w:p w14:paraId="6F8457C1"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46" w:type="pct"/>
            <w:gridSpan w:val="2"/>
            <w:tcBorders>
              <w:top w:val="nil"/>
              <w:left w:val="nil"/>
              <w:bottom w:val="single" w:sz="4" w:space="0" w:color="auto"/>
              <w:right w:val="single" w:sz="4" w:space="0" w:color="auto"/>
            </w:tcBorders>
            <w:shd w:val="clear" w:color="auto" w:fill="auto"/>
            <w:noWrap/>
            <w:vAlign w:val="bottom"/>
          </w:tcPr>
          <w:p w14:paraId="43278B36" w14:textId="77777777" w:rsidR="009A36D2" w:rsidRPr="009A36D2" w:rsidRDefault="009A36D2" w:rsidP="00281A92">
            <w:pPr>
              <w:spacing w:before="0" w:after="0" w:line="240" w:lineRule="auto"/>
              <w:rPr>
                <w:color w:val="auto"/>
                <w:sz w:val="20"/>
                <w:szCs w:val="20"/>
              </w:rPr>
            </w:pPr>
            <w:r w:rsidRPr="009A36D2">
              <w:rPr>
                <w:color w:val="000000"/>
                <w:sz w:val="22"/>
                <w:szCs w:val="22"/>
              </w:rPr>
              <w:t>0.80</w:t>
            </w:r>
          </w:p>
        </w:tc>
        <w:tc>
          <w:tcPr>
            <w:tcW w:w="645" w:type="pct"/>
            <w:tcBorders>
              <w:top w:val="nil"/>
              <w:left w:val="nil"/>
              <w:bottom w:val="single" w:sz="4" w:space="0" w:color="auto"/>
              <w:right w:val="single" w:sz="4" w:space="0" w:color="auto"/>
            </w:tcBorders>
            <w:shd w:val="clear" w:color="auto" w:fill="auto"/>
            <w:noWrap/>
            <w:vAlign w:val="bottom"/>
          </w:tcPr>
          <w:p w14:paraId="5F147972" w14:textId="77777777" w:rsidR="009A36D2" w:rsidRPr="009A36D2" w:rsidRDefault="009A36D2" w:rsidP="00281A92">
            <w:pPr>
              <w:spacing w:before="0" w:after="0" w:line="240" w:lineRule="auto"/>
              <w:rPr>
                <w:color w:val="auto"/>
                <w:sz w:val="20"/>
                <w:szCs w:val="20"/>
              </w:rPr>
            </w:pPr>
            <w:r w:rsidRPr="009A36D2">
              <w:rPr>
                <w:color w:val="000000"/>
                <w:sz w:val="22"/>
                <w:szCs w:val="22"/>
              </w:rPr>
              <w:t>0.47</w:t>
            </w:r>
          </w:p>
        </w:tc>
      </w:tr>
      <w:tr w:rsidR="009A36D2" w:rsidRPr="009A36D2" w14:paraId="34F3F8BF"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7533DC9D" w14:textId="77777777" w:rsidR="009A36D2" w:rsidRPr="009A36D2" w:rsidRDefault="009A36D2" w:rsidP="00281A92">
            <w:pPr>
              <w:spacing w:before="0" w:after="0" w:line="240" w:lineRule="auto"/>
              <w:rPr>
                <w:color w:val="auto"/>
                <w:sz w:val="20"/>
                <w:szCs w:val="20"/>
              </w:rPr>
            </w:pPr>
            <w:r w:rsidRPr="009A36D2">
              <w:rPr>
                <w:color w:val="auto"/>
                <w:sz w:val="20"/>
                <w:szCs w:val="20"/>
              </w:rPr>
              <w:t>3</w:t>
            </w:r>
          </w:p>
        </w:tc>
        <w:tc>
          <w:tcPr>
            <w:tcW w:w="603" w:type="pct"/>
            <w:gridSpan w:val="2"/>
            <w:tcBorders>
              <w:top w:val="nil"/>
              <w:left w:val="nil"/>
              <w:bottom w:val="single" w:sz="4" w:space="0" w:color="auto"/>
              <w:right w:val="single" w:sz="4" w:space="0" w:color="auto"/>
            </w:tcBorders>
            <w:shd w:val="clear" w:color="auto" w:fill="auto"/>
            <w:noWrap/>
            <w:vAlign w:val="bottom"/>
          </w:tcPr>
          <w:p w14:paraId="61A36E37" w14:textId="77777777" w:rsidR="009A36D2" w:rsidRPr="009A36D2" w:rsidRDefault="009A36D2" w:rsidP="00281A92">
            <w:pPr>
              <w:spacing w:before="0" w:after="0" w:line="240" w:lineRule="auto"/>
              <w:rPr>
                <w:color w:val="auto"/>
                <w:sz w:val="20"/>
                <w:szCs w:val="20"/>
              </w:rPr>
            </w:pPr>
            <w:r w:rsidRPr="009A36D2">
              <w:rPr>
                <w:color w:val="000000"/>
                <w:sz w:val="22"/>
                <w:szCs w:val="22"/>
              </w:rPr>
              <w:t>0.83</w:t>
            </w:r>
          </w:p>
        </w:tc>
        <w:tc>
          <w:tcPr>
            <w:tcW w:w="629" w:type="pct"/>
            <w:gridSpan w:val="3"/>
            <w:tcBorders>
              <w:top w:val="nil"/>
              <w:left w:val="nil"/>
              <w:bottom w:val="single" w:sz="4" w:space="0" w:color="auto"/>
              <w:right w:val="single" w:sz="4" w:space="0" w:color="auto"/>
            </w:tcBorders>
            <w:shd w:val="clear" w:color="auto" w:fill="auto"/>
            <w:noWrap/>
            <w:vAlign w:val="bottom"/>
          </w:tcPr>
          <w:p w14:paraId="55C8257F"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31" w:type="pct"/>
            <w:gridSpan w:val="4"/>
            <w:tcBorders>
              <w:top w:val="nil"/>
              <w:left w:val="nil"/>
              <w:bottom w:val="single" w:sz="4" w:space="0" w:color="auto"/>
              <w:right w:val="single" w:sz="4" w:space="0" w:color="auto"/>
            </w:tcBorders>
            <w:shd w:val="clear" w:color="auto" w:fill="auto"/>
            <w:noWrap/>
            <w:vAlign w:val="bottom"/>
          </w:tcPr>
          <w:p w14:paraId="7A535A17"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gridSpan w:val="3"/>
            <w:tcBorders>
              <w:top w:val="nil"/>
              <w:left w:val="nil"/>
              <w:bottom w:val="single" w:sz="4" w:space="0" w:color="auto"/>
              <w:right w:val="single" w:sz="4" w:space="0" w:color="auto"/>
            </w:tcBorders>
            <w:shd w:val="clear" w:color="auto" w:fill="auto"/>
            <w:noWrap/>
            <w:vAlign w:val="bottom"/>
          </w:tcPr>
          <w:p w14:paraId="6AB42634" w14:textId="77777777" w:rsidR="009A36D2" w:rsidRPr="009A36D2" w:rsidRDefault="009A36D2" w:rsidP="00281A92">
            <w:pPr>
              <w:spacing w:before="0" w:after="0" w:line="240" w:lineRule="auto"/>
              <w:rPr>
                <w:color w:val="auto"/>
                <w:sz w:val="20"/>
                <w:szCs w:val="20"/>
              </w:rPr>
            </w:pPr>
            <w:r w:rsidRPr="009A36D2">
              <w:rPr>
                <w:color w:val="000000"/>
                <w:sz w:val="22"/>
                <w:szCs w:val="22"/>
              </w:rPr>
              <w:t>1.00</w:t>
            </w:r>
          </w:p>
        </w:tc>
        <w:tc>
          <w:tcPr>
            <w:tcW w:w="646" w:type="pct"/>
            <w:gridSpan w:val="2"/>
            <w:tcBorders>
              <w:top w:val="nil"/>
              <w:left w:val="nil"/>
              <w:bottom w:val="single" w:sz="4" w:space="0" w:color="auto"/>
              <w:right w:val="single" w:sz="4" w:space="0" w:color="auto"/>
            </w:tcBorders>
            <w:shd w:val="clear" w:color="auto" w:fill="auto"/>
            <w:noWrap/>
            <w:vAlign w:val="bottom"/>
          </w:tcPr>
          <w:p w14:paraId="1C2A90DA"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5" w:type="pct"/>
            <w:tcBorders>
              <w:top w:val="nil"/>
              <w:left w:val="nil"/>
              <w:bottom w:val="single" w:sz="4" w:space="0" w:color="auto"/>
              <w:right w:val="single" w:sz="4" w:space="0" w:color="auto"/>
            </w:tcBorders>
            <w:shd w:val="clear" w:color="auto" w:fill="auto"/>
            <w:noWrap/>
            <w:vAlign w:val="bottom"/>
          </w:tcPr>
          <w:p w14:paraId="2803CD9E"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r>
      <w:tr w:rsidR="009A36D2" w:rsidRPr="009A36D2" w14:paraId="0FA07EE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E9A82C5" w14:textId="77777777" w:rsidR="009A36D2" w:rsidRPr="009A36D2" w:rsidRDefault="009A36D2" w:rsidP="00281A92">
            <w:pPr>
              <w:spacing w:before="0" w:after="0" w:line="240" w:lineRule="auto"/>
              <w:rPr>
                <w:color w:val="auto"/>
                <w:sz w:val="20"/>
                <w:szCs w:val="20"/>
              </w:rPr>
            </w:pPr>
            <w:r w:rsidRPr="009A36D2">
              <w:rPr>
                <w:color w:val="auto"/>
                <w:sz w:val="20"/>
                <w:szCs w:val="20"/>
              </w:rPr>
              <w:t>4</w:t>
            </w:r>
          </w:p>
        </w:tc>
        <w:tc>
          <w:tcPr>
            <w:tcW w:w="603" w:type="pct"/>
            <w:gridSpan w:val="2"/>
            <w:tcBorders>
              <w:top w:val="nil"/>
              <w:left w:val="nil"/>
              <w:bottom w:val="single" w:sz="4" w:space="0" w:color="auto"/>
              <w:right w:val="single" w:sz="4" w:space="0" w:color="auto"/>
            </w:tcBorders>
            <w:shd w:val="clear" w:color="auto" w:fill="auto"/>
            <w:noWrap/>
            <w:vAlign w:val="bottom"/>
          </w:tcPr>
          <w:p w14:paraId="589768B3"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29" w:type="pct"/>
            <w:gridSpan w:val="3"/>
            <w:tcBorders>
              <w:top w:val="nil"/>
              <w:left w:val="nil"/>
              <w:bottom w:val="single" w:sz="4" w:space="0" w:color="auto"/>
              <w:right w:val="single" w:sz="4" w:space="0" w:color="auto"/>
            </w:tcBorders>
            <w:shd w:val="clear" w:color="auto" w:fill="auto"/>
            <w:noWrap/>
            <w:vAlign w:val="bottom"/>
          </w:tcPr>
          <w:p w14:paraId="43989084"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31" w:type="pct"/>
            <w:gridSpan w:val="4"/>
            <w:tcBorders>
              <w:top w:val="nil"/>
              <w:left w:val="nil"/>
              <w:bottom w:val="single" w:sz="4" w:space="0" w:color="auto"/>
              <w:right w:val="single" w:sz="4" w:space="0" w:color="auto"/>
            </w:tcBorders>
            <w:shd w:val="clear" w:color="auto" w:fill="auto"/>
            <w:noWrap/>
            <w:vAlign w:val="bottom"/>
          </w:tcPr>
          <w:p w14:paraId="4EECEA99"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5" w:type="pct"/>
            <w:gridSpan w:val="3"/>
            <w:tcBorders>
              <w:top w:val="nil"/>
              <w:left w:val="nil"/>
              <w:bottom w:val="single" w:sz="4" w:space="0" w:color="auto"/>
              <w:right w:val="single" w:sz="4" w:space="0" w:color="auto"/>
            </w:tcBorders>
            <w:shd w:val="clear" w:color="auto" w:fill="auto"/>
            <w:noWrap/>
            <w:vAlign w:val="bottom"/>
          </w:tcPr>
          <w:p w14:paraId="71F0D6D5" w14:textId="77777777" w:rsidR="009A36D2" w:rsidRPr="009A36D2" w:rsidRDefault="009A36D2" w:rsidP="00281A92">
            <w:pPr>
              <w:spacing w:before="0" w:after="0" w:line="240" w:lineRule="auto"/>
              <w:rPr>
                <w:color w:val="auto"/>
                <w:sz w:val="20"/>
                <w:szCs w:val="20"/>
              </w:rPr>
            </w:pPr>
            <w:r w:rsidRPr="009A36D2">
              <w:rPr>
                <w:color w:val="000000"/>
                <w:sz w:val="22"/>
                <w:szCs w:val="22"/>
              </w:rPr>
              <w:t>1.07</w:t>
            </w:r>
          </w:p>
        </w:tc>
        <w:tc>
          <w:tcPr>
            <w:tcW w:w="646" w:type="pct"/>
            <w:gridSpan w:val="2"/>
            <w:tcBorders>
              <w:top w:val="nil"/>
              <w:left w:val="nil"/>
              <w:bottom w:val="single" w:sz="4" w:space="0" w:color="auto"/>
              <w:right w:val="single" w:sz="4" w:space="0" w:color="auto"/>
            </w:tcBorders>
            <w:shd w:val="clear" w:color="auto" w:fill="auto"/>
            <w:noWrap/>
            <w:vAlign w:val="bottom"/>
          </w:tcPr>
          <w:p w14:paraId="3F6E8EC2"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5" w:type="pct"/>
            <w:tcBorders>
              <w:top w:val="nil"/>
              <w:left w:val="nil"/>
              <w:bottom w:val="single" w:sz="4" w:space="0" w:color="auto"/>
              <w:right w:val="single" w:sz="4" w:space="0" w:color="auto"/>
            </w:tcBorders>
            <w:shd w:val="clear" w:color="auto" w:fill="auto"/>
            <w:noWrap/>
            <w:vAlign w:val="bottom"/>
          </w:tcPr>
          <w:p w14:paraId="0F67792D"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r>
      <w:tr w:rsidR="009A36D2" w:rsidRPr="009A36D2" w14:paraId="71849C39"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B3034D0" w14:textId="77777777" w:rsidR="009A36D2" w:rsidRPr="009A36D2" w:rsidRDefault="009A36D2" w:rsidP="00281A92">
            <w:pPr>
              <w:spacing w:before="0" w:after="0" w:line="240" w:lineRule="auto"/>
              <w:rPr>
                <w:color w:val="auto"/>
                <w:sz w:val="20"/>
                <w:szCs w:val="20"/>
              </w:rPr>
            </w:pPr>
            <w:r w:rsidRPr="009A36D2">
              <w:rPr>
                <w:color w:val="auto"/>
                <w:sz w:val="20"/>
                <w:szCs w:val="20"/>
              </w:rPr>
              <w:t>5</w:t>
            </w:r>
          </w:p>
        </w:tc>
        <w:tc>
          <w:tcPr>
            <w:tcW w:w="603" w:type="pct"/>
            <w:gridSpan w:val="2"/>
            <w:tcBorders>
              <w:top w:val="nil"/>
              <w:left w:val="nil"/>
              <w:bottom w:val="single" w:sz="4" w:space="0" w:color="auto"/>
              <w:right w:val="single" w:sz="4" w:space="0" w:color="auto"/>
            </w:tcBorders>
            <w:shd w:val="clear" w:color="auto" w:fill="auto"/>
            <w:noWrap/>
            <w:vAlign w:val="bottom"/>
          </w:tcPr>
          <w:p w14:paraId="2366D672"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29" w:type="pct"/>
            <w:gridSpan w:val="3"/>
            <w:tcBorders>
              <w:top w:val="nil"/>
              <w:left w:val="nil"/>
              <w:bottom w:val="single" w:sz="4" w:space="0" w:color="auto"/>
              <w:right w:val="single" w:sz="4" w:space="0" w:color="auto"/>
            </w:tcBorders>
            <w:shd w:val="clear" w:color="auto" w:fill="auto"/>
            <w:noWrap/>
            <w:vAlign w:val="bottom"/>
          </w:tcPr>
          <w:p w14:paraId="3B3DA6CF"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31" w:type="pct"/>
            <w:gridSpan w:val="4"/>
            <w:tcBorders>
              <w:top w:val="nil"/>
              <w:left w:val="nil"/>
              <w:bottom w:val="single" w:sz="4" w:space="0" w:color="auto"/>
              <w:right w:val="single" w:sz="4" w:space="0" w:color="auto"/>
            </w:tcBorders>
            <w:shd w:val="clear" w:color="auto" w:fill="auto"/>
            <w:noWrap/>
            <w:vAlign w:val="bottom"/>
          </w:tcPr>
          <w:p w14:paraId="47353368" w14:textId="77777777" w:rsidR="009A36D2" w:rsidRPr="009A36D2" w:rsidRDefault="009A36D2" w:rsidP="00281A92">
            <w:pPr>
              <w:spacing w:before="0" w:after="0" w:line="240" w:lineRule="auto"/>
              <w:rPr>
                <w:color w:val="auto"/>
                <w:sz w:val="20"/>
                <w:szCs w:val="20"/>
              </w:rPr>
            </w:pPr>
            <w:r w:rsidRPr="009A36D2">
              <w:rPr>
                <w:color w:val="000000"/>
                <w:sz w:val="22"/>
                <w:szCs w:val="22"/>
              </w:rPr>
              <w:t>0.65</w:t>
            </w:r>
          </w:p>
        </w:tc>
        <w:tc>
          <w:tcPr>
            <w:tcW w:w="645" w:type="pct"/>
            <w:gridSpan w:val="3"/>
            <w:tcBorders>
              <w:top w:val="nil"/>
              <w:left w:val="nil"/>
              <w:bottom w:val="single" w:sz="4" w:space="0" w:color="auto"/>
              <w:right w:val="single" w:sz="4" w:space="0" w:color="auto"/>
            </w:tcBorders>
            <w:shd w:val="clear" w:color="auto" w:fill="auto"/>
            <w:noWrap/>
            <w:vAlign w:val="bottom"/>
          </w:tcPr>
          <w:p w14:paraId="5F01FF4F"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c>
          <w:tcPr>
            <w:tcW w:w="646" w:type="pct"/>
            <w:gridSpan w:val="2"/>
            <w:tcBorders>
              <w:top w:val="nil"/>
              <w:left w:val="nil"/>
              <w:bottom w:val="single" w:sz="4" w:space="0" w:color="auto"/>
              <w:right w:val="single" w:sz="4" w:space="0" w:color="auto"/>
            </w:tcBorders>
            <w:shd w:val="clear" w:color="auto" w:fill="auto"/>
            <w:noWrap/>
            <w:vAlign w:val="bottom"/>
          </w:tcPr>
          <w:p w14:paraId="6AAC746E"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5" w:type="pct"/>
            <w:tcBorders>
              <w:top w:val="nil"/>
              <w:left w:val="nil"/>
              <w:bottom w:val="single" w:sz="4" w:space="0" w:color="auto"/>
              <w:right w:val="single" w:sz="4" w:space="0" w:color="auto"/>
            </w:tcBorders>
            <w:shd w:val="clear" w:color="auto" w:fill="auto"/>
            <w:noWrap/>
            <w:vAlign w:val="bottom"/>
          </w:tcPr>
          <w:p w14:paraId="74FB8E07" w14:textId="77777777" w:rsidR="009A36D2" w:rsidRPr="009A36D2" w:rsidRDefault="009A36D2" w:rsidP="00281A92">
            <w:pPr>
              <w:spacing w:before="0" w:after="0" w:line="240" w:lineRule="auto"/>
              <w:rPr>
                <w:color w:val="auto"/>
                <w:sz w:val="20"/>
                <w:szCs w:val="20"/>
              </w:rPr>
            </w:pPr>
            <w:r w:rsidRPr="009A36D2">
              <w:rPr>
                <w:color w:val="000000"/>
                <w:sz w:val="22"/>
                <w:szCs w:val="22"/>
              </w:rPr>
              <w:t>0.79</w:t>
            </w:r>
          </w:p>
        </w:tc>
      </w:tr>
      <w:tr w:rsidR="009A36D2" w:rsidRPr="009A36D2" w14:paraId="24AFEE7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76A3650" w14:textId="77777777" w:rsidR="009A36D2" w:rsidRPr="009A36D2" w:rsidRDefault="009A36D2" w:rsidP="00281A92">
            <w:pPr>
              <w:spacing w:before="0" w:after="0" w:line="240" w:lineRule="auto"/>
              <w:rPr>
                <w:color w:val="auto"/>
                <w:sz w:val="20"/>
                <w:szCs w:val="20"/>
              </w:rPr>
            </w:pPr>
            <w:r w:rsidRPr="009A36D2">
              <w:rPr>
                <w:color w:val="auto"/>
                <w:sz w:val="20"/>
                <w:szCs w:val="20"/>
              </w:rPr>
              <w:lastRenderedPageBreak/>
              <w:t>6</w:t>
            </w:r>
          </w:p>
        </w:tc>
        <w:tc>
          <w:tcPr>
            <w:tcW w:w="603" w:type="pct"/>
            <w:gridSpan w:val="2"/>
            <w:tcBorders>
              <w:top w:val="nil"/>
              <w:left w:val="nil"/>
              <w:bottom w:val="single" w:sz="4" w:space="0" w:color="auto"/>
              <w:right w:val="single" w:sz="4" w:space="0" w:color="auto"/>
            </w:tcBorders>
            <w:shd w:val="clear" w:color="auto" w:fill="auto"/>
            <w:noWrap/>
            <w:vAlign w:val="bottom"/>
          </w:tcPr>
          <w:p w14:paraId="10B25B6E"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29" w:type="pct"/>
            <w:gridSpan w:val="3"/>
            <w:tcBorders>
              <w:top w:val="nil"/>
              <w:left w:val="nil"/>
              <w:bottom w:val="single" w:sz="4" w:space="0" w:color="auto"/>
              <w:right w:val="single" w:sz="4" w:space="0" w:color="auto"/>
            </w:tcBorders>
            <w:shd w:val="clear" w:color="auto" w:fill="auto"/>
            <w:noWrap/>
            <w:vAlign w:val="bottom"/>
          </w:tcPr>
          <w:p w14:paraId="256A3F90"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31" w:type="pct"/>
            <w:gridSpan w:val="4"/>
            <w:tcBorders>
              <w:top w:val="nil"/>
              <w:left w:val="nil"/>
              <w:bottom w:val="single" w:sz="4" w:space="0" w:color="auto"/>
              <w:right w:val="single" w:sz="4" w:space="0" w:color="auto"/>
            </w:tcBorders>
            <w:shd w:val="clear" w:color="auto" w:fill="auto"/>
            <w:noWrap/>
            <w:vAlign w:val="bottom"/>
          </w:tcPr>
          <w:p w14:paraId="78153E6B"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c>
          <w:tcPr>
            <w:tcW w:w="645" w:type="pct"/>
            <w:gridSpan w:val="3"/>
            <w:tcBorders>
              <w:top w:val="nil"/>
              <w:left w:val="nil"/>
              <w:bottom w:val="single" w:sz="4" w:space="0" w:color="auto"/>
              <w:right w:val="single" w:sz="4" w:space="0" w:color="auto"/>
            </w:tcBorders>
            <w:shd w:val="clear" w:color="auto" w:fill="auto"/>
            <w:noWrap/>
            <w:vAlign w:val="bottom"/>
          </w:tcPr>
          <w:p w14:paraId="6208772B"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46" w:type="pct"/>
            <w:gridSpan w:val="2"/>
            <w:tcBorders>
              <w:top w:val="nil"/>
              <w:left w:val="nil"/>
              <w:bottom w:val="single" w:sz="4" w:space="0" w:color="auto"/>
              <w:right w:val="single" w:sz="4" w:space="0" w:color="auto"/>
            </w:tcBorders>
            <w:shd w:val="clear" w:color="auto" w:fill="auto"/>
            <w:noWrap/>
            <w:vAlign w:val="bottom"/>
          </w:tcPr>
          <w:p w14:paraId="79D0A6D3" w14:textId="77777777" w:rsidR="009A36D2" w:rsidRPr="009A36D2" w:rsidRDefault="009A36D2" w:rsidP="00281A92">
            <w:pPr>
              <w:spacing w:before="0" w:after="0" w:line="240" w:lineRule="auto"/>
              <w:rPr>
                <w:color w:val="auto"/>
                <w:sz w:val="20"/>
                <w:szCs w:val="20"/>
              </w:rPr>
            </w:pPr>
            <w:r w:rsidRPr="009A36D2">
              <w:rPr>
                <w:color w:val="000000"/>
                <w:sz w:val="22"/>
                <w:szCs w:val="22"/>
              </w:rPr>
              <w:t>1.01</w:t>
            </w:r>
          </w:p>
        </w:tc>
        <w:tc>
          <w:tcPr>
            <w:tcW w:w="645" w:type="pct"/>
            <w:tcBorders>
              <w:top w:val="nil"/>
              <w:left w:val="nil"/>
              <w:bottom w:val="single" w:sz="4" w:space="0" w:color="auto"/>
              <w:right w:val="single" w:sz="4" w:space="0" w:color="auto"/>
            </w:tcBorders>
            <w:shd w:val="clear" w:color="auto" w:fill="auto"/>
            <w:noWrap/>
            <w:vAlign w:val="bottom"/>
          </w:tcPr>
          <w:p w14:paraId="549CF6AB"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r>
      <w:tr w:rsidR="009A36D2" w:rsidRPr="009A36D2" w14:paraId="4A3C717C"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C5B233F" w14:textId="77777777" w:rsidR="009A36D2" w:rsidRPr="009A36D2" w:rsidRDefault="009A36D2" w:rsidP="00281A92">
            <w:pPr>
              <w:spacing w:before="0" w:after="0" w:line="240" w:lineRule="auto"/>
              <w:rPr>
                <w:color w:val="auto"/>
                <w:sz w:val="20"/>
                <w:szCs w:val="20"/>
              </w:rPr>
            </w:pPr>
            <w:r w:rsidRPr="009A36D2">
              <w:rPr>
                <w:color w:val="auto"/>
                <w:sz w:val="20"/>
                <w:szCs w:val="20"/>
              </w:rPr>
              <w:t>7</w:t>
            </w:r>
          </w:p>
        </w:tc>
        <w:tc>
          <w:tcPr>
            <w:tcW w:w="603" w:type="pct"/>
            <w:gridSpan w:val="2"/>
            <w:tcBorders>
              <w:top w:val="nil"/>
              <w:left w:val="nil"/>
              <w:bottom w:val="single" w:sz="4" w:space="0" w:color="auto"/>
              <w:right w:val="single" w:sz="4" w:space="0" w:color="auto"/>
            </w:tcBorders>
            <w:shd w:val="clear" w:color="auto" w:fill="auto"/>
            <w:noWrap/>
            <w:vAlign w:val="bottom"/>
          </w:tcPr>
          <w:p w14:paraId="1F63D239"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29" w:type="pct"/>
            <w:gridSpan w:val="3"/>
            <w:tcBorders>
              <w:top w:val="nil"/>
              <w:left w:val="nil"/>
              <w:bottom w:val="single" w:sz="4" w:space="0" w:color="auto"/>
              <w:right w:val="single" w:sz="4" w:space="0" w:color="auto"/>
            </w:tcBorders>
            <w:shd w:val="clear" w:color="auto" w:fill="auto"/>
            <w:noWrap/>
            <w:vAlign w:val="bottom"/>
          </w:tcPr>
          <w:p w14:paraId="5384A03C"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31" w:type="pct"/>
            <w:gridSpan w:val="4"/>
            <w:tcBorders>
              <w:top w:val="nil"/>
              <w:left w:val="nil"/>
              <w:bottom w:val="single" w:sz="4" w:space="0" w:color="auto"/>
              <w:right w:val="single" w:sz="4" w:space="0" w:color="auto"/>
            </w:tcBorders>
            <w:shd w:val="clear" w:color="auto" w:fill="auto"/>
            <w:noWrap/>
            <w:vAlign w:val="bottom"/>
          </w:tcPr>
          <w:p w14:paraId="2203FB3C" w14:textId="77777777" w:rsidR="009A36D2" w:rsidRPr="009A36D2" w:rsidRDefault="009A36D2" w:rsidP="00281A92">
            <w:pPr>
              <w:spacing w:before="0" w:after="0" w:line="240" w:lineRule="auto"/>
              <w:rPr>
                <w:color w:val="auto"/>
                <w:sz w:val="20"/>
                <w:szCs w:val="20"/>
              </w:rPr>
            </w:pPr>
            <w:r w:rsidRPr="009A36D2">
              <w:rPr>
                <w:color w:val="000000"/>
                <w:sz w:val="22"/>
                <w:szCs w:val="22"/>
              </w:rPr>
              <w:t>1.05</w:t>
            </w:r>
          </w:p>
        </w:tc>
        <w:tc>
          <w:tcPr>
            <w:tcW w:w="645" w:type="pct"/>
            <w:gridSpan w:val="3"/>
            <w:tcBorders>
              <w:top w:val="nil"/>
              <w:left w:val="nil"/>
              <w:bottom w:val="single" w:sz="4" w:space="0" w:color="auto"/>
              <w:right w:val="single" w:sz="4" w:space="0" w:color="auto"/>
            </w:tcBorders>
            <w:shd w:val="clear" w:color="auto" w:fill="auto"/>
            <w:noWrap/>
            <w:vAlign w:val="bottom"/>
          </w:tcPr>
          <w:p w14:paraId="0DC9F3AF"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c>
          <w:tcPr>
            <w:tcW w:w="646" w:type="pct"/>
            <w:gridSpan w:val="2"/>
            <w:tcBorders>
              <w:top w:val="nil"/>
              <w:left w:val="nil"/>
              <w:bottom w:val="single" w:sz="4" w:space="0" w:color="auto"/>
              <w:right w:val="single" w:sz="4" w:space="0" w:color="auto"/>
            </w:tcBorders>
            <w:shd w:val="clear" w:color="auto" w:fill="auto"/>
            <w:noWrap/>
            <w:vAlign w:val="bottom"/>
          </w:tcPr>
          <w:p w14:paraId="17962D9C" w14:textId="77777777" w:rsidR="009A36D2" w:rsidRPr="009A36D2" w:rsidRDefault="009A36D2" w:rsidP="00281A92">
            <w:pPr>
              <w:spacing w:before="0" w:after="0" w:line="240" w:lineRule="auto"/>
              <w:rPr>
                <w:color w:val="auto"/>
                <w:sz w:val="20"/>
                <w:szCs w:val="20"/>
              </w:rPr>
            </w:pPr>
            <w:r w:rsidRPr="009A36D2">
              <w:rPr>
                <w:color w:val="000000"/>
                <w:sz w:val="22"/>
                <w:szCs w:val="22"/>
              </w:rPr>
              <w:t>0.96</w:t>
            </w:r>
          </w:p>
        </w:tc>
        <w:tc>
          <w:tcPr>
            <w:tcW w:w="645" w:type="pct"/>
            <w:tcBorders>
              <w:top w:val="nil"/>
              <w:left w:val="nil"/>
              <w:bottom w:val="single" w:sz="4" w:space="0" w:color="auto"/>
              <w:right w:val="single" w:sz="4" w:space="0" w:color="auto"/>
            </w:tcBorders>
            <w:shd w:val="clear" w:color="auto" w:fill="auto"/>
            <w:noWrap/>
            <w:vAlign w:val="bottom"/>
          </w:tcPr>
          <w:p w14:paraId="77607383"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r>
      <w:tr w:rsidR="009A36D2" w:rsidRPr="009A36D2" w14:paraId="6F2EC190"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0BDA767F" w14:textId="77777777" w:rsidR="009A36D2" w:rsidRPr="009A36D2" w:rsidRDefault="009A36D2" w:rsidP="00281A92">
            <w:pPr>
              <w:spacing w:before="0" w:after="0" w:line="240" w:lineRule="auto"/>
              <w:rPr>
                <w:color w:val="auto"/>
                <w:sz w:val="20"/>
                <w:szCs w:val="20"/>
              </w:rPr>
            </w:pPr>
            <w:r w:rsidRPr="009A36D2">
              <w:rPr>
                <w:color w:val="auto"/>
                <w:sz w:val="20"/>
                <w:szCs w:val="20"/>
              </w:rPr>
              <w:t>8</w:t>
            </w:r>
          </w:p>
        </w:tc>
        <w:tc>
          <w:tcPr>
            <w:tcW w:w="603" w:type="pct"/>
            <w:gridSpan w:val="2"/>
            <w:tcBorders>
              <w:top w:val="nil"/>
              <w:left w:val="nil"/>
              <w:bottom w:val="single" w:sz="4" w:space="0" w:color="auto"/>
              <w:right w:val="single" w:sz="4" w:space="0" w:color="auto"/>
            </w:tcBorders>
            <w:shd w:val="clear" w:color="auto" w:fill="auto"/>
            <w:noWrap/>
            <w:vAlign w:val="bottom"/>
          </w:tcPr>
          <w:p w14:paraId="57008E72"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29" w:type="pct"/>
            <w:gridSpan w:val="3"/>
            <w:tcBorders>
              <w:top w:val="nil"/>
              <w:left w:val="nil"/>
              <w:bottom w:val="single" w:sz="4" w:space="0" w:color="auto"/>
              <w:right w:val="single" w:sz="4" w:space="0" w:color="auto"/>
            </w:tcBorders>
            <w:shd w:val="clear" w:color="auto" w:fill="auto"/>
            <w:noWrap/>
            <w:vAlign w:val="bottom"/>
          </w:tcPr>
          <w:p w14:paraId="4B65A0FA" w14:textId="77777777" w:rsidR="009A36D2" w:rsidRPr="009A36D2" w:rsidRDefault="009A36D2" w:rsidP="00281A92">
            <w:pPr>
              <w:spacing w:before="0" w:after="0" w:line="240" w:lineRule="auto"/>
              <w:rPr>
                <w:color w:val="auto"/>
                <w:sz w:val="20"/>
                <w:szCs w:val="20"/>
              </w:rPr>
            </w:pPr>
            <w:r w:rsidRPr="009A36D2">
              <w:rPr>
                <w:color w:val="000000"/>
                <w:sz w:val="22"/>
                <w:szCs w:val="22"/>
              </w:rPr>
              <w:t>0.90</w:t>
            </w:r>
          </w:p>
        </w:tc>
        <w:tc>
          <w:tcPr>
            <w:tcW w:w="631" w:type="pct"/>
            <w:gridSpan w:val="4"/>
            <w:tcBorders>
              <w:top w:val="nil"/>
              <w:left w:val="nil"/>
              <w:bottom w:val="single" w:sz="4" w:space="0" w:color="auto"/>
              <w:right w:val="single" w:sz="4" w:space="0" w:color="auto"/>
            </w:tcBorders>
            <w:shd w:val="clear" w:color="auto" w:fill="auto"/>
            <w:noWrap/>
            <w:vAlign w:val="bottom"/>
          </w:tcPr>
          <w:p w14:paraId="14DD7070"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gridSpan w:val="3"/>
            <w:tcBorders>
              <w:top w:val="nil"/>
              <w:left w:val="nil"/>
              <w:bottom w:val="single" w:sz="4" w:space="0" w:color="auto"/>
              <w:right w:val="single" w:sz="4" w:space="0" w:color="auto"/>
            </w:tcBorders>
            <w:shd w:val="clear" w:color="auto" w:fill="auto"/>
            <w:noWrap/>
            <w:vAlign w:val="bottom"/>
          </w:tcPr>
          <w:p w14:paraId="0E2F3575" w14:textId="77777777" w:rsidR="009A36D2" w:rsidRPr="009A36D2" w:rsidRDefault="009A36D2" w:rsidP="00281A92">
            <w:pPr>
              <w:spacing w:before="0" w:after="0" w:line="240" w:lineRule="auto"/>
              <w:rPr>
                <w:color w:val="auto"/>
                <w:sz w:val="20"/>
                <w:szCs w:val="20"/>
              </w:rPr>
            </w:pPr>
            <w:r w:rsidRPr="009A36D2">
              <w:rPr>
                <w:color w:val="000000"/>
                <w:sz w:val="22"/>
                <w:szCs w:val="22"/>
              </w:rPr>
              <w:t>0.98</w:t>
            </w:r>
          </w:p>
        </w:tc>
        <w:tc>
          <w:tcPr>
            <w:tcW w:w="646" w:type="pct"/>
            <w:gridSpan w:val="2"/>
            <w:tcBorders>
              <w:top w:val="nil"/>
              <w:left w:val="nil"/>
              <w:bottom w:val="single" w:sz="4" w:space="0" w:color="auto"/>
              <w:right w:val="single" w:sz="4" w:space="0" w:color="auto"/>
            </w:tcBorders>
            <w:shd w:val="clear" w:color="auto" w:fill="auto"/>
            <w:noWrap/>
            <w:vAlign w:val="bottom"/>
          </w:tcPr>
          <w:p w14:paraId="442288E5"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5" w:type="pct"/>
            <w:tcBorders>
              <w:top w:val="nil"/>
              <w:left w:val="nil"/>
              <w:bottom w:val="single" w:sz="4" w:space="0" w:color="auto"/>
              <w:right w:val="single" w:sz="4" w:space="0" w:color="auto"/>
            </w:tcBorders>
            <w:shd w:val="clear" w:color="auto" w:fill="auto"/>
            <w:noWrap/>
            <w:vAlign w:val="bottom"/>
          </w:tcPr>
          <w:p w14:paraId="7BEA864A"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r>
      <w:tr w:rsidR="009A36D2" w:rsidRPr="009A36D2" w14:paraId="49D219D3"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FC494BD" w14:textId="77777777" w:rsidR="009A36D2" w:rsidRPr="009A36D2" w:rsidRDefault="009A36D2" w:rsidP="00281A92">
            <w:pPr>
              <w:spacing w:before="0" w:after="0" w:line="240" w:lineRule="auto"/>
              <w:rPr>
                <w:color w:val="auto"/>
                <w:sz w:val="20"/>
                <w:szCs w:val="20"/>
              </w:rPr>
            </w:pPr>
            <w:r w:rsidRPr="009A36D2">
              <w:rPr>
                <w:color w:val="auto"/>
                <w:sz w:val="20"/>
                <w:szCs w:val="20"/>
              </w:rPr>
              <w:t>9</w:t>
            </w:r>
          </w:p>
        </w:tc>
        <w:tc>
          <w:tcPr>
            <w:tcW w:w="603" w:type="pct"/>
            <w:gridSpan w:val="2"/>
            <w:tcBorders>
              <w:top w:val="nil"/>
              <w:left w:val="nil"/>
              <w:bottom w:val="single" w:sz="4" w:space="0" w:color="auto"/>
              <w:right w:val="single" w:sz="4" w:space="0" w:color="auto"/>
            </w:tcBorders>
            <w:shd w:val="clear" w:color="auto" w:fill="auto"/>
            <w:noWrap/>
            <w:vAlign w:val="bottom"/>
          </w:tcPr>
          <w:p w14:paraId="638B185C" w14:textId="77777777" w:rsidR="009A36D2" w:rsidRPr="009A36D2" w:rsidRDefault="009A36D2" w:rsidP="00281A92">
            <w:pPr>
              <w:spacing w:before="0" w:after="0" w:line="240" w:lineRule="auto"/>
              <w:rPr>
                <w:color w:val="auto"/>
                <w:sz w:val="20"/>
                <w:szCs w:val="20"/>
              </w:rPr>
            </w:pPr>
            <w:r w:rsidRPr="009A36D2">
              <w:rPr>
                <w:color w:val="000000"/>
                <w:sz w:val="22"/>
                <w:szCs w:val="22"/>
              </w:rPr>
              <w:t>0.86</w:t>
            </w:r>
          </w:p>
        </w:tc>
        <w:tc>
          <w:tcPr>
            <w:tcW w:w="629" w:type="pct"/>
            <w:gridSpan w:val="3"/>
            <w:tcBorders>
              <w:top w:val="nil"/>
              <w:left w:val="nil"/>
              <w:bottom w:val="single" w:sz="4" w:space="0" w:color="auto"/>
              <w:right w:val="single" w:sz="4" w:space="0" w:color="auto"/>
            </w:tcBorders>
            <w:shd w:val="clear" w:color="auto" w:fill="auto"/>
            <w:noWrap/>
            <w:vAlign w:val="bottom"/>
          </w:tcPr>
          <w:p w14:paraId="6A326B71"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31" w:type="pct"/>
            <w:gridSpan w:val="4"/>
            <w:tcBorders>
              <w:top w:val="nil"/>
              <w:left w:val="nil"/>
              <w:bottom w:val="single" w:sz="4" w:space="0" w:color="auto"/>
              <w:right w:val="single" w:sz="4" w:space="0" w:color="auto"/>
            </w:tcBorders>
            <w:shd w:val="clear" w:color="auto" w:fill="auto"/>
            <w:noWrap/>
            <w:vAlign w:val="bottom"/>
          </w:tcPr>
          <w:p w14:paraId="2B50CF14" w14:textId="77777777" w:rsidR="009A36D2" w:rsidRPr="009A36D2" w:rsidRDefault="009A36D2" w:rsidP="00281A92">
            <w:pPr>
              <w:spacing w:before="0" w:after="0" w:line="240" w:lineRule="auto"/>
              <w:rPr>
                <w:color w:val="auto"/>
                <w:sz w:val="20"/>
                <w:szCs w:val="20"/>
              </w:rPr>
            </w:pPr>
            <w:r w:rsidRPr="009A36D2">
              <w:rPr>
                <w:color w:val="000000"/>
                <w:sz w:val="22"/>
                <w:szCs w:val="22"/>
              </w:rPr>
              <w:t>0.91</w:t>
            </w:r>
          </w:p>
        </w:tc>
        <w:tc>
          <w:tcPr>
            <w:tcW w:w="645" w:type="pct"/>
            <w:gridSpan w:val="3"/>
            <w:tcBorders>
              <w:top w:val="nil"/>
              <w:left w:val="nil"/>
              <w:bottom w:val="single" w:sz="4" w:space="0" w:color="auto"/>
              <w:right w:val="single" w:sz="4" w:space="0" w:color="auto"/>
            </w:tcBorders>
            <w:shd w:val="clear" w:color="auto" w:fill="auto"/>
            <w:noWrap/>
            <w:vAlign w:val="bottom"/>
          </w:tcPr>
          <w:p w14:paraId="562503DD" w14:textId="77777777" w:rsidR="009A36D2" w:rsidRPr="009A36D2" w:rsidRDefault="009A36D2" w:rsidP="00281A92">
            <w:pPr>
              <w:spacing w:before="0" w:after="0" w:line="240" w:lineRule="auto"/>
              <w:rPr>
                <w:color w:val="auto"/>
                <w:sz w:val="20"/>
                <w:szCs w:val="20"/>
              </w:rPr>
            </w:pPr>
            <w:r w:rsidRPr="009A36D2">
              <w:rPr>
                <w:color w:val="000000"/>
                <w:sz w:val="22"/>
                <w:szCs w:val="22"/>
              </w:rPr>
              <w:t>0.77</w:t>
            </w:r>
          </w:p>
        </w:tc>
        <w:tc>
          <w:tcPr>
            <w:tcW w:w="646" w:type="pct"/>
            <w:gridSpan w:val="2"/>
            <w:tcBorders>
              <w:top w:val="nil"/>
              <w:left w:val="nil"/>
              <w:bottom w:val="single" w:sz="4" w:space="0" w:color="auto"/>
              <w:right w:val="single" w:sz="4" w:space="0" w:color="auto"/>
            </w:tcBorders>
            <w:shd w:val="clear" w:color="auto" w:fill="auto"/>
            <w:noWrap/>
            <w:vAlign w:val="bottom"/>
          </w:tcPr>
          <w:p w14:paraId="651207B4"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45" w:type="pct"/>
            <w:tcBorders>
              <w:top w:val="nil"/>
              <w:left w:val="nil"/>
              <w:bottom w:val="single" w:sz="4" w:space="0" w:color="auto"/>
              <w:right w:val="single" w:sz="4" w:space="0" w:color="auto"/>
            </w:tcBorders>
            <w:shd w:val="clear" w:color="auto" w:fill="auto"/>
            <w:noWrap/>
            <w:vAlign w:val="bottom"/>
          </w:tcPr>
          <w:p w14:paraId="7FBE7D19"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r>
      <w:tr w:rsidR="009A36D2" w:rsidRPr="009A36D2" w14:paraId="3FBBB568"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C35834E" w14:textId="77777777" w:rsidR="009A36D2" w:rsidRPr="009A36D2" w:rsidRDefault="009A36D2" w:rsidP="00281A92">
            <w:pPr>
              <w:spacing w:before="0" w:after="0" w:line="240" w:lineRule="auto"/>
              <w:rPr>
                <w:color w:val="auto"/>
                <w:sz w:val="20"/>
                <w:szCs w:val="20"/>
              </w:rPr>
            </w:pPr>
            <w:r w:rsidRPr="009A36D2">
              <w:rPr>
                <w:color w:val="auto"/>
                <w:sz w:val="20"/>
                <w:szCs w:val="20"/>
              </w:rPr>
              <w:t>10</w:t>
            </w:r>
          </w:p>
        </w:tc>
        <w:tc>
          <w:tcPr>
            <w:tcW w:w="603" w:type="pct"/>
            <w:gridSpan w:val="2"/>
            <w:tcBorders>
              <w:top w:val="nil"/>
              <w:left w:val="nil"/>
              <w:bottom w:val="single" w:sz="4" w:space="0" w:color="auto"/>
              <w:right w:val="single" w:sz="4" w:space="0" w:color="auto"/>
            </w:tcBorders>
            <w:shd w:val="clear" w:color="auto" w:fill="auto"/>
            <w:noWrap/>
            <w:vAlign w:val="bottom"/>
          </w:tcPr>
          <w:p w14:paraId="4BFAFE08"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29" w:type="pct"/>
            <w:gridSpan w:val="3"/>
            <w:tcBorders>
              <w:top w:val="nil"/>
              <w:left w:val="nil"/>
              <w:bottom w:val="single" w:sz="4" w:space="0" w:color="auto"/>
              <w:right w:val="single" w:sz="4" w:space="0" w:color="auto"/>
            </w:tcBorders>
            <w:shd w:val="clear" w:color="auto" w:fill="auto"/>
            <w:noWrap/>
            <w:vAlign w:val="bottom"/>
          </w:tcPr>
          <w:p w14:paraId="76F069AC"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31" w:type="pct"/>
            <w:gridSpan w:val="4"/>
            <w:tcBorders>
              <w:top w:val="nil"/>
              <w:left w:val="nil"/>
              <w:bottom w:val="single" w:sz="4" w:space="0" w:color="auto"/>
              <w:right w:val="single" w:sz="4" w:space="0" w:color="auto"/>
            </w:tcBorders>
            <w:shd w:val="clear" w:color="auto" w:fill="auto"/>
            <w:noWrap/>
            <w:vAlign w:val="bottom"/>
          </w:tcPr>
          <w:p w14:paraId="0012D37D" w14:textId="77777777" w:rsidR="009A36D2" w:rsidRPr="009A36D2" w:rsidRDefault="009A36D2" w:rsidP="00281A92">
            <w:pPr>
              <w:spacing w:before="0" w:after="0" w:line="240" w:lineRule="auto"/>
              <w:rPr>
                <w:color w:val="auto"/>
                <w:sz w:val="20"/>
                <w:szCs w:val="20"/>
              </w:rPr>
            </w:pPr>
            <w:r w:rsidRPr="009A36D2">
              <w:rPr>
                <w:color w:val="000000"/>
                <w:sz w:val="22"/>
                <w:szCs w:val="22"/>
              </w:rPr>
              <w:t>1.21</w:t>
            </w:r>
          </w:p>
        </w:tc>
        <w:tc>
          <w:tcPr>
            <w:tcW w:w="645" w:type="pct"/>
            <w:gridSpan w:val="3"/>
            <w:tcBorders>
              <w:top w:val="nil"/>
              <w:left w:val="nil"/>
              <w:bottom w:val="single" w:sz="4" w:space="0" w:color="auto"/>
              <w:right w:val="single" w:sz="4" w:space="0" w:color="auto"/>
            </w:tcBorders>
            <w:shd w:val="clear" w:color="auto" w:fill="auto"/>
            <w:noWrap/>
            <w:vAlign w:val="bottom"/>
          </w:tcPr>
          <w:p w14:paraId="6D481A61" w14:textId="77777777" w:rsidR="009A36D2" w:rsidRPr="009A36D2" w:rsidRDefault="009A36D2" w:rsidP="00281A92">
            <w:pPr>
              <w:spacing w:before="0" w:after="0" w:line="240" w:lineRule="auto"/>
              <w:rPr>
                <w:color w:val="auto"/>
                <w:sz w:val="20"/>
                <w:szCs w:val="20"/>
              </w:rPr>
            </w:pPr>
            <w:r w:rsidRPr="009A36D2">
              <w:rPr>
                <w:color w:val="000000"/>
                <w:sz w:val="22"/>
                <w:szCs w:val="22"/>
              </w:rPr>
              <w:t>1.26</w:t>
            </w:r>
          </w:p>
        </w:tc>
        <w:tc>
          <w:tcPr>
            <w:tcW w:w="646" w:type="pct"/>
            <w:gridSpan w:val="2"/>
            <w:tcBorders>
              <w:top w:val="nil"/>
              <w:left w:val="nil"/>
              <w:bottom w:val="single" w:sz="4" w:space="0" w:color="auto"/>
              <w:right w:val="single" w:sz="4" w:space="0" w:color="auto"/>
            </w:tcBorders>
            <w:shd w:val="clear" w:color="auto" w:fill="auto"/>
            <w:noWrap/>
            <w:vAlign w:val="bottom"/>
          </w:tcPr>
          <w:p w14:paraId="0228EF62" w14:textId="77777777" w:rsidR="009A36D2" w:rsidRPr="009A36D2" w:rsidRDefault="009A36D2" w:rsidP="00281A92">
            <w:pPr>
              <w:spacing w:before="0" w:after="0" w:line="240" w:lineRule="auto"/>
              <w:rPr>
                <w:color w:val="auto"/>
                <w:sz w:val="20"/>
                <w:szCs w:val="20"/>
              </w:rPr>
            </w:pPr>
            <w:r w:rsidRPr="009A36D2">
              <w:rPr>
                <w:color w:val="000000"/>
                <w:sz w:val="22"/>
                <w:szCs w:val="22"/>
              </w:rPr>
              <w:t>1.08</w:t>
            </w:r>
          </w:p>
        </w:tc>
        <w:tc>
          <w:tcPr>
            <w:tcW w:w="645" w:type="pct"/>
            <w:tcBorders>
              <w:top w:val="nil"/>
              <w:left w:val="nil"/>
              <w:bottom w:val="single" w:sz="4" w:space="0" w:color="auto"/>
              <w:right w:val="single" w:sz="4" w:space="0" w:color="auto"/>
            </w:tcBorders>
            <w:shd w:val="clear" w:color="auto" w:fill="auto"/>
            <w:noWrap/>
            <w:vAlign w:val="bottom"/>
          </w:tcPr>
          <w:p w14:paraId="77743254" w14:textId="77777777" w:rsidR="009A36D2" w:rsidRPr="009A36D2" w:rsidRDefault="009A36D2" w:rsidP="00281A92">
            <w:pPr>
              <w:spacing w:before="0" w:after="0" w:line="240" w:lineRule="auto"/>
              <w:rPr>
                <w:color w:val="auto"/>
                <w:sz w:val="20"/>
                <w:szCs w:val="20"/>
              </w:rPr>
            </w:pPr>
            <w:r w:rsidRPr="009A36D2">
              <w:rPr>
                <w:color w:val="000000"/>
                <w:sz w:val="22"/>
                <w:szCs w:val="22"/>
              </w:rPr>
              <w:t>0.99</w:t>
            </w:r>
          </w:p>
        </w:tc>
      </w:tr>
      <w:tr w:rsidR="009A36D2" w:rsidRPr="009A36D2" w14:paraId="140922E1"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F2B2F20" w14:textId="77777777" w:rsidR="009A36D2" w:rsidRPr="009A36D2" w:rsidRDefault="009A36D2" w:rsidP="00281A92">
            <w:pPr>
              <w:spacing w:before="0" w:after="0" w:line="240" w:lineRule="auto"/>
              <w:rPr>
                <w:color w:val="auto"/>
                <w:sz w:val="20"/>
                <w:szCs w:val="20"/>
              </w:rPr>
            </w:pPr>
            <w:r w:rsidRPr="009A36D2">
              <w:rPr>
                <w:color w:val="auto"/>
                <w:sz w:val="20"/>
                <w:szCs w:val="20"/>
              </w:rPr>
              <w:t>11</w:t>
            </w:r>
          </w:p>
        </w:tc>
        <w:tc>
          <w:tcPr>
            <w:tcW w:w="603" w:type="pct"/>
            <w:gridSpan w:val="2"/>
            <w:tcBorders>
              <w:top w:val="nil"/>
              <w:left w:val="nil"/>
              <w:bottom w:val="single" w:sz="4" w:space="0" w:color="auto"/>
              <w:right w:val="single" w:sz="4" w:space="0" w:color="auto"/>
            </w:tcBorders>
            <w:shd w:val="clear" w:color="auto" w:fill="auto"/>
            <w:noWrap/>
            <w:vAlign w:val="bottom"/>
          </w:tcPr>
          <w:p w14:paraId="56BB9805" w14:textId="77777777" w:rsidR="009A36D2" w:rsidRPr="009A36D2" w:rsidRDefault="009A36D2" w:rsidP="00281A92">
            <w:pPr>
              <w:spacing w:before="0" w:after="0" w:line="240" w:lineRule="auto"/>
              <w:rPr>
                <w:color w:val="auto"/>
                <w:sz w:val="20"/>
                <w:szCs w:val="20"/>
              </w:rPr>
            </w:pPr>
            <w:r w:rsidRPr="009A36D2">
              <w:rPr>
                <w:color w:val="000000"/>
                <w:sz w:val="22"/>
                <w:szCs w:val="22"/>
              </w:rPr>
              <w:t>0.74</w:t>
            </w:r>
          </w:p>
        </w:tc>
        <w:tc>
          <w:tcPr>
            <w:tcW w:w="629" w:type="pct"/>
            <w:gridSpan w:val="3"/>
            <w:tcBorders>
              <w:top w:val="nil"/>
              <w:left w:val="nil"/>
              <w:bottom w:val="single" w:sz="4" w:space="0" w:color="auto"/>
              <w:right w:val="single" w:sz="4" w:space="0" w:color="auto"/>
            </w:tcBorders>
            <w:shd w:val="clear" w:color="auto" w:fill="auto"/>
            <w:noWrap/>
            <w:vAlign w:val="bottom"/>
          </w:tcPr>
          <w:p w14:paraId="75C3D6E6" w14:textId="77777777" w:rsidR="009A36D2" w:rsidRPr="009A36D2" w:rsidRDefault="009A36D2" w:rsidP="00281A92">
            <w:pPr>
              <w:spacing w:before="0" w:after="0" w:line="240" w:lineRule="auto"/>
              <w:rPr>
                <w:color w:val="auto"/>
                <w:sz w:val="20"/>
                <w:szCs w:val="20"/>
              </w:rPr>
            </w:pPr>
            <w:r w:rsidRPr="009A36D2">
              <w:rPr>
                <w:color w:val="000000"/>
                <w:sz w:val="22"/>
                <w:szCs w:val="22"/>
              </w:rPr>
              <w:t>0.88</w:t>
            </w:r>
          </w:p>
        </w:tc>
        <w:tc>
          <w:tcPr>
            <w:tcW w:w="631" w:type="pct"/>
            <w:gridSpan w:val="4"/>
            <w:tcBorders>
              <w:top w:val="nil"/>
              <w:left w:val="nil"/>
              <w:bottom w:val="single" w:sz="4" w:space="0" w:color="auto"/>
              <w:right w:val="single" w:sz="4" w:space="0" w:color="auto"/>
            </w:tcBorders>
            <w:shd w:val="clear" w:color="auto" w:fill="auto"/>
            <w:noWrap/>
            <w:vAlign w:val="bottom"/>
          </w:tcPr>
          <w:p w14:paraId="751822A6" w14:textId="77777777" w:rsidR="009A36D2" w:rsidRPr="009A36D2" w:rsidRDefault="009A36D2" w:rsidP="00281A92">
            <w:pPr>
              <w:spacing w:before="0" w:after="0" w:line="240" w:lineRule="auto"/>
              <w:rPr>
                <w:color w:val="auto"/>
                <w:sz w:val="20"/>
                <w:szCs w:val="20"/>
              </w:rPr>
            </w:pPr>
            <w:r w:rsidRPr="009A36D2">
              <w:rPr>
                <w:color w:val="000000"/>
                <w:sz w:val="22"/>
                <w:szCs w:val="22"/>
              </w:rPr>
              <w:t>0.85</w:t>
            </w:r>
          </w:p>
        </w:tc>
        <w:tc>
          <w:tcPr>
            <w:tcW w:w="645" w:type="pct"/>
            <w:gridSpan w:val="3"/>
            <w:tcBorders>
              <w:top w:val="nil"/>
              <w:left w:val="nil"/>
              <w:bottom w:val="single" w:sz="4" w:space="0" w:color="auto"/>
              <w:right w:val="single" w:sz="4" w:space="0" w:color="auto"/>
            </w:tcBorders>
            <w:shd w:val="clear" w:color="auto" w:fill="auto"/>
            <w:noWrap/>
            <w:vAlign w:val="bottom"/>
          </w:tcPr>
          <w:p w14:paraId="39F62621"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6" w:type="pct"/>
            <w:gridSpan w:val="2"/>
            <w:tcBorders>
              <w:top w:val="nil"/>
              <w:left w:val="nil"/>
              <w:bottom w:val="single" w:sz="4" w:space="0" w:color="auto"/>
              <w:right w:val="single" w:sz="4" w:space="0" w:color="auto"/>
            </w:tcBorders>
            <w:shd w:val="clear" w:color="auto" w:fill="auto"/>
            <w:noWrap/>
            <w:vAlign w:val="bottom"/>
          </w:tcPr>
          <w:p w14:paraId="33218227" w14:textId="77777777" w:rsidR="009A36D2" w:rsidRPr="009A36D2" w:rsidRDefault="009A36D2" w:rsidP="00281A92">
            <w:pPr>
              <w:spacing w:before="0" w:after="0" w:line="240" w:lineRule="auto"/>
              <w:rPr>
                <w:color w:val="auto"/>
                <w:sz w:val="20"/>
                <w:szCs w:val="20"/>
              </w:rPr>
            </w:pPr>
            <w:r w:rsidRPr="009A36D2">
              <w:rPr>
                <w:color w:val="000000"/>
                <w:sz w:val="22"/>
                <w:szCs w:val="22"/>
              </w:rPr>
              <w:t>0.80</w:t>
            </w:r>
          </w:p>
        </w:tc>
        <w:tc>
          <w:tcPr>
            <w:tcW w:w="645" w:type="pct"/>
            <w:tcBorders>
              <w:top w:val="nil"/>
              <w:left w:val="nil"/>
              <w:bottom w:val="single" w:sz="4" w:space="0" w:color="auto"/>
              <w:right w:val="single" w:sz="4" w:space="0" w:color="auto"/>
            </w:tcBorders>
            <w:shd w:val="clear" w:color="auto" w:fill="auto"/>
            <w:noWrap/>
            <w:vAlign w:val="bottom"/>
          </w:tcPr>
          <w:p w14:paraId="278AD48E" w14:textId="77777777" w:rsidR="009A36D2" w:rsidRPr="009A36D2" w:rsidRDefault="009A36D2" w:rsidP="00281A92">
            <w:pPr>
              <w:spacing w:before="0" w:after="0" w:line="240" w:lineRule="auto"/>
              <w:rPr>
                <w:color w:val="auto"/>
                <w:sz w:val="20"/>
                <w:szCs w:val="20"/>
              </w:rPr>
            </w:pPr>
            <w:r w:rsidRPr="009A36D2">
              <w:rPr>
                <w:color w:val="000000"/>
                <w:sz w:val="22"/>
                <w:szCs w:val="22"/>
              </w:rPr>
              <w:t>0.77</w:t>
            </w:r>
          </w:p>
        </w:tc>
      </w:tr>
      <w:tr w:rsidR="009A36D2" w:rsidRPr="009A36D2" w14:paraId="38EDC0DA"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3D8BDCAB" w14:textId="77777777" w:rsidR="009A36D2" w:rsidRPr="009A36D2" w:rsidRDefault="009A36D2" w:rsidP="00281A92">
            <w:pPr>
              <w:spacing w:before="0" w:after="0" w:line="240" w:lineRule="auto"/>
              <w:rPr>
                <w:color w:val="auto"/>
                <w:sz w:val="20"/>
                <w:szCs w:val="20"/>
              </w:rPr>
            </w:pPr>
            <w:r w:rsidRPr="009A36D2">
              <w:rPr>
                <w:color w:val="auto"/>
                <w:sz w:val="20"/>
                <w:szCs w:val="20"/>
              </w:rPr>
              <w:t>12</w:t>
            </w:r>
          </w:p>
        </w:tc>
        <w:tc>
          <w:tcPr>
            <w:tcW w:w="603" w:type="pct"/>
            <w:gridSpan w:val="2"/>
            <w:tcBorders>
              <w:top w:val="nil"/>
              <w:left w:val="nil"/>
              <w:bottom w:val="single" w:sz="4" w:space="0" w:color="auto"/>
              <w:right w:val="single" w:sz="4" w:space="0" w:color="auto"/>
            </w:tcBorders>
            <w:shd w:val="clear" w:color="auto" w:fill="auto"/>
            <w:noWrap/>
            <w:vAlign w:val="bottom"/>
          </w:tcPr>
          <w:p w14:paraId="399D582D" w14:textId="77777777" w:rsidR="009A36D2" w:rsidRPr="009A36D2" w:rsidRDefault="009A36D2" w:rsidP="00281A92">
            <w:pPr>
              <w:spacing w:before="0" w:after="0" w:line="240" w:lineRule="auto"/>
              <w:rPr>
                <w:color w:val="auto"/>
                <w:sz w:val="20"/>
                <w:szCs w:val="20"/>
              </w:rPr>
            </w:pPr>
            <w:r w:rsidRPr="009A36D2">
              <w:rPr>
                <w:color w:val="000000"/>
                <w:sz w:val="22"/>
                <w:szCs w:val="22"/>
              </w:rPr>
              <w:t>0.71</w:t>
            </w:r>
          </w:p>
        </w:tc>
        <w:tc>
          <w:tcPr>
            <w:tcW w:w="629" w:type="pct"/>
            <w:gridSpan w:val="3"/>
            <w:tcBorders>
              <w:top w:val="nil"/>
              <w:left w:val="nil"/>
              <w:bottom w:val="single" w:sz="4" w:space="0" w:color="auto"/>
              <w:right w:val="single" w:sz="4" w:space="0" w:color="auto"/>
            </w:tcBorders>
            <w:shd w:val="clear" w:color="auto" w:fill="auto"/>
            <w:noWrap/>
            <w:vAlign w:val="bottom"/>
          </w:tcPr>
          <w:p w14:paraId="644C77D5"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31" w:type="pct"/>
            <w:gridSpan w:val="4"/>
            <w:tcBorders>
              <w:top w:val="nil"/>
              <w:left w:val="nil"/>
              <w:bottom w:val="single" w:sz="4" w:space="0" w:color="auto"/>
              <w:right w:val="single" w:sz="4" w:space="0" w:color="auto"/>
            </w:tcBorders>
            <w:shd w:val="clear" w:color="auto" w:fill="auto"/>
            <w:noWrap/>
            <w:vAlign w:val="bottom"/>
          </w:tcPr>
          <w:p w14:paraId="649E1D23" w14:textId="77777777" w:rsidR="009A36D2" w:rsidRPr="009A36D2" w:rsidRDefault="009A36D2" w:rsidP="00281A92">
            <w:pPr>
              <w:spacing w:before="0" w:after="0" w:line="240" w:lineRule="auto"/>
              <w:rPr>
                <w:color w:val="auto"/>
                <w:sz w:val="20"/>
                <w:szCs w:val="20"/>
              </w:rPr>
            </w:pPr>
            <w:r w:rsidRPr="009A36D2">
              <w:rPr>
                <w:color w:val="000000"/>
                <w:sz w:val="22"/>
                <w:szCs w:val="22"/>
              </w:rPr>
              <w:t>0.84</w:t>
            </w:r>
          </w:p>
        </w:tc>
        <w:tc>
          <w:tcPr>
            <w:tcW w:w="645" w:type="pct"/>
            <w:gridSpan w:val="3"/>
            <w:tcBorders>
              <w:top w:val="nil"/>
              <w:left w:val="nil"/>
              <w:bottom w:val="single" w:sz="4" w:space="0" w:color="auto"/>
              <w:right w:val="single" w:sz="4" w:space="0" w:color="auto"/>
            </w:tcBorders>
            <w:shd w:val="clear" w:color="auto" w:fill="auto"/>
            <w:noWrap/>
            <w:vAlign w:val="bottom"/>
          </w:tcPr>
          <w:p w14:paraId="20D0C419"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46" w:type="pct"/>
            <w:gridSpan w:val="2"/>
            <w:tcBorders>
              <w:top w:val="nil"/>
              <w:left w:val="nil"/>
              <w:bottom w:val="single" w:sz="4" w:space="0" w:color="auto"/>
              <w:right w:val="single" w:sz="4" w:space="0" w:color="auto"/>
            </w:tcBorders>
            <w:shd w:val="clear" w:color="auto" w:fill="auto"/>
            <w:noWrap/>
            <w:vAlign w:val="bottom"/>
          </w:tcPr>
          <w:p w14:paraId="03FFBAA4"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tcBorders>
              <w:top w:val="nil"/>
              <w:left w:val="nil"/>
              <w:bottom w:val="single" w:sz="4" w:space="0" w:color="auto"/>
              <w:right w:val="single" w:sz="4" w:space="0" w:color="auto"/>
            </w:tcBorders>
            <w:shd w:val="clear" w:color="auto" w:fill="auto"/>
            <w:noWrap/>
            <w:vAlign w:val="bottom"/>
          </w:tcPr>
          <w:p w14:paraId="04A7EAF7" w14:textId="77777777" w:rsidR="009A36D2" w:rsidRPr="009A36D2" w:rsidRDefault="009A36D2" w:rsidP="00281A92">
            <w:pPr>
              <w:spacing w:before="0" w:after="0" w:line="240" w:lineRule="auto"/>
              <w:rPr>
                <w:color w:val="auto"/>
                <w:sz w:val="20"/>
                <w:szCs w:val="20"/>
              </w:rPr>
            </w:pPr>
            <w:r w:rsidRPr="009A36D2">
              <w:rPr>
                <w:color w:val="000000"/>
                <w:sz w:val="22"/>
                <w:szCs w:val="22"/>
              </w:rPr>
              <w:t>0.73</w:t>
            </w:r>
          </w:p>
        </w:tc>
      </w:tr>
      <w:tr w:rsidR="009A36D2" w:rsidRPr="009A36D2" w14:paraId="53418622"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40C2ABD" w14:textId="77777777" w:rsidR="009A36D2" w:rsidRPr="009A36D2" w:rsidRDefault="009A36D2" w:rsidP="00281A92">
            <w:pPr>
              <w:spacing w:before="0" w:after="0" w:line="240" w:lineRule="auto"/>
              <w:rPr>
                <w:color w:val="auto"/>
                <w:sz w:val="20"/>
                <w:szCs w:val="20"/>
              </w:rPr>
            </w:pPr>
            <w:r w:rsidRPr="009A36D2">
              <w:rPr>
                <w:color w:val="auto"/>
                <w:sz w:val="20"/>
                <w:szCs w:val="20"/>
              </w:rPr>
              <w:t>13</w:t>
            </w:r>
          </w:p>
        </w:tc>
        <w:tc>
          <w:tcPr>
            <w:tcW w:w="603" w:type="pct"/>
            <w:gridSpan w:val="2"/>
            <w:tcBorders>
              <w:top w:val="nil"/>
              <w:left w:val="nil"/>
              <w:bottom w:val="single" w:sz="4" w:space="0" w:color="auto"/>
              <w:right w:val="single" w:sz="4" w:space="0" w:color="auto"/>
            </w:tcBorders>
            <w:shd w:val="clear" w:color="auto" w:fill="auto"/>
            <w:noWrap/>
            <w:vAlign w:val="bottom"/>
          </w:tcPr>
          <w:p w14:paraId="31D04956"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29" w:type="pct"/>
            <w:gridSpan w:val="3"/>
            <w:tcBorders>
              <w:top w:val="nil"/>
              <w:left w:val="nil"/>
              <w:bottom w:val="single" w:sz="4" w:space="0" w:color="auto"/>
              <w:right w:val="single" w:sz="4" w:space="0" w:color="auto"/>
            </w:tcBorders>
            <w:shd w:val="clear" w:color="auto" w:fill="auto"/>
            <w:noWrap/>
            <w:vAlign w:val="bottom"/>
          </w:tcPr>
          <w:p w14:paraId="1E9A3652" w14:textId="77777777" w:rsidR="009A36D2" w:rsidRPr="009A36D2" w:rsidRDefault="009A36D2" w:rsidP="00281A92">
            <w:pPr>
              <w:spacing w:before="0" w:after="0" w:line="240" w:lineRule="auto"/>
              <w:rPr>
                <w:color w:val="auto"/>
                <w:sz w:val="20"/>
                <w:szCs w:val="20"/>
              </w:rPr>
            </w:pPr>
            <w:r w:rsidRPr="009A36D2">
              <w:rPr>
                <w:color w:val="000000"/>
                <w:sz w:val="22"/>
                <w:szCs w:val="22"/>
              </w:rPr>
              <w:t>0.97</w:t>
            </w:r>
          </w:p>
        </w:tc>
        <w:tc>
          <w:tcPr>
            <w:tcW w:w="631" w:type="pct"/>
            <w:gridSpan w:val="4"/>
            <w:tcBorders>
              <w:top w:val="nil"/>
              <w:left w:val="nil"/>
              <w:bottom w:val="single" w:sz="4" w:space="0" w:color="auto"/>
              <w:right w:val="single" w:sz="4" w:space="0" w:color="auto"/>
            </w:tcBorders>
            <w:shd w:val="clear" w:color="auto" w:fill="auto"/>
            <w:noWrap/>
            <w:vAlign w:val="bottom"/>
          </w:tcPr>
          <w:p w14:paraId="1D22A59B" w14:textId="77777777" w:rsidR="009A36D2" w:rsidRPr="009A36D2" w:rsidRDefault="009A36D2" w:rsidP="00281A92">
            <w:pPr>
              <w:spacing w:before="0" w:after="0" w:line="240" w:lineRule="auto"/>
              <w:rPr>
                <w:color w:val="auto"/>
                <w:sz w:val="20"/>
                <w:szCs w:val="20"/>
              </w:rPr>
            </w:pPr>
            <w:r w:rsidRPr="009A36D2">
              <w:rPr>
                <w:color w:val="000000"/>
                <w:sz w:val="22"/>
                <w:szCs w:val="22"/>
              </w:rPr>
              <w:t>0.95</w:t>
            </w:r>
          </w:p>
        </w:tc>
        <w:tc>
          <w:tcPr>
            <w:tcW w:w="645" w:type="pct"/>
            <w:gridSpan w:val="3"/>
            <w:tcBorders>
              <w:top w:val="nil"/>
              <w:left w:val="nil"/>
              <w:bottom w:val="single" w:sz="4" w:space="0" w:color="auto"/>
              <w:right w:val="single" w:sz="4" w:space="0" w:color="auto"/>
            </w:tcBorders>
            <w:shd w:val="clear" w:color="auto" w:fill="auto"/>
            <w:noWrap/>
            <w:vAlign w:val="bottom"/>
          </w:tcPr>
          <w:p w14:paraId="5537FF87" w14:textId="77777777" w:rsidR="009A36D2" w:rsidRPr="009A36D2" w:rsidRDefault="009A36D2" w:rsidP="00281A92">
            <w:pPr>
              <w:spacing w:before="0" w:after="0" w:line="240" w:lineRule="auto"/>
              <w:rPr>
                <w:color w:val="auto"/>
                <w:sz w:val="20"/>
                <w:szCs w:val="20"/>
              </w:rPr>
            </w:pPr>
            <w:r w:rsidRPr="009A36D2">
              <w:rPr>
                <w:color w:val="000000"/>
                <w:sz w:val="22"/>
                <w:szCs w:val="22"/>
              </w:rPr>
              <w:t>1.02</w:t>
            </w:r>
          </w:p>
        </w:tc>
        <w:tc>
          <w:tcPr>
            <w:tcW w:w="646" w:type="pct"/>
            <w:gridSpan w:val="2"/>
            <w:tcBorders>
              <w:top w:val="nil"/>
              <w:left w:val="nil"/>
              <w:bottom w:val="single" w:sz="4" w:space="0" w:color="auto"/>
              <w:right w:val="single" w:sz="4" w:space="0" w:color="auto"/>
            </w:tcBorders>
            <w:shd w:val="clear" w:color="auto" w:fill="auto"/>
            <w:noWrap/>
            <w:vAlign w:val="bottom"/>
          </w:tcPr>
          <w:p w14:paraId="6052BE2D"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5" w:type="pct"/>
            <w:tcBorders>
              <w:top w:val="nil"/>
              <w:left w:val="nil"/>
              <w:bottom w:val="single" w:sz="4" w:space="0" w:color="auto"/>
              <w:right w:val="single" w:sz="4" w:space="0" w:color="auto"/>
            </w:tcBorders>
            <w:shd w:val="clear" w:color="auto" w:fill="auto"/>
            <w:noWrap/>
            <w:vAlign w:val="bottom"/>
          </w:tcPr>
          <w:p w14:paraId="61569FE9"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r>
      <w:tr w:rsidR="009A36D2" w:rsidRPr="009A36D2" w14:paraId="7C25710B"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13C3B40D" w14:textId="77777777" w:rsidR="009A36D2" w:rsidRPr="009A36D2" w:rsidRDefault="009A36D2" w:rsidP="00281A92">
            <w:pPr>
              <w:spacing w:before="0" w:after="0" w:line="240" w:lineRule="auto"/>
              <w:rPr>
                <w:color w:val="auto"/>
                <w:sz w:val="20"/>
                <w:szCs w:val="20"/>
              </w:rPr>
            </w:pPr>
            <w:r w:rsidRPr="009A36D2">
              <w:rPr>
                <w:color w:val="auto"/>
                <w:sz w:val="20"/>
                <w:szCs w:val="20"/>
              </w:rPr>
              <w:t>14</w:t>
            </w:r>
          </w:p>
        </w:tc>
        <w:tc>
          <w:tcPr>
            <w:tcW w:w="603" w:type="pct"/>
            <w:gridSpan w:val="2"/>
            <w:tcBorders>
              <w:top w:val="nil"/>
              <w:left w:val="nil"/>
              <w:bottom w:val="single" w:sz="4" w:space="0" w:color="auto"/>
              <w:right w:val="single" w:sz="4" w:space="0" w:color="auto"/>
            </w:tcBorders>
            <w:shd w:val="clear" w:color="auto" w:fill="auto"/>
            <w:noWrap/>
            <w:vAlign w:val="bottom"/>
          </w:tcPr>
          <w:p w14:paraId="55DF0733"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29" w:type="pct"/>
            <w:gridSpan w:val="3"/>
            <w:tcBorders>
              <w:top w:val="nil"/>
              <w:left w:val="nil"/>
              <w:bottom w:val="single" w:sz="4" w:space="0" w:color="auto"/>
              <w:right w:val="single" w:sz="4" w:space="0" w:color="auto"/>
            </w:tcBorders>
            <w:shd w:val="clear" w:color="auto" w:fill="auto"/>
            <w:noWrap/>
            <w:vAlign w:val="bottom"/>
          </w:tcPr>
          <w:p w14:paraId="68241D5F" w14:textId="77777777" w:rsidR="009A36D2" w:rsidRPr="009A36D2" w:rsidRDefault="009A36D2" w:rsidP="00281A92">
            <w:pPr>
              <w:spacing w:before="0" w:after="0" w:line="240" w:lineRule="auto"/>
              <w:rPr>
                <w:color w:val="auto"/>
                <w:sz w:val="20"/>
                <w:szCs w:val="20"/>
              </w:rPr>
            </w:pPr>
            <w:r w:rsidRPr="009A36D2">
              <w:rPr>
                <w:color w:val="000000"/>
                <w:sz w:val="22"/>
                <w:szCs w:val="22"/>
              </w:rPr>
              <w:t>0.92</w:t>
            </w:r>
          </w:p>
        </w:tc>
        <w:tc>
          <w:tcPr>
            <w:tcW w:w="631" w:type="pct"/>
            <w:gridSpan w:val="4"/>
            <w:tcBorders>
              <w:top w:val="nil"/>
              <w:left w:val="nil"/>
              <w:bottom w:val="single" w:sz="4" w:space="0" w:color="auto"/>
              <w:right w:val="single" w:sz="4" w:space="0" w:color="auto"/>
            </w:tcBorders>
            <w:shd w:val="clear" w:color="auto" w:fill="auto"/>
            <w:noWrap/>
            <w:vAlign w:val="bottom"/>
          </w:tcPr>
          <w:p w14:paraId="4C87AA4A" w14:textId="77777777" w:rsidR="009A36D2" w:rsidRPr="009A36D2" w:rsidRDefault="009A36D2" w:rsidP="00281A92">
            <w:pPr>
              <w:spacing w:before="0" w:after="0" w:line="240" w:lineRule="auto"/>
              <w:rPr>
                <w:color w:val="auto"/>
                <w:sz w:val="20"/>
                <w:szCs w:val="20"/>
              </w:rPr>
            </w:pPr>
            <w:r w:rsidRPr="009A36D2">
              <w:rPr>
                <w:color w:val="000000"/>
                <w:sz w:val="22"/>
                <w:szCs w:val="22"/>
              </w:rPr>
              <w:t>0.94</w:t>
            </w:r>
          </w:p>
        </w:tc>
        <w:tc>
          <w:tcPr>
            <w:tcW w:w="645" w:type="pct"/>
            <w:gridSpan w:val="3"/>
            <w:tcBorders>
              <w:top w:val="nil"/>
              <w:left w:val="nil"/>
              <w:bottom w:val="single" w:sz="4" w:space="0" w:color="auto"/>
              <w:right w:val="single" w:sz="4" w:space="0" w:color="auto"/>
            </w:tcBorders>
            <w:shd w:val="clear" w:color="auto" w:fill="auto"/>
            <w:noWrap/>
            <w:vAlign w:val="bottom"/>
          </w:tcPr>
          <w:p w14:paraId="0B9CBE7D"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46" w:type="pct"/>
            <w:gridSpan w:val="2"/>
            <w:tcBorders>
              <w:top w:val="nil"/>
              <w:left w:val="nil"/>
              <w:bottom w:val="single" w:sz="4" w:space="0" w:color="auto"/>
              <w:right w:val="single" w:sz="4" w:space="0" w:color="auto"/>
            </w:tcBorders>
            <w:shd w:val="clear" w:color="auto" w:fill="auto"/>
            <w:noWrap/>
            <w:vAlign w:val="bottom"/>
          </w:tcPr>
          <w:p w14:paraId="17448094"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45" w:type="pct"/>
            <w:tcBorders>
              <w:top w:val="nil"/>
              <w:left w:val="nil"/>
              <w:bottom w:val="single" w:sz="4" w:space="0" w:color="auto"/>
              <w:right w:val="single" w:sz="4" w:space="0" w:color="auto"/>
            </w:tcBorders>
            <w:shd w:val="clear" w:color="auto" w:fill="auto"/>
            <w:noWrap/>
            <w:vAlign w:val="bottom"/>
          </w:tcPr>
          <w:p w14:paraId="3A0565F6" w14:textId="77777777" w:rsidR="009A36D2" w:rsidRPr="009A36D2" w:rsidRDefault="009A36D2" w:rsidP="00281A92">
            <w:pPr>
              <w:spacing w:before="0" w:after="0" w:line="240" w:lineRule="auto"/>
              <w:rPr>
                <w:color w:val="auto"/>
                <w:sz w:val="20"/>
                <w:szCs w:val="20"/>
              </w:rPr>
            </w:pPr>
            <w:r w:rsidRPr="009A36D2">
              <w:rPr>
                <w:color w:val="000000"/>
                <w:sz w:val="22"/>
                <w:szCs w:val="22"/>
              </w:rPr>
              <w:t>0.87</w:t>
            </w:r>
          </w:p>
        </w:tc>
      </w:tr>
      <w:tr w:rsidR="009A36D2" w:rsidRPr="009A36D2" w14:paraId="71BFD1C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436EBBAA" w14:textId="77777777" w:rsidR="009A36D2" w:rsidRPr="009A36D2" w:rsidRDefault="009A36D2" w:rsidP="00281A92">
            <w:pPr>
              <w:spacing w:before="0" w:after="0" w:line="240" w:lineRule="auto"/>
              <w:rPr>
                <w:color w:val="auto"/>
                <w:sz w:val="20"/>
                <w:szCs w:val="20"/>
              </w:rPr>
            </w:pPr>
            <w:r w:rsidRPr="009A36D2">
              <w:rPr>
                <w:color w:val="auto"/>
                <w:sz w:val="20"/>
                <w:szCs w:val="20"/>
              </w:rPr>
              <w:t>15</w:t>
            </w:r>
          </w:p>
        </w:tc>
        <w:tc>
          <w:tcPr>
            <w:tcW w:w="603" w:type="pct"/>
            <w:gridSpan w:val="2"/>
            <w:tcBorders>
              <w:top w:val="nil"/>
              <w:left w:val="nil"/>
              <w:bottom w:val="single" w:sz="4" w:space="0" w:color="auto"/>
              <w:right w:val="single" w:sz="4" w:space="0" w:color="auto"/>
            </w:tcBorders>
            <w:shd w:val="clear" w:color="auto" w:fill="auto"/>
            <w:noWrap/>
            <w:vAlign w:val="bottom"/>
          </w:tcPr>
          <w:p w14:paraId="0A224E97" w14:textId="77777777" w:rsidR="009A36D2" w:rsidRPr="009A36D2" w:rsidRDefault="009A36D2" w:rsidP="00281A92">
            <w:pPr>
              <w:spacing w:before="0" w:after="0" w:line="240" w:lineRule="auto"/>
              <w:rPr>
                <w:color w:val="auto"/>
                <w:sz w:val="20"/>
                <w:szCs w:val="20"/>
              </w:rPr>
            </w:pPr>
            <w:r w:rsidRPr="009A36D2">
              <w:rPr>
                <w:color w:val="000000"/>
                <w:sz w:val="22"/>
                <w:szCs w:val="22"/>
              </w:rPr>
              <w:t>0.89</w:t>
            </w:r>
          </w:p>
        </w:tc>
        <w:tc>
          <w:tcPr>
            <w:tcW w:w="629" w:type="pct"/>
            <w:gridSpan w:val="3"/>
            <w:tcBorders>
              <w:top w:val="nil"/>
              <w:left w:val="nil"/>
              <w:bottom w:val="single" w:sz="4" w:space="0" w:color="auto"/>
              <w:right w:val="single" w:sz="4" w:space="0" w:color="auto"/>
            </w:tcBorders>
            <w:shd w:val="clear" w:color="auto" w:fill="auto"/>
            <w:noWrap/>
            <w:vAlign w:val="bottom"/>
          </w:tcPr>
          <w:p w14:paraId="612DA48F" w14:textId="77777777" w:rsidR="009A36D2" w:rsidRPr="009A36D2" w:rsidRDefault="009A36D2" w:rsidP="00281A92">
            <w:pPr>
              <w:spacing w:before="0" w:after="0" w:line="240" w:lineRule="auto"/>
              <w:rPr>
                <w:color w:val="auto"/>
                <w:sz w:val="20"/>
                <w:szCs w:val="20"/>
              </w:rPr>
            </w:pPr>
            <w:r w:rsidRPr="009A36D2">
              <w:rPr>
                <w:color w:val="000000"/>
                <w:sz w:val="22"/>
                <w:szCs w:val="22"/>
              </w:rPr>
              <w:t>0.93</w:t>
            </w:r>
          </w:p>
        </w:tc>
        <w:tc>
          <w:tcPr>
            <w:tcW w:w="631" w:type="pct"/>
            <w:gridSpan w:val="4"/>
            <w:tcBorders>
              <w:top w:val="nil"/>
              <w:left w:val="nil"/>
              <w:bottom w:val="single" w:sz="4" w:space="0" w:color="auto"/>
              <w:right w:val="single" w:sz="4" w:space="0" w:color="auto"/>
            </w:tcBorders>
            <w:shd w:val="clear" w:color="auto" w:fill="auto"/>
            <w:noWrap/>
            <w:vAlign w:val="bottom"/>
          </w:tcPr>
          <w:p w14:paraId="2F0EFA83" w14:textId="77777777" w:rsidR="009A36D2" w:rsidRPr="009A36D2" w:rsidRDefault="009A36D2" w:rsidP="00281A92">
            <w:pPr>
              <w:spacing w:before="0" w:after="0" w:line="240" w:lineRule="auto"/>
              <w:rPr>
                <w:color w:val="auto"/>
                <w:sz w:val="20"/>
                <w:szCs w:val="20"/>
              </w:rPr>
            </w:pPr>
            <w:r w:rsidRPr="009A36D2">
              <w:rPr>
                <w:color w:val="000000"/>
                <w:sz w:val="22"/>
                <w:szCs w:val="22"/>
              </w:rPr>
              <w:t>1.13</w:t>
            </w:r>
          </w:p>
        </w:tc>
        <w:tc>
          <w:tcPr>
            <w:tcW w:w="645" w:type="pct"/>
            <w:gridSpan w:val="3"/>
            <w:tcBorders>
              <w:top w:val="nil"/>
              <w:left w:val="nil"/>
              <w:bottom w:val="single" w:sz="4" w:space="0" w:color="auto"/>
              <w:right w:val="single" w:sz="4" w:space="0" w:color="auto"/>
            </w:tcBorders>
            <w:shd w:val="clear" w:color="auto" w:fill="auto"/>
            <w:noWrap/>
            <w:vAlign w:val="bottom"/>
          </w:tcPr>
          <w:p w14:paraId="6CAD3107" w14:textId="77777777" w:rsidR="009A36D2" w:rsidRPr="009A36D2" w:rsidRDefault="009A36D2" w:rsidP="00281A92">
            <w:pPr>
              <w:spacing w:before="0" w:after="0" w:line="240" w:lineRule="auto"/>
              <w:rPr>
                <w:color w:val="auto"/>
                <w:sz w:val="20"/>
                <w:szCs w:val="20"/>
              </w:rPr>
            </w:pPr>
            <w:r w:rsidRPr="009A36D2">
              <w:rPr>
                <w:color w:val="000000"/>
                <w:sz w:val="22"/>
                <w:szCs w:val="22"/>
              </w:rPr>
              <w:t>1.03</w:t>
            </w:r>
          </w:p>
        </w:tc>
        <w:tc>
          <w:tcPr>
            <w:tcW w:w="646" w:type="pct"/>
            <w:gridSpan w:val="2"/>
            <w:tcBorders>
              <w:top w:val="nil"/>
              <w:left w:val="nil"/>
              <w:bottom w:val="single" w:sz="4" w:space="0" w:color="auto"/>
              <w:right w:val="single" w:sz="4" w:space="0" w:color="auto"/>
            </w:tcBorders>
            <w:shd w:val="clear" w:color="auto" w:fill="auto"/>
            <w:noWrap/>
            <w:vAlign w:val="bottom"/>
          </w:tcPr>
          <w:p w14:paraId="4B3ED7A6" w14:textId="77777777" w:rsidR="009A36D2" w:rsidRPr="009A36D2" w:rsidRDefault="009A36D2" w:rsidP="00281A92">
            <w:pPr>
              <w:spacing w:before="0" w:after="0" w:line="240" w:lineRule="auto"/>
              <w:rPr>
                <w:color w:val="auto"/>
                <w:sz w:val="20"/>
                <w:szCs w:val="20"/>
              </w:rPr>
            </w:pPr>
            <w:r w:rsidRPr="009A36D2">
              <w:rPr>
                <w:color w:val="000000"/>
                <w:sz w:val="22"/>
                <w:szCs w:val="22"/>
              </w:rPr>
              <w:t>0.72</w:t>
            </w:r>
          </w:p>
        </w:tc>
        <w:tc>
          <w:tcPr>
            <w:tcW w:w="645" w:type="pct"/>
            <w:tcBorders>
              <w:top w:val="nil"/>
              <w:left w:val="nil"/>
              <w:bottom w:val="single" w:sz="4" w:space="0" w:color="auto"/>
              <w:right w:val="single" w:sz="4" w:space="0" w:color="auto"/>
            </w:tcBorders>
            <w:shd w:val="clear" w:color="auto" w:fill="auto"/>
            <w:noWrap/>
            <w:vAlign w:val="bottom"/>
          </w:tcPr>
          <w:p w14:paraId="44E3C9C1" w14:textId="77777777" w:rsidR="009A36D2" w:rsidRPr="009A36D2" w:rsidRDefault="009A36D2" w:rsidP="00281A92">
            <w:pPr>
              <w:spacing w:before="0" w:after="0" w:line="240" w:lineRule="auto"/>
              <w:rPr>
                <w:color w:val="auto"/>
                <w:sz w:val="20"/>
                <w:szCs w:val="20"/>
              </w:rPr>
            </w:pPr>
            <w:r w:rsidRPr="009A36D2">
              <w:rPr>
                <w:color w:val="000000"/>
                <w:sz w:val="22"/>
                <w:szCs w:val="22"/>
              </w:rPr>
              <w:t>0.78</w:t>
            </w:r>
          </w:p>
        </w:tc>
      </w:tr>
      <w:tr w:rsidR="009A36D2" w:rsidRPr="009A36D2" w14:paraId="09D5B7A3"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6DF588B"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 xml:space="preserve">Grouped Mean </w:t>
            </w:r>
          </w:p>
        </w:tc>
        <w:tc>
          <w:tcPr>
            <w:tcW w:w="603" w:type="pct"/>
            <w:gridSpan w:val="2"/>
            <w:tcBorders>
              <w:top w:val="nil"/>
              <w:left w:val="nil"/>
              <w:bottom w:val="single" w:sz="4" w:space="0" w:color="auto"/>
              <w:right w:val="single" w:sz="4" w:space="0" w:color="auto"/>
            </w:tcBorders>
            <w:shd w:val="clear" w:color="auto" w:fill="auto"/>
            <w:noWrap/>
            <w:vAlign w:val="bottom"/>
          </w:tcPr>
          <w:p w14:paraId="2154AE94"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0.84</w:t>
            </w:r>
          </w:p>
        </w:tc>
        <w:tc>
          <w:tcPr>
            <w:tcW w:w="629" w:type="pct"/>
            <w:gridSpan w:val="3"/>
            <w:tcBorders>
              <w:top w:val="nil"/>
              <w:left w:val="nil"/>
              <w:bottom w:val="single" w:sz="4" w:space="0" w:color="auto"/>
              <w:right w:val="single" w:sz="4" w:space="0" w:color="auto"/>
            </w:tcBorders>
            <w:shd w:val="clear" w:color="auto" w:fill="auto"/>
            <w:noWrap/>
            <w:vAlign w:val="bottom"/>
          </w:tcPr>
          <w:p w14:paraId="48BA34B0"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0.89</w:t>
            </w:r>
          </w:p>
        </w:tc>
        <w:tc>
          <w:tcPr>
            <w:tcW w:w="631" w:type="pct"/>
            <w:gridSpan w:val="4"/>
            <w:tcBorders>
              <w:top w:val="nil"/>
              <w:left w:val="nil"/>
              <w:bottom w:val="single" w:sz="4" w:space="0" w:color="auto"/>
              <w:right w:val="single" w:sz="4" w:space="0" w:color="auto"/>
            </w:tcBorders>
            <w:shd w:val="clear" w:color="auto" w:fill="auto"/>
            <w:noWrap/>
            <w:vAlign w:val="bottom"/>
          </w:tcPr>
          <w:p w14:paraId="2A84245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0.95</w:t>
            </w:r>
          </w:p>
        </w:tc>
        <w:tc>
          <w:tcPr>
            <w:tcW w:w="645" w:type="pct"/>
            <w:gridSpan w:val="3"/>
            <w:tcBorders>
              <w:top w:val="nil"/>
              <w:left w:val="nil"/>
              <w:bottom w:val="single" w:sz="4" w:space="0" w:color="auto"/>
              <w:right w:val="single" w:sz="4" w:space="0" w:color="auto"/>
            </w:tcBorders>
            <w:shd w:val="clear" w:color="auto" w:fill="auto"/>
            <w:noWrap/>
            <w:vAlign w:val="bottom"/>
          </w:tcPr>
          <w:p w14:paraId="2A74219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44393F80"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0.89</w:t>
            </w:r>
          </w:p>
        </w:tc>
        <w:tc>
          <w:tcPr>
            <w:tcW w:w="645" w:type="pct"/>
            <w:tcBorders>
              <w:top w:val="nil"/>
              <w:left w:val="nil"/>
              <w:bottom w:val="single" w:sz="4" w:space="0" w:color="auto"/>
              <w:right w:val="single" w:sz="4" w:space="0" w:color="auto"/>
            </w:tcBorders>
            <w:shd w:val="clear" w:color="auto" w:fill="auto"/>
            <w:noWrap/>
            <w:vAlign w:val="bottom"/>
          </w:tcPr>
          <w:p w14:paraId="6345DA54"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0.82</w:t>
            </w:r>
          </w:p>
        </w:tc>
      </w:tr>
      <w:tr w:rsidR="009A36D2" w:rsidRPr="009A36D2" w14:paraId="38A16A05" w14:textId="77777777" w:rsidTr="00281A92">
        <w:trPr>
          <w:trHeight w:val="20"/>
          <w:jc w:val="center"/>
        </w:trPr>
        <w:tc>
          <w:tcPr>
            <w:tcW w:w="1201" w:type="pct"/>
            <w:gridSpan w:val="2"/>
            <w:tcBorders>
              <w:top w:val="nil"/>
              <w:left w:val="single" w:sz="4" w:space="0" w:color="auto"/>
              <w:bottom w:val="single" w:sz="4" w:space="0" w:color="auto"/>
              <w:right w:val="single" w:sz="4" w:space="0" w:color="auto"/>
            </w:tcBorders>
            <w:shd w:val="clear" w:color="auto" w:fill="auto"/>
            <w:noWrap/>
            <w:vAlign w:val="bottom"/>
            <w:hideMark/>
          </w:tcPr>
          <w:p w14:paraId="66F2AA00" w14:textId="77777777" w:rsidR="009A36D2" w:rsidRPr="009A36D2" w:rsidRDefault="009A36D2" w:rsidP="00281A92">
            <w:pPr>
              <w:spacing w:before="0" w:after="0" w:line="240" w:lineRule="auto"/>
              <w:rPr>
                <w:b/>
                <w:bCs/>
                <w:color w:val="auto"/>
                <w:sz w:val="20"/>
                <w:szCs w:val="20"/>
              </w:rPr>
            </w:pPr>
            <w:r w:rsidRPr="009A36D2">
              <w:rPr>
                <w:b/>
                <w:bCs/>
                <w:color w:val="auto"/>
                <w:sz w:val="20"/>
                <w:szCs w:val="20"/>
              </w:rPr>
              <w:t>SD</w:t>
            </w:r>
          </w:p>
        </w:tc>
        <w:tc>
          <w:tcPr>
            <w:tcW w:w="603" w:type="pct"/>
            <w:gridSpan w:val="2"/>
            <w:tcBorders>
              <w:top w:val="nil"/>
              <w:left w:val="nil"/>
              <w:bottom w:val="single" w:sz="4" w:space="0" w:color="auto"/>
              <w:right w:val="single" w:sz="4" w:space="0" w:color="auto"/>
            </w:tcBorders>
            <w:shd w:val="clear" w:color="auto" w:fill="auto"/>
            <w:noWrap/>
            <w:vAlign w:val="bottom"/>
          </w:tcPr>
          <w:p w14:paraId="0670AE4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0.11</w:t>
            </w:r>
          </w:p>
        </w:tc>
        <w:tc>
          <w:tcPr>
            <w:tcW w:w="629" w:type="pct"/>
            <w:gridSpan w:val="3"/>
            <w:tcBorders>
              <w:top w:val="nil"/>
              <w:left w:val="nil"/>
              <w:bottom w:val="single" w:sz="4" w:space="0" w:color="auto"/>
              <w:right w:val="single" w:sz="4" w:space="0" w:color="auto"/>
            </w:tcBorders>
            <w:shd w:val="clear" w:color="auto" w:fill="auto"/>
            <w:noWrap/>
            <w:vAlign w:val="bottom"/>
          </w:tcPr>
          <w:p w14:paraId="2BDA78F7"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0.11</w:t>
            </w:r>
          </w:p>
        </w:tc>
        <w:tc>
          <w:tcPr>
            <w:tcW w:w="631" w:type="pct"/>
            <w:gridSpan w:val="4"/>
            <w:tcBorders>
              <w:top w:val="nil"/>
              <w:left w:val="nil"/>
              <w:bottom w:val="single" w:sz="4" w:space="0" w:color="auto"/>
              <w:right w:val="single" w:sz="4" w:space="0" w:color="auto"/>
            </w:tcBorders>
            <w:shd w:val="clear" w:color="auto" w:fill="auto"/>
            <w:noWrap/>
            <w:vAlign w:val="bottom"/>
          </w:tcPr>
          <w:p w14:paraId="775F64C8"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0.13</w:t>
            </w:r>
          </w:p>
        </w:tc>
        <w:tc>
          <w:tcPr>
            <w:tcW w:w="645" w:type="pct"/>
            <w:gridSpan w:val="3"/>
            <w:tcBorders>
              <w:top w:val="nil"/>
              <w:left w:val="nil"/>
              <w:bottom w:val="single" w:sz="4" w:space="0" w:color="auto"/>
              <w:right w:val="single" w:sz="4" w:space="0" w:color="auto"/>
            </w:tcBorders>
            <w:shd w:val="clear" w:color="auto" w:fill="auto"/>
            <w:noWrap/>
            <w:vAlign w:val="bottom"/>
          </w:tcPr>
          <w:p w14:paraId="21AA50AF"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0.12</w:t>
            </w:r>
          </w:p>
        </w:tc>
        <w:tc>
          <w:tcPr>
            <w:tcW w:w="646" w:type="pct"/>
            <w:gridSpan w:val="2"/>
            <w:tcBorders>
              <w:top w:val="nil"/>
              <w:left w:val="nil"/>
              <w:bottom w:val="single" w:sz="4" w:space="0" w:color="auto"/>
              <w:right w:val="single" w:sz="4" w:space="0" w:color="auto"/>
            </w:tcBorders>
            <w:shd w:val="clear" w:color="auto" w:fill="auto"/>
            <w:noWrap/>
            <w:vAlign w:val="bottom"/>
          </w:tcPr>
          <w:p w14:paraId="1DE5FF26"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0.10</w:t>
            </w:r>
          </w:p>
        </w:tc>
        <w:tc>
          <w:tcPr>
            <w:tcW w:w="645" w:type="pct"/>
            <w:tcBorders>
              <w:top w:val="nil"/>
              <w:left w:val="nil"/>
              <w:bottom w:val="single" w:sz="4" w:space="0" w:color="auto"/>
              <w:right w:val="single" w:sz="4" w:space="0" w:color="auto"/>
            </w:tcBorders>
            <w:shd w:val="clear" w:color="auto" w:fill="auto"/>
            <w:noWrap/>
            <w:vAlign w:val="bottom"/>
          </w:tcPr>
          <w:p w14:paraId="1B7A29C7" w14:textId="77777777" w:rsidR="009A36D2" w:rsidRPr="009A36D2" w:rsidRDefault="009A36D2" w:rsidP="00281A92">
            <w:pPr>
              <w:spacing w:before="0" w:after="0" w:line="240" w:lineRule="auto"/>
              <w:rPr>
                <w:b/>
                <w:bCs/>
                <w:color w:val="auto"/>
                <w:sz w:val="20"/>
                <w:szCs w:val="20"/>
              </w:rPr>
            </w:pPr>
            <w:r w:rsidRPr="009A36D2">
              <w:rPr>
                <w:b/>
                <w:bCs/>
                <w:color w:val="000000"/>
                <w:sz w:val="22"/>
                <w:szCs w:val="22"/>
              </w:rPr>
              <w:t>0.12</w:t>
            </w:r>
          </w:p>
        </w:tc>
      </w:tr>
    </w:tbl>
    <w:p w14:paraId="5CA5CC92" w14:textId="77777777" w:rsidR="00BC5FD0" w:rsidRPr="009D4627" w:rsidRDefault="00BC5FD0" w:rsidP="00C4130D">
      <w:pPr>
        <w:pStyle w:val="Caption"/>
      </w:pPr>
    </w:p>
    <w:p w14:paraId="79D41C40" w14:textId="77777777" w:rsidR="00D57C37" w:rsidRPr="009D4627" w:rsidRDefault="00D57C37" w:rsidP="00C4130D">
      <w:pPr>
        <w:pStyle w:val="Caption"/>
        <w:sectPr w:rsidR="00D57C37" w:rsidRPr="009D4627" w:rsidSect="00477959">
          <w:pgSz w:w="11906" w:h="16838" w:code="9"/>
          <w:pgMar w:top="1440" w:right="1440" w:bottom="1440" w:left="1440" w:header="708" w:footer="708" w:gutter="0"/>
          <w:cols w:space="708"/>
          <w:docGrid w:linePitch="360"/>
        </w:sectPr>
      </w:pPr>
    </w:p>
    <w:p w14:paraId="4CFC056D" w14:textId="17352C74" w:rsidR="00D0688A" w:rsidRPr="009D4627" w:rsidRDefault="00D0688A" w:rsidP="00C4130D">
      <w:pPr>
        <w:pStyle w:val="Caption"/>
      </w:pPr>
      <w:bookmarkStart w:id="627" w:name="_Toc99444693"/>
      <w:r>
        <w:lastRenderedPageBreak/>
        <w:t>A</w:t>
      </w:r>
      <w:r w:rsidRPr="009D4627">
        <w:t>ppendix 3.</w:t>
      </w:r>
      <w:r>
        <w:fldChar w:fldCharType="begin"/>
      </w:r>
      <w:r>
        <w:instrText xml:space="preserve"> SEQ Appendix_3. \* ARABIC </w:instrText>
      </w:r>
      <w:r>
        <w:fldChar w:fldCharType="separate"/>
      </w:r>
      <w:r w:rsidR="00E268F6">
        <w:rPr>
          <w:noProof/>
        </w:rPr>
        <w:t>5</w:t>
      </w:r>
      <w:r>
        <w:fldChar w:fldCharType="end"/>
      </w:r>
      <w:r w:rsidRPr="009D4627">
        <w:t xml:space="preserve">: Mean </w:t>
      </w:r>
      <w:r>
        <w:t xml:space="preserve">vertical </w:t>
      </w:r>
      <w:r w:rsidRPr="009D4627">
        <w:t>saccadic a) latency, b) peak velocity and c) gain, of individual participant from three age groups (young, middle and older) with normal BSV. The result of RE was presented.</w:t>
      </w:r>
      <w:bookmarkEnd w:id="627"/>
      <w:r w:rsidRPr="009D4627">
        <w:t xml:space="preserve"> </w:t>
      </w:r>
    </w:p>
    <w:tbl>
      <w:tblPr>
        <w:tblW w:w="5000" w:type="pct"/>
        <w:tblLayout w:type="fixed"/>
        <w:tblLook w:val="04A0" w:firstRow="1" w:lastRow="0" w:firstColumn="1" w:lastColumn="0" w:noHBand="0" w:noVBand="1"/>
      </w:tblPr>
      <w:tblGrid>
        <w:gridCol w:w="2168"/>
        <w:gridCol w:w="1087"/>
        <w:gridCol w:w="99"/>
        <w:gridCol w:w="1035"/>
        <w:gridCol w:w="155"/>
        <w:gridCol w:w="974"/>
        <w:gridCol w:w="9"/>
        <w:gridCol w:w="988"/>
        <w:gridCol w:w="175"/>
        <w:gridCol w:w="1082"/>
        <w:gridCol w:w="83"/>
        <w:gridCol w:w="1161"/>
      </w:tblGrid>
      <w:tr w:rsidR="00D0688A" w:rsidRPr="00E263F4" w14:paraId="547C43CC" w14:textId="77777777" w:rsidTr="00E263F4">
        <w:trPr>
          <w:trHeight w:val="2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691470" w14:textId="77777777" w:rsidR="00D0688A" w:rsidRPr="00E263F4" w:rsidRDefault="00D0688A" w:rsidP="00673CE6">
            <w:pPr>
              <w:numPr>
                <w:ilvl w:val="1"/>
                <w:numId w:val="153"/>
              </w:numPr>
              <w:tabs>
                <w:tab w:val="left" w:pos="309"/>
              </w:tabs>
              <w:spacing w:before="0" w:after="0" w:line="240" w:lineRule="auto"/>
              <w:ind w:left="0" w:right="417" w:firstLine="0"/>
              <w:contextualSpacing/>
              <w:jc w:val="left"/>
              <w:rPr>
                <w:b/>
                <w:bCs/>
                <w:color w:val="auto"/>
                <w:sz w:val="20"/>
                <w:szCs w:val="20"/>
              </w:rPr>
            </w:pPr>
            <w:r w:rsidRPr="00E263F4">
              <w:rPr>
                <w:b/>
                <w:bCs/>
                <w:color w:val="auto"/>
                <w:sz w:val="20"/>
                <w:szCs w:val="20"/>
              </w:rPr>
              <w:t>Latency (</w:t>
            </w:r>
            <w:proofErr w:type="spellStart"/>
            <w:r w:rsidRPr="00E263F4">
              <w:rPr>
                <w:b/>
                <w:bCs/>
                <w:color w:val="auto"/>
                <w:sz w:val="20"/>
                <w:szCs w:val="20"/>
              </w:rPr>
              <w:t>ms</w:t>
            </w:r>
            <w:proofErr w:type="spellEnd"/>
            <w:r w:rsidRPr="00E263F4">
              <w:rPr>
                <w:b/>
                <w:bCs/>
                <w:color w:val="auto"/>
                <w:sz w:val="20"/>
                <w:szCs w:val="20"/>
              </w:rPr>
              <w:t>)</w:t>
            </w:r>
          </w:p>
        </w:tc>
        <w:tc>
          <w:tcPr>
            <w:tcW w:w="1863" w:type="pct"/>
            <w:gridSpan w:val="6"/>
            <w:tcBorders>
              <w:top w:val="single" w:sz="4" w:space="0" w:color="auto"/>
              <w:left w:val="nil"/>
              <w:bottom w:val="single" w:sz="4" w:space="0" w:color="auto"/>
              <w:right w:val="single" w:sz="4" w:space="0" w:color="auto"/>
            </w:tcBorders>
            <w:shd w:val="clear" w:color="auto" w:fill="auto"/>
            <w:noWrap/>
            <w:vAlign w:val="bottom"/>
            <w:hideMark/>
          </w:tcPr>
          <w:p w14:paraId="094217D5" w14:textId="10F83190" w:rsidR="00D0688A" w:rsidRPr="00E263F4" w:rsidRDefault="00D0688A" w:rsidP="00E263F4">
            <w:pPr>
              <w:spacing w:before="0" w:after="0" w:line="240" w:lineRule="auto"/>
              <w:jc w:val="center"/>
              <w:rPr>
                <w:b/>
                <w:bCs/>
                <w:color w:val="auto"/>
                <w:sz w:val="20"/>
                <w:szCs w:val="20"/>
              </w:rPr>
            </w:pPr>
            <w:r w:rsidRPr="00E263F4">
              <w:rPr>
                <w:b/>
                <w:bCs/>
                <w:color w:val="auto"/>
                <w:sz w:val="20"/>
                <w:szCs w:val="20"/>
              </w:rPr>
              <w:t>Downward saccades</w:t>
            </w:r>
          </w:p>
        </w:tc>
        <w:tc>
          <w:tcPr>
            <w:tcW w:w="1935" w:type="pct"/>
            <w:gridSpan w:val="5"/>
            <w:tcBorders>
              <w:top w:val="single" w:sz="4" w:space="0" w:color="auto"/>
              <w:left w:val="nil"/>
              <w:bottom w:val="single" w:sz="4" w:space="0" w:color="auto"/>
              <w:right w:val="single" w:sz="4" w:space="0" w:color="auto"/>
            </w:tcBorders>
            <w:shd w:val="clear" w:color="auto" w:fill="auto"/>
            <w:noWrap/>
            <w:vAlign w:val="bottom"/>
            <w:hideMark/>
          </w:tcPr>
          <w:p w14:paraId="479905B1" w14:textId="3B70A032" w:rsidR="00D0688A" w:rsidRPr="00E263F4" w:rsidRDefault="00D0688A" w:rsidP="00E263F4">
            <w:pPr>
              <w:spacing w:before="0" w:after="0" w:line="240" w:lineRule="auto"/>
              <w:jc w:val="center"/>
              <w:rPr>
                <w:b/>
                <w:bCs/>
                <w:color w:val="auto"/>
                <w:sz w:val="20"/>
                <w:szCs w:val="20"/>
              </w:rPr>
            </w:pPr>
            <w:r w:rsidRPr="00E263F4">
              <w:rPr>
                <w:b/>
                <w:bCs/>
                <w:color w:val="auto"/>
                <w:sz w:val="20"/>
                <w:szCs w:val="20"/>
              </w:rPr>
              <w:t>Upward saccades</w:t>
            </w:r>
          </w:p>
        </w:tc>
      </w:tr>
      <w:tr w:rsidR="00D0688A" w:rsidRPr="00E263F4" w14:paraId="7BF7B4E9"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E41C38C"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Young (18-39 years old)</w:t>
            </w:r>
          </w:p>
        </w:tc>
      </w:tr>
      <w:tr w:rsidR="00D0688A" w:rsidRPr="00E263F4" w14:paraId="68053EF1"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68E453CA" w14:textId="77777777" w:rsidR="00D0688A" w:rsidRPr="00E263F4" w:rsidRDefault="00D0688A" w:rsidP="00281A92">
            <w:pPr>
              <w:spacing w:before="0" w:after="0" w:line="240" w:lineRule="auto"/>
              <w:jc w:val="right"/>
              <w:rPr>
                <w:color w:val="auto"/>
                <w:sz w:val="20"/>
                <w:szCs w:val="20"/>
              </w:rPr>
            </w:pPr>
            <w:r w:rsidRPr="00E263F4">
              <w:rPr>
                <w:color w:val="auto"/>
                <w:sz w:val="20"/>
                <w:szCs w:val="20"/>
              </w:rPr>
              <w:t>Target amplitude</w:t>
            </w:r>
          </w:p>
          <w:p w14:paraId="1A6F640C" w14:textId="77777777" w:rsidR="00D0688A" w:rsidRPr="00E263F4" w:rsidRDefault="00D0688A" w:rsidP="00281A92">
            <w:pPr>
              <w:spacing w:before="0" w:after="0" w:line="240" w:lineRule="auto"/>
              <w:rPr>
                <w:color w:val="auto"/>
                <w:sz w:val="20"/>
                <w:szCs w:val="20"/>
              </w:rPr>
            </w:pPr>
          </w:p>
          <w:p w14:paraId="3E5DD6E8" w14:textId="77777777" w:rsidR="00D0688A" w:rsidRPr="00E263F4" w:rsidRDefault="00D0688A" w:rsidP="00281A92">
            <w:pPr>
              <w:spacing w:before="0" w:after="0" w:line="240" w:lineRule="auto"/>
              <w:rPr>
                <w:color w:val="auto"/>
                <w:sz w:val="20"/>
                <w:szCs w:val="20"/>
              </w:rPr>
            </w:pPr>
            <w:r w:rsidRPr="00E263F4">
              <w:rPr>
                <w:color w:val="auto"/>
                <w:sz w:val="20"/>
                <w:szCs w:val="20"/>
              </w:rPr>
              <w:t>Participant ID</w:t>
            </w:r>
          </w:p>
        </w:tc>
        <w:tc>
          <w:tcPr>
            <w:tcW w:w="658" w:type="pct"/>
            <w:gridSpan w:val="2"/>
            <w:tcBorders>
              <w:top w:val="nil"/>
              <w:left w:val="nil"/>
              <w:bottom w:val="single" w:sz="4" w:space="0" w:color="auto"/>
              <w:right w:val="single" w:sz="4" w:space="0" w:color="auto"/>
            </w:tcBorders>
            <w:shd w:val="clear" w:color="auto" w:fill="auto"/>
            <w:noWrap/>
            <w:hideMark/>
          </w:tcPr>
          <w:p w14:paraId="310A651D" w14:textId="0E6B54FD"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60" w:type="pct"/>
            <w:gridSpan w:val="2"/>
            <w:tcBorders>
              <w:top w:val="nil"/>
              <w:left w:val="nil"/>
              <w:bottom w:val="single" w:sz="4" w:space="0" w:color="auto"/>
              <w:right w:val="single" w:sz="4" w:space="0" w:color="auto"/>
            </w:tcBorders>
            <w:shd w:val="clear" w:color="auto" w:fill="auto"/>
            <w:noWrap/>
            <w:hideMark/>
          </w:tcPr>
          <w:p w14:paraId="76D5D369" w14:textId="3480ABD5"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545" w:type="pct"/>
            <w:gridSpan w:val="2"/>
            <w:tcBorders>
              <w:top w:val="nil"/>
              <w:left w:val="nil"/>
              <w:bottom w:val="single" w:sz="4" w:space="0" w:color="auto"/>
              <w:right w:val="single" w:sz="4" w:space="0" w:color="auto"/>
            </w:tcBorders>
            <w:shd w:val="clear" w:color="auto" w:fill="auto"/>
            <w:noWrap/>
            <w:hideMark/>
          </w:tcPr>
          <w:p w14:paraId="041C6719" w14:textId="7E6DBF54"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548" w:type="pct"/>
            <w:tcBorders>
              <w:top w:val="nil"/>
              <w:left w:val="nil"/>
              <w:bottom w:val="single" w:sz="4" w:space="0" w:color="auto"/>
              <w:right w:val="single" w:sz="4" w:space="0" w:color="auto"/>
            </w:tcBorders>
            <w:shd w:val="clear" w:color="auto" w:fill="auto"/>
            <w:noWrap/>
            <w:hideMark/>
          </w:tcPr>
          <w:p w14:paraId="50ABD89D" w14:textId="39A54D25"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97" w:type="pct"/>
            <w:gridSpan w:val="2"/>
            <w:tcBorders>
              <w:top w:val="nil"/>
              <w:left w:val="nil"/>
              <w:bottom w:val="single" w:sz="4" w:space="0" w:color="auto"/>
              <w:right w:val="single" w:sz="4" w:space="0" w:color="auto"/>
            </w:tcBorders>
            <w:shd w:val="clear" w:color="auto" w:fill="auto"/>
            <w:noWrap/>
            <w:hideMark/>
          </w:tcPr>
          <w:p w14:paraId="6BA1D127" w14:textId="7AABF609"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90" w:type="pct"/>
            <w:gridSpan w:val="2"/>
            <w:tcBorders>
              <w:top w:val="nil"/>
              <w:left w:val="nil"/>
              <w:bottom w:val="single" w:sz="4" w:space="0" w:color="auto"/>
              <w:right w:val="single" w:sz="4" w:space="0" w:color="auto"/>
            </w:tcBorders>
            <w:shd w:val="clear" w:color="auto" w:fill="auto"/>
            <w:noWrap/>
            <w:hideMark/>
          </w:tcPr>
          <w:p w14:paraId="39E1C85E" w14:textId="3BFAE243"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9359DC" w:rsidRPr="00E263F4" w14:paraId="08174FF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EB412F6" w14:textId="77777777" w:rsidR="009359DC" w:rsidRPr="00E263F4" w:rsidRDefault="009359DC" w:rsidP="009359DC">
            <w:pPr>
              <w:spacing w:before="0" w:after="0" w:line="240" w:lineRule="auto"/>
              <w:rPr>
                <w:color w:val="auto"/>
                <w:sz w:val="20"/>
                <w:szCs w:val="20"/>
              </w:rPr>
            </w:pPr>
            <w:r w:rsidRPr="00E263F4">
              <w:rPr>
                <w:color w:val="auto"/>
                <w:sz w:val="20"/>
                <w:szCs w:val="20"/>
              </w:rPr>
              <w:t>1</w:t>
            </w:r>
          </w:p>
        </w:tc>
        <w:tc>
          <w:tcPr>
            <w:tcW w:w="658" w:type="pct"/>
            <w:gridSpan w:val="2"/>
            <w:tcBorders>
              <w:top w:val="nil"/>
              <w:left w:val="nil"/>
              <w:bottom w:val="single" w:sz="4" w:space="0" w:color="auto"/>
              <w:right w:val="single" w:sz="4" w:space="0" w:color="auto"/>
            </w:tcBorders>
            <w:shd w:val="clear" w:color="auto" w:fill="auto"/>
            <w:noWrap/>
            <w:vAlign w:val="bottom"/>
          </w:tcPr>
          <w:p w14:paraId="6D484074" w14:textId="74AFB742" w:rsidR="009359DC" w:rsidRPr="00E263F4" w:rsidRDefault="009359DC" w:rsidP="00E263F4">
            <w:pPr>
              <w:spacing w:before="0" w:after="0" w:line="240" w:lineRule="auto"/>
              <w:jc w:val="center"/>
              <w:rPr>
                <w:color w:val="auto"/>
                <w:sz w:val="20"/>
                <w:szCs w:val="20"/>
              </w:rPr>
            </w:pPr>
            <w:r w:rsidRPr="00E263F4">
              <w:rPr>
                <w:color w:val="000000"/>
                <w:sz w:val="22"/>
                <w:szCs w:val="22"/>
              </w:rPr>
              <w:t>202</w:t>
            </w:r>
          </w:p>
        </w:tc>
        <w:tc>
          <w:tcPr>
            <w:tcW w:w="660" w:type="pct"/>
            <w:gridSpan w:val="2"/>
            <w:tcBorders>
              <w:top w:val="nil"/>
              <w:left w:val="nil"/>
              <w:bottom w:val="single" w:sz="4" w:space="0" w:color="auto"/>
              <w:right w:val="single" w:sz="4" w:space="0" w:color="auto"/>
            </w:tcBorders>
            <w:shd w:val="clear" w:color="auto" w:fill="auto"/>
            <w:noWrap/>
            <w:vAlign w:val="bottom"/>
          </w:tcPr>
          <w:p w14:paraId="07DDA139" w14:textId="141644CF" w:rsidR="009359DC" w:rsidRPr="00E263F4" w:rsidRDefault="009359DC" w:rsidP="00E263F4">
            <w:pPr>
              <w:spacing w:before="0" w:after="0" w:line="240" w:lineRule="auto"/>
              <w:jc w:val="center"/>
              <w:rPr>
                <w:color w:val="auto"/>
                <w:sz w:val="20"/>
                <w:szCs w:val="20"/>
              </w:rPr>
            </w:pPr>
            <w:r w:rsidRPr="00E263F4">
              <w:rPr>
                <w:color w:val="000000"/>
                <w:sz w:val="22"/>
                <w:szCs w:val="22"/>
              </w:rPr>
              <w:t>223</w:t>
            </w:r>
          </w:p>
        </w:tc>
        <w:tc>
          <w:tcPr>
            <w:tcW w:w="545" w:type="pct"/>
            <w:gridSpan w:val="2"/>
            <w:tcBorders>
              <w:top w:val="nil"/>
              <w:left w:val="nil"/>
              <w:bottom w:val="single" w:sz="4" w:space="0" w:color="auto"/>
              <w:right w:val="single" w:sz="4" w:space="0" w:color="auto"/>
            </w:tcBorders>
            <w:shd w:val="clear" w:color="auto" w:fill="auto"/>
            <w:noWrap/>
            <w:vAlign w:val="bottom"/>
          </w:tcPr>
          <w:p w14:paraId="5C7EBD94" w14:textId="355A66FB" w:rsidR="009359DC" w:rsidRPr="00E263F4" w:rsidRDefault="009359DC" w:rsidP="00E263F4">
            <w:pPr>
              <w:spacing w:before="0" w:after="0" w:line="240" w:lineRule="auto"/>
              <w:jc w:val="center"/>
              <w:rPr>
                <w:color w:val="auto"/>
                <w:sz w:val="20"/>
                <w:szCs w:val="20"/>
              </w:rPr>
            </w:pPr>
            <w:r w:rsidRPr="00E263F4">
              <w:rPr>
                <w:color w:val="000000"/>
                <w:sz w:val="22"/>
                <w:szCs w:val="22"/>
              </w:rPr>
              <w:t>208</w:t>
            </w:r>
          </w:p>
        </w:tc>
        <w:tc>
          <w:tcPr>
            <w:tcW w:w="548" w:type="pct"/>
            <w:tcBorders>
              <w:top w:val="nil"/>
              <w:left w:val="nil"/>
              <w:bottom w:val="single" w:sz="4" w:space="0" w:color="auto"/>
              <w:right w:val="single" w:sz="4" w:space="0" w:color="auto"/>
            </w:tcBorders>
            <w:shd w:val="clear" w:color="auto" w:fill="auto"/>
            <w:noWrap/>
            <w:vAlign w:val="bottom"/>
          </w:tcPr>
          <w:p w14:paraId="053BC79D" w14:textId="682D8459" w:rsidR="009359DC" w:rsidRPr="00E263F4" w:rsidRDefault="009359DC" w:rsidP="00E263F4">
            <w:pPr>
              <w:spacing w:before="0" w:after="0" w:line="240" w:lineRule="auto"/>
              <w:jc w:val="center"/>
              <w:rPr>
                <w:color w:val="auto"/>
                <w:sz w:val="20"/>
                <w:szCs w:val="20"/>
              </w:rPr>
            </w:pPr>
            <w:r w:rsidRPr="00E263F4">
              <w:rPr>
                <w:color w:val="000000"/>
                <w:sz w:val="22"/>
                <w:szCs w:val="22"/>
              </w:rPr>
              <w:t>188</w:t>
            </w:r>
          </w:p>
        </w:tc>
        <w:tc>
          <w:tcPr>
            <w:tcW w:w="697" w:type="pct"/>
            <w:gridSpan w:val="2"/>
            <w:tcBorders>
              <w:top w:val="nil"/>
              <w:left w:val="nil"/>
              <w:bottom w:val="single" w:sz="4" w:space="0" w:color="auto"/>
              <w:right w:val="single" w:sz="4" w:space="0" w:color="auto"/>
            </w:tcBorders>
            <w:shd w:val="clear" w:color="auto" w:fill="auto"/>
            <w:noWrap/>
            <w:vAlign w:val="bottom"/>
          </w:tcPr>
          <w:p w14:paraId="61657447" w14:textId="353B2A04"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c>
          <w:tcPr>
            <w:tcW w:w="690" w:type="pct"/>
            <w:gridSpan w:val="2"/>
            <w:tcBorders>
              <w:top w:val="nil"/>
              <w:left w:val="nil"/>
              <w:bottom w:val="single" w:sz="4" w:space="0" w:color="auto"/>
              <w:right w:val="single" w:sz="4" w:space="0" w:color="auto"/>
            </w:tcBorders>
            <w:shd w:val="clear" w:color="auto" w:fill="auto"/>
            <w:noWrap/>
            <w:vAlign w:val="bottom"/>
          </w:tcPr>
          <w:p w14:paraId="0C2AA203" w14:textId="39C7B392" w:rsidR="009359DC" w:rsidRPr="00E263F4" w:rsidRDefault="009359DC" w:rsidP="00E263F4">
            <w:pPr>
              <w:spacing w:before="0" w:after="0" w:line="240" w:lineRule="auto"/>
              <w:jc w:val="center"/>
              <w:rPr>
                <w:color w:val="auto"/>
                <w:sz w:val="20"/>
                <w:szCs w:val="20"/>
              </w:rPr>
            </w:pPr>
            <w:r w:rsidRPr="00E263F4">
              <w:rPr>
                <w:color w:val="000000"/>
                <w:sz w:val="22"/>
                <w:szCs w:val="22"/>
              </w:rPr>
              <w:t>190</w:t>
            </w:r>
          </w:p>
        </w:tc>
      </w:tr>
      <w:tr w:rsidR="009359DC" w:rsidRPr="00E263F4" w14:paraId="32C8F09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5E02086" w14:textId="77777777" w:rsidR="009359DC" w:rsidRPr="00E263F4" w:rsidRDefault="009359DC" w:rsidP="009359DC">
            <w:pPr>
              <w:spacing w:before="0" w:after="0" w:line="240" w:lineRule="auto"/>
              <w:rPr>
                <w:color w:val="auto"/>
                <w:sz w:val="20"/>
                <w:szCs w:val="20"/>
              </w:rPr>
            </w:pPr>
            <w:r w:rsidRPr="00E263F4">
              <w:rPr>
                <w:color w:val="auto"/>
                <w:sz w:val="20"/>
                <w:szCs w:val="20"/>
              </w:rPr>
              <w:t>2</w:t>
            </w:r>
          </w:p>
        </w:tc>
        <w:tc>
          <w:tcPr>
            <w:tcW w:w="658" w:type="pct"/>
            <w:gridSpan w:val="2"/>
            <w:tcBorders>
              <w:top w:val="nil"/>
              <w:left w:val="nil"/>
              <w:bottom w:val="single" w:sz="4" w:space="0" w:color="auto"/>
              <w:right w:val="single" w:sz="4" w:space="0" w:color="auto"/>
            </w:tcBorders>
            <w:shd w:val="clear" w:color="auto" w:fill="auto"/>
            <w:noWrap/>
            <w:vAlign w:val="bottom"/>
          </w:tcPr>
          <w:p w14:paraId="424C84C7" w14:textId="3D40B2E5" w:rsidR="009359DC" w:rsidRPr="00E263F4" w:rsidRDefault="009359DC" w:rsidP="00E263F4">
            <w:pPr>
              <w:spacing w:before="0" w:after="0" w:line="240" w:lineRule="auto"/>
              <w:jc w:val="center"/>
              <w:rPr>
                <w:color w:val="auto"/>
                <w:sz w:val="20"/>
                <w:szCs w:val="20"/>
              </w:rPr>
            </w:pPr>
            <w:r w:rsidRPr="00E263F4">
              <w:rPr>
                <w:color w:val="000000"/>
                <w:sz w:val="22"/>
                <w:szCs w:val="22"/>
              </w:rPr>
              <w:t>202</w:t>
            </w:r>
          </w:p>
        </w:tc>
        <w:tc>
          <w:tcPr>
            <w:tcW w:w="660" w:type="pct"/>
            <w:gridSpan w:val="2"/>
            <w:tcBorders>
              <w:top w:val="nil"/>
              <w:left w:val="nil"/>
              <w:bottom w:val="single" w:sz="4" w:space="0" w:color="auto"/>
              <w:right w:val="single" w:sz="4" w:space="0" w:color="auto"/>
            </w:tcBorders>
            <w:shd w:val="clear" w:color="auto" w:fill="auto"/>
            <w:noWrap/>
            <w:vAlign w:val="bottom"/>
          </w:tcPr>
          <w:p w14:paraId="0C8EA6CE" w14:textId="761BC046" w:rsidR="009359DC" w:rsidRPr="00E263F4" w:rsidRDefault="009359DC" w:rsidP="00E263F4">
            <w:pPr>
              <w:spacing w:before="0" w:after="0" w:line="240" w:lineRule="auto"/>
              <w:jc w:val="center"/>
              <w:rPr>
                <w:color w:val="auto"/>
                <w:sz w:val="20"/>
                <w:szCs w:val="20"/>
              </w:rPr>
            </w:pPr>
            <w:r w:rsidRPr="00E263F4">
              <w:rPr>
                <w:color w:val="000000"/>
                <w:sz w:val="22"/>
                <w:szCs w:val="22"/>
              </w:rPr>
              <w:t>213</w:t>
            </w:r>
          </w:p>
        </w:tc>
        <w:tc>
          <w:tcPr>
            <w:tcW w:w="545" w:type="pct"/>
            <w:gridSpan w:val="2"/>
            <w:tcBorders>
              <w:top w:val="nil"/>
              <w:left w:val="nil"/>
              <w:bottom w:val="single" w:sz="4" w:space="0" w:color="auto"/>
              <w:right w:val="single" w:sz="4" w:space="0" w:color="auto"/>
            </w:tcBorders>
            <w:shd w:val="clear" w:color="auto" w:fill="auto"/>
            <w:noWrap/>
            <w:vAlign w:val="bottom"/>
          </w:tcPr>
          <w:p w14:paraId="57A1DE83" w14:textId="21AC2967" w:rsidR="009359DC" w:rsidRPr="00E263F4" w:rsidRDefault="009359DC" w:rsidP="00E263F4">
            <w:pPr>
              <w:spacing w:before="0" w:after="0" w:line="240" w:lineRule="auto"/>
              <w:jc w:val="center"/>
              <w:rPr>
                <w:color w:val="auto"/>
                <w:sz w:val="20"/>
                <w:szCs w:val="20"/>
              </w:rPr>
            </w:pPr>
            <w:r w:rsidRPr="00E263F4">
              <w:rPr>
                <w:color w:val="000000"/>
                <w:sz w:val="22"/>
                <w:szCs w:val="22"/>
              </w:rPr>
              <w:t>164</w:t>
            </w:r>
          </w:p>
        </w:tc>
        <w:tc>
          <w:tcPr>
            <w:tcW w:w="548" w:type="pct"/>
            <w:tcBorders>
              <w:top w:val="nil"/>
              <w:left w:val="nil"/>
              <w:bottom w:val="single" w:sz="4" w:space="0" w:color="auto"/>
              <w:right w:val="single" w:sz="4" w:space="0" w:color="auto"/>
            </w:tcBorders>
            <w:shd w:val="clear" w:color="auto" w:fill="auto"/>
            <w:noWrap/>
            <w:vAlign w:val="bottom"/>
          </w:tcPr>
          <w:p w14:paraId="77E231D6" w14:textId="64BD2484" w:rsidR="009359DC" w:rsidRPr="00E263F4" w:rsidRDefault="009359DC" w:rsidP="00E263F4">
            <w:pPr>
              <w:spacing w:before="0" w:after="0" w:line="240" w:lineRule="auto"/>
              <w:jc w:val="center"/>
              <w:rPr>
                <w:color w:val="auto"/>
                <w:sz w:val="20"/>
                <w:szCs w:val="20"/>
              </w:rPr>
            </w:pPr>
            <w:r w:rsidRPr="00E263F4">
              <w:rPr>
                <w:color w:val="000000"/>
                <w:sz w:val="22"/>
                <w:szCs w:val="22"/>
              </w:rPr>
              <w:t>158</w:t>
            </w:r>
          </w:p>
        </w:tc>
        <w:tc>
          <w:tcPr>
            <w:tcW w:w="697" w:type="pct"/>
            <w:gridSpan w:val="2"/>
            <w:tcBorders>
              <w:top w:val="nil"/>
              <w:left w:val="nil"/>
              <w:bottom w:val="single" w:sz="4" w:space="0" w:color="auto"/>
              <w:right w:val="single" w:sz="4" w:space="0" w:color="auto"/>
            </w:tcBorders>
            <w:shd w:val="clear" w:color="auto" w:fill="auto"/>
            <w:noWrap/>
            <w:vAlign w:val="bottom"/>
          </w:tcPr>
          <w:p w14:paraId="3B9ECE50" w14:textId="472EBC76"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c>
          <w:tcPr>
            <w:tcW w:w="690" w:type="pct"/>
            <w:gridSpan w:val="2"/>
            <w:tcBorders>
              <w:top w:val="nil"/>
              <w:left w:val="nil"/>
              <w:bottom w:val="single" w:sz="4" w:space="0" w:color="auto"/>
              <w:right w:val="single" w:sz="4" w:space="0" w:color="auto"/>
            </w:tcBorders>
            <w:shd w:val="clear" w:color="auto" w:fill="auto"/>
            <w:noWrap/>
            <w:vAlign w:val="bottom"/>
          </w:tcPr>
          <w:p w14:paraId="565D985F" w14:textId="6700D2E8" w:rsidR="009359DC" w:rsidRPr="00E263F4" w:rsidRDefault="009359DC" w:rsidP="00E263F4">
            <w:pPr>
              <w:spacing w:before="0" w:after="0" w:line="240" w:lineRule="auto"/>
              <w:jc w:val="center"/>
              <w:rPr>
                <w:color w:val="auto"/>
                <w:sz w:val="20"/>
                <w:szCs w:val="20"/>
              </w:rPr>
            </w:pPr>
            <w:r w:rsidRPr="00E263F4">
              <w:rPr>
                <w:color w:val="000000"/>
                <w:sz w:val="22"/>
                <w:szCs w:val="22"/>
              </w:rPr>
              <w:t>211</w:t>
            </w:r>
          </w:p>
        </w:tc>
      </w:tr>
      <w:tr w:rsidR="009359DC" w:rsidRPr="00E263F4" w14:paraId="67590C6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A038334" w14:textId="77777777" w:rsidR="009359DC" w:rsidRPr="00E263F4" w:rsidRDefault="009359DC" w:rsidP="009359DC">
            <w:pPr>
              <w:spacing w:before="0" w:after="0" w:line="240" w:lineRule="auto"/>
              <w:rPr>
                <w:color w:val="auto"/>
                <w:sz w:val="20"/>
                <w:szCs w:val="20"/>
              </w:rPr>
            </w:pPr>
            <w:r w:rsidRPr="00E263F4">
              <w:rPr>
                <w:color w:val="auto"/>
                <w:sz w:val="20"/>
                <w:szCs w:val="20"/>
              </w:rPr>
              <w:t>3</w:t>
            </w:r>
          </w:p>
        </w:tc>
        <w:tc>
          <w:tcPr>
            <w:tcW w:w="658" w:type="pct"/>
            <w:gridSpan w:val="2"/>
            <w:tcBorders>
              <w:top w:val="nil"/>
              <w:left w:val="nil"/>
              <w:bottom w:val="single" w:sz="4" w:space="0" w:color="auto"/>
              <w:right w:val="single" w:sz="4" w:space="0" w:color="auto"/>
            </w:tcBorders>
            <w:shd w:val="clear" w:color="auto" w:fill="auto"/>
            <w:noWrap/>
            <w:vAlign w:val="bottom"/>
          </w:tcPr>
          <w:p w14:paraId="03CD3C8F" w14:textId="25A7F888" w:rsidR="009359DC" w:rsidRPr="00E263F4" w:rsidRDefault="009359DC" w:rsidP="00E263F4">
            <w:pPr>
              <w:spacing w:before="0" w:after="0" w:line="240" w:lineRule="auto"/>
              <w:jc w:val="center"/>
              <w:rPr>
                <w:color w:val="auto"/>
                <w:sz w:val="20"/>
                <w:szCs w:val="20"/>
              </w:rPr>
            </w:pPr>
            <w:r w:rsidRPr="00E263F4">
              <w:rPr>
                <w:color w:val="000000"/>
                <w:sz w:val="22"/>
                <w:szCs w:val="22"/>
              </w:rPr>
              <w:t>174</w:t>
            </w:r>
          </w:p>
        </w:tc>
        <w:tc>
          <w:tcPr>
            <w:tcW w:w="660" w:type="pct"/>
            <w:gridSpan w:val="2"/>
            <w:tcBorders>
              <w:top w:val="nil"/>
              <w:left w:val="nil"/>
              <w:bottom w:val="single" w:sz="4" w:space="0" w:color="auto"/>
              <w:right w:val="single" w:sz="4" w:space="0" w:color="auto"/>
            </w:tcBorders>
            <w:shd w:val="clear" w:color="auto" w:fill="auto"/>
            <w:noWrap/>
            <w:vAlign w:val="bottom"/>
          </w:tcPr>
          <w:p w14:paraId="7398E52E" w14:textId="37F6429D" w:rsidR="009359DC" w:rsidRPr="00E263F4" w:rsidRDefault="009359DC" w:rsidP="00E263F4">
            <w:pPr>
              <w:spacing w:before="0" w:after="0" w:line="240" w:lineRule="auto"/>
              <w:jc w:val="center"/>
              <w:rPr>
                <w:color w:val="auto"/>
                <w:sz w:val="20"/>
                <w:szCs w:val="20"/>
              </w:rPr>
            </w:pPr>
            <w:r w:rsidRPr="00E263F4">
              <w:rPr>
                <w:color w:val="000000"/>
                <w:sz w:val="22"/>
                <w:szCs w:val="22"/>
              </w:rPr>
              <w:t>159</w:t>
            </w:r>
          </w:p>
        </w:tc>
        <w:tc>
          <w:tcPr>
            <w:tcW w:w="545" w:type="pct"/>
            <w:gridSpan w:val="2"/>
            <w:tcBorders>
              <w:top w:val="nil"/>
              <w:left w:val="nil"/>
              <w:bottom w:val="single" w:sz="4" w:space="0" w:color="auto"/>
              <w:right w:val="single" w:sz="4" w:space="0" w:color="auto"/>
            </w:tcBorders>
            <w:shd w:val="clear" w:color="auto" w:fill="auto"/>
            <w:noWrap/>
            <w:vAlign w:val="bottom"/>
          </w:tcPr>
          <w:p w14:paraId="4B9D0E7F" w14:textId="7D664644" w:rsidR="009359DC" w:rsidRPr="00E263F4" w:rsidRDefault="009359DC" w:rsidP="00E263F4">
            <w:pPr>
              <w:spacing w:before="0" w:after="0" w:line="240" w:lineRule="auto"/>
              <w:jc w:val="center"/>
              <w:rPr>
                <w:color w:val="auto"/>
                <w:sz w:val="20"/>
                <w:szCs w:val="20"/>
              </w:rPr>
            </w:pPr>
            <w:r w:rsidRPr="00E263F4">
              <w:rPr>
                <w:color w:val="000000"/>
                <w:sz w:val="22"/>
                <w:szCs w:val="22"/>
              </w:rPr>
              <w:t>157</w:t>
            </w:r>
          </w:p>
        </w:tc>
        <w:tc>
          <w:tcPr>
            <w:tcW w:w="548" w:type="pct"/>
            <w:tcBorders>
              <w:top w:val="nil"/>
              <w:left w:val="nil"/>
              <w:bottom w:val="single" w:sz="4" w:space="0" w:color="auto"/>
              <w:right w:val="single" w:sz="4" w:space="0" w:color="auto"/>
            </w:tcBorders>
            <w:shd w:val="clear" w:color="auto" w:fill="auto"/>
            <w:noWrap/>
            <w:vAlign w:val="bottom"/>
          </w:tcPr>
          <w:p w14:paraId="6341F07B" w14:textId="57A2989C" w:rsidR="009359DC" w:rsidRPr="00E263F4" w:rsidRDefault="009359DC" w:rsidP="00E263F4">
            <w:pPr>
              <w:spacing w:before="0" w:after="0" w:line="240" w:lineRule="auto"/>
              <w:jc w:val="center"/>
              <w:rPr>
                <w:color w:val="auto"/>
                <w:sz w:val="20"/>
                <w:szCs w:val="20"/>
              </w:rPr>
            </w:pPr>
            <w:r w:rsidRPr="00E263F4">
              <w:rPr>
                <w:color w:val="000000"/>
                <w:sz w:val="22"/>
                <w:szCs w:val="22"/>
              </w:rPr>
              <w:t>157</w:t>
            </w:r>
          </w:p>
        </w:tc>
        <w:tc>
          <w:tcPr>
            <w:tcW w:w="697" w:type="pct"/>
            <w:gridSpan w:val="2"/>
            <w:tcBorders>
              <w:top w:val="nil"/>
              <w:left w:val="nil"/>
              <w:bottom w:val="single" w:sz="4" w:space="0" w:color="auto"/>
              <w:right w:val="single" w:sz="4" w:space="0" w:color="auto"/>
            </w:tcBorders>
            <w:shd w:val="clear" w:color="auto" w:fill="auto"/>
            <w:noWrap/>
            <w:vAlign w:val="bottom"/>
          </w:tcPr>
          <w:p w14:paraId="73B3906C" w14:textId="13C586E5" w:rsidR="009359DC" w:rsidRPr="00E263F4" w:rsidRDefault="009359DC" w:rsidP="00E263F4">
            <w:pPr>
              <w:spacing w:before="0" w:after="0" w:line="240" w:lineRule="auto"/>
              <w:jc w:val="center"/>
              <w:rPr>
                <w:color w:val="auto"/>
                <w:sz w:val="20"/>
                <w:szCs w:val="20"/>
              </w:rPr>
            </w:pPr>
            <w:r w:rsidRPr="00E263F4">
              <w:rPr>
                <w:color w:val="000000"/>
                <w:sz w:val="22"/>
                <w:szCs w:val="22"/>
              </w:rPr>
              <w:t>163</w:t>
            </w:r>
          </w:p>
        </w:tc>
        <w:tc>
          <w:tcPr>
            <w:tcW w:w="690" w:type="pct"/>
            <w:gridSpan w:val="2"/>
            <w:tcBorders>
              <w:top w:val="nil"/>
              <w:left w:val="nil"/>
              <w:bottom w:val="single" w:sz="4" w:space="0" w:color="auto"/>
              <w:right w:val="single" w:sz="4" w:space="0" w:color="auto"/>
            </w:tcBorders>
            <w:shd w:val="clear" w:color="auto" w:fill="auto"/>
            <w:noWrap/>
            <w:vAlign w:val="bottom"/>
          </w:tcPr>
          <w:p w14:paraId="4AB87519" w14:textId="1BD4BA16" w:rsidR="009359DC" w:rsidRPr="00E263F4" w:rsidRDefault="009359DC" w:rsidP="00E263F4">
            <w:pPr>
              <w:spacing w:before="0" w:after="0" w:line="240" w:lineRule="auto"/>
              <w:jc w:val="center"/>
              <w:rPr>
                <w:color w:val="auto"/>
                <w:sz w:val="20"/>
                <w:szCs w:val="20"/>
              </w:rPr>
            </w:pPr>
            <w:r w:rsidRPr="00E263F4">
              <w:rPr>
                <w:color w:val="000000"/>
                <w:sz w:val="22"/>
                <w:szCs w:val="22"/>
              </w:rPr>
              <w:t>169</w:t>
            </w:r>
          </w:p>
        </w:tc>
      </w:tr>
      <w:tr w:rsidR="009359DC" w:rsidRPr="00E263F4" w14:paraId="76AD528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96416C6" w14:textId="77777777" w:rsidR="009359DC" w:rsidRPr="00E263F4" w:rsidRDefault="009359DC" w:rsidP="009359DC">
            <w:pPr>
              <w:spacing w:before="0" w:after="0" w:line="240" w:lineRule="auto"/>
              <w:rPr>
                <w:color w:val="auto"/>
                <w:sz w:val="20"/>
                <w:szCs w:val="20"/>
              </w:rPr>
            </w:pPr>
            <w:r w:rsidRPr="00E263F4">
              <w:rPr>
                <w:color w:val="auto"/>
                <w:sz w:val="20"/>
                <w:szCs w:val="20"/>
              </w:rPr>
              <w:t>4</w:t>
            </w:r>
          </w:p>
        </w:tc>
        <w:tc>
          <w:tcPr>
            <w:tcW w:w="658" w:type="pct"/>
            <w:gridSpan w:val="2"/>
            <w:tcBorders>
              <w:top w:val="nil"/>
              <w:left w:val="nil"/>
              <w:bottom w:val="single" w:sz="4" w:space="0" w:color="auto"/>
              <w:right w:val="single" w:sz="4" w:space="0" w:color="auto"/>
            </w:tcBorders>
            <w:shd w:val="clear" w:color="auto" w:fill="auto"/>
            <w:noWrap/>
            <w:vAlign w:val="bottom"/>
          </w:tcPr>
          <w:p w14:paraId="5FCA66B2" w14:textId="4AF3AEFD" w:rsidR="009359DC" w:rsidRPr="00E263F4" w:rsidRDefault="009359DC" w:rsidP="00E263F4">
            <w:pPr>
              <w:spacing w:before="0" w:after="0" w:line="240" w:lineRule="auto"/>
              <w:jc w:val="center"/>
              <w:rPr>
                <w:color w:val="auto"/>
                <w:sz w:val="20"/>
                <w:szCs w:val="20"/>
              </w:rPr>
            </w:pPr>
            <w:r w:rsidRPr="00E263F4">
              <w:rPr>
                <w:color w:val="000000"/>
                <w:sz w:val="22"/>
                <w:szCs w:val="22"/>
              </w:rPr>
              <w:t>213</w:t>
            </w:r>
          </w:p>
        </w:tc>
        <w:tc>
          <w:tcPr>
            <w:tcW w:w="660" w:type="pct"/>
            <w:gridSpan w:val="2"/>
            <w:tcBorders>
              <w:top w:val="nil"/>
              <w:left w:val="nil"/>
              <w:bottom w:val="single" w:sz="4" w:space="0" w:color="auto"/>
              <w:right w:val="single" w:sz="4" w:space="0" w:color="auto"/>
            </w:tcBorders>
            <w:shd w:val="clear" w:color="auto" w:fill="auto"/>
            <w:noWrap/>
            <w:vAlign w:val="bottom"/>
          </w:tcPr>
          <w:p w14:paraId="72D2A06A" w14:textId="018D0751" w:rsidR="009359DC" w:rsidRPr="00E263F4" w:rsidRDefault="009359DC" w:rsidP="00E263F4">
            <w:pPr>
              <w:spacing w:before="0" w:after="0" w:line="240" w:lineRule="auto"/>
              <w:jc w:val="center"/>
              <w:rPr>
                <w:color w:val="auto"/>
                <w:sz w:val="20"/>
                <w:szCs w:val="20"/>
              </w:rPr>
            </w:pPr>
            <w:r w:rsidRPr="00E263F4">
              <w:rPr>
                <w:color w:val="000000"/>
                <w:sz w:val="22"/>
                <w:szCs w:val="22"/>
              </w:rPr>
              <w:t>201</w:t>
            </w:r>
          </w:p>
        </w:tc>
        <w:tc>
          <w:tcPr>
            <w:tcW w:w="545" w:type="pct"/>
            <w:gridSpan w:val="2"/>
            <w:tcBorders>
              <w:top w:val="nil"/>
              <w:left w:val="nil"/>
              <w:bottom w:val="single" w:sz="4" w:space="0" w:color="auto"/>
              <w:right w:val="single" w:sz="4" w:space="0" w:color="auto"/>
            </w:tcBorders>
            <w:shd w:val="clear" w:color="auto" w:fill="auto"/>
            <w:noWrap/>
            <w:vAlign w:val="bottom"/>
          </w:tcPr>
          <w:p w14:paraId="1560F5FA" w14:textId="1A5E5504" w:rsidR="009359DC" w:rsidRPr="00E263F4" w:rsidRDefault="009359DC" w:rsidP="00E263F4">
            <w:pPr>
              <w:spacing w:before="0" w:after="0" w:line="240" w:lineRule="auto"/>
              <w:jc w:val="center"/>
              <w:rPr>
                <w:color w:val="auto"/>
                <w:sz w:val="20"/>
                <w:szCs w:val="20"/>
              </w:rPr>
            </w:pPr>
            <w:r w:rsidRPr="00E263F4">
              <w:rPr>
                <w:color w:val="000000"/>
                <w:sz w:val="22"/>
                <w:szCs w:val="22"/>
              </w:rPr>
              <w:t>192</w:t>
            </w:r>
          </w:p>
        </w:tc>
        <w:tc>
          <w:tcPr>
            <w:tcW w:w="548" w:type="pct"/>
            <w:tcBorders>
              <w:top w:val="nil"/>
              <w:left w:val="nil"/>
              <w:bottom w:val="single" w:sz="4" w:space="0" w:color="auto"/>
              <w:right w:val="single" w:sz="4" w:space="0" w:color="auto"/>
            </w:tcBorders>
            <w:shd w:val="clear" w:color="auto" w:fill="auto"/>
            <w:noWrap/>
            <w:vAlign w:val="bottom"/>
          </w:tcPr>
          <w:p w14:paraId="43C927D9" w14:textId="2FF042D6" w:rsidR="009359DC" w:rsidRPr="00E263F4" w:rsidRDefault="009359DC" w:rsidP="00E263F4">
            <w:pPr>
              <w:spacing w:before="0" w:after="0" w:line="240" w:lineRule="auto"/>
              <w:jc w:val="center"/>
              <w:rPr>
                <w:color w:val="auto"/>
                <w:sz w:val="20"/>
                <w:szCs w:val="20"/>
              </w:rPr>
            </w:pPr>
            <w:r w:rsidRPr="00E263F4">
              <w:rPr>
                <w:color w:val="000000"/>
                <w:sz w:val="22"/>
                <w:szCs w:val="22"/>
              </w:rPr>
              <w:t>179</w:t>
            </w:r>
          </w:p>
        </w:tc>
        <w:tc>
          <w:tcPr>
            <w:tcW w:w="697" w:type="pct"/>
            <w:gridSpan w:val="2"/>
            <w:tcBorders>
              <w:top w:val="nil"/>
              <w:left w:val="nil"/>
              <w:bottom w:val="single" w:sz="4" w:space="0" w:color="auto"/>
              <w:right w:val="single" w:sz="4" w:space="0" w:color="auto"/>
            </w:tcBorders>
            <w:shd w:val="clear" w:color="auto" w:fill="auto"/>
            <w:noWrap/>
            <w:vAlign w:val="bottom"/>
          </w:tcPr>
          <w:p w14:paraId="170A9A3C" w14:textId="2F40DC8E" w:rsidR="009359DC" w:rsidRPr="00E263F4" w:rsidRDefault="009359DC" w:rsidP="00E263F4">
            <w:pPr>
              <w:spacing w:before="0" w:after="0" w:line="240" w:lineRule="auto"/>
              <w:jc w:val="center"/>
              <w:rPr>
                <w:color w:val="auto"/>
                <w:sz w:val="20"/>
                <w:szCs w:val="20"/>
              </w:rPr>
            </w:pPr>
            <w:r w:rsidRPr="00E263F4">
              <w:rPr>
                <w:color w:val="000000"/>
                <w:sz w:val="22"/>
                <w:szCs w:val="22"/>
              </w:rPr>
              <w:t>176</w:t>
            </w:r>
          </w:p>
        </w:tc>
        <w:tc>
          <w:tcPr>
            <w:tcW w:w="690" w:type="pct"/>
            <w:gridSpan w:val="2"/>
            <w:tcBorders>
              <w:top w:val="nil"/>
              <w:left w:val="nil"/>
              <w:bottom w:val="single" w:sz="4" w:space="0" w:color="auto"/>
              <w:right w:val="single" w:sz="4" w:space="0" w:color="auto"/>
            </w:tcBorders>
            <w:shd w:val="clear" w:color="auto" w:fill="auto"/>
            <w:noWrap/>
            <w:vAlign w:val="bottom"/>
          </w:tcPr>
          <w:p w14:paraId="0CCBA094" w14:textId="6659F662" w:rsidR="009359DC" w:rsidRPr="00E263F4" w:rsidRDefault="009359DC" w:rsidP="00E263F4">
            <w:pPr>
              <w:spacing w:before="0" w:after="0" w:line="240" w:lineRule="auto"/>
              <w:jc w:val="center"/>
              <w:rPr>
                <w:color w:val="auto"/>
                <w:sz w:val="20"/>
                <w:szCs w:val="20"/>
              </w:rPr>
            </w:pPr>
            <w:r w:rsidRPr="00E263F4">
              <w:rPr>
                <w:color w:val="000000"/>
                <w:sz w:val="22"/>
                <w:szCs w:val="22"/>
              </w:rPr>
              <w:t>176</w:t>
            </w:r>
          </w:p>
        </w:tc>
      </w:tr>
      <w:tr w:rsidR="009359DC" w:rsidRPr="00E263F4" w14:paraId="49C7C35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69588C5" w14:textId="77777777" w:rsidR="009359DC" w:rsidRPr="00E263F4" w:rsidRDefault="009359DC" w:rsidP="009359DC">
            <w:pPr>
              <w:spacing w:before="0" w:after="0" w:line="240" w:lineRule="auto"/>
              <w:rPr>
                <w:color w:val="auto"/>
                <w:sz w:val="20"/>
                <w:szCs w:val="20"/>
              </w:rPr>
            </w:pPr>
            <w:r w:rsidRPr="00E263F4">
              <w:rPr>
                <w:color w:val="auto"/>
                <w:sz w:val="20"/>
                <w:szCs w:val="20"/>
              </w:rPr>
              <w:t>5</w:t>
            </w:r>
          </w:p>
        </w:tc>
        <w:tc>
          <w:tcPr>
            <w:tcW w:w="658" w:type="pct"/>
            <w:gridSpan w:val="2"/>
            <w:tcBorders>
              <w:top w:val="nil"/>
              <w:left w:val="nil"/>
              <w:bottom w:val="single" w:sz="4" w:space="0" w:color="auto"/>
              <w:right w:val="single" w:sz="4" w:space="0" w:color="auto"/>
            </w:tcBorders>
            <w:shd w:val="clear" w:color="auto" w:fill="auto"/>
            <w:noWrap/>
            <w:vAlign w:val="bottom"/>
          </w:tcPr>
          <w:p w14:paraId="11ACD4BF" w14:textId="244DF80A" w:rsidR="009359DC" w:rsidRPr="00E263F4" w:rsidRDefault="009359DC" w:rsidP="00E263F4">
            <w:pPr>
              <w:spacing w:before="0" w:after="0" w:line="240" w:lineRule="auto"/>
              <w:jc w:val="center"/>
              <w:rPr>
                <w:color w:val="auto"/>
                <w:sz w:val="20"/>
                <w:szCs w:val="20"/>
              </w:rPr>
            </w:pPr>
            <w:r w:rsidRPr="00E263F4">
              <w:rPr>
                <w:color w:val="000000"/>
                <w:sz w:val="22"/>
                <w:szCs w:val="22"/>
              </w:rPr>
              <w:t>202</w:t>
            </w:r>
          </w:p>
        </w:tc>
        <w:tc>
          <w:tcPr>
            <w:tcW w:w="660" w:type="pct"/>
            <w:gridSpan w:val="2"/>
            <w:tcBorders>
              <w:top w:val="nil"/>
              <w:left w:val="nil"/>
              <w:bottom w:val="single" w:sz="4" w:space="0" w:color="auto"/>
              <w:right w:val="single" w:sz="4" w:space="0" w:color="auto"/>
            </w:tcBorders>
            <w:shd w:val="clear" w:color="auto" w:fill="auto"/>
            <w:noWrap/>
            <w:vAlign w:val="bottom"/>
          </w:tcPr>
          <w:p w14:paraId="2E6A5B6F" w14:textId="5E315F1D" w:rsidR="009359DC" w:rsidRPr="00E263F4" w:rsidRDefault="009359DC" w:rsidP="00E263F4">
            <w:pPr>
              <w:spacing w:before="0" w:after="0" w:line="240" w:lineRule="auto"/>
              <w:jc w:val="center"/>
              <w:rPr>
                <w:color w:val="auto"/>
                <w:sz w:val="20"/>
                <w:szCs w:val="20"/>
              </w:rPr>
            </w:pPr>
            <w:r w:rsidRPr="00E263F4">
              <w:rPr>
                <w:color w:val="000000"/>
                <w:sz w:val="22"/>
                <w:szCs w:val="22"/>
              </w:rPr>
              <w:t>198</w:t>
            </w:r>
          </w:p>
        </w:tc>
        <w:tc>
          <w:tcPr>
            <w:tcW w:w="545" w:type="pct"/>
            <w:gridSpan w:val="2"/>
            <w:tcBorders>
              <w:top w:val="nil"/>
              <w:left w:val="nil"/>
              <w:bottom w:val="single" w:sz="4" w:space="0" w:color="auto"/>
              <w:right w:val="single" w:sz="4" w:space="0" w:color="auto"/>
            </w:tcBorders>
            <w:shd w:val="clear" w:color="auto" w:fill="auto"/>
            <w:noWrap/>
            <w:vAlign w:val="bottom"/>
          </w:tcPr>
          <w:p w14:paraId="41428612" w14:textId="271AC051" w:rsidR="009359DC" w:rsidRPr="00E263F4" w:rsidRDefault="009359DC" w:rsidP="00E263F4">
            <w:pPr>
              <w:spacing w:before="0" w:after="0" w:line="240" w:lineRule="auto"/>
              <w:jc w:val="center"/>
              <w:rPr>
                <w:color w:val="auto"/>
                <w:sz w:val="20"/>
                <w:szCs w:val="20"/>
              </w:rPr>
            </w:pPr>
            <w:r w:rsidRPr="00E263F4">
              <w:rPr>
                <w:color w:val="000000"/>
                <w:sz w:val="22"/>
                <w:szCs w:val="22"/>
              </w:rPr>
              <w:t>213</w:t>
            </w:r>
          </w:p>
        </w:tc>
        <w:tc>
          <w:tcPr>
            <w:tcW w:w="548" w:type="pct"/>
            <w:tcBorders>
              <w:top w:val="nil"/>
              <w:left w:val="nil"/>
              <w:bottom w:val="single" w:sz="4" w:space="0" w:color="auto"/>
              <w:right w:val="single" w:sz="4" w:space="0" w:color="auto"/>
            </w:tcBorders>
            <w:shd w:val="clear" w:color="auto" w:fill="auto"/>
            <w:noWrap/>
            <w:vAlign w:val="bottom"/>
          </w:tcPr>
          <w:p w14:paraId="301E24BA" w14:textId="4850A2AA" w:rsidR="009359DC" w:rsidRPr="00E263F4" w:rsidRDefault="009359DC" w:rsidP="00E263F4">
            <w:pPr>
              <w:spacing w:before="0" w:after="0" w:line="240" w:lineRule="auto"/>
              <w:jc w:val="center"/>
              <w:rPr>
                <w:color w:val="auto"/>
                <w:sz w:val="20"/>
                <w:szCs w:val="20"/>
              </w:rPr>
            </w:pPr>
            <w:r w:rsidRPr="00E263F4">
              <w:rPr>
                <w:color w:val="000000"/>
                <w:sz w:val="22"/>
                <w:szCs w:val="22"/>
              </w:rPr>
              <w:t>189</w:t>
            </w:r>
          </w:p>
        </w:tc>
        <w:tc>
          <w:tcPr>
            <w:tcW w:w="697" w:type="pct"/>
            <w:gridSpan w:val="2"/>
            <w:tcBorders>
              <w:top w:val="nil"/>
              <w:left w:val="nil"/>
              <w:bottom w:val="single" w:sz="4" w:space="0" w:color="auto"/>
              <w:right w:val="single" w:sz="4" w:space="0" w:color="auto"/>
            </w:tcBorders>
            <w:shd w:val="clear" w:color="auto" w:fill="auto"/>
            <w:noWrap/>
            <w:vAlign w:val="bottom"/>
          </w:tcPr>
          <w:p w14:paraId="0F73B24A" w14:textId="587D3949" w:rsidR="009359DC" w:rsidRPr="00E263F4" w:rsidRDefault="009359DC" w:rsidP="00E263F4">
            <w:pPr>
              <w:spacing w:before="0" w:after="0" w:line="240" w:lineRule="auto"/>
              <w:jc w:val="center"/>
              <w:rPr>
                <w:color w:val="auto"/>
                <w:sz w:val="20"/>
                <w:szCs w:val="20"/>
              </w:rPr>
            </w:pPr>
            <w:r w:rsidRPr="00E263F4">
              <w:rPr>
                <w:color w:val="000000"/>
                <w:sz w:val="22"/>
                <w:szCs w:val="22"/>
              </w:rPr>
              <w:t>176</w:t>
            </w:r>
          </w:p>
        </w:tc>
        <w:tc>
          <w:tcPr>
            <w:tcW w:w="690" w:type="pct"/>
            <w:gridSpan w:val="2"/>
            <w:tcBorders>
              <w:top w:val="nil"/>
              <w:left w:val="nil"/>
              <w:bottom w:val="single" w:sz="4" w:space="0" w:color="auto"/>
              <w:right w:val="single" w:sz="4" w:space="0" w:color="auto"/>
            </w:tcBorders>
            <w:shd w:val="clear" w:color="auto" w:fill="auto"/>
            <w:noWrap/>
            <w:vAlign w:val="bottom"/>
          </w:tcPr>
          <w:p w14:paraId="648B75A1" w14:textId="570B8414"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r>
      <w:tr w:rsidR="009359DC" w:rsidRPr="00E263F4" w14:paraId="49ADACF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B8BDD40" w14:textId="77777777" w:rsidR="009359DC" w:rsidRPr="00E263F4" w:rsidRDefault="009359DC" w:rsidP="009359DC">
            <w:pPr>
              <w:spacing w:before="0" w:after="0" w:line="240" w:lineRule="auto"/>
              <w:rPr>
                <w:color w:val="auto"/>
                <w:sz w:val="20"/>
                <w:szCs w:val="20"/>
              </w:rPr>
            </w:pPr>
            <w:r w:rsidRPr="00E263F4">
              <w:rPr>
                <w:color w:val="auto"/>
                <w:sz w:val="20"/>
                <w:szCs w:val="20"/>
              </w:rPr>
              <w:t>6</w:t>
            </w:r>
          </w:p>
        </w:tc>
        <w:tc>
          <w:tcPr>
            <w:tcW w:w="658" w:type="pct"/>
            <w:gridSpan w:val="2"/>
            <w:tcBorders>
              <w:top w:val="nil"/>
              <w:left w:val="nil"/>
              <w:bottom w:val="single" w:sz="4" w:space="0" w:color="auto"/>
              <w:right w:val="single" w:sz="4" w:space="0" w:color="auto"/>
            </w:tcBorders>
            <w:shd w:val="clear" w:color="auto" w:fill="auto"/>
            <w:noWrap/>
            <w:vAlign w:val="bottom"/>
          </w:tcPr>
          <w:p w14:paraId="2FB3B4D8" w14:textId="6FD6D5F2" w:rsidR="009359DC" w:rsidRPr="00E263F4" w:rsidRDefault="009359DC" w:rsidP="00E263F4">
            <w:pPr>
              <w:spacing w:before="0" w:after="0" w:line="240" w:lineRule="auto"/>
              <w:jc w:val="center"/>
              <w:rPr>
                <w:color w:val="auto"/>
                <w:sz w:val="20"/>
                <w:szCs w:val="20"/>
              </w:rPr>
            </w:pPr>
            <w:r w:rsidRPr="00E263F4">
              <w:rPr>
                <w:color w:val="000000"/>
                <w:sz w:val="22"/>
                <w:szCs w:val="22"/>
              </w:rPr>
              <w:t>167</w:t>
            </w:r>
          </w:p>
        </w:tc>
        <w:tc>
          <w:tcPr>
            <w:tcW w:w="660" w:type="pct"/>
            <w:gridSpan w:val="2"/>
            <w:tcBorders>
              <w:top w:val="nil"/>
              <w:left w:val="nil"/>
              <w:bottom w:val="single" w:sz="4" w:space="0" w:color="auto"/>
              <w:right w:val="single" w:sz="4" w:space="0" w:color="auto"/>
            </w:tcBorders>
            <w:shd w:val="clear" w:color="auto" w:fill="auto"/>
            <w:noWrap/>
            <w:vAlign w:val="bottom"/>
          </w:tcPr>
          <w:p w14:paraId="1C2D9F15" w14:textId="1FDA8739"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c>
          <w:tcPr>
            <w:tcW w:w="545" w:type="pct"/>
            <w:gridSpan w:val="2"/>
            <w:tcBorders>
              <w:top w:val="nil"/>
              <w:left w:val="nil"/>
              <w:bottom w:val="single" w:sz="4" w:space="0" w:color="auto"/>
              <w:right w:val="single" w:sz="4" w:space="0" w:color="auto"/>
            </w:tcBorders>
            <w:shd w:val="clear" w:color="auto" w:fill="auto"/>
            <w:noWrap/>
            <w:vAlign w:val="bottom"/>
          </w:tcPr>
          <w:p w14:paraId="1D3CAF97" w14:textId="1D82552C" w:rsidR="009359DC" w:rsidRPr="00E263F4" w:rsidRDefault="009359DC" w:rsidP="00E263F4">
            <w:pPr>
              <w:spacing w:before="0" w:after="0" w:line="240" w:lineRule="auto"/>
              <w:jc w:val="center"/>
              <w:rPr>
                <w:color w:val="auto"/>
                <w:sz w:val="20"/>
                <w:szCs w:val="20"/>
              </w:rPr>
            </w:pPr>
            <w:r w:rsidRPr="00E263F4">
              <w:rPr>
                <w:color w:val="000000"/>
                <w:sz w:val="22"/>
                <w:szCs w:val="22"/>
              </w:rPr>
              <w:t>164</w:t>
            </w:r>
          </w:p>
        </w:tc>
        <w:tc>
          <w:tcPr>
            <w:tcW w:w="548" w:type="pct"/>
            <w:tcBorders>
              <w:top w:val="nil"/>
              <w:left w:val="nil"/>
              <w:bottom w:val="single" w:sz="4" w:space="0" w:color="auto"/>
              <w:right w:val="single" w:sz="4" w:space="0" w:color="auto"/>
            </w:tcBorders>
            <w:shd w:val="clear" w:color="auto" w:fill="auto"/>
            <w:noWrap/>
            <w:vAlign w:val="bottom"/>
          </w:tcPr>
          <w:p w14:paraId="3C28E7DB" w14:textId="2C0A4D0E" w:rsidR="009359DC" w:rsidRPr="00E263F4" w:rsidRDefault="009359DC" w:rsidP="00E263F4">
            <w:pPr>
              <w:spacing w:before="0" w:after="0" w:line="240" w:lineRule="auto"/>
              <w:jc w:val="center"/>
              <w:rPr>
                <w:color w:val="auto"/>
                <w:sz w:val="20"/>
                <w:szCs w:val="20"/>
              </w:rPr>
            </w:pPr>
            <w:r w:rsidRPr="00E263F4">
              <w:rPr>
                <w:color w:val="000000"/>
                <w:sz w:val="22"/>
                <w:szCs w:val="22"/>
              </w:rPr>
              <w:t>151</w:t>
            </w:r>
          </w:p>
        </w:tc>
        <w:tc>
          <w:tcPr>
            <w:tcW w:w="697" w:type="pct"/>
            <w:gridSpan w:val="2"/>
            <w:tcBorders>
              <w:top w:val="nil"/>
              <w:left w:val="nil"/>
              <w:bottom w:val="single" w:sz="4" w:space="0" w:color="auto"/>
              <w:right w:val="single" w:sz="4" w:space="0" w:color="auto"/>
            </w:tcBorders>
            <w:shd w:val="clear" w:color="auto" w:fill="auto"/>
            <w:noWrap/>
            <w:vAlign w:val="bottom"/>
          </w:tcPr>
          <w:p w14:paraId="085398A6" w14:textId="223AE449" w:rsidR="009359DC" w:rsidRPr="00E263F4" w:rsidRDefault="009359DC" w:rsidP="00E263F4">
            <w:pPr>
              <w:spacing w:before="0" w:after="0" w:line="240" w:lineRule="auto"/>
              <w:jc w:val="center"/>
              <w:rPr>
                <w:color w:val="auto"/>
                <w:sz w:val="20"/>
                <w:szCs w:val="20"/>
              </w:rPr>
            </w:pPr>
            <w:r w:rsidRPr="00E263F4">
              <w:rPr>
                <w:color w:val="000000"/>
                <w:sz w:val="22"/>
                <w:szCs w:val="22"/>
              </w:rPr>
              <w:t>141</w:t>
            </w:r>
          </w:p>
        </w:tc>
        <w:tc>
          <w:tcPr>
            <w:tcW w:w="690" w:type="pct"/>
            <w:gridSpan w:val="2"/>
            <w:tcBorders>
              <w:top w:val="nil"/>
              <w:left w:val="nil"/>
              <w:bottom w:val="single" w:sz="4" w:space="0" w:color="auto"/>
              <w:right w:val="single" w:sz="4" w:space="0" w:color="auto"/>
            </w:tcBorders>
            <w:shd w:val="clear" w:color="auto" w:fill="auto"/>
            <w:noWrap/>
            <w:vAlign w:val="bottom"/>
          </w:tcPr>
          <w:p w14:paraId="0A13D4DA" w14:textId="485481F6" w:rsidR="009359DC" w:rsidRPr="00E263F4" w:rsidRDefault="009359DC" w:rsidP="00E263F4">
            <w:pPr>
              <w:spacing w:before="0" w:after="0" w:line="240" w:lineRule="auto"/>
              <w:jc w:val="center"/>
              <w:rPr>
                <w:color w:val="auto"/>
                <w:sz w:val="20"/>
                <w:szCs w:val="20"/>
              </w:rPr>
            </w:pPr>
            <w:r w:rsidRPr="00E263F4">
              <w:rPr>
                <w:color w:val="000000"/>
                <w:sz w:val="22"/>
                <w:szCs w:val="22"/>
              </w:rPr>
              <w:t>149</w:t>
            </w:r>
          </w:p>
        </w:tc>
      </w:tr>
      <w:tr w:rsidR="009359DC" w:rsidRPr="00E263F4" w14:paraId="7D0733A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E5241AC" w14:textId="77777777" w:rsidR="009359DC" w:rsidRPr="00E263F4" w:rsidRDefault="009359DC" w:rsidP="009359DC">
            <w:pPr>
              <w:spacing w:before="0" w:after="0" w:line="240" w:lineRule="auto"/>
              <w:rPr>
                <w:color w:val="auto"/>
                <w:sz w:val="20"/>
                <w:szCs w:val="20"/>
              </w:rPr>
            </w:pPr>
            <w:r w:rsidRPr="00E263F4">
              <w:rPr>
                <w:color w:val="auto"/>
                <w:sz w:val="20"/>
                <w:szCs w:val="20"/>
              </w:rPr>
              <w:t>7</w:t>
            </w:r>
          </w:p>
        </w:tc>
        <w:tc>
          <w:tcPr>
            <w:tcW w:w="658" w:type="pct"/>
            <w:gridSpan w:val="2"/>
            <w:tcBorders>
              <w:top w:val="nil"/>
              <w:left w:val="nil"/>
              <w:bottom w:val="single" w:sz="4" w:space="0" w:color="auto"/>
              <w:right w:val="single" w:sz="4" w:space="0" w:color="auto"/>
            </w:tcBorders>
            <w:shd w:val="clear" w:color="auto" w:fill="auto"/>
            <w:noWrap/>
            <w:vAlign w:val="bottom"/>
          </w:tcPr>
          <w:p w14:paraId="64AE5F0A" w14:textId="6D0A921B" w:rsidR="009359DC" w:rsidRPr="00E263F4" w:rsidRDefault="009359DC" w:rsidP="00E263F4">
            <w:pPr>
              <w:spacing w:before="0" w:after="0" w:line="240" w:lineRule="auto"/>
              <w:jc w:val="center"/>
              <w:rPr>
                <w:color w:val="auto"/>
                <w:sz w:val="20"/>
                <w:szCs w:val="20"/>
              </w:rPr>
            </w:pPr>
            <w:r w:rsidRPr="00E263F4">
              <w:rPr>
                <w:color w:val="000000"/>
                <w:sz w:val="22"/>
                <w:szCs w:val="22"/>
              </w:rPr>
              <w:t>188</w:t>
            </w:r>
          </w:p>
        </w:tc>
        <w:tc>
          <w:tcPr>
            <w:tcW w:w="660" w:type="pct"/>
            <w:gridSpan w:val="2"/>
            <w:tcBorders>
              <w:top w:val="nil"/>
              <w:left w:val="nil"/>
              <w:bottom w:val="single" w:sz="4" w:space="0" w:color="auto"/>
              <w:right w:val="single" w:sz="4" w:space="0" w:color="auto"/>
            </w:tcBorders>
            <w:shd w:val="clear" w:color="auto" w:fill="auto"/>
            <w:noWrap/>
            <w:vAlign w:val="bottom"/>
          </w:tcPr>
          <w:p w14:paraId="1080F0B5" w14:textId="49940A8C" w:rsidR="009359DC" w:rsidRPr="00E263F4" w:rsidRDefault="009359DC" w:rsidP="00E263F4">
            <w:pPr>
              <w:spacing w:before="0" w:after="0" w:line="240" w:lineRule="auto"/>
              <w:jc w:val="center"/>
              <w:rPr>
                <w:color w:val="auto"/>
                <w:sz w:val="20"/>
                <w:szCs w:val="20"/>
              </w:rPr>
            </w:pPr>
            <w:r w:rsidRPr="00E263F4">
              <w:rPr>
                <w:color w:val="000000"/>
                <w:sz w:val="22"/>
                <w:szCs w:val="22"/>
              </w:rPr>
              <w:t>204</w:t>
            </w:r>
          </w:p>
        </w:tc>
        <w:tc>
          <w:tcPr>
            <w:tcW w:w="545" w:type="pct"/>
            <w:gridSpan w:val="2"/>
            <w:tcBorders>
              <w:top w:val="nil"/>
              <w:left w:val="nil"/>
              <w:bottom w:val="single" w:sz="4" w:space="0" w:color="auto"/>
              <w:right w:val="single" w:sz="4" w:space="0" w:color="auto"/>
            </w:tcBorders>
            <w:shd w:val="clear" w:color="auto" w:fill="auto"/>
            <w:noWrap/>
            <w:vAlign w:val="bottom"/>
          </w:tcPr>
          <w:p w14:paraId="3D9EFCB6" w14:textId="4F6576B3" w:rsidR="009359DC" w:rsidRPr="00E263F4" w:rsidRDefault="009359DC" w:rsidP="00E263F4">
            <w:pPr>
              <w:spacing w:before="0" w:after="0" w:line="240" w:lineRule="auto"/>
              <w:jc w:val="center"/>
              <w:rPr>
                <w:color w:val="auto"/>
                <w:sz w:val="20"/>
                <w:szCs w:val="20"/>
              </w:rPr>
            </w:pPr>
            <w:r w:rsidRPr="00E263F4">
              <w:rPr>
                <w:color w:val="000000"/>
                <w:sz w:val="22"/>
                <w:szCs w:val="22"/>
              </w:rPr>
              <w:t>182</w:t>
            </w:r>
          </w:p>
        </w:tc>
        <w:tc>
          <w:tcPr>
            <w:tcW w:w="548" w:type="pct"/>
            <w:tcBorders>
              <w:top w:val="nil"/>
              <w:left w:val="nil"/>
              <w:bottom w:val="single" w:sz="4" w:space="0" w:color="auto"/>
              <w:right w:val="single" w:sz="4" w:space="0" w:color="auto"/>
            </w:tcBorders>
            <w:shd w:val="clear" w:color="auto" w:fill="auto"/>
            <w:noWrap/>
            <w:vAlign w:val="bottom"/>
          </w:tcPr>
          <w:p w14:paraId="1751AB5C" w14:textId="028782B4" w:rsidR="009359DC" w:rsidRPr="00E263F4" w:rsidRDefault="009359DC" w:rsidP="00E263F4">
            <w:pPr>
              <w:spacing w:before="0" w:after="0" w:line="240" w:lineRule="auto"/>
              <w:jc w:val="center"/>
              <w:rPr>
                <w:color w:val="auto"/>
                <w:sz w:val="20"/>
                <w:szCs w:val="20"/>
              </w:rPr>
            </w:pPr>
            <w:r w:rsidRPr="00E263F4">
              <w:rPr>
                <w:color w:val="000000"/>
                <w:sz w:val="22"/>
                <w:szCs w:val="22"/>
              </w:rPr>
              <w:t>167</w:t>
            </w:r>
          </w:p>
        </w:tc>
        <w:tc>
          <w:tcPr>
            <w:tcW w:w="697" w:type="pct"/>
            <w:gridSpan w:val="2"/>
            <w:tcBorders>
              <w:top w:val="nil"/>
              <w:left w:val="nil"/>
              <w:bottom w:val="single" w:sz="4" w:space="0" w:color="auto"/>
              <w:right w:val="single" w:sz="4" w:space="0" w:color="auto"/>
            </w:tcBorders>
            <w:shd w:val="clear" w:color="auto" w:fill="auto"/>
            <w:noWrap/>
            <w:vAlign w:val="bottom"/>
          </w:tcPr>
          <w:p w14:paraId="3327A8B6" w14:textId="23ADE66B" w:rsidR="009359DC" w:rsidRPr="00E263F4" w:rsidRDefault="009359DC" w:rsidP="00E263F4">
            <w:pPr>
              <w:spacing w:before="0" w:after="0" w:line="240" w:lineRule="auto"/>
              <w:jc w:val="center"/>
              <w:rPr>
                <w:color w:val="auto"/>
                <w:sz w:val="20"/>
                <w:szCs w:val="20"/>
              </w:rPr>
            </w:pPr>
            <w:r w:rsidRPr="00E263F4">
              <w:rPr>
                <w:color w:val="000000"/>
                <w:sz w:val="22"/>
                <w:szCs w:val="22"/>
              </w:rPr>
              <w:t>167</w:t>
            </w:r>
          </w:p>
        </w:tc>
        <w:tc>
          <w:tcPr>
            <w:tcW w:w="690" w:type="pct"/>
            <w:gridSpan w:val="2"/>
            <w:tcBorders>
              <w:top w:val="nil"/>
              <w:left w:val="nil"/>
              <w:bottom w:val="single" w:sz="4" w:space="0" w:color="auto"/>
              <w:right w:val="single" w:sz="4" w:space="0" w:color="auto"/>
            </w:tcBorders>
            <w:shd w:val="clear" w:color="auto" w:fill="auto"/>
            <w:noWrap/>
            <w:vAlign w:val="bottom"/>
          </w:tcPr>
          <w:p w14:paraId="1380221D" w14:textId="616D6519" w:rsidR="009359DC" w:rsidRPr="00E263F4" w:rsidRDefault="009359DC" w:rsidP="00E263F4">
            <w:pPr>
              <w:spacing w:before="0" w:after="0" w:line="240" w:lineRule="auto"/>
              <w:jc w:val="center"/>
              <w:rPr>
                <w:color w:val="auto"/>
                <w:sz w:val="20"/>
                <w:szCs w:val="20"/>
              </w:rPr>
            </w:pPr>
            <w:r w:rsidRPr="00E263F4">
              <w:rPr>
                <w:color w:val="000000"/>
                <w:sz w:val="22"/>
                <w:szCs w:val="22"/>
              </w:rPr>
              <w:t>166</w:t>
            </w:r>
          </w:p>
        </w:tc>
      </w:tr>
      <w:tr w:rsidR="009359DC" w:rsidRPr="00E263F4" w14:paraId="71F409D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24A89C4" w14:textId="77777777" w:rsidR="009359DC" w:rsidRPr="00E263F4" w:rsidRDefault="009359DC" w:rsidP="009359DC">
            <w:pPr>
              <w:spacing w:before="0" w:after="0" w:line="240" w:lineRule="auto"/>
              <w:rPr>
                <w:color w:val="auto"/>
                <w:sz w:val="20"/>
                <w:szCs w:val="20"/>
              </w:rPr>
            </w:pPr>
            <w:r w:rsidRPr="00E263F4">
              <w:rPr>
                <w:color w:val="auto"/>
                <w:sz w:val="20"/>
                <w:szCs w:val="20"/>
              </w:rPr>
              <w:t>8</w:t>
            </w:r>
          </w:p>
        </w:tc>
        <w:tc>
          <w:tcPr>
            <w:tcW w:w="658" w:type="pct"/>
            <w:gridSpan w:val="2"/>
            <w:tcBorders>
              <w:top w:val="nil"/>
              <w:left w:val="nil"/>
              <w:bottom w:val="single" w:sz="4" w:space="0" w:color="auto"/>
              <w:right w:val="single" w:sz="4" w:space="0" w:color="auto"/>
            </w:tcBorders>
            <w:shd w:val="clear" w:color="auto" w:fill="auto"/>
            <w:noWrap/>
            <w:vAlign w:val="bottom"/>
          </w:tcPr>
          <w:p w14:paraId="4093FB92" w14:textId="3CCC52D7" w:rsidR="009359DC" w:rsidRPr="00E263F4" w:rsidRDefault="009359DC" w:rsidP="00E263F4">
            <w:pPr>
              <w:spacing w:before="0" w:after="0" w:line="240" w:lineRule="auto"/>
              <w:jc w:val="center"/>
              <w:rPr>
                <w:color w:val="auto"/>
                <w:sz w:val="20"/>
                <w:szCs w:val="20"/>
              </w:rPr>
            </w:pPr>
            <w:r w:rsidRPr="00E263F4">
              <w:rPr>
                <w:color w:val="000000"/>
                <w:sz w:val="22"/>
                <w:szCs w:val="22"/>
              </w:rPr>
              <w:t>200</w:t>
            </w:r>
          </w:p>
        </w:tc>
        <w:tc>
          <w:tcPr>
            <w:tcW w:w="660" w:type="pct"/>
            <w:gridSpan w:val="2"/>
            <w:tcBorders>
              <w:top w:val="nil"/>
              <w:left w:val="nil"/>
              <w:bottom w:val="single" w:sz="4" w:space="0" w:color="auto"/>
              <w:right w:val="single" w:sz="4" w:space="0" w:color="auto"/>
            </w:tcBorders>
            <w:shd w:val="clear" w:color="auto" w:fill="auto"/>
            <w:noWrap/>
            <w:vAlign w:val="bottom"/>
          </w:tcPr>
          <w:p w14:paraId="0826E1F0" w14:textId="0592C505" w:rsidR="009359DC" w:rsidRPr="00E263F4" w:rsidRDefault="009359DC" w:rsidP="00E263F4">
            <w:pPr>
              <w:spacing w:before="0" w:after="0" w:line="240" w:lineRule="auto"/>
              <w:jc w:val="center"/>
              <w:rPr>
                <w:color w:val="auto"/>
                <w:sz w:val="20"/>
                <w:szCs w:val="20"/>
              </w:rPr>
            </w:pPr>
            <w:r w:rsidRPr="00E263F4">
              <w:rPr>
                <w:color w:val="000000"/>
                <w:sz w:val="22"/>
                <w:szCs w:val="22"/>
              </w:rPr>
              <w:t>202</w:t>
            </w:r>
          </w:p>
        </w:tc>
        <w:tc>
          <w:tcPr>
            <w:tcW w:w="545" w:type="pct"/>
            <w:gridSpan w:val="2"/>
            <w:tcBorders>
              <w:top w:val="nil"/>
              <w:left w:val="nil"/>
              <w:bottom w:val="single" w:sz="4" w:space="0" w:color="auto"/>
              <w:right w:val="single" w:sz="4" w:space="0" w:color="auto"/>
            </w:tcBorders>
            <w:shd w:val="clear" w:color="auto" w:fill="auto"/>
            <w:noWrap/>
            <w:vAlign w:val="bottom"/>
          </w:tcPr>
          <w:p w14:paraId="56B67C1E" w14:textId="6A9D0C28" w:rsidR="009359DC" w:rsidRPr="00E263F4" w:rsidRDefault="009359DC" w:rsidP="00E263F4">
            <w:pPr>
              <w:spacing w:before="0" w:after="0" w:line="240" w:lineRule="auto"/>
              <w:jc w:val="center"/>
              <w:rPr>
                <w:color w:val="auto"/>
                <w:sz w:val="20"/>
                <w:szCs w:val="20"/>
              </w:rPr>
            </w:pPr>
            <w:r w:rsidRPr="00E263F4">
              <w:rPr>
                <w:color w:val="000000"/>
                <w:sz w:val="22"/>
                <w:szCs w:val="22"/>
              </w:rPr>
              <w:t>194</w:t>
            </w:r>
          </w:p>
        </w:tc>
        <w:tc>
          <w:tcPr>
            <w:tcW w:w="548" w:type="pct"/>
            <w:tcBorders>
              <w:top w:val="nil"/>
              <w:left w:val="nil"/>
              <w:bottom w:val="single" w:sz="4" w:space="0" w:color="auto"/>
              <w:right w:val="single" w:sz="4" w:space="0" w:color="auto"/>
            </w:tcBorders>
            <w:shd w:val="clear" w:color="auto" w:fill="auto"/>
            <w:noWrap/>
            <w:vAlign w:val="bottom"/>
          </w:tcPr>
          <w:p w14:paraId="31C47320" w14:textId="25E85557" w:rsidR="009359DC" w:rsidRPr="00E263F4" w:rsidRDefault="009359DC" w:rsidP="00E263F4">
            <w:pPr>
              <w:spacing w:before="0" w:after="0" w:line="240" w:lineRule="auto"/>
              <w:jc w:val="center"/>
              <w:rPr>
                <w:color w:val="auto"/>
                <w:sz w:val="20"/>
                <w:szCs w:val="20"/>
              </w:rPr>
            </w:pPr>
            <w:r w:rsidRPr="00E263F4">
              <w:rPr>
                <w:color w:val="000000"/>
                <w:sz w:val="22"/>
                <w:szCs w:val="22"/>
              </w:rPr>
              <w:t>166</w:t>
            </w:r>
          </w:p>
        </w:tc>
        <w:tc>
          <w:tcPr>
            <w:tcW w:w="697" w:type="pct"/>
            <w:gridSpan w:val="2"/>
            <w:tcBorders>
              <w:top w:val="nil"/>
              <w:left w:val="nil"/>
              <w:bottom w:val="single" w:sz="4" w:space="0" w:color="auto"/>
              <w:right w:val="single" w:sz="4" w:space="0" w:color="auto"/>
            </w:tcBorders>
            <w:shd w:val="clear" w:color="auto" w:fill="auto"/>
            <w:noWrap/>
            <w:vAlign w:val="bottom"/>
          </w:tcPr>
          <w:p w14:paraId="58815F80" w14:textId="5D1EB947"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c>
          <w:tcPr>
            <w:tcW w:w="690" w:type="pct"/>
            <w:gridSpan w:val="2"/>
            <w:tcBorders>
              <w:top w:val="nil"/>
              <w:left w:val="nil"/>
              <w:bottom w:val="single" w:sz="4" w:space="0" w:color="auto"/>
              <w:right w:val="single" w:sz="4" w:space="0" w:color="auto"/>
            </w:tcBorders>
            <w:shd w:val="clear" w:color="auto" w:fill="auto"/>
            <w:noWrap/>
            <w:vAlign w:val="bottom"/>
          </w:tcPr>
          <w:p w14:paraId="76399946" w14:textId="7EB6CE5A" w:rsidR="009359DC" w:rsidRPr="00E263F4" w:rsidRDefault="009359DC" w:rsidP="00E263F4">
            <w:pPr>
              <w:spacing w:before="0" w:after="0" w:line="240" w:lineRule="auto"/>
              <w:jc w:val="center"/>
              <w:rPr>
                <w:color w:val="auto"/>
                <w:sz w:val="20"/>
                <w:szCs w:val="20"/>
              </w:rPr>
            </w:pPr>
            <w:r w:rsidRPr="00E263F4">
              <w:rPr>
                <w:color w:val="000000"/>
                <w:sz w:val="22"/>
                <w:szCs w:val="22"/>
              </w:rPr>
              <w:t>175</w:t>
            </w:r>
          </w:p>
        </w:tc>
      </w:tr>
      <w:tr w:rsidR="009359DC" w:rsidRPr="00E263F4" w14:paraId="52EE532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CF41ED8" w14:textId="77777777" w:rsidR="009359DC" w:rsidRPr="00E263F4" w:rsidRDefault="009359DC" w:rsidP="009359DC">
            <w:pPr>
              <w:spacing w:before="0" w:after="0" w:line="240" w:lineRule="auto"/>
              <w:rPr>
                <w:color w:val="auto"/>
                <w:sz w:val="20"/>
                <w:szCs w:val="20"/>
              </w:rPr>
            </w:pPr>
            <w:r w:rsidRPr="00E263F4">
              <w:rPr>
                <w:color w:val="auto"/>
                <w:sz w:val="20"/>
                <w:szCs w:val="20"/>
              </w:rPr>
              <w:t>9</w:t>
            </w:r>
          </w:p>
        </w:tc>
        <w:tc>
          <w:tcPr>
            <w:tcW w:w="658" w:type="pct"/>
            <w:gridSpan w:val="2"/>
            <w:tcBorders>
              <w:top w:val="nil"/>
              <w:left w:val="nil"/>
              <w:bottom w:val="single" w:sz="4" w:space="0" w:color="auto"/>
              <w:right w:val="single" w:sz="4" w:space="0" w:color="auto"/>
            </w:tcBorders>
            <w:shd w:val="clear" w:color="auto" w:fill="auto"/>
            <w:noWrap/>
            <w:vAlign w:val="bottom"/>
          </w:tcPr>
          <w:p w14:paraId="6C503203" w14:textId="461752AC" w:rsidR="009359DC" w:rsidRPr="00E263F4" w:rsidRDefault="009359DC" w:rsidP="00E263F4">
            <w:pPr>
              <w:spacing w:before="0" w:after="0" w:line="240" w:lineRule="auto"/>
              <w:jc w:val="center"/>
              <w:rPr>
                <w:color w:val="auto"/>
                <w:sz w:val="20"/>
                <w:szCs w:val="20"/>
              </w:rPr>
            </w:pPr>
            <w:r w:rsidRPr="00E263F4">
              <w:rPr>
                <w:color w:val="000000"/>
                <w:sz w:val="22"/>
                <w:szCs w:val="22"/>
              </w:rPr>
              <w:t>232</w:t>
            </w:r>
          </w:p>
        </w:tc>
        <w:tc>
          <w:tcPr>
            <w:tcW w:w="660" w:type="pct"/>
            <w:gridSpan w:val="2"/>
            <w:tcBorders>
              <w:top w:val="nil"/>
              <w:left w:val="nil"/>
              <w:bottom w:val="single" w:sz="4" w:space="0" w:color="auto"/>
              <w:right w:val="single" w:sz="4" w:space="0" w:color="auto"/>
            </w:tcBorders>
            <w:shd w:val="clear" w:color="auto" w:fill="auto"/>
            <w:noWrap/>
            <w:vAlign w:val="bottom"/>
          </w:tcPr>
          <w:p w14:paraId="5B9B8C82" w14:textId="07CB739E" w:rsidR="009359DC" w:rsidRPr="00E263F4" w:rsidRDefault="009359DC" w:rsidP="00E263F4">
            <w:pPr>
              <w:spacing w:before="0" w:after="0" w:line="240" w:lineRule="auto"/>
              <w:jc w:val="center"/>
              <w:rPr>
                <w:color w:val="auto"/>
                <w:sz w:val="20"/>
                <w:szCs w:val="20"/>
              </w:rPr>
            </w:pPr>
            <w:r w:rsidRPr="00E263F4">
              <w:rPr>
                <w:color w:val="000000"/>
                <w:sz w:val="22"/>
                <w:szCs w:val="22"/>
              </w:rPr>
              <w:t>205</w:t>
            </w:r>
          </w:p>
        </w:tc>
        <w:tc>
          <w:tcPr>
            <w:tcW w:w="545" w:type="pct"/>
            <w:gridSpan w:val="2"/>
            <w:tcBorders>
              <w:top w:val="nil"/>
              <w:left w:val="nil"/>
              <w:bottom w:val="single" w:sz="4" w:space="0" w:color="auto"/>
              <w:right w:val="single" w:sz="4" w:space="0" w:color="auto"/>
            </w:tcBorders>
            <w:shd w:val="clear" w:color="auto" w:fill="auto"/>
            <w:noWrap/>
            <w:vAlign w:val="bottom"/>
          </w:tcPr>
          <w:p w14:paraId="796A34F5" w14:textId="231F33CA" w:rsidR="009359DC" w:rsidRPr="00E263F4" w:rsidRDefault="009359DC" w:rsidP="00E263F4">
            <w:pPr>
              <w:spacing w:before="0" w:after="0" w:line="240" w:lineRule="auto"/>
              <w:jc w:val="center"/>
              <w:rPr>
                <w:color w:val="auto"/>
                <w:sz w:val="20"/>
                <w:szCs w:val="20"/>
              </w:rPr>
            </w:pPr>
            <w:r w:rsidRPr="00E263F4">
              <w:rPr>
                <w:color w:val="000000"/>
                <w:sz w:val="22"/>
                <w:szCs w:val="22"/>
              </w:rPr>
              <w:t>229</w:t>
            </w:r>
          </w:p>
        </w:tc>
        <w:tc>
          <w:tcPr>
            <w:tcW w:w="548" w:type="pct"/>
            <w:tcBorders>
              <w:top w:val="nil"/>
              <w:left w:val="nil"/>
              <w:bottom w:val="single" w:sz="4" w:space="0" w:color="auto"/>
              <w:right w:val="single" w:sz="4" w:space="0" w:color="auto"/>
            </w:tcBorders>
            <w:shd w:val="clear" w:color="auto" w:fill="auto"/>
            <w:noWrap/>
            <w:vAlign w:val="bottom"/>
          </w:tcPr>
          <w:p w14:paraId="7A7EA41F" w14:textId="7F12997B" w:rsidR="009359DC" w:rsidRPr="00E263F4" w:rsidRDefault="009359DC" w:rsidP="00E263F4">
            <w:pPr>
              <w:spacing w:before="0" w:after="0" w:line="240" w:lineRule="auto"/>
              <w:jc w:val="center"/>
              <w:rPr>
                <w:color w:val="auto"/>
                <w:sz w:val="20"/>
                <w:szCs w:val="20"/>
              </w:rPr>
            </w:pPr>
            <w:r w:rsidRPr="00E263F4">
              <w:rPr>
                <w:color w:val="000000"/>
                <w:sz w:val="22"/>
                <w:szCs w:val="22"/>
              </w:rPr>
              <w:t>192</w:t>
            </w:r>
          </w:p>
        </w:tc>
        <w:tc>
          <w:tcPr>
            <w:tcW w:w="697" w:type="pct"/>
            <w:gridSpan w:val="2"/>
            <w:tcBorders>
              <w:top w:val="nil"/>
              <w:left w:val="nil"/>
              <w:bottom w:val="single" w:sz="4" w:space="0" w:color="auto"/>
              <w:right w:val="single" w:sz="4" w:space="0" w:color="auto"/>
            </w:tcBorders>
            <w:shd w:val="clear" w:color="auto" w:fill="auto"/>
            <w:noWrap/>
            <w:vAlign w:val="bottom"/>
          </w:tcPr>
          <w:p w14:paraId="676B22AF" w14:textId="0797005E" w:rsidR="009359DC" w:rsidRPr="00E263F4" w:rsidRDefault="009359DC" w:rsidP="00E263F4">
            <w:pPr>
              <w:spacing w:before="0" w:after="0" w:line="240" w:lineRule="auto"/>
              <w:jc w:val="center"/>
              <w:rPr>
                <w:color w:val="auto"/>
                <w:sz w:val="20"/>
                <w:szCs w:val="20"/>
              </w:rPr>
            </w:pPr>
            <w:r w:rsidRPr="00E263F4">
              <w:rPr>
                <w:color w:val="000000"/>
                <w:sz w:val="22"/>
                <w:szCs w:val="22"/>
              </w:rPr>
              <w:t>182</w:t>
            </w:r>
          </w:p>
        </w:tc>
        <w:tc>
          <w:tcPr>
            <w:tcW w:w="690" w:type="pct"/>
            <w:gridSpan w:val="2"/>
            <w:tcBorders>
              <w:top w:val="nil"/>
              <w:left w:val="nil"/>
              <w:bottom w:val="single" w:sz="4" w:space="0" w:color="auto"/>
              <w:right w:val="single" w:sz="4" w:space="0" w:color="auto"/>
            </w:tcBorders>
            <w:shd w:val="clear" w:color="auto" w:fill="auto"/>
            <w:noWrap/>
            <w:vAlign w:val="bottom"/>
          </w:tcPr>
          <w:p w14:paraId="141E834C" w14:textId="46F5D337" w:rsidR="009359DC" w:rsidRPr="00E263F4" w:rsidRDefault="009359DC" w:rsidP="00E263F4">
            <w:pPr>
              <w:spacing w:before="0" w:after="0" w:line="240" w:lineRule="auto"/>
              <w:jc w:val="center"/>
              <w:rPr>
                <w:color w:val="auto"/>
                <w:sz w:val="20"/>
                <w:szCs w:val="20"/>
              </w:rPr>
            </w:pPr>
            <w:r w:rsidRPr="00E263F4">
              <w:rPr>
                <w:color w:val="000000"/>
                <w:sz w:val="22"/>
                <w:szCs w:val="22"/>
              </w:rPr>
              <w:t>180</w:t>
            </w:r>
          </w:p>
        </w:tc>
      </w:tr>
      <w:tr w:rsidR="009359DC" w:rsidRPr="00E263F4" w14:paraId="48E3C84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4E67F2D" w14:textId="77777777" w:rsidR="009359DC" w:rsidRPr="00E263F4" w:rsidRDefault="009359DC" w:rsidP="009359DC">
            <w:pPr>
              <w:spacing w:before="0" w:after="0" w:line="240" w:lineRule="auto"/>
              <w:rPr>
                <w:color w:val="auto"/>
                <w:sz w:val="20"/>
                <w:szCs w:val="20"/>
              </w:rPr>
            </w:pPr>
            <w:r w:rsidRPr="00E263F4">
              <w:rPr>
                <w:color w:val="auto"/>
                <w:sz w:val="20"/>
                <w:szCs w:val="20"/>
              </w:rPr>
              <w:t>10</w:t>
            </w:r>
          </w:p>
        </w:tc>
        <w:tc>
          <w:tcPr>
            <w:tcW w:w="658" w:type="pct"/>
            <w:gridSpan w:val="2"/>
            <w:tcBorders>
              <w:top w:val="nil"/>
              <w:left w:val="nil"/>
              <w:bottom w:val="single" w:sz="4" w:space="0" w:color="auto"/>
              <w:right w:val="single" w:sz="4" w:space="0" w:color="auto"/>
            </w:tcBorders>
            <w:shd w:val="clear" w:color="auto" w:fill="auto"/>
            <w:noWrap/>
            <w:vAlign w:val="bottom"/>
          </w:tcPr>
          <w:p w14:paraId="69A9A9F3" w14:textId="5FB4C03E" w:rsidR="009359DC" w:rsidRPr="00E263F4" w:rsidRDefault="009359DC" w:rsidP="00E263F4">
            <w:pPr>
              <w:spacing w:before="0" w:after="0" w:line="240" w:lineRule="auto"/>
              <w:jc w:val="center"/>
              <w:rPr>
                <w:color w:val="auto"/>
                <w:sz w:val="20"/>
                <w:szCs w:val="20"/>
              </w:rPr>
            </w:pPr>
            <w:r w:rsidRPr="00E263F4">
              <w:rPr>
                <w:color w:val="000000"/>
                <w:sz w:val="22"/>
                <w:szCs w:val="22"/>
              </w:rPr>
              <w:t>187</w:t>
            </w:r>
          </w:p>
        </w:tc>
        <w:tc>
          <w:tcPr>
            <w:tcW w:w="660" w:type="pct"/>
            <w:gridSpan w:val="2"/>
            <w:tcBorders>
              <w:top w:val="nil"/>
              <w:left w:val="nil"/>
              <w:bottom w:val="single" w:sz="4" w:space="0" w:color="auto"/>
              <w:right w:val="single" w:sz="4" w:space="0" w:color="auto"/>
            </w:tcBorders>
            <w:shd w:val="clear" w:color="auto" w:fill="auto"/>
            <w:noWrap/>
            <w:vAlign w:val="bottom"/>
          </w:tcPr>
          <w:p w14:paraId="2CE9CFDB" w14:textId="343FED81" w:rsidR="009359DC" w:rsidRPr="00E263F4" w:rsidRDefault="009359DC" w:rsidP="00E263F4">
            <w:pPr>
              <w:spacing w:before="0" w:after="0" w:line="240" w:lineRule="auto"/>
              <w:jc w:val="center"/>
              <w:rPr>
                <w:color w:val="auto"/>
                <w:sz w:val="20"/>
                <w:szCs w:val="20"/>
              </w:rPr>
            </w:pPr>
            <w:r w:rsidRPr="00E263F4">
              <w:rPr>
                <w:color w:val="000000"/>
                <w:sz w:val="22"/>
                <w:szCs w:val="22"/>
              </w:rPr>
              <w:t>174</w:t>
            </w:r>
          </w:p>
        </w:tc>
        <w:tc>
          <w:tcPr>
            <w:tcW w:w="545" w:type="pct"/>
            <w:gridSpan w:val="2"/>
            <w:tcBorders>
              <w:top w:val="nil"/>
              <w:left w:val="nil"/>
              <w:bottom w:val="single" w:sz="4" w:space="0" w:color="auto"/>
              <w:right w:val="single" w:sz="4" w:space="0" w:color="auto"/>
            </w:tcBorders>
            <w:shd w:val="clear" w:color="auto" w:fill="auto"/>
            <w:noWrap/>
            <w:vAlign w:val="bottom"/>
          </w:tcPr>
          <w:p w14:paraId="20D7D2B6" w14:textId="138745AF" w:rsidR="009359DC" w:rsidRPr="00E263F4" w:rsidRDefault="009359DC" w:rsidP="00E263F4">
            <w:pPr>
              <w:spacing w:before="0" w:after="0" w:line="240" w:lineRule="auto"/>
              <w:jc w:val="center"/>
              <w:rPr>
                <w:color w:val="auto"/>
                <w:sz w:val="20"/>
                <w:szCs w:val="20"/>
              </w:rPr>
            </w:pPr>
            <w:r w:rsidRPr="00E263F4">
              <w:rPr>
                <w:color w:val="000000"/>
                <w:sz w:val="22"/>
                <w:szCs w:val="22"/>
              </w:rPr>
              <w:t>184</w:t>
            </w:r>
          </w:p>
        </w:tc>
        <w:tc>
          <w:tcPr>
            <w:tcW w:w="548" w:type="pct"/>
            <w:tcBorders>
              <w:top w:val="nil"/>
              <w:left w:val="nil"/>
              <w:bottom w:val="single" w:sz="4" w:space="0" w:color="auto"/>
              <w:right w:val="single" w:sz="4" w:space="0" w:color="auto"/>
            </w:tcBorders>
            <w:shd w:val="clear" w:color="auto" w:fill="auto"/>
            <w:noWrap/>
            <w:vAlign w:val="bottom"/>
          </w:tcPr>
          <w:p w14:paraId="12BB54E8" w14:textId="4788F98E" w:rsidR="009359DC" w:rsidRPr="00E263F4" w:rsidRDefault="009359DC" w:rsidP="00E263F4">
            <w:pPr>
              <w:spacing w:before="0" w:after="0" w:line="240" w:lineRule="auto"/>
              <w:jc w:val="center"/>
              <w:rPr>
                <w:color w:val="auto"/>
                <w:sz w:val="20"/>
                <w:szCs w:val="20"/>
              </w:rPr>
            </w:pPr>
            <w:r w:rsidRPr="00E263F4">
              <w:rPr>
                <w:color w:val="000000"/>
                <w:sz w:val="22"/>
                <w:szCs w:val="22"/>
              </w:rPr>
              <w:t>164</w:t>
            </w:r>
          </w:p>
        </w:tc>
        <w:tc>
          <w:tcPr>
            <w:tcW w:w="697" w:type="pct"/>
            <w:gridSpan w:val="2"/>
            <w:tcBorders>
              <w:top w:val="nil"/>
              <w:left w:val="nil"/>
              <w:bottom w:val="single" w:sz="4" w:space="0" w:color="auto"/>
              <w:right w:val="single" w:sz="4" w:space="0" w:color="auto"/>
            </w:tcBorders>
            <w:shd w:val="clear" w:color="auto" w:fill="auto"/>
            <w:noWrap/>
            <w:vAlign w:val="bottom"/>
          </w:tcPr>
          <w:p w14:paraId="37B4F204" w14:textId="6CDA9227" w:rsidR="009359DC" w:rsidRPr="00E263F4" w:rsidRDefault="009359DC" w:rsidP="00E263F4">
            <w:pPr>
              <w:spacing w:before="0" w:after="0" w:line="240" w:lineRule="auto"/>
              <w:jc w:val="center"/>
              <w:rPr>
                <w:color w:val="auto"/>
                <w:sz w:val="20"/>
                <w:szCs w:val="20"/>
              </w:rPr>
            </w:pPr>
            <w:r w:rsidRPr="00E263F4">
              <w:rPr>
                <w:color w:val="000000"/>
                <w:sz w:val="22"/>
                <w:szCs w:val="22"/>
              </w:rPr>
              <w:t>181</w:t>
            </w:r>
          </w:p>
        </w:tc>
        <w:tc>
          <w:tcPr>
            <w:tcW w:w="690" w:type="pct"/>
            <w:gridSpan w:val="2"/>
            <w:tcBorders>
              <w:top w:val="nil"/>
              <w:left w:val="nil"/>
              <w:bottom w:val="single" w:sz="4" w:space="0" w:color="auto"/>
              <w:right w:val="single" w:sz="4" w:space="0" w:color="auto"/>
            </w:tcBorders>
            <w:shd w:val="clear" w:color="auto" w:fill="auto"/>
            <w:noWrap/>
            <w:vAlign w:val="bottom"/>
          </w:tcPr>
          <w:p w14:paraId="33B563F6" w14:textId="1825CCA5" w:rsidR="009359DC" w:rsidRPr="00E263F4" w:rsidRDefault="009359DC" w:rsidP="00E263F4">
            <w:pPr>
              <w:spacing w:before="0" w:after="0" w:line="240" w:lineRule="auto"/>
              <w:jc w:val="center"/>
              <w:rPr>
                <w:color w:val="auto"/>
                <w:sz w:val="20"/>
                <w:szCs w:val="20"/>
              </w:rPr>
            </w:pPr>
            <w:r w:rsidRPr="00E263F4">
              <w:rPr>
                <w:color w:val="000000"/>
                <w:sz w:val="22"/>
                <w:szCs w:val="22"/>
              </w:rPr>
              <w:t>187</w:t>
            </w:r>
          </w:p>
        </w:tc>
      </w:tr>
      <w:tr w:rsidR="009359DC" w:rsidRPr="00E263F4" w14:paraId="38DFA8F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D8AFC08" w14:textId="77777777" w:rsidR="009359DC" w:rsidRPr="00E263F4" w:rsidRDefault="009359DC" w:rsidP="009359DC">
            <w:pPr>
              <w:spacing w:before="0" w:after="0" w:line="240" w:lineRule="auto"/>
              <w:rPr>
                <w:color w:val="auto"/>
                <w:sz w:val="20"/>
                <w:szCs w:val="20"/>
              </w:rPr>
            </w:pPr>
            <w:r w:rsidRPr="00E263F4">
              <w:rPr>
                <w:color w:val="auto"/>
                <w:sz w:val="20"/>
                <w:szCs w:val="20"/>
              </w:rPr>
              <w:t>11</w:t>
            </w:r>
          </w:p>
        </w:tc>
        <w:tc>
          <w:tcPr>
            <w:tcW w:w="658" w:type="pct"/>
            <w:gridSpan w:val="2"/>
            <w:tcBorders>
              <w:top w:val="nil"/>
              <w:left w:val="nil"/>
              <w:bottom w:val="single" w:sz="4" w:space="0" w:color="auto"/>
              <w:right w:val="single" w:sz="4" w:space="0" w:color="auto"/>
            </w:tcBorders>
            <w:shd w:val="clear" w:color="auto" w:fill="auto"/>
            <w:noWrap/>
            <w:vAlign w:val="bottom"/>
          </w:tcPr>
          <w:p w14:paraId="17F3881D" w14:textId="7D288DC2" w:rsidR="009359DC" w:rsidRPr="00E263F4" w:rsidRDefault="009359DC" w:rsidP="00E263F4">
            <w:pPr>
              <w:spacing w:before="0" w:after="0" w:line="240" w:lineRule="auto"/>
              <w:jc w:val="center"/>
              <w:rPr>
                <w:color w:val="auto"/>
                <w:sz w:val="20"/>
                <w:szCs w:val="20"/>
              </w:rPr>
            </w:pPr>
            <w:r w:rsidRPr="00E263F4">
              <w:rPr>
                <w:color w:val="000000"/>
                <w:sz w:val="22"/>
                <w:szCs w:val="22"/>
              </w:rPr>
              <w:t>147</w:t>
            </w:r>
          </w:p>
        </w:tc>
        <w:tc>
          <w:tcPr>
            <w:tcW w:w="660" w:type="pct"/>
            <w:gridSpan w:val="2"/>
            <w:tcBorders>
              <w:top w:val="nil"/>
              <w:left w:val="nil"/>
              <w:bottom w:val="single" w:sz="4" w:space="0" w:color="auto"/>
              <w:right w:val="single" w:sz="4" w:space="0" w:color="auto"/>
            </w:tcBorders>
            <w:shd w:val="clear" w:color="auto" w:fill="auto"/>
            <w:noWrap/>
            <w:vAlign w:val="bottom"/>
          </w:tcPr>
          <w:p w14:paraId="74B985C4" w14:textId="17D3580B" w:rsidR="009359DC" w:rsidRPr="00E263F4" w:rsidRDefault="009359DC" w:rsidP="00E263F4">
            <w:pPr>
              <w:spacing w:before="0" w:after="0" w:line="240" w:lineRule="auto"/>
              <w:jc w:val="center"/>
              <w:rPr>
                <w:color w:val="auto"/>
                <w:sz w:val="20"/>
                <w:szCs w:val="20"/>
              </w:rPr>
            </w:pPr>
            <w:r w:rsidRPr="00E263F4">
              <w:rPr>
                <w:color w:val="000000"/>
                <w:sz w:val="22"/>
                <w:szCs w:val="22"/>
              </w:rPr>
              <w:t>132</w:t>
            </w:r>
          </w:p>
        </w:tc>
        <w:tc>
          <w:tcPr>
            <w:tcW w:w="545" w:type="pct"/>
            <w:gridSpan w:val="2"/>
            <w:tcBorders>
              <w:top w:val="nil"/>
              <w:left w:val="nil"/>
              <w:bottom w:val="single" w:sz="4" w:space="0" w:color="auto"/>
              <w:right w:val="single" w:sz="4" w:space="0" w:color="auto"/>
            </w:tcBorders>
            <w:shd w:val="clear" w:color="auto" w:fill="auto"/>
            <w:noWrap/>
            <w:vAlign w:val="bottom"/>
          </w:tcPr>
          <w:p w14:paraId="0C4DAA1D" w14:textId="21E56E8C" w:rsidR="009359DC" w:rsidRPr="00E263F4" w:rsidRDefault="009359DC" w:rsidP="00E263F4">
            <w:pPr>
              <w:spacing w:before="0" w:after="0" w:line="240" w:lineRule="auto"/>
              <w:jc w:val="center"/>
              <w:rPr>
                <w:color w:val="auto"/>
                <w:sz w:val="20"/>
                <w:szCs w:val="20"/>
              </w:rPr>
            </w:pPr>
            <w:r w:rsidRPr="00E263F4">
              <w:rPr>
                <w:color w:val="000000"/>
                <w:sz w:val="22"/>
                <w:szCs w:val="22"/>
              </w:rPr>
              <w:t>133</w:t>
            </w:r>
          </w:p>
        </w:tc>
        <w:tc>
          <w:tcPr>
            <w:tcW w:w="548" w:type="pct"/>
            <w:tcBorders>
              <w:top w:val="nil"/>
              <w:left w:val="nil"/>
              <w:bottom w:val="single" w:sz="4" w:space="0" w:color="auto"/>
              <w:right w:val="single" w:sz="4" w:space="0" w:color="auto"/>
            </w:tcBorders>
            <w:shd w:val="clear" w:color="auto" w:fill="auto"/>
            <w:noWrap/>
            <w:vAlign w:val="bottom"/>
          </w:tcPr>
          <w:p w14:paraId="1A83E265" w14:textId="79CEAE72" w:rsidR="009359DC" w:rsidRPr="00E263F4" w:rsidRDefault="009359DC" w:rsidP="00E263F4">
            <w:pPr>
              <w:spacing w:before="0" w:after="0" w:line="240" w:lineRule="auto"/>
              <w:jc w:val="center"/>
              <w:rPr>
                <w:color w:val="auto"/>
                <w:sz w:val="20"/>
                <w:szCs w:val="20"/>
              </w:rPr>
            </w:pPr>
            <w:r w:rsidRPr="00E263F4">
              <w:rPr>
                <w:color w:val="000000"/>
                <w:sz w:val="22"/>
                <w:szCs w:val="22"/>
              </w:rPr>
              <w:t>114</w:t>
            </w:r>
          </w:p>
        </w:tc>
        <w:tc>
          <w:tcPr>
            <w:tcW w:w="697" w:type="pct"/>
            <w:gridSpan w:val="2"/>
            <w:tcBorders>
              <w:top w:val="nil"/>
              <w:left w:val="nil"/>
              <w:bottom w:val="single" w:sz="4" w:space="0" w:color="auto"/>
              <w:right w:val="single" w:sz="4" w:space="0" w:color="auto"/>
            </w:tcBorders>
            <w:shd w:val="clear" w:color="auto" w:fill="auto"/>
            <w:noWrap/>
            <w:vAlign w:val="bottom"/>
          </w:tcPr>
          <w:p w14:paraId="5090F796" w14:textId="09075775" w:rsidR="009359DC" w:rsidRPr="00E263F4" w:rsidRDefault="009359DC" w:rsidP="00E263F4">
            <w:pPr>
              <w:spacing w:before="0" w:after="0" w:line="240" w:lineRule="auto"/>
              <w:jc w:val="center"/>
              <w:rPr>
                <w:color w:val="auto"/>
                <w:sz w:val="20"/>
                <w:szCs w:val="20"/>
              </w:rPr>
            </w:pPr>
            <w:r w:rsidRPr="00E263F4">
              <w:rPr>
                <w:color w:val="000000"/>
                <w:sz w:val="22"/>
                <w:szCs w:val="22"/>
              </w:rPr>
              <w:t>117</w:t>
            </w:r>
          </w:p>
        </w:tc>
        <w:tc>
          <w:tcPr>
            <w:tcW w:w="690" w:type="pct"/>
            <w:gridSpan w:val="2"/>
            <w:tcBorders>
              <w:top w:val="nil"/>
              <w:left w:val="nil"/>
              <w:bottom w:val="single" w:sz="4" w:space="0" w:color="auto"/>
              <w:right w:val="single" w:sz="4" w:space="0" w:color="auto"/>
            </w:tcBorders>
            <w:shd w:val="clear" w:color="auto" w:fill="auto"/>
            <w:noWrap/>
            <w:vAlign w:val="bottom"/>
          </w:tcPr>
          <w:p w14:paraId="6477067D" w14:textId="79B2E9B5" w:rsidR="009359DC" w:rsidRPr="00E263F4" w:rsidRDefault="009359DC" w:rsidP="00E263F4">
            <w:pPr>
              <w:spacing w:before="0" w:after="0" w:line="240" w:lineRule="auto"/>
              <w:jc w:val="center"/>
              <w:rPr>
                <w:color w:val="auto"/>
                <w:sz w:val="20"/>
                <w:szCs w:val="20"/>
              </w:rPr>
            </w:pPr>
            <w:r w:rsidRPr="00E263F4">
              <w:rPr>
                <w:color w:val="000000"/>
                <w:sz w:val="22"/>
                <w:szCs w:val="22"/>
              </w:rPr>
              <w:t>128</w:t>
            </w:r>
          </w:p>
        </w:tc>
      </w:tr>
      <w:tr w:rsidR="009359DC" w:rsidRPr="00E263F4" w14:paraId="26F4650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2978883" w14:textId="77777777" w:rsidR="009359DC" w:rsidRPr="00E263F4" w:rsidRDefault="009359DC" w:rsidP="009359DC">
            <w:pPr>
              <w:spacing w:before="0" w:after="0" w:line="240" w:lineRule="auto"/>
              <w:rPr>
                <w:color w:val="auto"/>
                <w:sz w:val="20"/>
                <w:szCs w:val="20"/>
              </w:rPr>
            </w:pPr>
            <w:r w:rsidRPr="00E263F4">
              <w:rPr>
                <w:color w:val="auto"/>
                <w:sz w:val="20"/>
                <w:szCs w:val="20"/>
              </w:rPr>
              <w:t>12</w:t>
            </w:r>
          </w:p>
        </w:tc>
        <w:tc>
          <w:tcPr>
            <w:tcW w:w="658" w:type="pct"/>
            <w:gridSpan w:val="2"/>
            <w:tcBorders>
              <w:top w:val="nil"/>
              <w:left w:val="nil"/>
              <w:bottom w:val="single" w:sz="4" w:space="0" w:color="auto"/>
              <w:right w:val="single" w:sz="4" w:space="0" w:color="auto"/>
            </w:tcBorders>
            <w:shd w:val="clear" w:color="auto" w:fill="auto"/>
            <w:noWrap/>
            <w:vAlign w:val="bottom"/>
          </w:tcPr>
          <w:p w14:paraId="6A5CF855" w14:textId="5FBCCC86" w:rsidR="009359DC" w:rsidRPr="00E263F4" w:rsidRDefault="009359DC" w:rsidP="00E263F4">
            <w:pPr>
              <w:spacing w:before="0" w:after="0" w:line="240" w:lineRule="auto"/>
              <w:jc w:val="center"/>
              <w:rPr>
                <w:color w:val="auto"/>
                <w:sz w:val="20"/>
                <w:szCs w:val="20"/>
              </w:rPr>
            </w:pPr>
            <w:r w:rsidRPr="00E263F4">
              <w:rPr>
                <w:color w:val="000000"/>
                <w:sz w:val="22"/>
                <w:szCs w:val="22"/>
              </w:rPr>
              <w:t>167</w:t>
            </w:r>
          </w:p>
        </w:tc>
        <w:tc>
          <w:tcPr>
            <w:tcW w:w="660" w:type="pct"/>
            <w:gridSpan w:val="2"/>
            <w:tcBorders>
              <w:top w:val="nil"/>
              <w:left w:val="nil"/>
              <w:bottom w:val="single" w:sz="4" w:space="0" w:color="auto"/>
              <w:right w:val="single" w:sz="4" w:space="0" w:color="auto"/>
            </w:tcBorders>
            <w:shd w:val="clear" w:color="auto" w:fill="auto"/>
            <w:noWrap/>
            <w:vAlign w:val="bottom"/>
          </w:tcPr>
          <w:p w14:paraId="0BAFC08E" w14:textId="68FF0F9D" w:rsidR="009359DC" w:rsidRPr="00E263F4" w:rsidRDefault="009359DC" w:rsidP="00E263F4">
            <w:pPr>
              <w:spacing w:before="0" w:after="0" w:line="240" w:lineRule="auto"/>
              <w:jc w:val="center"/>
              <w:rPr>
                <w:color w:val="auto"/>
                <w:sz w:val="20"/>
                <w:szCs w:val="20"/>
              </w:rPr>
            </w:pPr>
            <w:r w:rsidRPr="00E263F4">
              <w:rPr>
                <w:color w:val="000000"/>
                <w:sz w:val="22"/>
                <w:szCs w:val="22"/>
              </w:rPr>
              <w:t>158</w:t>
            </w:r>
          </w:p>
        </w:tc>
        <w:tc>
          <w:tcPr>
            <w:tcW w:w="545" w:type="pct"/>
            <w:gridSpan w:val="2"/>
            <w:tcBorders>
              <w:top w:val="nil"/>
              <w:left w:val="nil"/>
              <w:bottom w:val="single" w:sz="4" w:space="0" w:color="auto"/>
              <w:right w:val="single" w:sz="4" w:space="0" w:color="auto"/>
            </w:tcBorders>
            <w:shd w:val="clear" w:color="auto" w:fill="auto"/>
            <w:noWrap/>
            <w:vAlign w:val="bottom"/>
          </w:tcPr>
          <w:p w14:paraId="707ABBBC" w14:textId="1C06D932" w:rsidR="009359DC" w:rsidRPr="00E263F4" w:rsidRDefault="009359DC" w:rsidP="00E263F4">
            <w:pPr>
              <w:spacing w:before="0" w:after="0" w:line="240" w:lineRule="auto"/>
              <w:jc w:val="center"/>
              <w:rPr>
                <w:color w:val="auto"/>
                <w:sz w:val="20"/>
                <w:szCs w:val="20"/>
              </w:rPr>
            </w:pPr>
            <w:r w:rsidRPr="00E263F4">
              <w:rPr>
                <w:color w:val="000000"/>
                <w:sz w:val="22"/>
                <w:szCs w:val="22"/>
              </w:rPr>
              <w:t>152</w:t>
            </w:r>
          </w:p>
        </w:tc>
        <w:tc>
          <w:tcPr>
            <w:tcW w:w="548" w:type="pct"/>
            <w:tcBorders>
              <w:top w:val="nil"/>
              <w:left w:val="nil"/>
              <w:bottom w:val="single" w:sz="4" w:space="0" w:color="auto"/>
              <w:right w:val="single" w:sz="4" w:space="0" w:color="auto"/>
            </w:tcBorders>
            <w:shd w:val="clear" w:color="auto" w:fill="auto"/>
            <w:noWrap/>
            <w:vAlign w:val="bottom"/>
          </w:tcPr>
          <w:p w14:paraId="2F810552" w14:textId="4DC720DD" w:rsidR="009359DC" w:rsidRPr="00E263F4" w:rsidRDefault="009359DC" w:rsidP="00E263F4">
            <w:pPr>
              <w:spacing w:before="0" w:after="0" w:line="240" w:lineRule="auto"/>
              <w:jc w:val="center"/>
              <w:rPr>
                <w:color w:val="auto"/>
                <w:sz w:val="20"/>
                <w:szCs w:val="20"/>
              </w:rPr>
            </w:pPr>
            <w:r w:rsidRPr="00E263F4">
              <w:rPr>
                <w:color w:val="000000"/>
                <w:sz w:val="22"/>
                <w:szCs w:val="22"/>
              </w:rPr>
              <w:t>150</w:t>
            </w:r>
          </w:p>
        </w:tc>
        <w:tc>
          <w:tcPr>
            <w:tcW w:w="697" w:type="pct"/>
            <w:gridSpan w:val="2"/>
            <w:tcBorders>
              <w:top w:val="nil"/>
              <w:left w:val="nil"/>
              <w:bottom w:val="single" w:sz="4" w:space="0" w:color="auto"/>
              <w:right w:val="single" w:sz="4" w:space="0" w:color="auto"/>
            </w:tcBorders>
            <w:shd w:val="clear" w:color="auto" w:fill="auto"/>
            <w:noWrap/>
            <w:vAlign w:val="bottom"/>
          </w:tcPr>
          <w:p w14:paraId="03B5F588" w14:textId="6B44A5FC" w:rsidR="009359DC" w:rsidRPr="00E263F4" w:rsidRDefault="009359DC" w:rsidP="00E263F4">
            <w:pPr>
              <w:spacing w:before="0" w:after="0" w:line="240" w:lineRule="auto"/>
              <w:jc w:val="center"/>
              <w:rPr>
                <w:color w:val="auto"/>
                <w:sz w:val="20"/>
                <w:szCs w:val="20"/>
              </w:rPr>
            </w:pPr>
            <w:r w:rsidRPr="00E263F4">
              <w:rPr>
                <w:color w:val="000000"/>
                <w:sz w:val="22"/>
                <w:szCs w:val="22"/>
              </w:rPr>
              <w:t>164</w:t>
            </w:r>
          </w:p>
        </w:tc>
        <w:tc>
          <w:tcPr>
            <w:tcW w:w="690" w:type="pct"/>
            <w:gridSpan w:val="2"/>
            <w:tcBorders>
              <w:top w:val="nil"/>
              <w:left w:val="nil"/>
              <w:bottom w:val="single" w:sz="4" w:space="0" w:color="auto"/>
              <w:right w:val="single" w:sz="4" w:space="0" w:color="auto"/>
            </w:tcBorders>
            <w:shd w:val="clear" w:color="auto" w:fill="auto"/>
            <w:noWrap/>
            <w:vAlign w:val="bottom"/>
          </w:tcPr>
          <w:p w14:paraId="7699149B" w14:textId="43A09D5F" w:rsidR="009359DC" w:rsidRPr="00E263F4" w:rsidRDefault="009359DC" w:rsidP="00E263F4">
            <w:pPr>
              <w:spacing w:before="0" w:after="0" w:line="240" w:lineRule="auto"/>
              <w:jc w:val="center"/>
              <w:rPr>
                <w:color w:val="auto"/>
                <w:sz w:val="20"/>
                <w:szCs w:val="20"/>
              </w:rPr>
            </w:pPr>
            <w:r w:rsidRPr="00E263F4">
              <w:rPr>
                <w:color w:val="000000"/>
                <w:sz w:val="22"/>
                <w:szCs w:val="22"/>
              </w:rPr>
              <w:t>153</w:t>
            </w:r>
          </w:p>
        </w:tc>
      </w:tr>
      <w:tr w:rsidR="009359DC" w:rsidRPr="00E263F4" w14:paraId="22F683F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41F8D40" w14:textId="77777777" w:rsidR="009359DC" w:rsidRPr="00E263F4" w:rsidRDefault="009359DC" w:rsidP="009359DC">
            <w:pPr>
              <w:spacing w:before="0" w:after="0" w:line="240" w:lineRule="auto"/>
              <w:rPr>
                <w:color w:val="auto"/>
                <w:sz w:val="20"/>
                <w:szCs w:val="20"/>
              </w:rPr>
            </w:pPr>
            <w:r w:rsidRPr="00E263F4">
              <w:rPr>
                <w:color w:val="auto"/>
                <w:sz w:val="20"/>
                <w:szCs w:val="20"/>
              </w:rPr>
              <w:t>13</w:t>
            </w:r>
          </w:p>
        </w:tc>
        <w:tc>
          <w:tcPr>
            <w:tcW w:w="658" w:type="pct"/>
            <w:gridSpan w:val="2"/>
            <w:tcBorders>
              <w:top w:val="nil"/>
              <w:left w:val="nil"/>
              <w:bottom w:val="single" w:sz="4" w:space="0" w:color="auto"/>
              <w:right w:val="single" w:sz="4" w:space="0" w:color="auto"/>
            </w:tcBorders>
            <w:shd w:val="clear" w:color="auto" w:fill="auto"/>
            <w:noWrap/>
            <w:vAlign w:val="bottom"/>
          </w:tcPr>
          <w:p w14:paraId="297AC571" w14:textId="03C223DA" w:rsidR="009359DC" w:rsidRPr="00E263F4" w:rsidRDefault="009359DC" w:rsidP="00E263F4">
            <w:pPr>
              <w:spacing w:before="0" w:after="0" w:line="240" w:lineRule="auto"/>
              <w:jc w:val="center"/>
              <w:rPr>
                <w:color w:val="auto"/>
                <w:sz w:val="20"/>
                <w:szCs w:val="20"/>
              </w:rPr>
            </w:pPr>
            <w:r w:rsidRPr="00E263F4">
              <w:rPr>
                <w:color w:val="000000"/>
                <w:sz w:val="22"/>
                <w:szCs w:val="22"/>
              </w:rPr>
              <w:t>189</w:t>
            </w:r>
          </w:p>
        </w:tc>
        <w:tc>
          <w:tcPr>
            <w:tcW w:w="660" w:type="pct"/>
            <w:gridSpan w:val="2"/>
            <w:tcBorders>
              <w:top w:val="nil"/>
              <w:left w:val="nil"/>
              <w:bottom w:val="single" w:sz="4" w:space="0" w:color="auto"/>
              <w:right w:val="single" w:sz="4" w:space="0" w:color="auto"/>
            </w:tcBorders>
            <w:shd w:val="clear" w:color="auto" w:fill="auto"/>
            <w:noWrap/>
            <w:vAlign w:val="bottom"/>
          </w:tcPr>
          <w:p w14:paraId="65F536D2" w14:textId="49E6099B" w:rsidR="009359DC" w:rsidRPr="00E263F4" w:rsidRDefault="009359DC" w:rsidP="00E263F4">
            <w:pPr>
              <w:spacing w:before="0" w:after="0" w:line="240" w:lineRule="auto"/>
              <w:jc w:val="center"/>
              <w:rPr>
                <w:color w:val="auto"/>
                <w:sz w:val="20"/>
                <w:szCs w:val="20"/>
              </w:rPr>
            </w:pPr>
            <w:r w:rsidRPr="00E263F4">
              <w:rPr>
                <w:color w:val="000000"/>
                <w:sz w:val="22"/>
                <w:szCs w:val="22"/>
              </w:rPr>
              <w:t>184</w:t>
            </w:r>
          </w:p>
        </w:tc>
        <w:tc>
          <w:tcPr>
            <w:tcW w:w="545" w:type="pct"/>
            <w:gridSpan w:val="2"/>
            <w:tcBorders>
              <w:top w:val="nil"/>
              <w:left w:val="nil"/>
              <w:bottom w:val="single" w:sz="4" w:space="0" w:color="auto"/>
              <w:right w:val="single" w:sz="4" w:space="0" w:color="auto"/>
            </w:tcBorders>
            <w:shd w:val="clear" w:color="auto" w:fill="auto"/>
            <w:noWrap/>
            <w:vAlign w:val="bottom"/>
          </w:tcPr>
          <w:p w14:paraId="0B450E07" w14:textId="190B6DFB" w:rsidR="009359DC" w:rsidRPr="00E263F4" w:rsidRDefault="009359DC" w:rsidP="00E263F4">
            <w:pPr>
              <w:spacing w:before="0" w:after="0" w:line="240" w:lineRule="auto"/>
              <w:jc w:val="center"/>
              <w:rPr>
                <w:color w:val="auto"/>
                <w:sz w:val="20"/>
                <w:szCs w:val="20"/>
              </w:rPr>
            </w:pPr>
            <w:r w:rsidRPr="00E263F4">
              <w:rPr>
                <w:color w:val="000000"/>
                <w:sz w:val="22"/>
                <w:szCs w:val="22"/>
              </w:rPr>
              <w:t>213</w:t>
            </w:r>
          </w:p>
        </w:tc>
        <w:tc>
          <w:tcPr>
            <w:tcW w:w="548" w:type="pct"/>
            <w:tcBorders>
              <w:top w:val="nil"/>
              <w:left w:val="nil"/>
              <w:bottom w:val="single" w:sz="4" w:space="0" w:color="auto"/>
              <w:right w:val="single" w:sz="4" w:space="0" w:color="auto"/>
            </w:tcBorders>
            <w:shd w:val="clear" w:color="auto" w:fill="auto"/>
            <w:noWrap/>
            <w:vAlign w:val="bottom"/>
          </w:tcPr>
          <w:p w14:paraId="7337E00E" w14:textId="6686F486" w:rsidR="009359DC" w:rsidRPr="00E263F4" w:rsidRDefault="009359DC" w:rsidP="00E263F4">
            <w:pPr>
              <w:spacing w:before="0" w:after="0" w:line="240" w:lineRule="auto"/>
              <w:jc w:val="center"/>
              <w:rPr>
                <w:color w:val="auto"/>
                <w:sz w:val="20"/>
                <w:szCs w:val="20"/>
              </w:rPr>
            </w:pPr>
            <w:r w:rsidRPr="00E263F4">
              <w:rPr>
                <w:color w:val="000000"/>
                <w:sz w:val="22"/>
                <w:szCs w:val="22"/>
              </w:rPr>
              <w:t>149</w:t>
            </w:r>
          </w:p>
        </w:tc>
        <w:tc>
          <w:tcPr>
            <w:tcW w:w="697" w:type="pct"/>
            <w:gridSpan w:val="2"/>
            <w:tcBorders>
              <w:top w:val="nil"/>
              <w:left w:val="nil"/>
              <w:bottom w:val="single" w:sz="4" w:space="0" w:color="auto"/>
              <w:right w:val="single" w:sz="4" w:space="0" w:color="auto"/>
            </w:tcBorders>
            <w:shd w:val="clear" w:color="auto" w:fill="auto"/>
            <w:noWrap/>
            <w:vAlign w:val="bottom"/>
          </w:tcPr>
          <w:p w14:paraId="419B7E29" w14:textId="625F9750" w:rsidR="009359DC" w:rsidRPr="00E263F4" w:rsidRDefault="009359DC" w:rsidP="00E263F4">
            <w:pPr>
              <w:spacing w:before="0" w:after="0" w:line="240" w:lineRule="auto"/>
              <w:jc w:val="center"/>
              <w:rPr>
                <w:color w:val="auto"/>
                <w:sz w:val="20"/>
                <w:szCs w:val="20"/>
              </w:rPr>
            </w:pPr>
            <w:r w:rsidRPr="00E263F4">
              <w:rPr>
                <w:color w:val="000000"/>
                <w:sz w:val="22"/>
                <w:szCs w:val="22"/>
              </w:rPr>
              <w:t>156</w:t>
            </w:r>
          </w:p>
        </w:tc>
        <w:tc>
          <w:tcPr>
            <w:tcW w:w="690" w:type="pct"/>
            <w:gridSpan w:val="2"/>
            <w:tcBorders>
              <w:top w:val="nil"/>
              <w:left w:val="nil"/>
              <w:bottom w:val="single" w:sz="4" w:space="0" w:color="auto"/>
              <w:right w:val="single" w:sz="4" w:space="0" w:color="auto"/>
            </w:tcBorders>
            <w:shd w:val="clear" w:color="auto" w:fill="auto"/>
            <w:noWrap/>
            <w:vAlign w:val="bottom"/>
          </w:tcPr>
          <w:p w14:paraId="0543B527" w14:textId="083CC1B7" w:rsidR="009359DC" w:rsidRPr="00E263F4" w:rsidRDefault="009359DC" w:rsidP="00E263F4">
            <w:pPr>
              <w:spacing w:before="0" w:after="0" w:line="240" w:lineRule="auto"/>
              <w:jc w:val="center"/>
              <w:rPr>
                <w:color w:val="auto"/>
                <w:sz w:val="20"/>
                <w:szCs w:val="20"/>
              </w:rPr>
            </w:pPr>
            <w:r w:rsidRPr="00E263F4">
              <w:rPr>
                <w:color w:val="000000"/>
                <w:sz w:val="22"/>
                <w:szCs w:val="22"/>
              </w:rPr>
              <w:t>171</w:t>
            </w:r>
          </w:p>
        </w:tc>
      </w:tr>
      <w:tr w:rsidR="009359DC" w:rsidRPr="00E263F4" w14:paraId="1453E04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B56C739" w14:textId="77777777" w:rsidR="009359DC" w:rsidRPr="00E263F4" w:rsidRDefault="009359DC" w:rsidP="009359DC">
            <w:pPr>
              <w:spacing w:before="0" w:after="0" w:line="240" w:lineRule="auto"/>
              <w:rPr>
                <w:color w:val="auto"/>
                <w:sz w:val="20"/>
                <w:szCs w:val="20"/>
              </w:rPr>
            </w:pPr>
            <w:r w:rsidRPr="00E263F4">
              <w:rPr>
                <w:color w:val="auto"/>
                <w:sz w:val="20"/>
                <w:szCs w:val="20"/>
              </w:rPr>
              <w:t>14</w:t>
            </w:r>
          </w:p>
        </w:tc>
        <w:tc>
          <w:tcPr>
            <w:tcW w:w="658" w:type="pct"/>
            <w:gridSpan w:val="2"/>
            <w:tcBorders>
              <w:top w:val="nil"/>
              <w:left w:val="nil"/>
              <w:bottom w:val="single" w:sz="4" w:space="0" w:color="auto"/>
              <w:right w:val="single" w:sz="4" w:space="0" w:color="auto"/>
            </w:tcBorders>
            <w:shd w:val="clear" w:color="auto" w:fill="auto"/>
            <w:noWrap/>
            <w:vAlign w:val="bottom"/>
          </w:tcPr>
          <w:p w14:paraId="2B25C919" w14:textId="1DE0414E" w:rsidR="009359DC" w:rsidRPr="00E263F4" w:rsidRDefault="009359DC" w:rsidP="00E263F4">
            <w:pPr>
              <w:spacing w:before="0" w:after="0" w:line="240" w:lineRule="auto"/>
              <w:jc w:val="center"/>
              <w:rPr>
                <w:color w:val="auto"/>
                <w:sz w:val="20"/>
                <w:szCs w:val="20"/>
              </w:rPr>
            </w:pPr>
            <w:r w:rsidRPr="00E263F4">
              <w:rPr>
                <w:color w:val="000000"/>
                <w:sz w:val="22"/>
                <w:szCs w:val="22"/>
              </w:rPr>
              <w:t>177</w:t>
            </w:r>
          </w:p>
        </w:tc>
        <w:tc>
          <w:tcPr>
            <w:tcW w:w="660" w:type="pct"/>
            <w:gridSpan w:val="2"/>
            <w:tcBorders>
              <w:top w:val="nil"/>
              <w:left w:val="nil"/>
              <w:bottom w:val="single" w:sz="4" w:space="0" w:color="auto"/>
              <w:right w:val="single" w:sz="4" w:space="0" w:color="auto"/>
            </w:tcBorders>
            <w:shd w:val="clear" w:color="auto" w:fill="auto"/>
            <w:noWrap/>
            <w:vAlign w:val="bottom"/>
          </w:tcPr>
          <w:p w14:paraId="63A0936E" w14:textId="3F360D2D" w:rsidR="009359DC" w:rsidRPr="00E263F4" w:rsidRDefault="009359DC" w:rsidP="00E263F4">
            <w:pPr>
              <w:spacing w:before="0" w:after="0" w:line="240" w:lineRule="auto"/>
              <w:jc w:val="center"/>
              <w:rPr>
                <w:color w:val="auto"/>
                <w:sz w:val="20"/>
                <w:szCs w:val="20"/>
              </w:rPr>
            </w:pPr>
            <w:r w:rsidRPr="00E263F4">
              <w:rPr>
                <w:color w:val="000000"/>
                <w:sz w:val="22"/>
                <w:szCs w:val="22"/>
              </w:rPr>
              <w:t>166</w:t>
            </w:r>
          </w:p>
        </w:tc>
        <w:tc>
          <w:tcPr>
            <w:tcW w:w="545" w:type="pct"/>
            <w:gridSpan w:val="2"/>
            <w:tcBorders>
              <w:top w:val="nil"/>
              <w:left w:val="nil"/>
              <w:bottom w:val="single" w:sz="4" w:space="0" w:color="auto"/>
              <w:right w:val="single" w:sz="4" w:space="0" w:color="auto"/>
            </w:tcBorders>
            <w:shd w:val="clear" w:color="auto" w:fill="auto"/>
            <w:noWrap/>
            <w:vAlign w:val="bottom"/>
          </w:tcPr>
          <w:p w14:paraId="2244CA84" w14:textId="17A447E6" w:rsidR="009359DC" w:rsidRPr="00E263F4" w:rsidRDefault="009359DC" w:rsidP="00E263F4">
            <w:pPr>
              <w:spacing w:before="0" w:after="0" w:line="240" w:lineRule="auto"/>
              <w:jc w:val="center"/>
              <w:rPr>
                <w:color w:val="auto"/>
                <w:sz w:val="20"/>
                <w:szCs w:val="20"/>
              </w:rPr>
            </w:pPr>
            <w:r w:rsidRPr="00E263F4">
              <w:rPr>
                <w:color w:val="000000"/>
                <w:sz w:val="22"/>
                <w:szCs w:val="22"/>
              </w:rPr>
              <w:t>172</w:t>
            </w:r>
          </w:p>
        </w:tc>
        <w:tc>
          <w:tcPr>
            <w:tcW w:w="548" w:type="pct"/>
            <w:tcBorders>
              <w:top w:val="nil"/>
              <w:left w:val="nil"/>
              <w:bottom w:val="single" w:sz="4" w:space="0" w:color="auto"/>
              <w:right w:val="single" w:sz="4" w:space="0" w:color="auto"/>
            </w:tcBorders>
            <w:shd w:val="clear" w:color="auto" w:fill="auto"/>
            <w:noWrap/>
            <w:vAlign w:val="bottom"/>
          </w:tcPr>
          <w:p w14:paraId="4419DE7A" w14:textId="14670026" w:rsidR="009359DC" w:rsidRPr="00E263F4" w:rsidRDefault="009359DC" w:rsidP="00E263F4">
            <w:pPr>
              <w:spacing w:before="0" w:after="0" w:line="240" w:lineRule="auto"/>
              <w:jc w:val="center"/>
              <w:rPr>
                <w:color w:val="auto"/>
                <w:sz w:val="20"/>
                <w:szCs w:val="20"/>
              </w:rPr>
            </w:pPr>
            <w:r w:rsidRPr="00E263F4">
              <w:rPr>
                <w:color w:val="000000"/>
                <w:sz w:val="22"/>
                <w:szCs w:val="22"/>
              </w:rPr>
              <w:t>137</w:t>
            </w:r>
          </w:p>
        </w:tc>
        <w:tc>
          <w:tcPr>
            <w:tcW w:w="697" w:type="pct"/>
            <w:gridSpan w:val="2"/>
            <w:tcBorders>
              <w:top w:val="nil"/>
              <w:left w:val="nil"/>
              <w:bottom w:val="single" w:sz="4" w:space="0" w:color="auto"/>
              <w:right w:val="single" w:sz="4" w:space="0" w:color="auto"/>
            </w:tcBorders>
            <w:shd w:val="clear" w:color="auto" w:fill="auto"/>
            <w:noWrap/>
            <w:vAlign w:val="bottom"/>
          </w:tcPr>
          <w:p w14:paraId="2F78D4D3" w14:textId="4E7D711E" w:rsidR="009359DC" w:rsidRPr="00E263F4" w:rsidRDefault="009359DC" w:rsidP="00E263F4">
            <w:pPr>
              <w:spacing w:before="0" w:after="0" w:line="240" w:lineRule="auto"/>
              <w:jc w:val="center"/>
              <w:rPr>
                <w:color w:val="auto"/>
                <w:sz w:val="20"/>
                <w:szCs w:val="20"/>
              </w:rPr>
            </w:pPr>
            <w:r w:rsidRPr="00E263F4">
              <w:rPr>
                <w:color w:val="000000"/>
                <w:sz w:val="22"/>
                <w:szCs w:val="22"/>
              </w:rPr>
              <w:t>147</w:t>
            </w:r>
          </w:p>
        </w:tc>
        <w:tc>
          <w:tcPr>
            <w:tcW w:w="690" w:type="pct"/>
            <w:gridSpan w:val="2"/>
            <w:tcBorders>
              <w:top w:val="nil"/>
              <w:left w:val="nil"/>
              <w:bottom w:val="single" w:sz="4" w:space="0" w:color="auto"/>
              <w:right w:val="single" w:sz="4" w:space="0" w:color="auto"/>
            </w:tcBorders>
            <w:shd w:val="clear" w:color="auto" w:fill="auto"/>
            <w:noWrap/>
            <w:vAlign w:val="bottom"/>
          </w:tcPr>
          <w:p w14:paraId="498968B6" w14:textId="3D697865" w:rsidR="009359DC" w:rsidRPr="00E263F4" w:rsidRDefault="009359DC" w:rsidP="00E263F4">
            <w:pPr>
              <w:spacing w:before="0" w:after="0" w:line="240" w:lineRule="auto"/>
              <w:jc w:val="center"/>
              <w:rPr>
                <w:color w:val="auto"/>
                <w:sz w:val="20"/>
                <w:szCs w:val="20"/>
              </w:rPr>
            </w:pPr>
            <w:r w:rsidRPr="00E263F4">
              <w:rPr>
                <w:color w:val="000000"/>
                <w:sz w:val="22"/>
                <w:szCs w:val="22"/>
              </w:rPr>
              <w:t>139</w:t>
            </w:r>
          </w:p>
        </w:tc>
      </w:tr>
      <w:tr w:rsidR="009359DC" w:rsidRPr="00E263F4" w14:paraId="42292A9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3151EAB" w14:textId="77777777" w:rsidR="009359DC" w:rsidRPr="00E263F4" w:rsidRDefault="009359DC" w:rsidP="009359DC">
            <w:pPr>
              <w:spacing w:before="0" w:after="0" w:line="240" w:lineRule="auto"/>
              <w:rPr>
                <w:color w:val="auto"/>
                <w:sz w:val="20"/>
                <w:szCs w:val="20"/>
              </w:rPr>
            </w:pPr>
            <w:r w:rsidRPr="00E263F4">
              <w:rPr>
                <w:color w:val="auto"/>
                <w:sz w:val="20"/>
                <w:szCs w:val="20"/>
              </w:rPr>
              <w:t>15</w:t>
            </w:r>
          </w:p>
        </w:tc>
        <w:tc>
          <w:tcPr>
            <w:tcW w:w="658" w:type="pct"/>
            <w:gridSpan w:val="2"/>
            <w:tcBorders>
              <w:top w:val="nil"/>
              <w:left w:val="nil"/>
              <w:bottom w:val="single" w:sz="4" w:space="0" w:color="auto"/>
              <w:right w:val="single" w:sz="4" w:space="0" w:color="auto"/>
            </w:tcBorders>
            <w:shd w:val="clear" w:color="auto" w:fill="auto"/>
            <w:noWrap/>
            <w:vAlign w:val="bottom"/>
          </w:tcPr>
          <w:p w14:paraId="4C466488" w14:textId="123C9522" w:rsidR="009359DC" w:rsidRPr="00E263F4" w:rsidRDefault="009359DC" w:rsidP="00E263F4">
            <w:pPr>
              <w:spacing w:before="0" w:after="0" w:line="240" w:lineRule="auto"/>
              <w:jc w:val="center"/>
              <w:rPr>
                <w:color w:val="auto"/>
                <w:sz w:val="20"/>
                <w:szCs w:val="20"/>
              </w:rPr>
            </w:pPr>
            <w:r w:rsidRPr="00E263F4">
              <w:rPr>
                <w:color w:val="000000"/>
                <w:sz w:val="22"/>
                <w:szCs w:val="22"/>
              </w:rPr>
              <w:t>205</w:t>
            </w:r>
          </w:p>
        </w:tc>
        <w:tc>
          <w:tcPr>
            <w:tcW w:w="660" w:type="pct"/>
            <w:gridSpan w:val="2"/>
            <w:tcBorders>
              <w:top w:val="nil"/>
              <w:left w:val="nil"/>
              <w:bottom w:val="single" w:sz="4" w:space="0" w:color="auto"/>
              <w:right w:val="single" w:sz="4" w:space="0" w:color="auto"/>
            </w:tcBorders>
            <w:shd w:val="clear" w:color="auto" w:fill="auto"/>
            <w:noWrap/>
            <w:vAlign w:val="bottom"/>
          </w:tcPr>
          <w:p w14:paraId="438B8A26" w14:textId="3931F60B" w:rsidR="009359DC" w:rsidRPr="00E263F4" w:rsidRDefault="009359DC" w:rsidP="00E263F4">
            <w:pPr>
              <w:spacing w:before="0" w:after="0" w:line="240" w:lineRule="auto"/>
              <w:jc w:val="center"/>
              <w:rPr>
                <w:color w:val="auto"/>
                <w:sz w:val="20"/>
                <w:szCs w:val="20"/>
              </w:rPr>
            </w:pPr>
            <w:r w:rsidRPr="00E263F4">
              <w:rPr>
                <w:color w:val="000000"/>
                <w:sz w:val="22"/>
                <w:szCs w:val="22"/>
              </w:rPr>
              <w:t>186</w:t>
            </w:r>
          </w:p>
        </w:tc>
        <w:tc>
          <w:tcPr>
            <w:tcW w:w="545" w:type="pct"/>
            <w:gridSpan w:val="2"/>
            <w:tcBorders>
              <w:top w:val="nil"/>
              <w:left w:val="nil"/>
              <w:bottom w:val="single" w:sz="4" w:space="0" w:color="auto"/>
              <w:right w:val="single" w:sz="4" w:space="0" w:color="auto"/>
            </w:tcBorders>
            <w:shd w:val="clear" w:color="auto" w:fill="auto"/>
            <w:noWrap/>
            <w:vAlign w:val="bottom"/>
          </w:tcPr>
          <w:p w14:paraId="5B3FBE5A" w14:textId="4CB8E2C8" w:rsidR="009359DC" w:rsidRPr="00E263F4" w:rsidRDefault="009359DC" w:rsidP="00E263F4">
            <w:pPr>
              <w:spacing w:before="0" w:after="0" w:line="240" w:lineRule="auto"/>
              <w:jc w:val="center"/>
              <w:rPr>
                <w:color w:val="auto"/>
                <w:sz w:val="20"/>
                <w:szCs w:val="20"/>
              </w:rPr>
            </w:pPr>
            <w:r w:rsidRPr="00E263F4">
              <w:rPr>
                <w:color w:val="000000"/>
                <w:sz w:val="22"/>
                <w:szCs w:val="22"/>
              </w:rPr>
              <w:t>204</w:t>
            </w:r>
          </w:p>
        </w:tc>
        <w:tc>
          <w:tcPr>
            <w:tcW w:w="548" w:type="pct"/>
            <w:tcBorders>
              <w:top w:val="nil"/>
              <w:left w:val="nil"/>
              <w:bottom w:val="single" w:sz="4" w:space="0" w:color="auto"/>
              <w:right w:val="single" w:sz="4" w:space="0" w:color="auto"/>
            </w:tcBorders>
            <w:shd w:val="clear" w:color="auto" w:fill="auto"/>
            <w:noWrap/>
            <w:vAlign w:val="bottom"/>
          </w:tcPr>
          <w:p w14:paraId="377667C6" w14:textId="6BE0E3E0" w:rsidR="009359DC" w:rsidRPr="00E263F4" w:rsidRDefault="009359DC" w:rsidP="00E263F4">
            <w:pPr>
              <w:spacing w:before="0" w:after="0" w:line="240" w:lineRule="auto"/>
              <w:jc w:val="center"/>
              <w:rPr>
                <w:color w:val="auto"/>
                <w:sz w:val="20"/>
                <w:szCs w:val="20"/>
              </w:rPr>
            </w:pPr>
            <w:r w:rsidRPr="00E263F4">
              <w:rPr>
                <w:color w:val="000000"/>
                <w:sz w:val="22"/>
                <w:szCs w:val="22"/>
              </w:rPr>
              <w:t>171</w:t>
            </w:r>
          </w:p>
        </w:tc>
        <w:tc>
          <w:tcPr>
            <w:tcW w:w="697" w:type="pct"/>
            <w:gridSpan w:val="2"/>
            <w:tcBorders>
              <w:top w:val="nil"/>
              <w:left w:val="nil"/>
              <w:bottom w:val="single" w:sz="4" w:space="0" w:color="auto"/>
              <w:right w:val="single" w:sz="4" w:space="0" w:color="auto"/>
            </w:tcBorders>
            <w:shd w:val="clear" w:color="auto" w:fill="auto"/>
            <w:noWrap/>
            <w:vAlign w:val="bottom"/>
          </w:tcPr>
          <w:p w14:paraId="5477F20B" w14:textId="2D9304AF" w:rsidR="009359DC" w:rsidRPr="00E263F4" w:rsidRDefault="009359DC" w:rsidP="00E263F4">
            <w:pPr>
              <w:spacing w:before="0" w:after="0" w:line="240" w:lineRule="auto"/>
              <w:jc w:val="center"/>
              <w:rPr>
                <w:color w:val="auto"/>
                <w:sz w:val="20"/>
                <w:szCs w:val="20"/>
              </w:rPr>
            </w:pPr>
            <w:r w:rsidRPr="00E263F4">
              <w:rPr>
                <w:color w:val="000000"/>
                <w:sz w:val="22"/>
                <w:szCs w:val="22"/>
              </w:rPr>
              <w:t>173</w:t>
            </w:r>
          </w:p>
        </w:tc>
        <w:tc>
          <w:tcPr>
            <w:tcW w:w="690" w:type="pct"/>
            <w:gridSpan w:val="2"/>
            <w:tcBorders>
              <w:top w:val="nil"/>
              <w:left w:val="nil"/>
              <w:bottom w:val="single" w:sz="4" w:space="0" w:color="auto"/>
              <w:right w:val="single" w:sz="4" w:space="0" w:color="auto"/>
            </w:tcBorders>
            <w:shd w:val="clear" w:color="auto" w:fill="auto"/>
            <w:noWrap/>
            <w:vAlign w:val="bottom"/>
          </w:tcPr>
          <w:p w14:paraId="188D650B" w14:textId="7C276E3C" w:rsidR="009359DC" w:rsidRPr="00E263F4" w:rsidRDefault="009359DC" w:rsidP="00E263F4">
            <w:pPr>
              <w:spacing w:before="0" w:after="0" w:line="240" w:lineRule="auto"/>
              <w:jc w:val="center"/>
              <w:rPr>
                <w:color w:val="auto"/>
                <w:sz w:val="20"/>
                <w:szCs w:val="20"/>
              </w:rPr>
            </w:pPr>
            <w:r w:rsidRPr="00E263F4">
              <w:rPr>
                <w:color w:val="000000"/>
                <w:sz w:val="22"/>
                <w:szCs w:val="22"/>
              </w:rPr>
              <w:t>178</w:t>
            </w:r>
          </w:p>
        </w:tc>
      </w:tr>
      <w:tr w:rsidR="009359DC" w:rsidRPr="00E263F4" w14:paraId="304A3A4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70F2AE6" w14:textId="77777777" w:rsidR="009359DC" w:rsidRPr="00E263F4" w:rsidRDefault="009359DC" w:rsidP="009359DC">
            <w:pPr>
              <w:spacing w:before="0" w:after="0" w:line="240" w:lineRule="auto"/>
              <w:rPr>
                <w:color w:val="auto"/>
                <w:sz w:val="20"/>
                <w:szCs w:val="20"/>
              </w:rPr>
            </w:pPr>
            <w:r w:rsidRPr="00E263F4">
              <w:rPr>
                <w:color w:val="auto"/>
                <w:sz w:val="20"/>
                <w:szCs w:val="20"/>
              </w:rPr>
              <w:t>16</w:t>
            </w:r>
          </w:p>
        </w:tc>
        <w:tc>
          <w:tcPr>
            <w:tcW w:w="658" w:type="pct"/>
            <w:gridSpan w:val="2"/>
            <w:tcBorders>
              <w:top w:val="nil"/>
              <w:left w:val="nil"/>
              <w:bottom w:val="single" w:sz="4" w:space="0" w:color="auto"/>
              <w:right w:val="single" w:sz="4" w:space="0" w:color="auto"/>
            </w:tcBorders>
            <w:shd w:val="clear" w:color="auto" w:fill="auto"/>
            <w:noWrap/>
            <w:vAlign w:val="bottom"/>
          </w:tcPr>
          <w:p w14:paraId="3BED6FCE" w14:textId="0FBCEAA3" w:rsidR="009359DC" w:rsidRPr="00E263F4" w:rsidRDefault="009359DC" w:rsidP="00E263F4">
            <w:pPr>
              <w:spacing w:before="0" w:after="0" w:line="240" w:lineRule="auto"/>
              <w:jc w:val="center"/>
              <w:rPr>
                <w:color w:val="auto"/>
                <w:sz w:val="20"/>
                <w:szCs w:val="20"/>
              </w:rPr>
            </w:pPr>
            <w:r w:rsidRPr="00E263F4">
              <w:rPr>
                <w:color w:val="000000"/>
                <w:sz w:val="22"/>
                <w:szCs w:val="22"/>
              </w:rPr>
              <w:t>187</w:t>
            </w:r>
          </w:p>
        </w:tc>
        <w:tc>
          <w:tcPr>
            <w:tcW w:w="660" w:type="pct"/>
            <w:gridSpan w:val="2"/>
            <w:tcBorders>
              <w:top w:val="nil"/>
              <w:left w:val="nil"/>
              <w:bottom w:val="single" w:sz="4" w:space="0" w:color="auto"/>
              <w:right w:val="single" w:sz="4" w:space="0" w:color="auto"/>
            </w:tcBorders>
            <w:shd w:val="clear" w:color="auto" w:fill="auto"/>
            <w:noWrap/>
            <w:vAlign w:val="bottom"/>
          </w:tcPr>
          <w:p w14:paraId="1EE6F8CC" w14:textId="5D8225FC" w:rsidR="009359DC" w:rsidRPr="00E263F4" w:rsidRDefault="009359DC" w:rsidP="00E263F4">
            <w:pPr>
              <w:spacing w:before="0" w:after="0" w:line="240" w:lineRule="auto"/>
              <w:jc w:val="center"/>
              <w:rPr>
                <w:color w:val="auto"/>
                <w:sz w:val="20"/>
                <w:szCs w:val="20"/>
              </w:rPr>
            </w:pPr>
            <w:r w:rsidRPr="00E263F4">
              <w:rPr>
                <w:color w:val="000000"/>
                <w:sz w:val="22"/>
                <w:szCs w:val="22"/>
              </w:rPr>
              <w:t>199</w:t>
            </w:r>
          </w:p>
        </w:tc>
        <w:tc>
          <w:tcPr>
            <w:tcW w:w="545" w:type="pct"/>
            <w:gridSpan w:val="2"/>
            <w:tcBorders>
              <w:top w:val="nil"/>
              <w:left w:val="nil"/>
              <w:bottom w:val="single" w:sz="4" w:space="0" w:color="auto"/>
              <w:right w:val="single" w:sz="4" w:space="0" w:color="auto"/>
            </w:tcBorders>
            <w:shd w:val="clear" w:color="auto" w:fill="auto"/>
            <w:noWrap/>
            <w:vAlign w:val="bottom"/>
          </w:tcPr>
          <w:p w14:paraId="1DE35E1D" w14:textId="64F82C48" w:rsidR="009359DC" w:rsidRPr="00E263F4" w:rsidRDefault="009359DC" w:rsidP="00E263F4">
            <w:pPr>
              <w:spacing w:before="0" w:after="0" w:line="240" w:lineRule="auto"/>
              <w:jc w:val="center"/>
              <w:rPr>
                <w:color w:val="auto"/>
                <w:sz w:val="20"/>
                <w:szCs w:val="20"/>
              </w:rPr>
            </w:pPr>
            <w:r w:rsidRPr="00E263F4">
              <w:rPr>
                <w:color w:val="000000"/>
                <w:sz w:val="22"/>
                <w:szCs w:val="22"/>
              </w:rPr>
              <w:t>191</w:t>
            </w:r>
          </w:p>
        </w:tc>
        <w:tc>
          <w:tcPr>
            <w:tcW w:w="548" w:type="pct"/>
            <w:tcBorders>
              <w:top w:val="nil"/>
              <w:left w:val="nil"/>
              <w:bottom w:val="single" w:sz="4" w:space="0" w:color="auto"/>
              <w:right w:val="single" w:sz="4" w:space="0" w:color="auto"/>
            </w:tcBorders>
            <w:shd w:val="clear" w:color="auto" w:fill="auto"/>
            <w:noWrap/>
            <w:vAlign w:val="bottom"/>
          </w:tcPr>
          <w:p w14:paraId="369E3442" w14:textId="1FC7AA0A" w:rsidR="009359DC" w:rsidRPr="00E263F4" w:rsidRDefault="009359DC" w:rsidP="00E263F4">
            <w:pPr>
              <w:spacing w:before="0" w:after="0" w:line="240" w:lineRule="auto"/>
              <w:jc w:val="center"/>
              <w:rPr>
                <w:color w:val="auto"/>
                <w:sz w:val="20"/>
                <w:szCs w:val="20"/>
              </w:rPr>
            </w:pPr>
            <w:r w:rsidRPr="00E263F4">
              <w:rPr>
                <w:color w:val="000000"/>
                <w:sz w:val="22"/>
                <w:szCs w:val="22"/>
              </w:rPr>
              <w:t>190</w:t>
            </w:r>
          </w:p>
        </w:tc>
        <w:tc>
          <w:tcPr>
            <w:tcW w:w="697" w:type="pct"/>
            <w:gridSpan w:val="2"/>
            <w:tcBorders>
              <w:top w:val="nil"/>
              <w:left w:val="nil"/>
              <w:bottom w:val="single" w:sz="4" w:space="0" w:color="auto"/>
              <w:right w:val="single" w:sz="4" w:space="0" w:color="auto"/>
            </w:tcBorders>
            <w:shd w:val="clear" w:color="auto" w:fill="auto"/>
            <w:noWrap/>
            <w:vAlign w:val="bottom"/>
          </w:tcPr>
          <w:p w14:paraId="6E47AAE1" w14:textId="49D2F9FB" w:rsidR="009359DC" w:rsidRPr="00E263F4" w:rsidRDefault="009359DC" w:rsidP="00E263F4">
            <w:pPr>
              <w:spacing w:before="0" w:after="0" w:line="240" w:lineRule="auto"/>
              <w:jc w:val="center"/>
              <w:rPr>
                <w:color w:val="auto"/>
                <w:sz w:val="20"/>
                <w:szCs w:val="20"/>
              </w:rPr>
            </w:pPr>
            <w:r w:rsidRPr="00E263F4">
              <w:rPr>
                <w:color w:val="000000"/>
                <w:sz w:val="22"/>
                <w:szCs w:val="22"/>
              </w:rPr>
              <w:t>175</w:t>
            </w:r>
          </w:p>
        </w:tc>
        <w:tc>
          <w:tcPr>
            <w:tcW w:w="690" w:type="pct"/>
            <w:gridSpan w:val="2"/>
            <w:tcBorders>
              <w:top w:val="nil"/>
              <w:left w:val="nil"/>
              <w:bottom w:val="single" w:sz="4" w:space="0" w:color="auto"/>
              <w:right w:val="single" w:sz="4" w:space="0" w:color="auto"/>
            </w:tcBorders>
            <w:shd w:val="clear" w:color="auto" w:fill="auto"/>
            <w:noWrap/>
            <w:vAlign w:val="bottom"/>
          </w:tcPr>
          <w:p w14:paraId="4E7370F3" w14:textId="3DCCDC70" w:rsidR="009359DC" w:rsidRPr="00E263F4" w:rsidRDefault="009359DC" w:rsidP="00E263F4">
            <w:pPr>
              <w:spacing w:before="0" w:after="0" w:line="240" w:lineRule="auto"/>
              <w:jc w:val="center"/>
              <w:rPr>
                <w:color w:val="auto"/>
                <w:sz w:val="20"/>
                <w:szCs w:val="20"/>
              </w:rPr>
            </w:pPr>
            <w:r w:rsidRPr="00E263F4">
              <w:rPr>
                <w:color w:val="000000"/>
                <w:sz w:val="22"/>
                <w:szCs w:val="22"/>
              </w:rPr>
              <w:t>177</w:t>
            </w:r>
          </w:p>
        </w:tc>
      </w:tr>
      <w:tr w:rsidR="009359DC" w:rsidRPr="00E263F4" w14:paraId="6A5EABC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E567517" w14:textId="77777777" w:rsidR="009359DC" w:rsidRPr="00E263F4" w:rsidRDefault="009359DC" w:rsidP="009359DC">
            <w:pPr>
              <w:spacing w:before="0" w:after="0" w:line="240" w:lineRule="auto"/>
              <w:rPr>
                <w:color w:val="auto"/>
                <w:sz w:val="20"/>
                <w:szCs w:val="20"/>
              </w:rPr>
            </w:pPr>
            <w:r w:rsidRPr="00E263F4">
              <w:rPr>
                <w:color w:val="auto"/>
                <w:sz w:val="20"/>
                <w:szCs w:val="20"/>
              </w:rPr>
              <w:t>17</w:t>
            </w:r>
          </w:p>
        </w:tc>
        <w:tc>
          <w:tcPr>
            <w:tcW w:w="658" w:type="pct"/>
            <w:gridSpan w:val="2"/>
            <w:tcBorders>
              <w:top w:val="nil"/>
              <w:left w:val="nil"/>
              <w:bottom w:val="single" w:sz="4" w:space="0" w:color="auto"/>
              <w:right w:val="single" w:sz="4" w:space="0" w:color="auto"/>
            </w:tcBorders>
            <w:shd w:val="clear" w:color="auto" w:fill="auto"/>
            <w:noWrap/>
            <w:vAlign w:val="bottom"/>
          </w:tcPr>
          <w:p w14:paraId="45D6B6DE" w14:textId="77318EC0" w:rsidR="009359DC" w:rsidRPr="00E263F4" w:rsidRDefault="009359DC" w:rsidP="00E263F4">
            <w:pPr>
              <w:spacing w:before="0" w:after="0" w:line="240" w:lineRule="auto"/>
              <w:jc w:val="center"/>
              <w:rPr>
                <w:color w:val="auto"/>
                <w:sz w:val="20"/>
                <w:szCs w:val="20"/>
              </w:rPr>
            </w:pPr>
            <w:r w:rsidRPr="00E263F4">
              <w:rPr>
                <w:color w:val="000000"/>
                <w:sz w:val="22"/>
                <w:szCs w:val="22"/>
              </w:rPr>
              <w:t>244</w:t>
            </w:r>
          </w:p>
        </w:tc>
        <w:tc>
          <w:tcPr>
            <w:tcW w:w="660" w:type="pct"/>
            <w:gridSpan w:val="2"/>
            <w:tcBorders>
              <w:top w:val="nil"/>
              <w:left w:val="nil"/>
              <w:bottom w:val="single" w:sz="4" w:space="0" w:color="auto"/>
              <w:right w:val="single" w:sz="4" w:space="0" w:color="auto"/>
            </w:tcBorders>
            <w:shd w:val="clear" w:color="auto" w:fill="auto"/>
            <w:noWrap/>
            <w:vAlign w:val="bottom"/>
          </w:tcPr>
          <w:p w14:paraId="59322F60" w14:textId="433E4254" w:rsidR="009359DC" w:rsidRPr="00E263F4" w:rsidRDefault="009359DC" w:rsidP="00E263F4">
            <w:pPr>
              <w:spacing w:before="0" w:after="0" w:line="240" w:lineRule="auto"/>
              <w:jc w:val="center"/>
              <w:rPr>
                <w:color w:val="auto"/>
                <w:sz w:val="20"/>
                <w:szCs w:val="20"/>
              </w:rPr>
            </w:pPr>
            <w:r w:rsidRPr="00E263F4">
              <w:rPr>
                <w:color w:val="000000"/>
                <w:sz w:val="22"/>
                <w:szCs w:val="22"/>
              </w:rPr>
              <w:t>202</w:t>
            </w:r>
          </w:p>
        </w:tc>
        <w:tc>
          <w:tcPr>
            <w:tcW w:w="545" w:type="pct"/>
            <w:gridSpan w:val="2"/>
            <w:tcBorders>
              <w:top w:val="nil"/>
              <w:left w:val="nil"/>
              <w:bottom w:val="single" w:sz="4" w:space="0" w:color="auto"/>
              <w:right w:val="single" w:sz="4" w:space="0" w:color="auto"/>
            </w:tcBorders>
            <w:shd w:val="clear" w:color="auto" w:fill="auto"/>
            <w:noWrap/>
            <w:vAlign w:val="bottom"/>
          </w:tcPr>
          <w:p w14:paraId="75504FB6" w14:textId="46835D9E" w:rsidR="009359DC" w:rsidRPr="00E263F4" w:rsidRDefault="009359DC" w:rsidP="00E263F4">
            <w:pPr>
              <w:spacing w:before="0" w:after="0" w:line="240" w:lineRule="auto"/>
              <w:jc w:val="center"/>
              <w:rPr>
                <w:color w:val="auto"/>
                <w:sz w:val="20"/>
                <w:szCs w:val="20"/>
              </w:rPr>
            </w:pPr>
            <w:r w:rsidRPr="00E263F4">
              <w:rPr>
                <w:color w:val="000000"/>
                <w:sz w:val="22"/>
                <w:szCs w:val="22"/>
              </w:rPr>
              <w:t>167</w:t>
            </w:r>
          </w:p>
        </w:tc>
        <w:tc>
          <w:tcPr>
            <w:tcW w:w="548" w:type="pct"/>
            <w:tcBorders>
              <w:top w:val="nil"/>
              <w:left w:val="nil"/>
              <w:bottom w:val="single" w:sz="4" w:space="0" w:color="auto"/>
              <w:right w:val="single" w:sz="4" w:space="0" w:color="auto"/>
            </w:tcBorders>
            <w:shd w:val="clear" w:color="auto" w:fill="auto"/>
            <w:noWrap/>
            <w:vAlign w:val="bottom"/>
          </w:tcPr>
          <w:p w14:paraId="250EF127" w14:textId="38AB4CB7" w:rsidR="009359DC" w:rsidRPr="00E263F4" w:rsidRDefault="009359DC" w:rsidP="00E263F4">
            <w:pPr>
              <w:spacing w:before="0" w:after="0" w:line="240" w:lineRule="auto"/>
              <w:jc w:val="center"/>
              <w:rPr>
                <w:color w:val="auto"/>
                <w:sz w:val="20"/>
                <w:szCs w:val="20"/>
              </w:rPr>
            </w:pPr>
            <w:r w:rsidRPr="00E263F4">
              <w:rPr>
                <w:color w:val="000000"/>
                <w:sz w:val="22"/>
                <w:szCs w:val="22"/>
              </w:rPr>
              <w:t>184</w:t>
            </w:r>
          </w:p>
        </w:tc>
        <w:tc>
          <w:tcPr>
            <w:tcW w:w="697" w:type="pct"/>
            <w:gridSpan w:val="2"/>
            <w:tcBorders>
              <w:top w:val="nil"/>
              <w:left w:val="nil"/>
              <w:bottom w:val="single" w:sz="4" w:space="0" w:color="auto"/>
              <w:right w:val="single" w:sz="4" w:space="0" w:color="auto"/>
            </w:tcBorders>
            <w:shd w:val="clear" w:color="auto" w:fill="auto"/>
            <w:noWrap/>
            <w:vAlign w:val="bottom"/>
          </w:tcPr>
          <w:p w14:paraId="49463EB5" w14:textId="1EAAEBEA" w:rsidR="009359DC" w:rsidRPr="00E263F4" w:rsidRDefault="009359DC" w:rsidP="00E263F4">
            <w:pPr>
              <w:spacing w:before="0" w:after="0" w:line="240" w:lineRule="auto"/>
              <w:jc w:val="center"/>
              <w:rPr>
                <w:color w:val="auto"/>
                <w:sz w:val="20"/>
                <w:szCs w:val="20"/>
              </w:rPr>
            </w:pPr>
            <w:r w:rsidRPr="00E263F4">
              <w:rPr>
                <w:color w:val="000000"/>
                <w:sz w:val="22"/>
                <w:szCs w:val="22"/>
              </w:rPr>
              <w:t>218</w:t>
            </w:r>
          </w:p>
        </w:tc>
        <w:tc>
          <w:tcPr>
            <w:tcW w:w="690" w:type="pct"/>
            <w:gridSpan w:val="2"/>
            <w:tcBorders>
              <w:top w:val="nil"/>
              <w:left w:val="nil"/>
              <w:bottom w:val="single" w:sz="4" w:space="0" w:color="auto"/>
              <w:right w:val="single" w:sz="4" w:space="0" w:color="auto"/>
            </w:tcBorders>
            <w:shd w:val="clear" w:color="auto" w:fill="auto"/>
            <w:noWrap/>
            <w:vAlign w:val="bottom"/>
          </w:tcPr>
          <w:p w14:paraId="26E081EB" w14:textId="1E2924E9" w:rsidR="009359DC" w:rsidRPr="00E263F4" w:rsidRDefault="009359DC" w:rsidP="00E263F4">
            <w:pPr>
              <w:spacing w:before="0" w:after="0" w:line="240" w:lineRule="auto"/>
              <w:jc w:val="center"/>
              <w:rPr>
                <w:color w:val="auto"/>
                <w:sz w:val="20"/>
                <w:szCs w:val="20"/>
              </w:rPr>
            </w:pPr>
            <w:r w:rsidRPr="00E263F4">
              <w:rPr>
                <w:color w:val="000000"/>
                <w:sz w:val="22"/>
                <w:szCs w:val="22"/>
              </w:rPr>
              <w:t>261</w:t>
            </w:r>
          </w:p>
        </w:tc>
      </w:tr>
      <w:tr w:rsidR="009359DC" w:rsidRPr="00E263F4" w14:paraId="0733717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F3AC5D5" w14:textId="77777777" w:rsidR="009359DC" w:rsidRPr="00E263F4" w:rsidRDefault="009359DC" w:rsidP="009359DC">
            <w:pPr>
              <w:spacing w:before="0" w:after="0" w:line="240" w:lineRule="auto"/>
              <w:rPr>
                <w:color w:val="auto"/>
                <w:sz w:val="20"/>
                <w:szCs w:val="20"/>
              </w:rPr>
            </w:pPr>
            <w:r w:rsidRPr="00E263F4">
              <w:rPr>
                <w:color w:val="auto"/>
                <w:sz w:val="20"/>
                <w:szCs w:val="20"/>
              </w:rPr>
              <w:t>18</w:t>
            </w:r>
          </w:p>
        </w:tc>
        <w:tc>
          <w:tcPr>
            <w:tcW w:w="658" w:type="pct"/>
            <w:gridSpan w:val="2"/>
            <w:tcBorders>
              <w:top w:val="nil"/>
              <w:left w:val="nil"/>
              <w:bottom w:val="single" w:sz="4" w:space="0" w:color="auto"/>
              <w:right w:val="single" w:sz="4" w:space="0" w:color="auto"/>
            </w:tcBorders>
            <w:shd w:val="clear" w:color="auto" w:fill="auto"/>
            <w:noWrap/>
            <w:vAlign w:val="bottom"/>
          </w:tcPr>
          <w:p w14:paraId="2CC42FDB" w14:textId="2B79BB43" w:rsidR="009359DC" w:rsidRPr="00E263F4" w:rsidRDefault="009359DC" w:rsidP="00E263F4">
            <w:pPr>
              <w:spacing w:before="0" w:after="0" w:line="240" w:lineRule="auto"/>
              <w:jc w:val="center"/>
              <w:rPr>
                <w:color w:val="auto"/>
                <w:sz w:val="20"/>
                <w:szCs w:val="20"/>
              </w:rPr>
            </w:pPr>
            <w:r w:rsidRPr="00E263F4">
              <w:rPr>
                <w:color w:val="000000"/>
                <w:sz w:val="22"/>
                <w:szCs w:val="22"/>
              </w:rPr>
              <w:t>212</w:t>
            </w:r>
          </w:p>
        </w:tc>
        <w:tc>
          <w:tcPr>
            <w:tcW w:w="660" w:type="pct"/>
            <w:gridSpan w:val="2"/>
            <w:tcBorders>
              <w:top w:val="nil"/>
              <w:left w:val="nil"/>
              <w:bottom w:val="single" w:sz="4" w:space="0" w:color="auto"/>
              <w:right w:val="single" w:sz="4" w:space="0" w:color="auto"/>
            </w:tcBorders>
            <w:shd w:val="clear" w:color="auto" w:fill="auto"/>
            <w:noWrap/>
            <w:vAlign w:val="bottom"/>
          </w:tcPr>
          <w:p w14:paraId="7D6CB63A" w14:textId="7811D127" w:rsidR="009359DC" w:rsidRPr="00E263F4" w:rsidRDefault="009359DC" w:rsidP="00E263F4">
            <w:pPr>
              <w:spacing w:before="0" w:after="0" w:line="240" w:lineRule="auto"/>
              <w:jc w:val="center"/>
              <w:rPr>
                <w:color w:val="auto"/>
                <w:sz w:val="20"/>
                <w:szCs w:val="20"/>
              </w:rPr>
            </w:pPr>
            <w:r w:rsidRPr="00E263F4">
              <w:rPr>
                <w:color w:val="000000"/>
                <w:sz w:val="22"/>
                <w:szCs w:val="22"/>
              </w:rPr>
              <w:t>230</w:t>
            </w:r>
          </w:p>
        </w:tc>
        <w:tc>
          <w:tcPr>
            <w:tcW w:w="545" w:type="pct"/>
            <w:gridSpan w:val="2"/>
            <w:tcBorders>
              <w:top w:val="nil"/>
              <w:left w:val="nil"/>
              <w:bottom w:val="single" w:sz="4" w:space="0" w:color="auto"/>
              <w:right w:val="single" w:sz="4" w:space="0" w:color="auto"/>
            </w:tcBorders>
            <w:shd w:val="clear" w:color="auto" w:fill="auto"/>
            <w:noWrap/>
            <w:vAlign w:val="bottom"/>
          </w:tcPr>
          <w:p w14:paraId="4E97CED3" w14:textId="5E91C0DF" w:rsidR="009359DC" w:rsidRPr="00E263F4" w:rsidRDefault="009359DC" w:rsidP="00E263F4">
            <w:pPr>
              <w:spacing w:before="0" w:after="0" w:line="240" w:lineRule="auto"/>
              <w:jc w:val="center"/>
              <w:rPr>
                <w:color w:val="auto"/>
                <w:sz w:val="20"/>
                <w:szCs w:val="20"/>
              </w:rPr>
            </w:pPr>
            <w:r w:rsidRPr="00E263F4">
              <w:rPr>
                <w:color w:val="000000"/>
                <w:sz w:val="22"/>
                <w:szCs w:val="22"/>
              </w:rPr>
              <w:t>203</w:t>
            </w:r>
          </w:p>
        </w:tc>
        <w:tc>
          <w:tcPr>
            <w:tcW w:w="548" w:type="pct"/>
            <w:tcBorders>
              <w:top w:val="nil"/>
              <w:left w:val="nil"/>
              <w:bottom w:val="single" w:sz="4" w:space="0" w:color="auto"/>
              <w:right w:val="single" w:sz="4" w:space="0" w:color="auto"/>
            </w:tcBorders>
            <w:shd w:val="clear" w:color="auto" w:fill="auto"/>
            <w:noWrap/>
            <w:vAlign w:val="bottom"/>
          </w:tcPr>
          <w:p w14:paraId="30E642F4" w14:textId="18A12705" w:rsidR="009359DC" w:rsidRPr="00E263F4" w:rsidRDefault="009359DC" w:rsidP="00E263F4">
            <w:pPr>
              <w:spacing w:before="0" w:after="0" w:line="240" w:lineRule="auto"/>
              <w:jc w:val="center"/>
              <w:rPr>
                <w:color w:val="auto"/>
                <w:sz w:val="20"/>
                <w:szCs w:val="20"/>
              </w:rPr>
            </w:pPr>
            <w:r w:rsidRPr="00E263F4">
              <w:rPr>
                <w:color w:val="000000"/>
                <w:sz w:val="22"/>
                <w:szCs w:val="22"/>
              </w:rPr>
              <w:t>179</w:t>
            </w:r>
          </w:p>
        </w:tc>
        <w:tc>
          <w:tcPr>
            <w:tcW w:w="697" w:type="pct"/>
            <w:gridSpan w:val="2"/>
            <w:tcBorders>
              <w:top w:val="nil"/>
              <w:left w:val="nil"/>
              <w:bottom w:val="single" w:sz="4" w:space="0" w:color="auto"/>
              <w:right w:val="single" w:sz="4" w:space="0" w:color="auto"/>
            </w:tcBorders>
            <w:shd w:val="clear" w:color="auto" w:fill="auto"/>
            <w:noWrap/>
            <w:vAlign w:val="bottom"/>
          </w:tcPr>
          <w:p w14:paraId="0CA35D5D" w14:textId="7962B5E4" w:rsidR="009359DC" w:rsidRPr="00E263F4" w:rsidRDefault="009359DC" w:rsidP="00E263F4">
            <w:pPr>
              <w:spacing w:before="0" w:after="0" w:line="240" w:lineRule="auto"/>
              <w:jc w:val="center"/>
              <w:rPr>
                <w:color w:val="auto"/>
                <w:sz w:val="20"/>
                <w:szCs w:val="20"/>
              </w:rPr>
            </w:pPr>
            <w:r w:rsidRPr="00E263F4">
              <w:rPr>
                <w:color w:val="000000"/>
                <w:sz w:val="22"/>
                <w:szCs w:val="22"/>
              </w:rPr>
              <w:t>184</w:t>
            </w:r>
          </w:p>
        </w:tc>
        <w:tc>
          <w:tcPr>
            <w:tcW w:w="690" w:type="pct"/>
            <w:gridSpan w:val="2"/>
            <w:tcBorders>
              <w:top w:val="nil"/>
              <w:left w:val="nil"/>
              <w:bottom w:val="single" w:sz="4" w:space="0" w:color="auto"/>
              <w:right w:val="single" w:sz="4" w:space="0" w:color="auto"/>
            </w:tcBorders>
            <w:shd w:val="clear" w:color="auto" w:fill="auto"/>
            <w:noWrap/>
            <w:vAlign w:val="bottom"/>
          </w:tcPr>
          <w:p w14:paraId="724180A3" w14:textId="5AE8EC2E" w:rsidR="009359DC" w:rsidRPr="00E263F4" w:rsidRDefault="009359DC" w:rsidP="00E263F4">
            <w:pPr>
              <w:spacing w:before="0" w:after="0" w:line="240" w:lineRule="auto"/>
              <w:jc w:val="center"/>
              <w:rPr>
                <w:color w:val="auto"/>
                <w:sz w:val="20"/>
                <w:szCs w:val="20"/>
              </w:rPr>
            </w:pPr>
            <w:r w:rsidRPr="00E263F4">
              <w:rPr>
                <w:color w:val="000000"/>
                <w:sz w:val="22"/>
                <w:szCs w:val="22"/>
              </w:rPr>
              <w:t>192</w:t>
            </w:r>
          </w:p>
        </w:tc>
      </w:tr>
      <w:tr w:rsidR="009359DC" w:rsidRPr="00E263F4" w14:paraId="122FD4C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7ED86E4" w14:textId="77777777" w:rsidR="009359DC" w:rsidRPr="00E263F4" w:rsidRDefault="009359DC" w:rsidP="009359DC">
            <w:pPr>
              <w:spacing w:before="0" w:after="0" w:line="240" w:lineRule="auto"/>
              <w:rPr>
                <w:color w:val="auto"/>
                <w:sz w:val="20"/>
                <w:szCs w:val="20"/>
              </w:rPr>
            </w:pPr>
            <w:r w:rsidRPr="00E263F4">
              <w:rPr>
                <w:color w:val="auto"/>
                <w:sz w:val="20"/>
                <w:szCs w:val="20"/>
              </w:rPr>
              <w:t>19</w:t>
            </w:r>
          </w:p>
        </w:tc>
        <w:tc>
          <w:tcPr>
            <w:tcW w:w="658" w:type="pct"/>
            <w:gridSpan w:val="2"/>
            <w:tcBorders>
              <w:top w:val="nil"/>
              <w:left w:val="nil"/>
              <w:bottom w:val="single" w:sz="4" w:space="0" w:color="auto"/>
              <w:right w:val="single" w:sz="4" w:space="0" w:color="auto"/>
            </w:tcBorders>
            <w:shd w:val="clear" w:color="auto" w:fill="auto"/>
            <w:noWrap/>
            <w:vAlign w:val="bottom"/>
          </w:tcPr>
          <w:p w14:paraId="0E5CA7CE" w14:textId="34B98065" w:rsidR="009359DC" w:rsidRPr="00E263F4" w:rsidRDefault="009359DC" w:rsidP="00E263F4">
            <w:pPr>
              <w:spacing w:before="0" w:after="0" w:line="240" w:lineRule="auto"/>
              <w:jc w:val="center"/>
              <w:rPr>
                <w:color w:val="auto"/>
                <w:sz w:val="20"/>
                <w:szCs w:val="20"/>
              </w:rPr>
            </w:pPr>
            <w:r w:rsidRPr="00E263F4">
              <w:rPr>
                <w:color w:val="000000"/>
                <w:sz w:val="22"/>
                <w:szCs w:val="22"/>
              </w:rPr>
              <w:t>245</w:t>
            </w:r>
          </w:p>
        </w:tc>
        <w:tc>
          <w:tcPr>
            <w:tcW w:w="660" w:type="pct"/>
            <w:gridSpan w:val="2"/>
            <w:tcBorders>
              <w:top w:val="nil"/>
              <w:left w:val="nil"/>
              <w:bottom w:val="single" w:sz="4" w:space="0" w:color="auto"/>
              <w:right w:val="single" w:sz="4" w:space="0" w:color="auto"/>
            </w:tcBorders>
            <w:shd w:val="clear" w:color="auto" w:fill="auto"/>
            <w:noWrap/>
            <w:vAlign w:val="bottom"/>
          </w:tcPr>
          <w:p w14:paraId="139E4E8C" w14:textId="4B7F7ACF" w:rsidR="009359DC" w:rsidRPr="00E263F4" w:rsidRDefault="009359DC" w:rsidP="00E263F4">
            <w:pPr>
              <w:spacing w:before="0" w:after="0" w:line="240" w:lineRule="auto"/>
              <w:jc w:val="center"/>
              <w:rPr>
                <w:color w:val="auto"/>
                <w:sz w:val="20"/>
                <w:szCs w:val="20"/>
              </w:rPr>
            </w:pPr>
            <w:r w:rsidRPr="00E263F4">
              <w:rPr>
                <w:color w:val="000000"/>
                <w:sz w:val="22"/>
                <w:szCs w:val="22"/>
              </w:rPr>
              <w:t>258</w:t>
            </w:r>
          </w:p>
        </w:tc>
        <w:tc>
          <w:tcPr>
            <w:tcW w:w="545" w:type="pct"/>
            <w:gridSpan w:val="2"/>
            <w:tcBorders>
              <w:top w:val="nil"/>
              <w:left w:val="nil"/>
              <w:bottom w:val="single" w:sz="4" w:space="0" w:color="auto"/>
              <w:right w:val="single" w:sz="4" w:space="0" w:color="auto"/>
            </w:tcBorders>
            <w:shd w:val="clear" w:color="auto" w:fill="auto"/>
            <w:noWrap/>
            <w:vAlign w:val="bottom"/>
          </w:tcPr>
          <w:p w14:paraId="3B3819FD" w14:textId="7497220D" w:rsidR="009359DC" w:rsidRPr="00E263F4" w:rsidRDefault="009359DC" w:rsidP="00E263F4">
            <w:pPr>
              <w:spacing w:before="0" w:after="0" w:line="240" w:lineRule="auto"/>
              <w:jc w:val="center"/>
              <w:rPr>
                <w:color w:val="auto"/>
                <w:sz w:val="20"/>
                <w:szCs w:val="20"/>
              </w:rPr>
            </w:pPr>
            <w:r w:rsidRPr="00E263F4">
              <w:rPr>
                <w:color w:val="000000"/>
                <w:sz w:val="22"/>
                <w:szCs w:val="22"/>
              </w:rPr>
              <w:t>270</w:t>
            </w:r>
          </w:p>
        </w:tc>
        <w:tc>
          <w:tcPr>
            <w:tcW w:w="548" w:type="pct"/>
            <w:tcBorders>
              <w:top w:val="nil"/>
              <w:left w:val="nil"/>
              <w:bottom w:val="single" w:sz="4" w:space="0" w:color="auto"/>
              <w:right w:val="single" w:sz="4" w:space="0" w:color="auto"/>
            </w:tcBorders>
            <w:shd w:val="clear" w:color="auto" w:fill="auto"/>
            <w:noWrap/>
            <w:vAlign w:val="bottom"/>
          </w:tcPr>
          <w:p w14:paraId="7249E389" w14:textId="6502382B" w:rsidR="009359DC" w:rsidRPr="00E263F4" w:rsidRDefault="009359DC" w:rsidP="00E263F4">
            <w:pPr>
              <w:spacing w:before="0" w:after="0" w:line="240" w:lineRule="auto"/>
              <w:jc w:val="center"/>
              <w:rPr>
                <w:color w:val="auto"/>
                <w:sz w:val="20"/>
                <w:szCs w:val="20"/>
              </w:rPr>
            </w:pPr>
            <w:r w:rsidRPr="00E263F4">
              <w:rPr>
                <w:color w:val="000000"/>
                <w:sz w:val="22"/>
                <w:szCs w:val="22"/>
              </w:rPr>
              <w:t>188</w:t>
            </w:r>
          </w:p>
        </w:tc>
        <w:tc>
          <w:tcPr>
            <w:tcW w:w="697" w:type="pct"/>
            <w:gridSpan w:val="2"/>
            <w:tcBorders>
              <w:top w:val="nil"/>
              <w:left w:val="nil"/>
              <w:bottom w:val="single" w:sz="4" w:space="0" w:color="auto"/>
              <w:right w:val="single" w:sz="4" w:space="0" w:color="auto"/>
            </w:tcBorders>
            <w:shd w:val="clear" w:color="auto" w:fill="auto"/>
            <w:noWrap/>
            <w:vAlign w:val="bottom"/>
          </w:tcPr>
          <w:p w14:paraId="17AAFCCD" w14:textId="2131B5BF" w:rsidR="009359DC" w:rsidRPr="00E263F4" w:rsidRDefault="009359DC" w:rsidP="00E263F4">
            <w:pPr>
              <w:spacing w:before="0" w:after="0" w:line="240" w:lineRule="auto"/>
              <w:jc w:val="center"/>
              <w:rPr>
                <w:color w:val="auto"/>
                <w:sz w:val="20"/>
                <w:szCs w:val="20"/>
              </w:rPr>
            </w:pPr>
            <w:r w:rsidRPr="00E263F4">
              <w:rPr>
                <w:color w:val="000000"/>
                <w:sz w:val="22"/>
                <w:szCs w:val="22"/>
              </w:rPr>
              <w:t>188</w:t>
            </w:r>
          </w:p>
        </w:tc>
        <w:tc>
          <w:tcPr>
            <w:tcW w:w="690" w:type="pct"/>
            <w:gridSpan w:val="2"/>
            <w:tcBorders>
              <w:top w:val="nil"/>
              <w:left w:val="nil"/>
              <w:bottom w:val="single" w:sz="4" w:space="0" w:color="auto"/>
              <w:right w:val="single" w:sz="4" w:space="0" w:color="auto"/>
            </w:tcBorders>
            <w:shd w:val="clear" w:color="auto" w:fill="auto"/>
            <w:noWrap/>
            <w:vAlign w:val="bottom"/>
          </w:tcPr>
          <w:p w14:paraId="15B10C08" w14:textId="0B1617FD" w:rsidR="009359DC" w:rsidRPr="00E263F4" w:rsidRDefault="009359DC" w:rsidP="00E263F4">
            <w:pPr>
              <w:spacing w:before="0" w:after="0" w:line="240" w:lineRule="auto"/>
              <w:jc w:val="center"/>
              <w:rPr>
                <w:color w:val="auto"/>
                <w:sz w:val="20"/>
                <w:szCs w:val="20"/>
              </w:rPr>
            </w:pPr>
            <w:r w:rsidRPr="00E263F4">
              <w:rPr>
                <w:color w:val="000000"/>
                <w:sz w:val="22"/>
                <w:szCs w:val="22"/>
              </w:rPr>
              <w:t>216</w:t>
            </w:r>
          </w:p>
        </w:tc>
      </w:tr>
      <w:tr w:rsidR="009359DC" w:rsidRPr="00E263F4" w14:paraId="41B6336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3D97C5E" w14:textId="77777777" w:rsidR="009359DC" w:rsidRPr="00E263F4" w:rsidRDefault="009359DC" w:rsidP="009359DC">
            <w:pPr>
              <w:spacing w:before="0" w:after="0" w:line="240" w:lineRule="auto"/>
              <w:rPr>
                <w:color w:val="auto"/>
                <w:sz w:val="20"/>
                <w:szCs w:val="20"/>
              </w:rPr>
            </w:pPr>
            <w:r w:rsidRPr="00E263F4">
              <w:rPr>
                <w:color w:val="auto"/>
                <w:sz w:val="20"/>
                <w:szCs w:val="20"/>
              </w:rPr>
              <w:t>20</w:t>
            </w:r>
          </w:p>
        </w:tc>
        <w:tc>
          <w:tcPr>
            <w:tcW w:w="658" w:type="pct"/>
            <w:gridSpan w:val="2"/>
            <w:tcBorders>
              <w:top w:val="nil"/>
              <w:left w:val="nil"/>
              <w:bottom w:val="single" w:sz="4" w:space="0" w:color="auto"/>
              <w:right w:val="single" w:sz="4" w:space="0" w:color="auto"/>
            </w:tcBorders>
            <w:shd w:val="clear" w:color="auto" w:fill="auto"/>
            <w:noWrap/>
            <w:vAlign w:val="bottom"/>
          </w:tcPr>
          <w:p w14:paraId="3984E1B0" w14:textId="69A2EFD8" w:rsidR="009359DC" w:rsidRPr="00E263F4" w:rsidRDefault="009359DC" w:rsidP="00E263F4">
            <w:pPr>
              <w:spacing w:before="0" w:after="0" w:line="240" w:lineRule="auto"/>
              <w:jc w:val="center"/>
              <w:rPr>
                <w:color w:val="auto"/>
                <w:sz w:val="20"/>
                <w:szCs w:val="20"/>
              </w:rPr>
            </w:pPr>
            <w:r w:rsidRPr="00E263F4">
              <w:rPr>
                <w:color w:val="000000"/>
                <w:sz w:val="22"/>
                <w:szCs w:val="22"/>
              </w:rPr>
              <w:t>169</w:t>
            </w:r>
          </w:p>
        </w:tc>
        <w:tc>
          <w:tcPr>
            <w:tcW w:w="660" w:type="pct"/>
            <w:gridSpan w:val="2"/>
            <w:tcBorders>
              <w:top w:val="nil"/>
              <w:left w:val="nil"/>
              <w:bottom w:val="single" w:sz="4" w:space="0" w:color="auto"/>
              <w:right w:val="single" w:sz="4" w:space="0" w:color="auto"/>
            </w:tcBorders>
            <w:shd w:val="clear" w:color="auto" w:fill="auto"/>
            <w:noWrap/>
            <w:vAlign w:val="bottom"/>
          </w:tcPr>
          <w:p w14:paraId="39D2F7FA" w14:textId="2AD80E62" w:rsidR="009359DC" w:rsidRPr="00E263F4" w:rsidRDefault="009359DC" w:rsidP="00E263F4">
            <w:pPr>
              <w:spacing w:before="0" w:after="0" w:line="240" w:lineRule="auto"/>
              <w:jc w:val="center"/>
              <w:rPr>
                <w:color w:val="auto"/>
                <w:sz w:val="20"/>
                <w:szCs w:val="20"/>
              </w:rPr>
            </w:pPr>
            <w:r w:rsidRPr="00E263F4">
              <w:rPr>
                <w:color w:val="000000"/>
                <w:sz w:val="22"/>
                <w:szCs w:val="22"/>
              </w:rPr>
              <w:t>171</w:t>
            </w:r>
          </w:p>
        </w:tc>
        <w:tc>
          <w:tcPr>
            <w:tcW w:w="545" w:type="pct"/>
            <w:gridSpan w:val="2"/>
            <w:tcBorders>
              <w:top w:val="nil"/>
              <w:left w:val="nil"/>
              <w:bottom w:val="single" w:sz="4" w:space="0" w:color="auto"/>
              <w:right w:val="single" w:sz="4" w:space="0" w:color="auto"/>
            </w:tcBorders>
            <w:shd w:val="clear" w:color="auto" w:fill="auto"/>
            <w:noWrap/>
            <w:vAlign w:val="bottom"/>
          </w:tcPr>
          <w:p w14:paraId="6D7FFFE5" w14:textId="3DAC8212" w:rsidR="009359DC" w:rsidRPr="00E263F4" w:rsidRDefault="009359DC" w:rsidP="00E263F4">
            <w:pPr>
              <w:spacing w:before="0" w:after="0" w:line="240" w:lineRule="auto"/>
              <w:jc w:val="center"/>
              <w:rPr>
                <w:color w:val="auto"/>
                <w:sz w:val="20"/>
                <w:szCs w:val="20"/>
              </w:rPr>
            </w:pPr>
            <w:r w:rsidRPr="00E263F4">
              <w:rPr>
                <w:color w:val="000000"/>
                <w:sz w:val="22"/>
                <w:szCs w:val="22"/>
              </w:rPr>
              <w:t>172</w:t>
            </w:r>
          </w:p>
        </w:tc>
        <w:tc>
          <w:tcPr>
            <w:tcW w:w="548" w:type="pct"/>
            <w:tcBorders>
              <w:top w:val="nil"/>
              <w:left w:val="nil"/>
              <w:bottom w:val="single" w:sz="4" w:space="0" w:color="auto"/>
              <w:right w:val="single" w:sz="4" w:space="0" w:color="auto"/>
            </w:tcBorders>
            <w:shd w:val="clear" w:color="auto" w:fill="auto"/>
            <w:noWrap/>
            <w:vAlign w:val="bottom"/>
          </w:tcPr>
          <w:p w14:paraId="6288D85E" w14:textId="1E06B66C" w:rsidR="009359DC" w:rsidRPr="00E263F4" w:rsidRDefault="009359DC" w:rsidP="00E263F4">
            <w:pPr>
              <w:spacing w:before="0" w:after="0" w:line="240" w:lineRule="auto"/>
              <w:jc w:val="center"/>
              <w:rPr>
                <w:color w:val="auto"/>
                <w:sz w:val="20"/>
                <w:szCs w:val="20"/>
              </w:rPr>
            </w:pPr>
            <w:r w:rsidRPr="00E263F4">
              <w:rPr>
                <w:color w:val="000000"/>
                <w:sz w:val="22"/>
                <w:szCs w:val="22"/>
              </w:rPr>
              <w:t>140</w:t>
            </w:r>
          </w:p>
        </w:tc>
        <w:tc>
          <w:tcPr>
            <w:tcW w:w="697" w:type="pct"/>
            <w:gridSpan w:val="2"/>
            <w:tcBorders>
              <w:top w:val="nil"/>
              <w:left w:val="nil"/>
              <w:bottom w:val="single" w:sz="4" w:space="0" w:color="auto"/>
              <w:right w:val="single" w:sz="4" w:space="0" w:color="auto"/>
            </w:tcBorders>
            <w:shd w:val="clear" w:color="auto" w:fill="auto"/>
            <w:noWrap/>
            <w:vAlign w:val="bottom"/>
          </w:tcPr>
          <w:p w14:paraId="36E188CF" w14:textId="02910476" w:rsidR="009359DC" w:rsidRPr="00E263F4" w:rsidRDefault="009359DC" w:rsidP="00E263F4">
            <w:pPr>
              <w:spacing w:before="0" w:after="0" w:line="240" w:lineRule="auto"/>
              <w:jc w:val="center"/>
              <w:rPr>
                <w:color w:val="auto"/>
                <w:sz w:val="20"/>
                <w:szCs w:val="20"/>
              </w:rPr>
            </w:pPr>
            <w:r w:rsidRPr="00E263F4">
              <w:rPr>
                <w:color w:val="000000"/>
                <w:sz w:val="22"/>
                <w:szCs w:val="22"/>
              </w:rPr>
              <w:t>158</w:t>
            </w:r>
          </w:p>
        </w:tc>
        <w:tc>
          <w:tcPr>
            <w:tcW w:w="690" w:type="pct"/>
            <w:gridSpan w:val="2"/>
            <w:tcBorders>
              <w:top w:val="nil"/>
              <w:left w:val="nil"/>
              <w:bottom w:val="single" w:sz="4" w:space="0" w:color="auto"/>
              <w:right w:val="single" w:sz="4" w:space="0" w:color="auto"/>
            </w:tcBorders>
            <w:shd w:val="clear" w:color="auto" w:fill="auto"/>
            <w:noWrap/>
            <w:vAlign w:val="bottom"/>
          </w:tcPr>
          <w:p w14:paraId="054A2DF1" w14:textId="1064D153" w:rsidR="009359DC" w:rsidRPr="00E263F4" w:rsidRDefault="009359DC" w:rsidP="00E263F4">
            <w:pPr>
              <w:spacing w:before="0" w:after="0" w:line="240" w:lineRule="auto"/>
              <w:jc w:val="center"/>
              <w:rPr>
                <w:color w:val="auto"/>
                <w:sz w:val="20"/>
                <w:szCs w:val="20"/>
              </w:rPr>
            </w:pPr>
            <w:r w:rsidRPr="00E263F4">
              <w:rPr>
                <w:color w:val="000000"/>
                <w:sz w:val="22"/>
                <w:szCs w:val="22"/>
              </w:rPr>
              <w:t>156</w:t>
            </w:r>
          </w:p>
        </w:tc>
      </w:tr>
      <w:tr w:rsidR="009359DC" w:rsidRPr="00E263F4" w14:paraId="4345C7E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7EA245B" w14:textId="77777777" w:rsidR="009359DC" w:rsidRPr="00E263F4" w:rsidRDefault="009359DC" w:rsidP="009359DC">
            <w:pPr>
              <w:spacing w:before="0" w:after="0" w:line="240" w:lineRule="auto"/>
              <w:rPr>
                <w:color w:val="auto"/>
                <w:sz w:val="20"/>
                <w:szCs w:val="20"/>
              </w:rPr>
            </w:pPr>
            <w:r w:rsidRPr="00E263F4">
              <w:rPr>
                <w:color w:val="auto"/>
                <w:sz w:val="20"/>
                <w:szCs w:val="20"/>
              </w:rPr>
              <w:t>21</w:t>
            </w:r>
          </w:p>
        </w:tc>
        <w:tc>
          <w:tcPr>
            <w:tcW w:w="658" w:type="pct"/>
            <w:gridSpan w:val="2"/>
            <w:tcBorders>
              <w:top w:val="nil"/>
              <w:left w:val="nil"/>
              <w:bottom w:val="single" w:sz="4" w:space="0" w:color="auto"/>
              <w:right w:val="single" w:sz="4" w:space="0" w:color="auto"/>
            </w:tcBorders>
            <w:shd w:val="clear" w:color="auto" w:fill="auto"/>
            <w:noWrap/>
            <w:vAlign w:val="bottom"/>
          </w:tcPr>
          <w:p w14:paraId="2C817ADF" w14:textId="06BF2850" w:rsidR="009359DC" w:rsidRPr="00E263F4" w:rsidRDefault="009359DC" w:rsidP="00E263F4">
            <w:pPr>
              <w:spacing w:before="0" w:after="0" w:line="240" w:lineRule="auto"/>
              <w:jc w:val="center"/>
              <w:rPr>
                <w:color w:val="auto"/>
                <w:sz w:val="20"/>
                <w:szCs w:val="20"/>
              </w:rPr>
            </w:pPr>
            <w:r w:rsidRPr="00E263F4">
              <w:rPr>
                <w:color w:val="000000"/>
                <w:sz w:val="22"/>
                <w:szCs w:val="22"/>
              </w:rPr>
              <w:t>176</w:t>
            </w:r>
          </w:p>
        </w:tc>
        <w:tc>
          <w:tcPr>
            <w:tcW w:w="660" w:type="pct"/>
            <w:gridSpan w:val="2"/>
            <w:tcBorders>
              <w:top w:val="nil"/>
              <w:left w:val="nil"/>
              <w:bottom w:val="single" w:sz="4" w:space="0" w:color="auto"/>
              <w:right w:val="single" w:sz="4" w:space="0" w:color="auto"/>
            </w:tcBorders>
            <w:shd w:val="clear" w:color="auto" w:fill="auto"/>
            <w:noWrap/>
            <w:vAlign w:val="bottom"/>
          </w:tcPr>
          <w:p w14:paraId="7E537F3F" w14:textId="6E7A304B" w:rsidR="009359DC" w:rsidRPr="00E263F4" w:rsidRDefault="009359DC" w:rsidP="00E263F4">
            <w:pPr>
              <w:spacing w:before="0" w:after="0" w:line="240" w:lineRule="auto"/>
              <w:jc w:val="center"/>
              <w:rPr>
                <w:color w:val="auto"/>
                <w:sz w:val="20"/>
                <w:szCs w:val="20"/>
              </w:rPr>
            </w:pPr>
            <w:r w:rsidRPr="00E263F4">
              <w:rPr>
                <w:color w:val="000000"/>
                <w:sz w:val="22"/>
                <w:szCs w:val="22"/>
              </w:rPr>
              <w:t>163</w:t>
            </w:r>
          </w:p>
        </w:tc>
        <w:tc>
          <w:tcPr>
            <w:tcW w:w="545" w:type="pct"/>
            <w:gridSpan w:val="2"/>
            <w:tcBorders>
              <w:top w:val="nil"/>
              <w:left w:val="nil"/>
              <w:bottom w:val="single" w:sz="4" w:space="0" w:color="auto"/>
              <w:right w:val="single" w:sz="4" w:space="0" w:color="auto"/>
            </w:tcBorders>
            <w:shd w:val="clear" w:color="auto" w:fill="auto"/>
            <w:noWrap/>
            <w:vAlign w:val="bottom"/>
          </w:tcPr>
          <w:p w14:paraId="6445839A" w14:textId="609BA607" w:rsidR="009359DC" w:rsidRPr="00E263F4" w:rsidRDefault="009359DC" w:rsidP="00E263F4">
            <w:pPr>
              <w:spacing w:before="0" w:after="0" w:line="240" w:lineRule="auto"/>
              <w:jc w:val="center"/>
              <w:rPr>
                <w:color w:val="auto"/>
                <w:sz w:val="20"/>
                <w:szCs w:val="20"/>
              </w:rPr>
            </w:pPr>
            <w:r w:rsidRPr="00E263F4">
              <w:rPr>
                <w:color w:val="000000"/>
                <w:sz w:val="22"/>
                <w:szCs w:val="22"/>
              </w:rPr>
              <w:t>183</w:t>
            </w:r>
          </w:p>
        </w:tc>
        <w:tc>
          <w:tcPr>
            <w:tcW w:w="548" w:type="pct"/>
            <w:tcBorders>
              <w:top w:val="nil"/>
              <w:left w:val="nil"/>
              <w:bottom w:val="single" w:sz="4" w:space="0" w:color="auto"/>
              <w:right w:val="single" w:sz="4" w:space="0" w:color="auto"/>
            </w:tcBorders>
            <w:shd w:val="clear" w:color="auto" w:fill="auto"/>
            <w:noWrap/>
            <w:vAlign w:val="bottom"/>
          </w:tcPr>
          <w:p w14:paraId="59D6A48D" w14:textId="4E3D5340" w:rsidR="009359DC" w:rsidRPr="00E263F4" w:rsidRDefault="009359DC" w:rsidP="00E263F4">
            <w:pPr>
              <w:spacing w:before="0" w:after="0" w:line="240" w:lineRule="auto"/>
              <w:jc w:val="center"/>
              <w:rPr>
                <w:color w:val="auto"/>
                <w:sz w:val="20"/>
                <w:szCs w:val="20"/>
              </w:rPr>
            </w:pPr>
            <w:r w:rsidRPr="00E263F4">
              <w:rPr>
                <w:color w:val="000000"/>
                <w:sz w:val="22"/>
                <w:szCs w:val="22"/>
              </w:rPr>
              <w:t>166</w:t>
            </w:r>
          </w:p>
        </w:tc>
        <w:tc>
          <w:tcPr>
            <w:tcW w:w="697" w:type="pct"/>
            <w:gridSpan w:val="2"/>
            <w:tcBorders>
              <w:top w:val="nil"/>
              <w:left w:val="nil"/>
              <w:bottom w:val="single" w:sz="4" w:space="0" w:color="auto"/>
              <w:right w:val="single" w:sz="4" w:space="0" w:color="auto"/>
            </w:tcBorders>
            <w:shd w:val="clear" w:color="auto" w:fill="auto"/>
            <w:noWrap/>
            <w:vAlign w:val="bottom"/>
          </w:tcPr>
          <w:p w14:paraId="1A73ADDC" w14:textId="21AFAFFE" w:rsidR="009359DC" w:rsidRPr="00E263F4" w:rsidRDefault="009359DC" w:rsidP="00E263F4">
            <w:pPr>
              <w:spacing w:before="0" w:after="0" w:line="240" w:lineRule="auto"/>
              <w:jc w:val="center"/>
              <w:rPr>
                <w:color w:val="auto"/>
                <w:sz w:val="20"/>
                <w:szCs w:val="20"/>
              </w:rPr>
            </w:pPr>
            <w:r w:rsidRPr="00E263F4">
              <w:rPr>
                <w:color w:val="000000"/>
                <w:sz w:val="22"/>
                <w:szCs w:val="22"/>
              </w:rPr>
              <w:t>174</w:t>
            </w:r>
          </w:p>
        </w:tc>
        <w:tc>
          <w:tcPr>
            <w:tcW w:w="690" w:type="pct"/>
            <w:gridSpan w:val="2"/>
            <w:tcBorders>
              <w:top w:val="nil"/>
              <w:left w:val="nil"/>
              <w:bottom w:val="single" w:sz="4" w:space="0" w:color="auto"/>
              <w:right w:val="single" w:sz="4" w:space="0" w:color="auto"/>
            </w:tcBorders>
            <w:shd w:val="clear" w:color="auto" w:fill="auto"/>
            <w:noWrap/>
            <w:vAlign w:val="bottom"/>
          </w:tcPr>
          <w:p w14:paraId="62E19554" w14:textId="6BFF72C5" w:rsidR="009359DC" w:rsidRPr="00E263F4" w:rsidRDefault="009359DC" w:rsidP="00E263F4">
            <w:pPr>
              <w:spacing w:before="0" w:after="0" w:line="240" w:lineRule="auto"/>
              <w:jc w:val="center"/>
              <w:rPr>
                <w:color w:val="auto"/>
                <w:sz w:val="20"/>
                <w:szCs w:val="20"/>
              </w:rPr>
            </w:pPr>
            <w:r w:rsidRPr="00E263F4">
              <w:rPr>
                <w:color w:val="000000"/>
                <w:sz w:val="22"/>
                <w:szCs w:val="22"/>
              </w:rPr>
              <w:t>184</w:t>
            </w:r>
          </w:p>
        </w:tc>
      </w:tr>
      <w:tr w:rsidR="009359DC" w:rsidRPr="00E263F4" w14:paraId="3802FFB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7E84A41" w14:textId="77777777" w:rsidR="009359DC" w:rsidRPr="00E263F4" w:rsidRDefault="009359DC" w:rsidP="009359DC">
            <w:pPr>
              <w:spacing w:before="0" w:after="0" w:line="240" w:lineRule="auto"/>
              <w:rPr>
                <w:color w:val="auto"/>
                <w:sz w:val="20"/>
                <w:szCs w:val="20"/>
              </w:rPr>
            </w:pPr>
            <w:r w:rsidRPr="00E263F4">
              <w:rPr>
                <w:color w:val="auto"/>
                <w:sz w:val="20"/>
                <w:szCs w:val="20"/>
              </w:rPr>
              <w:t>22</w:t>
            </w:r>
          </w:p>
        </w:tc>
        <w:tc>
          <w:tcPr>
            <w:tcW w:w="658" w:type="pct"/>
            <w:gridSpan w:val="2"/>
            <w:tcBorders>
              <w:top w:val="nil"/>
              <w:left w:val="nil"/>
              <w:bottom w:val="single" w:sz="4" w:space="0" w:color="auto"/>
              <w:right w:val="single" w:sz="4" w:space="0" w:color="auto"/>
            </w:tcBorders>
            <w:shd w:val="clear" w:color="auto" w:fill="auto"/>
            <w:noWrap/>
            <w:vAlign w:val="bottom"/>
          </w:tcPr>
          <w:p w14:paraId="45754F6B" w14:textId="41E2E50E" w:rsidR="009359DC" w:rsidRPr="00E263F4" w:rsidRDefault="009359DC" w:rsidP="00E263F4">
            <w:pPr>
              <w:spacing w:before="0" w:after="0" w:line="240" w:lineRule="auto"/>
              <w:jc w:val="center"/>
              <w:rPr>
                <w:color w:val="auto"/>
                <w:sz w:val="20"/>
                <w:szCs w:val="20"/>
              </w:rPr>
            </w:pPr>
            <w:r w:rsidRPr="00E263F4">
              <w:rPr>
                <w:color w:val="000000"/>
                <w:sz w:val="22"/>
                <w:szCs w:val="22"/>
              </w:rPr>
              <w:t>191</w:t>
            </w:r>
          </w:p>
        </w:tc>
        <w:tc>
          <w:tcPr>
            <w:tcW w:w="660" w:type="pct"/>
            <w:gridSpan w:val="2"/>
            <w:tcBorders>
              <w:top w:val="nil"/>
              <w:left w:val="nil"/>
              <w:bottom w:val="single" w:sz="4" w:space="0" w:color="auto"/>
              <w:right w:val="single" w:sz="4" w:space="0" w:color="auto"/>
            </w:tcBorders>
            <w:shd w:val="clear" w:color="auto" w:fill="auto"/>
            <w:noWrap/>
            <w:vAlign w:val="bottom"/>
          </w:tcPr>
          <w:p w14:paraId="4074A85E" w14:textId="387A1CBC" w:rsidR="009359DC" w:rsidRPr="00E263F4" w:rsidRDefault="009359DC" w:rsidP="00E263F4">
            <w:pPr>
              <w:spacing w:before="0" w:after="0" w:line="240" w:lineRule="auto"/>
              <w:jc w:val="center"/>
              <w:rPr>
                <w:color w:val="auto"/>
                <w:sz w:val="20"/>
                <w:szCs w:val="20"/>
              </w:rPr>
            </w:pPr>
            <w:r w:rsidRPr="00E263F4">
              <w:rPr>
                <w:color w:val="000000"/>
                <w:sz w:val="22"/>
                <w:szCs w:val="22"/>
              </w:rPr>
              <w:t>182</w:t>
            </w:r>
          </w:p>
        </w:tc>
        <w:tc>
          <w:tcPr>
            <w:tcW w:w="545" w:type="pct"/>
            <w:gridSpan w:val="2"/>
            <w:tcBorders>
              <w:top w:val="nil"/>
              <w:left w:val="nil"/>
              <w:bottom w:val="single" w:sz="4" w:space="0" w:color="auto"/>
              <w:right w:val="single" w:sz="4" w:space="0" w:color="auto"/>
            </w:tcBorders>
            <w:shd w:val="clear" w:color="auto" w:fill="auto"/>
            <w:noWrap/>
            <w:vAlign w:val="bottom"/>
          </w:tcPr>
          <w:p w14:paraId="566BF896" w14:textId="3FAD192F" w:rsidR="009359DC" w:rsidRPr="00E263F4" w:rsidRDefault="009359DC" w:rsidP="00E263F4">
            <w:pPr>
              <w:spacing w:before="0" w:after="0" w:line="240" w:lineRule="auto"/>
              <w:jc w:val="center"/>
              <w:rPr>
                <w:color w:val="auto"/>
                <w:sz w:val="20"/>
                <w:szCs w:val="20"/>
              </w:rPr>
            </w:pPr>
            <w:r w:rsidRPr="00E263F4">
              <w:rPr>
                <w:color w:val="000000"/>
                <w:sz w:val="22"/>
                <w:szCs w:val="22"/>
              </w:rPr>
              <w:t>188</w:t>
            </w:r>
          </w:p>
        </w:tc>
        <w:tc>
          <w:tcPr>
            <w:tcW w:w="548" w:type="pct"/>
            <w:tcBorders>
              <w:top w:val="nil"/>
              <w:left w:val="nil"/>
              <w:bottom w:val="single" w:sz="4" w:space="0" w:color="auto"/>
              <w:right w:val="single" w:sz="4" w:space="0" w:color="auto"/>
            </w:tcBorders>
            <w:shd w:val="clear" w:color="auto" w:fill="auto"/>
            <w:noWrap/>
            <w:vAlign w:val="bottom"/>
          </w:tcPr>
          <w:p w14:paraId="072C758D" w14:textId="6EAC0573" w:rsidR="009359DC" w:rsidRPr="00E263F4" w:rsidRDefault="009359DC" w:rsidP="00E263F4">
            <w:pPr>
              <w:spacing w:before="0" w:after="0" w:line="240" w:lineRule="auto"/>
              <w:jc w:val="center"/>
              <w:rPr>
                <w:color w:val="auto"/>
                <w:sz w:val="20"/>
                <w:szCs w:val="20"/>
              </w:rPr>
            </w:pPr>
            <w:r w:rsidRPr="00E263F4">
              <w:rPr>
                <w:color w:val="000000"/>
                <w:sz w:val="22"/>
                <w:szCs w:val="22"/>
              </w:rPr>
              <w:t>163</w:t>
            </w:r>
          </w:p>
        </w:tc>
        <w:tc>
          <w:tcPr>
            <w:tcW w:w="697" w:type="pct"/>
            <w:gridSpan w:val="2"/>
            <w:tcBorders>
              <w:top w:val="nil"/>
              <w:left w:val="nil"/>
              <w:bottom w:val="single" w:sz="4" w:space="0" w:color="auto"/>
              <w:right w:val="single" w:sz="4" w:space="0" w:color="auto"/>
            </w:tcBorders>
            <w:shd w:val="clear" w:color="auto" w:fill="auto"/>
            <w:noWrap/>
            <w:vAlign w:val="bottom"/>
          </w:tcPr>
          <w:p w14:paraId="4FA65AA5" w14:textId="585A03C3"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c>
          <w:tcPr>
            <w:tcW w:w="690" w:type="pct"/>
            <w:gridSpan w:val="2"/>
            <w:tcBorders>
              <w:top w:val="nil"/>
              <w:left w:val="nil"/>
              <w:bottom w:val="single" w:sz="4" w:space="0" w:color="auto"/>
              <w:right w:val="single" w:sz="4" w:space="0" w:color="auto"/>
            </w:tcBorders>
            <w:shd w:val="clear" w:color="auto" w:fill="auto"/>
            <w:noWrap/>
            <w:vAlign w:val="bottom"/>
          </w:tcPr>
          <w:p w14:paraId="3BF03D2A" w14:textId="104F3AC4" w:rsidR="009359DC" w:rsidRPr="00E263F4" w:rsidRDefault="009359DC" w:rsidP="00E263F4">
            <w:pPr>
              <w:spacing w:before="0" w:after="0" w:line="240" w:lineRule="auto"/>
              <w:jc w:val="center"/>
              <w:rPr>
                <w:color w:val="auto"/>
                <w:sz w:val="20"/>
                <w:szCs w:val="20"/>
              </w:rPr>
            </w:pPr>
            <w:r w:rsidRPr="00E263F4">
              <w:rPr>
                <w:color w:val="000000"/>
                <w:sz w:val="22"/>
                <w:szCs w:val="22"/>
              </w:rPr>
              <w:t>177</w:t>
            </w:r>
          </w:p>
        </w:tc>
      </w:tr>
      <w:tr w:rsidR="009359DC" w:rsidRPr="00E263F4" w14:paraId="0702570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7966D7B" w14:textId="77777777" w:rsidR="009359DC" w:rsidRPr="00E263F4" w:rsidRDefault="009359DC" w:rsidP="009359DC">
            <w:pPr>
              <w:spacing w:before="0" w:after="0" w:line="240" w:lineRule="auto"/>
              <w:rPr>
                <w:color w:val="auto"/>
                <w:sz w:val="20"/>
                <w:szCs w:val="20"/>
              </w:rPr>
            </w:pPr>
            <w:r w:rsidRPr="00E263F4">
              <w:rPr>
                <w:color w:val="auto"/>
                <w:sz w:val="20"/>
                <w:szCs w:val="20"/>
              </w:rPr>
              <w:t>23</w:t>
            </w:r>
          </w:p>
        </w:tc>
        <w:tc>
          <w:tcPr>
            <w:tcW w:w="658" w:type="pct"/>
            <w:gridSpan w:val="2"/>
            <w:tcBorders>
              <w:top w:val="nil"/>
              <w:left w:val="nil"/>
              <w:bottom w:val="single" w:sz="4" w:space="0" w:color="auto"/>
              <w:right w:val="single" w:sz="4" w:space="0" w:color="auto"/>
            </w:tcBorders>
            <w:shd w:val="clear" w:color="auto" w:fill="auto"/>
            <w:noWrap/>
            <w:vAlign w:val="bottom"/>
          </w:tcPr>
          <w:p w14:paraId="20F2D131" w14:textId="4A8E2C65"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c>
          <w:tcPr>
            <w:tcW w:w="660" w:type="pct"/>
            <w:gridSpan w:val="2"/>
            <w:tcBorders>
              <w:top w:val="nil"/>
              <w:left w:val="nil"/>
              <w:bottom w:val="single" w:sz="4" w:space="0" w:color="auto"/>
              <w:right w:val="single" w:sz="4" w:space="0" w:color="auto"/>
            </w:tcBorders>
            <w:shd w:val="clear" w:color="auto" w:fill="auto"/>
            <w:noWrap/>
            <w:vAlign w:val="bottom"/>
          </w:tcPr>
          <w:p w14:paraId="1E4FFF8C" w14:textId="4B4A0B90" w:rsidR="009359DC" w:rsidRPr="00E263F4" w:rsidRDefault="009359DC" w:rsidP="00E263F4">
            <w:pPr>
              <w:spacing w:before="0" w:after="0" w:line="240" w:lineRule="auto"/>
              <w:jc w:val="center"/>
              <w:rPr>
                <w:color w:val="auto"/>
                <w:sz w:val="20"/>
                <w:szCs w:val="20"/>
              </w:rPr>
            </w:pPr>
            <w:r w:rsidRPr="00E263F4">
              <w:rPr>
                <w:color w:val="000000"/>
                <w:sz w:val="22"/>
                <w:szCs w:val="22"/>
              </w:rPr>
              <w:t>212</w:t>
            </w:r>
          </w:p>
        </w:tc>
        <w:tc>
          <w:tcPr>
            <w:tcW w:w="545" w:type="pct"/>
            <w:gridSpan w:val="2"/>
            <w:tcBorders>
              <w:top w:val="nil"/>
              <w:left w:val="nil"/>
              <w:bottom w:val="single" w:sz="4" w:space="0" w:color="auto"/>
              <w:right w:val="single" w:sz="4" w:space="0" w:color="auto"/>
            </w:tcBorders>
            <w:shd w:val="clear" w:color="auto" w:fill="auto"/>
            <w:noWrap/>
            <w:vAlign w:val="bottom"/>
          </w:tcPr>
          <w:p w14:paraId="7E0B60EB" w14:textId="72AA6A3A" w:rsidR="009359DC" w:rsidRPr="00E263F4" w:rsidRDefault="009359DC" w:rsidP="00E263F4">
            <w:pPr>
              <w:spacing w:before="0" w:after="0" w:line="240" w:lineRule="auto"/>
              <w:jc w:val="center"/>
              <w:rPr>
                <w:color w:val="auto"/>
                <w:sz w:val="20"/>
                <w:szCs w:val="20"/>
              </w:rPr>
            </w:pPr>
            <w:r w:rsidRPr="00E263F4">
              <w:rPr>
                <w:color w:val="000000"/>
                <w:sz w:val="22"/>
                <w:szCs w:val="22"/>
              </w:rPr>
              <w:t>196</w:t>
            </w:r>
          </w:p>
        </w:tc>
        <w:tc>
          <w:tcPr>
            <w:tcW w:w="548" w:type="pct"/>
            <w:tcBorders>
              <w:top w:val="nil"/>
              <w:left w:val="nil"/>
              <w:bottom w:val="single" w:sz="4" w:space="0" w:color="auto"/>
              <w:right w:val="single" w:sz="4" w:space="0" w:color="auto"/>
            </w:tcBorders>
            <w:shd w:val="clear" w:color="auto" w:fill="auto"/>
            <w:noWrap/>
            <w:vAlign w:val="bottom"/>
          </w:tcPr>
          <w:p w14:paraId="15920704" w14:textId="0EBA27E3" w:rsidR="009359DC" w:rsidRPr="00E263F4" w:rsidRDefault="009359DC" w:rsidP="00E263F4">
            <w:pPr>
              <w:spacing w:before="0" w:after="0" w:line="240" w:lineRule="auto"/>
              <w:jc w:val="center"/>
              <w:rPr>
                <w:color w:val="auto"/>
                <w:sz w:val="20"/>
                <w:szCs w:val="20"/>
              </w:rPr>
            </w:pPr>
            <w:r w:rsidRPr="00E263F4">
              <w:rPr>
                <w:color w:val="000000"/>
                <w:sz w:val="22"/>
                <w:szCs w:val="22"/>
              </w:rPr>
              <w:t>164</w:t>
            </w:r>
          </w:p>
        </w:tc>
        <w:tc>
          <w:tcPr>
            <w:tcW w:w="697" w:type="pct"/>
            <w:gridSpan w:val="2"/>
            <w:tcBorders>
              <w:top w:val="nil"/>
              <w:left w:val="nil"/>
              <w:bottom w:val="single" w:sz="4" w:space="0" w:color="auto"/>
              <w:right w:val="single" w:sz="4" w:space="0" w:color="auto"/>
            </w:tcBorders>
            <w:shd w:val="clear" w:color="auto" w:fill="auto"/>
            <w:noWrap/>
            <w:vAlign w:val="bottom"/>
          </w:tcPr>
          <w:p w14:paraId="1E23F0CF" w14:textId="1698E9D6" w:rsidR="009359DC" w:rsidRPr="00E263F4" w:rsidRDefault="009359DC" w:rsidP="00E263F4">
            <w:pPr>
              <w:spacing w:before="0" w:after="0" w:line="240" w:lineRule="auto"/>
              <w:jc w:val="center"/>
              <w:rPr>
                <w:color w:val="auto"/>
                <w:sz w:val="20"/>
                <w:szCs w:val="20"/>
              </w:rPr>
            </w:pPr>
            <w:r w:rsidRPr="00E263F4">
              <w:rPr>
                <w:color w:val="000000"/>
                <w:sz w:val="22"/>
                <w:szCs w:val="22"/>
              </w:rPr>
              <w:t>162</w:t>
            </w:r>
          </w:p>
        </w:tc>
        <w:tc>
          <w:tcPr>
            <w:tcW w:w="690" w:type="pct"/>
            <w:gridSpan w:val="2"/>
            <w:tcBorders>
              <w:top w:val="nil"/>
              <w:left w:val="nil"/>
              <w:bottom w:val="single" w:sz="4" w:space="0" w:color="auto"/>
              <w:right w:val="single" w:sz="4" w:space="0" w:color="auto"/>
            </w:tcBorders>
            <w:shd w:val="clear" w:color="auto" w:fill="auto"/>
            <w:noWrap/>
            <w:vAlign w:val="bottom"/>
          </w:tcPr>
          <w:p w14:paraId="63D9EC32" w14:textId="034F7D54"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r>
      <w:tr w:rsidR="009359DC" w:rsidRPr="00E263F4" w14:paraId="2946383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5B46691" w14:textId="77777777" w:rsidR="009359DC" w:rsidRPr="00E263F4" w:rsidRDefault="009359DC" w:rsidP="009359DC">
            <w:pPr>
              <w:spacing w:before="0" w:after="0" w:line="240" w:lineRule="auto"/>
              <w:rPr>
                <w:b/>
                <w:bCs/>
                <w:color w:val="auto"/>
                <w:sz w:val="20"/>
                <w:szCs w:val="20"/>
              </w:rPr>
            </w:pPr>
            <w:r w:rsidRPr="00E263F4">
              <w:rPr>
                <w:b/>
                <w:bCs/>
                <w:color w:val="auto"/>
                <w:sz w:val="20"/>
                <w:szCs w:val="20"/>
              </w:rPr>
              <w:t xml:space="preserve">Grouped Mean </w:t>
            </w:r>
          </w:p>
        </w:tc>
        <w:tc>
          <w:tcPr>
            <w:tcW w:w="658" w:type="pct"/>
            <w:gridSpan w:val="2"/>
            <w:tcBorders>
              <w:top w:val="nil"/>
              <w:left w:val="nil"/>
              <w:bottom w:val="single" w:sz="4" w:space="0" w:color="auto"/>
              <w:right w:val="single" w:sz="4" w:space="0" w:color="auto"/>
            </w:tcBorders>
            <w:shd w:val="clear" w:color="auto" w:fill="auto"/>
            <w:noWrap/>
            <w:vAlign w:val="bottom"/>
          </w:tcPr>
          <w:p w14:paraId="04CFA883" w14:textId="1B87B70A"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194</w:t>
            </w:r>
          </w:p>
        </w:tc>
        <w:tc>
          <w:tcPr>
            <w:tcW w:w="660" w:type="pct"/>
            <w:gridSpan w:val="2"/>
            <w:tcBorders>
              <w:top w:val="nil"/>
              <w:left w:val="nil"/>
              <w:bottom w:val="single" w:sz="4" w:space="0" w:color="auto"/>
              <w:right w:val="single" w:sz="4" w:space="0" w:color="auto"/>
            </w:tcBorders>
            <w:shd w:val="clear" w:color="auto" w:fill="auto"/>
            <w:noWrap/>
            <w:vAlign w:val="bottom"/>
          </w:tcPr>
          <w:p w14:paraId="2D806948" w14:textId="4085C4F7"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191</w:t>
            </w:r>
          </w:p>
        </w:tc>
        <w:tc>
          <w:tcPr>
            <w:tcW w:w="545" w:type="pct"/>
            <w:gridSpan w:val="2"/>
            <w:tcBorders>
              <w:top w:val="nil"/>
              <w:left w:val="nil"/>
              <w:bottom w:val="single" w:sz="4" w:space="0" w:color="auto"/>
              <w:right w:val="single" w:sz="4" w:space="0" w:color="auto"/>
            </w:tcBorders>
            <w:shd w:val="clear" w:color="auto" w:fill="auto"/>
            <w:noWrap/>
            <w:vAlign w:val="bottom"/>
          </w:tcPr>
          <w:p w14:paraId="3253B1C5" w14:textId="66E20966"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188</w:t>
            </w:r>
          </w:p>
        </w:tc>
        <w:tc>
          <w:tcPr>
            <w:tcW w:w="548" w:type="pct"/>
            <w:tcBorders>
              <w:top w:val="nil"/>
              <w:left w:val="nil"/>
              <w:bottom w:val="single" w:sz="4" w:space="0" w:color="auto"/>
              <w:right w:val="single" w:sz="4" w:space="0" w:color="auto"/>
            </w:tcBorders>
            <w:shd w:val="clear" w:color="auto" w:fill="auto"/>
            <w:noWrap/>
            <w:vAlign w:val="bottom"/>
          </w:tcPr>
          <w:p w14:paraId="4FD79866" w14:textId="088F8DD0"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166</w:t>
            </w:r>
          </w:p>
        </w:tc>
        <w:tc>
          <w:tcPr>
            <w:tcW w:w="697" w:type="pct"/>
            <w:gridSpan w:val="2"/>
            <w:tcBorders>
              <w:top w:val="nil"/>
              <w:left w:val="nil"/>
              <w:bottom w:val="single" w:sz="4" w:space="0" w:color="auto"/>
              <w:right w:val="single" w:sz="4" w:space="0" w:color="auto"/>
            </w:tcBorders>
            <w:shd w:val="clear" w:color="auto" w:fill="auto"/>
            <w:noWrap/>
            <w:vAlign w:val="bottom"/>
          </w:tcPr>
          <w:p w14:paraId="1CFE65FC" w14:textId="06400C6E"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170</w:t>
            </w:r>
          </w:p>
        </w:tc>
        <w:tc>
          <w:tcPr>
            <w:tcW w:w="690" w:type="pct"/>
            <w:gridSpan w:val="2"/>
            <w:tcBorders>
              <w:top w:val="nil"/>
              <w:left w:val="nil"/>
              <w:bottom w:val="single" w:sz="4" w:space="0" w:color="auto"/>
              <w:right w:val="single" w:sz="4" w:space="0" w:color="auto"/>
            </w:tcBorders>
            <w:shd w:val="clear" w:color="auto" w:fill="auto"/>
            <w:noWrap/>
            <w:vAlign w:val="bottom"/>
          </w:tcPr>
          <w:p w14:paraId="669B41B9" w14:textId="62297D59"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178</w:t>
            </w:r>
          </w:p>
        </w:tc>
      </w:tr>
      <w:tr w:rsidR="009359DC" w:rsidRPr="00E263F4" w14:paraId="183627B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D054815" w14:textId="77777777" w:rsidR="009359DC" w:rsidRPr="00E263F4" w:rsidRDefault="009359DC" w:rsidP="009359DC">
            <w:pPr>
              <w:spacing w:before="0" w:after="0" w:line="240" w:lineRule="auto"/>
              <w:rPr>
                <w:b/>
                <w:bCs/>
                <w:color w:val="auto"/>
                <w:sz w:val="20"/>
                <w:szCs w:val="20"/>
              </w:rPr>
            </w:pPr>
            <w:r w:rsidRPr="00E263F4">
              <w:rPr>
                <w:b/>
                <w:bCs/>
                <w:color w:val="auto"/>
                <w:sz w:val="20"/>
                <w:szCs w:val="20"/>
              </w:rPr>
              <w:t>SD</w:t>
            </w:r>
          </w:p>
        </w:tc>
        <w:tc>
          <w:tcPr>
            <w:tcW w:w="658" w:type="pct"/>
            <w:gridSpan w:val="2"/>
            <w:tcBorders>
              <w:top w:val="nil"/>
              <w:left w:val="nil"/>
              <w:bottom w:val="single" w:sz="4" w:space="0" w:color="auto"/>
              <w:right w:val="single" w:sz="4" w:space="0" w:color="auto"/>
            </w:tcBorders>
            <w:shd w:val="clear" w:color="auto" w:fill="auto"/>
            <w:noWrap/>
            <w:vAlign w:val="bottom"/>
          </w:tcPr>
          <w:p w14:paraId="3EAB2944" w14:textId="6CBAB1AC"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24</w:t>
            </w:r>
          </w:p>
        </w:tc>
        <w:tc>
          <w:tcPr>
            <w:tcW w:w="660" w:type="pct"/>
            <w:gridSpan w:val="2"/>
            <w:tcBorders>
              <w:top w:val="nil"/>
              <w:left w:val="nil"/>
              <w:bottom w:val="single" w:sz="4" w:space="0" w:color="auto"/>
              <w:right w:val="single" w:sz="4" w:space="0" w:color="auto"/>
            </w:tcBorders>
            <w:shd w:val="clear" w:color="auto" w:fill="auto"/>
            <w:noWrap/>
            <w:vAlign w:val="bottom"/>
          </w:tcPr>
          <w:p w14:paraId="475AF529" w14:textId="513EF45E"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28</w:t>
            </w:r>
          </w:p>
        </w:tc>
        <w:tc>
          <w:tcPr>
            <w:tcW w:w="545" w:type="pct"/>
            <w:gridSpan w:val="2"/>
            <w:tcBorders>
              <w:top w:val="nil"/>
              <w:left w:val="nil"/>
              <w:bottom w:val="single" w:sz="4" w:space="0" w:color="auto"/>
              <w:right w:val="single" w:sz="4" w:space="0" w:color="auto"/>
            </w:tcBorders>
            <w:shd w:val="clear" w:color="auto" w:fill="auto"/>
            <w:noWrap/>
            <w:vAlign w:val="bottom"/>
          </w:tcPr>
          <w:p w14:paraId="077C0F79" w14:textId="77318EBD"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29</w:t>
            </w:r>
          </w:p>
        </w:tc>
        <w:tc>
          <w:tcPr>
            <w:tcW w:w="548" w:type="pct"/>
            <w:tcBorders>
              <w:top w:val="nil"/>
              <w:left w:val="nil"/>
              <w:bottom w:val="single" w:sz="4" w:space="0" w:color="auto"/>
              <w:right w:val="single" w:sz="4" w:space="0" w:color="auto"/>
            </w:tcBorders>
            <w:shd w:val="clear" w:color="auto" w:fill="auto"/>
            <w:noWrap/>
            <w:vAlign w:val="bottom"/>
          </w:tcPr>
          <w:p w14:paraId="3D6A45D0" w14:textId="433DEBA3"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20</w:t>
            </w:r>
          </w:p>
        </w:tc>
        <w:tc>
          <w:tcPr>
            <w:tcW w:w="697" w:type="pct"/>
            <w:gridSpan w:val="2"/>
            <w:tcBorders>
              <w:top w:val="nil"/>
              <w:left w:val="nil"/>
              <w:bottom w:val="single" w:sz="4" w:space="0" w:color="auto"/>
              <w:right w:val="single" w:sz="4" w:space="0" w:color="auto"/>
            </w:tcBorders>
            <w:shd w:val="clear" w:color="auto" w:fill="auto"/>
            <w:noWrap/>
            <w:vAlign w:val="bottom"/>
          </w:tcPr>
          <w:p w14:paraId="31050086" w14:textId="3985932C"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20</w:t>
            </w:r>
          </w:p>
        </w:tc>
        <w:tc>
          <w:tcPr>
            <w:tcW w:w="690" w:type="pct"/>
            <w:gridSpan w:val="2"/>
            <w:tcBorders>
              <w:top w:val="nil"/>
              <w:left w:val="nil"/>
              <w:bottom w:val="single" w:sz="4" w:space="0" w:color="auto"/>
              <w:right w:val="single" w:sz="4" w:space="0" w:color="auto"/>
            </w:tcBorders>
            <w:shd w:val="clear" w:color="auto" w:fill="auto"/>
            <w:noWrap/>
            <w:vAlign w:val="bottom"/>
          </w:tcPr>
          <w:p w14:paraId="27F1E4DB" w14:textId="546BD959"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27</w:t>
            </w:r>
          </w:p>
        </w:tc>
      </w:tr>
      <w:tr w:rsidR="00D0688A" w:rsidRPr="00E263F4" w14:paraId="4A69620A"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4CA0A867"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Middle (40-59 years old)</w:t>
            </w:r>
          </w:p>
        </w:tc>
      </w:tr>
      <w:tr w:rsidR="00D0688A" w:rsidRPr="00E263F4" w14:paraId="2F4B4D32"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47E305AE"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6B5DBB33" w14:textId="77777777" w:rsidR="00D0688A" w:rsidRPr="00E263F4" w:rsidRDefault="00D0688A" w:rsidP="00D0688A">
            <w:pPr>
              <w:spacing w:before="0" w:after="0" w:line="240" w:lineRule="auto"/>
              <w:rPr>
                <w:color w:val="auto"/>
                <w:sz w:val="20"/>
                <w:szCs w:val="20"/>
              </w:rPr>
            </w:pPr>
          </w:p>
          <w:p w14:paraId="05E38F50"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58" w:type="pct"/>
            <w:gridSpan w:val="2"/>
            <w:tcBorders>
              <w:top w:val="nil"/>
              <w:left w:val="nil"/>
              <w:bottom w:val="single" w:sz="4" w:space="0" w:color="auto"/>
              <w:right w:val="single" w:sz="4" w:space="0" w:color="auto"/>
            </w:tcBorders>
            <w:shd w:val="clear" w:color="auto" w:fill="auto"/>
            <w:noWrap/>
            <w:hideMark/>
          </w:tcPr>
          <w:p w14:paraId="05FDA63D" w14:textId="53E30506"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60" w:type="pct"/>
            <w:gridSpan w:val="2"/>
            <w:tcBorders>
              <w:top w:val="nil"/>
              <w:left w:val="nil"/>
              <w:bottom w:val="single" w:sz="4" w:space="0" w:color="auto"/>
              <w:right w:val="single" w:sz="4" w:space="0" w:color="auto"/>
            </w:tcBorders>
            <w:shd w:val="clear" w:color="auto" w:fill="auto"/>
            <w:noWrap/>
            <w:hideMark/>
          </w:tcPr>
          <w:p w14:paraId="6EDF3225" w14:textId="3002D5E2"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545" w:type="pct"/>
            <w:gridSpan w:val="2"/>
            <w:tcBorders>
              <w:top w:val="nil"/>
              <w:left w:val="nil"/>
              <w:bottom w:val="single" w:sz="4" w:space="0" w:color="auto"/>
              <w:right w:val="single" w:sz="4" w:space="0" w:color="auto"/>
            </w:tcBorders>
            <w:shd w:val="clear" w:color="auto" w:fill="auto"/>
            <w:noWrap/>
            <w:hideMark/>
          </w:tcPr>
          <w:p w14:paraId="0393BA4B" w14:textId="1A89585E"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548" w:type="pct"/>
            <w:tcBorders>
              <w:top w:val="nil"/>
              <w:left w:val="nil"/>
              <w:bottom w:val="single" w:sz="4" w:space="0" w:color="auto"/>
              <w:right w:val="single" w:sz="4" w:space="0" w:color="auto"/>
            </w:tcBorders>
            <w:shd w:val="clear" w:color="auto" w:fill="auto"/>
            <w:noWrap/>
            <w:hideMark/>
          </w:tcPr>
          <w:p w14:paraId="555E84AB" w14:textId="562FB2FF"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97" w:type="pct"/>
            <w:gridSpan w:val="2"/>
            <w:tcBorders>
              <w:top w:val="nil"/>
              <w:left w:val="nil"/>
              <w:bottom w:val="single" w:sz="4" w:space="0" w:color="auto"/>
              <w:right w:val="single" w:sz="4" w:space="0" w:color="auto"/>
            </w:tcBorders>
            <w:shd w:val="clear" w:color="auto" w:fill="auto"/>
            <w:noWrap/>
            <w:hideMark/>
          </w:tcPr>
          <w:p w14:paraId="26148185" w14:textId="42A35813"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90" w:type="pct"/>
            <w:gridSpan w:val="2"/>
            <w:tcBorders>
              <w:top w:val="nil"/>
              <w:left w:val="nil"/>
              <w:bottom w:val="single" w:sz="4" w:space="0" w:color="auto"/>
              <w:right w:val="single" w:sz="4" w:space="0" w:color="auto"/>
            </w:tcBorders>
            <w:shd w:val="clear" w:color="auto" w:fill="auto"/>
            <w:noWrap/>
            <w:hideMark/>
          </w:tcPr>
          <w:p w14:paraId="7BB98648" w14:textId="59106F35"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673CE6" w:rsidRPr="00E263F4" w14:paraId="7A449F5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10B567B" w14:textId="77777777" w:rsidR="00673CE6" w:rsidRPr="00E263F4" w:rsidRDefault="00673CE6" w:rsidP="00673CE6">
            <w:pPr>
              <w:spacing w:before="0" w:after="0" w:line="240" w:lineRule="auto"/>
              <w:rPr>
                <w:color w:val="auto"/>
                <w:sz w:val="20"/>
                <w:szCs w:val="20"/>
              </w:rPr>
            </w:pPr>
            <w:r w:rsidRPr="00E263F4">
              <w:rPr>
                <w:color w:val="auto"/>
                <w:sz w:val="20"/>
                <w:szCs w:val="20"/>
              </w:rPr>
              <w:t>1</w:t>
            </w:r>
          </w:p>
        </w:tc>
        <w:tc>
          <w:tcPr>
            <w:tcW w:w="658" w:type="pct"/>
            <w:gridSpan w:val="2"/>
            <w:tcBorders>
              <w:top w:val="nil"/>
              <w:left w:val="nil"/>
              <w:bottom w:val="single" w:sz="4" w:space="0" w:color="auto"/>
              <w:right w:val="single" w:sz="4" w:space="0" w:color="auto"/>
            </w:tcBorders>
            <w:shd w:val="clear" w:color="auto" w:fill="auto"/>
            <w:noWrap/>
            <w:vAlign w:val="bottom"/>
          </w:tcPr>
          <w:p w14:paraId="7B016194" w14:textId="53C36159" w:rsidR="00673CE6" w:rsidRPr="00E263F4" w:rsidRDefault="00673CE6" w:rsidP="00E263F4">
            <w:pPr>
              <w:spacing w:before="0" w:after="0" w:line="240" w:lineRule="auto"/>
              <w:ind w:left="-141"/>
              <w:jc w:val="center"/>
              <w:rPr>
                <w:color w:val="auto"/>
                <w:sz w:val="20"/>
                <w:szCs w:val="20"/>
              </w:rPr>
            </w:pPr>
            <w:r w:rsidRPr="00E263F4">
              <w:rPr>
                <w:color w:val="000000"/>
                <w:sz w:val="22"/>
                <w:szCs w:val="22"/>
              </w:rPr>
              <w:t>244</w:t>
            </w:r>
          </w:p>
        </w:tc>
        <w:tc>
          <w:tcPr>
            <w:tcW w:w="660" w:type="pct"/>
            <w:gridSpan w:val="2"/>
            <w:tcBorders>
              <w:top w:val="nil"/>
              <w:left w:val="nil"/>
              <w:bottom w:val="single" w:sz="4" w:space="0" w:color="auto"/>
              <w:right w:val="single" w:sz="4" w:space="0" w:color="auto"/>
            </w:tcBorders>
            <w:shd w:val="clear" w:color="auto" w:fill="auto"/>
            <w:noWrap/>
            <w:vAlign w:val="bottom"/>
          </w:tcPr>
          <w:p w14:paraId="7F09741B" w14:textId="097A775D" w:rsidR="00673CE6" w:rsidRPr="00E263F4" w:rsidRDefault="00673CE6" w:rsidP="00E263F4">
            <w:pPr>
              <w:spacing w:before="0" w:after="0" w:line="240" w:lineRule="auto"/>
              <w:jc w:val="center"/>
              <w:rPr>
                <w:color w:val="auto"/>
                <w:sz w:val="20"/>
                <w:szCs w:val="20"/>
              </w:rPr>
            </w:pPr>
            <w:r w:rsidRPr="00E263F4">
              <w:rPr>
                <w:color w:val="000000"/>
                <w:sz w:val="22"/>
                <w:szCs w:val="22"/>
              </w:rPr>
              <w:t>301</w:t>
            </w:r>
          </w:p>
        </w:tc>
        <w:tc>
          <w:tcPr>
            <w:tcW w:w="545" w:type="pct"/>
            <w:gridSpan w:val="2"/>
            <w:tcBorders>
              <w:top w:val="nil"/>
              <w:left w:val="nil"/>
              <w:bottom w:val="single" w:sz="4" w:space="0" w:color="auto"/>
              <w:right w:val="single" w:sz="4" w:space="0" w:color="auto"/>
            </w:tcBorders>
            <w:shd w:val="clear" w:color="auto" w:fill="auto"/>
            <w:noWrap/>
            <w:vAlign w:val="bottom"/>
          </w:tcPr>
          <w:p w14:paraId="28B82E11" w14:textId="3A41F112" w:rsidR="00673CE6" w:rsidRPr="00E263F4" w:rsidRDefault="00673CE6" w:rsidP="00E263F4">
            <w:pPr>
              <w:spacing w:before="0" w:after="0" w:line="240" w:lineRule="auto"/>
              <w:jc w:val="center"/>
              <w:rPr>
                <w:color w:val="auto"/>
                <w:sz w:val="20"/>
                <w:szCs w:val="20"/>
              </w:rPr>
            </w:pPr>
            <w:r w:rsidRPr="00E263F4">
              <w:rPr>
                <w:color w:val="000000"/>
                <w:sz w:val="22"/>
                <w:szCs w:val="22"/>
              </w:rPr>
              <w:t>255</w:t>
            </w:r>
          </w:p>
        </w:tc>
        <w:tc>
          <w:tcPr>
            <w:tcW w:w="548" w:type="pct"/>
            <w:tcBorders>
              <w:top w:val="nil"/>
              <w:left w:val="nil"/>
              <w:bottom w:val="single" w:sz="4" w:space="0" w:color="auto"/>
              <w:right w:val="single" w:sz="4" w:space="0" w:color="auto"/>
            </w:tcBorders>
            <w:shd w:val="clear" w:color="auto" w:fill="auto"/>
            <w:noWrap/>
            <w:vAlign w:val="bottom"/>
          </w:tcPr>
          <w:p w14:paraId="3CCBF833" w14:textId="0ECA018E" w:rsidR="00673CE6" w:rsidRPr="00E263F4" w:rsidRDefault="00673CE6" w:rsidP="00E263F4">
            <w:pPr>
              <w:spacing w:before="0" w:after="0" w:line="240" w:lineRule="auto"/>
              <w:jc w:val="center"/>
              <w:rPr>
                <w:color w:val="auto"/>
                <w:sz w:val="20"/>
                <w:szCs w:val="20"/>
              </w:rPr>
            </w:pPr>
            <w:r w:rsidRPr="00E263F4">
              <w:rPr>
                <w:color w:val="000000"/>
                <w:sz w:val="22"/>
                <w:szCs w:val="22"/>
              </w:rPr>
              <w:t>175</w:t>
            </w:r>
          </w:p>
        </w:tc>
        <w:tc>
          <w:tcPr>
            <w:tcW w:w="697" w:type="pct"/>
            <w:gridSpan w:val="2"/>
            <w:tcBorders>
              <w:top w:val="nil"/>
              <w:left w:val="nil"/>
              <w:bottom w:val="single" w:sz="4" w:space="0" w:color="auto"/>
              <w:right w:val="single" w:sz="4" w:space="0" w:color="auto"/>
            </w:tcBorders>
            <w:shd w:val="clear" w:color="auto" w:fill="auto"/>
            <w:noWrap/>
            <w:vAlign w:val="bottom"/>
          </w:tcPr>
          <w:p w14:paraId="77FD94F1" w14:textId="76AA5908" w:rsidR="00673CE6" w:rsidRPr="00E263F4" w:rsidRDefault="00673CE6" w:rsidP="00E263F4">
            <w:pPr>
              <w:spacing w:before="0" w:after="0" w:line="240" w:lineRule="auto"/>
              <w:jc w:val="center"/>
              <w:rPr>
                <w:color w:val="auto"/>
                <w:sz w:val="20"/>
                <w:szCs w:val="20"/>
              </w:rPr>
            </w:pPr>
            <w:r w:rsidRPr="00E263F4">
              <w:rPr>
                <w:color w:val="000000"/>
                <w:sz w:val="22"/>
                <w:szCs w:val="22"/>
              </w:rPr>
              <w:t>163</w:t>
            </w:r>
          </w:p>
        </w:tc>
        <w:tc>
          <w:tcPr>
            <w:tcW w:w="690" w:type="pct"/>
            <w:gridSpan w:val="2"/>
            <w:tcBorders>
              <w:top w:val="nil"/>
              <w:left w:val="nil"/>
              <w:bottom w:val="single" w:sz="4" w:space="0" w:color="auto"/>
              <w:right w:val="single" w:sz="4" w:space="0" w:color="auto"/>
            </w:tcBorders>
            <w:shd w:val="clear" w:color="auto" w:fill="auto"/>
            <w:noWrap/>
            <w:vAlign w:val="bottom"/>
          </w:tcPr>
          <w:p w14:paraId="5647C847" w14:textId="00268DCF" w:rsidR="00673CE6" w:rsidRPr="00E263F4" w:rsidRDefault="00673CE6" w:rsidP="00E263F4">
            <w:pPr>
              <w:spacing w:before="0" w:after="0" w:line="240" w:lineRule="auto"/>
              <w:jc w:val="center"/>
              <w:rPr>
                <w:color w:val="auto"/>
                <w:sz w:val="20"/>
                <w:szCs w:val="20"/>
              </w:rPr>
            </w:pPr>
            <w:r w:rsidRPr="00E263F4">
              <w:rPr>
                <w:color w:val="000000"/>
                <w:sz w:val="22"/>
                <w:szCs w:val="22"/>
              </w:rPr>
              <w:t>193</w:t>
            </w:r>
          </w:p>
        </w:tc>
      </w:tr>
      <w:tr w:rsidR="00673CE6" w:rsidRPr="00E263F4" w14:paraId="6D1AE3E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46D8774" w14:textId="77777777" w:rsidR="00673CE6" w:rsidRPr="00E263F4" w:rsidRDefault="00673CE6" w:rsidP="00673CE6">
            <w:pPr>
              <w:spacing w:before="0" w:after="0" w:line="240" w:lineRule="auto"/>
              <w:rPr>
                <w:color w:val="auto"/>
                <w:sz w:val="20"/>
                <w:szCs w:val="20"/>
              </w:rPr>
            </w:pPr>
            <w:r w:rsidRPr="00E263F4">
              <w:rPr>
                <w:color w:val="auto"/>
                <w:sz w:val="20"/>
                <w:szCs w:val="20"/>
              </w:rPr>
              <w:t>2</w:t>
            </w:r>
          </w:p>
        </w:tc>
        <w:tc>
          <w:tcPr>
            <w:tcW w:w="658" w:type="pct"/>
            <w:gridSpan w:val="2"/>
            <w:tcBorders>
              <w:top w:val="nil"/>
              <w:left w:val="nil"/>
              <w:bottom w:val="single" w:sz="4" w:space="0" w:color="auto"/>
              <w:right w:val="single" w:sz="4" w:space="0" w:color="auto"/>
            </w:tcBorders>
            <w:shd w:val="clear" w:color="auto" w:fill="auto"/>
            <w:noWrap/>
            <w:vAlign w:val="bottom"/>
          </w:tcPr>
          <w:p w14:paraId="58F25152" w14:textId="621AE217" w:rsidR="00673CE6" w:rsidRPr="00E263F4" w:rsidRDefault="00673CE6" w:rsidP="00E263F4">
            <w:pPr>
              <w:spacing w:before="0" w:after="0" w:line="240" w:lineRule="auto"/>
              <w:jc w:val="center"/>
              <w:rPr>
                <w:color w:val="auto"/>
                <w:sz w:val="20"/>
                <w:szCs w:val="20"/>
              </w:rPr>
            </w:pPr>
            <w:r w:rsidRPr="00E263F4">
              <w:rPr>
                <w:color w:val="000000"/>
                <w:sz w:val="22"/>
                <w:szCs w:val="22"/>
              </w:rPr>
              <w:t>214</w:t>
            </w:r>
          </w:p>
        </w:tc>
        <w:tc>
          <w:tcPr>
            <w:tcW w:w="660" w:type="pct"/>
            <w:gridSpan w:val="2"/>
            <w:tcBorders>
              <w:top w:val="nil"/>
              <w:left w:val="nil"/>
              <w:bottom w:val="single" w:sz="4" w:space="0" w:color="auto"/>
              <w:right w:val="single" w:sz="4" w:space="0" w:color="auto"/>
            </w:tcBorders>
            <w:shd w:val="clear" w:color="auto" w:fill="auto"/>
            <w:noWrap/>
            <w:vAlign w:val="bottom"/>
          </w:tcPr>
          <w:p w14:paraId="63268B02" w14:textId="3C60666C" w:rsidR="00673CE6" w:rsidRPr="00E263F4" w:rsidRDefault="00673CE6" w:rsidP="00E263F4">
            <w:pPr>
              <w:spacing w:before="0" w:after="0" w:line="240" w:lineRule="auto"/>
              <w:jc w:val="center"/>
              <w:rPr>
                <w:color w:val="auto"/>
                <w:sz w:val="20"/>
                <w:szCs w:val="20"/>
              </w:rPr>
            </w:pPr>
            <w:r w:rsidRPr="00E263F4">
              <w:rPr>
                <w:color w:val="000000"/>
                <w:sz w:val="22"/>
                <w:szCs w:val="22"/>
              </w:rPr>
              <w:t>212</w:t>
            </w:r>
          </w:p>
        </w:tc>
        <w:tc>
          <w:tcPr>
            <w:tcW w:w="545" w:type="pct"/>
            <w:gridSpan w:val="2"/>
            <w:tcBorders>
              <w:top w:val="nil"/>
              <w:left w:val="nil"/>
              <w:bottom w:val="single" w:sz="4" w:space="0" w:color="auto"/>
              <w:right w:val="single" w:sz="4" w:space="0" w:color="auto"/>
            </w:tcBorders>
            <w:shd w:val="clear" w:color="auto" w:fill="auto"/>
            <w:noWrap/>
            <w:vAlign w:val="bottom"/>
          </w:tcPr>
          <w:p w14:paraId="58AFABDC" w14:textId="59460BD5" w:rsidR="00673CE6" w:rsidRPr="00E263F4" w:rsidRDefault="00673CE6" w:rsidP="00E263F4">
            <w:pPr>
              <w:spacing w:before="0" w:after="0" w:line="240" w:lineRule="auto"/>
              <w:jc w:val="center"/>
              <w:rPr>
                <w:color w:val="auto"/>
                <w:sz w:val="20"/>
                <w:szCs w:val="20"/>
              </w:rPr>
            </w:pPr>
            <w:r w:rsidRPr="00E263F4">
              <w:rPr>
                <w:color w:val="000000"/>
                <w:sz w:val="22"/>
                <w:szCs w:val="22"/>
              </w:rPr>
              <w:t>253</w:t>
            </w:r>
          </w:p>
        </w:tc>
        <w:tc>
          <w:tcPr>
            <w:tcW w:w="548" w:type="pct"/>
            <w:tcBorders>
              <w:top w:val="nil"/>
              <w:left w:val="nil"/>
              <w:bottom w:val="single" w:sz="4" w:space="0" w:color="auto"/>
              <w:right w:val="single" w:sz="4" w:space="0" w:color="auto"/>
            </w:tcBorders>
            <w:shd w:val="clear" w:color="auto" w:fill="auto"/>
            <w:noWrap/>
            <w:vAlign w:val="bottom"/>
          </w:tcPr>
          <w:p w14:paraId="6660F27B" w14:textId="6F40D8F8" w:rsidR="00673CE6" w:rsidRPr="00E263F4" w:rsidRDefault="00673CE6" w:rsidP="00E263F4">
            <w:pPr>
              <w:spacing w:before="0" w:after="0" w:line="240" w:lineRule="auto"/>
              <w:jc w:val="center"/>
              <w:rPr>
                <w:color w:val="auto"/>
                <w:sz w:val="20"/>
                <w:szCs w:val="20"/>
              </w:rPr>
            </w:pPr>
            <w:r w:rsidRPr="00E263F4">
              <w:rPr>
                <w:color w:val="000000"/>
                <w:sz w:val="22"/>
                <w:szCs w:val="22"/>
              </w:rPr>
              <w:t>163</w:t>
            </w:r>
          </w:p>
        </w:tc>
        <w:tc>
          <w:tcPr>
            <w:tcW w:w="697" w:type="pct"/>
            <w:gridSpan w:val="2"/>
            <w:tcBorders>
              <w:top w:val="nil"/>
              <w:left w:val="nil"/>
              <w:bottom w:val="single" w:sz="4" w:space="0" w:color="auto"/>
              <w:right w:val="single" w:sz="4" w:space="0" w:color="auto"/>
            </w:tcBorders>
            <w:shd w:val="clear" w:color="auto" w:fill="auto"/>
            <w:noWrap/>
            <w:vAlign w:val="bottom"/>
          </w:tcPr>
          <w:p w14:paraId="3043578A" w14:textId="25D0A632" w:rsidR="00673CE6" w:rsidRPr="00E263F4" w:rsidRDefault="00673CE6" w:rsidP="00E263F4">
            <w:pPr>
              <w:spacing w:before="0" w:after="0" w:line="240" w:lineRule="auto"/>
              <w:jc w:val="center"/>
              <w:rPr>
                <w:color w:val="auto"/>
                <w:sz w:val="20"/>
                <w:szCs w:val="20"/>
              </w:rPr>
            </w:pPr>
            <w:r w:rsidRPr="00E263F4">
              <w:rPr>
                <w:color w:val="000000"/>
                <w:sz w:val="22"/>
                <w:szCs w:val="22"/>
              </w:rPr>
              <w:t>173</w:t>
            </w:r>
          </w:p>
        </w:tc>
        <w:tc>
          <w:tcPr>
            <w:tcW w:w="690" w:type="pct"/>
            <w:gridSpan w:val="2"/>
            <w:tcBorders>
              <w:top w:val="nil"/>
              <w:left w:val="nil"/>
              <w:bottom w:val="single" w:sz="4" w:space="0" w:color="auto"/>
              <w:right w:val="single" w:sz="4" w:space="0" w:color="auto"/>
            </w:tcBorders>
            <w:shd w:val="clear" w:color="auto" w:fill="auto"/>
            <w:noWrap/>
            <w:vAlign w:val="bottom"/>
          </w:tcPr>
          <w:p w14:paraId="22821077" w14:textId="508488A1" w:rsidR="00673CE6" w:rsidRPr="00E263F4" w:rsidRDefault="00673CE6" w:rsidP="00E263F4">
            <w:pPr>
              <w:spacing w:before="0" w:after="0" w:line="240" w:lineRule="auto"/>
              <w:jc w:val="center"/>
              <w:rPr>
                <w:color w:val="auto"/>
                <w:sz w:val="20"/>
                <w:szCs w:val="20"/>
              </w:rPr>
            </w:pPr>
            <w:r w:rsidRPr="00E263F4">
              <w:rPr>
                <w:color w:val="000000"/>
                <w:sz w:val="22"/>
                <w:szCs w:val="22"/>
              </w:rPr>
              <w:t>183</w:t>
            </w:r>
          </w:p>
        </w:tc>
      </w:tr>
      <w:tr w:rsidR="00673CE6" w:rsidRPr="00E263F4" w14:paraId="7CFD51A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0AAAC63" w14:textId="77777777" w:rsidR="00673CE6" w:rsidRPr="00E263F4" w:rsidRDefault="00673CE6" w:rsidP="00673CE6">
            <w:pPr>
              <w:spacing w:before="0" w:after="0" w:line="240" w:lineRule="auto"/>
              <w:rPr>
                <w:color w:val="auto"/>
                <w:sz w:val="20"/>
                <w:szCs w:val="20"/>
              </w:rPr>
            </w:pPr>
            <w:r w:rsidRPr="00E263F4">
              <w:rPr>
                <w:color w:val="auto"/>
                <w:sz w:val="20"/>
                <w:szCs w:val="20"/>
              </w:rPr>
              <w:t>3</w:t>
            </w:r>
          </w:p>
        </w:tc>
        <w:tc>
          <w:tcPr>
            <w:tcW w:w="658" w:type="pct"/>
            <w:gridSpan w:val="2"/>
            <w:tcBorders>
              <w:top w:val="nil"/>
              <w:left w:val="nil"/>
              <w:bottom w:val="single" w:sz="4" w:space="0" w:color="auto"/>
              <w:right w:val="single" w:sz="4" w:space="0" w:color="auto"/>
            </w:tcBorders>
            <w:shd w:val="clear" w:color="auto" w:fill="auto"/>
            <w:noWrap/>
            <w:vAlign w:val="bottom"/>
          </w:tcPr>
          <w:p w14:paraId="7EA41087" w14:textId="077A78BC" w:rsidR="00673CE6" w:rsidRPr="00E263F4" w:rsidRDefault="00673CE6" w:rsidP="00E263F4">
            <w:pPr>
              <w:spacing w:before="0" w:after="0" w:line="240" w:lineRule="auto"/>
              <w:jc w:val="center"/>
              <w:rPr>
                <w:color w:val="auto"/>
                <w:sz w:val="20"/>
                <w:szCs w:val="20"/>
              </w:rPr>
            </w:pPr>
            <w:r w:rsidRPr="00E263F4">
              <w:rPr>
                <w:color w:val="000000"/>
                <w:sz w:val="22"/>
                <w:szCs w:val="22"/>
              </w:rPr>
              <w:t>223</w:t>
            </w:r>
          </w:p>
        </w:tc>
        <w:tc>
          <w:tcPr>
            <w:tcW w:w="660" w:type="pct"/>
            <w:gridSpan w:val="2"/>
            <w:tcBorders>
              <w:top w:val="nil"/>
              <w:left w:val="nil"/>
              <w:bottom w:val="single" w:sz="4" w:space="0" w:color="auto"/>
              <w:right w:val="single" w:sz="4" w:space="0" w:color="auto"/>
            </w:tcBorders>
            <w:shd w:val="clear" w:color="auto" w:fill="auto"/>
            <w:noWrap/>
            <w:vAlign w:val="bottom"/>
          </w:tcPr>
          <w:p w14:paraId="771AFE94" w14:textId="00767B86" w:rsidR="00673CE6" w:rsidRPr="00E263F4" w:rsidRDefault="00673CE6" w:rsidP="00E263F4">
            <w:pPr>
              <w:spacing w:before="0" w:after="0" w:line="240" w:lineRule="auto"/>
              <w:jc w:val="center"/>
              <w:rPr>
                <w:color w:val="auto"/>
                <w:sz w:val="20"/>
                <w:szCs w:val="20"/>
              </w:rPr>
            </w:pPr>
            <w:r w:rsidRPr="00E263F4">
              <w:rPr>
                <w:color w:val="000000"/>
                <w:sz w:val="22"/>
                <w:szCs w:val="22"/>
              </w:rPr>
              <w:t>192</w:t>
            </w:r>
          </w:p>
        </w:tc>
        <w:tc>
          <w:tcPr>
            <w:tcW w:w="545" w:type="pct"/>
            <w:gridSpan w:val="2"/>
            <w:tcBorders>
              <w:top w:val="nil"/>
              <w:left w:val="nil"/>
              <w:bottom w:val="single" w:sz="4" w:space="0" w:color="auto"/>
              <w:right w:val="single" w:sz="4" w:space="0" w:color="auto"/>
            </w:tcBorders>
            <w:shd w:val="clear" w:color="auto" w:fill="auto"/>
            <w:noWrap/>
            <w:vAlign w:val="bottom"/>
          </w:tcPr>
          <w:p w14:paraId="61A57790" w14:textId="5C6D7222" w:rsidR="00673CE6" w:rsidRPr="00E263F4" w:rsidRDefault="00673CE6" w:rsidP="00E263F4">
            <w:pPr>
              <w:spacing w:before="0" w:after="0" w:line="240" w:lineRule="auto"/>
              <w:jc w:val="center"/>
              <w:rPr>
                <w:color w:val="auto"/>
                <w:sz w:val="20"/>
                <w:szCs w:val="20"/>
              </w:rPr>
            </w:pPr>
            <w:r w:rsidRPr="00E263F4">
              <w:rPr>
                <w:color w:val="000000"/>
                <w:sz w:val="22"/>
                <w:szCs w:val="22"/>
              </w:rPr>
              <w:t>195</w:t>
            </w:r>
          </w:p>
        </w:tc>
        <w:tc>
          <w:tcPr>
            <w:tcW w:w="548" w:type="pct"/>
            <w:tcBorders>
              <w:top w:val="nil"/>
              <w:left w:val="nil"/>
              <w:bottom w:val="single" w:sz="4" w:space="0" w:color="auto"/>
              <w:right w:val="single" w:sz="4" w:space="0" w:color="auto"/>
            </w:tcBorders>
            <w:shd w:val="clear" w:color="auto" w:fill="auto"/>
            <w:noWrap/>
            <w:vAlign w:val="bottom"/>
          </w:tcPr>
          <w:p w14:paraId="23E8BCA3" w14:textId="6DC073DE" w:rsidR="00673CE6" w:rsidRPr="00E263F4" w:rsidRDefault="00673CE6" w:rsidP="00E263F4">
            <w:pPr>
              <w:spacing w:before="0" w:after="0" w:line="240" w:lineRule="auto"/>
              <w:jc w:val="center"/>
              <w:rPr>
                <w:color w:val="auto"/>
                <w:sz w:val="20"/>
                <w:szCs w:val="20"/>
              </w:rPr>
            </w:pPr>
            <w:r w:rsidRPr="00E263F4">
              <w:rPr>
                <w:color w:val="000000"/>
                <w:sz w:val="22"/>
                <w:szCs w:val="22"/>
              </w:rPr>
              <w:t>188</w:t>
            </w:r>
          </w:p>
        </w:tc>
        <w:tc>
          <w:tcPr>
            <w:tcW w:w="697" w:type="pct"/>
            <w:gridSpan w:val="2"/>
            <w:tcBorders>
              <w:top w:val="nil"/>
              <w:left w:val="nil"/>
              <w:bottom w:val="single" w:sz="4" w:space="0" w:color="auto"/>
              <w:right w:val="single" w:sz="4" w:space="0" w:color="auto"/>
            </w:tcBorders>
            <w:shd w:val="clear" w:color="auto" w:fill="auto"/>
            <w:noWrap/>
            <w:vAlign w:val="bottom"/>
          </w:tcPr>
          <w:p w14:paraId="32996D37" w14:textId="0B29F813" w:rsidR="00673CE6" w:rsidRPr="00E263F4" w:rsidRDefault="00673CE6" w:rsidP="00E263F4">
            <w:pPr>
              <w:spacing w:before="0" w:after="0" w:line="240" w:lineRule="auto"/>
              <w:jc w:val="center"/>
              <w:rPr>
                <w:color w:val="auto"/>
                <w:sz w:val="20"/>
                <w:szCs w:val="20"/>
              </w:rPr>
            </w:pPr>
            <w:r w:rsidRPr="00E263F4">
              <w:rPr>
                <w:color w:val="000000"/>
                <w:sz w:val="22"/>
                <w:szCs w:val="22"/>
              </w:rPr>
              <w:t>223</w:t>
            </w:r>
          </w:p>
        </w:tc>
        <w:tc>
          <w:tcPr>
            <w:tcW w:w="690" w:type="pct"/>
            <w:gridSpan w:val="2"/>
            <w:tcBorders>
              <w:top w:val="nil"/>
              <w:left w:val="nil"/>
              <w:bottom w:val="single" w:sz="4" w:space="0" w:color="auto"/>
              <w:right w:val="single" w:sz="4" w:space="0" w:color="auto"/>
            </w:tcBorders>
            <w:shd w:val="clear" w:color="auto" w:fill="auto"/>
            <w:noWrap/>
            <w:vAlign w:val="bottom"/>
          </w:tcPr>
          <w:p w14:paraId="42FFB311" w14:textId="641E9E15" w:rsidR="00673CE6" w:rsidRPr="00E263F4" w:rsidRDefault="00673CE6" w:rsidP="00E263F4">
            <w:pPr>
              <w:spacing w:before="0" w:after="0" w:line="240" w:lineRule="auto"/>
              <w:jc w:val="center"/>
              <w:rPr>
                <w:color w:val="auto"/>
                <w:sz w:val="20"/>
                <w:szCs w:val="20"/>
              </w:rPr>
            </w:pPr>
            <w:r w:rsidRPr="00E263F4">
              <w:rPr>
                <w:color w:val="000000"/>
                <w:sz w:val="22"/>
                <w:szCs w:val="22"/>
              </w:rPr>
              <w:t>193</w:t>
            </w:r>
          </w:p>
        </w:tc>
      </w:tr>
      <w:tr w:rsidR="00673CE6" w:rsidRPr="00E263F4" w14:paraId="5F581F6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90FD47A" w14:textId="77777777" w:rsidR="00673CE6" w:rsidRPr="00E263F4" w:rsidRDefault="00673CE6" w:rsidP="00673CE6">
            <w:pPr>
              <w:spacing w:before="0" w:after="0" w:line="240" w:lineRule="auto"/>
              <w:rPr>
                <w:color w:val="auto"/>
                <w:sz w:val="20"/>
                <w:szCs w:val="20"/>
              </w:rPr>
            </w:pPr>
            <w:r w:rsidRPr="00E263F4">
              <w:rPr>
                <w:color w:val="auto"/>
                <w:sz w:val="20"/>
                <w:szCs w:val="20"/>
              </w:rPr>
              <w:t>4</w:t>
            </w:r>
          </w:p>
        </w:tc>
        <w:tc>
          <w:tcPr>
            <w:tcW w:w="658" w:type="pct"/>
            <w:gridSpan w:val="2"/>
            <w:tcBorders>
              <w:top w:val="nil"/>
              <w:left w:val="nil"/>
              <w:bottom w:val="single" w:sz="4" w:space="0" w:color="auto"/>
              <w:right w:val="single" w:sz="4" w:space="0" w:color="auto"/>
            </w:tcBorders>
            <w:shd w:val="clear" w:color="auto" w:fill="auto"/>
            <w:noWrap/>
            <w:vAlign w:val="bottom"/>
          </w:tcPr>
          <w:p w14:paraId="5F5725C8" w14:textId="05A379C7" w:rsidR="00673CE6" w:rsidRPr="00E263F4" w:rsidRDefault="00673CE6" w:rsidP="00E263F4">
            <w:pPr>
              <w:spacing w:before="0" w:after="0" w:line="240" w:lineRule="auto"/>
              <w:jc w:val="center"/>
              <w:rPr>
                <w:color w:val="auto"/>
                <w:sz w:val="20"/>
                <w:szCs w:val="20"/>
              </w:rPr>
            </w:pPr>
            <w:r w:rsidRPr="00E263F4">
              <w:rPr>
                <w:color w:val="000000"/>
                <w:sz w:val="22"/>
                <w:szCs w:val="22"/>
              </w:rPr>
              <w:t>184</w:t>
            </w:r>
          </w:p>
        </w:tc>
        <w:tc>
          <w:tcPr>
            <w:tcW w:w="660" w:type="pct"/>
            <w:gridSpan w:val="2"/>
            <w:tcBorders>
              <w:top w:val="nil"/>
              <w:left w:val="nil"/>
              <w:bottom w:val="single" w:sz="4" w:space="0" w:color="auto"/>
              <w:right w:val="single" w:sz="4" w:space="0" w:color="auto"/>
            </w:tcBorders>
            <w:shd w:val="clear" w:color="auto" w:fill="auto"/>
            <w:noWrap/>
            <w:vAlign w:val="bottom"/>
          </w:tcPr>
          <w:p w14:paraId="2D516537" w14:textId="6B837B37" w:rsidR="00673CE6" w:rsidRPr="00E263F4" w:rsidRDefault="00673CE6" w:rsidP="00E263F4">
            <w:pPr>
              <w:spacing w:before="0" w:after="0" w:line="240" w:lineRule="auto"/>
              <w:jc w:val="center"/>
              <w:rPr>
                <w:color w:val="auto"/>
                <w:sz w:val="20"/>
                <w:szCs w:val="20"/>
              </w:rPr>
            </w:pPr>
            <w:r w:rsidRPr="00E263F4">
              <w:rPr>
                <w:color w:val="000000"/>
                <w:sz w:val="22"/>
                <w:szCs w:val="22"/>
              </w:rPr>
              <w:t>182</w:t>
            </w:r>
          </w:p>
        </w:tc>
        <w:tc>
          <w:tcPr>
            <w:tcW w:w="545" w:type="pct"/>
            <w:gridSpan w:val="2"/>
            <w:tcBorders>
              <w:top w:val="nil"/>
              <w:left w:val="nil"/>
              <w:bottom w:val="single" w:sz="4" w:space="0" w:color="auto"/>
              <w:right w:val="single" w:sz="4" w:space="0" w:color="auto"/>
            </w:tcBorders>
            <w:shd w:val="clear" w:color="auto" w:fill="auto"/>
            <w:noWrap/>
            <w:vAlign w:val="bottom"/>
          </w:tcPr>
          <w:p w14:paraId="26A4B69D" w14:textId="2E1AE877" w:rsidR="00673CE6" w:rsidRPr="00E263F4" w:rsidRDefault="00673CE6" w:rsidP="00E263F4">
            <w:pPr>
              <w:spacing w:before="0" w:after="0" w:line="240" w:lineRule="auto"/>
              <w:jc w:val="center"/>
              <w:rPr>
                <w:color w:val="auto"/>
                <w:sz w:val="20"/>
                <w:szCs w:val="20"/>
              </w:rPr>
            </w:pPr>
            <w:r w:rsidRPr="00E263F4">
              <w:rPr>
                <w:color w:val="000000"/>
                <w:sz w:val="22"/>
                <w:szCs w:val="22"/>
              </w:rPr>
              <w:t>195</w:t>
            </w:r>
          </w:p>
        </w:tc>
        <w:tc>
          <w:tcPr>
            <w:tcW w:w="548" w:type="pct"/>
            <w:tcBorders>
              <w:top w:val="nil"/>
              <w:left w:val="nil"/>
              <w:bottom w:val="single" w:sz="4" w:space="0" w:color="auto"/>
              <w:right w:val="single" w:sz="4" w:space="0" w:color="auto"/>
            </w:tcBorders>
            <w:shd w:val="clear" w:color="auto" w:fill="auto"/>
            <w:noWrap/>
            <w:vAlign w:val="bottom"/>
          </w:tcPr>
          <w:p w14:paraId="17FE7164" w14:textId="5954DDE4" w:rsidR="00673CE6" w:rsidRPr="00E263F4" w:rsidRDefault="00673CE6" w:rsidP="00E263F4">
            <w:pPr>
              <w:spacing w:before="0" w:after="0" w:line="240" w:lineRule="auto"/>
              <w:jc w:val="center"/>
              <w:rPr>
                <w:color w:val="auto"/>
                <w:sz w:val="20"/>
                <w:szCs w:val="20"/>
              </w:rPr>
            </w:pPr>
            <w:r w:rsidRPr="00E263F4">
              <w:rPr>
                <w:color w:val="000000"/>
                <w:sz w:val="22"/>
                <w:szCs w:val="22"/>
              </w:rPr>
              <w:t>162</w:t>
            </w:r>
          </w:p>
        </w:tc>
        <w:tc>
          <w:tcPr>
            <w:tcW w:w="697" w:type="pct"/>
            <w:gridSpan w:val="2"/>
            <w:tcBorders>
              <w:top w:val="nil"/>
              <w:left w:val="nil"/>
              <w:bottom w:val="single" w:sz="4" w:space="0" w:color="auto"/>
              <w:right w:val="single" w:sz="4" w:space="0" w:color="auto"/>
            </w:tcBorders>
            <w:shd w:val="clear" w:color="auto" w:fill="auto"/>
            <w:noWrap/>
            <w:vAlign w:val="bottom"/>
          </w:tcPr>
          <w:p w14:paraId="1750C054" w14:textId="27D16AAB" w:rsidR="00673CE6" w:rsidRPr="00E263F4" w:rsidRDefault="00673CE6" w:rsidP="00E263F4">
            <w:pPr>
              <w:spacing w:before="0" w:after="0" w:line="240" w:lineRule="auto"/>
              <w:jc w:val="center"/>
              <w:rPr>
                <w:color w:val="auto"/>
                <w:sz w:val="20"/>
                <w:szCs w:val="20"/>
              </w:rPr>
            </w:pPr>
            <w:r w:rsidRPr="00E263F4">
              <w:rPr>
                <w:color w:val="000000"/>
                <w:sz w:val="22"/>
                <w:szCs w:val="22"/>
              </w:rPr>
              <w:t>169</w:t>
            </w:r>
          </w:p>
        </w:tc>
        <w:tc>
          <w:tcPr>
            <w:tcW w:w="690" w:type="pct"/>
            <w:gridSpan w:val="2"/>
            <w:tcBorders>
              <w:top w:val="nil"/>
              <w:left w:val="nil"/>
              <w:bottom w:val="single" w:sz="4" w:space="0" w:color="auto"/>
              <w:right w:val="single" w:sz="4" w:space="0" w:color="auto"/>
            </w:tcBorders>
            <w:shd w:val="clear" w:color="auto" w:fill="auto"/>
            <w:noWrap/>
            <w:vAlign w:val="bottom"/>
          </w:tcPr>
          <w:p w14:paraId="0FEF166F" w14:textId="27F5D8BF" w:rsidR="00673CE6" w:rsidRPr="00E263F4" w:rsidRDefault="00673CE6" w:rsidP="00E263F4">
            <w:pPr>
              <w:spacing w:before="0" w:after="0" w:line="240" w:lineRule="auto"/>
              <w:jc w:val="center"/>
              <w:rPr>
                <w:color w:val="auto"/>
                <w:sz w:val="20"/>
                <w:szCs w:val="20"/>
              </w:rPr>
            </w:pPr>
            <w:r w:rsidRPr="00E263F4">
              <w:rPr>
                <w:color w:val="000000"/>
                <w:sz w:val="22"/>
                <w:szCs w:val="22"/>
              </w:rPr>
              <w:t>168</w:t>
            </w:r>
          </w:p>
        </w:tc>
      </w:tr>
      <w:tr w:rsidR="00673CE6" w:rsidRPr="00E263F4" w14:paraId="1A8D689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F0E9527" w14:textId="77777777" w:rsidR="00673CE6" w:rsidRPr="00E263F4" w:rsidRDefault="00673CE6" w:rsidP="00673CE6">
            <w:pPr>
              <w:spacing w:before="0" w:after="0" w:line="240" w:lineRule="auto"/>
              <w:rPr>
                <w:color w:val="auto"/>
                <w:sz w:val="20"/>
                <w:szCs w:val="20"/>
              </w:rPr>
            </w:pPr>
            <w:r w:rsidRPr="00E263F4">
              <w:rPr>
                <w:color w:val="auto"/>
                <w:sz w:val="20"/>
                <w:szCs w:val="20"/>
              </w:rPr>
              <w:t>5</w:t>
            </w:r>
          </w:p>
        </w:tc>
        <w:tc>
          <w:tcPr>
            <w:tcW w:w="658" w:type="pct"/>
            <w:gridSpan w:val="2"/>
            <w:tcBorders>
              <w:top w:val="nil"/>
              <w:left w:val="nil"/>
              <w:bottom w:val="single" w:sz="4" w:space="0" w:color="auto"/>
              <w:right w:val="single" w:sz="4" w:space="0" w:color="auto"/>
            </w:tcBorders>
            <w:shd w:val="clear" w:color="auto" w:fill="auto"/>
            <w:noWrap/>
            <w:vAlign w:val="bottom"/>
          </w:tcPr>
          <w:p w14:paraId="2D7CDF39" w14:textId="1D88DAD3" w:rsidR="00673CE6" w:rsidRPr="00E263F4" w:rsidRDefault="00673CE6" w:rsidP="00E263F4">
            <w:pPr>
              <w:spacing w:before="0" w:after="0" w:line="240" w:lineRule="auto"/>
              <w:jc w:val="center"/>
              <w:rPr>
                <w:color w:val="auto"/>
                <w:sz w:val="20"/>
                <w:szCs w:val="20"/>
              </w:rPr>
            </w:pPr>
            <w:r w:rsidRPr="00E263F4">
              <w:rPr>
                <w:color w:val="000000"/>
                <w:sz w:val="22"/>
                <w:szCs w:val="22"/>
              </w:rPr>
              <w:t>213</w:t>
            </w:r>
          </w:p>
        </w:tc>
        <w:tc>
          <w:tcPr>
            <w:tcW w:w="660" w:type="pct"/>
            <w:gridSpan w:val="2"/>
            <w:tcBorders>
              <w:top w:val="nil"/>
              <w:left w:val="nil"/>
              <w:bottom w:val="single" w:sz="4" w:space="0" w:color="auto"/>
              <w:right w:val="single" w:sz="4" w:space="0" w:color="auto"/>
            </w:tcBorders>
            <w:shd w:val="clear" w:color="auto" w:fill="auto"/>
            <w:noWrap/>
            <w:vAlign w:val="bottom"/>
          </w:tcPr>
          <w:p w14:paraId="2A8C5052" w14:textId="263F966A" w:rsidR="00673CE6" w:rsidRPr="00E263F4" w:rsidRDefault="00673CE6" w:rsidP="00E263F4">
            <w:pPr>
              <w:spacing w:before="0" w:after="0" w:line="240" w:lineRule="auto"/>
              <w:jc w:val="center"/>
              <w:rPr>
                <w:color w:val="auto"/>
                <w:sz w:val="20"/>
                <w:szCs w:val="20"/>
              </w:rPr>
            </w:pPr>
            <w:r w:rsidRPr="00E263F4">
              <w:rPr>
                <w:color w:val="000000"/>
                <w:sz w:val="22"/>
                <w:szCs w:val="22"/>
              </w:rPr>
              <w:t>224</w:t>
            </w:r>
          </w:p>
        </w:tc>
        <w:tc>
          <w:tcPr>
            <w:tcW w:w="545" w:type="pct"/>
            <w:gridSpan w:val="2"/>
            <w:tcBorders>
              <w:top w:val="nil"/>
              <w:left w:val="nil"/>
              <w:bottom w:val="single" w:sz="4" w:space="0" w:color="auto"/>
              <w:right w:val="single" w:sz="4" w:space="0" w:color="auto"/>
            </w:tcBorders>
            <w:shd w:val="clear" w:color="auto" w:fill="auto"/>
            <w:noWrap/>
            <w:vAlign w:val="bottom"/>
          </w:tcPr>
          <w:p w14:paraId="63F21F9F" w14:textId="707A181A" w:rsidR="00673CE6" w:rsidRPr="00E263F4" w:rsidRDefault="00673CE6" w:rsidP="00E263F4">
            <w:pPr>
              <w:spacing w:before="0" w:after="0" w:line="240" w:lineRule="auto"/>
              <w:jc w:val="center"/>
              <w:rPr>
                <w:color w:val="auto"/>
                <w:sz w:val="20"/>
                <w:szCs w:val="20"/>
              </w:rPr>
            </w:pPr>
            <w:r w:rsidRPr="00E263F4">
              <w:rPr>
                <w:color w:val="000000"/>
                <w:sz w:val="22"/>
                <w:szCs w:val="22"/>
              </w:rPr>
              <w:t>204</w:t>
            </w:r>
          </w:p>
        </w:tc>
        <w:tc>
          <w:tcPr>
            <w:tcW w:w="548" w:type="pct"/>
            <w:tcBorders>
              <w:top w:val="nil"/>
              <w:left w:val="nil"/>
              <w:bottom w:val="single" w:sz="4" w:space="0" w:color="auto"/>
              <w:right w:val="single" w:sz="4" w:space="0" w:color="auto"/>
            </w:tcBorders>
            <w:shd w:val="clear" w:color="auto" w:fill="auto"/>
            <w:noWrap/>
            <w:vAlign w:val="bottom"/>
          </w:tcPr>
          <w:p w14:paraId="5AB3FBB0" w14:textId="16FB951C" w:rsidR="00673CE6" w:rsidRPr="00E263F4" w:rsidRDefault="00673CE6" w:rsidP="00E263F4">
            <w:pPr>
              <w:spacing w:before="0" w:after="0" w:line="240" w:lineRule="auto"/>
              <w:jc w:val="center"/>
              <w:rPr>
                <w:color w:val="auto"/>
                <w:sz w:val="20"/>
                <w:szCs w:val="20"/>
              </w:rPr>
            </w:pPr>
            <w:r w:rsidRPr="00E263F4">
              <w:rPr>
                <w:color w:val="000000"/>
                <w:sz w:val="22"/>
                <w:szCs w:val="22"/>
              </w:rPr>
              <w:t>182</w:t>
            </w:r>
          </w:p>
        </w:tc>
        <w:tc>
          <w:tcPr>
            <w:tcW w:w="697" w:type="pct"/>
            <w:gridSpan w:val="2"/>
            <w:tcBorders>
              <w:top w:val="nil"/>
              <w:left w:val="nil"/>
              <w:bottom w:val="single" w:sz="4" w:space="0" w:color="auto"/>
              <w:right w:val="single" w:sz="4" w:space="0" w:color="auto"/>
            </w:tcBorders>
            <w:shd w:val="clear" w:color="auto" w:fill="auto"/>
            <w:noWrap/>
            <w:vAlign w:val="bottom"/>
          </w:tcPr>
          <w:p w14:paraId="45CB827A" w14:textId="4C9409CB" w:rsidR="00673CE6" w:rsidRPr="00E263F4" w:rsidRDefault="00673CE6" w:rsidP="00E263F4">
            <w:pPr>
              <w:spacing w:before="0" w:after="0" w:line="240" w:lineRule="auto"/>
              <w:jc w:val="center"/>
              <w:rPr>
                <w:color w:val="auto"/>
                <w:sz w:val="20"/>
                <w:szCs w:val="20"/>
              </w:rPr>
            </w:pPr>
            <w:r w:rsidRPr="00E263F4">
              <w:rPr>
                <w:color w:val="000000"/>
                <w:sz w:val="22"/>
                <w:szCs w:val="22"/>
              </w:rPr>
              <w:t>183</w:t>
            </w:r>
          </w:p>
        </w:tc>
        <w:tc>
          <w:tcPr>
            <w:tcW w:w="690" w:type="pct"/>
            <w:gridSpan w:val="2"/>
            <w:tcBorders>
              <w:top w:val="nil"/>
              <w:left w:val="nil"/>
              <w:bottom w:val="single" w:sz="4" w:space="0" w:color="auto"/>
              <w:right w:val="single" w:sz="4" w:space="0" w:color="auto"/>
            </w:tcBorders>
            <w:shd w:val="clear" w:color="auto" w:fill="auto"/>
            <w:noWrap/>
            <w:vAlign w:val="bottom"/>
          </w:tcPr>
          <w:p w14:paraId="2B595F9C" w14:textId="66489A8B" w:rsidR="00673CE6" w:rsidRPr="00E263F4" w:rsidRDefault="00673CE6" w:rsidP="00E263F4">
            <w:pPr>
              <w:spacing w:before="0" w:after="0" w:line="240" w:lineRule="auto"/>
              <w:jc w:val="center"/>
              <w:rPr>
                <w:color w:val="auto"/>
                <w:sz w:val="20"/>
                <w:szCs w:val="20"/>
              </w:rPr>
            </w:pPr>
            <w:r w:rsidRPr="00E263F4">
              <w:rPr>
                <w:color w:val="000000"/>
                <w:sz w:val="22"/>
                <w:szCs w:val="22"/>
              </w:rPr>
              <w:t>189</w:t>
            </w:r>
          </w:p>
        </w:tc>
      </w:tr>
      <w:tr w:rsidR="00673CE6" w:rsidRPr="00E263F4" w14:paraId="4657E84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8463509" w14:textId="77777777" w:rsidR="00673CE6" w:rsidRPr="00E263F4" w:rsidRDefault="00673CE6" w:rsidP="00673CE6">
            <w:pPr>
              <w:spacing w:before="0" w:after="0" w:line="240" w:lineRule="auto"/>
              <w:rPr>
                <w:color w:val="auto"/>
                <w:sz w:val="20"/>
                <w:szCs w:val="20"/>
              </w:rPr>
            </w:pPr>
            <w:r w:rsidRPr="00E263F4">
              <w:rPr>
                <w:color w:val="auto"/>
                <w:sz w:val="20"/>
                <w:szCs w:val="20"/>
              </w:rPr>
              <w:t>6</w:t>
            </w:r>
          </w:p>
        </w:tc>
        <w:tc>
          <w:tcPr>
            <w:tcW w:w="658" w:type="pct"/>
            <w:gridSpan w:val="2"/>
            <w:tcBorders>
              <w:top w:val="nil"/>
              <w:left w:val="nil"/>
              <w:bottom w:val="single" w:sz="4" w:space="0" w:color="auto"/>
              <w:right w:val="single" w:sz="4" w:space="0" w:color="auto"/>
            </w:tcBorders>
            <w:shd w:val="clear" w:color="auto" w:fill="auto"/>
            <w:noWrap/>
            <w:vAlign w:val="bottom"/>
          </w:tcPr>
          <w:p w14:paraId="786D79BA" w14:textId="0A5DB29F" w:rsidR="00673CE6" w:rsidRPr="00E263F4" w:rsidRDefault="00673CE6" w:rsidP="00E263F4">
            <w:pPr>
              <w:spacing w:before="0" w:after="0" w:line="240" w:lineRule="auto"/>
              <w:jc w:val="center"/>
              <w:rPr>
                <w:color w:val="auto"/>
                <w:sz w:val="20"/>
                <w:szCs w:val="20"/>
              </w:rPr>
            </w:pPr>
            <w:r w:rsidRPr="00E263F4">
              <w:rPr>
                <w:color w:val="000000"/>
                <w:sz w:val="22"/>
                <w:szCs w:val="22"/>
              </w:rPr>
              <w:t>243</w:t>
            </w:r>
          </w:p>
        </w:tc>
        <w:tc>
          <w:tcPr>
            <w:tcW w:w="660" w:type="pct"/>
            <w:gridSpan w:val="2"/>
            <w:tcBorders>
              <w:top w:val="nil"/>
              <w:left w:val="nil"/>
              <w:bottom w:val="single" w:sz="4" w:space="0" w:color="auto"/>
              <w:right w:val="single" w:sz="4" w:space="0" w:color="auto"/>
            </w:tcBorders>
            <w:shd w:val="clear" w:color="auto" w:fill="auto"/>
            <w:noWrap/>
            <w:vAlign w:val="bottom"/>
          </w:tcPr>
          <w:p w14:paraId="1AE3BE26" w14:textId="479A355C" w:rsidR="00673CE6" w:rsidRPr="00E263F4" w:rsidRDefault="00673CE6" w:rsidP="00E263F4">
            <w:pPr>
              <w:spacing w:before="0" w:after="0" w:line="240" w:lineRule="auto"/>
              <w:jc w:val="center"/>
              <w:rPr>
                <w:color w:val="auto"/>
                <w:sz w:val="20"/>
                <w:szCs w:val="20"/>
              </w:rPr>
            </w:pPr>
            <w:r w:rsidRPr="00E263F4">
              <w:rPr>
                <w:color w:val="000000"/>
                <w:sz w:val="22"/>
                <w:szCs w:val="22"/>
              </w:rPr>
              <w:t>225</w:t>
            </w:r>
          </w:p>
        </w:tc>
        <w:tc>
          <w:tcPr>
            <w:tcW w:w="545" w:type="pct"/>
            <w:gridSpan w:val="2"/>
            <w:tcBorders>
              <w:top w:val="nil"/>
              <w:left w:val="nil"/>
              <w:bottom w:val="single" w:sz="4" w:space="0" w:color="auto"/>
              <w:right w:val="single" w:sz="4" w:space="0" w:color="auto"/>
            </w:tcBorders>
            <w:shd w:val="clear" w:color="auto" w:fill="auto"/>
            <w:noWrap/>
            <w:vAlign w:val="bottom"/>
          </w:tcPr>
          <w:p w14:paraId="2E0268BC" w14:textId="01FDDBB9" w:rsidR="00673CE6" w:rsidRPr="00E263F4" w:rsidRDefault="00673CE6" w:rsidP="00E263F4">
            <w:pPr>
              <w:spacing w:before="0" w:after="0" w:line="240" w:lineRule="auto"/>
              <w:jc w:val="center"/>
              <w:rPr>
                <w:color w:val="auto"/>
                <w:sz w:val="20"/>
                <w:szCs w:val="20"/>
              </w:rPr>
            </w:pPr>
            <w:r w:rsidRPr="00E263F4">
              <w:rPr>
                <w:color w:val="000000"/>
                <w:sz w:val="22"/>
                <w:szCs w:val="22"/>
              </w:rPr>
              <w:t>227</w:t>
            </w:r>
          </w:p>
        </w:tc>
        <w:tc>
          <w:tcPr>
            <w:tcW w:w="548" w:type="pct"/>
            <w:tcBorders>
              <w:top w:val="nil"/>
              <w:left w:val="nil"/>
              <w:bottom w:val="single" w:sz="4" w:space="0" w:color="auto"/>
              <w:right w:val="single" w:sz="4" w:space="0" w:color="auto"/>
            </w:tcBorders>
            <w:shd w:val="clear" w:color="auto" w:fill="auto"/>
            <w:noWrap/>
            <w:vAlign w:val="bottom"/>
          </w:tcPr>
          <w:p w14:paraId="2D78BF3A" w14:textId="02E2FEC2" w:rsidR="00673CE6" w:rsidRPr="00E263F4" w:rsidRDefault="00673CE6" w:rsidP="00E263F4">
            <w:pPr>
              <w:spacing w:before="0" w:after="0" w:line="240" w:lineRule="auto"/>
              <w:jc w:val="center"/>
              <w:rPr>
                <w:color w:val="auto"/>
                <w:sz w:val="20"/>
                <w:szCs w:val="20"/>
              </w:rPr>
            </w:pPr>
            <w:r w:rsidRPr="00E263F4">
              <w:rPr>
                <w:color w:val="000000"/>
                <w:sz w:val="22"/>
                <w:szCs w:val="22"/>
              </w:rPr>
              <w:t>202</w:t>
            </w:r>
          </w:p>
        </w:tc>
        <w:tc>
          <w:tcPr>
            <w:tcW w:w="697" w:type="pct"/>
            <w:gridSpan w:val="2"/>
            <w:tcBorders>
              <w:top w:val="nil"/>
              <w:left w:val="nil"/>
              <w:bottom w:val="single" w:sz="4" w:space="0" w:color="auto"/>
              <w:right w:val="single" w:sz="4" w:space="0" w:color="auto"/>
            </w:tcBorders>
            <w:shd w:val="clear" w:color="auto" w:fill="auto"/>
            <w:noWrap/>
            <w:vAlign w:val="bottom"/>
          </w:tcPr>
          <w:p w14:paraId="0C4CE020" w14:textId="595414F2" w:rsidR="00673CE6" w:rsidRPr="00E263F4" w:rsidRDefault="00673CE6" w:rsidP="00E263F4">
            <w:pPr>
              <w:spacing w:before="0" w:after="0" w:line="240" w:lineRule="auto"/>
              <w:jc w:val="center"/>
              <w:rPr>
                <w:color w:val="auto"/>
                <w:sz w:val="20"/>
                <w:szCs w:val="20"/>
              </w:rPr>
            </w:pPr>
            <w:r w:rsidRPr="00E263F4">
              <w:rPr>
                <w:color w:val="000000"/>
                <w:sz w:val="22"/>
                <w:szCs w:val="22"/>
              </w:rPr>
              <w:t>179</w:t>
            </w:r>
          </w:p>
        </w:tc>
        <w:tc>
          <w:tcPr>
            <w:tcW w:w="690" w:type="pct"/>
            <w:gridSpan w:val="2"/>
            <w:tcBorders>
              <w:top w:val="nil"/>
              <w:left w:val="nil"/>
              <w:bottom w:val="single" w:sz="4" w:space="0" w:color="auto"/>
              <w:right w:val="single" w:sz="4" w:space="0" w:color="auto"/>
            </w:tcBorders>
            <w:shd w:val="clear" w:color="auto" w:fill="auto"/>
            <w:noWrap/>
            <w:vAlign w:val="bottom"/>
          </w:tcPr>
          <w:p w14:paraId="7C3EED1C" w14:textId="09B468CC" w:rsidR="00673CE6" w:rsidRPr="00E263F4" w:rsidRDefault="00673CE6" w:rsidP="00E263F4">
            <w:pPr>
              <w:spacing w:before="0" w:after="0" w:line="240" w:lineRule="auto"/>
              <w:jc w:val="center"/>
              <w:rPr>
                <w:color w:val="auto"/>
                <w:sz w:val="20"/>
                <w:szCs w:val="20"/>
              </w:rPr>
            </w:pPr>
            <w:r w:rsidRPr="00E263F4">
              <w:rPr>
                <w:color w:val="000000"/>
                <w:sz w:val="22"/>
                <w:szCs w:val="22"/>
              </w:rPr>
              <w:t>188</w:t>
            </w:r>
          </w:p>
        </w:tc>
      </w:tr>
      <w:tr w:rsidR="00673CE6" w:rsidRPr="00E263F4" w14:paraId="03BB303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1BD43EB" w14:textId="77777777" w:rsidR="00673CE6" w:rsidRPr="00E263F4" w:rsidRDefault="00673CE6" w:rsidP="00673CE6">
            <w:pPr>
              <w:spacing w:before="0" w:after="0" w:line="240" w:lineRule="auto"/>
              <w:rPr>
                <w:color w:val="auto"/>
                <w:sz w:val="20"/>
                <w:szCs w:val="20"/>
              </w:rPr>
            </w:pPr>
            <w:r w:rsidRPr="00E263F4">
              <w:rPr>
                <w:color w:val="auto"/>
                <w:sz w:val="20"/>
                <w:szCs w:val="20"/>
              </w:rPr>
              <w:t>7</w:t>
            </w:r>
          </w:p>
        </w:tc>
        <w:tc>
          <w:tcPr>
            <w:tcW w:w="658" w:type="pct"/>
            <w:gridSpan w:val="2"/>
            <w:tcBorders>
              <w:top w:val="nil"/>
              <w:left w:val="nil"/>
              <w:bottom w:val="single" w:sz="4" w:space="0" w:color="auto"/>
              <w:right w:val="single" w:sz="4" w:space="0" w:color="auto"/>
            </w:tcBorders>
            <w:shd w:val="clear" w:color="auto" w:fill="auto"/>
            <w:noWrap/>
            <w:vAlign w:val="bottom"/>
          </w:tcPr>
          <w:p w14:paraId="64E35CE5" w14:textId="6925009F" w:rsidR="00673CE6" w:rsidRPr="00E263F4" w:rsidRDefault="00673CE6" w:rsidP="00E263F4">
            <w:pPr>
              <w:spacing w:before="0" w:after="0" w:line="240" w:lineRule="auto"/>
              <w:jc w:val="center"/>
              <w:rPr>
                <w:color w:val="auto"/>
                <w:sz w:val="20"/>
                <w:szCs w:val="20"/>
              </w:rPr>
            </w:pPr>
            <w:r w:rsidRPr="00E263F4">
              <w:rPr>
                <w:color w:val="000000"/>
                <w:sz w:val="22"/>
                <w:szCs w:val="22"/>
              </w:rPr>
              <w:t>200</w:t>
            </w:r>
          </w:p>
        </w:tc>
        <w:tc>
          <w:tcPr>
            <w:tcW w:w="660" w:type="pct"/>
            <w:gridSpan w:val="2"/>
            <w:tcBorders>
              <w:top w:val="nil"/>
              <w:left w:val="nil"/>
              <w:bottom w:val="single" w:sz="4" w:space="0" w:color="auto"/>
              <w:right w:val="single" w:sz="4" w:space="0" w:color="auto"/>
            </w:tcBorders>
            <w:shd w:val="clear" w:color="auto" w:fill="auto"/>
            <w:noWrap/>
            <w:vAlign w:val="bottom"/>
          </w:tcPr>
          <w:p w14:paraId="016FA4D2" w14:textId="4B95BB89" w:rsidR="00673CE6" w:rsidRPr="00E263F4" w:rsidRDefault="00673CE6" w:rsidP="00E263F4">
            <w:pPr>
              <w:spacing w:before="0" w:after="0" w:line="240" w:lineRule="auto"/>
              <w:jc w:val="center"/>
              <w:rPr>
                <w:color w:val="auto"/>
                <w:sz w:val="20"/>
                <w:szCs w:val="20"/>
              </w:rPr>
            </w:pPr>
            <w:r w:rsidRPr="00E263F4">
              <w:rPr>
                <w:color w:val="000000"/>
                <w:sz w:val="22"/>
                <w:szCs w:val="22"/>
              </w:rPr>
              <w:t>192</w:t>
            </w:r>
          </w:p>
        </w:tc>
        <w:tc>
          <w:tcPr>
            <w:tcW w:w="545" w:type="pct"/>
            <w:gridSpan w:val="2"/>
            <w:tcBorders>
              <w:top w:val="nil"/>
              <w:left w:val="nil"/>
              <w:bottom w:val="single" w:sz="4" w:space="0" w:color="auto"/>
              <w:right w:val="single" w:sz="4" w:space="0" w:color="auto"/>
            </w:tcBorders>
            <w:shd w:val="clear" w:color="auto" w:fill="auto"/>
            <w:noWrap/>
            <w:vAlign w:val="bottom"/>
          </w:tcPr>
          <w:p w14:paraId="3312C7C9" w14:textId="4A486690" w:rsidR="00673CE6" w:rsidRPr="00E263F4" w:rsidRDefault="00673CE6" w:rsidP="00E263F4">
            <w:pPr>
              <w:spacing w:before="0" w:after="0" w:line="240" w:lineRule="auto"/>
              <w:jc w:val="center"/>
              <w:rPr>
                <w:color w:val="auto"/>
                <w:sz w:val="20"/>
                <w:szCs w:val="20"/>
              </w:rPr>
            </w:pPr>
            <w:r w:rsidRPr="00E263F4">
              <w:rPr>
                <w:color w:val="000000"/>
                <w:sz w:val="22"/>
                <w:szCs w:val="22"/>
              </w:rPr>
              <w:t>213</w:t>
            </w:r>
          </w:p>
        </w:tc>
        <w:tc>
          <w:tcPr>
            <w:tcW w:w="548" w:type="pct"/>
            <w:tcBorders>
              <w:top w:val="nil"/>
              <w:left w:val="nil"/>
              <w:bottom w:val="single" w:sz="4" w:space="0" w:color="auto"/>
              <w:right w:val="single" w:sz="4" w:space="0" w:color="auto"/>
            </w:tcBorders>
            <w:shd w:val="clear" w:color="auto" w:fill="auto"/>
            <w:noWrap/>
            <w:vAlign w:val="bottom"/>
          </w:tcPr>
          <w:p w14:paraId="72872609" w14:textId="56937C73" w:rsidR="00673CE6" w:rsidRPr="00E263F4" w:rsidRDefault="00673CE6" w:rsidP="00E263F4">
            <w:pPr>
              <w:spacing w:before="0" w:after="0" w:line="240" w:lineRule="auto"/>
              <w:jc w:val="center"/>
              <w:rPr>
                <w:color w:val="auto"/>
                <w:sz w:val="20"/>
                <w:szCs w:val="20"/>
              </w:rPr>
            </w:pPr>
            <w:r w:rsidRPr="00E263F4">
              <w:rPr>
                <w:color w:val="000000"/>
                <w:sz w:val="22"/>
                <w:szCs w:val="22"/>
              </w:rPr>
              <w:t>165</w:t>
            </w:r>
          </w:p>
        </w:tc>
        <w:tc>
          <w:tcPr>
            <w:tcW w:w="697" w:type="pct"/>
            <w:gridSpan w:val="2"/>
            <w:tcBorders>
              <w:top w:val="nil"/>
              <w:left w:val="nil"/>
              <w:bottom w:val="single" w:sz="4" w:space="0" w:color="auto"/>
              <w:right w:val="single" w:sz="4" w:space="0" w:color="auto"/>
            </w:tcBorders>
            <w:shd w:val="clear" w:color="auto" w:fill="auto"/>
            <w:noWrap/>
            <w:vAlign w:val="bottom"/>
          </w:tcPr>
          <w:p w14:paraId="45CB1F91" w14:textId="731A3552" w:rsidR="00673CE6" w:rsidRPr="00E263F4" w:rsidRDefault="00673CE6" w:rsidP="00E263F4">
            <w:pPr>
              <w:spacing w:before="0" w:after="0" w:line="240" w:lineRule="auto"/>
              <w:jc w:val="center"/>
              <w:rPr>
                <w:color w:val="auto"/>
                <w:sz w:val="20"/>
                <w:szCs w:val="20"/>
              </w:rPr>
            </w:pPr>
            <w:r w:rsidRPr="00E263F4">
              <w:rPr>
                <w:color w:val="000000"/>
                <w:sz w:val="22"/>
                <w:szCs w:val="22"/>
              </w:rPr>
              <w:t>189</w:t>
            </w:r>
          </w:p>
        </w:tc>
        <w:tc>
          <w:tcPr>
            <w:tcW w:w="690" w:type="pct"/>
            <w:gridSpan w:val="2"/>
            <w:tcBorders>
              <w:top w:val="nil"/>
              <w:left w:val="nil"/>
              <w:bottom w:val="single" w:sz="4" w:space="0" w:color="auto"/>
              <w:right w:val="single" w:sz="4" w:space="0" w:color="auto"/>
            </w:tcBorders>
            <w:shd w:val="clear" w:color="auto" w:fill="auto"/>
            <w:noWrap/>
            <w:vAlign w:val="bottom"/>
          </w:tcPr>
          <w:p w14:paraId="1C86DC50" w14:textId="4F7C7A0F" w:rsidR="00673CE6" w:rsidRPr="00E263F4" w:rsidRDefault="00673CE6" w:rsidP="00E263F4">
            <w:pPr>
              <w:spacing w:before="0" w:after="0" w:line="240" w:lineRule="auto"/>
              <w:jc w:val="center"/>
              <w:rPr>
                <w:color w:val="auto"/>
                <w:sz w:val="20"/>
                <w:szCs w:val="20"/>
              </w:rPr>
            </w:pPr>
            <w:r w:rsidRPr="00E263F4">
              <w:rPr>
                <w:color w:val="000000"/>
                <w:sz w:val="22"/>
                <w:szCs w:val="22"/>
              </w:rPr>
              <w:t>182</w:t>
            </w:r>
          </w:p>
        </w:tc>
      </w:tr>
      <w:tr w:rsidR="00673CE6" w:rsidRPr="00E263F4" w14:paraId="7C8A552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9E6B085" w14:textId="77777777" w:rsidR="00673CE6" w:rsidRPr="00E263F4" w:rsidRDefault="00673CE6" w:rsidP="00673CE6">
            <w:pPr>
              <w:spacing w:before="0" w:after="0" w:line="240" w:lineRule="auto"/>
              <w:rPr>
                <w:color w:val="auto"/>
                <w:sz w:val="20"/>
                <w:szCs w:val="20"/>
              </w:rPr>
            </w:pPr>
            <w:r w:rsidRPr="00E263F4">
              <w:rPr>
                <w:color w:val="auto"/>
                <w:sz w:val="20"/>
                <w:szCs w:val="20"/>
              </w:rPr>
              <w:t>8</w:t>
            </w:r>
          </w:p>
        </w:tc>
        <w:tc>
          <w:tcPr>
            <w:tcW w:w="658" w:type="pct"/>
            <w:gridSpan w:val="2"/>
            <w:tcBorders>
              <w:top w:val="nil"/>
              <w:left w:val="nil"/>
              <w:bottom w:val="single" w:sz="4" w:space="0" w:color="auto"/>
              <w:right w:val="single" w:sz="4" w:space="0" w:color="auto"/>
            </w:tcBorders>
            <w:shd w:val="clear" w:color="auto" w:fill="auto"/>
            <w:noWrap/>
            <w:vAlign w:val="bottom"/>
          </w:tcPr>
          <w:p w14:paraId="620E9E3A" w14:textId="7563613F" w:rsidR="00673CE6" w:rsidRPr="00E263F4" w:rsidRDefault="00673CE6" w:rsidP="00E263F4">
            <w:pPr>
              <w:spacing w:before="0" w:after="0" w:line="240" w:lineRule="auto"/>
              <w:jc w:val="center"/>
              <w:rPr>
                <w:color w:val="auto"/>
                <w:sz w:val="20"/>
                <w:szCs w:val="20"/>
              </w:rPr>
            </w:pPr>
            <w:r w:rsidRPr="00E263F4">
              <w:rPr>
                <w:color w:val="000000"/>
                <w:sz w:val="22"/>
                <w:szCs w:val="22"/>
              </w:rPr>
              <w:t>241</w:t>
            </w:r>
          </w:p>
        </w:tc>
        <w:tc>
          <w:tcPr>
            <w:tcW w:w="660" w:type="pct"/>
            <w:gridSpan w:val="2"/>
            <w:tcBorders>
              <w:top w:val="nil"/>
              <w:left w:val="nil"/>
              <w:bottom w:val="single" w:sz="4" w:space="0" w:color="auto"/>
              <w:right w:val="single" w:sz="4" w:space="0" w:color="auto"/>
            </w:tcBorders>
            <w:shd w:val="clear" w:color="auto" w:fill="auto"/>
            <w:noWrap/>
            <w:vAlign w:val="bottom"/>
          </w:tcPr>
          <w:p w14:paraId="65D914F3" w14:textId="009698E3" w:rsidR="00673CE6" w:rsidRPr="00E263F4" w:rsidRDefault="00673CE6" w:rsidP="00E263F4">
            <w:pPr>
              <w:spacing w:before="0" w:after="0" w:line="240" w:lineRule="auto"/>
              <w:jc w:val="center"/>
              <w:rPr>
                <w:color w:val="auto"/>
                <w:sz w:val="20"/>
                <w:szCs w:val="20"/>
              </w:rPr>
            </w:pPr>
            <w:r w:rsidRPr="00E263F4">
              <w:rPr>
                <w:color w:val="000000"/>
                <w:sz w:val="22"/>
                <w:szCs w:val="22"/>
              </w:rPr>
              <w:t>238</w:t>
            </w:r>
          </w:p>
        </w:tc>
        <w:tc>
          <w:tcPr>
            <w:tcW w:w="545" w:type="pct"/>
            <w:gridSpan w:val="2"/>
            <w:tcBorders>
              <w:top w:val="nil"/>
              <w:left w:val="nil"/>
              <w:bottom w:val="single" w:sz="4" w:space="0" w:color="auto"/>
              <w:right w:val="single" w:sz="4" w:space="0" w:color="auto"/>
            </w:tcBorders>
            <w:shd w:val="clear" w:color="auto" w:fill="auto"/>
            <w:noWrap/>
            <w:vAlign w:val="bottom"/>
          </w:tcPr>
          <w:p w14:paraId="54058E1C" w14:textId="2C73FEA1" w:rsidR="00673CE6" w:rsidRPr="00E263F4" w:rsidRDefault="00673CE6" w:rsidP="00E263F4">
            <w:pPr>
              <w:spacing w:before="0" w:after="0" w:line="240" w:lineRule="auto"/>
              <w:jc w:val="center"/>
              <w:rPr>
                <w:color w:val="auto"/>
                <w:sz w:val="20"/>
                <w:szCs w:val="20"/>
              </w:rPr>
            </w:pPr>
            <w:r w:rsidRPr="00E263F4">
              <w:rPr>
                <w:color w:val="000000"/>
                <w:sz w:val="22"/>
                <w:szCs w:val="22"/>
              </w:rPr>
              <w:t>233</w:t>
            </w:r>
          </w:p>
        </w:tc>
        <w:tc>
          <w:tcPr>
            <w:tcW w:w="548" w:type="pct"/>
            <w:tcBorders>
              <w:top w:val="nil"/>
              <w:left w:val="nil"/>
              <w:bottom w:val="single" w:sz="4" w:space="0" w:color="auto"/>
              <w:right w:val="single" w:sz="4" w:space="0" w:color="auto"/>
            </w:tcBorders>
            <w:shd w:val="clear" w:color="auto" w:fill="auto"/>
            <w:noWrap/>
            <w:vAlign w:val="bottom"/>
          </w:tcPr>
          <w:p w14:paraId="7429AE39" w14:textId="78FC28DF" w:rsidR="00673CE6" w:rsidRPr="00E263F4" w:rsidRDefault="00673CE6" w:rsidP="00E263F4">
            <w:pPr>
              <w:spacing w:before="0" w:after="0" w:line="240" w:lineRule="auto"/>
              <w:jc w:val="center"/>
              <w:rPr>
                <w:color w:val="auto"/>
                <w:sz w:val="20"/>
                <w:szCs w:val="20"/>
              </w:rPr>
            </w:pPr>
            <w:r w:rsidRPr="00E263F4">
              <w:rPr>
                <w:color w:val="000000"/>
                <w:sz w:val="22"/>
                <w:szCs w:val="22"/>
              </w:rPr>
              <w:t>217</w:t>
            </w:r>
          </w:p>
        </w:tc>
        <w:tc>
          <w:tcPr>
            <w:tcW w:w="697" w:type="pct"/>
            <w:gridSpan w:val="2"/>
            <w:tcBorders>
              <w:top w:val="nil"/>
              <w:left w:val="nil"/>
              <w:bottom w:val="single" w:sz="4" w:space="0" w:color="auto"/>
              <w:right w:val="single" w:sz="4" w:space="0" w:color="auto"/>
            </w:tcBorders>
            <w:shd w:val="clear" w:color="auto" w:fill="auto"/>
            <w:noWrap/>
            <w:vAlign w:val="bottom"/>
          </w:tcPr>
          <w:p w14:paraId="7E0DA9AE" w14:textId="7CB8FC2A" w:rsidR="00673CE6" w:rsidRPr="00E263F4" w:rsidRDefault="00673CE6" w:rsidP="00E263F4">
            <w:pPr>
              <w:spacing w:before="0" w:after="0" w:line="240" w:lineRule="auto"/>
              <w:jc w:val="center"/>
              <w:rPr>
                <w:color w:val="auto"/>
                <w:sz w:val="20"/>
                <w:szCs w:val="20"/>
              </w:rPr>
            </w:pPr>
            <w:r w:rsidRPr="00E263F4">
              <w:rPr>
                <w:color w:val="000000"/>
                <w:sz w:val="22"/>
                <w:szCs w:val="22"/>
              </w:rPr>
              <w:t>217</w:t>
            </w:r>
          </w:p>
        </w:tc>
        <w:tc>
          <w:tcPr>
            <w:tcW w:w="690" w:type="pct"/>
            <w:gridSpan w:val="2"/>
            <w:tcBorders>
              <w:top w:val="nil"/>
              <w:left w:val="nil"/>
              <w:bottom w:val="single" w:sz="4" w:space="0" w:color="auto"/>
              <w:right w:val="single" w:sz="4" w:space="0" w:color="auto"/>
            </w:tcBorders>
            <w:shd w:val="clear" w:color="auto" w:fill="auto"/>
            <w:noWrap/>
            <w:vAlign w:val="bottom"/>
          </w:tcPr>
          <w:p w14:paraId="6D33647B" w14:textId="5FAED74F" w:rsidR="00673CE6" w:rsidRPr="00E263F4" w:rsidRDefault="00673CE6" w:rsidP="00E263F4">
            <w:pPr>
              <w:spacing w:before="0" w:after="0" w:line="240" w:lineRule="auto"/>
              <w:jc w:val="center"/>
              <w:rPr>
                <w:color w:val="auto"/>
                <w:sz w:val="20"/>
                <w:szCs w:val="20"/>
              </w:rPr>
            </w:pPr>
            <w:r w:rsidRPr="00E263F4">
              <w:rPr>
                <w:color w:val="000000"/>
                <w:sz w:val="22"/>
                <w:szCs w:val="22"/>
              </w:rPr>
              <w:t>223</w:t>
            </w:r>
          </w:p>
        </w:tc>
      </w:tr>
      <w:tr w:rsidR="00673CE6" w:rsidRPr="00E263F4" w14:paraId="302936F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7133321" w14:textId="77777777" w:rsidR="00673CE6" w:rsidRPr="00E263F4" w:rsidRDefault="00673CE6" w:rsidP="00673CE6">
            <w:pPr>
              <w:spacing w:before="0" w:after="0" w:line="240" w:lineRule="auto"/>
              <w:rPr>
                <w:color w:val="auto"/>
                <w:sz w:val="20"/>
                <w:szCs w:val="20"/>
              </w:rPr>
            </w:pPr>
            <w:r w:rsidRPr="00E263F4">
              <w:rPr>
                <w:color w:val="auto"/>
                <w:sz w:val="20"/>
                <w:szCs w:val="20"/>
              </w:rPr>
              <w:t>9</w:t>
            </w:r>
          </w:p>
        </w:tc>
        <w:tc>
          <w:tcPr>
            <w:tcW w:w="658" w:type="pct"/>
            <w:gridSpan w:val="2"/>
            <w:tcBorders>
              <w:top w:val="nil"/>
              <w:left w:val="nil"/>
              <w:bottom w:val="single" w:sz="4" w:space="0" w:color="auto"/>
              <w:right w:val="single" w:sz="4" w:space="0" w:color="auto"/>
            </w:tcBorders>
            <w:shd w:val="clear" w:color="auto" w:fill="auto"/>
            <w:noWrap/>
            <w:vAlign w:val="bottom"/>
          </w:tcPr>
          <w:p w14:paraId="669D597E" w14:textId="5186DBDF" w:rsidR="00673CE6" w:rsidRPr="00E263F4" w:rsidRDefault="00673CE6" w:rsidP="00E263F4">
            <w:pPr>
              <w:spacing w:before="0" w:after="0" w:line="240" w:lineRule="auto"/>
              <w:jc w:val="center"/>
              <w:rPr>
                <w:color w:val="auto"/>
                <w:sz w:val="20"/>
                <w:szCs w:val="20"/>
              </w:rPr>
            </w:pPr>
            <w:r w:rsidRPr="00E263F4">
              <w:rPr>
                <w:color w:val="000000"/>
                <w:sz w:val="22"/>
                <w:szCs w:val="22"/>
              </w:rPr>
              <w:t>212</w:t>
            </w:r>
          </w:p>
        </w:tc>
        <w:tc>
          <w:tcPr>
            <w:tcW w:w="660" w:type="pct"/>
            <w:gridSpan w:val="2"/>
            <w:tcBorders>
              <w:top w:val="nil"/>
              <w:left w:val="nil"/>
              <w:bottom w:val="single" w:sz="4" w:space="0" w:color="auto"/>
              <w:right w:val="single" w:sz="4" w:space="0" w:color="auto"/>
            </w:tcBorders>
            <w:shd w:val="clear" w:color="auto" w:fill="auto"/>
            <w:noWrap/>
            <w:vAlign w:val="bottom"/>
          </w:tcPr>
          <w:p w14:paraId="3D7F352E" w14:textId="3DADE29D" w:rsidR="00673CE6" w:rsidRPr="00E263F4" w:rsidRDefault="00673CE6" w:rsidP="00E263F4">
            <w:pPr>
              <w:spacing w:before="0" w:after="0" w:line="240" w:lineRule="auto"/>
              <w:jc w:val="center"/>
              <w:rPr>
                <w:color w:val="auto"/>
                <w:sz w:val="20"/>
                <w:szCs w:val="20"/>
              </w:rPr>
            </w:pPr>
            <w:r w:rsidRPr="00E263F4">
              <w:rPr>
                <w:color w:val="000000"/>
                <w:sz w:val="22"/>
                <w:szCs w:val="22"/>
              </w:rPr>
              <w:t>219</w:t>
            </w:r>
          </w:p>
        </w:tc>
        <w:tc>
          <w:tcPr>
            <w:tcW w:w="545" w:type="pct"/>
            <w:gridSpan w:val="2"/>
            <w:tcBorders>
              <w:top w:val="nil"/>
              <w:left w:val="nil"/>
              <w:bottom w:val="single" w:sz="4" w:space="0" w:color="auto"/>
              <w:right w:val="single" w:sz="4" w:space="0" w:color="auto"/>
            </w:tcBorders>
            <w:shd w:val="clear" w:color="auto" w:fill="auto"/>
            <w:noWrap/>
            <w:vAlign w:val="bottom"/>
          </w:tcPr>
          <w:p w14:paraId="5427E998" w14:textId="52DB6A64" w:rsidR="00673CE6" w:rsidRPr="00E263F4" w:rsidRDefault="00673CE6" w:rsidP="00E263F4">
            <w:pPr>
              <w:spacing w:before="0" w:after="0" w:line="240" w:lineRule="auto"/>
              <w:jc w:val="center"/>
              <w:rPr>
                <w:color w:val="auto"/>
                <w:sz w:val="20"/>
                <w:szCs w:val="20"/>
              </w:rPr>
            </w:pPr>
            <w:r w:rsidRPr="00E263F4">
              <w:rPr>
                <w:color w:val="000000"/>
                <w:sz w:val="22"/>
                <w:szCs w:val="22"/>
              </w:rPr>
              <w:t>224</w:t>
            </w:r>
          </w:p>
        </w:tc>
        <w:tc>
          <w:tcPr>
            <w:tcW w:w="548" w:type="pct"/>
            <w:tcBorders>
              <w:top w:val="nil"/>
              <w:left w:val="nil"/>
              <w:bottom w:val="single" w:sz="4" w:space="0" w:color="auto"/>
              <w:right w:val="single" w:sz="4" w:space="0" w:color="auto"/>
            </w:tcBorders>
            <w:shd w:val="clear" w:color="auto" w:fill="auto"/>
            <w:noWrap/>
            <w:vAlign w:val="bottom"/>
          </w:tcPr>
          <w:p w14:paraId="1A395BCA" w14:textId="468D5180" w:rsidR="00673CE6" w:rsidRPr="00E263F4" w:rsidRDefault="00673CE6" w:rsidP="00E263F4">
            <w:pPr>
              <w:spacing w:before="0" w:after="0" w:line="240" w:lineRule="auto"/>
              <w:jc w:val="center"/>
              <w:rPr>
                <w:color w:val="auto"/>
                <w:sz w:val="20"/>
                <w:szCs w:val="20"/>
              </w:rPr>
            </w:pPr>
            <w:r w:rsidRPr="00E263F4">
              <w:rPr>
                <w:color w:val="000000"/>
                <w:sz w:val="22"/>
                <w:szCs w:val="22"/>
              </w:rPr>
              <w:t>173</w:t>
            </w:r>
          </w:p>
        </w:tc>
        <w:tc>
          <w:tcPr>
            <w:tcW w:w="697" w:type="pct"/>
            <w:gridSpan w:val="2"/>
            <w:tcBorders>
              <w:top w:val="nil"/>
              <w:left w:val="nil"/>
              <w:bottom w:val="single" w:sz="4" w:space="0" w:color="auto"/>
              <w:right w:val="single" w:sz="4" w:space="0" w:color="auto"/>
            </w:tcBorders>
            <w:shd w:val="clear" w:color="auto" w:fill="auto"/>
            <w:noWrap/>
            <w:vAlign w:val="bottom"/>
          </w:tcPr>
          <w:p w14:paraId="2583199E" w14:textId="367C66CE" w:rsidR="00673CE6" w:rsidRPr="00E263F4" w:rsidRDefault="00673CE6" w:rsidP="00E263F4">
            <w:pPr>
              <w:spacing w:before="0" w:after="0" w:line="240" w:lineRule="auto"/>
              <w:jc w:val="center"/>
              <w:rPr>
                <w:color w:val="auto"/>
                <w:sz w:val="20"/>
                <w:szCs w:val="20"/>
              </w:rPr>
            </w:pPr>
            <w:r w:rsidRPr="00E263F4">
              <w:rPr>
                <w:color w:val="000000"/>
                <w:sz w:val="22"/>
                <w:szCs w:val="22"/>
              </w:rPr>
              <w:t>188</w:t>
            </w:r>
          </w:p>
        </w:tc>
        <w:tc>
          <w:tcPr>
            <w:tcW w:w="690" w:type="pct"/>
            <w:gridSpan w:val="2"/>
            <w:tcBorders>
              <w:top w:val="nil"/>
              <w:left w:val="nil"/>
              <w:bottom w:val="single" w:sz="4" w:space="0" w:color="auto"/>
              <w:right w:val="single" w:sz="4" w:space="0" w:color="auto"/>
            </w:tcBorders>
            <w:shd w:val="clear" w:color="auto" w:fill="auto"/>
            <w:noWrap/>
            <w:vAlign w:val="bottom"/>
          </w:tcPr>
          <w:p w14:paraId="317A95F2" w14:textId="5D80B55D" w:rsidR="00673CE6" w:rsidRPr="00E263F4" w:rsidRDefault="00673CE6" w:rsidP="00E263F4">
            <w:pPr>
              <w:spacing w:before="0" w:after="0" w:line="240" w:lineRule="auto"/>
              <w:jc w:val="center"/>
              <w:rPr>
                <w:color w:val="auto"/>
                <w:sz w:val="20"/>
                <w:szCs w:val="20"/>
              </w:rPr>
            </w:pPr>
            <w:r w:rsidRPr="00E263F4">
              <w:rPr>
                <w:color w:val="000000"/>
                <w:sz w:val="22"/>
                <w:szCs w:val="22"/>
              </w:rPr>
              <w:t>181</w:t>
            </w:r>
          </w:p>
        </w:tc>
      </w:tr>
      <w:tr w:rsidR="00673CE6" w:rsidRPr="00E263F4" w14:paraId="582ACBF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7DA82F4" w14:textId="77777777" w:rsidR="00673CE6" w:rsidRPr="00E263F4" w:rsidRDefault="00673CE6" w:rsidP="00673CE6">
            <w:pPr>
              <w:spacing w:before="0" w:after="0" w:line="240" w:lineRule="auto"/>
              <w:rPr>
                <w:color w:val="auto"/>
                <w:sz w:val="20"/>
                <w:szCs w:val="20"/>
              </w:rPr>
            </w:pPr>
            <w:r w:rsidRPr="00E263F4">
              <w:rPr>
                <w:color w:val="auto"/>
                <w:sz w:val="20"/>
                <w:szCs w:val="20"/>
              </w:rPr>
              <w:t>10</w:t>
            </w:r>
          </w:p>
        </w:tc>
        <w:tc>
          <w:tcPr>
            <w:tcW w:w="658" w:type="pct"/>
            <w:gridSpan w:val="2"/>
            <w:tcBorders>
              <w:top w:val="nil"/>
              <w:left w:val="nil"/>
              <w:bottom w:val="single" w:sz="4" w:space="0" w:color="auto"/>
              <w:right w:val="single" w:sz="4" w:space="0" w:color="auto"/>
            </w:tcBorders>
            <w:shd w:val="clear" w:color="auto" w:fill="auto"/>
            <w:noWrap/>
            <w:vAlign w:val="bottom"/>
          </w:tcPr>
          <w:p w14:paraId="24DE9FC3" w14:textId="2DBAAA65" w:rsidR="00673CE6" w:rsidRPr="00E263F4" w:rsidRDefault="00673CE6" w:rsidP="00E263F4">
            <w:pPr>
              <w:spacing w:before="0" w:after="0" w:line="240" w:lineRule="auto"/>
              <w:jc w:val="center"/>
              <w:rPr>
                <w:color w:val="auto"/>
                <w:sz w:val="20"/>
                <w:szCs w:val="20"/>
              </w:rPr>
            </w:pPr>
            <w:r w:rsidRPr="00E263F4">
              <w:rPr>
                <w:color w:val="000000"/>
                <w:sz w:val="22"/>
                <w:szCs w:val="22"/>
              </w:rPr>
              <w:t>204</w:t>
            </w:r>
          </w:p>
        </w:tc>
        <w:tc>
          <w:tcPr>
            <w:tcW w:w="660" w:type="pct"/>
            <w:gridSpan w:val="2"/>
            <w:tcBorders>
              <w:top w:val="nil"/>
              <w:left w:val="nil"/>
              <w:bottom w:val="single" w:sz="4" w:space="0" w:color="auto"/>
              <w:right w:val="single" w:sz="4" w:space="0" w:color="auto"/>
            </w:tcBorders>
            <w:shd w:val="clear" w:color="auto" w:fill="auto"/>
            <w:noWrap/>
            <w:vAlign w:val="bottom"/>
          </w:tcPr>
          <w:p w14:paraId="0BA3BC82" w14:textId="6D27B6F6" w:rsidR="00673CE6" w:rsidRPr="00E263F4" w:rsidRDefault="00673CE6" w:rsidP="00E263F4">
            <w:pPr>
              <w:spacing w:before="0" w:after="0" w:line="240" w:lineRule="auto"/>
              <w:jc w:val="center"/>
              <w:rPr>
                <w:color w:val="auto"/>
                <w:sz w:val="20"/>
                <w:szCs w:val="20"/>
              </w:rPr>
            </w:pPr>
            <w:r w:rsidRPr="00E263F4">
              <w:rPr>
                <w:color w:val="000000"/>
                <w:sz w:val="22"/>
                <w:szCs w:val="22"/>
              </w:rPr>
              <w:t>218</w:t>
            </w:r>
          </w:p>
        </w:tc>
        <w:tc>
          <w:tcPr>
            <w:tcW w:w="545" w:type="pct"/>
            <w:gridSpan w:val="2"/>
            <w:tcBorders>
              <w:top w:val="nil"/>
              <w:left w:val="nil"/>
              <w:bottom w:val="single" w:sz="4" w:space="0" w:color="auto"/>
              <w:right w:val="single" w:sz="4" w:space="0" w:color="auto"/>
            </w:tcBorders>
            <w:shd w:val="clear" w:color="auto" w:fill="auto"/>
            <w:noWrap/>
            <w:vAlign w:val="bottom"/>
          </w:tcPr>
          <w:p w14:paraId="23837157" w14:textId="27A2E624" w:rsidR="00673CE6" w:rsidRPr="00E263F4" w:rsidRDefault="00673CE6" w:rsidP="00E263F4">
            <w:pPr>
              <w:spacing w:before="0" w:after="0" w:line="240" w:lineRule="auto"/>
              <w:jc w:val="center"/>
              <w:rPr>
                <w:color w:val="auto"/>
                <w:sz w:val="20"/>
                <w:szCs w:val="20"/>
              </w:rPr>
            </w:pPr>
            <w:r w:rsidRPr="00E263F4">
              <w:rPr>
                <w:color w:val="000000"/>
                <w:sz w:val="22"/>
                <w:szCs w:val="22"/>
              </w:rPr>
              <w:t>201</w:t>
            </w:r>
          </w:p>
        </w:tc>
        <w:tc>
          <w:tcPr>
            <w:tcW w:w="548" w:type="pct"/>
            <w:tcBorders>
              <w:top w:val="nil"/>
              <w:left w:val="nil"/>
              <w:bottom w:val="single" w:sz="4" w:space="0" w:color="auto"/>
              <w:right w:val="single" w:sz="4" w:space="0" w:color="auto"/>
            </w:tcBorders>
            <w:shd w:val="clear" w:color="auto" w:fill="auto"/>
            <w:noWrap/>
            <w:vAlign w:val="bottom"/>
          </w:tcPr>
          <w:p w14:paraId="049FCD3B" w14:textId="2F63C6C6" w:rsidR="00673CE6" w:rsidRPr="00E263F4" w:rsidRDefault="00673CE6" w:rsidP="00E263F4">
            <w:pPr>
              <w:spacing w:before="0" w:after="0" w:line="240" w:lineRule="auto"/>
              <w:jc w:val="center"/>
              <w:rPr>
                <w:color w:val="auto"/>
                <w:sz w:val="20"/>
                <w:szCs w:val="20"/>
              </w:rPr>
            </w:pPr>
            <w:r w:rsidRPr="00E263F4">
              <w:rPr>
                <w:color w:val="000000"/>
                <w:sz w:val="22"/>
                <w:szCs w:val="22"/>
              </w:rPr>
              <w:t>186</w:t>
            </w:r>
          </w:p>
        </w:tc>
        <w:tc>
          <w:tcPr>
            <w:tcW w:w="697" w:type="pct"/>
            <w:gridSpan w:val="2"/>
            <w:tcBorders>
              <w:top w:val="nil"/>
              <w:left w:val="nil"/>
              <w:bottom w:val="single" w:sz="4" w:space="0" w:color="auto"/>
              <w:right w:val="single" w:sz="4" w:space="0" w:color="auto"/>
            </w:tcBorders>
            <w:shd w:val="clear" w:color="auto" w:fill="auto"/>
            <w:noWrap/>
            <w:vAlign w:val="bottom"/>
          </w:tcPr>
          <w:p w14:paraId="019113E0" w14:textId="21CD6FA6" w:rsidR="00673CE6" w:rsidRPr="00E263F4" w:rsidRDefault="00673CE6" w:rsidP="00E263F4">
            <w:pPr>
              <w:spacing w:before="0" w:after="0" w:line="240" w:lineRule="auto"/>
              <w:jc w:val="center"/>
              <w:rPr>
                <w:color w:val="auto"/>
                <w:sz w:val="20"/>
                <w:szCs w:val="20"/>
              </w:rPr>
            </w:pPr>
            <w:r w:rsidRPr="00E263F4">
              <w:rPr>
                <w:color w:val="000000"/>
                <w:sz w:val="22"/>
                <w:szCs w:val="22"/>
              </w:rPr>
              <w:t>192</w:t>
            </w:r>
          </w:p>
        </w:tc>
        <w:tc>
          <w:tcPr>
            <w:tcW w:w="690" w:type="pct"/>
            <w:gridSpan w:val="2"/>
            <w:tcBorders>
              <w:top w:val="nil"/>
              <w:left w:val="nil"/>
              <w:bottom w:val="single" w:sz="4" w:space="0" w:color="auto"/>
              <w:right w:val="single" w:sz="4" w:space="0" w:color="auto"/>
            </w:tcBorders>
            <w:shd w:val="clear" w:color="auto" w:fill="auto"/>
            <w:noWrap/>
            <w:vAlign w:val="bottom"/>
          </w:tcPr>
          <w:p w14:paraId="35B417C5" w14:textId="61410559" w:rsidR="00673CE6" w:rsidRPr="00E263F4" w:rsidRDefault="00673CE6" w:rsidP="00E263F4">
            <w:pPr>
              <w:spacing w:before="0" w:after="0" w:line="240" w:lineRule="auto"/>
              <w:jc w:val="center"/>
              <w:rPr>
                <w:color w:val="auto"/>
                <w:sz w:val="20"/>
                <w:szCs w:val="20"/>
              </w:rPr>
            </w:pPr>
            <w:r w:rsidRPr="00E263F4">
              <w:rPr>
                <w:color w:val="000000"/>
                <w:sz w:val="22"/>
                <w:szCs w:val="22"/>
              </w:rPr>
              <w:t>201</w:t>
            </w:r>
          </w:p>
        </w:tc>
      </w:tr>
      <w:tr w:rsidR="00673CE6" w:rsidRPr="00E263F4" w14:paraId="6CB1FC0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C9A1DCF" w14:textId="77777777" w:rsidR="00673CE6" w:rsidRPr="00E263F4" w:rsidRDefault="00673CE6" w:rsidP="00673CE6">
            <w:pPr>
              <w:spacing w:before="0" w:after="0" w:line="240" w:lineRule="auto"/>
              <w:rPr>
                <w:color w:val="auto"/>
                <w:sz w:val="20"/>
                <w:szCs w:val="20"/>
              </w:rPr>
            </w:pPr>
            <w:r w:rsidRPr="00E263F4">
              <w:rPr>
                <w:color w:val="auto"/>
                <w:sz w:val="20"/>
                <w:szCs w:val="20"/>
              </w:rPr>
              <w:t>11</w:t>
            </w:r>
          </w:p>
        </w:tc>
        <w:tc>
          <w:tcPr>
            <w:tcW w:w="658" w:type="pct"/>
            <w:gridSpan w:val="2"/>
            <w:tcBorders>
              <w:top w:val="nil"/>
              <w:left w:val="nil"/>
              <w:bottom w:val="single" w:sz="4" w:space="0" w:color="auto"/>
              <w:right w:val="single" w:sz="4" w:space="0" w:color="auto"/>
            </w:tcBorders>
            <w:shd w:val="clear" w:color="auto" w:fill="auto"/>
            <w:noWrap/>
            <w:vAlign w:val="bottom"/>
          </w:tcPr>
          <w:p w14:paraId="0F763CBC" w14:textId="16772391" w:rsidR="00673CE6" w:rsidRPr="00E263F4" w:rsidRDefault="00673CE6" w:rsidP="00E263F4">
            <w:pPr>
              <w:spacing w:before="0" w:after="0" w:line="240" w:lineRule="auto"/>
              <w:jc w:val="center"/>
              <w:rPr>
                <w:color w:val="auto"/>
                <w:sz w:val="20"/>
                <w:szCs w:val="20"/>
              </w:rPr>
            </w:pPr>
            <w:r w:rsidRPr="00E263F4">
              <w:rPr>
                <w:color w:val="000000"/>
                <w:sz w:val="22"/>
                <w:szCs w:val="22"/>
              </w:rPr>
              <w:t>203</w:t>
            </w:r>
          </w:p>
        </w:tc>
        <w:tc>
          <w:tcPr>
            <w:tcW w:w="660" w:type="pct"/>
            <w:gridSpan w:val="2"/>
            <w:tcBorders>
              <w:top w:val="nil"/>
              <w:left w:val="nil"/>
              <w:bottom w:val="single" w:sz="4" w:space="0" w:color="auto"/>
              <w:right w:val="single" w:sz="4" w:space="0" w:color="auto"/>
            </w:tcBorders>
            <w:shd w:val="clear" w:color="auto" w:fill="auto"/>
            <w:noWrap/>
            <w:vAlign w:val="bottom"/>
          </w:tcPr>
          <w:p w14:paraId="4604A40E" w14:textId="739C2B4B" w:rsidR="00673CE6" w:rsidRPr="00E263F4" w:rsidRDefault="00673CE6" w:rsidP="00E263F4">
            <w:pPr>
              <w:spacing w:before="0" w:after="0" w:line="240" w:lineRule="auto"/>
              <w:jc w:val="center"/>
              <w:rPr>
                <w:color w:val="auto"/>
                <w:sz w:val="20"/>
                <w:szCs w:val="20"/>
              </w:rPr>
            </w:pPr>
            <w:r w:rsidRPr="00E263F4">
              <w:rPr>
                <w:color w:val="000000"/>
                <w:sz w:val="22"/>
                <w:szCs w:val="22"/>
              </w:rPr>
              <w:t>185</w:t>
            </w:r>
          </w:p>
        </w:tc>
        <w:tc>
          <w:tcPr>
            <w:tcW w:w="545" w:type="pct"/>
            <w:gridSpan w:val="2"/>
            <w:tcBorders>
              <w:top w:val="nil"/>
              <w:left w:val="nil"/>
              <w:bottom w:val="single" w:sz="4" w:space="0" w:color="auto"/>
              <w:right w:val="single" w:sz="4" w:space="0" w:color="auto"/>
            </w:tcBorders>
            <w:shd w:val="clear" w:color="auto" w:fill="auto"/>
            <w:noWrap/>
            <w:vAlign w:val="bottom"/>
          </w:tcPr>
          <w:p w14:paraId="3B1689EC" w14:textId="4935D03C" w:rsidR="00673CE6" w:rsidRPr="00E263F4" w:rsidRDefault="00673CE6" w:rsidP="00E263F4">
            <w:pPr>
              <w:spacing w:before="0" w:after="0" w:line="240" w:lineRule="auto"/>
              <w:jc w:val="center"/>
              <w:rPr>
                <w:color w:val="auto"/>
                <w:sz w:val="20"/>
                <w:szCs w:val="20"/>
              </w:rPr>
            </w:pPr>
            <w:r w:rsidRPr="00E263F4">
              <w:rPr>
                <w:color w:val="000000"/>
                <w:sz w:val="22"/>
                <w:szCs w:val="22"/>
              </w:rPr>
              <w:t>213</w:t>
            </w:r>
          </w:p>
        </w:tc>
        <w:tc>
          <w:tcPr>
            <w:tcW w:w="548" w:type="pct"/>
            <w:tcBorders>
              <w:top w:val="nil"/>
              <w:left w:val="nil"/>
              <w:bottom w:val="single" w:sz="4" w:space="0" w:color="auto"/>
              <w:right w:val="single" w:sz="4" w:space="0" w:color="auto"/>
            </w:tcBorders>
            <w:shd w:val="clear" w:color="auto" w:fill="auto"/>
            <w:noWrap/>
            <w:vAlign w:val="bottom"/>
          </w:tcPr>
          <w:p w14:paraId="6AB5FE98" w14:textId="30826E88" w:rsidR="00673CE6" w:rsidRPr="00E263F4" w:rsidRDefault="00673CE6" w:rsidP="00E263F4">
            <w:pPr>
              <w:spacing w:before="0" w:after="0" w:line="240" w:lineRule="auto"/>
              <w:jc w:val="center"/>
              <w:rPr>
                <w:color w:val="auto"/>
                <w:sz w:val="20"/>
                <w:szCs w:val="20"/>
              </w:rPr>
            </w:pPr>
            <w:r w:rsidRPr="00E263F4">
              <w:rPr>
                <w:color w:val="000000"/>
                <w:sz w:val="22"/>
                <w:szCs w:val="22"/>
              </w:rPr>
              <w:t>179</w:t>
            </w:r>
          </w:p>
        </w:tc>
        <w:tc>
          <w:tcPr>
            <w:tcW w:w="697" w:type="pct"/>
            <w:gridSpan w:val="2"/>
            <w:tcBorders>
              <w:top w:val="nil"/>
              <w:left w:val="nil"/>
              <w:bottom w:val="single" w:sz="4" w:space="0" w:color="auto"/>
              <w:right w:val="single" w:sz="4" w:space="0" w:color="auto"/>
            </w:tcBorders>
            <w:shd w:val="clear" w:color="auto" w:fill="auto"/>
            <w:noWrap/>
            <w:vAlign w:val="bottom"/>
          </w:tcPr>
          <w:p w14:paraId="62F50195" w14:textId="16D71DFE" w:rsidR="00673CE6" w:rsidRPr="00E263F4" w:rsidRDefault="00673CE6" w:rsidP="00E263F4">
            <w:pPr>
              <w:spacing w:before="0" w:after="0" w:line="240" w:lineRule="auto"/>
              <w:jc w:val="center"/>
              <w:rPr>
                <w:color w:val="auto"/>
                <w:sz w:val="20"/>
                <w:szCs w:val="20"/>
              </w:rPr>
            </w:pPr>
            <w:r w:rsidRPr="00E263F4">
              <w:rPr>
                <w:color w:val="000000"/>
                <w:sz w:val="22"/>
                <w:szCs w:val="22"/>
              </w:rPr>
              <w:t>175</w:t>
            </w:r>
          </w:p>
        </w:tc>
        <w:tc>
          <w:tcPr>
            <w:tcW w:w="690" w:type="pct"/>
            <w:gridSpan w:val="2"/>
            <w:tcBorders>
              <w:top w:val="nil"/>
              <w:left w:val="nil"/>
              <w:bottom w:val="single" w:sz="4" w:space="0" w:color="auto"/>
              <w:right w:val="single" w:sz="4" w:space="0" w:color="auto"/>
            </w:tcBorders>
            <w:shd w:val="clear" w:color="auto" w:fill="auto"/>
            <w:noWrap/>
            <w:vAlign w:val="bottom"/>
          </w:tcPr>
          <w:p w14:paraId="6C4A8E56" w14:textId="55A650CB" w:rsidR="00673CE6" w:rsidRPr="00E263F4" w:rsidRDefault="00673CE6" w:rsidP="00E263F4">
            <w:pPr>
              <w:spacing w:before="0" w:after="0" w:line="240" w:lineRule="auto"/>
              <w:jc w:val="center"/>
              <w:rPr>
                <w:color w:val="auto"/>
                <w:sz w:val="20"/>
                <w:szCs w:val="20"/>
              </w:rPr>
            </w:pPr>
            <w:r w:rsidRPr="00E263F4">
              <w:rPr>
                <w:color w:val="000000"/>
                <w:sz w:val="22"/>
                <w:szCs w:val="22"/>
              </w:rPr>
              <w:t>167</w:t>
            </w:r>
          </w:p>
        </w:tc>
      </w:tr>
      <w:tr w:rsidR="00673CE6" w:rsidRPr="00E263F4" w14:paraId="156298E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E5D5EBF" w14:textId="77777777" w:rsidR="00673CE6" w:rsidRPr="00E263F4" w:rsidRDefault="00673CE6" w:rsidP="00673CE6">
            <w:pPr>
              <w:spacing w:before="0" w:after="0" w:line="240" w:lineRule="auto"/>
              <w:rPr>
                <w:color w:val="auto"/>
                <w:sz w:val="20"/>
                <w:szCs w:val="20"/>
              </w:rPr>
            </w:pPr>
            <w:r w:rsidRPr="00E263F4">
              <w:rPr>
                <w:color w:val="auto"/>
                <w:sz w:val="20"/>
                <w:szCs w:val="20"/>
              </w:rPr>
              <w:t>12</w:t>
            </w:r>
          </w:p>
        </w:tc>
        <w:tc>
          <w:tcPr>
            <w:tcW w:w="658" w:type="pct"/>
            <w:gridSpan w:val="2"/>
            <w:tcBorders>
              <w:top w:val="nil"/>
              <w:left w:val="nil"/>
              <w:bottom w:val="single" w:sz="4" w:space="0" w:color="auto"/>
              <w:right w:val="single" w:sz="4" w:space="0" w:color="auto"/>
            </w:tcBorders>
            <w:shd w:val="clear" w:color="auto" w:fill="auto"/>
            <w:noWrap/>
            <w:vAlign w:val="bottom"/>
          </w:tcPr>
          <w:p w14:paraId="6F08AB70" w14:textId="68766C70" w:rsidR="00673CE6" w:rsidRPr="00E263F4" w:rsidRDefault="00673CE6" w:rsidP="00E263F4">
            <w:pPr>
              <w:spacing w:before="0" w:after="0" w:line="240" w:lineRule="auto"/>
              <w:jc w:val="center"/>
              <w:rPr>
                <w:color w:val="auto"/>
                <w:sz w:val="20"/>
                <w:szCs w:val="20"/>
              </w:rPr>
            </w:pPr>
            <w:r w:rsidRPr="00E263F4">
              <w:rPr>
                <w:color w:val="000000"/>
                <w:sz w:val="22"/>
                <w:szCs w:val="22"/>
              </w:rPr>
              <w:t>206</w:t>
            </w:r>
          </w:p>
        </w:tc>
        <w:tc>
          <w:tcPr>
            <w:tcW w:w="660" w:type="pct"/>
            <w:gridSpan w:val="2"/>
            <w:tcBorders>
              <w:top w:val="nil"/>
              <w:left w:val="nil"/>
              <w:bottom w:val="single" w:sz="4" w:space="0" w:color="auto"/>
              <w:right w:val="single" w:sz="4" w:space="0" w:color="auto"/>
            </w:tcBorders>
            <w:shd w:val="clear" w:color="auto" w:fill="auto"/>
            <w:noWrap/>
            <w:vAlign w:val="bottom"/>
          </w:tcPr>
          <w:p w14:paraId="3AA5E7AA" w14:textId="222AE5B9" w:rsidR="00673CE6" w:rsidRPr="00E263F4" w:rsidRDefault="00673CE6" w:rsidP="00E263F4">
            <w:pPr>
              <w:spacing w:before="0" w:after="0" w:line="240" w:lineRule="auto"/>
              <w:jc w:val="center"/>
              <w:rPr>
                <w:color w:val="auto"/>
                <w:sz w:val="20"/>
                <w:szCs w:val="20"/>
              </w:rPr>
            </w:pPr>
            <w:r w:rsidRPr="00E263F4">
              <w:rPr>
                <w:color w:val="000000"/>
                <w:sz w:val="22"/>
                <w:szCs w:val="22"/>
              </w:rPr>
              <w:t>183</w:t>
            </w:r>
          </w:p>
        </w:tc>
        <w:tc>
          <w:tcPr>
            <w:tcW w:w="545" w:type="pct"/>
            <w:gridSpan w:val="2"/>
            <w:tcBorders>
              <w:top w:val="nil"/>
              <w:left w:val="nil"/>
              <w:bottom w:val="single" w:sz="4" w:space="0" w:color="auto"/>
              <w:right w:val="single" w:sz="4" w:space="0" w:color="auto"/>
            </w:tcBorders>
            <w:shd w:val="clear" w:color="auto" w:fill="auto"/>
            <w:noWrap/>
            <w:vAlign w:val="bottom"/>
          </w:tcPr>
          <w:p w14:paraId="09B547E4" w14:textId="62BBA64C" w:rsidR="00673CE6" w:rsidRPr="00E263F4" w:rsidRDefault="00673CE6" w:rsidP="00E263F4">
            <w:pPr>
              <w:spacing w:before="0" w:after="0" w:line="240" w:lineRule="auto"/>
              <w:jc w:val="center"/>
              <w:rPr>
                <w:color w:val="auto"/>
                <w:sz w:val="20"/>
                <w:szCs w:val="20"/>
              </w:rPr>
            </w:pPr>
            <w:r w:rsidRPr="00E263F4">
              <w:rPr>
                <w:color w:val="000000"/>
                <w:sz w:val="22"/>
                <w:szCs w:val="22"/>
              </w:rPr>
              <w:t>196</w:t>
            </w:r>
          </w:p>
        </w:tc>
        <w:tc>
          <w:tcPr>
            <w:tcW w:w="548" w:type="pct"/>
            <w:tcBorders>
              <w:top w:val="nil"/>
              <w:left w:val="nil"/>
              <w:bottom w:val="single" w:sz="4" w:space="0" w:color="auto"/>
              <w:right w:val="single" w:sz="4" w:space="0" w:color="auto"/>
            </w:tcBorders>
            <w:shd w:val="clear" w:color="auto" w:fill="auto"/>
            <w:noWrap/>
            <w:vAlign w:val="bottom"/>
          </w:tcPr>
          <w:p w14:paraId="0A93B539" w14:textId="53E7A55F" w:rsidR="00673CE6" w:rsidRPr="00E263F4" w:rsidRDefault="00673CE6" w:rsidP="00E263F4">
            <w:pPr>
              <w:spacing w:before="0" w:after="0" w:line="240" w:lineRule="auto"/>
              <w:jc w:val="center"/>
              <w:rPr>
                <w:color w:val="auto"/>
                <w:sz w:val="20"/>
                <w:szCs w:val="20"/>
              </w:rPr>
            </w:pPr>
            <w:r w:rsidRPr="00E263F4">
              <w:rPr>
                <w:color w:val="000000"/>
                <w:sz w:val="22"/>
                <w:szCs w:val="22"/>
              </w:rPr>
              <w:t>165</w:t>
            </w:r>
          </w:p>
        </w:tc>
        <w:tc>
          <w:tcPr>
            <w:tcW w:w="697" w:type="pct"/>
            <w:gridSpan w:val="2"/>
            <w:tcBorders>
              <w:top w:val="nil"/>
              <w:left w:val="nil"/>
              <w:bottom w:val="single" w:sz="4" w:space="0" w:color="auto"/>
              <w:right w:val="single" w:sz="4" w:space="0" w:color="auto"/>
            </w:tcBorders>
            <w:shd w:val="clear" w:color="auto" w:fill="auto"/>
            <w:noWrap/>
            <w:vAlign w:val="bottom"/>
          </w:tcPr>
          <w:p w14:paraId="5F9BF272" w14:textId="78C01FB3" w:rsidR="00673CE6" w:rsidRPr="00E263F4" w:rsidRDefault="00673CE6" w:rsidP="00E263F4">
            <w:pPr>
              <w:spacing w:before="0" w:after="0" w:line="240" w:lineRule="auto"/>
              <w:jc w:val="center"/>
              <w:rPr>
                <w:color w:val="auto"/>
                <w:sz w:val="20"/>
                <w:szCs w:val="20"/>
              </w:rPr>
            </w:pPr>
            <w:r w:rsidRPr="00E263F4">
              <w:rPr>
                <w:color w:val="000000"/>
                <w:sz w:val="22"/>
                <w:szCs w:val="22"/>
              </w:rPr>
              <w:t>173</w:t>
            </w:r>
          </w:p>
        </w:tc>
        <w:tc>
          <w:tcPr>
            <w:tcW w:w="690" w:type="pct"/>
            <w:gridSpan w:val="2"/>
            <w:tcBorders>
              <w:top w:val="nil"/>
              <w:left w:val="nil"/>
              <w:bottom w:val="single" w:sz="4" w:space="0" w:color="auto"/>
              <w:right w:val="single" w:sz="4" w:space="0" w:color="auto"/>
            </w:tcBorders>
            <w:shd w:val="clear" w:color="auto" w:fill="auto"/>
            <w:noWrap/>
            <w:vAlign w:val="bottom"/>
          </w:tcPr>
          <w:p w14:paraId="7CB0D5BA" w14:textId="7D8D0F55" w:rsidR="00673CE6" w:rsidRPr="00E263F4" w:rsidRDefault="00673CE6" w:rsidP="00E263F4">
            <w:pPr>
              <w:spacing w:before="0" w:after="0" w:line="240" w:lineRule="auto"/>
              <w:jc w:val="center"/>
              <w:rPr>
                <w:color w:val="auto"/>
                <w:sz w:val="20"/>
                <w:szCs w:val="20"/>
              </w:rPr>
            </w:pPr>
            <w:r w:rsidRPr="00E263F4">
              <w:rPr>
                <w:color w:val="000000"/>
                <w:sz w:val="22"/>
                <w:szCs w:val="22"/>
              </w:rPr>
              <w:t>177</w:t>
            </w:r>
          </w:p>
        </w:tc>
      </w:tr>
      <w:tr w:rsidR="00673CE6" w:rsidRPr="00E263F4" w14:paraId="0FD4366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AA5AD1F" w14:textId="77777777" w:rsidR="00673CE6" w:rsidRPr="00E263F4" w:rsidRDefault="00673CE6" w:rsidP="00673CE6">
            <w:pPr>
              <w:spacing w:before="0" w:after="0" w:line="240" w:lineRule="auto"/>
              <w:rPr>
                <w:color w:val="auto"/>
                <w:sz w:val="20"/>
                <w:szCs w:val="20"/>
              </w:rPr>
            </w:pPr>
            <w:r w:rsidRPr="00E263F4">
              <w:rPr>
                <w:color w:val="auto"/>
                <w:sz w:val="20"/>
                <w:szCs w:val="20"/>
              </w:rPr>
              <w:t>13</w:t>
            </w:r>
          </w:p>
        </w:tc>
        <w:tc>
          <w:tcPr>
            <w:tcW w:w="658" w:type="pct"/>
            <w:gridSpan w:val="2"/>
            <w:tcBorders>
              <w:top w:val="nil"/>
              <w:left w:val="nil"/>
              <w:bottom w:val="single" w:sz="4" w:space="0" w:color="auto"/>
              <w:right w:val="single" w:sz="4" w:space="0" w:color="auto"/>
            </w:tcBorders>
            <w:shd w:val="clear" w:color="auto" w:fill="auto"/>
            <w:noWrap/>
            <w:vAlign w:val="bottom"/>
          </w:tcPr>
          <w:p w14:paraId="70EF6835" w14:textId="27923315" w:rsidR="00673CE6" w:rsidRPr="00E263F4" w:rsidRDefault="00673CE6" w:rsidP="00E263F4">
            <w:pPr>
              <w:spacing w:before="0" w:after="0" w:line="240" w:lineRule="auto"/>
              <w:jc w:val="center"/>
              <w:rPr>
                <w:color w:val="auto"/>
                <w:sz w:val="20"/>
                <w:szCs w:val="20"/>
              </w:rPr>
            </w:pPr>
            <w:r w:rsidRPr="00E263F4">
              <w:rPr>
                <w:color w:val="000000"/>
                <w:sz w:val="22"/>
                <w:szCs w:val="22"/>
              </w:rPr>
              <w:t>194</w:t>
            </w:r>
          </w:p>
        </w:tc>
        <w:tc>
          <w:tcPr>
            <w:tcW w:w="660" w:type="pct"/>
            <w:gridSpan w:val="2"/>
            <w:tcBorders>
              <w:top w:val="nil"/>
              <w:left w:val="nil"/>
              <w:bottom w:val="single" w:sz="4" w:space="0" w:color="auto"/>
              <w:right w:val="single" w:sz="4" w:space="0" w:color="auto"/>
            </w:tcBorders>
            <w:shd w:val="clear" w:color="auto" w:fill="auto"/>
            <w:noWrap/>
            <w:vAlign w:val="bottom"/>
          </w:tcPr>
          <w:p w14:paraId="2B7DB350" w14:textId="2EBE6234" w:rsidR="00673CE6" w:rsidRPr="00E263F4" w:rsidRDefault="00673CE6" w:rsidP="00E263F4">
            <w:pPr>
              <w:spacing w:before="0" w:after="0" w:line="240" w:lineRule="auto"/>
              <w:jc w:val="center"/>
              <w:rPr>
                <w:color w:val="auto"/>
                <w:sz w:val="20"/>
                <w:szCs w:val="20"/>
              </w:rPr>
            </w:pPr>
            <w:r w:rsidRPr="00E263F4">
              <w:rPr>
                <w:color w:val="000000"/>
                <w:sz w:val="22"/>
                <w:szCs w:val="22"/>
              </w:rPr>
              <w:t>173</w:t>
            </w:r>
          </w:p>
        </w:tc>
        <w:tc>
          <w:tcPr>
            <w:tcW w:w="545" w:type="pct"/>
            <w:gridSpan w:val="2"/>
            <w:tcBorders>
              <w:top w:val="nil"/>
              <w:left w:val="nil"/>
              <w:bottom w:val="single" w:sz="4" w:space="0" w:color="auto"/>
              <w:right w:val="single" w:sz="4" w:space="0" w:color="auto"/>
            </w:tcBorders>
            <w:shd w:val="clear" w:color="auto" w:fill="auto"/>
            <w:noWrap/>
            <w:vAlign w:val="bottom"/>
          </w:tcPr>
          <w:p w14:paraId="1054D9DC" w14:textId="58CA39DC" w:rsidR="00673CE6" w:rsidRPr="00E263F4" w:rsidRDefault="00673CE6" w:rsidP="00E263F4">
            <w:pPr>
              <w:spacing w:before="0" w:after="0" w:line="240" w:lineRule="auto"/>
              <w:jc w:val="center"/>
              <w:rPr>
                <w:color w:val="auto"/>
                <w:sz w:val="20"/>
                <w:szCs w:val="20"/>
              </w:rPr>
            </w:pPr>
            <w:r w:rsidRPr="00E263F4">
              <w:rPr>
                <w:color w:val="000000"/>
                <w:sz w:val="22"/>
                <w:szCs w:val="22"/>
              </w:rPr>
              <w:t>196</w:t>
            </w:r>
          </w:p>
        </w:tc>
        <w:tc>
          <w:tcPr>
            <w:tcW w:w="548" w:type="pct"/>
            <w:tcBorders>
              <w:top w:val="nil"/>
              <w:left w:val="nil"/>
              <w:bottom w:val="single" w:sz="4" w:space="0" w:color="auto"/>
              <w:right w:val="single" w:sz="4" w:space="0" w:color="auto"/>
            </w:tcBorders>
            <w:shd w:val="clear" w:color="auto" w:fill="auto"/>
            <w:noWrap/>
            <w:vAlign w:val="bottom"/>
          </w:tcPr>
          <w:p w14:paraId="22367F93" w14:textId="611A8603" w:rsidR="00673CE6" w:rsidRPr="00E263F4" w:rsidRDefault="00673CE6" w:rsidP="00E263F4">
            <w:pPr>
              <w:spacing w:before="0" w:after="0" w:line="240" w:lineRule="auto"/>
              <w:jc w:val="center"/>
              <w:rPr>
                <w:color w:val="auto"/>
                <w:sz w:val="20"/>
                <w:szCs w:val="20"/>
              </w:rPr>
            </w:pPr>
            <w:r w:rsidRPr="00E263F4">
              <w:rPr>
                <w:color w:val="000000"/>
                <w:sz w:val="22"/>
                <w:szCs w:val="22"/>
              </w:rPr>
              <w:t>176</w:t>
            </w:r>
          </w:p>
        </w:tc>
        <w:tc>
          <w:tcPr>
            <w:tcW w:w="697" w:type="pct"/>
            <w:gridSpan w:val="2"/>
            <w:tcBorders>
              <w:top w:val="nil"/>
              <w:left w:val="nil"/>
              <w:bottom w:val="single" w:sz="4" w:space="0" w:color="auto"/>
              <w:right w:val="single" w:sz="4" w:space="0" w:color="auto"/>
            </w:tcBorders>
            <w:shd w:val="clear" w:color="auto" w:fill="auto"/>
            <w:noWrap/>
            <w:vAlign w:val="bottom"/>
          </w:tcPr>
          <w:p w14:paraId="1FC8FC27" w14:textId="5193F9CE" w:rsidR="00673CE6" w:rsidRPr="00E263F4" w:rsidRDefault="00673CE6" w:rsidP="00E263F4">
            <w:pPr>
              <w:spacing w:before="0" w:after="0" w:line="240" w:lineRule="auto"/>
              <w:jc w:val="center"/>
              <w:rPr>
                <w:color w:val="auto"/>
                <w:sz w:val="20"/>
                <w:szCs w:val="20"/>
              </w:rPr>
            </w:pPr>
            <w:r w:rsidRPr="00E263F4">
              <w:rPr>
                <w:color w:val="000000"/>
                <w:sz w:val="22"/>
                <w:szCs w:val="22"/>
              </w:rPr>
              <w:t>167</w:t>
            </w:r>
          </w:p>
        </w:tc>
        <w:tc>
          <w:tcPr>
            <w:tcW w:w="690" w:type="pct"/>
            <w:gridSpan w:val="2"/>
            <w:tcBorders>
              <w:top w:val="nil"/>
              <w:left w:val="nil"/>
              <w:bottom w:val="single" w:sz="4" w:space="0" w:color="auto"/>
              <w:right w:val="single" w:sz="4" w:space="0" w:color="auto"/>
            </w:tcBorders>
            <w:shd w:val="clear" w:color="auto" w:fill="auto"/>
            <w:noWrap/>
            <w:vAlign w:val="bottom"/>
          </w:tcPr>
          <w:p w14:paraId="7C7E1E29" w14:textId="34E33013" w:rsidR="00673CE6" w:rsidRPr="00E263F4" w:rsidRDefault="00673CE6" w:rsidP="00E263F4">
            <w:pPr>
              <w:spacing w:before="0" w:after="0" w:line="240" w:lineRule="auto"/>
              <w:jc w:val="center"/>
              <w:rPr>
                <w:color w:val="auto"/>
                <w:sz w:val="20"/>
                <w:szCs w:val="20"/>
              </w:rPr>
            </w:pPr>
            <w:r w:rsidRPr="00E263F4">
              <w:rPr>
                <w:color w:val="000000"/>
                <w:sz w:val="22"/>
                <w:szCs w:val="22"/>
              </w:rPr>
              <w:t>164</w:t>
            </w:r>
          </w:p>
        </w:tc>
      </w:tr>
      <w:tr w:rsidR="00673CE6" w:rsidRPr="00E263F4" w14:paraId="04C0E03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352EAFE" w14:textId="77777777" w:rsidR="00673CE6" w:rsidRPr="00E263F4" w:rsidRDefault="00673CE6" w:rsidP="00673CE6">
            <w:pPr>
              <w:spacing w:before="0" w:after="0" w:line="240" w:lineRule="auto"/>
              <w:rPr>
                <w:color w:val="auto"/>
                <w:sz w:val="20"/>
                <w:szCs w:val="20"/>
              </w:rPr>
            </w:pPr>
            <w:r w:rsidRPr="00E263F4">
              <w:rPr>
                <w:color w:val="auto"/>
                <w:sz w:val="20"/>
                <w:szCs w:val="20"/>
              </w:rPr>
              <w:t>14</w:t>
            </w:r>
          </w:p>
        </w:tc>
        <w:tc>
          <w:tcPr>
            <w:tcW w:w="658" w:type="pct"/>
            <w:gridSpan w:val="2"/>
            <w:tcBorders>
              <w:top w:val="nil"/>
              <w:left w:val="nil"/>
              <w:bottom w:val="single" w:sz="4" w:space="0" w:color="auto"/>
              <w:right w:val="single" w:sz="4" w:space="0" w:color="auto"/>
            </w:tcBorders>
            <w:shd w:val="clear" w:color="auto" w:fill="auto"/>
            <w:noWrap/>
            <w:vAlign w:val="bottom"/>
          </w:tcPr>
          <w:p w14:paraId="1F0DBB56" w14:textId="0AB81362" w:rsidR="00673CE6" w:rsidRPr="00E263F4" w:rsidRDefault="00673CE6" w:rsidP="00E263F4">
            <w:pPr>
              <w:spacing w:before="0" w:after="0" w:line="240" w:lineRule="auto"/>
              <w:jc w:val="center"/>
              <w:rPr>
                <w:color w:val="auto"/>
                <w:sz w:val="20"/>
                <w:szCs w:val="20"/>
              </w:rPr>
            </w:pPr>
            <w:r w:rsidRPr="00E263F4">
              <w:rPr>
                <w:color w:val="000000"/>
                <w:sz w:val="22"/>
                <w:szCs w:val="22"/>
              </w:rPr>
              <w:t>192</w:t>
            </w:r>
          </w:p>
        </w:tc>
        <w:tc>
          <w:tcPr>
            <w:tcW w:w="660" w:type="pct"/>
            <w:gridSpan w:val="2"/>
            <w:tcBorders>
              <w:top w:val="nil"/>
              <w:left w:val="nil"/>
              <w:bottom w:val="single" w:sz="4" w:space="0" w:color="auto"/>
              <w:right w:val="single" w:sz="4" w:space="0" w:color="auto"/>
            </w:tcBorders>
            <w:shd w:val="clear" w:color="auto" w:fill="auto"/>
            <w:noWrap/>
            <w:vAlign w:val="bottom"/>
          </w:tcPr>
          <w:p w14:paraId="6CD89A66" w14:textId="52CC5F35" w:rsidR="00673CE6" w:rsidRPr="00E263F4" w:rsidRDefault="00673CE6" w:rsidP="00E263F4">
            <w:pPr>
              <w:spacing w:before="0" w:after="0" w:line="240" w:lineRule="auto"/>
              <w:jc w:val="center"/>
              <w:rPr>
                <w:color w:val="auto"/>
                <w:sz w:val="20"/>
                <w:szCs w:val="20"/>
              </w:rPr>
            </w:pPr>
            <w:r w:rsidRPr="00E263F4">
              <w:rPr>
                <w:color w:val="000000"/>
                <w:sz w:val="22"/>
                <w:szCs w:val="22"/>
              </w:rPr>
              <w:t>192</w:t>
            </w:r>
          </w:p>
        </w:tc>
        <w:tc>
          <w:tcPr>
            <w:tcW w:w="545" w:type="pct"/>
            <w:gridSpan w:val="2"/>
            <w:tcBorders>
              <w:top w:val="nil"/>
              <w:left w:val="nil"/>
              <w:bottom w:val="single" w:sz="4" w:space="0" w:color="auto"/>
              <w:right w:val="single" w:sz="4" w:space="0" w:color="auto"/>
            </w:tcBorders>
            <w:shd w:val="clear" w:color="auto" w:fill="auto"/>
            <w:noWrap/>
            <w:vAlign w:val="bottom"/>
          </w:tcPr>
          <w:p w14:paraId="4CA828D3" w14:textId="056D4E79" w:rsidR="00673CE6" w:rsidRPr="00E263F4" w:rsidRDefault="00673CE6" w:rsidP="00E263F4">
            <w:pPr>
              <w:spacing w:before="0" w:after="0" w:line="240" w:lineRule="auto"/>
              <w:jc w:val="center"/>
              <w:rPr>
                <w:color w:val="auto"/>
                <w:sz w:val="20"/>
                <w:szCs w:val="20"/>
              </w:rPr>
            </w:pPr>
            <w:r w:rsidRPr="00E263F4">
              <w:rPr>
                <w:color w:val="000000"/>
                <w:sz w:val="22"/>
                <w:szCs w:val="22"/>
              </w:rPr>
              <w:t>222</w:t>
            </w:r>
          </w:p>
        </w:tc>
        <w:tc>
          <w:tcPr>
            <w:tcW w:w="548" w:type="pct"/>
            <w:tcBorders>
              <w:top w:val="nil"/>
              <w:left w:val="nil"/>
              <w:bottom w:val="single" w:sz="4" w:space="0" w:color="auto"/>
              <w:right w:val="single" w:sz="4" w:space="0" w:color="auto"/>
            </w:tcBorders>
            <w:shd w:val="clear" w:color="auto" w:fill="auto"/>
            <w:noWrap/>
            <w:vAlign w:val="bottom"/>
          </w:tcPr>
          <w:p w14:paraId="6A330489" w14:textId="4D681FBE" w:rsidR="00673CE6" w:rsidRPr="00E263F4" w:rsidRDefault="00673CE6" w:rsidP="00E263F4">
            <w:pPr>
              <w:spacing w:before="0" w:after="0" w:line="240" w:lineRule="auto"/>
              <w:jc w:val="center"/>
              <w:rPr>
                <w:color w:val="auto"/>
                <w:sz w:val="20"/>
                <w:szCs w:val="20"/>
              </w:rPr>
            </w:pPr>
            <w:r w:rsidRPr="00E263F4">
              <w:rPr>
                <w:color w:val="000000"/>
                <w:sz w:val="22"/>
                <w:szCs w:val="22"/>
              </w:rPr>
              <w:t>213</w:t>
            </w:r>
          </w:p>
        </w:tc>
        <w:tc>
          <w:tcPr>
            <w:tcW w:w="697" w:type="pct"/>
            <w:gridSpan w:val="2"/>
            <w:tcBorders>
              <w:top w:val="nil"/>
              <w:left w:val="nil"/>
              <w:bottom w:val="single" w:sz="4" w:space="0" w:color="auto"/>
              <w:right w:val="single" w:sz="4" w:space="0" w:color="auto"/>
            </w:tcBorders>
            <w:shd w:val="clear" w:color="auto" w:fill="auto"/>
            <w:noWrap/>
            <w:vAlign w:val="bottom"/>
          </w:tcPr>
          <w:p w14:paraId="4241EC76" w14:textId="2E96A72C" w:rsidR="00673CE6" w:rsidRPr="00E263F4" w:rsidRDefault="00673CE6" w:rsidP="00E263F4">
            <w:pPr>
              <w:spacing w:before="0" w:after="0" w:line="240" w:lineRule="auto"/>
              <w:jc w:val="center"/>
              <w:rPr>
                <w:color w:val="auto"/>
                <w:sz w:val="20"/>
                <w:szCs w:val="20"/>
              </w:rPr>
            </w:pPr>
            <w:r w:rsidRPr="00E263F4">
              <w:rPr>
                <w:color w:val="000000"/>
                <w:sz w:val="22"/>
                <w:szCs w:val="22"/>
              </w:rPr>
              <w:t>178</w:t>
            </w:r>
          </w:p>
        </w:tc>
        <w:tc>
          <w:tcPr>
            <w:tcW w:w="690" w:type="pct"/>
            <w:gridSpan w:val="2"/>
            <w:tcBorders>
              <w:top w:val="nil"/>
              <w:left w:val="nil"/>
              <w:bottom w:val="single" w:sz="4" w:space="0" w:color="auto"/>
              <w:right w:val="single" w:sz="4" w:space="0" w:color="auto"/>
            </w:tcBorders>
            <w:shd w:val="clear" w:color="auto" w:fill="auto"/>
            <w:noWrap/>
            <w:vAlign w:val="bottom"/>
          </w:tcPr>
          <w:p w14:paraId="76194BE5" w14:textId="64981315" w:rsidR="00673CE6" w:rsidRPr="00E263F4" w:rsidRDefault="00673CE6" w:rsidP="00E263F4">
            <w:pPr>
              <w:spacing w:before="0" w:after="0" w:line="240" w:lineRule="auto"/>
              <w:jc w:val="center"/>
              <w:rPr>
                <w:color w:val="auto"/>
                <w:sz w:val="20"/>
                <w:szCs w:val="20"/>
              </w:rPr>
            </w:pPr>
            <w:r w:rsidRPr="00E263F4">
              <w:rPr>
                <w:color w:val="000000"/>
                <w:sz w:val="22"/>
                <w:szCs w:val="22"/>
              </w:rPr>
              <w:t>205</w:t>
            </w:r>
          </w:p>
        </w:tc>
      </w:tr>
      <w:tr w:rsidR="00673CE6" w:rsidRPr="00E263F4" w14:paraId="2A14E21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DD7D5A4" w14:textId="77777777" w:rsidR="00673CE6" w:rsidRPr="00E263F4" w:rsidRDefault="00673CE6" w:rsidP="00673CE6">
            <w:pPr>
              <w:spacing w:before="0" w:after="0" w:line="240" w:lineRule="auto"/>
              <w:rPr>
                <w:color w:val="auto"/>
                <w:sz w:val="20"/>
                <w:szCs w:val="20"/>
              </w:rPr>
            </w:pPr>
            <w:r w:rsidRPr="00E263F4">
              <w:rPr>
                <w:color w:val="auto"/>
                <w:sz w:val="20"/>
                <w:szCs w:val="20"/>
              </w:rPr>
              <w:t>15</w:t>
            </w:r>
          </w:p>
        </w:tc>
        <w:tc>
          <w:tcPr>
            <w:tcW w:w="658" w:type="pct"/>
            <w:gridSpan w:val="2"/>
            <w:tcBorders>
              <w:top w:val="nil"/>
              <w:left w:val="nil"/>
              <w:bottom w:val="single" w:sz="4" w:space="0" w:color="auto"/>
              <w:right w:val="single" w:sz="4" w:space="0" w:color="auto"/>
            </w:tcBorders>
            <w:shd w:val="clear" w:color="auto" w:fill="auto"/>
            <w:noWrap/>
            <w:vAlign w:val="bottom"/>
          </w:tcPr>
          <w:p w14:paraId="3C2BCE58" w14:textId="3920ED23" w:rsidR="00673CE6" w:rsidRPr="00E263F4" w:rsidRDefault="00673CE6" w:rsidP="00E263F4">
            <w:pPr>
              <w:spacing w:before="0" w:after="0" w:line="240" w:lineRule="auto"/>
              <w:jc w:val="center"/>
              <w:rPr>
                <w:color w:val="auto"/>
                <w:sz w:val="20"/>
                <w:szCs w:val="20"/>
              </w:rPr>
            </w:pPr>
            <w:r w:rsidRPr="00E263F4">
              <w:rPr>
                <w:color w:val="000000"/>
                <w:sz w:val="22"/>
                <w:szCs w:val="22"/>
              </w:rPr>
              <w:t>216</w:t>
            </w:r>
          </w:p>
        </w:tc>
        <w:tc>
          <w:tcPr>
            <w:tcW w:w="660" w:type="pct"/>
            <w:gridSpan w:val="2"/>
            <w:tcBorders>
              <w:top w:val="nil"/>
              <w:left w:val="nil"/>
              <w:bottom w:val="single" w:sz="4" w:space="0" w:color="auto"/>
              <w:right w:val="single" w:sz="4" w:space="0" w:color="auto"/>
            </w:tcBorders>
            <w:shd w:val="clear" w:color="auto" w:fill="auto"/>
            <w:noWrap/>
            <w:vAlign w:val="bottom"/>
          </w:tcPr>
          <w:p w14:paraId="7797D0AB" w14:textId="3F362FC2" w:rsidR="00673CE6" w:rsidRPr="00E263F4" w:rsidRDefault="00673CE6" w:rsidP="00E263F4">
            <w:pPr>
              <w:spacing w:before="0" w:after="0" w:line="240" w:lineRule="auto"/>
              <w:jc w:val="center"/>
              <w:rPr>
                <w:color w:val="auto"/>
                <w:sz w:val="20"/>
                <w:szCs w:val="20"/>
              </w:rPr>
            </w:pPr>
            <w:r w:rsidRPr="00E263F4">
              <w:rPr>
                <w:color w:val="000000"/>
                <w:sz w:val="22"/>
                <w:szCs w:val="22"/>
              </w:rPr>
              <w:t>193</w:t>
            </w:r>
          </w:p>
        </w:tc>
        <w:tc>
          <w:tcPr>
            <w:tcW w:w="545" w:type="pct"/>
            <w:gridSpan w:val="2"/>
            <w:tcBorders>
              <w:top w:val="nil"/>
              <w:left w:val="nil"/>
              <w:bottom w:val="single" w:sz="4" w:space="0" w:color="auto"/>
              <w:right w:val="single" w:sz="4" w:space="0" w:color="auto"/>
            </w:tcBorders>
            <w:shd w:val="clear" w:color="auto" w:fill="auto"/>
            <w:noWrap/>
            <w:vAlign w:val="bottom"/>
          </w:tcPr>
          <w:p w14:paraId="162D33FF" w14:textId="1CD2E95D" w:rsidR="00673CE6" w:rsidRPr="00E263F4" w:rsidRDefault="00673CE6" w:rsidP="00E263F4">
            <w:pPr>
              <w:spacing w:before="0" w:after="0" w:line="240" w:lineRule="auto"/>
              <w:jc w:val="center"/>
              <w:rPr>
                <w:color w:val="auto"/>
                <w:sz w:val="20"/>
                <w:szCs w:val="20"/>
              </w:rPr>
            </w:pPr>
            <w:r w:rsidRPr="00E263F4">
              <w:rPr>
                <w:color w:val="000000"/>
                <w:sz w:val="22"/>
                <w:szCs w:val="22"/>
              </w:rPr>
              <w:t>210</w:t>
            </w:r>
          </w:p>
        </w:tc>
        <w:tc>
          <w:tcPr>
            <w:tcW w:w="548" w:type="pct"/>
            <w:tcBorders>
              <w:top w:val="nil"/>
              <w:left w:val="nil"/>
              <w:bottom w:val="single" w:sz="4" w:space="0" w:color="auto"/>
              <w:right w:val="single" w:sz="4" w:space="0" w:color="auto"/>
            </w:tcBorders>
            <w:shd w:val="clear" w:color="auto" w:fill="auto"/>
            <w:noWrap/>
            <w:vAlign w:val="bottom"/>
          </w:tcPr>
          <w:p w14:paraId="5F308B7C" w14:textId="624F5DFD" w:rsidR="00673CE6" w:rsidRPr="00E263F4" w:rsidRDefault="00673CE6" w:rsidP="00E263F4">
            <w:pPr>
              <w:spacing w:before="0" w:after="0" w:line="240" w:lineRule="auto"/>
              <w:jc w:val="center"/>
              <w:rPr>
                <w:color w:val="auto"/>
                <w:sz w:val="20"/>
                <w:szCs w:val="20"/>
              </w:rPr>
            </w:pPr>
            <w:r w:rsidRPr="00E263F4">
              <w:rPr>
                <w:color w:val="000000"/>
                <w:sz w:val="22"/>
                <w:szCs w:val="22"/>
              </w:rPr>
              <w:t>168</w:t>
            </w:r>
          </w:p>
        </w:tc>
        <w:tc>
          <w:tcPr>
            <w:tcW w:w="697" w:type="pct"/>
            <w:gridSpan w:val="2"/>
            <w:tcBorders>
              <w:top w:val="nil"/>
              <w:left w:val="nil"/>
              <w:bottom w:val="single" w:sz="4" w:space="0" w:color="auto"/>
              <w:right w:val="single" w:sz="4" w:space="0" w:color="auto"/>
            </w:tcBorders>
            <w:shd w:val="clear" w:color="auto" w:fill="auto"/>
            <w:noWrap/>
            <w:vAlign w:val="bottom"/>
          </w:tcPr>
          <w:p w14:paraId="646409AF" w14:textId="19D59E83" w:rsidR="00673CE6" w:rsidRPr="00E263F4" w:rsidRDefault="00673CE6" w:rsidP="00E263F4">
            <w:pPr>
              <w:spacing w:before="0" w:after="0" w:line="240" w:lineRule="auto"/>
              <w:jc w:val="center"/>
              <w:rPr>
                <w:color w:val="auto"/>
                <w:sz w:val="20"/>
                <w:szCs w:val="20"/>
              </w:rPr>
            </w:pPr>
            <w:r w:rsidRPr="00E263F4">
              <w:rPr>
                <w:color w:val="000000"/>
                <w:sz w:val="22"/>
                <w:szCs w:val="22"/>
              </w:rPr>
              <w:t>178</w:t>
            </w:r>
          </w:p>
        </w:tc>
        <w:tc>
          <w:tcPr>
            <w:tcW w:w="690" w:type="pct"/>
            <w:gridSpan w:val="2"/>
            <w:tcBorders>
              <w:top w:val="nil"/>
              <w:left w:val="nil"/>
              <w:bottom w:val="single" w:sz="4" w:space="0" w:color="auto"/>
              <w:right w:val="single" w:sz="4" w:space="0" w:color="auto"/>
            </w:tcBorders>
            <w:shd w:val="clear" w:color="auto" w:fill="auto"/>
            <w:noWrap/>
            <w:vAlign w:val="bottom"/>
          </w:tcPr>
          <w:p w14:paraId="6CD45F28" w14:textId="332EB4C6" w:rsidR="00673CE6" w:rsidRPr="00E263F4" w:rsidRDefault="00673CE6" w:rsidP="00E263F4">
            <w:pPr>
              <w:spacing w:before="0" w:after="0" w:line="240" w:lineRule="auto"/>
              <w:jc w:val="center"/>
              <w:rPr>
                <w:color w:val="auto"/>
                <w:sz w:val="20"/>
                <w:szCs w:val="20"/>
              </w:rPr>
            </w:pPr>
            <w:r w:rsidRPr="00E263F4">
              <w:rPr>
                <w:color w:val="000000"/>
                <w:sz w:val="22"/>
                <w:szCs w:val="22"/>
              </w:rPr>
              <w:t>169</w:t>
            </w:r>
          </w:p>
        </w:tc>
      </w:tr>
      <w:tr w:rsidR="00673CE6" w:rsidRPr="00E263F4" w14:paraId="497428A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BAB7442" w14:textId="77777777" w:rsidR="00673CE6" w:rsidRPr="00E263F4" w:rsidRDefault="00673CE6" w:rsidP="00673CE6">
            <w:pPr>
              <w:spacing w:before="0" w:after="0" w:line="240" w:lineRule="auto"/>
              <w:rPr>
                <w:color w:val="auto"/>
                <w:sz w:val="20"/>
                <w:szCs w:val="20"/>
              </w:rPr>
            </w:pPr>
            <w:r w:rsidRPr="00E263F4">
              <w:rPr>
                <w:color w:val="auto"/>
                <w:sz w:val="20"/>
                <w:szCs w:val="20"/>
              </w:rPr>
              <w:lastRenderedPageBreak/>
              <w:t>16</w:t>
            </w:r>
          </w:p>
        </w:tc>
        <w:tc>
          <w:tcPr>
            <w:tcW w:w="658" w:type="pct"/>
            <w:gridSpan w:val="2"/>
            <w:tcBorders>
              <w:top w:val="nil"/>
              <w:left w:val="nil"/>
              <w:bottom w:val="single" w:sz="4" w:space="0" w:color="auto"/>
              <w:right w:val="single" w:sz="4" w:space="0" w:color="auto"/>
            </w:tcBorders>
            <w:shd w:val="clear" w:color="auto" w:fill="auto"/>
            <w:noWrap/>
            <w:vAlign w:val="bottom"/>
          </w:tcPr>
          <w:p w14:paraId="5B97F7EB" w14:textId="21D9D7B7" w:rsidR="00673CE6" w:rsidRPr="00E263F4" w:rsidRDefault="00673CE6" w:rsidP="00E263F4">
            <w:pPr>
              <w:spacing w:before="0" w:after="0" w:line="240" w:lineRule="auto"/>
              <w:jc w:val="center"/>
              <w:rPr>
                <w:color w:val="auto"/>
                <w:sz w:val="20"/>
                <w:szCs w:val="20"/>
              </w:rPr>
            </w:pPr>
            <w:r w:rsidRPr="00E263F4">
              <w:rPr>
                <w:color w:val="000000"/>
                <w:sz w:val="22"/>
                <w:szCs w:val="22"/>
              </w:rPr>
              <w:t>235</w:t>
            </w:r>
          </w:p>
        </w:tc>
        <w:tc>
          <w:tcPr>
            <w:tcW w:w="660" w:type="pct"/>
            <w:gridSpan w:val="2"/>
            <w:tcBorders>
              <w:top w:val="nil"/>
              <w:left w:val="nil"/>
              <w:bottom w:val="single" w:sz="4" w:space="0" w:color="auto"/>
              <w:right w:val="single" w:sz="4" w:space="0" w:color="auto"/>
            </w:tcBorders>
            <w:shd w:val="clear" w:color="auto" w:fill="auto"/>
            <w:noWrap/>
            <w:vAlign w:val="bottom"/>
          </w:tcPr>
          <w:p w14:paraId="700EDA72" w14:textId="3D353B68" w:rsidR="00673CE6" w:rsidRPr="00E263F4" w:rsidRDefault="00673CE6" w:rsidP="00E263F4">
            <w:pPr>
              <w:spacing w:before="0" w:after="0" w:line="240" w:lineRule="auto"/>
              <w:jc w:val="center"/>
              <w:rPr>
                <w:color w:val="auto"/>
                <w:sz w:val="20"/>
                <w:szCs w:val="20"/>
              </w:rPr>
            </w:pPr>
            <w:r w:rsidRPr="00E263F4">
              <w:rPr>
                <w:color w:val="000000"/>
                <w:sz w:val="22"/>
                <w:szCs w:val="22"/>
              </w:rPr>
              <w:t>193</w:t>
            </w:r>
          </w:p>
        </w:tc>
        <w:tc>
          <w:tcPr>
            <w:tcW w:w="545" w:type="pct"/>
            <w:gridSpan w:val="2"/>
            <w:tcBorders>
              <w:top w:val="nil"/>
              <w:left w:val="nil"/>
              <w:bottom w:val="single" w:sz="4" w:space="0" w:color="auto"/>
              <w:right w:val="single" w:sz="4" w:space="0" w:color="auto"/>
            </w:tcBorders>
            <w:shd w:val="clear" w:color="auto" w:fill="auto"/>
            <w:noWrap/>
            <w:vAlign w:val="bottom"/>
          </w:tcPr>
          <w:p w14:paraId="04DF2CB9" w14:textId="3E34D9E6" w:rsidR="00673CE6" w:rsidRPr="00E263F4" w:rsidRDefault="00673CE6" w:rsidP="00E263F4">
            <w:pPr>
              <w:spacing w:before="0" w:after="0" w:line="240" w:lineRule="auto"/>
              <w:jc w:val="center"/>
              <w:rPr>
                <w:color w:val="auto"/>
                <w:sz w:val="20"/>
                <w:szCs w:val="20"/>
              </w:rPr>
            </w:pPr>
            <w:r w:rsidRPr="00E263F4">
              <w:rPr>
                <w:color w:val="000000"/>
                <w:sz w:val="22"/>
                <w:szCs w:val="22"/>
              </w:rPr>
              <w:t>244</w:t>
            </w:r>
          </w:p>
        </w:tc>
        <w:tc>
          <w:tcPr>
            <w:tcW w:w="548" w:type="pct"/>
            <w:tcBorders>
              <w:top w:val="nil"/>
              <w:left w:val="nil"/>
              <w:bottom w:val="single" w:sz="4" w:space="0" w:color="auto"/>
              <w:right w:val="single" w:sz="4" w:space="0" w:color="auto"/>
            </w:tcBorders>
            <w:shd w:val="clear" w:color="auto" w:fill="auto"/>
            <w:noWrap/>
            <w:vAlign w:val="bottom"/>
          </w:tcPr>
          <w:p w14:paraId="00C35881" w14:textId="0C983396" w:rsidR="00673CE6" w:rsidRPr="00E263F4" w:rsidRDefault="00673CE6" w:rsidP="00E263F4">
            <w:pPr>
              <w:spacing w:before="0" w:after="0" w:line="240" w:lineRule="auto"/>
              <w:jc w:val="center"/>
              <w:rPr>
                <w:color w:val="auto"/>
                <w:sz w:val="20"/>
                <w:szCs w:val="20"/>
              </w:rPr>
            </w:pPr>
            <w:r w:rsidRPr="00E263F4">
              <w:rPr>
                <w:color w:val="000000"/>
                <w:sz w:val="22"/>
                <w:szCs w:val="22"/>
              </w:rPr>
              <w:t>168</w:t>
            </w:r>
          </w:p>
        </w:tc>
        <w:tc>
          <w:tcPr>
            <w:tcW w:w="697" w:type="pct"/>
            <w:gridSpan w:val="2"/>
            <w:tcBorders>
              <w:top w:val="nil"/>
              <w:left w:val="nil"/>
              <w:bottom w:val="single" w:sz="4" w:space="0" w:color="auto"/>
              <w:right w:val="single" w:sz="4" w:space="0" w:color="auto"/>
            </w:tcBorders>
            <w:shd w:val="clear" w:color="auto" w:fill="auto"/>
            <w:noWrap/>
            <w:vAlign w:val="bottom"/>
          </w:tcPr>
          <w:p w14:paraId="6126EF2E" w14:textId="45FFAB9A" w:rsidR="00673CE6" w:rsidRPr="00E263F4" w:rsidRDefault="00673CE6" w:rsidP="00E263F4">
            <w:pPr>
              <w:spacing w:before="0" w:after="0" w:line="240" w:lineRule="auto"/>
              <w:jc w:val="center"/>
              <w:rPr>
                <w:color w:val="auto"/>
                <w:sz w:val="20"/>
                <w:szCs w:val="20"/>
              </w:rPr>
            </w:pPr>
            <w:r w:rsidRPr="00E263F4">
              <w:rPr>
                <w:color w:val="000000"/>
                <w:sz w:val="22"/>
                <w:szCs w:val="22"/>
              </w:rPr>
              <w:t>172</w:t>
            </w:r>
          </w:p>
        </w:tc>
        <w:tc>
          <w:tcPr>
            <w:tcW w:w="690" w:type="pct"/>
            <w:gridSpan w:val="2"/>
            <w:tcBorders>
              <w:top w:val="nil"/>
              <w:left w:val="nil"/>
              <w:bottom w:val="single" w:sz="4" w:space="0" w:color="auto"/>
              <w:right w:val="single" w:sz="4" w:space="0" w:color="auto"/>
            </w:tcBorders>
            <w:shd w:val="clear" w:color="auto" w:fill="auto"/>
            <w:noWrap/>
            <w:vAlign w:val="bottom"/>
          </w:tcPr>
          <w:p w14:paraId="2DB298E5" w14:textId="7C670FEE" w:rsidR="00673CE6" w:rsidRPr="00E263F4" w:rsidRDefault="00673CE6" w:rsidP="00E263F4">
            <w:pPr>
              <w:spacing w:before="0" w:after="0" w:line="240" w:lineRule="auto"/>
              <w:jc w:val="center"/>
              <w:rPr>
                <w:color w:val="auto"/>
                <w:sz w:val="20"/>
                <w:szCs w:val="20"/>
              </w:rPr>
            </w:pPr>
            <w:r w:rsidRPr="00E263F4">
              <w:rPr>
                <w:color w:val="000000"/>
                <w:sz w:val="22"/>
                <w:szCs w:val="22"/>
              </w:rPr>
              <w:t>205</w:t>
            </w:r>
          </w:p>
        </w:tc>
      </w:tr>
      <w:tr w:rsidR="00673CE6" w:rsidRPr="00E263F4" w14:paraId="309FFA7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E5D4315" w14:textId="77777777" w:rsidR="00673CE6" w:rsidRPr="00E263F4" w:rsidRDefault="00673CE6" w:rsidP="00673CE6">
            <w:pPr>
              <w:spacing w:before="0" w:after="0" w:line="240" w:lineRule="auto"/>
              <w:rPr>
                <w:color w:val="auto"/>
                <w:sz w:val="20"/>
                <w:szCs w:val="20"/>
              </w:rPr>
            </w:pPr>
            <w:r w:rsidRPr="00E263F4">
              <w:rPr>
                <w:color w:val="auto"/>
                <w:sz w:val="20"/>
                <w:szCs w:val="20"/>
              </w:rPr>
              <w:t>17</w:t>
            </w:r>
          </w:p>
        </w:tc>
        <w:tc>
          <w:tcPr>
            <w:tcW w:w="658" w:type="pct"/>
            <w:gridSpan w:val="2"/>
            <w:tcBorders>
              <w:top w:val="nil"/>
              <w:left w:val="nil"/>
              <w:bottom w:val="single" w:sz="4" w:space="0" w:color="auto"/>
              <w:right w:val="single" w:sz="4" w:space="0" w:color="auto"/>
            </w:tcBorders>
            <w:shd w:val="clear" w:color="auto" w:fill="auto"/>
            <w:noWrap/>
            <w:vAlign w:val="bottom"/>
          </w:tcPr>
          <w:p w14:paraId="7AE3387E" w14:textId="18DB0743" w:rsidR="00673CE6" w:rsidRPr="00E263F4" w:rsidRDefault="00673CE6" w:rsidP="00E263F4">
            <w:pPr>
              <w:spacing w:before="0" w:after="0" w:line="240" w:lineRule="auto"/>
              <w:jc w:val="center"/>
              <w:rPr>
                <w:color w:val="auto"/>
                <w:sz w:val="20"/>
                <w:szCs w:val="20"/>
              </w:rPr>
            </w:pPr>
            <w:r w:rsidRPr="00E263F4">
              <w:rPr>
                <w:color w:val="000000"/>
                <w:sz w:val="22"/>
                <w:szCs w:val="22"/>
              </w:rPr>
              <w:t>242</w:t>
            </w:r>
          </w:p>
        </w:tc>
        <w:tc>
          <w:tcPr>
            <w:tcW w:w="660" w:type="pct"/>
            <w:gridSpan w:val="2"/>
            <w:tcBorders>
              <w:top w:val="nil"/>
              <w:left w:val="nil"/>
              <w:bottom w:val="single" w:sz="4" w:space="0" w:color="auto"/>
              <w:right w:val="single" w:sz="4" w:space="0" w:color="auto"/>
            </w:tcBorders>
            <w:shd w:val="clear" w:color="auto" w:fill="auto"/>
            <w:noWrap/>
            <w:vAlign w:val="bottom"/>
          </w:tcPr>
          <w:p w14:paraId="79FB3EFE" w14:textId="25B25B1A" w:rsidR="00673CE6" w:rsidRPr="00E263F4" w:rsidRDefault="00673CE6" w:rsidP="00E263F4">
            <w:pPr>
              <w:spacing w:before="0" w:after="0" w:line="240" w:lineRule="auto"/>
              <w:jc w:val="center"/>
              <w:rPr>
                <w:color w:val="auto"/>
                <w:sz w:val="20"/>
                <w:szCs w:val="20"/>
              </w:rPr>
            </w:pPr>
            <w:r w:rsidRPr="00E263F4">
              <w:rPr>
                <w:color w:val="000000"/>
                <w:sz w:val="22"/>
                <w:szCs w:val="22"/>
              </w:rPr>
              <w:t>264</w:t>
            </w:r>
          </w:p>
        </w:tc>
        <w:tc>
          <w:tcPr>
            <w:tcW w:w="545" w:type="pct"/>
            <w:gridSpan w:val="2"/>
            <w:tcBorders>
              <w:top w:val="nil"/>
              <w:left w:val="nil"/>
              <w:bottom w:val="single" w:sz="4" w:space="0" w:color="auto"/>
              <w:right w:val="single" w:sz="4" w:space="0" w:color="auto"/>
            </w:tcBorders>
            <w:shd w:val="clear" w:color="auto" w:fill="auto"/>
            <w:noWrap/>
            <w:vAlign w:val="bottom"/>
          </w:tcPr>
          <w:p w14:paraId="36AC94FA" w14:textId="465DAC0B" w:rsidR="00673CE6" w:rsidRPr="00E263F4" w:rsidRDefault="00673CE6" w:rsidP="00E263F4">
            <w:pPr>
              <w:spacing w:before="0" w:after="0" w:line="240" w:lineRule="auto"/>
              <w:jc w:val="center"/>
              <w:rPr>
                <w:color w:val="auto"/>
                <w:sz w:val="20"/>
                <w:szCs w:val="20"/>
              </w:rPr>
            </w:pPr>
            <w:r w:rsidRPr="00E263F4">
              <w:rPr>
                <w:color w:val="000000"/>
                <w:sz w:val="22"/>
                <w:szCs w:val="22"/>
              </w:rPr>
              <w:t>230</w:t>
            </w:r>
          </w:p>
        </w:tc>
        <w:tc>
          <w:tcPr>
            <w:tcW w:w="548" w:type="pct"/>
            <w:tcBorders>
              <w:top w:val="nil"/>
              <w:left w:val="nil"/>
              <w:bottom w:val="single" w:sz="4" w:space="0" w:color="auto"/>
              <w:right w:val="single" w:sz="4" w:space="0" w:color="auto"/>
            </w:tcBorders>
            <w:shd w:val="clear" w:color="auto" w:fill="auto"/>
            <w:noWrap/>
            <w:vAlign w:val="bottom"/>
          </w:tcPr>
          <w:p w14:paraId="15DC1AA8" w14:textId="129DF34C" w:rsidR="00673CE6" w:rsidRPr="00E263F4" w:rsidRDefault="00673CE6" w:rsidP="00E263F4">
            <w:pPr>
              <w:spacing w:before="0" w:after="0" w:line="240" w:lineRule="auto"/>
              <w:jc w:val="center"/>
              <w:rPr>
                <w:color w:val="auto"/>
                <w:sz w:val="20"/>
                <w:szCs w:val="20"/>
              </w:rPr>
            </w:pPr>
            <w:r w:rsidRPr="00E263F4">
              <w:rPr>
                <w:color w:val="000000"/>
                <w:sz w:val="22"/>
                <w:szCs w:val="22"/>
              </w:rPr>
              <w:t>208</w:t>
            </w:r>
          </w:p>
        </w:tc>
        <w:tc>
          <w:tcPr>
            <w:tcW w:w="697" w:type="pct"/>
            <w:gridSpan w:val="2"/>
            <w:tcBorders>
              <w:top w:val="nil"/>
              <w:left w:val="nil"/>
              <w:bottom w:val="single" w:sz="4" w:space="0" w:color="auto"/>
              <w:right w:val="single" w:sz="4" w:space="0" w:color="auto"/>
            </w:tcBorders>
            <w:shd w:val="clear" w:color="auto" w:fill="auto"/>
            <w:noWrap/>
            <w:vAlign w:val="bottom"/>
          </w:tcPr>
          <w:p w14:paraId="37F75EB9" w14:textId="508B6128" w:rsidR="00673CE6" w:rsidRPr="00E263F4" w:rsidRDefault="00673CE6" w:rsidP="00E263F4">
            <w:pPr>
              <w:spacing w:before="0" w:after="0" w:line="240" w:lineRule="auto"/>
              <w:jc w:val="center"/>
              <w:rPr>
                <w:color w:val="auto"/>
                <w:sz w:val="20"/>
                <w:szCs w:val="20"/>
              </w:rPr>
            </w:pPr>
            <w:r w:rsidRPr="00E263F4">
              <w:rPr>
                <w:color w:val="000000"/>
                <w:sz w:val="22"/>
                <w:szCs w:val="22"/>
              </w:rPr>
              <w:t>204</w:t>
            </w:r>
          </w:p>
        </w:tc>
        <w:tc>
          <w:tcPr>
            <w:tcW w:w="690" w:type="pct"/>
            <w:gridSpan w:val="2"/>
            <w:tcBorders>
              <w:top w:val="nil"/>
              <w:left w:val="nil"/>
              <w:bottom w:val="single" w:sz="4" w:space="0" w:color="auto"/>
              <w:right w:val="single" w:sz="4" w:space="0" w:color="auto"/>
            </w:tcBorders>
            <w:shd w:val="clear" w:color="auto" w:fill="auto"/>
            <w:noWrap/>
            <w:vAlign w:val="bottom"/>
          </w:tcPr>
          <w:p w14:paraId="27F9A1D2" w14:textId="0E1B1E5D" w:rsidR="00673CE6" w:rsidRPr="00E263F4" w:rsidRDefault="00673CE6" w:rsidP="00E263F4">
            <w:pPr>
              <w:spacing w:before="0" w:after="0" w:line="240" w:lineRule="auto"/>
              <w:jc w:val="center"/>
              <w:rPr>
                <w:color w:val="auto"/>
                <w:sz w:val="20"/>
                <w:szCs w:val="20"/>
              </w:rPr>
            </w:pPr>
            <w:r w:rsidRPr="00E263F4">
              <w:rPr>
                <w:color w:val="000000"/>
                <w:sz w:val="22"/>
                <w:szCs w:val="22"/>
              </w:rPr>
              <w:t>224</w:t>
            </w:r>
          </w:p>
        </w:tc>
      </w:tr>
      <w:tr w:rsidR="00673CE6" w:rsidRPr="00E263F4" w14:paraId="4005A1F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tcPr>
          <w:p w14:paraId="59347930" w14:textId="77777777" w:rsidR="00673CE6" w:rsidRPr="00E263F4" w:rsidRDefault="00673CE6" w:rsidP="00673CE6">
            <w:pPr>
              <w:spacing w:before="0" w:after="0" w:line="240" w:lineRule="auto"/>
              <w:rPr>
                <w:color w:val="auto"/>
                <w:sz w:val="20"/>
                <w:szCs w:val="20"/>
              </w:rPr>
            </w:pPr>
            <w:r w:rsidRPr="00E263F4">
              <w:rPr>
                <w:b/>
                <w:bCs/>
                <w:color w:val="auto"/>
                <w:sz w:val="20"/>
                <w:szCs w:val="20"/>
              </w:rPr>
              <w:t xml:space="preserve">Grouped Mean </w:t>
            </w:r>
          </w:p>
        </w:tc>
        <w:tc>
          <w:tcPr>
            <w:tcW w:w="658" w:type="pct"/>
            <w:gridSpan w:val="2"/>
            <w:tcBorders>
              <w:top w:val="nil"/>
              <w:left w:val="nil"/>
              <w:bottom w:val="single" w:sz="4" w:space="0" w:color="auto"/>
              <w:right w:val="single" w:sz="4" w:space="0" w:color="auto"/>
            </w:tcBorders>
            <w:shd w:val="clear" w:color="auto" w:fill="auto"/>
            <w:noWrap/>
            <w:vAlign w:val="bottom"/>
          </w:tcPr>
          <w:p w14:paraId="4D1A19FA" w14:textId="41689FAA" w:rsidR="00673CE6" w:rsidRPr="00E263F4" w:rsidRDefault="00673CE6" w:rsidP="00E263F4">
            <w:pPr>
              <w:spacing w:before="0" w:after="0" w:line="240" w:lineRule="auto"/>
              <w:jc w:val="center"/>
              <w:rPr>
                <w:color w:val="auto"/>
                <w:sz w:val="20"/>
                <w:szCs w:val="20"/>
              </w:rPr>
            </w:pPr>
            <w:r w:rsidRPr="00E263F4">
              <w:rPr>
                <w:b/>
                <w:bCs/>
                <w:color w:val="000000"/>
                <w:sz w:val="22"/>
                <w:szCs w:val="22"/>
              </w:rPr>
              <w:t>216</w:t>
            </w:r>
          </w:p>
        </w:tc>
        <w:tc>
          <w:tcPr>
            <w:tcW w:w="660" w:type="pct"/>
            <w:gridSpan w:val="2"/>
            <w:tcBorders>
              <w:top w:val="nil"/>
              <w:left w:val="nil"/>
              <w:bottom w:val="single" w:sz="4" w:space="0" w:color="auto"/>
              <w:right w:val="single" w:sz="4" w:space="0" w:color="auto"/>
            </w:tcBorders>
            <w:shd w:val="clear" w:color="auto" w:fill="auto"/>
            <w:noWrap/>
            <w:vAlign w:val="bottom"/>
          </w:tcPr>
          <w:p w14:paraId="7D63691A" w14:textId="65C21A57" w:rsidR="00673CE6" w:rsidRPr="00E263F4" w:rsidRDefault="00673CE6" w:rsidP="00E263F4">
            <w:pPr>
              <w:spacing w:before="0" w:after="0" w:line="240" w:lineRule="auto"/>
              <w:jc w:val="center"/>
              <w:rPr>
                <w:color w:val="auto"/>
                <w:sz w:val="20"/>
                <w:szCs w:val="20"/>
              </w:rPr>
            </w:pPr>
            <w:r w:rsidRPr="00E263F4">
              <w:rPr>
                <w:b/>
                <w:bCs/>
                <w:color w:val="000000"/>
                <w:sz w:val="22"/>
                <w:szCs w:val="22"/>
              </w:rPr>
              <w:t>211</w:t>
            </w:r>
          </w:p>
        </w:tc>
        <w:tc>
          <w:tcPr>
            <w:tcW w:w="545" w:type="pct"/>
            <w:gridSpan w:val="2"/>
            <w:tcBorders>
              <w:top w:val="nil"/>
              <w:left w:val="nil"/>
              <w:bottom w:val="single" w:sz="4" w:space="0" w:color="auto"/>
              <w:right w:val="single" w:sz="4" w:space="0" w:color="auto"/>
            </w:tcBorders>
            <w:shd w:val="clear" w:color="auto" w:fill="auto"/>
            <w:noWrap/>
            <w:vAlign w:val="bottom"/>
          </w:tcPr>
          <w:p w14:paraId="69C4101D" w14:textId="627976C9" w:rsidR="00673CE6" w:rsidRPr="00E263F4" w:rsidRDefault="00673CE6" w:rsidP="00E263F4">
            <w:pPr>
              <w:spacing w:before="0" w:after="0" w:line="240" w:lineRule="auto"/>
              <w:jc w:val="center"/>
              <w:rPr>
                <w:color w:val="auto"/>
                <w:sz w:val="20"/>
                <w:szCs w:val="20"/>
              </w:rPr>
            </w:pPr>
            <w:r w:rsidRPr="00E263F4">
              <w:rPr>
                <w:b/>
                <w:bCs/>
                <w:color w:val="000000"/>
                <w:sz w:val="22"/>
                <w:szCs w:val="22"/>
              </w:rPr>
              <w:t>218</w:t>
            </w:r>
          </w:p>
        </w:tc>
        <w:tc>
          <w:tcPr>
            <w:tcW w:w="548" w:type="pct"/>
            <w:tcBorders>
              <w:top w:val="nil"/>
              <w:left w:val="nil"/>
              <w:bottom w:val="single" w:sz="4" w:space="0" w:color="auto"/>
              <w:right w:val="single" w:sz="4" w:space="0" w:color="auto"/>
            </w:tcBorders>
            <w:shd w:val="clear" w:color="auto" w:fill="auto"/>
            <w:noWrap/>
            <w:vAlign w:val="bottom"/>
          </w:tcPr>
          <w:p w14:paraId="21AB2A8A" w14:textId="68CEEE89" w:rsidR="00673CE6" w:rsidRPr="00E263F4" w:rsidRDefault="00673CE6" w:rsidP="00E263F4">
            <w:pPr>
              <w:spacing w:before="0" w:after="0" w:line="240" w:lineRule="auto"/>
              <w:jc w:val="center"/>
              <w:rPr>
                <w:color w:val="auto"/>
                <w:sz w:val="20"/>
                <w:szCs w:val="20"/>
              </w:rPr>
            </w:pPr>
            <w:r w:rsidRPr="00E263F4">
              <w:rPr>
                <w:b/>
                <w:bCs/>
                <w:color w:val="000000"/>
                <w:sz w:val="22"/>
                <w:szCs w:val="22"/>
              </w:rPr>
              <w:t>182</w:t>
            </w:r>
          </w:p>
        </w:tc>
        <w:tc>
          <w:tcPr>
            <w:tcW w:w="697" w:type="pct"/>
            <w:gridSpan w:val="2"/>
            <w:tcBorders>
              <w:top w:val="nil"/>
              <w:left w:val="nil"/>
              <w:bottom w:val="single" w:sz="4" w:space="0" w:color="auto"/>
              <w:right w:val="single" w:sz="4" w:space="0" w:color="auto"/>
            </w:tcBorders>
            <w:shd w:val="clear" w:color="auto" w:fill="auto"/>
            <w:noWrap/>
            <w:vAlign w:val="bottom"/>
          </w:tcPr>
          <w:p w14:paraId="3E8BA93B" w14:textId="65A1DEBA" w:rsidR="00673CE6" w:rsidRPr="00E263F4" w:rsidRDefault="00673CE6" w:rsidP="00E263F4">
            <w:pPr>
              <w:spacing w:before="0" w:after="0" w:line="240" w:lineRule="auto"/>
              <w:jc w:val="center"/>
              <w:rPr>
                <w:color w:val="auto"/>
                <w:sz w:val="20"/>
                <w:szCs w:val="20"/>
              </w:rPr>
            </w:pPr>
            <w:r w:rsidRPr="00E263F4">
              <w:rPr>
                <w:b/>
                <w:bCs/>
                <w:color w:val="000000"/>
                <w:sz w:val="22"/>
                <w:szCs w:val="22"/>
              </w:rPr>
              <w:t>184</w:t>
            </w:r>
          </w:p>
        </w:tc>
        <w:tc>
          <w:tcPr>
            <w:tcW w:w="690" w:type="pct"/>
            <w:gridSpan w:val="2"/>
            <w:tcBorders>
              <w:top w:val="nil"/>
              <w:left w:val="nil"/>
              <w:bottom w:val="single" w:sz="4" w:space="0" w:color="auto"/>
              <w:right w:val="single" w:sz="4" w:space="0" w:color="auto"/>
            </w:tcBorders>
            <w:shd w:val="clear" w:color="auto" w:fill="auto"/>
            <w:noWrap/>
            <w:vAlign w:val="bottom"/>
          </w:tcPr>
          <w:p w14:paraId="0EE7FFA6" w14:textId="0DEA6110" w:rsidR="00673CE6" w:rsidRPr="00E263F4" w:rsidRDefault="00673CE6" w:rsidP="00E263F4">
            <w:pPr>
              <w:spacing w:before="0" w:after="0" w:line="240" w:lineRule="auto"/>
              <w:jc w:val="center"/>
              <w:rPr>
                <w:color w:val="auto"/>
                <w:sz w:val="20"/>
                <w:szCs w:val="20"/>
              </w:rPr>
            </w:pPr>
            <w:r w:rsidRPr="00E263F4">
              <w:rPr>
                <w:b/>
                <w:bCs/>
                <w:color w:val="000000"/>
                <w:sz w:val="22"/>
                <w:szCs w:val="22"/>
              </w:rPr>
              <w:t>189</w:t>
            </w:r>
          </w:p>
        </w:tc>
      </w:tr>
      <w:tr w:rsidR="00673CE6" w:rsidRPr="00E263F4" w14:paraId="27580BF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tcPr>
          <w:p w14:paraId="47A8CCDB" w14:textId="77777777" w:rsidR="00673CE6" w:rsidRPr="00E263F4" w:rsidRDefault="00673CE6" w:rsidP="00673CE6">
            <w:pPr>
              <w:spacing w:before="0" w:after="0" w:line="240" w:lineRule="auto"/>
              <w:rPr>
                <w:b/>
                <w:bCs/>
                <w:color w:val="auto"/>
                <w:sz w:val="20"/>
                <w:szCs w:val="20"/>
              </w:rPr>
            </w:pPr>
            <w:r w:rsidRPr="00E263F4">
              <w:rPr>
                <w:b/>
                <w:bCs/>
                <w:color w:val="auto"/>
                <w:sz w:val="20"/>
                <w:szCs w:val="20"/>
              </w:rPr>
              <w:t>SD</w:t>
            </w:r>
          </w:p>
        </w:tc>
        <w:tc>
          <w:tcPr>
            <w:tcW w:w="658" w:type="pct"/>
            <w:gridSpan w:val="2"/>
            <w:tcBorders>
              <w:top w:val="nil"/>
              <w:left w:val="nil"/>
              <w:bottom w:val="single" w:sz="4" w:space="0" w:color="auto"/>
              <w:right w:val="single" w:sz="4" w:space="0" w:color="auto"/>
            </w:tcBorders>
            <w:shd w:val="clear" w:color="auto" w:fill="auto"/>
            <w:noWrap/>
            <w:vAlign w:val="bottom"/>
          </w:tcPr>
          <w:p w14:paraId="31C7BDCF" w14:textId="739A4DF8"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19</w:t>
            </w:r>
          </w:p>
        </w:tc>
        <w:tc>
          <w:tcPr>
            <w:tcW w:w="660" w:type="pct"/>
            <w:gridSpan w:val="2"/>
            <w:tcBorders>
              <w:top w:val="nil"/>
              <w:left w:val="nil"/>
              <w:bottom w:val="single" w:sz="4" w:space="0" w:color="auto"/>
              <w:right w:val="single" w:sz="4" w:space="0" w:color="auto"/>
            </w:tcBorders>
            <w:shd w:val="clear" w:color="auto" w:fill="auto"/>
            <w:noWrap/>
            <w:vAlign w:val="bottom"/>
          </w:tcPr>
          <w:p w14:paraId="56C97647" w14:textId="01AE14EA"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33</w:t>
            </w:r>
          </w:p>
        </w:tc>
        <w:tc>
          <w:tcPr>
            <w:tcW w:w="545" w:type="pct"/>
            <w:gridSpan w:val="2"/>
            <w:tcBorders>
              <w:top w:val="nil"/>
              <w:left w:val="nil"/>
              <w:bottom w:val="single" w:sz="4" w:space="0" w:color="auto"/>
              <w:right w:val="single" w:sz="4" w:space="0" w:color="auto"/>
            </w:tcBorders>
            <w:shd w:val="clear" w:color="auto" w:fill="auto"/>
            <w:noWrap/>
            <w:vAlign w:val="bottom"/>
          </w:tcPr>
          <w:p w14:paraId="09CB77F5" w14:textId="0E650531"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20</w:t>
            </w:r>
          </w:p>
        </w:tc>
        <w:tc>
          <w:tcPr>
            <w:tcW w:w="548" w:type="pct"/>
            <w:tcBorders>
              <w:top w:val="nil"/>
              <w:left w:val="nil"/>
              <w:bottom w:val="single" w:sz="4" w:space="0" w:color="auto"/>
              <w:right w:val="single" w:sz="4" w:space="0" w:color="auto"/>
            </w:tcBorders>
            <w:shd w:val="clear" w:color="auto" w:fill="auto"/>
            <w:noWrap/>
            <w:vAlign w:val="bottom"/>
          </w:tcPr>
          <w:p w14:paraId="5DC5B6A3" w14:textId="5484D469"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18</w:t>
            </w:r>
          </w:p>
        </w:tc>
        <w:tc>
          <w:tcPr>
            <w:tcW w:w="697" w:type="pct"/>
            <w:gridSpan w:val="2"/>
            <w:tcBorders>
              <w:top w:val="nil"/>
              <w:left w:val="nil"/>
              <w:bottom w:val="single" w:sz="4" w:space="0" w:color="auto"/>
              <w:right w:val="single" w:sz="4" w:space="0" w:color="auto"/>
            </w:tcBorders>
            <w:shd w:val="clear" w:color="auto" w:fill="auto"/>
            <w:noWrap/>
            <w:vAlign w:val="bottom"/>
          </w:tcPr>
          <w:p w14:paraId="04FC73BE" w14:textId="06D5A60D"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17</w:t>
            </w:r>
          </w:p>
        </w:tc>
        <w:tc>
          <w:tcPr>
            <w:tcW w:w="690" w:type="pct"/>
            <w:gridSpan w:val="2"/>
            <w:tcBorders>
              <w:top w:val="nil"/>
              <w:left w:val="nil"/>
              <w:bottom w:val="single" w:sz="4" w:space="0" w:color="auto"/>
              <w:right w:val="single" w:sz="4" w:space="0" w:color="auto"/>
            </w:tcBorders>
            <w:shd w:val="clear" w:color="auto" w:fill="auto"/>
            <w:noWrap/>
            <w:vAlign w:val="bottom"/>
          </w:tcPr>
          <w:p w14:paraId="63F10268" w14:textId="4D4FF566"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18</w:t>
            </w:r>
          </w:p>
        </w:tc>
      </w:tr>
      <w:tr w:rsidR="00D0688A" w:rsidRPr="00E263F4" w14:paraId="4AF05573"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7058C9E"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Older (≤60 years old)</w:t>
            </w:r>
          </w:p>
        </w:tc>
      </w:tr>
      <w:tr w:rsidR="00D0688A" w:rsidRPr="00E263F4" w14:paraId="0E973195"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010B04A2"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1EBD64E4" w14:textId="77777777" w:rsidR="00D0688A" w:rsidRPr="00E263F4" w:rsidRDefault="00D0688A" w:rsidP="00D0688A">
            <w:pPr>
              <w:spacing w:before="0" w:after="0" w:line="240" w:lineRule="auto"/>
              <w:rPr>
                <w:color w:val="auto"/>
                <w:sz w:val="20"/>
                <w:szCs w:val="20"/>
              </w:rPr>
            </w:pPr>
          </w:p>
          <w:p w14:paraId="62D42E7B"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58" w:type="pct"/>
            <w:gridSpan w:val="2"/>
            <w:tcBorders>
              <w:top w:val="nil"/>
              <w:left w:val="nil"/>
              <w:bottom w:val="single" w:sz="4" w:space="0" w:color="auto"/>
              <w:right w:val="single" w:sz="4" w:space="0" w:color="auto"/>
            </w:tcBorders>
            <w:shd w:val="clear" w:color="auto" w:fill="auto"/>
            <w:noWrap/>
            <w:hideMark/>
          </w:tcPr>
          <w:p w14:paraId="01081E1C" w14:textId="3853DA6A"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60" w:type="pct"/>
            <w:gridSpan w:val="2"/>
            <w:tcBorders>
              <w:top w:val="nil"/>
              <w:left w:val="nil"/>
              <w:bottom w:val="single" w:sz="4" w:space="0" w:color="auto"/>
              <w:right w:val="single" w:sz="4" w:space="0" w:color="auto"/>
            </w:tcBorders>
            <w:shd w:val="clear" w:color="auto" w:fill="auto"/>
            <w:noWrap/>
            <w:hideMark/>
          </w:tcPr>
          <w:p w14:paraId="2F77C5E1" w14:textId="7EE1AD85"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545" w:type="pct"/>
            <w:gridSpan w:val="2"/>
            <w:tcBorders>
              <w:top w:val="nil"/>
              <w:left w:val="nil"/>
              <w:bottom w:val="single" w:sz="4" w:space="0" w:color="auto"/>
              <w:right w:val="single" w:sz="4" w:space="0" w:color="auto"/>
            </w:tcBorders>
            <w:shd w:val="clear" w:color="auto" w:fill="auto"/>
            <w:noWrap/>
            <w:hideMark/>
          </w:tcPr>
          <w:p w14:paraId="20EF1AF0" w14:textId="27A2D315"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548" w:type="pct"/>
            <w:tcBorders>
              <w:top w:val="nil"/>
              <w:left w:val="nil"/>
              <w:bottom w:val="single" w:sz="4" w:space="0" w:color="auto"/>
              <w:right w:val="single" w:sz="4" w:space="0" w:color="auto"/>
            </w:tcBorders>
            <w:shd w:val="clear" w:color="auto" w:fill="auto"/>
            <w:noWrap/>
            <w:hideMark/>
          </w:tcPr>
          <w:p w14:paraId="0FE93222" w14:textId="106D0685"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97" w:type="pct"/>
            <w:gridSpan w:val="2"/>
            <w:tcBorders>
              <w:top w:val="nil"/>
              <w:left w:val="nil"/>
              <w:bottom w:val="single" w:sz="4" w:space="0" w:color="auto"/>
              <w:right w:val="single" w:sz="4" w:space="0" w:color="auto"/>
            </w:tcBorders>
            <w:shd w:val="clear" w:color="auto" w:fill="auto"/>
            <w:noWrap/>
            <w:hideMark/>
          </w:tcPr>
          <w:p w14:paraId="00350262" w14:textId="2CDEFA4E"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90" w:type="pct"/>
            <w:gridSpan w:val="2"/>
            <w:tcBorders>
              <w:top w:val="nil"/>
              <w:left w:val="nil"/>
              <w:bottom w:val="single" w:sz="4" w:space="0" w:color="auto"/>
              <w:right w:val="single" w:sz="4" w:space="0" w:color="auto"/>
            </w:tcBorders>
            <w:shd w:val="clear" w:color="auto" w:fill="auto"/>
            <w:noWrap/>
            <w:hideMark/>
          </w:tcPr>
          <w:p w14:paraId="0CA91207" w14:textId="74ED753C"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E263F4" w:rsidRPr="00E263F4" w14:paraId="0B3E1F0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D6E3115" w14:textId="77777777" w:rsidR="00E263F4" w:rsidRPr="00E263F4" w:rsidRDefault="00E263F4" w:rsidP="00E263F4">
            <w:pPr>
              <w:spacing w:before="0" w:after="0" w:line="240" w:lineRule="auto"/>
              <w:rPr>
                <w:color w:val="auto"/>
                <w:sz w:val="20"/>
                <w:szCs w:val="20"/>
              </w:rPr>
            </w:pPr>
            <w:r w:rsidRPr="00E263F4">
              <w:rPr>
                <w:color w:val="auto"/>
                <w:sz w:val="20"/>
                <w:szCs w:val="20"/>
              </w:rPr>
              <w:t>1</w:t>
            </w:r>
          </w:p>
        </w:tc>
        <w:tc>
          <w:tcPr>
            <w:tcW w:w="658" w:type="pct"/>
            <w:gridSpan w:val="2"/>
            <w:tcBorders>
              <w:top w:val="nil"/>
              <w:left w:val="nil"/>
              <w:bottom w:val="single" w:sz="4" w:space="0" w:color="auto"/>
              <w:right w:val="single" w:sz="4" w:space="0" w:color="auto"/>
            </w:tcBorders>
            <w:shd w:val="clear" w:color="auto" w:fill="auto"/>
            <w:noWrap/>
            <w:vAlign w:val="bottom"/>
          </w:tcPr>
          <w:p w14:paraId="775DC246" w14:textId="4C8528C3" w:rsidR="00E263F4" w:rsidRPr="00E263F4" w:rsidRDefault="00E263F4" w:rsidP="00E263F4">
            <w:pPr>
              <w:spacing w:before="0" w:after="0" w:line="240" w:lineRule="auto"/>
              <w:jc w:val="center"/>
              <w:rPr>
                <w:color w:val="auto"/>
                <w:sz w:val="20"/>
                <w:szCs w:val="20"/>
              </w:rPr>
            </w:pPr>
            <w:r w:rsidRPr="00E263F4">
              <w:rPr>
                <w:color w:val="000000"/>
                <w:sz w:val="22"/>
                <w:szCs w:val="22"/>
              </w:rPr>
              <w:t>243</w:t>
            </w:r>
          </w:p>
        </w:tc>
        <w:tc>
          <w:tcPr>
            <w:tcW w:w="660" w:type="pct"/>
            <w:gridSpan w:val="2"/>
            <w:tcBorders>
              <w:top w:val="nil"/>
              <w:left w:val="nil"/>
              <w:bottom w:val="single" w:sz="4" w:space="0" w:color="auto"/>
              <w:right w:val="single" w:sz="4" w:space="0" w:color="auto"/>
            </w:tcBorders>
            <w:shd w:val="clear" w:color="auto" w:fill="auto"/>
            <w:noWrap/>
            <w:vAlign w:val="bottom"/>
          </w:tcPr>
          <w:p w14:paraId="62F2FADA" w14:textId="2B79A7DE" w:rsidR="00E263F4" w:rsidRPr="00E263F4" w:rsidRDefault="00E263F4" w:rsidP="00E263F4">
            <w:pPr>
              <w:spacing w:before="0" w:after="0" w:line="240" w:lineRule="auto"/>
              <w:jc w:val="center"/>
              <w:rPr>
                <w:color w:val="auto"/>
                <w:sz w:val="20"/>
                <w:szCs w:val="20"/>
              </w:rPr>
            </w:pPr>
            <w:r w:rsidRPr="00E263F4">
              <w:rPr>
                <w:color w:val="000000"/>
                <w:sz w:val="22"/>
                <w:szCs w:val="22"/>
              </w:rPr>
              <w:t>193</w:t>
            </w:r>
          </w:p>
        </w:tc>
        <w:tc>
          <w:tcPr>
            <w:tcW w:w="545" w:type="pct"/>
            <w:gridSpan w:val="2"/>
            <w:tcBorders>
              <w:top w:val="nil"/>
              <w:left w:val="nil"/>
              <w:bottom w:val="single" w:sz="4" w:space="0" w:color="auto"/>
              <w:right w:val="single" w:sz="4" w:space="0" w:color="auto"/>
            </w:tcBorders>
            <w:shd w:val="clear" w:color="auto" w:fill="auto"/>
            <w:noWrap/>
            <w:vAlign w:val="bottom"/>
          </w:tcPr>
          <w:p w14:paraId="1E8E6E1D" w14:textId="7529C01E" w:rsidR="00E263F4" w:rsidRPr="00E263F4" w:rsidRDefault="00E263F4" w:rsidP="00E263F4">
            <w:pPr>
              <w:spacing w:before="0" w:after="0" w:line="240" w:lineRule="auto"/>
              <w:jc w:val="center"/>
              <w:rPr>
                <w:color w:val="auto"/>
                <w:sz w:val="20"/>
                <w:szCs w:val="20"/>
              </w:rPr>
            </w:pPr>
            <w:r w:rsidRPr="00E263F4">
              <w:rPr>
                <w:color w:val="000000"/>
                <w:sz w:val="22"/>
                <w:szCs w:val="22"/>
              </w:rPr>
              <w:t>209</w:t>
            </w:r>
          </w:p>
        </w:tc>
        <w:tc>
          <w:tcPr>
            <w:tcW w:w="548" w:type="pct"/>
            <w:tcBorders>
              <w:top w:val="nil"/>
              <w:left w:val="nil"/>
              <w:bottom w:val="single" w:sz="4" w:space="0" w:color="auto"/>
              <w:right w:val="single" w:sz="4" w:space="0" w:color="auto"/>
            </w:tcBorders>
            <w:shd w:val="clear" w:color="auto" w:fill="auto"/>
            <w:noWrap/>
            <w:vAlign w:val="bottom"/>
          </w:tcPr>
          <w:p w14:paraId="59231E1C" w14:textId="5DBC423F" w:rsidR="00E263F4" w:rsidRPr="00E263F4" w:rsidRDefault="00E263F4" w:rsidP="00E263F4">
            <w:pPr>
              <w:spacing w:before="0" w:after="0" w:line="240" w:lineRule="auto"/>
              <w:jc w:val="center"/>
              <w:rPr>
                <w:color w:val="auto"/>
                <w:sz w:val="20"/>
                <w:szCs w:val="20"/>
              </w:rPr>
            </w:pPr>
            <w:r w:rsidRPr="00E263F4">
              <w:rPr>
                <w:color w:val="000000"/>
                <w:sz w:val="22"/>
                <w:szCs w:val="22"/>
              </w:rPr>
              <w:t>176</w:t>
            </w:r>
          </w:p>
        </w:tc>
        <w:tc>
          <w:tcPr>
            <w:tcW w:w="697" w:type="pct"/>
            <w:gridSpan w:val="2"/>
            <w:tcBorders>
              <w:top w:val="nil"/>
              <w:left w:val="nil"/>
              <w:bottom w:val="single" w:sz="4" w:space="0" w:color="auto"/>
              <w:right w:val="single" w:sz="4" w:space="0" w:color="auto"/>
            </w:tcBorders>
            <w:shd w:val="clear" w:color="auto" w:fill="auto"/>
            <w:noWrap/>
            <w:vAlign w:val="bottom"/>
          </w:tcPr>
          <w:p w14:paraId="3346EE44" w14:textId="1A4654C3" w:rsidR="00E263F4" w:rsidRPr="00E263F4" w:rsidRDefault="00E263F4" w:rsidP="00E263F4">
            <w:pPr>
              <w:spacing w:before="0" w:after="0" w:line="240" w:lineRule="auto"/>
              <w:jc w:val="center"/>
              <w:rPr>
                <w:color w:val="auto"/>
                <w:sz w:val="20"/>
                <w:szCs w:val="20"/>
              </w:rPr>
            </w:pPr>
            <w:r w:rsidRPr="00E263F4">
              <w:rPr>
                <w:color w:val="000000"/>
                <w:sz w:val="22"/>
                <w:szCs w:val="22"/>
              </w:rPr>
              <w:t>198</w:t>
            </w:r>
          </w:p>
        </w:tc>
        <w:tc>
          <w:tcPr>
            <w:tcW w:w="690" w:type="pct"/>
            <w:gridSpan w:val="2"/>
            <w:tcBorders>
              <w:top w:val="nil"/>
              <w:left w:val="nil"/>
              <w:bottom w:val="single" w:sz="4" w:space="0" w:color="auto"/>
              <w:right w:val="single" w:sz="4" w:space="0" w:color="auto"/>
            </w:tcBorders>
            <w:shd w:val="clear" w:color="auto" w:fill="auto"/>
            <w:noWrap/>
            <w:vAlign w:val="bottom"/>
          </w:tcPr>
          <w:p w14:paraId="432F753A" w14:textId="172E8992" w:rsidR="00E263F4" w:rsidRPr="00E263F4" w:rsidRDefault="00E263F4" w:rsidP="00E263F4">
            <w:pPr>
              <w:spacing w:before="0" w:after="0" w:line="240" w:lineRule="auto"/>
              <w:jc w:val="center"/>
              <w:rPr>
                <w:color w:val="auto"/>
                <w:sz w:val="20"/>
                <w:szCs w:val="20"/>
              </w:rPr>
            </w:pPr>
            <w:r w:rsidRPr="00E263F4">
              <w:rPr>
                <w:color w:val="000000"/>
                <w:sz w:val="22"/>
                <w:szCs w:val="22"/>
              </w:rPr>
              <w:t>194</w:t>
            </w:r>
          </w:p>
        </w:tc>
      </w:tr>
      <w:tr w:rsidR="00E263F4" w:rsidRPr="00E263F4" w14:paraId="0FDAACB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B33A385" w14:textId="77777777" w:rsidR="00E263F4" w:rsidRPr="00E263F4" w:rsidRDefault="00E263F4" w:rsidP="00E263F4">
            <w:pPr>
              <w:spacing w:before="0" w:after="0" w:line="240" w:lineRule="auto"/>
              <w:rPr>
                <w:color w:val="auto"/>
                <w:sz w:val="20"/>
                <w:szCs w:val="20"/>
              </w:rPr>
            </w:pPr>
            <w:r w:rsidRPr="00E263F4">
              <w:rPr>
                <w:color w:val="auto"/>
                <w:sz w:val="20"/>
                <w:szCs w:val="20"/>
              </w:rPr>
              <w:t>2</w:t>
            </w:r>
          </w:p>
        </w:tc>
        <w:tc>
          <w:tcPr>
            <w:tcW w:w="658" w:type="pct"/>
            <w:gridSpan w:val="2"/>
            <w:tcBorders>
              <w:top w:val="nil"/>
              <w:left w:val="nil"/>
              <w:bottom w:val="single" w:sz="4" w:space="0" w:color="auto"/>
              <w:right w:val="single" w:sz="4" w:space="0" w:color="auto"/>
            </w:tcBorders>
            <w:shd w:val="clear" w:color="auto" w:fill="auto"/>
            <w:noWrap/>
            <w:vAlign w:val="bottom"/>
          </w:tcPr>
          <w:p w14:paraId="471507B2" w14:textId="6F605983" w:rsidR="00E263F4" w:rsidRPr="00E263F4" w:rsidRDefault="00E263F4" w:rsidP="00E263F4">
            <w:pPr>
              <w:spacing w:before="0" w:after="0" w:line="240" w:lineRule="auto"/>
              <w:jc w:val="center"/>
              <w:rPr>
                <w:color w:val="auto"/>
                <w:sz w:val="20"/>
                <w:szCs w:val="20"/>
              </w:rPr>
            </w:pPr>
            <w:r w:rsidRPr="00E263F4">
              <w:rPr>
                <w:color w:val="000000"/>
                <w:sz w:val="22"/>
                <w:szCs w:val="22"/>
              </w:rPr>
              <w:t>296</w:t>
            </w:r>
          </w:p>
        </w:tc>
        <w:tc>
          <w:tcPr>
            <w:tcW w:w="660" w:type="pct"/>
            <w:gridSpan w:val="2"/>
            <w:tcBorders>
              <w:top w:val="nil"/>
              <w:left w:val="nil"/>
              <w:bottom w:val="single" w:sz="4" w:space="0" w:color="auto"/>
              <w:right w:val="single" w:sz="4" w:space="0" w:color="auto"/>
            </w:tcBorders>
            <w:shd w:val="clear" w:color="auto" w:fill="auto"/>
            <w:noWrap/>
            <w:vAlign w:val="bottom"/>
          </w:tcPr>
          <w:p w14:paraId="0CD52477" w14:textId="5E56EEA0" w:rsidR="00E263F4" w:rsidRPr="00E263F4" w:rsidRDefault="00E263F4" w:rsidP="00E263F4">
            <w:pPr>
              <w:spacing w:before="0" w:after="0" w:line="240" w:lineRule="auto"/>
              <w:jc w:val="center"/>
              <w:rPr>
                <w:color w:val="auto"/>
                <w:sz w:val="20"/>
                <w:szCs w:val="20"/>
              </w:rPr>
            </w:pPr>
            <w:r w:rsidRPr="00E263F4">
              <w:rPr>
                <w:color w:val="000000"/>
                <w:sz w:val="22"/>
                <w:szCs w:val="22"/>
              </w:rPr>
              <w:t>218</w:t>
            </w:r>
          </w:p>
        </w:tc>
        <w:tc>
          <w:tcPr>
            <w:tcW w:w="545" w:type="pct"/>
            <w:gridSpan w:val="2"/>
            <w:tcBorders>
              <w:top w:val="nil"/>
              <w:left w:val="nil"/>
              <w:bottom w:val="single" w:sz="4" w:space="0" w:color="auto"/>
              <w:right w:val="single" w:sz="4" w:space="0" w:color="auto"/>
            </w:tcBorders>
            <w:shd w:val="clear" w:color="auto" w:fill="auto"/>
            <w:noWrap/>
            <w:vAlign w:val="bottom"/>
          </w:tcPr>
          <w:p w14:paraId="67E492D0" w14:textId="480D49AA" w:rsidR="00E263F4" w:rsidRPr="00E263F4" w:rsidRDefault="00E263F4" w:rsidP="00E263F4">
            <w:pPr>
              <w:spacing w:before="0" w:after="0" w:line="240" w:lineRule="auto"/>
              <w:jc w:val="center"/>
              <w:rPr>
                <w:color w:val="auto"/>
                <w:sz w:val="20"/>
                <w:szCs w:val="20"/>
              </w:rPr>
            </w:pPr>
            <w:r w:rsidRPr="00E263F4">
              <w:rPr>
                <w:color w:val="000000"/>
                <w:sz w:val="22"/>
                <w:szCs w:val="22"/>
              </w:rPr>
              <w:t>239</w:t>
            </w:r>
          </w:p>
        </w:tc>
        <w:tc>
          <w:tcPr>
            <w:tcW w:w="548" w:type="pct"/>
            <w:tcBorders>
              <w:top w:val="nil"/>
              <w:left w:val="nil"/>
              <w:bottom w:val="single" w:sz="4" w:space="0" w:color="auto"/>
              <w:right w:val="single" w:sz="4" w:space="0" w:color="auto"/>
            </w:tcBorders>
            <w:shd w:val="clear" w:color="auto" w:fill="auto"/>
            <w:noWrap/>
            <w:vAlign w:val="bottom"/>
          </w:tcPr>
          <w:p w14:paraId="46E12E7F" w14:textId="40CFDAEB" w:rsidR="00E263F4" w:rsidRPr="00E263F4" w:rsidRDefault="00E263F4" w:rsidP="00E263F4">
            <w:pPr>
              <w:spacing w:before="0" w:after="0" w:line="240" w:lineRule="auto"/>
              <w:jc w:val="center"/>
              <w:rPr>
                <w:color w:val="auto"/>
                <w:sz w:val="20"/>
                <w:szCs w:val="20"/>
              </w:rPr>
            </w:pPr>
            <w:r w:rsidRPr="00E263F4">
              <w:rPr>
                <w:color w:val="000000"/>
                <w:sz w:val="22"/>
                <w:szCs w:val="22"/>
              </w:rPr>
              <w:t>267</w:t>
            </w:r>
          </w:p>
        </w:tc>
        <w:tc>
          <w:tcPr>
            <w:tcW w:w="697" w:type="pct"/>
            <w:gridSpan w:val="2"/>
            <w:tcBorders>
              <w:top w:val="nil"/>
              <w:left w:val="nil"/>
              <w:bottom w:val="single" w:sz="4" w:space="0" w:color="auto"/>
              <w:right w:val="single" w:sz="4" w:space="0" w:color="auto"/>
            </w:tcBorders>
            <w:shd w:val="clear" w:color="auto" w:fill="auto"/>
            <w:noWrap/>
            <w:vAlign w:val="bottom"/>
          </w:tcPr>
          <w:p w14:paraId="47C19E6B" w14:textId="010E5340" w:rsidR="00E263F4" w:rsidRPr="00E263F4" w:rsidRDefault="00E263F4" w:rsidP="00E263F4">
            <w:pPr>
              <w:spacing w:before="0" w:after="0" w:line="240" w:lineRule="auto"/>
              <w:jc w:val="center"/>
              <w:rPr>
                <w:color w:val="auto"/>
                <w:sz w:val="20"/>
                <w:szCs w:val="20"/>
              </w:rPr>
            </w:pPr>
            <w:r w:rsidRPr="00E263F4">
              <w:rPr>
                <w:color w:val="000000"/>
                <w:sz w:val="22"/>
                <w:szCs w:val="22"/>
              </w:rPr>
              <w:t>254</w:t>
            </w:r>
          </w:p>
        </w:tc>
        <w:tc>
          <w:tcPr>
            <w:tcW w:w="690" w:type="pct"/>
            <w:gridSpan w:val="2"/>
            <w:tcBorders>
              <w:top w:val="nil"/>
              <w:left w:val="nil"/>
              <w:bottom w:val="single" w:sz="4" w:space="0" w:color="auto"/>
              <w:right w:val="single" w:sz="4" w:space="0" w:color="auto"/>
            </w:tcBorders>
            <w:shd w:val="clear" w:color="auto" w:fill="auto"/>
            <w:noWrap/>
            <w:vAlign w:val="bottom"/>
          </w:tcPr>
          <w:p w14:paraId="69E7585E" w14:textId="1D9C649E" w:rsidR="00E263F4" w:rsidRPr="00E263F4" w:rsidRDefault="00E263F4" w:rsidP="00E263F4">
            <w:pPr>
              <w:spacing w:before="0" w:after="0" w:line="240" w:lineRule="auto"/>
              <w:jc w:val="center"/>
              <w:rPr>
                <w:color w:val="auto"/>
                <w:sz w:val="20"/>
                <w:szCs w:val="20"/>
              </w:rPr>
            </w:pPr>
            <w:r w:rsidRPr="00E263F4">
              <w:rPr>
                <w:color w:val="000000"/>
                <w:sz w:val="22"/>
                <w:szCs w:val="22"/>
              </w:rPr>
              <w:t>234</w:t>
            </w:r>
          </w:p>
        </w:tc>
      </w:tr>
      <w:tr w:rsidR="00E263F4" w:rsidRPr="00E263F4" w14:paraId="35FF8B4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26174ED" w14:textId="77777777" w:rsidR="00E263F4" w:rsidRPr="00E263F4" w:rsidRDefault="00E263F4" w:rsidP="00E263F4">
            <w:pPr>
              <w:spacing w:before="0" w:after="0" w:line="240" w:lineRule="auto"/>
              <w:rPr>
                <w:color w:val="auto"/>
                <w:sz w:val="20"/>
                <w:szCs w:val="20"/>
              </w:rPr>
            </w:pPr>
            <w:r w:rsidRPr="00E263F4">
              <w:rPr>
                <w:color w:val="auto"/>
                <w:sz w:val="20"/>
                <w:szCs w:val="20"/>
              </w:rPr>
              <w:t>3</w:t>
            </w:r>
          </w:p>
        </w:tc>
        <w:tc>
          <w:tcPr>
            <w:tcW w:w="658" w:type="pct"/>
            <w:gridSpan w:val="2"/>
            <w:tcBorders>
              <w:top w:val="nil"/>
              <w:left w:val="nil"/>
              <w:bottom w:val="single" w:sz="4" w:space="0" w:color="auto"/>
              <w:right w:val="single" w:sz="4" w:space="0" w:color="auto"/>
            </w:tcBorders>
            <w:shd w:val="clear" w:color="auto" w:fill="auto"/>
            <w:noWrap/>
            <w:vAlign w:val="bottom"/>
          </w:tcPr>
          <w:p w14:paraId="3FCF51AF" w14:textId="13CCB4E1" w:rsidR="00E263F4" w:rsidRPr="00E263F4" w:rsidRDefault="00E263F4" w:rsidP="00E263F4">
            <w:pPr>
              <w:spacing w:before="0" w:after="0" w:line="240" w:lineRule="auto"/>
              <w:jc w:val="center"/>
              <w:rPr>
                <w:color w:val="auto"/>
                <w:sz w:val="20"/>
                <w:szCs w:val="20"/>
              </w:rPr>
            </w:pPr>
            <w:r w:rsidRPr="00E263F4">
              <w:rPr>
                <w:color w:val="000000"/>
                <w:sz w:val="22"/>
                <w:szCs w:val="22"/>
              </w:rPr>
              <w:t>237</w:t>
            </w:r>
          </w:p>
        </w:tc>
        <w:tc>
          <w:tcPr>
            <w:tcW w:w="660" w:type="pct"/>
            <w:gridSpan w:val="2"/>
            <w:tcBorders>
              <w:top w:val="nil"/>
              <w:left w:val="nil"/>
              <w:bottom w:val="single" w:sz="4" w:space="0" w:color="auto"/>
              <w:right w:val="single" w:sz="4" w:space="0" w:color="auto"/>
            </w:tcBorders>
            <w:shd w:val="clear" w:color="auto" w:fill="auto"/>
            <w:noWrap/>
            <w:vAlign w:val="bottom"/>
          </w:tcPr>
          <w:p w14:paraId="0F7D7926" w14:textId="2F43D28D" w:rsidR="00E263F4" w:rsidRPr="00E263F4" w:rsidRDefault="00E263F4" w:rsidP="00E263F4">
            <w:pPr>
              <w:spacing w:before="0" w:after="0" w:line="240" w:lineRule="auto"/>
              <w:jc w:val="center"/>
              <w:rPr>
                <w:color w:val="auto"/>
                <w:sz w:val="20"/>
                <w:szCs w:val="20"/>
              </w:rPr>
            </w:pPr>
            <w:r w:rsidRPr="00E263F4">
              <w:rPr>
                <w:color w:val="000000"/>
                <w:sz w:val="22"/>
                <w:szCs w:val="22"/>
              </w:rPr>
              <w:t>237</w:t>
            </w:r>
          </w:p>
        </w:tc>
        <w:tc>
          <w:tcPr>
            <w:tcW w:w="545" w:type="pct"/>
            <w:gridSpan w:val="2"/>
            <w:tcBorders>
              <w:top w:val="nil"/>
              <w:left w:val="nil"/>
              <w:bottom w:val="single" w:sz="4" w:space="0" w:color="auto"/>
              <w:right w:val="single" w:sz="4" w:space="0" w:color="auto"/>
            </w:tcBorders>
            <w:shd w:val="clear" w:color="auto" w:fill="auto"/>
            <w:noWrap/>
            <w:vAlign w:val="bottom"/>
          </w:tcPr>
          <w:p w14:paraId="5B9D60B9" w14:textId="57F12CE5" w:rsidR="00E263F4" w:rsidRPr="00E263F4" w:rsidRDefault="00E263F4" w:rsidP="00E263F4">
            <w:pPr>
              <w:spacing w:before="0" w:after="0" w:line="240" w:lineRule="auto"/>
              <w:jc w:val="center"/>
              <w:rPr>
                <w:color w:val="auto"/>
                <w:sz w:val="20"/>
                <w:szCs w:val="20"/>
              </w:rPr>
            </w:pPr>
            <w:r w:rsidRPr="00E263F4">
              <w:rPr>
                <w:color w:val="000000"/>
                <w:sz w:val="22"/>
                <w:szCs w:val="22"/>
              </w:rPr>
              <w:t>226</w:t>
            </w:r>
          </w:p>
        </w:tc>
        <w:tc>
          <w:tcPr>
            <w:tcW w:w="548" w:type="pct"/>
            <w:tcBorders>
              <w:top w:val="nil"/>
              <w:left w:val="nil"/>
              <w:bottom w:val="single" w:sz="4" w:space="0" w:color="auto"/>
              <w:right w:val="single" w:sz="4" w:space="0" w:color="auto"/>
            </w:tcBorders>
            <w:shd w:val="clear" w:color="auto" w:fill="auto"/>
            <w:noWrap/>
            <w:vAlign w:val="bottom"/>
          </w:tcPr>
          <w:p w14:paraId="3F9482B5" w14:textId="5A544231" w:rsidR="00E263F4" w:rsidRPr="00E263F4" w:rsidRDefault="00E263F4" w:rsidP="00E263F4">
            <w:pPr>
              <w:spacing w:before="0" w:after="0" w:line="240" w:lineRule="auto"/>
              <w:jc w:val="center"/>
              <w:rPr>
                <w:color w:val="auto"/>
                <w:sz w:val="20"/>
                <w:szCs w:val="20"/>
              </w:rPr>
            </w:pPr>
            <w:r w:rsidRPr="00E263F4">
              <w:rPr>
                <w:color w:val="000000"/>
                <w:sz w:val="22"/>
                <w:szCs w:val="22"/>
              </w:rPr>
              <w:t>200</w:t>
            </w:r>
          </w:p>
        </w:tc>
        <w:tc>
          <w:tcPr>
            <w:tcW w:w="697" w:type="pct"/>
            <w:gridSpan w:val="2"/>
            <w:tcBorders>
              <w:top w:val="nil"/>
              <w:left w:val="nil"/>
              <w:bottom w:val="single" w:sz="4" w:space="0" w:color="auto"/>
              <w:right w:val="single" w:sz="4" w:space="0" w:color="auto"/>
            </w:tcBorders>
            <w:shd w:val="clear" w:color="auto" w:fill="auto"/>
            <w:noWrap/>
            <w:vAlign w:val="bottom"/>
          </w:tcPr>
          <w:p w14:paraId="3F672A01" w14:textId="6D7C30A8" w:rsidR="00E263F4" w:rsidRPr="00E263F4" w:rsidRDefault="00E263F4" w:rsidP="00E263F4">
            <w:pPr>
              <w:spacing w:before="0" w:after="0" w:line="240" w:lineRule="auto"/>
              <w:jc w:val="center"/>
              <w:rPr>
                <w:color w:val="auto"/>
                <w:sz w:val="20"/>
                <w:szCs w:val="20"/>
              </w:rPr>
            </w:pPr>
            <w:r w:rsidRPr="00E263F4">
              <w:rPr>
                <w:color w:val="000000"/>
                <w:sz w:val="22"/>
                <w:szCs w:val="22"/>
              </w:rPr>
              <w:t>201</w:t>
            </w:r>
          </w:p>
        </w:tc>
        <w:tc>
          <w:tcPr>
            <w:tcW w:w="690" w:type="pct"/>
            <w:gridSpan w:val="2"/>
            <w:tcBorders>
              <w:top w:val="nil"/>
              <w:left w:val="nil"/>
              <w:bottom w:val="single" w:sz="4" w:space="0" w:color="auto"/>
              <w:right w:val="single" w:sz="4" w:space="0" w:color="auto"/>
            </w:tcBorders>
            <w:shd w:val="clear" w:color="auto" w:fill="auto"/>
            <w:noWrap/>
            <w:vAlign w:val="bottom"/>
          </w:tcPr>
          <w:p w14:paraId="73C33071" w14:textId="50639B96" w:rsidR="00E263F4" w:rsidRPr="00E263F4" w:rsidRDefault="00E263F4" w:rsidP="00E263F4">
            <w:pPr>
              <w:spacing w:before="0" w:after="0" w:line="240" w:lineRule="auto"/>
              <w:jc w:val="center"/>
              <w:rPr>
                <w:color w:val="auto"/>
                <w:sz w:val="20"/>
                <w:szCs w:val="20"/>
              </w:rPr>
            </w:pPr>
            <w:r w:rsidRPr="00E263F4">
              <w:rPr>
                <w:color w:val="000000"/>
                <w:sz w:val="22"/>
                <w:szCs w:val="22"/>
              </w:rPr>
              <w:t>214</w:t>
            </w:r>
          </w:p>
        </w:tc>
      </w:tr>
      <w:tr w:rsidR="00E263F4" w:rsidRPr="00E263F4" w14:paraId="7FA7F54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39FE3B1" w14:textId="77777777" w:rsidR="00E263F4" w:rsidRPr="00E263F4" w:rsidRDefault="00E263F4" w:rsidP="00E263F4">
            <w:pPr>
              <w:spacing w:before="0" w:after="0" w:line="240" w:lineRule="auto"/>
              <w:rPr>
                <w:color w:val="auto"/>
                <w:sz w:val="20"/>
                <w:szCs w:val="20"/>
              </w:rPr>
            </w:pPr>
            <w:r w:rsidRPr="00E263F4">
              <w:rPr>
                <w:color w:val="auto"/>
                <w:sz w:val="20"/>
                <w:szCs w:val="20"/>
              </w:rPr>
              <w:t>4</w:t>
            </w:r>
          </w:p>
        </w:tc>
        <w:tc>
          <w:tcPr>
            <w:tcW w:w="658" w:type="pct"/>
            <w:gridSpan w:val="2"/>
            <w:tcBorders>
              <w:top w:val="nil"/>
              <w:left w:val="nil"/>
              <w:bottom w:val="single" w:sz="4" w:space="0" w:color="auto"/>
              <w:right w:val="single" w:sz="4" w:space="0" w:color="auto"/>
            </w:tcBorders>
            <w:shd w:val="clear" w:color="auto" w:fill="auto"/>
            <w:noWrap/>
            <w:vAlign w:val="bottom"/>
          </w:tcPr>
          <w:p w14:paraId="17EEC66F" w14:textId="18549B64" w:rsidR="00E263F4" w:rsidRPr="00E263F4" w:rsidRDefault="00E263F4" w:rsidP="00E263F4">
            <w:pPr>
              <w:spacing w:before="0" w:after="0" w:line="240" w:lineRule="auto"/>
              <w:jc w:val="center"/>
              <w:rPr>
                <w:color w:val="auto"/>
                <w:sz w:val="20"/>
                <w:szCs w:val="20"/>
              </w:rPr>
            </w:pPr>
            <w:r w:rsidRPr="00E263F4">
              <w:rPr>
                <w:color w:val="000000"/>
                <w:sz w:val="22"/>
                <w:szCs w:val="22"/>
              </w:rPr>
              <w:t>220</w:t>
            </w:r>
          </w:p>
        </w:tc>
        <w:tc>
          <w:tcPr>
            <w:tcW w:w="660" w:type="pct"/>
            <w:gridSpan w:val="2"/>
            <w:tcBorders>
              <w:top w:val="nil"/>
              <w:left w:val="nil"/>
              <w:bottom w:val="single" w:sz="4" w:space="0" w:color="auto"/>
              <w:right w:val="single" w:sz="4" w:space="0" w:color="auto"/>
            </w:tcBorders>
            <w:shd w:val="clear" w:color="auto" w:fill="auto"/>
            <w:noWrap/>
            <w:vAlign w:val="bottom"/>
          </w:tcPr>
          <w:p w14:paraId="3E3F4E97" w14:textId="00DA1343" w:rsidR="00E263F4" w:rsidRPr="00E263F4" w:rsidRDefault="00E263F4" w:rsidP="00E263F4">
            <w:pPr>
              <w:spacing w:before="0" w:after="0" w:line="240" w:lineRule="auto"/>
              <w:jc w:val="center"/>
              <w:rPr>
                <w:color w:val="auto"/>
                <w:sz w:val="20"/>
                <w:szCs w:val="20"/>
              </w:rPr>
            </w:pPr>
            <w:r w:rsidRPr="00E263F4">
              <w:rPr>
                <w:color w:val="000000"/>
                <w:sz w:val="22"/>
                <w:szCs w:val="22"/>
              </w:rPr>
              <w:t>199</w:t>
            </w:r>
          </w:p>
        </w:tc>
        <w:tc>
          <w:tcPr>
            <w:tcW w:w="545" w:type="pct"/>
            <w:gridSpan w:val="2"/>
            <w:tcBorders>
              <w:top w:val="nil"/>
              <w:left w:val="nil"/>
              <w:bottom w:val="single" w:sz="4" w:space="0" w:color="auto"/>
              <w:right w:val="single" w:sz="4" w:space="0" w:color="auto"/>
            </w:tcBorders>
            <w:shd w:val="clear" w:color="auto" w:fill="auto"/>
            <w:noWrap/>
            <w:vAlign w:val="bottom"/>
          </w:tcPr>
          <w:p w14:paraId="1DB6CE86" w14:textId="4921B334" w:rsidR="00E263F4" w:rsidRPr="00E263F4" w:rsidRDefault="00E263F4" w:rsidP="00E263F4">
            <w:pPr>
              <w:spacing w:before="0" w:after="0" w:line="240" w:lineRule="auto"/>
              <w:jc w:val="center"/>
              <w:rPr>
                <w:color w:val="auto"/>
                <w:sz w:val="20"/>
                <w:szCs w:val="20"/>
              </w:rPr>
            </w:pPr>
            <w:r w:rsidRPr="00E263F4">
              <w:rPr>
                <w:color w:val="000000"/>
                <w:sz w:val="22"/>
                <w:szCs w:val="22"/>
              </w:rPr>
              <w:t>230</w:t>
            </w:r>
          </w:p>
        </w:tc>
        <w:tc>
          <w:tcPr>
            <w:tcW w:w="548" w:type="pct"/>
            <w:tcBorders>
              <w:top w:val="nil"/>
              <w:left w:val="nil"/>
              <w:bottom w:val="single" w:sz="4" w:space="0" w:color="auto"/>
              <w:right w:val="single" w:sz="4" w:space="0" w:color="auto"/>
            </w:tcBorders>
            <w:shd w:val="clear" w:color="auto" w:fill="auto"/>
            <w:noWrap/>
            <w:vAlign w:val="bottom"/>
          </w:tcPr>
          <w:p w14:paraId="091DB217" w14:textId="2CE49EC5" w:rsidR="00E263F4" w:rsidRPr="00E263F4" w:rsidRDefault="00E263F4" w:rsidP="00E263F4">
            <w:pPr>
              <w:spacing w:before="0" w:after="0" w:line="240" w:lineRule="auto"/>
              <w:jc w:val="center"/>
              <w:rPr>
                <w:color w:val="auto"/>
                <w:sz w:val="20"/>
                <w:szCs w:val="20"/>
              </w:rPr>
            </w:pPr>
            <w:r w:rsidRPr="00E263F4">
              <w:rPr>
                <w:color w:val="000000"/>
                <w:sz w:val="22"/>
                <w:szCs w:val="22"/>
              </w:rPr>
              <w:t>192</w:t>
            </w:r>
          </w:p>
        </w:tc>
        <w:tc>
          <w:tcPr>
            <w:tcW w:w="697" w:type="pct"/>
            <w:gridSpan w:val="2"/>
            <w:tcBorders>
              <w:top w:val="nil"/>
              <w:left w:val="nil"/>
              <w:bottom w:val="single" w:sz="4" w:space="0" w:color="auto"/>
              <w:right w:val="single" w:sz="4" w:space="0" w:color="auto"/>
            </w:tcBorders>
            <w:shd w:val="clear" w:color="auto" w:fill="auto"/>
            <w:noWrap/>
            <w:vAlign w:val="bottom"/>
          </w:tcPr>
          <w:p w14:paraId="5345D3CD" w14:textId="59ABB871" w:rsidR="00E263F4" w:rsidRPr="00E263F4" w:rsidRDefault="00E263F4" w:rsidP="00E263F4">
            <w:pPr>
              <w:spacing w:before="0" w:after="0" w:line="240" w:lineRule="auto"/>
              <w:jc w:val="center"/>
              <w:rPr>
                <w:color w:val="auto"/>
                <w:sz w:val="20"/>
                <w:szCs w:val="20"/>
              </w:rPr>
            </w:pPr>
            <w:r w:rsidRPr="00E263F4">
              <w:rPr>
                <w:color w:val="000000"/>
                <w:sz w:val="22"/>
                <w:szCs w:val="22"/>
              </w:rPr>
              <w:t>213</w:t>
            </w:r>
          </w:p>
        </w:tc>
        <w:tc>
          <w:tcPr>
            <w:tcW w:w="690" w:type="pct"/>
            <w:gridSpan w:val="2"/>
            <w:tcBorders>
              <w:top w:val="nil"/>
              <w:left w:val="nil"/>
              <w:bottom w:val="single" w:sz="4" w:space="0" w:color="auto"/>
              <w:right w:val="single" w:sz="4" w:space="0" w:color="auto"/>
            </w:tcBorders>
            <w:shd w:val="clear" w:color="auto" w:fill="auto"/>
            <w:noWrap/>
            <w:vAlign w:val="bottom"/>
          </w:tcPr>
          <w:p w14:paraId="38DB4932" w14:textId="2BCFAED4" w:rsidR="00E263F4" w:rsidRPr="00E263F4" w:rsidRDefault="00E263F4" w:rsidP="00E263F4">
            <w:pPr>
              <w:spacing w:before="0" w:after="0" w:line="240" w:lineRule="auto"/>
              <w:jc w:val="center"/>
              <w:rPr>
                <w:color w:val="auto"/>
                <w:sz w:val="20"/>
                <w:szCs w:val="20"/>
              </w:rPr>
            </w:pPr>
            <w:r w:rsidRPr="00E263F4">
              <w:rPr>
                <w:color w:val="000000"/>
                <w:sz w:val="22"/>
                <w:szCs w:val="22"/>
              </w:rPr>
              <w:t>237</w:t>
            </w:r>
          </w:p>
        </w:tc>
      </w:tr>
      <w:tr w:rsidR="00E263F4" w:rsidRPr="00E263F4" w14:paraId="30E5AD9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8444D81" w14:textId="77777777" w:rsidR="00E263F4" w:rsidRPr="00E263F4" w:rsidRDefault="00E263F4" w:rsidP="00E263F4">
            <w:pPr>
              <w:spacing w:before="0" w:after="0" w:line="240" w:lineRule="auto"/>
              <w:rPr>
                <w:color w:val="auto"/>
                <w:sz w:val="20"/>
                <w:szCs w:val="20"/>
              </w:rPr>
            </w:pPr>
            <w:r w:rsidRPr="00E263F4">
              <w:rPr>
                <w:color w:val="auto"/>
                <w:sz w:val="20"/>
                <w:szCs w:val="20"/>
              </w:rPr>
              <w:t>5</w:t>
            </w:r>
          </w:p>
        </w:tc>
        <w:tc>
          <w:tcPr>
            <w:tcW w:w="658" w:type="pct"/>
            <w:gridSpan w:val="2"/>
            <w:tcBorders>
              <w:top w:val="nil"/>
              <w:left w:val="nil"/>
              <w:bottom w:val="single" w:sz="4" w:space="0" w:color="auto"/>
              <w:right w:val="single" w:sz="4" w:space="0" w:color="auto"/>
            </w:tcBorders>
            <w:shd w:val="clear" w:color="auto" w:fill="auto"/>
            <w:noWrap/>
            <w:vAlign w:val="bottom"/>
          </w:tcPr>
          <w:p w14:paraId="6F5E4526" w14:textId="5972C472" w:rsidR="00E263F4" w:rsidRPr="00E263F4" w:rsidRDefault="00E263F4" w:rsidP="00E263F4">
            <w:pPr>
              <w:spacing w:before="0" w:after="0" w:line="240" w:lineRule="auto"/>
              <w:jc w:val="center"/>
              <w:rPr>
                <w:color w:val="auto"/>
                <w:sz w:val="20"/>
                <w:szCs w:val="20"/>
              </w:rPr>
            </w:pPr>
            <w:r w:rsidRPr="00E263F4">
              <w:rPr>
                <w:color w:val="000000"/>
                <w:sz w:val="22"/>
                <w:szCs w:val="22"/>
              </w:rPr>
              <w:t>316</w:t>
            </w:r>
          </w:p>
        </w:tc>
        <w:tc>
          <w:tcPr>
            <w:tcW w:w="660" w:type="pct"/>
            <w:gridSpan w:val="2"/>
            <w:tcBorders>
              <w:top w:val="nil"/>
              <w:left w:val="nil"/>
              <w:bottom w:val="single" w:sz="4" w:space="0" w:color="auto"/>
              <w:right w:val="single" w:sz="4" w:space="0" w:color="auto"/>
            </w:tcBorders>
            <w:shd w:val="clear" w:color="auto" w:fill="auto"/>
            <w:noWrap/>
            <w:vAlign w:val="bottom"/>
          </w:tcPr>
          <w:p w14:paraId="0E8FA33E" w14:textId="22E7238E" w:rsidR="00E263F4" w:rsidRPr="00E263F4" w:rsidRDefault="00E263F4" w:rsidP="00E263F4">
            <w:pPr>
              <w:spacing w:before="0" w:after="0" w:line="240" w:lineRule="auto"/>
              <w:jc w:val="center"/>
              <w:rPr>
                <w:color w:val="auto"/>
                <w:sz w:val="20"/>
                <w:szCs w:val="20"/>
              </w:rPr>
            </w:pPr>
            <w:r w:rsidRPr="00E263F4">
              <w:rPr>
                <w:color w:val="000000"/>
                <w:sz w:val="22"/>
                <w:szCs w:val="22"/>
              </w:rPr>
              <w:t>289</w:t>
            </w:r>
          </w:p>
        </w:tc>
        <w:tc>
          <w:tcPr>
            <w:tcW w:w="545" w:type="pct"/>
            <w:gridSpan w:val="2"/>
            <w:tcBorders>
              <w:top w:val="nil"/>
              <w:left w:val="nil"/>
              <w:bottom w:val="single" w:sz="4" w:space="0" w:color="auto"/>
              <w:right w:val="single" w:sz="4" w:space="0" w:color="auto"/>
            </w:tcBorders>
            <w:shd w:val="clear" w:color="auto" w:fill="auto"/>
            <w:noWrap/>
            <w:vAlign w:val="bottom"/>
          </w:tcPr>
          <w:p w14:paraId="37762C4F" w14:textId="184BC5C5" w:rsidR="00E263F4" w:rsidRPr="00E263F4" w:rsidRDefault="00E263F4" w:rsidP="00E263F4">
            <w:pPr>
              <w:spacing w:before="0" w:after="0" w:line="240" w:lineRule="auto"/>
              <w:jc w:val="center"/>
              <w:rPr>
                <w:color w:val="auto"/>
                <w:sz w:val="20"/>
                <w:szCs w:val="20"/>
              </w:rPr>
            </w:pPr>
            <w:r w:rsidRPr="00E263F4">
              <w:rPr>
                <w:color w:val="000000"/>
                <w:sz w:val="22"/>
                <w:szCs w:val="22"/>
              </w:rPr>
              <w:t>260</w:t>
            </w:r>
          </w:p>
        </w:tc>
        <w:tc>
          <w:tcPr>
            <w:tcW w:w="548" w:type="pct"/>
            <w:tcBorders>
              <w:top w:val="nil"/>
              <w:left w:val="nil"/>
              <w:bottom w:val="single" w:sz="4" w:space="0" w:color="auto"/>
              <w:right w:val="single" w:sz="4" w:space="0" w:color="auto"/>
            </w:tcBorders>
            <w:shd w:val="clear" w:color="auto" w:fill="auto"/>
            <w:noWrap/>
            <w:vAlign w:val="bottom"/>
          </w:tcPr>
          <w:p w14:paraId="4B8EA1AC" w14:textId="2DEEDF79" w:rsidR="00E263F4" w:rsidRPr="00E263F4" w:rsidRDefault="00E263F4" w:rsidP="00E263F4">
            <w:pPr>
              <w:spacing w:before="0" w:after="0" w:line="240" w:lineRule="auto"/>
              <w:jc w:val="center"/>
              <w:rPr>
                <w:color w:val="auto"/>
                <w:sz w:val="20"/>
                <w:szCs w:val="20"/>
              </w:rPr>
            </w:pPr>
            <w:r w:rsidRPr="00E263F4">
              <w:rPr>
                <w:color w:val="000000"/>
                <w:sz w:val="22"/>
                <w:szCs w:val="22"/>
              </w:rPr>
              <w:t>263</w:t>
            </w:r>
          </w:p>
        </w:tc>
        <w:tc>
          <w:tcPr>
            <w:tcW w:w="697" w:type="pct"/>
            <w:gridSpan w:val="2"/>
            <w:tcBorders>
              <w:top w:val="nil"/>
              <w:left w:val="nil"/>
              <w:bottom w:val="single" w:sz="4" w:space="0" w:color="auto"/>
              <w:right w:val="single" w:sz="4" w:space="0" w:color="auto"/>
            </w:tcBorders>
            <w:shd w:val="clear" w:color="auto" w:fill="auto"/>
            <w:noWrap/>
            <w:vAlign w:val="bottom"/>
          </w:tcPr>
          <w:p w14:paraId="39DD2E8F" w14:textId="3FFFF4AE" w:rsidR="00E263F4" w:rsidRPr="00E263F4" w:rsidRDefault="00E263F4" w:rsidP="00E263F4">
            <w:pPr>
              <w:spacing w:before="0" w:after="0" w:line="240" w:lineRule="auto"/>
              <w:jc w:val="center"/>
              <w:rPr>
                <w:color w:val="auto"/>
                <w:sz w:val="20"/>
                <w:szCs w:val="20"/>
              </w:rPr>
            </w:pPr>
            <w:r w:rsidRPr="00E263F4">
              <w:rPr>
                <w:color w:val="000000"/>
                <w:sz w:val="22"/>
                <w:szCs w:val="22"/>
              </w:rPr>
              <w:t>240</w:t>
            </w:r>
          </w:p>
        </w:tc>
        <w:tc>
          <w:tcPr>
            <w:tcW w:w="690" w:type="pct"/>
            <w:gridSpan w:val="2"/>
            <w:tcBorders>
              <w:top w:val="nil"/>
              <w:left w:val="nil"/>
              <w:bottom w:val="single" w:sz="4" w:space="0" w:color="auto"/>
              <w:right w:val="single" w:sz="4" w:space="0" w:color="auto"/>
            </w:tcBorders>
            <w:shd w:val="clear" w:color="auto" w:fill="auto"/>
            <w:noWrap/>
            <w:vAlign w:val="bottom"/>
          </w:tcPr>
          <w:p w14:paraId="754FED14" w14:textId="595A9B3D" w:rsidR="00E263F4" w:rsidRPr="00E263F4" w:rsidRDefault="00E263F4" w:rsidP="00E263F4">
            <w:pPr>
              <w:spacing w:before="0" w:after="0" w:line="240" w:lineRule="auto"/>
              <w:jc w:val="center"/>
              <w:rPr>
                <w:color w:val="auto"/>
                <w:sz w:val="20"/>
                <w:szCs w:val="20"/>
              </w:rPr>
            </w:pPr>
            <w:r w:rsidRPr="00E263F4">
              <w:rPr>
                <w:color w:val="000000"/>
                <w:sz w:val="22"/>
                <w:szCs w:val="22"/>
              </w:rPr>
              <w:t>244</w:t>
            </w:r>
          </w:p>
        </w:tc>
      </w:tr>
      <w:tr w:rsidR="00E263F4" w:rsidRPr="00E263F4" w14:paraId="6ACDC66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C60B4EF" w14:textId="77777777" w:rsidR="00E263F4" w:rsidRPr="00E263F4" w:rsidRDefault="00E263F4" w:rsidP="00E263F4">
            <w:pPr>
              <w:spacing w:before="0" w:after="0" w:line="240" w:lineRule="auto"/>
              <w:rPr>
                <w:color w:val="auto"/>
                <w:sz w:val="20"/>
                <w:szCs w:val="20"/>
              </w:rPr>
            </w:pPr>
            <w:r w:rsidRPr="00E263F4">
              <w:rPr>
                <w:color w:val="auto"/>
                <w:sz w:val="20"/>
                <w:szCs w:val="20"/>
              </w:rPr>
              <w:t>6</w:t>
            </w:r>
          </w:p>
        </w:tc>
        <w:tc>
          <w:tcPr>
            <w:tcW w:w="658" w:type="pct"/>
            <w:gridSpan w:val="2"/>
            <w:tcBorders>
              <w:top w:val="nil"/>
              <w:left w:val="nil"/>
              <w:bottom w:val="single" w:sz="4" w:space="0" w:color="auto"/>
              <w:right w:val="single" w:sz="4" w:space="0" w:color="auto"/>
            </w:tcBorders>
            <w:shd w:val="clear" w:color="auto" w:fill="auto"/>
            <w:noWrap/>
            <w:vAlign w:val="bottom"/>
          </w:tcPr>
          <w:p w14:paraId="650A0333" w14:textId="04025FCF" w:rsidR="00E263F4" w:rsidRPr="00E263F4" w:rsidRDefault="00E263F4" w:rsidP="00E263F4">
            <w:pPr>
              <w:spacing w:before="0" w:after="0" w:line="240" w:lineRule="auto"/>
              <w:jc w:val="center"/>
              <w:rPr>
                <w:color w:val="auto"/>
                <w:sz w:val="20"/>
                <w:szCs w:val="20"/>
              </w:rPr>
            </w:pPr>
            <w:r w:rsidRPr="00E263F4">
              <w:rPr>
                <w:color w:val="000000"/>
                <w:sz w:val="22"/>
                <w:szCs w:val="22"/>
              </w:rPr>
              <w:t>282</w:t>
            </w:r>
          </w:p>
        </w:tc>
        <w:tc>
          <w:tcPr>
            <w:tcW w:w="660" w:type="pct"/>
            <w:gridSpan w:val="2"/>
            <w:tcBorders>
              <w:top w:val="nil"/>
              <w:left w:val="nil"/>
              <w:bottom w:val="single" w:sz="4" w:space="0" w:color="auto"/>
              <w:right w:val="single" w:sz="4" w:space="0" w:color="auto"/>
            </w:tcBorders>
            <w:shd w:val="clear" w:color="auto" w:fill="auto"/>
            <w:noWrap/>
            <w:vAlign w:val="bottom"/>
          </w:tcPr>
          <w:p w14:paraId="4C299537" w14:textId="6A224A35" w:rsidR="00E263F4" w:rsidRPr="00E263F4" w:rsidRDefault="00E263F4" w:rsidP="00E263F4">
            <w:pPr>
              <w:spacing w:before="0" w:after="0" w:line="240" w:lineRule="auto"/>
              <w:jc w:val="center"/>
              <w:rPr>
                <w:color w:val="auto"/>
                <w:sz w:val="20"/>
                <w:szCs w:val="20"/>
              </w:rPr>
            </w:pPr>
            <w:r w:rsidRPr="00E263F4">
              <w:rPr>
                <w:color w:val="000000"/>
                <w:sz w:val="22"/>
                <w:szCs w:val="22"/>
              </w:rPr>
              <w:t>314</w:t>
            </w:r>
          </w:p>
        </w:tc>
        <w:tc>
          <w:tcPr>
            <w:tcW w:w="545" w:type="pct"/>
            <w:gridSpan w:val="2"/>
            <w:tcBorders>
              <w:top w:val="nil"/>
              <w:left w:val="nil"/>
              <w:bottom w:val="single" w:sz="4" w:space="0" w:color="auto"/>
              <w:right w:val="single" w:sz="4" w:space="0" w:color="auto"/>
            </w:tcBorders>
            <w:shd w:val="clear" w:color="auto" w:fill="auto"/>
            <w:noWrap/>
            <w:vAlign w:val="bottom"/>
          </w:tcPr>
          <w:p w14:paraId="724E4914" w14:textId="4085D46E" w:rsidR="00E263F4" w:rsidRPr="00E263F4" w:rsidRDefault="00E263F4" w:rsidP="00E263F4">
            <w:pPr>
              <w:spacing w:before="0" w:after="0" w:line="240" w:lineRule="auto"/>
              <w:jc w:val="center"/>
              <w:rPr>
                <w:color w:val="auto"/>
                <w:sz w:val="20"/>
                <w:szCs w:val="20"/>
              </w:rPr>
            </w:pPr>
            <w:r w:rsidRPr="00E263F4">
              <w:rPr>
                <w:color w:val="000000"/>
                <w:sz w:val="22"/>
                <w:szCs w:val="22"/>
              </w:rPr>
              <w:t>315</w:t>
            </w:r>
          </w:p>
        </w:tc>
        <w:tc>
          <w:tcPr>
            <w:tcW w:w="548" w:type="pct"/>
            <w:tcBorders>
              <w:top w:val="nil"/>
              <w:left w:val="nil"/>
              <w:bottom w:val="single" w:sz="4" w:space="0" w:color="auto"/>
              <w:right w:val="single" w:sz="4" w:space="0" w:color="auto"/>
            </w:tcBorders>
            <w:shd w:val="clear" w:color="auto" w:fill="auto"/>
            <w:noWrap/>
            <w:vAlign w:val="bottom"/>
          </w:tcPr>
          <w:p w14:paraId="405665E6" w14:textId="69335F7E" w:rsidR="00E263F4" w:rsidRPr="00E263F4" w:rsidRDefault="00E263F4" w:rsidP="00E263F4">
            <w:pPr>
              <w:spacing w:before="0" w:after="0" w:line="240" w:lineRule="auto"/>
              <w:jc w:val="center"/>
              <w:rPr>
                <w:color w:val="auto"/>
                <w:sz w:val="20"/>
                <w:szCs w:val="20"/>
              </w:rPr>
            </w:pPr>
            <w:r w:rsidRPr="00E263F4">
              <w:rPr>
                <w:color w:val="000000"/>
                <w:sz w:val="22"/>
                <w:szCs w:val="22"/>
              </w:rPr>
              <w:t>225</w:t>
            </w:r>
          </w:p>
        </w:tc>
        <w:tc>
          <w:tcPr>
            <w:tcW w:w="697" w:type="pct"/>
            <w:gridSpan w:val="2"/>
            <w:tcBorders>
              <w:top w:val="nil"/>
              <w:left w:val="nil"/>
              <w:bottom w:val="single" w:sz="4" w:space="0" w:color="auto"/>
              <w:right w:val="single" w:sz="4" w:space="0" w:color="auto"/>
            </w:tcBorders>
            <w:shd w:val="clear" w:color="auto" w:fill="auto"/>
            <w:noWrap/>
            <w:vAlign w:val="bottom"/>
          </w:tcPr>
          <w:p w14:paraId="4D8FF61B" w14:textId="72E35550" w:rsidR="00E263F4" w:rsidRPr="00E263F4" w:rsidRDefault="00E263F4" w:rsidP="00E263F4">
            <w:pPr>
              <w:spacing w:before="0" w:after="0" w:line="240" w:lineRule="auto"/>
              <w:jc w:val="center"/>
              <w:rPr>
                <w:color w:val="auto"/>
                <w:sz w:val="20"/>
                <w:szCs w:val="20"/>
              </w:rPr>
            </w:pPr>
            <w:r w:rsidRPr="00E263F4">
              <w:rPr>
                <w:color w:val="000000"/>
                <w:sz w:val="22"/>
                <w:szCs w:val="22"/>
              </w:rPr>
              <w:t>245</w:t>
            </w:r>
          </w:p>
        </w:tc>
        <w:tc>
          <w:tcPr>
            <w:tcW w:w="690" w:type="pct"/>
            <w:gridSpan w:val="2"/>
            <w:tcBorders>
              <w:top w:val="nil"/>
              <w:left w:val="nil"/>
              <w:bottom w:val="single" w:sz="4" w:space="0" w:color="auto"/>
              <w:right w:val="single" w:sz="4" w:space="0" w:color="auto"/>
            </w:tcBorders>
            <w:shd w:val="clear" w:color="auto" w:fill="auto"/>
            <w:noWrap/>
            <w:vAlign w:val="bottom"/>
          </w:tcPr>
          <w:p w14:paraId="26E14393" w14:textId="164CD786" w:rsidR="00E263F4" w:rsidRPr="00E263F4" w:rsidRDefault="00E263F4" w:rsidP="00E263F4">
            <w:pPr>
              <w:spacing w:before="0" w:after="0" w:line="240" w:lineRule="auto"/>
              <w:jc w:val="center"/>
              <w:rPr>
                <w:color w:val="auto"/>
                <w:sz w:val="20"/>
                <w:szCs w:val="20"/>
              </w:rPr>
            </w:pPr>
            <w:r w:rsidRPr="00E263F4">
              <w:rPr>
                <w:color w:val="000000"/>
                <w:sz w:val="22"/>
                <w:szCs w:val="22"/>
              </w:rPr>
              <w:t>222</w:t>
            </w:r>
          </w:p>
        </w:tc>
      </w:tr>
      <w:tr w:rsidR="00E263F4" w:rsidRPr="00E263F4" w14:paraId="780C492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437CE51" w14:textId="77777777" w:rsidR="00E263F4" w:rsidRPr="00E263F4" w:rsidRDefault="00E263F4" w:rsidP="00E263F4">
            <w:pPr>
              <w:spacing w:before="0" w:after="0" w:line="240" w:lineRule="auto"/>
              <w:rPr>
                <w:color w:val="auto"/>
                <w:sz w:val="20"/>
                <w:szCs w:val="20"/>
              </w:rPr>
            </w:pPr>
            <w:r w:rsidRPr="00E263F4">
              <w:rPr>
                <w:color w:val="auto"/>
                <w:sz w:val="20"/>
                <w:szCs w:val="20"/>
              </w:rPr>
              <w:t>7</w:t>
            </w:r>
          </w:p>
        </w:tc>
        <w:tc>
          <w:tcPr>
            <w:tcW w:w="658" w:type="pct"/>
            <w:gridSpan w:val="2"/>
            <w:tcBorders>
              <w:top w:val="nil"/>
              <w:left w:val="nil"/>
              <w:bottom w:val="single" w:sz="4" w:space="0" w:color="auto"/>
              <w:right w:val="single" w:sz="4" w:space="0" w:color="auto"/>
            </w:tcBorders>
            <w:shd w:val="clear" w:color="auto" w:fill="auto"/>
            <w:noWrap/>
            <w:vAlign w:val="bottom"/>
          </w:tcPr>
          <w:p w14:paraId="1BF2EDA4" w14:textId="1CF4F417" w:rsidR="00E263F4" w:rsidRPr="00E263F4" w:rsidRDefault="00E263F4" w:rsidP="00E263F4">
            <w:pPr>
              <w:spacing w:before="0" w:after="0" w:line="240" w:lineRule="auto"/>
              <w:jc w:val="center"/>
              <w:rPr>
                <w:color w:val="auto"/>
                <w:sz w:val="20"/>
                <w:szCs w:val="20"/>
              </w:rPr>
            </w:pPr>
            <w:r w:rsidRPr="00E263F4">
              <w:rPr>
                <w:color w:val="000000"/>
                <w:sz w:val="22"/>
                <w:szCs w:val="22"/>
              </w:rPr>
              <w:t>210</w:t>
            </w:r>
          </w:p>
        </w:tc>
        <w:tc>
          <w:tcPr>
            <w:tcW w:w="660" w:type="pct"/>
            <w:gridSpan w:val="2"/>
            <w:tcBorders>
              <w:top w:val="nil"/>
              <w:left w:val="nil"/>
              <w:bottom w:val="single" w:sz="4" w:space="0" w:color="auto"/>
              <w:right w:val="single" w:sz="4" w:space="0" w:color="auto"/>
            </w:tcBorders>
            <w:shd w:val="clear" w:color="auto" w:fill="auto"/>
            <w:noWrap/>
            <w:vAlign w:val="bottom"/>
          </w:tcPr>
          <w:p w14:paraId="51937BED" w14:textId="7C44E9F9" w:rsidR="00E263F4" w:rsidRPr="00E263F4" w:rsidRDefault="00E263F4" w:rsidP="00E263F4">
            <w:pPr>
              <w:spacing w:before="0" w:after="0" w:line="240" w:lineRule="auto"/>
              <w:jc w:val="center"/>
              <w:rPr>
                <w:color w:val="auto"/>
                <w:sz w:val="20"/>
                <w:szCs w:val="20"/>
              </w:rPr>
            </w:pPr>
            <w:r w:rsidRPr="00E263F4">
              <w:rPr>
                <w:color w:val="000000"/>
                <w:sz w:val="22"/>
                <w:szCs w:val="22"/>
              </w:rPr>
              <w:t>193</w:t>
            </w:r>
          </w:p>
        </w:tc>
        <w:tc>
          <w:tcPr>
            <w:tcW w:w="545" w:type="pct"/>
            <w:gridSpan w:val="2"/>
            <w:tcBorders>
              <w:top w:val="nil"/>
              <w:left w:val="nil"/>
              <w:bottom w:val="single" w:sz="4" w:space="0" w:color="auto"/>
              <w:right w:val="single" w:sz="4" w:space="0" w:color="auto"/>
            </w:tcBorders>
            <w:shd w:val="clear" w:color="auto" w:fill="auto"/>
            <w:noWrap/>
            <w:vAlign w:val="bottom"/>
          </w:tcPr>
          <w:p w14:paraId="22061AA7" w14:textId="7AD0EA91" w:rsidR="00E263F4" w:rsidRPr="00E263F4" w:rsidRDefault="00E263F4" w:rsidP="00E263F4">
            <w:pPr>
              <w:spacing w:before="0" w:after="0" w:line="240" w:lineRule="auto"/>
              <w:jc w:val="center"/>
              <w:rPr>
                <w:color w:val="auto"/>
                <w:sz w:val="20"/>
                <w:szCs w:val="20"/>
              </w:rPr>
            </w:pPr>
            <w:r w:rsidRPr="00E263F4">
              <w:rPr>
                <w:color w:val="000000"/>
                <w:sz w:val="22"/>
                <w:szCs w:val="22"/>
              </w:rPr>
              <w:t>189</w:t>
            </w:r>
          </w:p>
        </w:tc>
        <w:tc>
          <w:tcPr>
            <w:tcW w:w="548" w:type="pct"/>
            <w:tcBorders>
              <w:top w:val="nil"/>
              <w:left w:val="nil"/>
              <w:bottom w:val="single" w:sz="4" w:space="0" w:color="auto"/>
              <w:right w:val="single" w:sz="4" w:space="0" w:color="auto"/>
            </w:tcBorders>
            <w:shd w:val="clear" w:color="auto" w:fill="auto"/>
            <w:noWrap/>
            <w:vAlign w:val="bottom"/>
          </w:tcPr>
          <w:p w14:paraId="5F392D31" w14:textId="3BC3B948" w:rsidR="00E263F4" w:rsidRPr="00E263F4" w:rsidRDefault="00E263F4" w:rsidP="00E263F4">
            <w:pPr>
              <w:spacing w:before="0" w:after="0" w:line="240" w:lineRule="auto"/>
              <w:jc w:val="center"/>
              <w:rPr>
                <w:color w:val="auto"/>
                <w:sz w:val="20"/>
                <w:szCs w:val="20"/>
              </w:rPr>
            </w:pPr>
            <w:r w:rsidRPr="00E263F4">
              <w:rPr>
                <w:color w:val="000000"/>
                <w:sz w:val="22"/>
                <w:szCs w:val="22"/>
              </w:rPr>
              <w:t>192</w:t>
            </w:r>
          </w:p>
        </w:tc>
        <w:tc>
          <w:tcPr>
            <w:tcW w:w="697" w:type="pct"/>
            <w:gridSpan w:val="2"/>
            <w:tcBorders>
              <w:top w:val="nil"/>
              <w:left w:val="nil"/>
              <w:bottom w:val="single" w:sz="4" w:space="0" w:color="auto"/>
              <w:right w:val="single" w:sz="4" w:space="0" w:color="auto"/>
            </w:tcBorders>
            <w:shd w:val="clear" w:color="auto" w:fill="auto"/>
            <w:noWrap/>
            <w:vAlign w:val="bottom"/>
          </w:tcPr>
          <w:p w14:paraId="2F87974E" w14:textId="5EA7DBB1" w:rsidR="00E263F4" w:rsidRPr="00E263F4" w:rsidRDefault="00E263F4" w:rsidP="00E263F4">
            <w:pPr>
              <w:spacing w:before="0" w:after="0" w:line="240" w:lineRule="auto"/>
              <w:jc w:val="center"/>
              <w:rPr>
                <w:color w:val="auto"/>
                <w:sz w:val="20"/>
                <w:szCs w:val="20"/>
              </w:rPr>
            </w:pPr>
            <w:r w:rsidRPr="00E263F4">
              <w:rPr>
                <w:color w:val="000000"/>
                <w:sz w:val="22"/>
                <w:szCs w:val="22"/>
              </w:rPr>
              <w:t>173</w:t>
            </w:r>
          </w:p>
        </w:tc>
        <w:tc>
          <w:tcPr>
            <w:tcW w:w="690" w:type="pct"/>
            <w:gridSpan w:val="2"/>
            <w:tcBorders>
              <w:top w:val="nil"/>
              <w:left w:val="nil"/>
              <w:bottom w:val="single" w:sz="4" w:space="0" w:color="auto"/>
              <w:right w:val="single" w:sz="4" w:space="0" w:color="auto"/>
            </w:tcBorders>
            <w:shd w:val="clear" w:color="auto" w:fill="auto"/>
            <w:noWrap/>
            <w:vAlign w:val="bottom"/>
          </w:tcPr>
          <w:p w14:paraId="7FC45164" w14:textId="68A3FBA7" w:rsidR="00E263F4" w:rsidRPr="00E263F4" w:rsidRDefault="00E263F4" w:rsidP="00E263F4">
            <w:pPr>
              <w:spacing w:before="0" w:after="0" w:line="240" w:lineRule="auto"/>
              <w:jc w:val="center"/>
              <w:rPr>
                <w:color w:val="auto"/>
                <w:sz w:val="20"/>
                <w:szCs w:val="20"/>
              </w:rPr>
            </w:pPr>
            <w:r w:rsidRPr="00E263F4">
              <w:rPr>
                <w:color w:val="000000"/>
                <w:sz w:val="22"/>
                <w:szCs w:val="22"/>
              </w:rPr>
              <w:t>171</w:t>
            </w:r>
          </w:p>
        </w:tc>
      </w:tr>
      <w:tr w:rsidR="00E263F4" w:rsidRPr="00E263F4" w14:paraId="01CCAEF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AB00338" w14:textId="77777777" w:rsidR="00E263F4" w:rsidRPr="00E263F4" w:rsidRDefault="00E263F4" w:rsidP="00E263F4">
            <w:pPr>
              <w:spacing w:before="0" w:after="0" w:line="240" w:lineRule="auto"/>
              <w:rPr>
                <w:color w:val="auto"/>
                <w:sz w:val="20"/>
                <w:szCs w:val="20"/>
              </w:rPr>
            </w:pPr>
            <w:r w:rsidRPr="00E263F4">
              <w:rPr>
                <w:color w:val="auto"/>
                <w:sz w:val="20"/>
                <w:szCs w:val="20"/>
              </w:rPr>
              <w:t>8</w:t>
            </w:r>
          </w:p>
        </w:tc>
        <w:tc>
          <w:tcPr>
            <w:tcW w:w="658" w:type="pct"/>
            <w:gridSpan w:val="2"/>
            <w:tcBorders>
              <w:top w:val="nil"/>
              <w:left w:val="nil"/>
              <w:bottom w:val="single" w:sz="4" w:space="0" w:color="auto"/>
              <w:right w:val="single" w:sz="4" w:space="0" w:color="auto"/>
            </w:tcBorders>
            <w:shd w:val="clear" w:color="auto" w:fill="auto"/>
            <w:noWrap/>
            <w:vAlign w:val="bottom"/>
          </w:tcPr>
          <w:p w14:paraId="5D7867B0" w14:textId="75FA1426" w:rsidR="00E263F4" w:rsidRPr="00E263F4" w:rsidRDefault="00E263F4" w:rsidP="00E263F4">
            <w:pPr>
              <w:spacing w:before="0" w:after="0" w:line="240" w:lineRule="auto"/>
              <w:jc w:val="center"/>
              <w:rPr>
                <w:color w:val="auto"/>
                <w:sz w:val="20"/>
                <w:szCs w:val="20"/>
              </w:rPr>
            </w:pPr>
            <w:r w:rsidRPr="00E263F4">
              <w:rPr>
                <w:color w:val="000000"/>
                <w:sz w:val="22"/>
                <w:szCs w:val="22"/>
              </w:rPr>
              <w:t>180</w:t>
            </w:r>
          </w:p>
        </w:tc>
        <w:tc>
          <w:tcPr>
            <w:tcW w:w="660" w:type="pct"/>
            <w:gridSpan w:val="2"/>
            <w:tcBorders>
              <w:top w:val="nil"/>
              <w:left w:val="nil"/>
              <w:bottom w:val="single" w:sz="4" w:space="0" w:color="auto"/>
              <w:right w:val="single" w:sz="4" w:space="0" w:color="auto"/>
            </w:tcBorders>
            <w:shd w:val="clear" w:color="auto" w:fill="auto"/>
            <w:noWrap/>
            <w:vAlign w:val="bottom"/>
          </w:tcPr>
          <w:p w14:paraId="6F2EBDCD" w14:textId="15E3F7E2" w:rsidR="00E263F4" w:rsidRPr="00E263F4" w:rsidRDefault="00E263F4" w:rsidP="00E263F4">
            <w:pPr>
              <w:spacing w:before="0" w:after="0" w:line="240" w:lineRule="auto"/>
              <w:jc w:val="center"/>
              <w:rPr>
                <w:color w:val="auto"/>
                <w:sz w:val="20"/>
                <w:szCs w:val="20"/>
              </w:rPr>
            </w:pPr>
            <w:r w:rsidRPr="00E263F4">
              <w:rPr>
                <w:color w:val="000000"/>
                <w:sz w:val="22"/>
                <w:szCs w:val="22"/>
              </w:rPr>
              <w:t>166</w:t>
            </w:r>
          </w:p>
        </w:tc>
        <w:tc>
          <w:tcPr>
            <w:tcW w:w="545" w:type="pct"/>
            <w:gridSpan w:val="2"/>
            <w:tcBorders>
              <w:top w:val="nil"/>
              <w:left w:val="nil"/>
              <w:bottom w:val="single" w:sz="4" w:space="0" w:color="auto"/>
              <w:right w:val="single" w:sz="4" w:space="0" w:color="auto"/>
            </w:tcBorders>
            <w:shd w:val="clear" w:color="auto" w:fill="auto"/>
            <w:noWrap/>
            <w:vAlign w:val="bottom"/>
          </w:tcPr>
          <w:p w14:paraId="6F344CC4" w14:textId="65A9592A" w:rsidR="00E263F4" w:rsidRPr="00E263F4" w:rsidRDefault="00E263F4" w:rsidP="00E263F4">
            <w:pPr>
              <w:spacing w:before="0" w:after="0" w:line="240" w:lineRule="auto"/>
              <w:jc w:val="center"/>
              <w:rPr>
                <w:color w:val="auto"/>
                <w:sz w:val="20"/>
                <w:szCs w:val="20"/>
              </w:rPr>
            </w:pPr>
            <w:r w:rsidRPr="00E263F4">
              <w:rPr>
                <w:color w:val="000000"/>
                <w:sz w:val="22"/>
                <w:szCs w:val="22"/>
              </w:rPr>
              <w:t>183</w:t>
            </w:r>
          </w:p>
        </w:tc>
        <w:tc>
          <w:tcPr>
            <w:tcW w:w="548" w:type="pct"/>
            <w:tcBorders>
              <w:top w:val="nil"/>
              <w:left w:val="nil"/>
              <w:bottom w:val="single" w:sz="4" w:space="0" w:color="auto"/>
              <w:right w:val="single" w:sz="4" w:space="0" w:color="auto"/>
            </w:tcBorders>
            <w:shd w:val="clear" w:color="auto" w:fill="auto"/>
            <w:noWrap/>
            <w:vAlign w:val="bottom"/>
          </w:tcPr>
          <w:p w14:paraId="4471FF9A" w14:textId="2CCE85B6" w:rsidR="00E263F4" w:rsidRPr="00E263F4" w:rsidRDefault="00E263F4" w:rsidP="00E263F4">
            <w:pPr>
              <w:spacing w:before="0" w:after="0" w:line="240" w:lineRule="auto"/>
              <w:jc w:val="center"/>
              <w:rPr>
                <w:color w:val="auto"/>
                <w:sz w:val="20"/>
                <w:szCs w:val="20"/>
              </w:rPr>
            </w:pPr>
            <w:r w:rsidRPr="00E263F4">
              <w:rPr>
                <w:color w:val="000000"/>
                <w:sz w:val="22"/>
                <w:szCs w:val="22"/>
              </w:rPr>
              <w:t>173</w:t>
            </w:r>
          </w:p>
        </w:tc>
        <w:tc>
          <w:tcPr>
            <w:tcW w:w="697" w:type="pct"/>
            <w:gridSpan w:val="2"/>
            <w:tcBorders>
              <w:top w:val="nil"/>
              <w:left w:val="nil"/>
              <w:bottom w:val="single" w:sz="4" w:space="0" w:color="auto"/>
              <w:right w:val="single" w:sz="4" w:space="0" w:color="auto"/>
            </w:tcBorders>
            <w:shd w:val="clear" w:color="auto" w:fill="auto"/>
            <w:noWrap/>
            <w:vAlign w:val="bottom"/>
          </w:tcPr>
          <w:p w14:paraId="64678F49" w14:textId="09EC6EB6" w:rsidR="00E263F4" w:rsidRPr="00E263F4" w:rsidRDefault="00E263F4" w:rsidP="00E263F4">
            <w:pPr>
              <w:spacing w:before="0" w:after="0" w:line="240" w:lineRule="auto"/>
              <w:jc w:val="center"/>
              <w:rPr>
                <w:color w:val="auto"/>
                <w:sz w:val="20"/>
                <w:szCs w:val="20"/>
              </w:rPr>
            </w:pPr>
            <w:r w:rsidRPr="00E263F4">
              <w:rPr>
                <w:color w:val="000000"/>
                <w:sz w:val="22"/>
                <w:szCs w:val="22"/>
              </w:rPr>
              <w:t>191</w:t>
            </w:r>
          </w:p>
        </w:tc>
        <w:tc>
          <w:tcPr>
            <w:tcW w:w="690" w:type="pct"/>
            <w:gridSpan w:val="2"/>
            <w:tcBorders>
              <w:top w:val="nil"/>
              <w:left w:val="nil"/>
              <w:bottom w:val="single" w:sz="4" w:space="0" w:color="auto"/>
              <w:right w:val="single" w:sz="4" w:space="0" w:color="auto"/>
            </w:tcBorders>
            <w:shd w:val="clear" w:color="auto" w:fill="auto"/>
            <w:noWrap/>
            <w:vAlign w:val="bottom"/>
          </w:tcPr>
          <w:p w14:paraId="73F0C346" w14:textId="4E5FFC8E" w:rsidR="00E263F4" w:rsidRPr="00E263F4" w:rsidRDefault="00E263F4" w:rsidP="00E263F4">
            <w:pPr>
              <w:spacing w:before="0" w:after="0" w:line="240" w:lineRule="auto"/>
              <w:jc w:val="center"/>
              <w:rPr>
                <w:color w:val="auto"/>
                <w:sz w:val="20"/>
                <w:szCs w:val="20"/>
              </w:rPr>
            </w:pPr>
            <w:r w:rsidRPr="00E263F4">
              <w:rPr>
                <w:color w:val="000000"/>
                <w:sz w:val="22"/>
                <w:szCs w:val="22"/>
              </w:rPr>
              <w:t>192</w:t>
            </w:r>
          </w:p>
        </w:tc>
      </w:tr>
      <w:tr w:rsidR="00E263F4" w:rsidRPr="00E263F4" w14:paraId="24A8C53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504D38C" w14:textId="77777777" w:rsidR="00E263F4" w:rsidRPr="00E263F4" w:rsidRDefault="00E263F4" w:rsidP="00E263F4">
            <w:pPr>
              <w:spacing w:before="0" w:after="0" w:line="240" w:lineRule="auto"/>
              <w:rPr>
                <w:color w:val="auto"/>
                <w:sz w:val="20"/>
                <w:szCs w:val="20"/>
              </w:rPr>
            </w:pPr>
            <w:r w:rsidRPr="00E263F4">
              <w:rPr>
                <w:color w:val="auto"/>
                <w:sz w:val="20"/>
                <w:szCs w:val="20"/>
              </w:rPr>
              <w:t>9</w:t>
            </w:r>
          </w:p>
        </w:tc>
        <w:tc>
          <w:tcPr>
            <w:tcW w:w="658" w:type="pct"/>
            <w:gridSpan w:val="2"/>
            <w:tcBorders>
              <w:top w:val="nil"/>
              <w:left w:val="nil"/>
              <w:bottom w:val="single" w:sz="4" w:space="0" w:color="auto"/>
              <w:right w:val="single" w:sz="4" w:space="0" w:color="auto"/>
            </w:tcBorders>
            <w:shd w:val="clear" w:color="auto" w:fill="auto"/>
            <w:noWrap/>
            <w:vAlign w:val="bottom"/>
          </w:tcPr>
          <w:p w14:paraId="15346E5D" w14:textId="5368B584" w:rsidR="00E263F4" w:rsidRPr="00E263F4" w:rsidRDefault="00E263F4" w:rsidP="00E263F4">
            <w:pPr>
              <w:spacing w:before="0" w:after="0" w:line="240" w:lineRule="auto"/>
              <w:jc w:val="center"/>
              <w:rPr>
                <w:color w:val="auto"/>
                <w:sz w:val="20"/>
                <w:szCs w:val="20"/>
              </w:rPr>
            </w:pPr>
            <w:r w:rsidRPr="00E263F4">
              <w:rPr>
                <w:color w:val="000000"/>
                <w:sz w:val="22"/>
                <w:szCs w:val="22"/>
              </w:rPr>
              <w:t>258</w:t>
            </w:r>
          </w:p>
        </w:tc>
        <w:tc>
          <w:tcPr>
            <w:tcW w:w="660" w:type="pct"/>
            <w:gridSpan w:val="2"/>
            <w:tcBorders>
              <w:top w:val="nil"/>
              <w:left w:val="nil"/>
              <w:bottom w:val="single" w:sz="4" w:space="0" w:color="auto"/>
              <w:right w:val="single" w:sz="4" w:space="0" w:color="auto"/>
            </w:tcBorders>
            <w:shd w:val="clear" w:color="auto" w:fill="auto"/>
            <w:noWrap/>
            <w:vAlign w:val="bottom"/>
          </w:tcPr>
          <w:p w14:paraId="177AAAB9" w14:textId="7308724D" w:rsidR="00E263F4" w:rsidRPr="00E263F4" w:rsidRDefault="00E263F4" w:rsidP="00E263F4">
            <w:pPr>
              <w:spacing w:before="0" w:after="0" w:line="240" w:lineRule="auto"/>
              <w:jc w:val="center"/>
              <w:rPr>
                <w:color w:val="auto"/>
                <w:sz w:val="20"/>
                <w:szCs w:val="20"/>
              </w:rPr>
            </w:pPr>
            <w:r w:rsidRPr="00E263F4">
              <w:rPr>
                <w:color w:val="000000"/>
                <w:sz w:val="22"/>
                <w:szCs w:val="22"/>
              </w:rPr>
              <w:t>234</w:t>
            </w:r>
          </w:p>
        </w:tc>
        <w:tc>
          <w:tcPr>
            <w:tcW w:w="545" w:type="pct"/>
            <w:gridSpan w:val="2"/>
            <w:tcBorders>
              <w:top w:val="nil"/>
              <w:left w:val="nil"/>
              <w:bottom w:val="single" w:sz="4" w:space="0" w:color="auto"/>
              <w:right w:val="single" w:sz="4" w:space="0" w:color="auto"/>
            </w:tcBorders>
            <w:shd w:val="clear" w:color="auto" w:fill="auto"/>
            <w:noWrap/>
            <w:vAlign w:val="bottom"/>
          </w:tcPr>
          <w:p w14:paraId="57F432E1" w14:textId="2615DCA6" w:rsidR="00E263F4" w:rsidRPr="00E263F4" w:rsidRDefault="00E263F4" w:rsidP="00E263F4">
            <w:pPr>
              <w:spacing w:before="0" w:after="0" w:line="240" w:lineRule="auto"/>
              <w:jc w:val="center"/>
              <w:rPr>
                <w:color w:val="auto"/>
                <w:sz w:val="20"/>
                <w:szCs w:val="20"/>
              </w:rPr>
            </w:pPr>
            <w:r w:rsidRPr="00E263F4">
              <w:rPr>
                <w:color w:val="000000"/>
                <w:sz w:val="22"/>
                <w:szCs w:val="22"/>
              </w:rPr>
              <w:t>265</w:t>
            </w:r>
          </w:p>
        </w:tc>
        <w:tc>
          <w:tcPr>
            <w:tcW w:w="548" w:type="pct"/>
            <w:tcBorders>
              <w:top w:val="nil"/>
              <w:left w:val="nil"/>
              <w:bottom w:val="single" w:sz="4" w:space="0" w:color="auto"/>
              <w:right w:val="single" w:sz="4" w:space="0" w:color="auto"/>
            </w:tcBorders>
            <w:shd w:val="clear" w:color="auto" w:fill="auto"/>
            <w:noWrap/>
            <w:vAlign w:val="bottom"/>
          </w:tcPr>
          <w:p w14:paraId="4E50BA01" w14:textId="2FBE9CB4" w:rsidR="00E263F4" w:rsidRPr="00E263F4" w:rsidRDefault="00E263F4" w:rsidP="00E263F4">
            <w:pPr>
              <w:spacing w:before="0" w:after="0" w:line="240" w:lineRule="auto"/>
              <w:jc w:val="center"/>
              <w:rPr>
                <w:color w:val="auto"/>
                <w:sz w:val="20"/>
                <w:szCs w:val="20"/>
              </w:rPr>
            </w:pPr>
            <w:r w:rsidRPr="00E263F4">
              <w:rPr>
                <w:color w:val="000000"/>
                <w:sz w:val="22"/>
                <w:szCs w:val="22"/>
              </w:rPr>
              <w:t>212</w:t>
            </w:r>
          </w:p>
        </w:tc>
        <w:tc>
          <w:tcPr>
            <w:tcW w:w="697" w:type="pct"/>
            <w:gridSpan w:val="2"/>
            <w:tcBorders>
              <w:top w:val="nil"/>
              <w:left w:val="nil"/>
              <w:bottom w:val="single" w:sz="4" w:space="0" w:color="auto"/>
              <w:right w:val="single" w:sz="4" w:space="0" w:color="auto"/>
            </w:tcBorders>
            <w:shd w:val="clear" w:color="auto" w:fill="auto"/>
            <w:noWrap/>
            <w:vAlign w:val="bottom"/>
          </w:tcPr>
          <w:p w14:paraId="09FC9128" w14:textId="3E8E7B69" w:rsidR="00E263F4" w:rsidRPr="00E263F4" w:rsidRDefault="00E263F4" w:rsidP="00E263F4">
            <w:pPr>
              <w:spacing w:before="0" w:after="0" w:line="240" w:lineRule="auto"/>
              <w:jc w:val="center"/>
              <w:rPr>
                <w:color w:val="auto"/>
                <w:sz w:val="20"/>
                <w:szCs w:val="20"/>
              </w:rPr>
            </w:pPr>
            <w:r w:rsidRPr="00E263F4">
              <w:rPr>
                <w:color w:val="000000"/>
                <w:sz w:val="22"/>
                <w:szCs w:val="22"/>
              </w:rPr>
              <w:t>223</w:t>
            </w:r>
          </w:p>
        </w:tc>
        <w:tc>
          <w:tcPr>
            <w:tcW w:w="690" w:type="pct"/>
            <w:gridSpan w:val="2"/>
            <w:tcBorders>
              <w:top w:val="nil"/>
              <w:left w:val="nil"/>
              <w:bottom w:val="single" w:sz="4" w:space="0" w:color="auto"/>
              <w:right w:val="single" w:sz="4" w:space="0" w:color="auto"/>
            </w:tcBorders>
            <w:shd w:val="clear" w:color="auto" w:fill="auto"/>
            <w:noWrap/>
            <w:vAlign w:val="bottom"/>
          </w:tcPr>
          <w:p w14:paraId="39596860" w14:textId="7B2132B3" w:rsidR="00E263F4" w:rsidRPr="00E263F4" w:rsidRDefault="00E263F4" w:rsidP="00E263F4">
            <w:pPr>
              <w:spacing w:before="0" w:after="0" w:line="240" w:lineRule="auto"/>
              <w:jc w:val="center"/>
              <w:rPr>
                <w:color w:val="auto"/>
                <w:sz w:val="20"/>
                <w:szCs w:val="20"/>
              </w:rPr>
            </w:pPr>
            <w:r w:rsidRPr="00E263F4">
              <w:rPr>
                <w:color w:val="000000"/>
                <w:sz w:val="22"/>
                <w:szCs w:val="22"/>
              </w:rPr>
              <w:t>240</w:t>
            </w:r>
          </w:p>
        </w:tc>
      </w:tr>
      <w:tr w:rsidR="00E263F4" w:rsidRPr="00E263F4" w14:paraId="107FF6A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D0453C8" w14:textId="77777777" w:rsidR="00E263F4" w:rsidRPr="00E263F4" w:rsidRDefault="00E263F4" w:rsidP="00E263F4">
            <w:pPr>
              <w:spacing w:before="0" w:after="0" w:line="240" w:lineRule="auto"/>
              <w:rPr>
                <w:color w:val="auto"/>
                <w:sz w:val="20"/>
                <w:szCs w:val="20"/>
              </w:rPr>
            </w:pPr>
            <w:r w:rsidRPr="00E263F4">
              <w:rPr>
                <w:color w:val="auto"/>
                <w:sz w:val="20"/>
                <w:szCs w:val="20"/>
              </w:rPr>
              <w:t>10</w:t>
            </w:r>
          </w:p>
        </w:tc>
        <w:tc>
          <w:tcPr>
            <w:tcW w:w="658" w:type="pct"/>
            <w:gridSpan w:val="2"/>
            <w:tcBorders>
              <w:top w:val="nil"/>
              <w:left w:val="nil"/>
              <w:bottom w:val="single" w:sz="4" w:space="0" w:color="auto"/>
              <w:right w:val="single" w:sz="4" w:space="0" w:color="auto"/>
            </w:tcBorders>
            <w:shd w:val="clear" w:color="auto" w:fill="auto"/>
            <w:noWrap/>
            <w:vAlign w:val="bottom"/>
          </w:tcPr>
          <w:p w14:paraId="4A0ECFFC" w14:textId="43A2E8C6" w:rsidR="00E263F4" w:rsidRPr="00E263F4" w:rsidRDefault="00E263F4" w:rsidP="00E263F4">
            <w:pPr>
              <w:spacing w:before="0" w:after="0" w:line="240" w:lineRule="auto"/>
              <w:jc w:val="center"/>
              <w:rPr>
                <w:color w:val="auto"/>
                <w:sz w:val="20"/>
                <w:szCs w:val="20"/>
              </w:rPr>
            </w:pPr>
            <w:r w:rsidRPr="00E263F4">
              <w:rPr>
                <w:color w:val="000000"/>
                <w:sz w:val="22"/>
                <w:szCs w:val="22"/>
              </w:rPr>
              <w:t>192</w:t>
            </w:r>
          </w:p>
        </w:tc>
        <w:tc>
          <w:tcPr>
            <w:tcW w:w="660" w:type="pct"/>
            <w:gridSpan w:val="2"/>
            <w:tcBorders>
              <w:top w:val="nil"/>
              <w:left w:val="nil"/>
              <w:bottom w:val="single" w:sz="4" w:space="0" w:color="auto"/>
              <w:right w:val="single" w:sz="4" w:space="0" w:color="auto"/>
            </w:tcBorders>
            <w:shd w:val="clear" w:color="auto" w:fill="auto"/>
            <w:noWrap/>
            <w:vAlign w:val="bottom"/>
          </w:tcPr>
          <w:p w14:paraId="354DD675" w14:textId="5BC8D58F" w:rsidR="00E263F4" w:rsidRPr="00E263F4" w:rsidRDefault="00E263F4" w:rsidP="00E263F4">
            <w:pPr>
              <w:spacing w:before="0" w:after="0" w:line="240" w:lineRule="auto"/>
              <w:jc w:val="center"/>
              <w:rPr>
                <w:color w:val="auto"/>
                <w:sz w:val="20"/>
                <w:szCs w:val="20"/>
              </w:rPr>
            </w:pPr>
            <w:r w:rsidRPr="00E263F4">
              <w:rPr>
                <w:color w:val="000000"/>
                <w:sz w:val="22"/>
                <w:szCs w:val="22"/>
              </w:rPr>
              <w:t>225</w:t>
            </w:r>
          </w:p>
        </w:tc>
        <w:tc>
          <w:tcPr>
            <w:tcW w:w="545" w:type="pct"/>
            <w:gridSpan w:val="2"/>
            <w:tcBorders>
              <w:top w:val="nil"/>
              <w:left w:val="nil"/>
              <w:bottom w:val="single" w:sz="4" w:space="0" w:color="auto"/>
              <w:right w:val="single" w:sz="4" w:space="0" w:color="auto"/>
            </w:tcBorders>
            <w:shd w:val="clear" w:color="auto" w:fill="auto"/>
            <w:noWrap/>
            <w:vAlign w:val="bottom"/>
          </w:tcPr>
          <w:p w14:paraId="06290D2A" w14:textId="42B5C2CA" w:rsidR="00E263F4" w:rsidRPr="00E263F4" w:rsidRDefault="00E263F4" w:rsidP="00E263F4">
            <w:pPr>
              <w:spacing w:before="0" w:after="0" w:line="240" w:lineRule="auto"/>
              <w:jc w:val="center"/>
              <w:rPr>
                <w:color w:val="auto"/>
                <w:sz w:val="20"/>
                <w:szCs w:val="20"/>
              </w:rPr>
            </w:pPr>
            <w:r w:rsidRPr="00E263F4">
              <w:rPr>
                <w:color w:val="000000"/>
                <w:sz w:val="22"/>
                <w:szCs w:val="22"/>
              </w:rPr>
              <w:t>179</w:t>
            </w:r>
          </w:p>
        </w:tc>
        <w:tc>
          <w:tcPr>
            <w:tcW w:w="548" w:type="pct"/>
            <w:tcBorders>
              <w:top w:val="nil"/>
              <w:left w:val="nil"/>
              <w:bottom w:val="single" w:sz="4" w:space="0" w:color="auto"/>
              <w:right w:val="single" w:sz="4" w:space="0" w:color="auto"/>
            </w:tcBorders>
            <w:shd w:val="clear" w:color="auto" w:fill="auto"/>
            <w:noWrap/>
            <w:vAlign w:val="bottom"/>
          </w:tcPr>
          <w:p w14:paraId="6FEAC2BF" w14:textId="51FE922E" w:rsidR="00E263F4" w:rsidRPr="00E263F4" w:rsidRDefault="00E263F4" w:rsidP="00E263F4">
            <w:pPr>
              <w:spacing w:before="0" w:after="0" w:line="240" w:lineRule="auto"/>
              <w:jc w:val="center"/>
              <w:rPr>
                <w:color w:val="auto"/>
                <w:sz w:val="20"/>
                <w:szCs w:val="20"/>
              </w:rPr>
            </w:pPr>
            <w:r w:rsidRPr="00E263F4">
              <w:rPr>
                <w:color w:val="000000"/>
                <w:sz w:val="22"/>
                <w:szCs w:val="22"/>
              </w:rPr>
              <w:t>156</w:t>
            </w:r>
          </w:p>
        </w:tc>
        <w:tc>
          <w:tcPr>
            <w:tcW w:w="697" w:type="pct"/>
            <w:gridSpan w:val="2"/>
            <w:tcBorders>
              <w:top w:val="nil"/>
              <w:left w:val="nil"/>
              <w:bottom w:val="single" w:sz="4" w:space="0" w:color="auto"/>
              <w:right w:val="single" w:sz="4" w:space="0" w:color="auto"/>
            </w:tcBorders>
            <w:shd w:val="clear" w:color="auto" w:fill="auto"/>
            <w:noWrap/>
            <w:vAlign w:val="bottom"/>
          </w:tcPr>
          <w:p w14:paraId="1C3E05F6" w14:textId="2E3ABD89" w:rsidR="00E263F4" w:rsidRPr="00E263F4" w:rsidRDefault="00E263F4" w:rsidP="00E263F4">
            <w:pPr>
              <w:spacing w:before="0" w:after="0" w:line="240" w:lineRule="auto"/>
              <w:jc w:val="center"/>
              <w:rPr>
                <w:color w:val="auto"/>
                <w:sz w:val="20"/>
                <w:szCs w:val="20"/>
              </w:rPr>
            </w:pPr>
            <w:r w:rsidRPr="00E263F4">
              <w:rPr>
                <w:color w:val="000000"/>
                <w:sz w:val="22"/>
                <w:szCs w:val="22"/>
              </w:rPr>
              <w:t>174</w:t>
            </w:r>
          </w:p>
        </w:tc>
        <w:tc>
          <w:tcPr>
            <w:tcW w:w="690" w:type="pct"/>
            <w:gridSpan w:val="2"/>
            <w:tcBorders>
              <w:top w:val="nil"/>
              <w:left w:val="nil"/>
              <w:bottom w:val="single" w:sz="4" w:space="0" w:color="auto"/>
              <w:right w:val="single" w:sz="4" w:space="0" w:color="auto"/>
            </w:tcBorders>
            <w:shd w:val="clear" w:color="auto" w:fill="auto"/>
            <w:noWrap/>
            <w:vAlign w:val="bottom"/>
          </w:tcPr>
          <w:p w14:paraId="1277697D" w14:textId="1E860DE8" w:rsidR="00E263F4" w:rsidRPr="00E263F4" w:rsidRDefault="00E263F4" w:rsidP="00E263F4">
            <w:pPr>
              <w:spacing w:before="0" w:after="0" w:line="240" w:lineRule="auto"/>
              <w:jc w:val="center"/>
              <w:rPr>
                <w:color w:val="auto"/>
                <w:sz w:val="20"/>
                <w:szCs w:val="20"/>
              </w:rPr>
            </w:pPr>
            <w:r w:rsidRPr="00E263F4">
              <w:rPr>
                <w:color w:val="000000"/>
                <w:sz w:val="22"/>
                <w:szCs w:val="22"/>
              </w:rPr>
              <w:t>184</w:t>
            </w:r>
          </w:p>
        </w:tc>
      </w:tr>
      <w:tr w:rsidR="00E263F4" w:rsidRPr="00E263F4" w14:paraId="1E3491B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1030851" w14:textId="77777777" w:rsidR="00E263F4" w:rsidRPr="00E263F4" w:rsidRDefault="00E263F4" w:rsidP="00E263F4">
            <w:pPr>
              <w:spacing w:before="0" w:after="0" w:line="240" w:lineRule="auto"/>
              <w:rPr>
                <w:color w:val="auto"/>
                <w:sz w:val="20"/>
                <w:szCs w:val="20"/>
              </w:rPr>
            </w:pPr>
            <w:r w:rsidRPr="00E263F4">
              <w:rPr>
                <w:color w:val="auto"/>
                <w:sz w:val="20"/>
                <w:szCs w:val="20"/>
              </w:rPr>
              <w:t>11</w:t>
            </w:r>
          </w:p>
        </w:tc>
        <w:tc>
          <w:tcPr>
            <w:tcW w:w="658" w:type="pct"/>
            <w:gridSpan w:val="2"/>
            <w:tcBorders>
              <w:top w:val="nil"/>
              <w:left w:val="nil"/>
              <w:bottom w:val="single" w:sz="4" w:space="0" w:color="auto"/>
              <w:right w:val="single" w:sz="4" w:space="0" w:color="auto"/>
            </w:tcBorders>
            <w:shd w:val="clear" w:color="auto" w:fill="auto"/>
            <w:noWrap/>
            <w:vAlign w:val="bottom"/>
          </w:tcPr>
          <w:p w14:paraId="0C62D981" w14:textId="17D04EA8" w:rsidR="00E263F4" w:rsidRPr="00E263F4" w:rsidRDefault="00E263F4" w:rsidP="00E263F4">
            <w:pPr>
              <w:spacing w:before="0" w:after="0" w:line="240" w:lineRule="auto"/>
              <w:jc w:val="center"/>
              <w:rPr>
                <w:color w:val="auto"/>
                <w:sz w:val="20"/>
                <w:szCs w:val="20"/>
              </w:rPr>
            </w:pPr>
            <w:r w:rsidRPr="00E263F4">
              <w:rPr>
                <w:color w:val="000000"/>
                <w:sz w:val="22"/>
                <w:szCs w:val="22"/>
              </w:rPr>
              <w:t>284</w:t>
            </w:r>
          </w:p>
        </w:tc>
        <w:tc>
          <w:tcPr>
            <w:tcW w:w="660" w:type="pct"/>
            <w:gridSpan w:val="2"/>
            <w:tcBorders>
              <w:top w:val="nil"/>
              <w:left w:val="nil"/>
              <w:bottom w:val="single" w:sz="4" w:space="0" w:color="auto"/>
              <w:right w:val="single" w:sz="4" w:space="0" w:color="auto"/>
            </w:tcBorders>
            <w:shd w:val="clear" w:color="auto" w:fill="auto"/>
            <w:noWrap/>
            <w:vAlign w:val="bottom"/>
          </w:tcPr>
          <w:p w14:paraId="473EE7AE" w14:textId="2D66408D" w:rsidR="00E263F4" w:rsidRPr="00E263F4" w:rsidRDefault="00E263F4" w:rsidP="00E263F4">
            <w:pPr>
              <w:spacing w:before="0" w:after="0" w:line="240" w:lineRule="auto"/>
              <w:jc w:val="center"/>
              <w:rPr>
                <w:color w:val="auto"/>
                <w:sz w:val="20"/>
                <w:szCs w:val="20"/>
              </w:rPr>
            </w:pPr>
            <w:r w:rsidRPr="00E263F4">
              <w:rPr>
                <w:color w:val="000000"/>
                <w:sz w:val="22"/>
                <w:szCs w:val="22"/>
              </w:rPr>
              <w:t>255</w:t>
            </w:r>
          </w:p>
        </w:tc>
        <w:tc>
          <w:tcPr>
            <w:tcW w:w="545" w:type="pct"/>
            <w:gridSpan w:val="2"/>
            <w:tcBorders>
              <w:top w:val="nil"/>
              <w:left w:val="nil"/>
              <w:bottom w:val="single" w:sz="4" w:space="0" w:color="auto"/>
              <w:right w:val="single" w:sz="4" w:space="0" w:color="auto"/>
            </w:tcBorders>
            <w:shd w:val="clear" w:color="auto" w:fill="auto"/>
            <w:noWrap/>
            <w:vAlign w:val="bottom"/>
          </w:tcPr>
          <w:p w14:paraId="534AD26E" w14:textId="46C71992" w:rsidR="00E263F4" w:rsidRPr="00E263F4" w:rsidRDefault="00E263F4" w:rsidP="00E263F4">
            <w:pPr>
              <w:spacing w:before="0" w:after="0" w:line="240" w:lineRule="auto"/>
              <w:jc w:val="center"/>
              <w:rPr>
                <w:color w:val="auto"/>
                <w:sz w:val="20"/>
                <w:szCs w:val="20"/>
              </w:rPr>
            </w:pPr>
            <w:r w:rsidRPr="00E263F4">
              <w:rPr>
                <w:color w:val="000000"/>
                <w:sz w:val="22"/>
                <w:szCs w:val="22"/>
              </w:rPr>
              <w:t>299</w:t>
            </w:r>
          </w:p>
        </w:tc>
        <w:tc>
          <w:tcPr>
            <w:tcW w:w="548" w:type="pct"/>
            <w:tcBorders>
              <w:top w:val="nil"/>
              <w:left w:val="nil"/>
              <w:bottom w:val="single" w:sz="4" w:space="0" w:color="auto"/>
              <w:right w:val="single" w:sz="4" w:space="0" w:color="auto"/>
            </w:tcBorders>
            <w:shd w:val="clear" w:color="auto" w:fill="auto"/>
            <w:noWrap/>
            <w:vAlign w:val="bottom"/>
          </w:tcPr>
          <w:p w14:paraId="7877A617" w14:textId="5F2CC04B" w:rsidR="00E263F4" w:rsidRPr="00E263F4" w:rsidRDefault="00E263F4" w:rsidP="00E263F4">
            <w:pPr>
              <w:spacing w:before="0" w:after="0" w:line="240" w:lineRule="auto"/>
              <w:jc w:val="center"/>
              <w:rPr>
                <w:color w:val="auto"/>
                <w:sz w:val="20"/>
                <w:szCs w:val="20"/>
              </w:rPr>
            </w:pPr>
            <w:r w:rsidRPr="00E263F4">
              <w:rPr>
                <w:color w:val="000000"/>
                <w:sz w:val="22"/>
                <w:szCs w:val="22"/>
              </w:rPr>
              <w:t>206</w:t>
            </w:r>
          </w:p>
        </w:tc>
        <w:tc>
          <w:tcPr>
            <w:tcW w:w="697" w:type="pct"/>
            <w:gridSpan w:val="2"/>
            <w:tcBorders>
              <w:top w:val="nil"/>
              <w:left w:val="nil"/>
              <w:bottom w:val="single" w:sz="4" w:space="0" w:color="auto"/>
              <w:right w:val="single" w:sz="4" w:space="0" w:color="auto"/>
            </w:tcBorders>
            <w:shd w:val="clear" w:color="auto" w:fill="auto"/>
            <w:noWrap/>
            <w:vAlign w:val="bottom"/>
          </w:tcPr>
          <w:p w14:paraId="212BC249" w14:textId="52D9D74F" w:rsidR="00E263F4" w:rsidRPr="00E263F4" w:rsidRDefault="00E263F4" w:rsidP="00E263F4">
            <w:pPr>
              <w:spacing w:before="0" w:after="0" w:line="240" w:lineRule="auto"/>
              <w:jc w:val="center"/>
              <w:rPr>
                <w:color w:val="auto"/>
                <w:sz w:val="20"/>
                <w:szCs w:val="20"/>
              </w:rPr>
            </w:pPr>
            <w:r w:rsidRPr="00E263F4">
              <w:rPr>
                <w:color w:val="000000"/>
                <w:sz w:val="22"/>
                <w:szCs w:val="22"/>
              </w:rPr>
              <w:t>248</w:t>
            </w:r>
          </w:p>
        </w:tc>
        <w:tc>
          <w:tcPr>
            <w:tcW w:w="690" w:type="pct"/>
            <w:gridSpan w:val="2"/>
            <w:tcBorders>
              <w:top w:val="nil"/>
              <w:left w:val="nil"/>
              <w:bottom w:val="single" w:sz="4" w:space="0" w:color="auto"/>
              <w:right w:val="single" w:sz="4" w:space="0" w:color="auto"/>
            </w:tcBorders>
            <w:shd w:val="clear" w:color="auto" w:fill="auto"/>
            <w:noWrap/>
            <w:vAlign w:val="bottom"/>
          </w:tcPr>
          <w:p w14:paraId="26C91CCC" w14:textId="0A25D848" w:rsidR="00E263F4" w:rsidRPr="00E263F4" w:rsidRDefault="00E263F4" w:rsidP="00E263F4">
            <w:pPr>
              <w:spacing w:before="0" w:after="0" w:line="240" w:lineRule="auto"/>
              <w:jc w:val="center"/>
              <w:rPr>
                <w:color w:val="auto"/>
                <w:sz w:val="20"/>
                <w:szCs w:val="20"/>
              </w:rPr>
            </w:pPr>
            <w:r w:rsidRPr="00E263F4">
              <w:rPr>
                <w:color w:val="000000"/>
                <w:sz w:val="22"/>
                <w:szCs w:val="22"/>
              </w:rPr>
              <w:t>213</w:t>
            </w:r>
          </w:p>
        </w:tc>
      </w:tr>
      <w:tr w:rsidR="00E263F4" w:rsidRPr="00E263F4" w14:paraId="747F2FB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CBCBED7" w14:textId="77777777" w:rsidR="00E263F4" w:rsidRPr="00E263F4" w:rsidRDefault="00E263F4" w:rsidP="00E263F4">
            <w:pPr>
              <w:spacing w:before="0" w:after="0" w:line="240" w:lineRule="auto"/>
              <w:rPr>
                <w:color w:val="auto"/>
                <w:sz w:val="20"/>
                <w:szCs w:val="20"/>
              </w:rPr>
            </w:pPr>
            <w:r w:rsidRPr="00E263F4">
              <w:rPr>
                <w:color w:val="auto"/>
                <w:sz w:val="20"/>
                <w:szCs w:val="20"/>
              </w:rPr>
              <w:t>12</w:t>
            </w:r>
          </w:p>
        </w:tc>
        <w:tc>
          <w:tcPr>
            <w:tcW w:w="658" w:type="pct"/>
            <w:gridSpan w:val="2"/>
            <w:tcBorders>
              <w:top w:val="nil"/>
              <w:left w:val="nil"/>
              <w:bottom w:val="single" w:sz="4" w:space="0" w:color="auto"/>
              <w:right w:val="single" w:sz="4" w:space="0" w:color="auto"/>
            </w:tcBorders>
            <w:shd w:val="clear" w:color="auto" w:fill="auto"/>
            <w:noWrap/>
            <w:vAlign w:val="bottom"/>
          </w:tcPr>
          <w:p w14:paraId="2FF20656" w14:textId="68E6E8D1" w:rsidR="00E263F4" w:rsidRPr="00E263F4" w:rsidRDefault="00E263F4" w:rsidP="00E263F4">
            <w:pPr>
              <w:spacing w:before="0" w:after="0" w:line="240" w:lineRule="auto"/>
              <w:jc w:val="center"/>
              <w:rPr>
                <w:color w:val="auto"/>
                <w:sz w:val="20"/>
                <w:szCs w:val="20"/>
              </w:rPr>
            </w:pPr>
            <w:r w:rsidRPr="00E263F4">
              <w:rPr>
                <w:color w:val="000000"/>
                <w:sz w:val="22"/>
                <w:szCs w:val="22"/>
              </w:rPr>
              <w:t>255</w:t>
            </w:r>
          </w:p>
        </w:tc>
        <w:tc>
          <w:tcPr>
            <w:tcW w:w="660" w:type="pct"/>
            <w:gridSpan w:val="2"/>
            <w:tcBorders>
              <w:top w:val="nil"/>
              <w:left w:val="nil"/>
              <w:bottom w:val="single" w:sz="4" w:space="0" w:color="auto"/>
              <w:right w:val="single" w:sz="4" w:space="0" w:color="auto"/>
            </w:tcBorders>
            <w:shd w:val="clear" w:color="auto" w:fill="auto"/>
            <w:noWrap/>
            <w:vAlign w:val="bottom"/>
          </w:tcPr>
          <w:p w14:paraId="72E9EEFA" w14:textId="7D7E8FA2" w:rsidR="00E263F4" w:rsidRPr="00E263F4" w:rsidRDefault="00E263F4" w:rsidP="00E263F4">
            <w:pPr>
              <w:spacing w:before="0" w:after="0" w:line="240" w:lineRule="auto"/>
              <w:jc w:val="center"/>
              <w:rPr>
                <w:color w:val="auto"/>
                <w:sz w:val="20"/>
                <w:szCs w:val="20"/>
              </w:rPr>
            </w:pPr>
            <w:r w:rsidRPr="00E263F4">
              <w:rPr>
                <w:color w:val="000000"/>
                <w:sz w:val="22"/>
                <w:szCs w:val="22"/>
              </w:rPr>
              <w:t>215</w:t>
            </w:r>
          </w:p>
        </w:tc>
        <w:tc>
          <w:tcPr>
            <w:tcW w:w="545" w:type="pct"/>
            <w:gridSpan w:val="2"/>
            <w:tcBorders>
              <w:top w:val="nil"/>
              <w:left w:val="nil"/>
              <w:bottom w:val="single" w:sz="4" w:space="0" w:color="auto"/>
              <w:right w:val="single" w:sz="4" w:space="0" w:color="auto"/>
            </w:tcBorders>
            <w:shd w:val="clear" w:color="auto" w:fill="auto"/>
            <w:noWrap/>
            <w:vAlign w:val="bottom"/>
          </w:tcPr>
          <w:p w14:paraId="1381CF94" w14:textId="7B5947C3" w:rsidR="00E263F4" w:rsidRPr="00E263F4" w:rsidRDefault="00E263F4" w:rsidP="00E263F4">
            <w:pPr>
              <w:spacing w:before="0" w:after="0" w:line="240" w:lineRule="auto"/>
              <w:jc w:val="center"/>
              <w:rPr>
                <w:color w:val="auto"/>
                <w:sz w:val="20"/>
                <w:szCs w:val="20"/>
              </w:rPr>
            </w:pPr>
            <w:r w:rsidRPr="00E263F4">
              <w:rPr>
                <w:color w:val="000000"/>
                <w:sz w:val="22"/>
                <w:szCs w:val="22"/>
              </w:rPr>
              <w:t>273</w:t>
            </w:r>
          </w:p>
        </w:tc>
        <w:tc>
          <w:tcPr>
            <w:tcW w:w="548" w:type="pct"/>
            <w:tcBorders>
              <w:top w:val="nil"/>
              <w:left w:val="nil"/>
              <w:bottom w:val="single" w:sz="4" w:space="0" w:color="auto"/>
              <w:right w:val="single" w:sz="4" w:space="0" w:color="auto"/>
            </w:tcBorders>
            <w:shd w:val="clear" w:color="auto" w:fill="auto"/>
            <w:noWrap/>
            <w:vAlign w:val="bottom"/>
          </w:tcPr>
          <w:p w14:paraId="760523D3" w14:textId="2B23053E" w:rsidR="00E263F4" w:rsidRPr="00E263F4" w:rsidRDefault="00E263F4" w:rsidP="00E263F4">
            <w:pPr>
              <w:spacing w:before="0" w:after="0" w:line="240" w:lineRule="auto"/>
              <w:jc w:val="center"/>
              <w:rPr>
                <w:color w:val="auto"/>
                <w:sz w:val="20"/>
                <w:szCs w:val="20"/>
              </w:rPr>
            </w:pPr>
            <w:r w:rsidRPr="00E263F4">
              <w:rPr>
                <w:color w:val="000000"/>
                <w:sz w:val="22"/>
                <w:szCs w:val="22"/>
              </w:rPr>
              <w:t>189</w:t>
            </w:r>
          </w:p>
        </w:tc>
        <w:tc>
          <w:tcPr>
            <w:tcW w:w="697" w:type="pct"/>
            <w:gridSpan w:val="2"/>
            <w:tcBorders>
              <w:top w:val="nil"/>
              <w:left w:val="nil"/>
              <w:bottom w:val="single" w:sz="4" w:space="0" w:color="auto"/>
              <w:right w:val="single" w:sz="4" w:space="0" w:color="auto"/>
            </w:tcBorders>
            <w:shd w:val="clear" w:color="auto" w:fill="auto"/>
            <w:noWrap/>
            <w:vAlign w:val="bottom"/>
          </w:tcPr>
          <w:p w14:paraId="3E3C454C" w14:textId="798CE9AC" w:rsidR="00E263F4" w:rsidRPr="00E263F4" w:rsidRDefault="00E263F4" w:rsidP="00E263F4">
            <w:pPr>
              <w:spacing w:before="0" w:after="0" w:line="240" w:lineRule="auto"/>
              <w:jc w:val="center"/>
              <w:rPr>
                <w:color w:val="auto"/>
                <w:sz w:val="20"/>
                <w:szCs w:val="20"/>
              </w:rPr>
            </w:pPr>
            <w:r w:rsidRPr="00E263F4">
              <w:rPr>
                <w:color w:val="000000"/>
                <w:sz w:val="22"/>
                <w:szCs w:val="22"/>
              </w:rPr>
              <w:t>202</w:t>
            </w:r>
          </w:p>
        </w:tc>
        <w:tc>
          <w:tcPr>
            <w:tcW w:w="690" w:type="pct"/>
            <w:gridSpan w:val="2"/>
            <w:tcBorders>
              <w:top w:val="nil"/>
              <w:left w:val="nil"/>
              <w:bottom w:val="single" w:sz="4" w:space="0" w:color="auto"/>
              <w:right w:val="single" w:sz="4" w:space="0" w:color="auto"/>
            </w:tcBorders>
            <w:shd w:val="clear" w:color="auto" w:fill="auto"/>
            <w:noWrap/>
            <w:vAlign w:val="bottom"/>
          </w:tcPr>
          <w:p w14:paraId="293B40F7" w14:textId="2DED56A2" w:rsidR="00E263F4" w:rsidRPr="00E263F4" w:rsidRDefault="00E263F4" w:rsidP="00E263F4">
            <w:pPr>
              <w:spacing w:before="0" w:after="0" w:line="240" w:lineRule="auto"/>
              <w:jc w:val="center"/>
              <w:rPr>
                <w:color w:val="auto"/>
                <w:sz w:val="20"/>
                <w:szCs w:val="20"/>
              </w:rPr>
            </w:pPr>
            <w:r w:rsidRPr="00E263F4">
              <w:rPr>
                <w:color w:val="000000"/>
                <w:sz w:val="22"/>
                <w:szCs w:val="22"/>
              </w:rPr>
              <w:t>185</w:t>
            </w:r>
          </w:p>
        </w:tc>
      </w:tr>
      <w:tr w:rsidR="00E263F4" w:rsidRPr="00E263F4" w14:paraId="028636C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B9A97D9" w14:textId="77777777" w:rsidR="00E263F4" w:rsidRPr="00E263F4" w:rsidRDefault="00E263F4" w:rsidP="00E263F4">
            <w:pPr>
              <w:spacing w:before="0" w:after="0" w:line="240" w:lineRule="auto"/>
              <w:rPr>
                <w:color w:val="auto"/>
                <w:sz w:val="20"/>
                <w:szCs w:val="20"/>
              </w:rPr>
            </w:pPr>
            <w:r w:rsidRPr="00E263F4">
              <w:rPr>
                <w:color w:val="auto"/>
                <w:sz w:val="20"/>
                <w:szCs w:val="20"/>
              </w:rPr>
              <w:t>13</w:t>
            </w:r>
          </w:p>
        </w:tc>
        <w:tc>
          <w:tcPr>
            <w:tcW w:w="658" w:type="pct"/>
            <w:gridSpan w:val="2"/>
            <w:tcBorders>
              <w:top w:val="nil"/>
              <w:left w:val="nil"/>
              <w:bottom w:val="single" w:sz="4" w:space="0" w:color="auto"/>
              <w:right w:val="single" w:sz="4" w:space="0" w:color="auto"/>
            </w:tcBorders>
            <w:shd w:val="clear" w:color="auto" w:fill="auto"/>
            <w:noWrap/>
            <w:vAlign w:val="bottom"/>
          </w:tcPr>
          <w:p w14:paraId="34C03759" w14:textId="0521551B" w:rsidR="00E263F4" w:rsidRPr="00E263F4" w:rsidRDefault="00E263F4" w:rsidP="00E263F4">
            <w:pPr>
              <w:spacing w:before="0" w:after="0" w:line="240" w:lineRule="auto"/>
              <w:jc w:val="center"/>
              <w:rPr>
                <w:color w:val="auto"/>
                <w:sz w:val="20"/>
                <w:szCs w:val="20"/>
              </w:rPr>
            </w:pPr>
            <w:r w:rsidRPr="00E263F4">
              <w:rPr>
                <w:color w:val="000000"/>
                <w:sz w:val="22"/>
                <w:szCs w:val="22"/>
              </w:rPr>
              <w:t>271</w:t>
            </w:r>
          </w:p>
        </w:tc>
        <w:tc>
          <w:tcPr>
            <w:tcW w:w="660" w:type="pct"/>
            <w:gridSpan w:val="2"/>
            <w:tcBorders>
              <w:top w:val="nil"/>
              <w:left w:val="nil"/>
              <w:bottom w:val="single" w:sz="4" w:space="0" w:color="auto"/>
              <w:right w:val="single" w:sz="4" w:space="0" w:color="auto"/>
            </w:tcBorders>
            <w:shd w:val="clear" w:color="auto" w:fill="auto"/>
            <w:noWrap/>
            <w:vAlign w:val="bottom"/>
          </w:tcPr>
          <w:p w14:paraId="4D18312A" w14:textId="6ACA8E86" w:rsidR="00E263F4" w:rsidRPr="00E263F4" w:rsidRDefault="00E263F4" w:rsidP="00E263F4">
            <w:pPr>
              <w:spacing w:before="0" w:after="0" w:line="240" w:lineRule="auto"/>
              <w:jc w:val="center"/>
              <w:rPr>
                <w:color w:val="auto"/>
                <w:sz w:val="20"/>
                <w:szCs w:val="20"/>
              </w:rPr>
            </w:pPr>
            <w:r w:rsidRPr="00E263F4">
              <w:rPr>
                <w:color w:val="000000"/>
                <w:sz w:val="22"/>
                <w:szCs w:val="22"/>
              </w:rPr>
              <w:t>267</w:t>
            </w:r>
          </w:p>
        </w:tc>
        <w:tc>
          <w:tcPr>
            <w:tcW w:w="545" w:type="pct"/>
            <w:gridSpan w:val="2"/>
            <w:tcBorders>
              <w:top w:val="nil"/>
              <w:left w:val="nil"/>
              <w:bottom w:val="single" w:sz="4" w:space="0" w:color="auto"/>
              <w:right w:val="single" w:sz="4" w:space="0" w:color="auto"/>
            </w:tcBorders>
            <w:shd w:val="clear" w:color="auto" w:fill="auto"/>
            <w:noWrap/>
            <w:vAlign w:val="bottom"/>
          </w:tcPr>
          <w:p w14:paraId="3422FE50" w14:textId="77CAA0D7" w:rsidR="00E263F4" w:rsidRPr="00E263F4" w:rsidRDefault="00E263F4" w:rsidP="00E263F4">
            <w:pPr>
              <w:spacing w:before="0" w:after="0" w:line="240" w:lineRule="auto"/>
              <w:jc w:val="center"/>
              <w:rPr>
                <w:color w:val="auto"/>
                <w:sz w:val="20"/>
                <w:szCs w:val="20"/>
              </w:rPr>
            </w:pPr>
            <w:r w:rsidRPr="00E263F4">
              <w:rPr>
                <w:color w:val="000000"/>
                <w:sz w:val="22"/>
                <w:szCs w:val="22"/>
              </w:rPr>
              <w:t>269</w:t>
            </w:r>
          </w:p>
        </w:tc>
        <w:tc>
          <w:tcPr>
            <w:tcW w:w="548" w:type="pct"/>
            <w:tcBorders>
              <w:top w:val="nil"/>
              <w:left w:val="nil"/>
              <w:bottom w:val="single" w:sz="4" w:space="0" w:color="auto"/>
              <w:right w:val="single" w:sz="4" w:space="0" w:color="auto"/>
            </w:tcBorders>
            <w:shd w:val="clear" w:color="auto" w:fill="auto"/>
            <w:noWrap/>
            <w:vAlign w:val="bottom"/>
          </w:tcPr>
          <w:p w14:paraId="3D8305AD" w14:textId="3389432E" w:rsidR="00E263F4" w:rsidRPr="00E263F4" w:rsidRDefault="00E263F4" w:rsidP="00E263F4">
            <w:pPr>
              <w:spacing w:before="0" w:after="0" w:line="240" w:lineRule="auto"/>
              <w:jc w:val="center"/>
              <w:rPr>
                <w:color w:val="auto"/>
                <w:sz w:val="20"/>
                <w:szCs w:val="20"/>
              </w:rPr>
            </w:pPr>
            <w:r w:rsidRPr="00E263F4">
              <w:rPr>
                <w:color w:val="000000"/>
                <w:sz w:val="22"/>
                <w:szCs w:val="22"/>
              </w:rPr>
              <w:t>210</w:t>
            </w:r>
          </w:p>
        </w:tc>
        <w:tc>
          <w:tcPr>
            <w:tcW w:w="697" w:type="pct"/>
            <w:gridSpan w:val="2"/>
            <w:tcBorders>
              <w:top w:val="nil"/>
              <w:left w:val="nil"/>
              <w:bottom w:val="single" w:sz="4" w:space="0" w:color="auto"/>
              <w:right w:val="single" w:sz="4" w:space="0" w:color="auto"/>
            </w:tcBorders>
            <w:shd w:val="clear" w:color="auto" w:fill="auto"/>
            <w:noWrap/>
            <w:vAlign w:val="bottom"/>
          </w:tcPr>
          <w:p w14:paraId="667D83AE" w14:textId="33E304EB" w:rsidR="00E263F4" w:rsidRPr="00E263F4" w:rsidRDefault="00E263F4" w:rsidP="00E263F4">
            <w:pPr>
              <w:spacing w:before="0" w:after="0" w:line="240" w:lineRule="auto"/>
              <w:jc w:val="center"/>
              <w:rPr>
                <w:color w:val="auto"/>
                <w:sz w:val="20"/>
                <w:szCs w:val="20"/>
              </w:rPr>
            </w:pPr>
            <w:r w:rsidRPr="00E263F4">
              <w:rPr>
                <w:color w:val="000000"/>
                <w:sz w:val="22"/>
                <w:szCs w:val="22"/>
              </w:rPr>
              <w:t>238</w:t>
            </w:r>
          </w:p>
        </w:tc>
        <w:tc>
          <w:tcPr>
            <w:tcW w:w="690" w:type="pct"/>
            <w:gridSpan w:val="2"/>
            <w:tcBorders>
              <w:top w:val="nil"/>
              <w:left w:val="nil"/>
              <w:bottom w:val="single" w:sz="4" w:space="0" w:color="auto"/>
              <w:right w:val="single" w:sz="4" w:space="0" w:color="auto"/>
            </w:tcBorders>
            <w:shd w:val="clear" w:color="auto" w:fill="auto"/>
            <w:noWrap/>
            <w:vAlign w:val="bottom"/>
          </w:tcPr>
          <w:p w14:paraId="78318F23" w14:textId="2740709B" w:rsidR="00E263F4" w:rsidRPr="00E263F4" w:rsidRDefault="00E263F4" w:rsidP="00E263F4">
            <w:pPr>
              <w:spacing w:before="0" w:after="0" w:line="240" w:lineRule="auto"/>
              <w:jc w:val="center"/>
              <w:rPr>
                <w:color w:val="auto"/>
                <w:sz w:val="20"/>
                <w:szCs w:val="20"/>
              </w:rPr>
            </w:pPr>
            <w:r w:rsidRPr="00E263F4">
              <w:rPr>
                <w:color w:val="000000"/>
                <w:sz w:val="22"/>
                <w:szCs w:val="22"/>
              </w:rPr>
              <w:t>240</w:t>
            </w:r>
          </w:p>
        </w:tc>
      </w:tr>
      <w:tr w:rsidR="00E263F4" w:rsidRPr="00E263F4" w14:paraId="681BB56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A9B0C0C" w14:textId="77777777" w:rsidR="00E263F4" w:rsidRPr="00E263F4" w:rsidRDefault="00E263F4" w:rsidP="00E263F4">
            <w:pPr>
              <w:spacing w:before="0" w:after="0" w:line="240" w:lineRule="auto"/>
              <w:rPr>
                <w:color w:val="auto"/>
                <w:sz w:val="20"/>
                <w:szCs w:val="20"/>
              </w:rPr>
            </w:pPr>
            <w:r w:rsidRPr="00E263F4">
              <w:rPr>
                <w:color w:val="auto"/>
                <w:sz w:val="20"/>
                <w:szCs w:val="20"/>
              </w:rPr>
              <w:t>14</w:t>
            </w:r>
          </w:p>
        </w:tc>
        <w:tc>
          <w:tcPr>
            <w:tcW w:w="658" w:type="pct"/>
            <w:gridSpan w:val="2"/>
            <w:tcBorders>
              <w:top w:val="nil"/>
              <w:left w:val="nil"/>
              <w:bottom w:val="single" w:sz="4" w:space="0" w:color="auto"/>
              <w:right w:val="single" w:sz="4" w:space="0" w:color="auto"/>
            </w:tcBorders>
            <w:shd w:val="clear" w:color="auto" w:fill="auto"/>
            <w:noWrap/>
            <w:vAlign w:val="bottom"/>
          </w:tcPr>
          <w:p w14:paraId="392A159B" w14:textId="6E2CBDDA" w:rsidR="00E263F4" w:rsidRPr="00E263F4" w:rsidRDefault="00E263F4" w:rsidP="00E263F4">
            <w:pPr>
              <w:spacing w:before="0" w:after="0" w:line="240" w:lineRule="auto"/>
              <w:jc w:val="center"/>
              <w:rPr>
                <w:color w:val="auto"/>
                <w:sz w:val="20"/>
                <w:szCs w:val="20"/>
              </w:rPr>
            </w:pPr>
            <w:r w:rsidRPr="00E263F4">
              <w:rPr>
                <w:color w:val="000000"/>
                <w:sz w:val="22"/>
                <w:szCs w:val="22"/>
              </w:rPr>
              <w:t>191</w:t>
            </w:r>
          </w:p>
        </w:tc>
        <w:tc>
          <w:tcPr>
            <w:tcW w:w="660" w:type="pct"/>
            <w:gridSpan w:val="2"/>
            <w:tcBorders>
              <w:top w:val="nil"/>
              <w:left w:val="nil"/>
              <w:bottom w:val="single" w:sz="4" w:space="0" w:color="auto"/>
              <w:right w:val="single" w:sz="4" w:space="0" w:color="auto"/>
            </w:tcBorders>
            <w:shd w:val="clear" w:color="auto" w:fill="auto"/>
            <w:noWrap/>
            <w:vAlign w:val="bottom"/>
          </w:tcPr>
          <w:p w14:paraId="1E8BAEB5" w14:textId="457C4257" w:rsidR="00E263F4" w:rsidRPr="00E263F4" w:rsidRDefault="00E263F4" w:rsidP="00E263F4">
            <w:pPr>
              <w:spacing w:before="0" w:after="0" w:line="240" w:lineRule="auto"/>
              <w:jc w:val="center"/>
              <w:rPr>
                <w:color w:val="auto"/>
                <w:sz w:val="20"/>
                <w:szCs w:val="20"/>
              </w:rPr>
            </w:pPr>
            <w:r w:rsidRPr="00E263F4">
              <w:rPr>
                <w:color w:val="000000"/>
                <w:sz w:val="22"/>
                <w:szCs w:val="22"/>
              </w:rPr>
              <w:t>199</w:t>
            </w:r>
          </w:p>
        </w:tc>
        <w:tc>
          <w:tcPr>
            <w:tcW w:w="545" w:type="pct"/>
            <w:gridSpan w:val="2"/>
            <w:tcBorders>
              <w:top w:val="nil"/>
              <w:left w:val="nil"/>
              <w:bottom w:val="single" w:sz="4" w:space="0" w:color="auto"/>
              <w:right w:val="single" w:sz="4" w:space="0" w:color="auto"/>
            </w:tcBorders>
            <w:shd w:val="clear" w:color="auto" w:fill="auto"/>
            <w:noWrap/>
            <w:vAlign w:val="bottom"/>
          </w:tcPr>
          <w:p w14:paraId="6FBA0F99" w14:textId="4B09DE0B" w:rsidR="00E263F4" w:rsidRPr="00E263F4" w:rsidRDefault="00E263F4" w:rsidP="00E263F4">
            <w:pPr>
              <w:spacing w:before="0" w:after="0" w:line="240" w:lineRule="auto"/>
              <w:jc w:val="center"/>
              <w:rPr>
                <w:color w:val="auto"/>
                <w:sz w:val="20"/>
                <w:szCs w:val="20"/>
              </w:rPr>
            </w:pPr>
            <w:r w:rsidRPr="00E263F4">
              <w:rPr>
                <w:color w:val="000000"/>
                <w:sz w:val="22"/>
                <w:szCs w:val="22"/>
              </w:rPr>
              <w:t>210</w:t>
            </w:r>
          </w:p>
        </w:tc>
        <w:tc>
          <w:tcPr>
            <w:tcW w:w="548" w:type="pct"/>
            <w:tcBorders>
              <w:top w:val="nil"/>
              <w:left w:val="nil"/>
              <w:bottom w:val="single" w:sz="4" w:space="0" w:color="auto"/>
              <w:right w:val="single" w:sz="4" w:space="0" w:color="auto"/>
            </w:tcBorders>
            <w:shd w:val="clear" w:color="auto" w:fill="auto"/>
            <w:noWrap/>
            <w:vAlign w:val="bottom"/>
          </w:tcPr>
          <w:p w14:paraId="4FF5431D" w14:textId="54982F0D" w:rsidR="00E263F4" w:rsidRPr="00E263F4" w:rsidRDefault="00E263F4" w:rsidP="00E263F4">
            <w:pPr>
              <w:spacing w:before="0" w:after="0" w:line="240" w:lineRule="auto"/>
              <w:jc w:val="center"/>
              <w:rPr>
                <w:color w:val="auto"/>
                <w:sz w:val="20"/>
                <w:szCs w:val="20"/>
              </w:rPr>
            </w:pPr>
            <w:r w:rsidRPr="00E263F4">
              <w:rPr>
                <w:color w:val="000000"/>
                <w:sz w:val="22"/>
                <w:szCs w:val="22"/>
              </w:rPr>
              <w:t>177</w:t>
            </w:r>
          </w:p>
        </w:tc>
        <w:tc>
          <w:tcPr>
            <w:tcW w:w="697" w:type="pct"/>
            <w:gridSpan w:val="2"/>
            <w:tcBorders>
              <w:top w:val="nil"/>
              <w:left w:val="nil"/>
              <w:bottom w:val="single" w:sz="4" w:space="0" w:color="auto"/>
              <w:right w:val="single" w:sz="4" w:space="0" w:color="auto"/>
            </w:tcBorders>
            <w:shd w:val="clear" w:color="auto" w:fill="auto"/>
            <w:noWrap/>
            <w:vAlign w:val="bottom"/>
          </w:tcPr>
          <w:p w14:paraId="0F1C83FC" w14:textId="6D51E481" w:rsidR="00E263F4" w:rsidRPr="00E263F4" w:rsidRDefault="00E263F4" w:rsidP="00E263F4">
            <w:pPr>
              <w:spacing w:before="0" w:after="0" w:line="240" w:lineRule="auto"/>
              <w:jc w:val="center"/>
              <w:rPr>
                <w:color w:val="auto"/>
                <w:sz w:val="20"/>
                <w:szCs w:val="20"/>
              </w:rPr>
            </w:pPr>
            <w:r w:rsidRPr="00E263F4">
              <w:rPr>
                <w:color w:val="000000"/>
                <w:sz w:val="22"/>
                <w:szCs w:val="22"/>
              </w:rPr>
              <w:t>165</w:t>
            </w:r>
          </w:p>
        </w:tc>
        <w:tc>
          <w:tcPr>
            <w:tcW w:w="690" w:type="pct"/>
            <w:gridSpan w:val="2"/>
            <w:tcBorders>
              <w:top w:val="nil"/>
              <w:left w:val="nil"/>
              <w:bottom w:val="single" w:sz="4" w:space="0" w:color="auto"/>
              <w:right w:val="single" w:sz="4" w:space="0" w:color="auto"/>
            </w:tcBorders>
            <w:shd w:val="clear" w:color="auto" w:fill="auto"/>
            <w:noWrap/>
            <w:vAlign w:val="bottom"/>
          </w:tcPr>
          <w:p w14:paraId="540002DB" w14:textId="79B82072" w:rsidR="00E263F4" w:rsidRPr="00E263F4" w:rsidRDefault="00E263F4" w:rsidP="00E263F4">
            <w:pPr>
              <w:spacing w:before="0" w:after="0" w:line="240" w:lineRule="auto"/>
              <w:jc w:val="center"/>
              <w:rPr>
                <w:color w:val="auto"/>
                <w:sz w:val="20"/>
                <w:szCs w:val="20"/>
              </w:rPr>
            </w:pPr>
            <w:r w:rsidRPr="00E263F4">
              <w:rPr>
                <w:color w:val="000000"/>
                <w:sz w:val="22"/>
                <w:szCs w:val="22"/>
              </w:rPr>
              <w:t>176</w:t>
            </w:r>
          </w:p>
        </w:tc>
      </w:tr>
      <w:tr w:rsidR="00E263F4" w:rsidRPr="00E263F4" w14:paraId="5BEAFE0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9B85BE0" w14:textId="77777777" w:rsidR="00E263F4" w:rsidRPr="00E263F4" w:rsidRDefault="00E263F4" w:rsidP="00E263F4">
            <w:pPr>
              <w:spacing w:before="0" w:after="0" w:line="240" w:lineRule="auto"/>
              <w:rPr>
                <w:color w:val="auto"/>
                <w:sz w:val="20"/>
                <w:szCs w:val="20"/>
              </w:rPr>
            </w:pPr>
            <w:r w:rsidRPr="00E263F4">
              <w:rPr>
                <w:color w:val="auto"/>
                <w:sz w:val="20"/>
                <w:szCs w:val="20"/>
              </w:rPr>
              <w:t>15</w:t>
            </w:r>
          </w:p>
        </w:tc>
        <w:tc>
          <w:tcPr>
            <w:tcW w:w="658" w:type="pct"/>
            <w:gridSpan w:val="2"/>
            <w:tcBorders>
              <w:top w:val="nil"/>
              <w:left w:val="nil"/>
              <w:bottom w:val="single" w:sz="4" w:space="0" w:color="auto"/>
              <w:right w:val="single" w:sz="4" w:space="0" w:color="auto"/>
            </w:tcBorders>
            <w:shd w:val="clear" w:color="auto" w:fill="auto"/>
            <w:noWrap/>
            <w:vAlign w:val="bottom"/>
          </w:tcPr>
          <w:p w14:paraId="70A98381" w14:textId="27C1B1B9" w:rsidR="00E263F4" w:rsidRPr="00E263F4" w:rsidRDefault="00E263F4" w:rsidP="00E263F4">
            <w:pPr>
              <w:spacing w:before="0" w:after="0" w:line="240" w:lineRule="auto"/>
              <w:jc w:val="center"/>
              <w:rPr>
                <w:color w:val="auto"/>
                <w:sz w:val="20"/>
                <w:szCs w:val="20"/>
              </w:rPr>
            </w:pPr>
            <w:r w:rsidRPr="00E263F4">
              <w:rPr>
                <w:color w:val="000000"/>
                <w:sz w:val="22"/>
                <w:szCs w:val="22"/>
              </w:rPr>
              <w:t>225</w:t>
            </w:r>
          </w:p>
        </w:tc>
        <w:tc>
          <w:tcPr>
            <w:tcW w:w="660" w:type="pct"/>
            <w:gridSpan w:val="2"/>
            <w:tcBorders>
              <w:top w:val="nil"/>
              <w:left w:val="nil"/>
              <w:bottom w:val="single" w:sz="4" w:space="0" w:color="auto"/>
              <w:right w:val="single" w:sz="4" w:space="0" w:color="auto"/>
            </w:tcBorders>
            <w:shd w:val="clear" w:color="auto" w:fill="auto"/>
            <w:noWrap/>
            <w:vAlign w:val="bottom"/>
          </w:tcPr>
          <w:p w14:paraId="3226D19E" w14:textId="4CCBC6DF" w:rsidR="00E263F4" w:rsidRPr="00E263F4" w:rsidRDefault="00E263F4" w:rsidP="00E263F4">
            <w:pPr>
              <w:spacing w:before="0" w:after="0" w:line="240" w:lineRule="auto"/>
              <w:jc w:val="center"/>
              <w:rPr>
                <w:color w:val="auto"/>
                <w:sz w:val="20"/>
                <w:szCs w:val="20"/>
              </w:rPr>
            </w:pPr>
            <w:r w:rsidRPr="00E263F4">
              <w:rPr>
                <w:color w:val="000000"/>
                <w:sz w:val="22"/>
                <w:szCs w:val="22"/>
              </w:rPr>
              <w:t>213</w:t>
            </w:r>
          </w:p>
        </w:tc>
        <w:tc>
          <w:tcPr>
            <w:tcW w:w="545" w:type="pct"/>
            <w:gridSpan w:val="2"/>
            <w:tcBorders>
              <w:top w:val="nil"/>
              <w:left w:val="nil"/>
              <w:bottom w:val="single" w:sz="4" w:space="0" w:color="auto"/>
              <w:right w:val="single" w:sz="4" w:space="0" w:color="auto"/>
            </w:tcBorders>
            <w:shd w:val="clear" w:color="auto" w:fill="auto"/>
            <w:noWrap/>
            <w:vAlign w:val="bottom"/>
          </w:tcPr>
          <w:p w14:paraId="164467A7" w14:textId="4099297C" w:rsidR="00E263F4" w:rsidRPr="00E263F4" w:rsidRDefault="00E263F4" w:rsidP="00E263F4">
            <w:pPr>
              <w:spacing w:before="0" w:after="0" w:line="240" w:lineRule="auto"/>
              <w:jc w:val="center"/>
              <w:rPr>
                <w:color w:val="auto"/>
                <w:sz w:val="20"/>
                <w:szCs w:val="20"/>
              </w:rPr>
            </w:pPr>
            <w:r w:rsidRPr="00E263F4">
              <w:rPr>
                <w:color w:val="000000"/>
                <w:sz w:val="22"/>
                <w:szCs w:val="22"/>
              </w:rPr>
              <w:t>217</w:t>
            </w:r>
          </w:p>
        </w:tc>
        <w:tc>
          <w:tcPr>
            <w:tcW w:w="548" w:type="pct"/>
            <w:tcBorders>
              <w:top w:val="nil"/>
              <w:left w:val="nil"/>
              <w:bottom w:val="single" w:sz="4" w:space="0" w:color="auto"/>
              <w:right w:val="single" w:sz="4" w:space="0" w:color="auto"/>
            </w:tcBorders>
            <w:shd w:val="clear" w:color="auto" w:fill="auto"/>
            <w:noWrap/>
            <w:vAlign w:val="bottom"/>
          </w:tcPr>
          <w:p w14:paraId="59492F8F" w14:textId="4ED95708" w:rsidR="00E263F4" w:rsidRPr="00E263F4" w:rsidRDefault="00E263F4" w:rsidP="00E263F4">
            <w:pPr>
              <w:spacing w:before="0" w:after="0" w:line="240" w:lineRule="auto"/>
              <w:jc w:val="center"/>
              <w:rPr>
                <w:color w:val="auto"/>
                <w:sz w:val="20"/>
                <w:szCs w:val="20"/>
              </w:rPr>
            </w:pPr>
            <w:r w:rsidRPr="00E263F4">
              <w:rPr>
                <w:color w:val="000000"/>
                <w:sz w:val="22"/>
                <w:szCs w:val="22"/>
              </w:rPr>
              <w:t>169</w:t>
            </w:r>
          </w:p>
        </w:tc>
        <w:tc>
          <w:tcPr>
            <w:tcW w:w="697" w:type="pct"/>
            <w:gridSpan w:val="2"/>
            <w:tcBorders>
              <w:top w:val="nil"/>
              <w:left w:val="nil"/>
              <w:bottom w:val="single" w:sz="4" w:space="0" w:color="auto"/>
              <w:right w:val="single" w:sz="4" w:space="0" w:color="auto"/>
            </w:tcBorders>
            <w:shd w:val="clear" w:color="auto" w:fill="auto"/>
            <w:noWrap/>
            <w:vAlign w:val="bottom"/>
          </w:tcPr>
          <w:p w14:paraId="67B25C23" w14:textId="02ECB7B6" w:rsidR="00E263F4" w:rsidRPr="00E263F4" w:rsidRDefault="00E263F4" w:rsidP="00E263F4">
            <w:pPr>
              <w:spacing w:before="0" w:after="0" w:line="240" w:lineRule="auto"/>
              <w:jc w:val="center"/>
              <w:rPr>
                <w:color w:val="auto"/>
                <w:sz w:val="20"/>
                <w:szCs w:val="20"/>
              </w:rPr>
            </w:pPr>
            <w:r w:rsidRPr="00E263F4">
              <w:rPr>
                <w:color w:val="000000"/>
                <w:sz w:val="22"/>
                <w:szCs w:val="22"/>
              </w:rPr>
              <w:t>166</w:t>
            </w:r>
          </w:p>
        </w:tc>
        <w:tc>
          <w:tcPr>
            <w:tcW w:w="690" w:type="pct"/>
            <w:gridSpan w:val="2"/>
            <w:tcBorders>
              <w:top w:val="nil"/>
              <w:left w:val="nil"/>
              <w:bottom w:val="single" w:sz="4" w:space="0" w:color="auto"/>
              <w:right w:val="single" w:sz="4" w:space="0" w:color="auto"/>
            </w:tcBorders>
            <w:shd w:val="clear" w:color="auto" w:fill="auto"/>
            <w:noWrap/>
            <w:vAlign w:val="bottom"/>
          </w:tcPr>
          <w:p w14:paraId="408586BA" w14:textId="4E506083" w:rsidR="00E263F4" w:rsidRPr="00E263F4" w:rsidRDefault="00E263F4" w:rsidP="00E263F4">
            <w:pPr>
              <w:spacing w:before="0" w:after="0" w:line="240" w:lineRule="auto"/>
              <w:jc w:val="center"/>
              <w:rPr>
                <w:color w:val="auto"/>
                <w:sz w:val="20"/>
                <w:szCs w:val="20"/>
              </w:rPr>
            </w:pPr>
            <w:r w:rsidRPr="00E263F4">
              <w:rPr>
                <w:color w:val="000000"/>
                <w:sz w:val="22"/>
                <w:szCs w:val="22"/>
              </w:rPr>
              <w:t>145</w:t>
            </w:r>
          </w:p>
        </w:tc>
      </w:tr>
      <w:tr w:rsidR="00E263F4" w:rsidRPr="00E263F4" w14:paraId="36CACB1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B727532" w14:textId="77777777" w:rsidR="00E263F4" w:rsidRPr="00E263F4" w:rsidRDefault="00E263F4" w:rsidP="00E263F4">
            <w:pPr>
              <w:spacing w:before="0" w:after="0" w:line="240" w:lineRule="auto"/>
              <w:rPr>
                <w:b/>
                <w:bCs/>
                <w:color w:val="auto"/>
                <w:sz w:val="20"/>
                <w:szCs w:val="20"/>
              </w:rPr>
            </w:pPr>
            <w:r w:rsidRPr="00E263F4">
              <w:rPr>
                <w:b/>
                <w:bCs/>
                <w:color w:val="auto"/>
                <w:sz w:val="20"/>
                <w:szCs w:val="20"/>
              </w:rPr>
              <w:t xml:space="preserve">Grouped Mean </w:t>
            </w:r>
          </w:p>
        </w:tc>
        <w:tc>
          <w:tcPr>
            <w:tcW w:w="658" w:type="pct"/>
            <w:gridSpan w:val="2"/>
            <w:tcBorders>
              <w:top w:val="nil"/>
              <w:left w:val="nil"/>
              <w:bottom w:val="single" w:sz="4" w:space="0" w:color="auto"/>
              <w:right w:val="single" w:sz="4" w:space="0" w:color="auto"/>
            </w:tcBorders>
            <w:shd w:val="clear" w:color="auto" w:fill="auto"/>
            <w:noWrap/>
            <w:vAlign w:val="bottom"/>
          </w:tcPr>
          <w:p w14:paraId="3106D841" w14:textId="7C935F8D"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244</w:t>
            </w:r>
          </w:p>
        </w:tc>
        <w:tc>
          <w:tcPr>
            <w:tcW w:w="660" w:type="pct"/>
            <w:gridSpan w:val="2"/>
            <w:tcBorders>
              <w:top w:val="nil"/>
              <w:left w:val="nil"/>
              <w:bottom w:val="single" w:sz="4" w:space="0" w:color="auto"/>
              <w:right w:val="single" w:sz="4" w:space="0" w:color="auto"/>
            </w:tcBorders>
            <w:shd w:val="clear" w:color="auto" w:fill="auto"/>
            <w:noWrap/>
            <w:vAlign w:val="bottom"/>
          </w:tcPr>
          <w:p w14:paraId="6EA30E53" w14:textId="3CC58C86"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228</w:t>
            </w:r>
          </w:p>
        </w:tc>
        <w:tc>
          <w:tcPr>
            <w:tcW w:w="545" w:type="pct"/>
            <w:gridSpan w:val="2"/>
            <w:tcBorders>
              <w:top w:val="nil"/>
              <w:left w:val="nil"/>
              <w:bottom w:val="single" w:sz="4" w:space="0" w:color="auto"/>
              <w:right w:val="single" w:sz="4" w:space="0" w:color="auto"/>
            </w:tcBorders>
            <w:shd w:val="clear" w:color="auto" w:fill="auto"/>
            <w:noWrap/>
            <w:vAlign w:val="bottom"/>
          </w:tcPr>
          <w:p w14:paraId="006988C2" w14:textId="01ACC487"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237</w:t>
            </w:r>
          </w:p>
        </w:tc>
        <w:tc>
          <w:tcPr>
            <w:tcW w:w="548" w:type="pct"/>
            <w:tcBorders>
              <w:top w:val="nil"/>
              <w:left w:val="nil"/>
              <w:bottom w:val="single" w:sz="4" w:space="0" w:color="auto"/>
              <w:right w:val="single" w:sz="4" w:space="0" w:color="auto"/>
            </w:tcBorders>
            <w:shd w:val="clear" w:color="auto" w:fill="auto"/>
            <w:noWrap/>
            <w:vAlign w:val="bottom"/>
          </w:tcPr>
          <w:p w14:paraId="6BB01EAA" w14:textId="5BFC2C55"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200</w:t>
            </w:r>
          </w:p>
        </w:tc>
        <w:tc>
          <w:tcPr>
            <w:tcW w:w="697" w:type="pct"/>
            <w:gridSpan w:val="2"/>
            <w:tcBorders>
              <w:top w:val="nil"/>
              <w:left w:val="nil"/>
              <w:bottom w:val="single" w:sz="4" w:space="0" w:color="auto"/>
              <w:right w:val="single" w:sz="4" w:space="0" w:color="auto"/>
            </w:tcBorders>
            <w:shd w:val="clear" w:color="auto" w:fill="auto"/>
            <w:noWrap/>
            <w:vAlign w:val="bottom"/>
          </w:tcPr>
          <w:p w14:paraId="5E9555B2" w14:textId="743DA90C"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209</w:t>
            </w:r>
          </w:p>
        </w:tc>
        <w:tc>
          <w:tcPr>
            <w:tcW w:w="690" w:type="pct"/>
            <w:gridSpan w:val="2"/>
            <w:tcBorders>
              <w:top w:val="nil"/>
              <w:left w:val="nil"/>
              <w:bottom w:val="single" w:sz="4" w:space="0" w:color="auto"/>
              <w:right w:val="single" w:sz="4" w:space="0" w:color="auto"/>
            </w:tcBorders>
            <w:shd w:val="clear" w:color="auto" w:fill="auto"/>
            <w:noWrap/>
            <w:vAlign w:val="bottom"/>
          </w:tcPr>
          <w:p w14:paraId="22057225" w14:textId="7C8B1EFA"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206</w:t>
            </w:r>
          </w:p>
        </w:tc>
      </w:tr>
      <w:tr w:rsidR="00E263F4" w:rsidRPr="00E263F4" w14:paraId="7892D0F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2CACAA1" w14:textId="77777777" w:rsidR="00E263F4" w:rsidRPr="00E263F4" w:rsidRDefault="00E263F4" w:rsidP="00E263F4">
            <w:pPr>
              <w:spacing w:before="0" w:after="0" w:line="240" w:lineRule="auto"/>
              <w:rPr>
                <w:b/>
                <w:bCs/>
                <w:color w:val="auto"/>
                <w:sz w:val="20"/>
                <w:szCs w:val="20"/>
              </w:rPr>
            </w:pPr>
            <w:r w:rsidRPr="00E263F4">
              <w:rPr>
                <w:b/>
                <w:bCs/>
                <w:color w:val="auto"/>
                <w:sz w:val="20"/>
                <w:szCs w:val="20"/>
              </w:rPr>
              <w:t>SD</w:t>
            </w:r>
          </w:p>
        </w:tc>
        <w:tc>
          <w:tcPr>
            <w:tcW w:w="658" w:type="pct"/>
            <w:gridSpan w:val="2"/>
            <w:tcBorders>
              <w:top w:val="nil"/>
              <w:left w:val="nil"/>
              <w:bottom w:val="single" w:sz="4" w:space="0" w:color="auto"/>
              <w:right w:val="single" w:sz="4" w:space="0" w:color="auto"/>
            </w:tcBorders>
            <w:shd w:val="clear" w:color="auto" w:fill="auto"/>
            <w:noWrap/>
            <w:vAlign w:val="bottom"/>
          </w:tcPr>
          <w:p w14:paraId="68CC85E9" w14:textId="00305323"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41</w:t>
            </w:r>
          </w:p>
        </w:tc>
        <w:tc>
          <w:tcPr>
            <w:tcW w:w="660" w:type="pct"/>
            <w:gridSpan w:val="2"/>
            <w:tcBorders>
              <w:top w:val="nil"/>
              <w:left w:val="nil"/>
              <w:bottom w:val="single" w:sz="4" w:space="0" w:color="auto"/>
              <w:right w:val="single" w:sz="4" w:space="0" w:color="auto"/>
            </w:tcBorders>
            <w:shd w:val="clear" w:color="auto" w:fill="auto"/>
            <w:noWrap/>
            <w:vAlign w:val="bottom"/>
          </w:tcPr>
          <w:p w14:paraId="093A2C91" w14:textId="58F211FF"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40</w:t>
            </w:r>
          </w:p>
        </w:tc>
        <w:tc>
          <w:tcPr>
            <w:tcW w:w="545" w:type="pct"/>
            <w:gridSpan w:val="2"/>
            <w:tcBorders>
              <w:top w:val="nil"/>
              <w:left w:val="nil"/>
              <w:bottom w:val="single" w:sz="4" w:space="0" w:color="auto"/>
              <w:right w:val="single" w:sz="4" w:space="0" w:color="auto"/>
            </w:tcBorders>
            <w:shd w:val="clear" w:color="auto" w:fill="auto"/>
            <w:noWrap/>
            <w:vAlign w:val="bottom"/>
          </w:tcPr>
          <w:p w14:paraId="17CC5FE4" w14:textId="59A94AE3"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42</w:t>
            </w:r>
          </w:p>
        </w:tc>
        <w:tc>
          <w:tcPr>
            <w:tcW w:w="548" w:type="pct"/>
            <w:tcBorders>
              <w:top w:val="nil"/>
              <w:left w:val="nil"/>
              <w:bottom w:val="single" w:sz="4" w:space="0" w:color="auto"/>
              <w:right w:val="single" w:sz="4" w:space="0" w:color="auto"/>
            </w:tcBorders>
            <w:shd w:val="clear" w:color="auto" w:fill="auto"/>
            <w:noWrap/>
            <w:vAlign w:val="bottom"/>
          </w:tcPr>
          <w:p w14:paraId="16875D8F" w14:textId="4EAADA3A"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32</w:t>
            </w:r>
          </w:p>
        </w:tc>
        <w:tc>
          <w:tcPr>
            <w:tcW w:w="697" w:type="pct"/>
            <w:gridSpan w:val="2"/>
            <w:tcBorders>
              <w:top w:val="nil"/>
              <w:left w:val="nil"/>
              <w:bottom w:val="single" w:sz="4" w:space="0" w:color="auto"/>
              <w:right w:val="single" w:sz="4" w:space="0" w:color="auto"/>
            </w:tcBorders>
            <w:shd w:val="clear" w:color="auto" w:fill="auto"/>
            <w:noWrap/>
            <w:vAlign w:val="bottom"/>
          </w:tcPr>
          <w:p w14:paraId="621D0579" w14:textId="0B82D544"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31</w:t>
            </w:r>
          </w:p>
        </w:tc>
        <w:tc>
          <w:tcPr>
            <w:tcW w:w="690" w:type="pct"/>
            <w:gridSpan w:val="2"/>
            <w:tcBorders>
              <w:top w:val="nil"/>
              <w:left w:val="nil"/>
              <w:bottom w:val="single" w:sz="4" w:space="0" w:color="auto"/>
              <w:right w:val="single" w:sz="4" w:space="0" w:color="auto"/>
            </w:tcBorders>
            <w:shd w:val="clear" w:color="auto" w:fill="auto"/>
            <w:noWrap/>
            <w:vAlign w:val="bottom"/>
          </w:tcPr>
          <w:p w14:paraId="0E67DA96" w14:textId="353C3E49"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30</w:t>
            </w:r>
          </w:p>
        </w:tc>
      </w:tr>
      <w:tr w:rsidR="00D0688A" w:rsidRPr="00E263F4" w14:paraId="760274B9" w14:textId="77777777" w:rsidTr="00E263F4">
        <w:trPr>
          <w:trHeight w:val="2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5710ED" w14:textId="77777777" w:rsidR="00D0688A" w:rsidRPr="00E263F4" w:rsidRDefault="00D0688A" w:rsidP="00673CE6">
            <w:pPr>
              <w:numPr>
                <w:ilvl w:val="1"/>
                <w:numId w:val="153"/>
              </w:numPr>
              <w:spacing w:before="0" w:after="0" w:line="240" w:lineRule="auto"/>
              <w:ind w:left="247" w:hanging="247"/>
              <w:contextualSpacing/>
              <w:jc w:val="left"/>
              <w:rPr>
                <w:b/>
                <w:bCs/>
                <w:color w:val="auto"/>
                <w:sz w:val="20"/>
                <w:szCs w:val="20"/>
              </w:rPr>
            </w:pPr>
            <w:r w:rsidRPr="00E263F4">
              <w:rPr>
                <w:b/>
                <w:bCs/>
                <w:color w:val="auto"/>
                <w:sz w:val="20"/>
                <w:szCs w:val="20"/>
              </w:rPr>
              <w:t>Peak velocity (°/sec)</w:t>
            </w:r>
          </w:p>
        </w:tc>
        <w:tc>
          <w:tcPr>
            <w:tcW w:w="1858" w:type="pct"/>
            <w:gridSpan w:val="5"/>
            <w:tcBorders>
              <w:top w:val="single" w:sz="4" w:space="0" w:color="auto"/>
              <w:left w:val="nil"/>
              <w:bottom w:val="single" w:sz="4" w:space="0" w:color="auto"/>
              <w:right w:val="single" w:sz="4" w:space="0" w:color="auto"/>
            </w:tcBorders>
            <w:shd w:val="clear" w:color="auto" w:fill="auto"/>
            <w:noWrap/>
            <w:vAlign w:val="bottom"/>
            <w:hideMark/>
          </w:tcPr>
          <w:p w14:paraId="713140E4" w14:textId="3F277702" w:rsidR="00D0688A" w:rsidRPr="00E263F4" w:rsidRDefault="00D0688A" w:rsidP="00E263F4">
            <w:pPr>
              <w:spacing w:before="0" w:after="0" w:line="240" w:lineRule="auto"/>
              <w:jc w:val="center"/>
              <w:rPr>
                <w:b/>
                <w:bCs/>
                <w:color w:val="auto"/>
                <w:sz w:val="20"/>
                <w:szCs w:val="20"/>
              </w:rPr>
            </w:pPr>
            <w:r w:rsidRPr="00E263F4">
              <w:rPr>
                <w:b/>
                <w:bCs/>
                <w:color w:val="auto"/>
                <w:sz w:val="20"/>
                <w:szCs w:val="20"/>
              </w:rPr>
              <w:t>Downward saccades</w:t>
            </w:r>
          </w:p>
        </w:tc>
        <w:tc>
          <w:tcPr>
            <w:tcW w:w="1940" w:type="pct"/>
            <w:gridSpan w:val="6"/>
            <w:tcBorders>
              <w:top w:val="single" w:sz="4" w:space="0" w:color="auto"/>
              <w:left w:val="nil"/>
              <w:bottom w:val="single" w:sz="4" w:space="0" w:color="auto"/>
              <w:right w:val="single" w:sz="4" w:space="0" w:color="auto"/>
            </w:tcBorders>
            <w:shd w:val="clear" w:color="auto" w:fill="auto"/>
            <w:noWrap/>
            <w:vAlign w:val="bottom"/>
            <w:hideMark/>
          </w:tcPr>
          <w:p w14:paraId="09936125" w14:textId="635D8105" w:rsidR="00D0688A" w:rsidRPr="00E263F4" w:rsidRDefault="00D0688A" w:rsidP="00E263F4">
            <w:pPr>
              <w:spacing w:before="0" w:after="0" w:line="240" w:lineRule="auto"/>
              <w:jc w:val="center"/>
              <w:rPr>
                <w:b/>
                <w:bCs/>
                <w:color w:val="auto"/>
                <w:sz w:val="20"/>
                <w:szCs w:val="20"/>
              </w:rPr>
            </w:pPr>
            <w:r w:rsidRPr="00E263F4">
              <w:rPr>
                <w:b/>
                <w:bCs/>
                <w:color w:val="auto"/>
                <w:sz w:val="20"/>
                <w:szCs w:val="20"/>
              </w:rPr>
              <w:t>Upward saccades</w:t>
            </w:r>
          </w:p>
        </w:tc>
      </w:tr>
      <w:tr w:rsidR="00D0688A" w:rsidRPr="00E263F4" w14:paraId="0431A209"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744C475"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Young (18-39 years old)</w:t>
            </w:r>
          </w:p>
        </w:tc>
      </w:tr>
      <w:tr w:rsidR="00D0688A" w:rsidRPr="00E263F4" w14:paraId="014966E4"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7F21EB76"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535316E9" w14:textId="77777777" w:rsidR="00D0688A" w:rsidRPr="00E263F4" w:rsidRDefault="00D0688A" w:rsidP="00D0688A">
            <w:pPr>
              <w:spacing w:before="0" w:after="0" w:line="240" w:lineRule="auto"/>
              <w:rPr>
                <w:color w:val="auto"/>
                <w:sz w:val="20"/>
                <w:szCs w:val="20"/>
              </w:rPr>
            </w:pPr>
          </w:p>
          <w:p w14:paraId="35A2CB07"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58" w:type="pct"/>
            <w:gridSpan w:val="2"/>
            <w:tcBorders>
              <w:top w:val="nil"/>
              <w:left w:val="nil"/>
              <w:bottom w:val="single" w:sz="4" w:space="0" w:color="auto"/>
              <w:right w:val="single" w:sz="4" w:space="0" w:color="auto"/>
            </w:tcBorders>
            <w:shd w:val="clear" w:color="auto" w:fill="auto"/>
            <w:noWrap/>
            <w:hideMark/>
          </w:tcPr>
          <w:p w14:paraId="415391FA" w14:textId="7428A29D"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60" w:type="pct"/>
            <w:gridSpan w:val="2"/>
            <w:tcBorders>
              <w:top w:val="nil"/>
              <w:left w:val="nil"/>
              <w:bottom w:val="single" w:sz="4" w:space="0" w:color="auto"/>
              <w:right w:val="single" w:sz="4" w:space="0" w:color="auto"/>
            </w:tcBorders>
            <w:shd w:val="clear" w:color="auto" w:fill="auto"/>
            <w:noWrap/>
            <w:hideMark/>
          </w:tcPr>
          <w:p w14:paraId="3E13F3C5" w14:textId="73F79D90"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540" w:type="pct"/>
            <w:tcBorders>
              <w:top w:val="nil"/>
              <w:left w:val="nil"/>
              <w:bottom w:val="single" w:sz="4" w:space="0" w:color="auto"/>
              <w:right w:val="single" w:sz="4" w:space="0" w:color="auto"/>
            </w:tcBorders>
            <w:shd w:val="clear" w:color="auto" w:fill="auto"/>
            <w:noWrap/>
            <w:hideMark/>
          </w:tcPr>
          <w:p w14:paraId="1E7B9F24" w14:textId="176EC91D"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553" w:type="pct"/>
            <w:gridSpan w:val="2"/>
            <w:tcBorders>
              <w:top w:val="nil"/>
              <w:left w:val="nil"/>
              <w:bottom w:val="single" w:sz="4" w:space="0" w:color="auto"/>
              <w:right w:val="single" w:sz="4" w:space="0" w:color="auto"/>
            </w:tcBorders>
            <w:shd w:val="clear" w:color="auto" w:fill="auto"/>
            <w:noWrap/>
            <w:hideMark/>
          </w:tcPr>
          <w:p w14:paraId="0794E200" w14:textId="22F3C8E6"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97" w:type="pct"/>
            <w:gridSpan w:val="2"/>
            <w:tcBorders>
              <w:top w:val="nil"/>
              <w:left w:val="nil"/>
              <w:bottom w:val="single" w:sz="4" w:space="0" w:color="auto"/>
              <w:right w:val="single" w:sz="4" w:space="0" w:color="auto"/>
            </w:tcBorders>
            <w:shd w:val="clear" w:color="auto" w:fill="auto"/>
            <w:noWrap/>
            <w:hideMark/>
          </w:tcPr>
          <w:p w14:paraId="75AEDD22" w14:textId="1FE1E8BC"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90" w:type="pct"/>
            <w:gridSpan w:val="2"/>
            <w:tcBorders>
              <w:top w:val="nil"/>
              <w:left w:val="nil"/>
              <w:bottom w:val="single" w:sz="4" w:space="0" w:color="auto"/>
              <w:right w:val="single" w:sz="4" w:space="0" w:color="auto"/>
            </w:tcBorders>
            <w:shd w:val="clear" w:color="auto" w:fill="auto"/>
            <w:noWrap/>
            <w:hideMark/>
          </w:tcPr>
          <w:p w14:paraId="506657F6" w14:textId="765C7F37"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9359DC" w:rsidRPr="00E263F4" w14:paraId="3A9C12D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7FCE93B" w14:textId="77777777" w:rsidR="009359DC" w:rsidRPr="00E263F4" w:rsidRDefault="009359DC" w:rsidP="009359DC">
            <w:pPr>
              <w:spacing w:before="0" w:after="0" w:line="240" w:lineRule="auto"/>
              <w:rPr>
                <w:color w:val="auto"/>
                <w:sz w:val="20"/>
                <w:szCs w:val="20"/>
              </w:rPr>
            </w:pPr>
            <w:r w:rsidRPr="00E263F4">
              <w:rPr>
                <w:color w:val="auto"/>
                <w:sz w:val="20"/>
                <w:szCs w:val="20"/>
              </w:rPr>
              <w:t>1</w:t>
            </w:r>
          </w:p>
        </w:tc>
        <w:tc>
          <w:tcPr>
            <w:tcW w:w="658" w:type="pct"/>
            <w:gridSpan w:val="2"/>
            <w:tcBorders>
              <w:top w:val="nil"/>
              <w:left w:val="nil"/>
              <w:bottom w:val="single" w:sz="4" w:space="0" w:color="auto"/>
              <w:right w:val="single" w:sz="4" w:space="0" w:color="auto"/>
            </w:tcBorders>
            <w:shd w:val="clear" w:color="auto" w:fill="auto"/>
            <w:noWrap/>
            <w:vAlign w:val="bottom"/>
          </w:tcPr>
          <w:p w14:paraId="3C8C6350" w14:textId="78295625" w:rsidR="009359DC" w:rsidRPr="00E263F4" w:rsidRDefault="009359DC" w:rsidP="00E263F4">
            <w:pPr>
              <w:spacing w:before="0" w:after="0" w:line="240" w:lineRule="auto"/>
              <w:jc w:val="center"/>
              <w:rPr>
                <w:color w:val="auto"/>
                <w:sz w:val="20"/>
                <w:szCs w:val="20"/>
              </w:rPr>
            </w:pPr>
            <w:r w:rsidRPr="00E263F4">
              <w:rPr>
                <w:color w:val="000000"/>
                <w:sz w:val="22"/>
                <w:szCs w:val="22"/>
              </w:rPr>
              <w:t>235</w:t>
            </w:r>
          </w:p>
        </w:tc>
        <w:tc>
          <w:tcPr>
            <w:tcW w:w="660" w:type="pct"/>
            <w:gridSpan w:val="2"/>
            <w:tcBorders>
              <w:top w:val="nil"/>
              <w:left w:val="nil"/>
              <w:bottom w:val="single" w:sz="4" w:space="0" w:color="auto"/>
              <w:right w:val="single" w:sz="4" w:space="0" w:color="auto"/>
            </w:tcBorders>
            <w:shd w:val="clear" w:color="auto" w:fill="auto"/>
            <w:noWrap/>
            <w:vAlign w:val="bottom"/>
          </w:tcPr>
          <w:p w14:paraId="70CAC236" w14:textId="64DAB8C8" w:rsidR="009359DC" w:rsidRPr="00E263F4" w:rsidRDefault="009359DC" w:rsidP="00E263F4">
            <w:pPr>
              <w:spacing w:before="0" w:after="0" w:line="240" w:lineRule="auto"/>
              <w:jc w:val="center"/>
              <w:rPr>
                <w:color w:val="auto"/>
                <w:sz w:val="20"/>
                <w:szCs w:val="20"/>
              </w:rPr>
            </w:pPr>
            <w:r w:rsidRPr="00E263F4">
              <w:rPr>
                <w:color w:val="000000"/>
                <w:sz w:val="22"/>
                <w:szCs w:val="22"/>
              </w:rPr>
              <w:t>208</w:t>
            </w:r>
          </w:p>
        </w:tc>
        <w:tc>
          <w:tcPr>
            <w:tcW w:w="540" w:type="pct"/>
            <w:tcBorders>
              <w:top w:val="nil"/>
              <w:left w:val="nil"/>
              <w:bottom w:val="single" w:sz="4" w:space="0" w:color="auto"/>
              <w:right w:val="single" w:sz="4" w:space="0" w:color="auto"/>
            </w:tcBorders>
            <w:shd w:val="clear" w:color="auto" w:fill="auto"/>
            <w:noWrap/>
            <w:vAlign w:val="bottom"/>
          </w:tcPr>
          <w:p w14:paraId="2D897CC4" w14:textId="35EFCDDD" w:rsidR="009359DC" w:rsidRPr="00E263F4" w:rsidRDefault="009359DC" w:rsidP="00E263F4">
            <w:pPr>
              <w:spacing w:before="0" w:after="0" w:line="240" w:lineRule="auto"/>
              <w:jc w:val="center"/>
              <w:rPr>
                <w:color w:val="auto"/>
                <w:sz w:val="20"/>
                <w:szCs w:val="20"/>
              </w:rPr>
            </w:pPr>
            <w:r w:rsidRPr="00E263F4">
              <w:rPr>
                <w:color w:val="000000"/>
                <w:sz w:val="22"/>
                <w:szCs w:val="22"/>
              </w:rPr>
              <w:t>163</w:t>
            </w:r>
          </w:p>
        </w:tc>
        <w:tc>
          <w:tcPr>
            <w:tcW w:w="553" w:type="pct"/>
            <w:gridSpan w:val="2"/>
            <w:tcBorders>
              <w:top w:val="nil"/>
              <w:left w:val="nil"/>
              <w:bottom w:val="single" w:sz="4" w:space="0" w:color="auto"/>
              <w:right w:val="single" w:sz="4" w:space="0" w:color="auto"/>
            </w:tcBorders>
            <w:shd w:val="clear" w:color="auto" w:fill="auto"/>
            <w:noWrap/>
            <w:vAlign w:val="bottom"/>
          </w:tcPr>
          <w:p w14:paraId="0E843B74" w14:textId="4BB95EC4" w:rsidR="009359DC" w:rsidRPr="00E263F4" w:rsidRDefault="009359DC" w:rsidP="00E263F4">
            <w:pPr>
              <w:spacing w:before="0" w:after="0" w:line="240" w:lineRule="auto"/>
              <w:jc w:val="center"/>
              <w:rPr>
                <w:color w:val="auto"/>
                <w:sz w:val="20"/>
                <w:szCs w:val="20"/>
              </w:rPr>
            </w:pPr>
            <w:r w:rsidRPr="00E263F4">
              <w:rPr>
                <w:color w:val="000000"/>
                <w:sz w:val="22"/>
                <w:szCs w:val="22"/>
              </w:rPr>
              <w:t>231</w:t>
            </w:r>
          </w:p>
        </w:tc>
        <w:tc>
          <w:tcPr>
            <w:tcW w:w="697" w:type="pct"/>
            <w:gridSpan w:val="2"/>
            <w:tcBorders>
              <w:top w:val="nil"/>
              <w:left w:val="nil"/>
              <w:bottom w:val="single" w:sz="4" w:space="0" w:color="auto"/>
              <w:right w:val="single" w:sz="4" w:space="0" w:color="auto"/>
            </w:tcBorders>
            <w:shd w:val="clear" w:color="auto" w:fill="auto"/>
            <w:noWrap/>
            <w:vAlign w:val="bottom"/>
          </w:tcPr>
          <w:p w14:paraId="01E9993A" w14:textId="217569FC" w:rsidR="009359DC" w:rsidRPr="00E263F4" w:rsidRDefault="009359DC" w:rsidP="00E263F4">
            <w:pPr>
              <w:spacing w:before="0" w:after="0" w:line="240" w:lineRule="auto"/>
              <w:jc w:val="center"/>
              <w:rPr>
                <w:color w:val="auto"/>
                <w:sz w:val="20"/>
                <w:szCs w:val="20"/>
              </w:rPr>
            </w:pPr>
            <w:r w:rsidRPr="00E263F4">
              <w:rPr>
                <w:color w:val="000000"/>
                <w:sz w:val="22"/>
                <w:szCs w:val="22"/>
              </w:rPr>
              <w:t>281</w:t>
            </w:r>
          </w:p>
        </w:tc>
        <w:tc>
          <w:tcPr>
            <w:tcW w:w="690" w:type="pct"/>
            <w:gridSpan w:val="2"/>
            <w:tcBorders>
              <w:top w:val="nil"/>
              <w:left w:val="nil"/>
              <w:bottom w:val="single" w:sz="4" w:space="0" w:color="auto"/>
              <w:right w:val="single" w:sz="4" w:space="0" w:color="auto"/>
            </w:tcBorders>
            <w:shd w:val="clear" w:color="auto" w:fill="auto"/>
            <w:noWrap/>
            <w:vAlign w:val="bottom"/>
          </w:tcPr>
          <w:p w14:paraId="79A7EF81" w14:textId="306FA7CA" w:rsidR="009359DC" w:rsidRPr="00E263F4" w:rsidRDefault="009359DC" w:rsidP="00E263F4">
            <w:pPr>
              <w:spacing w:before="0" w:after="0" w:line="240" w:lineRule="auto"/>
              <w:jc w:val="center"/>
              <w:rPr>
                <w:color w:val="auto"/>
                <w:sz w:val="20"/>
                <w:szCs w:val="20"/>
              </w:rPr>
            </w:pPr>
            <w:r w:rsidRPr="00E263F4">
              <w:rPr>
                <w:color w:val="000000"/>
                <w:sz w:val="22"/>
                <w:szCs w:val="22"/>
              </w:rPr>
              <w:t>372</w:t>
            </w:r>
          </w:p>
        </w:tc>
      </w:tr>
      <w:tr w:rsidR="009359DC" w:rsidRPr="00E263F4" w14:paraId="6FC22A0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08C8187" w14:textId="77777777" w:rsidR="009359DC" w:rsidRPr="00E263F4" w:rsidRDefault="009359DC" w:rsidP="009359DC">
            <w:pPr>
              <w:spacing w:before="0" w:after="0" w:line="240" w:lineRule="auto"/>
              <w:rPr>
                <w:color w:val="auto"/>
                <w:sz w:val="20"/>
                <w:szCs w:val="20"/>
              </w:rPr>
            </w:pPr>
            <w:r w:rsidRPr="00E263F4">
              <w:rPr>
                <w:color w:val="auto"/>
                <w:sz w:val="20"/>
                <w:szCs w:val="20"/>
              </w:rPr>
              <w:t>2</w:t>
            </w:r>
          </w:p>
        </w:tc>
        <w:tc>
          <w:tcPr>
            <w:tcW w:w="658" w:type="pct"/>
            <w:gridSpan w:val="2"/>
            <w:tcBorders>
              <w:top w:val="nil"/>
              <w:left w:val="nil"/>
              <w:bottom w:val="single" w:sz="4" w:space="0" w:color="auto"/>
              <w:right w:val="single" w:sz="4" w:space="0" w:color="auto"/>
            </w:tcBorders>
            <w:shd w:val="clear" w:color="auto" w:fill="auto"/>
            <w:noWrap/>
            <w:vAlign w:val="bottom"/>
          </w:tcPr>
          <w:p w14:paraId="7951D854" w14:textId="4684AF8C" w:rsidR="009359DC" w:rsidRPr="00E263F4" w:rsidRDefault="009359DC" w:rsidP="00E263F4">
            <w:pPr>
              <w:spacing w:before="0" w:after="0" w:line="240" w:lineRule="auto"/>
              <w:jc w:val="center"/>
              <w:rPr>
                <w:color w:val="auto"/>
                <w:sz w:val="20"/>
                <w:szCs w:val="20"/>
              </w:rPr>
            </w:pPr>
            <w:r w:rsidRPr="00E263F4">
              <w:rPr>
                <w:color w:val="000000"/>
                <w:sz w:val="22"/>
                <w:szCs w:val="22"/>
              </w:rPr>
              <w:t>244</w:t>
            </w:r>
          </w:p>
        </w:tc>
        <w:tc>
          <w:tcPr>
            <w:tcW w:w="660" w:type="pct"/>
            <w:gridSpan w:val="2"/>
            <w:tcBorders>
              <w:top w:val="nil"/>
              <w:left w:val="nil"/>
              <w:bottom w:val="single" w:sz="4" w:space="0" w:color="auto"/>
              <w:right w:val="single" w:sz="4" w:space="0" w:color="auto"/>
            </w:tcBorders>
            <w:shd w:val="clear" w:color="auto" w:fill="auto"/>
            <w:noWrap/>
            <w:vAlign w:val="bottom"/>
          </w:tcPr>
          <w:p w14:paraId="53E508DF" w14:textId="6B4F6C6B" w:rsidR="009359DC" w:rsidRPr="00E263F4" w:rsidRDefault="009359DC" w:rsidP="00E263F4">
            <w:pPr>
              <w:spacing w:before="0" w:after="0" w:line="240" w:lineRule="auto"/>
              <w:jc w:val="center"/>
              <w:rPr>
                <w:color w:val="auto"/>
                <w:sz w:val="20"/>
                <w:szCs w:val="20"/>
              </w:rPr>
            </w:pPr>
            <w:r w:rsidRPr="00E263F4">
              <w:rPr>
                <w:color w:val="000000"/>
                <w:sz w:val="22"/>
                <w:szCs w:val="22"/>
              </w:rPr>
              <w:t>206</w:t>
            </w:r>
          </w:p>
        </w:tc>
        <w:tc>
          <w:tcPr>
            <w:tcW w:w="540" w:type="pct"/>
            <w:tcBorders>
              <w:top w:val="nil"/>
              <w:left w:val="nil"/>
              <w:bottom w:val="single" w:sz="4" w:space="0" w:color="auto"/>
              <w:right w:val="single" w:sz="4" w:space="0" w:color="auto"/>
            </w:tcBorders>
            <w:shd w:val="clear" w:color="auto" w:fill="auto"/>
            <w:noWrap/>
            <w:vAlign w:val="bottom"/>
          </w:tcPr>
          <w:p w14:paraId="149244AE" w14:textId="60FF278D"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c>
          <w:tcPr>
            <w:tcW w:w="553" w:type="pct"/>
            <w:gridSpan w:val="2"/>
            <w:tcBorders>
              <w:top w:val="nil"/>
              <w:left w:val="nil"/>
              <w:bottom w:val="single" w:sz="4" w:space="0" w:color="auto"/>
              <w:right w:val="single" w:sz="4" w:space="0" w:color="auto"/>
            </w:tcBorders>
            <w:shd w:val="clear" w:color="auto" w:fill="auto"/>
            <w:noWrap/>
            <w:vAlign w:val="bottom"/>
          </w:tcPr>
          <w:p w14:paraId="4A618FBE" w14:textId="379D2E9B" w:rsidR="009359DC" w:rsidRPr="00E263F4" w:rsidRDefault="009359DC" w:rsidP="00E263F4">
            <w:pPr>
              <w:spacing w:before="0" w:after="0" w:line="240" w:lineRule="auto"/>
              <w:jc w:val="center"/>
              <w:rPr>
                <w:color w:val="auto"/>
                <w:sz w:val="20"/>
                <w:szCs w:val="20"/>
              </w:rPr>
            </w:pPr>
            <w:r w:rsidRPr="00E263F4">
              <w:rPr>
                <w:color w:val="000000"/>
                <w:sz w:val="22"/>
                <w:szCs w:val="22"/>
              </w:rPr>
              <w:t>185</w:t>
            </w:r>
          </w:p>
        </w:tc>
        <w:tc>
          <w:tcPr>
            <w:tcW w:w="697" w:type="pct"/>
            <w:gridSpan w:val="2"/>
            <w:tcBorders>
              <w:top w:val="nil"/>
              <w:left w:val="nil"/>
              <w:bottom w:val="single" w:sz="4" w:space="0" w:color="auto"/>
              <w:right w:val="single" w:sz="4" w:space="0" w:color="auto"/>
            </w:tcBorders>
            <w:shd w:val="clear" w:color="auto" w:fill="auto"/>
            <w:noWrap/>
            <w:vAlign w:val="bottom"/>
          </w:tcPr>
          <w:p w14:paraId="1BD43F45" w14:textId="2411B6BE" w:rsidR="009359DC" w:rsidRPr="00E263F4" w:rsidRDefault="009359DC" w:rsidP="00E263F4">
            <w:pPr>
              <w:spacing w:before="0" w:after="0" w:line="240" w:lineRule="auto"/>
              <w:jc w:val="center"/>
              <w:rPr>
                <w:color w:val="auto"/>
                <w:sz w:val="20"/>
                <w:szCs w:val="20"/>
              </w:rPr>
            </w:pPr>
            <w:r w:rsidRPr="00E263F4">
              <w:rPr>
                <w:color w:val="000000"/>
                <w:sz w:val="22"/>
                <w:szCs w:val="22"/>
              </w:rPr>
              <w:t>240</w:t>
            </w:r>
          </w:p>
        </w:tc>
        <w:tc>
          <w:tcPr>
            <w:tcW w:w="690" w:type="pct"/>
            <w:gridSpan w:val="2"/>
            <w:tcBorders>
              <w:top w:val="nil"/>
              <w:left w:val="nil"/>
              <w:bottom w:val="single" w:sz="4" w:space="0" w:color="auto"/>
              <w:right w:val="single" w:sz="4" w:space="0" w:color="auto"/>
            </w:tcBorders>
            <w:shd w:val="clear" w:color="auto" w:fill="auto"/>
            <w:noWrap/>
            <w:vAlign w:val="bottom"/>
          </w:tcPr>
          <w:p w14:paraId="388C0C57" w14:textId="569C66F9" w:rsidR="009359DC" w:rsidRPr="00E263F4" w:rsidRDefault="009359DC" w:rsidP="00E263F4">
            <w:pPr>
              <w:spacing w:before="0" w:after="0" w:line="240" w:lineRule="auto"/>
              <w:jc w:val="center"/>
              <w:rPr>
                <w:color w:val="auto"/>
                <w:sz w:val="20"/>
                <w:szCs w:val="20"/>
              </w:rPr>
            </w:pPr>
            <w:r w:rsidRPr="00E263F4">
              <w:rPr>
                <w:color w:val="000000"/>
                <w:sz w:val="22"/>
                <w:szCs w:val="22"/>
              </w:rPr>
              <w:t>284</w:t>
            </w:r>
          </w:p>
        </w:tc>
      </w:tr>
      <w:tr w:rsidR="009359DC" w:rsidRPr="00E263F4" w14:paraId="419620F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6D2AF14" w14:textId="77777777" w:rsidR="009359DC" w:rsidRPr="00E263F4" w:rsidRDefault="009359DC" w:rsidP="009359DC">
            <w:pPr>
              <w:spacing w:before="0" w:after="0" w:line="240" w:lineRule="auto"/>
              <w:rPr>
                <w:color w:val="auto"/>
                <w:sz w:val="20"/>
                <w:szCs w:val="20"/>
              </w:rPr>
            </w:pPr>
            <w:r w:rsidRPr="00E263F4">
              <w:rPr>
                <w:color w:val="auto"/>
                <w:sz w:val="20"/>
                <w:szCs w:val="20"/>
              </w:rPr>
              <w:t>3</w:t>
            </w:r>
          </w:p>
        </w:tc>
        <w:tc>
          <w:tcPr>
            <w:tcW w:w="658" w:type="pct"/>
            <w:gridSpan w:val="2"/>
            <w:tcBorders>
              <w:top w:val="nil"/>
              <w:left w:val="nil"/>
              <w:bottom w:val="single" w:sz="4" w:space="0" w:color="auto"/>
              <w:right w:val="single" w:sz="4" w:space="0" w:color="auto"/>
            </w:tcBorders>
            <w:shd w:val="clear" w:color="auto" w:fill="auto"/>
            <w:noWrap/>
            <w:vAlign w:val="bottom"/>
          </w:tcPr>
          <w:p w14:paraId="5B933AA7" w14:textId="49273107" w:rsidR="009359DC" w:rsidRPr="00E263F4" w:rsidRDefault="009359DC" w:rsidP="00E263F4">
            <w:pPr>
              <w:spacing w:before="0" w:after="0" w:line="240" w:lineRule="auto"/>
              <w:jc w:val="center"/>
              <w:rPr>
                <w:color w:val="auto"/>
                <w:sz w:val="20"/>
                <w:szCs w:val="20"/>
              </w:rPr>
            </w:pPr>
            <w:r w:rsidRPr="00E263F4">
              <w:rPr>
                <w:color w:val="000000"/>
                <w:sz w:val="22"/>
                <w:szCs w:val="22"/>
              </w:rPr>
              <w:t>332</w:t>
            </w:r>
          </w:p>
        </w:tc>
        <w:tc>
          <w:tcPr>
            <w:tcW w:w="660" w:type="pct"/>
            <w:gridSpan w:val="2"/>
            <w:tcBorders>
              <w:top w:val="nil"/>
              <w:left w:val="nil"/>
              <w:bottom w:val="single" w:sz="4" w:space="0" w:color="auto"/>
              <w:right w:val="single" w:sz="4" w:space="0" w:color="auto"/>
            </w:tcBorders>
            <w:shd w:val="clear" w:color="auto" w:fill="auto"/>
            <w:noWrap/>
            <w:vAlign w:val="bottom"/>
          </w:tcPr>
          <w:p w14:paraId="3A3DEED6" w14:textId="7F90B9D3" w:rsidR="009359DC" w:rsidRPr="00E263F4" w:rsidRDefault="009359DC" w:rsidP="00E263F4">
            <w:pPr>
              <w:spacing w:before="0" w:after="0" w:line="240" w:lineRule="auto"/>
              <w:jc w:val="center"/>
              <w:rPr>
                <w:color w:val="auto"/>
                <w:sz w:val="20"/>
                <w:szCs w:val="20"/>
              </w:rPr>
            </w:pPr>
            <w:r w:rsidRPr="00E263F4">
              <w:rPr>
                <w:color w:val="000000"/>
                <w:sz w:val="22"/>
                <w:szCs w:val="22"/>
              </w:rPr>
              <w:t>294</w:t>
            </w:r>
          </w:p>
        </w:tc>
        <w:tc>
          <w:tcPr>
            <w:tcW w:w="540" w:type="pct"/>
            <w:tcBorders>
              <w:top w:val="nil"/>
              <w:left w:val="nil"/>
              <w:bottom w:val="single" w:sz="4" w:space="0" w:color="auto"/>
              <w:right w:val="single" w:sz="4" w:space="0" w:color="auto"/>
            </w:tcBorders>
            <w:shd w:val="clear" w:color="auto" w:fill="auto"/>
            <w:noWrap/>
            <w:vAlign w:val="bottom"/>
          </w:tcPr>
          <w:p w14:paraId="75005D3C" w14:textId="6E35BD26" w:rsidR="009359DC" w:rsidRPr="00E263F4" w:rsidRDefault="009359DC" w:rsidP="00E263F4">
            <w:pPr>
              <w:spacing w:before="0" w:after="0" w:line="240" w:lineRule="auto"/>
              <w:jc w:val="center"/>
              <w:rPr>
                <w:color w:val="auto"/>
                <w:sz w:val="20"/>
                <w:szCs w:val="20"/>
              </w:rPr>
            </w:pPr>
            <w:r w:rsidRPr="00E263F4">
              <w:rPr>
                <w:color w:val="000000"/>
                <w:sz w:val="22"/>
                <w:szCs w:val="22"/>
              </w:rPr>
              <w:t>245</w:t>
            </w:r>
          </w:p>
        </w:tc>
        <w:tc>
          <w:tcPr>
            <w:tcW w:w="553" w:type="pct"/>
            <w:gridSpan w:val="2"/>
            <w:tcBorders>
              <w:top w:val="nil"/>
              <w:left w:val="nil"/>
              <w:bottom w:val="single" w:sz="4" w:space="0" w:color="auto"/>
              <w:right w:val="single" w:sz="4" w:space="0" w:color="auto"/>
            </w:tcBorders>
            <w:shd w:val="clear" w:color="auto" w:fill="auto"/>
            <w:noWrap/>
            <w:vAlign w:val="bottom"/>
          </w:tcPr>
          <w:p w14:paraId="2A05AA4E" w14:textId="1EA6516B" w:rsidR="009359DC" w:rsidRPr="00E263F4" w:rsidRDefault="009359DC" w:rsidP="00E263F4">
            <w:pPr>
              <w:spacing w:before="0" w:after="0" w:line="240" w:lineRule="auto"/>
              <w:jc w:val="center"/>
              <w:rPr>
                <w:color w:val="auto"/>
                <w:sz w:val="20"/>
                <w:szCs w:val="20"/>
              </w:rPr>
            </w:pPr>
            <w:r w:rsidRPr="00E263F4">
              <w:rPr>
                <w:color w:val="000000"/>
                <w:sz w:val="22"/>
                <w:szCs w:val="22"/>
              </w:rPr>
              <w:t>234</w:t>
            </w:r>
          </w:p>
        </w:tc>
        <w:tc>
          <w:tcPr>
            <w:tcW w:w="697" w:type="pct"/>
            <w:gridSpan w:val="2"/>
            <w:tcBorders>
              <w:top w:val="nil"/>
              <w:left w:val="nil"/>
              <w:bottom w:val="single" w:sz="4" w:space="0" w:color="auto"/>
              <w:right w:val="single" w:sz="4" w:space="0" w:color="auto"/>
            </w:tcBorders>
            <w:shd w:val="clear" w:color="auto" w:fill="auto"/>
            <w:noWrap/>
            <w:vAlign w:val="bottom"/>
          </w:tcPr>
          <w:p w14:paraId="36632E34" w14:textId="6D8E3E06" w:rsidR="009359DC" w:rsidRPr="00E263F4" w:rsidRDefault="009359DC" w:rsidP="00E263F4">
            <w:pPr>
              <w:spacing w:before="0" w:after="0" w:line="240" w:lineRule="auto"/>
              <w:jc w:val="center"/>
              <w:rPr>
                <w:color w:val="auto"/>
                <w:sz w:val="20"/>
                <w:szCs w:val="20"/>
              </w:rPr>
            </w:pPr>
            <w:r w:rsidRPr="00E263F4">
              <w:rPr>
                <w:color w:val="000000"/>
                <w:sz w:val="22"/>
                <w:szCs w:val="22"/>
              </w:rPr>
              <w:t>284</w:t>
            </w:r>
          </w:p>
        </w:tc>
        <w:tc>
          <w:tcPr>
            <w:tcW w:w="690" w:type="pct"/>
            <w:gridSpan w:val="2"/>
            <w:tcBorders>
              <w:top w:val="nil"/>
              <w:left w:val="nil"/>
              <w:bottom w:val="single" w:sz="4" w:space="0" w:color="auto"/>
              <w:right w:val="single" w:sz="4" w:space="0" w:color="auto"/>
            </w:tcBorders>
            <w:shd w:val="clear" w:color="auto" w:fill="auto"/>
            <w:noWrap/>
            <w:vAlign w:val="bottom"/>
          </w:tcPr>
          <w:p w14:paraId="15F05FC1" w14:textId="04EE6950" w:rsidR="009359DC" w:rsidRPr="00E263F4" w:rsidRDefault="009359DC" w:rsidP="00E263F4">
            <w:pPr>
              <w:spacing w:before="0" w:after="0" w:line="240" w:lineRule="auto"/>
              <w:jc w:val="center"/>
              <w:rPr>
                <w:color w:val="auto"/>
                <w:sz w:val="20"/>
                <w:szCs w:val="20"/>
              </w:rPr>
            </w:pPr>
            <w:r w:rsidRPr="00E263F4">
              <w:rPr>
                <w:color w:val="000000"/>
                <w:sz w:val="22"/>
                <w:szCs w:val="22"/>
              </w:rPr>
              <w:t>305</w:t>
            </w:r>
          </w:p>
        </w:tc>
      </w:tr>
      <w:tr w:rsidR="009359DC" w:rsidRPr="00E263F4" w14:paraId="1F6DBC7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77A8F60" w14:textId="77777777" w:rsidR="009359DC" w:rsidRPr="00E263F4" w:rsidRDefault="009359DC" w:rsidP="009359DC">
            <w:pPr>
              <w:spacing w:before="0" w:after="0" w:line="240" w:lineRule="auto"/>
              <w:rPr>
                <w:color w:val="auto"/>
                <w:sz w:val="20"/>
                <w:szCs w:val="20"/>
              </w:rPr>
            </w:pPr>
            <w:r w:rsidRPr="00E263F4">
              <w:rPr>
                <w:color w:val="auto"/>
                <w:sz w:val="20"/>
                <w:szCs w:val="20"/>
              </w:rPr>
              <w:t>4</w:t>
            </w:r>
          </w:p>
        </w:tc>
        <w:tc>
          <w:tcPr>
            <w:tcW w:w="658" w:type="pct"/>
            <w:gridSpan w:val="2"/>
            <w:tcBorders>
              <w:top w:val="nil"/>
              <w:left w:val="nil"/>
              <w:bottom w:val="single" w:sz="4" w:space="0" w:color="auto"/>
              <w:right w:val="single" w:sz="4" w:space="0" w:color="auto"/>
            </w:tcBorders>
            <w:shd w:val="clear" w:color="auto" w:fill="auto"/>
            <w:noWrap/>
            <w:vAlign w:val="bottom"/>
          </w:tcPr>
          <w:p w14:paraId="73DB16D6" w14:textId="494AE2BA" w:rsidR="009359DC" w:rsidRPr="00E263F4" w:rsidRDefault="009359DC" w:rsidP="00E263F4">
            <w:pPr>
              <w:spacing w:before="0" w:after="0" w:line="240" w:lineRule="auto"/>
              <w:jc w:val="center"/>
              <w:rPr>
                <w:color w:val="auto"/>
                <w:sz w:val="20"/>
                <w:szCs w:val="20"/>
              </w:rPr>
            </w:pPr>
            <w:r w:rsidRPr="00E263F4">
              <w:rPr>
                <w:color w:val="000000"/>
                <w:sz w:val="22"/>
                <w:szCs w:val="22"/>
              </w:rPr>
              <w:t>287</w:t>
            </w:r>
          </w:p>
        </w:tc>
        <w:tc>
          <w:tcPr>
            <w:tcW w:w="660" w:type="pct"/>
            <w:gridSpan w:val="2"/>
            <w:tcBorders>
              <w:top w:val="nil"/>
              <w:left w:val="nil"/>
              <w:bottom w:val="single" w:sz="4" w:space="0" w:color="auto"/>
              <w:right w:val="single" w:sz="4" w:space="0" w:color="auto"/>
            </w:tcBorders>
            <w:shd w:val="clear" w:color="auto" w:fill="auto"/>
            <w:noWrap/>
            <w:vAlign w:val="bottom"/>
          </w:tcPr>
          <w:p w14:paraId="3707FC17" w14:textId="58E8CA0B" w:rsidR="009359DC" w:rsidRPr="00E263F4" w:rsidRDefault="009359DC" w:rsidP="00E263F4">
            <w:pPr>
              <w:spacing w:before="0" w:after="0" w:line="240" w:lineRule="auto"/>
              <w:jc w:val="center"/>
              <w:rPr>
                <w:color w:val="auto"/>
                <w:sz w:val="20"/>
                <w:szCs w:val="20"/>
              </w:rPr>
            </w:pPr>
            <w:r w:rsidRPr="00E263F4">
              <w:rPr>
                <w:color w:val="000000"/>
                <w:sz w:val="22"/>
                <w:szCs w:val="22"/>
              </w:rPr>
              <w:t>256</w:t>
            </w:r>
          </w:p>
        </w:tc>
        <w:tc>
          <w:tcPr>
            <w:tcW w:w="540" w:type="pct"/>
            <w:tcBorders>
              <w:top w:val="nil"/>
              <w:left w:val="nil"/>
              <w:bottom w:val="single" w:sz="4" w:space="0" w:color="auto"/>
              <w:right w:val="single" w:sz="4" w:space="0" w:color="auto"/>
            </w:tcBorders>
            <w:shd w:val="clear" w:color="auto" w:fill="auto"/>
            <w:noWrap/>
            <w:vAlign w:val="bottom"/>
          </w:tcPr>
          <w:p w14:paraId="485ECB02" w14:textId="759BE4FB" w:rsidR="009359DC" w:rsidRPr="00E263F4" w:rsidRDefault="009359DC" w:rsidP="00E263F4">
            <w:pPr>
              <w:spacing w:before="0" w:after="0" w:line="240" w:lineRule="auto"/>
              <w:jc w:val="center"/>
              <w:rPr>
                <w:color w:val="auto"/>
                <w:sz w:val="20"/>
                <w:szCs w:val="20"/>
              </w:rPr>
            </w:pPr>
            <w:r w:rsidRPr="00E263F4">
              <w:rPr>
                <w:color w:val="000000"/>
                <w:sz w:val="22"/>
                <w:szCs w:val="22"/>
              </w:rPr>
              <w:t>211</w:t>
            </w:r>
          </w:p>
        </w:tc>
        <w:tc>
          <w:tcPr>
            <w:tcW w:w="553" w:type="pct"/>
            <w:gridSpan w:val="2"/>
            <w:tcBorders>
              <w:top w:val="nil"/>
              <w:left w:val="nil"/>
              <w:bottom w:val="single" w:sz="4" w:space="0" w:color="auto"/>
              <w:right w:val="single" w:sz="4" w:space="0" w:color="auto"/>
            </w:tcBorders>
            <w:shd w:val="clear" w:color="auto" w:fill="auto"/>
            <w:noWrap/>
            <w:vAlign w:val="bottom"/>
          </w:tcPr>
          <w:p w14:paraId="779EDE98" w14:textId="78AC5AFB" w:rsidR="009359DC" w:rsidRPr="00E263F4" w:rsidRDefault="009359DC" w:rsidP="00E263F4">
            <w:pPr>
              <w:spacing w:before="0" w:after="0" w:line="240" w:lineRule="auto"/>
              <w:jc w:val="center"/>
              <w:rPr>
                <w:color w:val="auto"/>
                <w:sz w:val="20"/>
                <w:szCs w:val="20"/>
              </w:rPr>
            </w:pPr>
            <w:r w:rsidRPr="00E263F4">
              <w:rPr>
                <w:color w:val="000000"/>
                <w:sz w:val="22"/>
                <w:szCs w:val="22"/>
              </w:rPr>
              <w:t>205</w:t>
            </w:r>
          </w:p>
        </w:tc>
        <w:tc>
          <w:tcPr>
            <w:tcW w:w="697" w:type="pct"/>
            <w:gridSpan w:val="2"/>
            <w:tcBorders>
              <w:top w:val="nil"/>
              <w:left w:val="nil"/>
              <w:bottom w:val="single" w:sz="4" w:space="0" w:color="auto"/>
              <w:right w:val="single" w:sz="4" w:space="0" w:color="auto"/>
            </w:tcBorders>
            <w:shd w:val="clear" w:color="auto" w:fill="auto"/>
            <w:noWrap/>
            <w:vAlign w:val="bottom"/>
          </w:tcPr>
          <w:p w14:paraId="24CE6960" w14:textId="072B3B4F" w:rsidR="009359DC" w:rsidRPr="00E263F4" w:rsidRDefault="009359DC" w:rsidP="00E263F4">
            <w:pPr>
              <w:spacing w:before="0" w:after="0" w:line="240" w:lineRule="auto"/>
              <w:jc w:val="center"/>
              <w:rPr>
                <w:color w:val="auto"/>
                <w:sz w:val="20"/>
                <w:szCs w:val="20"/>
              </w:rPr>
            </w:pPr>
            <w:r w:rsidRPr="00E263F4">
              <w:rPr>
                <w:color w:val="000000"/>
                <w:sz w:val="22"/>
                <w:szCs w:val="22"/>
              </w:rPr>
              <w:t>285</w:t>
            </w:r>
          </w:p>
        </w:tc>
        <w:tc>
          <w:tcPr>
            <w:tcW w:w="690" w:type="pct"/>
            <w:gridSpan w:val="2"/>
            <w:tcBorders>
              <w:top w:val="nil"/>
              <w:left w:val="nil"/>
              <w:bottom w:val="single" w:sz="4" w:space="0" w:color="auto"/>
              <w:right w:val="single" w:sz="4" w:space="0" w:color="auto"/>
            </w:tcBorders>
            <w:shd w:val="clear" w:color="auto" w:fill="auto"/>
            <w:noWrap/>
            <w:vAlign w:val="bottom"/>
          </w:tcPr>
          <w:p w14:paraId="1DAD60F8" w14:textId="208EFD60" w:rsidR="009359DC" w:rsidRPr="00E263F4" w:rsidRDefault="009359DC" w:rsidP="00E263F4">
            <w:pPr>
              <w:spacing w:before="0" w:after="0" w:line="240" w:lineRule="auto"/>
              <w:jc w:val="center"/>
              <w:rPr>
                <w:color w:val="auto"/>
                <w:sz w:val="20"/>
                <w:szCs w:val="20"/>
              </w:rPr>
            </w:pPr>
            <w:r w:rsidRPr="00E263F4">
              <w:rPr>
                <w:color w:val="000000"/>
                <w:sz w:val="22"/>
                <w:szCs w:val="22"/>
              </w:rPr>
              <w:t>338</w:t>
            </w:r>
          </w:p>
        </w:tc>
      </w:tr>
      <w:tr w:rsidR="009359DC" w:rsidRPr="00E263F4" w14:paraId="7252B64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FE33DA6" w14:textId="77777777" w:rsidR="009359DC" w:rsidRPr="00E263F4" w:rsidRDefault="009359DC" w:rsidP="009359DC">
            <w:pPr>
              <w:spacing w:before="0" w:after="0" w:line="240" w:lineRule="auto"/>
              <w:rPr>
                <w:color w:val="auto"/>
                <w:sz w:val="20"/>
                <w:szCs w:val="20"/>
              </w:rPr>
            </w:pPr>
            <w:r w:rsidRPr="00E263F4">
              <w:rPr>
                <w:color w:val="auto"/>
                <w:sz w:val="20"/>
                <w:szCs w:val="20"/>
              </w:rPr>
              <w:t>5</w:t>
            </w:r>
          </w:p>
        </w:tc>
        <w:tc>
          <w:tcPr>
            <w:tcW w:w="658" w:type="pct"/>
            <w:gridSpan w:val="2"/>
            <w:tcBorders>
              <w:top w:val="nil"/>
              <w:left w:val="nil"/>
              <w:bottom w:val="single" w:sz="4" w:space="0" w:color="auto"/>
              <w:right w:val="single" w:sz="4" w:space="0" w:color="auto"/>
            </w:tcBorders>
            <w:shd w:val="clear" w:color="auto" w:fill="auto"/>
            <w:noWrap/>
            <w:vAlign w:val="bottom"/>
          </w:tcPr>
          <w:p w14:paraId="5BC0FA25" w14:textId="289AFDC7"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c>
          <w:tcPr>
            <w:tcW w:w="660" w:type="pct"/>
            <w:gridSpan w:val="2"/>
            <w:tcBorders>
              <w:top w:val="nil"/>
              <w:left w:val="nil"/>
              <w:bottom w:val="single" w:sz="4" w:space="0" w:color="auto"/>
              <w:right w:val="single" w:sz="4" w:space="0" w:color="auto"/>
            </w:tcBorders>
            <w:shd w:val="clear" w:color="auto" w:fill="auto"/>
            <w:noWrap/>
            <w:vAlign w:val="bottom"/>
          </w:tcPr>
          <w:p w14:paraId="15494C6A" w14:textId="5D069415" w:rsidR="009359DC" w:rsidRPr="00E263F4" w:rsidRDefault="009359DC" w:rsidP="00E263F4">
            <w:pPr>
              <w:spacing w:before="0" w:after="0" w:line="240" w:lineRule="auto"/>
              <w:jc w:val="center"/>
              <w:rPr>
                <w:color w:val="auto"/>
                <w:sz w:val="20"/>
                <w:szCs w:val="20"/>
              </w:rPr>
            </w:pPr>
            <w:r w:rsidRPr="00E263F4">
              <w:rPr>
                <w:color w:val="000000"/>
                <w:sz w:val="22"/>
                <w:szCs w:val="22"/>
              </w:rPr>
              <w:t>150</w:t>
            </w:r>
          </w:p>
        </w:tc>
        <w:tc>
          <w:tcPr>
            <w:tcW w:w="540" w:type="pct"/>
            <w:tcBorders>
              <w:top w:val="nil"/>
              <w:left w:val="nil"/>
              <w:bottom w:val="single" w:sz="4" w:space="0" w:color="auto"/>
              <w:right w:val="single" w:sz="4" w:space="0" w:color="auto"/>
            </w:tcBorders>
            <w:shd w:val="clear" w:color="auto" w:fill="auto"/>
            <w:noWrap/>
            <w:vAlign w:val="bottom"/>
          </w:tcPr>
          <w:p w14:paraId="3805325C" w14:textId="606BCCD5" w:rsidR="009359DC" w:rsidRPr="00E263F4" w:rsidRDefault="009359DC" w:rsidP="00E263F4">
            <w:pPr>
              <w:spacing w:before="0" w:after="0" w:line="240" w:lineRule="auto"/>
              <w:jc w:val="center"/>
              <w:rPr>
                <w:color w:val="auto"/>
                <w:sz w:val="20"/>
                <w:szCs w:val="20"/>
              </w:rPr>
            </w:pPr>
            <w:r w:rsidRPr="00E263F4">
              <w:rPr>
                <w:color w:val="000000"/>
                <w:sz w:val="22"/>
                <w:szCs w:val="22"/>
              </w:rPr>
              <w:t>120</w:t>
            </w:r>
          </w:p>
        </w:tc>
        <w:tc>
          <w:tcPr>
            <w:tcW w:w="553" w:type="pct"/>
            <w:gridSpan w:val="2"/>
            <w:tcBorders>
              <w:top w:val="nil"/>
              <w:left w:val="nil"/>
              <w:bottom w:val="single" w:sz="4" w:space="0" w:color="auto"/>
              <w:right w:val="single" w:sz="4" w:space="0" w:color="auto"/>
            </w:tcBorders>
            <w:shd w:val="clear" w:color="auto" w:fill="auto"/>
            <w:noWrap/>
            <w:vAlign w:val="bottom"/>
          </w:tcPr>
          <w:p w14:paraId="3A69C193" w14:textId="229DF41A" w:rsidR="009359DC" w:rsidRPr="00E263F4" w:rsidRDefault="009359DC" w:rsidP="00E263F4">
            <w:pPr>
              <w:spacing w:before="0" w:after="0" w:line="240" w:lineRule="auto"/>
              <w:jc w:val="center"/>
              <w:rPr>
                <w:color w:val="auto"/>
                <w:sz w:val="20"/>
                <w:szCs w:val="20"/>
              </w:rPr>
            </w:pPr>
            <w:r w:rsidRPr="00E263F4">
              <w:rPr>
                <w:color w:val="000000"/>
                <w:sz w:val="22"/>
                <w:szCs w:val="22"/>
              </w:rPr>
              <w:t>169</w:t>
            </w:r>
          </w:p>
        </w:tc>
        <w:tc>
          <w:tcPr>
            <w:tcW w:w="697" w:type="pct"/>
            <w:gridSpan w:val="2"/>
            <w:tcBorders>
              <w:top w:val="nil"/>
              <w:left w:val="nil"/>
              <w:bottom w:val="single" w:sz="4" w:space="0" w:color="auto"/>
              <w:right w:val="single" w:sz="4" w:space="0" w:color="auto"/>
            </w:tcBorders>
            <w:shd w:val="clear" w:color="auto" w:fill="auto"/>
            <w:noWrap/>
            <w:vAlign w:val="bottom"/>
          </w:tcPr>
          <w:p w14:paraId="0633E931" w14:textId="20AA526D" w:rsidR="009359DC" w:rsidRPr="00E263F4" w:rsidRDefault="009359DC" w:rsidP="00E263F4">
            <w:pPr>
              <w:spacing w:before="0" w:after="0" w:line="240" w:lineRule="auto"/>
              <w:jc w:val="center"/>
              <w:rPr>
                <w:color w:val="auto"/>
                <w:sz w:val="20"/>
                <w:szCs w:val="20"/>
              </w:rPr>
            </w:pPr>
            <w:r w:rsidRPr="00E263F4">
              <w:rPr>
                <w:color w:val="000000"/>
                <w:sz w:val="22"/>
                <w:szCs w:val="22"/>
              </w:rPr>
              <w:t>209</w:t>
            </w:r>
          </w:p>
        </w:tc>
        <w:tc>
          <w:tcPr>
            <w:tcW w:w="690" w:type="pct"/>
            <w:gridSpan w:val="2"/>
            <w:tcBorders>
              <w:top w:val="nil"/>
              <w:left w:val="nil"/>
              <w:bottom w:val="single" w:sz="4" w:space="0" w:color="auto"/>
              <w:right w:val="single" w:sz="4" w:space="0" w:color="auto"/>
            </w:tcBorders>
            <w:shd w:val="clear" w:color="auto" w:fill="auto"/>
            <w:noWrap/>
            <w:vAlign w:val="bottom"/>
          </w:tcPr>
          <w:p w14:paraId="1085A68A" w14:textId="4128F64A" w:rsidR="009359DC" w:rsidRPr="00E263F4" w:rsidRDefault="009359DC" w:rsidP="00E263F4">
            <w:pPr>
              <w:spacing w:before="0" w:after="0" w:line="240" w:lineRule="auto"/>
              <w:jc w:val="center"/>
              <w:rPr>
                <w:color w:val="auto"/>
                <w:sz w:val="20"/>
                <w:szCs w:val="20"/>
              </w:rPr>
            </w:pPr>
            <w:r w:rsidRPr="00E263F4">
              <w:rPr>
                <w:color w:val="000000"/>
                <w:sz w:val="22"/>
                <w:szCs w:val="22"/>
              </w:rPr>
              <w:t>242</w:t>
            </w:r>
          </w:p>
        </w:tc>
      </w:tr>
      <w:tr w:rsidR="009359DC" w:rsidRPr="00E263F4" w14:paraId="7CD379B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A2799D5" w14:textId="77777777" w:rsidR="009359DC" w:rsidRPr="00E263F4" w:rsidRDefault="009359DC" w:rsidP="009359DC">
            <w:pPr>
              <w:spacing w:before="0" w:after="0" w:line="240" w:lineRule="auto"/>
              <w:rPr>
                <w:color w:val="auto"/>
                <w:sz w:val="20"/>
                <w:szCs w:val="20"/>
              </w:rPr>
            </w:pPr>
            <w:r w:rsidRPr="00E263F4">
              <w:rPr>
                <w:color w:val="auto"/>
                <w:sz w:val="20"/>
                <w:szCs w:val="20"/>
              </w:rPr>
              <w:t>6</w:t>
            </w:r>
          </w:p>
        </w:tc>
        <w:tc>
          <w:tcPr>
            <w:tcW w:w="658" w:type="pct"/>
            <w:gridSpan w:val="2"/>
            <w:tcBorders>
              <w:top w:val="nil"/>
              <w:left w:val="nil"/>
              <w:bottom w:val="single" w:sz="4" w:space="0" w:color="auto"/>
              <w:right w:val="single" w:sz="4" w:space="0" w:color="auto"/>
            </w:tcBorders>
            <w:shd w:val="clear" w:color="auto" w:fill="auto"/>
            <w:noWrap/>
            <w:vAlign w:val="bottom"/>
          </w:tcPr>
          <w:p w14:paraId="0C456AB5" w14:textId="5B7D54CA" w:rsidR="009359DC" w:rsidRPr="00E263F4" w:rsidRDefault="009359DC" w:rsidP="00E263F4">
            <w:pPr>
              <w:spacing w:before="0" w:after="0" w:line="240" w:lineRule="auto"/>
              <w:jc w:val="center"/>
              <w:rPr>
                <w:color w:val="auto"/>
                <w:sz w:val="20"/>
                <w:szCs w:val="20"/>
              </w:rPr>
            </w:pPr>
            <w:r w:rsidRPr="00E263F4">
              <w:rPr>
                <w:color w:val="000000"/>
                <w:sz w:val="22"/>
                <w:szCs w:val="22"/>
              </w:rPr>
              <w:t>257</w:t>
            </w:r>
          </w:p>
        </w:tc>
        <w:tc>
          <w:tcPr>
            <w:tcW w:w="660" w:type="pct"/>
            <w:gridSpan w:val="2"/>
            <w:tcBorders>
              <w:top w:val="nil"/>
              <w:left w:val="nil"/>
              <w:bottom w:val="single" w:sz="4" w:space="0" w:color="auto"/>
              <w:right w:val="single" w:sz="4" w:space="0" w:color="auto"/>
            </w:tcBorders>
            <w:shd w:val="clear" w:color="auto" w:fill="auto"/>
            <w:noWrap/>
            <w:vAlign w:val="bottom"/>
          </w:tcPr>
          <w:p w14:paraId="5E1B4B90" w14:textId="722AB667" w:rsidR="009359DC" w:rsidRPr="00E263F4" w:rsidRDefault="009359DC" w:rsidP="00E263F4">
            <w:pPr>
              <w:spacing w:before="0" w:after="0" w:line="240" w:lineRule="auto"/>
              <w:jc w:val="center"/>
              <w:rPr>
                <w:color w:val="auto"/>
                <w:sz w:val="20"/>
                <w:szCs w:val="20"/>
              </w:rPr>
            </w:pPr>
            <w:r w:rsidRPr="00E263F4">
              <w:rPr>
                <w:color w:val="000000"/>
                <w:sz w:val="22"/>
                <w:szCs w:val="22"/>
              </w:rPr>
              <w:t>215</w:t>
            </w:r>
          </w:p>
        </w:tc>
        <w:tc>
          <w:tcPr>
            <w:tcW w:w="540" w:type="pct"/>
            <w:tcBorders>
              <w:top w:val="nil"/>
              <w:left w:val="nil"/>
              <w:bottom w:val="single" w:sz="4" w:space="0" w:color="auto"/>
              <w:right w:val="single" w:sz="4" w:space="0" w:color="auto"/>
            </w:tcBorders>
            <w:shd w:val="clear" w:color="auto" w:fill="auto"/>
            <w:noWrap/>
            <w:vAlign w:val="bottom"/>
          </w:tcPr>
          <w:p w14:paraId="582EBACA" w14:textId="6BA47245" w:rsidR="009359DC" w:rsidRPr="00E263F4" w:rsidRDefault="009359DC" w:rsidP="00E263F4">
            <w:pPr>
              <w:spacing w:before="0" w:after="0" w:line="240" w:lineRule="auto"/>
              <w:jc w:val="center"/>
              <w:rPr>
                <w:color w:val="auto"/>
                <w:sz w:val="20"/>
                <w:szCs w:val="20"/>
              </w:rPr>
            </w:pPr>
            <w:r w:rsidRPr="00E263F4">
              <w:rPr>
                <w:color w:val="000000"/>
                <w:sz w:val="22"/>
                <w:szCs w:val="22"/>
              </w:rPr>
              <w:t>189</w:t>
            </w:r>
          </w:p>
        </w:tc>
        <w:tc>
          <w:tcPr>
            <w:tcW w:w="553" w:type="pct"/>
            <w:gridSpan w:val="2"/>
            <w:tcBorders>
              <w:top w:val="nil"/>
              <w:left w:val="nil"/>
              <w:bottom w:val="single" w:sz="4" w:space="0" w:color="auto"/>
              <w:right w:val="single" w:sz="4" w:space="0" w:color="auto"/>
            </w:tcBorders>
            <w:shd w:val="clear" w:color="auto" w:fill="auto"/>
            <w:noWrap/>
            <w:vAlign w:val="bottom"/>
          </w:tcPr>
          <w:p w14:paraId="13C0AB4E" w14:textId="1EC0ADCA" w:rsidR="009359DC" w:rsidRPr="00E263F4" w:rsidRDefault="009359DC" w:rsidP="00E263F4">
            <w:pPr>
              <w:spacing w:before="0" w:after="0" w:line="240" w:lineRule="auto"/>
              <w:jc w:val="center"/>
              <w:rPr>
                <w:color w:val="auto"/>
                <w:sz w:val="20"/>
                <w:szCs w:val="20"/>
              </w:rPr>
            </w:pPr>
            <w:r w:rsidRPr="00E263F4">
              <w:rPr>
                <w:color w:val="000000"/>
                <w:sz w:val="22"/>
                <w:szCs w:val="22"/>
              </w:rPr>
              <w:t>240</w:t>
            </w:r>
          </w:p>
        </w:tc>
        <w:tc>
          <w:tcPr>
            <w:tcW w:w="697" w:type="pct"/>
            <w:gridSpan w:val="2"/>
            <w:tcBorders>
              <w:top w:val="nil"/>
              <w:left w:val="nil"/>
              <w:bottom w:val="single" w:sz="4" w:space="0" w:color="auto"/>
              <w:right w:val="single" w:sz="4" w:space="0" w:color="auto"/>
            </w:tcBorders>
            <w:shd w:val="clear" w:color="auto" w:fill="auto"/>
            <w:noWrap/>
            <w:vAlign w:val="bottom"/>
          </w:tcPr>
          <w:p w14:paraId="61789398" w14:textId="60D7E770" w:rsidR="009359DC" w:rsidRPr="00E263F4" w:rsidRDefault="009359DC" w:rsidP="00E263F4">
            <w:pPr>
              <w:spacing w:before="0" w:after="0" w:line="240" w:lineRule="auto"/>
              <w:jc w:val="center"/>
              <w:rPr>
                <w:color w:val="auto"/>
                <w:sz w:val="20"/>
                <w:szCs w:val="20"/>
              </w:rPr>
            </w:pPr>
            <w:r w:rsidRPr="00E263F4">
              <w:rPr>
                <w:color w:val="000000"/>
                <w:sz w:val="22"/>
                <w:szCs w:val="22"/>
              </w:rPr>
              <w:t>267</w:t>
            </w:r>
          </w:p>
        </w:tc>
        <w:tc>
          <w:tcPr>
            <w:tcW w:w="690" w:type="pct"/>
            <w:gridSpan w:val="2"/>
            <w:tcBorders>
              <w:top w:val="nil"/>
              <w:left w:val="nil"/>
              <w:bottom w:val="single" w:sz="4" w:space="0" w:color="auto"/>
              <w:right w:val="single" w:sz="4" w:space="0" w:color="auto"/>
            </w:tcBorders>
            <w:shd w:val="clear" w:color="auto" w:fill="auto"/>
            <w:noWrap/>
            <w:vAlign w:val="bottom"/>
          </w:tcPr>
          <w:p w14:paraId="69C31A43" w14:textId="55D69159" w:rsidR="009359DC" w:rsidRPr="00E263F4" w:rsidRDefault="009359DC" w:rsidP="00E263F4">
            <w:pPr>
              <w:spacing w:before="0" w:after="0" w:line="240" w:lineRule="auto"/>
              <w:jc w:val="center"/>
              <w:rPr>
                <w:color w:val="auto"/>
                <w:sz w:val="20"/>
                <w:szCs w:val="20"/>
              </w:rPr>
            </w:pPr>
            <w:r w:rsidRPr="00E263F4">
              <w:rPr>
                <w:color w:val="000000"/>
                <w:sz w:val="22"/>
                <w:szCs w:val="22"/>
              </w:rPr>
              <w:t>313</w:t>
            </w:r>
          </w:p>
        </w:tc>
      </w:tr>
      <w:tr w:rsidR="009359DC" w:rsidRPr="00E263F4" w14:paraId="671CBBD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7F07715" w14:textId="77777777" w:rsidR="009359DC" w:rsidRPr="00E263F4" w:rsidRDefault="009359DC" w:rsidP="009359DC">
            <w:pPr>
              <w:spacing w:before="0" w:after="0" w:line="240" w:lineRule="auto"/>
              <w:rPr>
                <w:color w:val="auto"/>
                <w:sz w:val="20"/>
                <w:szCs w:val="20"/>
              </w:rPr>
            </w:pPr>
            <w:r w:rsidRPr="00E263F4">
              <w:rPr>
                <w:color w:val="auto"/>
                <w:sz w:val="20"/>
                <w:szCs w:val="20"/>
              </w:rPr>
              <w:t>7</w:t>
            </w:r>
          </w:p>
        </w:tc>
        <w:tc>
          <w:tcPr>
            <w:tcW w:w="658" w:type="pct"/>
            <w:gridSpan w:val="2"/>
            <w:tcBorders>
              <w:top w:val="nil"/>
              <w:left w:val="nil"/>
              <w:bottom w:val="single" w:sz="4" w:space="0" w:color="auto"/>
              <w:right w:val="single" w:sz="4" w:space="0" w:color="auto"/>
            </w:tcBorders>
            <w:shd w:val="clear" w:color="auto" w:fill="auto"/>
            <w:noWrap/>
            <w:vAlign w:val="bottom"/>
          </w:tcPr>
          <w:p w14:paraId="3F153D2A" w14:textId="2392DF1F" w:rsidR="009359DC" w:rsidRPr="00E263F4" w:rsidRDefault="009359DC" w:rsidP="00E263F4">
            <w:pPr>
              <w:spacing w:before="0" w:after="0" w:line="240" w:lineRule="auto"/>
              <w:jc w:val="center"/>
              <w:rPr>
                <w:color w:val="auto"/>
                <w:sz w:val="20"/>
                <w:szCs w:val="20"/>
              </w:rPr>
            </w:pPr>
            <w:r w:rsidRPr="00E263F4">
              <w:rPr>
                <w:color w:val="000000"/>
                <w:sz w:val="22"/>
                <w:szCs w:val="22"/>
              </w:rPr>
              <w:t>248</w:t>
            </w:r>
          </w:p>
        </w:tc>
        <w:tc>
          <w:tcPr>
            <w:tcW w:w="660" w:type="pct"/>
            <w:gridSpan w:val="2"/>
            <w:tcBorders>
              <w:top w:val="nil"/>
              <w:left w:val="nil"/>
              <w:bottom w:val="single" w:sz="4" w:space="0" w:color="auto"/>
              <w:right w:val="single" w:sz="4" w:space="0" w:color="auto"/>
            </w:tcBorders>
            <w:shd w:val="clear" w:color="auto" w:fill="auto"/>
            <w:noWrap/>
            <w:vAlign w:val="bottom"/>
          </w:tcPr>
          <w:p w14:paraId="2CD85A9D" w14:textId="54866F4B" w:rsidR="009359DC" w:rsidRPr="00E263F4" w:rsidRDefault="009359DC" w:rsidP="00E263F4">
            <w:pPr>
              <w:spacing w:before="0" w:after="0" w:line="240" w:lineRule="auto"/>
              <w:jc w:val="center"/>
              <w:rPr>
                <w:color w:val="auto"/>
                <w:sz w:val="20"/>
                <w:szCs w:val="20"/>
              </w:rPr>
            </w:pPr>
            <w:r w:rsidRPr="00E263F4">
              <w:rPr>
                <w:color w:val="000000"/>
                <w:sz w:val="22"/>
                <w:szCs w:val="22"/>
              </w:rPr>
              <w:t>227</w:t>
            </w:r>
          </w:p>
        </w:tc>
        <w:tc>
          <w:tcPr>
            <w:tcW w:w="540" w:type="pct"/>
            <w:tcBorders>
              <w:top w:val="nil"/>
              <w:left w:val="nil"/>
              <w:bottom w:val="single" w:sz="4" w:space="0" w:color="auto"/>
              <w:right w:val="single" w:sz="4" w:space="0" w:color="auto"/>
            </w:tcBorders>
            <w:shd w:val="clear" w:color="auto" w:fill="auto"/>
            <w:noWrap/>
            <w:vAlign w:val="bottom"/>
          </w:tcPr>
          <w:p w14:paraId="0318F129" w14:textId="44687194" w:rsidR="009359DC" w:rsidRPr="00E263F4" w:rsidRDefault="009359DC" w:rsidP="00E263F4">
            <w:pPr>
              <w:spacing w:before="0" w:after="0" w:line="240" w:lineRule="auto"/>
              <w:jc w:val="center"/>
              <w:rPr>
                <w:color w:val="auto"/>
                <w:sz w:val="20"/>
                <w:szCs w:val="20"/>
              </w:rPr>
            </w:pPr>
            <w:r w:rsidRPr="00E263F4">
              <w:rPr>
                <w:color w:val="000000"/>
                <w:sz w:val="22"/>
                <w:szCs w:val="22"/>
              </w:rPr>
              <w:t>167</w:t>
            </w:r>
          </w:p>
        </w:tc>
        <w:tc>
          <w:tcPr>
            <w:tcW w:w="553" w:type="pct"/>
            <w:gridSpan w:val="2"/>
            <w:tcBorders>
              <w:top w:val="nil"/>
              <w:left w:val="nil"/>
              <w:bottom w:val="single" w:sz="4" w:space="0" w:color="auto"/>
              <w:right w:val="single" w:sz="4" w:space="0" w:color="auto"/>
            </w:tcBorders>
            <w:shd w:val="clear" w:color="auto" w:fill="auto"/>
            <w:noWrap/>
            <w:vAlign w:val="bottom"/>
          </w:tcPr>
          <w:p w14:paraId="6EE8673E" w14:textId="75DA12BA" w:rsidR="009359DC" w:rsidRPr="00E263F4" w:rsidRDefault="009359DC" w:rsidP="00E263F4">
            <w:pPr>
              <w:spacing w:before="0" w:after="0" w:line="240" w:lineRule="auto"/>
              <w:jc w:val="center"/>
              <w:rPr>
                <w:color w:val="auto"/>
                <w:sz w:val="20"/>
                <w:szCs w:val="20"/>
              </w:rPr>
            </w:pPr>
            <w:r w:rsidRPr="00E263F4">
              <w:rPr>
                <w:color w:val="000000"/>
                <w:sz w:val="22"/>
                <w:szCs w:val="22"/>
              </w:rPr>
              <w:t>186</w:t>
            </w:r>
          </w:p>
        </w:tc>
        <w:tc>
          <w:tcPr>
            <w:tcW w:w="697" w:type="pct"/>
            <w:gridSpan w:val="2"/>
            <w:tcBorders>
              <w:top w:val="nil"/>
              <w:left w:val="nil"/>
              <w:bottom w:val="single" w:sz="4" w:space="0" w:color="auto"/>
              <w:right w:val="single" w:sz="4" w:space="0" w:color="auto"/>
            </w:tcBorders>
            <w:shd w:val="clear" w:color="auto" w:fill="auto"/>
            <w:noWrap/>
            <w:vAlign w:val="bottom"/>
          </w:tcPr>
          <w:p w14:paraId="64CD9BF3" w14:textId="4A0D7337" w:rsidR="009359DC" w:rsidRPr="00E263F4" w:rsidRDefault="009359DC" w:rsidP="00E263F4">
            <w:pPr>
              <w:spacing w:before="0" w:after="0" w:line="240" w:lineRule="auto"/>
              <w:jc w:val="center"/>
              <w:rPr>
                <w:color w:val="auto"/>
                <w:sz w:val="20"/>
                <w:szCs w:val="20"/>
              </w:rPr>
            </w:pPr>
            <w:r w:rsidRPr="00E263F4">
              <w:rPr>
                <w:color w:val="000000"/>
                <w:sz w:val="22"/>
                <w:szCs w:val="22"/>
              </w:rPr>
              <w:t>230</w:t>
            </w:r>
          </w:p>
        </w:tc>
        <w:tc>
          <w:tcPr>
            <w:tcW w:w="690" w:type="pct"/>
            <w:gridSpan w:val="2"/>
            <w:tcBorders>
              <w:top w:val="nil"/>
              <w:left w:val="nil"/>
              <w:bottom w:val="single" w:sz="4" w:space="0" w:color="auto"/>
              <w:right w:val="single" w:sz="4" w:space="0" w:color="auto"/>
            </w:tcBorders>
            <w:shd w:val="clear" w:color="auto" w:fill="auto"/>
            <w:noWrap/>
            <w:vAlign w:val="bottom"/>
          </w:tcPr>
          <w:p w14:paraId="3EE4B5BC" w14:textId="0109D263" w:rsidR="009359DC" w:rsidRPr="00E263F4" w:rsidRDefault="009359DC" w:rsidP="00E263F4">
            <w:pPr>
              <w:spacing w:before="0" w:after="0" w:line="240" w:lineRule="auto"/>
              <w:jc w:val="center"/>
              <w:rPr>
                <w:color w:val="auto"/>
                <w:sz w:val="20"/>
                <w:szCs w:val="20"/>
              </w:rPr>
            </w:pPr>
            <w:r w:rsidRPr="00E263F4">
              <w:rPr>
                <w:color w:val="000000"/>
                <w:sz w:val="22"/>
                <w:szCs w:val="22"/>
              </w:rPr>
              <w:t>262</w:t>
            </w:r>
          </w:p>
        </w:tc>
      </w:tr>
      <w:tr w:rsidR="009359DC" w:rsidRPr="00E263F4" w14:paraId="288EBDB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45E4EEA" w14:textId="77777777" w:rsidR="009359DC" w:rsidRPr="00E263F4" w:rsidRDefault="009359DC" w:rsidP="009359DC">
            <w:pPr>
              <w:spacing w:before="0" w:after="0" w:line="240" w:lineRule="auto"/>
              <w:rPr>
                <w:color w:val="auto"/>
                <w:sz w:val="20"/>
                <w:szCs w:val="20"/>
              </w:rPr>
            </w:pPr>
            <w:r w:rsidRPr="00E263F4">
              <w:rPr>
                <w:color w:val="auto"/>
                <w:sz w:val="20"/>
                <w:szCs w:val="20"/>
              </w:rPr>
              <w:t>8</w:t>
            </w:r>
          </w:p>
        </w:tc>
        <w:tc>
          <w:tcPr>
            <w:tcW w:w="658" w:type="pct"/>
            <w:gridSpan w:val="2"/>
            <w:tcBorders>
              <w:top w:val="nil"/>
              <w:left w:val="nil"/>
              <w:bottom w:val="single" w:sz="4" w:space="0" w:color="auto"/>
              <w:right w:val="single" w:sz="4" w:space="0" w:color="auto"/>
            </w:tcBorders>
            <w:shd w:val="clear" w:color="auto" w:fill="auto"/>
            <w:noWrap/>
            <w:vAlign w:val="bottom"/>
          </w:tcPr>
          <w:p w14:paraId="410648DD" w14:textId="70D8C56D" w:rsidR="009359DC" w:rsidRPr="00E263F4" w:rsidRDefault="009359DC" w:rsidP="00E263F4">
            <w:pPr>
              <w:spacing w:before="0" w:after="0" w:line="240" w:lineRule="auto"/>
              <w:jc w:val="center"/>
              <w:rPr>
                <w:color w:val="auto"/>
                <w:sz w:val="20"/>
                <w:szCs w:val="20"/>
              </w:rPr>
            </w:pPr>
            <w:r w:rsidRPr="00E263F4">
              <w:rPr>
                <w:color w:val="000000"/>
                <w:sz w:val="22"/>
                <w:szCs w:val="22"/>
              </w:rPr>
              <w:t>221</w:t>
            </w:r>
          </w:p>
        </w:tc>
        <w:tc>
          <w:tcPr>
            <w:tcW w:w="660" w:type="pct"/>
            <w:gridSpan w:val="2"/>
            <w:tcBorders>
              <w:top w:val="nil"/>
              <w:left w:val="nil"/>
              <w:bottom w:val="single" w:sz="4" w:space="0" w:color="auto"/>
              <w:right w:val="single" w:sz="4" w:space="0" w:color="auto"/>
            </w:tcBorders>
            <w:shd w:val="clear" w:color="auto" w:fill="auto"/>
            <w:noWrap/>
            <w:vAlign w:val="bottom"/>
          </w:tcPr>
          <w:p w14:paraId="292628AB" w14:textId="471ADFE8" w:rsidR="009359DC" w:rsidRPr="00E263F4" w:rsidRDefault="009359DC" w:rsidP="00E263F4">
            <w:pPr>
              <w:spacing w:before="0" w:after="0" w:line="240" w:lineRule="auto"/>
              <w:jc w:val="center"/>
              <w:rPr>
                <w:color w:val="auto"/>
                <w:sz w:val="20"/>
                <w:szCs w:val="20"/>
              </w:rPr>
            </w:pPr>
            <w:r w:rsidRPr="00E263F4">
              <w:rPr>
                <w:color w:val="000000"/>
                <w:sz w:val="22"/>
                <w:szCs w:val="22"/>
              </w:rPr>
              <w:t>201</w:t>
            </w:r>
          </w:p>
        </w:tc>
        <w:tc>
          <w:tcPr>
            <w:tcW w:w="540" w:type="pct"/>
            <w:tcBorders>
              <w:top w:val="nil"/>
              <w:left w:val="nil"/>
              <w:bottom w:val="single" w:sz="4" w:space="0" w:color="auto"/>
              <w:right w:val="single" w:sz="4" w:space="0" w:color="auto"/>
            </w:tcBorders>
            <w:shd w:val="clear" w:color="auto" w:fill="auto"/>
            <w:noWrap/>
            <w:vAlign w:val="bottom"/>
          </w:tcPr>
          <w:p w14:paraId="37F2EE8E" w14:textId="6D0CAFA7"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c>
          <w:tcPr>
            <w:tcW w:w="553" w:type="pct"/>
            <w:gridSpan w:val="2"/>
            <w:tcBorders>
              <w:top w:val="nil"/>
              <w:left w:val="nil"/>
              <w:bottom w:val="single" w:sz="4" w:space="0" w:color="auto"/>
              <w:right w:val="single" w:sz="4" w:space="0" w:color="auto"/>
            </w:tcBorders>
            <w:shd w:val="clear" w:color="auto" w:fill="auto"/>
            <w:noWrap/>
            <w:vAlign w:val="bottom"/>
          </w:tcPr>
          <w:p w14:paraId="7DB68D88" w14:textId="1ABB9AD9" w:rsidR="009359DC" w:rsidRPr="00E263F4" w:rsidRDefault="009359DC" w:rsidP="00E263F4">
            <w:pPr>
              <w:spacing w:before="0" w:after="0" w:line="240" w:lineRule="auto"/>
              <w:jc w:val="center"/>
              <w:rPr>
                <w:color w:val="auto"/>
                <w:sz w:val="20"/>
                <w:szCs w:val="20"/>
              </w:rPr>
            </w:pPr>
            <w:r w:rsidRPr="00E263F4">
              <w:rPr>
                <w:color w:val="000000"/>
                <w:sz w:val="22"/>
                <w:szCs w:val="22"/>
              </w:rPr>
              <w:t>221</w:t>
            </w:r>
          </w:p>
        </w:tc>
        <w:tc>
          <w:tcPr>
            <w:tcW w:w="697" w:type="pct"/>
            <w:gridSpan w:val="2"/>
            <w:tcBorders>
              <w:top w:val="nil"/>
              <w:left w:val="nil"/>
              <w:bottom w:val="single" w:sz="4" w:space="0" w:color="auto"/>
              <w:right w:val="single" w:sz="4" w:space="0" w:color="auto"/>
            </w:tcBorders>
            <w:shd w:val="clear" w:color="auto" w:fill="auto"/>
            <w:noWrap/>
            <w:vAlign w:val="bottom"/>
          </w:tcPr>
          <w:p w14:paraId="5F609357" w14:textId="2A303001" w:rsidR="009359DC" w:rsidRPr="00E263F4" w:rsidRDefault="009359DC" w:rsidP="00E263F4">
            <w:pPr>
              <w:spacing w:before="0" w:after="0" w:line="240" w:lineRule="auto"/>
              <w:jc w:val="center"/>
              <w:rPr>
                <w:color w:val="auto"/>
                <w:sz w:val="20"/>
                <w:szCs w:val="20"/>
              </w:rPr>
            </w:pPr>
            <w:r w:rsidRPr="00E263F4">
              <w:rPr>
                <w:color w:val="000000"/>
                <w:sz w:val="22"/>
                <w:szCs w:val="22"/>
              </w:rPr>
              <w:t>268</w:t>
            </w:r>
          </w:p>
        </w:tc>
        <w:tc>
          <w:tcPr>
            <w:tcW w:w="690" w:type="pct"/>
            <w:gridSpan w:val="2"/>
            <w:tcBorders>
              <w:top w:val="nil"/>
              <w:left w:val="nil"/>
              <w:bottom w:val="single" w:sz="4" w:space="0" w:color="auto"/>
              <w:right w:val="single" w:sz="4" w:space="0" w:color="auto"/>
            </w:tcBorders>
            <w:shd w:val="clear" w:color="auto" w:fill="auto"/>
            <w:noWrap/>
            <w:vAlign w:val="bottom"/>
          </w:tcPr>
          <w:p w14:paraId="1701510A" w14:textId="15AE608C" w:rsidR="009359DC" w:rsidRPr="00E263F4" w:rsidRDefault="009359DC" w:rsidP="00E263F4">
            <w:pPr>
              <w:spacing w:before="0" w:after="0" w:line="240" w:lineRule="auto"/>
              <w:jc w:val="center"/>
              <w:rPr>
                <w:color w:val="auto"/>
                <w:sz w:val="20"/>
                <w:szCs w:val="20"/>
              </w:rPr>
            </w:pPr>
            <w:r w:rsidRPr="00E263F4">
              <w:rPr>
                <w:color w:val="000000"/>
                <w:sz w:val="22"/>
                <w:szCs w:val="22"/>
              </w:rPr>
              <w:t>304</w:t>
            </w:r>
          </w:p>
        </w:tc>
      </w:tr>
      <w:tr w:rsidR="009359DC" w:rsidRPr="00E263F4" w14:paraId="728048A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71090C4" w14:textId="77777777" w:rsidR="009359DC" w:rsidRPr="00E263F4" w:rsidRDefault="009359DC" w:rsidP="009359DC">
            <w:pPr>
              <w:spacing w:before="0" w:after="0" w:line="240" w:lineRule="auto"/>
              <w:rPr>
                <w:color w:val="auto"/>
                <w:sz w:val="20"/>
                <w:szCs w:val="20"/>
              </w:rPr>
            </w:pPr>
            <w:r w:rsidRPr="00E263F4">
              <w:rPr>
                <w:color w:val="auto"/>
                <w:sz w:val="20"/>
                <w:szCs w:val="20"/>
              </w:rPr>
              <w:t>9</w:t>
            </w:r>
          </w:p>
        </w:tc>
        <w:tc>
          <w:tcPr>
            <w:tcW w:w="658" w:type="pct"/>
            <w:gridSpan w:val="2"/>
            <w:tcBorders>
              <w:top w:val="nil"/>
              <w:left w:val="nil"/>
              <w:bottom w:val="single" w:sz="4" w:space="0" w:color="auto"/>
              <w:right w:val="single" w:sz="4" w:space="0" w:color="auto"/>
            </w:tcBorders>
            <w:shd w:val="clear" w:color="auto" w:fill="auto"/>
            <w:noWrap/>
            <w:vAlign w:val="bottom"/>
          </w:tcPr>
          <w:p w14:paraId="218E51AC" w14:textId="5DBA8797" w:rsidR="009359DC" w:rsidRPr="00E263F4" w:rsidRDefault="009359DC" w:rsidP="00E263F4">
            <w:pPr>
              <w:spacing w:before="0" w:after="0" w:line="240" w:lineRule="auto"/>
              <w:jc w:val="center"/>
              <w:rPr>
                <w:color w:val="auto"/>
                <w:sz w:val="20"/>
                <w:szCs w:val="20"/>
              </w:rPr>
            </w:pPr>
            <w:r w:rsidRPr="00E263F4">
              <w:rPr>
                <w:color w:val="000000"/>
                <w:sz w:val="22"/>
                <w:szCs w:val="22"/>
              </w:rPr>
              <w:t>171</w:t>
            </w:r>
          </w:p>
        </w:tc>
        <w:tc>
          <w:tcPr>
            <w:tcW w:w="660" w:type="pct"/>
            <w:gridSpan w:val="2"/>
            <w:tcBorders>
              <w:top w:val="nil"/>
              <w:left w:val="nil"/>
              <w:bottom w:val="single" w:sz="4" w:space="0" w:color="auto"/>
              <w:right w:val="single" w:sz="4" w:space="0" w:color="auto"/>
            </w:tcBorders>
            <w:shd w:val="clear" w:color="auto" w:fill="auto"/>
            <w:noWrap/>
            <w:vAlign w:val="bottom"/>
          </w:tcPr>
          <w:p w14:paraId="6BDFFC3D" w14:textId="57F0968D" w:rsidR="009359DC" w:rsidRPr="00E263F4" w:rsidRDefault="009359DC" w:rsidP="00E263F4">
            <w:pPr>
              <w:spacing w:before="0" w:after="0" w:line="240" w:lineRule="auto"/>
              <w:jc w:val="center"/>
              <w:rPr>
                <w:color w:val="auto"/>
                <w:sz w:val="20"/>
                <w:szCs w:val="20"/>
              </w:rPr>
            </w:pPr>
            <w:r w:rsidRPr="00E263F4">
              <w:rPr>
                <w:color w:val="000000"/>
                <w:sz w:val="22"/>
                <w:szCs w:val="22"/>
              </w:rPr>
              <w:t>159</w:t>
            </w:r>
          </w:p>
        </w:tc>
        <w:tc>
          <w:tcPr>
            <w:tcW w:w="540" w:type="pct"/>
            <w:tcBorders>
              <w:top w:val="nil"/>
              <w:left w:val="nil"/>
              <w:bottom w:val="single" w:sz="4" w:space="0" w:color="auto"/>
              <w:right w:val="single" w:sz="4" w:space="0" w:color="auto"/>
            </w:tcBorders>
            <w:shd w:val="clear" w:color="auto" w:fill="auto"/>
            <w:noWrap/>
            <w:vAlign w:val="bottom"/>
          </w:tcPr>
          <w:p w14:paraId="0ADC9850" w14:textId="43CC923D" w:rsidR="009359DC" w:rsidRPr="00E263F4" w:rsidRDefault="009359DC" w:rsidP="00E263F4">
            <w:pPr>
              <w:spacing w:before="0" w:after="0" w:line="240" w:lineRule="auto"/>
              <w:jc w:val="center"/>
              <w:rPr>
                <w:color w:val="auto"/>
                <w:sz w:val="20"/>
                <w:szCs w:val="20"/>
              </w:rPr>
            </w:pPr>
            <w:r w:rsidRPr="00E263F4">
              <w:rPr>
                <w:color w:val="000000"/>
                <w:sz w:val="22"/>
                <w:szCs w:val="22"/>
              </w:rPr>
              <w:t>136</w:t>
            </w:r>
          </w:p>
        </w:tc>
        <w:tc>
          <w:tcPr>
            <w:tcW w:w="553" w:type="pct"/>
            <w:gridSpan w:val="2"/>
            <w:tcBorders>
              <w:top w:val="nil"/>
              <w:left w:val="nil"/>
              <w:bottom w:val="single" w:sz="4" w:space="0" w:color="auto"/>
              <w:right w:val="single" w:sz="4" w:space="0" w:color="auto"/>
            </w:tcBorders>
            <w:shd w:val="clear" w:color="auto" w:fill="auto"/>
            <w:noWrap/>
            <w:vAlign w:val="bottom"/>
          </w:tcPr>
          <w:p w14:paraId="4BCBFB1F" w14:textId="1A130109" w:rsidR="009359DC" w:rsidRPr="00E263F4" w:rsidRDefault="009359DC" w:rsidP="00E263F4">
            <w:pPr>
              <w:spacing w:before="0" w:after="0" w:line="240" w:lineRule="auto"/>
              <w:jc w:val="center"/>
              <w:rPr>
                <w:color w:val="auto"/>
                <w:sz w:val="20"/>
                <w:szCs w:val="20"/>
              </w:rPr>
            </w:pPr>
            <w:r w:rsidRPr="00E263F4">
              <w:rPr>
                <w:color w:val="000000"/>
                <w:sz w:val="22"/>
                <w:szCs w:val="22"/>
              </w:rPr>
              <w:t>161</w:t>
            </w:r>
          </w:p>
        </w:tc>
        <w:tc>
          <w:tcPr>
            <w:tcW w:w="697" w:type="pct"/>
            <w:gridSpan w:val="2"/>
            <w:tcBorders>
              <w:top w:val="nil"/>
              <w:left w:val="nil"/>
              <w:bottom w:val="single" w:sz="4" w:space="0" w:color="auto"/>
              <w:right w:val="single" w:sz="4" w:space="0" w:color="auto"/>
            </w:tcBorders>
            <w:shd w:val="clear" w:color="auto" w:fill="auto"/>
            <w:noWrap/>
            <w:vAlign w:val="bottom"/>
          </w:tcPr>
          <w:p w14:paraId="6B6DA7BB" w14:textId="661B65B2" w:rsidR="009359DC" w:rsidRPr="00E263F4" w:rsidRDefault="009359DC" w:rsidP="00E263F4">
            <w:pPr>
              <w:spacing w:before="0" w:after="0" w:line="240" w:lineRule="auto"/>
              <w:jc w:val="center"/>
              <w:rPr>
                <w:color w:val="auto"/>
                <w:sz w:val="20"/>
                <w:szCs w:val="20"/>
              </w:rPr>
            </w:pPr>
            <w:r w:rsidRPr="00E263F4">
              <w:rPr>
                <w:color w:val="000000"/>
                <w:sz w:val="22"/>
                <w:szCs w:val="22"/>
              </w:rPr>
              <w:t>189</w:t>
            </w:r>
          </w:p>
        </w:tc>
        <w:tc>
          <w:tcPr>
            <w:tcW w:w="690" w:type="pct"/>
            <w:gridSpan w:val="2"/>
            <w:tcBorders>
              <w:top w:val="nil"/>
              <w:left w:val="nil"/>
              <w:bottom w:val="single" w:sz="4" w:space="0" w:color="auto"/>
              <w:right w:val="single" w:sz="4" w:space="0" w:color="auto"/>
            </w:tcBorders>
            <w:shd w:val="clear" w:color="auto" w:fill="auto"/>
            <w:noWrap/>
            <w:vAlign w:val="bottom"/>
          </w:tcPr>
          <w:p w14:paraId="68C8981C" w14:textId="44195D0B" w:rsidR="009359DC" w:rsidRPr="00E263F4" w:rsidRDefault="009359DC" w:rsidP="00E263F4">
            <w:pPr>
              <w:spacing w:before="0" w:after="0" w:line="240" w:lineRule="auto"/>
              <w:jc w:val="center"/>
              <w:rPr>
                <w:color w:val="auto"/>
                <w:sz w:val="20"/>
                <w:szCs w:val="20"/>
              </w:rPr>
            </w:pPr>
            <w:r w:rsidRPr="00E263F4">
              <w:rPr>
                <w:color w:val="000000"/>
                <w:sz w:val="22"/>
                <w:szCs w:val="22"/>
              </w:rPr>
              <w:t>220</w:t>
            </w:r>
          </w:p>
        </w:tc>
      </w:tr>
      <w:tr w:rsidR="009359DC" w:rsidRPr="00E263F4" w14:paraId="1FE4688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E7030BE" w14:textId="77777777" w:rsidR="009359DC" w:rsidRPr="00E263F4" w:rsidRDefault="009359DC" w:rsidP="009359DC">
            <w:pPr>
              <w:spacing w:before="0" w:after="0" w:line="240" w:lineRule="auto"/>
              <w:rPr>
                <w:color w:val="auto"/>
                <w:sz w:val="20"/>
                <w:szCs w:val="20"/>
              </w:rPr>
            </w:pPr>
            <w:r w:rsidRPr="00E263F4">
              <w:rPr>
                <w:color w:val="auto"/>
                <w:sz w:val="20"/>
                <w:szCs w:val="20"/>
              </w:rPr>
              <w:t>10</w:t>
            </w:r>
          </w:p>
        </w:tc>
        <w:tc>
          <w:tcPr>
            <w:tcW w:w="658" w:type="pct"/>
            <w:gridSpan w:val="2"/>
            <w:tcBorders>
              <w:top w:val="nil"/>
              <w:left w:val="nil"/>
              <w:bottom w:val="single" w:sz="4" w:space="0" w:color="auto"/>
              <w:right w:val="single" w:sz="4" w:space="0" w:color="auto"/>
            </w:tcBorders>
            <w:shd w:val="clear" w:color="auto" w:fill="auto"/>
            <w:noWrap/>
            <w:vAlign w:val="bottom"/>
          </w:tcPr>
          <w:p w14:paraId="710ACF73" w14:textId="1C1340BF" w:rsidR="009359DC" w:rsidRPr="00E263F4" w:rsidRDefault="009359DC" w:rsidP="00E263F4">
            <w:pPr>
              <w:spacing w:before="0" w:after="0" w:line="240" w:lineRule="auto"/>
              <w:jc w:val="center"/>
              <w:rPr>
                <w:color w:val="auto"/>
                <w:sz w:val="20"/>
                <w:szCs w:val="20"/>
              </w:rPr>
            </w:pPr>
            <w:r w:rsidRPr="00E263F4">
              <w:rPr>
                <w:color w:val="000000"/>
                <w:sz w:val="22"/>
                <w:szCs w:val="22"/>
              </w:rPr>
              <w:t>344</w:t>
            </w:r>
          </w:p>
        </w:tc>
        <w:tc>
          <w:tcPr>
            <w:tcW w:w="660" w:type="pct"/>
            <w:gridSpan w:val="2"/>
            <w:tcBorders>
              <w:top w:val="nil"/>
              <w:left w:val="nil"/>
              <w:bottom w:val="single" w:sz="4" w:space="0" w:color="auto"/>
              <w:right w:val="single" w:sz="4" w:space="0" w:color="auto"/>
            </w:tcBorders>
            <w:shd w:val="clear" w:color="auto" w:fill="auto"/>
            <w:noWrap/>
            <w:vAlign w:val="bottom"/>
          </w:tcPr>
          <w:p w14:paraId="46C5543B" w14:textId="29A79962" w:rsidR="009359DC" w:rsidRPr="00E263F4" w:rsidRDefault="009359DC" w:rsidP="00E263F4">
            <w:pPr>
              <w:spacing w:before="0" w:after="0" w:line="240" w:lineRule="auto"/>
              <w:jc w:val="center"/>
              <w:rPr>
                <w:color w:val="auto"/>
                <w:sz w:val="20"/>
                <w:szCs w:val="20"/>
              </w:rPr>
            </w:pPr>
            <w:r w:rsidRPr="00E263F4">
              <w:rPr>
                <w:color w:val="000000"/>
                <w:sz w:val="22"/>
                <w:szCs w:val="22"/>
              </w:rPr>
              <w:t>269</w:t>
            </w:r>
          </w:p>
        </w:tc>
        <w:tc>
          <w:tcPr>
            <w:tcW w:w="540" w:type="pct"/>
            <w:tcBorders>
              <w:top w:val="nil"/>
              <w:left w:val="nil"/>
              <w:bottom w:val="single" w:sz="4" w:space="0" w:color="auto"/>
              <w:right w:val="single" w:sz="4" w:space="0" w:color="auto"/>
            </w:tcBorders>
            <w:shd w:val="clear" w:color="auto" w:fill="auto"/>
            <w:noWrap/>
            <w:vAlign w:val="bottom"/>
          </w:tcPr>
          <w:p w14:paraId="1B3D332D" w14:textId="1DB40EB5" w:rsidR="009359DC" w:rsidRPr="00E263F4" w:rsidRDefault="009359DC" w:rsidP="00E263F4">
            <w:pPr>
              <w:spacing w:before="0" w:after="0" w:line="240" w:lineRule="auto"/>
              <w:jc w:val="center"/>
              <w:rPr>
                <w:color w:val="auto"/>
                <w:sz w:val="20"/>
                <w:szCs w:val="20"/>
              </w:rPr>
            </w:pPr>
            <w:r w:rsidRPr="00E263F4">
              <w:rPr>
                <w:color w:val="000000"/>
                <w:sz w:val="22"/>
                <w:szCs w:val="22"/>
              </w:rPr>
              <w:t>205</w:t>
            </w:r>
          </w:p>
        </w:tc>
        <w:tc>
          <w:tcPr>
            <w:tcW w:w="553" w:type="pct"/>
            <w:gridSpan w:val="2"/>
            <w:tcBorders>
              <w:top w:val="nil"/>
              <w:left w:val="nil"/>
              <w:bottom w:val="single" w:sz="4" w:space="0" w:color="auto"/>
              <w:right w:val="single" w:sz="4" w:space="0" w:color="auto"/>
            </w:tcBorders>
            <w:shd w:val="clear" w:color="auto" w:fill="auto"/>
            <w:noWrap/>
            <w:vAlign w:val="bottom"/>
          </w:tcPr>
          <w:p w14:paraId="15E113BA" w14:textId="1FA501E2" w:rsidR="009359DC" w:rsidRPr="00E263F4" w:rsidRDefault="009359DC" w:rsidP="00E263F4">
            <w:pPr>
              <w:spacing w:before="0" w:after="0" w:line="240" w:lineRule="auto"/>
              <w:jc w:val="center"/>
              <w:rPr>
                <w:color w:val="auto"/>
                <w:sz w:val="20"/>
                <w:szCs w:val="20"/>
              </w:rPr>
            </w:pPr>
            <w:r w:rsidRPr="00E263F4">
              <w:rPr>
                <w:color w:val="000000"/>
                <w:sz w:val="22"/>
                <w:szCs w:val="22"/>
              </w:rPr>
              <w:t>255</w:t>
            </w:r>
          </w:p>
        </w:tc>
        <w:tc>
          <w:tcPr>
            <w:tcW w:w="697" w:type="pct"/>
            <w:gridSpan w:val="2"/>
            <w:tcBorders>
              <w:top w:val="nil"/>
              <w:left w:val="nil"/>
              <w:bottom w:val="single" w:sz="4" w:space="0" w:color="auto"/>
              <w:right w:val="single" w:sz="4" w:space="0" w:color="auto"/>
            </w:tcBorders>
            <w:shd w:val="clear" w:color="auto" w:fill="auto"/>
            <w:noWrap/>
            <w:vAlign w:val="bottom"/>
          </w:tcPr>
          <w:p w14:paraId="76BE79E5" w14:textId="1846038F" w:rsidR="009359DC" w:rsidRPr="00E263F4" w:rsidRDefault="009359DC" w:rsidP="00E263F4">
            <w:pPr>
              <w:spacing w:before="0" w:after="0" w:line="240" w:lineRule="auto"/>
              <w:jc w:val="center"/>
              <w:rPr>
                <w:color w:val="auto"/>
                <w:sz w:val="20"/>
                <w:szCs w:val="20"/>
              </w:rPr>
            </w:pPr>
            <w:r w:rsidRPr="00E263F4">
              <w:rPr>
                <w:color w:val="000000"/>
                <w:sz w:val="22"/>
                <w:szCs w:val="22"/>
              </w:rPr>
              <w:t>282</w:t>
            </w:r>
          </w:p>
        </w:tc>
        <w:tc>
          <w:tcPr>
            <w:tcW w:w="690" w:type="pct"/>
            <w:gridSpan w:val="2"/>
            <w:tcBorders>
              <w:top w:val="nil"/>
              <w:left w:val="nil"/>
              <w:bottom w:val="single" w:sz="4" w:space="0" w:color="auto"/>
              <w:right w:val="single" w:sz="4" w:space="0" w:color="auto"/>
            </w:tcBorders>
            <w:shd w:val="clear" w:color="auto" w:fill="auto"/>
            <w:noWrap/>
            <w:vAlign w:val="bottom"/>
          </w:tcPr>
          <w:p w14:paraId="0457304B" w14:textId="5103513A" w:rsidR="009359DC" w:rsidRPr="00E263F4" w:rsidRDefault="009359DC" w:rsidP="00E263F4">
            <w:pPr>
              <w:spacing w:before="0" w:after="0" w:line="240" w:lineRule="auto"/>
              <w:jc w:val="center"/>
              <w:rPr>
                <w:color w:val="auto"/>
                <w:sz w:val="20"/>
                <w:szCs w:val="20"/>
              </w:rPr>
            </w:pPr>
            <w:r w:rsidRPr="00E263F4">
              <w:rPr>
                <w:color w:val="000000"/>
                <w:sz w:val="22"/>
                <w:szCs w:val="22"/>
              </w:rPr>
              <w:t>319</w:t>
            </w:r>
          </w:p>
        </w:tc>
      </w:tr>
      <w:tr w:rsidR="009359DC" w:rsidRPr="00E263F4" w14:paraId="1B560BC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88A5D6F" w14:textId="77777777" w:rsidR="009359DC" w:rsidRPr="00E263F4" w:rsidRDefault="009359DC" w:rsidP="009359DC">
            <w:pPr>
              <w:spacing w:before="0" w:after="0" w:line="240" w:lineRule="auto"/>
              <w:rPr>
                <w:color w:val="auto"/>
                <w:sz w:val="20"/>
                <w:szCs w:val="20"/>
              </w:rPr>
            </w:pPr>
            <w:r w:rsidRPr="00E263F4">
              <w:rPr>
                <w:color w:val="auto"/>
                <w:sz w:val="20"/>
                <w:szCs w:val="20"/>
              </w:rPr>
              <w:t>11</w:t>
            </w:r>
          </w:p>
        </w:tc>
        <w:tc>
          <w:tcPr>
            <w:tcW w:w="658" w:type="pct"/>
            <w:gridSpan w:val="2"/>
            <w:tcBorders>
              <w:top w:val="nil"/>
              <w:left w:val="nil"/>
              <w:bottom w:val="single" w:sz="4" w:space="0" w:color="auto"/>
              <w:right w:val="single" w:sz="4" w:space="0" w:color="auto"/>
            </w:tcBorders>
            <w:shd w:val="clear" w:color="auto" w:fill="auto"/>
            <w:noWrap/>
            <w:vAlign w:val="bottom"/>
          </w:tcPr>
          <w:p w14:paraId="0F2F17C3" w14:textId="074FF477" w:rsidR="009359DC" w:rsidRPr="00E263F4" w:rsidRDefault="009359DC" w:rsidP="00E263F4">
            <w:pPr>
              <w:spacing w:before="0" w:after="0" w:line="240" w:lineRule="auto"/>
              <w:jc w:val="center"/>
              <w:rPr>
                <w:color w:val="auto"/>
                <w:sz w:val="20"/>
                <w:szCs w:val="20"/>
              </w:rPr>
            </w:pPr>
            <w:r w:rsidRPr="00E263F4">
              <w:rPr>
                <w:color w:val="000000"/>
                <w:sz w:val="22"/>
                <w:szCs w:val="22"/>
              </w:rPr>
              <w:t>267</w:t>
            </w:r>
          </w:p>
        </w:tc>
        <w:tc>
          <w:tcPr>
            <w:tcW w:w="660" w:type="pct"/>
            <w:gridSpan w:val="2"/>
            <w:tcBorders>
              <w:top w:val="nil"/>
              <w:left w:val="nil"/>
              <w:bottom w:val="single" w:sz="4" w:space="0" w:color="auto"/>
              <w:right w:val="single" w:sz="4" w:space="0" w:color="auto"/>
            </w:tcBorders>
            <w:shd w:val="clear" w:color="auto" w:fill="auto"/>
            <w:noWrap/>
            <w:vAlign w:val="bottom"/>
          </w:tcPr>
          <w:p w14:paraId="1CAF3C4E" w14:textId="21623D44" w:rsidR="009359DC" w:rsidRPr="00E263F4" w:rsidRDefault="009359DC" w:rsidP="00E263F4">
            <w:pPr>
              <w:spacing w:before="0" w:after="0" w:line="240" w:lineRule="auto"/>
              <w:jc w:val="center"/>
              <w:rPr>
                <w:color w:val="auto"/>
                <w:sz w:val="20"/>
                <w:szCs w:val="20"/>
              </w:rPr>
            </w:pPr>
            <w:r w:rsidRPr="00E263F4">
              <w:rPr>
                <w:color w:val="000000"/>
                <w:sz w:val="22"/>
                <w:szCs w:val="22"/>
              </w:rPr>
              <w:t>261</w:t>
            </w:r>
          </w:p>
        </w:tc>
        <w:tc>
          <w:tcPr>
            <w:tcW w:w="540" w:type="pct"/>
            <w:tcBorders>
              <w:top w:val="nil"/>
              <w:left w:val="nil"/>
              <w:bottom w:val="single" w:sz="4" w:space="0" w:color="auto"/>
              <w:right w:val="single" w:sz="4" w:space="0" w:color="auto"/>
            </w:tcBorders>
            <w:shd w:val="clear" w:color="auto" w:fill="auto"/>
            <w:noWrap/>
            <w:vAlign w:val="bottom"/>
          </w:tcPr>
          <w:p w14:paraId="09A9331D" w14:textId="50D530D8" w:rsidR="009359DC" w:rsidRPr="00E263F4" w:rsidRDefault="009359DC" w:rsidP="00E263F4">
            <w:pPr>
              <w:spacing w:before="0" w:after="0" w:line="240" w:lineRule="auto"/>
              <w:jc w:val="center"/>
              <w:rPr>
                <w:color w:val="auto"/>
                <w:sz w:val="20"/>
                <w:szCs w:val="20"/>
              </w:rPr>
            </w:pPr>
            <w:r w:rsidRPr="00E263F4">
              <w:rPr>
                <w:color w:val="000000"/>
                <w:sz w:val="22"/>
                <w:szCs w:val="22"/>
              </w:rPr>
              <w:t>216</w:t>
            </w:r>
          </w:p>
        </w:tc>
        <w:tc>
          <w:tcPr>
            <w:tcW w:w="553" w:type="pct"/>
            <w:gridSpan w:val="2"/>
            <w:tcBorders>
              <w:top w:val="nil"/>
              <w:left w:val="nil"/>
              <w:bottom w:val="single" w:sz="4" w:space="0" w:color="auto"/>
              <w:right w:val="single" w:sz="4" w:space="0" w:color="auto"/>
            </w:tcBorders>
            <w:shd w:val="clear" w:color="auto" w:fill="auto"/>
            <w:noWrap/>
            <w:vAlign w:val="bottom"/>
          </w:tcPr>
          <w:p w14:paraId="3B1A8A8B" w14:textId="1DBFB1D3" w:rsidR="009359DC" w:rsidRPr="00E263F4" w:rsidRDefault="009359DC" w:rsidP="00E263F4">
            <w:pPr>
              <w:spacing w:before="0" w:after="0" w:line="240" w:lineRule="auto"/>
              <w:jc w:val="center"/>
              <w:rPr>
                <w:color w:val="auto"/>
                <w:sz w:val="20"/>
                <w:szCs w:val="20"/>
              </w:rPr>
            </w:pPr>
            <w:r w:rsidRPr="00E263F4">
              <w:rPr>
                <w:color w:val="000000"/>
                <w:sz w:val="22"/>
                <w:szCs w:val="22"/>
              </w:rPr>
              <w:t>240</w:t>
            </w:r>
          </w:p>
        </w:tc>
        <w:tc>
          <w:tcPr>
            <w:tcW w:w="697" w:type="pct"/>
            <w:gridSpan w:val="2"/>
            <w:tcBorders>
              <w:top w:val="nil"/>
              <w:left w:val="nil"/>
              <w:bottom w:val="single" w:sz="4" w:space="0" w:color="auto"/>
              <w:right w:val="single" w:sz="4" w:space="0" w:color="auto"/>
            </w:tcBorders>
            <w:shd w:val="clear" w:color="auto" w:fill="auto"/>
            <w:noWrap/>
            <w:vAlign w:val="bottom"/>
          </w:tcPr>
          <w:p w14:paraId="0441DA61" w14:textId="5E15BFF2" w:rsidR="009359DC" w:rsidRPr="00E263F4" w:rsidRDefault="009359DC" w:rsidP="00E263F4">
            <w:pPr>
              <w:spacing w:before="0" w:after="0" w:line="240" w:lineRule="auto"/>
              <w:jc w:val="center"/>
              <w:rPr>
                <w:color w:val="auto"/>
                <w:sz w:val="20"/>
                <w:szCs w:val="20"/>
              </w:rPr>
            </w:pPr>
            <w:r w:rsidRPr="00E263F4">
              <w:rPr>
                <w:color w:val="000000"/>
                <w:sz w:val="22"/>
                <w:szCs w:val="22"/>
              </w:rPr>
              <w:t>263</w:t>
            </w:r>
          </w:p>
        </w:tc>
        <w:tc>
          <w:tcPr>
            <w:tcW w:w="690" w:type="pct"/>
            <w:gridSpan w:val="2"/>
            <w:tcBorders>
              <w:top w:val="nil"/>
              <w:left w:val="nil"/>
              <w:bottom w:val="single" w:sz="4" w:space="0" w:color="auto"/>
              <w:right w:val="single" w:sz="4" w:space="0" w:color="auto"/>
            </w:tcBorders>
            <w:shd w:val="clear" w:color="auto" w:fill="auto"/>
            <w:noWrap/>
            <w:vAlign w:val="bottom"/>
          </w:tcPr>
          <w:p w14:paraId="6D637395" w14:textId="03718E05" w:rsidR="009359DC" w:rsidRPr="00E263F4" w:rsidRDefault="009359DC" w:rsidP="00E263F4">
            <w:pPr>
              <w:spacing w:before="0" w:after="0" w:line="240" w:lineRule="auto"/>
              <w:jc w:val="center"/>
              <w:rPr>
                <w:color w:val="auto"/>
                <w:sz w:val="20"/>
                <w:szCs w:val="20"/>
              </w:rPr>
            </w:pPr>
            <w:r w:rsidRPr="00E263F4">
              <w:rPr>
                <w:color w:val="000000"/>
                <w:sz w:val="22"/>
                <w:szCs w:val="22"/>
              </w:rPr>
              <w:t>300</w:t>
            </w:r>
          </w:p>
        </w:tc>
      </w:tr>
      <w:tr w:rsidR="009359DC" w:rsidRPr="00E263F4" w14:paraId="1163A3D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F0D7886" w14:textId="77777777" w:rsidR="009359DC" w:rsidRPr="00E263F4" w:rsidRDefault="009359DC" w:rsidP="009359DC">
            <w:pPr>
              <w:spacing w:before="0" w:after="0" w:line="240" w:lineRule="auto"/>
              <w:rPr>
                <w:color w:val="auto"/>
                <w:sz w:val="20"/>
                <w:szCs w:val="20"/>
              </w:rPr>
            </w:pPr>
            <w:r w:rsidRPr="00E263F4">
              <w:rPr>
                <w:color w:val="auto"/>
                <w:sz w:val="20"/>
                <w:szCs w:val="20"/>
              </w:rPr>
              <w:t>12</w:t>
            </w:r>
          </w:p>
        </w:tc>
        <w:tc>
          <w:tcPr>
            <w:tcW w:w="658" w:type="pct"/>
            <w:gridSpan w:val="2"/>
            <w:tcBorders>
              <w:top w:val="nil"/>
              <w:left w:val="nil"/>
              <w:bottom w:val="single" w:sz="4" w:space="0" w:color="auto"/>
              <w:right w:val="single" w:sz="4" w:space="0" w:color="auto"/>
            </w:tcBorders>
            <w:shd w:val="clear" w:color="auto" w:fill="auto"/>
            <w:noWrap/>
            <w:vAlign w:val="bottom"/>
          </w:tcPr>
          <w:p w14:paraId="52D59A39" w14:textId="366206E5" w:rsidR="009359DC" w:rsidRPr="00E263F4" w:rsidRDefault="009359DC" w:rsidP="00E263F4">
            <w:pPr>
              <w:spacing w:before="0" w:after="0" w:line="240" w:lineRule="auto"/>
              <w:jc w:val="center"/>
              <w:rPr>
                <w:color w:val="auto"/>
                <w:sz w:val="20"/>
                <w:szCs w:val="20"/>
              </w:rPr>
            </w:pPr>
            <w:r w:rsidRPr="00E263F4">
              <w:rPr>
                <w:color w:val="000000"/>
                <w:sz w:val="22"/>
                <w:szCs w:val="22"/>
              </w:rPr>
              <w:t>308</w:t>
            </w:r>
          </w:p>
        </w:tc>
        <w:tc>
          <w:tcPr>
            <w:tcW w:w="660" w:type="pct"/>
            <w:gridSpan w:val="2"/>
            <w:tcBorders>
              <w:top w:val="nil"/>
              <w:left w:val="nil"/>
              <w:bottom w:val="single" w:sz="4" w:space="0" w:color="auto"/>
              <w:right w:val="single" w:sz="4" w:space="0" w:color="auto"/>
            </w:tcBorders>
            <w:shd w:val="clear" w:color="auto" w:fill="auto"/>
            <w:noWrap/>
            <w:vAlign w:val="bottom"/>
          </w:tcPr>
          <w:p w14:paraId="678A6BF9" w14:textId="69AF580E" w:rsidR="009359DC" w:rsidRPr="00E263F4" w:rsidRDefault="009359DC" w:rsidP="00E263F4">
            <w:pPr>
              <w:spacing w:before="0" w:after="0" w:line="240" w:lineRule="auto"/>
              <w:jc w:val="center"/>
              <w:rPr>
                <w:color w:val="auto"/>
                <w:sz w:val="20"/>
                <w:szCs w:val="20"/>
              </w:rPr>
            </w:pPr>
            <w:r w:rsidRPr="00E263F4">
              <w:rPr>
                <w:color w:val="000000"/>
                <w:sz w:val="22"/>
                <w:szCs w:val="22"/>
              </w:rPr>
              <w:t>263</w:t>
            </w:r>
          </w:p>
        </w:tc>
        <w:tc>
          <w:tcPr>
            <w:tcW w:w="540" w:type="pct"/>
            <w:tcBorders>
              <w:top w:val="nil"/>
              <w:left w:val="nil"/>
              <w:bottom w:val="single" w:sz="4" w:space="0" w:color="auto"/>
              <w:right w:val="single" w:sz="4" w:space="0" w:color="auto"/>
            </w:tcBorders>
            <w:shd w:val="clear" w:color="auto" w:fill="auto"/>
            <w:noWrap/>
            <w:vAlign w:val="bottom"/>
          </w:tcPr>
          <w:p w14:paraId="445D258B" w14:textId="06D1FB43" w:rsidR="009359DC" w:rsidRPr="00E263F4" w:rsidRDefault="009359DC" w:rsidP="00E263F4">
            <w:pPr>
              <w:spacing w:before="0" w:after="0" w:line="240" w:lineRule="auto"/>
              <w:jc w:val="center"/>
              <w:rPr>
                <w:color w:val="auto"/>
                <w:sz w:val="20"/>
                <w:szCs w:val="20"/>
              </w:rPr>
            </w:pPr>
            <w:r w:rsidRPr="00E263F4">
              <w:rPr>
                <w:color w:val="000000"/>
                <w:sz w:val="22"/>
                <w:szCs w:val="22"/>
              </w:rPr>
              <w:t>237</w:t>
            </w:r>
          </w:p>
        </w:tc>
        <w:tc>
          <w:tcPr>
            <w:tcW w:w="553" w:type="pct"/>
            <w:gridSpan w:val="2"/>
            <w:tcBorders>
              <w:top w:val="nil"/>
              <w:left w:val="nil"/>
              <w:bottom w:val="single" w:sz="4" w:space="0" w:color="auto"/>
              <w:right w:val="single" w:sz="4" w:space="0" w:color="auto"/>
            </w:tcBorders>
            <w:shd w:val="clear" w:color="auto" w:fill="auto"/>
            <w:noWrap/>
            <w:vAlign w:val="bottom"/>
          </w:tcPr>
          <w:p w14:paraId="44762987" w14:textId="40A0FB94" w:rsidR="009359DC" w:rsidRPr="00E263F4" w:rsidRDefault="009359DC" w:rsidP="00E263F4">
            <w:pPr>
              <w:spacing w:before="0" w:after="0" w:line="240" w:lineRule="auto"/>
              <w:jc w:val="center"/>
              <w:rPr>
                <w:color w:val="auto"/>
                <w:sz w:val="20"/>
                <w:szCs w:val="20"/>
              </w:rPr>
            </w:pPr>
            <w:r w:rsidRPr="00E263F4">
              <w:rPr>
                <w:color w:val="000000"/>
                <w:sz w:val="22"/>
                <w:szCs w:val="22"/>
              </w:rPr>
              <w:t>215</w:t>
            </w:r>
          </w:p>
        </w:tc>
        <w:tc>
          <w:tcPr>
            <w:tcW w:w="697" w:type="pct"/>
            <w:gridSpan w:val="2"/>
            <w:tcBorders>
              <w:top w:val="nil"/>
              <w:left w:val="nil"/>
              <w:bottom w:val="single" w:sz="4" w:space="0" w:color="auto"/>
              <w:right w:val="single" w:sz="4" w:space="0" w:color="auto"/>
            </w:tcBorders>
            <w:shd w:val="clear" w:color="auto" w:fill="auto"/>
            <w:noWrap/>
            <w:vAlign w:val="bottom"/>
          </w:tcPr>
          <w:p w14:paraId="0423E654" w14:textId="7AE0261E" w:rsidR="009359DC" w:rsidRPr="00E263F4" w:rsidRDefault="009359DC" w:rsidP="00E263F4">
            <w:pPr>
              <w:spacing w:before="0" w:after="0" w:line="240" w:lineRule="auto"/>
              <w:jc w:val="center"/>
              <w:rPr>
                <w:color w:val="auto"/>
                <w:sz w:val="20"/>
                <w:szCs w:val="20"/>
              </w:rPr>
            </w:pPr>
            <w:r w:rsidRPr="00E263F4">
              <w:rPr>
                <w:color w:val="000000"/>
                <w:sz w:val="22"/>
                <w:szCs w:val="22"/>
              </w:rPr>
              <w:t>258</w:t>
            </w:r>
          </w:p>
        </w:tc>
        <w:tc>
          <w:tcPr>
            <w:tcW w:w="690" w:type="pct"/>
            <w:gridSpan w:val="2"/>
            <w:tcBorders>
              <w:top w:val="nil"/>
              <w:left w:val="nil"/>
              <w:bottom w:val="single" w:sz="4" w:space="0" w:color="auto"/>
              <w:right w:val="single" w:sz="4" w:space="0" w:color="auto"/>
            </w:tcBorders>
            <w:shd w:val="clear" w:color="auto" w:fill="auto"/>
            <w:noWrap/>
            <w:vAlign w:val="bottom"/>
          </w:tcPr>
          <w:p w14:paraId="7047E686" w14:textId="04234670" w:rsidR="009359DC" w:rsidRPr="00E263F4" w:rsidRDefault="009359DC" w:rsidP="00E263F4">
            <w:pPr>
              <w:spacing w:before="0" w:after="0" w:line="240" w:lineRule="auto"/>
              <w:jc w:val="center"/>
              <w:rPr>
                <w:color w:val="auto"/>
                <w:sz w:val="20"/>
                <w:szCs w:val="20"/>
              </w:rPr>
            </w:pPr>
            <w:r w:rsidRPr="00E263F4">
              <w:rPr>
                <w:color w:val="000000"/>
                <w:sz w:val="22"/>
                <w:szCs w:val="22"/>
              </w:rPr>
              <w:t>284</w:t>
            </w:r>
          </w:p>
        </w:tc>
      </w:tr>
      <w:tr w:rsidR="009359DC" w:rsidRPr="00E263F4" w14:paraId="2A6C8FE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691E818" w14:textId="77777777" w:rsidR="009359DC" w:rsidRPr="00E263F4" w:rsidRDefault="009359DC" w:rsidP="009359DC">
            <w:pPr>
              <w:spacing w:before="0" w:after="0" w:line="240" w:lineRule="auto"/>
              <w:rPr>
                <w:color w:val="auto"/>
                <w:sz w:val="20"/>
                <w:szCs w:val="20"/>
              </w:rPr>
            </w:pPr>
            <w:r w:rsidRPr="00E263F4">
              <w:rPr>
                <w:color w:val="auto"/>
                <w:sz w:val="20"/>
                <w:szCs w:val="20"/>
              </w:rPr>
              <w:t>13</w:t>
            </w:r>
          </w:p>
        </w:tc>
        <w:tc>
          <w:tcPr>
            <w:tcW w:w="658" w:type="pct"/>
            <w:gridSpan w:val="2"/>
            <w:tcBorders>
              <w:top w:val="nil"/>
              <w:left w:val="nil"/>
              <w:bottom w:val="single" w:sz="4" w:space="0" w:color="auto"/>
              <w:right w:val="single" w:sz="4" w:space="0" w:color="auto"/>
            </w:tcBorders>
            <w:shd w:val="clear" w:color="auto" w:fill="auto"/>
            <w:noWrap/>
            <w:vAlign w:val="bottom"/>
          </w:tcPr>
          <w:p w14:paraId="1681AAE7" w14:textId="5851DBC7" w:rsidR="009359DC" w:rsidRPr="00E263F4" w:rsidRDefault="009359DC" w:rsidP="00E263F4">
            <w:pPr>
              <w:spacing w:before="0" w:after="0" w:line="240" w:lineRule="auto"/>
              <w:jc w:val="center"/>
              <w:rPr>
                <w:color w:val="auto"/>
                <w:sz w:val="20"/>
                <w:szCs w:val="20"/>
              </w:rPr>
            </w:pPr>
            <w:r w:rsidRPr="00E263F4">
              <w:rPr>
                <w:color w:val="000000"/>
                <w:sz w:val="22"/>
                <w:szCs w:val="22"/>
              </w:rPr>
              <w:t>259</w:t>
            </w:r>
          </w:p>
        </w:tc>
        <w:tc>
          <w:tcPr>
            <w:tcW w:w="660" w:type="pct"/>
            <w:gridSpan w:val="2"/>
            <w:tcBorders>
              <w:top w:val="nil"/>
              <w:left w:val="nil"/>
              <w:bottom w:val="single" w:sz="4" w:space="0" w:color="auto"/>
              <w:right w:val="single" w:sz="4" w:space="0" w:color="auto"/>
            </w:tcBorders>
            <w:shd w:val="clear" w:color="auto" w:fill="auto"/>
            <w:noWrap/>
            <w:vAlign w:val="bottom"/>
          </w:tcPr>
          <w:p w14:paraId="07860CA7" w14:textId="576937C2" w:rsidR="009359DC" w:rsidRPr="00E263F4" w:rsidRDefault="009359DC" w:rsidP="00E263F4">
            <w:pPr>
              <w:spacing w:before="0" w:after="0" w:line="240" w:lineRule="auto"/>
              <w:jc w:val="center"/>
              <w:rPr>
                <w:color w:val="auto"/>
                <w:sz w:val="20"/>
                <w:szCs w:val="20"/>
              </w:rPr>
            </w:pPr>
            <w:r w:rsidRPr="00E263F4">
              <w:rPr>
                <w:color w:val="000000"/>
                <w:sz w:val="22"/>
                <w:szCs w:val="22"/>
              </w:rPr>
              <w:t>212</w:t>
            </w:r>
          </w:p>
        </w:tc>
        <w:tc>
          <w:tcPr>
            <w:tcW w:w="540" w:type="pct"/>
            <w:tcBorders>
              <w:top w:val="nil"/>
              <w:left w:val="nil"/>
              <w:bottom w:val="single" w:sz="4" w:space="0" w:color="auto"/>
              <w:right w:val="single" w:sz="4" w:space="0" w:color="auto"/>
            </w:tcBorders>
            <w:shd w:val="clear" w:color="auto" w:fill="auto"/>
            <w:noWrap/>
            <w:vAlign w:val="bottom"/>
          </w:tcPr>
          <w:p w14:paraId="3CA02701" w14:textId="7A8CFED7" w:rsidR="009359DC" w:rsidRPr="00E263F4" w:rsidRDefault="009359DC" w:rsidP="00E263F4">
            <w:pPr>
              <w:spacing w:before="0" w:after="0" w:line="240" w:lineRule="auto"/>
              <w:jc w:val="center"/>
              <w:rPr>
                <w:color w:val="auto"/>
                <w:sz w:val="20"/>
                <w:szCs w:val="20"/>
              </w:rPr>
            </w:pPr>
            <w:r w:rsidRPr="00E263F4">
              <w:rPr>
                <w:color w:val="000000"/>
                <w:sz w:val="22"/>
                <w:szCs w:val="22"/>
              </w:rPr>
              <w:t>170</w:t>
            </w:r>
          </w:p>
        </w:tc>
        <w:tc>
          <w:tcPr>
            <w:tcW w:w="553" w:type="pct"/>
            <w:gridSpan w:val="2"/>
            <w:tcBorders>
              <w:top w:val="nil"/>
              <w:left w:val="nil"/>
              <w:bottom w:val="single" w:sz="4" w:space="0" w:color="auto"/>
              <w:right w:val="single" w:sz="4" w:space="0" w:color="auto"/>
            </w:tcBorders>
            <w:shd w:val="clear" w:color="auto" w:fill="auto"/>
            <w:noWrap/>
            <w:vAlign w:val="bottom"/>
          </w:tcPr>
          <w:p w14:paraId="67051E03" w14:textId="0E19777E" w:rsidR="009359DC" w:rsidRPr="00E263F4" w:rsidRDefault="009359DC" w:rsidP="00E263F4">
            <w:pPr>
              <w:spacing w:before="0" w:after="0" w:line="240" w:lineRule="auto"/>
              <w:jc w:val="center"/>
              <w:rPr>
                <w:color w:val="auto"/>
                <w:sz w:val="20"/>
                <w:szCs w:val="20"/>
              </w:rPr>
            </w:pPr>
            <w:r w:rsidRPr="00E263F4">
              <w:rPr>
                <w:color w:val="000000"/>
                <w:sz w:val="22"/>
                <w:szCs w:val="22"/>
              </w:rPr>
              <w:t>241</w:t>
            </w:r>
          </w:p>
        </w:tc>
        <w:tc>
          <w:tcPr>
            <w:tcW w:w="697" w:type="pct"/>
            <w:gridSpan w:val="2"/>
            <w:tcBorders>
              <w:top w:val="nil"/>
              <w:left w:val="nil"/>
              <w:bottom w:val="single" w:sz="4" w:space="0" w:color="auto"/>
              <w:right w:val="single" w:sz="4" w:space="0" w:color="auto"/>
            </w:tcBorders>
            <w:shd w:val="clear" w:color="auto" w:fill="auto"/>
            <w:noWrap/>
            <w:vAlign w:val="bottom"/>
          </w:tcPr>
          <w:p w14:paraId="4A5D5253" w14:textId="0209DA25" w:rsidR="009359DC" w:rsidRPr="00E263F4" w:rsidRDefault="009359DC" w:rsidP="00E263F4">
            <w:pPr>
              <w:spacing w:before="0" w:after="0" w:line="240" w:lineRule="auto"/>
              <w:jc w:val="center"/>
              <w:rPr>
                <w:color w:val="auto"/>
                <w:sz w:val="20"/>
                <w:szCs w:val="20"/>
              </w:rPr>
            </w:pPr>
            <w:r w:rsidRPr="00E263F4">
              <w:rPr>
                <w:color w:val="000000"/>
                <w:sz w:val="22"/>
                <w:szCs w:val="22"/>
              </w:rPr>
              <w:t>309</w:t>
            </w:r>
          </w:p>
        </w:tc>
        <w:tc>
          <w:tcPr>
            <w:tcW w:w="690" w:type="pct"/>
            <w:gridSpan w:val="2"/>
            <w:tcBorders>
              <w:top w:val="nil"/>
              <w:left w:val="nil"/>
              <w:bottom w:val="single" w:sz="4" w:space="0" w:color="auto"/>
              <w:right w:val="single" w:sz="4" w:space="0" w:color="auto"/>
            </w:tcBorders>
            <w:shd w:val="clear" w:color="auto" w:fill="auto"/>
            <w:noWrap/>
            <w:vAlign w:val="bottom"/>
          </w:tcPr>
          <w:p w14:paraId="792C0FF1" w14:textId="4F0267DA" w:rsidR="009359DC" w:rsidRPr="00E263F4" w:rsidRDefault="009359DC" w:rsidP="00E263F4">
            <w:pPr>
              <w:spacing w:before="0" w:after="0" w:line="240" w:lineRule="auto"/>
              <w:jc w:val="center"/>
              <w:rPr>
                <w:color w:val="auto"/>
                <w:sz w:val="20"/>
                <w:szCs w:val="20"/>
              </w:rPr>
            </w:pPr>
            <w:r w:rsidRPr="00E263F4">
              <w:rPr>
                <w:color w:val="000000"/>
                <w:sz w:val="22"/>
                <w:szCs w:val="22"/>
              </w:rPr>
              <w:t>387</w:t>
            </w:r>
          </w:p>
        </w:tc>
      </w:tr>
      <w:tr w:rsidR="009359DC" w:rsidRPr="00E263F4" w14:paraId="5C8FC60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1DA6F36" w14:textId="77777777" w:rsidR="009359DC" w:rsidRPr="00E263F4" w:rsidRDefault="009359DC" w:rsidP="009359DC">
            <w:pPr>
              <w:spacing w:before="0" w:after="0" w:line="240" w:lineRule="auto"/>
              <w:rPr>
                <w:color w:val="auto"/>
                <w:sz w:val="20"/>
                <w:szCs w:val="20"/>
              </w:rPr>
            </w:pPr>
            <w:r w:rsidRPr="00E263F4">
              <w:rPr>
                <w:color w:val="auto"/>
                <w:sz w:val="20"/>
                <w:szCs w:val="20"/>
              </w:rPr>
              <w:t>14</w:t>
            </w:r>
          </w:p>
        </w:tc>
        <w:tc>
          <w:tcPr>
            <w:tcW w:w="658" w:type="pct"/>
            <w:gridSpan w:val="2"/>
            <w:tcBorders>
              <w:top w:val="nil"/>
              <w:left w:val="nil"/>
              <w:bottom w:val="single" w:sz="4" w:space="0" w:color="auto"/>
              <w:right w:val="single" w:sz="4" w:space="0" w:color="auto"/>
            </w:tcBorders>
            <w:shd w:val="clear" w:color="auto" w:fill="auto"/>
            <w:noWrap/>
            <w:vAlign w:val="bottom"/>
          </w:tcPr>
          <w:p w14:paraId="53E9249C" w14:textId="2A56E8B2" w:rsidR="009359DC" w:rsidRPr="00E263F4" w:rsidRDefault="009359DC" w:rsidP="00E263F4">
            <w:pPr>
              <w:spacing w:before="0" w:after="0" w:line="240" w:lineRule="auto"/>
              <w:jc w:val="center"/>
              <w:rPr>
                <w:color w:val="auto"/>
                <w:sz w:val="20"/>
                <w:szCs w:val="20"/>
              </w:rPr>
            </w:pPr>
            <w:r w:rsidRPr="00E263F4">
              <w:rPr>
                <w:color w:val="000000"/>
                <w:sz w:val="22"/>
                <w:szCs w:val="22"/>
              </w:rPr>
              <w:t>254</w:t>
            </w:r>
          </w:p>
        </w:tc>
        <w:tc>
          <w:tcPr>
            <w:tcW w:w="660" w:type="pct"/>
            <w:gridSpan w:val="2"/>
            <w:tcBorders>
              <w:top w:val="nil"/>
              <w:left w:val="nil"/>
              <w:bottom w:val="single" w:sz="4" w:space="0" w:color="auto"/>
              <w:right w:val="single" w:sz="4" w:space="0" w:color="auto"/>
            </w:tcBorders>
            <w:shd w:val="clear" w:color="auto" w:fill="auto"/>
            <w:noWrap/>
            <w:vAlign w:val="bottom"/>
          </w:tcPr>
          <w:p w14:paraId="322E6524" w14:textId="6329BE9E" w:rsidR="009359DC" w:rsidRPr="00E263F4" w:rsidRDefault="009359DC" w:rsidP="00E263F4">
            <w:pPr>
              <w:spacing w:before="0" w:after="0" w:line="240" w:lineRule="auto"/>
              <w:jc w:val="center"/>
              <w:rPr>
                <w:color w:val="auto"/>
                <w:sz w:val="20"/>
                <w:szCs w:val="20"/>
              </w:rPr>
            </w:pPr>
            <w:r w:rsidRPr="00E263F4">
              <w:rPr>
                <w:color w:val="000000"/>
                <w:sz w:val="22"/>
                <w:szCs w:val="22"/>
              </w:rPr>
              <w:t>244</w:t>
            </w:r>
          </w:p>
        </w:tc>
        <w:tc>
          <w:tcPr>
            <w:tcW w:w="540" w:type="pct"/>
            <w:tcBorders>
              <w:top w:val="nil"/>
              <w:left w:val="nil"/>
              <w:bottom w:val="single" w:sz="4" w:space="0" w:color="auto"/>
              <w:right w:val="single" w:sz="4" w:space="0" w:color="auto"/>
            </w:tcBorders>
            <w:shd w:val="clear" w:color="auto" w:fill="auto"/>
            <w:noWrap/>
            <w:vAlign w:val="bottom"/>
          </w:tcPr>
          <w:p w14:paraId="38EAE235" w14:textId="538297F4" w:rsidR="009359DC" w:rsidRPr="00E263F4" w:rsidRDefault="009359DC" w:rsidP="00E263F4">
            <w:pPr>
              <w:spacing w:before="0" w:after="0" w:line="240" w:lineRule="auto"/>
              <w:jc w:val="center"/>
              <w:rPr>
                <w:color w:val="auto"/>
                <w:sz w:val="20"/>
                <w:szCs w:val="20"/>
              </w:rPr>
            </w:pPr>
            <w:r w:rsidRPr="00E263F4">
              <w:rPr>
                <w:color w:val="000000"/>
                <w:sz w:val="22"/>
                <w:szCs w:val="22"/>
              </w:rPr>
              <w:t>218</w:t>
            </w:r>
          </w:p>
        </w:tc>
        <w:tc>
          <w:tcPr>
            <w:tcW w:w="553" w:type="pct"/>
            <w:gridSpan w:val="2"/>
            <w:tcBorders>
              <w:top w:val="nil"/>
              <w:left w:val="nil"/>
              <w:bottom w:val="single" w:sz="4" w:space="0" w:color="auto"/>
              <w:right w:val="single" w:sz="4" w:space="0" w:color="auto"/>
            </w:tcBorders>
            <w:shd w:val="clear" w:color="auto" w:fill="auto"/>
            <w:noWrap/>
            <w:vAlign w:val="bottom"/>
          </w:tcPr>
          <w:p w14:paraId="25F4D3B6" w14:textId="540C3C56" w:rsidR="009359DC" w:rsidRPr="00E263F4" w:rsidRDefault="009359DC" w:rsidP="00E263F4">
            <w:pPr>
              <w:spacing w:before="0" w:after="0" w:line="240" w:lineRule="auto"/>
              <w:jc w:val="center"/>
              <w:rPr>
                <w:color w:val="auto"/>
                <w:sz w:val="20"/>
                <w:szCs w:val="20"/>
              </w:rPr>
            </w:pPr>
            <w:r w:rsidRPr="00E263F4">
              <w:rPr>
                <w:color w:val="000000"/>
                <w:sz w:val="22"/>
                <w:szCs w:val="22"/>
              </w:rPr>
              <w:t>206</w:t>
            </w:r>
          </w:p>
        </w:tc>
        <w:tc>
          <w:tcPr>
            <w:tcW w:w="697" w:type="pct"/>
            <w:gridSpan w:val="2"/>
            <w:tcBorders>
              <w:top w:val="nil"/>
              <w:left w:val="nil"/>
              <w:bottom w:val="single" w:sz="4" w:space="0" w:color="auto"/>
              <w:right w:val="single" w:sz="4" w:space="0" w:color="auto"/>
            </w:tcBorders>
            <w:shd w:val="clear" w:color="auto" w:fill="auto"/>
            <w:noWrap/>
            <w:vAlign w:val="bottom"/>
          </w:tcPr>
          <w:p w14:paraId="3C6AB965" w14:textId="7473A121" w:rsidR="009359DC" w:rsidRPr="00E263F4" w:rsidRDefault="009359DC" w:rsidP="00E263F4">
            <w:pPr>
              <w:spacing w:before="0" w:after="0" w:line="240" w:lineRule="auto"/>
              <w:jc w:val="center"/>
              <w:rPr>
                <w:color w:val="auto"/>
                <w:sz w:val="20"/>
                <w:szCs w:val="20"/>
              </w:rPr>
            </w:pPr>
            <w:r w:rsidRPr="00E263F4">
              <w:rPr>
                <w:color w:val="000000"/>
                <w:sz w:val="22"/>
                <w:szCs w:val="22"/>
              </w:rPr>
              <w:t>240</w:t>
            </w:r>
          </w:p>
        </w:tc>
        <w:tc>
          <w:tcPr>
            <w:tcW w:w="690" w:type="pct"/>
            <w:gridSpan w:val="2"/>
            <w:tcBorders>
              <w:top w:val="nil"/>
              <w:left w:val="nil"/>
              <w:bottom w:val="single" w:sz="4" w:space="0" w:color="auto"/>
              <w:right w:val="single" w:sz="4" w:space="0" w:color="auto"/>
            </w:tcBorders>
            <w:shd w:val="clear" w:color="auto" w:fill="auto"/>
            <w:noWrap/>
            <w:vAlign w:val="bottom"/>
          </w:tcPr>
          <w:p w14:paraId="65572E15" w14:textId="12F972CA" w:rsidR="009359DC" w:rsidRPr="00E263F4" w:rsidRDefault="009359DC" w:rsidP="00E263F4">
            <w:pPr>
              <w:spacing w:before="0" w:after="0" w:line="240" w:lineRule="auto"/>
              <w:jc w:val="center"/>
              <w:rPr>
                <w:color w:val="auto"/>
                <w:sz w:val="20"/>
                <w:szCs w:val="20"/>
              </w:rPr>
            </w:pPr>
            <w:r w:rsidRPr="00E263F4">
              <w:rPr>
                <w:color w:val="000000"/>
                <w:sz w:val="22"/>
                <w:szCs w:val="22"/>
              </w:rPr>
              <w:t>246</w:t>
            </w:r>
          </w:p>
        </w:tc>
      </w:tr>
      <w:tr w:rsidR="009359DC" w:rsidRPr="00E263F4" w14:paraId="0C73863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2ACD1B0" w14:textId="77777777" w:rsidR="009359DC" w:rsidRPr="00E263F4" w:rsidRDefault="009359DC" w:rsidP="009359DC">
            <w:pPr>
              <w:spacing w:before="0" w:after="0" w:line="240" w:lineRule="auto"/>
              <w:rPr>
                <w:color w:val="auto"/>
                <w:sz w:val="20"/>
                <w:szCs w:val="20"/>
              </w:rPr>
            </w:pPr>
            <w:r w:rsidRPr="00E263F4">
              <w:rPr>
                <w:color w:val="auto"/>
                <w:sz w:val="20"/>
                <w:szCs w:val="20"/>
              </w:rPr>
              <w:t>15</w:t>
            </w:r>
          </w:p>
        </w:tc>
        <w:tc>
          <w:tcPr>
            <w:tcW w:w="658" w:type="pct"/>
            <w:gridSpan w:val="2"/>
            <w:tcBorders>
              <w:top w:val="nil"/>
              <w:left w:val="nil"/>
              <w:bottom w:val="single" w:sz="4" w:space="0" w:color="auto"/>
              <w:right w:val="single" w:sz="4" w:space="0" w:color="auto"/>
            </w:tcBorders>
            <w:shd w:val="clear" w:color="auto" w:fill="auto"/>
            <w:noWrap/>
            <w:vAlign w:val="bottom"/>
          </w:tcPr>
          <w:p w14:paraId="0AF509EF" w14:textId="06B57658" w:rsidR="009359DC" w:rsidRPr="00E263F4" w:rsidRDefault="009359DC" w:rsidP="00E263F4">
            <w:pPr>
              <w:spacing w:before="0" w:after="0" w:line="240" w:lineRule="auto"/>
              <w:jc w:val="center"/>
              <w:rPr>
                <w:color w:val="auto"/>
                <w:sz w:val="20"/>
                <w:szCs w:val="20"/>
              </w:rPr>
            </w:pPr>
            <w:r w:rsidRPr="00E263F4">
              <w:rPr>
                <w:color w:val="000000"/>
                <w:sz w:val="22"/>
                <w:szCs w:val="22"/>
              </w:rPr>
              <w:t>331</w:t>
            </w:r>
          </w:p>
        </w:tc>
        <w:tc>
          <w:tcPr>
            <w:tcW w:w="660" w:type="pct"/>
            <w:gridSpan w:val="2"/>
            <w:tcBorders>
              <w:top w:val="nil"/>
              <w:left w:val="nil"/>
              <w:bottom w:val="single" w:sz="4" w:space="0" w:color="auto"/>
              <w:right w:val="single" w:sz="4" w:space="0" w:color="auto"/>
            </w:tcBorders>
            <w:shd w:val="clear" w:color="auto" w:fill="auto"/>
            <w:noWrap/>
            <w:vAlign w:val="bottom"/>
          </w:tcPr>
          <w:p w14:paraId="758AC3C1" w14:textId="7A89C1F7" w:rsidR="009359DC" w:rsidRPr="00E263F4" w:rsidRDefault="009359DC" w:rsidP="00E263F4">
            <w:pPr>
              <w:spacing w:before="0" w:after="0" w:line="240" w:lineRule="auto"/>
              <w:jc w:val="center"/>
              <w:rPr>
                <w:color w:val="auto"/>
                <w:sz w:val="20"/>
                <w:szCs w:val="20"/>
              </w:rPr>
            </w:pPr>
            <w:r w:rsidRPr="00E263F4">
              <w:rPr>
                <w:color w:val="000000"/>
                <w:sz w:val="22"/>
                <w:szCs w:val="22"/>
              </w:rPr>
              <w:t>341</w:t>
            </w:r>
          </w:p>
        </w:tc>
        <w:tc>
          <w:tcPr>
            <w:tcW w:w="540" w:type="pct"/>
            <w:tcBorders>
              <w:top w:val="nil"/>
              <w:left w:val="nil"/>
              <w:bottom w:val="single" w:sz="4" w:space="0" w:color="auto"/>
              <w:right w:val="single" w:sz="4" w:space="0" w:color="auto"/>
            </w:tcBorders>
            <w:shd w:val="clear" w:color="auto" w:fill="auto"/>
            <w:noWrap/>
            <w:vAlign w:val="bottom"/>
          </w:tcPr>
          <w:p w14:paraId="6784AA36" w14:textId="11E3232F" w:rsidR="009359DC" w:rsidRPr="00E263F4" w:rsidRDefault="009359DC" w:rsidP="00E263F4">
            <w:pPr>
              <w:spacing w:before="0" w:after="0" w:line="240" w:lineRule="auto"/>
              <w:jc w:val="center"/>
              <w:rPr>
                <w:color w:val="auto"/>
                <w:sz w:val="20"/>
                <w:szCs w:val="20"/>
              </w:rPr>
            </w:pPr>
            <w:r w:rsidRPr="00E263F4">
              <w:rPr>
                <w:color w:val="000000"/>
                <w:sz w:val="22"/>
                <w:szCs w:val="22"/>
              </w:rPr>
              <w:t>225</w:t>
            </w:r>
          </w:p>
        </w:tc>
        <w:tc>
          <w:tcPr>
            <w:tcW w:w="553" w:type="pct"/>
            <w:gridSpan w:val="2"/>
            <w:tcBorders>
              <w:top w:val="nil"/>
              <w:left w:val="nil"/>
              <w:bottom w:val="single" w:sz="4" w:space="0" w:color="auto"/>
              <w:right w:val="single" w:sz="4" w:space="0" w:color="auto"/>
            </w:tcBorders>
            <w:shd w:val="clear" w:color="auto" w:fill="auto"/>
            <w:noWrap/>
            <w:vAlign w:val="bottom"/>
          </w:tcPr>
          <w:p w14:paraId="6782D76B" w14:textId="51C97EB1" w:rsidR="009359DC" w:rsidRPr="00E263F4" w:rsidRDefault="009359DC" w:rsidP="00E263F4">
            <w:pPr>
              <w:spacing w:before="0" w:after="0" w:line="240" w:lineRule="auto"/>
              <w:jc w:val="center"/>
              <w:rPr>
                <w:color w:val="auto"/>
                <w:sz w:val="20"/>
                <w:szCs w:val="20"/>
              </w:rPr>
            </w:pPr>
            <w:r w:rsidRPr="00E263F4">
              <w:rPr>
                <w:color w:val="000000"/>
                <w:sz w:val="22"/>
                <w:szCs w:val="22"/>
              </w:rPr>
              <w:t>198</w:t>
            </w:r>
          </w:p>
        </w:tc>
        <w:tc>
          <w:tcPr>
            <w:tcW w:w="697" w:type="pct"/>
            <w:gridSpan w:val="2"/>
            <w:tcBorders>
              <w:top w:val="nil"/>
              <w:left w:val="nil"/>
              <w:bottom w:val="single" w:sz="4" w:space="0" w:color="auto"/>
              <w:right w:val="single" w:sz="4" w:space="0" w:color="auto"/>
            </w:tcBorders>
            <w:shd w:val="clear" w:color="auto" w:fill="auto"/>
            <w:noWrap/>
            <w:vAlign w:val="bottom"/>
          </w:tcPr>
          <w:p w14:paraId="218F231A" w14:textId="3A0E241E" w:rsidR="009359DC" w:rsidRPr="00E263F4" w:rsidRDefault="009359DC" w:rsidP="00E263F4">
            <w:pPr>
              <w:spacing w:before="0" w:after="0" w:line="240" w:lineRule="auto"/>
              <w:jc w:val="center"/>
              <w:rPr>
                <w:color w:val="auto"/>
                <w:sz w:val="20"/>
                <w:szCs w:val="20"/>
              </w:rPr>
            </w:pPr>
            <w:r w:rsidRPr="00E263F4">
              <w:rPr>
                <w:color w:val="000000"/>
                <w:sz w:val="22"/>
                <w:szCs w:val="22"/>
              </w:rPr>
              <w:t>262</w:t>
            </w:r>
          </w:p>
        </w:tc>
        <w:tc>
          <w:tcPr>
            <w:tcW w:w="690" w:type="pct"/>
            <w:gridSpan w:val="2"/>
            <w:tcBorders>
              <w:top w:val="nil"/>
              <w:left w:val="nil"/>
              <w:bottom w:val="single" w:sz="4" w:space="0" w:color="auto"/>
              <w:right w:val="single" w:sz="4" w:space="0" w:color="auto"/>
            </w:tcBorders>
            <w:shd w:val="clear" w:color="auto" w:fill="auto"/>
            <w:noWrap/>
            <w:vAlign w:val="bottom"/>
          </w:tcPr>
          <w:p w14:paraId="0B426042" w14:textId="4B8C683E" w:rsidR="009359DC" w:rsidRPr="00E263F4" w:rsidRDefault="009359DC" w:rsidP="00E263F4">
            <w:pPr>
              <w:spacing w:before="0" w:after="0" w:line="240" w:lineRule="auto"/>
              <w:jc w:val="center"/>
              <w:rPr>
                <w:color w:val="auto"/>
                <w:sz w:val="20"/>
                <w:szCs w:val="20"/>
              </w:rPr>
            </w:pPr>
            <w:r w:rsidRPr="00E263F4">
              <w:rPr>
                <w:color w:val="000000"/>
                <w:sz w:val="22"/>
                <w:szCs w:val="22"/>
              </w:rPr>
              <w:t>289</w:t>
            </w:r>
          </w:p>
        </w:tc>
      </w:tr>
      <w:tr w:rsidR="009359DC" w:rsidRPr="00E263F4" w14:paraId="02439A8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6F0B556" w14:textId="77777777" w:rsidR="009359DC" w:rsidRPr="00E263F4" w:rsidRDefault="009359DC" w:rsidP="009359DC">
            <w:pPr>
              <w:spacing w:before="0" w:after="0" w:line="240" w:lineRule="auto"/>
              <w:rPr>
                <w:color w:val="auto"/>
                <w:sz w:val="20"/>
                <w:szCs w:val="20"/>
              </w:rPr>
            </w:pPr>
            <w:r w:rsidRPr="00E263F4">
              <w:rPr>
                <w:color w:val="auto"/>
                <w:sz w:val="20"/>
                <w:szCs w:val="20"/>
              </w:rPr>
              <w:t>16</w:t>
            </w:r>
          </w:p>
        </w:tc>
        <w:tc>
          <w:tcPr>
            <w:tcW w:w="658" w:type="pct"/>
            <w:gridSpan w:val="2"/>
            <w:tcBorders>
              <w:top w:val="nil"/>
              <w:left w:val="nil"/>
              <w:bottom w:val="single" w:sz="4" w:space="0" w:color="auto"/>
              <w:right w:val="single" w:sz="4" w:space="0" w:color="auto"/>
            </w:tcBorders>
            <w:shd w:val="clear" w:color="auto" w:fill="auto"/>
            <w:noWrap/>
            <w:vAlign w:val="bottom"/>
          </w:tcPr>
          <w:p w14:paraId="1B69776A" w14:textId="6487E817" w:rsidR="009359DC" w:rsidRPr="00E263F4" w:rsidRDefault="009359DC" w:rsidP="00E263F4">
            <w:pPr>
              <w:spacing w:before="0" w:after="0" w:line="240" w:lineRule="auto"/>
              <w:jc w:val="center"/>
              <w:rPr>
                <w:color w:val="auto"/>
                <w:sz w:val="20"/>
                <w:szCs w:val="20"/>
              </w:rPr>
            </w:pPr>
            <w:r w:rsidRPr="00E263F4">
              <w:rPr>
                <w:color w:val="000000"/>
                <w:sz w:val="22"/>
                <w:szCs w:val="22"/>
              </w:rPr>
              <w:t>321</w:t>
            </w:r>
          </w:p>
        </w:tc>
        <w:tc>
          <w:tcPr>
            <w:tcW w:w="660" w:type="pct"/>
            <w:gridSpan w:val="2"/>
            <w:tcBorders>
              <w:top w:val="nil"/>
              <w:left w:val="nil"/>
              <w:bottom w:val="single" w:sz="4" w:space="0" w:color="auto"/>
              <w:right w:val="single" w:sz="4" w:space="0" w:color="auto"/>
            </w:tcBorders>
            <w:shd w:val="clear" w:color="auto" w:fill="auto"/>
            <w:noWrap/>
            <w:vAlign w:val="bottom"/>
          </w:tcPr>
          <w:p w14:paraId="3816E8D0" w14:textId="4CDFA4D4" w:rsidR="009359DC" w:rsidRPr="00E263F4" w:rsidRDefault="009359DC" w:rsidP="00E263F4">
            <w:pPr>
              <w:spacing w:before="0" w:after="0" w:line="240" w:lineRule="auto"/>
              <w:jc w:val="center"/>
              <w:rPr>
                <w:color w:val="auto"/>
                <w:sz w:val="20"/>
                <w:szCs w:val="20"/>
              </w:rPr>
            </w:pPr>
            <w:r w:rsidRPr="00E263F4">
              <w:rPr>
                <w:color w:val="000000"/>
                <w:sz w:val="22"/>
                <w:szCs w:val="22"/>
              </w:rPr>
              <w:t>269</w:t>
            </w:r>
          </w:p>
        </w:tc>
        <w:tc>
          <w:tcPr>
            <w:tcW w:w="540" w:type="pct"/>
            <w:tcBorders>
              <w:top w:val="nil"/>
              <w:left w:val="nil"/>
              <w:bottom w:val="single" w:sz="4" w:space="0" w:color="auto"/>
              <w:right w:val="single" w:sz="4" w:space="0" w:color="auto"/>
            </w:tcBorders>
            <w:shd w:val="clear" w:color="auto" w:fill="auto"/>
            <w:noWrap/>
            <w:vAlign w:val="bottom"/>
          </w:tcPr>
          <w:p w14:paraId="61EE3C17" w14:textId="3AC33720" w:rsidR="009359DC" w:rsidRPr="00E263F4" w:rsidRDefault="009359DC" w:rsidP="00E263F4">
            <w:pPr>
              <w:spacing w:before="0" w:after="0" w:line="240" w:lineRule="auto"/>
              <w:jc w:val="center"/>
              <w:rPr>
                <w:color w:val="auto"/>
                <w:sz w:val="20"/>
                <w:szCs w:val="20"/>
              </w:rPr>
            </w:pPr>
            <w:r w:rsidRPr="00E263F4">
              <w:rPr>
                <w:color w:val="000000"/>
                <w:sz w:val="22"/>
                <w:szCs w:val="22"/>
              </w:rPr>
              <w:t>201</w:t>
            </w:r>
          </w:p>
        </w:tc>
        <w:tc>
          <w:tcPr>
            <w:tcW w:w="553" w:type="pct"/>
            <w:gridSpan w:val="2"/>
            <w:tcBorders>
              <w:top w:val="nil"/>
              <w:left w:val="nil"/>
              <w:bottom w:val="single" w:sz="4" w:space="0" w:color="auto"/>
              <w:right w:val="single" w:sz="4" w:space="0" w:color="auto"/>
            </w:tcBorders>
            <w:shd w:val="clear" w:color="auto" w:fill="auto"/>
            <w:noWrap/>
            <w:vAlign w:val="bottom"/>
          </w:tcPr>
          <w:p w14:paraId="0B8437F8" w14:textId="6E26A5DB" w:rsidR="009359DC" w:rsidRPr="00E263F4" w:rsidRDefault="009359DC" w:rsidP="00E263F4">
            <w:pPr>
              <w:spacing w:before="0" w:after="0" w:line="240" w:lineRule="auto"/>
              <w:jc w:val="center"/>
              <w:rPr>
                <w:color w:val="auto"/>
                <w:sz w:val="20"/>
                <w:szCs w:val="20"/>
              </w:rPr>
            </w:pPr>
            <w:r w:rsidRPr="00E263F4">
              <w:rPr>
                <w:color w:val="000000"/>
                <w:sz w:val="22"/>
                <w:szCs w:val="22"/>
              </w:rPr>
              <w:t>238</w:t>
            </w:r>
          </w:p>
        </w:tc>
        <w:tc>
          <w:tcPr>
            <w:tcW w:w="697" w:type="pct"/>
            <w:gridSpan w:val="2"/>
            <w:tcBorders>
              <w:top w:val="nil"/>
              <w:left w:val="nil"/>
              <w:bottom w:val="single" w:sz="4" w:space="0" w:color="auto"/>
              <w:right w:val="single" w:sz="4" w:space="0" w:color="auto"/>
            </w:tcBorders>
            <w:shd w:val="clear" w:color="auto" w:fill="auto"/>
            <w:noWrap/>
            <w:vAlign w:val="bottom"/>
          </w:tcPr>
          <w:p w14:paraId="6A63D100" w14:textId="5BB5BD97" w:rsidR="009359DC" w:rsidRPr="00E263F4" w:rsidRDefault="009359DC" w:rsidP="00E263F4">
            <w:pPr>
              <w:spacing w:before="0" w:after="0" w:line="240" w:lineRule="auto"/>
              <w:jc w:val="center"/>
              <w:rPr>
                <w:color w:val="auto"/>
                <w:sz w:val="20"/>
                <w:szCs w:val="20"/>
              </w:rPr>
            </w:pPr>
            <w:r w:rsidRPr="00E263F4">
              <w:rPr>
                <w:color w:val="000000"/>
                <w:sz w:val="22"/>
                <w:szCs w:val="22"/>
              </w:rPr>
              <w:t>278</w:t>
            </w:r>
          </w:p>
        </w:tc>
        <w:tc>
          <w:tcPr>
            <w:tcW w:w="690" w:type="pct"/>
            <w:gridSpan w:val="2"/>
            <w:tcBorders>
              <w:top w:val="nil"/>
              <w:left w:val="nil"/>
              <w:bottom w:val="single" w:sz="4" w:space="0" w:color="auto"/>
              <w:right w:val="single" w:sz="4" w:space="0" w:color="auto"/>
            </w:tcBorders>
            <w:shd w:val="clear" w:color="auto" w:fill="auto"/>
            <w:noWrap/>
            <w:vAlign w:val="bottom"/>
          </w:tcPr>
          <w:p w14:paraId="1255D7C7" w14:textId="66372D95" w:rsidR="009359DC" w:rsidRPr="00E263F4" w:rsidRDefault="009359DC" w:rsidP="00E263F4">
            <w:pPr>
              <w:spacing w:before="0" w:after="0" w:line="240" w:lineRule="auto"/>
              <w:jc w:val="center"/>
              <w:rPr>
                <w:color w:val="auto"/>
                <w:sz w:val="20"/>
                <w:szCs w:val="20"/>
              </w:rPr>
            </w:pPr>
            <w:r w:rsidRPr="00E263F4">
              <w:rPr>
                <w:color w:val="000000"/>
                <w:sz w:val="22"/>
                <w:szCs w:val="22"/>
              </w:rPr>
              <w:t>341</w:t>
            </w:r>
          </w:p>
        </w:tc>
      </w:tr>
      <w:tr w:rsidR="009359DC" w:rsidRPr="00E263F4" w14:paraId="4CE6802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68CE1F8" w14:textId="77777777" w:rsidR="009359DC" w:rsidRPr="00E263F4" w:rsidRDefault="009359DC" w:rsidP="009359DC">
            <w:pPr>
              <w:spacing w:before="0" w:after="0" w:line="240" w:lineRule="auto"/>
              <w:rPr>
                <w:color w:val="auto"/>
                <w:sz w:val="20"/>
                <w:szCs w:val="20"/>
              </w:rPr>
            </w:pPr>
            <w:r w:rsidRPr="00E263F4">
              <w:rPr>
                <w:color w:val="auto"/>
                <w:sz w:val="20"/>
                <w:szCs w:val="20"/>
              </w:rPr>
              <w:t>17</w:t>
            </w:r>
          </w:p>
        </w:tc>
        <w:tc>
          <w:tcPr>
            <w:tcW w:w="658" w:type="pct"/>
            <w:gridSpan w:val="2"/>
            <w:tcBorders>
              <w:top w:val="nil"/>
              <w:left w:val="nil"/>
              <w:bottom w:val="single" w:sz="4" w:space="0" w:color="auto"/>
              <w:right w:val="single" w:sz="4" w:space="0" w:color="auto"/>
            </w:tcBorders>
            <w:shd w:val="clear" w:color="auto" w:fill="auto"/>
            <w:noWrap/>
            <w:vAlign w:val="bottom"/>
          </w:tcPr>
          <w:p w14:paraId="15C5E3A1" w14:textId="6DDCA443" w:rsidR="009359DC" w:rsidRPr="00E263F4" w:rsidRDefault="009359DC" w:rsidP="00E263F4">
            <w:pPr>
              <w:spacing w:before="0" w:after="0" w:line="240" w:lineRule="auto"/>
              <w:jc w:val="center"/>
              <w:rPr>
                <w:color w:val="auto"/>
                <w:sz w:val="20"/>
                <w:szCs w:val="20"/>
              </w:rPr>
            </w:pPr>
            <w:r w:rsidRPr="00E263F4">
              <w:rPr>
                <w:color w:val="000000"/>
                <w:sz w:val="22"/>
                <w:szCs w:val="22"/>
              </w:rPr>
              <w:t>359</w:t>
            </w:r>
          </w:p>
        </w:tc>
        <w:tc>
          <w:tcPr>
            <w:tcW w:w="660" w:type="pct"/>
            <w:gridSpan w:val="2"/>
            <w:tcBorders>
              <w:top w:val="nil"/>
              <w:left w:val="nil"/>
              <w:bottom w:val="single" w:sz="4" w:space="0" w:color="auto"/>
              <w:right w:val="single" w:sz="4" w:space="0" w:color="auto"/>
            </w:tcBorders>
            <w:shd w:val="clear" w:color="auto" w:fill="auto"/>
            <w:noWrap/>
            <w:vAlign w:val="bottom"/>
          </w:tcPr>
          <w:p w14:paraId="63BA5DB2" w14:textId="44969733" w:rsidR="009359DC" w:rsidRPr="00E263F4" w:rsidRDefault="009359DC" w:rsidP="00E263F4">
            <w:pPr>
              <w:spacing w:before="0" w:after="0" w:line="240" w:lineRule="auto"/>
              <w:jc w:val="center"/>
              <w:rPr>
                <w:color w:val="auto"/>
                <w:sz w:val="20"/>
                <w:szCs w:val="20"/>
              </w:rPr>
            </w:pPr>
            <w:r w:rsidRPr="00E263F4">
              <w:rPr>
                <w:color w:val="000000"/>
                <w:sz w:val="22"/>
                <w:szCs w:val="22"/>
              </w:rPr>
              <w:t>284</w:t>
            </w:r>
          </w:p>
        </w:tc>
        <w:tc>
          <w:tcPr>
            <w:tcW w:w="540" w:type="pct"/>
            <w:tcBorders>
              <w:top w:val="nil"/>
              <w:left w:val="nil"/>
              <w:bottom w:val="single" w:sz="4" w:space="0" w:color="auto"/>
              <w:right w:val="single" w:sz="4" w:space="0" w:color="auto"/>
            </w:tcBorders>
            <w:shd w:val="clear" w:color="auto" w:fill="auto"/>
            <w:noWrap/>
            <w:vAlign w:val="bottom"/>
          </w:tcPr>
          <w:p w14:paraId="7FA95711" w14:textId="603358EA" w:rsidR="009359DC" w:rsidRPr="00E263F4" w:rsidRDefault="009359DC" w:rsidP="00E263F4">
            <w:pPr>
              <w:spacing w:before="0" w:after="0" w:line="240" w:lineRule="auto"/>
              <w:jc w:val="center"/>
              <w:rPr>
                <w:color w:val="auto"/>
                <w:sz w:val="20"/>
                <w:szCs w:val="20"/>
              </w:rPr>
            </w:pPr>
            <w:r w:rsidRPr="00E263F4">
              <w:rPr>
                <w:color w:val="000000"/>
                <w:sz w:val="22"/>
                <w:szCs w:val="22"/>
              </w:rPr>
              <w:t>242</w:t>
            </w:r>
          </w:p>
        </w:tc>
        <w:tc>
          <w:tcPr>
            <w:tcW w:w="553" w:type="pct"/>
            <w:gridSpan w:val="2"/>
            <w:tcBorders>
              <w:top w:val="nil"/>
              <w:left w:val="nil"/>
              <w:bottom w:val="single" w:sz="4" w:space="0" w:color="auto"/>
              <w:right w:val="single" w:sz="4" w:space="0" w:color="auto"/>
            </w:tcBorders>
            <w:shd w:val="clear" w:color="auto" w:fill="auto"/>
            <w:noWrap/>
            <w:vAlign w:val="bottom"/>
          </w:tcPr>
          <w:p w14:paraId="1E7E2C7A" w14:textId="2CE6FD99" w:rsidR="009359DC" w:rsidRPr="00E263F4" w:rsidRDefault="009359DC" w:rsidP="00E263F4">
            <w:pPr>
              <w:spacing w:before="0" w:after="0" w:line="240" w:lineRule="auto"/>
              <w:jc w:val="center"/>
              <w:rPr>
                <w:color w:val="auto"/>
                <w:sz w:val="20"/>
                <w:szCs w:val="20"/>
              </w:rPr>
            </w:pPr>
            <w:r w:rsidRPr="00E263F4">
              <w:rPr>
                <w:color w:val="000000"/>
                <w:sz w:val="22"/>
                <w:szCs w:val="22"/>
              </w:rPr>
              <w:t>214</w:t>
            </w:r>
          </w:p>
        </w:tc>
        <w:tc>
          <w:tcPr>
            <w:tcW w:w="697" w:type="pct"/>
            <w:gridSpan w:val="2"/>
            <w:tcBorders>
              <w:top w:val="nil"/>
              <w:left w:val="nil"/>
              <w:bottom w:val="single" w:sz="4" w:space="0" w:color="auto"/>
              <w:right w:val="single" w:sz="4" w:space="0" w:color="auto"/>
            </w:tcBorders>
            <w:shd w:val="clear" w:color="auto" w:fill="auto"/>
            <w:noWrap/>
            <w:vAlign w:val="bottom"/>
          </w:tcPr>
          <w:p w14:paraId="697CFD30" w14:textId="349BA256" w:rsidR="009359DC" w:rsidRPr="00E263F4" w:rsidRDefault="009359DC" w:rsidP="00E263F4">
            <w:pPr>
              <w:spacing w:before="0" w:after="0" w:line="240" w:lineRule="auto"/>
              <w:jc w:val="center"/>
              <w:rPr>
                <w:color w:val="auto"/>
                <w:sz w:val="20"/>
                <w:szCs w:val="20"/>
              </w:rPr>
            </w:pPr>
            <w:r w:rsidRPr="00E263F4">
              <w:rPr>
                <w:color w:val="000000"/>
                <w:sz w:val="22"/>
                <w:szCs w:val="22"/>
              </w:rPr>
              <w:t>249</w:t>
            </w:r>
          </w:p>
        </w:tc>
        <w:tc>
          <w:tcPr>
            <w:tcW w:w="690" w:type="pct"/>
            <w:gridSpan w:val="2"/>
            <w:tcBorders>
              <w:top w:val="nil"/>
              <w:left w:val="nil"/>
              <w:bottom w:val="single" w:sz="4" w:space="0" w:color="auto"/>
              <w:right w:val="single" w:sz="4" w:space="0" w:color="auto"/>
            </w:tcBorders>
            <w:shd w:val="clear" w:color="auto" w:fill="auto"/>
            <w:noWrap/>
            <w:vAlign w:val="bottom"/>
          </w:tcPr>
          <w:p w14:paraId="7B0A1577" w14:textId="51AF8938" w:rsidR="009359DC" w:rsidRPr="00E263F4" w:rsidRDefault="009359DC" w:rsidP="00E263F4">
            <w:pPr>
              <w:spacing w:before="0" w:after="0" w:line="240" w:lineRule="auto"/>
              <w:jc w:val="center"/>
              <w:rPr>
                <w:color w:val="auto"/>
                <w:sz w:val="20"/>
                <w:szCs w:val="20"/>
              </w:rPr>
            </w:pPr>
            <w:r w:rsidRPr="00E263F4">
              <w:rPr>
                <w:color w:val="000000"/>
                <w:sz w:val="22"/>
                <w:szCs w:val="22"/>
              </w:rPr>
              <w:t>240</w:t>
            </w:r>
          </w:p>
        </w:tc>
      </w:tr>
      <w:tr w:rsidR="009359DC" w:rsidRPr="00E263F4" w14:paraId="7502B0C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1D00142" w14:textId="77777777" w:rsidR="009359DC" w:rsidRPr="00E263F4" w:rsidRDefault="009359DC" w:rsidP="009359DC">
            <w:pPr>
              <w:spacing w:before="0" w:after="0" w:line="240" w:lineRule="auto"/>
              <w:rPr>
                <w:color w:val="auto"/>
                <w:sz w:val="20"/>
                <w:szCs w:val="20"/>
              </w:rPr>
            </w:pPr>
            <w:r w:rsidRPr="00E263F4">
              <w:rPr>
                <w:color w:val="auto"/>
                <w:sz w:val="20"/>
                <w:szCs w:val="20"/>
              </w:rPr>
              <w:t>18</w:t>
            </w:r>
          </w:p>
        </w:tc>
        <w:tc>
          <w:tcPr>
            <w:tcW w:w="658" w:type="pct"/>
            <w:gridSpan w:val="2"/>
            <w:tcBorders>
              <w:top w:val="nil"/>
              <w:left w:val="nil"/>
              <w:bottom w:val="single" w:sz="4" w:space="0" w:color="auto"/>
              <w:right w:val="single" w:sz="4" w:space="0" w:color="auto"/>
            </w:tcBorders>
            <w:shd w:val="clear" w:color="auto" w:fill="auto"/>
            <w:noWrap/>
            <w:vAlign w:val="bottom"/>
          </w:tcPr>
          <w:p w14:paraId="63CD22AE" w14:textId="56300A3A" w:rsidR="009359DC" w:rsidRPr="00E263F4" w:rsidRDefault="009359DC" w:rsidP="00E263F4">
            <w:pPr>
              <w:spacing w:before="0" w:after="0" w:line="240" w:lineRule="auto"/>
              <w:jc w:val="center"/>
              <w:rPr>
                <w:color w:val="auto"/>
                <w:sz w:val="20"/>
                <w:szCs w:val="20"/>
              </w:rPr>
            </w:pPr>
            <w:r w:rsidRPr="00E263F4">
              <w:rPr>
                <w:color w:val="000000"/>
                <w:sz w:val="22"/>
                <w:szCs w:val="22"/>
              </w:rPr>
              <w:t>267</w:t>
            </w:r>
          </w:p>
        </w:tc>
        <w:tc>
          <w:tcPr>
            <w:tcW w:w="660" w:type="pct"/>
            <w:gridSpan w:val="2"/>
            <w:tcBorders>
              <w:top w:val="nil"/>
              <w:left w:val="nil"/>
              <w:bottom w:val="single" w:sz="4" w:space="0" w:color="auto"/>
              <w:right w:val="single" w:sz="4" w:space="0" w:color="auto"/>
            </w:tcBorders>
            <w:shd w:val="clear" w:color="auto" w:fill="auto"/>
            <w:noWrap/>
            <w:vAlign w:val="bottom"/>
          </w:tcPr>
          <w:p w14:paraId="4FB86805" w14:textId="0C052798" w:rsidR="009359DC" w:rsidRPr="00E263F4" w:rsidRDefault="009359DC" w:rsidP="00E263F4">
            <w:pPr>
              <w:spacing w:before="0" w:after="0" w:line="240" w:lineRule="auto"/>
              <w:jc w:val="center"/>
              <w:rPr>
                <w:color w:val="auto"/>
                <w:sz w:val="20"/>
                <w:szCs w:val="20"/>
              </w:rPr>
            </w:pPr>
            <w:r w:rsidRPr="00E263F4">
              <w:rPr>
                <w:color w:val="000000"/>
                <w:sz w:val="22"/>
                <w:szCs w:val="22"/>
              </w:rPr>
              <w:t>194</w:t>
            </w:r>
          </w:p>
        </w:tc>
        <w:tc>
          <w:tcPr>
            <w:tcW w:w="540" w:type="pct"/>
            <w:tcBorders>
              <w:top w:val="nil"/>
              <w:left w:val="nil"/>
              <w:bottom w:val="single" w:sz="4" w:space="0" w:color="auto"/>
              <w:right w:val="single" w:sz="4" w:space="0" w:color="auto"/>
            </w:tcBorders>
            <w:shd w:val="clear" w:color="auto" w:fill="auto"/>
            <w:noWrap/>
            <w:vAlign w:val="bottom"/>
          </w:tcPr>
          <w:p w14:paraId="707B567D" w14:textId="3CCCA180" w:rsidR="009359DC" w:rsidRPr="00E263F4" w:rsidRDefault="009359DC" w:rsidP="00E263F4">
            <w:pPr>
              <w:spacing w:before="0" w:after="0" w:line="240" w:lineRule="auto"/>
              <w:jc w:val="center"/>
              <w:rPr>
                <w:color w:val="auto"/>
                <w:sz w:val="20"/>
                <w:szCs w:val="20"/>
              </w:rPr>
            </w:pPr>
            <w:r w:rsidRPr="00E263F4">
              <w:rPr>
                <w:color w:val="000000"/>
                <w:sz w:val="22"/>
                <w:szCs w:val="22"/>
              </w:rPr>
              <w:t>164</w:t>
            </w:r>
          </w:p>
        </w:tc>
        <w:tc>
          <w:tcPr>
            <w:tcW w:w="553" w:type="pct"/>
            <w:gridSpan w:val="2"/>
            <w:tcBorders>
              <w:top w:val="nil"/>
              <w:left w:val="nil"/>
              <w:bottom w:val="single" w:sz="4" w:space="0" w:color="auto"/>
              <w:right w:val="single" w:sz="4" w:space="0" w:color="auto"/>
            </w:tcBorders>
            <w:shd w:val="clear" w:color="auto" w:fill="auto"/>
            <w:noWrap/>
            <w:vAlign w:val="bottom"/>
          </w:tcPr>
          <w:p w14:paraId="46B1EEF9" w14:textId="115C7695" w:rsidR="009359DC" w:rsidRPr="00E263F4" w:rsidRDefault="009359DC" w:rsidP="00E263F4">
            <w:pPr>
              <w:spacing w:before="0" w:after="0" w:line="240" w:lineRule="auto"/>
              <w:jc w:val="center"/>
              <w:rPr>
                <w:color w:val="auto"/>
                <w:sz w:val="20"/>
                <w:szCs w:val="20"/>
              </w:rPr>
            </w:pPr>
            <w:r w:rsidRPr="00E263F4">
              <w:rPr>
                <w:color w:val="000000"/>
                <w:sz w:val="22"/>
                <w:szCs w:val="22"/>
              </w:rPr>
              <w:t>148</w:t>
            </w:r>
          </w:p>
        </w:tc>
        <w:tc>
          <w:tcPr>
            <w:tcW w:w="697" w:type="pct"/>
            <w:gridSpan w:val="2"/>
            <w:tcBorders>
              <w:top w:val="nil"/>
              <w:left w:val="nil"/>
              <w:bottom w:val="single" w:sz="4" w:space="0" w:color="auto"/>
              <w:right w:val="single" w:sz="4" w:space="0" w:color="auto"/>
            </w:tcBorders>
            <w:shd w:val="clear" w:color="auto" w:fill="auto"/>
            <w:noWrap/>
            <w:vAlign w:val="bottom"/>
          </w:tcPr>
          <w:p w14:paraId="3329A026" w14:textId="233DE5C2" w:rsidR="009359DC" w:rsidRPr="00E263F4" w:rsidRDefault="009359DC" w:rsidP="00E263F4">
            <w:pPr>
              <w:spacing w:before="0" w:after="0" w:line="240" w:lineRule="auto"/>
              <w:jc w:val="center"/>
              <w:rPr>
                <w:color w:val="auto"/>
                <w:sz w:val="20"/>
                <w:szCs w:val="20"/>
              </w:rPr>
            </w:pPr>
            <w:r w:rsidRPr="00E263F4">
              <w:rPr>
                <w:color w:val="000000"/>
                <w:sz w:val="22"/>
                <w:szCs w:val="22"/>
              </w:rPr>
              <w:t>182</w:t>
            </w:r>
          </w:p>
        </w:tc>
        <w:tc>
          <w:tcPr>
            <w:tcW w:w="690" w:type="pct"/>
            <w:gridSpan w:val="2"/>
            <w:tcBorders>
              <w:top w:val="nil"/>
              <w:left w:val="nil"/>
              <w:bottom w:val="single" w:sz="4" w:space="0" w:color="auto"/>
              <w:right w:val="single" w:sz="4" w:space="0" w:color="auto"/>
            </w:tcBorders>
            <w:shd w:val="clear" w:color="auto" w:fill="auto"/>
            <w:noWrap/>
            <w:vAlign w:val="bottom"/>
          </w:tcPr>
          <w:p w14:paraId="5EF1958A" w14:textId="18A3FCB9" w:rsidR="009359DC" w:rsidRPr="00E263F4" w:rsidRDefault="009359DC" w:rsidP="00E263F4">
            <w:pPr>
              <w:spacing w:before="0" w:after="0" w:line="240" w:lineRule="auto"/>
              <w:jc w:val="center"/>
              <w:rPr>
                <w:color w:val="auto"/>
                <w:sz w:val="20"/>
                <w:szCs w:val="20"/>
              </w:rPr>
            </w:pPr>
            <w:r w:rsidRPr="00E263F4">
              <w:rPr>
                <w:color w:val="000000"/>
                <w:sz w:val="22"/>
                <w:szCs w:val="22"/>
              </w:rPr>
              <w:t>227</w:t>
            </w:r>
          </w:p>
        </w:tc>
      </w:tr>
      <w:tr w:rsidR="009359DC" w:rsidRPr="00E263F4" w14:paraId="77A3429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3441CAF" w14:textId="77777777" w:rsidR="009359DC" w:rsidRPr="00E263F4" w:rsidRDefault="009359DC" w:rsidP="009359DC">
            <w:pPr>
              <w:spacing w:before="0" w:after="0" w:line="240" w:lineRule="auto"/>
              <w:rPr>
                <w:color w:val="auto"/>
                <w:sz w:val="20"/>
                <w:szCs w:val="20"/>
              </w:rPr>
            </w:pPr>
            <w:r w:rsidRPr="00E263F4">
              <w:rPr>
                <w:color w:val="auto"/>
                <w:sz w:val="20"/>
                <w:szCs w:val="20"/>
              </w:rPr>
              <w:t>19</w:t>
            </w:r>
          </w:p>
        </w:tc>
        <w:tc>
          <w:tcPr>
            <w:tcW w:w="658" w:type="pct"/>
            <w:gridSpan w:val="2"/>
            <w:tcBorders>
              <w:top w:val="nil"/>
              <w:left w:val="nil"/>
              <w:bottom w:val="single" w:sz="4" w:space="0" w:color="auto"/>
              <w:right w:val="single" w:sz="4" w:space="0" w:color="auto"/>
            </w:tcBorders>
            <w:shd w:val="clear" w:color="auto" w:fill="auto"/>
            <w:noWrap/>
            <w:vAlign w:val="bottom"/>
          </w:tcPr>
          <w:p w14:paraId="670D1228" w14:textId="6623165A" w:rsidR="009359DC" w:rsidRPr="00E263F4" w:rsidRDefault="009359DC" w:rsidP="00E263F4">
            <w:pPr>
              <w:spacing w:before="0" w:after="0" w:line="240" w:lineRule="auto"/>
              <w:jc w:val="center"/>
              <w:rPr>
                <w:color w:val="auto"/>
                <w:sz w:val="20"/>
                <w:szCs w:val="20"/>
              </w:rPr>
            </w:pPr>
            <w:r w:rsidRPr="00E263F4">
              <w:rPr>
                <w:color w:val="000000"/>
                <w:sz w:val="22"/>
                <w:szCs w:val="22"/>
              </w:rPr>
              <w:t>217</w:t>
            </w:r>
          </w:p>
        </w:tc>
        <w:tc>
          <w:tcPr>
            <w:tcW w:w="660" w:type="pct"/>
            <w:gridSpan w:val="2"/>
            <w:tcBorders>
              <w:top w:val="nil"/>
              <w:left w:val="nil"/>
              <w:bottom w:val="single" w:sz="4" w:space="0" w:color="auto"/>
              <w:right w:val="single" w:sz="4" w:space="0" w:color="auto"/>
            </w:tcBorders>
            <w:shd w:val="clear" w:color="auto" w:fill="auto"/>
            <w:noWrap/>
            <w:vAlign w:val="bottom"/>
          </w:tcPr>
          <w:p w14:paraId="7B7E654B" w14:textId="6B1D7008"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c>
          <w:tcPr>
            <w:tcW w:w="540" w:type="pct"/>
            <w:tcBorders>
              <w:top w:val="nil"/>
              <w:left w:val="nil"/>
              <w:bottom w:val="single" w:sz="4" w:space="0" w:color="auto"/>
              <w:right w:val="single" w:sz="4" w:space="0" w:color="auto"/>
            </w:tcBorders>
            <w:shd w:val="clear" w:color="auto" w:fill="auto"/>
            <w:noWrap/>
            <w:vAlign w:val="bottom"/>
          </w:tcPr>
          <w:p w14:paraId="3B00DA25" w14:textId="635FCDFA" w:rsidR="009359DC" w:rsidRPr="00E263F4" w:rsidRDefault="009359DC" w:rsidP="00E263F4">
            <w:pPr>
              <w:spacing w:before="0" w:after="0" w:line="240" w:lineRule="auto"/>
              <w:jc w:val="center"/>
              <w:rPr>
                <w:color w:val="auto"/>
                <w:sz w:val="20"/>
                <w:szCs w:val="20"/>
              </w:rPr>
            </w:pPr>
            <w:r w:rsidRPr="00E263F4">
              <w:rPr>
                <w:color w:val="000000"/>
                <w:sz w:val="22"/>
                <w:szCs w:val="22"/>
              </w:rPr>
              <w:t>140</w:t>
            </w:r>
          </w:p>
        </w:tc>
        <w:tc>
          <w:tcPr>
            <w:tcW w:w="553" w:type="pct"/>
            <w:gridSpan w:val="2"/>
            <w:tcBorders>
              <w:top w:val="nil"/>
              <w:left w:val="nil"/>
              <w:bottom w:val="single" w:sz="4" w:space="0" w:color="auto"/>
              <w:right w:val="single" w:sz="4" w:space="0" w:color="auto"/>
            </w:tcBorders>
            <w:shd w:val="clear" w:color="auto" w:fill="auto"/>
            <w:noWrap/>
            <w:vAlign w:val="bottom"/>
          </w:tcPr>
          <w:p w14:paraId="2ABD8680" w14:textId="6D6DDF63" w:rsidR="009359DC" w:rsidRPr="00E263F4" w:rsidRDefault="009359DC" w:rsidP="00E263F4">
            <w:pPr>
              <w:spacing w:before="0" w:after="0" w:line="240" w:lineRule="auto"/>
              <w:jc w:val="center"/>
              <w:rPr>
                <w:color w:val="auto"/>
                <w:sz w:val="20"/>
                <w:szCs w:val="20"/>
              </w:rPr>
            </w:pPr>
            <w:r w:rsidRPr="00E263F4">
              <w:rPr>
                <w:color w:val="000000"/>
                <w:sz w:val="22"/>
                <w:szCs w:val="22"/>
              </w:rPr>
              <w:t>174</w:t>
            </w:r>
          </w:p>
        </w:tc>
        <w:tc>
          <w:tcPr>
            <w:tcW w:w="697" w:type="pct"/>
            <w:gridSpan w:val="2"/>
            <w:tcBorders>
              <w:top w:val="nil"/>
              <w:left w:val="nil"/>
              <w:bottom w:val="single" w:sz="4" w:space="0" w:color="auto"/>
              <w:right w:val="single" w:sz="4" w:space="0" w:color="auto"/>
            </w:tcBorders>
            <w:shd w:val="clear" w:color="auto" w:fill="auto"/>
            <w:noWrap/>
            <w:vAlign w:val="bottom"/>
          </w:tcPr>
          <w:p w14:paraId="43DD93CC" w14:textId="2B1FC490" w:rsidR="009359DC" w:rsidRPr="00E263F4" w:rsidRDefault="009359DC" w:rsidP="00E263F4">
            <w:pPr>
              <w:spacing w:before="0" w:after="0" w:line="240" w:lineRule="auto"/>
              <w:jc w:val="center"/>
              <w:rPr>
                <w:color w:val="auto"/>
                <w:sz w:val="20"/>
                <w:szCs w:val="20"/>
              </w:rPr>
            </w:pPr>
            <w:r w:rsidRPr="00E263F4">
              <w:rPr>
                <w:color w:val="000000"/>
                <w:sz w:val="22"/>
                <w:szCs w:val="22"/>
              </w:rPr>
              <w:t>239</w:t>
            </w:r>
          </w:p>
        </w:tc>
        <w:tc>
          <w:tcPr>
            <w:tcW w:w="690" w:type="pct"/>
            <w:gridSpan w:val="2"/>
            <w:tcBorders>
              <w:top w:val="nil"/>
              <w:left w:val="nil"/>
              <w:bottom w:val="single" w:sz="4" w:space="0" w:color="auto"/>
              <w:right w:val="single" w:sz="4" w:space="0" w:color="auto"/>
            </w:tcBorders>
            <w:shd w:val="clear" w:color="auto" w:fill="auto"/>
            <w:noWrap/>
            <w:vAlign w:val="bottom"/>
          </w:tcPr>
          <w:p w14:paraId="267BD4E6" w14:textId="7CC49BDB" w:rsidR="009359DC" w:rsidRPr="00E263F4" w:rsidRDefault="009359DC" w:rsidP="00E263F4">
            <w:pPr>
              <w:spacing w:before="0" w:after="0" w:line="240" w:lineRule="auto"/>
              <w:jc w:val="center"/>
              <w:rPr>
                <w:color w:val="auto"/>
                <w:sz w:val="20"/>
                <w:szCs w:val="20"/>
              </w:rPr>
            </w:pPr>
            <w:r w:rsidRPr="00E263F4">
              <w:rPr>
                <w:color w:val="000000"/>
                <w:sz w:val="22"/>
                <w:szCs w:val="22"/>
              </w:rPr>
              <w:t>251</w:t>
            </w:r>
          </w:p>
        </w:tc>
      </w:tr>
      <w:tr w:rsidR="009359DC" w:rsidRPr="00E263F4" w14:paraId="0C2ED09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D3E55D3" w14:textId="77777777" w:rsidR="009359DC" w:rsidRPr="00E263F4" w:rsidRDefault="009359DC" w:rsidP="009359DC">
            <w:pPr>
              <w:spacing w:before="0" w:after="0" w:line="240" w:lineRule="auto"/>
              <w:rPr>
                <w:color w:val="auto"/>
                <w:sz w:val="20"/>
                <w:szCs w:val="20"/>
              </w:rPr>
            </w:pPr>
            <w:r w:rsidRPr="00E263F4">
              <w:rPr>
                <w:color w:val="auto"/>
                <w:sz w:val="20"/>
                <w:szCs w:val="20"/>
              </w:rPr>
              <w:t>20</w:t>
            </w:r>
          </w:p>
        </w:tc>
        <w:tc>
          <w:tcPr>
            <w:tcW w:w="658" w:type="pct"/>
            <w:gridSpan w:val="2"/>
            <w:tcBorders>
              <w:top w:val="nil"/>
              <w:left w:val="nil"/>
              <w:bottom w:val="single" w:sz="4" w:space="0" w:color="auto"/>
              <w:right w:val="single" w:sz="4" w:space="0" w:color="auto"/>
            </w:tcBorders>
            <w:shd w:val="clear" w:color="auto" w:fill="auto"/>
            <w:noWrap/>
            <w:vAlign w:val="bottom"/>
          </w:tcPr>
          <w:p w14:paraId="6B6F57B1" w14:textId="1D9C0EB5" w:rsidR="009359DC" w:rsidRPr="00E263F4" w:rsidRDefault="009359DC" w:rsidP="00E263F4">
            <w:pPr>
              <w:spacing w:before="0" w:after="0" w:line="240" w:lineRule="auto"/>
              <w:jc w:val="center"/>
              <w:rPr>
                <w:color w:val="auto"/>
                <w:sz w:val="20"/>
                <w:szCs w:val="20"/>
              </w:rPr>
            </w:pPr>
            <w:r w:rsidRPr="00E263F4">
              <w:rPr>
                <w:color w:val="000000"/>
                <w:sz w:val="22"/>
                <w:szCs w:val="22"/>
              </w:rPr>
              <w:t>224</w:t>
            </w:r>
          </w:p>
        </w:tc>
        <w:tc>
          <w:tcPr>
            <w:tcW w:w="660" w:type="pct"/>
            <w:gridSpan w:val="2"/>
            <w:tcBorders>
              <w:top w:val="nil"/>
              <w:left w:val="nil"/>
              <w:bottom w:val="single" w:sz="4" w:space="0" w:color="auto"/>
              <w:right w:val="single" w:sz="4" w:space="0" w:color="auto"/>
            </w:tcBorders>
            <w:shd w:val="clear" w:color="auto" w:fill="auto"/>
            <w:noWrap/>
            <w:vAlign w:val="bottom"/>
          </w:tcPr>
          <w:p w14:paraId="29840B8D" w14:textId="06ECE9D5" w:rsidR="009359DC" w:rsidRPr="00E263F4" w:rsidRDefault="009359DC" w:rsidP="00E263F4">
            <w:pPr>
              <w:spacing w:before="0" w:after="0" w:line="240" w:lineRule="auto"/>
              <w:jc w:val="center"/>
              <w:rPr>
                <w:color w:val="auto"/>
                <w:sz w:val="20"/>
                <w:szCs w:val="20"/>
              </w:rPr>
            </w:pPr>
            <w:r w:rsidRPr="00E263F4">
              <w:rPr>
                <w:color w:val="000000"/>
                <w:sz w:val="22"/>
                <w:szCs w:val="22"/>
              </w:rPr>
              <w:t>216</w:t>
            </w:r>
          </w:p>
        </w:tc>
        <w:tc>
          <w:tcPr>
            <w:tcW w:w="540" w:type="pct"/>
            <w:tcBorders>
              <w:top w:val="nil"/>
              <w:left w:val="nil"/>
              <w:bottom w:val="single" w:sz="4" w:space="0" w:color="auto"/>
              <w:right w:val="single" w:sz="4" w:space="0" w:color="auto"/>
            </w:tcBorders>
            <w:shd w:val="clear" w:color="auto" w:fill="auto"/>
            <w:noWrap/>
            <w:vAlign w:val="bottom"/>
          </w:tcPr>
          <w:p w14:paraId="49BBE994" w14:textId="49D34D12" w:rsidR="009359DC" w:rsidRPr="00E263F4" w:rsidRDefault="009359DC" w:rsidP="00E263F4">
            <w:pPr>
              <w:spacing w:before="0" w:after="0" w:line="240" w:lineRule="auto"/>
              <w:jc w:val="center"/>
              <w:rPr>
                <w:color w:val="auto"/>
                <w:sz w:val="20"/>
                <w:szCs w:val="20"/>
              </w:rPr>
            </w:pPr>
            <w:r w:rsidRPr="00E263F4">
              <w:rPr>
                <w:color w:val="000000"/>
                <w:sz w:val="22"/>
                <w:szCs w:val="22"/>
              </w:rPr>
              <w:t>194</w:t>
            </w:r>
          </w:p>
        </w:tc>
        <w:tc>
          <w:tcPr>
            <w:tcW w:w="553" w:type="pct"/>
            <w:gridSpan w:val="2"/>
            <w:tcBorders>
              <w:top w:val="nil"/>
              <w:left w:val="nil"/>
              <w:bottom w:val="single" w:sz="4" w:space="0" w:color="auto"/>
              <w:right w:val="single" w:sz="4" w:space="0" w:color="auto"/>
            </w:tcBorders>
            <w:shd w:val="clear" w:color="auto" w:fill="auto"/>
            <w:noWrap/>
            <w:vAlign w:val="bottom"/>
          </w:tcPr>
          <w:p w14:paraId="48FCA5F0" w14:textId="4A408A53" w:rsidR="009359DC" w:rsidRPr="00E263F4" w:rsidRDefault="009359DC" w:rsidP="00E263F4">
            <w:pPr>
              <w:spacing w:before="0" w:after="0" w:line="240" w:lineRule="auto"/>
              <w:jc w:val="center"/>
              <w:rPr>
                <w:color w:val="auto"/>
                <w:sz w:val="20"/>
                <w:szCs w:val="20"/>
              </w:rPr>
            </w:pPr>
            <w:r w:rsidRPr="00E263F4">
              <w:rPr>
                <w:color w:val="000000"/>
                <w:sz w:val="22"/>
                <w:szCs w:val="22"/>
              </w:rPr>
              <w:t>193</w:t>
            </w:r>
          </w:p>
        </w:tc>
        <w:tc>
          <w:tcPr>
            <w:tcW w:w="697" w:type="pct"/>
            <w:gridSpan w:val="2"/>
            <w:tcBorders>
              <w:top w:val="nil"/>
              <w:left w:val="nil"/>
              <w:bottom w:val="single" w:sz="4" w:space="0" w:color="auto"/>
              <w:right w:val="single" w:sz="4" w:space="0" w:color="auto"/>
            </w:tcBorders>
            <w:shd w:val="clear" w:color="auto" w:fill="auto"/>
            <w:noWrap/>
            <w:vAlign w:val="bottom"/>
          </w:tcPr>
          <w:p w14:paraId="1F76B37E" w14:textId="29076360" w:rsidR="009359DC" w:rsidRPr="00E263F4" w:rsidRDefault="009359DC" w:rsidP="00E263F4">
            <w:pPr>
              <w:spacing w:before="0" w:after="0" w:line="240" w:lineRule="auto"/>
              <w:jc w:val="center"/>
              <w:rPr>
                <w:color w:val="auto"/>
                <w:sz w:val="20"/>
                <w:szCs w:val="20"/>
              </w:rPr>
            </w:pPr>
            <w:r w:rsidRPr="00E263F4">
              <w:rPr>
                <w:color w:val="000000"/>
                <w:sz w:val="22"/>
                <w:szCs w:val="22"/>
              </w:rPr>
              <w:t>216</w:t>
            </w:r>
          </w:p>
        </w:tc>
        <w:tc>
          <w:tcPr>
            <w:tcW w:w="690" w:type="pct"/>
            <w:gridSpan w:val="2"/>
            <w:tcBorders>
              <w:top w:val="nil"/>
              <w:left w:val="nil"/>
              <w:bottom w:val="single" w:sz="4" w:space="0" w:color="auto"/>
              <w:right w:val="single" w:sz="4" w:space="0" w:color="auto"/>
            </w:tcBorders>
            <w:shd w:val="clear" w:color="auto" w:fill="auto"/>
            <w:noWrap/>
            <w:vAlign w:val="bottom"/>
          </w:tcPr>
          <w:p w14:paraId="27D0B14E" w14:textId="1B7C2FD2" w:rsidR="009359DC" w:rsidRPr="00E263F4" w:rsidRDefault="009359DC" w:rsidP="00E263F4">
            <w:pPr>
              <w:spacing w:before="0" w:after="0" w:line="240" w:lineRule="auto"/>
              <w:jc w:val="center"/>
              <w:rPr>
                <w:color w:val="auto"/>
                <w:sz w:val="20"/>
                <w:szCs w:val="20"/>
              </w:rPr>
            </w:pPr>
            <w:r w:rsidRPr="00E263F4">
              <w:rPr>
                <w:color w:val="000000"/>
                <w:sz w:val="22"/>
                <w:szCs w:val="22"/>
              </w:rPr>
              <w:t>241</w:t>
            </w:r>
          </w:p>
        </w:tc>
      </w:tr>
      <w:tr w:rsidR="009359DC" w:rsidRPr="00E263F4" w14:paraId="51177BF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B04B666" w14:textId="77777777" w:rsidR="009359DC" w:rsidRPr="00E263F4" w:rsidRDefault="009359DC" w:rsidP="009359DC">
            <w:pPr>
              <w:spacing w:before="0" w:after="0" w:line="240" w:lineRule="auto"/>
              <w:rPr>
                <w:color w:val="auto"/>
                <w:sz w:val="20"/>
                <w:szCs w:val="20"/>
              </w:rPr>
            </w:pPr>
            <w:r w:rsidRPr="00E263F4">
              <w:rPr>
                <w:color w:val="auto"/>
                <w:sz w:val="20"/>
                <w:szCs w:val="20"/>
              </w:rPr>
              <w:t>21</w:t>
            </w:r>
          </w:p>
        </w:tc>
        <w:tc>
          <w:tcPr>
            <w:tcW w:w="658" w:type="pct"/>
            <w:gridSpan w:val="2"/>
            <w:tcBorders>
              <w:top w:val="nil"/>
              <w:left w:val="nil"/>
              <w:bottom w:val="single" w:sz="4" w:space="0" w:color="auto"/>
              <w:right w:val="single" w:sz="4" w:space="0" w:color="auto"/>
            </w:tcBorders>
            <w:shd w:val="clear" w:color="auto" w:fill="auto"/>
            <w:noWrap/>
            <w:vAlign w:val="bottom"/>
          </w:tcPr>
          <w:p w14:paraId="7ED651D3" w14:textId="06434BE2" w:rsidR="009359DC" w:rsidRPr="00E263F4" w:rsidRDefault="009359DC" w:rsidP="00E263F4">
            <w:pPr>
              <w:spacing w:before="0" w:after="0" w:line="240" w:lineRule="auto"/>
              <w:jc w:val="center"/>
              <w:rPr>
                <w:color w:val="auto"/>
                <w:sz w:val="20"/>
                <w:szCs w:val="20"/>
              </w:rPr>
            </w:pPr>
            <w:r w:rsidRPr="00E263F4">
              <w:rPr>
                <w:color w:val="000000"/>
                <w:sz w:val="22"/>
                <w:szCs w:val="22"/>
              </w:rPr>
              <w:t>448</w:t>
            </w:r>
          </w:p>
        </w:tc>
        <w:tc>
          <w:tcPr>
            <w:tcW w:w="660" w:type="pct"/>
            <w:gridSpan w:val="2"/>
            <w:tcBorders>
              <w:top w:val="nil"/>
              <w:left w:val="nil"/>
              <w:bottom w:val="single" w:sz="4" w:space="0" w:color="auto"/>
              <w:right w:val="single" w:sz="4" w:space="0" w:color="auto"/>
            </w:tcBorders>
            <w:shd w:val="clear" w:color="auto" w:fill="auto"/>
            <w:noWrap/>
            <w:vAlign w:val="bottom"/>
          </w:tcPr>
          <w:p w14:paraId="7F0E05B5" w14:textId="5EC2C03E" w:rsidR="009359DC" w:rsidRPr="00E263F4" w:rsidRDefault="009359DC" w:rsidP="00E263F4">
            <w:pPr>
              <w:spacing w:before="0" w:after="0" w:line="240" w:lineRule="auto"/>
              <w:jc w:val="center"/>
              <w:rPr>
                <w:color w:val="auto"/>
                <w:sz w:val="20"/>
                <w:szCs w:val="20"/>
              </w:rPr>
            </w:pPr>
            <w:r w:rsidRPr="00E263F4">
              <w:rPr>
                <w:color w:val="000000"/>
                <w:sz w:val="22"/>
                <w:szCs w:val="22"/>
              </w:rPr>
              <w:t>408</w:t>
            </w:r>
          </w:p>
        </w:tc>
        <w:tc>
          <w:tcPr>
            <w:tcW w:w="540" w:type="pct"/>
            <w:tcBorders>
              <w:top w:val="nil"/>
              <w:left w:val="nil"/>
              <w:bottom w:val="single" w:sz="4" w:space="0" w:color="auto"/>
              <w:right w:val="single" w:sz="4" w:space="0" w:color="auto"/>
            </w:tcBorders>
            <w:shd w:val="clear" w:color="auto" w:fill="auto"/>
            <w:noWrap/>
            <w:vAlign w:val="bottom"/>
          </w:tcPr>
          <w:p w14:paraId="57FDECE9" w14:textId="7055EBA1" w:rsidR="009359DC" w:rsidRPr="00E263F4" w:rsidRDefault="009359DC" w:rsidP="00E263F4">
            <w:pPr>
              <w:spacing w:before="0" w:after="0" w:line="240" w:lineRule="auto"/>
              <w:jc w:val="center"/>
              <w:rPr>
                <w:color w:val="auto"/>
                <w:sz w:val="20"/>
                <w:szCs w:val="20"/>
              </w:rPr>
            </w:pPr>
            <w:r w:rsidRPr="00E263F4">
              <w:rPr>
                <w:color w:val="000000"/>
                <w:sz w:val="22"/>
                <w:szCs w:val="22"/>
              </w:rPr>
              <w:t>361</w:t>
            </w:r>
          </w:p>
        </w:tc>
        <w:tc>
          <w:tcPr>
            <w:tcW w:w="553" w:type="pct"/>
            <w:gridSpan w:val="2"/>
            <w:tcBorders>
              <w:top w:val="nil"/>
              <w:left w:val="nil"/>
              <w:bottom w:val="single" w:sz="4" w:space="0" w:color="auto"/>
              <w:right w:val="single" w:sz="4" w:space="0" w:color="auto"/>
            </w:tcBorders>
            <w:shd w:val="clear" w:color="auto" w:fill="auto"/>
            <w:noWrap/>
            <w:vAlign w:val="bottom"/>
          </w:tcPr>
          <w:p w14:paraId="43767FBC" w14:textId="2B3D68EA" w:rsidR="009359DC" w:rsidRPr="00E263F4" w:rsidRDefault="009359DC" w:rsidP="00E263F4">
            <w:pPr>
              <w:spacing w:before="0" w:after="0" w:line="240" w:lineRule="auto"/>
              <w:jc w:val="center"/>
              <w:rPr>
                <w:color w:val="auto"/>
                <w:sz w:val="20"/>
                <w:szCs w:val="20"/>
              </w:rPr>
            </w:pPr>
            <w:r w:rsidRPr="00E263F4">
              <w:rPr>
                <w:color w:val="000000"/>
                <w:sz w:val="22"/>
                <w:szCs w:val="22"/>
              </w:rPr>
              <w:t>341</w:t>
            </w:r>
          </w:p>
        </w:tc>
        <w:tc>
          <w:tcPr>
            <w:tcW w:w="697" w:type="pct"/>
            <w:gridSpan w:val="2"/>
            <w:tcBorders>
              <w:top w:val="nil"/>
              <w:left w:val="nil"/>
              <w:bottom w:val="single" w:sz="4" w:space="0" w:color="auto"/>
              <w:right w:val="single" w:sz="4" w:space="0" w:color="auto"/>
            </w:tcBorders>
            <w:shd w:val="clear" w:color="auto" w:fill="auto"/>
            <w:noWrap/>
            <w:vAlign w:val="bottom"/>
          </w:tcPr>
          <w:p w14:paraId="340F2803" w14:textId="6DEEA25C" w:rsidR="009359DC" w:rsidRPr="00E263F4" w:rsidRDefault="009359DC" w:rsidP="00E263F4">
            <w:pPr>
              <w:spacing w:before="0" w:after="0" w:line="240" w:lineRule="auto"/>
              <w:jc w:val="center"/>
              <w:rPr>
                <w:color w:val="auto"/>
                <w:sz w:val="20"/>
                <w:szCs w:val="20"/>
              </w:rPr>
            </w:pPr>
            <w:r w:rsidRPr="00E263F4">
              <w:rPr>
                <w:color w:val="000000"/>
                <w:sz w:val="22"/>
                <w:szCs w:val="22"/>
              </w:rPr>
              <w:t>381</w:t>
            </w:r>
          </w:p>
        </w:tc>
        <w:tc>
          <w:tcPr>
            <w:tcW w:w="690" w:type="pct"/>
            <w:gridSpan w:val="2"/>
            <w:tcBorders>
              <w:top w:val="nil"/>
              <w:left w:val="nil"/>
              <w:bottom w:val="single" w:sz="4" w:space="0" w:color="auto"/>
              <w:right w:val="single" w:sz="4" w:space="0" w:color="auto"/>
            </w:tcBorders>
            <w:shd w:val="clear" w:color="auto" w:fill="auto"/>
            <w:noWrap/>
            <w:vAlign w:val="bottom"/>
          </w:tcPr>
          <w:p w14:paraId="447ED754" w14:textId="76D79CF4" w:rsidR="009359DC" w:rsidRPr="00E263F4" w:rsidRDefault="009359DC" w:rsidP="00E263F4">
            <w:pPr>
              <w:spacing w:before="0" w:after="0" w:line="240" w:lineRule="auto"/>
              <w:jc w:val="center"/>
              <w:rPr>
                <w:color w:val="auto"/>
                <w:sz w:val="20"/>
                <w:szCs w:val="20"/>
              </w:rPr>
            </w:pPr>
            <w:r w:rsidRPr="00E263F4">
              <w:rPr>
                <w:color w:val="000000"/>
                <w:sz w:val="22"/>
                <w:szCs w:val="22"/>
              </w:rPr>
              <w:t>453</w:t>
            </w:r>
          </w:p>
        </w:tc>
      </w:tr>
      <w:tr w:rsidR="009359DC" w:rsidRPr="00E263F4" w14:paraId="40AD2C1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CFCAE3F" w14:textId="77777777" w:rsidR="009359DC" w:rsidRPr="00E263F4" w:rsidRDefault="009359DC" w:rsidP="009359DC">
            <w:pPr>
              <w:spacing w:before="0" w:after="0" w:line="240" w:lineRule="auto"/>
              <w:rPr>
                <w:color w:val="auto"/>
                <w:sz w:val="20"/>
                <w:szCs w:val="20"/>
              </w:rPr>
            </w:pPr>
            <w:r w:rsidRPr="00E263F4">
              <w:rPr>
                <w:color w:val="auto"/>
                <w:sz w:val="20"/>
                <w:szCs w:val="20"/>
              </w:rPr>
              <w:t>22</w:t>
            </w:r>
          </w:p>
        </w:tc>
        <w:tc>
          <w:tcPr>
            <w:tcW w:w="658" w:type="pct"/>
            <w:gridSpan w:val="2"/>
            <w:tcBorders>
              <w:top w:val="nil"/>
              <w:left w:val="nil"/>
              <w:bottom w:val="single" w:sz="4" w:space="0" w:color="auto"/>
              <w:right w:val="single" w:sz="4" w:space="0" w:color="auto"/>
            </w:tcBorders>
            <w:shd w:val="clear" w:color="auto" w:fill="auto"/>
            <w:noWrap/>
            <w:vAlign w:val="bottom"/>
          </w:tcPr>
          <w:p w14:paraId="54B55ABC" w14:textId="48AD2E75" w:rsidR="009359DC" w:rsidRPr="00E263F4" w:rsidRDefault="009359DC" w:rsidP="00E263F4">
            <w:pPr>
              <w:spacing w:before="0" w:after="0" w:line="240" w:lineRule="auto"/>
              <w:jc w:val="center"/>
              <w:rPr>
                <w:color w:val="auto"/>
                <w:sz w:val="20"/>
                <w:szCs w:val="20"/>
              </w:rPr>
            </w:pPr>
            <w:r w:rsidRPr="00E263F4">
              <w:rPr>
                <w:color w:val="000000"/>
                <w:sz w:val="22"/>
                <w:szCs w:val="22"/>
              </w:rPr>
              <w:t>391</w:t>
            </w:r>
          </w:p>
        </w:tc>
        <w:tc>
          <w:tcPr>
            <w:tcW w:w="660" w:type="pct"/>
            <w:gridSpan w:val="2"/>
            <w:tcBorders>
              <w:top w:val="nil"/>
              <w:left w:val="nil"/>
              <w:bottom w:val="single" w:sz="4" w:space="0" w:color="auto"/>
              <w:right w:val="single" w:sz="4" w:space="0" w:color="auto"/>
            </w:tcBorders>
            <w:shd w:val="clear" w:color="auto" w:fill="auto"/>
            <w:noWrap/>
            <w:vAlign w:val="bottom"/>
          </w:tcPr>
          <w:p w14:paraId="4C66D2CF" w14:textId="36DC150C" w:rsidR="009359DC" w:rsidRPr="00E263F4" w:rsidRDefault="009359DC" w:rsidP="00E263F4">
            <w:pPr>
              <w:spacing w:before="0" w:after="0" w:line="240" w:lineRule="auto"/>
              <w:jc w:val="center"/>
              <w:rPr>
                <w:color w:val="auto"/>
                <w:sz w:val="20"/>
                <w:szCs w:val="20"/>
              </w:rPr>
            </w:pPr>
            <w:r w:rsidRPr="00E263F4">
              <w:rPr>
                <w:color w:val="000000"/>
                <w:sz w:val="22"/>
                <w:szCs w:val="22"/>
              </w:rPr>
              <w:t>364</w:t>
            </w:r>
          </w:p>
        </w:tc>
        <w:tc>
          <w:tcPr>
            <w:tcW w:w="540" w:type="pct"/>
            <w:tcBorders>
              <w:top w:val="nil"/>
              <w:left w:val="nil"/>
              <w:bottom w:val="single" w:sz="4" w:space="0" w:color="auto"/>
              <w:right w:val="single" w:sz="4" w:space="0" w:color="auto"/>
            </w:tcBorders>
            <w:shd w:val="clear" w:color="auto" w:fill="auto"/>
            <w:noWrap/>
            <w:vAlign w:val="bottom"/>
          </w:tcPr>
          <w:p w14:paraId="1FB23A59" w14:textId="34203F55" w:rsidR="009359DC" w:rsidRPr="00E263F4" w:rsidRDefault="009359DC" w:rsidP="00E263F4">
            <w:pPr>
              <w:spacing w:before="0" w:after="0" w:line="240" w:lineRule="auto"/>
              <w:jc w:val="center"/>
              <w:rPr>
                <w:color w:val="auto"/>
                <w:sz w:val="20"/>
                <w:szCs w:val="20"/>
              </w:rPr>
            </w:pPr>
            <w:r w:rsidRPr="00E263F4">
              <w:rPr>
                <w:color w:val="000000"/>
                <w:sz w:val="22"/>
                <w:szCs w:val="22"/>
              </w:rPr>
              <w:t>278</w:t>
            </w:r>
          </w:p>
        </w:tc>
        <w:tc>
          <w:tcPr>
            <w:tcW w:w="553" w:type="pct"/>
            <w:gridSpan w:val="2"/>
            <w:tcBorders>
              <w:top w:val="nil"/>
              <w:left w:val="nil"/>
              <w:bottom w:val="single" w:sz="4" w:space="0" w:color="auto"/>
              <w:right w:val="single" w:sz="4" w:space="0" w:color="auto"/>
            </w:tcBorders>
            <w:shd w:val="clear" w:color="auto" w:fill="auto"/>
            <w:noWrap/>
            <w:vAlign w:val="bottom"/>
          </w:tcPr>
          <w:p w14:paraId="1375386F" w14:textId="542A6EC7" w:rsidR="009359DC" w:rsidRPr="00E263F4" w:rsidRDefault="009359DC" w:rsidP="00E263F4">
            <w:pPr>
              <w:spacing w:before="0" w:after="0" w:line="240" w:lineRule="auto"/>
              <w:jc w:val="center"/>
              <w:rPr>
                <w:color w:val="auto"/>
                <w:sz w:val="20"/>
                <w:szCs w:val="20"/>
              </w:rPr>
            </w:pPr>
            <w:r w:rsidRPr="00E263F4">
              <w:rPr>
                <w:color w:val="000000"/>
                <w:sz w:val="22"/>
                <w:szCs w:val="22"/>
              </w:rPr>
              <w:t>285</w:t>
            </w:r>
          </w:p>
        </w:tc>
        <w:tc>
          <w:tcPr>
            <w:tcW w:w="697" w:type="pct"/>
            <w:gridSpan w:val="2"/>
            <w:tcBorders>
              <w:top w:val="nil"/>
              <w:left w:val="nil"/>
              <w:bottom w:val="single" w:sz="4" w:space="0" w:color="auto"/>
              <w:right w:val="single" w:sz="4" w:space="0" w:color="auto"/>
            </w:tcBorders>
            <w:shd w:val="clear" w:color="auto" w:fill="auto"/>
            <w:noWrap/>
            <w:vAlign w:val="bottom"/>
          </w:tcPr>
          <w:p w14:paraId="1302B479" w14:textId="7AE8AC65" w:rsidR="009359DC" w:rsidRPr="00E263F4" w:rsidRDefault="009359DC" w:rsidP="00E263F4">
            <w:pPr>
              <w:spacing w:before="0" w:after="0" w:line="240" w:lineRule="auto"/>
              <w:jc w:val="center"/>
              <w:rPr>
                <w:color w:val="auto"/>
                <w:sz w:val="20"/>
                <w:szCs w:val="20"/>
              </w:rPr>
            </w:pPr>
            <w:r w:rsidRPr="00E263F4">
              <w:rPr>
                <w:color w:val="000000"/>
                <w:sz w:val="22"/>
                <w:szCs w:val="22"/>
              </w:rPr>
              <w:t>334</w:t>
            </w:r>
          </w:p>
        </w:tc>
        <w:tc>
          <w:tcPr>
            <w:tcW w:w="690" w:type="pct"/>
            <w:gridSpan w:val="2"/>
            <w:tcBorders>
              <w:top w:val="nil"/>
              <w:left w:val="nil"/>
              <w:bottom w:val="single" w:sz="4" w:space="0" w:color="auto"/>
              <w:right w:val="single" w:sz="4" w:space="0" w:color="auto"/>
            </w:tcBorders>
            <w:shd w:val="clear" w:color="auto" w:fill="auto"/>
            <w:noWrap/>
            <w:vAlign w:val="bottom"/>
          </w:tcPr>
          <w:p w14:paraId="69D237A2" w14:textId="4B2A924E" w:rsidR="009359DC" w:rsidRPr="00E263F4" w:rsidRDefault="009359DC" w:rsidP="00E263F4">
            <w:pPr>
              <w:spacing w:before="0" w:after="0" w:line="240" w:lineRule="auto"/>
              <w:jc w:val="center"/>
              <w:rPr>
                <w:color w:val="auto"/>
                <w:sz w:val="20"/>
                <w:szCs w:val="20"/>
              </w:rPr>
            </w:pPr>
            <w:r w:rsidRPr="00E263F4">
              <w:rPr>
                <w:color w:val="000000"/>
                <w:sz w:val="22"/>
                <w:szCs w:val="22"/>
              </w:rPr>
              <w:t>400</w:t>
            </w:r>
          </w:p>
        </w:tc>
      </w:tr>
      <w:tr w:rsidR="009359DC" w:rsidRPr="00E263F4" w14:paraId="11481C7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E81AAA6" w14:textId="77777777" w:rsidR="009359DC" w:rsidRPr="00E263F4" w:rsidRDefault="009359DC" w:rsidP="009359DC">
            <w:pPr>
              <w:spacing w:before="0" w:after="0" w:line="240" w:lineRule="auto"/>
              <w:rPr>
                <w:color w:val="auto"/>
                <w:sz w:val="20"/>
                <w:szCs w:val="20"/>
              </w:rPr>
            </w:pPr>
            <w:r w:rsidRPr="00E263F4">
              <w:rPr>
                <w:color w:val="auto"/>
                <w:sz w:val="20"/>
                <w:szCs w:val="20"/>
              </w:rPr>
              <w:t>23</w:t>
            </w:r>
          </w:p>
        </w:tc>
        <w:tc>
          <w:tcPr>
            <w:tcW w:w="658" w:type="pct"/>
            <w:gridSpan w:val="2"/>
            <w:tcBorders>
              <w:top w:val="nil"/>
              <w:left w:val="nil"/>
              <w:bottom w:val="single" w:sz="4" w:space="0" w:color="auto"/>
              <w:right w:val="single" w:sz="4" w:space="0" w:color="auto"/>
            </w:tcBorders>
            <w:shd w:val="clear" w:color="auto" w:fill="auto"/>
            <w:noWrap/>
            <w:vAlign w:val="bottom"/>
          </w:tcPr>
          <w:p w14:paraId="5F7C8DE6" w14:textId="3B3B9EAA" w:rsidR="009359DC" w:rsidRPr="00E263F4" w:rsidRDefault="009359DC" w:rsidP="00E263F4">
            <w:pPr>
              <w:spacing w:before="0" w:after="0" w:line="240" w:lineRule="auto"/>
              <w:jc w:val="center"/>
              <w:rPr>
                <w:color w:val="auto"/>
                <w:sz w:val="20"/>
                <w:szCs w:val="20"/>
              </w:rPr>
            </w:pPr>
            <w:r w:rsidRPr="00E263F4">
              <w:rPr>
                <w:color w:val="000000"/>
                <w:sz w:val="22"/>
                <w:szCs w:val="22"/>
              </w:rPr>
              <w:t>300</w:t>
            </w:r>
          </w:p>
        </w:tc>
        <w:tc>
          <w:tcPr>
            <w:tcW w:w="660" w:type="pct"/>
            <w:gridSpan w:val="2"/>
            <w:tcBorders>
              <w:top w:val="nil"/>
              <w:left w:val="nil"/>
              <w:bottom w:val="single" w:sz="4" w:space="0" w:color="auto"/>
              <w:right w:val="single" w:sz="4" w:space="0" w:color="auto"/>
            </w:tcBorders>
            <w:shd w:val="clear" w:color="auto" w:fill="auto"/>
            <w:noWrap/>
            <w:vAlign w:val="bottom"/>
          </w:tcPr>
          <w:p w14:paraId="485CAA76" w14:textId="7942C1E9" w:rsidR="009359DC" w:rsidRPr="00E263F4" w:rsidRDefault="009359DC" w:rsidP="00E263F4">
            <w:pPr>
              <w:spacing w:before="0" w:after="0" w:line="240" w:lineRule="auto"/>
              <w:jc w:val="center"/>
              <w:rPr>
                <w:color w:val="auto"/>
                <w:sz w:val="20"/>
                <w:szCs w:val="20"/>
              </w:rPr>
            </w:pPr>
            <w:r w:rsidRPr="00E263F4">
              <w:rPr>
                <w:color w:val="000000"/>
                <w:sz w:val="22"/>
                <w:szCs w:val="22"/>
              </w:rPr>
              <w:t>272</w:t>
            </w:r>
          </w:p>
        </w:tc>
        <w:tc>
          <w:tcPr>
            <w:tcW w:w="540" w:type="pct"/>
            <w:tcBorders>
              <w:top w:val="nil"/>
              <w:left w:val="nil"/>
              <w:bottom w:val="single" w:sz="4" w:space="0" w:color="auto"/>
              <w:right w:val="single" w:sz="4" w:space="0" w:color="auto"/>
            </w:tcBorders>
            <w:shd w:val="clear" w:color="auto" w:fill="auto"/>
            <w:noWrap/>
            <w:vAlign w:val="bottom"/>
          </w:tcPr>
          <w:p w14:paraId="26045F04" w14:textId="111605E7" w:rsidR="009359DC" w:rsidRPr="00E263F4" w:rsidRDefault="009359DC" w:rsidP="00E263F4">
            <w:pPr>
              <w:spacing w:before="0" w:after="0" w:line="240" w:lineRule="auto"/>
              <w:jc w:val="center"/>
              <w:rPr>
                <w:color w:val="auto"/>
                <w:sz w:val="20"/>
                <w:szCs w:val="20"/>
              </w:rPr>
            </w:pPr>
            <w:r w:rsidRPr="00E263F4">
              <w:rPr>
                <w:color w:val="000000"/>
                <w:sz w:val="22"/>
                <w:szCs w:val="22"/>
              </w:rPr>
              <w:t>202</w:t>
            </w:r>
          </w:p>
        </w:tc>
        <w:tc>
          <w:tcPr>
            <w:tcW w:w="553" w:type="pct"/>
            <w:gridSpan w:val="2"/>
            <w:tcBorders>
              <w:top w:val="nil"/>
              <w:left w:val="nil"/>
              <w:bottom w:val="single" w:sz="4" w:space="0" w:color="auto"/>
              <w:right w:val="single" w:sz="4" w:space="0" w:color="auto"/>
            </w:tcBorders>
            <w:shd w:val="clear" w:color="auto" w:fill="auto"/>
            <w:noWrap/>
            <w:vAlign w:val="bottom"/>
          </w:tcPr>
          <w:p w14:paraId="10BDD062" w14:textId="14ED24F2" w:rsidR="009359DC" w:rsidRPr="00E263F4" w:rsidRDefault="009359DC" w:rsidP="00E263F4">
            <w:pPr>
              <w:spacing w:before="0" w:after="0" w:line="240" w:lineRule="auto"/>
              <w:jc w:val="center"/>
              <w:rPr>
                <w:color w:val="auto"/>
                <w:sz w:val="20"/>
                <w:szCs w:val="20"/>
              </w:rPr>
            </w:pPr>
            <w:r w:rsidRPr="00E263F4">
              <w:rPr>
                <w:color w:val="000000"/>
                <w:sz w:val="22"/>
                <w:szCs w:val="22"/>
              </w:rPr>
              <w:t>207</w:t>
            </w:r>
          </w:p>
        </w:tc>
        <w:tc>
          <w:tcPr>
            <w:tcW w:w="697" w:type="pct"/>
            <w:gridSpan w:val="2"/>
            <w:tcBorders>
              <w:top w:val="nil"/>
              <w:left w:val="nil"/>
              <w:bottom w:val="single" w:sz="4" w:space="0" w:color="auto"/>
              <w:right w:val="single" w:sz="4" w:space="0" w:color="auto"/>
            </w:tcBorders>
            <w:shd w:val="clear" w:color="auto" w:fill="auto"/>
            <w:noWrap/>
            <w:vAlign w:val="bottom"/>
          </w:tcPr>
          <w:p w14:paraId="5CEFEE5B" w14:textId="68AF09F7" w:rsidR="009359DC" w:rsidRPr="00E263F4" w:rsidRDefault="009359DC" w:rsidP="00E263F4">
            <w:pPr>
              <w:spacing w:before="0" w:after="0" w:line="240" w:lineRule="auto"/>
              <w:jc w:val="center"/>
              <w:rPr>
                <w:color w:val="auto"/>
                <w:sz w:val="20"/>
                <w:szCs w:val="20"/>
              </w:rPr>
            </w:pPr>
            <w:r w:rsidRPr="00E263F4">
              <w:rPr>
                <w:color w:val="000000"/>
                <w:sz w:val="22"/>
                <w:szCs w:val="22"/>
              </w:rPr>
              <w:t>266</w:t>
            </w:r>
          </w:p>
        </w:tc>
        <w:tc>
          <w:tcPr>
            <w:tcW w:w="690" w:type="pct"/>
            <w:gridSpan w:val="2"/>
            <w:tcBorders>
              <w:top w:val="nil"/>
              <w:left w:val="nil"/>
              <w:bottom w:val="single" w:sz="4" w:space="0" w:color="auto"/>
              <w:right w:val="single" w:sz="4" w:space="0" w:color="auto"/>
            </w:tcBorders>
            <w:shd w:val="clear" w:color="auto" w:fill="auto"/>
            <w:noWrap/>
            <w:vAlign w:val="bottom"/>
          </w:tcPr>
          <w:p w14:paraId="7B980015" w14:textId="1E1E2F76" w:rsidR="009359DC" w:rsidRPr="00E263F4" w:rsidRDefault="009359DC" w:rsidP="00E263F4">
            <w:pPr>
              <w:spacing w:before="0" w:after="0" w:line="240" w:lineRule="auto"/>
              <w:jc w:val="center"/>
              <w:rPr>
                <w:color w:val="auto"/>
                <w:sz w:val="20"/>
                <w:szCs w:val="20"/>
              </w:rPr>
            </w:pPr>
            <w:r w:rsidRPr="00E263F4">
              <w:rPr>
                <w:color w:val="000000"/>
                <w:sz w:val="22"/>
                <w:szCs w:val="22"/>
              </w:rPr>
              <w:t>304</w:t>
            </w:r>
          </w:p>
        </w:tc>
      </w:tr>
      <w:tr w:rsidR="009359DC" w:rsidRPr="00E263F4" w14:paraId="4F266C8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678DE5F" w14:textId="77777777" w:rsidR="009359DC" w:rsidRPr="00E263F4" w:rsidRDefault="009359DC" w:rsidP="009359DC">
            <w:pPr>
              <w:spacing w:before="0" w:after="0" w:line="240" w:lineRule="auto"/>
              <w:rPr>
                <w:b/>
                <w:bCs/>
                <w:color w:val="auto"/>
                <w:sz w:val="20"/>
                <w:szCs w:val="20"/>
              </w:rPr>
            </w:pPr>
            <w:r w:rsidRPr="00E263F4">
              <w:rPr>
                <w:b/>
                <w:bCs/>
                <w:color w:val="auto"/>
                <w:sz w:val="20"/>
                <w:szCs w:val="20"/>
              </w:rPr>
              <w:t xml:space="preserve">Grouped Mean </w:t>
            </w:r>
          </w:p>
        </w:tc>
        <w:tc>
          <w:tcPr>
            <w:tcW w:w="658" w:type="pct"/>
            <w:gridSpan w:val="2"/>
            <w:tcBorders>
              <w:top w:val="nil"/>
              <w:left w:val="nil"/>
              <w:bottom w:val="single" w:sz="4" w:space="0" w:color="auto"/>
              <w:right w:val="single" w:sz="4" w:space="0" w:color="auto"/>
            </w:tcBorders>
            <w:shd w:val="clear" w:color="auto" w:fill="auto"/>
            <w:noWrap/>
            <w:vAlign w:val="bottom"/>
          </w:tcPr>
          <w:p w14:paraId="35F78D86" w14:textId="070F7678"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282</w:t>
            </w:r>
          </w:p>
        </w:tc>
        <w:tc>
          <w:tcPr>
            <w:tcW w:w="660" w:type="pct"/>
            <w:gridSpan w:val="2"/>
            <w:tcBorders>
              <w:top w:val="nil"/>
              <w:left w:val="nil"/>
              <w:bottom w:val="single" w:sz="4" w:space="0" w:color="auto"/>
              <w:right w:val="single" w:sz="4" w:space="0" w:color="auto"/>
            </w:tcBorders>
            <w:shd w:val="clear" w:color="auto" w:fill="auto"/>
            <w:noWrap/>
            <w:vAlign w:val="bottom"/>
          </w:tcPr>
          <w:p w14:paraId="74FD0B31" w14:textId="7740A0B3"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248</w:t>
            </w:r>
          </w:p>
        </w:tc>
        <w:tc>
          <w:tcPr>
            <w:tcW w:w="540" w:type="pct"/>
            <w:tcBorders>
              <w:top w:val="nil"/>
              <w:left w:val="nil"/>
              <w:bottom w:val="single" w:sz="4" w:space="0" w:color="auto"/>
              <w:right w:val="single" w:sz="4" w:space="0" w:color="auto"/>
            </w:tcBorders>
            <w:shd w:val="clear" w:color="auto" w:fill="auto"/>
            <w:noWrap/>
            <w:vAlign w:val="bottom"/>
          </w:tcPr>
          <w:p w14:paraId="2AA35BE0" w14:textId="0561DB55"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202</w:t>
            </w:r>
          </w:p>
        </w:tc>
        <w:tc>
          <w:tcPr>
            <w:tcW w:w="553" w:type="pct"/>
            <w:gridSpan w:val="2"/>
            <w:tcBorders>
              <w:top w:val="nil"/>
              <w:left w:val="nil"/>
              <w:bottom w:val="single" w:sz="4" w:space="0" w:color="auto"/>
              <w:right w:val="single" w:sz="4" w:space="0" w:color="auto"/>
            </w:tcBorders>
            <w:shd w:val="clear" w:color="auto" w:fill="auto"/>
            <w:noWrap/>
            <w:vAlign w:val="bottom"/>
          </w:tcPr>
          <w:p w14:paraId="58086AA1" w14:textId="1627F95D"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217</w:t>
            </w:r>
          </w:p>
        </w:tc>
        <w:tc>
          <w:tcPr>
            <w:tcW w:w="697" w:type="pct"/>
            <w:gridSpan w:val="2"/>
            <w:tcBorders>
              <w:top w:val="nil"/>
              <w:left w:val="nil"/>
              <w:bottom w:val="single" w:sz="4" w:space="0" w:color="auto"/>
              <w:right w:val="single" w:sz="4" w:space="0" w:color="auto"/>
            </w:tcBorders>
            <w:shd w:val="clear" w:color="auto" w:fill="auto"/>
            <w:noWrap/>
            <w:vAlign w:val="bottom"/>
          </w:tcPr>
          <w:p w14:paraId="55EF7C8D" w14:textId="16962214"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261</w:t>
            </w:r>
          </w:p>
        </w:tc>
        <w:tc>
          <w:tcPr>
            <w:tcW w:w="690" w:type="pct"/>
            <w:gridSpan w:val="2"/>
            <w:tcBorders>
              <w:top w:val="nil"/>
              <w:left w:val="nil"/>
              <w:bottom w:val="single" w:sz="4" w:space="0" w:color="auto"/>
              <w:right w:val="single" w:sz="4" w:space="0" w:color="auto"/>
            </w:tcBorders>
            <w:shd w:val="clear" w:color="auto" w:fill="auto"/>
            <w:noWrap/>
            <w:vAlign w:val="bottom"/>
          </w:tcPr>
          <w:p w14:paraId="5F8A13CC" w14:textId="18A62313"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301</w:t>
            </w:r>
          </w:p>
        </w:tc>
      </w:tr>
      <w:tr w:rsidR="009359DC" w:rsidRPr="00E263F4" w14:paraId="425B104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01D39DA" w14:textId="77777777" w:rsidR="009359DC" w:rsidRPr="00E263F4" w:rsidRDefault="009359DC" w:rsidP="009359DC">
            <w:pPr>
              <w:spacing w:before="0" w:after="0" w:line="240" w:lineRule="auto"/>
              <w:rPr>
                <w:b/>
                <w:bCs/>
                <w:color w:val="auto"/>
                <w:sz w:val="20"/>
                <w:szCs w:val="20"/>
              </w:rPr>
            </w:pPr>
            <w:r w:rsidRPr="00E263F4">
              <w:rPr>
                <w:b/>
                <w:bCs/>
                <w:color w:val="auto"/>
                <w:sz w:val="20"/>
                <w:szCs w:val="20"/>
              </w:rPr>
              <w:lastRenderedPageBreak/>
              <w:t>SD</w:t>
            </w:r>
          </w:p>
        </w:tc>
        <w:tc>
          <w:tcPr>
            <w:tcW w:w="658" w:type="pct"/>
            <w:gridSpan w:val="2"/>
            <w:tcBorders>
              <w:top w:val="nil"/>
              <w:left w:val="nil"/>
              <w:bottom w:val="single" w:sz="4" w:space="0" w:color="auto"/>
              <w:right w:val="single" w:sz="4" w:space="0" w:color="auto"/>
            </w:tcBorders>
            <w:shd w:val="clear" w:color="auto" w:fill="auto"/>
            <w:noWrap/>
            <w:vAlign w:val="bottom"/>
          </w:tcPr>
          <w:p w14:paraId="4C412162" w14:textId="389C4028"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66</w:t>
            </w:r>
          </w:p>
        </w:tc>
        <w:tc>
          <w:tcPr>
            <w:tcW w:w="660" w:type="pct"/>
            <w:gridSpan w:val="2"/>
            <w:tcBorders>
              <w:top w:val="nil"/>
              <w:left w:val="nil"/>
              <w:bottom w:val="single" w:sz="4" w:space="0" w:color="auto"/>
              <w:right w:val="single" w:sz="4" w:space="0" w:color="auto"/>
            </w:tcBorders>
            <w:shd w:val="clear" w:color="auto" w:fill="auto"/>
            <w:noWrap/>
            <w:vAlign w:val="bottom"/>
          </w:tcPr>
          <w:p w14:paraId="79AA877D" w14:textId="5D561778"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63</w:t>
            </w:r>
          </w:p>
        </w:tc>
        <w:tc>
          <w:tcPr>
            <w:tcW w:w="540" w:type="pct"/>
            <w:tcBorders>
              <w:top w:val="nil"/>
              <w:left w:val="nil"/>
              <w:bottom w:val="single" w:sz="4" w:space="0" w:color="auto"/>
              <w:right w:val="single" w:sz="4" w:space="0" w:color="auto"/>
            </w:tcBorders>
            <w:shd w:val="clear" w:color="auto" w:fill="auto"/>
            <w:noWrap/>
            <w:vAlign w:val="bottom"/>
          </w:tcPr>
          <w:p w14:paraId="1E1CACEA" w14:textId="4ACF47BC"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52</w:t>
            </w:r>
          </w:p>
        </w:tc>
        <w:tc>
          <w:tcPr>
            <w:tcW w:w="553" w:type="pct"/>
            <w:gridSpan w:val="2"/>
            <w:tcBorders>
              <w:top w:val="nil"/>
              <w:left w:val="nil"/>
              <w:bottom w:val="single" w:sz="4" w:space="0" w:color="auto"/>
              <w:right w:val="single" w:sz="4" w:space="0" w:color="auto"/>
            </w:tcBorders>
            <w:shd w:val="clear" w:color="auto" w:fill="auto"/>
            <w:noWrap/>
            <w:vAlign w:val="bottom"/>
          </w:tcPr>
          <w:p w14:paraId="4D225311" w14:textId="0CFFDBC7"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42</w:t>
            </w:r>
          </w:p>
        </w:tc>
        <w:tc>
          <w:tcPr>
            <w:tcW w:w="697" w:type="pct"/>
            <w:gridSpan w:val="2"/>
            <w:tcBorders>
              <w:top w:val="nil"/>
              <w:left w:val="nil"/>
              <w:bottom w:val="single" w:sz="4" w:space="0" w:color="auto"/>
              <w:right w:val="single" w:sz="4" w:space="0" w:color="auto"/>
            </w:tcBorders>
            <w:shd w:val="clear" w:color="auto" w:fill="auto"/>
            <w:noWrap/>
            <w:vAlign w:val="bottom"/>
          </w:tcPr>
          <w:p w14:paraId="38D986A6" w14:textId="4E9F2B06"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44</w:t>
            </w:r>
          </w:p>
        </w:tc>
        <w:tc>
          <w:tcPr>
            <w:tcW w:w="690" w:type="pct"/>
            <w:gridSpan w:val="2"/>
            <w:tcBorders>
              <w:top w:val="nil"/>
              <w:left w:val="nil"/>
              <w:bottom w:val="single" w:sz="4" w:space="0" w:color="auto"/>
              <w:right w:val="single" w:sz="4" w:space="0" w:color="auto"/>
            </w:tcBorders>
            <w:shd w:val="clear" w:color="auto" w:fill="auto"/>
            <w:noWrap/>
            <w:vAlign w:val="bottom"/>
          </w:tcPr>
          <w:p w14:paraId="0C0F4F1F" w14:textId="4B4254D4"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60</w:t>
            </w:r>
          </w:p>
        </w:tc>
      </w:tr>
      <w:tr w:rsidR="00D0688A" w:rsidRPr="00E263F4" w14:paraId="60C58899"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3A8D7B72"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Middle (40-59 years old)</w:t>
            </w:r>
          </w:p>
        </w:tc>
      </w:tr>
      <w:tr w:rsidR="00D0688A" w:rsidRPr="00E263F4" w14:paraId="4F896BB9"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15163AAA"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10D54083" w14:textId="77777777" w:rsidR="00D0688A" w:rsidRPr="00E263F4" w:rsidRDefault="00D0688A" w:rsidP="00D0688A">
            <w:pPr>
              <w:spacing w:before="0" w:after="0" w:line="240" w:lineRule="auto"/>
              <w:rPr>
                <w:color w:val="auto"/>
                <w:sz w:val="20"/>
                <w:szCs w:val="20"/>
              </w:rPr>
            </w:pPr>
          </w:p>
          <w:p w14:paraId="60189045"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58" w:type="pct"/>
            <w:gridSpan w:val="2"/>
            <w:tcBorders>
              <w:top w:val="nil"/>
              <w:left w:val="nil"/>
              <w:bottom w:val="single" w:sz="4" w:space="0" w:color="auto"/>
              <w:right w:val="single" w:sz="4" w:space="0" w:color="auto"/>
            </w:tcBorders>
            <w:shd w:val="clear" w:color="auto" w:fill="auto"/>
            <w:noWrap/>
            <w:hideMark/>
          </w:tcPr>
          <w:p w14:paraId="29638720" w14:textId="5FE2921B"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60" w:type="pct"/>
            <w:gridSpan w:val="2"/>
            <w:tcBorders>
              <w:top w:val="nil"/>
              <w:left w:val="nil"/>
              <w:bottom w:val="single" w:sz="4" w:space="0" w:color="auto"/>
              <w:right w:val="single" w:sz="4" w:space="0" w:color="auto"/>
            </w:tcBorders>
            <w:shd w:val="clear" w:color="auto" w:fill="auto"/>
            <w:noWrap/>
            <w:hideMark/>
          </w:tcPr>
          <w:p w14:paraId="6A43AB37" w14:textId="72F4D6EF"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540" w:type="pct"/>
            <w:tcBorders>
              <w:top w:val="nil"/>
              <w:left w:val="nil"/>
              <w:bottom w:val="single" w:sz="4" w:space="0" w:color="auto"/>
              <w:right w:val="single" w:sz="4" w:space="0" w:color="auto"/>
            </w:tcBorders>
            <w:shd w:val="clear" w:color="auto" w:fill="auto"/>
            <w:noWrap/>
            <w:hideMark/>
          </w:tcPr>
          <w:p w14:paraId="410C5FF5" w14:textId="6794221A"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553" w:type="pct"/>
            <w:gridSpan w:val="2"/>
            <w:tcBorders>
              <w:top w:val="nil"/>
              <w:left w:val="nil"/>
              <w:bottom w:val="single" w:sz="4" w:space="0" w:color="auto"/>
              <w:right w:val="single" w:sz="4" w:space="0" w:color="auto"/>
            </w:tcBorders>
            <w:shd w:val="clear" w:color="auto" w:fill="auto"/>
            <w:noWrap/>
            <w:hideMark/>
          </w:tcPr>
          <w:p w14:paraId="12CA00F7" w14:textId="7BB62E44"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97" w:type="pct"/>
            <w:gridSpan w:val="2"/>
            <w:tcBorders>
              <w:top w:val="nil"/>
              <w:left w:val="nil"/>
              <w:bottom w:val="single" w:sz="4" w:space="0" w:color="auto"/>
              <w:right w:val="single" w:sz="4" w:space="0" w:color="auto"/>
            </w:tcBorders>
            <w:shd w:val="clear" w:color="auto" w:fill="auto"/>
            <w:noWrap/>
            <w:hideMark/>
          </w:tcPr>
          <w:p w14:paraId="6A93B7BA" w14:textId="554C602A"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90" w:type="pct"/>
            <w:gridSpan w:val="2"/>
            <w:tcBorders>
              <w:top w:val="nil"/>
              <w:left w:val="nil"/>
              <w:bottom w:val="single" w:sz="4" w:space="0" w:color="auto"/>
              <w:right w:val="single" w:sz="4" w:space="0" w:color="auto"/>
            </w:tcBorders>
            <w:shd w:val="clear" w:color="auto" w:fill="auto"/>
            <w:noWrap/>
            <w:hideMark/>
          </w:tcPr>
          <w:p w14:paraId="3FFC5D05" w14:textId="4828D5EA"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673CE6" w:rsidRPr="00E263F4" w14:paraId="07002D9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5F6690D" w14:textId="77777777" w:rsidR="00673CE6" w:rsidRPr="00E263F4" w:rsidRDefault="00673CE6" w:rsidP="00673CE6">
            <w:pPr>
              <w:spacing w:before="0" w:after="0" w:line="240" w:lineRule="auto"/>
              <w:rPr>
                <w:color w:val="auto"/>
                <w:sz w:val="20"/>
                <w:szCs w:val="20"/>
              </w:rPr>
            </w:pPr>
            <w:r w:rsidRPr="00E263F4">
              <w:rPr>
                <w:color w:val="auto"/>
                <w:sz w:val="20"/>
                <w:szCs w:val="20"/>
              </w:rPr>
              <w:t>1</w:t>
            </w:r>
          </w:p>
        </w:tc>
        <w:tc>
          <w:tcPr>
            <w:tcW w:w="658" w:type="pct"/>
            <w:gridSpan w:val="2"/>
            <w:tcBorders>
              <w:top w:val="nil"/>
              <w:left w:val="nil"/>
              <w:bottom w:val="single" w:sz="4" w:space="0" w:color="auto"/>
              <w:right w:val="single" w:sz="4" w:space="0" w:color="auto"/>
            </w:tcBorders>
            <w:shd w:val="clear" w:color="auto" w:fill="auto"/>
            <w:noWrap/>
            <w:vAlign w:val="bottom"/>
          </w:tcPr>
          <w:p w14:paraId="3929178D" w14:textId="3359540E" w:rsidR="00673CE6" w:rsidRPr="00E263F4" w:rsidRDefault="00673CE6" w:rsidP="00E263F4">
            <w:pPr>
              <w:spacing w:before="0" w:after="0" w:line="240" w:lineRule="auto"/>
              <w:jc w:val="center"/>
              <w:rPr>
                <w:color w:val="auto"/>
                <w:sz w:val="20"/>
                <w:szCs w:val="20"/>
              </w:rPr>
            </w:pPr>
            <w:r w:rsidRPr="00E263F4">
              <w:rPr>
                <w:color w:val="000000"/>
                <w:sz w:val="22"/>
                <w:szCs w:val="22"/>
              </w:rPr>
              <w:t>245</w:t>
            </w:r>
          </w:p>
        </w:tc>
        <w:tc>
          <w:tcPr>
            <w:tcW w:w="660" w:type="pct"/>
            <w:gridSpan w:val="2"/>
            <w:tcBorders>
              <w:top w:val="nil"/>
              <w:left w:val="nil"/>
              <w:bottom w:val="single" w:sz="4" w:space="0" w:color="auto"/>
              <w:right w:val="single" w:sz="4" w:space="0" w:color="auto"/>
            </w:tcBorders>
            <w:shd w:val="clear" w:color="auto" w:fill="auto"/>
            <w:noWrap/>
            <w:vAlign w:val="bottom"/>
          </w:tcPr>
          <w:p w14:paraId="7879516A" w14:textId="04FA76DB" w:rsidR="00673CE6" w:rsidRPr="00E263F4" w:rsidRDefault="00673CE6" w:rsidP="00E263F4">
            <w:pPr>
              <w:spacing w:before="0" w:after="0" w:line="240" w:lineRule="auto"/>
              <w:jc w:val="center"/>
              <w:rPr>
                <w:color w:val="auto"/>
                <w:sz w:val="20"/>
                <w:szCs w:val="20"/>
              </w:rPr>
            </w:pPr>
            <w:r w:rsidRPr="00E263F4">
              <w:rPr>
                <w:color w:val="000000"/>
                <w:sz w:val="22"/>
                <w:szCs w:val="22"/>
              </w:rPr>
              <w:t>188</w:t>
            </w:r>
          </w:p>
        </w:tc>
        <w:tc>
          <w:tcPr>
            <w:tcW w:w="540" w:type="pct"/>
            <w:tcBorders>
              <w:top w:val="nil"/>
              <w:left w:val="nil"/>
              <w:bottom w:val="single" w:sz="4" w:space="0" w:color="auto"/>
              <w:right w:val="single" w:sz="4" w:space="0" w:color="auto"/>
            </w:tcBorders>
            <w:shd w:val="clear" w:color="auto" w:fill="auto"/>
            <w:noWrap/>
            <w:vAlign w:val="bottom"/>
          </w:tcPr>
          <w:p w14:paraId="61353D80" w14:textId="17AE53E7" w:rsidR="00673CE6" w:rsidRPr="00E263F4" w:rsidRDefault="00673CE6" w:rsidP="00E263F4">
            <w:pPr>
              <w:spacing w:before="0" w:after="0" w:line="240" w:lineRule="auto"/>
              <w:jc w:val="center"/>
              <w:rPr>
                <w:color w:val="auto"/>
                <w:sz w:val="20"/>
                <w:szCs w:val="20"/>
              </w:rPr>
            </w:pPr>
            <w:r w:rsidRPr="00E263F4">
              <w:rPr>
                <w:color w:val="000000"/>
                <w:sz w:val="22"/>
                <w:szCs w:val="22"/>
              </w:rPr>
              <w:t>155</w:t>
            </w:r>
          </w:p>
        </w:tc>
        <w:tc>
          <w:tcPr>
            <w:tcW w:w="553" w:type="pct"/>
            <w:gridSpan w:val="2"/>
            <w:tcBorders>
              <w:top w:val="nil"/>
              <w:left w:val="nil"/>
              <w:bottom w:val="single" w:sz="4" w:space="0" w:color="auto"/>
              <w:right w:val="single" w:sz="4" w:space="0" w:color="auto"/>
            </w:tcBorders>
            <w:shd w:val="clear" w:color="auto" w:fill="auto"/>
            <w:noWrap/>
            <w:vAlign w:val="bottom"/>
          </w:tcPr>
          <w:p w14:paraId="52854A37" w14:textId="15D57C11" w:rsidR="00673CE6" w:rsidRPr="00E263F4" w:rsidRDefault="00673CE6" w:rsidP="00E263F4">
            <w:pPr>
              <w:spacing w:before="0" w:after="0" w:line="240" w:lineRule="auto"/>
              <w:jc w:val="center"/>
              <w:rPr>
                <w:color w:val="auto"/>
                <w:sz w:val="20"/>
                <w:szCs w:val="20"/>
              </w:rPr>
            </w:pPr>
            <w:r w:rsidRPr="00E263F4">
              <w:rPr>
                <w:color w:val="000000"/>
                <w:sz w:val="22"/>
                <w:szCs w:val="22"/>
              </w:rPr>
              <w:t>183</w:t>
            </w:r>
          </w:p>
        </w:tc>
        <w:tc>
          <w:tcPr>
            <w:tcW w:w="697" w:type="pct"/>
            <w:gridSpan w:val="2"/>
            <w:tcBorders>
              <w:top w:val="nil"/>
              <w:left w:val="nil"/>
              <w:bottom w:val="single" w:sz="4" w:space="0" w:color="auto"/>
              <w:right w:val="single" w:sz="4" w:space="0" w:color="auto"/>
            </w:tcBorders>
            <w:shd w:val="clear" w:color="auto" w:fill="auto"/>
            <w:noWrap/>
            <w:vAlign w:val="bottom"/>
          </w:tcPr>
          <w:p w14:paraId="5E7CFD57" w14:textId="3A056607" w:rsidR="00673CE6" w:rsidRPr="00E263F4" w:rsidRDefault="00673CE6" w:rsidP="00E263F4">
            <w:pPr>
              <w:spacing w:before="0" w:after="0" w:line="240" w:lineRule="auto"/>
              <w:jc w:val="center"/>
              <w:rPr>
                <w:color w:val="auto"/>
                <w:sz w:val="20"/>
                <w:szCs w:val="20"/>
              </w:rPr>
            </w:pPr>
            <w:r w:rsidRPr="00E263F4">
              <w:rPr>
                <w:color w:val="000000"/>
                <w:sz w:val="22"/>
                <w:szCs w:val="22"/>
              </w:rPr>
              <w:t>210</w:t>
            </w:r>
          </w:p>
        </w:tc>
        <w:tc>
          <w:tcPr>
            <w:tcW w:w="690" w:type="pct"/>
            <w:gridSpan w:val="2"/>
            <w:tcBorders>
              <w:top w:val="nil"/>
              <w:left w:val="nil"/>
              <w:bottom w:val="single" w:sz="4" w:space="0" w:color="auto"/>
              <w:right w:val="single" w:sz="4" w:space="0" w:color="auto"/>
            </w:tcBorders>
            <w:shd w:val="clear" w:color="auto" w:fill="auto"/>
            <w:noWrap/>
            <w:vAlign w:val="bottom"/>
          </w:tcPr>
          <w:p w14:paraId="7C0FD8E1" w14:textId="7C27E9D0" w:rsidR="00673CE6" w:rsidRPr="00E263F4" w:rsidRDefault="00673CE6" w:rsidP="00E263F4">
            <w:pPr>
              <w:spacing w:before="0" w:after="0" w:line="240" w:lineRule="auto"/>
              <w:jc w:val="center"/>
              <w:rPr>
                <w:color w:val="auto"/>
                <w:sz w:val="20"/>
                <w:szCs w:val="20"/>
              </w:rPr>
            </w:pPr>
            <w:r w:rsidRPr="00E263F4">
              <w:rPr>
                <w:color w:val="000000"/>
                <w:sz w:val="22"/>
                <w:szCs w:val="22"/>
              </w:rPr>
              <w:t>241</w:t>
            </w:r>
          </w:p>
        </w:tc>
      </w:tr>
      <w:tr w:rsidR="00673CE6" w:rsidRPr="00E263F4" w14:paraId="642B2EF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CE2E63C" w14:textId="77777777" w:rsidR="00673CE6" w:rsidRPr="00E263F4" w:rsidRDefault="00673CE6" w:rsidP="00673CE6">
            <w:pPr>
              <w:spacing w:before="0" w:after="0" w:line="240" w:lineRule="auto"/>
              <w:rPr>
                <w:color w:val="auto"/>
                <w:sz w:val="20"/>
                <w:szCs w:val="20"/>
              </w:rPr>
            </w:pPr>
            <w:r w:rsidRPr="00E263F4">
              <w:rPr>
                <w:color w:val="auto"/>
                <w:sz w:val="20"/>
                <w:szCs w:val="20"/>
              </w:rPr>
              <w:t>2</w:t>
            </w:r>
          </w:p>
        </w:tc>
        <w:tc>
          <w:tcPr>
            <w:tcW w:w="658" w:type="pct"/>
            <w:gridSpan w:val="2"/>
            <w:tcBorders>
              <w:top w:val="nil"/>
              <w:left w:val="nil"/>
              <w:bottom w:val="single" w:sz="4" w:space="0" w:color="auto"/>
              <w:right w:val="single" w:sz="4" w:space="0" w:color="auto"/>
            </w:tcBorders>
            <w:shd w:val="clear" w:color="auto" w:fill="auto"/>
            <w:noWrap/>
            <w:vAlign w:val="bottom"/>
          </w:tcPr>
          <w:p w14:paraId="17A74B7D" w14:textId="2241D783" w:rsidR="00673CE6" w:rsidRPr="00E263F4" w:rsidRDefault="00673CE6" w:rsidP="00E263F4">
            <w:pPr>
              <w:spacing w:before="0" w:after="0" w:line="240" w:lineRule="auto"/>
              <w:jc w:val="center"/>
              <w:rPr>
                <w:color w:val="auto"/>
                <w:sz w:val="20"/>
                <w:szCs w:val="20"/>
              </w:rPr>
            </w:pPr>
            <w:r w:rsidRPr="00E263F4">
              <w:rPr>
                <w:color w:val="000000"/>
                <w:sz w:val="22"/>
                <w:szCs w:val="22"/>
              </w:rPr>
              <w:t>291</w:t>
            </w:r>
          </w:p>
        </w:tc>
        <w:tc>
          <w:tcPr>
            <w:tcW w:w="660" w:type="pct"/>
            <w:gridSpan w:val="2"/>
            <w:tcBorders>
              <w:top w:val="nil"/>
              <w:left w:val="nil"/>
              <w:bottom w:val="single" w:sz="4" w:space="0" w:color="auto"/>
              <w:right w:val="single" w:sz="4" w:space="0" w:color="auto"/>
            </w:tcBorders>
            <w:shd w:val="clear" w:color="auto" w:fill="auto"/>
            <w:noWrap/>
            <w:vAlign w:val="bottom"/>
          </w:tcPr>
          <w:p w14:paraId="0807BD06" w14:textId="52F5754F" w:rsidR="00673CE6" w:rsidRPr="00E263F4" w:rsidRDefault="00673CE6" w:rsidP="00E263F4">
            <w:pPr>
              <w:spacing w:before="0" w:after="0" w:line="240" w:lineRule="auto"/>
              <w:jc w:val="center"/>
              <w:rPr>
                <w:color w:val="auto"/>
                <w:sz w:val="20"/>
                <w:szCs w:val="20"/>
              </w:rPr>
            </w:pPr>
            <w:r w:rsidRPr="00E263F4">
              <w:rPr>
                <w:color w:val="000000"/>
                <w:sz w:val="22"/>
                <w:szCs w:val="22"/>
              </w:rPr>
              <w:t>237</w:t>
            </w:r>
          </w:p>
        </w:tc>
        <w:tc>
          <w:tcPr>
            <w:tcW w:w="540" w:type="pct"/>
            <w:tcBorders>
              <w:top w:val="nil"/>
              <w:left w:val="nil"/>
              <w:bottom w:val="single" w:sz="4" w:space="0" w:color="auto"/>
              <w:right w:val="single" w:sz="4" w:space="0" w:color="auto"/>
            </w:tcBorders>
            <w:shd w:val="clear" w:color="auto" w:fill="auto"/>
            <w:noWrap/>
            <w:vAlign w:val="bottom"/>
          </w:tcPr>
          <w:p w14:paraId="2BEB5504" w14:textId="2DA244CC" w:rsidR="00673CE6" w:rsidRPr="00E263F4" w:rsidRDefault="00673CE6" w:rsidP="00E263F4">
            <w:pPr>
              <w:spacing w:before="0" w:after="0" w:line="240" w:lineRule="auto"/>
              <w:jc w:val="center"/>
              <w:rPr>
                <w:color w:val="auto"/>
                <w:sz w:val="20"/>
                <w:szCs w:val="20"/>
              </w:rPr>
            </w:pPr>
            <w:r w:rsidRPr="00E263F4">
              <w:rPr>
                <w:color w:val="000000"/>
                <w:sz w:val="22"/>
                <w:szCs w:val="22"/>
              </w:rPr>
              <w:t>157</w:t>
            </w:r>
          </w:p>
        </w:tc>
        <w:tc>
          <w:tcPr>
            <w:tcW w:w="553" w:type="pct"/>
            <w:gridSpan w:val="2"/>
            <w:tcBorders>
              <w:top w:val="nil"/>
              <w:left w:val="nil"/>
              <w:bottom w:val="single" w:sz="4" w:space="0" w:color="auto"/>
              <w:right w:val="single" w:sz="4" w:space="0" w:color="auto"/>
            </w:tcBorders>
            <w:shd w:val="clear" w:color="auto" w:fill="auto"/>
            <w:noWrap/>
            <w:vAlign w:val="bottom"/>
          </w:tcPr>
          <w:p w14:paraId="7E293904" w14:textId="45360B91" w:rsidR="00673CE6" w:rsidRPr="00E263F4" w:rsidRDefault="00673CE6" w:rsidP="00E263F4">
            <w:pPr>
              <w:spacing w:before="0" w:after="0" w:line="240" w:lineRule="auto"/>
              <w:jc w:val="center"/>
              <w:rPr>
                <w:color w:val="auto"/>
                <w:sz w:val="20"/>
                <w:szCs w:val="20"/>
              </w:rPr>
            </w:pPr>
            <w:r w:rsidRPr="00E263F4">
              <w:rPr>
                <w:color w:val="000000"/>
                <w:sz w:val="22"/>
                <w:szCs w:val="22"/>
              </w:rPr>
              <w:t>322</w:t>
            </w:r>
          </w:p>
        </w:tc>
        <w:tc>
          <w:tcPr>
            <w:tcW w:w="697" w:type="pct"/>
            <w:gridSpan w:val="2"/>
            <w:tcBorders>
              <w:top w:val="nil"/>
              <w:left w:val="nil"/>
              <w:bottom w:val="single" w:sz="4" w:space="0" w:color="auto"/>
              <w:right w:val="single" w:sz="4" w:space="0" w:color="auto"/>
            </w:tcBorders>
            <w:shd w:val="clear" w:color="auto" w:fill="auto"/>
            <w:noWrap/>
            <w:vAlign w:val="bottom"/>
          </w:tcPr>
          <w:p w14:paraId="0E7D41FF" w14:textId="4566A220" w:rsidR="00673CE6" w:rsidRPr="00E263F4" w:rsidRDefault="00673CE6" w:rsidP="00E263F4">
            <w:pPr>
              <w:spacing w:before="0" w:after="0" w:line="240" w:lineRule="auto"/>
              <w:jc w:val="center"/>
              <w:rPr>
                <w:color w:val="auto"/>
                <w:sz w:val="20"/>
                <w:szCs w:val="20"/>
              </w:rPr>
            </w:pPr>
            <w:r w:rsidRPr="00E263F4">
              <w:rPr>
                <w:color w:val="000000"/>
                <w:sz w:val="22"/>
                <w:szCs w:val="22"/>
              </w:rPr>
              <w:t>359</w:t>
            </w:r>
          </w:p>
        </w:tc>
        <w:tc>
          <w:tcPr>
            <w:tcW w:w="690" w:type="pct"/>
            <w:gridSpan w:val="2"/>
            <w:tcBorders>
              <w:top w:val="nil"/>
              <w:left w:val="nil"/>
              <w:bottom w:val="single" w:sz="4" w:space="0" w:color="auto"/>
              <w:right w:val="single" w:sz="4" w:space="0" w:color="auto"/>
            </w:tcBorders>
            <w:shd w:val="clear" w:color="auto" w:fill="auto"/>
            <w:noWrap/>
            <w:vAlign w:val="bottom"/>
          </w:tcPr>
          <w:p w14:paraId="76598AB5" w14:textId="0D668769" w:rsidR="00673CE6" w:rsidRPr="00E263F4" w:rsidRDefault="00673CE6" w:rsidP="00E263F4">
            <w:pPr>
              <w:spacing w:before="0" w:after="0" w:line="240" w:lineRule="auto"/>
              <w:jc w:val="center"/>
              <w:rPr>
                <w:color w:val="auto"/>
                <w:sz w:val="20"/>
                <w:szCs w:val="20"/>
              </w:rPr>
            </w:pPr>
            <w:r w:rsidRPr="00E263F4">
              <w:rPr>
                <w:color w:val="000000"/>
                <w:sz w:val="22"/>
                <w:szCs w:val="22"/>
              </w:rPr>
              <w:t>434</w:t>
            </w:r>
          </w:p>
        </w:tc>
      </w:tr>
      <w:tr w:rsidR="00673CE6" w:rsidRPr="00E263F4" w14:paraId="0F040E0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7B6E68B" w14:textId="77777777" w:rsidR="00673CE6" w:rsidRPr="00E263F4" w:rsidRDefault="00673CE6" w:rsidP="00673CE6">
            <w:pPr>
              <w:spacing w:before="0" w:after="0" w:line="240" w:lineRule="auto"/>
              <w:rPr>
                <w:color w:val="auto"/>
                <w:sz w:val="20"/>
                <w:szCs w:val="20"/>
              </w:rPr>
            </w:pPr>
            <w:r w:rsidRPr="00E263F4">
              <w:rPr>
                <w:color w:val="auto"/>
                <w:sz w:val="20"/>
                <w:szCs w:val="20"/>
              </w:rPr>
              <w:t>3</w:t>
            </w:r>
          </w:p>
        </w:tc>
        <w:tc>
          <w:tcPr>
            <w:tcW w:w="658" w:type="pct"/>
            <w:gridSpan w:val="2"/>
            <w:tcBorders>
              <w:top w:val="nil"/>
              <w:left w:val="nil"/>
              <w:bottom w:val="single" w:sz="4" w:space="0" w:color="auto"/>
              <w:right w:val="single" w:sz="4" w:space="0" w:color="auto"/>
            </w:tcBorders>
            <w:shd w:val="clear" w:color="auto" w:fill="auto"/>
            <w:noWrap/>
            <w:vAlign w:val="bottom"/>
          </w:tcPr>
          <w:p w14:paraId="6EB750A3" w14:textId="31657C32" w:rsidR="00673CE6" w:rsidRPr="00E263F4" w:rsidRDefault="00673CE6" w:rsidP="00E263F4">
            <w:pPr>
              <w:spacing w:before="0" w:after="0" w:line="240" w:lineRule="auto"/>
              <w:jc w:val="center"/>
              <w:rPr>
                <w:color w:val="auto"/>
                <w:sz w:val="20"/>
                <w:szCs w:val="20"/>
              </w:rPr>
            </w:pPr>
            <w:r w:rsidRPr="00E263F4">
              <w:rPr>
                <w:color w:val="000000"/>
                <w:sz w:val="22"/>
                <w:szCs w:val="22"/>
              </w:rPr>
              <w:t>292</w:t>
            </w:r>
          </w:p>
        </w:tc>
        <w:tc>
          <w:tcPr>
            <w:tcW w:w="660" w:type="pct"/>
            <w:gridSpan w:val="2"/>
            <w:tcBorders>
              <w:top w:val="nil"/>
              <w:left w:val="nil"/>
              <w:bottom w:val="single" w:sz="4" w:space="0" w:color="auto"/>
              <w:right w:val="single" w:sz="4" w:space="0" w:color="auto"/>
            </w:tcBorders>
            <w:shd w:val="clear" w:color="auto" w:fill="auto"/>
            <w:noWrap/>
            <w:vAlign w:val="bottom"/>
          </w:tcPr>
          <w:p w14:paraId="099D7DDF" w14:textId="1D5A54B8" w:rsidR="00673CE6" w:rsidRPr="00E263F4" w:rsidRDefault="00673CE6" w:rsidP="00E263F4">
            <w:pPr>
              <w:spacing w:before="0" w:after="0" w:line="240" w:lineRule="auto"/>
              <w:jc w:val="center"/>
              <w:rPr>
                <w:color w:val="auto"/>
                <w:sz w:val="20"/>
                <w:szCs w:val="20"/>
              </w:rPr>
            </w:pPr>
            <w:r w:rsidRPr="00E263F4">
              <w:rPr>
                <w:color w:val="000000"/>
                <w:sz w:val="22"/>
                <w:szCs w:val="22"/>
              </w:rPr>
              <w:t>241</w:t>
            </w:r>
          </w:p>
        </w:tc>
        <w:tc>
          <w:tcPr>
            <w:tcW w:w="540" w:type="pct"/>
            <w:tcBorders>
              <w:top w:val="nil"/>
              <w:left w:val="nil"/>
              <w:bottom w:val="single" w:sz="4" w:space="0" w:color="auto"/>
              <w:right w:val="single" w:sz="4" w:space="0" w:color="auto"/>
            </w:tcBorders>
            <w:shd w:val="clear" w:color="auto" w:fill="auto"/>
            <w:noWrap/>
            <w:vAlign w:val="bottom"/>
          </w:tcPr>
          <w:p w14:paraId="79F282D7" w14:textId="2D70E66B" w:rsidR="00673CE6" w:rsidRPr="00E263F4" w:rsidRDefault="00673CE6" w:rsidP="00E263F4">
            <w:pPr>
              <w:spacing w:before="0" w:after="0" w:line="240" w:lineRule="auto"/>
              <w:jc w:val="center"/>
              <w:rPr>
                <w:color w:val="auto"/>
                <w:sz w:val="20"/>
                <w:szCs w:val="20"/>
              </w:rPr>
            </w:pPr>
            <w:r w:rsidRPr="00E263F4">
              <w:rPr>
                <w:color w:val="000000"/>
                <w:sz w:val="22"/>
                <w:szCs w:val="22"/>
              </w:rPr>
              <w:t>206</w:t>
            </w:r>
          </w:p>
        </w:tc>
        <w:tc>
          <w:tcPr>
            <w:tcW w:w="553" w:type="pct"/>
            <w:gridSpan w:val="2"/>
            <w:tcBorders>
              <w:top w:val="nil"/>
              <w:left w:val="nil"/>
              <w:bottom w:val="single" w:sz="4" w:space="0" w:color="auto"/>
              <w:right w:val="single" w:sz="4" w:space="0" w:color="auto"/>
            </w:tcBorders>
            <w:shd w:val="clear" w:color="auto" w:fill="auto"/>
            <w:noWrap/>
            <w:vAlign w:val="bottom"/>
          </w:tcPr>
          <w:p w14:paraId="67926019" w14:textId="5F446CF6" w:rsidR="00673CE6" w:rsidRPr="00E263F4" w:rsidRDefault="00673CE6" w:rsidP="00E263F4">
            <w:pPr>
              <w:spacing w:before="0" w:after="0" w:line="240" w:lineRule="auto"/>
              <w:jc w:val="center"/>
              <w:rPr>
                <w:color w:val="auto"/>
                <w:sz w:val="20"/>
                <w:szCs w:val="20"/>
              </w:rPr>
            </w:pPr>
            <w:r w:rsidRPr="00E263F4">
              <w:rPr>
                <w:color w:val="000000"/>
                <w:sz w:val="22"/>
                <w:szCs w:val="22"/>
              </w:rPr>
              <w:t>195</w:t>
            </w:r>
          </w:p>
        </w:tc>
        <w:tc>
          <w:tcPr>
            <w:tcW w:w="697" w:type="pct"/>
            <w:gridSpan w:val="2"/>
            <w:tcBorders>
              <w:top w:val="nil"/>
              <w:left w:val="nil"/>
              <w:bottom w:val="single" w:sz="4" w:space="0" w:color="auto"/>
              <w:right w:val="single" w:sz="4" w:space="0" w:color="auto"/>
            </w:tcBorders>
            <w:shd w:val="clear" w:color="auto" w:fill="auto"/>
            <w:noWrap/>
            <w:vAlign w:val="bottom"/>
          </w:tcPr>
          <w:p w14:paraId="757D91CB" w14:textId="5F150E41" w:rsidR="00673CE6" w:rsidRPr="00E263F4" w:rsidRDefault="00673CE6" w:rsidP="00E263F4">
            <w:pPr>
              <w:spacing w:before="0" w:after="0" w:line="240" w:lineRule="auto"/>
              <w:jc w:val="center"/>
              <w:rPr>
                <w:color w:val="auto"/>
                <w:sz w:val="20"/>
                <w:szCs w:val="20"/>
              </w:rPr>
            </w:pPr>
            <w:r w:rsidRPr="00E263F4">
              <w:rPr>
                <w:color w:val="000000"/>
                <w:sz w:val="22"/>
                <w:szCs w:val="22"/>
              </w:rPr>
              <w:t>224</w:t>
            </w:r>
          </w:p>
        </w:tc>
        <w:tc>
          <w:tcPr>
            <w:tcW w:w="690" w:type="pct"/>
            <w:gridSpan w:val="2"/>
            <w:tcBorders>
              <w:top w:val="nil"/>
              <w:left w:val="nil"/>
              <w:bottom w:val="single" w:sz="4" w:space="0" w:color="auto"/>
              <w:right w:val="single" w:sz="4" w:space="0" w:color="auto"/>
            </w:tcBorders>
            <w:shd w:val="clear" w:color="auto" w:fill="auto"/>
            <w:noWrap/>
            <w:vAlign w:val="bottom"/>
          </w:tcPr>
          <w:p w14:paraId="6D4F1C78" w14:textId="45D0BB3D" w:rsidR="00673CE6" w:rsidRPr="00E263F4" w:rsidRDefault="00673CE6" w:rsidP="00E263F4">
            <w:pPr>
              <w:spacing w:before="0" w:after="0" w:line="240" w:lineRule="auto"/>
              <w:jc w:val="center"/>
              <w:rPr>
                <w:color w:val="auto"/>
                <w:sz w:val="20"/>
                <w:szCs w:val="20"/>
              </w:rPr>
            </w:pPr>
            <w:r w:rsidRPr="00E263F4">
              <w:rPr>
                <w:color w:val="000000"/>
                <w:sz w:val="22"/>
                <w:szCs w:val="22"/>
              </w:rPr>
              <w:t>248</w:t>
            </w:r>
          </w:p>
        </w:tc>
      </w:tr>
      <w:tr w:rsidR="00673CE6" w:rsidRPr="00E263F4" w14:paraId="7962CE3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99ABB59" w14:textId="77777777" w:rsidR="00673CE6" w:rsidRPr="00E263F4" w:rsidRDefault="00673CE6" w:rsidP="00673CE6">
            <w:pPr>
              <w:spacing w:before="0" w:after="0" w:line="240" w:lineRule="auto"/>
              <w:rPr>
                <w:color w:val="auto"/>
                <w:sz w:val="20"/>
                <w:szCs w:val="20"/>
              </w:rPr>
            </w:pPr>
            <w:r w:rsidRPr="00E263F4">
              <w:rPr>
                <w:color w:val="auto"/>
                <w:sz w:val="20"/>
                <w:szCs w:val="20"/>
              </w:rPr>
              <w:t>4</w:t>
            </w:r>
          </w:p>
        </w:tc>
        <w:tc>
          <w:tcPr>
            <w:tcW w:w="658" w:type="pct"/>
            <w:gridSpan w:val="2"/>
            <w:tcBorders>
              <w:top w:val="nil"/>
              <w:left w:val="nil"/>
              <w:bottom w:val="single" w:sz="4" w:space="0" w:color="auto"/>
              <w:right w:val="single" w:sz="4" w:space="0" w:color="auto"/>
            </w:tcBorders>
            <w:shd w:val="clear" w:color="auto" w:fill="auto"/>
            <w:noWrap/>
            <w:vAlign w:val="bottom"/>
          </w:tcPr>
          <w:p w14:paraId="3011FD88" w14:textId="73ABF504" w:rsidR="00673CE6" w:rsidRPr="00E263F4" w:rsidRDefault="00673CE6" w:rsidP="00E263F4">
            <w:pPr>
              <w:spacing w:before="0" w:after="0" w:line="240" w:lineRule="auto"/>
              <w:jc w:val="center"/>
              <w:rPr>
                <w:color w:val="auto"/>
                <w:sz w:val="20"/>
                <w:szCs w:val="20"/>
              </w:rPr>
            </w:pPr>
            <w:r w:rsidRPr="00E263F4">
              <w:rPr>
                <w:color w:val="000000"/>
                <w:sz w:val="22"/>
                <w:szCs w:val="22"/>
              </w:rPr>
              <w:t>407</w:t>
            </w:r>
          </w:p>
        </w:tc>
        <w:tc>
          <w:tcPr>
            <w:tcW w:w="660" w:type="pct"/>
            <w:gridSpan w:val="2"/>
            <w:tcBorders>
              <w:top w:val="nil"/>
              <w:left w:val="nil"/>
              <w:bottom w:val="single" w:sz="4" w:space="0" w:color="auto"/>
              <w:right w:val="single" w:sz="4" w:space="0" w:color="auto"/>
            </w:tcBorders>
            <w:shd w:val="clear" w:color="auto" w:fill="auto"/>
            <w:noWrap/>
            <w:vAlign w:val="bottom"/>
          </w:tcPr>
          <w:p w14:paraId="3D3806B9" w14:textId="26E37CD6" w:rsidR="00673CE6" w:rsidRPr="00E263F4" w:rsidRDefault="00673CE6" w:rsidP="00E263F4">
            <w:pPr>
              <w:spacing w:before="0" w:after="0" w:line="240" w:lineRule="auto"/>
              <w:jc w:val="center"/>
              <w:rPr>
                <w:color w:val="auto"/>
                <w:sz w:val="20"/>
                <w:szCs w:val="20"/>
              </w:rPr>
            </w:pPr>
            <w:r w:rsidRPr="00E263F4">
              <w:rPr>
                <w:color w:val="000000"/>
                <w:sz w:val="22"/>
                <w:szCs w:val="22"/>
              </w:rPr>
              <w:t>370</w:t>
            </w:r>
          </w:p>
        </w:tc>
        <w:tc>
          <w:tcPr>
            <w:tcW w:w="540" w:type="pct"/>
            <w:tcBorders>
              <w:top w:val="nil"/>
              <w:left w:val="nil"/>
              <w:bottom w:val="single" w:sz="4" w:space="0" w:color="auto"/>
              <w:right w:val="single" w:sz="4" w:space="0" w:color="auto"/>
            </w:tcBorders>
            <w:shd w:val="clear" w:color="auto" w:fill="auto"/>
            <w:noWrap/>
            <w:vAlign w:val="bottom"/>
          </w:tcPr>
          <w:p w14:paraId="2966C984" w14:textId="0038E441" w:rsidR="00673CE6" w:rsidRPr="00E263F4" w:rsidRDefault="00673CE6" w:rsidP="00E263F4">
            <w:pPr>
              <w:spacing w:before="0" w:after="0" w:line="240" w:lineRule="auto"/>
              <w:jc w:val="center"/>
              <w:rPr>
                <w:color w:val="auto"/>
                <w:sz w:val="20"/>
                <w:szCs w:val="20"/>
              </w:rPr>
            </w:pPr>
            <w:r w:rsidRPr="00E263F4">
              <w:rPr>
                <w:color w:val="000000"/>
                <w:sz w:val="22"/>
                <w:szCs w:val="22"/>
              </w:rPr>
              <w:t>292</w:t>
            </w:r>
          </w:p>
        </w:tc>
        <w:tc>
          <w:tcPr>
            <w:tcW w:w="553" w:type="pct"/>
            <w:gridSpan w:val="2"/>
            <w:tcBorders>
              <w:top w:val="nil"/>
              <w:left w:val="nil"/>
              <w:bottom w:val="single" w:sz="4" w:space="0" w:color="auto"/>
              <w:right w:val="single" w:sz="4" w:space="0" w:color="auto"/>
            </w:tcBorders>
            <w:shd w:val="clear" w:color="auto" w:fill="auto"/>
            <w:noWrap/>
            <w:vAlign w:val="bottom"/>
          </w:tcPr>
          <w:p w14:paraId="674D8C6A" w14:textId="2199422B" w:rsidR="00673CE6" w:rsidRPr="00E263F4" w:rsidRDefault="00673CE6" w:rsidP="00E263F4">
            <w:pPr>
              <w:spacing w:before="0" w:after="0" w:line="240" w:lineRule="auto"/>
              <w:jc w:val="center"/>
              <w:rPr>
                <w:color w:val="auto"/>
                <w:sz w:val="20"/>
                <w:szCs w:val="20"/>
              </w:rPr>
            </w:pPr>
            <w:r w:rsidRPr="00E263F4">
              <w:rPr>
                <w:color w:val="000000"/>
                <w:sz w:val="22"/>
                <w:szCs w:val="22"/>
              </w:rPr>
              <w:t>365</w:t>
            </w:r>
          </w:p>
        </w:tc>
        <w:tc>
          <w:tcPr>
            <w:tcW w:w="697" w:type="pct"/>
            <w:gridSpan w:val="2"/>
            <w:tcBorders>
              <w:top w:val="nil"/>
              <w:left w:val="nil"/>
              <w:bottom w:val="single" w:sz="4" w:space="0" w:color="auto"/>
              <w:right w:val="single" w:sz="4" w:space="0" w:color="auto"/>
            </w:tcBorders>
            <w:shd w:val="clear" w:color="auto" w:fill="auto"/>
            <w:noWrap/>
            <w:vAlign w:val="bottom"/>
          </w:tcPr>
          <w:p w14:paraId="2510B8F1" w14:textId="0F8C3A13" w:rsidR="00673CE6" w:rsidRPr="00E263F4" w:rsidRDefault="00673CE6" w:rsidP="00E263F4">
            <w:pPr>
              <w:spacing w:before="0" w:after="0" w:line="240" w:lineRule="auto"/>
              <w:jc w:val="center"/>
              <w:rPr>
                <w:color w:val="auto"/>
                <w:sz w:val="20"/>
                <w:szCs w:val="20"/>
              </w:rPr>
            </w:pPr>
            <w:r w:rsidRPr="00E263F4">
              <w:rPr>
                <w:color w:val="000000"/>
                <w:sz w:val="22"/>
                <w:szCs w:val="22"/>
              </w:rPr>
              <w:t>443</w:t>
            </w:r>
          </w:p>
        </w:tc>
        <w:tc>
          <w:tcPr>
            <w:tcW w:w="690" w:type="pct"/>
            <w:gridSpan w:val="2"/>
            <w:tcBorders>
              <w:top w:val="nil"/>
              <w:left w:val="nil"/>
              <w:bottom w:val="single" w:sz="4" w:space="0" w:color="auto"/>
              <w:right w:val="single" w:sz="4" w:space="0" w:color="auto"/>
            </w:tcBorders>
            <w:shd w:val="clear" w:color="auto" w:fill="auto"/>
            <w:noWrap/>
            <w:vAlign w:val="bottom"/>
          </w:tcPr>
          <w:p w14:paraId="0D93C7C0" w14:textId="119CB396" w:rsidR="00673CE6" w:rsidRPr="00E263F4" w:rsidRDefault="00673CE6" w:rsidP="00E263F4">
            <w:pPr>
              <w:spacing w:before="0" w:after="0" w:line="240" w:lineRule="auto"/>
              <w:jc w:val="center"/>
              <w:rPr>
                <w:color w:val="auto"/>
                <w:sz w:val="20"/>
                <w:szCs w:val="20"/>
              </w:rPr>
            </w:pPr>
            <w:r w:rsidRPr="00E263F4">
              <w:rPr>
                <w:color w:val="000000"/>
                <w:sz w:val="22"/>
                <w:szCs w:val="22"/>
              </w:rPr>
              <w:t>500</w:t>
            </w:r>
          </w:p>
        </w:tc>
      </w:tr>
      <w:tr w:rsidR="00673CE6" w:rsidRPr="00E263F4" w14:paraId="7C3E200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E8D058A" w14:textId="77777777" w:rsidR="00673CE6" w:rsidRPr="00E263F4" w:rsidRDefault="00673CE6" w:rsidP="00673CE6">
            <w:pPr>
              <w:spacing w:before="0" w:after="0" w:line="240" w:lineRule="auto"/>
              <w:rPr>
                <w:color w:val="auto"/>
                <w:sz w:val="20"/>
                <w:szCs w:val="20"/>
              </w:rPr>
            </w:pPr>
            <w:r w:rsidRPr="00E263F4">
              <w:rPr>
                <w:color w:val="auto"/>
                <w:sz w:val="20"/>
                <w:szCs w:val="20"/>
              </w:rPr>
              <w:t>5</w:t>
            </w:r>
          </w:p>
        </w:tc>
        <w:tc>
          <w:tcPr>
            <w:tcW w:w="658" w:type="pct"/>
            <w:gridSpan w:val="2"/>
            <w:tcBorders>
              <w:top w:val="nil"/>
              <w:left w:val="nil"/>
              <w:bottom w:val="single" w:sz="4" w:space="0" w:color="auto"/>
              <w:right w:val="single" w:sz="4" w:space="0" w:color="auto"/>
            </w:tcBorders>
            <w:shd w:val="clear" w:color="auto" w:fill="auto"/>
            <w:noWrap/>
            <w:vAlign w:val="bottom"/>
          </w:tcPr>
          <w:p w14:paraId="631A73F2" w14:textId="43A23C50" w:rsidR="00673CE6" w:rsidRPr="00E263F4" w:rsidRDefault="00673CE6" w:rsidP="00E263F4">
            <w:pPr>
              <w:spacing w:before="0" w:after="0" w:line="240" w:lineRule="auto"/>
              <w:jc w:val="center"/>
              <w:rPr>
                <w:color w:val="auto"/>
                <w:sz w:val="20"/>
                <w:szCs w:val="20"/>
              </w:rPr>
            </w:pPr>
            <w:r w:rsidRPr="00E263F4">
              <w:rPr>
                <w:color w:val="000000"/>
                <w:sz w:val="22"/>
                <w:szCs w:val="22"/>
              </w:rPr>
              <w:t>294</w:t>
            </w:r>
          </w:p>
        </w:tc>
        <w:tc>
          <w:tcPr>
            <w:tcW w:w="660" w:type="pct"/>
            <w:gridSpan w:val="2"/>
            <w:tcBorders>
              <w:top w:val="nil"/>
              <w:left w:val="nil"/>
              <w:bottom w:val="single" w:sz="4" w:space="0" w:color="auto"/>
              <w:right w:val="single" w:sz="4" w:space="0" w:color="auto"/>
            </w:tcBorders>
            <w:shd w:val="clear" w:color="auto" w:fill="auto"/>
            <w:noWrap/>
            <w:vAlign w:val="bottom"/>
          </w:tcPr>
          <w:p w14:paraId="08DEEB93" w14:textId="41F09318" w:rsidR="00673CE6" w:rsidRPr="00E263F4" w:rsidRDefault="00673CE6" w:rsidP="00E263F4">
            <w:pPr>
              <w:spacing w:before="0" w:after="0" w:line="240" w:lineRule="auto"/>
              <w:jc w:val="center"/>
              <w:rPr>
                <w:color w:val="auto"/>
                <w:sz w:val="20"/>
                <w:szCs w:val="20"/>
              </w:rPr>
            </w:pPr>
            <w:r w:rsidRPr="00E263F4">
              <w:rPr>
                <w:color w:val="000000"/>
                <w:sz w:val="22"/>
                <w:szCs w:val="22"/>
              </w:rPr>
              <w:t>268</w:t>
            </w:r>
          </w:p>
        </w:tc>
        <w:tc>
          <w:tcPr>
            <w:tcW w:w="540" w:type="pct"/>
            <w:tcBorders>
              <w:top w:val="nil"/>
              <w:left w:val="nil"/>
              <w:bottom w:val="single" w:sz="4" w:space="0" w:color="auto"/>
              <w:right w:val="single" w:sz="4" w:space="0" w:color="auto"/>
            </w:tcBorders>
            <w:shd w:val="clear" w:color="auto" w:fill="auto"/>
            <w:noWrap/>
            <w:vAlign w:val="bottom"/>
          </w:tcPr>
          <w:p w14:paraId="6B002604" w14:textId="4547C4E1" w:rsidR="00673CE6" w:rsidRPr="00E263F4" w:rsidRDefault="00673CE6" w:rsidP="00E263F4">
            <w:pPr>
              <w:spacing w:before="0" w:after="0" w:line="240" w:lineRule="auto"/>
              <w:jc w:val="center"/>
              <w:rPr>
                <w:color w:val="auto"/>
                <w:sz w:val="20"/>
                <w:szCs w:val="20"/>
              </w:rPr>
            </w:pPr>
            <w:r w:rsidRPr="00E263F4">
              <w:rPr>
                <w:color w:val="000000"/>
                <w:sz w:val="22"/>
                <w:szCs w:val="22"/>
              </w:rPr>
              <w:t>210</w:t>
            </w:r>
          </w:p>
        </w:tc>
        <w:tc>
          <w:tcPr>
            <w:tcW w:w="553" w:type="pct"/>
            <w:gridSpan w:val="2"/>
            <w:tcBorders>
              <w:top w:val="nil"/>
              <w:left w:val="nil"/>
              <w:bottom w:val="single" w:sz="4" w:space="0" w:color="auto"/>
              <w:right w:val="single" w:sz="4" w:space="0" w:color="auto"/>
            </w:tcBorders>
            <w:shd w:val="clear" w:color="auto" w:fill="auto"/>
            <w:noWrap/>
            <w:vAlign w:val="bottom"/>
          </w:tcPr>
          <w:p w14:paraId="7FBF4975" w14:textId="6D58B850" w:rsidR="00673CE6" w:rsidRPr="00E263F4" w:rsidRDefault="00673CE6" w:rsidP="00E263F4">
            <w:pPr>
              <w:spacing w:before="0" w:after="0" w:line="240" w:lineRule="auto"/>
              <w:jc w:val="center"/>
              <w:rPr>
                <w:color w:val="auto"/>
                <w:sz w:val="20"/>
                <w:szCs w:val="20"/>
              </w:rPr>
            </w:pPr>
            <w:r w:rsidRPr="00E263F4">
              <w:rPr>
                <w:color w:val="000000"/>
                <w:sz w:val="22"/>
                <w:szCs w:val="22"/>
              </w:rPr>
              <w:t>251</w:t>
            </w:r>
          </w:p>
        </w:tc>
        <w:tc>
          <w:tcPr>
            <w:tcW w:w="697" w:type="pct"/>
            <w:gridSpan w:val="2"/>
            <w:tcBorders>
              <w:top w:val="nil"/>
              <w:left w:val="nil"/>
              <w:bottom w:val="single" w:sz="4" w:space="0" w:color="auto"/>
              <w:right w:val="single" w:sz="4" w:space="0" w:color="auto"/>
            </w:tcBorders>
            <w:shd w:val="clear" w:color="auto" w:fill="auto"/>
            <w:noWrap/>
            <w:vAlign w:val="bottom"/>
          </w:tcPr>
          <w:p w14:paraId="6871FDD2" w14:textId="7FA3C753" w:rsidR="00673CE6" w:rsidRPr="00E263F4" w:rsidRDefault="00673CE6" w:rsidP="00E263F4">
            <w:pPr>
              <w:spacing w:before="0" w:after="0" w:line="240" w:lineRule="auto"/>
              <w:jc w:val="center"/>
              <w:rPr>
                <w:color w:val="auto"/>
                <w:sz w:val="20"/>
                <w:szCs w:val="20"/>
              </w:rPr>
            </w:pPr>
            <w:r w:rsidRPr="00E263F4">
              <w:rPr>
                <w:color w:val="000000"/>
                <w:sz w:val="22"/>
                <w:szCs w:val="22"/>
              </w:rPr>
              <w:t>306</w:t>
            </w:r>
          </w:p>
        </w:tc>
        <w:tc>
          <w:tcPr>
            <w:tcW w:w="690" w:type="pct"/>
            <w:gridSpan w:val="2"/>
            <w:tcBorders>
              <w:top w:val="nil"/>
              <w:left w:val="nil"/>
              <w:bottom w:val="single" w:sz="4" w:space="0" w:color="auto"/>
              <w:right w:val="single" w:sz="4" w:space="0" w:color="auto"/>
            </w:tcBorders>
            <w:shd w:val="clear" w:color="auto" w:fill="auto"/>
            <w:noWrap/>
            <w:vAlign w:val="bottom"/>
          </w:tcPr>
          <w:p w14:paraId="782345EA" w14:textId="4922BB81" w:rsidR="00673CE6" w:rsidRPr="00E263F4" w:rsidRDefault="00673CE6" w:rsidP="00E263F4">
            <w:pPr>
              <w:spacing w:before="0" w:after="0" w:line="240" w:lineRule="auto"/>
              <w:jc w:val="center"/>
              <w:rPr>
                <w:color w:val="auto"/>
                <w:sz w:val="20"/>
                <w:szCs w:val="20"/>
              </w:rPr>
            </w:pPr>
            <w:r w:rsidRPr="00E263F4">
              <w:rPr>
                <w:color w:val="000000"/>
                <w:sz w:val="22"/>
                <w:szCs w:val="22"/>
              </w:rPr>
              <w:t>325</w:t>
            </w:r>
          </w:p>
        </w:tc>
      </w:tr>
      <w:tr w:rsidR="00673CE6" w:rsidRPr="00E263F4" w14:paraId="03D62D2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65FE730" w14:textId="77777777" w:rsidR="00673CE6" w:rsidRPr="00E263F4" w:rsidRDefault="00673CE6" w:rsidP="00673CE6">
            <w:pPr>
              <w:spacing w:before="0" w:after="0" w:line="240" w:lineRule="auto"/>
              <w:rPr>
                <w:color w:val="auto"/>
                <w:sz w:val="20"/>
                <w:szCs w:val="20"/>
              </w:rPr>
            </w:pPr>
            <w:r w:rsidRPr="00E263F4">
              <w:rPr>
                <w:color w:val="auto"/>
                <w:sz w:val="20"/>
                <w:szCs w:val="20"/>
              </w:rPr>
              <w:t>6</w:t>
            </w:r>
          </w:p>
        </w:tc>
        <w:tc>
          <w:tcPr>
            <w:tcW w:w="658" w:type="pct"/>
            <w:gridSpan w:val="2"/>
            <w:tcBorders>
              <w:top w:val="nil"/>
              <w:left w:val="nil"/>
              <w:bottom w:val="single" w:sz="4" w:space="0" w:color="auto"/>
              <w:right w:val="single" w:sz="4" w:space="0" w:color="auto"/>
            </w:tcBorders>
            <w:shd w:val="clear" w:color="auto" w:fill="auto"/>
            <w:noWrap/>
            <w:vAlign w:val="bottom"/>
          </w:tcPr>
          <w:p w14:paraId="58350842" w14:textId="5480238C" w:rsidR="00673CE6" w:rsidRPr="00E263F4" w:rsidRDefault="00673CE6" w:rsidP="00E263F4">
            <w:pPr>
              <w:spacing w:before="0" w:after="0" w:line="240" w:lineRule="auto"/>
              <w:jc w:val="center"/>
              <w:rPr>
                <w:color w:val="auto"/>
                <w:sz w:val="20"/>
                <w:szCs w:val="20"/>
              </w:rPr>
            </w:pPr>
            <w:r w:rsidRPr="00E263F4">
              <w:rPr>
                <w:color w:val="000000"/>
                <w:sz w:val="22"/>
                <w:szCs w:val="22"/>
              </w:rPr>
              <w:t>353</w:t>
            </w:r>
          </w:p>
        </w:tc>
        <w:tc>
          <w:tcPr>
            <w:tcW w:w="660" w:type="pct"/>
            <w:gridSpan w:val="2"/>
            <w:tcBorders>
              <w:top w:val="nil"/>
              <w:left w:val="nil"/>
              <w:bottom w:val="single" w:sz="4" w:space="0" w:color="auto"/>
              <w:right w:val="single" w:sz="4" w:space="0" w:color="auto"/>
            </w:tcBorders>
            <w:shd w:val="clear" w:color="auto" w:fill="auto"/>
            <w:noWrap/>
            <w:vAlign w:val="bottom"/>
          </w:tcPr>
          <w:p w14:paraId="058AB481" w14:textId="52E089F9" w:rsidR="00673CE6" w:rsidRPr="00E263F4" w:rsidRDefault="00673CE6" w:rsidP="00E263F4">
            <w:pPr>
              <w:spacing w:before="0" w:after="0" w:line="240" w:lineRule="auto"/>
              <w:jc w:val="center"/>
              <w:rPr>
                <w:color w:val="auto"/>
                <w:sz w:val="20"/>
                <w:szCs w:val="20"/>
              </w:rPr>
            </w:pPr>
            <w:r w:rsidRPr="00E263F4">
              <w:rPr>
                <w:color w:val="000000"/>
                <w:sz w:val="22"/>
                <w:szCs w:val="22"/>
              </w:rPr>
              <w:t>343</w:t>
            </w:r>
          </w:p>
        </w:tc>
        <w:tc>
          <w:tcPr>
            <w:tcW w:w="540" w:type="pct"/>
            <w:tcBorders>
              <w:top w:val="nil"/>
              <w:left w:val="nil"/>
              <w:bottom w:val="single" w:sz="4" w:space="0" w:color="auto"/>
              <w:right w:val="single" w:sz="4" w:space="0" w:color="auto"/>
            </w:tcBorders>
            <w:shd w:val="clear" w:color="auto" w:fill="auto"/>
            <w:noWrap/>
            <w:vAlign w:val="bottom"/>
          </w:tcPr>
          <w:p w14:paraId="353B7B40" w14:textId="0B1A06AD" w:rsidR="00673CE6" w:rsidRPr="00E263F4" w:rsidRDefault="00673CE6" w:rsidP="00E263F4">
            <w:pPr>
              <w:spacing w:before="0" w:after="0" w:line="240" w:lineRule="auto"/>
              <w:jc w:val="center"/>
              <w:rPr>
                <w:color w:val="auto"/>
                <w:sz w:val="20"/>
                <w:szCs w:val="20"/>
              </w:rPr>
            </w:pPr>
            <w:r w:rsidRPr="00E263F4">
              <w:rPr>
                <w:color w:val="000000"/>
                <w:sz w:val="22"/>
                <w:szCs w:val="22"/>
              </w:rPr>
              <w:t>244</w:t>
            </w:r>
          </w:p>
        </w:tc>
        <w:tc>
          <w:tcPr>
            <w:tcW w:w="553" w:type="pct"/>
            <w:gridSpan w:val="2"/>
            <w:tcBorders>
              <w:top w:val="nil"/>
              <w:left w:val="nil"/>
              <w:bottom w:val="single" w:sz="4" w:space="0" w:color="auto"/>
              <w:right w:val="single" w:sz="4" w:space="0" w:color="auto"/>
            </w:tcBorders>
            <w:shd w:val="clear" w:color="auto" w:fill="auto"/>
            <w:noWrap/>
            <w:vAlign w:val="bottom"/>
          </w:tcPr>
          <w:p w14:paraId="45F41D8B" w14:textId="007EDFF0" w:rsidR="00673CE6" w:rsidRPr="00E263F4" w:rsidRDefault="00673CE6" w:rsidP="00E263F4">
            <w:pPr>
              <w:spacing w:before="0" w:after="0" w:line="240" w:lineRule="auto"/>
              <w:jc w:val="center"/>
              <w:rPr>
                <w:color w:val="auto"/>
                <w:sz w:val="20"/>
                <w:szCs w:val="20"/>
              </w:rPr>
            </w:pPr>
            <w:r w:rsidRPr="00E263F4">
              <w:rPr>
                <w:color w:val="000000"/>
                <w:sz w:val="22"/>
                <w:szCs w:val="22"/>
              </w:rPr>
              <w:t>237</w:t>
            </w:r>
          </w:p>
        </w:tc>
        <w:tc>
          <w:tcPr>
            <w:tcW w:w="697" w:type="pct"/>
            <w:gridSpan w:val="2"/>
            <w:tcBorders>
              <w:top w:val="nil"/>
              <w:left w:val="nil"/>
              <w:bottom w:val="single" w:sz="4" w:space="0" w:color="auto"/>
              <w:right w:val="single" w:sz="4" w:space="0" w:color="auto"/>
            </w:tcBorders>
            <w:shd w:val="clear" w:color="auto" w:fill="auto"/>
            <w:noWrap/>
            <w:vAlign w:val="bottom"/>
          </w:tcPr>
          <w:p w14:paraId="411E286D" w14:textId="1E61996F" w:rsidR="00673CE6" w:rsidRPr="00E263F4" w:rsidRDefault="00673CE6" w:rsidP="00E263F4">
            <w:pPr>
              <w:spacing w:before="0" w:after="0" w:line="240" w:lineRule="auto"/>
              <w:jc w:val="center"/>
              <w:rPr>
                <w:color w:val="auto"/>
                <w:sz w:val="20"/>
                <w:szCs w:val="20"/>
              </w:rPr>
            </w:pPr>
            <w:r w:rsidRPr="00E263F4">
              <w:rPr>
                <w:color w:val="000000"/>
                <w:sz w:val="22"/>
                <w:szCs w:val="22"/>
              </w:rPr>
              <w:t>265</w:t>
            </w:r>
          </w:p>
        </w:tc>
        <w:tc>
          <w:tcPr>
            <w:tcW w:w="690" w:type="pct"/>
            <w:gridSpan w:val="2"/>
            <w:tcBorders>
              <w:top w:val="nil"/>
              <w:left w:val="nil"/>
              <w:bottom w:val="single" w:sz="4" w:space="0" w:color="auto"/>
              <w:right w:val="single" w:sz="4" w:space="0" w:color="auto"/>
            </w:tcBorders>
            <w:shd w:val="clear" w:color="auto" w:fill="auto"/>
            <w:noWrap/>
            <w:vAlign w:val="bottom"/>
          </w:tcPr>
          <w:p w14:paraId="3D01A9A6" w14:textId="2148075A" w:rsidR="00673CE6" w:rsidRPr="00E263F4" w:rsidRDefault="00673CE6" w:rsidP="00E263F4">
            <w:pPr>
              <w:spacing w:before="0" w:after="0" w:line="240" w:lineRule="auto"/>
              <w:jc w:val="center"/>
              <w:rPr>
                <w:color w:val="auto"/>
                <w:sz w:val="20"/>
                <w:szCs w:val="20"/>
              </w:rPr>
            </w:pPr>
            <w:r w:rsidRPr="00E263F4">
              <w:rPr>
                <w:color w:val="000000"/>
                <w:sz w:val="22"/>
                <w:szCs w:val="22"/>
              </w:rPr>
              <w:t>306</w:t>
            </w:r>
          </w:p>
        </w:tc>
      </w:tr>
      <w:tr w:rsidR="00673CE6" w:rsidRPr="00E263F4" w14:paraId="61C642B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A8F27EE" w14:textId="77777777" w:rsidR="00673CE6" w:rsidRPr="00E263F4" w:rsidRDefault="00673CE6" w:rsidP="00673CE6">
            <w:pPr>
              <w:spacing w:before="0" w:after="0" w:line="240" w:lineRule="auto"/>
              <w:rPr>
                <w:color w:val="auto"/>
                <w:sz w:val="20"/>
                <w:szCs w:val="20"/>
              </w:rPr>
            </w:pPr>
            <w:r w:rsidRPr="00E263F4">
              <w:rPr>
                <w:color w:val="auto"/>
                <w:sz w:val="20"/>
                <w:szCs w:val="20"/>
              </w:rPr>
              <w:t>7</w:t>
            </w:r>
          </w:p>
        </w:tc>
        <w:tc>
          <w:tcPr>
            <w:tcW w:w="658" w:type="pct"/>
            <w:gridSpan w:val="2"/>
            <w:tcBorders>
              <w:top w:val="nil"/>
              <w:left w:val="nil"/>
              <w:bottom w:val="single" w:sz="4" w:space="0" w:color="auto"/>
              <w:right w:val="single" w:sz="4" w:space="0" w:color="auto"/>
            </w:tcBorders>
            <w:shd w:val="clear" w:color="auto" w:fill="auto"/>
            <w:noWrap/>
            <w:vAlign w:val="bottom"/>
          </w:tcPr>
          <w:p w14:paraId="70FBAB7A" w14:textId="634EC65F" w:rsidR="00673CE6" w:rsidRPr="00E263F4" w:rsidRDefault="00673CE6" w:rsidP="00E263F4">
            <w:pPr>
              <w:spacing w:before="0" w:after="0" w:line="240" w:lineRule="auto"/>
              <w:jc w:val="center"/>
              <w:rPr>
                <w:color w:val="auto"/>
                <w:sz w:val="20"/>
                <w:szCs w:val="20"/>
              </w:rPr>
            </w:pPr>
            <w:r w:rsidRPr="00E263F4">
              <w:rPr>
                <w:color w:val="000000"/>
                <w:sz w:val="22"/>
                <w:szCs w:val="22"/>
              </w:rPr>
              <w:t>233</w:t>
            </w:r>
          </w:p>
        </w:tc>
        <w:tc>
          <w:tcPr>
            <w:tcW w:w="660" w:type="pct"/>
            <w:gridSpan w:val="2"/>
            <w:tcBorders>
              <w:top w:val="nil"/>
              <w:left w:val="nil"/>
              <w:bottom w:val="single" w:sz="4" w:space="0" w:color="auto"/>
              <w:right w:val="single" w:sz="4" w:space="0" w:color="auto"/>
            </w:tcBorders>
            <w:shd w:val="clear" w:color="auto" w:fill="auto"/>
            <w:noWrap/>
            <w:vAlign w:val="bottom"/>
          </w:tcPr>
          <w:p w14:paraId="01EE553F" w14:textId="601D1552" w:rsidR="00673CE6" w:rsidRPr="00E263F4" w:rsidRDefault="00673CE6" w:rsidP="00E263F4">
            <w:pPr>
              <w:spacing w:before="0" w:after="0" w:line="240" w:lineRule="auto"/>
              <w:jc w:val="center"/>
              <w:rPr>
                <w:color w:val="auto"/>
                <w:sz w:val="20"/>
                <w:szCs w:val="20"/>
              </w:rPr>
            </w:pPr>
            <w:r w:rsidRPr="00E263F4">
              <w:rPr>
                <w:color w:val="000000"/>
                <w:sz w:val="22"/>
                <w:szCs w:val="22"/>
              </w:rPr>
              <w:t>233</w:t>
            </w:r>
          </w:p>
        </w:tc>
        <w:tc>
          <w:tcPr>
            <w:tcW w:w="540" w:type="pct"/>
            <w:tcBorders>
              <w:top w:val="nil"/>
              <w:left w:val="nil"/>
              <w:bottom w:val="single" w:sz="4" w:space="0" w:color="auto"/>
              <w:right w:val="single" w:sz="4" w:space="0" w:color="auto"/>
            </w:tcBorders>
            <w:shd w:val="clear" w:color="auto" w:fill="auto"/>
            <w:noWrap/>
            <w:vAlign w:val="bottom"/>
          </w:tcPr>
          <w:p w14:paraId="2F48F0FC" w14:textId="56C7D509" w:rsidR="00673CE6" w:rsidRPr="00E263F4" w:rsidRDefault="00673CE6" w:rsidP="00E263F4">
            <w:pPr>
              <w:spacing w:before="0" w:after="0" w:line="240" w:lineRule="auto"/>
              <w:jc w:val="center"/>
              <w:rPr>
                <w:color w:val="auto"/>
                <w:sz w:val="20"/>
                <w:szCs w:val="20"/>
              </w:rPr>
            </w:pPr>
            <w:r w:rsidRPr="00E263F4">
              <w:rPr>
                <w:color w:val="000000"/>
                <w:sz w:val="22"/>
                <w:szCs w:val="22"/>
              </w:rPr>
              <w:t>148</w:t>
            </w:r>
          </w:p>
        </w:tc>
        <w:tc>
          <w:tcPr>
            <w:tcW w:w="553" w:type="pct"/>
            <w:gridSpan w:val="2"/>
            <w:tcBorders>
              <w:top w:val="nil"/>
              <w:left w:val="nil"/>
              <w:bottom w:val="single" w:sz="4" w:space="0" w:color="auto"/>
              <w:right w:val="single" w:sz="4" w:space="0" w:color="auto"/>
            </w:tcBorders>
            <w:shd w:val="clear" w:color="auto" w:fill="auto"/>
            <w:noWrap/>
            <w:vAlign w:val="bottom"/>
          </w:tcPr>
          <w:p w14:paraId="1C51B5A3" w14:textId="4B44A9D6" w:rsidR="00673CE6" w:rsidRPr="00E263F4" w:rsidRDefault="00673CE6" w:rsidP="00E263F4">
            <w:pPr>
              <w:spacing w:before="0" w:after="0" w:line="240" w:lineRule="auto"/>
              <w:jc w:val="center"/>
              <w:rPr>
                <w:color w:val="auto"/>
                <w:sz w:val="20"/>
                <w:szCs w:val="20"/>
              </w:rPr>
            </w:pPr>
            <w:r w:rsidRPr="00E263F4">
              <w:rPr>
                <w:color w:val="000000"/>
                <w:sz w:val="22"/>
                <w:szCs w:val="22"/>
              </w:rPr>
              <w:t>187</w:t>
            </w:r>
          </w:p>
        </w:tc>
        <w:tc>
          <w:tcPr>
            <w:tcW w:w="697" w:type="pct"/>
            <w:gridSpan w:val="2"/>
            <w:tcBorders>
              <w:top w:val="nil"/>
              <w:left w:val="nil"/>
              <w:bottom w:val="single" w:sz="4" w:space="0" w:color="auto"/>
              <w:right w:val="single" w:sz="4" w:space="0" w:color="auto"/>
            </w:tcBorders>
            <w:shd w:val="clear" w:color="auto" w:fill="auto"/>
            <w:noWrap/>
            <w:vAlign w:val="bottom"/>
          </w:tcPr>
          <w:p w14:paraId="05B200A4" w14:textId="24346257" w:rsidR="00673CE6" w:rsidRPr="00E263F4" w:rsidRDefault="00673CE6" w:rsidP="00E263F4">
            <w:pPr>
              <w:spacing w:before="0" w:after="0" w:line="240" w:lineRule="auto"/>
              <w:jc w:val="center"/>
              <w:rPr>
                <w:color w:val="auto"/>
                <w:sz w:val="20"/>
                <w:szCs w:val="20"/>
              </w:rPr>
            </w:pPr>
            <w:r w:rsidRPr="00E263F4">
              <w:rPr>
                <w:color w:val="000000"/>
                <w:sz w:val="22"/>
                <w:szCs w:val="22"/>
              </w:rPr>
              <w:t>264</w:t>
            </w:r>
          </w:p>
        </w:tc>
        <w:tc>
          <w:tcPr>
            <w:tcW w:w="690" w:type="pct"/>
            <w:gridSpan w:val="2"/>
            <w:tcBorders>
              <w:top w:val="nil"/>
              <w:left w:val="nil"/>
              <w:bottom w:val="single" w:sz="4" w:space="0" w:color="auto"/>
              <w:right w:val="single" w:sz="4" w:space="0" w:color="auto"/>
            </w:tcBorders>
            <w:shd w:val="clear" w:color="auto" w:fill="auto"/>
            <w:noWrap/>
            <w:vAlign w:val="bottom"/>
          </w:tcPr>
          <w:p w14:paraId="18CF3F90" w14:textId="08AD7727" w:rsidR="00673CE6" w:rsidRPr="00E263F4" w:rsidRDefault="00673CE6" w:rsidP="00E263F4">
            <w:pPr>
              <w:spacing w:before="0" w:after="0" w:line="240" w:lineRule="auto"/>
              <w:jc w:val="center"/>
              <w:rPr>
                <w:color w:val="auto"/>
                <w:sz w:val="20"/>
                <w:szCs w:val="20"/>
              </w:rPr>
            </w:pPr>
            <w:r w:rsidRPr="00E263F4">
              <w:rPr>
                <w:color w:val="000000"/>
                <w:sz w:val="22"/>
                <w:szCs w:val="22"/>
              </w:rPr>
              <w:t>170</w:t>
            </w:r>
          </w:p>
        </w:tc>
      </w:tr>
      <w:tr w:rsidR="00673CE6" w:rsidRPr="00E263F4" w14:paraId="51C276F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DF94FCE" w14:textId="77777777" w:rsidR="00673CE6" w:rsidRPr="00E263F4" w:rsidRDefault="00673CE6" w:rsidP="00673CE6">
            <w:pPr>
              <w:spacing w:before="0" w:after="0" w:line="240" w:lineRule="auto"/>
              <w:rPr>
                <w:color w:val="auto"/>
                <w:sz w:val="20"/>
                <w:szCs w:val="20"/>
              </w:rPr>
            </w:pPr>
            <w:r w:rsidRPr="00E263F4">
              <w:rPr>
                <w:color w:val="auto"/>
                <w:sz w:val="20"/>
                <w:szCs w:val="20"/>
              </w:rPr>
              <w:t>8</w:t>
            </w:r>
          </w:p>
        </w:tc>
        <w:tc>
          <w:tcPr>
            <w:tcW w:w="658" w:type="pct"/>
            <w:gridSpan w:val="2"/>
            <w:tcBorders>
              <w:top w:val="nil"/>
              <w:left w:val="nil"/>
              <w:bottom w:val="single" w:sz="4" w:space="0" w:color="auto"/>
              <w:right w:val="single" w:sz="4" w:space="0" w:color="auto"/>
            </w:tcBorders>
            <w:shd w:val="clear" w:color="auto" w:fill="auto"/>
            <w:noWrap/>
            <w:vAlign w:val="bottom"/>
          </w:tcPr>
          <w:p w14:paraId="30773A99" w14:textId="01C0DAF4" w:rsidR="00673CE6" w:rsidRPr="00E263F4" w:rsidRDefault="00673CE6" w:rsidP="00E263F4">
            <w:pPr>
              <w:spacing w:before="0" w:after="0" w:line="240" w:lineRule="auto"/>
              <w:jc w:val="center"/>
              <w:rPr>
                <w:color w:val="auto"/>
                <w:sz w:val="20"/>
                <w:szCs w:val="20"/>
              </w:rPr>
            </w:pPr>
            <w:r w:rsidRPr="00E263F4">
              <w:rPr>
                <w:color w:val="000000"/>
                <w:sz w:val="22"/>
                <w:szCs w:val="22"/>
              </w:rPr>
              <w:t>268</w:t>
            </w:r>
          </w:p>
        </w:tc>
        <w:tc>
          <w:tcPr>
            <w:tcW w:w="660" w:type="pct"/>
            <w:gridSpan w:val="2"/>
            <w:tcBorders>
              <w:top w:val="nil"/>
              <w:left w:val="nil"/>
              <w:bottom w:val="single" w:sz="4" w:space="0" w:color="auto"/>
              <w:right w:val="single" w:sz="4" w:space="0" w:color="auto"/>
            </w:tcBorders>
            <w:shd w:val="clear" w:color="auto" w:fill="auto"/>
            <w:noWrap/>
            <w:vAlign w:val="bottom"/>
          </w:tcPr>
          <w:p w14:paraId="690FD23A" w14:textId="5E9C7690" w:rsidR="00673CE6" w:rsidRPr="00E263F4" w:rsidRDefault="00673CE6" w:rsidP="00E263F4">
            <w:pPr>
              <w:spacing w:before="0" w:after="0" w:line="240" w:lineRule="auto"/>
              <w:jc w:val="center"/>
              <w:rPr>
                <w:color w:val="auto"/>
                <w:sz w:val="20"/>
                <w:szCs w:val="20"/>
              </w:rPr>
            </w:pPr>
            <w:r w:rsidRPr="00E263F4">
              <w:rPr>
                <w:color w:val="000000"/>
                <w:sz w:val="22"/>
                <w:szCs w:val="22"/>
              </w:rPr>
              <w:t>231</w:t>
            </w:r>
          </w:p>
        </w:tc>
        <w:tc>
          <w:tcPr>
            <w:tcW w:w="540" w:type="pct"/>
            <w:tcBorders>
              <w:top w:val="nil"/>
              <w:left w:val="nil"/>
              <w:bottom w:val="single" w:sz="4" w:space="0" w:color="auto"/>
              <w:right w:val="single" w:sz="4" w:space="0" w:color="auto"/>
            </w:tcBorders>
            <w:shd w:val="clear" w:color="auto" w:fill="auto"/>
            <w:noWrap/>
            <w:vAlign w:val="bottom"/>
          </w:tcPr>
          <w:p w14:paraId="1F00E253" w14:textId="337D6DCC" w:rsidR="00673CE6" w:rsidRPr="00E263F4" w:rsidRDefault="00673CE6" w:rsidP="00E263F4">
            <w:pPr>
              <w:spacing w:before="0" w:after="0" w:line="240" w:lineRule="auto"/>
              <w:jc w:val="center"/>
              <w:rPr>
                <w:color w:val="auto"/>
                <w:sz w:val="20"/>
                <w:szCs w:val="20"/>
              </w:rPr>
            </w:pPr>
            <w:r w:rsidRPr="00E263F4">
              <w:rPr>
                <w:color w:val="000000"/>
                <w:sz w:val="22"/>
                <w:szCs w:val="22"/>
              </w:rPr>
              <w:t>197</w:t>
            </w:r>
          </w:p>
        </w:tc>
        <w:tc>
          <w:tcPr>
            <w:tcW w:w="553" w:type="pct"/>
            <w:gridSpan w:val="2"/>
            <w:tcBorders>
              <w:top w:val="nil"/>
              <w:left w:val="nil"/>
              <w:bottom w:val="single" w:sz="4" w:space="0" w:color="auto"/>
              <w:right w:val="single" w:sz="4" w:space="0" w:color="auto"/>
            </w:tcBorders>
            <w:shd w:val="clear" w:color="auto" w:fill="auto"/>
            <w:noWrap/>
            <w:vAlign w:val="bottom"/>
          </w:tcPr>
          <w:p w14:paraId="7FF7492A" w14:textId="6DEA02C6" w:rsidR="00673CE6" w:rsidRPr="00E263F4" w:rsidRDefault="00673CE6" w:rsidP="00E263F4">
            <w:pPr>
              <w:spacing w:before="0" w:after="0" w:line="240" w:lineRule="auto"/>
              <w:jc w:val="center"/>
              <w:rPr>
                <w:color w:val="auto"/>
                <w:sz w:val="20"/>
                <w:szCs w:val="20"/>
              </w:rPr>
            </w:pPr>
            <w:r w:rsidRPr="00E263F4">
              <w:rPr>
                <w:color w:val="000000"/>
                <w:sz w:val="22"/>
                <w:szCs w:val="22"/>
              </w:rPr>
              <w:t>178</w:t>
            </w:r>
          </w:p>
        </w:tc>
        <w:tc>
          <w:tcPr>
            <w:tcW w:w="697" w:type="pct"/>
            <w:gridSpan w:val="2"/>
            <w:tcBorders>
              <w:top w:val="nil"/>
              <w:left w:val="nil"/>
              <w:bottom w:val="single" w:sz="4" w:space="0" w:color="auto"/>
              <w:right w:val="single" w:sz="4" w:space="0" w:color="auto"/>
            </w:tcBorders>
            <w:shd w:val="clear" w:color="auto" w:fill="auto"/>
            <w:noWrap/>
            <w:vAlign w:val="bottom"/>
          </w:tcPr>
          <w:p w14:paraId="4CBEC73E" w14:textId="457953B3" w:rsidR="00673CE6" w:rsidRPr="00E263F4" w:rsidRDefault="00673CE6" w:rsidP="00E263F4">
            <w:pPr>
              <w:spacing w:before="0" w:after="0" w:line="240" w:lineRule="auto"/>
              <w:jc w:val="center"/>
              <w:rPr>
                <w:color w:val="auto"/>
                <w:sz w:val="20"/>
                <w:szCs w:val="20"/>
              </w:rPr>
            </w:pPr>
            <w:r w:rsidRPr="00E263F4">
              <w:rPr>
                <w:color w:val="000000"/>
                <w:sz w:val="22"/>
                <w:szCs w:val="22"/>
              </w:rPr>
              <w:t>219</w:t>
            </w:r>
          </w:p>
        </w:tc>
        <w:tc>
          <w:tcPr>
            <w:tcW w:w="690" w:type="pct"/>
            <w:gridSpan w:val="2"/>
            <w:tcBorders>
              <w:top w:val="nil"/>
              <w:left w:val="nil"/>
              <w:bottom w:val="single" w:sz="4" w:space="0" w:color="auto"/>
              <w:right w:val="single" w:sz="4" w:space="0" w:color="auto"/>
            </w:tcBorders>
            <w:shd w:val="clear" w:color="auto" w:fill="auto"/>
            <w:noWrap/>
            <w:vAlign w:val="bottom"/>
          </w:tcPr>
          <w:p w14:paraId="4DEE8072" w14:textId="5A8CD7E9" w:rsidR="00673CE6" w:rsidRPr="00E263F4" w:rsidRDefault="00673CE6" w:rsidP="00E263F4">
            <w:pPr>
              <w:spacing w:before="0" w:after="0" w:line="240" w:lineRule="auto"/>
              <w:jc w:val="center"/>
              <w:rPr>
                <w:color w:val="auto"/>
                <w:sz w:val="20"/>
                <w:szCs w:val="20"/>
              </w:rPr>
            </w:pPr>
            <w:r w:rsidRPr="00E263F4">
              <w:rPr>
                <w:color w:val="000000"/>
                <w:sz w:val="22"/>
                <w:szCs w:val="22"/>
              </w:rPr>
              <w:t>231</w:t>
            </w:r>
          </w:p>
        </w:tc>
      </w:tr>
      <w:tr w:rsidR="00673CE6" w:rsidRPr="00E263F4" w14:paraId="412B097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C5AF4F7" w14:textId="77777777" w:rsidR="00673CE6" w:rsidRPr="00E263F4" w:rsidRDefault="00673CE6" w:rsidP="00673CE6">
            <w:pPr>
              <w:spacing w:before="0" w:after="0" w:line="240" w:lineRule="auto"/>
              <w:rPr>
                <w:color w:val="auto"/>
                <w:sz w:val="20"/>
                <w:szCs w:val="20"/>
              </w:rPr>
            </w:pPr>
            <w:r w:rsidRPr="00E263F4">
              <w:rPr>
                <w:color w:val="auto"/>
                <w:sz w:val="20"/>
                <w:szCs w:val="20"/>
              </w:rPr>
              <w:t>9</w:t>
            </w:r>
          </w:p>
        </w:tc>
        <w:tc>
          <w:tcPr>
            <w:tcW w:w="658" w:type="pct"/>
            <w:gridSpan w:val="2"/>
            <w:tcBorders>
              <w:top w:val="nil"/>
              <w:left w:val="nil"/>
              <w:bottom w:val="single" w:sz="4" w:space="0" w:color="auto"/>
              <w:right w:val="single" w:sz="4" w:space="0" w:color="auto"/>
            </w:tcBorders>
            <w:shd w:val="clear" w:color="auto" w:fill="auto"/>
            <w:noWrap/>
            <w:vAlign w:val="bottom"/>
          </w:tcPr>
          <w:p w14:paraId="38747EA6" w14:textId="6843F656" w:rsidR="00673CE6" w:rsidRPr="00E263F4" w:rsidRDefault="00673CE6" w:rsidP="00E263F4">
            <w:pPr>
              <w:spacing w:before="0" w:after="0" w:line="240" w:lineRule="auto"/>
              <w:jc w:val="center"/>
              <w:rPr>
                <w:color w:val="auto"/>
                <w:sz w:val="20"/>
                <w:szCs w:val="20"/>
              </w:rPr>
            </w:pPr>
            <w:r w:rsidRPr="00E263F4">
              <w:rPr>
                <w:color w:val="000000"/>
                <w:sz w:val="22"/>
                <w:szCs w:val="22"/>
              </w:rPr>
              <w:t>257</w:t>
            </w:r>
          </w:p>
        </w:tc>
        <w:tc>
          <w:tcPr>
            <w:tcW w:w="660" w:type="pct"/>
            <w:gridSpan w:val="2"/>
            <w:tcBorders>
              <w:top w:val="nil"/>
              <w:left w:val="nil"/>
              <w:bottom w:val="single" w:sz="4" w:space="0" w:color="auto"/>
              <w:right w:val="single" w:sz="4" w:space="0" w:color="auto"/>
            </w:tcBorders>
            <w:shd w:val="clear" w:color="auto" w:fill="auto"/>
            <w:noWrap/>
            <w:vAlign w:val="bottom"/>
          </w:tcPr>
          <w:p w14:paraId="682B74C1" w14:textId="124E2247" w:rsidR="00673CE6" w:rsidRPr="00E263F4" w:rsidRDefault="00673CE6" w:rsidP="00E263F4">
            <w:pPr>
              <w:spacing w:before="0" w:after="0" w:line="240" w:lineRule="auto"/>
              <w:jc w:val="center"/>
              <w:rPr>
                <w:color w:val="auto"/>
                <w:sz w:val="20"/>
                <w:szCs w:val="20"/>
              </w:rPr>
            </w:pPr>
            <w:r w:rsidRPr="00E263F4">
              <w:rPr>
                <w:color w:val="000000"/>
                <w:sz w:val="22"/>
                <w:szCs w:val="22"/>
              </w:rPr>
              <w:t>225</w:t>
            </w:r>
          </w:p>
        </w:tc>
        <w:tc>
          <w:tcPr>
            <w:tcW w:w="540" w:type="pct"/>
            <w:tcBorders>
              <w:top w:val="nil"/>
              <w:left w:val="nil"/>
              <w:bottom w:val="single" w:sz="4" w:space="0" w:color="auto"/>
              <w:right w:val="single" w:sz="4" w:space="0" w:color="auto"/>
            </w:tcBorders>
            <w:shd w:val="clear" w:color="auto" w:fill="auto"/>
            <w:noWrap/>
            <w:vAlign w:val="bottom"/>
          </w:tcPr>
          <w:p w14:paraId="662AF0C5" w14:textId="5A85B9E2" w:rsidR="00673CE6" w:rsidRPr="00E263F4" w:rsidRDefault="00673CE6" w:rsidP="00E263F4">
            <w:pPr>
              <w:spacing w:before="0" w:after="0" w:line="240" w:lineRule="auto"/>
              <w:jc w:val="center"/>
              <w:rPr>
                <w:color w:val="auto"/>
                <w:sz w:val="20"/>
                <w:szCs w:val="20"/>
              </w:rPr>
            </w:pPr>
            <w:r w:rsidRPr="00E263F4">
              <w:rPr>
                <w:color w:val="000000"/>
                <w:sz w:val="22"/>
                <w:szCs w:val="22"/>
              </w:rPr>
              <w:t>187</w:t>
            </w:r>
          </w:p>
        </w:tc>
        <w:tc>
          <w:tcPr>
            <w:tcW w:w="553" w:type="pct"/>
            <w:gridSpan w:val="2"/>
            <w:tcBorders>
              <w:top w:val="nil"/>
              <w:left w:val="nil"/>
              <w:bottom w:val="single" w:sz="4" w:space="0" w:color="auto"/>
              <w:right w:val="single" w:sz="4" w:space="0" w:color="auto"/>
            </w:tcBorders>
            <w:shd w:val="clear" w:color="auto" w:fill="auto"/>
            <w:noWrap/>
            <w:vAlign w:val="bottom"/>
          </w:tcPr>
          <w:p w14:paraId="18639B8C" w14:textId="573906DD" w:rsidR="00673CE6" w:rsidRPr="00E263F4" w:rsidRDefault="00673CE6" w:rsidP="00E263F4">
            <w:pPr>
              <w:spacing w:before="0" w:after="0" w:line="240" w:lineRule="auto"/>
              <w:jc w:val="center"/>
              <w:rPr>
                <w:color w:val="auto"/>
                <w:sz w:val="20"/>
                <w:szCs w:val="20"/>
              </w:rPr>
            </w:pPr>
            <w:r w:rsidRPr="00E263F4">
              <w:rPr>
                <w:color w:val="000000"/>
                <w:sz w:val="22"/>
                <w:szCs w:val="22"/>
              </w:rPr>
              <w:t>240</w:t>
            </w:r>
          </w:p>
        </w:tc>
        <w:tc>
          <w:tcPr>
            <w:tcW w:w="697" w:type="pct"/>
            <w:gridSpan w:val="2"/>
            <w:tcBorders>
              <w:top w:val="nil"/>
              <w:left w:val="nil"/>
              <w:bottom w:val="single" w:sz="4" w:space="0" w:color="auto"/>
              <w:right w:val="single" w:sz="4" w:space="0" w:color="auto"/>
            </w:tcBorders>
            <w:shd w:val="clear" w:color="auto" w:fill="auto"/>
            <w:noWrap/>
            <w:vAlign w:val="bottom"/>
          </w:tcPr>
          <w:p w14:paraId="40530581" w14:textId="41C93E7A" w:rsidR="00673CE6" w:rsidRPr="00E263F4" w:rsidRDefault="00673CE6" w:rsidP="00E263F4">
            <w:pPr>
              <w:spacing w:before="0" w:after="0" w:line="240" w:lineRule="auto"/>
              <w:jc w:val="center"/>
              <w:rPr>
                <w:color w:val="auto"/>
                <w:sz w:val="20"/>
                <w:szCs w:val="20"/>
              </w:rPr>
            </w:pPr>
            <w:r w:rsidRPr="00E263F4">
              <w:rPr>
                <w:color w:val="000000"/>
                <w:sz w:val="22"/>
                <w:szCs w:val="22"/>
              </w:rPr>
              <w:t>293</w:t>
            </w:r>
          </w:p>
        </w:tc>
        <w:tc>
          <w:tcPr>
            <w:tcW w:w="690" w:type="pct"/>
            <w:gridSpan w:val="2"/>
            <w:tcBorders>
              <w:top w:val="nil"/>
              <w:left w:val="nil"/>
              <w:bottom w:val="single" w:sz="4" w:space="0" w:color="auto"/>
              <w:right w:val="single" w:sz="4" w:space="0" w:color="auto"/>
            </w:tcBorders>
            <w:shd w:val="clear" w:color="auto" w:fill="auto"/>
            <w:noWrap/>
            <w:vAlign w:val="bottom"/>
          </w:tcPr>
          <w:p w14:paraId="4C06EFD1" w14:textId="606EA144" w:rsidR="00673CE6" w:rsidRPr="00E263F4" w:rsidRDefault="00673CE6" w:rsidP="00E263F4">
            <w:pPr>
              <w:spacing w:before="0" w:after="0" w:line="240" w:lineRule="auto"/>
              <w:jc w:val="center"/>
              <w:rPr>
                <w:color w:val="auto"/>
                <w:sz w:val="20"/>
                <w:szCs w:val="20"/>
              </w:rPr>
            </w:pPr>
            <w:r w:rsidRPr="00E263F4">
              <w:rPr>
                <w:color w:val="000000"/>
                <w:sz w:val="22"/>
                <w:szCs w:val="22"/>
              </w:rPr>
              <w:t>341</w:t>
            </w:r>
          </w:p>
        </w:tc>
      </w:tr>
      <w:tr w:rsidR="00673CE6" w:rsidRPr="00E263F4" w14:paraId="095924A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B178462" w14:textId="77777777" w:rsidR="00673CE6" w:rsidRPr="00E263F4" w:rsidRDefault="00673CE6" w:rsidP="00673CE6">
            <w:pPr>
              <w:spacing w:before="0" w:after="0" w:line="240" w:lineRule="auto"/>
              <w:rPr>
                <w:color w:val="auto"/>
                <w:sz w:val="20"/>
                <w:szCs w:val="20"/>
              </w:rPr>
            </w:pPr>
            <w:r w:rsidRPr="00E263F4">
              <w:rPr>
                <w:color w:val="auto"/>
                <w:sz w:val="20"/>
                <w:szCs w:val="20"/>
              </w:rPr>
              <w:t>10</w:t>
            </w:r>
          </w:p>
        </w:tc>
        <w:tc>
          <w:tcPr>
            <w:tcW w:w="658" w:type="pct"/>
            <w:gridSpan w:val="2"/>
            <w:tcBorders>
              <w:top w:val="nil"/>
              <w:left w:val="nil"/>
              <w:bottom w:val="single" w:sz="4" w:space="0" w:color="auto"/>
              <w:right w:val="single" w:sz="4" w:space="0" w:color="auto"/>
            </w:tcBorders>
            <w:shd w:val="clear" w:color="auto" w:fill="auto"/>
            <w:noWrap/>
            <w:vAlign w:val="bottom"/>
          </w:tcPr>
          <w:p w14:paraId="403E6F21" w14:textId="0F2D8A78" w:rsidR="00673CE6" w:rsidRPr="00E263F4" w:rsidRDefault="00673CE6" w:rsidP="00E263F4">
            <w:pPr>
              <w:spacing w:before="0" w:after="0" w:line="240" w:lineRule="auto"/>
              <w:jc w:val="center"/>
              <w:rPr>
                <w:color w:val="auto"/>
                <w:sz w:val="20"/>
                <w:szCs w:val="20"/>
              </w:rPr>
            </w:pPr>
            <w:r w:rsidRPr="00E263F4">
              <w:rPr>
                <w:color w:val="000000"/>
                <w:sz w:val="22"/>
                <w:szCs w:val="22"/>
              </w:rPr>
              <w:t>314</w:t>
            </w:r>
          </w:p>
        </w:tc>
        <w:tc>
          <w:tcPr>
            <w:tcW w:w="660" w:type="pct"/>
            <w:gridSpan w:val="2"/>
            <w:tcBorders>
              <w:top w:val="nil"/>
              <w:left w:val="nil"/>
              <w:bottom w:val="single" w:sz="4" w:space="0" w:color="auto"/>
              <w:right w:val="single" w:sz="4" w:space="0" w:color="auto"/>
            </w:tcBorders>
            <w:shd w:val="clear" w:color="auto" w:fill="auto"/>
            <w:noWrap/>
            <w:vAlign w:val="bottom"/>
          </w:tcPr>
          <w:p w14:paraId="363A226D" w14:textId="6125CC1F" w:rsidR="00673CE6" w:rsidRPr="00E263F4" w:rsidRDefault="00673CE6" w:rsidP="00E263F4">
            <w:pPr>
              <w:spacing w:before="0" w:after="0" w:line="240" w:lineRule="auto"/>
              <w:jc w:val="center"/>
              <w:rPr>
                <w:color w:val="auto"/>
                <w:sz w:val="20"/>
                <w:szCs w:val="20"/>
              </w:rPr>
            </w:pPr>
            <w:r w:rsidRPr="00E263F4">
              <w:rPr>
                <w:color w:val="000000"/>
                <w:sz w:val="22"/>
                <w:szCs w:val="22"/>
              </w:rPr>
              <w:t>263</w:t>
            </w:r>
          </w:p>
        </w:tc>
        <w:tc>
          <w:tcPr>
            <w:tcW w:w="540" w:type="pct"/>
            <w:tcBorders>
              <w:top w:val="nil"/>
              <w:left w:val="nil"/>
              <w:bottom w:val="single" w:sz="4" w:space="0" w:color="auto"/>
              <w:right w:val="single" w:sz="4" w:space="0" w:color="auto"/>
            </w:tcBorders>
            <w:shd w:val="clear" w:color="auto" w:fill="auto"/>
            <w:noWrap/>
            <w:vAlign w:val="bottom"/>
          </w:tcPr>
          <w:p w14:paraId="6F47767A" w14:textId="0214B9C0" w:rsidR="00673CE6" w:rsidRPr="00E263F4" w:rsidRDefault="00673CE6" w:rsidP="00E263F4">
            <w:pPr>
              <w:spacing w:before="0" w:after="0" w:line="240" w:lineRule="auto"/>
              <w:jc w:val="center"/>
              <w:rPr>
                <w:color w:val="auto"/>
                <w:sz w:val="20"/>
                <w:szCs w:val="20"/>
              </w:rPr>
            </w:pPr>
            <w:r w:rsidRPr="00E263F4">
              <w:rPr>
                <w:color w:val="000000"/>
                <w:sz w:val="22"/>
                <w:szCs w:val="22"/>
              </w:rPr>
              <w:t>222</w:t>
            </w:r>
          </w:p>
        </w:tc>
        <w:tc>
          <w:tcPr>
            <w:tcW w:w="553" w:type="pct"/>
            <w:gridSpan w:val="2"/>
            <w:tcBorders>
              <w:top w:val="nil"/>
              <w:left w:val="nil"/>
              <w:bottom w:val="single" w:sz="4" w:space="0" w:color="auto"/>
              <w:right w:val="single" w:sz="4" w:space="0" w:color="auto"/>
            </w:tcBorders>
            <w:shd w:val="clear" w:color="auto" w:fill="auto"/>
            <w:noWrap/>
            <w:vAlign w:val="bottom"/>
          </w:tcPr>
          <w:p w14:paraId="23992015" w14:textId="7026B138" w:rsidR="00673CE6" w:rsidRPr="00E263F4" w:rsidRDefault="00673CE6" w:rsidP="00E263F4">
            <w:pPr>
              <w:spacing w:before="0" w:after="0" w:line="240" w:lineRule="auto"/>
              <w:jc w:val="center"/>
              <w:rPr>
                <w:color w:val="auto"/>
                <w:sz w:val="20"/>
                <w:szCs w:val="20"/>
              </w:rPr>
            </w:pPr>
            <w:r w:rsidRPr="00E263F4">
              <w:rPr>
                <w:color w:val="000000"/>
                <w:sz w:val="22"/>
                <w:szCs w:val="22"/>
              </w:rPr>
              <w:t>186</w:t>
            </w:r>
          </w:p>
        </w:tc>
        <w:tc>
          <w:tcPr>
            <w:tcW w:w="697" w:type="pct"/>
            <w:gridSpan w:val="2"/>
            <w:tcBorders>
              <w:top w:val="nil"/>
              <w:left w:val="nil"/>
              <w:bottom w:val="single" w:sz="4" w:space="0" w:color="auto"/>
              <w:right w:val="single" w:sz="4" w:space="0" w:color="auto"/>
            </w:tcBorders>
            <w:shd w:val="clear" w:color="auto" w:fill="auto"/>
            <w:noWrap/>
            <w:vAlign w:val="bottom"/>
          </w:tcPr>
          <w:p w14:paraId="44707F8C" w14:textId="1769B393" w:rsidR="00673CE6" w:rsidRPr="00E263F4" w:rsidRDefault="00673CE6" w:rsidP="00E263F4">
            <w:pPr>
              <w:spacing w:before="0" w:after="0" w:line="240" w:lineRule="auto"/>
              <w:jc w:val="center"/>
              <w:rPr>
                <w:color w:val="auto"/>
                <w:sz w:val="20"/>
                <w:szCs w:val="20"/>
              </w:rPr>
            </w:pPr>
            <w:r w:rsidRPr="00E263F4">
              <w:rPr>
                <w:color w:val="000000"/>
                <w:sz w:val="22"/>
                <w:szCs w:val="22"/>
              </w:rPr>
              <w:t>218</w:t>
            </w:r>
          </w:p>
        </w:tc>
        <w:tc>
          <w:tcPr>
            <w:tcW w:w="690" w:type="pct"/>
            <w:gridSpan w:val="2"/>
            <w:tcBorders>
              <w:top w:val="nil"/>
              <w:left w:val="nil"/>
              <w:bottom w:val="single" w:sz="4" w:space="0" w:color="auto"/>
              <w:right w:val="single" w:sz="4" w:space="0" w:color="auto"/>
            </w:tcBorders>
            <w:shd w:val="clear" w:color="auto" w:fill="auto"/>
            <w:noWrap/>
            <w:vAlign w:val="bottom"/>
          </w:tcPr>
          <w:p w14:paraId="2ADA075C" w14:textId="4D1ACD1E" w:rsidR="00673CE6" w:rsidRPr="00E263F4" w:rsidRDefault="00673CE6" w:rsidP="00E263F4">
            <w:pPr>
              <w:spacing w:before="0" w:after="0" w:line="240" w:lineRule="auto"/>
              <w:jc w:val="center"/>
              <w:rPr>
                <w:color w:val="auto"/>
                <w:sz w:val="20"/>
                <w:szCs w:val="20"/>
              </w:rPr>
            </w:pPr>
            <w:r w:rsidRPr="00E263F4">
              <w:rPr>
                <w:color w:val="000000"/>
                <w:sz w:val="22"/>
                <w:szCs w:val="22"/>
              </w:rPr>
              <w:t>275</w:t>
            </w:r>
          </w:p>
        </w:tc>
      </w:tr>
      <w:tr w:rsidR="00673CE6" w:rsidRPr="00E263F4" w14:paraId="12017E7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BE0A291" w14:textId="77777777" w:rsidR="00673CE6" w:rsidRPr="00E263F4" w:rsidRDefault="00673CE6" w:rsidP="00673CE6">
            <w:pPr>
              <w:spacing w:before="0" w:after="0" w:line="240" w:lineRule="auto"/>
              <w:rPr>
                <w:color w:val="auto"/>
                <w:sz w:val="20"/>
                <w:szCs w:val="20"/>
              </w:rPr>
            </w:pPr>
            <w:r w:rsidRPr="00E263F4">
              <w:rPr>
                <w:color w:val="auto"/>
                <w:sz w:val="20"/>
                <w:szCs w:val="20"/>
              </w:rPr>
              <w:t>11</w:t>
            </w:r>
          </w:p>
        </w:tc>
        <w:tc>
          <w:tcPr>
            <w:tcW w:w="658" w:type="pct"/>
            <w:gridSpan w:val="2"/>
            <w:tcBorders>
              <w:top w:val="nil"/>
              <w:left w:val="nil"/>
              <w:bottom w:val="single" w:sz="4" w:space="0" w:color="auto"/>
              <w:right w:val="single" w:sz="4" w:space="0" w:color="auto"/>
            </w:tcBorders>
            <w:shd w:val="clear" w:color="auto" w:fill="auto"/>
            <w:noWrap/>
            <w:vAlign w:val="bottom"/>
          </w:tcPr>
          <w:p w14:paraId="33C9647A" w14:textId="183BD304" w:rsidR="00673CE6" w:rsidRPr="00E263F4" w:rsidRDefault="00673CE6" w:rsidP="00E263F4">
            <w:pPr>
              <w:spacing w:before="0" w:after="0" w:line="240" w:lineRule="auto"/>
              <w:jc w:val="center"/>
              <w:rPr>
                <w:color w:val="auto"/>
                <w:sz w:val="20"/>
                <w:szCs w:val="20"/>
              </w:rPr>
            </w:pPr>
            <w:r w:rsidRPr="00E263F4">
              <w:rPr>
                <w:color w:val="000000"/>
                <w:sz w:val="22"/>
                <w:szCs w:val="22"/>
              </w:rPr>
              <w:t>352</w:t>
            </w:r>
          </w:p>
        </w:tc>
        <w:tc>
          <w:tcPr>
            <w:tcW w:w="660" w:type="pct"/>
            <w:gridSpan w:val="2"/>
            <w:tcBorders>
              <w:top w:val="nil"/>
              <w:left w:val="nil"/>
              <w:bottom w:val="single" w:sz="4" w:space="0" w:color="auto"/>
              <w:right w:val="single" w:sz="4" w:space="0" w:color="auto"/>
            </w:tcBorders>
            <w:shd w:val="clear" w:color="auto" w:fill="auto"/>
            <w:noWrap/>
            <w:vAlign w:val="bottom"/>
          </w:tcPr>
          <w:p w14:paraId="502060F4" w14:textId="4A1AEF22" w:rsidR="00673CE6" w:rsidRPr="00E263F4" w:rsidRDefault="00673CE6" w:rsidP="00E263F4">
            <w:pPr>
              <w:spacing w:before="0" w:after="0" w:line="240" w:lineRule="auto"/>
              <w:jc w:val="center"/>
              <w:rPr>
                <w:color w:val="auto"/>
                <w:sz w:val="20"/>
                <w:szCs w:val="20"/>
              </w:rPr>
            </w:pPr>
            <w:r w:rsidRPr="00E263F4">
              <w:rPr>
                <w:color w:val="000000"/>
                <w:sz w:val="22"/>
                <w:szCs w:val="22"/>
              </w:rPr>
              <w:t>303</w:t>
            </w:r>
          </w:p>
        </w:tc>
        <w:tc>
          <w:tcPr>
            <w:tcW w:w="540" w:type="pct"/>
            <w:tcBorders>
              <w:top w:val="nil"/>
              <w:left w:val="nil"/>
              <w:bottom w:val="single" w:sz="4" w:space="0" w:color="auto"/>
              <w:right w:val="single" w:sz="4" w:space="0" w:color="auto"/>
            </w:tcBorders>
            <w:shd w:val="clear" w:color="auto" w:fill="auto"/>
            <w:noWrap/>
            <w:vAlign w:val="bottom"/>
          </w:tcPr>
          <w:p w14:paraId="0534592B" w14:textId="0654CB6A" w:rsidR="00673CE6" w:rsidRPr="00E263F4" w:rsidRDefault="00673CE6" w:rsidP="00E263F4">
            <w:pPr>
              <w:spacing w:before="0" w:after="0" w:line="240" w:lineRule="auto"/>
              <w:jc w:val="center"/>
              <w:rPr>
                <w:color w:val="auto"/>
                <w:sz w:val="20"/>
                <w:szCs w:val="20"/>
              </w:rPr>
            </w:pPr>
            <w:r w:rsidRPr="00E263F4">
              <w:rPr>
                <w:color w:val="000000"/>
                <w:sz w:val="22"/>
                <w:szCs w:val="22"/>
              </w:rPr>
              <w:t>243</w:t>
            </w:r>
          </w:p>
        </w:tc>
        <w:tc>
          <w:tcPr>
            <w:tcW w:w="553" w:type="pct"/>
            <w:gridSpan w:val="2"/>
            <w:tcBorders>
              <w:top w:val="nil"/>
              <w:left w:val="nil"/>
              <w:bottom w:val="single" w:sz="4" w:space="0" w:color="auto"/>
              <w:right w:val="single" w:sz="4" w:space="0" w:color="auto"/>
            </w:tcBorders>
            <w:shd w:val="clear" w:color="auto" w:fill="auto"/>
            <w:noWrap/>
            <w:vAlign w:val="bottom"/>
          </w:tcPr>
          <w:p w14:paraId="444D8902" w14:textId="7E0C4FBC" w:rsidR="00673CE6" w:rsidRPr="00E263F4" w:rsidRDefault="00673CE6" w:rsidP="00E263F4">
            <w:pPr>
              <w:spacing w:before="0" w:after="0" w:line="240" w:lineRule="auto"/>
              <w:jc w:val="center"/>
              <w:rPr>
                <w:color w:val="auto"/>
                <w:sz w:val="20"/>
                <w:szCs w:val="20"/>
              </w:rPr>
            </w:pPr>
            <w:r w:rsidRPr="00E263F4">
              <w:rPr>
                <w:color w:val="000000"/>
                <w:sz w:val="22"/>
                <w:szCs w:val="22"/>
              </w:rPr>
              <w:t>162</w:t>
            </w:r>
          </w:p>
        </w:tc>
        <w:tc>
          <w:tcPr>
            <w:tcW w:w="697" w:type="pct"/>
            <w:gridSpan w:val="2"/>
            <w:tcBorders>
              <w:top w:val="nil"/>
              <w:left w:val="nil"/>
              <w:bottom w:val="single" w:sz="4" w:space="0" w:color="auto"/>
              <w:right w:val="single" w:sz="4" w:space="0" w:color="auto"/>
            </w:tcBorders>
            <w:shd w:val="clear" w:color="auto" w:fill="auto"/>
            <w:noWrap/>
            <w:vAlign w:val="bottom"/>
          </w:tcPr>
          <w:p w14:paraId="6D8DE904" w14:textId="395BE246" w:rsidR="00673CE6" w:rsidRPr="00E263F4" w:rsidRDefault="00673CE6" w:rsidP="00E263F4">
            <w:pPr>
              <w:spacing w:before="0" w:after="0" w:line="240" w:lineRule="auto"/>
              <w:jc w:val="center"/>
              <w:rPr>
                <w:color w:val="auto"/>
                <w:sz w:val="20"/>
                <w:szCs w:val="20"/>
              </w:rPr>
            </w:pPr>
            <w:r w:rsidRPr="00E263F4">
              <w:rPr>
                <w:color w:val="000000"/>
                <w:sz w:val="22"/>
                <w:szCs w:val="22"/>
              </w:rPr>
              <w:t>197</w:t>
            </w:r>
          </w:p>
        </w:tc>
        <w:tc>
          <w:tcPr>
            <w:tcW w:w="690" w:type="pct"/>
            <w:gridSpan w:val="2"/>
            <w:tcBorders>
              <w:top w:val="nil"/>
              <w:left w:val="nil"/>
              <w:bottom w:val="single" w:sz="4" w:space="0" w:color="auto"/>
              <w:right w:val="single" w:sz="4" w:space="0" w:color="auto"/>
            </w:tcBorders>
            <w:shd w:val="clear" w:color="auto" w:fill="auto"/>
            <w:noWrap/>
            <w:vAlign w:val="bottom"/>
          </w:tcPr>
          <w:p w14:paraId="78312FBE" w14:textId="15045E64" w:rsidR="00673CE6" w:rsidRPr="00E263F4" w:rsidRDefault="00673CE6" w:rsidP="00E263F4">
            <w:pPr>
              <w:spacing w:before="0" w:after="0" w:line="240" w:lineRule="auto"/>
              <w:jc w:val="center"/>
              <w:rPr>
                <w:color w:val="auto"/>
                <w:sz w:val="20"/>
                <w:szCs w:val="20"/>
              </w:rPr>
            </w:pPr>
            <w:r w:rsidRPr="00E263F4">
              <w:rPr>
                <w:color w:val="000000"/>
                <w:sz w:val="22"/>
                <w:szCs w:val="22"/>
              </w:rPr>
              <w:t>212</w:t>
            </w:r>
          </w:p>
        </w:tc>
      </w:tr>
      <w:tr w:rsidR="00673CE6" w:rsidRPr="00E263F4" w14:paraId="1DC9670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E5C769D" w14:textId="77777777" w:rsidR="00673CE6" w:rsidRPr="00E263F4" w:rsidRDefault="00673CE6" w:rsidP="00673CE6">
            <w:pPr>
              <w:spacing w:before="0" w:after="0" w:line="240" w:lineRule="auto"/>
              <w:rPr>
                <w:color w:val="auto"/>
                <w:sz w:val="20"/>
                <w:szCs w:val="20"/>
              </w:rPr>
            </w:pPr>
            <w:r w:rsidRPr="00E263F4">
              <w:rPr>
                <w:color w:val="auto"/>
                <w:sz w:val="20"/>
                <w:szCs w:val="20"/>
              </w:rPr>
              <w:t>12</w:t>
            </w:r>
          </w:p>
        </w:tc>
        <w:tc>
          <w:tcPr>
            <w:tcW w:w="658" w:type="pct"/>
            <w:gridSpan w:val="2"/>
            <w:tcBorders>
              <w:top w:val="nil"/>
              <w:left w:val="nil"/>
              <w:bottom w:val="single" w:sz="4" w:space="0" w:color="auto"/>
              <w:right w:val="single" w:sz="4" w:space="0" w:color="auto"/>
            </w:tcBorders>
            <w:shd w:val="clear" w:color="auto" w:fill="auto"/>
            <w:noWrap/>
            <w:vAlign w:val="bottom"/>
          </w:tcPr>
          <w:p w14:paraId="1C3F3C67" w14:textId="63A5D654" w:rsidR="00673CE6" w:rsidRPr="00E263F4" w:rsidRDefault="00673CE6" w:rsidP="00E263F4">
            <w:pPr>
              <w:spacing w:before="0" w:after="0" w:line="240" w:lineRule="auto"/>
              <w:jc w:val="center"/>
              <w:rPr>
                <w:color w:val="auto"/>
                <w:sz w:val="20"/>
                <w:szCs w:val="20"/>
              </w:rPr>
            </w:pPr>
            <w:r w:rsidRPr="00E263F4">
              <w:rPr>
                <w:color w:val="000000"/>
                <w:sz w:val="22"/>
                <w:szCs w:val="22"/>
              </w:rPr>
              <w:t>352</w:t>
            </w:r>
          </w:p>
        </w:tc>
        <w:tc>
          <w:tcPr>
            <w:tcW w:w="660" w:type="pct"/>
            <w:gridSpan w:val="2"/>
            <w:tcBorders>
              <w:top w:val="nil"/>
              <w:left w:val="nil"/>
              <w:bottom w:val="single" w:sz="4" w:space="0" w:color="auto"/>
              <w:right w:val="single" w:sz="4" w:space="0" w:color="auto"/>
            </w:tcBorders>
            <w:shd w:val="clear" w:color="auto" w:fill="auto"/>
            <w:noWrap/>
            <w:vAlign w:val="bottom"/>
          </w:tcPr>
          <w:p w14:paraId="40FD0D51" w14:textId="6C1C309A" w:rsidR="00673CE6" w:rsidRPr="00E263F4" w:rsidRDefault="00673CE6" w:rsidP="00E263F4">
            <w:pPr>
              <w:spacing w:before="0" w:after="0" w:line="240" w:lineRule="auto"/>
              <w:jc w:val="center"/>
              <w:rPr>
                <w:color w:val="auto"/>
                <w:sz w:val="20"/>
                <w:szCs w:val="20"/>
              </w:rPr>
            </w:pPr>
            <w:r w:rsidRPr="00E263F4">
              <w:rPr>
                <w:color w:val="000000"/>
                <w:sz w:val="22"/>
                <w:szCs w:val="22"/>
              </w:rPr>
              <w:t>314</w:t>
            </w:r>
          </w:p>
        </w:tc>
        <w:tc>
          <w:tcPr>
            <w:tcW w:w="540" w:type="pct"/>
            <w:tcBorders>
              <w:top w:val="nil"/>
              <w:left w:val="nil"/>
              <w:bottom w:val="single" w:sz="4" w:space="0" w:color="auto"/>
              <w:right w:val="single" w:sz="4" w:space="0" w:color="auto"/>
            </w:tcBorders>
            <w:shd w:val="clear" w:color="auto" w:fill="auto"/>
            <w:noWrap/>
            <w:vAlign w:val="bottom"/>
          </w:tcPr>
          <w:p w14:paraId="46F4A45B" w14:textId="108166DB" w:rsidR="00673CE6" w:rsidRPr="00E263F4" w:rsidRDefault="00673CE6" w:rsidP="00E263F4">
            <w:pPr>
              <w:spacing w:before="0" w:after="0" w:line="240" w:lineRule="auto"/>
              <w:jc w:val="center"/>
              <w:rPr>
                <w:color w:val="auto"/>
                <w:sz w:val="20"/>
                <w:szCs w:val="20"/>
              </w:rPr>
            </w:pPr>
            <w:r w:rsidRPr="00E263F4">
              <w:rPr>
                <w:color w:val="000000"/>
                <w:sz w:val="22"/>
                <w:szCs w:val="22"/>
              </w:rPr>
              <w:t>235</w:t>
            </w:r>
          </w:p>
        </w:tc>
        <w:tc>
          <w:tcPr>
            <w:tcW w:w="553" w:type="pct"/>
            <w:gridSpan w:val="2"/>
            <w:tcBorders>
              <w:top w:val="nil"/>
              <w:left w:val="nil"/>
              <w:bottom w:val="single" w:sz="4" w:space="0" w:color="auto"/>
              <w:right w:val="single" w:sz="4" w:space="0" w:color="auto"/>
            </w:tcBorders>
            <w:shd w:val="clear" w:color="auto" w:fill="auto"/>
            <w:noWrap/>
            <w:vAlign w:val="bottom"/>
          </w:tcPr>
          <w:p w14:paraId="32521F49" w14:textId="4F538A0B" w:rsidR="00673CE6" w:rsidRPr="00E263F4" w:rsidRDefault="00673CE6" w:rsidP="00E263F4">
            <w:pPr>
              <w:spacing w:before="0" w:after="0" w:line="240" w:lineRule="auto"/>
              <w:jc w:val="center"/>
              <w:rPr>
                <w:color w:val="auto"/>
                <w:sz w:val="20"/>
                <w:szCs w:val="20"/>
              </w:rPr>
            </w:pPr>
            <w:r w:rsidRPr="00E263F4">
              <w:rPr>
                <w:color w:val="000000"/>
                <w:sz w:val="22"/>
                <w:szCs w:val="22"/>
              </w:rPr>
              <w:t>234</w:t>
            </w:r>
          </w:p>
        </w:tc>
        <w:tc>
          <w:tcPr>
            <w:tcW w:w="697" w:type="pct"/>
            <w:gridSpan w:val="2"/>
            <w:tcBorders>
              <w:top w:val="nil"/>
              <w:left w:val="nil"/>
              <w:bottom w:val="single" w:sz="4" w:space="0" w:color="auto"/>
              <w:right w:val="single" w:sz="4" w:space="0" w:color="auto"/>
            </w:tcBorders>
            <w:shd w:val="clear" w:color="auto" w:fill="auto"/>
            <w:noWrap/>
            <w:vAlign w:val="bottom"/>
          </w:tcPr>
          <w:p w14:paraId="13870066" w14:textId="52E3A176" w:rsidR="00673CE6" w:rsidRPr="00E263F4" w:rsidRDefault="00673CE6" w:rsidP="00E263F4">
            <w:pPr>
              <w:spacing w:before="0" w:after="0" w:line="240" w:lineRule="auto"/>
              <w:jc w:val="center"/>
              <w:rPr>
                <w:color w:val="auto"/>
                <w:sz w:val="20"/>
                <w:szCs w:val="20"/>
              </w:rPr>
            </w:pPr>
            <w:r w:rsidRPr="00E263F4">
              <w:rPr>
                <w:color w:val="000000"/>
                <w:sz w:val="22"/>
                <w:szCs w:val="22"/>
              </w:rPr>
              <w:t>269</w:t>
            </w:r>
          </w:p>
        </w:tc>
        <w:tc>
          <w:tcPr>
            <w:tcW w:w="690" w:type="pct"/>
            <w:gridSpan w:val="2"/>
            <w:tcBorders>
              <w:top w:val="nil"/>
              <w:left w:val="nil"/>
              <w:bottom w:val="single" w:sz="4" w:space="0" w:color="auto"/>
              <w:right w:val="single" w:sz="4" w:space="0" w:color="auto"/>
            </w:tcBorders>
            <w:shd w:val="clear" w:color="auto" w:fill="auto"/>
            <w:noWrap/>
            <w:vAlign w:val="bottom"/>
          </w:tcPr>
          <w:p w14:paraId="3D270A78" w14:textId="01B60111" w:rsidR="00673CE6" w:rsidRPr="00E263F4" w:rsidRDefault="00673CE6" w:rsidP="00E263F4">
            <w:pPr>
              <w:spacing w:before="0" w:after="0" w:line="240" w:lineRule="auto"/>
              <w:jc w:val="center"/>
              <w:rPr>
                <w:color w:val="auto"/>
                <w:sz w:val="20"/>
                <w:szCs w:val="20"/>
              </w:rPr>
            </w:pPr>
            <w:r w:rsidRPr="00E263F4">
              <w:rPr>
                <w:color w:val="000000"/>
                <w:sz w:val="22"/>
                <w:szCs w:val="22"/>
              </w:rPr>
              <w:t>334</w:t>
            </w:r>
          </w:p>
        </w:tc>
      </w:tr>
      <w:tr w:rsidR="00673CE6" w:rsidRPr="00E263F4" w14:paraId="45A2F39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2822B51" w14:textId="77777777" w:rsidR="00673CE6" w:rsidRPr="00E263F4" w:rsidRDefault="00673CE6" w:rsidP="00673CE6">
            <w:pPr>
              <w:spacing w:before="0" w:after="0" w:line="240" w:lineRule="auto"/>
              <w:rPr>
                <w:color w:val="auto"/>
                <w:sz w:val="20"/>
                <w:szCs w:val="20"/>
              </w:rPr>
            </w:pPr>
            <w:r w:rsidRPr="00E263F4">
              <w:rPr>
                <w:color w:val="auto"/>
                <w:sz w:val="20"/>
                <w:szCs w:val="20"/>
              </w:rPr>
              <w:t>13</w:t>
            </w:r>
          </w:p>
        </w:tc>
        <w:tc>
          <w:tcPr>
            <w:tcW w:w="658" w:type="pct"/>
            <w:gridSpan w:val="2"/>
            <w:tcBorders>
              <w:top w:val="nil"/>
              <w:left w:val="nil"/>
              <w:bottom w:val="single" w:sz="4" w:space="0" w:color="auto"/>
              <w:right w:val="single" w:sz="4" w:space="0" w:color="auto"/>
            </w:tcBorders>
            <w:shd w:val="clear" w:color="auto" w:fill="auto"/>
            <w:noWrap/>
            <w:vAlign w:val="bottom"/>
          </w:tcPr>
          <w:p w14:paraId="66C4AFF8" w14:textId="3E538A72" w:rsidR="00673CE6" w:rsidRPr="00E263F4" w:rsidRDefault="00673CE6" w:rsidP="00E263F4">
            <w:pPr>
              <w:spacing w:before="0" w:after="0" w:line="240" w:lineRule="auto"/>
              <w:jc w:val="center"/>
              <w:rPr>
                <w:color w:val="auto"/>
                <w:sz w:val="20"/>
                <w:szCs w:val="20"/>
              </w:rPr>
            </w:pPr>
            <w:r w:rsidRPr="00E263F4">
              <w:rPr>
                <w:color w:val="000000"/>
                <w:sz w:val="22"/>
                <w:szCs w:val="22"/>
              </w:rPr>
              <w:t>284</w:t>
            </w:r>
          </w:p>
        </w:tc>
        <w:tc>
          <w:tcPr>
            <w:tcW w:w="660" w:type="pct"/>
            <w:gridSpan w:val="2"/>
            <w:tcBorders>
              <w:top w:val="nil"/>
              <w:left w:val="nil"/>
              <w:bottom w:val="single" w:sz="4" w:space="0" w:color="auto"/>
              <w:right w:val="single" w:sz="4" w:space="0" w:color="auto"/>
            </w:tcBorders>
            <w:shd w:val="clear" w:color="auto" w:fill="auto"/>
            <w:noWrap/>
            <w:vAlign w:val="bottom"/>
          </w:tcPr>
          <w:p w14:paraId="229FAC5D" w14:textId="25F303C5" w:rsidR="00673CE6" w:rsidRPr="00E263F4" w:rsidRDefault="00673CE6" w:rsidP="00E263F4">
            <w:pPr>
              <w:spacing w:before="0" w:after="0" w:line="240" w:lineRule="auto"/>
              <w:jc w:val="center"/>
              <w:rPr>
                <w:color w:val="auto"/>
                <w:sz w:val="20"/>
                <w:szCs w:val="20"/>
              </w:rPr>
            </w:pPr>
            <w:r w:rsidRPr="00E263F4">
              <w:rPr>
                <w:color w:val="000000"/>
                <w:sz w:val="22"/>
                <w:szCs w:val="22"/>
              </w:rPr>
              <w:t>260</w:t>
            </w:r>
          </w:p>
        </w:tc>
        <w:tc>
          <w:tcPr>
            <w:tcW w:w="540" w:type="pct"/>
            <w:tcBorders>
              <w:top w:val="nil"/>
              <w:left w:val="nil"/>
              <w:bottom w:val="single" w:sz="4" w:space="0" w:color="auto"/>
              <w:right w:val="single" w:sz="4" w:space="0" w:color="auto"/>
            </w:tcBorders>
            <w:shd w:val="clear" w:color="auto" w:fill="auto"/>
            <w:noWrap/>
            <w:vAlign w:val="bottom"/>
          </w:tcPr>
          <w:p w14:paraId="62A43B82" w14:textId="76E46A90" w:rsidR="00673CE6" w:rsidRPr="00E263F4" w:rsidRDefault="00673CE6" w:rsidP="00E263F4">
            <w:pPr>
              <w:spacing w:before="0" w:after="0" w:line="240" w:lineRule="auto"/>
              <w:jc w:val="center"/>
              <w:rPr>
                <w:color w:val="auto"/>
                <w:sz w:val="20"/>
                <w:szCs w:val="20"/>
              </w:rPr>
            </w:pPr>
            <w:r w:rsidRPr="00E263F4">
              <w:rPr>
                <w:color w:val="000000"/>
                <w:sz w:val="22"/>
                <w:szCs w:val="22"/>
              </w:rPr>
              <w:t>202</w:t>
            </w:r>
          </w:p>
        </w:tc>
        <w:tc>
          <w:tcPr>
            <w:tcW w:w="553" w:type="pct"/>
            <w:gridSpan w:val="2"/>
            <w:tcBorders>
              <w:top w:val="nil"/>
              <w:left w:val="nil"/>
              <w:bottom w:val="single" w:sz="4" w:space="0" w:color="auto"/>
              <w:right w:val="single" w:sz="4" w:space="0" w:color="auto"/>
            </w:tcBorders>
            <w:shd w:val="clear" w:color="auto" w:fill="auto"/>
            <w:noWrap/>
            <w:vAlign w:val="bottom"/>
          </w:tcPr>
          <w:p w14:paraId="518BCE41" w14:textId="33D919E3" w:rsidR="00673CE6" w:rsidRPr="00E263F4" w:rsidRDefault="00673CE6" w:rsidP="00E263F4">
            <w:pPr>
              <w:spacing w:before="0" w:after="0" w:line="240" w:lineRule="auto"/>
              <w:jc w:val="center"/>
              <w:rPr>
                <w:color w:val="auto"/>
                <w:sz w:val="20"/>
                <w:szCs w:val="20"/>
              </w:rPr>
            </w:pPr>
            <w:r w:rsidRPr="00E263F4">
              <w:rPr>
                <w:color w:val="000000"/>
                <w:sz w:val="22"/>
                <w:szCs w:val="22"/>
              </w:rPr>
              <w:t>245</w:t>
            </w:r>
          </w:p>
        </w:tc>
        <w:tc>
          <w:tcPr>
            <w:tcW w:w="697" w:type="pct"/>
            <w:gridSpan w:val="2"/>
            <w:tcBorders>
              <w:top w:val="nil"/>
              <w:left w:val="nil"/>
              <w:bottom w:val="single" w:sz="4" w:space="0" w:color="auto"/>
              <w:right w:val="single" w:sz="4" w:space="0" w:color="auto"/>
            </w:tcBorders>
            <w:shd w:val="clear" w:color="auto" w:fill="auto"/>
            <w:noWrap/>
            <w:vAlign w:val="bottom"/>
          </w:tcPr>
          <w:p w14:paraId="7B748042" w14:textId="2AC2F1CF" w:rsidR="00673CE6" w:rsidRPr="00E263F4" w:rsidRDefault="00673CE6" w:rsidP="00E263F4">
            <w:pPr>
              <w:spacing w:before="0" w:after="0" w:line="240" w:lineRule="auto"/>
              <w:jc w:val="center"/>
              <w:rPr>
                <w:color w:val="auto"/>
                <w:sz w:val="20"/>
                <w:szCs w:val="20"/>
              </w:rPr>
            </w:pPr>
            <w:r w:rsidRPr="00E263F4">
              <w:rPr>
                <w:color w:val="000000"/>
                <w:sz w:val="22"/>
                <w:szCs w:val="22"/>
              </w:rPr>
              <w:t>317</w:t>
            </w:r>
          </w:p>
        </w:tc>
        <w:tc>
          <w:tcPr>
            <w:tcW w:w="690" w:type="pct"/>
            <w:gridSpan w:val="2"/>
            <w:tcBorders>
              <w:top w:val="nil"/>
              <w:left w:val="nil"/>
              <w:bottom w:val="single" w:sz="4" w:space="0" w:color="auto"/>
              <w:right w:val="single" w:sz="4" w:space="0" w:color="auto"/>
            </w:tcBorders>
            <w:shd w:val="clear" w:color="auto" w:fill="auto"/>
            <w:noWrap/>
            <w:vAlign w:val="bottom"/>
          </w:tcPr>
          <w:p w14:paraId="3F694C5A" w14:textId="13C34B99" w:rsidR="00673CE6" w:rsidRPr="00E263F4" w:rsidRDefault="00673CE6" w:rsidP="00E263F4">
            <w:pPr>
              <w:spacing w:before="0" w:after="0" w:line="240" w:lineRule="auto"/>
              <w:jc w:val="center"/>
              <w:rPr>
                <w:color w:val="auto"/>
                <w:sz w:val="20"/>
                <w:szCs w:val="20"/>
              </w:rPr>
            </w:pPr>
            <w:r w:rsidRPr="00E263F4">
              <w:rPr>
                <w:color w:val="000000"/>
                <w:sz w:val="22"/>
                <w:szCs w:val="22"/>
              </w:rPr>
              <w:t>355</w:t>
            </w:r>
          </w:p>
        </w:tc>
      </w:tr>
      <w:tr w:rsidR="00673CE6" w:rsidRPr="00E263F4" w14:paraId="69356DC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76781A2" w14:textId="77777777" w:rsidR="00673CE6" w:rsidRPr="00E263F4" w:rsidRDefault="00673CE6" w:rsidP="00673CE6">
            <w:pPr>
              <w:spacing w:before="0" w:after="0" w:line="240" w:lineRule="auto"/>
              <w:rPr>
                <w:color w:val="auto"/>
                <w:sz w:val="20"/>
                <w:szCs w:val="20"/>
              </w:rPr>
            </w:pPr>
            <w:r w:rsidRPr="00E263F4">
              <w:rPr>
                <w:color w:val="auto"/>
                <w:sz w:val="20"/>
                <w:szCs w:val="20"/>
              </w:rPr>
              <w:t>14</w:t>
            </w:r>
          </w:p>
        </w:tc>
        <w:tc>
          <w:tcPr>
            <w:tcW w:w="658" w:type="pct"/>
            <w:gridSpan w:val="2"/>
            <w:tcBorders>
              <w:top w:val="nil"/>
              <w:left w:val="nil"/>
              <w:bottom w:val="single" w:sz="4" w:space="0" w:color="auto"/>
              <w:right w:val="single" w:sz="4" w:space="0" w:color="auto"/>
            </w:tcBorders>
            <w:shd w:val="clear" w:color="auto" w:fill="auto"/>
            <w:noWrap/>
            <w:vAlign w:val="bottom"/>
          </w:tcPr>
          <w:p w14:paraId="78E4E9E8" w14:textId="4637E54D" w:rsidR="00673CE6" w:rsidRPr="00E263F4" w:rsidRDefault="00673CE6" w:rsidP="00E263F4">
            <w:pPr>
              <w:spacing w:before="0" w:after="0" w:line="240" w:lineRule="auto"/>
              <w:jc w:val="center"/>
              <w:rPr>
                <w:color w:val="auto"/>
                <w:sz w:val="20"/>
                <w:szCs w:val="20"/>
              </w:rPr>
            </w:pPr>
            <w:r w:rsidRPr="00E263F4">
              <w:rPr>
                <w:color w:val="000000"/>
                <w:sz w:val="22"/>
                <w:szCs w:val="22"/>
              </w:rPr>
              <w:t>337</w:t>
            </w:r>
          </w:p>
        </w:tc>
        <w:tc>
          <w:tcPr>
            <w:tcW w:w="660" w:type="pct"/>
            <w:gridSpan w:val="2"/>
            <w:tcBorders>
              <w:top w:val="nil"/>
              <w:left w:val="nil"/>
              <w:bottom w:val="single" w:sz="4" w:space="0" w:color="auto"/>
              <w:right w:val="single" w:sz="4" w:space="0" w:color="auto"/>
            </w:tcBorders>
            <w:shd w:val="clear" w:color="auto" w:fill="auto"/>
            <w:noWrap/>
            <w:vAlign w:val="bottom"/>
          </w:tcPr>
          <w:p w14:paraId="00EE631E" w14:textId="6964A811" w:rsidR="00673CE6" w:rsidRPr="00E263F4" w:rsidRDefault="00673CE6" w:rsidP="00E263F4">
            <w:pPr>
              <w:spacing w:before="0" w:after="0" w:line="240" w:lineRule="auto"/>
              <w:jc w:val="center"/>
              <w:rPr>
                <w:color w:val="auto"/>
                <w:sz w:val="20"/>
                <w:szCs w:val="20"/>
              </w:rPr>
            </w:pPr>
            <w:r w:rsidRPr="00E263F4">
              <w:rPr>
                <w:color w:val="000000"/>
                <w:sz w:val="22"/>
                <w:szCs w:val="22"/>
              </w:rPr>
              <w:t>333</w:t>
            </w:r>
          </w:p>
        </w:tc>
        <w:tc>
          <w:tcPr>
            <w:tcW w:w="540" w:type="pct"/>
            <w:tcBorders>
              <w:top w:val="nil"/>
              <w:left w:val="nil"/>
              <w:bottom w:val="single" w:sz="4" w:space="0" w:color="auto"/>
              <w:right w:val="single" w:sz="4" w:space="0" w:color="auto"/>
            </w:tcBorders>
            <w:shd w:val="clear" w:color="auto" w:fill="auto"/>
            <w:noWrap/>
            <w:vAlign w:val="bottom"/>
          </w:tcPr>
          <w:p w14:paraId="545D36DC" w14:textId="55907FFF" w:rsidR="00673CE6" w:rsidRPr="00E263F4" w:rsidRDefault="00673CE6" w:rsidP="00E263F4">
            <w:pPr>
              <w:spacing w:before="0" w:after="0" w:line="240" w:lineRule="auto"/>
              <w:jc w:val="center"/>
              <w:rPr>
                <w:color w:val="auto"/>
                <w:sz w:val="20"/>
                <w:szCs w:val="20"/>
              </w:rPr>
            </w:pPr>
            <w:r w:rsidRPr="00E263F4">
              <w:rPr>
                <w:color w:val="000000"/>
                <w:sz w:val="22"/>
                <w:szCs w:val="22"/>
              </w:rPr>
              <w:t>273</w:t>
            </w:r>
          </w:p>
        </w:tc>
        <w:tc>
          <w:tcPr>
            <w:tcW w:w="553" w:type="pct"/>
            <w:gridSpan w:val="2"/>
            <w:tcBorders>
              <w:top w:val="nil"/>
              <w:left w:val="nil"/>
              <w:bottom w:val="single" w:sz="4" w:space="0" w:color="auto"/>
              <w:right w:val="single" w:sz="4" w:space="0" w:color="auto"/>
            </w:tcBorders>
            <w:shd w:val="clear" w:color="auto" w:fill="auto"/>
            <w:noWrap/>
            <w:vAlign w:val="bottom"/>
          </w:tcPr>
          <w:p w14:paraId="170E8246" w14:textId="238B4217" w:rsidR="00673CE6" w:rsidRPr="00E263F4" w:rsidRDefault="00673CE6" w:rsidP="00E263F4">
            <w:pPr>
              <w:spacing w:before="0" w:after="0" w:line="240" w:lineRule="auto"/>
              <w:jc w:val="center"/>
              <w:rPr>
                <w:color w:val="auto"/>
                <w:sz w:val="20"/>
                <w:szCs w:val="20"/>
              </w:rPr>
            </w:pPr>
            <w:r w:rsidRPr="00E263F4">
              <w:rPr>
                <w:color w:val="000000"/>
                <w:sz w:val="22"/>
                <w:szCs w:val="22"/>
              </w:rPr>
              <w:t>134</w:t>
            </w:r>
          </w:p>
        </w:tc>
        <w:tc>
          <w:tcPr>
            <w:tcW w:w="697" w:type="pct"/>
            <w:gridSpan w:val="2"/>
            <w:tcBorders>
              <w:top w:val="nil"/>
              <w:left w:val="nil"/>
              <w:bottom w:val="single" w:sz="4" w:space="0" w:color="auto"/>
              <w:right w:val="single" w:sz="4" w:space="0" w:color="auto"/>
            </w:tcBorders>
            <w:shd w:val="clear" w:color="auto" w:fill="auto"/>
            <w:noWrap/>
            <w:vAlign w:val="bottom"/>
          </w:tcPr>
          <w:p w14:paraId="22A86909" w14:textId="307327C6" w:rsidR="00673CE6" w:rsidRPr="00E263F4" w:rsidRDefault="00673CE6" w:rsidP="00E263F4">
            <w:pPr>
              <w:spacing w:before="0" w:after="0" w:line="240" w:lineRule="auto"/>
              <w:jc w:val="center"/>
              <w:rPr>
                <w:color w:val="auto"/>
                <w:sz w:val="20"/>
                <w:szCs w:val="20"/>
              </w:rPr>
            </w:pPr>
            <w:r w:rsidRPr="00E263F4">
              <w:rPr>
                <w:color w:val="000000"/>
                <w:sz w:val="22"/>
                <w:szCs w:val="22"/>
              </w:rPr>
              <w:t>141</w:t>
            </w:r>
          </w:p>
        </w:tc>
        <w:tc>
          <w:tcPr>
            <w:tcW w:w="690" w:type="pct"/>
            <w:gridSpan w:val="2"/>
            <w:tcBorders>
              <w:top w:val="nil"/>
              <w:left w:val="nil"/>
              <w:bottom w:val="single" w:sz="4" w:space="0" w:color="auto"/>
              <w:right w:val="single" w:sz="4" w:space="0" w:color="auto"/>
            </w:tcBorders>
            <w:shd w:val="clear" w:color="auto" w:fill="auto"/>
            <w:noWrap/>
            <w:vAlign w:val="bottom"/>
          </w:tcPr>
          <w:p w14:paraId="31D23B30" w14:textId="4CC9B257" w:rsidR="00673CE6" w:rsidRPr="00E263F4" w:rsidRDefault="00673CE6" w:rsidP="00E263F4">
            <w:pPr>
              <w:spacing w:before="0" w:after="0" w:line="240" w:lineRule="auto"/>
              <w:jc w:val="center"/>
              <w:rPr>
                <w:color w:val="auto"/>
                <w:sz w:val="20"/>
                <w:szCs w:val="20"/>
              </w:rPr>
            </w:pPr>
            <w:r w:rsidRPr="00E263F4">
              <w:rPr>
                <w:color w:val="000000"/>
                <w:sz w:val="22"/>
                <w:szCs w:val="22"/>
              </w:rPr>
              <w:t>164</w:t>
            </w:r>
          </w:p>
        </w:tc>
      </w:tr>
      <w:tr w:rsidR="00673CE6" w:rsidRPr="00E263F4" w14:paraId="6EF36A9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1C0BD10" w14:textId="77777777" w:rsidR="00673CE6" w:rsidRPr="00E263F4" w:rsidRDefault="00673CE6" w:rsidP="00673CE6">
            <w:pPr>
              <w:spacing w:before="0" w:after="0" w:line="240" w:lineRule="auto"/>
              <w:rPr>
                <w:color w:val="auto"/>
                <w:sz w:val="20"/>
                <w:szCs w:val="20"/>
              </w:rPr>
            </w:pPr>
            <w:r w:rsidRPr="00E263F4">
              <w:rPr>
                <w:color w:val="auto"/>
                <w:sz w:val="20"/>
                <w:szCs w:val="20"/>
              </w:rPr>
              <w:t>15</w:t>
            </w:r>
          </w:p>
        </w:tc>
        <w:tc>
          <w:tcPr>
            <w:tcW w:w="658" w:type="pct"/>
            <w:gridSpan w:val="2"/>
            <w:tcBorders>
              <w:top w:val="nil"/>
              <w:left w:val="nil"/>
              <w:bottom w:val="single" w:sz="4" w:space="0" w:color="auto"/>
              <w:right w:val="single" w:sz="4" w:space="0" w:color="auto"/>
            </w:tcBorders>
            <w:shd w:val="clear" w:color="auto" w:fill="auto"/>
            <w:noWrap/>
            <w:vAlign w:val="bottom"/>
          </w:tcPr>
          <w:p w14:paraId="1A21E5E2" w14:textId="70CBA485" w:rsidR="00673CE6" w:rsidRPr="00E263F4" w:rsidRDefault="00673CE6" w:rsidP="00E263F4">
            <w:pPr>
              <w:spacing w:before="0" w:after="0" w:line="240" w:lineRule="auto"/>
              <w:jc w:val="center"/>
              <w:rPr>
                <w:color w:val="auto"/>
                <w:sz w:val="20"/>
                <w:szCs w:val="20"/>
              </w:rPr>
            </w:pPr>
            <w:r w:rsidRPr="00E263F4">
              <w:rPr>
                <w:color w:val="000000"/>
                <w:sz w:val="22"/>
                <w:szCs w:val="22"/>
              </w:rPr>
              <w:t>268</w:t>
            </w:r>
          </w:p>
        </w:tc>
        <w:tc>
          <w:tcPr>
            <w:tcW w:w="660" w:type="pct"/>
            <w:gridSpan w:val="2"/>
            <w:tcBorders>
              <w:top w:val="nil"/>
              <w:left w:val="nil"/>
              <w:bottom w:val="single" w:sz="4" w:space="0" w:color="auto"/>
              <w:right w:val="single" w:sz="4" w:space="0" w:color="auto"/>
            </w:tcBorders>
            <w:shd w:val="clear" w:color="auto" w:fill="auto"/>
            <w:noWrap/>
            <w:vAlign w:val="bottom"/>
          </w:tcPr>
          <w:p w14:paraId="217CC521" w14:textId="4F737841" w:rsidR="00673CE6" w:rsidRPr="00E263F4" w:rsidRDefault="00673CE6" w:rsidP="00E263F4">
            <w:pPr>
              <w:spacing w:before="0" w:after="0" w:line="240" w:lineRule="auto"/>
              <w:jc w:val="center"/>
              <w:rPr>
                <w:color w:val="auto"/>
                <w:sz w:val="20"/>
                <w:szCs w:val="20"/>
              </w:rPr>
            </w:pPr>
            <w:r w:rsidRPr="00E263F4">
              <w:rPr>
                <w:color w:val="000000"/>
                <w:sz w:val="22"/>
                <w:szCs w:val="22"/>
              </w:rPr>
              <w:t>262</w:t>
            </w:r>
          </w:p>
        </w:tc>
        <w:tc>
          <w:tcPr>
            <w:tcW w:w="540" w:type="pct"/>
            <w:tcBorders>
              <w:top w:val="nil"/>
              <w:left w:val="nil"/>
              <w:bottom w:val="single" w:sz="4" w:space="0" w:color="auto"/>
              <w:right w:val="single" w:sz="4" w:space="0" w:color="auto"/>
            </w:tcBorders>
            <w:shd w:val="clear" w:color="auto" w:fill="auto"/>
            <w:noWrap/>
            <w:vAlign w:val="bottom"/>
          </w:tcPr>
          <w:p w14:paraId="4AA3350A" w14:textId="1BD92BDC" w:rsidR="00673CE6" w:rsidRPr="00E263F4" w:rsidRDefault="00673CE6" w:rsidP="00E263F4">
            <w:pPr>
              <w:spacing w:before="0" w:after="0" w:line="240" w:lineRule="auto"/>
              <w:jc w:val="center"/>
              <w:rPr>
                <w:color w:val="auto"/>
                <w:sz w:val="20"/>
                <w:szCs w:val="20"/>
              </w:rPr>
            </w:pPr>
            <w:r w:rsidRPr="00E263F4">
              <w:rPr>
                <w:color w:val="000000"/>
                <w:sz w:val="22"/>
                <w:szCs w:val="22"/>
              </w:rPr>
              <w:t>208</w:t>
            </w:r>
          </w:p>
        </w:tc>
        <w:tc>
          <w:tcPr>
            <w:tcW w:w="553" w:type="pct"/>
            <w:gridSpan w:val="2"/>
            <w:tcBorders>
              <w:top w:val="nil"/>
              <w:left w:val="nil"/>
              <w:bottom w:val="single" w:sz="4" w:space="0" w:color="auto"/>
              <w:right w:val="single" w:sz="4" w:space="0" w:color="auto"/>
            </w:tcBorders>
            <w:shd w:val="clear" w:color="auto" w:fill="auto"/>
            <w:noWrap/>
            <w:vAlign w:val="bottom"/>
          </w:tcPr>
          <w:p w14:paraId="7236A75B" w14:textId="75744D04" w:rsidR="00673CE6" w:rsidRPr="00E263F4" w:rsidRDefault="00673CE6" w:rsidP="00E263F4">
            <w:pPr>
              <w:spacing w:before="0" w:after="0" w:line="240" w:lineRule="auto"/>
              <w:jc w:val="center"/>
              <w:rPr>
                <w:color w:val="auto"/>
                <w:sz w:val="20"/>
                <w:szCs w:val="20"/>
              </w:rPr>
            </w:pPr>
            <w:r w:rsidRPr="00E263F4">
              <w:rPr>
                <w:color w:val="000000"/>
                <w:sz w:val="22"/>
                <w:szCs w:val="22"/>
              </w:rPr>
              <w:t>196</w:t>
            </w:r>
          </w:p>
        </w:tc>
        <w:tc>
          <w:tcPr>
            <w:tcW w:w="697" w:type="pct"/>
            <w:gridSpan w:val="2"/>
            <w:tcBorders>
              <w:top w:val="nil"/>
              <w:left w:val="nil"/>
              <w:bottom w:val="single" w:sz="4" w:space="0" w:color="auto"/>
              <w:right w:val="single" w:sz="4" w:space="0" w:color="auto"/>
            </w:tcBorders>
            <w:shd w:val="clear" w:color="auto" w:fill="auto"/>
            <w:noWrap/>
            <w:vAlign w:val="bottom"/>
          </w:tcPr>
          <w:p w14:paraId="35BF4F63" w14:textId="09BB9834" w:rsidR="00673CE6" w:rsidRPr="00E263F4" w:rsidRDefault="00673CE6" w:rsidP="00E263F4">
            <w:pPr>
              <w:spacing w:before="0" w:after="0" w:line="240" w:lineRule="auto"/>
              <w:jc w:val="center"/>
              <w:rPr>
                <w:color w:val="auto"/>
                <w:sz w:val="20"/>
                <w:szCs w:val="20"/>
              </w:rPr>
            </w:pPr>
            <w:r w:rsidRPr="00E263F4">
              <w:rPr>
                <w:color w:val="000000"/>
                <w:sz w:val="22"/>
                <w:szCs w:val="22"/>
              </w:rPr>
              <w:t>197</w:t>
            </w:r>
          </w:p>
        </w:tc>
        <w:tc>
          <w:tcPr>
            <w:tcW w:w="690" w:type="pct"/>
            <w:gridSpan w:val="2"/>
            <w:tcBorders>
              <w:top w:val="nil"/>
              <w:left w:val="nil"/>
              <w:bottom w:val="single" w:sz="4" w:space="0" w:color="auto"/>
              <w:right w:val="single" w:sz="4" w:space="0" w:color="auto"/>
            </w:tcBorders>
            <w:shd w:val="clear" w:color="auto" w:fill="auto"/>
            <w:noWrap/>
            <w:vAlign w:val="bottom"/>
          </w:tcPr>
          <w:p w14:paraId="0755503A" w14:textId="7CCABF34" w:rsidR="00673CE6" w:rsidRPr="00E263F4" w:rsidRDefault="00673CE6" w:rsidP="00E263F4">
            <w:pPr>
              <w:spacing w:before="0" w:after="0" w:line="240" w:lineRule="auto"/>
              <w:jc w:val="center"/>
              <w:rPr>
                <w:color w:val="auto"/>
                <w:sz w:val="20"/>
                <w:szCs w:val="20"/>
              </w:rPr>
            </w:pPr>
            <w:r w:rsidRPr="00E263F4">
              <w:rPr>
                <w:color w:val="000000"/>
                <w:sz w:val="22"/>
                <w:szCs w:val="22"/>
              </w:rPr>
              <w:t>234</w:t>
            </w:r>
          </w:p>
        </w:tc>
      </w:tr>
      <w:tr w:rsidR="00673CE6" w:rsidRPr="00E263F4" w14:paraId="6AFA8D8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B4CA1BC" w14:textId="77777777" w:rsidR="00673CE6" w:rsidRPr="00E263F4" w:rsidRDefault="00673CE6" w:rsidP="00673CE6">
            <w:pPr>
              <w:spacing w:before="0" w:after="0" w:line="240" w:lineRule="auto"/>
              <w:rPr>
                <w:color w:val="auto"/>
                <w:sz w:val="20"/>
                <w:szCs w:val="20"/>
              </w:rPr>
            </w:pPr>
            <w:r w:rsidRPr="00E263F4">
              <w:rPr>
                <w:color w:val="auto"/>
                <w:sz w:val="20"/>
                <w:szCs w:val="20"/>
              </w:rPr>
              <w:t>16</w:t>
            </w:r>
          </w:p>
        </w:tc>
        <w:tc>
          <w:tcPr>
            <w:tcW w:w="658" w:type="pct"/>
            <w:gridSpan w:val="2"/>
            <w:tcBorders>
              <w:top w:val="nil"/>
              <w:left w:val="nil"/>
              <w:bottom w:val="single" w:sz="4" w:space="0" w:color="auto"/>
              <w:right w:val="single" w:sz="4" w:space="0" w:color="auto"/>
            </w:tcBorders>
            <w:shd w:val="clear" w:color="auto" w:fill="auto"/>
            <w:noWrap/>
            <w:vAlign w:val="bottom"/>
          </w:tcPr>
          <w:p w14:paraId="15E5676A" w14:textId="09163690" w:rsidR="00673CE6" w:rsidRPr="00E263F4" w:rsidRDefault="00673CE6" w:rsidP="00E263F4">
            <w:pPr>
              <w:spacing w:before="0" w:after="0" w:line="240" w:lineRule="auto"/>
              <w:jc w:val="center"/>
              <w:rPr>
                <w:color w:val="auto"/>
                <w:sz w:val="20"/>
                <w:szCs w:val="20"/>
              </w:rPr>
            </w:pPr>
            <w:r w:rsidRPr="00E263F4">
              <w:rPr>
                <w:color w:val="000000"/>
                <w:sz w:val="22"/>
                <w:szCs w:val="22"/>
              </w:rPr>
              <w:t>408</w:t>
            </w:r>
          </w:p>
        </w:tc>
        <w:tc>
          <w:tcPr>
            <w:tcW w:w="660" w:type="pct"/>
            <w:gridSpan w:val="2"/>
            <w:tcBorders>
              <w:top w:val="nil"/>
              <w:left w:val="nil"/>
              <w:bottom w:val="single" w:sz="4" w:space="0" w:color="auto"/>
              <w:right w:val="single" w:sz="4" w:space="0" w:color="auto"/>
            </w:tcBorders>
            <w:shd w:val="clear" w:color="auto" w:fill="auto"/>
            <w:noWrap/>
            <w:vAlign w:val="bottom"/>
          </w:tcPr>
          <w:p w14:paraId="1CBD173D" w14:textId="3437F1C7" w:rsidR="00673CE6" w:rsidRPr="00E263F4" w:rsidRDefault="00673CE6" w:rsidP="00E263F4">
            <w:pPr>
              <w:spacing w:before="0" w:after="0" w:line="240" w:lineRule="auto"/>
              <w:jc w:val="center"/>
              <w:rPr>
                <w:color w:val="auto"/>
                <w:sz w:val="20"/>
                <w:szCs w:val="20"/>
              </w:rPr>
            </w:pPr>
            <w:r w:rsidRPr="00E263F4">
              <w:rPr>
                <w:color w:val="000000"/>
                <w:sz w:val="22"/>
                <w:szCs w:val="22"/>
              </w:rPr>
              <w:t>324</w:t>
            </w:r>
          </w:p>
        </w:tc>
        <w:tc>
          <w:tcPr>
            <w:tcW w:w="540" w:type="pct"/>
            <w:tcBorders>
              <w:top w:val="nil"/>
              <w:left w:val="nil"/>
              <w:bottom w:val="single" w:sz="4" w:space="0" w:color="auto"/>
              <w:right w:val="single" w:sz="4" w:space="0" w:color="auto"/>
            </w:tcBorders>
            <w:shd w:val="clear" w:color="auto" w:fill="auto"/>
            <w:noWrap/>
            <w:vAlign w:val="bottom"/>
          </w:tcPr>
          <w:p w14:paraId="1D314ED0" w14:textId="6143335C" w:rsidR="00673CE6" w:rsidRPr="00E263F4" w:rsidRDefault="00673CE6" w:rsidP="00E263F4">
            <w:pPr>
              <w:spacing w:before="0" w:after="0" w:line="240" w:lineRule="auto"/>
              <w:jc w:val="center"/>
              <w:rPr>
                <w:color w:val="auto"/>
                <w:sz w:val="20"/>
                <w:szCs w:val="20"/>
              </w:rPr>
            </w:pPr>
            <w:r w:rsidRPr="00E263F4">
              <w:rPr>
                <w:color w:val="000000"/>
                <w:sz w:val="22"/>
                <w:szCs w:val="22"/>
              </w:rPr>
              <w:t>278</w:t>
            </w:r>
          </w:p>
        </w:tc>
        <w:tc>
          <w:tcPr>
            <w:tcW w:w="553" w:type="pct"/>
            <w:gridSpan w:val="2"/>
            <w:tcBorders>
              <w:top w:val="nil"/>
              <w:left w:val="nil"/>
              <w:bottom w:val="single" w:sz="4" w:space="0" w:color="auto"/>
              <w:right w:val="single" w:sz="4" w:space="0" w:color="auto"/>
            </w:tcBorders>
            <w:shd w:val="clear" w:color="auto" w:fill="auto"/>
            <w:noWrap/>
            <w:vAlign w:val="bottom"/>
          </w:tcPr>
          <w:p w14:paraId="07A93844" w14:textId="6A1648FB" w:rsidR="00673CE6" w:rsidRPr="00E263F4" w:rsidRDefault="00673CE6" w:rsidP="00E263F4">
            <w:pPr>
              <w:spacing w:before="0" w:after="0" w:line="240" w:lineRule="auto"/>
              <w:jc w:val="center"/>
              <w:rPr>
                <w:color w:val="auto"/>
                <w:sz w:val="20"/>
                <w:szCs w:val="20"/>
              </w:rPr>
            </w:pPr>
            <w:r w:rsidRPr="00E263F4">
              <w:rPr>
                <w:color w:val="000000"/>
                <w:sz w:val="22"/>
                <w:szCs w:val="22"/>
              </w:rPr>
              <w:t>212</w:t>
            </w:r>
          </w:p>
        </w:tc>
        <w:tc>
          <w:tcPr>
            <w:tcW w:w="697" w:type="pct"/>
            <w:gridSpan w:val="2"/>
            <w:tcBorders>
              <w:top w:val="nil"/>
              <w:left w:val="nil"/>
              <w:bottom w:val="single" w:sz="4" w:space="0" w:color="auto"/>
              <w:right w:val="single" w:sz="4" w:space="0" w:color="auto"/>
            </w:tcBorders>
            <w:shd w:val="clear" w:color="auto" w:fill="auto"/>
            <w:noWrap/>
            <w:vAlign w:val="bottom"/>
          </w:tcPr>
          <w:p w14:paraId="01E02CBF" w14:textId="73FAA8FC" w:rsidR="00673CE6" w:rsidRPr="00E263F4" w:rsidRDefault="00673CE6" w:rsidP="00E263F4">
            <w:pPr>
              <w:spacing w:before="0" w:after="0" w:line="240" w:lineRule="auto"/>
              <w:jc w:val="center"/>
              <w:rPr>
                <w:color w:val="auto"/>
                <w:sz w:val="20"/>
                <w:szCs w:val="20"/>
              </w:rPr>
            </w:pPr>
            <w:r w:rsidRPr="00E263F4">
              <w:rPr>
                <w:color w:val="000000"/>
                <w:sz w:val="22"/>
                <w:szCs w:val="22"/>
              </w:rPr>
              <w:t>251</w:t>
            </w:r>
          </w:p>
        </w:tc>
        <w:tc>
          <w:tcPr>
            <w:tcW w:w="690" w:type="pct"/>
            <w:gridSpan w:val="2"/>
            <w:tcBorders>
              <w:top w:val="nil"/>
              <w:left w:val="nil"/>
              <w:bottom w:val="single" w:sz="4" w:space="0" w:color="auto"/>
              <w:right w:val="single" w:sz="4" w:space="0" w:color="auto"/>
            </w:tcBorders>
            <w:shd w:val="clear" w:color="auto" w:fill="auto"/>
            <w:noWrap/>
            <w:vAlign w:val="bottom"/>
          </w:tcPr>
          <w:p w14:paraId="10215D07" w14:textId="7231C9A6" w:rsidR="00673CE6" w:rsidRPr="00E263F4" w:rsidRDefault="00673CE6" w:rsidP="00E263F4">
            <w:pPr>
              <w:spacing w:before="0" w:after="0" w:line="240" w:lineRule="auto"/>
              <w:jc w:val="center"/>
              <w:rPr>
                <w:color w:val="auto"/>
                <w:sz w:val="20"/>
                <w:szCs w:val="20"/>
              </w:rPr>
            </w:pPr>
            <w:r w:rsidRPr="00E263F4">
              <w:rPr>
                <w:color w:val="000000"/>
                <w:sz w:val="22"/>
                <w:szCs w:val="22"/>
              </w:rPr>
              <w:t>274</w:t>
            </w:r>
          </w:p>
        </w:tc>
      </w:tr>
      <w:tr w:rsidR="00673CE6" w:rsidRPr="00E263F4" w14:paraId="0B9B23F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913E5BC" w14:textId="77777777" w:rsidR="00673CE6" w:rsidRPr="00E263F4" w:rsidRDefault="00673CE6" w:rsidP="00673CE6">
            <w:pPr>
              <w:spacing w:before="0" w:after="0" w:line="240" w:lineRule="auto"/>
              <w:rPr>
                <w:color w:val="auto"/>
                <w:sz w:val="20"/>
                <w:szCs w:val="20"/>
              </w:rPr>
            </w:pPr>
            <w:r w:rsidRPr="00E263F4">
              <w:rPr>
                <w:color w:val="auto"/>
                <w:sz w:val="20"/>
                <w:szCs w:val="20"/>
              </w:rPr>
              <w:t>17</w:t>
            </w:r>
          </w:p>
        </w:tc>
        <w:tc>
          <w:tcPr>
            <w:tcW w:w="658" w:type="pct"/>
            <w:gridSpan w:val="2"/>
            <w:tcBorders>
              <w:top w:val="nil"/>
              <w:left w:val="nil"/>
              <w:bottom w:val="single" w:sz="4" w:space="0" w:color="auto"/>
              <w:right w:val="single" w:sz="4" w:space="0" w:color="auto"/>
            </w:tcBorders>
            <w:shd w:val="clear" w:color="auto" w:fill="auto"/>
            <w:noWrap/>
            <w:vAlign w:val="bottom"/>
          </w:tcPr>
          <w:p w14:paraId="7B611C9C" w14:textId="7B11DA1D" w:rsidR="00673CE6" w:rsidRPr="00E263F4" w:rsidRDefault="00673CE6" w:rsidP="00E263F4">
            <w:pPr>
              <w:spacing w:before="0" w:after="0" w:line="240" w:lineRule="auto"/>
              <w:jc w:val="center"/>
              <w:rPr>
                <w:color w:val="auto"/>
                <w:sz w:val="20"/>
                <w:szCs w:val="20"/>
              </w:rPr>
            </w:pPr>
            <w:r w:rsidRPr="00E263F4">
              <w:rPr>
                <w:color w:val="000000"/>
                <w:sz w:val="22"/>
                <w:szCs w:val="22"/>
              </w:rPr>
              <w:t>255</w:t>
            </w:r>
          </w:p>
        </w:tc>
        <w:tc>
          <w:tcPr>
            <w:tcW w:w="660" w:type="pct"/>
            <w:gridSpan w:val="2"/>
            <w:tcBorders>
              <w:top w:val="nil"/>
              <w:left w:val="nil"/>
              <w:bottom w:val="single" w:sz="4" w:space="0" w:color="auto"/>
              <w:right w:val="single" w:sz="4" w:space="0" w:color="auto"/>
            </w:tcBorders>
            <w:shd w:val="clear" w:color="auto" w:fill="auto"/>
            <w:noWrap/>
            <w:vAlign w:val="bottom"/>
          </w:tcPr>
          <w:p w14:paraId="5793792B" w14:textId="76E991A1" w:rsidR="00673CE6" w:rsidRPr="00E263F4" w:rsidRDefault="00673CE6" w:rsidP="00E263F4">
            <w:pPr>
              <w:spacing w:before="0" w:after="0" w:line="240" w:lineRule="auto"/>
              <w:jc w:val="center"/>
              <w:rPr>
                <w:color w:val="auto"/>
                <w:sz w:val="20"/>
                <w:szCs w:val="20"/>
              </w:rPr>
            </w:pPr>
            <w:r w:rsidRPr="00E263F4">
              <w:rPr>
                <w:color w:val="000000"/>
                <w:sz w:val="22"/>
                <w:szCs w:val="22"/>
              </w:rPr>
              <w:t>240</w:t>
            </w:r>
          </w:p>
        </w:tc>
        <w:tc>
          <w:tcPr>
            <w:tcW w:w="540" w:type="pct"/>
            <w:tcBorders>
              <w:top w:val="nil"/>
              <w:left w:val="nil"/>
              <w:bottom w:val="single" w:sz="4" w:space="0" w:color="auto"/>
              <w:right w:val="single" w:sz="4" w:space="0" w:color="auto"/>
            </w:tcBorders>
            <w:shd w:val="clear" w:color="auto" w:fill="auto"/>
            <w:noWrap/>
            <w:vAlign w:val="bottom"/>
          </w:tcPr>
          <w:p w14:paraId="4F9C410F" w14:textId="7984BA81" w:rsidR="00673CE6" w:rsidRPr="00E263F4" w:rsidRDefault="00673CE6" w:rsidP="00E263F4">
            <w:pPr>
              <w:spacing w:before="0" w:after="0" w:line="240" w:lineRule="auto"/>
              <w:jc w:val="center"/>
              <w:rPr>
                <w:color w:val="auto"/>
                <w:sz w:val="20"/>
                <w:szCs w:val="20"/>
              </w:rPr>
            </w:pPr>
            <w:r w:rsidRPr="00E263F4">
              <w:rPr>
                <w:color w:val="000000"/>
                <w:sz w:val="22"/>
                <w:szCs w:val="22"/>
              </w:rPr>
              <w:t>137</w:t>
            </w:r>
          </w:p>
        </w:tc>
        <w:tc>
          <w:tcPr>
            <w:tcW w:w="553" w:type="pct"/>
            <w:gridSpan w:val="2"/>
            <w:tcBorders>
              <w:top w:val="nil"/>
              <w:left w:val="nil"/>
              <w:bottom w:val="single" w:sz="4" w:space="0" w:color="auto"/>
              <w:right w:val="single" w:sz="4" w:space="0" w:color="auto"/>
            </w:tcBorders>
            <w:shd w:val="clear" w:color="auto" w:fill="auto"/>
            <w:noWrap/>
            <w:vAlign w:val="bottom"/>
          </w:tcPr>
          <w:p w14:paraId="3878BF81" w14:textId="73F3F227" w:rsidR="00673CE6" w:rsidRPr="00E263F4" w:rsidRDefault="00673CE6" w:rsidP="00E263F4">
            <w:pPr>
              <w:spacing w:before="0" w:after="0" w:line="240" w:lineRule="auto"/>
              <w:jc w:val="center"/>
              <w:rPr>
                <w:color w:val="auto"/>
                <w:sz w:val="20"/>
                <w:szCs w:val="20"/>
              </w:rPr>
            </w:pPr>
            <w:r w:rsidRPr="00E263F4">
              <w:rPr>
                <w:color w:val="000000"/>
                <w:sz w:val="22"/>
                <w:szCs w:val="22"/>
              </w:rPr>
              <w:t>168</w:t>
            </w:r>
          </w:p>
        </w:tc>
        <w:tc>
          <w:tcPr>
            <w:tcW w:w="697" w:type="pct"/>
            <w:gridSpan w:val="2"/>
            <w:tcBorders>
              <w:top w:val="nil"/>
              <w:left w:val="nil"/>
              <w:bottom w:val="single" w:sz="4" w:space="0" w:color="auto"/>
              <w:right w:val="single" w:sz="4" w:space="0" w:color="auto"/>
            </w:tcBorders>
            <w:shd w:val="clear" w:color="auto" w:fill="auto"/>
            <w:noWrap/>
            <w:vAlign w:val="bottom"/>
          </w:tcPr>
          <w:p w14:paraId="0B5796A7" w14:textId="709DB5C8" w:rsidR="00673CE6" w:rsidRPr="00E263F4" w:rsidRDefault="00673CE6" w:rsidP="00E263F4">
            <w:pPr>
              <w:spacing w:before="0" w:after="0" w:line="240" w:lineRule="auto"/>
              <w:jc w:val="center"/>
              <w:rPr>
                <w:color w:val="auto"/>
                <w:sz w:val="20"/>
                <w:szCs w:val="20"/>
              </w:rPr>
            </w:pPr>
            <w:r w:rsidRPr="00E263F4">
              <w:rPr>
                <w:color w:val="000000"/>
                <w:sz w:val="22"/>
                <w:szCs w:val="22"/>
              </w:rPr>
              <w:t>197</w:t>
            </w:r>
          </w:p>
        </w:tc>
        <w:tc>
          <w:tcPr>
            <w:tcW w:w="690" w:type="pct"/>
            <w:gridSpan w:val="2"/>
            <w:tcBorders>
              <w:top w:val="nil"/>
              <w:left w:val="nil"/>
              <w:bottom w:val="single" w:sz="4" w:space="0" w:color="auto"/>
              <w:right w:val="single" w:sz="4" w:space="0" w:color="auto"/>
            </w:tcBorders>
            <w:shd w:val="clear" w:color="auto" w:fill="auto"/>
            <w:noWrap/>
            <w:vAlign w:val="bottom"/>
          </w:tcPr>
          <w:p w14:paraId="3A3B2F87" w14:textId="6D539DFC" w:rsidR="00673CE6" w:rsidRPr="00E263F4" w:rsidRDefault="00673CE6" w:rsidP="00E263F4">
            <w:pPr>
              <w:spacing w:before="0" w:after="0" w:line="240" w:lineRule="auto"/>
              <w:jc w:val="center"/>
              <w:rPr>
                <w:color w:val="auto"/>
                <w:sz w:val="20"/>
                <w:szCs w:val="20"/>
              </w:rPr>
            </w:pPr>
            <w:r w:rsidRPr="00E263F4">
              <w:rPr>
                <w:color w:val="000000"/>
                <w:sz w:val="22"/>
                <w:szCs w:val="22"/>
              </w:rPr>
              <w:t>251</w:t>
            </w:r>
          </w:p>
        </w:tc>
      </w:tr>
      <w:tr w:rsidR="00673CE6" w:rsidRPr="00E263F4" w14:paraId="6CF8DC1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9C0617F" w14:textId="77777777" w:rsidR="00673CE6" w:rsidRPr="00E263F4" w:rsidRDefault="00673CE6" w:rsidP="00673CE6">
            <w:pPr>
              <w:spacing w:before="0" w:after="0" w:line="240" w:lineRule="auto"/>
              <w:rPr>
                <w:b/>
                <w:bCs/>
                <w:color w:val="auto"/>
                <w:sz w:val="20"/>
                <w:szCs w:val="20"/>
              </w:rPr>
            </w:pPr>
            <w:r w:rsidRPr="00E263F4">
              <w:rPr>
                <w:b/>
                <w:bCs/>
                <w:color w:val="auto"/>
                <w:sz w:val="20"/>
                <w:szCs w:val="20"/>
              </w:rPr>
              <w:t xml:space="preserve">Grouped Mean </w:t>
            </w:r>
          </w:p>
        </w:tc>
        <w:tc>
          <w:tcPr>
            <w:tcW w:w="658" w:type="pct"/>
            <w:gridSpan w:val="2"/>
            <w:tcBorders>
              <w:top w:val="nil"/>
              <w:left w:val="nil"/>
              <w:bottom w:val="single" w:sz="4" w:space="0" w:color="auto"/>
              <w:right w:val="single" w:sz="4" w:space="0" w:color="auto"/>
            </w:tcBorders>
            <w:shd w:val="clear" w:color="auto" w:fill="auto"/>
            <w:noWrap/>
            <w:vAlign w:val="bottom"/>
          </w:tcPr>
          <w:p w14:paraId="44693501" w14:textId="3BE0AEC7"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307</w:t>
            </w:r>
          </w:p>
        </w:tc>
        <w:tc>
          <w:tcPr>
            <w:tcW w:w="660" w:type="pct"/>
            <w:gridSpan w:val="2"/>
            <w:tcBorders>
              <w:top w:val="nil"/>
              <w:left w:val="nil"/>
              <w:bottom w:val="single" w:sz="4" w:space="0" w:color="auto"/>
              <w:right w:val="single" w:sz="4" w:space="0" w:color="auto"/>
            </w:tcBorders>
            <w:shd w:val="clear" w:color="auto" w:fill="auto"/>
            <w:noWrap/>
            <w:vAlign w:val="bottom"/>
          </w:tcPr>
          <w:p w14:paraId="13234879" w14:textId="359DE73A"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273</w:t>
            </w:r>
          </w:p>
        </w:tc>
        <w:tc>
          <w:tcPr>
            <w:tcW w:w="540" w:type="pct"/>
            <w:tcBorders>
              <w:top w:val="nil"/>
              <w:left w:val="nil"/>
              <w:bottom w:val="single" w:sz="4" w:space="0" w:color="auto"/>
              <w:right w:val="single" w:sz="4" w:space="0" w:color="auto"/>
            </w:tcBorders>
            <w:shd w:val="clear" w:color="auto" w:fill="auto"/>
            <w:noWrap/>
            <w:vAlign w:val="bottom"/>
          </w:tcPr>
          <w:p w14:paraId="4BA00D04" w14:textId="05BC7B3C"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211</w:t>
            </w:r>
          </w:p>
        </w:tc>
        <w:tc>
          <w:tcPr>
            <w:tcW w:w="553" w:type="pct"/>
            <w:gridSpan w:val="2"/>
            <w:tcBorders>
              <w:top w:val="nil"/>
              <w:left w:val="nil"/>
              <w:bottom w:val="single" w:sz="4" w:space="0" w:color="auto"/>
              <w:right w:val="single" w:sz="4" w:space="0" w:color="auto"/>
            </w:tcBorders>
            <w:shd w:val="clear" w:color="auto" w:fill="auto"/>
            <w:noWrap/>
            <w:vAlign w:val="bottom"/>
          </w:tcPr>
          <w:p w14:paraId="56204218" w14:textId="2AD05423"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217</w:t>
            </w:r>
          </w:p>
        </w:tc>
        <w:tc>
          <w:tcPr>
            <w:tcW w:w="697" w:type="pct"/>
            <w:gridSpan w:val="2"/>
            <w:tcBorders>
              <w:top w:val="nil"/>
              <w:left w:val="nil"/>
              <w:bottom w:val="single" w:sz="4" w:space="0" w:color="auto"/>
              <w:right w:val="single" w:sz="4" w:space="0" w:color="auto"/>
            </w:tcBorders>
            <w:shd w:val="clear" w:color="auto" w:fill="auto"/>
            <w:noWrap/>
            <w:vAlign w:val="bottom"/>
          </w:tcPr>
          <w:p w14:paraId="2E948549" w14:textId="1538840E"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257</w:t>
            </w:r>
          </w:p>
        </w:tc>
        <w:tc>
          <w:tcPr>
            <w:tcW w:w="690" w:type="pct"/>
            <w:gridSpan w:val="2"/>
            <w:tcBorders>
              <w:top w:val="nil"/>
              <w:left w:val="nil"/>
              <w:bottom w:val="single" w:sz="4" w:space="0" w:color="auto"/>
              <w:right w:val="single" w:sz="4" w:space="0" w:color="auto"/>
            </w:tcBorders>
            <w:shd w:val="clear" w:color="auto" w:fill="auto"/>
            <w:noWrap/>
            <w:vAlign w:val="bottom"/>
          </w:tcPr>
          <w:p w14:paraId="12CA10F2" w14:textId="342ECF8C"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288</w:t>
            </w:r>
          </w:p>
        </w:tc>
      </w:tr>
      <w:tr w:rsidR="00673CE6" w:rsidRPr="00E263F4" w14:paraId="06D4AAC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21F754F" w14:textId="77777777" w:rsidR="00673CE6" w:rsidRPr="00E263F4" w:rsidRDefault="00673CE6" w:rsidP="00673CE6">
            <w:pPr>
              <w:spacing w:before="0" w:after="0" w:line="240" w:lineRule="auto"/>
              <w:rPr>
                <w:b/>
                <w:bCs/>
                <w:color w:val="auto"/>
                <w:sz w:val="20"/>
                <w:szCs w:val="20"/>
              </w:rPr>
            </w:pPr>
            <w:r w:rsidRPr="00E263F4">
              <w:rPr>
                <w:b/>
                <w:bCs/>
                <w:color w:val="auto"/>
                <w:sz w:val="20"/>
                <w:szCs w:val="20"/>
              </w:rPr>
              <w:t>SD</w:t>
            </w:r>
          </w:p>
        </w:tc>
        <w:tc>
          <w:tcPr>
            <w:tcW w:w="658" w:type="pct"/>
            <w:gridSpan w:val="2"/>
            <w:tcBorders>
              <w:top w:val="nil"/>
              <w:left w:val="nil"/>
              <w:bottom w:val="single" w:sz="4" w:space="0" w:color="auto"/>
              <w:right w:val="single" w:sz="4" w:space="0" w:color="auto"/>
            </w:tcBorders>
            <w:shd w:val="clear" w:color="auto" w:fill="auto"/>
            <w:noWrap/>
            <w:vAlign w:val="bottom"/>
          </w:tcPr>
          <w:p w14:paraId="2BE4185D" w14:textId="02DD0C20"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54</w:t>
            </w:r>
          </w:p>
        </w:tc>
        <w:tc>
          <w:tcPr>
            <w:tcW w:w="660" w:type="pct"/>
            <w:gridSpan w:val="2"/>
            <w:tcBorders>
              <w:top w:val="nil"/>
              <w:left w:val="nil"/>
              <w:bottom w:val="single" w:sz="4" w:space="0" w:color="auto"/>
              <w:right w:val="single" w:sz="4" w:space="0" w:color="auto"/>
            </w:tcBorders>
            <w:shd w:val="clear" w:color="auto" w:fill="auto"/>
            <w:noWrap/>
            <w:vAlign w:val="bottom"/>
          </w:tcPr>
          <w:p w14:paraId="68877842" w14:textId="7526C811"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50</w:t>
            </w:r>
          </w:p>
        </w:tc>
        <w:tc>
          <w:tcPr>
            <w:tcW w:w="540" w:type="pct"/>
            <w:tcBorders>
              <w:top w:val="nil"/>
              <w:left w:val="nil"/>
              <w:bottom w:val="single" w:sz="4" w:space="0" w:color="auto"/>
              <w:right w:val="single" w:sz="4" w:space="0" w:color="auto"/>
            </w:tcBorders>
            <w:shd w:val="clear" w:color="auto" w:fill="auto"/>
            <w:noWrap/>
            <w:vAlign w:val="bottom"/>
          </w:tcPr>
          <w:p w14:paraId="301D58F7" w14:textId="6BD626F7"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46</w:t>
            </w:r>
          </w:p>
        </w:tc>
        <w:tc>
          <w:tcPr>
            <w:tcW w:w="553" w:type="pct"/>
            <w:gridSpan w:val="2"/>
            <w:tcBorders>
              <w:top w:val="nil"/>
              <w:left w:val="nil"/>
              <w:bottom w:val="single" w:sz="4" w:space="0" w:color="auto"/>
              <w:right w:val="single" w:sz="4" w:space="0" w:color="auto"/>
            </w:tcBorders>
            <w:shd w:val="clear" w:color="auto" w:fill="auto"/>
            <w:noWrap/>
            <w:vAlign w:val="bottom"/>
          </w:tcPr>
          <w:p w14:paraId="70EABF2A" w14:textId="11A1CD24"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58</w:t>
            </w:r>
          </w:p>
        </w:tc>
        <w:tc>
          <w:tcPr>
            <w:tcW w:w="697" w:type="pct"/>
            <w:gridSpan w:val="2"/>
            <w:tcBorders>
              <w:top w:val="nil"/>
              <w:left w:val="nil"/>
              <w:bottom w:val="single" w:sz="4" w:space="0" w:color="auto"/>
              <w:right w:val="single" w:sz="4" w:space="0" w:color="auto"/>
            </w:tcBorders>
            <w:shd w:val="clear" w:color="auto" w:fill="auto"/>
            <w:noWrap/>
            <w:vAlign w:val="bottom"/>
          </w:tcPr>
          <w:p w14:paraId="78B49A60" w14:textId="074797DA"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72</w:t>
            </w:r>
          </w:p>
        </w:tc>
        <w:tc>
          <w:tcPr>
            <w:tcW w:w="690" w:type="pct"/>
            <w:gridSpan w:val="2"/>
            <w:tcBorders>
              <w:top w:val="nil"/>
              <w:left w:val="nil"/>
              <w:bottom w:val="single" w:sz="4" w:space="0" w:color="auto"/>
              <w:right w:val="single" w:sz="4" w:space="0" w:color="auto"/>
            </w:tcBorders>
            <w:shd w:val="clear" w:color="auto" w:fill="auto"/>
            <w:noWrap/>
            <w:vAlign w:val="bottom"/>
          </w:tcPr>
          <w:p w14:paraId="43935946" w14:textId="60993B65"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88</w:t>
            </w:r>
          </w:p>
        </w:tc>
      </w:tr>
      <w:tr w:rsidR="00D0688A" w:rsidRPr="00E263F4" w14:paraId="78F97A3C"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7A82754"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Older (60-79 years old)</w:t>
            </w:r>
          </w:p>
        </w:tc>
      </w:tr>
      <w:tr w:rsidR="00D0688A" w:rsidRPr="00E263F4" w14:paraId="01ECFEA4"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15D33CE5"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63D3E2A6" w14:textId="77777777" w:rsidR="00D0688A" w:rsidRPr="00E263F4" w:rsidRDefault="00D0688A" w:rsidP="00D0688A">
            <w:pPr>
              <w:spacing w:before="0" w:after="0" w:line="240" w:lineRule="auto"/>
              <w:rPr>
                <w:color w:val="auto"/>
                <w:sz w:val="20"/>
                <w:szCs w:val="20"/>
              </w:rPr>
            </w:pPr>
          </w:p>
          <w:p w14:paraId="52AAE2C1"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58" w:type="pct"/>
            <w:gridSpan w:val="2"/>
            <w:tcBorders>
              <w:top w:val="nil"/>
              <w:left w:val="nil"/>
              <w:bottom w:val="single" w:sz="4" w:space="0" w:color="auto"/>
              <w:right w:val="single" w:sz="4" w:space="0" w:color="auto"/>
            </w:tcBorders>
            <w:shd w:val="clear" w:color="auto" w:fill="auto"/>
            <w:noWrap/>
            <w:hideMark/>
          </w:tcPr>
          <w:p w14:paraId="00C9E7E6" w14:textId="6A2A037B"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60" w:type="pct"/>
            <w:gridSpan w:val="2"/>
            <w:tcBorders>
              <w:top w:val="nil"/>
              <w:left w:val="nil"/>
              <w:bottom w:val="single" w:sz="4" w:space="0" w:color="auto"/>
              <w:right w:val="single" w:sz="4" w:space="0" w:color="auto"/>
            </w:tcBorders>
            <w:shd w:val="clear" w:color="auto" w:fill="auto"/>
            <w:noWrap/>
            <w:hideMark/>
          </w:tcPr>
          <w:p w14:paraId="5CD2179A" w14:textId="3BF8E8F3"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540" w:type="pct"/>
            <w:tcBorders>
              <w:top w:val="nil"/>
              <w:left w:val="nil"/>
              <w:bottom w:val="single" w:sz="4" w:space="0" w:color="auto"/>
              <w:right w:val="single" w:sz="4" w:space="0" w:color="auto"/>
            </w:tcBorders>
            <w:shd w:val="clear" w:color="auto" w:fill="auto"/>
            <w:noWrap/>
            <w:hideMark/>
          </w:tcPr>
          <w:p w14:paraId="02E05FDE" w14:textId="3AD9CE32"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553" w:type="pct"/>
            <w:gridSpan w:val="2"/>
            <w:tcBorders>
              <w:top w:val="nil"/>
              <w:left w:val="nil"/>
              <w:bottom w:val="single" w:sz="4" w:space="0" w:color="auto"/>
              <w:right w:val="single" w:sz="4" w:space="0" w:color="auto"/>
            </w:tcBorders>
            <w:shd w:val="clear" w:color="auto" w:fill="auto"/>
            <w:noWrap/>
            <w:hideMark/>
          </w:tcPr>
          <w:p w14:paraId="74CA7C52" w14:textId="2A20F378"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97" w:type="pct"/>
            <w:gridSpan w:val="2"/>
            <w:tcBorders>
              <w:top w:val="nil"/>
              <w:left w:val="nil"/>
              <w:bottom w:val="single" w:sz="4" w:space="0" w:color="auto"/>
              <w:right w:val="single" w:sz="4" w:space="0" w:color="auto"/>
            </w:tcBorders>
            <w:shd w:val="clear" w:color="auto" w:fill="auto"/>
            <w:noWrap/>
            <w:hideMark/>
          </w:tcPr>
          <w:p w14:paraId="17104A3C" w14:textId="3A54C11B"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90" w:type="pct"/>
            <w:gridSpan w:val="2"/>
            <w:tcBorders>
              <w:top w:val="nil"/>
              <w:left w:val="nil"/>
              <w:bottom w:val="single" w:sz="4" w:space="0" w:color="auto"/>
              <w:right w:val="single" w:sz="4" w:space="0" w:color="auto"/>
            </w:tcBorders>
            <w:shd w:val="clear" w:color="auto" w:fill="auto"/>
            <w:noWrap/>
            <w:hideMark/>
          </w:tcPr>
          <w:p w14:paraId="66FC8E53" w14:textId="4D5E4DDC"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E263F4" w:rsidRPr="00E263F4" w14:paraId="30646D0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BF1900C" w14:textId="77777777" w:rsidR="00E263F4" w:rsidRPr="00E263F4" w:rsidRDefault="00E263F4" w:rsidP="00E263F4">
            <w:pPr>
              <w:spacing w:before="0" w:after="0" w:line="240" w:lineRule="auto"/>
              <w:rPr>
                <w:color w:val="auto"/>
                <w:sz w:val="20"/>
                <w:szCs w:val="20"/>
              </w:rPr>
            </w:pPr>
            <w:r w:rsidRPr="00E263F4">
              <w:rPr>
                <w:color w:val="auto"/>
                <w:sz w:val="20"/>
                <w:szCs w:val="20"/>
              </w:rPr>
              <w:t>1</w:t>
            </w:r>
          </w:p>
        </w:tc>
        <w:tc>
          <w:tcPr>
            <w:tcW w:w="658" w:type="pct"/>
            <w:gridSpan w:val="2"/>
            <w:tcBorders>
              <w:top w:val="nil"/>
              <w:left w:val="nil"/>
              <w:bottom w:val="single" w:sz="4" w:space="0" w:color="auto"/>
              <w:right w:val="single" w:sz="4" w:space="0" w:color="auto"/>
            </w:tcBorders>
            <w:shd w:val="clear" w:color="auto" w:fill="auto"/>
            <w:noWrap/>
            <w:vAlign w:val="bottom"/>
          </w:tcPr>
          <w:p w14:paraId="7D301E95" w14:textId="369DF493" w:rsidR="00E263F4" w:rsidRPr="00E263F4" w:rsidRDefault="00E263F4" w:rsidP="00E263F4">
            <w:pPr>
              <w:spacing w:before="0" w:after="0" w:line="240" w:lineRule="auto"/>
              <w:jc w:val="center"/>
              <w:rPr>
                <w:color w:val="auto"/>
                <w:sz w:val="20"/>
                <w:szCs w:val="20"/>
              </w:rPr>
            </w:pPr>
            <w:r w:rsidRPr="00E263F4">
              <w:rPr>
                <w:color w:val="000000"/>
                <w:sz w:val="22"/>
                <w:szCs w:val="22"/>
              </w:rPr>
              <w:t>315</w:t>
            </w:r>
          </w:p>
        </w:tc>
        <w:tc>
          <w:tcPr>
            <w:tcW w:w="660" w:type="pct"/>
            <w:gridSpan w:val="2"/>
            <w:tcBorders>
              <w:top w:val="nil"/>
              <w:left w:val="nil"/>
              <w:bottom w:val="single" w:sz="4" w:space="0" w:color="auto"/>
              <w:right w:val="single" w:sz="4" w:space="0" w:color="auto"/>
            </w:tcBorders>
            <w:shd w:val="clear" w:color="auto" w:fill="auto"/>
            <w:noWrap/>
            <w:vAlign w:val="bottom"/>
          </w:tcPr>
          <w:p w14:paraId="3A124592" w14:textId="64BC6F96" w:rsidR="00E263F4" w:rsidRPr="00E263F4" w:rsidRDefault="00E263F4" w:rsidP="00E263F4">
            <w:pPr>
              <w:spacing w:before="0" w:after="0" w:line="240" w:lineRule="auto"/>
              <w:jc w:val="center"/>
              <w:rPr>
                <w:color w:val="auto"/>
                <w:sz w:val="20"/>
                <w:szCs w:val="20"/>
              </w:rPr>
            </w:pPr>
            <w:r w:rsidRPr="00E263F4">
              <w:rPr>
                <w:color w:val="000000"/>
                <w:sz w:val="22"/>
                <w:szCs w:val="22"/>
              </w:rPr>
              <w:t>233</w:t>
            </w:r>
          </w:p>
        </w:tc>
        <w:tc>
          <w:tcPr>
            <w:tcW w:w="540" w:type="pct"/>
            <w:tcBorders>
              <w:top w:val="nil"/>
              <w:left w:val="nil"/>
              <w:bottom w:val="single" w:sz="4" w:space="0" w:color="auto"/>
              <w:right w:val="single" w:sz="4" w:space="0" w:color="auto"/>
            </w:tcBorders>
            <w:shd w:val="clear" w:color="auto" w:fill="auto"/>
            <w:noWrap/>
            <w:vAlign w:val="bottom"/>
          </w:tcPr>
          <w:p w14:paraId="6A03CD39" w14:textId="2C11B292" w:rsidR="00E263F4" w:rsidRPr="00E263F4" w:rsidRDefault="00E263F4" w:rsidP="00E263F4">
            <w:pPr>
              <w:spacing w:before="0" w:after="0" w:line="240" w:lineRule="auto"/>
              <w:jc w:val="center"/>
              <w:rPr>
                <w:color w:val="auto"/>
                <w:sz w:val="20"/>
                <w:szCs w:val="20"/>
              </w:rPr>
            </w:pPr>
            <w:r w:rsidRPr="00E263F4">
              <w:rPr>
                <w:color w:val="000000"/>
                <w:sz w:val="22"/>
                <w:szCs w:val="22"/>
              </w:rPr>
              <w:t>219</w:t>
            </w:r>
          </w:p>
        </w:tc>
        <w:tc>
          <w:tcPr>
            <w:tcW w:w="553" w:type="pct"/>
            <w:gridSpan w:val="2"/>
            <w:tcBorders>
              <w:top w:val="nil"/>
              <w:left w:val="nil"/>
              <w:bottom w:val="single" w:sz="4" w:space="0" w:color="auto"/>
              <w:right w:val="single" w:sz="4" w:space="0" w:color="auto"/>
            </w:tcBorders>
            <w:shd w:val="clear" w:color="auto" w:fill="auto"/>
            <w:noWrap/>
            <w:vAlign w:val="bottom"/>
          </w:tcPr>
          <w:p w14:paraId="2EE50615" w14:textId="3DFC6627" w:rsidR="00E263F4" w:rsidRPr="00E263F4" w:rsidRDefault="00E263F4" w:rsidP="00E263F4">
            <w:pPr>
              <w:spacing w:before="0" w:after="0" w:line="240" w:lineRule="auto"/>
              <w:jc w:val="center"/>
              <w:rPr>
                <w:color w:val="auto"/>
                <w:sz w:val="20"/>
                <w:szCs w:val="20"/>
              </w:rPr>
            </w:pPr>
            <w:r w:rsidRPr="00E263F4">
              <w:rPr>
                <w:color w:val="000000"/>
                <w:sz w:val="22"/>
                <w:szCs w:val="22"/>
              </w:rPr>
              <w:t>205</w:t>
            </w:r>
          </w:p>
        </w:tc>
        <w:tc>
          <w:tcPr>
            <w:tcW w:w="697" w:type="pct"/>
            <w:gridSpan w:val="2"/>
            <w:tcBorders>
              <w:top w:val="nil"/>
              <w:left w:val="nil"/>
              <w:bottom w:val="single" w:sz="4" w:space="0" w:color="auto"/>
              <w:right w:val="single" w:sz="4" w:space="0" w:color="auto"/>
            </w:tcBorders>
            <w:shd w:val="clear" w:color="auto" w:fill="auto"/>
            <w:noWrap/>
            <w:vAlign w:val="bottom"/>
          </w:tcPr>
          <w:p w14:paraId="23272F91" w14:textId="16E7BB37" w:rsidR="00E263F4" w:rsidRPr="00E263F4" w:rsidRDefault="00E263F4" w:rsidP="00E263F4">
            <w:pPr>
              <w:spacing w:before="0" w:after="0" w:line="240" w:lineRule="auto"/>
              <w:jc w:val="center"/>
              <w:rPr>
                <w:color w:val="auto"/>
                <w:sz w:val="20"/>
                <w:szCs w:val="20"/>
              </w:rPr>
            </w:pPr>
            <w:r w:rsidRPr="00E263F4">
              <w:rPr>
                <w:color w:val="000000"/>
                <w:sz w:val="22"/>
                <w:szCs w:val="22"/>
              </w:rPr>
              <w:t>268</w:t>
            </w:r>
          </w:p>
        </w:tc>
        <w:tc>
          <w:tcPr>
            <w:tcW w:w="690" w:type="pct"/>
            <w:gridSpan w:val="2"/>
            <w:tcBorders>
              <w:top w:val="nil"/>
              <w:left w:val="nil"/>
              <w:bottom w:val="single" w:sz="4" w:space="0" w:color="auto"/>
              <w:right w:val="single" w:sz="4" w:space="0" w:color="auto"/>
            </w:tcBorders>
            <w:shd w:val="clear" w:color="auto" w:fill="auto"/>
            <w:noWrap/>
            <w:vAlign w:val="bottom"/>
          </w:tcPr>
          <w:p w14:paraId="3158A2A5" w14:textId="5305E6AD" w:rsidR="00E263F4" w:rsidRPr="00E263F4" w:rsidRDefault="00E263F4" w:rsidP="00E263F4">
            <w:pPr>
              <w:spacing w:before="0" w:after="0" w:line="240" w:lineRule="auto"/>
              <w:jc w:val="center"/>
              <w:rPr>
                <w:color w:val="auto"/>
                <w:sz w:val="20"/>
                <w:szCs w:val="20"/>
              </w:rPr>
            </w:pPr>
            <w:r w:rsidRPr="00E263F4">
              <w:rPr>
                <w:color w:val="000000"/>
                <w:sz w:val="22"/>
                <w:szCs w:val="22"/>
              </w:rPr>
              <w:t>332</w:t>
            </w:r>
          </w:p>
        </w:tc>
      </w:tr>
      <w:tr w:rsidR="00E263F4" w:rsidRPr="00E263F4" w14:paraId="194F53F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7B7A4A0" w14:textId="77777777" w:rsidR="00E263F4" w:rsidRPr="00E263F4" w:rsidRDefault="00E263F4" w:rsidP="00E263F4">
            <w:pPr>
              <w:spacing w:before="0" w:after="0" w:line="240" w:lineRule="auto"/>
              <w:rPr>
                <w:color w:val="auto"/>
                <w:sz w:val="20"/>
                <w:szCs w:val="20"/>
              </w:rPr>
            </w:pPr>
            <w:r w:rsidRPr="00E263F4">
              <w:rPr>
                <w:color w:val="auto"/>
                <w:sz w:val="20"/>
                <w:szCs w:val="20"/>
              </w:rPr>
              <w:t>2</w:t>
            </w:r>
          </w:p>
        </w:tc>
        <w:tc>
          <w:tcPr>
            <w:tcW w:w="658" w:type="pct"/>
            <w:gridSpan w:val="2"/>
            <w:tcBorders>
              <w:top w:val="nil"/>
              <w:left w:val="nil"/>
              <w:bottom w:val="single" w:sz="4" w:space="0" w:color="auto"/>
              <w:right w:val="single" w:sz="4" w:space="0" w:color="auto"/>
            </w:tcBorders>
            <w:shd w:val="clear" w:color="auto" w:fill="auto"/>
            <w:noWrap/>
            <w:vAlign w:val="bottom"/>
          </w:tcPr>
          <w:p w14:paraId="7B3343FF" w14:textId="246F4F72" w:rsidR="00E263F4" w:rsidRPr="00E263F4" w:rsidRDefault="00E263F4" w:rsidP="00E263F4">
            <w:pPr>
              <w:spacing w:before="0" w:after="0" w:line="240" w:lineRule="auto"/>
              <w:jc w:val="center"/>
              <w:rPr>
                <w:color w:val="auto"/>
                <w:sz w:val="20"/>
                <w:szCs w:val="20"/>
              </w:rPr>
            </w:pPr>
            <w:r w:rsidRPr="00E263F4">
              <w:rPr>
                <w:color w:val="000000"/>
                <w:sz w:val="22"/>
                <w:szCs w:val="22"/>
              </w:rPr>
              <w:t>222</w:t>
            </w:r>
          </w:p>
        </w:tc>
        <w:tc>
          <w:tcPr>
            <w:tcW w:w="660" w:type="pct"/>
            <w:gridSpan w:val="2"/>
            <w:tcBorders>
              <w:top w:val="nil"/>
              <w:left w:val="nil"/>
              <w:bottom w:val="single" w:sz="4" w:space="0" w:color="auto"/>
              <w:right w:val="single" w:sz="4" w:space="0" w:color="auto"/>
            </w:tcBorders>
            <w:shd w:val="clear" w:color="auto" w:fill="auto"/>
            <w:noWrap/>
            <w:vAlign w:val="bottom"/>
          </w:tcPr>
          <w:p w14:paraId="78C47E7A" w14:textId="5D477EA9" w:rsidR="00E263F4" w:rsidRPr="00E263F4" w:rsidRDefault="00E263F4" w:rsidP="00E263F4">
            <w:pPr>
              <w:spacing w:before="0" w:after="0" w:line="240" w:lineRule="auto"/>
              <w:jc w:val="center"/>
              <w:rPr>
                <w:color w:val="auto"/>
                <w:sz w:val="20"/>
                <w:szCs w:val="20"/>
              </w:rPr>
            </w:pPr>
            <w:r w:rsidRPr="00E263F4">
              <w:rPr>
                <w:color w:val="000000"/>
                <w:sz w:val="22"/>
                <w:szCs w:val="22"/>
              </w:rPr>
              <w:t>232</w:t>
            </w:r>
          </w:p>
        </w:tc>
        <w:tc>
          <w:tcPr>
            <w:tcW w:w="540" w:type="pct"/>
            <w:tcBorders>
              <w:top w:val="nil"/>
              <w:left w:val="nil"/>
              <w:bottom w:val="single" w:sz="4" w:space="0" w:color="auto"/>
              <w:right w:val="single" w:sz="4" w:space="0" w:color="auto"/>
            </w:tcBorders>
            <w:shd w:val="clear" w:color="auto" w:fill="auto"/>
            <w:noWrap/>
            <w:vAlign w:val="bottom"/>
          </w:tcPr>
          <w:p w14:paraId="2534FD71" w14:textId="1AD306B8" w:rsidR="00E263F4" w:rsidRPr="00E263F4" w:rsidRDefault="00E263F4" w:rsidP="00E263F4">
            <w:pPr>
              <w:spacing w:before="0" w:after="0" w:line="240" w:lineRule="auto"/>
              <w:jc w:val="center"/>
              <w:rPr>
                <w:color w:val="auto"/>
                <w:sz w:val="20"/>
                <w:szCs w:val="20"/>
              </w:rPr>
            </w:pPr>
            <w:r w:rsidRPr="00E263F4">
              <w:rPr>
                <w:color w:val="000000"/>
                <w:sz w:val="22"/>
                <w:szCs w:val="22"/>
              </w:rPr>
              <w:t>180</w:t>
            </w:r>
          </w:p>
        </w:tc>
        <w:tc>
          <w:tcPr>
            <w:tcW w:w="553" w:type="pct"/>
            <w:gridSpan w:val="2"/>
            <w:tcBorders>
              <w:top w:val="nil"/>
              <w:left w:val="nil"/>
              <w:bottom w:val="single" w:sz="4" w:space="0" w:color="auto"/>
              <w:right w:val="single" w:sz="4" w:space="0" w:color="auto"/>
            </w:tcBorders>
            <w:shd w:val="clear" w:color="auto" w:fill="auto"/>
            <w:noWrap/>
            <w:vAlign w:val="bottom"/>
          </w:tcPr>
          <w:p w14:paraId="7CEB99E9" w14:textId="2CB574D8" w:rsidR="00E263F4" w:rsidRPr="00E263F4" w:rsidRDefault="00E263F4" w:rsidP="00E263F4">
            <w:pPr>
              <w:spacing w:before="0" w:after="0" w:line="240" w:lineRule="auto"/>
              <w:jc w:val="center"/>
              <w:rPr>
                <w:color w:val="auto"/>
                <w:sz w:val="20"/>
                <w:szCs w:val="20"/>
              </w:rPr>
            </w:pPr>
            <w:r w:rsidRPr="00E263F4">
              <w:rPr>
                <w:color w:val="000000"/>
                <w:sz w:val="22"/>
                <w:szCs w:val="22"/>
              </w:rPr>
              <w:t>101</w:t>
            </w:r>
          </w:p>
        </w:tc>
        <w:tc>
          <w:tcPr>
            <w:tcW w:w="697" w:type="pct"/>
            <w:gridSpan w:val="2"/>
            <w:tcBorders>
              <w:top w:val="nil"/>
              <w:left w:val="nil"/>
              <w:bottom w:val="single" w:sz="4" w:space="0" w:color="auto"/>
              <w:right w:val="single" w:sz="4" w:space="0" w:color="auto"/>
            </w:tcBorders>
            <w:shd w:val="clear" w:color="auto" w:fill="auto"/>
            <w:noWrap/>
            <w:vAlign w:val="bottom"/>
          </w:tcPr>
          <w:p w14:paraId="757C72E2" w14:textId="48505E8E" w:rsidR="00E263F4" w:rsidRPr="00E263F4" w:rsidRDefault="00E263F4" w:rsidP="00E263F4">
            <w:pPr>
              <w:spacing w:before="0" w:after="0" w:line="240" w:lineRule="auto"/>
              <w:jc w:val="center"/>
              <w:rPr>
                <w:color w:val="auto"/>
                <w:sz w:val="20"/>
                <w:szCs w:val="20"/>
              </w:rPr>
            </w:pPr>
            <w:r w:rsidRPr="00E263F4">
              <w:rPr>
                <w:color w:val="000000"/>
                <w:sz w:val="22"/>
                <w:szCs w:val="22"/>
              </w:rPr>
              <w:t>164</w:t>
            </w:r>
          </w:p>
        </w:tc>
        <w:tc>
          <w:tcPr>
            <w:tcW w:w="690" w:type="pct"/>
            <w:gridSpan w:val="2"/>
            <w:tcBorders>
              <w:top w:val="nil"/>
              <w:left w:val="nil"/>
              <w:bottom w:val="single" w:sz="4" w:space="0" w:color="auto"/>
              <w:right w:val="single" w:sz="4" w:space="0" w:color="auto"/>
            </w:tcBorders>
            <w:shd w:val="clear" w:color="auto" w:fill="auto"/>
            <w:noWrap/>
            <w:vAlign w:val="bottom"/>
          </w:tcPr>
          <w:p w14:paraId="42503007" w14:textId="4E48507E" w:rsidR="00E263F4" w:rsidRPr="00E263F4" w:rsidRDefault="00E263F4" w:rsidP="00E263F4">
            <w:pPr>
              <w:spacing w:before="0" w:after="0" w:line="240" w:lineRule="auto"/>
              <w:jc w:val="center"/>
              <w:rPr>
                <w:color w:val="auto"/>
                <w:sz w:val="20"/>
                <w:szCs w:val="20"/>
              </w:rPr>
            </w:pPr>
            <w:r w:rsidRPr="00E263F4">
              <w:rPr>
                <w:color w:val="000000"/>
                <w:sz w:val="22"/>
                <w:szCs w:val="22"/>
              </w:rPr>
              <w:t>213</w:t>
            </w:r>
          </w:p>
        </w:tc>
      </w:tr>
      <w:tr w:rsidR="00E263F4" w:rsidRPr="00E263F4" w14:paraId="24480E8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355C36A" w14:textId="77777777" w:rsidR="00E263F4" w:rsidRPr="00E263F4" w:rsidRDefault="00E263F4" w:rsidP="00E263F4">
            <w:pPr>
              <w:spacing w:before="0" w:after="0" w:line="240" w:lineRule="auto"/>
              <w:rPr>
                <w:color w:val="auto"/>
                <w:sz w:val="20"/>
                <w:szCs w:val="20"/>
              </w:rPr>
            </w:pPr>
            <w:r w:rsidRPr="00E263F4">
              <w:rPr>
                <w:color w:val="auto"/>
                <w:sz w:val="20"/>
                <w:szCs w:val="20"/>
              </w:rPr>
              <w:t>3</w:t>
            </w:r>
          </w:p>
        </w:tc>
        <w:tc>
          <w:tcPr>
            <w:tcW w:w="658" w:type="pct"/>
            <w:gridSpan w:val="2"/>
            <w:tcBorders>
              <w:top w:val="nil"/>
              <w:left w:val="nil"/>
              <w:bottom w:val="single" w:sz="4" w:space="0" w:color="auto"/>
              <w:right w:val="single" w:sz="4" w:space="0" w:color="auto"/>
            </w:tcBorders>
            <w:shd w:val="clear" w:color="auto" w:fill="auto"/>
            <w:noWrap/>
            <w:vAlign w:val="bottom"/>
          </w:tcPr>
          <w:p w14:paraId="5C367D51" w14:textId="4744C29F" w:rsidR="00E263F4" w:rsidRPr="00E263F4" w:rsidRDefault="00E263F4" w:rsidP="00E263F4">
            <w:pPr>
              <w:spacing w:before="0" w:after="0" w:line="240" w:lineRule="auto"/>
              <w:jc w:val="center"/>
              <w:rPr>
                <w:color w:val="auto"/>
                <w:sz w:val="20"/>
                <w:szCs w:val="20"/>
              </w:rPr>
            </w:pPr>
            <w:r w:rsidRPr="00E263F4">
              <w:rPr>
                <w:color w:val="000000"/>
                <w:sz w:val="22"/>
                <w:szCs w:val="22"/>
              </w:rPr>
              <w:t>391</w:t>
            </w:r>
          </w:p>
        </w:tc>
        <w:tc>
          <w:tcPr>
            <w:tcW w:w="660" w:type="pct"/>
            <w:gridSpan w:val="2"/>
            <w:tcBorders>
              <w:top w:val="nil"/>
              <w:left w:val="nil"/>
              <w:bottom w:val="single" w:sz="4" w:space="0" w:color="auto"/>
              <w:right w:val="single" w:sz="4" w:space="0" w:color="auto"/>
            </w:tcBorders>
            <w:shd w:val="clear" w:color="auto" w:fill="auto"/>
            <w:noWrap/>
            <w:vAlign w:val="bottom"/>
          </w:tcPr>
          <w:p w14:paraId="31727507" w14:textId="33EB273A" w:rsidR="00E263F4" w:rsidRPr="00E263F4" w:rsidRDefault="00E263F4" w:rsidP="00E263F4">
            <w:pPr>
              <w:spacing w:before="0" w:after="0" w:line="240" w:lineRule="auto"/>
              <w:jc w:val="center"/>
              <w:rPr>
                <w:color w:val="auto"/>
                <w:sz w:val="20"/>
                <w:szCs w:val="20"/>
              </w:rPr>
            </w:pPr>
            <w:r w:rsidRPr="00E263F4">
              <w:rPr>
                <w:color w:val="000000"/>
                <w:sz w:val="22"/>
                <w:szCs w:val="22"/>
              </w:rPr>
              <w:t>327</w:t>
            </w:r>
          </w:p>
        </w:tc>
        <w:tc>
          <w:tcPr>
            <w:tcW w:w="540" w:type="pct"/>
            <w:tcBorders>
              <w:top w:val="nil"/>
              <w:left w:val="nil"/>
              <w:bottom w:val="single" w:sz="4" w:space="0" w:color="auto"/>
              <w:right w:val="single" w:sz="4" w:space="0" w:color="auto"/>
            </w:tcBorders>
            <w:shd w:val="clear" w:color="auto" w:fill="auto"/>
            <w:noWrap/>
            <w:vAlign w:val="bottom"/>
          </w:tcPr>
          <w:p w14:paraId="0F0056E7" w14:textId="5F4CB143" w:rsidR="00E263F4" w:rsidRPr="00E263F4" w:rsidRDefault="00E263F4" w:rsidP="00E263F4">
            <w:pPr>
              <w:spacing w:before="0" w:after="0" w:line="240" w:lineRule="auto"/>
              <w:jc w:val="center"/>
              <w:rPr>
                <w:color w:val="auto"/>
                <w:sz w:val="20"/>
                <w:szCs w:val="20"/>
              </w:rPr>
            </w:pPr>
            <w:r w:rsidRPr="00E263F4">
              <w:rPr>
                <w:color w:val="000000"/>
                <w:sz w:val="22"/>
                <w:szCs w:val="22"/>
              </w:rPr>
              <w:t>239</w:t>
            </w:r>
          </w:p>
        </w:tc>
        <w:tc>
          <w:tcPr>
            <w:tcW w:w="553" w:type="pct"/>
            <w:gridSpan w:val="2"/>
            <w:tcBorders>
              <w:top w:val="nil"/>
              <w:left w:val="nil"/>
              <w:bottom w:val="single" w:sz="4" w:space="0" w:color="auto"/>
              <w:right w:val="single" w:sz="4" w:space="0" w:color="auto"/>
            </w:tcBorders>
            <w:shd w:val="clear" w:color="auto" w:fill="auto"/>
            <w:noWrap/>
            <w:vAlign w:val="bottom"/>
          </w:tcPr>
          <w:p w14:paraId="1B1288BA" w14:textId="1C394556" w:rsidR="00E263F4" w:rsidRPr="00E263F4" w:rsidRDefault="00E263F4" w:rsidP="00E263F4">
            <w:pPr>
              <w:spacing w:before="0" w:after="0" w:line="240" w:lineRule="auto"/>
              <w:jc w:val="center"/>
              <w:rPr>
                <w:color w:val="auto"/>
                <w:sz w:val="20"/>
                <w:szCs w:val="20"/>
              </w:rPr>
            </w:pPr>
            <w:r w:rsidRPr="00E263F4">
              <w:rPr>
                <w:color w:val="000000"/>
                <w:sz w:val="22"/>
                <w:szCs w:val="22"/>
              </w:rPr>
              <w:t>222</w:t>
            </w:r>
          </w:p>
        </w:tc>
        <w:tc>
          <w:tcPr>
            <w:tcW w:w="697" w:type="pct"/>
            <w:gridSpan w:val="2"/>
            <w:tcBorders>
              <w:top w:val="nil"/>
              <w:left w:val="nil"/>
              <w:bottom w:val="single" w:sz="4" w:space="0" w:color="auto"/>
              <w:right w:val="single" w:sz="4" w:space="0" w:color="auto"/>
            </w:tcBorders>
            <w:shd w:val="clear" w:color="auto" w:fill="auto"/>
            <w:noWrap/>
            <w:vAlign w:val="bottom"/>
          </w:tcPr>
          <w:p w14:paraId="311412E0" w14:textId="5C25C098" w:rsidR="00E263F4" w:rsidRPr="00E263F4" w:rsidRDefault="00E263F4" w:rsidP="00E263F4">
            <w:pPr>
              <w:spacing w:before="0" w:after="0" w:line="240" w:lineRule="auto"/>
              <w:jc w:val="center"/>
              <w:rPr>
                <w:color w:val="auto"/>
                <w:sz w:val="20"/>
                <w:szCs w:val="20"/>
              </w:rPr>
            </w:pPr>
            <w:r w:rsidRPr="00E263F4">
              <w:rPr>
                <w:color w:val="000000"/>
                <w:sz w:val="22"/>
                <w:szCs w:val="22"/>
              </w:rPr>
              <w:t>245</w:t>
            </w:r>
          </w:p>
        </w:tc>
        <w:tc>
          <w:tcPr>
            <w:tcW w:w="690" w:type="pct"/>
            <w:gridSpan w:val="2"/>
            <w:tcBorders>
              <w:top w:val="nil"/>
              <w:left w:val="nil"/>
              <w:bottom w:val="single" w:sz="4" w:space="0" w:color="auto"/>
              <w:right w:val="single" w:sz="4" w:space="0" w:color="auto"/>
            </w:tcBorders>
            <w:shd w:val="clear" w:color="auto" w:fill="auto"/>
            <w:noWrap/>
            <w:vAlign w:val="bottom"/>
          </w:tcPr>
          <w:p w14:paraId="6A24E3E7" w14:textId="2F5A6495" w:rsidR="00E263F4" w:rsidRPr="00E263F4" w:rsidRDefault="00E263F4" w:rsidP="00E263F4">
            <w:pPr>
              <w:spacing w:before="0" w:after="0" w:line="240" w:lineRule="auto"/>
              <w:jc w:val="center"/>
              <w:rPr>
                <w:color w:val="auto"/>
                <w:sz w:val="20"/>
                <w:szCs w:val="20"/>
              </w:rPr>
            </w:pPr>
            <w:r w:rsidRPr="00E263F4">
              <w:rPr>
                <w:color w:val="000000"/>
                <w:sz w:val="22"/>
                <w:szCs w:val="22"/>
              </w:rPr>
              <w:t>286</w:t>
            </w:r>
          </w:p>
        </w:tc>
      </w:tr>
      <w:tr w:rsidR="00E263F4" w:rsidRPr="00E263F4" w14:paraId="191150F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B622350" w14:textId="77777777" w:rsidR="00E263F4" w:rsidRPr="00E263F4" w:rsidRDefault="00E263F4" w:rsidP="00E263F4">
            <w:pPr>
              <w:spacing w:before="0" w:after="0" w:line="240" w:lineRule="auto"/>
              <w:rPr>
                <w:color w:val="auto"/>
                <w:sz w:val="20"/>
                <w:szCs w:val="20"/>
              </w:rPr>
            </w:pPr>
            <w:r w:rsidRPr="00E263F4">
              <w:rPr>
                <w:color w:val="auto"/>
                <w:sz w:val="20"/>
                <w:szCs w:val="20"/>
              </w:rPr>
              <w:t>4</w:t>
            </w:r>
          </w:p>
        </w:tc>
        <w:tc>
          <w:tcPr>
            <w:tcW w:w="658" w:type="pct"/>
            <w:gridSpan w:val="2"/>
            <w:tcBorders>
              <w:top w:val="nil"/>
              <w:left w:val="nil"/>
              <w:bottom w:val="single" w:sz="4" w:space="0" w:color="auto"/>
              <w:right w:val="single" w:sz="4" w:space="0" w:color="auto"/>
            </w:tcBorders>
            <w:shd w:val="clear" w:color="auto" w:fill="auto"/>
            <w:noWrap/>
            <w:vAlign w:val="bottom"/>
          </w:tcPr>
          <w:p w14:paraId="7EF19ED5" w14:textId="39D1680B" w:rsidR="00E263F4" w:rsidRPr="00E263F4" w:rsidRDefault="00E263F4" w:rsidP="00E263F4">
            <w:pPr>
              <w:spacing w:before="0" w:after="0" w:line="240" w:lineRule="auto"/>
              <w:jc w:val="center"/>
              <w:rPr>
                <w:color w:val="auto"/>
                <w:sz w:val="20"/>
                <w:szCs w:val="20"/>
              </w:rPr>
            </w:pPr>
            <w:r w:rsidRPr="00E263F4">
              <w:rPr>
                <w:color w:val="000000"/>
                <w:sz w:val="22"/>
                <w:szCs w:val="22"/>
              </w:rPr>
              <w:t>267</w:t>
            </w:r>
          </w:p>
        </w:tc>
        <w:tc>
          <w:tcPr>
            <w:tcW w:w="660" w:type="pct"/>
            <w:gridSpan w:val="2"/>
            <w:tcBorders>
              <w:top w:val="nil"/>
              <w:left w:val="nil"/>
              <w:bottom w:val="single" w:sz="4" w:space="0" w:color="auto"/>
              <w:right w:val="single" w:sz="4" w:space="0" w:color="auto"/>
            </w:tcBorders>
            <w:shd w:val="clear" w:color="auto" w:fill="auto"/>
            <w:noWrap/>
            <w:vAlign w:val="bottom"/>
          </w:tcPr>
          <w:p w14:paraId="16674B71" w14:textId="31914583" w:rsidR="00E263F4" w:rsidRPr="00E263F4" w:rsidRDefault="00E263F4" w:rsidP="00E263F4">
            <w:pPr>
              <w:spacing w:before="0" w:after="0" w:line="240" w:lineRule="auto"/>
              <w:jc w:val="center"/>
              <w:rPr>
                <w:color w:val="auto"/>
                <w:sz w:val="20"/>
                <w:szCs w:val="20"/>
              </w:rPr>
            </w:pPr>
            <w:r w:rsidRPr="00E263F4">
              <w:rPr>
                <w:color w:val="000000"/>
                <w:sz w:val="22"/>
                <w:szCs w:val="22"/>
              </w:rPr>
              <w:t>209</w:t>
            </w:r>
          </w:p>
        </w:tc>
        <w:tc>
          <w:tcPr>
            <w:tcW w:w="540" w:type="pct"/>
            <w:tcBorders>
              <w:top w:val="nil"/>
              <w:left w:val="nil"/>
              <w:bottom w:val="single" w:sz="4" w:space="0" w:color="auto"/>
              <w:right w:val="single" w:sz="4" w:space="0" w:color="auto"/>
            </w:tcBorders>
            <w:shd w:val="clear" w:color="auto" w:fill="auto"/>
            <w:noWrap/>
            <w:vAlign w:val="bottom"/>
          </w:tcPr>
          <w:p w14:paraId="13C5DD7C" w14:textId="2D24926D" w:rsidR="00E263F4" w:rsidRPr="00E263F4" w:rsidRDefault="00E263F4" w:rsidP="00E263F4">
            <w:pPr>
              <w:spacing w:before="0" w:after="0" w:line="240" w:lineRule="auto"/>
              <w:jc w:val="center"/>
              <w:rPr>
                <w:color w:val="auto"/>
                <w:sz w:val="20"/>
                <w:szCs w:val="20"/>
              </w:rPr>
            </w:pPr>
            <w:r w:rsidRPr="00E263F4">
              <w:rPr>
                <w:color w:val="000000"/>
                <w:sz w:val="22"/>
                <w:szCs w:val="22"/>
              </w:rPr>
              <w:t>194</w:t>
            </w:r>
          </w:p>
        </w:tc>
        <w:tc>
          <w:tcPr>
            <w:tcW w:w="553" w:type="pct"/>
            <w:gridSpan w:val="2"/>
            <w:tcBorders>
              <w:top w:val="nil"/>
              <w:left w:val="nil"/>
              <w:bottom w:val="single" w:sz="4" w:space="0" w:color="auto"/>
              <w:right w:val="single" w:sz="4" w:space="0" w:color="auto"/>
            </w:tcBorders>
            <w:shd w:val="clear" w:color="auto" w:fill="auto"/>
            <w:noWrap/>
            <w:vAlign w:val="bottom"/>
          </w:tcPr>
          <w:p w14:paraId="28CE90B3" w14:textId="6F121F49" w:rsidR="00E263F4" w:rsidRPr="00E263F4" w:rsidRDefault="00E263F4" w:rsidP="00E263F4">
            <w:pPr>
              <w:spacing w:before="0" w:after="0" w:line="240" w:lineRule="auto"/>
              <w:jc w:val="center"/>
              <w:rPr>
                <w:color w:val="auto"/>
                <w:sz w:val="20"/>
                <w:szCs w:val="20"/>
              </w:rPr>
            </w:pPr>
            <w:r w:rsidRPr="00E263F4">
              <w:rPr>
                <w:color w:val="000000"/>
                <w:sz w:val="22"/>
                <w:szCs w:val="22"/>
              </w:rPr>
              <w:t>191</w:t>
            </w:r>
          </w:p>
        </w:tc>
        <w:tc>
          <w:tcPr>
            <w:tcW w:w="697" w:type="pct"/>
            <w:gridSpan w:val="2"/>
            <w:tcBorders>
              <w:top w:val="nil"/>
              <w:left w:val="nil"/>
              <w:bottom w:val="single" w:sz="4" w:space="0" w:color="auto"/>
              <w:right w:val="single" w:sz="4" w:space="0" w:color="auto"/>
            </w:tcBorders>
            <w:shd w:val="clear" w:color="auto" w:fill="auto"/>
            <w:noWrap/>
            <w:vAlign w:val="bottom"/>
          </w:tcPr>
          <w:p w14:paraId="1791F4C7" w14:textId="25471C7F" w:rsidR="00E263F4" w:rsidRPr="00E263F4" w:rsidRDefault="00E263F4" w:rsidP="00E263F4">
            <w:pPr>
              <w:spacing w:before="0" w:after="0" w:line="240" w:lineRule="auto"/>
              <w:jc w:val="center"/>
              <w:rPr>
                <w:color w:val="auto"/>
                <w:sz w:val="20"/>
                <w:szCs w:val="20"/>
              </w:rPr>
            </w:pPr>
            <w:r w:rsidRPr="00E263F4">
              <w:rPr>
                <w:color w:val="000000"/>
                <w:sz w:val="22"/>
                <w:szCs w:val="22"/>
              </w:rPr>
              <w:t>287</w:t>
            </w:r>
          </w:p>
        </w:tc>
        <w:tc>
          <w:tcPr>
            <w:tcW w:w="690" w:type="pct"/>
            <w:gridSpan w:val="2"/>
            <w:tcBorders>
              <w:top w:val="nil"/>
              <w:left w:val="nil"/>
              <w:bottom w:val="single" w:sz="4" w:space="0" w:color="auto"/>
              <w:right w:val="single" w:sz="4" w:space="0" w:color="auto"/>
            </w:tcBorders>
            <w:shd w:val="clear" w:color="auto" w:fill="auto"/>
            <w:noWrap/>
            <w:vAlign w:val="bottom"/>
          </w:tcPr>
          <w:p w14:paraId="55683049" w14:textId="341CFA0C" w:rsidR="00E263F4" w:rsidRPr="00E263F4" w:rsidRDefault="00E263F4" w:rsidP="00E263F4">
            <w:pPr>
              <w:spacing w:before="0" w:after="0" w:line="240" w:lineRule="auto"/>
              <w:jc w:val="center"/>
              <w:rPr>
                <w:color w:val="auto"/>
                <w:sz w:val="20"/>
                <w:szCs w:val="20"/>
              </w:rPr>
            </w:pPr>
            <w:r w:rsidRPr="00E263F4">
              <w:rPr>
                <w:color w:val="000000"/>
                <w:sz w:val="22"/>
                <w:szCs w:val="22"/>
              </w:rPr>
              <w:t>328</w:t>
            </w:r>
          </w:p>
        </w:tc>
      </w:tr>
      <w:tr w:rsidR="00E263F4" w:rsidRPr="00E263F4" w14:paraId="66B12F6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85CC60A" w14:textId="77777777" w:rsidR="00E263F4" w:rsidRPr="00E263F4" w:rsidRDefault="00E263F4" w:rsidP="00E263F4">
            <w:pPr>
              <w:spacing w:before="0" w:after="0" w:line="240" w:lineRule="auto"/>
              <w:rPr>
                <w:color w:val="auto"/>
                <w:sz w:val="20"/>
                <w:szCs w:val="20"/>
              </w:rPr>
            </w:pPr>
            <w:r w:rsidRPr="00E263F4">
              <w:rPr>
                <w:color w:val="auto"/>
                <w:sz w:val="20"/>
                <w:szCs w:val="20"/>
              </w:rPr>
              <w:t>5</w:t>
            </w:r>
          </w:p>
        </w:tc>
        <w:tc>
          <w:tcPr>
            <w:tcW w:w="658" w:type="pct"/>
            <w:gridSpan w:val="2"/>
            <w:tcBorders>
              <w:top w:val="nil"/>
              <w:left w:val="nil"/>
              <w:bottom w:val="single" w:sz="4" w:space="0" w:color="auto"/>
              <w:right w:val="single" w:sz="4" w:space="0" w:color="auto"/>
            </w:tcBorders>
            <w:shd w:val="clear" w:color="auto" w:fill="auto"/>
            <w:noWrap/>
            <w:vAlign w:val="bottom"/>
          </w:tcPr>
          <w:p w14:paraId="2A263617" w14:textId="56B163E4" w:rsidR="00E263F4" w:rsidRPr="00E263F4" w:rsidRDefault="00E263F4" w:rsidP="00E263F4">
            <w:pPr>
              <w:spacing w:before="0" w:after="0" w:line="240" w:lineRule="auto"/>
              <w:jc w:val="center"/>
              <w:rPr>
                <w:color w:val="auto"/>
                <w:sz w:val="20"/>
                <w:szCs w:val="20"/>
              </w:rPr>
            </w:pPr>
            <w:r w:rsidRPr="00E263F4">
              <w:rPr>
                <w:color w:val="000000"/>
                <w:sz w:val="22"/>
                <w:szCs w:val="22"/>
              </w:rPr>
              <w:t>242</w:t>
            </w:r>
          </w:p>
        </w:tc>
        <w:tc>
          <w:tcPr>
            <w:tcW w:w="660" w:type="pct"/>
            <w:gridSpan w:val="2"/>
            <w:tcBorders>
              <w:top w:val="nil"/>
              <w:left w:val="nil"/>
              <w:bottom w:val="single" w:sz="4" w:space="0" w:color="auto"/>
              <w:right w:val="single" w:sz="4" w:space="0" w:color="auto"/>
            </w:tcBorders>
            <w:shd w:val="clear" w:color="auto" w:fill="auto"/>
            <w:noWrap/>
            <w:vAlign w:val="bottom"/>
          </w:tcPr>
          <w:p w14:paraId="16F5DCA3" w14:textId="6E52113E" w:rsidR="00E263F4" w:rsidRPr="00E263F4" w:rsidRDefault="00E263F4" w:rsidP="00E263F4">
            <w:pPr>
              <w:spacing w:before="0" w:after="0" w:line="240" w:lineRule="auto"/>
              <w:jc w:val="center"/>
              <w:rPr>
                <w:color w:val="auto"/>
                <w:sz w:val="20"/>
                <w:szCs w:val="20"/>
              </w:rPr>
            </w:pPr>
            <w:r w:rsidRPr="00E263F4">
              <w:rPr>
                <w:color w:val="000000"/>
                <w:sz w:val="22"/>
                <w:szCs w:val="22"/>
              </w:rPr>
              <w:t>227</w:t>
            </w:r>
          </w:p>
        </w:tc>
        <w:tc>
          <w:tcPr>
            <w:tcW w:w="540" w:type="pct"/>
            <w:tcBorders>
              <w:top w:val="nil"/>
              <w:left w:val="nil"/>
              <w:bottom w:val="single" w:sz="4" w:space="0" w:color="auto"/>
              <w:right w:val="single" w:sz="4" w:space="0" w:color="auto"/>
            </w:tcBorders>
            <w:shd w:val="clear" w:color="auto" w:fill="auto"/>
            <w:noWrap/>
            <w:vAlign w:val="bottom"/>
          </w:tcPr>
          <w:p w14:paraId="711E093E" w14:textId="5D6C7B8C" w:rsidR="00E263F4" w:rsidRPr="00E263F4" w:rsidRDefault="00E263F4" w:rsidP="00E263F4">
            <w:pPr>
              <w:spacing w:before="0" w:after="0" w:line="240" w:lineRule="auto"/>
              <w:jc w:val="center"/>
              <w:rPr>
                <w:color w:val="auto"/>
                <w:sz w:val="20"/>
                <w:szCs w:val="20"/>
              </w:rPr>
            </w:pPr>
            <w:r w:rsidRPr="00E263F4">
              <w:rPr>
                <w:color w:val="000000"/>
                <w:sz w:val="22"/>
                <w:szCs w:val="22"/>
              </w:rPr>
              <w:t>132</w:t>
            </w:r>
          </w:p>
        </w:tc>
        <w:tc>
          <w:tcPr>
            <w:tcW w:w="553" w:type="pct"/>
            <w:gridSpan w:val="2"/>
            <w:tcBorders>
              <w:top w:val="nil"/>
              <w:left w:val="nil"/>
              <w:bottom w:val="single" w:sz="4" w:space="0" w:color="auto"/>
              <w:right w:val="single" w:sz="4" w:space="0" w:color="auto"/>
            </w:tcBorders>
            <w:shd w:val="clear" w:color="auto" w:fill="auto"/>
            <w:noWrap/>
            <w:vAlign w:val="bottom"/>
          </w:tcPr>
          <w:p w14:paraId="285579EC" w14:textId="25CC85CC" w:rsidR="00E263F4" w:rsidRPr="00E263F4" w:rsidRDefault="00E263F4" w:rsidP="00E263F4">
            <w:pPr>
              <w:spacing w:before="0" w:after="0" w:line="240" w:lineRule="auto"/>
              <w:jc w:val="center"/>
              <w:rPr>
                <w:color w:val="auto"/>
                <w:sz w:val="20"/>
                <w:szCs w:val="20"/>
              </w:rPr>
            </w:pPr>
            <w:r w:rsidRPr="00E263F4">
              <w:rPr>
                <w:color w:val="000000"/>
                <w:sz w:val="22"/>
                <w:szCs w:val="22"/>
              </w:rPr>
              <w:t>162</w:t>
            </w:r>
          </w:p>
        </w:tc>
        <w:tc>
          <w:tcPr>
            <w:tcW w:w="697" w:type="pct"/>
            <w:gridSpan w:val="2"/>
            <w:tcBorders>
              <w:top w:val="nil"/>
              <w:left w:val="nil"/>
              <w:bottom w:val="single" w:sz="4" w:space="0" w:color="auto"/>
              <w:right w:val="single" w:sz="4" w:space="0" w:color="auto"/>
            </w:tcBorders>
            <w:shd w:val="clear" w:color="auto" w:fill="auto"/>
            <w:noWrap/>
            <w:vAlign w:val="bottom"/>
          </w:tcPr>
          <w:p w14:paraId="723329E0" w14:textId="3235B814" w:rsidR="00E263F4" w:rsidRPr="00E263F4" w:rsidRDefault="00E263F4" w:rsidP="00E263F4">
            <w:pPr>
              <w:spacing w:before="0" w:after="0" w:line="240" w:lineRule="auto"/>
              <w:jc w:val="center"/>
              <w:rPr>
                <w:color w:val="auto"/>
                <w:sz w:val="20"/>
                <w:szCs w:val="20"/>
              </w:rPr>
            </w:pPr>
            <w:r w:rsidRPr="00E263F4">
              <w:rPr>
                <w:color w:val="000000"/>
                <w:sz w:val="22"/>
                <w:szCs w:val="22"/>
              </w:rPr>
              <w:t>163</w:t>
            </w:r>
          </w:p>
        </w:tc>
        <w:tc>
          <w:tcPr>
            <w:tcW w:w="690" w:type="pct"/>
            <w:gridSpan w:val="2"/>
            <w:tcBorders>
              <w:top w:val="nil"/>
              <w:left w:val="nil"/>
              <w:bottom w:val="single" w:sz="4" w:space="0" w:color="auto"/>
              <w:right w:val="single" w:sz="4" w:space="0" w:color="auto"/>
            </w:tcBorders>
            <w:shd w:val="clear" w:color="auto" w:fill="auto"/>
            <w:noWrap/>
            <w:vAlign w:val="bottom"/>
          </w:tcPr>
          <w:p w14:paraId="2FDA59BB" w14:textId="51E3B05B" w:rsidR="00E263F4" w:rsidRPr="00E263F4" w:rsidRDefault="00E263F4" w:rsidP="00E263F4">
            <w:pPr>
              <w:spacing w:before="0" w:after="0" w:line="240" w:lineRule="auto"/>
              <w:jc w:val="center"/>
              <w:rPr>
                <w:color w:val="auto"/>
                <w:sz w:val="20"/>
                <w:szCs w:val="20"/>
              </w:rPr>
            </w:pPr>
            <w:r w:rsidRPr="00E263F4">
              <w:rPr>
                <w:color w:val="000000"/>
                <w:sz w:val="22"/>
                <w:szCs w:val="22"/>
              </w:rPr>
              <w:t>215</w:t>
            </w:r>
          </w:p>
        </w:tc>
      </w:tr>
      <w:tr w:rsidR="00E263F4" w:rsidRPr="00E263F4" w14:paraId="5D46374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6736AEA" w14:textId="77777777" w:rsidR="00E263F4" w:rsidRPr="00E263F4" w:rsidRDefault="00E263F4" w:rsidP="00E263F4">
            <w:pPr>
              <w:spacing w:before="0" w:after="0" w:line="240" w:lineRule="auto"/>
              <w:rPr>
                <w:color w:val="auto"/>
                <w:sz w:val="20"/>
                <w:szCs w:val="20"/>
              </w:rPr>
            </w:pPr>
            <w:r w:rsidRPr="00E263F4">
              <w:rPr>
                <w:color w:val="auto"/>
                <w:sz w:val="20"/>
                <w:szCs w:val="20"/>
              </w:rPr>
              <w:t>6</w:t>
            </w:r>
          </w:p>
        </w:tc>
        <w:tc>
          <w:tcPr>
            <w:tcW w:w="658" w:type="pct"/>
            <w:gridSpan w:val="2"/>
            <w:tcBorders>
              <w:top w:val="nil"/>
              <w:left w:val="nil"/>
              <w:bottom w:val="single" w:sz="4" w:space="0" w:color="auto"/>
              <w:right w:val="single" w:sz="4" w:space="0" w:color="auto"/>
            </w:tcBorders>
            <w:shd w:val="clear" w:color="auto" w:fill="auto"/>
            <w:noWrap/>
            <w:vAlign w:val="bottom"/>
          </w:tcPr>
          <w:p w14:paraId="04D96236" w14:textId="26F16BC7" w:rsidR="00E263F4" w:rsidRPr="00E263F4" w:rsidRDefault="00E263F4" w:rsidP="00E263F4">
            <w:pPr>
              <w:spacing w:before="0" w:after="0" w:line="240" w:lineRule="auto"/>
              <w:jc w:val="center"/>
              <w:rPr>
                <w:color w:val="auto"/>
                <w:sz w:val="20"/>
                <w:szCs w:val="20"/>
              </w:rPr>
            </w:pPr>
            <w:r w:rsidRPr="00E263F4">
              <w:rPr>
                <w:color w:val="000000"/>
                <w:sz w:val="22"/>
                <w:szCs w:val="22"/>
              </w:rPr>
              <w:t>273</w:t>
            </w:r>
          </w:p>
        </w:tc>
        <w:tc>
          <w:tcPr>
            <w:tcW w:w="660" w:type="pct"/>
            <w:gridSpan w:val="2"/>
            <w:tcBorders>
              <w:top w:val="nil"/>
              <w:left w:val="nil"/>
              <w:bottom w:val="single" w:sz="4" w:space="0" w:color="auto"/>
              <w:right w:val="single" w:sz="4" w:space="0" w:color="auto"/>
            </w:tcBorders>
            <w:shd w:val="clear" w:color="auto" w:fill="auto"/>
            <w:noWrap/>
            <w:vAlign w:val="bottom"/>
          </w:tcPr>
          <w:p w14:paraId="229964DF" w14:textId="16C0672B" w:rsidR="00E263F4" w:rsidRPr="00E263F4" w:rsidRDefault="00E263F4" w:rsidP="00E263F4">
            <w:pPr>
              <w:spacing w:before="0" w:after="0" w:line="240" w:lineRule="auto"/>
              <w:jc w:val="center"/>
              <w:rPr>
                <w:color w:val="auto"/>
                <w:sz w:val="20"/>
                <w:szCs w:val="20"/>
              </w:rPr>
            </w:pPr>
            <w:r w:rsidRPr="00E263F4">
              <w:rPr>
                <w:color w:val="000000"/>
                <w:sz w:val="22"/>
                <w:szCs w:val="22"/>
              </w:rPr>
              <w:t>273</w:t>
            </w:r>
          </w:p>
        </w:tc>
        <w:tc>
          <w:tcPr>
            <w:tcW w:w="540" w:type="pct"/>
            <w:tcBorders>
              <w:top w:val="nil"/>
              <w:left w:val="nil"/>
              <w:bottom w:val="single" w:sz="4" w:space="0" w:color="auto"/>
              <w:right w:val="single" w:sz="4" w:space="0" w:color="auto"/>
            </w:tcBorders>
            <w:shd w:val="clear" w:color="auto" w:fill="auto"/>
            <w:noWrap/>
            <w:vAlign w:val="bottom"/>
          </w:tcPr>
          <w:p w14:paraId="71BF7BC7" w14:textId="6E42A719" w:rsidR="00E263F4" w:rsidRPr="00E263F4" w:rsidRDefault="00E263F4" w:rsidP="00E263F4">
            <w:pPr>
              <w:spacing w:before="0" w:after="0" w:line="240" w:lineRule="auto"/>
              <w:jc w:val="center"/>
              <w:rPr>
                <w:color w:val="auto"/>
                <w:sz w:val="20"/>
                <w:szCs w:val="20"/>
              </w:rPr>
            </w:pPr>
            <w:r w:rsidRPr="00E263F4">
              <w:rPr>
                <w:color w:val="000000"/>
                <w:sz w:val="22"/>
                <w:szCs w:val="22"/>
              </w:rPr>
              <w:t>221</w:t>
            </w:r>
          </w:p>
        </w:tc>
        <w:tc>
          <w:tcPr>
            <w:tcW w:w="553" w:type="pct"/>
            <w:gridSpan w:val="2"/>
            <w:tcBorders>
              <w:top w:val="nil"/>
              <w:left w:val="nil"/>
              <w:bottom w:val="single" w:sz="4" w:space="0" w:color="auto"/>
              <w:right w:val="single" w:sz="4" w:space="0" w:color="auto"/>
            </w:tcBorders>
            <w:shd w:val="clear" w:color="auto" w:fill="auto"/>
            <w:noWrap/>
            <w:vAlign w:val="bottom"/>
          </w:tcPr>
          <w:p w14:paraId="59FC670B" w14:textId="0E11590E" w:rsidR="00E263F4" w:rsidRPr="00E263F4" w:rsidRDefault="00E263F4" w:rsidP="00E263F4">
            <w:pPr>
              <w:spacing w:before="0" w:after="0" w:line="240" w:lineRule="auto"/>
              <w:jc w:val="center"/>
              <w:rPr>
                <w:color w:val="auto"/>
                <w:sz w:val="20"/>
                <w:szCs w:val="20"/>
              </w:rPr>
            </w:pPr>
            <w:r w:rsidRPr="00E263F4">
              <w:rPr>
                <w:color w:val="000000"/>
                <w:sz w:val="22"/>
                <w:szCs w:val="22"/>
              </w:rPr>
              <w:t>156</w:t>
            </w:r>
          </w:p>
        </w:tc>
        <w:tc>
          <w:tcPr>
            <w:tcW w:w="697" w:type="pct"/>
            <w:gridSpan w:val="2"/>
            <w:tcBorders>
              <w:top w:val="nil"/>
              <w:left w:val="nil"/>
              <w:bottom w:val="single" w:sz="4" w:space="0" w:color="auto"/>
              <w:right w:val="single" w:sz="4" w:space="0" w:color="auto"/>
            </w:tcBorders>
            <w:shd w:val="clear" w:color="auto" w:fill="auto"/>
            <w:noWrap/>
            <w:vAlign w:val="bottom"/>
          </w:tcPr>
          <w:p w14:paraId="430A049C" w14:textId="4A922203" w:rsidR="00E263F4" w:rsidRPr="00E263F4" w:rsidRDefault="00E263F4" w:rsidP="00E263F4">
            <w:pPr>
              <w:spacing w:before="0" w:after="0" w:line="240" w:lineRule="auto"/>
              <w:jc w:val="center"/>
              <w:rPr>
                <w:color w:val="auto"/>
                <w:sz w:val="20"/>
                <w:szCs w:val="20"/>
              </w:rPr>
            </w:pPr>
            <w:r w:rsidRPr="00E263F4">
              <w:rPr>
                <w:color w:val="000000"/>
                <w:sz w:val="22"/>
                <w:szCs w:val="22"/>
              </w:rPr>
              <w:t>190</w:t>
            </w:r>
          </w:p>
        </w:tc>
        <w:tc>
          <w:tcPr>
            <w:tcW w:w="690" w:type="pct"/>
            <w:gridSpan w:val="2"/>
            <w:tcBorders>
              <w:top w:val="nil"/>
              <w:left w:val="nil"/>
              <w:bottom w:val="single" w:sz="4" w:space="0" w:color="auto"/>
              <w:right w:val="single" w:sz="4" w:space="0" w:color="auto"/>
            </w:tcBorders>
            <w:shd w:val="clear" w:color="auto" w:fill="auto"/>
            <w:noWrap/>
            <w:vAlign w:val="bottom"/>
          </w:tcPr>
          <w:p w14:paraId="725FB8EC" w14:textId="632FA235" w:rsidR="00E263F4" w:rsidRPr="00E263F4" w:rsidRDefault="00E263F4" w:rsidP="00E263F4">
            <w:pPr>
              <w:spacing w:before="0" w:after="0" w:line="240" w:lineRule="auto"/>
              <w:jc w:val="center"/>
              <w:rPr>
                <w:color w:val="auto"/>
                <w:sz w:val="20"/>
                <w:szCs w:val="20"/>
              </w:rPr>
            </w:pPr>
            <w:r w:rsidRPr="00E263F4">
              <w:rPr>
                <w:color w:val="000000"/>
                <w:sz w:val="22"/>
                <w:szCs w:val="22"/>
              </w:rPr>
              <w:t>212</w:t>
            </w:r>
          </w:p>
        </w:tc>
      </w:tr>
      <w:tr w:rsidR="00E263F4" w:rsidRPr="00E263F4" w14:paraId="26BD05A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9C3C79B" w14:textId="77777777" w:rsidR="00E263F4" w:rsidRPr="00E263F4" w:rsidRDefault="00E263F4" w:rsidP="00E263F4">
            <w:pPr>
              <w:spacing w:before="0" w:after="0" w:line="240" w:lineRule="auto"/>
              <w:rPr>
                <w:color w:val="auto"/>
                <w:sz w:val="20"/>
                <w:szCs w:val="20"/>
              </w:rPr>
            </w:pPr>
            <w:r w:rsidRPr="00E263F4">
              <w:rPr>
                <w:color w:val="auto"/>
                <w:sz w:val="20"/>
                <w:szCs w:val="20"/>
              </w:rPr>
              <w:t>7</w:t>
            </w:r>
          </w:p>
        </w:tc>
        <w:tc>
          <w:tcPr>
            <w:tcW w:w="658" w:type="pct"/>
            <w:gridSpan w:val="2"/>
            <w:tcBorders>
              <w:top w:val="nil"/>
              <w:left w:val="nil"/>
              <w:bottom w:val="single" w:sz="4" w:space="0" w:color="auto"/>
              <w:right w:val="single" w:sz="4" w:space="0" w:color="auto"/>
            </w:tcBorders>
            <w:shd w:val="clear" w:color="auto" w:fill="auto"/>
            <w:noWrap/>
            <w:vAlign w:val="bottom"/>
          </w:tcPr>
          <w:p w14:paraId="16CD6837" w14:textId="356EB248" w:rsidR="00E263F4" w:rsidRPr="00E263F4" w:rsidRDefault="00E263F4" w:rsidP="00E263F4">
            <w:pPr>
              <w:spacing w:before="0" w:after="0" w:line="240" w:lineRule="auto"/>
              <w:jc w:val="center"/>
              <w:rPr>
                <w:color w:val="auto"/>
                <w:sz w:val="20"/>
                <w:szCs w:val="20"/>
              </w:rPr>
            </w:pPr>
            <w:r w:rsidRPr="00E263F4">
              <w:rPr>
                <w:color w:val="000000"/>
                <w:sz w:val="22"/>
                <w:szCs w:val="22"/>
              </w:rPr>
              <w:t>319</w:t>
            </w:r>
          </w:p>
        </w:tc>
        <w:tc>
          <w:tcPr>
            <w:tcW w:w="660" w:type="pct"/>
            <w:gridSpan w:val="2"/>
            <w:tcBorders>
              <w:top w:val="nil"/>
              <w:left w:val="nil"/>
              <w:bottom w:val="single" w:sz="4" w:space="0" w:color="auto"/>
              <w:right w:val="single" w:sz="4" w:space="0" w:color="auto"/>
            </w:tcBorders>
            <w:shd w:val="clear" w:color="auto" w:fill="auto"/>
            <w:noWrap/>
            <w:vAlign w:val="bottom"/>
          </w:tcPr>
          <w:p w14:paraId="6123D6D4" w14:textId="72BA44A0" w:rsidR="00E263F4" w:rsidRPr="00E263F4" w:rsidRDefault="00E263F4" w:rsidP="00E263F4">
            <w:pPr>
              <w:spacing w:before="0" w:after="0" w:line="240" w:lineRule="auto"/>
              <w:jc w:val="center"/>
              <w:rPr>
                <w:color w:val="auto"/>
                <w:sz w:val="20"/>
                <w:szCs w:val="20"/>
              </w:rPr>
            </w:pPr>
            <w:r w:rsidRPr="00E263F4">
              <w:rPr>
                <w:color w:val="000000"/>
                <w:sz w:val="22"/>
                <w:szCs w:val="22"/>
              </w:rPr>
              <w:t>288</w:t>
            </w:r>
          </w:p>
        </w:tc>
        <w:tc>
          <w:tcPr>
            <w:tcW w:w="540" w:type="pct"/>
            <w:tcBorders>
              <w:top w:val="nil"/>
              <w:left w:val="nil"/>
              <w:bottom w:val="single" w:sz="4" w:space="0" w:color="auto"/>
              <w:right w:val="single" w:sz="4" w:space="0" w:color="auto"/>
            </w:tcBorders>
            <w:shd w:val="clear" w:color="auto" w:fill="auto"/>
            <w:noWrap/>
            <w:vAlign w:val="bottom"/>
          </w:tcPr>
          <w:p w14:paraId="36F55C7B" w14:textId="6EE7B179" w:rsidR="00E263F4" w:rsidRPr="00E263F4" w:rsidRDefault="00E263F4" w:rsidP="00E263F4">
            <w:pPr>
              <w:spacing w:before="0" w:after="0" w:line="240" w:lineRule="auto"/>
              <w:jc w:val="center"/>
              <w:rPr>
                <w:color w:val="auto"/>
                <w:sz w:val="20"/>
                <w:szCs w:val="20"/>
              </w:rPr>
            </w:pPr>
            <w:r w:rsidRPr="00E263F4">
              <w:rPr>
                <w:color w:val="000000"/>
                <w:sz w:val="22"/>
                <w:szCs w:val="22"/>
              </w:rPr>
              <w:t>243</w:t>
            </w:r>
          </w:p>
        </w:tc>
        <w:tc>
          <w:tcPr>
            <w:tcW w:w="553" w:type="pct"/>
            <w:gridSpan w:val="2"/>
            <w:tcBorders>
              <w:top w:val="nil"/>
              <w:left w:val="nil"/>
              <w:bottom w:val="single" w:sz="4" w:space="0" w:color="auto"/>
              <w:right w:val="single" w:sz="4" w:space="0" w:color="auto"/>
            </w:tcBorders>
            <w:shd w:val="clear" w:color="auto" w:fill="auto"/>
            <w:noWrap/>
            <w:vAlign w:val="bottom"/>
          </w:tcPr>
          <w:p w14:paraId="7DE9AFE0" w14:textId="499058D5" w:rsidR="00E263F4" w:rsidRPr="00E263F4" w:rsidRDefault="00E263F4" w:rsidP="00E263F4">
            <w:pPr>
              <w:spacing w:before="0" w:after="0" w:line="240" w:lineRule="auto"/>
              <w:jc w:val="center"/>
              <w:rPr>
                <w:color w:val="auto"/>
                <w:sz w:val="20"/>
                <w:szCs w:val="20"/>
              </w:rPr>
            </w:pPr>
            <w:r w:rsidRPr="00E263F4">
              <w:rPr>
                <w:color w:val="000000"/>
                <w:sz w:val="22"/>
                <w:szCs w:val="22"/>
              </w:rPr>
              <w:t>199</w:t>
            </w:r>
          </w:p>
        </w:tc>
        <w:tc>
          <w:tcPr>
            <w:tcW w:w="697" w:type="pct"/>
            <w:gridSpan w:val="2"/>
            <w:tcBorders>
              <w:top w:val="nil"/>
              <w:left w:val="nil"/>
              <w:bottom w:val="single" w:sz="4" w:space="0" w:color="auto"/>
              <w:right w:val="single" w:sz="4" w:space="0" w:color="auto"/>
            </w:tcBorders>
            <w:shd w:val="clear" w:color="auto" w:fill="auto"/>
            <w:noWrap/>
            <w:vAlign w:val="bottom"/>
          </w:tcPr>
          <w:p w14:paraId="090D1260" w14:textId="41ACB02E" w:rsidR="00E263F4" w:rsidRPr="00E263F4" w:rsidRDefault="00E263F4" w:rsidP="00E263F4">
            <w:pPr>
              <w:spacing w:before="0" w:after="0" w:line="240" w:lineRule="auto"/>
              <w:jc w:val="center"/>
              <w:rPr>
                <w:color w:val="auto"/>
                <w:sz w:val="20"/>
                <w:szCs w:val="20"/>
              </w:rPr>
            </w:pPr>
            <w:r w:rsidRPr="00E263F4">
              <w:rPr>
                <w:color w:val="000000"/>
                <w:sz w:val="22"/>
                <w:szCs w:val="22"/>
              </w:rPr>
              <w:t>242</w:t>
            </w:r>
          </w:p>
        </w:tc>
        <w:tc>
          <w:tcPr>
            <w:tcW w:w="690" w:type="pct"/>
            <w:gridSpan w:val="2"/>
            <w:tcBorders>
              <w:top w:val="nil"/>
              <w:left w:val="nil"/>
              <w:bottom w:val="single" w:sz="4" w:space="0" w:color="auto"/>
              <w:right w:val="single" w:sz="4" w:space="0" w:color="auto"/>
            </w:tcBorders>
            <w:shd w:val="clear" w:color="auto" w:fill="auto"/>
            <w:noWrap/>
            <w:vAlign w:val="bottom"/>
          </w:tcPr>
          <w:p w14:paraId="558692DD" w14:textId="18EFB585" w:rsidR="00E263F4" w:rsidRPr="00E263F4" w:rsidRDefault="00E263F4" w:rsidP="00E263F4">
            <w:pPr>
              <w:spacing w:before="0" w:after="0" w:line="240" w:lineRule="auto"/>
              <w:jc w:val="center"/>
              <w:rPr>
                <w:color w:val="auto"/>
                <w:sz w:val="20"/>
                <w:szCs w:val="20"/>
              </w:rPr>
            </w:pPr>
            <w:r w:rsidRPr="00E263F4">
              <w:rPr>
                <w:color w:val="000000"/>
                <w:sz w:val="22"/>
                <w:szCs w:val="22"/>
              </w:rPr>
              <w:t>261</w:t>
            </w:r>
          </w:p>
        </w:tc>
      </w:tr>
      <w:tr w:rsidR="00E263F4" w:rsidRPr="00E263F4" w14:paraId="5AE24B0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C8E7138" w14:textId="77777777" w:rsidR="00E263F4" w:rsidRPr="00E263F4" w:rsidRDefault="00E263F4" w:rsidP="00E263F4">
            <w:pPr>
              <w:spacing w:before="0" w:after="0" w:line="240" w:lineRule="auto"/>
              <w:rPr>
                <w:color w:val="auto"/>
                <w:sz w:val="20"/>
                <w:szCs w:val="20"/>
              </w:rPr>
            </w:pPr>
            <w:r w:rsidRPr="00E263F4">
              <w:rPr>
                <w:color w:val="auto"/>
                <w:sz w:val="20"/>
                <w:szCs w:val="20"/>
              </w:rPr>
              <w:t>8</w:t>
            </w:r>
          </w:p>
        </w:tc>
        <w:tc>
          <w:tcPr>
            <w:tcW w:w="658" w:type="pct"/>
            <w:gridSpan w:val="2"/>
            <w:tcBorders>
              <w:top w:val="nil"/>
              <w:left w:val="nil"/>
              <w:bottom w:val="single" w:sz="4" w:space="0" w:color="auto"/>
              <w:right w:val="single" w:sz="4" w:space="0" w:color="auto"/>
            </w:tcBorders>
            <w:shd w:val="clear" w:color="auto" w:fill="auto"/>
            <w:noWrap/>
            <w:vAlign w:val="bottom"/>
          </w:tcPr>
          <w:p w14:paraId="3F9A48DC" w14:textId="3F137CDE" w:rsidR="00E263F4" w:rsidRPr="00E263F4" w:rsidRDefault="00E263F4" w:rsidP="00E263F4">
            <w:pPr>
              <w:spacing w:before="0" w:after="0" w:line="240" w:lineRule="auto"/>
              <w:jc w:val="center"/>
              <w:rPr>
                <w:color w:val="auto"/>
                <w:sz w:val="20"/>
                <w:szCs w:val="20"/>
              </w:rPr>
            </w:pPr>
            <w:r w:rsidRPr="00E263F4">
              <w:rPr>
                <w:color w:val="000000"/>
                <w:sz w:val="22"/>
                <w:szCs w:val="22"/>
              </w:rPr>
              <w:t>311</w:t>
            </w:r>
          </w:p>
        </w:tc>
        <w:tc>
          <w:tcPr>
            <w:tcW w:w="660" w:type="pct"/>
            <w:gridSpan w:val="2"/>
            <w:tcBorders>
              <w:top w:val="nil"/>
              <w:left w:val="nil"/>
              <w:bottom w:val="single" w:sz="4" w:space="0" w:color="auto"/>
              <w:right w:val="single" w:sz="4" w:space="0" w:color="auto"/>
            </w:tcBorders>
            <w:shd w:val="clear" w:color="auto" w:fill="auto"/>
            <w:noWrap/>
            <w:vAlign w:val="bottom"/>
          </w:tcPr>
          <w:p w14:paraId="1CE9FFC2" w14:textId="69AA2A69" w:rsidR="00E263F4" w:rsidRPr="00E263F4" w:rsidRDefault="00E263F4" w:rsidP="00E263F4">
            <w:pPr>
              <w:spacing w:before="0" w:after="0" w:line="240" w:lineRule="auto"/>
              <w:jc w:val="center"/>
              <w:rPr>
                <w:color w:val="auto"/>
                <w:sz w:val="20"/>
                <w:szCs w:val="20"/>
              </w:rPr>
            </w:pPr>
            <w:r w:rsidRPr="00E263F4">
              <w:rPr>
                <w:color w:val="000000"/>
                <w:sz w:val="22"/>
                <w:szCs w:val="22"/>
              </w:rPr>
              <w:t>256</w:t>
            </w:r>
          </w:p>
        </w:tc>
        <w:tc>
          <w:tcPr>
            <w:tcW w:w="540" w:type="pct"/>
            <w:tcBorders>
              <w:top w:val="nil"/>
              <w:left w:val="nil"/>
              <w:bottom w:val="single" w:sz="4" w:space="0" w:color="auto"/>
              <w:right w:val="single" w:sz="4" w:space="0" w:color="auto"/>
            </w:tcBorders>
            <w:shd w:val="clear" w:color="auto" w:fill="auto"/>
            <w:noWrap/>
            <w:vAlign w:val="bottom"/>
          </w:tcPr>
          <w:p w14:paraId="5805752A" w14:textId="4029EF36" w:rsidR="00E263F4" w:rsidRPr="00E263F4" w:rsidRDefault="00E263F4" w:rsidP="00E263F4">
            <w:pPr>
              <w:spacing w:before="0" w:after="0" w:line="240" w:lineRule="auto"/>
              <w:jc w:val="center"/>
              <w:rPr>
                <w:color w:val="auto"/>
                <w:sz w:val="20"/>
                <w:szCs w:val="20"/>
              </w:rPr>
            </w:pPr>
            <w:r w:rsidRPr="00E263F4">
              <w:rPr>
                <w:color w:val="000000"/>
                <w:sz w:val="22"/>
                <w:szCs w:val="22"/>
              </w:rPr>
              <w:t>250</w:t>
            </w:r>
          </w:p>
        </w:tc>
        <w:tc>
          <w:tcPr>
            <w:tcW w:w="553" w:type="pct"/>
            <w:gridSpan w:val="2"/>
            <w:tcBorders>
              <w:top w:val="nil"/>
              <w:left w:val="nil"/>
              <w:bottom w:val="single" w:sz="4" w:space="0" w:color="auto"/>
              <w:right w:val="single" w:sz="4" w:space="0" w:color="auto"/>
            </w:tcBorders>
            <w:shd w:val="clear" w:color="auto" w:fill="auto"/>
            <w:noWrap/>
            <w:vAlign w:val="bottom"/>
          </w:tcPr>
          <w:p w14:paraId="646CB53B" w14:textId="23CAC821" w:rsidR="00E263F4" w:rsidRPr="00E263F4" w:rsidRDefault="00E263F4" w:rsidP="00E263F4">
            <w:pPr>
              <w:spacing w:before="0" w:after="0" w:line="240" w:lineRule="auto"/>
              <w:jc w:val="center"/>
              <w:rPr>
                <w:color w:val="auto"/>
                <w:sz w:val="20"/>
                <w:szCs w:val="20"/>
              </w:rPr>
            </w:pPr>
            <w:r w:rsidRPr="00E263F4">
              <w:rPr>
                <w:color w:val="000000"/>
                <w:sz w:val="22"/>
                <w:szCs w:val="22"/>
              </w:rPr>
              <w:t>198</w:t>
            </w:r>
          </w:p>
        </w:tc>
        <w:tc>
          <w:tcPr>
            <w:tcW w:w="697" w:type="pct"/>
            <w:gridSpan w:val="2"/>
            <w:tcBorders>
              <w:top w:val="nil"/>
              <w:left w:val="nil"/>
              <w:bottom w:val="single" w:sz="4" w:space="0" w:color="auto"/>
              <w:right w:val="single" w:sz="4" w:space="0" w:color="auto"/>
            </w:tcBorders>
            <w:shd w:val="clear" w:color="auto" w:fill="auto"/>
            <w:noWrap/>
            <w:vAlign w:val="bottom"/>
          </w:tcPr>
          <w:p w14:paraId="397184A1" w14:textId="356C67D7" w:rsidR="00E263F4" w:rsidRPr="00E263F4" w:rsidRDefault="00E263F4" w:rsidP="00E263F4">
            <w:pPr>
              <w:spacing w:before="0" w:after="0" w:line="240" w:lineRule="auto"/>
              <w:jc w:val="center"/>
              <w:rPr>
                <w:color w:val="auto"/>
                <w:sz w:val="20"/>
                <w:szCs w:val="20"/>
              </w:rPr>
            </w:pPr>
            <w:r w:rsidRPr="00E263F4">
              <w:rPr>
                <w:color w:val="000000"/>
                <w:sz w:val="22"/>
                <w:szCs w:val="22"/>
              </w:rPr>
              <w:t>253</w:t>
            </w:r>
          </w:p>
        </w:tc>
        <w:tc>
          <w:tcPr>
            <w:tcW w:w="690" w:type="pct"/>
            <w:gridSpan w:val="2"/>
            <w:tcBorders>
              <w:top w:val="nil"/>
              <w:left w:val="nil"/>
              <w:bottom w:val="single" w:sz="4" w:space="0" w:color="auto"/>
              <w:right w:val="single" w:sz="4" w:space="0" w:color="auto"/>
            </w:tcBorders>
            <w:shd w:val="clear" w:color="auto" w:fill="auto"/>
            <w:noWrap/>
            <w:vAlign w:val="bottom"/>
          </w:tcPr>
          <w:p w14:paraId="52F9F96A" w14:textId="1AD87262" w:rsidR="00E263F4" w:rsidRPr="00E263F4" w:rsidRDefault="00E263F4" w:rsidP="00E263F4">
            <w:pPr>
              <w:spacing w:before="0" w:after="0" w:line="240" w:lineRule="auto"/>
              <w:jc w:val="center"/>
              <w:rPr>
                <w:color w:val="auto"/>
                <w:sz w:val="20"/>
                <w:szCs w:val="20"/>
              </w:rPr>
            </w:pPr>
            <w:r w:rsidRPr="00E263F4">
              <w:rPr>
                <w:color w:val="000000"/>
                <w:sz w:val="22"/>
                <w:szCs w:val="22"/>
              </w:rPr>
              <w:t>283</w:t>
            </w:r>
          </w:p>
        </w:tc>
      </w:tr>
      <w:tr w:rsidR="00E263F4" w:rsidRPr="00E263F4" w14:paraId="09F8A16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665E8A5" w14:textId="77777777" w:rsidR="00E263F4" w:rsidRPr="00E263F4" w:rsidRDefault="00E263F4" w:rsidP="00E263F4">
            <w:pPr>
              <w:spacing w:before="0" w:after="0" w:line="240" w:lineRule="auto"/>
              <w:rPr>
                <w:color w:val="auto"/>
                <w:sz w:val="20"/>
                <w:szCs w:val="20"/>
              </w:rPr>
            </w:pPr>
            <w:r w:rsidRPr="00E263F4">
              <w:rPr>
                <w:color w:val="auto"/>
                <w:sz w:val="20"/>
                <w:szCs w:val="20"/>
              </w:rPr>
              <w:t>9</w:t>
            </w:r>
          </w:p>
        </w:tc>
        <w:tc>
          <w:tcPr>
            <w:tcW w:w="658" w:type="pct"/>
            <w:gridSpan w:val="2"/>
            <w:tcBorders>
              <w:top w:val="nil"/>
              <w:left w:val="nil"/>
              <w:bottom w:val="single" w:sz="4" w:space="0" w:color="auto"/>
              <w:right w:val="single" w:sz="4" w:space="0" w:color="auto"/>
            </w:tcBorders>
            <w:shd w:val="clear" w:color="auto" w:fill="auto"/>
            <w:noWrap/>
            <w:vAlign w:val="bottom"/>
          </w:tcPr>
          <w:p w14:paraId="7E9AE13F" w14:textId="7CA8D3D1" w:rsidR="00E263F4" w:rsidRPr="00E263F4" w:rsidRDefault="00E263F4" w:rsidP="00E263F4">
            <w:pPr>
              <w:spacing w:before="0" w:after="0" w:line="240" w:lineRule="auto"/>
              <w:jc w:val="center"/>
              <w:rPr>
                <w:color w:val="auto"/>
                <w:sz w:val="20"/>
                <w:szCs w:val="20"/>
              </w:rPr>
            </w:pPr>
            <w:r w:rsidRPr="00E263F4">
              <w:rPr>
                <w:color w:val="000000"/>
                <w:sz w:val="22"/>
                <w:szCs w:val="22"/>
              </w:rPr>
              <w:t>322</w:t>
            </w:r>
          </w:p>
        </w:tc>
        <w:tc>
          <w:tcPr>
            <w:tcW w:w="660" w:type="pct"/>
            <w:gridSpan w:val="2"/>
            <w:tcBorders>
              <w:top w:val="nil"/>
              <w:left w:val="nil"/>
              <w:bottom w:val="single" w:sz="4" w:space="0" w:color="auto"/>
              <w:right w:val="single" w:sz="4" w:space="0" w:color="auto"/>
            </w:tcBorders>
            <w:shd w:val="clear" w:color="auto" w:fill="auto"/>
            <w:noWrap/>
            <w:vAlign w:val="bottom"/>
          </w:tcPr>
          <w:p w14:paraId="16C02FE4" w14:textId="73D2FE4C" w:rsidR="00E263F4" w:rsidRPr="00E263F4" w:rsidRDefault="00E263F4" w:rsidP="00E263F4">
            <w:pPr>
              <w:spacing w:before="0" w:after="0" w:line="240" w:lineRule="auto"/>
              <w:jc w:val="center"/>
              <w:rPr>
                <w:color w:val="auto"/>
                <w:sz w:val="20"/>
                <w:szCs w:val="20"/>
              </w:rPr>
            </w:pPr>
            <w:r w:rsidRPr="00E263F4">
              <w:rPr>
                <w:color w:val="000000"/>
                <w:sz w:val="22"/>
                <w:szCs w:val="22"/>
              </w:rPr>
              <w:t>305</w:t>
            </w:r>
          </w:p>
        </w:tc>
        <w:tc>
          <w:tcPr>
            <w:tcW w:w="540" w:type="pct"/>
            <w:tcBorders>
              <w:top w:val="nil"/>
              <w:left w:val="nil"/>
              <w:bottom w:val="single" w:sz="4" w:space="0" w:color="auto"/>
              <w:right w:val="single" w:sz="4" w:space="0" w:color="auto"/>
            </w:tcBorders>
            <w:shd w:val="clear" w:color="auto" w:fill="auto"/>
            <w:noWrap/>
            <w:vAlign w:val="bottom"/>
          </w:tcPr>
          <w:p w14:paraId="65F9F6FF" w14:textId="00728FBE" w:rsidR="00E263F4" w:rsidRPr="00E263F4" w:rsidRDefault="00E263F4" w:rsidP="00E263F4">
            <w:pPr>
              <w:spacing w:before="0" w:after="0" w:line="240" w:lineRule="auto"/>
              <w:jc w:val="center"/>
              <w:rPr>
                <w:color w:val="auto"/>
                <w:sz w:val="20"/>
                <w:szCs w:val="20"/>
              </w:rPr>
            </w:pPr>
            <w:r w:rsidRPr="00E263F4">
              <w:rPr>
                <w:color w:val="000000"/>
                <w:sz w:val="22"/>
                <w:szCs w:val="22"/>
              </w:rPr>
              <w:t>288</w:t>
            </w:r>
          </w:p>
        </w:tc>
        <w:tc>
          <w:tcPr>
            <w:tcW w:w="553" w:type="pct"/>
            <w:gridSpan w:val="2"/>
            <w:tcBorders>
              <w:top w:val="nil"/>
              <w:left w:val="nil"/>
              <w:bottom w:val="single" w:sz="4" w:space="0" w:color="auto"/>
              <w:right w:val="single" w:sz="4" w:space="0" w:color="auto"/>
            </w:tcBorders>
            <w:shd w:val="clear" w:color="auto" w:fill="auto"/>
            <w:noWrap/>
            <w:vAlign w:val="bottom"/>
          </w:tcPr>
          <w:p w14:paraId="4185852E" w14:textId="46010F51" w:rsidR="00E263F4" w:rsidRPr="00E263F4" w:rsidRDefault="00E263F4" w:rsidP="00E263F4">
            <w:pPr>
              <w:spacing w:before="0" w:after="0" w:line="240" w:lineRule="auto"/>
              <w:jc w:val="center"/>
              <w:rPr>
                <w:color w:val="auto"/>
                <w:sz w:val="20"/>
                <w:szCs w:val="20"/>
              </w:rPr>
            </w:pPr>
            <w:r w:rsidRPr="00E263F4">
              <w:rPr>
                <w:color w:val="000000"/>
                <w:sz w:val="22"/>
                <w:szCs w:val="22"/>
              </w:rPr>
              <w:t>191</w:t>
            </w:r>
          </w:p>
        </w:tc>
        <w:tc>
          <w:tcPr>
            <w:tcW w:w="697" w:type="pct"/>
            <w:gridSpan w:val="2"/>
            <w:tcBorders>
              <w:top w:val="nil"/>
              <w:left w:val="nil"/>
              <w:bottom w:val="single" w:sz="4" w:space="0" w:color="auto"/>
              <w:right w:val="single" w:sz="4" w:space="0" w:color="auto"/>
            </w:tcBorders>
            <w:shd w:val="clear" w:color="auto" w:fill="auto"/>
            <w:noWrap/>
            <w:vAlign w:val="bottom"/>
          </w:tcPr>
          <w:p w14:paraId="3A5308CF" w14:textId="31B55F1C" w:rsidR="00E263F4" w:rsidRPr="00E263F4" w:rsidRDefault="00E263F4" w:rsidP="00E263F4">
            <w:pPr>
              <w:spacing w:before="0" w:after="0" w:line="240" w:lineRule="auto"/>
              <w:jc w:val="center"/>
              <w:rPr>
                <w:color w:val="auto"/>
                <w:sz w:val="20"/>
                <w:szCs w:val="20"/>
              </w:rPr>
            </w:pPr>
            <w:r w:rsidRPr="00E263F4">
              <w:rPr>
                <w:color w:val="000000"/>
                <w:sz w:val="22"/>
                <w:szCs w:val="22"/>
              </w:rPr>
              <w:t>189</w:t>
            </w:r>
          </w:p>
        </w:tc>
        <w:tc>
          <w:tcPr>
            <w:tcW w:w="690" w:type="pct"/>
            <w:gridSpan w:val="2"/>
            <w:tcBorders>
              <w:top w:val="nil"/>
              <w:left w:val="nil"/>
              <w:bottom w:val="single" w:sz="4" w:space="0" w:color="auto"/>
              <w:right w:val="single" w:sz="4" w:space="0" w:color="auto"/>
            </w:tcBorders>
            <w:shd w:val="clear" w:color="auto" w:fill="auto"/>
            <w:noWrap/>
            <w:vAlign w:val="bottom"/>
          </w:tcPr>
          <w:p w14:paraId="1E85B189" w14:textId="160E7B75" w:rsidR="00E263F4" w:rsidRPr="00E263F4" w:rsidRDefault="00E263F4" w:rsidP="00E263F4">
            <w:pPr>
              <w:spacing w:before="0" w:after="0" w:line="240" w:lineRule="auto"/>
              <w:jc w:val="center"/>
              <w:rPr>
                <w:color w:val="auto"/>
                <w:sz w:val="20"/>
                <w:szCs w:val="20"/>
              </w:rPr>
            </w:pPr>
            <w:r w:rsidRPr="00E263F4">
              <w:rPr>
                <w:color w:val="000000"/>
                <w:sz w:val="22"/>
                <w:szCs w:val="22"/>
              </w:rPr>
              <w:t>272</w:t>
            </w:r>
          </w:p>
        </w:tc>
      </w:tr>
      <w:tr w:rsidR="00E263F4" w:rsidRPr="00E263F4" w14:paraId="5F22381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2557F1B" w14:textId="77777777" w:rsidR="00E263F4" w:rsidRPr="00E263F4" w:rsidRDefault="00E263F4" w:rsidP="00E263F4">
            <w:pPr>
              <w:spacing w:before="0" w:after="0" w:line="240" w:lineRule="auto"/>
              <w:rPr>
                <w:color w:val="auto"/>
                <w:sz w:val="20"/>
                <w:szCs w:val="20"/>
              </w:rPr>
            </w:pPr>
            <w:r w:rsidRPr="00E263F4">
              <w:rPr>
                <w:color w:val="auto"/>
                <w:sz w:val="20"/>
                <w:szCs w:val="20"/>
              </w:rPr>
              <w:t>10</w:t>
            </w:r>
          </w:p>
        </w:tc>
        <w:tc>
          <w:tcPr>
            <w:tcW w:w="658" w:type="pct"/>
            <w:gridSpan w:val="2"/>
            <w:tcBorders>
              <w:top w:val="nil"/>
              <w:left w:val="nil"/>
              <w:bottom w:val="single" w:sz="4" w:space="0" w:color="auto"/>
              <w:right w:val="single" w:sz="4" w:space="0" w:color="auto"/>
            </w:tcBorders>
            <w:shd w:val="clear" w:color="auto" w:fill="auto"/>
            <w:noWrap/>
            <w:vAlign w:val="bottom"/>
          </w:tcPr>
          <w:p w14:paraId="44FA049A" w14:textId="44A2F984" w:rsidR="00E263F4" w:rsidRPr="00E263F4" w:rsidRDefault="00E263F4" w:rsidP="00E263F4">
            <w:pPr>
              <w:spacing w:before="0" w:after="0" w:line="240" w:lineRule="auto"/>
              <w:jc w:val="center"/>
              <w:rPr>
                <w:color w:val="auto"/>
                <w:sz w:val="20"/>
                <w:szCs w:val="20"/>
              </w:rPr>
            </w:pPr>
            <w:r w:rsidRPr="00E263F4">
              <w:rPr>
                <w:color w:val="000000"/>
                <w:sz w:val="22"/>
                <w:szCs w:val="22"/>
              </w:rPr>
              <w:t>441</w:t>
            </w:r>
          </w:p>
        </w:tc>
        <w:tc>
          <w:tcPr>
            <w:tcW w:w="660" w:type="pct"/>
            <w:gridSpan w:val="2"/>
            <w:tcBorders>
              <w:top w:val="nil"/>
              <w:left w:val="nil"/>
              <w:bottom w:val="single" w:sz="4" w:space="0" w:color="auto"/>
              <w:right w:val="single" w:sz="4" w:space="0" w:color="auto"/>
            </w:tcBorders>
            <w:shd w:val="clear" w:color="auto" w:fill="auto"/>
            <w:noWrap/>
            <w:vAlign w:val="bottom"/>
          </w:tcPr>
          <w:p w14:paraId="468F60F6" w14:textId="3B4B17C4" w:rsidR="00E263F4" w:rsidRPr="00E263F4" w:rsidRDefault="00E263F4" w:rsidP="00E263F4">
            <w:pPr>
              <w:spacing w:before="0" w:after="0" w:line="240" w:lineRule="auto"/>
              <w:jc w:val="center"/>
              <w:rPr>
                <w:color w:val="auto"/>
                <w:sz w:val="20"/>
                <w:szCs w:val="20"/>
              </w:rPr>
            </w:pPr>
            <w:r w:rsidRPr="00E263F4">
              <w:rPr>
                <w:color w:val="000000"/>
                <w:sz w:val="22"/>
                <w:szCs w:val="22"/>
              </w:rPr>
              <w:t>421</w:t>
            </w:r>
          </w:p>
        </w:tc>
        <w:tc>
          <w:tcPr>
            <w:tcW w:w="540" w:type="pct"/>
            <w:tcBorders>
              <w:top w:val="nil"/>
              <w:left w:val="nil"/>
              <w:bottom w:val="single" w:sz="4" w:space="0" w:color="auto"/>
              <w:right w:val="single" w:sz="4" w:space="0" w:color="auto"/>
            </w:tcBorders>
            <w:shd w:val="clear" w:color="auto" w:fill="auto"/>
            <w:noWrap/>
            <w:vAlign w:val="bottom"/>
          </w:tcPr>
          <w:p w14:paraId="05878F1E" w14:textId="4ADB99BD" w:rsidR="00E263F4" w:rsidRPr="00E263F4" w:rsidRDefault="00E263F4" w:rsidP="00E263F4">
            <w:pPr>
              <w:spacing w:before="0" w:after="0" w:line="240" w:lineRule="auto"/>
              <w:jc w:val="center"/>
              <w:rPr>
                <w:color w:val="auto"/>
                <w:sz w:val="20"/>
                <w:szCs w:val="20"/>
              </w:rPr>
            </w:pPr>
            <w:r w:rsidRPr="00E263F4">
              <w:rPr>
                <w:color w:val="000000"/>
                <w:sz w:val="22"/>
                <w:szCs w:val="22"/>
              </w:rPr>
              <w:t>372</w:t>
            </w:r>
          </w:p>
        </w:tc>
        <w:tc>
          <w:tcPr>
            <w:tcW w:w="553" w:type="pct"/>
            <w:gridSpan w:val="2"/>
            <w:tcBorders>
              <w:top w:val="nil"/>
              <w:left w:val="nil"/>
              <w:bottom w:val="single" w:sz="4" w:space="0" w:color="auto"/>
              <w:right w:val="single" w:sz="4" w:space="0" w:color="auto"/>
            </w:tcBorders>
            <w:shd w:val="clear" w:color="auto" w:fill="auto"/>
            <w:noWrap/>
            <w:vAlign w:val="bottom"/>
          </w:tcPr>
          <w:p w14:paraId="3C8A2BE5" w14:textId="65A5B1D6" w:rsidR="00E263F4" w:rsidRPr="00E263F4" w:rsidRDefault="00E263F4" w:rsidP="00E263F4">
            <w:pPr>
              <w:spacing w:before="0" w:after="0" w:line="240" w:lineRule="auto"/>
              <w:jc w:val="center"/>
              <w:rPr>
                <w:color w:val="auto"/>
                <w:sz w:val="20"/>
                <w:szCs w:val="20"/>
              </w:rPr>
            </w:pPr>
            <w:r w:rsidRPr="00E263F4">
              <w:rPr>
                <w:color w:val="000000"/>
                <w:sz w:val="22"/>
                <w:szCs w:val="22"/>
              </w:rPr>
              <w:t>387</w:t>
            </w:r>
          </w:p>
        </w:tc>
        <w:tc>
          <w:tcPr>
            <w:tcW w:w="697" w:type="pct"/>
            <w:gridSpan w:val="2"/>
            <w:tcBorders>
              <w:top w:val="nil"/>
              <w:left w:val="nil"/>
              <w:bottom w:val="single" w:sz="4" w:space="0" w:color="auto"/>
              <w:right w:val="single" w:sz="4" w:space="0" w:color="auto"/>
            </w:tcBorders>
            <w:shd w:val="clear" w:color="auto" w:fill="auto"/>
            <w:noWrap/>
            <w:vAlign w:val="bottom"/>
          </w:tcPr>
          <w:p w14:paraId="1BC2BA4C" w14:textId="20A45834" w:rsidR="00E263F4" w:rsidRPr="00E263F4" w:rsidRDefault="00E263F4" w:rsidP="00E263F4">
            <w:pPr>
              <w:spacing w:before="0" w:after="0" w:line="240" w:lineRule="auto"/>
              <w:jc w:val="center"/>
              <w:rPr>
                <w:color w:val="auto"/>
                <w:sz w:val="20"/>
                <w:szCs w:val="20"/>
              </w:rPr>
            </w:pPr>
            <w:r w:rsidRPr="00E263F4">
              <w:rPr>
                <w:color w:val="000000"/>
                <w:sz w:val="22"/>
                <w:szCs w:val="22"/>
              </w:rPr>
              <w:t>469</w:t>
            </w:r>
          </w:p>
        </w:tc>
        <w:tc>
          <w:tcPr>
            <w:tcW w:w="690" w:type="pct"/>
            <w:gridSpan w:val="2"/>
            <w:tcBorders>
              <w:top w:val="nil"/>
              <w:left w:val="nil"/>
              <w:bottom w:val="single" w:sz="4" w:space="0" w:color="auto"/>
              <w:right w:val="single" w:sz="4" w:space="0" w:color="auto"/>
            </w:tcBorders>
            <w:shd w:val="clear" w:color="auto" w:fill="auto"/>
            <w:noWrap/>
            <w:vAlign w:val="bottom"/>
          </w:tcPr>
          <w:p w14:paraId="1871C1BD" w14:textId="5BD88739" w:rsidR="00E263F4" w:rsidRPr="00E263F4" w:rsidRDefault="00E263F4" w:rsidP="00E263F4">
            <w:pPr>
              <w:spacing w:before="0" w:after="0" w:line="240" w:lineRule="auto"/>
              <w:jc w:val="center"/>
              <w:rPr>
                <w:color w:val="auto"/>
                <w:sz w:val="20"/>
                <w:szCs w:val="20"/>
              </w:rPr>
            </w:pPr>
            <w:r w:rsidRPr="00E263F4">
              <w:rPr>
                <w:color w:val="000000"/>
                <w:sz w:val="22"/>
                <w:szCs w:val="22"/>
              </w:rPr>
              <w:t>527</w:t>
            </w:r>
          </w:p>
        </w:tc>
      </w:tr>
      <w:tr w:rsidR="00E263F4" w:rsidRPr="00E263F4" w14:paraId="29F19CC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ECFA32D" w14:textId="77777777" w:rsidR="00E263F4" w:rsidRPr="00E263F4" w:rsidRDefault="00E263F4" w:rsidP="00E263F4">
            <w:pPr>
              <w:spacing w:before="0" w:after="0" w:line="240" w:lineRule="auto"/>
              <w:rPr>
                <w:color w:val="auto"/>
                <w:sz w:val="20"/>
                <w:szCs w:val="20"/>
              </w:rPr>
            </w:pPr>
            <w:r w:rsidRPr="00E263F4">
              <w:rPr>
                <w:color w:val="auto"/>
                <w:sz w:val="20"/>
                <w:szCs w:val="20"/>
              </w:rPr>
              <w:t>11</w:t>
            </w:r>
          </w:p>
        </w:tc>
        <w:tc>
          <w:tcPr>
            <w:tcW w:w="658" w:type="pct"/>
            <w:gridSpan w:val="2"/>
            <w:tcBorders>
              <w:top w:val="nil"/>
              <w:left w:val="nil"/>
              <w:bottom w:val="single" w:sz="4" w:space="0" w:color="auto"/>
              <w:right w:val="single" w:sz="4" w:space="0" w:color="auto"/>
            </w:tcBorders>
            <w:shd w:val="clear" w:color="auto" w:fill="auto"/>
            <w:noWrap/>
            <w:vAlign w:val="bottom"/>
          </w:tcPr>
          <w:p w14:paraId="3EB3CBBE" w14:textId="1CC888B9" w:rsidR="00E263F4" w:rsidRPr="00E263F4" w:rsidRDefault="00E263F4" w:rsidP="00E263F4">
            <w:pPr>
              <w:spacing w:before="0" w:after="0" w:line="240" w:lineRule="auto"/>
              <w:jc w:val="center"/>
              <w:rPr>
                <w:color w:val="auto"/>
                <w:sz w:val="20"/>
                <w:szCs w:val="20"/>
              </w:rPr>
            </w:pPr>
            <w:r w:rsidRPr="00E263F4">
              <w:rPr>
                <w:color w:val="000000"/>
                <w:sz w:val="22"/>
                <w:szCs w:val="22"/>
              </w:rPr>
              <w:t>350</w:t>
            </w:r>
          </w:p>
        </w:tc>
        <w:tc>
          <w:tcPr>
            <w:tcW w:w="660" w:type="pct"/>
            <w:gridSpan w:val="2"/>
            <w:tcBorders>
              <w:top w:val="nil"/>
              <w:left w:val="nil"/>
              <w:bottom w:val="single" w:sz="4" w:space="0" w:color="auto"/>
              <w:right w:val="single" w:sz="4" w:space="0" w:color="auto"/>
            </w:tcBorders>
            <w:shd w:val="clear" w:color="auto" w:fill="auto"/>
            <w:noWrap/>
            <w:vAlign w:val="bottom"/>
          </w:tcPr>
          <w:p w14:paraId="129BFC10" w14:textId="5431F414" w:rsidR="00E263F4" w:rsidRPr="00E263F4" w:rsidRDefault="00E263F4" w:rsidP="00E263F4">
            <w:pPr>
              <w:spacing w:before="0" w:after="0" w:line="240" w:lineRule="auto"/>
              <w:jc w:val="center"/>
              <w:rPr>
                <w:color w:val="auto"/>
                <w:sz w:val="20"/>
                <w:szCs w:val="20"/>
              </w:rPr>
            </w:pPr>
            <w:r w:rsidRPr="00E263F4">
              <w:rPr>
                <w:color w:val="000000"/>
                <w:sz w:val="22"/>
                <w:szCs w:val="22"/>
              </w:rPr>
              <w:t>311</w:t>
            </w:r>
          </w:p>
        </w:tc>
        <w:tc>
          <w:tcPr>
            <w:tcW w:w="540" w:type="pct"/>
            <w:tcBorders>
              <w:top w:val="nil"/>
              <w:left w:val="nil"/>
              <w:bottom w:val="single" w:sz="4" w:space="0" w:color="auto"/>
              <w:right w:val="single" w:sz="4" w:space="0" w:color="auto"/>
            </w:tcBorders>
            <w:shd w:val="clear" w:color="auto" w:fill="auto"/>
            <w:noWrap/>
            <w:vAlign w:val="bottom"/>
          </w:tcPr>
          <w:p w14:paraId="0521A298" w14:textId="1B6D7910" w:rsidR="00E263F4" w:rsidRPr="00E263F4" w:rsidRDefault="00E263F4" w:rsidP="00E263F4">
            <w:pPr>
              <w:spacing w:before="0" w:after="0" w:line="240" w:lineRule="auto"/>
              <w:jc w:val="center"/>
              <w:rPr>
                <w:color w:val="auto"/>
                <w:sz w:val="20"/>
                <w:szCs w:val="20"/>
              </w:rPr>
            </w:pPr>
            <w:r w:rsidRPr="00E263F4">
              <w:rPr>
                <w:color w:val="000000"/>
                <w:sz w:val="22"/>
                <w:szCs w:val="22"/>
              </w:rPr>
              <w:t>212</w:t>
            </w:r>
          </w:p>
        </w:tc>
        <w:tc>
          <w:tcPr>
            <w:tcW w:w="553" w:type="pct"/>
            <w:gridSpan w:val="2"/>
            <w:tcBorders>
              <w:top w:val="nil"/>
              <w:left w:val="nil"/>
              <w:bottom w:val="single" w:sz="4" w:space="0" w:color="auto"/>
              <w:right w:val="single" w:sz="4" w:space="0" w:color="auto"/>
            </w:tcBorders>
            <w:shd w:val="clear" w:color="auto" w:fill="auto"/>
            <w:noWrap/>
            <w:vAlign w:val="bottom"/>
          </w:tcPr>
          <w:p w14:paraId="76675E35" w14:textId="51CA0D77" w:rsidR="00E263F4" w:rsidRPr="00E263F4" w:rsidRDefault="00E263F4" w:rsidP="00E263F4">
            <w:pPr>
              <w:spacing w:before="0" w:after="0" w:line="240" w:lineRule="auto"/>
              <w:jc w:val="center"/>
              <w:rPr>
                <w:color w:val="auto"/>
                <w:sz w:val="20"/>
                <w:szCs w:val="20"/>
              </w:rPr>
            </w:pPr>
            <w:r w:rsidRPr="00E263F4">
              <w:rPr>
                <w:color w:val="000000"/>
                <w:sz w:val="22"/>
                <w:szCs w:val="22"/>
              </w:rPr>
              <w:t>122</w:t>
            </w:r>
          </w:p>
        </w:tc>
        <w:tc>
          <w:tcPr>
            <w:tcW w:w="697" w:type="pct"/>
            <w:gridSpan w:val="2"/>
            <w:tcBorders>
              <w:top w:val="nil"/>
              <w:left w:val="nil"/>
              <w:bottom w:val="single" w:sz="4" w:space="0" w:color="auto"/>
              <w:right w:val="single" w:sz="4" w:space="0" w:color="auto"/>
            </w:tcBorders>
            <w:shd w:val="clear" w:color="auto" w:fill="auto"/>
            <w:noWrap/>
            <w:vAlign w:val="bottom"/>
          </w:tcPr>
          <w:p w14:paraId="769611E9" w14:textId="4F735FFA" w:rsidR="00E263F4" w:rsidRPr="00E263F4" w:rsidRDefault="00E263F4" w:rsidP="00E263F4">
            <w:pPr>
              <w:spacing w:before="0" w:after="0" w:line="240" w:lineRule="auto"/>
              <w:jc w:val="center"/>
              <w:rPr>
                <w:color w:val="auto"/>
                <w:sz w:val="20"/>
                <w:szCs w:val="20"/>
              </w:rPr>
            </w:pPr>
            <w:r w:rsidRPr="00E263F4">
              <w:rPr>
                <w:color w:val="000000"/>
                <w:sz w:val="22"/>
                <w:szCs w:val="22"/>
              </w:rPr>
              <w:t>197</w:t>
            </w:r>
          </w:p>
        </w:tc>
        <w:tc>
          <w:tcPr>
            <w:tcW w:w="690" w:type="pct"/>
            <w:gridSpan w:val="2"/>
            <w:tcBorders>
              <w:top w:val="nil"/>
              <w:left w:val="nil"/>
              <w:bottom w:val="single" w:sz="4" w:space="0" w:color="auto"/>
              <w:right w:val="single" w:sz="4" w:space="0" w:color="auto"/>
            </w:tcBorders>
            <w:shd w:val="clear" w:color="auto" w:fill="auto"/>
            <w:noWrap/>
            <w:vAlign w:val="bottom"/>
          </w:tcPr>
          <w:p w14:paraId="7639FED1" w14:textId="1835DA2E" w:rsidR="00E263F4" w:rsidRPr="00E263F4" w:rsidRDefault="00E263F4" w:rsidP="00E263F4">
            <w:pPr>
              <w:spacing w:before="0" w:after="0" w:line="240" w:lineRule="auto"/>
              <w:jc w:val="center"/>
              <w:rPr>
                <w:color w:val="auto"/>
                <w:sz w:val="20"/>
                <w:szCs w:val="20"/>
              </w:rPr>
            </w:pPr>
            <w:r w:rsidRPr="00E263F4">
              <w:rPr>
                <w:color w:val="000000"/>
                <w:sz w:val="22"/>
                <w:szCs w:val="22"/>
              </w:rPr>
              <w:t>198</w:t>
            </w:r>
          </w:p>
        </w:tc>
      </w:tr>
      <w:tr w:rsidR="00E263F4" w:rsidRPr="00E263F4" w14:paraId="420354E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51833B8" w14:textId="77777777" w:rsidR="00E263F4" w:rsidRPr="00E263F4" w:rsidRDefault="00E263F4" w:rsidP="00E263F4">
            <w:pPr>
              <w:spacing w:before="0" w:after="0" w:line="240" w:lineRule="auto"/>
              <w:rPr>
                <w:color w:val="auto"/>
                <w:sz w:val="20"/>
                <w:szCs w:val="20"/>
              </w:rPr>
            </w:pPr>
            <w:r w:rsidRPr="00E263F4">
              <w:rPr>
                <w:color w:val="auto"/>
                <w:sz w:val="20"/>
                <w:szCs w:val="20"/>
              </w:rPr>
              <w:t>12</w:t>
            </w:r>
          </w:p>
        </w:tc>
        <w:tc>
          <w:tcPr>
            <w:tcW w:w="658" w:type="pct"/>
            <w:gridSpan w:val="2"/>
            <w:tcBorders>
              <w:top w:val="nil"/>
              <w:left w:val="nil"/>
              <w:bottom w:val="single" w:sz="4" w:space="0" w:color="auto"/>
              <w:right w:val="single" w:sz="4" w:space="0" w:color="auto"/>
            </w:tcBorders>
            <w:shd w:val="clear" w:color="auto" w:fill="auto"/>
            <w:noWrap/>
            <w:vAlign w:val="bottom"/>
          </w:tcPr>
          <w:p w14:paraId="7C84E0DF" w14:textId="64FFE0D0" w:rsidR="00E263F4" w:rsidRPr="00E263F4" w:rsidRDefault="00E263F4" w:rsidP="00E263F4">
            <w:pPr>
              <w:spacing w:before="0" w:after="0" w:line="240" w:lineRule="auto"/>
              <w:jc w:val="center"/>
              <w:rPr>
                <w:color w:val="auto"/>
                <w:sz w:val="20"/>
                <w:szCs w:val="20"/>
              </w:rPr>
            </w:pPr>
            <w:r w:rsidRPr="00E263F4">
              <w:rPr>
                <w:color w:val="000000"/>
                <w:sz w:val="22"/>
                <w:szCs w:val="22"/>
              </w:rPr>
              <w:t>272</w:t>
            </w:r>
          </w:p>
        </w:tc>
        <w:tc>
          <w:tcPr>
            <w:tcW w:w="660" w:type="pct"/>
            <w:gridSpan w:val="2"/>
            <w:tcBorders>
              <w:top w:val="nil"/>
              <w:left w:val="nil"/>
              <w:bottom w:val="single" w:sz="4" w:space="0" w:color="auto"/>
              <w:right w:val="single" w:sz="4" w:space="0" w:color="auto"/>
            </w:tcBorders>
            <w:shd w:val="clear" w:color="auto" w:fill="auto"/>
            <w:noWrap/>
            <w:vAlign w:val="bottom"/>
          </w:tcPr>
          <w:p w14:paraId="10B3D2B6" w14:textId="47607E0E" w:rsidR="00E263F4" w:rsidRPr="00E263F4" w:rsidRDefault="00E263F4" w:rsidP="00E263F4">
            <w:pPr>
              <w:spacing w:before="0" w:after="0" w:line="240" w:lineRule="auto"/>
              <w:jc w:val="center"/>
              <w:rPr>
                <w:color w:val="auto"/>
                <w:sz w:val="20"/>
                <w:szCs w:val="20"/>
              </w:rPr>
            </w:pPr>
            <w:r w:rsidRPr="00E263F4">
              <w:rPr>
                <w:color w:val="000000"/>
                <w:sz w:val="22"/>
                <w:szCs w:val="22"/>
              </w:rPr>
              <w:t>245</w:t>
            </w:r>
          </w:p>
        </w:tc>
        <w:tc>
          <w:tcPr>
            <w:tcW w:w="540" w:type="pct"/>
            <w:tcBorders>
              <w:top w:val="nil"/>
              <w:left w:val="nil"/>
              <w:bottom w:val="single" w:sz="4" w:space="0" w:color="auto"/>
              <w:right w:val="single" w:sz="4" w:space="0" w:color="auto"/>
            </w:tcBorders>
            <w:shd w:val="clear" w:color="auto" w:fill="auto"/>
            <w:noWrap/>
            <w:vAlign w:val="bottom"/>
          </w:tcPr>
          <w:p w14:paraId="5DA741CB" w14:textId="5BD0A78A" w:rsidR="00E263F4" w:rsidRPr="00E263F4" w:rsidRDefault="00E263F4" w:rsidP="00E263F4">
            <w:pPr>
              <w:spacing w:before="0" w:after="0" w:line="240" w:lineRule="auto"/>
              <w:jc w:val="center"/>
              <w:rPr>
                <w:color w:val="auto"/>
                <w:sz w:val="20"/>
                <w:szCs w:val="20"/>
              </w:rPr>
            </w:pPr>
            <w:r w:rsidRPr="00E263F4">
              <w:rPr>
                <w:color w:val="000000"/>
                <w:sz w:val="22"/>
                <w:szCs w:val="22"/>
              </w:rPr>
              <w:t>224</w:t>
            </w:r>
          </w:p>
        </w:tc>
        <w:tc>
          <w:tcPr>
            <w:tcW w:w="553" w:type="pct"/>
            <w:gridSpan w:val="2"/>
            <w:tcBorders>
              <w:top w:val="nil"/>
              <w:left w:val="nil"/>
              <w:bottom w:val="single" w:sz="4" w:space="0" w:color="auto"/>
              <w:right w:val="single" w:sz="4" w:space="0" w:color="auto"/>
            </w:tcBorders>
            <w:shd w:val="clear" w:color="auto" w:fill="auto"/>
            <w:noWrap/>
            <w:vAlign w:val="bottom"/>
          </w:tcPr>
          <w:p w14:paraId="7493F2FE" w14:textId="6EB84BC5" w:rsidR="00E263F4" w:rsidRPr="00E263F4" w:rsidRDefault="00E263F4" w:rsidP="00E263F4">
            <w:pPr>
              <w:spacing w:before="0" w:after="0" w:line="240" w:lineRule="auto"/>
              <w:jc w:val="center"/>
              <w:rPr>
                <w:color w:val="auto"/>
                <w:sz w:val="20"/>
                <w:szCs w:val="20"/>
              </w:rPr>
            </w:pPr>
            <w:r w:rsidRPr="00E263F4">
              <w:rPr>
                <w:color w:val="000000"/>
                <w:sz w:val="22"/>
                <w:szCs w:val="22"/>
              </w:rPr>
              <w:t>256</w:t>
            </w:r>
          </w:p>
        </w:tc>
        <w:tc>
          <w:tcPr>
            <w:tcW w:w="697" w:type="pct"/>
            <w:gridSpan w:val="2"/>
            <w:tcBorders>
              <w:top w:val="nil"/>
              <w:left w:val="nil"/>
              <w:bottom w:val="single" w:sz="4" w:space="0" w:color="auto"/>
              <w:right w:val="single" w:sz="4" w:space="0" w:color="auto"/>
            </w:tcBorders>
            <w:shd w:val="clear" w:color="auto" w:fill="auto"/>
            <w:noWrap/>
            <w:vAlign w:val="bottom"/>
          </w:tcPr>
          <w:p w14:paraId="6ADDE9D7" w14:textId="2F3FC153" w:rsidR="00E263F4" w:rsidRPr="00E263F4" w:rsidRDefault="00E263F4" w:rsidP="00E263F4">
            <w:pPr>
              <w:spacing w:before="0" w:after="0" w:line="240" w:lineRule="auto"/>
              <w:jc w:val="center"/>
              <w:rPr>
                <w:color w:val="auto"/>
                <w:sz w:val="20"/>
                <w:szCs w:val="20"/>
              </w:rPr>
            </w:pPr>
            <w:r w:rsidRPr="00E263F4">
              <w:rPr>
                <w:color w:val="000000"/>
                <w:sz w:val="22"/>
                <w:szCs w:val="22"/>
              </w:rPr>
              <w:t>258</w:t>
            </w:r>
          </w:p>
        </w:tc>
        <w:tc>
          <w:tcPr>
            <w:tcW w:w="690" w:type="pct"/>
            <w:gridSpan w:val="2"/>
            <w:tcBorders>
              <w:top w:val="nil"/>
              <w:left w:val="nil"/>
              <w:bottom w:val="single" w:sz="4" w:space="0" w:color="auto"/>
              <w:right w:val="single" w:sz="4" w:space="0" w:color="auto"/>
            </w:tcBorders>
            <w:shd w:val="clear" w:color="auto" w:fill="auto"/>
            <w:noWrap/>
            <w:vAlign w:val="bottom"/>
          </w:tcPr>
          <w:p w14:paraId="5E60C8C7" w14:textId="3BE85143" w:rsidR="00E263F4" w:rsidRPr="00E263F4" w:rsidRDefault="00E263F4" w:rsidP="00E263F4">
            <w:pPr>
              <w:spacing w:before="0" w:after="0" w:line="240" w:lineRule="auto"/>
              <w:jc w:val="center"/>
              <w:rPr>
                <w:color w:val="auto"/>
                <w:sz w:val="20"/>
                <w:szCs w:val="20"/>
              </w:rPr>
            </w:pPr>
            <w:r w:rsidRPr="00E263F4">
              <w:rPr>
                <w:color w:val="000000"/>
                <w:sz w:val="22"/>
                <w:szCs w:val="22"/>
              </w:rPr>
              <w:t>270</w:t>
            </w:r>
          </w:p>
        </w:tc>
      </w:tr>
      <w:tr w:rsidR="00E263F4" w:rsidRPr="00E263F4" w14:paraId="129257F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4DC2CBC" w14:textId="77777777" w:rsidR="00E263F4" w:rsidRPr="00E263F4" w:rsidRDefault="00E263F4" w:rsidP="00E263F4">
            <w:pPr>
              <w:spacing w:before="0" w:after="0" w:line="240" w:lineRule="auto"/>
              <w:rPr>
                <w:color w:val="auto"/>
                <w:sz w:val="20"/>
                <w:szCs w:val="20"/>
              </w:rPr>
            </w:pPr>
            <w:r w:rsidRPr="00E263F4">
              <w:rPr>
                <w:color w:val="auto"/>
                <w:sz w:val="20"/>
                <w:szCs w:val="20"/>
              </w:rPr>
              <w:t>13</w:t>
            </w:r>
          </w:p>
        </w:tc>
        <w:tc>
          <w:tcPr>
            <w:tcW w:w="658" w:type="pct"/>
            <w:gridSpan w:val="2"/>
            <w:tcBorders>
              <w:top w:val="nil"/>
              <w:left w:val="nil"/>
              <w:bottom w:val="single" w:sz="4" w:space="0" w:color="auto"/>
              <w:right w:val="single" w:sz="4" w:space="0" w:color="auto"/>
            </w:tcBorders>
            <w:shd w:val="clear" w:color="auto" w:fill="auto"/>
            <w:noWrap/>
            <w:vAlign w:val="bottom"/>
          </w:tcPr>
          <w:p w14:paraId="5DACD879" w14:textId="5A825573" w:rsidR="00E263F4" w:rsidRPr="00E263F4" w:rsidRDefault="00E263F4" w:rsidP="00E263F4">
            <w:pPr>
              <w:spacing w:before="0" w:after="0" w:line="240" w:lineRule="auto"/>
              <w:jc w:val="center"/>
              <w:rPr>
                <w:color w:val="auto"/>
                <w:sz w:val="20"/>
                <w:szCs w:val="20"/>
              </w:rPr>
            </w:pPr>
            <w:r w:rsidRPr="00E263F4">
              <w:rPr>
                <w:color w:val="000000"/>
                <w:sz w:val="22"/>
                <w:szCs w:val="22"/>
              </w:rPr>
              <w:t>380</w:t>
            </w:r>
          </w:p>
        </w:tc>
        <w:tc>
          <w:tcPr>
            <w:tcW w:w="660" w:type="pct"/>
            <w:gridSpan w:val="2"/>
            <w:tcBorders>
              <w:top w:val="nil"/>
              <w:left w:val="nil"/>
              <w:bottom w:val="single" w:sz="4" w:space="0" w:color="auto"/>
              <w:right w:val="single" w:sz="4" w:space="0" w:color="auto"/>
            </w:tcBorders>
            <w:shd w:val="clear" w:color="auto" w:fill="auto"/>
            <w:noWrap/>
            <w:vAlign w:val="bottom"/>
          </w:tcPr>
          <w:p w14:paraId="4AF9924B" w14:textId="5514FC03" w:rsidR="00E263F4" w:rsidRPr="00E263F4" w:rsidRDefault="00E263F4" w:rsidP="00E263F4">
            <w:pPr>
              <w:spacing w:before="0" w:after="0" w:line="240" w:lineRule="auto"/>
              <w:jc w:val="center"/>
              <w:rPr>
                <w:color w:val="auto"/>
                <w:sz w:val="20"/>
                <w:szCs w:val="20"/>
              </w:rPr>
            </w:pPr>
            <w:r w:rsidRPr="00E263F4">
              <w:rPr>
                <w:color w:val="000000"/>
                <w:sz w:val="22"/>
                <w:szCs w:val="22"/>
              </w:rPr>
              <w:t>324</w:t>
            </w:r>
          </w:p>
        </w:tc>
        <w:tc>
          <w:tcPr>
            <w:tcW w:w="540" w:type="pct"/>
            <w:tcBorders>
              <w:top w:val="nil"/>
              <w:left w:val="nil"/>
              <w:bottom w:val="single" w:sz="4" w:space="0" w:color="auto"/>
              <w:right w:val="single" w:sz="4" w:space="0" w:color="auto"/>
            </w:tcBorders>
            <w:shd w:val="clear" w:color="auto" w:fill="auto"/>
            <w:noWrap/>
            <w:vAlign w:val="bottom"/>
          </w:tcPr>
          <w:p w14:paraId="636E1625" w14:textId="2114D3C3" w:rsidR="00E263F4" w:rsidRPr="00E263F4" w:rsidRDefault="00E263F4" w:rsidP="00E263F4">
            <w:pPr>
              <w:spacing w:before="0" w:after="0" w:line="240" w:lineRule="auto"/>
              <w:jc w:val="center"/>
              <w:rPr>
                <w:color w:val="auto"/>
                <w:sz w:val="20"/>
                <w:szCs w:val="20"/>
              </w:rPr>
            </w:pPr>
            <w:r w:rsidRPr="00E263F4">
              <w:rPr>
                <w:color w:val="000000"/>
                <w:sz w:val="22"/>
                <w:szCs w:val="22"/>
              </w:rPr>
              <w:t>249</w:t>
            </w:r>
          </w:p>
        </w:tc>
        <w:tc>
          <w:tcPr>
            <w:tcW w:w="553" w:type="pct"/>
            <w:gridSpan w:val="2"/>
            <w:tcBorders>
              <w:top w:val="nil"/>
              <w:left w:val="nil"/>
              <w:bottom w:val="single" w:sz="4" w:space="0" w:color="auto"/>
              <w:right w:val="single" w:sz="4" w:space="0" w:color="auto"/>
            </w:tcBorders>
            <w:shd w:val="clear" w:color="auto" w:fill="auto"/>
            <w:noWrap/>
            <w:vAlign w:val="bottom"/>
          </w:tcPr>
          <w:p w14:paraId="11546D8C" w14:textId="370C9D0F" w:rsidR="00E263F4" w:rsidRPr="00E263F4" w:rsidRDefault="00E263F4" w:rsidP="00E263F4">
            <w:pPr>
              <w:spacing w:before="0" w:after="0" w:line="240" w:lineRule="auto"/>
              <w:jc w:val="center"/>
              <w:rPr>
                <w:color w:val="auto"/>
                <w:sz w:val="20"/>
                <w:szCs w:val="20"/>
              </w:rPr>
            </w:pPr>
            <w:r w:rsidRPr="00E263F4">
              <w:rPr>
                <w:color w:val="000000"/>
                <w:sz w:val="22"/>
                <w:szCs w:val="22"/>
              </w:rPr>
              <w:t>181</w:t>
            </w:r>
          </w:p>
        </w:tc>
        <w:tc>
          <w:tcPr>
            <w:tcW w:w="697" w:type="pct"/>
            <w:gridSpan w:val="2"/>
            <w:tcBorders>
              <w:top w:val="nil"/>
              <w:left w:val="nil"/>
              <w:bottom w:val="single" w:sz="4" w:space="0" w:color="auto"/>
              <w:right w:val="single" w:sz="4" w:space="0" w:color="auto"/>
            </w:tcBorders>
            <w:shd w:val="clear" w:color="auto" w:fill="auto"/>
            <w:noWrap/>
            <w:vAlign w:val="bottom"/>
          </w:tcPr>
          <w:p w14:paraId="6EFB611C" w14:textId="79F20B48" w:rsidR="00E263F4" w:rsidRPr="00E263F4" w:rsidRDefault="00E263F4" w:rsidP="00E263F4">
            <w:pPr>
              <w:spacing w:before="0" w:after="0" w:line="240" w:lineRule="auto"/>
              <w:jc w:val="center"/>
              <w:rPr>
                <w:color w:val="auto"/>
                <w:sz w:val="20"/>
                <w:szCs w:val="20"/>
              </w:rPr>
            </w:pPr>
            <w:r w:rsidRPr="00E263F4">
              <w:rPr>
                <w:color w:val="000000"/>
                <w:sz w:val="22"/>
                <w:szCs w:val="22"/>
              </w:rPr>
              <w:t>221</w:t>
            </w:r>
          </w:p>
        </w:tc>
        <w:tc>
          <w:tcPr>
            <w:tcW w:w="690" w:type="pct"/>
            <w:gridSpan w:val="2"/>
            <w:tcBorders>
              <w:top w:val="nil"/>
              <w:left w:val="nil"/>
              <w:bottom w:val="single" w:sz="4" w:space="0" w:color="auto"/>
              <w:right w:val="single" w:sz="4" w:space="0" w:color="auto"/>
            </w:tcBorders>
            <w:shd w:val="clear" w:color="auto" w:fill="auto"/>
            <w:noWrap/>
            <w:vAlign w:val="bottom"/>
          </w:tcPr>
          <w:p w14:paraId="3CC9536D" w14:textId="55A7CA42" w:rsidR="00E263F4" w:rsidRPr="00E263F4" w:rsidRDefault="00E263F4" w:rsidP="00E263F4">
            <w:pPr>
              <w:spacing w:before="0" w:after="0" w:line="240" w:lineRule="auto"/>
              <w:jc w:val="center"/>
              <w:rPr>
                <w:color w:val="auto"/>
                <w:sz w:val="20"/>
                <w:szCs w:val="20"/>
              </w:rPr>
            </w:pPr>
            <w:r w:rsidRPr="00E263F4">
              <w:rPr>
                <w:color w:val="000000"/>
                <w:sz w:val="22"/>
                <w:szCs w:val="22"/>
              </w:rPr>
              <w:t>228</w:t>
            </w:r>
          </w:p>
        </w:tc>
      </w:tr>
      <w:tr w:rsidR="00E263F4" w:rsidRPr="00E263F4" w14:paraId="193394D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34455C7" w14:textId="77777777" w:rsidR="00E263F4" w:rsidRPr="00E263F4" w:rsidRDefault="00E263F4" w:rsidP="00E263F4">
            <w:pPr>
              <w:spacing w:before="0" w:after="0" w:line="240" w:lineRule="auto"/>
              <w:rPr>
                <w:color w:val="auto"/>
                <w:sz w:val="20"/>
                <w:szCs w:val="20"/>
              </w:rPr>
            </w:pPr>
            <w:r w:rsidRPr="00E263F4">
              <w:rPr>
                <w:color w:val="auto"/>
                <w:sz w:val="20"/>
                <w:szCs w:val="20"/>
              </w:rPr>
              <w:t>14</w:t>
            </w:r>
          </w:p>
        </w:tc>
        <w:tc>
          <w:tcPr>
            <w:tcW w:w="658" w:type="pct"/>
            <w:gridSpan w:val="2"/>
            <w:tcBorders>
              <w:top w:val="nil"/>
              <w:left w:val="nil"/>
              <w:bottom w:val="single" w:sz="4" w:space="0" w:color="auto"/>
              <w:right w:val="single" w:sz="4" w:space="0" w:color="auto"/>
            </w:tcBorders>
            <w:shd w:val="clear" w:color="auto" w:fill="auto"/>
            <w:noWrap/>
            <w:vAlign w:val="bottom"/>
          </w:tcPr>
          <w:p w14:paraId="3F9B60A0" w14:textId="21071E9E" w:rsidR="00E263F4" w:rsidRPr="00E263F4" w:rsidRDefault="00E263F4" w:rsidP="00E263F4">
            <w:pPr>
              <w:spacing w:before="0" w:after="0" w:line="240" w:lineRule="auto"/>
              <w:jc w:val="center"/>
              <w:rPr>
                <w:color w:val="auto"/>
                <w:sz w:val="20"/>
                <w:szCs w:val="20"/>
              </w:rPr>
            </w:pPr>
            <w:r w:rsidRPr="00E263F4">
              <w:rPr>
                <w:color w:val="000000"/>
                <w:sz w:val="22"/>
                <w:szCs w:val="22"/>
              </w:rPr>
              <w:t>433</w:t>
            </w:r>
          </w:p>
        </w:tc>
        <w:tc>
          <w:tcPr>
            <w:tcW w:w="660" w:type="pct"/>
            <w:gridSpan w:val="2"/>
            <w:tcBorders>
              <w:top w:val="nil"/>
              <w:left w:val="nil"/>
              <w:bottom w:val="single" w:sz="4" w:space="0" w:color="auto"/>
              <w:right w:val="single" w:sz="4" w:space="0" w:color="auto"/>
            </w:tcBorders>
            <w:shd w:val="clear" w:color="auto" w:fill="auto"/>
            <w:noWrap/>
            <w:vAlign w:val="bottom"/>
          </w:tcPr>
          <w:p w14:paraId="46D6AFD8" w14:textId="292E68AB" w:rsidR="00E263F4" w:rsidRPr="00E263F4" w:rsidRDefault="00E263F4" w:rsidP="00E263F4">
            <w:pPr>
              <w:spacing w:before="0" w:after="0" w:line="240" w:lineRule="auto"/>
              <w:jc w:val="center"/>
              <w:rPr>
                <w:color w:val="auto"/>
                <w:sz w:val="20"/>
                <w:szCs w:val="20"/>
              </w:rPr>
            </w:pPr>
            <w:r w:rsidRPr="00E263F4">
              <w:rPr>
                <w:color w:val="000000"/>
                <w:sz w:val="22"/>
                <w:szCs w:val="22"/>
              </w:rPr>
              <w:t>371</w:t>
            </w:r>
          </w:p>
        </w:tc>
        <w:tc>
          <w:tcPr>
            <w:tcW w:w="540" w:type="pct"/>
            <w:tcBorders>
              <w:top w:val="nil"/>
              <w:left w:val="nil"/>
              <w:bottom w:val="single" w:sz="4" w:space="0" w:color="auto"/>
              <w:right w:val="single" w:sz="4" w:space="0" w:color="auto"/>
            </w:tcBorders>
            <w:shd w:val="clear" w:color="auto" w:fill="auto"/>
            <w:noWrap/>
            <w:vAlign w:val="bottom"/>
          </w:tcPr>
          <w:p w14:paraId="3524C384" w14:textId="747236B8" w:rsidR="00E263F4" w:rsidRPr="00E263F4" w:rsidRDefault="00E263F4" w:rsidP="00E263F4">
            <w:pPr>
              <w:spacing w:before="0" w:after="0" w:line="240" w:lineRule="auto"/>
              <w:jc w:val="center"/>
              <w:rPr>
                <w:color w:val="auto"/>
                <w:sz w:val="20"/>
                <w:szCs w:val="20"/>
              </w:rPr>
            </w:pPr>
            <w:r w:rsidRPr="00E263F4">
              <w:rPr>
                <w:color w:val="000000"/>
                <w:sz w:val="22"/>
                <w:szCs w:val="22"/>
              </w:rPr>
              <w:t>266</w:t>
            </w:r>
          </w:p>
        </w:tc>
        <w:tc>
          <w:tcPr>
            <w:tcW w:w="553" w:type="pct"/>
            <w:gridSpan w:val="2"/>
            <w:tcBorders>
              <w:top w:val="nil"/>
              <w:left w:val="nil"/>
              <w:bottom w:val="single" w:sz="4" w:space="0" w:color="auto"/>
              <w:right w:val="single" w:sz="4" w:space="0" w:color="auto"/>
            </w:tcBorders>
            <w:shd w:val="clear" w:color="auto" w:fill="auto"/>
            <w:noWrap/>
            <w:vAlign w:val="bottom"/>
          </w:tcPr>
          <w:p w14:paraId="5E6D74D2" w14:textId="5CAA1F70" w:rsidR="00E263F4" w:rsidRPr="00E263F4" w:rsidRDefault="00E263F4" w:rsidP="00E263F4">
            <w:pPr>
              <w:spacing w:before="0" w:after="0" w:line="240" w:lineRule="auto"/>
              <w:jc w:val="center"/>
              <w:rPr>
                <w:color w:val="auto"/>
                <w:sz w:val="20"/>
                <w:szCs w:val="20"/>
              </w:rPr>
            </w:pPr>
            <w:r w:rsidRPr="00E263F4">
              <w:rPr>
                <w:color w:val="000000"/>
                <w:sz w:val="22"/>
                <w:szCs w:val="22"/>
              </w:rPr>
              <w:t>257</w:t>
            </w:r>
          </w:p>
        </w:tc>
        <w:tc>
          <w:tcPr>
            <w:tcW w:w="697" w:type="pct"/>
            <w:gridSpan w:val="2"/>
            <w:tcBorders>
              <w:top w:val="nil"/>
              <w:left w:val="nil"/>
              <w:bottom w:val="single" w:sz="4" w:space="0" w:color="auto"/>
              <w:right w:val="single" w:sz="4" w:space="0" w:color="auto"/>
            </w:tcBorders>
            <w:shd w:val="clear" w:color="auto" w:fill="auto"/>
            <w:noWrap/>
            <w:vAlign w:val="bottom"/>
          </w:tcPr>
          <w:p w14:paraId="28277C46" w14:textId="0584E96D" w:rsidR="00E263F4" w:rsidRPr="00E263F4" w:rsidRDefault="00E263F4" w:rsidP="00E263F4">
            <w:pPr>
              <w:spacing w:before="0" w:after="0" w:line="240" w:lineRule="auto"/>
              <w:jc w:val="center"/>
              <w:rPr>
                <w:color w:val="auto"/>
                <w:sz w:val="20"/>
                <w:szCs w:val="20"/>
              </w:rPr>
            </w:pPr>
            <w:r w:rsidRPr="00E263F4">
              <w:rPr>
                <w:color w:val="000000"/>
                <w:sz w:val="22"/>
                <w:szCs w:val="22"/>
              </w:rPr>
              <w:t>265</w:t>
            </w:r>
          </w:p>
        </w:tc>
        <w:tc>
          <w:tcPr>
            <w:tcW w:w="690" w:type="pct"/>
            <w:gridSpan w:val="2"/>
            <w:tcBorders>
              <w:top w:val="nil"/>
              <w:left w:val="nil"/>
              <w:bottom w:val="single" w:sz="4" w:space="0" w:color="auto"/>
              <w:right w:val="single" w:sz="4" w:space="0" w:color="auto"/>
            </w:tcBorders>
            <w:shd w:val="clear" w:color="auto" w:fill="auto"/>
            <w:noWrap/>
            <w:vAlign w:val="bottom"/>
          </w:tcPr>
          <w:p w14:paraId="0DD7570F" w14:textId="56FBB6FD" w:rsidR="00E263F4" w:rsidRPr="00E263F4" w:rsidRDefault="00E263F4" w:rsidP="00E263F4">
            <w:pPr>
              <w:spacing w:before="0" w:after="0" w:line="240" w:lineRule="auto"/>
              <w:jc w:val="center"/>
              <w:rPr>
                <w:color w:val="auto"/>
                <w:sz w:val="20"/>
                <w:szCs w:val="20"/>
              </w:rPr>
            </w:pPr>
            <w:r w:rsidRPr="00E263F4">
              <w:rPr>
                <w:color w:val="000000"/>
                <w:sz w:val="22"/>
                <w:szCs w:val="22"/>
              </w:rPr>
              <w:t>323</w:t>
            </w:r>
          </w:p>
        </w:tc>
      </w:tr>
      <w:tr w:rsidR="00E263F4" w:rsidRPr="00E263F4" w14:paraId="5B64D6C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AE102DF" w14:textId="77777777" w:rsidR="00E263F4" w:rsidRPr="00E263F4" w:rsidRDefault="00E263F4" w:rsidP="00E263F4">
            <w:pPr>
              <w:spacing w:before="0" w:after="0" w:line="240" w:lineRule="auto"/>
              <w:rPr>
                <w:color w:val="auto"/>
                <w:sz w:val="20"/>
                <w:szCs w:val="20"/>
              </w:rPr>
            </w:pPr>
            <w:r w:rsidRPr="00E263F4">
              <w:rPr>
                <w:color w:val="auto"/>
                <w:sz w:val="20"/>
                <w:szCs w:val="20"/>
              </w:rPr>
              <w:t>15</w:t>
            </w:r>
          </w:p>
        </w:tc>
        <w:tc>
          <w:tcPr>
            <w:tcW w:w="658" w:type="pct"/>
            <w:gridSpan w:val="2"/>
            <w:tcBorders>
              <w:top w:val="nil"/>
              <w:left w:val="nil"/>
              <w:bottom w:val="single" w:sz="4" w:space="0" w:color="auto"/>
              <w:right w:val="single" w:sz="4" w:space="0" w:color="auto"/>
            </w:tcBorders>
            <w:shd w:val="clear" w:color="auto" w:fill="auto"/>
            <w:noWrap/>
            <w:vAlign w:val="bottom"/>
          </w:tcPr>
          <w:p w14:paraId="553802E5" w14:textId="11A7F130" w:rsidR="00E263F4" w:rsidRPr="00E263F4" w:rsidRDefault="00E263F4" w:rsidP="00E263F4">
            <w:pPr>
              <w:spacing w:before="0" w:after="0" w:line="240" w:lineRule="auto"/>
              <w:jc w:val="center"/>
              <w:rPr>
                <w:color w:val="auto"/>
                <w:sz w:val="20"/>
                <w:szCs w:val="20"/>
              </w:rPr>
            </w:pPr>
            <w:r w:rsidRPr="00E263F4">
              <w:rPr>
                <w:color w:val="000000"/>
                <w:sz w:val="22"/>
                <w:szCs w:val="22"/>
              </w:rPr>
              <w:t>346</w:t>
            </w:r>
          </w:p>
        </w:tc>
        <w:tc>
          <w:tcPr>
            <w:tcW w:w="660" w:type="pct"/>
            <w:gridSpan w:val="2"/>
            <w:tcBorders>
              <w:top w:val="nil"/>
              <w:left w:val="nil"/>
              <w:bottom w:val="single" w:sz="4" w:space="0" w:color="auto"/>
              <w:right w:val="single" w:sz="4" w:space="0" w:color="auto"/>
            </w:tcBorders>
            <w:shd w:val="clear" w:color="auto" w:fill="auto"/>
            <w:noWrap/>
            <w:vAlign w:val="bottom"/>
          </w:tcPr>
          <w:p w14:paraId="60D3FBF5" w14:textId="72DC79C7" w:rsidR="00E263F4" w:rsidRPr="00E263F4" w:rsidRDefault="00E263F4" w:rsidP="00E263F4">
            <w:pPr>
              <w:spacing w:before="0" w:after="0" w:line="240" w:lineRule="auto"/>
              <w:jc w:val="center"/>
              <w:rPr>
                <w:color w:val="auto"/>
                <w:sz w:val="20"/>
                <w:szCs w:val="20"/>
              </w:rPr>
            </w:pPr>
            <w:r w:rsidRPr="00E263F4">
              <w:rPr>
                <w:color w:val="000000"/>
                <w:sz w:val="22"/>
                <w:szCs w:val="22"/>
              </w:rPr>
              <w:t>296</w:t>
            </w:r>
          </w:p>
        </w:tc>
        <w:tc>
          <w:tcPr>
            <w:tcW w:w="540" w:type="pct"/>
            <w:tcBorders>
              <w:top w:val="nil"/>
              <w:left w:val="nil"/>
              <w:bottom w:val="single" w:sz="4" w:space="0" w:color="auto"/>
              <w:right w:val="single" w:sz="4" w:space="0" w:color="auto"/>
            </w:tcBorders>
            <w:shd w:val="clear" w:color="auto" w:fill="auto"/>
            <w:noWrap/>
            <w:vAlign w:val="bottom"/>
          </w:tcPr>
          <w:p w14:paraId="3F75CE01" w14:textId="0F38C21B" w:rsidR="00E263F4" w:rsidRPr="00E263F4" w:rsidRDefault="00E263F4" w:rsidP="00E263F4">
            <w:pPr>
              <w:spacing w:before="0" w:after="0" w:line="240" w:lineRule="auto"/>
              <w:jc w:val="center"/>
              <w:rPr>
                <w:color w:val="auto"/>
                <w:sz w:val="20"/>
                <w:szCs w:val="20"/>
              </w:rPr>
            </w:pPr>
            <w:r w:rsidRPr="00E263F4">
              <w:rPr>
                <w:color w:val="000000"/>
                <w:sz w:val="22"/>
                <w:szCs w:val="22"/>
              </w:rPr>
              <w:t>219</w:t>
            </w:r>
          </w:p>
        </w:tc>
        <w:tc>
          <w:tcPr>
            <w:tcW w:w="553" w:type="pct"/>
            <w:gridSpan w:val="2"/>
            <w:tcBorders>
              <w:top w:val="nil"/>
              <w:left w:val="nil"/>
              <w:bottom w:val="single" w:sz="4" w:space="0" w:color="auto"/>
              <w:right w:val="single" w:sz="4" w:space="0" w:color="auto"/>
            </w:tcBorders>
            <w:shd w:val="clear" w:color="auto" w:fill="auto"/>
            <w:noWrap/>
            <w:vAlign w:val="bottom"/>
          </w:tcPr>
          <w:p w14:paraId="256CDAB3" w14:textId="0F7B2E33" w:rsidR="00E263F4" w:rsidRPr="00E263F4" w:rsidRDefault="00E263F4" w:rsidP="00E263F4">
            <w:pPr>
              <w:spacing w:before="0" w:after="0" w:line="240" w:lineRule="auto"/>
              <w:jc w:val="center"/>
              <w:rPr>
                <w:color w:val="auto"/>
                <w:sz w:val="20"/>
                <w:szCs w:val="20"/>
              </w:rPr>
            </w:pPr>
            <w:r w:rsidRPr="00E263F4">
              <w:rPr>
                <w:color w:val="000000"/>
                <w:sz w:val="22"/>
                <w:szCs w:val="22"/>
              </w:rPr>
              <w:t>264</w:t>
            </w:r>
          </w:p>
        </w:tc>
        <w:tc>
          <w:tcPr>
            <w:tcW w:w="697" w:type="pct"/>
            <w:gridSpan w:val="2"/>
            <w:tcBorders>
              <w:top w:val="nil"/>
              <w:left w:val="nil"/>
              <w:bottom w:val="single" w:sz="4" w:space="0" w:color="auto"/>
              <w:right w:val="single" w:sz="4" w:space="0" w:color="auto"/>
            </w:tcBorders>
            <w:shd w:val="clear" w:color="auto" w:fill="auto"/>
            <w:noWrap/>
            <w:vAlign w:val="bottom"/>
          </w:tcPr>
          <w:p w14:paraId="5C0ED2CD" w14:textId="03A80A56" w:rsidR="00E263F4" w:rsidRPr="00E263F4" w:rsidRDefault="00E263F4" w:rsidP="00E263F4">
            <w:pPr>
              <w:spacing w:before="0" w:after="0" w:line="240" w:lineRule="auto"/>
              <w:jc w:val="center"/>
              <w:rPr>
                <w:color w:val="auto"/>
                <w:sz w:val="20"/>
                <w:szCs w:val="20"/>
              </w:rPr>
            </w:pPr>
            <w:r w:rsidRPr="00E263F4">
              <w:rPr>
                <w:color w:val="000000"/>
                <w:sz w:val="22"/>
                <w:szCs w:val="22"/>
              </w:rPr>
              <w:t>306</w:t>
            </w:r>
          </w:p>
        </w:tc>
        <w:tc>
          <w:tcPr>
            <w:tcW w:w="690" w:type="pct"/>
            <w:gridSpan w:val="2"/>
            <w:tcBorders>
              <w:top w:val="nil"/>
              <w:left w:val="nil"/>
              <w:bottom w:val="single" w:sz="4" w:space="0" w:color="auto"/>
              <w:right w:val="single" w:sz="4" w:space="0" w:color="auto"/>
            </w:tcBorders>
            <w:shd w:val="clear" w:color="auto" w:fill="auto"/>
            <w:noWrap/>
            <w:vAlign w:val="bottom"/>
          </w:tcPr>
          <w:p w14:paraId="3FB9F124" w14:textId="60A1345F" w:rsidR="00E263F4" w:rsidRPr="00E263F4" w:rsidRDefault="00E263F4" w:rsidP="00E263F4">
            <w:pPr>
              <w:spacing w:before="0" w:after="0" w:line="240" w:lineRule="auto"/>
              <w:jc w:val="center"/>
              <w:rPr>
                <w:color w:val="auto"/>
                <w:sz w:val="20"/>
                <w:szCs w:val="20"/>
              </w:rPr>
            </w:pPr>
            <w:r w:rsidRPr="00E263F4">
              <w:rPr>
                <w:color w:val="000000"/>
                <w:sz w:val="22"/>
                <w:szCs w:val="22"/>
              </w:rPr>
              <w:t>332</w:t>
            </w:r>
          </w:p>
        </w:tc>
      </w:tr>
      <w:tr w:rsidR="00E263F4" w:rsidRPr="00E263F4" w14:paraId="1ACE73E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690954A" w14:textId="77777777" w:rsidR="00E263F4" w:rsidRPr="00E263F4" w:rsidRDefault="00E263F4" w:rsidP="00E263F4">
            <w:pPr>
              <w:spacing w:before="0" w:after="0" w:line="240" w:lineRule="auto"/>
              <w:rPr>
                <w:b/>
                <w:bCs/>
                <w:color w:val="auto"/>
                <w:sz w:val="20"/>
                <w:szCs w:val="20"/>
              </w:rPr>
            </w:pPr>
            <w:r w:rsidRPr="00E263F4">
              <w:rPr>
                <w:b/>
                <w:bCs/>
                <w:color w:val="auto"/>
                <w:sz w:val="20"/>
                <w:szCs w:val="20"/>
              </w:rPr>
              <w:t xml:space="preserve">Grouped Mean </w:t>
            </w:r>
          </w:p>
        </w:tc>
        <w:tc>
          <w:tcPr>
            <w:tcW w:w="658" w:type="pct"/>
            <w:gridSpan w:val="2"/>
            <w:tcBorders>
              <w:top w:val="nil"/>
              <w:left w:val="nil"/>
              <w:bottom w:val="single" w:sz="4" w:space="0" w:color="auto"/>
              <w:right w:val="single" w:sz="4" w:space="0" w:color="auto"/>
            </w:tcBorders>
            <w:shd w:val="clear" w:color="auto" w:fill="auto"/>
            <w:noWrap/>
            <w:vAlign w:val="bottom"/>
          </w:tcPr>
          <w:p w14:paraId="33BC2188" w14:textId="23630405"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326</w:t>
            </w:r>
          </w:p>
        </w:tc>
        <w:tc>
          <w:tcPr>
            <w:tcW w:w="660" w:type="pct"/>
            <w:gridSpan w:val="2"/>
            <w:tcBorders>
              <w:top w:val="nil"/>
              <w:left w:val="nil"/>
              <w:bottom w:val="single" w:sz="4" w:space="0" w:color="auto"/>
              <w:right w:val="single" w:sz="4" w:space="0" w:color="auto"/>
            </w:tcBorders>
            <w:shd w:val="clear" w:color="auto" w:fill="auto"/>
            <w:noWrap/>
            <w:vAlign w:val="bottom"/>
          </w:tcPr>
          <w:p w14:paraId="535F3C97" w14:textId="289DEFB0"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288</w:t>
            </w:r>
          </w:p>
        </w:tc>
        <w:tc>
          <w:tcPr>
            <w:tcW w:w="540" w:type="pct"/>
            <w:tcBorders>
              <w:top w:val="nil"/>
              <w:left w:val="nil"/>
              <w:bottom w:val="single" w:sz="4" w:space="0" w:color="auto"/>
              <w:right w:val="single" w:sz="4" w:space="0" w:color="auto"/>
            </w:tcBorders>
            <w:shd w:val="clear" w:color="auto" w:fill="auto"/>
            <w:noWrap/>
            <w:vAlign w:val="bottom"/>
          </w:tcPr>
          <w:p w14:paraId="07A45310" w14:textId="4E00EB6F"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234</w:t>
            </w:r>
          </w:p>
        </w:tc>
        <w:tc>
          <w:tcPr>
            <w:tcW w:w="553" w:type="pct"/>
            <w:gridSpan w:val="2"/>
            <w:tcBorders>
              <w:top w:val="nil"/>
              <w:left w:val="nil"/>
              <w:bottom w:val="single" w:sz="4" w:space="0" w:color="auto"/>
              <w:right w:val="single" w:sz="4" w:space="0" w:color="auto"/>
            </w:tcBorders>
            <w:shd w:val="clear" w:color="auto" w:fill="auto"/>
            <w:noWrap/>
            <w:vAlign w:val="bottom"/>
          </w:tcPr>
          <w:p w14:paraId="461336FF" w14:textId="1454D985"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206</w:t>
            </w:r>
          </w:p>
        </w:tc>
        <w:tc>
          <w:tcPr>
            <w:tcW w:w="697" w:type="pct"/>
            <w:gridSpan w:val="2"/>
            <w:tcBorders>
              <w:top w:val="nil"/>
              <w:left w:val="nil"/>
              <w:bottom w:val="single" w:sz="4" w:space="0" w:color="auto"/>
              <w:right w:val="single" w:sz="4" w:space="0" w:color="auto"/>
            </w:tcBorders>
            <w:shd w:val="clear" w:color="auto" w:fill="auto"/>
            <w:noWrap/>
            <w:vAlign w:val="bottom"/>
          </w:tcPr>
          <w:p w14:paraId="6A31B897" w14:textId="16296EC7"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248</w:t>
            </w:r>
          </w:p>
        </w:tc>
        <w:tc>
          <w:tcPr>
            <w:tcW w:w="690" w:type="pct"/>
            <w:gridSpan w:val="2"/>
            <w:tcBorders>
              <w:top w:val="nil"/>
              <w:left w:val="nil"/>
              <w:bottom w:val="single" w:sz="4" w:space="0" w:color="auto"/>
              <w:right w:val="single" w:sz="4" w:space="0" w:color="auto"/>
            </w:tcBorders>
            <w:shd w:val="clear" w:color="auto" w:fill="auto"/>
            <w:noWrap/>
            <w:vAlign w:val="bottom"/>
          </w:tcPr>
          <w:p w14:paraId="10835E89" w14:textId="4E8B8941"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285</w:t>
            </w:r>
          </w:p>
        </w:tc>
      </w:tr>
      <w:tr w:rsidR="00E263F4" w:rsidRPr="00E263F4" w14:paraId="1EF21E9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D413F5A" w14:textId="77777777" w:rsidR="00E263F4" w:rsidRPr="00E263F4" w:rsidRDefault="00E263F4" w:rsidP="00E263F4">
            <w:pPr>
              <w:spacing w:before="0" w:after="0" w:line="240" w:lineRule="auto"/>
              <w:rPr>
                <w:b/>
                <w:bCs/>
                <w:color w:val="auto"/>
                <w:sz w:val="20"/>
                <w:szCs w:val="20"/>
              </w:rPr>
            </w:pPr>
            <w:r w:rsidRPr="00E263F4">
              <w:rPr>
                <w:b/>
                <w:bCs/>
                <w:color w:val="auto"/>
                <w:sz w:val="20"/>
                <w:szCs w:val="20"/>
              </w:rPr>
              <w:t>SD</w:t>
            </w:r>
          </w:p>
        </w:tc>
        <w:tc>
          <w:tcPr>
            <w:tcW w:w="658" w:type="pct"/>
            <w:gridSpan w:val="2"/>
            <w:tcBorders>
              <w:top w:val="nil"/>
              <w:left w:val="nil"/>
              <w:bottom w:val="single" w:sz="4" w:space="0" w:color="auto"/>
              <w:right w:val="single" w:sz="4" w:space="0" w:color="auto"/>
            </w:tcBorders>
            <w:shd w:val="clear" w:color="auto" w:fill="auto"/>
            <w:noWrap/>
            <w:vAlign w:val="bottom"/>
          </w:tcPr>
          <w:p w14:paraId="4B28691D" w14:textId="5A1D6EF5"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66</w:t>
            </w:r>
          </w:p>
        </w:tc>
        <w:tc>
          <w:tcPr>
            <w:tcW w:w="660" w:type="pct"/>
            <w:gridSpan w:val="2"/>
            <w:tcBorders>
              <w:top w:val="nil"/>
              <w:left w:val="nil"/>
              <w:bottom w:val="single" w:sz="4" w:space="0" w:color="auto"/>
              <w:right w:val="single" w:sz="4" w:space="0" w:color="auto"/>
            </w:tcBorders>
            <w:shd w:val="clear" w:color="auto" w:fill="auto"/>
            <w:noWrap/>
            <w:vAlign w:val="bottom"/>
          </w:tcPr>
          <w:p w14:paraId="68555C78" w14:textId="36369FDF"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58</w:t>
            </w:r>
          </w:p>
        </w:tc>
        <w:tc>
          <w:tcPr>
            <w:tcW w:w="540" w:type="pct"/>
            <w:tcBorders>
              <w:top w:val="nil"/>
              <w:left w:val="nil"/>
              <w:bottom w:val="single" w:sz="4" w:space="0" w:color="auto"/>
              <w:right w:val="single" w:sz="4" w:space="0" w:color="auto"/>
            </w:tcBorders>
            <w:shd w:val="clear" w:color="auto" w:fill="auto"/>
            <w:noWrap/>
            <w:vAlign w:val="bottom"/>
          </w:tcPr>
          <w:p w14:paraId="2DC946C1" w14:textId="689FF2F2"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53</w:t>
            </w:r>
          </w:p>
        </w:tc>
        <w:tc>
          <w:tcPr>
            <w:tcW w:w="553" w:type="pct"/>
            <w:gridSpan w:val="2"/>
            <w:tcBorders>
              <w:top w:val="nil"/>
              <w:left w:val="nil"/>
              <w:bottom w:val="single" w:sz="4" w:space="0" w:color="auto"/>
              <w:right w:val="single" w:sz="4" w:space="0" w:color="auto"/>
            </w:tcBorders>
            <w:shd w:val="clear" w:color="auto" w:fill="auto"/>
            <w:noWrap/>
            <w:vAlign w:val="bottom"/>
          </w:tcPr>
          <w:p w14:paraId="1DAC27D1" w14:textId="5B380BF3"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68</w:t>
            </w:r>
          </w:p>
        </w:tc>
        <w:tc>
          <w:tcPr>
            <w:tcW w:w="697" w:type="pct"/>
            <w:gridSpan w:val="2"/>
            <w:tcBorders>
              <w:top w:val="nil"/>
              <w:left w:val="nil"/>
              <w:bottom w:val="single" w:sz="4" w:space="0" w:color="auto"/>
              <w:right w:val="single" w:sz="4" w:space="0" w:color="auto"/>
            </w:tcBorders>
            <w:shd w:val="clear" w:color="auto" w:fill="auto"/>
            <w:noWrap/>
            <w:vAlign w:val="bottom"/>
          </w:tcPr>
          <w:p w14:paraId="70803E43" w14:textId="102F418C"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75</w:t>
            </w:r>
          </w:p>
        </w:tc>
        <w:tc>
          <w:tcPr>
            <w:tcW w:w="690" w:type="pct"/>
            <w:gridSpan w:val="2"/>
            <w:tcBorders>
              <w:top w:val="nil"/>
              <w:left w:val="nil"/>
              <w:bottom w:val="single" w:sz="4" w:space="0" w:color="auto"/>
              <w:right w:val="single" w:sz="4" w:space="0" w:color="auto"/>
            </w:tcBorders>
            <w:shd w:val="clear" w:color="auto" w:fill="auto"/>
            <w:noWrap/>
            <w:vAlign w:val="bottom"/>
          </w:tcPr>
          <w:p w14:paraId="02E1792B" w14:textId="7FF24A48"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82</w:t>
            </w:r>
          </w:p>
        </w:tc>
      </w:tr>
      <w:tr w:rsidR="00D0688A" w:rsidRPr="00E263F4" w14:paraId="403F22AE" w14:textId="77777777" w:rsidTr="00E263F4">
        <w:trPr>
          <w:trHeight w:val="20"/>
        </w:trPr>
        <w:tc>
          <w:tcPr>
            <w:tcW w:w="12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8C7AFF" w14:textId="77777777" w:rsidR="00D0688A" w:rsidRPr="00E263F4" w:rsidRDefault="00D0688A" w:rsidP="00673CE6">
            <w:pPr>
              <w:numPr>
                <w:ilvl w:val="1"/>
                <w:numId w:val="153"/>
              </w:numPr>
              <w:spacing w:before="0" w:after="0" w:line="240" w:lineRule="auto"/>
              <w:ind w:left="157" w:hanging="203"/>
              <w:contextualSpacing/>
              <w:jc w:val="left"/>
              <w:rPr>
                <w:b/>
                <w:bCs/>
                <w:color w:val="auto"/>
                <w:sz w:val="20"/>
                <w:szCs w:val="20"/>
              </w:rPr>
            </w:pPr>
            <w:r w:rsidRPr="00E263F4">
              <w:rPr>
                <w:b/>
                <w:bCs/>
                <w:color w:val="auto"/>
                <w:sz w:val="20"/>
                <w:szCs w:val="20"/>
              </w:rPr>
              <w:t>Gain</w:t>
            </w:r>
          </w:p>
        </w:tc>
        <w:tc>
          <w:tcPr>
            <w:tcW w:w="1863" w:type="pct"/>
            <w:gridSpan w:val="6"/>
            <w:tcBorders>
              <w:top w:val="single" w:sz="4" w:space="0" w:color="auto"/>
              <w:left w:val="nil"/>
              <w:bottom w:val="single" w:sz="4" w:space="0" w:color="auto"/>
              <w:right w:val="single" w:sz="4" w:space="0" w:color="auto"/>
            </w:tcBorders>
            <w:shd w:val="clear" w:color="auto" w:fill="auto"/>
            <w:noWrap/>
            <w:vAlign w:val="bottom"/>
            <w:hideMark/>
          </w:tcPr>
          <w:p w14:paraId="2D5767F2" w14:textId="1D30ACF8" w:rsidR="00D0688A" w:rsidRPr="00E263F4" w:rsidRDefault="00D0688A" w:rsidP="00E263F4">
            <w:pPr>
              <w:spacing w:before="0" w:after="0" w:line="240" w:lineRule="auto"/>
              <w:jc w:val="center"/>
              <w:rPr>
                <w:b/>
                <w:bCs/>
                <w:color w:val="auto"/>
                <w:sz w:val="20"/>
                <w:szCs w:val="20"/>
              </w:rPr>
            </w:pPr>
            <w:r w:rsidRPr="00E263F4">
              <w:rPr>
                <w:b/>
                <w:bCs/>
                <w:color w:val="auto"/>
                <w:sz w:val="20"/>
                <w:szCs w:val="20"/>
              </w:rPr>
              <w:t>Down</w:t>
            </w:r>
            <w:r w:rsidR="00E263F4">
              <w:rPr>
                <w:b/>
                <w:bCs/>
                <w:color w:val="auto"/>
                <w:sz w:val="20"/>
                <w:szCs w:val="20"/>
              </w:rPr>
              <w:t>w</w:t>
            </w:r>
            <w:r w:rsidRPr="00E263F4">
              <w:rPr>
                <w:b/>
                <w:bCs/>
                <w:color w:val="auto"/>
                <w:sz w:val="20"/>
                <w:szCs w:val="20"/>
              </w:rPr>
              <w:t>ard saccades</w:t>
            </w:r>
          </w:p>
        </w:tc>
        <w:tc>
          <w:tcPr>
            <w:tcW w:w="1935" w:type="pct"/>
            <w:gridSpan w:val="5"/>
            <w:tcBorders>
              <w:top w:val="single" w:sz="4" w:space="0" w:color="auto"/>
              <w:left w:val="nil"/>
              <w:bottom w:val="single" w:sz="4" w:space="0" w:color="auto"/>
              <w:right w:val="single" w:sz="4" w:space="0" w:color="auto"/>
            </w:tcBorders>
            <w:shd w:val="clear" w:color="auto" w:fill="auto"/>
            <w:noWrap/>
            <w:vAlign w:val="bottom"/>
            <w:hideMark/>
          </w:tcPr>
          <w:p w14:paraId="0D3B8A8E" w14:textId="2CA44A81" w:rsidR="00D0688A" w:rsidRPr="00E263F4" w:rsidRDefault="00D0688A" w:rsidP="00E263F4">
            <w:pPr>
              <w:spacing w:before="0" w:after="0" w:line="240" w:lineRule="auto"/>
              <w:jc w:val="center"/>
              <w:rPr>
                <w:b/>
                <w:bCs/>
                <w:color w:val="auto"/>
                <w:sz w:val="20"/>
                <w:szCs w:val="20"/>
              </w:rPr>
            </w:pPr>
            <w:r w:rsidRPr="00E263F4">
              <w:rPr>
                <w:b/>
                <w:bCs/>
                <w:color w:val="auto"/>
                <w:sz w:val="20"/>
                <w:szCs w:val="20"/>
              </w:rPr>
              <w:t>Upward saccades</w:t>
            </w:r>
          </w:p>
        </w:tc>
      </w:tr>
      <w:tr w:rsidR="00D0688A" w:rsidRPr="00E263F4" w14:paraId="2D68343D"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512256C9"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Young (18-39 years old)</w:t>
            </w:r>
          </w:p>
        </w:tc>
      </w:tr>
      <w:tr w:rsidR="00D0688A" w:rsidRPr="00E263F4" w14:paraId="630F73DB"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11A8CC20"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13AB9170" w14:textId="77777777" w:rsidR="00D0688A" w:rsidRPr="00E263F4" w:rsidRDefault="00D0688A" w:rsidP="00D0688A">
            <w:pPr>
              <w:spacing w:before="0" w:after="0" w:line="240" w:lineRule="auto"/>
              <w:rPr>
                <w:color w:val="auto"/>
                <w:sz w:val="20"/>
                <w:szCs w:val="20"/>
              </w:rPr>
            </w:pPr>
          </w:p>
          <w:p w14:paraId="37F736CD"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03" w:type="pct"/>
            <w:tcBorders>
              <w:top w:val="nil"/>
              <w:left w:val="nil"/>
              <w:bottom w:val="single" w:sz="4" w:space="0" w:color="auto"/>
              <w:right w:val="single" w:sz="4" w:space="0" w:color="auto"/>
            </w:tcBorders>
            <w:shd w:val="clear" w:color="auto" w:fill="auto"/>
            <w:noWrap/>
            <w:hideMark/>
          </w:tcPr>
          <w:p w14:paraId="21FE2A65" w14:textId="722E74EE"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29" w:type="pct"/>
            <w:gridSpan w:val="2"/>
            <w:tcBorders>
              <w:top w:val="nil"/>
              <w:left w:val="nil"/>
              <w:bottom w:val="single" w:sz="4" w:space="0" w:color="auto"/>
              <w:right w:val="single" w:sz="4" w:space="0" w:color="auto"/>
            </w:tcBorders>
            <w:shd w:val="clear" w:color="auto" w:fill="auto"/>
            <w:noWrap/>
            <w:hideMark/>
          </w:tcPr>
          <w:p w14:paraId="2EAD28F4" w14:textId="31EE0FC9"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31" w:type="pct"/>
            <w:gridSpan w:val="3"/>
            <w:tcBorders>
              <w:top w:val="nil"/>
              <w:left w:val="nil"/>
              <w:bottom w:val="single" w:sz="4" w:space="0" w:color="auto"/>
              <w:right w:val="single" w:sz="4" w:space="0" w:color="auto"/>
            </w:tcBorders>
            <w:shd w:val="clear" w:color="auto" w:fill="auto"/>
            <w:noWrap/>
            <w:hideMark/>
          </w:tcPr>
          <w:p w14:paraId="4408DE53" w14:textId="00182E4A"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45" w:type="pct"/>
            <w:gridSpan w:val="2"/>
            <w:tcBorders>
              <w:top w:val="nil"/>
              <w:left w:val="nil"/>
              <w:bottom w:val="single" w:sz="4" w:space="0" w:color="auto"/>
              <w:right w:val="single" w:sz="4" w:space="0" w:color="auto"/>
            </w:tcBorders>
            <w:shd w:val="clear" w:color="auto" w:fill="auto"/>
            <w:noWrap/>
            <w:hideMark/>
          </w:tcPr>
          <w:p w14:paraId="2345ED25" w14:textId="38096DFA"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46" w:type="pct"/>
            <w:gridSpan w:val="2"/>
            <w:tcBorders>
              <w:top w:val="nil"/>
              <w:left w:val="nil"/>
              <w:bottom w:val="single" w:sz="4" w:space="0" w:color="auto"/>
              <w:right w:val="single" w:sz="4" w:space="0" w:color="auto"/>
            </w:tcBorders>
            <w:shd w:val="clear" w:color="auto" w:fill="auto"/>
            <w:noWrap/>
            <w:hideMark/>
          </w:tcPr>
          <w:p w14:paraId="4CA779DC" w14:textId="3C550842"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44" w:type="pct"/>
            <w:tcBorders>
              <w:top w:val="nil"/>
              <w:left w:val="nil"/>
              <w:bottom w:val="single" w:sz="4" w:space="0" w:color="auto"/>
              <w:right w:val="single" w:sz="4" w:space="0" w:color="auto"/>
            </w:tcBorders>
            <w:shd w:val="clear" w:color="auto" w:fill="auto"/>
            <w:noWrap/>
            <w:hideMark/>
          </w:tcPr>
          <w:p w14:paraId="4FFAC975" w14:textId="6D3136BD"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9359DC" w:rsidRPr="00E263F4" w14:paraId="341EEB1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2DC770B" w14:textId="77777777" w:rsidR="009359DC" w:rsidRPr="00E263F4" w:rsidRDefault="009359DC" w:rsidP="009359DC">
            <w:pPr>
              <w:spacing w:before="0" w:after="0" w:line="240" w:lineRule="auto"/>
              <w:rPr>
                <w:color w:val="auto"/>
                <w:sz w:val="20"/>
                <w:szCs w:val="20"/>
              </w:rPr>
            </w:pPr>
            <w:r w:rsidRPr="00E263F4">
              <w:rPr>
                <w:color w:val="auto"/>
                <w:sz w:val="20"/>
                <w:szCs w:val="20"/>
              </w:rPr>
              <w:t>1</w:t>
            </w:r>
          </w:p>
        </w:tc>
        <w:tc>
          <w:tcPr>
            <w:tcW w:w="603" w:type="pct"/>
            <w:tcBorders>
              <w:top w:val="nil"/>
              <w:left w:val="nil"/>
              <w:bottom w:val="single" w:sz="4" w:space="0" w:color="auto"/>
              <w:right w:val="single" w:sz="4" w:space="0" w:color="auto"/>
            </w:tcBorders>
            <w:shd w:val="clear" w:color="auto" w:fill="auto"/>
            <w:noWrap/>
            <w:vAlign w:val="bottom"/>
          </w:tcPr>
          <w:p w14:paraId="3ECFBCB5" w14:textId="7258E9FE" w:rsidR="009359DC" w:rsidRPr="00E263F4" w:rsidRDefault="009359DC" w:rsidP="00E263F4">
            <w:pPr>
              <w:spacing w:before="0" w:after="0" w:line="240" w:lineRule="auto"/>
              <w:jc w:val="center"/>
              <w:rPr>
                <w:color w:val="auto"/>
                <w:sz w:val="20"/>
                <w:szCs w:val="20"/>
              </w:rPr>
            </w:pPr>
            <w:r w:rsidRPr="00E263F4">
              <w:rPr>
                <w:color w:val="000000"/>
                <w:sz w:val="22"/>
                <w:szCs w:val="22"/>
              </w:rPr>
              <w:t>0.90</w:t>
            </w:r>
          </w:p>
        </w:tc>
        <w:tc>
          <w:tcPr>
            <w:tcW w:w="629" w:type="pct"/>
            <w:gridSpan w:val="2"/>
            <w:tcBorders>
              <w:top w:val="nil"/>
              <w:left w:val="nil"/>
              <w:bottom w:val="single" w:sz="4" w:space="0" w:color="auto"/>
              <w:right w:val="single" w:sz="4" w:space="0" w:color="auto"/>
            </w:tcBorders>
            <w:shd w:val="clear" w:color="auto" w:fill="auto"/>
            <w:noWrap/>
            <w:vAlign w:val="bottom"/>
          </w:tcPr>
          <w:p w14:paraId="4287522E" w14:textId="5815AA03"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c>
          <w:tcPr>
            <w:tcW w:w="631" w:type="pct"/>
            <w:gridSpan w:val="3"/>
            <w:tcBorders>
              <w:top w:val="nil"/>
              <w:left w:val="nil"/>
              <w:bottom w:val="single" w:sz="4" w:space="0" w:color="auto"/>
              <w:right w:val="single" w:sz="4" w:space="0" w:color="auto"/>
            </w:tcBorders>
            <w:shd w:val="clear" w:color="auto" w:fill="auto"/>
            <w:noWrap/>
            <w:vAlign w:val="bottom"/>
          </w:tcPr>
          <w:p w14:paraId="5C68942A" w14:textId="52280EEE"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c>
          <w:tcPr>
            <w:tcW w:w="645" w:type="pct"/>
            <w:gridSpan w:val="2"/>
            <w:tcBorders>
              <w:top w:val="nil"/>
              <w:left w:val="nil"/>
              <w:bottom w:val="single" w:sz="4" w:space="0" w:color="auto"/>
              <w:right w:val="single" w:sz="4" w:space="0" w:color="auto"/>
            </w:tcBorders>
            <w:shd w:val="clear" w:color="auto" w:fill="auto"/>
            <w:noWrap/>
            <w:vAlign w:val="bottom"/>
          </w:tcPr>
          <w:p w14:paraId="3308E6DA" w14:textId="65D19221" w:rsidR="009359DC" w:rsidRPr="00E263F4" w:rsidRDefault="009359DC" w:rsidP="00E263F4">
            <w:pPr>
              <w:spacing w:before="0" w:after="0" w:line="240" w:lineRule="auto"/>
              <w:jc w:val="center"/>
              <w:rPr>
                <w:color w:val="auto"/>
                <w:sz w:val="20"/>
                <w:szCs w:val="20"/>
              </w:rPr>
            </w:pPr>
            <w:r w:rsidRPr="00E263F4">
              <w:rPr>
                <w:color w:val="000000"/>
                <w:sz w:val="22"/>
                <w:szCs w:val="22"/>
              </w:rPr>
              <w:t>1.11</w:t>
            </w:r>
          </w:p>
        </w:tc>
        <w:tc>
          <w:tcPr>
            <w:tcW w:w="646" w:type="pct"/>
            <w:gridSpan w:val="2"/>
            <w:tcBorders>
              <w:top w:val="nil"/>
              <w:left w:val="nil"/>
              <w:bottom w:val="single" w:sz="4" w:space="0" w:color="auto"/>
              <w:right w:val="single" w:sz="4" w:space="0" w:color="auto"/>
            </w:tcBorders>
            <w:shd w:val="clear" w:color="auto" w:fill="auto"/>
            <w:noWrap/>
            <w:vAlign w:val="bottom"/>
          </w:tcPr>
          <w:p w14:paraId="778CF9A1" w14:textId="33DFFBBE" w:rsidR="009359DC" w:rsidRPr="00E263F4" w:rsidRDefault="009359DC" w:rsidP="00E263F4">
            <w:pPr>
              <w:spacing w:before="0" w:after="0" w:line="240" w:lineRule="auto"/>
              <w:jc w:val="center"/>
              <w:rPr>
                <w:color w:val="auto"/>
                <w:sz w:val="20"/>
                <w:szCs w:val="20"/>
              </w:rPr>
            </w:pPr>
            <w:r w:rsidRPr="00E263F4">
              <w:rPr>
                <w:color w:val="000000"/>
                <w:sz w:val="22"/>
                <w:szCs w:val="22"/>
              </w:rPr>
              <w:t>1.12</w:t>
            </w:r>
          </w:p>
        </w:tc>
        <w:tc>
          <w:tcPr>
            <w:tcW w:w="644" w:type="pct"/>
            <w:tcBorders>
              <w:top w:val="nil"/>
              <w:left w:val="nil"/>
              <w:bottom w:val="single" w:sz="4" w:space="0" w:color="auto"/>
              <w:right w:val="single" w:sz="4" w:space="0" w:color="auto"/>
            </w:tcBorders>
            <w:shd w:val="clear" w:color="auto" w:fill="auto"/>
            <w:noWrap/>
            <w:vAlign w:val="bottom"/>
          </w:tcPr>
          <w:p w14:paraId="76519DC8" w14:textId="32C97640" w:rsidR="009359DC" w:rsidRPr="00E263F4" w:rsidRDefault="009359DC" w:rsidP="00E263F4">
            <w:pPr>
              <w:spacing w:before="0" w:after="0" w:line="240" w:lineRule="auto"/>
              <w:jc w:val="center"/>
              <w:rPr>
                <w:color w:val="auto"/>
                <w:sz w:val="20"/>
                <w:szCs w:val="20"/>
              </w:rPr>
            </w:pPr>
            <w:r w:rsidRPr="00E263F4">
              <w:rPr>
                <w:color w:val="000000"/>
                <w:sz w:val="22"/>
                <w:szCs w:val="22"/>
              </w:rPr>
              <w:t>1.10</w:t>
            </w:r>
          </w:p>
        </w:tc>
      </w:tr>
      <w:tr w:rsidR="009359DC" w:rsidRPr="00E263F4" w14:paraId="05575A2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12D4DFC" w14:textId="77777777" w:rsidR="009359DC" w:rsidRPr="00E263F4" w:rsidRDefault="009359DC" w:rsidP="009359DC">
            <w:pPr>
              <w:spacing w:before="0" w:after="0" w:line="240" w:lineRule="auto"/>
              <w:rPr>
                <w:color w:val="auto"/>
                <w:sz w:val="20"/>
                <w:szCs w:val="20"/>
              </w:rPr>
            </w:pPr>
            <w:r w:rsidRPr="00E263F4">
              <w:rPr>
                <w:color w:val="auto"/>
                <w:sz w:val="20"/>
                <w:szCs w:val="20"/>
              </w:rPr>
              <w:t>2</w:t>
            </w:r>
          </w:p>
        </w:tc>
        <w:tc>
          <w:tcPr>
            <w:tcW w:w="603" w:type="pct"/>
            <w:tcBorders>
              <w:top w:val="nil"/>
              <w:left w:val="nil"/>
              <w:bottom w:val="single" w:sz="4" w:space="0" w:color="auto"/>
              <w:right w:val="single" w:sz="4" w:space="0" w:color="auto"/>
            </w:tcBorders>
            <w:shd w:val="clear" w:color="auto" w:fill="auto"/>
            <w:noWrap/>
            <w:vAlign w:val="bottom"/>
          </w:tcPr>
          <w:p w14:paraId="62158FB7" w14:textId="75CA4100" w:rsidR="009359DC" w:rsidRPr="00E263F4" w:rsidRDefault="009359DC" w:rsidP="00E263F4">
            <w:pPr>
              <w:spacing w:before="0" w:after="0" w:line="240" w:lineRule="auto"/>
              <w:jc w:val="center"/>
              <w:rPr>
                <w:color w:val="auto"/>
                <w:sz w:val="20"/>
                <w:szCs w:val="20"/>
              </w:rPr>
            </w:pPr>
            <w:r w:rsidRPr="00E263F4">
              <w:rPr>
                <w:color w:val="000000"/>
                <w:sz w:val="22"/>
                <w:szCs w:val="22"/>
              </w:rPr>
              <w:t>0.84</w:t>
            </w:r>
          </w:p>
        </w:tc>
        <w:tc>
          <w:tcPr>
            <w:tcW w:w="629" w:type="pct"/>
            <w:gridSpan w:val="2"/>
            <w:tcBorders>
              <w:top w:val="nil"/>
              <w:left w:val="nil"/>
              <w:bottom w:val="single" w:sz="4" w:space="0" w:color="auto"/>
              <w:right w:val="single" w:sz="4" w:space="0" w:color="auto"/>
            </w:tcBorders>
            <w:shd w:val="clear" w:color="auto" w:fill="auto"/>
            <w:noWrap/>
            <w:vAlign w:val="bottom"/>
          </w:tcPr>
          <w:p w14:paraId="70375125" w14:textId="6B2C8F57" w:rsidR="009359DC" w:rsidRPr="00E263F4" w:rsidRDefault="009359DC" w:rsidP="00E263F4">
            <w:pPr>
              <w:spacing w:before="0" w:after="0" w:line="240" w:lineRule="auto"/>
              <w:jc w:val="center"/>
              <w:rPr>
                <w:color w:val="auto"/>
                <w:sz w:val="20"/>
                <w:szCs w:val="20"/>
              </w:rPr>
            </w:pPr>
            <w:r w:rsidRPr="00E263F4">
              <w:rPr>
                <w:color w:val="000000"/>
                <w:sz w:val="22"/>
                <w:szCs w:val="22"/>
              </w:rPr>
              <w:t>0.90</w:t>
            </w:r>
          </w:p>
        </w:tc>
        <w:tc>
          <w:tcPr>
            <w:tcW w:w="631" w:type="pct"/>
            <w:gridSpan w:val="3"/>
            <w:tcBorders>
              <w:top w:val="nil"/>
              <w:left w:val="nil"/>
              <w:bottom w:val="single" w:sz="4" w:space="0" w:color="auto"/>
              <w:right w:val="single" w:sz="4" w:space="0" w:color="auto"/>
            </w:tcBorders>
            <w:shd w:val="clear" w:color="auto" w:fill="auto"/>
            <w:noWrap/>
            <w:vAlign w:val="bottom"/>
          </w:tcPr>
          <w:p w14:paraId="1530E757" w14:textId="2783DDA4"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45" w:type="pct"/>
            <w:gridSpan w:val="2"/>
            <w:tcBorders>
              <w:top w:val="nil"/>
              <w:left w:val="nil"/>
              <w:bottom w:val="single" w:sz="4" w:space="0" w:color="auto"/>
              <w:right w:val="single" w:sz="4" w:space="0" w:color="auto"/>
            </w:tcBorders>
            <w:shd w:val="clear" w:color="auto" w:fill="auto"/>
            <w:noWrap/>
            <w:vAlign w:val="bottom"/>
          </w:tcPr>
          <w:p w14:paraId="1027A17E" w14:textId="08DA98C0" w:rsidR="009359DC" w:rsidRPr="00E263F4" w:rsidRDefault="009359DC" w:rsidP="00E263F4">
            <w:pPr>
              <w:spacing w:before="0" w:after="0" w:line="240" w:lineRule="auto"/>
              <w:jc w:val="center"/>
              <w:rPr>
                <w:color w:val="auto"/>
                <w:sz w:val="20"/>
                <w:szCs w:val="20"/>
              </w:rPr>
            </w:pPr>
            <w:r w:rsidRPr="00E263F4">
              <w:rPr>
                <w:color w:val="000000"/>
                <w:sz w:val="22"/>
                <w:szCs w:val="22"/>
              </w:rPr>
              <w:t>1.04</w:t>
            </w:r>
          </w:p>
        </w:tc>
        <w:tc>
          <w:tcPr>
            <w:tcW w:w="646" w:type="pct"/>
            <w:gridSpan w:val="2"/>
            <w:tcBorders>
              <w:top w:val="nil"/>
              <w:left w:val="nil"/>
              <w:bottom w:val="single" w:sz="4" w:space="0" w:color="auto"/>
              <w:right w:val="single" w:sz="4" w:space="0" w:color="auto"/>
            </w:tcBorders>
            <w:shd w:val="clear" w:color="auto" w:fill="auto"/>
            <w:noWrap/>
            <w:vAlign w:val="bottom"/>
          </w:tcPr>
          <w:p w14:paraId="5B6B0AAE" w14:textId="4522ABC2" w:rsidR="009359DC" w:rsidRPr="00E263F4" w:rsidRDefault="009359DC" w:rsidP="00E263F4">
            <w:pPr>
              <w:spacing w:before="0" w:after="0" w:line="240" w:lineRule="auto"/>
              <w:jc w:val="center"/>
              <w:rPr>
                <w:color w:val="auto"/>
                <w:sz w:val="20"/>
                <w:szCs w:val="20"/>
              </w:rPr>
            </w:pPr>
            <w:r w:rsidRPr="00E263F4">
              <w:rPr>
                <w:color w:val="000000"/>
                <w:sz w:val="22"/>
                <w:szCs w:val="22"/>
              </w:rPr>
              <w:t>1.02</w:t>
            </w:r>
          </w:p>
        </w:tc>
        <w:tc>
          <w:tcPr>
            <w:tcW w:w="644" w:type="pct"/>
            <w:tcBorders>
              <w:top w:val="nil"/>
              <w:left w:val="nil"/>
              <w:bottom w:val="single" w:sz="4" w:space="0" w:color="auto"/>
              <w:right w:val="single" w:sz="4" w:space="0" w:color="auto"/>
            </w:tcBorders>
            <w:shd w:val="clear" w:color="auto" w:fill="auto"/>
            <w:noWrap/>
            <w:vAlign w:val="bottom"/>
          </w:tcPr>
          <w:p w14:paraId="34859FFC" w14:textId="5E23F92E" w:rsidR="009359DC" w:rsidRPr="00E263F4" w:rsidRDefault="009359DC" w:rsidP="00E263F4">
            <w:pPr>
              <w:spacing w:before="0" w:after="0" w:line="240" w:lineRule="auto"/>
              <w:jc w:val="center"/>
              <w:rPr>
                <w:color w:val="auto"/>
                <w:sz w:val="20"/>
                <w:szCs w:val="20"/>
              </w:rPr>
            </w:pPr>
            <w:r w:rsidRPr="00E263F4">
              <w:rPr>
                <w:color w:val="000000"/>
                <w:sz w:val="22"/>
                <w:szCs w:val="22"/>
              </w:rPr>
              <w:t>1.12</w:t>
            </w:r>
          </w:p>
        </w:tc>
      </w:tr>
      <w:tr w:rsidR="009359DC" w:rsidRPr="00E263F4" w14:paraId="0F80AFC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32AF260" w14:textId="77777777" w:rsidR="009359DC" w:rsidRPr="00E263F4" w:rsidRDefault="009359DC" w:rsidP="009359DC">
            <w:pPr>
              <w:spacing w:before="0" w:after="0" w:line="240" w:lineRule="auto"/>
              <w:rPr>
                <w:color w:val="auto"/>
                <w:sz w:val="20"/>
                <w:szCs w:val="20"/>
              </w:rPr>
            </w:pPr>
            <w:r w:rsidRPr="00E263F4">
              <w:rPr>
                <w:color w:val="auto"/>
                <w:sz w:val="20"/>
                <w:szCs w:val="20"/>
              </w:rPr>
              <w:t>3</w:t>
            </w:r>
          </w:p>
        </w:tc>
        <w:tc>
          <w:tcPr>
            <w:tcW w:w="603" w:type="pct"/>
            <w:tcBorders>
              <w:top w:val="nil"/>
              <w:left w:val="nil"/>
              <w:bottom w:val="single" w:sz="4" w:space="0" w:color="auto"/>
              <w:right w:val="single" w:sz="4" w:space="0" w:color="auto"/>
            </w:tcBorders>
            <w:shd w:val="clear" w:color="auto" w:fill="auto"/>
            <w:noWrap/>
            <w:vAlign w:val="bottom"/>
          </w:tcPr>
          <w:p w14:paraId="21A0FCAE" w14:textId="251B5365"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29" w:type="pct"/>
            <w:gridSpan w:val="2"/>
            <w:tcBorders>
              <w:top w:val="nil"/>
              <w:left w:val="nil"/>
              <w:bottom w:val="single" w:sz="4" w:space="0" w:color="auto"/>
              <w:right w:val="single" w:sz="4" w:space="0" w:color="auto"/>
            </w:tcBorders>
            <w:shd w:val="clear" w:color="auto" w:fill="auto"/>
            <w:noWrap/>
            <w:vAlign w:val="bottom"/>
          </w:tcPr>
          <w:p w14:paraId="380A74B5" w14:textId="245B22EF" w:rsidR="009359DC" w:rsidRPr="00E263F4" w:rsidRDefault="009359DC" w:rsidP="00E263F4">
            <w:pPr>
              <w:spacing w:before="0" w:after="0" w:line="240" w:lineRule="auto"/>
              <w:jc w:val="center"/>
              <w:rPr>
                <w:color w:val="auto"/>
                <w:sz w:val="20"/>
                <w:szCs w:val="20"/>
              </w:rPr>
            </w:pPr>
            <w:r w:rsidRPr="00E263F4">
              <w:rPr>
                <w:color w:val="000000"/>
                <w:sz w:val="22"/>
                <w:szCs w:val="22"/>
              </w:rPr>
              <w:t>0.79</w:t>
            </w:r>
          </w:p>
        </w:tc>
        <w:tc>
          <w:tcPr>
            <w:tcW w:w="631" w:type="pct"/>
            <w:gridSpan w:val="3"/>
            <w:tcBorders>
              <w:top w:val="nil"/>
              <w:left w:val="nil"/>
              <w:bottom w:val="single" w:sz="4" w:space="0" w:color="auto"/>
              <w:right w:val="single" w:sz="4" w:space="0" w:color="auto"/>
            </w:tcBorders>
            <w:shd w:val="clear" w:color="auto" w:fill="auto"/>
            <w:noWrap/>
            <w:vAlign w:val="bottom"/>
          </w:tcPr>
          <w:p w14:paraId="042C17E7" w14:textId="5757EB1D" w:rsidR="009359DC" w:rsidRPr="00E263F4" w:rsidRDefault="009359DC" w:rsidP="00E263F4">
            <w:pPr>
              <w:spacing w:before="0" w:after="0" w:line="240" w:lineRule="auto"/>
              <w:jc w:val="center"/>
              <w:rPr>
                <w:color w:val="auto"/>
                <w:sz w:val="20"/>
                <w:szCs w:val="20"/>
              </w:rPr>
            </w:pPr>
            <w:r w:rsidRPr="00E263F4">
              <w:rPr>
                <w:color w:val="000000"/>
                <w:sz w:val="22"/>
                <w:szCs w:val="22"/>
              </w:rPr>
              <w:t>0.77</w:t>
            </w:r>
          </w:p>
        </w:tc>
        <w:tc>
          <w:tcPr>
            <w:tcW w:w="645" w:type="pct"/>
            <w:gridSpan w:val="2"/>
            <w:tcBorders>
              <w:top w:val="nil"/>
              <w:left w:val="nil"/>
              <w:bottom w:val="single" w:sz="4" w:space="0" w:color="auto"/>
              <w:right w:val="single" w:sz="4" w:space="0" w:color="auto"/>
            </w:tcBorders>
            <w:shd w:val="clear" w:color="auto" w:fill="auto"/>
            <w:noWrap/>
            <w:vAlign w:val="bottom"/>
          </w:tcPr>
          <w:p w14:paraId="2A9DABB9" w14:textId="62E38B87" w:rsidR="009359DC" w:rsidRPr="00E263F4" w:rsidRDefault="009359DC" w:rsidP="00E263F4">
            <w:pPr>
              <w:spacing w:before="0" w:after="0" w:line="240" w:lineRule="auto"/>
              <w:jc w:val="center"/>
              <w:rPr>
                <w:color w:val="auto"/>
                <w:sz w:val="20"/>
                <w:szCs w:val="20"/>
              </w:rPr>
            </w:pPr>
            <w:r w:rsidRPr="00E263F4">
              <w:rPr>
                <w:color w:val="000000"/>
                <w:sz w:val="22"/>
                <w:szCs w:val="22"/>
              </w:rPr>
              <w:t>0.90</w:t>
            </w:r>
          </w:p>
        </w:tc>
        <w:tc>
          <w:tcPr>
            <w:tcW w:w="646" w:type="pct"/>
            <w:gridSpan w:val="2"/>
            <w:tcBorders>
              <w:top w:val="nil"/>
              <w:left w:val="nil"/>
              <w:bottom w:val="single" w:sz="4" w:space="0" w:color="auto"/>
              <w:right w:val="single" w:sz="4" w:space="0" w:color="auto"/>
            </w:tcBorders>
            <w:shd w:val="clear" w:color="auto" w:fill="auto"/>
            <w:noWrap/>
            <w:vAlign w:val="bottom"/>
          </w:tcPr>
          <w:p w14:paraId="7DD19186" w14:textId="4E6CABA2"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c>
          <w:tcPr>
            <w:tcW w:w="644" w:type="pct"/>
            <w:tcBorders>
              <w:top w:val="nil"/>
              <w:left w:val="nil"/>
              <w:bottom w:val="single" w:sz="4" w:space="0" w:color="auto"/>
              <w:right w:val="single" w:sz="4" w:space="0" w:color="auto"/>
            </w:tcBorders>
            <w:shd w:val="clear" w:color="auto" w:fill="auto"/>
            <w:noWrap/>
            <w:vAlign w:val="bottom"/>
          </w:tcPr>
          <w:p w14:paraId="6BC8C028" w14:textId="3A014DC7" w:rsidR="009359DC" w:rsidRPr="00E263F4" w:rsidRDefault="009359DC" w:rsidP="00E263F4">
            <w:pPr>
              <w:spacing w:before="0" w:after="0" w:line="240" w:lineRule="auto"/>
              <w:jc w:val="center"/>
              <w:rPr>
                <w:color w:val="auto"/>
                <w:sz w:val="20"/>
                <w:szCs w:val="20"/>
              </w:rPr>
            </w:pPr>
            <w:r w:rsidRPr="00E263F4">
              <w:rPr>
                <w:color w:val="000000"/>
                <w:sz w:val="22"/>
                <w:szCs w:val="22"/>
              </w:rPr>
              <w:t>0.84</w:t>
            </w:r>
          </w:p>
        </w:tc>
      </w:tr>
      <w:tr w:rsidR="009359DC" w:rsidRPr="00E263F4" w14:paraId="24C97E0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6E31DE8" w14:textId="77777777" w:rsidR="009359DC" w:rsidRPr="00E263F4" w:rsidRDefault="009359DC" w:rsidP="009359DC">
            <w:pPr>
              <w:spacing w:before="0" w:after="0" w:line="240" w:lineRule="auto"/>
              <w:rPr>
                <w:color w:val="auto"/>
                <w:sz w:val="20"/>
                <w:szCs w:val="20"/>
              </w:rPr>
            </w:pPr>
            <w:r w:rsidRPr="00E263F4">
              <w:rPr>
                <w:color w:val="auto"/>
                <w:sz w:val="20"/>
                <w:szCs w:val="20"/>
              </w:rPr>
              <w:t>4</w:t>
            </w:r>
          </w:p>
        </w:tc>
        <w:tc>
          <w:tcPr>
            <w:tcW w:w="603" w:type="pct"/>
            <w:tcBorders>
              <w:top w:val="nil"/>
              <w:left w:val="nil"/>
              <w:bottom w:val="single" w:sz="4" w:space="0" w:color="auto"/>
              <w:right w:val="single" w:sz="4" w:space="0" w:color="auto"/>
            </w:tcBorders>
            <w:shd w:val="clear" w:color="auto" w:fill="auto"/>
            <w:noWrap/>
            <w:vAlign w:val="bottom"/>
          </w:tcPr>
          <w:p w14:paraId="61FF4038" w14:textId="5F11A2A8" w:rsidR="009359DC" w:rsidRPr="00E263F4" w:rsidRDefault="009359DC" w:rsidP="00E263F4">
            <w:pPr>
              <w:spacing w:before="0" w:after="0" w:line="240" w:lineRule="auto"/>
              <w:jc w:val="center"/>
              <w:rPr>
                <w:color w:val="auto"/>
                <w:sz w:val="20"/>
                <w:szCs w:val="20"/>
              </w:rPr>
            </w:pPr>
            <w:r w:rsidRPr="00E263F4">
              <w:rPr>
                <w:color w:val="000000"/>
                <w:sz w:val="22"/>
                <w:szCs w:val="22"/>
              </w:rPr>
              <w:t>0.83</w:t>
            </w:r>
          </w:p>
        </w:tc>
        <w:tc>
          <w:tcPr>
            <w:tcW w:w="629" w:type="pct"/>
            <w:gridSpan w:val="2"/>
            <w:tcBorders>
              <w:top w:val="nil"/>
              <w:left w:val="nil"/>
              <w:bottom w:val="single" w:sz="4" w:space="0" w:color="auto"/>
              <w:right w:val="single" w:sz="4" w:space="0" w:color="auto"/>
            </w:tcBorders>
            <w:shd w:val="clear" w:color="auto" w:fill="auto"/>
            <w:noWrap/>
            <w:vAlign w:val="bottom"/>
          </w:tcPr>
          <w:p w14:paraId="184F969D" w14:textId="4299FF4B"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4051B896" w14:textId="28E3A82E" w:rsidR="009359DC" w:rsidRPr="00E263F4" w:rsidRDefault="009359DC" w:rsidP="00E263F4">
            <w:pPr>
              <w:spacing w:before="0" w:after="0" w:line="240" w:lineRule="auto"/>
              <w:jc w:val="center"/>
              <w:rPr>
                <w:color w:val="auto"/>
                <w:sz w:val="20"/>
                <w:szCs w:val="20"/>
              </w:rPr>
            </w:pPr>
            <w:r w:rsidRPr="00E263F4">
              <w:rPr>
                <w:color w:val="000000"/>
                <w:sz w:val="22"/>
                <w:szCs w:val="22"/>
              </w:rPr>
              <w:t>0.94</w:t>
            </w:r>
          </w:p>
        </w:tc>
        <w:tc>
          <w:tcPr>
            <w:tcW w:w="645" w:type="pct"/>
            <w:gridSpan w:val="2"/>
            <w:tcBorders>
              <w:top w:val="nil"/>
              <w:left w:val="nil"/>
              <w:bottom w:val="single" w:sz="4" w:space="0" w:color="auto"/>
              <w:right w:val="single" w:sz="4" w:space="0" w:color="auto"/>
            </w:tcBorders>
            <w:shd w:val="clear" w:color="auto" w:fill="auto"/>
            <w:noWrap/>
            <w:vAlign w:val="bottom"/>
          </w:tcPr>
          <w:p w14:paraId="1A232B23" w14:textId="40B7AE93" w:rsidR="009359DC" w:rsidRPr="00E263F4" w:rsidRDefault="009359DC" w:rsidP="00E263F4">
            <w:pPr>
              <w:spacing w:before="0" w:after="0" w:line="240" w:lineRule="auto"/>
              <w:jc w:val="center"/>
              <w:rPr>
                <w:color w:val="auto"/>
                <w:sz w:val="20"/>
                <w:szCs w:val="20"/>
              </w:rPr>
            </w:pPr>
            <w:r w:rsidRPr="00E263F4">
              <w:rPr>
                <w:color w:val="000000"/>
                <w:sz w:val="22"/>
                <w:szCs w:val="22"/>
              </w:rPr>
              <w:t>0.79</w:t>
            </w:r>
          </w:p>
        </w:tc>
        <w:tc>
          <w:tcPr>
            <w:tcW w:w="646" w:type="pct"/>
            <w:gridSpan w:val="2"/>
            <w:tcBorders>
              <w:top w:val="nil"/>
              <w:left w:val="nil"/>
              <w:bottom w:val="single" w:sz="4" w:space="0" w:color="auto"/>
              <w:right w:val="single" w:sz="4" w:space="0" w:color="auto"/>
            </w:tcBorders>
            <w:shd w:val="clear" w:color="auto" w:fill="auto"/>
            <w:noWrap/>
            <w:vAlign w:val="bottom"/>
          </w:tcPr>
          <w:p w14:paraId="523A8C9F" w14:textId="61B10A47" w:rsidR="009359DC" w:rsidRPr="00E263F4" w:rsidRDefault="009359DC" w:rsidP="00E263F4">
            <w:pPr>
              <w:spacing w:before="0" w:after="0" w:line="240" w:lineRule="auto"/>
              <w:jc w:val="center"/>
              <w:rPr>
                <w:color w:val="auto"/>
                <w:sz w:val="20"/>
                <w:szCs w:val="20"/>
              </w:rPr>
            </w:pPr>
            <w:r w:rsidRPr="00E263F4">
              <w:rPr>
                <w:color w:val="000000"/>
                <w:sz w:val="22"/>
                <w:szCs w:val="22"/>
              </w:rPr>
              <w:t>0.81</w:t>
            </w:r>
          </w:p>
        </w:tc>
        <w:tc>
          <w:tcPr>
            <w:tcW w:w="644" w:type="pct"/>
            <w:tcBorders>
              <w:top w:val="nil"/>
              <w:left w:val="nil"/>
              <w:bottom w:val="single" w:sz="4" w:space="0" w:color="auto"/>
              <w:right w:val="single" w:sz="4" w:space="0" w:color="auto"/>
            </w:tcBorders>
            <w:shd w:val="clear" w:color="auto" w:fill="auto"/>
            <w:noWrap/>
            <w:vAlign w:val="bottom"/>
          </w:tcPr>
          <w:p w14:paraId="2B317E5D" w14:textId="5FE42D91" w:rsidR="009359DC" w:rsidRPr="00E263F4" w:rsidRDefault="009359DC" w:rsidP="00E263F4">
            <w:pPr>
              <w:spacing w:before="0" w:after="0" w:line="240" w:lineRule="auto"/>
              <w:jc w:val="center"/>
              <w:rPr>
                <w:color w:val="auto"/>
                <w:sz w:val="20"/>
                <w:szCs w:val="20"/>
              </w:rPr>
            </w:pPr>
            <w:r w:rsidRPr="00E263F4">
              <w:rPr>
                <w:color w:val="000000"/>
                <w:sz w:val="22"/>
                <w:szCs w:val="22"/>
              </w:rPr>
              <w:t>0.81</w:t>
            </w:r>
          </w:p>
        </w:tc>
      </w:tr>
      <w:tr w:rsidR="009359DC" w:rsidRPr="00E263F4" w14:paraId="019C8F7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0F43D30" w14:textId="77777777" w:rsidR="009359DC" w:rsidRPr="00E263F4" w:rsidRDefault="009359DC" w:rsidP="009359DC">
            <w:pPr>
              <w:spacing w:before="0" w:after="0" w:line="240" w:lineRule="auto"/>
              <w:rPr>
                <w:color w:val="auto"/>
                <w:sz w:val="20"/>
                <w:szCs w:val="20"/>
              </w:rPr>
            </w:pPr>
            <w:r w:rsidRPr="00E263F4">
              <w:rPr>
                <w:color w:val="auto"/>
                <w:sz w:val="20"/>
                <w:szCs w:val="20"/>
              </w:rPr>
              <w:lastRenderedPageBreak/>
              <w:t>5</w:t>
            </w:r>
          </w:p>
        </w:tc>
        <w:tc>
          <w:tcPr>
            <w:tcW w:w="603" w:type="pct"/>
            <w:tcBorders>
              <w:top w:val="nil"/>
              <w:left w:val="nil"/>
              <w:bottom w:val="single" w:sz="4" w:space="0" w:color="auto"/>
              <w:right w:val="single" w:sz="4" w:space="0" w:color="auto"/>
            </w:tcBorders>
            <w:shd w:val="clear" w:color="auto" w:fill="auto"/>
            <w:noWrap/>
            <w:vAlign w:val="bottom"/>
          </w:tcPr>
          <w:p w14:paraId="14DC3D32" w14:textId="4FB50378"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29" w:type="pct"/>
            <w:gridSpan w:val="2"/>
            <w:tcBorders>
              <w:top w:val="nil"/>
              <w:left w:val="nil"/>
              <w:bottom w:val="single" w:sz="4" w:space="0" w:color="auto"/>
              <w:right w:val="single" w:sz="4" w:space="0" w:color="auto"/>
            </w:tcBorders>
            <w:shd w:val="clear" w:color="auto" w:fill="auto"/>
            <w:noWrap/>
            <w:vAlign w:val="bottom"/>
          </w:tcPr>
          <w:p w14:paraId="60246A13" w14:textId="6E52ECBB"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70063C9B" w14:textId="7E50AF7A" w:rsidR="009359DC" w:rsidRPr="00E263F4" w:rsidRDefault="009359DC" w:rsidP="00E263F4">
            <w:pPr>
              <w:spacing w:before="0" w:after="0" w:line="240" w:lineRule="auto"/>
              <w:jc w:val="center"/>
              <w:rPr>
                <w:color w:val="auto"/>
                <w:sz w:val="20"/>
                <w:szCs w:val="20"/>
              </w:rPr>
            </w:pPr>
            <w:r w:rsidRPr="00E263F4">
              <w:rPr>
                <w:color w:val="000000"/>
                <w:sz w:val="22"/>
                <w:szCs w:val="22"/>
              </w:rPr>
              <w:t>0.83</w:t>
            </w:r>
          </w:p>
        </w:tc>
        <w:tc>
          <w:tcPr>
            <w:tcW w:w="645" w:type="pct"/>
            <w:gridSpan w:val="2"/>
            <w:tcBorders>
              <w:top w:val="nil"/>
              <w:left w:val="nil"/>
              <w:bottom w:val="single" w:sz="4" w:space="0" w:color="auto"/>
              <w:right w:val="single" w:sz="4" w:space="0" w:color="auto"/>
            </w:tcBorders>
            <w:shd w:val="clear" w:color="auto" w:fill="auto"/>
            <w:noWrap/>
            <w:vAlign w:val="bottom"/>
          </w:tcPr>
          <w:p w14:paraId="3A50011E" w14:textId="7868CABC" w:rsidR="009359DC" w:rsidRPr="00E263F4" w:rsidRDefault="009359DC" w:rsidP="00E263F4">
            <w:pPr>
              <w:spacing w:before="0" w:after="0" w:line="240" w:lineRule="auto"/>
              <w:jc w:val="center"/>
              <w:rPr>
                <w:color w:val="auto"/>
                <w:sz w:val="20"/>
                <w:szCs w:val="20"/>
              </w:rPr>
            </w:pPr>
            <w:r w:rsidRPr="00E263F4">
              <w:rPr>
                <w:color w:val="000000"/>
                <w:sz w:val="22"/>
                <w:szCs w:val="22"/>
              </w:rPr>
              <w:t>0.95</w:t>
            </w:r>
          </w:p>
        </w:tc>
        <w:tc>
          <w:tcPr>
            <w:tcW w:w="646" w:type="pct"/>
            <w:gridSpan w:val="2"/>
            <w:tcBorders>
              <w:top w:val="nil"/>
              <w:left w:val="nil"/>
              <w:bottom w:val="single" w:sz="4" w:space="0" w:color="auto"/>
              <w:right w:val="single" w:sz="4" w:space="0" w:color="auto"/>
            </w:tcBorders>
            <w:shd w:val="clear" w:color="auto" w:fill="auto"/>
            <w:noWrap/>
            <w:vAlign w:val="bottom"/>
          </w:tcPr>
          <w:p w14:paraId="2A47AAA6" w14:textId="67369265" w:rsidR="009359DC" w:rsidRPr="00E263F4" w:rsidRDefault="009359DC" w:rsidP="00E263F4">
            <w:pPr>
              <w:spacing w:before="0" w:after="0" w:line="240" w:lineRule="auto"/>
              <w:jc w:val="center"/>
              <w:rPr>
                <w:color w:val="auto"/>
                <w:sz w:val="20"/>
                <w:szCs w:val="20"/>
              </w:rPr>
            </w:pPr>
            <w:r w:rsidRPr="00E263F4">
              <w:rPr>
                <w:color w:val="000000"/>
                <w:sz w:val="22"/>
                <w:szCs w:val="22"/>
              </w:rPr>
              <w:t>0.89</w:t>
            </w:r>
          </w:p>
        </w:tc>
        <w:tc>
          <w:tcPr>
            <w:tcW w:w="644" w:type="pct"/>
            <w:tcBorders>
              <w:top w:val="nil"/>
              <w:left w:val="nil"/>
              <w:bottom w:val="single" w:sz="4" w:space="0" w:color="auto"/>
              <w:right w:val="single" w:sz="4" w:space="0" w:color="auto"/>
            </w:tcBorders>
            <w:shd w:val="clear" w:color="auto" w:fill="auto"/>
            <w:noWrap/>
            <w:vAlign w:val="bottom"/>
          </w:tcPr>
          <w:p w14:paraId="1A6A787A" w14:textId="339B0F86" w:rsidR="009359DC" w:rsidRPr="00E263F4" w:rsidRDefault="009359DC" w:rsidP="00E263F4">
            <w:pPr>
              <w:spacing w:before="0" w:after="0" w:line="240" w:lineRule="auto"/>
              <w:jc w:val="center"/>
              <w:rPr>
                <w:color w:val="auto"/>
                <w:sz w:val="20"/>
                <w:szCs w:val="20"/>
              </w:rPr>
            </w:pPr>
            <w:r w:rsidRPr="00E263F4">
              <w:rPr>
                <w:color w:val="000000"/>
                <w:sz w:val="22"/>
                <w:szCs w:val="22"/>
              </w:rPr>
              <w:t>0.89</w:t>
            </w:r>
          </w:p>
        </w:tc>
      </w:tr>
      <w:tr w:rsidR="009359DC" w:rsidRPr="00E263F4" w14:paraId="7BA6014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E381248" w14:textId="77777777" w:rsidR="009359DC" w:rsidRPr="00E263F4" w:rsidRDefault="009359DC" w:rsidP="009359DC">
            <w:pPr>
              <w:spacing w:before="0" w:after="0" w:line="240" w:lineRule="auto"/>
              <w:rPr>
                <w:color w:val="auto"/>
                <w:sz w:val="20"/>
                <w:szCs w:val="20"/>
              </w:rPr>
            </w:pPr>
            <w:r w:rsidRPr="00E263F4">
              <w:rPr>
                <w:color w:val="auto"/>
                <w:sz w:val="20"/>
                <w:szCs w:val="20"/>
              </w:rPr>
              <w:t>6</w:t>
            </w:r>
          </w:p>
        </w:tc>
        <w:tc>
          <w:tcPr>
            <w:tcW w:w="603" w:type="pct"/>
            <w:tcBorders>
              <w:top w:val="nil"/>
              <w:left w:val="nil"/>
              <w:bottom w:val="single" w:sz="4" w:space="0" w:color="auto"/>
              <w:right w:val="single" w:sz="4" w:space="0" w:color="auto"/>
            </w:tcBorders>
            <w:shd w:val="clear" w:color="auto" w:fill="auto"/>
            <w:noWrap/>
            <w:vAlign w:val="bottom"/>
          </w:tcPr>
          <w:p w14:paraId="78223663" w14:textId="5EAF518F"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29" w:type="pct"/>
            <w:gridSpan w:val="2"/>
            <w:tcBorders>
              <w:top w:val="nil"/>
              <w:left w:val="nil"/>
              <w:bottom w:val="single" w:sz="4" w:space="0" w:color="auto"/>
              <w:right w:val="single" w:sz="4" w:space="0" w:color="auto"/>
            </w:tcBorders>
            <w:shd w:val="clear" w:color="auto" w:fill="auto"/>
            <w:noWrap/>
            <w:vAlign w:val="bottom"/>
          </w:tcPr>
          <w:p w14:paraId="538D5E70" w14:textId="06D8B88A"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c>
          <w:tcPr>
            <w:tcW w:w="631" w:type="pct"/>
            <w:gridSpan w:val="3"/>
            <w:tcBorders>
              <w:top w:val="nil"/>
              <w:left w:val="nil"/>
              <w:bottom w:val="single" w:sz="4" w:space="0" w:color="auto"/>
              <w:right w:val="single" w:sz="4" w:space="0" w:color="auto"/>
            </w:tcBorders>
            <w:shd w:val="clear" w:color="auto" w:fill="auto"/>
            <w:noWrap/>
            <w:vAlign w:val="bottom"/>
          </w:tcPr>
          <w:p w14:paraId="716CCCDF" w14:textId="432C3497" w:rsidR="009359DC" w:rsidRPr="00E263F4" w:rsidRDefault="009359DC" w:rsidP="00E263F4">
            <w:pPr>
              <w:spacing w:before="0" w:after="0" w:line="240" w:lineRule="auto"/>
              <w:jc w:val="center"/>
              <w:rPr>
                <w:color w:val="auto"/>
                <w:sz w:val="20"/>
                <w:szCs w:val="20"/>
              </w:rPr>
            </w:pPr>
            <w:r w:rsidRPr="00E263F4">
              <w:rPr>
                <w:color w:val="000000"/>
                <w:sz w:val="22"/>
                <w:szCs w:val="22"/>
              </w:rPr>
              <w:t>0.81</w:t>
            </w:r>
          </w:p>
        </w:tc>
        <w:tc>
          <w:tcPr>
            <w:tcW w:w="645" w:type="pct"/>
            <w:gridSpan w:val="2"/>
            <w:tcBorders>
              <w:top w:val="nil"/>
              <w:left w:val="nil"/>
              <w:bottom w:val="single" w:sz="4" w:space="0" w:color="auto"/>
              <w:right w:val="single" w:sz="4" w:space="0" w:color="auto"/>
            </w:tcBorders>
            <w:shd w:val="clear" w:color="auto" w:fill="auto"/>
            <w:noWrap/>
            <w:vAlign w:val="bottom"/>
          </w:tcPr>
          <w:p w14:paraId="75FC6D36" w14:textId="11EA5003" w:rsidR="009359DC" w:rsidRPr="00E263F4" w:rsidRDefault="009359DC" w:rsidP="00E263F4">
            <w:pPr>
              <w:spacing w:before="0" w:after="0" w:line="240" w:lineRule="auto"/>
              <w:jc w:val="center"/>
              <w:rPr>
                <w:color w:val="auto"/>
                <w:sz w:val="20"/>
                <w:szCs w:val="20"/>
              </w:rPr>
            </w:pPr>
            <w:r w:rsidRPr="00E263F4">
              <w:rPr>
                <w:color w:val="000000"/>
                <w:sz w:val="22"/>
                <w:szCs w:val="22"/>
              </w:rPr>
              <w:t>1.06</w:t>
            </w:r>
          </w:p>
        </w:tc>
        <w:tc>
          <w:tcPr>
            <w:tcW w:w="646" w:type="pct"/>
            <w:gridSpan w:val="2"/>
            <w:tcBorders>
              <w:top w:val="nil"/>
              <w:left w:val="nil"/>
              <w:bottom w:val="single" w:sz="4" w:space="0" w:color="auto"/>
              <w:right w:val="single" w:sz="4" w:space="0" w:color="auto"/>
            </w:tcBorders>
            <w:shd w:val="clear" w:color="auto" w:fill="auto"/>
            <w:noWrap/>
            <w:vAlign w:val="bottom"/>
          </w:tcPr>
          <w:p w14:paraId="6FF6A787" w14:textId="650C3DAF" w:rsidR="009359DC" w:rsidRPr="00E263F4" w:rsidRDefault="009359DC" w:rsidP="00E263F4">
            <w:pPr>
              <w:spacing w:before="0" w:after="0" w:line="240" w:lineRule="auto"/>
              <w:jc w:val="center"/>
              <w:rPr>
                <w:color w:val="auto"/>
                <w:sz w:val="20"/>
                <w:szCs w:val="20"/>
              </w:rPr>
            </w:pPr>
            <w:r w:rsidRPr="00E263F4">
              <w:rPr>
                <w:color w:val="000000"/>
                <w:sz w:val="22"/>
                <w:szCs w:val="22"/>
              </w:rPr>
              <w:t>0.89</w:t>
            </w:r>
          </w:p>
        </w:tc>
        <w:tc>
          <w:tcPr>
            <w:tcW w:w="644" w:type="pct"/>
            <w:tcBorders>
              <w:top w:val="nil"/>
              <w:left w:val="nil"/>
              <w:bottom w:val="single" w:sz="4" w:space="0" w:color="auto"/>
              <w:right w:val="single" w:sz="4" w:space="0" w:color="auto"/>
            </w:tcBorders>
            <w:shd w:val="clear" w:color="auto" w:fill="auto"/>
            <w:noWrap/>
            <w:vAlign w:val="bottom"/>
          </w:tcPr>
          <w:p w14:paraId="6485CA12" w14:textId="21A73E10" w:rsidR="009359DC" w:rsidRPr="00E263F4" w:rsidRDefault="009359DC" w:rsidP="00E263F4">
            <w:pPr>
              <w:spacing w:before="0" w:after="0" w:line="240" w:lineRule="auto"/>
              <w:jc w:val="center"/>
              <w:rPr>
                <w:color w:val="auto"/>
                <w:sz w:val="20"/>
                <w:szCs w:val="20"/>
              </w:rPr>
            </w:pPr>
            <w:r w:rsidRPr="00E263F4">
              <w:rPr>
                <w:color w:val="000000"/>
                <w:sz w:val="22"/>
                <w:szCs w:val="22"/>
              </w:rPr>
              <w:t>0.94</w:t>
            </w:r>
          </w:p>
        </w:tc>
      </w:tr>
      <w:tr w:rsidR="009359DC" w:rsidRPr="00E263F4" w14:paraId="42DC3CF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A8B3052" w14:textId="77777777" w:rsidR="009359DC" w:rsidRPr="00E263F4" w:rsidRDefault="009359DC" w:rsidP="009359DC">
            <w:pPr>
              <w:spacing w:before="0" w:after="0" w:line="240" w:lineRule="auto"/>
              <w:rPr>
                <w:color w:val="auto"/>
                <w:sz w:val="20"/>
                <w:szCs w:val="20"/>
              </w:rPr>
            </w:pPr>
            <w:r w:rsidRPr="00E263F4">
              <w:rPr>
                <w:color w:val="auto"/>
                <w:sz w:val="20"/>
                <w:szCs w:val="20"/>
              </w:rPr>
              <w:t>7</w:t>
            </w:r>
          </w:p>
        </w:tc>
        <w:tc>
          <w:tcPr>
            <w:tcW w:w="603" w:type="pct"/>
            <w:tcBorders>
              <w:top w:val="nil"/>
              <w:left w:val="nil"/>
              <w:bottom w:val="single" w:sz="4" w:space="0" w:color="auto"/>
              <w:right w:val="single" w:sz="4" w:space="0" w:color="auto"/>
            </w:tcBorders>
            <w:shd w:val="clear" w:color="auto" w:fill="auto"/>
            <w:noWrap/>
            <w:vAlign w:val="bottom"/>
          </w:tcPr>
          <w:p w14:paraId="38C990A2" w14:textId="2804BD56"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29" w:type="pct"/>
            <w:gridSpan w:val="2"/>
            <w:tcBorders>
              <w:top w:val="nil"/>
              <w:left w:val="nil"/>
              <w:bottom w:val="single" w:sz="4" w:space="0" w:color="auto"/>
              <w:right w:val="single" w:sz="4" w:space="0" w:color="auto"/>
            </w:tcBorders>
            <w:shd w:val="clear" w:color="auto" w:fill="auto"/>
            <w:noWrap/>
            <w:vAlign w:val="bottom"/>
          </w:tcPr>
          <w:p w14:paraId="27BE5E56" w14:textId="58E057B2"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c>
          <w:tcPr>
            <w:tcW w:w="631" w:type="pct"/>
            <w:gridSpan w:val="3"/>
            <w:tcBorders>
              <w:top w:val="nil"/>
              <w:left w:val="nil"/>
              <w:bottom w:val="single" w:sz="4" w:space="0" w:color="auto"/>
              <w:right w:val="single" w:sz="4" w:space="0" w:color="auto"/>
            </w:tcBorders>
            <w:shd w:val="clear" w:color="auto" w:fill="auto"/>
            <w:noWrap/>
            <w:vAlign w:val="bottom"/>
          </w:tcPr>
          <w:p w14:paraId="4D35C7A8" w14:textId="31911E22" w:rsidR="009359DC" w:rsidRPr="00E263F4" w:rsidRDefault="009359DC" w:rsidP="00E263F4">
            <w:pPr>
              <w:spacing w:before="0" w:after="0" w:line="240" w:lineRule="auto"/>
              <w:jc w:val="center"/>
              <w:rPr>
                <w:color w:val="auto"/>
                <w:sz w:val="20"/>
                <w:szCs w:val="20"/>
              </w:rPr>
            </w:pPr>
            <w:r w:rsidRPr="00E263F4">
              <w:rPr>
                <w:color w:val="000000"/>
                <w:sz w:val="22"/>
                <w:szCs w:val="22"/>
              </w:rPr>
              <w:t>0.80</w:t>
            </w:r>
          </w:p>
        </w:tc>
        <w:tc>
          <w:tcPr>
            <w:tcW w:w="645" w:type="pct"/>
            <w:gridSpan w:val="2"/>
            <w:tcBorders>
              <w:top w:val="nil"/>
              <w:left w:val="nil"/>
              <w:bottom w:val="single" w:sz="4" w:space="0" w:color="auto"/>
              <w:right w:val="single" w:sz="4" w:space="0" w:color="auto"/>
            </w:tcBorders>
            <w:shd w:val="clear" w:color="auto" w:fill="auto"/>
            <w:noWrap/>
            <w:vAlign w:val="bottom"/>
          </w:tcPr>
          <w:p w14:paraId="23395DA3" w14:textId="273DC95B" w:rsidR="009359DC" w:rsidRPr="00E263F4" w:rsidRDefault="009359DC" w:rsidP="00E263F4">
            <w:pPr>
              <w:spacing w:before="0" w:after="0" w:line="240" w:lineRule="auto"/>
              <w:jc w:val="center"/>
              <w:rPr>
                <w:color w:val="auto"/>
                <w:sz w:val="20"/>
                <w:szCs w:val="20"/>
              </w:rPr>
            </w:pPr>
            <w:r w:rsidRPr="00E263F4">
              <w:rPr>
                <w:color w:val="000000"/>
                <w:sz w:val="22"/>
                <w:szCs w:val="22"/>
              </w:rPr>
              <w:t>0.80</w:t>
            </w:r>
          </w:p>
        </w:tc>
        <w:tc>
          <w:tcPr>
            <w:tcW w:w="646" w:type="pct"/>
            <w:gridSpan w:val="2"/>
            <w:tcBorders>
              <w:top w:val="nil"/>
              <w:left w:val="nil"/>
              <w:bottom w:val="single" w:sz="4" w:space="0" w:color="auto"/>
              <w:right w:val="single" w:sz="4" w:space="0" w:color="auto"/>
            </w:tcBorders>
            <w:shd w:val="clear" w:color="auto" w:fill="auto"/>
            <w:noWrap/>
            <w:vAlign w:val="bottom"/>
          </w:tcPr>
          <w:p w14:paraId="6AC9F561" w14:textId="08627B15" w:rsidR="009359DC" w:rsidRPr="00E263F4" w:rsidRDefault="009359DC" w:rsidP="00E263F4">
            <w:pPr>
              <w:spacing w:before="0" w:after="0" w:line="240" w:lineRule="auto"/>
              <w:jc w:val="center"/>
              <w:rPr>
                <w:color w:val="auto"/>
                <w:sz w:val="20"/>
                <w:szCs w:val="20"/>
              </w:rPr>
            </w:pPr>
            <w:r w:rsidRPr="00E263F4">
              <w:rPr>
                <w:color w:val="000000"/>
                <w:sz w:val="22"/>
                <w:szCs w:val="22"/>
              </w:rPr>
              <w:t>0.82</w:t>
            </w:r>
          </w:p>
        </w:tc>
        <w:tc>
          <w:tcPr>
            <w:tcW w:w="644" w:type="pct"/>
            <w:tcBorders>
              <w:top w:val="nil"/>
              <w:left w:val="nil"/>
              <w:bottom w:val="single" w:sz="4" w:space="0" w:color="auto"/>
              <w:right w:val="single" w:sz="4" w:space="0" w:color="auto"/>
            </w:tcBorders>
            <w:shd w:val="clear" w:color="auto" w:fill="auto"/>
            <w:noWrap/>
            <w:vAlign w:val="bottom"/>
          </w:tcPr>
          <w:p w14:paraId="60D768CC" w14:textId="451891FF" w:rsidR="009359DC" w:rsidRPr="00E263F4" w:rsidRDefault="009359DC" w:rsidP="00E263F4">
            <w:pPr>
              <w:spacing w:before="0" w:after="0" w:line="240" w:lineRule="auto"/>
              <w:jc w:val="center"/>
              <w:rPr>
                <w:color w:val="auto"/>
                <w:sz w:val="20"/>
                <w:szCs w:val="20"/>
              </w:rPr>
            </w:pPr>
            <w:r w:rsidRPr="00E263F4">
              <w:rPr>
                <w:color w:val="000000"/>
                <w:sz w:val="22"/>
                <w:szCs w:val="22"/>
              </w:rPr>
              <w:t>0.79</w:t>
            </w:r>
          </w:p>
        </w:tc>
      </w:tr>
      <w:tr w:rsidR="009359DC" w:rsidRPr="00E263F4" w14:paraId="31B5400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61AB36F" w14:textId="77777777" w:rsidR="009359DC" w:rsidRPr="00E263F4" w:rsidRDefault="009359DC" w:rsidP="009359DC">
            <w:pPr>
              <w:spacing w:before="0" w:after="0" w:line="240" w:lineRule="auto"/>
              <w:rPr>
                <w:color w:val="auto"/>
                <w:sz w:val="20"/>
                <w:szCs w:val="20"/>
              </w:rPr>
            </w:pPr>
            <w:r w:rsidRPr="00E263F4">
              <w:rPr>
                <w:color w:val="auto"/>
                <w:sz w:val="20"/>
                <w:szCs w:val="20"/>
              </w:rPr>
              <w:t>8</w:t>
            </w:r>
          </w:p>
        </w:tc>
        <w:tc>
          <w:tcPr>
            <w:tcW w:w="603" w:type="pct"/>
            <w:tcBorders>
              <w:top w:val="nil"/>
              <w:left w:val="nil"/>
              <w:bottom w:val="single" w:sz="4" w:space="0" w:color="auto"/>
              <w:right w:val="single" w:sz="4" w:space="0" w:color="auto"/>
            </w:tcBorders>
            <w:shd w:val="clear" w:color="auto" w:fill="auto"/>
            <w:noWrap/>
            <w:vAlign w:val="bottom"/>
          </w:tcPr>
          <w:p w14:paraId="1962608D" w14:textId="5AA5B468"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c>
          <w:tcPr>
            <w:tcW w:w="629" w:type="pct"/>
            <w:gridSpan w:val="2"/>
            <w:tcBorders>
              <w:top w:val="nil"/>
              <w:left w:val="nil"/>
              <w:bottom w:val="single" w:sz="4" w:space="0" w:color="auto"/>
              <w:right w:val="single" w:sz="4" w:space="0" w:color="auto"/>
            </w:tcBorders>
            <w:shd w:val="clear" w:color="auto" w:fill="auto"/>
            <w:noWrap/>
            <w:vAlign w:val="bottom"/>
          </w:tcPr>
          <w:p w14:paraId="6E1EAFAD" w14:textId="2206F2A5"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2A46715E" w14:textId="7F9756E4"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c>
          <w:tcPr>
            <w:tcW w:w="645" w:type="pct"/>
            <w:gridSpan w:val="2"/>
            <w:tcBorders>
              <w:top w:val="nil"/>
              <w:left w:val="nil"/>
              <w:bottom w:val="single" w:sz="4" w:space="0" w:color="auto"/>
              <w:right w:val="single" w:sz="4" w:space="0" w:color="auto"/>
            </w:tcBorders>
            <w:shd w:val="clear" w:color="auto" w:fill="auto"/>
            <w:noWrap/>
            <w:vAlign w:val="bottom"/>
          </w:tcPr>
          <w:p w14:paraId="6B77DDD1" w14:textId="6BED5672" w:rsidR="009359DC" w:rsidRPr="00E263F4" w:rsidRDefault="009359DC" w:rsidP="00E263F4">
            <w:pPr>
              <w:spacing w:before="0" w:after="0" w:line="240" w:lineRule="auto"/>
              <w:jc w:val="center"/>
              <w:rPr>
                <w:color w:val="auto"/>
                <w:sz w:val="20"/>
                <w:szCs w:val="20"/>
              </w:rPr>
            </w:pPr>
            <w:r w:rsidRPr="00E263F4">
              <w:rPr>
                <w:color w:val="000000"/>
                <w:sz w:val="22"/>
                <w:szCs w:val="22"/>
              </w:rPr>
              <w:t>0.82</w:t>
            </w:r>
          </w:p>
        </w:tc>
        <w:tc>
          <w:tcPr>
            <w:tcW w:w="646" w:type="pct"/>
            <w:gridSpan w:val="2"/>
            <w:tcBorders>
              <w:top w:val="nil"/>
              <w:left w:val="nil"/>
              <w:bottom w:val="single" w:sz="4" w:space="0" w:color="auto"/>
              <w:right w:val="single" w:sz="4" w:space="0" w:color="auto"/>
            </w:tcBorders>
            <w:shd w:val="clear" w:color="auto" w:fill="auto"/>
            <w:noWrap/>
            <w:vAlign w:val="bottom"/>
          </w:tcPr>
          <w:p w14:paraId="70857D61" w14:textId="0B1A49BB" w:rsidR="009359DC" w:rsidRPr="00E263F4" w:rsidRDefault="009359DC" w:rsidP="00E263F4">
            <w:pPr>
              <w:spacing w:before="0" w:after="0" w:line="240" w:lineRule="auto"/>
              <w:jc w:val="center"/>
              <w:rPr>
                <w:color w:val="auto"/>
                <w:sz w:val="20"/>
                <w:szCs w:val="20"/>
              </w:rPr>
            </w:pPr>
            <w:r w:rsidRPr="00E263F4">
              <w:rPr>
                <w:color w:val="000000"/>
                <w:sz w:val="22"/>
                <w:szCs w:val="22"/>
              </w:rPr>
              <w:t>0.80</w:t>
            </w:r>
          </w:p>
        </w:tc>
        <w:tc>
          <w:tcPr>
            <w:tcW w:w="644" w:type="pct"/>
            <w:tcBorders>
              <w:top w:val="nil"/>
              <w:left w:val="nil"/>
              <w:bottom w:val="single" w:sz="4" w:space="0" w:color="auto"/>
              <w:right w:val="single" w:sz="4" w:space="0" w:color="auto"/>
            </w:tcBorders>
            <w:shd w:val="clear" w:color="auto" w:fill="auto"/>
            <w:noWrap/>
            <w:vAlign w:val="bottom"/>
          </w:tcPr>
          <w:p w14:paraId="4C27E627" w14:textId="0A8B3738" w:rsidR="009359DC" w:rsidRPr="00E263F4" w:rsidRDefault="009359DC" w:rsidP="00E263F4">
            <w:pPr>
              <w:spacing w:before="0" w:after="0" w:line="240" w:lineRule="auto"/>
              <w:jc w:val="center"/>
              <w:rPr>
                <w:color w:val="auto"/>
                <w:sz w:val="20"/>
                <w:szCs w:val="20"/>
              </w:rPr>
            </w:pPr>
            <w:r w:rsidRPr="00E263F4">
              <w:rPr>
                <w:color w:val="000000"/>
                <w:sz w:val="22"/>
                <w:szCs w:val="22"/>
              </w:rPr>
              <w:t>0.82</w:t>
            </w:r>
          </w:p>
        </w:tc>
      </w:tr>
      <w:tr w:rsidR="009359DC" w:rsidRPr="00E263F4" w14:paraId="1DBBC13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1655E67" w14:textId="77777777" w:rsidR="009359DC" w:rsidRPr="00E263F4" w:rsidRDefault="009359DC" w:rsidP="009359DC">
            <w:pPr>
              <w:spacing w:before="0" w:after="0" w:line="240" w:lineRule="auto"/>
              <w:rPr>
                <w:color w:val="auto"/>
                <w:sz w:val="20"/>
                <w:szCs w:val="20"/>
              </w:rPr>
            </w:pPr>
            <w:r w:rsidRPr="00E263F4">
              <w:rPr>
                <w:color w:val="auto"/>
                <w:sz w:val="20"/>
                <w:szCs w:val="20"/>
              </w:rPr>
              <w:t>9</w:t>
            </w:r>
          </w:p>
        </w:tc>
        <w:tc>
          <w:tcPr>
            <w:tcW w:w="603" w:type="pct"/>
            <w:tcBorders>
              <w:top w:val="nil"/>
              <w:left w:val="nil"/>
              <w:bottom w:val="single" w:sz="4" w:space="0" w:color="auto"/>
              <w:right w:val="single" w:sz="4" w:space="0" w:color="auto"/>
            </w:tcBorders>
            <w:shd w:val="clear" w:color="auto" w:fill="auto"/>
            <w:noWrap/>
            <w:vAlign w:val="bottom"/>
          </w:tcPr>
          <w:p w14:paraId="78E34871" w14:textId="19D2203C" w:rsidR="009359DC" w:rsidRPr="00E263F4" w:rsidRDefault="009359DC" w:rsidP="00E263F4">
            <w:pPr>
              <w:spacing w:before="0" w:after="0" w:line="240" w:lineRule="auto"/>
              <w:jc w:val="center"/>
              <w:rPr>
                <w:color w:val="auto"/>
                <w:sz w:val="20"/>
                <w:szCs w:val="20"/>
              </w:rPr>
            </w:pPr>
            <w:r w:rsidRPr="00E263F4">
              <w:rPr>
                <w:color w:val="000000"/>
                <w:sz w:val="22"/>
                <w:szCs w:val="22"/>
              </w:rPr>
              <w:t>0.78</w:t>
            </w:r>
          </w:p>
        </w:tc>
        <w:tc>
          <w:tcPr>
            <w:tcW w:w="629" w:type="pct"/>
            <w:gridSpan w:val="2"/>
            <w:tcBorders>
              <w:top w:val="nil"/>
              <w:left w:val="nil"/>
              <w:bottom w:val="single" w:sz="4" w:space="0" w:color="auto"/>
              <w:right w:val="single" w:sz="4" w:space="0" w:color="auto"/>
            </w:tcBorders>
            <w:shd w:val="clear" w:color="auto" w:fill="auto"/>
            <w:noWrap/>
            <w:vAlign w:val="bottom"/>
          </w:tcPr>
          <w:p w14:paraId="425F0BA4" w14:textId="2D2B5CD0" w:rsidR="009359DC" w:rsidRPr="00E263F4" w:rsidRDefault="009359DC" w:rsidP="00E263F4">
            <w:pPr>
              <w:spacing w:before="0" w:after="0" w:line="240" w:lineRule="auto"/>
              <w:jc w:val="center"/>
              <w:rPr>
                <w:color w:val="auto"/>
                <w:sz w:val="20"/>
                <w:szCs w:val="20"/>
              </w:rPr>
            </w:pPr>
            <w:r w:rsidRPr="00E263F4">
              <w:rPr>
                <w:color w:val="000000"/>
                <w:sz w:val="22"/>
                <w:szCs w:val="22"/>
              </w:rPr>
              <w:t>0.89</w:t>
            </w:r>
          </w:p>
        </w:tc>
        <w:tc>
          <w:tcPr>
            <w:tcW w:w="631" w:type="pct"/>
            <w:gridSpan w:val="3"/>
            <w:tcBorders>
              <w:top w:val="nil"/>
              <w:left w:val="nil"/>
              <w:bottom w:val="single" w:sz="4" w:space="0" w:color="auto"/>
              <w:right w:val="single" w:sz="4" w:space="0" w:color="auto"/>
            </w:tcBorders>
            <w:shd w:val="clear" w:color="auto" w:fill="auto"/>
            <w:noWrap/>
            <w:vAlign w:val="bottom"/>
          </w:tcPr>
          <w:p w14:paraId="534E5E54" w14:textId="7394682F"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c>
          <w:tcPr>
            <w:tcW w:w="645" w:type="pct"/>
            <w:gridSpan w:val="2"/>
            <w:tcBorders>
              <w:top w:val="nil"/>
              <w:left w:val="nil"/>
              <w:bottom w:val="single" w:sz="4" w:space="0" w:color="auto"/>
              <w:right w:val="single" w:sz="4" w:space="0" w:color="auto"/>
            </w:tcBorders>
            <w:shd w:val="clear" w:color="auto" w:fill="auto"/>
            <w:noWrap/>
            <w:vAlign w:val="bottom"/>
          </w:tcPr>
          <w:p w14:paraId="0085AEDC" w14:textId="1F6DBE00" w:rsidR="009359DC" w:rsidRPr="00E263F4" w:rsidRDefault="009359DC" w:rsidP="00E263F4">
            <w:pPr>
              <w:spacing w:before="0" w:after="0" w:line="240" w:lineRule="auto"/>
              <w:jc w:val="center"/>
              <w:rPr>
                <w:color w:val="auto"/>
                <w:sz w:val="20"/>
                <w:szCs w:val="20"/>
              </w:rPr>
            </w:pPr>
            <w:r w:rsidRPr="00E263F4">
              <w:rPr>
                <w:color w:val="000000"/>
                <w:sz w:val="22"/>
                <w:szCs w:val="22"/>
              </w:rPr>
              <w:t>0.80</w:t>
            </w:r>
          </w:p>
        </w:tc>
        <w:tc>
          <w:tcPr>
            <w:tcW w:w="646" w:type="pct"/>
            <w:gridSpan w:val="2"/>
            <w:tcBorders>
              <w:top w:val="nil"/>
              <w:left w:val="nil"/>
              <w:bottom w:val="single" w:sz="4" w:space="0" w:color="auto"/>
              <w:right w:val="single" w:sz="4" w:space="0" w:color="auto"/>
            </w:tcBorders>
            <w:shd w:val="clear" w:color="auto" w:fill="auto"/>
            <w:noWrap/>
            <w:vAlign w:val="bottom"/>
          </w:tcPr>
          <w:p w14:paraId="2391E871" w14:textId="501EC145" w:rsidR="009359DC" w:rsidRPr="00E263F4" w:rsidRDefault="009359DC" w:rsidP="00E263F4">
            <w:pPr>
              <w:spacing w:before="0" w:after="0" w:line="240" w:lineRule="auto"/>
              <w:jc w:val="center"/>
              <w:rPr>
                <w:color w:val="auto"/>
                <w:sz w:val="20"/>
                <w:szCs w:val="20"/>
              </w:rPr>
            </w:pPr>
            <w:r w:rsidRPr="00E263F4">
              <w:rPr>
                <w:color w:val="000000"/>
                <w:sz w:val="22"/>
                <w:szCs w:val="22"/>
              </w:rPr>
              <w:t>0.72</w:t>
            </w:r>
          </w:p>
        </w:tc>
        <w:tc>
          <w:tcPr>
            <w:tcW w:w="644" w:type="pct"/>
            <w:tcBorders>
              <w:top w:val="nil"/>
              <w:left w:val="nil"/>
              <w:bottom w:val="single" w:sz="4" w:space="0" w:color="auto"/>
              <w:right w:val="single" w:sz="4" w:space="0" w:color="auto"/>
            </w:tcBorders>
            <w:shd w:val="clear" w:color="auto" w:fill="auto"/>
            <w:noWrap/>
            <w:vAlign w:val="bottom"/>
          </w:tcPr>
          <w:p w14:paraId="2F8F0B93" w14:textId="46E9418B" w:rsidR="009359DC" w:rsidRPr="00E263F4" w:rsidRDefault="009359DC" w:rsidP="00E263F4">
            <w:pPr>
              <w:spacing w:before="0" w:after="0" w:line="240" w:lineRule="auto"/>
              <w:jc w:val="center"/>
              <w:rPr>
                <w:color w:val="auto"/>
                <w:sz w:val="20"/>
                <w:szCs w:val="20"/>
              </w:rPr>
            </w:pPr>
            <w:r w:rsidRPr="00E263F4">
              <w:rPr>
                <w:color w:val="000000"/>
                <w:sz w:val="22"/>
                <w:szCs w:val="22"/>
              </w:rPr>
              <w:t>0.67</w:t>
            </w:r>
          </w:p>
        </w:tc>
      </w:tr>
      <w:tr w:rsidR="009359DC" w:rsidRPr="00E263F4" w14:paraId="4FBE40A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6EF01CD" w14:textId="77777777" w:rsidR="009359DC" w:rsidRPr="00E263F4" w:rsidRDefault="009359DC" w:rsidP="009359DC">
            <w:pPr>
              <w:spacing w:before="0" w:after="0" w:line="240" w:lineRule="auto"/>
              <w:rPr>
                <w:color w:val="auto"/>
                <w:sz w:val="20"/>
                <w:szCs w:val="20"/>
              </w:rPr>
            </w:pPr>
            <w:r w:rsidRPr="00E263F4">
              <w:rPr>
                <w:color w:val="auto"/>
                <w:sz w:val="20"/>
                <w:szCs w:val="20"/>
              </w:rPr>
              <w:t>10</w:t>
            </w:r>
          </w:p>
        </w:tc>
        <w:tc>
          <w:tcPr>
            <w:tcW w:w="603" w:type="pct"/>
            <w:tcBorders>
              <w:top w:val="nil"/>
              <w:left w:val="nil"/>
              <w:bottom w:val="single" w:sz="4" w:space="0" w:color="auto"/>
              <w:right w:val="single" w:sz="4" w:space="0" w:color="auto"/>
            </w:tcBorders>
            <w:shd w:val="clear" w:color="auto" w:fill="auto"/>
            <w:noWrap/>
            <w:vAlign w:val="bottom"/>
          </w:tcPr>
          <w:p w14:paraId="5A24EFDF" w14:textId="7D84444A"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29" w:type="pct"/>
            <w:gridSpan w:val="2"/>
            <w:tcBorders>
              <w:top w:val="nil"/>
              <w:left w:val="nil"/>
              <w:bottom w:val="single" w:sz="4" w:space="0" w:color="auto"/>
              <w:right w:val="single" w:sz="4" w:space="0" w:color="auto"/>
            </w:tcBorders>
            <w:shd w:val="clear" w:color="auto" w:fill="auto"/>
            <w:noWrap/>
            <w:vAlign w:val="bottom"/>
          </w:tcPr>
          <w:p w14:paraId="561330CD" w14:textId="563CC012"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c>
          <w:tcPr>
            <w:tcW w:w="631" w:type="pct"/>
            <w:gridSpan w:val="3"/>
            <w:tcBorders>
              <w:top w:val="nil"/>
              <w:left w:val="nil"/>
              <w:bottom w:val="single" w:sz="4" w:space="0" w:color="auto"/>
              <w:right w:val="single" w:sz="4" w:space="0" w:color="auto"/>
            </w:tcBorders>
            <w:shd w:val="clear" w:color="auto" w:fill="auto"/>
            <w:noWrap/>
            <w:vAlign w:val="bottom"/>
          </w:tcPr>
          <w:p w14:paraId="39440CCD" w14:textId="73A14FAC"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c>
          <w:tcPr>
            <w:tcW w:w="645" w:type="pct"/>
            <w:gridSpan w:val="2"/>
            <w:tcBorders>
              <w:top w:val="nil"/>
              <w:left w:val="nil"/>
              <w:bottom w:val="single" w:sz="4" w:space="0" w:color="auto"/>
              <w:right w:val="single" w:sz="4" w:space="0" w:color="auto"/>
            </w:tcBorders>
            <w:shd w:val="clear" w:color="auto" w:fill="auto"/>
            <w:noWrap/>
            <w:vAlign w:val="bottom"/>
          </w:tcPr>
          <w:p w14:paraId="02ABF6A2" w14:textId="0E7A7139" w:rsidR="009359DC" w:rsidRPr="00E263F4" w:rsidRDefault="009359DC" w:rsidP="00E263F4">
            <w:pPr>
              <w:spacing w:before="0" w:after="0" w:line="240" w:lineRule="auto"/>
              <w:jc w:val="center"/>
              <w:rPr>
                <w:color w:val="auto"/>
                <w:sz w:val="20"/>
                <w:szCs w:val="20"/>
              </w:rPr>
            </w:pPr>
            <w:r w:rsidRPr="00E263F4">
              <w:rPr>
                <w:color w:val="000000"/>
                <w:sz w:val="22"/>
                <w:szCs w:val="22"/>
              </w:rPr>
              <w:t>0.94</w:t>
            </w:r>
          </w:p>
        </w:tc>
        <w:tc>
          <w:tcPr>
            <w:tcW w:w="646" w:type="pct"/>
            <w:gridSpan w:val="2"/>
            <w:tcBorders>
              <w:top w:val="nil"/>
              <w:left w:val="nil"/>
              <w:bottom w:val="single" w:sz="4" w:space="0" w:color="auto"/>
              <w:right w:val="single" w:sz="4" w:space="0" w:color="auto"/>
            </w:tcBorders>
            <w:shd w:val="clear" w:color="auto" w:fill="auto"/>
            <w:noWrap/>
            <w:vAlign w:val="bottom"/>
          </w:tcPr>
          <w:p w14:paraId="1A215662" w14:textId="0A565560" w:rsidR="009359DC" w:rsidRPr="00E263F4" w:rsidRDefault="009359DC" w:rsidP="00E263F4">
            <w:pPr>
              <w:spacing w:before="0" w:after="0" w:line="240" w:lineRule="auto"/>
              <w:jc w:val="center"/>
              <w:rPr>
                <w:color w:val="auto"/>
                <w:sz w:val="20"/>
                <w:szCs w:val="20"/>
              </w:rPr>
            </w:pPr>
            <w:r w:rsidRPr="00E263F4">
              <w:rPr>
                <w:color w:val="000000"/>
                <w:sz w:val="22"/>
                <w:szCs w:val="22"/>
              </w:rPr>
              <w:t>0.90</w:t>
            </w:r>
          </w:p>
        </w:tc>
        <w:tc>
          <w:tcPr>
            <w:tcW w:w="644" w:type="pct"/>
            <w:tcBorders>
              <w:top w:val="nil"/>
              <w:left w:val="nil"/>
              <w:bottom w:val="single" w:sz="4" w:space="0" w:color="auto"/>
              <w:right w:val="single" w:sz="4" w:space="0" w:color="auto"/>
            </w:tcBorders>
            <w:shd w:val="clear" w:color="auto" w:fill="auto"/>
            <w:noWrap/>
            <w:vAlign w:val="bottom"/>
          </w:tcPr>
          <w:p w14:paraId="0BFBA38E" w14:textId="2D160A29"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r>
      <w:tr w:rsidR="009359DC" w:rsidRPr="00E263F4" w14:paraId="33A9C78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0C3E844" w14:textId="77777777" w:rsidR="009359DC" w:rsidRPr="00E263F4" w:rsidRDefault="009359DC" w:rsidP="009359DC">
            <w:pPr>
              <w:spacing w:before="0" w:after="0" w:line="240" w:lineRule="auto"/>
              <w:rPr>
                <w:color w:val="auto"/>
                <w:sz w:val="20"/>
                <w:szCs w:val="20"/>
              </w:rPr>
            </w:pPr>
            <w:r w:rsidRPr="00E263F4">
              <w:rPr>
                <w:color w:val="auto"/>
                <w:sz w:val="20"/>
                <w:szCs w:val="20"/>
              </w:rPr>
              <w:t>11</w:t>
            </w:r>
          </w:p>
        </w:tc>
        <w:tc>
          <w:tcPr>
            <w:tcW w:w="603" w:type="pct"/>
            <w:tcBorders>
              <w:top w:val="nil"/>
              <w:left w:val="nil"/>
              <w:bottom w:val="single" w:sz="4" w:space="0" w:color="auto"/>
              <w:right w:val="single" w:sz="4" w:space="0" w:color="auto"/>
            </w:tcBorders>
            <w:shd w:val="clear" w:color="auto" w:fill="auto"/>
            <w:noWrap/>
            <w:vAlign w:val="bottom"/>
          </w:tcPr>
          <w:p w14:paraId="06B2541F" w14:textId="419088E8"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29" w:type="pct"/>
            <w:gridSpan w:val="2"/>
            <w:tcBorders>
              <w:top w:val="nil"/>
              <w:left w:val="nil"/>
              <w:bottom w:val="single" w:sz="4" w:space="0" w:color="auto"/>
              <w:right w:val="single" w:sz="4" w:space="0" w:color="auto"/>
            </w:tcBorders>
            <w:shd w:val="clear" w:color="auto" w:fill="auto"/>
            <w:noWrap/>
            <w:vAlign w:val="bottom"/>
          </w:tcPr>
          <w:p w14:paraId="0251CD75" w14:textId="60E10718" w:rsidR="009359DC" w:rsidRPr="00E263F4" w:rsidRDefault="009359DC" w:rsidP="00E263F4">
            <w:pPr>
              <w:spacing w:before="0" w:after="0" w:line="240" w:lineRule="auto"/>
              <w:jc w:val="center"/>
              <w:rPr>
                <w:color w:val="auto"/>
                <w:sz w:val="20"/>
                <w:szCs w:val="20"/>
              </w:rPr>
            </w:pPr>
            <w:r w:rsidRPr="00E263F4">
              <w:rPr>
                <w:color w:val="000000"/>
                <w:sz w:val="22"/>
                <w:szCs w:val="22"/>
              </w:rPr>
              <w:t>0.99</w:t>
            </w:r>
          </w:p>
        </w:tc>
        <w:tc>
          <w:tcPr>
            <w:tcW w:w="631" w:type="pct"/>
            <w:gridSpan w:val="3"/>
            <w:tcBorders>
              <w:top w:val="nil"/>
              <w:left w:val="nil"/>
              <w:bottom w:val="single" w:sz="4" w:space="0" w:color="auto"/>
              <w:right w:val="single" w:sz="4" w:space="0" w:color="auto"/>
            </w:tcBorders>
            <w:shd w:val="clear" w:color="auto" w:fill="auto"/>
            <w:noWrap/>
            <w:vAlign w:val="bottom"/>
          </w:tcPr>
          <w:p w14:paraId="1743AAB8" w14:textId="33DA0341" w:rsidR="009359DC" w:rsidRPr="00E263F4" w:rsidRDefault="009359DC" w:rsidP="00E263F4">
            <w:pPr>
              <w:spacing w:before="0" w:after="0" w:line="240" w:lineRule="auto"/>
              <w:jc w:val="center"/>
              <w:rPr>
                <w:color w:val="auto"/>
                <w:sz w:val="20"/>
                <w:szCs w:val="20"/>
              </w:rPr>
            </w:pPr>
            <w:r w:rsidRPr="00E263F4">
              <w:rPr>
                <w:color w:val="000000"/>
                <w:sz w:val="22"/>
                <w:szCs w:val="22"/>
              </w:rPr>
              <w:t>0.93</w:t>
            </w:r>
          </w:p>
        </w:tc>
        <w:tc>
          <w:tcPr>
            <w:tcW w:w="645" w:type="pct"/>
            <w:gridSpan w:val="2"/>
            <w:tcBorders>
              <w:top w:val="nil"/>
              <w:left w:val="nil"/>
              <w:bottom w:val="single" w:sz="4" w:space="0" w:color="auto"/>
              <w:right w:val="single" w:sz="4" w:space="0" w:color="auto"/>
            </w:tcBorders>
            <w:shd w:val="clear" w:color="auto" w:fill="auto"/>
            <w:noWrap/>
            <w:vAlign w:val="bottom"/>
          </w:tcPr>
          <w:p w14:paraId="19F90494" w14:textId="4DBB9ECB"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013160EF" w14:textId="31C7A4D8" w:rsidR="009359DC" w:rsidRPr="00E263F4" w:rsidRDefault="009359DC" w:rsidP="00E263F4">
            <w:pPr>
              <w:spacing w:before="0" w:after="0" w:line="240" w:lineRule="auto"/>
              <w:jc w:val="center"/>
              <w:rPr>
                <w:color w:val="auto"/>
                <w:sz w:val="20"/>
                <w:szCs w:val="20"/>
              </w:rPr>
            </w:pPr>
            <w:r w:rsidRPr="00E263F4">
              <w:rPr>
                <w:color w:val="000000"/>
                <w:sz w:val="22"/>
                <w:szCs w:val="22"/>
              </w:rPr>
              <w:t>0.84</w:t>
            </w:r>
          </w:p>
        </w:tc>
        <w:tc>
          <w:tcPr>
            <w:tcW w:w="644" w:type="pct"/>
            <w:tcBorders>
              <w:top w:val="nil"/>
              <w:left w:val="nil"/>
              <w:bottom w:val="single" w:sz="4" w:space="0" w:color="auto"/>
              <w:right w:val="single" w:sz="4" w:space="0" w:color="auto"/>
            </w:tcBorders>
            <w:shd w:val="clear" w:color="auto" w:fill="auto"/>
            <w:noWrap/>
            <w:vAlign w:val="bottom"/>
          </w:tcPr>
          <w:p w14:paraId="5E606905" w14:textId="530BB6CD"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r>
      <w:tr w:rsidR="009359DC" w:rsidRPr="00E263F4" w14:paraId="5C41B17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35740E9" w14:textId="77777777" w:rsidR="009359DC" w:rsidRPr="00E263F4" w:rsidRDefault="009359DC" w:rsidP="009359DC">
            <w:pPr>
              <w:spacing w:before="0" w:after="0" w:line="240" w:lineRule="auto"/>
              <w:rPr>
                <w:color w:val="auto"/>
                <w:sz w:val="20"/>
                <w:szCs w:val="20"/>
              </w:rPr>
            </w:pPr>
            <w:r w:rsidRPr="00E263F4">
              <w:rPr>
                <w:color w:val="auto"/>
                <w:sz w:val="20"/>
                <w:szCs w:val="20"/>
              </w:rPr>
              <w:t>12</w:t>
            </w:r>
          </w:p>
        </w:tc>
        <w:tc>
          <w:tcPr>
            <w:tcW w:w="603" w:type="pct"/>
            <w:tcBorders>
              <w:top w:val="nil"/>
              <w:left w:val="nil"/>
              <w:bottom w:val="single" w:sz="4" w:space="0" w:color="auto"/>
              <w:right w:val="single" w:sz="4" w:space="0" w:color="auto"/>
            </w:tcBorders>
            <w:shd w:val="clear" w:color="auto" w:fill="auto"/>
            <w:noWrap/>
            <w:vAlign w:val="bottom"/>
          </w:tcPr>
          <w:p w14:paraId="1561E218" w14:textId="0370C97E"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c>
          <w:tcPr>
            <w:tcW w:w="629" w:type="pct"/>
            <w:gridSpan w:val="2"/>
            <w:tcBorders>
              <w:top w:val="nil"/>
              <w:left w:val="nil"/>
              <w:bottom w:val="single" w:sz="4" w:space="0" w:color="auto"/>
              <w:right w:val="single" w:sz="4" w:space="0" w:color="auto"/>
            </w:tcBorders>
            <w:shd w:val="clear" w:color="auto" w:fill="auto"/>
            <w:noWrap/>
            <w:vAlign w:val="bottom"/>
          </w:tcPr>
          <w:p w14:paraId="672B7614" w14:textId="18EE9349" w:rsidR="009359DC" w:rsidRPr="00E263F4" w:rsidRDefault="009359DC" w:rsidP="00E263F4">
            <w:pPr>
              <w:spacing w:before="0" w:after="0" w:line="240" w:lineRule="auto"/>
              <w:jc w:val="center"/>
              <w:rPr>
                <w:color w:val="auto"/>
                <w:sz w:val="20"/>
                <w:szCs w:val="20"/>
              </w:rPr>
            </w:pPr>
            <w:r w:rsidRPr="00E263F4">
              <w:rPr>
                <w:color w:val="000000"/>
                <w:sz w:val="22"/>
                <w:szCs w:val="22"/>
              </w:rPr>
              <w:t>0.87</w:t>
            </w:r>
          </w:p>
        </w:tc>
        <w:tc>
          <w:tcPr>
            <w:tcW w:w="631" w:type="pct"/>
            <w:gridSpan w:val="3"/>
            <w:tcBorders>
              <w:top w:val="nil"/>
              <w:left w:val="nil"/>
              <w:bottom w:val="single" w:sz="4" w:space="0" w:color="auto"/>
              <w:right w:val="single" w:sz="4" w:space="0" w:color="auto"/>
            </w:tcBorders>
            <w:shd w:val="clear" w:color="auto" w:fill="auto"/>
            <w:noWrap/>
            <w:vAlign w:val="bottom"/>
          </w:tcPr>
          <w:p w14:paraId="095DC26C" w14:textId="139506F4"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45" w:type="pct"/>
            <w:gridSpan w:val="2"/>
            <w:tcBorders>
              <w:top w:val="nil"/>
              <w:left w:val="nil"/>
              <w:bottom w:val="single" w:sz="4" w:space="0" w:color="auto"/>
              <w:right w:val="single" w:sz="4" w:space="0" w:color="auto"/>
            </w:tcBorders>
            <w:shd w:val="clear" w:color="auto" w:fill="auto"/>
            <w:noWrap/>
            <w:vAlign w:val="bottom"/>
          </w:tcPr>
          <w:p w14:paraId="6CF864F3" w14:textId="5738714B" w:rsidR="009359DC" w:rsidRPr="00E263F4" w:rsidRDefault="009359DC" w:rsidP="00E263F4">
            <w:pPr>
              <w:spacing w:before="0" w:after="0" w:line="240" w:lineRule="auto"/>
              <w:jc w:val="center"/>
              <w:rPr>
                <w:color w:val="auto"/>
                <w:sz w:val="20"/>
                <w:szCs w:val="20"/>
              </w:rPr>
            </w:pPr>
            <w:r w:rsidRPr="00E263F4">
              <w:rPr>
                <w:color w:val="000000"/>
                <w:sz w:val="22"/>
                <w:szCs w:val="22"/>
              </w:rPr>
              <w:t>1.04</w:t>
            </w:r>
          </w:p>
        </w:tc>
        <w:tc>
          <w:tcPr>
            <w:tcW w:w="646" w:type="pct"/>
            <w:gridSpan w:val="2"/>
            <w:tcBorders>
              <w:top w:val="nil"/>
              <w:left w:val="nil"/>
              <w:bottom w:val="single" w:sz="4" w:space="0" w:color="auto"/>
              <w:right w:val="single" w:sz="4" w:space="0" w:color="auto"/>
            </w:tcBorders>
            <w:shd w:val="clear" w:color="auto" w:fill="auto"/>
            <w:noWrap/>
            <w:vAlign w:val="bottom"/>
          </w:tcPr>
          <w:p w14:paraId="1045B591" w14:textId="2B5F1BFF"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44" w:type="pct"/>
            <w:tcBorders>
              <w:top w:val="nil"/>
              <w:left w:val="nil"/>
              <w:bottom w:val="single" w:sz="4" w:space="0" w:color="auto"/>
              <w:right w:val="single" w:sz="4" w:space="0" w:color="auto"/>
            </w:tcBorders>
            <w:shd w:val="clear" w:color="auto" w:fill="auto"/>
            <w:noWrap/>
            <w:vAlign w:val="bottom"/>
          </w:tcPr>
          <w:p w14:paraId="5D5335BE" w14:textId="7AC1BFA1"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r>
      <w:tr w:rsidR="009359DC" w:rsidRPr="00E263F4" w14:paraId="10D7A3E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F41C3DF" w14:textId="77777777" w:rsidR="009359DC" w:rsidRPr="00E263F4" w:rsidRDefault="009359DC" w:rsidP="009359DC">
            <w:pPr>
              <w:spacing w:before="0" w:after="0" w:line="240" w:lineRule="auto"/>
              <w:rPr>
                <w:color w:val="auto"/>
                <w:sz w:val="20"/>
                <w:szCs w:val="20"/>
              </w:rPr>
            </w:pPr>
            <w:r w:rsidRPr="00E263F4">
              <w:rPr>
                <w:color w:val="auto"/>
                <w:sz w:val="20"/>
                <w:szCs w:val="20"/>
              </w:rPr>
              <w:t>13</w:t>
            </w:r>
          </w:p>
        </w:tc>
        <w:tc>
          <w:tcPr>
            <w:tcW w:w="603" w:type="pct"/>
            <w:tcBorders>
              <w:top w:val="nil"/>
              <w:left w:val="nil"/>
              <w:bottom w:val="single" w:sz="4" w:space="0" w:color="auto"/>
              <w:right w:val="single" w:sz="4" w:space="0" w:color="auto"/>
            </w:tcBorders>
            <w:shd w:val="clear" w:color="auto" w:fill="auto"/>
            <w:noWrap/>
            <w:vAlign w:val="bottom"/>
          </w:tcPr>
          <w:p w14:paraId="79043134" w14:textId="75E173F4" w:rsidR="009359DC" w:rsidRPr="00E263F4" w:rsidRDefault="009359DC" w:rsidP="00E263F4">
            <w:pPr>
              <w:spacing w:before="0" w:after="0" w:line="240" w:lineRule="auto"/>
              <w:jc w:val="center"/>
              <w:rPr>
                <w:color w:val="auto"/>
                <w:sz w:val="20"/>
                <w:szCs w:val="20"/>
              </w:rPr>
            </w:pPr>
            <w:r w:rsidRPr="00E263F4">
              <w:rPr>
                <w:color w:val="000000"/>
                <w:sz w:val="22"/>
                <w:szCs w:val="22"/>
              </w:rPr>
              <w:t>0.87</w:t>
            </w:r>
          </w:p>
        </w:tc>
        <w:tc>
          <w:tcPr>
            <w:tcW w:w="629" w:type="pct"/>
            <w:gridSpan w:val="2"/>
            <w:tcBorders>
              <w:top w:val="nil"/>
              <w:left w:val="nil"/>
              <w:bottom w:val="single" w:sz="4" w:space="0" w:color="auto"/>
              <w:right w:val="single" w:sz="4" w:space="0" w:color="auto"/>
            </w:tcBorders>
            <w:shd w:val="clear" w:color="auto" w:fill="auto"/>
            <w:noWrap/>
            <w:vAlign w:val="bottom"/>
          </w:tcPr>
          <w:p w14:paraId="30E08703" w14:textId="652A4A34"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c>
          <w:tcPr>
            <w:tcW w:w="631" w:type="pct"/>
            <w:gridSpan w:val="3"/>
            <w:tcBorders>
              <w:top w:val="nil"/>
              <w:left w:val="nil"/>
              <w:bottom w:val="single" w:sz="4" w:space="0" w:color="auto"/>
              <w:right w:val="single" w:sz="4" w:space="0" w:color="auto"/>
            </w:tcBorders>
            <w:shd w:val="clear" w:color="auto" w:fill="auto"/>
            <w:noWrap/>
            <w:vAlign w:val="bottom"/>
          </w:tcPr>
          <w:p w14:paraId="30A83FF4" w14:textId="226DA2C1" w:rsidR="009359DC" w:rsidRPr="00E263F4" w:rsidRDefault="009359DC" w:rsidP="00E263F4">
            <w:pPr>
              <w:spacing w:before="0" w:after="0" w:line="240" w:lineRule="auto"/>
              <w:jc w:val="center"/>
              <w:rPr>
                <w:color w:val="auto"/>
                <w:sz w:val="20"/>
                <w:szCs w:val="20"/>
              </w:rPr>
            </w:pPr>
            <w:r w:rsidRPr="00E263F4">
              <w:rPr>
                <w:color w:val="000000"/>
                <w:sz w:val="22"/>
                <w:szCs w:val="22"/>
              </w:rPr>
              <w:t>0.95</w:t>
            </w:r>
          </w:p>
        </w:tc>
        <w:tc>
          <w:tcPr>
            <w:tcW w:w="645" w:type="pct"/>
            <w:gridSpan w:val="2"/>
            <w:tcBorders>
              <w:top w:val="nil"/>
              <w:left w:val="nil"/>
              <w:bottom w:val="single" w:sz="4" w:space="0" w:color="auto"/>
              <w:right w:val="single" w:sz="4" w:space="0" w:color="auto"/>
            </w:tcBorders>
            <w:shd w:val="clear" w:color="auto" w:fill="auto"/>
            <w:noWrap/>
            <w:vAlign w:val="bottom"/>
          </w:tcPr>
          <w:p w14:paraId="41AA4084" w14:textId="6309953C" w:rsidR="009359DC" w:rsidRPr="00E263F4" w:rsidRDefault="009359DC" w:rsidP="00E263F4">
            <w:pPr>
              <w:spacing w:before="0" w:after="0" w:line="240" w:lineRule="auto"/>
              <w:jc w:val="center"/>
              <w:rPr>
                <w:color w:val="auto"/>
                <w:sz w:val="20"/>
                <w:szCs w:val="20"/>
              </w:rPr>
            </w:pPr>
            <w:r w:rsidRPr="00E263F4">
              <w:rPr>
                <w:color w:val="000000"/>
                <w:sz w:val="22"/>
                <w:szCs w:val="22"/>
              </w:rPr>
              <w:t>0.92</w:t>
            </w:r>
          </w:p>
        </w:tc>
        <w:tc>
          <w:tcPr>
            <w:tcW w:w="646" w:type="pct"/>
            <w:gridSpan w:val="2"/>
            <w:tcBorders>
              <w:top w:val="nil"/>
              <w:left w:val="nil"/>
              <w:bottom w:val="single" w:sz="4" w:space="0" w:color="auto"/>
              <w:right w:val="single" w:sz="4" w:space="0" w:color="auto"/>
            </w:tcBorders>
            <w:shd w:val="clear" w:color="auto" w:fill="auto"/>
            <w:noWrap/>
            <w:vAlign w:val="bottom"/>
          </w:tcPr>
          <w:p w14:paraId="3B79EFBB" w14:textId="01AF17CF"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44" w:type="pct"/>
            <w:tcBorders>
              <w:top w:val="nil"/>
              <w:left w:val="nil"/>
              <w:bottom w:val="single" w:sz="4" w:space="0" w:color="auto"/>
              <w:right w:val="single" w:sz="4" w:space="0" w:color="auto"/>
            </w:tcBorders>
            <w:shd w:val="clear" w:color="auto" w:fill="auto"/>
            <w:noWrap/>
            <w:vAlign w:val="bottom"/>
          </w:tcPr>
          <w:p w14:paraId="4FEEA25D" w14:textId="35312117" w:rsidR="009359DC" w:rsidRPr="00E263F4" w:rsidRDefault="009359DC" w:rsidP="00E263F4">
            <w:pPr>
              <w:spacing w:before="0" w:after="0" w:line="240" w:lineRule="auto"/>
              <w:jc w:val="center"/>
              <w:rPr>
                <w:color w:val="auto"/>
                <w:sz w:val="20"/>
                <w:szCs w:val="20"/>
              </w:rPr>
            </w:pPr>
            <w:r w:rsidRPr="00E263F4">
              <w:rPr>
                <w:color w:val="000000"/>
                <w:sz w:val="22"/>
                <w:szCs w:val="22"/>
              </w:rPr>
              <w:t>0.90</w:t>
            </w:r>
          </w:p>
        </w:tc>
      </w:tr>
      <w:tr w:rsidR="009359DC" w:rsidRPr="00E263F4" w14:paraId="1F3DBB9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BB88248" w14:textId="77777777" w:rsidR="009359DC" w:rsidRPr="00E263F4" w:rsidRDefault="009359DC" w:rsidP="009359DC">
            <w:pPr>
              <w:spacing w:before="0" w:after="0" w:line="240" w:lineRule="auto"/>
              <w:rPr>
                <w:color w:val="auto"/>
                <w:sz w:val="20"/>
                <w:szCs w:val="20"/>
              </w:rPr>
            </w:pPr>
            <w:r w:rsidRPr="00E263F4">
              <w:rPr>
                <w:color w:val="auto"/>
                <w:sz w:val="20"/>
                <w:szCs w:val="20"/>
              </w:rPr>
              <w:t>14</w:t>
            </w:r>
          </w:p>
        </w:tc>
        <w:tc>
          <w:tcPr>
            <w:tcW w:w="603" w:type="pct"/>
            <w:tcBorders>
              <w:top w:val="nil"/>
              <w:left w:val="nil"/>
              <w:bottom w:val="single" w:sz="4" w:space="0" w:color="auto"/>
              <w:right w:val="single" w:sz="4" w:space="0" w:color="auto"/>
            </w:tcBorders>
            <w:shd w:val="clear" w:color="auto" w:fill="auto"/>
            <w:noWrap/>
            <w:vAlign w:val="bottom"/>
          </w:tcPr>
          <w:p w14:paraId="306ACD10" w14:textId="38CF2E60" w:rsidR="009359DC" w:rsidRPr="00E263F4" w:rsidRDefault="009359DC" w:rsidP="00E263F4">
            <w:pPr>
              <w:spacing w:before="0" w:after="0" w:line="240" w:lineRule="auto"/>
              <w:jc w:val="center"/>
              <w:rPr>
                <w:color w:val="auto"/>
                <w:sz w:val="20"/>
                <w:szCs w:val="20"/>
              </w:rPr>
            </w:pPr>
            <w:r w:rsidRPr="00E263F4">
              <w:rPr>
                <w:color w:val="000000"/>
                <w:sz w:val="22"/>
                <w:szCs w:val="22"/>
              </w:rPr>
              <w:t>0.94</w:t>
            </w:r>
          </w:p>
        </w:tc>
        <w:tc>
          <w:tcPr>
            <w:tcW w:w="629" w:type="pct"/>
            <w:gridSpan w:val="2"/>
            <w:tcBorders>
              <w:top w:val="nil"/>
              <w:left w:val="nil"/>
              <w:bottom w:val="single" w:sz="4" w:space="0" w:color="auto"/>
              <w:right w:val="single" w:sz="4" w:space="0" w:color="auto"/>
            </w:tcBorders>
            <w:shd w:val="clear" w:color="auto" w:fill="auto"/>
            <w:noWrap/>
            <w:vAlign w:val="bottom"/>
          </w:tcPr>
          <w:p w14:paraId="0C49AE8A" w14:textId="7F32DA22"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c>
          <w:tcPr>
            <w:tcW w:w="631" w:type="pct"/>
            <w:gridSpan w:val="3"/>
            <w:tcBorders>
              <w:top w:val="nil"/>
              <w:left w:val="nil"/>
              <w:bottom w:val="single" w:sz="4" w:space="0" w:color="auto"/>
              <w:right w:val="single" w:sz="4" w:space="0" w:color="auto"/>
            </w:tcBorders>
            <w:shd w:val="clear" w:color="auto" w:fill="auto"/>
            <w:noWrap/>
            <w:vAlign w:val="bottom"/>
          </w:tcPr>
          <w:p w14:paraId="01B9A1CE" w14:textId="5CE75292" w:rsidR="009359DC" w:rsidRPr="00E263F4" w:rsidRDefault="009359DC" w:rsidP="00E263F4">
            <w:pPr>
              <w:spacing w:before="0" w:after="0" w:line="240" w:lineRule="auto"/>
              <w:jc w:val="center"/>
              <w:rPr>
                <w:color w:val="auto"/>
                <w:sz w:val="20"/>
                <w:szCs w:val="20"/>
              </w:rPr>
            </w:pPr>
            <w:r w:rsidRPr="00E263F4">
              <w:rPr>
                <w:color w:val="000000"/>
                <w:sz w:val="22"/>
                <w:szCs w:val="22"/>
              </w:rPr>
              <w:t>1.01</w:t>
            </w:r>
          </w:p>
        </w:tc>
        <w:tc>
          <w:tcPr>
            <w:tcW w:w="645" w:type="pct"/>
            <w:gridSpan w:val="2"/>
            <w:tcBorders>
              <w:top w:val="nil"/>
              <w:left w:val="nil"/>
              <w:bottom w:val="single" w:sz="4" w:space="0" w:color="auto"/>
              <w:right w:val="single" w:sz="4" w:space="0" w:color="auto"/>
            </w:tcBorders>
            <w:shd w:val="clear" w:color="auto" w:fill="auto"/>
            <w:noWrap/>
            <w:vAlign w:val="bottom"/>
          </w:tcPr>
          <w:p w14:paraId="4980FBC1" w14:textId="31578D92"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7447037D" w14:textId="06DEEE6A"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44" w:type="pct"/>
            <w:tcBorders>
              <w:top w:val="nil"/>
              <w:left w:val="nil"/>
              <w:bottom w:val="single" w:sz="4" w:space="0" w:color="auto"/>
              <w:right w:val="single" w:sz="4" w:space="0" w:color="auto"/>
            </w:tcBorders>
            <w:shd w:val="clear" w:color="auto" w:fill="auto"/>
            <w:noWrap/>
            <w:vAlign w:val="bottom"/>
          </w:tcPr>
          <w:p w14:paraId="635DC439" w14:textId="316CF9DA" w:rsidR="009359DC" w:rsidRPr="00E263F4" w:rsidRDefault="009359DC" w:rsidP="00E263F4">
            <w:pPr>
              <w:spacing w:before="0" w:after="0" w:line="240" w:lineRule="auto"/>
              <w:jc w:val="center"/>
              <w:rPr>
                <w:color w:val="auto"/>
                <w:sz w:val="20"/>
                <w:szCs w:val="20"/>
              </w:rPr>
            </w:pPr>
            <w:r w:rsidRPr="00E263F4">
              <w:rPr>
                <w:color w:val="000000"/>
                <w:sz w:val="22"/>
                <w:szCs w:val="22"/>
              </w:rPr>
              <w:t>0.94</w:t>
            </w:r>
          </w:p>
        </w:tc>
      </w:tr>
      <w:tr w:rsidR="009359DC" w:rsidRPr="00E263F4" w14:paraId="6F8AC1A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E534802" w14:textId="77777777" w:rsidR="009359DC" w:rsidRPr="00E263F4" w:rsidRDefault="009359DC" w:rsidP="009359DC">
            <w:pPr>
              <w:spacing w:before="0" w:after="0" w:line="240" w:lineRule="auto"/>
              <w:rPr>
                <w:color w:val="auto"/>
                <w:sz w:val="20"/>
                <w:szCs w:val="20"/>
              </w:rPr>
            </w:pPr>
            <w:r w:rsidRPr="00E263F4">
              <w:rPr>
                <w:color w:val="auto"/>
                <w:sz w:val="20"/>
                <w:szCs w:val="20"/>
              </w:rPr>
              <w:t>15</w:t>
            </w:r>
          </w:p>
        </w:tc>
        <w:tc>
          <w:tcPr>
            <w:tcW w:w="603" w:type="pct"/>
            <w:tcBorders>
              <w:top w:val="nil"/>
              <w:left w:val="nil"/>
              <w:bottom w:val="single" w:sz="4" w:space="0" w:color="auto"/>
              <w:right w:val="single" w:sz="4" w:space="0" w:color="auto"/>
            </w:tcBorders>
            <w:shd w:val="clear" w:color="auto" w:fill="auto"/>
            <w:noWrap/>
            <w:vAlign w:val="bottom"/>
          </w:tcPr>
          <w:p w14:paraId="7BFE439F" w14:textId="3CB9F384"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29" w:type="pct"/>
            <w:gridSpan w:val="2"/>
            <w:tcBorders>
              <w:top w:val="nil"/>
              <w:left w:val="nil"/>
              <w:bottom w:val="single" w:sz="4" w:space="0" w:color="auto"/>
              <w:right w:val="single" w:sz="4" w:space="0" w:color="auto"/>
            </w:tcBorders>
            <w:shd w:val="clear" w:color="auto" w:fill="auto"/>
            <w:noWrap/>
            <w:vAlign w:val="bottom"/>
          </w:tcPr>
          <w:p w14:paraId="6475353A" w14:textId="44BFE831"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c>
          <w:tcPr>
            <w:tcW w:w="631" w:type="pct"/>
            <w:gridSpan w:val="3"/>
            <w:tcBorders>
              <w:top w:val="nil"/>
              <w:left w:val="nil"/>
              <w:bottom w:val="single" w:sz="4" w:space="0" w:color="auto"/>
              <w:right w:val="single" w:sz="4" w:space="0" w:color="auto"/>
            </w:tcBorders>
            <w:shd w:val="clear" w:color="auto" w:fill="auto"/>
            <w:noWrap/>
            <w:vAlign w:val="bottom"/>
          </w:tcPr>
          <w:p w14:paraId="7F87E5AE" w14:textId="113B8675" w:rsidR="009359DC" w:rsidRPr="00E263F4" w:rsidRDefault="009359DC" w:rsidP="00E263F4">
            <w:pPr>
              <w:spacing w:before="0" w:after="0" w:line="240" w:lineRule="auto"/>
              <w:jc w:val="center"/>
              <w:rPr>
                <w:color w:val="auto"/>
                <w:sz w:val="20"/>
                <w:szCs w:val="20"/>
              </w:rPr>
            </w:pPr>
            <w:r w:rsidRPr="00E263F4">
              <w:rPr>
                <w:color w:val="000000"/>
                <w:sz w:val="22"/>
                <w:szCs w:val="22"/>
              </w:rPr>
              <w:t>0.92</w:t>
            </w:r>
          </w:p>
        </w:tc>
        <w:tc>
          <w:tcPr>
            <w:tcW w:w="645" w:type="pct"/>
            <w:gridSpan w:val="2"/>
            <w:tcBorders>
              <w:top w:val="nil"/>
              <w:left w:val="nil"/>
              <w:bottom w:val="single" w:sz="4" w:space="0" w:color="auto"/>
              <w:right w:val="single" w:sz="4" w:space="0" w:color="auto"/>
            </w:tcBorders>
            <w:shd w:val="clear" w:color="auto" w:fill="auto"/>
            <w:noWrap/>
            <w:vAlign w:val="bottom"/>
          </w:tcPr>
          <w:p w14:paraId="1B834ED5" w14:textId="33A1E423" w:rsidR="009359DC" w:rsidRPr="00E263F4" w:rsidRDefault="009359DC" w:rsidP="00E263F4">
            <w:pPr>
              <w:spacing w:before="0" w:after="0" w:line="240" w:lineRule="auto"/>
              <w:jc w:val="center"/>
              <w:rPr>
                <w:color w:val="auto"/>
                <w:sz w:val="20"/>
                <w:szCs w:val="20"/>
              </w:rPr>
            </w:pPr>
            <w:r w:rsidRPr="00E263F4">
              <w:rPr>
                <w:color w:val="000000"/>
                <w:sz w:val="22"/>
                <w:szCs w:val="22"/>
              </w:rPr>
              <w:t>0.81</w:t>
            </w:r>
          </w:p>
        </w:tc>
        <w:tc>
          <w:tcPr>
            <w:tcW w:w="646" w:type="pct"/>
            <w:gridSpan w:val="2"/>
            <w:tcBorders>
              <w:top w:val="nil"/>
              <w:left w:val="nil"/>
              <w:bottom w:val="single" w:sz="4" w:space="0" w:color="auto"/>
              <w:right w:val="single" w:sz="4" w:space="0" w:color="auto"/>
            </w:tcBorders>
            <w:shd w:val="clear" w:color="auto" w:fill="auto"/>
            <w:noWrap/>
            <w:vAlign w:val="bottom"/>
          </w:tcPr>
          <w:p w14:paraId="1773F65B" w14:textId="64B9DDF1" w:rsidR="009359DC" w:rsidRPr="00E263F4" w:rsidRDefault="009359DC" w:rsidP="00E263F4">
            <w:pPr>
              <w:spacing w:before="0" w:after="0" w:line="240" w:lineRule="auto"/>
              <w:jc w:val="center"/>
              <w:rPr>
                <w:color w:val="auto"/>
                <w:sz w:val="20"/>
                <w:szCs w:val="20"/>
              </w:rPr>
            </w:pPr>
            <w:r w:rsidRPr="00E263F4">
              <w:rPr>
                <w:color w:val="000000"/>
                <w:sz w:val="22"/>
                <w:szCs w:val="22"/>
              </w:rPr>
              <w:t>0.98</w:t>
            </w:r>
          </w:p>
        </w:tc>
        <w:tc>
          <w:tcPr>
            <w:tcW w:w="644" w:type="pct"/>
            <w:tcBorders>
              <w:top w:val="nil"/>
              <w:left w:val="nil"/>
              <w:bottom w:val="single" w:sz="4" w:space="0" w:color="auto"/>
              <w:right w:val="single" w:sz="4" w:space="0" w:color="auto"/>
            </w:tcBorders>
            <w:shd w:val="clear" w:color="auto" w:fill="auto"/>
            <w:noWrap/>
            <w:vAlign w:val="bottom"/>
          </w:tcPr>
          <w:p w14:paraId="56BEC4A5" w14:textId="49844E7A"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r>
      <w:tr w:rsidR="009359DC" w:rsidRPr="00E263F4" w14:paraId="00337BC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9335FEF" w14:textId="77777777" w:rsidR="009359DC" w:rsidRPr="00E263F4" w:rsidRDefault="009359DC" w:rsidP="009359DC">
            <w:pPr>
              <w:spacing w:before="0" w:after="0" w:line="240" w:lineRule="auto"/>
              <w:rPr>
                <w:color w:val="auto"/>
                <w:sz w:val="20"/>
                <w:szCs w:val="20"/>
              </w:rPr>
            </w:pPr>
            <w:r w:rsidRPr="00E263F4">
              <w:rPr>
                <w:color w:val="auto"/>
                <w:sz w:val="20"/>
                <w:szCs w:val="20"/>
              </w:rPr>
              <w:t>16</w:t>
            </w:r>
          </w:p>
        </w:tc>
        <w:tc>
          <w:tcPr>
            <w:tcW w:w="603" w:type="pct"/>
            <w:tcBorders>
              <w:top w:val="nil"/>
              <w:left w:val="nil"/>
              <w:bottom w:val="single" w:sz="4" w:space="0" w:color="auto"/>
              <w:right w:val="single" w:sz="4" w:space="0" w:color="auto"/>
            </w:tcBorders>
            <w:shd w:val="clear" w:color="auto" w:fill="auto"/>
            <w:noWrap/>
            <w:vAlign w:val="bottom"/>
          </w:tcPr>
          <w:p w14:paraId="02F425E0" w14:textId="73C375AF" w:rsidR="009359DC" w:rsidRPr="00E263F4" w:rsidRDefault="009359DC" w:rsidP="00E263F4">
            <w:pPr>
              <w:spacing w:before="0" w:after="0" w:line="240" w:lineRule="auto"/>
              <w:jc w:val="center"/>
              <w:rPr>
                <w:color w:val="auto"/>
                <w:sz w:val="20"/>
                <w:szCs w:val="20"/>
              </w:rPr>
            </w:pPr>
            <w:r w:rsidRPr="00E263F4">
              <w:rPr>
                <w:color w:val="000000"/>
                <w:sz w:val="22"/>
                <w:szCs w:val="22"/>
              </w:rPr>
              <w:t>0.98</w:t>
            </w:r>
          </w:p>
        </w:tc>
        <w:tc>
          <w:tcPr>
            <w:tcW w:w="629" w:type="pct"/>
            <w:gridSpan w:val="2"/>
            <w:tcBorders>
              <w:top w:val="nil"/>
              <w:left w:val="nil"/>
              <w:bottom w:val="single" w:sz="4" w:space="0" w:color="auto"/>
              <w:right w:val="single" w:sz="4" w:space="0" w:color="auto"/>
            </w:tcBorders>
            <w:shd w:val="clear" w:color="auto" w:fill="auto"/>
            <w:noWrap/>
            <w:vAlign w:val="bottom"/>
          </w:tcPr>
          <w:p w14:paraId="6B5DB1E1" w14:textId="2C86B2D6" w:rsidR="009359DC" w:rsidRPr="00E263F4" w:rsidRDefault="009359DC" w:rsidP="00E263F4">
            <w:pPr>
              <w:spacing w:before="0" w:after="0" w:line="240" w:lineRule="auto"/>
              <w:jc w:val="center"/>
              <w:rPr>
                <w:color w:val="auto"/>
                <w:sz w:val="20"/>
                <w:szCs w:val="20"/>
              </w:rPr>
            </w:pPr>
            <w:r w:rsidRPr="00E263F4">
              <w:rPr>
                <w:color w:val="000000"/>
                <w:sz w:val="22"/>
                <w:szCs w:val="22"/>
              </w:rPr>
              <w:t>0.98</w:t>
            </w:r>
          </w:p>
        </w:tc>
        <w:tc>
          <w:tcPr>
            <w:tcW w:w="631" w:type="pct"/>
            <w:gridSpan w:val="3"/>
            <w:tcBorders>
              <w:top w:val="nil"/>
              <w:left w:val="nil"/>
              <w:bottom w:val="single" w:sz="4" w:space="0" w:color="auto"/>
              <w:right w:val="single" w:sz="4" w:space="0" w:color="auto"/>
            </w:tcBorders>
            <w:shd w:val="clear" w:color="auto" w:fill="auto"/>
            <w:noWrap/>
            <w:vAlign w:val="bottom"/>
          </w:tcPr>
          <w:p w14:paraId="047DE4BA" w14:textId="468783C0" w:rsidR="009359DC" w:rsidRPr="00E263F4" w:rsidRDefault="009359DC" w:rsidP="00E263F4">
            <w:pPr>
              <w:spacing w:before="0" w:after="0" w:line="240" w:lineRule="auto"/>
              <w:jc w:val="center"/>
              <w:rPr>
                <w:color w:val="auto"/>
                <w:sz w:val="20"/>
                <w:szCs w:val="20"/>
              </w:rPr>
            </w:pPr>
            <w:r w:rsidRPr="00E263F4">
              <w:rPr>
                <w:color w:val="000000"/>
                <w:sz w:val="22"/>
                <w:szCs w:val="22"/>
              </w:rPr>
              <w:t>0.99</w:t>
            </w:r>
          </w:p>
        </w:tc>
        <w:tc>
          <w:tcPr>
            <w:tcW w:w="645" w:type="pct"/>
            <w:gridSpan w:val="2"/>
            <w:tcBorders>
              <w:top w:val="nil"/>
              <w:left w:val="nil"/>
              <w:bottom w:val="single" w:sz="4" w:space="0" w:color="auto"/>
              <w:right w:val="single" w:sz="4" w:space="0" w:color="auto"/>
            </w:tcBorders>
            <w:shd w:val="clear" w:color="auto" w:fill="auto"/>
            <w:noWrap/>
            <w:vAlign w:val="bottom"/>
          </w:tcPr>
          <w:p w14:paraId="6CBC71D5" w14:textId="57D62594" w:rsidR="009359DC" w:rsidRPr="00E263F4" w:rsidRDefault="009359DC" w:rsidP="00E263F4">
            <w:pPr>
              <w:spacing w:before="0" w:after="0" w:line="240" w:lineRule="auto"/>
              <w:jc w:val="center"/>
              <w:rPr>
                <w:color w:val="auto"/>
                <w:sz w:val="20"/>
                <w:szCs w:val="20"/>
              </w:rPr>
            </w:pPr>
            <w:r w:rsidRPr="00E263F4">
              <w:rPr>
                <w:color w:val="000000"/>
                <w:sz w:val="22"/>
                <w:szCs w:val="22"/>
              </w:rPr>
              <w:t>0.98</w:t>
            </w:r>
          </w:p>
        </w:tc>
        <w:tc>
          <w:tcPr>
            <w:tcW w:w="646" w:type="pct"/>
            <w:gridSpan w:val="2"/>
            <w:tcBorders>
              <w:top w:val="nil"/>
              <w:left w:val="nil"/>
              <w:bottom w:val="single" w:sz="4" w:space="0" w:color="auto"/>
              <w:right w:val="single" w:sz="4" w:space="0" w:color="auto"/>
            </w:tcBorders>
            <w:shd w:val="clear" w:color="auto" w:fill="auto"/>
            <w:noWrap/>
            <w:vAlign w:val="bottom"/>
          </w:tcPr>
          <w:p w14:paraId="1467F669" w14:textId="4D6C8DE2" w:rsidR="009359DC" w:rsidRPr="00E263F4" w:rsidRDefault="009359DC" w:rsidP="00E263F4">
            <w:pPr>
              <w:spacing w:before="0" w:after="0" w:line="240" w:lineRule="auto"/>
              <w:jc w:val="center"/>
              <w:rPr>
                <w:color w:val="auto"/>
                <w:sz w:val="20"/>
                <w:szCs w:val="20"/>
              </w:rPr>
            </w:pPr>
            <w:r w:rsidRPr="00E263F4">
              <w:rPr>
                <w:color w:val="000000"/>
                <w:sz w:val="22"/>
                <w:szCs w:val="22"/>
              </w:rPr>
              <w:t>0.92</w:t>
            </w:r>
          </w:p>
        </w:tc>
        <w:tc>
          <w:tcPr>
            <w:tcW w:w="644" w:type="pct"/>
            <w:tcBorders>
              <w:top w:val="nil"/>
              <w:left w:val="nil"/>
              <w:bottom w:val="single" w:sz="4" w:space="0" w:color="auto"/>
              <w:right w:val="single" w:sz="4" w:space="0" w:color="auto"/>
            </w:tcBorders>
            <w:shd w:val="clear" w:color="auto" w:fill="auto"/>
            <w:noWrap/>
            <w:vAlign w:val="bottom"/>
          </w:tcPr>
          <w:p w14:paraId="7364E1B3" w14:textId="588BFF40" w:rsidR="009359DC" w:rsidRPr="00E263F4" w:rsidRDefault="009359DC" w:rsidP="00E263F4">
            <w:pPr>
              <w:spacing w:before="0" w:after="0" w:line="240" w:lineRule="auto"/>
              <w:jc w:val="center"/>
              <w:rPr>
                <w:color w:val="auto"/>
                <w:sz w:val="20"/>
                <w:szCs w:val="20"/>
              </w:rPr>
            </w:pPr>
            <w:r w:rsidRPr="00E263F4">
              <w:rPr>
                <w:color w:val="000000"/>
                <w:sz w:val="22"/>
                <w:szCs w:val="22"/>
              </w:rPr>
              <w:t>0.90</w:t>
            </w:r>
          </w:p>
        </w:tc>
      </w:tr>
      <w:tr w:rsidR="009359DC" w:rsidRPr="00E263F4" w14:paraId="41737A5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2203C8F" w14:textId="77777777" w:rsidR="009359DC" w:rsidRPr="00E263F4" w:rsidRDefault="009359DC" w:rsidP="009359DC">
            <w:pPr>
              <w:spacing w:before="0" w:after="0" w:line="240" w:lineRule="auto"/>
              <w:rPr>
                <w:color w:val="auto"/>
                <w:sz w:val="20"/>
                <w:szCs w:val="20"/>
              </w:rPr>
            </w:pPr>
            <w:r w:rsidRPr="00E263F4">
              <w:rPr>
                <w:color w:val="auto"/>
                <w:sz w:val="20"/>
                <w:szCs w:val="20"/>
              </w:rPr>
              <w:t>17</w:t>
            </w:r>
          </w:p>
        </w:tc>
        <w:tc>
          <w:tcPr>
            <w:tcW w:w="603" w:type="pct"/>
            <w:tcBorders>
              <w:top w:val="nil"/>
              <w:left w:val="nil"/>
              <w:bottom w:val="single" w:sz="4" w:space="0" w:color="auto"/>
              <w:right w:val="single" w:sz="4" w:space="0" w:color="auto"/>
            </w:tcBorders>
            <w:shd w:val="clear" w:color="auto" w:fill="auto"/>
            <w:noWrap/>
            <w:vAlign w:val="bottom"/>
          </w:tcPr>
          <w:p w14:paraId="39C02DCA" w14:textId="0DCC2686"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29" w:type="pct"/>
            <w:gridSpan w:val="2"/>
            <w:tcBorders>
              <w:top w:val="nil"/>
              <w:left w:val="nil"/>
              <w:bottom w:val="single" w:sz="4" w:space="0" w:color="auto"/>
              <w:right w:val="single" w:sz="4" w:space="0" w:color="auto"/>
            </w:tcBorders>
            <w:shd w:val="clear" w:color="auto" w:fill="auto"/>
            <w:noWrap/>
            <w:vAlign w:val="bottom"/>
          </w:tcPr>
          <w:p w14:paraId="1CA97F91" w14:textId="6BEEA836"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c>
          <w:tcPr>
            <w:tcW w:w="631" w:type="pct"/>
            <w:gridSpan w:val="3"/>
            <w:tcBorders>
              <w:top w:val="nil"/>
              <w:left w:val="nil"/>
              <w:bottom w:val="single" w:sz="4" w:space="0" w:color="auto"/>
              <w:right w:val="single" w:sz="4" w:space="0" w:color="auto"/>
            </w:tcBorders>
            <w:shd w:val="clear" w:color="auto" w:fill="auto"/>
            <w:noWrap/>
            <w:vAlign w:val="bottom"/>
          </w:tcPr>
          <w:p w14:paraId="2D8FA7B5" w14:textId="3DB80F09"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45" w:type="pct"/>
            <w:gridSpan w:val="2"/>
            <w:tcBorders>
              <w:top w:val="nil"/>
              <w:left w:val="nil"/>
              <w:bottom w:val="single" w:sz="4" w:space="0" w:color="auto"/>
              <w:right w:val="single" w:sz="4" w:space="0" w:color="auto"/>
            </w:tcBorders>
            <w:shd w:val="clear" w:color="auto" w:fill="auto"/>
            <w:noWrap/>
            <w:vAlign w:val="bottom"/>
          </w:tcPr>
          <w:p w14:paraId="7B218FE9" w14:textId="5925AA01" w:rsidR="009359DC" w:rsidRPr="00E263F4" w:rsidRDefault="009359DC" w:rsidP="00E263F4">
            <w:pPr>
              <w:spacing w:before="0" w:after="0" w:line="240" w:lineRule="auto"/>
              <w:jc w:val="center"/>
              <w:rPr>
                <w:color w:val="auto"/>
                <w:sz w:val="20"/>
                <w:szCs w:val="20"/>
              </w:rPr>
            </w:pPr>
            <w:r w:rsidRPr="00E263F4">
              <w:rPr>
                <w:color w:val="000000"/>
                <w:sz w:val="22"/>
                <w:szCs w:val="22"/>
              </w:rPr>
              <w:t>0.79</w:t>
            </w:r>
          </w:p>
        </w:tc>
        <w:tc>
          <w:tcPr>
            <w:tcW w:w="646" w:type="pct"/>
            <w:gridSpan w:val="2"/>
            <w:tcBorders>
              <w:top w:val="nil"/>
              <w:left w:val="nil"/>
              <w:bottom w:val="single" w:sz="4" w:space="0" w:color="auto"/>
              <w:right w:val="single" w:sz="4" w:space="0" w:color="auto"/>
            </w:tcBorders>
            <w:shd w:val="clear" w:color="auto" w:fill="auto"/>
            <w:noWrap/>
            <w:vAlign w:val="bottom"/>
          </w:tcPr>
          <w:p w14:paraId="519AD095" w14:textId="14F7CB1F" w:rsidR="009359DC" w:rsidRPr="00E263F4" w:rsidRDefault="009359DC" w:rsidP="00E263F4">
            <w:pPr>
              <w:spacing w:before="0" w:after="0" w:line="240" w:lineRule="auto"/>
              <w:jc w:val="center"/>
              <w:rPr>
                <w:color w:val="auto"/>
                <w:sz w:val="20"/>
                <w:szCs w:val="20"/>
              </w:rPr>
            </w:pPr>
            <w:r w:rsidRPr="00E263F4">
              <w:rPr>
                <w:color w:val="000000"/>
                <w:sz w:val="22"/>
                <w:szCs w:val="22"/>
              </w:rPr>
              <w:t>0.71</w:t>
            </w:r>
          </w:p>
        </w:tc>
        <w:tc>
          <w:tcPr>
            <w:tcW w:w="644" w:type="pct"/>
            <w:tcBorders>
              <w:top w:val="nil"/>
              <w:left w:val="nil"/>
              <w:bottom w:val="single" w:sz="4" w:space="0" w:color="auto"/>
              <w:right w:val="single" w:sz="4" w:space="0" w:color="auto"/>
            </w:tcBorders>
            <w:shd w:val="clear" w:color="auto" w:fill="auto"/>
            <w:noWrap/>
            <w:vAlign w:val="bottom"/>
          </w:tcPr>
          <w:p w14:paraId="3B40D68C" w14:textId="0138272D" w:rsidR="009359DC" w:rsidRPr="00E263F4" w:rsidRDefault="009359DC" w:rsidP="00E263F4">
            <w:pPr>
              <w:spacing w:before="0" w:after="0" w:line="240" w:lineRule="auto"/>
              <w:jc w:val="center"/>
              <w:rPr>
                <w:color w:val="auto"/>
                <w:sz w:val="20"/>
                <w:szCs w:val="20"/>
              </w:rPr>
            </w:pPr>
            <w:r w:rsidRPr="00E263F4">
              <w:rPr>
                <w:color w:val="000000"/>
                <w:sz w:val="22"/>
                <w:szCs w:val="22"/>
              </w:rPr>
              <w:t>0.62</w:t>
            </w:r>
          </w:p>
        </w:tc>
      </w:tr>
      <w:tr w:rsidR="009359DC" w:rsidRPr="00E263F4" w14:paraId="384ED13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62978BC" w14:textId="77777777" w:rsidR="009359DC" w:rsidRPr="00E263F4" w:rsidRDefault="009359DC" w:rsidP="009359DC">
            <w:pPr>
              <w:spacing w:before="0" w:after="0" w:line="240" w:lineRule="auto"/>
              <w:rPr>
                <w:color w:val="auto"/>
                <w:sz w:val="20"/>
                <w:szCs w:val="20"/>
              </w:rPr>
            </w:pPr>
            <w:r w:rsidRPr="00E263F4">
              <w:rPr>
                <w:color w:val="auto"/>
                <w:sz w:val="20"/>
                <w:szCs w:val="20"/>
              </w:rPr>
              <w:t>18</w:t>
            </w:r>
          </w:p>
        </w:tc>
        <w:tc>
          <w:tcPr>
            <w:tcW w:w="603" w:type="pct"/>
            <w:tcBorders>
              <w:top w:val="nil"/>
              <w:left w:val="nil"/>
              <w:bottom w:val="single" w:sz="4" w:space="0" w:color="auto"/>
              <w:right w:val="single" w:sz="4" w:space="0" w:color="auto"/>
            </w:tcBorders>
            <w:shd w:val="clear" w:color="auto" w:fill="auto"/>
            <w:noWrap/>
            <w:vAlign w:val="bottom"/>
          </w:tcPr>
          <w:p w14:paraId="000973F5" w14:textId="6243A4B0" w:rsidR="009359DC" w:rsidRPr="00E263F4" w:rsidRDefault="009359DC" w:rsidP="00E263F4">
            <w:pPr>
              <w:spacing w:before="0" w:after="0" w:line="240" w:lineRule="auto"/>
              <w:jc w:val="center"/>
              <w:rPr>
                <w:color w:val="auto"/>
                <w:sz w:val="20"/>
                <w:szCs w:val="20"/>
              </w:rPr>
            </w:pPr>
            <w:r w:rsidRPr="00E263F4">
              <w:rPr>
                <w:color w:val="000000"/>
                <w:sz w:val="22"/>
                <w:szCs w:val="22"/>
              </w:rPr>
              <w:t>1.03</w:t>
            </w:r>
          </w:p>
        </w:tc>
        <w:tc>
          <w:tcPr>
            <w:tcW w:w="629" w:type="pct"/>
            <w:gridSpan w:val="2"/>
            <w:tcBorders>
              <w:top w:val="nil"/>
              <w:left w:val="nil"/>
              <w:bottom w:val="single" w:sz="4" w:space="0" w:color="auto"/>
              <w:right w:val="single" w:sz="4" w:space="0" w:color="auto"/>
            </w:tcBorders>
            <w:shd w:val="clear" w:color="auto" w:fill="auto"/>
            <w:noWrap/>
            <w:vAlign w:val="bottom"/>
          </w:tcPr>
          <w:p w14:paraId="05B21F33" w14:textId="5811EEBF" w:rsidR="009359DC" w:rsidRPr="00E263F4" w:rsidRDefault="009359DC" w:rsidP="00E263F4">
            <w:pPr>
              <w:spacing w:before="0" w:after="0" w:line="240" w:lineRule="auto"/>
              <w:jc w:val="center"/>
              <w:rPr>
                <w:color w:val="auto"/>
                <w:sz w:val="20"/>
                <w:szCs w:val="20"/>
              </w:rPr>
            </w:pPr>
            <w:r w:rsidRPr="00E263F4">
              <w:rPr>
                <w:color w:val="000000"/>
                <w:sz w:val="22"/>
                <w:szCs w:val="22"/>
              </w:rPr>
              <w:t>1.14</w:t>
            </w:r>
          </w:p>
        </w:tc>
        <w:tc>
          <w:tcPr>
            <w:tcW w:w="631" w:type="pct"/>
            <w:gridSpan w:val="3"/>
            <w:tcBorders>
              <w:top w:val="nil"/>
              <w:left w:val="nil"/>
              <w:bottom w:val="single" w:sz="4" w:space="0" w:color="auto"/>
              <w:right w:val="single" w:sz="4" w:space="0" w:color="auto"/>
            </w:tcBorders>
            <w:shd w:val="clear" w:color="auto" w:fill="auto"/>
            <w:noWrap/>
            <w:vAlign w:val="bottom"/>
          </w:tcPr>
          <w:p w14:paraId="1D63ACEA" w14:textId="4300EF87" w:rsidR="009359DC" w:rsidRPr="00E263F4" w:rsidRDefault="009359DC" w:rsidP="00E263F4">
            <w:pPr>
              <w:spacing w:before="0" w:after="0" w:line="240" w:lineRule="auto"/>
              <w:jc w:val="center"/>
              <w:rPr>
                <w:color w:val="auto"/>
                <w:sz w:val="20"/>
                <w:szCs w:val="20"/>
              </w:rPr>
            </w:pPr>
            <w:r w:rsidRPr="00E263F4">
              <w:rPr>
                <w:color w:val="000000"/>
                <w:sz w:val="22"/>
                <w:szCs w:val="22"/>
              </w:rPr>
              <w:t>1.06</w:t>
            </w:r>
          </w:p>
        </w:tc>
        <w:tc>
          <w:tcPr>
            <w:tcW w:w="645" w:type="pct"/>
            <w:gridSpan w:val="2"/>
            <w:tcBorders>
              <w:top w:val="nil"/>
              <w:left w:val="nil"/>
              <w:bottom w:val="single" w:sz="4" w:space="0" w:color="auto"/>
              <w:right w:val="single" w:sz="4" w:space="0" w:color="auto"/>
            </w:tcBorders>
            <w:shd w:val="clear" w:color="auto" w:fill="auto"/>
            <w:noWrap/>
            <w:vAlign w:val="bottom"/>
          </w:tcPr>
          <w:p w14:paraId="13ED55C9" w14:textId="15F1D53A" w:rsidR="009359DC" w:rsidRPr="00E263F4" w:rsidRDefault="009359DC" w:rsidP="00E263F4">
            <w:pPr>
              <w:spacing w:before="0" w:after="0" w:line="240" w:lineRule="auto"/>
              <w:jc w:val="center"/>
              <w:rPr>
                <w:color w:val="auto"/>
                <w:sz w:val="20"/>
                <w:szCs w:val="20"/>
              </w:rPr>
            </w:pPr>
            <w:r w:rsidRPr="00E263F4">
              <w:rPr>
                <w:color w:val="000000"/>
                <w:sz w:val="22"/>
                <w:szCs w:val="22"/>
              </w:rPr>
              <w:t>0.82</w:t>
            </w:r>
          </w:p>
        </w:tc>
        <w:tc>
          <w:tcPr>
            <w:tcW w:w="646" w:type="pct"/>
            <w:gridSpan w:val="2"/>
            <w:tcBorders>
              <w:top w:val="nil"/>
              <w:left w:val="nil"/>
              <w:bottom w:val="single" w:sz="4" w:space="0" w:color="auto"/>
              <w:right w:val="single" w:sz="4" w:space="0" w:color="auto"/>
            </w:tcBorders>
            <w:shd w:val="clear" w:color="auto" w:fill="auto"/>
            <w:noWrap/>
            <w:vAlign w:val="bottom"/>
          </w:tcPr>
          <w:p w14:paraId="1300B9F1" w14:textId="798DDAF9" w:rsidR="009359DC" w:rsidRPr="00E263F4" w:rsidRDefault="009359DC" w:rsidP="00E263F4">
            <w:pPr>
              <w:spacing w:before="0" w:after="0" w:line="240" w:lineRule="auto"/>
              <w:jc w:val="center"/>
              <w:rPr>
                <w:color w:val="auto"/>
                <w:sz w:val="20"/>
                <w:szCs w:val="20"/>
              </w:rPr>
            </w:pPr>
            <w:r w:rsidRPr="00E263F4">
              <w:rPr>
                <w:color w:val="000000"/>
                <w:sz w:val="22"/>
                <w:szCs w:val="22"/>
              </w:rPr>
              <w:t>0.76</w:t>
            </w:r>
          </w:p>
        </w:tc>
        <w:tc>
          <w:tcPr>
            <w:tcW w:w="644" w:type="pct"/>
            <w:tcBorders>
              <w:top w:val="nil"/>
              <w:left w:val="nil"/>
              <w:bottom w:val="single" w:sz="4" w:space="0" w:color="auto"/>
              <w:right w:val="single" w:sz="4" w:space="0" w:color="auto"/>
            </w:tcBorders>
            <w:shd w:val="clear" w:color="auto" w:fill="auto"/>
            <w:noWrap/>
            <w:vAlign w:val="bottom"/>
          </w:tcPr>
          <w:p w14:paraId="1DEA15B0" w14:textId="5216788B" w:rsidR="009359DC" w:rsidRPr="00E263F4" w:rsidRDefault="009359DC" w:rsidP="00E263F4">
            <w:pPr>
              <w:spacing w:before="0" w:after="0" w:line="240" w:lineRule="auto"/>
              <w:jc w:val="center"/>
              <w:rPr>
                <w:color w:val="auto"/>
                <w:sz w:val="20"/>
                <w:szCs w:val="20"/>
              </w:rPr>
            </w:pPr>
            <w:r w:rsidRPr="00E263F4">
              <w:rPr>
                <w:color w:val="000000"/>
                <w:sz w:val="22"/>
                <w:szCs w:val="22"/>
              </w:rPr>
              <w:t>0.77</w:t>
            </w:r>
          </w:p>
        </w:tc>
      </w:tr>
      <w:tr w:rsidR="009359DC" w:rsidRPr="00E263F4" w14:paraId="59F93D6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2BBE685" w14:textId="77777777" w:rsidR="009359DC" w:rsidRPr="00E263F4" w:rsidRDefault="009359DC" w:rsidP="009359DC">
            <w:pPr>
              <w:spacing w:before="0" w:after="0" w:line="240" w:lineRule="auto"/>
              <w:rPr>
                <w:color w:val="auto"/>
                <w:sz w:val="20"/>
                <w:szCs w:val="20"/>
              </w:rPr>
            </w:pPr>
            <w:r w:rsidRPr="00E263F4">
              <w:rPr>
                <w:color w:val="auto"/>
                <w:sz w:val="20"/>
                <w:szCs w:val="20"/>
              </w:rPr>
              <w:t>19</w:t>
            </w:r>
          </w:p>
        </w:tc>
        <w:tc>
          <w:tcPr>
            <w:tcW w:w="603" w:type="pct"/>
            <w:tcBorders>
              <w:top w:val="nil"/>
              <w:left w:val="nil"/>
              <w:bottom w:val="single" w:sz="4" w:space="0" w:color="auto"/>
              <w:right w:val="single" w:sz="4" w:space="0" w:color="auto"/>
            </w:tcBorders>
            <w:shd w:val="clear" w:color="auto" w:fill="auto"/>
            <w:noWrap/>
            <w:vAlign w:val="bottom"/>
          </w:tcPr>
          <w:p w14:paraId="3D874C1E" w14:textId="431B5087" w:rsidR="009359DC" w:rsidRPr="00E263F4" w:rsidRDefault="009359DC" w:rsidP="00E263F4">
            <w:pPr>
              <w:spacing w:before="0" w:after="0" w:line="240" w:lineRule="auto"/>
              <w:jc w:val="center"/>
              <w:rPr>
                <w:color w:val="auto"/>
                <w:sz w:val="20"/>
                <w:szCs w:val="20"/>
              </w:rPr>
            </w:pPr>
            <w:r w:rsidRPr="00E263F4">
              <w:rPr>
                <w:color w:val="000000"/>
                <w:sz w:val="22"/>
                <w:szCs w:val="22"/>
              </w:rPr>
              <w:t>0.86</w:t>
            </w:r>
          </w:p>
        </w:tc>
        <w:tc>
          <w:tcPr>
            <w:tcW w:w="629" w:type="pct"/>
            <w:gridSpan w:val="2"/>
            <w:tcBorders>
              <w:top w:val="nil"/>
              <w:left w:val="nil"/>
              <w:bottom w:val="single" w:sz="4" w:space="0" w:color="auto"/>
              <w:right w:val="single" w:sz="4" w:space="0" w:color="auto"/>
            </w:tcBorders>
            <w:shd w:val="clear" w:color="auto" w:fill="auto"/>
            <w:noWrap/>
            <w:vAlign w:val="bottom"/>
          </w:tcPr>
          <w:p w14:paraId="0A7FDF89" w14:textId="09ED1154" w:rsidR="009359DC" w:rsidRPr="00E263F4" w:rsidRDefault="009359DC" w:rsidP="00E263F4">
            <w:pPr>
              <w:spacing w:before="0" w:after="0" w:line="240" w:lineRule="auto"/>
              <w:jc w:val="center"/>
              <w:rPr>
                <w:color w:val="auto"/>
                <w:sz w:val="20"/>
                <w:szCs w:val="20"/>
              </w:rPr>
            </w:pPr>
            <w:r w:rsidRPr="00E263F4">
              <w:rPr>
                <w:color w:val="000000"/>
                <w:sz w:val="22"/>
                <w:szCs w:val="22"/>
              </w:rPr>
              <w:t>0.87</w:t>
            </w:r>
          </w:p>
        </w:tc>
        <w:tc>
          <w:tcPr>
            <w:tcW w:w="631" w:type="pct"/>
            <w:gridSpan w:val="3"/>
            <w:tcBorders>
              <w:top w:val="nil"/>
              <w:left w:val="nil"/>
              <w:bottom w:val="single" w:sz="4" w:space="0" w:color="auto"/>
              <w:right w:val="single" w:sz="4" w:space="0" w:color="auto"/>
            </w:tcBorders>
            <w:shd w:val="clear" w:color="auto" w:fill="auto"/>
            <w:noWrap/>
            <w:vAlign w:val="bottom"/>
          </w:tcPr>
          <w:p w14:paraId="66AF4CEE" w14:textId="66BE8587" w:rsidR="009359DC" w:rsidRPr="00E263F4" w:rsidRDefault="009359DC" w:rsidP="00E263F4">
            <w:pPr>
              <w:spacing w:before="0" w:after="0" w:line="240" w:lineRule="auto"/>
              <w:jc w:val="center"/>
              <w:rPr>
                <w:color w:val="auto"/>
                <w:sz w:val="20"/>
                <w:szCs w:val="20"/>
              </w:rPr>
            </w:pPr>
            <w:r w:rsidRPr="00E263F4">
              <w:rPr>
                <w:color w:val="000000"/>
                <w:sz w:val="22"/>
                <w:szCs w:val="22"/>
              </w:rPr>
              <w:t>0.85</w:t>
            </w:r>
          </w:p>
        </w:tc>
        <w:tc>
          <w:tcPr>
            <w:tcW w:w="645" w:type="pct"/>
            <w:gridSpan w:val="2"/>
            <w:tcBorders>
              <w:top w:val="nil"/>
              <w:left w:val="nil"/>
              <w:bottom w:val="single" w:sz="4" w:space="0" w:color="auto"/>
              <w:right w:val="single" w:sz="4" w:space="0" w:color="auto"/>
            </w:tcBorders>
            <w:shd w:val="clear" w:color="auto" w:fill="auto"/>
            <w:noWrap/>
            <w:vAlign w:val="bottom"/>
          </w:tcPr>
          <w:p w14:paraId="6E272F35" w14:textId="361566DB" w:rsidR="009359DC" w:rsidRPr="00E263F4" w:rsidRDefault="009359DC" w:rsidP="00E263F4">
            <w:pPr>
              <w:spacing w:before="0" w:after="0" w:line="240" w:lineRule="auto"/>
              <w:jc w:val="center"/>
              <w:rPr>
                <w:color w:val="auto"/>
                <w:sz w:val="20"/>
                <w:szCs w:val="20"/>
              </w:rPr>
            </w:pPr>
            <w:r w:rsidRPr="00E263F4">
              <w:rPr>
                <w:color w:val="000000"/>
                <w:sz w:val="22"/>
                <w:szCs w:val="22"/>
              </w:rPr>
              <w:t>0.82</w:t>
            </w:r>
          </w:p>
        </w:tc>
        <w:tc>
          <w:tcPr>
            <w:tcW w:w="646" w:type="pct"/>
            <w:gridSpan w:val="2"/>
            <w:tcBorders>
              <w:top w:val="nil"/>
              <w:left w:val="nil"/>
              <w:bottom w:val="single" w:sz="4" w:space="0" w:color="auto"/>
              <w:right w:val="single" w:sz="4" w:space="0" w:color="auto"/>
            </w:tcBorders>
            <w:shd w:val="clear" w:color="auto" w:fill="auto"/>
            <w:noWrap/>
            <w:vAlign w:val="bottom"/>
          </w:tcPr>
          <w:p w14:paraId="704B01E8" w14:textId="6E17BF17" w:rsidR="009359DC" w:rsidRPr="00E263F4" w:rsidRDefault="009359DC" w:rsidP="00E263F4">
            <w:pPr>
              <w:spacing w:before="0" w:after="0" w:line="240" w:lineRule="auto"/>
              <w:jc w:val="center"/>
              <w:rPr>
                <w:color w:val="auto"/>
                <w:sz w:val="20"/>
                <w:szCs w:val="20"/>
              </w:rPr>
            </w:pPr>
            <w:r w:rsidRPr="00E263F4">
              <w:rPr>
                <w:color w:val="000000"/>
                <w:sz w:val="22"/>
                <w:szCs w:val="22"/>
              </w:rPr>
              <w:t>0.80</w:t>
            </w:r>
          </w:p>
        </w:tc>
        <w:tc>
          <w:tcPr>
            <w:tcW w:w="644" w:type="pct"/>
            <w:tcBorders>
              <w:top w:val="nil"/>
              <w:left w:val="nil"/>
              <w:bottom w:val="single" w:sz="4" w:space="0" w:color="auto"/>
              <w:right w:val="single" w:sz="4" w:space="0" w:color="auto"/>
            </w:tcBorders>
            <w:shd w:val="clear" w:color="auto" w:fill="auto"/>
            <w:noWrap/>
            <w:vAlign w:val="bottom"/>
          </w:tcPr>
          <w:p w14:paraId="089512A7" w14:textId="200AC5E6"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r>
      <w:tr w:rsidR="009359DC" w:rsidRPr="00E263F4" w14:paraId="7084EDC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9B55CC1" w14:textId="77777777" w:rsidR="009359DC" w:rsidRPr="00E263F4" w:rsidRDefault="009359DC" w:rsidP="009359DC">
            <w:pPr>
              <w:spacing w:before="0" w:after="0" w:line="240" w:lineRule="auto"/>
              <w:rPr>
                <w:color w:val="auto"/>
                <w:sz w:val="20"/>
                <w:szCs w:val="20"/>
              </w:rPr>
            </w:pPr>
            <w:r w:rsidRPr="00E263F4">
              <w:rPr>
                <w:color w:val="auto"/>
                <w:sz w:val="20"/>
                <w:szCs w:val="20"/>
              </w:rPr>
              <w:t>20</w:t>
            </w:r>
          </w:p>
        </w:tc>
        <w:tc>
          <w:tcPr>
            <w:tcW w:w="603" w:type="pct"/>
            <w:tcBorders>
              <w:top w:val="nil"/>
              <w:left w:val="nil"/>
              <w:bottom w:val="single" w:sz="4" w:space="0" w:color="auto"/>
              <w:right w:val="single" w:sz="4" w:space="0" w:color="auto"/>
            </w:tcBorders>
            <w:shd w:val="clear" w:color="auto" w:fill="auto"/>
            <w:noWrap/>
            <w:vAlign w:val="bottom"/>
          </w:tcPr>
          <w:p w14:paraId="4DB424C4" w14:textId="5856DBCD" w:rsidR="009359DC" w:rsidRPr="00E263F4" w:rsidRDefault="009359DC" w:rsidP="00E263F4">
            <w:pPr>
              <w:spacing w:before="0" w:after="0" w:line="240" w:lineRule="auto"/>
              <w:jc w:val="center"/>
              <w:rPr>
                <w:color w:val="auto"/>
                <w:sz w:val="20"/>
                <w:szCs w:val="20"/>
              </w:rPr>
            </w:pPr>
            <w:r w:rsidRPr="00E263F4">
              <w:rPr>
                <w:color w:val="000000"/>
                <w:sz w:val="22"/>
                <w:szCs w:val="22"/>
              </w:rPr>
              <w:t>0.93</w:t>
            </w:r>
          </w:p>
        </w:tc>
        <w:tc>
          <w:tcPr>
            <w:tcW w:w="629" w:type="pct"/>
            <w:gridSpan w:val="2"/>
            <w:tcBorders>
              <w:top w:val="nil"/>
              <w:left w:val="nil"/>
              <w:bottom w:val="single" w:sz="4" w:space="0" w:color="auto"/>
              <w:right w:val="single" w:sz="4" w:space="0" w:color="auto"/>
            </w:tcBorders>
            <w:shd w:val="clear" w:color="auto" w:fill="auto"/>
            <w:noWrap/>
            <w:vAlign w:val="bottom"/>
          </w:tcPr>
          <w:p w14:paraId="12F34614" w14:textId="173B19BF" w:rsidR="009359DC" w:rsidRPr="00E263F4" w:rsidRDefault="009359DC" w:rsidP="00E263F4">
            <w:pPr>
              <w:spacing w:before="0" w:after="0" w:line="240" w:lineRule="auto"/>
              <w:jc w:val="center"/>
              <w:rPr>
                <w:color w:val="auto"/>
                <w:sz w:val="20"/>
                <w:szCs w:val="20"/>
              </w:rPr>
            </w:pPr>
            <w:r w:rsidRPr="00E263F4">
              <w:rPr>
                <w:color w:val="000000"/>
                <w:sz w:val="22"/>
                <w:szCs w:val="22"/>
              </w:rPr>
              <w:t>0.99</w:t>
            </w:r>
          </w:p>
        </w:tc>
        <w:tc>
          <w:tcPr>
            <w:tcW w:w="631" w:type="pct"/>
            <w:gridSpan w:val="3"/>
            <w:tcBorders>
              <w:top w:val="nil"/>
              <w:left w:val="nil"/>
              <w:bottom w:val="single" w:sz="4" w:space="0" w:color="auto"/>
              <w:right w:val="single" w:sz="4" w:space="0" w:color="auto"/>
            </w:tcBorders>
            <w:shd w:val="clear" w:color="auto" w:fill="auto"/>
            <w:noWrap/>
            <w:vAlign w:val="bottom"/>
          </w:tcPr>
          <w:p w14:paraId="19D41CB3" w14:textId="515778CC" w:rsidR="009359DC" w:rsidRPr="00E263F4" w:rsidRDefault="009359DC" w:rsidP="00E263F4">
            <w:pPr>
              <w:spacing w:before="0" w:after="0" w:line="240" w:lineRule="auto"/>
              <w:jc w:val="center"/>
              <w:rPr>
                <w:color w:val="auto"/>
                <w:sz w:val="20"/>
                <w:szCs w:val="20"/>
              </w:rPr>
            </w:pPr>
            <w:r w:rsidRPr="00E263F4">
              <w:rPr>
                <w:color w:val="000000"/>
                <w:sz w:val="22"/>
                <w:szCs w:val="22"/>
              </w:rPr>
              <w:t>1.12</w:t>
            </w:r>
          </w:p>
        </w:tc>
        <w:tc>
          <w:tcPr>
            <w:tcW w:w="645" w:type="pct"/>
            <w:gridSpan w:val="2"/>
            <w:tcBorders>
              <w:top w:val="nil"/>
              <w:left w:val="nil"/>
              <w:bottom w:val="single" w:sz="4" w:space="0" w:color="auto"/>
              <w:right w:val="single" w:sz="4" w:space="0" w:color="auto"/>
            </w:tcBorders>
            <w:shd w:val="clear" w:color="auto" w:fill="auto"/>
            <w:noWrap/>
            <w:vAlign w:val="bottom"/>
          </w:tcPr>
          <w:p w14:paraId="795DB1AD" w14:textId="23C1FDBB"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c>
          <w:tcPr>
            <w:tcW w:w="646" w:type="pct"/>
            <w:gridSpan w:val="2"/>
            <w:tcBorders>
              <w:top w:val="nil"/>
              <w:left w:val="nil"/>
              <w:bottom w:val="single" w:sz="4" w:space="0" w:color="auto"/>
              <w:right w:val="single" w:sz="4" w:space="0" w:color="auto"/>
            </w:tcBorders>
            <w:shd w:val="clear" w:color="auto" w:fill="auto"/>
            <w:noWrap/>
            <w:vAlign w:val="bottom"/>
          </w:tcPr>
          <w:p w14:paraId="1A7631F6" w14:textId="642FBDAE"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c>
          <w:tcPr>
            <w:tcW w:w="644" w:type="pct"/>
            <w:tcBorders>
              <w:top w:val="nil"/>
              <w:left w:val="nil"/>
              <w:bottom w:val="single" w:sz="4" w:space="0" w:color="auto"/>
              <w:right w:val="single" w:sz="4" w:space="0" w:color="auto"/>
            </w:tcBorders>
            <w:shd w:val="clear" w:color="auto" w:fill="auto"/>
            <w:noWrap/>
            <w:vAlign w:val="bottom"/>
          </w:tcPr>
          <w:p w14:paraId="43676470" w14:textId="168CB8BF" w:rsidR="009359DC" w:rsidRPr="00E263F4" w:rsidRDefault="009359DC" w:rsidP="00E263F4">
            <w:pPr>
              <w:spacing w:before="0" w:after="0" w:line="240" w:lineRule="auto"/>
              <w:jc w:val="center"/>
              <w:rPr>
                <w:color w:val="auto"/>
                <w:sz w:val="20"/>
                <w:szCs w:val="20"/>
              </w:rPr>
            </w:pPr>
            <w:r w:rsidRPr="00E263F4">
              <w:rPr>
                <w:color w:val="000000"/>
                <w:sz w:val="22"/>
                <w:szCs w:val="22"/>
              </w:rPr>
              <w:t>0.81</w:t>
            </w:r>
          </w:p>
        </w:tc>
      </w:tr>
      <w:tr w:rsidR="009359DC" w:rsidRPr="00E263F4" w14:paraId="4B8C8114"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6A219D9" w14:textId="77777777" w:rsidR="009359DC" w:rsidRPr="00E263F4" w:rsidRDefault="009359DC" w:rsidP="009359DC">
            <w:pPr>
              <w:spacing w:before="0" w:after="0" w:line="240" w:lineRule="auto"/>
              <w:rPr>
                <w:color w:val="auto"/>
                <w:sz w:val="20"/>
                <w:szCs w:val="20"/>
              </w:rPr>
            </w:pPr>
            <w:r w:rsidRPr="00E263F4">
              <w:rPr>
                <w:color w:val="auto"/>
                <w:sz w:val="20"/>
                <w:szCs w:val="20"/>
              </w:rPr>
              <w:t>21</w:t>
            </w:r>
          </w:p>
        </w:tc>
        <w:tc>
          <w:tcPr>
            <w:tcW w:w="603" w:type="pct"/>
            <w:tcBorders>
              <w:top w:val="nil"/>
              <w:left w:val="nil"/>
              <w:bottom w:val="single" w:sz="4" w:space="0" w:color="auto"/>
              <w:right w:val="single" w:sz="4" w:space="0" w:color="auto"/>
            </w:tcBorders>
            <w:shd w:val="clear" w:color="auto" w:fill="auto"/>
            <w:noWrap/>
            <w:vAlign w:val="bottom"/>
          </w:tcPr>
          <w:p w14:paraId="03C662BE" w14:textId="2F982685" w:rsidR="009359DC" w:rsidRPr="00E263F4" w:rsidRDefault="009359DC" w:rsidP="00E263F4">
            <w:pPr>
              <w:spacing w:before="0" w:after="0" w:line="240" w:lineRule="auto"/>
              <w:jc w:val="center"/>
              <w:rPr>
                <w:color w:val="auto"/>
                <w:sz w:val="20"/>
                <w:szCs w:val="20"/>
              </w:rPr>
            </w:pPr>
            <w:r w:rsidRPr="00E263F4">
              <w:rPr>
                <w:color w:val="000000"/>
                <w:sz w:val="22"/>
                <w:szCs w:val="22"/>
              </w:rPr>
              <w:t>1.02</w:t>
            </w:r>
          </w:p>
        </w:tc>
        <w:tc>
          <w:tcPr>
            <w:tcW w:w="629" w:type="pct"/>
            <w:gridSpan w:val="2"/>
            <w:tcBorders>
              <w:top w:val="nil"/>
              <w:left w:val="nil"/>
              <w:bottom w:val="single" w:sz="4" w:space="0" w:color="auto"/>
              <w:right w:val="single" w:sz="4" w:space="0" w:color="auto"/>
            </w:tcBorders>
            <w:shd w:val="clear" w:color="auto" w:fill="auto"/>
            <w:noWrap/>
            <w:vAlign w:val="bottom"/>
          </w:tcPr>
          <w:p w14:paraId="6CC6BC62" w14:textId="7B0A7974"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31" w:type="pct"/>
            <w:gridSpan w:val="3"/>
            <w:tcBorders>
              <w:top w:val="nil"/>
              <w:left w:val="nil"/>
              <w:bottom w:val="single" w:sz="4" w:space="0" w:color="auto"/>
              <w:right w:val="single" w:sz="4" w:space="0" w:color="auto"/>
            </w:tcBorders>
            <w:shd w:val="clear" w:color="auto" w:fill="auto"/>
            <w:noWrap/>
            <w:vAlign w:val="bottom"/>
          </w:tcPr>
          <w:p w14:paraId="1F35DFA2" w14:textId="5BE25FBC" w:rsidR="009359DC" w:rsidRPr="00E263F4" w:rsidRDefault="009359DC" w:rsidP="00E263F4">
            <w:pPr>
              <w:spacing w:before="0" w:after="0" w:line="240" w:lineRule="auto"/>
              <w:jc w:val="center"/>
              <w:rPr>
                <w:color w:val="auto"/>
                <w:sz w:val="20"/>
                <w:szCs w:val="20"/>
              </w:rPr>
            </w:pPr>
            <w:r w:rsidRPr="00E263F4">
              <w:rPr>
                <w:color w:val="000000"/>
                <w:sz w:val="22"/>
                <w:szCs w:val="22"/>
              </w:rPr>
              <w:t>1.10</w:t>
            </w:r>
          </w:p>
        </w:tc>
        <w:tc>
          <w:tcPr>
            <w:tcW w:w="645" w:type="pct"/>
            <w:gridSpan w:val="2"/>
            <w:tcBorders>
              <w:top w:val="nil"/>
              <w:left w:val="nil"/>
              <w:bottom w:val="single" w:sz="4" w:space="0" w:color="auto"/>
              <w:right w:val="single" w:sz="4" w:space="0" w:color="auto"/>
            </w:tcBorders>
            <w:shd w:val="clear" w:color="auto" w:fill="auto"/>
            <w:noWrap/>
            <w:vAlign w:val="bottom"/>
          </w:tcPr>
          <w:p w14:paraId="70D11035" w14:textId="167F8E3C" w:rsidR="009359DC" w:rsidRPr="00E263F4" w:rsidRDefault="009359DC" w:rsidP="00E263F4">
            <w:pPr>
              <w:spacing w:before="0" w:after="0" w:line="240" w:lineRule="auto"/>
              <w:jc w:val="center"/>
              <w:rPr>
                <w:color w:val="auto"/>
                <w:sz w:val="20"/>
                <w:szCs w:val="20"/>
              </w:rPr>
            </w:pPr>
            <w:r w:rsidRPr="00E263F4">
              <w:rPr>
                <w:color w:val="000000"/>
                <w:sz w:val="22"/>
                <w:szCs w:val="22"/>
              </w:rPr>
              <w:t>1.03</w:t>
            </w:r>
          </w:p>
        </w:tc>
        <w:tc>
          <w:tcPr>
            <w:tcW w:w="646" w:type="pct"/>
            <w:gridSpan w:val="2"/>
            <w:tcBorders>
              <w:top w:val="nil"/>
              <w:left w:val="nil"/>
              <w:bottom w:val="single" w:sz="4" w:space="0" w:color="auto"/>
              <w:right w:val="single" w:sz="4" w:space="0" w:color="auto"/>
            </w:tcBorders>
            <w:shd w:val="clear" w:color="auto" w:fill="auto"/>
            <w:noWrap/>
            <w:vAlign w:val="bottom"/>
          </w:tcPr>
          <w:p w14:paraId="1F67B09A" w14:textId="36804C98"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44" w:type="pct"/>
            <w:tcBorders>
              <w:top w:val="nil"/>
              <w:left w:val="nil"/>
              <w:bottom w:val="single" w:sz="4" w:space="0" w:color="auto"/>
              <w:right w:val="single" w:sz="4" w:space="0" w:color="auto"/>
            </w:tcBorders>
            <w:shd w:val="clear" w:color="auto" w:fill="auto"/>
            <w:noWrap/>
            <w:vAlign w:val="bottom"/>
          </w:tcPr>
          <w:p w14:paraId="67EEB46C" w14:textId="730730EB" w:rsidR="009359DC" w:rsidRPr="00E263F4" w:rsidRDefault="009359DC" w:rsidP="00E263F4">
            <w:pPr>
              <w:spacing w:before="0" w:after="0" w:line="240" w:lineRule="auto"/>
              <w:jc w:val="center"/>
              <w:rPr>
                <w:color w:val="auto"/>
                <w:sz w:val="20"/>
                <w:szCs w:val="20"/>
              </w:rPr>
            </w:pPr>
            <w:r w:rsidRPr="00E263F4">
              <w:rPr>
                <w:color w:val="000000"/>
                <w:sz w:val="22"/>
                <w:szCs w:val="22"/>
              </w:rPr>
              <w:t>0.97</w:t>
            </w:r>
          </w:p>
        </w:tc>
      </w:tr>
      <w:tr w:rsidR="009359DC" w:rsidRPr="00E263F4" w14:paraId="0EE2116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840C10B" w14:textId="77777777" w:rsidR="009359DC" w:rsidRPr="00E263F4" w:rsidRDefault="009359DC" w:rsidP="009359DC">
            <w:pPr>
              <w:spacing w:before="0" w:after="0" w:line="240" w:lineRule="auto"/>
              <w:rPr>
                <w:color w:val="auto"/>
                <w:sz w:val="20"/>
                <w:szCs w:val="20"/>
              </w:rPr>
            </w:pPr>
            <w:r w:rsidRPr="00E263F4">
              <w:rPr>
                <w:color w:val="auto"/>
                <w:sz w:val="20"/>
                <w:szCs w:val="20"/>
              </w:rPr>
              <w:t>22</w:t>
            </w:r>
          </w:p>
        </w:tc>
        <w:tc>
          <w:tcPr>
            <w:tcW w:w="603" w:type="pct"/>
            <w:tcBorders>
              <w:top w:val="nil"/>
              <w:left w:val="nil"/>
              <w:bottom w:val="single" w:sz="4" w:space="0" w:color="auto"/>
              <w:right w:val="single" w:sz="4" w:space="0" w:color="auto"/>
            </w:tcBorders>
            <w:shd w:val="clear" w:color="auto" w:fill="auto"/>
            <w:noWrap/>
            <w:vAlign w:val="bottom"/>
          </w:tcPr>
          <w:p w14:paraId="173AA89A" w14:textId="75EC8F12"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29" w:type="pct"/>
            <w:gridSpan w:val="2"/>
            <w:tcBorders>
              <w:top w:val="nil"/>
              <w:left w:val="nil"/>
              <w:bottom w:val="single" w:sz="4" w:space="0" w:color="auto"/>
              <w:right w:val="single" w:sz="4" w:space="0" w:color="auto"/>
            </w:tcBorders>
            <w:shd w:val="clear" w:color="auto" w:fill="auto"/>
            <w:noWrap/>
            <w:vAlign w:val="bottom"/>
          </w:tcPr>
          <w:p w14:paraId="4062DB1C" w14:textId="0F398E5E" w:rsidR="009359DC" w:rsidRPr="00E263F4" w:rsidRDefault="009359DC" w:rsidP="00E263F4">
            <w:pPr>
              <w:spacing w:before="0" w:after="0" w:line="240" w:lineRule="auto"/>
              <w:jc w:val="center"/>
              <w:rPr>
                <w:color w:val="auto"/>
                <w:sz w:val="20"/>
                <w:szCs w:val="20"/>
              </w:rPr>
            </w:pPr>
            <w:r w:rsidRPr="00E263F4">
              <w:rPr>
                <w:color w:val="000000"/>
                <w:sz w:val="22"/>
                <w:szCs w:val="22"/>
              </w:rPr>
              <w:t>1.03</w:t>
            </w:r>
          </w:p>
        </w:tc>
        <w:tc>
          <w:tcPr>
            <w:tcW w:w="631" w:type="pct"/>
            <w:gridSpan w:val="3"/>
            <w:tcBorders>
              <w:top w:val="nil"/>
              <w:left w:val="nil"/>
              <w:bottom w:val="single" w:sz="4" w:space="0" w:color="auto"/>
              <w:right w:val="single" w:sz="4" w:space="0" w:color="auto"/>
            </w:tcBorders>
            <w:shd w:val="clear" w:color="auto" w:fill="auto"/>
            <w:noWrap/>
            <w:vAlign w:val="bottom"/>
          </w:tcPr>
          <w:p w14:paraId="2B7C9FBC" w14:textId="2E17641F"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45" w:type="pct"/>
            <w:gridSpan w:val="2"/>
            <w:tcBorders>
              <w:top w:val="nil"/>
              <w:left w:val="nil"/>
              <w:bottom w:val="single" w:sz="4" w:space="0" w:color="auto"/>
              <w:right w:val="single" w:sz="4" w:space="0" w:color="auto"/>
            </w:tcBorders>
            <w:shd w:val="clear" w:color="auto" w:fill="auto"/>
            <w:noWrap/>
            <w:vAlign w:val="bottom"/>
          </w:tcPr>
          <w:p w14:paraId="6708AB9D" w14:textId="5268C709"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46" w:type="pct"/>
            <w:gridSpan w:val="2"/>
            <w:tcBorders>
              <w:top w:val="nil"/>
              <w:left w:val="nil"/>
              <w:bottom w:val="single" w:sz="4" w:space="0" w:color="auto"/>
              <w:right w:val="single" w:sz="4" w:space="0" w:color="auto"/>
            </w:tcBorders>
            <w:shd w:val="clear" w:color="auto" w:fill="auto"/>
            <w:noWrap/>
            <w:vAlign w:val="bottom"/>
          </w:tcPr>
          <w:p w14:paraId="52AC8857" w14:textId="18A892F1"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44" w:type="pct"/>
            <w:tcBorders>
              <w:top w:val="nil"/>
              <w:left w:val="nil"/>
              <w:bottom w:val="single" w:sz="4" w:space="0" w:color="auto"/>
              <w:right w:val="single" w:sz="4" w:space="0" w:color="auto"/>
            </w:tcBorders>
            <w:shd w:val="clear" w:color="auto" w:fill="auto"/>
            <w:noWrap/>
            <w:vAlign w:val="bottom"/>
          </w:tcPr>
          <w:p w14:paraId="3FF7576F" w14:textId="1619E5E5" w:rsidR="009359DC" w:rsidRPr="00E263F4" w:rsidRDefault="009359DC" w:rsidP="00E263F4">
            <w:pPr>
              <w:spacing w:before="0" w:after="0" w:line="240" w:lineRule="auto"/>
              <w:jc w:val="center"/>
              <w:rPr>
                <w:color w:val="auto"/>
                <w:sz w:val="20"/>
                <w:szCs w:val="20"/>
              </w:rPr>
            </w:pPr>
            <w:r w:rsidRPr="00E263F4">
              <w:rPr>
                <w:color w:val="000000"/>
                <w:sz w:val="22"/>
                <w:szCs w:val="22"/>
              </w:rPr>
              <w:t>0.93</w:t>
            </w:r>
          </w:p>
        </w:tc>
      </w:tr>
      <w:tr w:rsidR="009359DC" w:rsidRPr="00E263F4" w14:paraId="5D6FA76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1C221E4" w14:textId="77777777" w:rsidR="009359DC" w:rsidRPr="00E263F4" w:rsidRDefault="009359DC" w:rsidP="009359DC">
            <w:pPr>
              <w:spacing w:before="0" w:after="0" w:line="240" w:lineRule="auto"/>
              <w:rPr>
                <w:color w:val="auto"/>
                <w:sz w:val="20"/>
                <w:szCs w:val="20"/>
              </w:rPr>
            </w:pPr>
            <w:r w:rsidRPr="00E263F4">
              <w:rPr>
                <w:color w:val="auto"/>
                <w:sz w:val="20"/>
                <w:szCs w:val="20"/>
              </w:rPr>
              <w:t>23</w:t>
            </w:r>
          </w:p>
        </w:tc>
        <w:tc>
          <w:tcPr>
            <w:tcW w:w="603" w:type="pct"/>
            <w:tcBorders>
              <w:top w:val="nil"/>
              <w:left w:val="nil"/>
              <w:bottom w:val="single" w:sz="4" w:space="0" w:color="auto"/>
              <w:right w:val="single" w:sz="4" w:space="0" w:color="auto"/>
            </w:tcBorders>
            <w:shd w:val="clear" w:color="auto" w:fill="auto"/>
            <w:noWrap/>
            <w:vAlign w:val="bottom"/>
          </w:tcPr>
          <w:p w14:paraId="5F9AE545" w14:textId="7A953A76" w:rsidR="009359DC" w:rsidRPr="00E263F4" w:rsidRDefault="009359DC" w:rsidP="00E263F4">
            <w:pPr>
              <w:spacing w:before="0" w:after="0" w:line="240" w:lineRule="auto"/>
              <w:jc w:val="center"/>
              <w:rPr>
                <w:color w:val="auto"/>
                <w:sz w:val="20"/>
                <w:szCs w:val="20"/>
              </w:rPr>
            </w:pPr>
            <w:r w:rsidRPr="00E263F4">
              <w:rPr>
                <w:color w:val="000000"/>
                <w:sz w:val="22"/>
                <w:szCs w:val="22"/>
              </w:rPr>
              <w:t>0.92</w:t>
            </w:r>
          </w:p>
        </w:tc>
        <w:tc>
          <w:tcPr>
            <w:tcW w:w="629" w:type="pct"/>
            <w:gridSpan w:val="2"/>
            <w:tcBorders>
              <w:top w:val="nil"/>
              <w:left w:val="nil"/>
              <w:bottom w:val="single" w:sz="4" w:space="0" w:color="auto"/>
              <w:right w:val="single" w:sz="4" w:space="0" w:color="auto"/>
            </w:tcBorders>
            <w:shd w:val="clear" w:color="auto" w:fill="auto"/>
            <w:noWrap/>
            <w:vAlign w:val="bottom"/>
          </w:tcPr>
          <w:p w14:paraId="545A5FCE" w14:textId="49F0AA84" w:rsidR="009359DC" w:rsidRPr="00E263F4" w:rsidRDefault="009359DC" w:rsidP="00E263F4">
            <w:pPr>
              <w:spacing w:before="0" w:after="0" w:line="240" w:lineRule="auto"/>
              <w:jc w:val="center"/>
              <w:rPr>
                <w:color w:val="auto"/>
                <w:sz w:val="20"/>
                <w:szCs w:val="20"/>
              </w:rPr>
            </w:pPr>
            <w:r w:rsidRPr="00E263F4">
              <w:rPr>
                <w:color w:val="000000"/>
                <w:sz w:val="22"/>
                <w:szCs w:val="22"/>
              </w:rPr>
              <w:t>1.00</w:t>
            </w:r>
          </w:p>
        </w:tc>
        <w:tc>
          <w:tcPr>
            <w:tcW w:w="631" w:type="pct"/>
            <w:gridSpan w:val="3"/>
            <w:tcBorders>
              <w:top w:val="nil"/>
              <w:left w:val="nil"/>
              <w:bottom w:val="single" w:sz="4" w:space="0" w:color="auto"/>
              <w:right w:val="single" w:sz="4" w:space="0" w:color="auto"/>
            </w:tcBorders>
            <w:shd w:val="clear" w:color="auto" w:fill="auto"/>
            <w:noWrap/>
            <w:vAlign w:val="bottom"/>
          </w:tcPr>
          <w:p w14:paraId="2A1A5693" w14:textId="30CA684A" w:rsidR="009359DC" w:rsidRPr="00E263F4" w:rsidRDefault="009359DC" w:rsidP="00E263F4">
            <w:pPr>
              <w:spacing w:before="0" w:after="0" w:line="240" w:lineRule="auto"/>
              <w:jc w:val="center"/>
              <w:rPr>
                <w:color w:val="auto"/>
                <w:sz w:val="20"/>
                <w:szCs w:val="20"/>
              </w:rPr>
            </w:pPr>
            <w:r w:rsidRPr="00E263F4">
              <w:rPr>
                <w:color w:val="000000"/>
                <w:sz w:val="22"/>
                <w:szCs w:val="22"/>
              </w:rPr>
              <w:t>0.93</w:t>
            </w:r>
          </w:p>
        </w:tc>
        <w:tc>
          <w:tcPr>
            <w:tcW w:w="645" w:type="pct"/>
            <w:gridSpan w:val="2"/>
            <w:tcBorders>
              <w:top w:val="nil"/>
              <w:left w:val="nil"/>
              <w:bottom w:val="single" w:sz="4" w:space="0" w:color="auto"/>
              <w:right w:val="single" w:sz="4" w:space="0" w:color="auto"/>
            </w:tcBorders>
            <w:shd w:val="clear" w:color="auto" w:fill="auto"/>
            <w:noWrap/>
            <w:vAlign w:val="bottom"/>
          </w:tcPr>
          <w:p w14:paraId="4F781F17" w14:textId="600FACA8" w:rsidR="009359DC" w:rsidRPr="00E263F4" w:rsidRDefault="009359DC" w:rsidP="00E263F4">
            <w:pPr>
              <w:spacing w:before="0" w:after="0" w:line="240" w:lineRule="auto"/>
              <w:jc w:val="center"/>
              <w:rPr>
                <w:color w:val="auto"/>
                <w:sz w:val="20"/>
                <w:szCs w:val="20"/>
              </w:rPr>
            </w:pPr>
            <w:r w:rsidRPr="00E263F4">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4E4D9F74" w14:textId="545F97B3" w:rsidR="009359DC" w:rsidRPr="00E263F4" w:rsidRDefault="009359DC" w:rsidP="00E263F4">
            <w:pPr>
              <w:spacing w:before="0" w:after="0" w:line="240" w:lineRule="auto"/>
              <w:jc w:val="center"/>
              <w:rPr>
                <w:color w:val="auto"/>
                <w:sz w:val="20"/>
                <w:szCs w:val="20"/>
              </w:rPr>
            </w:pPr>
            <w:r w:rsidRPr="00E263F4">
              <w:rPr>
                <w:color w:val="000000"/>
                <w:sz w:val="22"/>
                <w:szCs w:val="22"/>
              </w:rPr>
              <w:t>0.91</w:t>
            </w:r>
          </w:p>
        </w:tc>
        <w:tc>
          <w:tcPr>
            <w:tcW w:w="644" w:type="pct"/>
            <w:tcBorders>
              <w:top w:val="nil"/>
              <w:left w:val="nil"/>
              <w:bottom w:val="single" w:sz="4" w:space="0" w:color="auto"/>
              <w:right w:val="single" w:sz="4" w:space="0" w:color="auto"/>
            </w:tcBorders>
            <w:shd w:val="clear" w:color="auto" w:fill="auto"/>
            <w:noWrap/>
            <w:vAlign w:val="bottom"/>
          </w:tcPr>
          <w:p w14:paraId="12EB06C6" w14:textId="724B92BA" w:rsidR="009359DC" w:rsidRPr="00E263F4" w:rsidRDefault="009359DC" w:rsidP="00E263F4">
            <w:pPr>
              <w:spacing w:before="0" w:after="0" w:line="240" w:lineRule="auto"/>
              <w:jc w:val="center"/>
              <w:rPr>
                <w:color w:val="auto"/>
                <w:sz w:val="20"/>
                <w:szCs w:val="20"/>
              </w:rPr>
            </w:pPr>
            <w:r w:rsidRPr="00E263F4">
              <w:rPr>
                <w:color w:val="000000"/>
                <w:sz w:val="22"/>
                <w:szCs w:val="22"/>
              </w:rPr>
              <w:t>0.88</w:t>
            </w:r>
          </w:p>
        </w:tc>
      </w:tr>
      <w:tr w:rsidR="009359DC" w:rsidRPr="00E263F4" w14:paraId="1795EEA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F761394" w14:textId="77777777" w:rsidR="009359DC" w:rsidRPr="00E263F4" w:rsidRDefault="009359DC" w:rsidP="009359DC">
            <w:pPr>
              <w:spacing w:before="0" w:after="0" w:line="240" w:lineRule="auto"/>
              <w:rPr>
                <w:b/>
                <w:bCs/>
                <w:color w:val="auto"/>
                <w:sz w:val="20"/>
                <w:szCs w:val="20"/>
              </w:rPr>
            </w:pPr>
            <w:r w:rsidRPr="00E263F4">
              <w:rPr>
                <w:b/>
                <w:bCs/>
                <w:color w:val="auto"/>
                <w:sz w:val="20"/>
                <w:szCs w:val="20"/>
              </w:rPr>
              <w:t xml:space="preserve">Grouped Mean </w:t>
            </w:r>
          </w:p>
        </w:tc>
        <w:tc>
          <w:tcPr>
            <w:tcW w:w="603" w:type="pct"/>
            <w:tcBorders>
              <w:top w:val="nil"/>
              <w:left w:val="nil"/>
              <w:bottom w:val="single" w:sz="4" w:space="0" w:color="auto"/>
              <w:right w:val="single" w:sz="4" w:space="0" w:color="auto"/>
            </w:tcBorders>
            <w:shd w:val="clear" w:color="auto" w:fill="auto"/>
            <w:noWrap/>
            <w:vAlign w:val="bottom"/>
          </w:tcPr>
          <w:p w14:paraId="0FD9E398" w14:textId="5848EE91"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0.91</w:t>
            </w:r>
          </w:p>
        </w:tc>
        <w:tc>
          <w:tcPr>
            <w:tcW w:w="629" w:type="pct"/>
            <w:gridSpan w:val="2"/>
            <w:tcBorders>
              <w:top w:val="nil"/>
              <w:left w:val="nil"/>
              <w:bottom w:val="single" w:sz="4" w:space="0" w:color="auto"/>
              <w:right w:val="single" w:sz="4" w:space="0" w:color="auto"/>
            </w:tcBorders>
            <w:shd w:val="clear" w:color="auto" w:fill="auto"/>
            <w:noWrap/>
            <w:vAlign w:val="bottom"/>
          </w:tcPr>
          <w:p w14:paraId="34FCF4FE" w14:textId="00F51A67"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0.93</w:t>
            </w:r>
          </w:p>
        </w:tc>
        <w:tc>
          <w:tcPr>
            <w:tcW w:w="631" w:type="pct"/>
            <w:gridSpan w:val="3"/>
            <w:tcBorders>
              <w:top w:val="nil"/>
              <w:left w:val="nil"/>
              <w:bottom w:val="single" w:sz="4" w:space="0" w:color="auto"/>
              <w:right w:val="single" w:sz="4" w:space="0" w:color="auto"/>
            </w:tcBorders>
            <w:shd w:val="clear" w:color="auto" w:fill="auto"/>
            <w:noWrap/>
            <w:vAlign w:val="bottom"/>
          </w:tcPr>
          <w:p w14:paraId="674F85A5" w14:textId="5602A035"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0.93</w:t>
            </w:r>
          </w:p>
        </w:tc>
        <w:tc>
          <w:tcPr>
            <w:tcW w:w="645" w:type="pct"/>
            <w:gridSpan w:val="2"/>
            <w:tcBorders>
              <w:top w:val="nil"/>
              <w:left w:val="nil"/>
              <w:bottom w:val="single" w:sz="4" w:space="0" w:color="auto"/>
              <w:right w:val="single" w:sz="4" w:space="0" w:color="auto"/>
            </w:tcBorders>
            <w:shd w:val="clear" w:color="auto" w:fill="auto"/>
            <w:noWrap/>
            <w:vAlign w:val="bottom"/>
          </w:tcPr>
          <w:p w14:paraId="70C6EED1" w14:textId="3DC8F356"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0.92</w:t>
            </w:r>
          </w:p>
        </w:tc>
        <w:tc>
          <w:tcPr>
            <w:tcW w:w="646" w:type="pct"/>
            <w:gridSpan w:val="2"/>
            <w:tcBorders>
              <w:top w:val="nil"/>
              <w:left w:val="nil"/>
              <w:bottom w:val="single" w:sz="4" w:space="0" w:color="auto"/>
              <w:right w:val="single" w:sz="4" w:space="0" w:color="auto"/>
            </w:tcBorders>
            <w:shd w:val="clear" w:color="auto" w:fill="auto"/>
            <w:noWrap/>
            <w:vAlign w:val="bottom"/>
          </w:tcPr>
          <w:p w14:paraId="1AC4CD00" w14:textId="612C06A1"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0.88</w:t>
            </w:r>
          </w:p>
        </w:tc>
        <w:tc>
          <w:tcPr>
            <w:tcW w:w="644" w:type="pct"/>
            <w:tcBorders>
              <w:top w:val="nil"/>
              <w:left w:val="nil"/>
              <w:bottom w:val="single" w:sz="4" w:space="0" w:color="auto"/>
              <w:right w:val="single" w:sz="4" w:space="0" w:color="auto"/>
            </w:tcBorders>
            <w:shd w:val="clear" w:color="auto" w:fill="auto"/>
            <w:noWrap/>
            <w:vAlign w:val="bottom"/>
          </w:tcPr>
          <w:p w14:paraId="0AF94342" w14:textId="710726E7"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0.87</w:t>
            </w:r>
          </w:p>
        </w:tc>
      </w:tr>
      <w:tr w:rsidR="009359DC" w:rsidRPr="00E263F4" w14:paraId="77C2CB3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DF2496C" w14:textId="77777777" w:rsidR="009359DC" w:rsidRPr="00E263F4" w:rsidRDefault="009359DC" w:rsidP="009359DC">
            <w:pPr>
              <w:spacing w:before="0" w:after="0" w:line="240" w:lineRule="auto"/>
              <w:rPr>
                <w:b/>
                <w:bCs/>
                <w:color w:val="auto"/>
                <w:sz w:val="20"/>
                <w:szCs w:val="20"/>
              </w:rPr>
            </w:pPr>
            <w:r w:rsidRPr="00E263F4">
              <w:rPr>
                <w:b/>
                <w:bCs/>
                <w:color w:val="auto"/>
                <w:sz w:val="20"/>
                <w:szCs w:val="20"/>
              </w:rPr>
              <w:t>SD</w:t>
            </w:r>
          </w:p>
        </w:tc>
        <w:tc>
          <w:tcPr>
            <w:tcW w:w="603" w:type="pct"/>
            <w:tcBorders>
              <w:top w:val="nil"/>
              <w:left w:val="nil"/>
              <w:bottom w:val="single" w:sz="4" w:space="0" w:color="auto"/>
              <w:right w:val="single" w:sz="4" w:space="0" w:color="auto"/>
            </w:tcBorders>
            <w:shd w:val="clear" w:color="auto" w:fill="auto"/>
            <w:noWrap/>
            <w:vAlign w:val="bottom"/>
          </w:tcPr>
          <w:p w14:paraId="02F7A7A1" w14:textId="3A6C52A5"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0.06</w:t>
            </w:r>
          </w:p>
        </w:tc>
        <w:tc>
          <w:tcPr>
            <w:tcW w:w="629" w:type="pct"/>
            <w:gridSpan w:val="2"/>
            <w:tcBorders>
              <w:top w:val="nil"/>
              <w:left w:val="nil"/>
              <w:bottom w:val="single" w:sz="4" w:space="0" w:color="auto"/>
              <w:right w:val="single" w:sz="4" w:space="0" w:color="auto"/>
            </w:tcBorders>
            <w:shd w:val="clear" w:color="auto" w:fill="auto"/>
            <w:noWrap/>
            <w:vAlign w:val="bottom"/>
          </w:tcPr>
          <w:p w14:paraId="71E67479" w14:textId="68AB5EFA"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0.08</w:t>
            </w:r>
          </w:p>
        </w:tc>
        <w:tc>
          <w:tcPr>
            <w:tcW w:w="631" w:type="pct"/>
            <w:gridSpan w:val="3"/>
            <w:tcBorders>
              <w:top w:val="nil"/>
              <w:left w:val="nil"/>
              <w:bottom w:val="single" w:sz="4" w:space="0" w:color="auto"/>
              <w:right w:val="single" w:sz="4" w:space="0" w:color="auto"/>
            </w:tcBorders>
            <w:shd w:val="clear" w:color="auto" w:fill="auto"/>
            <w:noWrap/>
            <w:vAlign w:val="bottom"/>
          </w:tcPr>
          <w:p w14:paraId="310F2D83" w14:textId="11679143"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0.09</w:t>
            </w:r>
          </w:p>
        </w:tc>
        <w:tc>
          <w:tcPr>
            <w:tcW w:w="645" w:type="pct"/>
            <w:gridSpan w:val="2"/>
            <w:tcBorders>
              <w:top w:val="nil"/>
              <w:left w:val="nil"/>
              <w:bottom w:val="single" w:sz="4" w:space="0" w:color="auto"/>
              <w:right w:val="single" w:sz="4" w:space="0" w:color="auto"/>
            </w:tcBorders>
            <w:shd w:val="clear" w:color="auto" w:fill="auto"/>
            <w:noWrap/>
            <w:vAlign w:val="bottom"/>
          </w:tcPr>
          <w:p w14:paraId="2E51C632" w14:textId="4D3C7528"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0.10</w:t>
            </w:r>
          </w:p>
        </w:tc>
        <w:tc>
          <w:tcPr>
            <w:tcW w:w="646" w:type="pct"/>
            <w:gridSpan w:val="2"/>
            <w:tcBorders>
              <w:top w:val="nil"/>
              <w:left w:val="nil"/>
              <w:bottom w:val="single" w:sz="4" w:space="0" w:color="auto"/>
              <w:right w:val="single" w:sz="4" w:space="0" w:color="auto"/>
            </w:tcBorders>
            <w:shd w:val="clear" w:color="auto" w:fill="auto"/>
            <w:noWrap/>
            <w:vAlign w:val="bottom"/>
          </w:tcPr>
          <w:p w14:paraId="122D2A35" w14:textId="236753C1"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0.10</w:t>
            </w:r>
          </w:p>
        </w:tc>
        <w:tc>
          <w:tcPr>
            <w:tcW w:w="644" w:type="pct"/>
            <w:tcBorders>
              <w:top w:val="nil"/>
              <w:left w:val="nil"/>
              <w:bottom w:val="single" w:sz="4" w:space="0" w:color="auto"/>
              <w:right w:val="single" w:sz="4" w:space="0" w:color="auto"/>
            </w:tcBorders>
            <w:shd w:val="clear" w:color="auto" w:fill="auto"/>
            <w:noWrap/>
            <w:vAlign w:val="bottom"/>
          </w:tcPr>
          <w:p w14:paraId="69B8F603" w14:textId="4E04CCE2" w:rsidR="009359DC" w:rsidRPr="00E263F4" w:rsidRDefault="009359DC" w:rsidP="00E263F4">
            <w:pPr>
              <w:spacing w:before="0" w:after="0" w:line="240" w:lineRule="auto"/>
              <w:jc w:val="center"/>
              <w:rPr>
                <w:b/>
                <w:bCs/>
                <w:color w:val="auto"/>
                <w:sz w:val="20"/>
                <w:szCs w:val="20"/>
              </w:rPr>
            </w:pPr>
            <w:r w:rsidRPr="00E263F4">
              <w:rPr>
                <w:b/>
                <w:bCs/>
                <w:color w:val="000000"/>
                <w:sz w:val="22"/>
                <w:szCs w:val="22"/>
              </w:rPr>
              <w:t>0.11</w:t>
            </w:r>
          </w:p>
        </w:tc>
      </w:tr>
      <w:tr w:rsidR="00D0688A" w:rsidRPr="00E263F4" w14:paraId="6BFCBEB0"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6FB2666"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Middle (40-59 years old)</w:t>
            </w:r>
          </w:p>
        </w:tc>
      </w:tr>
      <w:tr w:rsidR="00D0688A" w:rsidRPr="00E263F4" w14:paraId="5C165628"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5A2C6983"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74D89EED" w14:textId="77777777" w:rsidR="00D0688A" w:rsidRPr="00E263F4" w:rsidRDefault="00D0688A" w:rsidP="00D0688A">
            <w:pPr>
              <w:spacing w:before="0" w:after="0" w:line="240" w:lineRule="auto"/>
              <w:rPr>
                <w:color w:val="auto"/>
                <w:sz w:val="20"/>
                <w:szCs w:val="20"/>
              </w:rPr>
            </w:pPr>
          </w:p>
          <w:p w14:paraId="3555F038"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03" w:type="pct"/>
            <w:tcBorders>
              <w:top w:val="nil"/>
              <w:left w:val="nil"/>
              <w:bottom w:val="single" w:sz="4" w:space="0" w:color="auto"/>
              <w:right w:val="single" w:sz="4" w:space="0" w:color="auto"/>
            </w:tcBorders>
            <w:shd w:val="clear" w:color="auto" w:fill="auto"/>
            <w:noWrap/>
            <w:hideMark/>
          </w:tcPr>
          <w:p w14:paraId="3CED7394" w14:textId="4445AEBF"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29" w:type="pct"/>
            <w:gridSpan w:val="2"/>
            <w:tcBorders>
              <w:top w:val="nil"/>
              <w:left w:val="nil"/>
              <w:bottom w:val="single" w:sz="4" w:space="0" w:color="auto"/>
              <w:right w:val="single" w:sz="4" w:space="0" w:color="auto"/>
            </w:tcBorders>
            <w:shd w:val="clear" w:color="auto" w:fill="auto"/>
            <w:noWrap/>
            <w:hideMark/>
          </w:tcPr>
          <w:p w14:paraId="7C77C96E" w14:textId="006788D0"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31" w:type="pct"/>
            <w:gridSpan w:val="3"/>
            <w:tcBorders>
              <w:top w:val="nil"/>
              <w:left w:val="nil"/>
              <w:bottom w:val="single" w:sz="4" w:space="0" w:color="auto"/>
              <w:right w:val="single" w:sz="4" w:space="0" w:color="auto"/>
            </w:tcBorders>
            <w:shd w:val="clear" w:color="auto" w:fill="auto"/>
            <w:noWrap/>
            <w:hideMark/>
          </w:tcPr>
          <w:p w14:paraId="1A778AE8" w14:textId="37344C03"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45" w:type="pct"/>
            <w:gridSpan w:val="2"/>
            <w:tcBorders>
              <w:top w:val="nil"/>
              <w:left w:val="nil"/>
              <w:bottom w:val="single" w:sz="4" w:space="0" w:color="auto"/>
              <w:right w:val="single" w:sz="4" w:space="0" w:color="auto"/>
            </w:tcBorders>
            <w:shd w:val="clear" w:color="auto" w:fill="auto"/>
            <w:noWrap/>
            <w:hideMark/>
          </w:tcPr>
          <w:p w14:paraId="7718A930" w14:textId="0F7BCF84"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46" w:type="pct"/>
            <w:gridSpan w:val="2"/>
            <w:tcBorders>
              <w:top w:val="nil"/>
              <w:left w:val="nil"/>
              <w:bottom w:val="single" w:sz="4" w:space="0" w:color="auto"/>
              <w:right w:val="single" w:sz="4" w:space="0" w:color="auto"/>
            </w:tcBorders>
            <w:shd w:val="clear" w:color="auto" w:fill="auto"/>
            <w:noWrap/>
            <w:hideMark/>
          </w:tcPr>
          <w:p w14:paraId="081F9E83" w14:textId="4BC3E625"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44" w:type="pct"/>
            <w:tcBorders>
              <w:top w:val="nil"/>
              <w:left w:val="nil"/>
              <w:bottom w:val="single" w:sz="4" w:space="0" w:color="auto"/>
              <w:right w:val="single" w:sz="4" w:space="0" w:color="auto"/>
            </w:tcBorders>
            <w:shd w:val="clear" w:color="auto" w:fill="auto"/>
            <w:noWrap/>
            <w:hideMark/>
          </w:tcPr>
          <w:p w14:paraId="4010B5AC" w14:textId="663C01FA"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673CE6" w:rsidRPr="00E263F4" w14:paraId="6F0541B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FF43218" w14:textId="77777777" w:rsidR="00673CE6" w:rsidRPr="00E263F4" w:rsidRDefault="00673CE6" w:rsidP="00673CE6">
            <w:pPr>
              <w:spacing w:before="0" w:after="0" w:line="240" w:lineRule="auto"/>
              <w:rPr>
                <w:color w:val="auto"/>
                <w:sz w:val="20"/>
                <w:szCs w:val="20"/>
              </w:rPr>
            </w:pPr>
            <w:r w:rsidRPr="00E263F4">
              <w:rPr>
                <w:color w:val="auto"/>
                <w:sz w:val="20"/>
                <w:szCs w:val="20"/>
              </w:rPr>
              <w:t>1</w:t>
            </w:r>
          </w:p>
        </w:tc>
        <w:tc>
          <w:tcPr>
            <w:tcW w:w="603" w:type="pct"/>
            <w:tcBorders>
              <w:top w:val="nil"/>
              <w:left w:val="nil"/>
              <w:bottom w:val="single" w:sz="4" w:space="0" w:color="auto"/>
              <w:right w:val="single" w:sz="4" w:space="0" w:color="auto"/>
            </w:tcBorders>
            <w:shd w:val="clear" w:color="auto" w:fill="auto"/>
            <w:noWrap/>
            <w:vAlign w:val="bottom"/>
          </w:tcPr>
          <w:p w14:paraId="36329C55" w14:textId="39A27750" w:rsidR="00673CE6" w:rsidRPr="00E263F4" w:rsidRDefault="00673CE6" w:rsidP="00E263F4">
            <w:pPr>
              <w:spacing w:before="0" w:after="0" w:line="240" w:lineRule="auto"/>
              <w:jc w:val="center"/>
              <w:rPr>
                <w:color w:val="auto"/>
                <w:sz w:val="20"/>
                <w:szCs w:val="20"/>
              </w:rPr>
            </w:pPr>
            <w:r w:rsidRPr="00E263F4">
              <w:rPr>
                <w:color w:val="000000"/>
                <w:sz w:val="22"/>
                <w:szCs w:val="22"/>
              </w:rPr>
              <w:t>1.04</w:t>
            </w:r>
          </w:p>
        </w:tc>
        <w:tc>
          <w:tcPr>
            <w:tcW w:w="629" w:type="pct"/>
            <w:gridSpan w:val="2"/>
            <w:tcBorders>
              <w:top w:val="nil"/>
              <w:left w:val="nil"/>
              <w:bottom w:val="single" w:sz="4" w:space="0" w:color="auto"/>
              <w:right w:val="single" w:sz="4" w:space="0" w:color="auto"/>
            </w:tcBorders>
            <w:shd w:val="clear" w:color="auto" w:fill="auto"/>
            <w:noWrap/>
            <w:vAlign w:val="bottom"/>
          </w:tcPr>
          <w:p w14:paraId="4EA44C02" w14:textId="28C80611" w:rsidR="00673CE6" w:rsidRPr="00E263F4" w:rsidRDefault="00673CE6" w:rsidP="00E263F4">
            <w:pPr>
              <w:spacing w:before="0" w:after="0" w:line="240" w:lineRule="auto"/>
              <w:jc w:val="center"/>
              <w:rPr>
                <w:color w:val="auto"/>
                <w:sz w:val="20"/>
                <w:szCs w:val="20"/>
              </w:rPr>
            </w:pPr>
            <w:r w:rsidRPr="00E263F4">
              <w:rPr>
                <w:color w:val="000000"/>
                <w:sz w:val="22"/>
                <w:szCs w:val="22"/>
              </w:rPr>
              <w:t>0.91</w:t>
            </w:r>
          </w:p>
        </w:tc>
        <w:tc>
          <w:tcPr>
            <w:tcW w:w="631" w:type="pct"/>
            <w:gridSpan w:val="3"/>
            <w:tcBorders>
              <w:top w:val="nil"/>
              <w:left w:val="nil"/>
              <w:bottom w:val="single" w:sz="4" w:space="0" w:color="auto"/>
              <w:right w:val="single" w:sz="4" w:space="0" w:color="auto"/>
            </w:tcBorders>
            <w:shd w:val="clear" w:color="auto" w:fill="auto"/>
            <w:noWrap/>
            <w:vAlign w:val="bottom"/>
          </w:tcPr>
          <w:p w14:paraId="1004CE7C" w14:textId="1C9D7107" w:rsidR="00673CE6" w:rsidRPr="00E263F4" w:rsidRDefault="00673CE6" w:rsidP="00E263F4">
            <w:pPr>
              <w:spacing w:before="0" w:after="0" w:line="240" w:lineRule="auto"/>
              <w:jc w:val="center"/>
              <w:rPr>
                <w:color w:val="auto"/>
                <w:sz w:val="20"/>
                <w:szCs w:val="20"/>
              </w:rPr>
            </w:pPr>
            <w:r w:rsidRPr="00E263F4">
              <w:rPr>
                <w:color w:val="000000"/>
                <w:sz w:val="22"/>
                <w:szCs w:val="22"/>
              </w:rPr>
              <w:t>0.78</w:t>
            </w:r>
          </w:p>
        </w:tc>
        <w:tc>
          <w:tcPr>
            <w:tcW w:w="645" w:type="pct"/>
            <w:gridSpan w:val="2"/>
            <w:tcBorders>
              <w:top w:val="nil"/>
              <w:left w:val="nil"/>
              <w:bottom w:val="single" w:sz="4" w:space="0" w:color="auto"/>
              <w:right w:val="single" w:sz="4" w:space="0" w:color="auto"/>
            </w:tcBorders>
            <w:shd w:val="clear" w:color="auto" w:fill="auto"/>
            <w:noWrap/>
            <w:vAlign w:val="bottom"/>
          </w:tcPr>
          <w:p w14:paraId="237211C9" w14:textId="5F05CB85" w:rsidR="00673CE6" w:rsidRPr="00E263F4" w:rsidRDefault="00673CE6" w:rsidP="00E263F4">
            <w:pPr>
              <w:spacing w:before="0" w:after="0" w:line="240" w:lineRule="auto"/>
              <w:jc w:val="center"/>
              <w:rPr>
                <w:color w:val="auto"/>
                <w:sz w:val="20"/>
                <w:szCs w:val="20"/>
              </w:rPr>
            </w:pPr>
            <w:r w:rsidRPr="00E263F4">
              <w:rPr>
                <w:color w:val="000000"/>
                <w:sz w:val="22"/>
                <w:szCs w:val="22"/>
              </w:rPr>
              <w:t>0.82</w:t>
            </w:r>
          </w:p>
        </w:tc>
        <w:tc>
          <w:tcPr>
            <w:tcW w:w="646" w:type="pct"/>
            <w:gridSpan w:val="2"/>
            <w:tcBorders>
              <w:top w:val="nil"/>
              <w:left w:val="nil"/>
              <w:bottom w:val="single" w:sz="4" w:space="0" w:color="auto"/>
              <w:right w:val="single" w:sz="4" w:space="0" w:color="auto"/>
            </w:tcBorders>
            <w:shd w:val="clear" w:color="auto" w:fill="auto"/>
            <w:noWrap/>
            <w:vAlign w:val="bottom"/>
          </w:tcPr>
          <w:p w14:paraId="6A212256" w14:textId="7C5D8D12" w:rsidR="00673CE6" w:rsidRPr="00E263F4" w:rsidRDefault="00673CE6" w:rsidP="00E263F4">
            <w:pPr>
              <w:spacing w:before="0" w:after="0" w:line="240" w:lineRule="auto"/>
              <w:jc w:val="center"/>
              <w:rPr>
                <w:color w:val="auto"/>
                <w:sz w:val="20"/>
                <w:szCs w:val="20"/>
              </w:rPr>
            </w:pPr>
            <w:r w:rsidRPr="00E263F4">
              <w:rPr>
                <w:color w:val="000000"/>
                <w:sz w:val="22"/>
                <w:szCs w:val="22"/>
              </w:rPr>
              <w:t>0.76</w:t>
            </w:r>
          </w:p>
        </w:tc>
        <w:tc>
          <w:tcPr>
            <w:tcW w:w="644" w:type="pct"/>
            <w:tcBorders>
              <w:top w:val="nil"/>
              <w:left w:val="nil"/>
              <w:bottom w:val="single" w:sz="4" w:space="0" w:color="auto"/>
              <w:right w:val="single" w:sz="4" w:space="0" w:color="auto"/>
            </w:tcBorders>
            <w:shd w:val="clear" w:color="auto" w:fill="auto"/>
            <w:noWrap/>
            <w:vAlign w:val="bottom"/>
          </w:tcPr>
          <w:p w14:paraId="142F20AD" w14:textId="2BF9F0FD" w:rsidR="00673CE6" w:rsidRPr="00E263F4" w:rsidRDefault="00673CE6" w:rsidP="00E263F4">
            <w:pPr>
              <w:spacing w:before="0" w:after="0" w:line="240" w:lineRule="auto"/>
              <w:jc w:val="center"/>
              <w:rPr>
                <w:color w:val="auto"/>
                <w:sz w:val="20"/>
                <w:szCs w:val="20"/>
              </w:rPr>
            </w:pPr>
            <w:r w:rsidRPr="00E263F4">
              <w:rPr>
                <w:color w:val="000000"/>
                <w:sz w:val="22"/>
                <w:szCs w:val="22"/>
              </w:rPr>
              <w:t>0.70</w:t>
            </w:r>
          </w:p>
        </w:tc>
      </w:tr>
      <w:tr w:rsidR="00673CE6" w:rsidRPr="00E263F4" w14:paraId="62730EE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7B81F5E" w14:textId="77777777" w:rsidR="00673CE6" w:rsidRPr="00E263F4" w:rsidRDefault="00673CE6" w:rsidP="00673CE6">
            <w:pPr>
              <w:spacing w:before="0" w:after="0" w:line="240" w:lineRule="auto"/>
              <w:rPr>
                <w:color w:val="auto"/>
                <w:sz w:val="20"/>
                <w:szCs w:val="20"/>
              </w:rPr>
            </w:pPr>
            <w:r w:rsidRPr="00E263F4">
              <w:rPr>
                <w:color w:val="auto"/>
                <w:sz w:val="20"/>
                <w:szCs w:val="20"/>
              </w:rPr>
              <w:t>2</w:t>
            </w:r>
          </w:p>
        </w:tc>
        <w:tc>
          <w:tcPr>
            <w:tcW w:w="603" w:type="pct"/>
            <w:tcBorders>
              <w:top w:val="nil"/>
              <w:left w:val="nil"/>
              <w:bottom w:val="single" w:sz="4" w:space="0" w:color="auto"/>
              <w:right w:val="single" w:sz="4" w:space="0" w:color="auto"/>
            </w:tcBorders>
            <w:shd w:val="clear" w:color="auto" w:fill="auto"/>
            <w:noWrap/>
            <w:vAlign w:val="bottom"/>
          </w:tcPr>
          <w:p w14:paraId="2D98310A" w14:textId="2E9EE0B8" w:rsidR="00673CE6" w:rsidRPr="00E263F4" w:rsidRDefault="00673CE6" w:rsidP="00E263F4">
            <w:pPr>
              <w:spacing w:before="0" w:after="0" w:line="240" w:lineRule="auto"/>
              <w:jc w:val="center"/>
              <w:rPr>
                <w:color w:val="auto"/>
                <w:sz w:val="20"/>
                <w:szCs w:val="20"/>
              </w:rPr>
            </w:pPr>
            <w:r w:rsidRPr="00E263F4">
              <w:rPr>
                <w:color w:val="000000"/>
                <w:sz w:val="22"/>
                <w:szCs w:val="22"/>
              </w:rPr>
              <w:t>0.96</w:t>
            </w:r>
          </w:p>
        </w:tc>
        <w:tc>
          <w:tcPr>
            <w:tcW w:w="629" w:type="pct"/>
            <w:gridSpan w:val="2"/>
            <w:tcBorders>
              <w:top w:val="nil"/>
              <w:left w:val="nil"/>
              <w:bottom w:val="single" w:sz="4" w:space="0" w:color="auto"/>
              <w:right w:val="single" w:sz="4" w:space="0" w:color="auto"/>
            </w:tcBorders>
            <w:shd w:val="clear" w:color="auto" w:fill="auto"/>
            <w:noWrap/>
            <w:vAlign w:val="bottom"/>
          </w:tcPr>
          <w:p w14:paraId="429E28F2" w14:textId="201FBF46" w:rsidR="00673CE6" w:rsidRPr="00E263F4" w:rsidRDefault="00673CE6" w:rsidP="00E263F4">
            <w:pPr>
              <w:spacing w:before="0" w:after="0" w:line="240" w:lineRule="auto"/>
              <w:jc w:val="center"/>
              <w:rPr>
                <w:color w:val="auto"/>
                <w:sz w:val="20"/>
                <w:szCs w:val="20"/>
              </w:rPr>
            </w:pPr>
            <w:r w:rsidRPr="00E263F4">
              <w:rPr>
                <w:color w:val="000000"/>
                <w:sz w:val="22"/>
                <w:szCs w:val="22"/>
              </w:rPr>
              <w:t>1.00</w:t>
            </w:r>
          </w:p>
        </w:tc>
        <w:tc>
          <w:tcPr>
            <w:tcW w:w="631" w:type="pct"/>
            <w:gridSpan w:val="3"/>
            <w:tcBorders>
              <w:top w:val="nil"/>
              <w:left w:val="nil"/>
              <w:bottom w:val="single" w:sz="4" w:space="0" w:color="auto"/>
              <w:right w:val="single" w:sz="4" w:space="0" w:color="auto"/>
            </w:tcBorders>
            <w:shd w:val="clear" w:color="auto" w:fill="auto"/>
            <w:noWrap/>
            <w:vAlign w:val="bottom"/>
          </w:tcPr>
          <w:p w14:paraId="48959D5C" w14:textId="7CF99E64" w:rsidR="00673CE6" w:rsidRPr="00E263F4" w:rsidRDefault="00673CE6" w:rsidP="00E263F4">
            <w:pPr>
              <w:spacing w:before="0" w:after="0" w:line="240" w:lineRule="auto"/>
              <w:jc w:val="center"/>
              <w:rPr>
                <w:color w:val="auto"/>
                <w:sz w:val="20"/>
                <w:szCs w:val="20"/>
              </w:rPr>
            </w:pPr>
            <w:r w:rsidRPr="00E263F4">
              <w:rPr>
                <w:color w:val="000000"/>
                <w:sz w:val="22"/>
                <w:szCs w:val="22"/>
              </w:rPr>
              <w:t>0.91</w:t>
            </w:r>
          </w:p>
        </w:tc>
        <w:tc>
          <w:tcPr>
            <w:tcW w:w="645" w:type="pct"/>
            <w:gridSpan w:val="2"/>
            <w:tcBorders>
              <w:top w:val="nil"/>
              <w:left w:val="nil"/>
              <w:bottom w:val="single" w:sz="4" w:space="0" w:color="auto"/>
              <w:right w:val="single" w:sz="4" w:space="0" w:color="auto"/>
            </w:tcBorders>
            <w:shd w:val="clear" w:color="auto" w:fill="auto"/>
            <w:noWrap/>
            <w:vAlign w:val="bottom"/>
          </w:tcPr>
          <w:p w14:paraId="2EC2BD45" w14:textId="0F3E6ADA" w:rsidR="00673CE6" w:rsidRPr="00E263F4" w:rsidRDefault="00673CE6" w:rsidP="00E263F4">
            <w:pPr>
              <w:spacing w:before="0" w:after="0" w:line="240" w:lineRule="auto"/>
              <w:jc w:val="center"/>
              <w:rPr>
                <w:color w:val="auto"/>
                <w:sz w:val="20"/>
                <w:szCs w:val="20"/>
              </w:rPr>
            </w:pPr>
            <w:r w:rsidRPr="00E263F4">
              <w:rPr>
                <w:color w:val="000000"/>
                <w:sz w:val="22"/>
                <w:szCs w:val="22"/>
              </w:rPr>
              <w:t>1.25</w:t>
            </w:r>
          </w:p>
        </w:tc>
        <w:tc>
          <w:tcPr>
            <w:tcW w:w="646" w:type="pct"/>
            <w:gridSpan w:val="2"/>
            <w:tcBorders>
              <w:top w:val="nil"/>
              <w:left w:val="nil"/>
              <w:bottom w:val="single" w:sz="4" w:space="0" w:color="auto"/>
              <w:right w:val="single" w:sz="4" w:space="0" w:color="auto"/>
            </w:tcBorders>
            <w:shd w:val="clear" w:color="auto" w:fill="auto"/>
            <w:noWrap/>
            <w:vAlign w:val="bottom"/>
          </w:tcPr>
          <w:p w14:paraId="7FE3DAA7" w14:textId="6895DEDF" w:rsidR="00673CE6" w:rsidRPr="00E263F4" w:rsidRDefault="00673CE6" w:rsidP="00E263F4">
            <w:pPr>
              <w:spacing w:before="0" w:after="0" w:line="240" w:lineRule="auto"/>
              <w:jc w:val="center"/>
              <w:rPr>
                <w:color w:val="auto"/>
                <w:sz w:val="20"/>
                <w:szCs w:val="20"/>
              </w:rPr>
            </w:pPr>
            <w:r w:rsidRPr="00E263F4">
              <w:rPr>
                <w:color w:val="000000"/>
                <w:sz w:val="22"/>
                <w:szCs w:val="22"/>
              </w:rPr>
              <w:t>1.00</w:t>
            </w:r>
          </w:p>
        </w:tc>
        <w:tc>
          <w:tcPr>
            <w:tcW w:w="644" w:type="pct"/>
            <w:tcBorders>
              <w:top w:val="nil"/>
              <w:left w:val="nil"/>
              <w:bottom w:val="single" w:sz="4" w:space="0" w:color="auto"/>
              <w:right w:val="single" w:sz="4" w:space="0" w:color="auto"/>
            </w:tcBorders>
            <w:shd w:val="clear" w:color="auto" w:fill="auto"/>
            <w:noWrap/>
            <w:vAlign w:val="bottom"/>
          </w:tcPr>
          <w:p w14:paraId="634829A8" w14:textId="5893FB42" w:rsidR="00673CE6" w:rsidRPr="00E263F4" w:rsidRDefault="00673CE6" w:rsidP="00E263F4">
            <w:pPr>
              <w:spacing w:before="0" w:after="0" w:line="240" w:lineRule="auto"/>
              <w:jc w:val="center"/>
              <w:rPr>
                <w:color w:val="auto"/>
                <w:sz w:val="20"/>
                <w:szCs w:val="20"/>
              </w:rPr>
            </w:pPr>
            <w:r w:rsidRPr="00E263F4">
              <w:rPr>
                <w:color w:val="000000"/>
                <w:sz w:val="22"/>
                <w:szCs w:val="22"/>
              </w:rPr>
              <w:t>1.11</w:t>
            </w:r>
          </w:p>
        </w:tc>
      </w:tr>
      <w:tr w:rsidR="00673CE6" w:rsidRPr="00E263F4" w14:paraId="2316A00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310DF28" w14:textId="77777777" w:rsidR="00673CE6" w:rsidRPr="00E263F4" w:rsidRDefault="00673CE6" w:rsidP="00673CE6">
            <w:pPr>
              <w:spacing w:before="0" w:after="0" w:line="240" w:lineRule="auto"/>
              <w:rPr>
                <w:color w:val="auto"/>
                <w:sz w:val="20"/>
                <w:szCs w:val="20"/>
              </w:rPr>
            </w:pPr>
            <w:r w:rsidRPr="00E263F4">
              <w:rPr>
                <w:color w:val="auto"/>
                <w:sz w:val="20"/>
                <w:szCs w:val="20"/>
              </w:rPr>
              <w:t>3</w:t>
            </w:r>
          </w:p>
        </w:tc>
        <w:tc>
          <w:tcPr>
            <w:tcW w:w="603" w:type="pct"/>
            <w:tcBorders>
              <w:top w:val="nil"/>
              <w:left w:val="nil"/>
              <w:bottom w:val="single" w:sz="4" w:space="0" w:color="auto"/>
              <w:right w:val="single" w:sz="4" w:space="0" w:color="auto"/>
            </w:tcBorders>
            <w:shd w:val="clear" w:color="auto" w:fill="auto"/>
            <w:noWrap/>
            <w:vAlign w:val="bottom"/>
          </w:tcPr>
          <w:p w14:paraId="694DF6CB" w14:textId="401B028C" w:rsidR="00673CE6" w:rsidRPr="00E263F4" w:rsidRDefault="00673CE6" w:rsidP="00E263F4">
            <w:pPr>
              <w:spacing w:before="0" w:after="0" w:line="240" w:lineRule="auto"/>
              <w:jc w:val="center"/>
              <w:rPr>
                <w:color w:val="auto"/>
                <w:sz w:val="20"/>
                <w:szCs w:val="20"/>
              </w:rPr>
            </w:pPr>
            <w:r w:rsidRPr="00E263F4">
              <w:rPr>
                <w:color w:val="000000"/>
                <w:sz w:val="22"/>
                <w:szCs w:val="22"/>
              </w:rPr>
              <w:t>0.96</w:t>
            </w:r>
          </w:p>
        </w:tc>
        <w:tc>
          <w:tcPr>
            <w:tcW w:w="629" w:type="pct"/>
            <w:gridSpan w:val="2"/>
            <w:tcBorders>
              <w:top w:val="nil"/>
              <w:left w:val="nil"/>
              <w:bottom w:val="single" w:sz="4" w:space="0" w:color="auto"/>
              <w:right w:val="single" w:sz="4" w:space="0" w:color="auto"/>
            </w:tcBorders>
            <w:shd w:val="clear" w:color="auto" w:fill="auto"/>
            <w:noWrap/>
            <w:vAlign w:val="bottom"/>
          </w:tcPr>
          <w:p w14:paraId="6F01ADEC" w14:textId="673D7A17" w:rsidR="00673CE6" w:rsidRPr="00E263F4" w:rsidRDefault="00673CE6" w:rsidP="00E263F4">
            <w:pPr>
              <w:spacing w:before="0" w:after="0" w:line="240" w:lineRule="auto"/>
              <w:jc w:val="center"/>
              <w:rPr>
                <w:color w:val="auto"/>
                <w:sz w:val="20"/>
                <w:szCs w:val="20"/>
              </w:rPr>
            </w:pPr>
            <w:r w:rsidRPr="00E263F4">
              <w:rPr>
                <w:color w:val="000000"/>
                <w:sz w:val="22"/>
                <w:szCs w:val="22"/>
              </w:rPr>
              <w:t>1.01</w:t>
            </w:r>
          </w:p>
        </w:tc>
        <w:tc>
          <w:tcPr>
            <w:tcW w:w="631" w:type="pct"/>
            <w:gridSpan w:val="3"/>
            <w:tcBorders>
              <w:top w:val="nil"/>
              <w:left w:val="nil"/>
              <w:bottom w:val="single" w:sz="4" w:space="0" w:color="auto"/>
              <w:right w:val="single" w:sz="4" w:space="0" w:color="auto"/>
            </w:tcBorders>
            <w:shd w:val="clear" w:color="auto" w:fill="auto"/>
            <w:noWrap/>
            <w:vAlign w:val="bottom"/>
          </w:tcPr>
          <w:p w14:paraId="2E7A3152" w14:textId="3C81BE44" w:rsidR="00673CE6" w:rsidRPr="00E263F4" w:rsidRDefault="00673CE6" w:rsidP="00E263F4">
            <w:pPr>
              <w:spacing w:before="0" w:after="0" w:line="240" w:lineRule="auto"/>
              <w:jc w:val="center"/>
              <w:rPr>
                <w:color w:val="auto"/>
                <w:sz w:val="20"/>
                <w:szCs w:val="20"/>
              </w:rPr>
            </w:pPr>
            <w:r w:rsidRPr="00E263F4">
              <w:rPr>
                <w:color w:val="000000"/>
                <w:sz w:val="22"/>
                <w:szCs w:val="22"/>
              </w:rPr>
              <w:t>1.18</w:t>
            </w:r>
          </w:p>
        </w:tc>
        <w:tc>
          <w:tcPr>
            <w:tcW w:w="645" w:type="pct"/>
            <w:gridSpan w:val="2"/>
            <w:tcBorders>
              <w:top w:val="nil"/>
              <w:left w:val="nil"/>
              <w:bottom w:val="single" w:sz="4" w:space="0" w:color="auto"/>
              <w:right w:val="single" w:sz="4" w:space="0" w:color="auto"/>
            </w:tcBorders>
            <w:shd w:val="clear" w:color="auto" w:fill="auto"/>
            <w:noWrap/>
            <w:vAlign w:val="bottom"/>
          </w:tcPr>
          <w:p w14:paraId="20C2D090" w14:textId="586CFE7C" w:rsidR="00673CE6" w:rsidRPr="00E263F4" w:rsidRDefault="00673CE6" w:rsidP="00E263F4">
            <w:pPr>
              <w:spacing w:before="0" w:after="0" w:line="240" w:lineRule="auto"/>
              <w:jc w:val="center"/>
              <w:rPr>
                <w:color w:val="auto"/>
                <w:sz w:val="20"/>
                <w:szCs w:val="20"/>
              </w:rPr>
            </w:pPr>
            <w:r w:rsidRPr="00E263F4">
              <w:rPr>
                <w:color w:val="000000"/>
                <w:sz w:val="22"/>
                <w:szCs w:val="22"/>
              </w:rPr>
              <w:t>0.87</w:t>
            </w:r>
          </w:p>
        </w:tc>
        <w:tc>
          <w:tcPr>
            <w:tcW w:w="646" w:type="pct"/>
            <w:gridSpan w:val="2"/>
            <w:tcBorders>
              <w:top w:val="nil"/>
              <w:left w:val="nil"/>
              <w:bottom w:val="single" w:sz="4" w:space="0" w:color="auto"/>
              <w:right w:val="single" w:sz="4" w:space="0" w:color="auto"/>
            </w:tcBorders>
            <w:shd w:val="clear" w:color="auto" w:fill="auto"/>
            <w:noWrap/>
            <w:vAlign w:val="bottom"/>
          </w:tcPr>
          <w:p w14:paraId="6CC7D982" w14:textId="686BB555" w:rsidR="00673CE6" w:rsidRPr="00E263F4" w:rsidRDefault="00673CE6" w:rsidP="00E263F4">
            <w:pPr>
              <w:spacing w:before="0" w:after="0" w:line="240" w:lineRule="auto"/>
              <w:jc w:val="center"/>
              <w:rPr>
                <w:color w:val="auto"/>
                <w:sz w:val="20"/>
                <w:szCs w:val="20"/>
              </w:rPr>
            </w:pPr>
            <w:r w:rsidRPr="00E263F4">
              <w:rPr>
                <w:color w:val="000000"/>
                <w:sz w:val="22"/>
                <w:szCs w:val="22"/>
              </w:rPr>
              <w:t>0.86</w:t>
            </w:r>
          </w:p>
        </w:tc>
        <w:tc>
          <w:tcPr>
            <w:tcW w:w="644" w:type="pct"/>
            <w:tcBorders>
              <w:top w:val="nil"/>
              <w:left w:val="nil"/>
              <w:bottom w:val="single" w:sz="4" w:space="0" w:color="auto"/>
              <w:right w:val="single" w:sz="4" w:space="0" w:color="auto"/>
            </w:tcBorders>
            <w:shd w:val="clear" w:color="auto" w:fill="auto"/>
            <w:noWrap/>
            <w:vAlign w:val="bottom"/>
          </w:tcPr>
          <w:p w14:paraId="49F04F14" w14:textId="0718795D" w:rsidR="00673CE6" w:rsidRPr="00E263F4" w:rsidRDefault="00673CE6" w:rsidP="00E263F4">
            <w:pPr>
              <w:spacing w:before="0" w:after="0" w:line="240" w:lineRule="auto"/>
              <w:jc w:val="center"/>
              <w:rPr>
                <w:color w:val="auto"/>
                <w:sz w:val="20"/>
                <w:szCs w:val="20"/>
              </w:rPr>
            </w:pPr>
            <w:r w:rsidRPr="00E263F4">
              <w:rPr>
                <w:color w:val="000000"/>
                <w:sz w:val="22"/>
                <w:szCs w:val="22"/>
              </w:rPr>
              <w:t>0.83</w:t>
            </w:r>
          </w:p>
        </w:tc>
      </w:tr>
      <w:tr w:rsidR="00673CE6" w:rsidRPr="00E263F4" w14:paraId="50596FA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6065715" w14:textId="77777777" w:rsidR="00673CE6" w:rsidRPr="00E263F4" w:rsidRDefault="00673CE6" w:rsidP="00673CE6">
            <w:pPr>
              <w:spacing w:before="0" w:after="0" w:line="240" w:lineRule="auto"/>
              <w:rPr>
                <w:color w:val="auto"/>
                <w:sz w:val="20"/>
                <w:szCs w:val="20"/>
              </w:rPr>
            </w:pPr>
            <w:r w:rsidRPr="00E263F4">
              <w:rPr>
                <w:color w:val="auto"/>
                <w:sz w:val="20"/>
                <w:szCs w:val="20"/>
              </w:rPr>
              <w:t>4</w:t>
            </w:r>
          </w:p>
        </w:tc>
        <w:tc>
          <w:tcPr>
            <w:tcW w:w="603" w:type="pct"/>
            <w:tcBorders>
              <w:top w:val="nil"/>
              <w:left w:val="nil"/>
              <w:bottom w:val="single" w:sz="4" w:space="0" w:color="auto"/>
              <w:right w:val="single" w:sz="4" w:space="0" w:color="auto"/>
            </w:tcBorders>
            <w:shd w:val="clear" w:color="auto" w:fill="auto"/>
            <w:noWrap/>
            <w:vAlign w:val="bottom"/>
          </w:tcPr>
          <w:p w14:paraId="2C4783FE" w14:textId="50F4A573" w:rsidR="00673CE6" w:rsidRPr="00E263F4" w:rsidRDefault="00673CE6" w:rsidP="00E263F4">
            <w:pPr>
              <w:spacing w:before="0" w:after="0" w:line="240" w:lineRule="auto"/>
              <w:jc w:val="center"/>
              <w:rPr>
                <w:color w:val="auto"/>
                <w:sz w:val="20"/>
                <w:szCs w:val="20"/>
              </w:rPr>
            </w:pPr>
            <w:r w:rsidRPr="00E263F4">
              <w:rPr>
                <w:color w:val="000000"/>
                <w:sz w:val="22"/>
                <w:szCs w:val="22"/>
              </w:rPr>
              <w:t>0.94</w:t>
            </w:r>
          </w:p>
        </w:tc>
        <w:tc>
          <w:tcPr>
            <w:tcW w:w="629" w:type="pct"/>
            <w:gridSpan w:val="2"/>
            <w:tcBorders>
              <w:top w:val="nil"/>
              <w:left w:val="nil"/>
              <w:bottom w:val="single" w:sz="4" w:space="0" w:color="auto"/>
              <w:right w:val="single" w:sz="4" w:space="0" w:color="auto"/>
            </w:tcBorders>
            <w:shd w:val="clear" w:color="auto" w:fill="auto"/>
            <w:noWrap/>
            <w:vAlign w:val="bottom"/>
          </w:tcPr>
          <w:p w14:paraId="4E9F6610" w14:textId="547BFD40" w:rsidR="00673CE6" w:rsidRPr="00E263F4" w:rsidRDefault="00673CE6" w:rsidP="00E263F4">
            <w:pPr>
              <w:spacing w:before="0" w:after="0" w:line="240" w:lineRule="auto"/>
              <w:jc w:val="center"/>
              <w:rPr>
                <w:color w:val="auto"/>
                <w:sz w:val="20"/>
                <w:szCs w:val="20"/>
              </w:rPr>
            </w:pPr>
            <w:r w:rsidRPr="00E263F4">
              <w:rPr>
                <w:color w:val="000000"/>
                <w:sz w:val="22"/>
                <w:szCs w:val="22"/>
              </w:rPr>
              <w:t>0.99</w:t>
            </w:r>
          </w:p>
        </w:tc>
        <w:tc>
          <w:tcPr>
            <w:tcW w:w="631" w:type="pct"/>
            <w:gridSpan w:val="3"/>
            <w:tcBorders>
              <w:top w:val="nil"/>
              <w:left w:val="nil"/>
              <w:bottom w:val="single" w:sz="4" w:space="0" w:color="auto"/>
              <w:right w:val="single" w:sz="4" w:space="0" w:color="auto"/>
            </w:tcBorders>
            <w:shd w:val="clear" w:color="auto" w:fill="auto"/>
            <w:noWrap/>
            <w:vAlign w:val="bottom"/>
          </w:tcPr>
          <w:p w14:paraId="541B55E5" w14:textId="33AF5D3D" w:rsidR="00673CE6" w:rsidRPr="00E263F4" w:rsidRDefault="00673CE6" w:rsidP="00E263F4">
            <w:pPr>
              <w:spacing w:before="0" w:after="0" w:line="240" w:lineRule="auto"/>
              <w:jc w:val="center"/>
              <w:rPr>
                <w:color w:val="auto"/>
                <w:sz w:val="20"/>
                <w:szCs w:val="20"/>
              </w:rPr>
            </w:pPr>
            <w:r w:rsidRPr="00E263F4">
              <w:rPr>
                <w:color w:val="000000"/>
                <w:sz w:val="22"/>
                <w:szCs w:val="22"/>
              </w:rPr>
              <w:t>1.08</w:t>
            </w:r>
          </w:p>
        </w:tc>
        <w:tc>
          <w:tcPr>
            <w:tcW w:w="645" w:type="pct"/>
            <w:gridSpan w:val="2"/>
            <w:tcBorders>
              <w:top w:val="nil"/>
              <w:left w:val="nil"/>
              <w:bottom w:val="single" w:sz="4" w:space="0" w:color="auto"/>
              <w:right w:val="single" w:sz="4" w:space="0" w:color="auto"/>
            </w:tcBorders>
            <w:shd w:val="clear" w:color="auto" w:fill="auto"/>
            <w:noWrap/>
            <w:vAlign w:val="bottom"/>
          </w:tcPr>
          <w:p w14:paraId="37BB031D" w14:textId="6998B098" w:rsidR="00673CE6" w:rsidRPr="00E263F4" w:rsidRDefault="00673CE6" w:rsidP="00E263F4">
            <w:pPr>
              <w:spacing w:before="0" w:after="0" w:line="240" w:lineRule="auto"/>
              <w:jc w:val="center"/>
              <w:rPr>
                <w:color w:val="auto"/>
                <w:sz w:val="20"/>
                <w:szCs w:val="20"/>
              </w:rPr>
            </w:pPr>
            <w:r w:rsidRPr="00E263F4">
              <w:rPr>
                <w:color w:val="000000"/>
                <w:sz w:val="22"/>
                <w:szCs w:val="22"/>
              </w:rPr>
              <w:t>1.04</w:t>
            </w:r>
          </w:p>
        </w:tc>
        <w:tc>
          <w:tcPr>
            <w:tcW w:w="646" w:type="pct"/>
            <w:gridSpan w:val="2"/>
            <w:tcBorders>
              <w:top w:val="nil"/>
              <w:left w:val="nil"/>
              <w:bottom w:val="single" w:sz="4" w:space="0" w:color="auto"/>
              <w:right w:val="single" w:sz="4" w:space="0" w:color="auto"/>
            </w:tcBorders>
            <w:shd w:val="clear" w:color="auto" w:fill="auto"/>
            <w:noWrap/>
            <w:vAlign w:val="bottom"/>
          </w:tcPr>
          <w:p w14:paraId="1C734FF8" w14:textId="21BBA358" w:rsidR="00673CE6" w:rsidRPr="00E263F4" w:rsidRDefault="00673CE6" w:rsidP="00E263F4">
            <w:pPr>
              <w:spacing w:before="0" w:after="0" w:line="240" w:lineRule="auto"/>
              <w:jc w:val="center"/>
              <w:rPr>
                <w:color w:val="auto"/>
                <w:sz w:val="20"/>
                <w:szCs w:val="20"/>
              </w:rPr>
            </w:pPr>
            <w:r w:rsidRPr="00E263F4">
              <w:rPr>
                <w:color w:val="000000"/>
                <w:sz w:val="22"/>
                <w:szCs w:val="22"/>
              </w:rPr>
              <w:t>1.08</w:t>
            </w:r>
          </w:p>
        </w:tc>
        <w:tc>
          <w:tcPr>
            <w:tcW w:w="644" w:type="pct"/>
            <w:tcBorders>
              <w:top w:val="nil"/>
              <w:left w:val="nil"/>
              <w:bottom w:val="single" w:sz="4" w:space="0" w:color="auto"/>
              <w:right w:val="single" w:sz="4" w:space="0" w:color="auto"/>
            </w:tcBorders>
            <w:shd w:val="clear" w:color="auto" w:fill="auto"/>
            <w:noWrap/>
            <w:vAlign w:val="bottom"/>
          </w:tcPr>
          <w:p w14:paraId="0ECFAE2B" w14:textId="36761E91" w:rsidR="00673CE6" w:rsidRPr="00E263F4" w:rsidRDefault="00673CE6" w:rsidP="00E263F4">
            <w:pPr>
              <w:spacing w:before="0" w:after="0" w:line="240" w:lineRule="auto"/>
              <w:jc w:val="center"/>
              <w:rPr>
                <w:color w:val="auto"/>
                <w:sz w:val="20"/>
                <w:szCs w:val="20"/>
              </w:rPr>
            </w:pPr>
            <w:r w:rsidRPr="00E263F4">
              <w:rPr>
                <w:color w:val="000000"/>
                <w:sz w:val="22"/>
                <w:szCs w:val="22"/>
              </w:rPr>
              <w:t>0.96</w:t>
            </w:r>
          </w:p>
        </w:tc>
      </w:tr>
      <w:tr w:rsidR="00673CE6" w:rsidRPr="00E263F4" w14:paraId="4840158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21C3C52" w14:textId="77777777" w:rsidR="00673CE6" w:rsidRPr="00E263F4" w:rsidRDefault="00673CE6" w:rsidP="00673CE6">
            <w:pPr>
              <w:spacing w:before="0" w:after="0" w:line="240" w:lineRule="auto"/>
              <w:rPr>
                <w:color w:val="auto"/>
                <w:sz w:val="20"/>
                <w:szCs w:val="20"/>
              </w:rPr>
            </w:pPr>
            <w:r w:rsidRPr="00E263F4">
              <w:rPr>
                <w:color w:val="auto"/>
                <w:sz w:val="20"/>
                <w:szCs w:val="20"/>
              </w:rPr>
              <w:t>5</w:t>
            </w:r>
          </w:p>
        </w:tc>
        <w:tc>
          <w:tcPr>
            <w:tcW w:w="603" w:type="pct"/>
            <w:tcBorders>
              <w:top w:val="nil"/>
              <w:left w:val="nil"/>
              <w:bottom w:val="single" w:sz="4" w:space="0" w:color="auto"/>
              <w:right w:val="single" w:sz="4" w:space="0" w:color="auto"/>
            </w:tcBorders>
            <w:shd w:val="clear" w:color="auto" w:fill="auto"/>
            <w:noWrap/>
            <w:vAlign w:val="bottom"/>
          </w:tcPr>
          <w:p w14:paraId="6042DE8B" w14:textId="6C7F71F8" w:rsidR="00673CE6" w:rsidRPr="00E263F4" w:rsidRDefault="00673CE6" w:rsidP="00E263F4">
            <w:pPr>
              <w:spacing w:before="0" w:after="0" w:line="240" w:lineRule="auto"/>
              <w:jc w:val="center"/>
              <w:rPr>
                <w:color w:val="auto"/>
                <w:sz w:val="20"/>
                <w:szCs w:val="20"/>
              </w:rPr>
            </w:pPr>
            <w:r w:rsidRPr="00E263F4">
              <w:rPr>
                <w:color w:val="000000"/>
                <w:sz w:val="22"/>
                <w:szCs w:val="22"/>
              </w:rPr>
              <w:t>0.92</w:t>
            </w:r>
          </w:p>
        </w:tc>
        <w:tc>
          <w:tcPr>
            <w:tcW w:w="629" w:type="pct"/>
            <w:gridSpan w:val="2"/>
            <w:tcBorders>
              <w:top w:val="nil"/>
              <w:left w:val="nil"/>
              <w:bottom w:val="single" w:sz="4" w:space="0" w:color="auto"/>
              <w:right w:val="single" w:sz="4" w:space="0" w:color="auto"/>
            </w:tcBorders>
            <w:shd w:val="clear" w:color="auto" w:fill="auto"/>
            <w:noWrap/>
            <w:vAlign w:val="bottom"/>
          </w:tcPr>
          <w:p w14:paraId="006062A7" w14:textId="70443A5E"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0CB54037" w14:textId="04800AFC" w:rsidR="00673CE6" w:rsidRPr="00E263F4" w:rsidRDefault="00673CE6" w:rsidP="00E263F4">
            <w:pPr>
              <w:spacing w:before="0" w:after="0" w:line="240" w:lineRule="auto"/>
              <w:jc w:val="center"/>
              <w:rPr>
                <w:color w:val="auto"/>
                <w:sz w:val="20"/>
                <w:szCs w:val="20"/>
              </w:rPr>
            </w:pPr>
            <w:r w:rsidRPr="00E263F4">
              <w:rPr>
                <w:color w:val="000000"/>
                <w:sz w:val="22"/>
                <w:szCs w:val="22"/>
              </w:rPr>
              <w:t>1.03</w:t>
            </w:r>
          </w:p>
        </w:tc>
        <w:tc>
          <w:tcPr>
            <w:tcW w:w="645" w:type="pct"/>
            <w:gridSpan w:val="2"/>
            <w:tcBorders>
              <w:top w:val="nil"/>
              <w:left w:val="nil"/>
              <w:bottom w:val="single" w:sz="4" w:space="0" w:color="auto"/>
              <w:right w:val="single" w:sz="4" w:space="0" w:color="auto"/>
            </w:tcBorders>
            <w:shd w:val="clear" w:color="auto" w:fill="auto"/>
            <w:noWrap/>
            <w:vAlign w:val="bottom"/>
          </w:tcPr>
          <w:p w14:paraId="206D4385" w14:textId="3F320923" w:rsidR="00673CE6" w:rsidRPr="00E263F4" w:rsidRDefault="00673CE6" w:rsidP="00E263F4">
            <w:pPr>
              <w:spacing w:before="0" w:after="0" w:line="240" w:lineRule="auto"/>
              <w:jc w:val="center"/>
              <w:rPr>
                <w:color w:val="auto"/>
                <w:sz w:val="20"/>
                <w:szCs w:val="20"/>
              </w:rPr>
            </w:pPr>
            <w:r w:rsidRPr="00E263F4">
              <w:rPr>
                <w:color w:val="000000"/>
                <w:sz w:val="22"/>
                <w:szCs w:val="22"/>
              </w:rPr>
              <w:t>0.90</w:t>
            </w:r>
          </w:p>
        </w:tc>
        <w:tc>
          <w:tcPr>
            <w:tcW w:w="646" w:type="pct"/>
            <w:gridSpan w:val="2"/>
            <w:tcBorders>
              <w:top w:val="nil"/>
              <w:left w:val="nil"/>
              <w:bottom w:val="single" w:sz="4" w:space="0" w:color="auto"/>
              <w:right w:val="single" w:sz="4" w:space="0" w:color="auto"/>
            </w:tcBorders>
            <w:shd w:val="clear" w:color="auto" w:fill="auto"/>
            <w:noWrap/>
            <w:vAlign w:val="bottom"/>
          </w:tcPr>
          <w:p w14:paraId="1AC3F663" w14:textId="7D956844" w:rsidR="00673CE6" w:rsidRPr="00E263F4" w:rsidRDefault="00673CE6" w:rsidP="00E263F4">
            <w:pPr>
              <w:spacing w:before="0" w:after="0" w:line="240" w:lineRule="auto"/>
              <w:jc w:val="center"/>
              <w:rPr>
                <w:color w:val="auto"/>
                <w:sz w:val="20"/>
                <w:szCs w:val="20"/>
              </w:rPr>
            </w:pPr>
            <w:r w:rsidRPr="00E263F4">
              <w:rPr>
                <w:color w:val="000000"/>
                <w:sz w:val="22"/>
                <w:szCs w:val="22"/>
              </w:rPr>
              <w:t>0.91</w:t>
            </w:r>
          </w:p>
        </w:tc>
        <w:tc>
          <w:tcPr>
            <w:tcW w:w="644" w:type="pct"/>
            <w:tcBorders>
              <w:top w:val="nil"/>
              <w:left w:val="nil"/>
              <w:bottom w:val="single" w:sz="4" w:space="0" w:color="auto"/>
              <w:right w:val="single" w:sz="4" w:space="0" w:color="auto"/>
            </w:tcBorders>
            <w:shd w:val="clear" w:color="auto" w:fill="auto"/>
            <w:noWrap/>
            <w:vAlign w:val="bottom"/>
          </w:tcPr>
          <w:p w14:paraId="6ACFFD94" w14:textId="67CDEFC3" w:rsidR="00673CE6" w:rsidRPr="00E263F4" w:rsidRDefault="00673CE6" w:rsidP="00E263F4">
            <w:pPr>
              <w:spacing w:before="0" w:after="0" w:line="240" w:lineRule="auto"/>
              <w:jc w:val="center"/>
              <w:rPr>
                <w:color w:val="auto"/>
                <w:sz w:val="20"/>
                <w:szCs w:val="20"/>
              </w:rPr>
            </w:pPr>
            <w:r w:rsidRPr="00E263F4">
              <w:rPr>
                <w:color w:val="000000"/>
                <w:sz w:val="22"/>
                <w:szCs w:val="22"/>
              </w:rPr>
              <w:t>0.85</w:t>
            </w:r>
          </w:p>
        </w:tc>
      </w:tr>
      <w:tr w:rsidR="00673CE6" w:rsidRPr="00E263F4" w14:paraId="0707A32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D85EC53" w14:textId="77777777" w:rsidR="00673CE6" w:rsidRPr="00E263F4" w:rsidRDefault="00673CE6" w:rsidP="00673CE6">
            <w:pPr>
              <w:spacing w:before="0" w:after="0" w:line="240" w:lineRule="auto"/>
              <w:rPr>
                <w:color w:val="auto"/>
                <w:sz w:val="20"/>
                <w:szCs w:val="20"/>
              </w:rPr>
            </w:pPr>
            <w:r w:rsidRPr="00E263F4">
              <w:rPr>
                <w:color w:val="auto"/>
                <w:sz w:val="20"/>
                <w:szCs w:val="20"/>
              </w:rPr>
              <w:t>6</w:t>
            </w:r>
          </w:p>
        </w:tc>
        <w:tc>
          <w:tcPr>
            <w:tcW w:w="603" w:type="pct"/>
            <w:tcBorders>
              <w:top w:val="nil"/>
              <w:left w:val="nil"/>
              <w:bottom w:val="single" w:sz="4" w:space="0" w:color="auto"/>
              <w:right w:val="single" w:sz="4" w:space="0" w:color="auto"/>
            </w:tcBorders>
            <w:shd w:val="clear" w:color="auto" w:fill="auto"/>
            <w:noWrap/>
            <w:vAlign w:val="bottom"/>
          </w:tcPr>
          <w:p w14:paraId="75C80CA8" w14:textId="6273FDCE" w:rsidR="00673CE6" w:rsidRPr="00E263F4" w:rsidRDefault="00673CE6" w:rsidP="00E263F4">
            <w:pPr>
              <w:spacing w:before="0" w:after="0" w:line="240" w:lineRule="auto"/>
              <w:jc w:val="center"/>
              <w:rPr>
                <w:color w:val="auto"/>
                <w:sz w:val="20"/>
                <w:szCs w:val="20"/>
              </w:rPr>
            </w:pPr>
            <w:r w:rsidRPr="00E263F4">
              <w:rPr>
                <w:color w:val="000000"/>
                <w:sz w:val="22"/>
                <w:szCs w:val="22"/>
              </w:rPr>
              <w:t>0.86</w:t>
            </w:r>
          </w:p>
        </w:tc>
        <w:tc>
          <w:tcPr>
            <w:tcW w:w="629" w:type="pct"/>
            <w:gridSpan w:val="2"/>
            <w:tcBorders>
              <w:top w:val="nil"/>
              <w:left w:val="nil"/>
              <w:bottom w:val="single" w:sz="4" w:space="0" w:color="auto"/>
              <w:right w:val="single" w:sz="4" w:space="0" w:color="auto"/>
            </w:tcBorders>
            <w:shd w:val="clear" w:color="auto" w:fill="auto"/>
            <w:noWrap/>
            <w:vAlign w:val="bottom"/>
          </w:tcPr>
          <w:p w14:paraId="169A8770" w14:textId="16DCAC3E" w:rsidR="00673CE6" w:rsidRPr="00E263F4" w:rsidRDefault="00673CE6" w:rsidP="00E263F4">
            <w:pPr>
              <w:spacing w:before="0" w:after="0" w:line="240" w:lineRule="auto"/>
              <w:jc w:val="center"/>
              <w:rPr>
                <w:color w:val="auto"/>
                <w:sz w:val="20"/>
                <w:szCs w:val="20"/>
              </w:rPr>
            </w:pPr>
            <w:r w:rsidRPr="00E263F4">
              <w:rPr>
                <w:color w:val="000000"/>
                <w:sz w:val="22"/>
                <w:szCs w:val="22"/>
              </w:rPr>
              <w:t>1.00</w:t>
            </w:r>
          </w:p>
        </w:tc>
        <w:tc>
          <w:tcPr>
            <w:tcW w:w="631" w:type="pct"/>
            <w:gridSpan w:val="3"/>
            <w:tcBorders>
              <w:top w:val="nil"/>
              <w:left w:val="nil"/>
              <w:bottom w:val="single" w:sz="4" w:space="0" w:color="auto"/>
              <w:right w:val="single" w:sz="4" w:space="0" w:color="auto"/>
            </w:tcBorders>
            <w:shd w:val="clear" w:color="auto" w:fill="auto"/>
            <w:noWrap/>
            <w:vAlign w:val="bottom"/>
          </w:tcPr>
          <w:p w14:paraId="414A97A6" w14:textId="2AC88949" w:rsidR="00673CE6" w:rsidRPr="00E263F4" w:rsidRDefault="00673CE6" w:rsidP="00E263F4">
            <w:pPr>
              <w:spacing w:before="0" w:after="0" w:line="240" w:lineRule="auto"/>
              <w:jc w:val="center"/>
              <w:rPr>
                <w:color w:val="auto"/>
                <w:sz w:val="20"/>
                <w:szCs w:val="20"/>
              </w:rPr>
            </w:pPr>
            <w:r w:rsidRPr="00E263F4">
              <w:rPr>
                <w:color w:val="000000"/>
                <w:sz w:val="22"/>
                <w:szCs w:val="22"/>
              </w:rPr>
              <w:t>0.95</w:t>
            </w:r>
          </w:p>
        </w:tc>
        <w:tc>
          <w:tcPr>
            <w:tcW w:w="645" w:type="pct"/>
            <w:gridSpan w:val="2"/>
            <w:tcBorders>
              <w:top w:val="nil"/>
              <w:left w:val="nil"/>
              <w:bottom w:val="single" w:sz="4" w:space="0" w:color="auto"/>
              <w:right w:val="single" w:sz="4" w:space="0" w:color="auto"/>
            </w:tcBorders>
            <w:shd w:val="clear" w:color="auto" w:fill="auto"/>
            <w:noWrap/>
            <w:vAlign w:val="bottom"/>
          </w:tcPr>
          <w:p w14:paraId="65A88B7A" w14:textId="6A478949" w:rsidR="00673CE6" w:rsidRPr="00E263F4" w:rsidRDefault="00673CE6" w:rsidP="00E263F4">
            <w:pPr>
              <w:spacing w:before="0" w:after="0" w:line="240" w:lineRule="auto"/>
              <w:jc w:val="center"/>
              <w:rPr>
                <w:color w:val="auto"/>
                <w:sz w:val="20"/>
                <w:szCs w:val="20"/>
              </w:rPr>
            </w:pPr>
            <w:r w:rsidRPr="00E263F4">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0DFBAECD" w14:textId="556AB891" w:rsidR="00673CE6" w:rsidRPr="00E263F4" w:rsidRDefault="00673CE6" w:rsidP="00E263F4">
            <w:pPr>
              <w:spacing w:before="0" w:after="0" w:line="240" w:lineRule="auto"/>
              <w:jc w:val="center"/>
              <w:rPr>
                <w:color w:val="auto"/>
                <w:sz w:val="20"/>
                <w:szCs w:val="20"/>
              </w:rPr>
            </w:pPr>
            <w:r w:rsidRPr="00E263F4">
              <w:rPr>
                <w:color w:val="000000"/>
                <w:sz w:val="22"/>
                <w:szCs w:val="22"/>
              </w:rPr>
              <w:t>0.84</w:t>
            </w:r>
          </w:p>
        </w:tc>
        <w:tc>
          <w:tcPr>
            <w:tcW w:w="644" w:type="pct"/>
            <w:tcBorders>
              <w:top w:val="nil"/>
              <w:left w:val="nil"/>
              <w:bottom w:val="single" w:sz="4" w:space="0" w:color="auto"/>
              <w:right w:val="single" w:sz="4" w:space="0" w:color="auto"/>
            </w:tcBorders>
            <w:shd w:val="clear" w:color="auto" w:fill="auto"/>
            <w:noWrap/>
            <w:vAlign w:val="bottom"/>
          </w:tcPr>
          <w:p w14:paraId="0B6D9C08" w14:textId="7A3786F6" w:rsidR="00673CE6" w:rsidRPr="00E263F4" w:rsidRDefault="00673CE6" w:rsidP="00E263F4">
            <w:pPr>
              <w:spacing w:before="0" w:after="0" w:line="240" w:lineRule="auto"/>
              <w:jc w:val="center"/>
              <w:rPr>
                <w:color w:val="auto"/>
                <w:sz w:val="20"/>
                <w:szCs w:val="20"/>
              </w:rPr>
            </w:pPr>
            <w:r w:rsidRPr="00E263F4">
              <w:rPr>
                <w:color w:val="000000"/>
                <w:sz w:val="22"/>
                <w:szCs w:val="22"/>
              </w:rPr>
              <w:t>0.83</w:t>
            </w:r>
          </w:p>
        </w:tc>
      </w:tr>
      <w:tr w:rsidR="00673CE6" w:rsidRPr="00E263F4" w14:paraId="50AB96C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B0B6E4E" w14:textId="77777777" w:rsidR="00673CE6" w:rsidRPr="00E263F4" w:rsidRDefault="00673CE6" w:rsidP="00673CE6">
            <w:pPr>
              <w:spacing w:before="0" w:after="0" w:line="240" w:lineRule="auto"/>
              <w:rPr>
                <w:color w:val="auto"/>
                <w:sz w:val="20"/>
                <w:szCs w:val="20"/>
              </w:rPr>
            </w:pPr>
            <w:r w:rsidRPr="00E263F4">
              <w:rPr>
                <w:color w:val="auto"/>
                <w:sz w:val="20"/>
                <w:szCs w:val="20"/>
              </w:rPr>
              <w:t>7</w:t>
            </w:r>
          </w:p>
        </w:tc>
        <w:tc>
          <w:tcPr>
            <w:tcW w:w="603" w:type="pct"/>
            <w:tcBorders>
              <w:top w:val="nil"/>
              <w:left w:val="nil"/>
              <w:bottom w:val="single" w:sz="4" w:space="0" w:color="auto"/>
              <w:right w:val="single" w:sz="4" w:space="0" w:color="auto"/>
            </w:tcBorders>
            <w:shd w:val="clear" w:color="auto" w:fill="auto"/>
            <w:noWrap/>
            <w:vAlign w:val="bottom"/>
          </w:tcPr>
          <w:p w14:paraId="10937D55" w14:textId="3F4187F9" w:rsidR="00673CE6" w:rsidRPr="00E263F4" w:rsidRDefault="00673CE6" w:rsidP="00E263F4">
            <w:pPr>
              <w:spacing w:before="0" w:after="0" w:line="240" w:lineRule="auto"/>
              <w:jc w:val="center"/>
              <w:rPr>
                <w:color w:val="auto"/>
                <w:sz w:val="20"/>
                <w:szCs w:val="20"/>
              </w:rPr>
            </w:pPr>
            <w:r w:rsidRPr="00E263F4">
              <w:rPr>
                <w:color w:val="000000"/>
                <w:sz w:val="22"/>
                <w:szCs w:val="22"/>
              </w:rPr>
              <w:t>0.74</w:t>
            </w:r>
          </w:p>
        </w:tc>
        <w:tc>
          <w:tcPr>
            <w:tcW w:w="629" w:type="pct"/>
            <w:gridSpan w:val="2"/>
            <w:tcBorders>
              <w:top w:val="nil"/>
              <w:left w:val="nil"/>
              <w:bottom w:val="single" w:sz="4" w:space="0" w:color="auto"/>
              <w:right w:val="single" w:sz="4" w:space="0" w:color="auto"/>
            </w:tcBorders>
            <w:shd w:val="clear" w:color="auto" w:fill="auto"/>
            <w:noWrap/>
            <w:vAlign w:val="bottom"/>
          </w:tcPr>
          <w:p w14:paraId="053BD4F0" w14:textId="500A37FE" w:rsidR="00673CE6" w:rsidRPr="00E263F4" w:rsidRDefault="00673CE6" w:rsidP="00E263F4">
            <w:pPr>
              <w:spacing w:before="0" w:after="0" w:line="240" w:lineRule="auto"/>
              <w:jc w:val="center"/>
              <w:rPr>
                <w:color w:val="auto"/>
                <w:sz w:val="20"/>
                <w:szCs w:val="20"/>
              </w:rPr>
            </w:pPr>
            <w:r w:rsidRPr="00E263F4">
              <w:rPr>
                <w:color w:val="000000"/>
                <w:sz w:val="22"/>
                <w:szCs w:val="22"/>
              </w:rPr>
              <w:t>1.02</w:t>
            </w:r>
          </w:p>
        </w:tc>
        <w:tc>
          <w:tcPr>
            <w:tcW w:w="631" w:type="pct"/>
            <w:gridSpan w:val="3"/>
            <w:tcBorders>
              <w:top w:val="nil"/>
              <w:left w:val="nil"/>
              <w:bottom w:val="single" w:sz="4" w:space="0" w:color="auto"/>
              <w:right w:val="single" w:sz="4" w:space="0" w:color="auto"/>
            </w:tcBorders>
            <w:shd w:val="clear" w:color="auto" w:fill="auto"/>
            <w:noWrap/>
            <w:vAlign w:val="bottom"/>
          </w:tcPr>
          <w:p w14:paraId="6364B15C" w14:textId="3312F1A0" w:rsidR="00673CE6" w:rsidRPr="00E263F4" w:rsidRDefault="00673CE6" w:rsidP="00E263F4">
            <w:pPr>
              <w:spacing w:before="0" w:after="0" w:line="240" w:lineRule="auto"/>
              <w:jc w:val="center"/>
              <w:rPr>
                <w:color w:val="auto"/>
                <w:sz w:val="20"/>
                <w:szCs w:val="20"/>
              </w:rPr>
            </w:pPr>
            <w:r w:rsidRPr="00E263F4">
              <w:rPr>
                <w:color w:val="000000"/>
                <w:sz w:val="22"/>
                <w:szCs w:val="22"/>
              </w:rPr>
              <w:t>0.91</w:t>
            </w:r>
          </w:p>
        </w:tc>
        <w:tc>
          <w:tcPr>
            <w:tcW w:w="645" w:type="pct"/>
            <w:gridSpan w:val="2"/>
            <w:tcBorders>
              <w:top w:val="nil"/>
              <w:left w:val="nil"/>
              <w:bottom w:val="single" w:sz="4" w:space="0" w:color="auto"/>
              <w:right w:val="single" w:sz="4" w:space="0" w:color="auto"/>
            </w:tcBorders>
            <w:shd w:val="clear" w:color="auto" w:fill="auto"/>
            <w:noWrap/>
            <w:vAlign w:val="bottom"/>
          </w:tcPr>
          <w:p w14:paraId="28F4FCC7" w14:textId="78CC659B" w:rsidR="00673CE6" w:rsidRPr="00E263F4" w:rsidRDefault="00673CE6" w:rsidP="00E263F4">
            <w:pPr>
              <w:spacing w:before="0" w:after="0" w:line="240" w:lineRule="auto"/>
              <w:jc w:val="center"/>
              <w:rPr>
                <w:color w:val="auto"/>
                <w:sz w:val="20"/>
                <w:szCs w:val="20"/>
              </w:rPr>
            </w:pPr>
            <w:r w:rsidRPr="00E263F4">
              <w:rPr>
                <w:color w:val="000000"/>
                <w:sz w:val="22"/>
                <w:szCs w:val="22"/>
              </w:rPr>
              <w:t>0.81</w:t>
            </w:r>
          </w:p>
        </w:tc>
        <w:tc>
          <w:tcPr>
            <w:tcW w:w="646" w:type="pct"/>
            <w:gridSpan w:val="2"/>
            <w:tcBorders>
              <w:top w:val="nil"/>
              <w:left w:val="nil"/>
              <w:bottom w:val="single" w:sz="4" w:space="0" w:color="auto"/>
              <w:right w:val="single" w:sz="4" w:space="0" w:color="auto"/>
            </w:tcBorders>
            <w:shd w:val="clear" w:color="auto" w:fill="auto"/>
            <w:noWrap/>
            <w:vAlign w:val="bottom"/>
          </w:tcPr>
          <w:p w14:paraId="5992166A" w14:textId="5462ED62" w:rsidR="00673CE6" w:rsidRPr="00E263F4" w:rsidRDefault="00673CE6" w:rsidP="00E263F4">
            <w:pPr>
              <w:spacing w:before="0" w:after="0" w:line="240" w:lineRule="auto"/>
              <w:jc w:val="center"/>
              <w:rPr>
                <w:color w:val="auto"/>
                <w:sz w:val="20"/>
                <w:szCs w:val="20"/>
              </w:rPr>
            </w:pPr>
            <w:r w:rsidRPr="00E263F4">
              <w:rPr>
                <w:color w:val="000000"/>
                <w:sz w:val="22"/>
                <w:szCs w:val="22"/>
              </w:rPr>
              <w:t>0.65</w:t>
            </w:r>
          </w:p>
        </w:tc>
        <w:tc>
          <w:tcPr>
            <w:tcW w:w="644" w:type="pct"/>
            <w:tcBorders>
              <w:top w:val="nil"/>
              <w:left w:val="nil"/>
              <w:bottom w:val="single" w:sz="4" w:space="0" w:color="auto"/>
              <w:right w:val="single" w:sz="4" w:space="0" w:color="auto"/>
            </w:tcBorders>
            <w:shd w:val="clear" w:color="auto" w:fill="auto"/>
            <w:noWrap/>
            <w:vAlign w:val="bottom"/>
          </w:tcPr>
          <w:p w14:paraId="5472BC38" w14:textId="7239AF07" w:rsidR="00673CE6" w:rsidRPr="00E263F4" w:rsidRDefault="00673CE6" w:rsidP="00E263F4">
            <w:pPr>
              <w:spacing w:before="0" w:after="0" w:line="240" w:lineRule="auto"/>
              <w:jc w:val="center"/>
              <w:rPr>
                <w:color w:val="auto"/>
                <w:sz w:val="20"/>
                <w:szCs w:val="20"/>
              </w:rPr>
            </w:pPr>
            <w:r w:rsidRPr="00E263F4">
              <w:rPr>
                <w:color w:val="000000"/>
                <w:sz w:val="22"/>
                <w:szCs w:val="22"/>
              </w:rPr>
              <w:t>0.50</w:t>
            </w:r>
          </w:p>
        </w:tc>
      </w:tr>
      <w:tr w:rsidR="00673CE6" w:rsidRPr="00E263F4" w14:paraId="1ED2220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1C3E904" w14:textId="77777777" w:rsidR="00673CE6" w:rsidRPr="00E263F4" w:rsidRDefault="00673CE6" w:rsidP="00673CE6">
            <w:pPr>
              <w:spacing w:before="0" w:after="0" w:line="240" w:lineRule="auto"/>
              <w:rPr>
                <w:color w:val="auto"/>
                <w:sz w:val="20"/>
                <w:szCs w:val="20"/>
              </w:rPr>
            </w:pPr>
            <w:r w:rsidRPr="00E263F4">
              <w:rPr>
                <w:color w:val="auto"/>
                <w:sz w:val="20"/>
                <w:szCs w:val="20"/>
              </w:rPr>
              <w:t>8</w:t>
            </w:r>
          </w:p>
        </w:tc>
        <w:tc>
          <w:tcPr>
            <w:tcW w:w="603" w:type="pct"/>
            <w:tcBorders>
              <w:top w:val="nil"/>
              <w:left w:val="nil"/>
              <w:bottom w:val="single" w:sz="4" w:space="0" w:color="auto"/>
              <w:right w:val="single" w:sz="4" w:space="0" w:color="auto"/>
            </w:tcBorders>
            <w:shd w:val="clear" w:color="auto" w:fill="auto"/>
            <w:noWrap/>
            <w:vAlign w:val="bottom"/>
          </w:tcPr>
          <w:p w14:paraId="33CF3C69" w14:textId="29FC84FF" w:rsidR="00673CE6" w:rsidRPr="00E263F4" w:rsidRDefault="00673CE6" w:rsidP="00E263F4">
            <w:pPr>
              <w:spacing w:before="0" w:after="0" w:line="240" w:lineRule="auto"/>
              <w:jc w:val="center"/>
              <w:rPr>
                <w:color w:val="auto"/>
                <w:sz w:val="20"/>
                <w:szCs w:val="20"/>
              </w:rPr>
            </w:pPr>
            <w:r w:rsidRPr="00E263F4">
              <w:rPr>
                <w:color w:val="000000"/>
                <w:sz w:val="22"/>
                <w:szCs w:val="22"/>
              </w:rPr>
              <w:t>0.92</w:t>
            </w:r>
          </w:p>
        </w:tc>
        <w:tc>
          <w:tcPr>
            <w:tcW w:w="629" w:type="pct"/>
            <w:gridSpan w:val="2"/>
            <w:tcBorders>
              <w:top w:val="nil"/>
              <w:left w:val="nil"/>
              <w:bottom w:val="single" w:sz="4" w:space="0" w:color="auto"/>
              <w:right w:val="single" w:sz="4" w:space="0" w:color="auto"/>
            </w:tcBorders>
            <w:shd w:val="clear" w:color="auto" w:fill="auto"/>
            <w:noWrap/>
            <w:vAlign w:val="bottom"/>
          </w:tcPr>
          <w:p w14:paraId="304D4896" w14:textId="57870260"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1FE65E10" w14:textId="7173119C" w:rsidR="00673CE6" w:rsidRPr="00E263F4" w:rsidRDefault="00673CE6" w:rsidP="00E263F4">
            <w:pPr>
              <w:spacing w:before="0" w:after="0" w:line="240" w:lineRule="auto"/>
              <w:jc w:val="center"/>
              <w:rPr>
                <w:color w:val="auto"/>
                <w:sz w:val="20"/>
                <w:szCs w:val="20"/>
              </w:rPr>
            </w:pPr>
            <w:r w:rsidRPr="00E263F4">
              <w:rPr>
                <w:color w:val="000000"/>
                <w:sz w:val="22"/>
                <w:szCs w:val="22"/>
              </w:rPr>
              <w:t>0.94</w:t>
            </w:r>
          </w:p>
        </w:tc>
        <w:tc>
          <w:tcPr>
            <w:tcW w:w="645" w:type="pct"/>
            <w:gridSpan w:val="2"/>
            <w:tcBorders>
              <w:top w:val="nil"/>
              <w:left w:val="nil"/>
              <w:bottom w:val="single" w:sz="4" w:space="0" w:color="auto"/>
              <w:right w:val="single" w:sz="4" w:space="0" w:color="auto"/>
            </w:tcBorders>
            <w:shd w:val="clear" w:color="auto" w:fill="auto"/>
            <w:noWrap/>
            <w:vAlign w:val="bottom"/>
          </w:tcPr>
          <w:p w14:paraId="63B34ECC" w14:textId="66778DB9" w:rsidR="00673CE6" w:rsidRPr="00E263F4" w:rsidRDefault="00673CE6" w:rsidP="00E263F4">
            <w:pPr>
              <w:spacing w:before="0" w:after="0" w:line="240" w:lineRule="auto"/>
              <w:jc w:val="center"/>
              <w:rPr>
                <w:color w:val="auto"/>
                <w:sz w:val="20"/>
                <w:szCs w:val="20"/>
              </w:rPr>
            </w:pPr>
            <w:r w:rsidRPr="00E263F4">
              <w:rPr>
                <w:color w:val="000000"/>
                <w:sz w:val="22"/>
                <w:szCs w:val="22"/>
              </w:rPr>
              <w:t>0.76</w:t>
            </w:r>
          </w:p>
        </w:tc>
        <w:tc>
          <w:tcPr>
            <w:tcW w:w="646" w:type="pct"/>
            <w:gridSpan w:val="2"/>
            <w:tcBorders>
              <w:top w:val="nil"/>
              <w:left w:val="nil"/>
              <w:bottom w:val="single" w:sz="4" w:space="0" w:color="auto"/>
              <w:right w:val="single" w:sz="4" w:space="0" w:color="auto"/>
            </w:tcBorders>
            <w:shd w:val="clear" w:color="auto" w:fill="auto"/>
            <w:noWrap/>
            <w:vAlign w:val="bottom"/>
          </w:tcPr>
          <w:p w14:paraId="70E2D0C8" w14:textId="1384DC62" w:rsidR="00673CE6" w:rsidRPr="00E263F4" w:rsidRDefault="00673CE6" w:rsidP="00E263F4">
            <w:pPr>
              <w:spacing w:before="0" w:after="0" w:line="240" w:lineRule="auto"/>
              <w:jc w:val="center"/>
              <w:rPr>
                <w:color w:val="auto"/>
                <w:sz w:val="20"/>
                <w:szCs w:val="20"/>
              </w:rPr>
            </w:pPr>
            <w:r w:rsidRPr="00E263F4">
              <w:rPr>
                <w:color w:val="000000"/>
                <w:sz w:val="22"/>
                <w:szCs w:val="22"/>
              </w:rPr>
              <w:t>0.71</w:t>
            </w:r>
          </w:p>
        </w:tc>
        <w:tc>
          <w:tcPr>
            <w:tcW w:w="644" w:type="pct"/>
            <w:tcBorders>
              <w:top w:val="nil"/>
              <w:left w:val="nil"/>
              <w:bottom w:val="single" w:sz="4" w:space="0" w:color="auto"/>
              <w:right w:val="single" w:sz="4" w:space="0" w:color="auto"/>
            </w:tcBorders>
            <w:shd w:val="clear" w:color="auto" w:fill="auto"/>
            <w:noWrap/>
            <w:vAlign w:val="bottom"/>
          </w:tcPr>
          <w:p w14:paraId="48707F58" w14:textId="6B075DD6" w:rsidR="00673CE6" w:rsidRPr="00E263F4" w:rsidRDefault="00673CE6" w:rsidP="00E263F4">
            <w:pPr>
              <w:spacing w:before="0" w:after="0" w:line="240" w:lineRule="auto"/>
              <w:jc w:val="center"/>
              <w:rPr>
                <w:color w:val="auto"/>
                <w:sz w:val="20"/>
                <w:szCs w:val="20"/>
              </w:rPr>
            </w:pPr>
            <w:r w:rsidRPr="00E263F4">
              <w:rPr>
                <w:color w:val="000000"/>
                <w:sz w:val="22"/>
                <w:szCs w:val="22"/>
              </w:rPr>
              <w:t>0.67</w:t>
            </w:r>
          </w:p>
        </w:tc>
      </w:tr>
      <w:tr w:rsidR="00673CE6" w:rsidRPr="00E263F4" w14:paraId="5F295A7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E6FE57E" w14:textId="77777777" w:rsidR="00673CE6" w:rsidRPr="00E263F4" w:rsidRDefault="00673CE6" w:rsidP="00673CE6">
            <w:pPr>
              <w:spacing w:before="0" w:after="0" w:line="240" w:lineRule="auto"/>
              <w:rPr>
                <w:color w:val="auto"/>
                <w:sz w:val="20"/>
                <w:szCs w:val="20"/>
              </w:rPr>
            </w:pPr>
            <w:r w:rsidRPr="00E263F4">
              <w:rPr>
                <w:color w:val="auto"/>
                <w:sz w:val="20"/>
                <w:szCs w:val="20"/>
              </w:rPr>
              <w:t>9</w:t>
            </w:r>
          </w:p>
        </w:tc>
        <w:tc>
          <w:tcPr>
            <w:tcW w:w="603" w:type="pct"/>
            <w:tcBorders>
              <w:top w:val="nil"/>
              <w:left w:val="nil"/>
              <w:bottom w:val="single" w:sz="4" w:space="0" w:color="auto"/>
              <w:right w:val="single" w:sz="4" w:space="0" w:color="auto"/>
            </w:tcBorders>
            <w:shd w:val="clear" w:color="auto" w:fill="auto"/>
            <w:noWrap/>
            <w:vAlign w:val="bottom"/>
          </w:tcPr>
          <w:p w14:paraId="25C3FE26" w14:textId="14A7CA77" w:rsidR="00673CE6" w:rsidRPr="00E263F4" w:rsidRDefault="00673CE6" w:rsidP="00E263F4">
            <w:pPr>
              <w:spacing w:before="0" w:after="0" w:line="240" w:lineRule="auto"/>
              <w:jc w:val="center"/>
              <w:rPr>
                <w:color w:val="auto"/>
                <w:sz w:val="20"/>
                <w:szCs w:val="20"/>
              </w:rPr>
            </w:pPr>
            <w:r w:rsidRPr="00E263F4">
              <w:rPr>
                <w:color w:val="000000"/>
                <w:sz w:val="22"/>
                <w:szCs w:val="22"/>
              </w:rPr>
              <w:t>1.01</w:t>
            </w:r>
          </w:p>
        </w:tc>
        <w:tc>
          <w:tcPr>
            <w:tcW w:w="629" w:type="pct"/>
            <w:gridSpan w:val="2"/>
            <w:tcBorders>
              <w:top w:val="nil"/>
              <w:left w:val="nil"/>
              <w:bottom w:val="single" w:sz="4" w:space="0" w:color="auto"/>
              <w:right w:val="single" w:sz="4" w:space="0" w:color="auto"/>
            </w:tcBorders>
            <w:shd w:val="clear" w:color="auto" w:fill="auto"/>
            <w:noWrap/>
            <w:vAlign w:val="bottom"/>
          </w:tcPr>
          <w:p w14:paraId="6AF9B684" w14:textId="040EE41E" w:rsidR="00673CE6" w:rsidRPr="00E263F4" w:rsidRDefault="00673CE6" w:rsidP="00E263F4">
            <w:pPr>
              <w:spacing w:before="0" w:after="0" w:line="240" w:lineRule="auto"/>
              <w:jc w:val="center"/>
              <w:rPr>
                <w:color w:val="auto"/>
                <w:sz w:val="20"/>
                <w:szCs w:val="20"/>
              </w:rPr>
            </w:pPr>
            <w:r w:rsidRPr="00E263F4">
              <w:rPr>
                <w:color w:val="000000"/>
                <w:sz w:val="22"/>
                <w:szCs w:val="22"/>
              </w:rPr>
              <w:t>0.97</w:t>
            </w:r>
          </w:p>
        </w:tc>
        <w:tc>
          <w:tcPr>
            <w:tcW w:w="631" w:type="pct"/>
            <w:gridSpan w:val="3"/>
            <w:tcBorders>
              <w:top w:val="nil"/>
              <w:left w:val="nil"/>
              <w:bottom w:val="single" w:sz="4" w:space="0" w:color="auto"/>
              <w:right w:val="single" w:sz="4" w:space="0" w:color="auto"/>
            </w:tcBorders>
            <w:shd w:val="clear" w:color="auto" w:fill="auto"/>
            <w:noWrap/>
            <w:vAlign w:val="bottom"/>
          </w:tcPr>
          <w:p w14:paraId="08DBE76F" w14:textId="4A51FECE" w:rsidR="00673CE6" w:rsidRPr="00E263F4" w:rsidRDefault="00673CE6" w:rsidP="00E263F4">
            <w:pPr>
              <w:spacing w:before="0" w:after="0" w:line="240" w:lineRule="auto"/>
              <w:jc w:val="center"/>
              <w:rPr>
                <w:color w:val="auto"/>
                <w:sz w:val="20"/>
                <w:szCs w:val="20"/>
              </w:rPr>
            </w:pPr>
            <w:r w:rsidRPr="00E263F4">
              <w:rPr>
                <w:color w:val="000000"/>
                <w:sz w:val="22"/>
                <w:szCs w:val="22"/>
              </w:rPr>
              <w:t>0.97</w:t>
            </w:r>
          </w:p>
        </w:tc>
        <w:tc>
          <w:tcPr>
            <w:tcW w:w="645" w:type="pct"/>
            <w:gridSpan w:val="2"/>
            <w:tcBorders>
              <w:top w:val="nil"/>
              <w:left w:val="nil"/>
              <w:bottom w:val="single" w:sz="4" w:space="0" w:color="auto"/>
              <w:right w:val="single" w:sz="4" w:space="0" w:color="auto"/>
            </w:tcBorders>
            <w:shd w:val="clear" w:color="auto" w:fill="auto"/>
            <w:noWrap/>
            <w:vAlign w:val="bottom"/>
          </w:tcPr>
          <w:p w14:paraId="774A3C00" w14:textId="46A90F9C" w:rsidR="00673CE6" w:rsidRPr="00E263F4" w:rsidRDefault="00673CE6" w:rsidP="00E263F4">
            <w:pPr>
              <w:spacing w:before="0" w:after="0" w:line="240" w:lineRule="auto"/>
              <w:jc w:val="center"/>
              <w:rPr>
                <w:color w:val="auto"/>
                <w:sz w:val="20"/>
                <w:szCs w:val="20"/>
              </w:rPr>
            </w:pPr>
            <w:r w:rsidRPr="00E263F4">
              <w:rPr>
                <w:color w:val="000000"/>
                <w:sz w:val="22"/>
                <w:szCs w:val="22"/>
              </w:rPr>
              <w:t>0.97</w:t>
            </w:r>
          </w:p>
        </w:tc>
        <w:tc>
          <w:tcPr>
            <w:tcW w:w="646" w:type="pct"/>
            <w:gridSpan w:val="2"/>
            <w:tcBorders>
              <w:top w:val="nil"/>
              <w:left w:val="nil"/>
              <w:bottom w:val="single" w:sz="4" w:space="0" w:color="auto"/>
              <w:right w:val="single" w:sz="4" w:space="0" w:color="auto"/>
            </w:tcBorders>
            <w:shd w:val="clear" w:color="auto" w:fill="auto"/>
            <w:noWrap/>
            <w:vAlign w:val="bottom"/>
          </w:tcPr>
          <w:p w14:paraId="75ECD26B" w14:textId="5EC8A74A" w:rsidR="00673CE6" w:rsidRPr="00E263F4" w:rsidRDefault="00673CE6" w:rsidP="00E263F4">
            <w:pPr>
              <w:spacing w:before="0" w:after="0" w:line="240" w:lineRule="auto"/>
              <w:jc w:val="center"/>
              <w:rPr>
                <w:color w:val="auto"/>
                <w:sz w:val="20"/>
                <w:szCs w:val="20"/>
              </w:rPr>
            </w:pPr>
            <w:r w:rsidRPr="00E263F4">
              <w:rPr>
                <w:color w:val="000000"/>
                <w:sz w:val="22"/>
                <w:szCs w:val="22"/>
              </w:rPr>
              <w:t>1.05</w:t>
            </w:r>
          </w:p>
        </w:tc>
        <w:tc>
          <w:tcPr>
            <w:tcW w:w="644" w:type="pct"/>
            <w:tcBorders>
              <w:top w:val="nil"/>
              <w:left w:val="nil"/>
              <w:bottom w:val="single" w:sz="4" w:space="0" w:color="auto"/>
              <w:right w:val="single" w:sz="4" w:space="0" w:color="auto"/>
            </w:tcBorders>
            <w:shd w:val="clear" w:color="auto" w:fill="auto"/>
            <w:noWrap/>
            <w:vAlign w:val="bottom"/>
          </w:tcPr>
          <w:p w14:paraId="19514DFB" w14:textId="52C6B6FF" w:rsidR="00673CE6" w:rsidRPr="00E263F4" w:rsidRDefault="00673CE6" w:rsidP="00E263F4">
            <w:pPr>
              <w:spacing w:before="0" w:after="0" w:line="240" w:lineRule="auto"/>
              <w:jc w:val="center"/>
              <w:rPr>
                <w:color w:val="auto"/>
                <w:sz w:val="20"/>
                <w:szCs w:val="20"/>
              </w:rPr>
            </w:pPr>
            <w:r w:rsidRPr="00E263F4">
              <w:rPr>
                <w:color w:val="000000"/>
                <w:sz w:val="22"/>
                <w:szCs w:val="22"/>
              </w:rPr>
              <w:t>1.01</w:t>
            </w:r>
          </w:p>
        </w:tc>
      </w:tr>
      <w:tr w:rsidR="00673CE6" w:rsidRPr="00E263F4" w14:paraId="047F12A1"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07F8D19" w14:textId="77777777" w:rsidR="00673CE6" w:rsidRPr="00E263F4" w:rsidRDefault="00673CE6" w:rsidP="00673CE6">
            <w:pPr>
              <w:spacing w:before="0" w:after="0" w:line="240" w:lineRule="auto"/>
              <w:rPr>
                <w:color w:val="auto"/>
                <w:sz w:val="20"/>
                <w:szCs w:val="20"/>
              </w:rPr>
            </w:pPr>
            <w:r w:rsidRPr="00E263F4">
              <w:rPr>
                <w:color w:val="auto"/>
                <w:sz w:val="20"/>
                <w:szCs w:val="20"/>
              </w:rPr>
              <w:t>10</w:t>
            </w:r>
          </w:p>
        </w:tc>
        <w:tc>
          <w:tcPr>
            <w:tcW w:w="603" w:type="pct"/>
            <w:tcBorders>
              <w:top w:val="nil"/>
              <w:left w:val="nil"/>
              <w:bottom w:val="single" w:sz="4" w:space="0" w:color="auto"/>
              <w:right w:val="single" w:sz="4" w:space="0" w:color="auto"/>
            </w:tcBorders>
            <w:shd w:val="clear" w:color="auto" w:fill="auto"/>
            <w:noWrap/>
            <w:vAlign w:val="bottom"/>
          </w:tcPr>
          <w:p w14:paraId="4854CF13" w14:textId="2C672ACE"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c>
          <w:tcPr>
            <w:tcW w:w="629" w:type="pct"/>
            <w:gridSpan w:val="2"/>
            <w:tcBorders>
              <w:top w:val="nil"/>
              <w:left w:val="nil"/>
              <w:bottom w:val="single" w:sz="4" w:space="0" w:color="auto"/>
              <w:right w:val="single" w:sz="4" w:space="0" w:color="auto"/>
            </w:tcBorders>
            <w:shd w:val="clear" w:color="auto" w:fill="auto"/>
            <w:noWrap/>
            <w:vAlign w:val="bottom"/>
          </w:tcPr>
          <w:p w14:paraId="7898E151" w14:textId="0CE1F655"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1C08E354" w14:textId="53B3D805" w:rsidR="00673CE6" w:rsidRPr="00E263F4" w:rsidRDefault="00673CE6" w:rsidP="00E263F4">
            <w:pPr>
              <w:spacing w:before="0" w:after="0" w:line="240" w:lineRule="auto"/>
              <w:jc w:val="center"/>
              <w:rPr>
                <w:color w:val="auto"/>
                <w:sz w:val="20"/>
                <w:szCs w:val="20"/>
              </w:rPr>
            </w:pPr>
            <w:r w:rsidRPr="00E263F4">
              <w:rPr>
                <w:color w:val="000000"/>
                <w:sz w:val="22"/>
                <w:szCs w:val="22"/>
              </w:rPr>
              <w:t>1.05</w:t>
            </w:r>
          </w:p>
        </w:tc>
        <w:tc>
          <w:tcPr>
            <w:tcW w:w="645" w:type="pct"/>
            <w:gridSpan w:val="2"/>
            <w:tcBorders>
              <w:top w:val="nil"/>
              <w:left w:val="nil"/>
              <w:bottom w:val="single" w:sz="4" w:space="0" w:color="auto"/>
              <w:right w:val="single" w:sz="4" w:space="0" w:color="auto"/>
            </w:tcBorders>
            <w:shd w:val="clear" w:color="auto" w:fill="auto"/>
            <w:noWrap/>
            <w:vAlign w:val="bottom"/>
          </w:tcPr>
          <w:p w14:paraId="1C05CD95" w14:textId="35731A0C" w:rsidR="00673CE6" w:rsidRPr="00E263F4" w:rsidRDefault="00673CE6" w:rsidP="00E263F4">
            <w:pPr>
              <w:spacing w:before="0" w:after="0" w:line="240" w:lineRule="auto"/>
              <w:jc w:val="center"/>
              <w:rPr>
                <w:color w:val="auto"/>
                <w:sz w:val="20"/>
                <w:szCs w:val="20"/>
              </w:rPr>
            </w:pPr>
            <w:r w:rsidRPr="00E263F4">
              <w:rPr>
                <w:color w:val="000000"/>
                <w:sz w:val="22"/>
                <w:szCs w:val="22"/>
              </w:rPr>
              <w:t>0.87</w:t>
            </w:r>
          </w:p>
        </w:tc>
        <w:tc>
          <w:tcPr>
            <w:tcW w:w="646" w:type="pct"/>
            <w:gridSpan w:val="2"/>
            <w:tcBorders>
              <w:top w:val="nil"/>
              <w:left w:val="nil"/>
              <w:bottom w:val="single" w:sz="4" w:space="0" w:color="auto"/>
              <w:right w:val="single" w:sz="4" w:space="0" w:color="auto"/>
            </w:tcBorders>
            <w:shd w:val="clear" w:color="auto" w:fill="auto"/>
            <w:noWrap/>
            <w:vAlign w:val="bottom"/>
          </w:tcPr>
          <w:p w14:paraId="25AC8C38" w14:textId="1BBB1D39" w:rsidR="00673CE6" w:rsidRPr="00E263F4" w:rsidRDefault="00673CE6" w:rsidP="00E263F4">
            <w:pPr>
              <w:spacing w:before="0" w:after="0" w:line="240" w:lineRule="auto"/>
              <w:jc w:val="center"/>
              <w:rPr>
                <w:color w:val="auto"/>
                <w:sz w:val="20"/>
                <w:szCs w:val="20"/>
              </w:rPr>
            </w:pPr>
            <w:r w:rsidRPr="00E263F4">
              <w:rPr>
                <w:color w:val="000000"/>
                <w:sz w:val="22"/>
                <w:szCs w:val="22"/>
              </w:rPr>
              <w:t>0.73</w:t>
            </w:r>
          </w:p>
        </w:tc>
        <w:tc>
          <w:tcPr>
            <w:tcW w:w="644" w:type="pct"/>
            <w:tcBorders>
              <w:top w:val="nil"/>
              <w:left w:val="nil"/>
              <w:bottom w:val="single" w:sz="4" w:space="0" w:color="auto"/>
              <w:right w:val="single" w:sz="4" w:space="0" w:color="auto"/>
            </w:tcBorders>
            <w:shd w:val="clear" w:color="auto" w:fill="auto"/>
            <w:noWrap/>
            <w:vAlign w:val="bottom"/>
          </w:tcPr>
          <w:p w14:paraId="678C17EF" w14:textId="745CC588" w:rsidR="00673CE6" w:rsidRPr="00E263F4" w:rsidRDefault="00673CE6" w:rsidP="00E263F4">
            <w:pPr>
              <w:spacing w:before="0" w:after="0" w:line="240" w:lineRule="auto"/>
              <w:jc w:val="center"/>
              <w:rPr>
                <w:color w:val="auto"/>
                <w:sz w:val="20"/>
                <w:szCs w:val="20"/>
              </w:rPr>
            </w:pPr>
            <w:r w:rsidRPr="00E263F4">
              <w:rPr>
                <w:color w:val="000000"/>
                <w:sz w:val="22"/>
                <w:szCs w:val="22"/>
              </w:rPr>
              <w:t>0.77</w:t>
            </w:r>
          </w:p>
        </w:tc>
      </w:tr>
      <w:tr w:rsidR="00673CE6" w:rsidRPr="00E263F4" w14:paraId="73960F5C"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9FA660F" w14:textId="77777777" w:rsidR="00673CE6" w:rsidRPr="00E263F4" w:rsidRDefault="00673CE6" w:rsidP="00673CE6">
            <w:pPr>
              <w:spacing w:before="0" w:after="0" w:line="240" w:lineRule="auto"/>
              <w:rPr>
                <w:color w:val="auto"/>
                <w:sz w:val="20"/>
                <w:szCs w:val="20"/>
              </w:rPr>
            </w:pPr>
            <w:r w:rsidRPr="00E263F4">
              <w:rPr>
                <w:color w:val="auto"/>
                <w:sz w:val="20"/>
                <w:szCs w:val="20"/>
              </w:rPr>
              <w:t>11</w:t>
            </w:r>
          </w:p>
        </w:tc>
        <w:tc>
          <w:tcPr>
            <w:tcW w:w="603" w:type="pct"/>
            <w:tcBorders>
              <w:top w:val="nil"/>
              <w:left w:val="nil"/>
              <w:bottom w:val="single" w:sz="4" w:space="0" w:color="auto"/>
              <w:right w:val="single" w:sz="4" w:space="0" w:color="auto"/>
            </w:tcBorders>
            <w:shd w:val="clear" w:color="auto" w:fill="auto"/>
            <w:noWrap/>
            <w:vAlign w:val="bottom"/>
          </w:tcPr>
          <w:p w14:paraId="362A1070" w14:textId="2612EA98" w:rsidR="00673CE6" w:rsidRPr="00E263F4" w:rsidRDefault="00673CE6" w:rsidP="00E263F4">
            <w:pPr>
              <w:spacing w:before="0" w:after="0" w:line="240" w:lineRule="auto"/>
              <w:jc w:val="center"/>
              <w:rPr>
                <w:color w:val="auto"/>
                <w:sz w:val="20"/>
                <w:szCs w:val="20"/>
              </w:rPr>
            </w:pPr>
            <w:r w:rsidRPr="00E263F4">
              <w:rPr>
                <w:color w:val="000000"/>
                <w:sz w:val="22"/>
                <w:szCs w:val="22"/>
              </w:rPr>
              <w:t>1.01</w:t>
            </w:r>
          </w:p>
        </w:tc>
        <w:tc>
          <w:tcPr>
            <w:tcW w:w="629" w:type="pct"/>
            <w:gridSpan w:val="2"/>
            <w:tcBorders>
              <w:top w:val="nil"/>
              <w:left w:val="nil"/>
              <w:bottom w:val="single" w:sz="4" w:space="0" w:color="auto"/>
              <w:right w:val="single" w:sz="4" w:space="0" w:color="auto"/>
            </w:tcBorders>
            <w:shd w:val="clear" w:color="auto" w:fill="auto"/>
            <w:noWrap/>
            <w:vAlign w:val="bottom"/>
          </w:tcPr>
          <w:p w14:paraId="06C55B01" w14:textId="3EBE8A2F" w:rsidR="00673CE6" w:rsidRPr="00E263F4" w:rsidRDefault="00673CE6" w:rsidP="00E263F4">
            <w:pPr>
              <w:spacing w:before="0" w:after="0" w:line="240" w:lineRule="auto"/>
              <w:jc w:val="center"/>
              <w:rPr>
                <w:color w:val="auto"/>
                <w:sz w:val="20"/>
                <w:szCs w:val="20"/>
              </w:rPr>
            </w:pPr>
            <w:r w:rsidRPr="00E263F4">
              <w:rPr>
                <w:color w:val="000000"/>
                <w:sz w:val="22"/>
                <w:szCs w:val="22"/>
              </w:rPr>
              <w:t>1.02</w:t>
            </w:r>
          </w:p>
        </w:tc>
        <w:tc>
          <w:tcPr>
            <w:tcW w:w="631" w:type="pct"/>
            <w:gridSpan w:val="3"/>
            <w:tcBorders>
              <w:top w:val="nil"/>
              <w:left w:val="nil"/>
              <w:bottom w:val="single" w:sz="4" w:space="0" w:color="auto"/>
              <w:right w:val="single" w:sz="4" w:space="0" w:color="auto"/>
            </w:tcBorders>
            <w:shd w:val="clear" w:color="auto" w:fill="auto"/>
            <w:noWrap/>
            <w:vAlign w:val="bottom"/>
          </w:tcPr>
          <w:p w14:paraId="5C40DF52" w14:textId="2EC7F30F" w:rsidR="00673CE6" w:rsidRPr="00E263F4" w:rsidRDefault="00673CE6" w:rsidP="00E263F4">
            <w:pPr>
              <w:spacing w:before="0" w:after="0" w:line="240" w:lineRule="auto"/>
              <w:jc w:val="center"/>
              <w:rPr>
                <w:color w:val="auto"/>
                <w:sz w:val="20"/>
                <w:szCs w:val="20"/>
              </w:rPr>
            </w:pPr>
            <w:r w:rsidRPr="00E263F4">
              <w:rPr>
                <w:color w:val="000000"/>
                <w:sz w:val="22"/>
                <w:szCs w:val="22"/>
              </w:rPr>
              <w:t>1.02</w:t>
            </w:r>
          </w:p>
        </w:tc>
        <w:tc>
          <w:tcPr>
            <w:tcW w:w="645" w:type="pct"/>
            <w:gridSpan w:val="2"/>
            <w:tcBorders>
              <w:top w:val="nil"/>
              <w:left w:val="nil"/>
              <w:bottom w:val="single" w:sz="4" w:space="0" w:color="auto"/>
              <w:right w:val="single" w:sz="4" w:space="0" w:color="auto"/>
            </w:tcBorders>
            <w:shd w:val="clear" w:color="auto" w:fill="auto"/>
            <w:noWrap/>
            <w:vAlign w:val="bottom"/>
          </w:tcPr>
          <w:p w14:paraId="3FC44234" w14:textId="47C452F3" w:rsidR="00673CE6" w:rsidRPr="00E263F4" w:rsidRDefault="00673CE6" w:rsidP="00E263F4">
            <w:pPr>
              <w:spacing w:before="0" w:after="0" w:line="240" w:lineRule="auto"/>
              <w:jc w:val="center"/>
              <w:rPr>
                <w:color w:val="auto"/>
                <w:sz w:val="20"/>
                <w:szCs w:val="20"/>
              </w:rPr>
            </w:pPr>
            <w:r w:rsidRPr="00E263F4">
              <w:rPr>
                <w:color w:val="000000"/>
                <w:sz w:val="22"/>
                <w:szCs w:val="22"/>
              </w:rPr>
              <w:t>0.71</w:t>
            </w:r>
          </w:p>
        </w:tc>
        <w:tc>
          <w:tcPr>
            <w:tcW w:w="646" w:type="pct"/>
            <w:gridSpan w:val="2"/>
            <w:tcBorders>
              <w:top w:val="nil"/>
              <w:left w:val="nil"/>
              <w:bottom w:val="single" w:sz="4" w:space="0" w:color="auto"/>
              <w:right w:val="single" w:sz="4" w:space="0" w:color="auto"/>
            </w:tcBorders>
            <w:shd w:val="clear" w:color="auto" w:fill="auto"/>
            <w:noWrap/>
            <w:vAlign w:val="bottom"/>
          </w:tcPr>
          <w:p w14:paraId="672C9091" w14:textId="51AF1F93" w:rsidR="00673CE6" w:rsidRPr="00E263F4" w:rsidRDefault="00673CE6" w:rsidP="00E263F4">
            <w:pPr>
              <w:spacing w:before="0" w:after="0" w:line="240" w:lineRule="auto"/>
              <w:jc w:val="center"/>
              <w:rPr>
                <w:color w:val="auto"/>
                <w:sz w:val="20"/>
                <w:szCs w:val="20"/>
              </w:rPr>
            </w:pPr>
            <w:r w:rsidRPr="00E263F4">
              <w:rPr>
                <w:color w:val="000000"/>
                <w:sz w:val="22"/>
                <w:szCs w:val="22"/>
              </w:rPr>
              <w:t>0.67</w:t>
            </w:r>
          </w:p>
        </w:tc>
        <w:tc>
          <w:tcPr>
            <w:tcW w:w="644" w:type="pct"/>
            <w:tcBorders>
              <w:top w:val="nil"/>
              <w:left w:val="nil"/>
              <w:bottom w:val="single" w:sz="4" w:space="0" w:color="auto"/>
              <w:right w:val="single" w:sz="4" w:space="0" w:color="auto"/>
            </w:tcBorders>
            <w:shd w:val="clear" w:color="auto" w:fill="auto"/>
            <w:noWrap/>
            <w:vAlign w:val="bottom"/>
          </w:tcPr>
          <w:p w14:paraId="33B2F60D" w14:textId="465B2870" w:rsidR="00673CE6" w:rsidRPr="00E263F4" w:rsidRDefault="00673CE6" w:rsidP="00E263F4">
            <w:pPr>
              <w:spacing w:before="0" w:after="0" w:line="240" w:lineRule="auto"/>
              <w:jc w:val="center"/>
              <w:rPr>
                <w:color w:val="auto"/>
                <w:sz w:val="20"/>
                <w:szCs w:val="20"/>
              </w:rPr>
            </w:pPr>
            <w:r w:rsidRPr="00E263F4">
              <w:rPr>
                <w:color w:val="000000"/>
                <w:sz w:val="22"/>
                <w:szCs w:val="22"/>
              </w:rPr>
              <w:t>0.69</w:t>
            </w:r>
          </w:p>
        </w:tc>
      </w:tr>
      <w:tr w:rsidR="00673CE6" w:rsidRPr="00E263F4" w14:paraId="7ED2D06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ED836EE" w14:textId="77777777" w:rsidR="00673CE6" w:rsidRPr="00E263F4" w:rsidRDefault="00673CE6" w:rsidP="00673CE6">
            <w:pPr>
              <w:spacing w:before="0" w:after="0" w:line="240" w:lineRule="auto"/>
              <w:rPr>
                <w:color w:val="auto"/>
                <w:sz w:val="20"/>
                <w:szCs w:val="20"/>
              </w:rPr>
            </w:pPr>
            <w:r w:rsidRPr="00E263F4">
              <w:rPr>
                <w:color w:val="auto"/>
                <w:sz w:val="20"/>
                <w:szCs w:val="20"/>
              </w:rPr>
              <w:t>12</w:t>
            </w:r>
          </w:p>
        </w:tc>
        <w:tc>
          <w:tcPr>
            <w:tcW w:w="603" w:type="pct"/>
            <w:tcBorders>
              <w:top w:val="nil"/>
              <w:left w:val="nil"/>
              <w:bottom w:val="single" w:sz="4" w:space="0" w:color="auto"/>
              <w:right w:val="single" w:sz="4" w:space="0" w:color="auto"/>
            </w:tcBorders>
            <w:shd w:val="clear" w:color="auto" w:fill="auto"/>
            <w:noWrap/>
            <w:vAlign w:val="bottom"/>
          </w:tcPr>
          <w:p w14:paraId="27C021B4" w14:textId="322B28F4" w:rsidR="00673CE6" w:rsidRPr="00E263F4" w:rsidRDefault="00673CE6" w:rsidP="00E263F4">
            <w:pPr>
              <w:spacing w:before="0" w:after="0" w:line="240" w:lineRule="auto"/>
              <w:jc w:val="center"/>
              <w:rPr>
                <w:color w:val="auto"/>
                <w:sz w:val="20"/>
                <w:szCs w:val="20"/>
              </w:rPr>
            </w:pPr>
            <w:r w:rsidRPr="00E263F4">
              <w:rPr>
                <w:color w:val="000000"/>
                <w:sz w:val="22"/>
                <w:szCs w:val="22"/>
              </w:rPr>
              <w:t>1.07</w:t>
            </w:r>
          </w:p>
        </w:tc>
        <w:tc>
          <w:tcPr>
            <w:tcW w:w="629" w:type="pct"/>
            <w:gridSpan w:val="2"/>
            <w:tcBorders>
              <w:top w:val="nil"/>
              <w:left w:val="nil"/>
              <w:bottom w:val="single" w:sz="4" w:space="0" w:color="auto"/>
              <w:right w:val="single" w:sz="4" w:space="0" w:color="auto"/>
            </w:tcBorders>
            <w:shd w:val="clear" w:color="auto" w:fill="auto"/>
            <w:noWrap/>
            <w:vAlign w:val="bottom"/>
          </w:tcPr>
          <w:p w14:paraId="10D9B6AF" w14:textId="3CCEF16E" w:rsidR="00673CE6" w:rsidRPr="00E263F4" w:rsidRDefault="00673CE6" w:rsidP="00E263F4">
            <w:pPr>
              <w:spacing w:before="0" w:after="0" w:line="240" w:lineRule="auto"/>
              <w:jc w:val="center"/>
              <w:rPr>
                <w:color w:val="auto"/>
                <w:sz w:val="20"/>
                <w:szCs w:val="20"/>
              </w:rPr>
            </w:pPr>
            <w:r w:rsidRPr="00E263F4">
              <w:rPr>
                <w:color w:val="000000"/>
                <w:sz w:val="22"/>
                <w:szCs w:val="22"/>
              </w:rPr>
              <w:t>1.12</w:t>
            </w:r>
          </w:p>
        </w:tc>
        <w:tc>
          <w:tcPr>
            <w:tcW w:w="631" w:type="pct"/>
            <w:gridSpan w:val="3"/>
            <w:tcBorders>
              <w:top w:val="nil"/>
              <w:left w:val="nil"/>
              <w:bottom w:val="single" w:sz="4" w:space="0" w:color="auto"/>
              <w:right w:val="single" w:sz="4" w:space="0" w:color="auto"/>
            </w:tcBorders>
            <w:shd w:val="clear" w:color="auto" w:fill="auto"/>
            <w:noWrap/>
            <w:vAlign w:val="bottom"/>
          </w:tcPr>
          <w:p w14:paraId="0B420536" w14:textId="6A10EC2A" w:rsidR="00673CE6" w:rsidRPr="00E263F4" w:rsidRDefault="00673CE6" w:rsidP="00E263F4">
            <w:pPr>
              <w:spacing w:before="0" w:after="0" w:line="240" w:lineRule="auto"/>
              <w:jc w:val="center"/>
              <w:rPr>
                <w:color w:val="auto"/>
                <w:sz w:val="20"/>
                <w:szCs w:val="20"/>
              </w:rPr>
            </w:pPr>
            <w:r w:rsidRPr="00E263F4">
              <w:rPr>
                <w:color w:val="000000"/>
                <w:sz w:val="22"/>
                <w:szCs w:val="22"/>
              </w:rPr>
              <w:t>1.09</w:t>
            </w:r>
          </w:p>
        </w:tc>
        <w:tc>
          <w:tcPr>
            <w:tcW w:w="645" w:type="pct"/>
            <w:gridSpan w:val="2"/>
            <w:tcBorders>
              <w:top w:val="nil"/>
              <w:left w:val="nil"/>
              <w:bottom w:val="single" w:sz="4" w:space="0" w:color="auto"/>
              <w:right w:val="single" w:sz="4" w:space="0" w:color="auto"/>
            </w:tcBorders>
            <w:shd w:val="clear" w:color="auto" w:fill="auto"/>
            <w:noWrap/>
            <w:vAlign w:val="bottom"/>
          </w:tcPr>
          <w:p w14:paraId="7ECE8D7A" w14:textId="2640F3FB" w:rsidR="00673CE6" w:rsidRPr="00E263F4" w:rsidRDefault="00673CE6" w:rsidP="00E263F4">
            <w:pPr>
              <w:spacing w:before="0" w:after="0" w:line="240" w:lineRule="auto"/>
              <w:jc w:val="center"/>
              <w:rPr>
                <w:color w:val="auto"/>
                <w:sz w:val="20"/>
                <w:szCs w:val="20"/>
              </w:rPr>
            </w:pPr>
            <w:r w:rsidRPr="00E263F4">
              <w:rPr>
                <w:color w:val="000000"/>
                <w:sz w:val="22"/>
                <w:szCs w:val="22"/>
              </w:rPr>
              <w:t>1.00</w:t>
            </w:r>
          </w:p>
        </w:tc>
        <w:tc>
          <w:tcPr>
            <w:tcW w:w="646" w:type="pct"/>
            <w:gridSpan w:val="2"/>
            <w:tcBorders>
              <w:top w:val="nil"/>
              <w:left w:val="nil"/>
              <w:bottom w:val="single" w:sz="4" w:space="0" w:color="auto"/>
              <w:right w:val="single" w:sz="4" w:space="0" w:color="auto"/>
            </w:tcBorders>
            <w:shd w:val="clear" w:color="auto" w:fill="auto"/>
            <w:noWrap/>
            <w:vAlign w:val="bottom"/>
          </w:tcPr>
          <w:p w14:paraId="55168F9C" w14:textId="24DCAD2A" w:rsidR="00673CE6" w:rsidRPr="00E263F4" w:rsidRDefault="00673CE6" w:rsidP="00E263F4">
            <w:pPr>
              <w:spacing w:before="0" w:after="0" w:line="240" w:lineRule="auto"/>
              <w:jc w:val="center"/>
              <w:rPr>
                <w:color w:val="auto"/>
                <w:sz w:val="20"/>
                <w:szCs w:val="20"/>
              </w:rPr>
            </w:pPr>
            <w:r w:rsidRPr="00E263F4">
              <w:rPr>
                <w:color w:val="000000"/>
                <w:sz w:val="22"/>
                <w:szCs w:val="22"/>
              </w:rPr>
              <w:t>0.89</w:t>
            </w:r>
          </w:p>
        </w:tc>
        <w:tc>
          <w:tcPr>
            <w:tcW w:w="644" w:type="pct"/>
            <w:tcBorders>
              <w:top w:val="nil"/>
              <w:left w:val="nil"/>
              <w:bottom w:val="single" w:sz="4" w:space="0" w:color="auto"/>
              <w:right w:val="single" w:sz="4" w:space="0" w:color="auto"/>
            </w:tcBorders>
            <w:shd w:val="clear" w:color="auto" w:fill="auto"/>
            <w:noWrap/>
            <w:vAlign w:val="bottom"/>
          </w:tcPr>
          <w:p w14:paraId="5D902B1D" w14:textId="40EBFAF3"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r>
      <w:tr w:rsidR="00673CE6" w:rsidRPr="00E263F4" w14:paraId="70B33360"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891C33A" w14:textId="77777777" w:rsidR="00673CE6" w:rsidRPr="00E263F4" w:rsidRDefault="00673CE6" w:rsidP="00673CE6">
            <w:pPr>
              <w:spacing w:before="0" w:after="0" w:line="240" w:lineRule="auto"/>
              <w:rPr>
                <w:color w:val="auto"/>
                <w:sz w:val="20"/>
                <w:szCs w:val="20"/>
              </w:rPr>
            </w:pPr>
            <w:r w:rsidRPr="00E263F4">
              <w:rPr>
                <w:color w:val="auto"/>
                <w:sz w:val="20"/>
                <w:szCs w:val="20"/>
              </w:rPr>
              <w:t>13</w:t>
            </w:r>
          </w:p>
        </w:tc>
        <w:tc>
          <w:tcPr>
            <w:tcW w:w="603" w:type="pct"/>
            <w:tcBorders>
              <w:top w:val="nil"/>
              <w:left w:val="nil"/>
              <w:bottom w:val="single" w:sz="4" w:space="0" w:color="auto"/>
              <w:right w:val="single" w:sz="4" w:space="0" w:color="auto"/>
            </w:tcBorders>
            <w:shd w:val="clear" w:color="auto" w:fill="auto"/>
            <w:noWrap/>
            <w:vAlign w:val="bottom"/>
          </w:tcPr>
          <w:p w14:paraId="0AFB70C0" w14:textId="38071C30" w:rsidR="00673CE6" w:rsidRPr="00E263F4" w:rsidRDefault="00673CE6" w:rsidP="00E263F4">
            <w:pPr>
              <w:spacing w:before="0" w:after="0" w:line="240" w:lineRule="auto"/>
              <w:jc w:val="center"/>
              <w:rPr>
                <w:color w:val="auto"/>
                <w:sz w:val="20"/>
                <w:szCs w:val="20"/>
              </w:rPr>
            </w:pPr>
            <w:r w:rsidRPr="00E263F4">
              <w:rPr>
                <w:color w:val="000000"/>
                <w:sz w:val="22"/>
                <w:szCs w:val="22"/>
              </w:rPr>
              <w:t>0.83</w:t>
            </w:r>
          </w:p>
        </w:tc>
        <w:tc>
          <w:tcPr>
            <w:tcW w:w="629" w:type="pct"/>
            <w:gridSpan w:val="2"/>
            <w:tcBorders>
              <w:top w:val="nil"/>
              <w:left w:val="nil"/>
              <w:bottom w:val="single" w:sz="4" w:space="0" w:color="auto"/>
              <w:right w:val="single" w:sz="4" w:space="0" w:color="auto"/>
            </w:tcBorders>
            <w:shd w:val="clear" w:color="auto" w:fill="auto"/>
            <w:noWrap/>
            <w:vAlign w:val="bottom"/>
          </w:tcPr>
          <w:p w14:paraId="6B211FC8" w14:textId="03D12419"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c>
          <w:tcPr>
            <w:tcW w:w="631" w:type="pct"/>
            <w:gridSpan w:val="3"/>
            <w:tcBorders>
              <w:top w:val="nil"/>
              <w:left w:val="nil"/>
              <w:bottom w:val="single" w:sz="4" w:space="0" w:color="auto"/>
              <w:right w:val="single" w:sz="4" w:space="0" w:color="auto"/>
            </w:tcBorders>
            <w:shd w:val="clear" w:color="auto" w:fill="auto"/>
            <w:noWrap/>
            <w:vAlign w:val="bottom"/>
          </w:tcPr>
          <w:p w14:paraId="70CD3809" w14:textId="09629193" w:rsidR="00673CE6" w:rsidRPr="00E263F4" w:rsidRDefault="00673CE6" w:rsidP="00E263F4">
            <w:pPr>
              <w:spacing w:before="0" w:after="0" w:line="240" w:lineRule="auto"/>
              <w:jc w:val="center"/>
              <w:rPr>
                <w:color w:val="auto"/>
                <w:sz w:val="20"/>
                <w:szCs w:val="20"/>
              </w:rPr>
            </w:pPr>
            <w:r w:rsidRPr="00E263F4">
              <w:rPr>
                <w:color w:val="000000"/>
                <w:sz w:val="22"/>
                <w:szCs w:val="22"/>
              </w:rPr>
              <w:t>0.94</w:t>
            </w:r>
          </w:p>
        </w:tc>
        <w:tc>
          <w:tcPr>
            <w:tcW w:w="645" w:type="pct"/>
            <w:gridSpan w:val="2"/>
            <w:tcBorders>
              <w:top w:val="nil"/>
              <w:left w:val="nil"/>
              <w:bottom w:val="single" w:sz="4" w:space="0" w:color="auto"/>
              <w:right w:val="single" w:sz="4" w:space="0" w:color="auto"/>
            </w:tcBorders>
            <w:shd w:val="clear" w:color="auto" w:fill="auto"/>
            <w:noWrap/>
            <w:vAlign w:val="bottom"/>
          </w:tcPr>
          <w:p w14:paraId="0BEB9F31" w14:textId="25777A9D" w:rsidR="00673CE6" w:rsidRPr="00E263F4" w:rsidRDefault="00673CE6" w:rsidP="00E263F4">
            <w:pPr>
              <w:spacing w:before="0" w:after="0" w:line="240" w:lineRule="auto"/>
              <w:jc w:val="center"/>
              <w:rPr>
                <w:color w:val="auto"/>
                <w:sz w:val="20"/>
                <w:szCs w:val="20"/>
              </w:rPr>
            </w:pPr>
            <w:r w:rsidRPr="00E263F4">
              <w:rPr>
                <w:color w:val="000000"/>
                <w:sz w:val="22"/>
                <w:szCs w:val="22"/>
              </w:rPr>
              <w:t>0.88</w:t>
            </w:r>
          </w:p>
        </w:tc>
        <w:tc>
          <w:tcPr>
            <w:tcW w:w="646" w:type="pct"/>
            <w:gridSpan w:val="2"/>
            <w:tcBorders>
              <w:top w:val="nil"/>
              <w:left w:val="nil"/>
              <w:bottom w:val="single" w:sz="4" w:space="0" w:color="auto"/>
              <w:right w:val="single" w:sz="4" w:space="0" w:color="auto"/>
            </w:tcBorders>
            <w:shd w:val="clear" w:color="auto" w:fill="auto"/>
            <w:noWrap/>
            <w:vAlign w:val="bottom"/>
          </w:tcPr>
          <w:p w14:paraId="6946E042" w14:textId="73A79413" w:rsidR="00673CE6" w:rsidRPr="00E263F4" w:rsidRDefault="00673CE6" w:rsidP="00E263F4">
            <w:pPr>
              <w:spacing w:before="0" w:after="0" w:line="240" w:lineRule="auto"/>
              <w:jc w:val="center"/>
              <w:rPr>
                <w:color w:val="auto"/>
                <w:sz w:val="20"/>
                <w:szCs w:val="20"/>
              </w:rPr>
            </w:pPr>
            <w:r w:rsidRPr="00E263F4">
              <w:rPr>
                <w:color w:val="000000"/>
                <w:sz w:val="22"/>
                <w:szCs w:val="22"/>
              </w:rPr>
              <w:t>0.84</w:t>
            </w:r>
          </w:p>
        </w:tc>
        <w:tc>
          <w:tcPr>
            <w:tcW w:w="644" w:type="pct"/>
            <w:tcBorders>
              <w:top w:val="nil"/>
              <w:left w:val="nil"/>
              <w:bottom w:val="single" w:sz="4" w:space="0" w:color="auto"/>
              <w:right w:val="single" w:sz="4" w:space="0" w:color="auto"/>
            </w:tcBorders>
            <w:shd w:val="clear" w:color="auto" w:fill="auto"/>
            <w:noWrap/>
            <w:vAlign w:val="bottom"/>
          </w:tcPr>
          <w:p w14:paraId="5F162C6D" w14:textId="7EE8A232" w:rsidR="00673CE6" w:rsidRPr="00E263F4" w:rsidRDefault="00673CE6" w:rsidP="00E263F4">
            <w:pPr>
              <w:spacing w:before="0" w:after="0" w:line="240" w:lineRule="auto"/>
              <w:jc w:val="center"/>
              <w:rPr>
                <w:color w:val="auto"/>
                <w:sz w:val="20"/>
                <w:szCs w:val="20"/>
              </w:rPr>
            </w:pPr>
            <w:r w:rsidRPr="00E263F4">
              <w:rPr>
                <w:color w:val="000000"/>
                <w:sz w:val="22"/>
                <w:szCs w:val="22"/>
              </w:rPr>
              <w:t>0.83</w:t>
            </w:r>
          </w:p>
        </w:tc>
      </w:tr>
      <w:tr w:rsidR="00673CE6" w:rsidRPr="00E263F4" w14:paraId="3F130CA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5C6EBA7" w14:textId="77777777" w:rsidR="00673CE6" w:rsidRPr="00E263F4" w:rsidRDefault="00673CE6" w:rsidP="00673CE6">
            <w:pPr>
              <w:spacing w:before="0" w:after="0" w:line="240" w:lineRule="auto"/>
              <w:rPr>
                <w:color w:val="auto"/>
                <w:sz w:val="20"/>
                <w:szCs w:val="20"/>
              </w:rPr>
            </w:pPr>
            <w:r w:rsidRPr="00E263F4">
              <w:rPr>
                <w:color w:val="auto"/>
                <w:sz w:val="20"/>
                <w:szCs w:val="20"/>
              </w:rPr>
              <w:t>14</w:t>
            </w:r>
          </w:p>
        </w:tc>
        <w:tc>
          <w:tcPr>
            <w:tcW w:w="603" w:type="pct"/>
            <w:tcBorders>
              <w:top w:val="nil"/>
              <w:left w:val="nil"/>
              <w:bottom w:val="single" w:sz="4" w:space="0" w:color="auto"/>
              <w:right w:val="single" w:sz="4" w:space="0" w:color="auto"/>
            </w:tcBorders>
            <w:shd w:val="clear" w:color="auto" w:fill="auto"/>
            <w:noWrap/>
            <w:vAlign w:val="bottom"/>
          </w:tcPr>
          <w:p w14:paraId="5B4B3038" w14:textId="3DA35DC3" w:rsidR="00673CE6" w:rsidRPr="00E263F4" w:rsidRDefault="00673CE6" w:rsidP="00E263F4">
            <w:pPr>
              <w:spacing w:before="0" w:after="0" w:line="240" w:lineRule="auto"/>
              <w:jc w:val="center"/>
              <w:rPr>
                <w:color w:val="auto"/>
                <w:sz w:val="20"/>
                <w:szCs w:val="20"/>
              </w:rPr>
            </w:pPr>
            <w:r w:rsidRPr="00E263F4">
              <w:rPr>
                <w:color w:val="000000"/>
                <w:sz w:val="22"/>
                <w:szCs w:val="22"/>
              </w:rPr>
              <w:t>1.09</w:t>
            </w:r>
          </w:p>
        </w:tc>
        <w:tc>
          <w:tcPr>
            <w:tcW w:w="629" w:type="pct"/>
            <w:gridSpan w:val="2"/>
            <w:tcBorders>
              <w:top w:val="nil"/>
              <w:left w:val="nil"/>
              <w:bottom w:val="single" w:sz="4" w:space="0" w:color="auto"/>
              <w:right w:val="single" w:sz="4" w:space="0" w:color="auto"/>
            </w:tcBorders>
            <w:shd w:val="clear" w:color="auto" w:fill="auto"/>
            <w:noWrap/>
            <w:vAlign w:val="bottom"/>
          </w:tcPr>
          <w:p w14:paraId="6E85CA47" w14:textId="3F50D696" w:rsidR="00673CE6" w:rsidRPr="00E263F4" w:rsidRDefault="00673CE6" w:rsidP="00E263F4">
            <w:pPr>
              <w:spacing w:before="0" w:after="0" w:line="240" w:lineRule="auto"/>
              <w:jc w:val="center"/>
              <w:rPr>
                <w:color w:val="auto"/>
                <w:sz w:val="20"/>
                <w:szCs w:val="20"/>
              </w:rPr>
            </w:pPr>
            <w:r w:rsidRPr="00E263F4">
              <w:rPr>
                <w:color w:val="000000"/>
                <w:sz w:val="22"/>
                <w:szCs w:val="22"/>
              </w:rPr>
              <w:t>1.17</w:t>
            </w:r>
          </w:p>
        </w:tc>
        <w:tc>
          <w:tcPr>
            <w:tcW w:w="631" w:type="pct"/>
            <w:gridSpan w:val="3"/>
            <w:tcBorders>
              <w:top w:val="nil"/>
              <w:left w:val="nil"/>
              <w:bottom w:val="single" w:sz="4" w:space="0" w:color="auto"/>
              <w:right w:val="single" w:sz="4" w:space="0" w:color="auto"/>
            </w:tcBorders>
            <w:shd w:val="clear" w:color="auto" w:fill="auto"/>
            <w:noWrap/>
            <w:vAlign w:val="bottom"/>
          </w:tcPr>
          <w:p w14:paraId="1DAE0240" w14:textId="1B44FCAE" w:rsidR="00673CE6" w:rsidRPr="00E263F4" w:rsidRDefault="00673CE6" w:rsidP="00E263F4">
            <w:pPr>
              <w:spacing w:before="0" w:after="0" w:line="240" w:lineRule="auto"/>
              <w:jc w:val="center"/>
              <w:rPr>
                <w:color w:val="auto"/>
                <w:sz w:val="20"/>
                <w:szCs w:val="20"/>
              </w:rPr>
            </w:pPr>
            <w:r w:rsidRPr="00E263F4">
              <w:rPr>
                <w:color w:val="000000"/>
                <w:sz w:val="22"/>
                <w:szCs w:val="22"/>
              </w:rPr>
              <w:t>1.29</w:t>
            </w:r>
          </w:p>
        </w:tc>
        <w:tc>
          <w:tcPr>
            <w:tcW w:w="645" w:type="pct"/>
            <w:gridSpan w:val="2"/>
            <w:tcBorders>
              <w:top w:val="nil"/>
              <w:left w:val="nil"/>
              <w:bottom w:val="single" w:sz="4" w:space="0" w:color="auto"/>
              <w:right w:val="single" w:sz="4" w:space="0" w:color="auto"/>
            </w:tcBorders>
            <w:shd w:val="clear" w:color="auto" w:fill="auto"/>
            <w:noWrap/>
            <w:vAlign w:val="bottom"/>
          </w:tcPr>
          <w:p w14:paraId="37991FDA" w14:textId="409E5DED" w:rsidR="00673CE6" w:rsidRPr="00E263F4" w:rsidRDefault="00673CE6" w:rsidP="00E263F4">
            <w:pPr>
              <w:spacing w:before="0" w:after="0" w:line="240" w:lineRule="auto"/>
              <w:jc w:val="center"/>
              <w:rPr>
                <w:color w:val="auto"/>
                <w:sz w:val="20"/>
                <w:szCs w:val="20"/>
              </w:rPr>
            </w:pPr>
            <w:r w:rsidRPr="00E263F4">
              <w:rPr>
                <w:color w:val="000000"/>
                <w:sz w:val="22"/>
                <w:szCs w:val="22"/>
              </w:rPr>
              <w:t>0.67</w:t>
            </w:r>
          </w:p>
        </w:tc>
        <w:tc>
          <w:tcPr>
            <w:tcW w:w="646" w:type="pct"/>
            <w:gridSpan w:val="2"/>
            <w:tcBorders>
              <w:top w:val="nil"/>
              <w:left w:val="nil"/>
              <w:bottom w:val="single" w:sz="4" w:space="0" w:color="auto"/>
              <w:right w:val="single" w:sz="4" w:space="0" w:color="auto"/>
            </w:tcBorders>
            <w:shd w:val="clear" w:color="auto" w:fill="auto"/>
            <w:noWrap/>
            <w:vAlign w:val="bottom"/>
          </w:tcPr>
          <w:p w14:paraId="0867B66E" w14:textId="16862837" w:rsidR="00673CE6" w:rsidRPr="00E263F4" w:rsidRDefault="00673CE6" w:rsidP="00E263F4">
            <w:pPr>
              <w:spacing w:before="0" w:after="0" w:line="240" w:lineRule="auto"/>
              <w:jc w:val="center"/>
              <w:rPr>
                <w:color w:val="auto"/>
                <w:sz w:val="20"/>
                <w:szCs w:val="20"/>
              </w:rPr>
            </w:pPr>
            <w:r w:rsidRPr="00E263F4">
              <w:rPr>
                <w:color w:val="000000"/>
                <w:sz w:val="22"/>
                <w:szCs w:val="22"/>
              </w:rPr>
              <w:t>0.52</w:t>
            </w:r>
          </w:p>
        </w:tc>
        <w:tc>
          <w:tcPr>
            <w:tcW w:w="644" w:type="pct"/>
            <w:tcBorders>
              <w:top w:val="nil"/>
              <w:left w:val="nil"/>
              <w:bottom w:val="single" w:sz="4" w:space="0" w:color="auto"/>
              <w:right w:val="single" w:sz="4" w:space="0" w:color="auto"/>
            </w:tcBorders>
            <w:shd w:val="clear" w:color="auto" w:fill="auto"/>
            <w:noWrap/>
            <w:vAlign w:val="bottom"/>
          </w:tcPr>
          <w:p w14:paraId="0DCE5156" w14:textId="33C174A9" w:rsidR="00673CE6" w:rsidRPr="00E263F4" w:rsidRDefault="00673CE6" w:rsidP="00E263F4">
            <w:pPr>
              <w:spacing w:before="0" w:after="0" w:line="240" w:lineRule="auto"/>
              <w:jc w:val="center"/>
              <w:rPr>
                <w:color w:val="auto"/>
                <w:sz w:val="20"/>
                <w:szCs w:val="20"/>
              </w:rPr>
            </w:pPr>
            <w:r w:rsidRPr="00E263F4">
              <w:rPr>
                <w:color w:val="000000"/>
                <w:sz w:val="22"/>
                <w:szCs w:val="22"/>
              </w:rPr>
              <w:t>0.59</w:t>
            </w:r>
          </w:p>
        </w:tc>
      </w:tr>
      <w:tr w:rsidR="00673CE6" w:rsidRPr="00E263F4" w14:paraId="789096F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8D88C20" w14:textId="77777777" w:rsidR="00673CE6" w:rsidRPr="00E263F4" w:rsidRDefault="00673CE6" w:rsidP="00673CE6">
            <w:pPr>
              <w:spacing w:before="0" w:after="0" w:line="240" w:lineRule="auto"/>
              <w:rPr>
                <w:color w:val="auto"/>
                <w:sz w:val="20"/>
                <w:szCs w:val="20"/>
              </w:rPr>
            </w:pPr>
            <w:r w:rsidRPr="00E263F4">
              <w:rPr>
                <w:color w:val="auto"/>
                <w:sz w:val="20"/>
                <w:szCs w:val="20"/>
              </w:rPr>
              <w:t>15</w:t>
            </w:r>
          </w:p>
        </w:tc>
        <w:tc>
          <w:tcPr>
            <w:tcW w:w="603" w:type="pct"/>
            <w:tcBorders>
              <w:top w:val="nil"/>
              <w:left w:val="nil"/>
              <w:bottom w:val="single" w:sz="4" w:space="0" w:color="auto"/>
              <w:right w:val="single" w:sz="4" w:space="0" w:color="auto"/>
            </w:tcBorders>
            <w:shd w:val="clear" w:color="auto" w:fill="auto"/>
            <w:noWrap/>
            <w:vAlign w:val="bottom"/>
          </w:tcPr>
          <w:p w14:paraId="06848956" w14:textId="1FA55774" w:rsidR="00673CE6" w:rsidRPr="00E263F4" w:rsidRDefault="00673CE6" w:rsidP="00E263F4">
            <w:pPr>
              <w:spacing w:before="0" w:after="0" w:line="240" w:lineRule="auto"/>
              <w:jc w:val="center"/>
              <w:rPr>
                <w:color w:val="auto"/>
                <w:sz w:val="20"/>
                <w:szCs w:val="20"/>
              </w:rPr>
            </w:pPr>
            <w:r w:rsidRPr="00E263F4">
              <w:rPr>
                <w:color w:val="000000"/>
                <w:sz w:val="22"/>
                <w:szCs w:val="22"/>
              </w:rPr>
              <w:t>0.92</w:t>
            </w:r>
          </w:p>
        </w:tc>
        <w:tc>
          <w:tcPr>
            <w:tcW w:w="629" w:type="pct"/>
            <w:gridSpan w:val="2"/>
            <w:tcBorders>
              <w:top w:val="nil"/>
              <w:left w:val="nil"/>
              <w:bottom w:val="single" w:sz="4" w:space="0" w:color="auto"/>
              <w:right w:val="single" w:sz="4" w:space="0" w:color="auto"/>
            </w:tcBorders>
            <w:shd w:val="clear" w:color="auto" w:fill="auto"/>
            <w:noWrap/>
            <w:vAlign w:val="bottom"/>
          </w:tcPr>
          <w:p w14:paraId="25955653" w14:textId="2518D1BD" w:rsidR="00673CE6" w:rsidRPr="00E263F4" w:rsidRDefault="00673CE6" w:rsidP="00E263F4">
            <w:pPr>
              <w:spacing w:before="0" w:after="0" w:line="240" w:lineRule="auto"/>
              <w:jc w:val="center"/>
              <w:rPr>
                <w:color w:val="auto"/>
                <w:sz w:val="20"/>
                <w:szCs w:val="20"/>
              </w:rPr>
            </w:pPr>
            <w:r w:rsidRPr="00E263F4">
              <w:rPr>
                <w:color w:val="000000"/>
                <w:sz w:val="22"/>
                <w:szCs w:val="22"/>
              </w:rPr>
              <w:t>1.04</w:t>
            </w:r>
          </w:p>
        </w:tc>
        <w:tc>
          <w:tcPr>
            <w:tcW w:w="631" w:type="pct"/>
            <w:gridSpan w:val="3"/>
            <w:tcBorders>
              <w:top w:val="nil"/>
              <w:left w:val="nil"/>
              <w:bottom w:val="single" w:sz="4" w:space="0" w:color="auto"/>
              <w:right w:val="single" w:sz="4" w:space="0" w:color="auto"/>
            </w:tcBorders>
            <w:shd w:val="clear" w:color="auto" w:fill="auto"/>
            <w:noWrap/>
            <w:vAlign w:val="bottom"/>
          </w:tcPr>
          <w:p w14:paraId="6D1D7CD3" w14:textId="4432F5E9" w:rsidR="00673CE6" w:rsidRPr="00E263F4" w:rsidRDefault="00673CE6" w:rsidP="00E263F4">
            <w:pPr>
              <w:spacing w:before="0" w:after="0" w:line="240" w:lineRule="auto"/>
              <w:jc w:val="center"/>
              <w:rPr>
                <w:color w:val="auto"/>
                <w:sz w:val="20"/>
                <w:szCs w:val="20"/>
              </w:rPr>
            </w:pPr>
            <w:r w:rsidRPr="00E263F4">
              <w:rPr>
                <w:color w:val="000000"/>
                <w:sz w:val="22"/>
                <w:szCs w:val="22"/>
              </w:rPr>
              <w:t>0.95</w:t>
            </w:r>
          </w:p>
        </w:tc>
        <w:tc>
          <w:tcPr>
            <w:tcW w:w="645" w:type="pct"/>
            <w:gridSpan w:val="2"/>
            <w:tcBorders>
              <w:top w:val="nil"/>
              <w:left w:val="nil"/>
              <w:bottom w:val="single" w:sz="4" w:space="0" w:color="auto"/>
              <w:right w:val="single" w:sz="4" w:space="0" w:color="auto"/>
            </w:tcBorders>
            <w:shd w:val="clear" w:color="auto" w:fill="auto"/>
            <w:noWrap/>
            <w:vAlign w:val="bottom"/>
          </w:tcPr>
          <w:p w14:paraId="1F4AA038" w14:textId="7210B299" w:rsidR="00673CE6" w:rsidRPr="00E263F4" w:rsidRDefault="00673CE6" w:rsidP="00E263F4">
            <w:pPr>
              <w:spacing w:before="0" w:after="0" w:line="240" w:lineRule="auto"/>
              <w:jc w:val="center"/>
              <w:rPr>
                <w:color w:val="auto"/>
                <w:sz w:val="20"/>
                <w:szCs w:val="20"/>
              </w:rPr>
            </w:pPr>
            <w:r w:rsidRPr="00E263F4">
              <w:rPr>
                <w:color w:val="000000"/>
                <w:sz w:val="22"/>
                <w:szCs w:val="22"/>
              </w:rPr>
              <w:t>1.00</w:t>
            </w:r>
          </w:p>
        </w:tc>
        <w:tc>
          <w:tcPr>
            <w:tcW w:w="646" w:type="pct"/>
            <w:gridSpan w:val="2"/>
            <w:tcBorders>
              <w:top w:val="nil"/>
              <w:left w:val="nil"/>
              <w:bottom w:val="single" w:sz="4" w:space="0" w:color="auto"/>
              <w:right w:val="single" w:sz="4" w:space="0" w:color="auto"/>
            </w:tcBorders>
            <w:shd w:val="clear" w:color="auto" w:fill="auto"/>
            <w:noWrap/>
            <w:vAlign w:val="bottom"/>
          </w:tcPr>
          <w:p w14:paraId="0CF137AC" w14:textId="05A09850" w:rsidR="00673CE6" w:rsidRPr="00E263F4" w:rsidRDefault="00673CE6" w:rsidP="00E263F4">
            <w:pPr>
              <w:spacing w:before="0" w:after="0" w:line="240" w:lineRule="auto"/>
              <w:jc w:val="center"/>
              <w:rPr>
                <w:color w:val="auto"/>
                <w:sz w:val="20"/>
                <w:szCs w:val="20"/>
              </w:rPr>
            </w:pPr>
            <w:r w:rsidRPr="00E263F4">
              <w:rPr>
                <w:color w:val="000000"/>
                <w:sz w:val="22"/>
                <w:szCs w:val="22"/>
              </w:rPr>
              <w:t>0.73</w:t>
            </w:r>
          </w:p>
        </w:tc>
        <w:tc>
          <w:tcPr>
            <w:tcW w:w="644" w:type="pct"/>
            <w:tcBorders>
              <w:top w:val="nil"/>
              <w:left w:val="nil"/>
              <w:bottom w:val="single" w:sz="4" w:space="0" w:color="auto"/>
              <w:right w:val="single" w:sz="4" w:space="0" w:color="auto"/>
            </w:tcBorders>
            <w:shd w:val="clear" w:color="auto" w:fill="auto"/>
            <w:noWrap/>
            <w:vAlign w:val="bottom"/>
          </w:tcPr>
          <w:p w14:paraId="1CF18539" w14:textId="7CFFEAEF" w:rsidR="00673CE6" w:rsidRPr="00E263F4" w:rsidRDefault="00673CE6" w:rsidP="00E263F4">
            <w:pPr>
              <w:spacing w:before="0" w:after="0" w:line="240" w:lineRule="auto"/>
              <w:jc w:val="center"/>
              <w:rPr>
                <w:color w:val="auto"/>
                <w:sz w:val="20"/>
                <w:szCs w:val="20"/>
              </w:rPr>
            </w:pPr>
            <w:r w:rsidRPr="00E263F4">
              <w:rPr>
                <w:color w:val="000000"/>
                <w:sz w:val="22"/>
                <w:szCs w:val="22"/>
              </w:rPr>
              <w:t>0.78</w:t>
            </w:r>
          </w:p>
        </w:tc>
      </w:tr>
      <w:tr w:rsidR="00673CE6" w:rsidRPr="00E263F4" w14:paraId="0E02544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DFCC24B" w14:textId="77777777" w:rsidR="00673CE6" w:rsidRPr="00E263F4" w:rsidRDefault="00673CE6" w:rsidP="00673CE6">
            <w:pPr>
              <w:spacing w:before="0" w:after="0" w:line="240" w:lineRule="auto"/>
              <w:rPr>
                <w:color w:val="auto"/>
                <w:sz w:val="20"/>
                <w:szCs w:val="20"/>
              </w:rPr>
            </w:pPr>
            <w:r w:rsidRPr="00E263F4">
              <w:rPr>
                <w:color w:val="auto"/>
                <w:sz w:val="20"/>
                <w:szCs w:val="20"/>
              </w:rPr>
              <w:t>16</w:t>
            </w:r>
          </w:p>
        </w:tc>
        <w:tc>
          <w:tcPr>
            <w:tcW w:w="603" w:type="pct"/>
            <w:tcBorders>
              <w:top w:val="nil"/>
              <w:left w:val="nil"/>
              <w:bottom w:val="single" w:sz="4" w:space="0" w:color="auto"/>
              <w:right w:val="single" w:sz="4" w:space="0" w:color="auto"/>
            </w:tcBorders>
            <w:shd w:val="clear" w:color="auto" w:fill="auto"/>
            <w:noWrap/>
            <w:vAlign w:val="bottom"/>
          </w:tcPr>
          <w:p w14:paraId="44B6B08E" w14:textId="00E4C3AC" w:rsidR="00673CE6" w:rsidRPr="00E263F4" w:rsidRDefault="00673CE6" w:rsidP="00E263F4">
            <w:pPr>
              <w:spacing w:before="0" w:after="0" w:line="240" w:lineRule="auto"/>
              <w:jc w:val="center"/>
              <w:rPr>
                <w:color w:val="auto"/>
                <w:sz w:val="20"/>
                <w:szCs w:val="20"/>
              </w:rPr>
            </w:pPr>
            <w:r w:rsidRPr="00E263F4">
              <w:rPr>
                <w:color w:val="000000"/>
                <w:sz w:val="22"/>
                <w:szCs w:val="22"/>
              </w:rPr>
              <w:t>1.07</w:t>
            </w:r>
          </w:p>
        </w:tc>
        <w:tc>
          <w:tcPr>
            <w:tcW w:w="629" w:type="pct"/>
            <w:gridSpan w:val="2"/>
            <w:tcBorders>
              <w:top w:val="nil"/>
              <w:left w:val="nil"/>
              <w:bottom w:val="single" w:sz="4" w:space="0" w:color="auto"/>
              <w:right w:val="single" w:sz="4" w:space="0" w:color="auto"/>
            </w:tcBorders>
            <w:shd w:val="clear" w:color="auto" w:fill="auto"/>
            <w:noWrap/>
            <w:vAlign w:val="bottom"/>
          </w:tcPr>
          <w:p w14:paraId="2FA01459" w14:textId="63333FE0" w:rsidR="00673CE6" w:rsidRPr="00E263F4" w:rsidRDefault="00673CE6" w:rsidP="00E263F4">
            <w:pPr>
              <w:spacing w:before="0" w:after="0" w:line="240" w:lineRule="auto"/>
              <w:jc w:val="center"/>
              <w:rPr>
                <w:color w:val="auto"/>
                <w:sz w:val="20"/>
                <w:szCs w:val="20"/>
              </w:rPr>
            </w:pPr>
            <w:r w:rsidRPr="00E263F4">
              <w:rPr>
                <w:color w:val="000000"/>
                <w:sz w:val="22"/>
                <w:szCs w:val="22"/>
              </w:rPr>
              <w:t>0.95</w:t>
            </w:r>
          </w:p>
        </w:tc>
        <w:tc>
          <w:tcPr>
            <w:tcW w:w="631" w:type="pct"/>
            <w:gridSpan w:val="3"/>
            <w:tcBorders>
              <w:top w:val="nil"/>
              <w:left w:val="nil"/>
              <w:bottom w:val="single" w:sz="4" w:space="0" w:color="auto"/>
              <w:right w:val="single" w:sz="4" w:space="0" w:color="auto"/>
            </w:tcBorders>
            <w:shd w:val="clear" w:color="auto" w:fill="auto"/>
            <w:noWrap/>
            <w:vAlign w:val="bottom"/>
          </w:tcPr>
          <w:p w14:paraId="2B396F3A" w14:textId="40265C87" w:rsidR="00673CE6" w:rsidRPr="00E263F4" w:rsidRDefault="00673CE6" w:rsidP="00E263F4">
            <w:pPr>
              <w:spacing w:before="0" w:after="0" w:line="240" w:lineRule="auto"/>
              <w:jc w:val="center"/>
              <w:rPr>
                <w:color w:val="auto"/>
                <w:sz w:val="20"/>
                <w:szCs w:val="20"/>
              </w:rPr>
            </w:pPr>
            <w:r w:rsidRPr="00E263F4">
              <w:rPr>
                <w:color w:val="000000"/>
                <w:sz w:val="22"/>
                <w:szCs w:val="22"/>
              </w:rPr>
              <w:t>1.04</w:t>
            </w:r>
          </w:p>
        </w:tc>
        <w:tc>
          <w:tcPr>
            <w:tcW w:w="645" w:type="pct"/>
            <w:gridSpan w:val="2"/>
            <w:tcBorders>
              <w:top w:val="nil"/>
              <w:left w:val="nil"/>
              <w:bottom w:val="single" w:sz="4" w:space="0" w:color="auto"/>
              <w:right w:val="single" w:sz="4" w:space="0" w:color="auto"/>
            </w:tcBorders>
            <w:shd w:val="clear" w:color="auto" w:fill="auto"/>
            <w:noWrap/>
            <w:vAlign w:val="bottom"/>
          </w:tcPr>
          <w:p w14:paraId="556CD631" w14:textId="1AB8786B" w:rsidR="00673CE6" w:rsidRPr="00E263F4" w:rsidRDefault="00673CE6" w:rsidP="00E263F4">
            <w:pPr>
              <w:spacing w:before="0" w:after="0" w:line="240" w:lineRule="auto"/>
              <w:jc w:val="center"/>
              <w:rPr>
                <w:color w:val="auto"/>
                <w:sz w:val="20"/>
                <w:szCs w:val="20"/>
              </w:rPr>
            </w:pPr>
            <w:r w:rsidRPr="00E263F4">
              <w:rPr>
                <w:color w:val="000000"/>
                <w:sz w:val="22"/>
                <w:szCs w:val="22"/>
              </w:rPr>
              <w:t>0.87</w:t>
            </w:r>
          </w:p>
        </w:tc>
        <w:tc>
          <w:tcPr>
            <w:tcW w:w="646" w:type="pct"/>
            <w:gridSpan w:val="2"/>
            <w:tcBorders>
              <w:top w:val="nil"/>
              <w:left w:val="nil"/>
              <w:bottom w:val="single" w:sz="4" w:space="0" w:color="auto"/>
              <w:right w:val="single" w:sz="4" w:space="0" w:color="auto"/>
            </w:tcBorders>
            <w:shd w:val="clear" w:color="auto" w:fill="auto"/>
            <w:noWrap/>
            <w:vAlign w:val="bottom"/>
          </w:tcPr>
          <w:p w14:paraId="4B61F2A3" w14:textId="31F05E63" w:rsidR="00673CE6" w:rsidRPr="00E263F4" w:rsidRDefault="00673CE6" w:rsidP="00E263F4">
            <w:pPr>
              <w:spacing w:before="0" w:after="0" w:line="240" w:lineRule="auto"/>
              <w:jc w:val="center"/>
              <w:rPr>
                <w:color w:val="auto"/>
                <w:sz w:val="20"/>
                <w:szCs w:val="20"/>
              </w:rPr>
            </w:pPr>
            <w:r w:rsidRPr="00E263F4">
              <w:rPr>
                <w:color w:val="000000"/>
                <w:sz w:val="22"/>
                <w:szCs w:val="22"/>
              </w:rPr>
              <w:t>0.75</w:t>
            </w:r>
          </w:p>
        </w:tc>
        <w:tc>
          <w:tcPr>
            <w:tcW w:w="644" w:type="pct"/>
            <w:tcBorders>
              <w:top w:val="nil"/>
              <w:left w:val="nil"/>
              <w:bottom w:val="single" w:sz="4" w:space="0" w:color="auto"/>
              <w:right w:val="single" w:sz="4" w:space="0" w:color="auto"/>
            </w:tcBorders>
            <w:shd w:val="clear" w:color="auto" w:fill="auto"/>
            <w:noWrap/>
            <w:vAlign w:val="bottom"/>
          </w:tcPr>
          <w:p w14:paraId="07A63315" w14:textId="6D61DAAC" w:rsidR="00673CE6" w:rsidRPr="00E263F4" w:rsidRDefault="00673CE6" w:rsidP="00E263F4">
            <w:pPr>
              <w:spacing w:before="0" w:after="0" w:line="240" w:lineRule="auto"/>
              <w:jc w:val="center"/>
              <w:rPr>
                <w:color w:val="auto"/>
                <w:sz w:val="20"/>
                <w:szCs w:val="20"/>
              </w:rPr>
            </w:pPr>
            <w:r w:rsidRPr="00E263F4">
              <w:rPr>
                <w:color w:val="000000"/>
                <w:sz w:val="22"/>
                <w:szCs w:val="22"/>
              </w:rPr>
              <w:t>0.65</w:t>
            </w:r>
          </w:p>
        </w:tc>
      </w:tr>
      <w:tr w:rsidR="00673CE6" w:rsidRPr="00E263F4" w14:paraId="63AD297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A6791EB" w14:textId="77777777" w:rsidR="00673CE6" w:rsidRPr="00E263F4" w:rsidRDefault="00673CE6" w:rsidP="00673CE6">
            <w:pPr>
              <w:spacing w:before="0" w:after="0" w:line="240" w:lineRule="auto"/>
              <w:rPr>
                <w:color w:val="auto"/>
                <w:sz w:val="20"/>
                <w:szCs w:val="20"/>
              </w:rPr>
            </w:pPr>
            <w:r w:rsidRPr="00E263F4">
              <w:rPr>
                <w:color w:val="auto"/>
                <w:sz w:val="20"/>
                <w:szCs w:val="20"/>
              </w:rPr>
              <w:t>17</w:t>
            </w:r>
          </w:p>
        </w:tc>
        <w:tc>
          <w:tcPr>
            <w:tcW w:w="603" w:type="pct"/>
            <w:tcBorders>
              <w:top w:val="nil"/>
              <w:left w:val="nil"/>
              <w:bottom w:val="single" w:sz="4" w:space="0" w:color="auto"/>
              <w:right w:val="single" w:sz="4" w:space="0" w:color="auto"/>
            </w:tcBorders>
            <w:shd w:val="clear" w:color="auto" w:fill="auto"/>
            <w:noWrap/>
            <w:vAlign w:val="bottom"/>
          </w:tcPr>
          <w:p w14:paraId="42559659" w14:textId="5E0EE91A" w:rsidR="00673CE6" w:rsidRPr="00E263F4" w:rsidRDefault="00673CE6" w:rsidP="00E263F4">
            <w:pPr>
              <w:spacing w:before="0" w:after="0" w:line="240" w:lineRule="auto"/>
              <w:jc w:val="center"/>
              <w:rPr>
                <w:color w:val="auto"/>
                <w:sz w:val="20"/>
                <w:szCs w:val="20"/>
              </w:rPr>
            </w:pPr>
            <w:r w:rsidRPr="00E263F4">
              <w:rPr>
                <w:color w:val="000000"/>
                <w:sz w:val="22"/>
                <w:szCs w:val="22"/>
              </w:rPr>
              <w:t>0.98</w:t>
            </w:r>
          </w:p>
        </w:tc>
        <w:tc>
          <w:tcPr>
            <w:tcW w:w="629" w:type="pct"/>
            <w:gridSpan w:val="2"/>
            <w:tcBorders>
              <w:top w:val="nil"/>
              <w:left w:val="nil"/>
              <w:bottom w:val="single" w:sz="4" w:space="0" w:color="auto"/>
              <w:right w:val="single" w:sz="4" w:space="0" w:color="auto"/>
            </w:tcBorders>
            <w:shd w:val="clear" w:color="auto" w:fill="auto"/>
            <w:noWrap/>
            <w:vAlign w:val="bottom"/>
          </w:tcPr>
          <w:p w14:paraId="6875B417" w14:textId="7D116495" w:rsidR="00673CE6" w:rsidRPr="00E263F4" w:rsidRDefault="00673CE6" w:rsidP="00E263F4">
            <w:pPr>
              <w:spacing w:before="0" w:after="0" w:line="240" w:lineRule="auto"/>
              <w:jc w:val="center"/>
              <w:rPr>
                <w:color w:val="auto"/>
                <w:sz w:val="20"/>
                <w:szCs w:val="20"/>
              </w:rPr>
            </w:pPr>
            <w:r w:rsidRPr="00E263F4">
              <w:rPr>
                <w:color w:val="000000"/>
                <w:sz w:val="22"/>
                <w:szCs w:val="22"/>
              </w:rPr>
              <w:t>1.13</w:t>
            </w:r>
          </w:p>
        </w:tc>
        <w:tc>
          <w:tcPr>
            <w:tcW w:w="631" w:type="pct"/>
            <w:gridSpan w:val="3"/>
            <w:tcBorders>
              <w:top w:val="nil"/>
              <w:left w:val="nil"/>
              <w:bottom w:val="single" w:sz="4" w:space="0" w:color="auto"/>
              <w:right w:val="single" w:sz="4" w:space="0" w:color="auto"/>
            </w:tcBorders>
            <w:shd w:val="clear" w:color="auto" w:fill="auto"/>
            <w:noWrap/>
            <w:vAlign w:val="bottom"/>
          </w:tcPr>
          <w:p w14:paraId="068AB571" w14:textId="1F4C95AD" w:rsidR="00673CE6" w:rsidRPr="00E263F4" w:rsidRDefault="00673CE6" w:rsidP="00E263F4">
            <w:pPr>
              <w:spacing w:before="0" w:after="0" w:line="240" w:lineRule="auto"/>
              <w:jc w:val="center"/>
              <w:rPr>
                <w:color w:val="auto"/>
                <w:sz w:val="20"/>
                <w:szCs w:val="20"/>
              </w:rPr>
            </w:pPr>
            <w:r w:rsidRPr="00E263F4">
              <w:rPr>
                <w:color w:val="000000"/>
                <w:sz w:val="22"/>
                <w:szCs w:val="22"/>
              </w:rPr>
              <w:t>0.79</w:t>
            </w:r>
          </w:p>
        </w:tc>
        <w:tc>
          <w:tcPr>
            <w:tcW w:w="645" w:type="pct"/>
            <w:gridSpan w:val="2"/>
            <w:tcBorders>
              <w:top w:val="nil"/>
              <w:left w:val="nil"/>
              <w:bottom w:val="single" w:sz="4" w:space="0" w:color="auto"/>
              <w:right w:val="single" w:sz="4" w:space="0" w:color="auto"/>
            </w:tcBorders>
            <w:shd w:val="clear" w:color="auto" w:fill="auto"/>
            <w:noWrap/>
            <w:vAlign w:val="bottom"/>
          </w:tcPr>
          <w:p w14:paraId="125F76C9" w14:textId="5816D6E7" w:rsidR="00673CE6" w:rsidRPr="00E263F4" w:rsidRDefault="00673CE6" w:rsidP="00E263F4">
            <w:pPr>
              <w:spacing w:before="0" w:after="0" w:line="240" w:lineRule="auto"/>
              <w:jc w:val="center"/>
              <w:rPr>
                <w:color w:val="auto"/>
                <w:sz w:val="20"/>
                <w:szCs w:val="20"/>
              </w:rPr>
            </w:pPr>
            <w:r w:rsidRPr="00E263F4">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735CC27A" w14:textId="7F3F3993" w:rsidR="00673CE6" w:rsidRPr="00E263F4" w:rsidRDefault="00673CE6" w:rsidP="00E263F4">
            <w:pPr>
              <w:spacing w:before="0" w:after="0" w:line="240" w:lineRule="auto"/>
              <w:jc w:val="center"/>
              <w:rPr>
                <w:color w:val="auto"/>
                <w:sz w:val="20"/>
                <w:szCs w:val="20"/>
              </w:rPr>
            </w:pPr>
            <w:r w:rsidRPr="00E263F4">
              <w:rPr>
                <w:color w:val="000000"/>
                <w:sz w:val="22"/>
                <w:szCs w:val="22"/>
              </w:rPr>
              <w:t>0.87</w:t>
            </w:r>
          </w:p>
        </w:tc>
        <w:tc>
          <w:tcPr>
            <w:tcW w:w="644" w:type="pct"/>
            <w:tcBorders>
              <w:top w:val="nil"/>
              <w:left w:val="nil"/>
              <w:bottom w:val="single" w:sz="4" w:space="0" w:color="auto"/>
              <w:right w:val="single" w:sz="4" w:space="0" w:color="auto"/>
            </w:tcBorders>
            <w:shd w:val="clear" w:color="auto" w:fill="auto"/>
            <w:noWrap/>
            <w:vAlign w:val="bottom"/>
          </w:tcPr>
          <w:p w14:paraId="489DAAC5" w14:textId="3790BE8E" w:rsidR="00673CE6" w:rsidRPr="00E263F4" w:rsidRDefault="00673CE6" w:rsidP="00E263F4">
            <w:pPr>
              <w:spacing w:before="0" w:after="0" w:line="240" w:lineRule="auto"/>
              <w:jc w:val="center"/>
              <w:rPr>
                <w:color w:val="auto"/>
                <w:sz w:val="20"/>
                <w:szCs w:val="20"/>
              </w:rPr>
            </w:pPr>
            <w:r w:rsidRPr="00E263F4">
              <w:rPr>
                <w:color w:val="000000"/>
                <w:sz w:val="22"/>
                <w:szCs w:val="22"/>
              </w:rPr>
              <w:t>0.90</w:t>
            </w:r>
          </w:p>
        </w:tc>
      </w:tr>
      <w:tr w:rsidR="00673CE6" w:rsidRPr="00E263F4" w14:paraId="2E7858D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51DD67D" w14:textId="77777777" w:rsidR="00673CE6" w:rsidRPr="00E263F4" w:rsidRDefault="00673CE6" w:rsidP="00673CE6">
            <w:pPr>
              <w:spacing w:before="0" w:after="0" w:line="240" w:lineRule="auto"/>
              <w:rPr>
                <w:b/>
                <w:bCs/>
                <w:color w:val="auto"/>
                <w:sz w:val="20"/>
                <w:szCs w:val="20"/>
              </w:rPr>
            </w:pPr>
            <w:r w:rsidRPr="00E263F4">
              <w:rPr>
                <w:b/>
                <w:bCs/>
                <w:color w:val="auto"/>
                <w:sz w:val="20"/>
                <w:szCs w:val="20"/>
              </w:rPr>
              <w:t xml:space="preserve">Grouped Mean </w:t>
            </w:r>
          </w:p>
        </w:tc>
        <w:tc>
          <w:tcPr>
            <w:tcW w:w="603" w:type="pct"/>
            <w:tcBorders>
              <w:top w:val="nil"/>
              <w:left w:val="nil"/>
              <w:bottom w:val="single" w:sz="4" w:space="0" w:color="auto"/>
              <w:right w:val="single" w:sz="4" w:space="0" w:color="auto"/>
            </w:tcBorders>
            <w:shd w:val="clear" w:color="auto" w:fill="auto"/>
            <w:noWrap/>
            <w:vAlign w:val="bottom"/>
          </w:tcPr>
          <w:p w14:paraId="64BA3BB8" w14:textId="46EB14B1"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0.95</w:t>
            </w:r>
          </w:p>
        </w:tc>
        <w:tc>
          <w:tcPr>
            <w:tcW w:w="629" w:type="pct"/>
            <w:gridSpan w:val="2"/>
            <w:tcBorders>
              <w:top w:val="nil"/>
              <w:left w:val="nil"/>
              <w:bottom w:val="single" w:sz="4" w:space="0" w:color="auto"/>
              <w:right w:val="single" w:sz="4" w:space="0" w:color="auto"/>
            </w:tcBorders>
            <w:shd w:val="clear" w:color="auto" w:fill="auto"/>
            <w:noWrap/>
            <w:vAlign w:val="bottom"/>
          </w:tcPr>
          <w:p w14:paraId="5791F887" w14:textId="4385B29A"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0.99</w:t>
            </w:r>
          </w:p>
        </w:tc>
        <w:tc>
          <w:tcPr>
            <w:tcW w:w="631" w:type="pct"/>
            <w:gridSpan w:val="3"/>
            <w:tcBorders>
              <w:top w:val="nil"/>
              <w:left w:val="nil"/>
              <w:bottom w:val="single" w:sz="4" w:space="0" w:color="auto"/>
              <w:right w:val="single" w:sz="4" w:space="0" w:color="auto"/>
            </w:tcBorders>
            <w:shd w:val="clear" w:color="auto" w:fill="auto"/>
            <w:noWrap/>
            <w:vAlign w:val="bottom"/>
          </w:tcPr>
          <w:p w14:paraId="15F84875" w14:textId="7B2191C9"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1.00</w:t>
            </w:r>
          </w:p>
        </w:tc>
        <w:tc>
          <w:tcPr>
            <w:tcW w:w="645" w:type="pct"/>
            <w:gridSpan w:val="2"/>
            <w:tcBorders>
              <w:top w:val="nil"/>
              <w:left w:val="nil"/>
              <w:bottom w:val="single" w:sz="4" w:space="0" w:color="auto"/>
              <w:right w:val="single" w:sz="4" w:space="0" w:color="auto"/>
            </w:tcBorders>
            <w:shd w:val="clear" w:color="auto" w:fill="auto"/>
            <w:noWrap/>
            <w:vAlign w:val="bottom"/>
          </w:tcPr>
          <w:p w14:paraId="71007C2E" w14:textId="51E2D609"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0.90</w:t>
            </w:r>
          </w:p>
        </w:tc>
        <w:tc>
          <w:tcPr>
            <w:tcW w:w="646" w:type="pct"/>
            <w:gridSpan w:val="2"/>
            <w:tcBorders>
              <w:top w:val="nil"/>
              <w:left w:val="nil"/>
              <w:bottom w:val="single" w:sz="4" w:space="0" w:color="auto"/>
              <w:right w:val="single" w:sz="4" w:space="0" w:color="auto"/>
            </w:tcBorders>
            <w:shd w:val="clear" w:color="auto" w:fill="auto"/>
            <w:noWrap/>
            <w:vAlign w:val="bottom"/>
          </w:tcPr>
          <w:p w14:paraId="3AA8DC15" w14:textId="063A0797"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0.82</w:t>
            </w:r>
          </w:p>
        </w:tc>
        <w:tc>
          <w:tcPr>
            <w:tcW w:w="644" w:type="pct"/>
            <w:tcBorders>
              <w:top w:val="nil"/>
              <w:left w:val="nil"/>
              <w:bottom w:val="single" w:sz="4" w:space="0" w:color="auto"/>
              <w:right w:val="single" w:sz="4" w:space="0" w:color="auto"/>
            </w:tcBorders>
            <w:shd w:val="clear" w:color="auto" w:fill="auto"/>
            <w:noWrap/>
            <w:vAlign w:val="bottom"/>
          </w:tcPr>
          <w:p w14:paraId="7B0FF6B4" w14:textId="7B41EA0B"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0.80</w:t>
            </w:r>
          </w:p>
        </w:tc>
      </w:tr>
      <w:tr w:rsidR="00673CE6" w:rsidRPr="00E263F4" w14:paraId="19EBC77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9F611B1" w14:textId="77777777" w:rsidR="00673CE6" w:rsidRPr="00E263F4" w:rsidRDefault="00673CE6" w:rsidP="00673CE6">
            <w:pPr>
              <w:spacing w:before="0" w:after="0" w:line="240" w:lineRule="auto"/>
              <w:rPr>
                <w:b/>
                <w:bCs/>
                <w:color w:val="auto"/>
                <w:sz w:val="20"/>
                <w:szCs w:val="20"/>
              </w:rPr>
            </w:pPr>
            <w:r w:rsidRPr="00E263F4">
              <w:rPr>
                <w:b/>
                <w:bCs/>
                <w:color w:val="auto"/>
                <w:sz w:val="20"/>
                <w:szCs w:val="20"/>
              </w:rPr>
              <w:t>SD</w:t>
            </w:r>
          </w:p>
        </w:tc>
        <w:tc>
          <w:tcPr>
            <w:tcW w:w="603" w:type="pct"/>
            <w:tcBorders>
              <w:top w:val="nil"/>
              <w:left w:val="nil"/>
              <w:bottom w:val="single" w:sz="4" w:space="0" w:color="auto"/>
              <w:right w:val="single" w:sz="4" w:space="0" w:color="auto"/>
            </w:tcBorders>
            <w:shd w:val="clear" w:color="auto" w:fill="auto"/>
            <w:noWrap/>
            <w:vAlign w:val="bottom"/>
          </w:tcPr>
          <w:p w14:paraId="5011935C" w14:textId="2ABC9F0F"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0.09</w:t>
            </w:r>
          </w:p>
        </w:tc>
        <w:tc>
          <w:tcPr>
            <w:tcW w:w="629" w:type="pct"/>
            <w:gridSpan w:val="2"/>
            <w:tcBorders>
              <w:top w:val="nil"/>
              <w:left w:val="nil"/>
              <w:bottom w:val="single" w:sz="4" w:space="0" w:color="auto"/>
              <w:right w:val="single" w:sz="4" w:space="0" w:color="auto"/>
            </w:tcBorders>
            <w:shd w:val="clear" w:color="auto" w:fill="auto"/>
            <w:noWrap/>
            <w:vAlign w:val="bottom"/>
          </w:tcPr>
          <w:p w14:paraId="4D4F0504" w14:textId="212ECE0E"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0.09</w:t>
            </w:r>
          </w:p>
        </w:tc>
        <w:tc>
          <w:tcPr>
            <w:tcW w:w="631" w:type="pct"/>
            <w:gridSpan w:val="3"/>
            <w:tcBorders>
              <w:top w:val="nil"/>
              <w:left w:val="nil"/>
              <w:bottom w:val="single" w:sz="4" w:space="0" w:color="auto"/>
              <w:right w:val="single" w:sz="4" w:space="0" w:color="auto"/>
            </w:tcBorders>
            <w:shd w:val="clear" w:color="auto" w:fill="auto"/>
            <w:noWrap/>
            <w:vAlign w:val="bottom"/>
          </w:tcPr>
          <w:p w14:paraId="6B804710" w14:textId="1BA3AD21"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0.13</w:t>
            </w:r>
          </w:p>
        </w:tc>
        <w:tc>
          <w:tcPr>
            <w:tcW w:w="645" w:type="pct"/>
            <w:gridSpan w:val="2"/>
            <w:tcBorders>
              <w:top w:val="nil"/>
              <w:left w:val="nil"/>
              <w:bottom w:val="single" w:sz="4" w:space="0" w:color="auto"/>
              <w:right w:val="single" w:sz="4" w:space="0" w:color="auto"/>
            </w:tcBorders>
            <w:shd w:val="clear" w:color="auto" w:fill="auto"/>
            <w:noWrap/>
            <w:vAlign w:val="bottom"/>
          </w:tcPr>
          <w:p w14:paraId="33331E22" w14:textId="71358DBF"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0.13</w:t>
            </w:r>
          </w:p>
        </w:tc>
        <w:tc>
          <w:tcPr>
            <w:tcW w:w="646" w:type="pct"/>
            <w:gridSpan w:val="2"/>
            <w:tcBorders>
              <w:top w:val="nil"/>
              <w:left w:val="nil"/>
              <w:bottom w:val="single" w:sz="4" w:space="0" w:color="auto"/>
              <w:right w:val="single" w:sz="4" w:space="0" w:color="auto"/>
            </w:tcBorders>
            <w:shd w:val="clear" w:color="auto" w:fill="auto"/>
            <w:noWrap/>
            <w:vAlign w:val="bottom"/>
          </w:tcPr>
          <w:p w14:paraId="4B17D8CA" w14:textId="2E8BD285"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0.15</w:t>
            </w:r>
          </w:p>
        </w:tc>
        <w:tc>
          <w:tcPr>
            <w:tcW w:w="644" w:type="pct"/>
            <w:tcBorders>
              <w:top w:val="nil"/>
              <w:left w:val="nil"/>
              <w:bottom w:val="single" w:sz="4" w:space="0" w:color="auto"/>
              <w:right w:val="single" w:sz="4" w:space="0" w:color="auto"/>
            </w:tcBorders>
            <w:shd w:val="clear" w:color="auto" w:fill="auto"/>
            <w:noWrap/>
            <w:vAlign w:val="bottom"/>
          </w:tcPr>
          <w:p w14:paraId="6CE4A070" w14:textId="45181527" w:rsidR="00673CE6" w:rsidRPr="00E263F4" w:rsidRDefault="00673CE6" w:rsidP="00E263F4">
            <w:pPr>
              <w:spacing w:before="0" w:after="0" w:line="240" w:lineRule="auto"/>
              <w:jc w:val="center"/>
              <w:rPr>
                <w:b/>
                <w:bCs/>
                <w:color w:val="auto"/>
                <w:sz w:val="20"/>
                <w:szCs w:val="20"/>
              </w:rPr>
            </w:pPr>
            <w:r w:rsidRPr="00E263F4">
              <w:rPr>
                <w:b/>
                <w:bCs/>
                <w:color w:val="000000"/>
                <w:sz w:val="22"/>
                <w:szCs w:val="22"/>
              </w:rPr>
              <w:t>0.15</w:t>
            </w:r>
          </w:p>
        </w:tc>
      </w:tr>
      <w:tr w:rsidR="00D0688A" w:rsidRPr="00E263F4" w14:paraId="72712086" w14:textId="77777777" w:rsidTr="00E263F4">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5503E42" w14:textId="77777777" w:rsidR="00D0688A" w:rsidRPr="00E263F4" w:rsidRDefault="00D0688A" w:rsidP="00E263F4">
            <w:pPr>
              <w:spacing w:before="0" w:after="0" w:line="240" w:lineRule="auto"/>
              <w:jc w:val="left"/>
              <w:rPr>
                <w:iCs/>
                <w:color w:val="auto"/>
                <w:sz w:val="20"/>
                <w:szCs w:val="20"/>
              </w:rPr>
            </w:pPr>
            <w:r w:rsidRPr="00E263F4">
              <w:rPr>
                <w:iCs/>
                <w:color w:val="auto"/>
                <w:sz w:val="20"/>
                <w:szCs w:val="20"/>
              </w:rPr>
              <w:t>Older (60-79 years old)</w:t>
            </w:r>
          </w:p>
        </w:tc>
      </w:tr>
      <w:tr w:rsidR="00D0688A" w:rsidRPr="00E263F4" w14:paraId="3F834F63" w14:textId="77777777" w:rsidTr="00E263F4">
        <w:trPr>
          <w:trHeight w:val="20"/>
        </w:trPr>
        <w:tc>
          <w:tcPr>
            <w:tcW w:w="1202" w:type="pct"/>
            <w:tcBorders>
              <w:top w:val="nil"/>
              <w:left w:val="single" w:sz="4" w:space="0" w:color="auto"/>
              <w:bottom w:val="single" w:sz="4" w:space="0" w:color="auto"/>
              <w:right w:val="single" w:sz="4" w:space="0" w:color="auto"/>
              <w:tl2br w:val="single" w:sz="4" w:space="0" w:color="auto"/>
            </w:tcBorders>
            <w:shd w:val="clear" w:color="auto" w:fill="auto"/>
            <w:hideMark/>
          </w:tcPr>
          <w:p w14:paraId="78F99782" w14:textId="77777777" w:rsidR="00D0688A" w:rsidRPr="00E263F4" w:rsidRDefault="00D0688A" w:rsidP="00D0688A">
            <w:pPr>
              <w:spacing w:before="0" w:after="0" w:line="240" w:lineRule="auto"/>
              <w:jc w:val="right"/>
              <w:rPr>
                <w:color w:val="auto"/>
                <w:sz w:val="20"/>
                <w:szCs w:val="20"/>
              </w:rPr>
            </w:pPr>
            <w:r w:rsidRPr="00E263F4">
              <w:rPr>
                <w:color w:val="auto"/>
                <w:sz w:val="20"/>
                <w:szCs w:val="20"/>
              </w:rPr>
              <w:t>Target amplitude</w:t>
            </w:r>
          </w:p>
          <w:p w14:paraId="1A36468C" w14:textId="77777777" w:rsidR="00D0688A" w:rsidRPr="00E263F4" w:rsidRDefault="00D0688A" w:rsidP="00D0688A">
            <w:pPr>
              <w:spacing w:before="0" w:after="0" w:line="240" w:lineRule="auto"/>
              <w:rPr>
                <w:color w:val="auto"/>
                <w:sz w:val="20"/>
                <w:szCs w:val="20"/>
              </w:rPr>
            </w:pPr>
          </w:p>
          <w:p w14:paraId="2F3D2720" w14:textId="77777777" w:rsidR="00D0688A" w:rsidRPr="00E263F4" w:rsidRDefault="00D0688A" w:rsidP="00D0688A">
            <w:pPr>
              <w:spacing w:before="0" w:after="0" w:line="240" w:lineRule="auto"/>
              <w:rPr>
                <w:color w:val="auto"/>
                <w:sz w:val="20"/>
                <w:szCs w:val="20"/>
              </w:rPr>
            </w:pPr>
            <w:r w:rsidRPr="00E263F4">
              <w:rPr>
                <w:color w:val="auto"/>
                <w:sz w:val="20"/>
                <w:szCs w:val="20"/>
              </w:rPr>
              <w:t>Participant ID</w:t>
            </w:r>
          </w:p>
        </w:tc>
        <w:tc>
          <w:tcPr>
            <w:tcW w:w="603" w:type="pct"/>
            <w:tcBorders>
              <w:top w:val="nil"/>
              <w:left w:val="nil"/>
              <w:bottom w:val="single" w:sz="4" w:space="0" w:color="auto"/>
              <w:right w:val="single" w:sz="4" w:space="0" w:color="auto"/>
            </w:tcBorders>
            <w:shd w:val="clear" w:color="auto" w:fill="auto"/>
            <w:noWrap/>
            <w:hideMark/>
          </w:tcPr>
          <w:p w14:paraId="5812CE4A" w14:textId="0698281A"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c>
          <w:tcPr>
            <w:tcW w:w="629" w:type="pct"/>
            <w:gridSpan w:val="2"/>
            <w:tcBorders>
              <w:top w:val="nil"/>
              <w:left w:val="nil"/>
              <w:bottom w:val="single" w:sz="4" w:space="0" w:color="auto"/>
              <w:right w:val="single" w:sz="4" w:space="0" w:color="auto"/>
            </w:tcBorders>
            <w:shd w:val="clear" w:color="auto" w:fill="auto"/>
            <w:noWrap/>
            <w:hideMark/>
          </w:tcPr>
          <w:p w14:paraId="6480DAA7" w14:textId="443C5315"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31" w:type="pct"/>
            <w:gridSpan w:val="3"/>
            <w:tcBorders>
              <w:top w:val="nil"/>
              <w:left w:val="nil"/>
              <w:bottom w:val="single" w:sz="4" w:space="0" w:color="auto"/>
              <w:right w:val="single" w:sz="4" w:space="0" w:color="auto"/>
            </w:tcBorders>
            <w:shd w:val="clear" w:color="auto" w:fill="auto"/>
            <w:noWrap/>
            <w:hideMark/>
          </w:tcPr>
          <w:p w14:paraId="3E51167B" w14:textId="5C15DC9D"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45" w:type="pct"/>
            <w:gridSpan w:val="2"/>
            <w:tcBorders>
              <w:top w:val="nil"/>
              <w:left w:val="nil"/>
              <w:bottom w:val="single" w:sz="4" w:space="0" w:color="auto"/>
              <w:right w:val="single" w:sz="4" w:space="0" w:color="auto"/>
            </w:tcBorders>
            <w:shd w:val="clear" w:color="auto" w:fill="auto"/>
            <w:noWrap/>
            <w:hideMark/>
          </w:tcPr>
          <w:p w14:paraId="47D8300B" w14:textId="7545FBFF" w:rsidR="00D0688A" w:rsidRPr="00E263F4" w:rsidRDefault="00D0688A" w:rsidP="00E263F4">
            <w:pPr>
              <w:spacing w:before="0" w:after="0" w:line="240" w:lineRule="auto"/>
              <w:jc w:val="center"/>
              <w:rPr>
                <w:color w:val="auto"/>
                <w:sz w:val="20"/>
                <w:szCs w:val="20"/>
              </w:rPr>
            </w:pPr>
            <w:r w:rsidRPr="00E263F4">
              <w:rPr>
                <w:color w:val="auto"/>
                <w:sz w:val="20"/>
                <w:szCs w:val="20"/>
              </w:rPr>
              <w:t>4°</w:t>
            </w:r>
          </w:p>
        </w:tc>
        <w:tc>
          <w:tcPr>
            <w:tcW w:w="646" w:type="pct"/>
            <w:gridSpan w:val="2"/>
            <w:tcBorders>
              <w:top w:val="nil"/>
              <w:left w:val="nil"/>
              <w:bottom w:val="single" w:sz="4" w:space="0" w:color="auto"/>
              <w:right w:val="single" w:sz="4" w:space="0" w:color="auto"/>
            </w:tcBorders>
            <w:shd w:val="clear" w:color="auto" w:fill="auto"/>
            <w:noWrap/>
            <w:hideMark/>
          </w:tcPr>
          <w:p w14:paraId="4BB7FB26" w14:textId="1957A2ED" w:rsidR="00D0688A" w:rsidRPr="00E263F4" w:rsidRDefault="00D0688A" w:rsidP="00E263F4">
            <w:pPr>
              <w:spacing w:before="0" w:after="0" w:line="240" w:lineRule="auto"/>
              <w:jc w:val="center"/>
              <w:rPr>
                <w:color w:val="auto"/>
                <w:sz w:val="20"/>
                <w:szCs w:val="20"/>
              </w:rPr>
            </w:pPr>
            <w:r w:rsidRPr="00E263F4">
              <w:rPr>
                <w:color w:val="auto"/>
                <w:sz w:val="20"/>
                <w:szCs w:val="20"/>
              </w:rPr>
              <w:t>6°</w:t>
            </w:r>
          </w:p>
        </w:tc>
        <w:tc>
          <w:tcPr>
            <w:tcW w:w="644" w:type="pct"/>
            <w:tcBorders>
              <w:top w:val="nil"/>
              <w:left w:val="nil"/>
              <w:bottom w:val="single" w:sz="4" w:space="0" w:color="auto"/>
              <w:right w:val="single" w:sz="4" w:space="0" w:color="auto"/>
            </w:tcBorders>
            <w:shd w:val="clear" w:color="auto" w:fill="auto"/>
            <w:noWrap/>
            <w:hideMark/>
          </w:tcPr>
          <w:p w14:paraId="6C2AC2E2" w14:textId="1E917407" w:rsidR="00D0688A" w:rsidRPr="00E263F4" w:rsidRDefault="00D0688A" w:rsidP="00E263F4">
            <w:pPr>
              <w:spacing w:before="0" w:after="0" w:line="240" w:lineRule="auto"/>
              <w:jc w:val="center"/>
              <w:rPr>
                <w:color w:val="auto"/>
                <w:sz w:val="20"/>
                <w:szCs w:val="20"/>
              </w:rPr>
            </w:pPr>
            <w:r w:rsidRPr="00E263F4">
              <w:rPr>
                <w:color w:val="auto"/>
                <w:sz w:val="20"/>
                <w:szCs w:val="20"/>
              </w:rPr>
              <w:t>8°</w:t>
            </w:r>
          </w:p>
        </w:tc>
      </w:tr>
      <w:tr w:rsidR="00E263F4" w:rsidRPr="00E263F4" w14:paraId="04164B8B"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B896966" w14:textId="77777777" w:rsidR="00E263F4" w:rsidRPr="00E263F4" w:rsidRDefault="00E263F4" w:rsidP="00E263F4">
            <w:pPr>
              <w:spacing w:before="0" w:after="0" w:line="240" w:lineRule="auto"/>
              <w:rPr>
                <w:color w:val="auto"/>
                <w:sz w:val="20"/>
                <w:szCs w:val="20"/>
              </w:rPr>
            </w:pPr>
            <w:r w:rsidRPr="00E263F4">
              <w:rPr>
                <w:color w:val="auto"/>
                <w:sz w:val="20"/>
                <w:szCs w:val="20"/>
              </w:rPr>
              <w:t>1</w:t>
            </w:r>
          </w:p>
        </w:tc>
        <w:tc>
          <w:tcPr>
            <w:tcW w:w="603" w:type="pct"/>
            <w:tcBorders>
              <w:top w:val="nil"/>
              <w:left w:val="nil"/>
              <w:bottom w:val="single" w:sz="4" w:space="0" w:color="auto"/>
              <w:right w:val="single" w:sz="4" w:space="0" w:color="auto"/>
            </w:tcBorders>
            <w:shd w:val="clear" w:color="auto" w:fill="auto"/>
            <w:noWrap/>
            <w:vAlign w:val="bottom"/>
          </w:tcPr>
          <w:p w14:paraId="519D3F20" w14:textId="440A8316" w:rsidR="00E263F4" w:rsidRPr="00E263F4" w:rsidRDefault="00E263F4" w:rsidP="00E263F4">
            <w:pPr>
              <w:spacing w:before="0" w:after="0" w:line="240" w:lineRule="auto"/>
              <w:jc w:val="center"/>
              <w:rPr>
                <w:color w:val="auto"/>
                <w:sz w:val="20"/>
                <w:szCs w:val="20"/>
              </w:rPr>
            </w:pPr>
            <w:r w:rsidRPr="00E263F4">
              <w:rPr>
                <w:color w:val="000000"/>
                <w:sz w:val="22"/>
                <w:szCs w:val="22"/>
              </w:rPr>
              <w:t>0.92</w:t>
            </w:r>
          </w:p>
        </w:tc>
        <w:tc>
          <w:tcPr>
            <w:tcW w:w="629" w:type="pct"/>
            <w:gridSpan w:val="2"/>
            <w:tcBorders>
              <w:top w:val="nil"/>
              <w:left w:val="nil"/>
              <w:bottom w:val="single" w:sz="4" w:space="0" w:color="auto"/>
              <w:right w:val="single" w:sz="4" w:space="0" w:color="auto"/>
            </w:tcBorders>
            <w:shd w:val="clear" w:color="auto" w:fill="auto"/>
            <w:noWrap/>
            <w:vAlign w:val="bottom"/>
          </w:tcPr>
          <w:p w14:paraId="188B9CFF" w14:textId="6253AE5E" w:rsidR="00E263F4" w:rsidRPr="00E263F4" w:rsidRDefault="00E263F4" w:rsidP="00E263F4">
            <w:pPr>
              <w:spacing w:before="0" w:after="0" w:line="240" w:lineRule="auto"/>
              <w:jc w:val="center"/>
              <w:rPr>
                <w:color w:val="auto"/>
                <w:sz w:val="20"/>
                <w:szCs w:val="20"/>
              </w:rPr>
            </w:pPr>
            <w:r w:rsidRPr="00E263F4">
              <w:rPr>
                <w:color w:val="000000"/>
                <w:sz w:val="22"/>
                <w:szCs w:val="22"/>
              </w:rPr>
              <w:t>0.89</w:t>
            </w:r>
          </w:p>
        </w:tc>
        <w:tc>
          <w:tcPr>
            <w:tcW w:w="631" w:type="pct"/>
            <w:gridSpan w:val="3"/>
            <w:tcBorders>
              <w:top w:val="nil"/>
              <w:left w:val="nil"/>
              <w:bottom w:val="single" w:sz="4" w:space="0" w:color="auto"/>
              <w:right w:val="single" w:sz="4" w:space="0" w:color="auto"/>
            </w:tcBorders>
            <w:shd w:val="clear" w:color="auto" w:fill="auto"/>
            <w:noWrap/>
            <w:vAlign w:val="bottom"/>
          </w:tcPr>
          <w:p w14:paraId="3F12AB78" w14:textId="3F554203" w:rsidR="00E263F4" w:rsidRPr="00E263F4" w:rsidRDefault="00E263F4" w:rsidP="00E263F4">
            <w:pPr>
              <w:spacing w:before="0" w:after="0" w:line="240" w:lineRule="auto"/>
              <w:jc w:val="center"/>
              <w:rPr>
                <w:color w:val="auto"/>
                <w:sz w:val="20"/>
                <w:szCs w:val="20"/>
              </w:rPr>
            </w:pPr>
            <w:r w:rsidRPr="00E263F4">
              <w:rPr>
                <w:color w:val="000000"/>
                <w:sz w:val="22"/>
                <w:szCs w:val="22"/>
              </w:rPr>
              <w:t>1.06</w:t>
            </w:r>
          </w:p>
        </w:tc>
        <w:tc>
          <w:tcPr>
            <w:tcW w:w="645" w:type="pct"/>
            <w:gridSpan w:val="2"/>
            <w:tcBorders>
              <w:top w:val="nil"/>
              <w:left w:val="nil"/>
              <w:bottom w:val="single" w:sz="4" w:space="0" w:color="auto"/>
              <w:right w:val="single" w:sz="4" w:space="0" w:color="auto"/>
            </w:tcBorders>
            <w:shd w:val="clear" w:color="auto" w:fill="auto"/>
            <w:noWrap/>
            <w:vAlign w:val="bottom"/>
          </w:tcPr>
          <w:p w14:paraId="4A48E359" w14:textId="44D23C37" w:rsidR="00E263F4" w:rsidRPr="00E263F4" w:rsidRDefault="00E263F4" w:rsidP="00E263F4">
            <w:pPr>
              <w:spacing w:before="0" w:after="0" w:line="240" w:lineRule="auto"/>
              <w:jc w:val="center"/>
              <w:rPr>
                <w:color w:val="auto"/>
                <w:sz w:val="20"/>
                <w:szCs w:val="20"/>
              </w:rPr>
            </w:pPr>
            <w:r w:rsidRPr="00E263F4">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6946B57B" w14:textId="505CDCA0" w:rsidR="00E263F4" w:rsidRPr="00E263F4" w:rsidRDefault="00E263F4" w:rsidP="00E263F4">
            <w:pPr>
              <w:spacing w:before="0" w:after="0" w:line="240" w:lineRule="auto"/>
              <w:jc w:val="center"/>
              <w:rPr>
                <w:color w:val="auto"/>
                <w:sz w:val="20"/>
                <w:szCs w:val="20"/>
              </w:rPr>
            </w:pPr>
            <w:r w:rsidRPr="00E263F4">
              <w:rPr>
                <w:color w:val="000000"/>
                <w:sz w:val="22"/>
                <w:szCs w:val="22"/>
              </w:rPr>
              <w:t>0.86</w:t>
            </w:r>
          </w:p>
        </w:tc>
        <w:tc>
          <w:tcPr>
            <w:tcW w:w="644" w:type="pct"/>
            <w:tcBorders>
              <w:top w:val="nil"/>
              <w:left w:val="nil"/>
              <w:bottom w:val="single" w:sz="4" w:space="0" w:color="auto"/>
              <w:right w:val="single" w:sz="4" w:space="0" w:color="auto"/>
            </w:tcBorders>
            <w:shd w:val="clear" w:color="auto" w:fill="auto"/>
            <w:noWrap/>
            <w:vAlign w:val="bottom"/>
          </w:tcPr>
          <w:p w14:paraId="58AD1BF4" w14:textId="1588CD61" w:rsidR="00E263F4" w:rsidRPr="00E263F4" w:rsidRDefault="00E263F4" w:rsidP="00E263F4">
            <w:pPr>
              <w:spacing w:before="0" w:after="0" w:line="240" w:lineRule="auto"/>
              <w:jc w:val="center"/>
              <w:rPr>
                <w:color w:val="auto"/>
                <w:sz w:val="20"/>
                <w:szCs w:val="20"/>
              </w:rPr>
            </w:pPr>
            <w:r w:rsidRPr="00E263F4">
              <w:rPr>
                <w:color w:val="000000"/>
                <w:sz w:val="22"/>
                <w:szCs w:val="22"/>
              </w:rPr>
              <w:t>0.95</w:t>
            </w:r>
          </w:p>
        </w:tc>
      </w:tr>
      <w:tr w:rsidR="00E263F4" w:rsidRPr="00E263F4" w14:paraId="10C1C7C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65CB630" w14:textId="77777777" w:rsidR="00E263F4" w:rsidRPr="00E263F4" w:rsidRDefault="00E263F4" w:rsidP="00E263F4">
            <w:pPr>
              <w:spacing w:before="0" w:after="0" w:line="240" w:lineRule="auto"/>
              <w:rPr>
                <w:color w:val="auto"/>
                <w:sz w:val="20"/>
                <w:szCs w:val="20"/>
              </w:rPr>
            </w:pPr>
            <w:r w:rsidRPr="00E263F4">
              <w:rPr>
                <w:color w:val="auto"/>
                <w:sz w:val="20"/>
                <w:szCs w:val="20"/>
              </w:rPr>
              <w:t>2</w:t>
            </w:r>
          </w:p>
        </w:tc>
        <w:tc>
          <w:tcPr>
            <w:tcW w:w="603" w:type="pct"/>
            <w:tcBorders>
              <w:top w:val="nil"/>
              <w:left w:val="nil"/>
              <w:bottom w:val="single" w:sz="4" w:space="0" w:color="auto"/>
              <w:right w:val="single" w:sz="4" w:space="0" w:color="auto"/>
            </w:tcBorders>
            <w:shd w:val="clear" w:color="auto" w:fill="auto"/>
            <w:noWrap/>
            <w:vAlign w:val="bottom"/>
          </w:tcPr>
          <w:p w14:paraId="0DC62D1A" w14:textId="3C3BC141" w:rsidR="00E263F4" w:rsidRPr="00E263F4" w:rsidRDefault="00E263F4" w:rsidP="00E263F4">
            <w:pPr>
              <w:spacing w:before="0" w:after="0" w:line="240" w:lineRule="auto"/>
              <w:jc w:val="center"/>
              <w:rPr>
                <w:color w:val="auto"/>
                <w:sz w:val="20"/>
                <w:szCs w:val="20"/>
              </w:rPr>
            </w:pPr>
            <w:r w:rsidRPr="00E263F4">
              <w:rPr>
                <w:color w:val="000000"/>
                <w:sz w:val="22"/>
                <w:szCs w:val="22"/>
              </w:rPr>
              <w:t>0.58</w:t>
            </w:r>
          </w:p>
        </w:tc>
        <w:tc>
          <w:tcPr>
            <w:tcW w:w="629" w:type="pct"/>
            <w:gridSpan w:val="2"/>
            <w:tcBorders>
              <w:top w:val="nil"/>
              <w:left w:val="nil"/>
              <w:bottom w:val="single" w:sz="4" w:space="0" w:color="auto"/>
              <w:right w:val="single" w:sz="4" w:space="0" w:color="auto"/>
            </w:tcBorders>
            <w:shd w:val="clear" w:color="auto" w:fill="auto"/>
            <w:noWrap/>
            <w:vAlign w:val="bottom"/>
          </w:tcPr>
          <w:p w14:paraId="06BCF3DF" w14:textId="5B71AB3C" w:rsidR="00E263F4" w:rsidRPr="00E263F4" w:rsidRDefault="00E263F4" w:rsidP="00E263F4">
            <w:pPr>
              <w:spacing w:before="0" w:after="0" w:line="240" w:lineRule="auto"/>
              <w:jc w:val="center"/>
              <w:rPr>
                <w:color w:val="auto"/>
                <w:sz w:val="20"/>
                <w:szCs w:val="20"/>
              </w:rPr>
            </w:pPr>
            <w:r w:rsidRPr="00E263F4">
              <w:rPr>
                <w:color w:val="000000"/>
                <w:sz w:val="22"/>
                <w:szCs w:val="22"/>
              </w:rPr>
              <w:t>0.78</w:t>
            </w:r>
          </w:p>
        </w:tc>
        <w:tc>
          <w:tcPr>
            <w:tcW w:w="631" w:type="pct"/>
            <w:gridSpan w:val="3"/>
            <w:tcBorders>
              <w:top w:val="nil"/>
              <w:left w:val="nil"/>
              <w:bottom w:val="single" w:sz="4" w:space="0" w:color="auto"/>
              <w:right w:val="single" w:sz="4" w:space="0" w:color="auto"/>
            </w:tcBorders>
            <w:shd w:val="clear" w:color="auto" w:fill="auto"/>
            <w:noWrap/>
            <w:vAlign w:val="bottom"/>
          </w:tcPr>
          <w:p w14:paraId="19E4790C" w14:textId="32C307B8" w:rsidR="00E263F4" w:rsidRPr="00E263F4" w:rsidRDefault="00E263F4" w:rsidP="00E263F4">
            <w:pPr>
              <w:spacing w:before="0" w:after="0" w:line="240" w:lineRule="auto"/>
              <w:jc w:val="center"/>
              <w:rPr>
                <w:color w:val="auto"/>
                <w:sz w:val="20"/>
                <w:szCs w:val="20"/>
              </w:rPr>
            </w:pPr>
            <w:r w:rsidRPr="00E263F4">
              <w:rPr>
                <w:color w:val="000000"/>
                <w:sz w:val="22"/>
                <w:szCs w:val="22"/>
              </w:rPr>
              <w:t>0.88</w:t>
            </w:r>
          </w:p>
        </w:tc>
        <w:tc>
          <w:tcPr>
            <w:tcW w:w="645" w:type="pct"/>
            <w:gridSpan w:val="2"/>
            <w:tcBorders>
              <w:top w:val="nil"/>
              <w:left w:val="nil"/>
              <w:bottom w:val="single" w:sz="4" w:space="0" w:color="auto"/>
              <w:right w:val="single" w:sz="4" w:space="0" w:color="auto"/>
            </w:tcBorders>
            <w:shd w:val="clear" w:color="auto" w:fill="auto"/>
            <w:noWrap/>
            <w:vAlign w:val="bottom"/>
          </w:tcPr>
          <w:p w14:paraId="6D047C53" w14:textId="7F0BFF66" w:rsidR="00E263F4" w:rsidRPr="00E263F4" w:rsidRDefault="00E263F4" w:rsidP="00E263F4">
            <w:pPr>
              <w:spacing w:before="0" w:after="0" w:line="240" w:lineRule="auto"/>
              <w:jc w:val="center"/>
              <w:rPr>
                <w:color w:val="auto"/>
                <w:sz w:val="20"/>
                <w:szCs w:val="20"/>
              </w:rPr>
            </w:pPr>
            <w:r w:rsidRPr="00E263F4">
              <w:rPr>
                <w:color w:val="000000"/>
                <w:sz w:val="22"/>
                <w:szCs w:val="22"/>
              </w:rPr>
              <w:t>0.41</w:t>
            </w:r>
          </w:p>
        </w:tc>
        <w:tc>
          <w:tcPr>
            <w:tcW w:w="646" w:type="pct"/>
            <w:gridSpan w:val="2"/>
            <w:tcBorders>
              <w:top w:val="nil"/>
              <w:left w:val="nil"/>
              <w:bottom w:val="single" w:sz="4" w:space="0" w:color="auto"/>
              <w:right w:val="single" w:sz="4" w:space="0" w:color="auto"/>
            </w:tcBorders>
            <w:shd w:val="clear" w:color="auto" w:fill="auto"/>
            <w:noWrap/>
            <w:vAlign w:val="bottom"/>
          </w:tcPr>
          <w:p w14:paraId="60227A7B" w14:textId="0A51D8EE" w:rsidR="00E263F4" w:rsidRPr="00E263F4" w:rsidRDefault="00E263F4" w:rsidP="00E263F4">
            <w:pPr>
              <w:spacing w:before="0" w:after="0" w:line="240" w:lineRule="auto"/>
              <w:jc w:val="center"/>
              <w:rPr>
                <w:color w:val="auto"/>
                <w:sz w:val="20"/>
                <w:szCs w:val="20"/>
              </w:rPr>
            </w:pPr>
            <w:r w:rsidRPr="00E263F4">
              <w:rPr>
                <w:color w:val="000000"/>
                <w:sz w:val="22"/>
                <w:szCs w:val="22"/>
              </w:rPr>
              <w:t>0.50</w:t>
            </w:r>
          </w:p>
        </w:tc>
        <w:tc>
          <w:tcPr>
            <w:tcW w:w="644" w:type="pct"/>
            <w:tcBorders>
              <w:top w:val="nil"/>
              <w:left w:val="nil"/>
              <w:bottom w:val="single" w:sz="4" w:space="0" w:color="auto"/>
              <w:right w:val="single" w:sz="4" w:space="0" w:color="auto"/>
            </w:tcBorders>
            <w:shd w:val="clear" w:color="auto" w:fill="auto"/>
            <w:noWrap/>
            <w:vAlign w:val="bottom"/>
          </w:tcPr>
          <w:p w14:paraId="25C1A41E" w14:textId="00FBD318" w:rsidR="00E263F4" w:rsidRPr="00E263F4" w:rsidRDefault="00E263F4" w:rsidP="00E263F4">
            <w:pPr>
              <w:spacing w:before="0" w:after="0" w:line="240" w:lineRule="auto"/>
              <w:jc w:val="center"/>
              <w:rPr>
                <w:color w:val="auto"/>
                <w:sz w:val="20"/>
                <w:szCs w:val="20"/>
              </w:rPr>
            </w:pPr>
            <w:r w:rsidRPr="00E263F4">
              <w:rPr>
                <w:color w:val="000000"/>
                <w:sz w:val="22"/>
                <w:szCs w:val="22"/>
              </w:rPr>
              <w:t>0.60</w:t>
            </w:r>
          </w:p>
        </w:tc>
      </w:tr>
      <w:tr w:rsidR="00E263F4" w:rsidRPr="00E263F4" w14:paraId="5D8E9508"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51AC016" w14:textId="77777777" w:rsidR="00E263F4" w:rsidRPr="00E263F4" w:rsidRDefault="00E263F4" w:rsidP="00E263F4">
            <w:pPr>
              <w:spacing w:before="0" w:after="0" w:line="240" w:lineRule="auto"/>
              <w:rPr>
                <w:color w:val="auto"/>
                <w:sz w:val="20"/>
                <w:szCs w:val="20"/>
              </w:rPr>
            </w:pPr>
            <w:r w:rsidRPr="00E263F4">
              <w:rPr>
                <w:color w:val="auto"/>
                <w:sz w:val="20"/>
                <w:szCs w:val="20"/>
              </w:rPr>
              <w:t>3</w:t>
            </w:r>
          </w:p>
        </w:tc>
        <w:tc>
          <w:tcPr>
            <w:tcW w:w="603" w:type="pct"/>
            <w:tcBorders>
              <w:top w:val="nil"/>
              <w:left w:val="nil"/>
              <w:bottom w:val="single" w:sz="4" w:space="0" w:color="auto"/>
              <w:right w:val="single" w:sz="4" w:space="0" w:color="auto"/>
            </w:tcBorders>
            <w:shd w:val="clear" w:color="auto" w:fill="auto"/>
            <w:noWrap/>
            <w:vAlign w:val="bottom"/>
          </w:tcPr>
          <w:p w14:paraId="1E480A2C" w14:textId="57DDEEC6" w:rsidR="00E263F4" w:rsidRPr="00E263F4" w:rsidRDefault="00E263F4" w:rsidP="00E263F4">
            <w:pPr>
              <w:spacing w:before="0" w:after="0" w:line="240" w:lineRule="auto"/>
              <w:jc w:val="center"/>
              <w:rPr>
                <w:color w:val="auto"/>
                <w:sz w:val="20"/>
                <w:szCs w:val="20"/>
              </w:rPr>
            </w:pPr>
            <w:r w:rsidRPr="00E263F4">
              <w:rPr>
                <w:color w:val="000000"/>
                <w:sz w:val="22"/>
                <w:szCs w:val="22"/>
              </w:rPr>
              <w:t>1.05</w:t>
            </w:r>
          </w:p>
        </w:tc>
        <w:tc>
          <w:tcPr>
            <w:tcW w:w="629" w:type="pct"/>
            <w:gridSpan w:val="2"/>
            <w:tcBorders>
              <w:top w:val="nil"/>
              <w:left w:val="nil"/>
              <w:bottom w:val="single" w:sz="4" w:space="0" w:color="auto"/>
              <w:right w:val="single" w:sz="4" w:space="0" w:color="auto"/>
            </w:tcBorders>
            <w:shd w:val="clear" w:color="auto" w:fill="auto"/>
            <w:noWrap/>
            <w:vAlign w:val="bottom"/>
          </w:tcPr>
          <w:p w14:paraId="4CBB0F54" w14:textId="781DFE77" w:rsidR="00E263F4" w:rsidRPr="00E263F4" w:rsidRDefault="00E263F4" w:rsidP="00E263F4">
            <w:pPr>
              <w:spacing w:before="0" w:after="0" w:line="240" w:lineRule="auto"/>
              <w:jc w:val="center"/>
              <w:rPr>
                <w:color w:val="auto"/>
                <w:sz w:val="20"/>
                <w:szCs w:val="20"/>
              </w:rPr>
            </w:pPr>
            <w:r w:rsidRPr="00E263F4">
              <w:rPr>
                <w:color w:val="000000"/>
                <w:sz w:val="22"/>
                <w:szCs w:val="22"/>
              </w:rPr>
              <w:t>1.06</w:t>
            </w:r>
          </w:p>
        </w:tc>
        <w:tc>
          <w:tcPr>
            <w:tcW w:w="631" w:type="pct"/>
            <w:gridSpan w:val="3"/>
            <w:tcBorders>
              <w:top w:val="nil"/>
              <w:left w:val="nil"/>
              <w:bottom w:val="single" w:sz="4" w:space="0" w:color="auto"/>
              <w:right w:val="single" w:sz="4" w:space="0" w:color="auto"/>
            </w:tcBorders>
            <w:shd w:val="clear" w:color="auto" w:fill="auto"/>
            <w:noWrap/>
            <w:vAlign w:val="bottom"/>
          </w:tcPr>
          <w:p w14:paraId="3F47DF16" w14:textId="31B80D0C" w:rsidR="00E263F4" w:rsidRPr="00E263F4" w:rsidRDefault="00E263F4" w:rsidP="00E263F4">
            <w:pPr>
              <w:spacing w:before="0" w:after="0" w:line="240" w:lineRule="auto"/>
              <w:jc w:val="center"/>
              <w:rPr>
                <w:color w:val="auto"/>
                <w:sz w:val="20"/>
                <w:szCs w:val="20"/>
              </w:rPr>
            </w:pPr>
            <w:r w:rsidRPr="00E263F4">
              <w:rPr>
                <w:color w:val="000000"/>
                <w:sz w:val="22"/>
                <w:szCs w:val="22"/>
              </w:rPr>
              <w:t>1.04</w:t>
            </w:r>
          </w:p>
        </w:tc>
        <w:tc>
          <w:tcPr>
            <w:tcW w:w="645" w:type="pct"/>
            <w:gridSpan w:val="2"/>
            <w:tcBorders>
              <w:top w:val="nil"/>
              <w:left w:val="nil"/>
              <w:bottom w:val="single" w:sz="4" w:space="0" w:color="auto"/>
              <w:right w:val="single" w:sz="4" w:space="0" w:color="auto"/>
            </w:tcBorders>
            <w:shd w:val="clear" w:color="auto" w:fill="auto"/>
            <w:noWrap/>
            <w:vAlign w:val="bottom"/>
          </w:tcPr>
          <w:p w14:paraId="4346131A" w14:textId="7CD95BE6" w:rsidR="00E263F4" w:rsidRPr="00E263F4" w:rsidRDefault="00E263F4" w:rsidP="00E263F4">
            <w:pPr>
              <w:spacing w:before="0" w:after="0" w:line="240" w:lineRule="auto"/>
              <w:jc w:val="center"/>
              <w:rPr>
                <w:color w:val="auto"/>
                <w:sz w:val="20"/>
                <w:szCs w:val="20"/>
              </w:rPr>
            </w:pPr>
            <w:r w:rsidRPr="00E263F4">
              <w:rPr>
                <w:color w:val="000000"/>
                <w:sz w:val="22"/>
                <w:szCs w:val="22"/>
              </w:rPr>
              <w:t>0.84</w:t>
            </w:r>
          </w:p>
        </w:tc>
        <w:tc>
          <w:tcPr>
            <w:tcW w:w="646" w:type="pct"/>
            <w:gridSpan w:val="2"/>
            <w:tcBorders>
              <w:top w:val="nil"/>
              <w:left w:val="nil"/>
              <w:bottom w:val="single" w:sz="4" w:space="0" w:color="auto"/>
              <w:right w:val="single" w:sz="4" w:space="0" w:color="auto"/>
            </w:tcBorders>
            <w:shd w:val="clear" w:color="auto" w:fill="auto"/>
            <w:noWrap/>
            <w:vAlign w:val="bottom"/>
          </w:tcPr>
          <w:p w14:paraId="7257AA8D" w14:textId="39A77EE4" w:rsidR="00E263F4" w:rsidRPr="00E263F4" w:rsidRDefault="00E263F4" w:rsidP="00E263F4">
            <w:pPr>
              <w:spacing w:before="0" w:after="0" w:line="240" w:lineRule="auto"/>
              <w:jc w:val="center"/>
              <w:rPr>
                <w:color w:val="auto"/>
                <w:sz w:val="20"/>
                <w:szCs w:val="20"/>
              </w:rPr>
            </w:pPr>
            <w:r w:rsidRPr="00E263F4">
              <w:rPr>
                <w:color w:val="000000"/>
                <w:sz w:val="22"/>
                <w:szCs w:val="22"/>
              </w:rPr>
              <w:t>0.69</w:t>
            </w:r>
          </w:p>
        </w:tc>
        <w:tc>
          <w:tcPr>
            <w:tcW w:w="644" w:type="pct"/>
            <w:tcBorders>
              <w:top w:val="nil"/>
              <w:left w:val="nil"/>
              <w:bottom w:val="single" w:sz="4" w:space="0" w:color="auto"/>
              <w:right w:val="single" w:sz="4" w:space="0" w:color="auto"/>
            </w:tcBorders>
            <w:shd w:val="clear" w:color="auto" w:fill="auto"/>
            <w:noWrap/>
            <w:vAlign w:val="bottom"/>
          </w:tcPr>
          <w:p w14:paraId="2836E8D2" w14:textId="69BBBFE0" w:rsidR="00E263F4" w:rsidRPr="00E263F4" w:rsidRDefault="00E263F4" w:rsidP="00E263F4">
            <w:pPr>
              <w:spacing w:before="0" w:after="0" w:line="240" w:lineRule="auto"/>
              <w:jc w:val="center"/>
              <w:rPr>
                <w:color w:val="auto"/>
                <w:sz w:val="20"/>
                <w:szCs w:val="20"/>
              </w:rPr>
            </w:pPr>
            <w:r w:rsidRPr="00E263F4">
              <w:rPr>
                <w:color w:val="000000"/>
                <w:sz w:val="22"/>
                <w:szCs w:val="22"/>
              </w:rPr>
              <w:t>0.69</w:t>
            </w:r>
          </w:p>
        </w:tc>
      </w:tr>
      <w:tr w:rsidR="00E263F4" w:rsidRPr="00E263F4" w14:paraId="329180ED"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41F83E74" w14:textId="77777777" w:rsidR="00E263F4" w:rsidRPr="00E263F4" w:rsidRDefault="00E263F4" w:rsidP="00E263F4">
            <w:pPr>
              <w:spacing w:before="0" w:after="0" w:line="240" w:lineRule="auto"/>
              <w:rPr>
                <w:color w:val="auto"/>
                <w:sz w:val="20"/>
                <w:szCs w:val="20"/>
              </w:rPr>
            </w:pPr>
            <w:r w:rsidRPr="00E263F4">
              <w:rPr>
                <w:color w:val="auto"/>
                <w:sz w:val="20"/>
                <w:szCs w:val="20"/>
              </w:rPr>
              <w:t>4</w:t>
            </w:r>
          </w:p>
        </w:tc>
        <w:tc>
          <w:tcPr>
            <w:tcW w:w="603" w:type="pct"/>
            <w:tcBorders>
              <w:top w:val="nil"/>
              <w:left w:val="nil"/>
              <w:bottom w:val="single" w:sz="4" w:space="0" w:color="auto"/>
              <w:right w:val="single" w:sz="4" w:space="0" w:color="auto"/>
            </w:tcBorders>
            <w:shd w:val="clear" w:color="auto" w:fill="auto"/>
            <w:noWrap/>
            <w:vAlign w:val="bottom"/>
          </w:tcPr>
          <w:p w14:paraId="6B80CD37" w14:textId="62BCE66A" w:rsidR="00E263F4" w:rsidRPr="00E263F4" w:rsidRDefault="00E263F4" w:rsidP="00E263F4">
            <w:pPr>
              <w:spacing w:before="0" w:after="0" w:line="240" w:lineRule="auto"/>
              <w:jc w:val="center"/>
              <w:rPr>
                <w:color w:val="auto"/>
                <w:sz w:val="20"/>
                <w:szCs w:val="20"/>
              </w:rPr>
            </w:pPr>
            <w:r w:rsidRPr="00E263F4">
              <w:rPr>
                <w:color w:val="000000"/>
                <w:sz w:val="22"/>
                <w:szCs w:val="22"/>
              </w:rPr>
              <w:t>1.01</w:t>
            </w:r>
          </w:p>
        </w:tc>
        <w:tc>
          <w:tcPr>
            <w:tcW w:w="629" w:type="pct"/>
            <w:gridSpan w:val="2"/>
            <w:tcBorders>
              <w:top w:val="nil"/>
              <w:left w:val="nil"/>
              <w:bottom w:val="single" w:sz="4" w:space="0" w:color="auto"/>
              <w:right w:val="single" w:sz="4" w:space="0" w:color="auto"/>
            </w:tcBorders>
            <w:shd w:val="clear" w:color="auto" w:fill="auto"/>
            <w:noWrap/>
            <w:vAlign w:val="bottom"/>
          </w:tcPr>
          <w:p w14:paraId="474DB875" w14:textId="03E05BE2"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c>
          <w:tcPr>
            <w:tcW w:w="631" w:type="pct"/>
            <w:gridSpan w:val="3"/>
            <w:tcBorders>
              <w:top w:val="nil"/>
              <w:left w:val="nil"/>
              <w:bottom w:val="single" w:sz="4" w:space="0" w:color="auto"/>
              <w:right w:val="single" w:sz="4" w:space="0" w:color="auto"/>
            </w:tcBorders>
            <w:shd w:val="clear" w:color="auto" w:fill="auto"/>
            <w:noWrap/>
            <w:vAlign w:val="bottom"/>
          </w:tcPr>
          <w:p w14:paraId="0BAA358D" w14:textId="5131ABBE" w:rsidR="00E263F4" w:rsidRPr="00E263F4" w:rsidRDefault="00E263F4" w:rsidP="00E263F4">
            <w:pPr>
              <w:spacing w:before="0" w:after="0" w:line="240" w:lineRule="auto"/>
              <w:jc w:val="center"/>
              <w:rPr>
                <w:color w:val="auto"/>
                <w:sz w:val="20"/>
                <w:szCs w:val="20"/>
              </w:rPr>
            </w:pPr>
            <w:r w:rsidRPr="00E263F4">
              <w:rPr>
                <w:color w:val="000000"/>
                <w:sz w:val="22"/>
                <w:szCs w:val="22"/>
              </w:rPr>
              <w:t>1.02</w:t>
            </w:r>
          </w:p>
        </w:tc>
        <w:tc>
          <w:tcPr>
            <w:tcW w:w="645" w:type="pct"/>
            <w:gridSpan w:val="2"/>
            <w:tcBorders>
              <w:top w:val="nil"/>
              <w:left w:val="nil"/>
              <w:bottom w:val="single" w:sz="4" w:space="0" w:color="auto"/>
              <w:right w:val="single" w:sz="4" w:space="0" w:color="auto"/>
            </w:tcBorders>
            <w:shd w:val="clear" w:color="auto" w:fill="auto"/>
            <w:noWrap/>
            <w:vAlign w:val="bottom"/>
          </w:tcPr>
          <w:p w14:paraId="1BD51BEC" w14:textId="79966C2A" w:rsidR="00E263F4" w:rsidRPr="00E263F4" w:rsidRDefault="00E263F4" w:rsidP="00E263F4">
            <w:pPr>
              <w:spacing w:before="0" w:after="0" w:line="240" w:lineRule="auto"/>
              <w:jc w:val="center"/>
              <w:rPr>
                <w:color w:val="auto"/>
                <w:sz w:val="20"/>
                <w:szCs w:val="20"/>
              </w:rPr>
            </w:pPr>
            <w:r w:rsidRPr="00E263F4">
              <w:rPr>
                <w:color w:val="000000"/>
                <w:sz w:val="22"/>
                <w:szCs w:val="22"/>
              </w:rPr>
              <w:t>0.92</w:t>
            </w:r>
          </w:p>
        </w:tc>
        <w:tc>
          <w:tcPr>
            <w:tcW w:w="646" w:type="pct"/>
            <w:gridSpan w:val="2"/>
            <w:tcBorders>
              <w:top w:val="nil"/>
              <w:left w:val="nil"/>
              <w:bottom w:val="single" w:sz="4" w:space="0" w:color="auto"/>
              <w:right w:val="single" w:sz="4" w:space="0" w:color="auto"/>
            </w:tcBorders>
            <w:shd w:val="clear" w:color="auto" w:fill="auto"/>
            <w:noWrap/>
            <w:vAlign w:val="bottom"/>
          </w:tcPr>
          <w:p w14:paraId="599CDAF7" w14:textId="1AC086CA" w:rsidR="00E263F4" w:rsidRPr="00E263F4" w:rsidRDefault="00E263F4" w:rsidP="00E263F4">
            <w:pPr>
              <w:spacing w:before="0" w:after="0" w:line="240" w:lineRule="auto"/>
              <w:jc w:val="center"/>
              <w:rPr>
                <w:color w:val="auto"/>
                <w:sz w:val="20"/>
                <w:szCs w:val="20"/>
              </w:rPr>
            </w:pPr>
            <w:r w:rsidRPr="00E263F4">
              <w:rPr>
                <w:color w:val="000000"/>
                <w:sz w:val="22"/>
                <w:szCs w:val="22"/>
              </w:rPr>
              <w:t>0.85</w:t>
            </w:r>
          </w:p>
        </w:tc>
        <w:tc>
          <w:tcPr>
            <w:tcW w:w="644" w:type="pct"/>
            <w:tcBorders>
              <w:top w:val="nil"/>
              <w:left w:val="nil"/>
              <w:bottom w:val="single" w:sz="4" w:space="0" w:color="auto"/>
              <w:right w:val="single" w:sz="4" w:space="0" w:color="auto"/>
            </w:tcBorders>
            <w:shd w:val="clear" w:color="auto" w:fill="auto"/>
            <w:noWrap/>
            <w:vAlign w:val="bottom"/>
          </w:tcPr>
          <w:p w14:paraId="71891257" w14:textId="66FFACDA" w:rsidR="00E263F4" w:rsidRPr="00E263F4" w:rsidRDefault="00E263F4" w:rsidP="00E263F4">
            <w:pPr>
              <w:spacing w:before="0" w:after="0" w:line="240" w:lineRule="auto"/>
              <w:jc w:val="center"/>
              <w:rPr>
                <w:color w:val="auto"/>
                <w:sz w:val="20"/>
                <w:szCs w:val="20"/>
              </w:rPr>
            </w:pPr>
            <w:r w:rsidRPr="00E263F4">
              <w:rPr>
                <w:color w:val="000000"/>
                <w:sz w:val="22"/>
                <w:szCs w:val="22"/>
              </w:rPr>
              <w:t>0.90</w:t>
            </w:r>
          </w:p>
        </w:tc>
      </w:tr>
      <w:tr w:rsidR="00E263F4" w:rsidRPr="00E263F4" w14:paraId="53E3D97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30BDE8A" w14:textId="77777777" w:rsidR="00E263F4" w:rsidRPr="00E263F4" w:rsidRDefault="00E263F4" w:rsidP="00E263F4">
            <w:pPr>
              <w:spacing w:before="0" w:after="0" w:line="240" w:lineRule="auto"/>
              <w:rPr>
                <w:color w:val="auto"/>
                <w:sz w:val="20"/>
                <w:szCs w:val="20"/>
              </w:rPr>
            </w:pPr>
            <w:r w:rsidRPr="00E263F4">
              <w:rPr>
                <w:color w:val="auto"/>
                <w:sz w:val="20"/>
                <w:szCs w:val="20"/>
              </w:rPr>
              <w:t>5</w:t>
            </w:r>
          </w:p>
        </w:tc>
        <w:tc>
          <w:tcPr>
            <w:tcW w:w="603" w:type="pct"/>
            <w:tcBorders>
              <w:top w:val="nil"/>
              <w:left w:val="nil"/>
              <w:bottom w:val="single" w:sz="4" w:space="0" w:color="auto"/>
              <w:right w:val="single" w:sz="4" w:space="0" w:color="auto"/>
            </w:tcBorders>
            <w:shd w:val="clear" w:color="auto" w:fill="auto"/>
            <w:noWrap/>
            <w:vAlign w:val="bottom"/>
          </w:tcPr>
          <w:p w14:paraId="496510D3" w14:textId="79970D3F" w:rsidR="00E263F4" w:rsidRPr="00E263F4" w:rsidRDefault="00E263F4" w:rsidP="00E263F4">
            <w:pPr>
              <w:spacing w:before="0" w:after="0" w:line="240" w:lineRule="auto"/>
              <w:jc w:val="center"/>
              <w:rPr>
                <w:color w:val="auto"/>
                <w:sz w:val="20"/>
                <w:szCs w:val="20"/>
              </w:rPr>
            </w:pPr>
            <w:r w:rsidRPr="00E263F4">
              <w:rPr>
                <w:color w:val="000000"/>
                <w:sz w:val="22"/>
                <w:szCs w:val="22"/>
              </w:rPr>
              <w:t>0.80</w:t>
            </w:r>
          </w:p>
        </w:tc>
        <w:tc>
          <w:tcPr>
            <w:tcW w:w="629" w:type="pct"/>
            <w:gridSpan w:val="2"/>
            <w:tcBorders>
              <w:top w:val="nil"/>
              <w:left w:val="nil"/>
              <w:bottom w:val="single" w:sz="4" w:space="0" w:color="auto"/>
              <w:right w:val="single" w:sz="4" w:space="0" w:color="auto"/>
            </w:tcBorders>
            <w:shd w:val="clear" w:color="auto" w:fill="auto"/>
            <w:noWrap/>
            <w:vAlign w:val="bottom"/>
          </w:tcPr>
          <w:p w14:paraId="45434D70" w14:textId="32E412DD" w:rsidR="00E263F4" w:rsidRPr="00E263F4" w:rsidRDefault="00E263F4" w:rsidP="00E263F4">
            <w:pPr>
              <w:spacing w:before="0" w:after="0" w:line="240" w:lineRule="auto"/>
              <w:jc w:val="center"/>
              <w:rPr>
                <w:color w:val="auto"/>
                <w:sz w:val="20"/>
                <w:szCs w:val="20"/>
              </w:rPr>
            </w:pPr>
            <w:r w:rsidRPr="00E263F4">
              <w:rPr>
                <w:color w:val="000000"/>
                <w:sz w:val="22"/>
                <w:szCs w:val="22"/>
              </w:rPr>
              <w:t>0.97</w:t>
            </w:r>
          </w:p>
        </w:tc>
        <w:tc>
          <w:tcPr>
            <w:tcW w:w="631" w:type="pct"/>
            <w:gridSpan w:val="3"/>
            <w:tcBorders>
              <w:top w:val="nil"/>
              <w:left w:val="nil"/>
              <w:bottom w:val="single" w:sz="4" w:space="0" w:color="auto"/>
              <w:right w:val="single" w:sz="4" w:space="0" w:color="auto"/>
            </w:tcBorders>
            <w:shd w:val="clear" w:color="auto" w:fill="auto"/>
            <w:noWrap/>
            <w:vAlign w:val="bottom"/>
          </w:tcPr>
          <w:p w14:paraId="41FE92E9" w14:textId="72B46E31" w:rsidR="00E263F4" w:rsidRPr="00E263F4" w:rsidRDefault="00E263F4" w:rsidP="00E263F4">
            <w:pPr>
              <w:spacing w:before="0" w:after="0" w:line="240" w:lineRule="auto"/>
              <w:jc w:val="center"/>
              <w:rPr>
                <w:color w:val="auto"/>
                <w:sz w:val="20"/>
                <w:szCs w:val="20"/>
              </w:rPr>
            </w:pPr>
            <w:r w:rsidRPr="00E263F4">
              <w:rPr>
                <w:color w:val="000000"/>
                <w:sz w:val="22"/>
                <w:szCs w:val="22"/>
              </w:rPr>
              <w:t>0.71</w:t>
            </w:r>
          </w:p>
        </w:tc>
        <w:tc>
          <w:tcPr>
            <w:tcW w:w="645" w:type="pct"/>
            <w:gridSpan w:val="2"/>
            <w:tcBorders>
              <w:top w:val="nil"/>
              <w:left w:val="nil"/>
              <w:bottom w:val="single" w:sz="4" w:space="0" w:color="auto"/>
              <w:right w:val="single" w:sz="4" w:space="0" w:color="auto"/>
            </w:tcBorders>
            <w:shd w:val="clear" w:color="auto" w:fill="auto"/>
            <w:noWrap/>
            <w:vAlign w:val="bottom"/>
          </w:tcPr>
          <w:p w14:paraId="5E56CA96" w14:textId="0EF439B3" w:rsidR="00E263F4" w:rsidRPr="00E263F4" w:rsidRDefault="00E263F4" w:rsidP="00E263F4">
            <w:pPr>
              <w:spacing w:before="0" w:after="0" w:line="240" w:lineRule="auto"/>
              <w:jc w:val="center"/>
              <w:rPr>
                <w:color w:val="auto"/>
                <w:sz w:val="20"/>
                <w:szCs w:val="20"/>
              </w:rPr>
            </w:pPr>
            <w:r w:rsidRPr="00E263F4">
              <w:rPr>
                <w:color w:val="000000"/>
                <w:sz w:val="22"/>
                <w:szCs w:val="22"/>
              </w:rPr>
              <w:t>0.73</w:t>
            </w:r>
          </w:p>
        </w:tc>
        <w:tc>
          <w:tcPr>
            <w:tcW w:w="646" w:type="pct"/>
            <w:gridSpan w:val="2"/>
            <w:tcBorders>
              <w:top w:val="nil"/>
              <w:left w:val="nil"/>
              <w:bottom w:val="single" w:sz="4" w:space="0" w:color="auto"/>
              <w:right w:val="single" w:sz="4" w:space="0" w:color="auto"/>
            </w:tcBorders>
            <w:shd w:val="clear" w:color="auto" w:fill="auto"/>
            <w:noWrap/>
            <w:vAlign w:val="bottom"/>
          </w:tcPr>
          <w:p w14:paraId="42A6C372" w14:textId="4A565115" w:rsidR="00E263F4" w:rsidRPr="00E263F4" w:rsidRDefault="00E263F4" w:rsidP="00E263F4">
            <w:pPr>
              <w:spacing w:before="0" w:after="0" w:line="240" w:lineRule="auto"/>
              <w:jc w:val="center"/>
              <w:rPr>
                <w:color w:val="auto"/>
                <w:sz w:val="20"/>
                <w:szCs w:val="20"/>
              </w:rPr>
            </w:pPr>
            <w:r w:rsidRPr="00E263F4">
              <w:rPr>
                <w:color w:val="000000"/>
                <w:sz w:val="22"/>
                <w:szCs w:val="22"/>
              </w:rPr>
              <w:t>0.45</w:t>
            </w:r>
          </w:p>
        </w:tc>
        <w:tc>
          <w:tcPr>
            <w:tcW w:w="644" w:type="pct"/>
            <w:tcBorders>
              <w:top w:val="nil"/>
              <w:left w:val="nil"/>
              <w:bottom w:val="single" w:sz="4" w:space="0" w:color="auto"/>
              <w:right w:val="single" w:sz="4" w:space="0" w:color="auto"/>
            </w:tcBorders>
            <w:shd w:val="clear" w:color="auto" w:fill="auto"/>
            <w:noWrap/>
            <w:vAlign w:val="bottom"/>
          </w:tcPr>
          <w:p w14:paraId="12A4B5EC" w14:textId="6C717049" w:rsidR="00E263F4" w:rsidRPr="00E263F4" w:rsidRDefault="00E263F4" w:rsidP="00E263F4">
            <w:pPr>
              <w:spacing w:before="0" w:after="0" w:line="240" w:lineRule="auto"/>
              <w:jc w:val="center"/>
              <w:rPr>
                <w:color w:val="auto"/>
                <w:sz w:val="20"/>
                <w:szCs w:val="20"/>
              </w:rPr>
            </w:pPr>
            <w:r w:rsidRPr="00E263F4">
              <w:rPr>
                <w:color w:val="000000"/>
                <w:sz w:val="22"/>
                <w:szCs w:val="22"/>
              </w:rPr>
              <w:t>0.49</w:t>
            </w:r>
          </w:p>
        </w:tc>
      </w:tr>
      <w:tr w:rsidR="00E263F4" w:rsidRPr="00E263F4" w14:paraId="787805C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71B06BE" w14:textId="77777777" w:rsidR="00E263F4" w:rsidRPr="00E263F4" w:rsidRDefault="00E263F4" w:rsidP="00E263F4">
            <w:pPr>
              <w:spacing w:before="0" w:after="0" w:line="240" w:lineRule="auto"/>
              <w:rPr>
                <w:color w:val="auto"/>
                <w:sz w:val="20"/>
                <w:szCs w:val="20"/>
              </w:rPr>
            </w:pPr>
            <w:r w:rsidRPr="00E263F4">
              <w:rPr>
                <w:color w:val="auto"/>
                <w:sz w:val="20"/>
                <w:szCs w:val="20"/>
              </w:rPr>
              <w:lastRenderedPageBreak/>
              <w:t>6</w:t>
            </w:r>
          </w:p>
        </w:tc>
        <w:tc>
          <w:tcPr>
            <w:tcW w:w="603" w:type="pct"/>
            <w:tcBorders>
              <w:top w:val="nil"/>
              <w:left w:val="nil"/>
              <w:bottom w:val="single" w:sz="4" w:space="0" w:color="auto"/>
              <w:right w:val="single" w:sz="4" w:space="0" w:color="auto"/>
            </w:tcBorders>
            <w:shd w:val="clear" w:color="auto" w:fill="auto"/>
            <w:noWrap/>
            <w:vAlign w:val="bottom"/>
          </w:tcPr>
          <w:p w14:paraId="12DE96AB" w14:textId="56EDA2AB" w:rsidR="00E263F4" w:rsidRPr="00E263F4" w:rsidRDefault="00E263F4" w:rsidP="00E263F4">
            <w:pPr>
              <w:spacing w:before="0" w:after="0" w:line="240" w:lineRule="auto"/>
              <w:jc w:val="center"/>
              <w:rPr>
                <w:color w:val="auto"/>
                <w:sz w:val="20"/>
                <w:szCs w:val="20"/>
              </w:rPr>
            </w:pPr>
            <w:r w:rsidRPr="00E263F4">
              <w:rPr>
                <w:color w:val="000000"/>
                <w:sz w:val="22"/>
                <w:szCs w:val="22"/>
              </w:rPr>
              <w:t>0.79</w:t>
            </w:r>
          </w:p>
        </w:tc>
        <w:tc>
          <w:tcPr>
            <w:tcW w:w="629" w:type="pct"/>
            <w:gridSpan w:val="2"/>
            <w:tcBorders>
              <w:top w:val="nil"/>
              <w:left w:val="nil"/>
              <w:bottom w:val="single" w:sz="4" w:space="0" w:color="auto"/>
              <w:right w:val="single" w:sz="4" w:space="0" w:color="auto"/>
            </w:tcBorders>
            <w:shd w:val="clear" w:color="auto" w:fill="auto"/>
            <w:noWrap/>
            <w:vAlign w:val="bottom"/>
          </w:tcPr>
          <w:p w14:paraId="0046EA54" w14:textId="75866797" w:rsidR="00E263F4" w:rsidRPr="00E263F4" w:rsidRDefault="00E263F4" w:rsidP="00E263F4">
            <w:pPr>
              <w:spacing w:before="0" w:after="0" w:line="240" w:lineRule="auto"/>
              <w:jc w:val="center"/>
              <w:rPr>
                <w:color w:val="auto"/>
                <w:sz w:val="20"/>
                <w:szCs w:val="20"/>
              </w:rPr>
            </w:pPr>
            <w:r w:rsidRPr="00E263F4">
              <w:rPr>
                <w:color w:val="000000"/>
                <w:sz w:val="22"/>
                <w:szCs w:val="22"/>
              </w:rPr>
              <w:t>1.00</w:t>
            </w:r>
          </w:p>
        </w:tc>
        <w:tc>
          <w:tcPr>
            <w:tcW w:w="631" w:type="pct"/>
            <w:gridSpan w:val="3"/>
            <w:tcBorders>
              <w:top w:val="nil"/>
              <w:left w:val="nil"/>
              <w:bottom w:val="single" w:sz="4" w:space="0" w:color="auto"/>
              <w:right w:val="single" w:sz="4" w:space="0" w:color="auto"/>
            </w:tcBorders>
            <w:shd w:val="clear" w:color="auto" w:fill="auto"/>
            <w:noWrap/>
            <w:vAlign w:val="bottom"/>
          </w:tcPr>
          <w:p w14:paraId="3B984194" w14:textId="4040F428" w:rsidR="00E263F4" w:rsidRPr="00E263F4" w:rsidRDefault="00E263F4" w:rsidP="00E263F4">
            <w:pPr>
              <w:spacing w:before="0" w:after="0" w:line="240" w:lineRule="auto"/>
              <w:jc w:val="center"/>
              <w:rPr>
                <w:color w:val="auto"/>
                <w:sz w:val="20"/>
                <w:szCs w:val="20"/>
              </w:rPr>
            </w:pPr>
            <w:r w:rsidRPr="00E263F4">
              <w:rPr>
                <w:color w:val="000000"/>
                <w:sz w:val="22"/>
                <w:szCs w:val="22"/>
              </w:rPr>
              <w:t>1.07</w:t>
            </w:r>
          </w:p>
        </w:tc>
        <w:tc>
          <w:tcPr>
            <w:tcW w:w="645" w:type="pct"/>
            <w:gridSpan w:val="2"/>
            <w:tcBorders>
              <w:top w:val="nil"/>
              <w:left w:val="nil"/>
              <w:bottom w:val="single" w:sz="4" w:space="0" w:color="auto"/>
              <w:right w:val="single" w:sz="4" w:space="0" w:color="auto"/>
            </w:tcBorders>
            <w:shd w:val="clear" w:color="auto" w:fill="auto"/>
            <w:noWrap/>
            <w:vAlign w:val="bottom"/>
          </w:tcPr>
          <w:p w14:paraId="5B1892EC" w14:textId="16E37661" w:rsidR="00E263F4" w:rsidRPr="00E263F4" w:rsidRDefault="00E263F4" w:rsidP="00E263F4">
            <w:pPr>
              <w:spacing w:before="0" w:after="0" w:line="240" w:lineRule="auto"/>
              <w:jc w:val="center"/>
              <w:rPr>
                <w:color w:val="auto"/>
                <w:sz w:val="20"/>
                <w:szCs w:val="20"/>
              </w:rPr>
            </w:pPr>
            <w:r w:rsidRPr="00E263F4">
              <w:rPr>
                <w:color w:val="000000"/>
                <w:sz w:val="22"/>
                <w:szCs w:val="22"/>
              </w:rPr>
              <w:t>0.86</w:t>
            </w:r>
          </w:p>
        </w:tc>
        <w:tc>
          <w:tcPr>
            <w:tcW w:w="646" w:type="pct"/>
            <w:gridSpan w:val="2"/>
            <w:tcBorders>
              <w:top w:val="nil"/>
              <w:left w:val="nil"/>
              <w:bottom w:val="single" w:sz="4" w:space="0" w:color="auto"/>
              <w:right w:val="single" w:sz="4" w:space="0" w:color="auto"/>
            </w:tcBorders>
            <w:shd w:val="clear" w:color="auto" w:fill="auto"/>
            <w:noWrap/>
            <w:vAlign w:val="bottom"/>
          </w:tcPr>
          <w:p w14:paraId="58C94CE3" w14:textId="2F412488"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c>
          <w:tcPr>
            <w:tcW w:w="644" w:type="pct"/>
            <w:tcBorders>
              <w:top w:val="nil"/>
              <w:left w:val="nil"/>
              <w:bottom w:val="single" w:sz="4" w:space="0" w:color="auto"/>
              <w:right w:val="single" w:sz="4" w:space="0" w:color="auto"/>
            </w:tcBorders>
            <w:shd w:val="clear" w:color="auto" w:fill="auto"/>
            <w:noWrap/>
            <w:vAlign w:val="bottom"/>
          </w:tcPr>
          <w:p w14:paraId="3D97828C" w14:textId="71233F35" w:rsidR="00E263F4" w:rsidRPr="00E263F4" w:rsidRDefault="00E263F4" w:rsidP="00E263F4">
            <w:pPr>
              <w:spacing w:before="0" w:after="0" w:line="240" w:lineRule="auto"/>
              <w:jc w:val="center"/>
              <w:rPr>
                <w:color w:val="auto"/>
                <w:sz w:val="20"/>
                <w:szCs w:val="20"/>
              </w:rPr>
            </w:pPr>
            <w:r w:rsidRPr="00E263F4">
              <w:rPr>
                <w:color w:val="000000"/>
                <w:sz w:val="22"/>
                <w:szCs w:val="22"/>
              </w:rPr>
              <w:t>0.94</w:t>
            </w:r>
          </w:p>
        </w:tc>
      </w:tr>
      <w:tr w:rsidR="00E263F4" w:rsidRPr="00E263F4" w14:paraId="7260496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2F82AA17" w14:textId="77777777" w:rsidR="00E263F4" w:rsidRPr="00E263F4" w:rsidRDefault="00E263F4" w:rsidP="00E263F4">
            <w:pPr>
              <w:spacing w:before="0" w:after="0" w:line="240" w:lineRule="auto"/>
              <w:rPr>
                <w:color w:val="auto"/>
                <w:sz w:val="20"/>
                <w:szCs w:val="20"/>
              </w:rPr>
            </w:pPr>
            <w:r w:rsidRPr="00E263F4">
              <w:rPr>
                <w:color w:val="auto"/>
                <w:sz w:val="20"/>
                <w:szCs w:val="20"/>
              </w:rPr>
              <w:t>7</w:t>
            </w:r>
          </w:p>
        </w:tc>
        <w:tc>
          <w:tcPr>
            <w:tcW w:w="603" w:type="pct"/>
            <w:tcBorders>
              <w:top w:val="nil"/>
              <w:left w:val="nil"/>
              <w:bottom w:val="single" w:sz="4" w:space="0" w:color="auto"/>
              <w:right w:val="single" w:sz="4" w:space="0" w:color="auto"/>
            </w:tcBorders>
            <w:shd w:val="clear" w:color="auto" w:fill="auto"/>
            <w:noWrap/>
            <w:vAlign w:val="bottom"/>
          </w:tcPr>
          <w:p w14:paraId="42C40581" w14:textId="703CD13B"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c>
          <w:tcPr>
            <w:tcW w:w="629" w:type="pct"/>
            <w:gridSpan w:val="2"/>
            <w:tcBorders>
              <w:top w:val="nil"/>
              <w:left w:val="nil"/>
              <w:bottom w:val="single" w:sz="4" w:space="0" w:color="auto"/>
              <w:right w:val="single" w:sz="4" w:space="0" w:color="auto"/>
            </w:tcBorders>
            <w:shd w:val="clear" w:color="auto" w:fill="auto"/>
            <w:noWrap/>
            <w:vAlign w:val="bottom"/>
          </w:tcPr>
          <w:p w14:paraId="7513F4D6" w14:textId="6833C3BC" w:rsidR="00E263F4" w:rsidRPr="00E263F4" w:rsidRDefault="00E263F4" w:rsidP="00E263F4">
            <w:pPr>
              <w:spacing w:before="0" w:after="0" w:line="240" w:lineRule="auto"/>
              <w:jc w:val="center"/>
              <w:rPr>
                <w:color w:val="auto"/>
                <w:sz w:val="20"/>
                <w:szCs w:val="20"/>
              </w:rPr>
            </w:pPr>
            <w:r w:rsidRPr="00E263F4">
              <w:rPr>
                <w:color w:val="000000"/>
                <w:sz w:val="22"/>
                <w:szCs w:val="22"/>
              </w:rPr>
              <w:t>0.85</w:t>
            </w:r>
          </w:p>
        </w:tc>
        <w:tc>
          <w:tcPr>
            <w:tcW w:w="631" w:type="pct"/>
            <w:gridSpan w:val="3"/>
            <w:tcBorders>
              <w:top w:val="nil"/>
              <w:left w:val="nil"/>
              <w:bottom w:val="single" w:sz="4" w:space="0" w:color="auto"/>
              <w:right w:val="single" w:sz="4" w:space="0" w:color="auto"/>
            </w:tcBorders>
            <w:shd w:val="clear" w:color="auto" w:fill="auto"/>
            <w:noWrap/>
            <w:vAlign w:val="bottom"/>
          </w:tcPr>
          <w:p w14:paraId="19A4A0D1" w14:textId="24E8F484"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c>
          <w:tcPr>
            <w:tcW w:w="645" w:type="pct"/>
            <w:gridSpan w:val="2"/>
            <w:tcBorders>
              <w:top w:val="nil"/>
              <w:left w:val="nil"/>
              <w:bottom w:val="single" w:sz="4" w:space="0" w:color="auto"/>
              <w:right w:val="single" w:sz="4" w:space="0" w:color="auto"/>
            </w:tcBorders>
            <w:shd w:val="clear" w:color="auto" w:fill="auto"/>
            <w:noWrap/>
            <w:vAlign w:val="bottom"/>
          </w:tcPr>
          <w:p w14:paraId="5BBA3B21" w14:textId="17F9310A"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127B4C97" w14:textId="4DDB123E" w:rsidR="00E263F4" w:rsidRPr="00E263F4" w:rsidRDefault="00E263F4" w:rsidP="00E263F4">
            <w:pPr>
              <w:spacing w:before="0" w:after="0" w:line="240" w:lineRule="auto"/>
              <w:jc w:val="center"/>
              <w:rPr>
                <w:color w:val="auto"/>
                <w:sz w:val="20"/>
                <w:szCs w:val="20"/>
              </w:rPr>
            </w:pPr>
            <w:r w:rsidRPr="00E263F4">
              <w:rPr>
                <w:color w:val="000000"/>
                <w:sz w:val="22"/>
                <w:szCs w:val="22"/>
              </w:rPr>
              <w:t>0.89</w:t>
            </w:r>
          </w:p>
        </w:tc>
        <w:tc>
          <w:tcPr>
            <w:tcW w:w="644" w:type="pct"/>
            <w:tcBorders>
              <w:top w:val="nil"/>
              <w:left w:val="nil"/>
              <w:bottom w:val="single" w:sz="4" w:space="0" w:color="auto"/>
              <w:right w:val="single" w:sz="4" w:space="0" w:color="auto"/>
            </w:tcBorders>
            <w:shd w:val="clear" w:color="auto" w:fill="auto"/>
            <w:noWrap/>
            <w:vAlign w:val="bottom"/>
          </w:tcPr>
          <w:p w14:paraId="1F35EA0A" w14:textId="6857A48B" w:rsidR="00E263F4" w:rsidRPr="00E263F4" w:rsidRDefault="00E263F4" w:rsidP="00E263F4">
            <w:pPr>
              <w:spacing w:before="0" w:after="0" w:line="240" w:lineRule="auto"/>
              <w:jc w:val="center"/>
              <w:rPr>
                <w:color w:val="auto"/>
                <w:sz w:val="20"/>
                <w:szCs w:val="20"/>
              </w:rPr>
            </w:pPr>
            <w:r w:rsidRPr="00E263F4">
              <w:rPr>
                <w:color w:val="000000"/>
                <w:sz w:val="22"/>
                <w:szCs w:val="22"/>
              </w:rPr>
              <w:t>0.83</w:t>
            </w:r>
          </w:p>
        </w:tc>
      </w:tr>
      <w:tr w:rsidR="00E263F4" w:rsidRPr="00E263F4" w14:paraId="60307B3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2ED41CB" w14:textId="77777777" w:rsidR="00E263F4" w:rsidRPr="00E263F4" w:rsidRDefault="00E263F4" w:rsidP="00E263F4">
            <w:pPr>
              <w:spacing w:before="0" w:after="0" w:line="240" w:lineRule="auto"/>
              <w:rPr>
                <w:color w:val="auto"/>
                <w:sz w:val="20"/>
                <w:szCs w:val="20"/>
              </w:rPr>
            </w:pPr>
            <w:r w:rsidRPr="00E263F4">
              <w:rPr>
                <w:color w:val="auto"/>
                <w:sz w:val="20"/>
                <w:szCs w:val="20"/>
              </w:rPr>
              <w:t>8</w:t>
            </w:r>
          </w:p>
        </w:tc>
        <w:tc>
          <w:tcPr>
            <w:tcW w:w="603" w:type="pct"/>
            <w:tcBorders>
              <w:top w:val="nil"/>
              <w:left w:val="nil"/>
              <w:bottom w:val="single" w:sz="4" w:space="0" w:color="auto"/>
              <w:right w:val="single" w:sz="4" w:space="0" w:color="auto"/>
            </w:tcBorders>
            <w:shd w:val="clear" w:color="auto" w:fill="auto"/>
            <w:noWrap/>
            <w:vAlign w:val="bottom"/>
          </w:tcPr>
          <w:p w14:paraId="1302044E" w14:textId="05506867" w:rsidR="00E263F4" w:rsidRPr="00E263F4" w:rsidRDefault="00E263F4" w:rsidP="00E263F4">
            <w:pPr>
              <w:spacing w:before="0" w:after="0" w:line="240" w:lineRule="auto"/>
              <w:jc w:val="center"/>
              <w:rPr>
                <w:color w:val="auto"/>
                <w:sz w:val="20"/>
                <w:szCs w:val="20"/>
              </w:rPr>
            </w:pPr>
            <w:r w:rsidRPr="00E263F4">
              <w:rPr>
                <w:color w:val="000000"/>
                <w:sz w:val="22"/>
                <w:szCs w:val="22"/>
              </w:rPr>
              <w:t>0.89</w:t>
            </w:r>
          </w:p>
        </w:tc>
        <w:tc>
          <w:tcPr>
            <w:tcW w:w="629" w:type="pct"/>
            <w:gridSpan w:val="2"/>
            <w:tcBorders>
              <w:top w:val="nil"/>
              <w:left w:val="nil"/>
              <w:bottom w:val="single" w:sz="4" w:space="0" w:color="auto"/>
              <w:right w:val="single" w:sz="4" w:space="0" w:color="auto"/>
            </w:tcBorders>
            <w:shd w:val="clear" w:color="auto" w:fill="auto"/>
            <w:noWrap/>
            <w:vAlign w:val="bottom"/>
          </w:tcPr>
          <w:p w14:paraId="4F6BEC0B" w14:textId="78C1ED37" w:rsidR="00E263F4" w:rsidRPr="00E263F4" w:rsidRDefault="00E263F4" w:rsidP="00E263F4">
            <w:pPr>
              <w:spacing w:before="0" w:after="0" w:line="240" w:lineRule="auto"/>
              <w:jc w:val="center"/>
              <w:rPr>
                <w:color w:val="auto"/>
                <w:sz w:val="20"/>
                <w:szCs w:val="20"/>
              </w:rPr>
            </w:pPr>
            <w:r w:rsidRPr="00E263F4">
              <w:rPr>
                <w:color w:val="000000"/>
                <w:sz w:val="22"/>
                <w:szCs w:val="22"/>
              </w:rPr>
              <w:t>0.83</w:t>
            </w:r>
          </w:p>
        </w:tc>
        <w:tc>
          <w:tcPr>
            <w:tcW w:w="631" w:type="pct"/>
            <w:gridSpan w:val="3"/>
            <w:tcBorders>
              <w:top w:val="nil"/>
              <w:left w:val="nil"/>
              <w:bottom w:val="single" w:sz="4" w:space="0" w:color="auto"/>
              <w:right w:val="single" w:sz="4" w:space="0" w:color="auto"/>
            </w:tcBorders>
            <w:shd w:val="clear" w:color="auto" w:fill="auto"/>
            <w:noWrap/>
            <w:vAlign w:val="bottom"/>
          </w:tcPr>
          <w:p w14:paraId="7A4B3550" w14:textId="42B640DB" w:rsidR="00E263F4" w:rsidRPr="00E263F4" w:rsidRDefault="00E263F4" w:rsidP="00E263F4">
            <w:pPr>
              <w:spacing w:before="0" w:after="0" w:line="240" w:lineRule="auto"/>
              <w:jc w:val="center"/>
              <w:rPr>
                <w:color w:val="auto"/>
                <w:sz w:val="20"/>
                <w:szCs w:val="20"/>
              </w:rPr>
            </w:pPr>
            <w:r w:rsidRPr="00E263F4">
              <w:rPr>
                <w:color w:val="000000"/>
                <w:sz w:val="22"/>
                <w:szCs w:val="22"/>
              </w:rPr>
              <w:t>0.98</w:t>
            </w:r>
          </w:p>
        </w:tc>
        <w:tc>
          <w:tcPr>
            <w:tcW w:w="645" w:type="pct"/>
            <w:gridSpan w:val="2"/>
            <w:tcBorders>
              <w:top w:val="nil"/>
              <w:left w:val="nil"/>
              <w:bottom w:val="single" w:sz="4" w:space="0" w:color="auto"/>
              <w:right w:val="single" w:sz="4" w:space="0" w:color="auto"/>
            </w:tcBorders>
            <w:shd w:val="clear" w:color="auto" w:fill="auto"/>
            <w:noWrap/>
            <w:vAlign w:val="bottom"/>
          </w:tcPr>
          <w:p w14:paraId="32493DAB" w14:textId="64E2DE5C" w:rsidR="00E263F4" w:rsidRPr="00E263F4" w:rsidRDefault="00E263F4" w:rsidP="00E263F4">
            <w:pPr>
              <w:spacing w:before="0" w:after="0" w:line="240" w:lineRule="auto"/>
              <w:jc w:val="center"/>
              <w:rPr>
                <w:color w:val="auto"/>
                <w:sz w:val="20"/>
                <w:szCs w:val="20"/>
              </w:rPr>
            </w:pPr>
            <w:r w:rsidRPr="00E263F4">
              <w:rPr>
                <w:color w:val="000000"/>
                <w:sz w:val="22"/>
                <w:szCs w:val="22"/>
              </w:rPr>
              <w:t>1.02</w:t>
            </w:r>
          </w:p>
        </w:tc>
        <w:tc>
          <w:tcPr>
            <w:tcW w:w="646" w:type="pct"/>
            <w:gridSpan w:val="2"/>
            <w:tcBorders>
              <w:top w:val="nil"/>
              <w:left w:val="nil"/>
              <w:bottom w:val="single" w:sz="4" w:space="0" w:color="auto"/>
              <w:right w:val="single" w:sz="4" w:space="0" w:color="auto"/>
            </w:tcBorders>
            <w:shd w:val="clear" w:color="auto" w:fill="auto"/>
            <w:noWrap/>
            <w:vAlign w:val="bottom"/>
          </w:tcPr>
          <w:p w14:paraId="3ECF897C" w14:textId="6E79503A" w:rsidR="00E263F4" w:rsidRPr="00E263F4" w:rsidRDefault="00E263F4" w:rsidP="00E263F4">
            <w:pPr>
              <w:spacing w:before="0" w:after="0" w:line="240" w:lineRule="auto"/>
              <w:jc w:val="center"/>
              <w:rPr>
                <w:color w:val="auto"/>
                <w:sz w:val="20"/>
                <w:szCs w:val="20"/>
              </w:rPr>
            </w:pPr>
            <w:r w:rsidRPr="00E263F4">
              <w:rPr>
                <w:color w:val="000000"/>
                <w:sz w:val="22"/>
                <w:szCs w:val="22"/>
              </w:rPr>
              <w:t>1.05</w:t>
            </w:r>
          </w:p>
        </w:tc>
        <w:tc>
          <w:tcPr>
            <w:tcW w:w="644" w:type="pct"/>
            <w:tcBorders>
              <w:top w:val="nil"/>
              <w:left w:val="nil"/>
              <w:bottom w:val="single" w:sz="4" w:space="0" w:color="auto"/>
              <w:right w:val="single" w:sz="4" w:space="0" w:color="auto"/>
            </w:tcBorders>
            <w:shd w:val="clear" w:color="auto" w:fill="auto"/>
            <w:noWrap/>
            <w:vAlign w:val="bottom"/>
          </w:tcPr>
          <w:p w14:paraId="3ADA3503" w14:textId="3F07B4FC" w:rsidR="00E263F4" w:rsidRPr="00E263F4" w:rsidRDefault="00E263F4" w:rsidP="00E263F4">
            <w:pPr>
              <w:spacing w:before="0" w:after="0" w:line="240" w:lineRule="auto"/>
              <w:jc w:val="center"/>
              <w:rPr>
                <w:color w:val="auto"/>
                <w:sz w:val="20"/>
                <w:szCs w:val="20"/>
              </w:rPr>
            </w:pPr>
            <w:r w:rsidRPr="00E263F4">
              <w:rPr>
                <w:color w:val="000000"/>
                <w:sz w:val="22"/>
                <w:szCs w:val="22"/>
              </w:rPr>
              <w:t>1.06</w:t>
            </w:r>
          </w:p>
        </w:tc>
      </w:tr>
      <w:tr w:rsidR="00E263F4" w:rsidRPr="00E263F4" w14:paraId="435A6DA6"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3EF31577" w14:textId="77777777" w:rsidR="00E263F4" w:rsidRPr="00E263F4" w:rsidRDefault="00E263F4" w:rsidP="00E263F4">
            <w:pPr>
              <w:spacing w:before="0" w:after="0" w:line="240" w:lineRule="auto"/>
              <w:rPr>
                <w:color w:val="auto"/>
                <w:sz w:val="20"/>
                <w:szCs w:val="20"/>
              </w:rPr>
            </w:pPr>
            <w:r w:rsidRPr="00E263F4">
              <w:rPr>
                <w:color w:val="auto"/>
                <w:sz w:val="20"/>
                <w:szCs w:val="20"/>
              </w:rPr>
              <w:t>9</w:t>
            </w:r>
          </w:p>
        </w:tc>
        <w:tc>
          <w:tcPr>
            <w:tcW w:w="603" w:type="pct"/>
            <w:tcBorders>
              <w:top w:val="nil"/>
              <w:left w:val="nil"/>
              <w:bottom w:val="single" w:sz="4" w:space="0" w:color="auto"/>
              <w:right w:val="single" w:sz="4" w:space="0" w:color="auto"/>
            </w:tcBorders>
            <w:shd w:val="clear" w:color="auto" w:fill="auto"/>
            <w:noWrap/>
            <w:vAlign w:val="bottom"/>
          </w:tcPr>
          <w:p w14:paraId="0E8B4A14" w14:textId="25B70163" w:rsidR="00E263F4" w:rsidRPr="00E263F4" w:rsidRDefault="00E263F4" w:rsidP="00E263F4">
            <w:pPr>
              <w:spacing w:before="0" w:after="0" w:line="240" w:lineRule="auto"/>
              <w:jc w:val="center"/>
              <w:rPr>
                <w:color w:val="auto"/>
                <w:sz w:val="20"/>
                <w:szCs w:val="20"/>
              </w:rPr>
            </w:pPr>
            <w:r w:rsidRPr="00E263F4">
              <w:rPr>
                <w:color w:val="000000"/>
                <w:sz w:val="22"/>
                <w:szCs w:val="22"/>
              </w:rPr>
              <w:t>0.98</w:t>
            </w:r>
          </w:p>
        </w:tc>
        <w:tc>
          <w:tcPr>
            <w:tcW w:w="629" w:type="pct"/>
            <w:gridSpan w:val="2"/>
            <w:tcBorders>
              <w:top w:val="nil"/>
              <w:left w:val="nil"/>
              <w:bottom w:val="single" w:sz="4" w:space="0" w:color="auto"/>
              <w:right w:val="single" w:sz="4" w:space="0" w:color="auto"/>
            </w:tcBorders>
            <w:shd w:val="clear" w:color="auto" w:fill="auto"/>
            <w:noWrap/>
            <w:vAlign w:val="bottom"/>
          </w:tcPr>
          <w:p w14:paraId="10A59E8F" w14:textId="78BD04A2" w:rsidR="00E263F4" w:rsidRPr="00E263F4" w:rsidRDefault="00E263F4" w:rsidP="00E263F4">
            <w:pPr>
              <w:spacing w:before="0" w:after="0" w:line="240" w:lineRule="auto"/>
              <w:jc w:val="center"/>
              <w:rPr>
                <w:color w:val="auto"/>
                <w:sz w:val="20"/>
                <w:szCs w:val="20"/>
              </w:rPr>
            </w:pPr>
            <w:r w:rsidRPr="00E263F4">
              <w:rPr>
                <w:color w:val="000000"/>
                <w:sz w:val="22"/>
                <w:szCs w:val="22"/>
              </w:rPr>
              <w:t>0.96</w:t>
            </w:r>
          </w:p>
        </w:tc>
        <w:tc>
          <w:tcPr>
            <w:tcW w:w="631" w:type="pct"/>
            <w:gridSpan w:val="3"/>
            <w:tcBorders>
              <w:top w:val="nil"/>
              <w:left w:val="nil"/>
              <w:bottom w:val="single" w:sz="4" w:space="0" w:color="auto"/>
              <w:right w:val="single" w:sz="4" w:space="0" w:color="auto"/>
            </w:tcBorders>
            <w:shd w:val="clear" w:color="auto" w:fill="auto"/>
            <w:noWrap/>
            <w:vAlign w:val="bottom"/>
          </w:tcPr>
          <w:p w14:paraId="3CC09DC1" w14:textId="0667BA9C" w:rsidR="00E263F4" w:rsidRPr="00E263F4" w:rsidRDefault="00E263F4" w:rsidP="00E263F4">
            <w:pPr>
              <w:spacing w:before="0" w:after="0" w:line="240" w:lineRule="auto"/>
              <w:jc w:val="center"/>
              <w:rPr>
                <w:color w:val="auto"/>
                <w:sz w:val="20"/>
                <w:szCs w:val="20"/>
              </w:rPr>
            </w:pPr>
            <w:r w:rsidRPr="00E263F4">
              <w:rPr>
                <w:color w:val="000000"/>
                <w:sz w:val="22"/>
                <w:szCs w:val="22"/>
              </w:rPr>
              <w:t>1.00</w:t>
            </w:r>
          </w:p>
        </w:tc>
        <w:tc>
          <w:tcPr>
            <w:tcW w:w="645" w:type="pct"/>
            <w:gridSpan w:val="2"/>
            <w:tcBorders>
              <w:top w:val="nil"/>
              <w:left w:val="nil"/>
              <w:bottom w:val="single" w:sz="4" w:space="0" w:color="auto"/>
              <w:right w:val="single" w:sz="4" w:space="0" w:color="auto"/>
            </w:tcBorders>
            <w:shd w:val="clear" w:color="auto" w:fill="auto"/>
            <w:noWrap/>
            <w:vAlign w:val="bottom"/>
          </w:tcPr>
          <w:p w14:paraId="4470CBBB" w14:textId="546E9A9C" w:rsidR="00E263F4" w:rsidRPr="00E263F4" w:rsidRDefault="00E263F4" w:rsidP="00E263F4">
            <w:pPr>
              <w:spacing w:before="0" w:after="0" w:line="240" w:lineRule="auto"/>
              <w:jc w:val="center"/>
              <w:rPr>
                <w:color w:val="auto"/>
                <w:sz w:val="20"/>
                <w:szCs w:val="20"/>
              </w:rPr>
            </w:pPr>
            <w:r w:rsidRPr="00E263F4">
              <w:rPr>
                <w:color w:val="000000"/>
                <w:sz w:val="22"/>
                <w:szCs w:val="22"/>
              </w:rPr>
              <w:t>0.74</w:t>
            </w:r>
          </w:p>
        </w:tc>
        <w:tc>
          <w:tcPr>
            <w:tcW w:w="646" w:type="pct"/>
            <w:gridSpan w:val="2"/>
            <w:tcBorders>
              <w:top w:val="nil"/>
              <w:left w:val="nil"/>
              <w:bottom w:val="single" w:sz="4" w:space="0" w:color="auto"/>
              <w:right w:val="single" w:sz="4" w:space="0" w:color="auto"/>
            </w:tcBorders>
            <w:shd w:val="clear" w:color="auto" w:fill="auto"/>
            <w:noWrap/>
            <w:vAlign w:val="bottom"/>
          </w:tcPr>
          <w:p w14:paraId="36449DE0" w14:textId="322E2565" w:rsidR="00E263F4" w:rsidRPr="00E263F4" w:rsidRDefault="00E263F4" w:rsidP="00E263F4">
            <w:pPr>
              <w:spacing w:before="0" w:after="0" w:line="240" w:lineRule="auto"/>
              <w:jc w:val="center"/>
              <w:rPr>
                <w:color w:val="auto"/>
                <w:sz w:val="20"/>
                <w:szCs w:val="20"/>
              </w:rPr>
            </w:pPr>
            <w:r w:rsidRPr="00E263F4">
              <w:rPr>
                <w:color w:val="000000"/>
                <w:sz w:val="22"/>
                <w:szCs w:val="22"/>
              </w:rPr>
              <w:t>0.53</w:t>
            </w:r>
          </w:p>
        </w:tc>
        <w:tc>
          <w:tcPr>
            <w:tcW w:w="644" w:type="pct"/>
            <w:tcBorders>
              <w:top w:val="nil"/>
              <w:left w:val="nil"/>
              <w:bottom w:val="single" w:sz="4" w:space="0" w:color="auto"/>
              <w:right w:val="single" w:sz="4" w:space="0" w:color="auto"/>
            </w:tcBorders>
            <w:shd w:val="clear" w:color="auto" w:fill="auto"/>
            <w:noWrap/>
            <w:vAlign w:val="bottom"/>
          </w:tcPr>
          <w:p w14:paraId="01696528" w14:textId="2F5D5B8D" w:rsidR="00E263F4" w:rsidRPr="00E263F4" w:rsidRDefault="00E263F4" w:rsidP="00E263F4">
            <w:pPr>
              <w:spacing w:before="0" w:after="0" w:line="240" w:lineRule="auto"/>
              <w:jc w:val="center"/>
              <w:rPr>
                <w:color w:val="auto"/>
                <w:sz w:val="20"/>
                <w:szCs w:val="20"/>
              </w:rPr>
            </w:pPr>
            <w:r w:rsidRPr="00E263F4">
              <w:rPr>
                <w:color w:val="000000"/>
                <w:sz w:val="22"/>
                <w:szCs w:val="22"/>
              </w:rPr>
              <w:t>0.66</w:t>
            </w:r>
          </w:p>
        </w:tc>
      </w:tr>
      <w:tr w:rsidR="00E263F4" w:rsidRPr="00E263F4" w14:paraId="4A0D07AE"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F2D4308" w14:textId="77777777" w:rsidR="00E263F4" w:rsidRPr="00E263F4" w:rsidRDefault="00E263F4" w:rsidP="00E263F4">
            <w:pPr>
              <w:spacing w:before="0" w:after="0" w:line="240" w:lineRule="auto"/>
              <w:rPr>
                <w:color w:val="auto"/>
                <w:sz w:val="20"/>
                <w:szCs w:val="20"/>
              </w:rPr>
            </w:pPr>
            <w:r w:rsidRPr="00E263F4">
              <w:rPr>
                <w:color w:val="auto"/>
                <w:sz w:val="20"/>
                <w:szCs w:val="20"/>
              </w:rPr>
              <w:t>10</w:t>
            </w:r>
          </w:p>
        </w:tc>
        <w:tc>
          <w:tcPr>
            <w:tcW w:w="603" w:type="pct"/>
            <w:tcBorders>
              <w:top w:val="nil"/>
              <w:left w:val="nil"/>
              <w:bottom w:val="single" w:sz="4" w:space="0" w:color="auto"/>
              <w:right w:val="single" w:sz="4" w:space="0" w:color="auto"/>
            </w:tcBorders>
            <w:shd w:val="clear" w:color="auto" w:fill="auto"/>
            <w:noWrap/>
            <w:vAlign w:val="bottom"/>
          </w:tcPr>
          <w:p w14:paraId="06718B63" w14:textId="2B8DEB1E" w:rsidR="00E263F4" w:rsidRPr="00E263F4" w:rsidRDefault="00E263F4" w:rsidP="00E263F4">
            <w:pPr>
              <w:spacing w:before="0" w:after="0" w:line="240" w:lineRule="auto"/>
              <w:jc w:val="center"/>
              <w:rPr>
                <w:color w:val="auto"/>
                <w:sz w:val="20"/>
                <w:szCs w:val="20"/>
              </w:rPr>
            </w:pPr>
            <w:r w:rsidRPr="00E263F4">
              <w:rPr>
                <w:color w:val="000000"/>
                <w:sz w:val="22"/>
                <w:szCs w:val="22"/>
              </w:rPr>
              <w:t>0.93</w:t>
            </w:r>
          </w:p>
        </w:tc>
        <w:tc>
          <w:tcPr>
            <w:tcW w:w="629" w:type="pct"/>
            <w:gridSpan w:val="2"/>
            <w:tcBorders>
              <w:top w:val="nil"/>
              <w:left w:val="nil"/>
              <w:bottom w:val="single" w:sz="4" w:space="0" w:color="auto"/>
              <w:right w:val="single" w:sz="4" w:space="0" w:color="auto"/>
            </w:tcBorders>
            <w:shd w:val="clear" w:color="auto" w:fill="auto"/>
            <w:noWrap/>
            <w:vAlign w:val="bottom"/>
          </w:tcPr>
          <w:p w14:paraId="4CFD03A5" w14:textId="7E81AEE4" w:rsidR="00E263F4" w:rsidRPr="00E263F4" w:rsidRDefault="00E263F4" w:rsidP="00E263F4">
            <w:pPr>
              <w:spacing w:before="0" w:after="0" w:line="240" w:lineRule="auto"/>
              <w:jc w:val="center"/>
              <w:rPr>
                <w:color w:val="auto"/>
                <w:sz w:val="20"/>
                <w:szCs w:val="20"/>
              </w:rPr>
            </w:pPr>
            <w:r w:rsidRPr="00E263F4">
              <w:rPr>
                <w:color w:val="000000"/>
                <w:sz w:val="22"/>
                <w:szCs w:val="22"/>
              </w:rPr>
              <w:t>1.03</w:t>
            </w:r>
          </w:p>
        </w:tc>
        <w:tc>
          <w:tcPr>
            <w:tcW w:w="631" w:type="pct"/>
            <w:gridSpan w:val="3"/>
            <w:tcBorders>
              <w:top w:val="nil"/>
              <w:left w:val="nil"/>
              <w:bottom w:val="single" w:sz="4" w:space="0" w:color="auto"/>
              <w:right w:val="single" w:sz="4" w:space="0" w:color="auto"/>
            </w:tcBorders>
            <w:shd w:val="clear" w:color="auto" w:fill="auto"/>
            <w:noWrap/>
            <w:vAlign w:val="bottom"/>
          </w:tcPr>
          <w:p w14:paraId="2181B100" w14:textId="501F6E97" w:rsidR="00E263F4" w:rsidRPr="00E263F4" w:rsidRDefault="00E263F4" w:rsidP="00E263F4">
            <w:pPr>
              <w:spacing w:before="0" w:after="0" w:line="240" w:lineRule="auto"/>
              <w:jc w:val="center"/>
              <w:rPr>
                <w:color w:val="auto"/>
                <w:sz w:val="20"/>
                <w:szCs w:val="20"/>
              </w:rPr>
            </w:pPr>
            <w:r w:rsidRPr="00E263F4">
              <w:rPr>
                <w:color w:val="000000"/>
                <w:sz w:val="22"/>
                <w:szCs w:val="22"/>
              </w:rPr>
              <w:t>1.12</w:t>
            </w:r>
          </w:p>
        </w:tc>
        <w:tc>
          <w:tcPr>
            <w:tcW w:w="645" w:type="pct"/>
            <w:gridSpan w:val="2"/>
            <w:tcBorders>
              <w:top w:val="nil"/>
              <w:left w:val="nil"/>
              <w:bottom w:val="single" w:sz="4" w:space="0" w:color="auto"/>
              <w:right w:val="single" w:sz="4" w:space="0" w:color="auto"/>
            </w:tcBorders>
            <w:shd w:val="clear" w:color="auto" w:fill="auto"/>
            <w:noWrap/>
            <w:vAlign w:val="bottom"/>
          </w:tcPr>
          <w:p w14:paraId="07702199" w14:textId="60E28A2B" w:rsidR="00E263F4" w:rsidRPr="00E263F4" w:rsidRDefault="00E263F4" w:rsidP="00E263F4">
            <w:pPr>
              <w:spacing w:before="0" w:after="0" w:line="240" w:lineRule="auto"/>
              <w:jc w:val="center"/>
              <w:rPr>
                <w:color w:val="auto"/>
                <w:sz w:val="20"/>
                <w:szCs w:val="20"/>
              </w:rPr>
            </w:pPr>
            <w:r w:rsidRPr="00E263F4">
              <w:rPr>
                <w:color w:val="000000"/>
                <w:sz w:val="22"/>
                <w:szCs w:val="22"/>
              </w:rPr>
              <w:t>1.17</w:t>
            </w:r>
          </w:p>
        </w:tc>
        <w:tc>
          <w:tcPr>
            <w:tcW w:w="646" w:type="pct"/>
            <w:gridSpan w:val="2"/>
            <w:tcBorders>
              <w:top w:val="nil"/>
              <w:left w:val="nil"/>
              <w:bottom w:val="single" w:sz="4" w:space="0" w:color="auto"/>
              <w:right w:val="single" w:sz="4" w:space="0" w:color="auto"/>
            </w:tcBorders>
            <w:shd w:val="clear" w:color="auto" w:fill="auto"/>
            <w:noWrap/>
            <w:vAlign w:val="bottom"/>
          </w:tcPr>
          <w:p w14:paraId="73C5A0D4" w14:textId="6DDB825D" w:rsidR="00E263F4" w:rsidRPr="00E263F4" w:rsidRDefault="00E263F4" w:rsidP="00E263F4">
            <w:pPr>
              <w:spacing w:before="0" w:after="0" w:line="240" w:lineRule="auto"/>
              <w:jc w:val="center"/>
              <w:rPr>
                <w:color w:val="auto"/>
                <w:sz w:val="20"/>
                <w:szCs w:val="20"/>
              </w:rPr>
            </w:pPr>
            <w:r w:rsidRPr="00E263F4">
              <w:rPr>
                <w:color w:val="000000"/>
                <w:sz w:val="22"/>
                <w:szCs w:val="22"/>
              </w:rPr>
              <w:t>1.03</w:t>
            </w:r>
          </w:p>
        </w:tc>
        <w:tc>
          <w:tcPr>
            <w:tcW w:w="644" w:type="pct"/>
            <w:tcBorders>
              <w:top w:val="nil"/>
              <w:left w:val="nil"/>
              <w:bottom w:val="single" w:sz="4" w:space="0" w:color="auto"/>
              <w:right w:val="single" w:sz="4" w:space="0" w:color="auto"/>
            </w:tcBorders>
            <w:shd w:val="clear" w:color="auto" w:fill="auto"/>
            <w:noWrap/>
            <w:vAlign w:val="bottom"/>
          </w:tcPr>
          <w:p w14:paraId="7FB7D255" w14:textId="19251576"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r>
      <w:tr w:rsidR="00E263F4" w:rsidRPr="00E263F4" w14:paraId="0C8CBBA5"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70EC8157" w14:textId="77777777" w:rsidR="00E263F4" w:rsidRPr="00E263F4" w:rsidRDefault="00E263F4" w:rsidP="00E263F4">
            <w:pPr>
              <w:spacing w:before="0" w:after="0" w:line="240" w:lineRule="auto"/>
              <w:rPr>
                <w:color w:val="auto"/>
                <w:sz w:val="20"/>
                <w:szCs w:val="20"/>
              </w:rPr>
            </w:pPr>
            <w:r w:rsidRPr="00E263F4">
              <w:rPr>
                <w:color w:val="auto"/>
                <w:sz w:val="20"/>
                <w:szCs w:val="20"/>
              </w:rPr>
              <w:t>11</w:t>
            </w:r>
          </w:p>
        </w:tc>
        <w:tc>
          <w:tcPr>
            <w:tcW w:w="603" w:type="pct"/>
            <w:tcBorders>
              <w:top w:val="nil"/>
              <w:left w:val="nil"/>
              <w:bottom w:val="single" w:sz="4" w:space="0" w:color="auto"/>
              <w:right w:val="single" w:sz="4" w:space="0" w:color="auto"/>
            </w:tcBorders>
            <w:shd w:val="clear" w:color="auto" w:fill="auto"/>
            <w:noWrap/>
            <w:vAlign w:val="bottom"/>
          </w:tcPr>
          <w:p w14:paraId="3C2ACC5C" w14:textId="3EB50418" w:rsidR="00E263F4" w:rsidRPr="00E263F4" w:rsidRDefault="00E263F4" w:rsidP="00E263F4">
            <w:pPr>
              <w:spacing w:before="0" w:after="0" w:line="240" w:lineRule="auto"/>
              <w:jc w:val="center"/>
              <w:rPr>
                <w:color w:val="auto"/>
                <w:sz w:val="20"/>
                <w:szCs w:val="20"/>
              </w:rPr>
            </w:pPr>
            <w:r w:rsidRPr="00E263F4">
              <w:rPr>
                <w:color w:val="000000"/>
                <w:sz w:val="22"/>
                <w:szCs w:val="22"/>
              </w:rPr>
              <w:t>1.16</w:t>
            </w:r>
          </w:p>
        </w:tc>
        <w:tc>
          <w:tcPr>
            <w:tcW w:w="629" w:type="pct"/>
            <w:gridSpan w:val="2"/>
            <w:tcBorders>
              <w:top w:val="nil"/>
              <w:left w:val="nil"/>
              <w:bottom w:val="single" w:sz="4" w:space="0" w:color="auto"/>
              <w:right w:val="single" w:sz="4" w:space="0" w:color="auto"/>
            </w:tcBorders>
            <w:shd w:val="clear" w:color="auto" w:fill="auto"/>
            <w:noWrap/>
            <w:vAlign w:val="bottom"/>
          </w:tcPr>
          <w:p w14:paraId="50EEB2AC" w14:textId="416AD759" w:rsidR="00E263F4" w:rsidRPr="00E263F4" w:rsidRDefault="00E263F4" w:rsidP="00E263F4">
            <w:pPr>
              <w:spacing w:before="0" w:after="0" w:line="240" w:lineRule="auto"/>
              <w:jc w:val="center"/>
              <w:rPr>
                <w:color w:val="auto"/>
                <w:sz w:val="20"/>
                <w:szCs w:val="20"/>
              </w:rPr>
            </w:pPr>
            <w:r w:rsidRPr="00E263F4">
              <w:rPr>
                <w:color w:val="000000"/>
                <w:sz w:val="22"/>
                <w:szCs w:val="22"/>
              </w:rPr>
              <w:t>1.11</w:t>
            </w:r>
          </w:p>
        </w:tc>
        <w:tc>
          <w:tcPr>
            <w:tcW w:w="631" w:type="pct"/>
            <w:gridSpan w:val="3"/>
            <w:tcBorders>
              <w:top w:val="nil"/>
              <w:left w:val="nil"/>
              <w:bottom w:val="single" w:sz="4" w:space="0" w:color="auto"/>
              <w:right w:val="single" w:sz="4" w:space="0" w:color="auto"/>
            </w:tcBorders>
            <w:shd w:val="clear" w:color="auto" w:fill="auto"/>
            <w:noWrap/>
            <w:vAlign w:val="bottom"/>
          </w:tcPr>
          <w:p w14:paraId="704954BC" w14:textId="3AD447E0" w:rsidR="00E263F4" w:rsidRPr="00E263F4" w:rsidRDefault="00E263F4" w:rsidP="00E263F4">
            <w:pPr>
              <w:spacing w:before="0" w:after="0" w:line="240" w:lineRule="auto"/>
              <w:jc w:val="center"/>
              <w:rPr>
                <w:color w:val="auto"/>
                <w:sz w:val="20"/>
                <w:szCs w:val="20"/>
              </w:rPr>
            </w:pPr>
            <w:r w:rsidRPr="00E263F4">
              <w:rPr>
                <w:color w:val="000000"/>
                <w:sz w:val="22"/>
                <w:szCs w:val="22"/>
              </w:rPr>
              <w:t>1.16</w:t>
            </w:r>
          </w:p>
        </w:tc>
        <w:tc>
          <w:tcPr>
            <w:tcW w:w="645" w:type="pct"/>
            <w:gridSpan w:val="2"/>
            <w:tcBorders>
              <w:top w:val="nil"/>
              <w:left w:val="nil"/>
              <w:bottom w:val="single" w:sz="4" w:space="0" w:color="auto"/>
              <w:right w:val="single" w:sz="4" w:space="0" w:color="auto"/>
            </w:tcBorders>
            <w:shd w:val="clear" w:color="auto" w:fill="auto"/>
            <w:noWrap/>
            <w:vAlign w:val="bottom"/>
          </w:tcPr>
          <w:p w14:paraId="4844B1D9" w14:textId="7CD62E58" w:rsidR="00E263F4" w:rsidRPr="00E263F4" w:rsidRDefault="00E263F4" w:rsidP="00E263F4">
            <w:pPr>
              <w:spacing w:before="0" w:after="0" w:line="240" w:lineRule="auto"/>
              <w:jc w:val="center"/>
              <w:rPr>
                <w:color w:val="auto"/>
                <w:sz w:val="20"/>
                <w:szCs w:val="20"/>
              </w:rPr>
            </w:pPr>
            <w:r w:rsidRPr="00E263F4">
              <w:rPr>
                <w:color w:val="000000"/>
                <w:sz w:val="22"/>
                <w:szCs w:val="22"/>
              </w:rPr>
              <w:t>0.59</w:t>
            </w:r>
          </w:p>
        </w:tc>
        <w:tc>
          <w:tcPr>
            <w:tcW w:w="646" w:type="pct"/>
            <w:gridSpan w:val="2"/>
            <w:tcBorders>
              <w:top w:val="nil"/>
              <w:left w:val="nil"/>
              <w:bottom w:val="single" w:sz="4" w:space="0" w:color="auto"/>
              <w:right w:val="single" w:sz="4" w:space="0" w:color="auto"/>
            </w:tcBorders>
            <w:shd w:val="clear" w:color="auto" w:fill="auto"/>
            <w:noWrap/>
            <w:vAlign w:val="bottom"/>
          </w:tcPr>
          <w:p w14:paraId="0E67ADEC" w14:textId="3FBCDB3B" w:rsidR="00E263F4" w:rsidRPr="00E263F4" w:rsidRDefault="00E263F4" w:rsidP="00E263F4">
            <w:pPr>
              <w:spacing w:before="0" w:after="0" w:line="240" w:lineRule="auto"/>
              <w:jc w:val="center"/>
              <w:rPr>
                <w:color w:val="auto"/>
                <w:sz w:val="20"/>
                <w:szCs w:val="20"/>
              </w:rPr>
            </w:pPr>
            <w:r w:rsidRPr="00E263F4">
              <w:rPr>
                <w:color w:val="000000"/>
                <w:sz w:val="22"/>
                <w:szCs w:val="22"/>
              </w:rPr>
              <w:t>0.83</w:t>
            </w:r>
          </w:p>
        </w:tc>
        <w:tc>
          <w:tcPr>
            <w:tcW w:w="644" w:type="pct"/>
            <w:tcBorders>
              <w:top w:val="nil"/>
              <w:left w:val="nil"/>
              <w:bottom w:val="single" w:sz="4" w:space="0" w:color="auto"/>
              <w:right w:val="single" w:sz="4" w:space="0" w:color="auto"/>
            </w:tcBorders>
            <w:shd w:val="clear" w:color="auto" w:fill="auto"/>
            <w:noWrap/>
            <w:vAlign w:val="bottom"/>
          </w:tcPr>
          <w:p w14:paraId="3A87F347" w14:textId="4B334A9D" w:rsidR="00E263F4" w:rsidRPr="00E263F4" w:rsidRDefault="00E263F4" w:rsidP="00E263F4">
            <w:pPr>
              <w:spacing w:before="0" w:after="0" w:line="240" w:lineRule="auto"/>
              <w:jc w:val="center"/>
              <w:rPr>
                <w:color w:val="auto"/>
                <w:sz w:val="20"/>
                <w:szCs w:val="20"/>
              </w:rPr>
            </w:pPr>
            <w:r w:rsidRPr="00E263F4">
              <w:rPr>
                <w:color w:val="000000"/>
                <w:sz w:val="22"/>
                <w:szCs w:val="22"/>
              </w:rPr>
              <w:t>0.81</w:t>
            </w:r>
          </w:p>
        </w:tc>
      </w:tr>
      <w:tr w:rsidR="00E263F4" w:rsidRPr="00E263F4" w14:paraId="03CE3A5A"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E075C0C" w14:textId="77777777" w:rsidR="00E263F4" w:rsidRPr="00E263F4" w:rsidRDefault="00E263F4" w:rsidP="00E263F4">
            <w:pPr>
              <w:spacing w:before="0" w:after="0" w:line="240" w:lineRule="auto"/>
              <w:rPr>
                <w:color w:val="auto"/>
                <w:sz w:val="20"/>
                <w:szCs w:val="20"/>
              </w:rPr>
            </w:pPr>
            <w:r w:rsidRPr="00E263F4">
              <w:rPr>
                <w:color w:val="auto"/>
                <w:sz w:val="20"/>
                <w:szCs w:val="20"/>
              </w:rPr>
              <w:t>12</w:t>
            </w:r>
          </w:p>
        </w:tc>
        <w:tc>
          <w:tcPr>
            <w:tcW w:w="603" w:type="pct"/>
            <w:tcBorders>
              <w:top w:val="nil"/>
              <w:left w:val="nil"/>
              <w:bottom w:val="single" w:sz="4" w:space="0" w:color="auto"/>
              <w:right w:val="single" w:sz="4" w:space="0" w:color="auto"/>
            </w:tcBorders>
            <w:shd w:val="clear" w:color="auto" w:fill="auto"/>
            <w:noWrap/>
            <w:vAlign w:val="bottom"/>
          </w:tcPr>
          <w:p w14:paraId="4B62E730" w14:textId="09C23D42" w:rsidR="00E263F4" w:rsidRPr="00E263F4" w:rsidRDefault="00E263F4" w:rsidP="00E263F4">
            <w:pPr>
              <w:spacing w:before="0" w:after="0" w:line="240" w:lineRule="auto"/>
              <w:jc w:val="center"/>
              <w:rPr>
                <w:color w:val="auto"/>
                <w:sz w:val="20"/>
                <w:szCs w:val="20"/>
              </w:rPr>
            </w:pPr>
            <w:r w:rsidRPr="00E263F4">
              <w:rPr>
                <w:color w:val="000000"/>
                <w:sz w:val="22"/>
                <w:szCs w:val="22"/>
              </w:rPr>
              <w:t>0.88</w:t>
            </w:r>
          </w:p>
        </w:tc>
        <w:tc>
          <w:tcPr>
            <w:tcW w:w="629" w:type="pct"/>
            <w:gridSpan w:val="2"/>
            <w:tcBorders>
              <w:top w:val="nil"/>
              <w:left w:val="nil"/>
              <w:bottom w:val="single" w:sz="4" w:space="0" w:color="auto"/>
              <w:right w:val="single" w:sz="4" w:space="0" w:color="auto"/>
            </w:tcBorders>
            <w:shd w:val="clear" w:color="auto" w:fill="auto"/>
            <w:noWrap/>
            <w:vAlign w:val="bottom"/>
          </w:tcPr>
          <w:p w14:paraId="2C4C0A6F" w14:textId="7BB4C6BE" w:rsidR="00E263F4" w:rsidRPr="00E263F4" w:rsidRDefault="00E263F4" w:rsidP="00E263F4">
            <w:pPr>
              <w:spacing w:before="0" w:after="0" w:line="240" w:lineRule="auto"/>
              <w:jc w:val="center"/>
              <w:rPr>
                <w:color w:val="auto"/>
                <w:sz w:val="20"/>
                <w:szCs w:val="20"/>
              </w:rPr>
            </w:pPr>
            <w:r w:rsidRPr="00E263F4">
              <w:rPr>
                <w:color w:val="000000"/>
                <w:sz w:val="22"/>
                <w:szCs w:val="22"/>
              </w:rPr>
              <w:t>0.75</w:t>
            </w:r>
          </w:p>
        </w:tc>
        <w:tc>
          <w:tcPr>
            <w:tcW w:w="631" w:type="pct"/>
            <w:gridSpan w:val="3"/>
            <w:tcBorders>
              <w:top w:val="nil"/>
              <w:left w:val="nil"/>
              <w:bottom w:val="single" w:sz="4" w:space="0" w:color="auto"/>
              <w:right w:val="single" w:sz="4" w:space="0" w:color="auto"/>
            </w:tcBorders>
            <w:shd w:val="clear" w:color="auto" w:fill="auto"/>
            <w:noWrap/>
            <w:vAlign w:val="bottom"/>
          </w:tcPr>
          <w:p w14:paraId="7C3910AC" w14:textId="613968F3" w:rsidR="00E263F4" w:rsidRPr="00E263F4" w:rsidRDefault="00E263F4" w:rsidP="00E263F4">
            <w:pPr>
              <w:spacing w:before="0" w:after="0" w:line="240" w:lineRule="auto"/>
              <w:jc w:val="center"/>
              <w:rPr>
                <w:color w:val="auto"/>
                <w:sz w:val="20"/>
                <w:szCs w:val="20"/>
              </w:rPr>
            </w:pPr>
            <w:r w:rsidRPr="00E263F4">
              <w:rPr>
                <w:color w:val="000000"/>
                <w:sz w:val="22"/>
                <w:szCs w:val="22"/>
              </w:rPr>
              <w:t>0.78</w:t>
            </w:r>
          </w:p>
        </w:tc>
        <w:tc>
          <w:tcPr>
            <w:tcW w:w="645" w:type="pct"/>
            <w:gridSpan w:val="2"/>
            <w:tcBorders>
              <w:top w:val="nil"/>
              <w:left w:val="nil"/>
              <w:bottom w:val="single" w:sz="4" w:space="0" w:color="auto"/>
              <w:right w:val="single" w:sz="4" w:space="0" w:color="auto"/>
            </w:tcBorders>
            <w:shd w:val="clear" w:color="auto" w:fill="auto"/>
            <w:noWrap/>
            <w:vAlign w:val="bottom"/>
          </w:tcPr>
          <w:p w14:paraId="34419A36" w14:textId="727C0AEA" w:rsidR="00E263F4" w:rsidRPr="00E263F4" w:rsidRDefault="00E263F4" w:rsidP="00E263F4">
            <w:pPr>
              <w:spacing w:before="0" w:after="0" w:line="240" w:lineRule="auto"/>
              <w:jc w:val="center"/>
              <w:rPr>
                <w:color w:val="auto"/>
                <w:sz w:val="20"/>
                <w:szCs w:val="20"/>
              </w:rPr>
            </w:pPr>
            <w:r w:rsidRPr="00E263F4">
              <w:rPr>
                <w:color w:val="000000"/>
                <w:sz w:val="22"/>
                <w:szCs w:val="22"/>
              </w:rPr>
              <w:t>0.96</w:t>
            </w:r>
          </w:p>
        </w:tc>
        <w:tc>
          <w:tcPr>
            <w:tcW w:w="646" w:type="pct"/>
            <w:gridSpan w:val="2"/>
            <w:tcBorders>
              <w:top w:val="nil"/>
              <w:left w:val="nil"/>
              <w:bottom w:val="single" w:sz="4" w:space="0" w:color="auto"/>
              <w:right w:val="single" w:sz="4" w:space="0" w:color="auto"/>
            </w:tcBorders>
            <w:shd w:val="clear" w:color="auto" w:fill="auto"/>
            <w:noWrap/>
            <w:vAlign w:val="bottom"/>
          </w:tcPr>
          <w:p w14:paraId="53C5C9AE" w14:textId="1BBBAEA4" w:rsidR="00E263F4" w:rsidRPr="00E263F4" w:rsidRDefault="00E263F4" w:rsidP="00E263F4">
            <w:pPr>
              <w:spacing w:before="0" w:after="0" w:line="240" w:lineRule="auto"/>
              <w:jc w:val="center"/>
              <w:rPr>
                <w:color w:val="auto"/>
                <w:sz w:val="20"/>
                <w:szCs w:val="20"/>
              </w:rPr>
            </w:pPr>
            <w:r w:rsidRPr="00E263F4">
              <w:rPr>
                <w:color w:val="000000"/>
                <w:sz w:val="22"/>
                <w:szCs w:val="22"/>
              </w:rPr>
              <w:t>0.86</w:t>
            </w:r>
          </w:p>
        </w:tc>
        <w:tc>
          <w:tcPr>
            <w:tcW w:w="644" w:type="pct"/>
            <w:tcBorders>
              <w:top w:val="nil"/>
              <w:left w:val="nil"/>
              <w:bottom w:val="single" w:sz="4" w:space="0" w:color="auto"/>
              <w:right w:val="single" w:sz="4" w:space="0" w:color="auto"/>
            </w:tcBorders>
            <w:shd w:val="clear" w:color="auto" w:fill="auto"/>
            <w:noWrap/>
            <w:vAlign w:val="bottom"/>
          </w:tcPr>
          <w:p w14:paraId="65D6FDA9" w14:textId="0A279855" w:rsidR="00E263F4" w:rsidRPr="00E263F4" w:rsidRDefault="00E263F4" w:rsidP="00E263F4">
            <w:pPr>
              <w:spacing w:before="0" w:after="0" w:line="240" w:lineRule="auto"/>
              <w:jc w:val="center"/>
              <w:rPr>
                <w:color w:val="auto"/>
                <w:sz w:val="20"/>
                <w:szCs w:val="20"/>
              </w:rPr>
            </w:pPr>
            <w:r w:rsidRPr="00E263F4">
              <w:rPr>
                <w:color w:val="000000"/>
                <w:sz w:val="22"/>
                <w:szCs w:val="22"/>
              </w:rPr>
              <w:t>0.70</w:t>
            </w:r>
          </w:p>
        </w:tc>
      </w:tr>
      <w:tr w:rsidR="00E263F4" w:rsidRPr="00E263F4" w14:paraId="132E0AB7"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9A14F23" w14:textId="77777777" w:rsidR="00E263F4" w:rsidRPr="00E263F4" w:rsidRDefault="00E263F4" w:rsidP="00E263F4">
            <w:pPr>
              <w:spacing w:before="0" w:after="0" w:line="240" w:lineRule="auto"/>
              <w:rPr>
                <w:color w:val="auto"/>
                <w:sz w:val="20"/>
                <w:szCs w:val="20"/>
              </w:rPr>
            </w:pPr>
            <w:r w:rsidRPr="00E263F4">
              <w:rPr>
                <w:color w:val="auto"/>
                <w:sz w:val="20"/>
                <w:szCs w:val="20"/>
              </w:rPr>
              <w:t>13</w:t>
            </w:r>
          </w:p>
        </w:tc>
        <w:tc>
          <w:tcPr>
            <w:tcW w:w="603" w:type="pct"/>
            <w:tcBorders>
              <w:top w:val="nil"/>
              <w:left w:val="nil"/>
              <w:bottom w:val="single" w:sz="4" w:space="0" w:color="auto"/>
              <w:right w:val="single" w:sz="4" w:space="0" w:color="auto"/>
            </w:tcBorders>
            <w:shd w:val="clear" w:color="auto" w:fill="auto"/>
            <w:noWrap/>
            <w:vAlign w:val="bottom"/>
          </w:tcPr>
          <w:p w14:paraId="5C65AD48" w14:textId="2C0BA4AF" w:rsidR="00E263F4" w:rsidRPr="00E263F4" w:rsidRDefault="00E263F4" w:rsidP="00E263F4">
            <w:pPr>
              <w:spacing w:before="0" w:after="0" w:line="240" w:lineRule="auto"/>
              <w:jc w:val="center"/>
              <w:rPr>
                <w:color w:val="auto"/>
                <w:sz w:val="20"/>
                <w:szCs w:val="20"/>
              </w:rPr>
            </w:pPr>
            <w:r w:rsidRPr="00E263F4">
              <w:rPr>
                <w:color w:val="000000"/>
                <w:sz w:val="22"/>
                <w:szCs w:val="22"/>
              </w:rPr>
              <w:t>1.03</w:t>
            </w:r>
          </w:p>
        </w:tc>
        <w:tc>
          <w:tcPr>
            <w:tcW w:w="629" w:type="pct"/>
            <w:gridSpan w:val="2"/>
            <w:tcBorders>
              <w:top w:val="nil"/>
              <w:left w:val="nil"/>
              <w:bottom w:val="single" w:sz="4" w:space="0" w:color="auto"/>
              <w:right w:val="single" w:sz="4" w:space="0" w:color="auto"/>
            </w:tcBorders>
            <w:shd w:val="clear" w:color="auto" w:fill="auto"/>
            <w:noWrap/>
            <w:vAlign w:val="bottom"/>
          </w:tcPr>
          <w:p w14:paraId="43B58C81" w14:textId="55B9A311" w:rsidR="00E263F4" w:rsidRPr="00E263F4" w:rsidRDefault="00E263F4" w:rsidP="00E263F4">
            <w:pPr>
              <w:spacing w:before="0" w:after="0" w:line="240" w:lineRule="auto"/>
              <w:jc w:val="center"/>
              <w:rPr>
                <w:color w:val="auto"/>
                <w:sz w:val="20"/>
                <w:szCs w:val="20"/>
              </w:rPr>
            </w:pPr>
            <w:r w:rsidRPr="00E263F4">
              <w:rPr>
                <w:color w:val="000000"/>
                <w:sz w:val="22"/>
                <w:szCs w:val="22"/>
              </w:rPr>
              <w:t>0.95</w:t>
            </w:r>
          </w:p>
        </w:tc>
        <w:tc>
          <w:tcPr>
            <w:tcW w:w="631" w:type="pct"/>
            <w:gridSpan w:val="3"/>
            <w:tcBorders>
              <w:top w:val="nil"/>
              <w:left w:val="nil"/>
              <w:bottom w:val="single" w:sz="4" w:space="0" w:color="auto"/>
              <w:right w:val="single" w:sz="4" w:space="0" w:color="auto"/>
            </w:tcBorders>
            <w:shd w:val="clear" w:color="auto" w:fill="auto"/>
            <w:noWrap/>
            <w:vAlign w:val="bottom"/>
          </w:tcPr>
          <w:p w14:paraId="26DC198A" w14:textId="4DB1A6AE" w:rsidR="00E263F4" w:rsidRPr="00E263F4" w:rsidRDefault="00E263F4" w:rsidP="00E263F4">
            <w:pPr>
              <w:spacing w:before="0" w:after="0" w:line="240" w:lineRule="auto"/>
              <w:jc w:val="center"/>
              <w:rPr>
                <w:color w:val="auto"/>
                <w:sz w:val="20"/>
                <w:szCs w:val="20"/>
              </w:rPr>
            </w:pPr>
            <w:r w:rsidRPr="00E263F4">
              <w:rPr>
                <w:color w:val="000000"/>
                <w:sz w:val="22"/>
                <w:szCs w:val="22"/>
              </w:rPr>
              <w:t>0.94</w:t>
            </w:r>
          </w:p>
        </w:tc>
        <w:tc>
          <w:tcPr>
            <w:tcW w:w="645" w:type="pct"/>
            <w:gridSpan w:val="2"/>
            <w:tcBorders>
              <w:top w:val="nil"/>
              <w:left w:val="nil"/>
              <w:bottom w:val="single" w:sz="4" w:space="0" w:color="auto"/>
              <w:right w:val="single" w:sz="4" w:space="0" w:color="auto"/>
            </w:tcBorders>
            <w:shd w:val="clear" w:color="auto" w:fill="auto"/>
            <w:noWrap/>
            <w:vAlign w:val="bottom"/>
          </w:tcPr>
          <w:p w14:paraId="64CC9374" w14:textId="33544371" w:rsidR="00E263F4" w:rsidRPr="00E263F4" w:rsidRDefault="00E263F4" w:rsidP="00E263F4">
            <w:pPr>
              <w:spacing w:before="0" w:after="0" w:line="240" w:lineRule="auto"/>
              <w:jc w:val="center"/>
              <w:rPr>
                <w:color w:val="auto"/>
                <w:sz w:val="20"/>
                <w:szCs w:val="20"/>
              </w:rPr>
            </w:pPr>
            <w:r w:rsidRPr="00E263F4">
              <w:rPr>
                <w:color w:val="000000"/>
                <w:sz w:val="22"/>
                <w:szCs w:val="22"/>
              </w:rPr>
              <w:t>0.85</w:t>
            </w:r>
          </w:p>
        </w:tc>
        <w:tc>
          <w:tcPr>
            <w:tcW w:w="646" w:type="pct"/>
            <w:gridSpan w:val="2"/>
            <w:tcBorders>
              <w:top w:val="nil"/>
              <w:left w:val="nil"/>
              <w:bottom w:val="single" w:sz="4" w:space="0" w:color="auto"/>
              <w:right w:val="single" w:sz="4" w:space="0" w:color="auto"/>
            </w:tcBorders>
            <w:shd w:val="clear" w:color="auto" w:fill="auto"/>
            <w:noWrap/>
            <w:vAlign w:val="bottom"/>
          </w:tcPr>
          <w:p w14:paraId="1741BE8E" w14:textId="42AC24E9" w:rsidR="00E263F4" w:rsidRPr="00E263F4" w:rsidRDefault="00E263F4" w:rsidP="00E263F4">
            <w:pPr>
              <w:spacing w:before="0" w:after="0" w:line="240" w:lineRule="auto"/>
              <w:jc w:val="center"/>
              <w:rPr>
                <w:color w:val="auto"/>
                <w:sz w:val="20"/>
                <w:szCs w:val="20"/>
              </w:rPr>
            </w:pPr>
            <w:r w:rsidRPr="00E263F4">
              <w:rPr>
                <w:color w:val="000000"/>
                <w:sz w:val="22"/>
                <w:szCs w:val="22"/>
              </w:rPr>
              <w:t>0.77</w:t>
            </w:r>
          </w:p>
        </w:tc>
        <w:tc>
          <w:tcPr>
            <w:tcW w:w="644" w:type="pct"/>
            <w:tcBorders>
              <w:top w:val="nil"/>
              <w:left w:val="nil"/>
              <w:bottom w:val="single" w:sz="4" w:space="0" w:color="auto"/>
              <w:right w:val="single" w:sz="4" w:space="0" w:color="auto"/>
            </w:tcBorders>
            <w:shd w:val="clear" w:color="auto" w:fill="auto"/>
            <w:noWrap/>
            <w:vAlign w:val="bottom"/>
          </w:tcPr>
          <w:p w14:paraId="50381943" w14:textId="6110D6D5" w:rsidR="00E263F4" w:rsidRPr="00E263F4" w:rsidRDefault="00E263F4" w:rsidP="00E263F4">
            <w:pPr>
              <w:spacing w:before="0" w:after="0" w:line="240" w:lineRule="auto"/>
              <w:jc w:val="center"/>
              <w:rPr>
                <w:color w:val="auto"/>
                <w:sz w:val="20"/>
                <w:szCs w:val="20"/>
              </w:rPr>
            </w:pPr>
            <w:r w:rsidRPr="00E263F4">
              <w:rPr>
                <w:color w:val="000000"/>
                <w:sz w:val="22"/>
                <w:szCs w:val="22"/>
              </w:rPr>
              <w:t>0.63</w:t>
            </w:r>
          </w:p>
        </w:tc>
      </w:tr>
      <w:tr w:rsidR="00E263F4" w:rsidRPr="00E263F4" w14:paraId="4D5D05C9"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685DCD1E" w14:textId="77777777" w:rsidR="00E263F4" w:rsidRPr="00E263F4" w:rsidRDefault="00E263F4" w:rsidP="00E263F4">
            <w:pPr>
              <w:spacing w:before="0" w:after="0" w:line="240" w:lineRule="auto"/>
              <w:rPr>
                <w:color w:val="auto"/>
                <w:sz w:val="20"/>
                <w:szCs w:val="20"/>
              </w:rPr>
            </w:pPr>
            <w:r w:rsidRPr="00E263F4">
              <w:rPr>
                <w:color w:val="auto"/>
                <w:sz w:val="20"/>
                <w:szCs w:val="20"/>
              </w:rPr>
              <w:t>14</w:t>
            </w:r>
          </w:p>
        </w:tc>
        <w:tc>
          <w:tcPr>
            <w:tcW w:w="603" w:type="pct"/>
            <w:tcBorders>
              <w:top w:val="nil"/>
              <w:left w:val="nil"/>
              <w:bottom w:val="single" w:sz="4" w:space="0" w:color="auto"/>
              <w:right w:val="single" w:sz="4" w:space="0" w:color="auto"/>
            </w:tcBorders>
            <w:shd w:val="clear" w:color="auto" w:fill="auto"/>
            <w:noWrap/>
            <w:vAlign w:val="bottom"/>
          </w:tcPr>
          <w:p w14:paraId="7192F267" w14:textId="5E0EA190" w:rsidR="00E263F4" w:rsidRPr="00E263F4" w:rsidRDefault="00E263F4" w:rsidP="00E263F4">
            <w:pPr>
              <w:spacing w:before="0" w:after="0" w:line="240" w:lineRule="auto"/>
              <w:jc w:val="center"/>
              <w:rPr>
                <w:color w:val="auto"/>
                <w:sz w:val="20"/>
                <w:szCs w:val="20"/>
              </w:rPr>
            </w:pPr>
            <w:r w:rsidRPr="00E263F4">
              <w:rPr>
                <w:color w:val="000000"/>
                <w:sz w:val="22"/>
                <w:szCs w:val="22"/>
              </w:rPr>
              <w:t>1.11</w:t>
            </w:r>
          </w:p>
        </w:tc>
        <w:tc>
          <w:tcPr>
            <w:tcW w:w="629" w:type="pct"/>
            <w:gridSpan w:val="2"/>
            <w:tcBorders>
              <w:top w:val="nil"/>
              <w:left w:val="nil"/>
              <w:bottom w:val="single" w:sz="4" w:space="0" w:color="auto"/>
              <w:right w:val="single" w:sz="4" w:space="0" w:color="auto"/>
            </w:tcBorders>
            <w:shd w:val="clear" w:color="auto" w:fill="auto"/>
            <w:noWrap/>
            <w:vAlign w:val="bottom"/>
          </w:tcPr>
          <w:p w14:paraId="2D6A58F3" w14:textId="7258F8A3" w:rsidR="00E263F4" w:rsidRPr="00E263F4" w:rsidRDefault="00E263F4" w:rsidP="00E263F4">
            <w:pPr>
              <w:spacing w:before="0" w:after="0" w:line="240" w:lineRule="auto"/>
              <w:jc w:val="center"/>
              <w:rPr>
                <w:color w:val="auto"/>
                <w:sz w:val="20"/>
                <w:szCs w:val="20"/>
              </w:rPr>
            </w:pPr>
            <w:r w:rsidRPr="00E263F4">
              <w:rPr>
                <w:color w:val="000000"/>
                <w:sz w:val="22"/>
                <w:szCs w:val="22"/>
              </w:rPr>
              <w:t>1.02</w:t>
            </w:r>
          </w:p>
        </w:tc>
        <w:tc>
          <w:tcPr>
            <w:tcW w:w="631" w:type="pct"/>
            <w:gridSpan w:val="3"/>
            <w:tcBorders>
              <w:top w:val="nil"/>
              <w:left w:val="nil"/>
              <w:bottom w:val="single" w:sz="4" w:space="0" w:color="auto"/>
              <w:right w:val="single" w:sz="4" w:space="0" w:color="auto"/>
            </w:tcBorders>
            <w:shd w:val="clear" w:color="auto" w:fill="auto"/>
            <w:noWrap/>
            <w:vAlign w:val="bottom"/>
          </w:tcPr>
          <w:p w14:paraId="63E31BBF" w14:textId="5A47718F" w:rsidR="00E263F4" w:rsidRPr="00E263F4" w:rsidRDefault="00E263F4" w:rsidP="00E263F4">
            <w:pPr>
              <w:spacing w:before="0" w:after="0" w:line="240" w:lineRule="auto"/>
              <w:jc w:val="center"/>
              <w:rPr>
                <w:color w:val="auto"/>
                <w:sz w:val="20"/>
                <w:szCs w:val="20"/>
              </w:rPr>
            </w:pPr>
            <w:r w:rsidRPr="00E263F4">
              <w:rPr>
                <w:color w:val="000000"/>
                <w:sz w:val="22"/>
                <w:szCs w:val="22"/>
              </w:rPr>
              <w:t>1.07</w:t>
            </w:r>
          </w:p>
        </w:tc>
        <w:tc>
          <w:tcPr>
            <w:tcW w:w="645" w:type="pct"/>
            <w:gridSpan w:val="2"/>
            <w:tcBorders>
              <w:top w:val="nil"/>
              <w:left w:val="nil"/>
              <w:bottom w:val="single" w:sz="4" w:space="0" w:color="auto"/>
              <w:right w:val="single" w:sz="4" w:space="0" w:color="auto"/>
            </w:tcBorders>
            <w:shd w:val="clear" w:color="auto" w:fill="auto"/>
            <w:noWrap/>
            <w:vAlign w:val="bottom"/>
          </w:tcPr>
          <w:p w14:paraId="1AAC5471" w14:textId="01DC6DF8" w:rsidR="00E263F4" w:rsidRPr="00E263F4" w:rsidRDefault="00E263F4" w:rsidP="00E263F4">
            <w:pPr>
              <w:spacing w:before="0" w:after="0" w:line="240" w:lineRule="auto"/>
              <w:jc w:val="center"/>
              <w:rPr>
                <w:color w:val="auto"/>
                <w:sz w:val="20"/>
                <w:szCs w:val="20"/>
              </w:rPr>
            </w:pPr>
            <w:r w:rsidRPr="00E263F4">
              <w:rPr>
                <w:color w:val="000000"/>
                <w:sz w:val="22"/>
                <w:szCs w:val="22"/>
              </w:rPr>
              <w:t>1.03</w:t>
            </w:r>
          </w:p>
        </w:tc>
        <w:tc>
          <w:tcPr>
            <w:tcW w:w="646" w:type="pct"/>
            <w:gridSpan w:val="2"/>
            <w:tcBorders>
              <w:top w:val="nil"/>
              <w:left w:val="nil"/>
              <w:bottom w:val="single" w:sz="4" w:space="0" w:color="auto"/>
              <w:right w:val="single" w:sz="4" w:space="0" w:color="auto"/>
            </w:tcBorders>
            <w:shd w:val="clear" w:color="auto" w:fill="auto"/>
            <w:noWrap/>
            <w:vAlign w:val="bottom"/>
          </w:tcPr>
          <w:p w14:paraId="603035A9" w14:textId="00736F9B" w:rsidR="00E263F4" w:rsidRPr="00E263F4" w:rsidRDefault="00E263F4" w:rsidP="00E263F4">
            <w:pPr>
              <w:spacing w:before="0" w:after="0" w:line="240" w:lineRule="auto"/>
              <w:jc w:val="center"/>
              <w:rPr>
                <w:color w:val="auto"/>
                <w:sz w:val="20"/>
                <w:szCs w:val="20"/>
              </w:rPr>
            </w:pPr>
            <w:r w:rsidRPr="00E263F4">
              <w:rPr>
                <w:color w:val="000000"/>
                <w:sz w:val="22"/>
                <w:szCs w:val="22"/>
              </w:rPr>
              <w:t>0.81</w:t>
            </w:r>
          </w:p>
        </w:tc>
        <w:tc>
          <w:tcPr>
            <w:tcW w:w="644" w:type="pct"/>
            <w:tcBorders>
              <w:top w:val="nil"/>
              <w:left w:val="nil"/>
              <w:bottom w:val="single" w:sz="4" w:space="0" w:color="auto"/>
              <w:right w:val="single" w:sz="4" w:space="0" w:color="auto"/>
            </w:tcBorders>
            <w:shd w:val="clear" w:color="auto" w:fill="auto"/>
            <w:noWrap/>
            <w:vAlign w:val="bottom"/>
          </w:tcPr>
          <w:p w14:paraId="34878098" w14:textId="678D3CBD" w:rsidR="00E263F4" w:rsidRPr="00E263F4" w:rsidRDefault="00E263F4" w:rsidP="00E263F4">
            <w:pPr>
              <w:spacing w:before="0" w:after="0" w:line="240" w:lineRule="auto"/>
              <w:jc w:val="center"/>
              <w:rPr>
                <w:color w:val="auto"/>
                <w:sz w:val="20"/>
                <w:szCs w:val="20"/>
              </w:rPr>
            </w:pPr>
            <w:r w:rsidRPr="00E263F4">
              <w:rPr>
                <w:color w:val="000000"/>
                <w:sz w:val="22"/>
                <w:szCs w:val="22"/>
              </w:rPr>
              <w:t>0.81</w:t>
            </w:r>
          </w:p>
        </w:tc>
      </w:tr>
      <w:tr w:rsidR="00E263F4" w:rsidRPr="00E263F4" w14:paraId="54A17873"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04B3BD33" w14:textId="77777777" w:rsidR="00E263F4" w:rsidRPr="00E263F4" w:rsidRDefault="00E263F4" w:rsidP="00E263F4">
            <w:pPr>
              <w:spacing w:before="0" w:after="0" w:line="240" w:lineRule="auto"/>
              <w:rPr>
                <w:color w:val="auto"/>
                <w:sz w:val="20"/>
                <w:szCs w:val="20"/>
              </w:rPr>
            </w:pPr>
            <w:r w:rsidRPr="00E263F4">
              <w:rPr>
                <w:color w:val="auto"/>
                <w:sz w:val="20"/>
                <w:szCs w:val="20"/>
              </w:rPr>
              <w:t>15</w:t>
            </w:r>
          </w:p>
        </w:tc>
        <w:tc>
          <w:tcPr>
            <w:tcW w:w="603" w:type="pct"/>
            <w:tcBorders>
              <w:top w:val="nil"/>
              <w:left w:val="nil"/>
              <w:bottom w:val="single" w:sz="4" w:space="0" w:color="auto"/>
              <w:right w:val="single" w:sz="4" w:space="0" w:color="auto"/>
            </w:tcBorders>
            <w:shd w:val="clear" w:color="auto" w:fill="auto"/>
            <w:noWrap/>
            <w:vAlign w:val="bottom"/>
          </w:tcPr>
          <w:p w14:paraId="7E6E0472" w14:textId="30600EAC" w:rsidR="00E263F4" w:rsidRPr="00E263F4" w:rsidRDefault="00E263F4" w:rsidP="00E263F4">
            <w:pPr>
              <w:spacing w:before="0" w:after="0" w:line="240" w:lineRule="auto"/>
              <w:jc w:val="center"/>
              <w:rPr>
                <w:color w:val="auto"/>
                <w:sz w:val="20"/>
                <w:szCs w:val="20"/>
              </w:rPr>
            </w:pPr>
            <w:r w:rsidRPr="00E263F4">
              <w:rPr>
                <w:color w:val="000000"/>
                <w:sz w:val="22"/>
                <w:szCs w:val="22"/>
              </w:rPr>
              <w:t>1.03</w:t>
            </w:r>
          </w:p>
        </w:tc>
        <w:tc>
          <w:tcPr>
            <w:tcW w:w="629" w:type="pct"/>
            <w:gridSpan w:val="2"/>
            <w:tcBorders>
              <w:top w:val="nil"/>
              <w:left w:val="nil"/>
              <w:bottom w:val="single" w:sz="4" w:space="0" w:color="auto"/>
              <w:right w:val="single" w:sz="4" w:space="0" w:color="auto"/>
            </w:tcBorders>
            <w:shd w:val="clear" w:color="auto" w:fill="auto"/>
            <w:noWrap/>
            <w:vAlign w:val="bottom"/>
          </w:tcPr>
          <w:p w14:paraId="5DAD8F16" w14:textId="701FB86B" w:rsidR="00E263F4" w:rsidRPr="00E263F4" w:rsidRDefault="00E263F4" w:rsidP="00E263F4">
            <w:pPr>
              <w:spacing w:before="0" w:after="0" w:line="240" w:lineRule="auto"/>
              <w:jc w:val="center"/>
              <w:rPr>
                <w:color w:val="auto"/>
                <w:sz w:val="20"/>
                <w:szCs w:val="20"/>
              </w:rPr>
            </w:pPr>
            <w:r w:rsidRPr="00E263F4">
              <w:rPr>
                <w:color w:val="000000"/>
                <w:sz w:val="22"/>
                <w:szCs w:val="22"/>
              </w:rPr>
              <w:t>0.96</w:t>
            </w:r>
          </w:p>
        </w:tc>
        <w:tc>
          <w:tcPr>
            <w:tcW w:w="631" w:type="pct"/>
            <w:gridSpan w:val="3"/>
            <w:tcBorders>
              <w:top w:val="nil"/>
              <w:left w:val="nil"/>
              <w:bottom w:val="single" w:sz="4" w:space="0" w:color="auto"/>
              <w:right w:val="single" w:sz="4" w:space="0" w:color="auto"/>
            </w:tcBorders>
            <w:shd w:val="clear" w:color="auto" w:fill="auto"/>
            <w:noWrap/>
            <w:vAlign w:val="bottom"/>
          </w:tcPr>
          <w:p w14:paraId="66571AA1" w14:textId="0BF2DC35" w:rsidR="00E263F4" w:rsidRPr="00E263F4" w:rsidRDefault="00E263F4" w:rsidP="00E263F4">
            <w:pPr>
              <w:spacing w:before="0" w:after="0" w:line="240" w:lineRule="auto"/>
              <w:jc w:val="center"/>
              <w:rPr>
                <w:color w:val="auto"/>
                <w:sz w:val="20"/>
                <w:szCs w:val="20"/>
              </w:rPr>
            </w:pPr>
            <w:r w:rsidRPr="00E263F4">
              <w:rPr>
                <w:color w:val="000000"/>
                <w:sz w:val="22"/>
                <w:szCs w:val="22"/>
              </w:rPr>
              <w:t>1.10</w:t>
            </w:r>
          </w:p>
        </w:tc>
        <w:tc>
          <w:tcPr>
            <w:tcW w:w="645" w:type="pct"/>
            <w:gridSpan w:val="2"/>
            <w:tcBorders>
              <w:top w:val="nil"/>
              <w:left w:val="nil"/>
              <w:bottom w:val="single" w:sz="4" w:space="0" w:color="auto"/>
              <w:right w:val="single" w:sz="4" w:space="0" w:color="auto"/>
            </w:tcBorders>
            <w:shd w:val="clear" w:color="auto" w:fill="auto"/>
            <w:noWrap/>
            <w:vAlign w:val="bottom"/>
          </w:tcPr>
          <w:p w14:paraId="36A571F3" w14:textId="7EF69020" w:rsidR="00E263F4" w:rsidRPr="00E263F4" w:rsidRDefault="00E263F4" w:rsidP="00E263F4">
            <w:pPr>
              <w:spacing w:before="0" w:after="0" w:line="240" w:lineRule="auto"/>
              <w:jc w:val="center"/>
              <w:rPr>
                <w:color w:val="auto"/>
                <w:sz w:val="20"/>
                <w:szCs w:val="20"/>
              </w:rPr>
            </w:pPr>
            <w:r w:rsidRPr="00E263F4">
              <w:rPr>
                <w:color w:val="000000"/>
                <w:sz w:val="22"/>
                <w:szCs w:val="22"/>
              </w:rPr>
              <w:t>0.91</w:t>
            </w:r>
          </w:p>
        </w:tc>
        <w:tc>
          <w:tcPr>
            <w:tcW w:w="646" w:type="pct"/>
            <w:gridSpan w:val="2"/>
            <w:tcBorders>
              <w:top w:val="nil"/>
              <w:left w:val="nil"/>
              <w:bottom w:val="single" w:sz="4" w:space="0" w:color="auto"/>
              <w:right w:val="single" w:sz="4" w:space="0" w:color="auto"/>
            </w:tcBorders>
            <w:shd w:val="clear" w:color="auto" w:fill="auto"/>
            <w:noWrap/>
            <w:vAlign w:val="bottom"/>
          </w:tcPr>
          <w:p w14:paraId="04113A7E" w14:textId="540428A4" w:rsidR="00E263F4" w:rsidRPr="00E263F4" w:rsidRDefault="00E263F4" w:rsidP="00E263F4">
            <w:pPr>
              <w:spacing w:before="0" w:after="0" w:line="240" w:lineRule="auto"/>
              <w:jc w:val="center"/>
              <w:rPr>
                <w:color w:val="auto"/>
                <w:sz w:val="20"/>
                <w:szCs w:val="20"/>
              </w:rPr>
            </w:pPr>
            <w:r w:rsidRPr="00E263F4">
              <w:rPr>
                <w:color w:val="000000"/>
                <w:sz w:val="22"/>
                <w:szCs w:val="22"/>
              </w:rPr>
              <w:t>0.77</w:t>
            </w:r>
          </w:p>
        </w:tc>
        <w:tc>
          <w:tcPr>
            <w:tcW w:w="644" w:type="pct"/>
            <w:tcBorders>
              <w:top w:val="nil"/>
              <w:left w:val="nil"/>
              <w:bottom w:val="single" w:sz="4" w:space="0" w:color="auto"/>
              <w:right w:val="single" w:sz="4" w:space="0" w:color="auto"/>
            </w:tcBorders>
            <w:shd w:val="clear" w:color="auto" w:fill="auto"/>
            <w:noWrap/>
            <w:vAlign w:val="bottom"/>
          </w:tcPr>
          <w:p w14:paraId="23FDA4A1" w14:textId="3E97EFB9" w:rsidR="00E263F4" w:rsidRPr="00E263F4" w:rsidRDefault="00E263F4" w:rsidP="00E263F4">
            <w:pPr>
              <w:spacing w:before="0" w:after="0" w:line="240" w:lineRule="auto"/>
              <w:jc w:val="center"/>
              <w:rPr>
                <w:color w:val="auto"/>
                <w:sz w:val="20"/>
                <w:szCs w:val="20"/>
              </w:rPr>
            </w:pPr>
            <w:r w:rsidRPr="00E263F4">
              <w:rPr>
                <w:color w:val="000000"/>
                <w:sz w:val="22"/>
                <w:szCs w:val="22"/>
              </w:rPr>
              <w:t>0.73</w:t>
            </w:r>
          </w:p>
        </w:tc>
      </w:tr>
      <w:tr w:rsidR="00E263F4" w:rsidRPr="00E263F4" w14:paraId="3186DE12"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5196A3F3" w14:textId="77777777" w:rsidR="00E263F4" w:rsidRPr="00E263F4" w:rsidRDefault="00E263F4" w:rsidP="00E263F4">
            <w:pPr>
              <w:spacing w:before="0" w:after="0" w:line="240" w:lineRule="auto"/>
              <w:rPr>
                <w:b/>
                <w:bCs/>
                <w:color w:val="auto"/>
                <w:sz w:val="20"/>
                <w:szCs w:val="20"/>
              </w:rPr>
            </w:pPr>
            <w:r w:rsidRPr="00E263F4">
              <w:rPr>
                <w:b/>
                <w:bCs/>
                <w:color w:val="auto"/>
                <w:sz w:val="20"/>
                <w:szCs w:val="20"/>
              </w:rPr>
              <w:t xml:space="preserve">Grouped Mean </w:t>
            </w:r>
          </w:p>
        </w:tc>
        <w:tc>
          <w:tcPr>
            <w:tcW w:w="603" w:type="pct"/>
            <w:tcBorders>
              <w:top w:val="nil"/>
              <w:left w:val="nil"/>
              <w:bottom w:val="single" w:sz="4" w:space="0" w:color="auto"/>
              <w:right w:val="single" w:sz="4" w:space="0" w:color="auto"/>
            </w:tcBorders>
            <w:shd w:val="clear" w:color="auto" w:fill="auto"/>
            <w:noWrap/>
            <w:vAlign w:val="bottom"/>
          </w:tcPr>
          <w:p w14:paraId="1B1C88C2" w14:textId="65D4655F"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0.94</w:t>
            </w:r>
          </w:p>
        </w:tc>
        <w:tc>
          <w:tcPr>
            <w:tcW w:w="629" w:type="pct"/>
            <w:gridSpan w:val="2"/>
            <w:tcBorders>
              <w:top w:val="nil"/>
              <w:left w:val="nil"/>
              <w:bottom w:val="single" w:sz="4" w:space="0" w:color="auto"/>
              <w:right w:val="single" w:sz="4" w:space="0" w:color="auto"/>
            </w:tcBorders>
            <w:shd w:val="clear" w:color="auto" w:fill="auto"/>
            <w:noWrap/>
            <w:vAlign w:val="bottom"/>
          </w:tcPr>
          <w:p w14:paraId="30B72809" w14:textId="2041CD33"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0.94</w:t>
            </w:r>
          </w:p>
        </w:tc>
        <w:tc>
          <w:tcPr>
            <w:tcW w:w="631" w:type="pct"/>
            <w:gridSpan w:val="3"/>
            <w:tcBorders>
              <w:top w:val="nil"/>
              <w:left w:val="nil"/>
              <w:bottom w:val="single" w:sz="4" w:space="0" w:color="auto"/>
              <w:right w:val="single" w:sz="4" w:space="0" w:color="auto"/>
            </w:tcBorders>
            <w:shd w:val="clear" w:color="auto" w:fill="auto"/>
            <w:noWrap/>
            <w:vAlign w:val="bottom"/>
          </w:tcPr>
          <w:p w14:paraId="7D87A587" w14:textId="1769CF48"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0.99</w:t>
            </w:r>
          </w:p>
        </w:tc>
        <w:tc>
          <w:tcPr>
            <w:tcW w:w="645" w:type="pct"/>
            <w:gridSpan w:val="2"/>
            <w:tcBorders>
              <w:top w:val="nil"/>
              <w:left w:val="nil"/>
              <w:bottom w:val="single" w:sz="4" w:space="0" w:color="auto"/>
              <w:right w:val="single" w:sz="4" w:space="0" w:color="auto"/>
            </w:tcBorders>
            <w:shd w:val="clear" w:color="auto" w:fill="auto"/>
            <w:noWrap/>
            <w:vAlign w:val="bottom"/>
          </w:tcPr>
          <w:p w14:paraId="57E61817" w14:textId="5141C802"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0.86</w:t>
            </w:r>
          </w:p>
        </w:tc>
        <w:tc>
          <w:tcPr>
            <w:tcW w:w="646" w:type="pct"/>
            <w:gridSpan w:val="2"/>
            <w:tcBorders>
              <w:top w:val="nil"/>
              <w:left w:val="nil"/>
              <w:bottom w:val="single" w:sz="4" w:space="0" w:color="auto"/>
              <w:right w:val="single" w:sz="4" w:space="0" w:color="auto"/>
            </w:tcBorders>
            <w:shd w:val="clear" w:color="auto" w:fill="auto"/>
            <w:noWrap/>
            <w:vAlign w:val="bottom"/>
          </w:tcPr>
          <w:p w14:paraId="31370180" w14:textId="63A2E02C"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0.79</w:t>
            </w:r>
          </w:p>
        </w:tc>
        <w:tc>
          <w:tcPr>
            <w:tcW w:w="644" w:type="pct"/>
            <w:tcBorders>
              <w:top w:val="nil"/>
              <w:left w:val="nil"/>
              <w:bottom w:val="single" w:sz="4" w:space="0" w:color="auto"/>
              <w:right w:val="single" w:sz="4" w:space="0" w:color="auto"/>
            </w:tcBorders>
            <w:shd w:val="clear" w:color="auto" w:fill="auto"/>
            <w:noWrap/>
            <w:vAlign w:val="bottom"/>
          </w:tcPr>
          <w:p w14:paraId="2641487E" w14:textId="7A7EE3F4"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0.78</w:t>
            </w:r>
          </w:p>
        </w:tc>
      </w:tr>
      <w:tr w:rsidR="00E263F4" w:rsidRPr="00E263F4" w14:paraId="7DA6F51F" w14:textId="77777777" w:rsidTr="00E263F4">
        <w:trPr>
          <w:trHeight w:val="20"/>
        </w:trPr>
        <w:tc>
          <w:tcPr>
            <w:tcW w:w="1202" w:type="pct"/>
            <w:tcBorders>
              <w:top w:val="nil"/>
              <w:left w:val="single" w:sz="4" w:space="0" w:color="auto"/>
              <w:bottom w:val="single" w:sz="4" w:space="0" w:color="auto"/>
              <w:right w:val="single" w:sz="4" w:space="0" w:color="auto"/>
            </w:tcBorders>
            <w:shd w:val="clear" w:color="auto" w:fill="auto"/>
            <w:noWrap/>
            <w:vAlign w:val="bottom"/>
            <w:hideMark/>
          </w:tcPr>
          <w:p w14:paraId="1E021948" w14:textId="77777777" w:rsidR="00E263F4" w:rsidRPr="00E263F4" w:rsidRDefault="00E263F4" w:rsidP="00E263F4">
            <w:pPr>
              <w:spacing w:before="0" w:after="0" w:line="240" w:lineRule="auto"/>
              <w:rPr>
                <w:b/>
                <w:bCs/>
                <w:color w:val="auto"/>
                <w:sz w:val="20"/>
                <w:szCs w:val="20"/>
              </w:rPr>
            </w:pPr>
            <w:r w:rsidRPr="00E263F4">
              <w:rPr>
                <w:b/>
                <w:bCs/>
                <w:color w:val="auto"/>
                <w:sz w:val="20"/>
                <w:szCs w:val="20"/>
              </w:rPr>
              <w:t>SD</w:t>
            </w:r>
          </w:p>
        </w:tc>
        <w:tc>
          <w:tcPr>
            <w:tcW w:w="603" w:type="pct"/>
            <w:tcBorders>
              <w:top w:val="nil"/>
              <w:left w:val="nil"/>
              <w:bottom w:val="single" w:sz="4" w:space="0" w:color="auto"/>
              <w:right w:val="single" w:sz="4" w:space="0" w:color="auto"/>
            </w:tcBorders>
            <w:shd w:val="clear" w:color="auto" w:fill="auto"/>
            <w:noWrap/>
            <w:vAlign w:val="bottom"/>
          </w:tcPr>
          <w:p w14:paraId="5190903C" w14:textId="70FBFE06"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0.14</w:t>
            </w:r>
          </w:p>
        </w:tc>
        <w:tc>
          <w:tcPr>
            <w:tcW w:w="629" w:type="pct"/>
            <w:gridSpan w:val="2"/>
            <w:tcBorders>
              <w:top w:val="nil"/>
              <w:left w:val="nil"/>
              <w:bottom w:val="single" w:sz="4" w:space="0" w:color="auto"/>
              <w:right w:val="single" w:sz="4" w:space="0" w:color="auto"/>
            </w:tcBorders>
            <w:shd w:val="clear" w:color="auto" w:fill="auto"/>
            <w:noWrap/>
            <w:vAlign w:val="bottom"/>
          </w:tcPr>
          <w:p w14:paraId="31FA26AA" w14:textId="0E4D2C16"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0.10</w:t>
            </w:r>
          </w:p>
        </w:tc>
        <w:tc>
          <w:tcPr>
            <w:tcW w:w="631" w:type="pct"/>
            <w:gridSpan w:val="3"/>
            <w:tcBorders>
              <w:top w:val="nil"/>
              <w:left w:val="nil"/>
              <w:bottom w:val="single" w:sz="4" w:space="0" w:color="auto"/>
              <w:right w:val="single" w:sz="4" w:space="0" w:color="auto"/>
            </w:tcBorders>
            <w:shd w:val="clear" w:color="auto" w:fill="auto"/>
            <w:noWrap/>
            <w:vAlign w:val="bottom"/>
          </w:tcPr>
          <w:p w14:paraId="64AA0B91" w14:textId="41A0FDDE"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0.13</w:t>
            </w:r>
          </w:p>
        </w:tc>
        <w:tc>
          <w:tcPr>
            <w:tcW w:w="645" w:type="pct"/>
            <w:gridSpan w:val="2"/>
            <w:tcBorders>
              <w:top w:val="nil"/>
              <w:left w:val="nil"/>
              <w:bottom w:val="single" w:sz="4" w:space="0" w:color="auto"/>
              <w:right w:val="single" w:sz="4" w:space="0" w:color="auto"/>
            </w:tcBorders>
            <w:shd w:val="clear" w:color="auto" w:fill="auto"/>
            <w:noWrap/>
            <w:vAlign w:val="bottom"/>
          </w:tcPr>
          <w:p w14:paraId="6A8AA246" w14:textId="5837F820"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0.19</w:t>
            </w:r>
          </w:p>
        </w:tc>
        <w:tc>
          <w:tcPr>
            <w:tcW w:w="646" w:type="pct"/>
            <w:gridSpan w:val="2"/>
            <w:tcBorders>
              <w:top w:val="nil"/>
              <w:left w:val="nil"/>
              <w:bottom w:val="single" w:sz="4" w:space="0" w:color="auto"/>
              <w:right w:val="single" w:sz="4" w:space="0" w:color="auto"/>
            </w:tcBorders>
            <w:shd w:val="clear" w:color="auto" w:fill="auto"/>
            <w:noWrap/>
            <w:vAlign w:val="bottom"/>
          </w:tcPr>
          <w:p w14:paraId="63804725" w14:textId="7636D297"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0.18</w:t>
            </w:r>
          </w:p>
        </w:tc>
        <w:tc>
          <w:tcPr>
            <w:tcW w:w="644" w:type="pct"/>
            <w:tcBorders>
              <w:top w:val="nil"/>
              <w:left w:val="nil"/>
              <w:bottom w:val="single" w:sz="4" w:space="0" w:color="auto"/>
              <w:right w:val="single" w:sz="4" w:space="0" w:color="auto"/>
            </w:tcBorders>
            <w:shd w:val="clear" w:color="auto" w:fill="auto"/>
            <w:noWrap/>
            <w:vAlign w:val="bottom"/>
          </w:tcPr>
          <w:p w14:paraId="4B364FFA" w14:textId="3039EB6F" w:rsidR="00E263F4" w:rsidRPr="00E263F4" w:rsidRDefault="00E263F4" w:rsidP="00E263F4">
            <w:pPr>
              <w:spacing w:before="0" w:after="0" w:line="240" w:lineRule="auto"/>
              <w:jc w:val="center"/>
              <w:rPr>
                <w:b/>
                <w:bCs/>
                <w:color w:val="auto"/>
                <w:sz w:val="20"/>
                <w:szCs w:val="20"/>
              </w:rPr>
            </w:pPr>
            <w:r w:rsidRPr="00E263F4">
              <w:rPr>
                <w:b/>
                <w:bCs/>
                <w:color w:val="000000"/>
                <w:sz w:val="22"/>
                <w:szCs w:val="22"/>
              </w:rPr>
              <w:t>0.16</w:t>
            </w:r>
          </w:p>
        </w:tc>
      </w:tr>
    </w:tbl>
    <w:p w14:paraId="649F936B" w14:textId="77777777" w:rsidR="00D0688A" w:rsidRDefault="00D0688A" w:rsidP="00C4130D">
      <w:pPr>
        <w:pStyle w:val="Caption"/>
        <w:sectPr w:rsidR="00D0688A" w:rsidSect="00477959">
          <w:pgSz w:w="11906" w:h="16838" w:code="9"/>
          <w:pgMar w:top="1440" w:right="1440" w:bottom="1440" w:left="1440" w:header="708" w:footer="708" w:gutter="0"/>
          <w:cols w:space="708"/>
          <w:docGrid w:linePitch="360"/>
        </w:sectPr>
      </w:pPr>
      <w:bookmarkStart w:id="628" w:name="_Toc70087857"/>
      <w:bookmarkEnd w:id="626"/>
    </w:p>
    <w:p w14:paraId="6928C7F6" w14:textId="7C35043C" w:rsidR="004808A2" w:rsidRPr="009D4627" w:rsidRDefault="0040082A" w:rsidP="00C4130D">
      <w:pPr>
        <w:pStyle w:val="Caption"/>
      </w:pPr>
      <w:bookmarkStart w:id="629" w:name="_Toc55942564"/>
      <w:bookmarkStart w:id="630" w:name="_Toc57322398"/>
      <w:bookmarkStart w:id="631" w:name="_Toc72163460"/>
      <w:bookmarkStart w:id="632" w:name="_Toc75559095"/>
      <w:bookmarkStart w:id="633" w:name="_Toc98967461"/>
      <w:bookmarkEnd w:id="628"/>
      <w:r w:rsidRPr="009D4627">
        <w:lastRenderedPageBreak/>
        <w:t>Appendix 4.</w:t>
      </w:r>
      <w:r w:rsidR="002E63E9" w:rsidRPr="009D4627">
        <w:fldChar w:fldCharType="begin"/>
      </w:r>
      <w:r w:rsidR="002E63E9" w:rsidRPr="009D4627">
        <w:instrText xml:space="preserve"> SEQ Appendix_4. \* ARABIC </w:instrText>
      </w:r>
      <w:r w:rsidR="002E63E9" w:rsidRPr="009D4627">
        <w:fldChar w:fldCharType="separate"/>
      </w:r>
      <w:r w:rsidR="00E268F6">
        <w:rPr>
          <w:noProof/>
        </w:rPr>
        <w:t>1</w:t>
      </w:r>
      <w:r w:rsidR="002E63E9" w:rsidRPr="009D4627">
        <w:rPr>
          <w:noProof/>
        </w:rPr>
        <w:fldChar w:fldCharType="end"/>
      </w:r>
      <w:r w:rsidR="008F5D7F" w:rsidRPr="009D4627">
        <w:t xml:space="preserve">: </w:t>
      </w:r>
      <w:r w:rsidR="004808A2" w:rsidRPr="009D4627">
        <w:t xml:space="preserve">The testing sequence to examine the effect of performing </w:t>
      </w:r>
      <w:r w:rsidR="004258CF" w:rsidRPr="009D4627">
        <w:t>EMR</w:t>
      </w:r>
      <w:r w:rsidR="004808A2" w:rsidRPr="009D4627">
        <w:t xml:space="preserve"> using different target size on the normal young adults (n=19)</w:t>
      </w:r>
      <w:bookmarkEnd w:id="629"/>
      <w:bookmarkEnd w:id="630"/>
      <w:r w:rsidR="00A42142" w:rsidRPr="009D4627">
        <w:t xml:space="preserve"> for Experiment 2.</w:t>
      </w:r>
      <w:bookmarkEnd w:id="631"/>
      <w:bookmarkEnd w:id="632"/>
      <w:bookmarkEnd w:id="633"/>
    </w:p>
    <w:p w14:paraId="5C8C1D07" w14:textId="77777777" w:rsidR="004808A2" w:rsidRPr="009D4627" w:rsidRDefault="004808A2" w:rsidP="00A80E2A">
      <w:pPr>
        <w:spacing w:after="0" w:line="240" w:lineRule="auto"/>
        <w:rPr>
          <w:bCs/>
          <w:color w:val="auto"/>
          <w:sz w:val="20"/>
          <w:szCs w:val="20"/>
        </w:rPr>
      </w:pPr>
      <w:r w:rsidRPr="009D4627">
        <w:rPr>
          <w:bCs/>
          <w:color w:val="auto"/>
          <w:sz w:val="20"/>
          <w:szCs w:val="20"/>
        </w:rPr>
        <w:t>a) Fixation (FX)</w:t>
      </w:r>
    </w:p>
    <w:tbl>
      <w:tblPr>
        <w:tblStyle w:val="TableGrid14"/>
        <w:tblW w:w="9072" w:type="dxa"/>
        <w:jc w:val="center"/>
        <w:tblLayout w:type="fixed"/>
        <w:tblLook w:val="04A0" w:firstRow="1" w:lastRow="0" w:firstColumn="1" w:lastColumn="0" w:noHBand="0" w:noVBand="1"/>
      </w:tblPr>
      <w:tblGrid>
        <w:gridCol w:w="1702"/>
        <w:gridCol w:w="737"/>
        <w:gridCol w:w="737"/>
        <w:gridCol w:w="737"/>
        <w:gridCol w:w="737"/>
        <w:gridCol w:w="737"/>
        <w:gridCol w:w="737"/>
        <w:gridCol w:w="737"/>
        <w:gridCol w:w="737"/>
        <w:gridCol w:w="737"/>
        <w:gridCol w:w="737"/>
      </w:tblGrid>
      <w:tr w:rsidR="004808A2" w:rsidRPr="009D4627" w14:paraId="73E3084E" w14:textId="77777777" w:rsidTr="004808A2">
        <w:trPr>
          <w:jc w:val="center"/>
        </w:trPr>
        <w:tc>
          <w:tcPr>
            <w:tcW w:w="1702" w:type="dxa"/>
            <w:tcBorders>
              <w:tl2br w:val="nil"/>
            </w:tcBorders>
          </w:tcPr>
          <w:p w14:paraId="06428EA2"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 xml:space="preserve">Participant no. </w:t>
            </w:r>
          </w:p>
        </w:tc>
        <w:tc>
          <w:tcPr>
            <w:tcW w:w="737" w:type="dxa"/>
          </w:tcPr>
          <w:p w14:paraId="42667E5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w:t>
            </w:r>
          </w:p>
        </w:tc>
        <w:tc>
          <w:tcPr>
            <w:tcW w:w="737" w:type="dxa"/>
          </w:tcPr>
          <w:p w14:paraId="7109D73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w:t>
            </w:r>
          </w:p>
        </w:tc>
        <w:tc>
          <w:tcPr>
            <w:tcW w:w="737" w:type="dxa"/>
          </w:tcPr>
          <w:p w14:paraId="21929D1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3</w:t>
            </w:r>
          </w:p>
        </w:tc>
        <w:tc>
          <w:tcPr>
            <w:tcW w:w="737" w:type="dxa"/>
          </w:tcPr>
          <w:p w14:paraId="10A07CA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4</w:t>
            </w:r>
          </w:p>
        </w:tc>
        <w:tc>
          <w:tcPr>
            <w:tcW w:w="737" w:type="dxa"/>
          </w:tcPr>
          <w:p w14:paraId="77DAE696"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5</w:t>
            </w:r>
          </w:p>
        </w:tc>
        <w:tc>
          <w:tcPr>
            <w:tcW w:w="737" w:type="dxa"/>
          </w:tcPr>
          <w:p w14:paraId="23CCF31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6</w:t>
            </w:r>
          </w:p>
        </w:tc>
        <w:tc>
          <w:tcPr>
            <w:tcW w:w="737" w:type="dxa"/>
          </w:tcPr>
          <w:p w14:paraId="08978BA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7</w:t>
            </w:r>
          </w:p>
        </w:tc>
        <w:tc>
          <w:tcPr>
            <w:tcW w:w="737" w:type="dxa"/>
          </w:tcPr>
          <w:p w14:paraId="38D589F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8</w:t>
            </w:r>
          </w:p>
          <w:p w14:paraId="731BA691" w14:textId="77777777" w:rsidR="004808A2" w:rsidRPr="009D4627" w:rsidRDefault="004808A2" w:rsidP="008E4ED6">
            <w:pPr>
              <w:spacing w:before="0" w:after="0" w:line="240" w:lineRule="auto"/>
              <w:rPr>
                <w:b/>
                <w:bCs/>
                <w:color w:val="auto"/>
                <w:sz w:val="20"/>
                <w:szCs w:val="20"/>
              </w:rPr>
            </w:pPr>
          </w:p>
        </w:tc>
        <w:tc>
          <w:tcPr>
            <w:tcW w:w="737" w:type="dxa"/>
          </w:tcPr>
          <w:p w14:paraId="06D20BF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9</w:t>
            </w:r>
          </w:p>
        </w:tc>
        <w:tc>
          <w:tcPr>
            <w:tcW w:w="737" w:type="dxa"/>
          </w:tcPr>
          <w:p w14:paraId="43214C1C"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10</w:t>
            </w:r>
          </w:p>
          <w:p w14:paraId="6F71980C" w14:textId="77777777" w:rsidR="004808A2" w:rsidRPr="009D4627" w:rsidRDefault="004808A2" w:rsidP="008E4ED6">
            <w:pPr>
              <w:spacing w:before="0" w:after="0" w:line="240" w:lineRule="auto"/>
              <w:rPr>
                <w:b/>
                <w:bCs/>
                <w:color w:val="auto"/>
                <w:sz w:val="20"/>
                <w:szCs w:val="20"/>
              </w:rPr>
            </w:pPr>
          </w:p>
        </w:tc>
      </w:tr>
      <w:tr w:rsidR="004808A2" w:rsidRPr="009D4627" w14:paraId="086C5F5E" w14:textId="77777777" w:rsidTr="004808A2">
        <w:trPr>
          <w:jc w:val="center"/>
        </w:trPr>
        <w:tc>
          <w:tcPr>
            <w:tcW w:w="1702" w:type="dxa"/>
            <w:vMerge w:val="restart"/>
          </w:tcPr>
          <w:p w14:paraId="67C29397"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2EA5006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B0DC65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A7DC2C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5A7273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8981C4E"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E82C67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A0371F4"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137917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BD4EE7A"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2CDB38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181DA1A1" w14:textId="77777777" w:rsidTr="004808A2">
        <w:trPr>
          <w:jc w:val="center"/>
        </w:trPr>
        <w:tc>
          <w:tcPr>
            <w:tcW w:w="1702" w:type="dxa"/>
            <w:vMerge/>
          </w:tcPr>
          <w:p w14:paraId="40934428" w14:textId="77777777" w:rsidR="004808A2" w:rsidRPr="009D4627" w:rsidRDefault="004808A2" w:rsidP="008E4ED6">
            <w:pPr>
              <w:spacing w:before="0" w:after="0" w:line="240" w:lineRule="auto"/>
              <w:jc w:val="left"/>
              <w:rPr>
                <w:color w:val="auto"/>
                <w:sz w:val="20"/>
                <w:szCs w:val="20"/>
              </w:rPr>
            </w:pPr>
          </w:p>
        </w:tc>
        <w:tc>
          <w:tcPr>
            <w:tcW w:w="737" w:type="dxa"/>
          </w:tcPr>
          <w:p w14:paraId="6CAA9669"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75918DA"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01B53D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36B2CA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19BDCB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36EB26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8BF8238"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5F385E6"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A647D1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C1F4EC5"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262DA5CC" w14:textId="77777777" w:rsidTr="004808A2">
        <w:trPr>
          <w:jc w:val="center"/>
        </w:trPr>
        <w:tc>
          <w:tcPr>
            <w:tcW w:w="1702" w:type="dxa"/>
            <w:vMerge/>
          </w:tcPr>
          <w:p w14:paraId="43CE4A98" w14:textId="77777777" w:rsidR="004808A2" w:rsidRPr="009D4627" w:rsidRDefault="004808A2" w:rsidP="008E4ED6">
            <w:pPr>
              <w:spacing w:before="0" w:after="0" w:line="240" w:lineRule="auto"/>
              <w:jc w:val="left"/>
              <w:rPr>
                <w:color w:val="auto"/>
                <w:sz w:val="20"/>
                <w:szCs w:val="20"/>
              </w:rPr>
            </w:pPr>
          </w:p>
        </w:tc>
        <w:tc>
          <w:tcPr>
            <w:tcW w:w="737" w:type="dxa"/>
          </w:tcPr>
          <w:p w14:paraId="5C10906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280511B"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FB4273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D5046FE"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BC02DA0"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6A34B88"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1959CA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3A6F95A"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7B8A6F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1EA578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r w:rsidR="004808A2" w:rsidRPr="009D4627" w14:paraId="6F84DAAD" w14:textId="77777777" w:rsidTr="004808A2">
        <w:trPr>
          <w:jc w:val="center"/>
        </w:trPr>
        <w:tc>
          <w:tcPr>
            <w:tcW w:w="1701" w:type="dxa"/>
          </w:tcPr>
          <w:p w14:paraId="403E5A54" w14:textId="77777777" w:rsidR="004808A2" w:rsidRPr="009D4627" w:rsidRDefault="004808A2" w:rsidP="008E4ED6">
            <w:pPr>
              <w:spacing w:before="0" w:after="0" w:line="240" w:lineRule="auto"/>
              <w:ind w:right="-66"/>
              <w:jc w:val="left"/>
              <w:rPr>
                <w:b/>
                <w:bCs/>
                <w:color w:val="auto"/>
                <w:sz w:val="20"/>
                <w:szCs w:val="20"/>
              </w:rPr>
            </w:pPr>
            <w:r w:rsidRPr="009D4627">
              <w:rPr>
                <w:b/>
                <w:bCs/>
                <w:color w:val="auto"/>
                <w:sz w:val="20"/>
                <w:szCs w:val="20"/>
              </w:rPr>
              <w:t xml:space="preserve">Participant no.    </w:t>
            </w:r>
          </w:p>
        </w:tc>
        <w:tc>
          <w:tcPr>
            <w:tcW w:w="737" w:type="dxa"/>
          </w:tcPr>
          <w:p w14:paraId="331C0C7A"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11</w:t>
            </w:r>
          </w:p>
          <w:p w14:paraId="5617747E" w14:textId="77777777" w:rsidR="004808A2" w:rsidRPr="009D4627" w:rsidRDefault="004808A2" w:rsidP="008E4ED6">
            <w:pPr>
              <w:spacing w:before="0" w:after="0" w:line="240" w:lineRule="auto"/>
              <w:rPr>
                <w:b/>
                <w:bCs/>
                <w:color w:val="auto"/>
                <w:sz w:val="20"/>
                <w:szCs w:val="20"/>
              </w:rPr>
            </w:pPr>
          </w:p>
        </w:tc>
        <w:tc>
          <w:tcPr>
            <w:tcW w:w="737" w:type="dxa"/>
          </w:tcPr>
          <w:p w14:paraId="5CDCED3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12</w:t>
            </w:r>
          </w:p>
        </w:tc>
        <w:tc>
          <w:tcPr>
            <w:tcW w:w="737" w:type="dxa"/>
          </w:tcPr>
          <w:p w14:paraId="2286842C"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13</w:t>
            </w:r>
          </w:p>
        </w:tc>
        <w:tc>
          <w:tcPr>
            <w:tcW w:w="737" w:type="dxa"/>
          </w:tcPr>
          <w:p w14:paraId="1D89503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14</w:t>
            </w:r>
          </w:p>
        </w:tc>
        <w:tc>
          <w:tcPr>
            <w:tcW w:w="737" w:type="dxa"/>
          </w:tcPr>
          <w:p w14:paraId="37D8469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15</w:t>
            </w:r>
          </w:p>
        </w:tc>
        <w:tc>
          <w:tcPr>
            <w:tcW w:w="737" w:type="dxa"/>
          </w:tcPr>
          <w:p w14:paraId="7F182607"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16</w:t>
            </w:r>
          </w:p>
        </w:tc>
        <w:tc>
          <w:tcPr>
            <w:tcW w:w="737" w:type="dxa"/>
          </w:tcPr>
          <w:p w14:paraId="5C77D65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17</w:t>
            </w:r>
          </w:p>
        </w:tc>
        <w:tc>
          <w:tcPr>
            <w:tcW w:w="737" w:type="dxa"/>
          </w:tcPr>
          <w:p w14:paraId="7C660AA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18</w:t>
            </w:r>
          </w:p>
        </w:tc>
        <w:tc>
          <w:tcPr>
            <w:tcW w:w="737" w:type="dxa"/>
          </w:tcPr>
          <w:p w14:paraId="71B4E84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19</w:t>
            </w:r>
          </w:p>
        </w:tc>
        <w:tc>
          <w:tcPr>
            <w:tcW w:w="737" w:type="dxa"/>
          </w:tcPr>
          <w:p w14:paraId="44403D8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20</w:t>
            </w:r>
          </w:p>
        </w:tc>
      </w:tr>
      <w:tr w:rsidR="004808A2" w:rsidRPr="009D4627" w14:paraId="43DF809D" w14:textId="77777777" w:rsidTr="004808A2">
        <w:trPr>
          <w:jc w:val="center"/>
        </w:trPr>
        <w:tc>
          <w:tcPr>
            <w:tcW w:w="1701" w:type="dxa"/>
            <w:vMerge w:val="restart"/>
          </w:tcPr>
          <w:p w14:paraId="56C60400"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0594563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6BCF44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9F4B970"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C7ACF81"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E77958E"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CB12EA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457436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2C1FA52"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6ACFA33"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5074B4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431A1951" w14:textId="77777777" w:rsidTr="004808A2">
        <w:trPr>
          <w:jc w:val="center"/>
        </w:trPr>
        <w:tc>
          <w:tcPr>
            <w:tcW w:w="1701" w:type="dxa"/>
            <w:vMerge/>
          </w:tcPr>
          <w:p w14:paraId="7055EC1C" w14:textId="77777777" w:rsidR="004808A2" w:rsidRPr="009D4627" w:rsidRDefault="004808A2" w:rsidP="008E4ED6">
            <w:pPr>
              <w:spacing w:before="0" w:after="0" w:line="240" w:lineRule="auto"/>
              <w:jc w:val="left"/>
              <w:rPr>
                <w:color w:val="auto"/>
                <w:sz w:val="20"/>
                <w:szCs w:val="20"/>
              </w:rPr>
            </w:pPr>
          </w:p>
        </w:tc>
        <w:tc>
          <w:tcPr>
            <w:tcW w:w="737" w:type="dxa"/>
          </w:tcPr>
          <w:p w14:paraId="2B4FEFA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4A98859"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6E09E63"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22936E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22CD859"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D74954A"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C90123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E18D6FA"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9FBF15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1674DA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6D0D9456" w14:textId="77777777" w:rsidTr="004808A2">
        <w:trPr>
          <w:jc w:val="center"/>
        </w:trPr>
        <w:tc>
          <w:tcPr>
            <w:tcW w:w="1701" w:type="dxa"/>
            <w:vMerge/>
          </w:tcPr>
          <w:p w14:paraId="5B4A0D9E" w14:textId="77777777" w:rsidR="004808A2" w:rsidRPr="009D4627" w:rsidRDefault="004808A2" w:rsidP="008E4ED6">
            <w:pPr>
              <w:spacing w:before="0" w:after="0" w:line="240" w:lineRule="auto"/>
              <w:jc w:val="left"/>
              <w:rPr>
                <w:color w:val="auto"/>
                <w:sz w:val="20"/>
                <w:szCs w:val="20"/>
              </w:rPr>
            </w:pPr>
          </w:p>
        </w:tc>
        <w:tc>
          <w:tcPr>
            <w:tcW w:w="737" w:type="dxa"/>
          </w:tcPr>
          <w:p w14:paraId="42F9546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227730A"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E754A5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4B26B7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BD2599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FC33AF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FB9D23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6C1B87C"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0CF2B5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6BD73B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bl>
    <w:p w14:paraId="5DBCEB3B" w14:textId="6DCA4FDB" w:rsidR="004808A2" w:rsidRPr="009D4627" w:rsidRDefault="004808A2" w:rsidP="00A80E2A">
      <w:pPr>
        <w:spacing w:after="0" w:line="240" w:lineRule="auto"/>
        <w:rPr>
          <w:bCs/>
          <w:color w:val="auto"/>
          <w:sz w:val="20"/>
          <w:szCs w:val="20"/>
        </w:rPr>
      </w:pPr>
      <w:r w:rsidRPr="009D4627">
        <w:rPr>
          <w:bCs/>
          <w:color w:val="auto"/>
          <w:sz w:val="20"/>
          <w:szCs w:val="20"/>
        </w:rPr>
        <w:t xml:space="preserve">b) </w:t>
      </w:r>
      <w:r w:rsidR="00444E5B" w:rsidRPr="009D4627">
        <w:rPr>
          <w:bCs/>
          <w:color w:val="auto"/>
          <w:sz w:val="20"/>
          <w:szCs w:val="20"/>
        </w:rPr>
        <w:t xml:space="preserve">SP </w:t>
      </w:r>
      <w:r w:rsidRPr="009D4627">
        <w:rPr>
          <w:bCs/>
          <w:color w:val="auto"/>
          <w:sz w:val="20"/>
          <w:szCs w:val="20"/>
        </w:rPr>
        <w:t>Horizontal (PH)</w:t>
      </w:r>
    </w:p>
    <w:tbl>
      <w:tblPr>
        <w:tblStyle w:val="TableGrid14"/>
        <w:tblW w:w="9071" w:type="dxa"/>
        <w:jc w:val="center"/>
        <w:tblLayout w:type="fixed"/>
        <w:tblLook w:val="04A0" w:firstRow="1" w:lastRow="0" w:firstColumn="1" w:lastColumn="0" w:noHBand="0" w:noVBand="1"/>
      </w:tblPr>
      <w:tblGrid>
        <w:gridCol w:w="1701"/>
        <w:gridCol w:w="737"/>
        <w:gridCol w:w="737"/>
        <w:gridCol w:w="737"/>
        <w:gridCol w:w="737"/>
        <w:gridCol w:w="737"/>
        <w:gridCol w:w="737"/>
        <w:gridCol w:w="737"/>
        <w:gridCol w:w="737"/>
        <w:gridCol w:w="737"/>
        <w:gridCol w:w="737"/>
      </w:tblGrid>
      <w:tr w:rsidR="004808A2" w:rsidRPr="009D4627" w14:paraId="28F7D9ED" w14:textId="77777777" w:rsidTr="004808A2">
        <w:trPr>
          <w:jc w:val="center"/>
        </w:trPr>
        <w:tc>
          <w:tcPr>
            <w:tcW w:w="1702" w:type="dxa"/>
          </w:tcPr>
          <w:p w14:paraId="33991B96"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13C42B9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w:t>
            </w:r>
          </w:p>
        </w:tc>
        <w:tc>
          <w:tcPr>
            <w:tcW w:w="737" w:type="dxa"/>
          </w:tcPr>
          <w:p w14:paraId="67C8775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w:t>
            </w:r>
          </w:p>
        </w:tc>
        <w:tc>
          <w:tcPr>
            <w:tcW w:w="737" w:type="dxa"/>
          </w:tcPr>
          <w:p w14:paraId="10968B97"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3</w:t>
            </w:r>
          </w:p>
        </w:tc>
        <w:tc>
          <w:tcPr>
            <w:tcW w:w="737" w:type="dxa"/>
          </w:tcPr>
          <w:p w14:paraId="7A75CA90"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4</w:t>
            </w:r>
          </w:p>
        </w:tc>
        <w:tc>
          <w:tcPr>
            <w:tcW w:w="737" w:type="dxa"/>
          </w:tcPr>
          <w:p w14:paraId="13E8E4A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5</w:t>
            </w:r>
          </w:p>
        </w:tc>
        <w:tc>
          <w:tcPr>
            <w:tcW w:w="737" w:type="dxa"/>
          </w:tcPr>
          <w:p w14:paraId="6899D67A"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6</w:t>
            </w:r>
          </w:p>
        </w:tc>
        <w:tc>
          <w:tcPr>
            <w:tcW w:w="737" w:type="dxa"/>
          </w:tcPr>
          <w:p w14:paraId="70C5FC6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7</w:t>
            </w:r>
          </w:p>
        </w:tc>
        <w:tc>
          <w:tcPr>
            <w:tcW w:w="737" w:type="dxa"/>
          </w:tcPr>
          <w:p w14:paraId="767105C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8</w:t>
            </w:r>
          </w:p>
          <w:p w14:paraId="68F8C2EB" w14:textId="77777777" w:rsidR="004808A2" w:rsidRPr="009D4627" w:rsidRDefault="004808A2" w:rsidP="008E4ED6">
            <w:pPr>
              <w:spacing w:before="0" w:after="0" w:line="240" w:lineRule="auto"/>
              <w:rPr>
                <w:b/>
                <w:bCs/>
                <w:color w:val="auto"/>
                <w:sz w:val="20"/>
                <w:szCs w:val="20"/>
              </w:rPr>
            </w:pPr>
          </w:p>
        </w:tc>
        <w:tc>
          <w:tcPr>
            <w:tcW w:w="737" w:type="dxa"/>
          </w:tcPr>
          <w:p w14:paraId="2A5AA0CB"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9</w:t>
            </w:r>
          </w:p>
          <w:p w14:paraId="71D7430A" w14:textId="77777777" w:rsidR="004808A2" w:rsidRPr="009D4627" w:rsidRDefault="004808A2" w:rsidP="008E4ED6">
            <w:pPr>
              <w:spacing w:before="0" w:after="0" w:line="240" w:lineRule="auto"/>
              <w:rPr>
                <w:b/>
                <w:bCs/>
                <w:color w:val="auto"/>
                <w:sz w:val="20"/>
                <w:szCs w:val="20"/>
              </w:rPr>
            </w:pPr>
          </w:p>
        </w:tc>
        <w:tc>
          <w:tcPr>
            <w:tcW w:w="732" w:type="dxa"/>
          </w:tcPr>
          <w:p w14:paraId="6A33D8C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10</w:t>
            </w:r>
          </w:p>
          <w:p w14:paraId="62105E20" w14:textId="77777777" w:rsidR="004808A2" w:rsidRPr="009D4627" w:rsidRDefault="004808A2" w:rsidP="008E4ED6">
            <w:pPr>
              <w:spacing w:before="0" w:after="0" w:line="240" w:lineRule="auto"/>
              <w:rPr>
                <w:b/>
                <w:bCs/>
                <w:color w:val="auto"/>
                <w:sz w:val="20"/>
                <w:szCs w:val="20"/>
              </w:rPr>
            </w:pPr>
          </w:p>
        </w:tc>
      </w:tr>
      <w:tr w:rsidR="004808A2" w:rsidRPr="009D4627" w14:paraId="28ED96A9" w14:textId="77777777" w:rsidTr="004808A2">
        <w:trPr>
          <w:jc w:val="center"/>
        </w:trPr>
        <w:tc>
          <w:tcPr>
            <w:tcW w:w="1702" w:type="dxa"/>
            <w:vMerge w:val="restart"/>
          </w:tcPr>
          <w:p w14:paraId="47702CF1"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3578FD35"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D96A40E"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720AA1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B29271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4CE74A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F5EF55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8F6613F"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EFD7D8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DC5CDD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2" w:type="dxa"/>
          </w:tcPr>
          <w:p w14:paraId="38762EC9"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18D5B39F" w14:textId="77777777" w:rsidTr="004808A2">
        <w:trPr>
          <w:jc w:val="center"/>
        </w:trPr>
        <w:tc>
          <w:tcPr>
            <w:tcW w:w="1702" w:type="dxa"/>
            <w:vMerge/>
          </w:tcPr>
          <w:p w14:paraId="3DB9895E" w14:textId="77777777" w:rsidR="004808A2" w:rsidRPr="009D4627" w:rsidRDefault="004808A2" w:rsidP="008E4ED6">
            <w:pPr>
              <w:spacing w:before="0" w:after="0" w:line="240" w:lineRule="auto"/>
              <w:jc w:val="left"/>
              <w:rPr>
                <w:color w:val="auto"/>
                <w:sz w:val="20"/>
                <w:szCs w:val="20"/>
              </w:rPr>
            </w:pPr>
          </w:p>
        </w:tc>
        <w:tc>
          <w:tcPr>
            <w:tcW w:w="737" w:type="dxa"/>
          </w:tcPr>
          <w:p w14:paraId="11D7A8E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978546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84AD81F"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A51FBE6"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63969D8"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39E3B4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8556C1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020588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3F18A16"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2" w:type="dxa"/>
          </w:tcPr>
          <w:p w14:paraId="444B53A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096043BC" w14:textId="77777777" w:rsidTr="004808A2">
        <w:trPr>
          <w:jc w:val="center"/>
        </w:trPr>
        <w:tc>
          <w:tcPr>
            <w:tcW w:w="1702" w:type="dxa"/>
            <w:vMerge/>
          </w:tcPr>
          <w:p w14:paraId="59588ED6" w14:textId="77777777" w:rsidR="004808A2" w:rsidRPr="009D4627" w:rsidRDefault="004808A2" w:rsidP="008E4ED6">
            <w:pPr>
              <w:spacing w:before="0" w:after="0" w:line="240" w:lineRule="auto"/>
              <w:jc w:val="left"/>
              <w:rPr>
                <w:color w:val="auto"/>
                <w:sz w:val="20"/>
                <w:szCs w:val="20"/>
              </w:rPr>
            </w:pPr>
          </w:p>
        </w:tc>
        <w:tc>
          <w:tcPr>
            <w:tcW w:w="737" w:type="dxa"/>
          </w:tcPr>
          <w:p w14:paraId="356C8ACC"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01592E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6B12C6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601B47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A7486CF"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3645D4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C5C7CB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3282F5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7AE3BA2"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2" w:type="dxa"/>
          </w:tcPr>
          <w:p w14:paraId="223293E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r w:rsidR="004808A2" w:rsidRPr="009D4627" w14:paraId="1F795E4C" w14:textId="77777777" w:rsidTr="004808A2">
        <w:trPr>
          <w:jc w:val="center"/>
        </w:trPr>
        <w:tc>
          <w:tcPr>
            <w:tcW w:w="1701" w:type="dxa"/>
          </w:tcPr>
          <w:p w14:paraId="4D1335B9"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7500DD6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 xml:space="preserve">11 </w:t>
            </w:r>
          </w:p>
          <w:p w14:paraId="3D3AF1DE" w14:textId="77777777" w:rsidR="004808A2" w:rsidRPr="009D4627" w:rsidRDefault="004808A2" w:rsidP="008E4ED6">
            <w:pPr>
              <w:spacing w:before="0" w:after="0" w:line="240" w:lineRule="auto"/>
              <w:rPr>
                <w:b/>
                <w:bCs/>
                <w:color w:val="auto"/>
                <w:sz w:val="20"/>
                <w:szCs w:val="20"/>
              </w:rPr>
            </w:pPr>
          </w:p>
        </w:tc>
        <w:tc>
          <w:tcPr>
            <w:tcW w:w="737" w:type="dxa"/>
          </w:tcPr>
          <w:p w14:paraId="195D9AB5"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12</w:t>
            </w:r>
          </w:p>
        </w:tc>
        <w:tc>
          <w:tcPr>
            <w:tcW w:w="737" w:type="dxa"/>
          </w:tcPr>
          <w:p w14:paraId="3704C90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13</w:t>
            </w:r>
          </w:p>
        </w:tc>
        <w:tc>
          <w:tcPr>
            <w:tcW w:w="737" w:type="dxa"/>
          </w:tcPr>
          <w:p w14:paraId="4DA1D38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14</w:t>
            </w:r>
          </w:p>
        </w:tc>
        <w:tc>
          <w:tcPr>
            <w:tcW w:w="737" w:type="dxa"/>
          </w:tcPr>
          <w:p w14:paraId="543C0F9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15</w:t>
            </w:r>
          </w:p>
        </w:tc>
        <w:tc>
          <w:tcPr>
            <w:tcW w:w="737" w:type="dxa"/>
          </w:tcPr>
          <w:p w14:paraId="1F30281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16</w:t>
            </w:r>
          </w:p>
        </w:tc>
        <w:tc>
          <w:tcPr>
            <w:tcW w:w="737" w:type="dxa"/>
          </w:tcPr>
          <w:p w14:paraId="157EF8B0"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17</w:t>
            </w:r>
          </w:p>
        </w:tc>
        <w:tc>
          <w:tcPr>
            <w:tcW w:w="737" w:type="dxa"/>
          </w:tcPr>
          <w:p w14:paraId="431734DB"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18</w:t>
            </w:r>
          </w:p>
        </w:tc>
        <w:tc>
          <w:tcPr>
            <w:tcW w:w="737" w:type="dxa"/>
          </w:tcPr>
          <w:p w14:paraId="6C5382E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19</w:t>
            </w:r>
          </w:p>
        </w:tc>
        <w:tc>
          <w:tcPr>
            <w:tcW w:w="737" w:type="dxa"/>
          </w:tcPr>
          <w:p w14:paraId="5AD1035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20</w:t>
            </w:r>
          </w:p>
        </w:tc>
      </w:tr>
      <w:tr w:rsidR="004808A2" w:rsidRPr="009D4627" w14:paraId="01F1FD43" w14:textId="77777777" w:rsidTr="004808A2">
        <w:trPr>
          <w:jc w:val="center"/>
        </w:trPr>
        <w:tc>
          <w:tcPr>
            <w:tcW w:w="1701" w:type="dxa"/>
            <w:vMerge w:val="restart"/>
          </w:tcPr>
          <w:p w14:paraId="0E23469B"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7A58563D"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9F1494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89466C8"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037DF8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A86DB7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29F330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074C372"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A7ABF97"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214BFC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10EDAF1"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0788B227" w14:textId="77777777" w:rsidTr="004808A2">
        <w:trPr>
          <w:jc w:val="center"/>
        </w:trPr>
        <w:tc>
          <w:tcPr>
            <w:tcW w:w="1701" w:type="dxa"/>
            <w:vMerge/>
          </w:tcPr>
          <w:p w14:paraId="3B8D9F2C" w14:textId="77777777" w:rsidR="004808A2" w:rsidRPr="009D4627" w:rsidRDefault="004808A2" w:rsidP="008E4ED6">
            <w:pPr>
              <w:spacing w:before="0" w:after="0" w:line="240" w:lineRule="auto"/>
              <w:jc w:val="left"/>
              <w:rPr>
                <w:color w:val="auto"/>
                <w:sz w:val="20"/>
                <w:szCs w:val="20"/>
              </w:rPr>
            </w:pPr>
          </w:p>
        </w:tc>
        <w:tc>
          <w:tcPr>
            <w:tcW w:w="737" w:type="dxa"/>
          </w:tcPr>
          <w:p w14:paraId="43203ECB"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715BA2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792494C"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212C320"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4D4664A"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364D92F"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EECB1AC"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968E5E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848C7A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B1F36DE"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1308A709" w14:textId="77777777" w:rsidTr="004808A2">
        <w:trPr>
          <w:jc w:val="center"/>
        </w:trPr>
        <w:tc>
          <w:tcPr>
            <w:tcW w:w="1701" w:type="dxa"/>
            <w:vMerge/>
          </w:tcPr>
          <w:p w14:paraId="22272AEE" w14:textId="77777777" w:rsidR="004808A2" w:rsidRPr="009D4627" w:rsidRDefault="004808A2" w:rsidP="008E4ED6">
            <w:pPr>
              <w:spacing w:before="0" w:after="0" w:line="240" w:lineRule="auto"/>
              <w:jc w:val="left"/>
              <w:rPr>
                <w:color w:val="auto"/>
                <w:sz w:val="20"/>
                <w:szCs w:val="20"/>
              </w:rPr>
            </w:pPr>
          </w:p>
        </w:tc>
        <w:tc>
          <w:tcPr>
            <w:tcW w:w="737" w:type="dxa"/>
          </w:tcPr>
          <w:p w14:paraId="53A6BF1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EFE560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E3862D4"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4342FA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1146B24"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75EFF4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273E6F1"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36F5C2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230262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C339C86"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bl>
    <w:p w14:paraId="73D9E3C7" w14:textId="44EF6D67" w:rsidR="004808A2" w:rsidRPr="009D4627" w:rsidRDefault="004808A2" w:rsidP="00A80E2A">
      <w:pPr>
        <w:spacing w:after="0" w:line="240" w:lineRule="auto"/>
        <w:rPr>
          <w:bCs/>
          <w:color w:val="auto"/>
          <w:sz w:val="20"/>
          <w:szCs w:val="20"/>
        </w:rPr>
      </w:pPr>
      <w:r w:rsidRPr="009D4627">
        <w:rPr>
          <w:bCs/>
          <w:color w:val="auto"/>
          <w:sz w:val="20"/>
          <w:szCs w:val="20"/>
        </w:rPr>
        <w:t xml:space="preserve">c) </w:t>
      </w:r>
      <w:r w:rsidR="00444E5B" w:rsidRPr="009D4627">
        <w:rPr>
          <w:bCs/>
          <w:color w:val="auto"/>
          <w:sz w:val="20"/>
          <w:szCs w:val="20"/>
        </w:rPr>
        <w:t xml:space="preserve">SP </w:t>
      </w:r>
      <w:r w:rsidRPr="009D4627">
        <w:rPr>
          <w:bCs/>
          <w:color w:val="auto"/>
          <w:sz w:val="20"/>
          <w:szCs w:val="20"/>
        </w:rPr>
        <w:t>Vertical (PV)</w:t>
      </w:r>
    </w:p>
    <w:tbl>
      <w:tblPr>
        <w:tblStyle w:val="TableGrid14"/>
        <w:tblW w:w="9071" w:type="dxa"/>
        <w:jc w:val="center"/>
        <w:tblLayout w:type="fixed"/>
        <w:tblLook w:val="04A0" w:firstRow="1" w:lastRow="0" w:firstColumn="1" w:lastColumn="0" w:noHBand="0" w:noVBand="1"/>
      </w:tblPr>
      <w:tblGrid>
        <w:gridCol w:w="1701"/>
        <w:gridCol w:w="737"/>
        <w:gridCol w:w="737"/>
        <w:gridCol w:w="737"/>
        <w:gridCol w:w="737"/>
        <w:gridCol w:w="737"/>
        <w:gridCol w:w="737"/>
        <w:gridCol w:w="737"/>
        <w:gridCol w:w="737"/>
        <w:gridCol w:w="737"/>
        <w:gridCol w:w="737"/>
      </w:tblGrid>
      <w:tr w:rsidR="004808A2" w:rsidRPr="009D4627" w14:paraId="0AEF663C" w14:textId="77777777" w:rsidTr="004808A2">
        <w:trPr>
          <w:jc w:val="center"/>
        </w:trPr>
        <w:tc>
          <w:tcPr>
            <w:tcW w:w="1701" w:type="dxa"/>
          </w:tcPr>
          <w:p w14:paraId="09044DD8"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052B176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w:t>
            </w:r>
          </w:p>
        </w:tc>
        <w:tc>
          <w:tcPr>
            <w:tcW w:w="737" w:type="dxa"/>
          </w:tcPr>
          <w:p w14:paraId="612CE21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w:t>
            </w:r>
          </w:p>
        </w:tc>
        <w:tc>
          <w:tcPr>
            <w:tcW w:w="737" w:type="dxa"/>
          </w:tcPr>
          <w:p w14:paraId="11EB78BC"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3</w:t>
            </w:r>
          </w:p>
        </w:tc>
        <w:tc>
          <w:tcPr>
            <w:tcW w:w="737" w:type="dxa"/>
          </w:tcPr>
          <w:p w14:paraId="118383F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4</w:t>
            </w:r>
          </w:p>
        </w:tc>
        <w:tc>
          <w:tcPr>
            <w:tcW w:w="737" w:type="dxa"/>
          </w:tcPr>
          <w:p w14:paraId="7D6B4385"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5</w:t>
            </w:r>
          </w:p>
        </w:tc>
        <w:tc>
          <w:tcPr>
            <w:tcW w:w="737" w:type="dxa"/>
          </w:tcPr>
          <w:p w14:paraId="170A318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6</w:t>
            </w:r>
          </w:p>
        </w:tc>
        <w:tc>
          <w:tcPr>
            <w:tcW w:w="737" w:type="dxa"/>
          </w:tcPr>
          <w:p w14:paraId="7D1A538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7</w:t>
            </w:r>
          </w:p>
        </w:tc>
        <w:tc>
          <w:tcPr>
            <w:tcW w:w="737" w:type="dxa"/>
          </w:tcPr>
          <w:p w14:paraId="7602E27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8</w:t>
            </w:r>
          </w:p>
          <w:p w14:paraId="67B7D935" w14:textId="77777777" w:rsidR="004808A2" w:rsidRPr="009D4627" w:rsidRDefault="004808A2" w:rsidP="008E4ED6">
            <w:pPr>
              <w:spacing w:before="0" w:after="0" w:line="240" w:lineRule="auto"/>
              <w:rPr>
                <w:b/>
                <w:bCs/>
                <w:color w:val="auto"/>
                <w:sz w:val="20"/>
                <w:szCs w:val="20"/>
              </w:rPr>
            </w:pPr>
          </w:p>
        </w:tc>
        <w:tc>
          <w:tcPr>
            <w:tcW w:w="737" w:type="dxa"/>
          </w:tcPr>
          <w:p w14:paraId="1314B39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9</w:t>
            </w:r>
          </w:p>
          <w:p w14:paraId="1C39E8C5" w14:textId="77777777" w:rsidR="004808A2" w:rsidRPr="009D4627" w:rsidRDefault="004808A2" w:rsidP="008E4ED6">
            <w:pPr>
              <w:spacing w:before="0" w:after="0" w:line="240" w:lineRule="auto"/>
              <w:rPr>
                <w:b/>
                <w:bCs/>
                <w:color w:val="auto"/>
                <w:sz w:val="20"/>
                <w:szCs w:val="20"/>
              </w:rPr>
            </w:pPr>
          </w:p>
        </w:tc>
        <w:tc>
          <w:tcPr>
            <w:tcW w:w="737" w:type="dxa"/>
          </w:tcPr>
          <w:p w14:paraId="74A3834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10</w:t>
            </w:r>
          </w:p>
          <w:p w14:paraId="3FF090CA" w14:textId="77777777" w:rsidR="004808A2" w:rsidRPr="009D4627" w:rsidRDefault="004808A2" w:rsidP="008E4ED6">
            <w:pPr>
              <w:spacing w:before="0" w:after="0" w:line="240" w:lineRule="auto"/>
              <w:rPr>
                <w:b/>
                <w:bCs/>
                <w:color w:val="auto"/>
                <w:sz w:val="20"/>
                <w:szCs w:val="20"/>
              </w:rPr>
            </w:pPr>
          </w:p>
        </w:tc>
      </w:tr>
      <w:tr w:rsidR="004808A2" w:rsidRPr="009D4627" w14:paraId="15EE20AE" w14:textId="77777777" w:rsidTr="004808A2">
        <w:trPr>
          <w:jc w:val="center"/>
        </w:trPr>
        <w:tc>
          <w:tcPr>
            <w:tcW w:w="1701" w:type="dxa"/>
            <w:vMerge w:val="restart"/>
          </w:tcPr>
          <w:p w14:paraId="1D31BEE7"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187552C0"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7F4576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3C916F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4826C00"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A762247"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10DD563"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ABFF766"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1830C5A"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B7D9BC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CCD2AC1"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70D80772" w14:textId="77777777" w:rsidTr="004808A2">
        <w:trPr>
          <w:jc w:val="center"/>
        </w:trPr>
        <w:tc>
          <w:tcPr>
            <w:tcW w:w="1701" w:type="dxa"/>
            <w:vMerge/>
          </w:tcPr>
          <w:p w14:paraId="6B6882B5" w14:textId="77777777" w:rsidR="004808A2" w:rsidRPr="009D4627" w:rsidRDefault="004808A2" w:rsidP="008E4ED6">
            <w:pPr>
              <w:spacing w:before="0" w:after="0" w:line="240" w:lineRule="auto"/>
              <w:jc w:val="left"/>
              <w:rPr>
                <w:color w:val="auto"/>
                <w:sz w:val="20"/>
                <w:szCs w:val="20"/>
              </w:rPr>
            </w:pPr>
          </w:p>
        </w:tc>
        <w:tc>
          <w:tcPr>
            <w:tcW w:w="737" w:type="dxa"/>
          </w:tcPr>
          <w:p w14:paraId="236B4F3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6CBD02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3FDE8E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EDB9864"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97204F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634C93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2178B1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C3F918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DBDB26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172815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592CF054" w14:textId="77777777" w:rsidTr="004808A2">
        <w:trPr>
          <w:jc w:val="center"/>
        </w:trPr>
        <w:tc>
          <w:tcPr>
            <w:tcW w:w="1701" w:type="dxa"/>
            <w:vMerge/>
          </w:tcPr>
          <w:p w14:paraId="2AA28665" w14:textId="77777777" w:rsidR="004808A2" w:rsidRPr="009D4627" w:rsidRDefault="004808A2" w:rsidP="008E4ED6">
            <w:pPr>
              <w:spacing w:before="0" w:after="0" w:line="240" w:lineRule="auto"/>
              <w:jc w:val="left"/>
              <w:rPr>
                <w:color w:val="auto"/>
                <w:sz w:val="20"/>
                <w:szCs w:val="20"/>
              </w:rPr>
            </w:pPr>
          </w:p>
        </w:tc>
        <w:tc>
          <w:tcPr>
            <w:tcW w:w="737" w:type="dxa"/>
          </w:tcPr>
          <w:p w14:paraId="380A8C69"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7B9691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F00919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3DEDEC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8140D8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4586443"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E0B4537"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16B37E1"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94B97F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411C7D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r w:rsidR="004808A2" w:rsidRPr="009D4627" w14:paraId="44CBF504" w14:textId="77777777" w:rsidTr="004808A2">
        <w:trPr>
          <w:jc w:val="center"/>
        </w:trPr>
        <w:tc>
          <w:tcPr>
            <w:tcW w:w="1701" w:type="dxa"/>
          </w:tcPr>
          <w:p w14:paraId="2C0CA334"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7BDDCFD0"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 xml:space="preserve">11 </w:t>
            </w:r>
          </w:p>
          <w:p w14:paraId="077A5B2C" w14:textId="77777777" w:rsidR="004808A2" w:rsidRPr="009D4627" w:rsidRDefault="004808A2" w:rsidP="008E4ED6">
            <w:pPr>
              <w:spacing w:before="0" w:after="0" w:line="240" w:lineRule="auto"/>
              <w:rPr>
                <w:b/>
                <w:bCs/>
                <w:color w:val="auto"/>
                <w:sz w:val="20"/>
                <w:szCs w:val="20"/>
              </w:rPr>
            </w:pPr>
          </w:p>
        </w:tc>
        <w:tc>
          <w:tcPr>
            <w:tcW w:w="737" w:type="dxa"/>
          </w:tcPr>
          <w:p w14:paraId="7C085D27"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12</w:t>
            </w:r>
          </w:p>
        </w:tc>
        <w:tc>
          <w:tcPr>
            <w:tcW w:w="737" w:type="dxa"/>
          </w:tcPr>
          <w:p w14:paraId="67EAADE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13</w:t>
            </w:r>
          </w:p>
        </w:tc>
        <w:tc>
          <w:tcPr>
            <w:tcW w:w="737" w:type="dxa"/>
          </w:tcPr>
          <w:p w14:paraId="311D95B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14</w:t>
            </w:r>
          </w:p>
        </w:tc>
        <w:tc>
          <w:tcPr>
            <w:tcW w:w="737" w:type="dxa"/>
          </w:tcPr>
          <w:p w14:paraId="570636F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15</w:t>
            </w:r>
          </w:p>
        </w:tc>
        <w:tc>
          <w:tcPr>
            <w:tcW w:w="737" w:type="dxa"/>
          </w:tcPr>
          <w:p w14:paraId="2476C01A"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16</w:t>
            </w:r>
          </w:p>
        </w:tc>
        <w:tc>
          <w:tcPr>
            <w:tcW w:w="737" w:type="dxa"/>
          </w:tcPr>
          <w:p w14:paraId="7AB4654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17</w:t>
            </w:r>
          </w:p>
        </w:tc>
        <w:tc>
          <w:tcPr>
            <w:tcW w:w="737" w:type="dxa"/>
          </w:tcPr>
          <w:p w14:paraId="759E721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18</w:t>
            </w:r>
          </w:p>
        </w:tc>
        <w:tc>
          <w:tcPr>
            <w:tcW w:w="737" w:type="dxa"/>
          </w:tcPr>
          <w:p w14:paraId="5A8ADA3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19</w:t>
            </w:r>
          </w:p>
        </w:tc>
        <w:tc>
          <w:tcPr>
            <w:tcW w:w="737" w:type="dxa"/>
          </w:tcPr>
          <w:p w14:paraId="1BE1E99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20</w:t>
            </w:r>
          </w:p>
        </w:tc>
      </w:tr>
      <w:tr w:rsidR="004808A2" w:rsidRPr="009D4627" w14:paraId="59A3ABDD" w14:textId="77777777" w:rsidTr="004808A2">
        <w:trPr>
          <w:jc w:val="center"/>
        </w:trPr>
        <w:tc>
          <w:tcPr>
            <w:tcW w:w="1701" w:type="dxa"/>
            <w:vMerge w:val="restart"/>
          </w:tcPr>
          <w:p w14:paraId="5F837125"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5098785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44DDB5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9E4F08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EED176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8A8B85F"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BB5CD1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8897DCA"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DAB7C15"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6C4195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C0C9458"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34A19F50" w14:textId="77777777" w:rsidTr="004808A2">
        <w:trPr>
          <w:jc w:val="center"/>
        </w:trPr>
        <w:tc>
          <w:tcPr>
            <w:tcW w:w="1701" w:type="dxa"/>
            <w:vMerge/>
          </w:tcPr>
          <w:p w14:paraId="77052A74" w14:textId="77777777" w:rsidR="004808A2" w:rsidRPr="009D4627" w:rsidRDefault="004808A2" w:rsidP="008E4ED6">
            <w:pPr>
              <w:spacing w:before="0" w:after="0" w:line="240" w:lineRule="auto"/>
              <w:jc w:val="left"/>
              <w:rPr>
                <w:color w:val="auto"/>
                <w:sz w:val="20"/>
                <w:szCs w:val="20"/>
              </w:rPr>
            </w:pPr>
          </w:p>
        </w:tc>
        <w:tc>
          <w:tcPr>
            <w:tcW w:w="737" w:type="dxa"/>
          </w:tcPr>
          <w:p w14:paraId="1C3A96E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EBD0CC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5A0838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9E31D05"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8DD4B7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CA5F23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54A393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B80E78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B3F71B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BF9AE5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54CCE67D" w14:textId="77777777" w:rsidTr="004808A2">
        <w:trPr>
          <w:jc w:val="center"/>
        </w:trPr>
        <w:tc>
          <w:tcPr>
            <w:tcW w:w="1701" w:type="dxa"/>
            <w:vMerge/>
          </w:tcPr>
          <w:p w14:paraId="37698EF6" w14:textId="77777777" w:rsidR="004808A2" w:rsidRPr="009D4627" w:rsidRDefault="004808A2" w:rsidP="008E4ED6">
            <w:pPr>
              <w:spacing w:before="0" w:after="0" w:line="240" w:lineRule="auto"/>
              <w:jc w:val="left"/>
              <w:rPr>
                <w:color w:val="auto"/>
                <w:sz w:val="20"/>
                <w:szCs w:val="20"/>
              </w:rPr>
            </w:pPr>
          </w:p>
        </w:tc>
        <w:tc>
          <w:tcPr>
            <w:tcW w:w="737" w:type="dxa"/>
          </w:tcPr>
          <w:p w14:paraId="679E577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08E8A3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758F782"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B1C1169"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ED4EB85"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95C2941"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FA77796"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6A36837"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5E2050E"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AE8ECAF"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bl>
    <w:p w14:paraId="1E94EF4C" w14:textId="77777777" w:rsidR="004808A2" w:rsidRPr="009D4627" w:rsidRDefault="004808A2" w:rsidP="00A80E2A">
      <w:pPr>
        <w:spacing w:after="0" w:line="240" w:lineRule="auto"/>
        <w:rPr>
          <w:bCs/>
          <w:color w:val="auto"/>
          <w:sz w:val="20"/>
          <w:szCs w:val="20"/>
        </w:rPr>
      </w:pPr>
      <w:r w:rsidRPr="009D4627">
        <w:rPr>
          <w:bCs/>
          <w:color w:val="auto"/>
          <w:sz w:val="20"/>
          <w:szCs w:val="20"/>
        </w:rPr>
        <w:t>d) Saccades Horizontal (SH)</w:t>
      </w:r>
    </w:p>
    <w:tbl>
      <w:tblPr>
        <w:tblStyle w:val="TableGrid14"/>
        <w:tblW w:w="9071" w:type="dxa"/>
        <w:jc w:val="center"/>
        <w:tblLayout w:type="fixed"/>
        <w:tblLook w:val="04A0" w:firstRow="1" w:lastRow="0" w:firstColumn="1" w:lastColumn="0" w:noHBand="0" w:noVBand="1"/>
      </w:tblPr>
      <w:tblGrid>
        <w:gridCol w:w="1701"/>
        <w:gridCol w:w="737"/>
        <w:gridCol w:w="737"/>
        <w:gridCol w:w="737"/>
        <w:gridCol w:w="737"/>
        <w:gridCol w:w="737"/>
        <w:gridCol w:w="737"/>
        <w:gridCol w:w="737"/>
        <w:gridCol w:w="737"/>
        <w:gridCol w:w="737"/>
        <w:gridCol w:w="737"/>
      </w:tblGrid>
      <w:tr w:rsidR="004808A2" w:rsidRPr="009D4627" w14:paraId="77E3EECC" w14:textId="77777777" w:rsidTr="004808A2">
        <w:trPr>
          <w:jc w:val="center"/>
        </w:trPr>
        <w:tc>
          <w:tcPr>
            <w:tcW w:w="1701" w:type="dxa"/>
          </w:tcPr>
          <w:p w14:paraId="52AD0103"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520CB817"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w:t>
            </w:r>
          </w:p>
        </w:tc>
        <w:tc>
          <w:tcPr>
            <w:tcW w:w="737" w:type="dxa"/>
          </w:tcPr>
          <w:p w14:paraId="4CFF28B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w:t>
            </w:r>
          </w:p>
        </w:tc>
        <w:tc>
          <w:tcPr>
            <w:tcW w:w="737" w:type="dxa"/>
          </w:tcPr>
          <w:p w14:paraId="73C8DC1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3</w:t>
            </w:r>
          </w:p>
        </w:tc>
        <w:tc>
          <w:tcPr>
            <w:tcW w:w="737" w:type="dxa"/>
          </w:tcPr>
          <w:p w14:paraId="7BAFB39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4</w:t>
            </w:r>
          </w:p>
        </w:tc>
        <w:tc>
          <w:tcPr>
            <w:tcW w:w="737" w:type="dxa"/>
          </w:tcPr>
          <w:p w14:paraId="1E88CCD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5</w:t>
            </w:r>
          </w:p>
        </w:tc>
        <w:tc>
          <w:tcPr>
            <w:tcW w:w="737" w:type="dxa"/>
          </w:tcPr>
          <w:p w14:paraId="0126539C"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6</w:t>
            </w:r>
          </w:p>
        </w:tc>
        <w:tc>
          <w:tcPr>
            <w:tcW w:w="737" w:type="dxa"/>
          </w:tcPr>
          <w:p w14:paraId="3662277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7</w:t>
            </w:r>
          </w:p>
        </w:tc>
        <w:tc>
          <w:tcPr>
            <w:tcW w:w="737" w:type="dxa"/>
          </w:tcPr>
          <w:p w14:paraId="6E8FF47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8</w:t>
            </w:r>
          </w:p>
          <w:p w14:paraId="23A34DEE" w14:textId="77777777" w:rsidR="004808A2" w:rsidRPr="009D4627" w:rsidRDefault="004808A2" w:rsidP="008E4ED6">
            <w:pPr>
              <w:spacing w:before="0" w:after="0" w:line="240" w:lineRule="auto"/>
              <w:rPr>
                <w:b/>
                <w:bCs/>
                <w:color w:val="auto"/>
                <w:sz w:val="20"/>
                <w:szCs w:val="20"/>
              </w:rPr>
            </w:pPr>
          </w:p>
        </w:tc>
        <w:tc>
          <w:tcPr>
            <w:tcW w:w="737" w:type="dxa"/>
          </w:tcPr>
          <w:p w14:paraId="4AF17A4D"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9</w:t>
            </w:r>
          </w:p>
          <w:p w14:paraId="2CEDC9D2" w14:textId="77777777" w:rsidR="004808A2" w:rsidRPr="009D4627" w:rsidRDefault="004808A2" w:rsidP="008E4ED6">
            <w:pPr>
              <w:spacing w:before="0" w:after="0" w:line="240" w:lineRule="auto"/>
              <w:rPr>
                <w:b/>
                <w:bCs/>
                <w:color w:val="auto"/>
                <w:sz w:val="20"/>
                <w:szCs w:val="20"/>
              </w:rPr>
            </w:pPr>
          </w:p>
        </w:tc>
        <w:tc>
          <w:tcPr>
            <w:tcW w:w="737" w:type="dxa"/>
          </w:tcPr>
          <w:p w14:paraId="39643BB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10</w:t>
            </w:r>
          </w:p>
          <w:p w14:paraId="55534DFE" w14:textId="77777777" w:rsidR="004808A2" w:rsidRPr="009D4627" w:rsidRDefault="004808A2" w:rsidP="008E4ED6">
            <w:pPr>
              <w:spacing w:before="0" w:after="0" w:line="240" w:lineRule="auto"/>
              <w:rPr>
                <w:b/>
                <w:bCs/>
                <w:color w:val="auto"/>
                <w:sz w:val="20"/>
                <w:szCs w:val="20"/>
              </w:rPr>
            </w:pPr>
          </w:p>
        </w:tc>
      </w:tr>
      <w:tr w:rsidR="004808A2" w:rsidRPr="009D4627" w14:paraId="347C1E30" w14:textId="77777777" w:rsidTr="004808A2">
        <w:trPr>
          <w:jc w:val="center"/>
        </w:trPr>
        <w:tc>
          <w:tcPr>
            <w:tcW w:w="1701" w:type="dxa"/>
            <w:vMerge w:val="restart"/>
          </w:tcPr>
          <w:p w14:paraId="7E4D0D07"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6CF9CEB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67CF29D"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27455AA"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407326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326470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E7ECF2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1DEB4B6"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7C768E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8106E5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966B6B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07621D7F" w14:textId="77777777" w:rsidTr="004808A2">
        <w:trPr>
          <w:jc w:val="center"/>
        </w:trPr>
        <w:tc>
          <w:tcPr>
            <w:tcW w:w="1701" w:type="dxa"/>
            <w:vMerge/>
          </w:tcPr>
          <w:p w14:paraId="189EE883" w14:textId="77777777" w:rsidR="004808A2" w:rsidRPr="009D4627" w:rsidRDefault="004808A2" w:rsidP="008E4ED6">
            <w:pPr>
              <w:spacing w:before="0" w:after="0" w:line="240" w:lineRule="auto"/>
              <w:jc w:val="left"/>
              <w:rPr>
                <w:color w:val="auto"/>
                <w:sz w:val="20"/>
                <w:szCs w:val="20"/>
              </w:rPr>
            </w:pPr>
          </w:p>
        </w:tc>
        <w:tc>
          <w:tcPr>
            <w:tcW w:w="737" w:type="dxa"/>
          </w:tcPr>
          <w:p w14:paraId="234AB199"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38C036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D6BC24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A086C7E"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036E3A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4C9761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FC4D93B"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DCE63B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1D4D8B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D8AF83D"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0CCBF87E" w14:textId="77777777" w:rsidTr="004808A2">
        <w:trPr>
          <w:jc w:val="center"/>
        </w:trPr>
        <w:tc>
          <w:tcPr>
            <w:tcW w:w="1701" w:type="dxa"/>
            <w:vMerge/>
          </w:tcPr>
          <w:p w14:paraId="5A1242D0" w14:textId="77777777" w:rsidR="004808A2" w:rsidRPr="009D4627" w:rsidRDefault="004808A2" w:rsidP="008E4ED6">
            <w:pPr>
              <w:spacing w:before="0" w:after="0" w:line="240" w:lineRule="auto"/>
              <w:jc w:val="left"/>
              <w:rPr>
                <w:color w:val="auto"/>
                <w:sz w:val="20"/>
                <w:szCs w:val="20"/>
              </w:rPr>
            </w:pPr>
          </w:p>
        </w:tc>
        <w:tc>
          <w:tcPr>
            <w:tcW w:w="737" w:type="dxa"/>
          </w:tcPr>
          <w:p w14:paraId="099A0FD1"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65D67C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862B5C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DE54D0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0C880A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6FD27D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8ED54E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3DE921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C980980"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FB1385C"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r w:rsidR="004808A2" w:rsidRPr="009D4627" w14:paraId="31C9FDF8" w14:textId="77777777" w:rsidTr="004808A2">
        <w:trPr>
          <w:jc w:val="center"/>
        </w:trPr>
        <w:tc>
          <w:tcPr>
            <w:tcW w:w="1701" w:type="dxa"/>
          </w:tcPr>
          <w:p w14:paraId="0808AFCD"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504CFD86"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 xml:space="preserve">11 </w:t>
            </w:r>
          </w:p>
          <w:p w14:paraId="34A6E468" w14:textId="77777777" w:rsidR="004808A2" w:rsidRPr="009D4627" w:rsidRDefault="004808A2" w:rsidP="008E4ED6">
            <w:pPr>
              <w:spacing w:before="0" w:after="0" w:line="240" w:lineRule="auto"/>
              <w:rPr>
                <w:b/>
                <w:bCs/>
                <w:color w:val="auto"/>
                <w:sz w:val="20"/>
                <w:szCs w:val="20"/>
              </w:rPr>
            </w:pPr>
          </w:p>
        </w:tc>
        <w:tc>
          <w:tcPr>
            <w:tcW w:w="737" w:type="dxa"/>
          </w:tcPr>
          <w:p w14:paraId="019544C0"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12</w:t>
            </w:r>
          </w:p>
        </w:tc>
        <w:tc>
          <w:tcPr>
            <w:tcW w:w="737" w:type="dxa"/>
          </w:tcPr>
          <w:p w14:paraId="567B1A7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13</w:t>
            </w:r>
          </w:p>
        </w:tc>
        <w:tc>
          <w:tcPr>
            <w:tcW w:w="737" w:type="dxa"/>
          </w:tcPr>
          <w:p w14:paraId="4BB43C1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14</w:t>
            </w:r>
          </w:p>
        </w:tc>
        <w:tc>
          <w:tcPr>
            <w:tcW w:w="737" w:type="dxa"/>
          </w:tcPr>
          <w:p w14:paraId="5C718436"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15</w:t>
            </w:r>
          </w:p>
        </w:tc>
        <w:tc>
          <w:tcPr>
            <w:tcW w:w="737" w:type="dxa"/>
          </w:tcPr>
          <w:p w14:paraId="09E9E74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16</w:t>
            </w:r>
          </w:p>
        </w:tc>
        <w:tc>
          <w:tcPr>
            <w:tcW w:w="737" w:type="dxa"/>
          </w:tcPr>
          <w:p w14:paraId="6D59881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17</w:t>
            </w:r>
          </w:p>
        </w:tc>
        <w:tc>
          <w:tcPr>
            <w:tcW w:w="737" w:type="dxa"/>
          </w:tcPr>
          <w:p w14:paraId="1EC6041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18</w:t>
            </w:r>
          </w:p>
        </w:tc>
        <w:tc>
          <w:tcPr>
            <w:tcW w:w="737" w:type="dxa"/>
          </w:tcPr>
          <w:p w14:paraId="2D98A3D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19</w:t>
            </w:r>
          </w:p>
        </w:tc>
        <w:tc>
          <w:tcPr>
            <w:tcW w:w="737" w:type="dxa"/>
          </w:tcPr>
          <w:p w14:paraId="53D1C6F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20</w:t>
            </w:r>
          </w:p>
        </w:tc>
      </w:tr>
      <w:tr w:rsidR="004808A2" w:rsidRPr="009D4627" w14:paraId="7AEB42A6" w14:textId="77777777" w:rsidTr="004808A2">
        <w:trPr>
          <w:jc w:val="center"/>
        </w:trPr>
        <w:tc>
          <w:tcPr>
            <w:tcW w:w="1701" w:type="dxa"/>
            <w:vMerge w:val="restart"/>
          </w:tcPr>
          <w:p w14:paraId="2D20D495"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5F882886"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587991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E07C25F"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AB87BE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275E1A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F5F696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A5AD60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9D0B26F"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65A56D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2C356F1"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0026C9EC" w14:textId="77777777" w:rsidTr="004808A2">
        <w:trPr>
          <w:jc w:val="center"/>
        </w:trPr>
        <w:tc>
          <w:tcPr>
            <w:tcW w:w="1701" w:type="dxa"/>
            <w:vMerge/>
          </w:tcPr>
          <w:p w14:paraId="2E68D81C" w14:textId="77777777" w:rsidR="004808A2" w:rsidRPr="009D4627" w:rsidRDefault="004808A2" w:rsidP="008E4ED6">
            <w:pPr>
              <w:spacing w:before="0" w:after="0" w:line="240" w:lineRule="auto"/>
              <w:jc w:val="left"/>
              <w:rPr>
                <w:color w:val="auto"/>
                <w:sz w:val="20"/>
                <w:szCs w:val="20"/>
              </w:rPr>
            </w:pPr>
          </w:p>
        </w:tc>
        <w:tc>
          <w:tcPr>
            <w:tcW w:w="737" w:type="dxa"/>
          </w:tcPr>
          <w:p w14:paraId="0737831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7ADBA4F"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ED1738A"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44A654D"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551D1197"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738A6C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363AAE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19FAAF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56DCFA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0C3BC97"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720C1713" w14:textId="77777777" w:rsidTr="004808A2">
        <w:trPr>
          <w:jc w:val="center"/>
        </w:trPr>
        <w:tc>
          <w:tcPr>
            <w:tcW w:w="1701" w:type="dxa"/>
            <w:vMerge/>
          </w:tcPr>
          <w:p w14:paraId="6B1D06C6" w14:textId="77777777" w:rsidR="004808A2" w:rsidRPr="009D4627" w:rsidRDefault="004808A2" w:rsidP="008E4ED6">
            <w:pPr>
              <w:spacing w:before="0" w:after="0" w:line="240" w:lineRule="auto"/>
              <w:jc w:val="left"/>
              <w:rPr>
                <w:color w:val="auto"/>
                <w:sz w:val="20"/>
                <w:szCs w:val="20"/>
              </w:rPr>
            </w:pPr>
          </w:p>
        </w:tc>
        <w:tc>
          <w:tcPr>
            <w:tcW w:w="737" w:type="dxa"/>
          </w:tcPr>
          <w:p w14:paraId="5399C1EE"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CB1B42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85A380E"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182547C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693F7D3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3B2FA8C"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442B1B7"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DA87FB0"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437645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C1162E7"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bl>
    <w:p w14:paraId="1271A1CE" w14:textId="4AD53605" w:rsidR="00C40138" w:rsidRDefault="00C40138" w:rsidP="00A80E2A">
      <w:pPr>
        <w:spacing w:after="0" w:line="240" w:lineRule="auto"/>
        <w:rPr>
          <w:bCs/>
          <w:color w:val="auto"/>
          <w:sz w:val="20"/>
          <w:szCs w:val="20"/>
        </w:rPr>
      </w:pPr>
    </w:p>
    <w:p w14:paraId="70864AD6" w14:textId="77777777" w:rsidR="000C7D39" w:rsidRPr="009D4627" w:rsidRDefault="000C7D39" w:rsidP="00A80E2A">
      <w:pPr>
        <w:spacing w:after="0" w:line="240" w:lineRule="auto"/>
        <w:rPr>
          <w:bCs/>
          <w:color w:val="auto"/>
          <w:sz w:val="20"/>
          <w:szCs w:val="20"/>
        </w:rPr>
      </w:pPr>
    </w:p>
    <w:p w14:paraId="5753C548" w14:textId="51F0802A" w:rsidR="004808A2" w:rsidRPr="009D4627" w:rsidRDefault="004808A2" w:rsidP="00A80E2A">
      <w:pPr>
        <w:spacing w:after="0" w:line="240" w:lineRule="auto"/>
        <w:rPr>
          <w:bCs/>
          <w:color w:val="auto"/>
          <w:sz w:val="20"/>
          <w:szCs w:val="20"/>
        </w:rPr>
      </w:pPr>
      <w:r w:rsidRPr="009D4627">
        <w:rPr>
          <w:bCs/>
          <w:color w:val="auto"/>
          <w:sz w:val="20"/>
          <w:szCs w:val="20"/>
        </w:rPr>
        <w:lastRenderedPageBreak/>
        <w:t>e) Saccades Vertical (SV)</w:t>
      </w:r>
    </w:p>
    <w:tbl>
      <w:tblPr>
        <w:tblStyle w:val="TableGrid14"/>
        <w:tblW w:w="9072" w:type="dxa"/>
        <w:tblLayout w:type="fixed"/>
        <w:tblLook w:val="04A0" w:firstRow="1" w:lastRow="0" w:firstColumn="1" w:lastColumn="0" w:noHBand="0" w:noVBand="1"/>
      </w:tblPr>
      <w:tblGrid>
        <w:gridCol w:w="1702"/>
        <w:gridCol w:w="737"/>
        <w:gridCol w:w="737"/>
        <w:gridCol w:w="737"/>
        <w:gridCol w:w="737"/>
        <w:gridCol w:w="737"/>
        <w:gridCol w:w="737"/>
        <w:gridCol w:w="737"/>
        <w:gridCol w:w="737"/>
        <w:gridCol w:w="737"/>
        <w:gridCol w:w="737"/>
      </w:tblGrid>
      <w:tr w:rsidR="004808A2" w:rsidRPr="009D4627" w14:paraId="74B08683" w14:textId="77777777" w:rsidTr="008E4ED6">
        <w:tc>
          <w:tcPr>
            <w:tcW w:w="1702" w:type="dxa"/>
          </w:tcPr>
          <w:p w14:paraId="43C4360B"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595A2A7F"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w:t>
            </w:r>
          </w:p>
        </w:tc>
        <w:tc>
          <w:tcPr>
            <w:tcW w:w="737" w:type="dxa"/>
          </w:tcPr>
          <w:p w14:paraId="731D368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w:t>
            </w:r>
          </w:p>
        </w:tc>
        <w:tc>
          <w:tcPr>
            <w:tcW w:w="737" w:type="dxa"/>
          </w:tcPr>
          <w:p w14:paraId="42C2DF6B"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3</w:t>
            </w:r>
          </w:p>
        </w:tc>
        <w:tc>
          <w:tcPr>
            <w:tcW w:w="737" w:type="dxa"/>
          </w:tcPr>
          <w:p w14:paraId="4901F33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4</w:t>
            </w:r>
          </w:p>
        </w:tc>
        <w:tc>
          <w:tcPr>
            <w:tcW w:w="737" w:type="dxa"/>
          </w:tcPr>
          <w:p w14:paraId="6ADBB18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5</w:t>
            </w:r>
          </w:p>
        </w:tc>
        <w:tc>
          <w:tcPr>
            <w:tcW w:w="737" w:type="dxa"/>
          </w:tcPr>
          <w:p w14:paraId="0935BB1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6</w:t>
            </w:r>
          </w:p>
        </w:tc>
        <w:tc>
          <w:tcPr>
            <w:tcW w:w="737" w:type="dxa"/>
          </w:tcPr>
          <w:p w14:paraId="6D574CBA"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7</w:t>
            </w:r>
          </w:p>
        </w:tc>
        <w:tc>
          <w:tcPr>
            <w:tcW w:w="737" w:type="dxa"/>
          </w:tcPr>
          <w:p w14:paraId="49276093"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8</w:t>
            </w:r>
          </w:p>
          <w:p w14:paraId="06B0BB8D" w14:textId="77777777" w:rsidR="004808A2" w:rsidRPr="009D4627" w:rsidRDefault="004808A2" w:rsidP="008E4ED6">
            <w:pPr>
              <w:spacing w:before="0" w:after="0" w:line="240" w:lineRule="auto"/>
              <w:rPr>
                <w:b/>
                <w:bCs/>
                <w:color w:val="auto"/>
                <w:sz w:val="20"/>
                <w:szCs w:val="20"/>
              </w:rPr>
            </w:pPr>
          </w:p>
        </w:tc>
        <w:tc>
          <w:tcPr>
            <w:tcW w:w="737" w:type="dxa"/>
          </w:tcPr>
          <w:p w14:paraId="4517C306"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9</w:t>
            </w:r>
          </w:p>
          <w:p w14:paraId="3BA19CDD" w14:textId="77777777" w:rsidR="004808A2" w:rsidRPr="009D4627" w:rsidRDefault="004808A2" w:rsidP="008E4ED6">
            <w:pPr>
              <w:spacing w:before="0" w:after="0" w:line="240" w:lineRule="auto"/>
              <w:rPr>
                <w:b/>
                <w:bCs/>
                <w:color w:val="auto"/>
                <w:sz w:val="20"/>
                <w:szCs w:val="20"/>
              </w:rPr>
            </w:pPr>
          </w:p>
        </w:tc>
        <w:tc>
          <w:tcPr>
            <w:tcW w:w="737" w:type="dxa"/>
          </w:tcPr>
          <w:p w14:paraId="420BA267"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10</w:t>
            </w:r>
          </w:p>
          <w:p w14:paraId="53621445" w14:textId="77777777" w:rsidR="004808A2" w:rsidRPr="009D4627" w:rsidRDefault="004808A2" w:rsidP="008E4ED6">
            <w:pPr>
              <w:spacing w:before="0" w:after="0" w:line="240" w:lineRule="auto"/>
              <w:rPr>
                <w:b/>
                <w:bCs/>
                <w:color w:val="auto"/>
                <w:sz w:val="20"/>
                <w:szCs w:val="20"/>
              </w:rPr>
            </w:pPr>
          </w:p>
        </w:tc>
      </w:tr>
      <w:tr w:rsidR="004808A2" w:rsidRPr="009D4627" w14:paraId="667BB1E7" w14:textId="77777777" w:rsidTr="008E4ED6">
        <w:tc>
          <w:tcPr>
            <w:tcW w:w="1702" w:type="dxa"/>
            <w:vMerge w:val="restart"/>
          </w:tcPr>
          <w:p w14:paraId="33253B90"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366AD36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B3D43A7"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85935B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516E4B00"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F402E9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C475C46"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48ABBCF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F7D8A99"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E3B103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AEAA2F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0095FEBA" w14:textId="77777777" w:rsidTr="008E4ED6">
        <w:tc>
          <w:tcPr>
            <w:tcW w:w="1702" w:type="dxa"/>
            <w:vMerge/>
          </w:tcPr>
          <w:p w14:paraId="3264DDA2" w14:textId="77777777" w:rsidR="004808A2" w:rsidRPr="009D4627" w:rsidRDefault="004808A2" w:rsidP="008E4ED6">
            <w:pPr>
              <w:spacing w:before="0" w:after="0" w:line="240" w:lineRule="auto"/>
              <w:jc w:val="left"/>
              <w:rPr>
                <w:color w:val="auto"/>
                <w:sz w:val="20"/>
                <w:szCs w:val="20"/>
              </w:rPr>
            </w:pPr>
          </w:p>
        </w:tc>
        <w:tc>
          <w:tcPr>
            <w:tcW w:w="737" w:type="dxa"/>
          </w:tcPr>
          <w:p w14:paraId="62976D3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64596E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6BAA6B6"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19A4D97"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79F598B"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73B127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04071CA"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35A375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5708C53D"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6839273"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1E395108" w14:textId="77777777" w:rsidTr="008E4ED6">
        <w:tc>
          <w:tcPr>
            <w:tcW w:w="1702" w:type="dxa"/>
            <w:vMerge/>
          </w:tcPr>
          <w:p w14:paraId="1559DAD9" w14:textId="77777777" w:rsidR="004808A2" w:rsidRPr="009D4627" w:rsidRDefault="004808A2" w:rsidP="008E4ED6">
            <w:pPr>
              <w:spacing w:before="0" w:after="0" w:line="240" w:lineRule="auto"/>
              <w:jc w:val="left"/>
              <w:rPr>
                <w:color w:val="auto"/>
                <w:sz w:val="20"/>
                <w:szCs w:val="20"/>
              </w:rPr>
            </w:pPr>
          </w:p>
        </w:tc>
        <w:tc>
          <w:tcPr>
            <w:tcW w:w="737" w:type="dxa"/>
          </w:tcPr>
          <w:p w14:paraId="332D6FEE"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12BCC2C"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384499DA"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ACF049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2F081EE"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FB5563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AB92BC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CD1938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F14EC2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0B516D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r w:rsidR="004808A2" w:rsidRPr="009D4627" w14:paraId="13D02599" w14:textId="77777777" w:rsidTr="008E4ED6">
        <w:tc>
          <w:tcPr>
            <w:tcW w:w="1701" w:type="dxa"/>
          </w:tcPr>
          <w:p w14:paraId="17E6521C" w14:textId="77777777" w:rsidR="004808A2" w:rsidRPr="009D4627" w:rsidRDefault="004808A2" w:rsidP="008E4ED6">
            <w:pPr>
              <w:spacing w:before="0" w:after="0" w:line="240" w:lineRule="auto"/>
              <w:jc w:val="left"/>
              <w:rPr>
                <w:b/>
                <w:bCs/>
                <w:color w:val="auto"/>
                <w:sz w:val="20"/>
                <w:szCs w:val="20"/>
              </w:rPr>
            </w:pPr>
            <w:r w:rsidRPr="009D4627">
              <w:rPr>
                <w:b/>
                <w:bCs/>
                <w:color w:val="auto"/>
                <w:sz w:val="20"/>
                <w:szCs w:val="20"/>
              </w:rPr>
              <w:t>Participant no.</w:t>
            </w:r>
          </w:p>
        </w:tc>
        <w:tc>
          <w:tcPr>
            <w:tcW w:w="737" w:type="dxa"/>
          </w:tcPr>
          <w:p w14:paraId="79E8CA78"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 xml:space="preserve">11 </w:t>
            </w:r>
          </w:p>
          <w:p w14:paraId="72AC56AD" w14:textId="77777777" w:rsidR="004808A2" w:rsidRPr="009D4627" w:rsidRDefault="004808A2" w:rsidP="008E4ED6">
            <w:pPr>
              <w:spacing w:before="0" w:after="0" w:line="240" w:lineRule="auto"/>
              <w:rPr>
                <w:b/>
                <w:bCs/>
                <w:color w:val="auto"/>
                <w:sz w:val="20"/>
                <w:szCs w:val="20"/>
              </w:rPr>
            </w:pPr>
          </w:p>
        </w:tc>
        <w:tc>
          <w:tcPr>
            <w:tcW w:w="737" w:type="dxa"/>
          </w:tcPr>
          <w:p w14:paraId="5886191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12</w:t>
            </w:r>
          </w:p>
        </w:tc>
        <w:tc>
          <w:tcPr>
            <w:tcW w:w="737" w:type="dxa"/>
          </w:tcPr>
          <w:p w14:paraId="2B7C8282"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13</w:t>
            </w:r>
          </w:p>
        </w:tc>
        <w:tc>
          <w:tcPr>
            <w:tcW w:w="737" w:type="dxa"/>
          </w:tcPr>
          <w:p w14:paraId="62A78D31"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14</w:t>
            </w:r>
          </w:p>
        </w:tc>
        <w:tc>
          <w:tcPr>
            <w:tcW w:w="737" w:type="dxa"/>
          </w:tcPr>
          <w:p w14:paraId="50E0741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15</w:t>
            </w:r>
          </w:p>
        </w:tc>
        <w:tc>
          <w:tcPr>
            <w:tcW w:w="737" w:type="dxa"/>
          </w:tcPr>
          <w:p w14:paraId="4DD216F4"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16</w:t>
            </w:r>
          </w:p>
        </w:tc>
        <w:tc>
          <w:tcPr>
            <w:tcW w:w="737" w:type="dxa"/>
          </w:tcPr>
          <w:p w14:paraId="0FC779D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17</w:t>
            </w:r>
          </w:p>
        </w:tc>
        <w:tc>
          <w:tcPr>
            <w:tcW w:w="737" w:type="dxa"/>
          </w:tcPr>
          <w:p w14:paraId="729AEA59"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18</w:t>
            </w:r>
          </w:p>
        </w:tc>
        <w:tc>
          <w:tcPr>
            <w:tcW w:w="737" w:type="dxa"/>
          </w:tcPr>
          <w:p w14:paraId="3C1D5B15"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19</w:t>
            </w:r>
          </w:p>
        </w:tc>
        <w:tc>
          <w:tcPr>
            <w:tcW w:w="737" w:type="dxa"/>
          </w:tcPr>
          <w:p w14:paraId="4D3C0D1E" w14:textId="77777777" w:rsidR="004808A2" w:rsidRPr="009D4627" w:rsidRDefault="004808A2" w:rsidP="008E4ED6">
            <w:pPr>
              <w:spacing w:before="0" w:after="0" w:line="240" w:lineRule="auto"/>
              <w:rPr>
                <w:b/>
                <w:bCs/>
                <w:color w:val="auto"/>
                <w:sz w:val="20"/>
                <w:szCs w:val="20"/>
              </w:rPr>
            </w:pPr>
            <w:r w:rsidRPr="009D4627">
              <w:rPr>
                <w:b/>
                <w:bCs/>
                <w:color w:val="auto"/>
                <w:sz w:val="20"/>
                <w:szCs w:val="20"/>
              </w:rPr>
              <w:t>20</w:t>
            </w:r>
          </w:p>
        </w:tc>
      </w:tr>
      <w:tr w:rsidR="004808A2" w:rsidRPr="009D4627" w14:paraId="3B6A6DA4" w14:textId="77777777" w:rsidTr="008E4ED6">
        <w:tc>
          <w:tcPr>
            <w:tcW w:w="1701" w:type="dxa"/>
            <w:vMerge w:val="restart"/>
          </w:tcPr>
          <w:p w14:paraId="333F0F10" w14:textId="77777777" w:rsidR="004808A2" w:rsidRPr="009D4627" w:rsidRDefault="004808A2" w:rsidP="008E4ED6">
            <w:pPr>
              <w:spacing w:before="0" w:after="0" w:line="240" w:lineRule="auto"/>
              <w:jc w:val="left"/>
              <w:rPr>
                <w:color w:val="auto"/>
                <w:sz w:val="20"/>
                <w:szCs w:val="20"/>
              </w:rPr>
            </w:pPr>
            <w:r w:rsidRPr="009D4627">
              <w:rPr>
                <w:color w:val="auto"/>
                <w:sz w:val="20"/>
                <w:szCs w:val="20"/>
              </w:rPr>
              <w:t>Target size testing order</w:t>
            </w:r>
          </w:p>
        </w:tc>
        <w:tc>
          <w:tcPr>
            <w:tcW w:w="737" w:type="dxa"/>
          </w:tcPr>
          <w:p w14:paraId="1531A04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BDF4207"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EF4C5C9"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7F546F2E"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53A3CA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634F5B0"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38C20474"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0631B3BB"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3BC8BB64"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1EC9B67C"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r>
      <w:tr w:rsidR="004808A2" w:rsidRPr="009D4627" w14:paraId="08D6E8B1" w14:textId="77777777" w:rsidTr="008E4ED6">
        <w:tc>
          <w:tcPr>
            <w:tcW w:w="1701" w:type="dxa"/>
            <w:vMerge/>
          </w:tcPr>
          <w:p w14:paraId="7CFD0810" w14:textId="77777777" w:rsidR="004808A2" w:rsidRPr="009D4627" w:rsidRDefault="004808A2" w:rsidP="008E4ED6">
            <w:pPr>
              <w:spacing w:before="0" w:after="0" w:line="240" w:lineRule="auto"/>
              <w:jc w:val="left"/>
              <w:rPr>
                <w:color w:val="auto"/>
                <w:sz w:val="20"/>
                <w:szCs w:val="20"/>
              </w:rPr>
            </w:pPr>
          </w:p>
        </w:tc>
        <w:tc>
          <w:tcPr>
            <w:tcW w:w="737" w:type="dxa"/>
          </w:tcPr>
          <w:p w14:paraId="122B45B3"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11DAF7B"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AE1D828"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152E1B2D"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24D53A02"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231F1C1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7B85957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EC4D54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0369174"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87703BA"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r>
      <w:tr w:rsidR="004808A2" w:rsidRPr="009D4627" w14:paraId="5F964CA1" w14:textId="77777777" w:rsidTr="008E4ED6">
        <w:tc>
          <w:tcPr>
            <w:tcW w:w="1701" w:type="dxa"/>
            <w:vMerge/>
          </w:tcPr>
          <w:p w14:paraId="37A973FE" w14:textId="77777777" w:rsidR="004808A2" w:rsidRPr="009D4627" w:rsidRDefault="004808A2" w:rsidP="008E4ED6">
            <w:pPr>
              <w:spacing w:before="0" w:after="0" w:line="240" w:lineRule="auto"/>
              <w:jc w:val="left"/>
              <w:rPr>
                <w:color w:val="auto"/>
                <w:sz w:val="20"/>
                <w:szCs w:val="20"/>
              </w:rPr>
            </w:pPr>
          </w:p>
        </w:tc>
        <w:tc>
          <w:tcPr>
            <w:tcW w:w="737" w:type="dxa"/>
          </w:tcPr>
          <w:p w14:paraId="7AD398C2"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2298413D"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460B9741"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45B66723"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019F9158"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1979876"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0FC0C941"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c>
          <w:tcPr>
            <w:tcW w:w="737" w:type="dxa"/>
          </w:tcPr>
          <w:p w14:paraId="71F56E25" w14:textId="77777777" w:rsidR="004808A2" w:rsidRPr="009D4627" w:rsidRDefault="004808A2" w:rsidP="008E4ED6">
            <w:pPr>
              <w:spacing w:before="0" w:after="0" w:line="240" w:lineRule="auto"/>
              <w:rPr>
                <w:color w:val="auto"/>
                <w:sz w:val="20"/>
                <w:szCs w:val="20"/>
              </w:rPr>
            </w:pPr>
            <w:r w:rsidRPr="009D4627">
              <w:rPr>
                <w:color w:val="auto"/>
                <w:sz w:val="20"/>
                <w:szCs w:val="20"/>
              </w:rPr>
              <w:t>1.0</w:t>
            </w:r>
          </w:p>
        </w:tc>
        <w:tc>
          <w:tcPr>
            <w:tcW w:w="737" w:type="dxa"/>
          </w:tcPr>
          <w:p w14:paraId="6F8F6FBC" w14:textId="77777777" w:rsidR="004808A2" w:rsidRPr="009D4627" w:rsidRDefault="004808A2" w:rsidP="008E4ED6">
            <w:pPr>
              <w:spacing w:before="0" w:after="0" w:line="240" w:lineRule="auto"/>
              <w:rPr>
                <w:color w:val="auto"/>
                <w:sz w:val="20"/>
                <w:szCs w:val="20"/>
              </w:rPr>
            </w:pPr>
            <w:r w:rsidRPr="009D4627">
              <w:rPr>
                <w:color w:val="auto"/>
                <w:sz w:val="20"/>
                <w:szCs w:val="20"/>
              </w:rPr>
              <w:t>0.5</w:t>
            </w:r>
          </w:p>
        </w:tc>
        <w:tc>
          <w:tcPr>
            <w:tcW w:w="737" w:type="dxa"/>
          </w:tcPr>
          <w:p w14:paraId="6CBE6785" w14:textId="77777777" w:rsidR="004808A2" w:rsidRPr="009D4627" w:rsidRDefault="004808A2" w:rsidP="008E4ED6">
            <w:pPr>
              <w:spacing w:before="0" w:after="0" w:line="240" w:lineRule="auto"/>
              <w:rPr>
                <w:color w:val="auto"/>
                <w:sz w:val="20"/>
                <w:szCs w:val="20"/>
              </w:rPr>
            </w:pPr>
            <w:r w:rsidRPr="009D4627">
              <w:rPr>
                <w:color w:val="auto"/>
                <w:sz w:val="20"/>
                <w:szCs w:val="20"/>
              </w:rPr>
              <w:t>2.0</w:t>
            </w:r>
          </w:p>
        </w:tc>
      </w:tr>
    </w:tbl>
    <w:p w14:paraId="2406AB4F" w14:textId="77777777" w:rsidR="004808A2" w:rsidRPr="009D4627" w:rsidRDefault="004808A2" w:rsidP="004808A2">
      <w:pPr>
        <w:spacing w:after="0"/>
        <w:rPr>
          <w:color w:val="auto"/>
          <w:sz w:val="22"/>
          <w:szCs w:val="22"/>
        </w:rPr>
      </w:pPr>
    </w:p>
    <w:p w14:paraId="2EE6C1FA" w14:textId="77777777" w:rsidR="004808A2" w:rsidRPr="009D4627" w:rsidRDefault="004808A2" w:rsidP="004808A2">
      <w:pPr>
        <w:spacing w:after="0"/>
        <w:rPr>
          <w:color w:val="auto"/>
          <w:sz w:val="22"/>
          <w:szCs w:val="22"/>
        </w:rPr>
      </w:pPr>
    </w:p>
    <w:p w14:paraId="62C3FBC8" w14:textId="77777777" w:rsidR="008F5D7F" w:rsidRPr="009D4627" w:rsidRDefault="008F5D7F" w:rsidP="00C4130D">
      <w:pPr>
        <w:pStyle w:val="Caption"/>
        <w:sectPr w:rsidR="008F5D7F" w:rsidRPr="009D4627" w:rsidSect="00477959">
          <w:headerReference w:type="default" r:id="rId277"/>
          <w:pgSz w:w="11906" w:h="16838" w:code="9"/>
          <w:pgMar w:top="1440" w:right="1440" w:bottom="1440" w:left="1440" w:header="708" w:footer="708" w:gutter="0"/>
          <w:cols w:space="708"/>
          <w:docGrid w:linePitch="360"/>
        </w:sectPr>
      </w:pPr>
      <w:bookmarkStart w:id="634" w:name="_Toc57322402"/>
      <w:bookmarkStart w:id="635" w:name="_Hlk56423086"/>
      <w:bookmarkStart w:id="636" w:name="_Toc72163461"/>
    </w:p>
    <w:p w14:paraId="087B2319" w14:textId="65F604C3" w:rsidR="004808A2" w:rsidRPr="009D4627" w:rsidRDefault="00EB77C2" w:rsidP="003213B7">
      <w:pPr>
        <w:spacing w:before="0"/>
      </w:pPr>
      <w:bookmarkStart w:id="637" w:name="_Toc70088986"/>
      <w:bookmarkStart w:id="638" w:name="_Toc99444763"/>
      <w:bookmarkStart w:id="639" w:name="_Hlk62743530"/>
      <w:bookmarkEnd w:id="634"/>
      <w:bookmarkEnd w:id="635"/>
      <w:bookmarkEnd w:id="636"/>
      <w:r w:rsidRPr="009D4627">
        <w:lastRenderedPageBreak/>
        <w:t>Appendix 5.</w:t>
      </w:r>
      <w:r w:rsidR="007E7CC8">
        <w:fldChar w:fldCharType="begin"/>
      </w:r>
      <w:r w:rsidR="007E7CC8">
        <w:instrText xml:space="preserve"> SEQ Appendix_5. \* ARABIC </w:instrText>
      </w:r>
      <w:r w:rsidR="007E7CC8">
        <w:fldChar w:fldCharType="separate"/>
      </w:r>
      <w:r w:rsidR="00E268F6">
        <w:rPr>
          <w:noProof/>
        </w:rPr>
        <w:t>1</w:t>
      </w:r>
      <w:r w:rsidR="007E7CC8">
        <w:rPr>
          <w:noProof/>
        </w:rPr>
        <w:fldChar w:fldCharType="end"/>
      </w:r>
      <w:r w:rsidRPr="009D4627">
        <w:t xml:space="preserve">: </w:t>
      </w:r>
      <w:r w:rsidR="004808A2" w:rsidRPr="009D4627">
        <w:t xml:space="preserve">Summary of clinical details of </w:t>
      </w:r>
      <w:r w:rsidR="007C715E" w:rsidRPr="009D4627">
        <w:t xml:space="preserve">ten </w:t>
      </w:r>
      <w:r w:rsidR="004808A2" w:rsidRPr="009D4627">
        <w:t xml:space="preserve">patients shown in the order they presented to </w:t>
      </w:r>
      <w:r w:rsidR="00EE0D97" w:rsidRPr="009D4627">
        <w:t xml:space="preserve">the </w:t>
      </w:r>
      <w:r w:rsidR="004808A2" w:rsidRPr="009D4627">
        <w:t>clinic.</w:t>
      </w:r>
      <w:bookmarkEnd w:id="637"/>
      <w:bookmarkEnd w:id="638"/>
    </w:p>
    <w:tbl>
      <w:tblPr>
        <w:tblStyle w:val="5"/>
        <w:tblW w:w="9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850"/>
        <w:gridCol w:w="993"/>
        <w:gridCol w:w="1559"/>
        <w:gridCol w:w="1559"/>
        <w:gridCol w:w="2268"/>
        <w:gridCol w:w="1140"/>
      </w:tblGrid>
      <w:tr w:rsidR="004808A2" w:rsidRPr="009D4627" w14:paraId="0FA0E5B8" w14:textId="77777777" w:rsidTr="00EB77C2">
        <w:tc>
          <w:tcPr>
            <w:tcW w:w="846" w:type="dxa"/>
          </w:tcPr>
          <w:p w14:paraId="76FE38EA"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Patient</w:t>
            </w:r>
          </w:p>
          <w:p w14:paraId="11DA6A1D"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ID</w:t>
            </w:r>
          </w:p>
        </w:tc>
        <w:tc>
          <w:tcPr>
            <w:tcW w:w="850" w:type="dxa"/>
          </w:tcPr>
          <w:p w14:paraId="03258CD1"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Age (years)</w:t>
            </w:r>
          </w:p>
        </w:tc>
        <w:tc>
          <w:tcPr>
            <w:tcW w:w="993" w:type="dxa"/>
          </w:tcPr>
          <w:p w14:paraId="5297DCD5"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Diplopia Onset (days)</w:t>
            </w:r>
          </w:p>
        </w:tc>
        <w:tc>
          <w:tcPr>
            <w:tcW w:w="1559" w:type="dxa"/>
          </w:tcPr>
          <w:p w14:paraId="26FFA5FC"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Diagnosis</w:t>
            </w:r>
          </w:p>
        </w:tc>
        <w:tc>
          <w:tcPr>
            <w:tcW w:w="1559" w:type="dxa"/>
          </w:tcPr>
          <w:p w14:paraId="388F6D6B"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Presumed Aetiology</w:t>
            </w:r>
          </w:p>
        </w:tc>
        <w:tc>
          <w:tcPr>
            <w:tcW w:w="2268" w:type="dxa"/>
          </w:tcPr>
          <w:p w14:paraId="7165768A" w14:textId="77777777" w:rsidR="004808A2" w:rsidRPr="009D4627" w:rsidRDefault="004808A2" w:rsidP="003967A7">
            <w:pPr>
              <w:spacing w:before="0" w:after="0" w:line="240" w:lineRule="auto"/>
              <w:jc w:val="left"/>
              <w:rPr>
                <w:b/>
                <w:color w:val="auto"/>
                <w:sz w:val="20"/>
                <w:szCs w:val="20"/>
              </w:rPr>
            </w:pPr>
            <w:r w:rsidRPr="009D4627">
              <w:rPr>
                <w:rFonts w:eastAsia="Gungsuh"/>
                <w:b/>
                <w:color w:val="auto"/>
                <w:sz w:val="20"/>
                <w:szCs w:val="20"/>
              </w:rPr>
              <w:t xml:space="preserve">PCT (∆) at </w:t>
            </w:r>
          </w:p>
          <w:p w14:paraId="5C816FB6"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 xml:space="preserve">N (0.33 m) &amp; </w:t>
            </w:r>
          </w:p>
          <w:p w14:paraId="6CA78264"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D (6m)</w:t>
            </w:r>
          </w:p>
        </w:tc>
        <w:tc>
          <w:tcPr>
            <w:tcW w:w="1140" w:type="dxa"/>
          </w:tcPr>
          <w:p w14:paraId="71421808" w14:textId="77777777" w:rsidR="004808A2" w:rsidRPr="009D4627" w:rsidRDefault="004808A2" w:rsidP="003967A7">
            <w:pPr>
              <w:spacing w:before="0" w:after="0" w:line="240" w:lineRule="auto"/>
              <w:jc w:val="left"/>
              <w:rPr>
                <w:b/>
                <w:color w:val="auto"/>
                <w:sz w:val="20"/>
                <w:szCs w:val="20"/>
              </w:rPr>
            </w:pPr>
            <w:r w:rsidRPr="009D4627">
              <w:rPr>
                <w:b/>
                <w:color w:val="auto"/>
                <w:sz w:val="20"/>
                <w:szCs w:val="20"/>
              </w:rPr>
              <w:t>Imaging</w:t>
            </w:r>
          </w:p>
        </w:tc>
      </w:tr>
      <w:tr w:rsidR="004808A2" w:rsidRPr="009D4627" w14:paraId="1A494C84" w14:textId="77777777" w:rsidTr="00EB77C2">
        <w:tc>
          <w:tcPr>
            <w:tcW w:w="846" w:type="dxa"/>
          </w:tcPr>
          <w:p w14:paraId="2A996C3B"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1</w:t>
            </w:r>
          </w:p>
        </w:tc>
        <w:tc>
          <w:tcPr>
            <w:tcW w:w="850" w:type="dxa"/>
          </w:tcPr>
          <w:p w14:paraId="5AD9E99A"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55</w:t>
            </w:r>
          </w:p>
        </w:tc>
        <w:tc>
          <w:tcPr>
            <w:tcW w:w="993" w:type="dxa"/>
          </w:tcPr>
          <w:p w14:paraId="74E38E70"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3</w:t>
            </w:r>
          </w:p>
        </w:tc>
        <w:tc>
          <w:tcPr>
            <w:tcW w:w="1559" w:type="dxa"/>
          </w:tcPr>
          <w:p w14:paraId="1CE5B1F7" w14:textId="77777777" w:rsidR="004808A2" w:rsidRPr="00E82E69" w:rsidRDefault="004808A2" w:rsidP="003967A7">
            <w:pPr>
              <w:spacing w:before="0" w:after="0" w:line="240" w:lineRule="auto"/>
              <w:jc w:val="left"/>
              <w:rPr>
                <w:color w:val="auto"/>
                <w:sz w:val="20"/>
                <w:szCs w:val="20"/>
                <w:lang w:val="pt-PT"/>
              </w:rPr>
            </w:pPr>
            <w:r w:rsidRPr="00E82E69">
              <w:rPr>
                <w:color w:val="auto"/>
                <w:sz w:val="20"/>
                <w:szCs w:val="20"/>
                <w:lang w:val="pt-PT"/>
              </w:rPr>
              <w:t xml:space="preserve">Partial R </w:t>
            </w:r>
            <w:r w:rsidR="00EB77C2" w:rsidRPr="00E82E69">
              <w:rPr>
                <w:color w:val="auto"/>
                <w:sz w:val="20"/>
                <w:szCs w:val="20"/>
                <w:lang w:val="pt-PT"/>
              </w:rPr>
              <w:t>CN III</w:t>
            </w:r>
          </w:p>
          <w:p w14:paraId="58DC4231" w14:textId="2E1A42B3" w:rsidR="00EB77C2" w:rsidRPr="00E82E69" w:rsidRDefault="00EB77C2" w:rsidP="003967A7">
            <w:pPr>
              <w:spacing w:before="0" w:after="0" w:line="240" w:lineRule="auto"/>
              <w:jc w:val="left"/>
              <w:rPr>
                <w:color w:val="auto"/>
                <w:sz w:val="20"/>
                <w:szCs w:val="20"/>
                <w:lang w:val="pt-PT"/>
              </w:rPr>
            </w:pPr>
            <w:r w:rsidRPr="00E82E69">
              <w:rPr>
                <w:color w:val="auto"/>
                <w:sz w:val="20"/>
                <w:szCs w:val="20"/>
                <w:lang w:val="pt-PT"/>
              </w:rPr>
              <w:t>palsy</w:t>
            </w:r>
          </w:p>
        </w:tc>
        <w:tc>
          <w:tcPr>
            <w:tcW w:w="1559" w:type="dxa"/>
          </w:tcPr>
          <w:p w14:paraId="14E43409"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Unknown</w:t>
            </w:r>
          </w:p>
        </w:tc>
        <w:tc>
          <w:tcPr>
            <w:tcW w:w="2268" w:type="dxa"/>
          </w:tcPr>
          <w:p w14:paraId="11ACF5C5" w14:textId="34DEA442" w:rsidR="004808A2" w:rsidRPr="009D4627" w:rsidRDefault="004808A2" w:rsidP="003967A7">
            <w:pPr>
              <w:spacing w:before="0" w:after="0" w:line="240" w:lineRule="auto"/>
              <w:jc w:val="left"/>
              <w:rPr>
                <w:color w:val="auto"/>
                <w:sz w:val="20"/>
                <w:szCs w:val="20"/>
              </w:rPr>
            </w:pPr>
            <w:r w:rsidRPr="009D4627">
              <w:rPr>
                <w:color w:val="auto"/>
                <w:sz w:val="20"/>
                <w:szCs w:val="20"/>
              </w:rPr>
              <w:t>N&amp;D 9</w:t>
            </w:r>
            <w:r w:rsidRPr="009D4627">
              <w:rPr>
                <w:color w:val="auto"/>
                <w:sz w:val="20"/>
                <w:szCs w:val="20"/>
                <w:vertAlign w:val="superscript"/>
              </w:rPr>
              <w:t>Δ</w:t>
            </w:r>
            <w:r w:rsidR="00EB77C2" w:rsidRPr="009D4627">
              <w:rPr>
                <w:color w:val="auto"/>
                <w:sz w:val="20"/>
                <w:szCs w:val="20"/>
                <w:vertAlign w:val="superscript"/>
              </w:rPr>
              <w:t xml:space="preserve"> </w:t>
            </w:r>
            <w:r w:rsidRPr="009D4627">
              <w:rPr>
                <w:color w:val="auto"/>
                <w:sz w:val="20"/>
                <w:szCs w:val="20"/>
              </w:rPr>
              <w:t>LET 12</w:t>
            </w:r>
            <w:r w:rsidRPr="009D4627">
              <w:rPr>
                <w:color w:val="auto"/>
                <w:sz w:val="20"/>
                <w:szCs w:val="20"/>
                <w:vertAlign w:val="superscript"/>
              </w:rPr>
              <w:t>Δ</w:t>
            </w:r>
            <w:r w:rsidR="00EB77C2" w:rsidRPr="009D4627">
              <w:rPr>
                <w:color w:val="auto"/>
                <w:sz w:val="20"/>
                <w:szCs w:val="20"/>
                <w:vertAlign w:val="superscript"/>
              </w:rPr>
              <w:t xml:space="preserve"> </w:t>
            </w:r>
            <w:r w:rsidRPr="009D4627">
              <w:rPr>
                <w:color w:val="auto"/>
                <w:sz w:val="20"/>
                <w:szCs w:val="20"/>
              </w:rPr>
              <w:t>RHT</w:t>
            </w:r>
          </w:p>
        </w:tc>
        <w:tc>
          <w:tcPr>
            <w:tcW w:w="1140" w:type="dxa"/>
          </w:tcPr>
          <w:p w14:paraId="335D3865"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Normal MRI</w:t>
            </w:r>
          </w:p>
        </w:tc>
      </w:tr>
      <w:tr w:rsidR="004808A2" w:rsidRPr="009D4627" w14:paraId="6116E436" w14:textId="77777777" w:rsidTr="00EB77C2">
        <w:tc>
          <w:tcPr>
            <w:tcW w:w="846" w:type="dxa"/>
          </w:tcPr>
          <w:p w14:paraId="090924EB"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2</w:t>
            </w:r>
          </w:p>
        </w:tc>
        <w:tc>
          <w:tcPr>
            <w:tcW w:w="850" w:type="dxa"/>
          </w:tcPr>
          <w:p w14:paraId="3EDA115B"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77</w:t>
            </w:r>
          </w:p>
        </w:tc>
        <w:tc>
          <w:tcPr>
            <w:tcW w:w="993" w:type="dxa"/>
          </w:tcPr>
          <w:p w14:paraId="4ED89C8F"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w:t>
            </w:r>
          </w:p>
        </w:tc>
        <w:tc>
          <w:tcPr>
            <w:tcW w:w="1559" w:type="dxa"/>
          </w:tcPr>
          <w:p w14:paraId="66FB053F" w14:textId="5947AF3B"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Partial L </w:t>
            </w:r>
            <w:r w:rsidR="00EB77C2" w:rsidRPr="009D4627">
              <w:rPr>
                <w:color w:val="auto"/>
                <w:sz w:val="20"/>
                <w:szCs w:val="20"/>
              </w:rPr>
              <w:t>CN III palsy</w:t>
            </w:r>
          </w:p>
        </w:tc>
        <w:tc>
          <w:tcPr>
            <w:tcW w:w="1559" w:type="dxa"/>
          </w:tcPr>
          <w:p w14:paraId="47051FEC"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HPT</w:t>
            </w:r>
          </w:p>
        </w:tc>
        <w:tc>
          <w:tcPr>
            <w:tcW w:w="2268" w:type="dxa"/>
          </w:tcPr>
          <w:p w14:paraId="2AA67900" w14:textId="1059D0DC" w:rsidR="004808A2" w:rsidRPr="009D4627" w:rsidRDefault="004808A2" w:rsidP="003967A7">
            <w:pPr>
              <w:spacing w:before="0" w:after="0" w:line="240" w:lineRule="auto"/>
              <w:jc w:val="left"/>
              <w:rPr>
                <w:color w:val="auto"/>
                <w:sz w:val="20"/>
                <w:szCs w:val="20"/>
              </w:rPr>
            </w:pPr>
            <w:r w:rsidRPr="009D4627">
              <w:rPr>
                <w:color w:val="auto"/>
                <w:sz w:val="20"/>
                <w:szCs w:val="20"/>
              </w:rPr>
              <w:t>N 20</w:t>
            </w:r>
            <w:r w:rsidRPr="009D4627">
              <w:rPr>
                <w:color w:val="auto"/>
                <w:sz w:val="20"/>
                <w:szCs w:val="20"/>
                <w:vertAlign w:val="superscript"/>
              </w:rPr>
              <w:t>Δ</w:t>
            </w:r>
            <w:r w:rsidR="00EB77C2" w:rsidRPr="009D4627">
              <w:rPr>
                <w:color w:val="auto"/>
                <w:sz w:val="20"/>
                <w:szCs w:val="20"/>
                <w:vertAlign w:val="superscript"/>
              </w:rPr>
              <w:t xml:space="preserve"> </w:t>
            </w:r>
            <w:r w:rsidRPr="009D4627">
              <w:rPr>
                <w:color w:val="auto"/>
                <w:sz w:val="20"/>
                <w:szCs w:val="20"/>
              </w:rPr>
              <w:t>LXT 10</w:t>
            </w:r>
            <w:r w:rsidR="00EB77C2" w:rsidRPr="009D4627">
              <w:rPr>
                <w:color w:val="auto"/>
                <w:sz w:val="20"/>
                <w:szCs w:val="20"/>
                <w:vertAlign w:val="superscript"/>
              </w:rPr>
              <w:t xml:space="preserve">Δ </w:t>
            </w:r>
            <w:r w:rsidRPr="009D4627">
              <w:rPr>
                <w:color w:val="auto"/>
                <w:sz w:val="20"/>
                <w:szCs w:val="20"/>
              </w:rPr>
              <w:t>LHT</w:t>
            </w:r>
          </w:p>
          <w:p w14:paraId="4F7CCDCA" w14:textId="481DE80F" w:rsidR="004808A2" w:rsidRPr="009D4627" w:rsidRDefault="004808A2" w:rsidP="003967A7">
            <w:pPr>
              <w:spacing w:before="0" w:after="0" w:line="240" w:lineRule="auto"/>
              <w:jc w:val="left"/>
              <w:rPr>
                <w:color w:val="auto"/>
                <w:sz w:val="20"/>
                <w:szCs w:val="20"/>
              </w:rPr>
            </w:pPr>
            <w:r w:rsidRPr="009D4627">
              <w:rPr>
                <w:color w:val="auto"/>
                <w:sz w:val="20"/>
                <w:szCs w:val="20"/>
              </w:rPr>
              <w:t>D 18</w:t>
            </w:r>
            <w:r w:rsidR="00EB77C2" w:rsidRPr="009D4627">
              <w:rPr>
                <w:color w:val="auto"/>
                <w:sz w:val="20"/>
                <w:szCs w:val="20"/>
                <w:vertAlign w:val="superscript"/>
              </w:rPr>
              <w:t>Δ</w:t>
            </w:r>
            <w:r w:rsidR="00EB77C2" w:rsidRPr="009D4627">
              <w:rPr>
                <w:color w:val="auto"/>
                <w:sz w:val="20"/>
                <w:szCs w:val="20"/>
              </w:rPr>
              <w:t xml:space="preserve"> </w:t>
            </w:r>
            <w:r w:rsidRPr="009D4627">
              <w:rPr>
                <w:color w:val="auto"/>
                <w:sz w:val="20"/>
                <w:szCs w:val="20"/>
              </w:rPr>
              <w:t>LXT 2</w:t>
            </w:r>
            <w:r w:rsidR="00EB77C2" w:rsidRPr="009D4627">
              <w:rPr>
                <w:color w:val="auto"/>
                <w:sz w:val="20"/>
                <w:szCs w:val="20"/>
                <w:vertAlign w:val="superscript"/>
              </w:rPr>
              <w:t>Δ</w:t>
            </w:r>
            <w:r w:rsidR="00EB77C2" w:rsidRPr="009D4627">
              <w:rPr>
                <w:color w:val="auto"/>
                <w:sz w:val="20"/>
                <w:szCs w:val="20"/>
              </w:rPr>
              <w:t xml:space="preserve"> </w:t>
            </w:r>
            <w:r w:rsidRPr="009D4627">
              <w:rPr>
                <w:color w:val="auto"/>
                <w:sz w:val="20"/>
                <w:szCs w:val="20"/>
              </w:rPr>
              <w:t>LHT</w:t>
            </w:r>
          </w:p>
        </w:tc>
        <w:tc>
          <w:tcPr>
            <w:tcW w:w="1140" w:type="dxa"/>
          </w:tcPr>
          <w:p w14:paraId="01EFA198"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Normal CT</w:t>
            </w:r>
          </w:p>
        </w:tc>
      </w:tr>
      <w:tr w:rsidR="004808A2" w:rsidRPr="009D4627" w14:paraId="64E5C75A" w14:textId="77777777" w:rsidTr="00EB77C2">
        <w:tc>
          <w:tcPr>
            <w:tcW w:w="846" w:type="dxa"/>
          </w:tcPr>
          <w:p w14:paraId="463DDAF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3</w:t>
            </w:r>
          </w:p>
        </w:tc>
        <w:tc>
          <w:tcPr>
            <w:tcW w:w="850" w:type="dxa"/>
          </w:tcPr>
          <w:p w14:paraId="4E05FD10"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72</w:t>
            </w:r>
          </w:p>
        </w:tc>
        <w:tc>
          <w:tcPr>
            <w:tcW w:w="993" w:type="dxa"/>
          </w:tcPr>
          <w:p w14:paraId="56CA25A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3</w:t>
            </w:r>
          </w:p>
        </w:tc>
        <w:tc>
          <w:tcPr>
            <w:tcW w:w="1559" w:type="dxa"/>
          </w:tcPr>
          <w:p w14:paraId="24136584" w14:textId="43712CE6" w:rsidR="004808A2" w:rsidRPr="009D4627" w:rsidRDefault="004808A2" w:rsidP="003967A7">
            <w:pPr>
              <w:spacing w:before="0" w:after="0" w:line="240" w:lineRule="auto"/>
              <w:jc w:val="left"/>
              <w:rPr>
                <w:color w:val="auto"/>
                <w:sz w:val="20"/>
                <w:szCs w:val="20"/>
              </w:rPr>
            </w:pPr>
            <w:r w:rsidRPr="009D4627">
              <w:rPr>
                <w:color w:val="auto"/>
                <w:sz w:val="20"/>
                <w:szCs w:val="20"/>
              </w:rPr>
              <w:t>R</w:t>
            </w:r>
            <w:r w:rsidR="00EB77C2" w:rsidRPr="009D4627">
              <w:rPr>
                <w:color w:val="auto"/>
                <w:sz w:val="20"/>
                <w:szCs w:val="20"/>
              </w:rPr>
              <w:t xml:space="preserve"> CN III</w:t>
            </w:r>
            <w:r w:rsidRPr="009D4627">
              <w:rPr>
                <w:color w:val="auto"/>
                <w:sz w:val="20"/>
                <w:szCs w:val="20"/>
              </w:rPr>
              <w:t xml:space="preserve"> </w:t>
            </w:r>
            <w:r w:rsidR="00EB77C2" w:rsidRPr="009D4627">
              <w:rPr>
                <w:color w:val="auto"/>
                <w:sz w:val="20"/>
                <w:szCs w:val="20"/>
              </w:rPr>
              <w:t>palsy</w:t>
            </w:r>
          </w:p>
        </w:tc>
        <w:tc>
          <w:tcPr>
            <w:tcW w:w="1559" w:type="dxa"/>
          </w:tcPr>
          <w:p w14:paraId="172A375F"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tc>
        <w:tc>
          <w:tcPr>
            <w:tcW w:w="2268" w:type="dxa"/>
          </w:tcPr>
          <w:p w14:paraId="499AF6C0" w14:textId="3970A7CC" w:rsidR="004808A2" w:rsidRPr="009D4627" w:rsidRDefault="004808A2" w:rsidP="003967A7">
            <w:pPr>
              <w:spacing w:before="0" w:after="0" w:line="240" w:lineRule="auto"/>
              <w:jc w:val="left"/>
              <w:rPr>
                <w:color w:val="auto"/>
                <w:sz w:val="20"/>
                <w:szCs w:val="20"/>
              </w:rPr>
            </w:pPr>
            <w:r w:rsidRPr="009D4627">
              <w:rPr>
                <w:color w:val="auto"/>
                <w:sz w:val="20"/>
                <w:szCs w:val="20"/>
              </w:rPr>
              <w:t>N&amp;D 40</w:t>
            </w:r>
            <w:r w:rsidR="00D03EAB" w:rsidRPr="009D4627">
              <w:rPr>
                <w:color w:val="auto"/>
                <w:sz w:val="20"/>
                <w:szCs w:val="20"/>
                <w:vertAlign w:val="superscript"/>
              </w:rPr>
              <w:t xml:space="preserve">Δ </w:t>
            </w:r>
            <w:r w:rsidRPr="009D4627">
              <w:rPr>
                <w:color w:val="auto"/>
                <w:sz w:val="20"/>
                <w:szCs w:val="20"/>
              </w:rPr>
              <w:t>RXT 16</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RHT</w:t>
            </w:r>
          </w:p>
        </w:tc>
        <w:tc>
          <w:tcPr>
            <w:tcW w:w="1140" w:type="dxa"/>
          </w:tcPr>
          <w:p w14:paraId="58F9094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No</w:t>
            </w:r>
          </w:p>
        </w:tc>
      </w:tr>
      <w:tr w:rsidR="004808A2" w:rsidRPr="009D4627" w14:paraId="196BDFBB" w14:textId="77777777" w:rsidTr="00EB77C2">
        <w:tc>
          <w:tcPr>
            <w:tcW w:w="846" w:type="dxa"/>
          </w:tcPr>
          <w:p w14:paraId="5E1DAA60"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4</w:t>
            </w:r>
          </w:p>
        </w:tc>
        <w:tc>
          <w:tcPr>
            <w:tcW w:w="850" w:type="dxa"/>
          </w:tcPr>
          <w:p w14:paraId="331E072F"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87</w:t>
            </w:r>
          </w:p>
        </w:tc>
        <w:tc>
          <w:tcPr>
            <w:tcW w:w="993" w:type="dxa"/>
          </w:tcPr>
          <w:p w14:paraId="2206558A"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5</w:t>
            </w:r>
          </w:p>
        </w:tc>
        <w:tc>
          <w:tcPr>
            <w:tcW w:w="1559" w:type="dxa"/>
          </w:tcPr>
          <w:p w14:paraId="680C6333" w14:textId="1AEE4F9E"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R </w:t>
            </w:r>
            <w:r w:rsidR="00EB77C2" w:rsidRPr="009D4627">
              <w:rPr>
                <w:color w:val="auto"/>
                <w:sz w:val="20"/>
                <w:szCs w:val="20"/>
              </w:rPr>
              <w:t>CN VI</w:t>
            </w:r>
            <w:r w:rsidRPr="009D4627">
              <w:rPr>
                <w:color w:val="auto"/>
                <w:sz w:val="20"/>
                <w:szCs w:val="20"/>
              </w:rPr>
              <w:t xml:space="preserve"> </w:t>
            </w:r>
            <w:r w:rsidR="00EB77C2" w:rsidRPr="009D4627">
              <w:rPr>
                <w:color w:val="auto"/>
                <w:sz w:val="20"/>
                <w:szCs w:val="20"/>
              </w:rPr>
              <w:t>palsy</w:t>
            </w:r>
          </w:p>
        </w:tc>
        <w:tc>
          <w:tcPr>
            <w:tcW w:w="1559" w:type="dxa"/>
          </w:tcPr>
          <w:p w14:paraId="3E469416"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tc>
        <w:tc>
          <w:tcPr>
            <w:tcW w:w="2268" w:type="dxa"/>
          </w:tcPr>
          <w:p w14:paraId="34ABF3CC" w14:textId="3E5C5526" w:rsidR="004808A2" w:rsidRPr="009D4627" w:rsidRDefault="004808A2" w:rsidP="003967A7">
            <w:pPr>
              <w:spacing w:before="0" w:after="0" w:line="240" w:lineRule="auto"/>
              <w:jc w:val="left"/>
              <w:rPr>
                <w:color w:val="auto"/>
                <w:sz w:val="20"/>
                <w:szCs w:val="20"/>
              </w:rPr>
            </w:pPr>
            <w:r w:rsidRPr="009D4627">
              <w:rPr>
                <w:color w:val="auto"/>
                <w:sz w:val="20"/>
                <w:szCs w:val="20"/>
              </w:rPr>
              <w:t>N 2</w:t>
            </w:r>
            <w:r w:rsidR="00EB77C2" w:rsidRPr="009D4627">
              <w:rPr>
                <w:color w:val="auto"/>
                <w:sz w:val="20"/>
                <w:szCs w:val="20"/>
                <w:vertAlign w:val="superscript"/>
              </w:rPr>
              <w:t>Δ</w:t>
            </w:r>
            <w:r w:rsidR="00EB77C2" w:rsidRPr="009D4627">
              <w:rPr>
                <w:color w:val="auto"/>
                <w:sz w:val="20"/>
                <w:szCs w:val="20"/>
              </w:rPr>
              <w:t xml:space="preserve"> </w:t>
            </w:r>
            <w:r w:rsidRPr="009D4627">
              <w:rPr>
                <w:color w:val="auto"/>
                <w:sz w:val="20"/>
                <w:szCs w:val="20"/>
              </w:rPr>
              <w:t xml:space="preserve">E </w:t>
            </w:r>
          </w:p>
          <w:p w14:paraId="43B4B0DA" w14:textId="77CDDB27" w:rsidR="004808A2" w:rsidRPr="009D4627" w:rsidRDefault="004808A2" w:rsidP="003967A7">
            <w:pPr>
              <w:spacing w:before="0" w:after="0" w:line="240" w:lineRule="auto"/>
              <w:jc w:val="left"/>
              <w:rPr>
                <w:color w:val="auto"/>
                <w:sz w:val="20"/>
                <w:szCs w:val="20"/>
              </w:rPr>
            </w:pPr>
            <w:r w:rsidRPr="009D4627">
              <w:rPr>
                <w:color w:val="auto"/>
                <w:sz w:val="20"/>
                <w:szCs w:val="20"/>
              </w:rPr>
              <w:t>D 10</w:t>
            </w:r>
            <w:r w:rsidR="00EB77C2" w:rsidRPr="009D4627">
              <w:rPr>
                <w:color w:val="auto"/>
                <w:sz w:val="20"/>
                <w:szCs w:val="20"/>
                <w:vertAlign w:val="superscript"/>
              </w:rPr>
              <w:t>Δ</w:t>
            </w:r>
            <w:r w:rsidR="00EB77C2" w:rsidRPr="009D4627">
              <w:rPr>
                <w:color w:val="auto"/>
                <w:sz w:val="20"/>
                <w:szCs w:val="20"/>
              </w:rPr>
              <w:t xml:space="preserve"> </w:t>
            </w:r>
            <w:r w:rsidRPr="009D4627">
              <w:rPr>
                <w:color w:val="auto"/>
                <w:sz w:val="20"/>
                <w:szCs w:val="20"/>
              </w:rPr>
              <w:t>RET</w:t>
            </w:r>
          </w:p>
        </w:tc>
        <w:tc>
          <w:tcPr>
            <w:tcW w:w="1140" w:type="dxa"/>
          </w:tcPr>
          <w:p w14:paraId="05F16993"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No </w:t>
            </w:r>
          </w:p>
        </w:tc>
      </w:tr>
      <w:tr w:rsidR="004808A2" w:rsidRPr="009D4627" w14:paraId="35397F80" w14:textId="77777777" w:rsidTr="00EB77C2">
        <w:tc>
          <w:tcPr>
            <w:tcW w:w="846" w:type="dxa"/>
          </w:tcPr>
          <w:p w14:paraId="5A72CCAB"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5</w:t>
            </w:r>
          </w:p>
        </w:tc>
        <w:tc>
          <w:tcPr>
            <w:tcW w:w="850" w:type="dxa"/>
          </w:tcPr>
          <w:p w14:paraId="01229DC2"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72</w:t>
            </w:r>
          </w:p>
        </w:tc>
        <w:tc>
          <w:tcPr>
            <w:tcW w:w="993" w:type="dxa"/>
          </w:tcPr>
          <w:p w14:paraId="280AC29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w:t>
            </w:r>
          </w:p>
        </w:tc>
        <w:tc>
          <w:tcPr>
            <w:tcW w:w="1559" w:type="dxa"/>
          </w:tcPr>
          <w:p w14:paraId="3FD7EDA7" w14:textId="140B920A"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R </w:t>
            </w:r>
            <w:r w:rsidR="00EB77C2" w:rsidRPr="009D4627">
              <w:rPr>
                <w:color w:val="auto"/>
                <w:sz w:val="20"/>
                <w:szCs w:val="20"/>
              </w:rPr>
              <w:t>CN VI palsy</w:t>
            </w:r>
          </w:p>
        </w:tc>
        <w:tc>
          <w:tcPr>
            <w:tcW w:w="1559" w:type="dxa"/>
          </w:tcPr>
          <w:p w14:paraId="59C4F9FE"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tc>
        <w:tc>
          <w:tcPr>
            <w:tcW w:w="2268" w:type="dxa"/>
          </w:tcPr>
          <w:p w14:paraId="74B77104" w14:textId="626E3B11" w:rsidR="004808A2" w:rsidRPr="009D4627" w:rsidRDefault="004808A2" w:rsidP="003967A7">
            <w:pPr>
              <w:spacing w:before="0" w:after="0" w:line="240" w:lineRule="auto"/>
              <w:jc w:val="left"/>
              <w:rPr>
                <w:color w:val="auto"/>
                <w:sz w:val="20"/>
                <w:szCs w:val="20"/>
              </w:rPr>
            </w:pPr>
            <w:r w:rsidRPr="009D4627">
              <w:rPr>
                <w:color w:val="auto"/>
                <w:sz w:val="20"/>
                <w:szCs w:val="20"/>
              </w:rPr>
              <w:t>N 16</w:t>
            </w:r>
            <w:r w:rsidR="00EB77C2" w:rsidRPr="009D4627">
              <w:rPr>
                <w:color w:val="auto"/>
                <w:sz w:val="20"/>
                <w:szCs w:val="20"/>
                <w:vertAlign w:val="superscript"/>
              </w:rPr>
              <w:t>Δ</w:t>
            </w:r>
            <w:r w:rsidR="00EB77C2" w:rsidRPr="009D4627">
              <w:rPr>
                <w:color w:val="auto"/>
                <w:sz w:val="20"/>
                <w:szCs w:val="20"/>
              </w:rPr>
              <w:t xml:space="preserve"> </w:t>
            </w:r>
            <w:r w:rsidRPr="009D4627">
              <w:rPr>
                <w:color w:val="auto"/>
                <w:sz w:val="20"/>
                <w:szCs w:val="20"/>
              </w:rPr>
              <w:t>RET 2</w:t>
            </w:r>
            <w:r w:rsidR="00D03EAB" w:rsidRPr="009D4627">
              <w:rPr>
                <w:color w:val="auto"/>
                <w:sz w:val="20"/>
                <w:szCs w:val="20"/>
                <w:vertAlign w:val="superscript"/>
              </w:rPr>
              <w:t>Δ</w:t>
            </w:r>
            <w:r w:rsidR="00D03EAB" w:rsidRPr="009D4627">
              <w:rPr>
                <w:color w:val="auto"/>
                <w:sz w:val="20"/>
                <w:szCs w:val="20"/>
              </w:rPr>
              <w:t xml:space="preserve"> </w:t>
            </w:r>
            <w:proofErr w:type="spellStart"/>
            <w:r w:rsidRPr="009D4627">
              <w:rPr>
                <w:color w:val="auto"/>
                <w:sz w:val="20"/>
                <w:szCs w:val="20"/>
              </w:rPr>
              <w:t>RHoT</w:t>
            </w:r>
            <w:proofErr w:type="spellEnd"/>
            <w:r w:rsidRPr="009D4627">
              <w:rPr>
                <w:color w:val="auto"/>
                <w:sz w:val="20"/>
                <w:szCs w:val="20"/>
              </w:rPr>
              <w:t xml:space="preserve"> </w:t>
            </w:r>
          </w:p>
          <w:p w14:paraId="3C77AE4C" w14:textId="20702B66" w:rsidR="004808A2" w:rsidRPr="009D4627" w:rsidRDefault="004808A2" w:rsidP="003967A7">
            <w:pPr>
              <w:spacing w:before="0" w:after="0" w:line="240" w:lineRule="auto"/>
              <w:jc w:val="left"/>
              <w:rPr>
                <w:color w:val="auto"/>
                <w:sz w:val="20"/>
                <w:szCs w:val="20"/>
              </w:rPr>
            </w:pPr>
            <w:r w:rsidRPr="009D4627">
              <w:rPr>
                <w:color w:val="auto"/>
                <w:sz w:val="20"/>
                <w:szCs w:val="20"/>
              </w:rPr>
              <w:t>D 20</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RET 2</w:t>
            </w:r>
            <w:r w:rsidR="00D03EAB" w:rsidRPr="009D4627">
              <w:rPr>
                <w:color w:val="auto"/>
                <w:sz w:val="20"/>
                <w:szCs w:val="20"/>
                <w:vertAlign w:val="superscript"/>
              </w:rPr>
              <w:t>Δ</w:t>
            </w:r>
            <w:r w:rsidR="00D03EAB" w:rsidRPr="009D4627">
              <w:rPr>
                <w:color w:val="auto"/>
                <w:sz w:val="20"/>
                <w:szCs w:val="20"/>
              </w:rPr>
              <w:t xml:space="preserve"> </w:t>
            </w:r>
            <w:proofErr w:type="spellStart"/>
            <w:r w:rsidRPr="009D4627">
              <w:rPr>
                <w:color w:val="auto"/>
                <w:sz w:val="20"/>
                <w:szCs w:val="20"/>
              </w:rPr>
              <w:t>RHoT</w:t>
            </w:r>
            <w:proofErr w:type="spellEnd"/>
          </w:p>
        </w:tc>
        <w:tc>
          <w:tcPr>
            <w:tcW w:w="1140" w:type="dxa"/>
          </w:tcPr>
          <w:p w14:paraId="56667F96"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No</w:t>
            </w:r>
          </w:p>
        </w:tc>
      </w:tr>
      <w:tr w:rsidR="004808A2" w:rsidRPr="009D4627" w14:paraId="21EF2B38" w14:textId="77777777" w:rsidTr="00EB77C2">
        <w:tc>
          <w:tcPr>
            <w:tcW w:w="846" w:type="dxa"/>
          </w:tcPr>
          <w:p w14:paraId="79DD1B73"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6</w:t>
            </w:r>
          </w:p>
        </w:tc>
        <w:tc>
          <w:tcPr>
            <w:tcW w:w="850" w:type="dxa"/>
          </w:tcPr>
          <w:p w14:paraId="327315B2"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68</w:t>
            </w:r>
          </w:p>
        </w:tc>
        <w:tc>
          <w:tcPr>
            <w:tcW w:w="993" w:type="dxa"/>
          </w:tcPr>
          <w:p w14:paraId="04141E84"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3</w:t>
            </w:r>
          </w:p>
        </w:tc>
        <w:tc>
          <w:tcPr>
            <w:tcW w:w="1559" w:type="dxa"/>
          </w:tcPr>
          <w:p w14:paraId="12E3610F" w14:textId="5241600C"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Partial L </w:t>
            </w:r>
            <w:r w:rsidR="00EB77C2" w:rsidRPr="009D4627">
              <w:rPr>
                <w:color w:val="auto"/>
                <w:sz w:val="20"/>
                <w:szCs w:val="20"/>
              </w:rPr>
              <w:t>CN III palsy</w:t>
            </w:r>
          </w:p>
        </w:tc>
        <w:tc>
          <w:tcPr>
            <w:tcW w:w="1559" w:type="dxa"/>
          </w:tcPr>
          <w:p w14:paraId="380F2B48"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High cholesterol </w:t>
            </w:r>
          </w:p>
          <w:p w14:paraId="38FC30CA" w14:textId="77777777" w:rsidR="004808A2" w:rsidRPr="009D4627" w:rsidRDefault="004808A2" w:rsidP="003967A7">
            <w:pPr>
              <w:spacing w:before="0" w:after="0" w:line="240" w:lineRule="auto"/>
              <w:jc w:val="left"/>
              <w:rPr>
                <w:color w:val="auto"/>
                <w:sz w:val="20"/>
                <w:szCs w:val="20"/>
              </w:rPr>
            </w:pPr>
          </w:p>
          <w:p w14:paraId="3DE881BC"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tc>
        <w:tc>
          <w:tcPr>
            <w:tcW w:w="2268" w:type="dxa"/>
          </w:tcPr>
          <w:p w14:paraId="1BC5E6A9" w14:textId="2FF31747" w:rsidR="004808A2" w:rsidRPr="009D4627" w:rsidRDefault="004808A2" w:rsidP="003967A7">
            <w:pPr>
              <w:spacing w:before="0" w:after="0" w:line="240" w:lineRule="auto"/>
              <w:jc w:val="left"/>
              <w:rPr>
                <w:color w:val="auto"/>
                <w:sz w:val="20"/>
                <w:szCs w:val="20"/>
              </w:rPr>
            </w:pPr>
            <w:r w:rsidRPr="009D4627">
              <w:rPr>
                <w:color w:val="auto"/>
                <w:sz w:val="20"/>
                <w:szCs w:val="20"/>
              </w:rPr>
              <w:t>N&amp;D 35</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LXT 8</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LHT</w:t>
            </w:r>
          </w:p>
        </w:tc>
        <w:tc>
          <w:tcPr>
            <w:tcW w:w="1140" w:type="dxa"/>
          </w:tcPr>
          <w:p w14:paraId="122EA150"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Normal CT angiogram</w:t>
            </w:r>
          </w:p>
        </w:tc>
      </w:tr>
      <w:tr w:rsidR="004808A2" w:rsidRPr="009D4627" w14:paraId="489F65AA" w14:textId="77777777" w:rsidTr="00EB77C2">
        <w:tc>
          <w:tcPr>
            <w:tcW w:w="846" w:type="dxa"/>
          </w:tcPr>
          <w:p w14:paraId="6F59BCD0"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w:t>
            </w:r>
          </w:p>
        </w:tc>
        <w:tc>
          <w:tcPr>
            <w:tcW w:w="850" w:type="dxa"/>
          </w:tcPr>
          <w:p w14:paraId="60AD5D9D"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86</w:t>
            </w:r>
          </w:p>
        </w:tc>
        <w:tc>
          <w:tcPr>
            <w:tcW w:w="993" w:type="dxa"/>
          </w:tcPr>
          <w:p w14:paraId="75ED3928"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4</w:t>
            </w:r>
          </w:p>
        </w:tc>
        <w:tc>
          <w:tcPr>
            <w:tcW w:w="1559" w:type="dxa"/>
          </w:tcPr>
          <w:p w14:paraId="28B6ADAB" w14:textId="5B3EE5F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R </w:t>
            </w:r>
            <w:r w:rsidR="00EB77C2" w:rsidRPr="009D4627">
              <w:rPr>
                <w:color w:val="auto"/>
                <w:sz w:val="20"/>
                <w:szCs w:val="20"/>
              </w:rPr>
              <w:t>CN VI palsy</w:t>
            </w:r>
          </w:p>
        </w:tc>
        <w:tc>
          <w:tcPr>
            <w:tcW w:w="1559" w:type="dxa"/>
          </w:tcPr>
          <w:p w14:paraId="03312F99"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tc>
        <w:tc>
          <w:tcPr>
            <w:tcW w:w="2268" w:type="dxa"/>
          </w:tcPr>
          <w:p w14:paraId="10FBB616" w14:textId="0A40E70B" w:rsidR="004808A2" w:rsidRPr="009D4627" w:rsidRDefault="004808A2" w:rsidP="003967A7">
            <w:pPr>
              <w:spacing w:before="0" w:after="0" w:line="240" w:lineRule="auto"/>
              <w:jc w:val="left"/>
              <w:rPr>
                <w:color w:val="auto"/>
                <w:sz w:val="20"/>
                <w:szCs w:val="20"/>
              </w:rPr>
            </w:pPr>
            <w:r w:rsidRPr="009D4627">
              <w:rPr>
                <w:color w:val="auto"/>
                <w:sz w:val="20"/>
                <w:szCs w:val="20"/>
              </w:rPr>
              <w:t>N 3</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RE(T) with good recovery</w:t>
            </w:r>
          </w:p>
          <w:p w14:paraId="238511A2" w14:textId="13AE2AEC" w:rsidR="004808A2" w:rsidRPr="009D4627" w:rsidRDefault="004808A2" w:rsidP="003967A7">
            <w:pPr>
              <w:spacing w:before="0" w:after="0" w:line="240" w:lineRule="auto"/>
              <w:jc w:val="left"/>
              <w:rPr>
                <w:color w:val="auto"/>
                <w:sz w:val="20"/>
                <w:szCs w:val="20"/>
              </w:rPr>
            </w:pPr>
            <w:r w:rsidRPr="009D4627">
              <w:rPr>
                <w:color w:val="auto"/>
                <w:sz w:val="20"/>
                <w:szCs w:val="20"/>
              </w:rPr>
              <w:t>D 20-25</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RET</w:t>
            </w:r>
          </w:p>
        </w:tc>
        <w:tc>
          <w:tcPr>
            <w:tcW w:w="1140" w:type="dxa"/>
          </w:tcPr>
          <w:p w14:paraId="430241B4"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No </w:t>
            </w:r>
          </w:p>
        </w:tc>
      </w:tr>
      <w:tr w:rsidR="004808A2" w:rsidRPr="009D4627" w14:paraId="5F5A9009" w14:textId="77777777" w:rsidTr="00EB77C2">
        <w:tc>
          <w:tcPr>
            <w:tcW w:w="846" w:type="dxa"/>
          </w:tcPr>
          <w:p w14:paraId="260C0B58"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8</w:t>
            </w:r>
          </w:p>
        </w:tc>
        <w:tc>
          <w:tcPr>
            <w:tcW w:w="850" w:type="dxa"/>
          </w:tcPr>
          <w:p w14:paraId="371BE79E"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61</w:t>
            </w:r>
          </w:p>
        </w:tc>
        <w:tc>
          <w:tcPr>
            <w:tcW w:w="993" w:type="dxa"/>
          </w:tcPr>
          <w:p w14:paraId="4491582A"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2</w:t>
            </w:r>
          </w:p>
        </w:tc>
        <w:tc>
          <w:tcPr>
            <w:tcW w:w="1559" w:type="dxa"/>
          </w:tcPr>
          <w:p w14:paraId="16F00CD7" w14:textId="2D0FFC68"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R </w:t>
            </w:r>
            <w:r w:rsidR="00EB77C2" w:rsidRPr="009D4627">
              <w:rPr>
                <w:color w:val="auto"/>
                <w:sz w:val="20"/>
                <w:szCs w:val="20"/>
              </w:rPr>
              <w:t>CN IV palsy</w:t>
            </w:r>
          </w:p>
        </w:tc>
        <w:tc>
          <w:tcPr>
            <w:tcW w:w="1559" w:type="dxa"/>
          </w:tcPr>
          <w:p w14:paraId="122955D2"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tc>
        <w:tc>
          <w:tcPr>
            <w:tcW w:w="2268" w:type="dxa"/>
          </w:tcPr>
          <w:p w14:paraId="56CE183A" w14:textId="400FE680" w:rsidR="004808A2" w:rsidRPr="00E82E69" w:rsidRDefault="004808A2" w:rsidP="003967A7">
            <w:pPr>
              <w:spacing w:before="0" w:after="0" w:line="240" w:lineRule="auto"/>
              <w:jc w:val="left"/>
              <w:rPr>
                <w:color w:val="auto"/>
                <w:sz w:val="20"/>
                <w:szCs w:val="20"/>
                <w:lang w:val="pt-PT"/>
              </w:rPr>
            </w:pPr>
            <w:r w:rsidRPr="00E82E69">
              <w:rPr>
                <w:color w:val="auto"/>
                <w:sz w:val="20"/>
                <w:szCs w:val="20"/>
                <w:lang w:val="pt-PT"/>
              </w:rPr>
              <w:t>N&amp;D 2</w:t>
            </w:r>
            <w:r w:rsidR="00D03EAB" w:rsidRPr="009D4627">
              <w:rPr>
                <w:color w:val="auto"/>
                <w:sz w:val="20"/>
                <w:szCs w:val="20"/>
                <w:vertAlign w:val="superscript"/>
              </w:rPr>
              <w:t>Δ</w:t>
            </w:r>
            <w:r w:rsidR="00D03EAB" w:rsidRPr="00E82E69">
              <w:rPr>
                <w:color w:val="auto"/>
                <w:sz w:val="20"/>
                <w:szCs w:val="20"/>
                <w:lang w:val="pt-PT"/>
              </w:rPr>
              <w:t xml:space="preserve"> </w:t>
            </w:r>
            <w:r w:rsidRPr="00E82E69">
              <w:rPr>
                <w:color w:val="auto"/>
                <w:sz w:val="20"/>
                <w:szCs w:val="20"/>
                <w:lang w:val="pt-PT"/>
              </w:rPr>
              <w:t>RET 5</w:t>
            </w:r>
            <w:r w:rsidR="00D03EAB" w:rsidRPr="009D4627">
              <w:rPr>
                <w:color w:val="auto"/>
                <w:sz w:val="20"/>
                <w:szCs w:val="20"/>
                <w:vertAlign w:val="superscript"/>
              </w:rPr>
              <w:t>Δ</w:t>
            </w:r>
            <w:r w:rsidR="00D03EAB" w:rsidRPr="00E82E69">
              <w:rPr>
                <w:color w:val="auto"/>
                <w:sz w:val="20"/>
                <w:szCs w:val="20"/>
                <w:lang w:val="pt-PT"/>
              </w:rPr>
              <w:t xml:space="preserve"> </w:t>
            </w:r>
            <w:r w:rsidRPr="00E82E69">
              <w:rPr>
                <w:color w:val="auto"/>
                <w:sz w:val="20"/>
                <w:szCs w:val="20"/>
                <w:lang w:val="pt-PT"/>
              </w:rPr>
              <w:t>RHT</w:t>
            </w:r>
          </w:p>
        </w:tc>
        <w:tc>
          <w:tcPr>
            <w:tcW w:w="1140" w:type="dxa"/>
          </w:tcPr>
          <w:p w14:paraId="3B84591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No </w:t>
            </w:r>
          </w:p>
        </w:tc>
      </w:tr>
      <w:tr w:rsidR="004808A2" w:rsidRPr="009D4627" w14:paraId="7169216C" w14:textId="77777777" w:rsidTr="00EB77C2">
        <w:tc>
          <w:tcPr>
            <w:tcW w:w="846" w:type="dxa"/>
          </w:tcPr>
          <w:p w14:paraId="30548A74"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9</w:t>
            </w:r>
          </w:p>
        </w:tc>
        <w:tc>
          <w:tcPr>
            <w:tcW w:w="850" w:type="dxa"/>
          </w:tcPr>
          <w:p w14:paraId="36504E2C"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81</w:t>
            </w:r>
          </w:p>
        </w:tc>
        <w:tc>
          <w:tcPr>
            <w:tcW w:w="993" w:type="dxa"/>
          </w:tcPr>
          <w:p w14:paraId="41D3B325"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3</w:t>
            </w:r>
          </w:p>
        </w:tc>
        <w:tc>
          <w:tcPr>
            <w:tcW w:w="1559" w:type="dxa"/>
          </w:tcPr>
          <w:p w14:paraId="718C5F04" w14:textId="590F19FA"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L </w:t>
            </w:r>
            <w:r w:rsidR="00EB77C2" w:rsidRPr="009D4627">
              <w:rPr>
                <w:color w:val="auto"/>
                <w:sz w:val="20"/>
                <w:szCs w:val="20"/>
              </w:rPr>
              <w:t>CN VI palsy</w:t>
            </w:r>
          </w:p>
        </w:tc>
        <w:tc>
          <w:tcPr>
            <w:tcW w:w="1559" w:type="dxa"/>
          </w:tcPr>
          <w:p w14:paraId="31260EB8" w14:textId="77777777" w:rsidR="004808A2" w:rsidRPr="009D4627" w:rsidRDefault="004808A2" w:rsidP="003967A7">
            <w:pPr>
              <w:spacing w:before="0" w:after="0" w:line="240" w:lineRule="auto"/>
              <w:jc w:val="left"/>
              <w:rPr>
                <w:color w:val="FF0000"/>
                <w:sz w:val="20"/>
                <w:szCs w:val="20"/>
              </w:rPr>
            </w:pPr>
            <w:r w:rsidRPr="009D4627">
              <w:rPr>
                <w:color w:val="auto"/>
                <w:sz w:val="20"/>
                <w:szCs w:val="20"/>
              </w:rPr>
              <w:t xml:space="preserve">Unknown </w:t>
            </w:r>
          </w:p>
        </w:tc>
        <w:tc>
          <w:tcPr>
            <w:tcW w:w="2268" w:type="dxa"/>
          </w:tcPr>
          <w:p w14:paraId="1C0F82D6"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N </w:t>
            </w:r>
            <w:proofErr w:type="spellStart"/>
            <w:r w:rsidRPr="009D4627">
              <w:rPr>
                <w:color w:val="auto"/>
                <w:sz w:val="20"/>
                <w:szCs w:val="20"/>
              </w:rPr>
              <w:t>Orthophoric</w:t>
            </w:r>
            <w:proofErr w:type="spellEnd"/>
            <w:r w:rsidRPr="009D4627">
              <w:rPr>
                <w:color w:val="auto"/>
                <w:sz w:val="20"/>
                <w:szCs w:val="20"/>
              </w:rPr>
              <w:t xml:space="preserve"> </w:t>
            </w:r>
          </w:p>
          <w:p w14:paraId="1A1B04FD" w14:textId="4FC469F4" w:rsidR="004808A2" w:rsidRPr="009D4627" w:rsidRDefault="004808A2" w:rsidP="003967A7">
            <w:pPr>
              <w:spacing w:before="0" w:after="0" w:line="240" w:lineRule="auto"/>
              <w:jc w:val="left"/>
              <w:rPr>
                <w:color w:val="auto"/>
                <w:sz w:val="20"/>
                <w:szCs w:val="20"/>
              </w:rPr>
            </w:pPr>
            <w:r w:rsidRPr="009D4627">
              <w:rPr>
                <w:color w:val="auto"/>
                <w:sz w:val="20"/>
                <w:szCs w:val="20"/>
              </w:rPr>
              <w:t>D 10</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LET</w:t>
            </w:r>
          </w:p>
        </w:tc>
        <w:tc>
          <w:tcPr>
            <w:tcW w:w="1140" w:type="dxa"/>
          </w:tcPr>
          <w:p w14:paraId="199B2F0F"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No </w:t>
            </w:r>
          </w:p>
        </w:tc>
      </w:tr>
      <w:tr w:rsidR="004808A2" w:rsidRPr="009D4627" w14:paraId="0093065B" w14:textId="77777777" w:rsidTr="00EB77C2">
        <w:tc>
          <w:tcPr>
            <w:tcW w:w="846" w:type="dxa"/>
          </w:tcPr>
          <w:p w14:paraId="6934174E"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10</w:t>
            </w:r>
          </w:p>
        </w:tc>
        <w:tc>
          <w:tcPr>
            <w:tcW w:w="850" w:type="dxa"/>
          </w:tcPr>
          <w:p w14:paraId="0E6EFAE8"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65</w:t>
            </w:r>
          </w:p>
        </w:tc>
        <w:tc>
          <w:tcPr>
            <w:tcW w:w="993" w:type="dxa"/>
          </w:tcPr>
          <w:p w14:paraId="529C5B84"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7</w:t>
            </w:r>
          </w:p>
        </w:tc>
        <w:tc>
          <w:tcPr>
            <w:tcW w:w="1559" w:type="dxa"/>
          </w:tcPr>
          <w:p w14:paraId="536FAA7F" w14:textId="432C4128" w:rsidR="004808A2" w:rsidRPr="009D4627" w:rsidRDefault="004808A2" w:rsidP="003967A7">
            <w:pPr>
              <w:spacing w:before="0" w:after="0" w:line="240" w:lineRule="auto"/>
              <w:jc w:val="left"/>
              <w:rPr>
                <w:color w:val="auto"/>
                <w:sz w:val="20"/>
                <w:szCs w:val="20"/>
              </w:rPr>
            </w:pPr>
            <w:r w:rsidRPr="009D4627">
              <w:rPr>
                <w:color w:val="auto"/>
                <w:sz w:val="20"/>
                <w:szCs w:val="20"/>
              </w:rPr>
              <w:t xml:space="preserve">L </w:t>
            </w:r>
            <w:r w:rsidR="00EB77C2" w:rsidRPr="009D4627">
              <w:rPr>
                <w:color w:val="auto"/>
                <w:sz w:val="20"/>
                <w:szCs w:val="20"/>
              </w:rPr>
              <w:t>CN VI palsy</w:t>
            </w:r>
          </w:p>
        </w:tc>
        <w:tc>
          <w:tcPr>
            <w:tcW w:w="1559" w:type="dxa"/>
          </w:tcPr>
          <w:p w14:paraId="7DECB84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DM</w:t>
            </w:r>
          </w:p>
          <w:p w14:paraId="7D667C71" w14:textId="77777777" w:rsidR="004808A2" w:rsidRPr="009D4627" w:rsidRDefault="004808A2" w:rsidP="003967A7">
            <w:pPr>
              <w:spacing w:before="0" w:after="0" w:line="240" w:lineRule="auto"/>
              <w:jc w:val="left"/>
              <w:rPr>
                <w:color w:val="auto"/>
                <w:sz w:val="20"/>
                <w:szCs w:val="20"/>
              </w:rPr>
            </w:pPr>
          </w:p>
          <w:p w14:paraId="5FC0F69B"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Paroxysmal atrial fibrillation</w:t>
            </w:r>
          </w:p>
        </w:tc>
        <w:tc>
          <w:tcPr>
            <w:tcW w:w="2268" w:type="dxa"/>
          </w:tcPr>
          <w:p w14:paraId="08C18662" w14:textId="17E2451C" w:rsidR="004808A2" w:rsidRPr="009D4627" w:rsidRDefault="004808A2" w:rsidP="003967A7">
            <w:pPr>
              <w:spacing w:before="0" w:after="0" w:line="240" w:lineRule="auto"/>
              <w:jc w:val="left"/>
              <w:rPr>
                <w:color w:val="auto"/>
                <w:sz w:val="20"/>
                <w:szCs w:val="20"/>
              </w:rPr>
            </w:pPr>
            <w:r w:rsidRPr="009D4627">
              <w:rPr>
                <w:color w:val="auto"/>
                <w:sz w:val="20"/>
                <w:szCs w:val="20"/>
              </w:rPr>
              <w:t>N 5-6</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 xml:space="preserve">LET </w:t>
            </w:r>
          </w:p>
          <w:p w14:paraId="034D0A90" w14:textId="2D1A72F9" w:rsidR="004808A2" w:rsidRPr="009D4627" w:rsidRDefault="004808A2" w:rsidP="003967A7">
            <w:pPr>
              <w:spacing w:before="0" w:after="0" w:line="240" w:lineRule="auto"/>
              <w:jc w:val="left"/>
              <w:rPr>
                <w:color w:val="auto"/>
                <w:sz w:val="20"/>
                <w:szCs w:val="20"/>
              </w:rPr>
            </w:pPr>
            <w:r w:rsidRPr="009D4627">
              <w:rPr>
                <w:color w:val="auto"/>
                <w:sz w:val="20"/>
                <w:szCs w:val="20"/>
              </w:rPr>
              <w:t>D 30-35</w:t>
            </w:r>
            <w:r w:rsidR="00D03EAB" w:rsidRPr="009D4627">
              <w:rPr>
                <w:color w:val="auto"/>
                <w:sz w:val="20"/>
                <w:szCs w:val="20"/>
                <w:vertAlign w:val="superscript"/>
              </w:rPr>
              <w:t>Δ</w:t>
            </w:r>
            <w:r w:rsidR="00D03EAB" w:rsidRPr="009D4627">
              <w:rPr>
                <w:color w:val="auto"/>
                <w:sz w:val="20"/>
                <w:szCs w:val="20"/>
              </w:rPr>
              <w:t xml:space="preserve"> </w:t>
            </w:r>
            <w:r w:rsidRPr="009D4627">
              <w:rPr>
                <w:color w:val="auto"/>
                <w:sz w:val="20"/>
                <w:szCs w:val="20"/>
              </w:rPr>
              <w:t>LET</w:t>
            </w:r>
          </w:p>
          <w:p w14:paraId="3D9AE930" w14:textId="77777777" w:rsidR="004808A2" w:rsidRPr="009D4627" w:rsidRDefault="004808A2" w:rsidP="003967A7">
            <w:pPr>
              <w:spacing w:before="0" w:after="0" w:line="240" w:lineRule="auto"/>
              <w:jc w:val="left"/>
              <w:rPr>
                <w:color w:val="auto"/>
                <w:sz w:val="20"/>
                <w:szCs w:val="20"/>
              </w:rPr>
            </w:pPr>
          </w:p>
        </w:tc>
        <w:tc>
          <w:tcPr>
            <w:tcW w:w="1140" w:type="dxa"/>
          </w:tcPr>
          <w:p w14:paraId="7AF0BD17" w14:textId="77777777" w:rsidR="004808A2" w:rsidRPr="009D4627" w:rsidRDefault="004808A2" w:rsidP="003967A7">
            <w:pPr>
              <w:spacing w:before="0" w:after="0" w:line="240" w:lineRule="auto"/>
              <w:jc w:val="left"/>
              <w:rPr>
                <w:color w:val="auto"/>
                <w:sz w:val="20"/>
                <w:szCs w:val="20"/>
              </w:rPr>
            </w:pPr>
            <w:r w:rsidRPr="009D4627">
              <w:rPr>
                <w:color w:val="auto"/>
                <w:sz w:val="20"/>
                <w:szCs w:val="20"/>
              </w:rPr>
              <w:t>Normal MRI with contrast and lumbar puncture</w:t>
            </w:r>
          </w:p>
        </w:tc>
      </w:tr>
    </w:tbl>
    <w:p w14:paraId="23679339" w14:textId="14E7CB92" w:rsidR="004808A2" w:rsidRPr="009D4627" w:rsidRDefault="004808A2" w:rsidP="00DE5A6C">
      <w:pPr>
        <w:spacing w:before="0" w:after="0" w:line="240" w:lineRule="auto"/>
        <w:rPr>
          <w:color w:val="auto"/>
          <w:sz w:val="20"/>
          <w:szCs w:val="20"/>
        </w:rPr>
      </w:pPr>
      <w:r w:rsidRPr="009D4627">
        <w:rPr>
          <w:color w:val="auto"/>
          <w:sz w:val="20"/>
          <w:szCs w:val="20"/>
        </w:rPr>
        <w:t>R/L = denotes right or left, HPT = hypertension, DM = diabetes mellitus,</w:t>
      </w:r>
      <w:r w:rsidR="00EB77C2" w:rsidRPr="009D4627">
        <w:rPr>
          <w:color w:val="auto"/>
          <w:sz w:val="20"/>
          <w:szCs w:val="20"/>
        </w:rPr>
        <w:t xml:space="preserve"> N = near, D = distance,</w:t>
      </w:r>
      <w:r w:rsidRPr="009D4627">
        <w:rPr>
          <w:color w:val="auto"/>
          <w:sz w:val="20"/>
          <w:szCs w:val="20"/>
        </w:rPr>
        <w:t xml:space="preserve"> ET = esotropia, HT = hypertropia, XT = exotropia, HT = hypertropia, </w:t>
      </w:r>
      <w:proofErr w:type="spellStart"/>
      <w:r w:rsidRPr="009D4627">
        <w:rPr>
          <w:color w:val="auto"/>
          <w:sz w:val="20"/>
          <w:szCs w:val="20"/>
        </w:rPr>
        <w:t>HoT</w:t>
      </w:r>
      <w:proofErr w:type="spellEnd"/>
      <w:r w:rsidRPr="009D4627">
        <w:rPr>
          <w:color w:val="auto"/>
          <w:sz w:val="20"/>
          <w:szCs w:val="20"/>
        </w:rPr>
        <w:t xml:space="preserve"> = hypotropia, E(T) = intermittent esotropia, E=esophoria, PCT = prism cover test, </w:t>
      </w:r>
      <w:r w:rsidRPr="009D4627">
        <w:rPr>
          <w:color w:val="auto"/>
          <w:sz w:val="20"/>
          <w:szCs w:val="20"/>
          <w:vertAlign w:val="superscript"/>
        </w:rPr>
        <w:t>Δ</w:t>
      </w:r>
      <w:r w:rsidRPr="009D4627">
        <w:rPr>
          <w:color w:val="auto"/>
          <w:sz w:val="20"/>
          <w:szCs w:val="20"/>
        </w:rPr>
        <w:t xml:space="preserve"> = prism dioptre unit, MRI = magnetic resonance imaging, CT = computed tomography.</w:t>
      </w:r>
    </w:p>
    <w:p w14:paraId="5787B418" w14:textId="77777777" w:rsidR="004808A2" w:rsidRPr="009D4627" w:rsidRDefault="004808A2" w:rsidP="004808A2">
      <w:pPr>
        <w:spacing w:after="0"/>
        <w:rPr>
          <w:color w:val="auto"/>
          <w:sz w:val="22"/>
          <w:szCs w:val="22"/>
        </w:rPr>
      </w:pPr>
    </w:p>
    <w:p w14:paraId="0C14DF84" w14:textId="77777777" w:rsidR="004808A2" w:rsidRPr="009D4627" w:rsidRDefault="004808A2" w:rsidP="004808A2">
      <w:pPr>
        <w:spacing w:after="0"/>
        <w:rPr>
          <w:color w:val="auto"/>
          <w:sz w:val="22"/>
          <w:szCs w:val="22"/>
        </w:rPr>
      </w:pPr>
    </w:p>
    <w:p w14:paraId="17CF7E35" w14:textId="77777777" w:rsidR="004808A2" w:rsidRPr="009D4627" w:rsidRDefault="004808A2" w:rsidP="004808A2">
      <w:pPr>
        <w:spacing w:after="0"/>
        <w:rPr>
          <w:color w:val="auto"/>
          <w:sz w:val="22"/>
          <w:szCs w:val="22"/>
        </w:rPr>
      </w:pPr>
    </w:p>
    <w:p w14:paraId="0E297406" w14:textId="77777777" w:rsidR="004808A2" w:rsidRPr="009D4627" w:rsidRDefault="004808A2" w:rsidP="004808A2">
      <w:pPr>
        <w:spacing w:after="0"/>
        <w:rPr>
          <w:color w:val="auto"/>
          <w:sz w:val="22"/>
          <w:szCs w:val="22"/>
        </w:rPr>
      </w:pPr>
    </w:p>
    <w:p w14:paraId="6754C991" w14:textId="77777777" w:rsidR="004808A2" w:rsidRPr="009D4627" w:rsidRDefault="004808A2" w:rsidP="004808A2">
      <w:pPr>
        <w:spacing w:after="0"/>
        <w:rPr>
          <w:color w:val="auto"/>
          <w:sz w:val="22"/>
          <w:szCs w:val="22"/>
        </w:rPr>
      </w:pPr>
    </w:p>
    <w:p w14:paraId="545F1A15" w14:textId="77777777" w:rsidR="007C715E" w:rsidRPr="009D4627" w:rsidRDefault="007C715E" w:rsidP="00C4130D">
      <w:pPr>
        <w:pStyle w:val="Caption"/>
        <w:sectPr w:rsidR="007C715E" w:rsidRPr="009D4627" w:rsidSect="00477959">
          <w:headerReference w:type="default" r:id="rId278"/>
          <w:pgSz w:w="11906" w:h="16838" w:code="9"/>
          <w:pgMar w:top="1440" w:right="1440" w:bottom="1440" w:left="1440" w:header="708" w:footer="708" w:gutter="0"/>
          <w:cols w:space="708"/>
          <w:docGrid w:linePitch="360"/>
        </w:sectPr>
      </w:pPr>
      <w:bookmarkStart w:id="640" w:name="_Toc70088987"/>
    </w:p>
    <w:p w14:paraId="197CB708" w14:textId="3383D790" w:rsidR="001F53D0" w:rsidRPr="009D4627" w:rsidRDefault="001F53D0" w:rsidP="00C4130D">
      <w:pPr>
        <w:pStyle w:val="Caption"/>
      </w:pPr>
      <w:bookmarkStart w:id="641" w:name="_Toc99444764"/>
      <w:r w:rsidRPr="009D4627">
        <w:lastRenderedPageBreak/>
        <w:t>Appendix 5.</w:t>
      </w:r>
      <w:r w:rsidRPr="009D4627">
        <w:fldChar w:fldCharType="begin"/>
      </w:r>
      <w:r w:rsidRPr="009D4627">
        <w:instrText xml:space="preserve"> SEQ Appendix_5. \* ARABIC </w:instrText>
      </w:r>
      <w:r w:rsidRPr="009D4627">
        <w:fldChar w:fldCharType="separate"/>
      </w:r>
      <w:r w:rsidR="00E268F6">
        <w:rPr>
          <w:noProof/>
        </w:rPr>
        <w:t>2</w:t>
      </w:r>
      <w:r w:rsidRPr="009D4627">
        <w:rPr>
          <w:noProof/>
        </w:rPr>
        <w:fldChar w:fldCharType="end"/>
      </w:r>
      <w:r w:rsidRPr="009D4627">
        <w:t>: Sample size calculation</w:t>
      </w:r>
      <w:bookmarkEnd w:id="641"/>
    </w:p>
    <w:p w14:paraId="1AA43FFE" w14:textId="629CD150" w:rsidR="001F53D0" w:rsidRPr="009D4627" w:rsidRDefault="00025F72" w:rsidP="001F53D0">
      <w:pPr>
        <w:spacing w:after="0" w:line="240" w:lineRule="auto"/>
        <w:jc w:val="center"/>
        <w:rPr>
          <w:lang w:val="en-MY" w:eastAsia="en-MY"/>
        </w:rPr>
      </w:pPr>
      <w:r w:rsidRPr="009D4627">
        <w:rPr>
          <w:noProof/>
          <w:lang w:val="en-MY" w:eastAsia="en-MY"/>
        </w:rPr>
        <w:drawing>
          <wp:inline distT="0" distB="0" distL="0" distR="0" wp14:anchorId="3516CEB1" wp14:editId="76BC9CA3">
            <wp:extent cx="2519605" cy="1525926"/>
            <wp:effectExtent l="0" t="0" r="0" b="0"/>
            <wp:docPr id="22319"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9" name="Picture 18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519605" cy="1525926"/>
                    </a:xfrm>
                    <a:prstGeom prst="rect">
                      <a:avLst/>
                    </a:prstGeom>
                    <a:noFill/>
                  </pic:spPr>
                </pic:pic>
              </a:graphicData>
            </a:graphic>
          </wp:inline>
        </w:drawing>
      </w:r>
    </w:p>
    <w:p w14:paraId="23F6F337" w14:textId="77777777" w:rsidR="00BE2F67" w:rsidRDefault="001F53D0" w:rsidP="003213B7">
      <w:r w:rsidRPr="009D4627">
        <w:t>The power calculation online tool was found at &lt;</w:t>
      </w:r>
      <w:hyperlink r:id="rId280" w:history="1">
        <w:r w:rsidRPr="009D4627">
          <w:rPr>
            <w:rStyle w:val="Hyperlink"/>
          </w:rPr>
          <w:t>https://www.surveysystem.com/sscalc.htm</w:t>
        </w:r>
      </w:hyperlink>
      <w:r w:rsidRPr="009D4627">
        <w:t>&gt;</w:t>
      </w:r>
    </w:p>
    <w:p w14:paraId="583221F6" w14:textId="77777777" w:rsidR="000C7D39" w:rsidRDefault="000C7D39" w:rsidP="003213B7">
      <w:pPr>
        <w:sectPr w:rsidR="000C7D39" w:rsidSect="00477959">
          <w:pgSz w:w="11906" w:h="16838" w:code="9"/>
          <w:pgMar w:top="1440" w:right="1440" w:bottom="1440" w:left="1440" w:header="708" w:footer="708" w:gutter="0"/>
          <w:cols w:space="708"/>
          <w:docGrid w:linePitch="360"/>
        </w:sectPr>
      </w:pPr>
    </w:p>
    <w:p w14:paraId="33B2864B" w14:textId="4891B8CF" w:rsidR="00654720" w:rsidRPr="009D4627" w:rsidRDefault="00654720" w:rsidP="00C4130D">
      <w:pPr>
        <w:pStyle w:val="Caption"/>
      </w:pPr>
      <w:bookmarkStart w:id="642" w:name="_Toc99444765"/>
      <w:r w:rsidRPr="009D4627">
        <w:lastRenderedPageBreak/>
        <w:t>Appendix 5.</w:t>
      </w:r>
      <w:r w:rsidRPr="009D4627">
        <w:fldChar w:fldCharType="begin"/>
      </w:r>
      <w:r w:rsidRPr="009D4627">
        <w:instrText xml:space="preserve"> SEQ Appendix_5. \* ARABIC </w:instrText>
      </w:r>
      <w:r w:rsidRPr="009D4627">
        <w:fldChar w:fldCharType="separate"/>
      </w:r>
      <w:r w:rsidR="00E268F6">
        <w:rPr>
          <w:noProof/>
        </w:rPr>
        <w:t>3</w:t>
      </w:r>
      <w:r w:rsidRPr="009D4627">
        <w:rPr>
          <w:noProof/>
        </w:rPr>
        <w:fldChar w:fldCharType="end"/>
      </w:r>
      <w:r w:rsidRPr="009D4627">
        <w:t xml:space="preserve">: </w:t>
      </w:r>
      <w:proofErr w:type="gramStart"/>
      <w:r w:rsidRPr="009D4627">
        <w:t>Post-hoc</w:t>
      </w:r>
      <w:proofErr w:type="gramEnd"/>
      <w:r w:rsidRPr="009D4627">
        <w:t xml:space="preserve"> analysis with Bonferroni corrections reporting the pairwise comparisons of four trial frequencies and five follow-up visits for horizontal SP parameters.</w:t>
      </w:r>
      <w:bookmarkEnd w:id="6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18"/>
        <w:gridCol w:w="2317"/>
        <w:gridCol w:w="3130"/>
        <w:gridCol w:w="1251"/>
      </w:tblGrid>
      <w:tr w:rsidR="00654720" w:rsidRPr="009D4627" w14:paraId="75E5F5C1" w14:textId="77777777" w:rsidTr="00BB1AD3">
        <w:trPr>
          <w:cantSplit/>
          <w:trHeight w:val="185"/>
          <w:jc w:val="center"/>
        </w:trPr>
        <w:tc>
          <w:tcPr>
            <w:tcW w:w="1285" w:type="pct"/>
            <w:shd w:val="clear" w:color="auto" w:fill="D9D9D9" w:themeFill="background1" w:themeFillShade="D9"/>
          </w:tcPr>
          <w:p w14:paraId="62D6CC0D"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bookmarkStart w:id="643" w:name="_Hlk62734774"/>
            <w:r w:rsidRPr="009D4627">
              <w:rPr>
                <w:b/>
                <w:bCs/>
                <w:sz w:val="22"/>
                <w:szCs w:val="22"/>
                <w:lang w:val="en-MY"/>
              </w:rPr>
              <w:t xml:space="preserve">(I)  </w:t>
            </w:r>
          </w:p>
          <w:p w14:paraId="655F02A3"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Frequency (Hz)</w:t>
            </w:r>
          </w:p>
        </w:tc>
        <w:tc>
          <w:tcPr>
            <w:tcW w:w="1285" w:type="pct"/>
            <w:shd w:val="clear" w:color="auto" w:fill="D9D9D9" w:themeFill="background1" w:themeFillShade="D9"/>
          </w:tcPr>
          <w:p w14:paraId="08F500FC"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 xml:space="preserve">(J) </w:t>
            </w:r>
          </w:p>
          <w:p w14:paraId="3A3367E3"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Frequency (Hz)</w:t>
            </w:r>
          </w:p>
        </w:tc>
        <w:tc>
          <w:tcPr>
            <w:tcW w:w="1736" w:type="pct"/>
            <w:shd w:val="clear" w:color="auto" w:fill="D9D9D9" w:themeFill="background1" w:themeFillShade="D9"/>
          </w:tcPr>
          <w:p w14:paraId="61254CF9"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Mean Difference (I-J)</w:t>
            </w:r>
          </w:p>
        </w:tc>
        <w:tc>
          <w:tcPr>
            <w:tcW w:w="694" w:type="pct"/>
            <w:shd w:val="clear" w:color="auto" w:fill="D9D9D9" w:themeFill="background1" w:themeFillShade="D9"/>
          </w:tcPr>
          <w:p w14:paraId="6F06E0AB"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p-value</w:t>
            </w:r>
          </w:p>
        </w:tc>
      </w:tr>
      <w:tr w:rsidR="00654720" w:rsidRPr="009D4627" w14:paraId="55D28246" w14:textId="77777777" w:rsidTr="00BB1AD3">
        <w:trPr>
          <w:cantSplit/>
          <w:trHeight w:val="185"/>
          <w:jc w:val="center"/>
        </w:trPr>
        <w:tc>
          <w:tcPr>
            <w:tcW w:w="5000" w:type="pct"/>
            <w:gridSpan w:val="4"/>
            <w:shd w:val="clear" w:color="auto" w:fill="D9D9D9" w:themeFill="background1" w:themeFillShade="D9"/>
          </w:tcPr>
          <w:p w14:paraId="1211F436" w14:textId="77777777" w:rsidR="00654720" w:rsidRPr="009D4627" w:rsidRDefault="00654720" w:rsidP="00BB1AD3">
            <w:pPr>
              <w:autoSpaceDE w:val="0"/>
              <w:autoSpaceDN w:val="0"/>
              <w:adjustRightInd w:val="0"/>
              <w:spacing w:before="0" w:after="0" w:line="240" w:lineRule="auto"/>
              <w:ind w:left="60" w:right="60"/>
              <w:jc w:val="center"/>
              <w:rPr>
                <w:i/>
                <w:iCs/>
                <w:sz w:val="22"/>
                <w:szCs w:val="22"/>
                <w:lang w:val="en-MY"/>
              </w:rPr>
            </w:pPr>
            <w:r w:rsidRPr="009D4627">
              <w:rPr>
                <w:i/>
                <w:iCs/>
                <w:sz w:val="22"/>
                <w:szCs w:val="22"/>
                <w:lang w:val="en-MY"/>
              </w:rPr>
              <w:t>Horizontal SP gain</w:t>
            </w:r>
          </w:p>
        </w:tc>
      </w:tr>
      <w:tr w:rsidR="00654720" w:rsidRPr="009D4627" w14:paraId="5B555645" w14:textId="77777777" w:rsidTr="00BB1AD3">
        <w:trPr>
          <w:cantSplit/>
          <w:jc w:val="center"/>
        </w:trPr>
        <w:tc>
          <w:tcPr>
            <w:tcW w:w="1285" w:type="pct"/>
            <w:vMerge w:val="restart"/>
            <w:shd w:val="clear" w:color="auto" w:fill="auto"/>
          </w:tcPr>
          <w:p w14:paraId="07DC9C4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0.25</w:t>
            </w:r>
          </w:p>
        </w:tc>
        <w:tc>
          <w:tcPr>
            <w:tcW w:w="1285" w:type="pct"/>
            <w:shd w:val="clear" w:color="auto" w:fill="auto"/>
            <w:vAlign w:val="bottom"/>
          </w:tcPr>
          <w:p w14:paraId="356462B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0.5</w:t>
            </w:r>
          </w:p>
        </w:tc>
        <w:tc>
          <w:tcPr>
            <w:tcW w:w="1736" w:type="pct"/>
            <w:shd w:val="clear" w:color="auto" w:fill="auto"/>
            <w:vAlign w:val="bottom"/>
          </w:tcPr>
          <w:p w14:paraId="672C5AF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0.097</w:t>
            </w:r>
          </w:p>
        </w:tc>
        <w:tc>
          <w:tcPr>
            <w:tcW w:w="694" w:type="pct"/>
            <w:shd w:val="clear" w:color="auto" w:fill="auto"/>
            <w:vAlign w:val="bottom"/>
          </w:tcPr>
          <w:p w14:paraId="2BAB07C2"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0.022*</w:t>
            </w:r>
          </w:p>
        </w:tc>
      </w:tr>
      <w:tr w:rsidR="00654720" w:rsidRPr="009D4627" w14:paraId="20FFA541" w14:textId="77777777" w:rsidTr="00BB1AD3">
        <w:trPr>
          <w:cantSplit/>
          <w:jc w:val="center"/>
        </w:trPr>
        <w:tc>
          <w:tcPr>
            <w:tcW w:w="1285" w:type="pct"/>
            <w:vMerge/>
            <w:shd w:val="clear" w:color="auto" w:fill="auto"/>
            <w:vAlign w:val="bottom"/>
          </w:tcPr>
          <w:p w14:paraId="73DB8921"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48289EB0"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0.75</w:t>
            </w:r>
          </w:p>
        </w:tc>
        <w:tc>
          <w:tcPr>
            <w:tcW w:w="1736" w:type="pct"/>
            <w:shd w:val="clear" w:color="auto" w:fill="auto"/>
            <w:vAlign w:val="bottom"/>
          </w:tcPr>
          <w:p w14:paraId="595CAEC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0.273</w:t>
            </w:r>
          </w:p>
        </w:tc>
        <w:tc>
          <w:tcPr>
            <w:tcW w:w="694" w:type="pct"/>
            <w:shd w:val="clear" w:color="auto" w:fill="auto"/>
            <w:vAlign w:val="bottom"/>
          </w:tcPr>
          <w:p w14:paraId="53A94D19"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0.003*</w:t>
            </w:r>
          </w:p>
        </w:tc>
      </w:tr>
      <w:tr w:rsidR="00654720" w:rsidRPr="009D4627" w14:paraId="2A96CA5A" w14:textId="77777777" w:rsidTr="00BB1AD3">
        <w:trPr>
          <w:cantSplit/>
          <w:jc w:val="center"/>
        </w:trPr>
        <w:tc>
          <w:tcPr>
            <w:tcW w:w="1285" w:type="pct"/>
            <w:vMerge/>
            <w:shd w:val="clear" w:color="auto" w:fill="auto"/>
            <w:vAlign w:val="bottom"/>
          </w:tcPr>
          <w:p w14:paraId="0A737B0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0B4412F7"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1.0</w:t>
            </w:r>
          </w:p>
        </w:tc>
        <w:tc>
          <w:tcPr>
            <w:tcW w:w="1736" w:type="pct"/>
            <w:shd w:val="clear" w:color="auto" w:fill="auto"/>
            <w:vAlign w:val="bottom"/>
          </w:tcPr>
          <w:p w14:paraId="4D984986"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0.421</w:t>
            </w:r>
          </w:p>
        </w:tc>
        <w:tc>
          <w:tcPr>
            <w:tcW w:w="694" w:type="pct"/>
            <w:shd w:val="clear" w:color="auto" w:fill="auto"/>
            <w:vAlign w:val="bottom"/>
          </w:tcPr>
          <w:p w14:paraId="66497192"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0.002*</w:t>
            </w:r>
          </w:p>
        </w:tc>
      </w:tr>
      <w:tr w:rsidR="00654720" w:rsidRPr="009D4627" w14:paraId="3365B000" w14:textId="77777777" w:rsidTr="00BB1AD3">
        <w:trPr>
          <w:cantSplit/>
          <w:jc w:val="center"/>
        </w:trPr>
        <w:tc>
          <w:tcPr>
            <w:tcW w:w="1285" w:type="pct"/>
            <w:vMerge w:val="restart"/>
            <w:shd w:val="clear" w:color="auto" w:fill="auto"/>
          </w:tcPr>
          <w:p w14:paraId="75DDB024"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0.5</w:t>
            </w:r>
          </w:p>
        </w:tc>
        <w:tc>
          <w:tcPr>
            <w:tcW w:w="1285" w:type="pct"/>
            <w:shd w:val="clear" w:color="auto" w:fill="auto"/>
            <w:vAlign w:val="bottom"/>
          </w:tcPr>
          <w:p w14:paraId="54BB3FE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736" w:type="pct"/>
            <w:shd w:val="clear" w:color="auto" w:fill="auto"/>
            <w:vAlign w:val="bottom"/>
          </w:tcPr>
          <w:p w14:paraId="2E9041D6"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0.176</w:t>
            </w:r>
          </w:p>
        </w:tc>
        <w:tc>
          <w:tcPr>
            <w:tcW w:w="694" w:type="pct"/>
            <w:shd w:val="clear" w:color="auto" w:fill="auto"/>
            <w:vAlign w:val="bottom"/>
          </w:tcPr>
          <w:p w14:paraId="6F3A874E"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0.005*</w:t>
            </w:r>
          </w:p>
        </w:tc>
      </w:tr>
      <w:tr w:rsidR="00654720" w:rsidRPr="009D4627" w14:paraId="232C838B" w14:textId="77777777" w:rsidTr="00BB1AD3">
        <w:trPr>
          <w:cantSplit/>
          <w:jc w:val="center"/>
        </w:trPr>
        <w:tc>
          <w:tcPr>
            <w:tcW w:w="1285" w:type="pct"/>
            <w:vMerge/>
            <w:shd w:val="clear" w:color="auto" w:fill="auto"/>
          </w:tcPr>
          <w:p w14:paraId="5F1DC2C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13C6DAF0"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4EC9DFF6"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0.324</w:t>
            </w:r>
          </w:p>
        </w:tc>
        <w:tc>
          <w:tcPr>
            <w:tcW w:w="694" w:type="pct"/>
            <w:shd w:val="clear" w:color="auto" w:fill="auto"/>
          </w:tcPr>
          <w:p w14:paraId="31A1B1BE"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0.004*</w:t>
            </w:r>
          </w:p>
        </w:tc>
      </w:tr>
      <w:tr w:rsidR="00654720" w:rsidRPr="009D4627" w14:paraId="7F8FDFDB" w14:textId="77777777" w:rsidTr="00BB1AD3">
        <w:trPr>
          <w:cantSplit/>
          <w:jc w:val="center"/>
        </w:trPr>
        <w:tc>
          <w:tcPr>
            <w:tcW w:w="1285" w:type="pct"/>
            <w:shd w:val="clear" w:color="auto" w:fill="auto"/>
          </w:tcPr>
          <w:p w14:paraId="7DBF23D7"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285" w:type="pct"/>
            <w:shd w:val="clear" w:color="auto" w:fill="auto"/>
          </w:tcPr>
          <w:p w14:paraId="28CEDFB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2369965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0.148</w:t>
            </w:r>
          </w:p>
        </w:tc>
        <w:tc>
          <w:tcPr>
            <w:tcW w:w="694" w:type="pct"/>
            <w:shd w:val="clear" w:color="auto" w:fill="auto"/>
          </w:tcPr>
          <w:p w14:paraId="24B99B84"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0.036*</w:t>
            </w:r>
          </w:p>
        </w:tc>
      </w:tr>
      <w:tr w:rsidR="00654720" w:rsidRPr="009D4627" w14:paraId="06E9FFF9" w14:textId="77777777" w:rsidTr="00BB1AD3">
        <w:trPr>
          <w:cantSplit/>
          <w:jc w:val="center"/>
        </w:trPr>
        <w:tc>
          <w:tcPr>
            <w:tcW w:w="5000" w:type="pct"/>
            <w:gridSpan w:val="4"/>
            <w:shd w:val="clear" w:color="auto" w:fill="D9D9D9" w:themeFill="background1" w:themeFillShade="D9"/>
          </w:tcPr>
          <w:p w14:paraId="4D8BCAA5" w14:textId="77777777" w:rsidR="00654720" w:rsidRPr="009D4627" w:rsidRDefault="00654720" w:rsidP="00BB1AD3">
            <w:pPr>
              <w:autoSpaceDE w:val="0"/>
              <w:autoSpaceDN w:val="0"/>
              <w:adjustRightInd w:val="0"/>
              <w:spacing w:before="0" w:after="0" w:line="240" w:lineRule="auto"/>
              <w:ind w:left="60" w:right="60"/>
              <w:jc w:val="center"/>
              <w:rPr>
                <w:i/>
                <w:iCs/>
                <w:sz w:val="22"/>
                <w:szCs w:val="22"/>
                <w:lang w:val="en-MY"/>
              </w:rPr>
            </w:pPr>
            <w:r w:rsidRPr="009D4627">
              <w:rPr>
                <w:i/>
                <w:iCs/>
                <w:sz w:val="22"/>
                <w:szCs w:val="22"/>
                <w:lang w:val="en-MY"/>
              </w:rPr>
              <w:t>Horizontal SP RMSE</w:t>
            </w:r>
          </w:p>
        </w:tc>
      </w:tr>
      <w:tr w:rsidR="00654720" w:rsidRPr="009D4627" w14:paraId="60B6EA83" w14:textId="77777777" w:rsidTr="00BB1AD3">
        <w:trPr>
          <w:cantSplit/>
          <w:jc w:val="center"/>
        </w:trPr>
        <w:tc>
          <w:tcPr>
            <w:tcW w:w="1285" w:type="pct"/>
            <w:vMerge w:val="restart"/>
            <w:shd w:val="clear" w:color="auto" w:fill="auto"/>
          </w:tcPr>
          <w:p w14:paraId="5A0DB9B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0.25</w:t>
            </w:r>
          </w:p>
        </w:tc>
        <w:tc>
          <w:tcPr>
            <w:tcW w:w="1285" w:type="pct"/>
            <w:shd w:val="clear" w:color="auto" w:fill="auto"/>
            <w:vAlign w:val="bottom"/>
          </w:tcPr>
          <w:p w14:paraId="5B9B700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0.5</w:t>
            </w:r>
          </w:p>
        </w:tc>
        <w:tc>
          <w:tcPr>
            <w:tcW w:w="1736" w:type="pct"/>
            <w:shd w:val="clear" w:color="auto" w:fill="auto"/>
          </w:tcPr>
          <w:p w14:paraId="7525E414"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-0.313</w:t>
            </w:r>
          </w:p>
        </w:tc>
        <w:tc>
          <w:tcPr>
            <w:tcW w:w="694" w:type="pct"/>
            <w:shd w:val="clear" w:color="auto" w:fill="auto"/>
          </w:tcPr>
          <w:p w14:paraId="49ABD92A"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0.038*</w:t>
            </w:r>
          </w:p>
        </w:tc>
      </w:tr>
      <w:tr w:rsidR="00654720" w:rsidRPr="009D4627" w14:paraId="49537D9C" w14:textId="77777777" w:rsidTr="00BB1AD3">
        <w:trPr>
          <w:cantSplit/>
          <w:jc w:val="center"/>
        </w:trPr>
        <w:tc>
          <w:tcPr>
            <w:tcW w:w="1285" w:type="pct"/>
            <w:vMerge/>
            <w:shd w:val="clear" w:color="auto" w:fill="auto"/>
            <w:vAlign w:val="bottom"/>
          </w:tcPr>
          <w:p w14:paraId="644F7DA7"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5894563E"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0.75</w:t>
            </w:r>
          </w:p>
        </w:tc>
        <w:tc>
          <w:tcPr>
            <w:tcW w:w="1736" w:type="pct"/>
            <w:shd w:val="clear" w:color="auto" w:fill="auto"/>
          </w:tcPr>
          <w:p w14:paraId="4DBD7BE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-0.981</w:t>
            </w:r>
          </w:p>
        </w:tc>
        <w:tc>
          <w:tcPr>
            <w:tcW w:w="694" w:type="pct"/>
            <w:shd w:val="clear" w:color="auto" w:fill="auto"/>
          </w:tcPr>
          <w:p w14:paraId="79478F5B"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0.004*</w:t>
            </w:r>
          </w:p>
        </w:tc>
      </w:tr>
      <w:tr w:rsidR="00654720" w:rsidRPr="009D4627" w14:paraId="4876F78D" w14:textId="77777777" w:rsidTr="00BB1AD3">
        <w:trPr>
          <w:cantSplit/>
          <w:jc w:val="center"/>
        </w:trPr>
        <w:tc>
          <w:tcPr>
            <w:tcW w:w="1285" w:type="pct"/>
            <w:vMerge/>
            <w:shd w:val="clear" w:color="auto" w:fill="auto"/>
            <w:vAlign w:val="bottom"/>
          </w:tcPr>
          <w:p w14:paraId="2306A4B6"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50E9A831"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1.0</w:t>
            </w:r>
          </w:p>
        </w:tc>
        <w:tc>
          <w:tcPr>
            <w:tcW w:w="1736" w:type="pct"/>
            <w:shd w:val="clear" w:color="auto" w:fill="auto"/>
          </w:tcPr>
          <w:p w14:paraId="2EE643F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-1.876</w:t>
            </w:r>
          </w:p>
        </w:tc>
        <w:tc>
          <w:tcPr>
            <w:tcW w:w="694" w:type="pct"/>
            <w:shd w:val="clear" w:color="auto" w:fill="auto"/>
          </w:tcPr>
          <w:p w14:paraId="52CAC867"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0.005*</w:t>
            </w:r>
          </w:p>
        </w:tc>
      </w:tr>
      <w:tr w:rsidR="00654720" w:rsidRPr="009D4627" w14:paraId="4B0FBB3F" w14:textId="77777777" w:rsidTr="00BB1AD3">
        <w:trPr>
          <w:cantSplit/>
          <w:jc w:val="center"/>
        </w:trPr>
        <w:tc>
          <w:tcPr>
            <w:tcW w:w="1285" w:type="pct"/>
            <w:vMerge w:val="restart"/>
            <w:shd w:val="clear" w:color="auto" w:fill="auto"/>
          </w:tcPr>
          <w:p w14:paraId="1703B7C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0.5</w:t>
            </w:r>
          </w:p>
        </w:tc>
        <w:tc>
          <w:tcPr>
            <w:tcW w:w="1285" w:type="pct"/>
            <w:shd w:val="clear" w:color="auto" w:fill="auto"/>
            <w:vAlign w:val="bottom"/>
          </w:tcPr>
          <w:p w14:paraId="04AE7284"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736" w:type="pct"/>
            <w:shd w:val="clear" w:color="auto" w:fill="auto"/>
          </w:tcPr>
          <w:p w14:paraId="336BD2E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-0.668</w:t>
            </w:r>
          </w:p>
        </w:tc>
        <w:tc>
          <w:tcPr>
            <w:tcW w:w="694" w:type="pct"/>
            <w:shd w:val="clear" w:color="auto" w:fill="auto"/>
          </w:tcPr>
          <w:p w14:paraId="4A877E93"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0.007*</w:t>
            </w:r>
          </w:p>
        </w:tc>
      </w:tr>
      <w:tr w:rsidR="00654720" w:rsidRPr="009D4627" w14:paraId="4677196C" w14:textId="77777777" w:rsidTr="00BB1AD3">
        <w:trPr>
          <w:cantSplit/>
          <w:jc w:val="center"/>
        </w:trPr>
        <w:tc>
          <w:tcPr>
            <w:tcW w:w="1285" w:type="pct"/>
            <w:vMerge/>
            <w:shd w:val="clear" w:color="auto" w:fill="auto"/>
          </w:tcPr>
          <w:p w14:paraId="358F44A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544A135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38D595F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-1.563</w:t>
            </w:r>
          </w:p>
        </w:tc>
        <w:tc>
          <w:tcPr>
            <w:tcW w:w="694" w:type="pct"/>
            <w:shd w:val="clear" w:color="auto" w:fill="auto"/>
          </w:tcPr>
          <w:p w14:paraId="74E669D5"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0.020*</w:t>
            </w:r>
          </w:p>
        </w:tc>
      </w:tr>
      <w:tr w:rsidR="00654720" w:rsidRPr="009D4627" w14:paraId="09CD6947" w14:textId="77777777" w:rsidTr="00BB1AD3">
        <w:trPr>
          <w:cantSplit/>
          <w:jc w:val="center"/>
        </w:trPr>
        <w:tc>
          <w:tcPr>
            <w:tcW w:w="1285" w:type="pct"/>
            <w:shd w:val="clear" w:color="auto" w:fill="auto"/>
          </w:tcPr>
          <w:p w14:paraId="6217269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285" w:type="pct"/>
            <w:shd w:val="clear" w:color="auto" w:fill="auto"/>
          </w:tcPr>
          <w:p w14:paraId="2D3141D5"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55B75854"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-0.895</w:t>
            </w:r>
          </w:p>
        </w:tc>
        <w:tc>
          <w:tcPr>
            <w:tcW w:w="694" w:type="pct"/>
            <w:shd w:val="clear" w:color="auto" w:fill="auto"/>
          </w:tcPr>
          <w:p w14:paraId="75C46115"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0.133</w:t>
            </w:r>
          </w:p>
        </w:tc>
      </w:tr>
      <w:tr w:rsidR="00654720" w:rsidRPr="009D4627" w14:paraId="1FAEAF34" w14:textId="77777777" w:rsidTr="00BB1AD3">
        <w:trPr>
          <w:cantSplit/>
          <w:jc w:val="center"/>
        </w:trPr>
        <w:tc>
          <w:tcPr>
            <w:tcW w:w="128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4C8C01"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 xml:space="preserve">(I)  </w:t>
            </w:r>
          </w:p>
          <w:p w14:paraId="1BA3D995"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Follow-up visit (weeks)</w:t>
            </w:r>
          </w:p>
        </w:tc>
        <w:tc>
          <w:tcPr>
            <w:tcW w:w="128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DEED16"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 xml:space="preserve">(J) </w:t>
            </w:r>
          </w:p>
          <w:p w14:paraId="3E3A5B87"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 xml:space="preserve">Follow-up visit (weeks) </w:t>
            </w:r>
          </w:p>
        </w:tc>
        <w:tc>
          <w:tcPr>
            <w:tcW w:w="1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D631AB"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Mean Difference (I-J)</w:t>
            </w:r>
          </w:p>
        </w:tc>
        <w:tc>
          <w:tcPr>
            <w:tcW w:w="69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73C4EFA" w14:textId="77777777" w:rsidR="00654720" w:rsidRPr="009D4627" w:rsidRDefault="00654720" w:rsidP="00BB1AD3">
            <w:pPr>
              <w:autoSpaceDE w:val="0"/>
              <w:autoSpaceDN w:val="0"/>
              <w:adjustRightInd w:val="0"/>
              <w:spacing w:before="0" w:after="0" w:line="240" w:lineRule="auto"/>
              <w:ind w:left="60" w:right="60"/>
              <w:jc w:val="right"/>
              <w:rPr>
                <w:b/>
                <w:bCs/>
                <w:sz w:val="22"/>
                <w:szCs w:val="22"/>
                <w:lang w:val="en-MY"/>
              </w:rPr>
            </w:pPr>
            <w:r w:rsidRPr="009D4627">
              <w:rPr>
                <w:b/>
                <w:bCs/>
                <w:sz w:val="22"/>
                <w:szCs w:val="22"/>
                <w:lang w:val="en-MY"/>
              </w:rPr>
              <w:t>p-value</w:t>
            </w:r>
          </w:p>
        </w:tc>
      </w:tr>
      <w:tr w:rsidR="00654720" w:rsidRPr="009D4627" w14:paraId="67725419" w14:textId="77777777" w:rsidTr="00BB1AD3">
        <w:trPr>
          <w:cantSplit/>
          <w:trHeight w:val="185"/>
          <w:jc w:val="center"/>
        </w:trPr>
        <w:tc>
          <w:tcPr>
            <w:tcW w:w="5000" w:type="pct"/>
            <w:gridSpan w:val="4"/>
            <w:shd w:val="clear" w:color="auto" w:fill="D9D9D9" w:themeFill="background1" w:themeFillShade="D9"/>
          </w:tcPr>
          <w:p w14:paraId="0B842454" w14:textId="77777777" w:rsidR="00654720" w:rsidRPr="009D4627" w:rsidRDefault="00654720" w:rsidP="00BB1AD3">
            <w:pPr>
              <w:autoSpaceDE w:val="0"/>
              <w:autoSpaceDN w:val="0"/>
              <w:adjustRightInd w:val="0"/>
              <w:spacing w:before="0" w:after="0" w:line="240" w:lineRule="auto"/>
              <w:ind w:left="60" w:right="60"/>
              <w:jc w:val="center"/>
              <w:rPr>
                <w:i/>
                <w:iCs/>
                <w:sz w:val="22"/>
                <w:szCs w:val="22"/>
                <w:lang w:val="en-MY"/>
              </w:rPr>
            </w:pPr>
            <w:r w:rsidRPr="009D4627">
              <w:rPr>
                <w:i/>
                <w:iCs/>
                <w:sz w:val="22"/>
                <w:szCs w:val="22"/>
                <w:lang w:val="en-MY"/>
              </w:rPr>
              <w:t>Horizontal SP RMSE</w:t>
            </w:r>
          </w:p>
        </w:tc>
      </w:tr>
      <w:tr w:rsidR="00654720" w:rsidRPr="009D4627" w14:paraId="2B2D0181" w14:textId="77777777" w:rsidTr="00BB1AD3">
        <w:trPr>
          <w:cantSplit/>
          <w:jc w:val="center"/>
        </w:trPr>
        <w:tc>
          <w:tcPr>
            <w:tcW w:w="1285" w:type="pct"/>
            <w:vMerge w:val="restart"/>
            <w:shd w:val="clear" w:color="auto" w:fill="auto"/>
          </w:tcPr>
          <w:p w14:paraId="28113C05"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2</w:t>
            </w:r>
          </w:p>
        </w:tc>
        <w:tc>
          <w:tcPr>
            <w:tcW w:w="1285" w:type="pct"/>
            <w:shd w:val="clear" w:color="auto" w:fill="auto"/>
            <w:vAlign w:val="bottom"/>
          </w:tcPr>
          <w:p w14:paraId="383845B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 xml:space="preserve">4 </w:t>
            </w:r>
          </w:p>
        </w:tc>
        <w:tc>
          <w:tcPr>
            <w:tcW w:w="1736" w:type="pct"/>
            <w:shd w:val="clear" w:color="auto" w:fill="auto"/>
            <w:vAlign w:val="bottom"/>
          </w:tcPr>
          <w:p w14:paraId="61D826C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0.023</w:t>
            </w:r>
          </w:p>
        </w:tc>
        <w:tc>
          <w:tcPr>
            <w:tcW w:w="694" w:type="pct"/>
            <w:shd w:val="clear" w:color="auto" w:fill="auto"/>
            <w:vAlign w:val="bottom"/>
          </w:tcPr>
          <w:p w14:paraId="3C55305C"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1.000</w:t>
            </w:r>
          </w:p>
        </w:tc>
      </w:tr>
      <w:tr w:rsidR="00654720" w:rsidRPr="009D4627" w14:paraId="041A0D36" w14:textId="77777777" w:rsidTr="00BB1AD3">
        <w:trPr>
          <w:cantSplit/>
          <w:jc w:val="center"/>
        </w:trPr>
        <w:tc>
          <w:tcPr>
            <w:tcW w:w="1285" w:type="pct"/>
            <w:vMerge/>
            <w:shd w:val="clear" w:color="auto" w:fill="auto"/>
            <w:vAlign w:val="bottom"/>
          </w:tcPr>
          <w:p w14:paraId="789F81A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1A3E1B65"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8</w:t>
            </w:r>
          </w:p>
        </w:tc>
        <w:tc>
          <w:tcPr>
            <w:tcW w:w="1736" w:type="pct"/>
            <w:shd w:val="clear" w:color="auto" w:fill="auto"/>
            <w:vAlign w:val="bottom"/>
          </w:tcPr>
          <w:p w14:paraId="5BADB3D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-0.046</w:t>
            </w:r>
          </w:p>
        </w:tc>
        <w:tc>
          <w:tcPr>
            <w:tcW w:w="694" w:type="pct"/>
            <w:shd w:val="clear" w:color="auto" w:fill="auto"/>
            <w:vAlign w:val="bottom"/>
          </w:tcPr>
          <w:p w14:paraId="31D99AF2"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1.000</w:t>
            </w:r>
          </w:p>
        </w:tc>
      </w:tr>
      <w:tr w:rsidR="00654720" w:rsidRPr="009D4627" w14:paraId="53EDCDC0" w14:textId="77777777" w:rsidTr="00BB1AD3">
        <w:trPr>
          <w:cantSplit/>
          <w:jc w:val="center"/>
        </w:trPr>
        <w:tc>
          <w:tcPr>
            <w:tcW w:w="1285" w:type="pct"/>
            <w:vMerge/>
            <w:shd w:val="clear" w:color="auto" w:fill="auto"/>
            <w:vAlign w:val="bottom"/>
          </w:tcPr>
          <w:p w14:paraId="7679752E"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2C915821"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 xml:space="preserve">12 </w:t>
            </w:r>
          </w:p>
        </w:tc>
        <w:tc>
          <w:tcPr>
            <w:tcW w:w="1736" w:type="pct"/>
            <w:shd w:val="clear" w:color="auto" w:fill="auto"/>
            <w:vAlign w:val="bottom"/>
          </w:tcPr>
          <w:p w14:paraId="5EEEAB8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-0.064</w:t>
            </w:r>
          </w:p>
        </w:tc>
        <w:tc>
          <w:tcPr>
            <w:tcW w:w="694" w:type="pct"/>
            <w:shd w:val="clear" w:color="auto" w:fill="auto"/>
            <w:vAlign w:val="bottom"/>
          </w:tcPr>
          <w:p w14:paraId="05381798"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0.366</w:t>
            </w:r>
          </w:p>
        </w:tc>
      </w:tr>
      <w:tr w:rsidR="00654720" w:rsidRPr="009D4627" w14:paraId="301DCEB6" w14:textId="77777777" w:rsidTr="00BB1AD3">
        <w:trPr>
          <w:cantSplit/>
          <w:jc w:val="center"/>
        </w:trPr>
        <w:tc>
          <w:tcPr>
            <w:tcW w:w="1285" w:type="pct"/>
            <w:vMerge/>
            <w:shd w:val="clear" w:color="auto" w:fill="auto"/>
            <w:vAlign w:val="bottom"/>
          </w:tcPr>
          <w:p w14:paraId="64FB2D0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12FBE739"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16</w:t>
            </w:r>
          </w:p>
        </w:tc>
        <w:tc>
          <w:tcPr>
            <w:tcW w:w="1736" w:type="pct"/>
            <w:shd w:val="clear" w:color="auto" w:fill="auto"/>
            <w:vAlign w:val="bottom"/>
          </w:tcPr>
          <w:p w14:paraId="64E24295"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-0.065</w:t>
            </w:r>
          </w:p>
        </w:tc>
        <w:tc>
          <w:tcPr>
            <w:tcW w:w="694" w:type="pct"/>
            <w:shd w:val="clear" w:color="auto" w:fill="auto"/>
            <w:vAlign w:val="bottom"/>
          </w:tcPr>
          <w:p w14:paraId="572135E7" w14:textId="77777777" w:rsidR="00654720" w:rsidRPr="009D4627" w:rsidRDefault="00654720" w:rsidP="00BB1AD3">
            <w:pPr>
              <w:autoSpaceDE w:val="0"/>
              <w:autoSpaceDN w:val="0"/>
              <w:adjustRightInd w:val="0"/>
              <w:spacing w:before="0" w:after="0" w:line="240" w:lineRule="auto"/>
              <w:ind w:left="60" w:right="60"/>
              <w:jc w:val="right"/>
              <w:rPr>
                <w:b/>
                <w:bCs/>
                <w:sz w:val="22"/>
                <w:szCs w:val="22"/>
                <w:lang w:val="en-MY"/>
              </w:rPr>
            </w:pPr>
            <w:r w:rsidRPr="009D4627">
              <w:rPr>
                <w:b/>
                <w:bCs/>
                <w:sz w:val="22"/>
                <w:szCs w:val="22"/>
                <w:lang w:val="en-MY"/>
              </w:rPr>
              <w:t>0.064</w:t>
            </w:r>
          </w:p>
        </w:tc>
      </w:tr>
      <w:tr w:rsidR="00654720" w:rsidRPr="009D4627" w14:paraId="72E7847D" w14:textId="77777777" w:rsidTr="00BB1AD3">
        <w:trPr>
          <w:cantSplit/>
          <w:jc w:val="center"/>
        </w:trPr>
        <w:tc>
          <w:tcPr>
            <w:tcW w:w="1285" w:type="pct"/>
            <w:vMerge w:val="restart"/>
            <w:shd w:val="clear" w:color="auto" w:fill="auto"/>
          </w:tcPr>
          <w:p w14:paraId="028FF64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4</w:t>
            </w:r>
          </w:p>
        </w:tc>
        <w:tc>
          <w:tcPr>
            <w:tcW w:w="1285" w:type="pct"/>
            <w:shd w:val="clear" w:color="auto" w:fill="auto"/>
          </w:tcPr>
          <w:p w14:paraId="67E7092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8</w:t>
            </w:r>
          </w:p>
        </w:tc>
        <w:tc>
          <w:tcPr>
            <w:tcW w:w="1736" w:type="pct"/>
            <w:shd w:val="clear" w:color="auto" w:fill="auto"/>
          </w:tcPr>
          <w:p w14:paraId="255732CE"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-0.069</w:t>
            </w:r>
          </w:p>
        </w:tc>
        <w:tc>
          <w:tcPr>
            <w:tcW w:w="694" w:type="pct"/>
            <w:shd w:val="clear" w:color="auto" w:fill="auto"/>
          </w:tcPr>
          <w:p w14:paraId="1D44C934"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0.366</w:t>
            </w:r>
          </w:p>
        </w:tc>
      </w:tr>
      <w:tr w:rsidR="00654720" w:rsidRPr="009D4627" w14:paraId="2B57D6D4" w14:textId="77777777" w:rsidTr="00BB1AD3">
        <w:trPr>
          <w:cantSplit/>
          <w:jc w:val="center"/>
        </w:trPr>
        <w:tc>
          <w:tcPr>
            <w:tcW w:w="1285" w:type="pct"/>
            <w:vMerge/>
            <w:shd w:val="clear" w:color="auto" w:fill="auto"/>
          </w:tcPr>
          <w:p w14:paraId="36D29CE2"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48D94C1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12</w:t>
            </w:r>
          </w:p>
        </w:tc>
        <w:tc>
          <w:tcPr>
            <w:tcW w:w="1736" w:type="pct"/>
            <w:shd w:val="clear" w:color="auto" w:fill="auto"/>
          </w:tcPr>
          <w:p w14:paraId="5349CF5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-0.087</w:t>
            </w:r>
          </w:p>
        </w:tc>
        <w:tc>
          <w:tcPr>
            <w:tcW w:w="694" w:type="pct"/>
            <w:shd w:val="clear" w:color="auto" w:fill="auto"/>
          </w:tcPr>
          <w:p w14:paraId="51A468DD"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0.905</w:t>
            </w:r>
          </w:p>
        </w:tc>
      </w:tr>
      <w:tr w:rsidR="00654720" w:rsidRPr="009D4627" w14:paraId="5579836E" w14:textId="77777777" w:rsidTr="00BB1AD3">
        <w:trPr>
          <w:cantSplit/>
          <w:jc w:val="center"/>
        </w:trPr>
        <w:tc>
          <w:tcPr>
            <w:tcW w:w="1285" w:type="pct"/>
            <w:vMerge/>
            <w:shd w:val="clear" w:color="auto" w:fill="auto"/>
          </w:tcPr>
          <w:p w14:paraId="63D9561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23C95ADF"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16</w:t>
            </w:r>
          </w:p>
        </w:tc>
        <w:tc>
          <w:tcPr>
            <w:tcW w:w="1736" w:type="pct"/>
            <w:shd w:val="clear" w:color="auto" w:fill="auto"/>
          </w:tcPr>
          <w:p w14:paraId="7EAFE9A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-0.088</w:t>
            </w:r>
          </w:p>
        </w:tc>
        <w:tc>
          <w:tcPr>
            <w:tcW w:w="694" w:type="pct"/>
            <w:shd w:val="clear" w:color="auto" w:fill="auto"/>
          </w:tcPr>
          <w:p w14:paraId="3DA3F1A1"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1.000</w:t>
            </w:r>
          </w:p>
        </w:tc>
      </w:tr>
      <w:tr w:rsidR="00654720" w:rsidRPr="009D4627" w14:paraId="589256A2" w14:textId="77777777" w:rsidTr="00BB1AD3">
        <w:trPr>
          <w:cantSplit/>
          <w:jc w:val="center"/>
        </w:trPr>
        <w:tc>
          <w:tcPr>
            <w:tcW w:w="1285" w:type="pct"/>
            <w:vMerge w:val="restart"/>
            <w:shd w:val="clear" w:color="auto" w:fill="auto"/>
          </w:tcPr>
          <w:p w14:paraId="31B3F9E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8</w:t>
            </w:r>
          </w:p>
        </w:tc>
        <w:tc>
          <w:tcPr>
            <w:tcW w:w="1285" w:type="pct"/>
            <w:shd w:val="clear" w:color="auto" w:fill="auto"/>
          </w:tcPr>
          <w:p w14:paraId="60874F8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12</w:t>
            </w:r>
          </w:p>
        </w:tc>
        <w:tc>
          <w:tcPr>
            <w:tcW w:w="1736" w:type="pct"/>
            <w:shd w:val="clear" w:color="auto" w:fill="auto"/>
          </w:tcPr>
          <w:p w14:paraId="420235B2"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-0.018</w:t>
            </w:r>
          </w:p>
        </w:tc>
        <w:tc>
          <w:tcPr>
            <w:tcW w:w="694" w:type="pct"/>
            <w:shd w:val="clear" w:color="auto" w:fill="auto"/>
          </w:tcPr>
          <w:p w14:paraId="69D2D716"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1.000</w:t>
            </w:r>
          </w:p>
        </w:tc>
      </w:tr>
      <w:tr w:rsidR="00654720" w:rsidRPr="009D4627" w14:paraId="381A4042" w14:textId="77777777" w:rsidTr="00BB1AD3">
        <w:trPr>
          <w:cantSplit/>
          <w:jc w:val="center"/>
        </w:trPr>
        <w:tc>
          <w:tcPr>
            <w:tcW w:w="1285" w:type="pct"/>
            <w:vMerge/>
            <w:shd w:val="clear" w:color="auto" w:fill="auto"/>
          </w:tcPr>
          <w:p w14:paraId="0112776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3C7C134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16</w:t>
            </w:r>
          </w:p>
        </w:tc>
        <w:tc>
          <w:tcPr>
            <w:tcW w:w="1736" w:type="pct"/>
            <w:shd w:val="clear" w:color="auto" w:fill="auto"/>
          </w:tcPr>
          <w:p w14:paraId="7EFD12C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-0.020</w:t>
            </w:r>
          </w:p>
        </w:tc>
        <w:tc>
          <w:tcPr>
            <w:tcW w:w="694" w:type="pct"/>
            <w:shd w:val="clear" w:color="auto" w:fill="auto"/>
          </w:tcPr>
          <w:p w14:paraId="4DC5CB6F"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1.000</w:t>
            </w:r>
          </w:p>
        </w:tc>
      </w:tr>
      <w:tr w:rsidR="00654720" w:rsidRPr="009D4627" w14:paraId="2CCD6407" w14:textId="77777777" w:rsidTr="00BB1AD3">
        <w:trPr>
          <w:cantSplit/>
          <w:jc w:val="center"/>
        </w:trPr>
        <w:tc>
          <w:tcPr>
            <w:tcW w:w="1285" w:type="pct"/>
            <w:shd w:val="clear" w:color="auto" w:fill="auto"/>
          </w:tcPr>
          <w:p w14:paraId="62200322"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12</w:t>
            </w:r>
          </w:p>
        </w:tc>
        <w:tc>
          <w:tcPr>
            <w:tcW w:w="1285" w:type="pct"/>
            <w:shd w:val="clear" w:color="auto" w:fill="auto"/>
          </w:tcPr>
          <w:p w14:paraId="0125236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16</w:t>
            </w:r>
          </w:p>
        </w:tc>
        <w:tc>
          <w:tcPr>
            <w:tcW w:w="1736" w:type="pct"/>
            <w:shd w:val="clear" w:color="auto" w:fill="auto"/>
          </w:tcPr>
          <w:p w14:paraId="08CC8136"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-0.002</w:t>
            </w:r>
          </w:p>
        </w:tc>
        <w:tc>
          <w:tcPr>
            <w:tcW w:w="694" w:type="pct"/>
            <w:shd w:val="clear" w:color="auto" w:fill="auto"/>
          </w:tcPr>
          <w:p w14:paraId="2885B715"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1.000</w:t>
            </w:r>
          </w:p>
        </w:tc>
      </w:tr>
    </w:tbl>
    <w:p w14:paraId="5E8335FF" w14:textId="77777777" w:rsidR="00654720" w:rsidRPr="009D4627" w:rsidRDefault="00654720" w:rsidP="00654720">
      <w:pPr>
        <w:spacing w:before="0" w:after="0"/>
        <w:jc w:val="center"/>
        <w:rPr>
          <w:i/>
          <w:iCs/>
          <w:color w:val="auto"/>
          <w:sz w:val="20"/>
          <w:szCs w:val="20"/>
        </w:rPr>
      </w:pPr>
      <w:r w:rsidRPr="009D4627">
        <w:rPr>
          <w:i/>
          <w:iCs/>
          <w:color w:val="auto"/>
          <w:sz w:val="20"/>
          <w:szCs w:val="20"/>
        </w:rPr>
        <w:t xml:space="preserve">* </w:t>
      </w:r>
      <w:r w:rsidRPr="009D4627">
        <w:rPr>
          <w:color w:val="auto"/>
          <w:sz w:val="20"/>
          <w:szCs w:val="20"/>
        </w:rPr>
        <w:t>Data are significant at p&lt;0.05</w:t>
      </w:r>
      <w:bookmarkEnd w:id="643"/>
    </w:p>
    <w:p w14:paraId="6ABB6AD6" w14:textId="77777777" w:rsidR="00654720" w:rsidRPr="009D4627" w:rsidRDefault="00654720" w:rsidP="00654720">
      <w:pPr>
        <w:spacing w:after="0"/>
        <w:jc w:val="center"/>
        <w:rPr>
          <w:color w:val="auto"/>
          <w:sz w:val="20"/>
          <w:szCs w:val="20"/>
        </w:rPr>
      </w:pPr>
    </w:p>
    <w:p w14:paraId="6A2E2BB7" w14:textId="77777777" w:rsidR="00654720" w:rsidRPr="009D4627" w:rsidRDefault="00654720" w:rsidP="00C4130D">
      <w:pPr>
        <w:pStyle w:val="Caption"/>
        <w:sectPr w:rsidR="00654720" w:rsidRPr="009D4627" w:rsidSect="00477959">
          <w:pgSz w:w="11906" w:h="16838" w:code="9"/>
          <w:pgMar w:top="1440" w:right="1440" w:bottom="1440" w:left="1440" w:header="708" w:footer="708" w:gutter="0"/>
          <w:cols w:space="708"/>
          <w:docGrid w:linePitch="360"/>
        </w:sectPr>
      </w:pPr>
      <w:bookmarkStart w:id="644" w:name="_Toc70088988"/>
    </w:p>
    <w:p w14:paraId="4F6F0718" w14:textId="44545DFC" w:rsidR="00654720" w:rsidRPr="009D4627" w:rsidRDefault="00654720" w:rsidP="00C4130D">
      <w:pPr>
        <w:pStyle w:val="Caption"/>
      </w:pPr>
      <w:bookmarkStart w:id="645" w:name="_Toc77912301"/>
      <w:r w:rsidRPr="009D4627">
        <w:lastRenderedPageBreak/>
        <w:t xml:space="preserve"> </w:t>
      </w:r>
      <w:bookmarkStart w:id="646" w:name="_Toc99444766"/>
      <w:r w:rsidRPr="009D4627">
        <w:t>Appendix 5.</w:t>
      </w:r>
      <w:r w:rsidRPr="009D4627">
        <w:fldChar w:fldCharType="begin"/>
      </w:r>
      <w:r w:rsidRPr="009D4627">
        <w:instrText xml:space="preserve"> SEQ Appendix_5. \* ARABIC </w:instrText>
      </w:r>
      <w:r w:rsidRPr="009D4627">
        <w:fldChar w:fldCharType="separate"/>
      </w:r>
      <w:r w:rsidR="00E268F6">
        <w:rPr>
          <w:noProof/>
        </w:rPr>
        <w:t>4</w:t>
      </w:r>
      <w:r w:rsidRPr="009D4627">
        <w:fldChar w:fldCharType="end"/>
      </w:r>
      <w:r w:rsidRPr="009D4627">
        <w:t xml:space="preserve">: Post hoc analysis with Bonferroni corrections reporting the pairwise comparisons of four trial frequencies for vertical SP </w:t>
      </w:r>
      <w:r w:rsidR="0012799A">
        <w:t>gain and RMSE</w:t>
      </w:r>
      <w:r w:rsidRPr="009D4627">
        <w:t>.</w:t>
      </w:r>
      <w:bookmarkEnd w:id="644"/>
      <w:bookmarkEnd w:id="645"/>
      <w:bookmarkEnd w:id="6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18"/>
        <w:gridCol w:w="2317"/>
        <w:gridCol w:w="3130"/>
        <w:gridCol w:w="1251"/>
      </w:tblGrid>
      <w:tr w:rsidR="00654720" w:rsidRPr="009D4627" w14:paraId="39BFE046" w14:textId="77777777" w:rsidTr="00BB1AD3">
        <w:trPr>
          <w:cantSplit/>
          <w:trHeight w:val="185"/>
          <w:jc w:val="center"/>
        </w:trPr>
        <w:tc>
          <w:tcPr>
            <w:tcW w:w="1285" w:type="pct"/>
            <w:shd w:val="clear" w:color="auto" w:fill="FFFFFF"/>
          </w:tcPr>
          <w:p w14:paraId="71701023"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 xml:space="preserve">(I)  </w:t>
            </w:r>
          </w:p>
          <w:p w14:paraId="7328088C"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Frequency (Hz)</w:t>
            </w:r>
          </w:p>
        </w:tc>
        <w:tc>
          <w:tcPr>
            <w:tcW w:w="1285" w:type="pct"/>
            <w:shd w:val="clear" w:color="auto" w:fill="FFFFFF"/>
          </w:tcPr>
          <w:p w14:paraId="61DCCA2F"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 xml:space="preserve">(J) </w:t>
            </w:r>
          </w:p>
          <w:p w14:paraId="6E45597E"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Frequency (Hz)</w:t>
            </w:r>
          </w:p>
        </w:tc>
        <w:tc>
          <w:tcPr>
            <w:tcW w:w="1736" w:type="pct"/>
            <w:shd w:val="clear" w:color="auto" w:fill="FFFFFF"/>
          </w:tcPr>
          <w:p w14:paraId="7587309B"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Mean Difference (I-J)</w:t>
            </w:r>
          </w:p>
        </w:tc>
        <w:tc>
          <w:tcPr>
            <w:tcW w:w="694" w:type="pct"/>
            <w:shd w:val="clear" w:color="auto" w:fill="FFFFFF"/>
          </w:tcPr>
          <w:p w14:paraId="5E6091A2" w14:textId="77777777" w:rsidR="00654720" w:rsidRPr="009D4627" w:rsidRDefault="00654720" w:rsidP="00BB1AD3">
            <w:pPr>
              <w:autoSpaceDE w:val="0"/>
              <w:autoSpaceDN w:val="0"/>
              <w:adjustRightInd w:val="0"/>
              <w:spacing w:before="0" w:after="0" w:line="240" w:lineRule="auto"/>
              <w:ind w:left="60" w:right="60"/>
              <w:jc w:val="center"/>
              <w:rPr>
                <w:b/>
                <w:bCs/>
                <w:sz w:val="22"/>
                <w:szCs w:val="22"/>
                <w:lang w:val="en-MY"/>
              </w:rPr>
            </w:pPr>
            <w:r w:rsidRPr="009D4627">
              <w:rPr>
                <w:b/>
                <w:bCs/>
                <w:sz w:val="22"/>
                <w:szCs w:val="22"/>
                <w:lang w:val="en-MY"/>
              </w:rPr>
              <w:t>p-value</w:t>
            </w:r>
          </w:p>
        </w:tc>
      </w:tr>
      <w:tr w:rsidR="00654720" w:rsidRPr="009D4627" w14:paraId="088E4EBC" w14:textId="77777777" w:rsidTr="00BB1AD3">
        <w:trPr>
          <w:cantSplit/>
          <w:trHeight w:val="185"/>
          <w:jc w:val="center"/>
        </w:trPr>
        <w:tc>
          <w:tcPr>
            <w:tcW w:w="5000" w:type="pct"/>
            <w:gridSpan w:val="4"/>
            <w:shd w:val="clear" w:color="auto" w:fill="D9D9D9" w:themeFill="background1" w:themeFillShade="D9"/>
          </w:tcPr>
          <w:p w14:paraId="110BB0E7" w14:textId="77777777" w:rsidR="00654720" w:rsidRPr="009D4627" w:rsidRDefault="00654720" w:rsidP="00BB1AD3">
            <w:pPr>
              <w:autoSpaceDE w:val="0"/>
              <w:autoSpaceDN w:val="0"/>
              <w:adjustRightInd w:val="0"/>
              <w:spacing w:before="0" w:after="0" w:line="240" w:lineRule="auto"/>
              <w:ind w:left="60" w:right="60"/>
              <w:jc w:val="center"/>
              <w:rPr>
                <w:i/>
                <w:iCs/>
                <w:sz w:val="22"/>
                <w:szCs w:val="22"/>
                <w:lang w:val="en-MY"/>
              </w:rPr>
            </w:pPr>
            <w:r w:rsidRPr="009D4627">
              <w:rPr>
                <w:i/>
                <w:iCs/>
                <w:sz w:val="22"/>
                <w:szCs w:val="22"/>
                <w:lang w:val="en-MY"/>
              </w:rPr>
              <w:t>Vertical SP gain</w:t>
            </w:r>
          </w:p>
        </w:tc>
      </w:tr>
      <w:tr w:rsidR="00654720" w:rsidRPr="009D4627" w14:paraId="2FD530DB" w14:textId="77777777" w:rsidTr="00BB1AD3">
        <w:trPr>
          <w:cantSplit/>
          <w:jc w:val="center"/>
        </w:trPr>
        <w:tc>
          <w:tcPr>
            <w:tcW w:w="1285" w:type="pct"/>
            <w:shd w:val="clear" w:color="auto" w:fill="auto"/>
            <w:vAlign w:val="bottom"/>
          </w:tcPr>
          <w:p w14:paraId="566F3A5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0.25</w:t>
            </w:r>
          </w:p>
        </w:tc>
        <w:tc>
          <w:tcPr>
            <w:tcW w:w="1285" w:type="pct"/>
            <w:shd w:val="clear" w:color="auto" w:fill="auto"/>
            <w:vAlign w:val="bottom"/>
          </w:tcPr>
          <w:p w14:paraId="041E16B7"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0.5</w:t>
            </w:r>
          </w:p>
        </w:tc>
        <w:tc>
          <w:tcPr>
            <w:tcW w:w="1736" w:type="pct"/>
            <w:shd w:val="clear" w:color="auto" w:fill="auto"/>
            <w:vAlign w:val="bottom"/>
          </w:tcPr>
          <w:p w14:paraId="115A2EA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0.195</w:t>
            </w:r>
          </w:p>
        </w:tc>
        <w:tc>
          <w:tcPr>
            <w:tcW w:w="694" w:type="pct"/>
            <w:shd w:val="clear" w:color="auto" w:fill="auto"/>
            <w:vAlign w:val="bottom"/>
          </w:tcPr>
          <w:p w14:paraId="4BBD14D6"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color w:val="000000"/>
                <w:sz w:val="22"/>
                <w:szCs w:val="22"/>
              </w:rPr>
              <w:t>0.003*</w:t>
            </w:r>
          </w:p>
        </w:tc>
      </w:tr>
      <w:tr w:rsidR="00654720" w:rsidRPr="009D4627" w14:paraId="2FBADF5B" w14:textId="77777777" w:rsidTr="00BB1AD3">
        <w:trPr>
          <w:cantSplit/>
          <w:jc w:val="center"/>
        </w:trPr>
        <w:tc>
          <w:tcPr>
            <w:tcW w:w="1285" w:type="pct"/>
            <w:shd w:val="clear" w:color="auto" w:fill="auto"/>
            <w:vAlign w:val="bottom"/>
          </w:tcPr>
          <w:p w14:paraId="20C0169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042FF202"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0.75</w:t>
            </w:r>
          </w:p>
        </w:tc>
        <w:tc>
          <w:tcPr>
            <w:tcW w:w="1736" w:type="pct"/>
            <w:shd w:val="clear" w:color="auto" w:fill="auto"/>
            <w:vAlign w:val="bottom"/>
          </w:tcPr>
          <w:p w14:paraId="3E63E4F5"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0.358</w:t>
            </w:r>
          </w:p>
        </w:tc>
        <w:tc>
          <w:tcPr>
            <w:tcW w:w="694" w:type="pct"/>
            <w:shd w:val="clear" w:color="auto" w:fill="auto"/>
            <w:vAlign w:val="bottom"/>
          </w:tcPr>
          <w:p w14:paraId="1953679E"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&lt;0.001*</w:t>
            </w:r>
          </w:p>
        </w:tc>
      </w:tr>
      <w:tr w:rsidR="00654720" w:rsidRPr="009D4627" w14:paraId="351F270E" w14:textId="77777777" w:rsidTr="00BB1AD3">
        <w:trPr>
          <w:cantSplit/>
          <w:jc w:val="center"/>
        </w:trPr>
        <w:tc>
          <w:tcPr>
            <w:tcW w:w="1285" w:type="pct"/>
            <w:shd w:val="clear" w:color="auto" w:fill="auto"/>
            <w:vAlign w:val="bottom"/>
          </w:tcPr>
          <w:p w14:paraId="2F17806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33A68B5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1.0</w:t>
            </w:r>
          </w:p>
        </w:tc>
        <w:tc>
          <w:tcPr>
            <w:tcW w:w="1736" w:type="pct"/>
            <w:shd w:val="clear" w:color="auto" w:fill="auto"/>
            <w:vAlign w:val="bottom"/>
          </w:tcPr>
          <w:p w14:paraId="173BABB2"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0.481</w:t>
            </w:r>
          </w:p>
        </w:tc>
        <w:tc>
          <w:tcPr>
            <w:tcW w:w="694" w:type="pct"/>
            <w:shd w:val="clear" w:color="auto" w:fill="auto"/>
            <w:vAlign w:val="bottom"/>
          </w:tcPr>
          <w:p w14:paraId="67369C82"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&lt;0.001*</w:t>
            </w:r>
          </w:p>
        </w:tc>
      </w:tr>
      <w:tr w:rsidR="00654720" w:rsidRPr="009D4627" w14:paraId="3CEFCF2E" w14:textId="77777777" w:rsidTr="00BB1AD3">
        <w:trPr>
          <w:cantSplit/>
          <w:jc w:val="center"/>
        </w:trPr>
        <w:tc>
          <w:tcPr>
            <w:tcW w:w="1285" w:type="pct"/>
            <w:shd w:val="clear" w:color="auto" w:fill="auto"/>
            <w:vAlign w:val="bottom"/>
          </w:tcPr>
          <w:p w14:paraId="072A194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0.5</w:t>
            </w:r>
          </w:p>
        </w:tc>
        <w:tc>
          <w:tcPr>
            <w:tcW w:w="1285" w:type="pct"/>
            <w:shd w:val="clear" w:color="auto" w:fill="auto"/>
            <w:vAlign w:val="bottom"/>
          </w:tcPr>
          <w:p w14:paraId="7518A6C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736" w:type="pct"/>
            <w:shd w:val="clear" w:color="auto" w:fill="auto"/>
            <w:vAlign w:val="bottom"/>
          </w:tcPr>
          <w:p w14:paraId="4DC35FB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0.162</w:t>
            </w:r>
          </w:p>
        </w:tc>
        <w:tc>
          <w:tcPr>
            <w:tcW w:w="694" w:type="pct"/>
            <w:shd w:val="clear" w:color="auto" w:fill="auto"/>
            <w:vAlign w:val="bottom"/>
          </w:tcPr>
          <w:p w14:paraId="5B3C8CBB"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0.006*</w:t>
            </w:r>
          </w:p>
        </w:tc>
      </w:tr>
      <w:tr w:rsidR="00654720" w:rsidRPr="009D4627" w14:paraId="7B3BE413" w14:textId="77777777" w:rsidTr="00BB1AD3">
        <w:trPr>
          <w:cantSplit/>
          <w:jc w:val="center"/>
        </w:trPr>
        <w:tc>
          <w:tcPr>
            <w:tcW w:w="1285" w:type="pct"/>
            <w:shd w:val="clear" w:color="auto" w:fill="auto"/>
          </w:tcPr>
          <w:p w14:paraId="56EBEB1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33A74B05"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33F5BAF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0.286</w:t>
            </w:r>
          </w:p>
        </w:tc>
        <w:tc>
          <w:tcPr>
            <w:tcW w:w="694" w:type="pct"/>
            <w:shd w:val="clear" w:color="auto" w:fill="auto"/>
          </w:tcPr>
          <w:p w14:paraId="751329EA"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0.004*</w:t>
            </w:r>
          </w:p>
        </w:tc>
      </w:tr>
      <w:tr w:rsidR="00654720" w:rsidRPr="009D4627" w14:paraId="24A47536" w14:textId="77777777" w:rsidTr="00BB1AD3">
        <w:trPr>
          <w:cantSplit/>
          <w:jc w:val="center"/>
        </w:trPr>
        <w:tc>
          <w:tcPr>
            <w:tcW w:w="1285" w:type="pct"/>
            <w:shd w:val="clear" w:color="auto" w:fill="auto"/>
          </w:tcPr>
          <w:p w14:paraId="43A9A6A9"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285" w:type="pct"/>
            <w:shd w:val="clear" w:color="auto" w:fill="auto"/>
          </w:tcPr>
          <w:p w14:paraId="5E6B81AD"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5D5AB35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0.124</w:t>
            </w:r>
          </w:p>
        </w:tc>
        <w:tc>
          <w:tcPr>
            <w:tcW w:w="694" w:type="pct"/>
            <w:shd w:val="clear" w:color="auto" w:fill="auto"/>
          </w:tcPr>
          <w:p w14:paraId="7B9F2D94"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0.012*</w:t>
            </w:r>
          </w:p>
        </w:tc>
      </w:tr>
      <w:tr w:rsidR="00654720" w:rsidRPr="009D4627" w14:paraId="06855540" w14:textId="77777777" w:rsidTr="00BB1AD3">
        <w:trPr>
          <w:cantSplit/>
          <w:jc w:val="center"/>
        </w:trPr>
        <w:tc>
          <w:tcPr>
            <w:tcW w:w="5000" w:type="pct"/>
            <w:gridSpan w:val="4"/>
            <w:shd w:val="clear" w:color="auto" w:fill="D9D9D9" w:themeFill="background1" w:themeFillShade="D9"/>
          </w:tcPr>
          <w:p w14:paraId="54316891" w14:textId="77777777" w:rsidR="00654720" w:rsidRPr="009D4627" w:rsidRDefault="00654720" w:rsidP="00BB1AD3">
            <w:pPr>
              <w:autoSpaceDE w:val="0"/>
              <w:autoSpaceDN w:val="0"/>
              <w:adjustRightInd w:val="0"/>
              <w:spacing w:before="0" w:after="0" w:line="240" w:lineRule="auto"/>
              <w:ind w:left="60" w:right="60"/>
              <w:jc w:val="center"/>
              <w:rPr>
                <w:i/>
                <w:iCs/>
                <w:sz w:val="22"/>
                <w:szCs w:val="22"/>
                <w:lang w:val="en-MY"/>
              </w:rPr>
            </w:pPr>
            <w:r w:rsidRPr="009D4627">
              <w:rPr>
                <w:i/>
                <w:iCs/>
                <w:sz w:val="22"/>
                <w:szCs w:val="22"/>
                <w:lang w:val="en-MY"/>
              </w:rPr>
              <w:t>Vertical SP RMSE</w:t>
            </w:r>
          </w:p>
        </w:tc>
      </w:tr>
      <w:tr w:rsidR="00654720" w:rsidRPr="009D4627" w14:paraId="4DBC3148" w14:textId="77777777" w:rsidTr="00BB1AD3">
        <w:trPr>
          <w:cantSplit/>
          <w:jc w:val="center"/>
        </w:trPr>
        <w:tc>
          <w:tcPr>
            <w:tcW w:w="1285" w:type="pct"/>
            <w:shd w:val="clear" w:color="auto" w:fill="auto"/>
            <w:vAlign w:val="bottom"/>
          </w:tcPr>
          <w:p w14:paraId="4424322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0.25</w:t>
            </w:r>
          </w:p>
        </w:tc>
        <w:tc>
          <w:tcPr>
            <w:tcW w:w="1285" w:type="pct"/>
            <w:shd w:val="clear" w:color="auto" w:fill="auto"/>
            <w:vAlign w:val="bottom"/>
          </w:tcPr>
          <w:p w14:paraId="3BA5851F"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0.5</w:t>
            </w:r>
          </w:p>
        </w:tc>
        <w:tc>
          <w:tcPr>
            <w:tcW w:w="1736" w:type="pct"/>
            <w:shd w:val="clear" w:color="auto" w:fill="auto"/>
          </w:tcPr>
          <w:p w14:paraId="57F0C682"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-0.424</w:t>
            </w:r>
          </w:p>
        </w:tc>
        <w:tc>
          <w:tcPr>
            <w:tcW w:w="694" w:type="pct"/>
            <w:shd w:val="clear" w:color="auto" w:fill="auto"/>
          </w:tcPr>
          <w:p w14:paraId="4AFC57AC"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0.004*</w:t>
            </w:r>
          </w:p>
        </w:tc>
      </w:tr>
      <w:tr w:rsidR="00654720" w:rsidRPr="009D4627" w14:paraId="10188F33" w14:textId="77777777" w:rsidTr="00BB1AD3">
        <w:trPr>
          <w:cantSplit/>
          <w:jc w:val="center"/>
        </w:trPr>
        <w:tc>
          <w:tcPr>
            <w:tcW w:w="1285" w:type="pct"/>
            <w:shd w:val="clear" w:color="auto" w:fill="auto"/>
            <w:vAlign w:val="bottom"/>
          </w:tcPr>
          <w:p w14:paraId="47BB8227"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7F7CFAB0"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0.75</w:t>
            </w:r>
          </w:p>
        </w:tc>
        <w:tc>
          <w:tcPr>
            <w:tcW w:w="1736" w:type="pct"/>
            <w:shd w:val="clear" w:color="auto" w:fill="auto"/>
          </w:tcPr>
          <w:p w14:paraId="78AA410C"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-1.247</w:t>
            </w:r>
          </w:p>
        </w:tc>
        <w:tc>
          <w:tcPr>
            <w:tcW w:w="694" w:type="pct"/>
            <w:shd w:val="clear" w:color="auto" w:fill="auto"/>
          </w:tcPr>
          <w:p w14:paraId="368E672A"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0.018*</w:t>
            </w:r>
          </w:p>
        </w:tc>
      </w:tr>
      <w:tr w:rsidR="00654720" w:rsidRPr="009D4627" w14:paraId="331E9546" w14:textId="77777777" w:rsidTr="00BB1AD3">
        <w:trPr>
          <w:cantSplit/>
          <w:jc w:val="center"/>
        </w:trPr>
        <w:tc>
          <w:tcPr>
            <w:tcW w:w="1285" w:type="pct"/>
            <w:shd w:val="clear" w:color="auto" w:fill="auto"/>
            <w:vAlign w:val="bottom"/>
          </w:tcPr>
          <w:p w14:paraId="193A624F"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vAlign w:val="bottom"/>
          </w:tcPr>
          <w:p w14:paraId="6FDA2ED0"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color w:val="000000"/>
                <w:sz w:val="22"/>
                <w:szCs w:val="22"/>
              </w:rPr>
              <w:t>1.0</w:t>
            </w:r>
          </w:p>
        </w:tc>
        <w:tc>
          <w:tcPr>
            <w:tcW w:w="1736" w:type="pct"/>
            <w:shd w:val="clear" w:color="auto" w:fill="auto"/>
          </w:tcPr>
          <w:p w14:paraId="2042D1A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-1.780</w:t>
            </w:r>
          </w:p>
        </w:tc>
        <w:tc>
          <w:tcPr>
            <w:tcW w:w="694" w:type="pct"/>
            <w:shd w:val="clear" w:color="auto" w:fill="auto"/>
          </w:tcPr>
          <w:p w14:paraId="3E71E9AE"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0.004*</w:t>
            </w:r>
          </w:p>
        </w:tc>
      </w:tr>
      <w:tr w:rsidR="00654720" w:rsidRPr="009D4627" w14:paraId="5EEDF404" w14:textId="77777777" w:rsidTr="00BB1AD3">
        <w:trPr>
          <w:cantSplit/>
          <w:jc w:val="center"/>
        </w:trPr>
        <w:tc>
          <w:tcPr>
            <w:tcW w:w="1285" w:type="pct"/>
            <w:shd w:val="clear" w:color="auto" w:fill="auto"/>
            <w:vAlign w:val="bottom"/>
          </w:tcPr>
          <w:p w14:paraId="375168D6"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0.5</w:t>
            </w:r>
          </w:p>
        </w:tc>
        <w:tc>
          <w:tcPr>
            <w:tcW w:w="1285" w:type="pct"/>
            <w:shd w:val="clear" w:color="auto" w:fill="auto"/>
            <w:vAlign w:val="bottom"/>
          </w:tcPr>
          <w:p w14:paraId="492F9B61"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736" w:type="pct"/>
            <w:shd w:val="clear" w:color="auto" w:fill="auto"/>
          </w:tcPr>
          <w:p w14:paraId="4268B693"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-0.822</w:t>
            </w:r>
          </w:p>
        </w:tc>
        <w:tc>
          <w:tcPr>
            <w:tcW w:w="694" w:type="pct"/>
            <w:shd w:val="clear" w:color="auto" w:fill="auto"/>
          </w:tcPr>
          <w:p w14:paraId="4630F32E"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0.102</w:t>
            </w:r>
          </w:p>
        </w:tc>
      </w:tr>
      <w:tr w:rsidR="00654720" w:rsidRPr="009D4627" w14:paraId="71277C6E" w14:textId="77777777" w:rsidTr="00BB1AD3">
        <w:trPr>
          <w:cantSplit/>
          <w:jc w:val="center"/>
        </w:trPr>
        <w:tc>
          <w:tcPr>
            <w:tcW w:w="1285" w:type="pct"/>
            <w:shd w:val="clear" w:color="auto" w:fill="auto"/>
          </w:tcPr>
          <w:p w14:paraId="69B7222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p>
        </w:tc>
        <w:tc>
          <w:tcPr>
            <w:tcW w:w="1285" w:type="pct"/>
            <w:shd w:val="clear" w:color="auto" w:fill="auto"/>
          </w:tcPr>
          <w:p w14:paraId="31A6372B"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509F2FE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-1.355</w:t>
            </w:r>
          </w:p>
        </w:tc>
        <w:tc>
          <w:tcPr>
            <w:tcW w:w="694" w:type="pct"/>
            <w:shd w:val="clear" w:color="auto" w:fill="auto"/>
          </w:tcPr>
          <w:p w14:paraId="05FDB578"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0.014*</w:t>
            </w:r>
          </w:p>
        </w:tc>
      </w:tr>
      <w:tr w:rsidR="00654720" w:rsidRPr="009D4627" w14:paraId="009D5D70" w14:textId="77777777" w:rsidTr="00BB1AD3">
        <w:trPr>
          <w:cantSplit/>
          <w:jc w:val="center"/>
        </w:trPr>
        <w:tc>
          <w:tcPr>
            <w:tcW w:w="1285" w:type="pct"/>
            <w:shd w:val="clear" w:color="auto" w:fill="auto"/>
          </w:tcPr>
          <w:p w14:paraId="12DD7EE0"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0.75</w:t>
            </w:r>
          </w:p>
        </w:tc>
        <w:tc>
          <w:tcPr>
            <w:tcW w:w="1285" w:type="pct"/>
            <w:shd w:val="clear" w:color="auto" w:fill="auto"/>
          </w:tcPr>
          <w:p w14:paraId="5659150A"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1.0</w:t>
            </w:r>
          </w:p>
        </w:tc>
        <w:tc>
          <w:tcPr>
            <w:tcW w:w="1736" w:type="pct"/>
            <w:shd w:val="clear" w:color="auto" w:fill="auto"/>
          </w:tcPr>
          <w:p w14:paraId="32890D48" w14:textId="77777777" w:rsidR="00654720" w:rsidRPr="009D4627" w:rsidRDefault="00654720" w:rsidP="00BB1AD3">
            <w:pPr>
              <w:autoSpaceDE w:val="0"/>
              <w:autoSpaceDN w:val="0"/>
              <w:adjustRightInd w:val="0"/>
              <w:spacing w:before="0" w:after="0" w:line="240" w:lineRule="auto"/>
              <w:ind w:left="60" w:right="60"/>
              <w:jc w:val="center"/>
              <w:rPr>
                <w:sz w:val="22"/>
                <w:szCs w:val="22"/>
                <w:lang w:val="en-MY"/>
              </w:rPr>
            </w:pPr>
            <w:r w:rsidRPr="009D4627">
              <w:rPr>
                <w:sz w:val="22"/>
                <w:szCs w:val="22"/>
                <w:lang w:val="en-MY"/>
              </w:rPr>
              <w:t>-0.533</w:t>
            </w:r>
          </w:p>
        </w:tc>
        <w:tc>
          <w:tcPr>
            <w:tcW w:w="694" w:type="pct"/>
            <w:shd w:val="clear" w:color="auto" w:fill="auto"/>
          </w:tcPr>
          <w:p w14:paraId="4ECF452B" w14:textId="77777777" w:rsidR="00654720" w:rsidRPr="009D4627" w:rsidRDefault="00654720" w:rsidP="00BB1AD3">
            <w:pPr>
              <w:autoSpaceDE w:val="0"/>
              <w:autoSpaceDN w:val="0"/>
              <w:adjustRightInd w:val="0"/>
              <w:spacing w:before="0" w:after="0" w:line="240" w:lineRule="auto"/>
              <w:ind w:left="60" w:right="60"/>
              <w:jc w:val="right"/>
              <w:rPr>
                <w:sz w:val="22"/>
                <w:szCs w:val="22"/>
                <w:lang w:val="en-MY"/>
              </w:rPr>
            </w:pPr>
            <w:r w:rsidRPr="009D4627">
              <w:rPr>
                <w:sz w:val="22"/>
                <w:szCs w:val="22"/>
                <w:lang w:val="en-MY"/>
              </w:rPr>
              <w:t>0.002*</w:t>
            </w:r>
          </w:p>
        </w:tc>
      </w:tr>
    </w:tbl>
    <w:p w14:paraId="30164ADC" w14:textId="77777777" w:rsidR="00654720" w:rsidRPr="009D4627" w:rsidRDefault="00654720" w:rsidP="00654720">
      <w:pPr>
        <w:spacing w:before="0" w:after="0"/>
        <w:jc w:val="center"/>
        <w:rPr>
          <w:color w:val="auto"/>
          <w:sz w:val="20"/>
          <w:szCs w:val="20"/>
        </w:rPr>
      </w:pPr>
      <w:r w:rsidRPr="009D4627">
        <w:rPr>
          <w:i/>
          <w:iCs/>
          <w:color w:val="auto"/>
          <w:sz w:val="20"/>
          <w:szCs w:val="20"/>
        </w:rPr>
        <w:t xml:space="preserve">* </w:t>
      </w:r>
      <w:r w:rsidRPr="009D4627">
        <w:rPr>
          <w:color w:val="auto"/>
          <w:sz w:val="20"/>
          <w:szCs w:val="20"/>
        </w:rPr>
        <w:t>Data are significant at p&lt;0.05</w:t>
      </w:r>
    </w:p>
    <w:p w14:paraId="6AB6EE84" w14:textId="7EFEA12E" w:rsidR="00654720" w:rsidRPr="003213B7" w:rsidRDefault="00654720" w:rsidP="003213B7">
      <w:pPr>
        <w:sectPr w:rsidR="00654720" w:rsidRPr="003213B7" w:rsidSect="00477959">
          <w:pgSz w:w="11906" w:h="16838" w:code="9"/>
          <w:pgMar w:top="1440" w:right="1440" w:bottom="1440" w:left="1440" w:header="708" w:footer="708" w:gutter="0"/>
          <w:cols w:space="708"/>
          <w:docGrid w:linePitch="360"/>
        </w:sectPr>
      </w:pPr>
    </w:p>
    <w:p w14:paraId="010EA335" w14:textId="20095347" w:rsidR="003213B7" w:rsidRDefault="00565A8C" w:rsidP="000C3065">
      <w:pPr>
        <w:spacing w:before="0" w:after="0" w:line="240" w:lineRule="auto"/>
      </w:pPr>
      <w:bookmarkStart w:id="647" w:name="_Toc99356733"/>
      <w:bookmarkStart w:id="648" w:name="_Toc70087944"/>
      <w:bookmarkStart w:id="649" w:name="_Toc70088059"/>
      <w:bookmarkStart w:id="650" w:name="_Toc73355023"/>
      <w:bookmarkEnd w:id="593"/>
      <w:bookmarkEnd w:id="639"/>
      <w:bookmarkEnd w:id="640"/>
      <w:r w:rsidRPr="009D4627">
        <w:lastRenderedPageBreak/>
        <w:t>Appendix 6.</w:t>
      </w:r>
      <w:r w:rsidR="007E7CC8">
        <w:fldChar w:fldCharType="begin"/>
      </w:r>
      <w:r w:rsidR="007E7CC8">
        <w:instrText xml:space="preserve"> SEQ Appendix_6. \* ARABIC </w:instrText>
      </w:r>
      <w:r w:rsidR="007E7CC8">
        <w:fldChar w:fldCharType="separate"/>
      </w:r>
      <w:r w:rsidR="00E268F6">
        <w:rPr>
          <w:noProof/>
        </w:rPr>
        <w:t>1</w:t>
      </w:r>
      <w:r w:rsidR="007E7CC8">
        <w:rPr>
          <w:noProof/>
        </w:rPr>
        <w:fldChar w:fldCharType="end"/>
      </w:r>
      <w:r w:rsidR="00453B3D" w:rsidRPr="009D4627">
        <w:t xml:space="preserve">: </w:t>
      </w:r>
      <w:r w:rsidR="00CE6626" w:rsidRPr="009D4627">
        <w:t>Patient ID: 1</w:t>
      </w:r>
      <w:bookmarkEnd w:id="647"/>
      <w:r w:rsidR="00CE6626" w:rsidRPr="009D4627">
        <w:t xml:space="preserve"> </w:t>
      </w:r>
      <w:r w:rsidR="00000294" w:rsidRPr="009D4627">
        <w:t xml:space="preserve">           </w:t>
      </w:r>
    </w:p>
    <w:p w14:paraId="51BA63D7" w14:textId="77777777" w:rsidR="003213B7" w:rsidRDefault="00CE6626" w:rsidP="000C3065">
      <w:pPr>
        <w:spacing w:before="0" w:after="0" w:line="240" w:lineRule="auto"/>
      </w:pPr>
      <w:r w:rsidRPr="009D4627">
        <w:t>Birth month/year: 04/1963</w:t>
      </w:r>
      <w:r w:rsidR="00000294" w:rsidRPr="009D4627">
        <w:t xml:space="preserve">   </w:t>
      </w:r>
      <w:r w:rsidR="003213B7">
        <w:t xml:space="preserve">                         </w:t>
      </w:r>
    </w:p>
    <w:p w14:paraId="18481632" w14:textId="00337920" w:rsidR="00CE6626" w:rsidRPr="009D4627" w:rsidRDefault="00CE6626" w:rsidP="00CB28CB">
      <w:pPr>
        <w:spacing w:before="0" w:after="0"/>
      </w:pPr>
      <w:r w:rsidRPr="009D4627">
        <w:t>Age: 55 at onset</w:t>
      </w:r>
    </w:p>
    <w:p w14:paraId="20884D2A" w14:textId="77777777" w:rsidR="00CE6626" w:rsidRPr="009D4627" w:rsidRDefault="00CE6626" w:rsidP="00CE6626">
      <w:pPr>
        <w:spacing w:before="0" w:after="0" w:line="240" w:lineRule="auto"/>
        <w:rPr>
          <w:rFonts w:eastAsia="Calibri"/>
          <w:b/>
          <w:szCs w:val="22"/>
          <w:lang w:val="en-MY"/>
        </w:rPr>
      </w:pPr>
    </w:p>
    <w:p w14:paraId="2805054C" w14:textId="77777777" w:rsidR="00CE6626" w:rsidRPr="009D4627" w:rsidRDefault="00CE6626" w:rsidP="00CE6626">
      <w:pPr>
        <w:spacing w:before="0" w:after="0" w:line="240" w:lineRule="auto"/>
        <w:rPr>
          <w:rFonts w:eastAsia="Calibri"/>
          <w:bCs/>
          <w:szCs w:val="22"/>
          <w:u w:val="single"/>
          <w:lang w:val="en-MY"/>
        </w:rPr>
      </w:pPr>
      <w:r w:rsidRPr="009D4627">
        <w:rPr>
          <w:rFonts w:eastAsia="Calibri"/>
          <w:b/>
          <w:szCs w:val="22"/>
          <w:u w:val="single"/>
          <w:lang w:val="en-MY"/>
        </w:rPr>
        <w:t xml:space="preserve">Clinical visit 1: </w:t>
      </w:r>
      <w:r w:rsidRPr="009D4627">
        <w:rPr>
          <w:rFonts w:eastAsia="Calibri"/>
          <w:bCs/>
          <w:szCs w:val="22"/>
          <w:u w:val="single"/>
          <w:lang w:val="en-MY"/>
        </w:rPr>
        <w:t>17/08/2018 (</w:t>
      </w:r>
      <w:r w:rsidRPr="009D4627">
        <w:rPr>
          <w:rFonts w:eastAsia="Calibri"/>
          <w:bCs/>
          <w:color w:val="auto"/>
          <w:szCs w:val="22"/>
          <w:u w:val="single"/>
          <w:lang w:val="en-MY"/>
        </w:rPr>
        <w:t>3 days from onset</w:t>
      </w:r>
      <w:r w:rsidRPr="009D4627">
        <w:rPr>
          <w:rFonts w:eastAsia="Calibri"/>
          <w:bCs/>
          <w:szCs w:val="22"/>
          <w:u w:val="single"/>
          <w:lang w:val="en-MY"/>
        </w:rPr>
        <w:t>) - Orthoptic assessment</w:t>
      </w:r>
    </w:p>
    <w:p w14:paraId="63A9018F" w14:textId="77777777" w:rsidR="00CE6626" w:rsidRPr="009D4627" w:rsidRDefault="00CE6626" w:rsidP="00CE6626">
      <w:pPr>
        <w:spacing w:before="0" w:after="0" w:line="240" w:lineRule="auto"/>
        <w:rPr>
          <w:rFonts w:eastAsia="Calibri"/>
          <w:bCs/>
          <w:szCs w:val="22"/>
          <w:u w:val="single"/>
          <w:lang w:val="en-MY"/>
        </w:rPr>
      </w:pPr>
    </w:p>
    <w:p w14:paraId="65ADB9B1"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
          <w:szCs w:val="22"/>
          <w:lang w:val="en-MY"/>
        </w:rPr>
        <w:t xml:space="preserve">History: </w:t>
      </w:r>
      <w:r w:rsidRPr="009D4627">
        <w:rPr>
          <w:rFonts w:eastAsia="Calibri"/>
          <w:bCs/>
          <w:szCs w:val="22"/>
          <w:lang w:val="en-MY"/>
        </w:rPr>
        <w:t>Patient c/o vertical diplopia 3/7 ago and no change since onset. He had headache for past 2-3/52 and recent ultrasound test for investigation of kidney failure.</w:t>
      </w:r>
    </w:p>
    <w:p w14:paraId="54B9A6F9"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Cs/>
          <w:szCs w:val="22"/>
          <w:lang w:val="en-MY"/>
        </w:rPr>
        <w:t xml:space="preserve">  </w:t>
      </w:r>
    </w:p>
    <w:p w14:paraId="714778F8" w14:textId="310AE329"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 xml:space="preserve">General health: </w:t>
      </w:r>
      <w:r w:rsidRPr="009D4627">
        <w:rPr>
          <w:rFonts w:eastAsia="Calibri"/>
          <w:b/>
          <w:szCs w:val="22"/>
          <w:lang w:val="en-MY"/>
        </w:rPr>
        <w:tab/>
      </w:r>
      <w:r w:rsidRPr="009D4627">
        <w:rPr>
          <w:rFonts w:eastAsia="Calibri"/>
          <w:szCs w:val="22"/>
          <w:lang w:val="en-MY"/>
        </w:rPr>
        <w:t xml:space="preserve">HPT </w:t>
      </w:r>
      <w:r w:rsidR="001941C9" w:rsidRPr="009D4627">
        <w:rPr>
          <w:rFonts w:eastAsia="Calibri"/>
          <w:szCs w:val="22"/>
          <w:lang w:val="en-MY"/>
        </w:rPr>
        <w:t xml:space="preserve">– Aspirin </w:t>
      </w:r>
    </w:p>
    <w:p w14:paraId="5DF8AC1E" w14:textId="77777777" w:rsidR="00CE6626" w:rsidRPr="009D4627" w:rsidRDefault="00CE6626" w:rsidP="00CE6626">
      <w:pPr>
        <w:spacing w:before="0" w:after="0" w:line="240" w:lineRule="auto"/>
        <w:rPr>
          <w:rFonts w:eastAsia="Calibri"/>
          <w:szCs w:val="22"/>
          <w:lang w:val="en-MY"/>
        </w:rPr>
      </w:pPr>
      <w:r w:rsidRPr="009D4627">
        <w:rPr>
          <w:rFonts w:eastAsia="Calibri"/>
          <w:szCs w:val="22"/>
          <w:lang w:val="en-MY"/>
        </w:rPr>
        <w:tab/>
      </w:r>
      <w:r w:rsidRPr="009D4627">
        <w:rPr>
          <w:rFonts w:eastAsia="Calibri"/>
          <w:szCs w:val="22"/>
          <w:lang w:val="en-MY"/>
        </w:rPr>
        <w:tab/>
      </w:r>
      <w:r w:rsidRPr="009D4627">
        <w:rPr>
          <w:rFonts w:eastAsia="Calibri"/>
          <w:szCs w:val="22"/>
          <w:lang w:val="en-MY"/>
        </w:rPr>
        <w:tab/>
        <w:t>Heart attack – 2 ½ years ago</w:t>
      </w:r>
    </w:p>
    <w:p w14:paraId="27EFD5A3" w14:textId="77777777" w:rsidR="00CE6626" w:rsidRPr="009D4627" w:rsidRDefault="00CE6626" w:rsidP="00CE6626">
      <w:pPr>
        <w:spacing w:before="0" w:after="0" w:line="240" w:lineRule="auto"/>
        <w:rPr>
          <w:rFonts w:eastAsia="Calibri"/>
          <w:b/>
          <w:szCs w:val="22"/>
          <w:lang w:val="en-MY"/>
        </w:rPr>
      </w:pPr>
      <w:r w:rsidRPr="009D4627">
        <w:rPr>
          <w:rFonts w:eastAsia="Calibri"/>
          <w:szCs w:val="22"/>
          <w:lang w:val="en-MY"/>
        </w:rPr>
        <w:tab/>
      </w:r>
      <w:r w:rsidRPr="009D4627">
        <w:rPr>
          <w:rFonts w:eastAsia="Calibri"/>
          <w:szCs w:val="22"/>
          <w:lang w:val="en-MY"/>
        </w:rPr>
        <w:tab/>
      </w:r>
      <w:r w:rsidRPr="009D4627">
        <w:rPr>
          <w:rFonts w:eastAsia="Calibri"/>
          <w:szCs w:val="22"/>
          <w:lang w:val="en-MY"/>
        </w:rPr>
        <w:tab/>
        <w:t>No DM and no known allergy</w:t>
      </w:r>
    </w:p>
    <w:p w14:paraId="36E3A6C8" w14:textId="77777777" w:rsidR="00CE6626" w:rsidRPr="009D4627" w:rsidRDefault="00CE6626" w:rsidP="00CE6626">
      <w:pPr>
        <w:spacing w:before="0" w:after="0" w:line="240" w:lineRule="auto"/>
        <w:ind w:left="851" w:hanging="131"/>
        <w:rPr>
          <w:rFonts w:eastAsia="Calibri"/>
          <w:b/>
          <w:szCs w:val="22"/>
          <w:lang w:val="en-MY"/>
        </w:rPr>
      </w:pPr>
      <w:r w:rsidRPr="009D4627">
        <w:rPr>
          <w:rFonts w:eastAsia="Calibri"/>
          <w:bCs/>
          <w:szCs w:val="22"/>
          <w:lang w:val="en-MY"/>
        </w:rPr>
        <w:t xml:space="preserve">  </w:t>
      </w:r>
    </w:p>
    <w:p w14:paraId="568214F5" w14:textId="77777777" w:rsidR="00CE6626" w:rsidRPr="009D4627" w:rsidRDefault="00CE6626" w:rsidP="00CE6626">
      <w:pPr>
        <w:spacing w:before="0" w:after="0" w:line="240" w:lineRule="auto"/>
        <w:ind w:left="2160" w:hanging="2160"/>
        <w:rPr>
          <w:rFonts w:eastAsia="Calibri"/>
          <w:bCs/>
          <w:szCs w:val="22"/>
          <w:lang w:val="en-MY"/>
        </w:rPr>
      </w:pPr>
      <w:r w:rsidRPr="009D4627">
        <w:rPr>
          <w:rFonts w:eastAsia="Calibri"/>
          <w:b/>
          <w:szCs w:val="22"/>
          <w:lang w:val="en-MY"/>
        </w:rPr>
        <w:t xml:space="preserve">Previous treatment: </w:t>
      </w:r>
      <w:r w:rsidRPr="009D4627">
        <w:rPr>
          <w:rFonts w:eastAsia="Calibri"/>
          <w:b/>
          <w:szCs w:val="22"/>
          <w:lang w:val="en-MY"/>
        </w:rPr>
        <w:tab/>
      </w:r>
      <w:r w:rsidRPr="009D4627">
        <w:rPr>
          <w:rFonts w:eastAsia="Calibri"/>
          <w:bCs/>
          <w:szCs w:val="22"/>
          <w:lang w:val="en-MY"/>
        </w:rPr>
        <w:t>Nil orthoptic. Had refractive laser surgery for myopia correction 6 years ago.</w:t>
      </w:r>
    </w:p>
    <w:p w14:paraId="576ACDB9" w14:textId="77777777" w:rsidR="00CE6626" w:rsidRPr="009D4627" w:rsidRDefault="00CE6626" w:rsidP="00CE6626">
      <w:pPr>
        <w:spacing w:before="0" w:after="0" w:line="240" w:lineRule="auto"/>
        <w:rPr>
          <w:rFonts w:eastAsia="Calibri"/>
          <w:b/>
          <w:szCs w:val="22"/>
          <w:lang w:val="en-MY"/>
        </w:rPr>
      </w:pPr>
    </w:p>
    <w:p w14:paraId="3763206D"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unaided </w:t>
      </w:r>
      <w:r w:rsidRPr="009D4627">
        <w:rPr>
          <w:rFonts w:eastAsia="Calibri"/>
          <w:bCs/>
          <w:szCs w:val="22"/>
          <w:lang w:val="en-MY"/>
        </w:rPr>
        <w:tab/>
        <w:t>RE 0.0</w:t>
      </w:r>
      <w:r w:rsidRPr="009D4627">
        <w:rPr>
          <w:rFonts w:eastAsia="Calibri"/>
          <w:bCs/>
          <w:szCs w:val="22"/>
          <w:lang w:val="en-MY"/>
        </w:rPr>
        <w:tab/>
      </w:r>
      <w:r w:rsidRPr="009D4627">
        <w:rPr>
          <w:rFonts w:eastAsia="Calibri"/>
          <w:bCs/>
          <w:szCs w:val="22"/>
          <w:lang w:val="en-MY"/>
        </w:rPr>
        <w:tab/>
        <w:t xml:space="preserve">LE 0.18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70DFD6DA" w14:textId="04EBC601"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00E147BE">
        <w:rPr>
          <w:rFonts w:eastAsia="Calibri"/>
          <w:b/>
          <w:szCs w:val="22"/>
          <w:lang w:val="en-MY"/>
        </w:rPr>
        <w:tab/>
      </w:r>
      <w:r w:rsidRPr="009D4627">
        <w:rPr>
          <w:rFonts w:eastAsia="Calibri"/>
          <w:b/>
          <w:szCs w:val="22"/>
          <w:lang w:val="en-MY"/>
        </w:rPr>
        <w:t xml:space="preserve">   </w:t>
      </w:r>
      <w:r w:rsidRPr="009D4627">
        <w:rPr>
          <w:rFonts w:eastAsia="Calibri"/>
          <w:bCs/>
          <w:szCs w:val="22"/>
          <w:lang w:val="en-MY"/>
        </w:rPr>
        <w:t>6/6</w:t>
      </w:r>
      <w:r w:rsidRPr="009D4627">
        <w:rPr>
          <w:rFonts w:eastAsia="Calibri"/>
          <w:bCs/>
          <w:szCs w:val="22"/>
          <w:lang w:val="en-MY"/>
        </w:rPr>
        <w:tab/>
        <w:t xml:space="preserve">   </w:t>
      </w:r>
      <w:r w:rsidRPr="009D4627">
        <w:rPr>
          <w:rFonts w:eastAsia="Calibri"/>
          <w:bCs/>
          <w:szCs w:val="22"/>
          <w:lang w:val="en-MY"/>
        </w:rPr>
        <w:tab/>
        <w:t xml:space="preserve">     6/9 </w:t>
      </w:r>
      <w:r w:rsidRPr="009D4627">
        <w:rPr>
          <w:rFonts w:eastAsia="Calibri"/>
          <w:bCs/>
          <w:szCs w:val="22"/>
          <w:lang w:val="en-MY"/>
        </w:rPr>
        <w:tab/>
      </w:r>
      <w:r w:rsidRPr="009D4627">
        <w:rPr>
          <w:rFonts w:eastAsia="Calibri"/>
          <w:bCs/>
          <w:szCs w:val="22"/>
          <w:lang w:val="en-MY"/>
        </w:rPr>
        <w:tab/>
        <w:t>Snellen equivalent</w:t>
      </w:r>
    </w:p>
    <w:p w14:paraId="5642608E"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p>
    <w:p w14:paraId="4B7F0F10" w14:textId="77777777" w:rsidR="00CE6626" w:rsidRPr="009D4627" w:rsidRDefault="00CE6626" w:rsidP="00CE6626">
      <w:pPr>
        <w:spacing w:before="0" w:after="0" w:line="240" w:lineRule="auto"/>
        <w:ind w:left="1276" w:hanging="1276"/>
        <w:rPr>
          <w:rFonts w:eastAsia="Calibri"/>
          <w:b/>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 readers </w:t>
      </w:r>
      <w:r w:rsidRPr="009D4627">
        <w:rPr>
          <w:rFonts w:eastAsia="Calibri"/>
          <w:bCs/>
          <w:szCs w:val="22"/>
          <w:lang w:val="en-MY"/>
        </w:rPr>
        <w:tab/>
        <w:t xml:space="preserve">1/3 m </w:t>
      </w:r>
      <w:r w:rsidRPr="009D4627">
        <w:rPr>
          <w:rFonts w:eastAsia="Calibri"/>
          <w:bCs/>
          <w:szCs w:val="22"/>
          <w:lang w:val="en-MY"/>
        </w:rPr>
        <w:tab/>
        <w:t xml:space="preserve">small LET with small </w:t>
      </w:r>
      <w:proofErr w:type="spellStart"/>
      <w:r w:rsidRPr="009D4627">
        <w:rPr>
          <w:rFonts w:eastAsia="Calibri"/>
          <w:bCs/>
          <w:szCs w:val="22"/>
          <w:lang w:val="en-MY"/>
        </w:rPr>
        <w:t>LHoT</w:t>
      </w:r>
      <w:proofErr w:type="spellEnd"/>
      <w:r w:rsidRPr="009D4627">
        <w:rPr>
          <w:rFonts w:eastAsia="Calibri"/>
          <w:bCs/>
          <w:szCs w:val="22"/>
          <w:lang w:val="en-MY"/>
        </w:rPr>
        <w:t xml:space="preserve"> with diplopia</w:t>
      </w:r>
    </w:p>
    <w:p w14:paraId="6471ACBB" w14:textId="77777777" w:rsidR="00CE6626" w:rsidRPr="009D4627" w:rsidRDefault="00CE6626" w:rsidP="00CE6626">
      <w:pPr>
        <w:spacing w:before="0" w:after="0" w:line="240" w:lineRule="auto"/>
        <w:ind w:left="1276"/>
        <w:rPr>
          <w:rFonts w:eastAsia="Calibri"/>
          <w:bCs/>
          <w:szCs w:val="22"/>
          <w:lang w:val="en-MY"/>
        </w:rPr>
      </w:pPr>
      <w:r w:rsidRPr="009D4627">
        <w:rPr>
          <w:rFonts w:eastAsia="Calibri"/>
          <w:bCs/>
          <w:szCs w:val="22"/>
          <w:lang w:val="en-MY"/>
        </w:rPr>
        <w:t xml:space="preserve">        unaided </w:t>
      </w:r>
      <w:r w:rsidRPr="009D4627">
        <w:rPr>
          <w:rFonts w:eastAsia="Calibri"/>
          <w:bCs/>
          <w:szCs w:val="22"/>
          <w:lang w:val="en-MY"/>
        </w:rPr>
        <w:tab/>
        <w:t xml:space="preserve">    6 m</w:t>
      </w:r>
      <w:r w:rsidRPr="009D4627">
        <w:rPr>
          <w:rFonts w:eastAsia="Calibri"/>
          <w:bCs/>
          <w:szCs w:val="22"/>
          <w:lang w:val="en-MY"/>
        </w:rPr>
        <w:tab/>
        <w:t xml:space="preserve">small AET with small </w:t>
      </w:r>
      <w:proofErr w:type="spellStart"/>
      <w:r w:rsidRPr="009D4627">
        <w:rPr>
          <w:rFonts w:eastAsia="Calibri"/>
          <w:bCs/>
          <w:szCs w:val="22"/>
          <w:lang w:val="en-MY"/>
        </w:rPr>
        <w:t>LHoT</w:t>
      </w:r>
      <w:proofErr w:type="spellEnd"/>
      <w:r w:rsidRPr="009D4627">
        <w:rPr>
          <w:rFonts w:eastAsia="Calibri"/>
          <w:bCs/>
          <w:szCs w:val="22"/>
          <w:lang w:val="en-MY"/>
        </w:rPr>
        <w:t xml:space="preserve"> with diplopia.</w:t>
      </w:r>
    </w:p>
    <w:p w14:paraId="77FC6C8E" w14:textId="77777777" w:rsidR="00CE6626" w:rsidRPr="009D4627" w:rsidRDefault="00CE6626" w:rsidP="00CE6626">
      <w:pPr>
        <w:spacing w:before="0" w:after="0" w:line="240" w:lineRule="auto"/>
        <w:rPr>
          <w:rFonts w:eastAsia="Calibri"/>
          <w:bCs/>
          <w:szCs w:val="22"/>
          <w:lang w:val="en-MY"/>
        </w:rPr>
      </w:pPr>
    </w:p>
    <w:p w14:paraId="29DD6FA2" w14:textId="77777777" w:rsidR="00CE6626" w:rsidRPr="009D4627" w:rsidRDefault="00CE6626" w:rsidP="00CE6626">
      <w:pPr>
        <w:spacing w:before="0" w:after="0" w:line="240" w:lineRule="auto"/>
        <w:jc w:val="left"/>
        <w:rPr>
          <w:rFonts w:eastAsia="Calibri"/>
          <w:b/>
          <w:szCs w:val="22"/>
          <w:lang w:val="en-MY"/>
        </w:rPr>
      </w:pPr>
      <w:r w:rsidRPr="009D4627">
        <w:rPr>
          <w:rFonts w:eastAsia="Calibri"/>
          <w:b/>
          <w:szCs w:val="22"/>
          <w:lang w:val="en-MY"/>
        </w:rPr>
        <w:t xml:space="preserve">PCT/OMT </w:t>
      </w:r>
      <w:r w:rsidRPr="009D4627">
        <w:rPr>
          <w:rFonts w:eastAsia="Calibri"/>
          <w:bCs/>
          <w:szCs w:val="22"/>
          <w:lang w:val="en-MY"/>
        </w:rPr>
        <w:t>(unaided)</w:t>
      </w:r>
      <w:r w:rsidRPr="009D4627">
        <w:rPr>
          <w:rFonts w:eastAsia="Calibri"/>
          <w:b/>
          <w:szCs w:val="22"/>
          <w:lang w:val="en-MY"/>
        </w:rPr>
        <w:t>:</w:t>
      </w:r>
    </w:p>
    <w:p w14:paraId="2F1070FF" w14:textId="720F807F" w:rsidR="00CE6626" w:rsidRPr="009D4627" w:rsidRDefault="00A2792E" w:rsidP="00CE6626">
      <w:pPr>
        <w:spacing w:before="0" w:after="0" w:line="240" w:lineRule="auto"/>
        <w:ind w:firstLine="720"/>
        <w:jc w:val="left"/>
        <w:rPr>
          <w:rFonts w:eastAsia="Calibri"/>
          <w:bCs/>
          <w:szCs w:val="22"/>
          <w:lang w:val="en-MY"/>
        </w:rPr>
      </w:pPr>
      <w:r w:rsidRPr="009D4627">
        <w:rPr>
          <w:noProof/>
        </w:rPr>
        <mc:AlternateContent>
          <mc:Choice Requires="wpg">
            <w:drawing>
              <wp:anchor distT="0" distB="0" distL="114300" distR="114300" simplePos="0" relativeHeight="251696128" behindDoc="0" locked="0" layoutInCell="1" allowOverlap="1" wp14:anchorId="3A22D483" wp14:editId="3CD21FC9">
                <wp:simplePos x="0" y="0"/>
                <wp:positionH relativeFrom="column">
                  <wp:posOffset>9525</wp:posOffset>
                </wp:positionH>
                <wp:positionV relativeFrom="paragraph">
                  <wp:posOffset>85725</wp:posOffset>
                </wp:positionV>
                <wp:extent cx="4724400" cy="1628775"/>
                <wp:effectExtent l="0" t="0" r="0" b="9525"/>
                <wp:wrapNone/>
                <wp:docPr id="23955" name="Group 23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4400" cy="1628775"/>
                          <a:chOff x="-2000" y="0"/>
                          <a:chExt cx="46386" cy="16287"/>
                        </a:xfrm>
                      </wpg:grpSpPr>
                      <wpg:grpSp>
                        <wpg:cNvPr id="23956" name="Group 21498"/>
                        <wpg:cNvGrpSpPr>
                          <a:grpSpLocks/>
                        </wpg:cNvGrpSpPr>
                        <wpg:grpSpPr bwMode="auto">
                          <a:xfrm>
                            <a:off x="-2000" y="0"/>
                            <a:ext cx="46386" cy="16287"/>
                            <a:chOff x="-2000" y="0"/>
                            <a:chExt cx="46386" cy="16287"/>
                          </a:xfrm>
                        </wpg:grpSpPr>
                        <wpg:grpSp>
                          <wpg:cNvPr id="23957" name="Group 21499"/>
                          <wpg:cNvGrpSpPr>
                            <a:grpSpLocks/>
                          </wpg:cNvGrpSpPr>
                          <wpg:grpSpPr bwMode="auto">
                            <a:xfrm>
                              <a:off x="-1808" y="762"/>
                              <a:ext cx="43908" cy="14668"/>
                              <a:chOff x="-2665" y="0"/>
                              <a:chExt cx="43908" cy="14668"/>
                            </a:xfrm>
                          </wpg:grpSpPr>
                          <wpg:grpSp>
                            <wpg:cNvPr id="23958" name="Group 21500"/>
                            <wpg:cNvGrpSpPr>
                              <a:grpSpLocks/>
                            </wpg:cNvGrpSpPr>
                            <wpg:grpSpPr bwMode="auto">
                              <a:xfrm>
                                <a:off x="-2665" y="0"/>
                                <a:ext cx="43908" cy="14668"/>
                                <a:chOff x="-2093" y="0"/>
                                <a:chExt cx="43908" cy="14668"/>
                              </a:xfrm>
                            </wpg:grpSpPr>
                            <wpg:grpSp>
                              <wpg:cNvPr id="23959" name="Group 21501"/>
                              <wpg:cNvGrpSpPr>
                                <a:grpSpLocks/>
                              </wpg:cNvGrpSpPr>
                              <wpg:grpSpPr bwMode="auto">
                                <a:xfrm>
                                  <a:off x="-2093" y="0"/>
                                  <a:ext cx="43907" cy="14668"/>
                                  <a:chOff x="-2093" y="0"/>
                                  <a:chExt cx="43908" cy="14668"/>
                                </a:xfrm>
                              </wpg:grpSpPr>
                              <wpg:grpSp>
                                <wpg:cNvPr id="23960" name="Group 21502"/>
                                <wpg:cNvGrpSpPr>
                                  <a:grpSpLocks/>
                                </wpg:cNvGrpSpPr>
                                <wpg:grpSpPr bwMode="auto">
                                  <a:xfrm>
                                    <a:off x="-2093" y="0"/>
                                    <a:ext cx="43907" cy="14668"/>
                                    <a:chOff x="-2093" y="0"/>
                                    <a:chExt cx="43908" cy="14668"/>
                                  </a:xfrm>
                                </wpg:grpSpPr>
                                <wpg:grpSp>
                                  <wpg:cNvPr id="23961" name="Group 21503"/>
                                  <wpg:cNvGrpSpPr>
                                    <a:grpSpLocks/>
                                  </wpg:cNvGrpSpPr>
                                  <wpg:grpSpPr bwMode="auto">
                                    <a:xfrm>
                                      <a:off x="-2093" y="0"/>
                                      <a:ext cx="43907" cy="14668"/>
                                      <a:chOff x="-2093" y="0"/>
                                      <a:chExt cx="43908" cy="14668"/>
                                    </a:xfrm>
                                  </wpg:grpSpPr>
                                  <wpg:grpSp>
                                    <wpg:cNvPr id="23962" name="Group 21504"/>
                                    <wpg:cNvGrpSpPr>
                                      <a:grpSpLocks/>
                                    </wpg:cNvGrpSpPr>
                                    <wpg:grpSpPr bwMode="auto">
                                      <a:xfrm>
                                        <a:off x="-2093" y="0"/>
                                        <a:ext cx="43907" cy="14668"/>
                                        <a:chOff x="-2093" y="0"/>
                                        <a:chExt cx="43908" cy="14668"/>
                                      </a:xfrm>
                                    </wpg:grpSpPr>
                                    <wpg:grpSp>
                                      <wpg:cNvPr id="23963" name="Group 21505"/>
                                      <wpg:cNvGrpSpPr>
                                        <a:grpSpLocks/>
                                      </wpg:cNvGrpSpPr>
                                      <wpg:grpSpPr bwMode="auto">
                                        <a:xfrm>
                                          <a:off x="-2093" y="0"/>
                                          <a:ext cx="43907" cy="14668"/>
                                          <a:chOff x="-2093" y="0"/>
                                          <a:chExt cx="43908" cy="14668"/>
                                        </a:xfrm>
                                      </wpg:grpSpPr>
                                      <wpg:grpSp>
                                        <wpg:cNvPr id="23964" name="Group 21506"/>
                                        <wpg:cNvGrpSpPr>
                                          <a:grpSpLocks/>
                                        </wpg:cNvGrpSpPr>
                                        <wpg:grpSpPr bwMode="auto">
                                          <a:xfrm>
                                            <a:off x="-2093" y="0"/>
                                            <a:ext cx="43907" cy="14668"/>
                                            <a:chOff x="-5522" y="0"/>
                                            <a:chExt cx="43908" cy="14668"/>
                                          </a:xfrm>
                                        </wpg:grpSpPr>
                                        <wpg:grpSp>
                                          <wpg:cNvPr id="23965" name="Group 21507"/>
                                          <wpg:cNvGrpSpPr>
                                            <a:grpSpLocks/>
                                          </wpg:cNvGrpSpPr>
                                          <wpg:grpSpPr bwMode="auto">
                                            <a:xfrm>
                                              <a:off x="-5522" y="0"/>
                                              <a:ext cx="43907" cy="14668"/>
                                              <a:chOff x="-5522" y="0"/>
                                              <a:chExt cx="43908" cy="14668"/>
                                            </a:xfrm>
                                          </wpg:grpSpPr>
                                          <wpg:grpSp>
                                            <wpg:cNvPr id="23966" name="Group 21508"/>
                                            <wpg:cNvGrpSpPr>
                                              <a:grpSpLocks/>
                                            </wpg:cNvGrpSpPr>
                                            <wpg:grpSpPr bwMode="auto">
                                              <a:xfrm>
                                                <a:off x="-5522" y="0"/>
                                                <a:ext cx="43907" cy="14668"/>
                                                <a:chOff x="-5522" y="0"/>
                                                <a:chExt cx="43908" cy="14668"/>
                                              </a:xfrm>
                                            </wpg:grpSpPr>
                                            <wpg:grpSp>
                                              <wpg:cNvPr id="23967" name="Group 21509"/>
                                              <wpg:cNvGrpSpPr>
                                                <a:grpSpLocks/>
                                              </wpg:cNvGrpSpPr>
                                              <wpg:grpSpPr bwMode="auto">
                                                <a:xfrm>
                                                  <a:off x="-5522" y="0"/>
                                                  <a:ext cx="43907" cy="9486"/>
                                                  <a:chOff x="-5522" y="0"/>
                                                  <a:chExt cx="43908" cy="9486"/>
                                                </a:xfrm>
                                              </wpg:grpSpPr>
                                              <wpg:grpSp>
                                                <wpg:cNvPr id="23968" name="Group 21510"/>
                                                <wpg:cNvGrpSpPr>
                                                  <a:grpSpLocks/>
                                                </wpg:cNvGrpSpPr>
                                                <wpg:grpSpPr bwMode="auto">
                                                  <a:xfrm>
                                                    <a:off x="-5522" y="2095"/>
                                                    <a:ext cx="43907" cy="7391"/>
                                                    <a:chOff x="-11618" y="-170"/>
                                                    <a:chExt cx="43908" cy="7408"/>
                                                  </a:xfrm>
                                                </wpg:grpSpPr>
                                                <wps:wsp>
                                                  <wps:cNvPr id="23969" name="Rectangle 21511"/>
                                                  <wps:cNvSpPr>
                                                    <a:spLocks noChangeArrowheads="1"/>
                                                  </wps:cNvSpPr>
                                                  <wps:spPr bwMode="auto">
                                                    <a:xfrm flipH="1">
                                                      <a:off x="6953" y="1540"/>
                                                      <a:ext cx="10025" cy="3855"/>
                                                    </a:xfrm>
                                                    <a:prstGeom prst="rect">
                                                      <a:avLst/>
                                                    </a:prstGeom>
                                                    <a:noFill/>
                                                    <a:ln>
                                                      <a:noFill/>
                                                    </a:ln>
                                                  </wps:spPr>
                                                  <wps:txbx>
                                                    <w:txbxContent>
                                                      <w:p w14:paraId="2DA5BD06"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9</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10</w:t>
                                                        </w:r>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txbxContent>
                                                  </wps:txbx>
                                                  <wps:bodyPr rot="0" vert="horz" wrap="square" lIns="0" tIns="0" rIns="0" bIns="0" anchor="ctr" anchorCtr="0" upright="1">
                                                    <a:noAutofit/>
                                                  </wps:bodyPr>
                                                </wps:wsp>
                                                <wpg:grpSp>
                                                  <wpg:cNvPr id="23970" name="Group 21512"/>
                                                  <wpg:cNvGrpSpPr>
                                                    <a:grpSpLocks/>
                                                  </wpg:cNvGrpSpPr>
                                                  <wpg:grpSpPr bwMode="auto">
                                                    <a:xfrm>
                                                      <a:off x="-11618" y="-170"/>
                                                      <a:ext cx="17744" cy="7217"/>
                                                      <a:chOff x="-11618" y="-170"/>
                                                      <a:chExt cx="17744" cy="7217"/>
                                                    </a:xfrm>
                                                  </wpg:grpSpPr>
                                                  <wps:wsp>
                                                    <wps:cNvPr id="23971" name="Oval 21513"/>
                                                    <wps:cNvSpPr>
                                                      <a:spLocks noChangeArrowheads="1"/>
                                                    </wps:cNvSpPr>
                                                    <wps:spPr bwMode="auto">
                                                      <a:xfrm flipH="1">
                                                        <a:off x="-1238" y="-170"/>
                                                        <a:ext cx="7364" cy="721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972" name="Rectangle 21514"/>
                                                    <wps:cNvSpPr>
                                                      <a:spLocks noChangeArrowheads="1"/>
                                                    </wps:cNvSpPr>
                                                    <wps:spPr bwMode="auto">
                                                      <a:xfrm flipH="1">
                                                        <a:off x="-11618" y="2195"/>
                                                        <a:ext cx="8505" cy="3076"/>
                                                      </a:xfrm>
                                                      <a:prstGeom prst="rect">
                                                        <a:avLst/>
                                                      </a:prstGeom>
                                                      <a:noFill/>
                                                      <a:ln>
                                                        <a:noFill/>
                                                      </a:ln>
                                                    </wps:spPr>
                                                    <wps:txbx>
                                                      <w:txbxContent>
                                                        <w:p w14:paraId="2DCCB24B"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18</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12</w:t>
                                                          </w:r>
                                                          <w:r w:rsidRPr="00760658">
                                                            <w:rPr>
                                                              <w:rFonts w:ascii="Calibri" w:hAnsi="Calibri" w:cs="Calibri"/>
                                                              <w:sz w:val="20"/>
                                                              <w:szCs w:val="20"/>
                                                              <w:vertAlign w:val="superscript"/>
                                                              <w:lang w:val="en-US"/>
                                                            </w:rPr>
                                                            <w:t>Δ</w:t>
                                                          </w:r>
                                                          <w:r>
                                                            <w:rPr>
                                                              <w:rFonts w:ascii="Calibri" w:hAnsi="Calibri" w:cs="Calibri"/>
                                                              <w:sz w:val="20"/>
                                                              <w:szCs w:val="20"/>
                                                              <w:lang w:val="en-US"/>
                                                            </w:rPr>
                                                            <w:t>RHT</w:t>
                                                          </w:r>
                                                        </w:p>
                                                        <w:p w14:paraId="20E0C44F"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g:grpSp>
                                                  <wpg:cNvPr id="23973" name="Group 21515"/>
                                                  <wpg:cNvGrpSpPr>
                                                    <a:grpSpLocks/>
                                                  </wpg:cNvGrpSpPr>
                                                  <wpg:grpSpPr bwMode="auto">
                                                    <a:xfrm>
                                                      <a:off x="17049" y="30"/>
                                                      <a:ext cx="15240" cy="7208"/>
                                                      <a:chOff x="17049" y="30"/>
                                                      <a:chExt cx="15239" cy="7207"/>
                                                    </a:xfrm>
                                                  </wpg:grpSpPr>
                                                  <wpg:grpSp>
                                                    <wpg:cNvPr id="23974" name="Group 21516"/>
                                                    <wpg:cNvGrpSpPr>
                                                      <a:grpSpLocks/>
                                                    </wpg:cNvGrpSpPr>
                                                    <wpg:grpSpPr bwMode="auto">
                                                      <a:xfrm>
                                                        <a:off x="17049" y="30"/>
                                                        <a:ext cx="10141" cy="7208"/>
                                                        <a:chOff x="17054" y="30"/>
                                                        <a:chExt cx="10641" cy="8146"/>
                                                      </a:xfrm>
                                                    </wpg:grpSpPr>
                                                    <wps:wsp>
                                                      <wps:cNvPr id="23975" name="Oval 21517"/>
                                                      <wps:cNvSpPr>
                                                        <a:spLocks noChangeArrowheads="1"/>
                                                      </wps:cNvSpPr>
                                                      <wps:spPr bwMode="auto">
                                                        <a:xfrm flipH="1">
                                                          <a:off x="17054" y="30"/>
                                                          <a:ext cx="7727"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976" name="Rectangle 21518"/>
                                                      <wps:cNvSpPr>
                                                        <a:spLocks noChangeArrowheads="1"/>
                                                      </wps:cNvSpPr>
                                                      <wps:spPr bwMode="auto">
                                                        <a:xfrm flipH="1">
                                                          <a:off x="25002" y="3071"/>
                                                          <a:ext cx="2694" cy="2285"/>
                                                        </a:xfrm>
                                                        <a:prstGeom prst="rect">
                                                          <a:avLst/>
                                                        </a:prstGeom>
                                                        <a:noFill/>
                                                        <a:ln>
                                                          <a:noFill/>
                                                        </a:ln>
                                                      </wps:spPr>
                                                      <wps:txbx>
                                                        <w:txbxContent>
                                                          <w:p w14:paraId="18172E73"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g:grpSp>
                                                  <wps:wsp>
                                                    <wps:cNvPr id="23977" name="Rectangle 21519"/>
                                                    <wps:cNvSpPr>
                                                      <a:spLocks noChangeArrowheads="1"/>
                                                    </wps:cNvSpPr>
                                                    <wps:spPr bwMode="auto">
                                                      <a:xfrm flipH="1">
                                                        <a:off x="24860" y="2598"/>
                                                        <a:ext cx="7429" cy="2768"/>
                                                      </a:xfrm>
                                                      <a:prstGeom prst="rect">
                                                        <a:avLst/>
                                                      </a:prstGeom>
                                                      <a:noFill/>
                                                      <a:ln>
                                                        <a:noFill/>
                                                      </a:ln>
                                                    </wps:spPr>
                                                    <wps:txbx>
                                                      <w:txbxContent>
                                                        <w:p w14:paraId="4045F887"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4</w:t>
                                                          </w:r>
                                                          <w:r w:rsidRPr="00760658">
                                                            <w:rPr>
                                                              <w:rFonts w:ascii="Calibri" w:hAnsi="Calibri" w:cs="Calibri"/>
                                                              <w:sz w:val="20"/>
                                                              <w:szCs w:val="20"/>
                                                              <w:vertAlign w:val="superscript"/>
                                                              <w:lang w:val="en-US"/>
                                                            </w:rPr>
                                                            <w:t>Δ</w:t>
                                                          </w:r>
                                                          <w:r>
                                                            <w:rPr>
                                                              <w:rFonts w:ascii="Calibri" w:hAnsi="Calibri" w:cs="Calibri"/>
                                                              <w:sz w:val="20"/>
                                                              <w:szCs w:val="20"/>
                                                              <w:lang w:val="en-US"/>
                                                            </w:rPr>
                                                            <w:t xml:space="preserve"> </w:t>
                                                          </w:r>
                                                          <w:proofErr w:type="gramStart"/>
                                                          <w:r>
                                                            <w:rPr>
                                                              <w:rFonts w:ascii="Calibri" w:hAnsi="Calibri" w:cs="Calibri"/>
                                                              <w:sz w:val="20"/>
                                                              <w:szCs w:val="20"/>
                                                              <w:lang w:val="en-US"/>
                                                            </w:rPr>
                                                            <w:t>E  3</w:t>
                                                          </w:r>
                                                          <w:proofErr w:type="gramEnd"/>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p w14:paraId="575C1B59" w14:textId="77777777" w:rsidR="00CE6626" w:rsidRDefault="00CE6626" w:rsidP="00CE6626">
                                                          <w:pPr>
                                                            <w:spacing w:before="0" w:after="0" w:line="240" w:lineRule="auto"/>
                                                            <w:jc w:val="center"/>
                                                            <w:rPr>
                                                              <w:rFonts w:ascii="Calibri" w:hAnsi="Calibri" w:cs="Calibri"/>
                                                              <w:sz w:val="20"/>
                                                              <w:szCs w:val="20"/>
                                                              <w:lang w:val="en-US"/>
                                                            </w:rPr>
                                                          </w:pPr>
                                                        </w:p>
                                                      </w:txbxContent>
                                                    </wps:txbx>
                                                    <wps:bodyPr rot="0" vert="horz" wrap="square" lIns="0" tIns="0" rIns="0" bIns="0" anchor="ctr" anchorCtr="0" upright="1">
                                                      <a:noAutofit/>
                                                    </wps:bodyPr>
                                                  </wps:wsp>
                                                </wpg:grpSp>
                                              </wpg:grpSp>
                                              <wps:wsp>
                                                <wps:cNvPr id="23978" name="Rectangle 21520"/>
                                                <wps:cNvSpPr>
                                                  <a:spLocks noChangeArrowheads="1"/>
                                                </wps:cNvSpPr>
                                                <wps:spPr bwMode="auto">
                                                  <a:xfrm flipH="1">
                                                    <a:off x="11906" y="0"/>
                                                    <a:ext cx="11258" cy="1619"/>
                                                  </a:xfrm>
                                                  <a:prstGeom prst="rect">
                                                    <a:avLst/>
                                                  </a:prstGeom>
                                                  <a:noFill/>
                                                  <a:ln>
                                                    <a:noFill/>
                                                  </a:ln>
                                                </wps:spPr>
                                                <wps:txbx>
                                                  <w:txbxContent>
                                                    <w:p w14:paraId="1497D9E8"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2</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wps:txbx>
                                                <wps:bodyPr rot="0" vert="horz" wrap="square" lIns="0" tIns="0" rIns="0" bIns="0" anchor="ctr" anchorCtr="0" upright="1">
                                                  <a:noAutofit/>
                                                </wps:bodyPr>
                                              </wps:wsp>
                                            </wpg:grpSp>
                                            <wps:wsp>
                                              <wps:cNvPr id="23979" name="Rectangle 21521"/>
                                              <wps:cNvSpPr>
                                                <a:spLocks noChangeArrowheads="1"/>
                                              </wps:cNvSpPr>
                                              <wps:spPr bwMode="auto">
                                                <a:xfrm flipH="1">
                                                  <a:off x="12953" y="11811"/>
                                                  <a:ext cx="11259" cy="2857"/>
                                                </a:xfrm>
                                                <a:prstGeom prst="rect">
                                                  <a:avLst/>
                                                </a:prstGeom>
                                                <a:noFill/>
                                                <a:ln>
                                                  <a:noFill/>
                                                </a:ln>
                                              </wps:spPr>
                                              <wps:txbx>
                                                <w:txbxContent>
                                                  <w:p w14:paraId="36DF04DD"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8</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6</w:t>
                                                    </w:r>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txbxContent>
                                              </wps:txbx>
                                              <wps:bodyPr rot="0" vert="horz" wrap="square" lIns="0" tIns="0" rIns="0" bIns="0" anchor="ctr" anchorCtr="0" upright="1">
                                                <a:noAutofit/>
                                              </wps:bodyPr>
                                            </wps:wsp>
                                          </wpg:grpSp>
                                          <wps:wsp>
                                            <wps:cNvPr id="23980" name="Rectangle 21522"/>
                                            <wps:cNvSpPr>
                                              <a:spLocks noChangeArrowheads="1"/>
                                            </wps:cNvSpPr>
                                            <wps:spPr bwMode="auto">
                                              <a:xfrm flipH="1">
                                                <a:off x="3429" y="1143"/>
                                                <a:ext cx="2095" cy="1809"/>
                                              </a:xfrm>
                                              <a:prstGeom prst="rect">
                                                <a:avLst/>
                                              </a:prstGeom>
                                              <a:noFill/>
                                              <a:ln>
                                                <a:noFill/>
                                              </a:ln>
                                            </wps:spPr>
                                            <wps:txbx>
                                              <w:txbxContent>
                                                <w:p w14:paraId="00BD662D"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+2</w:t>
                                                  </w:r>
                                                </w:p>
                                                <w:p w14:paraId="7D0589EF"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1" name="Rectangle 21523"/>
                                          <wps:cNvSpPr>
                                            <a:spLocks noChangeArrowheads="1"/>
                                          </wps:cNvSpPr>
                                          <wps:spPr bwMode="auto">
                                            <a:xfrm flipH="1">
                                              <a:off x="10096" y="1047"/>
                                              <a:ext cx="2096" cy="1810"/>
                                            </a:xfrm>
                                            <a:prstGeom prst="rect">
                                              <a:avLst/>
                                            </a:prstGeom>
                                            <a:noFill/>
                                            <a:ln>
                                              <a:noFill/>
                                            </a:ln>
                                          </wps:spPr>
                                          <wps:txbx>
                                            <w:txbxContent>
                                              <w:p w14:paraId="33139365"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+1</w:t>
                                                </w:r>
                                              </w:p>
                                              <w:p w14:paraId="110A6A0D"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2" name="Rectangle 21524"/>
                                        <wps:cNvSpPr>
                                          <a:spLocks noChangeArrowheads="1"/>
                                        </wps:cNvSpPr>
                                        <wps:spPr bwMode="auto">
                                          <a:xfrm flipH="1">
                                            <a:off x="5810" y="8477"/>
                                            <a:ext cx="3715" cy="1810"/>
                                          </a:xfrm>
                                          <a:prstGeom prst="rect">
                                            <a:avLst/>
                                          </a:prstGeom>
                                          <a:noFill/>
                                          <a:ln>
                                            <a:noFill/>
                                          </a:ln>
                                        </wps:spPr>
                                        <wps:txbx>
                                          <w:txbxContent>
                                            <w:p w14:paraId="46DE1725"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 xml:space="preserve">-2 ½ </w:t>
                                              </w:r>
                                            </w:p>
                                            <w:p w14:paraId="512AAEE5"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3" name="Rectangle 21525"/>
                                      <wps:cNvSpPr>
                                        <a:spLocks noChangeArrowheads="1"/>
                                      </wps:cNvSpPr>
                                      <wps:spPr bwMode="auto">
                                        <a:xfrm flipH="1">
                                          <a:off x="13811" y="8572"/>
                                          <a:ext cx="2000" cy="2096"/>
                                        </a:xfrm>
                                        <a:prstGeom prst="rect">
                                          <a:avLst/>
                                        </a:prstGeom>
                                        <a:noFill/>
                                        <a:ln>
                                          <a:noFill/>
                                        </a:ln>
                                      </wps:spPr>
                                      <wps:txbx>
                                        <w:txbxContent>
                                          <w:p w14:paraId="0E42B6C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306A8E0A" w14:textId="77777777" w:rsidR="00CE6626" w:rsidRDefault="00CE6626" w:rsidP="00CE6626">
                                            <w:pPr>
                                              <w:spacing w:before="0"/>
                                              <w:jc w:val="left"/>
                                              <w:rPr>
                                                <w:rFonts w:ascii="Calibri" w:hAnsi="Calibri" w:cs="Calibri"/>
                                                <w:sz w:val="20"/>
                                                <w:szCs w:val="20"/>
                                                <w:lang w:val="en-US"/>
                                              </w:rPr>
                                            </w:pPr>
                                          </w:p>
                                          <w:p w14:paraId="02D7F3BF" w14:textId="77777777" w:rsidR="00CE6626" w:rsidRDefault="00CE6626" w:rsidP="00CE6626">
                                            <w:pPr>
                                              <w:jc w:val="left"/>
                                              <w:rPr>
                                                <w:rFonts w:ascii="Calibri" w:hAnsi="Calibri" w:cs="Calibri"/>
                                                <w:sz w:val="20"/>
                                                <w:szCs w:val="20"/>
                                                <w:lang w:val="en-US"/>
                                              </w:rPr>
                                            </w:pPr>
                                          </w:p>
                                        </w:txbxContent>
                                      </wps:txbx>
                                      <wps:bodyPr rot="0" vert="horz" wrap="square" lIns="0" tIns="0" rIns="0" bIns="0" anchor="ctr" anchorCtr="0" upright="1">
                                        <a:noAutofit/>
                                      </wps:bodyPr>
                                    </wps:wsp>
                                  </wpg:grpSp>
                                  <wps:wsp>
                                    <wps:cNvPr id="23984" name="Rectangle 21526"/>
                                    <wps:cNvSpPr>
                                      <a:spLocks noChangeArrowheads="1"/>
                                    </wps:cNvSpPr>
                                    <wps:spPr bwMode="auto">
                                      <a:xfrm flipH="1">
                                        <a:off x="25717" y="1333"/>
                                        <a:ext cx="2096" cy="1810"/>
                                      </a:xfrm>
                                      <a:prstGeom prst="rect">
                                        <a:avLst/>
                                      </a:prstGeom>
                                      <a:noFill/>
                                      <a:ln>
                                        <a:noFill/>
                                      </a:ln>
                                    </wps:spPr>
                                    <wps:txbx>
                                      <w:txbxContent>
                                        <w:p w14:paraId="13207BA7"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-2</w:t>
                                          </w:r>
                                        </w:p>
                                        <w:p w14:paraId="60346386"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5" name="Rectangle 21527"/>
                                  <wps:cNvSpPr>
                                    <a:spLocks noChangeArrowheads="1"/>
                                  </wps:cNvSpPr>
                                  <wps:spPr bwMode="auto">
                                    <a:xfrm flipH="1">
                                      <a:off x="31337" y="1333"/>
                                      <a:ext cx="2095" cy="1810"/>
                                    </a:xfrm>
                                    <a:prstGeom prst="rect">
                                      <a:avLst/>
                                    </a:prstGeom>
                                    <a:noFill/>
                                    <a:ln>
                                      <a:noFill/>
                                    </a:ln>
                                  </wps:spPr>
                                  <wps:txbx>
                                    <w:txbxContent>
                                      <w:p w14:paraId="6D95661F"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-1</w:t>
                                        </w:r>
                                      </w:p>
                                      <w:p w14:paraId="177BB21E"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6" name="Rectangle 21528"/>
                                <wps:cNvSpPr>
                                  <a:spLocks noChangeArrowheads="1"/>
                                </wps:cNvSpPr>
                                <wps:spPr bwMode="auto">
                                  <a:xfrm flipH="1">
                                    <a:off x="25050" y="9048"/>
                                    <a:ext cx="3525" cy="2001"/>
                                  </a:xfrm>
                                  <a:prstGeom prst="rect">
                                    <a:avLst/>
                                  </a:prstGeom>
                                  <a:noFill/>
                                  <a:ln>
                                    <a:noFill/>
                                  </a:ln>
                                </wps:spPr>
                                <wps:txbx>
                                  <w:txbxContent>
                                    <w:p w14:paraId="114BBE2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+2 ½</w:t>
                                      </w:r>
                                    </w:p>
                                    <w:p w14:paraId="21CA7B2B" w14:textId="77777777" w:rsidR="00CE6626" w:rsidRDefault="00CE6626" w:rsidP="00CE6626">
                                      <w:pPr>
                                        <w:spacing w:before="0"/>
                                        <w:jc w:val="right"/>
                                        <w:rPr>
                                          <w:rFonts w:ascii="Calibri" w:hAnsi="Calibri" w:cs="Calibri"/>
                                          <w:sz w:val="20"/>
                                          <w:szCs w:val="20"/>
                                          <w:lang w:val="en-US"/>
                                        </w:rPr>
                                      </w:pPr>
                                    </w:p>
                                    <w:p w14:paraId="6FE3DF69"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7" name="Rectangle 21529"/>
                              <wps:cNvSpPr>
                                <a:spLocks noChangeArrowheads="1"/>
                              </wps:cNvSpPr>
                              <wps:spPr bwMode="auto">
                                <a:xfrm>
                                  <a:off x="32289" y="8763"/>
                                  <a:ext cx="2070" cy="1905"/>
                                </a:xfrm>
                                <a:prstGeom prst="rect">
                                  <a:avLst/>
                                </a:prstGeom>
                                <a:noFill/>
                                <a:ln>
                                  <a:noFill/>
                                </a:ln>
                              </wps:spPr>
                              <wps:txbx>
                                <w:txbxContent>
                                  <w:p w14:paraId="2A7BFF12"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71F51693" w14:textId="77777777" w:rsidR="00CE6626" w:rsidRDefault="00CE6626" w:rsidP="00CE6626">
                                    <w:pPr>
                                      <w:spacing w:before="0"/>
                                      <w:jc w:val="right"/>
                                      <w:rPr>
                                        <w:rFonts w:ascii="Calibri" w:hAnsi="Calibri" w:cs="Calibri"/>
                                        <w:sz w:val="20"/>
                                        <w:szCs w:val="20"/>
                                        <w:lang w:val="en-US"/>
                                      </w:rPr>
                                    </w:pPr>
                                  </w:p>
                                  <w:p w14:paraId="626FF8B7"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88" name="Rectangle 21530"/>
                            <wps:cNvSpPr>
                              <a:spLocks noChangeArrowheads="1"/>
                            </wps:cNvSpPr>
                            <wps:spPr bwMode="auto">
                              <a:xfrm flipH="1">
                                <a:off x="5238" y="4476"/>
                                <a:ext cx="2001" cy="2096"/>
                              </a:xfrm>
                              <a:prstGeom prst="rect">
                                <a:avLst/>
                              </a:prstGeom>
                              <a:noFill/>
                              <a:ln>
                                <a:noFill/>
                              </a:ln>
                            </wps:spPr>
                            <wps:txbx>
                              <w:txbxContent>
                                <w:p w14:paraId="72451D3F"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607FF6CA" w14:textId="77777777" w:rsidR="00CE6626" w:rsidRDefault="00CE6626" w:rsidP="00CE6626">
                                  <w:pPr>
                                    <w:spacing w:before="0"/>
                                    <w:jc w:val="left"/>
                                    <w:rPr>
                                      <w:rFonts w:ascii="Calibri" w:hAnsi="Calibri" w:cs="Calibri"/>
                                      <w:sz w:val="20"/>
                                      <w:szCs w:val="20"/>
                                      <w:lang w:val="en-US"/>
                                    </w:rPr>
                                  </w:pPr>
                                </w:p>
                                <w:p w14:paraId="282B9BCB" w14:textId="77777777" w:rsidR="00CE6626" w:rsidRDefault="00CE6626" w:rsidP="00CE6626">
                                  <w:pPr>
                                    <w:jc w:val="left"/>
                                    <w:rPr>
                                      <w:rFonts w:ascii="Calibri" w:hAnsi="Calibri" w:cs="Calibri"/>
                                      <w:sz w:val="20"/>
                                      <w:szCs w:val="20"/>
                                      <w:lang w:val="en-US"/>
                                    </w:rPr>
                                  </w:pPr>
                                </w:p>
                              </w:txbxContent>
                            </wps:txbx>
                            <wps:bodyPr rot="0" vert="horz" wrap="square" lIns="0" tIns="0" rIns="0" bIns="0" anchor="ctr" anchorCtr="0" upright="1">
                              <a:noAutofit/>
                            </wps:bodyPr>
                          </wps:wsp>
                        </wpg:grpSp>
                        <wps:wsp>
                          <wps:cNvPr id="23989" name="Rectangle 21531"/>
                          <wps:cNvSpPr>
                            <a:spLocks noChangeArrowheads="1"/>
                          </wps:cNvSpPr>
                          <wps:spPr bwMode="auto">
                            <a:xfrm>
                              <a:off x="-2000" y="0"/>
                              <a:ext cx="46386" cy="16287"/>
                            </a:xfrm>
                            <a:prstGeom prst="rect">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23990" name="Group 21532"/>
                        <wpg:cNvGrpSpPr>
                          <a:grpSpLocks/>
                        </wpg:cNvGrpSpPr>
                        <wpg:grpSpPr bwMode="auto">
                          <a:xfrm>
                            <a:off x="8763" y="4667"/>
                            <a:ext cx="476" cy="3663"/>
                            <a:chOff x="0" y="0"/>
                            <a:chExt cx="104775" cy="366324"/>
                          </a:xfrm>
                        </wpg:grpSpPr>
                        <wps:wsp>
                          <wps:cNvPr id="23991" name="Straight Connector 21533"/>
                          <wps:cNvCnPr>
                            <a:cxnSpLocks noChangeShapeType="1"/>
                          </wps:cNvCnPr>
                          <wps:spPr bwMode="auto">
                            <a:xfrm>
                              <a:off x="95250" y="0"/>
                              <a:ext cx="0" cy="366324"/>
                            </a:xfrm>
                            <a:prstGeom prst="line">
                              <a:avLst/>
                            </a:prstGeom>
                            <a:noFill/>
                            <a:ln w="12700">
                              <a:solidFill>
                                <a:schemeClr val="tx1">
                                  <a:lumMod val="100000"/>
                                  <a:lumOff val="0"/>
                                </a:schemeClr>
                              </a:solidFill>
                              <a:miter lim="800000"/>
                              <a:headEnd/>
                              <a:tailEnd/>
                            </a:ln>
                          </wps:spPr>
                          <wps:bodyPr/>
                        </wps:wsp>
                        <wps:wsp>
                          <wps:cNvPr id="23992" name="Straight Connector 21534"/>
                          <wps:cNvCnPr>
                            <a:cxnSpLocks noChangeShapeType="1"/>
                          </wps:cNvCnPr>
                          <wps:spPr bwMode="auto">
                            <a:xfrm flipH="1">
                              <a:off x="0" y="9525"/>
                              <a:ext cx="95250" cy="36000"/>
                            </a:xfrm>
                            <a:prstGeom prst="line">
                              <a:avLst/>
                            </a:prstGeom>
                            <a:noFill/>
                            <a:ln w="28575">
                              <a:solidFill>
                                <a:schemeClr val="tx1">
                                  <a:lumMod val="100000"/>
                                  <a:lumOff val="0"/>
                                </a:schemeClr>
                              </a:solidFill>
                              <a:miter lim="800000"/>
                              <a:headEnd/>
                              <a:tailEnd/>
                            </a:ln>
                          </wps:spPr>
                          <wps:bodyPr/>
                        </wps:wsp>
                        <wps:wsp>
                          <wps:cNvPr id="23993" name="Straight Connector 21535"/>
                          <wps:cNvCnPr>
                            <a:cxnSpLocks noChangeShapeType="1"/>
                          </wps:cNvCnPr>
                          <wps:spPr bwMode="auto">
                            <a:xfrm flipH="1">
                              <a:off x="9525" y="85725"/>
                              <a:ext cx="95250" cy="85725"/>
                            </a:xfrm>
                            <a:prstGeom prst="line">
                              <a:avLst/>
                            </a:prstGeom>
                            <a:noFill/>
                            <a:ln w="28575">
                              <a:solidFill>
                                <a:schemeClr val="tx1">
                                  <a:lumMod val="100000"/>
                                  <a:lumOff val="0"/>
                                </a:schemeClr>
                              </a:solidFill>
                              <a:miter lim="800000"/>
                              <a:headEnd/>
                              <a:tailEnd/>
                            </a:ln>
                          </wps:spPr>
                          <wps:bodyPr/>
                        </wps:wsp>
                        <wps:wsp>
                          <wps:cNvPr id="23994" name="Straight Connector 21536"/>
                          <wps:cNvCnPr>
                            <a:cxnSpLocks noChangeShapeType="1"/>
                          </wps:cNvCnPr>
                          <wps:spPr bwMode="auto">
                            <a:xfrm flipH="1">
                              <a:off x="9525" y="190500"/>
                              <a:ext cx="95250" cy="85725"/>
                            </a:xfrm>
                            <a:prstGeom prst="line">
                              <a:avLst/>
                            </a:prstGeom>
                            <a:noFill/>
                            <a:ln w="28575">
                              <a:solidFill>
                                <a:schemeClr val="tx1">
                                  <a:lumMod val="100000"/>
                                  <a:lumOff val="0"/>
                                </a:schemeClr>
                              </a:solidFill>
                              <a:miter lim="800000"/>
                              <a:headEnd/>
                              <a:tailEnd/>
                            </a:ln>
                          </wps:spPr>
                          <wps:bodyPr/>
                        </wps:wsp>
                        <wps:wsp>
                          <wps:cNvPr id="23995" name="Straight Connector 21537"/>
                          <wps:cNvCnPr>
                            <a:cxnSpLocks noChangeShapeType="1"/>
                          </wps:cNvCnPr>
                          <wps:spPr bwMode="auto">
                            <a:xfrm flipH="1">
                              <a:off x="9525" y="276225"/>
                              <a:ext cx="95250" cy="36000"/>
                            </a:xfrm>
                            <a:prstGeom prst="line">
                              <a:avLst/>
                            </a:prstGeom>
                            <a:noFill/>
                            <a:ln w="28575">
                              <a:solidFill>
                                <a:schemeClr val="tx1">
                                  <a:lumMod val="100000"/>
                                  <a:lumOff val="0"/>
                                </a:schemeClr>
                              </a:solidFill>
                              <a:miter lim="800000"/>
                              <a:headEnd/>
                              <a:tailEnd/>
                            </a:ln>
                          </wps:spPr>
                          <wps:bodyPr/>
                        </wps:wsp>
                      </wpg:grpSp>
                    </wpg:wgp>
                  </a:graphicData>
                </a:graphic>
                <wp14:sizeRelH relativeFrom="margin">
                  <wp14:pctWidth>0</wp14:pctWidth>
                </wp14:sizeRelH>
                <wp14:sizeRelV relativeFrom="page">
                  <wp14:pctHeight>0</wp14:pctHeight>
                </wp14:sizeRelV>
              </wp:anchor>
            </w:drawing>
          </mc:Choice>
          <mc:Fallback>
            <w:pict>
              <v:group w14:anchorId="3A22D483" id="Group 23955" o:spid="_x0000_s1445" style="position:absolute;left:0;text-align:left;margin-left:.75pt;margin-top:6.75pt;width:372pt;height:128.25pt;z-index:251696128;mso-position-horizontal-relative:text;mso-position-vertical-relative:text;mso-width-relative:margin" coordorigin="-2000" coordsize="46386,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">
                <v:group id="Group 21498" o:spid="_x0000_s1446" style="position:absolute;left:-2000;width:46386;height:16287" coordorigin="-2000" coordsize="46386,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">
                  <v:group id="Group 21499" o:spid="_x0000_s1447" style="position:absolute;left:-1808;top:762;width:43908;height:14668" coordorigin="-2665"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">
                    <v:group id="Group 21500" o:spid="_x0000_s1448" style="position:absolute;left:-2665;width:43908;height:14668" coordorigin="-2093"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">
                      <v:group id="Group 21501" o:spid="_x0000_s1449" style="position:absolute;left:-2093;width:43907;height:14668" coordorigin="-2093"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">
                        <v:group id="Group 21502" o:spid="_x0000_s1450" style="position:absolute;left:-2093;width:43907;height:14668" coordorigin="-2093"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">
                          <v:group id="Group 21503" o:spid="_x0000_s1451" style="position:absolute;left:-2093;width:43907;height:14668" coordorigin="-2093"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">
                            <v:group id="Group 21504" o:spid="_x0000_s1452" style="position:absolute;left:-2093;width:43907;height:14668" coordorigin="-2093"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">
                              <v:group id="Group 21505" o:spid="_x0000_s1453" style="position:absolute;left:-2093;width:43907;height:14668" coordorigin="-2093"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">
                                <v:group id="Group 21506" o:spid="_x0000_s1454" style="position:absolute;left:-2093;width:43907;height:14668" coordorigin="-5522"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">
                                  <v:group id="Group 21507" o:spid="_x0000_s1455" style="position:absolute;left:-5522;width:43907;height:14668" coordorigin="-5522"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">
                                    <v:group id="Group 21508" o:spid="_x0000_s1456" style="position:absolute;left:-5522;width:43907;height:14668" coordorigin="-5522" coordsize="43908,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">
                                      <v:group id="Group 21509" o:spid="_x0000_s1457" style="position:absolute;left:-5522;width:43907;height:9486" coordorigin="-5522" coordsize="43908,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">
                                        <v:group id="Group 21510" o:spid="_x0000_s1458" style="position:absolute;left:-5522;top:2095;width:43907;height:7391" coordorigin="-11618,-170" coordsize="43908,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">
                                          <v:rect id="Rectangle 21511" o:spid="_x0000_s1459" style="position:absolute;left:6953;top:1540;width:10025;height:385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" filled="f" stroked="f">
                                            <v:textbox inset="0,0,0,0">
                                              <w:txbxContent>
                                                <w:p w14:paraId="2DA5BD06"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9</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10</w:t>
                                                  </w:r>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txbxContent>
                                            </v:textbox>
                                          </v:rect>
                                          <v:group id="Group 21512" o:spid="_x0000_s1460" style="position:absolute;left:-11618;top:-170;width:17744;height:7217" coordorigin="-11618,-170" coordsize="17744,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">
                                            <v:oval id="Oval 21513" o:spid="_x0000_s1461" style="position:absolute;left:-1238;top:-170;width:7364;height:72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" filled="f" strokeweight="1pt">
                                              <v:stroke joinstyle="miter"/>
                                            </v:oval>
                                            <v:rect id="Rectangle 21514" o:spid="_x0000_s1462" style="position:absolute;left:-11618;top:2195;width:8505;height:307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" filled="f" stroked="f">
                                              <v:textbox inset="0,0,0,0">
                                                <w:txbxContent>
                                                  <w:p w14:paraId="2DCCB24B"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18</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12</w:t>
                                                    </w:r>
                                                    <w:r w:rsidRPr="00760658">
                                                      <w:rPr>
                                                        <w:rFonts w:ascii="Calibri" w:hAnsi="Calibri" w:cs="Calibri"/>
                                                        <w:sz w:val="20"/>
                                                        <w:szCs w:val="20"/>
                                                        <w:vertAlign w:val="superscript"/>
                                                        <w:lang w:val="en-US"/>
                                                      </w:rPr>
                                                      <w:t>Δ</w:t>
                                                    </w:r>
                                                    <w:r>
                                                      <w:rPr>
                                                        <w:rFonts w:ascii="Calibri" w:hAnsi="Calibri" w:cs="Calibri"/>
                                                        <w:sz w:val="20"/>
                                                        <w:szCs w:val="20"/>
                                                        <w:lang w:val="en-US"/>
                                                      </w:rPr>
                                                      <w:t>RHT</w:t>
                                                    </w:r>
                                                  </w:p>
                                                  <w:p w14:paraId="20E0C44F" w14:textId="77777777" w:rsidR="00CE6626" w:rsidRDefault="00CE6626" w:rsidP="00CE6626">
                                                    <w:pPr>
                                                      <w:jc w:val="right"/>
                                                      <w:rPr>
                                                        <w:rFonts w:ascii="Calibri" w:hAnsi="Calibri" w:cs="Calibri"/>
                                                        <w:sz w:val="20"/>
                                                        <w:szCs w:val="20"/>
                                                        <w:lang w:val="en-US"/>
                                                      </w:rPr>
                                                    </w:pPr>
                                                  </w:p>
                                                </w:txbxContent>
                                              </v:textbox>
                                            </v:rect>
                                          </v:group>
                                          <v:group id="Group 21515" o:spid="_x0000_s1463" style="position:absolute;left:17049;top:30;width:15240;height:7208" coordorigin="17049,30" coordsize="15239,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">
                                            <v:group id="Group 21516" o:spid="_x0000_s1464" style="position:absolute;left:17049;top:30;width:10141;height:7208" coordorigin="17054,30" coordsize="10641,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">
                                              <v:oval id="Oval 21517" o:spid="_x0000_s1465" style="position:absolute;left:17054;top:30;width:7727;height:814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" filled="f" strokeweight="1pt">
                                                <v:stroke joinstyle="miter"/>
                                              </v:oval>
                                              <v:rect id="Rectangle 21518" o:spid="_x0000_s1466" style="position:absolute;left:25002;top:3071;width:2694;height:22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" filled="f" stroked="f">
                                                <v:textbox inset="0,0,0,0">
                                                  <w:txbxContent>
                                                    <w:p w14:paraId="18172E73"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v:textbox>
                                              </v:rect>
                                            </v:group>
                                            <v:rect id="Rectangle 21519" o:spid="_x0000_s1467" style="position:absolute;left:24860;top:2598;width:7429;height:276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" filled="f" stroked="f">
                                              <v:textbox inset="0,0,0,0">
                                                <w:txbxContent>
                                                  <w:p w14:paraId="4045F887"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4</w:t>
                                                    </w:r>
                                                    <w:r w:rsidRPr="00760658">
                                                      <w:rPr>
                                                        <w:rFonts w:ascii="Calibri" w:hAnsi="Calibri" w:cs="Calibri"/>
                                                        <w:sz w:val="20"/>
                                                        <w:szCs w:val="20"/>
                                                        <w:vertAlign w:val="superscript"/>
                                                        <w:lang w:val="en-US"/>
                                                      </w:rPr>
                                                      <w:t>Δ</w:t>
                                                    </w:r>
                                                    <w:r>
                                                      <w:rPr>
                                                        <w:rFonts w:ascii="Calibri" w:hAnsi="Calibri" w:cs="Calibri"/>
                                                        <w:sz w:val="20"/>
                                                        <w:szCs w:val="20"/>
                                                        <w:lang w:val="en-US"/>
                                                      </w:rPr>
                                                      <w:t xml:space="preserve"> </w:t>
                                                    </w:r>
                                                    <w:proofErr w:type="gramStart"/>
                                                    <w:r>
                                                      <w:rPr>
                                                        <w:rFonts w:ascii="Calibri" w:hAnsi="Calibri" w:cs="Calibri"/>
                                                        <w:sz w:val="20"/>
                                                        <w:szCs w:val="20"/>
                                                        <w:lang w:val="en-US"/>
                                                      </w:rPr>
                                                      <w:t>E  3</w:t>
                                                    </w:r>
                                                    <w:proofErr w:type="gramEnd"/>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p w14:paraId="575C1B59" w14:textId="77777777" w:rsidR="00CE6626" w:rsidRDefault="00CE6626" w:rsidP="00CE6626">
                                                    <w:pPr>
                                                      <w:spacing w:before="0" w:after="0" w:line="240" w:lineRule="auto"/>
                                                      <w:jc w:val="center"/>
                                                      <w:rPr>
                                                        <w:rFonts w:ascii="Calibri" w:hAnsi="Calibri" w:cs="Calibri"/>
                                                        <w:sz w:val="20"/>
                                                        <w:szCs w:val="20"/>
                                                        <w:lang w:val="en-US"/>
                                                      </w:rPr>
                                                    </w:pPr>
                                                  </w:p>
                                                </w:txbxContent>
                                              </v:textbox>
                                            </v:rect>
                                          </v:group>
                                        </v:group>
                                        <v:rect id="Rectangle 21520" o:spid="_x0000_s1468" style="position:absolute;left:11906;width:11258;height:1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" filled="f" stroked="f">
                                          <v:textbox inset="0,0,0,0">
                                            <w:txbxContent>
                                              <w:p w14:paraId="1497D9E8"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2</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v:textbox>
                                        </v:rect>
                                      </v:group>
                                      <v:rect id="Rectangle 21521" o:spid="_x0000_s1469" style="position:absolute;left:12953;top:11811;width:11259;height:28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" filled="f" stroked="f">
                                        <v:textbox inset="0,0,0,0">
                                          <w:txbxContent>
                                            <w:p w14:paraId="36DF04DD"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8</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6</w:t>
                                              </w:r>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txbxContent>
                                        </v:textbox>
                                      </v:rect>
                                    </v:group>
                                    <v:rect id="Rectangle 21522" o:spid="_x0000_s1470" style="position:absolute;left:3429;top:1143;width:2095;height:18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" filled="f" stroked="f">
                                      <v:textbox inset="0,0,0,0">
                                        <w:txbxContent>
                                          <w:p w14:paraId="00BD662D"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+2</w:t>
                                            </w:r>
                                          </w:p>
                                          <w:p w14:paraId="7D0589EF" w14:textId="77777777" w:rsidR="00CE6626" w:rsidRDefault="00CE6626" w:rsidP="00CE6626">
                                            <w:pPr>
                                              <w:jc w:val="right"/>
                                              <w:rPr>
                                                <w:rFonts w:ascii="Calibri" w:hAnsi="Calibri" w:cs="Calibri"/>
                                                <w:sz w:val="20"/>
                                                <w:szCs w:val="20"/>
                                                <w:lang w:val="en-US"/>
                                              </w:rPr>
                                            </w:pPr>
                                          </w:p>
                                        </w:txbxContent>
                                      </v:textbox>
                                    </v:rect>
                                  </v:group>
                                  <v:rect id="Rectangle 21523" o:spid="_x0000_s1471" style="position:absolute;left:10096;top:1047;width:2096;height:18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" filled="f" stroked="f">
                                    <v:textbox inset="0,0,0,0">
                                      <w:txbxContent>
                                        <w:p w14:paraId="33139365"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+1</w:t>
                                          </w:r>
                                        </w:p>
                                        <w:p w14:paraId="110A6A0D" w14:textId="77777777" w:rsidR="00CE6626" w:rsidRDefault="00CE6626" w:rsidP="00CE6626">
                                          <w:pPr>
                                            <w:jc w:val="right"/>
                                            <w:rPr>
                                              <w:rFonts w:ascii="Calibri" w:hAnsi="Calibri" w:cs="Calibri"/>
                                              <w:sz w:val="20"/>
                                              <w:szCs w:val="20"/>
                                              <w:lang w:val="en-US"/>
                                            </w:rPr>
                                          </w:pPr>
                                        </w:p>
                                      </w:txbxContent>
                                    </v:textbox>
                                  </v:rect>
                                </v:group>
                                <v:rect id="Rectangle 21524" o:spid="_x0000_s1472" style="position:absolute;left:5810;top:8477;width:3715;height:18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" filled="f" stroked="f">
                                  <v:textbox inset="0,0,0,0">
                                    <w:txbxContent>
                                      <w:p w14:paraId="46DE1725"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 xml:space="preserve">-2 ½ </w:t>
                                        </w:r>
                                      </w:p>
                                      <w:p w14:paraId="512AAEE5" w14:textId="77777777" w:rsidR="00CE6626" w:rsidRDefault="00CE6626" w:rsidP="00CE6626">
                                        <w:pPr>
                                          <w:jc w:val="right"/>
                                          <w:rPr>
                                            <w:rFonts w:ascii="Calibri" w:hAnsi="Calibri" w:cs="Calibri"/>
                                            <w:sz w:val="20"/>
                                            <w:szCs w:val="20"/>
                                            <w:lang w:val="en-US"/>
                                          </w:rPr>
                                        </w:pPr>
                                      </w:p>
                                    </w:txbxContent>
                                  </v:textbox>
                                </v:rect>
                              </v:group>
                              <v:rect id="Rectangle 21525" o:spid="_x0000_s1473" style="position:absolute;left:13811;top:8572;width:2000;height:2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" filled="f" stroked="f">
                                <v:textbox inset="0,0,0,0">
                                  <w:txbxContent>
                                    <w:p w14:paraId="0E42B6C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306A8E0A" w14:textId="77777777" w:rsidR="00CE6626" w:rsidRDefault="00CE6626" w:rsidP="00CE6626">
                                      <w:pPr>
                                        <w:spacing w:before="0"/>
                                        <w:jc w:val="left"/>
                                        <w:rPr>
                                          <w:rFonts w:ascii="Calibri" w:hAnsi="Calibri" w:cs="Calibri"/>
                                          <w:sz w:val="20"/>
                                          <w:szCs w:val="20"/>
                                          <w:lang w:val="en-US"/>
                                        </w:rPr>
                                      </w:pPr>
                                    </w:p>
                                    <w:p w14:paraId="02D7F3BF" w14:textId="77777777" w:rsidR="00CE6626" w:rsidRDefault="00CE6626" w:rsidP="00CE6626">
                                      <w:pPr>
                                        <w:jc w:val="left"/>
                                        <w:rPr>
                                          <w:rFonts w:ascii="Calibri" w:hAnsi="Calibri" w:cs="Calibri"/>
                                          <w:sz w:val="20"/>
                                          <w:szCs w:val="20"/>
                                          <w:lang w:val="en-US"/>
                                        </w:rPr>
                                      </w:pPr>
                                    </w:p>
                                  </w:txbxContent>
                                </v:textbox>
                              </v:rect>
                            </v:group>
                            <v:rect id="Rectangle 21526" o:spid="_x0000_s1474" style="position:absolute;left:25717;top:1333;width:2096;height:18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" filled="f" stroked="f">
                              <v:textbox inset="0,0,0,0">
                                <w:txbxContent>
                                  <w:p w14:paraId="13207BA7"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-2</w:t>
                                    </w:r>
                                  </w:p>
                                  <w:p w14:paraId="60346386" w14:textId="77777777" w:rsidR="00CE6626" w:rsidRDefault="00CE6626" w:rsidP="00CE6626">
                                    <w:pPr>
                                      <w:jc w:val="right"/>
                                      <w:rPr>
                                        <w:rFonts w:ascii="Calibri" w:hAnsi="Calibri" w:cs="Calibri"/>
                                        <w:sz w:val="20"/>
                                        <w:szCs w:val="20"/>
                                        <w:lang w:val="en-US"/>
                                      </w:rPr>
                                    </w:pPr>
                                  </w:p>
                                </w:txbxContent>
                              </v:textbox>
                            </v:rect>
                          </v:group>
                          <v:rect id="Rectangle 21527" o:spid="_x0000_s1475" style="position:absolute;left:31337;top:1333;width:2095;height:18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" filled="f" stroked="f">
                            <v:textbox inset="0,0,0,0">
                              <w:txbxContent>
                                <w:p w14:paraId="6D95661F"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-1</w:t>
                                  </w:r>
                                </w:p>
                                <w:p w14:paraId="177BB21E" w14:textId="77777777" w:rsidR="00CE6626" w:rsidRDefault="00CE6626" w:rsidP="00CE6626">
                                  <w:pPr>
                                    <w:jc w:val="right"/>
                                    <w:rPr>
                                      <w:rFonts w:ascii="Calibri" w:hAnsi="Calibri" w:cs="Calibri"/>
                                      <w:sz w:val="20"/>
                                      <w:szCs w:val="20"/>
                                      <w:lang w:val="en-US"/>
                                    </w:rPr>
                                  </w:pPr>
                                </w:p>
                              </w:txbxContent>
                            </v:textbox>
                          </v:rect>
                        </v:group>
                        <v:rect id="Rectangle 21528" o:spid="_x0000_s1476" style="position:absolute;left:25050;top:9048;width:3525;height:20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" filled="f" stroked="f">
                          <v:textbox inset="0,0,0,0">
                            <w:txbxContent>
                              <w:p w14:paraId="114BBE2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+2 ½</w:t>
                                </w:r>
                              </w:p>
                              <w:p w14:paraId="21CA7B2B" w14:textId="77777777" w:rsidR="00CE6626" w:rsidRDefault="00CE6626" w:rsidP="00CE6626">
                                <w:pPr>
                                  <w:spacing w:before="0"/>
                                  <w:jc w:val="right"/>
                                  <w:rPr>
                                    <w:rFonts w:ascii="Calibri" w:hAnsi="Calibri" w:cs="Calibri"/>
                                    <w:sz w:val="20"/>
                                    <w:szCs w:val="20"/>
                                    <w:lang w:val="en-US"/>
                                  </w:rPr>
                                </w:pPr>
                              </w:p>
                              <w:p w14:paraId="6FE3DF69" w14:textId="77777777" w:rsidR="00CE6626" w:rsidRDefault="00CE6626" w:rsidP="00CE6626">
                                <w:pPr>
                                  <w:jc w:val="right"/>
                                  <w:rPr>
                                    <w:rFonts w:ascii="Calibri" w:hAnsi="Calibri" w:cs="Calibri"/>
                                    <w:sz w:val="20"/>
                                    <w:szCs w:val="20"/>
                                    <w:lang w:val="en-US"/>
                                  </w:rPr>
                                </w:pPr>
                              </w:p>
                            </w:txbxContent>
                          </v:textbox>
                        </v:rect>
                      </v:group>
                      <v:rect id="Rectangle 21529" o:spid="_x0000_s1477" style="position:absolute;left:32289;top:8763;width:207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" filled="f" stroked="f">
                        <v:textbox inset="0,0,0,0">
                          <w:txbxContent>
                            <w:p w14:paraId="2A7BFF12"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71F51693" w14:textId="77777777" w:rsidR="00CE6626" w:rsidRDefault="00CE6626" w:rsidP="00CE6626">
                              <w:pPr>
                                <w:spacing w:before="0"/>
                                <w:jc w:val="right"/>
                                <w:rPr>
                                  <w:rFonts w:ascii="Calibri" w:hAnsi="Calibri" w:cs="Calibri"/>
                                  <w:sz w:val="20"/>
                                  <w:szCs w:val="20"/>
                                  <w:lang w:val="en-US"/>
                                </w:rPr>
                              </w:pPr>
                            </w:p>
                            <w:p w14:paraId="626FF8B7" w14:textId="77777777" w:rsidR="00CE6626" w:rsidRDefault="00CE6626" w:rsidP="00CE6626">
                              <w:pPr>
                                <w:jc w:val="right"/>
                                <w:rPr>
                                  <w:rFonts w:ascii="Calibri" w:hAnsi="Calibri" w:cs="Calibri"/>
                                  <w:sz w:val="20"/>
                                  <w:szCs w:val="20"/>
                                  <w:lang w:val="en-US"/>
                                </w:rPr>
                              </w:pPr>
                            </w:p>
                          </w:txbxContent>
                        </v:textbox>
                      </v:rect>
                    </v:group>
                    <v:rect id="Rectangle 21530" o:spid="_x0000_s1478" style="position:absolute;left:5238;top:4476;width:2001;height:2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" filled="f" stroked="f">
                      <v:textbox inset="0,0,0,0">
                        <w:txbxContent>
                          <w:p w14:paraId="72451D3F"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607FF6CA" w14:textId="77777777" w:rsidR="00CE6626" w:rsidRDefault="00CE6626" w:rsidP="00CE6626">
                            <w:pPr>
                              <w:spacing w:before="0"/>
                              <w:jc w:val="left"/>
                              <w:rPr>
                                <w:rFonts w:ascii="Calibri" w:hAnsi="Calibri" w:cs="Calibri"/>
                                <w:sz w:val="20"/>
                                <w:szCs w:val="20"/>
                                <w:lang w:val="en-US"/>
                              </w:rPr>
                            </w:pPr>
                          </w:p>
                          <w:p w14:paraId="282B9BCB" w14:textId="77777777" w:rsidR="00CE6626" w:rsidRDefault="00CE6626" w:rsidP="00CE6626">
                            <w:pPr>
                              <w:jc w:val="left"/>
                              <w:rPr>
                                <w:rFonts w:ascii="Calibri" w:hAnsi="Calibri" w:cs="Calibri"/>
                                <w:sz w:val="20"/>
                                <w:szCs w:val="20"/>
                                <w:lang w:val="en-US"/>
                              </w:rPr>
                            </w:pPr>
                          </w:p>
                        </w:txbxContent>
                      </v:textbox>
                    </v:rect>
                  </v:group>
                  <v:rect id="Rectangle 21531" o:spid="_x0000_s1479" style="position:absolute;left:-2000;width:46386;height:1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" filled="f" strokecolor="black [3213]" strokeweight="1pt"/>
                </v:group>
                <v:group id="Group 21532" o:spid="_x0000_s1480" style="position:absolute;left:8763;top:4667;width:476;height:3663" coordsize="104775,36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">
                  <v:line id="Straight Connector 21533" o:spid="_x0000_s1481" style="position:absolute;visibility:visible;mso-wrap-style:square" from="95250,0" to="95250,366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" strokecolor="black [3213]" strokeweight="1pt">
                    <v:stroke joinstyle="miter"/>
                  </v:line>
                  <v:line id="Straight Connector 21534" o:spid="_x0000_s1482" style="position:absolute;flip:x;visibility:visible;mso-wrap-style:square" from="0,9525" to="95250,4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" strokecolor="black [3213]" strokeweight="2.25pt">
                    <v:stroke joinstyle="miter"/>
                  </v:line>
                  <v:line id="Straight Connector 21535" o:spid="_x0000_s1483" style="position:absolute;flip:x;visibility:visible;mso-wrap-style:square" from="9525,85725" to="104775,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" strokecolor="black [3213]" strokeweight="2.25pt">
                    <v:stroke joinstyle="miter"/>
                  </v:line>
                  <v:line id="Straight Connector 21536" o:spid="_x0000_s1484" style="position:absolute;flip:x;visibility:visible;mso-wrap-style:square" from="9525,190500" to="104775,27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" strokecolor="black [3213]" strokeweight="2.25pt">
                    <v:stroke joinstyle="miter"/>
                  </v:line>
                  <v:line id="Straight Connector 21537" o:spid="_x0000_s1485" style="position:absolute;flip:x;visibility:visible;mso-wrap-style:square" from="9525,276225" to="104775,312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" strokecolor="black [3213]" strokeweight="2.25pt">
                    <v:stroke joinstyle="miter"/>
                  </v:line>
                </v:group>
              </v:group>
            </w:pict>
          </mc:Fallback>
        </mc:AlternateContent>
      </w:r>
      <w:r w:rsidR="00CE6626" w:rsidRPr="009D4627">
        <w:rPr>
          <w:rFonts w:eastAsia="Calibri"/>
          <w:bCs/>
          <w:szCs w:val="22"/>
          <w:lang w:val="en-MY"/>
        </w:rPr>
        <w:tab/>
      </w:r>
    </w:p>
    <w:p w14:paraId="24CBA3A1" w14:textId="77777777" w:rsidR="00CE6626" w:rsidRPr="009D4627" w:rsidRDefault="00CE6626" w:rsidP="00CE6626">
      <w:pPr>
        <w:spacing w:before="0" w:after="0" w:line="240" w:lineRule="auto"/>
        <w:ind w:firstLine="720"/>
        <w:jc w:val="left"/>
        <w:rPr>
          <w:rFonts w:eastAsia="Calibri"/>
          <w:bCs/>
          <w:szCs w:val="22"/>
          <w:lang w:val="en-MY"/>
        </w:rPr>
      </w:pPr>
    </w:p>
    <w:p w14:paraId="33512BC9"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Cs/>
          <w:szCs w:val="22"/>
          <w:lang w:val="en-MY"/>
        </w:rPr>
        <w:t xml:space="preserve">                        </w:t>
      </w:r>
    </w:p>
    <w:p w14:paraId="4C097EC2" w14:textId="77777777" w:rsidR="00CE6626" w:rsidRPr="009D4627" w:rsidRDefault="00CE6626" w:rsidP="00CE6626">
      <w:pPr>
        <w:spacing w:before="0" w:after="0" w:line="240" w:lineRule="auto"/>
        <w:rPr>
          <w:rFonts w:eastAsia="Calibri"/>
          <w:bCs/>
          <w:szCs w:val="22"/>
          <w:lang w:val="en-MY"/>
        </w:rPr>
      </w:pPr>
    </w:p>
    <w:p w14:paraId="2350AFEC" w14:textId="77777777" w:rsidR="00CE6626" w:rsidRPr="009D4627" w:rsidRDefault="00CE6626" w:rsidP="00CE6626">
      <w:pPr>
        <w:spacing w:before="0" w:after="0" w:line="240" w:lineRule="auto"/>
        <w:rPr>
          <w:rFonts w:eastAsia="Calibri"/>
          <w:b/>
          <w:szCs w:val="22"/>
          <w:lang w:val="en-MY"/>
        </w:rPr>
      </w:pPr>
    </w:p>
    <w:p w14:paraId="6979A33C" w14:textId="77777777" w:rsidR="00CE6626" w:rsidRPr="009D4627" w:rsidRDefault="00CE6626" w:rsidP="00CE6626">
      <w:pPr>
        <w:spacing w:before="0" w:after="0" w:line="240" w:lineRule="auto"/>
        <w:rPr>
          <w:rFonts w:eastAsia="Calibri"/>
          <w:b/>
          <w:szCs w:val="22"/>
          <w:lang w:val="en-MY"/>
        </w:rPr>
      </w:pPr>
    </w:p>
    <w:p w14:paraId="7A781EF8" w14:textId="77777777" w:rsidR="00CE6626" w:rsidRPr="009D4627" w:rsidRDefault="00CE6626" w:rsidP="00CE6626">
      <w:pPr>
        <w:spacing w:before="0" w:after="0" w:line="240" w:lineRule="auto"/>
        <w:rPr>
          <w:rFonts w:eastAsia="Calibri"/>
          <w:b/>
          <w:szCs w:val="22"/>
          <w:lang w:val="en-MY"/>
        </w:rPr>
      </w:pPr>
    </w:p>
    <w:p w14:paraId="6D48F8B1" w14:textId="77777777" w:rsidR="00CE6626" w:rsidRPr="009D4627" w:rsidRDefault="00CE6626" w:rsidP="00CE6626">
      <w:pPr>
        <w:spacing w:before="0" w:after="0" w:line="240" w:lineRule="auto"/>
        <w:rPr>
          <w:rFonts w:eastAsia="Calibri"/>
          <w:b/>
          <w:szCs w:val="22"/>
          <w:lang w:val="en-MY"/>
        </w:rPr>
      </w:pPr>
    </w:p>
    <w:p w14:paraId="23798E05" w14:textId="77777777" w:rsidR="00CE6626" w:rsidRPr="009D4627" w:rsidRDefault="00CE6626" w:rsidP="00CE6626">
      <w:pPr>
        <w:spacing w:before="0" w:after="0" w:line="240" w:lineRule="auto"/>
        <w:rPr>
          <w:rFonts w:eastAsia="Calibri"/>
          <w:b/>
          <w:szCs w:val="22"/>
          <w:lang w:val="en-MY"/>
        </w:rPr>
      </w:pPr>
    </w:p>
    <w:p w14:paraId="094A2911" w14:textId="77777777" w:rsidR="00CE6626" w:rsidRPr="009D4627" w:rsidRDefault="00CE6626" w:rsidP="00CE6626">
      <w:pPr>
        <w:spacing w:before="0" w:after="0" w:line="240" w:lineRule="auto"/>
        <w:rPr>
          <w:rFonts w:eastAsia="Calibri"/>
          <w:b/>
          <w:szCs w:val="22"/>
          <w:lang w:val="en-MY"/>
        </w:rPr>
      </w:pPr>
    </w:p>
    <w:p w14:paraId="7D161D15"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PCT: </w:t>
      </w:r>
      <w:r w:rsidRPr="009D4627">
        <w:rPr>
          <w:rFonts w:eastAsia="Calibri"/>
          <w:b/>
          <w:szCs w:val="22"/>
          <w:lang w:val="en-MY"/>
        </w:rPr>
        <w:tab/>
      </w:r>
      <w:r w:rsidRPr="009D4627">
        <w:rPr>
          <w:rFonts w:eastAsia="Calibri"/>
          <w:bCs/>
          <w:szCs w:val="22"/>
          <w:lang w:val="en-MY"/>
        </w:rPr>
        <w:t>with readers</w:t>
      </w:r>
      <w:r w:rsidRPr="009D4627">
        <w:rPr>
          <w:rFonts w:eastAsia="Calibri"/>
          <w:b/>
          <w:szCs w:val="22"/>
          <w:lang w:val="en-MY"/>
        </w:rPr>
        <w:t xml:space="preserve"> </w:t>
      </w:r>
      <w:r w:rsidRPr="009D4627">
        <w:rPr>
          <w:rFonts w:eastAsia="Calibri"/>
          <w:bCs/>
          <w:szCs w:val="22"/>
          <w:lang w:val="en-MY"/>
        </w:rPr>
        <w:t>1/3 m 9</w:t>
      </w:r>
      <w:r w:rsidRPr="009D4627">
        <w:rPr>
          <w:vertAlign w:val="superscript"/>
          <w:lang w:val="en-US"/>
        </w:rPr>
        <w:t xml:space="preserve">Δ </w:t>
      </w:r>
      <w:r w:rsidRPr="009D4627">
        <w:rPr>
          <w:lang w:val="en-US"/>
        </w:rPr>
        <w:t>BO 12</w:t>
      </w:r>
      <w:r w:rsidRPr="009D4627">
        <w:rPr>
          <w:vertAlign w:val="superscript"/>
          <w:lang w:val="en-US"/>
        </w:rPr>
        <w:t>Δ</w:t>
      </w:r>
      <w:r w:rsidRPr="009D4627">
        <w:rPr>
          <w:lang w:val="en-US"/>
        </w:rPr>
        <w:t xml:space="preserve"> BD RE</w:t>
      </w:r>
    </w:p>
    <w:p w14:paraId="54669967" w14:textId="77777777" w:rsidR="00CE6626" w:rsidRPr="009D4627" w:rsidRDefault="00CE6626" w:rsidP="00CE6626">
      <w:pPr>
        <w:spacing w:before="0" w:after="0" w:line="240" w:lineRule="auto"/>
        <w:rPr>
          <w:rFonts w:eastAsia="Calibri"/>
          <w:b/>
          <w:szCs w:val="22"/>
          <w:lang w:val="en-MY"/>
        </w:rPr>
      </w:pPr>
    </w:p>
    <w:p w14:paraId="7F17D81C"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Worth lights:</w:t>
      </w:r>
      <w:r w:rsidRPr="009D4627">
        <w:rPr>
          <w:rFonts w:eastAsia="Calibri"/>
          <w:szCs w:val="22"/>
          <w:lang w:val="en-MY"/>
        </w:rPr>
        <w:t xml:space="preserve"> </w:t>
      </w:r>
      <w:r w:rsidRPr="009D4627">
        <w:rPr>
          <w:rFonts w:eastAsia="Calibri"/>
          <w:szCs w:val="22"/>
          <w:lang w:val="en-MY"/>
        </w:rPr>
        <w:tab/>
      </w:r>
      <w:r w:rsidRPr="009D4627">
        <w:rPr>
          <w:rFonts w:eastAsia="Calibri"/>
          <w:szCs w:val="22"/>
          <w:lang w:val="en-MY"/>
        </w:rPr>
        <w:tab/>
        <w:t>1/3 m &amp; 6 m</w:t>
      </w:r>
      <w:r w:rsidRPr="009D4627">
        <w:rPr>
          <w:rFonts w:eastAsia="Calibri"/>
          <w:szCs w:val="22"/>
          <w:lang w:val="en-MY"/>
        </w:rPr>
        <w:tab/>
        <w:t>diplopia</w:t>
      </w:r>
    </w:p>
    <w:p w14:paraId="50CAA641" w14:textId="77777777" w:rsidR="00CE6626" w:rsidRPr="009D4627" w:rsidRDefault="00CE6626" w:rsidP="00CE6626">
      <w:pPr>
        <w:spacing w:before="0" w:after="0" w:line="240" w:lineRule="auto"/>
        <w:rPr>
          <w:rFonts w:eastAsia="Calibri"/>
          <w:b/>
          <w:szCs w:val="22"/>
          <w:lang w:val="en-MY"/>
        </w:rPr>
      </w:pPr>
      <w:r w:rsidRPr="009D4627">
        <w:rPr>
          <w:rFonts w:eastAsia="Calibri"/>
          <w:szCs w:val="22"/>
          <w:lang w:val="en-MY"/>
        </w:rPr>
        <w:tab/>
      </w:r>
      <w:r w:rsidRPr="009D4627">
        <w:rPr>
          <w:rFonts w:eastAsia="Calibri"/>
          <w:szCs w:val="22"/>
          <w:lang w:val="en-MY"/>
        </w:rPr>
        <w:tab/>
      </w:r>
      <w:r w:rsidRPr="009D4627">
        <w:rPr>
          <w:rFonts w:eastAsia="Calibri"/>
          <w:szCs w:val="22"/>
          <w:lang w:val="en-MY"/>
        </w:rPr>
        <w:tab/>
      </w:r>
    </w:p>
    <w:p w14:paraId="0958DDAA"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Lids</w:t>
      </w:r>
      <w:r w:rsidRPr="009D4627">
        <w:rPr>
          <w:rFonts w:eastAsia="Calibri"/>
          <w:szCs w:val="22"/>
          <w:lang w:val="en-MY"/>
        </w:rPr>
        <w:t xml:space="preserve">: </w:t>
      </w:r>
      <w:r w:rsidRPr="009D4627">
        <w:rPr>
          <w:rFonts w:eastAsia="Calibri"/>
          <w:szCs w:val="22"/>
          <w:lang w:val="en-MY"/>
        </w:rPr>
        <w:tab/>
        <w:t>Right Palpebral Function (RPF)</w:t>
      </w:r>
      <w:r w:rsidRPr="009D4627">
        <w:rPr>
          <w:rFonts w:eastAsia="Calibri"/>
          <w:szCs w:val="22"/>
          <w:lang w:val="en-MY"/>
        </w:rPr>
        <w:tab/>
        <w:t>10 mm</w:t>
      </w:r>
    </w:p>
    <w:p w14:paraId="313C7243" w14:textId="77777777" w:rsidR="00CE6626" w:rsidRPr="009D4627" w:rsidRDefault="00CE6626" w:rsidP="00CE6626">
      <w:pPr>
        <w:spacing w:before="0" w:after="0" w:line="240" w:lineRule="auto"/>
        <w:rPr>
          <w:rFonts w:eastAsia="Calibri"/>
          <w:szCs w:val="22"/>
          <w:lang w:val="en-MY"/>
        </w:rPr>
      </w:pPr>
      <w:r w:rsidRPr="009D4627">
        <w:rPr>
          <w:rFonts w:eastAsia="Calibri"/>
          <w:szCs w:val="22"/>
          <w:lang w:val="en-MY"/>
        </w:rPr>
        <w:tab/>
        <w:t xml:space="preserve">Left Palpebral Function (LPF) </w:t>
      </w:r>
      <w:r w:rsidRPr="009D4627">
        <w:rPr>
          <w:rFonts w:eastAsia="Calibri"/>
          <w:szCs w:val="22"/>
          <w:lang w:val="en-MY"/>
        </w:rPr>
        <w:tab/>
      </w:r>
      <w:r w:rsidRPr="009D4627">
        <w:rPr>
          <w:rFonts w:eastAsia="Calibri"/>
          <w:szCs w:val="22"/>
          <w:lang w:val="en-MY"/>
        </w:rPr>
        <w:tab/>
        <w:t>8 mm</w:t>
      </w:r>
    </w:p>
    <w:p w14:paraId="76F85452" w14:textId="77777777" w:rsidR="00CE6626" w:rsidRPr="009D4627" w:rsidRDefault="00CE6626" w:rsidP="00CE6626">
      <w:pPr>
        <w:spacing w:before="0" w:after="0" w:line="240" w:lineRule="auto"/>
        <w:rPr>
          <w:rFonts w:eastAsia="Calibri"/>
          <w:szCs w:val="22"/>
          <w:lang w:val="en-MY"/>
        </w:rPr>
      </w:pPr>
    </w:p>
    <w:p w14:paraId="2FC7C1C8" w14:textId="77777777" w:rsidR="00CE6626" w:rsidRPr="009D4627" w:rsidRDefault="00CE6626" w:rsidP="00CE6626">
      <w:pPr>
        <w:spacing w:before="0" w:after="0" w:line="240" w:lineRule="auto"/>
        <w:rPr>
          <w:rFonts w:eastAsia="Calibri"/>
          <w:szCs w:val="22"/>
          <w:lang w:val="en-MY"/>
        </w:rPr>
      </w:pPr>
      <w:r w:rsidRPr="009D4627">
        <w:rPr>
          <w:rFonts w:eastAsia="Calibri"/>
          <w:b/>
          <w:bCs/>
          <w:szCs w:val="22"/>
          <w:lang w:val="en-MY"/>
        </w:rPr>
        <w:t>Ocular Torsion:</w:t>
      </w:r>
      <w:r w:rsidRPr="009D4627">
        <w:rPr>
          <w:rFonts w:eastAsia="Calibri"/>
          <w:szCs w:val="22"/>
          <w:lang w:val="en-MY"/>
        </w:rPr>
        <w:t xml:space="preserve"> </w:t>
      </w:r>
      <w:r w:rsidRPr="009D4627">
        <w:rPr>
          <w:rFonts w:eastAsia="Calibri"/>
          <w:szCs w:val="22"/>
          <w:lang w:val="en-MY"/>
        </w:rPr>
        <w:tab/>
        <w:t xml:space="preserve">1° </w:t>
      </w:r>
      <w:proofErr w:type="spellStart"/>
      <w:r w:rsidRPr="009D4627">
        <w:rPr>
          <w:rFonts w:eastAsia="Calibri"/>
          <w:szCs w:val="22"/>
          <w:lang w:val="en-MY"/>
        </w:rPr>
        <w:t>incyclotorsion</w:t>
      </w:r>
      <w:proofErr w:type="spellEnd"/>
      <w:r w:rsidRPr="009D4627">
        <w:rPr>
          <w:rFonts w:eastAsia="Calibri"/>
          <w:szCs w:val="22"/>
          <w:lang w:val="en-MY"/>
        </w:rPr>
        <w:t xml:space="preserve"> </w:t>
      </w:r>
      <w:r w:rsidRPr="009D4627">
        <w:rPr>
          <w:rFonts w:eastAsia="Calibri"/>
          <w:szCs w:val="22"/>
          <w:lang w:val="en-MY"/>
        </w:rPr>
        <w:tab/>
      </w:r>
      <w:r w:rsidRPr="009D4627">
        <w:rPr>
          <w:rFonts w:eastAsia="Calibri"/>
          <w:szCs w:val="22"/>
          <w:lang w:val="en-MY"/>
        </w:rPr>
        <w:tab/>
      </w:r>
      <w:r w:rsidRPr="009D4627">
        <w:rPr>
          <w:rFonts w:eastAsia="Calibri"/>
          <w:szCs w:val="22"/>
          <w:lang w:val="en-MY"/>
        </w:rPr>
        <w:tab/>
      </w:r>
    </w:p>
    <w:p w14:paraId="1D61D007" w14:textId="77777777" w:rsidR="00CE6626" w:rsidRPr="009D4627" w:rsidRDefault="00CE6626" w:rsidP="00CE6626">
      <w:pPr>
        <w:spacing w:before="0" w:after="0" w:line="240" w:lineRule="auto"/>
        <w:rPr>
          <w:rFonts w:eastAsia="Calibri"/>
          <w:szCs w:val="22"/>
          <w:lang w:val="en-MY"/>
        </w:rPr>
      </w:pPr>
    </w:p>
    <w:p w14:paraId="4C766320"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b/>
          <w:bCs/>
          <w:szCs w:val="22"/>
          <w:lang w:val="en-MY"/>
        </w:rPr>
        <w:t>Assessment &amp; Plan:</w:t>
      </w:r>
      <w:r w:rsidRPr="009D4627">
        <w:rPr>
          <w:rFonts w:eastAsia="Calibri"/>
          <w:b/>
          <w:bCs/>
          <w:szCs w:val="22"/>
          <w:lang w:val="en-MY"/>
        </w:rPr>
        <w:tab/>
      </w:r>
      <w:r w:rsidRPr="009D4627">
        <w:rPr>
          <w:rFonts w:eastAsia="Calibri"/>
          <w:szCs w:val="22"/>
          <w:u w:val="single"/>
          <w:lang w:val="en-MY"/>
        </w:rPr>
        <w:t xml:space="preserve">Diplopia </w:t>
      </w:r>
      <w:r w:rsidRPr="009D4627">
        <w:rPr>
          <w:rFonts w:eastAsia="Calibri"/>
          <w:szCs w:val="22"/>
          <w:lang w:val="en-MY"/>
        </w:rPr>
        <w:t>joins with 10</w:t>
      </w:r>
      <w:r w:rsidRPr="009D4627">
        <w:rPr>
          <w:rFonts w:eastAsia="Calibri"/>
          <w:szCs w:val="22"/>
          <w:vertAlign w:val="superscript"/>
          <w:lang w:val="en-MY"/>
        </w:rPr>
        <w:t>∆</w:t>
      </w:r>
      <w:r w:rsidRPr="009D4627">
        <w:rPr>
          <w:rFonts w:eastAsia="Calibri"/>
          <w:szCs w:val="22"/>
          <w:lang w:val="en-MY"/>
        </w:rPr>
        <w:t xml:space="preserve"> BD RE for near </w:t>
      </w:r>
      <w:r w:rsidRPr="009D4627">
        <w:rPr>
          <w:rFonts w:eastAsia="Calibri"/>
          <w:szCs w:val="22"/>
          <w:lang w:val="en-MY"/>
        </w:rPr>
        <w:sym w:font="Wingdings" w:char="F0E0"/>
      </w:r>
      <w:r w:rsidRPr="009D4627">
        <w:rPr>
          <w:rFonts w:eastAsia="Calibri"/>
          <w:szCs w:val="22"/>
          <w:lang w:val="en-MY"/>
        </w:rPr>
        <w:t xml:space="preserve"> Fresnel prism fitted to readers. </w:t>
      </w:r>
    </w:p>
    <w:p w14:paraId="74C5A082"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b/>
          <w:bCs/>
          <w:szCs w:val="22"/>
          <w:lang w:val="en-MY"/>
        </w:rPr>
        <w:tab/>
      </w:r>
      <w:r w:rsidRPr="009D4627">
        <w:rPr>
          <w:rFonts w:eastAsia="Calibri"/>
          <w:szCs w:val="22"/>
          <w:lang w:val="en-MY"/>
        </w:rPr>
        <w:t>RIR weakness. Rule out other signs of third nerve involvement. Has had MRI with no abnormalities detected</w:t>
      </w:r>
      <w:proofErr w:type="gramStart"/>
      <w:r w:rsidRPr="009D4627">
        <w:rPr>
          <w:rFonts w:eastAsia="Calibri"/>
          <w:szCs w:val="22"/>
          <w:lang w:val="en-MY"/>
        </w:rPr>
        <w:t>. ?</w:t>
      </w:r>
      <w:proofErr w:type="gramEnd"/>
      <w:r w:rsidRPr="009D4627">
        <w:rPr>
          <w:rFonts w:eastAsia="Calibri"/>
          <w:szCs w:val="22"/>
          <w:lang w:val="en-MY"/>
        </w:rPr>
        <w:t xml:space="preserve"> test for MG. </w:t>
      </w:r>
    </w:p>
    <w:p w14:paraId="5CAB8BEB" w14:textId="77777777" w:rsidR="00CE6626" w:rsidRPr="009D4627" w:rsidRDefault="00CE6626" w:rsidP="00CE6626">
      <w:pPr>
        <w:spacing w:before="0" w:after="0" w:line="240" w:lineRule="auto"/>
        <w:ind w:left="2160"/>
        <w:rPr>
          <w:rFonts w:eastAsia="Calibri"/>
          <w:szCs w:val="22"/>
          <w:lang w:val="en-MY"/>
        </w:rPr>
      </w:pPr>
      <w:r w:rsidRPr="009D4627">
        <w:rPr>
          <w:rFonts w:eastAsia="Calibri"/>
          <w:szCs w:val="22"/>
          <w:lang w:val="en-MY"/>
        </w:rPr>
        <w:t>Review in 2/52.</w:t>
      </w:r>
    </w:p>
    <w:p w14:paraId="63CED5C7" w14:textId="77777777" w:rsidR="00DC340E" w:rsidRDefault="00DC340E" w:rsidP="00CE6626">
      <w:pPr>
        <w:spacing w:before="0" w:after="0" w:line="240" w:lineRule="auto"/>
        <w:rPr>
          <w:rFonts w:eastAsia="Calibri"/>
          <w:b/>
          <w:szCs w:val="22"/>
          <w:u w:val="single"/>
          <w:lang w:val="en-MY"/>
        </w:rPr>
      </w:pPr>
    </w:p>
    <w:p w14:paraId="18D2E8CF" w14:textId="77777777" w:rsidR="00CB28CB" w:rsidRDefault="00CB28CB" w:rsidP="00CE6626">
      <w:pPr>
        <w:spacing w:before="0" w:after="0" w:line="240" w:lineRule="auto"/>
        <w:rPr>
          <w:rFonts w:eastAsia="Calibri"/>
          <w:b/>
          <w:szCs w:val="22"/>
          <w:u w:val="single"/>
          <w:lang w:val="en-MY"/>
        </w:rPr>
      </w:pPr>
    </w:p>
    <w:p w14:paraId="4FEA5AC6" w14:textId="265EAB00" w:rsidR="00CE6626" w:rsidRPr="009D4627" w:rsidRDefault="00CE6626" w:rsidP="00CE6626">
      <w:pPr>
        <w:spacing w:before="0" w:after="0" w:line="240" w:lineRule="auto"/>
        <w:rPr>
          <w:rFonts w:eastAsia="Calibri"/>
          <w:bCs/>
          <w:szCs w:val="22"/>
          <w:u w:val="single"/>
          <w:lang w:val="en-MY"/>
        </w:rPr>
      </w:pPr>
      <w:r w:rsidRPr="009D4627">
        <w:rPr>
          <w:rFonts w:eastAsia="Calibri"/>
          <w:b/>
          <w:szCs w:val="22"/>
          <w:u w:val="single"/>
          <w:lang w:val="en-MY"/>
        </w:rPr>
        <w:lastRenderedPageBreak/>
        <w:t xml:space="preserve">Clinical visit 2: </w:t>
      </w:r>
      <w:r w:rsidRPr="009D4627">
        <w:rPr>
          <w:rFonts w:eastAsia="Calibri"/>
          <w:bCs/>
          <w:szCs w:val="22"/>
          <w:u w:val="single"/>
          <w:lang w:val="en-MY"/>
        </w:rPr>
        <w:t>31/08/2018 (2 week</w:t>
      </w:r>
      <w:r w:rsidRPr="009D4627">
        <w:rPr>
          <w:rFonts w:eastAsia="Calibri"/>
          <w:bCs/>
          <w:color w:val="auto"/>
          <w:szCs w:val="22"/>
          <w:u w:val="single"/>
          <w:lang w:val="en-MY"/>
        </w:rPr>
        <w:t>s from onset</w:t>
      </w:r>
      <w:r w:rsidRPr="009D4627">
        <w:rPr>
          <w:rFonts w:eastAsia="Calibri"/>
          <w:bCs/>
          <w:szCs w:val="22"/>
          <w:u w:val="single"/>
          <w:lang w:val="en-MY"/>
        </w:rPr>
        <w:t>) - Orthoptic assessment</w:t>
      </w:r>
    </w:p>
    <w:p w14:paraId="6CA9501E" w14:textId="77777777" w:rsidR="00CE6626" w:rsidRPr="009D4627" w:rsidRDefault="00CE6626" w:rsidP="00CE6626">
      <w:pPr>
        <w:spacing w:before="0" w:after="0" w:line="240" w:lineRule="auto"/>
        <w:ind w:left="851" w:hanging="851"/>
        <w:rPr>
          <w:rFonts w:eastAsia="Calibri"/>
          <w:b/>
          <w:szCs w:val="22"/>
          <w:lang w:val="en-MY"/>
        </w:rPr>
      </w:pPr>
    </w:p>
    <w:p w14:paraId="36738835"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
          <w:szCs w:val="22"/>
          <w:lang w:val="en-MY"/>
        </w:rPr>
        <w:t xml:space="preserve">History: </w:t>
      </w:r>
      <w:r w:rsidRPr="009D4627">
        <w:rPr>
          <w:rFonts w:eastAsia="Calibri"/>
          <w:bCs/>
          <w:szCs w:val="22"/>
          <w:lang w:val="en-MY"/>
        </w:rPr>
        <w:t>Patient feels his problem of vertical diplopia back to normal.</w:t>
      </w:r>
    </w:p>
    <w:p w14:paraId="093D3618"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Cs/>
          <w:szCs w:val="22"/>
          <w:lang w:val="en-MY"/>
        </w:rPr>
        <w:t xml:space="preserve">  </w:t>
      </w:r>
    </w:p>
    <w:p w14:paraId="0C50EC39"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unaided </w:t>
      </w:r>
      <w:r w:rsidRPr="009D4627">
        <w:rPr>
          <w:rFonts w:eastAsia="Calibri"/>
          <w:bCs/>
          <w:szCs w:val="22"/>
          <w:lang w:val="en-MY"/>
        </w:rPr>
        <w:tab/>
        <w:t>RE 0.0</w:t>
      </w:r>
      <w:r w:rsidRPr="009D4627">
        <w:rPr>
          <w:rFonts w:eastAsia="Calibri"/>
          <w:bCs/>
          <w:szCs w:val="22"/>
          <w:lang w:val="en-MY"/>
        </w:rPr>
        <w:tab/>
      </w:r>
      <w:r w:rsidRPr="009D4627">
        <w:rPr>
          <w:rFonts w:eastAsia="Calibri"/>
          <w:bCs/>
          <w:szCs w:val="22"/>
          <w:lang w:val="en-MY"/>
        </w:rPr>
        <w:tab/>
        <w:t xml:space="preserve">LE 0.08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1782EE59"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Pr="009D4627">
        <w:rPr>
          <w:rFonts w:eastAsia="Calibri"/>
          <w:bCs/>
          <w:szCs w:val="22"/>
          <w:lang w:val="en-MY"/>
        </w:rPr>
        <w:t>6/6</w:t>
      </w:r>
      <w:r w:rsidRPr="009D4627">
        <w:rPr>
          <w:rFonts w:eastAsia="Calibri"/>
          <w:bCs/>
          <w:szCs w:val="22"/>
          <w:lang w:val="en-MY"/>
        </w:rPr>
        <w:tab/>
      </w:r>
      <w:r w:rsidRPr="009D4627">
        <w:rPr>
          <w:rFonts w:eastAsia="Calibri"/>
          <w:bCs/>
          <w:szCs w:val="22"/>
          <w:lang w:val="en-MY"/>
        </w:rPr>
        <w:tab/>
        <w:t xml:space="preserve">     6/7.5</w:t>
      </w:r>
      <w:r w:rsidRPr="009D4627">
        <w:rPr>
          <w:rFonts w:eastAsia="Calibri"/>
          <w:bCs/>
          <w:szCs w:val="22"/>
          <w:vertAlign w:val="superscript"/>
          <w:lang w:val="en-MY"/>
        </w:rPr>
        <w:t>+1</w:t>
      </w:r>
      <w:r w:rsidRPr="009D4627">
        <w:rPr>
          <w:rFonts w:eastAsia="Calibri"/>
          <w:bCs/>
          <w:szCs w:val="22"/>
          <w:lang w:val="en-MY"/>
        </w:rPr>
        <w:t xml:space="preserve"> </w:t>
      </w:r>
      <w:r w:rsidRPr="009D4627">
        <w:rPr>
          <w:rFonts w:eastAsia="Calibri"/>
          <w:bCs/>
          <w:szCs w:val="22"/>
          <w:lang w:val="en-MY"/>
        </w:rPr>
        <w:tab/>
        <w:t>Snellen equivalent</w:t>
      </w:r>
    </w:p>
    <w:p w14:paraId="14FE832F"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p>
    <w:p w14:paraId="02FB540E" w14:textId="77777777" w:rsidR="00CE6626" w:rsidRPr="009D4627" w:rsidRDefault="00CE6626" w:rsidP="00CE6626">
      <w:pPr>
        <w:spacing w:before="0" w:after="0" w:line="240" w:lineRule="auto"/>
        <w:ind w:left="1276" w:hanging="1276"/>
        <w:rPr>
          <w:rFonts w:eastAsia="Calibri"/>
          <w:b/>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 readers </w:t>
      </w:r>
      <w:r w:rsidRPr="009D4627">
        <w:rPr>
          <w:rFonts w:eastAsia="Calibri"/>
          <w:bCs/>
          <w:szCs w:val="22"/>
          <w:lang w:val="en-MY"/>
        </w:rPr>
        <w:tab/>
        <w:t xml:space="preserve">1/3 m </w:t>
      </w:r>
      <w:r w:rsidRPr="009D4627">
        <w:rPr>
          <w:rFonts w:eastAsia="Calibri"/>
          <w:bCs/>
          <w:szCs w:val="22"/>
          <w:lang w:val="en-MY"/>
        </w:rPr>
        <w:tab/>
        <w:t>NAD</w:t>
      </w:r>
    </w:p>
    <w:p w14:paraId="7ED4567A" w14:textId="77777777" w:rsidR="00CE6626" w:rsidRPr="009D4627" w:rsidRDefault="00CE6626" w:rsidP="00CE6626">
      <w:pPr>
        <w:spacing w:before="0" w:after="0" w:line="240" w:lineRule="auto"/>
        <w:ind w:left="1276"/>
        <w:rPr>
          <w:rFonts w:eastAsia="Calibri"/>
          <w:bCs/>
          <w:szCs w:val="22"/>
          <w:lang w:val="en-MY"/>
        </w:rPr>
      </w:pPr>
      <w:r w:rsidRPr="009D4627">
        <w:rPr>
          <w:rFonts w:eastAsia="Calibri"/>
          <w:bCs/>
          <w:szCs w:val="22"/>
          <w:lang w:val="en-MY"/>
        </w:rPr>
        <w:t xml:space="preserve">        unaided</w:t>
      </w:r>
      <w:r w:rsidRPr="009D4627">
        <w:rPr>
          <w:rFonts w:eastAsia="Calibri"/>
          <w:bCs/>
          <w:szCs w:val="22"/>
          <w:lang w:val="en-MY"/>
        </w:rPr>
        <w:tab/>
        <w:t xml:space="preserve">    6 m </w:t>
      </w:r>
      <w:r w:rsidRPr="009D4627">
        <w:rPr>
          <w:rFonts w:eastAsia="Calibri"/>
          <w:bCs/>
          <w:szCs w:val="22"/>
          <w:lang w:val="en-MY"/>
        </w:rPr>
        <w:tab/>
        <w:t>NAD</w:t>
      </w:r>
    </w:p>
    <w:p w14:paraId="33068BC5" w14:textId="77777777" w:rsidR="00CE6626" w:rsidRPr="009D4627" w:rsidRDefault="00CE6626" w:rsidP="00CE6626">
      <w:pPr>
        <w:spacing w:before="0" w:after="0" w:line="240" w:lineRule="auto"/>
        <w:ind w:left="1276"/>
        <w:rPr>
          <w:rFonts w:eastAsia="Calibri"/>
          <w:bCs/>
          <w:szCs w:val="22"/>
          <w:lang w:val="en-MY"/>
        </w:rPr>
      </w:pPr>
    </w:p>
    <w:p w14:paraId="1D2CE24E" w14:textId="77777777" w:rsidR="00CE6626" w:rsidRPr="009D4627" w:rsidRDefault="00CE6626" w:rsidP="00CE6626">
      <w:pPr>
        <w:spacing w:before="0" w:after="0" w:line="240" w:lineRule="auto"/>
        <w:jc w:val="left"/>
        <w:rPr>
          <w:rFonts w:eastAsia="Calibri"/>
          <w:b/>
          <w:szCs w:val="22"/>
          <w:lang w:val="en-MY"/>
        </w:rPr>
      </w:pPr>
      <w:r w:rsidRPr="009D4627">
        <w:rPr>
          <w:rFonts w:eastAsia="Calibri"/>
          <w:b/>
          <w:szCs w:val="22"/>
          <w:lang w:val="en-MY"/>
        </w:rPr>
        <w:t xml:space="preserve">PCT / OMT </w:t>
      </w:r>
      <w:r w:rsidRPr="009D4627">
        <w:rPr>
          <w:rFonts w:eastAsia="Calibri"/>
          <w:bCs/>
          <w:szCs w:val="22"/>
          <w:lang w:val="en-MY"/>
        </w:rPr>
        <w:t>(unaided)</w:t>
      </w:r>
      <w:r w:rsidRPr="009D4627">
        <w:rPr>
          <w:rFonts w:eastAsia="Calibri"/>
          <w:b/>
          <w:szCs w:val="22"/>
          <w:lang w:val="en-MY"/>
        </w:rPr>
        <w:t>:</w:t>
      </w:r>
    </w:p>
    <w:p w14:paraId="5DF286BA" w14:textId="74E06228" w:rsidR="00CE6626" w:rsidRPr="009D4627" w:rsidRDefault="00A2792E" w:rsidP="00CE6626">
      <w:pPr>
        <w:spacing w:before="0" w:after="0" w:line="240" w:lineRule="auto"/>
        <w:ind w:firstLine="720"/>
        <w:jc w:val="left"/>
        <w:rPr>
          <w:rFonts w:eastAsia="Calibri"/>
          <w:bCs/>
          <w:szCs w:val="22"/>
          <w:lang w:val="en-MY"/>
        </w:rPr>
      </w:pPr>
      <w:r w:rsidRPr="009D4627">
        <w:rPr>
          <w:noProof/>
        </w:rPr>
        <mc:AlternateContent>
          <mc:Choice Requires="wpg">
            <w:drawing>
              <wp:anchor distT="0" distB="0" distL="114300" distR="114300" simplePos="0" relativeHeight="251697152" behindDoc="0" locked="0" layoutInCell="1" allowOverlap="1" wp14:anchorId="5615338B" wp14:editId="641A448C">
                <wp:simplePos x="0" y="0"/>
                <wp:positionH relativeFrom="column">
                  <wp:posOffset>190500</wp:posOffset>
                </wp:positionH>
                <wp:positionV relativeFrom="paragraph">
                  <wp:posOffset>86995</wp:posOffset>
                </wp:positionV>
                <wp:extent cx="3933825" cy="1628775"/>
                <wp:effectExtent l="0" t="0" r="0" b="9525"/>
                <wp:wrapNone/>
                <wp:docPr id="23931" name="Group 23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825" cy="1628775"/>
                          <a:chOff x="0" y="0"/>
                          <a:chExt cx="39338" cy="16287"/>
                        </a:xfrm>
                      </wpg:grpSpPr>
                      <wpg:grpSp>
                        <wpg:cNvPr id="23932" name="Group 21539"/>
                        <wpg:cNvGrpSpPr>
                          <a:grpSpLocks/>
                        </wpg:cNvGrpSpPr>
                        <wpg:grpSpPr bwMode="auto">
                          <a:xfrm>
                            <a:off x="0" y="0"/>
                            <a:ext cx="39338" cy="16287"/>
                            <a:chOff x="0" y="0"/>
                            <a:chExt cx="39338" cy="16287"/>
                          </a:xfrm>
                        </wpg:grpSpPr>
                        <wpg:grpSp>
                          <wpg:cNvPr id="23933" name="Group 21540"/>
                          <wpg:cNvGrpSpPr>
                            <a:grpSpLocks/>
                          </wpg:cNvGrpSpPr>
                          <wpg:grpSpPr bwMode="auto">
                            <a:xfrm>
                              <a:off x="95" y="2857"/>
                              <a:ext cx="39243" cy="11525"/>
                              <a:chOff x="-762" y="2095"/>
                              <a:chExt cx="39243" cy="11525"/>
                            </a:xfrm>
                          </wpg:grpSpPr>
                          <wpg:grpSp>
                            <wpg:cNvPr id="23934" name="Group 21541"/>
                            <wpg:cNvGrpSpPr>
                              <a:grpSpLocks/>
                            </wpg:cNvGrpSpPr>
                            <wpg:grpSpPr bwMode="auto">
                              <a:xfrm>
                                <a:off x="-762" y="2095"/>
                                <a:ext cx="39243" cy="11525"/>
                                <a:chOff x="-190" y="2095"/>
                                <a:chExt cx="39243" cy="11525"/>
                              </a:xfrm>
                            </wpg:grpSpPr>
                            <wpg:grpSp>
                              <wpg:cNvPr id="23935" name="Group 21542"/>
                              <wpg:cNvGrpSpPr>
                                <a:grpSpLocks/>
                              </wpg:cNvGrpSpPr>
                              <wpg:grpSpPr bwMode="auto">
                                <a:xfrm>
                                  <a:off x="-190" y="2095"/>
                                  <a:ext cx="39242" cy="11525"/>
                                  <a:chOff x="-3619" y="2095"/>
                                  <a:chExt cx="39243" cy="11525"/>
                                </a:xfrm>
                              </wpg:grpSpPr>
                              <wpg:grpSp>
                                <wpg:cNvPr id="23936" name="Group 21543"/>
                                <wpg:cNvGrpSpPr>
                                  <a:grpSpLocks/>
                                </wpg:cNvGrpSpPr>
                                <wpg:grpSpPr bwMode="auto">
                                  <a:xfrm>
                                    <a:off x="-3619" y="2095"/>
                                    <a:ext cx="39242" cy="7391"/>
                                    <a:chOff x="-9715" y="-170"/>
                                    <a:chExt cx="39243" cy="7408"/>
                                  </a:xfrm>
                                </wpg:grpSpPr>
                                <wps:wsp>
                                  <wps:cNvPr id="23937" name="Rectangle 21544"/>
                                  <wps:cNvSpPr>
                                    <a:spLocks noChangeArrowheads="1"/>
                                  </wps:cNvSpPr>
                                  <wps:spPr bwMode="auto">
                                    <a:xfrm flipH="1">
                                      <a:off x="6953" y="1540"/>
                                      <a:ext cx="10025" cy="3855"/>
                                    </a:xfrm>
                                    <a:prstGeom prst="rect">
                                      <a:avLst/>
                                    </a:prstGeom>
                                    <a:noFill/>
                                    <a:ln>
                                      <a:noFill/>
                                    </a:ln>
                                  </wps:spPr>
                                  <wps:txbx>
                                    <w:txbxContent>
                                      <w:p w14:paraId="462CB705"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1</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E</w:t>
                                        </w:r>
                                      </w:p>
                                    </w:txbxContent>
                                  </wps:txbx>
                                  <wps:bodyPr rot="0" vert="horz" wrap="square" lIns="0" tIns="0" rIns="0" bIns="0" anchor="ctr" anchorCtr="0" upright="1">
                                    <a:noAutofit/>
                                  </wps:bodyPr>
                                </wps:wsp>
                                <wpg:grpSp>
                                  <wpg:cNvPr id="23938" name="Group 21545"/>
                                  <wpg:cNvGrpSpPr>
                                    <a:grpSpLocks/>
                                  </wpg:cNvGrpSpPr>
                                  <wpg:grpSpPr bwMode="auto">
                                    <a:xfrm>
                                      <a:off x="-9715" y="-170"/>
                                      <a:ext cx="16317" cy="7217"/>
                                      <a:chOff x="-9715" y="-170"/>
                                      <a:chExt cx="16317" cy="7217"/>
                                    </a:xfrm>
                                  </wpg:grpSpPr>
                                  <wps:wsp>
                                    <wps:cNvPr id="23939" name="Oval 21546"/>
                                    <wps:cNvSpPr>
                                      <a:spLocks noChangeArrowheads="1"/>
                                    </wps:cNvSpPr>
                                    <wps:spPr bwMode="auto">
                                      <a:xfrm flipH="1">
                                        <a:off x="-762" y="-170"/>
                                        <a:ext cx="7364" cy="721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940" name="Rectangle 21547"/>
                                    <wps:cNvSpPr>
                                      <a:spLocks noChangeArrowheads="1"/>
                                    </wps:cNvSpPr>
                                    <wps:spPr bwMode="auto">
                                      <a:xfrm flipH="1">
                                        <a:off x="-9715" y="2407"/>
                                        <a:ext cx="7239" cy="2768"/>
                                      </a:xfrm>
                                      <a:prstGeom prst="rect">
                                        <a:avLst/>
                                      </a:prstGeom>
                                      <a:noFill/>
                                      <a:ln>
                                        <a:noFill/>
                                      </a:ln>
                                    </wps:spPr>
                                    <wps:txbx>
                                      <w:txbxContent>
                                        <w:p w14:paraId="172EB7C9"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9</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2</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RHT</w:t>
                                          </w:r>
                                        </w:p>
                                        <w:p w14:paraId="764D6099"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g:grpSp>
                                  <wpg:cNvPr id="23941" name="Group 21548"/>
                                  <wpg:cNvGrpSpPr>
                                    <a:grpSpLocks/>
                                  </wpg:cNvGrpSpPr>
                                  <wpg:grpSpPr bwMode="auto">
                                    <a:xfrm>
                                      <a:off x="17049" y="30"/>
                                      <a:ext cx="12478" cy="7208"/>
                                      <a:chOff x="17049" y="30"/>
                                      <a:chExt cx="12477" cy="7207"/>
                                    </a:xfrm>
                                  </wpg:grpSpPr>
                                  <wpg:grpSp>
                                    <wpg:cNvPr id="23942" name="Group 21549"/>
                                    <wpg:cNvGrpSpPr>
                                      <a:grpSpLocks/>
                                    </wpg:cNvGrpSpPr>
                                    <wpg:grpSpPr bwMode="auto">
                                      <a:xfrm>
                                        <a:off x="17049" y="30"/>
                                        <a:ext cx="10141" cy="7208"/>
                                        <a:chOff x="17054" y="30"/>
                                        <a:chExt cx="10641" cy="8146"/>
                                      </a:xfrm>
                                    </wpg:grpSpPr>
                                    <wps:wsp>
                                      <wps:cNvPr id="23943" name="Oval 21550"/>
                                      <wps:cNvSpPr>
                                        <a:spLocks noChangeArrowheads="1"/>
                                      </wps:cNvSpPr>
                                      <wps:spPr bwMode="auto">
                                        <a:xfrm flipH="1">
                                          <a:off x="17054" y="30"/>
                                          <a:ext cx="7727"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944" name="Rectangle 21551"/>
                                      <wps:cNvSpPr>
                                        <a:spLocks noChangeArrowheads="1"/>
                                      </wps:cNvSpPr>
                                      <wps:spPr bwMode="auto">
                                        <a:xfrm flipH="1">
                                          <a:off x="25002" y="3071"/>
                                          <a:ext cx="2694" cy="2285"/>
                                        </a:xfrm>
                                        <a:prstGeom prst="rect">
                                          <a:avLst/>
                                        </a:prstGeom>
                                        <a:noFill/>
                                        <a:ln>
                                          <a:noFill/>
                                        </a:ln>
                                      </wps:spPr>
                                      <wps:txbx>
                                        <w:txbxContent>
                                          <w:p w14:paraId="6FA1A2C8"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g:grpSp>
                                  <wps:wsp>
                                    <wps:cNvPr id="23945" name="Rectangle 21552"/>
                                    <wps:cNvSpPr>
                                      <a:spLocks noChangeArrowheads="1"/>
                                    </wps:cNvSpPr>
                                    <wps:spPr bwMode="auto">
                                      <a:xfrm flipH="1">
                                        <a:off x="24860" y="1542"/>
                                        <a:ext cx="4667" cy="3729"/>
                                      </a:xfrm>
                                      <a:prstGeom prst="rect">
                                        <a:avLst/>
                                      </a:prstGeom>
                                      <a:noFill/>
                                      <a:ln>
                                        <a:noFill/>
                                      </a:ln>
                                    </wps:spPr>
                                    <wps:txbx>
                                      <w:txbxContent>
                                        <w:p w14:paraId="2F7B9D5E"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6</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w:t>
                                          </w:r>
                                        </w:p>
                                      </w:txbxContent>
                                    </wps:txbx>
                                    <wps:bodyPr rot="0" vert="horz" wrap="square" lIns="0" tIns="0" rIns="0" bIns="0" anchor="ctr" anchorCtr="0" upright="1">
                                      <a:noAutofit/>
                                    </wps:bodyPr>
                                  </wps:wsp>
                                </wpg:grpSp>
                              </wpg:grpSp>
                              <wps:wsp>
                                <wps:cNvPr id="23946" name="Rectangle 21553"/>
                                <wps:cNvSpPr>
                                  <a:spLocks noChangeArrowheads="1"/>
                                </wps:cNvSpPr>
                                <wps:spPr bwMode="auto">
                                  <a:xfrm flipH="1">
                                    <a:off x="12953" y="10953"/>
                                    <a:ext cx="11259" cy="2667"/>
                                  </a:xfrm>
                                  <a:prstGeom prst="rect">
                                    <a:avLst/>
                                  </a:prstGeom>
                                  <a:noFill/>
                                  <a:ln>
                                    <a:noFill/>
                                  </a:ln>
                                </wps:spPr>
                                <wps:txbx>
                                  <w:txbxContent>
                                    <w:p w14:paraId="1F9E0868"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1</w:t>
                                      </w:r>
                                      <w:r w:rsidRPr="00760658">
                                        <w:rPr>
                                          <w:rFonts w:ascii="Calibri" w:hAnsi="Calibri" w:cs="Calibri"/>
                                          <w:sz w:val="20"/>
                                          <w:szCs w:val="20"/>
                                          <w:vertAlign w:val="superscript"/>
                                          <w:lang w:val="en-US"/>
                                        </w:rPr>
                                        <w:t>Δ</w:t>
                                      </w:r>
                                      <w:r>
                                        <w:rPr>
                                          <w:rFonts w:ascii="Calibri" w:hAnsi="Calibri" w:cs="Calibri"/>
                                          <w:sz w:val="20"/>
                                          <w:szCs w:val="20"/>
                                          <w:lang w:val="en-US"/>
                                        </w:rPr>
                                        <w:t xml:space="preserve"> </w:t>
                                      </w:r>
                                      <w:proofErr w:type="gramStart"/>
                                      <w:r>
                                        <w:rPr>
                                          <w:rFonts w:ascii="Calibri" w:hAnsi="Calibri" w:cs="Calibri"/>
                                          <w:sz w:val="20"/>
                                          <w:szCs w:val="20"/>
                                          <w:lang w:val="en-US"/>
                                        </w:rPr>
                                        <w:t>E  1</w:t>
                                      </w:r>
                                      <w:proofErr w:type="gramEnd"/>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txbxContent>
                                </wps:txbx>
                                <wps:bodyPr rot="0" vert="horz" wrap="square" lIns="0" tIns="0" rIns="0" bIns="0" anchor="ctr" anchorCtr="0" upright="1">
                                  <a:noAutofit/>
                                </wps:bodyPr>
                              </wps:wsp>
                            </wpg:grpSp>
                            <wps:wsp>
                              <wps:cNvPr id="23947" name="Rectangle 21554"/>
                              <wps:cNvSpPr>
                                <a:spLocks noChangeArrowheads="1"/>
                              </wps:cNvSpPr>
                              <wps:spPr bwMode="auto">
                                <a:xfrm flipH="1">
                                  <a:off x="6000" y="8477"/>
                                  <a:ext cx="3715" cy="1810"/>
                                </a:xfrm>
                                <a:prstGeom prst="rect">
                                  <a:avLst/>
                                </a:prstGeom>
                                <a:noFill/>
                                <a:ln>
                                  <a:noFill/>
                                </a:ln>
                              </wps:spPr>
                              <wps:txbx>
                                <w:txbxContent>
                                  <w:p w14:paraId="1FD04FE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 xml:space="preserve">½ </w:t>
                                    </w:r>
                                  </w:p>
                                  <w:p w14:paraId="1595EDD8"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s:wsp>
                            <wps:cNvPr id="23948" name="Rectangle 21555"/>
                            <wps:cNvSpPr>
                              <a:spLocks noChangeArrowheads="1"/>
                            </wps:cNvSpPr>
                            <wps:spPr bwMode="auto">
                              <a:xfrm flipH="1">
                                <a:off x="6096" y="4476"/>
                                <a:ext cx="2000" cy="2096"/>
                              </a:xfrm>
                              <a:prstGeom prst="rect">
                                <a:avLst/>
                              </a:prstGeom>
                              <a:noFill/>
                              <a:ln>
                                <a:noFill/>
                              </a:ln>
                            </wps:spPr>
                            <wps:txbx>
                              <w:txbxContent>
                                <w:p w14:paraId="216D101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700EEC8A" w14:textId="77777777" w:rsidR="00CE6626" w:rsidRDefault="00CE6626" w:rsidP="00CE6626">
                                  <w:pPr>
                                    <w:spacing w:before="0"/>
                                    <w:jc w:val="left"/>
                                    <w:rPr>
                                      <w:rFonts w:ascii="Calibri" w:hAnsi="Calibri" w:cs="Calibri"/>
                                      <w:sz w:val="20"/>
                                      <w:szCs w:val="20"/>
                                      <w:lang w:val="en-US"/>
                                    </w:rPr>
                                  </w:pPr>
                                </w:p>
                                <w:p w14:paraId="07954E17" w14:textId="77777777" w:rsidR="00CE6626" w:rsidRDefault="00CE6626" w:rsidP="00CE6626">
                                  <w:pPr>
                                    <w:jc w:val="left"/>
                                    <w:rPr>
                                      <w:rFonts w:ascii="Calibri" w:hAnsi="Calibri" w:cs="Calibri"/>
                                      <w:sz w:val="20"/>
                                      <w:szCs w:val="20"/>
                                      <w:lang w:val="en-US"/>
                                    </w:rPr>
                                  </w:pPr>
                                </w:p>
                              </w:txbxContent>
                            </wps:txbx>
                            <wps:bodyPr rot="0" vert="horz" wrap="square" lIns="0" tIns="0" rIns="0" bIns="0" anchor="ctr" anchorCtr="0" upright="1">
                              <a:noAutofit/>
                            </wps:bodyPr>
                          </wps:wsp>
                        </wpg:grpSp>
                        <wps:wsp>
                          <wps:cNvPr id="23949" name="Rectangle 21556"/>
                          <wps:cNvSpPr>
                            <a:spLocks noChangeArrowheads="1"/>
                          </wps:cNvSpPr>
                          <wps:spPr bwMode="auto">
                            <a:xfrm>
                              <a:off x="0" y="0"/>
                              <a:ext cx="39147" cy="16287"/>
                            </a:xfrm>
                            <a:prstGeom prst="rect">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grpSp>
                        <wpg:cNvPr id="23950" name="Group 21557"/>
                        <wpg:cNvGrpSpPr>
                          <a:grpSpLocks/>
                        </wpg:cNvGrpSpPr>
                        <wpg:grpSpPr bwMode="auto">
                          <a:xfrm>
                            <a:off x="20669" y="1238"/>
                            <a:ext cx="1619" cy="1619"/>
                            <a:chOff x="0" y="0"/>
                            <a:chExt cx="161925" cy="161925"/>
                          </a:xfrm>
                        </wpg:grpSpPr>
                        <wps:wsp>
                          <wps:cNvPr id="23951" name="Oval 21558"/>
                          <wps:cNvSpPr>
                            <a:spLocks noChangeArrowheads="1"/>
                          </wps:cNvSpPr>
                          <wps:spPr bwMode="auto">
                            <a:xfrm>
                              <a:off x="47625" y="38100"/>
                              <a:ext cx="71755" cy="71755"/>
                            </a:xfrm>
                            <a:prstGeom prst="ellipse">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3952" name="Group 21559"/>
                          <wpg:cNvGrpSpPr>
                            <a:grpSpLocks/>
                          </wpg:cNvGrpSpPr>
                          <wpg:grpSpPr bwMode="auto">
                            <a:xfrm>
                              <a:off x="0" y="0"/>
                              <a:ext cx="161925" cy="161925"/>
                              <a:chOff x="0" y="0"/>
                              <a:chExt cx="162000" cy="162000"/>
                            </a:xfrm>
                          </wpg:grpSpPr>
                          <wps:wsp>
                            <wps:cNvPr id="23953" name="Straight Connector 21560"/>
                            <wps:cNvCnPr>
                              <a:cxnSpLocks noChangeShapeType="1"/>
                            </wps:cNvCnPr>
                            <wps:spPr bwMode="auto">
                              <a:xfrm flipH="1">
                                <a:off x="81000" y="0"/>
                                <a:ext cx="0" cy="162000"/>
                              </a:xfrm>
                              <a:prstGeom prst="line">
                                <a:avLst/>
                              </a:prstGeom>
                              <a:noFill/>
                              <a:ln w="6350">
                                <a:solidFill>
                                  <a:schemeClr val="tx1">
                                    <a:lumMod val="100000"/>
                                    <a:lumOff val="0"/>
                                  </a:schemeClr>
                                </a:solidFill>
                                <a:miter lim="800000"/>
                                <a:headEnd/>
                                <a:tailEnd/>
                              </a:ln>
                            </wps:spPr>
                            <wps:bodyPr/>
                          </wps:wsp>
                          <wps:wsp>
                            <wps:cNvPr id="23954" name="Straight Connector 21561"/>
                            <wps:cNvCnPr>
                              <a:cxnSpLocks noChangeShapeType="1"/>
                            </wps:cNvCnPr>
                            <wps:spPr bwMode="auto">
                              <a:xfrm rot="5400000" flipH="1">
                                <a:off x="81000" y="0"/>
                                <a:ext cx="0" cy="162000"/>
                              </a:xfrm>
                              <a:prstGeom prst="line">
                                <a:avLst/>
                              </a:prstGeom>
                              <a:noFill/>
                              <a:ln w="6350">
                                <a:solidFill>
                                  <a:schemeClr val="tx1">
                                    <a:lumMod val="100000"/>
                                    <a:lumOff val="0"/>
                                  </a:schemeClr>
                                </a:solidFill>
                                <a:miter lim="800000"/>
                                <a:headEnd/>
                                <a:tailEnd/>
                              </a:ln>
                            </wps:spPr>
                            <wps:bodyPr/>
                          </wps:wsp>
                        </wpg:grpSp>
                      </wpg:grpSp>
                    </wpg:wgp>
                  </a:graphicData>
                </a:graphic>
                <wp14:sizeRelH relativeFrom="margin">
                  <wp14:pctWidth>0</wp14:pctWidth>
                </wp14:sizeRelH>
                <wp14:sizeRelV relativeFrom="page">
                  <wp14:pctHeight>0</wp14:pctHeight>
                </wp14:sizeRelV>
              </wp:anchor>
            </w:drawing>
          </mc:Choice>
          <mc:Fallback>
            <w:pict>
              <v:group w14:anchorId="5615338B" id="Group 23931" o:spid="_x0000_s1486" style="position:absolute;left:0;text-align:left;margin-left:15pt;margin-top:6.85pt;width:309.75pt;height:128.25pt;z-index:251697152;mso-position-horizontal-relative:text;mso-position-vertical-relative:text;mso-width-relative:margin" coordsize="39338,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">
                <v:group id="Group 21539" o:spid="_x0000_s1487" style="position:absolute;width:39338;height:16287" coordsize="39338,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">
                  <v:group id="Group 21540" o:spid="_x0000_s1488" style="position:absolute;left:95;top:2857;width:39243;height:11525" coordorigin="-762,2095" coordsize="39243,1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">
                    <v:group id="Group 21541" o:spid="_x0000_s1489" style="position:absolute;left:-762;top:2095;width:39243;height:11525" coordorigin="-190,2095" coordsize="39243,1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">
                      <v:group id="Group 21542" o:spid="_x0000_s1490" style="position:absolute;left:-190;top:2095;width:39242;height:11525" coordorigin="-3619,2095" coordsize="39243,1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">
                        <v:group id="Group 21543" o:spid="_x0000_s1491" style="position:absolute;left:-3619;top:2095;width:39242;height:7391" coordorigin="-9715,-170" coordsize="39243,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">
                          <v:rect id="Rectangle 21544" o:spid="_x0000_s1492" style="position:absolute;left:6953;top:1540;width:10025;height:385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" filled="f" stroked="f">
                            <v:textbox inset="0,0,0,0">
                              <w:txbxContent>
                                <w:p w14:paraId="462CB705"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1</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E</w:t>
                                  </w:r>
                                </w:p>
                              </w:txbxContent>
                            </v:textbox>
                          </v:rect>
                          <v:group id="Group 21545" o:spid="_x0000_s1493" style="position:absolute;left:-9715;top:-170;width:16317;height:7217" coordorigin="-9715,-170" coordsize="16317,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">
                            <v:oval id="Oval 21546" o:spid="_x0000_s1494" style="position:absolute;left:-762;top:-170;width:7364;height:72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" filled="f" strokeweight="1pt">
                              <v:stroke joinstyle="miter"/>
                            </v:oval>
                            <v:rect id="Rectangle 21547" o:spid="_x0000_s1495" style="position:absolute;left:-9715;top:2407;width:7239;height:276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" filled="f" stroked="f">
                              <v:textbox inset="0,0,0,0">
                                <w:txbxContent>
                                  <w:p w14:paraId="172EB7C9"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9</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 2</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RHT</w:t>
                                    </w:r>
                                  </w:p>
                                  <w:p w14:paraId="764D6099" w14:textId="77777777" w:rsidR="00CE6626" w:rsidRDefault="00CE6626" w:rsidP="00CE6626">
                                    <w:pPr>
                                      <w:jc w:val="right"/>
                                      <w:rPr>
                                        <w:rFonts w:ascii="Calibri" w:hAnsi="Calibri" w:cs="Calibri"/>
                                        <w:sz w:val="20"/>
                                        <w:szCs w:val="20"/>
                                        <w:lang w:val="en-US"/>
                                      </w:rPr>
                                    </w:pPr>
                                  </w:p>
                                </w:txbxContent>
                              </v:textbox>
                            </v:rect>
                          </v:group>
                          <v:group id="Group 21548" o:spid="_x0000_s1496" style="position:absolute;left:17049;top:30;width:12478;height:7208" coordorigin="17049,30" coordsize="1247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">
                            <v:group id="Group 21549" o:spid="_x0000_s1497" style="position:absolute;left:17049;top:30;width:10141;height:7208" coordorigin="17054,30" coordsize="10641,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">
                              <v:oval id="Oval 21550" o:spid="_x0000_s1498" style="position:absolute;left:17054;top:30;width:7727;height:814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" filled="f" strokeweight="1pt">
                                <v:stroke joinstyle="miter"/>
                              </v:oval>
                              <v:rect id="Rectangle 21551" o:spid="_x0000_s1499" style="position:absolute;left:25002;top:3071;width:2694;height:22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" filled="f" stroked="f">
                                <v:textbox inset="0,0,0,0">
                                  <w:txbxContent>
                                    <w:p w14:paraId="6FA1A2C8"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v:textbox>
                              </v:rect>
                            </v:group>
                            <v:rect id="Rectangle 21552" o:spid="_x0000_s1500" style="position:absolute;left:24860;top:1542;width:4667;height:37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" filled="f" stroked="f">
                              <v:textbox inset="0,0,0,0">
                                <w:txbxContent>
                                  <w:p w14:paraId="2F7B9D5E"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6</w:t>
                                    </w:r>
                                    <w:r w:rsidRPr="00760658">
                                      <w:rPr>
                                        <w:rFonts w:ascii="Calibri" w:hAnsi="Calibri" w:cs="Calibri"/>
                                        <w:sz w:val="20"/>
                                        <w:szCs w:val="20"/>
                                        <w:vertAlign w:val="superscript"/>
                                        <w:lang w:val="en-US"/>
                                      </w:rPr>
                                      <w:t>Δ</w:t>
                                    </w:r>
                                    <w:r>
                                      <w:rPr>
                                        <w:rFonts w:ascii="Calibri" w:hAnsi="Calibri" w:cs="Calibri"/>
                                        <w:sz w:val="20"/>
                                        <w:szCs w:val="20"/>
                                        <w:lang w:val="en-US"/>
                                      </w:rPr>
                                      <w:t xml:space="preserve"> RET</w:t>
                                    </w:r>
                                  </w:p>
                                </w:txbxContent>
                              </v:textbox>
                            </v:rect>
                          </v:group>
                        </v:group>
                        <v:rect id="Rectangle 21553" o:spid="_x0000_s1501" style="position:absolute;left:12953;top:10953;width:11259;height:266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" filled="f" stroked="f">
                          <v:textbox inset="0,0,0,0">
                            <w:txbxContent>
                              <w:p w14:paraId="1F9E0868"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1</w:t>
                                </w:r>
                                <w:r w:rsidRPr="00760658">
                                  <w:rPr>
                                    <w:rFonts w:ascii="Calibri" w:hAnsi="Calibri" w:cs="Calibri"/>
                                    <w:sz w:val="20"/>
                                    <w:szCs w:val="20"/>
                                    <w:vertAlign w:val="superscript"/>
                                    <w:lang w:val="en-US"/>
                                  </w:rPr>
                                  <w:t>Δ</w:t>
                                </w:r>
                                <w:r>
                                  <w:rPr>
                                    <w:rFonts w:ascii="Calibri" w:hAnsi="Calibri" w:cs="Calibri"/>
                                    <w:sz w:val="20"/>
                                    <w:szCs w:val="20"/>
                                    <w:lang w:val="en-US"/>
                                  </w:rPr>
                                  <w:t xml:space="preserve"> </w:t>
                                </w:r>
                                <w:proofErr w:type="gramStart"/>
                                <w:r>
                                  <w:rPr>
                                    <w:rFonts w:ascii="Calibri" w:hAnsi="Calibri" w:cs="Calibri"/>
                                    <w:sz w:val="20"/>
                                    <w:szCs w:val="20"/>
                                    <w:lang w:val="en-US"/>
                                  </w:rPr>
                                  <w:t>E  1</w:t>
                                </w:r>
                                <w:proofErr w:type="gramEnd"/>
                                <w:r w:rsidRPr="00760658">
                                  <w:rPr>
                                    <w:rFonts w:ascii="Calibri" w:hAnsi="Calibri" w:cs="Calibri"/>
                                    <w:sz w:val="20"/>
                                    <w:szCs w:val="20"/>
                                    <w:vertAlign w:val="superscript"/>
                                    <w:lang w:val="en-US"/>
                                  </w:rPr>
                                  <w:t>Δ</w:t>
                                </w:r>
                                <w:r>
                                  <w:rPr>
                                    <w:rFonts w:ascii="Calibri" w:hAnsi="Calibri" w:cs="Calibri"/>
                                    <w:sz w:val="20"/>
                                    <w:szCs w:val="20"/>
                                    <w:lang w:val="en-US"/>
                                  </w:rPr>
                                  <w:t xml:space="preserve"> RHT</w:t>
                                </w:r>
                              </w:p>
                            </w:txbxContent>
                          </v:textbox>
                        </v:rect>
                      </v:group>
                      <v:rect id="Rectangle 21554" o:spid="_x0000_s1502" style="position:absolute;left:6000;top:8477;width:3715;height:18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" filled="f" stroked="f">
                        <v:textbox inset="0,0,0,0">
                          <w:txbxContent>
                            <w:p w14:paraId="1FD04FE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 xml:space="preserve">½ </w:t>
                              </w:r>
                            </w:p>
                            <w:p w14:paraId="1595EDD8" w14:textId="77777777" w:rsidR="00CE6626" w:rsidRDefault="00CE6626" w:rsidP="00CE6626">
                              <w:pPr>
                                <w:jc w:val="right"/>
                                <w:rPr>
                                  <w:rFonts w:ascii="Calibri" w:hAnsi="Calibri" w:cs="Calibri"/>
                                  <w:sz w:val="20"/>
                                  <w:szCs w:val="20"/>
                                  <w:lang w:val="en-US"/>
                                </w:rPr>
                              </w:pPr>
                            </w:p>
                          </w:txbxContent>
                        </v:textbox>
                      </v:rect>
                    </v:group>
                    <v:rect id="Rectangle 21555" o:spid="_x0000_s1503" style="position:absolute;left:6096;top:4476;width:2000;height:2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" filled="f" stroked="f">
                      <v:textbox inset="0,0,0,0">
                        <w:txbxContent>
                          <w:p w14:paraId="216D1016"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700EEC8A" w14:textId="77777777" w:rsidR="00CE6626" w:rsidRDefault="00CE6626" w:rsidP="00CE6626">
                            <w:pPr>
                              <w:spacing w:before="0"/>
                              <w:jc w:val="left"/>
                              <w:rPr>
                                <w:rFonts w:ascii="Calibri" w:hAnsi="Calibri" w:cs="Calibri"/>
                                <w:sz w:val="20"/>
                                <w:szCs w:val="20"/>
                                <w:lang w:val="en-US"/>
                              </w:rPr>
                            </w:pPr>
                          </w:p>
                          <w:p w14:paraId="07954E17" w14:textId="77777777" w:rsidR="00CE6626" w:rsidRDefault="00CE6626" w:rsidP="00CE6626">
                            <w:pPr>
                              <w:jc w:val="left"/>
                              <w:rPr>
                                <w:rFonts w:ascii="Calibri" w:hAnsi="Calibri" w:cs="Calibri"/>
                                <w:sz w:val="20"/>
                                <w:szCs w:val="20"/>
                                <w:lang w:val="en-US"/>
                              </w:rPr>
                            </w:pPr>
                          </w:p>
                        </w:txbxContent>
                      </v:textbox>
                    </v:rect>
                  </v:group>
                  <v:rect id="Rectangle 21556" o:spid="_x0000_s1504" style="position:absolute;width:39147;height:1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" filled="f" strokecolor="black [3213]" strokeweight="1pt"/>
                </v:group>
                <v:group id="Group 21557" o:spid="_x0000_s1505" style="position:absolute;left:20669;top:1238;width:1619;height:1619"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">
                  <v:oval id="Oval 21558" o:spid="_x0000_s1506" style="position:absolute;left:47625;top:38100;width:71755;height:71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" filled="f" strokecolor="black [3213]" strokeweight="1pt">
                    <v:stroke joinstyle="miter"/>
                  </v:oval>
                  <v:group id="Group 21559" o:spid="_x0000_s1507" style="position:absolute;width:161925;height:161925" coordsize="162000,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">
                    <v:line id="Straight Connector 21560" o:spid="_x0000_s1508" style="position:absolute;flip:x;visibility:visible;mso-wrap-style:square" from="81000,0" to="81000,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" strokecolor="black [3213]" strokeweight=".5pt">
                      <v:stroke joinstyle="miter"/>
                    </v:line>
                    <v:line id="Straight Connector 21561" o:spid="_x0000_s1509" style="position:absolute;rotation:-90;flip:x;visibility:visible;mso-wrap-style:square" from="81000,0" to="81000,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" strokecolor="black [3213]" strokeweight=".5pt">
                      <v:stroke joinstyle="miter"/>
                    </v:line>
                  </v:group>
                </v:group>
              </v:group>
            </w:pict>
          </mc:Fallback>
        </mc:AlternateContent>
      </w:r>
      <w:r w:rsidR="00CE6626" w:rsidRPr="009D4627">
        <w:rPr>
          <w:rFonts w:eastAsia="Calibri"/>
          <w:bCs/>
          <w:szCs w:val="22"/>
          <w:lang w:val="en-MY"/>
        </w:rPr>
        <w:tab/>
      </w:r>
    </w:p>
    <w:p w14:paraId="3C2776D8" w14:textId="77777777" w:rsidR="00CE6626" w:rsidRPr="009D4627" w:rsidRDefault="00CE6626" w:rsidP="00CE6626">
      <w:pPr>
        <w:spacing w:before="0" w:after="0" w:line="240" w:lineRule="auto"/>
        <w:ind w:firstLine="720"/>
        <w:jc w:val="left"/>
        <w:rPr>
          <w:rFonts w:eastAsia="Calibri"/>
          <w:bCs/>
          <w:szCs w:val="22"/>
          <w:lang w:val="en-MY"/>
        </w:rPr>
      </w:pPr>
    </w:p>
    <w:p w14:paraId="51071E2D"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Cs/>
          <w:szCs w:val="22"/>
          <w:lang w:val="en-MY"/>
        </w:rPr>
        <w:t xml:space="preserve">                        </w:t>
      </w:r>
    </w:p>
    <w:p w14:paraId="191D78CB" w14:textId="77777777" w:rsidR="00CE6626" w:rsidRPr="009D4627" w:rsidRDefault="00CE6626" w:rsidP="00CE6626">
      <w:pPr>
        <w:spacing w:before="0" w:after="0" w:line="240" w:lineRule="auto"/>
        <w:rPr>
          <w:rFonts w:eastAsia="Calibri"/>
          <w:bCs/>
          <w:szCs w:val="22"/>
          <w:lang w:val="en-MY"/>
        </w:rPr>
      </w:pPr>
    </w:p>
    <w:p w14:paraId="1AAFD26C" w14:textId="77777777" w:rsidR="00CE6626" w:rsidRPr="009D4627" w:rsidRDefault="00CE6626" w:rsidP="00CE6626">
      <w:pPr>
        <w:spacing w:before="0" w:after="0" w:line="240" w:lineRule="auto"/>
        <w:rPr>
          <w:rFonts w:eastAsia="Calibri"/>
          <w:b/>
          <w:szCs w:val="22"/>
          <w:lang w:val="en-MY"/>
        </w:rPr>
      </w:pPr>
    </w:p>
    <w:p w14:paraId="6628486E" w14:textId="77777777" w:rsidR="00CE6626" w:rsidRPr="009D4627" w:rsidRDefault="00CE6626" w:rsidP="00CE6626">
      <w:pPr>
        <w:spacing w:before="0" w:after="0" w:line="240" w:lineRule="auto"/>
        <w:rPr>
          <w:rFonts w:eastAsia="Calibri"/>
          <w:b/>
          <w:szCs w:val="22"/>
          <w:lang w:val="en-MY"/>
        </w:rPr>
      </w:pPr>
    </w:p>
    <w:p w14:paraId="326FA3F1" w14:textId="77777777" w:rsidR="00CE6626" w:rsidRPr="009D4627" w:rsidRDefault="00CE6626" w:rsidP="00CE6626">
      <w:pPr>
        <w:spacing w:before="0" w:after="0" w:line="240" w:lineRule="auto"/>
        <w:rPr>
          <w:rFonts w:eastAsia="Calibri"/>
          <w:b/>
          <w:szCs w:val="22"/>
          <w:lang w:val="en-MY"/>
        </w:rPr>
      </w:pPr>
    </w:p>
    <w:p w14:paraId="7FF11150" w14:textId="77777777" w:rsidR="00CE6626" w:rsidRPr="009D4627" w:rsidRDefault="00CE6626" w:rsidP="00CE6626">
      <w:pPr>
        <w:spacing w:before="0" w:after="0" w:line="240" w:lineRule="auto"/>
        <w:rPr>
          <w:rFonts w:eastAsia="Calibri"/>
          <w:b/>
          <w:szCs w:val="22"/>
          <w:lang w:val="en-MY"/>
        </w:rPr>
      </w:pPr>
    </w:p>
    <w:p w14:paraId="5E32362D" w14:textId="77777777" w:rsidR="00CE6626" w:rsidRPr="009D4627" w:rsidRDefault="00CE6626" w:rsidP="00CE6626">
      <w:pPr>
        <w:spacing w:before="0" w:after="0" w:line="240" w:lineRule="auto"/>
        <w:rPr>
          <w:rFonts w:eastAsia="Calibri"/>
          <w:b/>
          <w:szCs w:val="22"/>
          <w:lang w:val="en-MY"/>
        </w:rPr>
      </w:pPr>
    </w:p>
    <w:p w14:paraId="47554FF6" w14:textId="77777777" w:rsidR="00CE6626" w:rsidRPr="009D4627" w:rsidRDefault="00CE6626" w:rsidP="00CE6626">
      <w:pPr>
        <w:spacing w:before="0" w:after="0" w:line="240" w:lineRule="auto"/>
        <w:rPr>
          <w:rFonts w:eastAsia="Calibri"/>
          <w:b/>
          <w:szCs w:val="22"/>
          <w:lang w:val="en-MY"/>
        </w:rPr>
      </w:pPr>
    </w:p>
    <w:p w14:paraId="2EE9749F"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Worth lights:</w:t>
      </w:r>
      <w:r w:rsidRPr="009D4627">
        <w:rPr>
          <w:rFonts w:eastAsia="Calibri"/>
          <w:szCs w:val="22"/>
          <w:lang w:val="en-MY"/>
        </w:rPr>
        <w:t xml:space="preserve"> </w:t>
      </w:r>
      <w:r w:rsidRPr="009D4627">
        <w:rPr>
          <w:rFonts w:eastAsia="Calibri"/>
          <w:szCs w:val="22"/>
          <w:lang w:val="en-MY"/>
        </w:rPr>
        <w:tab/>
      </w:r>
      <w:r w:rsidRPr="009D4627">
        <w:rPr>
          <w:rFonts w:eastAsia="Calibri"/>
          <w:szCs w:val="22"/>
          <w:lang w:val="en-MY"/>
        </w:rPr>
        <w:tab/>
        <w:t>1/3 m &amp; 6 m</w:t>
      </w:r>
      <w:r w:rsidRPr="009D4627">
        <w:rPr>
          <w:rFonts w:eastAsia="Calibri"/>
          <w:szCs w:val="22"/>
          <w:lang w:val="en-MY"/>
        </w:rPr>
        <w:tab/>
        <w:t>BSV</w:t>
      </w:r>
    </w:p>
    <w:p w14:paraId="4D2BD2F3" w14:textId="77777777" w:rsidR="00CE6626" w:rsidRPr="009D4627" w:rsidRDefault="00CE6626" w:rsidP="00CE6626">
      <w:pPr>
        <w:spacing w:before="0" w:after="0" w:line="240" w:lineRule="auto"/>
        <w:rPr>
          <w:rFonts w:eastAsia="Calibri"/>
          <w:b/>
          <w:szCs w:val="22"/>
          <w:lang w:val="en-MY"/>
        </w:rPr>
      </w:pPr>
      <w:r w:rsidRPr="009D4627">
        <w:rPr>
          <w:rFonts w:eastAsia="Calibri"/>
          <w:szCs w:val="22"/>
          <w:lang w:val="en-MY"/>
        </w:rPr>
        <w:tab/>
      </w:r>
      <w:r w:rsidRPr="009D4627">
        <w:rPr>
          <w:rFonts w:eastAsia="Calibri"/>
          <w:szCs w:val="22"/>
          <w:lang w:val="en-MY"/>
        </w:rPr>
        <w:tab/>
      </w:r>
      <w:r w:rsidRPr="009D4627">
        <w:rPr>
          <w:rFonts w:eastAsia="Calibri"/>
          <w:szCs w:val="22"/>
          <w:lang w:val="en-MY"/>
        </w:rPr>
        <w:tab/>
      </w:r>
    </w:p>
    <w:p w14:paraId="2548904B" w14:textId="77777777" w:rsidR="00CE6626" w:rsidRPr="009D4627" w:rsidRDefault="00CE6626" w:rsidP="00CE6626">
      <w:pPr>
        <w:spacing w:before="0" w:after="0" w:line="240" w:lineRule="auto"/>
        <w:ind w:left="1276" w:hanging="1276"/>
        <w:rPr>
          <w:rFonts w:eastAsia="Calibri"/>
          <w:b/>
          <w:szCs w:val="22"/>
          <w:lang w:val="en-MY"/>
        </w:rPr>
      </w:pPr>
      <w:r w:rsidRPr="009D4627">
        <w:rPr>
          <w:rFonts w:eastAsia="Calibri"/>
          <w:b/>
          <w:szCs w:val="22"/>
          <w:lang w:val="en-MY"/>
        </w:rPr>
        <w:t xml:space="preserve">PFR: </w:t>
      </w:r>
      <w:r w:rsidRPr="009D4627">
        <w:rPr>
          <w:rFonts w:eastAsia="Calibri"/>
          <w:b/>
          <w:szCs w:val="22"/>
          <w:lang w:val="en-MY"/>
        </w:rPr>
        <w:tab/>
      </w:r>
      <w:r w:rsidRPr="009D4627">
        <w:rPr>
          <w:rFonts w:eastAsia="Calibri"/>
          <w:bCs/>
          <w:szCs w:val="22"/>
          <w:lang w:val="en-MY"/>
        </w:rPr>
        <w:t xml:space="preserve">with readers </w:t>
      </w:r>
      <w:r w:rsidRPr="009D4627">
        <w:rPr>
          <w:rFonts w:eastAsia="Calibri"/>
          <w:bCs/>
          <w:szCs w:val="22"/>
          <w:lang w:val="en-MY"/>
        </w:rPr>
        <w:tab/>
        <w:t xml:space="preserve">1/3 m </w:t>
      </w:r>
      <w:r w:rsidRPr="009D4627">
        <w:rPr>
          <w:rFonts w:eastAsia="Calibri"/>
          <w:bCs/>
          <w:szCs w:val="22"/>
          <w:lang w:val="en-MY"/>
        </w:rPr>
        <w:tab/>
      </w:r>
      <w:r w:rsidRPr="009D4627">
        <w:rPr>
          <w:rFonts w:eastAsia="Calibri"/>
          <w:bCs/>
          <w:lang w:val="en-MY"/>
        </w:rPr>
        <w:t>45</w:t>
      </w:r>
      <w:r w:rsidRPr="009D4627">
        <w:rPr>
          <w:vertAlign w:val="superscript"/>
          <w:lang w:val="en-US"/>
        </w:rPr>
        <w:t>Δ</w:t>
      </w:r>
      <w:r w:rsidRPr="009D4627">
        <w:rPr>
          <w:lang w:val="en-US"/>
        </w:rPr>
        <w:t xml:space="preserve"> BO - 8</w:t>
      </w:r>
      <w:r w:rsidRPr="009D4627">
        <w:rPr>
          <w:vertAlign w:val="superscript"/>
          <w:lang w:val="en-US"/>
        </w:rPr>
        <w:t xml:space="preserve">Δ </w:t>
      </w:r>
      <w:r w:rsidRPr="009D4627">
        <w:rPr>
          <w:lang w:val="en-US"/>
        </w:rPr>
        <w:t>BI</w:t>
      </w:r>
    </w:p>
    <w:p w14:paraId="6BD442D1" w14:textId="77777777" w:rsidR="00CE6626" w:rsidRPr="009D4627" w:rsidRDefault="00CE6626" w:rsidP="00CE6626">
      <w:pPr>
        <w:spacing w:before="0" w:after="0" w:line="240" w:lineRule="auto"/>
        <w:ind w:left="1276"/>
        <w:rPr>
          <w:rFonts w:eastAsia="Calibri"/>
          <w:bCs/>
          <w:szCs w:val="22"/>
          <w:lang w:val="en-MY"/>
        </w:rPr>
      </w:pPr>
      <w:r w:rsidRPr="009D4627">
        <w:rPr>
          <w:rFonts w:eastAsia="Calibri"/>
          <w:bCs/>
          <w:szCs w:val="22"/>
          <w:lang w:val="en-MY"/>
        </w:rPr>
        <w:t xml:space="preserve">        unaided </w:t>
      </w:r>
      <w:r w:rsidRPr="009D4627">
        <w:rPr>
          <w:rFonts w:eastAsia="Calibri"/>
          <w:bCs/>
          <w:szCs w:val="22"/>
          <w:lang w:val="en-MY"/>
        </w:rPr>
        <w:tab/>
        <w:t xml:space="preserve">    6 m </w:t>
      </w:r>
      <w:r w:rsidRPr="009D4627">
        <w:rPr>
          <w:rFonts w:eastAsia="Calibri"/>
          <w:bCs/>
          <w:szCs w:val="22"/>
          <w:lang w:val="en-MY"/>
        </w:rPr>
        <w:tab/>
      </w:r>
      <w:r w:rsidRPr="009D4627">
        <w:rPr>
          <w:rFonts w:eastAsia="Calibri"/>
          <w:bCs/>
          <w:lang w:val="en-MY"/>
        </w:rPr>
        <w:t>45</w:t>
      </w:r>
      <w:r w:rsidRPr="009D4627">
        <w:rPr>
          <w:vertAlign w:val="superscript"/>
          <w:lang w:val="en-US"/>
        </w:rPr>
        <w:t>Δ</w:t>
      </w:r>
      <w:r w:rsidRPr="009D4627">
        <w:rPr>
          <w:lang w:val="en-US"/>
        </w:rPr>
        <w:t xml:space="preserve"> BO - 8</w:t>
      </w:r>
      <w:r w:rsidRPr="009D4627">
        <w:rPr>
          <w:vertAlign w:val="superscript"/>
          <w:lang w:val="en-US"/>
        </w:rPr>
        <w:t xml:space="preserve">Δ </w:t>
      </w:r>
      <w:r w:rsidRPr="009D4627">
        <w:rPr>
          <w:lang w:val="en-US"/>
        </w:rPr>
        <w:t>BI</w:t>
      </w:r>
    </w:p>
    <w:p w14:paraId="49144742" w14:textId="77777777" w:rsidR="00CE6626" w:rsidRPr="009D4627" w:rsidRDefault="00CE6626" w:rsidP="00CE6626">
      <w:pPr>
        <w:spacing w:before="0" w:after="0" w:line="240" w:lineRule="auto"/>
        <w:rPr>
          <w:rFonts w:eastAsia="Calibri"/>
          <w:szCs w:val="22"/>
          <w:lang w:val="en-MY"/>
        </w:rPr>
      </w:pPr>
    </w:p>
    <w:p w14:paraId="29FE8838" w14:textId="77777777" w:rsidR="00CE6626" w:rsidRPr="009D4627" w:rsidRDefault="00CE6626" w:rsidP="00CE6626">
      <w:pPr>
        <w:spacing w:before="0" w:after="0" w:line="240" w:lineRule="auto"/>
        <w:rPr>
          <w:rFonts w:eastAsia="Calibri"/>
          <w:szCs w:val="22"/>
          <w:lang w:val="en-MY"/>
        </w:rPr>
      </w:pPr>
      <w:r w:rsidRPr="009D4627">
        <w:rPr>
          <w:rFonts w:eastAsia="Calibri"/>
          <w:b/>
          <w:bCs/>
          <w:szCs w:val="22"/>
          <w:lang w:val="en-MY"/>
        </w:rPr>
        <w:t>Frisby:</w:t>
      </w:r>
      <w:r w:rsidRPr="009D4627">
        <w:rPr>
          <w:rFonts w:eastAsia="Calibri"/>
          <w:b/>
          <w:bCs/>
          <w:szCs w:val="22"/>
          <w:lang w:val="en-MY"/>
        </w:rPr>
        <w:tab/>
      </w:r>
      <w:r w:rsidRPr="009D4627">
        <w:rPr>
          <w:rFonts w:eastAsia="Calibri"/>
          <w:szCs w:val="22"/>
          <w:lang w:val="en-MY"/>
        </w:rPr>
        <w:t xml:space="preserve"> </w:t>
      </w:r>
      <w:r w:rsidRPr="009D4627">
        <w:rPr>
          <w:rFonts w:eastAsia="Calibri"/>
          <w:szCs w:val="22"/>
          <w:lang w:val="en-MY"/>
        </w:rPr>
        <w:tab/>
      </w:r>
      <w:r w:rsidRPr="009D4627">
        <w:rPr>
          <w:rFonts w:eastAsia="Calibri"/>
          <w:bCs/>
          <w:szCs w:val="22"/>
          <w:lang w:val="en-MY"/>
        </w:rPr>
        <w:t xml:space="preserve">with readers </w:t>
      </w:r>
      <w:r w:rsidRPr="009D4627">
        <w:rPr>
          <w:rFonts w:eastAsia="Calibri"/>
          <w:bCs/>
          <w:szCs w:val="22"/>
          <w:lang w:val="en-MY"/>
        </w:rPr>
        <w:tab/>
        <w:t>20”</w:t>
      </w:r>
      <w:r w:rsidRPr="009D4627">
        <w:rPr>
          <w:rFonts w:eastAsia="Calibri"/>
          <w:szCs w:val="22"/>
          <w:lang w:val="en-MY"/>
        </w:rPr>
        <w:tab/>
      </w:r>
      <w:r w:rsidRPr="009D4627">
        <w:rPr>
          <w:rFonts w:eastAsia="Calibri"/>
          <w:szCs w:val="22"/>
          <w:lang w:val="en-MY"/>
        </w:rPr>
        <w:tab/>
      </w:r>
      <w:r w:rsidRPr="009D4627">
        <w:rPr>
          <w:rFonts w:eastAsia="Calibri"/>
          <w:szCs w:val="22"/>
          <w:lang w:val="en-MY"/>
        </w:rPr>
        <w:tab/>
      </w:r>
    </w:p>
    <w:p w14:paraId="24BC8CA2" w14:textId="77777777" w:rsidR="00CE6626" w:rsidRPr="009D4627" w:rsidRDefault="00CE6626" w:rsidP="00CE6626">
      <w:pPr>
        <w:spacing w:before="0" w:after="0" w:line="240" w:lineRule="auto"/>
        <w:rPr>
          <w:rFonts w:eastAsia="Calibri"/>
          <w:szCs w:val="22"/>
          <w:lang w:val="en-MY"/>
        </w:rPr>
      </w:pPr>
    </w:p>
    <w:p w14:paraId="706BF6D8"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b/>
          <w:bCs/>
          <w:szCs w:val="22"/>
          <w:lang w:val="en-MY"/>
        </w:rPr>
        <w:t>Assessment &amp; Plan:</w:t>
      </w:r>
      <w:r w:rsidRPr="009D4627">
        <w:rPr>
          <w:rFonts w:eastAsia="Calibri"/>
          <w:b/>
          <w:bCs/>
          <w:szCs w:val="22"/>
          <w:lang w:val="en-MY"/>
        </w:rPr>
        <w:tab/>
      </w:r>
      <w:r w:rsidRPr="009D4627">
        <w:rPr>
          <w:rFonts w:eastAsia="Calibri"/>
          <w:szCs w:val="22"/>
          <w:lang w:val="en-MY"/>
        </w:rPr>
        <w:t>Recovered RIR weakness.</w:t>
      </w:r>
    </w:p>
    <w:p w14:paraId="78E9AE0F"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b/>
          <w:bCs/>
          <w:szCs w:val="22"/>
          <w:lang w:val="en-MY"/>
        </w:rPr>
        <w:tab/>
      </w:r>
      <w:r w:rsidRPr="009D4627">
        <w:rPr>
          <w:rFonts w:eastAsia="Calibri"/>
          <w:szCs w:val="22"/>
          <w:lang w:val="en-MY"/>
        </w:rPr>
        <w:t xml:space="preserve">Still shows minimal </w:t>
      </w:r>
      <w:proofErr w:type="spellStart"/>
      <w:r w:rsidRPr="009D4627">
        <w:rPr>
          <w:rFonts w:eastAsia="Calibri"/>
          <w:szCs w:val="22"/>
          <w:lang w:val="en-MY"/>
        </w:rPr>
        <w:t>underaction</w:t>
      </w:r>
      <w:proofErr w:type="spellEnd"/>
      <w:r w:rsidRPr="009D4627">
        <w:rPr>
          <w:rFonts w:eastAsia="Calibri"/>
          <w:szCs w:val="22"/>
          <w:lang w:val="en-MY"/>
        </w:rPr>
        <w:t xml:space="preserve"> RE on R gaze with ET.</w:t>
      </w:r>
    </w:p>
    <w:p w14:paraId="37C75D60"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szCs w:val="22"/>
          <w:lang w:val="en-MY"/>
        </w:rPr>
        <w:tab/>
        <w:t>Waiting for ophthalmology appointment for result of MG testing.</w:t>
      </w:r>
    </w:p>
    <w:p w14:paraId="76560350" w14:textId="77777777" w:rsidR="00CE6626" w:rsidRPr="009D4627" w:rsidRDefault="00CE6626" w:rsidP="00CE6626">
      <w:pPr>
        <w:spacing w:before="0" w:after="0" w:line="240" w:lineRule="auto"/>
        <w:rPr>
          <w:rFonts w:eastAsia="Calibri"/>
          <w:b/>
          <w:szCs w:val="22"/>
          <w:u w:val="single"/>
          <w:lang w:val="en-MY"/>
        </w:rPr>
      </w:pPr>
    </w:p>
    <w:p w14:paraId="5CCA134A" w14:textId="77777777" w:rsidR="00CE6626" w:rsidRPr="009D4627" w:rsidRDefault="00CE6626" w:rsidP="00CE6626">
      <w:pPr>
        <w:spacing w:before="0" w:after="0" w:line="240" w:lineRule="auto"/>
        <w:rPr>
          <w:rFonts w:eastAsia="Calibri"/>
          <w:b/>
          <w:szCs w:val="22"/>
          <w:u w:val="single"/>
          <w:lang w:val="en-MY"/>
        </w:rPr>
      </w:pPr>
    </w:p>
    <w:p w14:paraId="4F52E835" w14:textId="77777777" w:rsidR="00CE6626" w:rsidRPr="009D4627" w:rsidRDefault="00CE6626" w:rsidP="00CE6626">
      <w:pPr>
        <w:spacing w:before="0" w:after="0" w:line="240" w:lineRule="auto"/>
        <w:rPr>
          <w:rFonts w:eastAsia="Calibri"/>
          <w:bCs/>
          <w:szCs w:val="22"/>
          <w:u w:val="single"/>
          <w:lang w:val="en-MY"/>
        </w:rPr>
      </w:pPr>
      <w:r w:rsidRPr="009D4627">
        <w:rPr>
          <w:rFonts w:eastAsia="Calibri"/>
          <w:b/>
          <w:szCs w:val="22"/>
          <w:u w:val="single"/>
          <w:lang w:val="en-MY"/>
        </w:rPr>
        <w:t xml:space="preserve">Clinical visit 3: </w:t>
      </w:r>
      <w:r w:rsidRPr="009D4627">
        <w:rPr>
          <w:rFonts w:eastAsia="Calibri"/>
          <w:bCs/>
          <w:szCs w:val="22"/>
          <w:u w:val="single"/>
          <w:lang w:val="en-MY"/>
        </w:rPr>
        <w:t>10/10/2018 (8 week</w:t>
      </w:r>
      <w:r w:rsidRPr="009D4627">
        <w:rPr>
          <w:rFonts w:eastAsia="Calibri"/>
          <w:bCs/>
          <w:color w:val="auto"/>
          <w:szCs w:val="22"/>
          <w:u w:val="single"/>
          <w:lang w:val="en-MY"/>
        </w:rPr>
        <w:t>s from onset</w:t>
      </w:r>
      <w:r w:rsidRPr="009D4627">
        <w:rPr>
          <w:rFonts w:eastAsia="Calibri"/>
          <w:bCs/>
          <w:szCs w:val="22"/>
          <w:u w:val="single"/>
          <w:lang w:val="en-MY"/>
        </w:rPr>
        <w:t>) - Orthoptic assessment</w:t>
      </w:r>
    </w:p>
    <w:p w14:paraId="3AA3096E" w14:textId="77777777" w:rsidR="00CE6626" w:rsidRPr="009D4627" w:rsidRDefault="00CE6626" w:rsidP="00CE6626">
      <w:pPr>
        <w:spacing w:before="0" w:after="0" w:line="240" w:lineRule="auto"/>
        <w:rPr>
          <w:rFonts w:eastAsia="Calibri"/>
          <w:bCs/>
          <w:szCs w:val="22"/>
          <w:u w:val="single"/>
          <w:lang w:val="en-MY"/>
        </w:rPr>
      </w:pPr>
    </w:p>
    <w:p w14:paraId="1BAD8213"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unaided </w:t>
      </w:r>
      <w:r w:rsidRPr="009D4627">
        <w:rPr>
          <w:rFonts w:eastAsia="Calibri"/>
          <w:bCs/>
          <w:szCs w:val="22"/>
          <w:lang w:val="en-MY"/>
        </w:rPr>
        <w:tab/>
        <w:t>RE 0.16</w:t>
      </w:r>
      <w:r w:rsidRPr="009D4627">
        <w:rPr>
          <w:rFonts w:eastAsia="Calibri"/>
          <w:bCs/>
          <w:szCs w:val="22"/>
          <w:lang w:val="en-MY"/>
        </w:rPr>
        <w:tab/>
        <w:t xml:space="preserve">LE 0.12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6A63E6D2"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Pr="009D4627">
        <w:rPr>
          <w:rFonts w:eastAsia="Calibri"/>
          <w:bCs/>
          <w:szCs w:val="22"/>
          <w:lang w:val="en-MY"/>
        </w:rPr>
        <w:t>6/9.5</w:t>
      </w:r>
      <w:r w:rsidRPr="009D4627">
        <w:rPr>
          <w:rFonts w:eastAsia="Calibri"/>
          <w:bCs/>
          <w:szCs w:val="22"/>
          <w:vertAlign w:val="superscript"/>
          <w:lang w:val="en-MY"/>
        </w:rPr>
        <w:t>+2</w:t>
      </w:r>
      <w:r w:rsidRPr="009D4627">
        <w:rPr>
          <w:rFonts w:eastAsia="Calibri"/>
          <w:bCs/>
          <w:szCs w:val="22"/>
          <w:lang w:val="en-MY"/>
        </w:rPr>
        <w:tab/>
        <w:t xml:space="preserve">     6/7.5</w:t>
      </w:r>
      <w:r w:rsidRPr="009D4627">
        <w:rPr>
          <w:rFonts w:eastAsia="Calibri"/>
          <w:bCs/>
          <w:szCs w:val="22"/>
          <w:vertAlign w:val="superscript"/>
          <w:lang w:val="en-MY"/>
        </w:rPr>
        <w:t>-1</w:t>
      </w:r>
      <w:r w:rsidRPr="009D4627">
        <w:rPr>
          <w:rFonts w:eastAsia="Calibri"/>
          <w:bCs/>
          <w:szCs w:val="22"/>
          <w:lang w:val="en-MY"/>
        </w:rPr>
        <w:tab/>
        <w:t>Snellen equivalent</w:t>
      </w:r>
    </w:p>
    <w:p w14:paraId="159AF0EA"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p>
    <w:p w14:paraId="741906B0"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 readers </w:t>
      </w:r>
      <w:r w:rsidRPr="009D4627">
        <w:rPr>
          <w:rFonts w:eastAsia="Calibri"/>
          <w:bCs/>
          <w:szCs w:val="22"/>
          <w:lang w:val="en-MY"/>
        </w:rPr>
        <w:tab/>
        <w:t xml:space="preserve">1/3 m </w:t>
      </w:r>
      <w:r w:rsidRPr="009D4627">
        <w:rPr>
          <w:rFonts w:eastAsia="Calibri"/>
          <w:bCs/>
          <w:szCs w:val="22"/>
          <w:lang w:val="en-MY"/>
        </w:rPr>
        <w:tab/>
        <w:t>very small E+X with good recovery</w:t>
      </w:r>
    </w:p>
    <w:p w14:paraId="7F228B4A" w14:textId="77777777" w:rsidR="00CE6626" w:rsidRPr="009D4627" w:rsidRDefault="00CE6626" w:rsidP="00CE6626">
      <w:pPr>
        <w:spacing w:before="0" w:after="0" w:line="240" w:lineRule="auto"/>
        <w:ind w:left="1276"/>
        <w:rPr>
          <w:rFonts w:eastAsia="Calibri"/>
          <w:bCs/>
          <w:szCs w:val="22"/>
          <w:lang w:val="en-MY"/>
        </w:rPr>
      </w:pPr>
      <w:r w:rsidRPr="009D4627">
        <w:rPr>
          <w:rFonts w:eastAsia="Calibri"/>
          <w:bCs/>
          <w:szCs w:val="22"/>
          <w:lang w:val="en-MY"/>
        </w:rPr>
        <w:t xml:space="preserve">        unaided </w:t>
      </w:r>
      <w:r w:rsidRPr="009D4627">
        <w:rPr>
          <w:rFonts w:eastAsia="Calibri"/>
          <w:bCs/>
          <w:szCs w:val="22"/>
          <w:lang w:val="en-MY"/>
        </w:rPr>
        <w:tab/>
        <w:t xml:space="preserve">    6 m </w:t>
      </w:r>
      <w:r w:rsidRPr="009D4627">
        <w:rPr>
          <w:rFonts w:eastAsia="Calibri"/>
          <w:bCs/>
          <w:szCs w:val="22"/>
          <w:lang w:val="en-MY"/>
        </w:rPr>
        <w:tab/>
        <w:t>very small E with good recovery</w:t>
      </w:r>
    </w:p>
    <w:p w14:paraId="6B4691BD" w14:textId="77777777" w:rsidR="00CE6626" w:rsidRPr="009D4627" w:rsidRDefault="00CE6626" w:rsidP="00CE6626">
      <w:pPr>
        <w:spacing w:before="0" w:after="0" w:line="240" w:lineRule="auto"/>
        <w:ind w:left="1276"/>
        <w:rPr>
          <w:rFonts w:eastAsia="Calibri"/>
          <w:bCs/>
          <w:szCs w:val="22"/>
          <w:lang w:val="en-MY"/>
        </w:rPr>
      </w:pPr>
    </w:p>
    <w:p w14:paraId="0D51E33E" w14:textId="77777777" w:rsidR="00CE6626" w:rsidRPr="009D4627" w:rsidRDefault="00CE6626" w:rsidP="00CE6626">
      <w:pPr>
        <w:spacing w:before="0" w:after="0" w:line="240" w:lineRule="auto"/>
        <w:jc w:val="left"/>
        <w:rPr>
          <w:rFonts w:eastAsia="Calibri"/>
          <w:bCs/>
          <w:szCs w:val="22"/>
          <w:lang w:val="en-MY"/>
        </w:rPr>
      </w:pPr>
      <w:r w:rsidRPr="009D4627">
        <w:rPr>
          <w:rFonts w:eastAsia="Calibri"/>
          <w:b/>
          <w:szCs w:val="22"/>
          <w:lang w:val="en-MY"/>
        </w:rPr>
        <w:t>Convergence:</w:t>
      </w:r>
      <w:r w:rsidRPr="009D4627">
        <w:rPr>
          <w:rFonts w:eastAsia="Calibri"/>
          <w:b/>
          <w:szCs w:val="22"/>
          <w:lang w:val="en-MY"/>
        </w:rPr>
        <w:tab/>
      </w:r>
      <w:r w:rsidRPr="009D4627">
        <w:rPr>
          <w:rFonts w:eastAsia="Calibri"/>
          <w:bCs/>
          <w:szCs w:val="22"/>
          <w:lang w:val="en-MY"/>
        </w:rPr>
        <w:t>with readers</w:t>
      </w:r>
      <w:r w:rsidRPr="009D4627">
        <w:rPr>
          <w:rFonts w:eastAsia="Calibri"/>
          <w:bCs/>
          <w:szCs w:val="22"/>
          <w:lang w:val="en-MY"/>
        </w:rPr>
        <w:tab/>
        <w:t>binoculars to 6-7 cm and maintained</w:t>
      </w:r>
    </w:p>
    <w:p w14:paraId="19878470" w14:textId="77777777" w:rsidR="00CE6626" w:rsidRPr="009D4627" w:rsidRDefault="00CE6626" w:rsidP="00CE6626">
      <w:pPr>
        <w:spacing w:before="0" w:after="0" w:line="240" w:lineRule="auto"/>
        <w:jc w:val="left"/>
        <w:rPr>
          <w:rFonts w:eastAsia="Calibri"/>
          <w:b/>
          <w:szCs w:val="22"/>
          <w:lang w:val="en-MY"/>
        </w:rPr>
      </w:pPr>
    </w:p>
    <w:p w14:paraId="7EF07807" w14:textId="77777777" w:rsidR="00CE6626" w:rsidRPr="009D4627" w:rsidRDefault="00CE6626" w:rsidP="00CE6626">
      <w:pPr>
        <w:spacing w:before="0" w:after="0" w:line="240" w:lineRule="auto"/>
        <w:jc w:val="left"/>
        <w:rPr>
          <w:lang w:val="en-US"/>
        </w:rPr>
      </w:pPr>
      <w:r w:rsidRPr="009D4627">
        <w:rPr>
          <w:rFonts w:eastAsia="Calibri"/>
          <w:b/>
          <w:szCs w:val="22"/>
          <w:lang w:val="en-MY"/>
        </w:rPr>
        <w:t>PFR:</w:t>
      </w:r>
      <w:r w:rsidRPr="009D4627">
        <w:rPr>
          <w:rFonts w:eastAsia="Calibri"/>
          <w:b/>
          <w:szCs w:val="22"/>
          <w:lang w:val="en-MY"/>
        </w:rPr>
        <w:tab/>
        <w:t xml:space="preserve"> </w:t>
      </w:r>
      <w:r w:rsidRPr="009D4627">
        <w:rPr>
          <w:rFonts w:eastAsia="Calibri"/>
          <w:b/>
          <w:szCs w:val="22"/>
          <w:lang w:val="en-MY"/>
        </w:rPr>
        <w:tab/>
      </w:r>
      <w:r w:rsidRPr="009D4627">
        <w:rPr>
          <w:rFonts w:eastAsia="Calibri"/>
          <w:bCs/>
          <w:szCs w:val="22"/>
          <w:lang w:val="en-MY"/>
        </w:rPr>
        <w:t>with readers</w:t>
      </w:r>
      <w:r w:rsidRPr="009D4627">
        <w:rPr>
          <w:rFonts w:eastAsia="Calibri"/>
          <w:b/>
          <w:szCs w:val="22"/>
          <w:lang w:val="en-MY"/>
        </w:rPr>
        <w:t xml:space="preserve"> </w:t>
      </w:r>
      <w:r w:rsidRPr="009D4627">
        <w:rPr>
          <w:rFonts w:eastAsia="Calibri"/>
          <w:b/>
          <w:szCs w:val="22"/>
          <w:lang w:val="en-MY"/>
        </w:rPr>
        <w:tab/>
      </w:r>
      <w:r w:rsidRPr="009D4627">
        <w:rPr>
          <w:rFonts w:eastAsia="Calibri"/>
          <w:bCs/>
          <w:szCs w:val="22"/>
          <w:lang w:val="en-MY"/>
        </w:rPr>
        <w:t>1/3 m</w:t>
      </w:r>
      <w:r w:rsidRPr="009D4627">
        <w:rPr>
          <w:rFonts w:eastAsia="Calibri"/>
          <w:b/>
          <w:szCs w:val="22"/>
          <w:lang w:val="en-MY"/>
        </w:rPr>
        <w:t xml:space="preserve"> </w:t>
      </w:r>
      <w:r w:rsidRPr="009D4627">
        <w:rPr>
          <w:rFonts w:eastAsia="Calibri"/>
          <w:b/>
          <w:szCs w:val="22"/>
          <w:lang w:val="en-MY"/>
        </w:rPr>
        <w:tab/>
      </w:r>
      <w:r w:rsidRPr="009D4627">
        <w:rPr>
          <w:rFonts w:eastAsia="Calibri"/>
          <w:bCs/>
          <w:szCs w:val="22"/>
          <w:lang w:val="en-MY"/>
        </w:rPr>
        <w:t>12</w:t>
      </w:r>
      <w:r w:rsidRPr="009D4627">
        <w:rPr>
          <w:vertAlign w:val="superscript"/>
          <w:lang w:val="en-US"/>
        </w:rPr>
        <w:t>Δ</w:t>
      </w:r>
      <w:r w:rsidRPr="009D4627">
        <w:rPr>
          <w:lang w:val="en-US"/>
        </w:rPr>
        <w:t xml:space="preserve"> BI - 45</w:t>
      </w:r>
      <w:r w:rsidRPr="009D4627">
        <w:rPr>
          <w:vertAlign w:val="superscript"/>
          <w:lang w:val="en-US"/>
        </w:rPr>
        <w:t xml:space="preserve">Δ </w:t>
      </w:r>
      <w:r w:rsidRPr="009D4627">
        <w:rPr>
          <w:lang w:val="en-US"/>
        </w:rPr>
        <w:t>BO</w:t>
      </w:r>
    </w:p>
    <w:p w14:paraId="6A399F59" w14:textId="77777777" w:rsidR="00CE6626" w:rsidRPr="009D4627" w:rsidRDefault="00CE6626" w:rsidP="00CE6626">
      <w:pPr>
        <w:spacing w:before="0" w:after="0" w:line="240" w:lineRule="auto"/>
        <w:ind w:left="720" w:firstLine="720"/>
        <w:jc w:val="left"/>
        <w:rPr>
          <w:lang w:val="en-US"/>
        </w:rPr>
      </w:pPr>
      <w:r w:rsidRPr="009D4627">
        <w:rPr>
          <w:rFonts w:eastAsia="Calibri"/>
          <w:bCs/>
          <w:lang w:val="en-MY"/>
        </w:rPr>
        <w:t xml:space="preserve">Unaided </w:t>
      </w:r>
      <w:r w:rsidRPr="009D4627">
        <w:rPr>
          <w:rFonts w:eastAsia="Calibri"/>
          <w:bCs/>
          <w:lang w:val="en-MY"/>
        </w:rPr>
        <w:tab/>
        <w:t>6 m</w:t>
      </w:r>
      <w:r w:rsidRPr="009D4627">
        <w:rPr>
          <w:rFonts w:eastAsia="Calibri"/>
          <w:bCs/>
          <w:lang w:val="en-MY"/>
        </w:rPr>
        <w:tab/>
        <w:t>4-6</w:t>
      </w:r>
      <w:r w:rsidRPr="009D4627">
        <w:rPr>
          <w:vertAlign w:val="superscript"/>
          <w:lang w:val="en-US"/>
        </w:rPr>
        <w:t>Δ</w:t>
      </w:r>
      <w:r w:rsidRPr="009D4627">
        <w:rPr>
          <w:lang w:val="en-US"/>
        </w:rPr>
        <w:t xml:space="preserve"> BI - 25</w:t>
      </w:r>
      <w:r w:rsidRPr="009D4627">
        <w:rPr>
          <w:vertAlign w:val="superscript"/>
          <w:lang w:val="en-US"/>
        </w:rPr>
        <w:t xml:space="preserve">Δ </w:t>
      </w:r>
      <w:r w:rsidRPr="009D4627">
        <w:rPr>
          <w:lang w:val="en-US"/>
        </w:rPr>
        <w:t>BO</w:t>
      </w:r>
    </w:p>
    <w:p w14:paraId="3FA30E72" w14:textId="77777777" w:rsidR="00CE6626" w:rsidRPr="009D4627" w:rsidRDefault="00CE6626" w:rsidP="00CE6626">
      <w:pPr>
        <w:spacing w:before="0" w:after="0" w:line="240" w:lineRule="auto"/>
        <w:jc w:val="left"/>
        <w:rPr>
          <w:rFonts w:eastAsia="Calibri"/>
          <w:bCs/>
          <w:szCs w:val="22"/>
          <w:lang w:val="en-MY"/>
        </w:rPr>
      </w:pPr>
    </w:p>
    <w:p w14:paraId="6D6E0194" w14:textId="77777777" w:rsidR="00CE6626" w:rsidRPr="009D4627" w:rsidRDefault="00CE6626" w:rsidP="00CE6626">
      <w:pPr>
        <w:spacing w:before="0" w:after="0" w:line="240" w:lineRule="auto"/>
        <w:jc w:val="left"/>
        <w:rPr>
          <w:rFonts w:eastAsia="Calibri"/>
          <w:bCs/>
          <w:szCs w:val="22"/>
          <w:lang w:val="en-MY"/>
        </w:rPr>
      </w:pPr>
      <w:r w:rsidRPr="009D4627">
        <w:rPr>
          <w:rFonts w:eastAsia="Calibri"/>
          <w:b/>
          <w:bCs/>
          <w:szCs w:val="22"/>
          <w:lang w:val="en-MY"/>
        </w:rPr>
        <w:t>Frisby:</w:t>
      </w:r>
      <w:r w:rsidRPr="009D4627">
        <w:rPr>
          <w:rFonts w:eastAsia="Calibri"/>
          <w:b/>
          <w:bCs/>
          <w:szCs w:val="22"/>
          <w:lang w:val="en-MY"/>
        </w:rPr>
        <w:tab/>
      </w:r>
      <w:r w:rsidRPr="009D4627">
        <w:rPr>
          <w:rFonts w:eastAsia="Calibri"/>
          <w:szCs w:val="22"/>
          <w:lang w:val="en-MY"/>
        </w:rPr>
        <w:t xml:space="preserve"> </w:t>
      </w:r>
      <w:r w:rsidRPr="009D4627">
        <w:rPr>
          <w:rFonts w:eastAsia="Calibri"/>
          <w:szCs w:val="22"/>
          <w:lang w:val="en-MY"/>
        </w:rPr>
        <w:tab/>
      </w:r>
      <w:r w:rsidRPr="009D4627">
        <w:rPr>
          <w:rFonts w:eastAsia="Calibri"/>
          <w:bCs/>
          <w:szCs w:val="22"/>
          <w:lang w:val="en-MY"/>
        </w:rPr>
        <w:t xml:space="preserve">with </w:t>
      </w:r>
      <w:proofErr w:type="gramStart"/>
      <w:r w:rsidRPr="009D4627">
        <w:rPr>
          <w:rFonts w:eastAsia="Calibri"/>
          <w:bCs/>
          <w:szCs w:val="22"/>
          <w:lang w:val="en-MY"/>
        </w:rPr>
        <w:t xml:space="preserve">readers  </w:t>
      </w:r>
      <w:r w:rsidRPr="009D4627">
        <w:rPr>
          <w:rFonts w:eastAsia="Calibri"/>
          <w:bCs/>
          <w:szCs w:val="22"/>
          <w:lang w:val="en-MY"/>
        </w:rPr>
        <w:tab/>
      </w:r>
      <w:proofErr w:type="gramEnd"/>
      <w:r w:rsidRPr="009D4627">
        <w:rPr>
          <w:rFonts w:eastAsia="Calibri"/>
          <w:bCs/>
          <w:szCs w:val="22"/>
          <w:lang w:val="en-MY"/>
        </w:rPr>
        <w:t>stereopsis +</w:t>
      </w:r>
      <w:proofErr w:type="spellStart"/>
      <w:r w:rsidRPr="009D4627">
        <w:rPr>
          <w:rFonts w:eastAsia="Calibri"/>
          <w:bCs/>
          <w:szCs w:val="22"/>
          <w:lang w:val="en-MY"/>
        </w:rPr>
        <w:t>ve</w:t>
      </w:r>
      <w:proofErr w:type="spellEnd"/>
      <w:r w:rsidRPr="009D4627">
        <w:rPr>
          <w:rFonts w:eastAsia="Calibri"/>
          <w:bCs/>
          <w:szCs w:val="22"/>
          <w:lang w:val="en-MY"/>
        </w:rPr>
        <w:t xml:space="preserve"> to 20 secs</w:t>
      </w:r>
    </w:p>
    <w:p w14:paraId="6F6B7F85" w14:textId="77777777" w:rsidR="002312ED" w:rsidRDefault="002312ED" w:rsidP="00CE6626">
      <w:pPr>
        <w:spacing w:before="0" w:after="0" w:line="240" w:lineRule="auto"/>
        <w:jc w:val="left"/>
        <w:rPr>
          <w:b/>
          <w:bCs/>
          <w:lang w:val="en-US"/>
        </w:rPr>
      </w:pPr>
    </w:p>
    <w:p w14:paraId="71B4B726" w14:textId="77777777" w:rsidR="002312ED" w:rsidRDefault="002312ED" w:rsidP="00CE6626">
      <w:pPr>
        <w:spacing w:before="0" w:after="0" w:line="240" w:lineRule="auto"/>
        <w:jc w:val="left"/>
        <w:rPr>
          <w:b/>
          <w:bCs/>
          <w:lang w:val="en-US"/>
        </w:rPr>
      </w:pPr>
    </w:p>
    <w:p w14:paraId="6FAA7545" w14:textId="77777777" w:rsidR="002312ED" w:rsidRDefault="002312ED" w:rsidP="00CE6626">
      <w:pPr>
        <w:spacing w:before="0" w:after="0" w:line="240" w:lineRule="auto"/>
        <w:jc w:val="left"/>
        <w:rPr>
          <w:b/>
          <w:bCs/>
          <w:lang w:val="en-US"/>
        </w:rPr>
      </w:pPr>
    </w:p>
    <w:p w14:paraId="303F86A0" w14:textId="3CE31BB3" w:rsidR="00CE6626" w:rsidRPr="009D4627" w:rsidRDefault="00CE6626" w:rsidP="00CE6626">
      <w:pPr>
        <w:spacing w:before="0" w:after="0" w:line="240" w:lineRule="auto"/>
        <w:jc w:val="left"/>
        <w:rPr>
          <w:b/>
          <w:bCs/>
          <w:lang w:val="en-US"/>
        </w:rPr>
      </w:pPr>
      <w:r w:rsidRPr="009D4627">
        <w:rPr>
          <w:b/>
          <w:bCs/>
          <w:lang w:val="en-US"/>
        </w:rPr>
        <w:lastRenderedPageBreak/>
        <w:t>OMT/PCT:</w:t>
      </w:r>
      <w:r w:rsidRPr="009D4627">
        <w:rPr>
          <w:b/>
          <w:bCs/>
          <w:lang w:val="en-US"/>
        </w:rPr>
        <w:tab/>
      </w:r>
      <w:r w:rsidRPr="009D4627">
        <w:rPr>
          <w:rFonts w:eastAsia="Calibri"/>
          <w:bCs/>
          <w:szCs w:val="22"/>
          <w:lang w:val="en-MY"/>
        </w:rPr>
        <w:t>with readers</w:t>
      </w:r>
      <w:r w:rsidRPr="009D4627">
        <w:rPr>
          <w:rFonts w:eastAsia="Calibri"/>
          <w:bCs/>
          <w:szCs w:val="22"/>
          <w:lang w:val="en-MY"/>
        </w:rPr>
        <w:tab/>
        <w:t xml:space="preserve">1/3 m </w:t>
      </w:r>
      <w:r w:rsidRPr="009D4627">
        <w:rPr>
          <w:rFonts w:eastAsia="Calibri"/>
          <w:bCs/>
          <w:szCs w:val="22"/>
          <w:lang w:val="en-MY"/>
        </w:rPr>
        <w:tab/>
        <w:t>1-2</w:t>
      </w:r>
      <w:r w:rsidRPr="009D4627">
        <w:rPr>
          <w:vertAlign w:val="superscript"/>
          <w:lang w:val="en-US"/>
        </w:rPr>
        <w:t xml:space="preserve">Δ </w:t>
      </w:r>
      <w:r w:rsidRPr="009D4627">
        <w:rPr>
          <w:lang w:val="en-US"/>
        </w:rPr>
        <w:t>E</w:t>
      </w:r>
      <w:r w:rsidRPr="009D4627">
        <w:rPr>
          <w:b/>
          <w:bCs/>
          <w:lang w:val="en-US"/>
        </w:rPr>
        <w:t xml:space="preserve"> </w:t>
      </w:r>
      <w:r w:rsidRPr="009D4627">
        <w:rPr>
          <w:b/>
          <w:bCs/>
          <w:lang w:val="en-US"/>
        </w:rPr>
        <w:tab/>
      </w:r>
    </w:p>
    <w:p w14:paraId="101C6558" w14:textId="77777777" w:rsidR="00CE6626" w:rsidRPr="009D4627" w:rsidRDefault="00CE6626" w:rsidP="00CE6626">
      <w:pPr>
        <w:spacing w:before="0" w:after="0" w:line="240" w:lineRule="auto"/>
        <w:ind w:left="720" w:firstLine="720"/>
        <w:jc w:val="left"/>
        <w:rPr>
          <w:rFonts w:eastAsia="Calibri"/>
          <w:szCs w:val="22"/>
          <w:lang w:val="en-MY"/>
        </w:rPr>
      </w:pPr>
      <w:r w:rsidRPr="009D4627">
        <w:rPr>
          <w:lang w:val="en-US"/>
        </w:rPr>
        <w:t>unaided</w:t>
      </w:r>
    </w:p>
    <w:p w14:paraId="2C68A3CE" w14:textId="26B036F6" w:rsidR="00CE6626" w:rsidRPr="009D4627" w:rsidRDefault="00A2792E" w:rsidP="00CE6626">
      <w:pPr>
        <w:spacing w:before="0" w:after="0" w:line="240" w:lineRule="auto"/>
        <w:ind w:firstLine="720"/>
        <w:jc w:val="left"/>
        <w:rPr>
          <w:rFonts w:eastAsia="Calibri"/>
          <w:bCs/>
          <w:szCs w:val="22"/>
          <w:lang w:val="en-MY"/>
        </w:rPr>
      </w:pPr>
      <w:r w:rsidRPr="009D4627">
        <w:rPr>
          <w:noProof/>
        </w:rPr>
        <mc:AlternateContent>
          <mc:Choice Requires="wpg">
            <w:drawing>
              <wp:anchor distT="0" distB="0" distL="114300" distR="114300" simplePos="0" relativeHeight="251698176" behindDoc="0" locked="0" layoutInCell="1" allowOverlap="1" wp14:anchorId="35D88025" wp14:editId="5EC4A997">
                <wp:simplePos x="0" y="0"/>
                <wp:positionH relativeFrom="column">
                  <wp:posOffset>190500</wp:posOffset>
                </wp:positionH>
                <wp:positionV relativeFrom="paragraph">
                  <wp:posOffset>85725</wp:posOffset>
                </wp:positionV>
                <wp:extent cx="3933825" cy="1543050"/>
                <wp:effectExtent l="0" t="0" r="0" b="0"/>
                <wp:wrapNone/>
                <wp:docPr id="23913" name="Group 23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3825" cy="1543050"/>
                          <a:chOff x="0" y="0"/>
                          <a:chExt cx="39338" cy="15430"/>
                        </a:xfrm>
                      </wpg:grpSpPr>
                      <wpg:grpSp>
                        <wpg:cNvPr id="23914" name="Group 21563"/>
                        <wpg:cNvGrpSpPr>
                          <a:grpSpLocks/>
                        </wpg:cNvGrpSpPr>
                        <wpg:grpSpPr bwMode="auto">
                          <a:xfrm>
                            <a:off x="0" y="0"/>
                            <a:ext cx="39338" cy="15430"/>
                            <a:chOff x="0" y="0"/>
                            <a:chExt cx="39338" cy="15430"/>
                          </a:xfrm>
                        </wpg:grpSpPr>
                        <wpg:grpSp>
                          <wpg:cNvPr id="23915" name="Group 21564"/>
                          <wpg:cNvGrpSpPr>
                            <a:grpSpLocks/>
                          </wpg:cNvGrpSpPr>
                          <wpg:grpSpPr bwMode="auto">
                            <a:xfrm>
                              <a:off x="857" y="2857"/>
                              <a:ext cx="38481" cy="12573"/>
                              <a:chOff x="0" y="2095"/>
                              <a:chExt cx="38481" cy="12573"/>
                            </a:xfrm>
                          </wpg:grpSpPr>
                          <wpg:grpSp>
                            <wpg:cNvPr id="23916" name="Group 21565"/>
                            <wpg:cNvGrpSpPr>
                              <a:grpSpLocks/>
                            </wpg:cNvGrpSpPr>
                            <wpg:grpSpPr bwMode="auto">
                              <a:xfrm>
                                <a:off x="0" y="2095"/>
                                <a:ext cx="38481" cy="12573"/>
                                <a:chOff x="-2857" y="2095"/>
                                <a:chExt cx="38481" cy="12573"/>
                              </a:xfrm>
                            </wpg:grpSpPr>
                            <wpg:grpSp>
                              <wpg:cNvPr id="23917" name="Group 21566"/>
                              <wpg:cNvGrpSpPr>
                                <a:grpSpLocks/>
                              </wpg:cNvGrpSpPr>
                              <wpg:grpSpPr bwMode="auto">
                                <a:xfrm>
                                  <a:off x="-2857" y="2095"/>
                                  <a:ext cx="38480" cy="7391"/>
                                  <a:chOff x="-8953" y="-170"/>
                                  <a:chExt cx="38481" cy="7408"/>
                                </a:xfrm>
                              </wpg:grpSpPr>
                              <wps:wsp>
                                <wps:cNvPr id="23918" name="Rectangle 21567"/>
                                <wps:cNvSpPr>
                                  <a:spLocks noChangeArrowheads="1"/>
                                </wps:cNvSpPr>
                                <wps:spPr bwMode="auto">
                                  <a:xfrm flipH="1">
                                    <a:off x="6953" y="2216"/>
                                    <a:ext cx="10025" cy="2225"/>
                                  </a:xfrm>
                                  <a:prstGeom prst="rect">
                                    <a:avLst/>
                                  </a:prstGeom>
                                  <a:noFill/>
                                  <a:ln>
                                    <a:noFill/>
                                  </a:ln>
                                </wps:spPr>
                                <wps:txbx>
                                  <w:txbxContent>
                                    <w:p w14:paraId="3824575C"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4</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E</w:t>
                                      </w:r>
                                    </w:p>
                                  </w:txbxContent>
                                </wps:txbx>
                                <wps:bodyPr rot="0" vert="horz" wrap="square" lIns="0" tIns="0" rIns="0" bIns="0" anchor="ctr" anchorCtr="0" upright="1">
                                  <a:noAutofit/>
                                </wps:bodyPr>
                              </wps:wsp>
                              <wpg:grpSp>
                                <wpg:cNvPr id="23919" name="Group 21568"/>
                                <wpg:cNvGrpSpPr>
                                  <a:grpSpLocks/>
                                </wpg:cNvGrpSpPr>
                                <wpg:grpSpPr bwMode="auto">
                                  <a:xfrm>
                                    <a:off x="-8953" y="-170"/>
                                    <a:ext cx="15079" cy="7217"/>
                                    <a:chOff x="-8953" y="-170"/>
                                    <a:chExt cx="15079" cy="7217"/>
                                  </a:xfrm>
                                </wpg:grpSpPr>
                                <wps:wsp>
                                  <wps:cNvPr id="23920" name="Oval 21569"/>
                                  <wps:cNvSpPr>
                                    <a:spLocks noChangeArrowheads="1"/>
                                  </wps:cNvSpPr>
                                  <wps:spPr bwMode="auto">
                                    <a:xfrm flipH="1">
                                      <a:off x="-1238" y="-170"/>
                                      <a:ext cx="7364" cy="721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921" name="Rectangle 21570"/>
                                  <wps:cNvSpPr>
                                    <a:spLocks noChangeArrowheads="1"/>
                                  </wps:cNvSpPr>
                                  <wps:spPr bwMode="auto">
                                    <a:xfrm flipH="1">
                                      <a:off x="-8953" y="1357"/>
                                      <a:ext cx="4286" cy="3818"/>
                                    </a:xfrm>
                                    <a:prstGeom prst="rect">
                                      <a:avLst/>
                                    </a:prstGeom>
                                    <a:noFill/>
                                    <a:ln>
                                      <a:noFill/>
                                    </a:ln>
                                  </wps:spPr>
                                  <wps:txbx>
                                    <w:txbxContent>
                                      <w:p w14:paraId="38942F34"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5-6</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wps:txbx>
                                  <wps:bodyPr rot="0" vert="horz" wrap="square" lIns="0" tIns="0" rIns="0" bIns="0" anchor="ctr" anchorCtr="0" upright="1">
                                    <a:noAutofit/>
                                  </wps:bodyPr>
                                </wps:wsp>
                              </wpg:grpSp>
                              <wpg:grpSp>
                                <wpg:cNvPr id="23922" name="Group 21571"/>
                                <wpg:cNvGrpSpPr>
                                  <a:grpSpLocks/>
                                </wpg:cNvGrpSpPr>
                                <wpg:grpSpPr bwMode="auto">
                                  <a:xfrm>
                                    <a:off x="17049" y="30"/>
                                    <a:ext cx="12478" cy="7208"/>
                                    <a:chOff x="17049" y="30"/>
                                    <a:chExt cx="12477" cy="7207"/>
                                  </a:xfrm>
                                </wpg:grpSpPr>
                                <wpg:grpSp>
                                  <wpg:cNvPr id="23923" name="Group 21572"/>
                                  <wpg:cNvGrpSpPr>
                                    <a:grpSpLocks/>
                                  </wpg:cNvGrpSpPr>
                                  <wpg:grpSpPr bwMode="auto">
                                    <a:xfrm>
                                      <a:off x="17049" y="30"/>
                                      <a:ext cx="10141" cy="7208"/>
                                      <a:chOff x="17054" y="30"/>
                                      <a:chExt cx="10641" cy="8146"/>
                                    </a:xfrm>
                                  </wpg:grpSpPr>
                                  <wps:wsp>
                                    <wps:cNvPr id="23924" name="Oval 21573"/>
                                    <wps:cNvSpPr>
                                      <a:spLocks noChangeArrowheads="1"/>
                                    </wps:cNvSpPr>
                                    <wps:spPr bwMode="auto">
                                      <a:xfrm flipH="1">
                                        <a:off x="17054" y="30"/>
                                        <a:ext cx="7727"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925" name="Rectangle 21574"/>
                                    <wps:cNvSpPr>
                                      <a:spLocks noChangeArrowheads="1"/>
                                    </wps:cNvSpPr>
                                    <wps:spPr bwMode="auto">
                                      <a:xfrm flipH="1">
                                        <a:off x="25002" y="3071"/>
                                        <a:ext cx="2694" cy="2285"/>
                                      </a:xfrm>
                                      <a:prstGeom prst="rect">
                                        <a:avLst/>
                                      </a:prstGeom>
                                      <a:noFill/>
                                      <a:ln>
                                        <a:noFill/>
                                      </a:ln>
                                    </wps:spPr>
                                    <wps:txbx>
                                      <w:txbxContent>
                                        <w:p w14:paraId="65BBD639"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g:grpSp>
                                <wps:wsp>
                                  <wps:cNvPr id="23926" name="Rectangle 21575"/>
                                  <wps:cNvSpPr>
                                    <a:spLocks noChangeArrowheads="1"/>
                                  </wps:cNvSpPr>
                                  <wps:spPr bwMode="auto">
                                    <a:xfrm flipH="1">
                                      <a:off x="24860" y="1542"/>
                                      <a:ext cx="4667" cy="3729"/>
                                    </a:xfrm>
                                    <a:prstGeom prst="rect">
                                      <a:avLst/>
                                    </a:prstGeom>
                                    <a:noFill/>
                                    <a:ln>
                                      <a:noFill/>
                                    </a:ln>
                                  </wps:spPr>
                                  <wps:txbx>
                                    <w:txbxContent>
                                      <w:p w14:paraId="5BF22493"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6-7</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wps:txbx>
                                  <wps:bodyPr rot="0" vert="horz" wrap="square" lIns="0" tIns="0" rIns="0" bIns="0" anchor="ctr" anchorCtr="0" upright="1">
                                    <a:noAutofit/>
                                  </wps:bodyPr>
                                </wps:wsp>
                              </wpg:grpSp>
                            </wpg:grpSp>
                            <wps:wsp>
                              <wps:cNvPr id="23927" name="Rectangle 21576"/>
                              <wps:cNvSpPr>
                                <a:spLocks noChangeArrowheads="1"/>
                              </wps:cNvSpPr>
                              <wps:spPr bwMode="auto">
                                <a:xfrm flipH="1">
                                  <a:off x="12668" y="10953"/>
                                  <a:ext cx="11258" cy="3715"/>
                                </a:xfrm>
                                <a:prstGeom prst="rect">
                                  <a:avLst/>
                                </a:prstGeom>
                                <a:noFill/>
                                <a:ln>
                                  <a:noFill/>
                                </a:ln>
                              </wps:spPr>
                              <wps:txbx>
                                <w:txbxContent>
                                  <w:p w14:paraId="77050FBE"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4</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wps:txbx>
                              <wps:bodyPr rot="0" vert="horz" wrap="square" lIns="0" tIns="0" rIns="0" bIns="0" anchor="ctr" anchorCtr="0" upright="1">
                                <a:noAutofit/>
                              </wps:bodyPr>
                            </wps:wsp>
                          </wpg:grpSp>
                          <wps:wsp>
                            <wps:cNvPr id="23928" name="Rectangle 21577"/>
                            <wps:cNvSpPr>
                              <a:spLocks noChangeArrowheads="1"/>
                            </wps:cNvSpPr>
                            <wps:spPr bwMode="auto">
                              <a:xfrm flipH="1">
                                <a:off x="5238" y="4476"/>
                                <a:ext cx="2001" cy="2096"/>
                              </a:xfrm>
                              <a:prstGeom prst="rect">
                                <a:avLst/>
                              </a:prstGeom>
                              <a:noFill/>
                              <a:ln>
                                <a:noFill/>
                              </a:ln>
                            </wps:spPr>
                            <wps:txbx>
                              <w:txbxContent>
                                <w:p w14:paraId="001FCAB8"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5EB0AA57" w14:textId="77777777" w:rsidR="00CE6626" w:rsidRDefault="00CE6626" w:rsidP="00CE6626">
                                  <w:pPr>
                                    <w:spacing w:before="0"/>
                                    <w:jc w:val="left"/>
                                    <w:rPr>
                                      <w:rFonts w:ascii="Calibri" w:hAnsi="Calibri" w:cs="Calibri"/>
                                      <w:sz w:val="20"/>
                                      <w:szCs w:val="20"/>
                                      <w:lang w:val="en-US"/>
                                    </w:rPr>
                                  </w:pPr>
                                </w:p>
                                <w:p w14:paraId="3A83BFF9" w14:textId="77777777" w:rsidR="00CE6626" w:rsidRDefault="00CE6626" w:rsidP="00CE6626">
                                  <w:pPr>
                                    <w:jc w:val="left"/>
                                    <w:rPr>
                                      <w:rFonts w:ascii="Calibri" w:hAnsi="Calibri" w:cs="Calibri"/>
                                      <w:sz w:val="20"/>
                                      <w:szCs w:val="20"/>
                                      <w:lang w:val="en-US"/>
                                    </w:rPr>
                                  </w:pPr>
                                </w:p>
                              </w:txbxContent>
                            </wps:txbx>
                            <wps:bodyPr rot="0" vert="horz" wrap="square" lIns="0" tIns="0" rIns="0" bIns="0" anchor="ctr" anchorCtr="0" upright="1">
                              <a:noAutofit/>
                            </wps:bodyPr>
                          </wps:wsp>
                        </wpg:grpSp>
                        <wps:wsp>
                          <wps:cNvPr id="23929" name="Rectangle 21578"/>
                          <wps:cNvSpPr>
                            <a:spLocks noChangeArrowheads="1"/>
                          </wps:cNvSpPr>
                          <wps:spPr bwMode="auto">
                            <a:xfrm>
                              <a:off x="0" y="0"/>
                              <a:ext cx="39147" cy="15430"/>
                            </a:xfrm>
                            <a:prstGeom prst="rect">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s:wsp>
                        <wps:cNvPr id="23930" name="Rectangle 21579"/>
                        <wps:cNvSpPr>
                          <a:spLocks noChangeArrowheads="1"/>
                        </wps:cNvSpPr>
                        <wps:spPr bwMode="auto">
                          <a:xfrm flipH="1">
                            <a:off x="16668" y="95"/>
                            <a:ext cx="10021" cy="2216"/>
                          </a:xfrm>
                          <a:prstGeom prst="rect">
                            <a:avLst/>
                          </a:prstGeom>
                          <a:noFill/>
                          <a:ln>
                            <a:noFill/>
                          </a:ln>
                        </wps:spPr>
                        <wps:txbx>
                          <w:txbxContent>
                            <w:p w14:paraId="21EAF1D9"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1</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E</w:t>
                              </w:r>
                            </w:p>
                          </w:txbxContent>
                        </wps:txbx>
                        <wps:bodyPr rot="0" vert="horz" wrap="square" lIns="0" tIns="0" rIns="0" bIns="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5D88025" id="Group 23913" o:spid="_x0000_s1510" style="position:absolute;left:0;text-align:left;margin-left:15pt;margin-top:6.75pt;width:309.75pt;height:121.5pt;z-index:251698176;mso-position-horizontal-relative:text;mso-position-vertical-relative:text;mso-height-relative:margin" coordsize="39338,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">
                <v:group id="Group 21563" o:spid="_x0000_s1511" style="position:absolute;width:39338;height:15430" coordsize="39338,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">
                  <v:group id="Group 21564" o:spid="_x0000_s1512" style="position:absolute;left:857;top:2857;width:38481;height:12573" coordorigin=",2095" coordsize="38481,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">
                    <v:group id="Group 21565" o:spid="_x0000_s1513" style="position:absolute;top:2095;width:38481;height:12573" coordorigin="-2857,2095" coordsize="38481,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">
                      <v:group id="Group 21566" o:spid="_x0000_s1514" style="position:absolute;left:-2857;top:2095;width:38480;height:7391" coordorigin="-8953,-170" coordsize="38481,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">
                        <v:rect id="Rectangle 21567" o:spid="_x0000_s1515" style="position:absolute;left:6953;top:2216;width:10025;height:222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" filled="f" stroked="f">
                          <v:textbox inset="0,0,0,0">
                            <w:txbxContent>
                              <w:p w14:paraId="3824575C"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4</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E</w:t>
                                </w:r>
                              </w:p>
                            </w:txbxContent>
                          </v:textbox>
                        </v:rect>
                        <v:group id="Group 21568" o:spid="_x0000_s1516" style="position:absolute;left:-8953;top:-170;width:15079;height:7217" coordorigin="-8953,-170" coordsize="15079,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">
                          <v:oval id="Oval 21569" o:spid="_x0000_s1517" style="position:absolute;left:-1238;top:-170;width:7364;height:72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" filled="f" strokeweight="1pt">
                            <v:stroke joinstyle="miter"/>
                          </v:oval>
                          <v:rect id="Rectangle 21570" o:spid="_x0000_s1518" style="position:absolute;left:-8953;top:1357;width:4286;height:381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" filled="f" stroked="f">
                            <v:textbox inset="0,0,0,0">
                              <w:txbxContent>
                                <w:p w14:paraId="38942F34"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5-6</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v:textbox>
                          </v:rect>
                        </v:group>
                        <v:group id="Group 21571" o:spid="_x0000_s1519" style="position:absolute;left:17049;top:30;width:12478;height:7208" coordorigin="17049,30" coordsize="12477,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">
                          <v:group id="Group 21572" o:spid="_x0000_s1520" style="position:absolute;left:17049;top:30;width:10141;height:7208" coordorigin="17054,30" coordsize="10641,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">
                            <v:oval id="Oval 21573" o:spid="_x0000_s1521" style="position:absolute;left:17054;top:30;width:7727;height:814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" filled="f" strokeweight="1pt">
                              <v:stroke joinstyle="miter"/>
                            </v:oval>
                            <v:rect id="Rectangle 21574" o:spid="_x0000_s1522" style="position:absolute;left:25002;top:3071;width:2694;height:22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" filled="f" stroked="f">
                              <v:textbox inset="0,0,0,0">
                                <w:txbxContent>
                                  <w:p w14:paraId="65BBD639"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v:textbox>
                            </v:rect>
                          </v:group>
                          <v:rect id="Rectangle 21575" o:spid="_x0000_s1523" style="position:absolute;left:24860;top:1542;width:4667;height:37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" filled="f" stroked="f">
                            <v:textbox inset="0,0,0,0">
                              <w:txbxContent>
                                <w:p w14:paraId="5BF22493"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6-7</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v:textbox>
                          </v:rect>
                        </v:group>
                      </v:group>
                      <v:rect id="Rectangle 21576" o:spid="_x0000_s1524" style="position:absolute;left:12668;top:10953;width:11258;height:3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" filled="f" stroked="f">
                        <v:textbox inset="0,0,0,0">
                          <w:txbxContent>
                            <w:p w14:paraId="77050FBE"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4</w:t>
                              </w:r>
                              <w:r w:rsidRPr="00760658">
                                <w:rPr>
                                  <w:rFonts w:ascii="Calibri" w:hAnsi="Calibri" w:cs="Calibri"/>
                                  <w:sz w:val="20"/>
                                  <w:szCs w:val="20"/>
                                  <w:vertAlign w:val="superscript"/>
                                  <w:lang w:val="en-US"/>
                                </w:rPr>
                                <w:t>Δ</w:t>
                              </w:r>
                              <w:r>
                                <w:rPr>
                                  <w:rFonts w:ascii="Calibri" w:hAnsi="Calibri" w:cs="Calibri"/>
                                  <w:sz w:val="20"/>
                                  <w:szCs w:val="20"/>
                                  <w:lang w:val="en-US"/>
                                </w:rPr>
                                <w:t xml:space="preserve"> E</w:t>
                              </w:r>
                            </w:p>
                          </w:txbxContent>
                        </v:textbox>
                      </v:rect>
                    </v:group>
                    <v:rect id="Rectangle 21577" o:spid="_x0000_s1525" style="position:absolute;left:5238;top:4476;width:2001;height:2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" filled="f" stroked="f">
                      <v:textbox inset="0,0,0,0">
                        <w:txbxContent>
                          <w:p w14:paraId="001FCAB8"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-½</w:t>
                            </w:r>
                          </w:p>
                          <w:p w14:paraId="5EB0AA57" w14:textId="77777777" w:rsidR="00CE6626" w:rsidRDefault="00CE6626" w:rsidP="00CE6626">
                            <w:pPr>
                              <w:spacing w:before="0"/>
                              <w:jc w:val="left"/>
                              <w:rPr>
                                <w:rFonts w:ascii="Calibri" w:hAnsi="Calibri" w:cs="Calibri"/>
                                <w:sz w:val="20"/>
                                <w:szCs w:val="20"/>
                                <w:lang w:val="en-US"/>
                              </w:rPr>
                            </w:pPr>
                          </w:p>
                          <w:p w14:paraId="3A83BFF9" w14:textId="77777777" w:rsidR="00CE6626" w:rsidRDefault="00CE6626" w:rsidP="00CE6626">
                            <w:pPr>
                              <w:jc w:val="left"/>
                              <w:rPr>
                                <w:rFonts w:ascii="Calibri" w:hAnsi="Calibri" w:cs="Calibri"/>
                                <w:sz w:val="20"/>
                                <w:szCs w:val="20"/>
                                <w:lang w:val="en-US"/>
                              </w:rPr>
                            </w:pPr>
                          </w:p>
                        </w:txbxContent>
                      </v:textbox>
                    </v:rect>
                  </v:group>
                  <v:rect id="Rectangle 21578" o:spid="_x0000_s1526" style="position:absolute;width:39147;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" filled="f" strokecolor="black [3213]" strokeweight="1pt"/>
                </v:group>
                <v:rect id="Rectangle 21579" o:spid="_x0000_s1527" style="position:absolute;left:16668;top:95;width:10021;height:221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" filled="f" stroked="f">
                  <v:textbox inset="0,0,0,0">
                    <w:txbxContent>
                      <w:p w14:paraId="21EAF1D9"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1</w:t>
                        </w:r>
                        <w:r w:rsidRPr="00760658">
                          <w:rPr>
                            <w:rFonts w:ascii="Calibri" w:hAnsi="Calibri" w:cs="Calibri"/>
                            <w:sz w:val="20"/>
                            <w:szCs w:val="20"/>
                            <w:vertAlign w:val="superscript"/>
                            <w:lang w:val="en-US"/>
                          </w:rPr>
                          <w:t>Δ</w:t>
                        </w:r>
                        <w:r>
                          <w:rPr>
                            <w:rFonts w:ascii="Calibri" w:hAnsi="Calibri" w:cs="Calibri"/>
                            <w:sz w:val="20"/>
                            <w:szCs w:val="20"/>
                            <w:vertAlign w:val="superscript"/>
                            <w:lang w:val="en-US"/>
                          </w:rPr>
                          <w:t xml:space="preserve"> </w:t>
                        </w:r>
                        <w:r>
                          <w:rPr>
                            <w:rFonts w:ascii="Calibri" w:hAnsi="Calibri" w:cs="Calibri"/>
                            <w:sz w:val="20"/>
                            <w:szCs w:val="20"/>
                            <w:lang w:val="en-US"/>
                          </w:rPr>
                          <w:t>E</w:t>
                        </w:r>
                      </w:p>
                    </w:txbxContent>
                  </v:textbox>
                </v:rect>
              </v:group>
            </w:pict>
          </mc:Fallback>
        </mc:AlternateContent>
      </w:r>
      <w:r w:rsidR="00CE6626" w:rsidRPr="009D4627">
        <w:rPr>
          <w:rFonts w:eastAsia="Calibri"/>
          <w:bCs/>
          <w:szCs w:val="22"/>
          <w:lang w:val="en-MY"/>
        </w:rPr>
        <w:tab/>
      </w:r>
    </w:p>
    <w:p w14:paraId="4560F093" w14:textId="77777777" w:rsidR="00CE6626" w:rsidRPr="009D4627" w:rsidRDefault="00CE6626" w:rsidP="00CE6626">
      <w:pPr>
        <w:spacing w:before="0" w:after="0" w:line="240" w:lineRule="auto"/>
        <w:ind w:firstLine="720"/>
        <w:jc w:val="left"/>
        <w:rPr>
          <w:rFonts w:eastAsia="Calibri"/>
          <w:bCs/>
          <w:szCs w:val="22"/>
          <w:lang w:val="en-MY"/>
        </w:rPr>
      </w:pPr>
    </w:p>
    <w:p w14:paraId="32FA0FF8"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Cs/>
          <w:szCs w:val="22"/>
          <w:lang w:val="en-MY"/>
        </w:rPr>
        <w:t xml:space="preserve">                        </w:t>
      </w:r>
    </w:p>
    <w:p w14:paraId="3E436B65" w14:textId="77777777" w:rsidR="00CE6626" w:rsidRPr="009D4627" w:rsidRDefault="00CE6626" w:rsidP="00CE6626">
      <w:pPr>
        <w:spacing w:before="0" w:after="0" w:line="240" w:lineRule="auto"/>
        <w:rPr>
          <w:rFonts w:eastAsia="Calibri"/>
          <w:bCs/>
          <w:szCs w:val="22"/>
          <w:lang w:val="en-MY"/>
        </w:rPr>
      </w:pPr>
    </w:p>
    <w:p w14:paraId="3B7BD46A" w14:textId="77777777" w:rsidR="00CE6626" w:rsidRPr="009D4627" w:rsidRDefault="00CE6626" w:rsidP="00CE6626">
      <w:pPr>
        <w:spacing w:before="0" w:after="0" w:line="240" w:lineRule="auto"/>
        <w:rPr>
          <w:rFonts w:eastAsia="Calibri"/>
          <w:b/>
          <w:szCs w:val="22"/>
          <w:lang w:val="en-MY"/>
        </w:rPr>
      </w:pPr>
    </w:p>
    <w:p w14:paraId="1890AE5E" w14:textId="77777777" w:rsidR="00CE6626" w:rsidRPr="009D4627" w:rsidRDefault="00CE6626" w:rsidP="00CE6626">
      <w:pPr>
        <w:spacing w:before="0" w:after="0" w:line="240" w:lineRule="auto"/>
        <w:rPr>
          <w:rFonts w:eastAsia="Calibri"/>
          <w:b/>
          <w:szCs w:val="22"/>
          <w:lang w:val="en-MY"/>
        </w:rPr>
      </w:pPr>
    </w:p>
    <w:p w14:paraId="017E070C" w14:textId="77777777" w:rsidR="00CE6626" w:rsidRPr="009D4627" w:rsidRDefault="00CE6626" w:rsidP="00CE6626">
      <w:pPr>
        <w:spacing w:before="0" w:after="0" w:line="240" w:lineRule="auto"/>
        <w:rPr>
          <w:rFonts w:eastAsia="Calibri"/>
          <w:b/>
          <w:szCs w:val="22"/>
          <w:lang w:val="en-MY"/>
        </w:rPr>
      </w:pPr>
    </w:p>
    <w:p w14:paraId="5AE101FE" w14:textId="77777777" w:rsidR="00CE6626" w:rsidRPr="009D4627" w:rsidRDefault="00CE6626" w:rsidP="00CE6626">
      <w:pPr>
        <w:spacing w:before="0" w:after="0" w:line="240" w:lineRule="auto"/>
        <w:rPr>
          <w:rFonts w:eastAsia="Calibri"/>
          <w:b/>
          <w:szCs w:val="22"/>
          <w:lang w:val="en-MY"/>
        </w:rPr>
      </w:pPr>
    </w:p>
    <w:p w14:paraId="051654AE" w14:textId="77777777" w:rsidR="00CE6626" w:rsidRPr="009D4627" w:rsidRDefault="00CE6626" w:rsidP="00CE6626">
      <w:pPr>
        <w:spacing w:before="0" w:after="0" w:line="240" w:lineRule="auto"/>
        <w:rPr>
          <w:rFonts w:eastAsia="Calibri"/>
          <w:b/>
          <w:szCs w:val="22"/>
          <w:lang w:val="en-MY"/>
        </w:rPr>
      </w:pPr>
    </w:p>
    <w:p w14:paraId="38904DF3" w14:textId="77777777" w:rsidR="002312ED" w:rsidRDefault="002312ED" w:rsidP="00CE6626">
      <w:pPr>
        <w:spacing w:before="0" w:after="0" w:line="240" w:lineRule="auto"/>
        <w:ind w:firstLine="720"/>
        <w:rPr>
          <w:rFonts w:eastAsia="Calibri"/>
          <w:bCs/>
          <w:szCs w:val="22"/>
          <w:lang w:val="en-MY"/>
        </w:rPr>
      </w:pPr>
    </w:p>
    <w:p w14:paraId="44BB4943" w14:textId="7961D0B3"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 diplopia</w:t>
      </w:r>
    </w:p>
    <w:p w14:paraId="5FF67611" w14:textId="77777777"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 ptosis</w:t>
      </w:r>
    </w:p>
    <w:p w14:paraId="0D1C4524" w14:textId="77777777"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 Cogan’s lid twitch</w:t>
      </w:r>
    </w:p>
    <w:p w14:paraId="10953D30" w14:textId="77777777"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 fatigue</w:t>
      </w:r>
    </w:p>
    <w:p w14:paraId="48591C60" w14:textId="77777777" w:rsidR="00CE6626" w:rsidRPr="009D4627" w:rsidRDefault="00CE6626" w:rsidP="00CE6626">
      <w:pPr>
        <w:spacing w:before="0" w:after="0" w:line="240" w:lineRule="auto"/>
        <w:jc w:val="left"/>
        <w:rPr>
          <w:rFonts w:eastAsia="Calibri"/>
          <w:bCs/>
          <w:szCs w:val="22"/>
          <w:lang w:val="en-MY"/>
        </w:rPr>
      </w:pPr>
    </w:p>
    <w:p w14:paraId="1DA262B9"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b/>
          <w:bCs/>
          <w:szCs w:val="22"/>
          <w:lang w:val="en-MY"/>
        </w:rPr>
        <w:t>Assessment &amp; Plan:</w:t>
      </w:r>
      <w:r w:rsidRPr="009D4627">
        <w:rPr>
          <w:rFonts w:eastAsia="Calibri"/>
          <w:b/>
          <w:bCs/>
          <w:szCs w:val="22"/>
          <w:lang w:val="en-MY"/>
        </w:rPr>
        <w:tab/>
      </w:r>
      <w:r w:rsidRPr="009D4627">
        <w:rPr>
          <w:rFonts w:eastAsia="Calibri"/>
          <w:szCs w:val="22"/>
          <w:lang w:val="en-MY"/>
        </w:rPr>
        <w:t>Recovered RIR palsy.</w:t>
      </w:r>
    </w:p>
    <w:p w14:paraId="79B2107F" w14:textId="77777777" w:rsidR="00CE6626" w:rsidRPr="009D4627" w:rsidRDefault="00CE6626" w:rsidP="00CE6626">
      <w:pPr>
        <w:spacing w:before="0" w:after="0" w:line="240" w:lineRule="auto"/>
        <w:ind w:left="2160" w:hanging="2160"/>
        <w:rPr>
          <w:rFonts w:eastAsia="Calibri"/>
          <w:szCs w:val="22"/>
          <w:lang w:val="en-MY"/>
        </w:rPr>
      </w:pPr>
      <w:r w:rsidRPr="009D4627">
        <w:rPr>
          <w:rFonts w:eastAsia="Calibri"/>
          <w:b/>
          <w:bCs/>
          <w:szCs w:val="22"/>
          <w:lang w:val="en-MY"/>
        </w:rPr>
        <w:tab/>
      </w:r>
      <w:r w:rsidRPr="009D4627">
        <w:rPr>
          <w:rFonts w:eastAsia="Calibri"/>
          <w:szCs w:val="22"/>
          <w:lang w:val="en-MY"/>
        </w:rPr>
        <w:t xml:space="preserve">Very good demonstrable BSV </w:t>
      </w:r>
      <w:r w:rsidRPr="009D4627">
        <w:rPr>
          <w:rFonts w:eastAsia="Calibri"/>
          <w:szCs w:val="22"/>
          <w:lang w:val="en-MY"/>
        </w:rPr>
        <w:sym w:font="Wingdings" w:char="F0E0"/>
      </w:r>
      <w:r w:rsidRPr="009D4627">
        <w:rPr>
          <w:rFonts w:eastAsia="Calibri"/>
          <w:szCs w:val="22"/>
          <w:lang w:val="en-MY"/>
        </w:rPr>
        <w:t xml:space="preserve"> asymptomatic</w:t>
      </w:r>
    </w:p>
    <w:p w14:paraId="3F2FC84E" w14:textId="77777777" w:rsidR="00CE6626" w:rsidRPr="009D4627" w:rsidRDefault="00CE6626" w:rsidP="00CE6626">
      <w:pPr>
        <w:spacing w:before="0" w:after="0" w:line="240" w:lineRule="auto"/>
        <w:ind w:left="2160"/>
        <w:rPr>
          <w:rFonts w:eastAsia="Calibri"/>
          <w:szCs w:val="22"/>
          <w:lang w:val="en-MY"/>
        </w:rPr>
      </w:pPr>
      <w:r w:rsidRPr="009D4627">
        <w:rPr>
          <w:rFonts w:eastAsia="Calibri"/>
          <w:szCs w:val="22"/>
          <w:lang w:val="en-MY"/>
        </w:rPr>
        <w:t>Discharge.</w:t>
      </w:r>
    </w:p>
    <w:bookmarkEnd w:id="648"/>
    <w:bookmarkEnd w:id="649"/>
    <w:bookmarkEnd w:id="650"/>
    <w:p w14:paraId="5A163821" w14:textId="283C155F" w:rsidR="0044412F" w:rsidRPr="009D4627" w:rsidRDefault="0044412F" w:rsidP="00C4130D">
      <w:pPr>
        <w:pStyle w:val="Caption"/>
        <w:sectPr w:rsidR="0044412F" w:rsidRPr="009D4627" w:rsidSect="00477959">
          <w:headerReference w:type="default" r:id="rId281"/>
          <w:pgSz w:w="11906" w:h="16838" w:code="9"/>
          <w:pgMar w:top="1440" w:right="1440" w:bottom="1440" w:left="1440" w:header="708" w:footer="708" w:gutter="0"/>
          <w:cols w:space="708"/>
          <w:docGrid w:linePitch="360"/>
        </w:sectPr>
      </w:pPr>
    </w:p>
    <w:p w14:paraId="4A9B44B4" w14:textId="4D7BA657" w:rsidR="00DC340E" w:rsidRDefault="00565A8C" w:rsidP="00C4130D">
      <w:pPr>
        <w:pStyle w:val="Caption"/>
      </w:pPr>
      <w:bookmarkStart w:id="651" w:name="_Toc70087945"/>
      <w:bookmarkStart w:id="652" w:name="_Toc70088060"/>
      <w:bookmarkStart w:id="653" w:name="_Toc99356734"/>
      <w:bookmarkStart w:id="654" w:name="_Toc73355024"/>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2</w:t>
      </w:r>
      <w:r w:rsidR="002E63E9" w:rsidRPr="009D4627">
        <w:rPr>
          <w:noProof/>
        </w:rPr>
        <w:fldChar w:fldCharType="end"/>
      </w:r>
      <w:r w:rsidRPr="009D4627">
        <w:t xml:space="preserve">: </w:t>
      </w:r>
      <w:r w:rsidR="004808A2" w:rsidRPr="009D4627">
        <w:t xml:space="preserve">Patient </w:t>
      </w:r>
      <w:r w:rsidR="00453B3D" w:rsidRPr="009D4627">
        <w:t xml:space="preserve">ID: </w:t>
      </w:r>
      <w:r w:rsidR="004808A2" w:rsidRPr="009D4627">
        <w:t>2</w:t>
      </w:r>
      <w:bookmarkEnd w:id="651"/>
      <w:bookmarkEnd w:id="652"/>
      <w:bookmarkEnd w:id="653"/>
      <w:r w:rsidR="004808A2" w:rsidRPr="009D4627">
        <w:t xml:space="preserve"> </w:t>
      </w:r>
      <w:r w:rsidR="00000294" w:rsidRPr="009D4627">
        <w:t xml:space="preserve">                   </w:t>
      </w:r>
    </w:p>
    <w:p w14:paraId="5531FAA1" w14:textId="77777777" w:rsidR="00DC340E" w:rsidRDefault="004808A2" w:rsidP="00C4130D">
      <w:pPr>
        <w:pStyle w:val="Caption"/>
        <w:rPr>
          <w:color w:val="FF0000"/>
        </w:rPr>
      </w:pPr>
      <w:r w:rsidRPr="009D4627">
        <w:t>Birth month/year: 10/1941</w:t>
      </w:r>
      <w:r w:rsidR="00AF1226" w:rsidRPr="009D4627">
        <w:rPr>
          <w:color w:val="FF0000"/>
        </w:rPr>
        <w:tab/>
      </w:r>
      <w:r w:rsidRPr="009D4627">
        <w:rPr>
          <w:color w:val="FF0000"/>
        </w:rPr>
        <w:tab/>
      </w:r>
      <w:r w:rsidR="00000294" w:rsidRPr="009D4627">
        <w:rPr>
          <w:color w:val="FF0000"/>
        </w:rPr>
        <w:t xml:space="preserve">     </w:t>
      </w:r>
    </w:p>
    <w:p w14:paraId="771DB128" w14:textId="41A795FE" w:rsidR="004808A2" w:rsidRPr="009D4627" w:rsidRDefault="004808A2" w:rsidP="00C4130D">
      <w:pPr>
        <w:pStyle w:val="Caption"/>
      </w:pPr>
      <w:r w:rsidRPr="009D4627">
        <w:t>Age: 77</w:t>
      </w:r>
      <w:bookmarkEnd w:id="654"/>
      <w:r w:rsidR="00AF1226" w:rsidRPr="009D4627">
        <w:t xml:space="preserve"> at onset</w:t>
      </w:r>
    </w:p>
    <w:p w14:paraId="40765C33" w14:textId="77777777" w:rsidR="00453B3D" w:rsidRPr="009D4627" w:rsidRDefault="00453B3D" w:rsidP="00752D64">
      <w:pPr>
        <w:spacing w:before="0" w:after="0" w:line="240" w:lineRule="auto"/>
        <w:rPr>
          <w:lang w:val="en-MY"/>
        </w:rPr>
      </w:pPr>
    </w:p>
    <w:p w14:paraId="492239FA" w14:textId="77777777" w:rsidR="004808A2" w:rsidRPr="009D4627" w:rsidRDefault="004808A2" w:rsidP="00752D64">
      <w:pPr>
        <w:spacing w:before="0" w:after="0" w:line="240" w:lineRule="auto"/>
        <w:rPr>
          <w:rFonts w:eastAsia="Calibri"/>
          <w:bCs/>
          <w:color w:val="000000"/>
          <w:szCs w:val="22"/>
          <w:u w:val="single"/>
          <w:lang w:val="en-MY"/>
        </w:rPr>
      </w:pPr>
      <w:r w:rsidRPr="009D4627">
        <w:rPr>
          <w:rFonts w:eastAsia="Calibri"/>
          <w:b/>
          <w:color w:val="000000"/>
          <w:szCs w:val="22"/>
          <w:u w:val="single"/>
          <w:lang w:val="en-MY"/>
        </w:rPr>
        <w:t xml:space="preserve">Clinical visit 1: </w:t>
      </w:r>
      <w:r w:rsidRPr="009D4627">
        <w:rPr>
          <w:rFonts w:eastAsia="Calibri"/>
          <w:bCs/>
          <w:color w:val="000000"/>
          <w:szCs w:val="22"/>
          <w:u w:val="single"/>
          <w:lang w:val="en-MY"/>
        </w:rPr>
        <w:t>30/10/2018 (</w:t>
      </w:r>
      <w:r w:rsidRPr="009D4627">
        <w:rPr>
          <w:rFonts w:eastAsia="Calibri"/>
          <w:bCs/>
          <w:color w:val="auto"/>
          <w:szCs w:val="22"/>
          <w:u w:val="single"/>
          <w:lang w:val="en-MY"/>
        </w:rPr>
        <w:t>1 week from onset</w:t>
      </w:r>
      <w:r w:rsidRPr="009D4627">
        <w:rPr>
          <w:rFonts w:eastAsia="Calibri"/>
          <w:bCs/>
          <w:color w:val="000000"/>
          <w:szCs w:val="22"/>
          <w:u w:val="single"/>
          <w:lang w:val="en-MY"/>
        </w:rPr>
        <w:t>) - Orthoptic assessment</w:t>
      </w:r>
    </w:p>
    <w:p w14:paraId="4116FBC5" w14:textId="77777777" w:rsidR="004808A2" w:rsidRPr="009D4627" w:rsidRDefault="004808A2" w:rsidP="00752D64">
      <w:pPr>
        <w:spacing w:before="0" w:after="0" w:line="240" w:lineRule="auto"/>
        <w:rPr>
          <w:rFonts w:eastAsia="Calibri"/>
          <w:bCs/>
          <w:color w:val="000000"/>
          <w:szCs w:val="22"/>
          <w:u w:val="single"/>
          <w:lang w:val="en-MY"/>
        </w:rPr>
      </w:pPr>
    </w:p>
    <w:p w14:paraId="29C58724" w14:textId="63F28691" w:rsidR="004808A2" w:rsidRPr="009D4627" w:rsidRDefault="004808A2" w:rsidP="00752D64">
      <w:pPr>
        <w:spacing w:before="0" w:after="0" w:line="240" w:lineRule="auto"/>
        <w:ind w:left="851" w:hanging="851"/>
        <w:rPr>
          <w:rFonts w:eastAsia="Calibri"/>
          <w:bCs/>
          <w:color w:val="000000"/>
          <w:szCs w:val="22"/>
          <w:lang w:val="en-MY"/>
        </w:rPr>
      </w:pPr>
      <w:r w:rsidRPr="009D4627">
        <w:rPr>
          <w:rFonts w:eastAsia="Calibri"/>
          <w:b/>
          <w:color w:val="000000"/>
          <w:szCs w:val="22"/>
          <w:lang w:val="en-MY"/>
        </w:rPr>
        <w:t xml:space="preserve">History: </w:t>
      </w:r>
      <w:r w:rsidRPr="009D4627">
        <w:rPr>
          <w:rFonts w:eastAsia="Calibri"/>
          <w:bCs/>
          <w:color w:val="000000"/>
          <w:szCs w:val="22"/>
          <w:lang w:val="en-MY"/>
        </w:rPr>
        <w:t xml:space="preserve">c/o constant horizontal and vertical diplopia for </w:t>
      </w:r>
      <w:r w:rsidR="00EE0D97" w:rsidRPr="009D4627">
        <w:rPr>
          <w:rFonts w:eastAsia="Calibri"/>
          <w:bCs/>
          <w:color w:val="000000"/>
          <w:szCs w:val="22"/>
          <w:lang w:val="en-MY"/>
        </w:rPr>
        <w:t xml:space="preserve">the </w:t>
      </w:r>
      <w:r w:rsidRPr="009D4627">
        <w:rPr>
          <w:rFonts w:eastAsia="Calibri"/>
          <w:bCs/>
          <w:color w:val="000000"/>
          <w:szCs w:val="22"/>
          <w:lang w:val="en-MY"/>
        </w:rPr>
        <w:t xml:space="preserve">past week </w:t>
      </w:r>
    </w:p>
    <w:p w14:paraId="19DE2A00" w14:textId="77777777" w:rsidR="004808A2" w:rsidRPr="009D4627" w:rsidRDefault="004808A2" w:rsidP="00752D64">
      <w:pPr>
        <w:spacing w:before="0" w:after="0" w:line="240" w:lineRule="auto"/>
        <w:ind w:left="851" w:hanging="131"/>
        <w:rPr>
          <w:rFonts w:eastAsia="Calibri"/>
          <w:b/>
          <w:color w:val="000000"/>
          <w:szCs w:val="22"/>
          <w:lang w:val="en-MY"/>
        </w:rPr>
      </w:pPr>
      <w:r w:rsidRPr="009D4627">
        <w:rPr>
          <w:rFonts w:eastAsia="Calibri"/>
          <w:bCs/>
          <w:color w:val="000000"/>
          <w:szCs w:val="22"/>
          <w:lang w:val="en-MY"/>
        </w:rPr>
        <w:t xml:space="preserve">  </w:t>
      </w:r>
    </w:p>
    <w:p w14:paraId="7AFE0522" w14:textId="77777777" w:rsidR="004808A2" w:rsidRPr="009D4627" w:rsidRDefault="004808A2" w:rsidP="00752D64">
      <w:pPr>
        <w:spacing w:before="0" w:after="0" w:line="240" w:lineRule="auto"/>
        <w:rPr>
          <w:rFonts w:eastAsia="Calibri"/>
          <w:bCs/>
          <w:color w:val="000000"/>
          <w:szCs w:val="22"/>
          <w:lang w:val="en-MY"/>
        </w:rPr>
      </w:pPr>
      <w:r w:rsidRPr="009D4627">
        <w:rPr>
          <w:rFonts w:eastAsia="Calibri"/>
          <w:b/>
          <w:color w:val="000000"/>
          <w:szCs w:val="22"/>
          <w:lang w:val="en-MY"/>
        </w:rPr>
        <w:t xml:space="preserve">Previous treatment: </w:t>
      </w:r>
      <w:r w:rsidRPr="009D4627">
        <w:rPr>
          <w:rFonts w:eastAsia="Calibri"/>
          <w:bCs/>
          <w:color w:val="000000"/>
          <w:szCs w:val="22"/>
          <w:lang w:val="en-MY"/>
        </w:rPr>
        <w:t>No previous treatment</w:t>
      </w:r>
    </w:p>
    <w:p w14:paraId="7E17DFF6" w14:textId="77777777" w:rsidR="004808A2" w:rsidRPr="009D4627" w:rsidRDefault="004808A2" w:rsidP="00752D64">
      <w:pPr>
        <w:spacing w:before="0" w:after="0" w:line="240" w:lineRule="auto"/>
        <w:rPr>
          <w:rFonts w:eastAsia="Calibri"/>
          <w:b/>
          <w:color w:val="000000"/>
          <w:szCs w:val="22"/>
          <w:lang w:val="en-MY"/>
        </w:rPr>
      </w:pPr>
    </w:p>
    <w:p w14:paraId="74F7CEE2" w14:textId="04CB2852" w:rsidR="004808A2" w:rsidRPr="009D4627" w:rsidRDefault="004808A2" w:rsidP="00752D64">
      <w:pPr>
        <w:spacing w:before="0" w:after="0" w:line="240" w:lineRule="auto"/>
        <w:rPr>
          <w:rFonts w:eastAsia="Calibri"/>
          <w:b/>
          <w:color w:val="000000"/>
          <w:szCs w:val="22"/>
          <w:lang w:val="en-MY"/>
        </w:rPr>
      </w:pPr>
      <w:r w:rsidRPr="009D4627">
        <w:rPr>
          <w:rFonts w:eastAsia="Calibri"/>
          <w:b/>
          <w:color w:val="000000"/>
          <w:szCs w:val="22"/>
          <w:lang w:val="en-MY"/>
        </w:rPr>
        <w:t xml:space="preserve">General health: </w:t>
      </w:r>
      <w:r w:rsidR="001941C9" w:rsidRPr="009D4627">
        <w:rPr>
          <w:rFonts w:eastAsia="Calibri"/>
          <w:color w:val="000000"/>
          <w:szCs w:val="22"/>
          <w:lang w:val="en-MY"/>
        </w:rPr>
        <w:t>Taking medication for HPT and high cholesterol</w:t>
      </w:r>
    </w:p>
    <w:p w14:paraId="61C8B14E" w14:textId="77777777" w:rsidR="004808A2" w:rsidRPr="009D4627" w:rsidRDefault="004808A2" w:rsidP="00752D64">
      <w:pPr>
        <w:spacing w:before="0" w:after="0" w:line="240" w:lineRule="auto"/>
        <w:rPr>
          <w:rFonts w:eastAsia="Calibri"/>
          <w:b/>
          <w:color w:val="000000"/>
          <w:szCs w:val="22"/>
          <w:lang w:val="en-MY"/>
        </w:rPr>
      </w:pPr>
    </w:p>
    <w:p w14:paraId="690BE90E" w14:textId="62010B7E" w:rsidR="00672F34" w:rsidRPr="009D4627" w:rsidRDefault="004808A2" w:rsidP="00752D64">
      <w:pPr>
        <w:spacing w:before="0" w:after="0" w:line="240" w:lineRule="auto"/>
        <w:rPr>
          <w:rFonts w:eastAsia="Calibri"/>
          <w:bCs/>
          <w:color w:val="000000"/>
          <w:szCs w:val="22"/>
          <w:lang w:val="en-MY"/>
        </w:rPr>
      </w:pPr>
      <w:r w:rsidRPr="009D4627">
        <w:rPr>
          <w:rFonts w:eastAsia="Calibri"/>
          <w:b/>
          <w:color w:val="000000"/>
          <w:szCs w:val="22"/>
          <w:lang w:val="en-MY"/>
        </w:rPr>
        <w:t>Visual acuity:</w:t>
      </w:r>
      <w:r w:rsidRPr="009D4627">
        <w:rPr>
          <w:rFonts w:eastAsia="Calibri"/>
          <w:bCs/>
          <w:color w:val="000000"/>
          <w:szCs w:val="22"/>
          <w:lang w:val="en-MY"/>
        </w:rPr>
        <w:t xml:space="preserve"> </w:t>
      </w:r>
      <w:r w:rsidRPr="009D4627">
        <w:rPr>
          <w:rFonts w:eastAsia="Calibri"/>
          <w:bCs/>
          <w:color w:val="000000"/>
          <w:szCs w:val="22"/>
          <w:lang w:val="en-MY"/>
        </w:rPr>
        <w:tab/>
        <w:t xml:space="preserve">unaided </w:t>
      </w:r>
      <w:r w:rsidRPr="009D4627">
        <w:rPr>
          <w:rFonts w:eastAsia="Calibri"/>
          <w:bCs/>
          <w:color w:val="000000"/>
          <w:szCs w:val="22"/>
          <w:lang w:val="en-MY"/>
        </w:rPr>
        <w:tab/>
      </w:r>
      <w:r w:rsidR="00DC6030" w:rsidRPr="009D4627">
        <w:rPr>
          <w:rFonts w:eastAsia="Calibri"/>
          <w:bCs/>
          <w:color w:val="000000"/>
          <w:szCs w:val="22"/>
          <w:lang w:val="en-MY"/>
        </w:rPr>
        <w:tab/>
      </w:r>
      <w:r w:rsidRPr="009D4627">
        <w:rPr>
          <w:rFonts w:eastAsia="Calibri"/>
          <w:bCs/>
          <w:color w:val="000000"/>
          <w:szCs w:val="22"/>
          <w:lang w:val="en-MY"/>
        </w:rPr>
        <w:t>RE</w:t>
      </w:r>
      <w:r w:rsidR="00672F34" w:rsidRPr="009D4627">
        <w:rPr>
          <w:rFonts w:eastAsia="Calibri"/>
          <w:bCs/>
          <w:color w:val="000000"/>
          <w:szCs w:val="22"/>
          <w:lang w:val="en-MY"/>
        </w:rPr>
        <w:t xml:space="preserve"> 0.30</w:t>
      </w:r>
      <w:r w:rsidR="00672F34" w:rsidRPr="009D4627">
        <w:rPr>
          <w:rFonts w:eastAsia="Calibri"/>
          <w:bCs/>
          <w:color w:val="000000"/>
          <w:szCs w:val="22"/>
          <w:lang w:val="en-MY"/>
        </w:rPr>
        <w:tab/>
        <w:t>LE 0.80</w:t>
      </w:r>
      <w:r w:rsidR="00672F34" w:rsidRPr="009D4627">
        <w:rPr>
          <w:rFonts w:eastAsia="Calibri"/>
          <w:bCs/>
          <w:color w:val="000000"/>
          <w:szCs w:val="22"/>
          <w:lang w:val="en-MY"/>
        </w:rPr>
        <w:tab/>
      </w:r>
      <w:r w:rsidR="00DC6030" w:rsidRPr="009D4627">
        <w:rPr>
          <w:rFonts w:eastAsia="Calibri"/>
          <w:bCs/>
          <w:color w:val="000000"/>
          <w:szCs w:val="22"/>
          <w:lang w:val="en-MY"/>
        </w:rPr>
        <w:tab/>
      </w:r>
      <w:r w:rsidR="00672F34" w:rsidRPr="009D4627">
        <w:rPr>
          <w:rFonts w:eastAsia="Calibri"/>
          <w:bCs/>
          <w:szCs w:val="22"/>
          <w:lang w:val="en-MY"/>
        </w:rPr>
        <w:t>ETDRS</w:t>
      </w:r>
      <w:r w:rsidR="00DC6030" w:rsidRPr="009D4627">
        <w:rPr>
          <w:rFonts w:eastAsia="Calibri"/>
          <w:bCs/>
          <w:szCs w:val="22"/>
          <w:lang w:val="en-MY"/>
        </w:rPr>
        <w:t xml:space="preserve"> </w:t>
      </w:r>
      <w:proofErr w:type="spellStart"/>
      <w:r w:rsidR="00672F34" w:rsidRPr="009D4627">
        <w:rPr>
          <w:rFonts w:eastAsia="Calibri"/>
          <w:bCs/>
          <w:szCs w:val="22"/>
          <w:lang w:val="en-MY"/>
        </w:rPr>
        <w:t>logMAR</w:t>
      </w:r>
      <w:proofErr w:type="spellEnd"/>
      <w:r w:rsidR="00672F34" w:rsidRPr="009D4627">
        <w:rPr>
          <w:rFonts w:eastAsia="Calibri"/>
          <w:bCs/>
          <w:color w:val="000000"/>
          <w:szCs w:val="22"/>
          <w:lang w:val="en-MY"/>
        </w:rPr>
        <w:tab/>
      </w:r>
    </w:p>
    <w:p w14:paraId="6B46EB41" w14:textId="74C7C22E" w:rsidR="004808A2" w:rsidRPr="009D4627" w:rsidRDefault="00672F34" w:rsidP="00672F34">
      <w:pPr>
        <w:spacing w:before="0" w:after="0" w:line="240" w:lineRule="auto"/>
        <w:ind w:left="2160" w:firstLine="720"/>
        <w:rPr>
          <w:rFonts w:eastAsia="Calibri"/>
          <w:bCs/>
          <w:color w:val="000000"/>
          <w:szCs w:val="22"/>
          <w:lang w:val="en-MY"/>
        </w:rPr>
      </w:pPr>
      <w:r w:rsidRPr="009D4627">
        <w:rPr>
          <w:rFonts w:eastAsia="Calibri"/>
          <w:bCs/>
          <w:color w:val="000000"/>
          <w:szCs w:val="22"/>
          <w:lang w:val="en-MY"/>
        </w:rPr>
        <w:t xml:space="preserve">     </w:t>
      </w:r>
      <w:r w:rsidR="00DC6030" w:rsidRPr="009D4627">
        <w:rPr>
          <w:rFonts w:eastAsia="Calibri"/>
          <w:bCs/>
          <w:color w:val="000000"/>
          <w:szCs w:val="22"/>
          <w:lang w:val="en-MY"/>
        </w:rPr>
        <w:tab/>
        <w:t xml:space="preserve">     </w:t>
      </w:r>
      <w:r w:rsidR="004808A2" w:rsidRPr="009D4627">
        <w:rPr>
          <w:rFonts w:eastAsia="Calibri"/>
          <w:bCs/>
          <w:color w:val="000000"/>
          <w:szCs w:val="22"/>
          <w:lang w:val="en-MY"/>
        </w:rPr>
        <w:t xml:space="preserve"> 6/12-1</w:t>
      </w:r>
      <w:r w:rsidR="004808A2" w:rsidRPr="009D4627">
        <w:rPr>
          <w:rFonts w:eastAsia="Calibri"/>
          <w:bCs/>
          <w:color w:val="000000"/>
          <w:szCs w:val="22"/>
          <w:lang w:val="en-MY"/>
        </w:rPr>
        <w:tab/>
      </w:r>
      <w:r w:rsidR="00DC6030" w:rsidRPr="009D4627">
        <w:rPr>
          <w:rFonts w:eastAsia="Calibri"/>
          <w:bCs/>
          <w:color w:val="000000"/>
          <w:szCs w:val="22"/>
          <w:lang w:val="en-MY"/>
        </w:rPr>
        <w:t xml:space="preserve">   </w:t>
      </w:r>
      <w:r w:rsidR="004808A2" w:rsidRPr="009D4627">
        <w:rPr>
          <w:rFonts w:eastAsia="Calibri"/>
          <w:bCs/>
          <w:color w:val="000000"/>
          <w:szCs w:val="22"/>
          <w:lang w:val="en-MY"/>
        </w:rPr>
        <w:t xml:space="preserve"> 6/36 </w:t>
      </w:r>
      <w:r w:rsidRPr="009D4627">
        <w:rPr>
          <w:rFonts w:eastAsia="Calibri"/>
          <w:bCs/>
          <w:color w:val="000000"/>
          <w:szCs w:val="22"/>
          <w:lang w:val="en-MY"/>
        </w:rPr>
        <w:tab/>
      </w:r>
      <w:r w:rsidR="004808A2" w:rsidRPr="009D4627">
        <w:rPr>
          <w:rFonts w:eastAsia="Calibri"/>
          <w:bCs/>
          <w:color w:val="000000"/>
          <w:szCs w:val="22"/>
          <w:lang w:val="en-MY"/>
        </w:rPr>
        <w:t>Snellen</w:t>
      </w:r>
    </w:p>
    <w:p w14:paraId="5054B6F3" w14:textId="77777777" w:rsidR="00672F34" w:rsidRPr="009D4627" w:rsidRDefault="00672F34" w:rsidP="00752D64">
      <w:pPr>
        <w:spacing w:before="0" w:after="0" w:line="240" w:lineRule="auto"/>
        <w:rPr>
          <w:rFonts w:eastAsia="Calibri"/>
          <w:bCs/>
          <w:color w:val="000000"/>
          <w:szCs w:val="22"/>
          <w:lang w:val="en-MY"/>
        </w:rPr>
      </w:pPr>
    </w:p>
    <w:p w14:paraId="533FBAC9" w14:textId="2E7166B5" w:rsidR="00672F34" w:rsidRPr="009D4627" w:rsidRDefault="0087343E" w:rsidP="00672F34">
      <w:pPr>
        <w:spacing w:before="0" w:after="0" w:line="240" w:lineRule="auto"/>
        <w:ind w:left="720" w:firstLine="720"/>
        <w:rPr>
          <w:rFonts w:eastAsia="Calibri"/>
          <w:bCs/>
          <w:color w:val="000000"/>
          <w:szCs w:val="22"/>
          <w:lang w:val="en-MY"/>
        </w:rPr>
      </w:pPr>
      <w:r w:rsidRPr="009D4627">
        <w:rPr>
          <w:rFonts w:eastAsia="Calibri"/>
          <w:bCs/>
          <w:color w:val="000000"/>
          <w:szCs w:val="22"/>
          <w:lang w:val="en-MY"/>
        </w:rPr>
        <w:t>w</w:t>
      </w:r>
      <w:r w:rsidR="00672F34" w:rsidRPr="009D4627">
        <w:rPr>
          <w:rFonts w:eastAsia="Calibri"/>
          <w:bCs/>
          <w:color w:val="000000"/>
          <w:szCs w:val="22"/>
          <w:lang w:val="en-MY"/>
        </w:rPr>
        <w:t xml:space="preserve">ith </w:t>
      </w:r>
      <w:r w:rsidR="00DC6030" w:rsidRPr="009D4627">
        <w:rPr>
          <w:rFonts w:eastAsia="Calibri"/>
          <w:bCs/>
          <w:color w:val="000000"/>
          <w:szCs w:val="22"/>
          <w:lang w:val="en-MY"/>
        </w:rPr>
        <w:t>pinhole (</w:t>
      </w:r>
      <w:r w:rsidR="00672F34" w:rsidRPr="009D4627">
        <w:rPr>
          <w:rFonts w:eastAsia="Calibri"/>
          <w:bCs/>
          <w:color w:val="000000"/>
          <w:szCs w:val="22"/>
          <w:lang w:val="en-MY"/>
        </w:rPr>
        <w:t>PH</w:t>
      </w:r>
      <w:r w:rsidR="00DC6030" w:rsidRPr="009D4627">
        <w:rPr>
          <w:rFonts w:eastAsia="Calibri"/>
          <w:bCs/>
          <w:color w:val="000000"/>
          <w:szCs w:val="22"/>
          <w:lang w:val="en-MY"/>
        </w:rPr>
        <w:t>)</w:t>
      </w:r>
      <w:r w:rsidR="00672F34" w:rsidRPr="009D4627">
        <w:rPr>
          <w:rFonts w:eastAsia="Calibri"/>
          <w:bCs/>
          <w:color w:val="000000"/>
          <w:szCs w:val="22"/>
          <w:lang w:val="en-MY"/>
        </w:rPr>
        <w:tab/>
        <w:t>RE</w:t>
      </w:r>
      <w:r w:rsidR="004808A2" w:rsidRPr="009D4627">
        <w:rPr>
          <w:rFonts w:eastAsia="Calibri"/>
          <w:bCs/>
          <w:color w:val="000000"/>
          <w:szCs w:val="22"/>
          <w:lang w:val="en-MY"/>
        </w:rPr>
        <w:t xml:space="preserve"> </w:t>
      </w:r>
      <w:r w:rsidR="00672F34" w:rsidRPr="009D4627">
        <w:rPr>
          <w:rFonts w:eastAsia="Calibri"/>
          <w:bCs/>
          <w:color w:val="000000"/>
          <w:szCs w:val="22"/>
          <w:lang w:val="en-MY"/>
        </w:rPr>
        <w:t>0.20</w:t>
      </w:r>
      <w:r w:rsidR="00672F34" w:rsidRPr="009D4627">
        <w:rPr>
          <w:rFonts w:eastAsia="Calibri"/>
          <w:bCs/>
          <w:color w:val="000000"/>
          <w:szCs w:val="22"/>
          <w:lang w:val="en-MY"/>
        </w:rPr>
        <w:tab/>
        <w:t>LE 0.48</w:t>
      </w:r>
      <w:r w:rsidR="00672F34" w:rsidRPr="009D4627">
        <w:rPr>
          <w:rFonts w:eastAsia="Calibri"/>
          <w:bCs/>
          <w:color w:val="000000"/>
          <w:szCs w:val="22"/>
          <w:lang w:val="en-MY"/>
        </w:rPr>
        <w:tab/>
      </w:r>
      <w:r w:rsidR="00672F34" w:rsidRPr="009D4627">
        <w:rPr>
          <w:rFonts w:eastAsia="Calibri"/>
          <w:bCs/>
          <w:color w:val="000000"/>
          <w:szCs w:val="22"/>
          <w:lang w:val="en-MY"/>
        </w:rPr>
        <w:tab/>
      </w:r>
      <w:r w:rsidR="00672F34" w:rsidRPr="009D4627">
        <w:rPr>
          <w:rFonts w:eastAsia="Calibri"/>
          <w:bCs/>
          <w:szCs w:val="22"/>
          <w:lang w:val="en-MY"/>
        </w:rPr>
        <w:t xml:space="preserve">ETDRS </w:t>
      </w:r>
      <w:proofErr w:type="spellStart"/>
      <w:r w:rsidR="00672F34" w:rsidRPr="009D4627">
        <w:rPr>
          <w:rFonts w:eastAsia="Calibri"/>
          <w:bCs/>
          <w:szCs w:val="22"/>
          <w:lang w:val="en-MY"/>
        </w:rPr>
        <w:t>logMAR</w:t>
      </w:r>
      <w:proofErr w:type="spellEnd"/>
    </w:p>
    <w:p w14:paraId="3A99930E" w14:textId="0F9767F5" w:rsidR="004808A2" w:rsidRPr="009D4627" w:rsidRDefault="00672F34" w:rsidP="00672F34">
      <w:pPr>
        <w:spacing w:before="0" w:after="0" w:line="240" w:lineRule="auto"/>
        <w:ind w:left="2160" w:firstLine="720"/>
        <w:rPr>
          <w:rFonts w:eastAsia="Calibri"/>
          <w:bCs/>
          <w:color w:val="000000"/>
          <w:szCs w:val="22"/>
          <w:lang w:val="en-MY"/>
        </w:rPr>
      </w:pPr>
      <w:r w:rsidRPr="009D4627">
        <w:rPr>
          <w:rFonts w:eastAsia="Calibri"/>
          <w:bCs/>
          <w:color w:val="000000"/>
          <w:szCs w:val="22"/>
          <w:lang w:val="en-MY"/>
        </w:rPr>
        <w:t xml:space="preserve">      </w:t>
      </w:r>
      <w:r w:rsidR="00DC6030" w:rsidRPr="009D4627">
        <w:rPr>
          <w:rFonts w:eastAsia="Calibri"/>
          <w:bCs/>
          <w:color w:val="000000"/>
          <w:szCs w:val="22"/>
          <w:lang w:val="en-MY"/>
        </w:rPr>
        <w:tab/>
        <w:t xml:space="preserve">       </w:t>
      </w:r>
      <w:r w:rsidR="004808A2" w:rsidRPr="009D4627">
        <w:rPr>
          <w:rFonts w:eastAsia="Calibri"/>
          <w:bCs/>
          <w:color w:val="000000"/>
          <w:szCs w:val="22"/>
          <w:lang w:val="en-MY"/>
        </w:rPr>
        <w:t>6/9</w:t>
      </w:r>
      <w:r w:rsidR="004808A2" w:rsidRPr="009D4627">
        <w:rPr>
          <w:rFonts w:eastAsia="Calibri"/>
          <w:bCs/>
          <w:color w:val="000000"/>
          <w:szCs w:val="22"/>
          <w:vertAlign w:val="superscript"/>
          <w:lang w:val="en-MY"/>
        </w:rPr>
        <w:t>-1</w:t>
      </w:r>
      <w:r w:rsidR="004808A2" w:rsidRPr="009D4627">
        <w:rPr>
          <w:rFonts w:eastAsia="Calibri"/>
          <w:bCs/>
          <w:color w:val="000000"/>
          <w:szCs w:val="22"/>
          <w:lang w:val="en-MY"/>
        </w:rPr>
        <w:tab/>
      </w:r>
      <w:r w:rsidR="0087343E" w:rsidRPr="009D4627">
        <w:rPr>
          <w:rFonts w:eastAsia="Calibri"/>
          <w:bCs/>
          <w:color w:val="000000"/>
          <w:szCs w:val="22"/>
          <w:lang w:val="en-MY"/>
        </w:rPr>
        <w:t xml:space="preserve">    </w:t>
      </w:r>
      <w:r w:rsidRPr="009D4627">
        <w:rPr>
          <w:rFonts w:eastAsia="Calibri"/>
          <w:bCs/>
          <w:color w:val="000000"/>
          <w:szCs w:val="22"/>
          <w:lang w:val="en-MY"/>
        </w:rPr>
        <w:t xml:space="preserve"> </w:t>
      </w:r>
      <w:r w:rsidR="004808A2" w:rsidRPr="009D4627">
        <w:rPr>
          <w:rFonts w:eastAsia="Calibri"/>
          <w:bCs/>
          <w:color w:val="000000"/>
          <w:szCs w:val="22"/>
          <w:lang w:val="en-MY"/>
        </w:rPr>
        <w:t xml:space="preserve">6/18 </w:t>
      </w:r>
      <w:r w:rsidRPr="009D4627">
        <w:rPr>
          <w:rFonts w:eastAsia="Calibri"/>
          <w:bCs/>
          <w:color w:val="000000"/>
          <w:szCs w:val="22"/>
          <w:lang w:val="en-MY"/>
        </w:rPr>
        <w:tab/>
      </w:r>
      <w:r w:rsidR="004808A2" w:rsidRPr="009D4627">
        <w:rPr>
          <w:rFonts w:eastAsia="Calibri"/>
          <w:bCs/>
          <w:color w:val="000000"/>
          <w:szCs w:val="22"/>
          <w:lang w:val="en-MY"/>
        </w:rPr>
        <w:t>Snellen</w:t>
      </w:r>
    </w:p>
    <w:p w14:paraId="30AB4D90" w14:textId="77777777" w:rsidR="004808A2" w:rsidRPr="009D4627" w:rsidRDefault="004808A2" w:rsidP="00752D64">
      <w:pPr>
        <w:spacing w:before="0" w:after="0" w:line="240" w:lineRule="auto"/>
        <w:rPr>
          <w:rFonts w:eastAsia="Calibri"/>
          <w:bCs/>
          <w:color w:val="000000"/>
          <w:szCs w:val="22"/>
          <w:lang w:val="en-MY"/>
        </w:rPr>
      </w:pPr>
    </w:p>
    <w:p w14:paraId="7BCD360A" w14:textId="100D00D3" w:rsidR="0044412F" w:rsidRPr="009D4627" w:rsidRDefault="004808A2" w:rsidP="00752D64">
      <w:pPr>
        <w:spacing w:before="0" w:after="0" w:line="240" w:lineRule="auto"/>
        <w:ind w:left="1276" w:hanging="1276"/>
        <w:rPr>
          <w:rFonts w:eastAsia="Calibri"/>
          <w:bCs/>
          <w:color w:val="000000"/>
          <w:szCs w:val="22"/>
          <w:lang w:val="en-MY"/>
        </w:rPr>
      </w:pPr>
      <w:r w:rsidRPr="009D4627">
        <w:rPr>
          <w:rFonts w:eastAsia="Calibri"/>
          <w:b/>
          <w:color w:val="000000"/>
          <w:szCs w:val="22"/>
          <w:lang w:val="en-MY"/>
        </w:rPr>
        <w:t xml:space="preserve">Cover test: </w:t>
      </w:r>
      <w:r w:rsidRPr="009D4627">
        <w:rPr>
          <w:rFonts w:eastAsia="Calibri"/>
          <w:b/>
          <w:color w:val="000000"/>
          <w:szCs w:val="22"/>
          <w:lang w:val="en-MY"/>
        </w:rPr>
        <w:tab/>
      </w:r>
      <w:r w:rsidRPr="009D4627">
        <w:rPr>
          <w:rFonts w:eastAsia="Calibri"/>
          <w:bCs/>
          <w:color w:val="000000"/>
          <w:szCs w:val="22"/>
          <w:lang w:val="en-MY"/>
        </w:rPr>
        <w:t>without glasses 1/3 m &amp; 6</w:t>
      </w:r>
      <w:r w:rsidR="00672F34" w:rsidRPr="009D4627">
        <w:rPr>
          <w:rFonts w:eastAsia="Calibri"/>
          <w:bCs/>
          <w:color w:val="000000"/>
          <w:szCs w:val="22"/>
          <w:lang w:val="en-MY"/>
        </w:rPr>
        <w:t xml:space="preserve"> </w:t>
      </w:r>
      <w:r w:rsidRPr="009D4627">
        <w:rPr>
          <w:rFonts w:eastAsia="Calibri"/>
          <w:bCs/>
          <w:color w:val="000000"/>
          <w:szCs w:val="22"/>
          <w:lang w:val="en-MY"/>
        </w:rPr>
        <w:t>m slight/moderate left exotropia (LXT) with small left hypotropia (</w:t>
      </w:r>
      <w:proofErr w:type="spellStart"/>
      <w:r w:rsidRPr="009D4627">
        <w:rPr>
          <w:rFonts w:eastAsia="Calibri"/>
          <w:bCs/>
          <w:color w:val="000000"/>
          <w:szCs w:val="22"/>
          <w:lang w:val="en-MY"/>
        </w:rPr>
        <w:t>LoHT</w:t>
      </w:r>
      <w:proofErr w:type="spellEnd"/>
      <w:r w:rsidRPr="009D4627">
        <w:rPr>
          <w:rFonts w:eastAsia="Calibri"/>
          <w:bCs/>
          <w:color w:val="000000"/>
          <w:szCs w:val="22"/>
          <w:lang w:val="en-MY"/>
        </w:rPr>
        <w:t>) with diplopia</w:t>
      </w:r>
    </w:p>
    <w:p w14:paraId="41EE73C6" w14:textId="27282B8B" w:rsidR="004808A2" w:rsidRPr="009D4627" w:rsidRDefault="004808A2" w:rsidP="006F23DD">
      <w:pPr>
        <w:spacing w:before="0" w:after="0" w:line="240" w:lineRule="auto"/>
        <w:ind w:left="1276" w:hanging="1276"/>
        <w:rPr>
          <w:rFonts w:eastAsia="Calibri"/>
          <w:bCs/>
          <w:color w:val="000000"/>
          <w:szCs w:val="22"/>
          <w:lang w:val="en-MY"/>
        </w:rPr>
      </w:pPr>
      <w:r w:rsidRPr="009D4627">
        <w:rPr>
          <w:rFonts w:eastAsia="Calibri"/>
          <w:bCs/>
          <w:color w:val="000000"/>
          <w:szCs w:val="22"/>
          <w:lang w:val="en-MY"/>
        </w:rPr>
        <w:t xml:space="preserve">                        </w:t>
      </w:r>
    </w:p>
    <w:p w14:paraId="73DC444D" w14:textId="62FCF2D5" w:rsidR="004808A2" w:rsidRPr="009D4627" w:rsidRDefault="00672F34" w:rsidP="00752D64">
      <w:pPr>
        <w:spacing w:before="0" w:after="0" w:line="240" w:lineRule="auto"/>
        <w:rPr>
          <w:rFonts w:eastAsia="Calibri"/>
          <w:bCs/>
          <w:color w:val="000000"/>
          <w:szCs w:val="22"/>
          <w:lang w:val="en-MY"/>
        </w:rPr>
      </w:pPr>
      <w:r w:rsidRPr="009D4627">
        <w:rPr>
          <w:rFonts w:eastAsia="Calibri"/>
          <w:b/>
          <w:color w:val="000000"/>
          <w:szCs w:val="22"/>
          <w:lang w:val="en-MY"/>
        </w:rPr>
        <w:t>OMT</w:t>
      </w:r>
      <w:r w:rsidR="004808A2" w:rsidRPr="009D4627">
        <w:rPr>
          <w:rFonts w:eastAsia="Calibri"/>
          <w:b/>
          <w:color w:val="000000"/>
          <w:szCs w:val="22"/>
          <w:lang w:val="en-MY"/>
        </w:rPr>
        <w:t>:</w:t>
      </w:r>
    </w:p>
    <w:p w14:paraId="656086FA" w14:textId="4A5D90B4" w:rsidR="004808A2" w:rsidRPr="009D4627" w:rsidRDefault="00A2792E" w:rsidP="00752D64">
      <w:pPr>
        <w:spacing w:before="0" w:line="240" w:lineRule="auto"/>
        <w:rPr>
          <w:rFonts w:eastAsia="Calibri"/>
          <w:bCs/>
          <w:color w:val="000000"/>
          <w:szCs w:val="22"/>
          <w:lang w:val="en-MY"/>
        </w:rPr>
      </w:pPr>
      <w:r w:rsidRPr="009D4627">
        <w:rPr>
          <w:noProof/>
        </w:rPr>
        <mc:AlternateContent>
          <mc:Choice Requires="wpg">
            <w:drawing>
              <wp:anchor distT="0" distB="0" distL="114300" distR="114300" simplePos="0" relativeHeight="251642880" behindDoc="1" locked="0" layoutInCell="1" allowOverlap="1" wp14:anchorId="4AE6E8E3" wp14:editId="39AAF3ED">
                <wp:simplePos x="0" y="0"/>
                <wp:positionH relativeFrom="column">
                  <wp:posOffset>1143000</wp:posOffset>
                </wp:positionH>
                <wp:positionV relativeFrom="paragraph">
                  <wp:posOffset>42545</wp:posOffset>
                </wp:positionV>
                <wp:extent cx="2533015" cy="1142365"/>
                <wp:effectExtent l="0" t="0" r="635" b="0"/>
                <wp:wrapThrough wrapText="bothSides">
                  <wp:wrapPolygon edited="0">
                    <wp:start x="18519" y="0"/>
                    <wp:lineTo x="10072" y="360"/>
                    <wp:lineTo x="487" y="3242"/>
                    <wp:lineTo x="0" y="7564"/>
                    <wp:lineTo x="0" y="14408"/>
                    <wp:lineTo x="1300" y="17290"/>
                    <wp:lineTo x="1300" y="18370"/>
                    <wp:lineTo x="15108" y="21252"/>
                    <wp:lineTo x="19331" y="21252"/>
                    <wp:lineTo x="21281" y="21252"/>
                    <wp:lineTo x="21605" y="13327"/>
                    <wp:lineTo x="21605" y="7924"/>
                    <wp:lineTo x="21281" y="5763"/>
                    <wp:lineTo x="20631" y="0"/>
                    <wp:lineTo x="18519" y="0"/>
                  </wp:wrapPolygon>
                </wp:wrapThrough>
                <wp:docPr id="23871" name="Group 23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015" cy="1142365"/>
                          <a:chOff x="0" y="0"/>
                          <a:chExt cx="27051" cy="12781"/>
                        </a:xfrm>
                      </wpg:grpSpPr>
                      <wps:wsp>
                        <wps:cNvPr id="23872" name="Oval 20884"/>
                        <wps:cNvSpPr>
                          <a:spLocks noChangeArrowheads="1"/>
                        </wps:cNvSpPr>
                        <wps:spPr bwMode="auto">
                          <a:xfrm>
                            <a:off x="0" y="1789"/>
                            <a:ext cx="9144" cy="9125"/>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g:cNvPr id="23873" name="Group 20885"/>
                        <wpg:cNvGrpSpPr>
                          <a:grpSpLocks/>
                        </wpg:cNvGrpSpPr>
                        <wpg:grpSpPr bwMode="auto">
                          <a:xfrm>
                            <a:off x="17907" y="0"/>
                            <a:ext cx="9144" cy="12781"/>
                            <a:chOff x="17907" y="0"/>
                            <a:chExt cx="9144" cy="12781"/>
                          </a:xfrm>
                        </wpg:grpSpPr>
                        <wpg:grpSp>
                          <wpg:cNvPr id="23874" name="Group 20886"/>
                          <wpg:cNvGrpSpPr>
                            <a:grpSpLocks/>
                          </wpg:cNvGrpSpPr>
                          <wpg:grpSpPr bwMode="auto">
                            <a:xfrm>
                              <a:off x="17907" y="0"/>
                              <a:ext cx="9144" cy="12042"/>
                              <a:chOff x="17907" y="0"/>
                              <a:chExt cx="9144" cy="12042"/>
                            </a:xfrm>
                          </wpg:grpSpPr>
                          <wpg:grpSp>
                            <wpg:cNvPr id="23875" name="Group 20887"/>
                            <wpg:cNvGrpSpPr>
                              <a:grpSpLocks/>
                            </wpg:cNvGrpSpPr>
                            <wpg:grpSpPr bwMode="auto">
                              <a:xfrm>
                                <a:off x="17907" y="0"/>
                                <a:ext cx="9144" cy="10876"/>
                                <a:chOff x="17907" y="0"/>
                                <a:chExt cx="9144" cy="10889"/>
                              </a:xfrm>
                            </wpg:grpSpPr>
                            <wpg:grpSp>
                              <wpg:cNvPr id="23876" name="Group 20888"/>
                              <wpg:cNvGrpSpPr>
                                <a:grpSpLocks/>
                              </wpg:cNvGrpSpPr>
                              <wpg:grpSpPr bwMode="auto">
                                <a:xfrm>
                                  <a:off x="18353" y="1840"/>
                                  <a:ext cx="8165" cy="3143"/>
                                  <a:chOff x="18353" y="1840"/>
                                  <a:chExt cx="8165" cy="3142"/>
                                </a:xfrm>
                              </wpg:grpSpPr>
                              <wps:wsp>
                                <wps:cNvPr id="23877" name="Straight Connector 20889"/>
                                <wps:cNvCnPr>
                                  <a:cxnSpLocks noChangeShapeType="1"/>
                                </wps:cNvCnPr>
                                <wps:spPr bwMode="auto">
                                  <a:xfrm>
                                    <a:off x="18353" y="4858"/>
                                    <a:ext cx="8165" cy="0"/>
                                  </a:xfrm>
                                  <a:prstGeom prst="line">
                                    <a:avLst/>
                                  </a:prstGeom>
                                  <a:noFill/>
                                  <a:ln w="6350">
                                    <a:solidFill>
                                      <a:srgbClr val="000000"/>
                                    </a:solidFill>
                                    <a:miter lim="800000"/>
                                    <a:headEnd/>
                                    <a:tailEnd/>
                                  </a:ln>
                                </wps:spPr>
                                <wps:bodyPr/>
                              </wps:wsp>
                              <wpg:grpSp>
                                <wpg:cNvPr id="23878" name="Group 20890"/>
                                <wpg:cNvGrpSpPr>
                                  <a:grpSpLocks/>
                                </wpg:cNvGrpSpPr>
                                <wpg:grpSpPr bwMode="auto">
                                  <a:xfrm>
                                    <a:off x="20050" y="1840"/>
                                    <a:ext cx="5426" cy="3143"/>
                                    <a:chOff x="20050" y="1840"/>
                                    <a:chExt cx="5426" cy="3142"/>
                                  </a:xfrm>
                                </wpg:grpSpPr>
                                <wps:wsp>
                                  <wps:cNvPr id="23879" name="Straight Connector 20891"/>
                                  <wps:cNvCnPr>
                                    <a:cxnSpLocks noChangeShapeType="1"/>
                                  </wps:cNvCnPr>
                                  <wps:spPr bwMode="auto">
                                    <a:xfrm flipH="1">
                                      <a:off x="20852" y="1888"/>
                                      <a:ext cx="2103" cy="2486"/>
                                    </a:xfrm>
                                    <a:prstGeom prst="line">
                                      <a:avLst/>
                                    </a:prstGeom>
                                    <a:noFill/>
                                    <a:ln w="19050">
                                      <a:solidFill>
                                        <a:srgbClr val="000000"/>
                                      </a:solidFill>
                                      <a:miter lim="800000"/>
                                      <a:headEnd/>
                                      <a:tailEnd/>
                                    </a:ln>
                                  </wps:spPr>
                                  <wps:bodyPr/>
                                </wps:wsp>
                                <wps:wsp>
                                  <wps:cNvPr id="23880" name="Straight Connector 20892"/>
                                  <wps:cNvCnPr>
                                    <a:cxnSpLocks noChangeShapeType="1"/>
                                  </wps:cNvCnPr>
                                  <wps:spPr bwMode="auto">
                                    <a:xfrm flipH="1">
                                      <a:off x="21526" y="1888"/>
                                      <a:ext cx="2235" cy="2764"/>
                                    </a:xfrm>
                                    <a:prstGeom prst="line">
                                      <a:avLst/>
                                    </a:prstGeom>
                                    <a:noFill/>
                                    <a:ln w="19050">
                                      <a:solidFill>
                                        <a:srgbClr val="000000"/>
                                      </a:solidFill>
                                      <a:miter lim="800000"/>
                                      <a:headEnd/>
                                      <a:tailEnd/>
                                    </a:ln>
                                  </wps:spPr>
                                  <wps:bodyPr/>
                                </wps:wsp>
                                <wps:wsp>
                                  <wps:cNvPr id="23881" name="Straight Connector 20893"/>
                                  <wps:cNvCnPr>
                                    <a:cxnSpLocks noChangeShapeType="1"/>
                                  </wps:cNvCnPr>
                                  <wps:spPr bwMode="auto">
                                    <a:xfrm flipH="1">
                                      <a:off x="20751" y="1840"/>
                                      <a:ext cx="1394" cy="1617"/>
                                    </a:xfrm>
                                    <a:prstGeom prst="line">
                                      <a:avLst/>
                                    </a:prstGeom>
                                    <a:noFill/>
                                    <a:ln w="19050">
                                      <a:solidFill>
                                        <a:srgbClr val="000000"/>
                                      </a:solidFill>
                                      <a:miter lim="800000"/>
                                      <a:headEnd/>
                                      <a:tailEnd/>
                                    </a:ln>
                                  </wps:spPr>
                                  <wps:bodyPr/>
                                </wps:wsp>
                                <wps:wsp>
                                  <wps:cNvPr id="23882" name="Straight Connector 20894"/>
                                  <wps:cNvCnPr>
                                    <a:cxnSpLocks noChangeShapeType="1"/>
                                  </wps:cNvCnPr>
                                  <wps:spPr bwMode="auto">
                                    <a:xfrm flipH="1">
                                      <a:off x="22276" y="2174"/>
                                      <a:ext cx="2104" cy="2684"/>
                                    </a:xfrm>
                                    <a:prstGeom prst="line">
                                      <a:avLst/>
                                    </a:prstGeom>
                                    <a:noFill/>
                                    <a:ln w="19050">
                                      <a:solidFill>
                                        <a:srgbClr val="000000"/>
                                      </a:solidFill>
                                      <a:miter lim="800000"/>
                                      <a:headEnd/>
                                      <a:tailEnd/>
                                    </a:ln>
                                  </wps:spPr>
                                  <wps:bodyPr/>
                                </wps:wsp>
                                <wps:wsp>
                                  <wps:cNvPr id="23883" name="Straight Connector 20895"/>
                                  <wps:cNvCnPr>
                                    <a:cxnSpLocks noChangeShapeType="1"/>
                                  </wps:cNvCnPr>
                                  <wps:spPr bwMode="auto">
                                    <a:xfrm flipH="1">
                                      <a:off x="20050" y="2031"/>
                                      <a:ext cx="1092" cy="1333"/>
                                    </a:xfrm>
                                    <a:prstGeom prst="line">
                                      <a:avLst/>
                                    </a:prstGeom>
                                    <a:noFill/>
                                    <a:ln w="19050">
                                      <a:solidFill>
                                        <a:srgbClr val="000000"/>
                                      </a:solidFill>
                                      <a:miter lim="800000"/>
                                      <a:headEnd/>
                                      <a:tailEnd/>
                                    </a:ln>
                                  </wps:spPr>
                                  <wps:bodyPr/>
                                </wps:wsp>
                                <wps:wsp>
                                  <wps:cNvPr id="23884" name="Straight Connector 20896"/>
                                  <wps:cNvCnPr>
                                    <a:cxnSpLocks noChangeShapeType="1"/>
                                  </wps:cNvCnPr>
                                  <wps:spPr bwMode="auto">
                                    <a:xfrm flipH="1">
                                      <a:off x="23090" y="2507"/>
                                      <a:ext cx="1862" cy="2351"/>
                                    </a:xfrm>
                                    <a:prstGeom prst="line">
                                      <a:avLst/>
                                    </a:prstGeom>
                                    <a:noFill/>
                                    <a:ln w="19050">
                                      <a:solidFill>
                                        <a:srgbClr val="000000"/>
                                      </a:solidFill>
                                      <a:miter lim="800000"/>
                                      <a:headEnd/>
                                      <a:tailEnd/>
                                    </a:ln>
                                  </wps:spPr>
                                  <wps:bodyPr/>
                                </wps:wsp>
                                <wps:wsp>
                                  <wps:cNvPr id="23885" name="Straight Connector 20897"/>
                                  <wps:cNvCnPr>
                                    <a:cxnSpLocks noChangeShapeType="1"/>
                                  </wps:cNvCnPr>
                                  <wps:spPr bwMode="auto">
                                    <a:xfrm flipH="1">
                                      <a:off x="23761" y="2841"/>
                                      <a:ext cx="1715" cy="2142"/>
                                    </a:xfrm>
                                    <a:prstGeom prst="line">
                                      <a:avLst/>
                                    </a:prstGeom>
                                    <a:noFill/>
                                    <a:ln w="19050">
                                      <a:solidFill>
                                        <a:srgbClr val="000000"/>
                                      </a:solidFill>
                                      <a:miter lim="800000"/>
                                      <a:headEnd/>
                                      <a:tailEnd/>
                                    </a:ln>
                                  </wps:spPr>
                                  <wps:bodyPr/>
                                </wps:wsp>
                              </wpg:grpSp>
                            </wpg:grpSp>
                            <wpg:grpSp>
                              <wpg:cNvPr id="23886" name="Group 20898"/>
                              <wpg:cNvGrpSpPr>
                                <a:grpSpLocks/>
                              </wpg:cNvGrpSpPr>
                              <wpg:grpSpPr bwMode="auto">
                                <a:xfrm>
                                  <a:off x="17907" y="0"/>
                                  <a:ext cx="9144" cy="10889"/>
                                  <a:chOff x="17907" y="0"/>
                                  <a:chExt cx="9144" cy="10889"/>
                                </a:xfrm>
                              </wpg:grpSpPr>
                              <wpg:grpSp>
                                <wpg:cNvPr id="23887" name="Group 20899"/>
                                <wpg:cNvGrpSpPr>
                                  <a:grpSpLocks/>
                                </wpg:cNvGrpSpPr>
                                <wpg:grpSpPr bwMode="auto">
                                  <a:xfrm>
                                    <a:off x="17907" y="0"/>
                                    <a:ext cx="9144" cy="10889"/>
                                    <a:chOff x="17907" y="0"/>
                                    <a:chExt cx="9144" cy="10889"/>
                                  </a:xfrm>
                                </wpg:grpSpPr>
                                <wps:wsp>
                                  <wps:cNvPr id="23888" name="Rectangle 20900"/>
                                  <wps:cNvSpPr>
                                    <a:spLocks noChangeArrowheads="1"/>
                                  </wps:cNvSpPr>
                                  <wps:spPr bwMode="auto">
                                    <a:xfrm>
                                      <a:off x="23764" y="0"/>
                                      <a:ext cx="1712" cy="1981"/>
                                    </a:xfrm>
                                    <a:prstGeom prst="rect">
                                      <a:avLst/>
                                    </a:prstGeom>
                                    <a:noFill/>
                                    <a:ln>
                                      <a:noFill/>
                                    </a:ln>
                                  </wps:spPr>
                                  <wps:txbx>
                                    <w:txbxContent>
                                      <w:p w14:paraId="7A0CAEA5"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s:wsp>
                                  <wps:cNvPr id="23889" name="Oval 20901"/>
                                  <wps:cNvSpPr>
                                    <a:spLocks noChangeArrowheads="1"/>
                                  </wps:cNvSpPr>
                                  <wps:spPr bwMode="auto">
                                    <a:xfrm>
                                      <a:off x="17907" y="1745"/>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s:wsp>
                                <wps:cNvPr id="23890" name="Rectangle 20902"/>
                                <wps:cNvSpPr>
                                  <a:spLocks noChangeArrowheads="1"/>
                                </wps:cNvSpPr>
                                <wps:spPr bwMode="auto">
                                  <a:xfrm>
                                    <a:off x="18251" y="213"/>
                                    <a:ext cx="1986" cy="2006"/>
                                  </a:xfrm>
                                  <a:prstGeom prst="rect">
                                    <a:avLst/>
                                  </a:prstGeom>
                                  <a:noFill/>
                                  <a:ln>
                                    <a:noFill/>
                                  </a:ln>
                                </wps:spPr>
                                <wps:txbx>
                                  <w:txbxContent>
                                    <w:p w14:paraId="5394DCA9"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g:grpSp>
                            <wpg:grpSp>
                              <wpg:cNvPr id="23891" name="Group 20903"/>
                              <wpg:cNvGrpSpPr>
                                <a:grpSpLocks/>
                              </wpg:cNvGrpSpPr>
                              <wpg:grpSpPr bwMode="auto">
                                <a:xfrm rot="10800000">
                                  <a:off x="19220" y="6317"/>
                                  <a:ext cx="7831" cy="4521"/>
                                  <a:chOff x="19220" y="6317"/>
                                  <a:chExt cx="7830" cy="4530"/>
                                </a:xfrm>
                              </wpg:grpSpPr>
                              <wps:wsp>
                                <wps:cNvPr id="23892" name="Straight Connector 20904"/>
                                <wps:cNvCnPr>
                                  <a:cxnSpLocks noChangeShapeType="1"/>
                                </wps:cNvCnPr>
                                <wps:spPr bwMode="auto">
                                  <a:xfrm rot="10800000" flipH="1">
                                    <a:off x="19220" y="9587"/>
                                    <a:ext cx="7831" cy="1261"/>
                                  </a:xfrm>
                                  <a:prstGeom prst="line">
                                    <a:avLst/>
                                  </a:prstGeom>
                                  <a:noFill/>
                                  <a:ln w="6350">
                                    <a:solidFill>
                                      <a:srgbClr val="000000"/>
                                    </a:solidFill>
                                    <a:miter lim="800000"/>
                                    <a:headEnd/>
                                    <a:tailEnd/>
                                  </a:ln>
                                </wps:spPr>
                                <wps:bodyPr/>
                              </wps:wsp>
                              <wpg:grpSp>
                                <wpg:cNvPr id="23893" name="Group 20905"/>
                                <wpg:cNvGrpSpPr>
                                  <a:grpSpLocks/>
                                </wpg:cNvGrpSpPr>
                                <wpg:grpSpPr bwMode="auto">
                                  <a:xfrm>
                                    <a:off x="19220" y="6317"/>
                                    <a:ext cx="7522" cy="4531"/>
                                    <a:chOff x="19220" y="6317"/>
                                    <a:chExt cx="7521" cy="4530"/>
                                  </a:xfrm>
                                </wpg:grpSpPr>
                                <wps:wsp>
                                  <wps:cNvPr id="23894" name="Straight Connector 20906"/>
                                  <wps:cNvCnPr>
                                    <a:cxnSpLocks noChangeShapeType="1"/>
                                  </wps:cNvCnPr>
                                  <wps:spPr bwMode="auto">
                                    <a:xfrm rot="10800000" flipV="1">
                                      <a:off x="21319" y="6365"/>
                                      <a:ext cx="2902" cy="4184"/>
                                    </a:xfrm>
                                    <a:prstGeom prst="line">
                                      <a:avLst/>
                                    </a:prstGeom>
                                    <a:noFill/>
                                    <a:ln w="19050">
                                      <a:solidFill>
                                        <a:srgbClr val="000000"/>
                                      </a:solidFill>
                                      <a:miter lim="800000"/>
                                      <a:headEnd/>
                                      <a:tailEnd/>
                                    </a:ln>
                                  </wps:spPr>
                                  <wps:bodyPr/>
                                </wps:wsp>
                                <wps:wsp>
                                  <wps:cNvPr id="23895" name="Straight Connector 20907"/>
                                  <wps:cNvCnPr>
                                    <a:cxnSpLocks noChangeShapeType="1"/>
                                  </wps:cNvCnPr>
                                  <wps:spPr bwMode="auto">
                                    <a:xfrm rot="10800000" flipV="1">
                                      <a:off x="22271" y="6365"/>
                                      <a:ext cx="2756" cy="3970"/>
                                    </a:xfrm>
                                    <a:prstGeom prst="line">
                                      <a:avLst/>
                                    </a:prstGeom>
                                    <a:noFill/>
                                    <a:ln w="19050">
                                      <a:solidFill>
                                        <a:srgbClr val="000000"/>
                                      </a:solidFill>
                                      <a:miter lim="800000"/>
                                      <a:headEnd/>
                                      <a:tailEnd/>
                                    </a:ln>
                                  </wps:spPr>
                                  <wps:bodyPr/>
                                </wps:wsp>
                                <wps:wsp>
                                  <wps:cNvPr id="23896" name="Straight Connector 20908"/>
                                  <wps:cNvCnPr>
                                    <a:cxnSpLocks noChangeShapeType="1"/>
                                  </wps:cNvCnPr>
                                  <wps:spPr bwMode="auto">
                                    <a:xfrm rot="10800000" flipV="1">
                                      <a:off x="20363" y="6317"/>
                                      <a:ext cx="3174" cy="4344"/>
                                    </a:xfrm>
                                    <a:prstGeom prst="line">
                                      <a:avLst/>
                                    </a:prstGeom>
                                    <a:noFill/>
                                    <a:ln w="19050">
                                      <a:solidFill>
                                        <a:srgbClr val="000000"/>
                                      </a:solidFill>
                                      <a:miter lim="800000"/>
                                      <a:headEnd/>
                                      <a:tailEnd/>
                                    </a:ln>
                                  </wps:spPr>
                                  <wps:bodyPr/>
                                </wps:wsp>
                                <wps:wsp>
                                  <wps:cNvPr id="23897" name="Straight Connector 20909"/>
                                  <wps:cNvCnPr>
                                    <a:cxnSpLocks noChangeShapeType="1"/>
                                  </wps:cNvCnPr>
                                  <wps:spPr bwMode="auto">
                                    <a:xfrm rot="10800000" flipV="1">
                                      <a:off x="23316" y="6651"/>
                                      <a:ext cx="2330" cy="3364"/>
                                    </a:xfrm>
                                    <a:prstGeom prst="line">
                                      <a:avLst/>
                                    </a:prstGeom>
                                    <a:noFill/>
                                    <a:ln w="19050">
                                      <a:solidFill>
                                        <a:srgbClr val="000000"/>
                                      </a:solidFill>
                                      <a:miter lim="800000"/>
                                      <a:headEnd/>
                                      <a:tailEnd/>
                                    </a:ln>
                                  </wps:spPr>
                                  <wps:bodyPr/>
                                </wps:wsp>
                                <wps:wsp>
                                  <wps:cNvPr id="23898" name="Straight Connector 20910"/>
                                  <wps:cNvCnPr>
                                    <a:cxnSpLocks noChangeShapeType="1"/>
                                  </wps:cNvCnPr>
                                  <wps:spPr bwMode="auto">
                                    <a:xfrm rot="10800000" flipV="1">
                                      <a:off x="19220" y="6508"/>
                                      <a:ext cx="3188" cy="4340"/>
                                    </a:xfrm>
                                    <a:prstGeom prst="line">
                                      <a:avLst/>
                                    </a:prstGeom>
                                    <a:noFill/>
                                    <a:ln w="19050">
                                      <a:solidFill>
                                        <a:srgbClr val="000000"/>
                                      </a:solidFill>
                                      <a:miter lim="800000"/>
                                      <a:headEnd/>
                                      <a:tailEnd/>
                                    </a:ln>
                                  </wps:spPr>
                                  <wps:bodyPr/>
                                </wps:wsp>
                                <wps:wsp>
                                  <wps:cNvPr id="23899" name="Straight Connector 20911"/>
                                  <wps:cNvCnPr>
                                    <a:cxnSpLocks noChangeShapeType="1"/>
                                  </wps:cNvCnPr>
                                  <wps:spPr bwMode="auto">
                                    <a:xfrm rot="10800000" flipV="1">
                                      <a:off x="24221" y="6984"/>
                                      <a:ext cx="1997" cy="3031"/>
                                    </a:xfrm>
                                    <a:prstGeom prst="line">
                                      <a:avLst/>
                                    </a:prstGeom>
                                    <a:noFill/>
                                    <a:ln w="19050">
                                      <a:solidFill>
                                        <a:srgbClr val="000000"/>
                                      </a:solidFill>
                                      <a:miter lim="800000"/>
                                      <a:headEnd/>
                                      <a:tailEnd/>
                                    </a:ln>
                                  </wps:spPr>
                                  <wps:bodyPr/>
                                </wps:wsp>
                                <wps:wsp>
                                  <wps:cNvPr id="23900" name="Straight Connector 20912"/>
                                  <wps:cNvCnPr>
                                    <a:cxnSpLocks noChangeShapeType="1"/>
                                  </wps:cNvCnPr>
                                  <wps:spPr bwMode="auto">
                                    <a:xfrm flipH="1">
                                      <a:off x="26316" y="7317"/>
                                      <a:ext cx="426" cy="566"/>
                                    </a:xfrm>
                                    <a:prstGeom prst="line">
                                      <a:avLst/>
                                    </a:prstGeom>
                                    <a:noFill/>
                                    <a:ln w="19050">
                                      <a:solidFill>
                                        <a:srgbClr val="000000"/>
                                      </a:solidFill>
                                      <a:miter lim="800000"/>
                                      <a:headEnd/>
                                      <a:tailEnd/>
                                    </a:ln>
                                  </wps:spPr>
                                  <wps:bodyPr/>
                                </wps:wsp>
                              </wpg:grpSp>
                            </wpg:grpSp>
                            <wpg:grpSp>
                              <wpg:cNvPr id="23901" name="Group 20913"/>
                              <wpg:cNvGrpSpPr>
                                <a:grpSpLocks/>
                              </wpg:cNvGrpSpPr>
                              <wpg:grpSpPr bwMode="auto">
                                <a:xfrm rot="-5400000">
                                  <a:off x="17267" y="4329"/>
                                  <a:ext cx="6083" cy="4064"/>
                                  <a:chOff x="16645" y="4521"/>
                                  <a:chExt cx="6953" cy="4064"/>
                                </a:xfrm>
                              </wpg:grpSpPr>
                              <wps:wsp>
                                <wps:cNvPr id="23902" name="Straight Connector 20914"/>
                                <wps:cNvCnPr>
                                  <a:cxnSpLocks noChangeShapeType="1"/>
                                </wps:cNvCnPr>
                                <wps:spPr bwMode="auto">
                                  <a:xfrm>
                                    <a:off x="16645" y="8405"/>
                                    <a:ext cx="6953" cy="0"/>
                                  </a:xfrm>
                                  <a:prstGeom prst="line">
                                    <a:avLst/>
                                  </a:prstGeom>
                                  <a:noFill/>
                                  <a:ln w="6350">
                                    <a:solidFill>
                                      <a:srgbClr val="000000"/>
                                    </a:solidFill>
                                    <a:miter lim="800000"/>
                                    <a:headEnd/>
                                    <a:tailEnd/>
                                  </a:ln>
                                </wps:spPr>
                                <wps:bodyPr/>
                              </wps:wsp>
                              <wpg:grpSp>
                                <wpg:cNvPr id="23903" name="Group 20915"/>
                                <wpg:cNvGrpSpPr>
                                  <a:grpSpLocks/>
                                </wpg:cNvGrpSpPr>
                                <wpg:grpSpPr bwMode="auto">
                                  <a:xfrm>
                                    <a:off x="16796" y="4521"/>
                                    <a:ext cx="6493" cy="4064"/>
                                    <a:chOff x="16796" y="4521"/>
                                    <a:chExt cx="6492" cy="4064"/>
                                  </a:xfrm>
                                </wpg:grpSpPr>
                                <wps:wsp>
                                  <wps:cNvPr id="23904" name="Straight Connector 20916"/>
                                  <wps:cNvCnPr>
                                    <a:cxnSpLocks noChangeShapeType="1"/>
                                  </wps:cNvCnPr>
                                  <wps:spPr bwMode="auto">
                                    <a:xfrm rot="5400000">
                                      <a:off x="17128" y="5066"/>
                                      <a:ext cx="3904" cy="3133"/>
                                    </a:xfrm>
                                    <a:prstGeom prst="line">
                                      <a:avLst/>
                                    </a:prstGeom>
                                    <a:noFill/>
                                    <a:ln w="19050">
                                      <a:solidFill>
                                        <a:srgbClr val="000000"/>
                                      </a:solidFill>
                                      <a:miter lim="800000"/>
                                      <a:headEnd/>
                                      <a:tailEnd/>
                                    </a:ln>
                                  </wps:spPr>
                                  <wps:bodyPr/>
                                </wps:wsp>
                                <wps:wsp>
                                  <wps:cNvPr id="23905" name="Straight Connector 20917"/>
                                  <wps:cNvCnPr>
                                    <a:cxnSpLocks noChangeShapeType="1"/>
                                  </wps:cNvCnPr>
                                  <wps:spPr bwMode="auto">
                                    <a:xfrm rot="5400000">
                                      <a:off x="18231" y="4939"/>
                                      <a:ext cx="3724" cy="3207"/>
                                    </a:xfrm>
                                    <a:prstGeom prst="line">
                                      <a:avLst/>
                                    </a:prstGeom>
                                    <a:noFill/>
                                    <a:ln w="19050">
                                      <a:solidFill>
                                        <a:srgbClr val="000000"/>
                                      </a:solidFill>
                                      <a:miter lim="800000"/>
                                      <a:headEnd/>
                                      <a:tailEnd/>
                                    </a:ln>
                                  </wps:spPr>
                                  <wps:bodyPr/>
                                </wps:wsp>
                                <wps:wsp>
                                  <wps:cNvPr id="23906" name="Straight Connector 20918"/>
                                  <wps:cNvCnPr>
                                    <a:cxnSpLocks noChangeShapeType="1"/>
                                  </wps:cNvCnPr>
                                  <wps:spPr bwMode="auto">
                                    <a:xfrm rot="5400000">
                                      <a:off x="16618" y="4821"/>
                                      <a:ext cx="3640" cy="3040"/>
                                    </a:xfrm>
                                    <a:prstGeom prst="line">
                                      <a:avLst/>
                                    </a:prstGeom>
                                    <a:noFill/>
                                    <a:ln w="19050">
                                      <a:solidFill>
                                        <a:srgbClr val="000000"/>
                                      </a:solidFill>
                                      <a:miter lim="800000"/>
                                      <a:headEnd/>
                                      <a:tailEnd/>
                                    </a:ln>
                                  </wps:spPr>
                                  <wps:bodyPr/>
                                </wps:wsp>
                                <wps:wsp>
                                  <wps:cNvPr id="23907" name="Straight Connector 20919"/>
                                  <wps:cNvCnPr>
                                    <a:cxnSpLocks noChangeShapeType="1"/>
                                  </wps:cNvCnPr>
                                  <wps:spPr bwMode="auto">
                                    <a:xfrm rot="5400000">
                                      <a:off x="19049" y="5373"/>
                                      <a:ext cx="3438" cy="2850"/>
                                    </a:xfrm>
                                    <a:prstGeom prst="line">
                                      <a:avLst/>
                                    </a:prstGeom>
                                    <a:noFill/>
                                    <a:ln w="19050">
                                      <a:solidFill>
                                        <a:srgbClr val="000000"/>
                                      </a:solidFill>
                                      <a:miter lim="800000"/>
                                      <a:headEnd/>
                                      <a:tailEnd/>
                                    </a:ln>
                                  </wps:spPr>
                                  <wps:bodyPr/>
                                </wps:wsp>
                                <wps:wsp>
                                  <wps:cNvPr id="23908" name="Straight Connector 20920"/>
                                  <wps:cNvCnPr>
                                    <a:cxnSpLocks noChangeShapeType="1"/>
                                  </wps:cNvCnPr>
                                  <wps:spPr bwMode="auto">
                                    <a:xfrm rot="5400000">
                                      <a:off x="16698" y="4697"/>
                                      <a:ext cx="2355" cy="2159"/>
                                    </a:xfrm>
                                    <a:prstGeom prst="line">
                                      <a:avLst/>
                                    </a:prstGeom>
                                    <a:noFill/>
                                    <a:ln w="19050">
                                      <a:solidFill>
                                        <a:srgbClr val="000000"/>
                                      </a:solidFill>
                                      <a:miter lim="800000"/>
                                      <a:headEnd/>
                                      <a:tailEnd/>
                                    </a:ln>
                                  </wps:spPr>
                                  <wps:bodyPr/>
                                </wps:wsp>
                                <wps:wsp>
                                  <wps:cNvPr id="23909" name="Straight Connector 20921"/>
                                  <wps:cNvCnPr>
                                    <a:cxnSpLocks noChangeShapeType="1"/>
                                  </wps:cNvCnPr>
                                  <wps:spPr bwMode="auto">
                                    <a:xfrm rot="5400000">
                                      <a:off x="19838" y="5658"/>
                                      <a:ext cx="3285" cy="2569"/>
                                    </a:xfrm>
                                    <a:prstGeom prst="line">
                                      <a:avLst/>
                                    </a:prstGeom>
                                    <a:noFill/>
                                    <a:ln w="19050">
                                      <a:solidFill>
                                        <a:srgbClr val="000000"/>
                                      </a:solidFill>
                                      <a:miter lim="800000"/>
                                      <a:headEnd/>
                                      <a:tailEnd/>
                                    </a:ln>
                                  </wps:spPr>
                                  <wps:bodyPr/>
                                </wps:wsp>
                                <wps:wsp>
                                  <wps:cNvPr id="23910" name="Straight Connector 20922"/>
                                  <wps:cNvCnPr>
                                    <a:cxnSpLocks noChangeShapeType="1"/>
                                  </wps:cNvCnPr>
                                  <wps:spPr bwMode="auto">
                                    <a:xfrm rot="5400000">
                                      <a:off x="20694" y="5990"/>
                                      <a:ext cx="2951" cy="2239"/>
                                    </a:xfrm>
                                    <a:prstGeom prst="line">
                                      <a:avLst/>
                                    </a:prstGeom>
                                    <a:noFill/>
                                    <a:ln w="19050">
                                      <a:solidFill>
                                        <a:srgbClr val="000000"/>
                                      </a:solidFill>
                                      <a:miter lim="800000"/>
                                      <a:headEnd/>
                                      <a:tailEnd/>
                                    </a:ln>
                                  </wps:spPr>
                                  <wps:bodyPr/>
                                </wps:wsp>
                              </wpg:grpSp>
                            </wpg:grpSp>
                          </wpg:grpSp>
                          <wps:wsp>
                            <wps:cNvPr id="23911" name="Rectangle 20923"/>
                            <wps:cNvSpPr>
                              <a:spLocks noChangeArrowheads="1"/>
                            </wps:cNvSpPr>
                            <wps:spPr bwMode="auto">
                              <a:xfrm>
                                <a:off x="18101" y="10132"/>
                                <a:ext cx="2136" cy="1910"/>
                              </a:xfrm>
                              <a:prstGeom prst="rect">
                                <a:avLst/>
                              </a:prstGeom>
                              <a:noFill/>
                              <a:ln>
                                <a:noFill/>
                              </a:ln>
                            </wps:spPr>
                            <wps:txbx>
                              <w:txbxContent>
                                <w:p w14:paraId="10E22ED1"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g:grpSp>
                        <wps:wsp>
                          <wps:cNvPr id="23912" name="Rectangle 20924"/>
                          <wps:cNvSpPr>
                            <a:spLocks noChangeArrowheads="1"/>
                          </wps:cNvSpPr>
                          <wps:spPr bwMode="auto">
                            <a:xfrm>
                              <a:off x="24765" y="10222"/>
                              <a:ext cx="1675" cy="2559"/>
                            </a:xfrm>
                            <a:prstGeom prst="rect">
                              <a:avLst/>
                            </a:prstGeom>
                            <a:noFill/>
                            <a:ln>
                              <a:noFill/>
                            </a:ln>
                          </wps:spPr>
                          <wps:txbx>
                            <w:txbxContent>
                              <w:p w14:paraId="502ABF39"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-4</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AE6E8E3" id="Group 23871" o:spid="_x0000_s1528" style="position:absolute;left:0;text-align:left;margin-left:90pt;margin-top:3.35pt;width:199.45pt;height:89.95pt;z-index:-251673600;mso-position-horizontal-relative:text;mso-position-vertical-relative:text;mso-width-relative:margin;mso-height-relative:margin" coordsize="27051,12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">
                <v:oval id="Oval 20884" o:spid="_x0000_s1529" style="position:absolute;top:1789;width:9144;height:9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" filled="f" strokeweight="1pt">
                  <v:stroke joinstyle="miter"/>
                </v:oval>
                <v:group id="Group 20885" o:spid="_x0000_s1530" style="position:absolute;left:17907;width:9144;height:12781" coordorigin="17907" coordsize="9144,1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">
                  <v:group id="Group 20886" o:spid="_x0000_s1531" style="position:absolute;left:17907;width:9144;height:12042" coordorigin="17907" coordsize="9144,12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">
                    <v:group id="Group 20887" o:spid="_x0000_s1532" style="position:absolute;left:17907;width:9144;height:10876" coordorigin="17907"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">
                      <v:group id="Group 20888" o:spid="_x0000_s1533" style="position:absolute;left:18353;top:1840;width:8165;height:3143" coordorigin="18353,1840" coordsize="8165,3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">
                        <v:line id="Straight Connector 20889" o:spid="_x0000_s1534" style="position:absolute;visibility:visible;mso-wrap-style:square" from="18353,4858" to="26518,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" strokeweight=".5pt">
                          <v:stroke joinstyle="miter"/>
                        </v:line>
                        <v:group id="Group 20890" o:spid="_x0000_s1535" style="position:absolute;left:20050;top:1840;width:5426;height:3143" coordorigin="20050,1840" coordsize="5426,3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">
                          <v:line id="Straight Connector 20891" o:spid="_x0000_s1536" style="position:absolute;flip:x;visibility:visible;mso-wrap-style:square" from="20852,1888" to="22955,4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" strokeweight="1.5pt">
                            <v:stroke joinstyle="miter"/>
                          </v:line>
                          <v:line id="Straight Connector 20892" o:spid="_x0000_s1537" style="position:absolute;flip:x;visibility:visible;mso-wrap-style:square" from="21526,1888" to="237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" strokeweight="1.5pt">
                            <v:stroke joinstyle="miter"/>
                          </v:line>
                          <v:line id="Straight Connector 20893" o:spid="_x0000_s1538" style="position:absolute;flip:x;visibility:visible;mso-wrap-style:square" from="20751,1840" to="22145,3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" strokeweight="1.5pt">
                            <v:stroke joinstyle="miter"/>
                          </v:line>
                          <v:line id="Straight Connector 20894" o:spid="_x0000_s1539" style="position:absolute;flip:x;visibility:visible;mso-wrap-style:square" from="22276,2174" to="24380,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" strokeweight="1.5pt">
                            <v:stroke joinstyle="miter"/>
                          </v:line>
                          <v:line id="Straight Connector 20895" o:spid="_x0000_s1540" style="position:absolute;flip:x;visibility:visible;mso-wrap-style:square" from="20050,2031" to="21142,3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" strokeweight="1.5pt">
                            <v:stroke joinstyle="miter"/>
                          </v:line>
                          <v:line id="Straight Connector 20896" o:spid="_x0000_s1541" style="position:absolute;flip:x;visibility:visible;mso-wrap-style:square" from="23090,2507" to="24952,4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" strokeweight="1.5pt">
                            <v:stroke joinstyle="miter"/>
                          </v:line>
                          <v:line id="Straight Connector 20897" o:spid="_x0000_s1542" style="position:absolute;flip:x;visibility:visible;mso-wrap-style:square" from="23761,2841" to="25476,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" strokeweight="1.5pt">
                            <v:stroke joinstyle="miter"/>
                          </v:line>
                        </v:group>
                      </v:group>
                      <v:group id="Group 20898" o:spid="_x0000_s1543" style="position:absolute;left:17907;width:9144;height:10889" coordorigin="17907"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">
                        <v:group id="Group 20899" o:spid="_x0000_s1544" style="position:absolute;left:17907;width:9144;height:10889" coordorigin="17907"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">
                          <v:rect id="Rectangle 20900" o:spid="_x0000_s1545" style="position:absolute;left:23764;width:1712;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" filled="f" stroked="f">
                            <v:textbox inset="0,0,0,0">
                              <w:txbxContent>
                                <w:p w14:paraId="7A0CAEA5"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w:t>
                                  </w:r>
                                </w:p>
                              </w:txbxContent>
                            </v:textbox>
                          </v:rect>
                          <v:oval id="Oval 20901" o:spid="_x0000_s1546" style="position:absolute;left:17907;top:174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" filled="f" strokeweight="1pt">
                            <v:stroke joinstyle="miter"/>
                          </v:oval>
                        </v:group>
                        <v:rect id="Rectangle 20902" o:spid="_x0000_s1547" style="position:absolute;left:18251;top:213;width:1986;height:2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" filled="f" stroked="f">
                          <v:textbox inset="0,0,0,0">
                            <w:txbxContent>
                              <w:p w14:paraId="5394DCA9"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w:t>
                                </w:r>
                              </w:p>
                            </w:txbxContent>
                          </v:textbox>
                        </v:rect>
                      </v:group>
                      <v:group id="Group 20903" o:spid="_x0000_s1548" style="position:absolute;left:19220;top:6317;width:7831;height:4521;rotation:180" coordorigin="19220,6317" coordsize="7830,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">
                        <v:line id="Straight Connector 20904" o:spid="_x0000_s1549" style="position:absolute;rotation:180;flip:x;visibility:visible;mso-wrap-style:square" from="19220,9587" to="27051,10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" strokeweight=".5pt">
                          <v:stroke joinstyle="miter"/>
                        </v:line>
                        <v:group id="Group 20905" o:spid="_x0000_s1550" style="position:absolute;left:19220;top:6317;width:7522;height:4531" coordorigin="19220,6317" coordsize="7521,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">
                          <v:line id="Straight Connector 20906" o:spid="_x0000_s1551" style="position:absolute;rotation:180;flip:y;visibility:visible;mso-wrap-style:square" from="21319,6365" to="24221,10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" strokeweight="1.5pt">
                            <v:stroke joinstyle="miter"/>
                          </v:line>
                          <v:line id="Straight Connector 20907" o:spid="_x0000_s1552" style="position:absolute;rotation:180;flip:y;visibility:visible;mso-wrap-style:square" from="22271,6365" to="25027,1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" strokeweight="1.5pt">
                            <v:stroke joinstyle="miter"/>
                          </v:line>
                          <v:line id="Straight Connector 20908" o:spid="_x0000_s1553" style="position:absolute;rotation:180;flip:y;visibility:visible;mso-wrap-style:square" from="20363,6317" to="23537,10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" strokeweight="1.5pt">
                            <v:stroke joinstyle="miter"/>
                          </v:line>
                          <v:line id="Straight Connector 20909" o:spid="_x0000_s1554" style="position:absolute;rotation:180;flip:y;visibility:visible;mso-wrap-style:square" from="23316,6651" to="25646,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" strokeweight="1.5pt">
                            <v:stroke joinstyle="miter"/>
                          </v:line>
                          <v:line id="Straight Connector 20910" o:spid="_x0000_s1555" style="position:absolute;rotation:180;flip:y;visibility:visible;mso-wrap-style:square" from="19220,6508" to="22408,10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" strokeweight="1.5pt">
                            <v:stroke joinstyle="miter"/>
                          </v:line>
                          <v:line id="Straight Connector 20911" o:spid="_x0000_s1556" style="position:absolute;rotation:180;flip:y;visibility:visible;mso-wrap-style:square" from="24221,6984" to="26218,10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" strokeweight="1.5pt">
                            <v:stroke joinstyle="miter"/>
                          </v:line>
                          <v:line id="Straight Connector 20912" o:spid="_x0000_s1557" style="position:absolute;flip:x;visibility:visible;mso-wrap-style:square" from="26316,7317" to="26742,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" strokeweight="1.5pt">
                            <v:stroke joinstyle="miter"/>
                          </v:line>
                        </v:group>
                      </v:group>
                      <v:group id="Group 20913" o:spid="_x0000_s1558" style="position:absolute;left:17267;top:4329;width:6083;height:4064;rotation:-90" coordorigin="16645,4521" coordsize="6953,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">
                        <v:line id="Straight Connector 20914" o:spid="_x0000_s1559" style="position:absolute;visibility:visible;mso-wrap-style:square" from="16645,8405" to="23598,8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" strokeweight=".5pt">
                          <v:stroke joinstyle="miter"/>
                        </v:line>
                        <v:group id="Group 20915" o:spid="_x0000_s1560" style="position:absolute;left:16796;top:4521;width:6493;height:4064" coordorigin="16796,4521" coordsize="6492,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">
                          <v:line id="Straight Connector 20916" o:spid="_x0000_s1561" style="position:absolute;rotation:90;visibility:visible;mso-wrap-style:square" from="17128,5066" to="21032,8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" strokeweight="1.5pt">
                            <v:stroke joinstyle="miter"/>
                          </v:line>
                          <v:line id="Straight Connector 20917" o:spid="_x0000_s1562" style="position:absolute;rotation:90;visibility:visible;mso-wrap-style:square" from="18231,4939" to="21955,8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" strokeweight="1.5pt">
                            <v:stroke joinstyle="miter"/>
                          </v:line>
                          <v:line id="Straight Connector 20918" o:spid="_x0000_s1563" style="position:absolute;rotation:90;visibility:visible;mso-wrap-style:square" from="16618,4821" to="20258,7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" strokeweight="1.5pt">
                            <v:stroke joinstyle="miter"/>
                          </v:line>
                          <v:line id="Straight Connector 20919" o:spid="_x0000_s1564" style="position:absolute;rotation:90;visibility:visible;mso-wrap-style:square" from="19049,5373" to="22487,8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" strokeweight="1.5pt">
                            <v:stroke joinstyle="miter"/>
                          </v:line>
                          <v:line id="Straight Connector 20920" o:spid="_x0000_s1565" style="position:absolute;rotation:90;visibility:visible;mso-wrap-style:square" from="16698,4697" to="19053,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" strokeweight="1.5pt">
                            <v:stroke joinstyle="miter"/>
                          </v:line>
                          <v:line id="Straight Connector 20921" o:spid="_x0000_s1566" style="position:absolute;rotation:90;visibility:visible;mso-wrap-style:square" from="19838,5658" to="23123,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" strokeweight="1.5pt">
                            <v:stroke joinstyle="miter"/>
                          </v:line>
                          <v:line id="Straight Connector 20922" o:spid="_x0000_s1567" style="position:absolute;rotation:90;visibility:visible;mso-wrap-style:square" from="20694,5990" to="23645,8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" strokeweight="1.5pt">
                            <v:stroke joinstyle="miter"/>
                          </v:line>
                        </v:group>
                      </v:group>
                    </v:group>
                    <v:rect id="Rectangle 20923" o:spid="_x0000_s1568" style="position:absolute;left:18101;top:10132;width:2136;height:1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" filled="f" stroked="f">
                      <v:textbox inset="0,0,0,0">
                        <w:txbxContent>
                          <w:p w14:paraId="10E22ED1"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w:t>
                            </w:r>
                          </w:p>
                        </w:txbxContent>
                      </v:textbox>
                    </v:rect>
                  </v:group>
                  <v:rect id="Rectangle 20924" o:spid="_x0000_s1569" style="position:absolute;left:24765;top:10222;width:1675;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" filled="f" stroked="f">
                    <v:textbox inset="0,0,0,0">
                      <w:txbxContent>
                        <w:p w14:paraId="502ABF39"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-4</w:t>
                          </w:r>
                        </w:p>
                      </w:txbxContent>
                    </v:textbox>
                  </v:rect>
                </v:group>
                <w10:wrap type="through"/>
              </v:group>
            </w:pict>
          </mc:Fallback>
        </mc:AlternateContent>
      </w:r>
      <w:r w:rsidR="004808A2" w:rsidRPr="009D4627">
        <w:rPr>
          <w:rFonts w:eastAsia="Calibri"/>
          <w:bCs/>
          <w:color w:val="000000"/>
          <w:szCs w:val="22"/>
          <w:lang w:val="en-MY"/>
        </w:rPr>
        <w:tab/>
      </w:r>
      <w:r w:rsidR="004808A2" w:rsidRPr="009D4627">
        <w:rPr>
          <w:rFonts w:eastAsia="Calibri"/>
          <w:bCs/>
          <w:color w:val="000000"/>
          <w:szCs w:val="22"/>
          <w:lang w:val="en-MY"/>
        </w:rPr>
        <w:tab/>
      </w:r>
      <w:r w:rsidR="004808A2" w:rsidRPr="009D4627">
        <w:rPr>
          <w:rFonts w:eastAsia="Calibri"/>
          <w:bCs/>
          <w:color w:val="000000"/>
          <w:szCs w:val="22"/>
          <w:lang w:val="en-MY"/>
        </w:rPr>
        <w:tab/>
      </w:r>
    </w:p>
    <w:p w14:paraId="43271C68" w14:textId="41DBE5E4" w:rsidR="004808A2" w:rsidRPr="009D4627" w:rsidRDefault="00A2792E" w:rsidP="00752D64">
      <w:pPr>
        <w:spacing w:before="0" w:line="240" w:lineRule="auto"/>
        <w:rPr>
          <w:rFonts w:eastAsia="Calibri"/>
          <w:bCs/>
          <w:color w:val="000000"/>
          <w:szCs w:val="22"/>
          <w:lang w:val="en-MY"/>
        </w:rPr>
      </w:pPr>
      <w:r w:rsidRPr="009D4627">
        <w:rPr>
          <w:noProof/>
        </w:rPr>
        <mc:AlternateContent>
          <mc:Choice Requires="wps">
            <w:drawing>
              <wp:anchor distT="0" distB="0" distL="114300" distR="114300" simplePos="0" relativeHeight="251643904" behindDoc="0" locked="0" layoutInCell="1" allowOverlap="1" wp14:anchorId="5A3C7CC6" wp14:editId="6E5C9E6A">
                <wp:simplePos x="0" y="0"/>
                <wp:positionH relativeFrom="column">
                  <wp:posOffset>2981325</wp:posOffset>
                </wp:positionH>
                <wp:positionV relativeFrom="paragraph">
                  <wp:posOffset>8890</wp:posOffset>
                </wp:positionV>
                <wp:extent cx="162560" cy="110490"/>
                <wp:effectExtent l="0" t="0" r="8890" b="3810"/>
                <wp:wrapNone/>
                <wp:docPr id="23870" name="Straight Connector 238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2560" cy="11049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2E9616" id="Straight Connector 23870"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75pt,.7pt" to="247.5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45952" behindDoc="0" locked="0" layoutInCell="1" allowOverlap="1" wp14:anchorId="6778A032" wp14:editId="7236481C">
                <wp:simplePos x="0" y="0"/>
                <wp:positionH relativeFrom="column">
                  <wp:posOffset>3467100</wp:posOffset>
                </wp:positionH>
                <wp:positionV relativeFrom="paragraph">
                  <wp:posOffset>8890</wp:posOffset>
                </wp:positionV>
                <wp:extent cx="133350" cy="143510"/>
                <wp:effectExtent l="0" t="0" r="0" b="8890"/>
                <wp:wrapNone/>
                <wp:docPr id="23869" name="Straight Connector 238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350" cy="14351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391265E" id="Straight Connector 23869"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pt,.7pt" to="283.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44928" behindDoc="0" locked="0" layoutInCell="1" allowOverlap="1" wp14:anchorId="0E4FF7BC" wp14:editId="277940E7">
                <wp:simplePos x="0" y="0"/>
                <wp:positionH relativeFrom="column">
                  <wp:posOffset>2571750</wp:posOffset>
                </wp:positionH>
                <wp:positionV relativeFrom="paragraph">
                  <wp:posOffset>170815</wp:posOffset>
                </wp:positionV>
                <wp:extent cx="209550" cy="219075"/>
                <wp:effectExtent l="0" t="0" r="0" b="0"/>
                <wp:wrapNone/>
                <wp:docPr id="23868" name="Rectangle 23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19075"/>
                        </a:xfrm>
                        <a:prstGeom prst="rect">
                          <a:avLst/>
                        </a:prstGeom>
                        <a:noFill/>
                        <a:ln w="12700" cap="flat" cmpd="sng" algn="ctr">
                          <a:noFill/>
                          <a:prstDash val="solid"/>
                          <a:miter lim="800000"/>
                        </a:ln>
                        <a:effectLst/>
                      </wps:spPr>
                      <wps:txbx>
                        <w:txbxContent>
                          <w:p w14:paraId="12F6C97F"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-3½</w:t>
                            </w:r>
                          </w:p>
                        </w:txbxContent>
                      </wps:txbx>
                      <wps:bodyPr rot="0" spcFirstLastPara="0" vertOverflow="clip"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FF7BC" id="Rectangle 23868" o:spid="_x0000_s1570" style="position:absolute;left:0;text-align:left;margin-left:202.5pt;margin-top:13.45pt;width:16.5pt;height:17.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" filled="f" stroked="f" strokeweight="1pt">
                <v:textbox inset="0,0,0,0">
                  <w:txbxContent>
                    <w:p w14:paraId="12F6C97F" w14:textId="77777777" w:rsidR="00527127" w:rsidRDefault="00527127" w:rsidP="00752D64">
                      <w:pPr>
                        <w:spacing w:before="0"/>
                        <w:jc w:val="center"/>
                        <w:rPr>
                          <w:rFonts w:ascii="Calibri" w:hAnsi="Calibri" w:cs="Calibri"/>
                          <w:sz w:val="20"/>
                          <w:szCs w:val="20"/>
                          <w:lang w:val="en-US"/>
                        </w:rPr>
                      </w:pPr>
                      <w:r>
                        <w:rPr>
                          <w:rFonts w:ascii="Calibri" w:hAnsi="Calibri" w:cs="Calibri"/>
                          <w:sz w:val="20"/>
                          <w:szCs w:val="20"/>
                          <w:lang w:val="en-US"/>
                        </w:rPr>
                        <w:t>-3½</w:t>
                      </w:r>
                    </w:p>
                  </w:txbxContent>
                </v:textbox>
              </v:rect>
            </w:pict>
          </mc:Fallback>
        </mc:AlternateContent>
      </w:r>
    </w:p>
    <w:p w14:paraId="4E7997B9" w14:textId="3BB54D04" w:rsidR="004808A2" w:rsidRPr="009D4627" w:rsidRDefault="004808A2" w:rsidP="00752D64">
      <w:pPr>
        <w:spacing w:before="0" w:line="240" w:lineRule="auto"/>
        <w:rPr>
          <w:rFonts w:eastAsia="Calibri"/>
          <w:bCs/>
          <w:color w:val="000000"/>
          <w:szCs w:val="22"/>
          <w:lang w:val="en-MY"/>
        </w:rPr>
      </w:pPr>
    </w:p>
    <w:p w14:paraId="29BE7B29" w14:textId="77777777" w:rsidR="004808A2" w:rsidRPr="009D4627" w:rsidRDefault="004808A2" w:rsidP="00752D64">
      <w:pPr>
        <w:spacing w:before="0" w:after="0" w:line="240" w:lineRule="auto"/>
        <w:rPr>
          <w:rFonts w:eastAsia="Calibri"/>
          <w:bCs/>
          <w:color w:val="000000"/>
          <w:szCs w:val="22"/>
          <w:lang w:val="en-MY"/>
        </w:rPr>
      </w:pPr>
    </w:p>
    <w:p w14:paraId="6CAE3329" w14:textId="01C1CF0F" w:rsidR="004808A2" w:rsidRPr="009D4627" w:rsidRDefault="00672F34" w:rsidP="00752D64">
      <w:pPr>
        <w:spacing w:before="0" w:after="0" w:line="240" w:lineRule="auto"/>
        <w:rPr>
          <w:rFonts w:eastAsia="Calibri"/>
          <w:bCs/>
          <w:color w:val="000000"/>
          <w:szCs w:val="22"/>
          <w:lang w:val="en-MY"/>
        </w:rPr>
      </w:pPr>
      <w:r w:rsidRPr="009D4627">
        <w:rPr>
          <w:rFonts w:eastAsia="Calibri"/>
          <w:b/>
          <w:color w:val="000000"/>
          <w:szCs w:val="22"/>
          <w:lang w:val="en-MY"/>
        </w:rPr>
        <w:t>PCT</w:t>
      </w:r>
      <w:r w:rsidR="004808A2" w:rsidRPr="009D4627">
        <w:rPr>
          <w:rFonts w:eastAsia="Calibri"/>
          <w:b/>
          <w:color w:val="000000"/>
          <w:szCs w:val="22"/>
          <w:lang w:val="en-MY"/>
        </w:rPr>
        <w:t xml:space="preserve">: </w:t>
      </w:r>
      <w:r w:rsidR="004808A2" w:rsidRPr="009D4627">
        <w:rPr>
          <w:rFonts w:eastAsia="Calibri"/>
          <w:bCs/>
          <w:color w:val="000000"/>
          <w:szCs w:val="22"/>
          <w:lang w:val="en-MY"/>
        </w:rPr>
        <w:tab/>
      </w:r>
      <w:r w:rsidRPr="009D4627">
        <w:rPr>
          <w:rFonts w:eastAsia="Calibri"/>
          <w:bCs/>
          <w:color w:val="000000"/>
          <w:szCs w:val="22"/>
          <w:lang w:val="en-MY"/>
        </w:rPr>
        <w:tab/>
      </w:r>
      <w:r w:rsidR="004808A2" w:rsidRPr="009D4627">
        <w:rPr>
          <w:rFonts w:eastAsia="Calibri"/>
          <w:bCs/>
          <w:color w:val="000000"/>
          <w:szCs w:val="22"/>
          <w:lang w:val="en-MY"/>
        </w:rPr>
        <w:t xml:space="preserve">with glasses 1/3 m </w:t>
      </w:r>
      <w:r w:rsidRPr="009D4627">
        <w:rPr>
          <w:rFonts w:eastAsia="Calibri"/>
          <w:bCs/>
          <w:color w:val="000000"/>
          <w:szCs w:val="22"/>
          <w:lang w:val="en-MY"/>
        </w:rPr>
        <w:tab/>
      </w:r>
      <w:r w:rsidR="004808A2" w:rsidRPr="009D4627">
        <w:rPr>
          <w:rFonts w:eastAsia="Calibri"/>
          <w:bCs/>
          <w:color w:val="000000"/>
          <w:szCs w:val="22"/>
          <w:lang w:val="en-MY"/>
        </w:rPr>
        <w:t>20</w:t>
      </w:r>
      <w:r w:rsidR="004808A2" w:rsidRPr="009D4627">
        <w:rPr>
          <w:rFonts w:eastAsia="Calibri"/>
          <w:bCs/>
          <w:color w:val="000000"/>
          <w:szCs w:val="22"/>
          <w:vertAlign w:val="superscript"/>
          <w:lang w:val="en-MY"/>
        </w:rPr>
        <w:t>Δ</w:t>
      </w:r>
      <w:r w:rsidR="004808A2" w:rsidRPr="009D4627">
        <w:rPr>
          <w:rFonts w:eastAsia="Calibri"/>
          <w:bCs/>
          <w:color w:val="000000"/>
          <w:szCs w:val="22"/>
          <w:lang w:val="en-MY"/>
        </w:rPr>
        <w:t xml:space="preserve"> XT 10</w:t>
      </w:r>
      <w:r w:rsidR="004808A2" w:rsidRPr="009D4627">
        <w:rPr>
          <w:rFonts w:eastAsia="Calibri"/>
          <w:bCs/>
          <w:color w:val="000000"/>
          <w:szCs w:val="22"/>
          <w:vertAlign w:val="superscript"/>
          <w:lang w:val="en-MY"/>
        </w:rPr>
        <w:t>Δ</w:t>
      </w:r>
      <w:r w:rsidR="004808A2" w:rsidRPr="009D4627">
        <w:rPr>
          <w:rFonts w:eastAsia="Calibri"/>
          <w:bCs/>
          <w:color w:val="000000"/>
          <w:szCs w:val="22"/>
          <w:lang w:val="en-MY"/>
        </w:rPr>
        <w:t xml:space="preserve"> LHT </w:t>
      </w:r>
    </w:p>
    <w:p w14:paraId="71ED9551" w14:textId="03312960" w:rsidR="004808A2" w:rsidRPr="009D4627" w:rsidRDefault="004808A2" w:rsidP="00752D64">
      <w:pPr>
        <w:spacing w:before="0" w:line="240" w:lineRule="auto"/>
        <w:rPr>
          <w:rFonts w:eastAsia="Calibri"/>
          <w:bCs/>
          <w:color w:val="000000"/>
          <w:szCs w:val="22"/>
          <w:lang w:val="en-MY"/>
        </w:rPr>
      </w:pPr>
      <w:r w:rsidRPr="009D4627">
        <w:rPr>
          <w:rFonts w:eastAsia="Calibri"/>
          <w:bCs/>
          <w:color w:val="000000"/>
          <w:szCs w:val="22"/>
          <w:lang w:val="en-MY"/>
        </w:rPr>
        <w:tab/>
      </w:r>
      <w:r w:rsidRPr="009D4627">
        <w:rPr>
          <w:rFonts w:eastAsia="Calibri"/>
          <w:bCs/>
          <w:color w:val="000000"/>
          <w:szCs w:val="22"/>
          <w:lang w:val="en-MY"/>
        </w:rPr>
        <w:tab/>
        <w:t xml:space="preserve">with glasses 6 m </w:t>
      </w:r>
      <w:r w:rsidR="00672F34" w:rsidRPr="009D4627">
        <w:rPr>
          <w:rFonts w:eastAsia="Calibri"/>
          <w:bCs/>
          <w:color w:val="000000"/>
          <w:szCs w:val="22"/>
          <w:lang w:val="en-MY"/>
        </w:rPr>
        <w:tab/>
      </w:r>
      <w:r w:rsidRPr="009D4627">
        <w:rPr>
          <w:rFonts w:eastAsia="Calibri"/>
          <w:bCs/>
          <w:color w:val="000000"/>
          <w:szCs w:val="22"/>
          <w:lang w:val="en-MY"/>
        </w:rPr>
        <w:t>18</w:t>
      </w:r>
      <w:r w:rsidRPr="009D4627">
        <w:rPr>
          <w:rFonts w:eastAsia="Calibri"/>
          <w:bCs/>
          <w:color w:val="000000"/>
          <w:szCs w:val="22"/>
          <w:vertAlign w:val="superscript"/>
          <w:lang w:val="en-MY"/>
        </w:rPr>
        <w:t xml:space="preserve">Δ </w:t>
      </w:r>
      <w:r w:rsidRPr="009D4627">
        <w:rPr>
          <w:rFonts w:eastAsia="Calibri"/>
          <w:bCs/>
          <w:color w:val="000000"/>
          <w:szCs w:val="22"/>
          <w:lang w:val="en-MY"/>
        </w:rPr>
        <w:t>XT 2</w:t>
      </w:r>
      <w:r w:rsidRPr="009D4627">
        <w:rPr>
          <w:rFonts w:eastAsia="Calibri"/>
          <w:bCs/>
          <w:color w:val="000000"/>
          <w:szCs w:val="22"/>
          <w:vertAlign w:val="superscript"/>
          <w:lang w:val="en-MY"/>
        </w:rPr>
        <w:t>Δ</w:t>
      </w:r>
      <w:r w:rsidRPr="009D4627">
        <w:rPr>
          <w:rFonts w:eastAsia="Calibri"/>
          <w:bCs/>
          <w:color w:val="000000"/>
          <w:szCs w:val="22"/>
          <w:lang w:val="en-MY"/>
        </w:rPr>
        <w:t xml:space="preserve"> LHT</w:t>
      </w:r>
    </w:p>
    <w:p w14:paraId="42863425" w14:textId="615C736B" w:rsidR="004808A2" w:rsidRPr="009D4627" w:rsidRDefault="00A2792E" w:rsidP="00752D64">
      <w:pPr>
        <w:spacing w:before="0" w:after="0" w:line="240" w:lineRule="auto"/>
        <w:rPr>
          <w:rFonts w:eastAsia="Calibri"/>
          <w:b/>
          <w:color w:val="000000"/>
          <w:szCs w:val="22"/>
          <w:lang w:val="en-MY"/>
        </w:rPr>
      </w:pPr>
      <w:r w:rsidRPr="009D4627">
        <w:rPr>
          <w:noProof/>
        </w:rPr>
        <mc:AlternateContent>
          <mc:Choice Requires="wpg">
            <w:drawing>
              <wp:anchor distT="0" distB="0" distL="114300" distR="114300" simplePos="0" relativeHeight="251641856" behindDoc="0" locked="0" layoutInCell="1" allowOverlap="1" wp14:anchorId="793D8ABF" wp14:editId="71BB9297">
                <wp:simplePos x="0" y="0"/>
                <wp:positionH relativeFrom="column">
                  <wp:posOffset>1990725</wp:posOffset>
                </wp:positionH>
                <wp:positionV relativeFrom="paragraph">
                  <wp:posOffset>151765</wp:posOffset>
                </wp:positionV>
                <wp:extent cx="1907540" cy="567690"/>
                <wp:effectExtent l="0" t="0" r="0" b="0"/>
                <wp:wrapNone/>
                <wp:docPr id="23857" name="Group 23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7540" cy="567690"/>
                          <a:chOff x="0" y="0"/>
                          <a:chExt cx="20241" cy="6134"/>
                        </a:xfrm>
                      </wpg:grpSpPr>
                      <wpg:grpSp>
                        <wpg:cNvPr id="23858" name="Group 20929"/>
                        <wpg:cNvGrpSpPr>
                          <a:grpSpLocks/>
                        </wpg:cNvGrpSpPr>
                        <wpg:grpSpPr bwMode="auto">
                          <a:xfrm>
                            <a:off x="0" y="285"/>
                            <a:ext cx="8692" cy="5849"/>
                            <a:chOff x="0" y="285"/>
                            <a:chExt cx="8692" cy="5852"/>
                          </a:xfrm>
                        </wpg:grpSpPr>
                        <wps:wsp>
                          <wps:cNvPr id="23859" name="Arc 20930"/>
                          <wps:cNvSpPr>
                            <a:spLocks/>
                          </wps:cNvSpPr>
                          <wps:spPr bwMode="auto">
                            <a:xfrm rot="2804300" flipV="1">
                              <a:off x="145" y="169"/>
                              <a:ext cx="5167"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860" name="Arc 20931"/>
                          <wps:cNvSpPr>
                            <a:spLocks/>
                          </wps:cNvSpPr>
                          <wps:spPr bwMode="auto">
                            <a:xfrm rot="-2804300">
                              <a:off x="117" y="858"/>
                              <a:ext cx="5163"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861" name="Straight Arrow Connector 20932"/>
                          <wps:cNvCnPr>
                            <a:cxnSpLocks noChangeShapeType="1"/>
                          </wps:cNvCnPr>
                          <wps:spPr bwMode="auto">
                            <a:xfrm>
                              <a:off x="2501" y="956"/>
                              <a:ext cx="96" cy="4572"/>
                            </a:xfrm>
                            <a:prstGeom prst="straightConnector1">
                              <a:avLst/>
                            </a:prstGeom>
                            <a:noFill/>
                            <a:ln w="6350">
                              <a:solidFill>
                                <a:srgbClr val="000000"/>
                              </a:solidFill>
                              <a:miter lim="800000"/>
                              <a:headEnd type="arrow" w="med" len="med"/>
                              <a:tailEnd type="arrow" w="med" len="med"/>
                            </a:ln>
                          </wps:spPr>
                          <wps:bodyPr/>
                        </wps:wsp>
                        <wps:wsp>
                          <wps:cNvPr id="23862" name="Rectangle 20933"/>
                          <wps:cNvSpPr>
                            <a:spLocks noChangeArrowheads="1"/>
                          </wps:cNvSpPr>
                          <wps:spPr bwMode="auto">
                            <a:xfrm>
                              <a:off x="3000" y="2098"/>
                              <a:ext cx="5692" cy="1905"/>
                            </a:xfrm>
                            <a:prstGeom prst="rect">
                              <a:avLst/>
                            </a:prstGeom>
                            <a:noFill/>
                            <a:ln>
                              <a:noFill/>
                            </a:ln>
                          </wps:spPr>
                          <wps:txbx>
                            <w:txbxContent>
                              <w:p w14:paraId="209CD42C" w14:textId="77777777" w:rsidR="00527127" w:rsidRDefault="00527127" w:rsidP="004808A2">
                                <w:pPr>
                                  <w:jc w:val="center"/>
                                  <w:rPr>
                                    <w:rFonts w:ascii="Calibri" w:hAnsi="Calibri" w:cs="Calibri"/>
                                    <w:lang w:val="en-US"/>
                                  </w:rPr>
                                </w:pPr>
                                <w:r>
                                  <w:rPr>
                                    <w:rFonts w:ascii="Calibri" w:hAnsi="Calibri" w:cs="Calibri"/>
                                    <w:lang w:val="en-US"/>
                                  </w:rPr>
                                  <w:t>11 mm</w:t>
                                </w:r>
                              </w:p>
                            </w:txbxContent>
                          </wps:txbx>
                          <wps:bodyPr rot="0" vert="horz" wrap="square" lIns="0" tIns="0" rIns="0" bIns="0" anchor="ctr" anchorCtr="0" upright="1">
                            <a:noAutofit/>
                          </wps:bodyPr>
                        </wps:wsp>
                      </wpg:grpSp>
                      <wpg:grpSp>
                        <wpg:cNvPr id="23863" name="Group 20934"/>
                        <wpg:cNvGrpSpPr>
                          <a:grpSpLocks/>
                        </wpg:cNvGrpSpPr>
                        <wpg:grpSpPr bwMode="auto">
                          <a:xfrm>
                            <a:off x="12954" y="0"/>
                            <a:ext cx="7287" cy="5848"/>
                            <a:chOff x="12954" y="0"/>
                            <a:chExt cx="7287" cy="5852"/>
                          </a:xfrm>
                        </wpg:grpSpPr>
                        <wps:wsp>
                          <wps:cNvPr id="23864" name="Arc 20935"/>
                          <wps:cNvSpPr>
                            <a:spLocks/>
                          </wps:cNvSpPr>
                          <wps:spPr bwMode="auto">
                            <a:xfrm rot="2804300" flipV="1">
                              <a:off x="13100"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865" name="Arc 20936"/>
                          <wps:cNvSpPr>
                            <a:spLocks/>
                          </wps:cNvSpPr>
                          <wps:spPr bwMode="auto">
                            <a:xfrm rot="-2804300">
                              <a:off x="13072"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866" name="Straight Arrow Connector 20937"/>
                          <wps:cNvCnPr>
                            <a:cxnSpLocks noChangeShapeType="1"/>
                          </wps:cNvCnPr>
                          <wps:spPr bwMode="auto">
                            <a:xfrm>
                              <a:off x="15455" y="671"/>
                              <a:ext cx="96" cy="4572"/>
                            </a:xfrm>
                            <a:prstGeom prst="straightConnector1">
                              <a:avLst/>
                            </a:prstGeom>
                            <a:noFill/>
                            <a:ln w="6350">
                              <a:solidFill>
                                <a:srgbClr val="000000"/>
                              </a:solidFill>
                              <a:miter lim="800000"/>
                              <a:headEnd type="arrow" w="med" len="med"/>
                              <a:tailEnd type="arrow" w="med" len="med"/>
                            </a:ln>
                          </wps:spPr>
                          <wps:bodyPr/>
                        </wps:wsp>
                        <wps:wsp>
                          <wps:cNvPr id="23867" name="Rectangle 20938"/>
                          <wps:cNvSpPr>
                            <a:spLocks noChangeArrowheads="1"/>
                          </wps:cNvSpPr>
                          <wps:spPr bwMode="auto">
                            <a:xfrm>
                              <a:off x="15955" y="1814"/>
                              <a:ext cx="4286" cy="1905"/>
                            </a:xfrm>
                            <a:prstGeom prst="rect">
                              <a:avLst/>
                            </a:prstGeom>
                            <a:noFill/>
                            <a:ln>
                              <a:noFill/>
                            </a:ln>
                          </wps:spPr>
                          <wps:txbx>
                            <w:txbxContent>
                              <w:p w14:paraId="3B8456F4" w14:textId="77777777" w:rsidR="00527127" w:rsidRDefault="00527127" w:rsidP="004808A2">
                                <w:pPr>
                                  <w:jc w:val="center"/>
                                  <w:rPr>
                                    <w:rFonts w:ascii="Calibri" w:hAnsi="Calibri" w:cs="Calibri"/>
                                    <w:lang w:val="en-US"/>
                                  </w:rPr>
                                </w:pPr>
                                <w:r>
                                  <w:rPr>
                                    <w:rFonts w:ascii="Calibri" w:hAnsi="Calibri" w:cs="Calibri"/>
                                    <w:lang w:val="en-US"/>
                                  </w:rPr>
                                  <w:t>8 mm</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3D8ABF" id="Group 23857" o:spid="_x0000_s1571" style="position:absolute;left:0;text-align:left;margin-left:156.75pt;margin-top:11.95pt;width:150.2pt;height:44.7pt;z-index:251641856;mso-position-horizontal-relative:text;mso-position-vertical-relative:text;mso-width-relative:margin;mso-height-relative:margin" coordsize="20241,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">
                <v:group id="Group 20929" o:spid="_x0000_s1572" style="position:absolute;top:285;width:8692;height:5849" coordorigin=",285" coordsize="869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">
                  <v:shape id="Arc 20930" o:spid="_x0000_s1573" style="position:absolute;left:145;top:169;width:5167;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20,913;4900,3896" o:connectangles="0,0,0"/>
                  </v:shape>
                  <v:shape id="Arc 20931" o:spid="_x0000_s1574" style="position:absolute;left:117;top:858;width:5163;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7,913;4896,3893" o:connectangles="0,0,0"/>
                  </v:shape>
                  <v:shape id="Straight Arrow Connector 20932" o:spid="_x0000_s1575" type="#_x0000_t32" style="position:absolute;left:2501;top:956;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" strokeweight=".5pt">
                    <v:stroke startarrow="open" endarrow="open" joinstyle="miter"/>
                  </v:shape>
                  <v:rect id="Rectangle 20933" o:spid="_x0000_s1576" style="position:absolute;left:3000;top:2098;width:569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" filled="f" stroked="f">
                    <v:textbox inset="0,0,0,0">
                      <w:txbxContent>
                        <w:p w14:paraId="209CD42C" w14:textId="77777777" w:rsidR="00527127" w:rsidRDefault="00527127" w:rsidP="004808A2">
                          <w:pPr>
                            <w:jc w:val="center"/>
                            <w:rPr>
                              <w:rFonts w:ascii="Calibri" w:hAnsi="Calibri" w:cs="Calibri"/>
                              <w:lang w:val="en-US"/>
                            </w:rPr>
                          </w:pPr>
                          <w:r>
                            <w:rPr>
                              <w:rFonts w:ascii="Calibri" w:hAnsi="Calibri" w:cs="Calibri"/>
                              <w:lang w:val="en-US"/>
                            </w:rPr>
                            <w:t>11 mm</w:t>
                          </w:r>
                        </w:p>
                      </w:txbxContent>
                    </v:textbox>
                  </v:rect>
                </v:group>
                <v:group id="Group 20934" o:spid="_x0000_s1577" style="position:absolute;left:12954;width:7287;height:5848" coordorigin="12954" coordsize="7287,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">
                  <v:shape id="Arc 20935" o:spid="_x0000_s1578" style="position:absolute;left:13100;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0936" o:spid="_x0000_s1579" style="position:absolute;left:13072;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0937" o:spid="_x0000_s1580" type="#_x0000_t32" style="position:absolute;left:15455;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" strokeweight=".5pt">
                    <v:stroke startarrow="open" endarrow="open" joinstyle="miter"/>
                  </v:shape>
                  <v:rect id="Rectangle 20938" o:spid="_x0000_s1581" style="position:absolute;left:15955;top:1814;width:428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" filled="f" stroked="f">
                    <v:textbox inset="0,0,0,0">
                      <w:txbxContent>
                        <w:p w14:paraId="3B8456F4" w14:textId="77777777" w:rsidR="00527127" w:rsidRDefault="00527127" w:rsidP="004808A2">
                          <w:pPr>
                            <w:jc w:val="center"/>
                            <w:rPr>
                              <w:rFonts w:ascii="Calibri" w:hAnsi="Calibri" w:cs="Calibri"/>
                              <w:lang w:val="en-US"/>
                            </w:rPr>
                          </w:pPr>
                          <w:r>
                            <w:rPr>
                              <w:rFonts w:ascii="Calibri" w:hAnsi="Calibri" w:cs="Calibri"/>
                              <w:lang w:val="en-US"/>
                            </w:rPr>
                            <w:t>8 mm</w:t>
                          </w:r>
                        </w:p>
                      </w:txbxContent>
                    </v:textbox>
                  </v:rect>
                </v:group>
              </v:group>
            </w:pict>
          </mc:Fallback>
        </mc:AlternateContent>
      </w:r>
      <w:r w:rsidR="004808A2" w:rsidRPr="009D4627">
        <w:rPr>
          <w:rFonts w:eastAsia="Calibri"/>
          <w:b/>
          <w:color w:val="000000"/>
          <w:szCs w:val="22"/>
          <w:lang w:val="en-MY"/>
        </w:rPr>
        <w:t xml:space="preserve"> Lids </w:t>
      </w:r>
      <w:r w:rsidR="004808A2" w:rsidRPr="009D4627">
        <w:rPr>
          <w:rFonts w:eastAsia="Calibri"/>
          <w:bCs/>
          <w:color w:val="000000"/>
          <w:szCs w:val="22"/>
          <w:lang w:val="en-MY"/>
        </w:rPr>
        <w:t>- slight L Ptosis</w:t>
      </w:r>
      <w:r w:rsidR="004808A2" w:rsidRPr="009D4627">
        <w:rPr>
          <w:rFonts w:eastAsia="Calibri"/>
          <w:b/>
          <w:color w:val="000000"/>
          <w:szCs w:val="22"/>
          <w:lang w:val="en-MY"/>
        </w:rPr>
        <w:t xml:space="preserve"> </w:t>
      </w:r>
    </w:p>
    <w:p w14:paraId="318B42B0" w14:textId="77777777" w:rsidR="004808A2" w:rsidRPr="009D4627" w:rsidRDefault="004808A2" w:rsidP="00752D64">
      <w:pPr>
        <w:spacing w:before="0" w:after="0" w:line="240" w:lineRule="auto"/>
        <w:rPr>
          <w:rFonts w:eastAsia="Calibri"/>
          <w:bCs/>
          <w:color w:val="000000"/>
          <w:szCs w:val="22"/>
          <w:lang w:val="en-MY"/>
        </w:rPr>
      </w:pPr>
    </w:p>
    <w:p w14:paraId="468A2C35" w14:textId="77777777" w:rsidR="004808A2" w:rsidRPr="009D4627" w:rsidRDefault="004808A2" w:rsidP="00752D64">
      <w:pPr>
        <w:spacing w:before="0" w:after="0" w:line="240" w:lineRule="auto"/>
        <w:rPr>
          <w:rFonts w:eastAsia="Calibri"/>
          <w:bCs/>
          <w:color w:val="000000"/>
          <w:szCs w:val="22"/>
          <w:lang w:val="en-MY"/>
        </w:rPr>
      </w:pPr>
      <w:r w:rsidRPr="009D4627">
        <w:rPr>
          <w:rFonts w:eastAsia="Calibri"/>
          <w:bCs/>
          <w:color w:val="000000"/>
          <w:szCs w:val="22"/>
          <w:lang w:val="en-MY"/>
        </w:rPr>
        <w:t xml:space="preserve">         - palpebral apertures: </w:t>
      </w:r>
    </w:p>
    <w:p w14:paraId="3DCED807" w14:textId="77777777" w:rsidR="004808A2" w:rsidRPr="009D4627" w:rsidRDefault="004808A2" w:rsidP="00752D64">
      <w:pPr>
        <w:spacing w:before="0" w:after="0" w:line="240" w:lineRule="auto"/>
        <w:rPr>
          <w:rFonts w:eastAsia="Calibri"/>
          <w:bCs/>
          <w:color w:val="000000"/>
          <w:szCs w:val="22"/>
          <w:lang w:val="en-MY"/>
        </w:rPr>
      </w:pPr>
    </w:p>
    <w:p w14:paraId="4342582A" w14:textId="5E473BDB" w:rsidR="004808A2" w:rsidRPr="009D4627" w:rsidRDefault="004808A2" w:rsidP="00752D64">
      <w:pPr>
        <w:spacing w:before="0" w:after="0" w:line="240" w:lineRule="auto"/>
        <w:rPr>
          <w:rFonts w:eastAsia="Calibri"/>
          <w:color w:val="000000"/>
          <w:szCs w:val="22"/>
          <w:lang w:val="en-MY"/>
        </w:rPr>
      </w:pPr>
      <w:r w:rsidRPr="009D4627">
        <w:rPr>
          <w:rFonts w:eastAsia="Calibri"/>
          <w:b/>
          <w:color w:val="000000"/>
          <w:szCs w:val="22"/>
          <w:lang w:val="en-MY"/>
        </w:rPr>
        <w:t>Pupils:</w:t>
      </w:r>
      <w:r w:rsidRPr="009D4627">
        <w:rPr>
          <w:rFonts w:eastAsia="Calibri"/>
          <w:color w:val="000000"/>
          <w:szCs w:val="22"/>
          <w:lang w:val="en-MY"/>
        </w:rPr>
        <w:t xml:space="preserve"> No pupil dilation – both pupils small and react to light</w:t>
      </w:r>
    </w:p>
    <w:p w14:paraId="633D1201" w14:textId="77777777" w:rsidR="004808A2" w:rsidRPr="009D4627" w:rsidRDefault="004808A2" w:rsidP="00752D64">
      <w:pPr>
        <w:spacing w:before="0" w:after="0" w:line="240" w:lineRule="auto"/>
        <w:rPr>
          <w:rFonts w:eastAsia="Calibri"/>
          <w:color w:val="000000"/>
          <w:szCs w:val="22"/>
          <w:lang w:val="en-MY"/>
        </w:rPr>
      </w:pPr>
    </w:p>
    <w:p w14:paraId="38E8ACE5" w14:textId="70ACF074" w:rsidR="004808A2" w:rsidRPr="009D4627" w:rsidRDefault="004808A2" w:rsidP="00752D64">
      <w:pPr>
        <w:spacing w:before="0" w:after="0" w:line="240" w:lineRule="auto"/>
        <w:rPr>
          <w:rFonts w:eastAsia="Calibri"/>
          <w:color w:val="000000"/>
          <w:szCs w:val="22"/>
          <w:lang w:val="en-MY"/>
        </w:rPr>
      </w:pPr>
    </w:p>
    <w:p w14:paraId="513DA2AF" w14:textId="19BCF51D" w:rsidR="004808A2" w:rsidRPr="009D4627" w:rsidRDefault="004808A2" w:rsidP="00752D64">
      <w:pPr>
        <w:spacing w:before="0" w:after="0" w:line="240" w:lineRule="auto"/>
        <w:rPr>
          <w:rFonts w:eastAsia="Calibri"/>
          <w:color w:val="000000"/>
          <w:szCs w:val="22"/>
          <w:lang w:val="en-MY"/>
        </w:rPr>
      </w:pPr>
      <w:r w:rsidRPr="009D4627">
        <w:rPr>
          <w:rFonts w:eastAsia="Calibri"/>
          <w:b/>
          <w:bCs/>
          <w:color w:val="000000"/>
          <w:szCs w:val="22"/>
          <w:lang w:val="en-MY"/>
        </w:rPr>
        <w:t>Diagnosis &amp; Plan:</w:t>
      </w:r>
      <w:r w:rsidRPr="009D4627">
        <w:rPr>
          <w:rFonts w:eastAsia="Calibri"/>
          <w:color w:val="000000"/>
          <w:szCs w:val="22"/>
          <w:lang w:val="en-MY"/>
        </w:rPr>
        <w:t xml:space="preserve"> </w:t>
      </w:r>
      <w:r w:rsidRPr="009D4627">
        <w:rPr>
          <w:rFonts w:eastAsia="Calibri"/>
          <w:color w:val="000000"/>
          <w:szCs w:val="22"/>
          <w:lang w:val="en-MY"/>
        </w:rPr>
        <w:tab/>
        <w:t>Partial L third nerve palsy</w:t>
      </w:r>
    </w:p>
    <w:p w14:paraId="4496F714" w14:textId="23017A94" w:rsidR="004808A2" w:rsidRPr="009D4627" w:rsidRDefault="004808A2" w:rsidP="00752D64">
      <w:pPr>
        <w:spacing w:before="0" w:after="0" w:line="240" w:lineRule="auto"/>
        <w:ind w:left="1440" w:firstLine="720"/>
        <w:rPr>
          <w:rFonts w:eastAsia="Calibri"/>
          <w:b/>
          <w:color w:val="000000"/>
          <w:szCs w:val="22"/>
          <w:u w:val="single"/>
          <w:lang w:val="en-MY"/>
        </w:rPr>
      </w:pPr>
      <w:r w:rsidRPr="009D4627">
        <w:rPr>
          <w:rFonts w:eastAsia="Calibri"/>
          <w:color w:val="000000"/>
          <w:szCs w:val="22"/>
          <w:lang w:val="en-MY"/>
        </w:rPr>
        <w:t xml:space="preserve">Given L occlusive patch to wear over </w:t>
      </w:r>
      <w:r w:rsidR="00881A2E" w:rsidRPr="009D4627">
        <w:rPr>
          <w:rFonts w:eastAsia="Calibri"/>
          <w:color w:val="000000"/>
          <w:szCs w:val="22"/>
          <w:lang w:val="en-MY"/>
        </w:rPr>
        <w:t>LE</w:t>
      </w:r>
      <w:r w:rsidRPr="009D4627">
        <w:rPr>
          <w:rFonts w:eastAsia="Calibri"/>
          <w:color w:val="000000"/>
          <w:szCs w:val="22"/>
          <w:lang w:val="en-MY"/>
        </w:rPr>
        <w:t xml:space="preserve"> as required. </w:t>
      </w:r>
    </w:p>
    <w:p w14:paraId="6E919C7E" w14:textId="7FCBA4C4" w:rsidR="004808A2" w:rsidRPr="009D4627" w:rsidRDefault="004808A2" w:rsidP="00752D64">
      <w:pPr>
        <w:spacing w:before="0" w:after="0" w:line="240" w:lineRule="auto"/>
        <w:rPr>
          <w:rFonts w:eastAsia="Calibri"/>
          <w:color w:val="FF0000"/>
          <w:szCs w:val="22"/>
          <w:lang w:val="en-MY"/>
        </w:rPr>
      </w:pPr>
    </w:p>
    <w:p w14:paraId="632D92FE" w14:textId="77777777" w:rsidR="004808A2" w:rsidRPr="009D4627" w:rsidRDefault="004808A2" w:rsidP="00752D64">
      <w:pPr>
        <w:spacing w:before="0" w:after="0" w:line="240" w:lineRule="auto"/>
        <w:rPr>
          <w:rFonts w:eastAsia="Calibri"/>
          <w:color w:val="FF0000"/>
          <w:szCs w:val="22"/>
          <w:lang w:val="en-MY"/>
        </w:rPr>
      </w:pPr>
    </w:p>
    <w:p w14:paraId="666D18FA" w14:textId="78256D17" w:rsidR="004808A2" w:rsidRPr="009D4627" w:rsidRDefault="004808A2" w:rsidP="00752D64">
      <w:pPr>
        <w:spacing w:before="0" w:after="0" w:line="240" w:lineRule="auto"/>
        <w:rPr>
          <w:rFonts w:eastAsia="Calibri"/>
          <w:b/>
          <w:color w:val="000000"/>
          <w:szCs w:val="22"/>
          <w:u w:val="single"/>
          <w:lang w:val="en-MY"/>
        </w:rPr>
      </w:pPr>
    </w:p>
    <w:p w14:paraId="56A4E369" w14:textId="77777777" w:rsidR="00DB3A02" w:rsidRPr="009D4627" w:rsidRDefault="00DB3A02" w:rsidP="00752D64">
      <w:pPr>
        <w:spacing w:before="0" w:after="0" w:line="240" w:lineRule="auto"/>
        <w:rPr>
          <w:rFonts w:eastAsia="Calibri"/>
          <w:b/>
          <w:color w:val="000000"/>
          <w:szCs w:val="22"/>
          <w:u w:val="single"/>
          <w:lang w:val="en-MY"/>
        </w:rPr>
        <w:sectPr w:rsidR="00DB3A02" w:rsidRPr="009D4627" w:rsidSect="00477959">
          <w:headerReference w:type="default" r:id="rId282"/>
          <w:pgSz w:w="11906" w:h="16838" w:code="9"/>
          <w:pgMar w:top="1440" w:right="1440" w:bottom="1440" w:left="1440" w:header="708" w:footer="708" w:gutter="0"/>
          <w:cols w:space="708"/>
          <w:docGrid w:linePitch="360"/>
        </w:sectPr>
      </w:pPr>
    </w:p>
    <w:p w14:paraId="1CBD45ED" w14:textId="65E9D533" w:rsidR="004808A2" w:rsidRPr="009D4627" w:rsidRDefault="004808A2" w:rsidP="00752D64">
      <w:pPr>
        <w:spacing w:before="0" w:after="0" w:line="240" w:lineRule="auto"/>
        <w:rPr>
          <w:rFonts w:eastAsia="Calibri"/>
          <w:bCs/>
          <w:color w:val="000000"/>
          <w:szCs w:val="22"/>
          <w:u w:val="single"/>
          <w:lang w:val="en-MY"/>
        </w:rPr>
      </w:pPr>
      <w:r w:rsidRPr="009D4627">
        <w:rPr>
          <w:rFonts w:eastAsia="Calibri"/>
          <w:b/>
          <w:color w:val="000000"/>
          <w:szCs w:val="22"/>
          <w:u w:val="single"/>
          <w:lang w:val="en-MY"/>
        </w:rPr>
        <w:lastRenderedPageBreak/>
        <w:t xml:space="preserve">Clinical visit 2: </w:t>
      </w:r>
      <w:r w:rsidRPr="009D4627">
        <w:rPr>
          <w:rFonts w:eastAsia="Calibri"/>
          <w:bCs/>
          <w:color w:val="000000"/>
          <w:szCs w:val="22"/>
          <w:u w:val="single"/>
          <w:lang w:val="en-MY"/>
        </w:rPr>
        <w:t>27/11/2018 (5 weeks from onset) - Orthoptic assessment</w:t>
      </w:r>
    </w:p>
    <w:p w14:paraId="24304E1F" w14:textId="77777777" w:rsidR="004808A2" w:rsidRPr="009D4627" w:rsidRDefault="004808A2" w:rsidP="00752D64">
      <w:pPr>
        <w:spacing w:before="0" w:after="0" w:line="240" w:lineRule="auto"/>
        <w:rPr>
          <w:rFonts w:eastAsia="Calibri"/>
          <w:color w:val="000000"/>
          <w:szCs w:val="22"/>
          <w:lang w:val="en-MY"/>
        </w:rPr>
      </w:pPr>
    </w:p>
    <w:p w14:paraId="6C31B780" w14:textId="77777777" w:rsidR="004808A2" w:rsidRPr="009D4627" w:rsidRDefault="004808A2" w:rsidP="00752D64">
      <w:pPr>
        <w:spacing w:before="0" w:after="0" w:line="240" w:lineRule="auto"/>
        <w:rPr>
          <w:rFonts w:eastAsia="Calibri"/>
          <w:color w:val="000000"/>
          <w:szCs w:val="22"/>
          <w:lang w:val="en-MY"/>
        </w:rPr>
      </w:pPr>
      <w:r w:rsidRPr="009D4627">
        <w:rPr>
          <w:rFonts w:eastAsia="Calibri"/>
          <w:color w:val="000000"/>
          <w:szCs w:val="22"/>
          <w:lang w:val="en-MY"/>
        </w:rPr>
        <w:t>Aware of daily improvement in diplopia, much less frequent today.</w:t>
      </w:r>
    </w:p>
    <w:p w14:paraId="4A59AB33" w14:textId="24E34153" w:rsidR="004808A2" w:rsidRPr="009D4627" w:rsidRDefault="004808A2" w:rsidP="00752D64">
      <w:pPr>
        <w:spacing w:before="0" w:after="0" w:line="240" w:lineRule="auto"/>
        <w:rPr>
          <w:rFonts w:eastAsia="Calibri"/>
          <w:color w:val="000000"/>
          <w:szCs w:val="22"/>
          <w:lang w:val="en-MY"/>
        </w:rPr>
      </w:pPr>
      <w:r w:rsidRPr="009D4627">
        <w:rPr>
          <w:rFonts w:eastAsia="Calibri"/>
          <w:color w:val="000000"/>
          <w:szCs w:val="22"/>
          <w:lang w:val="en-MY"/>
        </w:rPr>
        <w:t>Using patch at home only when necessary.</w:t>
      </w:r>
    </w:p>
    <w:p w14:paraId="6D09AD8C" w14:textId="2B43A5A6" w:rsidR="004808A2" w:rsidRPr="009D4627" w:rsidRDefault="004808A2" w:rsidP="00752D64">
      <w:pPr>
        <w:spacing w:before="0" w:after="0" w:line="240" w:lineRule="auto"/>
        <w:rPr>
          <w:rFonts w:eastAsia="Calibri"/>
          <w:b/>
          <w:color w:val="000000"/>
          <w:szCs w:val="22"/>
          <w:lang w:val="en-MY"/>
        </w:rPr>
      </w:pPr>
    </w:p>
    <w:p w14:paraId="2753D4E3" w14:textId="158D69D3" w:rsidR="004808A2" w:rsidRPr="009D4627" w:rsidRDefault="004808A2" w:rsidP="00752D64">
      <w:pPr>
        <w:spacing w:before="0" w:after="0" w:line="240" w:lineRule="auto"/>
        <w:rPr>
          <w:rFonts w:eastAsia="Calibri"/>
          <w:bCs/>
          <w:color w:val="000000"/>
          <w:szCs w:val="22"/>
          <w:lang w:val="en-MY"/>
        </w:rPr>
      </w:pPr>
      <w:r w:rsidRPr="009D4627">
        <w:rPr>
          <w:rFonts w:eastAsia="Calibri"/>
          <w:b/>
          <w:color w:val="000000"/>
          <w:szCs w:val="22"/>
          <w:lang w:val="en-MY"/>
        </w:rPr>
        <w:t>Visual acuity:</w:t>
      </w:r>
      <w:r w:rsidRPr="009D4627">
        <w:rPr>
          <w:rFonts w:eastAsia="Calibri"/>
          <w:bCs/>
          <w:color w:val="000000"/>
          <w:szCs w:val="22"/>
          <w:lang w:val="en-MY"/>
        </w:rPr>
        <w:t xml:space="preserve"> </w:t>
      </w:r>
      <w:r w:rsidRPr="009D4627">
        <w:rPr>
          <w:rFonts w:eastAsia="Calibri"/>
          <w:bCs/>
          <w:color w:val="000000"/>
          <w:szCs w:val="22"/>
          <w:lang w:val="en-MY"/>
        </w:rPr>
        <w:tab/>
        <w:t xml:space="preserve">with glasses </w:t>
      </w:r>
      <w:r w:rsidRPr="009D4627">
        <w:rPr>
          <w:rFonts w:eastAsia="Calibri"/>
          <w:bCs/>
          <w:color w:val="000000"/>
          <w:szCs w:val="22"/>
          <w:lang w:val="en-MY"/>
        </w:rPr>
        <w:tab/>
        <w:t>RE 0.32</w:t>
      </w:r>
      <w:r w:rsidRPr="009D4627">
        <w:rPr>
          <w:rFonts w:eastAsia="Calibri"/>
          <w:bCs/>
          <w:color w:val="000000"/>
          <w:szCs w:val="22"/>
          <w:lang w:val="en-MY"/>
        </w:rPr>
        <w:tab/>
        <w:t xml:space="preserve">LE 0.74      ETDRS </w:t>
      </w:r>
      <w:proofErr w:type="spellStart"/>
      <w:r w:rsidRPr="009D4627">
        <w:rPr>
          <w:rFonts w:eastAsia="Calibri"/>
          <w:bCs/>
          <w:color w:val="000000"/>
          <w:szCs w:val="22"/>
          <w:lang w:val="en-MY"/>
        </w:rPr>
        <w:t>logMAR</w:t>
      </w:r>
      <w:proofErr w:type="spellEnd"/>
    </w:p>
    <w:p w14:paraId="561ADA36" w14:textId="0173DC99" w:rsidR="004808A2" w:rsidRPr="009D4627" w:rsidRDefault="004808A2" w:rsidP="00752D64">
      <w:pPr>
        <w:spacing w:before="0" w:after="0" w:line="240" w:lineRule="auto"/>
        <w:rPr>
          <w:rFonts w:eastAsia="Calibri"/>
          <w:bCs/>
          <w:color w:val="000000"/>
          <w:szCs w:val="22"/>
          <w:lang w:val="en-MY"/>
        </w:rPr>
      </w:pPr>
      <w:r w:rsidRPr="009D4627">
        <w:rPr>
          <w:rFonts w:eastAsia="Calibri"/>
          <w:bCs/>
          <w:color w:val="000000"/>
          <w:szCs w:val="22"/>
          <w:lang w:val="en-MY"/>
        </w:rPr>
        <w:tab/>
      </w:r>
      <w:r w:rsidRPr="009D4627">
        <w:rPr>
          <w:rFonts w:eastAsia="Calibri"/>
          <w:bCs/>
          <w:color w:val="000000"/>
          <w:szCs w:val="22"/>
          <w:lang w:val="en-MY"/>
        </w:rPr>
        <w:tab/>
      </w:r>
      <w:r w:rsidRPr="009D4627">
        <w:rPr>
          <w:rFonts w:eastAsia="Calibri"/>
          <w:bCs/>
          <w:color w:val="000000"/>
          <w:szCs w:val="22"/>
          <w:lang w:val="en-MY"/>
        </w:rPr>
        <w:tab/>
      </w:r>
      <w:r w:rsidRPr="009D4627">
        <w:rPr>
          <w:rFonts w:eastAsia="Calibri"/>
          <w:bCs/>
          <w:color w:val="000000"/>
          <w:szCs w:val="22"/>
          <w:lang w:val="en-MY"/>
        </w:rPr>
        <w:tab/>
        <w:t xml:space="preserve">     </w:t>
      </w:r>
      <w:r w:rsidR="00E147BE">
        <w:rPr>
          <w:rFonts w:eastAsia="Calibri"/>
          <w:bCs/>
          <w:color w:val="000000"/>
          <w:szCs w:val="22"/>
          <w:lang w:val="en-MY"/>
        </w:rPr>
        <w:tab/>
      </w:r>
      <w:r w:rsidRPr="009D4627">
        <w:rPr>
          <w:rFonts w:eastAsia="Calibri"/>
          <w:bCs/>
          <w:color w:val="000000"/>
          <w:szCs w:val="22"/>
          <w:lang w:val="en-MY"/>
        </w:rPr>
        <w:t xml:space="preserve"> 6/12-1</w:t>
      </w:r>
      <w:r w:rsidRPr="009D4627">
        <w:rPr>
          <w:rFonts w:eastAsia="Calibri"/>
          <w:bCs/>
          <w:color w:val="000000"/>
          <w:szCs w:val="22"/>
          <w:lang w:val="en-MY"/>
        </w:rPr>
        <w:tab/>
        <w:t xml:space="preserve">   </w:t>
      </w:r>
      <w:r w:rsidR="00E147BE">
        <w:rPr>
          <w:rFonts w:eastAsia="Calibri"/>
          <w:bCs/>
          <w:color w:val="000000"/>
          <w:szCs w:val="22"/>
          <w:lang w:val="en-MY"/>
        </w:rPr>
        <w:tab/>
      </w:r>
      <w:r w:rsidRPr="009D4627">
        <w:rPr>
          <w:rFonts w:eastAsia="Calibri"/>
          <w:bCs/>
          <w:color w:val="000000"/>
          <w:szCs w:val="22"/>
          <w:lang w:val="en-MY"/>
        </w:rPr>
        <w:t xml:space="preserve"> 6/30-2   Snellen equivalent</w:t>
      </w:r>
    </w:p>
    <w:p w14:paraId="5F3229F9" w14:textId="40A48993" w:rsidR="004808A2" w:rsidRPr="009D4627" w:rsidRDefault="004808A2" w:rsidP="00752D64">
      <w:pPr>
        <w:spacing w:before="0" w:after="0" w:line="240" w:lineRule="auto"/>
        <w:rPr>
          <w:rFonts w:eastAsia="Calibri"/>
          <w:b/>
          <w:color w:val="000000"/>
          <w:szCs w:val="22"/>
          <w:lang w:val="en-MY"/>
        </w:rPr>
      </w:pPr>
    </w:p>
    <w:p w14:paraId="228125ED" w14:textId="2365C643" w:rsidR="004808A2" w:rsidRPr="009D4627" w:rsidRDefault="004808A2" w:rsidP="00752D64">
      <w:pPr>
        <w:spacing w:before="0" w:after="0" w:line="240" w:lineRule="auto"/>
        <w:rPr>
          <w:rFonts w:eastAsia="Calibri"/>
          <w:bCs/>
          <w:color w:val="000000"/>
          <w:szCs w:val="22"/>
          <w:lang w:val="en-MY"/>
        </w:rPr>
      </w:pPr>
      <w:r w:rsidRPr="009D4627">
        <w:rPr>
          <w:rFonts w:eastAsia="Calibri"/>
          <w:b/>
          <w:color w:val="000000"/>
          <w:szCs w:val="22"/>
          <w:lang w:val="en-MY"/>
        </w:rPr>
        <w:t xml:space="preserve">Cover test: </w:t>
      </w:r>
      <w:r w:rsidRPr="009D4627">
        <w:rPr>
          <w:rFonts w:eastAsia="Calibri"/>
          <w:b/>
          <w:color w:val="000000"/>
          <w:szCs w:val="22"/>
          <w:lang w:val="en-MY"/>
        </w:rPr>
        <w:tab/>
      </w:r>
      <w:r w:rsidRPr="009D4627">
        <w:rPr>
          <w:rFonts w:eastAsia="Calibri"/>
          <w:bCs/>
          <w:color w:val="000000"/>
          <w:szCs w:val="22"/>
          <w:lang w:val="en-MY"/>
        </w:rPr>
        <w:t>with glasses 1/3</w:t>
      </w:r>
      <w:r w:rsidR="00672F34" w:rsidRPr="009D4627">
        <w:rPr>
          <w:rFonts w:eastAsia="Calibri"/>
          <w:bCs/>
          <w:color w:val="000000"/>
          <w:szCs w:val="22"/>
          <w:lang w:val="en-MY"/>
        </w:rPr>
        <w:t xml:space="preserve"> </w:t>
      </w:r>
      <w:r w:rsidRPr="009D4627">
        <w:rPr>
          <w:rFonts w:eastAsia="Calibri"/>
          <w:bCs/>
          <w:color w:val="000000"/>
          <w:szCs w:val="22"/>
          <w:lang w:val="en-MY"/>
        </w:rPr>
        <w:t>m slight exophoria (X) with good recovery</w:t>
      </w:r>
    </w:p>
    <w:p w14:paraId="4F98C139" w14:textId="0B3C8A94" w:rsidR="004808A2" w:rsidRPr="009D4627" w:rsidRDefault="004808A2" w:rsidP="00752D64">
      <w:pPr>
        <w:spacing w:before="0" w:after="0" w:line="240" w:lineRule="auto"/>
        <w:rPr>
          <w:rFonts w:eastAsia="Calibri"/>
          <w:bCs/>
          <w:color w:val="000000"/>
          <w:szCs w:val="22"/>
          <w:lang w:val="en-MY"/>
        </w:rPr>
      </w:pPr>
      <w:r w:rsidRPr="009D4627">
        <w:rPr>
          <w:rFonts w:eastAsia="Calibri"/>
          <w:bCs/>
          <w:color w:val="000000"/>
          <w:szCs w:val="22"/>
          <w:lang w:val="en-MY"/>
        </w:rPr>
        <w:t xml:space="preserve">                           without glasses 6 m slight L exotropia (XT) with diplopia</w:t>
      </w:r>
    </w:p>
    <w:p w14:paraId="32399687" w14:textId="0D420CA8" w:rsidR="004808A2" w:rsidRPr="009D4627" w:rsidRDefault="004808A2" w:rsidP="00752D64">
      <w:pPr>
        <w:spacing w:before="0" w:after="0" w:line="240" w:lineRule="auto"/>
        <w:rPr>
          <w:rFonts w:eastAsia="Calibri"/>
          <w:bCs/>
          <w:color w:val="000000"/>
          <w:szCs w:val="22"/>
          <w:lang w:val="en-MY"/>
        </w:rPr>
      </w:pPr>
    </w:p>
    <w:p w14:paraId="66508551" w14:textId="767655F7" w:rsidR="004808A2" w:rsidRPr="009D4627" w:rsidRDefault="00672F34" w:rsidP="00752D64">
      <w:pPr>
        <w:spacing w:before="0" w:after="0" w:line="240" w:lineRule="auto"/>
        <w:rPr>
          <w:rFonts w:eastAsia="Calibri"/>
          <w:b/>
          <w:color w:val="000000"/>
          <w:szCs w:val="22"/>
          <w:lang w:val="en-MY"/>
        </w:rPr>
      </w:pPr>
      <w:r w:rsidRPr="009D4627">
        <w:rPr>
          <w:rFonts w:eastAsia="Calibri"/>
          <w:b/>
          <w:color w:val="000000"/>
          <w:szCs w:val="22"/>
          <w:lang w:val="en-MY"/>
        </w:rPr>
        <w:t>OMT</w:t>
      </w:r>
      <w:r w:rsidR="004808A2" w:rsidRPr="009D4627">
        <w:rPr>
          <w:rFonts w:eastAsia="Calibri"/>
          <w:b/>
          <w:color w:val="000000"/>
          <w:szCs w:val="22"/>
          <w:lang w:val="en-MY"/>
        </w:rPr>
        <w:t>:</w:t>
      </w:r>
    </w:p>
    <w:p w14:paraId="3A17712F" w14:textId="641827CE" w:rsidR="004808A2" w:rsidRPr="009D4627" w:rsidRDefault="004808A2" w:rsidP="00752D64">
      <w:pPr>
        <w:spacing w:before="0" w:after="0" w:line="240" w:lineRule="auto"/>
        <w:rPr>
          <w:rFonts w:eastAsia="Calibri"/>
          <w:bCs/>
          <w:color w:val="000000"/>
          <w:szCs w:val="22"/>
          <w:lang w:val="en-MY"/>
        </w:rPr>
      </w:pPr>
    </w:p>
    <w:p w14:paraId="305DDC1C" w14:textId="26FDB3B0" w:rsidR="004808A2" w:rsidRPr="009D4627" w:rsidRDefault="00A2792E" w:rsidP="00752D64">
      <w:pPr>
        <w:spacing w:before="0" w:line="240" w:lineRule="auto"/>
        <w:rPr>
          <w:rFonts w:eastAsia="Calibri"/>
          <w:bCs/>
          <w:color w:val="000000"/>
          <w:szCs w:val="22"/>
          <w:lang w:val="en-MY"/>
        </w:rPr>
      </w:pPr>
      <w:r w:rsidRPr="009D4627">
        <w:rPr>
          <w:noProof/>
        </w:rPr>
        <mc:AlternateContent>
          <mc:Choice Requires="wpg">
            <w:drawing>
              <wp:anchor distT="0" distB="0" distL="114300" distR="114300" simplePos="0" relativeHeight="251649024" behindDoc="0" locked="0" layoutInCell="1" allowOverlap="1" wp14:anchorId="26963EF7" wp14:editId="43F39F4B">
                <wp:simplePos x="0" y="0"/>
                <wp:positionH relativeFrom="column">
                  <wp:posOffset>1158875</wp:posOffset>
                </wp:positionH>
                <wp:positionV relativeFrom="paragraph">
                  <wp:posOffset>30480</wp:posOffset>
                </wp:positionV>
                <wp:extent cx="3138805" cy="1217930"/>
                <wp:effectExtent l="0" t="0" r="0" b="0"/>
                <wp:wrapNone/>
                <wp:docPr id="23800" name="Group 23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8805" cy="1217930"/>
                          <a:chOff x="0" y="0"/>
                          <a:chExt cx="31386" cy="12179"/>
                        </a:xfrm>
                      </wpg:grpSpPr>
                      <wps:wsp>
                        <wps:cNvPr id="23801" name="Rectangle 204"/>
                        <wps:cNvSpPr>
                          <a:spLocks noChangeArrowheads="1"/>
                        </wps:cNvSpPr>
                        <wps:spPr bwMode="auto">
                          <a:xfrm>
                            <a:off x="28388" y="4465"/>
                            <a:ext cx="2998" cy="2286"/>
                          </a:xfrm>
                          <a:prstGeom prst="rect">
                            <a:avLst/>
                          </a:prstGeom>
                          <a:noFill/>
                          <a:ln>
                            <a:noFill/>
                          </a:ln>
                        </wps:spPr>
                        <wps:txbx>
                          <w:txbxContent>
                            <w:p w14:paraId="6D9C116A"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 ½</w:t>
                              </w:r>
                            </w:p>
                          </w:txbxContent>
                        </wps:txbx>
                        <wps:bodyPr rot="0" vert="horz" wrap="square" lIns="0" tIns="0" rIns="0" bIns="0" anchor="ctr" anchorCtr="0" upright="1">
                          <a:noAutofit/>
                        </wps:bodyPr>
                      </wps:wsp>
                      <wpg:grpSp>
                        <wpg:cNvPr id="23802" name="Group 145"/>
                        <wpg:cNvGrpSpPr>
                          <a:grpSpLocks/>
                        </wpg:cNvGrpSpPr>
                        <wpg:grpSpPr bwMode="auto">
                          <a:xfrm>
                            <a:off x="0" y="0"/>
                            <a:ext cx="28526" cy="12179"/>
                            <a:chOff x="0" y="0"/>
                            <a:chExt cx="28526" cy="12179"/>
                          </a:xfrm>
                        </wpg:grpSpPr>
                        <wpg:grpSp>
                          <wpg:cNvPr id="23803" name="Group 144"/>
                          <wpg:cNvGrpSpPr>
                            <a:grpSpLocks/>
                          </wpg:cNvGrpSpPr>
                          <wpg:grpSpPr bwMode="auto">
                            <a:xfrm>
                              <a:off x="3189" y="0"/>
                              <a:ext cx="25337" cy="12179"/>
                              <a:chOff x="0" y="0"/>
                              <a:chExt cx="25336" cy="12179"/>
                            </a:xfrm>
                          </wpg:grpSpPr>
                          <wpg:grpSp>
                            <wpg:cNvPr id="23804" name="Group 71"/>
                            <wpg:cNvGrpSpPr>
                              <a:grpSpLocks/>
                            </wpg:cNvGrpSpPr>
                            <wpg:grpSpPr bwMode="auto">
                              <a:xfrm>
                                <a:off x="0" y="0"/>
                                <a:ext cx="25336" cy="12179"/>
                                <a:chOff x="0" y="0"/>
                                <a:chExt cx="27051" cy="13626"/>
                              </a:xfrm>
                            </wpg:grpSpPr>
                            <wpg:grpSp>
                              <wpg:cNvPr id="23805" name="Group 20940"/>
                              <wpg:cNvGrpSpPr>
                                <a:grpSpLocks/>
                              </wpg:cNvGrpSpPr>
                              <wpg:grpSpPr bwMode="auto">
                                <a:xfrm>
                                  <a:off x="0" y="0"/>
                                  <a:ext cx="9144" cy="11340"/>
                                  <a:chOff x="0" y="0"/>
                                  <a:chExt cx="9144" cy="11364"/>
                                </a:xfrm>
                              </wpg:grpSpPr>
                              <wpg:grpSp>
                                <wpg:cNvPr id="23806" name="Group 20941"/>
                                <wpg:cNvGrpSpPr>
                                  <a:grpSpLocks/>
                                </wpg:cNvGrpSpPr>
                                <wpg:grpSpPr bwMode="auto">
                                  <a:xfrm>
                                    <a:off x="0" y="2220"/>
                                    <a:ext cx="9144" cy="9144"/>
                                    <a:chOff x="0" y="2220"/>
                                    <a:chExt cx="9144" cy="9144"/>
                                  </a:xfrm>
                                </wpg:grpSpPr>
                                <wps:wsp>
                                  <wps:cNvPr id="23807" name="Oval 20942"/>
                                  <wps:cNvSpPr>
                                    <a:spLocks noChangeArrowheads="1"/>
                                  </wps:cNvSpPr>
                                  <wps:spPr bwMode="auto">
                                    <a:xfrm>
                                      <a:off x="0" y="2220"/>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808" name="Straight Connector 20943"/>
                                  <wps:cNvCnPr>
                                    <a:cxnSpLocks noChangeShapeType="1"/>
                                  </wps:cNvCnPr>
                                  <wps:spPr bwMode="auto">
                                    <a:xfrm>
                                      <a:off x="1047" y="3198"/>
                                      <a:ext cx="6757" cy="361"/>
                                    </a:xfrm>
                                    <a:prstGeom prst="line">
                                      <a:avLst/>
                                    </a:prstGeom>
                                    <a:noFill/>
                                    <a:ln w="6350">
                                      <a:solidFill>
                                        <a:srgbClr val="000000"/>
                                      </a:solidFill>
                                      <a:miter lim="800000"/>
                                      <a:headEnd/>
                                      <a:tailEnd/>
                                    </a:ln>
                                  </wps:spPr>
                                  <wps:bodyPr/>
                                </wps:wsp>
                                <wps:wsp>
                                  <wps:cNvPr id="23809" name="Straight Connector 20944"/>
                                  <wps:cNvCnPr>
                                    <a:cxnSpLocks noChangeShapeType="1"/>
                                  </wps:cNvCnPr>
                                  <wps:spPr bwMode="auto">
                                    <a:xfrm flipH="1">
                                      <a:off x="4238" y="2362"/>
                                      <a:ext cx="810" cy="908"/>
                                    </a:xfrm>
                                    <a:prstGeom prst="line">
                                      <a:avLst/>
                                    </a:prstGeom>
                                    <a:noFill/>
                                    <a:ln w="19050">
                                      <a:solidFill>
                                        <a:srgbClr val="000000"/>
                                      </a:solidFill>
                                      <a:miter lim="800000"/>
                                      <a:headEnd/>
                                      <a:tailEnd/>
                                    </a:ln>
                                  </wps:spPr>
                                  <wps:bodyPr/>
                                </wps:wsp>
                                <wps:wsp>
                                  <wps:cNvPr id="23810" name="Straight Connector 20945"/>
                                  <wps:cNvCnPr>
                                    <a:cxnSpLocks noChangeShapeType="1"/>
                                  </wps:cNvCnPr>
                                  <wps:spPr bwMode="auto">
                                    <a:xfrm flipH="1">
                                      <a:off x="4881" y="2362"/>
                                      <a:ext cx="973" cy="1197"/>
                                    </a:xfrm>
                                    <a:prstGeom prst="line">
                                      <a:avLst/>
                                    </a:prstGeom>
                                    <a:noFill/>
                                    <a:ln w="19050">
                                      <a:solidFill>
                                        <a:srgbClr val="000000"/>
                                      </a:solidFill>
                                      <a:miter lim="800000"/>
                                      <a:headEnd/>
                                      <a:tailEnd/>
                                    </a:ln>
                                  </wps:spPr>
                                  <wps:bodyPr/>
                                </wps:wsp>
                                <wps:wsp>
                                  <wps:cNvPr id="23811" name="Straight Connector 20946"/>
                                  <wps:cNvCnPr>
                                    <a:cxnSpLocks noChangeShapeType="1"/>
                                  </wps:cNvCnPr>
                                  <wps:spPr bwMode="auto">
                                    <a:xfrm flipH="1">
                                      <a:off x="3355" y="2315"/>
                                      <a:ext cx="883" cy="955"/>
                                    </a:xfrm>
                                    <a:prstGeom prst="line">
                                      <a:avLst/>
                                    </a:prstGeom>
                                    <a:noFill/>
                                    <a:ln w="19050">
                                      <a:solidFill>
                                        <a:srgbClr val="000000"/>
                                      </a:solidFill>
                                      <a:miter lim="800000"/>
                                      <a:headEnd/>
                                      <a:tailEnd/>
                                    </a:ln>
                                  </wps:spPr>
                                  <wps:bodyPr/>
                                </wps:wsp>
                                <wps:wsp>
                                  <wps:cNvPr id="23812" name="Straight Connector 20947"/>
                                  <wps:cNvCnPr>
                                    <a:cxnSpLocks noChangeShapeType="1"/>
                                  </wps:cNvCnPr>
                                  <wps:spPr bwMode="auto">
                                    <a:xfrm flipH="1">
                                      <a:off x="6000" y="2648"/>
                                      <a:ext cx="473" cy="622"/>
                                    </a:xfrm>
                                    <a:prstGeom prst="line">
                                      <a:avLst/>
                                    </a:prstGeom>
                                    <a:noFill/>
                                    <a:ln w="19050">
                                      <a:solidFill>
                                        <a:srgbClr val="000000"/>
                                      </a:solidFill>
                                      <a:miter lim="800000"/>
                                      <a:headEnd/>
                                      <a:tailEnd/>
                                    </a:ln>
                                  </wps:spPr>
                                  <wps:bodyPr/>
                                </wps:wsp>
                                <wps:wsp>
                                  <wps:cNvPr id="23813" name="Straight Connector 20948"/>
                                  <wps:cNvCnPr>
                                    <a:cxnSpLocks noChangeShapeType="1"/>
                                  </wps:cNvCnPr>
                                  <wps:spPr bwMode="auto">
                                    <a:xfrm flipH="1">
                                      <a:off x="2542" y="2505"/>
                                      <a:ext cx="693" cy="765"/>
                                    </a:xfrm>
                                    <a:prstGeom prst="line">
                                      <a:avLst/>
                                    </a:prstGeom>
                                    <a:noFill/>
                                    <a:ln w="19050">
                                      <a:solidFill>
                                        <a:srgbClr val="000000"/>
                                      </a:solidFill>
                                      <a:miter lim="800000"/>
                                      <a:headEnd/>
                                      <a:tailEnd/>
                                    </a:ln>
                                  </wps:spPr>
                                  <wps:bodyPr/>
                                </wps:wsp>
                              </wpg:grpSp>
                              <wps:wsp>
                                <wps:cNvPr id="23814" name="Rectangle 20949"/>
                                <wps:cNvSpPr>
                                  <a:spLocks noChangeArrowheads="1"/>
                                </wps:cNvSpPr>
                                <wps:spPr bwMode="auto">
                                  <a:xfrm>
                                    <a:off x="2762" y="0"/>
                                    <a:ext cx="3238" cy="2026"/>
                                  </a:xfrm>
                                  <a:prstGeom prst="rect">
                                    <a:avLst/>
                                  </a:prstGeom>
                                  <a:noFill/>
                                  <a:ln>
                                    <a:noFill/>
                                  </a:ln>
                                </wps:spPr>
                                <wps:txbx>
                                  <w:txbxContent>
                                    <w:p w14:paraId="5F08A69B" w14:textId="77777777" w:rsidR="00527127" w:rsidRDefault="00527127" w:rsidP="00672F34">
                                      <w:pPr>
                                        <w:spacing w:before="0"/>
                                        <w:jc w:val="center"/>
                                        <w:rPr>
                                          <w:rFonts w:ascii="Calibri" w:hAnsi="Calibri" w:cs="Calibri"/>
                                          <w:sz w:val="20"/>
                                          <w:szCs w:val="20"/>
                                          <w:lang w:val="en-US"/>
                                        </w:rPr>
                                      </w:pPr>
                                      <w:r>
                                        <w:rPr>
                                          <w:rFonts w:ascii="Calibri" w:hAnsi="Calibri" w:cs="Calibri"/>
                                          <w:sz w:val="20"/>
                                          <w:szCs w:val="20"/>
                                          <w:lang w:val="en-US"/>
                                        </w:rPr>
                                        <w:t xml:space="preserve">- ½ </w:t>
                                      </w:r>
                                    </w:p>
                                  </w:txbxContent>
                                </wps:txbx>
                                <wps:bodyPr rot="0" vert="horz" wrap="square" lIns="0" tIns="0" rIns="0" bIns="0" anchor="ctr" anchorCtr="0" upright="1">
                                  <a:noAutofit/>
                                </wps:bodyPr>
                              </wps:wsp>
                            </wpg:grpSp>
                            <wpg:grpSp>
                              <wpg:cNvPr id="23815" name="Group 20950"/>
                              <wpg:cNvGrpSpPr>
                                <a:grpSpLocks/>
                              </wpg:cNvGrpSpPr>
                              <wpg:grpSpPr bwMode="auto">
                                <a:xfrm>
                                  <a:off x="17907" y="426"/>
                                  <a:ext cx="9144" cy="13200"/>
                                  <a:chOff x="17907" y="426"/>
                                  <a:chExt cx="9144" cy="13200"/>
                                </a:xfrm>
                              </wpg:grpSpPr>
                              <wpg:grpSp>
                                <wpg:cNvPr id="23816" name="Group 20951"/>
                                <wpg:cNvGrpSpPr>
                                  <a:grpSpLocks/>
                                </wpg:cNvGrpSpPr>
                                <wpg:grpSpPr bwMode="auto">
                                  <a:xfrm>
                                    <a:off x="17907" y="426"/>
                                    <a:ext cx="9144" cy="13200"/>
                                    <a:chOff x="17907" y="426"/>
                                    <a:chExt cx="9144" cy="13200"/>
                                  </a:xfrm>
                                </wpg:grpSpPr>
                                <wpg:grpSp>
                                  <wpg:cNvPr id="23817" name="Group 20952"/>
                                  <wpg:cNvGrpSpPr>
                                    <a:grpSpLocks/>
                                  </wpg:cNvGrpSpPr>
                                  <wpg:grpSpPr bwMode="auto">
                                    <a:xfrm>
                                      <a:off x="17907" y="426"/>
                                      <a:ext cx="9144" cy="10876"/>
                                      <a:chOff x="17907" y="426"/>
                                      <a:chExt cx="9144" cy="10889"/>
                                    </a:xfrm>
                                  </wpg:grpSpPr>
                                  <wpg:grpSp>
                                    <wpg:cNvPr id="23818" name="Group 20953"/>
                                    <wpg:cNvGrpSpPr>
                                      <a:grpSpLocks/>
                                    </wpg:cNvGrpSpPr>
                                    <wpg:grpSpPr bwMode="auto">
                                      <a:xfrm>
                                        <a:off x="18954" y="2267"/>
                                        <a:ext cx="6954" cy="1571"/>
                                        <a:chOff x="18954" y="2267"/>
                                        <a:chExt cx="6953" cy="1571"/>
                                      </a:xfrm>
                                    </wpg:grpSpPr>
                                    <wps:wsp>
                                      <wps:cNvPr id="23819" name="Straight Connector 20954"/>
                                      <wps:cNvCnPr>
                                        <a:cxnSpLocks noChangeShapeType="1"/>
                                      </wps:cNvCnPr>
                                      <wps:spPr bwMode="auto">
                                        <a:xfrm>
                                          <a:off x="18954" y="3791"/>
                                          <a:ext cx="6954" cy="0"/>
                                        </a:xfrm>
                                        <a:prstGeom prst="line">
                                          <a:avLst/>
                                        </a:prstGeom>
                                        <a:noFill/>
                                        <a:ln w="6350">
                                          <a:solidFill>
                                            <a:srgbClr val="000000"/>
                                          </a:solidFill>
                                          <a:miter lim="800000"/>
                                          <a:headEnd/>
                                          <a:tailEnd/>
                                        </a:ln>
                                      </wps:spPr>
                                      <wps:bodyPr/>
                                    </wps:wsp>
                                    <wpg:grpSp>
                                      <wpg:cNvPr id="23820" name="Group 20955"/>
                                      <wpg:cNvGrpSpPr>
                                        <a:grpSpLocks/>
                                      </wpg:cNvGrpSpPr>
                                      <wpg:grpSpPr bwMode="auto">
                                        <a:xfrm>
                                          <a:off x="20050" y="2267"/>
                                          <a:ext cx="5426" cy="1571"/>
                                          <a:chOff x="20050" y="2267"/>
                                          <a:chExt cx="5426" cy="1571"/>
                                        </a:xfrm>
                                      </wpg:grpSpPr>
                                      <wps:wsp>
                                        <wps:cNvPr id="23821" name="Straight Connector 20956"/>
                                        <wps:cNvCnPr>
                                          <a:cxnSpLocks noChangeShapeType="1"/>
                                        </wps:cNvCnPr>
                                        <wps:spPr bwMode="auto">
                                          <a:xfrm flipH="1">
                                            <a:off x="21717" y="2314"/>
                                            <a:ext cx="1238" cy="1524"/>
                                          </a:xfrm>
                                          <a:prstGeom prst="line">
                                            <a:avLst/>
                                          </a:prstGeom>
                                          <a:noFill/>
                                          <a:ln w="19050">
                                            <a:solidFill>
                                              <a:srgbClr val="000000"/>
                                            </a:solidFill>
                                            <a:miter lim="800000"/>
                                            <a:headEnd/>
                                            <a:tailEnd/>
                                          </a:ln>
                                        </wps:spPr>
                                        <wps:bodyPr/>
                                      </wps:wsp>
                                      <wps:wsp>
                                        <wps:cNvPr id="23822" name="Straight Connector 20957"/>
                                        <wps:cNvCnPr>
                                          <a:cxnSpLocks noChangeShapeType="1"/>
                                        </wps:cNvCnPr>
                                        <wps:spPr bwMode="auto">
                                          <a:xfrm flipH="1">
                                            <a:off x="22574" y="2314"/>
                                            <a:ext cx="1187" cy="1524"/>
                                          </a:xfrm>
                                          <a:prstGeom prst="line">
                                            <a:avLst/>
                                          </a:prstGeom>
                                          <a:noFill/>
                                          <a:ln w="19050">
                                            <a:solidFill>
                                              <a:srgbClr val="000000"/>
                                            </a:solidFill>
                                            <a:miter lim="800000"/>
                                            <a:headEnd/>
                                            <a:tailEnd/>
                                          </a:ln>
                                        </wps:spPr>
                                        <wps:bodyPr/>
                                      </wps:wsp>
                                      <wps:wsp>
                                        <wps:cNvPr id="23823" name="Straight Connector 20958"/>
                                        <wps:cNvCnPr>
                                          <a:cxnSpLocks noChangeShapeType="1"/>
                                        </wps:cNvCnPr>
                                        <wps:spPr bwMode="auto">
                                          <a:xfrm flipH="1">
                                            <a:off x="20907" y="2267"/>
                                            <a:ext cx="1238" cy="1524"/>
                                          </a:xfrm>
                                          <a:prstGeom prst="line">
                                            <a:avLst/>
                                          </a:prstGeom>
                                          <a:noFill/>
                                          <a:ln w="19050">
                                            <a:solidFill>
                                              <a:srgbClr val="000000"/>
                                            </a:solidFill>
                                            <a:miter lim="800000"/>
                                            <a:headEnd/>
                                            <a:tailEnd/>
                                          </a:ln>
                                        </wps:spPr>
                                        <wps:bodyPr/>
                                      </wps:wsp>
                                      <wps:wsp>
                                        <wps:cNvPr id="23824" name="Straight Connector 20959"/>
                                        <wps:cNvCnPr>
                                          <a:cxnSpLocks noChangeShapeType="1"/>
                                        </wps:cNvCnPr>
                                        <wps:spPr bwMode="auto">
                                          <a:xfrm flipH="1">
                                            <a:off x="23479" y="2600"/>
                                            <a:ext cx="901" cy="1187"/>
                                          </a:xfrm>
                                          <a:prstGeom prst="line">
                                            <a:avLst/>
                                          </a:prstGeom>
                                          <a:noFill/>
                                          <a:ln w="19050">
                                            <a:solidFill>
                                              <a:srgbClr val="000000"/>
                                            </a:solidFill>
                                            <a:miter lim="800000"/>
                                            <a:headEnd/>
                                            <a:tailEnd/>
                                          </a:ln>
                                        </wps:spPr>
                                        <wps:bodyPr/>
                                      </wps:wsp>
                                      <wps:wsp>
                                        <wps:cNvPr id="23825" name="Straight Connector 20960"/>
                                        <wps:cNvCnPr>
                                          <a:cxnSpLocks noChangeShapeType="1"/>
                                        </wps:cNvCnPr>
                                        <wps:spPr bwMode="auto">
                                          <a:xfrm flipH="1">
                                            <a:off x="20050" y="2457"/>
                                            <a:ext cx="1092" cy="1334"/>
                                          </a:xfrm>
                                          <a:prstGeom prst="line">
                                            <a:avLst/>
                                          </a:prstGeom>
                                          <a:noFill/>
                                          <a:ln w="19050">
                                            <a:solidFill>
                                              <a:srgbClr val="000000"/>
                                            </a:solidFill>
                                            <a:miter lim="800000"/>
                                            <a:headEnd/>
                                            <a:tailEnd/>
                                          </a:ln>
                                        </wps:spPr>
                                        <wps:bodyPr/>
                                      </wps:wsp>
                                      <wps:wsp>
                                        <wps:cNvPr id="23826" name="Straight Connector 20961"/>
                                        <wps:cNvCnPr>
                                          <a:cxnSpLocks noChangeShapeType="1"/>
                                        </wps:cNvCnPr>
                                        <wps:spPr bwMode="auto">
                                          <a:xfrm flipH="1">
                                            <a:off x="24336" y="2933"/>
                                            <a:ext cx="616" cy="902"/>
                                          </a:xfrm>
                                          <a:prstGeom prst="line">
                                            <a:avLst/>
                                          </a:prstGeom>
                                          <a:noFill/>
                                          <a:ln w="19050">
                                            <a:solidFill>
                                              <a:srgbClr val="000000"/>
                                            </a:solidFill>
                                            <a:miter lim="800000"/>
                                            <a:headEnd/>
                                            <a:tailEnd/>
                                          </a:ln>
                                        </wps:spPr>
                                        <wps:bodyPr/>
                                      </wps:wsp>
                                      <wps:wsp>
                                        <wps:cNvPr id="23827" name="Straight Connector 20962"/>
                                        <wps:cNvCnPr>
                                          <a:cxnSpLocks noChangeShapeType="1"/>
                                        </wps:cNvCnPr>
                                        <wps:spPr bwMode="auto">
                                          <a:xfrm flipH="1">
                                            <a:off x="25050" y="3267"/>
                                            <a:ext cx="426" cy="565"/>
                                          </a:xfrm>
                                          <a:prstGeom prst="line">
                                            <a:avLst/>
                                          </a:prstGeom>
                                          <a:noFill/>
                                          <a:ln w="19050">
                                            <a:solidFill>
                                              <a:srgbClr val="000000"/>
                                            </a:solidFill>
                                            <a:miter lim="800000"/>
                                            <a:headEnd/>
                                            <a:tailEnd/>
                                          </a:ln>
                                        </wps:spPr>
                                        <wps:bodyPr/>
                                      </wps:wsp>
                                    </wpg:grpSp>
                                  </wpg:grpSp>
                                  <wpg:grpSp>
                                    <wpg:cNvPr id="23828" name="Group 20963"/>
                                    <wpg:cNvGrpSpPr>
                                      <a:grpSpLocks/>
                                    </wpg:cNvGrpSpPr>
                                    <wpg:grpSpPr bwMode="auto">
                                      <a:xfrm>
                                        <a:off x="17907" y="426"/>
                                        <a:ext cx="9144" cy="10889"/>
                                        <a:chOff x="17907" y="426"/>
                                        <a:chExt cx="9144" cy="10889"/>
                                      </a:xfrm>
                                    </wpg:grpSpPr>
                                    <wpg:grpSp>
                                      <wpg:cNvPr id="23829" name="Group 20964"/>
                                      <wpg:cNvGrpSpPr>
                                        <a:grpSpLocks/>
                                      </wpg:cNvGrpSpPr>
                                      <wpg:grpSpPr bwMode="auto">
                                        <a:xfrm>
                                          <a:off x="17907" y="426"/>
                                          <a:ext cx="9144" cy="10889"/>
                                          <a:chOff x="17907" y="426"/>
                                          <a:chExt cx="9144" cy="10889"/>
                                        </a:xfrm>
                                      </wpg:grpSpPr>
                                      <wps:wsp>
                                        <wps:cNvPr id="23830" name="Rectangle 20965"/>
                                        <wps:cNvSpPr>
                                          <a:spLocks noChangeArrowheads="1"/>
                                        </wps:cNvSpPr>
                                        <wps:spPr bwMode="auto">
                                          <a:xfrm>
                                            <a:off x="23764" y="426"/>
                                            <a:ext cx="2473" cy="2174"/>
                                          </a:xfrm>
                                          <a:prstGeom prst="rect">
                                            <a:avLst/>
                                          </a:prstGeom>
                                          <a:noFill/>
                                          <a:ln>
                                            <a:noFill/>
                                          </a:ln>
                                        </wps:spPr>
                                        <wps:txbx>
                                          <w:txbxContent>
                                            <w:p w14:paraId="69EC6B96"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-1½</w:t>
                                              </w:r>
                                            </w:p>
                                          </w:txbxContent>
                                        </wps:txbx>
                                        <wps:bodyPr rot="0" vert="horz" wrap="square" lIns="0" tIns="0" rIns="0" bIns="0" anchor="ctr" anchorCtr="0" upright="1">
                                          <a:noAutofit/>
                                        </wps:bodyPr>
                                      </wps:wsp>
                                      <wps:wsp>
                                        <wps:cNvPr id="23831" name="Oval 20966"/>
                                        <wps:cNvSpPr>
                                          <a:spLocks noChangeArrowheads="1"/>
                                        </wps:cNvSpPr>
                                        <wps:spPr bwMode="auto">
                                          <a:xfrm>
                                            <a:off x="17907" y="2171"/>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s:wsp>
                                      <wps:cNvPr id="23832" name="Rectangle 20967"/>
                                      <wps:cNvSpPr>
                                        <a:spLocks noChangeArrowheads="1"/>
                                      </wps:cNvSpPr>
                                      <wps:spPr bwMode="auto">
                                        <a:xfrm>
                                          <a:off x="18251" y="426"/>
                                          <a:ext cx="3370" cy="2219"/>
                                        </a:xfrm>
                                        <a:prstGeom prst="rect">
                                          <a:avLst/>
                                        </a:prstGeom>
                                        <a:noFill/>
                                        <a:ln>
                                          <a:noFill/>
                                        </a:ln>
                                      </wps:spPr>
                                      <wps:txbx>
                                        <w:txbxContent>
                                          <w:p w14:paraId="2DE84D2F"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-1½</w:t>
                                            </w:r>
                                          </w:p>
                                        </w:txbxContent>
                                      </wps:txbx>
                                      <wps:bodyPr rot="0" vert="horz" wrap="square" lIns="0" tIns="0" rIns="0" bIns="0" anchor="ctr" anchorCtr="0" upright="1">
                                        <a:noAutofit/>
                                      </wps:bodyPr>
                                    </wps:wsp>
                                  </wpg:grpSp>
                                  <wpg:grpSp>
                                    <wpg:cNvPr id="23833" name="Group 20968"/>
                                    <wpg:cNvGrpSpPr>
                                      <a:grpSpLocks/>
                                    </wpg:cNvGrpSpPr>
                                    <wpg:grpSpPr bwMode="auto">
                                      <a:xfrm rot="10800000">
                                        <a:off x="19097" y="8642"/>
                                        <a:ext cx="7140" cy="2623"/>
                                        <a:chOff x="19097" y="8642"/>
                                        <a:chExt cx="7139" cy="2628"/>
                                      </a:xfrm>
                                    </wpg:grpSpPr>
                                    <wps:wsp>
                                      <wps:cNvPr id="23834" name="Straight Connector 20969"/>
                                      <wps:cNvCnPr>
                                        <a:cxnSpLocks noChangeShapeType="1"/>
                                      </wps:cNvCnPr>
                                      <wps:spPr bwMode="auto">
                                        <a:xfrm rot="10800000" flipH="1">
                                          <a:off x="19097" y="10166"/>
                                          <a:ext cx="7140" cy="1104"/>
                                        </a:xfrm>
                                        <a:prstGeom prst="line">
                                          <a:avLst/>
                                        </a:prstGeom>
                                        <a:noFill/>
                                        <a:ln w="6350">
                                          <a:solidFill>
                                            <a:srgbClr val="000000"/>
                                          </a:solidFill>
                                          <a:miter lim="800000"/>
                                          <a:headEnd/>
                                          <a:tailEnd/>
                                        </a:ln>
                                      </wps:spPr>
                                      <wps:bodyPr/>
                                    </wps:wsp>
                                    <wpg:grpSp>
                                      <wpg:cNvPr id="23835" name="Group 20970"/>
                                      <wpg:cNvGrpSpPr>
                                        <a:grpSpLocks/>
                                      </wpg:cNvGrpSpPr>
                                      <wpg:grpSpPr bwMode="auto">
                                        <a:xfrm>
                                          <a:off x="19606" y="8642"/>
                                          <a:ext cx="6199" cy="2628"/>
                                          <a:chOff x="19606" y="8642"/>
                                          <a:chExt cx="6199" cy="2628"/>
                                        </a:xfrm>
                                      </wpg:grpSpPr>
                                      <wps:wsp>
                                        <wps:cNvPr id="23836" name="Straight Connector 20971"/>
                                        <wps:cNvCnPr>
                                          <a:cxnSpLocks noChangeShapeType="1"/>
                                        </wps:cNvCnPr>
                                        <wps:spPr bwMode="auto">
                                          <a:xfrm flipH="1">
                                            <a:off x="22046" y="8689"/>
                                            <a:ext cx="1238" cy="1524"/>
                                          </a:xfrm>
                                          <a:prstGeom prst="line">
                                            <a:avLst/>
                                          </a:prstGeom>
                                          <a:noFill/>
                                          <a:ln w="19050">
                                            <a:solidFill>
                                              <a:srgbClr val="000000"/>
                                            </a:solidFill>
                                            <a:miter lim="800000"/>
                                            <a:headEnd/>
                                            <a:tailEnd/>
                                          </a:ln>
                                        </wps:spPr>
                                        <wps:bodyPr/>
                                      </wps:wsp>
                                      <wps:wsp>
                                        <wps:cNvPr id="23837" name="Straight Connector 20972"/>
                                        <wps:cNvCnPr>
                                          <a:cxnSpLocks noChangeShapeType="1"/>
                                        </wps:cNvCnPr>
                                        <wps:spPr bwMode="auto">
                                          <a:xfrm flipH="1">
                                            <a:off x="22903" y="8689"/>
                                            <a:ext cx="1188" cy="1524"/>
                                          </a:xfrm>
                                          <a:prstGeom prst="line">
                                            <a:avLst/>
                                          </a:prstGeom>
                                          <a:noFill/>
                                          <a:ln w="19050">
                                            <a:solidFill>
                                              <a:srgbClr val="000000"/>
                                            </a:solidFill>
                                            <a:miter lim="800000"/>
                                            <a:headEnd/>
                                            <a:tailEnd/>
                                          </a:ln>
                                        </wps:spPr>
                                        <wps:bodyPr/>
                                      </wps:wsp>
                                      <wps:wsp>
                                        <wps:cNvPr id="23838" name="Straight Connector 20973"/>
                                        <wps:cNvCnPr>
                                          <a:cxnSpLocks noChangeShapeType="1"/>
                                        </wps:cNvCnPr>
                                        <wps:spPr bwMode="auto">
                                          <a:xfrm rot="10800000" flipV="1">
                                            <a:off x="20826" y="8642"/>
                                            <a:ext cx="1649" cy="2200"/>
                                          </a:xfrm>
                                          <a:prstGeom prst="line">
                                            <a:avLst/>
                                          </a:prstGeom>
                                          <a:noFill/>
                                          <a:ln w="19050">
                                            <a:solidFill>
                                              <a:srgbClr val="000000"/>
                                            </a:solidFill>
                                            <a:miter lim="800000"/>
                                            <a:headEnd/>
                                            <a:tailEnd/>
                                          </a:ln>
                                        </wps:spPr>
                                        <wps:bodyPr/>
                                      </wps:wsp>
                                      <wps:wsp>
                                        <wps:cNvPr id="23839" name="Straight Connector 20974"/>
                                        <wps:cNvCnPr>
                                          <a:cxnSpLocks noChangeShapeType="1"/>
                                        </wps:cNvCnPr>
                                        <wps:spPr bwMode="auto">
                                          <a:xfrm flipH="1">
                                            <a:off x="23808" y="8975"/>
                                            <a:ext cx="902" cy="1187"/>
                                          </a:xfrm>
                                          <a:prstGeom prst="line">
                                            <a:avLst/>
                                          </a:prstGeom>
                                          <a:noFill/>
                                          <a:ln w="19050">
                                            <a:solidFill>
                                              <a:srgbClr val="000000"/>
                                            </a:solidFill>
                                            <a:miter lim="800000"/>
                                            <a:headEnd/>
                                            <a:tailEnd/>
                                          </a:ln>
                                        </wps:spPr>
                                        <wps:bodyPr/>
                                      </wps:wsp>
                                      <wps:wsp>
                                        <wps:cNvPr id="23840" name="Straight Connector 20975"/>
                                        <wps:cNvCnPr>
                                          <a:cxnSpLocks noChangeShapeType="1"/>
                                        </wps:cNvCnPr>
                                        <wps:spPr bwMode="auto">
                                          <a:xfrm rot="10800000" flipV="1">
                                            <a:off x="19606" y="8832"/>
                                            <a:ext cx="1865" cy="2438"/>
                                          </a:xfrm>
                                          <a:prstGeom prst="line">
                                            <a:avLst/>
                                          </a:prstGeom>
                                          <a:noFill/>
                                          <a:ln w="19050">
                                            <a:solidFill>
                                              <a:srgbClr val="000000"/>
                                            </a:solidFill>
                                            <a:miter lim="800000"/>
                                            <a:headEnd/>
                                            <a:tailEnd/>
                                          </a:ln>
                                        </wps:spPr>
                                        <wps:bodyPr/>
                                      </wps:wsp>
                                      <wps:wsp>
                                        <wps:cNvPr id="23841" name="Straight Connector 20976"/>
                                        <wps:cNvCnPr>
                                          <a:cxnSpLocks noChangeShapeType="1"/>
                                        </wps:cNvCnPr>
                                        <wps:spPr bwMode="auto">
                                          <a:xfrm flipH="1">
                                            <a:off x="24665" y="9308"/>
                                            <a:ext cx="616" cy="902"/>
                                          </a:xfrm>
                                          <a:prstGeom prst="line">
                                            <a:avLst/>
                                          </a:prstGeom>
                                          <a:noFill/>
                                          <a:ln w="19050">
                                            <a:solidFill>
                                              <a:srgbClr val="000000"/>
                                            </a:solidFill>
                                            <a:miter lim="800000"/>
                                            <a:headEnd/>
                                            <a:tailEnd/>
                                          </a:ln>
                                        </wps:spPr>
                                        <wps:bodyPr/>
                                      </wps:wsp>
                                      <wps:wsp>
                                        <wps:cNvPr id="23842" name="Straight Connector 20977"/>
                                        <wps:cNvCnPr>
                                          <a:cxnSpLocks noChangeShapeType="1"/>
                                        </wps:cNvCnPr>
                                        <wps:spPr bwMode="auto">
                                          <a:xfrm flipH="1">
                                            <a:off x="25380" y="9642"/>
                                            <a:ext cx="425" cy="565"/>
                                          </a:xfrm>
                                          <a:prstGeom prst="line">
                                            <a:avLst/>
                                          </a:prstGeom>
                                          <a:noFill/>
                                          <a:ln w="19050">
                                            <a:solidFill>
                                              <a:srgbClr val="000000"/>
                                            </a:solidFill>
                                            <a:miter lim="800000"/>
                                            <a:headEnd/>
                                            <a:tailEnd/>
                                          </a:ln>
                                        </wps:spPr>
                                        <wps:bodyPr/>
                                      </wps:wsp>
                                    </wpg:grpSp>
                                  </wpg:grpSp>
                                  <wpg:grpSp>
                                    <wpg:cNvPr id="23843" name="Group 20978"/>
                                    <wpg:cNvGrpSpPr>
                                      <a:grpSpLocks/>
                                    </wpg:cNvGrpSpPr>
                                    <wpg:grpSpPr bwMode="auto">
                                      <a:xfrm rot="-5400000">
                                        <a:off x="16565" y="5679"/>
                                        <a:ext cx="6083" cy="2215"/>
                                        <a:chOff x="15910" y="5784"/>
                                        <a:chExt cx="6953" cy="2215"/>
                                      </a:xfrm>
                                    </wpg:grpSpPr>
                                    <wps:wsp>
                                      <wps:cNvPr id="23844" name="Straight Connector 20979"/>
                                      <wps:cNvCnPr>
                                        <a:cxnSpLocks noChangeShapeType="1"/>
                                      </wps:cNvCnPr>
                                      <wps:spPr bwMode="auto">
                                        <a:xfrm>
                                          <a:off x="15910" y="7757"/>
                                          <a:ext cx="6953" cy="0"/>
                                        </a:xfrm>
                                        <a:prstGeom prst="line">
                                          <a:avLst/>
                                        </a:prstGeom>
                                        <a:noFill/>
                                        <a:ln w="6350">
                                          <a:solidFill>
                                            <a:srgbClr val="000000"/>
                                          </a:solidFill>
                                          <a:miter lim="800000"/>
                                          <a:headEnd/>
                                          <a:tailEnd/>
                                        </a:ln>
                                      </wps:spPr>
                                      <wps:bodyPr/>
                                    </wps:wsp>
                                    <wpg:grpSp>
                                      <wpg:cNvPr id="23845" name="Group 20980"/>
                                      <wpg:cNvGrpSpPr>
                                        <a:grpSpLocks/>
                                      </wpg:cNvGrpSpPr>
                                      <wpg:grpSpPr bwMode="auto">
                                        <a:xfrm>
                                          <a:off x="16778" y="5784"/>
                                          <a:ext cx="5898" cy="2215"/>
                                          <a:chOff x="16778" y="5784"/>
                                          <a:chExt cx="5897" cy="2215"/>
                                        </a:xfrm>
                                      </wpg:grpSpPr>
                                      <wps:wsp>
                                        <wps:cNvPr id="23846" name="Straight Connector 20981"/>
                                        <wps:cNvCnPr>
                                          <a:cxnSpLocks noChangeShapeType="1"/>
                                        </wps:cNvCnPr>
                                        <wps:spPr bwMode="auto">
                                          <a:xfrm rot="5400000">
                                            <a:off x="18187" y="6032"/>
                                            <a:ext cx="1926" cy="1523"/>
                                          </a:xfrm>
                                          <a:prstGeom prst="line">
                                            <a:avLst/>
                                          </a:prstGeom>
                                          <a:noFill/>
                                          <a:ln w="19050">
                                            <a:solidFill>
                                              <a:srgbClr val="000000"/>
                                            </a:solidFill>
                                            <a:miter lim="800000"/>
                                            <a:headEnd/>
                                            <a:tailEnd/>
                                          </a:ln>
                                        </wps:spPr>
                                        <wps:bodyPr/>
                                      </wps:wsp>
                                      <wps:wsp>
                                        <wps:cNvPr id="23847" name="Straight Connector 20982"/>
                                        <wps:cNvCnPr>
                                          <a:cxnSpLocks noChangeShapeType="1"/>
                                        </wps:cNvCnPr>
                                        <wps:spPr bwMode="auto">
                                          <a:xfrm rot="5400000">
                                            <a:off x="19065" y="6105"/>
                                            <a:ext cx="1926" cy="1378"/>
                                          </a:xfrm>
                                          <a:prstGeom prst="line">
                                            <a:avLst/>
                                          </a:prstGeom>
                                          <a:noFill/>
                                          <a:ln w="19050">
                                            <a:solidFill>
                                              <a:srgbClr val="000000"/>
                                            </a:solidFill>
                                            <a:miter lim="800000"/>
                                            <a:headEnd/>
                                            <a:tailEnd/>
                                          </a:ln>
                                        </wps:spPr>
                                        <wps:bodyPr/>
                                      </wps:wsp>
                                      <wps:wsp>
                                        <wps:cNvPr id="23848" name="Straight Connector 20983"/>
                                        <wps:cNvCnPr>
                                          <a:cxnSpLocks noChangeShapeType="1"/>
                                        </wps:cNvCnPr>
                                        <wps:spPr bwMode="auto">
                                          <a:xfrm rot="5400000">
                                            <a:off x="17319" y="5975"/>
                                            <a:ext cx="1973" cy="1591"/>
                                          </a:xfrm>
                                          <a:prstGeom prst="line">
                                            <a:avLst/>
                                          </a:prstGeom>
                                          <a:noFill/>
                                          <a:ln w="19050">
                                            <a:solidFill>
                                              <a:srgbClr val="000000"/>
                                            </a:solidFill>
                                            <a:miter lim="800000"/>
                                            <a:headEnd/>
                                            <a:tailEnd/>
                                          </a:ln>
                                        </wps:spPr>
                                        <wps:bodyPr/>
                                      </wps:wsp>
                                      <wps:wsp>
                                        <wps:cNvPr id="23849" name="Straight Connector 20984"/>
                                        <wps:cNvCnPr>
                                          <a:cxnSpLocks noChangeShapeType="1"/>
                                        </wps:cNvCnPr>
                                        <wps:spPr bwMode="auto">
                                          <a:xfrm rot="5400000">
                                            <a:off x="20067" y="6253"/>
                                            <a:ext cx="1640" cy="1143"/>
                                          </a:xfrm>
                                          <a:prstGeom prst="line">
                                            <a:avLst/>
                                          </a:prstGeom>
                                          <a:noFill/>
                                          <a:ln w="19050">
                                            <a:solidFill>
                                              <a:srgbClr val="000000"/>
                                            </a:solidFill>
                                            <a:miter lim="800000"/>
                                            <a:headEnd/>
                                            <a:tailEnd/>
                                          </a:ln>
                                        </wps:spPr>
                                        <wps:bodyPr/>
                                      </wps:wsp>
                                      <wps:wsp>
                                        <wps:cNvPr id="23850" name="Straight Connector 20985"/>
                                        <wps:cNvCnPr>
                                          <a:cxnSpLocks noChangeShapeType="1"/>
                                        </wps:cNvCnPr>
                                        <wps:spPr bwMode="auto">
                                          <a:xfrm rot="5400000">
                                            <a:off x="16546" y="6206"/>
                                            <a:ext cx="1783" cy="1320"/>
                                          </a:xfrm>
                                          <a:prstGeom prst="line">
                                            <a:avLst/>
                                          </a:prstGeom>
                                          <a:noFill/>
                                          <a:ln w="19050">
                                            <a:solidFill>
                                              <a:srgbClr val="000000"/>
                                            </a:solidFill>
                                            <a:miter lim="800000"/>
                                            <a:headEnd/>
                                            <a:tailEnd/>
                                          </a:ln>
                                        </wps:spPr>
                                        <wps:bodyPr/>
                                      </wps:wsp>
                                      <wps:wsp>
                                        <wps:cNvPr id="23851" name="Straight Connector 20986"/>
                                        <wps:cNvCnPr>
                                          <a:cxnSpLocks noChangeShapeType="1"/>
                                        </wps:cNvCnPr>
                                        <wps:spPr bwMode="auto">
                                          <a:xfrm rot="5400000">
                                            <a:off x="20763" y="6612"/>
                                            <a:ext cx="1307" cy="983"/>
                                          </a:xfrm>
                                          <a:prstGeom prst="line">
                                            <a:avLst/>
                                          </a:prstGeom>
                                          <a:noFill/>
                                          <a:ln w="19050">
                                            <a:solidFill>
                                              <a:srgbClr val="000000"/>
                                            </a:solidFill>
                                            <a:miter lim="800000"/>
                                            <a:headEnd/>
                                            <a:tailEnd/>
                                          </a:ln>
                                        </wps:spPr>
                                        <wps:bodyPr/>
                                      </wps:wsp>
                                      <wps:wsp>
                                        <wps:cNvPr id="23852" name="Straight Connector 20987"/>
                                        <wps:cNvCnPr>
                                          <a:cxnSpLocks noChangeShapeType="1"/>
                                        </wps:cNvCnPr>
                                        <wps:spPr bwMode="auto">
                                          <a:xfrm rot="5400000">
                                            <a:off x="21520" y="6844"/>
                                            <a:ext cx="1215" cy="1096"/>
                                          </a:xfrm>
                                          <a:prstGeom prst="line">
                                            <a:avLst/>
                                          </a:prstGeom>
                                          <a:noFill/>
                                          <a:ln w="19050">
                                            <a:solidFill>
                                              <a:srgbClr val="000000"/>
                                            </a:solidFill>
                                            <a:miter lim="800000"/>
                                            <a:headEnd/>
                                            <a:tailEnd/>
                                          </a:ln>
                                        </wps:spPr>
                                        <wps:bodyPr/>
                                      </wps:wsp>
                                    </wpg:grpSp>
                                  </wpg:grpSp>
                                </wpg:grpSp>
                                <wps:wsp>
                                  <wps:cNvPr id="23853" name="Rectangle 20988"/>
                                  <wps:cNvSpPr>
                                    <a:spLocks noChangeArrowheads="1"/>
                                  </wps:cNvSpPr>
                                  <wps:spPr bwMode="auto">
                                    <a:xfrm>
                                      <a:off x="21621" y="11410"/>
                                      <a:ext cx="1667" cy="2216"/>
                                    </a:xfrm>
                                    <a:prstGeom prst="rect">
                                      <a:avLst/>
                                    </a:prstGeom>
                                    <a:noFill/>
                                    <a:ln>
                                      <a:noFill/>
                                    </a:ln>
                                  </wps:spPr>
                                  <wps:txbx>
                                    <w:txbxContent>
                                      <w:p w14:paraId="43E5C8EF"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-1</w:t>
                                        </w:r>
                                      </w:p>
                                    </w:txbxContent>
                                  </wps:txbx>
                                  <wps:bodyPr rot="0" vert="horz" wrap="square" lIns="0" tIns="0" rIns="0" bIns="0" anchor="ctr" anchorCtr="0" upright="1">
                                    <a:noAutofit/>
                                  </wps:bodyPr>
                                </wps:wsp>
                              </wpg:grpSp>
                              <wps:wsp>
                                <wps:cNvPr id="23854" name="Rectangle 20989"/>
                                <wps:cNvSpPr>
                                  <a:spLocks noChangeArrowheads="1"/>
                                </wps:cNvSpPr>
                                <wps:spPr bwMode="auto">
                                  <a:xfrm>
                                    <a:off x="24765" y="10648"/>
                                    <a:ext cx="1675" cy="2559"/>
                                  </a:xfrm>
                                  <a:prstGeom prst="rect">
                                    <a:avLst/>
                                  </a:prstGeom>
                                  <a:noFill/>
                                  <a:ln>
                                    <a:noFill/>
                                  </a:ln>
                                </wps:spPr>
                                <wps:txbx>
                                  <w:txbxContent>
                                    <w:p w14:paraId="615A4FE4"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-2</w:t>
                                      </w:r>
                                    </w:p>
                                  </w:txbxContent>
                                </wps:txbx>
                                <wps:bodyPr rot="0" vert="horz" wrap="square" lIns="0" tIns="0" rIns="0" bIns="0" anchor="ctr" anchorCtr="0" upright="1">
                                  <a:noAutofit/>
                                </wps:bodyPr>
                              </wps:wsp>
                            </wpg:grpSp>
                          </wpg:grpSp>
                          <wps:wsp>
                            <wps:cNvPr id="23855" name="Rectangle 20998"/>
                            <wps:cNvSpPr>
                              <a:spLocks noChangeArrowheads="1"/>
                            </wps:cNvSpPr>
                            <wps:spPr bwMode="auto">
                              <a:xfrm>
                                <a:off x="13928" y="4997"/>
                                <a:ext cx="1854" cy="1791"/>
                              </a:xfrm>
                              <a:prstGeom prst="rect">
                                <a:avLst/>
                              </a:prstGeom>
                              <a:noFill/>
                              <a:ln>
                                <a:noFill/>
                              </a:ln>
                            </wps:spPr>
                            <wps:txbx>
                              <w:txbxContent>
                                <w:p w14:paraId="175510D6"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-2</w:t>
                                  </w:r>
                                </w:p>
                              </w:txbxContent>
                            </wps:txbx>
                            <wps:bodyPr rot="0" vert="horz" wrap="square" lIns="0" tIns="0" rIns="0" bIns="0" anchor="ctr" anchorCtr="0" upright="1">
                              <a:noAutofit/>
                            </wps:bodyPr>
                          </wps:wsp>
                        </wpg:grpSp>
                        <wps:wsp>
                          <wps:cNvPr id="23856" name="Rectangle 202"/>
                          <wps:cNvSpPr>
                            <a:spLocks noChangeArrowheads="1"/>
                          </wps:cNvSpPr>
                          <wps:spPr bwMode="auto">
                            <a:xfrm>
                              <a:off x="0" y="4678"/>
                              <a:ext cx="2997" cy="2286"/>
                            </a:xfrm>
                            <a:prstGeom prst="rect">
                              <a:avLst/>
                            </a:prstGeom>
                            <a:noFill/>
                            <a:ln>
                              <a:noFill/>
                            </a:ln>
                          </wps:spPr>
                          <wps:txbx>
                            <w:txbxContent>
                              <w:p w14:paraId="60B7BA37"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- 1</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963EF7" id="Group 23800" o:spid="_x0000_s1582" style="position:absolute;left:0;text-align:left;margin-left:91.25pt;margin-top:2.4pt;width:247.15pt;height:95.9pt;z-index:251649024;mso-position-horizontal-relative:text;mso-position-vertical-relative:text" coordsize="31386,12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">
                <v:rect id="Rectangle 204" o:spid="_x0000_s1583" style="position:absolute;left:28388;top:4465;width:299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" filled="f" stroked="f">
                  <v:textbox inset="0,0,0,0">
                    <w:txbxContent>
                      <w:p w14:paraId="6D9C116A"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 ½</w:t>
                        </w:r>
                      </w:p>
                    </w:txbxContent>
                  </v:textbox>
                </v:rect>
                <v:group id="Group 145" o:spid="_x0000_s1584" style="position:absolute;width:28526;height:12179" coordsize="28526,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">
                  <v:group id="Group 144" o:spid="_x0000_s1585" style="position:absolute;left:3189;width:25337;height:12179" coordsize="25336,12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">
                    <v:group id="Group 71" o:spid="_x0000_s1586" style="position:absolute;width:25336;height:12179" coordsize="27051,1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">
                      <v:group id="Group 20940" o:spid="_x0000_s1587" style="position:absolute;width:9144;height:11340" coordsize="9144,1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">
                        <v:group id="Group 20941" o:spid="_x0000_s1588" style="position:absolute;top:2220;width:9144;height:9144" coordorigin=",2220"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">
                          <v:oval id="Oval 20942" o:spid="_x0000_s1589" style="position:absolute;top:2220;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" filled="f" strokeweight="1pt">
                            <v:stroke joinstyle="miter"/>
                          </v:oval>
                          <v:line id="Straight Connector 20943" o:spid="_x0000_s1590" style="position:absolute;visibility:visible;mso-wrap-style:square" from="1047,3198" to="7804,3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" strokeweight=".5pt">
                            <v:stroke joinstyle="miter"/>
                          </v:line>
                          <v:line id="Straight Connector 20944" o:spid="_x0000_s1591" style="position:absolute;flip:x;visibility:visible;mso-wrap-style:square" from="4238,2362" to="5048,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" strokeweight="1.5pt">
                            <v:stroke joinstyle="miter"/>
                          </v:line>
                          <v:line id="Straight Connector 20945" o:spid="_x0000_s1592" style="position:absolute;flip:x;visibility:visible;mso-wrap-style:square" from="4881,2362" to="5854,3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" strokeweight="1.5pt">
                            <v:stroke joinstyle="miter"/>
                          </v:line>
                          <v:line id="Straight Connector 20946" o:spid="_x0000_s1593" style="position:absolute;flip:x;visibility:visible;mso-wrap-style:square" from="3355,2315" to="4238,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" strokeweight="1.5pt">
                            <v:stroke joinstyle="miter"/>
                          </v:line>
                          <v:line id="Straight Connector 20947" o:spid="_x0000_s1594" style="position:absolute;flip:x;visibility:visible;mso-wrap-style:square" from="6000,2648" to="6473,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" strokeweight="1.5pt">
                            <v:stroke joinstyle="miter"/>
                          </v:line>
                          <v:line id="Straight Connector 20948" o:spid="_x0000_s1595" style="position:absolute;flip:x;visibility:visible;mso-wrap-style:square" from="2542,2505" to="3235,3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" strokeweight="1.5pt">
                            <v:stroke joinstyle="miter"/>
                          </v:line>
                        </v:group>
                        <v:rect id="Rectangle 20949" o:spid="_x0000_s1596" style="position:absolute;left:2762;width:3238;height:2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" filled="f" stroked="f">
                          <v:textbox inset="0,0,0,0">
                            <w:txbxContent>
                              <w:p w14:paraId="5F08A69B" w14:textId="77777777" w:rsidR="00527127" w:rsidRDefault="00527127" w:rsidP="00672F34">
                                <w:pPr>
                                  <w:spacing w:before="0"/>
                                  <w:jc w:val="center"/>
                                  <w:rPr>
                                    <w:rFonts w:ascii="Calibri" w:hAnsi="Calibri" w:cs="Calibri"/>
                                    <w:sz w:val="20"/>
                                    <w:szCs w:val="20"/>
                                    <w:lang w:val="en-US"/>
                                  </w:rPr>
                                </w:pPr>
                                <w:r>
                                  <w:rPr>
                                    <w:rFonts w:ascii="Calibri" w:hAnsi="Calibri" w:cs="Calibri"/>
                                    <w:sz w:val="20"/>
                                    <w:szCs w:val="20"/>
                                    <w:lang w:val="en-US"/>
                                  </w:rPr>
                                  <w:t xml:space="preserve">- ½ </w:t>
                                </w:r>
                              </w:p>
                            </w:txbxContent>
                          </v:textbox>
                        </v:rect>
                      </v:group>
                      <v:group id="Group 20950" o:spid="_x0000_s1597" style="position:absolute;left:17907;top:426;width:9144;height:13200" coordorigin="17907,426" coordsize="9144,1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">
                        <v:group id="Group 20951" o:spid="_x0000_s1598" style="position:absolute;left:17907;top:426;width:9144;height:13200" coordorigin="17907,426" coordsize="9144,1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">
                          <v:group id="Group 20952" o:spid="_x0000_s1599" style="position:absolute;left:17907;top:426;width:9144;height:10876" coordorigin="17907,426"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">
                            <v:group id="Group 20953" o:spid="_x0000_s1600" style="position:absolute;left:18954;top:2267;width:6954;height:1571" coordorigin="18954,2267" coordsize="6953,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">
                              <v:line id="Straight Connector 20954" o:spid="_x0000_s1601" style="position:absolute;visibility:visible;mso-wrap-style:square" from="18954,3791" to="25908,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" strokeweight=".5pt">
                                <v:stroke joinstyle="miter"/>
                              </v:line>
                              <v:group id="Group 20955" o:spid="_x0000_s1602" style="position:absolute;left:20050;top:2267;width:5426;height:1571" coordorigin="20050,2267" coordsize="5426,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">
                                <v:line id="Straight Connector 20956" o:spid="_x0000_s1603" style="position:absolute;flip:x;visibility:visible;mso-wrap-style:square" from="21717,2314" to="22955,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" strokeweight="1.5pt">
                                  <v:stroke joinstyle="miter"/>
                                </v:line>
                                <v:line id="Straight Connector 20957" o:spid="_x0000_s1604" style="position:absolute;flip:x;visibility:visible;mso-wrap-style:square" from="22574,2314" to="23761,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" strokeweight="1.5pt">
                                  <v:stroke joinstyle="miter"/>
                                </v:line>
                                <v:line id="Straight Connector 20958" o:spid="_x0000_s1605" style="position:absolute;flip:x;visibility:visible;mso-wrap-style:square" from="20907,2267" to="22145,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" strokeweight="1.5pt">
                                  <v:stroke joinstyle="miter"/>
                                </v:line>
                                <v:line id="Straight Connector 20959" o:spid="_x0000_s1606" style="position:absolute;flip:x;visibility:visible;mso-wrap-style:square" from="23479,2600" to="24380,3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" strokeweight="1.5pt">
                                  <v:stroke joinstyle="miter"/>
                                </v:line>
                                <v:line id="Straight Connector 20960" o:spid="_x0000_s1607" style="position:absolute;flip:x;visibility:visible;mso-wrap-style:square" from="20050,2457" to="21142,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" strokeweight="1.5pt">
                                  <v:stroke joinstyle="miter"/>
                                </v:line>
                                <v:line id="Straight Connector 20961" o:spid="_x0000_s1608" style="position:absolute;flip:x;visibility:visible;mso-wrap-style:square" from="24336,2933" to="24952,3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" strokeweight="1.5pt">
                                  <v:stroke joinstyle="miter"/>
                                </v:line>
                                <v:line id="Straight Connector 20962" o:spid="_x0000_s1609" style="position:absolute;flip:x;visibility:visible;mso-wrap-style:square" from="25050,3267" to="25476,3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" strokeweight="1.5pt">
                                  <v:stroke joinstyle="miter"/>
                                </v:line>
                              </v:group>
                            </v:group>
                            <v:group id="Group 20963" o:spid="_x0000_s1610" style="position:absolute;left:17907;top:426;width:9144;height:10889" coordorigin="17907,426"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">
                              <v:group id="Group 20964" o:spid="_x0000_s1611" style="position:absolute;left:17907;top:426;width:9144;height:10889" coordorigin="17907,426"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">
                                <v:rect id="Rectangle 20965" o:spid="_x0000_s1612" style="position:absolute;left:23764;top:426;width:2473;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" filled="f" stroked="f">
                                  <v:textbox inset="0,0,0,0">
                                    <w:txbxContent>
                                      <w:p w14:paraId="69EC6B96"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-1½</w:t>
                                        </w:r>
                                      </w:p>
                                    </w:txbxContent>
                                  </v:textbox>
                                </v:rect>
                                <v:oval id="Oval 20966" o:spid="_x0000_s1613" style="position:absolute;left:17907;top:217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" filled="f" strokeweight="1pt">
                                  <v:stroke joinstyle="miter"/>
                                </v:oval>
                              </v:group>
                              <v:rect id="Rectangle 20967" o:spid="_x0000_s1614" style="position:absolute;left:18251;top:426;width:3370;height: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" filled="f" stroked="f">
                                <v:textbox inset="0,0,0,0">
                                  <w:txbxContent>
                                    <w:p w14:paraId="2DE84D2F"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-1½</w:t>
                                      </w:r>
                                    </w:p>
                                  </w:txbxContent>
                                </v:textbox>
                              </v:rect>
                            </v:group>
                            <v:group id="Group 20968" o:spid="_x0000_s1615" style="position:absolute;left:19097;top:8642;width:7140;height:2623;rotation:180" coordorigin="19097,8642" coordsize="7139,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">
                              <v:line id="Straight Connector 20969" o:spid="_x0000_s1616" style="position:absolute;rotation:180;flip:x;visibility:visible;mso-wrap-style:square" from="19097,10166" to="26237,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" strokeweight=".5pt">
                                <v:stroke joinstyle="miter"/>
                              </v:line>
                              <v:group id="Group 20970" o:spid="_x0000_s1617" style="position:absolute;left:19606;top:8642;width:6199;height:2628" coordorigin="19606,8642" coordsize="6199,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">
                                <v:line id="Straight Connector 20971" o:spid="_x0000_s1618" style="position:absolute;flip:x;visibility:visible;mso-wrap-style:square" from="22046,8689" to="23284,10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" strokeweight="1.5pt">
                                  <v:stroke joinstyle="miter"/>
                                </v:line>
                                <v:line id="Straight Connector 20972" o:spid="_x0000_s1619" style="position:absolute;flip:x;visibility:visible;mso-wrap-style:square" from="22903,8689" to="24091,10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" strokeweight="1.5pt">
                                  <v:stroke joinstyle="miter"/>
                                </v:line>
                                <v:line id="Straight Connector 20973" o:spid="_x0000_s1620" style="position:absolute;rotation:180;flip:y;visibility:visible;mso-wrap-style:square" from="20826,8642" to="22475,10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" strokeweight="1.5pt">
                                  <v:stroke joinstyle="miter"/>
                                </v:line>
                                <v:line id="Straight Connector 20974" o:spid="_x0000_s1621" style="position:absolute;flip:x;visibility:visible;mso-wrap-style:square" from="23808,8975" to="24710,10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" strokeweight="1.5pt">
                                  <v:stroke joinstyle="miter"/>
                                </v:line>
                                <v:line id="Straight Connector 20975" o:spid="_x0000_s1622" style="position:absolute;rotation:180;flip:y;visibility:visible;mso-wrap-style:square" from="19606,8832" to="21471,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" strokeweight="1.5pt">
                                  <v:stroke joinstyle="miter"/>
                                </v:line>
                                <v:line id="Straight Connector 20976" o:spid="_x0000_s1623" style="position:absolute;flip:x;visibility:visible;mso-wrap-style:square" from="24665,9308" to="25281,10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" strokeweight="1.5pt">
                                  <v:stroke joinstyle="miter"/>
                                </v:line>
                                <v:line id="Straight Connector 20977" o:spid="_x0000_s1624" style="position:absolute;flip:x;visibility:visible;mso-wrap-style:square" from="25380,9642" to="25805,10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" strokeweight="1.5pt">
                                  <v:stroke joinstyle="miter"/>
                                </v:line>
                              </v:group>
                            </v:group>
                            <v:group id="Group 20978" o:spid="_x0000_s1625" style="position:absolute;left:16565;top:5679;width:6083;height:2215;rotation:-90" coordorigin="15910,5784" coordsize="6953,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">
                              <v:line id="Straight Connector 20979" o:spid="_x0000_s1626" style="position:absolute;visibility:visible;mso-wrap-style:square" from="15910,7757" to="22863,7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" strokeweight=".5pt">
                                <v:stroke joinstyle="miter"/>
                              </v:line>
                              <v:group id="Group 20980" o:spid="_x0000_s1627" style="position:absolute;left:16778;top:5784;width:5898;height:2215" coordorigin="16778,5784" coordsize="5897,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">
                                <v:line id="Straight Connector 20981" o:spid="_x0000_s1628" style="position:absolute;rotation:90;visibility:visible;mso-wrap-style:square" from="18187,6032" to="20113,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" strokeweight="1.5pt">
                                  <v:stroke joinstyle="miter"/>
                                </v:line>
                                <v:line id="Straight Connector 20982" o:spid="_x0000_s1629" style="position:absolute;rotation:90;visibility:visible;mso-wrap-style:square" from="19065,6105" to="20991,7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" strokeweight="1.5pt">
                                  <v:stroke joinstyle="miter"/>
                                </v:line>
                                <v:line id="Straight Connector 20983" o:spid="_x0000_s1630" style="position:absolute;rotation:90;visibility:visible;mso-wrap-style:square" from="17319,5975" to="19292,7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" strokeweight="1.5pt">
                                  <v:stroke joinstyle="miter"/>
                                </v:line>
                                <v:line id="Straight Connector 20984" o:spid="_x0000_s1631" style="position:absolute;rotation:90;visibility:visible;mso-wrap-style:square" from="20067,6253" to="21707,7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" strokeweight="1.5pt">
                                  <v:stroke joinstyle="miter"/>
                                </v:line>
                                <v:line id="Straight Connector 20985" o:spid="_x0000_s1632" style="position:absolute;rotation:90;visibility:visible;mso-wrap-style:square" from="16546,6206" to="18329,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" strokeweight="1.5pt">
                                  <v:stroke joinstyle="miter"/>
                                </v:line>
                                <v:line id="Straight Connector 20986" o:spid="_x0000_s1633" style="position:absolute;rotation:90;visibility:visible;mso-wrap-style:square" from="20763,6612" to="22070,7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" strokeweight="1.5pt">
                                  <v:stroke joinstyle="miter"/>
                                </v:line>
                                <v:line id="Straight Connector 20987" o:spid="_x0000_s1634" style="position:absolute;rotation:90;visibility:visible;mso-wrap-style:square" from="21520,6844" to="22735,7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" strokeweight="1.5pt">
                                  <v:stroke joinstyle="miter"/>
                                </v:line>
                              </v:group>
                            </v:group>
                          </v:group>
                          <v:rect id="Rectangle 20988" o:spid="_x0000_s1635" style="position:absolute;left:21621;top:11410;width:1667;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" filled="f" stroked="f">
                            <v:textbox inset="0,0,0,0">
                              <w:txbxContent>
                                <w:p w14:paraId="43E5C8EF"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-1</w:t>
                                  </w:r>
                                </w:p>
                              </w:txbxContent>
                            </v:textbox>
                          </v:rect>
                        </v:group>
                        <v:rect id="Rectangle 20989" o:spid="_x0000_s1636" style="position:absolute;left:24765;top:10648;width:1675;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" filled="f" stroked="f">
                          <v:textbox inset="0,0,0,0">
                            <w:txbxContent>
                              <w:p w14:paraId="615A4FE4"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-2</w:t>
                                </w:r>
                              </w:p>
                            </w:txbxContent>
                          </v:textbox>
                        </v:rect>
                      </v:group>
                    </v:group>
                    <v:rect id="Rectangle 20998" o:spid="_x0000_s1637" style="position:absolute;left:13928;top:4997;width:1854;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" filled="f" stroked="f">
                      <v:textbox inset="0,0,0,0">
                        <w:txbxContent>
                          <w:p w14:paraId="175510D6"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-2</w:t>
                            </w:r>
                          </w:p>
                        </w:txbxContent>
                      </v:textbox>
                    </v:rect>
                  </v:group>
                  <v:rect id="Rectangle 202" o:spid="_x0000_s1638" style="position:absolute;top:4678;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" filled="f" stroked="f">
                    <v:textbox inset="0,0,0,0">
                      <w:txbxContent>
                        <w:p w14:paraId="60B7BA37"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- 1</w:t>
                          </w:r>
                        </w:p>
                      </w:txbxContent>
                    </v:textbox>
                  </v:rect>
                </v:group>
              </v:group>
            </w:pict>
          </mc:Fallback>
        </mc:AlternateContent>
      </w:r>
    </w:p>
    <w:p w14:paraId="1BD1F551" w14:textId="08234C63" w:rsidR="004808A2" w:rsidRPr="009D4627" w:rsidRDefault="00A2792E" w:rsidP="00752D64">
      <w:pPr>
        <w:spacing w:before="0" w:line="240" w:lineRule="auto"/>
        <w:rPr>
          <w:rFonts w:eastAsia="Calibri"/>
          <w:b/>
          <w:bCs/>
          <w:color w:val="000000"/>
          <w:szCs w:val="22"/>
          <w:lang w:val="en-MY"/>
        </w:rPr>
      </w:pPr>
      <w:r w:rsidRPr="009D4627">
        <w:rPr>
          <w:noProof/>
        </w:rPr>
        <mc:AlternateContent>
          <mc:Choice Requires="wps">
            <w:drawing>
              <wp:anchor distT="0" distB="0" distL="114298" distR="114298" simplePos="0" relativeHeight="251651072" behindDoc="0" locked="0" layoutInCell="1" allowOverlap="1" wp14:anchorId="4164E663" wp14:editId="7432E492">
                <wp:simplePos x="0" y="0"/>
                <wp:positionH relativeFrom="column">
                  <wp:posOffset>1292859</wp:posOffset>
                </wp:positionH>
                <wp:positionV relativeFrom="paragraph">
                  <wp:posOffset>278765</wp:posOffset>
                </wp:positionV>
                <wp:extent cx="542925" cy="0"/>
                <wp:effectExtent l="0" t="266700" r="0" b="266700"/>
                <wp:wrapNone/>
                <wp:docPr id="23799" name="Straight Connector 237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a:off x="0" y="0"/>
                          <a:ext cx="54292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7AB052A" id="Straight Connector 23799" o:spid="_x0000_s1026" style="position:absolute;rotation:-90;z-index:2516510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01.8pt,21.95pt" to="144.5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" strokecolor="windowText" strokeweight=".5pt">
                <v:stroke joinstyle="miter"/>
                <o:lock v:ext="edit" shapetype="f"/>
              </v:line>
            </w:pict>
          </mc:Fallback>
        </mc:AlternateContent>
      </w:r>
      <w:r w:rsidRPr="009D4627">
        <w:rPr>
          <w:noProof/>
        </w:rPr>
        <mc:AlternateContent>
          <mc:Choice Requires="wps">
            <w:drawing>
              <wp:anchor distT="0" distB="0" distL="114300" distR="114300" simplePos="0" relativeHeight="251652096" behindDoc="0" locked="0" layoutInCell="1" allowOverlap="1" wp14:anchorId="2CD2FCAF" wp14:editId="5F77BD8F">
                <wp:simplePos x="0" y="0"/>
                <wp:positionH relativeFrom="column">
                  <wp:posOffset>1504950</wp:posOffset>
                </wp:positionH>
                <wp:positionV relativeFrom="paragraph">
                  <wp:posOffset>332740</wp:posOffset>
                </wp:positionV>
                <wp:extent cx="90805" cy="106680"/>
                <wp:effectExtent l="0" t="0" r="4445" b="7620"/>
                <wp:wrapNone/>
                <wp:docPr id="23798" name="Straight Connector 237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0805" cy="10668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8260AF1" id="Straight Connector 23798"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5pt,26.2pt" to="125.65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53120" behindDoc="0" locked="0" layoutInCell="1" allowOverlap="1" wp14:anchorId="7027BC81" wp14:editId="0FAFEEFE">
                <wp:simplePos x="0" y="0"/>
                <wp:positionH relativeFrom="column">
                  <wp:posOffset>1495425</wp:posOffset>
                </wp:positionH>
                <wp:positionV relativeFrom="paragraph">
                  <wp:posOffset>224155</wp:posOffset>
                </wp:positionV>
                <wp:extent cx="90805" cy="106680"/>
                <wp:effectExtent l="0" t="0" r="4445" b="7620"/>
                <wp:wrapNone/>
                <wp:docPr id="23797" name="Straight Connector 237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0805" cy="10668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74B02C0" id="Straight Connector 23797"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5pt,17.65pt" to="124.9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54144" behindDoc="0" locked="0" layoutInCell="1" allowOverlap="1" wp14:anchorId="410725D0" wp14:editId="6B704A28">
                <wp:simplePos x="0" y="0"/>
                <wp:positionH relativeFrom="column">
                  <wp:posOffset>1476375</wp:posOffset>
                </wp:positionH>
                <wp:positionV relativeFrom="paragraph">
                  <wp:posOffset>147955</wp:posOffset>
                </wp:positionV>
                <wp:extent cx="90805" cy="106680"/>
                <wp:effectExtent l="0" t="0" r="4445" b="7620"/>
                <wp:wrapNone/>
                <wp:docPr id="23796" name="Straight Connector 237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0805" cy="10668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C3ED1E7" id="Straight Connector 23796"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25pt,11.65pt" to="123.4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50048" behindDoc="0" locked="0" layoutInCell="1" allowOverlap="1" wp14:anchorId="57114513" wp14:editId="4DD9D019">
                <wp:simplePos x="0" y="0"/>
                <wp:positionH relativeFrom="column">
                  <wp:posOffset>2052320</wp:posOffset>
                </wp:positionH>
                <wp:positionV relativeFrom="paragraph">
                  <wp:posOffset>295275</wp:posOffset>
                </wp:positionV>
                <wp:extent cx="440690" cy="11430"/>
                <wp:effectExtent l="0" t="209550" r="0" b="217170"/>
                <wp:wrapNone/>
                <wp:docPr id="23795" name="Straight Connector 237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V="1">
                          <a:off x="0" y="0"/>
                          <a:ext cx="440690" cy="1143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61DCE3" id="Straight Connector 23795" o:spid="_x0000_s1026" style="position:absolute;rotation:90;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pt,23.25pt" to="196.3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" strokecolor="windowText" strokeweight=".5pt">
                <v:stroke joinstyle="miter"/>
                <o:lock v:ext="edit" shapetype="f"/>
              </v:line>
            </w:pict>
          </mc:Fallback>
        </mc:AlternateContent>
      </w:r>
      <w:r w:rsidRPr="009D4627">
        <w:rPr>
          <w:noProof/>
        </w:rPr>
        <mc:AlternateContent>
          <mc:Choice Requires="wps">
            <w:drawing>
              <wp:anchor distT="0" distB="0" distL="114300" distR="114300" simplePos="0" relativeHeight="251656192" behindDoc="0" locked="0" layoutInCell="1" allowOverlap="1" wp14:anchorId="1449A3CB" wp14:editId="38113AC1">
                <wp:simplePos x="0" y="0"/>
                <wp:positionH relativeFrom="column">
                  <wp:posOffset>2266950</wp:posOffset>
                </wp:positionH>
                <wp:positionV relativeFrom="paragraph">
                  <wp:posOffset>262255</wp:posOffset>
                </wp:positionV>
                <wp:extent cx="66675" cy="78105"/>
                <wp:effectExtent l="0" t="0" r="9525" b="17145"/>
                <wp:wrapNone/>
                <wp:docPr id="23794" name="Straight Connector 237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288D6C" id="Straight Connector 23794"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20.65pt" to="183.7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57216" behindDoc="0" locked="0" layoutInCell="1" allowOverlap="1" wp14:anchorId="546E1072" wp14:editId="0807D8A1">
                <wp:simplePos x="0" y="0"/>
                <wp:positionH relativeFrom="column">
                  <wp:posOffset>2257425</wp:posOffset>
                </wp:positionH>
                <wp:positionV relativeFrom="paragraph">
                  <wp:posOffset>176530</wp:posOffset>
                </wp:positionV>
                <wp:extent cx="66675" cy="78105"/>
                <wp:effectExtent l="0" t="0" r="9525" b="17145"/>
                <wp:wrapNone/>
                <wp:docPr id="23793" name="Straight Connector 237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3E492E2" id="Straight Connector 23793"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3.9pt" to="18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648000" behindDoc="0" locked="0" layoutInCell="1" allowOverlap="1" wp14:anchorId="2A414E99" wp14:editId="300E5C26">
                <wp:simplePos x="0" y="0"/>
                <wp:positionH relativeFrom="column">
                  <wp:posOffset>2324100</wp:posOffset>
                </wp:positionH>
                <wp:positionV relativeFrom="paragraph">
                  <wp:posOffset>161290</wp:posOffset>
                </wp:positionV>
                <wp:extent cx="299720" cy="228600"/>
                <wp:effectExtent l="0" t="0" r="0" b="0"/>
                <wp:wrapThrough wrapText="bothSides">
                  <wp:wrapPolygon edited="0">
                    <wp:start x="0" y="0"/>
                    <wp:lineTo x="0" y="19800"/>
                    <wp:lineTo x="20593" y="19800"/>
                    <wp:lineTo x="20593" y="0"/>
                    <wp:lineTo x="0" y="0"/>
                  </wp:wrapPolygon>
                </wp:wrapThrough>
                <wp:docPr id="23792" name="Rectangle 23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720" cy="228600"/>
                        </a:xfrm>
                        <a:prstGeom prst="rect">
                          <a:avLst/>
                        </a:prstGeom>
                        <a:noFill/>
                        <a:ln w="12700" cap="flat" cmpd="sng" algn="ctr">
                          <a:noFill/>
                          <a:prstDash val="solid"/>
                          <a:miter lim="800000"/>
                        </a:ln>
                        <a:effectLst/>
                      </wps:spPr>
                      <wps:txbx>
                        <w:txbxContent>
                          <w:p w14:paraId="036FA866"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 ½</w:t>
                            </w:r>
                          </w:p>
                        </w:txbxContent>
                      </wps:txbx>
                      <wps:bodyPr rot="0" spcFirstLastPara="0" vertOverflow="clip"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A414E99" id="Rectangle 23792" o:spid="_x0000_s1639" style="position:absolute;left:0;text-align:left;margin-left:183pt;margin-top:12.7pt;width:23.6pt;height:1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" filled="f" stroked="f" strokeweight="1pt">
                <v:textbox inset="0,0,0,0">
                  <w:txbxContent>
                    <w:p w14:paraId="036FA866" w14:textId="77777777" w:rsidR="00527127" w:rsidRDefault="00527127" w:rsidP="00007DB6">
                      <w:pPr>
                        <w:spacing w:before="0"/>
                        <w:jc w:val="center"/>
                        <w:rPr>
                          <w:rFonts w:ascii="Calibri" w:hAnsi="Calibri" w:cs="Calibri"/>
                          <w:sz w:val="20"/>
                          <w:szCs w:val="20"/>
                          <w:lang w:val="en-US"/>
                        </w:rPr>
                      </w:pPr>
                      <w:r>
                        <w:rPr>
                          <w:rFonts w:ascii="Calibri" w:hAnsi="Calibri" w:cs="Calibri"/>
                          <w:sz w:val="20"/>
                          <w:szCs w:val="20"/>
                          <w:lang w:val="en-US"/>
                        </w:rPr>
                        <w:t>- ½</w:t>
                      </w:r>
                    </w:p>
                  </w:txbxContent>
                </v:textbox>
                <w10:wrap type="through"/>
              </v:rect>
            </w:pict>
          </mc:Fallback>
        </mc:AlternateContent>
      </w:r>
      <w:r w:rsidRPr="009D4627">
        <w:rPr>
          <w:noProof/>
        </w:rPr>
        <mc:AlternateContent>
          <mc:Choice Requires="wps">
            <w:drawing>
              <wp:anchor distT="0" distB="0" distL="114300" distR="114300" simplePos="0" relativeHeight="251655168" behindDoc="0" locked="0" layoutInCell="1" allowOverlap="1" wp14:anchorId="76FCEDE0" wp14:editId="31F1F878">
                <wp:simplePos x="0" y="0"/>
                <wp:positionH relativeFrom="column">
                  <wp:posOffset>2266315</wp:posOffset>
                </wp:positionH>
                <wp:positionV relativeFrom="paragraph">
                  <wp:posOffset>357505</wp:posOffset>
                </wp:positionV>
                <wp:extent cx="66675" cy="78105"/>
                <wp:effectExtent l="0" t="0" r="9525" b="17145"/>
                <wp:wrapNone/>
                <wp:docPr id="23791" name="Straight Connector 237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B4B960" id="Straight Connector 23791"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45pt,28.15pt" to="183.7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" strokecolor="windowText" strokeweight="1.5pt">
                <v:stroke joinstyle="miter"/>
                <o:lock v:ext="edit" shapetype="f"/>
              </v:line>
            </w:pict>
          </mc:Fallback>
        </mc:AlternateContent>
      </w:r>
    </w:p>
    <w:p w14:paraId="60BCE16A" w14:textId="77777777" w:rsidR="004808A2" w:rsidRPr="009D4627" w:rsidRDefault="004808A2" w:rsidP="00752D64">
      <w:pPr>
        <w:spacing w:before="0" w:line="240" w:lineRule="auto"/>
        <w:rPr>
          <w:rFonts w:eastAsia="Calibri"/>
          <w:b/>
          <w:bCs/>
          <w:color w:val="000000"/>
          <w:szCs w:val="22"/>
          <w:lang w:val="en-MY"/>
        </w:rPr>
      </w:pPr>
    </w:p>
    <w:p w14:paraId="49209A2A" w14:textId="6E637788" w:rsidR="004808A2" w:rsidRPr="009D4627" w:rsidRDefault="004808A2" w:rsidP="00752D64">
      <w:pPr>
        <w:spacing w:before="0" w:line="240" w:lineRule="auto"/>
        <w:rPr>
          <w:rFonts w:eastAsia="Calibri"/>
          <w:b/>
          <w:bCs/>
          <w:color w:val="000000"/>
          <w:szCs w:val="22"/>
          <w:lang w:val="en-MY"/>
        </w:rPr>
      </w:pPr>
    </w:p>
    <w:p w14:paraId="02C7245D" w14:textId="37B7DB53" w:rsidR="004808A2" w:rsidRPr="009D4627" w:rsidRDefault="004808A2" w:rsidP="00752D64">
      <w:pPr>
        <w:spacing w:before="0" w:line="240" w:lineRule="auto"/>
        <w:rPr>
          <w:rFonts w:eastAsia="Calibri"/>
          <w:bCs/>
          <w:color w:val="000000"/>
          <w:szCs w:val="22"/>
          <w:lang w:val="en-MY"/>
        </w:rPr>
      </w:pPr>
      <w:r w:rsidRPr="009D4627">
        <w:rPr>
          <w:rFonts w:eastAsia="Calibri"/>
          <w:b/>
          <w:bCs/>
          <w:color w:val="000000"/>
          <w:szCs w:val="22"/>
          <w:lang w:val="en-MY"/>
        </w:rPr>
        <w:t>Convergence:</w:t>
      </w:r>
      <w:r w:rsidRPr="009D4627">
        <w:rPr>
          <w:rFonts w:eastAsia="Calibri"/>
          <w:bCs/>
          <w:color w:val="000000"/>
          <w:szCs w:val="22"/>
          <w:lang w:val="en-MY"/>
        </w:rPr>
        <w:t xml:space="preserve"> </w:t>
      </w:r>
      <w:r w:rsidR="00672F34" w:rsidRPr="009D4627">
        <w:rPr>
          <w:rFonts w:eastAsia="Calibri"/>
          <w:bCs/>
          <w:color w:val="000000"/>
          <w:szCs w:val="22"/>
          <w:lang w:val="en-MY"/>
        </w:rPr>
        <w:tab/>
      </w:r>
      <w:r w:rsidRPr="009D4627">
        <w:rPr>
          <w:rFonts w:eastAsia="Calibri"/>
          <w:bCs/>
          <w:color w:val="000000"/>
          <w:szCs w:val="22"/>
          <w:lang w:val="en-MY"/>
        </w:rPr>
        <w:t xml:space="preserve">with glasses </w:t>
      </w:r>
      <w:r w:rsidRPr="009D4627">
        <w:rPr>
          <w:rFonts w:eastAsia="Calibri"/>
          <w:bCs/>
          <w:color w:val="000000"/>
          <w:szCs w:val="22"/>
          <w:lang w:val="en-MY"/>
        </w:rPr>
        <w:tab/>
        <w:t>binocular to 8</w:t>
      </w:r>
      <w:r w:rsidR="00672F34" w:rsidRPr="009D4627">
        <w:rPr>
          <w:rFonts w:eastAsia="Calibri"/>
          <w:bCs/>
          <w:color w:val="000000"/>
          <w:szCs w:val="22"/>
          <w:lang w:val="en-MY"/>
        </w:rPr>
        <w:t xml:space="preserve"> </w:t>
      </w:r>
      <w:r w:rsidRPr="009D4627">
        <w:rPr>
          <w:rFonts w:eastAsia="Calibri"/>
          <w:bCs/>
          <w:color w:val="000000"/>
          <w:szCs w:val="22"/>
          <w:lang w:val="en-MY"/>
        </w:rPr>
        <w:t>cm then LE diverges</w:t>
      </w:r>
      <w:r w:rsidRPr="009D4627">
        <w:rPr>
          <w:rFonts w:eastAsia="Calibri"/>
          <w:bCs/>
          <w:color w:val="000000"/>
          <w:szCs w:val="22"/>
          <w:lang w:val="en-MY"/>
        </w:rPr>
        <w:tab/>
      </w:r>
      <w:r w:rsidRPr="009D4627">
        <w:rPr>
          <w:rFonts w:eastAsia="Calibri"/>
          <w:bCs/>
          <w:color w:val="000000"/>
          <w:szCs w:val="22"/>
          <w:lang w:val="en-MY"/>
        </w:rPr>
        <w:tab/>
      </w:r>
      <w:r w:rsidRPr="009D4627">
        <w:rPr>
          <w:rFonts w:eastAsia="Calibri"/>
          <w:bCs/>
          <w:color w:val="000000"/>
          <w:szCs w:val="22"/>
          <w:lang w:val="en-MY"/>
        </w:rPr>
        <w:tab/>
      </w:r>
      <w:r w:rsidRPr="009D4627">
        <w:rPr>
          <w:rFonts w:eastAsia="Calibri"/>
          <w:bCs/>
          <w:color w:val="000000"/>
          <w:szCs w:val="22"/>
          <w:lang w:val="en-MY"/>
        </w:rPr>
        <w:tab/>
      </w:r>
    </w:p>
    <w:p w14:paraId="2CCAB4DD" w14:textId="75192270" w:rsidR="004808A2" w:rsidRPr="009D4627" w:rsidRDefault="004808A2" w:rsidP="00752D64">
      <w:pPr>
        <w:spacing w:before="0" w:line="240" w:lineRule="auto"/>
        <w:rPr>
          <w:rFonts w:eastAsia="Calibri"/>
          <w:bCs/>
          <w:color w:val="000000"/>
          <w:szCs w:val="22"/>
          <w:lang w:val="en-MY"/>
        </w:rPr>
      </w:pPr>
      <w:r w:rsidRPr="009D4627">
        <w:rPr>
          <w:rFonts w:eastAsia="Calibri"/>
          <w:b/>
          <w:bCs/>
          <w:color w:val="000000"/>
          <w:szCs w:val="22"/>
          <w:lang w:val="en-MY"/>
        </w:rPr>
        <w:t>Frisby:</w:t>
      </w:r>
      <w:r w:rsidRPr="009D4627">
        <w:rPr>
          <w:rFonts w:eastAsia="Calibri"/>
          <w:bCs/>
          <w:color w:val="000000"/>
          <w:szCs w:val="22"/>
          <w:lang w:val="en-MY"/>
        </w:rPr>
        <w:t xml:space="preserve"> </w:t>
      </w:r>
      <w:r w:rsidR="00672F34" w:rsidRPr="009D4627">
        <w:rPr>
          <w:rFonts w:eastAsia="Calibri"/>
          <w:bCs/>
          <w:color w:val="000000"/>
          <w:szCs w:val="22"/>
          <w:lang w:val="en-MY"/>
        </w:rPr>
        <w:tab/>
      </w:r>
      <w:r w:rsidR="00672F34" w:rsidRPr="009D4627">
        <w:rPr>
          <w:rFonts w:eastAsia="Calibri"/>
          <w:bCs/>
          <w:color w:val="000000"/>
          <w:szCs w:val="22"/>
          <w:lang w:val="en-MY"/>
        </w:rPr>
        <w:tab/>
      </w:r>
      <w:r w:rsidRPr="009D4627">
        <w:rPr>
          <w:rFonts w:eastAsia="Calibri"/>
          <w:bCs/>
          <w:color w:val="000000"/>
          <w:szCs w:val="22"/>
          <w:lang w:val="en-MY"/>
        </w:rPr>
        <w:t xml:space="preserve">with glasses </w:t>
      </w:r>
      <w:r w:rsidRPr="009D4627">
        <w:rPr>
          <w:rFonts w:eastAsia="Calibri"/>
          <w:bCs/>
          <w:color w:val="000000"/>
          <w:szCs w:val="22"/>
          <w:lang w:val="en-MY"/>
        </w:rPr>
        <w:tab/>
        <w:t>+</w:t>
      </w:r>
      <w:proofErr w:type="spellStart"/>
      <w:r w:rsidRPr="009D4627">
        <w:rPr>
          <w:rFonts w:eastAsia="Calibri"/>
          <w:bCs/>
          <w:color w:val="000000"/>
          <w:szCs w:val="22"/>
          <w:lang w:val="en-MY"/>
        </w:rPr>
        <w:t>ve</w:t>
      </w:r>
      <w:proofErr w:type="spellEnd"/>
    </w:p>
    <w:p w14:paraId="77895B26" w14:textId="33D2C40C" w:rsidR="004808A2" w:rsidRPr="009D4627" w:rsidRDefault="00672F34" w:rsidP="00752D64">
      <w:pPr>
        <w:spacing w:before="0" w:after="0" w:line="240" w:lineRule="auto"/>
        <w:rPr>
          <w:rFonts w:eastAsia="Calibri"/>
          <w:bCs/>
          <w:color w:val="000000"/>
          <w:szCs w:val="22"/>
          <w:lang w:val="en-MY"/>
        </w:rPr>
      </w:pPr>
      <w:r w:rsidRPr="009D4627">
        <w:rPr>
          <w:rFonts w:eastAsia="Calibri"/>
          <w:b/>
          <w:color w:val="000000"/>
          <w:szCs w:val="22"/>
          <w:lang w:val="en-MY"/>
        </w:rPr>
        <w:t>PCT</w:t>
      </w:r>
      <w:r w:rsidR="004808A2" w:rsidRPr="009D4627">
        <w:rPr>
          <w:rFonts w:eastAsia="Calibri"/>
          <w:b/>
          <w:color w:val="000000"/>
          <w:szCs w:val="22"/>
          <w:lang w:val="en-MY"/>
        </w:rPr>
        <w:t>:</w:t>
      </w:r>
      <w:r w:rsidRPr="009D4627">
        <w:rPr>
          <w:rFonts w:eastAsia="Calibri"/>
          <w:b/>
          <w:color w:val="000000"/>
          <w:szCs w:val="22"/>
          <w:lang w:val="en-MY"/>
        </w:rPr>
        <w:tab/>
      </w:r>
      <w:r w:rsidRPr="009D4627">
        <w:rPr>
          <w:rFonts w:eastAsia="Calibri"/>
          <w:b/>
          <w:color w:val="000000"/>
          <w:szCs w:val="22"/>
          <w:lang w:val="en-MY"/>
        </w:rPr>
        <w:tab/>
      </w:r>
      <w:r w:rsidR="004808A2" w:rsidRPr="009D4627">
        <w:rPr>
          <w:rFonts w:eastAsia="Calibri"/>
          <w:bCs/>
          <w:color w:val="000000"/>
          <w:szCs w:val="22"/>
          <w:lang w:val="en-MY"/>
        </w:rPr>
        <w:t>with glasses 1/3 m 16</w:t>
      </w:r>
      <w:r w:rsidR="004808A2" w:rsidRPr="009D4627">
        <w:rPr>
          <w:rFonts w:eastAsia="Calibri"/>
          <w:bCs/>
          <w:color w:val="000000"/>
          <w:szCs w:val="22"/>
          <w:vertAlign w:val="superscript"/>
          <w:lang w:val="en-US"/>
        </w:rPr>
        <w:t>Δ</w:t>
      </w:r>
      <w:r w:rsidR="004808A2" w:rsidRPr="009D4627">
        <w:rPr>
          <w:rFonts w:eastAsia="Calibri"/>
          <w:bCs/>
          <w:color w:val="000000"/>
          <w:szCs w:val="22"/>
          <w:lang w:val="en-MY"/>
        </w:rPr>
        <w:t xml:space="preserve"> X 3</w:t>
      </w:r>
      <w:r w:rsidR="004808A2" w:rsidRPr="009D4627">
        <w:rPr>
          <w:rFonts w:eastAsia="Calibri"/>
          <w:bCs/>
          <w:color w:val="000000"/>
          <w:szCs w:val="22"/>
          <w:vertAlign w:val="superscript"/>
          <w:lang w:val="en-US"/>
        </w:rPr>
        <w:t>Δ</w:t>
      </w:r>
      <w:r w:rsidR="004808A2" w:rsidRPr="009D4627">
        <w:rPr>
          <w:rFonts w:eastAsia="Calibri"/>
          <w:bCs/>
          <w:color w:val="000000"/>
          <w:szCs w:val="22"/>
          <w:lang w:val="en-MY"/>
        </w:rPr>
        <w:t xml:space="preserve"> LH</w:t>
      </w:r>
    </w:p>
    <w:p w14:paraId="6B7AC1FB" w14:textId="207E997B" w:rsidR="004808A2" w:rsidRPr="009D4627" w:rsidRDefault="004808A2" w:rsidP="00752D64">
      <w:pPr>
        <w:spacing w:before="0" w:after="0" w:line="240" w:lineRule="auto"/>
        <w:ind w:left="1440"/>
        <w:rPr>
          <w:rFonts w:eastAsia="Calibri"/>
          <w:bCs/>
          <w:color w:val="000000"/>
          <w:szCs w:val="22"/>
          <w:lang w:val="en-US"/>
        </w:rPr>
      </w:pPr>
      <w:r w:rsidRPr="009D4627">
        <w:rPr>
          <w:rFonts w:eastAsia="Calibri"/>
          <w:bCs/>
          <w:color w:val="000000"/>
          <w:szCs w:val="22"/>
          <w:lang w:val="en-MY"/>
        </w:rPr>
        <w:t>without glasses 6</w:t>
      </w:r>
      <w:r w:rsidR="00672F34" w:rsidRPr="009D4627">
        <w:rPr>
          <w:rFonts w:eastAsia="Calibri"/>
          <w:bCs/>
          <w:color w:val="000000"/>
          <w:szCs w:val="22"/>
          <w:lang w:val="en-MY"/>
        </w:rPr>
        <w:t xml:space="preserve"> </w:t>
      </w:r>
      <w:r w:rsidRPr="009D4627">
        <w:rPr>
          <w:rFonts w:eastAsia="Calibri"/>
          <w:bCs/>
          <w:color w:val="000000"/>
          <w:szCs w:val="22"/>
          <w:lang w:val="en-MY"/>
        </w:rPr>
        <w:t xml:space="preserve">m  </w:t>
      </w:r>
    </w:p>
    <w:p w14:paraId="5F7099B7" w14:textId="57AC3E92" w:rsidR="004808A2" w:rsidRPr="009D4627" w:rsidRDefault="004808A2" w:rsidP="00752D64">
      <w:pPr>
        <w:spacing w:before="0" w:after="0" w:line="240" w:lineRule="auto"/>
        <w:ind w:left="1440"/>
        <w:rPr>
          <w:rFonts w:eastAsia="Calibri"/>
          <w:bCs/>
          <w:color w:val="000000"/>
          <w:szCs w:val="22"/>
          <w:lang w:val="en-US"/>
        </w:rPr>
      </w:pPr>
    </w:p>
    <w:p w14:paraId="7DC5F218" w14:textId="3B66633F" w:rsidR="004808A2" w:rsidRPr="009D4627" w:rsidRDefault="00A2792E" w:rsidP="00752D64">
      <w:pPr>
        <w:spacing w:before="0" w:after="0" w:line="240" w:lineRule="auto"/>
        <w:ind w:left="1440"/>
        <w:rPr>
          <w:rFonts w:eastAsia="Calibri"/>
          <w:bCs/>
          <w:color w:val="000000"/>
          <w:szCs w:val="22"/>
          <w:lang w:val="en-MY"/>
        </w:rPr>
      </w:pPr>
      <w:r w:rsidRPr="009D4627">
        <w:rPr>
          <w:noProof/>
        </w:rPr>
        <mc:AlternateContent>
          <mc:Choice Requires="wpg">
            <w:drawing>
              <wp:anchor distT="0" distB="0" distL="114300" distR="114300" simplePos="0" relativeHeight="251646976" behindDoc="0" locked="0" layoutInCell="1" allowOverlap="1" wp14:anchorId="05BA43BB" wp14:editId="2AD5E531">
                <wp:simplePos x="0" y="0"/>
                <wp:positionH relativeFrom="margin">
                  <wp:posOffset>1724025</wp:posOffset>
                </wp:positionH>
                <wp:positionV relativeFrom="paragraph">
                  <wp:posOffset>12700</wp:posOffset>
                </wp:positionV>
                <wp:extent cx="2983865" cy="186055"/>
                <wp:effectExtent l="0" t="0" r="0" b="4445"/>
                <wp:wrapThrough wrapText="bothSides">
                  <wp:wrapPolygon edited="0">
                    <wp:start x="0" y="0"/>
                    <wp:lineTo x="0" y="22116"/>
                    <wp:lineTo x="21513" y="22116"/>
                    <wp:lineTo x="21513" y="0"/>
                    <wp:lineTo x="0" y="0"/>
                  </wp:wrapPolygon>
                </wp:wrapThrough>
                <wp:docPr id="23782" name="Group 23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3865" cy="186055"/>
                          <a:chOff x="0" y="0"/>
                          <a:chExt cx="29838" cy="2146"/>
                        </a:xfrm>
                      </wpg:grpSpPr>
                      <wps:wsp>
                        <wps:cNvPr id="23783" name="Rectangle 21002"/>
                        <wps:cNvSpPr>
                          <a:spLocks noChangeArrowheads="1"/>
                        </wps:cNvSpPr>
                        <wps:spPr bwMode="auto">
                          <a:xfrm>
                            <a:off x="10953" y="0"/>
                            <a:ext cx="9144" cy="2146"/>
                          </a:xfrm>
                          <a:prstGeom prst="rect">
                            <a:avLst/>
                          </a:prstGeom>
                          <a:noFill/>
                          <a:ln>
                            <a:noFill/>
                          </a:ln>
                        </wps:spPr>
                        <wps:txbx>
                          <w:txbxContent>
                            <w:p w14:paraId="312734E0" w14:textId="77777777" w:rsidR="00527127" w:rsidRDefault="00527127" w:rsidP="00951418">
                              <w:pPr>
                                <w:spacing w:before="0" w:after="0" w:line="240" w:lineRule="auto"/>
                                <w:jc w:val="center"/>
                                <w:rPr>
                                  <w:rFonts w:ascii="Calibri" w:hAnsi="Calibri" w:cs="Calibri"/>
                                  <w:lang w:val="en-US"/>
                                </w:rPr>
                              </w:pPr>
                              <w:r>
                                <w:rPr>
                                  <w:rFonts w:ascii="Calibri" w:hAnsi="Calibri" w:cs="Calibri"/>
                                  <w:lang w:val="en-US"/>
                                </w:rPr>
                                <w:t>5</w:t>
                              </w:r>
                              <w:r w:rsidRPr="00672F34">
                                <w:rPr>
                                  <w:rFonts w:ascii="Calibri" w:hAnsi="Calibri" w:cs="Calibri"/>
                                  <w:vertAlign w:val="superscript"/>
                                  <w:lang w:val="en-US"/>
                                </w:rPr>
                                <w:t>Δ</w:t>
                              </w:r>
                              <w:r>
                                <w:rPr>
                                  <w:rFonts w:ascii="Calibri" w:hAnsi="Calibri" w:cs="Calibri"/>
                                  <w:lang w:val="en-US"/>
                                </w:rPr>
                                <w:t xml:space="preserve"> XT</w:t>
                              </w:r>
                            </w:p>
                          </w:txbxContent>
                        </wps:txbx>
                        <wps:bodyPr rot="0" vert="horz" wrap="square" lIns="0" tIns="0" rIns="0" bIns="0" anchor="ctr" anchorCtr="0" upright="1">
                          <a:spAutoFit/>
                        </wps:bodyPr>
                      </wps:wsp>
                      <wpg:grpSp>
                        <wpg:cNvPr id="23784" name="Group 21003"/>
                        <wpg:cNvGrpSpPr>
                          <a:grpSpLocks/>
                        </wpg:cNvGrpSpPr>
                        <wpg:grpSpPr bwMode="auto">
                          <a:xfrm>
                            <a:off x="0" y="0"/>
                            <a:ext cx="29838" cy="2146"/>
                            <a:chOff x="0" y="0"/>
                            <a:chExt cx="29838" cy="2146"/>
                          </a:xfrm>
                        </wpg:grpSpPr>
                        <wpg:grpSp>
                          <wpg:cNvPr id="23785" name="Group 21004"/>
                          <wpg:cNvGrpSpPr>
                            <a:grpSpLocks/>
                          </wpg:cNvGrpSpPr>
                          <wpg:grpSpPr bwMode="auto">
                            <a:xfrm>
                              <a:off x="19050" y="0"/>
                              <a:ext cx="10788" cy="2146"/>
                              <a:chOff x="19050" y="0"/>
                              <a:chExt cx="10788" cy="2146"/>
                            </a:xfrm>
                          </wpg:grpSpPr>
                          <wps:wsp>
                            <wps:cNvPr id="23786" name="Rectangle 21005"/>
                            <wps:cNvSpPr>
                              <a:spLocks noChangeArrowheads="1"/>
                            </wps:cNvSpPr>
                            <wps:spPr bwMode="auto">
                              <a:xfrm>
                                <a:off x="20694" y="0"/>
                                <a:ext cx="9144" cy="2146"/>
                              </a:xfrm>
                              <a:prstGeom prst="rect">
                                <a:avLst/>
                              </a:prstGeom>
                              <a:noFill/>
                              <a:ln>
                                <a:noFill/>
                              </a:ln>
                            </wps:spPr>
                            <wps:txbx>
                              <w:txbxContent>
                                <w:p w14:paraId="482440FA" w14:textId="77777777" w:rsidR="00527127" w:rsidRDefault="00527127" w:rsidP="00951418">
                                  <w:pPr>
                                    <w:spacing w:before="0" w:after="0" w:line="240" w:lineRule="auto"/>
                                    <w:jc w:val="center"/>
                                    <w:rPr>
                                      <w:rFonts w:ascii="Calibri" w:hAnsi="Calibri" w:cs="Calibri"/>
                                      <w:lang w:val="en-US"/>
                                    </w:rPr>
                                  </w:pPr>
                                  <w:r>
                                    <w:rPr>
                                      <w:rFonts w:ascii="Calibri" w:hAnsi="Calibri" w:cs="Calibri"/>
                                      <w:lang w:val="en-US"/>
                                    </w:rPr>
                                    <w:t>0</w:t>
                                  </w:r>
                                  <w:r w:rsidRPr="00672F34">
                                    <w:rPr>
                                      <w:rFonts w:ascii="Calibri" w:hAnsi="Calibri" w:cs="Calibri"/>
                                      <w:vertAlign w:val="superscript"/>
                                      <w:lang w:val="en-US"/>
                                    </w:rPr>
                                    <w:t>Δ</w:t>
                                  </w:r>
                                  <w:r>
                                    <w:rPr>
                                      <w:rFonts w:ascii="Calibri" w:hAnsi="Calibri" w:cs="Calibri"/>
                                      <w:lang w:val="en-US"/>
                                    </w:rPr>
                                    <w:t xml:space="preserve"> </w:t>
                                  </w:r>
                                </w:p>
                              </w:txbxContent>
                            </wps:txbx>
                            <wps:bodyPr rot="0" vert="horz" wrap="square" lIns="0" tIns="0" rIns="0" bIns="0" anchor="ctr" anchorCtr="0" upright="1">
                              <a:spAutoFit/>
                            </wps:bodyPr>
                          </wps:wsp>
                          <wps:wsp>
                            <wps:cNvPr id="23787" name="Straight Arrow Connector 21006"/>
                            <wps:cNvCnPr>
                              <a:cxnSpLocks noChangeShapeType="1"/>
                            </wps:cNvCnPr>
                            <wps:spPr bwMode="auto">
                              <a:xfrm rot="5400000" flipV="1">
                                <a:off x="20526" y="-252"/>
                                <a:ext cx="0" cy="2952"/>
                              </a:xfrm>
                              <a:prstGeom prst="straightConnector1">
                                <a:avLst/>
                              </a:prstGeom>
                              <a:noFill/>
                              <a:ln w="19050">
                                <a:solidFill>
                                  <a:srgbClr val="000000"/>
                                </a:solidFill>
                                <a:miter lim="800000"/>
                                <a:headEnd/>
                                <a:tailEnd type="triangle" w="med" len="med"/>
                              </a:ln>
                            </wps:spPr>
                            <wps:bodyPr/>
                          </wps:wsp>
                        </wpg:grpSp>
                        <wpg:grpSp>
                          <wpg:cNvPr id="23788" name="Group 21007"/>
                          <wpg:cNvGrpSpPr>
                            <a:grpSpLocks/>
                          </wpg:cNvGrpSpPr>
                          <wpg:grpSpPr bwMode="auto">
                            <a:xfrm>
                              <a:off x="0" y="0"/>
                              <a:ext cx="11855" cy="2146"/>
                              <a:chOff x="0" y="0"/>
                              <a:chExt cx="11855" cy="2146"/>
                            </a:xfrm>
                          </wpg:grpSpPr>
                          <wps:wsp>
                            <wps:cNvPr id="23789" name="Rectangle 21008"/>
                            <wps:cNvSpPr>
                              <a:spLocks noChangeArrowheads="1"/>
                            </wps:cNvSpPr>
                            <wps:spPr bwMode="auto">
                              <a:xfrm>
                                <a:off x="0" y="0"/>
                                <a:ext cx="9143" cy="2146"/>
                              </a:xfrm>
                              <a:prstGeom prst="rect">
                                <a:avLst/>
                              </a:prstGeom>
                              <a:noFill/>
                              <a:ln>
                                <a:noFill/>
                              </a:ln>
                            </wps:spPr>
                            <wps:txbx>
                              <w:txbxContent>
                                <w:p w14:paraId="31DD9B3A" w14:textId="77777777" w:rsidR="00527127" w:rsidRDefault="00527127" w:rsidP="00951418">
                                  <w:pPr>
                                    <w:spacing w:before="0" w:after="0" w:line="240" w:lineRule="auto"/>
                                    <w:jc w:val="center"/>
                                    <w:rPr>
                                      <w:rFonts w:ascii="Calibri" w:hAnsi="Calibri" w:cs="Calibri"/>
                                      <w:lang w:val="en-US"/>
                                    </w:rPr>
                                  </w:pPr>
                                  <w:r>
                                    <w:rPr>
                                      <w:rFonts w:ascii="Calibri" w:hAnsi="Calibri" w:cs="Calibri"/>
                                      <w:lang w:val="en-US"/>
                                    </w:rPr>
                                    <w:t>10</w:t>
                                  </w:r>
                                  <w:r w:rsidRPr="00672F34">
                                    <w:rPr>
                                      <w:rFonts w:ascii="Calibri" w:hAnsi="Calibri" w:cs="Calibri"/>
                                      <w:vertAlign w:val="superscript"/>
                                      <w:lang w:val="en-US"/>
                                    </w:rPr>
                                    <w:t>Δ</w:t>
                                  </w:r>
                                  <w:r>
                                    <w:rPr>
                                      <w:rFonts w:ascii="Calibri" w:hAnsi="Calibri" w:cs="Calibri"/>
                                      <w:lang w:val="en-US"/>
                                    </w:rPr>
                                    <w:t xml:space="preserve"> XT</w:t>
                                  </w:r>
                                </w:p>
                              </w:txbxContent>
                            </wps:txbx>
                            <wps:bodyPr rot="0" vert="horz" wrap="square" lIns="0" tIns="0" rIns="0" bIns="0" anchor="ctr" anchorCtr="0" upright="1">
                              <a:spAutoFit/>
                            </wps:bodyPr>
                          </wps:wsp>
                          <wps:wsp>
                            <wps:cNvPr id="23790" name="Straight Arrow Connector 21009"/>
                            <wps:cNvCnPr>
                              <a:cxnSpLocks noChangeShapeType="1"/>
                            </wps:cNvCnPr>
                            <wps:spPr bwMode="auto">
                              <a:xfrm rot="16200000" flipV="1">
                                <a:off x="10379" y="-206"/>
                                <a:ext cx="0" cy="2953"/>
                              </a:xfrm>
                              <a:prstGeom prst="straightConnector1">
                                <a:avLst/>
                              </a:prstGeom>
                              <a:noFill/>
                              <a:ln w="19050">
                                <a:solidFill>
                                  <a:srgbClr val="000000"/>
                                </a:solidFill>
                                <a:miter lim="800000"/>
                                <a:headEnd/>
                                <a:tailEnd type="triangle" w="med" len="med"/>
                              </a:ln>
                            </wps:spPr>
                            <wps:bodyPr/>
                          </wps:wsp>
                        </wpg:grpSp>
                      </wpg:grpSp>
                    </wpg:wgp>
                  </a:graphicData>
                </a:graphic>
                <wp14:sizeRelH relativeFrom="page">
                  <wp14:pctWidth>0</wp14:pctWidth>
                </wp14:sizeRelH>
                <wp14:sizeRelV relativeFrom="margin">
                  <wp14:pctHeight>0</wp14:pctHeight>
                </wp14:sizeRelV>
              </wp:anchor>
            </w:drawing>
          </mc:Choice>
          <mc:Fallback>
            <w:pict>
              <v:group w14:anchorId="05BA43BB" id="Group 23782" o:spid="_x0000_s1640" style="position:absolute;left:0;text-align:left;margin-left:135.75pt;margin-top:1pt;width:234.95pt;height:14.65pt;z-index:251646976;mso-position-horizontal-relative:margin;mso-position-vertical-relative:text;mso-height-relative:margin" coordsize="29838,2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">
                <v:rect id="Rectangle 21002" o:spid="_x0000_s1641" style="position:absolute;left:10953;width:9144;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" filled="f" stroked="f">
                  <v:textbox style="mso-fit-shape-to-text:t" inset="0,0,0,0">
                    <w:txbxContent>
                      <w:p w14:paraId="312734E0" w14:textId="77777777" w:rsidR="00527127" w:rsidRDefault="00527127" w:rsidP="00951418">
                        <w:pPr>
                          <w:spacing w:before="0" w:after="0" w:line="240" w:lineRule="auto"/>
                          <w:jc w:val="center"/>
                          <w:rPr>
                            <w:rFonts w:ascii="Calibri" w:hAnsi="Calibri" w:cs="Calibri"/>
                            <w:lang w:val="en-US"/>
                          </w:rPr>
                        </w:pPr>
                        <w:r>
                          <w:rPr>
                            <w:rFonts w:ascii="Calibri" w:hAnsi="Calibri" w:cs="Calibri"/>
                            <w:lang w:val="en-US"/>
                          </w:rPr>
                          <w:t>5</w:t>
                        </w:r>
                        <w:r w:rsidRPr="00672F34">
                          <w:rPr>
                            <w:rFonts w:ascii="Calibri" w:hAnsi="Calibri" w:cs="Calibri"/>
                            <w:vertAlign w:val="superscript"/>
                            <w:lang w:val="en-US"/>
                          </w:rPr>
                          <w:t>Δ</w:t>
                        </w:r>
                        <w:r>
                          <w:rPr>
                            <w:rFonts w:ascii="Calibri" w:hAnsi="Calibri" w:cs="Calibri"/>
                            <w:lang w:val="en-US"/>
                          </w:rPr>
                          <w:t xml:space="preserve"> XT</w:t>
                        </w:r>
                      </w:p>
                    </w:txbxContent>
                  </v:textbox>
                </v:rect>
                <v:group id="Group 21003" o:spid="_x0000_s1642" style="position:absolute;width:29838;height:2146" coordsize="298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">
                  <v:group id="Group 21004" o:spid="_x0000_s1643" style="position:absolute;left:19050;width:10788;height:2146" coordorigin="19050" coordsize="1078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">
                    <v:rect id="Rectangle 21005" o:spid="_x0000_s1644" style="position:absolute;left:20694;width:9144;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" filled="f" stroked="f">
                      <v:textbox style="mso-fit-shape-to-text:t" inset="0,0,0,0">
                        <w:txbxContent>
                          <w:p w14:paraId="482440FA" w14:textId="77777777" w:rsidR="00527127" w:rsidRDefault="00527127" w:rsidP="00951418">
                            <w:pPr>
                              <w:spacing w:before="0" w:after="0" w:line="240" w:lineRule="auto"/>
                              <w:jc w:val="center"/>
                              <w:rPr>
                                <w:rFonts w:ascii="Calibri" w:hAnsi="Calibri" w:cs="Calibri"/>
                                <w:lang w:val="en-US"/>
                              </w:rPr>
                            </w:pPr>
                            <w:r>
                              <w:rPr>
                                <w:rFonts w:ascii="Calibri" w:hAnsi="Calibri" w:cs="Calibri"/>
                                <w:lang w:val="en-US"/>
                              </w:rPr>
                              <w:t>0</w:t>
                            </w:r>
                            <w:r w:rsidRPr="00672F34">
                              <w:rPr>
                                <w:rFonts w:ascii="Calibri" w:hAnsi="Calibri" w:cs="Calibri"/>
                                <w:vertAlign w:val="superscript"/>
                                <w:lang w:val="en-US"/>
                              </w:rPr>
                              <w:t>Δ</w:t>
                            </w:r>
                            <w:r>
                              <w:rPr>
                                <w:rFonts w:ascii="Calibri" w:hAnsi="Calibri" w:cs="Calibri"/>
                                <w:lang w:val="en-US"/>
                              </w:rPr>
                              <w:t xml:space="preserve"> </w:t>
                            </w:r>
                          </w:p>
                        </w:txbxContent>
                      </v:textbox>
                    </v:rect>
                    <v:shape id="Straight Arrow Connector 21006" o:spid="_x0000_s1645" type="#_x0000_t32" style="position:absolute;left:20526;top:-252;width:0;height:2952;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" strokeweight="1.5pt">
                      <v:stroke endarrow="block" joinstyle="miter"/>
                    </v:shape>
                  </v:group>
                  <v:group id="Group 21007" o:spid="_x0000_s1646" style="position:absolute;width:11855;height:2146" coordsize="11855,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">
                    <v:rect id="Rectangle 21008" o:spid="_x0000_s1647" style="position:absolute;width:9143;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" filled="f" stroked="f">
                      <v:textbox style="mso-fit-shape-to-text:t" inset="0,0,0,0">
                        <w:txbxContent>
                          <w:p w14:paraId="31DD9B3A" w14:textId="77777777" w:rsidR="00527127" w:rsidRDefault="00527127" w:rsidP="00951418">
                            <w:pPr>
                              <w:spacing w:before="0" w:after="0" w:line="240" w:lineRule="auto"/>
                              <w:jc w:val="center"/>
                              <w:rPr>
                                <w:rFonts w:ascii="Calibri" w:hAnsi="Calibri" w:cs="Calibri"/>
                                <w:lang w:val="en-US"/>
                              </w:rPr>
                            </w:pPr>
                            <w:r>
                              <w:rPr>
                                <w:rFonts w:ascii="Calibri" w:hAnsi="Calibri" w:cs="Calibri"/>
                                <w:lang w:val="en-US"/>
                              </w:rPr>
                              <w:t>10</w:t>
                            </w:r>
                            <w:r w:rsidRPr="00672F34">
                              <w:rPr>
                                <w:rFonts w:ascii="Calibri" w:hAnsi="Calibri" w:cs="Calibri"/>
                                <w:vertAlign w:val="superscript"/>
                                <w:lang w:val="en-US"/>
                              </w:rPr>
                              <w:t>Δ</w:t>
                            </w:r>
                            <w:r>
                              <w:rPr>
                                <w:rFonts w:ascii="Calibri" w:hAnsi="Calibri" w:cs="Calibri"/>
                                <w:lang w:val="en-US"/>
                              </w:rPr>
                              <w:t xml:space="preserve"> XT</w:t>
                            </w:r>
                          </w:p>
                        </w:txbxContent>
                      </v:textbox>
                    </v:rect>
                    <v:shape id="Straight Arrow Connector 21009" o:spid="_x0000_s1648" type="#_x0000_t32" style="position:absolute;left:10379;top:-206;width:0;height:295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" strokeweight="1.5pt">
                      <v:stroke endarrow="block" joinstyle="miter"/>
                    </v:shape>
                  </v:group>
                </v:group>
                <w10:wrap type="through" anchorx="margin"/>
              </v:group>
            </w:pict>
          </mc:Fallback>
        </mc:AlternateContent>
      </w:r>
      <w:r w:rsidR="004808A2" w:rsidRPr="009D4627">
        <w:rPr>
          <w:rFonts w:eastAsia="Calibri"/>
          <w:bCs/>
          <w:color w:val="000000"/>
          <w:szCs w:val="22"/>
          <w:lang w:val="en-US"/>
        </w:rPr>
        <w:t xml:space="preserve"> </w:t>
      </w:r>
    </w:p>
    <w:p w14:paraId="2DE58326" w14:textId="77777777" w:rsidR="004808A2" w:rsidRPr="009D4627" w:rsidRDefault="004808A2" w:rsidP="00752D64">
      <w:pPr>
        <w:spacing w:before="0" w:after="0" w:line="240" w:lineRule="auto"/>
        <w:rPr>
          <w:rFonts w:eastAsia="Calibri"/>
          <w:bCs/>
          <w:color w:val="000000"/>
          <w:szCs w:val="22"/>
          <w:lang w:val="en-MY"/>
        </w:rPr>
      </w:pPr>
      <w:r w:rsidRPr="009D4627">
        <w:rPr>
          <w:rFonts w:eastAsia="Calibri"/>
          <w:bCs/>
          <w:color w:val="000000"/>
          <w:szCs w:val="22"/>
          <w:lang w:val="en-MY"/>
        </w:rPr>
        <w:tab/>
      </w:r>
    </w:p>
    <w:p w14:paraId="2D00F64B" w14:textId="77777777" w:rsidR="00951418" w:rsidRPr="009D4627" w:rsidRDefault="00951418" w:rsidP="00951418">
      <w:pPr>
        <w:spacing w:before="0" w:after="0" w:line="240" w:lineRule="auto"/>
        <w:ind w:left="2160" w:hanging="2160"/>
        <w:rPr>
          <w:rFonts w:eastAsia="Calibri"/>
          <w:b/>
          <w:color w:val="000000"/>
          <w:szCs w:val="22"/>
          <w:lang w:val="en-MY"/>
        </w:rPr>
      </w:pPr>
    </w:p>
    <w:p w14:paraId="58E5092B" w14:textId="2DBFAA9C" w:rsidR="004808A2" w:rsidRPr="009D4627" w:rsidRDefault="004808A2" w:rsidP="00752D64">
      <w:pPr>
        <w:spacing w:before="0" w:line="240" w:lineRule="auto"/>
        <w:ind w:left="2160" w:hanging="2160"/>
        <w:rPr>
          <w:rFonts w:eastAsia="Calibri"/>
          <w:bCs/>
          <w:color w:val="000000"/>
          <w:szCs w:val="22"/>
          <w:lang w:val="en-MY"/>
        </w:rPr>
      </w:pPr>
      <w:r w:rsidRPr="009D4627">
        <w:rPr>
          <w:rFonts w:eastAsia="Calibri"/>
          <w:b/>
          <w:color w:val="000000"/>
          <w:szCs w:val="22"/>
          <w:lang w:val="en-MY"/>
        </w:rPr>
        <w:t>Comment &amp; Plan:</w:t>
      </w:r>
      <w:r w:rsidRPr="009D4627">
        <w:rPr>
          <w:rFonts w:eastAsia="Calibri"/>
          <w:bCs/>
          <w:color w:val="000000"/>
          <w:szCs w:val="22"/>
          <w:lang w:val="en-MY"/>
        </w:rPr>
        <w:t xml:space="preserve"> </w:t>
      </w:r>
      <w:r w:rsidRPr="009D4627">
        <w:rPr>
          <w:rFonts w:eastAsia="Calibri"/>
          <w:bCs/>
          <w:color w:val="000000"/>
          <w:szCs w:val="22"/>
          <w:lang w:val="en-MY"/>
        </w:rPr>
        <w:tab/>
        <w:t xml:space="preserve">He is recovering from a left microvascular partial third nerve palsy. He had normal CT scan result, which has ruled out any compressive lesion. He does not have any double vision at </w:t>
      </w:r>
      <w:r w:rsidR="00995715" w:rsidRPr="009D4627">
        <w:rPr>
          <w:rFonts w:eastAsia="Calibri"/>
          <w:bCs/>
          <w:color w:val="000000"/>
          <w:szCs w:val="22"/>
          <w:lang w:val="en-MY"/>
        </w:rPr>
        <w:t>PP</w:t>
      </w:r>
      <w:r w:rsidRPr="009D4627">
        <w:rPr>
          <w:rFonts w:eastAsia="Calibri"/>
          <w:bCs/>
          <w:color w:val="000000"/>
          <w:szCs w:val="22"/>
          <w:lang w:val="en-MY"/>
        </w:rPr>
        <w:t>. He was discharged from the clinic and had been advised to get a proper refraction and updated glasses.</w:t>
      </w:r>
    </w:p>
    <w:p w14:paraId="51B5E574" w14:textId="77777777" w:rsidR="0044412F" w:rsidRPr="009D4627" w:rsidRDefault="0044412F" w:rsidP="00C4130D">
      <w:pPr>
        <w:pStyle w:val="Caption"/>
        <w:sectPr w:rsidR="0044412F" w:rsidRPr="009D4627" w:rsidSect="00477959">
          <w:pgSz w:w="11906" w:h="16838" w:code="9"/>
          <w:pgMar w:top="1440" w:right="1440" w:bottom="1440" w:left="1440" w:header="708" w:footer="708" w:gutter="0"/>
          <w:cols w:space="708"/>
          <w:docGrid w:linePitch="360"/>
        </w:sectPr>
      </w:pPr>
      <w:bookmarkStart w:id="655" w:name="_Toc70087946"/>
      <w:bookmarkStart w:id="656" w:name="_Toc70088061"/>
    </w:p>
    <w:p w14:paraId="4373AFB3" w14:textId="1448619D" w:rsidR="00DC340E" w:rsidRDefault="00565A8C" w:rsidP="00C4130D">
      <w:pPr>
        <w:pStyle w:val="Caption"/>
      </w:pPr>
      <w:bookmarkStart w:id="657" w:name="_Toc99356735"/>
      <w:bookmarkStart w:id="658" w:name="_Toc73355025"/>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3</w:t>
      </w:r>
      <w:r w:rsidR="002E63E9" w:rsidRPr="009D4627">
        <w:rPr>
          <w:noProof/>
        </w:rPr>
        <w:fldChar w:fldCharType="end"/>
      </w:r>
      <w:r w:rsidRPr="009D4627">
        <w:t>:</w:t>
      </w:r>
      <w:r w:rsidR="00CE6626" w:rsidRPr="009D4627">
        <w:t>Patient ID: 3</w:t>
      </w:r>
      <w:bookmarkEnd w:id="657"/>
      <w:r w:rsidR="00CE6626" w:rsidRPr="009D4627">
        <w:t xml:space="preserve"> </w:t>
      </w:r>
      <w:r w:rsidR="00000294" w:rsidRPr="009D4627">
        <w:t xml:space="preserve">               </w:t>
      </w:r>
    </w:p>
    <w:p w14:paraId="4891D711" w14:textId="77777777" w:rsidR="00DC340E" w:rsidRDefault="00CE6626" w:rsidP="00C4130D">
      <w:pPr>
        <w:pStyle w:val="Caption"/>
      </w:pPr>
      <w:r w:rsidRPr="009D4627">
        <w:t>Birth month/year: 05/1946</w:t>
      </w:r>
      <w:r w:rsidRPr="009D4627">
        <w:tab/>
      </w:r>
      <w:r w:rsidRPr="009D4627">
        <w:tab/>
      </w:r>
      <w:r w:rsidR="00000294" w:rsidRPr="009D4627">
        <w:t xml:space="preserve">     </w:t>
      </w:r>
    </w:p>
    <w:p w14:paraId="3722EF57" w14:textId="48282EA2" w:rsidR="00CE6626" w:rsidRPr="009D4627" w:rsidRDefault="00CE6626" w:rsidP="00C4130D">
      <w:pPr>
        <w:pStyle w:val="Caption"/>
        <w:rPr>
          <w:b/>
          <w:szCs w:val="22"/>
        </w:rPr>
      </w:pPr>
      <w:r w:rsidRPr="009D4627">
        <w:t>Age: 72 at onset</w:t>
      </w:r>
    </w:p>
    <w:p w14:paraId="5244AF7A" w14:textId="77777777" w:rsidR="00CE6626" w:rsidRPr="009D4627" w:rsidRDefault="00CE6626" w:rsidP="00CE6626">
      <w:pPr>
        <w:spacing w:before="0" w:after="0" w:line="240" w:lineRule="auto"/>
        <w:rPr>
          <w:b/>
          <w:szCs w:val="22"/>
          <w:lang w:val="en-MY"/>
        </w:rPr>
      </w:pPr>
    </w:p>
    <w:p w14:paraId="300CB11D" w14:textId="77777777" w:rsidR="00CE6626" w:rsidRPr="009D4627" w:rsidRDefault="00CE6626" w:rsidP="00CE6626">
      <w:pPr>
        <w:spacing w:before="0" w:after="0" w:line="240" w:lineRule="auto"/>
        <w:rPr>
          <w:bCs/>
          <w:szCs w:val="22"/>
          <w:u w:val="single"/>
          <w:lang w:val="en-MY"/>
        </w:rPr>
      </w:pPr>
      <w:r w:rsidRPr="009D4627">
        <w:rPr>
          <w:b/>
          <w:szCs w:val="22"/>
          <w:u w:val="single"/>
          <w:lang w:val="en-MY"/>
        </w:rPr>
        <w:t xml:space="preserve">Clinical visit 1: </w:t>
      </w:r>
      <w:r w:rsidRPr="009D4627">
        <w:rPr>
          <w:bCs/>
          <w:szCs w:val="22"/>
          <w:u w:val="single"/>
          <w:lang w:val="en-MY"/>
        </w:rPr>
        <w:t>29/10/2018 (</w:t>
      </w:r>
      <w:r w:rsidRPr="009D4627">
        <w:rPr>
          <w:bCs/>
          <w:color w:val="auto"/>
          <w:szCs w:val="22"/>
          <w:u w:val="single"/>
          <w:lang w:val="en-MY"/>
        </w:rPr>
        <w:t>1 day from onset</w:t>
      </w:r>
      <w:r w:rsidRPr="009D4627">
        <w:rPr>
          <w:bCs/>
          <w:szCs w:val="22"/>
          <w:u w:val="single"/>
          <w:lang w:val="en-MY"/>
        </w:rPr>
        <w:t>) - Orthoptic assessment</w:t>
      </w:r>
    </w:p>
    <w:p w14:paraId="71F37E8C" w14:textId="77777777" w:rsidR="00CE6626" w:rsidRPr="009D4627" w:rsidRDefault="00CE6626" w:rsidP="00CE6626">
      <w:pPr>
        <w:spacing w:before="0" w:after="0" w:line="240" w:lineRule="auto"/>
        <w:rPr>
          <w:bCs/>
          <w:szCs w:val="22"/>
          <w:u w:val="single"/>
          <w:lang w:val="en-MY"/>
        </w:rPr>
      </w:pPr>
    </w:p>
    <w:p w14:paraId="254AB8F9" w14:textId="77777777" w:rsidR="00CE6626" w:rsidRPr="009D4627" w:rsidRDefault="00CE6626" w:rsidP="00CE6626">
      <w:pPr>
        <w:spacing w:before="0" w:after="0" w:line="240" w:lineRule="auto"/>
        <w:ind w:left="851" w:hanging="851"/>
        <w:rPr>
          <w:bCs/>
          <w:szCs w:val="22"/>
          <w:lang w:val="en-MY"/>
        </w:rPr>
      </w:pPr>
      <w:r w:rsidRPr="009D4627">
        <w:rPr>
          <w:b/>
          <w:szCs w:val="22"/>
          <w:lang w:val="en-MY"/>
        </w:rPr>
        <w:t xml:space="preserve">History: </w:t>
      </w:r>
      <w:r w:rsidRPr="009D4627">
        <w:rPr>
          <w:bCs/>
          <w:szCs w:val="22"/>
          <w:lang w:val="en-MY"/>
        </w:rPr>
        <w:t>c/o aware of horizontal and vertical diplopia and droopy RE lid for last day. Associated with headaches and gradually getting worse since onset. Three weeks prior to onset had swelling around RE which spontaneously resolved.</w:t>
      </w:r>
    </w:p>
    <w:p w14:paraId="3EA6E287" w14:textId="77777777" w:rsidR="00CE6626" w:rsidRPr="009D4627" w:rsidRDefault="00CE6626" w:rsidP="00CE6626">
      <w:pPr>
        <w:spacing w:before="0" w:after="0" w:line="240" w:lineRule="auto"/>
        <w:ind w:left="851" w:hanging="131"/>
        <w:rPr>
          <w:b/>
          <w:szCs w:val="22"/>
          <w:lang w:val="en-MY"/>
        </w:rPr>
      </w:pPr>
      <w:r w:rsidRPr="009D4627">
        <w:rPr>
          <w:bCs/>
          <w:szCs w:val="22"/>
          <w:lang w:val="en-MY"/>
        </w:rPr>
        <w:t xml:space="preserve">  </w:t>
      </w:r>
    </w:p>
    <w:p w14:paraId="234D261E" w14:textId="77777777" w:rsidR="00CE6626" w:rsidRPr="009D4627" w:rsidRDefault="00CE6626" w:rsidP="00CE6626">
      <w:pPr>
        <w:spacing w:before="0" w:after="0" w:line="240" w:lineRule="auto"/>
        <w:rPr>
          <w:bCs/>
          <w:szCs w:val="22"/>
          <w:lang w:val="en-MY"/>
        </w:rPr>
      </w:pPr>
      <w:r w:rsidRPr="009D4627">
        <w:rPr>
          <w:b/>
          <w:szCs w:val="22"/>
          <w:lang w:val="en-MY"/>
        </w:rPr>
        <w:t xml:space="preserve">Previous treatment: </w:t>
      </w:r>
      <w:r w:rsidRPr="009D4627">
        <w:rPr>
          <w:bCs/>
          <w:szCs w:val="22"/>
          <w:lang w:val="en-MY"/>
        </w:rPr>
        <w:t>Recent diabetic eye screening</w:t>
      </w:r>
    </w:p>
    <w:p w14:paraId="61BC14E7" w14:textId="77777777" w:rsidR="00CE6626" w:rsidRPr="009D4627" w:rsidRDefault="00CE6626" w:rsidP="00CE6626">
      <w:pPr>
        <w:spacing w:before="0" w:after="0" w:line="240" w:lineRule="auto"/>
        <w:rPr>
          <w:szCs w:val="22"/>
          <w:lang w:val="en-MY"/>
        </w:rPr>
      </w:pPr>
      <w:r w:rsidRPr="009D4627">
        <w:rPr>
          <w:b/>
          <w:szCs w:val="22"/>
          <w:lang w:val="en-MY"/>
        </w:rPr>
        <w:tab/>
      </w:r>
      <w:r w:rsidRPr="009D4627">
        <w:rPr>
          <w:b/>
          <w:szCs w:val="22"/>
          <w:lang w:val="en-MY"/>
        </w:rPr>
        <w:tab/>
        <w:t xml:space="preserve">           </w:t>
      </w:r>
      <w:r w:rsidRPr="009D4627">
        <w:rPr>
          <w:szCs w:val="22"/>
          <w:lang w:val="en-MY"/>
        </w:rPr>
        <w:t>‘Growth’ removed from RE when in early 20’s</w:t>
      </w:r>
    </w:p>
    <w:p w14:paraId="077AD11E" w14:textId="77777777" w:rsidR="00CE6626" w:rsidRPr="009D4627" w:rsidRDefault="00CE6626" w:rsidP="00CE6626">
      <w:pPr>
        <w:spacing w:before="0" w:after="0" w:line="240" w:lineRule="auto"/>
        <w:rPr>
          <w:b/>
          <w:szCs w:val="22"/>
          <w:lang w:val="en-MY"/>
        </w:rPr>
      </w:pPr>
    </w:p>
    <w:p w14:paraId="0DB50E4B" w14:textId="77777777" w:rsidR="00CE6626" w:rsidRPr="009D4627" w:rsidRDefault="00CE6626" w:rsidP="00CE6626">
      <w:pPr>
        <w:spacing w:before="0" w:after="0" w:line="240" w:lineRule="auto"/>
        <w:rPr>
          <w:szCs w:val="22"/>
          <w:lang w:val="en-MY"/>
        </w:rPr>
      </w:pPr>
      <w:r w:rsidRPr="009D4627">
        <w:rPr>
          <w:b/>
          <w:szCs w:val="22"/>
          <w:lang w:val="en-MY"/>
        </w:rPr>
        <w:t xml:space="preserve">General health: </w:t>
      </w:r>
      <w:r w:rsidRPr="009D4627">
        <w:rPr>
          <w:szCs w:val="22"/>
          <w:lang w:val="en-MY"/>
        </w:rPr>
        <w:t xml:space="preserve">Type II diabetes = insulin controlled, taking aspirin. </w:t>
      </w:r>
    </w:p>
    <w:p w14:paraId="75F21508" w14:textId="77777777" w:rsidR="00CE6626" w:rsidRPr="009D4627" w:rsidRDefault="00CE6626" w:rsidP="00CE6626">
      <w:pPr>
        <w:spacing w:before="0" w:after="0" w:line="240" w:lineRule="auto"/>
        <w:rPr>
          <w:b/>
          <w:szCs w:val="22"/>
          <w:lang w:val="en-MY"/>
        </w:rPr>
      </w:pPr>
      <w:r w:rsidRPr="009D4627">
        <w:rPr>
          <w:szCs w:val="22"/>
          <w:lang w:val="en-MY"/>
        </w:rPr>
        <w:tab/>
      </w:r>
      <w:r w:rsidRPr="009D4627">
        <w:rPr>
          <w:szCs w:val="22"/>
          <w:lang w:val="en-MY"/>
        </w:rPr>
        <w:tab/>
        <w:t xml:space="preserve">    Knee replacement 2017, shoulder problems. Always feels tired.</w:t>
      </w:r>
    </w:p>
    <w:p w14:paraId="631DC02D" w14:textId="77777777" w:rsidR="00CE6626" w:rsidRPr="009D4627" w:rsidRDefault="00CE6626" w:rsidP="00CE6626">
      <w:pPr>
        <w:spacing w:before="0" w:after="0" w:line="240" w:lineRule="auto"/>
        <w:rPr>
          <w:b/>
          <w:szCs w:val="22"/>
          <w:lang w:val="en-MY"/>
        </w:rPr>
      </w:pPr>
    </w:p>
    <w:p w14:paraId="07626A53"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unaided </w:t>
      </w:r>
      <w:r w:rsidRPr="009D4627">
        <w:rPr>
          <w:bCs/>
          <w:szCs w:val="22"/>
          <w:lang w:val="en-MY"/>
        </w:rPr>
        <w:tab/>
        <w:t>RE 0.06</w:t>
      </w:r>
      <w:r w:rsidRPr="009D4627">
        <w:rPr>
          <w:bCs/>
          <w:szCs w:val="22"/>
          <w:lang w:val="en-MY"/>
        </w:rPr>
        <w:tab/>
      </w:r>
      <w:r w:rsidRPr="009D4627">
        <w:rPr>
          <w:bCs/>
          <w:szCs w:val="22"/>
          <w:lang w:val="en-MY"/>
        </w:rPr>
        <w:tab/>
        <w:t xml:space="preserve">LE 0.10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65959BCF" w14:textId="11B7B0B9" w:rsidR="00CE6626" w:rsidRPr="009D4627" w:rsidRDefault="00CE6626" w:rsidP="00CE6626">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00E147BE">
        <w:rPr>
          <w:b/>
          <w:szCs w:val="22"/>
          <w:lang w:val="en-MY"/>
        </w:rPr>
        <w:tab/>
      </w:r>
      <w:r w:rsidRPr="009D4627">
        <w:rPr>
          <w:b/>
          <w:szCs w:val="22"/>
          <w:lang w:val="en-MY"/>
        </w:rPr>
        <w:t xml:space="preserve"> </w:t>
      </w:r>
      <w:r w:rsidRPr="009D4627">
        <w:rPr>
          <w:bCs/>
          <w:szCs w:val="22"/>
          <w:lang w:val="en-MY"/>
        </w:rPr>
        <w:t>6/7.5</w:t>
      </w:r>
      <w:r w:rsidRPr="009D4627">
        <w:rPr>
          <w:bCs/>
          <w:szCs w:val="22"/>
          <w:vertAlign w:val="superscript"/>
          <w:lang w:val="en-MY"/>
        </w:rPr>
        <w:t>+2</w:t>
      </w:r>
      <w:r w:rsidRPr="009D4627">
        <w:rPr>
          <w:bCs/>
          <w:szCs w:val="22"/>
          <w:lang w:val="en-MY"/>
        </w:rPr>
        <w:tab/>
      </w:r>
      <w:r w:rsidRPr="009D4627">
        <w:rPr>
          <w:bCs/>
          <w:szCs w:val="22"/>
          <w:lang w:val="en-MY"/>
        </w:rPr>
        <w:tab/>
        <w:t xml:space="preserve">   </w:t>
      </w:r>
      <w:r w:rsidR="00E147BE">
        <w:rPr>
          <w:bCs/>
          <w:szCs w:val="22"/>
          <w:lang w:val="en-MY"/>
        </w:rPr>
        <w:tab/>
      </w:r>
      <w:r w:rsidRPr="009D4627">
        <w:rPr>
          <w:bCs/>
          <w:szCs w:val="22"/>
          <w:lang w:val="en-MY"/>
        </w:rPr>
        <w:t xml:space="preserve"> 6/7.5</w:t>
      </w:r>
      <w:r w:rsidRPr="009D4627">
        <w:rPr>
          <w:bCs/>
          <w:szCs w:val="22"/>
          <w:lang w:val="en-MY"/>
        </w:rPr>
        <w:tab/>
        <w:t>Snellen equivalent</w:t>
      </w:r>
    </w:p>
    <w:p w14:paraId="3787541A" w14:textId="0E1E2AB1"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t xml:space="preserve">          </w:t>
      </w:r>
      <w:r w:rsidR="00E147BE">
        <w:rPr>
          <w:bCs/>
          <w:szCs w:val="22"/>
          <w:lang w:val="en-MY"/>
        </w:rPr>
        <w:tab/>
      </w:r>
      <w:r w:rsidR="00E147BE">
        <w:rPr>
          <w:bCs/>
          <w:szCs w:val="22"/>
          <w:lang w:val="en-MY"/>
        </w:rPr>
        <w:tab/>
      </w:r>
      <w:r w:rsidRPr="009D4627">
        <w:rPr>
          <w:bCs/>
          <w:szCs w:val="22"/>
          <w:lang w:val="en-MY"/>
        </w:rPr>
        <w:t>with R lid raised</w:t>
      </w:r>
    </w:p>
    <w:p w14:paraId="5DB2459B" w14:textId="77777777" w:rsidR="00CE6626" w:rsidRPr="009D4627" w:rsidRDefault="00CE6626" w:rsidP="00CE6626">
      <w:pPr>
        <w:spacing w:before="0" w:after="0" w:line="240" w:lineRule="auto"/>
        <w:rPr>
          <w:bCs/>
          <w:szCs w:val="22"/>
          <w:lang w:val="en-MY"/>
        </w:rPr>
      </w:pPr>
    </w:p>
    <w:p w14:paraId="1B25352F" w14:textId="77777777" w:rsidR="00CE6626" w:rsidRPr="009D4627" w:rsidRDefault="00CE6626" w:rsidP="00CE6626">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with glasses 1/3 m &amp; 6 m moderate right exotropia (LXT) with slight right hypertropia (RHT) with diplopia.</w:t>
      </w:r>
    </w:p>
    <w:p w14:paraId="7D7618CC" w14:textId="77777777" w:rsidR="00CE6626" w:rsidRPr="009D4627" w:rsidRDefault="00CE6626" w:rsidP="00CE6626">
      <w:pPr>
        <w:spacing w:before="0" w:after="0" w:line="240" w:lineRule="auto"/>
        <w:ind w:left="1276" w:hanging="1276"/>
        <w:rPr>
          <w:bCs/>
          <w:szCs w:val="22"/>
          <w:lang w:val="en-MY"/>
        </w:rPr>
      </w:pPr>
      <w:r w:rsidRPr="009D4627">
        <w:rPr>
          <w:b/>
          <w:szCs w:val="22"/>
          <w:lang w:val="en-MY"/>
        </w:rPr>
        <w:tab/>
      </w:r>
      <w:r w:rsidRPr="009D4627">
        <w:rPr>
          <w:szCs w:val="22"/>
          <w:lang w:val="en-MY"/>
        </w:rPr>
        <w:t>Right partial ptosis – bisects R pupil</w:t>
      </w:r>
    </w:p>
    <w:p w14:paraId="36A24A50" w14:textId="77777777" w:rsidR="00CE6626" w:rsidRPr="009D4627" w:rsidRDefault="00CE6626" w:rsidP="00CE6626">
      <w:pPr>
        <w:spacing w:before="0" w:after="0" w:line="240" w:lineRule="auto"/>
        <w:ind w:left="1276" w:hanging="1276"/>
        <w:rPr>
          <w:bCs/>
          <w:szCs w:val="22"/>
          <w:lang w:val="en-MY"/>
        </w:rPr>
      </w:pPr>
      <w:r w:rsidRPr="009D4627">
        <w:rPr>
          <w:bCs/>
          <w:szCs w:val="22"/>
          <w:lang w:val="en-MY"/>
        </w:rPr>
        <w:t xml:space="preserve">                        </w:t>
      </w:r>
    </w:p>
    <w:p w14:paraId="0B09B0D0" w14:textId="77777777" w:rsidR="00CE6626" w:rsidRPr="009D4627" w:rsidRDefault="00CE6626" w:rsidP="00CE6626">
      <w:pPr>
        <w:spacing w:before="0" w:after="0" w:line="240" w:lineRule="auto"/>
        <w:rPr>
          <w:bCs/>
          <w:szCs w:val="22"/>
          <w:lang w:val="en-MY"/>
        </w:rPr>
      </w:pPr>
      <w:r w:rsidRPr="009D4627">
        <w:rPr>
          <w:b/>
          <w:szCs w:val="22"/>
          <w:lang w:val="en-MY"/>
        </w:rPr>
        <w:t>OMT:</w:t>
      </w:r>
    </w:p>
    <w:p w14:paraId="0DD0D58F"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Diplopia in all positions of gaze</w:t>
      </w:r>
    </w:p>
    <w:p w14:paraId="1F9D990E" w14:textId="579551CB" w:rsidR="00CE6626" w:rsidRPr="009D4627" w:rsidRDefault="00A2792E" w:rsidP="00CE6626">
      <w:pPr>
        <w:spacing w:before="0" w:line="240" w:lineRule="auto"/>
        <w:rPr>
          <w:bCs/>
          <w:szCs w:val="22"/>
          <w:lang w:val="en-MY"/>
        </w:rPr>
      </w:pPr>
      <w:r w:rsidRPr="009D4627">
        <w:rPr>
          <w:noProof/>
        </w:rPr>
        <mc:AlternateContent>
          <mc:Choice Requires="wpg">
            <w:drawing>
              <wp:anchor distT="0" distB="0" distL="114300" distR="114300" simplePos="0" relativeHeight="251722752" behindDoc="0" locked="0" layoutInCell="1" allowOverlap="1" wp14:anchorId="19F5020B" wp14:editId="6AC65B38">
                <wp:simplePos x="0" y="0"/>
                <wp:positionH relativeFrom="column">
                  <wp:posOffset>1504950</wp:posOffset>
                </wp:positionH>
                <wp:positionV relativeFrom="paragraph">
                  <wp:posOffset>170815</wp:posOffset>
                </wp:positionV>
                <wp:extent cx="2619375" cy="1141095"/>
                <wp:effectExtent l="0" t="0" r="0" b="0"/>
                <wp:wrapNone/>
                <wp:docPr id="23744" name="Group 23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1141095"/>
                          <a:chOff x="0" y="0"/>
                          <a:chExt cx="26193" cy="11410"/>
                        </a:xfrm>
                      </wpg:grpSpPr>
                      <wpg:grpSp>
                        <wpg:cNvPr id="23745" name="Group 21720"/>
                        <wpg:cNvGrpSpPr>
                          <a:grpSpLocks/>
                        </wpg:cNvGrpSpPr>
                        <wpg:grpSpPr bwMode="auto">
                          <a:xfrm flipH="1">
                            <a:off x="0" y="0"/>
                            <a:ext cx="24955" cy="11410"/>
                            <a:chOff x="0" y="-221"/>
                            <a:chExt cx="29529" cy="12781"/>
                          </a:xfrm>
                        </wpg:grpSpPr>
                        <wps:wsp>
                          <wps:cNvPr id="23746" name="Oval 21721"/>
                          <wps:cNvSpPr>
                            <a:spLocks noChangeArrowheads="1"/>
                          </wps:cNvSpPr>
                          <wps:spPr bwMode="auto">
                            <a:xfrm>
                              <a:off x="0" y="1568"/>
                              <a:ext cx="9144" cy="9125"/>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g:cNvPr id="23747" name="Group 21722"/>
                          <wpg:cNvGrpSpPr>
                            <a:grpSpLocks/>
                          </wpg:cNvGrpSpPr>
                          <wpg:grpSpPr bwMode="auto">
                            <a:xfrm>
                              <a:off x="12285" y="-221"/>
                              <a:ext cx="17244" cy="12781"/>
                              <a:chOff x="-5621" y="-411"/>
                              <a:chExt cx="17244" cy="12781"/>
                            </a:xfrm>
                          </wpg:grpSpPr>
                          <wpg:grpSp>
                            <wpg:cNvPr id="23748" name="Group 21723"/>
                            <wpg:cNvGrpSpPr>
                              <a:grpSpLocks/>
                            </wpg:cNvGrpSpPr>
                            <wpg:grpSpPr bwMode="auto">
                              <a:xfrm>
                                <a:off x="-5621" y="-411"/>
                                <a:ext cx="17243" cy="10875"/>
                                <a:chOff x="-5621" y="-269"/>
                                <a:chExt cx="17244" cy="10889"/>
                              </a:xfrm>
                            </wpg:grpSpPr>
                            <wpg:grpSp>
                              <wpg:cNvPr id="23749" name="Group 21724"/>
                              <wpg:cNvGrpSpPr>
                                <a:grpSpLocks/>
                              </wpg:cNvGrpSpPr>
                              <wpg:grpSpPr bwMode="auto">
                                <a:xfrm>
                                  <a:off x="446" y="1571"/>
                                  <a:ext cx="8165" cy="3018"/>
                                  <a:chOff x="-601" y="0"/>
                                  <a:chExt cx="8165" cy="3017"/>
                                </a:xfrm>
                              </wpg:grpSpPr>
                              <wps:wsp>
                                <wps:cNvPr id="23750" name="Straight Connector 21725"/>
                                <wps:cNvCnPr>
                                  <a:cxnSpLocks noChangeShapeType="1"/>
                                </wps:cNvCnPr>
                                <wps:spPr bwMode="auto">
                                  <a:xfrm>
                                    <a:off x="-601" y="3017"/>
                                    <a:ext cx="8164" cy="0"/>
                                  </a:xfrm>
                                  <a:prstGeom prst="line">
                                    <a:avLst/>
                                  </a:prstGeom>
                                  <a:noFill/>
                                  <a:ln w="6350">
                                    <a:solidFill>
                                      <a:srgbClr val="000000"/>
                                    </a:solidFill>
                                    <a:miter lim="800000"/>
                                    <a:headEnd/>
                                    <a:tailEnd/>
                                  </a:ln>
                                </wps:spPr>
                                <wps:bodyPr/>
                              </wps:wsp>
                              <wpg:grpSp>
                                <wpg:cNvPr id="23751" name="Group 21726"/>
                                <wpg:cNvGrpSpPr>
                                  <a:grpSpLocks/>
                                </wpg:cNvGrpSpPr>
                                <wpg:grpSpPr bwMode="auto">
                                  <a:xfrm>
                                    <a:off x="1098" y="0"/>
                                    <a:ext cx="4899" cy="3017"/>
                                    <a:chOff x="317" y="0"/>
                                    <a:chExt cx="489904" cy="301780"/>
                                  </a:xfrm>
                                </wpg:grpSpPr>
                                <wps:wsp>
                                  <wps:cNvPr id="23752" name="Straight Connector 21727"/>
                                  <wps:cNvCnPr>
                                    <a:cxnSpLocks noChangeShapeType="1"/>
                                  </wps:cNvCnPr>
                                  <wps:spPr bwMode="auto">
                                    <a:xfrm flipH="1">
                                      <a:off x="147627" y="4763"/>
                                      <a:ext cx="223532" cy="276374"/>
                                    </a:xfrm>
                                    <a:prstGeom prst="line">
                                      <a:avLst/>
                                    </a:prstGeom>
                                    <a:noFill/>
                                    <a:ln w="19050">
                                      <a:solidFill>
                                        <a:srgbClr val="000000"/>
                                      </a:solidFill>
                                      <a:miter lim="800000"/>
                                      <a:headEnd/>
                                      <a:tailEnd/>
                                    </a:ln>
                                  </wps:spPr>
                                  <wps:bodyPr/>
                                </wps:wsp>
                                <wps:wsp>
                                  <wps:cNvPr id="23753" name="Straight Connector 21728"/>
                                  <wps:cNvCnPr>
                                    <a:cxnSpLocks noChangeShapeType="1"/>
                                  </wps:cNvCnPr>
                                  <wps:spPr bwMode="auto">
                                    <a:xfrm flipH="1">
                                      <a:off x="317" y="0"/>
                                      <a:ext cx="209233" cy="281137"/>
                                    </a:xfrm>
                                    <a:prstGeom prst="line">
                                      <a:avLst/>
                                    </a:prstGeom>
                                    <a:noFill/>
                                    <a:ln w="19050">
                                      <a:solidFill>
                                        <a:srgbClr val="000000"/>
                                      </a:solidFill>
                                      <a:miter lim="800000"/>
                                      <a:headEnd/>
                                      <a:tailEnd/>
                                    </a:ln>
                                  </wps:spPr>
                                  <wps:bodyPr/>
                                </wps:wsp>
                                <wps:wsp>
                                  <wps:cNvPr id="23754" name="Straight Connector 21729"/>
                                  <wps:cNvCnPr>
                                    <a:cxnSpLocks noChangeShapeType="1"/>
                                  </wps:cNvCnPr>
                                  <wps:spPr bwMode="auto">
                                    <a:xfrm flipH="1">
                                      <a:off x="304053" y="66675"/>
                                      <a:ext cx="186168" cy="235105"/>
                                    </a:xfrm>
                                    <a:prstGeom prst="line">
                                      <a:avLst/>
                                    </a:prstGeom>
                                    <a:noFill/>
                                    <a:ln w="19050">
                                      <a:solidFill>
                                        <a:srgbClr val="000000"/>
                                      </a:solidFill>
                                      <a:miter lim="800000"/>
                                      <a:headEnd/>
                                      <a:tailEnd/>
                                    </a:ln>
                                  </wps:spPr>
                                  <wps:bodyPr/>
                                </wps:wsp>
                              </wpg:grpSp>
                            </wpg:grpSp>
                            <wpg:grpSp>
                              <wpg:cNvPr id="23755" name="Group 21730"/>
                              <wpg:cNvGrpSpPr>
                                <a:grpSpLocks/>
                              </wpg:cNvGrpSpPr>
                              <wpg:grpSpPr bwMode="auto">
                                <a:xfrm>
                                  <a:off x="-5621" y="-269"/>
                                  <a:ext cx="17243" cy="10889"/>
                                  <a:chOff x="-5621" y="-269"/>
                                  <a:chExt cx="17244" cy="10889"/>
                                </a:xfrm>
                              </wpg:grpSpPr>
                              <wpg:grpSp>
                                <wpg:cNvPr id="23756" name="Group 21731"/>
                                <wpg:cNvGrpSpPr>
                                  <a:grpSpLocks/>
                                </wpg:cNvGrpSpPr>
                                <wpg:grpSpPr bwMode="auto">
                                  <a:xfrm>
                                    <a:off x="0" y="-269"/>
                                    <a:ext cx="11622" cy="10889"/>
                                    <a:chOff x="0" y="-269"/>
                                    <a:chExt cx="11622" cy="10889"/>
                                  </a:xfrm>
                                </wpg:grpSpPr>
                                <wps:wsp>
                                  <wps:cNvPr id="23757" name="Rectangle 21732"/>
                                  <wps:cNvSpPr>
                                    <a:spLocks noChangeArrowheads="1"/>
                                  </wps:cNvSpPr>
                                  <wps:spPr bwMode="auto">
                                    <a:xfrm>
                                      <a:off x="5854" y="-269"/>
                                      <a:ext cx="5768" cy="2840"/>
                                    </a:xfrm>
                                    <a:prstGeom prst="rect">
                                      <a:avLst/>
                                    </a:prstGeom>
                                    <a:noFill/>
                                    <a:ln>
                                      <a:noFill/>
                                    </a:ln>
                                  </wps:spPr>
                                  <wps:txbx>
                                    <w:txbxContent>
                                      <w:p w14:paraId="6C67288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-3 to 3.5</w:t>
                                        </w:r>
                                      </w:p>
                                    </w:txbxContent>
                                  </wps:txbx>
                                  <wps:bodyPr rot="0" vert="horz" wrap="square" lIns="0" tIns="0" rIns="0" bIns="0" anchor="ctr" anchorCtr="0" upright="1">
                                    <a:noAutofit/>
                                  </wps:bodyPr>
                                </wps:wsp>
                                <wps:wsp>
                                  <wps:cNvPr id="23758" name="Oval 21733"/>
                                  <wps:cNvSpPr>
                                    <a:spLocks noChangeArrowheads="1"/>
                                  </wps:cNvSpPr>
                                  <wps:spPr bwMode="auto">
                                    <a:xfrm>
                                      <a:off x="0" y="1476"/>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s:wsp>
                                <wps:cNvPr id="23759" name="Rectangle 21734"/>
                                <wps:cNvSpPr>
                                  <a:spLocks noChangeArrowheads="1"/>
                                </wps:cNvSpPr>
                                <wps:spPr bwMode="auto">
                                  <a:xfrm>
                                    <a:off x="-5621" y="-269"/>
                                    <a:ext cx="8150" cy="2720"/>
                                  </a:xfrm>
                                  <a:prstGeom prst="rect">
                                    <a:avLst/>
                                  </a:prstGeom>
                                  <a:noFill/>
                                  <a:ln>
                                    <a:noFill/>
                                  </a:ln>
                                </wps:spPr>
                                <wps:txbx>
                                  <w:txbxContent>
                                    <w:p w14:paraId="4C8AE81C" w14:textId="77777777" w:rsidR="00CE6626" w:rsidRPr="001B6DF7" w:rsidRDefault="00CE6626" w:rsidP="00CE6626">
                                      <w:pPr>
                                        <w:spacing w:before="0" w:after="0"/>
                                        <w:rPr>
                                          <w:rFonts w:asciiTheme="minorHAnsi" w:hAnsiTheme="minorHAnsi" w:cstheme="minorHAnsi"/>
                                          <w:sz w:val="20"/>
                                          <w:szCs w:val="20"/>
                                          <w:lang w:val="en-US"/>
                                        </w:rPr>
                                      </w:pPr>
                                      <w:r>
                                        <w:rPr>
                                          <w:rFonts w:asciiTheme="minorHAnsi" w:hAnsiTheme="minorHAnsi" w:cstheme="minorHAnsi"/>
                                          <w:sz w:val="20"/>
                                          <w:szCs w:val="20"/>
                                          <w:lang w:val="en-US"/>
                                        </w:rPr>
                                        <w:t>-3 to -3.5</w:t>
                                      </w:r>
                                    </w:p>
                                  </w:txbxContent>
                                </wps:txbx>
                                <wps:bodyPr rot="0" vert="horz" wrap="square" lIns="0" tIns="0" rIns="0" bIns="0" anchor="ctr" anchorCtr="0" upright="1">
                                  <a:noAutofit/>
                                </wps:bodyPr>
                              </wps:wsp>
                            </wpg:grpSp>
                            <wpg:grpSp>
                              <wpg:cNvPr id="23760" name="Group 21735"/>
                              <wpg:cNvGrpSpPr>
                                <a:grpSpLocks/>
                              </wpg:cNvGrpSpPr>
                              <wpg:grpSpPr bwMode="auto">
                                <a:xfrm rot="10800000">
                                  <a:off x="1339" y="7520"/>
                                  <a:ext cx="7466" cy="3049"/>
                                  <a:chOff x="-662" y="0"/>
                                  <a:chExt cx="7466" cy="3055"/>
                                </a:xfrm>
                              </wpg:grpSpPr>
                              <wps:wsp>
                                <wps:cNvPr id="23761" name="Straight Connector 21736"/>
                                <wps:cNvCnPr>
                                  <a:cxnSpLocks noChangeShapeType="1"/>
                                </wps:cNvCnPr>
                                <wps:spPr bwMode="auto">
                                  <a:xfrm rot="10800000" flipH="1">
                                    <a:off x="-662" y="1290"/>
                                    <a:ext cx="7466" cy="1765"/>
                                  </a:xfrm>
                                  <a:prstGeom prst="line">
                                    <a:avLst/>
                                  </a:prstGeom>
                                  <a:noFill/>
                                  <a:ln w="6350">
                                    <a:solidFill>
                                      <a:srgbClr val="000000"/>
                                    </a:solidFill>
                                    <a:miter lim="800000"/>
                                    <a:headEnd/>
                                    <a:tailEnd/>
                                  </a:ln>
                                </wps:spPr>
                                <wps:bodyPr/>
                              </wps:wsp>
                              <wpg:grpSp>
                                <wpg:cNvPr id="23762" name="Group 21737"/>
                                <wpg:cNvGrpSpPr>
                                  <a:grpSpLocks/>
                                </wpg:cNvGrpSpPr>
                                <wpg:grpSpPr bwMode="auto">
                                  <a:xfrm>
                                    <a:off x="352" y="0"/>
                                    <a:ext cx="6169" cy="2735"/>
                                    <a:chOff x="-743" y="0"/>
                                    <a:chExt cx="6169" cy="2735"/>
                                  </a:xfrm>
                                </wpg:grpSpPr>
                                <wps:wsp>
                                  <wps:cNvPr id="23763" name="Straight Connector 21738"/>
                                  <wps:cNvCnPr>
                                    <a:cxnSpLocks noChangeShapeType="1"/>
                                  </wps:cNvCnPr>
                                  <wps:spPr bwMode="auto">
                                    <a:xfrm rot="10800000" flipV="1">
                                      <a:off x="1624" y="47"/>
                                      <a:ext cx="1281" cy="2251"/>
                                    </a:xfrm>
                                    <a:prstGeom prst="line">
                                      <a:avLst/>
                                    </a:prstGeom>
                                    <a:noFill/>
                                    <a:ln w="19050">
                                      <a:solidFill>
                                        <a:srgbClr val="000000"/>
                                      </a:solidFill>
                                      <a:miter lim="800000"/>
                                      <a:headEnd/>
                                      <a:tailEnd/>
                                    </a:ln>
                                  </wps:spPr>
                                  <wps:bodyPr/>
                                </wps:wsp>
                                <wps:wsp>
                                  <wps:cNvPr id="23764" name="Straight Connector 21739"/>
                                  <wps:cNvCnPr>
                                    <a:cxnSpLocks noChangeShapeType="1"/>
                                  </wps:cNvCnPr>
                                  <wps:spPr bwMode="auto">
                                    <a:xfrm rot="10800000" flipV="1">
                                      <a:off x="2526" y="47"/>
                                      <a:ext cx="1185" cy="2041"/>
                                    </a:xfrm>
                                    <a:prstGeom prst="line">
                                      <a:avLst/>
                                    </a:prstGeom>
                                    <a:noFill/>
                                    <a:ln w="19050">
                                      <a:solidFill>
                                        <a:srgbClr val="000000"/>
                                      </a:solidFill>
                                      <a:miter lim="800000"/>
                                      <a:headEnd/>
                                      <a:tailEnd/>
                                    </a:ln>
                                  </wps:spPr>
                                  <wps:bodyPr/>
                                </wps:wsp>
                                <wps:wsp>
                                  <wps:cNvPr id="23765" name="Straight Connector 21740"/>
                                  <wps:cNvCnPr>
                                    <a:cxnSpLocks noChangeShapeType="1"/>
                                  </wps:cNvCnPr>
                                  <wps:spPr bwMode="auto">
                                    <a:xfrm rot="10800000" flipV="1">
                                      <a:off x="190" y="0"/>
                                      <a:ext cx="2031" cy="2735"/>
                                    </a:xfrm>
                                    <a:prstGeom prst="line">
                                      <a:avLst/>
                                    </a:prstGeom>
                                    <a:noFill/>
                                    <a:ln w="19050">
                                      <a:solidFill>
                                        <a:srgbClr val="000000"/>
                                      </a:solidFill>
                                      <a:miter lim="800000"/>
                                      <a:headEnd/>
                                      <a:tailEnd/>
                                    </a:ln>
                                  </wps:spPr>
                                  <wps:bodyPr/>
                                </wps:wsp>
                                <wps:wsp>
                                  <wps:cNvPr id="23766" name="Straight Connector 21741"/>
                                  <wps:cNvCnPr>
                                    <a:cxnSpLocks noChangeShapeType="1"/>
                                  </wps:cNvCnPr>
                                  <wps:spPr bwMode="auto">
                                    <a:xfrm rot="10800000" flipV="1">
                                      <a:off x="3429" y="333"/>
                                      <a:ext cx="901" cy="1541"/>
                                    </a:xfrm>
                                    <a:prstGeom prst="line">
                                      <a:avLst/>
                                    </a:prstGeom>
                                    <a:noFill/>
                                    <a:ln w="19050">
                                      <a:solidFill>
                                        <a:srgbClr val="000000"/>
                                      </a:solidFill>
                                      <a:miter lim="800000"/>
                                      <a:headEnd/>
                                      <a:tailEnd/>
                                    </a:ln>
                                  </wps:spPr>
                                  <wps:bodyPr/>
                                </wps:wsp>
                                <wps:wsp>
                                  <wps:cNvPr id="23767" name="Straight Connector 21742"/>
                                  <wps:cNvCnPr>
                                    <a:cxnSpLocks noChangeShapeType="1"/>
                                  </wps:cNvCnPr>
                                  <wps:spPr bwMode="auto">
                                    <a:xfrm rot="10800000" flipV="1">
                                      <a:off x="-743" y="190"/>
                                      <a:ext cx="1835" cy="2438"/>
                                    </a:xfrm>
                                    <a:prstGeom prst="line">
                                      <a:avLst/>
                                    </a:prstGeom>
                                    <a:noFill/>
                                    <a:ln w="19050">
                                      <a:solidFill>
                                        <a:srgbClr val="000000"/>
                                      </a:solidFill>
                                      <a:miter lim="800000"/>
                                      <a:headEnd/>
                                      <a:tailEnd/>
                                    </a:ln>
                                  </wps:spPr>
                                  <wps:bodyPr/>
                                </wps:wsp>
                                <wps:wsp>
                                  <wps:cNvPr id="23768" name="Straight Connector 21743"/>
                                  <wps:cNvCnPr>
                                    <a:cxnSpLocks noChangeShapeType="1"/>
                                  </wps:cNvCnPr>
                                  <wps:spPr bwMode="auto">
                                    <a:xfrm rot="10800000" flipV="1">
                                      <a:off x="4330" y="666"/>
                                      <a:ext cx="572" cy="899"/>
                                    </a:xfrm>
                                    <a:prstGeom prst="line">
                                      <a:avLst/>
                                    </a:prstGeom>
                                    <a:noFill/>
                                    <a:ln w="19050">
                                      <a:solidFill>
                                        <a:srgbClr val="000000"/>
                                      </a:solidFill>
                                      <a:miter lim="800000"/>
                                      <a:headEnd/>
                                      <a:tailEnd/>
                                    </a:ln>
                                  </wps:spPr>
                                  <wps:bodyPr/>
                                </wps:wsp>
                                <wps:wsp>
                                  <wps:cNvPr id="23769" name="Straight Connector 21744"/>
                                  <wps:cNvCnPr>
                                    <a:cxnSpLocks noChangeShapeType="1"/>
                                  </wps:cNvCnPr>
                                  <wps:spPr bwMode="auto">
                                    <a:xfrm flipH="1">
                                      <a:off x="5000" y="1000"/>
                                      <a:ext cx="426" cy="565"/>
                                    </a:xfrm>
                                    <a:prstGeom prst="line">
                                      <a:avLst/>
                                    </a:prstGeom>
                                    <a:noFill/>
                                    <a:ln w="19050">
                                      <a:solidFill>
                                        <a:srgbClr val="000000"/>
                                      </a:solidFill>
                                      <a:miter lim="800000"/>
                                      <a:headEnd/>
                                      <a:tailEnd/>
                                    </a:ln>
                                  </wps:spPr>
                                  <wps:bodyPr/>
                                </wps:wsp>
                              </wpg:grpSp>
                            </wpg:grpSp>
                            <wpg:grpSp>
                              <wpg:cNvPr id="23770" name="Group 21745"/>
                              <wpg:cNvGrpSpPr>
                                <a:grpSpLocks/>
                              </wpg:cNvGrpSpPr>
                              <wpg:grpSpPr bwMode="auto">
                                <a:xfrm rot="-5400000">
                                  <a:off x="-2202" y="4126"/>
                                  <a:ext cx="7236" cy="2831"/>
                                  <a:chOff x="-31" y="-47"/>
                                  <a:chExt cx="8270" cy="3128"/>
                                </a:xfrm>
                              </wpg:grpSpPr>
                              <wps:wsp>
                                <wps:cNvPr id="23771" name="Straight Connector 21746"/>
                                <wps:cNvCnPr>
                                  <a:cxnSpLocks noChangeShapeType="1"/>
                                </wps:cNvCnPr>
                                <wps:spPr bwMode="auto">
                                  <a:xfrm rot="5400000" flipH="1" flipV="1">
                                    <a:off x="2446" y="477"/>
                                    <a:ext cx="127" cy="5081"/>
                                  </a:xfrm>
                                  <a:prstGeom prst="line">
                                    <a:avLst/>
                                  </a:prstGeom>
                                  <a:noFill/>
                                  <a:ln w="6350">
                                    <a:solidFill>
                                      <a:srgbClr val="000000"/>
                                    </a:solidFill>
                                    <a:miter lim="800000"/>
                                    <a:headEnd/>
                                    <a:tailEnd/>
                                  </a:ln>
                                </wps:spPr>
                                <wps:bodyPr/>
                              </wps:wsp>
                              <wpg:grpSp>
                                <wpg:cNvPr id="23772" name="Group 21747"/>
                                <wpg:cNvGrpSpPr>
                                  <a:grpSpLocks/>
                                </wpg:cNvGrpSpPr>
                                <wpg:grpSpPr bwMode="auto">
                                  <a:xfrm>
                                    <a:off x="158" y="-47"/>
                                    <a:ext cx="8081" cy="3128"/>
                                    <a:chOff x="-936" y="-47"/>
                                    <a:chExt cx="8081" cy="3128"/>
                                  </a:xfrm>
                                </wpg:grpSpPr>
                                <wps:wsp>
                                  <wps:cNvPr id="23773" name="Straight Connector 21748"/>
                                  <wps:cNvCnPr>
                                    <a:cxnSpLocks noChangeShapeType="1"/>
                                  </wps:cNvCnPr>
                                  <wps:spPr bwMode="auto">
                                    <a:xfrm rot="5400000">
                                      <a:off x="-219" y="432"/>
                                      <a:ext cx="3128" cy="2170"/>
                                    </a:xfrm>
                                    <a:prstGeom prst="line">
                                      <a:avLst/>
                                    </a:prstGeom>
                                    <a:noFill/>
                                    <a:ln w="19050">
                                      <a:solidFill>
                                        <a:srgbClr val="000000"/>
                                      </a:solidFill>
                                      <a:miter lim="800000"/>
                                      <a:headEnd/>
                                      <a:tailEnd/>
                                    </a:ln>
                                  </wps:spPr>
                                  <wps:bodyPr/>
                                </wps:wsp>
                                <wps:wsp>
                                  <wps:cNvPr id="23774" name="Straight Connector 21749"/>
                                  <wps:cNvCnPr>
                                    <a:cxnSpLocks noChangeShapeType="1"/>
                                  </wps:cNvCnPr>
                                  <wps:spPr bwMode="auto">
                                    <a:xfrm rot="5400000">
                                      <a:off x="-1416" y="648"/>
                                      <a:ext cx="2644" cy="1684"/>
                                    </a:xfrm>
                                    <a:prstGeom prst="line">
                                      <a:avLst/>
                                    </a:prstGeom>
                                    <a:noFill/>
                                    <a:ln w="19050">
                                      <a:solidFill>
                                        <a:srgbClr val="000000"/>
                                      </a:solidFill>
                                      <a:miter lim="800000"/>
                                      <a:headEnd/>
                                      <a:tailEnd/>
                                    </a:ln>
                                  </wps:spPr>
                                  <wps:bodyPr/>
                                </wps:wsp>
                                <wps:wsp>
                                  <wps:cNvPr id="23775" name="Straight Connector 21750"/>
                                  <wps:cNvCnPr>
                                    <a:cxnSpLocks noChangeShapeType="1"/>
                                  </wps:cNvCnPr>
                                  <wps:spPr bwMode="auto">
                                    <a:xfrm rot="5400000">
                                      <a:off x="2307" y="1020"/>
                                      <a:ext cx="1992" cy="1464"/>
                                    </a:xfrm>
                                    <a:prstGeom prst="line">
                                      <a:avLst/>
                                    </a:prstGeom>
                                    <a:noFill/>
                                    <a:ln w="19050">
                                      <a:solidFill>
                                        <a:srgbClr val="000000"/>
                                      </a:solidFill>
                                      <a:miter lim="800000"/>
                                      <a:headEnd/>
                                      <a:tailEnd/>
                                    </a:ln>
                                  </wps:spPr>
                                  <wps:bodyPr/>
                                </wps:wsp>
                                <wps:wsp>
                                  <wps:cNvPr id="23776" name="Straight Connector 21751"/>
                                  <wps:cNvCnPr>
                                    <a:cxnSpLocks noChangeShapeType="1"/>
                                  </wps:cNvCnPr>
                                  <wps:spPr bwMode="auto">
                                    <a:xfrm rot="5400000" flipH="1">
                                      <a:off x="4742" y="410"/>
                                      <a:ext cx="1993" cy="2811"/>
                                    </a:xfrm>
                                    <a:prstGeom prst="line">
                                      <a:avLst/>
                                    </a:prstGeom>
                                    <a:noFill/>
                                    <a:ln w="19050">
                                      <a:solidFill>
                                        <a:srgbClr val="000000"/>
                                      </a:solidFill>
                                      <a:miter lim="800000"/>
                                      <a:headEnd/>
                                      <a:tailEnd/>
                                    </a:ln>
                                  </wps:spPr>
                                  <wps:bodyPr/>
                                </wps:wsp>
                              </wpg:grpSp>
                            </wpg:grpSp>
                          </wpg:grpSp>
                          <wps:wsp>
                            <wps:cNvPr id="23777" name="Rectangle 21752"/>
                            <wps:cNvSpPr>
                              <a:spLocks noChangeArrowheads="1"/>
                            </wps:cNvSpPr>
                            <wps:spPr bwMode="auto">
                              <a:xfrm>
                                <a:off x="6858" y="9810"/>
                                <a:ext cx="3187" cy="2559"/>
                              </a:xfrm>
                              <a:prstGeom prst="rect">
                                <a:avLst/>
                              </a:prstGeom>
                              <a:noFill/>
                              <a:ln>
                                <a:noFill/>
                              </a:ln>
                            </wps:spPr>
                            <wps:txbx>
                              <w:txbxContent>
                                <w:p w14:paraId="07F75A02" w14:textId="77777777" w:rsidR="00CE6626" w:rsidRPr="001B6DF7" w:rsidRDefault="00CE6626" w:rsidP="00CE6626">
                                  <w:pPr>
                                    <w:spacing w:before="0"/>
                                    <w:jc w:val="center"/>
                                    <w:rPr>
                                      <w:rFonts w:asciiTheme="minorHAnsi" w:hAnsiTheme="minorHAnsi" w:cstheme="minorHAnsi"/>
                                      <w:sz w:val="20"/>
                                      <w:szCs w:val="20"/>
                                      <w:lang w:val="en-US"/>
                                    </w:rPr>
                                  </w:pPr>
                                  <w:r>
                                    <w:rPr>
                                      <w:rFonts w:asciiTheme="minorHAnsi" w:hAnsiTheme="minorHAnsi" w:cstheme="minorHAnsi"/>
                                      <w:sz w:val="20"/>
                                      <w:szCs w:val="20"/>
                                      <w:lang w:val="en-US"/>
                                    </w:rPr>
                                    <w:t>-3</w:t>
                                  </w:r>
                                </w:p>
                              </w:txbxContent>
                            </wps:txbx>
                            <wps:bodyPr rot="0" vert="horz" wrap="square" lIns="0" tIns="0" rIns="0" bIns="0" anchor="ctr" anchorCtr="0" upright="1">
                              <a:noAutofit/>
                            </wps:bodyPr>
                          </wps:wsp>
                        </wpg:grpSp>
                      </wpg:grpSp>
                      <wps:wsp>
                        <wps:cNvPr id="23778" name="Text Box 784"/>
                        <wps:cNvSpPr txBox="1">
                          <a:spLocks noChangeArrowheads="1"/>
                        </wps:cNvSpPr>
                        <wps:spPr bwMode="auto">
                          <a:xfrm>
                            <a:off x="24288" y="1047"/>
                            <a:ext cx="1905" cy="2001"/>
                          </a:xfrm>
                          <a:prstGeom prst="rect">
                            <a:avLst/>
                          </a:prstGeom>
                          <a:solidFill>
                            <a:srgbClr val="FFFFFF"/>
                          </a:solidFill>
                          <a:ln>
                            <a:noFill/>
                          </a:ln>
                        </wps:spPr>
                        <wps:txbx>
                          <w:txbxContent>
                            <w:p w14:paraId="3744BE6B" w14:textId="77777777" w:rsidR="00CE6626" w:rsidRDefault="00CE6626" w:rsidP="00CE6626">
                              <w:pPr>
                                <w:spacing w:before="0" w:after="0" w:line="240" w:lineRule="auto"/>
                                <w:jc w:val="left"/>
                              </w:pPr>
                              <w:r>
                                <w:t>+</w:t>
                              </w:r>
                            </w:p>
                          </w:txbxContent>
                        </wps:txbx>
                        <wps:bodyPr rot="0" vert="horz" wrap="square" lIns="0" tIns="0" rIns="0" bIns="0" anchor="t" anchorCtr="0" upright="1">
                          <a:noAutofit/>
                        </wps:bodyPr>
                      </wps:wsp>
                      <wpg:grpSp>
                        <wpg:cNvPr id="23779" name="Group 21754"/>
                        <wpg:cNvGrpSpPr>
                          <a:grpSpLocks/>
                        </wpg:cNvGrpSpPr>
                        <wpg:grpSpPr bwMode="auto">
                          <a:xfrm>
                            <a:off x="14859" y="1333"/>
                            <a:ext cx="2667" cy="8604"/>
                            <a:chOff x="-95" y="0"/>
                            <a:chExt cx="2667" cy="8604"/>
                          </a:xfrm>
                        </wpg:grpSpPr>
                        <wps:wsp>
                          <wps:cNvPr id="23780" name="Text Box 21755"/>
                          <wps:cNvSpPr txBox="1">
                            <a:spLocks noChangeArrowheads="1"/>
                          </wps:cNvSpPr>
                          <wps:spPr bwMode="auto">
                            <a:xfrm>
                              <a:off x="0" y="0"/>
                              <a:ext cx="2571" cy="2413"/>
                            </a:xfrm>
                            <a:prstGeom prst="rect">
                              <a:avLst/>
                            </a:prstGeom>
                            <a:solidFill>
                              <a:srgbClr val="FFFFFF"/>
                            </a:solidFill>
                            <a:ln>
                              <a:noFill/>
                            </a:ln>
                          </wps:spPr>
                          <wps:txbx>
                            <w:txbxContent>
                              <w:p w14:paraId="6349D17B" w14:textId="77777777" w:rsidR="00CE6626" w:rsidRDefault="00CE6626" w:rsidP="00CE6626">
                                <w:r>
                                  <w:t xml:space="preserve">+ </w:t>
                                </w:r>
                              </w:p>
                            </w:txbxContent>
                          </wps:txbx>
                          <wps:bodyPr rot="0" vert="horz" wrap="square" lIns="91440" tIns="45720" rIns="91440" bIns="45720" anchor="t" anchorCtr="0" upright="1">
                            <a:noAutofit/>
                          </wps:bodyPr>
                        </wps:wsp>
                        <wps:wsp>
                          <wps:cNvPr id="23781" name="Text Box 787"/>
                          <wps:cNvSpPr txBox="1">
                            <a:spLocks noChangeArrowheads="1"/>
                          </wps:cNvSpPr>
                          <wps:spPr bwMode="auto">
                            <a:xfrm>
                              <a:off x="-95" y="6096"/>
                              <a:ext cx="2476" cy="2508"/>
                            </a:xfrm>
                            <a:prstGeom prst="rect">
                              <a:avLst/>
                            </a:prstGeom>
                            <a:solidFill>
                              <a:srgbClr val="FFFFFF"/>
                            </a:solidFill>
                            <a:ln>
                              <a:noFill/>
                            </a:ln>
                          </wps:spPr>
                          <wps:txbx>
                            <w:txbxContent>
                              <w:p w14:paraId="21F647E2" w14:textId="77777777" w:rsidR="00CE6626" w:rsidRDefault="00CE6626" w:rsidP="00CE6626">
                                <w:pPr>
                                  <w:spacing w:before="0" w:after="0" w:line="240" w:lineRule="auto"/>
                                  <w:jc w:val="right"/>
                                </w:pPr>
                                <w:r>
                                  <w:t>+</w:t>
                                </w:r>
                              </w:p>
                            </w:txbxContent>
                          </wps:txbx>
                          <wps:bodyPr rot="0" vert="horz" wrap="square" lIns="0" tIns="0" rIns="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19F5020B" id="Group 23744" o:spid="_x0000_s1649" style="position:absolute;left:0;text-align:left;margin-left:118.5pt;margin-top:13.45pt;width:206.25pt;height:89.85pt;z-index:251722752;mso-position-horizontal-relative:text;mso-position-vertical-relative:text;mso-width-relative:margin" coordsize="26193,1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">
                <v:group id="Group 21720" o:spid="_x0000_s1650" style="position:absolute;width:24955;height:11410;flip:x" coordorigin=",-221" coordsize="29529,1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">
                  <v:oval id="Oval 21721" o:spid="_x0000_s1651" style="position:absolute;top:1568;width:9144;height:9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" filled="f" strokeweight="1pt">
                    <v:stroke joinstyle="miter"/>
                  </v:oval>
                  <v:group id="Group 21722" o:spid="_x0000_s1652" style="position:absolute;left:12285;top:-221;width:17244;height:12781" coordorigin="-5621,-411" coordsize="17244,1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">
                    <v:group id="Group 21723" o:spid="_x0000_s1653" style="position:absolute;left:-5621;top:-411;width:17243;height:10875" coordorigin="-5621,-269" coordsize="172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">
                      <v:group id="Group 21724" o:spid="_x0000_s1654" style="position:absolute;left:446;top:1571;width:8165;height:3018" coordorigin="-601" coordsize="8165,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">
                        <v:line id="Straight Connector 21725" o:spid="_x0000_s1655" style="position:absolute;visibility:visible;mso-wrap-style:square" from="-601,3017" to="7563,3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" strokeweight=".5pt">
                          <v:stroke joinstyle="miter"/>
                        </v:line>
                        <v:group id="Group 21726" o:spid="_x0000_s1656" style="position:absolute;left:1098;width:4899;height:3017" coordorigin="317" coordsize="489904,3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">
                          <v:line id="Straight Connector 21727" o:spid="_x0000_s1657" style="position:absolute;flip:x;visibility:visible;mso-wrap-style:square" from="147627,4763" to="371159,28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" strokeweight="1.5pt">
                            <v:stroke joinstyle="miter"/>
                          </v:line>
                          <v:line id="Straight Connector 21728" o:spid="_x0000_s1658" style="position:absolute;flip:x;visibility:visible;mso-wrap-style:square" from="317,0" to="209550,28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" strokeweight="1.5pt">
                            <v:stroke joinstyle="miter"/>
                          </v:line>
                          <v:line id="Straight Connector 21729" o:spid="_x0000_s1659" style="position:absolute;flip:x;visibility:visible;mso-wrap-style:square" from="304053,66675" to="490221,30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" strokeweight="1.5pt">
                            <v:stroke joinstyle="miter"/>
                          </v:line>
                        </v:group>
                      </v:group>
                      <v:group id="Group 21730" o:spid="_x0000_s1660" style="position:absolute;left:-5621;top:-269;width:17243;height:10889" coordorigin="-5621,-269" coordsize="172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">
                        <v:group id="Group 21731" o:spid="_x0000_s1661" style="position:absolute;top:-269;width:11622;height:10889" coordorigin=",-269" coordsize="11622,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">
                          <v:rect id="Rectangle 21732" o:spid="_x0000_s1662" style="position:absolute;left:5854;top:-269;width:5768;height:2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" filled="f" stroked="f">
                            <v:textbox inset="0,0,0,0">
                              <w:txbxContent>
                                <w:p w14:paraId="6C67288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-3 to 3.5</w:t>
                                  </w:r>
                                </w:p>
                              </w:txbxContent>
                            </v:textbox>
                          </v:rect>
                          <v:oval id="Oval 21733" o:spid="_x0000_s1663" style="position:absolute;top:1476;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" filled="f" strokeweight="1pt">
                            <v:stroke joinstyle="miter"/>
                          </v:oval>
                        </v:group>
                        <v:rect id="Rectangle 21734" o:spid="_x0000_s1664" style="position:absolute;left:-5621;top:-269;width:8150;height:2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" filled="f" stroked="f">
                          <v:textbox inset="0,0,0,0">
                            <w:txbxContent>
                              <w:p w14:paraId="4C8AE81C" w14:textId="77777777" w:rsidR="00CE6626" w:rsidRPr="001B6DF7" w:rsidRDefault="00CE6626" w:rsidP="00CE6626">
                                <w:pPr>
                                  <w:spacing w:before="0" w:after="0"/>
                                  <w:rPr>
                                    <w:rFonts w:asciiTheme="minorHAnsi" w:hAnsiTheme="minorHAnsi" w:cstheme="minorHAnsi"/>
                                    <w:sz w:val="20"/>
                                    <w:szCs w:val="20"/>
                                    <w:lang w:val="en-US"/>
                                  </w:rPr>
                                </w:pPr>
                                <w:r>
                                  <w:rPr>
                                    <w:rFonts w:asciiTheme="minorHAnsi" w:hAnsiTheme="minorHAnsi" w:cstheme="minorHAnsi"/>
                                    <w:sz w:val="20"/>
                                    <w:szCs w:val="20"/>
                                    <w:lang w:val="en-US"/>
                                  </w:rPr>
                                  <w:t>-3 to -3.5</w:t>
                                </w:r>
                              </w:p>
                            </w:txbxContent>
                          </v:textbox>
                        </v:rect>
                      </v:group>
                      <v:group id="Group 21735" o:spid="_x0000_s1665" style="position:absolute;left:1339;top:7520;width:7466;height:3049;rotation:180" coordorigin="-662" coordsize="7466,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">
                        <v:line id="Straight Connector 21736" o:spid="_x0000_s1666" style="position:absolute;rotation:180;flip:x;visibility:visible;mso-wrap-style:square" from="-662,1290" to="6804,3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" strokeweight=".5pt">
                          <v:stroke joinstyle="miter"/>
                        </v:line>
                        <v:group id="Group 21737" o:spid="_x0000_s1667" style="position:absolute;left:352;width:6169;height:2735" coordorigin="-743" coordsize="616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">
                          <v:line id="Straight Connector 21738" o:spid="_x0000_s1668" style="position:absolute;rotation:180;flip:y;visibility:visible;mso-wrap-style:square" from="1624,47" to="2905,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" strokeweight="1.5pt">
                            <v:stroke joinstyle="miter"/>
                          </v:line>
                          <v:line id="Straight Connector 21739" o:spid="_x0000_s1669" style="position:absolute;rotation:180;flip:y;visibility:visible;mso-wrap-style:square" from="2526,47" to="3711,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" strokeweight="1.5pt">
                            <v:stroke joinstyle="miter"/>
                          </v:line>
                          <v:line id="Straight Connector 21740" o:spid="_x0000_s1670" style="position:absolute;rotation:180;flip:y;visibility:visible;mso-wrap-style:square" from="190,0" to="2221,2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" strokeweight="1.5pt">
                            <v:stroke joinstyle="miter"/>
                          </v:line>
                          <v:line id="Straight Connector 21741" o:spid="_x0000_s1671" style="position:absolute;rotation:180;flip:y;visibility:visible;mso-wrap-style:square" from="3429,333" to="4330,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" strokeweight="1.5pt">
                            <v:stroke joinstyle="miter"/>
                          </v:line>
                          <v:line id="Straight Connector 21742" o:spid="_x0000_s1672" style="position:absolute;rotation:180;flip:y;visibility:visible;mso-wrap-style:square" from="-743,190" to="1092,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" strokeweight="1.5pt">
                            <v:stroke joinstyle="miter"/>
                          </v:line>
                          <v:line id="Straight Connector 21743" o:spid="_x0000_s1673" style="position:absolute;rotation:180;flip:y;visibility:visible;mso-wrap-style:square" from="4330,666" to="4902,1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" strokeweight="1.5pt">
                            <v:stroke joinstyle="miter"/>
                          </v:line>
                          <v:line id="Straight Connector 21744" o:spid="_x0000_s1674" style="position:absolute;flip:x;visibility:visible;mso-wrap-style:square" from="5000,1000" to="5426,1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" strokeweight="1.5pt">
                            <v:stroke joinstyle="miter"/>
                          </v:line>
                        </v:group>
                      </v:group>
                      <v:group id="Group 21745" o:spid="_x0000_s1675" style="position:absolute;left:-2202;top:4126;width:7236;height:2831;rotation:-90" coordorigin="-31,-47" coordsize="8270,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">
                        <v:line id="Straight Connector 21746" o:spid="_x0000_s1676" style="position:absolute;rotation:90;flip:x y;visibility:visible;mso-wrap-style:square" from="2446,477" to="2573,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" strokeweight=".5pt">
                          <v:stroke joinstyle="miter"/>
                        </v:line>
                        <v:group id="Group 21747" o:spid="_x0000_s1677" style="position:absolute;left:158;top:-47;width:8081;height:3128" coordorigin="-936,-47" coordsize="8081,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">
                          <v:line id="Straight Connector 21748" o:spid="_x0000_s1678" style="position:absolute;rotation:90;visibility:visible;mso-wrap-style:square" from="-219,432" to="2909,2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" strokeweight="1.5pt">
                            <v:stroke joinstyle="miter"/>
                          </v:line>
                          <v:line id="Straight Connector 21749" o:spid="_x0000_s1679" style="position:absolute;rotation:90;visibility:visible;mso-wrap-style:square" from="-1416,648" to="1228,2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" strokeweight="1.5pt">
                            <v:stroke joinstyle="miter"/>
                          </v:line>
                          <v:line id="Straight Connector 21750" o:spid="_x0000_s1680" style="position:absolute;rotation:90;visibility:visible;mso-wrap-style:square" from="2307,1020" to="4299,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" strokeweight="1.5pt">
                            <v:stroke joinstyle="miter"/>
                          </v:line>
                          <v:line id="Straight Connector 21751" o:spid="_x0000_s1681" style="position:absolute;rotation:-90;flip:x;visibility:visible;mso-wrap-style:square" from="4742,410" to="6735,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" strokeweight="1.5pt">
                            <v:stroke joinstyle="miter"/>
                          </v:line>
                        </v:group>
                      </v:group>
                    </v:group>
                    <v:rect id="Rectangle 21752" o:spid="_x0000_s1682" style="position:absolute;left:6858;top:9810;width:3187;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" filled="f" stroked="f">
                      <v:textbox inset="0,0,0,0">
                        <w:txbxContent>
                          <w:p w14:paraId="07F75A02" w14:textId="77777777" w:rsidR="00CE6626" w:rsidRPr="001B6DF7" w:rsidRDefault="00CE6626" w:rsidP="00CE6626">
                            <w:pPr>
                              <w:spacing w:before="0"/>
                              <w:jc w:val="center"/>
                              <w:rPr>
                                <w:rFonts w:asciiTheme="minorHAnsi" w:hAnsiTheme="minorHAnsi" w:cstheme="minorHAnsi"/>
                                <w:sz w:val="20"/>
                                <w:szCs w:val="20"/>
                                <w:lang w:val="en-US"/>
                              </w:rPr>
                            </w:pPr>
                            <w:r>
                              <w:rPr>
                                <w:rFonts w:asciiTheme="minorHAnsi" w:hAnsiTheme="minorHAnsi" w:cstheme="minorHAnsi"/>
                                <w:sz w:val="20"/>
                                <w:szCs w:val="20"/>
                                <w:lang w:val="en-US"/>
                              </w:rPr>
                              <w:t>-3</w:t>
                            </w:r>
                          </w:p>
                        </w:txbxContent>
                      </v:textbox>
                    </v:rect>
                  </v:group>
                </v:group>
                <v:shape id="Text Box 784" o:spid="_x0000_s1683" type="#_x0000_t202" style="position:absolute;left:24288;top:1047;width:1905;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" stroked="f">
                  <v:textbox inset="0,0,0,0">
                    <w:txbxContent>
                      <w:p w14:paraId="3744BE6B" w14:textId="77777777" w:rsidR="00CE6626" w:rsidRDefault="00CE6626" w:rsidP="00CE6626">
                        <w:pPr>
                          <w:spacing w:before="0" w:after="0" w:line="240" w:lineRule="auto"/>
                          <w:jc w:val="left"/>
                        </w:pPr>
                        <w:r>
                          <w:t>+</w:t>
                        </w:r>
                      </w:p>
                    </w:txbxContent>
                  </v:textbox>
                </v:shape>
                <v:group id="Group 21754" o:spid="_x0000_s1684" style="position:absolute;left:14859;top:1333;width:2667;height:8604" coordorigin="-95" coordsize="2667,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">
                  <v:shape id="Text Box 21755" o:spid="_x0000_s1685" type="#_x0000_t202" style="position:absolute;width:257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" stroked="f">
                    <v:textbox>
                      <w:txbxContent>
                        <w:p w14:paraId="6349D17B" w14:textId="77777777" w:rsidR="00CE6626" w:rsidRDefault="00CE6626" w:rsidP="00CE6626">
                          <w:r>
                            <w:t xml:space="preserve">+ </w:t>
                          </w:r>
                        </w:p>
                      </w:txbxContent>
                    </v:textbox>
                  </v:shape>
                  <v:shape id="Text Box 787" o:spid="_x0000_s1686" type="#_x0000_t202" style="position:absolute;left:-95;top:6096;width:2476;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" stroked="f">
                    <v:textbox inset="0,0,0">
                      <w:txbxContent>
                        <w:p w14:paraId="21F647E2" w14:textId="77777777" w:rsidR="00CE6626" w:rsidRDefault="00CE6626" w:rsidP="00CE6626">
                          <w:pPr>
                            <w:spacing w:before="0" w:after="0" w:line="240" w:lineRule="auto"/>
                            <w:jc w:val="right"/>
                          </w:pPr>
                          <w:r>
                            <w:t>+</w:t>
                          </w:r>
                        </w:p>
                      </w:txbxContent>
                    </v:textbox>
                  </v:shape>
                </v:group>
              </v:group>
            </w:pict>
          </mc:Fallback>
        </mc:AlternateContent>
      </w:r>
    </w:p>
    <w:p w14:paraId="7C057A36" w14:textId="47CF35A7" w:rsidR="00CE6626" w:rsidRPr="009D4627" w:rsidRDefault="00A2792E" w:rsidP="00CE6626">
      <w:pPr>
        <w:spacing w:before="0" w:line="240" w:lineRule="auto"/>
        <w:rPr>
          <w:bCs/>
          <w:szCs w:val="22"/>
          <w:lang w:val="en-MY"/>
        </w:rPr>
      </w:pPr>
      <w:r w:rsidRPr="009D4627">
        <w:rPr>
          <w:noProof/>
        </w:rPr>
        <mc:AlternateContent>
          <mc:Choice Requires="wps">
            <w:drawing>
              <wp:anchor distT="0" distB="0" distL="114300" distR="114300" simplePos="0" relativeHeight="251714560" behindDoc="0" locked="0" layoutInCell="1" allowOverlap="1" wp14:anchorId="6BADB601" wp14:editId="56A66C0D">
                <wp:simplePos x="0" y="0"/>
                <wp:positionH relativeFrom="column">
                  <wp:posOffset>2543175</wp:posOffset>
                </wp:positionH>
                <wp:positionV relativeFrom="paragraph">
                  <wp:posOffset>340995</wp:posOffset>
                </wp:positionV>
                <wp:extent cx="219075" cy="227330"/>
                <wp:effectExtent l="0" t="0" r="0" b="0"/>
                <wp:wrapNone/>
                <wp:docPr id="23743" name="Rectangle 23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 cy="227330"/>
                        </a:xfrm>
                        <a:prstGeom prst="rect">
                          <a:avLst/>
                        </a:prstGeom>
                        <a:noFill/>
                        <a:ln w="12700" cap="flat" cmpd="sng" algn="ctr">
                          <a:noFill/>
                          <a:prstDash val="solid"/>
                          <a:miter lim="800000"/>
                        </a:ln>
                        <a:effectLst/>
                      </wps:spPr>
                      <wps:txbx>
                        <w:txbxContent>
                          <w:p w14:paraId="003067AC"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DB601" id="Rectangle 23743" o:spid="_x0000_s1687" style="position:absolute;left:0;text-align:left;margin-left:200.25pt;margin-top:26.85pt;width:17.25pt;height:17.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" filled="f" stroked="f" strokeweight="1pt">
                <v:textbox inset="0,0,0,0">
                  <w:txbxContent>
                    <w:p w14:paraId="003067AC"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-2</w:t>
                      </w:r>
                    </w:p>
                  </w:txbxContent>
                </v:textbox>
              </v:rect>
            </w:pict>
          </mc:Fallback>
        </mc:AlternateContent>
      </w:r>
      <w:r w:rsidRPr="009D4627">
        <w:rPr>
          <w:noProof/>
        </w:rPr>
        <mc:AlternateContent>
          <mc:Choice Requires="wps">
            <w:drawing>
              <wp:anchor distT="0" distB="0" distL="114300" distR="114300" simplePos="0" relativeHeight="251713536" behindDoc="0" locked="0" layoutInCell="1" allowOverlap="1" wp14:anchorId="79B9C15F" wp14:editId="498C208A">
                <wp:simplePos x="0" y="0"/>
                <wp:positionH relativeFrom="column">
                  <wp:posOffset>1788160</wp:posOffset>
                </wp:positionH>
                <wp:positionV relativeFrom="paragraph">
                  <wp:posOffset>131445</wp:posOffset>
                </wp:positionV>
                <wp:extent cx="110490" cy="114300"/>
                <wp:effectExtent l="0" t="0" r="3810" b="0"/>
                <wp:wrapNone/>
                <wp:docPr id="23742" name="Straight Connector 237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90" cy="1143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494E27" id="Straight Connector 23742"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8pt,10.35pt" to="149.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" strokecolor="windowText" strokeweight="1.5pt">
                <v:stroke joinstyle="miter"/>
                <o:lock v:ext="edit" shapetype="f"/>
              </v:line>
            </w:pict>
          </mc:Fallback>
        </mc:AlternateContent>
      </w:r>
    </w:p>
    <w:p w14:paraId="792E586F" w14:textId="77777777" w:rsidR="00CE6626" w:rsidRPr="009D4627" w:rsidRDefault="00CE6626" w:rsidP="00CE6626">
      <w:pPr>
        <w:spacing w:before="0" w:after="0" w:line="240" w:lineRule="auto"/>
        <w:rPr>
          <w:bCs/>
          <w:szCs w:val="22"/>
          <w:lang w:val="en-MY"/>
        </w:rPr>
      </w:pPr>
    </w:p>
    <w:p w14:paraId="02038D0B" w14:textId="77777777" w:rsidR="00CE6626" w:rsidRPr="009D4627" w:rsidRDefault="00CE6626" w:rsidP="00CE6626">
      <w:pPr>
        <w:spacing w:before="0" w:after="0" w:line="240" w:lineRule="auto"/>
        <w:rPr>
          <w:b/>
          <w:szCs w:val="22"/>
          <w:lang w:val="en-MY"/>
        </w:rPr>
      </w:pPr>
    </w:p>
    <w:p w14:paraId="5D469611" w14:textId="77777777" w:rsidR="00CE6626" w:rsidRPr="009D4627" w:rsidRDefault="00CE6626" w:rsidP="00CE6626">
      <w:pPr>
        <w:spacing w:before="0" w:after="0" w:line="240" w:lineRule="auto"/>
        <w:rPr>
          <w:b/>
          <w:szCs w:val="22"/>
          <w:lang w:val="en-MY"/>
        </w:rPr>
      </w:pPr>
    </w:p>
    <w:p w14:paraId="77F7F76C" w14:textId="77777777" w:rsidR="00CE6626" w:rsidRPr="009D4627" w:rsidRDefault="00CE6626" w:rsidP="00CE6626">
      <w:pPr>
        <w:spacing w:before="0" w:after="0" w:line="240" w:lineRule="auto"/>
        <w:rPr>
          <w:b/>
          <w:szCs w:val="22"/>
          <w:lang w:val="en-MY"/>
        </w:rPr>
      </w:pPr>
    </w:p>
    <w:p w14:paraId="7EDBD4A1"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1/3 m 40</w:t>
      </w:r>
      <w:r w:rsidRPr="009D4627">
        <w:rPr>
          <w:bCs/>
          <w:szCs w:val="22"/>
          <w:vertAlign w:val="superscript"/>
          <w:lang w:val="en-MY"/>
        </w:rPr>
        <w:t>Δ</w:t>
      </w:r>
      <w:r w:rsidRPr="009D4627">
        <w:rPr>
          <w:bCs/>
          <w:szCs w:val="22"/>
          <w:lang w:val="en-MY"/>
        </w:rPr>
        <w:t xml:space="preserve"> XT 14-16</w:t>
      </w:r>
      <w:r w:rsidRPr="009D4627">
        <w:rPr>
          <w:bCs/>
          <w:szCs w:val="22"/>
          <w:vertAlign w:val="superscript"/>
          <w:lang w:val="en-MY"/>
        </w:rPr>
        <w:t>Δ</w:t>
      </w:r>
      <w:r w:rsidRPr="009D4627">
        <w:rPr>
          <w:bCs/>
          <w:szCs w:val="22"/>
          <w:lang w:val="en-MY"/>
        </w:rPr>
        <w:t xml:space="preserve"> RHT </w:t>
      </w:r>
    </w:p>
    <w:p w14:paraId="527921FE" w14:textId="77777777" w:rsidR="00CE6626" w:rsidRPr="009D4627" w:rsidRDefault="00CE6626" w:rsidP="00CE6626">
      <w:pPr>
        <w:spacing w:before="0" w:after="0" w:line="240" w:lineRule="auto"/>
        <w:rPr>
          <w:bCs/>
          <w:szCs w:val="22"/>
          <w:lang w:val="en-MY"/>
        </w:rPr>
      </w:pPr>
      <w:r w:rsidRPr="009D4627">
        <w:rPr>
          <w:bCs/>
          <w:szCs w:val="22"/>
          <w:lang w:val="en-MY"/>
        </w:rPr>
        <w:tab/>
        <w:t xml:space="preserve">with glasses </w:t>
      </w:r>
      <w:r w:rsidRPr="009D4627">
        <w:rPr>
          <w:bCs/>
          <w:szCs w:val="22"/>
          <w:lang w:val="en-MY"/>
        </w:rPr>
        <w:tab/>
        <w:t xml:space="preserve">6 m:                            </w:t>
      </w:r>
    </w:p>
    <w:p w14:paraId="0C19F0B5" w14:textId="77777777" w:rsidR="00CE6626" w:rsidRPr="009D4627" w:rsidRDefault="00CE6626" w:rsidP="00CE6626">
      <w:pPr>
        <w:spacing w:before="0" w:after="0" w:line="240" w:lineRule="auto"/>
        <w:rPr>
          <w:bCs/>
          <w:szCs w:val="22"/>
          <w:u w:val="single"/>
          <w:lang w:val="en-MY"/>
        </w:rPr>
      </w:pPr>
      <w:r w:rsidRPr="009D4627">
        <w:rPr>
          <w:bCs/>
          <w:szCs w:val="22"/>
          <w:lang w:val="en-MY"/>
        </w:rPr>
        <w:tab/>
      </w:r>
      <w:r w:rsidRPr="009D4627">
        <w:rPr>
          <w:bCs/>
          <w:szCs w:val="22"/>
          <w:lang w:val="en-MY"/>
        </w:rPr>
        <w:tab/>
      </w:r>
      <w:r w:rsidRPr="009D4627">
        <w:rPr>
          <w:bCs/>
          <w:szCs w:val="22"/>
          <w:lang w:val="en-MY"/>
        </w:rPr>
        <w:tab/>
        <w:t xml:space="preserve">  </w:t>
      </w:r>
      <w:r w:rsidRPr="009D4627">
        <w:rPr>
          <w:bCs/>
          <w:szCs w:val="22"/>
          <w:u w:val="single"/>
          <w:lang w:val="en-MY"/>
        </w:rPr>
        <w:t>Right gaze</w:t>
      </w:r>
      <w:r w:rsidRPr="009D4627">
        <w:rPr>
          <w:bCs/>
          <w:szCs w:val="22"/>
          <w:lang w:val="en-MY"/>
        </w:rPr>
        <w:tab/>
        <w:t xml:space="preserve">     </w:t>
      </w:r>
      <w:r w:rsidRPr="009D4627">
        <w:rPr>
          <w:bCs/>
          <w:szCs w:val="22"/>
          <w:lang w:val="en-MY"/>
        </w:rPr>
        <w:tab/>
        <w:t xml:space="preserve"> </w:t>
      </w:r>
      <w:r w:rsidRPr="009D4627">
        <w:rPr>
          <w:bCs/>
          <w:szCs w:val="22"/>
          <w:u w:val="single"/>
          <w:lang w:val="en-MY"/>
        </w:rPr>
        <w:t>PP</w:t>
      </w:r>
      <w:r w:rsidRPr="009D4627">
        <w:rPr>
          <w:bCs/>
          <w:szCs w:val="22"/>
          <w:lang w:val="en-MY"/>
        </w:rPr>
        <w:tab/>
      </w:r>
      <w:r w:rsidRPr="009D4627">
        <w:rPr>
          <w:bCs/>
          <w:szCs w:val="22"/>
          <w:lang w:val="en-MY"/>
        </w:rPr>
        <w:tab/>
      </w:r>
      <w:r w:rsidRPr="009D4627">
        <w:rPr>
          <w:bCs/>
          <w:szCs w:val="22"/>
          <w:u w:val="single"/>
          <w:lang w:val="en-MY"/>
        </w:rPr>
        <w:t>Left gaze</w:t>
      </w:r>
    </w:p>
    <w:p w14:paraId="5A3404A7" w14:textId="77777777" w:rsidR="00CE6626" w:rsidRPr="009D4627" w:rsidRDefault="00CE6626" w:rsidP="00CE6626">
      <w:pPr>
        <w:spacing w:before="0" w:line="240" w:lineRule="auto"/>
        <w:rPr>
          <w:bCs/>
          <w:szCs w:val="22"/>
          <w:lang w:val="en-MY"/>
        </w:rPr>
      </w:pPr>
      <w:r w:rsidRPr="009D4627">
        <w:rPr>
          <w:bCs/>
          <w:szCs w:val="22"/>
          <w:lang w:val="en-MY"/>
        </w:rPr>
        <w:t xml:space="preserve">                               </w:t>
      </w:r>
      <w:r w:rsidRPr="009D4627">
        <w:rPr>
          <w:bCs/>
          <w:szCs w:val="22"/>
          <w:lang w:val="en-MY"/>
        </w:rPr>
        <w:tab/>
        <w:t>9</w:t>
      </w:r>
      <w:r w:rsidRPr="009D4627">
        <w:rPr>
          <w:bCs/>
          <w:szCs w:val="22"/>
          <w:vertAlign w:val="superscript"/>
          <w:lang w:val="en-MY"/>
        </w:rPr>
        <w:t>Δ</w:t>
      </w:r>
      <w:r w:rsidRPr="009D4627">
        <w:rPr>
          <w:bCs/>
          <w:szCs w:val="22"/>
          <w:lang w:val="en-MY"/>
        </w:rPr>
        <w:t xml:space="preserve"> XT 2</w:t>
      </w:r>
      <w:r w:rsidRPr="009D4627">
        <w:rPr>
          <w:bCs/>
          <w:szCs w:val="22"/>
          <w:vertAlign w:val="superscript"/>
          <w:lang w:val="en-MY"/>
        </w:rPr>
        <w:t>Δ</w:t>
      </w:r>
      <w:r w:rsidRPr="009D4627">
        <w:rPr>
          <w:bCs/>
          <w:szCs w:val="22"/>
          <w:lang w:val="en-MY"/>
        </w:rPr>
        <w:t xml:space="preserve"> LHT </w:t>
      </w:r>
      <w:r w:rsidRPr="009D4627">
        <w:rPr>
          <w:bCs/>
          <w:szCs w:val="22"/>
          <w:lang w:val="en-MY"/>
        </w:rPr>
        <w:sym w:font="Wingdings" w:char="F0DF"/>
      </w:r>
      <w:r w:rsidRPr="009D4627">
        <w:rPr>
          <w:bCs/>
          <w:szCs w:val="22"/>
          <w:lang w:val="en-MY"/>
        </w:rPr>
        <w:t xml:space="preserve">  20Δ XT 10</w:t>
      </w:r>
      <w:r w:rsidRPr="009D4627">
        <w:rPr>
          <w:bCs/>
          <w:szCs w:val="22"/>
          <w:vertAlign w:val="superscript"/>
          <w:lang w:val="en-MY"/>
        </w:rPr>
        <w:t>Δ</w:t>
      </w:r>
      <w:r w:rsidRPr="009D4627">
        <w:rPr>
          <w:bCs/>
          <w:szCs w:val="22"/>
          <w:lang w:val="en-MY"/>
        </w:rPr>
        <w:t xml:space="preserve"> LHT </w:t>
      </w:r>
      <w:r w:rsidRPr="009D4627">
        <w:rPr>
          <w:bCs/>
          <w:szCs w:val="22"/>
          <w:lang w:val="en-MY"/>
        </w:rPr>
        <w:sym w:font="Wingdings" w:char="F0E0"/>
      </w:r>
      <w:r w:rsidRPr="009D4627">
        <w:rPr>
          <w:bCs/>
          <w:szCs w:val="22"/>
          <w:lang w:val="en-MY"/>
        </w:rPr>
        <w:t xml:space="preserve"> 30</w:t>
      </w:r>
      <w:r w:rsidRPr="009D4627">
        <w:rPr>
          <w:bCs/>
          <w:szCs w:val="22"/>
          <w:vertAlign w:val="superscript"/>
          <w:lang w:val="en-MY"/>
        </w:rPr>
        <w:t>Δ</w:t>
      </w:r>
      <w:r w:rsidRPr="009D4627">
        <w:rPr>
          <w:bCs/>
          <w:szCs w:val="22"/>
          <w:lang w:val="en-MY"/>
        </w:rPr>
        <w:t xml:space="preserve"> XT 10-12</w:t>
      </w:r>
      <w:r w:rsidRPr="009D4627">
        <w:rPr>
          <w:bCs/>
          <w:szCs w:val="22"/>
          <w:vertAlign w:val="superscript"/>
          <w:lang w:val="en-MY"/>
        </w:rPr>
        <w:t>Δ</w:t>
      </w:r>
      <w:r w:rsidRPr="009D4627">
        <w:rPr>
          <w:bCs/>
          <w:szCs w:val="22"/>
          <w:lang w:val="en-MY"/>
        </w:rPr>
        <w:t xml:space="preserve"> LHT </w:t>
      </w:r>
    </w:p>
    <w:p w14:paraId="18A35DA7" w14:textId="77777777" w:rsidR="00CE6626" w:rsidRPr="009D4627" w:rsidRDefault="00CE6626" w:rsidP="00CE6626">
      <w:pPr>
        <w:spacing w:before="0" w:after="0" w:line="240" w:lineRule="auto"/>
        <w:rPr>
          <w:b/>
          <w:szCs w:val="22"/>
          <w:lang w:val="en-MY"/>
        </w:rPr>
      </w:pPr>
      <w:r w:rsidRPr="009D4627">
        <w:rPr>
          <w:b/>
          <w:szCs w:val="22"/>
          <w:lang w:val="en-MY"/>
        </w:rPr>
        <w:t xml:space="preserve"> Lids </w:t>
      </w:r>
      <w:r w:rsidRPr="009D4627">
        <w:rPr>
          <w:bCs/>
          <w:szCs w:val="22"/>
          <w:lang w:val="en-MY"/>
        </w:rPr>
        <w:t>- slight R Ptosis</w:t>
      </w:r>
      <w:r w:rsidRPr="009D4627">
        <w:rPr>
          <w:b/>
          <w:szCs w:val="22"/>
          <w:lang w:val="en-MY"/>
        </w:rPr>
        <w:t xml:space="preserve"> </w:t>
      </w:r>
    </w:p>
    <w:p w14:paraId="4E4C811F" w14:textId="01C90976" w:rsidR="00CE6626" w:rsidRPr="009D4627" w:rsidRDefault="00A2792E" w:rsidP="00CE6626">
      <w:pPr>
        <w:spacing w:before="0" w:after="0" w:line="240" w:lineRule="auto"/>
        <w:rPr>
          <w:bCs/>
          <w:szCs w:val="22"/>
          <w:lang w:val="en-MY"/>
        </w:rPr>
      </w:pPr>
      <w:r w:rsidRPr="009D4627">
        <w:rPr>
          <w:noProof/>
        </w:rPr>
        <mc:AlternateContent>
          <mc:Choice Requires="wpg">
            <w:drawing>
              <wp:anchor distT="0" distB="0" distL="114300" distR="114300" simplePos="0" relativeHeight="251712512" behindDoc="0" locked="0" layoutInCell="1" allowOverlap="1" wp14:anchorId="23AA5F36" wp14:editId="1FC9249A">
                <wp:simplePos x="0" y="0"/>
                <wp:positionH relativeFrom="column">
                  <wp:posOffset>1990725</wp:posOffset>
                </wp:positionH>
                <wp:positionV relativeFrom="paragraph">
                  <wp:posOffset>140970</wp:posOffset>
                </wp:positionV>
                <wp:extent cx="1906905" cy="567690"/>
                <wp:effectExtent l="0" t="0" r="0" b="0"/>
                <wp:wrapNone/>
                <wp:docPr id="23731" name="Group 23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905" cy="567690"/>
                          <a:chOff x="0" y="0"/>
                          <a:chExt cx="20241" cy="6134"/>
                        </a:xfrm>
                      </wpg:grpSpPr>
                      <wpg:grpSp>
                        <wpg:cNvPr id="23732" name="Group 21760"/>
                        <wpg:cNvGrpSpPr>
                          <a:grpSpLocks/>
                        </wpg:cNvGrpSpPr>
                        <wpg:grpSpPr bwMode="auto">
                          <a:xfrm>
                            <a:off x="0" y="285"/>
                            <a:ext cx="8692" cy="5849"/>
                            <a:chOff x="0" y="0"/>
                            <a:chExt cx="8692" cy="5852"/>
                          </a:xfrm>
                        </wpg:grpSpPr>
                        <wps:wsp>
                          <wps:cNvPr id="23733" name="Arc 21761"/>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734" name="Arc 21762"/>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735" name="Straight Arrow Connector 21763"/>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736" name="Rectangle 21764"/>
                          <wps:cNvSpPr>
                            <a:spLocks noChangeArrowheads="1"/>
                          </wps:cNvSpPr>
                          <wps:spPr bwMode="auto">
                            <a:xfrm>
                              <a:off x="3000" y="1813"/>
                              <a:ext cx="5692" cy="1905"/>
                            </a:xfrm>
                            <a:prstGeom prst="rect">
                              <a:avLst/>
                            </a:prstGeom>
                            <a:noFill/>
                            <a:ln>
                              <a:noFill/>
                            </a:ln>
                          </wps:spPr>
                          <wps:txbx>
                            <w:txbxContent>
                              <w:p w14:paraId="5C05D84C"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4 mm</w:t>
                                </w:r>
                              </w:p>
                            </w:txbxContent>
                          </wps:txbx>
                          <wps:bodyPr rot="0" vert="horz" wrap="square" lIns="0" tIns="0" rIns="0" bIns="0" anchor="ctr" anchorCtr="0" upright="1">
                            <a:noAutofit/>
                          </wps:bodyPr>
                        </wps:wsp>
                      </wpg:grpSp>
                      <wpg:grpSp>
                        <wpg:cNvPr id="23737" name="Group 21765"/>
                        <wpg:cNvGrpSpPr>
                          <a:grpSpLocks/>
                        </wpg:cNvGrpSpPr>
                        <wpg:grpSpPr bwMode="auto">
                          <a:xfrm>
                            <a:off x="12954" y="0"/>
                            <a:ext cx="7287" cy="5848"/>
                            <a:chOff x="0" y="0"/>
                            <a:chExt cx="7287" cy="5852"/>
                          </a:xfrm>
                        </wpg:grpSpPr>
                        <wps:wsp>
                          <wps:cNvPr id="23738" name="Arc 21766"/>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739" name="Arc 21767"/>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740" name="Straight Arrow Connector 21768"/>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741" name="Rectangle 21769"/>
                          <wps:cNvSpPr>
                            <a:spLocks noChangeArrowheads="1"/>
                          </wps:cNvSpPr>
                          <wps:spPr bwMode="auto">
                            <a:xfrm>
                              <a:off x="3001" y="1814"/>
                              <a:ext cx="4286" cy="1905"/>
                            </a:xfrm>
                            <a:prstGeom prst="rect">
                              <a:avLst/>
                            </a:prstGeom>
                            <a:noFill/>
                            <a:ln>
                              <a:noFill/>
                            </a:ln>
                          </wps:spPr>
                          <wps:txbx>
                            <w:txbxContent>
                              <w:p w14:paraId="6747B8E5"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11mm mm</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3AA5F36" id="Group 23731" o:spid="_x0000_s1688" style="position:absolute;left:0;text-align:left;margin-left:156.75pt;margin-top:11.1pt;width:150.15pt;height:44.7pt;z-index:251712512;mso-position-horizontal-relative:text;mso-position-vertical-relative:text;mso-width-relative:margin;mso-height-relative:margin" coordsize="20241,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">
                <v:group id="Group 21760" o:spid="_x0000_s1689" style="position:absolute;top:285;width:8692;height:5849" coordsize="869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">
                  <v:shape id="Arc 21761" o:spid="_x0000_s1690"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762" o:spid="_x0000_s1691"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763" o:spid="_x0000_s1692"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" strokeweight=".5pt">
                    <v:stroke startarrow="open" endarrow="open" joinstyle="miter"/>
                  </v:shape>
                  <v:rect id="Rectangle 21764" o:spid="_x0000_s1693" style="position:absolute;left:3000;top:1813;width:569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" filled="f" stroked="f">
                    <v:textbox inset="0,0,0,0">
                      <w:txbxContent>
                        <w:p w14:paraId="5C05D84C"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4 mm</w:t>
                          </w:r>
                        </w:p>
                      </w:txbxContent>
                    </v:textbox>
                  </v:rect>
                </v:group>
                <v:group id="Group 21765" o:spid="_x0000_s1694" style="position:absolute;left:12954;width:7287;height:5848" coordsize="7287,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">
                  <v:shape id="Arc 21766" o:spid="_x0000_s1695"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767" o:spid="_x0000_s1696"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768" o:spid="_x0000_s1697"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" strokeweight=".5pt">
                    <v:stroke startarrow="open" endarrow="open" joinstyle="miter"/>
                  </v:shape>
                  <v:rect id="Rectangle 21769" o:spid="_x0000_s1698" style="position:absolute;left:3001;top:1814;width:428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" filled="f" stroked="f">
                    <v:textbox inset="0,0,0,0">
                      <w:txbxContent>
                        <w:p w14:paraId="6747B8E5"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11mm mm</w:t>
                          </w:r>
                        </w:p>
                      </w:txbxContent>
                    </v:textbox>
                  </v:rect>
                </v:group>
              </v:group>
            </w:pict>
          </mc:Fallback>
        </mc:AlternateContent>
      </w:r>
      <w:r w:rsidR="00CE6626" w:rsidRPr="009D4627">
        <w:rPr>
          <w:b/>
          <w:szCs w:val="22"/>
          <w:lang w:val="en-MY"/>
        </w:rPr>
        <w:t xml:space="preserve">         </w:t>
      </w:r>
      <w:r w:rsidR="00CE6626" w:rsidRPr="009D4627">
        <w:rPr>
          <w:bCs/>
          <w:szCs w:val="22"/>
          <w:lang w:val="en-MY"/>
        </w:rPr>
        <w:t xml:space="preserve">- palpebral apertures: </w:t>
      </w:r>
    </w:p>
    <w:p w14:paraId="6802579A" w14:textId="77777777" w:rsidR="00CE6626" w:rsidRPr="009D4627" w:rsidRDefault="00CE6626" w:rsidP="00CE6626">
      <w:pPr>
        <w:spacing w:before="0" w:after="0" w:line="240" w:lineRule="auto"/>
        <w:rPr>
          <w:szCs w:val="22"/>
          <w:lang w:val="en-MY"/>
        </w:rPr>
      </w:pPr>
    </w:p>
    <w:p w14:paraId="3CE7AAE1" w14:textId="77777777" w:rsidR="00CE6626" w:rsidRPr="009D4627" w:rsidRDefault="00CE6626" w:rsidP="00CE6626">
      <w:pPr>
        <w:spacing w:before="0" w:after="0" w:line="240" w:lineRule="auto"/>
        <w:rPr>
          <w:b/>
          <w:szCs w:val="22"/>
          <w:lang w:val="en-MY"/>
        </w:rPr>
      </w:pPr>
    </w:p>
    <w:p w14:paraId="1E933DDA" w14:textId="77777777" w:rsidR="00CE6626" w:rsidRPr="009D4627" w:rsidRDefault="00CE6626" w:rsidP="00CE6626">
      <w:pPr>
        <w:spacing w:before="0" w:after="0" w:line="240" w:lineRule="auto"/>
        <w:rPr>
          <w:b/>
          <w:szCs w:val="22"/>
          <w:lang w:val="en-MY"/>
        </w:rPr>
      </w:pPr>
    </w:p>
    <w:p w14:paraId="11B88BF2" w14:textId="77777777" w:rsidR="00CE6626" w:rsidRPr="009D4627" w:rsidRDefault="00CE6626" w:rsidP="00CE6626">
      <w:pPr>
        <w:spacing w:before="0" w:after="0" w:line="240" w:lineRule="auto"/>
        <w:rPr>
          <w:szCs w:val="22"/>
          <w:lang w:val="en-MY"/>
        </w:rPr>
      </w:pPr>
      <w:r w:rsidRPr="009D4627">
        <w:rPr>
          <w:b/>
          <w:szCs w:val="22"/>
          <w:lang w:val="en-MY"/>
        </w:rPr>
        <w:tab/>
      </w:r>
      <w:r w:rsidRPr="009D4627">
        <w:rPr>
          <w:szCs w:val="22"/>
          <w:lang w:val="en-MY"/>
        </w:rPr>
        <w:t xml:space="preserve">No Cogan’s lid twitch, slight fatigue on sustained up-gaze </w:t>
      </w:r>
    </w:p>
    <w:p w14:paraId="6FDD7BC8" w14:textId="77777777" w:rsidR="00CE6626" w:rsidRPr="009D4627" w:rsidRDefault="00CE6626" w:rsidP="00CE6626">
      <w:pPr>
        <w:spacing w:before="0" w:after="0" w:line="240" w:lineRule="auto"/>
        <w:rPr>
          <w:szCs w:val="22"/>
          <w:lang w:val="en-MY"/>
        </w:rPr>
      </w:pPr>
    </w:p>
    <w:p w14:paraId="1EE2A2B1" w14:textId="77777777" w:rsidR="00CE6626" w:rsidRPr="009D4627" w:rsidRDefault="00CE6626" w:rsidP="00CE6626">
      <w:pPr>
        <w:spacing w:before="0" w:after="0" w:line="240" w:lineRule="auto"/>
        <w:rPr>
          <w:szCs w:val="22"/>
          <w:lang w:val="en-MY"/>
        </w:rPr>
      </w:pPr>
      <w:r w:rsidRPr="009D4627">
        <w:rPr>
          <w:b/>
          <w:szCs w:val="22"/>
          <w:lang w:val="en-MY"/>
        </w:rPr>
        <w:t>Pupils:</w:t>
      </w:r>
      <w:r w:rsidRPr="009D4627">
        <w:rPr>
          <w:szCs w:val="22"/>
          <w:lang w:val="en-MY"/>
        </w:rPr>
        <w:t xml:space="preserve"> No pupil dilation – both pupils small and react to light and accommodation – no RAPD</w:t>
      </w:r>
    </w:p>
    <w:p w14:paraId="77881DAA" w14:textId="77777777" w:rsidR="00CE6626" w:rsidRPr="009D4627" w:rsidRDefault="00CE6626" w:rsidP="00CE6626">
      <w:pPr>
        <w:spacing w:before="0" w:after="0" w:line="240" w:lineRule="auto"/>
        <w:rPr>
          <w:szCs w:val="22"/>
          <w:lang w:val="en-MY"/>
        </w:rPr>
      </w:pPr>
    </w:p>
    <w:p w14:paraId="3BE6F9E5" w14:textId="77777777" w:rsidR="00CE6626" w:rsidRPr="009D4627" w:rsidRDefault="00CE6626" w:rsidP="00CE6626">
      <w:pPr>
        <w:spacing w:before="0" w:after="0" w:line="240" w:lineRule="auto"/>
        <w:ind w:left="2160" w:hanging="2160"/>
        <w:rPr>
          <w:szCs w:val="22"/>
          <w:lang w:val="en-MY"/>
        </w:rPr>
      </w:pPr>
      <w:r w:rsidRPr="009D4627">
        <w:rPr>
          <w:b/>
          <w:bCs/>
          <w:szCs w:val="22"/>
          <w:lang w:val="en-MY"/>
        </w:rPr>
        <w:t xml:space="preserve">Assessment &amp; plan: </w:t>
      </w:r>
      <w:r w:rsidRPr="009D4627">
        <w:rPr>
          <w:b/>
          <w:bCs/>
          <w:szCs w:val="22"/>
          <w:lang w:val="en-MY"/>
        </w:rPr>
        <w:tab/>
      </w:r>
      <w:r w:rsidRPr="009D4627">
        <w:rPr>
          <w:szCs w:val="22"/>
          <w:lang w:val="en-MY"/>
        </w:rPr>
        <w:t>Partial R third nerve palsy with pupil sparing, some functioning, potentially related to diabetes /small vessel disease.</w:t>
      </w:r>
    </w:p>
    <w:p w14:paraId="270D98D7" w14:textId="77777777" w:rsidR="00CE6626" w:rsidRPr="009D4627" w:rsidRDefault="00CE6626" w:rsidP="00CE6626">
      <w:pPr>
        <w:spacing w:before="0" w:after="0" w:line="240" w:lineRule="auto"/>
        <w:ind w:left="2160"/>
        <w:rPr>
          <w:b/>
          <w:szCs w:val="22"/>
          <w:u w:val="single"/>
          <w:lang w:val="en-MY"/>
        </w:rPr>
      </w:pPr>
      <w:r w:rsidRPr="009D4627">
        <w:rPr>
          <w:szCs w:val="22"/>
          <w:lang w:val="en-MY"/>
        </w:rPr>
        <w:t xml:space="preserve">Unable to join diplopia as too </w:t>
      </w:r>
      <w:proofErr w:type="spellStart"/>
      <w:r w:rsidRPr="009D4627">
        <w:rPr>
          <w:szCs w:val="22"/>
          <w:lang w:val="en-MY"/>
        </w:rPr>
        <w:t>incomitant</w:t>
      </w:r>
      <w:proofErr w:type="spellEnd"/>
      <w:r w:rsidRPr="009D4627">
        <w:rPr>
          <w:szCs w:val="22"/>
          <w:lang w:val="en-MY"/>
        </w:rPr>
        <w:t xml:space="preserve"> at the moment, given L occlusive blender to R lens of glasses.</w:t>
      </w:r>
    </w:p>
    <w:p w14:paraId="4FAD30FE" w14:textId="77777777" w:rsidR="00CE6626" w:rsidRPr="009D4627" w:rsidRDefault="00CE6626" w:rsidP="00CE6626">
      <w:pPr>
        <w:spacing w:before="0" w:after="0" w:line="240" w:lineRule="auto"/>
        <w:rPr>
          <w:color w:val="FF0000"/>
          <w:szCs w:val="22"/>
          <w:lang w:val="en-MY"/>
        </w:rPr>
      </w:pPr>
    </w:p>
    <w:p w14:paraId="423D65A7" w14:textId="77777777" w:rsidR="00CE6626" w:rsidRPr="009D4627" w:rsidRDefault="00CE6626" w:rsidP="00CE6626">
      <w:pPr>
        <w:spacing w:before="0" w:after="0" w:line="240" w:lineRule="auto"/>
        <w:rPr>
          <w:b/>
          <w:szCs w:val="22"/>
          <w:u w:val="single"/>
          <w:lang w:val="en-MY"/>
        </w:rPr>
      </w:pPr>
    </w:p>
    <w:p w14:paraId="4871884A" w14:textId="77777777" w:rsidR="00CE6626" w:rsidRPr="009D4627" w:rsidRDefault="00CE6626" w:rsidP="00CE6626">
      <w:pPr>
        <w:spacing w:before="0" w:after="0" w:line="240" w:lineRule="auto"/>
        <w:rPr>
          <w:color w:val="auto"/>
          <w:szCs w:val="22"/>
          <w:lang w:val="en-MY"/>
        </w:rPr>
      </w:pPr>
      <w:r w:rsidRPr="009D4627">
        <w:rPr>
          <w:b/>
          <w:szCs w:val="22"/>
          <w:u w:val="single"/>
          <w:lang w:val="en-MY"/>
        </w:rPr>
        <w:t xml:space="preserve">Clinical visit 2: </w:t>
      </w:r>
      <w:r w:rsidRPr="009D4627">
        <w:rPr>
          <w:bCs/>
          <w:szCs w:val="22"/>
          <w:u w:val="single"/>
          <w:lang w:val="en-MY"/>
        </w:rPr>
        <w:t>16/11/18 (2</w:t>
      </w:r>
      <w:r w:rsidRPr="009D4627">
        <w:rPr>
          <w:bCs/>
          <w:color w:val="FF0000"/>
          <w:szCs w:val="22"/>
          <w:u w:val="single"/>
          <w:lang w:val="en-MY"/>
        </w:rPr>
        <w:t xml:space="preserve"> </w:t>
      </w:r>
      <w:r w:rsidRPr="009D4627">
        <w:rPr>
          <w:bCs/>
          <w:color w:val="auto"/>
          <w:szCs w:val="22"/>
          <w:u w:val="single"/>
          <w:lang w:val="en-MY"/>
        </w:rPr>
        <w:t>weeks from onset)</w:t>
      </w:r>
    </w:p>
    <w:p w14:paraId="468669CE" w14:textId="77777777" w:rsidR="00CE6626" w:rsidRPr="009D4627" w:rsidRDefault="00CE6626" w:rsidP="00CE6626">
      <w:pPr>
        <w:spacing w:before="0" w:after="0" w:line="240" w:lineRule="auto"/>
        <w:rPr>
          <w:color w:val="auto"/>
          <w:szCs w:val="22"/>
          <w:lang w:val="en-MY"/>
        </w:rPr>
      </w:pPr>
    </w:p>
    <w:p w14:paraId="2D95E565" w14:textId="77777777" w:rsidR="00CE6626" w:rsidRPr="009D4627" w:rsidRDefault="00CE6626" w:rsidP="00CE6626">
      <w:pPr>
        <w:spacing w:before="0" w:after="0" w:line="240" w:lineRule="auto"/>
        <w:rPr>
          <w:color w:val="auto"/>
          <w:szCs w:val="22"/>
          <w:lang w:val="en-MY"/>
        </w:rPr>
      </w:pPr>
      <w:r w:rsidRPr="009D4627">
        <w:rPr>
          <w:color w:val="auto"/>
          <w:szCs w:val="22"/>
          <w:lang w:val="en-MY"/>
        </w:rPr>
        <w:t>Presumed microvascular (Type I diabetic) recent onset R third nerve palsy with pupil sparing. Has blender on R lens of bifocals – feels some improvement over last 2 weeks.</w:t>
      </w:r>
    </w:p>
    <w:p w14:paraId="6A8E1A32" w14:textId="77777777" w:rsidR="00CE6626" w:rsidRPr="009D4627" w:rsidRDefault="00CE6626" w:rsidP="00CE6626">
      <w:pPr>
        <w:spacing w:before="0" w:after="0" w:line="240" w:lineRule="auto"/>
        <w:rPr>
          <w:b/>
          <w:szCs w:val="22"/>
          <w:lang w:val="en-MY"/>
        </w:rPr>
      </w:pPr>
    </w:p>
    <w:p w14:paraId="688FED71"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0.14</w:t>
      </w:r>
      <w:r w:rsidRPr="009D4627">
        <w:rPr>
          <w:bCs/>
          <w:szCs w:val="22"/>
          <w:lang w:val="en-MY"/>
        </w:rPr>
        <w:tab/>
      </w:r>
      <w:r w:rsidRPr="009D4627">
        <w:rPr>
          <w:bCs/>
          <w:szCs w:val="22"/>
          <w:lang w:val="en-MY"/>
        </w:rPr>
        <w:tab/>
        <w:t xml:space="preserve">LE 0.04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7494FCDC" w14:textId="36586E4A" w:rsidR="00CE6626" w:rsidRPr="009D4627" w:rsidRDefault="00CE6626" w:rsidP="00CE6626">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00E147BE">
        <w:rPr>
          <w:b/>
          <w:szCs w:val="22"/>
          <w:lang w:val="en-MY"/>
        </w:rPr>
        <w:tab/>
      </w:r>
      <w:r w:rsidRPr="009D4627">
        <w:rPr>
          <w:b/>
          <w:szCs w:val="22"/>
          <w:lang w:val="en-MY"/>
        </w:rPr>
        <w:t xml:space="preserve">  </w:t>
      </w:r>
      <w:r w:rsidRPr="009D4627">
        <w:rPr>
          <w:bCs/>
          <w:szCs w:val="22"/>
          <w:lang w:val="en-MY"/>
        </w:rPr>
        <w:t>6/7.5</w:t>
      </w:r>
      <w:r w:rsidRPr="009D4627">
        <w:rPr>
          <w:bCs/>
          <w:szCs w:val="22"/>
          <w:vertAlign w:val="superscript"/>
          <w:lang w:val="en-MY"/>
        </w:rPr>
        <w:t>-2</w:t>
      </w:r>
      <w:r w:rsidRPr="009D4627">
        <w:rPr>
          <w:bCs/>
          <w:szCs w:val="22"/>
          <w:lang w:val="en-MY"/>
        </w:rPr>
        <w:tab/>
      </w:r>
      <w:r w:rsidRPr="009D4627">
        <w:rPr>
          <w:bCs/>
          <w:szCs w:val="22"/>
          <w:lang w:val="en-MY"/>
        </w:rPr>
        <w:tab/>
        <w:t xml:space="preserve">     6/7.5</w:t>
      </w:r>
      <w:r w:rsidRPr="009D4627">
        <w:rPr>
          <w:bCs/>
          <w:szCs w:val="22"/>
          <w:lang w:val="en-MY"/>
        </w:rPr>
        <w:tab/>
        <w:t>Snellen equivalent</w:t>
      </w:r>
    </w:p>
    <w:p w14:paraId="12B58AF2" w14:textId="77777777" w:rsidR="00CE6626" w:rsidRPr="009D4627" w:rsidRDefault="00CE6626" w:rsidP="00CE6626">
      <w:pPr>
        <w:spacing w:before="0" w:after="0" w:line="240" w:lineRule="auto"/>
        <w:rPr>
          <w:bCs/>
          <w:szCs w:val="22"/>
          <w:lang w:val="en-MY"/>
        </w:rPr>
      </w:pPr>
    </w:p>
    <w:p w14:paraId="59A025AD" w14:textId="77777777"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t>with PH</w:t>
      </w:r>
      <w:r w:rsidRPr="009D4627">
        <w:rPr>
          <w:bCs/>
          <w:szCs w:val="22"/>
          <w:lang w:val="en-MY"/>
        </w:rPr>
        <w:tab/>
        <w:t>No Improvements on RE and LE</w:t>
      </w:r>
    </w:p>
    <w:p w14:paraId="6FD24DCA" w14:textId="77777777" w:rsidR="00CE6626" w:rsidRPr="009D4627" w:rsidRDefault="00CE6626" w:rsidP="00CE6626">
      <w:pPr>
        <w:spacing w:before="0" w:after="0" w:line="240" w:lineRule="auto"/>
        <w:rPr>
          <w:bCs/>
          <w:szCs w:val="22"/>
          <w:lang w:val="en-MY"/>
        </w:rPr>
      </w:pPr>
    </w:p>
    <w:p w14:paraId="71FF2675" w14:textId="77777777" w:rsidR="00CE6626" w:rsidRPr="009D4627" w:rsidRDefault="00CE6626" w:rsidP="00CE6626">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with glasses 1/3 m &amp; 6m small right exotropia (LXT) with diplopia.</w:t>
      </w:r>
    </w:p>
    <w:p w14:paraId="64733BE1" w14:textId="77777777" w:rsidR="00CE6626" w:rsidRPr="009D4627" w:rsidRDefault="00CE6626" w:rsidP="00CE6626">
      <w:pPr>
        <w:spacing w:before="0" w:after="0" w:line="240" w:lineRule="auto"/>
        <w:ind w:left="1276" w:hanging="1276"/>
        <w:rPr>
          <w:bCs/>
          <w:szCs w:val="22"/>
          <w:lang w:val="en-MY"/>
        </w:rPr>
      </w:pPr>
      <w:r w:rsidRPr="009D4627">
        <w:rPr>
          <w:b/>
          <w:szCs w:val="22"/>
          <w:lang w:val="en-MY"/>
        </w:rPr>
        <w:tab/>
      </w:r>
      <w:r w:rsidRPr="009D4627">
        <w:rPr>
          <w:szCs w:val="22"/>
          <w:lang w:val="en-MY"/>
        </w:rPr>
        <w:t xml:space="preserve">Right slight partial ptosis </w:t>
      </w:r>
    </w:p>
    <w:p w14:paraId="33CD1DCD" w14:textId="77777777" w:rsidR="00CE6626" w:rsidRPr="009D4627" w:rsidRDefault="00CE6626" w:rsidP="00CE6626">
      <w:pPr>
        <w:spacing w:before="0" w:after="0" w:line="240" w:lineRule="auto"/>
        <w:ind w:left="1276" w:hanging="1276"/>
        <w:rPr>
          <w:bCs/>
          <w:szCs w:val="22"/>
          <w:lang w:val="en-MY"/>
        </w:rPr>
      </w:pPr>
      <w:r w:rsidRPr="009D4627">
        <w:rPr>
          <w:bCs/>
          <w:szCs w:val="22"/>
          <w:lang w:val="en-MY"/>
        </w:rPr>
        <w:t xml:space="preserve">                        </w:t>
      </w:r>
    </w:p>
    <w:p w14:paraId="5EFD0D00" w14:textId="77777777" w:rsidR="00CE6626" w:rsidRPr="009D4627" w:rsidRDefault="00CE6626" w:rsidP="00CE6626">
      <w:pPr>
        <w:spacing w:before="0" w:after="0" w:line="240" w:lineRule="auto"/>
        <w:rPr>
          <w:bCs/>
          <w:szCs w:val="22"/>
          <w:lang w:val="en-MY"/>
        </w:rPr>
      </w:pPr>
      <w:r w:rsidRPr="009D4627">
        <w:rPr>
          <w:b/>
          <w:szCs w:val="22"/>
          <w:lang w:val="en-MY"/>
        </w:rPr>
        <w:t>OMT:</w:t>
      </w:r>
    </w:p>
    <w:p w14:paraId="2CE89670" w14:textId="6BF87391" w:rsidR="00CE6626" w:rsidRPr="009D4627" w:rsidRDefault="00A2792E" w:rsidP="00CE6626">
      <w:pPr>
        <w:spacing w:before="0" w:line="240" w:lineRule="auto"/>
        <w:rPr>
          <w:bCs/>
          <w:szCs w:val="22"/>
          <w:lang w:val="en-MY"/>
        </w:rPr>
      </w:pPr>
      <w:r w:rsidRPr="009D4627">
        <w:rPr>
          <w:noProof/>
        </w:rPr>
        <mc:AlternateContent>
          <mc:Choice Requires="wpg">
            <w:drawing>
              <wp:anchor distT="0" distB="0" distL="114300" distR="114300" simplePos="0" relativeHeight="251727872" behindDoc="0" locked="0" layoutInCell="1" allowOverlap="1" wp14:anchorId="078492C8" wp14:editId="028DF2F4">
                <wp:simplePos x="0" y="0"/>
                <wp:positionH relativeFrom="column">
                  <wp:posOffset>1666875</wp:posOffset>
                </wp:positionH>
                <wp:positionV relativeFrom="paragraph">
                  <wp:posOffset>103505</wp:posOffset>
                </wp:positionV>
                <wp:extent cx="2533650" cy="1153160"/>
                <wp:effectExtent l="0" t="0" r="0" b="0"/>
                <wp:wrapNone/>
                <wp:docPr id="23696" name="Group 23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650" cy="1153160"/>
                          <a:chOff x="1428" y="-761"/>
                          <a:chExt cx="25336" cy="11529"/>
                        </a:xfrm>
                      </wpg:grpSpPr>
                      <wpg:grpSp>
                        <wpg:cNvPr id="23697" name="Group 21771"/>
                        <wpg:cNvGrpSpPr>
                          <a:grpSpLocks/>
                        </wpg:cNvGrpSpPr>
                        <wpg:grpSpPr bwMode="auto">
                          <a:xfrm flipH="1">
                            <a:off x="1428" y="-761"/>
                            <a:ext cx="23527" cy="11528"/>
                            <a:chOff x="0" y="-1074"/>
                            <a:chExt cx="27839" cy="12914"/>
                          </a:xfrm>
                        </wpg:grpSpPr>
                        <wps:wsp>
                          <wps:cNvPr id="23698" name="Oval 21772"/>
                          <wps:cNvSpPr>
                            <a:spLocks noChangeArrowheads="1"/>
                          </wps:cNvSpPr>
                          <wps:spPr bwMode="auto">
                            <a:xfrm>
                              <a:off x="0" y="1568"/>
                              <a:ext cx="9144" cy="9125"/>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g:cNvPr id="23699" name="Group 21773"/>
                          <wpg:cNvGrpSpPr>
                            <a:grpSpLocks/>
                          </wpg:cNvGrpSpPr>
                          <wpg:grpSpPr bwMode="auto">
                            <a:xfrm>
                              <a:off x="17907" y="-1074"/>
                              <a:ext cx="9932" cy="12913"/>
                              <a:chOff x="0" y="-1265"/>
                              <a:chExt cx="9932" cy="12914"/>
                            </a:xfrm>
                          </wpg:grpSpPr>
                          <wpg:grpSp>
                            <wpg:cNvPr id="23700" name="Group 21774"/>
                            <wpg:cNvGrpSpPr>
                              <a:grpSpLocks/>
                            </wpg:cNvGrpSpPr>
                            <wpg:grpSpPr bwMode="auto">
                              <a:xfrm>
                                <a:off x="0" y="-1265"/>
                                <a:ext cx="9144" cy="11729"/>
                                <a:chOff x="0" y="-1123"/>
                                <a:chExt cx="9144" cy="11744"/>
                              </a:xfrm>
                            </wpg:grpSpPr>
                            <wpg:grpSp>
                              <wpg:cNvPr id="23701" name="Group 21775"/>
                              <wpg:cNvGrpSpPr>
                                <a:grpSpLocks/>
                              </wpg:cNvGrpSpPr>
                              <wpg:grpSpPr bwMode="auto">
                                <a:xfrm>
                                  <a:off x="979" y="1570"/>
                                  <a:ext cx="6825" cy="1899"/>
                                  <a:chOff x="-68" y="-1"/>
                                  <a:chExt cx="6825" cy="1898"/>
                                </a:xfrm>
                              </wpg:grpSpPr>
                              <wps:wsp>
                                <wps:cNvPr id="23702" name="Straight Connector 21776"/>
                                <wps:cNvCnPr>
                                  <a:cxnSpLocks noChangeShapeType="1"/>
                                </wps:cNvCnPr>
                                <wps:spPr bwMode="auto">
                                  <a:xfrm flipV="1">
                                    <a:off x="-68" y="1562"/>
                                    <a:ext cx="6825" cy="222"/>
                                  </a:xfrm>
                                  <a:prstGeom prst="line">
                                    <a:avLst/>
                                  </a:prstGeom>
                                  <a:noFill/>
                                  <a:ln w="6350">
                                    <a:solidFill>
                                      <a:srgbClr val="000000"/>
                                    </a:solidFill>
                                    <a:miter lim="800000"/>
                                    <a:headEnd/>
                                    <a:tailEnd/>
                                  </a:ln>
                                </wps:spPr>
                                <wps:bodyPr/>
                              </wps:wsp>
                              <wpg:grpSp>
                                <wpg:cNvPr id="23703" name="Group 21777"/>
                                <wpg:cNvGrpSpPr>
                                  <a:grpSpLocks/>
                                </wpg:cNvGrpSpPr>
                                <wpg:grpSpPr bwMode="auto">
                                  <a:xfrm>
                                    <a:off x="2038" y="-1"/>
                                    <a:ext cx="3959" cy="1898"/>
                                    <a:chOff x="94306" y="-112"/>
                                    <a:chExt cx="395918" cy="189887"/>
                                  </a:xfrm>
                                </wpg:grpSpPr>
                                <wps:wsp>
                                  <wps:cNvPr id="23704" name="Straight Connector 21778"/>
                                  <wps:cNvCnPr>
                                    <a:cxnSpLocks noChangeShapeType="1"/>
                                  </wps:cNvCnPr>
                                  <wps:spPr bwMode="auto">
                                    <a:xfrm flipH="1">
                                      <a:off x="237921" y="4649"/>
                                      <a:ext cx="133244" cy="185126"/>
                                    </a:xfrm>
                                    <a:prstGeom prst="line">
                                      <a:avLst/>
                                    </a:prstGeom>
                                    <a:noFill/>
                                    <a:ln w="19050">
                                      <a:solidFill>
                                        <a:srgbClr val="000000"/>
                                      </a:solidFill>
                                      <a:miter lim="800000"/>
                                      <a:headEnd/>
                                      <a:tailEnd/>
                                    </a:ln>
                                  </wps:spPr>
                                  <wps:bodyPr/>
                                </wps:wsp>
                                <wps:wsp>
                                  <wps:cNvPr id="23705" name="Straight Connector 21779"/>
                                  <wps:cNvCnPr>
                                    <a:cxnSpLocks noChangeShapeType="1"/>
                                  </wps:cNvCnPr>
                                  <wps:spPr bwMode="auto">
                                    <a:xfrm flipH="1">
                                      <a:off x="94306" y="-112"/>
                                      <a:ext cx="115253" cy="168522"/>
                                    </a:xfrm>
                                    <a:prstGeom prst="line">
                                      <a:avLst/>
                                    </a:prstGeom>
                                    <a:noFill/>
                                    <a:ln w="19050">
                                      <a:solidFill>
                                        <a:srgbClr val="000000"/>
                                      </a:solidFill>
                                      <a:miter lim="800000"/>
                                      <a:headEnd/>
                                      <a:tailEnd/>
                                    </a:ln>
                                  </wps:spPr>
                                  <wps:bodyPr/>
                                </wps:wsp>
                                <wps:wsp>
                                  <wps:cNvPr id="23706" name="Straight Connector 21780"/>
                                  <wps:cNvCnPr>
                                    <a:cxnSpLocks noChangeShapeType="1"/>
                                  </wps:cNvCnPr>
                                  <wps:spPr bwMode="auto">
                                    <a:xfrm flipH="1">
                                      <a:off x="395748" y="66527"/>
                                      <a:ext cx="94476" cy="123033"/>
                                    </a:xfrm>
                                    <a:prstGeom prst="line">
                                      <a:avLst/>
                                    </a:prstGeom>
                                    <a:noFill/>
                                    <a:ln w="19050">
                                      <a:solidFill>
                                        <a:srgbClr val="000000"/>
                                      </a:solidFill>
                                      <a:miter lim="800000"/>
                                      <a:headEnd/>
                                      <a:tailEnd/>
                                    </a:ln>
                                  </wps:spPr>
                                  <wps:bodyPr/>
                                </wps:wsp>
                              </wpg:grpSp>
                            </wpg:grpSp>
                            <wpg:grpSp>
                              <wpg:cNvPr id="23707" name="Group 21781"/>
                              <wpg:cNvGrpSpPr>
                                <a:grpSpLocks/>
                              </wpg:cNvGrpSpPr>
                              <wpg:grpSpPr bwMode="auto">
                                <a:xfrm>
                                  <a:off x="0" y="-1123"/>
                                  <a:ext cx="9144" cy="11743"/>
                                  <a:chOff x="0" y="-1123"/>
                                  <a:chExt cx="9144" cy="11744"/>
                                </a:xfrm>
                              </wpg:grpSpPr>
                              <wps:wsp>
                                <wps:cNvPr id="23708" name="Rectangle 21782"/>
                                <wps:cNvSpPr>
                                  <a:spLocks noChangeArrowheads="1"/>
                                </wps:cNvSpPr>
                                <wps:spPr bwMode="auto">
                                  <a:xfrm>
                                    <a:off x="1797" y="-1123"/>
                                    <a:ext cx="5768" cy="2840"/>
                                  </a:xfrm>
                                  <a:prstGeom prst="rect">
                                    <a:avLst/>
                                  </a:prstGeom>
                                  <a:noFill/>
                                  <a:ln>
                                    <a:noFill/>
                                  </a:ln>
                                </wps:spPr>
                                <wps:txbx>
                                  <w:txbxContent>
                                    <w:p w14:paraId="458D16E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-1.5</w:t>
                                      </w:r>
                                    </w:p>
                                  </w:txbxContent>
                                </wps:txbx>
                                <wps:bodyPr rot="0" vert="horz" wrap="square" lIns="0" tIns="0" rIns="0" bIns="0" anchor="ctr" anchorCtr="0" upright="1">
                                  <a:noAutofit/>
                                </wps:bodyPr>
                              </wps:wsp>
                              <wps:wsp>
                                <wps:cNvPr id="23709" name="Oval 21783"/>
                                <wps:cNvSpPr>
                                  <a:spLocks noChangeArrowheads="1"/>
                                </wps:cNvSpPr>
                                <wps:spPr bwMode="auto">
                                  <a:xfrm>
                                    <a:off x="0" y="1476"/>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g:grpSp>
                              <wpg:cNvPr id="23710" name="Group 21784"/>
                              <wpg:cNvGrpSpPr>
                                <a:grpSpLocks/>
                              </wpg:cNvGrpSpPr>
                              <wpg:grpSpPr bwMode="auto">
                                <a:xfrm rot="10800000">
                                  <a:off x="1339" y="7520"/>
                                  <a:ext cx="7466" cy="3049"/>
                                  <a:chOff x="-662" y="0"/>
                                  <a:chExt cx="7466" cy="3055"/>
                                </a:xfrm>
                              </wpg:grpSpPr>
                              <wps:wsp>
                                <wps:cNvPr id="23711" name="Straight Connector 21785"/>
                                <wps:cNvCnPr>
                                  <a:cxnSpLocks noChangeShapeType="1"/>
                                </wps:cNvCnPr>
                                <wps:spPr bwMode="auto">
                                  <a:xfrm rot="10800000" flipH="1">
                                    <a:off x="-662" y="1290"/>
                                    <a:ext cx="7466" cy="1765"/>
                                  </a:xfrm>
                                  <a:prstGeom prst="line">
                                    <a:avLst/>
                                  </a:prstGeom>
                                  <a:noFill/>
                                  <a:ln w="6350">
                                    <a:solidFill>
                                      <a:srgbClr val="000000"/>
                                    </a:solidFill>
                                    <a:miter lim="800000"/>
                                    <a:headEnd/>
                                    <a:tailEnd/>
                                  </a:ln>
                                </wps:spPr>
                                <wps:bodyPr/>
                              </wps:wsp>
                              <wpg:grpSp>
                                <wpg:cNvPr id="23712" name="Group 21786"/>
                                <wpg:cNvGrpSpPr>
                                  <a:grpSpLocks/>
                                </wpg:cNvGrpSpPr>
                                <wpg:grpSpPr bwMode="auto">
                                  <a:xfrm>
                                    <a:off x="352" y="0"/>
                                    <a:ext cx="6169" cy="2735"/>
                                    <a:chOff x="-743" y="0"/>
                                    <a:chExt cx="6169" cy="2735"/>
                                  </a:xfrm>
                                </wpg:grpSpPr>
                                <wps:wsp>
                                  <wps:cNvPr id="23713" name="Straight Connector 21787"/>
                                  <wps:cNvCnPr>
                                    <a:cxnSpLocks noChangeShapeType="1"/>
                                  </wps:cNvCnPr>
                                  <wps:spPr bwMode="auto">
                                    <a:xfrm rot="10800000" flipV="1">
                                      <a:off x="1624" y="47"/>
                                      <a:ext cx="1281" cy="2251"/>
                                    </a:xfrm>
                                    <a:prstGeom prst="line">
                                      <a:avLst/>
                                    </a:prstGeom>
                                    <a:noFill/>
                                    <a:ln w="19050">
                                      <a:solidFill>
                                        <a:srgbClr val="000000"/>
                                      </a:solidFill>
                                      <a:miter lim="800000"/>
                                      <a:headEnd/>
                                      <a:tailEnd/>
                                    </a:ln>
                                  </wps:spPr>
                                  <wps:bodyPr/>
                                </wps:wsp>
                                <wps:wsp>
                                  <wps:cNvPr id="23714" name="Straight Connector 21788"/>
                                  <wps:cNvCnPr>
                                    <a:cxnSpLocks noChangeShapeType="1"/>
                                  </wps:cNvCnPr>
                                  <wps:spPr bwMode="auto">
                                    <a:xfrm rot="10800000" flipV="1">
                                      <a:off x="2526" y="47"/>
                                      <a:ext cx="1185" cy="2041"/>
                                    </a:xfrm>
                                    <a:prstGeom prst="line">
                                      <a:avLst/>
                                    </a:prstGeom>
                                    <a:noFill/>
                                    <a:ln w="19050">
                                      <a:solidFill>
                                        <a:srgbClr val="000000"/>
                                      </a:solidFill>
                                      <a:miter lim="800000"/>
                                      <a:headEnd/>
                                      <a:tailEnd/>
                                    </a:ln>
                                  </wps:spPr>
                                  <wps:bodyPr/>
                                </wps:wsp>
                                <wps:wsp>
                                  <wps:cNvPr id="23715" name="Straight Connector 21789"/>
                                  <wps:cNvCnPr>
                                    <a:cxnSpLocks noChangeShapeType="1"/>
                                  </wps:cNvCnPr>
                                  <wps:spPr bwMode="auto">
                                    <a:xfrm rot="10800000" flipV="1">
                                      <a:off x="190" y="0"/>
                                      <a:ext cx="2031" cy="2735"/>
                                    </a:xfrm>
                                    <a:prstGeom prst="line">
                                      <a:avLst/>
                                    </a:prstGeom>
                                    <a:noFill/>
                                    <a:ln w="19050">
                                      <a:solidFill>
                                        <a:srgbClr val="000000"/>
                                      </a:solidFill>
                                      <a:miter lim="800000"/>
                                      <a:headEnd/>
                                      <a:tailEnd/>
                                    </a:ln>
                                  </wps:spPr>
                                  <wps:bodyPr/>
                                </wps:wsp>
                                <wps:wsp>
                                  <wps:cNvPr id="23716" name="Straight Connector 21790"/>
                                  <wps:cNvCnPr>
                                    <a:cxnSpLocks noChangeShapeType="1"/>
                                  </wps:cNvCnPr>
                                  <wps:spPr bwMode="auto">
                                    <a:xfrm rot="10800000" flipV="1">
                                      <a:off x="3429" y="333"/>
                                      <a:ext cx="901" cy="1541"/>
                                    </a:xfrm>
                                    <a:prstGeom prst="line">
                                      <a:avLst/>
                                    </a:prstGeom>
                                    <a:noFill/>
                                    <a:ln w="19050">
                                      <a:solidFill>
                                        <a:srgbClr val="000000"/>
                                      </a:solidFill>
                                      <a:miter lim="800000"/>
                                      <a:headEnd/>
                                      <a:tailEnd/>
                                    </a:ln>
                                  </wps:spPr>
                                  <wps:bodyPr/>
                                </wps:wsp>
                                <wps:wsp>
                                  <wps:cNvPr id="23717" name="Straight Connector 21791"/>
                                  <wps:cNvCnPr>
                                    <a:cxnSpLocks noChangeShapeType="1"/>
                                  </wps:cNvCnPr>
                                  <wps:spPr bwMode="auto">
                                    <a:xfrm rot="10800000" flipV="1">
                                      <a:off x="-743" y="190"/>
                                      <a:ext cx="1835" cy="2438"/>
                                    </a:xfrm>
                                    <a:prstGeom prst="line">
                                      <a:avLst/>
                                    </a:prstGeom>
                                    <a:noFill/>
                                    <a:ln w="19050">
                                      <a:solidFill>
                                        <a:srgbClr val="000000"/>
                                      </a:solidFill>
                                      <a:miter lim="800000"/>
                                      <a:headEnd/>
                                      <a:tailEnd/>
                                    </a:ln>
                                  </wps:spPr>
                                  <wps:bodyPr/>
                                </wps:wsp>
                                <wps:wsp>
                                  <wps:cNvPr id="23718" name="Straight Connector 21792"/>
                                  <wps:cNvCnPr>
                                    <a:cxnSpLocks noChangeShapeType="1"/>
                                  </wps:cNvCnPr>
                                  <wps:spPr bwMode="auto">
                                    <a:xfrm rot="10800000" flipV="1">
                                      <a:off x="4330" y="666"/>
                                      <a:ext cx="572" cy="899"/>
                                    </a:xfrm>
                                    <a:prstGeom prst="line">
                                      <a:avLst/>
                                    </a:prstGeom>
                                    <a:noFill/>
                                    <a:ln w="19050">
                                      <a:solidFill>
                                        <a:srgbClr val="000000"/>
                                      </a:solidFill>
                                      <a:miter lim="800000"/>
                                      <a:headEnd/>
                                      <a:tailEnd/>
                                    </a:ln>
                                  </wps:spPr>
                                  <wps:bodyPr/>
                                </wps:wsp>
                                <wps:wsp>
                                  <wps:cNvPr id="23719" name="Straight Connector 21793"/>
                                  <wps:cNvCnPr>
                                    <a:cxnSpLocks noChangeShapeType="1"/>
                                  </wps:cNvCnPr>
                                  <wps:spPr bwMode="auto">
                                    <a:xfrm flipH="1">
                                      <a:off x="5000" y="1000"/>
                                      <a:ext cx="426" cy="565"/>
                                    </a:xfrm>
                                    <a:prstGeom prst="line">
                                      <a:avLst/>
                                    </a:prstGeom>
                                    <a:noFill/>
                                    <a:ln w="19050">
                                      <a:solidFill>
                                        <a:srgbClr val="000000"/>
                                      </a:solidFill>
                                      <a:miter lim="800000"/>
                                      <a:headEnd/>
                                      <a:tailEnd/>
                                    </a:ln>
                                  </wps:spPr>
                                  <wps:bodyPr/>
                                </wps:wsp>
                              </wpg:grpSp>
                            </wpg:grpSp>
                            <wpg:grpSp>
                              <wpg:cNvPr id="23720" name="Group 21794"/>
                              <wpg:cNvGrpSpPr>
                                <a:grpSpLocks/>
                              </wpg:cNvGrpSpPr>
                              <wpg:grpSpPr bwMode="auto">
                                <a:xfrm rot="-5400000">
                                  <a:off x="-1595" y="4948"/>
                                  <a:ext cx="5335" cy="2146"/>
                                  <a:chOff x="507" y="-47"/>
                                  <a:chExt cx="6097" cy="2371"/>
                                </a:xfrm>
                              </wpg:grpSpPr>
                              <wps:wsp>
                                <wps:cNvPr id="23721" name="Straight Connector 21795"/>
                                <wps:cNvCnPr>
                                  <a:cxnSpLocks noChangeShapeType="1"/>
                                </wps:cNvCnPr>
                                <wps:spPr bwMode="auto">
                                  <a:xfrm rot="5400000" flipH="1" flipV="1">
                                    <a:off x="3556" y="-725"/>
                                    <a:ext cx="0" cy="6098"/>
                                  </a:xfrm>
                                  <a:prstGeom prst="line">
                                    <a:avLst/>
                                  </a:prstGeom>
                                  <a:noFill/>
                                  <a:ln w="6350">
                                    <a:solidFill>
                                      <a:srgbClr val="000000"/>
                                    </a:solidFill>
                                    <a:miter lim="800000"/>
                                    <a:headEnd/>
                                    <a:tailEnd/>
                                  </a:ln>
                                </wps:spPr>
                                <wps:bodyPr/>
                              </wps:wsp>
                              <wpg:grpSp>
                                <wpg:cNvPr id="23722" name="Group 21796"/>
                                <wpg:cNvGrpSpPr>
                                  <a:grpSpLocks/>
                                </wpg:cNvGrpSpPr>
                                <wpg:grpSpPr bwMode="auto">
                                  <a:xfrm>
                                    <a:off x="745" y="-47"/>
                                    <a:ext cx="4999" cy="1985"/>
                                    <a:chOff x="-34959" y="-4700"/>
                                    <a:chExt cx="499861" cy="198595"/>
                                  </a:xfrm>
                                </wpg:grpSpPr>
                                <wps:wsp>
                                  <wps:cNvPr id="23723" name="Straight Connector 21797"/>
                                  <wps:cNvCnPr>
                                    <a:cxnSpLocks noChangeShapeType="1"/>
                                  </wps:cNvCnPr>
                                  <wps:spPr bwMode="auto">
                                    <a:xfrm rot="5400000">
                                      <a:off x="71567" y="22004"/>
                                      <a:ext cx="198581" cy="145174"/>
                                    </a:xfrm>
                                    <a:prstGeom prst="line">
                                      <a:avLst/>
                                    </a:prstGeom>
                                    <a:noFill/>
                                    <a:ln w="19050">
                                      <a:solidFill>
                                        <a:srgbClr val="000000"/>
                                      </a:solidFill>
                                      <a:miter lim="800000"/>
                                      <a:headEnd/>
                                      <a:tailEnd/>
                                    </a:ln>
                                  </wps:spPr>
                                  <wps:bodyPr/>
                                </wps:wsp>
                                <wps:wsp>
                                  <wps:cNvPr id="23724" name="Straight Connector 21798"/>
                                  <wps:cNvCnPr>
                                    <a:cxnSpLocks noChangeShapeType="1"/>
                                  </wps:cNvCnPr>
                                  <wps:spPr bwMode="auto">
                                    <a:xfrm rot="5400000">
                                      <a:off x="-68350" y="50214"/>
                                      <a:ext cx="177072" cy="110289"/>
                                    </a:xfrm>
                                    <a:prstGeom prst="line">
                                      <a:avLst/>
                                    </a:prstGeom>
                                    <a:noFill/>
                                    <a:ln w="19050">
                                      <a:solidFill>
                                        <a:srgbClr val="000000"/>
                                      </a:solidFill>
                                      <a:miter lim="800000"/>
                                      <a:headEnd/>
                                      <a:tailEnd/>
                                    </a:ln>
                                  </wps:spPr>
                                  <wps:bodyPr/>
                                </wps:wsp>
                                <wps:wsp>
                                  <wps:cNvPr id="23725" name="Straight Connector 21799"/>
                                  <wps:cNvCnPr>
                                    <a:cxnSpLocks noChangeShapeType="1"/>
                                  </wps:cNvCnPr>
                                  <wps:spPr bwMode="auto">
                                    <a:xfrm rot="5400000">
                                      <a:off x="368998" y="97961"/>
                                      <a:ext cx="118206" cy="73603"/>
                                    </a:xfrm>
                                    <a:prstGeom prst="line">
                                      <a:avLst/>
                                    </a:prstGeom>
                                    <a:noFill/>
                                    <a:ln w="19050">
                                      <a:solidFill>
                                        <a:srgbClr val="000000"/>
                                      </a:solidFill>
                                      <a:miter lim="800000"/>
                                      <a:headEnd/>
                                      <a:tailEnd/>
                                    </a:ln>
                                  </wps:spPr>
                                  <wps:bodyPr/>
                                </wps:wsp>
                              </wpg:grpSp>
                            </wpg:grpSp>
                          </wpg:grpSp>
                          <wps:wsp>
                            <wps:cNvPr id="23726" name="Rectangle 21800"/>
                            <wps:cNvSpPr>
                              <a:spLocks noChangeArrowheads="1"/>
                            </wps:cNvSpPr>
                            <wps:spPr bwMode="auto">
                              <a:xfrm>
                                <a:off x="6745" y="9089"/>
                                <a:ext cx="3187" cy="2559"/>
                              </a:xfrm>
                              <a:prstGeom prst="rect">
                                <a:avLst/>
                              </a:prstGeom>
                              <a:noFill/>
                              <a:ln>
                                <a:noFill/>
                              </a:ln>
                            </wps:spPr>
                            <wps:txbx>
                              <w:txbxContent>
                                <w:p w14:paraId="50B3D94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-3</w:t>
                                  </w:r>
                                </w:p>
                              </w:txbxContent>
                            </wps:txbx>
                            <wps:bodyPr rot="0" vert="horz" wrap="square" lIns="0" tIns="0" rIns="0" bIns="0" anchor="ctr" anchorCtr="0" upright="1">
                              <a:noAutofit/>
                            </wps:bodyPr>
                          </wps:wsp>
                        </wpg:grpSp>
                      </wpg:grpSp>
                      <wps:wsp>
                        <wps:cNvPr id="23727" name="Text Box 733"/>
                        <wps:cNvSpPr txBox="1">
                          <a:spLocks noChangeArrowheads="1"/>
                        </wps:cNvSpPr>
                        <wps:spPr bwMode="auto">
                          <a:xfrm>
                            <a:off x="24193" y="1047"/>
                            <a:ext cx="2571" cy="1986"/>
                          </a:xfrm>
                          <a:prstGeom prst="rect">
                            <a:avLst/>
                          </a:prstGeom>
                          <a:solidFill>
                            <a:srgbClr val="FFFFFF"/>
                          </a:solidFill>
                          <a:ln>
                            <a:noFill/>
                          </a:ln>
                        </wps:spPr>
                        <wps:txbx>
                          <w:txbxContent>
                            <w:p w14:paraId="1EA4732F" w14:textId="77777777" w:rsidR="00CE6626" w:rsidRDefault="00CE6626" w:rsidP="00CE6626">
                              <w:pPr>
                                <w:spacing w:before="0" w:after="0" w:line="240" w:lineRule="auto"/>
                              </w:pPr>
                              <w:r>
                                <w:t xml:space="preserve">+                   </w:t>
                              </w:r>
                            </w:p>
                          </w:txbxContent>
                        </wps:txbx>
                        <wps:bodyPr rot="0" vert="horz" wrap="square" lIns="0" tIns="0" rIns="0" bIns="0" anchor="t" anchorCtr="0" upright="1">
                          <a:noAutofit/>
                        </wps:bodyPr>
                      </wps:wsp>
                      <wpg:grpSp>
                        <wpg:cNvPr id="23728" name="Group 21802"/>
                        <wpg:cNvGrpSpPr>
                          <a:grpSpLocks/>
                        </wpg:cNvGrpSpPr>
                        <wpg:grpSpPr bwMode="auto">
                          <a:xfrm>
                            <a:off x="14954" y="1333"/>
                            <a:ext cx="2572" cy="9140"/>
                            <a:chOff x="0" y="0"/>
                            <a:chExt cx="2571" cy="9139"/>
                          </a:xfrm>
                        </wpg:grpSpPr>
                        <wps:wsp>
                          <wps:cNvPr id="23729" name="Text Box 21803"/>
                          <wps:cNvSpPr txBox="1">
                            <a:spLocks noChangeArrowheads="1"/>
                          </wps:cNvSpPr>
                          <wps:spPr bwMode="auto">
                            <a:xfrm>
                              <a:off x="0" y="0"/>
                              <a:ext cx="2571" cy="2413"/>
                            </a:xfrm>
                            <a:prstGeom prst="rect">
                              <a:avLst/>
                            </a:prstGeom>
                            <a:solidFill>
                              <a:srgbClr val="FFFFFF"/>
                            </a:solidFill>
                            <a:ln>
                              <a:noFill/>
                            </a:ln>
                          </wps:spPr>
                          <wps:txbx>
                            <w:txbxContent>
                              <w:p w14:paraId="25E3907E" w14:textId="77777777" w:rsidR="00CE6626" w:rsidRDefault="00CE6626" w:rsidP="00CE6626">
                                <w:pPr>
                                  <w:spacing w:before="0" w:after="0" w:line="240" w:lineRule="auto"/>
                                </w:pPr>
                                <w:r>
                                  <w:t xml:space="preserve">+ </w:t>
                                </w:r>
                              </w:p>
                            </w:txbxContent>
                          </wps:txbx>
                          <wps:bodyPr rot="0" vert="horz" wrap="square" lIns="91440" tIns="45720" rIns="91440" bIns="45720" anchor="t" anchorCtr="0" upright="1">
                            <a:noAutofit/>
                          </wps:bodyPr>
                        </wps:wsp>
                        <wps:wsp>
                          <wps:cNvPr id="23730" name="Text Box 736"/>
                          <wps:cNvSpPr txBox="1">
                            <a:spLocks noChangeArrowheads="1"/>
                          </wps:cNvSpPr>
                          <wps:spPr bwMode="auto">
                            <a:xfrm>
                              <a:off x="190" y="6632"/>
                              <a:ext cx="2190" cy="2507"/>
                            </a:xfrm>
                            <a:prstGeom prst="rect">
                              <a:avLst/>
                            </a:prstGeom>
                            <a:solidFill>
                              <a:srgbClr val="FFFFFF"/>
                            </a:solidFill>
                            <a:ln>
                              <a:noFill/>
                            </a:ln>
                          </wps:spPr>
                          <wps:txbx>
                            <w:txbxContent>
                              <w:p w14:paraId="262AF104" w14:textId="77777777" w:rsidR="00CE6626" w:rsidRDefault="00CE6626" w:rsidP="00CE6626">
                                <w:pPr>
                                  <w:spacing w:before="0" w:after="0" w:line="240" w:lineRule="auto"/>
                                  <w:jc w:val="right"/>
                                </w:pPr>
                                <w:r>
                                  <w:t>+</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78492C8" id="Group 23696" o:spid="_x0000_s1699" style="position:absolute;left:0;text-align:left;margin-left:131.25pt;margin-top:8.15pt;width:199.5pt;height:90.8pt;z-index:251727872;mso-position-horizontal-relative:text;mso-position-vertical-relative:text;mso-width-relative:margin;mso-height-relative:margin" coordorigin="1428,-761" coordsize="25336,1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">
                <v:group id="Group 21771" o:spid="_x0000_s1700" style="position:absolute;left:1428;top:-761;width:23527;height:11528;flip:x" coordorigin=",-1074" coordsize="27839,1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">
                  <v:oval id="Oval 21772" o:spid="_x0000_s1701" style="position:absolute;top:1568;width:9144;height:9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" filled="f" strokeweight="1pt">
                    <v:stroke joinstyle="miter"/>
                  </v:oval>
                  <v:group id="Group 21773" o:spid="_x0000_s1702" style="position:absolute;left:17907;top:-1074;width:9932;height:12913" coordorigin=",-1265" coordsize="9932,1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">
                    <v:group id="Group 21774" o:spid="_x0000_s1703" style="position:absolute;top:-1265;width:9144;height:11729" coordorigin=",-1123" coordsize="9144,1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">
                      <v:group id="Group 21775" o:spid="_x0000_s1704" style="position:absolute;left:979;top:1570;width:6825;height:1899" coordorigin="-68,-1" coordsize="6825,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">
                        <v:line id="Straight Connector 21776" o:spid="_x0000_s1705" style="position:absolute;flip:y;visibility:visible;mso-wrap-style:square" from="-68,1562" to="6757,1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" strokeweight=".5pt">
                          <v:stroke joinstyle="miter"/>
                        </v:line>
                        <v:group id="Group 21777" o:spid="_x0000_s1706" style="position:absolute;left:2038;top:-1;width:3959;height:1898" coordorigin="94306,-112" coordsize="395918,189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">
                          <v:line id="Straight Connector 21778" o:spid="_x0000_s1707" style="position:absolute;flip:x;visibility:visible;mso-wrap-style:square" from="237921,4649" to="371165,189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" strokeweight="1.5pt">
                            <v:stroke joinstyle="miter"/>
                          </v:line>
                          <v:line id="Straight Connector 21779" o:spid="_x0000_s1708" style="position:absolute;flip:x;visibility:visible;mso-wrap-style:square" from="94306,-112" to="209559,168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" strokeweight="1.5pt">
                            <v:stroke joinstyle="miter"/>
                          </v:line>
                          <v:line id="Straight Connector 21780" o:spid="_x0000_s1709" style="position:absolute;flip:x;visibility:visible;mso-wrap-style:square" from="395748,66527" to="490224,189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" strokeweight="1.5pt">
                            <v:stroke joinstyle="miter"/>
                          </v:line>
                        </v:group>
                      </v:group>
                      <v:group id="Group 21781" o:spid="_x0000_s1710" style="position:absolute;top:-1123;width:9144;height:11743" coordorigin=",-1123" coordsize="9144,1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">
                        <v:rect id="Rectangle 21782" o:spid="_x0000_s1711" style="position:absolute;left:1797;top:-1123;width:5768;height:2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" filled="f" stroked="f">
                          <v:textbox inset="0,0,0,0">
                            <w:txbxContent>
                              <w:p w14:paraId="458D16E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-1.5</w:t>
                                </w:r>
                              </w:p>
                            </w:txbxContent>
                          </v:textbox>
                        </v:rect>
                        <v:oval id="Oval 21783" o:spid="_x0000_s1712" style="position:absolute;top:1476;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" filled="f" strokeweight="1pt">
                          <v:stroke joinstyle="miter"/>
                        </v:oval>
                      </v:group>
                      <v:group id="Group 21784" o:spid="_x0000_s1713" style="position:absolute;left:1339;top:7520;width:7466;height:3049;rotation:180" coordorigin="-662" coordsize="7466,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">
                        <v:line id="Straight Connector 21785" o:spid="_x0000_s1714" style="position:absolute;rotation:180;flip:x;visibility:visible;mso-wrap-style:square" from="-662,1290" to="6804,3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" strokeweight=".5pt">
                          <v:stroke joinstyle="miter"/>
                        </v:line>
                        <v:group id="Group 21786" o:spid="_x0000_s1715" style="position:absolute;left:352;width:6169;height:2735" coordorigin="-743" coordsize="616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">
                          <v:line id="Straight Connector 21787" o:spid="_x0000_s1716" style="position:absolute;rotation:180;flip:y;visibility:visible;mso-wrap-style:square" from="1624,47" to="2905,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" strokeweight="1.5pt">
                            <v:stroke joinstyle="miter"/>
                          </v:line>
                          <v:line id="Straight Connector 21788" o:spid="_x0000_s1717" style="position:absolute;rotation:180;flip:y;visibility:visible;mso-wrap-style:square" from="2526,47" to="3711,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" strokeweight="1.5pt">
                            <v:stroke joinstyle="miter"/>
                          </v:line>
                          <v:line id="Straight Connector 21789" o:spid="_x0000_s1718" style="position:absolute;rotation:180;flip:y;visibility:visible;mso-wrap-style:square" from="190,0" to="2221,2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" strokeweight="1.5pt">
                            <v:stroke joinstyle="miter"/>
                          </v:line>
                          <v:line id="Straight Connector 21790" o:spid="_x0000_s1719" style="position:absolute;rotation:180;flip:y;visibility:visible;mso-wrap-style:square" from="3429,333" to="4330,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" strokeweight="1.5pt">
                            <v:stroke joinstyle="miter"/>
                          </v:line>
                          <v:line id="Straight Connector 21791" o:spid="_x0000_s1720" style="position:absolute;rotation:180;flip:y;visibility:visible;mso-wrap-style:square" from="-743,190" to="1092,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" strokeweight="1.5pt">
                            <v:stroke joinstyle="miter"/>
                          </v:line>
                          <v:line id="Straight Connector 21792" o:spid="_x0000_s1721" style="position:absolute;rotation:180;flip:y;visibility:visible;mso-wrap-style:square" from="4330,666" to="4902,1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" strokeweight="1.5pt">
                            <v:stroke joinstyle="miter"/>
                          </v:line>
                          <v:line id="Straight Connector 21793" o:spid="_x0000_s1722" style="position:absolute;flip:x;visibility:visible;mso-wrap-style:square" from="5000,1000" to="5426,1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" strokeweight="1.5pt">
                            <v:stroke joinstyle="miter"/>
                          </v:line>
                        </v:group>
                      </v:group>
                      <v:group id="Group 21794" o:spid="_x0000_s1723" style="position:absolute;left:-1595;top:4948;width:5335;height:2146;rotation:-90" coordorigin="507,-47" coordsize="6097,2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">
                        <v:line id="Straight Connector 21795" o:spid="_x0000_s1724" style="position:absolute;rotation:90;flip:x y;visibility:visible;mso-wrap-style:square" from="3556,-725" to="3556,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" strokeweight=".5pt">
                          <v:stroke joinstyle="miter"/>
                        </v:line>
                        <v:group id="Group 21796" o:spid="_x0000_s1725" style="position:absolute;left:745;top:-47;width:4999;height:1985" coordorigin="-34959,-4700" coordsize="499861,19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">
                          <v:line id="Straight Connector 21797" o:spid="_x0000_s1726" style="position:absolute;rotation:90;visibility:visible;mso-wrap-style:square" from="71567,22004" to="270148,16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" strokeweight="1.5pt">
                            <v:stroke joinstyle="miter"/>
                          </v:line>
                          <v:line id="Straight Connector 21798" o:spid="_x0000_s1727" style="position:absolute;rotation:90;visibility:visible;mso-wrap-style:square" from="-68350,50214" to="108722,160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" strokeweight="1.5pt">
                            <v:stroke joinstyle="miter"/>
                          </v:line>
                          <v:line id="Straight Connector 21799" o:spid="_x0000_s1728" style="position:absolute;rotation:90;visibility:visible;mso-wrap-style:square" from="368998,97961" to="487204,171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" strokeweight="1.5pt">
                            <v:stroke joinstyle="miter"/>
                          </v:line>
                        </v:group>
                      </v:group>
                    </v:group>
                    <v:rect id="Rectangle 21800" o:spid="_x0000_s1729" style="position:absolute;left:6745;top:9089;width:3187;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" filled="f" stroked="f">
                      <v:textbox inset="0,0,0,0">
                        <w:txbxContent>
                          <w:p w14:paraId="50B3D94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-3</w:t>
                            </w:r>
                          </w:p>
                        </w:txbxContent>
                      </v:textbox>
                    </v:rect>
                  </v:group>
                </v:group>
                <v:shape id="Text Box 733" o:spid="_x0000_s1730" type="#_x0000_t202" style="position:absolute;left:24193;top:1047;width:2571;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" stroked="f">
                  <v:textbox inset="0,0,0,0">
                    <w:txbxContent>
                      <w:p w14:paraId="1EA4732F" w14:textId="77777777" w:rsidR="00CE6626" w:rsidRDefault="00CE6626" w:rsidP="00CE6626">
                        <w:pPr>
                          <w:spacing w:before="0" w:after="0" w:line="240" w:lineRule="auto"/>
                        </w:pPr>
                        <w:r>
                          <w:t xml:space="preserve">+                   </w:t>
                        </w:r>
                      </w:p>
                    </w:txbxContent>
                  </v:textbox>
                </v:shape>
                <v:group id="Group 21802" o:spid="_x0000_s1731" style="position:absolute;left:14954;top:1333;width:2572;height:9140" coordsize="2571,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">
                  <v:shape id="Text Box 21803" o:spid="_x0000_s1732" type="#_x0000_t202" style="position:absolute;width:257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" stroked="f">
                    <v:textbox>
                      <w:txbxContent>
                        <w:p w14:paraId="25E3907E" w14:textId="77777777" w:rsidR="00CE6626" w:rsidRDefault="00CE6626" w:rsidP="00CE6626">
                          <w:pPr>
                            <w:spacing w:before="0" w:after="0" w:line="240" w:lineRule="auto"/>
                          </w:pPr>
                          <w:r>
                            <w:t xml:space="preserve">+ </w:t>
                          </w:r>
                        </w:p>
                      </w:txbxContent>
                    </v:textbox>
                  </v:shape>
                  <v:shape id="Text Box 736" o:spid="_x0000_s1733" type="#_x0000_t202" style="position:absolute;left:190;top:6632;width:2190;height:2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" stroked="f">
                    <v:textbox inset="0,0,0,0">
                      <w:txbxContent>
                        <w:p w14:paraId="262AF104" w14:textId="77777777" w:rsidR="00CE6626" w:rsidRDefault="00CE6626" w:rsidP="00CE6626">
                          <w:pPr>
                            <w:spacing w:before="0" w:after="0" w:line="240" w:lineRule="auto"/>
                            <w:jc w:val="right"/>
                          </w:pPr>
                          <w:r>
                            <w:t>+</w:t>
                          </w:r>
                        </w:p>
                      </w:txbxContent>
                    </v:textbox>
                  </v:shape>
                </v:group>
              </v:group>
            </w:pict>
          </mc:Fallback>
        </mc:AlternateContent>
      </w:r>
    </w:p>
    <w:p w14:paraId="71E00D91" w14:textId="6A9A5F49" w:rsidR="00CE6626" w:rsidRPr="009D4627" w:rsidRDefault="00A2792E" w:rsidP="00CE6626">
      <w:pPr>
        <w:spacing w:before="0" w:line="240" w:lineRule="auto"/>
        <w:rPr>
          <w:bCs/>
          <w:szCs w:val="22"/>
          <w:lang w:val="en-MY"/>
        </w:rPr>
      </w:pPr>
      <w:r w:rsidRPr="009D4627">
        <w:rPr>
          <w:noProof/>
        </w:rPr>
        <mc:AlternateContent>
          <mc:Choice Requires="wps">
            <w:drawing>
              <wp:anchor distT="0" distB="0" distL="114300" distR="114300" simplePos="0" relativeHeight="251726848" behindDoc="0" locked="0" layoutInCell="1" allowOverlap="1" wp14:anchorId="2C5720F4" wp14:editId="1AAE274D">
                <wp:simplePos x="0" y="0"/>
                <wp:positionH relativeFrom="column">
                  <wp:posOffset>2543175</wp:posOffset>
                </wp:positionH>
                <wp:positionV relativeFrom="paragraph">
                  <wp:posOffset>236220</wp:posOffset>
                </wp:positionV>
                <wp:extent cx="219075" cy="227330"/>
                <wp:effectExtent l="0" t="0" r="0" b="0"/>
                <wp:wrapNone/>
                <wp:docPr id="23695" name="Rectangle 23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 cy="227330"/>
                        </a:xfrm>
                        <a:prstGeom prst="rect">
                          <a:avLst/>
                        </a:prstGeom>
                        <a:noFill/>
                        <a:ln w="12700" cap="flat" cmpd="sng" algn="ctr">
                          <a:noFill/>
                          <a:prstDash val="solid"/>
                          <a:miter lim="800000"/>
                        </a:ln>
                        <a:effectLst/>
                      </wps:spPr>
                      <wps:txbx>
                        <w:txbxContent>
                          <w:p w14:paraId="586CE59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720F4" id="Rectangle 23695" o:spid="_x0000_s1734" style="position:absolute;left:0;text-align:left;margin-left:200.25pt;margin-top:18.6pt;width:17.25pt;height:17.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" filled="f" stroked="f" strokeweight="1pt">
                <v:textbox inset="0,0,0,0">
                  <w:txbxContent>
                    <w:p w14:paraId="586CE59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-1.5</w:t>
                      </w:r>
                    </w:p>
                  </w:txbxContent>
                </v:textbox>
              </v:rect>
            </w:pict>
          </mc:Fallback>
        </mc:AlternateContent>
      </w:r>
      <w:r w:rsidRPr="009D4627">
        <w:rPr>
          <w:noProof/>
        </w:rPr>
        <mc:AlternateContent>
          <mc:Choice Requires="wps">
            <w:drawing>
              <wp:anchor distT="0" distB="0" distL="114300" distR="114300" simplePos="0" relativeHeight="251730944" behindDoc="0" locked="0" layoutInCell="1" allowOverlap="1" wp14:anchorId="5990CEEC" wp14:editId="26267258">
                <wp:simplePos x="0" y="0"/>
                <wp:positionH relativeFrom="column">
                  <wp:posOffset>2333625</wp:posOffset>
                </wp:positionH>
                <wp:positionV relativeFrom="paragraph">
                  <wp:posOffset>299720</wp:posOffset>
                </wp:positionV>
                <wp:extent cx="151765" cy="113030"/>
                <wp:effectExtent l="0" t="0" r="635" b="1270"/>
                <wp:wrapNone/>
                <wp:docPr id="23694" name="Straight Connector 23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1765" cy="11303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6EC06C9" id="Straight Connector 23694"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75pt,23.6pt" to="195.7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725824" behindDoc="0" locked="0" layoutInCell="1" allowOverlap="1" wp14:anchorId="0809AA7A" wp14:editId="2BFD5B62">
                <wp:simplePos x="0" y="0"/>
                <wp:positionH relativeFrom="column">
                  <wp:posOffset>2257425</wp:posOffset>
                </wp:positionH>
                <wp:positionV relativeFrom="paragraph">
                  <wp:posOffset>23495</wp:posOffset>
                </wp:positionV>
                <wp:extent cx="85725" cy="104775"/>
                <wp:effectExtent l="0" t="0" r="9525" b="9525"/>
                <wp:wrapNone/>
                <wp:docPr id="23693" name="Straight Connector 236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25" cy="10477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C1A45EF" id="Straight Connector 2369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85pt" to="18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" strokecolor="windowText" strokeweight="1.5pt">
                <v:stroke joinstyle="miter"/>
                <o:lock v:ext="edit" shapetype="f"/>
              </v:line>
            </w:pict>
          </mc:Fallback>
        </mc:AlternateContent>
      </w:r>
    </w:p>
    <w:p w14:paraId="3B756D6F" w14:textId="77777777" w:rsidR="00CE6626" w:rsidRPr="009D4627" w:rsidRDefault="00CE6626" w:rsidP="00CE6626">
      <w:pPr>
        <w:spacing w:before="0" w:after="0" w:line="240" w:lineRule="auto"/>
        <w:rPr>
          <w:bCs/>
          <w:szCs w:val="22"/>
          <w:lang w:val="en-MY"/>
        </w:rPr>
      </w:pPr>
    </w:p>
    <w:p w14:paraId="22F41B9C" w14:textId="3DC1D1C7" w:rsidR="00CE6626" w:rsidRPr="009D4627" w:rsidRDefault="00A2792E" w:rsidP="00CE6626">
      <w:pPr>
        <w:spacing w:before="0" w:after="0" w:line="240" w:lineRule="auto"/>
        <w:rPr>
          <w:b/>
          <w:szCs w:val="22"/>
          <w:lang w:val="en-MY"/>
        </w:rPr>
      </w:pPr>
      <w:r w:rsidRPr="009D4627">
        <w:rPr>
          <w:noProof/>
        </w:rPr>
        <mc:AlternateContent>
          <mc:Choice Requires="wps">
            <w:drawing>
              <wp:anchor distT="0" distB="0" distL="114300" distR="114300" simplePos="0" relativeHeight="251731968" behindDoc="0" locked="0" layoutInCell="1" allowOverlap="1" wp14:anchorId="2D2FA4A7" wp14:editId="31A78808">
                <wp:simplePos x="0" y="0"/>
                <wp:positionH relativeFrom="column">
                  <wp:posOffset>2237105</wp:posOffset>
                </wp:positionH>
                <wp:positionV relativeFrom="paragraph">
                  <wp:posOffset>13970</wp:posOffset>
                </wp:positionV>
                <wp:extent cx="269240" cy="240665"/>
                <wp:effectExtent l="0" t="0" r="0" b="0"/>
                <wp:wrapNone/>
                <wp:docPr id="23692" name="Rectangle 23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69240" cy="240665"/>
                        </a:xfrm>
                        <a:prstGeom prst="rect">
                          <a:avLst/>
                        </a:prstGeom>
                        <a:noFill/>
                        <a:ln w="12700" cap="flat" cmpd="sng" algn="ctr">
                          <a:noFill/>
                          <a:prstDash val="solid"/>
                          <a:miter lim="800000"/>
                        </a:ln>
                        <a:effectLst/>
                      </wps:spPr>
                      <wps:txbx>
                        <w:txbxContent>
                          <w:p w14:paraId="64B1BCF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D2FA4A7" id="Rectangle 23692" o:spid="_x0000_s1735" style="position:absolute;left:0;text-align:left;margin-left:176.15pt;margin-top:1.1pt;width:21.2pt;height:18.9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" filled="f" stroked="f" strokeweight="1pt">
                <v:textbox inset="0,0,0,0">
                  <w:txbxContent>
                    <w:p w14:paraId="64B1BCF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-2</w:t>
                      </w:r>
                    </w:p>
                  </w:txbxContent>
                </v:textbox>
              </v:rect>
            </w:pict>
          </mc:Fallback>
        </mc:AlternateContent>
      </w:r>
    </w:p>
    <w:p w14:paraId="09D3F2D0" w14:textId="77777777" w:rsidR="00CE6626" w:rsidRPr="009D4627" w:rsidRDefault="00CE6626" w:rsidP="00CE6626">
      <w:pPr>
        <w:spacing w:before="0" w:after="0" w:line="240" w:lineRule="auto"/>
        <w:rPr>
          <w:b/>
          <w:szCs w:val="22"/>
          <w:lang w:val="en-MY"/>
        </w:rPr>
      </w:pPr>
    </w:p>
    <w:p w14:paraId="2316BF73" w14:textId="77777777" w:rsidR="00CE6626" w:rsidRPr="009D4627" w:rsidRDefault="00CE6626" w:rsidP="00CE6626">
      <w:pPr>
        <w:spacing w:before="0" w:after="0" w:line="240" w:lineRule="auto"/>
        <w:rPr>
          <w:b/>
          <w:szCs w:val="22"/>
          <w:lang w:val="en-MY"/>
        </w:rPr>
      </w:pPr>
    </w:p>
    <w:p w14:paraId="3ABB66DC"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1/3 m 20</w:t>
      </w:r>
      <w:r w:rsidRPr="009D4627">
        <w:rPr>
          <w:bCs/>
          <w:szCs w:val="22"/>
          <w:vertAlign w:val="superscript"/>
          <w:lang w:val="en-MY"/>
        </w:rPr>
        <w:t>Δ</w:t>
      </w:r>
      <w:r w:rsidRPr="009D4627">
        <w:rPr>
          <w:bCs/>
          <w:szCs w:val="22"/>
          <w:lang w:val="en-MY"/>
        </w:rPr>
        <w:t xml:space="preserve"> XT 5</w:t>
      </w:r>
      <w:r w:rsidRPr="009D4627">
        <w:rPr>
          <w:bCs/>
          <w:szCs w:val="22"/>
          <w:vertAlign w:val="superscript"/>
          <w:lang w:val="en-MY"/>
        </w:rPr>
        <w:t>Δ</w:t>
      </w:r>
      <w:r w:rsidRPr="009D4627">
        <w:rPr>
          <w:bCs/>
          <w:szCs w:val="22"/>
          <w:lang w:val="en-MY"/>
        </w:rPr>
        <w:t xml:space="preserve"> RHT </w:t>
      </w:r>
    </w:p>
    <w:p w14:paraId="4265D5B8" w14:textId="77777777" w:rsidR="00CE6626" w:rsidRPr="009D4627" w:rsidRDefault="00CE6626" w:rsidP="00CE6626">
      <w:pPr>
        <w:spacing w:before="0" w:after="0" w:line="240" w:lineRule="auto"/>
        <w:rPr>
          <w:bCs/>
          <w:szCs w:val="22"/>
          <w:lang w:val="en-MY"/>
        </w:rPr>
      </w:pPr>
      <w:r w:rsidRPr="009D4627">
        <w:rPr>
          <w:bCs/>
          <w:szCs w:val="22"/>
          <w:lang w:val="en-MY"/>
        </w:rPr>
        <w:tab/>
        <w:t xml:space="preserve">with glasses </w:t>
      </w:r>
      <w:r w:rsidRPr="009D4627">
        <w:rPr>
          <w:bCs/>
          <w:szCs w:val="22"/>
          <w:lang w:val="en-MY"/>
        </w:rPr>
        <w:tab/>
        <w:t xml:space="preserve">6 m (at 5 gazes)         </w:t>
      </w:r>
    </w:p>
    <w:p w14:paraId="57C4DED7" w14:textId="5DA0FC3F" w:rsidR="00CE6626" w:rsidRPr="009D4627" w:rsidRDefault="00E12D81" w:rsidP="00CE6626">
      <w:pPr>
        <w:spacing w:before="0" w:line="240" w:lineRule="auto"/>
        <w:rPr>
          <w:bCs/>
          <w:szCs w:val="22"/>
          <w:lang w:val="en-MY"/>
        </w:rPr>
      </w:pPr>
      <w:r w:rsidRPr="009D4627">
        <w:rPr>
          <w:noProof/>
        </w:rPr>
        <mc:AlternateContent>
          <mc:Choice Requires="wps">
            <w:drawing>
              <wp:anchor distT="0" distB="0" distL="114300" distR="114300" simplePos="0" relativeHeight="251729920" behindDoc="0" locked="0" layoutInCell="1" allowOverlap="1" wp14:anchorId="499944D7" wp14:editId="031A750D">
                <wp:simplePos x="0" y="0"/>
                <wp:positionH relativeFrom="column">
                  <wp:posOffset>3086100</wp:posOffset>
                </wp:positionH>
                <wp:positionV relativeFrom="paragraph">
                  <wp:posOffset>286385</wp:posOffset>
                </wp:positionV>
                <wp:extent cx="0" cy="1066800"/>
                <wp:effectExtent l="0" t="0" r="38100" b="19050"/>
                <wp:wrapNone/>
                <wp:docPr id="23691" name="Straight Connector 236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668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842D11" id="Straight Connector 23691"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22.55pt" to="243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" strokecolor="#4472c4" strokeweight=".5pt">
                <v:stroke joinstyle="miter"/>
                <o:lock v:ext="edit" shapetype="f"/>
              </v:line>
            </w:pict>
          </mc:Fallback>
        </mc:AlternateContent>
      </w:r>
      <w:r w:rsidRPr="009D4627">
        <w:rPr>
          <w:noProof/>
        </w:rPr>
        <mc:AlternateContent>
          <mc:Choice Requires="wps">
            <w:drawing>
              <wp:anchor distT="0" distB="0" distL="114300" distR="114300" simplePos="0" relativeHeight="251728896" behindDoc="0" locked="0" layoutInCell="1" allowOverlap="1" wp14:anchorId="0C77C1C6" wp14:editId="2909148B">
                <wp:simplePos x="0" y="0"/>
                <wp:positionH relativeFrom="margin">
                  <wp:posOffset>1533525</wp:posOffset>
                </wp:positionH>
                <wp:positionV relativeFrom="paragraph">
                  <wp:posOffset>295910</wp:posOffset>
                </wp:positionV>
                <wp:extent cx="0" cy="1057275"/>
                <wp:effectExtent l="0" t="0" r="38100" b="28575"/>
                <wp:wrapNone/>
                <wp:docPr id="23690" name="Straight Connector 236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5727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152273" id="Straight Connector 23690" o:spid="_x0000_s1026" style="position:absolute;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0.75pt,23.3pt" to="120.7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" strokecolor="#4472c4" strokeweight=".5pt">
                <v:stroke joinstyle="miter"/>
                <o:lock v:ext="edit" shapetype="f"/>
                <w10:wrap anchorx="margin"/>
              </v:line>
            </w:pict>
          </mc:Fallback>
        </mc:AlternateContent>
      </w:r>
    </w:p>
    <w:p w14:paraId="36A5C6A2" w14:textId="5BCCDF57" w:rsidR="00CE6626" w:rsidRPr="009D4627" w:rsidRDefault="00CE6626" w:rsidP="00E12D81">
      <w:pPr>
        <w:spacing w:before="0" w:after="0" w:line="240" w:lineRule="auto"/>
        <w:rPr>
          <w:bCs/>
          <w:szCs w:val="22"/>
          <w:lang w:val="en-MY"/>
        </w:rPr>
      </w:pPr>
      <w:r w:rsidRPr="009D4627">
        <w:rPr>
          <w:bCs/>
          <w:szCs w:val="22"/>
          <w:lang w:val="en-MY"/>
        </w:rPr>
        <w:t xml:space="preserve">                                              </w:t>
      </w:r>
      <w:r w:rsidR="00E12D81">
        <w:rPr>
          <w:bCs/>
          <w:szCs w:val="22"/>
          <w:lang w:val="en-MY"/>
        </w:rPr>
        <w:tab/>
      </w:r>
      <w:r w:rsidRPr="009D4627">
        <w:rPr>
          <w:bCs/>
          <w:szCs w:val="22"/>
          <w:lang w:val="en-MY"/>
        </w:rPr>
        <w:t>9</w:t>
      </w:r>
      <w:r w:rsidRPr="009D4627">
        <w:rPr>
          <w:bCs/>
          <w:szCs w:val="22"/>
          <w:vertAlign w:val="superscript"/>
          <w:lang w:val="en-MY"/>
        </w:rPr>
        <w:t>Δ</w:t>
      </w:r>
      <w:r w:rsidRPr="009D4627">
        <w:rPr>
          <w:bCs/>
          <w:szCs w:val="22"/>
          <w:lang w:val="en-MY"/>
        </w:rPr>
        <w:t xml:space="preserve"> XT 4</w:t>
      </w:r>
      <w:r w:rsidRPr="009D4627">
        <w:rPr>
          <w:bCs/>
          <w:szCs w:val="22"/>
          <w:vertAlign w:val="superscript"/>
          <w:lang w:val="en-MY"/>
        </w:rPr>
        <w:t>Δ</w:t>
      </w:r>
      <w:r w:rsidRPr="009D4627">
        <w:rPr>
          <w:bCs/>
          <w:szCs w:val="22"/>
          <w:lang w:val="en-MY"/>
        </w:rPr>
        <w:t xml:space="preserve"> </w:t>
      </w:r>
      <w:proofErr w:type="spellStart"/>
      <w:r w:rsidRPr="009D4627">
        <w:rPr>
          <w:bCs/>
          <w:szCs w:val="22"/>
          <w:lang w:val="en-MY"/>
        </w:rPr>
        <w:t>RoHT</w:t>
      </w:r>
      <w:proofErr w:type="spellEnd"/>
      <w:r w:rsidRPr="009D4627">
        <w:rPr>
          <w:bCs/>
          <w:szCs w:val="22"/>
          <w:lang w:val="en-MY"/>
        </w:rPr>
        <w:t xml:space="preserve">   </w:t>
      </w:r>
    </w:p>
    <w:p w14:paraId="0C8A5AC8" w14:textId="06E18C7C" w:rsidR="00E12D81" w:rsidRPr="00E12D81" w:rsidRDefault="00E12D81" w:rsidP="00A14EE0">
      <w:pPr>
        <w:spacing w:before="0" w:after="0" w:line="240" w:lineRule="auto"/>
        <w:rPr>
          <w:bCs/>
          <w:i/>
          <w:iCs/>
          <w:szCs w:val="22"/>
          <w:lang w:val="en-MY"/>
        </w:rPr>
      </w:pPr>
      <w:r w:rsidRPr="009D4627">
        <w:rPr>
          <w:noProof/>
        </w:rPr>
        <mc:AlternateContent>
          <mc:Choice Requires="wps">
            <w:drawing>
              <wp:anchor distT="0" distB="0" distL="114300" distR="114300" simplePos="0" relativeHeight="251732992" behindDoc="0" locked="0" layoutInCell="1" allowOverlap="1" wp14:anchorId="590D40BB" wp14:editId="5C65E167">
                <wp:simplePos x="0" y="0"/>
                <wp:positionH relativeFrom="column">
                  <wp:posOffset>456565</wp:posOffset>
                </wp:positionH>
                <wp:positionV relativeFrom="paragraph">
                  <wp:posOffset>12065</wp:posOffset>
                </wp:positionV>
                <wp:extent cx="3420000" cy="0"/>
                <wp:effectExtent l="0" t="0" r="0" b="0"/>
                <wp:wrapNone/>
                <wp:docPr id="23689" name="Straight Connector 236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00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9DCE2E8" id="Straight Connector 23689" o:spid="_x0000_s1026" style="position:absolute;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5pt,.95pt" to="305.2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" strokecolor="#4472c4" strokeweight=".5pt">
                <v:stroke joinstyle="miter"/>
                <o:lock v:ext="edit" shapetype="f"/>
              </v:line>
            </w:pict>
          </mc:Fallback>
        </mc:AlternateContent>
      </w:r>
      <w:r w:rsidR="00CE6626" w:rsidRPr="009D4627">
        <w:rPr>
          <w:bCs/>
          <w:szCs w:val="22"/>
          <w:lang w:val="en-MY"/>
        </w:rPr>
        <w:t xml:space="preserve">    </w:t>
      </w:r>
      <w:r w:rsidR="00A14EE0">
        <w:rPr>
          <w:bCs/>
          <w:szCs w:val="22"/>
          <w:lang w:val="en-MY"/>
        </w:rPr>
        <w:tab/>
      </w:r>
      <w:r w:rsidR="00CE6626" w:rsidRPr="009D4627">
        <w:rPr>
          <w:bCs/>
          <w:szCs w:val="22"/>
          <w:lang w:val="en-MY"/>
        </w:rPr>
        <w:t xml:space="preserve"> </w:t>
      </w:r>
      <w:r w:rsidR="00A14EE0">
        <w:rPr>
          <w:bCs/>
          <w:szCs w:val="22"/>
          <w:lang w:val="en-MY"/>
        </w:rPr>
        <w:t>r</w:t>
      </w:r>
      <w:r w:rsidR="00DC340E">
        <w:rPr>
          <w:bCs/>
          <w:szCs w:val="22"/>
          <w:lang w:val="en-MY"/>
        </w:rPr>
        <w:t>ight</w:t>
      </w:r>
      <w:r w:rsidR="00CE6626" w:rsidRPr="009D4627">
        <w:rPr>
          <w:bCs/>
          <w:szCs w:val="22"/>
          <w:lang w:val="en-MY"/>
        </w:rPr>
        <w:t xml:space="preserve"> </w:t>
      </w:r>
      <w:r w:rsidR="00DC340E">
        <w:rPr>
          <w:bCs/>
          <w:szCs w:val="22"/>
          <w:lang w:val="en-MY"/>
        </w:rPr>
        <w:t>g</w:t>
      </w:r>
      <w:r w:rsidR="00CE6626" w:rsidRPr="009D4627">
        <w:rPr>
          <w:bCs/>
          <w:i/>
          <w:iCs/>
          <w:szCs w:val="22"/>
          <w:lang w:val="en-MY"/>
        </w:rPr>
        <w:t>aze</w:t>
      </w:r>
      <w:r>
        <w:rPr>
          <w:bCs/>
          <w:i/>
          <w:iCs/>
          <w:szCs w:val="22"/>
          <w:lang w:val="en-MY"/>
        </w:rPr>
        <w:t>:</w:t>
      </w:r>
      <w:r w:rsidR="00CE6626" w:rsidRPr="009D4627">
        <w:rPr>
          <w:bCs/>
          <w:szCs w:val="22"/>
          <w:lang w:val="en-MY"/>
        </w:rPr>
        <w:t xml:space="preserve">  </w:t>
      </w:r>
      <w:r>
        <w:rPr>
          <w:bCs/>
          <w:szCs w:val="22"/>
          <w:lang w:val="en-MY"/>
        </w:rPr>
        <w:t xml:space="preserve">                                                 </w:t>
      </w:r>
      <w:r>
        <w:rPr>
          <w:bCs/>
          <w:szCs w:val="22"/>
          <w:lang w:val="en-MY"/>
        </w:rPr>
        <w:tab/>
      </w:r>
      <w:r>
        <w:rPr>
          <w:bCs/>
          <w:i/>
          <w:iCs/>
          <w:szCs w:val="22"/>
          <w:lang w:val="en-MY"/>
        </w:rPr>
        <w:t>Left gaze:</w:t>
      </w:r>
    </w:p>
    <w:p w14:paraId="10C1F73E" w14:textId="15D71C22" w:rsidR="00CE6626" w:rsidRPr="009D4627" w:rsidRDefault="00CE6626" w:rsidP="00E12D81">
      <w:pPr>
        <w:spacing w:before="0" w:after="0" w:line="240" w:lineRule="auto"/>
        <w:ind w:firstLine="720"/>
        <w:rPr>
          <w:bCs/>
          <w:szCs w:val="22"/>
          <w:lang w:val="en-MY"/>
        </w:rPr>
      </w:pPr>
      <w:r w:rsidRPr="009D4627">
        <w:rPr>
          <w:bCs/>
          <w:szCs w:val="22"/>
          <w:lang w:val="en-MY"/>
        </w:rPr>
        <w:t>5</w:t>
      </w:r>
      <w:r w:rsidRPr="009D4627">
        <w:rPr>
          <w:bCs/>
          <w:szCs w:val="22"/>
          <w:vertAlign w:val="superscript"/>
          <w:lang w:val="en-MY"/>
        </w:rPr>
        <w:t>Δ</w:t>
      </w:r>
      <w:r w:rsidRPr="009D4627">
        <w:rPr>
          <w:bCs/>
          <w:szCs w:val="22"/>
          <w:lang w:val="en-MY"/>
        </w:rPr>
        <w:t xml:space="preserve"> XT 1</w:t>
      </w:r>
      <w:r w:rsidRPr="009D4627">
        <w:rPr>
          <w:bCs/>
          <w:szCs w:val="22"/>
          <w:vertAlign w:val="superscript"/>
          <w:lang w:val="en-MY"/>
        </w:rPr>
        <w:t>Δ</w:t>
      </w:r>
      <w:r w:rsidRPr="009D4627">
        <w:rPr>
          <w:bCs/>
          <w:szCs w:val="22"/>
          <w:lang w:val="en-MY"/>
        </w:rPr>
        <w:t xml:space="preserve"> RHT </w:t>
      </w:r>
      <w:r w:rsidR="00E12D81">
        <w:rPr>
          <w:bCs/>
          <w:szCs w:val="22"/>
          <w:lang w:val="en-MY"/>
        </w:rPr>
        <w:tab/>
      </w:r>
      <w:r w:rsidRPr="009D4627">
        <w:rPr>
          <w:bCs/>
          <w:szCs w:val="22"/>
          <w:lang w:val="en-MY"/>
        </w:rPr>
        <w:t>10</w:t>
      </w:r>
      <w:r w:rsidRPr="009D4627">
        <w:rPr>
          <w:bCs/>
          <w:szCs w:val="22"/>
          <w:vertAlign w:val="superscript"/>
          <w:lang w:val="en-MY"/>
        </w:rPr>
        <w:t>Δ</w:t>
      </w:r>
      <w:r w:rsidRPr="009D4627">
        <w:rPr>
          <w:bCs/>
          <w:szCs w:val="22"/>
          <w:lang w:val="en-MY"/>
        </w:rPr>
        <w:t xml:space="preserve"> XT 1</w:t>
      </w:r>
      <w:r w:rsidRPr="009D4627">
        <w:rPr>
          <w:bCs/>
          <w:szCs w:val="22"/>
          <w:vertAlign w:val="superscript"/>
          <w:lang w:val="en-MY"/>
        </w:rPr>
        <w:t xml:space="preserve">Δ </w:t>
      </w:r>
      <w:r w:rsidRPr="009D4627">
        <w:rPr>
          <w:bCs/>
          <w:szCs w:val="22"/>
          <w:lang w:val="en-MY"/>
        </w:rPr>
        <w:t xml:space="preserve">RHT    </w:t>
      </w:r>
      <w:r w:rsidR="00A14EE0">
        <w:rPr>
          <w:bCs/>
          <w:szCs w:val="22"/>
          <w:lang w:val="en-MY"/>
        </w:rPr>
        <w:t xml:space="preserve">     </w:t>
      </w:r>
      <w:r w:rsidR="00E12D81">
        <w:rPr>
          <w:bCs/>
          <w:szCs w:val="22"/>
          <w:lang w:val="en-MY"/>
        </w:rPr>
        <w:tab/>
      </w:r>
      <w:r w:rsidRPr="009D4627">
        <w:rPr>
          <w:bCs/>
          <w:szCs w:val="22"/>
          <w:lang w:val="en-MY"/>
        </w:rPr>
        <w:t>14-16</w:t>
      </w:r>
      <w:r w:rsidRPr="009D4627">
        <w:rPr>
          <w:bCs/>
          <w:szCs w:val="22"/>
          <w:vertAlign w:val="superscript"/>
          <w:lang w:val="en-MY"/>
        </w:rPr>
        <w:t>Δ</w:t>
      </w:r>
      <w:r w:rsidRPr="009D4627">
        <w:rPr>
          <w:bCs/>
          <w:szCs w:val="22"/>
          <w:lang w:val="en-MY"/>
        </w:rPr>
        <w:t xml:space="preserve"> XT 1</w:t>
      </w:r>
      <w:r w:rsidRPr="009D4627">
        <w:rPr>
          <w:bCs/>
          <w:szCs w:val="22"/>
          <w:vertAlign w:val="superscript"/>
          <w:lang w:val="en-MY"/>
        </w:rPr>
        <w:t>Δ</w:t>
      </w:r>
      <w:r w:rsidRPr="009D4627">
        <w:rPr>
          <w:bCs/>
          <w:szCs w:val="22"/>
          <w:lang w:val="en-MY"/>
        </w:rPr>
        <w:t xml:space="preserve"> RHT</w:t>
      </w:r>
    </w:p>
    <w:p w14:paraId="61E7D57B" w14:textId="77777777" w:rsidR="00E12D81" w:rsidRDefault="00E12D81" w:rsidP="00E12D81">
      <w:pPr>
        <w:spacing w:before="0" w:after="0" w:line="240" w:lineRule="auto"/>
        <w:jc w:val="left"/>
        <w:rPr>
          <w:b/>
          <w:szCs w:val="22"/>
          <w:lang w:val="en-MY"/>
        </w:rPr>
      </w:pPr>
      <w:r w:rsidRPr="009D4627">
        <w:rPr>
          <w:noProof/>
        </w:rPr>
        <mc:AlternateContent>
          <mc:Choice Requires="wps">
            <w:drawing>
              <wp:anchor distT="0" distB="0" distL="114300" distR="114300" simplePos="0" relativeHeight="251734016" behindDoc="0" locked="0" layoutInCell="1" allowOverlap="1" wp14:anchorId="208877F0" wp14:editId="4B851325">
                <wp:simplePos x="0" y="0"/>
                <wp:positionH relativeFrom="column">
                  <wp:posOffset>466725</wp:posOffset>
                </wp:positionH>
                <wp:positionV relativeFrom="paragraph">
                  <wp:posOffset>29210</wp:posOffset>
                </wp:positionV>
                <wp:extent cx="3420000" cy="0"/>
                <wp:effectExtent l="0" t="0" r="0" b="0"/>
                <wp:wrapNone/>
                <wp:docPr id="23688" name="Straight Connector 236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0000"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BE1C736" id="Straight Connector 23688" o:spid="_x0000_s1026" style="position:absolute;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2.3pt" to="306.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" strokecolor="#4472c4" strokeweight=".5pt">
                <v:stroke joinstyle="miter"/>
                <o:lock v:ext="edit" shapetype="f"/>
              </v:line>
            </w:pict>
          </mc:Fallback>
        </mc:AlternateContent>
      </w:r>
      <w:r w:rsidR="00CE6626" w:rsidRPr="009D4627">
        <w:rPr>
          <w:b/>
          <w:szCs w:val="22"/>
          <w:lang w:val="en-MY"/>
        </w:rPr>
        <w:t xml:space="preserve">                                           </w:t>
      </w:r>
    </w:p>
    <w:p w14:paraId="5A024B11" w14:textId="65D61B72" w:rsidR="00CE6626" w:rsidRPr="009D4627" w:rsidRDefault="00E12D81" w:rsidP="00E12D81">
      <w:pPr>
        <w:spacing w:before="0" w:after="0" w:line="240" w:lineRule="auto"/>
        <w:ind w:left="2160" w:firstLine="392"/>
        <w:jc w:val="left"/>
        <w:rPr>
          <w:szCs w:val="22"/>
          <w:lang w:val="en-MY"/>
        </w:rPr>
      </w:pPr>
      <w:r>
        <w:rPr>
          <w:bCs/>
          <w:szCs w:val="22"/>
          <w:lang w:val="en-MY"/>
        </w:rPr>
        <w:t>n</w:t>
      </w:r>
      <w:r w:rsidR="00CE6626" w:rsidRPr="009D4627">
        <w:rPr>
          <w:szCs w:val="22"/>
          <w:lang w:val="en-MY"/>
        </w:rPr>
        <w:t xml:space="preserve">ot able to </w:t>
      </w:r>
      <w:r w:rsidR="00A14EE0">
        <w:rPr>
          <w:szCs w:val="22"/>
          <w:lang w:val="en-MY"/>
        </w:rPr>
        <w:t>measure</w:t>
      </w:r>
      <w:r w:rsidR="00CE6626" w:rsidRPr="009D4627">
        <w:rPr>
          <w:szCs w:val="22"/>
          <w:lang w:val="en-MY"/>
        </w:rPr>
        <w:t xml:space="preserve">                                                                                  </w:t>
      </w:r>
    </w:p>
    <w:p w14:paraId="2506BD98" w14:textId="77777777" w:rsidR="00CE6626" w:rsidRPr="009D4627" w:rsidRDefault="00CE6626" w:rsidP="00CE6626">
      <w:pPr>
        <w:spacing w:before="0" w:after="0" w:line="240" w:lineRule="auto"/>
        <w:rPr>
          <w:b/>
          <w:szCs w:val="22"/>
          <w:lang w:val="en-MY"/>
        </w:rPr>
      </w:pPr>
    </w:p>
    <w:p w14:paraId="481EEF7B" w14:textId="77777777" w:rsidR="00E12D81" w:rsidRDefault="00E12D81" w:rsidP="00CE6626">
      <w:pPr>
        <w:spacing w:before="0" w:after="0" w:line="240" w:lineRule="auto"/>
        <w:rPr>
          <w:b/>
          <w:szCs w:val="22"/>
          <w:lang w:val="en-MY"/>
        </w:rPr>
      </w:pPr>
    </w:p>
    <w:p w14:paraId="0EA431B6" w14:textId="45D2EEC6" w:rsidR="00CE6626" w:rsidRPr="009D4627" w:rsidRDefault="00CE6626" w:rsidP="00CE6626">
      <w:pPr>
        <w:spacing w:before="0" w:after="0" w:line="240" w:lineRule="auto"/>
        <w:rPr>
          <w:b/>
          <w:szCs w:val="22"/>
          <w:lang w:val="en-MY"/>
        </w:rPr>
      </w:pPr>
      <w:r w:rsidRPr="009D4627">
        <w:rPr>
          <w:b/>
          <w:szCs w:val="22"/>
          <w:lang w:val="en-MY"/>
        </w:rPr>
        <w:t>Pupils equal and react to light R&amp;L</w:t>
      </w:r>
    </w:p>
    <w:p w14:paraId="4C13BD27" w14:textId="77777777" w:rsidR="00CE6626" w:rsidRPr="009D4627" w:rsidRDefault="00CE6626" w:rsidP="00CE6626">
      <w:pPr>
        <w:spacing w:before="0" w:after="0" w:line="240" w:lineRule="auto"/>
        <w:rPr>
          <w:b/>
          <w:szCs w:val="22"/>
          <w:lang w:val="en-MY"/>
        </w:rPr>
      </w:pPr>
    </w:p>
    <w:p w14:paraId="2C4C5730" w14:textId="77777777" w:rsidR="00CE6626" w:rsidRPr="009D4627" w:rsidRDefault="00CE6626" w:rsidP="00CE6626">
      <w:pPr>
        <w:spacing w:before="0" w:after="0" w:line="240" w:lineRule="auto"/>
        <w:rPr>
          <w:bCs/>
          <w:szCs w:val="22"/>
          <w:lang w:val="en-MY"/>
        </w:rPr>
      </w:pPr>
      <w:r w:rsidRPr="009D4627">
        <w:rPr>
          <w:b/>
          <w:szCs w:val="22"/>
          <w:lang w:val="en-MY"/>
        </w:rPr>
        <w:t xml:space="preserve"> Lids </w:t>
      </w:r>
      <w:r w:rsidRPr="009D4627">
        <w:rPr>
          <w:bCs/>
          <w:szCs w:val="22"/>
          <w:lang w:val="en-MY"/>
        </w:rPr>
        <w:t xml:space="preserve">- slight R Ptosis </w:t>
      </w:r>
    </w:p>
    <w:p w14:paraId="07B993FF" w14:textId="1EA3698A" w:rsidR="00CE6626" w:rsidRPr="009D4627" w:rsidRDefault="00A2792E" w:rsidP="00CE6626">
      <w:pPr>
        <w:spacing w:before="0" w:after="0" w:line="240" w:lineRule="auto"/>
        <w:rPr>
          <w:b/>
          <w:szCs w:val="22"/>
          <w:lang w:val="en-MY"/>
        </w:rPr>
      </w:pPr>
      <w:r w:rsidRPr="009D4627">
        <w:rPr>
          <w:noProof/>
        </w:rPr>
        <mc:AlternateContent>
          <mc:Choice Requires="wpg">
            <w:drawing>
              <wp:anchor distT="0" distB="0" distL="114300" distR="114300" simplePos="0" relativeHeight="251724800" behindDoc="0" locked="0" layoutInCell="1" allowOverlap="1" wp14:anchorId="40A98D8B" wp14:editId="4B3C4D67">
                <wp:simplePos x="0" y="0"/>
                <wp:positionH relativeFrom="column">
                  <wp:posOffset>1990725</wp:posOffset>
                </wp:positionH>
                <wp:positionV relativeFrom="paragraph">
                  <wp:posOffset>140970</wp:posOffset>
                </wp:positionV>
                <wp:extent cx="1906905" cy="567690"/>
                <wp:effectExtent l="0" t="0" r="0" b="0"/>
                <wp:wrapNone/>
                <wp:docPr id="23677" name="Group 23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905" cy="567690"/>
                          <a:chOff x="0" y="0"/>
                          <a:chExt cx="20241" cy="6134"/>
                        </a:xfrm>
                      </wpg:grpSpPr>
                      <wpg:grpSp>
                        <wpg:cNvPr id="23678" name="Group 21814"/>
                        <wpg:cNvGrpSpPr>
                          <a:grpSpLocks/>
                        </wpg:cNvGrpSpPr>
                        <wpg:grpSpPr bwMode="auto">
                          <a:xfrm>
                            <a:off x="0" y="285"/>
                            <a:ext cx="8692" cy="5849"/>
                            <a:chOff x="0" y="0"/>
                            <a:chExt cx="8692" cy="5852"/>
                          </a:xfrm>
                        </wpg:grpSpPr>
                        <wps:wsp>
                          <wps:cNvPr id="23679" name="Arc 21815"/>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80" name="Arc 21816"/>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81" name="Straight Arrow Connector 21817"/>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682" name="Rectangle 21818"/>
                          <wps:cNvSpPr>
                            <a:spLocks noChangeArrowheads="1"/>
                          </wps:cNvSpPr>
                          <wps:spPr bwMode="auto">
                            <a:xfrm>
                              <a:off x="3000" y="1813"/>
                              <a:ext cx="5692" cy="1905"/>
                            </a:xfrm>
                            <a:prstGeom prst="rect">
                              <a:avLst/>
                            </a:prstGeom>
                            <a:noFill/>
                            <a:ln>
                              <a:noFill/>
                            </a:ln>
                          </wps:spPr>
                          <wps:txbx>
                            <w:txbxContent>
                              <w:p w14:paraId="11AAE5B0"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6 mm</w:t>
                                </w:r>
                              </w:p>
                            </w:txbxContent>
                          </wps:txbx>
                          <wps:bodyPr rot="0" vert="horz" wrap="square" lIns="0" tIns="0" rIns="0" bIns="0" anchor="ctr" anchorCtr="0" upright="1">
                            <a:noAutofit/>
                          </wps:bodyPr>
                        </wps:wsp>
                      </wpg:grpSp>
                      <wpg:grpSp>
                        <wpg:cNvPr id="23683" name="Group 21819"/>
                        <wpg:cNvGrpSpPr>
                          <a:grpSpLocks/>
                        </wpg:cNvGrpSpPr>
                        <wpg:grpSpPr bwMode="auto">
                          <a:xfrm>
                            <a:off x="12954" y="0"/>
                            <a:ext cx="7287" cy="5848"/>
                            <a:chOff x="0" y="0"/>
                            <a:chExt cx="7287" cy="5852"/>
                          </a:xfrm>
                        </wpg:grpSpPr>
                        <wps:wsp>
                          <wps:cNvPr id="23684" name="Arc 21820"/>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85" name="Arc 21821"/>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86" name="Straight Arrow Connector 21822"/>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687" name="Rectangle 21823"/>
                          <wps:cNvSpPr>
                            <a:spLocks noChangeArrowheads="1"/>
                          </wps:cNvSpPr>
                          <wps:spPr bwMode="auto">
                            <a:xfrm>
                              <a:off x="3001" y="1814"/>
                              <a:ext cx="4286" cy="1905"/>
                            </a:xfrm>
                            <a:prstGeom prst="rect">
                              <a:avLst/>
                            </a:prstGeom>
                            <a:noFill/>
                            <a:ln>
                              <a:noFill/>
                            </a:ln>
                          </wps:spPr>
                          <wps:txbx>
                            <w:txbxContent>
                              <w:p w14:paraId="2BA43991"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8mm mm</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0A98D8B" id="Group 23677" o:spid="_x0000_s1736" style="position:absolute;left:0;text-align:left;margin-left:156.75pt;margin-top:11.1pt;width:150.15pt;height:44.7pt;z-index:251724800;mso-position-horizontal-relative:text;mso-position-vertical-relative:text;mso-width-relative:margin;mso-height-relative:margin" coordsize="20241,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">
                <v:group id="Group 21814" o:spid="_x0000_s1737" style="position:absolute;top:285;width:8692;height:5849" coordsize="869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">
                  <v:shape id="Arc 21815" o:spid="_x0000_s1738"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816" o:spid="_x0000_s1739"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817" o:spid="_x0000_s1740"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" strokeweight=".5pt">
                    <v:stroke startarrow="open" endarrow="open" joinstyle="miter"/>
                  </v:shape>
                  <v:rect id="Rectangle 21818" o:spid="_x0000_s1741" style="position:absolute;left:3000;top:1813;width:569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" filled="f" stroked="f">
                    <v:textbox inset="0,0,0,0">
                      <w:txbxContent>
                        <w:p w14:paraId="11AAE5B0"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6 mm</w:t>
                          </w:r>
                        </w:p>
                      </w:txbxContent>
                    </v:textbox>
                  </v:rect>
                </v:group>
                <v:group id="Group 21819" o:spid="_x0000_s1742" style="position:absolute;left:12954;width:7287;height:5848" coordsize="7287,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">
                  <v:shape id="Arc 21820" o:spid="_x0000_s1743"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821" o:spid="_x0000_s1744"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822" o:spid="_x0000_s1745"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" strokeweight=".5pt">
                    <v:stroke startarrow="open" endarrow="open" joinstyle="miter"/>
                  </v:shape>
                  <v:rect id="Rectangle 21823" o:spid="_x0000_s1746" style="position:absolute;left:3001;top:1814;width:428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" filled="f" stroked="f">
                    <v:textbox inset="0,0,0,0">
                      <w:txbxContent>
                        <w:p w14:paraId="2BA43991"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8mm mm</w:t>
                          </w:r>
                        </w:p>
                      </w:txbxContent>
                    </v:textbox>
                  </v:rect>
                </v:group>
              </v:group>
            </w:pict>
          </mc:Fallback>
        </mc:AlternateContent>
      </w:r>
      <w:r w:rsidR="00CE6626" w:rsidRPr="009D4627">
        <w:rPr>
          <w:bCs/>
          <w:szCs w:val="22"/>
          <w:lang w:val="en-MY"/>
        </w:rPr>
        <w:t xml:space="preserve">         - palpebral apertures</w:t>
      </w:r>
      <w:r w:rsidR="00CE6626" w:rsidRPr="009D4627">
        <w:rPr>
          <w:b/>
          <w:szCs w:val="22"/>
          <w:lang w:val="en-MY"/>
        </w:rPr>
        <w:t xml:space="preserve">: </w:t>
      </w:r>
    </w:p>
    <w:p w14:paraId="756F6304" w14:textId="77777777" w:rsidR="00CE6626" w:rsidRPr="009D4627" w:rsidRDefault="00CE6626" w:rsidP="00CE6626">
      <w:pPr>
        <w:spacing w:before="0" w:after="0" w:line="240" w:lineRule="auto"/>
        <w:rPr>
          <w:szCs w:val="22"/>
          <w:lang w:val="en-MY"/>
        </w:rPr>
      </w:pPr>
    </w:p>
    <w:p w14:paraId="4D36984C" w14:textId="77777777" w:rsidR="00CE6626" w:rsidRPr="009D4627" w:rsidRDefault="00CE6626" w:rsidP="00CE6626">
      <w:pPr>
        <w:spacing w:before="0" w:after="0" w:line="240" w:lineRule="auto"/>
        <w:rPr>
          <w:b/>
          <w:szCs w:val="22"/>
          <w:lang w:val="en-MY"/>
        </w:rPr>
      </w:pPr>
    </w:p>
    <w:p w14:paraId="427D8196" w14:textId="77777777" w:rsidR="00CE6626" w:rsidRPr="009D4627" w:rsidRDefault="00CE6626" w:rsidP="00CE6626">
      <w:pPr>
        <w:spacing w:before="0" w:after="0" w:line="240" w:lineRule="auto"/>
        <w:rPr>
          <w:color w:val="auto"/>
          <w:szCs w:val="22"/>
          <w:lang w:val="en-MY"/>
        </w:rPr>
      </w:pPr>
    </w:p>
    <w:p w14:paraId="00B40E1A" w14:textId="77777777" w:rsidR="00E12D81" w:rsidRDefault="00E12D81" w:rsidP="00CE6626">
      <w:pPr>
        <w:spacing w:before="0" w:after="0" w:line="240" w:lineRule="auto"/>
        <w:rPr>
          <w:b/>
          <w:bCs/>
          <w:color w:val="auto"/>
          <w:szCs w:val="22"/>
          <w:lang w:val="en-MY"/>
        </w:rPr>
      </w:pPr>
    </w:p>
    <w:p w14:paraId="63E1397F" w14:textId="640DCE66" w:rsidR="00CE6626" w:rsidRPr="009D4627" w:rsidRDefault="00CE6626" w:rsidP="00CE6626">
      <w:pPr>
        <w:spacing w:before="0" w:after="0" w:line="240" w:lineRule="auto"/>
        <w:rPr>
          <w:color w:val="auto"/>
          <w:szCs w:val="22"/>
          <w:lang w:val="en-MY"/>
        </w:rPr>
      </w:pPr>
      <w:r w:rsidRPr="009D4627">
        <w:rPr>
          <w:b/>
          <w:bCs/>
          <w:color w:val="auto"/>
          <w:szCs w:val="22"/>
          <w:lang w:val="en-MY"/>
        </w:rPr>
        <w:t>Assessment &amp; Plan:</w:t>
      </w:r>
      <w:r w:rsidRPr="009D4627">
        <w:rPr>
          <w:b/>
          <w:bCs/>
          <w:color w:val="auto"/>
          <w:szCs w:val="22"/>
          <w:lang w:val="en-MY"/>
        </w:rPr>
        <w:tab/>
      </w:r>
      <w:r w:rsidRPr="009D4627">
        <w:rPr>
          <w:color w:val="auto"/>
          <w:szCs w:val="22"/>
          <w:lang w:val="en-MY"/>
        </w:rPr>
        <w:t>Resolving R 3</w:t>
      </w:r>
      <w:r w:rsidRPr="009D4627">
        <w:rPr>
          <w:color w:val="auto"/>
          <w:szCs w:val="22"/>
          <w:vertAlign w:val="superscript"/>
          <w:lang w:val="en-MY"/>
        </w:rPr>
        <w:t>rd</w:t>
      </w:r>
      <w:r w:rsidRPr="009D4627">
        <w:rPr>
          <w:color w:val="auto"/>
          <w:szCs w:val="22"/>
          <w:lang w:val="en-MY"/>
        </w:rPr>
        <w:t xml:space="preserve"> nerve palsy with pupil sparing.</w:t>
      </w:r>
    </w:p>
    <w:p w14:paraId="5267AD74" w14:textId="77777777" w:rsidR="00CE6626" w:rsidRPr="009D4627" w:rsidRDefault="00CE6626" w:rsidP="00CE6626">
      <w:pPr>
        <w:spacing w:before="0" w:after="0" w:line="240" w:lineRule="auto"/>
        <w:ind w:left="1440" w:firstLine="720"/>
        <w:rPr>
          <w:color w:val="auto"/>
          <w:szCs w:val="22"/>
          <w:lang w:val="en-MY"/>
        </w:rPr>
      </w:pPr>
      <w:r w:rsidRPr="009D4627">
        <w:rPr>
          <w:color w:val="auto"/>
          <w:szCs w:val="22"/>
          <w:lang w:val="en-MY"/>
        </w:rPr>
        <w:lastRenderedPageBreak/>
        <w:t>Presumed microvascular – diabetic.</w:t>
      </w:r>
    </w:p>
    <w:p w14:paraId="6E761FB1" w14:textId="77777777" w:rsidR="00CE6626" w:rsidRPr="009D4627" w:rsidRDefault="00CE6626" w:rsidP="00CE6626">
      <w:pPr>
        <w:spacing w:before="0" w:after="0" w:line="240" w:lineRule="auto"/>
        <w:ind w:left="2160"/>
        <w:rPr>
          <w:color w:val="auto"/>
          <w:szCs w:val="22"/>
          <w:lang w:val="en-MY"/>
        </w:rPr>
      </w:pPr>
      <w:r w:rsidRPr="009D4627">
        <w:rPr>
          <w:color w:val="auto"/>
          <w:szCs w:val="22"/>
          <w:lang w:val="en-MY"/>
        </w:rPr>
        <w:t xml:space="preserve">Still </w:t>
      </w:r>
      <w:proofErr w:type="spellStart"/>
      <w:r w:rsidRPr="009D4627">
        <w:rPr>
          <w:color w:val="auto"/>
          <w:szCs w:val="22"/>
          <w:lang w:val="en-MY"/>
        </w:rPr>
        <w:t>incomitant</w:t>
      </w:r>
      <w:proofErr w:type="spellEnd"/>
      <w:r w:rsidRPr="009D4627">
        <w:rPr>
          <w:color w:val="auto"/>
          <w:szCs w:val="22"/>
          <w:lang w:val="en-MY"/>
        </w:rPr>
        <w:t>, happy to continue with blender on R lens of bifocal – See Ophthalmologist next week, orthoptics 4 weeks.</w:t>
      </w:r>
    </w:p>
    <w:p w14:paraId="44AAC05D" w14:textId="77777777" w:rsidR="00CE6626" w:rsidRPr="009D4627" w:rsidRDefault="00CE6626" w:rsidP="00CE6626">
      <w:pPr>
        <w:spacing w:before="0" w:after="0" w:line="240" w:lineRule="auto"/>
        <w:ind w:left="2160"/>
        <w:rPr>
          <w:color w:val="auto"/>
          <w:szCs w:val="22"/>
          <w:lang w:val="en-MY"/>
        </w:rPr>
      </w:pPr>
    </w:p>
    <w:p w14:paraId="65A27B63" w14:textId="77777777" w:rsidR="00CE6626" w:rsidRPr="009D4627" w:rsidRDefault="00CE6626" w:rsidP="00CE6626">
      <w:pPr>
        <w:spacing w:before="0" w:after="0" w:line="240" w:lineRule="auto"/>
        <w:ind w:left="2160"/>
        <w:rPr>
          <w:color w:val="auto"/>
          <w:szCs w:val="22"/>
          <w:lang w:val="en-MY"/>
        </w:rPr>
      </w:pPr>
    </w:p>
    <w:p w14:paraId="2564695F" w14:textId="77777777" w:rsidR="00CE6626" w:rsidRPr="009D4627" w:rsidRDefault="00CE6626" w:rsidP="00CE6626">
      <w:pPr>
        <w:spacing w:before="0" w:after="0" w:line="240" w:lineRule="auto"/>
        <w:rPr>
          <w:szCs w:val="22"/>
          <w:lang w:val="en-MY"/>
        </w:rPr>
      </w:pPr>
      <w:r w:rsidRPr="009D4627">
        <w:rPr>
          <w:b/>
          <w:szCs w:val="22"/>
          <w:u w:val="single"/>
          <w:lang w:val="en-MY"/>
        </w:rPr>
        <w:t xml:space="preserve">Clinical visit 3: </w:t>
      </w:r>
      <w:r w:rsidRPr="009D4627">
        <w:rPr>
          <w:bCs/>
          <w:szCs w:val="22"/>
          <w:u w:val="single"/>
          <w:lang w:val="en-MY"/>
        </w:rPr>
        <w:t>27/11/18 (4</w:t>
      </w:r>
      <w:r w:rsidRPr="009D4627">
        <w:rPr>
          <w:bCs/>
          <w:color w:val="auto"/>
          <w:szCs w:val="22"/>
          <w:u w:val="single"/>
          <w:lang w:val="en-MY"/>
        </w:rPr>
        <w:t xml:space="preserve"> weeks from onset</w:t>
      </w:r>
      <w:r w:rsidRPr="009D4627">
        <w:rPr>
          <w:bCs/>
          <w:szCs w:val="22"/>
          <w:u w:val="single"/>
          <w:lang w:val="en-MY"/>
        </w:rPr>
        <w:t xml:space="preserve">) - </w:t>
      </w:r>
      <w:r w:rsidRPr="009D4627">
        <w:rPr>
          <w:szCs w:val="22"/>
          <w:lang w:val="en-MY"/>
        </w:rPr>
        <w:t xml:space="preserve">Ophthalmologist only appointment </w:t>
      </w:r>
    </w:p>
    <w:p w14:paraId="182B2447" w14:textId="77777777" w:rsidR="00CE6626" w:rsidRPr="009D4627" w:rsidRDefault="00CE6626" w:rsidP="00CE6626">
      <w:pPr>
        <w:spacing w:before="0" w:after="0" w:line="240" w:lineRule="auto"/>
        <w:rPr>
          <w:szCs w:val="22"/>
          <w:lang w:val="en-MY"/>
        </w:rPr>
      </w:pPr>
    </w:p>
    <w:p w14:paraId="4A1B6533" w14:textId="77777777" w:rsidR="00CE6626" w:rsidRPr="009D4627" w:rsidRDefault="00CE6626" w:rsidP="00C171FA">
      <w:pPr>
        <w:pStyle w:val="ListParagraph"/>
        <w:numPr>
          <w:ilvl w:val="0"/>
          <w:numId w:val="103"/>
        </w:numPr>
        <w:spacing w:before="0" w:after="0" w:line="240" w:lineRule="auto"/>
        <w:rPr>
          <w:szCs w:val="22"/>
          <w:lang w:val="en-MY"/>
        </w:rPr>
      </w:pPr>
      <w:r w:rsidRPr="009D4627">
        <w:rPr>
          <w:szCs w:val="22"/>
          <w:lang w:val="en-MY"/>
        </w:rPr>
        <w:t>Starting to improve</w:t>
      </w:r>
    </w:p>
    <w:p w14:paraId="18063237" w14:textId="77777777" w:rsidR="00CE6626" w:rsidRPr="009D4627" w:rsidRDefault="00CE6626" w:rsidP="00C171FA">
      <w:pPr>
        <w:pStyle w:val="ListParagraph"/>
        <w:numPr>
          <w:ilvl w:val="0"/>
          <w:numId w:val="103"/>
        </w:numPr>
        <w:spacing w:before="0" w:after="0" w:line="240" w:lineRule="auto"/>
        <w:rPr>
          <w:szCs w:val="22"/>
          <w:lang w:val="en-MY"/>
        </w:rPr>
      </w:pPr>
      <w:r w:rsidRPr="009D4627">
        <w:rPr>
          <w:szCs w:val="22"/>
          <w:lang w:val="en-MY"/>
        </w:rPr>
        <w:t xml:space="preserve">Presumed transient attack </w:t>
      </w:r>
    </w:p>
    <w:p w14:paraId="40C135E8" w14:textId="77777777" w:rsidR="00CE6626" w:rsidRPr="009D4627" w:rsidRDefault="00CE6626" w:rsidP="00C171FA">
      <w:pPr>
        <w:pStyle w:val="ListParagraph"/>
        <w:numPr>
          <w:ilvl w:val="0"/>
          <w:numId w:val="103"/>
        </w:numPr>
        <w:spacing w:before="0" w:after="0" w:line="240" w:lineRule="auto"/>
        <w:rPr>
          <w:szCs w:val="22"/>
          <w:lang w:val="en-MY"/>
        </w:rPr>
      </w:pPr>
      <w:r w:rsidRPr="009D4627">
        <w:rPr>
          <w:szCs w:val="22"/>
          <w:lang w:val="en-MY"/>
        </w:rPr>
        <w:t>V Nerve R &amp; L in tact</w:t>
      </w:r>
    </w:p>
    <w:p w14:paraId="4F3DDB86" w14:textId="77777777" w:rsidR="00CE6626" w:rsidRPr="009D4627" w:rsidRDefault="00CE6626" w:rsidP="00C171FA">
      <w:pPr>
        <w:pStyle w:val="ListParagraph"/>
        <w:numPr>
          <w:ilvl w:val="0"/>
          <w:numId w:val="103"/>
        </w:numPr>
        <w:spacing w:before="0" w:after="0" w:line="240" w:lineRule="auto"/>
        <w:rPr>
          <w:szCs w:val="22"/>
          <w:lang w:val="en-MY"/>
        </w:rPr>
      </w:pPr>
      <w:r w:rsidRPr="009D4627">
        <w:rPr>
          <w:szCs w:val="22"/>
          <w:lang w:val="en-MY"/>
        </w:rPr>
        <w:t>Orthoptic review 4/52</w:t>
      </w:r>
    </w:p>
    <w:p w14:paraId="131B8025" w14:textId="77777777" w:rsidR="00CE6626" w:rsidRPr="009D4627" w:rsidRDefault="00CE6626" w:rsidP="00CE6626">
      <w:pPr>
        <w:spacing w:before="0" w:after="0" w:line="240" w:lineRule="auto"/>
        <w:rPr>
          <w:szCs w:val="22"/>
          <w:lang w:val="en-MY"/>
        </w:rPr>
      </w:pPr>
    </w:p>
    <w:p w14:paraId="210FC477" w14:textId="77777777" w:rsidR="00CE6626" w:rsidRPr="009D4627" w:rsidRDefault="00CE6626" w:rsidP="00CE6626">
      <w:pPr>
        <w:spacing w:before="0" w:after="0" w:line="240" w:lineRule="auto"/>
        <w:rPr>
          <w:szCs w:val="22"/>
          <w:lang w:val="en-MY"/>
        </w:rPr>
      </w:pPr>
    </w:p>
    <w:p w14:paraId="74F0C578" w14:textId="77777777" w:rsidR="00CE6626" w:rsidRPr="009D4627" w:rsidRDefault="00CE6626" w:rsidP="00CE6626">
      <w:pPr>
        <w:spacing w:before="0" w:after="0" w:line="240" w:lineRule="auto"/>
        <w:rPr>
          <w:szCs w:val="22"/>
          <w:lang w:val="en-MY"/>
        </w:rPr>
      </w:pPr>
      <w:r w:rsidRPr="009D4627">
        <w:rPr>
          <w:b/>
          <w:szCs w:val="22"/>
          <w:u w:val="single"/>
          <w:lang w:val="en-MY"/>
        </w:rPr>
        <w:t xml:space="preserve">Clinical visit 4: </w:t>
      </w:r>
      <w:r w:rsidRPr="009D4627">
        <w:rPr>
          <w:bCs/>
          <w:szCs w:val="22"/>
          <w:u w:val="single"/>
          <w:lang w:val="en-MY"/>
        </w:rPr>
        <w:t>20/12/</w:t>
      </w:r>
      <w:r w:rsidRPr="009D4627">
        <w:rPr>
          <w:bCs/>
          <w:color w:val="auto"/>
          <w:szCs w:val="22"/>
          <w:u w:val="single"/>
          <w:lang w:val="en-MY"/>
        </w:rPr>
        <w:t xml:space="preserve">18 (7 weeks from onset) – </w:t>
      </w:r>
      <w:r w:rsidRPr="009D4627">
        <w:rPr>
          <w:szCs w:val="22"/>
          <w:lang w:val="en-MY"/>
        </w:rPr>
        <w:t xml:space="preserve">Orthoptic assessment </w:t>
      </w:r>
    </w:p>
    <w:p w14:paraId="53D48E4B" w14:textId="77777777" w:rsidR="00CE6626" w:rsidRPr="009D4627" w:rsidRDefault="00CE6626" w:rsidP="00CE6626">
      <w:pPr>
        <w:spacing w:before="0" w:after="0" w:line="240" w:lineRule="auto"/>
        <w:rPr>
          <w:b/>
          <w:szCs w:val="22"/>
          <w:lang w:val="en-MY"/>
        </w:rPr>
      </w:pPr>
    </w:p>
    <w:p w14:paraId="1C63BD46"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0.04</w:t>
      </w:r>
      <w:r w:rsidRPr="009D4627">
        <w:rPr>
          <w:bCs/>
          <w:szCs w:val="22"/>
          <w:lang w:val="en-MY"/>
        </w:rPr>
        <w:tab/>
        <w:t>LE 0.00      ETDRS (</w:t>
      </w:r>
      <w:proofErr w:type="spellStart"/>
      <w:r w:rsidRPr="009D4627">
        <w:rPr>
          <w:bCs/>
          <w:szCs w:val="22"/>
          <w:lang w:val="en-MY"/>
        </w:rPr>
        <w:t>logMAR</w:t>
      </w:r>
      <w:proofErr w:type="spellEnd"/>
      <w:r w:rsidRPr="009D4627">
        <w:rPr>
          <w:bCs/>
          <w:szCs w:val="22"/>
          <w:lang w:val="en-MY"/>
        </w:rPr>
        <w:t>)</w:t>
      </w:r>
    </w:p>
    <w:p w14:paraId="3960DABB" w14:textId="07A632CE"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 xml:space="preserve">    </w:t>
      </w:r>
      <w:r w:rsidR="00E147BE">
        <w:rPr>
          <w:bCs/>
          <w:szCs w:val="22"/>
          <w:lang w:val="en-MY"/>
        </w:rPr>
        <w:tab/>
      </w:r>
      <w:r w:rsidRPr="009D4627">
        <w:rPr>
          <w:bCs/>
          <w:szCs w:val="22"/>
          <w:lang w:val="en-MY"/>
        </w:rPr>
        <w:t xml:space="preserve">  6/6-2</w:t>
      </w:r>
      <w:r w:rsidRPr="009D4627">
        <w:rPr>
          <w:bCs/>
          <w:szCs w:val="22"/>
          <w:lang w:val="en-MY"/>
        </w:rPr>
        <w:tab/>
        <w:t xml:space="preserve">   </w:t>
      </w:r>
      <w:r w:rsidR="00E147BE">
        <w:rPr>
          <w:bCs/>
          <w:szCs w:val="22"/>
          <w:lang w:val="en-MY"/>
        </w:rPr>
        <w:tab/>
      </w:r>
      <w:r w:rsidRPr="009D4627">
        <w:rPr>
          <w:bCs/>
          <w:szCs w:val="22"/>
          <w:lang w:val="en-MY"/>
        </w:rPr>
        <w:t xml:space="preserve"> 6/6        Snellen equivalent</w:t>
      </w:r>
    </w:p>
    <w:p w14:paraId="53B40988" w14:textId="77777777" w:rsidR="00CE6626" w:rsidRPr="009D4627" w:rsidRDefault="00CE6626" w:rsidP="00CE6626">
      <w:pPr>
        <w:spacing w:before="0" w:after="0" w:line="240" w:lineRule="auto"/>
        <w:rPr>
          <w:b/>
          <w:szCs w:val="22"/>
          <w:lang w:val="en-MY"/>
        </w:rPr>
      </w:pPr>
    </w:p>
    <w:p w14:paraId="3CDE78D4" w14:textId="77777777" w:rsidR="00CE6626" w:rsidRPr="009D4627" w:rsidRDefault="00CE6626" w:rsidP="00CE6626">
      <w:pPr>
        <w:spacing w:before="0" w:after="0" w:line="240" w:lineRule="auto"/>
        <w:rPr>
          <w:bCs/>
          <w:szCs w:val="22"/>
          <w:lang w:val="en-MY"/>
        </w:rPr>
      </w:pPr>
      <w:r w:rsidRPr="009D4627">
        <w:rPr>
          <w:b/>
          <w:szCs w:val="22"/>
          <w:lang w:val="en-MY"/>
        </w:rPr>
        <w:t xml:space="preserve">Cover test: </w:t>
      </w:r>
      <w:r w:rsidRPr="009D4627">
        <w:rPr>
          <w:bCs/>
          <w:szCs w:val="22"/>
          <w:lang w:val="en-MY"/>
        </w:rPr>
        <w:t xml:space="preserve">with glasses 1/3m moderate R XT with slight/mod R HT           </w:t>
      </w:r>
    </w:p>
    <w:p w14:paraId="3DCE2F5D" w14:textId="77777777" w:rsidR="00CE6626" w:rsidRPr="009D4627" w:rsidRDefault="00CE6626" w:rsidP="00CE6626">
      <w:pPr>
        <w:spacing w:before="0" w:after="0" w:line="240" w:lineRule="auto"/>
        <w:rPr>
          <w:bCs/>
          <w:szCs w:val="22"/>
          <w:lang w:val="en-MY"/>
        </w:rPr>
      </w:pPr>
      <w:r w:rsidRPr="009D4627">
        <w:rPr>
          <w:bCs/>
          <w:szCs w:val="22"/>
          <w:lang w:val="en-MY"/>
        </w:rPr>
        <w:t xml:space="preserve">                                             6 m slight/moderate alt XT slight R HT with diplopia</w:t>
      </w:r>
    </w:p>
    <w:p w14:paraId="29FBCE2A" w14:textId="77777777" w:rsidR="00CE6626" w:rsidRPr="009D4627" w:rsidRDefault="00CE6626" w:rsidP="00CE6626">
      <w:pPr>
        <w:spacing w:before="0" w:after="0" w:line="240" w:lineRule="auto"/>
        <w:rPr>
          <w:bCs/>
          <w:szCs w:val="22"/>
          <w:lang w:val="en-MY"/>
        </w:rPr>
      </w:pPr>
    </w:p>
    <w:p w14:paraId="3C20F0C2" w14:textId="77777777" w:rsidR="00CE6626" w:rsidRPr="009D4627" w:rsidRDefault="00CE6626" w:rsidP="00CE6626">
      <w:pPr>
        <w:spacing w:before="0" w:after="0" w:line="240" w:lineRule="auto"/>
        <w:rPr>
          <w:b/>
          <w:color w:val="auto"/>
          <w:szCs w:val="22"/>
          <w:lang w:val="en-MY"/>
        </w:rPr>
      </w:pPr>
      <w:r w:rsidRPr="009D4627">
        <w:rPr>
          <w:b/>
          <w:color w:val="auto"/>
          <w:szCs w:val="22"/>
          <w:lang w:val="en-MY"/>
        </w:rPr>
        <w:t>OMT:</w:t>
      </w:r>
    </w:p>
    <w:p w14:paraId="56C1119A" w14:textId="463EFB21" w:rsidR="00CE6626" w:rsidRPr="009D4627" w:rsidRDefault="00A2792E" w:rsidP="00CE6626">
      <w:pPr>
        <w:spacing w:before="0" w:line="240" w:lineRule="auto"/>
        <w:rPr>
          <w:bCs/>
          <w:color w:val="FF0000"/>
          <w:szCs w:val="22"/>
          <w:lang w:val="en-MY"/>
        </w:rPr>
      </w:pPr>
      <w:r w:rsidRPr="009D4627">
        <w:rPr>
          <w:noProof/>
        </w:rPr>
        <mc:AlternateContent>
          <mc:Choice Requires="wpg">
            <w:drawing>
              <wp:anchor distT="0" distB="0" distL="114300" distR="114300" simplePos="0" relativeHeight="251716608" behindDoc="1" locked="0" layoutInCell="1" allowOverlap="1" wp14:anchorId="1354E291" wp14:editId="637255E3">
                <wp:simplePos x="0" y="0"/>
                <wp:positionH relativeFrom="column">
                  <wp:posOffset>1456055</wp:posOffset>
                </wp:positionH>
                <wp:positionV relativeFrom="paragraph">
                  <wp:posOffset>12065</wp:posOffset>
                </wp:positionV>
                <wp:extent cx="2546985" cy="1180465"/>
                <wp:effectExtent l="0" t="0" r="5715" b="0"/>
                <wp:wrapThrough wrapText="bothSides">
                  <wp:wrapPolygon edited="0">
                    <wp:start x="0" y="0"/>
                    <wp:lineTo x="0" y="3486"/>
                    <wp:lineTo x="646" y="5577"/>
                    <wp:lineTo x="0" y="9063"/>
                    <wp:lineTo x="0" y="20217"/>
                    <wp:lineTo x="19387" y="21263"/>
                    <wp:lineTo x="21325" y="21263"/>
                    <wp:lineTo x="21164" y="17777"/>
                    <wp:lineTo x="20841" y="16732"/>
                    <wp:lineTo x="21648" y="13943"/>
                    <wp:lineTo x="21648" y="8017"/>
                    <wp:lineTo x="21002" y="5577"/>
                    <wp:lineTo x="21648" y="3486"/>
                    <wp:lineTo x="21487" y="349"/>
                    <wp:lineTo x="2908" y="0"/>
                    <wp:lineTo x="0" y="0"/>
                  </wp:wrapPolygon>
                </wp:wrapThrough>
                <wp:docPr id="23657" name="Group 23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985" cy="1180465"/>
                          <a:chOff x="-151" y="-647"/>
                          <a:chExt cx="27202" cy="13207"/>
                        </a:xfrm>
                      </wpg:grpSpPr>
                      <wpg:grpSp>
                        <wpg:cNvPr id="23658" name="Group 21825"/>
                        <wpg:cNvGrpSpPr>
                          <a:grpSpLocks/>
                        </wpg:cNvGrpSpPr>
                        <wpg:grpSpPr bwMode="auto">
                          <a:xfrm>
                            <a:off x="-85" y="-647"/>
                            <a:ext cx="9229" cy="11340"/>
                            <a:chOff x="-85" y="-362"/>
                            <a:chExt cx="9229" cy="11364"/>
                          </a:xfrm>
                        </wpg:grpSpPr>
                        <wpg:grpSp>
                          <wpg:cNvPr id="23659" name="Group 21826"/>
                          <wpg:cNvGrpSpPr>
                            <a:grpSpLocks/>
                          </wpg:cNvGrpSpPr>
                          <wpg:grpSpPr bwMode="auto">
                            <a:xfrm>
                              <a:off x="0" y="1857"/>
                              <a:ext cx="9144" cy="9144"/>
                              <a:chOff x="0" y="0"/>
                              <a:chExt cx="9144" cy="9144"/>
                            </a:xfrm>
                          </wpg:grpSpPr>
                          <wps:wsp>
                            <wps:cNvPr id="23660" name="Oval 21827"/>
                            <wps:cNvSpPr>
                              <a:spLocks noChangeArrowheads="1"/>
                            </wps:cNvSpPr>
                            <wps:spPr bwMode="auto">
                              <a:xfrm>
                                <a:off x="0" y="0"/>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661" name="Straight Connector 21828"/>
                            <wps:cNvCnPr>
                              <a:cxnSpLocks noChangeShapeType="1"/>
                            </wps:cNvCnPr>
                            <wps:spPr bwMode="auto">
                              <a:xfrm>
                                <a:off x="1047" y="978"/>
                                <a:ext cx="6757" cy="361"/>
                              </a:xfrm>
                              <a:prstGeom prst="line">
                                <a:avLst/>
                              </a:prstGeom>
                              <a:noFill/>
                              <a:ln w="6350">
                                <a:solidFill>
                                  <a:srgbClr val="000000"/>
                                </a:solidFill>
                                <a:miter lim="800000"/>
                                <a:headEnd/>
                                <a:tailEnd/>
                              </a:ln>
                            </wps:spPr>
                            <wps:bodyPr/>
                          </wps:wsp>
                          <wps:wsp>
                            <wps:cNvPr id="23662" name="Straight Connector 21829"/>
                            <wps:cNvCnPr>
                              <a:cxnSpLocks noChangeShapeType="1"/>
                            </wps:cNvCnPr>
                            <wps:spPr bwMode="auto">
                              <a:xfrm flipH="1">
                                <a:off x="4238" y="142"/>
                                <a:ext cx="810" cy="908"/>
                              </a:xfrm>
                              <a:prstGeom prst="line">
                                <a:avLst/>
                              </a:prstGeom>
                              <a:noFill/>
                              <a:ln w="19050">
                                <a:solidFill>
                                  <a:srgbClr val="000000"/>
                                </a:solidFill>
                                <a:miter lim="800000"/>
                                <a:headEnd/>
                                <a:tailEnd/>
                              </a:ln>
                            </wps:spPr>
                            <wps:bodyPr/>
                          </wps:wsp>
                          <wps:wsp>
                            <wps:cNvPr id="23663" name="Straight Connector 21830"/>
                            <wps:cNvCnPr>
                              <a:cxnSpLocks noChangeShapeType="1"/>
                            </wps:cNvCnPr>
                            <wps:spPr bwMode="auto">
                              <a:xfrm flipH="1">
                                <a:off x="4881" y="142"/>
                                <a:ext cx="973" cy="1197"/>
                              </a:xfrm>
                              <a:prstGeom prst="line">
                                <a:avLst/>
                              </a:prstGeom>
                              <a:noFill/>
                              <a:ln w="19050">
                                <a:solidFill>
                                  <a:srgbClr val="000000"/>
                                </a:solidFill>
                                <a:miter lim="800000"/>
                                <a:headEnd/>
                                <a:tailEnd/>
                              </a:ln>
                            </wps:spPr>
                            <wps:bodyPr/>
                          </wps:wsp>
                          <wps:wsp>
                            <wps:cNvPr id="23664" name="Straight Connector 21831"/>
                            <wps:cNvCnPr>
                              <a:cxnSpLocks noChangeShapeType="1"/>
                            </wps:cNvCnPr>
                            <wps:spPr bwMode="auto">
                              <a:xfrm flipH="1">
                                <a:off x="3355" y="95"/>
                                <a:ext cx="883" cy="955"/>
                              </a:xfrm>
                              <a:prstGeom prst="line">
                                <a:avLst/>
                              </a:prstGeom>
                              <a:noFill/>
                              <a:ln w="19050">
                                <a:solidFill>
                                  <a:srgbClr val="000000"/>
                                </a:solidFill>
                                <a:miter lim="800000"/>
                                <a:headEnd/>
                                <a:tailEnd/>
                              </a:ln>
                            </wps:spPr>
                            <wps:bodyPr/>
                          </wps:wsp>
                          <wps:wsp>
                            <wps:cNvPr id="23665" name="Straight Connector 21832"/>
                            <wps:cNvCnPr>
                              <a:cxnSpLocks noChangeShapeType="1"/>
                            </wps:cNvCnPr>
                            <wps:spPr bwMode="auto">
                              <a:xfrm flipH="1">
                                <a:off x="6000" y="428"/>
                                <a:ext cx="473" cy="622"/>
                              </a:xfrm>
                              <a:prstGeom prst="line">
                                <a:avLst/>
                              </a:prstGeom>
                              <a:noFill/>
                              <a:ln w="19050">
                                <a:solidFill>
                                  <a:srgbClr val="000000"/>
                                </a:solidFill>
                                <a:miter lim="800000"/>
                                <a:headEnd/>
                                <a:tailEnd/>
                              </a:ln>
                            </wps:spPr>
                            <wps:bodyPr/>
                          </wps:wsp>
                          <wps:wsp>
                            <wps:cNvPr id="23666" name="Straight Connector 21833"/>
                            <wps:cNvCnPr>
                              <a:cxnSpLocks noChangeShapeType="1"/>
                            </wps:cNvCnPr>
                            <wps:spPr bwMode="auto">
                              <a:xfrm flipH="1">
                                <a:off x="2542" y="285"/>
                                <a:ext cx="693" cy="765"/>
                              </a:xfrm>
                              <a:prstGeom prst="line">
                                <a:avLst/>
                              </a:prstGeom>
                              <a:noFill/>
                              <a:ln w="19050">
                                <a:solidFill>
                                  <a:srgbClr val="000000"/>
                                </a:solidFill>
                                <a:miter lim="800000"/>
                                <a:headEnd/>
                                <a:tailEnd/>
                              </a:ln>
                            </wps:spPr>
                            <wps:bodyPr/>
                          </wps:wsp>
                        </wpg:grpSp>
                        <wps:wsp>
                          <wps:cNvPr id="23667" name="Rectangle 21834"/>
                          <wps:cNvSpPr>
                            <a:spLocks noChangeArrowheads="1"/>
                          </wps:cNvSpPr>
                          <wps:spPr bwMode="auto">
                            <a:xfrm>
                              <a:off x="-85" y="-362"/>
                              <a:ext cx="3238" cy="2026"/>
                            </a:xfrm>
                            <a:prstGeom prst="rect">
                              <a:avLst/>
                            </a:prstGeom>
                            <a:noFill/>
                            <a:ln>
                              <a:noFill/>
                            </a:ln>
                          </wps:spPr>
                          <wps:txbx>
                            <w:txbxContent>
                              <w:p w14:paraId="20D0C896"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grpSp>
                        <wpg:cNvPr id="23668" name="Group 21835"/>
                        <wpg:cNvGrpSpPr>
                          <a:grpSpLocks/>
                        </wpg:cNvGrpSpPr>
                        <wpg:grpSpPr bwMode="auto">
                          <a:xfrm>
                            <a:off x="-151" y="-221"/>
                            <a:ext cx="27202" cy="12781"/>
                            <a:chOff x="-18058" y="-411"/>
                            <a:chExt cx="27202" cy="12781"/>
                          </a:xfrm>
                        </wpg:grpSpPr>
                        <wpg:grpSp>
                          <wpg:cNvPr id="23669" name="Group 21836"/>
                          <wpg:cNvGrpSpPr>
                            <a:grpSpLocks/>
                          </wpg:cNvGrpSpPr>
                          <wpg:grpSpPr bwMode="auto">
                            <a:xfrm>
                              <a:off x="-18058" y="-411"/>
                              <a:ext cx="27202" cy="11814"/>
                              <a:chOff x="-18058" y="-411"/>
                              <a:chExt cx="27202" cy="11815"/>
                            </a:xfrm>
                          </wpg:grpSpPr>
                          <wpg:grpSp>
                            <wpg:cNvPr id="23670" name="Group 21837"/>
                            <wpg:cNvGrpSpPr>
                              <a:grpSpLocks/>
                            </wpg:cNvGrpSpPr>
                            <wpg:grpSpPr bwMode="auto">
                              <a:xfrm>
                                <a:off x="-672" y="-411"/>
                                <a:ext cx="9816" cy="10875"/>
                                <a:chOff x="-672" y="-269"/>
                                <a:chExt cx="9816" cy="10889"/>
                              </a:xfrm>
                            </wpg:grpSpPr>
                            <wpg:grpSp>
                              <wpg:cNvPr id="23671" name="Group 21838"/>
                              <wpg:cNvGrpSpPr>
                                <a:grpSpLocks/>
                              </wpg:cNvGrpSpPr>
                              <wpg:grpSpPr bwMode="auto">
                                <a:xfrm>
                                  <a:off x="0" y="-269"/>
                                  <a:ext cx="9144" cy="10889"/>
                                  <a:chOff x="0" y="-269"/>
                                  <a:chExt cx="9144" cy="10889"/>
                                </a:xfrm>
                              </wpg:grpSpPr>
                              <wps:wsp>
                                <wps:cNvPr id="23672" name="Rectangle 21839"/>
                                <wps:cNvSpPr>
                                  <a:spLocks noChangeArrowheads="1"/>
                                </wps:cNvSpPr>
                                <wps:spPr bwMode="auto">
                                  <a:xfrm>
                                    <a:off x="6366" y="-269"/>
                                    <a:ext cx="2473" cy="2174"/>
                                  </a:xfrm>
                                  <a:prstGeom prst="rect">
                                    <a:avLst/>
                                  </a:prstGeom>
                                  <a:noFill/>
                                  <a:ln>
                                    <a:noFill/>
                                  </a:ln>
                                </wps:spPr>
                                <wps:txbx>
                                  <w:txbxContent>
                                    <w:p w14:paraId="50BAAB91"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s:wsp>
                                <wps:cNvPr id="23673" name="Oval 21840"/>
                                <wps:cNvSpPr>
                                  <a:spLocks noChangeArrowheads="1"/>
                                </wps:cNvSpPr>
                                <wps:spPr bwMode="auto">
                                  <a:xfrm>
                                    <a:off x="0" y="1476"/>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s:wsp>
                              <wps:cNvPr id="23674" name="Rectangle 21841"/>
                              <wps:cNvSpPr>
                                <a:spLocks noChangeArrowheads="1"/>
                              </wps:cNvSpPr>
                              <wps:spPr bwMode="auto">
                                <a:xfrm>
                                  <a:off x="-672" y="-269"/>
                                  <a:ext cx="3369" cy="2219"/>
                                </a:xfrm>
                                <a:prstGeom prst="rect">
                                  <a:avLst/>
                                </a:prstGeom>
                                <a:noFill/>
                                <a:ln>
                                  <a:noFill/>
                                </a:ln>
                              </wps:spPr>
                              <wps:txbx>
                                <w:txbxContent>
                                  <w:p w14:paraId="5EBFD469"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s:wsp>
                            <wps:cNvPr id="23675" name="Rectangle 21842"/>
                            <wps:cNvSpPr>
                              <a:spLocks noChangeArrowheads="1"/>
                            </wps:cNvSpPr>
                            <wps:spPr bwMode="auto">
                              <a:xfrm>
                                <a:off x="-18058" y="9187"/>
                                <a:ext cx="1667" cy="2216"/>
                              </a:xfrm>
                              <a:prstGeom prst="rect">
                                <a:avLst/>
                              </a:prstGeom>
                              <a:noFill/>
                              <a:ln>
                                <a:noFill/>
                              </a:ln>
                            </wps:spPr>
                            <wps:txbx>
                              <w:txbxContent>
                                <w:p w14:paraId="6543EE2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s:wsp>
                          <wps:cNvPr id="23676" name="Rectangle 21843"/>
                          <wps:cNvSpPr>
                            <a:spLocks noChangeArrowheads="1"/>
                          </wps:cNvSpPr>
                          <wps:spPr bwMode="auto">
                            <a:xfrm>
                              <a:off x="6858" y="9810"/>
                              <a:ext cx="1675" cy="2559"/>
                            </a:xfrm>
                            <a:prstGeom prst="rect">
                              <a:avLst/>
                            </a:prstGeom>
                            <a:noFill/>
                            <a:ln>
                              <a:noFill/>
                            </a:ln>
                          </wps:spPr>
                          <wps:txbx>
                            <w:txbxContent>
                              <w:p w14:paraId="763527E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354E291" id="Group 23657" o:spid="_x0000_s1747" style="position:absolute;left:0;text-align:left;margin-left:114.65pt;margin-top:.95pt;width:200.55pt;height:92.95pt;z-index:-251599872;mso-position-horizontal-relative:text;mso-position-vertical-relative:text;mso-width-relative:margin;mso-height-relative:margin" coordorigin="-151,-647" coordsize="27202,13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">
                <v:group id="Group 21825" o:spid="_x0000_s1748" style="position:absolute;left:-85;top:-647;width:9229;height:11340" coordorigin="-85,-362" coordsize="9229,1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">
                  <v:group id="Group 21826" o:spid="_x0000_s1749" style="position:absolute;top:1857;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">
                    <v:oval id="Oval 21827" o:spid="_x0000_s1750"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" filled="f" strokeweight="1pt">
                      <v:stroke joinstyle="miter"/>
                    </v:oval>
                    <v:line id="Straight Connector 21828" o:spid="_x0000_s1751" style="position:absolute;visibility:visible;mso-wrap-style:square" from="1047,978" to="7804,1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" strokeweight=".5pt">
                      <v:stroke joinstyle="miter"/>
                    </v:line>
                    <v:line id="Straight Connector 21829" o:spid="_x0000_s1752" style="position:absolute;flip:x;visibility:visible;mso-wrap-style:square" from="4238,142" to="5048,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" strokeweight="1.5pt">
                      <v:stroke joinstyle="miter"/>
                    </v:line>
                    <v:line id="Straight Connector 21830" o:spid="_x0000_s1753" style="position:absolute;flip:x;visibility:visible;mso-wrap-style:square" from="4881,142" to="5854,1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" strokeweight="1.5pt">
                      <v:stroke joinstyle="miter"/>
                    </v:line>
                    <v:line id="Straight Connector 21831" o:spid="_x0000_s1754" style="position:absolute;flip:x;visibility:visible;mso-wrap-style:square" from="3355,95" to="4238,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" strokeweight="1.5pt">
                      <v:stroke joinstyle="miter"/>
                    </v:line>
                    <v:line id="Straight Connector 21832" o:spid="_x0000_s1755" style="position:absolute;flip:x;visibility:visible;mso-wrap-style:square" from="6000,428" to="6473,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" strokeweight="1.5pt">
                      <v:stroke joinstyle="miter"/>
                    </v:line>
                    <v:line id="Straight Connector 21833" o:spid="_x0000_s1756" style="position:absolute;flip:x;visibility:visible;mso-wrap-style:square" from="2542,285" to="3235,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" strokeweight="1.5pt">
                      <v:stroke joinstyle="miter"/>
                    </v:line>
                  </v:group>
                  <v:rect id="Rectangle 21834" o:spid="_x0000_s1757" style="position:absolute;left:-85;top:-362;width:3238;height:2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" filled="f" stroked="f">
                    <v:textbox inset="0,0,0,0">
                      <w:txbxContent>
                        <w:p w14:paraId="20D0C896"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v:group id="Group 21835" o:spid="_x0000_s1758" style="position:absolute;left:-151;top:-221;width:27202;height:12781" coordorigin="-18058,-411" coordsize="27202,1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">
                  <v:group id="Group 21836" o:spid="_x0000_s1759" style="position:absolute;left:-18058;top:-411;width:27202;height:11814" coordorigin="-18058,-411" coordsize="27202,1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">
                    <v:group id="Group 21837" o:spid="_x0000_s1760" style="position:absolute;left:-672;top:-411;width:9816;height:10875" coordorigin="-672,-269" coordsize="9816,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">
                      <v:group id="Group 21838" o:spid="_x0000_s1761" style="position:absolute;top:-269;width:9144;height:10889" coordorigin=",-269"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">
                        <v:rect id="Rectangle 21839" o:spid="_x0000_s1762" style="position:absolute;left:6366;top:-269;width:2473;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" filled="f" stroked="f">
                          <v:textbox inset="0,0,0,0">
                            <w:txbxContent>
                              <w:p w14:paraId="50BAAB91"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oval id="Oval 21840" o:spid="_x0000_s1763" style="position:absolute;top:1476;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" filled="f" strokeweight="1pt">
                          <v:stroke joinstyle="miter"/>
                        </v:oval>
                      </v:group>
                      <v:rect id="Rectangle 21841" o:spid="_x0000_s1764" style="position:absolute;left:-672;top:-269;width:3369;height: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" filled="f" stroked="f">
                        <v:textbox inset="0,0,0,0">
                          <w:txbxContent>
                            <w:p w14:paraId="5EBFD469"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rect id="Rectangle 21842" o:spid="_x0000_s1765" style="position:absolute;left:-18058;top:9187;width:1667;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" filled="f" stroked="f">
                      <v:textbox inset="0,0,0,0">
                        <w:txbxContent>
                          <w:p w14:paraId="6543EE2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v:rect id="Rectangle 21843" o:spid="_x0000_s1766" style="position:absolute;left:6858;top:9810;width:1675;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" filled="f" stroked="f">
                    <v:textbox inset="0,0,0,0">
                      <w:txbxContent>
                        <w:p w14:paraId="763527E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w10:wrap type="through"/>
              </v:group>
            </w:pict>
          </mc:Fallback>
        </mc:AlternateContent>
      </w:r>
      <w:r w:rsidRPr="009D4627">
        <w:rPr>
          <w:noProof/>
        </w:rPr>
        <mc:AlternateContent>
          <mc:Choice Requires="wps">
            <w:drawing>
              <wp:anchor distT="0" distB="0" distL="114300" distR="114300" simplePos="0" relativeHeight="251743232" behindDoc="0" locked="0" layoutInCell="1" allowOverlap="1" wp14:anchorId="4DC10D4F" wp14:editId="3455CDC4">
                <wp:simplePos x="0" y="0"/>
                <wp:positionH relativeFrom="column">
                  <wp:posOffset>2143125</wp:posOffset>
                </wp:positionH>
                <wp:positionV relativeFrom="paragraph">
                  <wp:posOffset>8890</wp:posOffset>
                </wp:positionV>
                <wp:extent cx="303530" cy="180975"/>
                <wp:effectExtent l="0" t="0" r="0" b="0"/>
                <wp:wrapNone/>
                <wp:docPr id="23656" name="Rectangle 23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530" cy="180975"/>
                        </a:xfrm>
                        <a:prstGeom prst="rect">
                          <a:avLst/>
                        </a:prstGeom>
                        <a:noFill/>
                        <a:ln w="12700" cap="flat" cmpd="sng" algn="ctr">
                          <a:noFill/>
                          <a:prstDash val="solid"/>
                          <a:miter lim="800000"/>
                        </a:ln>
                        <a:effectLst/>
                      </wps:spPr>
                      <wps:txbx>
                        <w:txbxContent>
                          <w:p w14:paraId="36BC94F4"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C10D4F" id="Rectangle 23656" o:spid="_x0000_s1767" style="position:absolute;left:0;text-align:left;margin-left:168.75pt;margin-top:.7pt;width:23.9pt;height:14.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" filled="f" stroked="f" strokeweight="1pt">
                <v:textbox inset="0,0,0,0">
                  <w:txbxContent>
                    <w:p w14:paraId="36BC94F4"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v:textbox>
              </v:rect>
            </w:pict>
          </mc:Fallback>
        </mc:AlternateContent>
      </w:r>
    </w:p>
    <w:p w14:paraId="47CD1397" w14:textId="02BDC0F6" w:rsidR="00CE6626" w:rsidRPr="009D4627" w:rsidRDefault="00A2792E" w:rsidP="00CE6626">
      <w:pPr>
        <w:spacing w:before="0" w:line="240" w:lineRule="auto"/>
        <w:rPr>
          <w:b/>
          <w:bCs/>
          <w:color w:val="FF0000"/>
          <w:szCs w:val="22"/>
          <w:lang w:val="en-MY"/>
        </w:rPr>
      </w:pPr>
      <w:r w:rsidRPr="009D4627">
        <w:rPr>
          <w:noProof/>
        </w:rPr>
        <mc:AlternateContent>
          <mc:Choice Requires="wps">
            <w:drawing>
              <wp:anchor distT="0" distB="0" distL="114300" distR="114300" simplePos="0" relativeHeight="251719680" behindDoc="0" locked="0" layoutInCell="1" allowOverlap="1" wp14:anchorId="1AAA5B2E" wp14:editId="5AC3AC0C">
                <wp:simplePos x="0" y="0"/>
                <wp:positionH relativeFrom="column">
                  <wp:posOffset>2266315</wp:posOffset>
                </wp:positionH>
                <wp:positionV relativeFrom="paragraph">
                  <wp:posOffset>71120</wp:posOffset>
                </wp:positionV>
                <wp:extent cx="66675" cy="78105"/>
                <wp:effectExtent l="0" t="0" r="9525" b="17145"/>
                <wp:wrapNone/>
                <wp:docPr id="23655" name="Straight Connector 236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B24ECF" id="Straight Connector 23655" o:spid="_x0000_s1026" style="position:absolute;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45pt,5.6pt" to="183.7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718656" behindDoc="0" locked="0" layoutInCell="1" allowOverlap="1" wp14:anchorId="61E77C7E" wp14:editId="1FAC2C04">
                <wp:simplePos x="0" y="0"/>
                <wp:positionH relativeFrom="column">
                  <wp:posOffset>2052320</wp:posOffset>
                </wp:positionH>
                <wp:positionV relativeFrom="paragraph">
                  <wp:posOffset>190500</wp:posOffset>
                </wp:positionV>
                <wp:extent cx="440690" cy="11430"/>
                <wp:effectExtent l="0" t="209550" r="0" b="217170"/>
                <wp:wrapNone/>
                <wp:docPr id="23654" name="Straight Connector 236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V="1">
                          <a:off x="0" y="0"/>
                          <a:ext cx="440690" cy="1143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A412445" id="Straight Connector 23654" o:spid="_x0000_s1026" style="position:absolute;rotation:90;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pt,15pt" to="196.3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" strokecolor="windowText" strokeweight=".5pt">
                <v:stroke joinstyle="miter"/>
                <o:lock v:ext="edit" shapetype="f"/>
              </v:line>
            </w:pict>
          </mc:Fallback>
        </mc:AlternateContent>
      </w:r>
      <w:r w:rsidRPr="009D4627">
        <w:rPr>
          <w:noProof/>
        </w:rPr>
        <mc:AlternateContent>
          <mc:Choice Requires="wps">
            <w:drawing>
              <wp:anchor distT="0" distB="0" distL="114300" distR="114300" simplePos="0" relativeHeight="251720704" behindDoc="0" locked="0" layoutInCell="1" allowOverlap="1" wp14:anchorId="28D0F1EA" wp14:editId="2B215F42">
                <wp:simplePos x="0" y="0"/>
                <wp:positionH relativeFrom="column">
                  <wp:posOffset>2266950</wp:posOffset>
                </wp:positionH>
                <wp:positionV relativeFrom="paragraph">
                  <wp:posOffset>262255</wp:posOffset>
                </wp:positionV>
                <wp:extent cx="66675" cy="78105"/>
                <wp:effectExtent l="0" t="0" r="9525" b="17145"/>
                <wp:wrapNone/>
                <wp:docPr id="23653" name="Straight Connector 236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35848C" id="Straight Connector 23653" o:spid="_x0000_s1026" style="position:absolute;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20.65pt" to="183.7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721728" behindDoc="0" locked="0" layoutInCell="1" allowOverlap="1" wp14:anchorId="42CCD9AF" wp14:editId="3A503D98">
                <wp:simplePos x="0" y="0"/>
                <wp:positionH relativeFrom="column">
                  <wp:posOffset>2257425</wp:posOffset>
                </wp:positionH>
                <wp:positionV relativeFrom="paragraph">
                  <wp:posOffset>176530</wp:posOffset>
                </wp:positionV>
                <wp:extent cx="66675" cy="78105"/>
                <wp:effectExtent l="0" t="0" r="9525" b="17145"/>
                <wp:wrapNone/>
                <wp:docPr id="23652" name="Straight Connector 236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F19C89" id="Straight Connector 23652" o:spid="_x0000_s1026" style="position:absolute;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3.9pt" to="18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717632" behindDoc="0" locked="0" layoutInCell="1" allowOverlap="1" wp14:anchorId="78873885" wp14:editId="3357C929">
                <wp:simplePos x="0" y="0"/>
                <wp:positionH relativeFrom="column">
                  <wp:posOffset>2324100</wp:posOffset>
                </wp:positionH>
                <wp:positionV relativeFrom="paragraph">
                  <wp:posOffset>161290</wp:posOffset>
                </wp:positionV>
                <wp:extent cx="299720" cy="228600"/>
                <wp:effectExtent l="0" t="0" r="0" b="0"/>
                <wp:wrapThrough wrapText="bothSides">
                  <wp:wrapPolygon edited="0">
                    <wp:start x="0" y="0"/>
                    <wp:lineTo x="0" y="19800"/>
                    <wp:lineTo x="20593" y="19800"/>
                    <wp:lineTo x="20593" y="0"/>
                    <wp:lineTo x="0" y="0"/>
                  </wp:wrapPolygon>
                </wp:wrapThrough>
                <wp:docPr id="23651" name="Rectangle 23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720" cy="228600"/>
                        </a:xfrm>
                        <a:prstGeom prst="rect">
                          <a:avLst/>
                        </a:prstGeom>
                        <a:noFill/>
                        <a:ln w="12700" cap="flat" cmpd="sng" algn="ctr">
                          <a:noFill/>
                          <a:prstDash val="solid"/>
                          <a:miter lim="800000"/>
                        </a:ln>
                        <a:effectLst/>
                      </wps:spPr>
                      <wps:txbx>
                        <w:txbxContent>
                          <w:p w14:paraId="6F96483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873885" id="Rectangle 23651" o:spid="_x0000_s1768" style="position:absolute;left:0;text-align:left;margin-left:183pt;margin-top:12.7pt;width:23.6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" filled="f" stroked="f" strokeweight="1pt">
                <v:textbox inset="0,0,0,0">
                  <w:txbxContent>
                    <w:p w14:paraId="6F96483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- 1</w:t>
                      </w:r>
                    </w:p>
                  </w:txbxContent>
                </v:textbox>
                <w10:wrap type="through"/>
              </v:rect>
            </w:pict>
          </mc:Fallback>
        </mc:AlternateContent>
      </w:r>
    </w:p>
    <w:p w14:paraId="21756F1C" w14:textId="6F10B5E5" w:rsidR="00CE6626" w:rsidRPr="009D4627" w:rsidRDefault="00A2792E" w:rsidP="00CE6626">
      <w:pPr>
        <w:spacing w:before="0" w:line="240" w:lineRule="auto"/>
        <w:rPr>
          <w:b/>
          <w:bCs/>
          <w:szCs w:val="22"/>
          <w:lang w:val="en-MY"/>
        </w:rPr>
      </w:pPr>
      <w:r w:rsidRPr="009D4627">
        <w:rPr>
          <w:noProof/>
        </w:rPr>
        <mc:AlternateContent>
          <mc:Choice Requires="wps">
            <w:drawing>
              <wp:anchor distT="0" distB="0" distL="114300" distR="114300" simplePos="0" relativeHeight="251744256" behindDoc="0" locked="0" layoutInCell="1" allowOverlap="1" wp14:anchorId="01389DDB" wp14:editId="49CCF4AC">
                <wp:simplePos x="0" y="0"/>
                <wp:positionH relativeFrom="column">
                  <wp:posOffset>2195830</wp:posOffset>
                </wp:positionH>
                <wp:positionV relativeFrom="paragraph">
                  <wp:posOffset>56515</wp:posOffset>
                </wp:positionV>
                <wp:extent cx="156210" cy="198120"/>
                <wp:effectExtent l="0" t="0" r="0" b="0"/>
                <wp:wrapNone/>
                <wp:docPr id="23650" name="Rectangle 23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 cy="198120"/>
                        </a:xfrm>
                        <a:prstGeom prst="rect">
                          <a:avLst/>
                        </a:prstGeom>
                        <a:noFill/>
                        <a:ln w="12700" cap="flat" cmpd="sng" algn="ctr">
                          <a:noFill/>
                          <a:prstDash val="solid"/>
                          <a:miter lim="800000"/>
                        </a:ln>
                        <a:effectLst/>
                      </wps:spPr>
                      <wps:txbx>
                        <w:txbxContent>
                          <w:p w14:paraId="4913001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1389DDB" id="Rectangle 23650" o:spid="_x0000_s1769" style="position:absolute;left:0;text-align:left;margin-left:172.9pt;margin-top:4.45pt;width:12.3pt;height:15.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" filled="f" stroked="f" strokeweight="1pt">
                <v:textbox inset="0,0,0,0">
                  <w:txbxContent>
                    <w:p w14:paraId="4913001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w:pict>
          </mc:Fallback>
        </mc:AlternateContent>
      </w:r>
    </w:p>
    <w:p w14:paraId="31344430" w14:textId="77777777" w:rsidR="00CE6626" w:rsidRPr="009D4627" w:rsidRDefault="00CE6626" w:rsidP="00CE6626">
      <w:pPr>
        <w:spacing w:before="0" w:line="240" w:lineRule="auto"/>
        <w:rPr>
          <w:bCs/>
          <w:szCs w:val="22"/>
          <w:lang w:val="en-MY"/>
        </w:rPr>
      </w:pPr>
    </w:p>
    <w:p w14:paraId="3D28B610" w14:textId="77777777" w:rsidR="00CE6626" w:rsidRPr="009D4627" w:rsidRDefault="00CE6626" w:rsidP="00CE6626">
      <w:pPr>
        <w:spacing w:before="0" w:after="0" w:line="240" w:lineRule="auto"/>
        <w:rPr>
          <w:b/>
          <w:szCs w:val="22"/>
          <w:lang w:val="en-MY"/>
        </w:rPr>
      </w:pPr>
    </w:p>
    <w:p w14:paraId="5DDD485F" w14:textId="77777777" w:rsidR="00CE6626" w:rsidRPr="009D4627" w:rsidRDefault="00CE6626" w:rsidP="00CE6626">
      <w:pPr>
        <w:spacing w:before="0" w:after="0" w:line="240" w:lineRule="auto"/>
        <w:rPr>
          <w:szCs w:val="22"/>
          <w:lang w:val="en-MY"/>
        </w:rPr>
      </w:pPr>
      <w:r w:rsidRPr="009D4627">
        <w:rPr>
          <w:b/>
          <w:szCs w:val="22"/>
          <w:lang w:val="en-MY"/>
        </w:rPr>
        <w:t xml:space="preserve">Convergence: </w:t>
      </w:r>
      <w:r w:rsidRPr="009D4627">
        <w:rPr>
          <w:szCs w:val="22"/>
          <w:lang w:val="en-MY"/>
        </w:rPr>
        <w:t>with glasses – nil – diplopia</w:t>
      </w:r>
    </w:p>
    <w:p w14:paraId="0D2E4612" w14:textId="77777777" w:rsidR="00CE6626" w:rsidRPr="009D4627" w:rsidRDefault="00CE6626" w:rsidP="00CE6626">
      <w:pPr>
        <w:spacing w:before="0" w:after="0" w:line="240" w:lineRule="auto"/>
        <w:rPr>
          <w:b/>
          <w:szCs w:val="22"/>
          <w:lang w:val="en-MY"/>
        </w:rPr>
      </w:pPr>
    </w:p>
    <w:p w14:paraId="4342E70C"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
          <w:szCs w:val="22"/>
          <w:lang w:val="en-MY"/>
        </w:rPr>
        <w:tab/>
      </w:r>
      <w:r w:rsidRPr="009D4627">
        <w:rPr>
          <w:bCs/>
          <w:szCs w:val="22"/>
          <w:lang w:val="en-MY"/>
        </w:rPr>
        <w:t xml:space="preserve">with glasses </w:t>
      </w:r>
      <w:r w:rsidRPr="009D4627">
        <w:rPr>
          <w:bCs/>
          <w:szCs w:val="22"/>
          <w:lang w:val="en-MY"/>
        </w:rPr>
        <w:tab/>
        <w:t>1/3 m 16</w:t>
      </w:r>
      <w:r w:rsidRPr="009D4627">
        <w:rPr>
          <w:bCs/>
          <w:szCs w:val="22"/>
          <w:vertAlign w:val="superscript"/>
          <w:lang w:val="en-US"/>
        </w:rPr>
        <w:t>Δ</w:t>
      </w:r>
      <w:r w:rsidRPr="009D4627">
        <w:rPr>
          <w:bCs/>
          <w:szCs w:val="22"/>
          <w:lang w:val="en-MY"/>
        </w:rPr>
        <w:t xml:space="preserve"> XT 6/7</w:t>
      </w:r>
      <w:r w:rsidRPr="009D4627">
        <w:rPr>
          <w:bCs/>
          <w:szCs w:val="22"/>
          <w:lang w:val="en-US"/>
        </w:rPr>
        <w:t xml:space="preserve"> </w:t>
      </w:r>
      <w:r w:rsidRPr="009D4627">
        <w:rPr>
          <w:bCs/>
          <w:szCs w:val="22"/>
          <w:vertAlign w:val="superscript"/>
          <w:lang w:val="en-US"/>
        </w:rPr>
        <w:t>Δ</w:t>
      </w:r>
      <w:r w:rsidRPr="009D4627">
        <w:rPr>
          <w:bCs/>
          <w:szCs w:val="22"/>
          <w:lang w:val="en-MY"/>
        </w:rPr>
        <w:t xml:space="preserve"> RHT</w:t>
      </w:r>
    </w:p>
    <w:p w14:paraId="78A68E46" w14:textId="77777777" w:rsidR="00CE6626" w:rsidRPr="009D4627" w:rsidRDefault="00CE6626" w:rsidP="00CE6626">
      <w:pPr>
        <w:spacing w:before="0" w:after="0" w:line="240" w:lineRule="auto"/>
        <w:ind w:firstLine="720"/>
        <w:rPr>
          <w:bCs/>
          <w:szCs w:val="22"/>
          <w:lang w:val="en-US"/>
        </w:rPr>
      </w:pPr>
      <w:r w:rsidRPr="009D4627">
        <w:rPr>
          <w:bCs/>
          <w:szCs w:val="22"/>
          <w:lang w:val="en-MY"/>
        </w:rPr>
        <w:t xml:space="preserve">with glasses </w:t>
      </w:r>
      <w:r w:rsidRPr="009D4627">
        <w:rPr>
          <w:bCs/>
          <w:szCs w:val="22"/>
          <w:lang w:val="en-MY"/>
        </w:rPr>
        <w:tab/>
        <w:t xml:space="preserve">6 m  </w:t>
      </w:r>
    </w:p>
    <w:p w14:paraId="28AD083F" w14:textId="0A0FDBA4" w:rsidR="00CE6626" w:rsidRPr="009D4627" w:rsidRDefault="00A2792E" w:rsidP="00CE6626">
      <w:pPr>
        <w:spacing w:before="0" w:after="0" w:line="240" w:lineRule="auto"/>
        <w:ind w:left="1440"/>
        <w:rPr>
          <w:bCs/>
          <w:szCs w:val="22"/>
          <w:lang w:val="en-US"/>
        </w:rPr>
      </w:pPr>
      <w:r w:rsidRPr="009D4627">
        <w:rPr>
          <w:noProof/>
        </w:rPr>
        <mc:AlternateContent>
          <mc:Choice Requires="wpg">
            <w:drawing>
              <wp:anchor distT="0" distB="0" distL="114300" distR="114300" simplePos="0" relativeHeight="251715584" behindDoc="0" locked="0" layoutInCell="1" allowOverlap="1" wp14:anchorId="7ADF729E" wp14:editId="56D34EF6">
                <wp:simplePos x="0" y="0"/>
                <wp:positionH relativeFrom="margin">
                  <wp:posOffset>1314450</wp:posOffset>
                </wp:positionH>
                <wp:positionV relativeFrom="paragraph">
                  <wp:posOffset>29845</wp:posOffset>
                </wp:positionV>
                <wp:extent cx="3219450" cy="371475"/>
                <wp:effectExtent l="0" t="0" r="0" b="0"/>
                <wp:wrapThrough wrapText="bothSides">
                  <wp:wrapPolygon edited="0">
                    <wp:start x="0" y="0"/>
                    <wp:lineTo x="0" y="21046"/>
                    <wp:lineTo x="21472" y="21046"/>
                    <wp:lineTo x="21472" y="0"/>
                    <wp:lineTo x="0" y="0"/>
                  </wp:wrapPolygon>
                </wp:wrapThrough>
                <wp:docPr id="23641" name="Group 23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0" cy="371475"/>
                          <a:chOff x="0" y="6477"/>
                          <a:chExt cx="28384" cy="4286"/>
                        </a:xfrm>
                      </wpg:grpSpPr>
                      <wps:wsp>
                        <wps:cNvPr id="23642" name="Rectangle 21852"/>
                        <wps:cNvSpPr>
                          <a:spLocks noChangeArrowheads="1"/>
                        </wps:cNvSpPr>
                        <wps:spPr bwMode="auto">
                          <a:xfrm>
                            <a:off x="10953" y="7466"/>
                            <a:ext cx="9144" cy="3297"/>
                          </a:xfrm>
                          <a:prstGeom prst="rect">
                            <a:avLst/>
                          </a:prstGeom>
                          <a:noFill/>
                          <a:ln>
                            <a:noFill/>
                          </a:ln>
                        </wps:spPr>
                        <wps:txbx>
                          <w:txbxContent>
                            <w:p w14:paraId="4ABB898C" w14:textId="77777777" w:rsidR="00CE6626" w:rsidRDefault="00CE6626" w:rsidP="00CE6626">
                              <w:pPr>
                                <w:spacing w:before="0" w:after="0" w:line="240" w:lineRule="auto"/>
                                <w:jc w:val="center"/>
                                <w:rPr>
                                  <w:rFonts w:asciiTheme="minorHAnsi" w:hAnsiTheme="minorHAnsi" w:cstheme="minorHAnsi"/>
                                  <w:lang w:val="en-US"/>
                                </w:rPr>
                              </w:pPr>
                              <w:r>
                                <w:rPr>
                                  <w:rFonts w:asciiTheme="minorHAnsi" w:hAnsiTheme="minorHAnsi" w:cstheme="minorHAnsi"/>
                                  <w:lang w:val="en-US"/>
                                </w:rPr>
                                <w:t>4</w:t>
                              </w:r>
                              <w:r w:rsidRPr="00271E1F">
                                <w:rPr>
                                  <w:rFonts w:asciiTheme="minorHAnsi" w:hAnsiTheme="minorHAnsi" w:cstheme="minorHAnsi"/>
                                  <w:vertAlign w:val="superscript"/>
                                  <w:lang w:val="en-US"/>
                                </w:rPr>
                                <w:t>Δ</w:t>
                              </w:r>
                              <w:r w:rsidRPr="00ED7344">
                                <w:rPr>
                                  <w:rFonts w:asciiTheme="minorHAnsi" w:hAnsiTheme="minorHAnsi" w:cstheme="minorHAnsi"/>
                                  <w:lang w:val="en-US"/>
                                </w:rPr>
                                <w:t xml:space="preserve"> </w:t>
                              </w:r>
                              <w:r>
                                <w:rPr>
                                  <w:rFonts w:asciiTheme="minorHAnsi" w:hAnsiTheme="minorHAnsi" w:cstheme="minorHAnsi"/>
                                  <w:lang w:val="en-US"/>
                                </w:rPr>
                                <w:t>XT 3</w:t>
                              </w:r>
                              <w:r w:rsidRPr="00271E1F">
                                <w:rPr>
                                  <w:rFonts w:asciiTheme="minorHAnsi" w:hAnsiTheme="minorHAnsi" w:cstheme="minorHAnsi"/>
                                  <w:vertAlign w:val="superscript"/>
                                  <w:lang w:val="en-US"/>
                                </w:rPr>
                                <w:t>Δ</w:t>
                              </w:r>
                              <w:r w:rsidRPr="00ED7344">
                                <w:rPr>
                                  <w:rFonts w:asciiTheme="minorHAnsi" w:hAnsiTheme="minorHAnsi" w:cstheme="minorHAnsi"/>
                                  <w:lang w:val="en-US"/>
                                </w:rPr>
                                <w:t xml:space="preserve"> </w:t>
                              </w:r>
                              <w:r>
                                <w:rPr>
                                  <w:rFonts w:asciiTheme="minorHAnsi" w:hAnsiTheme="minorHAnsi" w:cstheme="minorHAnsi"/>
                                  <w:lang w:val="en-US"/>
                                </w:rPr>
                                <w:t>RHT</w:t>
                              </w:r>
                            </w:p>
                            <w:p w14:paraId="1798A730" w14:textId="77777777" w:rsidR="00CE6626" w:rsidRDefault="00CE6626" w:rsidP="00CE6626">
                              <w:pPr>
                                <w:spacing w:after="0" w:line="240" w:lineRule="auto"/>
                                <w:jc w:val="center"/>
                                <w:rPr>
                                  <w:rFonts w:asciiTheme="minorHAnsi" w:hAnsiTheme="minorHAnsi" w:cstheme="minorHAnsi"/>
                                  <w:lang w:val="en-US"/>
                                </w:rPr>
                              </w:pPr>
                            </w:p>
                          </w:txbxContent>
                        </wps:txbx>
                        <wps:bodyPr rot="0" vert="horz" wrap="square" lIns="0" tIns="0" rIns="0" bIns="0" anchor="ctr" anchorCtr="0" upright="1">
                          <a:noAutofit/>
                        </wps:bodyPr>
                      </wps:wsp>
                      <wpg:grpSp>
                        <wpg:cNvPr id="23643" name="Group 21853"/>
                        <wpg:cNvGrpSpPr>
                          <a:grpSpLocks/>
                        </wpg:cNvGrpSpPr>
                        <wpg:grpSpPr bwMode="auto">
                          <a:xfrm>
                            <a:off x="0" y="6477"/>
                            <a:ext cx="28384" cy="4286"/>
                            <a:chOff x="0" y="6477"/>
                            <a:chExt cx="28384" cy="4286"/>
                          </a:xfrm>
                        </wpg:grpSpPr>
                        <wpg:grpSp>
                          <wpg:cNvPr id="23644" name="Group 21854"/>
                          <wpg:cNvGrpSpPr>
                            <a:grpSpLocks/>
                          </wpg:cNvGrpSpPr>
                          <wpg:grpSpPr bwMode="auto">
                            <a:xfrm>
                              <a:off x="20383" y="6477"/>
                              <a:ext cx="8001" cy="4286"/>
                              <a:chOff x="1333" y="0"/>
                              <a:chExt cx="8001" cy="4286"/>
                            </a:xfrm>
                          </wpg:grpSpPr>
                          <wps:wsp>
                            <wps:cNvPr id="23645" name="Rectangle 21855"/>
                            <wps:cNvSpPr>
                              <a:spLocks noChangeArrowheads="1"/>
                            </wps:cNvSpPr>
                            <wps:spPr bwMode="auto">
                              <a:xfrm>
                                <a:off x="5238" y="0"/>
                                <a:ext cx="4096" cy="4286"/>
                              </a:xfrm>
                              <a:prstGeom prst="rect">
                                <a:avLst/>
                              </a:prstGeom>
                              <a:noFill/>
                              <a:ln>
                                <a:noFill/>
                              </a:ln>
                            </wps:spPr>
                            <wps:txbx>
                              <w:txbxContent>
                                <w:p w14:paraId="3B2DD5BD" w14:textId="77777777" w:rsidR="00CE6626" w:rsidRDefault="00CE6626" w:rsidP="00CE6626">
                                  <w:pPr>
                                    <w:spacing w:before="0" w:after="0" w:line="240" w:lineRule="auto"/>
                                    <w:jc w:val="center"/>
                                    <w:rPr>
                                      <w:rFonts w:asciiTheme="minorHAnsi" w:hAnsiTheme="minorHAnsi" w:cstheme="minorHAnsi"/>
                                      <w:lang w:val="en-US"/>
                                    </w:rPr>
                                  </w:pPr>
                                  <w:r>
                                    <w:rPr>
                                      <w:rFonts w:asciiTheme="minorHAnsi" w:hAnsiTheme="minorHAnsi" w:cstheme="minorHAnsi"/>
                                      <w:lang w:val="en-US"/>
                                    </w:rPr>
                                    <w:t>12</w:t>
                                  </w:r>
                                  <w:r w:rsidRPr="00271E1F">
                                    <w:rPr>
                                      <w:rFonts w:asciiTheme="minorHAnsi" w:hAnsiTheme="minorHAnsi" w:cstheme="minorHAnsi"/>
                                      <w:vertAlign w:val="superscript"/>
                                      <w:lang w:val="en-US"/>
                                    </w:rPr>
                                    <w:t>Δ</w:t>
                                  </w:r>
                                  <w:r>
                                    <w:rPr>
                                      <w:rFonts w:asciiTheme="minorHAnsi" w:hAnsiTheme="minorHAnsi" w:cstheme="minorHAnsi"/>
                                      <w:lang w:val="en-US"/>
                                    </w:rPr>
                                    <w:t xml:space="preserve"> XT</w:t>
                                  </w:r>
                                  <w:r w:rsidRPr="00ED7344">
                                    <w:rPr>
                                      <w:rFonts w:asciiTheme="minorHAnsi" w:hAnsiTheme="minorHAnsi" w:cstheme="minorHAnsi"/>
                                      <w:lang w:val="en-US"/>
                                    </w:rPr>
                                    <w:t xml:space="preserve"> </w:t>
                                  </w:r>
                                </w:p>
                              </w:txbxContent>
                            </wps:txbx>
                            <wps:bodyPr rot="0" vert="horz" wrap="square" lIns="0" tIns="0" rIns="0" bIns="0" anchor="ctr" anchorCtr="0" upright="1">
                              <a:noAutofit/>
                            </wps:bodyPr>
                          </wps:wsp>
                          <wps:wsp>
                            <wps:cNvPr id="23646" name="Straight Arrow Connector 21856"/>
                            <wps:cNvCnPr>
                              <a:cxnSpLocks noChangeShapeType="1"/>
                            </wps:cNvCnPr>
                            <wps:spPr bwMode="auto">
                              <a:xfrm rot="5400000" flipV="1">
                                <a:off x="2810" y="893"/>
                                <a:ext cx="0" cy="2953"/>
                              </a:xfrm>
                              <a:prstGeom prst="straightConnector1">
                                <a:avLst/>
                              </a:prstGeom>
                              <a:noFill/>
                              <a:ln w="19050">
                                <a:solidFill>
                                  <a:srgbClr val="000000"/>
                                </a:solidFill>
                                <a:miter lim="800000"/>
                                <a:headEnd/>
                                <a:tailEnd type="triangle" w="med" len="med"/>
                              </a:ln>
                            </wps:spPr>
                            <wps:bodyPr/>
                          </wps:wsp>
                        </wpg:grpSp>
                        <wpg:grpSp>
                          <wpg:cNvPr id="23647" name="Group 21857"/>
                          <wpg:cNvGrpSpPr>
                            <a:grpSpLocks/>
                          </wpg:cNvGrpSpPr>
                          <wpg:grpSpPr bwMode="auto">
                            <a:xfrm>
                              <a:off x="0" y="6477"/>
                              <a:ext cx="10420" cy="4286"/>
                              <a:chOff x="0" y="0"/>
                              <a:chExt cx="10420" cy="4286"/>
                            </a:xfrm>
                          </wpg:grpSpPr>
                          <wps:wsp>
                            <wps:cNvPr id="23648" name="Rectangle 21858"/>
                            <wps:cNvSpPr>
                              <a:spLocks noChangeArrowheads="1"/>
                            </wps:cNvSpPr>
                            <wps:spPr bwMode="auto">
                              <a:xfrm>
                                <a:off x="0" y="0"/>
                                <a:ext cx="9144" cy="4286"/>
                              </a:xfrm>
                              <a:prstGeom prst="rect">
                                <a:avLst/>
                              </a:prstGeom>
                              <a:noFill/>
                              <a:ln>
                                <a:noFill/>
                              </a:ln>
                            </wps:spPr>
                            <wps:txbx>
                              <w:txbxContent>
                                <w:p w14:paraId="4AB83D41" w14:textId="77777777" w:rsidR="00CE6626" w:rsidRDefault="00CE6626" w:rsidP="00CE6626">
                                  <w:pPr>
                                    <w:spacing w:before="0" w:after="0" w:line="240" w:lineRule="auto"/>
                                    <w:jc w:val="center"/>
                                    <w:rPr>
                                      <w:rFonts w:asciiTheme="minorHAnsi" w:hAnsiTheme="minorHAnsi" w:cstheme="minorHAnsi"/>
                                      <w:lang w:val="en-US"/>
                                    </w:rPr>
                                  </w:pPr>
                                  <w:r>
                                    <w:rPr>
                                      <w:rFonts w:asciiTheme="minorHAnsi" w:hAnsiTheme="minorHAnsi" w:cstheme="minorHAnsi"/>
                                      <w:lang w:val="en-US"/>
                                    </w:rPr>
                                    <w:t>7</w:t>
                                  </w:r>
                                  <w:r w:rsidRPr="00271E1F">
                                    <w:rPr>
                                      <w:rFonts w:asciiTheme="minorHAnsi" w:hAnsiTheme="minorHAnsi" w:cstheme="minorHAnsi"/>
                                      <w:vertAlign w:val="superscript"/>
                                      <w:lang w:val="en-US"/>
                                    </w:rPr>
                                    <w:t>Δ</w:t>
                                  </w:r>
                                  <w:r>
                                    <w:rPr>
                                      <w:rFonts w:asciiTheme="minorHAnsi" w:hAnsiTheme="minorHAnsi" w:cstheme="minorHAnsi"/>
                                      <w:lang w:val="en-US"/>
                                    </w:rPr>
                                    <w:t xml:space="preserve"> RHT</w:t>
                                  </w:r>
                                </w:p>
                              </w:txbxContent>
                            </wps:txbx>
                            <wps:bodyPr rot="0" vert="horz" wrap="square" lIns="0" tIns="0" rIns="0" bIns="0" anchor="ctr" anchorCtr="0" upright="1">
                              <a:noAutofit/>
                            </wps:bodyPr>
                          </wps:wsp>
                          <wps:wsp>
                            <wps:cNvPr id="23649" name="Straight Arrow Connector 21859"/>
                            <wps:cNvCnPr>
                              <a:cxnSpLocks noChangeShapeType="1"/>
                            </wps:cNvCnPr>
                            <wps:spPr bwMode="auto">
                              <a:xfrm rot="16200000" flipV="1">
                                <a:off x="8944" y="783"/>
                                <a:ext cx="0" cy="2953"/>
                              </a:xfrm>
                              <a:prstGeom prst="straightConnector1">
                                <a:avLst/>
                              </a:prstGeom>
                              <a:noFill/>
                              <a:ln w="19050">
                                <a:solidFill>
                                  <a:srgbClr val="000000"/>
                                </a:solidFill>
                                <a:miter lim="800000"/>
                                <a:headEnd/>
                                <a:tailEnd type="triangle" w="med" len="med"/>
                              </a:ln>
                            </wps:spPr>
                            <wps:bodyPr/>
                          </wps:wsp>
                        </wpg:grpSp>
                      </wpg:grpSp>
                    </wpg:wgp>
                  </a:graphicData>
                </a:graphic>
                <wp14:sizeRelH relativeFrom="margin">
                  <wp14:pctWidth>0</wp14:pctWidth>
                </wp14:sizeRelH>
                <wp14:sizeRelV relativeFrom="margin">
                  <wp14:pctHeight>0</wp14:pctHeight>
                </wp14:sizeRelV>
              </wp:anchor>
            </w:drawing>
          </mc:Choice>
          <mc:Fallback>
            <w:pict>
              <v:group w14:anchorId="7ADF729E" id="Group 23641" o:spid="_x0000_s1770" style="position:absolute;left:0;text-align:left;margin-left:103.5pt;margin-top:2.35pt;width:253.5pt;height:29.25pt;z-index:251715584;mso-position-horizontal-relative:margin;mso-position-vertical-relative:text;mso-width-relative:margin;mso-height-relative:margin" coordorigin=",6477" coordsize="28384,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">
                <v:rect id="Rectangle 21852" o:spid="_x0000_s1771" style="position:absolute;left:10953;top:7466;width:9144;height:3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" filled="f" stroked="f">
                  <v:textbox inset="0,0,0,0">
                    <w:txbxContent>
                      <w:p w14:paraId="4ABB898C" w14:textId="77777777" w:rsidR="00CE6626" w:rsidRDefault="00CE6626" w:rsidP="00CE6626">
                        <w:pPr>
                          <w:spacing w:before="0" w:after="0" w:line="240" w:lineRule="auto"/>
                          <w:jc w:val="center"/>
                          <w:rPr>
                            <w:rFonts w:asciiTheme="minorHAnsi" w:hAnsiTheme="minorHAnsi" w:cstheme="minorHAnsi"/>
                            <w:lang w:val="en-US"/>
                          </w:rPr>
                        </w:pPr>
                        <w:r>
                          <w:rPr>
                            <w:rFonts w:asciiTheme="minorHAnsi" w:hAnsiTheme="minorHAnsi" w:cstheme="minorHAnsi"/>
                            <w:lang w:val="en-US"/>
                          </w:rPr>
                          <w:t>4</w:t>
                        </w:r>
                        <w:r w:rsidRPr="00271E1F">
                          <w:rPr>
                            <w:rFonts w:asciiTheme="minorHAnsi" w:hAnsiTheme="minorHAnsi" w:cstheme="minorHAnsi"/>
                            <w:vertAlign w:val="superscript"/>
                            <w:lang w:val="en-US"/>
                          </w:rPr>
                          <w:t>Δ</w:t>
                        </w:r>
                        <w:r w:rsidRPr="00ED7344">
                          <w:rPr>
                            <w:rFonts w:asciiTheme="minorHAnsi" w:hAnsiTheme="minorHAnsi" w:cstheme="minorHAnsi"/>
                            <w:lang w:val="en-US"/>
                          </w:rPr>
                          <w:t xml:space="preserve"> </w:t>
                        </w:r>
                        <w:r>
                          <w:rPr>
                            <w:rFonts w:asciiTheme="minorHAnsi" w:hAnsiTheme="minorHAnsi" w:cstheme="minorHAnsi"/>
                            <w:lang w:val="en-US"/>
                          </w:rPr>
                          <w:t>XT 3</w:t>
                        </w:r>
                        <w:r w:rsidRPr="00271E1F">
                          <w:rPr>
                            <w:rFonts w:asciiTheme="minorHAnsi" w:hAnsiTheme="minorHAnsi" w:cstheme="minorHAnsi"/>
                            <w:vertAlign w:val="superscript"/>
                            <w:lang w:val="en-US"/>
                          </w:rPr>
                          <w:t>Δ</w:t>
                        </w:r>
                        <w:r w:rsidRPr="00ED7344">
                          <w:rPr>
                            <w:rFonts w:asciiTheme="minorHAnsi" w:hAnsiTheme="minorHAnsi" w:cstheme="minorHAnsi"/>
                            <w:lang w:val="en-US"/>
                          </w:rPr>
                          <w:t xml:space="preserve"> </w:t>
                        </w:r>
                        <w:r>
                          <w:rPr>
                            <w:rFonts w:asciiTheme="minorHAnsi" w:hAnsiTheme="minorHAnsi" w:cstheme="minorHAnsi"/>
                            <w:lang w:val="en-US"/>
                          </w:rPr>
                          <w:t>RHT</w:t>
                        </w:r>
                      </w:p>
                      <w:p w14:paraId="1798A730" w14:textId="77777777" w:rsidR="00CE6626" w:rsidRDefault="00CE6626" w:rsidP="00CE6626">
                        <w:pPr>
                          <w:spacing w:after="0" w:line="240" w:lineRule="auto"/>
                          <w:jc w:val="center"/>
                          <w:rPr>
                            <w:rFonts w:asciiTheme="minorHAnsi" w:hAnsiTheme="minorHAnsi" w:cstheme="minorHAnsi"/>
                            <w:lang w:val="en-US"/>
                          </w:rPr>
                        </w:pPr>
                      </w:p>
                    </w:txbxContent>
                  </v:textbox>
                </v:rect>
                <v:group id="Group 21853" o:spid="_x0000_s1772" style="position:absolute;top:6477;width:28384;height:4286" coordorigin=",6477" coordsize="28384,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">
                  <v:group id="Group 21854" o:spid="_x0000_s1773" style="position:absolute;left:20383;top:6477;width:8001;height:4286" coordorigin="1333" coordsize="8001,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">
                    <v:rect id="Rectangle 21855" o:spid="_x0000_s1774" style="position:absolute;left:5238;width:4096;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" filled="f" stroked="f">
                      <v:textbox inset="0,0,0,0">
                        <w:txbxContent>
                          <w:p w14:paraId="3B2DD5BD" w14:textId="77777777" w:rsidR="00CE6626" w:rsidRDefault="00CE6626" w:rsidP="00CE6626">
                            <w:pPr>
                              <w:spacing w:before="0" w:after="0" w:line="240" w:lineRule="auto"/>
                              <w:jc w:val="center"/>
                              <w:rPr>
                                <w:rFonts w:asciiTheme="minorHAnsi" w:hAnsiTheme="minorHAnsi" w:cstheme="minorHAnsi"/>
                                <w:lang w:val="en-US"/>
                              </w:rPr>
                            </w:pPr>
                            <w:r>
                              <w:rPr>
                                <w:rFonts w:asciiTheme="minorHAnsi" w:hAnsiTheme="minorHAnsi" w:cstheme="minorHAnsi"/>
                                <w:lang w:val="en-US"/>
                              </w:rPr>
                              <w:t>12</w:t>
                            </w:r>
                            <w:r w:rsidRPr="00271E1F">
                              <w:rPr>
                                <w:rFonts w:asciiTheme="minorHAnsi" w:hAnsiTheme="minorHAnsi" w:cstheme="minorHAnsi"/>
                                <w:vertAlign w:val="superscript"/>
                                <w:lang w:val="en-US"/>
                              </w:rPr>
                              <w:t>Δ</w:t>
                            </w:r>
                            <w:r>
                              <w:rPr>
                                <w:rFonts w:asciiTheme="minorHAnsi" w:hAnsiTheme="minorHAnsi" w:cstheme="minorHAnsi"/>
                                <w:lang w:val="en-US"/>
                              </w:rPr>
                              <w:t xml:space="preserve"> XT</w:t>
                            </w:r>
                            <w:r w:rsidRPr="00ED7344">
                              <w:rPr>
                                <w:rFonts w:asciiTheme="minorHAnsi" w:hAnsiTheme="minorHAnsi" w:cstheme="minorHAnsi"/>
                                <w:lang w:val="en-US"/>
                              </w:rPr>
                              <w:t xml:space="preserve"> </w:t>
                            </w:r>
                          </w:p>
                        </w:txbxContent>
                      </v:textbox>
                    </v:rect>
                    <v:shape id="Straight Arrow Connector 21856" o:spid="_x0000_s1775" type="#_x0000_t32" style="position:absolute;left:2810;top:893;width:0;height:295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" strokeweight="1.5pt">
                      <v:stroke endarrow="block" joinstyle="miter"/>
                    </v:shape>
                  </v:group>
                  <v:group id="Group 21857" o:spid="_x0000_s1776" style="position:absolute;top:6477;width:10420;height:4286" coordsize="10420,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">
                    <v:rect id="Rectangle 21858" o:spid="_x0000_s1777" style="position:absolute;width:9144;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" filled="f" stroked="f">
                      <v:textbox inset="0,0,0,0">
                        <w:txbxContent>
                          <w:p w14:paraId="4AB83D41" w14:textId="77777777" w:rsidR="00CE6626" w:rsidRDefault="00CE6626" w:rsidP="00CE6626">
                            <w:pPr>
                              <w:spacing w:before="0" w:after="0" w:line="240" w:lineRule="auto"/>
                              <w:jc w:val="center"/>
                              <w:rPr>
                                <w:rFonts w:asciiTheme="minorHAnsi" w:hAnsiTheme="minorHAnsi" w:cstheme="minorHAnsi"/>
                                <w:lang w:val="en-US"/>
                              </w:rPr>
                            </w:pPr>
                            <w:r>
                              <w:rPr>
                                <w:rFonts w:asciiTheme="minorHAnsi" w:hAnsiTheme="minorHAnsi" w:cstheme="minorHAnsi"/>
                                <w:lang w:val="en-US"/>
                              </w:rPr>
                              <w:t>7</w:t>
                            </w:r>
                            <w:r w:rsidRPr="00271E1F">
                              <w:rPr>
                                <w:rFonts w:asciiTheme="minorHAnsi" w:hAnsiTheme="minorHAnsi" w:cstheme="minorHAnsi"/>
                                <w:vertAlign w:val="superscript"/>
                                <w:lang w:val="en-US"/>
                              </w:rPr>
                              <w:t>Δ</w:t>
                            </w:r>
                            <w:r>
                              <w:rPr>
                                <w:rFonts w:asciiTheme="minorHAnsi" w:hAnsiTheme="minorHAnsi" w:cstheme="minorHAnsi"/>
                                <w:lang w:val="en-US"/>
                              </w:rPr>
                              <w:t xml:space="preserve"> RHT</w:t>
                            </w:r>
                          </w:p>
                        </w:txbxContent>
                      </v:textbox>
                    </v:rect>
                    <v:shape id="Straight Arrow Connector 21859" o:spid="_x0000_s1778" type="#_x0000_t32" style="position:absolute;left:8944;top:783;width:0;height:295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" strokeweight="1.5pt">
                      <v:stroke endarrow="block" joinstyle="miter"/>
                    </v:shape>
                  </v:group>
                </v:group>
                <w10:wrap type="through" anchorx="margin"/>
              </v:group>
            </w:pict>
          </mc:Fallback>
        </mc:AlternateContent>
      </w:r>
    </w:p>
    <w:p w14:paraId="11221342" w14:textId="77777777" w:rsidR="00CE6626" w:rsidRPr="009D4627" w:rsidRDefault="00CE6626" w:rsidP="00CE6626">
      <w:pPr>
        <w:spacing w:before="0" w:after="0" w:line="240" w:lineRule="auto"/>
        <w:ind w:left="1440"/>
        <w:rPr>
          <w:bCs/>
          <w:szCs w:val="22"/>
          <w:lang w:val="en-MY"/>
        </w:rPr>
      </w:pPr>
      <w:r w:rsidRPr="009D4627">
        <w:rPr>
          <w:bCs/>
          <w:szCs w:val="22"/>
          <w:lang w:val="en-US"/>
        </w:rPr>
        <w:t xml:space="preserve"> </w:t>
      </w:r>
    </w:p>
    <w:p w14:paraId="6349918F" w14:textId="77777777" w:rsidR="00CE6626" w:rsidRPr="009D4627" w:rsidRDefault="00CE6626" w:rsidP="00CE6626">
      <w:pPr>
        <w:spacing w:before="0" w:after="0" w:line="240" w:lineRule="auto"/>
        <w:rPr>
          <w:b/>
          <w:szCs w:val="22"/>
          <w:lang w:val="en-MY"/>
        </w:rPr>
      </w:pPr>
    </w:p>
    <w:p w14:paraId="1861F8D6" w14:textId="647E786C" w:rsidR="00CE6626" w:rsidRPr="009D4627" w:rsidRDefault="00A2792E" w:rsidP="00CE6626">
      <w:pPr>
        <w:spacing w:before="0" w:after="0" w:line="240" w:lineRule="auto"/>
        <w:rPr>
          <w:szCs w:val="22"/>
          <w:lang w:val="en-MY"/>
        </w:rPr>
      </w:pPr>
      <w:r w:rsidRPr="009D4627">
        <w:rPr>
          <w:noProof/>
        </w:rPr>
        <mc:AlternateContent>
          <mc:Choice Requires="wpg">
            <w:drawing>
              <wp:anchor distT="0" distB="0" distL="114300" distR="114300" simplePos="0" relativeHeight="251723776" behindDoc="0" locked="0" layoutInCell="1" allowOverlap="1" wp14:anchorId="5C459301" wp14:editId="03892377">
                <wp:simplePos x="0" y="0"/>
                <wp:positionH relativeFrom="margin">
                  <wp:align>left</wp:align>
                </wp:positionH>
                <wp:positionV relativeFrom="paragraph">
                  <wp:posOffset>189230</wp:posOffset>
                </wp:positionV>
                <wp:extent cx="2057400" cy="567690"/>
                <wp:effectExtent l="0" t="0" r="0" b="0"/>
                <wp:wrapNone/>
                <wp:docPr id="23630" name="Group 23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7400" cy="567690"/>
                          <a:chOff x="0" y="0"/>
                          <a:chExt cx="20241" cy="6134"/>
                        </a:xfrm>
                      </wpg:grpSpPr>
                      <wpg:grpSp>
                        <wpg:cNvPr id="23631" name="Group 21861"/>
                        <wpg:cNvGrpSpPr>
                          <a:grpSpLocks/>
                        </wpg:cNvGrpSpPr>
                        <wpg:grpSpPr bwMode="auto">
                          <a:xfrm>
                            <a:off x="0" y="285"/>
                            <a:ext cx="8692" cy="5849"/>
                            <a:chOff x="0" y="0"/>
                            <a:chExt cx="8692" cy="5852"/>
                          </a:xfrm>
                        </wpg:grpSpPr>
                        <wps:wsp>
                          <wps:cNvPr id="23632" name="Arc 21862"/>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33" name="Arc 21863"/>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34" name="Straight Arrow Connector 21864"/>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635" name="Rectangle 21865"/>
                          <wps:cNvSpPr>
                            <a:spLocks noChangeArrowheads="1"/>
                          </wps:cNvSpPr>
                          <wps:spPr bwMode="auto">
                            <a:xfrm>
                              <a:off x="3000" y="1813"/>
                              <a:ext cx="5692" cy="1905"/>
                            </a:xfrm>
                            <a:prstGeom prst="rect">
                              <a:avLst/>
                            </a:prstGeom>
                            <a:noFill/>
                            <a:ln>
                              <a:noFill/>
                            </a:ln>
                          </wps:spPr>
                          <wps:txbx>
                            <w:txbxContent>
                              <w:p w14:paraId="7F319686"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5 mm</w:t>
                                </w:r>
                              </w:p>
                            </w:txbxContent>
                          </wps:txbx>
                          <wps:bodyPr rot="0" vert="horz" wrap="square" lIns="0" tIns="0" rIns="0" bIns="0" anchor="ctr" anchorCtr="0" upright="1">
                            <a:noAutofit/>
                          </wps:bodyPr>
                        </wps:wsp>
                      </wpg:grpSp>
                      <wpg:grpSp>
                        <wpg:cNvPr id="23636" name="Group 21866"/>
                        <wpg:cNvGrpSpPr>
                          <a:grpSpLocks/>
                        </wpg:cNvGrpSpPr>
                        <wpg:grpSpPr bwMode="auto">
                          <a:xfrm>
                            <a:off x="12954" y="0"/>
                            <a:ext cx="7287" cy="5848"/>
                            <a:chOff x="0" y="0"/>
                            <a:chExt cx="7287" cy="5852"/>
                          </a:xfrm>
                        </wpg:grpSpPr>
                        <wps:wsp>
                          <wps:cNvPr id="23637" name="Arc 21867"/>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38" name="Arc 21868"/>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639" name="Straight Arrow Connector 21869"/>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640" name="Rectangle 21870"/>
                          <wps:cNvSpPr>
                            <a:spLocks noChangeArrowheads="1"/>
                          </wps:cNvSpPr>
                          <wps:spPr bwMode="auto">
                            <a:xfrm>
                              <a:off x="3001" y="1814"/>
                              <a:ext cx="4286" cy="1905"/>
                            </a:xfrm>
                            <a:prstGeom prst="rect">
                              <a:avLst/>
                            </a:prstGeom>
                            <a:noFill/>
                            <a:ln>
                              <a:noFill/>
                            </a:ln>
                          </wps:spPr>
                          <wps:txbx>
                            <w:txbxContent>
                              <w:p w14:paraId="443F099C"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10mmmm mm</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5C459301" id="Group 23630" o:spid="_x0000_s1779" style="position:absolute;left:0;text-align:left;margin-left:0;margin-top:14.9pt;width:162pt;height:44.7pt;z-index:251723776;mso-position-horizontal:left;mso-position-horizontal-relative:margin;mso-position-vertical-relative:text;mso-width-relative:margin;mso-height-relative:margin" coordsize="20241,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">
                <v:group id="Group 21861" o:spid="_x0000_s1780" style="position:absolute;top:285;width:8692;height:5849" coordsize="869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">
                  <v:shape id="Arc 21862" o:spid="_x0000_s1781"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863" o:spid="_x0000_s1782"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864" o:spid="_x0000_s1783"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" strokeweight=".5pt">
                    <v:stroke startarrow="open" endarrow="open" joinstyle="miter"/>
                  </v:shape>
                  <v:rect id="Rectangle 21865" o:spid="_x0000_s1784" style="position:absolute;left:3000;top:1813;width:569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" filled="f" stroked="f">
                    <v:textbox inset="0,0,0,0">
                      <w:txbxContent>
                        <w:p w14:paraId="7F319686"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5 mm</w:t>
                          </w:r>
                        </w:p>
                      </w:txbxContent>
                    </v:textbox>
                  </v:rect>
                </v:group>
                <v:group id="Group 21866" o:spid="_x0000_s1785" style="position:absolute;left:12954;width:7287;height:5848" coordsize="7287,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">
                  <v:shape id="Arc 21867" o:spid="_x0000_s1786"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868" o:spid="_x0000_s1787"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869" o:spid="_x0000_s1788"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" strokeweight=".5pt">
                    <v:stroke startarrow="open" endarrow="open" joinstyle="miter"/>
                  </v:shape>
                  <v:rect id="Rectangle 21870" o:spid="_x0000_s1789" style="position:absolute;left:3001;top:1814;width:428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" filled="f" stroked="f">
                    <v:textbox inset="0,0,0,0">
                      <w:txbxContent>
                        <w:p w14:paraId="443F099C"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10mmmm mm</w:t>
                          </w:r>
                        </w:p>
                      </w:txbxContent>
                    </v:textbox>
                  </v:rect>
                </v:group>
                <w10:wrap anchorx="margin"/>
              </v:group>
            </w:pict>
          </mc:Fallback>
        </mc:AlternateContent>
      </w:r>
      <w:r w:rsidR="00CE6626" w:rsidRPr="009D4627">
        <w:rPr>
          <w:b/>
          <w:szCs w:val="22"/>
          <w:lang w:val="en-MY"/>
        </w:rPr>
        <w:t>Pupils:</w:t>
      </w:r>
      <w:r w:rsidR="00CE6626" w:rsidRPr="009D4627">
        <w:rPr>
          <w:szCs w:val="22"/>
          <w:lang w:val="en-MY"/>
        </w:rPr>
        <w:t xml:space="preserve"> No pupil dilation – both pupils react to light and accommodation – no RAPD</w:t>
      </w:r>
    </w:p>
    <w:p w14:paraId="0193F413" w14:textId="77777777" w:rsidR="00CE6626" w:rsidRPr="009D4627" w:rsidRDefault="00CE6626" w:rsidP="00CE6626">
      <w:pPr>
        <w:spacing w:before="0" w:after="0" w:line="240" w:lineRule="auto"/>
        <w:rPr>
          <w:szCs w:val="22"/>
          <w:lang w:val="en-MY"/>
        </w:rPr>
      </w:pPr>
    </w:p>
    <w:p w14:paraId="24073793" w14:textId="77777777" w:rsidR="00CE6626" w:rsidRPr="009D4627" w:rsidRDefault="00CE6626" w:rsidP="00CE6626">
      <w:pPr>
        <w:spacing w:before="0" w:after="0" w:line="240" w:lineRule="auto"/>
        <w:rPr>
          <w:szCs w:val="22"/>
          <w:lang w:val="en-MY"/>
        </w:rPr>
      </w:pPr>
    </w:p>
    <w:p w14:paraId="43EBBE7F" w14:textId="77777777" w:rsidR="00CE6626" w:rsidRPr="009D4627" w:rsidRDefault="00CE6626" w:rsidP="00CE6626">
      <w:pPr>
        <w:spacing w:before="0" w:after="0" w:line="240" w:lineRule="auto"/>
        <w:rPr>
          <w:bCs/>
          <w:szCs w:val="22"/>
          <w:lang w:val="en-MY"/>
        </w:rPr>
      </w:pPr>
      <w:r w:rsidRPr="009D4627">
        <w:rPr>
          <w:bCs/>
          <w:szCs w:val="22"/>
          <w:lang w:val="en-MY"/>
        </w:rPr>
        <w:tab/>
      </w:r>
    </w:p>
    <w:p w14:paraId="45F7E70A" w14:textId="77777777" w:rsidR="00CE6626" w:rsidRPr="009D4627" w:rsidRDefault="00CE6626" w:rsidP="00CE6626">
      <w:pPr>
        <w:spacing w:before="0" w:after="0" w:line="240" w:lineRule="auto"/>
        <w:rPr>
          <w:b/>
          <w:color w:val="auto"/>
          <w:szCs w:val="22"/>
          <w:lang w:val="en-MY"/>
        </w:rPr>
      </w:pPr>
      <w:r w:rsidRPr="009D4627">
        <w:rPr>
          <w:bCs/>
          <w:color w:val="FF0000"/>
          <w:szCs w:val="22"/>
          <w:lang w:val="en-MY"/>
        </w:rPr>
        <w:t xml:space="preserve"> </w:t>
      </w:r>
    </w:p>
    <w:p w14:paraId="52674525" w14:textId="77777777" w:rsidR="00CE6626" w:rsidRPr="009D4627" w:rsidRDefault="00CE6626" w:rsidP="00CE6626">
      <w:pPr>
        <w:spacing w:before="0" w:after="0" w:line="240" w:lineRule="auto"/>
        <w:rPr>
          <w:bCs/>
          <w:color w:val="auto"/>
          <w:szCs w:val="22"/>
          <w:lang w:val="en-MY"/>
        </w:rPr>
      </w:pPr>
      <w:r w:rsidRPr="009D4627">
        <w:rPr>
          <w:b/>
          <w:color w:val="auto"/>
          <w:szCs w:val="22"/>
          <w:lang w:val="en-MY"/>
        </w:rPr>
        <w:t xml:space="preserve">Assessment &amp; Plan: </w:t>
      </w:r>
      <w:r w:rsidRPr="009D4627">
        <w:rPr>
          <w:b/>
          <w:color w:val="auto"/>
          <w:szCs w:val="22"/>
          <w:lang w:val="en-MY"/>
        </w:rPr>
        <w:tab/>
      </w:r>
      <w:r w:rsidRPr="009D4627">
        <w:rPr>
          <w:bCs/>
          <w:color w:val="auto"/>
          <w:szCs w:val="22"/>
          <w:lang w:val="en-MY"/>
        </w:rPr>
        <w:t xml:space="preserve">Resolving R </w:t>
      </w:r>
      <w:proofErr w:type="spellStart"/>
      <w:r w:rsidRPr="009D4627">
        <w:rPr>
          <w:bCs/>
          <w:color w:val="auto"/>
          <w:szCs w:val="22"/>
          <w:lang w:val="en-MY"/>
        </w:rPr>
        <w:t>IIIrd</w:t>
      </w:r>
      <w:proofErr w:type="spellEnd"/>
      <w:r w:rsidRPr="009D4627">
        <w:rPr>
          <w:bCs/>
          <w:color w:val="auto"/>
          <w:szCs w:val="22"/>
          <w:lang w:val="en-MY"/>
        </w:rPr>
        <w:t xml:space="preserve"> with pupil sparing. Some slight improvement in PCT today but still needs blender on R lens.  Review 4 weeks.</w:t>
      </w:r>
    </w:p>
    <w:p w14:paraId="559618BC" w14:textId="77777777" w:rsidR="00E12D81" w:rsidRDefault="00E12D81" w:rsidP="00CE6626">
      <w:pPr>
        <w:spacing w:before="0" w:line="240" w:lineRule="auto"/>
        <w:rPr>
          <w:b/>
          <w:bCs/>
          <w:color w:val="auto"/>
          <w:szCs w:val="22"/>
          <w:u w:val="single"/>
          <w:lang w:val="en-MY"/>
        </w:rPr>
      </w:pPr>
    </w:p>
    <w:p w14:paraId="305CA3D0" w14:textId="77777777" w:rsidR="00CB28CB" w:rsidRDefault="00CB28CB" w:rsidP="00CE6626">
      <w:pPr>
        <w:spacing w:before="0" w:line="240" w:lineRule="auto"/>
        <w:rPr>
          <w:b/>
          <w:bCs/>
          <w:color w:val="auto"/>
          <w:szCs w:val="22"/>
          <w:u w:val="single"/>
          <w:lang w:val="en-MY"/>
        </w:rPr>
      </w:pPr>
    </w:p>
    <w:p w14:paraId="5ED48677" w14:textId="17BC5D86" w:rsidR="00CE6626" w:rsidRPr="009D4627" w:rsidRDefault="00CE6626" w:rsidP="00CE6626">
      <w:pPr>
        <w:spacing w:before="0" w:line="240" w:lineRule="auto"/>
        <w:rPr>
          <w:color w:val="auto"/>
          <w:szCs w:val="22"/>
          <w:u w:val="single"/>
          <w:lang w:val="en-MY"/>
        </w:rPr>
      </w:pPr>
      <w:r w:rsidRPr="009D4627">
        <w:rPr>
          <w:b/>
          <w:bCs/>
          <w:color w:val="auto"/>
          <w:szCs w:val="22"/>
          <w:u w:val="single"/>
          <w:lang w:val="en-MY"/>
        </w:rPr>
        <w:lastRenderedPageBreak/>
        <w:t xml:space="preserve">Clinical visit 5: </w:t>
      </w:r>
      <w:r w:rsidRPr="009D4627">
        <w:rPr>
          <w:color w:val="auto"/>
          <w:szCs w:val="22"/>
          <w:u w:val="single"/>
          <w:lang w:val="en-MY"/>
        </w:rPr>
        <w:t>6</w:t>
      </w:r>
      <w:r w:rsidRPr="009D4627">
        <w:rPr>
          <w:color w:val="auto"/>
          <w:szCs w:val="22"/>
          <w:u w:val="single"/>
          <w:vertAlign w:val="superscript"/>
          <w:lang w:val="en-MY"/>
        </w:rPr>
        <w:t>th</w:t>
      </w:r>
      <w:r w:rsidRPr="009D4627">
        <w:rPr>
          <w:color w:val="auto"/>
          <w:szCs w:val="22"/>
          <w:u w:val="single"/>
          <w:lang w:val="en-MY"/>
        </w:rPr>
        <w:t xml:space="preserve"> February 2019 (13 weeks from onset)</w:t>
      </w:r>
    </w:p>
    <w:p w14:paraId="1A375DE5" w14:textId="77777777" w:rsidR="00CE6626" w:rsidRPr="009D4627" w:rsidRDefault="00CE6626" w:rsidP="00CE6626">
      <w:pPr>
        <w:spacing w:before="0" w:line="240" w:lineRule="auto"/>
        <w:rPr>
          <w:bCs/>
          <w:color w:val="auto"/>
          <w:szCs w:val="22"/>
          <w:lang w:val="en-MY"/>
        </w:rPr>
      </w:pPr>
      <w:r w:rsidRPr="009D4627">
        <w:rPr>
          <w:bCs/>
          <w:color w:val="auto"/>
          <w:szCs w:val="22"/>
          <w:lang w:val="en-MY"/>
        </w:rPr>
        <w:t>Recovering R 3</w:t>
      </w:r>
      <w:r w:rsidRPr="009D4627">
        <w:rPr>
          <w:bCs/>
          <w:color w:val="auto"/>
          <w:szCs w:val="22"/>
          <w:vertAlign w:val="superscript"/>
          <w:lang w:val="en-MY"/>
        </w:rPr>
        <w:t>rd</w:t>
      </w:r>
      <w:r w:rsidRPr="009D4627">
        <w:rPr>
          <w:bCs/>
          <w:color w:val="auto"/>
          <w:szCs w:val="22"/>
          <w:lang w:val="en-MY"/>
        </w:rPr>
        <w:t xml:space="preserve"> nerve palsy – </w:t>
      </w:r>
      <w:proofErr w:type="spellStart"/>
      <w:r w:rsidRPr="009D4627">
        <w:rPr>
          <w:bCs/>
          <w:color w:val="auto"/>
          <w:szCs w:val="22"/>
          <w:lang w:val="en-MY"/>
        </w:rPr>
        <w:t>blenderm</w:t>
      </w:r>
      <w:proofErr w:type="spellEnd"/>
      <w:r w:rsidRPr="009D4627">
        <w:rPr>
          <w:bCs/>
          <w:color w:val="auto"/>
          <w:szCs w:val="22"/>
          <w:lang w:val="en-MY"/>
        </w:rPr>
        <w:t xml:space="preserve"> on R lens of bifocals.</w:t>
      </w:r>
    </w:p>
    <w:p w14:paraId="5919EBCA" w14:textId="77777777" w:rsidR="00CE6626" w:rsidRPr="009D4627" w:rsidRDefault="00CE6626" w:rsidP="00CE6626">
      <w:pPr>
        <w:spacing w:before="0" w:line="240" w:lineRule="auto"/>
        <w:rPr>
          <w:bCs/>
          <w:color w:val="auto"/>
          <w:szCs w:val="22"/>
          <w:lang w:val="en-MY"/>
        </w:rPr>
      </w:pPr>
      <w:r w:rsidRPr="009D4627">
        <w:rPr>
          <w:bCs/>
          <w:color w:val="auto"/>
          <w:szCs w:val="22"/>
          <w:lang w:val="en-MY"/>
        </w:rPr>
        <w:t xml:space="preserve">Residual diplopia with </w:t>
      </w:r>
      <w:proofErr w:type="spellStart"/>
      <w:r w:rsidRPr="009D4627">
        <w:rPr>
          <w:bCs/>
          <w:color w:val="auto"/>
          <w:szCs w:val="22"/>
          <w:lang w:val="en-MY"/>
        </w:rPr>
        <w:t>blenderm</w:t>
      </w:r>
      <w:proofErr w:type="spellEnd"/>
      <w:r w:rsidRPr="009D4627">
        <w:rPr>
          <w:bCs/>
          <w:color w:val="auto"/>
          <w:szCs w:val="22"/>
          <w:lang w:val="en-MY"/>
        </w:rPr>
        <w:t xml:space="preserve"> removed for testing.</w:t>
      </w:r>
    </w:p>
    <w:p w14:paraId="527776CE"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0.1</w:t>
      </w:r>
      <w:r w:rsidRPr="009D4627">
        <w:rPr>
          <w:bCs/>
          <w:szCs w:val="22"/>
          <w:lang w:val="en-MY"/>
        </w:rPr>
        <w:tab/>
      </w:r>
      <w:r w:rsidRPr="009D4627">
        <w:rPr>
          <w:bCs/>
          <w:szCs w:val="22"/>
          <w:lang w:val="en-MY"/>
        </w:rPr>
        <w:tab/>
        <w:t>LE 0.1      ETDRS (</w:t>
      </w:r>
      <w:proofErr w:type="spellStart"/>
      <w:r w:rsidRPr="009D4627">
        <w:rPr>
          <w:bCs/>
          <w:szCs w:val="22"/>
          <w:lang w:val="en-MY"/>
        </w:rPr>
        <w:t>logMAR</w:t>
      </w:r>
      <w:proofErr w:type="spellEnd"/>
      <w:r w:rsidRPr="009D4627">
        <w:rPr>
          <w:bCs/>
          <w:szCs w:val="22"/>
          <w:lang w:val="en-MY"/>
        </w:rPr>
        <w:t>)</w:t>
      </w:r>
    </w:p>
    <w:p w14:paraId="4C158F2F" w14:textId="73A9DE9C"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 xml:space="preserve">   </w:t>
      </w:r>
      <w:r w:rsidR="00E147BE">
        <w:rPr>
          <w:bCs/>
          <w:szCs w:val="22"/>
          <w:lang w:val="en-MY"/>
        </w:rPr>
        <w:tab/>
      </w:r>
      <w:r w:rsidRPr="009D4627">
        <w:rPr>
          <w:bCs/>
          <w:szCs w:val="22"/>
          <w:lang w:val="en-MY"/>
        </w:rPr>
        <w:t xml:space="preserve">   6/7.5</w:t>
      </w:r>
      <w:r w:rsidRPr="009D4627">
        <w:rPr>
          <w:bCs/>
          <w:szCs w:val="22"/>
          <w:lang w:val="en-MY"/>
        </w:rPr>
        <w:tab/>
        <w:t xml:space="preserve">    </w:t>
      </w:r>
      <w:r w:rsidR="00E147BE">
        <w:rPr>
          <w:bCs/>
          <w:szCs w:val="22"/>
          <w:lang w:val="en-MY"/>
        </w:rPr>
        <w:tab/>
      </w:r>
      <w:r w:rsidRPr="009D4627">
        <w:rPr>
          <w:bCs/>
          <w:szCs w:val="22"/>
          <w:lang w:val="en-MY"/>
        </w:rPr>
        <w:t>6/7.5   Snellen equivalent</w:t>
      </w:r>
    </w:p>
    <w:p w14:paraId="7222C973" w14:textId="77777777" w:rsidR="00CE6626" w:rsidRPr="009D4627" w:rsidRDefault="00CE6626" w:rsidP="00CE6626">
      <w:pPr>
        <w:spacing w:before="0" w:after="0" w:line="240" w:lineRule="auto"/>
        <w:rPr>
          <w:b/>
          <w:szCs w:val="22"/>
          <w:lang w:val="en-MY"/>
        </w:rPr>
      </w:pPr>
    </w:p>
    <w:p w14:paraId="3B9736A4" w14:textId="77777777" w:rsidR="00CE6626" w:rsidRPr="009D4627" w:rsidRDefault="00CE6626" w:rsidP="00CE6626">
      <w:pPr>
        <w:spacing w:before="0" w:after="0" w:line="240" w:lineRule="auto"/>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w:t>
      </w:r>
      <w:r w:rsidRPr="009D4627">
        <w:rPr>
          <w:bCs/>
          <w:szCs w:val="22"/>
          <w:lang w:val="en-MY"/>
        </w:rPr>
        <w:tab/>
        <w:t>1/3 m</w:t>
      </w:r>
      <w:r w:rsidRPr="009D4627">
        <w:rPr>
          <w:bCs/>
          <w:szCs w:val="22"/>
          <w:lang w:val="en-MY"/>
        </w:rPr>
        <w:tab/>
        <w:t>slight exophoria (X) with good recovery</w:t>
      </w:r>
    </w:p>
    <w:p w14:paraId="331800C7" w14:textId="77777777" w:rsidR="00CE6626" w:rsidRPr="009D4627" w:rsidRDefault="00CE6626" w:rsidP="00CE6626">
      <w:pPr>
        <w:spacing w:before="0" w:after="0" w:line="240" w:lineRule="auto"/>
        <w:rPr>
          <w:bCs/>
          <w:szCs w:val="22"/>
          <w:lang w:val="en-MY"/>
        </w:rPr>
      </w:pPr>
      <w:r w:rsidRPr="009D4627">
        <w:rPr>
          <w:bCs/>
          <w:szCs w:val="22"/>
          <w:lang w:val="en-MY"/>
        </w:rPr>
        <w:t xml:space="preserve">                                            </w:t>
      </w:r>
      <w:r w:rsidRPr="009D4627">
        <w:rPr>
          <w:bCs/>
          <w:szCs w:val="22"/>
          <w:lang w:val="en-MY"/>
        </w:rPr>
        <w:tab/>
        <w:t xml:space="preserve">6 m </w:t>
      </w:r>
      <w:r w:rsidRPr="009D4627">
        <w:rPr>
          <w:bCs/>
          <w:szCs w:val="22"/>
          <w:lang w:val="en-MY"/>
        </w:rPr>
        <w:tab/>
        <w:t>no deviation seen</w:t>
      </w:r>
    </w:p>
    <w:p w14:paraId="3AE2ABE8" w14:textId="77777777" w:rsidR="00CE6626" w:rsidRPr="009D4627" w:rsidRDefault="00CE6626" w:rsidP="00CE6626">
      <w:pPr>
        <w:spacing w:before="0" w:after="0" w:line="240" w:lineRule="auto"/>
        <w:rPr>
          <w:bCs/>
          <w:szCs w:val="22"/>
          <w:lang w:val="en-MY"/>
        </w:rPr>
      </w:pPr>
    </w:p>
    <w:p w14:paraId="24E9C66A" w14:textId="6F78B99A" w:rsidR="00CE6626" w:rsidRPr="009D4627" w:rsidRDefault="00A2792E" w:rsidP="00CE6626">
      <w:pPr>
        <w:spacing w:before="0" w:after="0" w:line="240" w:lineRule="auto"/>
        <w:rPr>
          <w:b/>
          <w:szCs w:val="22"/>
          <w:lang w:val="en-MY"/>
        </w:rPr>
      </w:pPr>
      <w:r w:rsidRPr="009D4627">
        <w:rPr>
          <w:noProof/>
        </w:rPr>
        <mc:AlternateContent>
          <mc:Choice Requires="wpg">
            <w:drawing>
              <wp:anchor distT="0" distB="0" distL="114300" distR="114300" simplePos="0" relativeHeight="251735040" behindDoc="0" locked="0" layoutInCell="1" allowOverlap="1" wp14:anchorId="65671909" wp14:editId="3F223584">
                <wp:simplePos x="0" y="0"/>
                <wp:positionH relativeFrom="column">
                  <wp:posOffset>1171575</wp:posOffset>
                </wp:positionH>
                <wp:positionV relativeFrom="paragraph">
                  <wp:posOffset>144780</wp:posOffset>
                </wp:positionV>
                <wp:extent cx="2769870" cy="1064895"/>
                <wp:effectExtent l="0" t="0" r="0" b="0"/>
                <wp:wrapNone/>
                <wp:docPr id="23607" name="Group 23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9870" cy="1064895"/>
                          <a:chOff x="0" y="381"/>
                          <a:chExt cx="27698" cy="10649"/>
                        </a:xfrm>
                      </wpg:grpSpPr>
                      <wps:wsp>
                        <wps:cNvPr id="23608" name="Rectangle 21872"/>
                        <wps:cNvSpPr>
                          <a:spLocks noChangeArrowheads="1"/>
                        </wps:cNvSpPr>
                        <wps:spPr bwMode="auto">
                          <a:xfrm>
                            <a:off x="10668" y="4286"/>
                            <a:ext cx="2998" cy="2287"/>
                          </a:xfrm>
                          <a:prstGeom prst="rect">
                            <a:avLst/>
                          </a:prstGeom>
                          <a:noFill/>
                          <a:ln>
                            <a:noFill/>
                          </a:ln>
                        </wps:spPr>
                        <wps:txbx>
                          <w:txbxContent>
                            <w:p w14:paraId="2B81D35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wps:txbx>
                        <wps:bodyPr rot="0" vert="horz" wrap="square" lIns="0" tIns="0" rIns="0" bIns="0" anchor="ctr" anchorCtr="0" upright="1">
                          <a:noAutofit/>
                        </wps:bodyPr>
                      </wps:wsp>
                      <wpg:grpSp>
                        <wpg:cNvPr id="23609" name="Group 21873"/>
                        <wpg:cNvGrpSpPr>
                          <a:grpSpLocks/>
                        </wpg:cNvGrpSpPr>
                        <wpg:grpSpPr bwMode="auto">
                          <a:xfrm>
                            <a:off x="0" y="381"/>
                            <a:ext cx="27698" cy="10649"/>
                            <a:chOff x="0" y="381"/>
                            <a:chExt cx="27698" cy="10649"/>
                          </a:xfrm>
                        </wpg:grpSpPr>
                        <wpg:grpSp>
                          <wpg:cNvPr id="23610" name="Group 21874"/>
                          <wpg:cNvGrpSpPr>
                            <a:grpSpLocks/>
                          </wpg:cNvGrpSpPr>
                          <wpg:grpSpPr bwMode="auto">
                            <a:xfrm>
                              <a:off x="0" y="381"/>
                              <a:ext cx="27698" cy="10649"/>
                              <a:chOff x="0" y="381"/>
                              <a:chExt cx="27698" cy="10649"/>
                            </a:xfrm>
                          </wpg:grpSpPr>
                          <wps:wsp>
                            <wps:cNvPr id="23611" name="Rectangle 21875"/>
                            <wps:cNvSpPr>
                              <a:spLocks noChangeArrowheads="1"/>
                            </wps:cNvSpPr>
                            <wps:spPr bwMode="auto">
                              <a:xfrm>
                                <a:off x="0" y="4667"/>
                                <a:ext cx="2997" cy="2286"/>
                              </a:xfrm>
                              <a:prstGeom prst="rect">
                                <a:avLst/>
                              </a:prstGeom>
                              <a:noFill/>
                              <a:ln>
                                <a:noFill/>
                              </a:ln>
                            </wps:spPr>
                            <wps:txbx>
                              <w:txbxContent>
                                <w:p w14:paraId="57949389"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- 1</w:t>
                                  </w:r>
                                </w:p>
                              </w:txbxContent>
                            </wps:txbx>
                            <wps:bodyPr rot="0" vert="horz" wrap="square" lIns="0" tIns="0" rIns="0" bIns="0" anchor="ctr" anchorCtr="0" upright="1">
                              <a:noAutofit/>
                            </wps:bodyPr>
                          </wps:wsp>
                          <wpg:grpSp>
                            <wpg:cNvPr id="23612" name="Group 21876"/>
                            <wpg:cNvGrpSpPr>
                              <a:grpSpLocks/>
                            </wpg:cNvGrpSpPr>
                            <wpg:grpSpPr bwMode="auto">
                              <a:xfrm>
                                <a:off x="1524" y="381"/>
                                <a:ext cx="26174" cy="10649"/>
                                <a:chOff x="0" y="381"/>
                                <a:chExt cx="26174" cy="10649"/>
                              </a:xfrm>
                            </wpg:grpSpPr>
                            <wps:wsp>
                              <wps:cNvPr id="23613" name="Rectangle 21877"/>
                              <wps:cNvSpPr>
                                <a:spLocks noChangeArrowheads="1"/>
                              </wps:cNvSpPr>
                              <wps:spPr bwMode="auto">
                                <a:xfrm>
                                  <a:off x="285" y="8000"/>
                                  <a:ext cx="2286" cy="1696"/>
                                </a:xfrm>
                                <a:prstGeom prst="rect">
                                  <a:avLst/>
                                </a:prstGeom>
                                <a:noFill/>
                                <a:ln>
                                  <a:noFill/>
                                </a:ln>
                              </wps:spPr>
                              <wps:txbx>
                                <w:txbxContent>
                                  <w:p w14:paraId="0D7F6756"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g:cNvPr id="23614" name="Group 21878"/>
                              <wpg:cNvGrpSpPr>
                                <a:grpSpLocks/>
                              </wpg:cNvGrpSpPr>
                              <wpg:grpSpPr bwMode="auto">
                                <a:xfrm>
                                  <a:off x="0" y="381"/>
                                  <a:ext cx="26174" cy="10649"/>
                                  <a:chOff x="0" y="381"/>
                                  <a:chExt cx="26174" cy="10649"/>
                                </a:xfrm>
                              </wpg:grpSpPr>
                              <wpg:grpSp>
                                <wpg:cNvPr id="23615" name="Group 21879"/>
                                <wpg:cNvGrpSpPr>
                                  <a:grpSpLocks/>
                                </wpg:cNvGrpSpPr>
                                <wpg:grpSpPr bwMode="auto">
                                  <a:xfrm>
                                    <a:off x="0" y="381"/>
                                    <a:ext cx="26174" cy="10649"/>
                                    <a:chOff x="-898" y="205"/>
                                    <a:chExt cx="27949" cy="11921"/>
                                  </a:xfrm>
                                </wpg:grpSpPr>
                                <wpg:grpSp>
                                  <wpg:cNvPr id="23616" name="Group 21880"/>
                                  <wpg:cNvGrpSpPr>
                                    <a:grpSpLocks/>
                                  </wpg:cNvGrpSpPr>
                                  <wpg:grpSpPr bwMode="auto">
                                    <a:xfrm>
                                      <a:off x="-898" y="632"/>
                                      <a:ext cx="10042" cy="10061"/>
                                      <a:chOff x="-898" y="919"/>
                                      <a:chExt cx="10042" cy="10081"/>
                                    </a:xfrm>
                                  </wpg:grpSpPr>
                                  <wps:wsp>
                                    <wps:cNvPr id="23617" name="Oval 21881"/>
                                    <wps:cNvSpPr>
                                      <a:spLocks noChangeArrowheads="1"/>
                                    </wps:cNvSpPr>
                                    <wps:spPr bwMode="auto">
                                      <a:xfrm>
                                        <a:off x="0" y="1857"/>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618" name="Rectangle 21882"/>
                                    <wps:cNvSpPr>
                                      <a:spLocks noChangeArrowheads="1"/>
                                    </wps:cNvSpPr>
                                    <wps:spPr bwMode="auto">
                                      <a:xfrm>
                                        <a:off x="-898" y="919"/>
                                        <a:ext cx="3237" cy="2564"/>
                                      </a:xfrm>
                                      <a:prstGeom prst="rect">
                                        <a:avLst/>
                                      </a:prstGeom>
                                      <a:noFill/>
                                      <a:ln>
                                        <a:noFill/>
                                      </a:ln>
                                    </wps:spPr>
                                    <wps:txbx>
                                      <w:txbxContent>
                                        <w:p w14:paraId="41EFF45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grpSp>
                                  <wpg:cNvPr id="23619" name="Group 21883"/>
                                  <wpg:cNvGrpSpPr>
                                    <a:grpSpLocks/>
                                  </wpg:cNvGrpSpPr>
                                  <wpg:grpSpPr bwMode="auto">
                                    <a:xfrm>
                                      <a:off x="17743" y="205"/>
                                      <a:ext cx="9308" cy="11921"/>
                                      <a:chOff x="-163" y="14"/>
                                      <a:chExt cx="9307" cy="11921"/>
                                    </a:xfrm>
                                  </wpg:grpSpPr>
                                  <wpg:grpSp>
                                    <wpg:cNvPr id="23620" name="Group 21884"/>
                                    <wpg:cNvGrpSpPr>
                                      <a:grpSpLocks/>
                                    </wpg:cNvGrpSpPr>
                                    <wpg:grpSpPr bwMode="auto">
                                      <a:xfrm>
                                        <a:off x="-163" y="14"/>
                                        <a:ext cx="9307" cy="10450"/>
                                        <a:chOff x="-163" y="157"/>
                                        <a:chExt cx="9307" cy="10462"/>
                                      </a:xfrm>
                                    </wpg:grpSpPr>
                                    <wps:wsp>
                                      <wps:cNvPr id="23621" name="Oval 21885"/>
                                      <wps:cNvSpPr>
                                        <a:spLocks noChangeArrowheads="1"/>
                                      </wps:cNvSpPr>
                                      <wps:spPr bwMode="auto">
                                        <a:xfrm>
                                          <a:off x="0" y="1476"/>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622" name="Rectangle 21886"/>
                                      <wps:cNvSpPr>
                                        <a:spLocks noChangeArrowheads="1"/>
                                      </wps:cNvSpPr>
                                      <wps:spPr bwMode="auto">
                                        <a:xfrm>
                                          <a:off x="-163" y="157"/>
                                          <a:ext cx="3369" cy="2220"/>
                                        </a:xfrm>
                                        <a:prstGeom prst="rect">
                                          <a:avLst/>
                                        </a:prstGeom>
                                        <a:noFill/>
                                        <a:ln>
                                          <a:noFill/>
                                        </a:ln>
                                      </wps:spPr>
                                      <wps:txbx>
                                        <w:txbxContent>
                                          <w:p w14:paraId="2CF0F8E1"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s:wsp>
                                    <wps:cNvPr id="23623" name="Rectangle 21887"/>
                                    <wps:cNvSpPr>
                                      <a:spLocks noChangeArrowheads="1"/>
                                    </wps:cNvSpPr>
                                    <wps:spPr bwMode="auto">
                                      <a:xfrm>
                                        <a:off x="256" y="9720"/>
                                        <a:ext cx="1667" cy="2216"/>
                                      </a:xfrm>
                                      <a:prstGeom prst="rect">
                                        <a:avLst/>
                                      </a:prstGeom>
                                      <a:noFill/>
                                      <a:ln>
                                        <a:noFill/>
                                      </a:ln>
                                    </wps:spPr>
                                    <wps:txbx>
                                      <w:txbxContent>
                                        <w:p w14:paraId="18AB54CF" w14:textId="77777777" w:rsidR="00CE6626" w:rsidRPr="001B6DF7" w:rsidRDefault="00CE6626" w:rsidP="00CE6626">
                                          <w:pPr>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g:grpSp>
                              <wpg:grpSp>
                                <wpg:cNvPr id="23624" name="Group 21888"/>
                                <wpg:cNvGrpSpPr>
                                  <a:grpSpLocks/>
                                </wpg:cNvGrpSpPr>
                                <wpg:grpSpPr bwMode="auto">
                                  <a:xfrm>
                                    <a:off x="8667" y="3333"/>
                                    <a:ext cx="953" cy="4407"/>
                                    <a:chOff x="0" y="0"/>
                                    <a:chExt cx="95250" cy="440944"/>
                                  </a:xfrm>
                                </wpg:grpSpPr>
                                <wps:wsp>
                                  <wps:cNvPr id="23625" name="Straight Connector 21889"/>
                                  <wps:cNvCnPr>
                                    <a:cxnSpLocks noChangeShapeType="1"/>
                                  </wps:cNvCnPr>
                                  <wps:spPr bwMode="auto">
                                    <a:xfrm rot="16200000" flipV="1">
                                      <a:off x="-211773" y="214599"/>
                                      <a:ext cx="440944" cy="11745"/>
                                    </a:xfrm>
                                    <a:prstGeom prst="line">
                                      <a:avLst/>
                                    </a:prstGeom>
                                    <a:noFill/>
                                    <a:ln w="6350">
                                      <a:solidFill>
                                        <a:srgbClr val="000000"/>
                                      </a:solidFill>
                                      <a:miter lim="800000"/>
                                      <a:headEnd/>
                                      <a:tailEnd/>
                                    </a:ln>
                                  </wps:spPr>
                                  <wps:bodyPr/>
                                </wps:wsp>
                                <wps:wsp>
                                  <wps:cNvPr id="23626" name="Straight Connector 21890"/>
                                  <wps:cNvCnPr>
                                    <a:cxnSpLocks noChangeShapeType="1"/>
                                  </wps:cNvCnPr>
                                  <wps:spPr bwMode="auto">
                                    <a:xfrm flipH="1">
                                      <a:off x="28575" y="254866"/>
                                      <a:ext cx="66675" cy="78105"/>
                                    </a:xfrm>
                                    <a:prstGeom prst="line">
                                      <a:avLst/>
                                    </a:prstGeom>
                                    <a:noFill/>
                                    <a:ln w="19050">
                                      <a:solidFill>
                                        <a:srgbClr val="000000"/>
                                      </a:solidFill>
                                      <a:miter lim="800000"/>
                                      <a:headEnd/>
                                      <a:tailEnd/>
                                    </a:ln>
                                  </wps:spPr>
                                  <wps:bodyPr/>
                                </wps:wsp>
                                <wps:wsp>
                                  <wps:cNvPr id="23627" name="Straight Connector 21891"/>
                                  <wps:cNvCnPr>
                                    <a:cxnSpLocks noChangeShapeType="1"/>
                                  </wps:cNvCnPr>
                                  <wps:spPr bwMode="auto">
                                    <a:xfrm flipH="1">
                                      <a:off x="9525" y="188246"/>
                                      <a:ext cx="66675" cy="78105"/>
                                    </a:xfrm>
                                    <a:prstGeom prst="line">
                                      <a:avLst/>
                                    </a:prstGeom>
                                    <a:noFill/>
                                    <a:ln w="19050">
                                      <a:solidFill>
                                        <a:srgbClr val="000000"/>
                                      </a:solidFill>
                                      <a:miter lim="800000"/>
                                      <a:headEnd/>
                                      <a:tailEnd/>
                                    </a:ln>
                                  </wps:spPr>
                                  <wps:bodyPr/>
                                </wps:wsp>
                                <wps:wsp>
                                  <wps:cNvPr id="23628" name="Straight Connector 21892"/>
                                  <wps:cNvCnPr>
                                    <a:cxnSpLocks noChangeShapeType="1"/>
                                  </wps:cNvCnPr>
                                  <wps:spPr bwMode="auto">
                                    <a:xfrm flipH="1">
                                      <a:off x="0" y="102521"/>
                                      <a:ext cx="66675" cy="78105"/>
                                    </a:xfrm>
                                    <a:prstGeom prst="line">
                                      <a:avLst/>
                                    </a:prstGeom>
                                    <a:noFill/>
                                    <a:ln w="19050">
                                      <a:solidFill>
                                        <a:srgbClr val="000000"/>
                                      </a:solidFill>
                                      <a:miter lim="800000"/>
                                      <a:headEnd/>
                                      <a:tailEnd/>
                                    </a:ln>
                                  </wps:spPr>
                                  <wps:bodyPr/>
                                </wps:wsp>
                              </wpg:grpSp>
                            </wpg:grpSp>
                          </wpg:grpSp>
                        </wpg:grpSp>
                        <wps:wsp>
                          <wps:cNvPr id="23629" name="Rectangle 21893"/>
                          <wps:cNvSpPr>
                            <a:spLocks noChangeArrowheads="1"/>
                          </wps:cNvSpPr>
                          <wps:spPr bwMode="auto">
                            <a:xfrm>
                              <a:off x="9144" y="857"/>
                              <a:ext cx="3028" cy="1879"/>
                            </a:xfrm>
                            <a:prstGeom prst="rect">
                              <a:avLst/>
                            </a:prstGeom>
                            <a:noFill/>
                            <a:ln>
                              <a:noFill/>
                            </a:ln>
                          </wps:spPr>
                          <wps:txbx>
                            <w:txbxContent>
                              <w:p w14:paraId="7FD2FFA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5671909" id="Group 23607" o:spid="_x0000_s1790" style="position:absolute;left:0;text-align:left;margin-left:92.25pt;margin-top:11.4pt;width:218.1pt;height:83.85pt;z-index:251735040;mso-position-horizontal-relative:text;mso-position-vertical-relative:text;mso-width-relative:margin;mso-height-relative:margin" coordorigin=",381" coordsize="27698,10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">
                <v:rect id="Rectangle 21872" o:spid="_x0000_s1791" style="position:absolute;left:10668;top:4286;width:2998;height: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" filled="f" stroked="f">
                  <v:textbox inset="0,0,0,0">
                    <w:txbxContent>
                      <w:p w14:paraId="2B81D35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v:textbox>
                </v:rect>
                <v:group id="Group 21873" o:spid="_x0000_s1792" style="position:absolute;top:381;width:27698;height:10649" coordorigin=",381" coordsize="27698,1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">
                  <v:group id="Group 21874" o:spid="_x0000_s1793" style="position:absolute;top:381;width:27698;height:10649" coordorigin=",381" coordsize="27698,1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">
                    <v:rect id="Rectangle 21875" o:spid="_x0000_s1794" style="position:absolute;top:4667;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" filled="f" stroked="f">
                      <v:textbox inset="0,0,0,0">
                        <w:txbxContent>
                          <w:p w14:paraId="57949389"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- 1</w:t>
                            </w:r>
                          </w:p>
                        </w:txbxContent>
                      </v:textbox>
                    </v:rect>
                    <v:group id="Group 21876" o:spid="_x0000_s1795" style="position:absolute;left:1524;top:381;width:26174;height:10649" coordorigin=",381" coordsize="26174,1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">
                      <v:rect id="Rectangle 21877" o:spid="_x0000_s1796" style="position:absolute;left:285;top:8000;width:2286;height:1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" filled="f" stroked="f">
                        <v:textbox inset="0,0,0,0">
                          <w:txbxContent>
                            <w:p w14:paraId="0D7F6756"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id="Group 21878" o:spid="_x0000_s1797" style="position:absolute;top:381;width:26174;height:10649" coordorigin=",381" coordsize="26174,10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">
                        <v:group id="Group 21879" o:spid="_x0000_s1798" style="position:absolute;top:381;width:26174;height:10649" coordorigin="-898,205" coordsize="27949,1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">
                          <v:group id="Group 21880" o:spid="_x0000_s1799" style="position:absolute;left:-898;top:632;width:10042;height:10061" coordorigin="-898,919" coordsize="10042,10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">
                            <v:oval id="Oval 21881" o:spid="_x0000_s1800" style="position:absolute;top:1857;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" filled="f" strokeweight="1pt">
                              <v:stroke joinstyle="miter"/>
                            </v:oval>
                            <v:rect id="Rectangle 21882" o:spid="_x0000_s1801" style="position:absolute;left:-898;top:919;width:3237;height:2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" filled="f" stroked="f">
                              <v:textbox inset="0,0,0,0">
                                <w:txbxContent>
                                  <w:p w14:paraId="41EFF45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v:group id="Group 21883" o:spid="_x0000_s1802" style="position:absolute;left:17743;top:205;width:9308;height:11921" coordorigin="-163,14" coordsize="9307,1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">
                            <v:group id="Group 21884" o:spid="_x0000_s1803" style="position:absolute;left:-163;top:14;width:9307;height:10450" coordorigin="-163,157" coordsize="9307,1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">
                              <v:oval id="Oval 21885" o:spid="_x0000_s1804" style="position:absolute;top:1476;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" filled="f" strokeweight="1pt">
                                <v:stroke joinstyle="miter"/>
                              </v:oval>
                              <v:rect id="Rectangle 21886" o:spid="_x0000_s1805" style="position:absolute;left:-163;top:157;width:3369;height:2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" filled="f" stroked="f">
                                <v:textbox inset="0,0,0,0">
                                  <w:txbxContent>
                                    <w:p w14:paraId="2CF0F8E1"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rect id="Rectangle 21887" o:spid="_x0000_s1806" style="position:absolute;left:256;top:9720;width:1667;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" filled="f" stroked="f">
                              <v:textbox inset="0,0,0,0">
                                <w:txbxContent>
                                  <w:p w14:paraId="18AB54CF" w14:textId="77777777" w:rsidR="00CE6626" w:rsidRPr="001B6DF7" w:rsidRDefault="00CE6626" w:rsidP="00CE6626">
                                    <w:pPr>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v:group>
                        <v:group id="Group 21888" o:spid="_x0000_s1807" style="position:absolute;left:8667;top:3333;width:953;height:4407" coordsize="95250,440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">
                          <v:line id="Straight Connector 21889" o:spid="_x0000_s1808" style="position:absolute;rotation:90;flip:y;visibility:visible;mso-wrap-style:square" from="-211773,214599" to="229171,226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" strokeweight=".5pt">
                            <v:stroke joinstyle="miter"/>
                          </v:line>
                          <v:line id="Straight Connector 21890" o:spid="_x0000_s1809" style="position:absolute;flip:x;visibility:visible;mso-wrap-style:square" from="28575,254866" to="95250,332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" strokeweight="1.5pt">
                            <v:stroke joinstyle="miter"/>
                          </v:line>
                          <v:line id="Straight Connector 21891" o:spid="_x0000_s1810" style="position:absolute;flip:x;visibility:visible;mso-wrap-style:square" from="9525,188246" to="76200,266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" strokeweight="1.5pt">
                            <v:stroke joinstyle="miter"/>
                          </v:line>
                          <v:line id="Straight Connector 21892" o:spid="_x0000_s1811" style="position:absolute;flip:x;visibility:visible;mso-wrap-style:square" from="0,102521" to="66675,180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" strokeweight="1.5pt">
                            <v:stroke joinstyle="miter"/>
                          </v:line>
                        </v:group>
                      </v:group>
                    </v:group>
                  </v:group>
                  <v:rect id="Rectangle 21893" o:spid="_x0000_s1812" style="position:absolute;left:9144;top:857;width:3028;height:1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" filled="f" stroked="f">
                    <v:textbox inset="0,0,0,0">
                      <w:txbxContent>
                        <w:p w14:paraId="7FD2FFA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v:group>
            </w:pict>
          </mc:Fallback>
        </mc:AlternateContent>
      </w:r>
      <w:r w:rsidR="00CE6626" w:rsidRPr="009D4627">
        <w:rPr>
          <w:b/>
          <w:szCs w:val="22"/>
          <w:lang w:val="en-MY"/>
        </w:rPr>
        <w:t>OMT:</w:t>
      </w:r>
    </w:p>
    <w:p w14:paraId="376D8FE6" w14:textId="77777777" w:rsidR="00CE6626" w:rsidRPr="009D4627" w:rsidRDefault="00CE6626" w:rsidP="00CE6626">
      <w:pPr>
        <w:spacing w:before="0" w:line="240" w:lineRule="auto"/>
        <w:rPr>
          <w:bCs/>
          <w:szCs w:val="22"/>
          <w:lang w:val="en-MY"/>
        </w:rPr>
      </w:pPr>
    </w:p>
    <w:p w14:paraId="013637A9" w14:textId="77777777" w:rsidR="00CE6626" w:rsidRPr="009D4627" w:rsidRDefault="00CE6626" w:rsidP="00CE6626">
      <w:pPr>
        <w:spacing w:before="0" w:line="240" w:lineRule="auto"/>
        <w:rPr>
          <w:b/>
          <w:bCs/>
          <w:szCs w:val="22"/>
          <w:lang w:val="en-MY"/>
        </w:rPr>
      </w:pPr>
    </w:p>
    <w:p w14:paraId="1801FE5A" w14:textId="77777777" w:rsidR="00CE6626" w:rsidRPr="009D4627" w:rsidRDefault="00CE6626" w:rsidP="00CE6626">
      <w:pPr>
        <w:spacing w:before="0" w:line="240" w:lineRule="auto"/>
        <w:rPr>
          <w:b/>
          <w:bCs/>
          <w:szCs w:val="22"/>
          <w:lang w:val="en-MY"/>
        </w:rPr>
      </w:pPr>
    </w:p>
    <w:p w14:paraId="1F877FC4"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1/3 m 10</w:t>
      </w:r>
      <w:r w:rsidRPr="009D4627">
        <w:rPr>
          <w:bCs/>
          <w:szCs w:val="22"/>
          <w:vertAlign w:val="superscript"/>
          <w:lang w:val="en-MY"/>
        </w:rPr>
        <w:t>Δ</w:t>
      </w:r>
      <w:r w:rsidRPr="009D4627">
        <w:rPr>
          <w:bCs/>
          <w:szCs w:val="22"/>
          <w:lang w:val="en-MY"/>
        </w:rPr>
        <w:t xml:space="preserve"> X </w:t>
      </w:r>
    </w:p>
    <w:p w14:paraId="2C3D429B" w14:textId="74D13834" w:rsidR="00CE6626" w:rsidRPr="009D4627" w:rsidRDefault="0084660B" w:rsidP="00CE6626">
      <w:pPr>
        <w:spacing w:before="0" w:line="240" w:lineRule="auto"/>
        <w:rPr>
          <w:bCs/>
          <w:szCs w:val="22"/>
          <w:lang w:val="en-MY"/>
        </w:rPr>
      </w:pPr>
      <w:r>
        <w:rPr>
          <w:bCs/>
          <w:noProof/>
          <w:szCs w:val="22"/>
          <w:lang w:val="en-MY"/>
        </w:rPr>
        <mc:AlternateContent>
          <mc:Choice Requires="wpg">
            <w:drawing>
              <wp:anchor distT="0" distB="0" distL="114300" distR="114300" simplePos="0" relativeHeight="251742208" behindDoc="0" locked="0" layoutInCell="1" allowOverlap="1" wp14:anchorId="19660892" wp14:editId="1E6BE604">
                <wp:simplePos x="0" y="0"/>
                <wp:positionH relativeFrom="column">
                  <wp:posOffset>837565</wp:posOffset>
                </wp:positionH>
                <wp:positionV relativeFrom="paragraph">
                  <wp:posOffset>251460</wp:posOffset>
                </wp:positionV>
                <wp:extent cx="3420001" cy="1095375"/>
                <wp:effectExtent l="0" t="0" r="9525" b="28575"/>
                <wp:wrapNone/>
                <wp:docPr id="12" name="Group 12"/>
                <wp:cNvGraphicFramePr/>
                <a:graphic xmlns:a="http://schemas.openxmlformats.org/drawingml/2006/main">
                  <a:graphicData uri="http://schemas.microsoft.com/office/word/2010/wordprocessingGroup">
                    <wpg:wgp>
                      <wpg:cNvGrpSpPr/>
                      <wpg:grpSpPr>
                        <a:xfrm>
                          <a:off x="0" y="0"/>
                          <a:ext cx="3420001" cy="1095375"/>
                          <a:chOff x="9524" y="0"/>
                          <a:chExt cx="3420001" cy="1095375"/>
                        </a:xfrm>
                      </wpg:grpSpPr>
                      <wpg:grpSp>
                        <wpg:cNvPr id="3" name="Group 3"/>
                        <wpg:cNvGrpSpPr/>
                        <wpg:grpSpPr>
                          <a:xfrm>
                            <a:off x="1104900" y="0"/>
                            <a:ext cx="981075" cy="1095375"/>
                            <a:chOff x="266700" y="0"/>
                            <a:chExt cx="981075" cy="1095375"/>
                          </a:xfrm>
                        </wpg:grpSpPr>
                        <wps:wsp>
                          <wps:cNvPr id="23605" name="Straight Connector 23605"/>
                          <wps:cNvCnPr>
                            <a:cxnSpLocks/>
                          </wps:cNvCnPr>
                          <wps:spPr>
                            <a:xfrm>
                              <a:off x="266700" y="0"/>
                              <a:ext cx="0" cy="1085850"/>
                            </a:xfrm>
                            <a:prstGeom prst="line">
                              <a:avLst/>
                            </a:prstGeom>
                            <a:noFill/>
                            <a:ln w="6350" cap="flat" cmpd="sng" algn="ctr">
                              <a:solidFill>
                                <a:srgbClr val="4472C4"/>
                              </a:solidFill>
                              <a:prstDash val="solid"/>
                              <a:miter lim="800000"/>
                            </a:ln>
                            <a:effectLst/>
                          </wps:spPr>
                          <wps:bodyPr/>
                        </wps:wsp>
                        <wps:wsp>
                          <wps:cNvPr id="23606" name="Straight Connector 23606"/>
                          <wps:cNvCnPr>
                            <a:cxnSpLocks/>
                          </wps:cNvCnPr>
                          <wps:spPr>
                            <a:xfrm>
                              <a:off x="1247775" y="9525"/>
                              <a:ext cx="0" cy="1085850"/>
                            </a:xfrm>
                            <a:prstGeom prst="line">
                              <a:avLst/>
                            </a:prstGeom>
                            <a:noFill/>
                            <a:ln w="6350" cap="flat" cmpd="sng" algn="ctr">
                              <a:solidFill>
                                <a:srgbClr val="4472C4"/>
                              </a:solidFill>
                              <a:prstDash val="solid"/>
                              <a:miter lim="800000"/>
                            </a:ln>
                            <a:effectLst/>
                          </wps:spPr>
                          <wps:bodyPr/>
                        </wps:wsp>
                      </wpg:grpSp>
                      <wpg:grpSp>
                        <wpg:cNvPr id="2" name="Group 2"/>
                        <wpg:cNvGrpSpPr/>
                        <wpg:grpSpPr>
                          <a:xfrm>
                            <a:off x="9524" y="314325"/>
                            <a:ext cx="3420001" cy="352425"/>
                            <a:chOff x="9524" y="28575"/>
                            <a:chExt cx="3420001" cy="352425"/>
                          </a:xfrm>
                        </wpg:grpSpPr>
                        <wps:wsp>
                          <wps:cNvPr id="23604" name="Straight Connector 23604"/>
                          <wps:cNvCnPr>
                            <a:cxnSpLocks/>
                          </wps:cNvCnPr>
                          <wps:spPr>
                            <a:xfrm flipH="1">
                              <a:off x="9524" y="28575"/>
                              <a:ext cx="3420000" cy="0"/>
                            </a:xfrm>
                            <a:prstGeom prst="line">
                              <a:avLst/>
                            </a:prstGeom>
                            <a:noFill/>
                            <a:ln w="6350" cap="flat" cmpd="sng" algn="ctr">
                              <a:solidFill>
                                <a:srgbClr val="4472C4"/>
                              </a:solidFill>
                              <a:prstDash val="solid"/>
                              <a:miter lim="800000"/>
                            </a:ln>
                            <a:effectLst/>
                          </wps:spPr>
                          <wps:bodyPr/>
                        </wps:wsp>
                        <wps:wsp>
                          <wps:cNvPr id="23603" name="Straight Connector 23603"/>
                          <wps:cNvCnPr>
                            <a:cxnSpLocks/>
                          </wps:cNvCnPr>
                          <wps:spPr>
                            <a:xfrm flipH="1">
                              <a:off x="9525" y="381000"/>
                              <a:ext cx="3420000" cy="0"/>
                            </a:xfrm>
                            <a:prstGeom prst="line">
                              <a:avLst/>
                            </a:prstGeom>
                            <a:noFill/>
                            <a:ln w="6350" cap="flat" cmpd="sng" algn="ctr">
                              <a:solidFill>
                                <a:srgbClr val="4472C4"/>
                              </a:solidFill>
                              <a:prstDash val="solid"/>
                              <a:miter lim="800000"/>
                            </a:ln>
                            <a:effectLst/>
                          </wps:spPr>
                          <wps:bodyPr/>
                        </wps:wsp>
                      </wpg:grpSp>
                    </wpg:wgp>
                  </a:graphicData>
                </a:graphic>
                <wp14:sizeRelH relativeFrom="margin">
                  <wp14:pctWidth>0</wp14:pctWidth>
                </wp14:sizeRelH>
              </wp:anchor>
            </w:drawing>
          </mc:Choice>
          <mc:Fallback>
            <w:pict>
              <v:group w14:anchorId="19ED8EE4" id="Group 12" o:spid="_x0000_s1026" style="position:absolute;margin-left:65.95pt;margin-top:19.8pt;width:269.3pt;height:86.25pt;z-index:251742208;mso-width-relative:margin" coordorigin="95" coordsize="34200,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">
                <v:group id="Group 3" o:spid="_x0000_s1027" style="position:absolute;left:11049;width:9810;height:10953" coordorigin="2667" coordsize="9810,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line id="Straight Connector 23605" o:spid="_x0000_s1028" style="position:absolute;visibility:visible;mso-wrap-style:square" from="2667,0" to="2667,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" strokecolor="#4472c4" strokeweight=".5pt">
                    <v:stroke joinstyle="miter"/>
                    <o:lock v:ext="edit" shapetype="f"/>
                  </v:line>
                  <v:line id="Straight Connector 23606" o:spid="_x0000_s1029" style="position:absolute;visibility:visible;mso-wrap-style:square" from="12477,95" to="12477,10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" strokecolor="#4472c4" strokeweight=".5pt">
                    <v:stroke joinstyle="miter"/>
                    <o:lock v:ext="edit" shapetype="f"/>
                  </v:line>
                </v:group>
                <v:group id="Group 2" o:spid="_x0000_s1030" style="position:absolute;left:95;top:3143;width:34200;height:3524" coordorigin="95,285" coordsize="34200,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line id="Straight Connector 23604" o:spid="_x0000_s1031" style="position:absolute;flip:x;visibility:visible;mso-wrap-style:square" from="95,285" to="3429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" strokecolor="#4472c4" strokeweight=".5pt">
                    <v:stroke joinstyle="miter"/>
                    <o:lock v:ext="edit" shapetype="f"/>
                  </v:line>
                  <v:line id="Straight Connector 23603" o:spid="_x0000_s1032" style="position:absolute;flip:x;visibility:visible;mso-wrap-style:square" from="95,3810" to="34295,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" strokecolor="#4472c4" strokeweight=".5pt">
                    <v:stroke joinstyle="miter"/>
                    <o:lock v:ext="edit" shapetype="f"/>
                  </v:line>
                </v:group>
              </v:group>
            </w:pict>
          </mc:Fallback>
        </mc:AlternateContent>
      </w:r>
      <w:r w:rsidR="00CE6626" w:rsidRPr="009D4627">
        <w:rPr>
          <w:bCs/>
          <w:szCs w:val="22"/>
          <w:lang w:val="en-MY"/>
        </w:rPr>
        <w:tab/>
        <w:t xml:space="preserve">with glasses </w:t>
      </w:r>
      <w:r w:rsidR="00CE6626" w:rsidRPr="009D4627">
        <w:rPr>
          <w:bCs/>
          <w:szCs w:val="22"/>
          <w:lang w:val="en-MY"/>
        </w:rPr>
        <w:tab/>
        <w:t xml:space="preserve">6 m          </w:t>
      </w:r>
    </w:p>
    <w:p w14:paraId="4530FF93" w14:textId="15B03250" w:rsidR="00CE6626" w:rsidRPr="009D4627" w:rsidRDefault="00CE6626" w:rsidP="0084660B">
      <w:pPr>
        <w:spacing w:before="0" w:after="0" w:line="240" w:lineRule="auto"/>
        <w:rPr>
          <w:bCs/>
          <w:szCs w:val="22"/>
          <w:lang w:val="en-MY"/>
        </w:rPr>
      </w:pPr>
      <w:r w:rsidRPr="009D4627">
        <w:rPr>
          <w:bCs/>
          <w:szCs w:val="22"/>
          <w:lang w:val="en-MY"/>
        </w:rPr>
        <w:t xml:space="preserve">                                                  </w:t>
      </w:r>
      <w:r w:rsidR="001941C9">
        <w:rPr>
          <w:bCs/>
          <w:szCs w:val="22"/>
          <w:lang w:val="en-MY"/>
        </w:rPr>
        <w:tab/>
        <w:t>0</w:t>
      </w:r>
      <w:r w:rsidRPr="009D4627">
        <w:rPr>
          <w:bCs/>
          <w:szCs w:val="22"/>
          <w:lang w:val="en-MY"/>
        </w:rPr>
        <w:t xml:space="preserve">   </w:t>
      </w:r>
    </w:p>
    <w:p w14:paraId="6832C237" w14:textId="2DD0CD74" w:rsidR="0084660B" w:rsidRDefault="00CE6626" w:rsidP="0084660B">
      <w:pPr>
        <w:spacing w:before="0" w:after="0" w:line="240" w:lineRule="auto"/>
        <w:rPr>
          <w:bCs/>
          <w:szCs w:val="22"/>
          <w:lang w:val="en-MY"/>
        </w:rPr>
      </w:pPr>
      <w:r w:rsidRPr="009D4627">
        <w:rPr>
          <w:bCs/>
          <w:szCs w:val="22"/>
          <w:lang w:val="en-MY"/>
        </w:rPr>
        <w:t xml:space="preserve">           </w:t>
      </w:r>
      <w:r w:rsidR="001941C9">
        <w:rPr>
          <w:bCs/>
          <w:szCs w:val="22"/>
          <w:lang w:val="en-MY"/>
        </w:rPr>
        <w:tab/>
      </w:r>
      <w:r w:rsidR="001941C9">
        <w:rPr>
          <w:bCs/>
          <w:szCs w:val="22"/>
          <w:lang w:val="en-MY"/>
        </w:rPr>
        <w:tab/>
        <w:t>R</w:t>
      </w:r>
      <w:r w:rsidRPr="0084660B">
        <w:rPr>
          <w:bCs/>
          <w:i/>
          <w:iCs/>
          <w:szCs w:val="22"/>
          <w:lang w:val="en-MY"/>
        </w:rPr>
        <w:t>ight gaz</w:t>
      </w:r>
      <w:r w:rsidR="0084660B">
        <w:rPr>
          <w:bCs/>
          <w:i/>
          <w:iCs/>
          <w:szCs w:val="22"/>
          <w:lang w:val="en-MY"/>
        </w:rPr>
        <w:t>e</w:t>
      </w:r>
      <w:r w:rsidR="0084660B">
        <w:rPr>
          <w:bCs/>
          <w:szCs w:val="22"/>
          <w:lang w:val="en-MY"/>
        </w:rPr>
        <w:t>:</w:t>
      </w:r>
      <w:r w:rsidR="001941C9">
        <w:rPr>
          <w:bCs/>
          <w:szCs w:val="22"/>
          <w:lang w:val="en-MY"/>
        </w:rPr>
        <w:t xml:space="preserve"> </w:t>
      </w:r>
      <w:r w:rsidR="001941C9">
        <w:rPr>
          <w:bCs/>
          <w:i/>
          <w:iCs/>
          <w:szCs w:val="22"/>
          <w:lang w:val="en-MY"/>
        </w:rPr>
        <w:tab/>
      </w:r>
      <w:r w:rsidR="001941C9">
        <w:rPr>
          <w:bCs/>
          <w:i/>
          <w:iCs/>
          <w:szCs w:val="22"/>
          <w:lang w:val="en-MY"/>
        </w:rPr>
        <w:tab/>
      </w:r>
      <w:r w:rsidR="001941C9">
        <w:rPr>
          <w:bCs/>
          <w:i/>
          <w:iCs/>
          <w:szCs w:val="22"/>
          <w:lang w:val="en-MY"/>
        </w:rPr>
        <w:tab/>
      </w:r>
      <w:r w:rsidR="001941C9">
        <w:rPr>
          <w:bCs/>
          <w:i/>
          <w:iCs/>
          <w:szCs w:val="22"/>
          <w:lang w:val="en-MY"/>
        </w:rPr>
        <w:tab/>
        <w:t>Left gaze:</w:t>
      </w:r>
      <w:r w:rsidRPr="009D4627">
        <w:rPr>
          <w:bCs/>
          <w:szCs w:val="22"/>
          <w:lang w:val="en-MY"/>
        </w:rPr>
        <w:t xml:space="preserve">  </w:t>
      </w:r>
    </w:p>
    <w:p w14:paraId="03C982A2" w14:textId="61AFDFE9" w:rsidR="00CE6626" w:rsidRPr="009D4627" w:rsidRDefault="00CE6626" w:rsidP="001941C9">
      <w:pPr>
        <w:spacing w:before="0" w:after="0" w:line="240" w:lineRule="auto"/>
        <w:ind w:left="1440" w:firstLine="720"/>
        <w:rPr>
          <w:bCs/>
          <w:szCs w:val="22"/>
          <w:lang w:val="en-MY"/>
        </w:rPr>
      </w:pPr>
      <w:r w:rsidRPr="009D4627">
        <w:rPr>
          <w:bCs/>
          <w:szCs w:val="22"/>
          <w:lang w:val="en-MY"/>
        </w:rPr>
        <w:t>1</w:t>
      </w:r>
      <w:r w:rsidRPr="009D4627">
        <w:rPr>
          <w:bCs/>
          <w:szCs w:val="22"/>
          <w:vertAlign w:val="superscript"/>
          <w:lang w:val="en-MY"/>
        </w:rPr>
        <w:t>Δ</w:t>
      </w:r>
      <w:r w:rsidRPr="009D4627">
        <w:rPr>
          <w:bCs/>
          <w:szCs w:val="22"/>
          <w:lang w:val="en-MY"/>
        </w:rPr>
        <w:t xml:space="preserve"> E           </w:t>
      </w:r>
      <w:r w:rsidR="0084660B">
        <w:rPr>
          <w:bCs/>
          <w:szCs w:val="22"/>
          <w:lang w:val="en-MY"/>
        </w:rPr>
        <w:tab/>
      </w:r>
      <w:r w:rsidRPr="009D4627">
        <w:rPr>
          <w:bCs/>
          <w:szCs w:val="22"/>
          <w:lang w:val="en-MY"/>
        </w:rPr>
        <w:t>2</w:t>
      </w:r>
      <w:r w:rsidRPr="009D4627">
        <w:rPr>
          <w:bCs/>
          <w:szCs w:val="22"/>
          <w:vertAlign w:val="superscript"/>
          <w:lang w:val="en-MY"/>
        </w:rPr>
        <w:t>Δ</w:t>
      </w:r>
      <w:r w:rsidRPr="009D4627">
        <w:rPr>
          <w:bCs/>
          <w:szCs w:val="22"/>
          <w:lang w:val="en-MY"/>
        </w:rPr>
        <w:t xml:space="preserve"> X          3</w:t>
      </w:r>
      <w:r w:rsidRPr="009D4627">
        <w:rPr>
          <w:bCs/>
          <w:szCs w:val="22"/>
          <w:vertAlign w:val="superscript"/>
          <w:lang w:val="en-MY"/>
        </w:rPr>
        <w:t>Δ</w:t>
      </w:r>
      <w:r w:rsidRPr="009D4627">
        <w:rPr>
          <w:bCs/>
          <w:szCs w:val="22"/>
          <w:lang w:val="en-MY"/>
        </w:rPr>
        <w:t xml:space="preserve"> X(T) 1</w:t>
      </w:r>
      <w:r w:rsidRPr="009D4627">
        <w:rPr>
          <w:bCs/>
          <w:szCs w:val="22"/>
          <w:vertAlign w:val="superscript"/>
          <w:lang w:val="en-MY"/>
        </w:rPr>
        <w:t xml:space="preserve">Δ </w:t>
      </w:r>
      <w:proofErr w:type="spellStart"/>
      <w:r w:rsidRPr="009D4627">
        <w:rPr>
          <w:bCs/>
          <w:szCs w:val="22"/>
          <w:lang w:val="en-MY"/>
        </w:rPr>
        <w:t>RHo</w:t>
      </w:r>
      <w:proofErr w:type="spellEnd"/>
      <w:r w:rsidRPr="009D4627">
        <w:rPr>
          <w:bCs/>
          <w:szCs w:val="22"/>
          <w:lang w:val="en-MY"/>
        </w:rPr>
        <w:t xml:space="preserve">(T) </w:t>
      </w:r>
    </w:p>
    <w:p w14:paraId="53AF131F" w14:textId="77777777" w:rsidR="001941C9" w:rsidRDefault="00CE6626" w:rsidP="00CE6626">
      <w:pPr>
        <w:spacing w:before="0" w:after="0" w:line="240" w:lineRule="auto"/>
        <w:rPr>
          <w:b/>
          <w:szCs w:val="22"/>
          <w:lang w:val="en-MY"/>
        </w:rPr>
      </w:pPr>
      <w:r w:rsidRPr="009D4627">
        <w:rPr>
          <w:b/>
          <w:szCs w:val="22"/>
          <w:lang w:val="en-MY"/>
        </w:rPr>
        <w:t xml:space="preserve">                                                                                  </w:t>
      </w:r>
      <w:r w:rsidR="0084660B">
        <w:rPr>
          <w:b/>
          <w:szCs w:val="22"/>
          <w:lang w:val="en-MY"/>
        </w:rPr>
        <w:tab/>
      </w:r>
    </w:p>
    <w:p w14:paraId="64A542F0" w14:textId="0AD2CA7F" w:rsidR="00CE6626" w:rsidRPr="009D4627" w:rsidRDefault="00CE6626" w:rsidP="001941C9">
      <w:pPr>
        <w:spacing w:before="0" w:after="0" w:line="240" w:lineRule="auto"/>
        <w:ind w:left="4320" w:firstLine="720"/>
        <w:rPr>
          <w:szCs w:val="22"/>
          <w:lang w:val="en-MY"/>
        </w:rPr>
      </w:pPr>
      <w:r w:rsidRPr="009D4627">
        <w:rPr>
          <w:szCs w:val="22"/>
          <w:lang w:val="en-MY"/>
        </w:rPr>
        <w:t>3</w:t>
      </w:r>
      <w:r w:rsidRPr="009D4627">
        <w:rPr>
          <w:bCs/>
          <w:szCs w:val="22"/>
          <w:vertAlign w:val="superscript"/>
          <w:lang w:val="en-MY"/>
        </w:rPr>
        <w:t>Δ</w:t>
      </w:r>
      <w:r w:rsidRPr="009D4627">
        <w:rPr>
          <w:bCs/>
          <w:szCs w:val="22"/>
          <w:lang w:val="en-MY"/>
        </w:rPr>
        <w:t xml:space="preserve"> X</w:t>
      </w:r>
    </w:p>
    <w:p w14:paraId="3305D2F8" w14:textId="77777777" w:rsidR="00CE6626" w:rsidRPr="009D4627" w:rsidRDefault="00CE6626" w:rsidP="00CE6626">
      <w:pPr>
        <w:spacing w:before="0" w:after="0" w:line="240" w:lineRule="auto"/>
        <w:rPr>
          <w:b/>
          <w:bCs/>
          <w:szCs w:val="22"/>
          <w:lang w:val="en-MY"/>
        </w:rPr>
      </w:pPr>
      <w:r w:rsidRPr="009D4627">
        <w:rPr>
          <w:b/>
          <w:bCs/>
          <w:szCs w:val="22"/>
          <w:lang w:val="en-MY"/>
        </w:rPr>
        <w:tab/>
      </w:r>
    </w:p>
    <w:p w14:paraId="04372EE4" w14:textId="77777777" w:rsidR="001941C9" w:rsidRDefault="001941C9" w:rsidP="00CE6626">
      <w:pPr>
        <w:spacing w:before="0" w:line="240" w:lineRule="auto"/>
        <w:rPr>
          <w:b/>
          <w:bCs/>
          <w:szCs w:val="22"/>
          <w:lang w:val="en-MY"/>
        </w:rPr>
      </w:pPr>
    </w:p>
    <w:p w14:paraId="017B4F83" w14:textId="25D55554" w:rsidR="00CE6626" w:rsidRPr="009D4627" w:rsidRDefault="00CE6626" w:rsidP="00CE6626">
      <w:pPr>
        <w:spacing w:before="0" w:line="240" w:lineRule="auto"/>
        <w:rPr>
          <w:bCs/>
          <w:szCs w:val="22"/>
          <w:lang w:val="en-MY"/>
        </w:rPr>
      </w:pPr>
      <w:proofErr w:type="spellStart"/>
      <w:r w:rsidRPr="009D4627">
        <w:rPr>
          <w:b/>
          <w:bCs/>
          <w:szCs w:val="22"/>
          <w:lang w:val="en-MY"/>
        </w:rPr>
        <w:t>Bagolini</w:t>
      </w:r>
      <w:proofErr w:type="spellEnd"/>
      <w:r w:rsidRPr="009D4627">
        <w:rPr>
          <w:b/>
          <w:bCs/>
          <w:szCs w:val="22"/>
          <w:lang w:val="en-MY"/>
        </w:rPr>
        <w:t xml:space="preserve"> glasses: </w:t>
      </w:r>
      <w:r w:rsidRPr="009D4627">
        <w:rPr>
          <w:bCs/>
          <w:szCs w:val="22"/>
          <w:lang w:val="en-MY"/>
        </w:rPr>
        <w:t>1/3 m and 6 m BSV response</w:t>
      </w:r>
    </w:p>
    <w:p w14:paraId="72A5F8C7" w14:textId="77777777" w:rsidR="00CE6626" w:rsidRPr="009D4627" w:rsidRDefault="00CE6626" w:rsidP="00CE6626">
      <w:pPr>
        <w:spacing w:before="0" w:line="240" w:lineRule="auto"/>
        <w:rPr>
          <w:bCs/>
          <w:szCs w:val="22"/>
          <w:lang w:val="en-MY"/>
        </w:rPr>
      </w:pPr>
      <w:r w:rsidRPr="009D4627">
        <w:rPr>
          <w:b/>
          <w:bCs/>
          <w:szCs w:val="22"/>
          <w:lang w:val="en-MY"/>
        </w:rPr>
        <w:t>Frisby:</w:t>
      </w:r>
      <w:r w:rsidRPr="009D4627">
        <w:rPr>
          <w:bCs/>
          <w:szCs w:val="22"/>
          <w:lang w:val="en-MY"/>
        </w:rPr>
        <w:t xml:space="preserve"> 340” of arc</w:t>
      </w:r>
    </w:p>
    <w:p w14:paraId="6445E03B" w14:textId="77777777" w:rsidR="00CE6626" w:rsidRPr="009D4627" w:rsidRDefault="00CE6626" w:rsidP="00CE6626">
      <w:pPr>
        <w:spacing w:before="0" w:line="240" w:lineRule="auto"/>
        <w:rPr>
          <w:bCs/>
          <w:szCs w:val="22"/>
          <w:lang w:val="en-MY"/>
        </w:rPr>
      </w:pPr>
      <w:r w:rsidRPr="009D4627">
        <w:rPr>
          <w:b/>
          <w:bCs/>
          <w:szCs w:val="22"/>
          <w:lang w:val="en-MY"/>
        </w:rPr>
        <w:t>Pupils:</w:t>
      </w:r>
      <w:r w:rsidRPr="009D4627">
        <w:rPr>
          <w:bCs/>
          <w:szCs w:val="22"/>
          <w:lang w:val="en-MY"/>
        </w:rPr>
        <w:t xml:space="preserve"> No RAPD, no anisocoria</w:t>
      </w:r>
    </w:p>
    <w:p w14:paraId="67B81910" w14:textId="77777777" w:rsidR="00CE6626" w:rsidRPr="009D4627" w:rsidRDefault="00CE6626" w:rsidP="00CE6626">
      <w:pPr>
        <w:spacing w:before="0" w:after="0" w:line="240" w:lineRule="auto"/>
        <w:rPr>
          <w:bCs/>
          <w:szCs w:val="22"/>
          <w:lang w:val="en-MY"/>
        </w:rPr>
      </w:pPr>
      <w:r w:rsidRPr="009D4627">
        <w:rPr>
          <w:b/>
          <w:szCs w:val="22"/>
          <w:lang w:val="en-MY"/>
        </w:rPr>
        <w:t>Assessment &amp; Plan:</w:t>
      </w:r>
      <w:r w:rsidRPr="009D4627">
        <w:rPr>
          <w:bCs/>
          <w:szCs w:val="22"/>
          <w:lang w:val="en-MY"/>
        </w:rPr>
        <w:t xml:space="preserve"> </w:t>
      </w:r>
      <w:r w:rsidRPr="009D4627">
        <w:rPr>
          <w:bCs/>
          <w:szCs w:val="22"/>
          <w:lang w:val="en-MY"/>
        </w:rPr>
        <w:tab/>
        <w:t>No deviation seen, monocular R ghosting</w:t>
      </w:r>
    </w:p>
    <w:p w14:paraId="1CA66EA7"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Try without blender</w:t>
      </w:r>
    </w:p>
    <w:p w14:paraId="37EFCF77"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Review 4 weeks</w:t>
      </w:r>
    </w:p>
    <w:p w14:paraId="05F6D70F" w14:textId="77777777" w:rsidR="00CE6626" w:rsidRPr="009D4627" w:rsidRDefault="00CE6626" w:rsidP="00CE6626">
      <w:pPr>
        <w:spacing w:before="0" w:line="240" w:lineRule="auto"/>
        <w:rPr>
          <w:b/>
          <w:bCs/>
          <w:color w:val="auto"/>
          <w:szCs w:val="22"/>
          <w:u w:val="single"/>
          <w:lang w:val="en-MY"/>
        </w:rPr>
      </w:pPr>
    </w:p>
    <w:p w14:paraId="69A51138" w14:textId="77777777" w:rsidR="00CE6626" w:rsidRPr="009D4627" w:rsidRDefault="00CE6626" w:rsidP="00CE6626">
      <w:pPr>
        <w:spacing w:before="0" w:line="240" w:lineRule="auto"/>
        <w:rPr>
          <w:b/>
          <w:bCs/>
          <w:color w:val="auto"/>
          <w:szCs w:val="22"/>
          <w:u w:val="single"/>
          <w:lang w:val="en-MY"/>
        </w:rPr>
      </w:pPr>
      <w:r w:rsidRPr="009D4627">
        <w:rPr>
          <w:b/>
          <w:bCs/>
          <w:color w:val="auto"/>
          <w:szCs w:val="22"/>
          <w:u w:val="single"/>
          <w:lang w:val="en-MY"/>
        </w:rPr>
        <w:t xml:space="preserve">Clinical visit 6: </w:t>
      </w:r>
      <w:r w:rsidRPr="009D4627">
        <w:rPr>
          <w:color w:val="auto"/>
          <w:szCs w:val="22"/>
          <w:u w:val="single"/>
          <w:lang w:val="en-MY"/>
        </w:rPr>
        <w:t>6</w:t>
      </w:r>
      <w:r w:rsidRPr="009D4627">
        <w:rPr>
          <w:color w:val="auto"/>
          <w:szCs w:val="22"/>
          <w:u w:val="single"/>
          <w:vertAlign w:val="superscript"/>
          <w:lang w:val="en-MY"/>
        </w:rPr>
        <w:t>th</w:t>
      </w:r>
      <w:r w:rsidRPr="009D4627">
        <w:rPr>
          <w:color w:val="auto"/>
          <w:szCs w:val="22"/>
          <w:u w:val="single"/>
          <w:lang w:val="en-MY"/>
        </w:rPr>
        <w:t xml:space="preserve"> March 2019 (4 months from onset)</w:t>
      </w:r>
    </w:p>
    <w:p w14:paraId="7C928913" w14:textId="77777777" w:rsidR="00CE6626" w:rsidRPr="009D4627" w:rsidRDefault="00CE6626" w:rsidP="00CE6626">
      <w:pPr>
        <w:spacing w:before="0" w:after="0" w:line="240" w:lineRule="auto"/>
        <w:rPr>
          <w:bCs/>
          <w:color w:val="auto"/>
          <w:szCs w:val="22"/>
          <w:lang w:val="en-MY"/>
        </w:rPr>
      </w:pPr>
      <w:r w:rsidRPr="009D4627">
        <w:rPr>
          <w:bCs/>
          <w:color w:val="auto"/>
          <w:szCs w:val="22"/>
          <w:lang w:val="en-MY"/>
        </w:rPr>
        <w:t>Recovering R 3</w:t>
      </w:r>
      <w:r w:rsidRPr="009D4627">
        <w:rPr>
          <w:bCs/>
          <w:color w:val="auto"/>
          <w:szCs w:val="22"/>
          <w:vertAlign w:val="superscript"/>
          <w:lang w:val="en-MY"/>
        </w:rPr>
        <w:t>rd</w:t>
      </w:r>
      <w:r w:rsidRPr="009D4627">
        <w:rPr>
          <w:bCs/>
          <w:color w:val="auto"/>
          <w:szCs w:val="22"/>
          <w:lang w:val="en-MY"/>
        </w:rPr>
        <w:t xml:space="preserve"> nerve palsy with pupil sparing.</w:t>
      </w:r>
    </w:p>
    <w:p w14:paraId="1CA1A826" w14:textId="77777777" w:rsidR="00CE6626" w:rsidRPr="009D4627" w:rsidRDefault="00CE6626" w:rsidP="00CE6626">
      <w:pPr>
        <w:spacing w:before="0" w:line="240" w:lineRule="auto"/>
        <w:rPr>
          <w:bCs/>
          <w:color w:val="auto"/>
          <w:szCs w:val="22"/>
          <w:lang w:val="en-MY"/>
        </w:rPr>
      </w:pPr>
      <w:r w:rsidRPr="009D4627">
        <w:rPr>
          <w:bCs/>
          <w:color w:val="auto"/>
          <w:szCs w:val="22"/>
          <w:lang w:val="en-MY"/>
        </w:rPr>
        <w:t xml:space="preserve">Residual diplopia with </w:t>
      </w:r>
      <w:proofErr w:type="spellStart"/>
      <w:r w:rsidRPr="009D4627">
        <w:rPr>
          <w:bCs/>
          <w:color w:val="auto"/>
          <w:szCs w:val="22"/>
          <w:lang w:val="en-MY"/>
        </w:rPr>
        <w:t>blenderm</w:t>
      </w:r>
      <w:proofErr w:type="spellEnd"/>
      <w:r w:rsidRPr="009D4627">
        <w:rPr>
          <w:bCs/>
          <w:color w:val="auto"/>
          <w:szCs w:val="22"/>
          <w:lang w:val="en-MY"/>
        </w:rPr>
        <w:t xml:space="preserve"> removed for testing.</w:t>
      </w:r>
    </w:p>
    <w:p w14:paraId="00BC723B" w14:textId="77777777" w:rsidR="00CE6626" w:rsidRPr="009D4627" w:rsidRDefault="00CE6626" w:rsidP="00CE6626">
      <w:pPr>
        <w:spacing w:before="0" w:after="0" w:line="240" w:lineRule="auto"/>
        <w:rPr>
          <w:bCs/>
          <w:szCs w:val="22"/>
          <w:lang w:val="en-MY"/>
        </w:rPr>
      </w:pPr>
      <w:r w:rsidRPr="009D4627">
        <w:rPr>
          <w:b/>
          <w:szCs w:val="22"/>
          <w:lang w:val="en-MY"/>
        </w:rPr>
        <w:lastRenderedPageBreak/>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0.200</w:t>
      </w:r>
      <w:r w:rsidRPr="009D4627">
        <w:rPr>
          <w:bCs/>
          <w:szCs w:val="22"/>
          <w:lang w:val="en-MY"/>
        </w:rPr>
        <w:tab/>
      </w:r>
      <w:r w:rsidRPr="009D4627">
        <w:rPr>
          <w:bCs/>
          <w:szCs w:val="22"/>
          <w:lang w:val="en-MY"/>
        </w:rPr>
        <w:tab/>
        <w:t>LE 0.140      ETDRS (</w:t>
      </w:r>
      <w:proofErr w:type="spellStart"/>
      <w:r w:rsidRPr="009D4627">
        <w:rPr>
          <w:bCs/>
          <w:szCs w:val="22"/>
          <w:lang w:val="en-MY"/>
        </w:rPr>
        <w:t>logMAR</w:t>
      </w:r>
      <w:proofErr w:type="spellEnd"/>
      <w:r w:rsidRPr="009D4627">
        <w:rPr>
          <w:bCs/>
          <w:szCs w:val="22"/>
          <w:lang w:val="en-MY"/>
        </w:rPr>
        <w:t>)</w:t>
      </w:r>
    </w:p>
    <w:p w14:paraId="5876EC4B" w14:textId="3A210328"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 xml:space="preserve">    </w:t>
      </w:r>
      <w:r w:rsidR="00E147BE">
        <w:rPr>
          <w:bCs/>
          <w:szCs w:val="22"/>
          <w:lang w:val="en-MY"/>
        </w:rPr>
        <w:tab/>
      </w:r>
      <w:r w:rsidRPr="009D4627">
        <w:rPr>
          <w:bCs/>
          <w:szCs w:val="22"/>
          <w:lang w:val="en-MY"/>
        </w:rPr>
        <w:t xml:space="preserve">  6/9.5</w:t>
      </w:r>
      <w:r w:rsidRPr="009D4627">
        <w:rPr>
          <w:bCs/>
          <w:szCs w:val="22"/>
          <w:lang w:val="en-MY"/>
        </w:rPr>
        <w:tab/>
        <w:t xml:space="preserve">            </w:t>
      </w:r>
      <w:r w:rsidR="00E147BE">
        <w:rPr>
          <w:bCs/>
          <w:szCs w:val="22"/>
          <w:lang w:val="en-MY"/>
        </w:rPr>
        <w:tab/>
      </w:r>
      <w:r w:rsidRPr="009D4627">
        <w:rPr>
          <w:bCs/>
          <w:szCs w:val="22"/>
          <w:lang w:val="en-MY"/>
        </w:rPr>
        <w:t xml:space="preserve">    6/7.5</w:t>
      </w:r>
      <w:r w:rsidRPr="009D4627">
        <w:rPr>
          <w:bCs/>
          <w:szCs w:val="22"/>
          <w:vertAlign w:val="superscript"/>
          <w:lang w:val="en-MY"/>
        </w:rPr>
        <w:t>-2</w:t>
      </w:r>
      <w:r w:rsidRPr="009D4627">
        <w:rPr>
          <w:bCs/>
          <w:szCs w:val="22"/>
          <w:lang w:val="en-MY"/>
        </w:rPr>
        <w:t xml:space="preserve">   Snellen equivalent</w:t>
      </w:r>
    </w:p>
    <w:p w14:paraId="6553CF30" w14:textId="77777777" w:rsidR="00CE6626" w:rsidRPr="009D4627" w:rsidRDefault="00CE6626" w:rsidP="00CE6626">
      <w:pPr>
        <w:spacing w:before="0" w:after="0" w:line="240" w:lineRule="auto"/>
        <w:rPr>
          <w:szCs w:val="22"/>
          <w:lang w:val="en-MY"/>
        </w:rPr>
      </w:pPr>
      <w:r w:rsidRPr="009D4627">
        <w:rPr>
          <w:szCs w:val="22"/>
          <w:lang w:val="en-MY"/>
        </w:rPr>
        <w:t xml:space="preserve">                           </w:t>
      </w:r>
      <w:r w:rsidRPr="009D4627">
        <w:rPr>
          <w:szCs w:val="22"/>
          <w:lang w:val="en-MY"/>
        </w:rPr>
        <w:tab/>
      </w:r>
      <w:r w:rsidRPr="009D4627">
        <w:rPr>
          <w:szCs w:val="22"/>
          <w:lang w:val="en-MY"/>
        </w:rPr>
        <w:tab/>
        <w:t xml:space="preserve"> No improvement with PH R or L</w:t>
      </w:r>
    </w:p>
    <w:p w14:paraId="5B4056DA" w14:textId="77777777" w:rsidR="00CE6626" w:rsidRPr="009D4627" w:rsidRDefault="00CE6626" w:rsidP="00CE6626">
      <w:pPr>
        <w:spacing w:before="0" w:after="0" w:line="240" w:lineRule="auto"/>
        <w:rPr>
          <w:szCs w:val="22"/>
          <w:lang w:val="en-MY"/>
        </w:rPr>
      </w:pPr>
    </w:p>
    <w:p w14:paraId="4E50D10C" w14:textId="77777777" w:rsidR="00CE6626" w:rsidRPr="009D4627" w:rsidRDefault="00CE6626" w:rsidP="00CE6626">
      <w:pPr>
        <w:spacing w:before="0" w:after="0" w:line="240" w:lineRule="auto"/>
        <w:ind w:left="720"/>
        <w:rPr>
          <w:szCs w:val="22"/>
          <w:lang w:val="en-MY"/>
        </w:rPr>
      </w:pPr>
      <w:r w:rsidRPr="009D4627">
        <w:rPr>
          <w:szCs w:val="22"/>
          <w:lang w:val="en-MY"/>
        </w:rPr>
        <w:t>Near VA with bifocals      6/12</w:t>
      </w:r>
      <w:r w:rsidRPr="009D4627">
        <w:rPr>
          <w:szCs w:val="22"/>
          <w:lang w:val="en-MY"/>
        </w:rPr>
        <w:tab/>
      </w:r>
      <w:r w:rsidRPr="009D4627">
        <w:rPr>
          <w:szCs w:val="22"/>
          <w:lang w:val="en-MY"/>
        </w:rPr>
        <w:tab/>
      </w:r>
      <w:r w:rsidRPr="009D4627">
        <w:rPr>
          <w:szCs w:val="22"/>
          <w:lang w:val="en-MY"/>
        </w:rPr>
        <w:tab/>
        <w:t>6/12        reduced Snellen</w:t>
      </w:r>
    </w:p>
    <w:p w14:paraId="0D7089C3" w14:textId="77777777" w:rsidR="00CE6626" w:rsidRPr="009D4627" w:rsidRDefault="00CE6626" w:rsidP="00CE6626">
      <w:pPr>
        <w:spacing w:before="0" w:after="0" w:line="240" w:lineRule="auto"/>
        <w:rPr>
          <w:b/>
          <w:szCs w:val="22"/>
          <w:lang w:val="en-MY"/>
        </w:rPr>
      </w:pPr>
    </w:p>
    <w:p w14:paraId="3161AD7F" w14:textId="77777777" w:rsidR="00CE6626" w:rsidRPr="009D4627" w:rsidRDefault="00CE6626" w:rsidP="00CE6626">
      <w:pPr>
        <w:spacing w:before="0" w:after="0" w:line="240" w:lineRule="auto"/>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1/3 m </w:t>
      </w:r>
      <w:r w:rsidRPr="009D4627">
        <w:rPr>
          <w:bCs/>
          <w:szCs w:val="22"/>
          <w:lang w:val="en-MY"/>
        </w:rPr>
        <w:tab/>
        <w:t>slight exophoria (X) with good recovery</w:t>
      </w:r>
    </w:p>
    <w:p w14:paraId="0B49A8B2" w14:textId="77777777" w:rsidR="00CE6626" w:rsidRPr="009D4627" w:rsidRDefault="00CE6626" w:rsidP="00CE6626">
      <w:pPr>
        <w:spacing w:before="0" w:after="0" w:line="240" w:lineRule="auto"/>
        <w:rPr>
          <w:bCs/>
          <w:szCs w:val="22"/>
          <w:lang w:val="en-MY"/>
        </w:rPr>
      </w:pPr>
      <w:r w:rsidRPr="009D4627">
        <w:rPr>
          <w:bCs/>
          <w:szCs w:val="22"/>
          <w:lang w:val="en-MY"/>
        </w:rPr>
        <w:t xml:space="preserve">                                             </w:t>
      </w:r>
      <w:r w:rsidRPr="009D4627">
        <w:rPr>
          <w:bCs/>
          <w:szCs w:val="22"/>
          <w:lang w:val="en-MY"/>
        </w:rPr>
        <w:tab/>
        <w:t xml:space="preserve">6 m </w:t>
      </w:r>
      <w:r w:rsidRPr="009D4627">
        <w:rPr>
          <w:bCs/>
          <w:szCs w:val="22"/>
          <w:lang w:val="en-MY"/>
        </w:rPr>
        <w:tab/>
        <w:t>very slight X with good recovery</w:t>
      </w:r>
    </w:p>
    <w:p w14:paraId="23D97A0D" w14:textId="77777777" w:rsidR="00CE6626" w:rsidRPr="009D4627" w:rsidRDefault="00CE6626" w:rsidP="00CE6626">
      <w:pPr>
        <w:spacing w:before="0" w:after="0" w:line="240" w:lineRule="auto"/>
        <w:rPr>
          <w:bCs/>
          <w:szCs w:val="22"/>
          <w:lang w:val="en-MY"/>
        </w:rPr>
      </w:pPr>
    </w:p>
    <w:p w14:paraId="692BFFD7" w14:textId="77777777" w:rsidR="00CE6626" w:rsidRPr="009D4627" w:rsidRDefault="00CE6626" w:rsidP="00CE6626">
      <w:pPr>
        <w:spacing w:before="0" w:after="0" w:line="240" w:lineRule="auto"/>
        <w:rPr>
          <w:b/>
          <w:szCs w:val="22"/>
          <w:lang w:val="en-MY"/>
        </w:rPr>
      </w:pPr>
      <w:r w:rsidRPr="009D4627">
        <w:rPr>
          <w:b/>
          <w:szCs w:val="22"/>
          <w:lang w:val="en-MY"/>
        </w:rPr>
        <w:t>OMT:</w:t>
      </w:r>
    </w:p>
    <w:p w14:paraId="5802C102" w14:textId="3090C609" w:rsidR="00CE6626" w:rsidRPr="009D4627" w:rsidRDefault="00A2792E" w:rsidP="00CE6626">
      <w:pPr>
        <w:spacing w:before="0" w:line="240" w:lineRule="auto"/>
        <w:rPr>
          <w:bCs/>
          <w:szCs w:val="22"/>
          <w:lang w:val="en-MY"/>
        </w:rPr>
      </w:pPr>
      <w:r w:rsidRPr="009D4627">
        <w:rPr>
          <w:noProof/>
        </w:rPr>
        <mc:AlternateContent>
          <mc:Choice Requires="wpg">
            <w:drawing>
              <wp:anchor distT="0" distB="0" distL="114300" distR="114300" simplePos="0" relativeHeight="251749376" behindDoc="0" locked="0" layoutInCell="1" allowOverlap="1" wp14:anchorId="28DE34FE" wp14:editId="2C63F1DC">
                <wp:simplePos x="0" y="0"/>
                <wp:positionH relativeFrom="column">
                  <wp:posOffset>1162050</wp:posOffset>
                </wp:positionH>
                <wp:positionV relativeFrom="paragraph">
                  <wp:posOffset>57785</wp:posOffset>
                </wp:positionV>
                <wp:extent cx="3195320" cy="1102995"/>
                <wp:effectExtent l="0" t="0" r="0" b="0"/>
                <wp:wrapNone/>
                <wp:docPr id="23580" name="Group 23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5320" cy="1102995"/>
                          <a:chOff x="0" y="0"/>
                          <a:chExt cx="31953" cy="11030"/>
                        </a:xfrm>
                      </wpg:grpSpPr>
                      <wps:wsp>
                        <wps:cNvPr id="23581" name="Rectangle 21899"/>
                        <wps:cNvSpPr>
                          <a:spLocks noChangeArrowheads="1"/>
                        </wps:cNvSpPr>
                        <wps:spPr bwMode="auto">
                          <a:xfrm>
                            <a:off x="26003" y="0"/>
                            <a:ext cx="3033" cy="2285"/>
                          </a:xfrm>
                          <a:prstGeom prst="rect">
                            <a:avLst/>
                          </a:prstGeom>
                          <a:noFill/>
                          <a:ln>
                            <a:noFill/>
                          </a:ln>
                        </wps:spPr>
                        <wps:txbx>
                          <w:txbxContent>
                            <w:p w14:paraId="00A1A3D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wps:txbx>
                        <wps:bodyPr rot="0" vert="horz" wrap="square" lIns="0" tIns="0" rIns="0" bIns="0" anchor="ctr" anchorCtr="0" upright="1">
                          <a:noAutofit/>
                        </wps:bodyPr>
                      </wps:wsp>
                      <wpg:grpSp>
                        <wpg:cNvPr id="23582" name="Group 21900"/>
                        <wpg:cNvGrpSpPr>
                          <a:grpSpLocks/>
                        </wpg:cNvGrpSpPr>
                        <wpg:grpSpPr bwMode="auto">
                          <a:xfrm>
                            <a:off x="0" y="0"/>
                            <a:ext cx="31953" cy="11030"/>
                            <a:chOff x="0" y="0"/>
                            <a:chExt cx="31953" cy="11030"/>
                          </a:xfrm>
                        </wpg:grpSpPr>
                        <wpg:grpSp>
                          <wpg:cNvPr id="23583" name="Group 21901"/>
                          <wpg:cNvGrpSpPr>
                            <a:grpSpLocks/>
                          </wpg:cNvGrpSpPr>
                          <wpg:grpSpPr bwMode="auto">
                            <a:xfrm>
                              <a:off x="0" y="0"/>
                              <a:ext cx="31953" cy="11030"/>
                              <a:chOff x="0" y="0"/>
                              <a:chExt cx="31953" cy="11030"/>
                            </a:xfrm>
                          </wpg:grpSpPr>
                          <wps:wsp>
                            <wps:cNvPr id="23584" name="Rectangle 21902"/>
                            <wps:cNvSpPr>
                              <a:spLocks noChangeArrowheads="1"/>
                            </wps:cNvSpPr>
                            <wps:spPr bwMode="auto">
                              <a:xfrm>
                                <a:off x="11620" y="4381"/>
                                <a:ext cx="2998" cy="2287"/>
                              </a:xfrm>
                              <a:prstGeom prst="rect">
                                <a:avLst/>
                              </a:prstGeom>
                              <a:noFill/>
                              <a:ln>
                                <a:noFill/>
                              </a:ln>
                            </wps:spPr>
                            <wps:txbx>
                              <w:txbxContent>
                                <w:p w14:paraId="0A732B9B"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wps:txbx>
                            <wps:bodyPr rot="0" vert="horz" wrap="square" lIns="0" tIns="0" rIns="0" bIns="0" anchor="ctr" anchorCtr="0" upright="1">
                              <a:noAutofit/>
                            </wps:bodyPr>
                          </wps:wsp>
                          <wpg:grpSp>
                            <wpg:cNvPr id="23585" name="Group 21903"/>
                            <wpg:cNvGrpSpPr>
                              <a:grpSpLocks/>
                            </wpg:cNvGrpSpPr>
                            <wpg:grpSpPr bwMode="auto">
                              <a:xfrm>
                                <a:off x="0" y="0"/>
                                <a:ext cx="31953" cy="11030"/>
                                <a:chOff x="0" y="0"/>
                                <a:chExt cx="31953" cy="11030"/>
                              </a:xfrm>
                            </wpg:grpSpPr>
                            <wps:wsp>
                              <wps:cNvPr id="23586" name="Rectangle 21904"/>
                              <wps:cNvSpPr>
                                <a:spLocks noChangeArrowheads="1"/>
                              </wps:cNvSpPr>
                              <wps:spPr bwMode="auto">
                                <a:xfrm>
                                  <a:off x="10191" y="476"/>
                                  <a:ext cx="3029" cy="1879"/>
                                </a:xfrm>
                                <a:prstGeom prst="rect">
                                  <a:avLst/>
                                </a:prstGeom>
                                <a:noFill/>
                                <a:ln>
                                  <a:noFill/>
                                </a:ln>
                              </wps:spPr>
                              <wps:txbx>
                                <w:txbxContent>
                                  <w:p w14:paraId="1EED7189"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cNvPr id="23587" name="Group 21905"/>
                              <wpg:cNvGrpSpPr>
                                <a:grpSpLocks/>
                              </wpg:cNvGrpSpPr>
                              <wpg:grpSpPr bwMode="auto">
                                <a:xfrm>
                                  <a:off x="0" y="0"/>
                                  <a:ext cx="31953" cy="11030"/>
                                  <a:chOff x="0" y="0"/>
                                  <a:chExt cx="31953" cy="11030"/>
                                </a:xfrm>
                              </wpg:grpSpPr>
                              <wps:wsp>
                                <wps:cNvPr id="23588" name="Rectangle 21906"/>
                                <wps:cNvSpPr>
                                  <a:spLocks noChangeArrowheads="1"/>
                                </wps:cNvSpPr>
                                <wps:spPr bwMode="auto">
                                  <a:xfrm>
                                    <a:off x="2000" y="8953"/>
                                    <a:ext cx="2286" cy="1695"/>
                                  </a:xfrm>
                                  <a:prstGeom prst="rect">
                                    <a:avLst/>
                                  </a:prstGeom>
                                  <a:noFill/>
                                  <a:ln>
                                    <a:noFill/>
                                  </a:ln>
                                </wps:spPr>
                                <wps:txbx>
                                  <w:txbxContent>
                                    <w:p w14:paraId="4B3DCE1B"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-0.5</w:t>
                                      </w:r>
                                    </w:p>
                                  </w:txbxContent>
                                </wps:txbx>
                                <wps:bodyPr rot="0" vert="horz" wrap="square" lIns="0" tIns="0" rIns="0" bIns="0" anchor="ctr" anchorCtr="0" upright="1">
                                  <a:noAutofit/>
                                </wps:bodyPr>
                              </wps:wsp>
                              <wpg:grpSp>
                                <wpg:cNvPr id="23589" name="Group 21907"/>
                                <wpg:cNvGrpSpPr>
                                  <a:grpSpLocks/>
                                </wpg:cNvGrpSpPr>
                                <wpg:grpSpPr bwMode="auto">
                                  <a:xfrm>
                                    <a:off x="0" y="0"/>
                                    <a:ext cx="31953" cy="11030"/>
                                    <a:chOff x="0" y="0"/>
                                    <a:chExt cx="31953" cy="11030"/>
                                  </a:xfrm>
                                </wpg:grpSpPr>
                                <wpg:grpSp>
                                  <wpg:cNvPr id="23590" name="Group 21908"/>
                                  <wpg:cNvGrpSpPr>
                                    <a:grpSpLocks/>
                                  </wpg:cNvGrpSpPr>
                                  <wpg:grpSpPr bwMode="auto">
                                    <a:xfrm>
                                      <a:off x="0" y="0"/>
                                      <a:ext cx="28746" cy="11030"/>
                                      <a:chOff x="0" y="0"/>
                                      <a:chExt cx="28746" cy="11030"/>
                                    </a:xfrm>
                                  </wpg:grpSpPr>
                                  <wpg:grpSp>
                                    <wpg:cNvPr id="23591" name="Group 21909"/>
                                    <wpg:cNvGrpSpPr>
                                      <a:grpSpLocks/>
                                    </wpg:cNvGrpSpPr>
                                    <wpg:grpSpPr bwMode="auto">
                                      <a:xfrm>
                                        <a:off x="2571" y="0"/>
                                        <a:ext cx="26175" cy="11030"/>
                                        <a:chOff x="-898" y="-221"/>
                                        <a:chExt cx="27949" cy="12348"/>
                                      </a:xfrm>
                                    </wpg:grpSpPr>
                                    <wpg:grpSp>
                                      <wpg:cNvPr id="23592" name="Group 21910"/>
                                      <wpg:cNvGrpSpPr>
                                        <a:grpSpLocks/>
                                      </wpg:cNvGrpSpPr>
                                      <wpg:grpSpPr bwMode="auto">
                                        <a:xfrm>
                                          <a:off x="-898" y="205"/>
                                          <a:ext cx="10042" cy="10488"/>
                                          <a:chOff x="-898" y="492"/>
                                          <a:chExt cx="10042" cy="10509"/>
                                        </a:xfrm>
                                      </wpg:grpSpPr>
                                      <wps:wsp>
                                        <wps:cNvPr id="23593" name="Oval 21911"/>
                                        <wps:cNvSpPr>
                                          <a:spLocks noChangeArrowheads="1"/>
                                        </wps:cNvSpPr>
                                        <wps:spPr bwMode="auto">
                                          <a:xfrm>
                                            <a:off x="0" y="1857"/>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594" name="Rectangle 21912"/>
                                        <wps:cNvSpPr>
                                          <a:spLocks noChangeArrowheads="1"/>
                                        </wps:cNvSpPr>
                                        <wps:spPr bwMode="auto">
                                          <a:xfrm>
                                            <a:off x="-898" y="492"/>
                                            <a:ext cx="3237" cy="2564"/>
                                          </a:xfrm>
                                          <a:prstGeom prst="rect">
                                            <a:avLst/>
                                          </a:prstGeom>
                                          <a:noFill/>
                                          <a:ln>
                                            <a:noFill/>
                                          </a:ln>
                                        </wps:spPr>
                                        <wps:txbx>
                                          <w:txbxContent>
                                            <w:p w14:paraId="5AEEC970"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wps:txbx>
                                        <wps:bodyPr rot="0" vert="horz" wrap="square" lIns="0" tIns="0" rIns="0" bIns="0" anchor="ctr" anchorCtr="0" upright="1">
                                          <a:noAutofit/>
                                        </wps:bodyPr>
                                      </wps:wsp>
                                    </wpg:grpSp>
                                    <wpg:grpSp>
                                      <wpg:cNvPr id="23595" name="Group 21913"/>
                                      <wpg:cNvGrpSpPr>
                                        <a:grpSpLocks/>
                                      </wpg:cNvGrpSpPr>
                                      <wpg:grpSpPr bwMode="auto">
                                        <a:xfrm>
                                          <a:off x="17907" y="-221"/>
                                          <a:ext cx="9144" cy="12347"/>
                                          <a:chOff x="0" y="-411"/>
                                          <a:chExt cx="9144" cy="12348"/>
                                        </a:xfrm>
                                      </wpg:grpSpPr>
                                      <wpg:grpSp>
                                        <wpg:cNvPr id="23596" name="Group 21914"/>
                                        <wpg:cNvGrpSpPr>
                                          <a:grpSpLocks/>
                                        </wpg:cNvGrpSpPr>
                                        <wpg:grpSpPr bwMode="auto">
                                          <a:xfrm>
                                            <a:off x="0" y="-411"/>
                                            <a:ext cx="9144" cy="10875"/>
                                            <a:chOff x="0" y="-269"/>
                                            <a:chExt cx="9144" cy="10889"/>
                                          </a:xfrm>
                                        </wpg:grpSpPr>
                                        <wps:wsp>
                                          <wps:cNvPr id="23597" name="Oval 21915"/>
                                          <wps:cNvSpPr>
                                            <a:spLocks noChangeArrowheads="1"/>
                                          </wps:cNvSpPr>
                                          <wps:spPr bwMode="auto">
                                            <a:xfrm>
                                              <a:off x="0" y="1476"/>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598" name="Rectangle 21916"/>
                                          <wps:cNvSpPr>
                                            <a:spLocks noChangeArrowheads="1"/>
                                          </wps:cNvSpPr>
                                          <wps:spPr bwMode="auto">
                                            <a:xfrm>
                                              <a:off x="344" y="-269"/>
                                              <a:ext cx="3370" cy="2219"/>
                                            </a:xfrm>
                                            <a:prstGeom prst="rect">
                                              <a:avLst/>
                                            </a:prstGeom>
                                            <a:noFill/>
                                            <a:ln>
                                              <a:noFill/>
                                            </a:ln>
                                          </wps:spPr>
                                          <wps:txbx>
                                            <w:txbxContent>
                                              <w:p w14:paraId="04559AC0"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s:wsp>
                                        <wps:cNvPr id="23599" name="Rectangle 21917"/>
                                        <wps:cNvSpPr>
                                          <a:spLocks noChangeArrowheads="1"/>
                                        </wps:cNvSpPr>
                                        <wps:spPr bwMode="auto">
                                          <a:xfrm>
                                            <a:off x="256" y="9720"/>
                                            <a:ext cx="1667" cy="2216"/>
                                          </a:xfrm>
                                          <a:prstGeom prst="rect">
                                            <a:avLst/>
                                          </a:prstGeom>
                                          <a:noFill/>
                                          <a:ln>
                                            <a:noFill/>
                                          </a:ln>
                                        </wps:spPr>
                                        <wps:txbx>
                                          <w:txbxContent>
                                            <w:p w14:paraId="209726A9" w14:textId="77777777" w:rsidR="00CE6626" w:rsidRPr="001B6DF7" w:rsidRDefault="00CE6626" w:rsidP="00CE6626">
                                              <w:pPr>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g:grpSp>
                                  <wps:wsp>
                                    <wps:cNvPr id="23600" name="Rectangle 21918"/>
                                    <wps:cNvSpPr>
                                      <a:spLocks noChangeArrowheads="1"/>
                                    </wps:cNvSpPr>
                                    <wps:spPr bwMode="auto">
                                      <a:xfrm>
                                        <a:off x="0" y="4381"/>
                                        <a:ext cx="2997" cy="2286"/>
                                      </a:xfrm>
                                      <a:prstGeom prst="rect">
                                        <a:avLst/>
                                      </a:prstGeom>
                                      <a:noFill/>
                                      <a:ln>
                                        <a:noFill/>
                                      </a:ln>
                                    </wps:spPr>
                                    <wps:txbx>
                                      <w:txbxContent>
                                        <w:p w14:paraId="2504BC0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41AE3707" w14:textId="77777777" w:rsidR="00CE6626" w:rsidRPr="001B6DF7"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s:wsp>
                                  <wps:cNvPr id="23601" name="Rectangle 21919"/>
                                  <wps:cNvSpPr>
                                    <a:spLocks noChangeArrowheads="1"/>
                                  </wps:cNvSpPr>
                                  <wps:spPr bwMode="auto">
                                    <a:xfrm>
                                      <a:off x="28956" y="4381"/>
                                      <a:ext cx="2997" cy="2286"/>
                                    </a:xfrm>
                                    <a:prstGeom prst="rect">
                                      <a:avLst/>
                                    </a:prstGeom>
                                    <a:noFill/>
                                    <a:ln>
                                      <a:noFill/>
                                    </a:ln>
                                  </wps:spPr>
                                  <wps:txbx>
                                    <w:txbxContent>
                                      <w:p w14:paraId="38F81B0A"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2132341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grpSp>
                          </wpg:grpSp>
                        </wpg:grpSp>
                        <wps:wsp>
                          <wps:cNvPr id="23602" name="Rectangle 21920"/>
                          <wps:cNvSpPr>
                            <a:spLocks noChangeArrowheads="1"/>
                          </wps:cNvSpPr>
                          <wps:spPr bwMode="auto">
                            <a:xfrm>
                              <a:off x="17049" y="4381"/>
                              <a:ext cx="2997" cy="2286"/>
                            </a:xfrm>
                            <a:prstGeom prst="rect">
                              <a:avLst/>
                            </a:prstGeom>
                            <a:noFill/>
                            <a:ln>
                              <a:noFill/>
                            </a:ln>
                          </wps:spPr>
                          <wps:txbx>
                            <w:txbxContent>
                              <w:p w14:paraId="4200C5E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32B61D6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DE34FE" id="Group 23580" o:spid="_x0000_s1813" style="position:absolute;left:0;text-align:left;margin-left:91.5pt;margin-top:4.55pt;width:251.6pt;height:86.85pt;z-index:251749376;mso-position-horizontal-relative:text;mso-position-vertical-relative:text" coordsize="31953,1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">
                <v:rect id="Rectangle 21899" o:spid="_x0000_s1814" style="position:absolute;left:26003;width:3033;height:2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" filled="f" stroked="f">
                  <v:textbox inset="0,0,0,0">
                    <w:txbxContent>
                      <w:p w14:paraId="00A1A3D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v:textbox>
                </v:rect>
                <v:group id="Group 21900" o:spid="_x0000_s1815" style="position:absolute;width:31953;height:11030" coordsize="3195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">
                  <v:group id="Group 21901" o:spid="_x0000_s1816" style="position:absolute;width:31953;height:11030" coordsize="3195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">
                    <v:rect id="Rectangle 21902" o:spid="_x0000_s1817" style="position:absolute;left:11620;top:4381;width:2998;height: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" filled="f" stroked="f">
                      <v:textbox inset="0,0,0,0">
                        <w:txbxContent>
                          <w:p w14:paraId="0A732B9B"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v:textbox>
                    </v:rect>
                    <v:group id="Group 21903" o:spid="_x0000_s1818" style="position:absolute;width:31953;height:11030" coordsize="3195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">
                      <v:rect id="Rectangle 21904" o:spid="_x0000_s1819" style="position:absolute;left:10191;top:476;width:3029;height:1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" filled="f" stroked="f">
                        <v:textbox inset="0,0,0,0">
                          <w:txbxContent>
                            <w:p w14:paraId="1EED7189"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id="Group 21905" o:spid="_x0000_s1820" style="position:absolute;width:31953;height:11030" coordsize="3195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">
                        <v:rect id="Rectangle 21906" o:spid="_x0000_s1821" style="position:absolute;left:2000;top:8953;width:2286;height:1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" filled="f" stroked="f">
                          <v:textbox inset="0,0,0,0">
                            <w:txbxContent>
                              <w:p w14:paraId="4B3DCE1B"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-0.5</w:t>
                                </w:r>
                              </w:p>
                            </w:txbxContent>
                          </v:textbox>
                        </v:rect>
                        <v:group id="Group 21907" o:spid="_x0000_s1822" style="position:absolute;width:31953;height:11030" coordsize="3195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">
                          <v:group id="Group 21908" o:spid="_x0000_s1823" style="position:absolute;width:28746;height:11030" coordsize="28746,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">
                            <v:group id="Group 21909" o:spid="_x0000_s1824" style="position:absolute;left:2571;width:26175;height:11030" coordorigin="-898,-221" coordsize="27949,1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">
                              <v:group id="Group 21910" o:spid="_x0000_s1825" style="position:absolute;left:-898;top:205;width:10042;height:10488" coordorigin="-898,492" coordsize="10042,10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">
                                <v:oval id="Oval 21911" o:spid="_x0000_s1826" style="position:absolute;top:1857;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" filled="f" strokeweight="1pt">
                                  <v:stroke joinstyle="miter"/>
                                </v:oval>
                                <v:rect id="Rectangle 21912" o:spid="_x0000_s1827" style="position:absolute;left:-898;top:492;width:3237;height:2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" filled="f" stroked="f">
                                  <v:textbox inset="0,0,0,0">
                                    <w:txbxContent>
                                      <w:p w14:paraId="5AEEC970"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v:textbox>
                                </v:rect>
                              </v:group>
                              <v:group id="Group 21913" o:spid="_x0000_s1828" style="position:absolute;left:17907;top:-221;width:9144;height:12347" coordorigin=",-411" coordsize="9144,1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">
                                <v:group id="Group 21914" o:spid="_x0000_s1829" style="position:absolute;top:-411;width:9144;height:10875" coordorigin=",-269" coordsize="9144,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">
                                  <v:oval id="Oval 21915" o:spid="_x0000_s1830" style="position:absolute;top:1476;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" filled="f" strokeweight="1pt">
                                    <v:stroke joinstyle="miter"/>
                                  </v:oval>
                                  <v:rect id="Rectangle 21916" o:spid="_x0000_s1831" style="position:absolute;left:344;top:-269;width:3370;height: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" filled="f" stroked="f">
                                    <v:textbox inset="0,0,0,0">
                                      <w:txbxContent>
                                        <w:p w14:paraId="04559AC0"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rect id="Rectangle 21917" o:spid="_x0000_s1832" style="position:absolute;left:256;top:9720;width:1667;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" filled="f" stroked="f">
                                  <v:textbox inset="0,0,0,0">
                                    <w:txbxContent>
                                      <w:p w14:paraId="209726A9" w14:textId="77777777" w:rsidR="00CE6626" w:rsidRPr="001B6DF7" w:rsidRDefault="00CE6626" w:rsidP="00CE6626">
                                        <w:pPr>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v:group>
                            <v:rect id="Rectangle 21918" o:spid="_x0000_s1833" style="position:absolute;top:4381;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" filled="f" stroked="f">
                              <v:textbox inset="0,0,0,0">
                                <w:txbxContent>
                                  <w:p w14:paraId="2504BC08"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41AE3707" w14:textId="77777777" w:rsidR="00CE6626" w:rsidRPr="001B6DF7" w:rsidRDefault="00CE6626" w:rsidP="00CE6626">
                                    <w:pPr>
                                      <w:jc w:val="center"/>
                                      <w:rPr>
                                        <w:rFonts w:asciiTheme="minorHAnsi" w:hAnsiTheme="minorHAnsi" w:cstheme="minorHAnsi"/>
                                        <w:sz w:val="20"/>
                                        <w:szCs w:val="20"/>
                                        <w:lang w:val="en-US"/>
                                      </w:rPr>
                                    </w:pPr>
                                  </w:p>
                                </w:txbxContent>
                              </v:textbox>
                            </v:rect>
                          </v:group>
                          <v:rect id="Rectangle 21919" o:spid="_x0000_s1834" style="position:absolute;left:28956;top:4381;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" filled="f" stroked="f">
                            <v:textbox inset="0,0,0,0">
                              <w:txbxContent>
                                <w:p w14:paraId="38F81B0A"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2132341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p>
                              </w:txbxContent>
                            </v:textbox>
                          </v:rect>
                        </v:group>
                      </v:group>
                    </v:group>
                  </v:group>
                  <v:rect id="Rectangle 21920" o:spid="_x0000_s1835" style="position:absolute;left:17049;top:4381;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" filled="f" stroked="f">
                    <v:textbox inset="0,0,0,0">
                      <w:txbxContent>
                        <w:p w14:paraId="4200C5E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32B61D6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p>
                      </w:txbxContent>
                    </v:textbox>
                  </v:rect>
                </v:group>
              </v:group>
            </w:pict>
          </mc:Fallback>
        </mc:AlternateContent>
      </w:r>
    </w:p>
    <w:p w14:paraId="7CB344C3" w14:textId="16E9C3DA" w:rsidR="00CE6626" w:rsidRPr="009D4627" w:rsidRDefault="00A2792E" w:rsidP="00CE6626">
      <w:pPr>
        <w:spacing w:before="0" w:line="240" w:lineRule="auto"/>
        <w:rPr>
          <w:b/>
          <w:bCs/>
          <w:szCs w:val="22"/>
          <w:lang w:val="en-MY"/>
        </w:rPr>
      </w:pPr>
      <w:r w:rsidRPr="009D4627">
        <w:rPr>
          <w:noProof/>
        </w:rPr>
        <mc:AlternateContent>
          <mc:Choice Requires="wps">
            <w:drawing>
              <wp:anchor distT="0" distB="0" distL="114300" distR="114300" simplePos="0" relativeHeight="251747328" behindDoc="0" locked="0" layoutInCell="1" allowOverlap="1" wp14:anchorId="7FE76EC9" wp14:editId="11424690">
                <wp:simplePos x="0" y="0"/>
                <wp:positionH relativeFrom="column">
                  <wp:posOffset>2266950</wp:posOffset>
                </wp:positionH>
                <wp:positionV relativeFrom="paragraph">
                  <wp:posOffset>262255</wp:posOffset>
                </wp:positionV>
                <wp:extent cx="66675" cy="78105"/>
                <wp:effectExtent l="0" t="0" r="9525" b="17145"/>
                <wp:wrapNone/>
                <wp:docPr id="23579" name="Straight Connector 235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E59AE1" id="Straight Connector 23579" o:spid="_x0000_s1026"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20.65pt" to="183.7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748352" behindDoc="0" locked="0" layoutInCell="1" allowOverlap="1" wp14:anchorId="2AA0C083" wp14:editId="3699BA49">
                <wp:simplePos x="0" y="0"/>
                <wp:positionH relativeFrom="column">
                  <wp:posOffset>2257425</wp:posOffset>
                </wp:positionH>
                <wp:positionV relativeFrom="paragraph">
                  <wp:posOffset>176530</wp:posOffset>
                </wp:positionV>
                <wp:extent cx="66675" cy="78105"/>
                <wp:effectExtent l="0" t="0" r="9525" b="17145"/>
                <wp:wrapNone/>
                <wp:docPr id="23578" name="Straight Connector 235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0FCC08" id="Straight Connector 23578" o:spid="_x0000_s1026"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3.9pt" to="183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" strokecolor="windowText" strokeweight="1.5pt">
                <v:stroke joinstyle="miter"/>
                <o:lock v:ext="edit" shapetype="f"/>
              </v:line>
            </w:pict>
          </mc:Fallback>
        </mc:AlternateContent>
      </w:r>
      <w:r w:rsidRPr="009D4627">
        <w:rPr>
          <w:noProof/>
        </w:rPr>
        <mc:AlternateContent>
          <mc:Choice Requires="wps">
            <w:drawing>
              <wp:anchor distT="0" distB="0" distL="114300" distR="114300" simplePos="0" relativeHeight="251745280" behindDoc="0" locked="0" layoutInCell="1" allowOverlap="1" wp14:anchorId="33CBCD10" wp14:editId="428C504C">
                <wp:simplePos x="0" y="0"/>
                <wp:positionH relativeFrom="column">
                  <wp:posOffset>2052320</wp:posOffset>
                </wp:positionH>
                <wp:positionV relativeFrom="paragraph">
                  <wp:posOffset>295275</wp:posOffset>
                </wp:positionV>
                <wp:extent cx="440690" cy="11430"/>
                <wp:effectExtent l="0" t="209550" r="0" b="217170"/>
                <wp:wrapNone/>
                <wp:docPr id="23577" name="Straight Connector 23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6200000" flipV="1">
                          <a:off x="0" y="0"/>
                          <a:ext cx="440690" cy="1143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D93FDE2" id="Straight Connector 23577" o:spid="_x0000_s1026" style="position:absolute;rotation:90;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6pt,23.25pt" to="196.3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" strokecolor="windowText" strokeweight=".5pt">
                <v:stroke joinstyle="miter"/>
                <o:lock v:ext="edit" shapetype="f"/>
              </v:line>
            </w:pict>
          </mc:Fallback>
        </mc:AlternateContent>
      </w:r>
    </w:p>
    <w:p w14:paraId="0461E148" w14:textId="68B3A438" w:rsidR="00CE6626" w:rsidRPr="009D4627" w:rsidRDefault="00A2792E" w:rsidP="00CE6626">
      <w:pPr>
        <w:spacing w:before="0" w:line="240" w:lineRule="auto"/>
        <w:rPr>
          <w:b/>
          <w:bCs/>
          <w:szCs w:val="22"/>
          <w:lang w:val="en-MY"/>
        </w:rPr>
      </w:pPr>
      <w:r w:rsidRPr="009D4627">
        <w:rPr>
          <w:noProof/>
        </w:rPr>
        <mc:AlternateContent>
          <mc:Choice Requires="wps">
            <w:drawing>
              <wp:anchor distT="0" distB="0" distL="114300" distR="114300" simplePos="0" relativeHeight="251746304" behindDoc="0" locked="0" layoutInCell="1" allowOverlap="1" wp14:anchorId="6D910FF2" wp14:editId="1BF13BEB">
                <wp:simplePos x="0" y="0"/>
                <wp:positionH relativeFrom="column">
                  <wp:posOffset>2292350</wp:posOffset>
                </wp:positionH>
                <wp:positionV relativeFrom="paragraph">
                  <wp:posOffset>14605</wp:posOffset>
                </wp:positionV>
                <wp:extent cx="66675" cy="78105"/>
                <wp:effectExtent l="0" t="0" r="9525" b="17145"/>
                <wp:wrapNone/>
                <wp:docPr id="23576" name="Straight Connector 235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 cy="7810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6F599B" id="Straight Connector 23576"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5pt,1.15pt" to="185.7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" strokecolor="windowText" strokeweight="1.5pt">
                <v:stroke joinstyle="miter"/>
                <o:lock v:ext="edit" shapetype="f"/>
              </v:line>
            </w:pict>
          </mc:Fallback>
        </mc:AlternateContent>
      </w:r>
    </w:p>
    <w:p w14:paraId="3A0C451F" w14:textId="77777777" w:rsidR="00CE6626" w:rsidRPr="009D4627" w:rsidRDefault="00CE6626" w:rsidP="00CE6626">
      <w:pPr>
        <w:spacing w:before="0" w:after="0" w:line="240" w:lineRule="auto"/>
        <w:rPr>
          <w:b/>
          <w:bCs/>
          <w:szCs w:val="22"/>
          <w:lang w:val="en-MY"/>
        </w:rPr>
      </w:pPr>
    </w:p>
    <w:p w14:paraId="03C4986C"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1/3 m 10</w:t>
      </w:r>
      <w:r w:rsidRPr="009D4627">
        <w:rPr>
          <w:bCs/>
          <w:szCs w:val="22"/>
          <w:vertAlign w:val="superscript"/>
          <w:lang w:val="en-MY"/>
        </w:rPr>
        <w:t>Δ</w:t>
      </w:r>
      <w:r w:rsidRPr="009D4627">
        <w:rPr>
          <w:bCs/>
          <w:szCs w:val="22"/>
          <w:lang w:val="en-MY"/>
        </w:rPr>
        <w:t xml:space="preserve"> X </w:t>
      </w:r>
    </w:p>
    <w:p w14:paraId="281818C4" w14:textId="77777777" w:rsidR="00CE6626" w:rsidRPr="009D4627" w:rsidRDefault="00CE6626" w:rsidP="00CE6626">
      <w:pPr>
        <w:spacing w:before="0" w:line="240" w:lineRule="auto"/>
        <w:rPr>
          <w:bCs/>
          <w:szCs w:val="22"/>
          <w:lang w:val="en-MY"/>
        </w:rPr>
      </w:pPr>
      <w:r w:rsidRPr="009D4627">
        <w:rPr>
          <w:bCs/>
          <w:szCs w:val="22"/>
          <w:lang w:val="en-MY"/>
        </w:rPr>
        <w:tab/>
        <w:t xml:space="preserve">with glasses </w:t>
      </w:r>
      <w:r w:rsidRPr="009D4627">
        <w:rPr>
          <w:bCs/>
          <w:szCs w:val="22"/>
          <w:lang w:val="en-MY"/>
        </w:rPr>
        <w:tab/>
        <w:t>6 m       2</w:t>
      </w:r>
      <w:r w:rsidRPr="009D4627">
        <w:rPr>
          <w:bCs/>
          <w:szCs w:val="22"/>
          <w:vertAlign w:val="superscript"/>
          <w:lang w:val="en-MY"/>
        </w:rPr>
        <w:t>Δ</w:t>
      </w:r>
      <w:r w:rsidRPr="009D4627">
        <w:rPr>
          <w:bCs/>
          <w:szCs w:val="22"/>
          <w:lang w:val="en-MY"/>
        </w:rPr>
        <w:t xml:space="preserve"> X </w:t>
      </w:r>
    </w:p>
    <w:p w14:paraId="3F7ACD27" w14:textId="77777777" w:rsidR="00CE6626" w:rsidRPr="009D4627" w:rsidRDefault="00CE6626" w:rsidP="00CE6626">
      <w:pPr>
        <w:spacing w:before="0" w:line="240" w:lineRule="auto"/>
        <w:rPr>
          <w:bCs/>
          <w:szCs w:val="22"/>
          <w:lang w:val="en-MY"/>
        </w:rPr>
      </w:pPr>
      <w:proofErr w:type="spellStart"/>
      <w:r w:rsidRPr="009D4627">
        <w:rPr>
          <w:b/>
          <w:bCs/>
          <w:szCs w:val="22"/>
          <w:lang w:val="en-MY"/>
        </w:rPr>
        <w:t>Bagolini</w:t>
      </w:r>
      <w:proofErr w:type="spellEnd"/>
      <w:r w:rsidRPr="009D4627">
        <w:rPr>
          <w:b/>
          <w:bCs/>
          <w:szCs w:val="22"/>
          <w:lang w:val="en-MY"/>
        </w:rPr>
        <w:t xml:space="preserve"> glasses: </w:t>
      </w:r>
      <w:r w:rsidRPr="009D4627">
        <w:rPr>
          <w:bCs/>
          <w:szCs w:val="22"/>
          <w:lang w:val="en-MY"/>
        </w:rPr>
        <w:t>1/3 m and 6 m BSV response</w:t>
      </w:r>
    </w:p>
    <w:p w14:paraId="651D229D" w14:textId="77777777" w:rsidR="00CE6626" w:rsidRPr="009D4627" w:rsidRDefault="00CE6626" w:rsidP="00CE6626">
      <w:pPr>
        <w:spacing w:before="0" w:line="240" w:lineRule="auto"/>
        <w:rPr>
          <w:bCs/>
          <w:szCs w:val="22"/>
          <w:lang w:val="en-MY"/>
        </w:rPr>
      </w:pPr>
      <w:r w:rsidRPr="009D4627">
        <w:rPr>
          <w:b/>
          <w:bCs/>
          <w:szCs w:val="22"/>
          <w:lang w:val="en-MY"/>
        </w:rPr>
        <w:t>Pupils:</w:t>
      </w:r>
      <w:r w:rsidRPr="009D4627">
        <w:rPr>
          <w:bCs/>
          <w:szCs w:val="22"/>
          <w:lang w:val="en-MY"/>
        </w:rPr>
        <w:t xml:space="preserve"> No RAPD</w:t>
      </w:r>
    </w:p>
    <w:p w14:paraId="29C5CBE2" w14:textId="77777777" w:rsidR="00CE6626" w:rsidRPr="009D4627" w:rsidRDefault="00CE6626" w:rsidP="00CE6626">
      <w:pPr>
        <w:spacing w:before="0" w:after="0" w:line="240" w:lineRule="auto"/>
        <w:rPr>
          <w:bCs/>
          <w:szCs w:val="22"/>
          <w:lang w:val="en-MY"/>
        </w:rPr>
      </w:pPr>
      <w:r w:rsidRPr="009D4627">
        <w:rPr>
          <w:b/>
          <w:szCs w:val="22"/>
          <w:lang w:val="en-MY"/>
        </w:rPr>
        <w:t>Assessment &amp; Plan:</w:t>
      </w:r>
      <w:r w:rsidRPr="009D4627">
        <w:rPr>
          <w:bCs/>
          <w:szCs w:val="22"/>
          <w:lang w:val="en-MY"/>
        </w:rPr>
        <w:t xml:space="preserve"> </w:t>
      </w:r>
      <w:r w:rsidRPr="009D4627">
        <w:rPr>
          <w:bCs/>
          <w:szCs w:val="22"/>
          <w:lang w:val="en-MY"/>
        </w:rPr>
        <w:tab/>
        <w:t>Fully recovered.</w:t>
      </w:r>
    </w:p>
    <w:p w14:paraId="242B77B1"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C/o continued difficulty reading and knitting.</w:t>
      </w:r>
    </w:p>
    <w:p w14:paraId="329B8BEE" w14:textId="77777777" w:rsidR="00CE6626" w:rsidRPr="009D4627" w:rsidRDefault="00CE6626" w:rsidP="00CE6626">
      <w:pPr>
        <w:spacing w:before="0" w:after="0" w:line="240" w:lineRule="auto"/>
        <w:ind w:left="2160"/>
        <w:rPr>
          <w:bCs/>
          <w:szCs w:val="22"/>
          <w:lang w:val="en-MY"/>
        </w:rPr>
      </w:pPr>
      <w:r w:rsidRPr="009D4627">
        <w:rPr>
          <w:bCs/>
          <w:szCs w:val="22"/>
          <w:lang w:val="en-MY"/>
        </w:rPr>
        <w:t>Low bifocal fitting, difficult to use with arthritis in neck – to get new glasses to improve this reading position.</w:t>
      </w:r>
    </w:p>
    <w:p w14:paraId="14540002"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Review 3/12.</w:t>
      </w:r>
    </w:p>
    <w:p w14:paraId="7590F855" w14:textId="77777777" w:rsidR="00CE6626" w:rsidRPr="009D4627" w:rsidRDefault="00CE6626" w:rsidP="00CE6626">
      <w:pPr>
        <w:spacing w:before="0" w:after="0" w:line="240" w:lineRule="auto"/>
        <w:ind w:left="1440" w:firstLine="720"/>
        <w:rPr>
          <w:bCs/>
          <w:szCs w:val="22"/>
          <w:lang w:val="en-MY"/>
        </w:rPr>
      </w:pPr>
    </w:p>
    <w:p w14:paraId="5593CA24" w14:textId="77777777" w:rsidR="00CE6626" w:rsidRPr="009D4627" w:rsidRDefault="00CE6626" w:rsidP="00CE6626">
      <w:pPr>
        <w:spacing w:before="0" w:after="0" w:line="240" w:lineRule="auto"/>
        <w:ind w:left="1440" w:firstLine="720"/>
        <w:rPr>
          <w:bCs/>
          <w:szCs w:val="22"/>
          <w:lang w:val="en-MY"/>
        </w:rPr>
      </w:pPr>
    </w:p>
    <w:p w14:paraId="21BEAB42" w14:textId="77777777" w:rsidR="00CE6626" w:rsidRPr="009D4627" w:rsidRDefault="00CE6626" w:rsidP="00CE6626">
      <w:pPr>
        <w:spacing w:before="0" w:after="0" w:line="240" w:lineRule="auto"/>
        <w:ind w:left="1440" w:firstLine="720"/>
        <w:rPr>
          <w:bCs/>
          <w:szCs w:val="22"/>
          <w:lang w:val="en-MY"/>
        </w:rPr>
      </w:pPr>
    </w:p>
    <w:p w14:paraId="2ABCD733" w14:textId="77777777" w:rsidR="00CE6626" w:rsidRPr="009D4627" w:rsidRDefault="00CE6626" w:rsidP="00CE6626">
      <w:pPr>
        <w:spacing w:before="0" w:line="240" w:lineRule="auto"/>
        <w:rPr>
          <w:b/>
          <w:bCs/>
          <w:color w:val="auto"/>
          <w:szCs w:val="22"/>
          <w:u w:val="single"/>
          <w:lang w:val="en-MY"/>
        </w:rPr>
      </w:pPr>
      <w:r w:rsidRPr="009D4627">
        <w:rPr>
          <w:b/>
          <w:bCs/>
          <w:color w:val="auto"/>
          <w:szCs w:val="22"/>
          <w:u w:val="single"/>
          <w:lang w:val="en-MY"/>
        </w:rPr>
        <w:t xml:space="preserve">Clinical visit 7: </w:t>
      </w:r>
      <w:r w:rsidRPr="009D4627">
        <w:rPr>
          <w:color w:val="auto"/>
          <w:szCs w:val="22"/>
          <w:u w:val="single"/>
          <w:lang w:val="en-MY"/>
        </w:rPr>
        <w:t>14</w:t>
      </w:r>
      <w:r w:rsidRPr="009D4627">
        <w:rPr>
          <w:color w:val="auto"/>
          <w:szCs w:val="22"/>
          <w:u w:val="single"/>
          <w:vertAlign w:val="superscript"/>
          <w:lang w:val="en-MY"/>
        </w:rPr>
        <w:t>th</w:t>
      </w:r>
      <w:r w:rsidRPr="009D4627">
        <w:rPr>
          <w:color w:val="auto"/>
          <w:szCs w:val="22"/>
          <w:u w:val="single"/>
          <w:lang w:val="en-MY"/>
        </w:rPr>
        <w:t xml:space="preserve"> June 2019 (7 months from onset)</w:t>
      </w:r>
    </w:p>
    <w:p w14:paraId="2998794C" w14:textId="77777777" w:rsidR="00CE6626" w:rsidRPr="009D4627" w:rsidRDefault="00CE6626" w:rsidP="00CE6626">
      <w:pPr>
        <w:spacing w:before="0" w:after="0" w:line="240" w:lineRule="auto"/>
        <w:rPr>
          <w:bCs/>
          <w:color w:val="auto"/>
          <w:szCs w:val="22"/>
          <w:lang w:val="en-MY"/>
        </w:rPr>
      </w:pPr>
      <w:r w:rsidRPr="009D4627">
        <w:rPr>
          <w:bCs/>
          <w:color w:val="auto"/>
          <w:szCs w:val="22"/>
          <w:lang w:val="en-MY"/>
        </w:rPr>
        <w:t>Previous R 3</w:t>
      </w:r>
      <w:r w:rsidRPr="009D4627">
        <w:rPr>
          <w:bCs/>
          <w:color w:val="auto"/>
          <w:szCs w:val="22"/>
          <w:vertAlign w:val="superscript"/>
          <w:lang w:val="en-MY"/>
        </w:rPr>
        <w:t>rd</w:t>
      </w:r>
      <w:r w:rsidRPr="009D4627">
        <w:rPr>
          <w:bCs/>
          <w:color w:val="auto"/>
          <w:szCs w:val="22"/>
          <w:lang w:val="en-MY"/>
        </w:rPr>
        <w:t xml:space="preserve"> nerve palsy, subjectively much better. </w:t>
      </w:r>
    </w:p>
    <w:p w14:paraId="5972342C" w14:textId="77777777" w:rsidR="00CE6626" w:rsidRPr="009D4627" w:rsidRDefault="00CE6626" w:rsidP="00CE6626">
      <w:pPr>
        <w:spacing w:before="0" w:line="240" w:lineRule="auto"/>
        <w:rPr>
          <w:bCs/>
          <w:color w:val="auto"/>
          <w:szCs w:val="22"/>
          <w:lang w:val="en-MY"/>
        </w:rPr>
      </w:pPr>
      <w:r w:rsidRPr="009D4627">
        <w:rPr>
          <w:bCs/>
          <w:color w:val="auto"/>
          <w:szCs w:val="22"/>
          <w:lang w:val="en-MY"/>
        </w:rPr>
        <w:t>Update bifocals with segment much higher up. Diplopia noticed 2/3 times a week only now.</w:t>
      </w:r>
    </w:p>
    <w:p w14:paraId="0D48547A"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0.1</w:t>
      </w:r>
      <w:r w:rsidRPr="009D4627">
        <w:rPr>
          <w:bCs/>
          <w:szCs w:val="22"/>
          <w:lang w:val="en-MY"/>
        </w:rPr>
        <w:tab/>
      </w:r>
      <w:r w:rsidRPr="009D4627">
        <w:rPr>
          <w:bCs/>
          <w:szCs w:val="22"/>
          <w:lang w:val="en-MY"/>
        </w:rPr>
        <w:tab/>
        <w:t xml:space="preserve">LE 0.12     </w:t>
      </w:r>
      <w:r w:rsidRPr="009D4627">
        <w:rPr>
          <w:bCs/>
          <w:szCs w:val="22"/>
          <w:lang w:val="en-MY"/>
        </w:rPr>
        <w:tab/>
        <w:t>ETDRS (</w:t>
      </w:r>
      <w:proofErr w:type="spellStart"/>
      <w:r w:rsidRPr="009D4627">
        <w:rPr>
          <w:bCs/>
          <w:szCs w:val="22"/>
          <w:lang w:val="en-MY"/>
        </w:rPr>
        <w:t>logMAR</w:t>
      </w:r>
      <w:proofErr w:type="spellEnd"/>
      <w:r w:rsidRPr="009D4627">
        <w:rPr>
          <w:bCs/>
          <w:szCs w:val="22"/>
          <w:lang w:val="en-MY"/>
        </w:rPr>
        <w:t>)</w:t>
      </w:r>
    </w:p>
    <w:p w14:paraId="2ADD93A7" w14:textId="7E7337A0"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 xml:space="preserve">   </w:t>
      </w:r>
      <w:r w:rsidR="00E147BE">
        <w:rPr>
          <w:bCs/>
          <w:szCs w:val="22"/>
          <w:lang w:val="en-MY"/>
        </w:rPr>
        <w:tab/>
      </w:r>
      <w:r w:rsidRPr="009D4627">
        <w:rPr>
          <w:bCs/>
          <w:szCs w:val="22"/>
          <w:lang w:val="en-MY"/>
        </w:rPr>
        <w:t xml:space="preserve">   6/7.5</w:t>
      </w:r>
      <w:r w:rsidRPr="009D4627">
        <w:rPr>
          <w:bCs/>
          <w:szCs w:val="22"/>
          <w:lang w:val="en-MY"/>
        </w:rPr>
        <w:tab/>
        <w:t xml:space="preserve">     </w:t>
      </w:r>
      <w:r w:rsidR="00E147BE">
        <w:rPr>
          <w:bCs/>
          <w:szCs w:val="22"/>
          <w:lang w:val="en-MY"/>
        </w:rPr>
        <w:tab/>
      </w:r>
      <w:r w:rsidRPr="009D4627">
        <w:rPr>
          <w:bCs/>
          <w:szCs w:val="22"/>
          <w:lang w:val="en-MY"/>
        </w:rPr>
        <w:t>6/7.5</w:t>
      </w:r>
      <w:r w:rsidRPr="009D4627">
        <w:rPr>
          <w:bCs/>
          <w:szCs w:val="22"/>
          <w:vertAlign w:val="superscript"/>
          <w:lang w:val="en-MY"/>
        </w:rPr>
        <w:t>-1</w:t>
      </w:r>
      <w:r w:rsidRPr="009D4627">
        <w:rPr>
          <w:bCs/>
          <w:szCs w:val="22"/>
          <w:lang w:val="en-MY"/>
        </w:rPr>
        <w:tab/>
      </w:r>
      <w:r w:rsidR="00E147BE">
        <w:rPr>
          <w:bCs/>
          <w:szCs w:val="22"/>
          <w:lang w:val="en-MY"/>
        </w:rPr>
        <w:tab/>
      </w:r>
      <w:r w:rsidRPr="009D4627">
        <w:rPr>
          <w:bCs/>
          <w:szCs w:val="22"/>
          <w:lang w:val="en-MY"/>
        </w:rPr>
        <w:t>Snellen equivalent</w:t>
      </w:r>
    </w:p>
    <w:p w14:paraId="11764483" w14:textId="77777777" w:rsidR="00CE6626" w:rsidRPr="009D4627" w:rsidRDefault="00CE6626" w:rsidP="00CE6626">
      <w:pPr>
        <w:spacing w:before="0" w:after="0" w:line="240" w:lineRule="auto"/>
        <w:rPr>
          <w:szCs w:val="22"/>
          <w:lang w:val="en-MY"/>
        </w:rPr>
      </w:pPr>
      <w:r w:rsidRPr="009D4627">
        <w:rPr>
          <w:szCs w:val="22"/>
          <w:lang w:val="en-MY"/>
        </w:rPr>
        <w:t xml:space="preserve">                          </w:t>
      </w:r>
      <w:r w:rsidRPr="009D4627">
        <w:rPr>
          <w:szCs w:val="22"/>
          <w:lang w:val="en-MY"/>
        </w:rPr>
        <w:tab/>
      </w:r>
      <w:r w:rsidRPr="009D4627">
        <w:rPr>
          <w:szCs w:val="22"/>
          <w:lang w:val="en-MY"/>
        </w:rPr>
        <w:tab/>
      </w:r>
      <w:r w:rsidRPr="009D4627">
        <w:rPr>
          <w:szCs w:val="22"/>
          <w:lang w:val="en-MY"/>
        </w:rPr>
        <w:tab/>
        <w:t>No improvement with PH RE or LE</w:t>
      </w:r>
    </w:p>
    <w:p w14:paraId="012F1D13" w14:textId="77777777" w:rsidR="00CE6626" w:rsidRPr="009D4627" w:rsidRDefault="00CE6626" w:rsidP="00CE6626">
      <w:pPr>
        <w:spacing w:before="0" w:after="0" w:line="240" w:lineRule="auto"/>
        <w:rPr>
          <w:szCs w:val="22"/>
          <w:lang w:val="en-MY"/>
        </w:rPr>
      </w:pPr>
    </w:p>
    <w:p w14:paraId="077B2052" w14:textId="77777777" w:rsidR="00CE6626" w:rsidRPr="009D4627" w:rsidRDefault="00CE6626" w:rsidP="00CE6626">
      <w:pPr>
        <w:spacing w:before="0" w:after="0" w:line="240" w:lineRule="auto"/>
        <w:ind w:left="2880" w:hanging="2880"/>
        <w:rPr>
          <w:bCs/>
          <w:szCs w:val="22"/>
          <w:lang w:val="en-MY"/>
        </w:rPr>
      </w:pPr>
      <w:r w:rsidRPr="009D4627">
        <w:rPr>
          <w:b/>
          <w:szCs w:val="22"/>
          <w:lang w:val="en-MY"/>
        </w:rPr>
        <w:t xml:space="preserve">Cover test:       </w:t>
      </w:r>
      <w:r w:rsidRPr="009D4627">
        <w:rPr>
          <w:bCs/>
          <w:szCs w:val="22"/>
          <w:lang w:val="en-MY"/>
        </w:rPr>
        <w:t xml:space="preserve">with glasses </w:t>
      </w:r>
      <w:r w:rsidRPr="009D4627">
        <w:rPr>
          <w:bCs/>
          <w:szCs w:val="22"/>
          <w:lang w:val="en-MY"/>
        </w:rPr>
        <w:tab/>
        <w:t xml:space="preserve">1/3 m </w:t>
      </w:r>
      <w:r w:rsidRPr="009D4627">
        <w:rPr>
          <w:bCs/>
          <w:szCs w:val="22"/>
          <w:lang w:val="en-MY"/>
        </w:rPr>
        <w:tab/>
        <w:t xml:space="preserve">moderate exophoria (X) with good recovery in down </w:t>
      </w:r>
    </w:p>
    <w:p w14:paraId="1993A908" w14:textId="77777777" w:rsidR="00CE6626" w:rsidRPr="009D4627" w:rsidRDefault="00CE6626" w:rsidP="00CE6626">
      <w:pPr>
        <w:spacing w:before="0" w:after="0" w:line="240" w:lineRule="auto"/>
        <w:ind w:left="2880" w:firstLine="720"/>
        <w:rPr>
          <w:bCs/>
          <w:szCs w:val="22"/>
          <w:lang w:val="en-MY"/>
        </w:rPr>
      </w:pPr>
      <w:r w:rsidRPr="009D4627">
        <w:rPr>
          <w:bCs/>
          <w:szCs w:val="22"/>
          <w:lang w:val="en-MY"/>
        </w:rPr>
        <w:t>gaze through bifocal</w:t>
      </w:r>
    </w:p>
    <w:p w14:paraId="50C86292" w14:textId="77777777" w:rsidR="00CE6626" w:rsidRPr="009D4627" w:rsidRDefault="00CE6626" w:rsidP="00CE6626">
      <w:pPr>
        <w:spacing w:before="0" w:after="0" w:line="240" w:lineRule="auto"/>
        <w:rPr>
          <w:bCs/>
          <w:szCs w:val="22"/>
          <w:lang w:val="en-MY"/>
        </w:rPr>
      </w:pPr>
      <w:r w:rsidRPr="009D4627">
        <w:rPr>
          <w:bCs/>
          <w:szCs w:val="22"/>
          <w:lang w:val="en-MY"/>
        </w:rPr>
        <w:t xml:space="preserve">                                             </w:t>
      </w:r>
      <w:r w:rsidRPr="009D4627">
        <w:rPr>
          <w:bCs/>
          <w:szCs w:val="22"/>
          <w:lang w:val="en-MY"/>
        </w:rPr>
        <w:tab/>
        <w:t xml:space="preserve">6 m </w:t>
      </w:r>
      <w:r w:rsidRPr="009D4627">
        <w:rPr>
          <w:bCs/>
          <w:szCs w:val="22"/>
          <w:lang w:val="en-MY"/>
        </w:rPr>
        <w:tab/>
        <w:t>slight X with good recovery</w:t>
      </w:r>
    </w:p>
    <w:p w14:paraId="327A6840" w14:textId="77777777" w:rsidR="00CE6626" w:rsidRPr="009D4627" w:rsidRDefault="00CE6626" w:rsidP="00CE6626">
      <w:pPr>
        <w:spacing w:before="0" w:after="0" w:line="240" w:lineRule="auto"/>
        <w:rPr>
          <w:bCs/>
          <w:szCs w:val="22"/>
          <w:lang w:val="en-MY"/>
        </w:rPr>
      </w:pPr>
    </w:p>
    <w:p w14:paraId="1CFE1BF2" w14:textId="77777777" w:rsidR="00CE6626" w:rsidRPr="009D4627" w:rsidRDefault="00CE6626" w:rsidP="00CE6626">
      <w:pPr>
        <w:spacing w:before="0" w:after="0" w:line="240" w:lineRule="auto"/>
        <w:rPr>
          <w:b/>
          <w:szCs w:val="22"/>
          <w:lang w:val="en-MY"/>
        </w:rPr>
      </w:pPr>
      <w:r w:rsidRPr="009D4627">
        <w:rPr>
          <w:b/>
          <w:szCs w:val="22"/>
          <w:lang w:val="en-MY"/>
        </w:rPr>
        <w:t>OMT:</w:t>
      </w:r>
    </w:p>
    <w:p w14:paraId="5B82CB55" w14:textId="474E7403" w:rsidR="00CE6626" w:rsidRPr="009D4627" w:rsidRDefault="00A2792E" w:rsidP="00CE6626">
      <w:pPr>
        <w:spacing w:before="0" w:line="240" w:lineRule="auto"/>
        <w:rPr>
          <w:bCs/>
          <w:szCs w:val="22"/>
          <w:lang w:val="en-MY"/>
        </w:rPr>
      </w:pPr>
      <w:r w:rsidRPr="009D4627">
        <w:rPr>
          <w:noProof/>
        </w:rPr>
        <mc:AlternateContent>
          <mc:Choice Requires="wpg">
            <w:drawing>
              <wp:anchor distT="0" distB="0" distL="114300" distR="114300" simplePos="0" relativeHeight="251750400" behindDoc="0" locked="0" layoutInCell="1" allowOverlap="1" wp14:anchorId="77D2A0AF" wp14:editId="109464B7">
                <wp:simplePos x="0" y="0"/>
                <wp:positionH relativeFrom="column">
                  <wp:posOffset>1162050</wp:posOffset>
                </wp:positionH>
                <wp:positionV relativeFrom="paragraph">
                  <wp:posOffset>71120</wp:posOffset>
                </wp:positionV>
                <wp:extent cx="3176270" cy="1009650"/>
                <wp:effectExtent l="0" t="0" r="0" b="0"/>
                <wp:wrapNone/>
                <wp:docPr id="23547" name="Group 23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6270" cy="1009650"/>
                          <a:chOff x="0" y="0"/>
                          <a:chExt cx="31762" cy="10096"/>
                        </a:xfrm>
                      </wpg:grpSpPr>
                      <wpg:grpSp>
                        <wpg:cNvPr id="23548" name="Group 21926"/>
                        <wpg:cNvGrpSpPr>
                          <a:grpSpLocks/>
                        </wpg:cNvGrpSpPr>
                        <wpg:grpSpPr bwMode="auto">
                          <a:xfrm>
                            <a:off x="0" y="762"/>
                            <a:ext cx="14618" cy="9334"/>
                            <a:chOff x="0" y="0"/>
                            <a:chExt cx="14618" cy="9334"/>
                          </a:xfrm>
                        </wpg:grpSpPr>
                        <wps:wsp>
                          <wps:cNvPr id="23549" name="Rectangle 21927"/>
                          <wps:cNvSpPr>
                            <a:spLocks noChangeArrowheads="1"/>
                          </wps:cNvSpPr>
                          <wps:spPr bwMode="auto">
                            <a:xfrm>
                              <a:off x="1524" y="6762"/>
                              <a:ext cx="3810" cy="2572"/>
                            </a:xfrm>
                            <a:prstGeom prst="rect">
                              <a:avLst/>
                            </a:prstGeom>
                            <a:noFill/>
                            <a:ln>
                              <a:noFill/>
                            </a:ln>
                          </wps:spPr>
                          <wps:txbx>
                            <w:txbxContent>
                              <w:p w14:paraId="7FACCB85" w14:textId="77777777" w:rsidR="00CE6626" w:rsidRPr="00435FA1"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wps:txbx>
                          <wps:bodyPr rot="0" vert="horz" wrap="square" lIns="0" tIns="0" rIns="0" bIns="0" anchor="ctr" anchorCtr="0" upright="1">
                            <a:noAutofit/>
                          </wps:bodyPr>
                        </wps:wsp>
                        <wpg:grpSp>
                          <wpg:cNvPr id="23550" name="Group 21928"/>
                          <wpg:cNvGrpSpPr>
                            <a:grpSpLocks/>
                          </wpg:cNvGrpSpPr>
                          <wpg:grpSpPr bwMode="auto">
                            <a:xfrm>
                              <a:off x="0" y="0"/>
                              <a:ext cx="14618" cy="9099"/>
                              <a:chOff x="0" y="0"/>
                              <a:chExt cx="14618" cy="9099"/>
                            </a:xfrm>
                          </wpg:grpSpPr>
                          <wps:wsp>
                            <wps:cNvPr id="23551" name="Rectangle 21929"/>
                            <wps:cNvSpPr>
                              <a:spLocks noChangeArrowheads="1"/>
                            </wps:cNvSpPr>
                            <wps:spPr bwMode="auto">
                              <a:xfrm>
                                <a:off x="0" y="4000"/>
                                <a:ext cx="2997" cy="2286"/>
                              </a:xfrm>
                              <a:prstGeom prst="rect">
                                <a:avLst/>
                              </a:prstGeom>
                              <a:noFill/>
                              <a:ln>
                                <a:noFill/>
                              </a:ln>
                            </wps:spPr>
                            <wps:txbx>
                              <w:txbxContent>
                                <w:p w14:paraId="1D88896A"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1A0C7330" w14:textId="77777777" w:rsidR="00CE6626" w:rsidRPr="001B6DF7"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cNvPr id="23552" name="Group 21930"/>
                            <wpg:cNvGrpSpPr>
                              <a:grpSpLocks/>
                            </wpg:cNvGrpSpPr>
                            <wpg:grpSpPr bwMode="auto">
                              <a:xfrm>
                                <a:off x="2571" y="0"/>
                                <a:ext cx="12047" cy="9099"/>
                                <a:chOff x="0" y="0"/>
                                <a:chExt cx="12047" cy="9099"/>
                              </a:xfrm>
                            </wpg:grpSpPr>
                            <wps:wsp>
                              <wps:cNvPr id="23553" name="Rectangle 21931"/>
                              <wps:cNvSpPr>
                                <a:spLocks noChangeArrowheads="1"/>
                              </wps:cNvSpPr>
                              <wps:spPr bwMode="auto">
                                <a:xfrm>
                                  <a:off x="0" y="0"/>
                                  <a:ext cx="3032" cy="2285"/>
                                </a:xfrm>
                                <a:prstGeom prst="rect">
                                  <a:avLst/>
                                </a:prstGeom>
                                <a:noFill/>
                                <a:ln>
                                  <a:noFill/>
                                </a:ln>
                              </wps:spPr>
                              <wps:txbx>
                                <w:txbxContent>
                                  <w:p w14:paraId="598FA36B"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cNvPr id="23554" name="Group 21932"/>
                              <wpg:cNvGrpSpPr>
                                <a:grpSpLocks/>
                              </wpg:cNvGrpSpPr>
                              <wpg:grpSpPr bwMode="auto">
                                <a:xfrm>
                                  <a:off x="857" y="190"/>
                                  <a:ext cx="11190" cy="8909"/>
                                  <a:chOff x="0" y="0"/>
                                  <a:chExt cx="11189" cy="8909"/>
                                </a:xfrm>
                              </wpg:grpSpPr>
                              <wps:wsp>
                                <wps:cNvPr id="23555" name="Rectangle 21933"/>
                                <wps:cNvSpPr>
                                  <a:spLocks noChangeArrowheads="1"/>
                                </wps:cNvSpPr>
                                <wps:spPr bwMode="auto">
                                  <a:xfrm>
                                    <a:off x="6477" y="0"/>
                                    <a:ext cx="3028" cy="1879"/>
                                  </a:xfrm>
                                  <a:prstGeom prst="rect">
                                    <a:avLst/>
                                  </a:prstGeom>
                                  <a:noFill/>
                                  <a:ln>
                                    <a:noFill/>
                                  </a:ln>
                                </wps:spPr>
                                <wps:txbx>
                                  <w:txbxContent>
                                    <w:p w14:paraId="3775B69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cNvPr id="23556" name="Group 21934"/>
                                <wpg:cNvGrpSpPr>
                                  <a:grpSpLocks/>
                                </wpg:cNvGrpSpPr>
                                <wpg:grpSpPr bwMode="auto">
                                  <a:xfrm>
                                    <a:off x="0" y="762"/>
                                    <a:ext cx="11189" cy="8147"/>
                                    <a:chOff x="0" y="0"/>
                                    <a:chExt cx="11189" cy="8147"/>
                                  </a:xfrm>
                                </wpg:grpSpPr>
                                <wpg:grpSp>
                                  <wpg:cNvPr id="23557" name="Group 21935"/>
                                  <wpg:cNvGrpSpPr>
                                    <a:grpSpLocks/>
                                  </wpg:cNvGrpSpPr>
                                  <wpg:grpSpPr bwMode="auto">
                                    <a:xfrm>
                                      <a:off x="0" y="0"/>
                                      <a:ext cx="8763" cy="8147"/>
                                      <a:chOff x="0" y="0"/>
                                      <a:chExt cx="8763" cy="8147"/>
                                    </a:xfrm>
                                  </wpg:grpSpPr>
                                  <wpg:grpSp>
                                    <wpg:cNvPr id="23558" name="Group 21936"/>
                                    <wpg:cNvGrpSpPr>
                                      <a:grpSpLocks/>
                                    </wpg:cNvGrpSpPr>
                                    <wpg:grpSpPr bwMode="auto">
                                      <a:xfrm>
                                        <a:off x="7715" y="1905"/>
                                        <a:ext cx="1048" cy="4406"/>
                                        <a:chOff x="0" y="0"/>
                                        <a:chExt cx="104775" cy="440944"/>
                                      </a:xfrm>
                                    </wpg:grpSpPr>
                                    <wps:wsp>
                                      <wps:cNvPr id="23559" name="Straight Connector 21937"/>
                                      <wps:cNvCnPr>
                                        <a:cxnSpLocks noChangeShapeType="1"/>
                                      </wps:cNvCnPr>
                                      <wps:spPr bwMode="auto">
                                        <a:xfrm rot="16200000" flipV="1">
                                          <a:off x="-211773" y="214599"/>
                                          <a:ext cx="440944" cy="11745"/>
                                        </a:xfrm>
                                        <a:prstGeom prst="line">
                                          <a:avLst/>
                                        </a:prstGeom>
                                        <a:noFill/>
                                        <a:ln w="6350">
                                          <a:solidFill>
                                            <a:srgbClr val="000000"/>
                                          </a:solidFill>
                                          <a:miter lim="800000"/>
                                          <a:headEnd/>
                                          <a:tailEnd/>
                                        </a:ln>
                                      </wps:spPr>
                                      <wps:bodyPr/>
                                    </wps:wsp>
                                    <wps:wsp>
                                      <wps:cNvPr id="23560" name="Straight Connector 21938"/>
                                      <wps:cNvCnPr>
                                        <a:cxnSpLocks noChangeShapeType="1"/>
                                      </wps:cNvCnPr>
                                      <wps:spPr bwMode="auto">
                                        <a:xfrm flipH="1">
                                          <a:off x="38100" y="264446"/>
                                          <a:ext cx="66675" cy="78105"/>
                                        </a:xfrm>
                                        <a:prstGeom prst="line">
                                          <a:avLst/>
                                        </a:prstGeom>
                                        <a:noFill/>
                                        <a:ln w="19050">
                                          <a:solidFill>
                                            <a:srgbClr val="000000"/>
                                          </a:solidFill>
                                          <a:miter lim="800000"/>
                                          <a:headEnd/>
                                          <a:tailEnd/>
                                        </a:ln>
                                      </wps:spPr>
                                      <wps:bodyPr/>
                                    </wps:wsp>
                                    <wps:wsp>
                                      <wps:cNvPr id="23561" name="Straight Connector 21939"/>
                                      <wps:cNvCnPr>
                                        <a:cxnSpLocks noChangeShapeType="1"/>
                                      </wps:cNvCnPr>
                                      <wps:spPr bwMode="auto">
                                        <a:xfrm flipH="1">
                                          <a:off x="9525" y="178721"/>
                                          <a:ext cx="66675" cy="78105"/>
                                        </a:xfrm>
                                        <a:prstGeom prst="line">
                                          <a:avLst/>
                                        </a:prstGeom>
                                        <a:noFill/>
                                        <a:ln w="19050">
                                          <a:solidFill>
                                            <a:srgbClr val="000000"/>
                                          </a:solidFill>
                                          <a:miter lim="800000"/>
                                          <a:headEnd/>
                                          <a:tailEnd/>
                                        </a:ln>
                                      </wps:spPr>
                                      <wps:bodyPr/>
                                    </wps:wsp>
                                    <wps:wsp>
                                      <wps:cNvPr id="23562" name="Straight Connector 21940"/>
                                      <wps:cNvCnPr>
                                        <a:cxnSpLocks noChangeShapeType="1"/>
                                      </wps:cNvCnPr>
                                      <wps:spPr bwMode="auto">
                                        <a:xfrm flipH="1">
                                          <a:off x="0" y="92996"/>
                                          <a:ext cx="66675" cy="78105"/>
                                        </a:xfrm>
                                        <a:prstGeom prst="line">
                                          <a:avLst/>
                                        </a:prstGeom>
                                        <a:noFill/>
                                        <a:ln w="19050">
                                          <a:solidFill>
                                            <a:srgbClr val="000000"/>
                                          </a:solidFill>
                                          <a:miter lim="800000"/>
                                          <a:headEnd/>
                                          <a:tailEnd/>
                                        </a:ln>
                                      </wps:spPr>
                                      <wps:bodyPr/>
                                    </wps:wsp>
                                  </wpg:grpSp>
                                  <wps:wsp>
                                    <wps:cNvPr id="23563" name="Oval 21941"/>
                                    <wps:cNvSpPr>
                                      <a:spLocks noChangeArrowheads="1"/>
                                    </wps:cNvSpPr>
                                    <wps:spPr bwMode="auto">
                                      <a:xfrm>
                                        <a:off x="0" y="0"/>
                                        <a:ext cx="8559"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s:wsp>
                                  <wps:cNvPr id="23564" name="Rectangle 21942"/>
                                  <wps:cNvSpPr>
                                    <a:spLocks noChangeArrowheads="1"/>
                                  </wps:cNvSpPr>
                                  <wps:spPr bwMode="auto">
                                    <a:xfrm>
                                      <a:off x="8191" y="2571"/>
                                      <a:ext cx="2998" cy="2288"/>
                                    </a:xfrm>
                                    <a:prstGeom prst="rect">
                                      <a:avLst/>
                                    </a:prstGeom>
                                    <a:noFill/>
                                    <a:ln>
                                      <a:noFill/>
                                    </a:ln>
                                  </wps:spPr>
                                  <wps:txbx>
                                    <w:txbxContent>
                                      <w:p w14:paraId="2114DC7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wps:txbx>
                                  <wps:bodyPr rot="0" vert="horz" wrap="square" lIns="0" tIns="0" rIns="0" bIns="0" anchor="ctr" anchorCtr="0" upright="1">
                                    <a:noAutofit/>
                                  </wps:bodyPr>
                                </wps:wsp>
                              </wpg:grpSp>
                            </wpg:grpSp>
                          </wpg:grpSp>
                        </wpg:grpSp>
                      </wpg:grpSp>
                      <wpg:grpSp>
                        <wpg:cNvPr id="23565" name="Group 21943"/>
                        <wpg:cNvGrpSpPr>
                          <a:grpSpLocks/>
                        </wpg:cNvGrpSpPr>
                        <wpg:grpSpPr bwMode="auto">
                          <a:xfrm>
                            <a:off x="17430" y="0"/>
                            <a:ext cx="14332" cy="10075"/>
                            <a:chOff x="0" y="0"/>
                            <a:chExt cx="14331" cy="10075"/>
                          </a:xfrm>
                        </wpg:grpSpPr>
                        <wps:wsp>
                          <wps:cNvPr id="23566" name="Rectangle 21944"/>
                          <wps:cNvSpPr>
                            <a:spLocks noChangeArrowheads="1"/>
                          </wps:cNvSpPr>
                          <wps:spPr bwMode="auto">
                            <a:xfrm>
                              <a:off x="11334" y="4476"/>
                              <a:ext cx="2997" cy="2286"/>
                            </a:xfrm>
                            <a:prstGeom prst="rect">
                              <a:avLst/>
                            </a:prstGeom>
                            <a:noFill/>
                            <a:ln>
                              <a:noFill/>
                            </a:ln>
                          </wps:spPr>
                          <wps:txbx>
                            <w:txbxContent>
                              <w:p w14:paraId="25FF2E04"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49950E05" w14:textId="77777777" w:rsidR="00CE6626" w:rsidRPr="001B6DF7"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cNvPr id="23567" name="Group 21945"/>
                          <wpg:cNvGrpSpPr>
                            <a:grpSpLocks/>
                          </wpg:cNvGrpSpPr>
                          <wpg:grpSpPr bwMode="auto">
                            <a:xfrm>
                              <a:off x="0" y="0"/>
                              <a:ext cx="11605" cy="10075"/>
                              <a:chOff x="0" y="0"/>
                              <a:chExt cx="11605" cy="10075"/>
                            </a:xfrm>
                          </wpg:grpSpPr>
                          <wps:wsp>
                            <wps:cNvPr id="23568" name="Rectangle 21946"/>
                            <wps:cNvSpPr>
                              <a:spLocks noChangeArrowheads="1"/>
                            </wps:cNvSpPr>
                            <wps:spPr bwMode="auto">
                              <a:xfrm>
                                <a:off x="8572" y="0"/>
                                <a:ext cx="3033" cy="2285"/>
                              </a:xfrm>
                              <a:prstGeom prst="rect">
                                <a:avLst/>
                              </a:prstGeom>
                              <a:noFill/>
                              <a:ln>
                                <a:noFill/>
                              </a:ln>
                            </wps:spPr>
                            <wps:txbx>
                              <w:txbxContent>
                                <w:p w14:paraId="3544C78F"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wps:txbx>
                            <wps:bodyPr rot="0" vert="horz" wrap="square" lIns="0" tIns="0" rIns="0" bIns="0" anchor="ctr" anchorCtr="0" upright="1">
                              <a:noAutofit/>
                            </wps:bodyPr>
                          </wps:wsp>
                          <wpg:grpSp>
                            <wpg:cNvPr id="23569" name="Group 21947"/>
                            <wpg:cNvGrpSpPr>
                              <a:grpSpLocks/>
                            </wpg:cNvGrpSpPr>
                            <wpg:grpSpPr bwMode="auto">
                              <a:xfrm>
                                <a:off x="0" y="190"/>
                                <a:ext cx="11325" cy="9885"/>
                                <a:chOff x="0" y="0"/>
                                <a:chExt cx="11325" cy="9885"/>
                              </a:xfrm>
                            </wpg:grpSpPr>
                            <wpg:grpSp>
                              <wpg:cNvPr id="23570" name="Group 21948"/>
                              <wpg:cNvGrpSpPr>
                                <a:grpSpLocks/>
                              </wpg:cNvGrpSpPr>
                              <wpg:grpSpPr bwMode="auto">
                                <a:xfrm>
                                  <a:off x="2762" y="0"/>
                                  <a:ext cx="8563" cy="9885"/>
                                  <a:chOff x="0" y="0"/>
                                  <a:chExt cx="8563" cy="9885"/>
                                </a:xfrm>
                              </wpg:grpSpPr>
                              <wpg:grpSp>
                                <wpg:cNvPr id="23571" name="Group 21949"/>
                                <wpg:cNvGrpSpPr>
                                  <a:grpSpLocks/>
                                </wpg:cNvGrpSpPr>
                                <wpg:grpSpPr bwMode="auto">
                                  <a:xfrm>
                                    <a:off x="0" y="0"/>
                                    <a:ext cx="8563" cy="9430"/>
                                    <a:chOff x="0" y="1011"/>
                                    <a:chExt cx="9144" cy="10569"/>
                                  </a:xfrm>
                                </wpg:grpSpPr>
                                <wps:wsp>
                                  <wps:cNvPr id="23572" name="Oval 21950"/>
                                  <wps:cNvSpPr>
                                    <a:spLocks noChangeArrowheads="1"/>
                                  </wps:cNvSpPr>
                                  <wps:spPr bwMode="auto">
                                    <a:xfrm>
                                      <a:off x="0" y="2437"/>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573" name="Rectangle 21951"/>
                                  <wps:cNvSpPr>
                                    <a:spLocks noChangeArrowheads="1"/>
                                  </wps:cNvSpPr>
                                  <wps:spPr bwMode="auto">
                                    <a:xfrm>
                                      <a:off x="39" y="1011"/>
                                      <a:ext cx="3370" cy="2220"/>
                                    </a:xfrm>
                                    <a:prstGeom prst="rect">
                                      <a:avLst/>
                                    </a:prstGeom>
                                    <a:noFill/>
                                    <a:ln>
                                      <a:noFill/>
                                    </a:ln>
                                  </wps:spPr>
                                  <wps:txbx>
                                    <w:txbxContent>
                                      <w:p w14:paraId="20E8D77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s:wsp>
                                <wps:cNvPr id="23574" name="Rectangle 21952"/>
                                <wps:cNvSpPr>
                                  <a:spLocks noChangeArrowheads="1"/>
                                </wps:cNvSpPr>
                                <wps:spPr bwMode="auto">
                                  <a:xfrm>
                                    <a:off x="190" y="7905"/>
                                    <a:ext cx="1561" cy="1980"/>
                                  </a:xfrm>
                                  <a:prstGeom prst="rect">
                                    <a:avLst/>
                                  </a:prstGeom>
                                  <a:noFill/>
                                  <a:ln>
                                    <a:noFill/>
                                  </a:ln>
                                </wps:spPr>
                                <wps:txbx>
                                  <w:txbxContent>
                                    <w:p w14:paraId="46B3188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s:wsp>
                              <wps:cNvPr id="23575" name="Rectangle 21953"/>
                              <wps:cNvSpPr>
                                <a:spLocks noChangeArrowheads="1"/>
                              </wps:cNvSpPr>
                              <wps:spPr bwMode="auto">
                                <a:xfrm>
                                  <a:off x="0" y="4381"/>
                                  <a:ext cx="2997" cy="2286"/>
                                </a:xfrm>
                                <a:prstGeom prst="rect">
                                  <a:avLst/>
                                </a:prstGeom>
                                <a:noFill/>
                                <a:ln>
                                  <a:noFill/>
                                </a:ln>
                              </wps:spPr>
                              <wps:txbx>
                                <w:txbxContent>
                                  <w:p w14:paraId="2413891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1C7F0968" w14:textId="77777777" w:rsidR="00CE6626" w:rsidRPr="001B6DF7"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77D2A0AF" id="Group 23547" o:spid="_x0000_s1836" style="position:absolute;left:0;text-align:left;margin-left:91.5pt;margin-top:5.6pt;width:250.1pt;height:79.5pt;z-index:251750400;mso-position-horizontal-relative:text;mso-position-vertical-relative:text" coordsize="31762,1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">
                <v:group id="Group 21926" o:spid="_x0000_s1837" style="position:absolute;top:762;width:14618;height:9334" coordsize="14618,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">
                  <v:rect id="Rectangle 21927" o:spid="_x0000_s1838" style="position:absolute;left:1524;top:6762;width:3810;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" filled="f" stroked="f">
                    <v:textbox inset="0,0,0,0">
                      <w:txbxContent>
                        <w:p w14:paraId="7FACCB85" w14:textId="77777777" w:rsidR="00CE6626" w:rsidRPr="00435FA1"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v:textbox>
                  </v:rect>
                  <v:group id="Group 21928" o:spid="_x0000_s1839" style="position:absolute;width:14618;height:9099" coordsize="14618,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">
                    <v:rect id="Rectangle 21929" o:spid="_x0000_s1840" style="position:absolute;top:4000;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" filled="f" stroked="f">
                      <v:textbox inset="0,0,0,0">
                        <w:txbxContent>
                          <w:p w14:paraId="1D88896A"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1A0C7330" w14:textId="77777777" w:rsidR="00CE6626" w:rsidRPr="001B6DF7" w:rsidRDefault="00CE6626" w:rsidP="00CE6626">
                            <w:pPr>
                              <w:jc w:val="center"/>
                              <w:rPr>
                                <w:rFonts w:asciiTheme="minorHAnsi" w:hAnsiTheme="minorHAnsi" w:cstheme="minorHAnsi"/>
                                <w:sz w:val="20"/>
                                <w:szCs w:val="20"/>
                                <w:lang w:val="en-US"/>
                              </w:rPr>
                            </w:pPr>
                          </w:p>
                        </w:txbxContent>
                      </v:textbox>
                    </v:rect>
                    <v:group id="Group 21930" o:spid="_x0000_s1841" style="position:absolute;left:2571;width:12047;height:9099" coordsize="12047,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">
                      <v:rect id="Rectangle 21931" o:spid="_x0000_s1842" style="position:absolute;width:3032;height:2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" filled="f" stroked="f">
                        <v:textbox inset="0,0,0,0">
                          <w:txbxContent>
                            <w:p w14:paraId="598FA36B"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id="Group 21932" o:spid="_x0000_s1843" style="position:absolute;left:857;top:190;width:11190;height:8909" coordsize="11189,8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">
                        <v:rect id="Rectangle 21933" o:spid="_x0000_s1844" style="position:absolute;left:6477;width:3028;height:1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" filled="f" stroked="f">
                          <v:textbox inset="0,0,0,0">
                            <w:txbxContent>
                              <w:p w14:paraId="3775B69E"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id="Group 21934" o:spid="_x0000_s1845" style="position:absolute;top:762;width:11189;height:8147" coordsize="11189,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">
                          <v:group id="Group 21935" o:spid="_x0000_s1846" style="position:absolute;width:8763;height:8147" coordsize="8763,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">
                            <v:group id="Group 21936" o:spid="_x0000_s1847" style="position:absolute;left:7715;top:1905;width:1048;height:4406" coordsize="104775,440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">
                              <v:line id="Straight Connector 21937" o:spid="_x0000_s1848" style="position:absolute;rotation:90;flip:y;visibility:visible;mso-wrap-style:square" from="-211773,214599" to="229171,226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" strokeweight=".5pt">
                                <v:stroke joinstyle="miter"/>
                              </v:line>
                              <v:line id="Straight Connector 21938" o:spid="_x0000_s1849" style="position:absolute;flip:x;visibility:visible;mso-wrap-style:square" from="38100,264446" to="104775,34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" strokeweight="1.5pt">
                                <v:stroke joinstyle="miter"/>
                              </v:line>
                              <v:line id="Straight Connector 21939" o:spid="_x0000_s1850" style="position:absolute;flip:x;visibility:visible;mso-wrap-style:square" from="9525,178721" to="76200,256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" strokeweight="1.5pt">
                                <v:stroke joinstyle="miter"/>
                              </v:line>
                              <v:line id="Straight Connector 21940" o:spid="_x0000_s1851" style="position:absolute;flip:x;visibility:visible;mso-wrap-style:square" from="0,92996" to="66675,17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" strokeweight="1.5pt">
                                <v:stroke joinstyle="miter"/>
                              </v:line>
                            </v:group>
                            <v:oval id="Oval 21941" o:spid="_x0000_s1852" style="position:absolute;width:8559;height:8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" filled="f" strokeweight="1pt">
                              <v:stroke joinstyle="miter"/>
                            </v:oval>
                          </v:group>
                          <v:rect id="Rectangle 21942" o:spid="_x0000_s1853" style="position:absolute;left:8191;top:2571;width:2998;height: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" filled="f" stroked="f">
                            <v:textbox inset="0,0,0,0">
                              <w:txbxContent>
                                <w:p w14:paraId="2114DC7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txbxContent>
                            </v:textbox>
                          </v:rect>
                        </v:group>
                      </v:group>
                    </v:group>
                  </v:group>
                </v:group>
                <v:group id="Group 21943" o:spid="_x0000_s1854" style="position:absolute;left:17430;width:14332;height:10075" coordsize="14331,1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">
                  <v:rect id="Rectangle 21944" o:spid="_x0000_s1855" style="position:absolute;left:11334;top:4476;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" filled="f" stroked="f">
                    <v:textbox inset="0,0,0,0">
                      <w:txbxContent>
                        <w:p w14:paraId="25FF2E04"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49950E05" w14:textId="77777777" w:rsidR="00CE6626" w:rsidRPr="001B6DF7" w:rsidRDefault="00CE6626" w:rsidP="00CE6626">
                          <w:pPr>
                            <w:jc w:val="center"/>
                            <w:rPr>
                              <w:rFonts w:asciiTheme="minorHAnsi" w:hAnsiTheme="minorHAnsi" w:cstheme="minorHAnsi"/>
                              <w:sz w:val="20"/>
                              <w:szCs w:val="20"/>
                              <w:lang w:val="en-US"/>
                            </w:rPr>
                          </w:pPr>
                        </w:p>
                      </w:txbxContent>
                    </v:textbox>
                  </v:rect>
                  <v:group id="Group 21945" o:spid="_x0000_s1856" style="position:absolute;width:11605;height:10075" coordsize="11605,1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">
                    <v:rect id="Rectangle 21946" o:spid="_x0000_s1857" style="position:absolute;left:8572;width:3033;height:2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" filled="f" stroked="f">
                      <v:textbox inset="0,0,0,0">
                        <w:txbxContent>
                          <w:p w14:paraId="3544C78F"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½ </w:t>
                            </w:r>
                          </w:p>
                        </w:txbxContent>
                      </v:textbox>
                    </v:rect>
                    <v:group id="Group 21947" o:spid="_x0000_s1858" style="position:absolute;top:190;width:11325;height:9885" coordsize="11325,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">
                      <v:group id="Group 21948" o:spid="_x0000_s1859" style="position:absolute;left:2762;width:8563;height:9885" coordsize="8563,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">
                        <v:group id="Group 21949" o:spid="_x0000_s1860" style="position:absolute;width:8563;height:9430" coordorigin=",1011" coordsize="9144,1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">
                          <v:oval id="Oval 21950" o:spid="_x0000_s1861" style="position:absolute;top:2437;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" filled="f" strokeweight="1pt">
                            <v:stroke joinstyle="miter"/>
                          </v:oval>
                          <v:rect id="Rectangle 21951" o:spid="_x0000_s1862" style="position:absolute;left:39;top:1011;width:3370;height:2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" filled="f" stroked="f">
                            <v:textbox inset="0,0,0,0">
                              <w:txbxContent>
                                <w:p w14:paraId="20E8D77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rect id="Rectangle 21952" o:spid="_x0000_s1863" style="position:absolute;left:190;top:7905;width:1561;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" filled="f" stroked="f">
                          <v:textbox inset="0,0,0,0">
                            <w:txbxContent>
                              <w:p w14:paraId="46B3188D"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v:rect id="Rectangle 21953" o:spid="_x0000_s1864" style="position:absolute;top:4381;width:2997;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" filled="f" stroked="f">
                        <v:textbox inset="0,0,0,0">
                          <w:txbxContent>
                            <w:p w14:paraId="24138917"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½</w:t>
                              </w:r>
                            </w:p>
                            <w:p w14:paraId="1C7F0968" w14:textId="77777777" w:rsidR="00CE6626" w:rsidRPr="001B6DF7" w:rsidRDefault="00CE6626" w:rsidP="00CE6626">
                              <w:pPr>
                                <w:jc w:val="center"/>
                                <w:rPr>
                                  <w:rFonts w:asciiTheme="minorHAnsi" w:hAnsiTheme="minorHAnsi" w:cstheme="minorHAnsi"/>
                                  <w:sz w:val="20"/>
                                  <w:szCs w:val="20"/>
                                  <w:lang w:val="en-US"/>
                                </w:rPr>
                              </w:pPr>
                            </w:p>
                          </w:txbxContent>
                        </v:textbox>
                      </v:rect>
                    </v:group>
                  </v:group>
                </v:group>
              </v:group>
            </w:pict>
          </mc:Fallback>
        </mc:AlternateContent>
      </w:r>
    </w:p>
    <w:p w14:paraId="05744F69" w14:textId="77777777" w:rsidR="00CE6626" w:rsidRPr="009D4627" w:rsidRDefault="00CE6626" w:rsidP="00CE6626">
      <w:pPr>
        <w:spacing w:before="0" w:after="0" w:line="240" w:lineRule="auto"/>
        <w:rPr>
          <w:bCs/>
          <w:szCs w:val="22"/>
          <w:lang w:val="en-MY"/>
        </w:rPr>
      </w:pPr>
      <w:r w:rsidRPr="009D4627">
        <w:rPr>
          <w:b/>
          <w:szCs w:val="22"/>
          <w:lang w:val="en-MY"/>
        </w:rPr>
        <w:lastRenderedPageBreak/>
        <w:t xml:space="preserve">PCT: </w:t>
      </w:r>
      <w:r w:rsidRPr="009D4627">
        <w:rPr>
          <w:bCs/>
          <w:szCs w:val="22"/>
          <w:lang w:val="en-MY"/>
        </w:rPr>
        <w:tab/>
        <w:t xml:space="preserve">with glasses </w:t>
      </w:r>
      <w:r w:rsidRPr="009D4627">
        <w:rPr>
          <w:bCs/>
          <w:szCs w:val="22"/>
          <w:lang w:val="en-MY"/>
        </w:rPr>
        <w:tab/>
        <w:t xml:space="preserve">1/3 m </w:t>
      </w:r>
      <w:r w:rsidRPr="009D4627">
        <w:rPr>
          <w:bCs/>
          <w:szCs w:val="22"/>
          <w:lang w:val="en-MY"/>
        </w:rPr>
        <w:tab/>
        <w:t>12</w:t>
      </w:r>
      <w:r w:rsidRPr="009D4627">
        <w:rPr>
          <w:bCs/>
          <w:szCs w:val="22"/>
          <w:vertAlign w:val="superscript"/>
          <w:lang w:val="en-MY"/>
        </w:rPr>
        <w:t>Δ</w:t>
      </w:r>
      <w:r w:rsidRPr="009D4627">
        <w:rPr>
          <w:bCs/>
          <w:szCs w:val="22"/>
          <w:lang w:val="en-MY"/>
        </w:rPr>
        <w:t xml:space="preserve"> X (down gaze 18-20</w:t>
      </w:r>
      <w:r w:rsidRPr="009D4627">
        <w:rPr>
          <w:bCs/>
          <w:szCs w:val="22"/>
          <w:vertAlign w:val="superscript"/>
          <w:lang w:val="en-MY"/>
        </w:rPr>
        <w:t>Δ</w:t>
      </w:r>
      <w:r w:rsidRPr="009D4627">
        <w:rPr>
          <w:bCs/>
          <w:szCs w:val="22"/>
          <w:lang w:val="en-MY"/>
        </w:rPr>
        <w:t xml:space="preserve"> X)</w:t>
      </w:r>
    </w:p>
    <w:p w14:paraId="5A173234" w14:textId="77777777" w:rsidR="00CE6626" w:rsidRPr="009D4627" w:rsidRDefault="00CE6626" w:rsidP="00CE6626">
      <w:pPr>
        <w:spacing w:before="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t>6 m       1</w:t>
      </w:r>
      <w:r w:rsidRPr="009D4627">
        <w:rPr>
          <w:bCs/>
          <w:szCs w:val="22"/>
          <w:vertAlign w:val="superscript"/>
          <w:lang w:val="en-MY"/>
        </w:rPr>
        <w:t>Δ</w:t>
      </w:r>
      <w:r w:rsidRPr="009D4627">
        <w:rPr>
          <w:bCs/>
          <w:szCs w:val="22"/>
          <w:lang w:val="en-MY"/>
        </w:rPr>
        <w:t xml:space="preserve"> X (no change on R or L gaze)</w:t>
      </w:r>
    </w:p>
    <w:p w14:paraId="46EDE489" w14:textId="77777777" w:rsidR="00CE6626" w:rsidRPr="009D4627" w:rsidRDefault="00CE6626" w:rsidP="00CE6626">
      <w:pPr>
        <w:spacing w:before="0" w:after="0" w:line="240" w:lineRule="auto"/>
        <w:rPr>
          <w:bCs/>
          <w:szCs w:val="22"/>
          <w:lang w:val="en-MY"/>
        </w:rPr>
      </w:pPr>
      <w:r w:rsidRPr="009D4627">
        <w:rPr>
          <w:b/>
          <w:szCs w:val="22"/>
          <w:lang w:val="en-MY"/>
        </w:rPr>
        <w:t xml:space="preserve">Assessment &amp; plan: </w:t>
      </w:r>
      <w:r w:rsidRPr="009D4627">
        <w:rPr>
          <w:b/>
          <w:szCs w:val="22"/>
          <w:lang w:val="en-MY"/>
        </w:rPr>
        <w:tab/>
      </w:r>
      <w:r w:rsidRPr="009D4627">
        <w:rPr>
          <w:bCs/>
          <w:szCs w:val="22"/>
          <w:lang w:val="en-MY"/>
        </w:rPr>
        <w:t>Fully recovered 3</w:t>
      </w:r>
      <w:r w:rsidRPr="009D4627">
        <w:rPr>
          <w:bCs/>
          <w:szCs w:val="22"/>
          <w:vertAlign w:val="superscript"/>
          <w:lang w:val="en-MY"/>
        </w:rPr>
        <w:t>rd</w:t>
      </w:r>
      <w:r w:rsidRPr="009D4627">
        <w:rPr>
          <w:bCs/>
          <w:szCs w:val="22"/>
          <w:lang w:val="en-MY"/>
        </w:rPr>
        <w:t xml:space="preserve"> nerve palsy.</w:t>
      </w:r>
    </w:p>
    <w:p w14:paraId="2F6527F9"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Discussed diabetic/ BP control.</w:t>
      </w:r>
    </w:p>
    <w:p w14:paraId="56BB4AE1" w14:textId="77777777" w:rsidR="00CE6626" w:rsidRPr="009D4627" w:rsidRDefault="00CE6626" w:rsidP="00CE6626">
      <w:pPr>
        <w:spacing w:before="0" w:after="0" w:line="240" w:lineRule="auto"/>
        <w:ind w:left="1440" w:firstLine="720"/>
        <w:rPr>
          <w:bCs/>
          <w:szCs w:val="22"/>
          <w:lang w:val="en-MY"/>
        </w:rPr>
      </w:pPr>
      <w:r w:rsidRPr="009D4627">
        <w:rPr>
          <w:bCs/>
          <w:szCs w:val="22"/>
          <w:lang w:val="en-MY"/>
        </w:rPr>
        <w:t>Discharged.</w:t>
      </w:r>
    </w:p>
    <w:p w14:paraId="6A348841" w14:textId="77777777" w:rsidR="00CE6626" w:rsidRPr="009D4627" w:rsidRDefault="00CE6626" w:rsidP="00CE6626">
      <w:pPr>
        <w:spacing w:before="0" w:line="240" w:lineRule="auto"/>
        <w:rPr>
          <w:bCs/>
          <w:szCs w:val="22"/>
          <w:lang w:val="en-MY"/>
        </w:rPr>
      </w:pPr>
    </w:p>
    <w:p w14:paraId="7C5C22BD" w14:textId="77777777" w:rsidR="00CE6626" w:rsidRPr="009D4627" w:rsidRDefault="00CE6626" w:rsidP="00CE6626">
      <w:pPr>
        <w:spacing w:before="0" w:line="240" w:lineRule="auto"/>
        <w:rPr>
          <w:szCs w:val="22"/>
          <w:lang w:val="en-MY"/>
        </w:rPr>
      </w:pPr>
      <w:r w:rsidRPr="009D4627">
        <w:rPr>
          <w:b/>
          <w:bCs/>
          <w:szCs w:val="22"/>
          <w:u w:val="single"/>
          <w:lang w:val="en-MY"/>
        </w:rPr>
        <w:t>19/11/19</w:t>
      </w:r>
      <w:r w:rsidRPr="009D4627">
        <w:rPr>
          <w:b/>
          <w:bCs/>
          <w:szCs w:val="22"/>
          <w:lang w:val="en-MY"/>
        </w:rPr>
        <w:t xml:space="preserve"> </w:t>
      </w:r>
      <w:r w:rsidRPr="009D4627">
        <w:rPr>
          <w:szCs w:val="22"/>
          <w:lang w:val="en-MY"/>
        </w:rPr>
        <w:t xml:space="preserve">– returned for further assessment due to occasional diplopia for near tasks and struggling with near small print – </w:t>
      </w:r>
      <w:proofErr w:type="gramStart"/>
      <w:r w:rsidRPr="009D4627">
        <w:rPr>
          <w:szCs w:val="22"/>
          <w:lang w:val="en-MY"/>
        </w:rPr>
        <w:t>e.g.</w:t>
      </w:r>
      <w:proofErr w:type="gramEnd"/>
      <w:r w:rsidRPr="009D4627">
        <w:rPr>
          <w:szCs w:val="22"/>
          <w:lang w:val="en-MY"/>
        </w:rPr>
        <w:t xml:space="preserve"> knitting patterns </w:t>
      </w:r>
    </w:p>
    <w:p w14:paraId="75ADB9E6"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0.12</w:t>
      </w:r>
      <w:r w:rsidRPr="009D4627">
        <w:rPr>
          <w:bCs/>
          <w:szCs w:val="22"/>
          <w:lang w:val="en-MY"/>
        </w:rPr>
        <w:tab/>
      </w:r>
      <w:r w:rsidRPr="009D4627">
        <w:rPr>
          <w:bCs/>
          <w:szCs w:val="22"/>
          <w:lang w:val="en-MY"/>
        </w:rPr>
        <w:tab/>
        <w:t>LE 0.12      ETDRS (</w:t>
      </w:r>
      <w:proofErr w:type="spellStart"/>
      <w:r w:rsidRPr="009D4627">
        <w:rPr>
          <w:bCs/>
          <w:szCs w:val="22"/>
          <w:lang w:val="en-MY"/>
        </w:rPr>
        <w:t>logMAR</w:t>
      </w:r>
      <w:proofErr w:type="spellEnd"/>
      <w:r w:rsidRPr="009D4627">
        <w:rPr>
          <w:bCs/>
          <w:szCs w:val="22"/>
          <w:lang w:val="en-MY"/>
        </w:rPr>
        <w:t>)</w:t>
      </w:r>
    </w:p>
    <w:p w14:paraId="24C19588" w14:textId="530F07C8"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 xml:space="preserve">     </w:t>
      </w:r>
      <w:r w:rsidR="00E147BE">
        <w:rPr>
          <w:bCs/>
          <w:szCs w:val="22"/>
          <w:lang w:val="en-MY"/>
        </w:rPr>
        <w:tab/>
      </w:r>
      <w:r w:rsidRPr="009D4627">
        <w:rPr>
          <w:bCs/>
          <w:szCs w:val="22"/>
          <w:lang w:val="en-MY"/>
        </w:rPr>
        <w:t xml:space="preserve"> 6/7.5</w:t>
      </w:r>
      <w:r w:rsidRPr="009D4627">
        <w:rPr>
          <w:bCs/>
          <w:szCs w:val="22"/>
          <w:vertAlign w:val="superscript"/>
          <w:lang w:val="en-MY"/>
        </w:rPr>
        <w:t>-1</w:t>
      </w:r>
      <w:r w:rsidRPr="009D4627">
        <w:rPr>
          <w:bCs/>
          <w:szCs w:val="22"/>
          <w:lang w:val="en-MY"/>
        </w:rPr>
        <w:tab/>
        <w:t xml:space="preserve">            </w:t>
      </w:r>
      <w:r w:rsidR="00E147BE">
        <w:rPr>
          <w:bCs/>
          <w:szCs w:val="22"/>
          <w:lang w:val="en-MY"/>
        </w:rPr>
        <w:tab/>
      </w:r>
      <w:r w:rsidRPr="009D4627">
        <w:rPr>
          <w:bCs/>
          <w:szCs w:val="22"/>
          <w:lang w:val="en-MY"/>
        </w:rPr>
        <w:t xml:space="preserve">    6/7.5</w:t>
      </w:r>
      <w:r w:rsidRPr="009D4627">
        <w:rPr>
          <w:bCs/>
          <w:szCs w:val="22"/>
          <w:vertAlign w:val="superscript"/>
          <w:lang w:val="en-MY"/>
        </w:rPr>
        <w:t>-1</w:t>
      </w:r>
      <w:proofErr w:type="gramStart"/>
      <w:r w:rsidRPr="009D4627">
        <w:rPr>
          <w:bCs/>
          <w:szCs w:val="22"/>
          <w:lang w:val="en-MY"/>
        </w:rPr>
        <w:t xml:space="preserve">   (</w:t>
      </w:r>
      <w:proofErr w:type="gramEnd"/>
      <w:r w:rsidRPr="009D4627">
        <w:rPr>
          <w:bCs/>
          <w:szCs w:val="22"/>
          <w:lang w:val="en-MY"/>
        </w:rPr>
        <w:t>Snellen equivalent)</w:t>
      </w:r>
    </w:p>
    <w:p w14:paraId="31924851" w14:textId="77777777" w:rsidR="00CE6626" w:rsidRPr="009D4627" w:rsidRDefault="00CE6626" w:rsidP="00CE6626">
      <w:pPr>
        <w:spacing w:before="0" w:after="0" w:line="240" w:lineRule="auto"/>
        <w:rPr>
          <w:bCs/>
          <w:szCs w:val="22"/>
          <w:lang w:val="en-MY"/>
        </w:rPr>
      </w:pPr>
    </w:p>
    <w:p w14:paraId="53ED10F5" w14:textId="77777777" w:rsidR="00CE6626" w:rsidRPr="009D4627" w:rsidRDefault="00CE6626" w:rsidP="00CE6626">
      <w:pPr>
        <w:spacing w:before="0" w:after="0" w:line="240" w:lineRule="auto"/>
        <w:rPr>
          <w:bCs/>
          <w:szCs w:val="22"/>
          <w:lang w:val="en-MY"/>
        </w:rPr>
      </w:pPr>
      <w:r w:rsidRPr="009D4627">
        <w:rPr>
          <w:bCs/>
          <w:szCs w:val="22"/>
          <w:lang w:val="en-MY"/>
        </w:rPr>
        <w:t>BE – v mild non-proliferative diabetic retinopathy</w:t>
      </w:r>
    </w:p>
    <w:p w14:paraId="48B0766C" w14:textId="77777777" w:rsidR="00CE6626" w:rsidRPr="009D4627" w:rsidRDefault="00CE6626" w:rsidP="00CE6626">
      <w:pPr>
        <w:spacing w:before="0" w:after="0" w:line="240" w:lineRule="auto"/>
        <w:rPr>
          <w:bCs/>
          <w:szCs w:val="22"/>
          <w:lang w:val="en-MY"/>
        </w:rPr>
      </w:pPr>
      <w:r w:rsidRPr="009D4627">
        <w:rPr>
          <w:bCs/>
          <w:szCs w:val="22"/>
          <w:lang w:val="en-MY"/>
        </w:rPr>
        <w:t>BE – cataract</w:t>
      </w:r>
    </w:p>
    <w:p w14:paraId="34BBEAE5" w14:textId="77777777" w:rsidR="00CE6626" w:rsidRPr="009D4627" w:rsidRDefault="00CE6626" w:rsidP="00CE6626">
      <w:pPr>
        <w:spacing w:before="0" w:after="0" w:line="240" w:lineRule="auto"/>
        <w:rPr>
          <w:bCs/>
          <w:szCs w:val="22"/>
          <w:lang w:val="en-MY"/>
        </w:rPr>
      </w:pPr>
      <w:r w:rsidRPr="009D4627">
        <w:rPr>
          <w:bCs/>
          <w:szCs w:val="22"/>
          <w:lang w:val="en-MY"/>
        </w:rPr>
        <w:t>BE – early AMD</w:t>
      </w:r>
    </w:p>
    <w:p w14:paraId="282F2EFB" w14:textId="77777777" w:rsidR="00CE6626" w:rsidRPr="009D4627" w:rsidRDefault="00CE6626" w:rsidP="00CE6626">
      <w:pPr>
        <w:spacing w:before="0" w:after="0" w:line="240" w:lineRule="auto"/>
        <w:rPr>
          <w:bCs/>
          <w:szCs w:val="22"/>
          <w:lang w:val="en-MY"/>
        </w:rPr>
      </w:pPr>
    </w:p>
    <w:p w14:paraId="352A1A37" w14:textId="77777777" w:rsidR="00CE6626" w:rsidRPr="009D4627" w:rsidRDefault="00CE6626" w:rsidP="00CE6626">
      <w:pPr>
        <w:spacing w:before="0" w:after="0" w:line="240" w:lineRule="auto"/>
        <w:rPr>
          <w:bCs/>
          <w:szCs w:val="22"/>
          <w:lang w:val="en-MY"/>
        </w:rPr>
      </w:pPr>
      <w:r w:rsidRPr="009D4627">
        <w:rPr>
          <w:b/>
          <w:szCs w:val="22"/>
          <w:lang w:val="en-MY"/>
        </w:rPr>
        <w:t xml:space="preserve">Cover test: </w:t>
      </w:r>
      <w:r w:rsidRPr="009D4627">
        <w:rPr>
          <w:bCs/>
          <w:szCs w:val="22"/>
          <w:lang w:val="en-MY"/>
        </w:rPr>
        <w:t>with glasses 1/3m slight + LXT with intermittent diplopia - tends to close LE</w:t>
      </w:r>
    </w:p>
    <w:p w14:paraId="2B3C9150" w14:textId="77777777" w:rsidR="00CE6626" w:rsidRPr="009D4627" w:rsidRDefault="00CE6626" w:rsidP="00CE6626">
      <w:pPr>
        <w:spacing w:before="0" w:after="0" w:line="240" w:lineRule="auto"/>
        <w:rPr>
          <w:bCs/>
          <w:szCs w:val="22"/>
          <w:lang w:val="en-MY"/>
        </w:rPr>
      </w:pPr>
      <w:r w:rsidRPr="009D4627">
        <w:rPr>
          <w:bCs/>
          <w:szCs w:val="22"/>
          <w:lang w:val="en-MY"/>
        </w:rPr>
        <w:t xml:space="preserve">                                            6 m </w:t>
      </w:r>
      <w:r w:rsidRPr="009D4627">
        <w:rPr>
          <w:bCs/>
          <w:szCs w:val="22"/>
          <w:lang w:val="en-MY"/>
        </w:rPr>
        <w:tab/>
        <w:t xml:space="preserve"> slight X with good recovery</w:t>
      </w:r>
    </w:p>
    <w:p w14:paraId="4D9F8207" w14:textId="77777777" w:rsidR="00CE6626" w:rsidRPr="009D4627" w:rsidRDefault="00CE6626" w:rsidP="00CE6626">
      <w:pPr>
        <w:spacing w:before="0" w:after="0" w:line="240" w:lineRule="auto"/>
        <w:rPr>
          <w:bCs/>
          <w:szCs w:val="22"/>
          <w:lang w:val="en-MY"/>
        </w:rPr>
      </w:pPr>
    </w:p>
    <w:p w14:paraId="7B4C29D2" w14:textId="77777777" w:rsidR="00CE6626" w:rsidRPr="009D4627" w:rsidRDefault="00CE6626" w:rsidP="00CE6626">
      <w:pPr>
        <w:spacing w:before="0" w:after="0" w:line="240" w:lineRule="auto"/>
        <w:rPr>
          <w:b/>
          <w:bCs/>
          <w:szCs w:val="22"/>
          <w:lang w:val="en-MY"/>
        </w:rPr>
      </w:pPr>
      <w:r w:rsidRPr="009D4627">
        <w:rPr>
          <w:b/>
          <w:bCs/>
          <w:szCs w:val="22"/>
          <w:lang w:val="en-MY"/>
        </w:rPr>
        <w:t>OMT:</w:t>
      </w:r>
    </w:p>
    <w:p w14:paraId="33ED50FB" w14:textId="20E4CCB9" w:rsidR="00CE6626" w:rsidRPr="009D4627" w:rsidRDefault="00A2792E" w:rsidP="00CE6626">
      <w:pPr>
        <w:spacing w:before="0" w:line="240" w:lineRule="auto"/>
        <w:rPr>
          <w:b/>
          <w:bCs/>
          <w:szCs w:val="22"/>
          <w:lang w:val="en-MY"/>
        </w:rPr>
      </w:pPr>
      <w:r w:rsidRPr="009D4627">
        <w:rPr>
          <w:noProof/>
        </w:rPr>
        <mc:AlternateContent>
          <mc:Choice Requires="wpg">
            <w:drawing>
              <wp:anchor distT="0" distB="0" distL="114300" distR="114300" simplePos="0" relativeHeight="251752448" behindDoc="0" locked="0" layoutInCell="1" allowOverlap="1" wp14:anchorId="04645F48" wp14:editId="27E878C1">
                <wp:simplePos x="0" y="0"/>
                <wp:positionH relativeFrom="column">
                  <wp:posOffset>1219200</wp:posOffset>
                </wp:positionH>
                <wp:positionV relativeFrom="paragraph">
                  <wp:posOffset>105410</wp:posOffset>
                </wp:positionV>
                <wp:extent cx="2881630" cy="1104265"/>
                <wp:effectExtent l="0" t="0" r="0" b="0"/>
                <wp:wrapNone/>
                <wp:docPr id="23523" name="Group 23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1630" cy="1104265"/>
                          <a:chOff x="0" y="0"/>
                          <a:chExt cx="28819" cy="11042"/>
                        </a:xfrm>
                      </wpg:grpSpPr>
                      <wps:wsp>
                        <wps:cNvPr id="23524" name="Rectangle 21955"/>
                        <wps:cNvSpPr>
                          <a:spLocks noChangeArrowheads="1"/>
                        </wps:cNvSpPr>
                        <wps:spPr bwMode="auto">
                          <a:xfrm>
                            <a:off x="11144" y="4286"/>
                            <a:ext cx="3181" cy="1981"/>
                          </a:xfrm>
                          <a:prstGeom prst="rect">
                            <a:avLst/>
                          </a:prstGeom>
                          <a:noFill/>
                          <a:ln>
                            <a:noFill/>
                          </a:ln>
                        </wps:spPr>
                        <wps:txbx>
                          <w:txbxContent>
                            <w:p w14:paraId="06FDF282"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g:cNvPr id="23525" name="Group 21956"/>
                        <wpg:cNvGrpSpPr>
                          <a:grpSpLocks/>
                        </wpg:cNvGrpSpPr>
                        <wpg:grpSpPr bwMode="auto">
                          <a:xfrm>
                            <a:off x="0" y="0"/>
                            <a:ext cx="28819" cy="11042"/>
                            <a:chOff x="762" y="857"/>
                            <a:chExt cx="28819" cy="11042"/>
                          </a:xfrm>
                        </wpg:grpSpPr>
                        <wpg:grpSp>
                          <wpg:cNvPr id="23526" name="Group 21957"/>
                          <wpg:cNvGrpSpPr>
                            <a:grpSpLocks/>
                          </wpg:cNvGrpSpPr>
                          <wpg:grpSpPr bwMode="auto">
                            <a:xfrm>
                              <a:off x="3238" y="857"/>
                              <a:ext cx="26343" cy="11043"/>
                              <a:chOff x="-619" y="-327"/>
                              <a:chExt cx="27856" cy="12355"/>
                            </a:xfrm>
                          </wpg:grpSpPr>
                          <wpg:grpSp>
                            <wpg:cNvPr id="23527" name="Group 21958"/>
                            <wpg:cNvGrpSpPr>
                              <a:grpSpLocks/>
                            </wpg:cNvGrpSpPr>
                            <wpg:grpSpPr bwMode="auto">
                              <a:xfrm>
                                <a:off x="0" y="-327"/>
                                <a:ext cx="9144" cy="11020"/>
                                <a:chOff x="0" y="-42"/>
                                <a:chExt cx="9144" cy="11043"/>
                              </a:xfrm>
                            </wpg:grpSpPr>
                            <wpg:grpSp>
                              <wpg:cNvPr id="23528" name="Group 21959"/>
                              <wpg:cNvGrpSpPr>
                                <a:grpSpLocks/>
                              </wpg:cNvGrpSpPr>
                              <wpg:grpSpPr bwMode="auto">
                                <a:xfrm>
                                  <a:off x="0" y="1857"/>
                                  <a:ext cx="9144" cy="9144"/>
                                  <a:chOff x="0" y="0"/>
                                  <a:chExt cx="9144" cy="9144"/>
                                </a:xfrm>
                              </wpg:grpSpPr>
                              <wps:wsp>
                                <wps:cNvPr id="23529" name="Oval 21960"/>
                                <wps:cNvSpPr>
                                  <a:spLocks noChangeArrowheads="1"/>
                                </wps:cNvSpPr>
                                <wps:spPr bwMode="auto">
                                  <a:xfrm>
                                    <a:off x="0" y="0"/>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530" name="Straight Connector 21961"/>
                                <wps:cNvCnPr>
                                  <a:cxnSpLocks noChangeShapeType="1"/>
                                </wps:cNvCnPr>
                                <wps:spPr bwMode="auto">
                                  <a:xfrm>
                                    <a:off x="1047" y="978"/>
                                    <a:ext cx="6757" cy="361"/>
                                  </a:xfrm>
                                  <a:prstGeom prst="line">
                                    <a:avLst/>
                                  </a:prstGeom>
                                  <a:noFill/>
                                  <a:ln w="6350">
                                    <a:solidFill>
                                      <a:srgbClr val="000000"/>
                                    </a:solidFill>
                                    <a:miter lim="800000"/>
                                    <a:headEnd/>
                                    <a:tailEnd/>
                                  </a:ln>
                                </wps:spPr>
                                <wps:bodyPr/>
                              </wps:wsp>
                              <wps:wsp>
                                <wps:cNvPr id="23531" name="Straight Connector 21962"/>
                                <wps:cNvCnPr>
                                  <a:cxnSpLocks noChangeShapeType="1"/>
                                </wps:cNvCnPr>
                                <wps:spPr bwMode="auto">
                                  <a:xfrm flipH="1">
                                    <a:off x="4238" y="142"/>
                                    <a:ext cx="810" cy="908"/>
                                  </a:xfrm>
                                  <a:prstGeom prst="line">
                                    <a:avLst/>
                                  </a:prstGeom>
                                  <a:noFill/>
                                  <a:ln w="19050">
                                    <a:solidFill>
                                      <a:srgbClr val="000000"/>
                                    </a:solidFill>
                                    <a:miter lim="800000"/>
                                    <a:headEnd/>
                                    <a:tailEnd/>
                                  </a:ln>
                                </wps:spPr>
                                <wps:bodyPr/>
                              </wps:wsp>
                              <wps:wsp>
                                <wps:cNvPr id="23532" name="Straight Connector 21963"/>
                                <wps:cNvCnPr>
                                  <a:cxnSpLocks noChangeShapeType="1"/>
                                </wps:cNvCnPr>
                                <wps:spPr bwMode="auto">
                                  <a:xfrm flipH="1">
                                    <a:off x="4881" y="142"/>
                                    <a:ext cx="973" cy="1197"/>
                                  </a:xfrm>
                                  <a:prstGeom prst="line">
                                    <a:avLst/>
                                  </a:prstGeom>
                                  <a:noFill/>
                                  <a:ln w="19050">
                                    <a:solidFill>
                                      <a:srgbClr val="000000"/>
                                    </a:solidFill>
                                    <a:miter lim="800000"/>
                                    <a:headEnd/>
                                    <a:tailEnd/>
                                  </a:ln>
                                </wps:spPr>
                                <wps:bodyPr/>
                              </wps:wsp>
                              <wps:wsp>
                                <wps:cNvPr id="23533" name="Straight Connector 21964"/>
                                <wps:cNvCnPr>
                                  <a:cxnSpLocks noChangeShapeType="1"/>
                                </wps:cNvCnPr>
                                <wps:spPr bwMode="auto">
                                  <a:xfrm flipH="1">
                                    <a:off x="3355" y="95"/>
                                    <a:ext cx="883" cy="955"/>
                                  </a:xfrm>
                                  <a:prstGeom prst="line">
                                    <a:avLst/>
                                  </a:prstGeom>
                                  <a:noFill/>
                                  <a:ln w="19050">
                                    <a:solidFill>
                                      <a:srgbClr val="000000"/>
                                    </a:solidFill>
                                    <a:miter lim="800000"/>
                                    <a:headEnd/>
                                    <a:tailEnd/>
                                  </a:ln>
                                </wps:spPr>
                                <wps:bodyPr/>
                              </wps:wsp>
                              <wps:wsp>
                                <wps:cNvPr id="23534" name="Straight Connector 21965"/>
                                <wps:cNvCnPr>
                                  <a:cxnSpLocks noChangeShapeType="1"/>
                                </wps:cNvCnPr>
                                <wps:spPr bwMode="auto">
                                  <a:xfrm flipH="1">
                                    <a:off x="6000" y="428"/>
                                    <a:ext cx="473" cy="622"/>
                                  </a:xfrm>
                                  <a:prstGeom prst="line">
                                    <a:avLst/>
                                  </a:prstGeom>
                                  <a:noFill/>
                                  <a:ln w="19050">
                                    <a:solidFill>
                                      <a:srgbClr val="000000"/>
                                    </a:solidFill>
                                    <a:miter lim="800000"/>
                                    <a:headEnd/>
                                    <a:tailEnd/>
                                  </a:ln>
                                </wps:spPr>
                                <wps:bodyPr/>
                              </wps:wsp>
                              <wps:wsp>
                                <wps:cNvPr id="23535" name="Straight Connector 21966"/>
                                <wps:cNvCnPr>
                                  <a:cxnSpLocks noChangeShapeType="1"/>
                                </wps:cNvCnPr>
                                <wps:spPr bwMode="auto">
                                  <a:xfrm flipH="1">
                                    <a:off x="2542" y="285"/>
                                    <a:ext cx="693" cy="765"/>
                                  </a:xfrm>
                                  <a:prstGeom prst="line">
                                    <a:avLst/>
                                  </a:prstGeom>
                                  <a:noFill/>
                                  <a:ln w="19050">
                                    <a:solidFill>
                                      <a:srgbClr val="000000"/>
                                    </a:solidFill>
                                    <a:miter lim="800000"/>
                                    <a:headEnd/>
                                    <a:tailEnd/>
                                  </a:ln>
                                </wps:spPr>
                                <wps:bodyPr/>
                              </wps:wsp>
                            </wpg:grpSp>
                            <wps:wsp>
                              <wps:cNvPr id="23536" name="Rectangle 21967"/>
                              <wps:cNvSpPr>
                                <a:spLocks noChangeArrowheads="1"/>
                              </wps:cNvSpPr>
                              <wps:spPr bwMode="auto">
                                <a:xfrm>
                                  <a:off x="2762" y="-42"/>
                                  <a:ext cx="3238" cy="2026"/>
                                </a:xfrm>
                                <a:prstGeom prst="rect">
                                  <a:avLst/>
                                </a:prstGeom>
                                <a:noFill/>
                                <a:ln>
                                  <a:noFill/>
                                </a:ln>
                              </wps:spPr>
                              <wps:txbx>
                                <w:txbxContent>
                                  <w:p w14:paraId="41E4F82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wps:txbx>
                              <wps:bodyPr rot="0" vert="horz" wrap="square" lIns="0" tIns="0" rIns="0" bIns="0" anchor="ctr" anchorCtr="0" upright="1">
                                <a:noAutofit/>
                              </wps:bodyPr>
                            </wps:wsp>
                          </wpg:grpSp>
                          <wpg:grpSp>
                            <wpg:cNvPr id="23537" name="Group 21968"/>
                            <wpg:cNvGrpSpPr>
                              <a:grpSpLocks/>
                            </wpg:cNvGrpSpPr>
                            <wpg:grpSpPr bwMode="auto">
                              <a:xfrm>
                                <a:off x="-619" y="-221"/>
                                <a:ext cx="27856" cy="12248"/>
                                <a:chOff x="-18526" y="-411"/>
                                <a:chExt cx="27856" cy="12248"/>
                              </a:xfrm>
                            </wpg:grpSpPr>
                            <wpg:grpSp>
                              <wpg:cNvPr id="23538" name="Group 21969"/>
                              <wpg:cNvGrpSpPr>
                                <a:grpSpLocks/>
                              </wpg:cNvGrpSpPr>
                              <wpg:grpSpPr bwMode="auto">
                                <a:xfrm>
                                  <a:off x="-18526" y="-411"/>
                                  <a:ext cx="27856" cy="11388"/>
                                  <a:chOff x="-18526" y="-411"/>
                                  <a:chExt cx="27856" cy="11389"/>
                                </a:xfrm>
                              </wpg:grpSpPr>
                              <wpg:grpSp>
                                <wpg:cNvPr id="23539" name="Group 21970"/>
                                <wpg:cNvGrpSpPr>
                                  <a:grpSpLocks/>
                                </wpg:cNvGrpSpPr>
                                <wpg:grpSpPr bwMode="auto">
                                  <a:xfrm>
                                    <a:off x="-1257" y="-411"/>
                                    <a:ext cx="10587" cy="10875"/>
                                    <a:chOff x="-1257" y="-269"/>
                                    <a:chExt cx="10588" cy="10889"/>
                                  </a:xfrm>
                                </wpg:grpSpPr>
                                <wpg:grpSp>
                                  <wpg:cNvPr id="23540" name="Group 21971"/>
                                  <wpg:cNvGrpSpPr>
                                    <a:grpSpLocks/>
                                  </wpg:cNvGrpSpPr>
                                  <wpg:grpSpPr bwMode="auto">
                                    <a:xfrm>
                                      <a:off x="0" y="-269"/>
                                      <a:ext cx="9330" cy="10889"/>
                                      <a:chOff x="0" y="-269"/>
                                      <a:chExt cx="9330" cy="10889"/>
                                    </a:xfrm>
                                  </wpg:grpSpPr>
                                  <wps:wsp>
                                    <wps:cNvPr id="23541" name="Rectangle 21972"/>
                                    <wps:cNvSpPr>
                                      <a:spLocks noChangeArrowheads="1"/>
                                    </wps:cNvSpPr>
                                    <wps:spPr bwMode="auto">
                                      <a:xfrm>
                                        <a:off x="6857" y="-269"/>
                                        <a:ext cx="2473" cy="2174"/>
                                      </a:xfrm>
                                      <a:prstGeom prst="rect">
                                        <a:avLst/>
                                      </a:prstGeom>
                                      <a:noFill/>
                                      <a:ln>
                                        <a:noFill/>
                                      </a:ln>
                                    </wps:spPr>
                                    <wps:txbx>
                                      <w:txbxContent>
                                        <w:p w14:paraId="78C04610"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s:wsp>
                                    <wps:cNvPr id="23542" name="Oval 21973"/>
                                    <wps:cNvSpPr>
                                      <a:spLocks noChangeArrowheads="1"/>
                                    </wps:cNvSpPr>
                                    <wps:spPr bwMode="auto">
                                      <a:xfrm>
                                        <a:off x="0" y="1476"/>
                                        <a:ext cx="9144" cy="9144"/>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s:wsp>
                                  <wps:cNvPr id="23543" name="Rectangle 21974"/>
                                  <wps:cNvSpPr>
                                    <a:spLocks noChangeArrowheads="1"/>
                                  </wps:cNvSpPr>
                                  <wps:spPr bwMode="auto">
                                    <a:xfrm>
                                      <a:off x="-1257" y="31"/>
                                      <a:ext cx="3369" cy="2220"/>
                                    </a:xfrm>
                                    <a:prstGeom prst="rect">
                                      <a:avLst/>
                                    </a:prstGeom>
                                    <a:noFill/>
                                    <a:ln>
                                      <a:noFill/>
                                    </a:ln>
                                  </wps:spPr>
                                  <wps:txbx>
                                    <w:txbxContent>
                                      <w:p w14:paraId="331B69E6"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s:wsp>
                                <wps:cNvPr id="23544" name="Rectangle 21975"/>
                                <wps:cNvSpPr>
                                  <a:spLocks noChangeArrowheads="1"/>
                                </wps:cNvSpPr>
                                <wps:spPr bwMode="auto">
                                  <a:xfrm>
                                    <a:off x="-18526" y="8761"/>
                                    <a:ext cx="1667" cy="2216"/>
                                  </a:xfrm>
                                  <a:prstGeom prst="rect">
                                    <a:avLst/>
                                  </a:prstGeom>
                                  <a:noFill/>
                                  <a:ln>
                                    <a:noFill/>
                                  </a:ln>
                                </wps:spPr>
                                <wps:txbx>
                                  <w:txbxContent>
                                    <w:p w14:paraId="30E7BCB6" w14:textId="77777777" w:rsidR="00CE6626" w:rsidRPr="001B6DF7" w:rsidRDefault="00CE6626" w:rsidP="00CE6626">
                                      <w:pPr>
                                        <w:spacing w:before="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s:wsp>
                              <wps:cNvPr id="23545" name="Rectangle 21976"/>
                              <wps:cNvSpPr>
                                <a:spLocks noChangeArrowheads="1"/>
                              </wps:cNvSpPr>
                              <wps:spPr bwMode="auto">
                                <a:xfrm>
                                  <a:off x="7654" y="9277"/>
                                  <a:ext cx="1676" cy="2560"/>
                                </a:xfrm>
                                <a:prstGeom prst="rect">
                                  <a:avLst/>
                                </a:prstGeom>
                                <a:noFill/>
                                <a:ln>
                                  <a:noFill/>
                                </a:ln>
                              </wps:spPr>
                              <wps:txbx>
                                <w:txbxContent>
                                  <w:p w14:paraId="29A80F8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wps:txbx>
                              <wps:bodyPr rot="0" vert="horz" wrap="square" lIns="0" tIns="0" rIns="0" bIns="0" anchor="ctr" anchorCtr="0" upright="1">
                                <a:noAutofit/>
                              </wps:bodyPr>
                            </wps:wsp>
                          </wpg:grpSp>
                        </wpg:grpSp>
                        <wps:wsp>
                          <wps:cNvPr id="23546" name="Rectangle 21977"/>
                          <wps:cNvSpPr>
                            <a:spLocks noChangeArrowheads="1"/>
                          </wps:cNvSpPr>
                          <wps:spPr bwMode="auto">
                            <a:xfrm>
                              <a:off x="762" y="5143"/>
                              <a:ext cx="3181" cy="1981"/>
                            </a:xfrm>
                            <a:prstGeom prst="rect">
                              <a:avLst/>
                            </a:prstGeom>
                            <a:noFill/>
                            <a:ln>
                              <a:noFill/>
                            </a:ln>
                          </wps:spPr>
                          <wps:txbx>
                            <w:txbxContent>
                              <w:p w14:paraId="3BE040EF"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vert="horz" wrap="square" lIns="0" tIns="0" rIns="0" bIns="0" anchor="ctr"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04645F48" id="Group 23523" o:spid="_x0000_s1865" style="position:absolute;left:0;text-align:left;margin-left:96pt;margin-top:8.3pt;width:226.9pt;height:86.95pt;z-index:251752448;mso-position-horizontal-relative:text;mso-position-vertical-relative:text;mso-height-relative:margin" coordsize="28819,11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">
                <v:rect id="Rectangle 21955" o:spid="_x0000_s1866" style="position:absolute;left:11144;top:4286;width:3181;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" filled="f" stroked="f">
                  <v:textbox inset="0,0,0,0">
                    <w:txbxContent>
                      <w:p w14:paraId="06FDF282"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id="Group 21956" o:spid="_x0000_s1867" style="position:absolute;width:28819;height:11042" coordorigin="762,857" coordsize="28819,1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">
                  <v:group id="Group 21957" o:spid="_x0000_s1868" style="position:absolute;left:3238;top:857;width:26343;height:11043" coordorigin="-619,-327" coordsize="27856,1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">
                    <v:group id="Group 21958" o:spid="_x0000_s1869" style="position:absolute;top:-327;width:9144;height:11020" coordorigin=",-42" coordsize="9144,1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">
                      <v:group id="Group 21959" o:spid="_x0000_s1870" style="position:absolute;top:1857;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">
                        <v:oval id="Oval 21960" o:spid="_x0000_s1871"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" filled="f" strokeweight="1pt">
                          <v:stroke joinstyle="miter"/>
                        </v:oval>
                        <v:line id="Straight Connector 21961" o:spid="_x0000_s1872" style="position:absolute;visibility:visible;mso-wrap-style:square" from="1047,978" to="7804,1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" strokeweight=".5pt">
                          <v:stroke joinstyle="miter"/>
                        </v:line>
                        <v:line id="Straight Connector 21962" o:spid="_x0000_s1873" style="position:absolute;flip:x;visibility:visible;mso-wrap-style:square" from="4238,142" to="5048,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" strokeweight="1.5pt">
                          <v:stroke joinstyle="miter"/>
                        </v:line>
                        <v:line id="Straight Connector 21963" o:spid="_x0000_s1874" style="position:absolute;flip:x;visibility:visible;mso-wrap-style:square" from="4881,142" to="5854,1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" strokeweight="1.5pt">
                          <v:stroke joinstyle="miter"/>
                        </v:line>
                        <v:line id="Straight Connector 21964" o:spid="_x0000_s1875" style="position:absolute;flip:x;visibility:visible;mso-wrap-style:square" from="3355,95" to="4238,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" strokeweight="1.5pt">
                          <v:stroke joinstyle="miter"/>
                        </v:line>
                        <v:line id="Straight Connector 21965" o:spid="_x0000_s1876" style="position:absolute;flip:x;visibility:visible;mso-wrap-style:square" from="6000,428" to="6473,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" strokeweight="1.5pt">
                          <v:stroke joinstyle="miter"/>
                        </v:line>
                        <v:line id="Straight Connector 21966" o:spid="_x0000_s1877" style="position:absolute;flip:x;visibility:visible;mso-wrap-style:square" from="2542,285" to="3235,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" strokeweight="1.5pt">
                          <v:stroke joinstyle="miter"/>
                        </v:line>
                      </v:group>
                      <v:rect id="Rectangle 21967" o:spid="_x0000_s1878" style="position:absolute;left:2762;top:-42;width:3238;height:2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" filled="f" stroked="f">
                        <v:textbox inset="0,0,0,0">
                          <w:txbxContent>
                            <w:p w14:paraId="41E4F825"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- 1 </w:t>
                              </w:r>
                            </w:p>
                          </w:txbxContent>
                        </v:textbox>
                      </v:rect>
                    </v:group>
                    <v:group id="Group 21968" o:spid="_x0000_s1879" style="position:absolute;left:-619;top:-221;width:27856;height:12248" coordorigin="-18526,-411" coordsize="27856,1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">
                      <v:group id="Group 21969" o:spid="_x0000_s1880" style="position:absolute;left:-18526;top:-411;width:27856;height:11388" coordorigin="-18526,-411" coordsize="27856,1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">
                        <v:group id="Group 21970" o:spid="_x0000_s1881" style="position:absolute;left:-1257;top:-411;width:10587;height:10875" coordorigin="-1257,-269" coordsize="10588,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">
                          <v:group id="Group 21971" o:spid="_x0000_s1882" style="position:absolute;top:-269;width:9330;height:10889" coordorigin=",-269" coordsize="9330,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">
                            <v:rect id="Rectangle 21972" o:spid="_x0000_s1883" style="position:absolute;left:6857;top:-269;width:2473;height: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" filled="f" stroked="f">
                              <v:textbox inset="0,0,0,0">
                                <w:txbxContent>
                                  <w:p w14:paraId="78C04610"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oval id="Oval 21973" o:spid="_x0000_s1884" style="position:absolute;top:1476;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" filled="f" strokeweight="1pt">
                              <v:stroke joinstyle="miter"/>
                            </v:oval>
                          </v:group>
                          <v:rect id="Rectangle 21974" o:spid="_x0000_s1885" style="position:absolute;left:-1257;top:31;width:3369;height:2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" filled="f" stroked="f">
                            <v:textbox inset="0,0,0,0">
                              <w:txbxContent>
                                <w:p w14:paraId="331B69E6"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rect id="Rectangle 21975" o:spid="_x0000_s1886" style="position:absolute;left:-18526;top:8761;width:1667;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" filled="f" stroked="f">
                          <v:textbox inset="0,0,0,0">
                            <w:txbxContent>
                              <w:p w14:paraId="30E7BCB6" w14:textId="77777777" w:rsidR="00CE6626" w:rsidRPr="001B6DF7" w:rsidRDefault="00CE6626" w:rsidP="00CE6626">
                                <w:pPr>
                                  <w:spacing w:before="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rect id="Rectangle 21976" o:spid="_x0000_s1887" style="position:absolute;left:7654;top:9277;width:1676;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" filled="f" stroked="f">
                        <v:textbox inset="0,0,0,0">
                          <w:txbxContent>
                            <w:p w14:paraId="29A80F83"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+1</w:t>
                              </w:r>
                            </w:p>
                          </w:txbxContent>
                        </v:textbox>
                      </v:rect>
                    </v:group>
                  </v:group>
                  <v:rect id="Rectangle 21977" o:spid="_x0000_s1888" style="position:absolute;left:762;top:5143;width:3181;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" filled="f" stroked="f">
                    <v:textbox inset="0,0,0,0">
                      <w:txbxContent>
                        <w:p w14:paraId="3BE040EF" w14:textId="77777777" w:rsidR="00CE6626" w:rsidRPr="001B6DF7" w:rsidRDefault="00CE6626" w:rsidP="00CE6626">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v:group>
              </v:group>
            </w:pict>
          </mc:Fallback>
        </mc:AlternateContent>
      </w:r>
    </w:p>
    <w:p w14:paraId="3248720B" w14:textId="77777777" w:rsidR="00CE6626" w:rsidRPr="009D4627" w:rsidRDefault="00CE6626" w:rsidP="00CE6626">
      <w:pPr>
        <w:spacing w:before="0" w:line="240" w:lineRule="auto"/>
        <w:rPr>
          <w:bCs/>
          <w:sz w:val="20"/>
          <w:szCs w:val="20"/>
          <w:lang w:val="en-US"/>
        </w:rPr>
      </w:pPr>
      <w:r w:rsidRPr="009D4627">
        <w:rPr>
          <w:bCs/>
          <w:sz w:val="20"/>
          <w:szCs w:val="20"/>
          <w:lang w:val="en-US"/>
        </w:rPr>
        <w:t xml:space="preserve">                           </w:t>
      </w:r>
    </w:p>
    <w:p w14:paraId="204BE711" w14:textId="1A172C16" w:rsidR="00CE6626" w:rsidRPr="009D4627" w:rsidRDefault="00A2792E" w:rsidP="00CE6626">
      <w:pPr>
        <w:spacing w:before="0" w:after="0" w:line="240" w:lineRule="auto"/>
        <w:rPr>
          <w:bCs/>
          <w:sz w:val="20"/>
          <w:szCs w:val="20"/>
          <w:lang w:val="en-US"/>
        </w:rPr>
      </w:pPr>
      <w:r w:rsidRPr="009D4627">
        <w:rPr>
          <w:noProof/>
        </w:rPr>
        <mc:AlternateContent>
          <mc:Choice Requires="wps">
            <w:drawing>
              <wp:anchor distT="0" distB="0" distL="114300" distR="114300" simplePos="0" relativeHeight="251751424" behindDoc="0" locked="0" layoutInCell="1" allowOverlap="1" wp14:anchorId="7D9875CD" wp14:editId="1C6D4767">
                <wp:simplePos x="0" y="0"/>
                <wp:positionH relativeFrom="column">
                  <wp:posOffset>2513965</wp:posOffset>
                </wp:positionH>
                <wp:positionV relativeFrom="paragraph">
                  <wp:posOffset>247650</wp:posOffset>
                </wp:positionV>
                <wp:extent cx="314960" cy="198120"/>
                <wp:effectExtent l="0" t="0" r="0" b="0"/>
                <wp:wrapNone/>
                <wp:docPr id="23522" name="Rectangle 23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960" cy="198120"/>
                        </a:xfrm>
                        <a:prstGeom prst="rect">
                          <a:avLst/>
                        </a:prstGeom>
                        <a:noFill/>
                        <a:ln w="12700" cap="flat" cmpd="sng" algn="ctr">
                          <a:noFill/>
                          <a:prstDash val="solid"/>
                          <a:miter lim="800000"/>
                        </a:ln>
                        <a:effectLst/>
                      </wps:spPr>
                      <wps:txbx>
                        <w:txbxContent>
                          <w:p w14:paraId="06D853A4" w14:textId="77777777" w:rsidR="00CE6626" w:rsidRPr="001B6DF7" w:rsidRDefault="00CE6626" w:rsidP="00CE6626">
                            <w:pPr>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9875CD" id="Rectangle 23522" o:spid="_x0000_s1889" style="position:absolute;left:0;text-align:left;margin-left:197.95pt;margin-top:19.5pt;width:24.8pt;height:15.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" filled="f" stroked="f" strokeweight="1pt">
                <v:textbox inset="0,0,0,0">
                  <w:txbxContent>
                    <w:p w14:paraId="06D853A4" w14:textId="77777777" w:rsidR="00CE6626" w:rsidRPr="001B6DF7" w:rsidRDefault="00CE6626" w:rsidP="00CE6626">
                      <w:pPr>
                        <w:jc w:val="center"/>
                        <w:rPr>
                          <w:rFonts w:asciiTheme="minorHAnsi" w:hAnsiTheme="minorHAnsi" w:cstheme="minorHAnsi"/>
                          <w:sz w:val="20"/>
                          <w:szCs w:val="20"/>
                          <w:lang w:val="en-US"/>
                        </w:rPr>
                      </w:pPr>
                      <w:r>
                        <w:rPr>
                          <w:rFonts w:asciiTheme="minorHAnsi" w:hAnsiTheme="minorHAnsi" w:cstheme="minorHAnsi"/>
                          <w:sz w:val="20"/>
                          <w:szCs w:val="20"/>
                          <w:lang w:val="en-US"/>
                        </w:rPr>
                        <w:t>+½</w:t>
                      </w:r>
                    </w:p>
                  </w:txbxContent>
                </v:textbox>
              </v:rect>
            </w:pict>
          </mc:Fallback>
        </mc:AlternateContent>
      </w:r>
      <w:r w:rsidR="00CE6626" w:rsidRPr="009D4627">
        <w:rPr>
          <w:bCs/>
          <w:sz w:val="20"/>
          <w:szCs w:val="20"/>
          <w:lang w:val="en-US"/>
        </w:rPr>
        <w:t xml:space="preserve">                                                                  </w:t>
      </w:r>
    </w:p>
    <w:p w14:paraId="1AEC2D34" w14:textId="77777777" w:rsidR="00CE6626" w:rsidRPr="009D4627" w:rsidRDefault="00CE6626" w:rsidP="00CE6626">
      <w:pPr>
        <w:spacing w:before="0" w:after="0" w:line="240" w:lineRule="auto"/>
        <w:rPr>
          <w:bCs/>
          <w:sz w:val="20"/>
          <w:szCs w:val="20"/>
          <w:lang w:val="en-US"/>
        </w:rPr>
      </w:pPr>
    </w:p>
    <w:p w14:paraId="718ED5F1" w14:textId="77777777" w:rsidR="00CE6626" w:rsidRPr="009D4627" w:rsidRDefault="00CE6626" w:rsidP="00CE6626">
      <w:pPr>
        <w:spacing w:before="0" w:after="0" w:line="240" w:lineRule="auto"/>
        <w:rPr>
          <w:bCs/>
          <w:sz w:val="20"/>
          <w:szCs w:val="20"/>
          <w:lang w:val="en-US"/>
        </w:rPr>
      </w:pPr>
    </w:p>
    <w:p w14:paraId="0FB26548" w14:textId="77777777" w:rsidR="00CE6626" w:rsidRPr="009D4627" w:rsidRDefault="00CE6626" w:rsidP="00CE6626">
      <w:pPr>
        <w:spacing w:before="0" w:after="0" w:line="240" w:lineRule="auto"/>
        <w:rPr>
          <w:b/>
          <w:szCs w:val="22"/>
          <w:lang w:val="en-MY"/>
        </w:rPr>
      </w:pPr>
    </w:p>
    <w:p w14:paraId="49E42FD5"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 xml:space="preserve">1/3 m </w:t>
      </w:r>
      <w:r w:rsidRPr="009D4627">
        <w:rPr>
          <w:bCs/>
          <w:szCs w:val="22"/>
          <w:lang w:val="en-MY"/>
        </w:rPr>
        <w:tab/>
        <w:t>reading position 18-20</w:t>
      </w:r>
      <w:r w:rsidRPr="009D4627">
        <w:rPr>
          <w:bCs/>
          <w:szCs w:val="22"/>
          <w:vertAlign w:val="superscript"/>
          <w:lang w:val="en-MY"/>
        </w:rPr>
        <w:t>Δ</w:t>
      </w:r>
      <w:r w:rsidRPr="009D4627">
        <w:rPr>
          <w:bCs/>
          <w:szCs w:val="22"/>
          <w:lang w:val="en-MY"/>
        </w:rPr>
        <w:t xml:space="preserve"> X</w:t>
      </w:r>
    </w:p>
    <w:p w14:paraId="520BCC74" w14:textId="77777777" w:rsidR="00CE6626" w:rsidRPr="009D4627" w:rsidRDefault="00CE6626" w:rsidP="00CE6626">
      <w:pPr>
        <w:spacing w:before="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t>6 m       1</w:t>
      </w:r>
      <w:r w:rsidRPr="009D4627">
        <w:rPr>
          <w:bCs/>
          <w:szCs w:val="22"/>
          <w:vertAlign w:val="superscript"/>
          <w:lang w:val="en-MY"/>
        </w:rPr>
        <w:t>Δ</w:t>
      </w:r>
      <w:r w:rsidRPr="009D4627">
        <w:rPr>
          <w:bCs/>
          <w:szCs w:val="22"/>
          <w:lang w:val="en-MY"/>
        </w:rPr>
        <w:t xml:space="preserve"> </w:t>
      </w:r>
      <w:proofErr w:type="gramStart"/>
      <w:r w:rsidRPr="009D4627">
        <w:rPr>
          <w:bCs/>
          <w:szCs w:val="22"/>
          <w:lang w:val="en-MY"/>
        </w:rPr>
        <w:t>X  (</w:t>
      </w:r>
      <w:proofErr w:type="gramEnd"/>
      <w:r w:rsidRPr="009D4627">
        <w:rPr>
          <w:bCs/>
          <w:szCs w:val="22"/>
          <w:lang w:val="en-MY"/>
        </w:rPr>
        <w:t>0</w:t>
      </w:r>
      <w:r w:rsidRPr="009D4627">
        <w:rPr>
          <w:bCs/>
          <w:szCs w:val="22"/>
          <w:vertAlign w:val="superscript"/>
          <w:lang w:val="en-MY"/>
        </w:rPr>
        <w:t>Δ</w:t>
      </w:r>
      <w:r w:rsidRPr="009D4627">
        <w:rPr>
          <w:bCs/>
          <w:szCs w:val="22"/>
          <w:lang w:val="en-MY"/>
        </w:rPr>
        <w:t xml:space="preserve">  R gaze or  2</w:t>
      </w:r>
      <w:r w:rsidRPr="009D4627">
        <w:rPr>
          <w:bCs/>
          <w:szCs w:val="22"/>
          <w:vertAlign w:val="superscript"/>
          <w:lang w:val="en-MY"/>
        </w:rPr>
        <w:t>Δ</w:t>
      </w:r>
      <w:r w:rsidRPr="009D4627">
        <w:rPr>
          <w:bCs/>
          <w:szCs w:val="22"/>
          <w:lang w:val="en-MY"/>
        </w:rPr>
        <w:t xml:space="preserve"> X L gaze)</w:t>
      </w:r>
    </w:p>
    <w:p w14:paraId="29AF6252" w14:textId="77777777" w:rsidR="00CE6626" w:rsidRPr="009D4627" w:rsidRDefault="00CE6626" w:rsidP="00CE6626">
      <w:pPr>
        <w:spacing w:before="0" w:after="0" w:line="240" w:lineRule="auto"/>
        <w:rPr>
          <w:bCs/>
          <w:szCs w:val="22"/>
          <w:lang w:val="en-MY"/>
        </w:rPr>
      </w:pPr>
      <w:r w:rsidRPr="009D4627">
        <w:rPr>
          <w:b/>
          <w:szCs w:val="22"/>
          <w:lang w:val="en-MY"/>
        </w:rPr>
        <w:t>Lids:</w:t>
      </w:r>
      <w:r w:rsidRPr="009D4627">
        <w:rPr>
          <w:bCs/>
          <w:szCs w:val="22"/>
          <w:lang w:val="en-MY"/>
        </w:rPr>
        <w:t xml:space="preserve"> mild bilateral R Ptosis </w:t>
      </w:r>
    </w:p>
    <w:p w14:paraId="485BB802" w14:textId="275F42DD" w:rsidR="00CE6626" w:rsidRPr="009D4627" w:rsidRDefault="00A2792E" w:rsidP="00CE6626">
      <w:pPr>
        <w:spacing w:before="0" w:after="0" w:line="240" w:lineRule="auto"/>
        <w:rPr>
          <w:b/>
          <w:szCs w:val="22"/>
          <w:lang w:val="en-MY"/>
        </w:rPr>
      </w:pPr>
      <w:r w:rsidRPr="009D4627">
        <w:rPr>
          <w:noProof/>
        </w:rPr>
        <mc:AlternateContent>
          <mc:Choice Requires="wpg">
            <w:drawing>
              <wp:anchor distT="0" distB="0" distL="114300" distR="114300" simplePos="0" relativeHeight="251753472" behindDoc="0" locked="0" layoutInCell="1" allowOverlap="1" wp14:anchorId="1D5C5C9C" wp14:editId="2758F23E">
                <wp:simplePos x="0" y="0"/>
                <wp:positionH relativeFrom="column">
                  <wp:posOffset>1990725</wp:posOffset>
                </wp:positionH>
                <wp:positionV relativeFrom="paragraph">
                  <wp:posOffset>140970</wp:posOffset>
                </wp:positionV>
                <wp:extent cx="1906905" cy="567690"/>
                <wp:effectExtent l="0" t="0" r="0" b="0"/>
                <wp:wrapNone/>
                <wp:docPr id="23511" name="Group 23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905" cy="567690"/>
                          <a:chOff x="0" y="0"/>
                          <a:chExt cx="20241" cy="6134"/>
                        </a:xfrm>
                      </wpg:grpSpPr>
                      <wpg:grpSp>
                        <wpg:cNvPr id="23512" name="Group 21980"/>
                        <wpg:cNvGrpSpPr>
                          <a:grpSpLocks/>
                        </wpg:cNvGrpSpPr>
                        <wpg:grpSpPr bwMode="auto">
                          <a:xfrm>
                            <a:off x="0" y="285"/>
                            <a:ext cx="8692" cy="5849"/>
                            <a:chOff x="0" y="0"/>
                            <a:chExt cx="8692" cy="5852"/>
                          </a:xfrm>
                        </wpg:grpSpPr>
                        <wps:wsp>
                          <wps:cNvPr id="23513" name="Arc 21981"/>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514" name="Arc 21982"/>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515" name="Straight Arrow Connector 21983"/>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516" name="Rectangle 21984"/>
                          <wps:cNvSpPr>
                            <a:spLocks noChangeArrowheads="1"/>
                          </wps:cNvSpPr>
                          <wps:spPr bwMode="auto">
                            <a:xfrm>
                              <a:off x="3000" y="1813"/>
                              <a:ext cx="5692" cy="1905"/>
                            </a:xfrm>
                            <a:prstGeom prst="rect">
                              <a:avLst/>
                            </a:prstGeom>
                            <a:noFill/>
                            <a:ln>
                              <a:noFill/>
                            </a:ln>
                          </wps:spPr>
                          <wps:txbx>
                            <w:txbxContent>
                              <w:p w14:paraId="03189731"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6 mm</w:t>
                                </w:r>
                              </w:p>
                            </w:txbxContent>
                          </wps:txbx>
                          <wps:bodyPr rot="0" vert="horz" wrap="square" lIns="0" tIns="0" rIns="0" bIns="0" anchor="ctr" anchorCtr="0" upright="1">
                            <a:noAutofit/>
                          </wps:bodyPr>
                        </wps:wsp>
                      </wpg:grpSp>
                      <wpg:grpSp>
                        <wpg:cNvPr id="23517" name="Group 21985"/>
                        <wpg:cNvGrpSpPr>
                          <a:grpSpLocks/>
                        </wpg:cNvGrpSpPr>
                        <wpg:grpSpPr bwMode="auto">
                          <a:xfrm>
                            <a:off x="12954" y="0"/>
                            <a:ext cx="7287" cy="5848"/>
                            <a:chOff x="0" y="0"/>
                            <a:chExt cx="7287" cy="5852"/>
                          </a:xfrm>
                        </wpg:grpSpPr>
                        <wps:wsp>
                          <wps:cNvPr id="23518" name="Arc 21986"/>
                          <wps:cNvSpPr>
                            <a:spLocks/>
                          </wps:cNvSpPr>
                          <wps:spPr bwMode="auto">
                            <a:xfrm rot="2804300" flipV="1">
                              <a:off x="146" y="-117"/>
                              <a:ext cx="5166" cy="5400"/>
                            </a:xfrm>
                            <a:custGeom>
                              <a:avLst/>
                              <a:gdLst>
                                <a:gd name="T0" fmla="*/ 154896 w 516687"/>
                                <a:gd name="T1" fmla="*/ 22588 h 539935"/>
                                <a:gd name="T2" fmla="*/ 452012 w 516687"/>
                                <a:gd name="T3" fmla="*/ 91295 h 539935"/>
                                <a:gd name="T4" fmla="*/ 489963 w 516687"/>
                                <a:gd name="T5" fmla="*/ 389546 h 539935"/>
                                <a:gd name="T6" fmla="*/ 0 60000 65536"/>
                                <a:gd name="T7" fmla="*/ 0 60000 65536"/>
                                <a:gd name="T8" fmla="*/ 0 60000 65536"/>
                              </a:gdLst>
                              <a:ahLst/>
                              <a:cxnLst>
                                <a:cxn ang="T6">
                                  <a:pos x="T0" y="T1"/>
                                </a:cxn>
                                <a:cxn ang="T7">
                                  <a:pos x="T2" y="T3"/>
                                </a:cxn>
                                <a:cxn ang="T8">
                                  <a:pos x="T4" y="T5"/>
                                </a:cxn>
                              </a:cxnLst>
                              <a:rect l="0" t="0" r="r" b="b"/>
                              <a:pathLst>
                                <a:path w="516687" h="539935" stroke="0">
                                  <a:moveTo>
                                    <a:pt x="154896" y="22588"/>
                                  </a:moveTo>
                                  <a:cubicBezTo>
                                    <a:pt x="257704" y="-24359"/>
                                    <a:pt x="377757" y="3402"/>
                                    <a:pt x="452012" y="91295"/>
                                  </a:cubicBezTo>
                                  <a:cubicBezTo>
                                    <a:pt x="521418" y="173448"/>
                                    <a:pt x="536413" y="291295"/>
                                    <a:pt x="489963" y="389546"/>
                                  </a:cubicBezTo>
                                  <a:lnTo>
                                    <a:pt x="258344" y="269968"/>
                                  </a:lnTo>
                                  <a:lnTo>
                                    <a:pt x="154896" y="22588"/>
                                  </a:lnTo>
                                  <a:close/>
                                </a:path>
                                <a:path w="516687" h="539935" fill="none">
                                  <a:moveTo>
                                    <a:pt x="154896" y="22588"/>
                                  </a:moveTo>
                                  <a:cubicBezTo>
                                    <a:pt x="257704" y="-24359"/>
                                    <a:pt x="377757" y="3402"/>
                                    <a:pt x="452012" y="91295"/>
                                  </a:cubicBezTo>
                                  <a:cubicBezTo>
                                    <a:pt x="521418" y="173448"/>
                                    <a:pt x="536413" y="291295"/>
                                    <a:pt x="489963" y="389546"/>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519" name="Arc 21987"/>
                          <wps:cNvSpPr>
                            <a:spLocks/>
                          </wps:cNvSpPr>
                          <wps:spPr bwMode="auto">
                            <a:xfrm rot="-2804300">
                              <a:off x="118" y="572"/>
                              <a:ext cx="5162" cy="5397"/>
                            </a:xfrm>
                            <a:custGeom>
                              <a:avLst/>
                              <a:gdLst>
                                <a:gd name="T0" fmla="*/ 154724 w 516255"/>
                                <a:gd name="T1" fmla="*/ 22600 h 539750"/>
                                <a:gd name="T2" fmla="*/ 451676 w 516255"/>
                                <a:gd name="T3" fmla="*/ 91313 h 539750"/>
                                <a:gd name="T4" fmla="*/ 489575 w 516255"/>
                                <a:gd name="T5" fmla="*/ 389365 h 539750"/>
                                <a:gd name="T6" fmla="*/ 0 60000 65536"/>
                                <a:gd name="T7" fmla="*/ 0 60000 65536"/>
                                <a:gd name="T8" fmla="*/ 0 60000 65536"/>
                              </a:gdLst>
                              <a:ahLst/>
                              <a:cxnLst>
                                <a:cxn ang="T6">
                                  <a:pos x="T0" y="T1"/>
                                </a:cxn>
                                <a:cxn ang="T7">
                                  <a:pos x="T2" y="T3"/>
                                </a:cxn>
                                <a:cxn ang="T8">
                                  <a:pos x="T4" y="T5"/>
                                </a:cxn>
                              </a:cxnLst>
                              <a:rect l="0" t="0" r="r" b="b"/>
                              <a:pathLst>
                                <a:path w="516255" h="539750" stroke="0">
                                  <a:moveTo>
                                    <a:pt x="154724" y="22600"/>
                                  </a:moveTo>
                                  <a:cubicBezTo>
                                    <a:pt x="257475" y="-24368"/>
                                    <a:pt x="377477" y="3400"/>
                                    <a:pt x="451676" y="91313"/>
                                  </a:cubicBezTo>
                                  <a:cubicBezTo>
                                    <a:pt x="520977" y="173423"/>
                                    <a:pt x="535950" y="291176"/>
                                    <a:pt x="489575" y="389365"/>
                                  </a:cubicBezTo>
                                  <a:lnTo>
                                    <a:pt x="258128" y="269875"/>
                                  </a:lnTo>
                                  <a:lnTo>
                                    <a:pt x="154724" y="22600"/>
                                  </a:lnTo>
                                  <a:close/>
                                </a:path>
                                <a:path w="516255" h="539750" fill="none">
                                  <a:moveTo>
                                    <a:pt x="154724" y="22600"/>
                                  </a:moveTo>
                                  <a:cubicBezTo>
                                    <a:pt x="257475" y="-24368"/>
                                    <a:pt x="377477" y="3400"/>
                                    <a:pt x="451676" y="91313"/>
                                  </a:cubicBezTo>
                                  <a:cubicBezTo>
                                    <a:pt x="520977" y="173423"/>
                                    <a:pt x="535950" y="291176"/>
                                    <a:pt x="489575" y="389365"/>
                                  </a:cubicBezTo>
                                </a:path>
                              </a:pathLst>
                            </a:custGeom>
                            <a:noFill/>
                            <a:ln w="6350">
                              <a:solidFill>
                                <a:srgbClr val="000000"/>
                              </a:solidFill>
                              <a:miter lim="800000"/>
                              <a:headEnd/>
                              <a:tailEnd/>
                            </a:ln>
                          </wps:spPr>
                          <wps:bodyPr rot="0" vert="horz" wrap="square" lIns="91440" tIns="45720" rIns="91440" bIns="45720" anchor="ctr" anchorCtr="0" upright="1">
                            <a:noAutofit/>
                          </wps:bodyPr>
                        </wps:wsp>
                        <wps:wsp>
                          <wps:cNvPr id="23520" name="Straight Arrow Connector 21988"/>
                          <wps:cNvCnPr>
                            <a:cxnSpLocks noChangeShapeType="1"/>
                          </wps:cNvCnPr>
                          <wps:spPr bwMode="auto">
                            <a:xfrm>
                              <a:off x="2501" y="671"/>
                              <a:ext cx="96" cy="4572"/>
                            </a:xfrm>
                            <a:prstGeom prst="straightConnector1">
                              <a:avLst/>
                            </a:prstGeom>
                            <a:noFill/>
                            <a:ln w="6350">
                              <a:solidFill>
                                <a:srgbClr val="000000"/>
                              </a:solidFill>
                              <a:miter lim="800000"/>
                              <a:headEnd type="arrow" w="med" len="med"/>
                              <a:tailEnd type="arrow" w="med" len="med"/>
                            </a:ln>
                          </wps:spPr>
                          <wps:bodyPr/>
                        </wps:wsp>
                        <wps:wsp>
                          <wps:cNvPr id="23521" name="Rectangle 21989"/>
                          <wps:cNvSpPr>
                            <a:spLocks noChangeArrowheads="1"/>
                          </wps:cNvSpPr>
                          <wps:spPr bwMode="auto">
                            <a:xfrm>
                              <a:off x="3001" y="1814"/>
                              <a:ext cx="4286" cy="1905"/>
                            </a:xfrm>
                            <a:prstGeom prst="rect">
                              <a:avLst/>
                            </a:prstGeom>
                            <a:noFill/>
                            <a:ln>
                              <a:noFill/>
                            </a:ln>
                          </wps:spPr>
                          <wps:txbx>
                            <w:txbxContent>
                              <w:p w14:paraId="2A0480E2"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6mm mm</w:t>
                                </w:r>
                              </w:p>
                            </w:txbxContent>
                          </wps:txbx>
                          <wps:bodyPr rot="0" vert="horz" wrap="square" lIns="0" tIns="0" rIns="0" bIns="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D5C5C9C" id="Group 23511" o:spid="_x0000_s1890" style="position:absolute;left:0;text-align:left;margin-left:156.75pt;margin-top:11.1pt;width:150.15pt;height:44.7pt;z-index:251753472;mso-position-horizontal-relative:text;mso-position-vertical-relative:text;mso-width-relative:margin;mso-height-relative:margin" coordsize="20241,6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">
                <v:group id="Group 21980" o:spid="_x0000_s1891" style="position:absolute;top:285;width:8692;height:5849" coordsize="869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">
                  <v:shape id="Arc 21981" o:spid="_x0000_s1892"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982" o:spid="_x0000_s1893"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983" o:spid="_x0000_s1894"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" strokeweight=".5pt">
                    <v:stroke startarrow="open" endarrow="open" joinstyle="miter"/>
                  </v:shape>
                  <v:rect id="Rectangle 21984" o:spid="_x0000_s1895" style="position:absolute;left:3000;top:1813;width:569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" filled="f" stroked="f">
                    <v:textbox inset="0,0,0,0">
                      <w:txbxContent>
                        <w:p w14:paraId="03189731"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6 mm</w:t>
                          </w:r>
                        </w:p>
                      </w:txbxContent>
                    </v:textbox>
                  </v:rect>
                </v:group>
                <v:group id="Group 21985" o:spid="_x0000_s1896" style="position:absolute;left:12954;width:7287;height:5848" coordsize="7287,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">
                  <v:shape id="Arc 21986" o:spid="_x0000_s1897" style="position:absolute;left:146;top:-117;width:5166;height:5400;rotation:-3063043fd;flip:y;visibility:visible;mso-wrap-style:square;v-text-anchor:middle" coordsize="516687,53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" path="m154896,22588nsc257704,-24359,377757,3402,452012,91295v69406,82153,84401,200000,37951,298251l258344,269968,154896,22588xem154896,22588nfc257704,-24359,377757,3402,452012,91295v69406,82153,84401,200000,37951,298251e" filled="f" strokeweight=".5pt">
                    <v:stroke joinstyle="miter"/>
                    <v:path arrowok="t" o:connecttype="custom" o:connectlocs="1549,226;4519,913;4899,3896" o:connectangles="0,0,0"/>
                  </v:shape>
                  <v:shape id="Arc 21987" o:spid="_x0000_s1898" style="position:absolute;left:118;top:572;width:5162;height:5397;rotation:-3063043fd;visibility:visible;mso-wrap-style:square;v-text-anchor:middle" coordsize="51625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" path="m154724,22600nsc257475,-24368,377477,3400,451676,91313v69301,82110,84274,199863,37899,298052l258128,269875,154724,22600xem154724,22600nfc257475,-24368,377477,3400,451676,91313v69301,82110,84274,199863,37899,298052e" filled="f" strokeweight=".5pt">
                    <v:stroke joinstyle="miter"/>
                    <v:path arrowok="t" o:connecttype="custom" o:connectlocs="1547,226;4516,913;4895,3893" o:connectangles="0,0,0"/>
                  </v:shape>
                  <v:shape id="Straight Arrow Connector 21988" o:spid="_x0000_s1899" type="#_x0000_t32" style="position:absolute;left:2501;top:671;width:9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" strokeweight=".5pt">
                    <v:stroke startarrow="open" endarrow="open" joinstyle="miter"/>
                  </v:shape>
                  <v:rect id="Rectangle 21989" o:spid="_x0000_s1900" style="position:absolute;left:3001;top:1814;width:428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" filled="f" stroked="f">
                    <v:textbox inset="0,0,0,0">
                      <w:txbxContent>
                        <w:p w14:paraId="2A0480E2" w14:textId="77777777" w:rsidR="00CE6626" w:rsidRPr="00252C3B" w:rsidRDefault="00CE6626" w:rsidP="00CE6626">
                          <w:pPr>
                            <w:jc w:val="center"/>
                            <w:rPr>
                              <w:rFonts w:asciiTheme="minorHAnsi" w:hAnsiTheme="minorHAnsi" w:cstheme="minorHAnsi"/>
                              <w:lang w:val="en-US"/>
                            </w:rPr>
                          </w:pPr>
                          <w:r>
                            <w:rPr>
                              <w:rFonts w:asciiTheme="minorHAnsi" w:hAnsiTheme="minorHAnsi" w:cstheme="minorHAnsi"/>
                              <w:lang w:val="en-US"/>
                            </w:rPr>
                            <w:t>6mm mm</w:t>
                          </w:r>
                        </w:p>
                      </w:txbxContent>
                    </v:textbox>
                  </v:rect>
                </v:group>
              </v:group>
            </w:pict>
          </mc:Fallback>
        </mc:AlternateContent>
      </w:r>
      <w:r w:rsidR="00CE6626" w:rsidRPr="009D4627">
        <w:rPr>
          <w:bCs/>
          <w:szCs w:val="22"/>
          <w:lang w:val="en-MY"/>
        </w:rPr>
        <w:t xml:space="preserve">         palpebral apertures: </w:t>
      </w:r>
    </w:p>
    <w:p w14:paraId="01AF04DD" w14:textId="77777777" w:rsidR="00CE6626" w:rsidRPr="009D4627" w:rsidRDefault="00CE6626" w:rsidP="00CE6626">
      <w:pPr>
        <w:spacing w:before="0" w:after="0" w:line="240" w:lineRule="auto"/>
        <w:rPr>
          <w:szCs w:val="22"/>
          <w:lang w:val="en-MY"/>
        </w:rPr>
      </w:pPr>
    </w:p>
    <w:p w14:paraId="325A477C" w14:textId="77777777" w:rsidR="00CE6626" w:rsidRPr="009D4627" w:rsidRDefault="00CE6626" w:rsidP="00CE6626">
      <w:pPr>
        <w:spacing w:before="0" w:line="240" w:lineRule="auto"/>
        <w:rPr>
          <w:b/>
          <w:bCs/>
          <w:szCs w:val="22"/>
          <w:lang w:val="en-MY"/>
        </w:rPr>
      </w:pPr>
    </w:p>
    <w:p w14:paraId="4806E478" w14:textId="77777777" w:rsidR="00CE6626" w:rsidRPr="009D4627" w:rsidRDefault="00CE6626" w:rsidP="00CE6626">
      <w:pPr>
        <w:spacing w:before="0" w:after="0" w:line="240" w:lineRule="auto"/>
        <w:rPr>
          <w:b/>
          <w:szCs w:val="22"/>
          <w:lang w:val="en-MY"/>
        </w:rPr>
      </w:pPr>
      <w:r w:rsidRPr="009D4627">
        <w:rPr>
          <w:b/>
          <w:szCs w:val="22"/>
          <w:lang w:val="en-MY"/>
        </w:rPr>
        <w:t xml:space="preserve">Assessment &amp; Plan: </w:t>
      </w:r>
      <w:r w:rsidRPr="009D4627">
        <w:rPr>
          <w:b/>
          <w:szCs w:val="22"/>
          <w:lang w:val="en-MY"/>
        </w:rPr>
        <w:tab/>
      </w:r>
    </w:p>
    <w:p w14:paraId="4B779D5E" w14:textId="77777777" w:rsidR="00CE6626" w:rsidRPr="009D4627" w:rsidRDefault="00CE6626" w:rsidP="00C171FA">
      <w:pPr>
        <w:pStyle w:val="ListParagraph"/>
        <w:numPr>
          <w:ilvl w:val="0"/>
          <w:numId w:val="103"/>
        </w:numPr>
        <w:spacing w:before="0" w:after="0" w:line="240" w:lineRule="auto"/>
        <w:rPr>
          <w:bCs/>
          <w:szCs w:val="22"/>
          <w:lang w:val="en-MY"/>
        </w:rPr>
      </w:pPr>
      <w:r w:rsidRPr="009D4627">
        <w:rPr>
          <w:bCs/>
          <w:szCs w:val="22"/>
          <w:lang w:val="en-MY"/>
        </w:rPr>
        <w:t>Previous R 3</w:t>
      </w:r>
      <w:r w:rsidRPr="009D4627">
        <w:rPr>
          <w:bCs/>
          <w:szCs w:val="22"/>
          <w:vertAlign w:val="superscript"/>
          <w:lang w:val="en-MY"/>
        </w:rPr>
        <w:t>rd</w:t>
      </w:r>
      <w:r w:rsidRPr="009D4627">
        <w:rPr>
          <w:bCs/>
          <w:szCs w:val="22"/>
          <w:lang w:val="en-MY"/>
        </w:rPr>
        <w:t xml:space="preserve"> nerve palsy with pupil sparing – largely resolved.</w:t>
      </w:r>
    </w:p>
    <w:p w14:paraId="46DD0DD1" w14:textId="77777777" w:rsidR="00CE6626" w:rsidRPr="009D4627" w:rsidRDefault="00CE6626" w:rsidP="00C171FA">
      <w:pPr>
        <w:pStyle w:val="ListParagraph"/>
        <w:numPr>
          <w:ilvl w:val="0"/>
          <w:numId w:val="103"/>
        </w:numPr>
        <w:spacing w:before="0" w:after="0" w:line="240" w:lineRule="auto"/>
        <w:rPr>
          <w:bCs/>
          <w:szCs w:val="22"/>
          <w:lang w:val="en-MY"/>
        </w:rPr>
      </w:pPr>
      <w:r w:rsidRPr="009D4627">
        <w:rPr>
          <w:bCs/>
          <w:szCs w:val="22"/>
          <w:lang w:val="en-MY"/>
        </w:rPr>
        <w:t xml:space="preserve">Now decompensating near exophoria and manifest through bifocal on down gaze – possibly bilateral ptosis contributing to decompensation, also reading add very low set. </w:t>
      </w:r>
    </w:p>
    <w:p w14:paraId="2967EFA2" w14:textId="77777777" w:rsidR="00CE6626" w:rsidRPr="009D4627" w:rsidRDefault="00CE6626" w:rsidP="00C171FA">
      <w:pPr>
        <w:pStyle w:val="ListParagraph"/>
        <w:numPr>
          <w:ilvl w:val="0"/>
          <w:numId w:val="103"/>
        </w:numPr>
        <w:spacing w:before="0" w:after="0" w:line="240" w:lineRule="auto"/>
        <w:rPr>
          <w:bCs/>
          <w:szCs w:val="22"/>
          <w:lang w:val="en-MY"/>
        </w:rPr>
      </w:pPr>
      <w:r w:rsidRPr="009D4627">
        <w:rPr>
          <w:bCs/>
          <w:szCs w:val="22"/>
          <w:lang w:val="en-MY"/>
        </w:rPr>
        <w:t xml:space="preserve">Fitted with blender on reading add – to see consultant re: reducing vision and dissociating factors. </w:t>
      </w:r>
    </w:p>
    <w:p w14:paraId="1360D220" w14:textId="77777777" w:rsidR="00CE6626" w:rsidRPr="009D4627" w:rsidRDefault="00CE6626" w:rsidP="00C171FA">
      <w:pPr>
        <w:pStyle w:val="ListParagraph"/>
        <w:numPr>
          <w:ilvl w:val="0"/>
          <w:numId w:val="103"/>
        </w:numPr>
        <w:spacing w:before="0" w:after="0" w:line="240" w:lineRule="auto"/>
        <w:rPr>
          <w:bCs/>
          <w:szCs w:val="22"/>
          <w:lang w:val="en-MY"/>
        </w:rPr>
        <w:sectPr w:rsidR="00CE6626" w:rsidRPr="009D4627" w:rsidSect="00477959">
          <w:headerReference w:type="default" r:id="rId283"/>
          <w:pgSz w:w="11906" w:h="16838" w:code="9"/>
          <w:pgMar w:top="1440" w:right="1440" w:bottom="1440" w:left="1440" w:header="708" w:footer="708" w:gutter="0"/>
          <w:cols w:space="708"/>
          <w:docGrid w:linePitch="360"/>
        </w:sectPr>
      </w:pPr>
      <w:r w:rsidRPr="009D4627">
        <w:rPr>
          <w:bCs/>
          <w:szCs w:val="22"/>
          <w:lang w:val="en-MY"/>
        </w:rPr>
        <w:t>Returned 23/12/19 – no change, same symptoms: issues with single vision reading glasses, where controlled/ not decompensating with diplopia when avoids down gaze and looking through low bifocal segment.</w:t>
      </w:r>
    </w:p>
    <w:p w14:paraId="0162BF17" w14:textId="144DFCA1" w:rsidR="001941C9" w:rsidRDefault="00565A8C" w:rsidP="00C4130D">
      <w:pPr>
        <w:pStyle w:val="Caption"/>
      </w:pPr>
      <w:bookmarkStart w:id="659" w:name="_Toc99356736"/>
      <w:bookmarkStart w:id="660" w:name="_Toc70087947"/>
      <w:bookmarkStart w:id="661" w:name="_Toc70088062"/>
      <w:bookmarkStart w:id="662" w:name="_Toc73355026"/>
      <w:bookmarkEnd w:id="655"/>
      <w:bookmarkEnd w:id="656"/>
      <w:bookmarkEnd w:id="658"/>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4</w:t>
      </w:r>
      <w:r w:rsidR="002E63E9" w:rsidRPr="009D4627">
        <w:rPr>
          <w:noProof/>
        </w:rPr>
        <w:fldChar w:fldCharType="end"/>
      </w:r>
      <w:r w:rsidRPr="009D4627">
        <w:t xml:space="preserve">: </w:t>
      </w:r>
      <w:r w:rsidR="00CE6626" w:rsidRPr="009D4627">
        <w:t>Patient ID: 4</w:t>
      </w:r>
      <w:bookmarkEnd w:id="659"/>
      <w:r w:rsidR="00CE6626" w:rsidRPr="009D4627">
        <w:t xml:space="preserve"> </w:t>
      </w:r>
      <w:r w:rsidR="002312ED">
        <w:t xml:space="preserve">                </w:t>
      </w:r>
    </w:p>
    <w:p w14:paraId="5280B728" w14:textId="77777777" w:rsidR="001941C9" w:rsidRDefault="00CE6626" w:rsidP="00C4130D">
      <w:pPr>
        <w:pStyle w:val="Caption"/>
      </w:pPr>
      <w:r w:rsidRPr="009D4627">
        <w:t>Birth month/year: 08/1931</w:t>
      </w:r>
      <w:r w:rsidRPr="009D4627">
        <w:tab/>
      </w:r>
      <w:r w:rsidRPr="009D4627">
        <w:tab/>
      </w:r>
      <w:r w:rsidR="002312ED">
        <w:t xml:space="preserve">     </w:t>
      </w:r>
    </w:p>
    <w:p w14:paraId="10666CE9" w14:textId="44497E57" w:rsidR="00CE6626" w:rsidRPr="009D4627" w:rsidRDefault="00CE6626" w:rsidP="00C4130D">
      <w:pPr>
        <w:pStyle w:val="Caption"/>
        <w:rPr>
          <w:b/>
          <w:szCs w:val="22"/>
        </w:rPr>
      </w:pPr>
      <w:r w:rsidRPr="009D4627">
        <w:t>Age: 87 at onset</w:t>
      </w:r>
    </w:p>
    <w:p w14:paraId="446CD15B" w14:textId="77777777" w:rsidR="00CE6626" w:rsidRPr="009D4627" w:rsidRDefault="00CE6626" w:rsidP="00CE6626">
      <w:pPr>
        <w:spacing w:before="0" w:after="0" w:line="240" w:lineRule="auto"/>
        <w:rPr>
          <w:b/>
          <w:szCs w:val="22"/>
          <w:lang w:val="en-MY"/>
        </w:rPr>
      </w:pPr>
    </w:p>
    <w:p w14:paraId="1DA85811" w14:textId="77777777" w:rsidR="00CE6626" w:rsidRPr="009D4627" w:rsidRDefault="00CE6626" w:rsidP="00CE6626">
      <w:pPr>
        <w:spacing w:before="0" w:after="0" w:line="240" w:lineRule="auto"/>
        <w:rPr>
          <w:bCs/>
          <w:szCs w:val="22"/>
          <w:u w:val="single"/>
          <w:lang w:val="en-MY"/>
        </w:rPr>
      </w:pPr>
      <w:r w:rsidRPr="009D4627">
        <w:rPr>
          <w:b/>
          <w:szCs w:val="22"/>
          <w:u w:val="single"/>
          <w:lang w:val="en-MY"/>
        </w:rPr>
        <w:t xml:space="preserve">Clinical visit 1: </w:t>
      </w:r>
      <w:r w:rsidRPr="009D4627">
        <w:rPr>
          <w:bCs/>
          <w:szCs w:val="22"/>
          <w:u w:val="single"/>
          <w:lang w:val="en-MY"/>
        </w:rPr>
        <w:t>2/11/2018 (5</w:t>
      </w:r>
      <w:r w:rsidRPr="009D4627">
        <w:rPr>
          <w:bCs/>
          <w:color w:val="auto"/>
          <w:szCs w:val="22"/>
          <w:u w:val="single"/>
          <w:lang w:val="en-MY"/>
        </w:rPr>
        <w:t xml:space="preserve"> days from onset</w:t>
      </w:r>
      <w:r w:rsidRPr="009D4627">
        <w:rPr>
          <w:bCs/>
          <w:szCs w:val="22"/>
          <w:u w:val="single"/>
          <w:lang w:val="en-MY"/>
        </w:rPr>
        <w:t>) - Orthoptic assessment</w:t>
      </w:r>
    </w:p>
    <w:p w14:paraId="5E474D01" w14:textId="77777777" w:rsidR="00CE6626" w:rsidRPr="009D4627" w:rsidRDefault="00CE6626" w:rsidP="00CE6626">
      <w:pPr>
        <w:spacing w:before="0" w:after="0" w:line="240" w:lineRule="auto"/>
        <w:rPr>
          <w:bCs/>
          <w:szCs w:val="22"/>
          <w:u w:val="single"/>
          <w:lang w:val="en-MY"/>
        </w:rPr>
      </w:pPr>
    </w:p>
    <w:p w14:paraId="70620E7B" w14:textId="77777777" w:rsidR="00CE6626" w:rsidRPr="009D4627" w:rsidRDefault="00CE6626" w:rsidP="00CE6626">
      <w:pPr>
        <w:spacing w:before="0" w:after="0" w:line="240" w:lineRule="auto"/>
        <w:ind w:left="851" w:hanging="851"/>
        <w:rPr>
          <w:bCs/>
          <w:szCs w:val="22"/>
          <w:lang w:val="en-MY"/>
        </w:rPr>
      </w:pPr>
      <w:r w:rsidRPr="009D4627">
        <w:rPr>
          <w:b/>
          <w:szCs w:val="22"/>
          <w:lang w:val="en-MY"/>
        </w:rPr>
        <w:t xml:space="preserve">History: </w:t>
      </w:r>
      <w:r w:rsidRPr="009D4627">
        <w:rPr>
          <w:bCs/>
          <w:szCs w:val="22"/>
          <w:lang w:val="en-MY"/>
        </w:rPr>
        <w:t>Complaint of seeing horizontal diplopia when look at distance. He reported that he never had this problem. No diplopia at near fixation (while reading).</w:t>
      </w:r>
    </w:p>
    <w:p w14:paraId="7CD26CD5" w14:textId="77777777" w:rsidR="00CE6626" w:rsidRPr="009D4627" w:rsidRDefault="00CE6626" w:rsidP="00CE6626">
      <w:pPr>
        <w:spacing w:before="0" w:after="0" w:line="240" w:lineRule="auto"/>
        <w:ind w:left="851" w:hanging="131"/>
        <w:rPr>
          <w:b/>
          <w:szCs w:val="22"/>
          <w:lang w:val="en-MY"/>
        </w:rPr>
      </w:pPr>
      <w:r w:rsidRPr="009D4627">
        <w:rPr>
          <w:bCs/>
          <w:szCs w:val="22"/>
          <w:lang w:val="en-MY"/>
        </w:rPr>
        <w:t xml:space="preserve">  </w:t>
      </w:r>
    </w:p>
    <w:p w14:paraId="2FA613CD" w14:textId="77777777" w:rsidR="00CE6626" w:rsidRPr="009D4627" w:rsidRDefault="00CE6626" w:rsidP="00CE6626">
      <w:pPr>
        <w:spacing w:before="0" w:after="0" w:line="240" w:lineRule="auto"/>
        <w:rPr>
          <w:b/>
          <w:szCs w:val="22"/>
          <w:lang w:val="en-MY"/>
        </w:rPr>
      </w:pPr>
      <w:r w:rsidRPr="009D4627">
        <w:rPr>
          <w:b/>
          <w:szCs w:val="22"/>
          <w:lang w:val="en-MY"/>
        </w:rPr>
        <w:t xml:space="preserve">General health: </w:t>
      </w:r>
      <w:r w:rsidRPr="009D4627">
        <w:rPr>
          <w:szCs w:val="22"/>
          <w:lang w:val="en-MY"/>
        </w:rPr>
        <w:t>Diabetes Type II – insulin dependant</w:t>
      </w:r>
    </w:p>
    <w:p w14:paraId="11527305" w14:textId="77777777" w:rsidR="00CE6626" w:rsidRPr="009D4627" w:rsidRDefault="00CE6626" w:rsidP="00CE6626">
      <w:pPr>
        <w:spacing w:before="0" w:after="0" w:line="240" w:lineRule="auto"/>
        <w:rPr>
          <w:b/>
          <w:szCs w:val="22"/>
          <w:lang w:val="en-MY"/>
        </w:rPr>
      </w:pPr>
    </w:p>
    <w:p w14:paraId="23134E9A" w14:textId="77777777" w:rsidR="00CE6626" w:rsidRPr="009D4627" w:rsidRDefault="00CE6626" w:rsidP="00CE6626">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unaided </w:t>
      </w:r>
      <w:r w:rsidRPr="009D4627">
        <w:rPr>
          <w:bCs/>
          <w:szCs w:val="22"/>
          <w:lang w:val="en-MY"/>
        </w:rPr>
        <w:tab/>
        <w:t>RE 0.10</w:t>
      </w:r>
      <w:r w:rsidRPr="009D4627">
        <w:rPr>
          <w:bCs/>
          <w:szCs w:val="22"/>
          <w:lang w:val="en-MY"/>
        </w:rPr>
        <w:tab/>
      </w:r>
      <w:r w:rsidRPr="009D4627">
        <w:rPr>
          <w:bCs/>
          <w:szCs w:val="22"/>
          <w:lang w:val="en-MY"/>
        </w:rPr>
        <w:tab/>
        <w:t xml:space="preserve">LE 0.10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36BB1DDF" w14:textId="5FD12047" w:rsidR="00CE6626" w:rsidRPr="009D4627" w:rsidRDefault="00CE6626" w:rsidP="00CE6626">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00E147BE">
        <w:rPr>
          <w:b/>
          <w:szCs w:val="22"/>
          <w:lang w:val="en-MY"/>
        </w:rPr>
        <w:tab/>
      </w:r>
      <w:r w:rsidRPr="009D4627">
        <w:rPr>
          <w:b/>
          <w:szCs w:val="22"/>
          <w:lang w:val="en-MY"/>
        </w:rPr>
        <w:t xml:space="preserve">  </w:t>
      </w:r>
      <w:r w:rsidRPr="009D4627">
        <w:rPr>
          <w:bCs/>
          <w:szCs w:val="22"/>
          <w:lang w:val="en-MY"/>
        </w:rPr>
        <w:t>6/7.5</w:t>
      </w:r>
      <w:r w:rsidRPr="009D4627">
        <w:rPr>
          <w:bCs/>
          <w:szCs w:val="22"/>
          <w:lang w:val="en-MY"/>
        </w:rPr>
        <w:tab/>
      </w:r>
      <w:proofErr w:type="gramStart"/>
      <w:r w:rsidRPr="009D4627">
        <w:rPr>
          <w:bCs/>
          <w:szCs w:val="22"/>
          <w:lang w:val="en-MY"/>
        </w:rPr>
        <w:tab/>
        <w:t xml:space="preserve">  </w:t>
      </w:r>
      <w:r w:rsidR="00E147BE">
        <w:rPr>
          <w:bCs/>
          <w:szCs w:val="22"/>
          <w:lang w:val="en-MY"/>
        </w:rPr>
        <w:tab/>
      </w:r>
      <w:proofErr w:type="gramEnd"/>
      <w:r w:rsidRPr="009D4627">
        <w:rPr>
          <w:bCs/>
          <w:szCs w:val="22"/>
          <w:lang w:val="en-MY"/>
        </w:rPr>
        <w:t xml:space="preserve">   6/7.5</w:t>
      </w:r>
      <w:r w:rsidRPr="009D4627">
        <w:rPr>
          <w:bCs/>
          <w:szCs w:val="22"/>
          <w:lang w:val="en-MY"/>
        </w:rPr>
        <w:tab/>
        <w:t>Snellen equivalent</w:t>
      </w:r>
    </w:p>
    <w:p w14:paraId="4375C921" w14:textId="77777777" w:rsidR="00CE6626" w:rsidRPr="009D4627" w:rsidRDefault="00CE6626" w:rsidP="00CE6626">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p>
    <w:p w14:paraId="18B1DE04" w14:textId="77777777" w:rsidR="00CE6626" w:rsidRPr="009D4627" w:rsidRDefault="00CE6626" w:rsidP="00CE6626">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readers </w:t>
      </w:r>
      <w:r w:rsidRPr="009D4627">
        <w:rPr>
          <w:bCs/>
          <w:szCs w:val="22"/>
          <w:lang w:val="en-MY"/>
        </w:rPr>
        <w:tab/>
        <w:t xml:space="preserve">1/3 m </w:t>
      </w:r>
      <w:r w:rsidRPr="009D4627">
        <w:rPr>
          <w:bCs/>
          <w:szCs w:val="22"/>
          <w:lang w:val="en-MY"/>
        </w:rPr>
        <w:tab/>
        <w:t>small E with good recovery</w:t>
      </w:r>
    </w:p>
    <w:p w14:paraId="7A9F0FEC" w14:textId="77777777" w:rsidR="00CE6626" w:rsidRPr="009D4627" w:rsidRDefault="00CE6626" w:rsidP="00CE6626">
      <w:pPr>
        <w:spacing w:before="0" w:after="0" w:line="240" w:lineRule="auto"/>
        <w:ind w:left="1276" w:hanging="1276"/>
        <w:rPr>
          <w:bCs/>
          <w:szCs w:val="22"/>
          <w:lang w:val="en-MY"/>
        </w:rPr>
      </w:pPr>
      <w:r w:rsidRPr="009D4627">
        <w:rPr>
          <w:b/>
          <w:szCs w:val="22"/>
          <w:lang w:val="en-MY"/>
        </w:rPr>
        <w:tab/>
      </w:r>
      <w:r w:rsidRPr="009D4627">
        <w:rPr>
          <w:bCs/>
          <w:szCs w:val="22"/>
          <w:lang w:val="en-MY"/>
        </w:rPr>
        <w:t xml:space="preserve">Unaided </w:t>
      </w:r>
      <w:r w:rsidRPr="009D4627">
        <w:rPr>
          <w:bCs/>
          <w:szCs w:val="22"/>
          <w:lang w:val="en-MY"/>
        </w:rPr>
        <w:tab/>
      </w:r>
      <w:r w:rsidRPr="009D4627">
        <w:rPr>
          <w:bCs/>
          <w:szCs w:val="22"/>
          <w:lang w:val="en-MY"/>
        </w:rPr>
        <w:tab/>
        <w:t>6 m</w:t>
      </w:r>
      <w:r w:rsidRPr="009D4627">
        <w:rPr>
          <w:bCs/>
          <w:szCs w:val="22"/>
          <w:lang w:val="en-MY"/>
        </w:rPr>
        <w:tab/>
        <w:t>small RET with diplopia</w:t>
      </w:r>
    </w:p>
    <w:p w14:paraId="4332D415" w14:textId="77777777" w:rsidR="00CE6626" w:rsidRPr="009D4627" w:rsidRDefault="00CE6626" w:rsidP="00CE6626">
      <w:pPr>
        <w:spacing w:before="0" w:after="0" w:line="240" w:lineRule="auto"/>
        <w:ind w:left="1276" w:hanging="1276"/>
        <w:rPr>
          <w:bCs/>
          <w:szCs w:val="22"/>
          <w:lang w:val="en-MY"/>
        </w:rPr>
      </w:pPr>
      <w:r w:rsidRPr="009D4627">
        <w:rPr>
          <w:bCs/>
          <w:szCs w:val="22"/>
          <w:lang w:val="en-MY"/>
        </w:rPr>
        <w:t xml:space="preserve"> </w:t>
      </w:r>
    </w:p>
    <w:p w14:paraId="0FFF1381" w14:textId="77777777" w:rsidR="00CE6626" w:rsidRPr="009D4627" w:rsidRDefault="00CE6626" w:rsidP="00CE6626">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readers </w:t>
      </w:r>
      <w:r w:rsidRPr="009D4627">
        <w:rPr>
          <w:bCs/>
          <w:szCs w:val="22"/>
          <w:lang w:val="en-MY"/>
        </w:rPr>
        <w:tab/>
        <w:t xml:space="preserve">1/3 m </w:t>
      </w:r>
      <w:r w:rsidRPr="009D4627">
        <w:rPr>
          <w:bCs/>
          <w:szCs w:val="22"/>
          <w:lang w:val="en-MY"/>
        </w:rPr>
        <w:tab/>
        <w:t>2</w:t>
      </w:r>
      <w:r w:rsidRPr="009D4627">
        <w:rPr>
          <w:bCs/>
          <w:szCs w:val="22"/>
          <w:vertAlign w:val="superscript"/>
          <w:lang w:val="en-MY"/>
        </w:rPr>
        <w:t>Δ</w:t>
      </w:r>
      <w:r w:rsidRPr="009D4627">
        <w:rPr>
          <w:bCs/>
          <w:szCs w:val="22"/>
          <w:lang w:val="en-MY"/>
        </w:rPr>
        <w:t xml:space="preserve"> BO </w:t>
      </w:r>
    </w:p>
    <w:p w14:paraId="479C0897" w14:textId="77777777" w:rsidR="00CE6626" w:rsidRPr="009D4627" w:rsidRDefault="00CE6626" w:rsidP="00CE6626">
      <w:pPr>
        <w:spacing w:before="0" w:line="240" w:lineRule="auto"/>
        <w:rPr>
          <w:bCs/>
          <w:szCs w:val="22"/>
          <w:lang w:val="en-MY"/>
        </w:rPr>
      </w:pPr>
      <w:r w:rsidRPr="009D4627">
        <w:rPr>
          <w:bCs/>
          <w:szCs w:val="22"/>
          <w:lang w:val="en-MY"/>
        </w:rPr>
        <w:tab/>
        <w:t xml:space="preserve">unaided </w:t>
      </w:r>
      <w:r w:rsidRPr="009D4627">
        <w:rPr>
          <w:bCs/>
          <w:szCs w:val="22"/>
          <w:lang w:val="en-MY"/>
        </w:rPr>
        <w:tab/>
        <w:t>6 m       10</w:t>
      </w:r>
      <w:r w:rsidRPr="009D4627">
        <w:rPr>
          <w:bCs/>
          <w:szCs w:val="22"/>
          <w:vertAlign w:val="superscript"/>
          <w:lang w:val="en-MY"/>
        </w:rPr>
        <w:t xml:space="preserve">Δ </w:t>
      </w:r>
      <w:r w:rsidRPr="009D4627">
        <w:rPr>
          <w:bCs/>
          <w:szCs w:val="22"/>
          <w:lang w:val="en-MY"/>
        </w:rPr>
        <w:t xml:space="preserve">BO     </w:t>
      </w:r>
    </w:p>
    <w:p w14:paraId="480262B2" w14:textId="77777777" w:rsidR="00CE6626" w:rsidRPr="009D4627" w:rsidRDefault="00CE6626" w:rsidP="00CE6626">
      <w:pPr>
        <w:spacing w:before="0" w:after="0" w:line="240" w:lineRule="auto"/>
        <w:rPr>
          <w:bCs/>
          <w:szCs w:val="22"/>
          <w:lang w:val="en-MY"/>
        </w:rPr>
      </w:pPr>
      <w:r w:rsidRPr="009D4627">
        <w:rPr>
          <w:b/>
          <w:szCs w:val="22"/>
          <w:lang w:val="en-MY"/>
        </w:rPr>
        <w:t>OMT:</w:t>
      </w:r>
    </w:p>
    <w:p w14:paraId="1E911857" w14:textId="0B30B5A2" w:rsidR="00CE6626" w:rsidRPr="009D4627" w:rsidRDefault="00A2792E" w:rsidP="00CE6626">
      <w:pPr>
        <w:spacing w:before="0" w:after="0" w:line="240" w:lineRule="auto"/>
        <w:rPr>
          <w:b/>
          <w:szCs w:val="22"/>
          <w:lang w:val="en-MY"/>
        </w:rPr>
      </w:pPr>
      <w:r w:rsidRPr="009D4627">
        <w:rPr>
          <w:noProof/>
        </w:rPr>
        <mc:AlternateContent>
          <mc:Choice Requires="wpg">
            <w:drawing>
              <wp:anchor distT="0" distB="0" distL="114300" distR="114300" simplePos="0" relativeHeight="251701248" behindDoc="0" locked="0" layoutInCell="1" allowOverlap="1" wp14:anchorId="18004FE4" wp14:editId="1A51F45D">
                <wp:simplePos x="0" y="0"/>
                <wp:positionH relativeFrom="column">
                  <wp:posOffset>914400</wp:posOffset>
                </wp:positionH>
                <wp:positionV relativeFrom="paragraph">
                  <wp:posOffset>129540</wp:posOffset>
                </wp:positionV>
                <wp:extent cx="3333750" cy="421640"/>
                <wp:effectExtent l="0" t="0" r="0" b="0"/>
                <wp:wrapNone/>
                <wp:docPr id="23502" name="Group 23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0" cy="421640"/>
                          <a:chOff x="0" y="0"/>
                          <a:chExt cx="33337" cy="4218"/>
                        </a:xfrm>
                      </wpg:grpSpPr>
                      <wpg:grpSp>
                        <wpg:cNvPr id="23503" name="Group 21597"/>
                        <wpg:cNvGrpSpPr>
                          <a:grpSpLocks/>
                        </wpg:cNvGrpSpPr>
                        <wpg:grpSpPr bwMode="auto">
                          <a:xfrm>
                            <a:off x="0" y="0"/>
                            <a:ext cx="18478" cy="4218"/>
                            <a:chOff x="0" y="0"/>
                            <a:chExt cx="18478" cy="4218"/>
                          </a:xfrm>
                        </wpg:grpSpPr>
                        <wpg:grpSp>
                          <wpg:cNvPr id="23504" name="Group 21598"/>
                          <wpg:cNvGrpSpPr>
                            <a:grpSpLocks/>
                          </wpg:cNvGrpSpPr>
                          <wpg:grpSpPr bwMode="auto">
                            <a:xfrm>
                              <a:off x="0" y="0"/>
                              <a:ext cx="12668" cy="4218"/>
                              <a:chOff x="0" y="0"/>
                              <a:chExt cx="12668" cy="4218"/>
                            </a:xfrm>
                          </wpg:grpSpPr>
                          <wps:wsp>
                            <wps:cNvPr id="23505" name="Oval 21599"/>
                            <wps:cNvSpPr>
                              <a:spLocks noChangeArrowheads="1"/>
                            </wps:cNvSpPr>
                            <wps:spPr bwMode="auto">
                              <a:xfrm>
                                <a:off x="3524" y="0"/>
                                <a:ext cx="9144" cy="4218"/>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506" name="Rectangle 21600"/>
                            <wps:cNvSpPr>
                              <a:spLocks noChangeArrowheads="1"/>
                            </wps:cNvSpPr>
                            <wps:spPr bwMode="auto">
                              <a:xfrm>
                                <a:off x="0" y="1238"/>
                                <a:ext cx="3333" cy="2095"/>
                              </a:xfrm>
                              <a:prstGeom prst="rect">
                                <a:avLst/>
                              </a:prstGeom>
                              <a:noFill/>
                              <a:ln>
                                <a:noFill/>
                              </a:ln>
                            </wps:spPr>
                            <wps:txbx>
                              <w:txbxContent>
                                <w:p w14:paraId="63655240" w14:textId="77777777" w:rsidR="00CE6626" w:rsidRPr="002C448B" w:rsidRDefault="00CE6626" w:rsidP="00CE6626">
                                  <w:pPr>
                                    <w:spacing w:before="0" w:after="0"/>
                                    <w:jc w:val="right"/>
                                    <w:rPr>
                                      <w:rFonts w:asciiTheme="minorHAnsi" w:hAnsiTheme="minorHAnsi"/>
                                      <w:sz w:val="20"/>
                                      <w:szCs w:val="20"/>
                                      <w:lang w:val="en-US"/>
                                    </w:rPr>
                                  </w:pPr>
                                  <w:r w:rsidRPr="002C448B">
                                    <w:rPr>
                                      <w:rFonts w:asciiTheme="minorHAnsi" w:hAnsiTheme="minorHAnsi"/>
                                      <w:sz w:val="20"/>
                                      <w:szCs w:val="20"/>
                                      <w:lang w:val="en-US"/>
                                    </w:rPr>
                                    <w:t>-0.5</w:t>
                                  </w:r>
                                </w:p>
                              </w:txbxContent>
                            </wps:txbx>
                            <wps:bodyPr rot="0" vert="horz" wrap="square" lIns="0" tIns="0" rIns="0" bIns="0" anchor="ctr" anchorCtr="0" upright="1">
                              <a:noAutofit/>
                            </wps:bodyPr>
                          </wps:wsp>
                        </wpg:grpSp>
                        <wps:wsp>
                          <wps:cNvPr id="23507" name="Rectangle 21601"/>
                          <wps:cNvSpPr>
                            <a:spLocks noChangeArrowheads="1"/>
                          </wps:cNvSpPr>
                          <wps:spPr bwMode="auto">
                            <a:xfrm>
                              <a:off x="13239" y="1238"/>
                              <a:ext cx="5239" cy="1905"/>
                            </a:xfrm>
                            <a:prstGeom prst="rect">
                              <a:avLst/>
                            </a:prstGeom>
                            <a:noFill/>
                            <a:ln>
                              <a:noFill/>
                            </a:ln>
                          </wps:spPr>
                          <wps:txbx>
                            <w:txbxContent>
                              <w:p w14:paraId="41114355" w14:textId="77777777" w:rsidR="00CE6626" w:rsidRPr="002C448B" w:rsidRDefault="00CE6626" w:rsidP="00CE6626">
                                <w:pPr>
                                  <w:spacing w:before="0" w:after="0"/>
                                  <w:jc w:val="center"/>
                                  <w:rPr>
                                    <w:rFonts w:asciiTheme="minorHAnsi" w:hAnsiTheme="minorHAnsi"/>
                                    <w:sz w:val="20"/>
                                    <w:szCs w:val="20"/>
                                    <w:lang w:val="en-US"/>
                                  </w:rPr>
                                </w:pPr>
                                <w:r>
                                  <w:rPr>
                                    <w:rFonts w:asciiTheme="minorHAnsi" w:hAnsiTheme="minorHAnsi"/>
                                    <w:sz w:val="20"/>
                                    <w:szCs w:val="20"/>
                                    <w:lang w:val="en-US"/>
                                  </w:rPr>
                                  <w:t>10</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txbxContent>
                          </wps:txbx>
                          <wps:bodyPr rot="0" vert="horz" wrap="square" lIns="0" tIns="0" rIns="0" bIns="0" anchor="ctr" anchorCtr="0" upright="1">
                            <a:noAutofit/>
                          </wps:bodyPr>
                        </wps:wsp>
                      </wpg:grpSp>
                      <wpg:grpSp>
                        <wpg:cNvPr id="23508" name="Group 21602"/>
                        <wpg:cNvGrpSpPr>
                          <a:grpSpLocks/>
                        </wpg:cNvGrpSpPr>
                        <wpg:grpSpPr bwMode="auto">
                          <a:xfrm>
                            <a:off x="18954" y="0"/>
                            <a:ext cx="14383" cy="4216"/>
                            <a:chOff x="0" y="0"/>
                            <a:chExt cx="14382" cy="4216"/>
                          </a:xfrm>
                        </wpg:grpSpPr>
                        <wps:wsp>
                          <wps:cNvPr id="23509" name="Oval 21603"/>
                          <wps:cNvSpPr>
                            <a:spLocks noChangeArrowheads="1"/>
                          </wps:cNvSpPr>
                          <wps:spPr bwMode="auto">
                            <a:xfrm>
                              <a:off x="0" y="0"/>
                              <a:ext cx="9144" cy="4216"/>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510" name="Rectangle 21604"/>
                          <wps:cNvSpPr>
                            <a:spLocks noChangeArrowheads="1"/>
                          </wps:cNvSpPr>
                          <wps:spPr bwMode="auto">
                            <a:xfrm>
                              <a:off x="9144" y="1238"/>
                              <a:ext cx="5238" cy="1905"/>
                            </a:xfrm>
                            <a:prstGeom prst="rect">
                              <a:avLst/>
                            </a:prstGeom>
                            <a:noFill/>
                            <a:ln>
                              <a:noFill/>
                            </a:ln>
                          </wps:spPr>
                          <wps:txbx>
                            <w:txbxContent>
                              <w:p w14:paraId="4E50E4CD" w14:textId="77777777" w:rsidR="00CE6626" w:rsidRPr="002C448B" w:rsidRDefault="00CE6626" w:rsidP="00CE6626">
                                <w:pPr>
                                  <w:spacing w:before="0" w:after="0"/>
                                  <w:jc w:val="center"/>
                                  <w:rPr>
                                    <w:rFonts w:asciiTheme="minorHAnsi" w:hAnsiTheme="minorHAnsi"/>
                                    <w:sz w:val="20"/>
                                    <w:szCs w:val="20"/>
                                    <w:lang w:val="en-US"/>
                                  </w:rPr>
                                </w:pPr>
                                <w:r w:rsidRPr="002C448B">
                                  <w:rPr>
                                    <w:rFonts w:asciiTheme="minorHAnsi" w:hAnsiTheme="minorHAnsi" w:cstheme="minorHAnsi"/>
                                    <w:bCs/>
                                    <w:sz w:val="20"/>
                                    <w:szCs w:val="20"/>
                                    <w:lang w:val="en-MY"/>
                                  </w:rPr>
                                  <w:t>4</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004FE4" id="Group 23502" o:spid="_x0000_s1901" style="position:absolute;left:0;text-align:left;margin-left:1in;margin-top:10.2pt;width:262.5pt;height:33.2pt;z-index:251701248;mso-position-horizontal-relative:text;mso-position-vertical-relative:text" coordsize="33337,4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">
                <v:group id="Group 21597" o:spid="_x0000_s1902" style="position:absolute;width:18478;height:4218" coordsize="18478,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">
                  <v:group id="Group 21598" o:spid="_x0000_s1903" style="position:absolute;width:12668;height:4218" coordsize="12668,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">
                    <v:oval id="Oval 21599" o:spid="_x0000_s1904" style="position:absolute;left:3524;width:9144;height:4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" filled="f" strokecolor="black [1600]" strokeweight="1pt">
                      <v:stroke joinstyle="miter"/>
                    </v:oval>
                    <v:rect id="Rectangle 21600" o:spid="_x0000_s1905" style="position:absolute;top:1238;width:3333;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" filled="f" stroked="f">
                      <v:textbox inset="0,0,0,0">
                        <w:txbxContent>
                          <w:p w14:paraId="63655240" w14:textId="77777777" w:rsidR="00CE6626" w:rsidRPr="002C448B" w:rsidRDefault="00CE6626" w:rsidP="00CE6626">
                            <w:pPr>
                              <w:spacing w:before="0" w:after="0"/>
                              <w:jc w:val="right"/>
                              <w:rPr>
                                <w:rFonts w:asciiTheme="minorHAnsi" w:hAnsiTheme="minorHAnsi"/>
                                <w:sz w:val="20"/>
                                <w:szCs w:val="20"/>
                                <w:lang w:val="en-US"/>
                              </w:rPr>
                            </w:pPr>
                            <w:r w:rsidRPr="002C448B">
                              <w:rPr>
                                <w:rFonts w:asciiTheme="minorHAnsi" w:hAnsiTheme="minorHAnsi"/>
                                <w:sz w:val="20"/>
                                <w:szCs w:val="20"/>
                                <w:lang w:val="en-US"/>
                              </w:rPr>
                              <w:t>-0.5</w:t>
                            </w:r>
                          </w:p>
                        </w:txbxContent>
                      </v:textbox>
                    </v:rect>
                  </v:group>
                  <v:rect id="Rectangle 21601" o:spid="_x0000_s1906" style="position:absolute;left:13239;top:1238;width:523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" filled="f" stroked="f">
                    <v:textbox inset="0,0,0,0">
                      <w:txbxContent>
                        <w:p w14:paraId="41114355" w14:textId="77777777" w:rsidR="00CE6626" w:rsidRPr="002C448B" w:rsidRDefault="00CE6626" w:rsidP="00CE6626">
                          <w:pPr>
                            <w:spacing w:before="0" w:after="0"/>
                            <w:jc w:val="center"/>
                            <w:rPr>
                              <w:rFonts w:asciiTheme="minorHAnsi" w:hAnsiTheme="minorHAnsi"/>
                              <w:sz w:val="20"/>
                              <w:szCs w:val="20"/>
                              <w:lang w:val="en-US"/>
                            </w:rPr>
                          </w:pPr>
                          <w:r>
                            <w:rPr>
                              <w:rFonts w:asciiTheme="minorHAnsi" w:hAnsiTheme="minorHAnsi"/>
                              <w:sz w:val="20"/>
                              <w:szCs w:val="20"/>
                              <w:lang w:val="en-US"/>
                            </w:rPr>
                            <w:t>10</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txbxContent>
                    </v:textbox>
                  </v:rect>
                </v:group>
                <v:group id="Group 21602" o:spid="_x0000_s1907" style="position:absolute;left:18954;width:14383;height:4216" coordsize="14382,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">
                  <v:oval id="Oval 21603" o:spid="_x0000_s1908" style="position:absolute;width:9144;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" filled="f" strokecolor="black [1600]" strokeweight="1pt">
                    <v:stroke joinstyle="miter"/>
                  </v:oval>
                  <v:rect id="Rectangle 21604" o:spid="_x0000_s1909" style="position:absolute;left:9144;top:1238;width:5238;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" filled="f" stroked="f">
                    <v:textbox inset="0,0,0,0">
                      <w:txbxContent>
                        <w:p w14:paraId="4E50E4CD" w14:textId="77777777" w:rsidR="00CE6626" w:rsidRPr="002C448B" w:rsidRDefault="00CE6626" w:rsidP="00CE6626">
                          <w:pPr>
                            <w:spacing w:before="0" w:after="0"/>
                            <w:jc w:val="center"/>
                            <w:rPr>
                              <w:rFonts w:asciiTheme="minorHAnsi" w:hAnsiTheme="minorHAnsi"/>
                              <w:sz w:val="20"/>
                              <w:szCs w:val="20"/>
                              <w:lang w:val="en-US"/>
                            </w:rPr>
                          </w:pPr>
                          <w:r w:rsidRPr="002C448B">
                            <w:rPr>
                              <w:rFonts w:asciiTheme="minorHAnsi" w:hAnsiTheme="minorHAnsi" w:cstheme="minorHAnsi"/>
                              <w:bCs/>
                              <w:sz w:val="20"/>
                              <w:szCs w:val="20"/>
                              <w:lang w:val="en-MY"/>
                            </w:rPr>
                            <w:t>4</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txbxContent>
                    </v:textbox>
                  </v:rect>
                </v:group>
              </v:group>
            </w:pict>
          </mc:Fallback>
        </mc:AlternateContent>
      </w:r>
    </w:p>
    <w:p w14:paraId="3F5F74A2" w14:textId="77777777" w:rsidR="00CE6626" w:rsidRPr="009D4627" w:rsidRDefault="00CE6626" w:rsidP="00CE6626">
      <w:pPr>
        <w:spacing w:before="0" w:after="0" w:line="240" w:lineRule="auto"/>
        <w:rPr>
          <w:b/>
          <w:szCs w:val="22"/>
          <w:lang w:val="en-MY"/>
        </w:rPr>
      </w:pPr>
    </w:p>
    <w:p w14:paraId="4C0A3914" w14:textId="77777777" w:rsidR="00CE6626" w:rsidRPr="009D4627" w:rsidRDefault="00CE6626" w:rsidP="00CE6626">
      <w:pPr>
        <w:spacing w:before="0" w:after="0" w:line="240" w:lineRule="auto"/>
        <w:rPr>
          <w:b/>
          <w:szCs w:val="22"/>
          <w:lang w:val="en-MY"/>
        </w:rPr>
      </w:pPr>
    </w:p>
    <w:p w14:paraId="3F3C8005" w14:textId="77777777" w:rsidR="00CE6626" w:rsidRPr="009D4627" w:rsidRDefault="00CE6626" w:rsidP="00CE6626">
      <w:pPr>
        <w:spacing w:before="0" w:after="0" w:line="240" w:lineRule="auto"/>
        <w:rPr>
          <w:b/>
          <w:szCs w:val="22"/>
          <w:lang w:val="en-MY"/>
        </w:rPr>
      </w:pPr>
    </w:p>
    <w:p w14:paraId="0F080BCC" w14:textId="77777777" w:rsidR="00CE6626" w:rsidRPr="009D4627" w:rsidRDefault="00CE6626" w:rsidP="00CE6626">
      <w:pPr>
        <w:spacing w:before="0" w:after="0" w:line="240" w:lineRule="auto"/>
        <w:rPr>
          <w:b/>
          <w:szCs w:val="22"/>
          <w:lang w:val="en-MY"/>
        </w:rPr>
      </w:pPr>
    </w:p>
    <w:p w14:paraId="42B94BA1" w14:textId="77777777" w:rsidR="00CE6626" w:rsidRPr="009D4627" w:rsidRDefault="00CE6626" w:rsidP="00CE6626">
      <w:pPr>
        <w:spacing w:before="0" w:after="0" w:line="240" w:lineRule="auto"/>
        <w:ind w:left="2160" w:hanging="2160"/>
        <w:rPr>
          <w:szCs w:val="22"/>
          <w:lang w:val="en-MY"/>
        </w:rPr>
      </w:pPr>
      <w:r w:rsidRPr="009D4627">
        <w:rPr>
          <w:b/>
          <w:bCs/>
          <w:szCs w:val="22"/>
          <w:lang w:val="en-MY"/>
        </w:rPr>
        <w:t xml:space="preserve">Assessment &amp; plan: </w:t>
      </w:r>
      <w:r w:rsidRPr="009D4627">
        <w:rPr>
          <w:b/>
          <w:bCs/>
          <w:szCs w:val="22"/>
          <w:lang w:val="en-MY"/>
        </w:rPr>
        <w:tab/>
      </w:r>
      <w:r w:rsidRPr="009D4627">
        <w:rPr>
          <w:szCs w:val="22"/>
          <w:lang w:val="en-MY"/>
        </w:rPr>
        <w:t>Microvascular R sixth nerve palsy.</w:t>
      </w:r>
    </w:p>
    <w:p w14:paraId="59973402" w14:textId="77777777" w:rsidR="00CE6626" w:rsidRPr="009D4627" w:rsidRDefault="00CE6626" w:rsidP="00CE6626">
      <w:pPr>
        <w:spacing w:before="0" w:after="0" w:line="240" w:lineRule="auto"/>
        <w:ind w:left="2160"/>
        <w:rPr>
          <w:szCs w:val="22"/>
          <w:lang w:val="en-MY"/>
        </w:rPr>
      </w:pPr>
      <w:r w:rsidRPr="009D4627">
        <w:rPr>
          <w:rFonts w:eastAsia="Calibri"/>
          <w:color w:val="000000"/>
          <w:szCs w:val="22"/>
          <w:lang w:val="en-MY"/>
        </w:rPr>
        <w:t>Given right occlusive patch to wear over RE as required</w:t>
      </w:r>
      <w:r w:rsidRPr="009D4627">
        <w:rPr>
          <w:szCs w:val="22"/>
          <w:lang w:val="en-MY"/>
        </w:rPr>
        <w:t>.</w:t>
      </w:r>
    </w:p>
    <w:p w14:paraId="18B3065F" w14:textId="77777777" w:rsidR="00CE6626" w:rsidRPr="009D4627" w:rsidRDefault="00CE6626" w:rsidP="00CE6626">
      <w:pPr>
        <w:spacing w:before="0" w:after="0" w:line="240" w:lineRule="auto"/>
        <w:ind w:left="2160"/>
        <w:rPr>
          <w:szCs w:val="22"/>
          <w:lang w:val="en-MY"/>
        </w:rPr>
      </w:pPr>
      <w:r w:rsidRPr="009D4627">
        <w:rPr>
          <w:szCs w:val="22"/>
          <w:lang w:val="en-MY"/>
        </w:rPr>
        <w:t>Review in 3-52.</w:t>
      </w:r>
    </w:p>
    <w:p w14:paraId="27083597" w14:textId="77777777" w:rsidR="00CE6626" w:rsidRPr="009D4627" w:rsidRDefault="00CE6626" w:rsidP="00CE6626">
      <w:pPr>
        <w:spacing w:before="0" w:after="0" w:line="240" w:lineRule="auto"/>
        <w:rPr>
          <w:szCs w:val="22"/>
          <w:lang w:val="en-MY"/>
        </w:rPr>
      </w:pPr>
    </w:p>
    <w:p w14:paraId="00FCBBD9" w14:textId="77777777" w:rsidR="00CE6626" w:rsidRPr="009D4627" w:rsidRDefault="00CE6626" w:rsidP="00CE6626">
      <w:pPr>
        <w:spacing w:before="0" w:after="0" w:line="240" w:lineRule="auto"/>
        <w:rPr>
          <w:b/>
          <w:i/>
          <w:iCs/>
          <w:szCs w:val="22"/>
          <w:u w:val="single"/>
          <w:lang w:val="en-MY"/>
        </w:rPr>
      </w:pPr>
      <w:r w:rsidRPr="009D4627">
        <w:rPr>
          <w:i/>
          <w:iCs/>
          <w:szCs w:val="22"/>
          <w:lang w:val="en-MY"/>
        </w:rPr>
        <w:t>**His medical reports of the following visit were not available at times when the researcher requested. His diplopia problem was resolving and gets better. He was not wearing the eye patch at 5 weeks post-onset.</w:t>
      </w:r>
    </w:p>
    <w:p w14:paraId="23E143FD" w14:textId="7ABF2D13" w:rsidR="00CE6626" w:rsidRPr="009D4627" w:rsidRDefault="00CE6626" w:rsidP="00C4130D">
      <w:pPr>
        <w:pStyle w:val="Caption"/>
      </w:pPr>
    </w:p>
    <w:p w14:paraId="40EA5D16" w14:textId="77777777" w:rsidR="004D28C6" w:rsidRPr="009D4627" w:rsidRDefault="004D28C6" w:rsidP="00C4130D">
      <w:pPr>
        <w:pStyle w:val="Caption"/>
        <w:sectPr w:rsidR="004D28C6" w:rsidRPr="009D4627" w:rsidSect="00477959">
          <w:headerReference w:type="default" r:id="rId284"/>
          <w:pgSz w:w="11906" w:h="16838" w:code="9"/>
          <w:pgMar w:top="1440" w:right="1440" w:bottom="1440" w:left="1440" w:header="708" w:footer="708" w:gutter="0"/>
          <w:cols w:space="708"/>
          <w:docGrid w:linePitch="360"/>
        </w:sectPr>
      </w:pPr>
      <w:bookmarkStart w:id="663" w:name="_Toc70087948"/>
      <w:bookmarkStart w:id="664" w:name="_Toc70088063"/>
      <w:bookmarkEnd w:id="660"/>
      <w:bookmarkEnd w:id="661"/>
      <w:bookmarkEnd w:id="662"/>
    </w:p>
    <w:p w14:paraId="160E3F97" w14:textId="30B540D9" w:rsidR="001941C9" w:rsidRDefault="00565A8C" w:rsidP="00C4130D">
      <w:pPr>
        <w:pStyle w:val="Caption"/>
      </w:pPr>
      <w:bookmarkStart w:id="665" w:name="_Toc99356737"/>
      <w:bookmarkStart w:id="666" w:name="_Toc73355027"/>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5</w:t>
      </w:r>
      <w:r w:rsidR="002E63E9" w:rsidRPr="009D4627">
        <w:rPr>
          <w:noProof/>
        </w:rPr>
        <w:fldChar w:fldCharType="end"/>
      </w:r>
      <w:r w:rsidRPr="009D4627">
        <w:t xml:space="preserve">: </w:t>
      </w:r>
      <w:r w:rsidR="00BD37F8" w:rsidRPr="009D4627">
        <w:t>Patient ID: 5</w:t>
      </w:r>
      <w:bookmarkEnd w:id="665"/>
      <w:r w:rsidR="00BD37F8" w:rsidRPr="009D4627">
        <w:t xml:space="preserve"> </w:t>
      </w:r>
      <w:r w:rsidR="002312ED">
        <w:t xml:space="preserve">                  </w:t>
      </w:r>
    </w:p>
    <w:p w14:paraId="0C616652" w14:textId="77777777" w:rsidR="001941C9" w:rsidRDefault="00BD37F8" w:rsidP="00C4130D">
      <w:pPr>
        <w:pStyle w:val="Caption"/>
      </w:pPr>
      <w:r w:rsidRPr="009D4627">
        <w:t>Birth month/year: 10/1946</w:t>
      </w:r>
      <w:r w:rsidRPr="009D4627">
        <w:tab/>
      </w:r>
      <w:r w:rsidRPr="009D4627">
        <w:tab/>
      </w:r>
      <w:r w:rsidR="002312ED">
        <w:t xml:space="preserve">     </w:t>
      </w:r>
    </w:p>
    <w:p w14:paraId="7C44FC4D" w14:textId="3BAA3934" w:rsidR="00BD37F8" w:rsidRPr="009D4627" w:rsidRDefault="00BD37F8" w:rsidP="00C4130D">
      <w:pPr>
        <w:pStyle w:val="Caption"/>
        <w:rPr>
          <w:b/>
          <w:szCs w:val="22"/>
        </w:rPr>
      </w:pPr>
      <w:r w:rsidRPr="009D4627">
        <w:t>Age: 72 at onset</w:t>
      </w:r>
    </w:p>
    <w:p w14:paraId="7D900F34" w14:textId="77777777" w:rsidR="00BD37F8" w:rsidRPr="009D4627" w:rsidRDefault="00BD37F8" w:rsidP="00BD37F8">
      <w:pPr>
        <w:spacing w:before="0" w:after="0" w:line="240" w:lineRule="auto"/>
        <w:rPr>
          <w:b/>
          <w:szCs w:val="22"/>
          <w:u w:val="single"/>
          <w:lang w:val="en-MY"/>
        </w:rPr>
      </w:pPr>
    </w:p>
    <w:p w14:paraId="1AA43A33" w14:textId="77777777" w:rsidR="00BD37F8" w:rsidRPr="009D4627" w:rsidRDefault="00BD37F8" w:rsidP="00BD37F8">
      <w:pPr>
        <w:spacing w:before="0" w:after="0" w:line="240" w:lineRule="auto"/>
        <w:rPr>
          <w:bCs/>
          <w:szCs w:val="22"/>
          <w:u w:val="single"/>
          <w:lang w:val="en-MY"/>
        </w:rPr>
      </w:pPr>
      <w:r w:rsidRPr="009D4627">
        <w:rPr>
          <w:b/>
          <w:szCs w:val="22"/>
          <w:u w:val="single"/>
          <w:lang w:val="en-MY"/>
        </w:rPr>
        <w:t xml:space="preserve">Clinical visit 1: </w:t>
      </w:r>
      <w:r w:rsidRPr="009D4627">
        <w:rPr>
          <w:bCs/>
          <w:szCs w:val="22"/>
          <w:u w:val="single"/>
          <w:lang w:val="en-MY"/>
        </w:rPr>
        <w:t>14/01/2019 (7</w:t>
      </w:r>
      <w:r w:rsidRPr="009D4627">
        <w:rPr>
          <w:bCs/>
          <w:color w:val="auto"/>
          <w:szCs w:val="22"/>
          <w:u w:val="single"/>
          <w:lang w:val="en-MY"/>
        </w:rPr>
        <w:t xml:space="preserve"> days from onset</w:t>
      </w:r>
      <w:r w:rsidRPr="009D4627">
        <w:rPr>
          <w:bCs/>
          <w:szCs w:val="22"/>
          <w:u w:val="single"/>
          <w:lang w:val="en-MY"/>
        </w:rPr>
        <w:t>) - Orthoptic assessment</w:t>
      </w:r>
    </w:p>
    <w:p w14:paraId="29597731" w14:textId="77777777" w:rsidR="00BD37F8" w:rsidRPr="009D4627" w:rsidRDefault="00BD37F8" w:rsidP="00BD37F8">
      <w:pPr>
        <w:spacing w:before="0" w:after="0" w:line="240" w:lineRule="auto"/>
        <w:rPr>
          <w:bCs/>
          <w:szCs w:val="22"/>
          <w:u w:val="single"/>
          <w:lang w:val="en-MY"/>
        </w:rPr>
      </w:pPr>
    </w:p>
    <w:p w14:paraId="683E6346" w14:textId="77777777" w:rsidR="00BD37F8" w:rsidRPr="009D4627" w:rsidRDefault="00BD37F8" w:rsidP="00BD37F8">
      <w:pPr>
        <w:spacing w:before="0" w:after="0" w:line="240" w:lineRule="auto"/>
        <w:ind w:left="851" w:hanging="851"/>
        <w:rPr>
          <w:bCs/>
          <w:szCs w:val="22"/>
          <w:lang w:val="en-MY"/>
        </w:rPr>
      </w:pPr>
      <w:r w:rsidRPr="009D4627">
        <w:rPr>
          <w:b/>
          <w:szCs w:val="22"/>
          <w:lang w:val="en-MY"/>
        </w:rPr>
        <w:t xml:space="preserve">History: </w:t>
      </w:r>
      <w:r w:rsidRPr="009D4627">
        <w:rPr>
          <w:bCs/>
          <w:szCs w:val="22"/>
          <w:lang w:val="en-MY"/>
        </w:rPr>
        <w:t>Patient reports diplopia at distance for 7 days which is side by side. He using a patch currently to overcome his problem.</w:t>
      </w:r>
    </w:p>
    <w:p w14:paraId="3C73516B" w14:textId="77777777" w:rsidR="00BD37F8" w:rsidRPr="009D4627" w:rsidRDefault="00BD37F8" w:rsidP="00BD37F8">
      <w:pPr>
        <w:spacing w:before="0" w:after="0" w:line="240" w:lineRule="auto"/>
        <w:ind w:left="851" w:hanging="131"/>
        <w:rPr>
          <w:b/>
          <w:szCs w:val="22"/>
          <w:lang w:val="en-MY"/>
        </w:rPr>
      </w:pPr>
      <w:r w:rsidRPr="009D4627">
        <w:rPr>
          <w:bCs/>
          <w:szCs w:val="22"/>
          <w:lang w:val="en-MY"/>
        </w:rPr>
        <w:t xml:space="preserve">  </w:t>
      </w:r>
    </w:p>
    <w:p w14:paraId="2F07394F" w14:textId="2E0F1122" w:rsidR="00BD37F8" w:rsidRPr="009D4627" w:rsidRDefault="00BD37F8" w:rsidP="00A26EB0">
      <w:pPr>
        <w:spacing w:before="0" w:after="0" w:line="240" w:lineRule="auto"/>
        <w:ind w:left="2160" w:hanging="2160"/>
        <w:rPr>
          <w:szCs w:val="22"/>
          <w:lang w:val="en-MY"/>
        </w:rPr>
      </w:pPr>
      <w:r w:rsidRPr="009D4627">
        <w:rPr>
          <w:b/>
          <w:szCs w:val="22"/>
          <w:lang w:val="en-MY"/>
        </w:rPr>
        <w:t xml:space="preserve">General health: </w:t>
      </w:r>
      <w:r w:rsidR="00A26EB0" w:rsidRPr="009D4627">
        <w:rPr>
          <w:b/>
          <w:szCs w:val="22"/>
          <w:lang w:val="en-MY"/>
        </w:rPr>
        <w:tab/>
      </w:r>
      <w:r w:rsidRPr="009D4627">
        <w:rPr>
          <w:szCs w:val="22"/>
          <w:lang w:val="en-MY"/>
        </w:rPr>
        <w:t xml:space="preserve">Diabetes, heart failure, awaiting new pacemaker, under urology review </w:t>
      </w:r>
      <w:r w:rsidRPr="009D4627">
        <w:rPr>
          <w:szCs w:val="22"/>
          <w:lang w:val="en-MY"/>
        </w:rPr>
        <w:sym w:font="Wingdings" w:char="F0E0"/>
      </w:r>
      <w:r w:rsidRPr="009D4627">
        <w:rPr>
          <w:szCs w:val="22"/>
          <w:lang w:val="en-MY"/>
        </w:rPr>
        <w:t xml:space="preserve"> bladder cancer, had chemotherapy, kidney failure, low BP, no head trauma and no known thyroid problems.</w:t>
      </w:r>
    </w:p>
    <w:p w14:paraId="5D56235B" w14:textId="73153343" w:rsidR="001941C9" w:rsidRPr="009D4627" w:rsidRDefault="001941C9" w:rsidP="00E147BE">
      <w:pPr>
        <w:spacing w:line="240" w:lineRule="auto"/>
        <w:ind w:left="2160"/>
      </w:pPr>
      <w:r>
        <w:rPr>
          <w:bCs/>
          <w:szCs w:val="22"/>
          <w:lang w:val="en-MY"/>
        </w:rPr>
        <w:t xml:space="preserve">Medication: </w:t>
      </w:r>
      <w:r w:rsidRPr="009D4627">
        <w:rPr>
          <w:bCs/>
          <w:szCs w:val="22"/>
          <w:lang w:val="en-MY"/>
        </w:rPr>
        <w:t>Taking c</w:t>
      </w:r>
      <w:r w:rsidRPr="009D4627">
        <w:rPr>
          <w:szCs w:val="22"/>
          <w:lang w:val="en-MY"/>
        </w:rPr>
        <w:t xml:space="preserve">andesartan, bumetanide, apixaban, gabapentin, </w:t>
      </w:r>
      <w:proofErr w:type="spellStart"/>
      <w:r w:rsidRPr="009D4627">
        <w:rPr>
          <w:szCs w:val="22"/>
          <w:lang w:val="en-MY"/>
        </w:rPr>
        <w:t>bisoprol</w:t>
      </w:r>
      <w:proofErr w:type="spellEnd"/>
      <w:r w:rsidRPr="009D4627">
        <w:rPr>
          <w:szCs w:val="22"/>
          <w:lang w:val="en-MY"/>
        </w:rPr>
        <w:t>, nicorandil, omeprazole, atorvastatin, aspirin, amoxicillin</w:t>
      </w:r>
    </w:p>
    <w:p w14:paraId="625B9B27" w14:textId="77777777" w:rsidR="00BD37F8" w:rsidRPr="009D4627" w:rsidRDefault="00BD37F8" w:rsidP="00BD37F8">
      <w:pPr>
        <w:spacing w:before="0" w:after="0" w:line="240" w:lineRule="auto"/>
        <w:rPr>
          <w:szCs w:val="22"/>
          <w:lang w:val="en-MY"/>
        </w:rPr>
      </w:pPr>
      <w:r w:rsidRPr="009D4627">
        <w:rPr>
          <w:b/>
          <w:bCs/>
          <w:szCs w:val="22"/>
          <w:lang w:val="en-MY"/>
        </w:rPr>
        <w:t xml:space="preserve">Family history: </w:t>
      </w:r>
      <w:r w:rsidRPr="009D4627">
        <w:rPr>
          <w:szCs w:val="22"/>
          <w:lang w:val="en-MY"/>
        </w:rPr>
        <w:t>NIL</w:t>
      </w:r>
    </w:p>
    <w:p w14:paraId="6F5C03ED" w14:textId="77777777" w:rsidR="00BD37F8" w:rsidRPr="009D4627" w:rsidRDefault="00BD37F8" w:rsidP="00BD37F8">
      <w:pPr>
        <w:spacing w:before="0" w:after="0" w:line="240" w:lineRule="auto"/>
        <w:rPr>
          <w:b/>
          <w:szCs w:val="22"/>
          <w:lang w:val="en-MY"/>
        </w:rPr>
      </w:pPr>
    </w:p>
    <w:p w14:paraId="380F965B" w14:textId="77777777" w:rsidR="00BD37F8" w:rsidRPr="009D4627" w:rsidRDefault="00BD37F8" w:rsidP="00BD37F8">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0.60</w:t>
      </w:r>
      <w:r w:rsidRPr="009D4627">
        <w:rPr>
          <w:bCs/>
          <w:szCs w:val="22"/>
          <w:lang w:val="en-MY"/>
        </w:rPr>
        <w:tab/>
      </w:r>
      <w:r w:rsidRPr="009D4627">
        <w:rPr>
          <w:bCs/>
          <w:szCs w:val="22"/>
          <w:lang w:val="en-MY"/>
        </w:rPr>
        <w:tab/>
        <w:t xml:space="preserve">LE 0.20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4907F341" w14:textId="6C5EB505" w:rsidR="00BD37F8" w:rsidRPr="009D4627" w:rsidRDefault="00BD37F8" w:rsidP="00BD37F8">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00E147BE">
        <w:rPr>
          <w:b/>
          <w:szCs w:val="22"/>
          <w:lang w:val="en-MY"/>
        </w:rPr>
        <w:tab/>
      </w:r>
      <w:r w:rsidRPr="009D4627">
        <w:rPr>
          <w:b/>
          <w:szCs w:val="22"/>
          <w:lang w:val="en-MY"/>
        </w:rPr>
        <w:t xml:space="preserve">    </w:t>
      </w:r>
      <w:r w:rsidRPr="009D4627">
        <w:rPr>
          <w:bCs/>
          <w:szCs w:val="22"/>
          <w:lang w:val="en-MY"/>
        </w:rPr>
        <w:t>6/24</w:t>
      </w:r>
      <w:r w:rsidRPr="009D4627">
        <w:rPr>
          <w:bCs/>
          <w:szCs w:val="22"/>
          <w:lang w:val="en-MY"/>
        </w:rPr>
        <w:tab/>
      </w:r>
      <w:proofErr w:type="gramStart"/>
      <w:r w:rsidRPr="009D4627">
        <w:rPr>
          <w:bCs/>
          <w:szCs w:val="22"/>
          <w:lang w:val="en-MY"/>
        </w:rPr>
        <w:tab/>
        <w:t xml:space="preserve">  </w:t>
      </w:r>
      <w:r w:rsidR="00E147BE">
        <w:rPr>
          <w:bCs/>
          <w:szCs w:val="22"/>
          <w:lang w:val="en-MY"/>
        </w:rPr>
        <w:tab/>
      </w:r>
      <w:proofErr w:type="gramEnd"/>
      <w:r w:rsidRPr="009D4627">
        <w:rPr>
          <w:bCs/>
          <w:szCs w:val="22"/>
          <w:lang w:val="en-MY"/>
        </w:rPr>
        <w:t xml:space="preserve">  6/9</w:t>
      </w:r>
      <w:r w:rsidRPr="009D4627">
        <w:rPr>
          <w:bCs/>
          <w:szCs w:val="22"/>
          <w:vertAlign w:val="superscript"/>
          <w:lang w:val="en-MY"/>
        </w:rPr>
        <w:t>-1</w:t>
      </w:r>
      <w:r w:rsidRPr="009D4627">
        <w:rPr>
          <w:bCs/>
          <w:szCs w:val="22"/>
          <w:lang w:val="en-MY"/>
        </w:rPr>
        <w:tab/>
      </w:r>
      <w:r w:rsidRPr="009D4627">
        <w:rPr>
          <w:bCs/>
          <w:szCs w:val="22"/>
          <w:lang w:val="en-MY"/>
        </w:rPr>
        <w:tab/>
        <w:t>Snellen equivalent</w:t>
      </w:r>
    </w:p>
    <w:p w14:paraId="510BE86B"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t>with PH</w:t>
      </w:r>
      <w:r w:rsidRPr="009D4627">
        <w:rPr>
          <w:bCs/>
          <w:szCs w:val="22"/>
          <w:lang w:val="en-MY"/>
        </w:rPr>
        <w:tab/>
        <w:t>No Improvements in RE and LE</w:t>
      </w:r>
    </w:p>
    <w:p w14:paraId="50E0289D"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p>
    <w:p w14:paraId="4282DD69"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w:t>
      </w:r>
      <w:r w:rsidRPr="009D4627">
        <w:rPr>
          <w:bCs/>
          <w:szCs w:val="22"/>
          <w:lang w:val="en-MY"/>
        </w:rPr>
        <w:tab/>
        <w:t xml:space="preserve">1/3 m </w:t>
      </w:r>
      <w:r w:rsidRPr="009D4627">
        <w:rPr>
          <w:bCs/>
          <w:szCs w:val="22"/>
          <w:lang w:val="en-MY"/>
        </w:rPr>
        <w:tab/>
        <w:t>moderate L alt. ET with diplopia</w:t>
      </w:r>
    </w:p>
    <w:p w14:paraId="3174DED6"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ab/>
      </w:r>
      <w:r w:rsidRPr="009D4627">
        <w:rPr>
          <w:b/>
          <w:szCs w:val="22"/>
          <w:lang w:val="en-MY"/>
        </w:rPr>
        <w:tab/>
      </w:r>
      <w:r w:rsidRPr="009D4627">
        <w:rPr>
          <w:bCs/>
          <w:szCs w:val="22"/>
          <w:lang w:val="en-MY"/>
        </w:rPr>
        <w:tab/>
      </w:r>
      <w:r w:rsidRPr="009D4627">
        <w:rPr>
          <w:bCs/>
          <w:szCs w:val="22"/>
          <w:lang w:val="en-MY"/>
        </w:rPr>
        <w:tab/>
        <w:t>6 m</w:t>
      </w:r>
      <w:r w:rsidRPr="009D4627">
        <w:rPr>
          <w:bCs/>
          <w:szCs w:val="22"/>
          <w:lang w:val="en-MY"/>
        </w:rPr>
        <w:tab/>
        <w:t>moderate RET with diplopia</w:t>
      </w:r>
    </w:p>
    <w:p w14:paraId="6B957B7A" w14:textId="77777777" w:rsidR="00BD37F8" w:rsidRPr="009D4627" w:rsidRDefault="00BD37F8" w:rsidP="00BD37F8">
      <w:pPr>
        <w:spacing w:before="0" w:after="0" w:line="240" w:lineRule="auto"/>
        <w:ind w:left="1276" w:hanging="1276"/>
        <w:rPr>
          <w:bCs/>
          <w:szCs w:val="22"/>
          <w:lang w:val="en-MY"/>
        </w:rPr>
      </w:pPr>
      <w:r w:rsidRPr="009D4627">
        <w:rPr>
          <w:bCs/>
          <w:szCs w:val="22"/>
          <w:lang w:val="en-MY"/>
        </w:rPr>
        <w:t xml:space="preserve"> </w:t>
      </w:r>
    </w:p>
    <w:p w14:paraId="60AED8F3" w14:textId="77777777" w:rsidR="00BD37F8" w:rsidRPr="009D4627" w:rsidRDefault="00BD37F8" w:rsidP="00BD37F8">
      <w:pPr>
        <w:spacing w:before="0" w:after="0" w:line="240" w:lineRule="auto"/>
        <w:rPr>
          <w:b/>
          <w:szCs w:val="22"/>
          <w:lang w:val="en-MY"/>
        </w:rPr>
      </w:pPr>
      <w:r w:rsidRPr="009D4627">
        <w:rPr>
          <w:b/>
          <w:szCs w:val="22"/>
          <w:lang w:val="en-MY"/>
        </w:rPr>
        <w:t>OMT:</w:t>
      </w:r>
    </w:p>
    <w:p w14:paraId="2EC5D631" w14:textId="77777777" w:rsidR="00BD37F8" w:rsidRPr="009D4627" w:rsidRDefault="00BD37F8" w:rsidP="00BD37F8">
      <w:pPr>
        <w:spacing w:before="0" w:after="0" w:line="240" w:lineRule="auto"/>
        <w:rPr>
          <w:b/>
          <w:szCs w:val="22"/>
          <w:lang w:val="en-MY"/>
        </w:rPr>
      </w:pPr>
    </w:p>
    <w:p w14:paraId="76B6EF90" w14:textId="1025EB54" w:rsidR="00BD37F8" w:rsidRPr="009D4627" w:rsidRDefault="00A2792E" w:rsidP="00BD37F8">
      <w:pPr>
        <w:spacing w:before="0" w:after="0" w:line="240" w:lineRule="auto"/>
        <w:rPr>
          <w:b/>
          <w:szCs w:val="22"/>
          <w:lang w:val="en-MY"/>
        </w:rPr>
      </w:pPr>
      <w:r w:rsidRPr="009D4627">
        <w:rPr>
          <w:noProof/>
        </w:rPr>
        <mc:AlternateContent>
          <mc:Choice Requires="wpg">
            <w:drawing>
              <wp:anchor distT="0" distB="0" distL="114300" distR="114300" simplePos="0" relativeHeight="251762688" behindDoc="0" locked="0" layoutInCell="1" allowOverlap="1" wp14:anchorId="1ADDCEF2" wp14:editId="55186455">
                <wp:simplePos x="0" y="0"/>
                <wp:positionH relativeFrom="column">
                  <wp:posOffset>238760</wp:posOffset>
                </wp:positionH>
                <wp:positionV relativeFrom="paragraph">
                  <wp:posOffset>85090</wp:posOffset>
                </wp:positionV>
                <wp:extent cx="4657725" cy="1581150"/>
                <wp:effectExtent l="0" t="0" r="0" b="0"/>
                <wp:wrapNone/>
                <wp:docPr id="23460" name="Group 23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7725" cy="1581150"/>
                          <a:chOff x="-3333" y="0"/>
                          <a:chExt cx="46577" cy="15811"/>
                        </a:xfrm>
                      </wpg:grpSpPr>
                      <wpg:grpSp>
                        <wpg:cNvPr id="23461" name="Group 22113"/>
                        <wpg:cNvGrpSpPr>
                          <a:grpSpLocks/>
                        </wpg:cNvGrpSpPr>
                        <wpg:grpSpPr bwMode="auto">
                          <a:xfrm>
                            <a:off x="-3333" y="0"/>
                            <a:ext cx="46576" cy="15811"/>
                            <a:chOff x="-3333" y="0"/>
                            <a:chExt cx="46577" cy="15811"/>
                          </a:xfrm>
                        </wpg:grpSpPr>
                        <wps:wsp>
                          <wps:cNvPr id="23462" name="Rectangle 22114"/>
                          <wps:cNvSpPr>
                            <a:spLocks noChangeArrowheads="1"/>
                          </wps:cNvSpPr>
                          <wps:spPr bwMode="auto">
                            <a:xfrm>
                              <a:off x="13144" y="5619"/>
                              <a:ext cx="2000" cy="2763"/>
                            </a:xfrm>
                            <a:prstGeom prst="rect">
                              <a:avLst/>
                            </a:prstGeom>
                            <a:noFill/>
                            <a:ln>
                              <a:noFill/>
                            </a:ln>
                          </wps:spPr>
                          <wps:txbx>
                            <w:txbxContent>
                              <w:p w14:paraId="5BC84E83"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wps:txbx>
                          <wps:bodyPr rot="0" vert="horz" wrap="square" lIns="0" tIns="0" rIns="0" bIns="0" anchor="ctr" anchorCtr="0" upright="1">
                            <a:noAutofit/>
                          </wps:bodyPr>
                        </wps:wsp>
                        <wpg:grpSp>
                          <wpg:cNvPr id="23463" name="Group 22115"/>
                          <wpg:cNvGrpSpPr>
                            <a:grpSpLocks/>
                          </wpg:cNvGrpSpPr>
                          <wpg:grpSpPr bwMode="auto">
                            <a:xfrm>
                              <a:off x="-3333" y="0"/>
                              <a:ext cx="46576" cy="15811"/>
                              <a:chOff x="-3333" y="190"/>
                              <a:chExt cx="46577" cy="15811"/>
                            </a:xfrm>
                          </wpg:grpSpPr>
                          <wpg:grpSp>
                            <wpg:cNvPr id="23464" name="Group 22116"/>
                            <wpg:cNvGrpSpPr>
                              <a:grpSpLocks/>
                            </wpg:cNvGrpSpPr>
                            <wpg:grpSpPr bwMode="auto">
                              <a:xfrm>
                                <a:off x="-3333" y="190"/>
                                <a:ext cx="46576" cy="15812"/>
                                <a:chOff x="-3333" y="190"/>
                                <a:chExt cx="46577" cy="15811"/>
                              </a:xfrm>
                            </wpg:grpSpPr>
                            <wpg:grpSp>
                              <wpg:cNvPr id="23465" name="Group 22117"/>
                              <wpg:cNvGrpSpPr>
                                <a:grpSpLocks/>
                              </wpg:cNvGrpSpPr>
                              <wpg:grpSpPr bwMode="auto">
                                <a:xfrm>
                                  <a:off x="-3333" y="190"/>
                                  <a:ext cx="46576" cy="10501"/>
                                  <a:chOff x="-8000" y="-1142"/>
                                  <a:chExt cx="46577" cy="10503"/>
                                </a:xfrm>
                              </wpg:grpSpPr>
                              <wpg:grpSp>
                                <wpg:cNvPr id="23466" name="Group 22118"/>
                                <wpg:cNvGrpSpPr>
                                  <a:grpSpLocks/>
                                </wpg:cNvGrpSpPr>
                                <wpg:grpSpPr bwMode="auto">
                                  <a:xfrm>
                                    <a:off x="-8000" y="2189"/>
                                    <a:ext cx="46576" cy="7171"/>
                                    <a:chOff x="-8000" y="-1620"/>
                                    <a:chExt cx="46577" cy="7171"/>
                                  </a:xfrm>
                                </wpg:grpSpPr>
                                <wpg:grpSp>
                                  <wpg:cNvPr id="23467" name="Group 22119"/>
                                  <wpg:cNvGrpSpPr>
                                    <a:grpSpLocks/>
                                  </wpg:cNvGrpSpPr>
                                  <wpg:grpSpPr bwMode="auto">
                                    <a:xfrm>
                                      <a:off x="-8000" y="-1620"/>
                                      <a:ext cx="29050" cy="7170"/>
                                      <a:chOff x="-8000" y="-1620"/>
                                      <a:chExt cx="29051" cy="7171"/>
                                    </a:xfrm>
                                  </wpg:grpSpPr>
                                  <wpg:grpSp>
                                    <wpg:cNvPr id="23468" name="Group 22120"/>
                                    <wpg:cNvGrpSpPr>
                                      <a:grpSpLocks/>
                                    </wpg:cNvGrpSpPr>
                                    <wpg:grpSpPr bwMode="auto">
                                      <a:xfrm>
                                        <a:off x="-8000" y="-1620"/>
                                        <a:ext cx="16096" cy="7170"/>
                                        <a:chOff x="-8000" y="-1620"/>
                                        <a:chExt cx="16097" cy="7171"/>
                                      </a:xfrm>
                                    </wpg:grpSpPr>
                                    <wps:wsp>
                                      <wps:cNvPr id="23469" name="Oval 22121"/>
                                      <wps:cNvSpPr>
                                        <a:spLocks noChangeArrowheads="1"/>
                                      </wps:cNvSpPr>
                                      <wps:spPr bwMode="auto">
                                        <a:xfrm>
                                          <a:off x="-1047" y="-1620"/>
                                          <a:ext cx="9143" cy="7170"/>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470" name="Rectangle 22122"/>
                                      <wps:cNvSpPr>
                                        <a:spLocks noChangeArrowheads="1"/>
                                      </wps:cNvSpPr>
                                      <wps:spPr bwMode="auto">
                                        <a:xfrm>
                                          <a:off x="-8000" y="571"/>
                                          <a:ext cx="6667" cy="2646"/>
                                        </a:xfrm>
                                        <a:prstGeom prst="rect">
                                          <a:avLst/>
                                        </a:prstGeom>
                                        <a:noFill/>
                                        <a:ln>
                                          <a:noFill/>
                                        </a:ln>
                                      </wps:spPr>
                                      <wps:txbx>
                                        <w:txbxContent>
                                          <w:p w14:paraId="6D37ECEC" w14:textId="77777777" w:rsidR="00BD37F8" w:rsidRPr="001062E7" w:rsidRDefault="00BD37F8" w:rsidP="00BD37F8">
                                            <w:pPr>
                                              <w:spacing w:before="0" w:after="0"/>
                                              <w:jc w:val="right"/>
                                              <w:rPr>
                                                <w:rFonts w:asciiTheme="minorHAnsi" w:hAnsiTheme="minorHAnsi"/>
                                                <w:sz w:val="20"/>
                                                <w:szCs w:val="20"/>
                                                <w:lang w:val="en-US"/>
                                              </w:rPr>
                                            </w:pPr>
                                            <w:r w:rsidRPr="001062E7">
                                              <w:rPr>
                                                <w:rFonts w:asciiTheme="minorHAnsi" w:hAnsiTheme="minorHAnsi"/>
                                                <w:sz w:val="20"/>
                                                <w:szCs w:val="20"/>
                                                <w:lang w:val="en-US"/>
                                              </w:rPr>
                                              <w:t>35</w:t>
                                            </w:r>
                                            <w:r w:rsidRPr="001062E7">
                                              <w:rPr>
                                                <w:rFonts w:asciiTheme="minorHAnsi" w:hAnsiTheme="minorHAnsi" w:cstheme="minorHAnsi"/>
                                                <w:bCs/>
                                                <w:sz w:val="20"/>
                                                <w:szCs w:val="20"/>
                                                <w:vertAlign w:val="superscript"/>
                                                <w:lang w:val="en-MY"/>
                                              </w:rPr>
                                              <w:t>Δ</w:t>
                                            </w:r>
                                            <w:r w:rsidRPr="001062E7">
                                              <w:rPr>
                                                <w:rFonts w:asciiTheme="minorHAnsi" w:hAnsiTheme="minorHAnsi" w:cstheme="minorHAnsi"/>
                                                <w:bCs/>
                                                <w:sz w:val="20"/>
                                                <w:szCs w:val="20"/>
                                                <w:lang w:val="en-MY"/>
                                              </w:rPr>
                                              <w:t xml:space="preserve"> ET</w:t>
                                            </w:r>
                                            <w:r>
                                              <w:rPr>
                                                <w:rFonts w:asciiTheme="minorHAnsi" w:hAnsiTheme="minorHAnsi"/>
                                                <w:sz w:val="20"/>
                                                <w:szCs w:val="20"/>
                                                <w:lang w:val="en-US"/>
                                              </w:rPr>
                                              <w:t xml:space="preserve">     </w:t>
                                            </w:r>
                                            <w:r w:rsidRPr="001062E7">
                                              <w:rPr>
                                                <w:rFonts w:asciiTheme="minorHAnsi" w:hAnsiTheme="minorHAnsi"/>
                                                <w:sz w:val="20"/>
                                                <w:szCs w:val="20"/>
                                                <w:lang w:val="en-US"/>
                                              </w:rPr>
                                              <w:t>-2</w:t>
                                            </w:r>
                                          </w:p>
                                        </w:txbxContent>
                                      </wps:txbx>
                                      <wps:bodyPr rot="0" vert="horz" wrap="square" lIns="0" tIns="0" rIns="0" bIns="0" anchor="ctr" anchorCtr="0" upright="1">
                                        <a:noAutofit/>
                                      </wps:bodyPr>
                                    </wps:wsp>
                                  </wpg:grpSp>
                                  <wps:wsp>
                                    <wps:cNvPr id="23471" name="Rectangle 22123"/>
                                    <wps:cNvSpPr>
                                      <a:spLocks noChangeArrowheads="1"/>
                                    </wps:cNvSpPr>
                                    <wps:spPr bwMode="auto">
                                      <a:xfrm>
                                        <a:off x="10382" y="-574"/>
                                        <a:ext cx="10668" cy="4287"/>
                                      </a:xfrm>
                                      <a:prstGeom prst="rect">
                                        <a:avLst/>
                                      </a:prstGeom>
                                      <a:noFill/>
                                      <a:ln>
                                        <a:noFill/>
                                      </a:ln>
                                    </wps:spPr>
                                    <wps:txbx>
                                      <w:txbxContent>
                                        <w:p w14:paraId="456A7851" w14:textId="77777777" w:rsidR="00BD37F8" w:rsidRPr="00B5188D" w:rsidRDefault="00BD37F8" w:rsidP="00BD37F8">
                                          <w:pPr>
                                            <w:spacing w:before="0" w:after="0" w:line="240" w:lineRule="auto"/>
                                            <w:jc w:val="center"/>
                                            <w:rPr>
                                              <w:rFonts w:asciiTheme="minorHAnsi" w:hAnsiTheme="minorHAnsi"/>
                                              <w:sz w:val="20"/>
                                              <w:szCs w:val="20"/>
                                              <w:lang w:val="en-US"/>
                                            </w:rPr>
                                          </w:pPr>
                                          <w:r w:rsidRPr="00B5188D">
                                            <w:rPr>
                                              <w:rFonts w:asciiTheme="minorHAnsi" w:hAnsiTheme="minorHAnsi"/>
                                              <w:sz w:val="20"/>
                                              <w:szCs w:val="20"/>
                                              <w:lang w:val="en-US"/>
                                            </w:rPr>
                                            <w:t>20</w:t>
                                          </w:r>
                                          <w:r w:rsidRPr="00B5188D">
                                            <w:rPr>
                                              <w:rFonts w:asciiTheme="minorHAnsi" w:hAnsiTheme="minorHAnsi" w:cstheme="minorHAnsi"/>
                                              <w:bCs/>
                                              <w:sz w:val="20"/>
                                              <w:szCs w:val="20"/>
                                              <w:vertAlign w:val="superscript"/>
                                              <w:lang w:val="en-MY"/>
                                            </w:rPr>
                                            <w:t>Δ</w:t>
                                          </w:r>
                                          <w:r w:rsidRPr="00B5188D">
                                            <w:rPr>
                                              <w:rFonts w:asciiTheme="minorHAnsi" w:hAnsiTheme="minorHAnsi"/>
                                              <w:sz w:val="20"/>
                                              <w:szCs w:val="20"/>
                                              <w:lang w:val="en-US"/>
                                            </w:rPr>
                                            <w:t xml:space="preserve"> ET </w:t>
                                          </w:r>
                                        </w:p>
                                        <w:p w14:paraId="2096987D" w14:textId="77777777" w:rsidR="00BD37F8" w:rsidRPr="00B5188D" w:rsidRDefault="00BD37F8" w:rsidP="00BD37F8">
                                          <w:pPr>
                                            <w:spacing w:before="0" w:after="0" w:line="240" w:lineRule="auto"/>
                                            <w:jc w:val="center"/>
                                            <w:rPr>
                                              <w:rFonts w:asciiTheme="minorHAnsi" w:hAnsiTheme="minorHAnsi"/>
                                              <w:sz w:val="20"/>
                                              <w:szCs w:val="20"/>
                                              <w:lang w:val="en-US"/>
                                            </w:rPr>
                                          </w:pPr>
                                          <w:r w:rsidRPr="00B5188D">
                                            <w:rPr>
                                              <w:rFonts w:asciiTheme="minorHAnsi" w:hAnsiTheme="minorHAnsi"/>
                                              <w:sz w:val="20"/>
                                              <w:szCs w:val="20"/>
                                              <w:lang w:val="en-US"/>
                                            </w:rPr>
                                            <w:t>2</w:t>
                                          </w:r>
                                          <w:r w:rsidRPr="00B5188D">
                                            <w:rPr>
                                              <w:rFonts w:asciiTheme="minorHAnsi" w:hAnsiTheme="minorHAnsi" w:cstheme="minorHAnsi"/>
                                              <w:bCs/>
                                              <w:sz w:val="20"/>
                                              <w:szCs w:val="20"/>
                                              <w:vertAlign w:val="superscript"/>
                                              <w:lang w:val="en-MY"/>
                                            </w:rPr>
                                            <w:t>Δ</w:t>
                                          </w:r>
                                          <w:r w:rsidRPr="00B5188D">
                                            <w:rPr>
                                              <w:rFonts w:asciiTheme="minorHAnsi" w:hAnsiTheme="minorHAnsi" w:cstheme="minorHAnsi"/>
                                              <w:bCs/>
                                              <w:sz w:val="20"/>
                                              <w:szCs w:val="20"/>
                                              <w:lang w:val="en-MY"/>
                                            </w:rPr>
                                            <w:t xml:space="preserve"> </w:t>
                                          </w:r>
                                          <w:proofErr w:type="spellStart"/>
                                          <w:r w:rsidRPr="00B5188D">
                                            <w:rPr>
                                              <w:rFonts w:asciiTheme="minorHAnsi" w:hAnsiTheme="minorHAnsi" w:cstheme="minorHAnsi"/>
                                              <w:bCs/>
                                              <w:sz w:val="20"/>
                                              <w:szCs w:val="20"/>
                                              <w:lang w:val="en-MY"/>
                                            </w:rPr>
                                            <w:t>RHoT</w:t>
                                          </w:r>
                                          <w:proofErr w:type="spellEnd"/>
                                        </w:p>
                                      </w:txbxContent>
                                    </wps:txbx>
                                    <wps:bodyPr rot="0" vert="horz" wrap="square" lIns="0" tIns="0" rIns="0" bIns="0" anchor="ctr" anchorCtr="0" upright="1">
                                      <a:noAutofit/>
                                    </wps:bodyPr>
                                  </wps:wsp>
                                </wpg:grpSp>
                                <wpg:grpSp>
                                  <wpg:cNvPr id="23472" name="Group 22124"/>
                                  <wpg:cNvGrpSpPr>
                                    <a:grpSpLocks/>
                                  </wpg:cNvGrpSpPr>
                                  <wpg:grpSpPr bwMode="auto">
                                    <a:xfrm>
                                      <a:off x="23812" y="-1620"/>
                                      <a:ext cx="14764" cy="7166"/>
                                      <a:chOff x="4857" y="-1620"/>
                                      <a:chExt cx="14763" cy="7167"/>
                                    </a:xfrm>
                                  </wpg:grpSpPr>
                                  <wps:wsp>
                                    <wps:cNvPr id="23473" name="Oval 22125"/>
                                    <wps:cNvSpPr>
                                      <a:spLocks noChangeArrowheads="1"/>
                                    </wps:cNvSpPr>
                                    <wps:spPr bwMode="auto">
                                      <a:xfrm>
                                        <a:off x="4857" y="-1620"/>
                                        <a:ext cx="9144" cy="7166"/>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474" name="Rectangle 22126"/>
                                    <wps:cNvSpPr>
                                      <a:spLocks noChangeArrowheads="1"/>
                                    </wps:cNvSpPr>
                                    <wps:spPr bwMode="auto">
                                      <a:xfrm>
                                        <a:off x="14382" y="571"/>
                                        <a:ext cx="5239" cy="1905"/>
                                      </a:xfrm>
                                      <a:prstGeom prst="rect">
                                        <a:avLst/>
                                      </a:prstGeom>
                                      <a:noFill/>
                                      <a:ln>
                                        <a:noFill/>
                                      </a:ln>
                                    </wps:spPr>
                                    <wps:txbx>
                                      <w:txbxContent>
                                        <w:p w14:paraId="4FD2BC90" w14:textId="77777777" w:rsidR="00BD37F8" w:rsidRPr="00B5188D" w:rsidRDefault="00BD37F8" w:rsidP="00BD37F8">
                                          <w:pPr>
                                            <w:spacing w:before="0" w:after="0"/>
                                            <w:jc w:val="left"/>
                                            <w:rPr>
                                              <w:rFonts w:asciiTheme="minorHAnsi" w:hAnsiTheme="minorHAnsi"/>
                                              <w:sz w:val="20"/>
                                              <w:szCs w:val="20"/>
                                              <w:lang w:val="en-US"/>
                                            </w:rPr>
                                          </w:pPr>
                                          <w:r w:rsidRPr="00B5188D">
                                            <w:rPr>
                                              <w:rFonts w:asciiTheme="minorHAnsi" w:hAnsiTheme="minorHAnsi"/>
                                              <w:sz w:val="20"/>
                                              <w:szCs w:val="20"/>
                                              <w:lang w:val="en-US"/>
                                            </w:rPr>
                                            <w:t xml:space="preserve">-½  </w:t>
                                          </w:r>
                                          <w:r>
                                            <w:rPr>
                                              <w:rFonts w:asciiTheme="minorHAnsi" w:hAnsiTheme="minorHAnsi"/>
                                              <w:sz w:val="20"/>
                                              <w:szCs w:val="20"/>
                                              <w:lang w:val="en-US"/>
                                            </w:rPr>
                                            <w:t xml:space="preserve">  </w:t>
                                          </w:r>
                                          <w:r w:rsidRPr="00B5188D">
                                            <w:rPr>
                                              <w:rFonts w:asciiTheme="minorHAnsi" w:hAnsiTheme="minorHAnsi"/>
                                              <w:sz w:val="20"/>
                                              <w:szCs w:val="20"/>
                                              <w:lang w:val="en-US"/>
                                            </w:rPr>
                                            <w:t xml:space="preserve"> 6</w:t>
                                          </w:r>
                                          <w:r w:rsidRPr="00B5188D">
                                            <w:rPr>
                                              <w:rFonts w:asciiTheme="minorHAnsi" w:hAnsiTheme="minorHAnsi" w:cstheme="minorHAnsi"/>
                                              <w:bCs/>
                                              <w:sz w:val="20"/>
                                              <w:szCs w:val="20"/>
                                              <w:vertAlign w:val="superscript"/>
                                              <w:lang w:val="en-MY"/>
                                            </w:rPr>
                                            <w:t>Δ</w:t>
                                          </w:r>
                                          <w:r w:rsidRPr="00B5188D">
                                            <w:rPr>
                                              <w:rFonts w:asciiTheme="minorHAnsi" w:hAnsiTheme="minorHAnsi"/>
                                              <w:sz w:val="20"/>
                                              <w:szCs w:val="20"/>
                                              <w:lang w:val="en-US"/>
                                            </w:rPr>
                                            <w:t xml:space="preserve"> E</w:t>
                                          </w:r>
                                        </w:p>
                                      </w:txbxContent>
                                    </wps:txbx>
                                    <wps:bodyPr rot="0" vert="horz" wrap="square" lIns="0" tIns="0" rIns="0" bIns="0" anchor="ctr" anchorCtr="0" upright="1">
                                      <a:noAutofit/>
                                    </wps:bodyPr>
                                  </wps:wsp>
                                </wpg:grpSp>
                              </wpg:grpSp>
                              <wps:wsp>
                                <wps:cNvPr id="23475" name="Rectangle 22127"/>
                                <wps:cNvSpPr>
                                  <a:spLocks noChangeArrowheads="1"/>
                                </wps:cNvSpPr>
                                <wps:spPr bwMode="auto">
                                  <a:xfrm>
                                    <a:off x="13049" y="-1142"/>
                                    <a:ext cx="5239" cy="1897"/>
                                  </a:xfrm>
                                  <a:prstGeom prst="rect">
                                    <a:avLst/>
                                  </a:prstGeom>
                                  <a:noFill/>
                                  <a:ln>
                                    <a:noFill/>
                                  </a:ln>
                                </wps:spPr>
                                <wps:txbx>
                                  <w:txbxContent>
                                    <w:p w14:paraId="18D6B415" w14:textId="77777777" w:rsidR="00BD37F8" w:rsidRPr="002C448B" w:rsidRDefault="00BD37F8" w:rsidP="00BD37F8">
                                      <w:pPr>
                                        <w:spacing w:before="0" w:after="0"/>
                                        <w:jc w:val="center"/>
                                        <w:rPr>
                                          <w:rFonts w:asciiTheme="minorHAnsi" w:hAnsiTheme="minorHAnsi"/>
                                          <w:sz w:val="20"/>
                                          <w:szCs w:val="20"/>
                                          <w:lang w:val="en-US"/>
                                        </w:rPr>
                                      </w:pPr>
                                      <w:r>
                                        <w:rPr>
                                          <w:rFonts w:asciiTheme="minorHAnsi" w:hAnsiTheme="minorHAnsi"/>
                                          <w:sz w:val="20"/>
                                          <w:szCs w:val="20"/>
                                          <w:lang w:val="en-US"/>
                                        </w:rPr>
                                        <w:t>20</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txbxContent>
                                </wps:txbx>
                                <wps:bodyPr rot="0" vert="horz" wrap="square" lIns="0" tIns="0" rIns="0" bIns="0" anchor="ctr" anchorCtr="0" upright="1">
                                  <a:noAutofit/>
                                </wps:bodyPr>
                              </wps:wsp>
                            </wpg:grpSp>
                            <wps:wsp>
                              <wps:cNvPr id="23476" name="Rectangle 22128"/>
                              <wps:cNvSpPr>
                                <a:spLocks noChangeArrowheads="1"/>
                              </wps:cNvSpPr>
                              <wps:spPr bwMode="auto">
                                <a:xfrm>
                                  <a:off x="16383" y="11834"/>
                                  <a:ext cx="9334" cy="4168"/>
                                </a:xfrm>
                                <a:prstGeom prst="rect">
                                  <a:avLst/>
                                </a:prstGeom>
                                <a:noFill/>
                                <a:ln>
                                  <a:noFill/>
                                </a:ln>
                              </wps:spPr>
                              <wps:txbx>
                                <w:txbxContent>
                                  <w:p w14:paraId="1C9F2288" w14:textId="77777777" w:rsidR="00BD37F8" w:rsidRDefault="00BD37F8" w:rsidP="00BD37F8">
                                    <w:pPr>
                                      <w:spacing w:before="0" w:after="0" w:line="240" w:lineRule="auto"/>
                                      <w:jc w:val="center"/>
                                      <w:rPr>
                                        <w:rFonts w:asciiTheme="minorHAnsi" w:hAnsiTheme="minorHAnsi"/>
                                        <w:sz w:val="20"/>
                                        <w:szCs w:val="20"/>
                                        <w:lang w:val="en-US"/>
                                      </w:rPr>
                                    </w:pPr>
                                    <w:r>
                                      <w:rPr>
                                        <w:rFonts w:asciiTheme="minorHAnsi" w:hAnsiTheme="minorHAnsi"/>
                                        <w:sz w:val="20"/>
                                        <w:szCs w:val="20"/>
                                        <w:lang w:val="en-US"/>
                                      </w:rPr>
                                      <w:t>25</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p w14:paraId="1FFC73AE" w14:textId="77777777" w:rsidR="00BD37F8" w:rsidRPr="002C448B" w:rsidRDefault="00BD37F8" w:rsidP="00BD37F8">
                                    <w:pPr>
                                      <w:spacing w:before="0" w:after="0" w:line="240" w:lineRule="auto"/>
                                      <w:jc w:val="center"/>
                                      <w:rPr>
                                        <w:rFonts w:asciiTheme="minorHAnsi" w:hAnsiTheme="minorHAnsi"/>
                                        <w:sz w:val="20"/>
                                        <w:szCs w:val="20"/>
                                        <w:lang w:val="en-US"/>
                                      </w:rPr>
                                    </w:pPr>
                                    <w:r>
                                      <w:rPr>
                                        <w:rFonts w:asciiTheme="minorHAnsi" w:hAnsiTheme="minorHAnsi"/>
                                        <w:sz w:val="20"/>
                                        <w:szCs w:val="20"/>
                                        <w:lang w:val="en-US"/>
                                      </w:rPr>
                                      <w:t>2</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w:t>
                                    </w:r>
                                    <w:proofErr w:type="spellStart"/>
                                    <w:r>
                                      <w:rPr>
                                        <w:rFonts w:asciiTheme="minorHAnsi" w:hAnsiTheme="minorHAnsi"/>
                                        <w:sz w:val="20"/>
                                        <w:szCs w:val="20"/>
                                        <w:lang w:val="en-US"/>
                                      </w:rPr>
                                      <w:t>RHoT</w:t>
                                    </w:r>
                                    <w:proofErr w:type="spellEnd"/>
                                  </w:p>
                                </w:txbxContent>
                              </wps:txbx>
                              <wps:bodyPr rot="0" vert="horz" wrap="square" lIns="0" tIns="0" rIns="0" bIns="0" anchor="ctr" anchorCtr="0" upright="1">
                                <a:noAutofit/>
                              </wps:bodyPr>
                            </wps:wsp>
                          </wpg:grpSp>
                          <wps:wsp>
                            <wps:cNvPr id="23477" name="Rectangle 22129"/>
                            <wps:cNvSpPr>
                              <a:spLocks noChangeArrowheads="1"/>
                            </wps:cNvSpPr>
                            <wps:spPr bwMode="auto">
                              <a:xfrm>
                                <a:off x="26955" y="6096"/>
                                <a:ext cx="2001" cy="2762"/>
                              </a:xfrm>
                              <a:prstGeom prst="rect">
                                <a:avLst/>
                              </a:prstGeom>
                              <a:noFill/>
                              <a:ln>
                                <a:noFill/>
                              </a:ln>
                            </wps:spPr>
                            <wps:txbx>
                              <w:txbxContent>
                                <w:p w14:paraId="071CEF53"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wps:txbx>
                            <wps:bodyPr rot="0" vert="horz" wrap="square" lIns="0" tIns="0" rIns="0" bIns="0" anchor="ctr" anchorCtr="0" upright="1">
                              <a:noAutofit/>
                            </wps:bodyPr>
                          </wps:wsp>
                        </wpg:grpSp>
                      </wpg:grpSp>
                      <wpg:grpSp>
                        <wpg:cNvPr id="23478" name="Group 22130"/>
                        <wpg:cNvGrpSpPr>
                          <a:grpSpLocks/>
                        </wpg:cNvGrpSpPr>
                        <wpg:grpSpPr bwMode="auto">
                          <a:xfrm>
                            <a:off x="3810" y="3714"/>
                            <a:ext cx="2636" cy="6477"/>
                            <a:chOff x="-285" y="0"/>
                            <a:chExt cx="2095" cy="5905"/>
                          </a:xfrm>
                        </wpg:grpSpPr>
                        <wps:wsp>
                          <wps:cNvPr id="23479" name="Straight Connector 22131"/>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80" name="Straight Connector 22132"/>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81" name="Straight Connector 22133"/>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82" name="Straight Connector 22134"/>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83" name="Straight Connector 22135"/>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84" name="Group 22136"/>
                        <wpg:cNvGrpSpPr>
                          <a:grpSpLocks/>
                        </wpg:cNvGrpSpPr>
                        <wpg:grpSpPr bwMode="auto">
                          <a:xfrm>
                            <a:off x="28670" y="4953"/>
                            <a:ext cx="609" cy="4133"/>
                            <a:chOff x="-285" y="0"/>
                            <a:chExt cx="2095" cy="5905"/>
                          </a:xfrm>
                        </wpg:grpSpPr>
                        <wps:wsp>
                          <wps:cNvPr id="23485" name="Straight Connector 22137"/>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86" name="Straight Connector 22138"/>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87" name="Straight Connector 22139"/>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88" name="Straight Connector 22140"/>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89" name="Straight Connector 22141"/>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90" name="Group 22142"/>
                        <wpg:cNvGrpSpPr>
                          <a:grpSpLocks/>
                        </wpg:cNvGrpSpPr>
                        <wpg:grpSpPr bwMode="auto">
                          <a:xfrm flipH="1">
                            <a:off x="12001" y="4857"/>
                            <a:ext cx="762" cy="4134"/>
                            <a:chOff x="-285" y="0"/>
                            <a:chExt cx="2095" cy="5905"/>
                          </a:xfrm>
                        </wpg:grpSpPr>
                        <wps:wsp>
                          <wps:cNvPr id="23491" name="Straight Connector 22143"/>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92" name="Straight Connector 22144"/>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93" name="Straight Connector 22145"/>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94" name="Straight Connector 22146"/>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95" name="Straight Connector 22147"/>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96" name="Group 22148"/>
                        <wpg:cNvGrpSpPr>
                          <a:grpSpLocks/>
                        </wpg:cNvGrpSpPr>
                        <wpg:grpSpPr bwMode="auto">
                          <a:xfrm flipH="1">
                            <a:off x="36957" y="4857"/>
                            <a:ext cx="581" cy="4134"/>
                            <a:chOff x="-285" y="0"/>
                            <a:chExt cx="2095" cy="5905"/>
                          </a:xfrm>
                        </wpg:grpSpPr>
                        <wps:wsp>
                          <wps:cNvPr id="23497" name="Straight Connector 22149"/>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98" name="Straight Connector 22150"/>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99" name="Straight Connector 22151"/>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500" name="Straight Connector 22152"/>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501" name="Straight Connector 22153"/>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1ADDCEF2" id="Group 23460" o:spid="_x0000_s1910" style="position:absolute;left:0;text-align:left;margin-left:18.8pt;margin-top:6.7pt;width:366.75pt;height:124.5pt;z-index:251762688;mso-position-horizontal-relative:text;mso-position-vertical-relative:text;mso-width-relative:margin;mso-height-relative:margin" coordorigin="-3333" coordsize="46577,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">
                <v:group id="Group 22113" o:spid="_x0000_s1911" style="position:absolute;left:-3333;width:46576;height:15811" coordorigin="-3333" coordsize="46577,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">
                  <v:rect id="Rectangle 22114" o:spid="_x0000_s1912" style="position:absolute;left:13144;top:5619;width:2000;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" filled="f" stroked="f">
                    <v:textbox inset="0,0,0,0">
                      <w:txbxContent>
                        <w:p w14:paraId="5BC84E83"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v:textbox>
                  </v:rect>
                  <v:group id="Group 22115" o:spid="_x0000_s1913" style="position:absolute;left:-3333;width:46576;height:15811" coordorigin="-3333,190" coordsize="46577,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">
                    <v:group id="Group 22116" o:spid="_x0000_s1914" style="position:absolute;left:-3333;top:190;width:46576;height:15812" coordorigin="-3333,190" coordsize="46577,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">
                      <v:group id="Group 22117" o:spid="_x0000_s1915" style="position:absolute;left:-3333;top:190;width:46576;height:10501" coordorigin="-8000,-1142" coordsize="46577,10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">
                        <v:group id="Group 22118" o:spid="_x0000_s1916" style="position:absolute;left:-8000;top:2189;width:46576;height:7171" coordorigin="-8000,-1620" coordsize="46577,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">
                          <v:group id="Group 22119" o:spid="_x0000_s1917" style="position:absolute;left:-8000;top:-1620;width:29050;height:7170" coordorigin="-8000,-1620" coordsize="29051,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">
                            <v:group id="Group 22120" o:spid="_x0000_s1918" style="position:absolute;left:-8000;top:-1620;width:16096;height:7170" coordorigin="-8000,-1620" coordsize="16097,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">
                              <v:oval id="Oval 22121" o:spid="_x0000_s1919" style="position:absolute;left:-1047;top:-1620;width:9143;height: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" filled="f" strokecolor="black [1600]" strokeweight="1pt">
                                <v:stroke joinstyle="miter"/>
                              </v:oval>
                              <v:rect id="Rectangle 22122" o:spid="_x0000_s1920" style="position:absolute;left:-8000;top:571;width:6667;height:2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" filled="f" stroked="f">
                                <v:textbox inset="0,0,0,0">
                                  <w:txbxContent>
                                    <w:p w14:paraId="6D37ECEC" w14:textId="77777777" w:rsidR="00BD37F8" w:rsidRPr="001062E7" w:rsidRDefault="00BD37F8" w:rsidP="00BD37F8">
                                      <w:pPr>
                                        <w:spacing w:before="0" w:after="0"/>
                                        <w:jc w:val="right"/>
                                        <w:rPr>
                                          <w:rFonts w:asciiTheme="minorHAnsi" w:hAnsiTheme="minorHAnsi"/>
                                          <w:sz w:val="20"/>
                                          <w:szCs w:val="20"/>
                                          <w:lang w:val="en-US"/>
                                        </w:rPr>
                                      </w:pPr>
                                      <w:r w:rsidRPr="001062E7">
                                        <w:rPr>
                                          <w:rFonts w:asciiTheme="minorHAnsi" w:hAnsiTheme="minorHAnsi"/>
                                          <w:sz w:val="20"/>
                                          <w:szCs w:val="20"/>
                                          <w:lang w:val="en-US"/>
                                        </w:rPr>
                                        <w:t>35</w:t>
                                      </w:r>
                                      <w:r w:rsidRPr="001062E7">
                                        <w:rPr>
                                          <w:rFonts w:asciiTheme="minorHAnsi" w:hAnsiTheme="minorHAnsi" w:cstheme="minorHAnsi"/>
                                          <w:bCs/>
                                          <w:sz w:val="20"/>
                                          <w:szCs w:val="20"/>
                                          <w:vertAlign w:val="superscript"/>
                                          <w:lang w:val="en-MY"/>
                                        </w:rPr>
                                        <w:t>Δ</w:t>
                                      </w:r>
                                      <w:r w:rsidRPr="001062E7">
                                        <w:rPr>
                                          <w:rFonts w:asciiTheme="minorHAnsi" w:hAnsiTheme="minorHAnsi" w:cstheme="minorHAnsi"/>
                                          <w:bCs/>
                                          <w:sz w:val="20"/>
                                          <w:szCs w:val="20"/>
                                          <w:lang w:val="en-MY"/>
                                        </w:rPr>
                                        <w:t xml:space="preserve"> ET</w:t>
                                      </w:r>
                                      <w:r>
                                        <w:rPr>
                                          <w:rFonts w:asciiTheme="minorHAnsi" w:hAnsiTheme="minorHAnsi"/>
                                          <w:sz w:val="20"/>
                                          <w:szCs w:val="20"/>
                                          <w:lang w:val="en-US"/>
                                        </w:rPr>
                                        <w:t xml:space="preserve">     </w:t>
                                      </w:r>
                                      <w:r w:rsidRPr="001062E7">
                                        <w:rPr>
                                          <w:rFonts w:asciiTheme="minorHAnsi" w:hAnsiTheme="minorHAnsi"/>
                                          <w:sz w:val="20"/>
                                          <w:szCs w:val="20"/>
                                          <w:lang w:val="en-US"/>
                                        </w:rPr>
                                        <w:t>-2</w:t>
                                      </w:r>
                                    </w:p>
                                  </w:txbxContent>
                                </v:textbox>
                              </v:rect>
                            </v:group>
                            <v:rect id="Rectangle 22123" o:spid="_x0000_s1921" style="position:absolute;left:10382;top:-574;width:10668;height:4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" filled="f" stroked="f">
                              <v:textbox inset="0,0,0,0">
                                <w:txbxContent>
                                  <w:p w14:paraId="456A7851" w14:textId="77777777" w:rsidR="00BD37F8" w:rsidRPr="00B5188D" w:rsidRDefault="00BD37F8" w:rsidP="00BD37F8">
                                    <w:pPr>
                                      <w:spacing w:before="0" w:after="0" w:line="240" w:lineRule="auto"/>
                                      <w:jc w:val="center"/>
                                      <w:rPr>
                                        <w:rFonts w:asciiTheme="minorHAnsi" w:hAnsiTheme="minorHAnsi"/>
                                        <w:sz w:val="20"/>
                                        <w:szCs w:val="20"/>
                                        <w:lang w:val="en-US"/>
                                      </w:rPr>
                                    </w:pPr>
                                    <w:r w:rsidRPr="00B5188D">
                                      <w:rPr>
                                        <w:rFonts w:asciiTheme="minorHAnsi" w:hAnsiTheme="minorHAnsi"/>
                                        <w:sz w:val="20"/>
                                        <w:szCs w:val="20"/>
                                        <w:lang w:val="en-US"/>
                                      </w:rPr>
                                      <w:t>20</w:t>
                                    </w:r>
                                    <w:r w:rsidRPr="00B5188D">
                                      <w:rPr>
                                        <w:rFonts w:asciiTheme="minorHAnsi" w:hAnsiTheme="minorHAnsi" w:cstheme="minorHAnsi"/>
                                        <w:bCs/>
                                        <w:sz w:val="20"/>
                                        <w:szCs w:val="20"/>
                                        <w:vertAlign w:val="superscript"/>
                                        <w:lang w:val="en-MY"/>
                                      </w:rPr>
                                      <w:t>Δ</w:t>
                                    </w:r>
                                    <w:r w:rsidRPr="00B5188D">
                                      <w:rPr>
                                        <w:rFonts w:asciiTheme="minorHAnsi" w:hAnsiTheme="minorHAnsi"/>
                                        <w:sz w:val="20"/>
                                        <w:szCs w:val="20"/>
                                        <w:lang w:val="en-US"/>
                                      </w:rPr>
                                      <w:t xml:space="preserve"> ET </w:t>
                                    </w:r>
                                  </w:p>
                                  <w:p w14:paraId="2096987D" w14:textId="77777777" w:rsidR="00BD37F8" w:rsidRPr="00B5188D" w:rsidRDefault="00BD37F8" w:rsidP="00BD37F8">
                                    <w:pPr>
                                      <w:spacing w:before="0" w:after="0" w:line="240" w:lineRule="auto"/>
                                      <w:jc w:val="center"/>
                                      <w:rPr>
                                        <w:rFonts w:asciiTheme="minorHAnsi" w:hAnsiTheme="minorHAnsi"/>
                                        <w:sz w:val="20"/>
                                        <w:szCs w:val="20"/>
                                        <w:lang w:val="en-US"/>
                                      </w:rPr>
                                    </w:pPr>
                                    <w:r w:rsidRPr="00B5188D">
                                      <w:rPr>
                                        <w:rFonts w:asciiTheme="minorHAnsi" w:hAnsiTheme="minorHAnsi"/>
                                        <w:sz w:val="20"/>
                                        <w:szCs w:val="20"/>
                                        <w:lang w:val="en-US"/>
                                      </w:rPr>
                                      <w:t>2</w:t>
                                    </w:r>
                                    <w:r w:rsidRPr="00B5188D">
                                      <w:rPr>
                                        <w:rFonts w:asciiTheme="minorHAnsi" w:hAnsiTheme="minorHAnsi" w:cstheme="minorHAnsi"/>
                                        <w:bCs/>
                                        <w:sz w:val="20"/>
                                        <w:szCs w:val="20"/>
                                        <w:vertAlign w:val="superscript"/>
                                        <w:lang w:val="en-MY"/>
                                      </w:rPr>
                                      <w:t>Δ</w:t>
                                    </w:r>
                                    <w:r w:rsidRPr="00B5188D">
                                      <w:rPr>
                                        <w:rFonts w:asciiTheme="minorHAnsi" w:hAnsiTheme="minorHAnsi" w:cstheme="minorHAnsi"/>
                                        <w:bCs/>
                                        <w:sz w:val="20"/>
                                        <w:szCs w:val="20"/>
                                        <w:lang w:val="en-MY"/>
                                      </w:rPr>
                                      <w:t xml:space="preserve"> </w:t>
                                    </w:r>
                                    <w:proofErr w:type="spellStart"/>
                                    <w:r w:rsidRPr="00B5188D">
                                      <w:rPr>
                                        <w:rFonts w:asciiTheme="minorHAnsi" w:hAnsiTheme="minorHAnsi" w:cstheme="minorHAnsi"/>
                                        <w:bCs/>
                                        <w:sz w:val="20"/>
                                        <w:szCs w:val="20"/>
                                        <w:lang w:val="en-MY"/>
                                      </w:rPr>
                                      <w:t>RHoT</w:t>
                                    </w:r>
                                    <w:proofErr w:type="spellEnd"/>
                                  </w:p>
                                </w:txbxContent>
                              </v:textbox>
                            </v:rect>
                          </v:group>
                          <v:group id="Group 22124" o:spid="_x0000_s1922" style="position:absolute;left:23812;top:-1620;width:14764;height:7166" coordorigin="4857,-1620" coordsize="14763,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">
                            <v:oval id="Oval 22125" o:spid="_x0000_s1923" style="position:absolute;left:4857;top:-1620;width:9144;height:7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" filled="f" strokecolor="black [1600]" strokeweight="1pt">
                              <v:stroke joinstyle="miter"/>
                            </v:oval>
                            <v:rect id="Rectangle 22126" o:spid="_x0000_s1924" style="position:absolute;left:14382;top:571;width:523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" filled="f" stroked="f">
                              <v:textbox inset="0,0,0,0">
                                <w:txbxContent>
                                  <w:p w14:paraId="4FD2BC90" w14:textId="77777777" w:rsidR="00BD37F8" w:rsidRPr="00B5188D" w:rsidRDefault="00BD37F8" w:rsidP="00BD37F8">
                                    <w:pPr>
                                      <w:spacing w:before="0" w:after="0"/>
                                      <w:jc w:val="left"/>
                                      <w:rPr>
                                        <w:rFonts w:asciiTheme="minorHAnsi" w:hAnsiTheme="minorHAnsi"/>
                                        <w:sz w:val="20"/>
                                        <w:szCs w:val="20"/>
                                        <w:lang w:val="en-US"/>
                                      </w:rPr>
                                    </w:pPr>
                                    <w:r w:rsidRPr="00B5188D">
                                      <w:rPr>
                                        <w:rFonts w:asciiTheme="minorHAnsi" w:hAnsiTheme="minorHAnsi"/>
                                        <w:sz w:val="20"/>
                                        <w:szCs w:val="20"/>
                                        <w:lang w:val="en-US"/>
                                      </w:rPr>
                                      <w:t xml:space="preserve">-½  </w:t>
                                    </w:r>
                                    <w:r>
                                      <w:rPr>
                                        <w:rFonts w:asciiTheme="minorHAnsi" w:hAnsiTheme="minorHAnsi"/>
                                        <w:sz w:val="20"/>
                                        <w:szCs w:val="20"/>
                                        <w:lang w:val="en-US"/>
                                      </w:rPr>
                                      <w:t xml:space="preserve">  </w:t>
                                    </w:r>
                                    <w:r w:rsidRPr="00B5188D">
                                      <w:rPr>
                                        <w:rFonts w:asciiTheme="minorHAnsi" w:hAnsiTheme="minorHAnsi"/>
                                        <w:sz w:val="20"/>
                                        <w:szCs w:val="20"/>
                                        <w:lang w:val="en-US"/>
                                      </w:rPr>
                                      <w:t xml:space="preserve"> 6</w:t>
                                    </w:r>
                                    <w:r w:rsidRPr="00B5188D">
                                      <w:rPr>
                                        <w:rFonts w:asciiTheme="minorHAnsi" w:hAnsiTheme="minorHAnsi" w:cstheme="minorHAnsi"/>
                                        <w:bCs/>
                                        <w:sz w:val="20"/>
                                        <w:szCs w:val="20"/>
                                        <w:vertAlign w:val="superscript"/>
                                        <w:lang w:val="en-MY"/>
                                      </w:rPr>
                                      <w:t>Δ</w:t>
                                    </w:r>
                                    <w:r w:rsidRPr="00B5188D">
                                      <w:rPr>
                                        <w:rFonts w:asciiTheme="minorHAnsi" w:hAnsiTheme="minorHAnsi"/>
                                        <w:sz w:val="20"/>
                                        <w:szCs w:val="20"/>
                                        <w:lang w:val="en-US"/>
                                      </w:rPr>
                                      <w:t xml:space="preserve"> E</w:t>
                                    </w:r>
                                  </w:p>
                                </w:txbxContent>
                              </v:textbox>
                            </v:rect>
                          </v:group>
                        </v:group>
                        <v:rect id="Rectangle 22127" o:spid="_x0000_s1925" style="position:absolute;left:13049;top:-1142;width:5239;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" filled="f" stroked="f">
                          <v:textbox inset="0,0,0,0">
                            <w:txbxContent>
                              <w:p w14:paraId="18D6B415" w14:textId="77777777" w:rsidR="00BD37F8" w:rsidRPr="002C448B" w:rsidRDefault="00BD37F8" w:rsidP="00BD37F8">
                                <w:pPr>
                                  <w:spacing w:before="0" w:after="0"/>
                                  <w:jc w:val="center"/>
                                  <w:rPr>
                                    <w:rFonts w:asciiTheme="minorHAnsi" w:hAnsiTheme="minorHAnsi"/>
                                    <w:sz w:val="20"/>
                                    <w:szCs w:val="20"/>
                                    <w:lang w:val="en-US"/>
                                  </w:rPr>
                                </w:pPr>
                                <w:r>
                                  <w:rPr>
                                    <w:rFonts w:asciiTheme="minorHAnsi" w:hAnsiTheme="minorHAnsi"/>
                                    <w:sz w:val="20"/>
                                    <w:szCs w:val="20"/>
                                    <w:lang w:val="en-US"/>
                                  </w:rPr>
                                  <w:t>20</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txbxContent>
                          </v:textbox>
                        </v:rect>
                      </v:group>
                      <v:rect id="Rectangle 22128" o:spid="_x0000_s1926" style="position:absolute;left:16383;top:11834;width:9334;height:4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" filled="f" stroked="f">
                        <v:textbox inset="0,0,0,0">
                          <w:txbxContent>
                            <w:p w14:paraId="1C9F2288" w14:textId="77777777" w:rsidR="00BD37F8" w:rsidRDefault="00BD37F8" w:rsidP="00BD37F8">
                              <w:pPr>
                                <w:spacing w:before="0" w:after="0" w:line="240" w:lineRule="auto"/>
                                <w:jc w:val="center"/>
                                <w:rPr>
                                  <w:rFonts w:asciiTheme="minorHAnsi" w:hAnsiTheme="minorHAnsi"/>
                                  <w:sz w:val="20"/>
                                  <w:szCs w:val="20"/>
                                  <w:lang w:val="en-US"/>
                                </w:rPr>
                              </w:pPr>
                              <w:r>
                                <w:rPr>
                                  <w:rFonts w:asciiTheme="minorHAnsi" w:hAnsiTheme="minorHAnsi"/>
                                  <w:sz w:val="20"/>
                                  <w:szCs w:val="20"/>
                                  <w:lang w:val="en-US"/>
                                </w:rPr>
                                <w:t>25</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ET</w:t>
                              </w:r>
                            </w:p>
                            <w:p w14:paraId="1FFC73AE" w14:textId="77777777" w:rsidR="00BD37F8" w:rsidRPr="002C448B" w:rsidRDefault="00BD37F8" w:rsidP="00BD37F8">
                              <w:pPr>
                                <w:spacing w:before="0" w:after="0" w:line="240" w:lineRule="auto"/>
                                <w:jc w:val="center"/>
                                <w:rPr>
                                  <w:rFonts w:asciiTheme="minorHAnsi" w:hAnsiTheme="minorHAnsi"/>
                                  <w:sz w:val="20"/>
                                  <w:szCs w:val="20"/>
                                  <w:lang w:val="en-US"/>
                                </w:rPr>
                              </w:pPr>
                              <w:r>
                                <w:rPr>
                                  <w:rFonts w:asciiTheme="minorHAnsi" w:hAnsiTheme="minorHAnsi"/>
                                  <w:sz w:val="20"/>
                                  <w:szCs w:val="20"/>
                                  <w:lang w:val="en-US"/>
                                </w:rPr>
                                <w:t>2</w:t>
                              </w:r>
                              <w:r w:rsidRPr="00660CE2">
                                <w:rPr>
                                  <w:rFonts w:asciiTheme="minorHAnsi" w:hAnsiTheme="minorHAnsi" w:cstheme="minorHAnsi"/>
                                  <w:bCs/>
                                  <w:szCs w:val="22"/>
                                  <w:vertAlign w:val="superscript"/>
                                  <w:lang w:val="en-MY"/>
                                </w:rPr>
                                <w:t>Δ</w:t>
                              </w:r>
                              <w:r>
                                <w:rPr>
                                  <w:rFonts w:asciiTheme="minorHAnsi" w:hAnsiTheme="minorHAnsi"/>
                                  <w:sz w:val="20"/>
                                  <w:szCs w:val="20"/>
                                  <w:lang w:val="en-US"/>
                                </w:rPr>
                                <w:t xml:space="preserve"> </w:t>
                              </w:r>
                              <w:proofErr w:type="spellStart"/>
                              <w:r>
                                <w:rPr>
                                  <w:rFonts w:asciiTheme="minorHAnsi" w:hAnsiTheme="minorHAnsi"/>
                                  <w:sz w:val="20"/>
                                  <w:szCs w:val="20"/>
                                  <w:lang w:val="en-US"/>
                                </w:rPr>
                                <w:t>RHoT</w:t>
                              </w:r>
                              <w:proofErr w:type="spellEnd"/>
                            </w:p>
                          </w:txbxContent>
                        </v:textbox>
                      </v:rect>
                    </v:group>
                    <v:rect id="Rectangle 22129" o:spid="_x0000_s1927" style="position:absolute;left:26955;top:6096;width:200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" filled="f" stroked="f">
                      <v:textbox inset="0,0,0,0">
                        <w:txbxContent>
                          <w:p w14:paraId="071CEF53"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v:textbox>
                    </v:rect>
                  </v:group>
                </v:group>
                <v:group id="Group 22130" o:spid="_x0000_s1928" style="position:absolute;left:3810;top:3714;width:2636;height:6477"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">
                  <v:line id="Straight Connector 22131" o:spid="_x0000_s1929"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" strokecolor="black [3213]" strokeweight="1.5pt">
                    <v:stroke joinstyle="miter"/>
                  </v:line>
                  <v:line id="Straight Connector 22132" o:spid="_x0000_s1930"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" strokecolor="black [3213]" strokeweight="1.5pt">
                    <v:stroke joinstyle="miter"/>
                  </v:line>
                  <v:line id="Straight Connector 22133" o:spid="_x0000_s1931"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" strokecolor="black [3213]" strokeweight="1.5pt">
                    <v:stroke joinstyle="miter"/>
                  </v:line>
                  <v:line id="Straight Connector 22134" o:spid="_x0000_s1932"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" strokecolor="black [3213]" strokeweight="1.5pt">
                    <v:stroke joinstyle="miter"/>
                  </v:line>
                  <v:line id="Straight Connector 22135" o:spid="_x0000_s1933"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" strokecolor="black [3213]" strokeweight="1.5pt">
                    <v:stroke joinstyle="miter"/>
                  </v:line>
                </v:group>
                <v:group id="Group 22136" o:spid="_x0000_s1934" style="position:absolute;left:28670;top:4953;width:609;height:4133"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">
                  <v:line id="Straight Connector 22137" o:spid="_x0000_s1935"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" strokecolor="black [3213]" strokeweight="1.5pt">
                    <v:stroke joinstyle="miter"/>
                  </v:line>
                  <v:line id="Straight Connector 22138" o:spid="_x0000_s1936"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" strokecolor="black [3213]" strokeweight="1.5pt">
                    <v:stroke joinstyle="miter"/>
                  </v:line>
                  <v:line id="Straight Connector 22139" o:spid="_x0000_s1937"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" strokecolor="black [3213]" strokeweight="1.5pt">
                    <v:stroke joinstyle="miter"/>
                  </v:line>
                  <v:line id="Straight Connector 22140" o:spid="_x0000_s1938"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" strokecolor="black [3213]" strokeweight="1.5pt">
                    <v:stroke joinstyle="miter"/>
                  </v:line>
                  <v:line id="Straight Connector 22141" o:spid="_x0000_s1939"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" strokecolor="black [3213]" strokeweight="1.5pt">
                    <v:stroke joinstyle="miter"/>
                  </v:line>
                </v:group>
                <v:group id="Group 22142" o:spid="_x0000_s1940" style="position:absolute;left:12001;top:4857;width:762;height:4134;flip:x"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">
                  <v:line id="Straight Connector 22143" o:spid="_x0000_s1941"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" strokecolor="black [3213]" strokeweight="1.5pt">
                    <v:stroke joinstyle="miter"/>
                  </v:line>
                  <v:line id="Straight Connector 22144" o:spid="_x0000_s1942"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" strokecolor="black [3213]" strokeweight="1.5pt">
                    <v:stroke joinstyle="miter"/>
                  </v:line>
                  <v:line id="Straight Connector 22145" o:spid="_x0000_s1943"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" strokecolor="black [3213]" strokeweight="1.5pt">
                    <v:stroke joinstyle="miter"/>
                  </v:line>
                  <v:line id="Straight Connector 22146" o:spid="_x0000_s1944"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" strokecolor="black [3213]" strokeweight="1.5pt">
                    <v:stroke joinstyle="miter"/>
                  </v:line>
                  <v:line id="Straight Connector 22147" o:spid="_x0000_s1945"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" strokecolor="black [3213]" strokeweight="1.5pt">
                    <v:stroke joinstyle="miter"/>
                  </v:line>
                </v:group>
                <v:group id="Group 22148" o:spid="_x0000_s1946" style="position:absolute;left:36957;top:4857;width:581;height:4134;flip:x"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">
                  <v:line id="Straight Connector 22149" o:spid="_x0000_s1947"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" strokecolor="black [3213]" strokeweight="1.5pt">
                    <v:stroke joinstyle="miter"/>
                  </v:line>
                  <v:line id="Straight Connector 22150" o:spid="_x0000_s1948"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" strokecolor="black [3213]" strokeweight="1.5pt">
                    <v:stroke joinstyle="miter"/>
                  </v:line>
                  <v:line id="Straight Connector 22151" o:spid="_x0000_s1949"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" strokecolor="black [3213]" strokeweight="1.5pt">
                    <v:stroke joinstyle="miter"/>
                  </v:line>
                  <v:line id="Straight Connector 22152" o:spid="_x0000_s1950"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" strokecolor="black [3213]" strokeweight="1.5pt">
                    <v:stroke joinstyle="miter"/>
                  </v:line>
                  <v:line id="Straight Connector 22153" o:spid="_x0000_s1951"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" strokecolor="black [3213]" strokeweight="1.5pt">
                    <v:stroke joinstyle="miter"/>
                  </v:line>
                </v:group>
              </v:group>
            </w:pict>
          </mc:Fallback>
        </mc:AlternateContent>
      </w:r>
    </w:p>
    <w:p w14:paraId="63115861" w14:textId="77777777" w:rsidR="00BD37F8" w:rsidRPr="009D4627" w:rsidRDefault="00BD37F8" w:rsidP="00BD37F8">
      <w:pPr>
        <w:spacing w:before="0" w:after="0" w:line="240" w:lineRule="auto"/>
        <w:rPr>
          <w:bCs/>
          <w:szCs w:val="22"/>
          <w:lang w:val="en-MY"/>
        </w:rPr>
      </w:pPr>
    </w:p>
    <w:p w14:paraId="2B785ED3" w14:textId="77777777" w:rsidR="00BD37F8" w:rsidRPr="009D4627" w:rsidRDefault="00BD37F8" w:rsidP="00BD37F8">
      <w:pPr>
        <w:spacing w:before="0" w:after="0" w:line="240" w:lineRule="auto"/>
        <w:rPr>
          <w:b/>
          <w:szCs w:val="22"/>
          <w:lang w:val="en-MY"/>
        </w:rPr>
      </w:pPr>
    </w:p>
    <w:p w14:paraId="43DA9979" w14:textId="77777777" w:rsidR="00BD37F8" w:rsidRPr="009D4627" w:rsidRDefault="00BD37F8" w:rsidP="00BD37F8">
      <w:pPr>
        <w:spacing w:before="0" w:after="0" w:line="240" w:lineRule="auto"/>
        <w:rPr>
          <w:b/>
          <w:szCs w:val="22"/>
          <w:lang w:val="en-MY"/>
        </w:rPr>
      </w:pPr>
    </w:p>
    <w:p w14:paraId="343E821C" w14:textId="77777777" w:rsidR="00BD37F8" w:rsidRPr="009D4627" w:rsidRDefault="00BD37F8" w:rsidP="00BD37F8">
      <w:pPr>
        <w:spacing w:before="0" w:after="0" w:line="240" w:lineRule="auto"/>
        <w:rPr>
          <w:b/>
          <w:szCs w:val="22"/>
          <w:lang w:val="en-MY"/>
        </w:rPr>
      </w:pPr>
    </w:p>
    <w:p w14:paraId="5D124D21" w14:textId="77777777" w:rsidR="00BD37F8" w:rsidRPr="009D4627" w:rsidRDefault="00BD37F8" w:rsidP="00BD37F8">
      <w:pPr>
        <w:spacing w:before="0" w:after="0" w:line="240" w:lineRule="auto"/>
        <w:rPr>
          <w:b/>
          <w:szCs w:val="22"/>
          <w:lang w:val="en-MY"/>
        </w:rPr>
      </w:pPr>
    </w:p>
    <w:p w14:paraId="2225C67A" w14:textId="77777777" w:rsidR="00BD37F8" w:rsidRPr="009D4627" w:rsidRDefault="00BD37F8" w:rsidP="00BD37F8">
      <w:pPr>
        <w:spacing w:before="0" w:after="0" w:line="240" w:lineRule="auto"/>
        <w:rPr>
          <w:b/>
          <w:szCs w:val="22"/>
          <w:lang w:val="en-MY"/>
        </w:rPr>
      </w:pPr>
    </w:p>
    <w:p w14:paraId="1E3C07D8" w14:textId="77777777" w:rsidR="00BD37F8" w:rsidRPr="009D4627" w:rsidRDefault="00BD37F8" w:rsidP="00BD37F8">
      <w:pPr>
        <w:spacing w:before="0" w:after="0" w:line="240" w:lineRule="auto"/>
        <w:rPr>
          <w:b/>
          <w:szCs w:val="22"/>
          <w:lang w:val="en-MY"/>
        </w:rPr>
      </w:pPr>
    </w:p>
    <w:p w14:paraId="0005B4ED" w14:textId="77777777" w:rsidR="00BD37F8" w:rsidRPr="009D4627" w:rsidRDefault="00BD37F8" w:rsidP="00BD37F8">
      <w:pPr>
        <w:spacing w:before="0" w:after="0" w:line="240" w:lineRule="auto"/>
        <w:rPr>
          <w:b/>
          <w:szCs w:val="22"/>
          <w:lang w:val="en-MY"/>
        </w:rPr>
      </w:pPr>
    </w:p>
    <w:p w14:paraId="75FA9833" w14:textId="77777777" w:rsidR="00BD37F8" w:rsidRPr="009D4627" w:rsidRDefault="00BD37F8" w:rsidP="00BD37F8">
      <w:pPr>
        <w:spacing w:before="0" w:after="0" w:line="240" w:lineRule="auto"/>
        <w:rPr>
          <w:b/>
          <w:szCs w:val="22"/>
          <w:lang w:val="en-MY"/>
        </w:rPr>
      </w:pPr>
    </w:p>
    <w:p w14:paraId="29ADCDE6" w14:textId="77777777" w:rsidR="00BD37F8" w:rsidRPr="009D4627" w:rsidRDefault="00BD37F8" w:rsidP="00BD37F8">
      <w:pPr>
        <w:spacing w:before="0" w:after="0" w:line="240" w:lineRule="auto"/>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 xml:space="preserve">1/3 m </w:t>
      </w:r>
      <w:r w:rsidRPr="009D4627">
        <w:rPr>
          <w:bCs/>
          <w:szCs w:val="22"/>
          <w:lang w:val="en-MY"/>
        </w:rPr>
        <w:tab/>
        <w:t>16</w:t>
      </w:r>
      <w:r w:rsidRPr="009D4627">
        <w:rPr>
          <w:bCs/>
          <w:szCs w:val="22"/>
          <w:vertAlign w:val="superscript"/>
          <w:lang w:val="en-MY"/>
        </w:rPr>
        <w:t>Δ</w:t>
      </w:r>
      <w:r w:rsidRPr="009D4627">
        <w:rPr>
          <w:bCs/>
          <w:szCs w:val="22"/>
          <w:lang w:val="en-MY"/>
        </w:rPr>
        <w:t xml:space="preserve"> ET with 2</w:t>
      </w:r>
      <w:r w:rsidRPr="009D4627">
        <w:rPr>
          <w:bCs/>
          <w:szCs w:val="22"/>
          <w:vertAlign w:val="superscript"/>
          <w:lang w:val="en-MY"/>
        </w:rPr>
        <w:t xml:space="preserve">Δ </w:t>
      </w:r>
      <w:proofErr w:type="spellStart"/>
      <w:r w:rsidRPr="009D4627">
        <w:rPr>
          <w:bCs/>
          <w:szCs w:val="22"/>
          <w:lang w:val="en-MY"/>
        </w:rPr>
        <w:t>RHoT</w:t>
      </w:r>
      <w:proofErr w:type="spellEnd"/>
      <w:r w:rsidRPr="009D4627">
        <w:rPr>
          <w:bCs/>
          <w:szCs w:val="22"/>
          <w:lang w:val="en-MY"/>
        </w:rPr>
        <w:t xml:space="preserve"> </w:t>
      </w:r>
    </w:p>
    <w:p w14:paraId="0BC0AB14" w14:textId="77777777" w:rsidR="00BD37F8" w:rsidRPr="009D4627" w:rsidRDefault="00BD37F8" w:rsidP="00BD37F8">
      <w:pPr>
        <w:spacing w:before="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t>6 m       20</w:t>
      </w:r>
      <w:r w:rsidRPr="009D4627">
        <w:rPr>
          <w:bCs/>
          <w:szCs w:val="22"/>
          <w:vertAlign w:val="superscript"/>
          <w:lang w:val="en-MY"/>
        </w:rPr>
        <w:t xml:space="preserve">Δ </w:t>
      </w:r>
      <w:r w:rsidRPr="009D4627">
        <w:rPr>
          <w:bCs/>
          <w:szCs w:val="22"/>
          <w:lang w:val="en-MY"/>
        </w:rPr>
        <w:t>ET with 2</w:t>
      </w:r>
      <w:r w:rsidRPr="009D4627">
        <w:rPr>
          <w:bCs/>
          <w:szCs w:val="22"/>
          <w:vertAlign w:val="superscript"/>
          <w:lang w:val="en-MY"/>
        </w:rPr>
        <w:t>Δ</w:t>
      </w:r>
      <w:r w:rsidRPr="009D4627">
        <w:rPr>
          <w:bCs/>
          <w:szCs w:val="22"/>
          <w:lang w:val="en-MY"/>
        </w:rPr>
        <w:t xml:space="preserve"> </w:t>
      </w:r>
      <w:proofErr w:type="spellStart"/>
      <w:r w:rsidRPr="009D4627">
        <w:rPr>
          <w:bCs/>
          <w:szCs w:val="22"/>
          <w:lang w:val="en-MY"/>
        </w:rPr>
        <w:t>RHoT</w:t>
      </w:r>
      <w:proofErr w:type="spellEnd"/>
    </w:p>
    <w:p w14:paraId="796FCC6B" w14:textId="77777777" w:rsidR="00BD37F8" w:rsidRPr="009D4627" w:rsidRDefault="00BD37F8" w:rsidP="00BD37F8">
      <w:pPr>
        <w:spacing w:before="0" w:after="0" w:line="240" w:lineRule="auto"/>
        <w:ind w:left="2160" w:hanging="2160"/>
        <w:rPr>
          <w:b/>
          <w:bCs/>
          <w:szCs w:val="22"/>
          <w:lang w:val="en-MY"/>
        </w:rPr>
      </w:pPr>
      <w:r w:rsidRPr="009D4627">
        <w:rPr>
          <w:b/>
          <w:bCs/>
          <w:szCs w:val="22"/>
          <w:lang w:val="en-MY"/>
        </w:rPr>
        <w:t xml:space="preserve">Assessment &amp; plan: </w:t>
      </w:r>
      <w:r w:rsidRPr="009D4627">
        <w:rPr>
          <w:b/>
          <w:bCs/>
          <w:szCs w:val="22"/>
          <w:lang w:val="en-MY"/>
        </w:rPr>
        <w:tab/>
      </w:r>
    </w:p>
    <w:p w14:paraId="510220E0"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Sudden onset R sixth nerve palsy with minimal vertical deviation.</w:t>
      </w:r>
    </w:p>
    <w:p w14:paraId="59B422E4"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 diabetic cause</w:t>
      </w:r>
    </w:p>
    <w:p w14:paraId="6EAB65C8"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Patient also under urology for bladder cancer.</w:t>
      </w:r>
    </w:p>
    <w:p w14:paraId="406CAB82"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Although R sixth nerve palsy, patient tends to fixate with RE causing large LET noticed at home.</w:t>
      </w:r>
    </w:p>
    <w:p w14:paraId="23FC6BD3"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lastRenderedPageBreak/>
        <w:t>Gave patch – advised to wear over RE.</w:t>
      </w:r>
    </w:p>
    <w:p w14:paraId="25C15013"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 xml:space="preserve">Too </w:t>
      </w:r>
      <w:proofErr w:type="spellStart"/>
      <w:r w:rsidRPr="009D4627">
        <w:rPr>
          <w:szCs w:val="22"/>
          <w:lang w:val="en-MY"/>
        </w:rPr>
        <w:t>incomitant</w:t>
      </w:r>
      <w:proofErr w:type="spellEnd"/>
      <w:r w:rsidRPr="009D4627">
        <w:rPr>
          <w:szCs w:val="22"/>
          <w:lang w:val="en-MY"/>
        </w:rPr>
        <w:t xml:space="preserve"> for prism prescription – patient happy with patch.</w:t>
      </w:r>
    </w:p>
    <w:p w14:paraId="3FC5E624" w14:textId="77777777" w:rsidR="00833530" w:rsidRDefault="00833530" w:rsidP="00BD37F8">
      <w:pPr>
        <w:spacing w:before="0" w:after="0" w:line="240" w:lineRule="auto"/>
        <w:rPr>
          <w:b/>
          <w:szCs w:val="22"/>
          <w:u w:val="single"/>
          <w:lang w:val="en-MY"/>
        </w:rPr>
      </w:pPr>
    </w:p>
    <w:p w14:paraId="43B29CEA" w14:textId="312DA955" w:rsidR="00BD37F8" w:rsidRPr="009D4627" w:rsidRDefault="00BD37F8" w:rsidP="00BD37F8">
      <w:pPr>
        <w:spacing w:before="0" w:after="0" w:line="240" w:lineRule="auto"/>
        <w:rPr>
          <w:bCs/>
          <w:szCs w:val="22"/>
          <w:u w:val="single"/>
          <w:lang w:val="en-MY"/>
        </w:rPr>
      </w:pPr>
      <w:r w:rsidRPr="009D4627">
        <w:rPr>
          <w:b/>
          <w:szCs w:val="22"/>
          <w:u w:val="single"/>
          <w:lang w:val="en-MY"/>
        </w:rPr>
        <w:t xml:space="preserve">Clinical visit 2: </w:t>
      </w:r>
      <w:r w:rsidRPr="009D4627">
        <w:rPr>
          <w:bCs/>
          <w:szCs w:val="22"/>
          <w:u w:val="single"/>
          <w:lang w:val="en-MY"/>
        </w:rPr>
        <w:t>30/1/2019 (Ophthalmology visit only)</w:t>
      </w:r>
    </w:p>
    <w:p w14:paraId="363AA443" w14:textId="77777777" w:rsidR="00BD37F8" w:rsidRPr="009D4627" w:rsidRDefault="00BD37F8" w:rsidP="00BD37F8">
      <w:pPr>
        <w:spacing w:before="0" w:after="0" w:line="240" w:lineRule="auto"/>
        <w:rPr>
          <w:bCs/>
          <w:szCs w:val="22"/>
          <w:u w:val="single"/>
          <w:lang w:val="en-MY"/>
        </w:rPr>
      </w:pPr>
      <w:r w:rsidRPr="009D4627">
        <w:rPr>
          <w:bCs/>
          <w:szCs w:val="22"/>
          <w:u w:val="single"/>
          <w:lang w:val="en-MY"/>
        </w:rPr>
        <w:t xml:space="preserve"> </w:t>
      </w:r>
    </w:p>
    <w:p w14:paraId="02BC5D5C" w14:textId="77777777" w:rsidR="00BD37F8" w:rsidRPr="009D4627" w:rsidRDefault="00BD37F8" w:rsidP="00BD37F8">
      <w:pPr>
        <w:spacing w:before="0" w:after="0" w:line="240" w:lineRule="auto"/>
        <w:rPr>
          <w:b/>
          <w:szCs w:val="22"/>
          <w:lang w:val="en-MY"/>
        </w:rPr>
      </w:pPr>
      <w:r w:rsidRPr="009D4627">
        <w:rPr>
          <w:b/>
          <w:szCs w:val="22"/>
          <w:lang w:val="en-MY"/>
        </w:rPr>
        <w:t>Assessment and Plan:</w:t>
      </w:r>
    </w:p>
    <w:p w14:paraId="0F563CAF" w14:textId="77777777" w:rsidR="00BD37F8" w:rsidRPr="009D4627" w:rsidRDefault="00BD37F8" w:rsidP="00C171FA">
      <w:pPr>
        <w:pStyle w:val="ListParagraph"/>
        <w:numPr>
          <w:ilvl w:val="0"/>
          <w:numId w:val="104"/>
        </w:numPr>
        <w:spacing w:before="0" w:after="0" w:line="240" w:lineRule="auto"/>
        <w:rPr>
          <w:bCs/>
          <w:szCs w:val="22"/>
          <w:lang w:val="en-MY"/>
        </w:rPr>
      </w:pPr>
      <w:r w:rsidRPr="009D4627">
        <w:rPr>
          <w:bCs/>
          <w:szCs w:val="22"/>
          <w:lang w:val="en-MY"/>
        </w:rPr>
        <w:t>Isolated right sixth nerve palsy. No signs of other cranial nerves involved. It is likely to be microvascular origin.</w:t>
      </w:r>
    </w:p>
    <w:p w14:paraId="7A62CA22" w14:textId="77777777" w:rsidR="00BD37F8" w:rsidRPr="009D4627" w:rsidRDefault="00BD37F8" w:rsidP="00C171FA">
      <w:pPr>
        <w:pStyle w:val="ListParagraph"/>
        <w:numPr>
          <w:ilvl w:val="0"/>
          <w:numId w:val="104"/>
        </w:numPr>
        <w:spacing w:before="0" w:after="0" w:line="240" w:lineRule="auto"/>
        <w:rPr>
          <w:bCs/>
          <w:szCs w:val="22"/>
          <w:lang w:val="en-MY"/>
        </w:rPr>
      </w:pPr>
      <w:r w:rsidRPr="009D4627">
        <w:rPr>
          <w:bCs/>
          <w:szCs w:val="22"/>
          <w:lang w:val="en-MY"/>
        </w:rPr>
        <w:t>He is insulin-requiring diabetic.</w:t>
      </w:r>
    </w:p>
    <w:p w14:paraId="3AF172E9" w14:textId="77777777" w:rsidR="00BD37F8" w:rsidRPr="009D4627" w:rsidRDefault="00BD37F8" w:rsidP="00C171FA">
      <w:pPr>
        <w:pStyle w:val="ListParagraph"/>
        <w:numPr>
          <w:ilvl w:val="0"/>
          <w:numId w:val="104"/>
        </w:numPr>
        <w:spacing w:before="0" w:after="0" w:line="240" w:lineRule="auto"/>
        <w:rPr>
          <w:bCs/>
          <w:szCs w:val="22"/>
          <w:lang w:val="en-MY"/>
        </w:rPr>
      </w:pPr>
      <w:r w:rsidRPr="009D4627">
        <w:rPr>
          <w:bCs/>
          <w:szCs w:val="22"/>
          <w:lang w:val="en-MY"/>
        </w:rPr>
        <w:t>He has currently been managing with a patch.</w:t>
      </w:r>
    </w:p>
    <w:p w14:paraId="5BD23886" w14:textId="77777777" w:rsidR="00BD37F8" w:rsidRPr="009D4627" w:rsidRDefault="00BD37F8" w:rsidP="00BD37F8">
      <w:pPr>
        <w:pStyle w:val="ListParagraph"/>
        <w:spacing w:before="0" w:after="0" w:line="240" w:lineRule="auto"/>
        <w:rPr>
          <w:bCs/>
          <w:szCs w:val="22"/>
          <w:lang w:val="en-MY"/>
        </w:rPr>
      </w:pPr>
    </w:p>
    <w:p w14:paraId="2ACF4B64" w14:textId="77777777" w:rsidR="00BD37F8" w:rsidRPr="009D4627" w:rsidRDefault="00BD37F8" w:rsidP="00BD37F8">
      <w:pPr>
        <w:spacing w:before="0" w:after="0" w:line="240" w:lineRule="auto"/>
        <w:rPr>
          <w:b/>
          <w:szCs w:val="22"/>
          <w:u w:val="single"/>
          <w:lang w:val="en-MY"/>
        </w:rPr>
      </w:pPr>
    </w:p>
    <w:p w14:paraId="2FBEFF32" w14:textId="77777777" w:rsidR="00BD37F8" w:rsidRPr="009D4627" w:rsidRDefault="00BD37F8" w:rsidP="00BD37F8">
      <w:pPr>
        <w:spacing w:before="0" w:after="0" w:line="240" w:lineRule="auto"/>
        <w:rPr>
          <w:bCs/>
          <w:szCs w:val="22"/>
          <w:u w:val="single"/>
          <w:lang w:val="en-MY"/>
        </w:rPr>
      </w:pPr>
      <w:r w:rsidRPr="009D4627">
        <w:rPr>
          <w:b/>
          <w:szCs w:val="22"/>
          <w:u w:val="single"/>
          <w:lang w:val="en-MY"/>
        </w:rPr>
        <w:t xml:space="preserve">Clinical visit 3: </w:t>
      </w:r>
      <w:r w:rsidRPr="009D4627">
        <w:rPr>
          <w:bCs/>
          <w:szCs w:val="22"/>
          <w:u w:val="single"/>
          <w:lang w:val="en-MY"/>
        </w:rPr>
        <w:t>27/02/2019 (5</w:t>
      </w:r>
      <w:r w:rsidRPr="009D4627">
        <w:rPr>
          <w:bCs/>
          <w:color w:val="auto"/>
          <w:szCs w:val="22"/>
          <w:u w:val="single"/>
          <w:lang w:val="en-MY"/>
        </w:rPr>
        <w:t xml:space="preserve"> weeks from onset</w:t>
      </w:r>
      <w:r w:rsidRPr="009D4627">
        <w:rPr>
          <w:bCs/>
          <w:szCs w:val="22"/>
          <w:u w:val="single"/>
          <w:lang w:val="en-MY"/>
        </w:rPr>
        <w:t>) - Orthoptic assessment</w:t>
      </w:r>
    </w:p>
    <w:p w14:paraId="4D50E187" w14:textId="77777777" w:rsidR="00BD37F8" w:rsidRPr="009D4627" w:rsidRDefault="00BD37F8" w:rsidP="00BD37F8">
      <w:pPr>
        <w:spacing w:before="0" w:after="0" w:line="240" w:lineRule="auto"/>
        <w:rPr>
          <w:bCs/>
          <w:szCs w:val="22"/>
          <w:u w:val="single"/>
          <w:lang w:val="en-MY"/>
        </w:rPr>
      </w:pPr>
    </w:p>
    <w:p w14:paraId="32E8D302" w14:textId="77777777" w:rsidR="00BD37F8" w:rsidRPr="009D4627" w:rsidRDefault="00BD37F8" w:rsidP="00BD37F8">
      <w:pPr>
        <w:spacing w:before="0" w:after="0" w:line="240" w:lineRule="auto"/>
        <w:ind w:left="851" w:hanging="851"/>
        <w:rPr>
          <w:bCs/>
          <w:szCs w:val="22"/>
          <w:lang w:val="en-MY"/>
        </w:rPr>
      </w:pPr>
      <w:r w:rsidRPr="009D4627">
        <w:rPr>
          <w:b/>
          <w:szCs w:val="22"/>
          <w:lang w:val="en-MY"/>
        </w:rPr>
        <w:t xml:space="preserve">History: </w:t>
      </w:r>
      <w:r w:rsidRPr="009D4627">
        <w:rPr>
          <w:bCs/>
          <w:szCs w:val="22"/>
          <w:lang w:val="en-MY"/>
        </w:rPr>
        <w:t>No diplopia shortly after the last appointment.</w:t>
      </w:r>
    </w:p>
    <w:p w14:paraId="28F3BAD6" w14:textId="77777777" w:rsidR="00BD37F8" w:rsidRPr="009D4627" w:rsidRDefault="00BD37F8" w:rsidP="00BD37F8">
      <w:pPr>
        <w:spacing w:before="0" w:after="0" w:line="240" w:lineRule="auto"/>
        <w:ind w:left="851" w:hanging="131"/>
        <w:rPr>
          <w:b/>
          <w:szCs w:val="22"/>
          <w:lang w:val="en-MY"/>
        </w:rPr>
      </w:pPr>
      <w:r w:rsidRPr="009D4627">
        <w:rPr>
          <w:bCs/>
          <w:szCs w:val="22"/>
          <w:lang w:val="en-MY"/>
        </w:rPr>
        <w:t xml:space="preserve">  </w:t>
      </w:r>
    </w:p>
    <w:p w14:paraId="295365AE" w14:textId="77777777" w:rsidR="00BD37F8" w:rsidRPr="009D4627" w:rsidRDefault="00BD37F8" w:rsidP="00BD37F8">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0.40</w:t>
      </w:r>
      <w:r w:rsidRPr="009D4627">
        <w:rPr>
          <w:bCs/>
          <w:szCs w:val="22"/>
          <w:lang w:val="en-MY"/>
        </w:rPr>
        <w:tab/>
      </w:r>
      <w:r w:rsidRPr="009D4627">
        <w:rPr>
          <w:bCs/>
          <w:szCs w:val="22"/>
          <w:lang w:val="en-MY"/>
        </w:rPr>
        <w:tab/>
        <w:t xml:space="preserve">LE 0.18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7F70980D" w14:textId="01A14728" w:rsidR="00BD37F8" w:rsidRPr="009D4627" w:rsidRDefault="00BD37F8" w:rsidP="00BD37F8">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00E147BE">
        <w:rPr>
          <w:b/>
          <w:szCs w:val="22"/>
          <w:lang w:val="en-MY"/>
        </w:rPr>
        <w:tab/>
      </w:r>
      <w:r w:rsidRPr="009D4627">
        <w:rPr>
          <w:b/>
          <w:szCs w:val="22"/>
          <w:lang w:val="en-MY"/>
        </w:rPr>
        <w:t xml:space="preserve">    </w:t>
      </w:r>
      <w:r w:rsidRPr="009D4627">
        <w:rPr>
          <w:bCs/>
          <w:szCs w:val="22"/>
          <w:lang w:val="en-MY"/>
        </w:rPr>
        <w:t>6/15</w:t>
      </w:r>
      <w:r w:rsidRPr="009D4627">
        <w:rPr>
          <w:bCs/>
          <w:szCs w:val="22"/>
          <w:lang w:val="en-MY"/>
        </w:rPr>
        <w:tab/>
      </w:r>
      <w:r w:rsidRPr="009D4627">
        <w:rPr>
          <w:bCs/>
          <w:szCs w:val="22"/>
          <w:lang w:val="en-MY"/>
        </w:rPr>
        <w:tab/>
      </w:r>
      <w:r w:rsidR="00E147BE">
        <w:rPr>
          <w:bCs/>
          <w:szCs w:val="22"/>
          <w:lang w:val="en-MY"/>
        </w:rPr>
        <w:tab/>
      </w:r>
      <w:r w:rsidRPr="009D4627">
        <w:rPr>
          <w:bCs/>
          <w:szCs w:val="22"/>
          <w:lang w:val="en-MY"/>
        </w:rPr>
        <w:t xml:space="preserve">     6/9</w:t>
      </w:r>
      <w:r w:rsidRPr="009D4627">
        <w:rPr>
          <w:bCs/>
          <w:szCs w:val="22"/>
          <w:lang w:val="en-MY"/>
        </w:rPr>
        <w:tab/>
      </w:r>
      <w:r w:rsidRPr="009D4627">
        <w:rPr>
          <w:bCs/>
          <w:szCs w:val="22"/>
          <w:lang w:val="en-MY"/>
        </w:rPr>
        <w:tab/>
        <w:t>Snellen equivalent</w:t>
      </w:r>
    </w:p>
    <w:p w14:paraId="1D8634BE" w14:textId="77777777" w:rsidR="00BD37F8" w:rsidRPr="009D4627" w:rsidRDefault="00BD37F8" w:rsidP="00BD37F8">
      <w:pPr>
        <w:spacing w:before="0" w:after="0" w:line="240" w:lineRule="auto"/>
        <w:rPr>
          <w:bCs/>
          <w:szCs w:val="22"/>
          <w:lang w:val="en-MY"/>
        </w:rPr>
      </w:pPr>
    </w:p>
    <w:p w14:paraId="40A226FA"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t>with PH</w:t>
      </w:r>
      <w:r w:rsidRPr="009D4627">
        <w:rPr>
          <w:bCs/>
          <w:szCs w:val="22"/>
          <w:lang w:val="en-MY"/>
        </w:rPr>
        <w:tab/>
        <w:t xml:space="preserve">RE 0.30 </w:t>
      </w:r>
      <w:r w:rsidRPr="009D4627">
        <w:rPr>
          <w:bCs/>
          <w:szCs w:val="22"/>
          <w:lang w:val="en-MY"/>
        </w:rPr>
        <w:tab/>
      </w:r>
      <w:r w:rsidRPr="009D4627">
        <w:rPr>
          <w:bCs/>
          <w:szCs w:val="22"/>
          <w:lang w:val="en-MY"/>
        </w:rPr>
        <w:tab/>
        <w:t xml:space="preserve">LE No Improvement </w:t>
      </w:r>
    </w:p>
    <w:p w14:paraId="27BE2960"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 xml:space="preserve">      6/12</w:t>
      </w:r>
    </w:p>
    <w:p w14:paraId="45461893"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p>
    <w:p w14:paraId="2D298AEE"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w:t>
      </w:r>
      <w:r w:rsidRPr="009D4627">
        <w:rPr>
          <w:bCs/>
          <w:szCs w:val="22"/>
          <w:lang w:val="en-MY"/>
        </w:rPr>
        <w:tab/>
        <w:t xml:space="preserve">1/3 m </w:t>
      </w:r>
      <w:r w:rsidRPr="009D4627">
        <w:rPr>
          <w:bCs/>
          <w:szCs w:val="22"/>
          <w:lang w:val="en-MY"/>
        </w:rPr>
        <w:tab/>
        <w:t>very minimal X with good recovery</w:t>
      </w:r>
    </w:p>
    <w:p w14:paraId="2DC3A9E6"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ab/>
      </w:r>
      <w:r w:rsidRPr="009D4627">
        <w:rPr>
          <w:b/>
          <w:szCs w:val="22"/>
          <w:lang w:val="en-MY"/>
        </w:rPr>
        <w:tab/>
      </w:r>
      <w:r w:rsidRPr="009D4627">
        <w:rPr>
          <w:bCs/>
          <w:szCs w:val="22"/>
          <w:lang w:val="en-MY"/>
        </w:rPr>
        <w:tab/>
      </w:r>
      <w:r w:rsidRPr="009D4627">
        <w:rPr>
          <w:bCs/>
          <w:szCs w:val="22"/>
          <w:lang w:val="en-MY"/>
        </w:rPr>
        <w:tab/>
        <w:t>6 m</w:t>
      </w:r>
      <w:r w:rsidRPr="009D4627">
        <w:rPr>
          <w:bCs/>
          <w:szCs w:val="22"/>
          <w:lang w:val="en-MY"/>
        </w:rPr>
        <w:tab/>
        <w:t>very minimal E with good recovery</w:t>
      </w:r>
    </w:p>
    <w:p w14:paraId="4659A370" w14:textId="77777777" w:rsidR="00BD37F8" w:rsidRPr="009D4627" w:rsidRDefault="00BD37F8" w:rsidP="00BD37F8">
      <w:pPr>
        <w:spacing w:before="0" w:after="0" w:line="240" w:lineRule="auto"/>
        <w:ind w:left="1276" w:hanging="1276"/>
        <w:rPr>
          <w:bCs/>
          <w:szCs w:val="22"/>
          <w:lang w:val="en-MY"/>
        </w:rPr>
      </w:pPr>
    </w:p>
    <w:p w14:paraId="77DFD314"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 xml:space="preserve">1/3 m </w:t>
      </w:r>
      <w:r w:rsidRPr="009D4627">
        <w:rPr>
          <w:bCs/>
          <w:szCs w:val="22"/>
          <w:lang w:val="en-MY"/>
        </w:rPr>
        <w:tab/>
        <w:t>3</w:t>
      </w:r>
      <w:r w:rsidRPr="009D4627">
        <w:rPr>
          <w:bCs/>
          <w:szCs w:val="22"/>
          <w:vertAlign w:val="superscript"/>
          <w:lang w:val="en-MY"/>
        </w:rPr>
        <w:t>Δ</w:t>
      </w:r>
      <w:r w:rsidRPr="009D4627">
        <w:rPr>
          <w:bCs/>
          <w:szCs w:val="22"/>
          <w:lang w:val="en-MY"/>
        </w:rPr>
        <w:t xml:space="preserve"> X </w:t>
      </w:r>
    </w:p>
    <w:p w14:paraId="60B1ACD6" w14:textId="77777777" w:rsidR="00BD37F8" w:rsidRPr="009D4627" w:rsidRDefault="00BD37F8" w:rsidP="00BD37F8">
      <w:pPr>
        <w:spacing w:before="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6 m       4</w:t>
      </w:r>
      <w:r w:rsidRPr="009D4627">
        <w:rPr>
          <w:bCs/>
          <w:szCs w:val="22"/>
          <w:vertAlign w:val="superscript"/>
          <w:lang w:val="en-MY"/>
        </w:rPr>
        <w:t xml:space="preserve">Δ </w:t>
      </w:r>
      <w:r w:rsidRPr="009D4627">
        <w:rPr>
          <w:bCs/>
          <w:szCs w:val="22"/>
          <w:lang w:val="en-MY"/>
        </w:rPr>
        <w:sym w:font="Wingdings" w:char="F0DF"/>
      </w:r>
      <w:r w:rsidRPr="009D4627">
        <w:rPr>
          <w:bCs/>
          <w:szCs w:val="22"/>
          <w:lang w:val="en-MY"/>
        </w:rPr>
        <w:t xml:space="preserve"> 2</w:t>
      </w:r>
      <w:r w:rsidRPr="009D4627">
        <w:rPr>
          <w:bCs/>
          <w:szCs w:val="22"/>
          <w:vertAlign w:val="superscript"/>
          <w:lang w:val="en-MY"/>
        </w:rPr>
        <w:t xml:space="preserve">Δ </w:t>
      </w:r>
      <w:r w:rsidRPr="009D4627">
        <w:rPr>
          <w:bCs/>
          <w:szCs w:val="22"/>
          <w:lang w:val="en-MY"/>
        </w:rPr>
        <w:t xml:space="preserve">E </w:t>
      </w:r>
      <w:r w:rsidRPr="009D4627">
        <w:rPr>
          <w:bCs/>
          <w:szCs w:val="22"/>
          <w:lang w:val="en-MY"/>
        </w:rPr>
        <w:sym w:font="Wingdings" w:char="F0E0"/>
      </w:r>
      <w:r w:rsidRPr="009D4627">
        <w:rPr>
          <w:bCs/>
          <w:szCs w:val="22"/>
          <w:lang w:val="en-MY"/>
        </w:rPr>
        <w:t xml:space="preserve"> 5</w:t>
      </w:r>
      <w:r w:rsidRPr="009D4627">
        <w:rPr>
          <w:bCs/>
          <w:szCs w:val="22"/>
          <w:vertAlign w:val="superscript"/>
          <w:lang w:val="en-MY"/>
        </w:rPr>
        <w:t>Δ</w:t>
      </w:r>
      <w:r w:rsidRPr="009D4627">
        <w:rPr>
          <w:bCs/>
          <w:szCs w:val="22"/>
          <w:lang w:val="en-MY"/>
        </w:rPr>
        <w:t xml:space="preserve"> E</w:t>
      </w:r>
    </w:p>
    <w:p w14:paraId="25361A4D" w14:textId="77777777" w:rsidR="00BD37F8" w:rsidRPr="009D4627" w:rsidRDefault="00BD37F8" w:rsidP="00BD37F8">
      <w:pPr>
        <w:spacing w:before="0" w:after="0" w:line="240" w:lineRule="auto"/>
        <w:rPr>
          <w:b/>
          <w:szCs w:val="22"/>
          <w:lang w:val="en-MY"/>
        </w:rPr>
      </w:pPr>
      <w:r w:rsidRPr="009D4627">
        <w:rPr>
          <w:b/>
          <w:szCs w:val="22"/>
          <w:lang w:val="en-MY"/>
        </w:rPr>
        <w:t>OMT:</w:t>
      </w:r>
    </w:p>
    <w:p w14:paraId="70F1DD2D" w14:textId="6E2FB186" w:rsidR="00BD37F8" w:rsidRPr="009D4627" w:rsidRDefault="00A2792E" w:rsidP="00BD37F8">
      <w:pPr>
        <w:spacing w:before="0" w:after="0" w:line="240" w:lineRule="auto"/>
        <w:rPr>
          <w:b/>
          <w:szCs w:val="22"/>
          <w:lang w:val="en-MY"/>
        </w:rPr>
      </w:pPr>
      <w:r w:rsidRPr="009D4627">
        <w:rPr>
          <w:noProof/>
        </w:rPr>
        <mc:AlternateContent>
          <mc:Choice Requires="wpg">
            <w:drawing>
              <wp:anchor distT="0" distB="0" distL="114300" distR="114300" simplePos="0" relativeHeight="251763712" behindDoc="0" locked="0" layoutInCell="1" allowOverlap="1" wp14:anchorId="2C896353" wp14:editId="23CDF4D6">
                <wp:simplePos x="0" y="0"/>
                <wp:positionH relativeFrom="column">
                  <wp:posOffset>66675</wp:posOffset>
                </wp:positionH>
                <wp:positionV relativeFrom="paragraph">
                  <wp:posOffset>52705</wp:posOffset>
                </wp:positionV>
                <wp:extent cx="5523865" cy="897890"/>
                <wp:effectExtent l="0" t="0" r="0" b="0"/>
                <wp:wrapNone/>
                <wp:docPr id="23407" name="Group 23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3865" cy="897890"/>
                          <a:chOff x="0" y="0"/>
                          <a:chExt cx="55238" cy="8977"/>
                        </a:xfrm>
                      </wpg:grpSpPr>
                      <wpg:grpSp>
                        <wpg:cNvPr id="23408" name="Group 22155"/>
                        <wpg:cNvGrpSpPr>
                          <a:grpSpLocks/>
                        </wpg:cNvGrpSpPr>
                        <wpg:grpSpPr bwMode="auto">
                          <a:xfrm>
                            <a:off x="8763" y="3143"/>
                            <a:ext cx="971" cy="4496"/>
                            <a:chOff x="-285" y="0"/>
                            <a:chExt cx="2095" cy="5905"/>
                          </a:xfrm>
                        </wpg:grpSpPr>
                        <wps:wsp>
                          <wps:cNvPr id="23409" name="Straight Connector 22156"/>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10" name="Straight Connector 22157"/>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11" name="Straight Connector 22158"/>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12" name="Straight Connector 22159"/>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13" name="Straight Connector 22160"/>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14" name="Group 22161"/>
                        <wpg:cNvGrpSpPr>
                          <a:grpSpLocks/>
                        </wpg:cNvGrpSpPr>
                        <wpg:grpSpPr bwMode="auto">
                          <a:xfrm>
                            <a:off x="33718" y="3429"/>
                            <a:ext cx="610" cy="4133"/>
                            <a:chOff x="-285" y="0"/>
                            <a:chExt cx="2095" cy="5905"/>
                          </a:xfrm>
                        </wpg:grpSpPr>
                        <wps:wsp>
                          <wps:cNvPr id="23415" name="Straight Connector 22162"/>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16" name="Straight Connector 22163"/>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17" name="Straight Connector 22164"/>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18" name="Straight Connector 22165"/>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19" name="Straight Connector 22166"/>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20" name="Group 22167"/>
                        <wpg:cNvGrpSpPr>
                          <a:grpSpLocks/>
                        </wpg:cNvGrpSpPr>
                        <wpg:grpSpPr bwMode="auto">
                          <a:xfrm flipH="1">
                            <a:off x="17145" y="3333"/>
                            <a:ext cx="609" cy="4134"/>
                            <a:chOff x="-285" y="0"/>
                            <a:chExt cx="2095" cy="5905"/>
                          </a:xfrm>
                        </wpg:grpSpPr>
                        <wps:wsp>
                          <wps:cNvPr id="23421" name="Straight Connector 22168"/>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22" name="Straight Connector 22169"/>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23" name="Straight Connector 22170"/>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24" name="Straight Connector 22171"/>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25" name="Straight Connector 22172"/>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26" name="Group 22173"/>
                        <wpg:cNvGrpSpPr>
                          <a:grpSpLocks/>
                        </wpg:cNvGrpSpPr>
                        <wpg:grpSpPr bwMode="auto">
                          <a:xfrm flipH="1">
                            <a:off x="41719" y="3048"/>
                            <a:ext cx="965" cy="4514"/>
                            <a:chOff x="-285" y="0"/>
                            <a:chExt cx="2095" cy="5905"/>
                          </a:xfrm>
                        </wpg:grpSpPr>
                        <wps:wsp>
                          <wps:cNvPr id="23427" name="Straight Connector 22174"/>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28" name="Straight Connector 22175"/>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29" name="Straight Connector 22176"/>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30" name="Straight Connector 22177"/>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31" name="Straight Connector 22178"/>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32" name="Group 22179"/>
                        <wpg:cNvGrpSpPr>
                          <a:grpSpLocks/>
                        </wpg:cNvGrpSpPr>
                        <wpg:grpSpPr bwMode="auto">
                          <a:xfrm>
                            <a:off x="0" y="0"/>
                            <a:ext cx="55238" cy="8977"/>
                            <a:chOff x="0" y="0"/>
                            <a:chExt cx="55238" cy="8977"/>
                          </a:xfrm>
                        </wpg:grpSpPr>
                        <wpg:grpSp>
                          <wpg:cNvPr id="23433" name="Group 22180"/>
                          <wpg:cNvGrpSpPr>
                            <a:grpSpLocks/>
                          </wpg:cNvGrpSpPr>
                          <wpg:grpSpPr bwMode="auto">
                            <a:xfrm rot="16200000" flipH="1">
                              <a:off x="37646" y="-753"/>
                              <a:ext cx="717" cy="6115"/>
                              <a:chOff x="-285" y="0"/>
                              <a:chExt cx="2095" cy="5905"/>
                            </a:xfrm>
                          </wpg:grpSpPr>
                          <wps:wsp>
                            <wps:cNvPr id="23434" name="Straight Connector 22181"/>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35" name="Straight Connector 22182"/>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36" name="Straight Connector 22183"/>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37" name="Straight Connector 22184"/>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38" name="Straight Connector 22185"/>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39" name="Group 22186"/>
                          <wpg:cNvGrpSpPr>
                            <a:grpSpLocks/>
                          </wpg:cNvGrpSpPr>
                          <wpg:grpSpPr bwMode="auto">
                            <a:xfrm rot="16200000" flipH="1">
                              <a:off x="12881" y="-753"/>
                              <a:ext cx="717" cy="6115"/>
                              <a:chOff x="-285" y="0"/>
                              <a:chExt cx="2095" cy="5905"/>
                            </a:xfrm>
                          </wpg:grpSpPr>
                          <wps:wsp>
                            <wps:cNvPr id="23440" name="Straight Connector 22187"/>
                            <wps:cNvCnPr>
                              <a:cxnSpLocks noChangeShapeType="1"/>
                            </wps:cNvCnPr>
                            <wps:spPr bwMode="auto">
                              <a:xfrm flipH="1">
                                <a:off x="1714" y="190"/>
                                <a:ext cx="0" cy="5715"/>
                              </a:xfrm>
                              <a:prstGeom prst="line">
                                <a:avLst/>
                              </a:prstGeom>
                              <a:noFill/>
                              <a:ln w="19050">
                                <a:solidFill>
                                  <a:schemeClr val="tx1">
                                    <a:lumMod val="100000"/>
                                    <a:lumOff val="0"/>
                                  </a:schemeClr>
                                </a:solidFill>
                                <a:miter lim="800000"/>
                                <a:headEnd/>
                                <a:tailEnd/>
                              </a:ln>
                            </wps:spPr>
                            <wps:bodyPr/>
                          </wps:wsp>
                          <wps:wsp>
                            <wps:cNvPr id="23441" name="Straight Connector 22188"/>
                            <wps:cNvCnPr>
                              <a:cxnSpLocks noChangeShapeType="1"/>
                            </wps:cNvCnPr>
                            <wps:spPr bwMode="auto">
                              <a:xfrm flipH="1">
                                <a:off x="190" y="2952"/>
                                <a:ext cx="1524" cy="1810"/>
                              </a:xfrm>
                              <a:prstGeom prst="line">
                                <a:avLst/>
                              </a:prstGeom>
                              <a:noFill/>
                              <a:ln w="19050">
                                <a:solidFill>
                                  <a:schemeClr val="tx1">
                                    <a:lumMod val="100000"/>
                                    <a:lumOff val="0"/>
                                  </a:schemeClr>
                                </a:solidFill>
                                <a:miter lim="800000"/>
                                <a:headEnd/>
                                <a:tailEnd/>
                              </a:ln>
                            </wps:spPr>
                            <wps:bodyPr/>
                          </wps:wsp>
                          <wps:wsp>
                            <wps:cNvPr id="23442" name="Straight Connector 22189"/>
                            <wps:cNvCnPr>
                              <a:cxnSpLocks noChangeShapeType="1"/>
                            </wps:cNvCnPr>
                            <wps:spPr bwMode="auto">
                              <a:xfrm flipH="1">
                                <a:off x="1047" y="4286"/>
                                <a:ext cx="762" cy="1260"/>
                              </a:xfrm>
                              <a:prstGeom prst="line">
                                <a:avLst/>
                              </a:prstGeom>
                              <a:noFill/>
                              <a:ln w="19050">
                                <a:solidFill>
                                  <a:schemeClr val="tx1">
                                    <a:lumMod val="100000"/>
                                    <a:lumOff val="0"/>
                                  </a:schemeClr>
                                </a:solidFill>
                                <a:miter lim="800000"/>
                                <a:headEnd/>
                                <a:tailEnd/>
                              </a:ln>
                            </wps:spPr>
                            <wps:bodyPr/>
                          </wps:wsp>
                          <wps:wsp>
                            <wps:cNvPr id="23443" name="Straight Connector 22190"/>
                            <wps:cNvCnPr>
                              <a:cxnSpLocks noChangeShapeType="1"/>
                            </wps:cNvCnPr>
                            <wps:spPr bwMode="auto">
                              <a:xfrm flipH="1">
                                <a:off x="-285" y="1428"/>
                                <a:ext cx="2094" cy="1999"/>
                              </a:xfrm>
                              <a:prstGeom prst="line">
                                <a:avLst/>
                              </a:prstGeom>
                              <a:noFill/>
                              <a:ln w="19050">
                                <a:solidFill>
                                  <a:schemeClr val="tx1">
                                    <a:lumMod val="100000"/>
                                    <a:lumOff val="0"/>
                                  </a:schemeClr>
                                </a:solidFill>
                                <a:miter lim="800000"/>
                                <a:headEnd/>
                                <a:tailEnd/>
                              </a:ln>
                            </wps:spPr>
                            <wps:bodyPr/>
                          </wps:wsp>
                          <wps:wsp>
                            <wps:cNvPr id="23444" name="Straight Connector 22191"/>
                            <wps:cNvCnPr>
                              <a:cxnSpLocks noChangeShapeType="1"/>
                            </wps:cNvCnPr>
                            <wps:spPr bwMode="auto">
                              <a:xfrm flipH="1">
                                <a:off x="-190" y="0"/>
                                <a:ext cx="1999" cy="2000"/>
                              </a:xfrm>
                              <a:prstGeom prst="line">
                                <a:avLst/>
                              </a:prstGeom>
                              <a:noFill/>
                              <a:ln w="19050">
                                <a:solidFill>
                                  <a:schemeClr val="tx1">
                                    <a:lumMod val="100000"/>
                                    <a:lumOff val="0"/>
                                  </a:schemeClr>
                                </a:solidFill>
                                <a:miter lim="800000"/>
                                <a:headEnd/>
                                <a:tailEnd/>
                              </a:ln>
                            </wps:spPr>
                            <wps:bodyPr/>
                          </wps:wsp>
                        </wpg:grpSp>
                        <wpg:grpSp>
                          <wpg:cNvPr id="23445" name="Group 22192"/>
                          <wpg:cNvGrpSpPr>
                            <a:grpSpLocks/>
                          </wpg:cNvGrpSpPr>
                          <wpg:grpSpPr bwMode="auto">
                            <a:xfrm>
                              <a:off x="0" y="0"/>
                              <a:ext cx="55238" cy="8977"/>
                              <a:chOff x="0" y="1524"/>
                              <a:chExt cx="55238" cy="8977"/>
                            </a:xfrm>
                          </wpg:grpSpPr>
                          <wps:wsp>
                            <wps:cNvPr id="23446" name="Rectangle 22193"/>
                            <wps:cNvSpPr>
                              <a:spLocks noChangeArrowheads="1"/>
                            </wps:cNvSpPr>
                            <wps:spPr bwMode="auto">
                              <a:xfrm>
                                <a:off x="37338" y="1524"/>
                                <a:ext cx="2000" cy="2762"/>
                              </a:xfrm>
                              <a:prstGeom prst="rect">
                                <a:avLst/>
                              </a:prstGeom>
                              <a:noFill/>
                              <a:ln>
                                <a:noFill/>
                              </a:ln>
                            </wps:spPr>
                            <wps:txbx>
                              <w:txbxContent>
                                <w:p w14:paraId="737D9AD2"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-1</w:t>
                                  </w:r>
                                </w:p>
                              </w:txbxContent>
                            </wps:txbx>
                            <wps:bodyPr rot="0" vert="horz" wrap="square" lIns="0" tIns="0" rIns="0" bIns="0" anchor="ctr" anchorCtr="0" upright="1">
                              <a:noAutofit/>
                            </wps:bodyPr>
                          </wps:wsp>
                          <wpg:grpSp>
                            <wpg:cNvPr id="23447" name="Group 22194"/>
                            <wpg:cNvGrpSpPr>
                              <a:grpSpLocks/>
                            </wpg:cNvGrpSpPr>
                            <wpg:grpSpPr bwMode="auto">
                              <a:xfrm>
                                <a:off x="0" y="1619"/>
                                <a:ext cx="55238" cy="8882"/>
                                <a:chOff x="0" y="1619"/>
                                <a:chExt cx="55238" cy="8882"/>
                              </a:xfrm>
                            </wpg:grpSpPr>
                            <wpg:grpSp>
                              <wpg:cNvPr id="23448" name="Group 22195"/>
                              <wpg:cNvGrpSpPr>
                                <a:grpSpLocks/>
                              </wpg:cNvGrpSpPr>
                              <wpg:grpSpPr bwMode="auto">
                                <a:xfrm>
                                  <a:off x="0" y="3331"/>
                                  <a:ext cx="55238" cy="7170"/>
                                  <a:chOff x="-5048" y="3331"/>
                                  <a:chExt cx="55244" cy="7170"/>
                                </a:xfrm>
                              </wpg:grpSpPr>
                              <wps:wsp>
                                <wps:cNvPr id="23449" name="Rectangle 22196"/>
                                <wps:cNvSpPr>
                                  <a:spLocks noChangeArrowheads="1"/>
                                </wps:cNvSpPr>
                                <wps:spPr bwMode="auto">
                                  <a:xfrm>
                                    <a:off x="13144" y="5619"/>
                                    <a:ext cx="2000" cy="2763"/>
                                  </a:xfrm>
                                  <a:prstGeom prst="rect">
                                    <a:avLst/>
                                  </a:prstGeom>
                                  <a:noFill/>
                                  <a:ln>
                                    <a:noFill/>
                                  </a:ln>
                                </wps:spPr>
                                <wps:txbx>
                                  <w:txbxContent>
                                    <w:p w14:paraId="5E2E6625"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wps:txbx>
                                <wps:bodyPr rot="0" vert="horz" wrap="square" lIns="0" tIns="0" rIns="0" bIns="0" anchor="ctr" anchorCtr="0" upright="1">
                                  <a:noAutofit/>
                                </wps:bodyPr>
                              </wps:wsp>
                              <wpg:grpSp>
                                <wpg:cNvPr id="23450" name="Group 22197"/>
                                <wpg:cNvGrpSpPr>
                                  <a:grpSpLocks/>
                                </wpg:cNvGrpSpPr>
                                <wpg:grpSpPr bwMode="auto">
                                  <a:xfrm>
                                    <a:off x="-5048" y="3331"/>
                                    <a:ext cx="55244" cy="7170"/>
                                    <a:chOff x="-5048" y="3521"/>
                                    <a:chExt cx="55244" cy="7170"/>
                                  </a:xfrm>
                                </wpg:grpSpPr>
                                <wpg:grpSp>
                                  <wpg:cNvPr id="23451" name="Group 22198"/>
                                  <wpg:cNvGrpSpPr>
                                    <a:grpSpLocks/>
                                  </wpg:cNvGrpSpPr>
                                  <wpg:grpSpPr bwMode="auto">
                                    <a:xfrm>
                                      <a:off x="-5048" y="3521"/>
                                      <a:ext cx="55244" cy="7170"/>
                                      <a:chOff x="-9715" y="-1620"/>
                                      <a:chExt cx="55244" cy="7171"/>
                                    </a:xfrm>
                                  </wpg:grpSpPr>
                                  <wpg:grpSp>
                                    <wpg:cNvPr id="23452" name="Group 22199"/>
                                    <wpg:cNvGrpSpPr>
                                      <a:grpSpLocks/>
                                    </wpg:cNvGrpSpPr>
                                    <wpg:grpSpPr bwMode="auto">
                                      <a:xfrm>
                                        <a:off x="-9715" y="-1620"/>
                                        <a:ext cx="17811" cy="7170"/>
                                        <a:chOff x="-9715" y="-1620"/>
                                        <a:chExt cx="17811" cy="7171"/>
                                      </a:xfrm>
                                    </wpg:grpSpPr>
                                    <wps:wsp>
                                      <wps:cNvPr id="23453" name="Oval 22200"/>
                                      <wps:cNvSpPr>
                                        <a:spLocks noChangeArrowheads="1"/>
                                      </wps:cNvSpPr>
                                      <wps:spPr bwMode="auto">
                                        <a:xfrm>
                                          <a:off x="-1047" y="-1620"/>
                                          <a:ext cx="9143" cy="7170"/>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454" name="Rectangle 22201"/>
                                      <wps:cNvSpPr>
                                        <a:spLocks noChangeArrowheads="1"/>
                                      </wps:cNvSpPr>
                                      <wps:spPr bwMode="auto">
                                        <a:xfrm>
                                          <a:off x="-9715" y="190"/>
                                          <a:ext cx="9382" cy="4193"/>
                                        </a:xfrm>
                                        <a:prstGeom prst="rect">
                                          <a:avLst/>
                                        </a:prstGeom>
                                        <a:noFill/>
                                        <a:ln>
                                          <a:noFill/>
                                        </a:ln>
                                      </wps:spPr>
                                      <wps:txbx>
                                        <w:txbxContent>
                                          <w:p w14:paraId="7CB95DB5" w14:textId="77777777" w:rsidR="00BD37F8"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End point        -1</w:t>
                                            </w:r>
                                          </w:p>
                                          <w:p w14:paraId="6E4CEF06"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 xml:space="preserve">nystagmus     </w:t>
                                            </w:r>
                                          </w:p>
                                        </w:txbxContent>
                                      </wps:txbx>
                                      <wps:bodyPr rot="0" vert="horz" wrap="square" lIns="0" tIns="0" rIns="0" bIns="0" anchor="ctr" anchorCtr="0" upright="1">
                                        <a:noAutofit/>
                                      </wps:bodyPr>
                                    </wps:wsp>
                                  </wpg:grpSp>
                                  <wpg:grpSp>
                                    <wpg:cNvPr id="23455" name="Group 22202"/>
                                    <wpg:cNvGrpSpPr>
                                      <a:grpSpLocks/>
                                    </wpg:cNvGrpSpPr>
                                    <wpg:grpSpPr bwMode="auto">
                                      <a:xfrm>
                                        <a:off x="23812" y="-1620"/>
                                        <a:ext cx="21717" cy="7166"/>
                                        <a:chOff x="4857" y="-1620"/>
                                        <a:chExt cx="21717" cy="7167"/>
                                      </a:xfrm>
                                    </wpg:grpSpPr>
                                    <wps:wsp>
                                      <wps:cNvPr id="23456" name="Oval 22203"/>
                                      <wps:cNvSpPr>
                                        <a:spLocks noChangeArrowheads="1"/>
                                      </wps:cNvSpPr>
                                      <wps:spPr bwMode="auto">
                                        <a:xfrm>
                                          <a:off x="4857" y="-1620"/>
                                          <a:ext cx="9144" cy="7166"/>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457" name="Rectangle 22204"/>
                                      <wps:cNvSpPr>
                                        <a:spLocks noChangeArrowheads="1"/>
                                      </wps:cNvSpPr>
                                      <wps:spPr bwMode="auto">
                                        <a:xfrm>
                                          <a:off x="14376" y="-95"/>
                                          <a:ext cx="12198" cy="3811"/>
                                        </a:xfrm>
                                        <a:prstGeom prst="rect">
                                          <a:avLst/>
                                        </a:prstGeom>
                                        <a:noFill/>
                                        <a:ln>
                                          <a:noFill/>
                                        </a:ln>
                                      </wps:spPr>
                                      <wps:txbx>
                                        <w:txbxContent>
                                          <w:p w14:paraId="3446D775" w14:textId="77777777" w:rsidR="00BD37F8" w:rsidRPr="00B5188D" w:rsidRDefault="00BD37F8" w:rsidP="00BD37F8">
                                            <w:pPr>
                                              <w:spacing w:before="0" w:after="0" w:line="240" w:lineRule="auto"/>
                                              <w:jc w:val="left"/>
                                              <w:rPr>
                                                <w:rFonts w:asciiTheme="minorHAnsi" w:hAnsiTheme="minorHAnsi"/>
                                                <w:sz w:val="20"/>
                                                <w:szCs w:val="20"/>
                                                <w:lang w:val="en-US"/>
                                              </w:rPr>
                                            </w:pPr>
                                            <w:r w:rsidRPr="00B5188D">
                                              <w:rPr>
                                                <w:rFonts w:asciiTheme="minorHAnsi" w:hAnsiTheme="minorHAnsi"/>
                                                <w:sz w:val="20"/>
                                                <w:szCs w:val="20"/>
                                                <w:lang w:val="en-US"/>
                                              </w:rPr>
                                              <w:t>-</w:t>
                                            </w:r>
                                            <w:r>
                                              <w:rPr>
                                                <w:rFonts w:asciiTheme="minorHAnsi" w:hAnsiTheme="minorHAnsi"/>
                                                <w:sz w:val="20"/>
                                                <w:szCs w:val="20"/>
                                                <w:lang w:val="en-US"/>
                                              </w:rPr>
                                              <w:t>1</w:t>
                                            </w:r>
                                            <w:r w:rsidRPr="00B5188D">
                                              <w:rPr>
                                                <w:rFonts w:asciiTheme="minorHAnsi" w:hAnsiTheme="minorHAnsi"/>
                                                <w:sz w:val="20"/>
                                                <w:szCs w:val="20"/>
                                                <w:lang w:val="en-US"/>
                                              </w:rPr>
                                              <w:t xml:space="preserve"> </w:t>
                                            </w:r>
                                            <w:proofErr w:type="gramStart"/>
                                            <w:r w:rsidRPr="00B5188D">
                                              <w:rPr>
                                                <w:rFonts w:asciiTheme="minorHAnsi" w:hAnsiTheme="minorHAnsi"/>
                                                <w:sz w:val="20"/>
                                                <w:szCs w:val="20"/>
                                                <w:lang w:val="en-US"/>
                                              </w:rPr>
                                              <w:t xml:space="preserve"> </w:t>
                                            </w:r>
                                            <w:r>
                                              <w:rPr>
                                                <w:rFonts w:asciiTheme="minorHAnsi" w:hAnsiTheme="minorHAnsi"/>
                                                <w:sz w:val="20"/>
                                                <w:szCs w:val="20"/>
                                                <w:lang w:val="en-US"/>
                                              </w:rPr>
                                              <w:t xml:space="preserve">  (</w:t>
                                            </w:r>
                                            <w:proofErr w:type="gramEnd"/>
                                            <w:r>
                                              <w:rPr>
                                                <w:rFonts w:asciiTheme="minorHAnsi" w:hAnsiTheme="minorHAnsi"/>
                                                <w:sz w:val="20"/>
                                                <w:szCs w:val="20"/>
                                                <w:lang w:val="en-US"/>
                                              </w:rPr>
                                              <w:t>moving head +)</w:t>
                                            </w:r>
                                          </w:p>
                                        </w:txbxContent>
                                      </wps:txbx>
                                      <wps:bodyPr rot="0" vert="horz" wrap="square" lIns="0" tIns="0" rIns="0" bIns="0" anchor="ctr" anchorCtr="0" upright="1">
                                        <a:noAutofit/>
                                      </wps:bodyPr>
                                    </wps:wsp>
                                  </wpg:grpSp>
                                </wpg:grpSp>
                                <wps:wsp>
                                  <wps:cNvPr id="23458" name="Rectangle 22205"/>
                                  <wps:cNvSpPr>
                                    <a:spLocks noChangeArrowheads="1"/>
                                  </wps:cNvSpPr>
                                  <wps:spPr bwMode="auto">
                                    <a:xfrm>
                                      <a:off x="26955" y="6096"/>
                                      <a:ext cx="2001" cy="2762"/>
                                    </a:xfrm>
                                    <a:prstGeom prst="rect">
                                      <a:avLst/>
                                    </a:prstGeom>
                                    <a:noFill/>
                                    <a:ln>
                                      <a:noFill/>
                                    </a:ln>
                                  </wps:spPr>
                                  <wps:txbx>
                                    <w:txbxContent>
                                      <w:p w14:paraId="3723A07F"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wps:txbx>
                                  <wps:bodyPr rot="0" vert="horz" wrap="square" lIns="0" tIns="0" rIns="0" bIns="0" anchor="ctr" anchorCtr="0" upright="1">
                                    <a:noAutofit/>
                                  </wps:bodyPr>
                                </wps:wsp>
                              </wpg:grpSp>
                            </wpg:grpSp>
                            <wps:wsp>
                              <wps:cNvPr id="23459" name="Rectangle 22206"/>
                              <wps:cNvSpPr>
                                <a:spLocks noChangeArrowheads="1"/>
                              </wps:cNvSpPr>
                              <wps:spPr bwMode="auto">
                                <a:xfrm>
                                  <a:off x="12668" y="1619"/>
                                  <a:ext cx="2000" cy="1711"/>
                                </a:xfrm>
                                <a:prstGeom prst="rect">
                                  <a:avLst/>
                                </a:prstGeom>
                                <a:noFill/>
                                <a:ln>
                                  <a:noFill/>
                                </a:ln>
                              </wps:spPr>
                              <wps:txbx>
                                <w:txbxContent>
                                  <w:p w14:paraId="2A177C0E"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-1</w:t>
                                    </w:r>
                                  </w:p>
                                </w:txbxContent>
                              </wps:txbx>
                              <wps:bodyPr rot="0" vert="horz" wrap="square" lIns="0" tIns="0" rIns="0" bIns="0" anchor="ctr"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2C896353" id="Group 23407" o:spid="_x0000_s1952" style="position:absolute;left:0;text-align:left;margin-left:5.25pt;margin-top:4.15pt;width:434.95pt;height:70.7pt;z-index:251763712;mso-position-horizontal-relative:text;mso-position-vertical-relative:text" coordsize="55238,8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">
                <v:group id="Group 22155" o:spid="_x0000_s1953" style="position:absolute;left:8763;top:3143;width:971;height:4496"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">
                  <v:line id="Straight Connector 22156" o:spid="_x0000_s1954"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" strokecolor="black [3213]" strokeweight="1.5pt">
                    <v:stroke joinstyle="miter"/>
                  </v:line>
                  <v:line id="Straight Connector 22157" o:spid="_x0000_s1955"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" strokecolor="black [3213]" strokeweight="1.5pt">
                    <v:stroke joinstyle="miter"/>
                  </v:line>
                  <v:line id="Straight Connector 22158" o:spid="_x0000_s1956"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" strokecolor="black [3213]" strokeweight="1.5pt">
                    <v:stroke joinstyle="miter"/>
                  </v:line>
                  <v:line id="Straight Connector 22159" o:spid="_x0000_s1957"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" strokecolor="black [3213]" strokeweight="1.5pt">
                    <v:stroke joinstyle="miter"/>
                  </v:line>
                  <v:line id="Straight Connector 22160" o:spid="_x0000_s1958"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" strokecolor="black [3213]" strokeweight="1.5pt">
                    <v:stroke joinstyle="miter"/>
                  </v:line>
                </v:group>
                <v:group id="Group 22161" o:spid="_x0000_s1959" style="position:absolute;left:33718;top:3429;width:610;height:4133"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">
                  <v:line id="Straight Connector 22162" o:spid="_x0000_s1960"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" strokecolor="black [3213]" strokeweight="1.5pt">
                    <v:stroke joinstyle="miter"/>
                  </v:line>
                  <v:line id="Straight Connector 22163" o:spid="_x0000_s1961"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" strokecolor="black [3213]" strokeweight="1.5pt">
                    <v:stroke joinstyle="miter"/>
                  </v:line>
                  <v:line id="Straight Connector 22164" o:spid="_x0000_s1962"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" strokecolor="black [3213]" strokeweight="1.5pt">
                    <v:stroke joinstyle="miter"/>
                  </v:line>
                  <v:line id="Straight Connector 22165" o:spid="_x0000_s1963"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" strokecolor="black [3213]" strokeweight="1.5pt">
                    <v:stroke joinstyle="miter"/>
                  </v:line>
                  <v:line id="Straight Connector 22166" o:spid="_x0000_s1964"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" strokecolor="black [3213]" strokeweight="1.5pt">
                    <v:stroke joinstyle="miter"/>
                  </v:line>
                </v:group>
                <v:group id="Group 22167" o:spid="_x0000_s1965" style="position:absolute;left:17145;top:3333;width:609;height:4134;flip:x"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">
                  <v:line id="Straight Connector 22168" o:spid="_x0000_s1966"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" strokecolor="black [3213]" strokeweight="1.5pt">
                    <v:stroke joinstyle="miter"/>
                  </v:line>
                  <v:line id="Straight Connector 22169" o:spid="_x0000_s1967"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" strokecolor="black [3213]" strokeweight="1.5pt">
                    <v:stroke joinstyle="miter"/>
                  </v:line>
                  <v:line id="Straight Connector 22170" o:spid="_x0000_s1968"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" strokecolor="black [3213]" strokeweight="1.5pt">
                    <v:stroke joinstyle="miter"/>
                  </v:line>
                  <v:line id="Straight Connector 22171" o:spid="_x0000_s1969"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" strokecolor="black [3213]" strokeweight="1.5pt">
                    <v:stroke joinstyle="miter"/>
                  </v:line>
                  <v:line id="Straight Connector 22172" o:spid="_x0000_s1970"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" strokecolor="black [3213]" strokeweight="1.5pt">
                    <v:stroke joinstyle="miter"/>
                  </v:line>
                </v:group>
                <v:group id="Group 22173" o:spid="_x0000_s1971" style="position:absolute;left:41719;top:3048;width:965;height:4514;flip:x"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">
                  <v:line id="Straight Connector 22174" o:spid="_x0000_s1972"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" strokecolor="black [3213]" strokeweight="1.5pt">
                    <v:stroke joinstyle="miter"/>
                  </v:line>
                  <v:line id="Straight Connector 22175" o:spid="_x0000_s1973"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" strokecolor="black [3213]" strokeweight="1.5pt">
                    <v:stroke joinstyle="miter"/>
                  </v:line>
                  <v:line id="Straight Connector 22176" o:spid="_x0000_s1974"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" strokecolor="black [3213]" strokeweight="1.5pt">
                    <v:stroke joinstyle="miter"/>
                  </v:line>
                  <v:line id="Straight Connector 22177" o:spid="_x0000_s1975"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" strokecolor="black [3213]" strokeweight="1.5pt">
                    <v:stroke joinstyle="miter"/>
                  </v:line>
                  <v:line id="Straight Connector 22178" o:spid="_x0000_s1976"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" strokecolor="black [3213]" strokeweight="1.5pt">
                    <v:stroke joinstyle="miter"/>
                  </v:line>
                </v:group>
                <v:group id="Group 22179" o:spid="_x0000_s1977" style="position:absolute;width:55238;height:8977" coordsize="55238,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">
                  <v:group id="Group 22180" o:spid="_x0000_s1978" style="position:absolute;left:37646;top:-753;width:717;height:6115;rotation:90;flip:x"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">
                    <v:line id="Straight Connector 22181" o:spid="_x0000_s1979"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" strokecolor="black [3213]" strokeweight="1.5pt">
                      <v:stroke joinstyle="miter"/>
                    </v:line>
                    <v:line id="Straight Connector 22182" o:spid="_x0000_s1980"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" strokecolor="black [3213]" strokeweight="1.5pt">
                      <v:stroke joinstyle="miter"/>
                    </v:line>
                    <v:line id="Straight Connector 22183" o:spid="_x0000_s1981"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" strokecolor="black [3213]" strokeweight="1.5pt">
                      <v:stroke joinstyle="miter"/>
                    </v:line>
                    <v:line id="Straight Connector 22184" o:spid="_x0000_s1982"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" strokecolor="black [3213]" strokeweight="1.5pt">
                      <v:stroke joinstyle="miter"/>
                    </v:line>
                    <v:line id="Straight Connector 22185" o:spid="_x0000_s1983"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" strokecolor="black [3213]" strokeweight="1.5pt">
                      <v:stroke joinstyle="miter"/>
                    </v:line>
                  </v:group>
                  <v:group id="Group 22186" o:spid="_x0000_s1984" style="position:absolute;left:12881;top:-753;width:717;height:6115;rotation:90;flip:x" coordorigin="-285" coordsize="2095,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">
                    <v:line id="Straight Connector 22187" o:spid="_x0000_s1985" style="position:absolute;flip:x;visibility:visible;mso-wrap-style:square" from="1714,190" to="1714,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" strokecolor="black [3213]" strokeweight="1.5pt">
                      <v:stroke joinstyle="miter"/>
                    </v:line>
                    <v:line id="Straight Connector 22188" o:spid="_x0000_s1986" style="position:absolute;flip:x;visibility:visible;mso-wrap-style:square" from="190,2952" to="1714,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" strokecolor="black [3213]" strokeweight="1.5pt">
                      <v:stroke joinstyle="miter"/>
                    </v:line>
                    <v:line id="Straight Connector 22189" o:spid="_x0000_s1987" style="position:absolute;flip:x;visibility:visible;mso-wrap-style:square" from="1047,4286" to="1809,5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" strokecolor="black [3213]" strokeweight="1.5pt">
                      <v:stroke joinstyle="miter"/>
                    </v:line>
                    <v:line id="Straight Connector 22190" o:spid="_x0000_s1988" style="position:absolute;flip:x;visibility:visible;mso-wrap-style:square" from="-285,1428" to="1809,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" strokecolor="black [3213]" strokeweight="1.5pt">
                      <v:stroke joinstyle="miter"/>
                    </v:line>
                    <v:line id="Straight Connector 22191" o:spid="_x0000_s1989" style="position:absolute;flip:x;visibility:visible;mso-wrap-style:square" from="-190,0" to="1809,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" strokecolor="black [3213]" strokeweight="1.5pt">
                      <v:stroke joinstyle="miter"/>
                    </v:line>
                  </v:group>
                  <v:group id="Group 22192" o:spid="_x0000_s1990" style="position:absolute;width:55238;height:8977" coordorigin=",1524" coordsize="55238,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">
                    <v:rect id="Rectangle 22193" o:spid="_x0000_s1991" style="position:absolute;left:37338;top:1524;width:2000;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" filled="f" stroked="f">
                      <v:textbox inset="0,0,0,0">
                        <w:txbxContent>
                          <w:p w14:paraId="737D9AD2"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-1</w:t>
                            </w:r>
                          </w:p>
                        </w:txbxContent>
                      </v:textbox>
                    </v:rect>
                    <v:group id="Group 22194" o:spid="_x0000_s1992" style="position:absolute;top:1619;width:55238;height:8882" coordorigin=",1619" coordsize="55238,8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">
                      <v:group id="Group 22195" o:spid="_x0000_s1993" style="position:absolute;top:3331;width:55238;height:7170" coordorigin="-5048,3331" coordsize="55244,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">
                        <v:rect id="Rectangle 22196" o:spid="_x0000_s1994" style="position:absolute;left:13144;top:5619;width:2000;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" filled="f" stroked="f">
                          <v:textbox inset="0,0,0,0">
                            <w:txbxContent>
                              <w:p w14:paraId="5E2E6625"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v:textbox>
                        </v:rect>
                        <v:group id="Group 22197" o:spid="_x0000_s1995" style="position:absolute;left:-5048;top:3331;width:55244;height:7170" coordorigin="-5048,3521" coordsize="55244,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">
                          <v:group id="Group 22198" o:spid="_x0000_s1996" style="position:absolute;left:-5048;top:3521;width:55244;height:7170" coordorigin="-9715,-1620" coordsize="55244,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">
                            <v:group id="Group 22199" o:spid="_x0000_s1997" style="position:absolute;left:-9715;top:-1620;width:17811;height:7170" coordorigin="-9715,-1620" coordsize="17811,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">
                              <v:oval id="Oval 22200" o:spid="_x0000_s1998" style="position:absolute;left:-1047;top:-1620;width:9143;height: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" filled="f" strokecolor="black [1600]" strokeweight="1pt">
                                <v:stroke joinstyle="miter"/>
                              </v:oval>
                              <v:rect id="Rectangle 22201" o:spid="_x0000_s1999" style="position:absolute;left:-9715;top:190;width:9382;height:4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" filled="f" stroked="f">
                                <v:textbox inset="0,0,0,0">
                                  <w:txbxContent>
                                    <w:p w14:paraId="7CB95DB5" w14:textId="77777777" w:rsidR="00BD37F8"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End point        -1</w:t>
                                      </w:r>
                                    </w:p>
                                    <w:p w14:paraId="6E4CEF06"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 xml:space="preserve">nystagmus     </w:t>
                                      </w:r>
                                    </w:p>
                                  </w:txbxContent>
                                </v:textbox>
                              </v:rect>
                            </v:group>
                            <v:group id="Group 22202" o:spid="_x0000_s2000" style="position:absolute;left:23812;top:-1620;width:21717;height:7166" coordorigin="4857,-1620" coordsize="21717,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">
                              <v:oval id="Oval 22203" o:spid="_x0000_s2001" style="position:absolute;left:4857;top:-1620;width:9144;height:7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" filled="f" strokecolor="black [1600]" strokeweight="1pt">
                                <v:stroke joinstyle="miter"/>
                              </v:oval>
                              <v:rect id="Rectangle 22204" o:spid="_x0000_s2002" style="position:absolute;left:14376;top:-95;width:12198;height:3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" filled="f" stroked="f">
                                <v:textbox inset="0,0,0,0">
                                  <w:txbxContent>
                                    <w:p w14:paraId="3446D775" w14:textId="77777777" w:rsidR="00BD37F8" w:rsidRPr="00B5188D" w:rsidRDefault="00BD37F8" w:rsidP="00BD37F8">
                                      <w:pPr>
                                        <w:spacing w:before="0" w:after="0" w:line="240" w:lineRule="auto"/>
                                        <w:jc w:val="left"/>
                                        <w:rPr>
                                          <w:rFonts w:asciiTheme="minorHAnsi" w:hAnsiTheme="minorHAnsi"/>
                                          <w:sz w:val="20"/>
                                          <w:szCs w:val="20"/>
                                          <w:lang w:val="en-US"/>
                                        </w:rPr>
                                      </w:pPr>
                                      <w:r w:rsidRPr="00B5188D">
                                        <w:rPr>
                                          <w:rFonts w:asciiTheme="minorHAnsi" w:hAnsiTheme="minorHAnsi"/>
                                          <w:sz w:val="20"/>
                                          <w:szCs w:val="20"/>
                                          <w:lang w:val="en-US"/>
                                        </w:rPr>
                                        <w:t>-</w:t>
                                      </w:r>
                                      <w:r>
                                        <w:rPr>
                                          <w:rFonts w:asciiTheme="minorHAnsi" w:hAnsiTheme="minorHAnsi"/>
                                          <w:sz w:val="20"/>
                                          <w:szCs w:val="20"/>
                                          <w:lang w:val="en-US"/>
                                        </w:rPr>
                                        <w:t>1</w:t>
                                      </w:r>
                                      <w:r w:rsidRPr="00B5188D">
                                        <w:rPr>
                                          <w:rFonts w:asciiTheme="minorHAnsi" w:hAnsiTheme="minorHAnsi"/>
                                          <w:sz w:val="20"/>
                                          <w:szCs w:val="20"/>
                                          <w:lang w:val="en-US"/>
                                        </w:rPr>
                                        <w:t xml:space="preserve"> </w:t>
                                      </w:r>
                                      <w:proofErr w:type="gramStart"/>
                                      <w:r w:rsidRPr="00B5188D">
                                        <w:rPr>
                                          <w:rFonts w:asciiTheme="minorHAnsi" w:hAnsiTheme="minorHAnsi"/>
                                          <w:sz w:val="20"/>
                                          <w:szCs w:val="20"/>
                                          <w:lang w:val="en-US"/>
                                        </w:rPr>
                                        <w:t xml:space="preserve"> </w:t>
                                      </w:r>
                                      <w:r>
                                        <w:rPr>
                                          <w:rFonts w:asciiTheme="minorHAnsi" w:hAnsiTheme="minorHAnsi"/>
                                          <w:sz w:val="20"/>
                                          <w:szCs w:val="20"/>
                                          <w:lang w:val="en-US"/>
                                        </w:rPr>
                                        <w:t xml:space="preserve">  (</w:t>
                                      </w:r>
                                      <w:proofErr w:type="gramEnd"/>
                                      <w:r>
                                        <w:rPr>
                                          <w:rFonts w:asciiTheme="minorHAnsi" w:hAnsiTheme="minorHAnsi"/>
                                          <w:sz w:val="20"/>
                                          <w:szCs w:val="20"/>
                                          <w:lang w:val="en-US"/>
                                        </w:rPr>
                                        <w:t>moving head +)</w:t>
                                      </w:r>
                                    </w:p>
                                  </w:txbxContent>
                                </v:textbox>
                              </v:rect>
                            </v:group>
                          </v:group>
                          <v:rect id="Rectangle 22205" o:spid="_x0000_s2003" style="position:absolute;left:26955;top:6096;width:200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" filled="f" stroked="f">
                            <v:textbox inset="0,0,0,0">
                              <w:txbxContent>
                                <w:p w14:paraId="3723A07F"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w:t>
                                  </w:r>
                                  <w:r w:rsidRPr="00946AC5">
                                    <w:rPr>
                                      <w:rFonts w:asciiTheme="minorHAnsi" w:hAnsiTheme="minorHAnsi"/>
                                      <w:sz w:val="20"/>
                                      <w:szCs w:val="20"/>
                                      <w:lang w:val="en-US"/>
                                    </w:rPr>
                                    <w:t xml:space="preserve">½ </w:t>
                                  </w:r>
                                </w:p>
                              </w:txbxContent>
                            </v:textbox>
                          </v:rect>
                        </v:group>
                      </v:group>
                      <v:rect id="Rectangle 22206" o:spid="_x0000_s2004" style="position:absolute;left:12668;top:1619;width:2000;height:17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" filled="f" stroked="f">
                        <v:textbox inset="0,0,0,0">
                          <w:txbxContent>
                            <w:p w14:paraId="2A177C0E" w14:textId="77777777" w:rsidR="00BD37F8" w:rsidRPr="00946AC5" w:rsidRDefault="00BD37F8" w:rsidP="00BD37F8">
                              <w:pPr>
                                <w:spacing w:before="0" w:after="0"/>
                                <w:jc w:val="left"/>
                                <w:rPr>
                                  <w:rFonts w:asciiTheme="minorHAnsi" w:hAnsiTheme="minorHAnsi"/>
                                  <w:sz w:val="20"/>
                                  <w:szCs w:val="20"/>
                                  <w:lang w:val="en-US"/>
                                </w:rPr>
                              </w:pPr>
                              <w:r>
                                <w:rPr>
                                  <w:rFonts w:asciiTheme="minorHAnsi" w:hAnsiTheme="minorHAnsi"/>
                                  <w:sz w:val="20"/>
                                  <w:szCs w:val="20"/>
                                  <w:lang w:val="en-US"/>
                                </w:rPr>
                                <w:t>-1</w:t>
                              </w:r>
                            </w:p>
                          </w:txbxContent>
                        </v:textbox>
                      </v:rect>
                    </v:group>
                  </v:group>
                </v:group>
              </v:group>
            </w:pict>
          </mc:Fallback>
        </mc:AlternateContent>
      </w:r>
    </w:p>
    <w:p w14:paraId="09BF0109" w14:textId="77777777" w:rsidR="00BD37F8" w:rsidRPr="009D4627" w:rsidRDefault="00BD37F8" w:rsidP="00BD37F8">
      <w:pPr>
        <w:spacing w:before="0" w:after="0" w:line="240" w:lineRule="auto"/>
        <w:rPr>
          <w:b/>
          <w:szCs w:val="22"/>
          <w:lang w:val="en-MY"/>
        </w:rPr>
      </w:pPr>
    </w:p>
    <w:p w14:paraId="7F976924" w14:textId="77777777" w:rsidR="00BD37F8" w:rsidRPr="009D4627" w:rsidRDefault="00BD37F8" w:rsidP="00BD37F8">
      <w:pPr>
        <w:spacing w:before="0" w:after="0" w:line="240" w:lineRule="auto"/>
        <w:rPr>
          <w:b/>
          <w:szCs w:val="22"/>
          <w:lang w:val="en-MY"/>
        </w:rPr>
      </w:pPr>
    </w:p>
    <w:p w14:paraId="6EA99717" w14:textId="77777777" w:rsidR="00BD37F8" w:rsidRPr="009D4627" w:rsidRDefault="00BD37F8" w:rsidP="00BD37F8">
      <w:pPr>
        <w:spacing w:before="0" w:after="0" w:line="240" w:lineRule="auto"/>
        <w:rPr>
          <w:b/>
          <w:szCs w:val="22"/>
          <w:lang w:val="en-MY"/>
        </w:rPr>
      </w:pPr>
    </w:p>
    <w:p w14:paraId="7B1647DC" w14:textId="77777777" w:rsidR="00BD37F8" w:rsidRPr="009D4627" w:rsidRDefault="00BD37F8" w:rsidP="00BD37F8">
      <w:pPr>
        <w:spacing w:before="0" w:after="0" w:line="240" w:lineRule="auto"/>
        <w:rPr>
          <w:b/>
          <w:szCs w:val="22"/>
          <w:lang w:val="en-MY"/>
        </w:rPr>
      </w:pPr>
    </w:p>
    <w:p w14:paraId="20CFC287" w14:textId="77777777" w:rsidR="00BD37F8" w:rsidRPr="009D4627" w:rsidRDefault="00BD37F8" w:rsidP="00BD37F8">
      <w:pPr>
        <w:spacing w:before="0" w:after="0" w:line="240" w:lineRule="auto"/>
        <w:rPr>
          <w:b/>
          <w:szCs w:val="22"/>
          <w:lang w:val="en-MY"/>
        </w:rPr>
      </w:pPr>
    </w:p>
    <w:p w14:paraId="5D667568" w14:textId="77777777" w:rsidR="00BD37F8" w:rsidRPr="009D4627" w:rsidRDefault="00BD37F8" w:rsidP="00BD37F8">
      <w:pPr>
        <w:spacing w:before="0" w:after="0" w:line="240" w:lineRule="auto"/>
        <w:rPr>
          <w:b/>
          <w:szCs w:val="22"/>
          <w:lang w:val="en-MY"/>
        </w:rPr>
      </w:pPr>
    </w:p>
    <w:p w14:paraId="71F0F37E" w14:textId="77777777" w:rsidR="00BD37F8" w:rsidRPr="009D4627" w:rsidRDefault="00BD37F8" w:rsidP="00BD37F8">
      <w:pPr>
        <w:spacing w:before="0" w:after="0" w:line="240" w:lineRule="auto"/>
        <w:ind w:left="2160" w:hanging="2160"/>
        <w:rPr>
          <w:b/>
          <w:bCs/>
          <w:szCs w:val="22"/>
          <w:lang w:val="en-MY"/>
        </w:rPr>
      </w:pPr>
      <w:r w:rsidRPr="009D4627">
        <w:rPr>
          <w:b/>
          <w:bCs/>
          <w:szCs w:val="22"/>
          <w:lang w:val="en-MY"/>
        </w:rPr>
        <w:t xml:space="preserve">Assessment &amp; plan: </w:t>
      </w:r>
      <w:r w:rsidRPr="009D4627">
        <w:rPr>
          <w:b/>
          <w:bCs/>
          <w:szCs w:val="22"/>
          <w:lang w:val="en-MY"/>
        </w:rPr>
        <w:tab/>
      </w:r>
    </w:p>
    <w:p w14:paraId="43BA1113" w14:textId="77777777" w:rsidR="00BD37F8" w:rsidRPr="009D4627" w:rsidRDefault="00BD37F8" w:rsidP="00C171FA">
      <w:pPr>
        <w:pStyle w:val="ListParagraph"/>
        <w:numPr>
          <w:ilvl w:val="0"/>
          <w:numId w:val="103"/>
        </w:numPr>
        <w:spacing w:before="0" w:after="0" w:line="240" w:lineRule="auto"/>
        <w:jc w:val="left"/>
        <w:rPr>
          <w:szCs w:val="22"/>
          <w:lang w:val="en-MY"/>
        </w:rPr>
      </w:pPr>
      <w:r w:rsidRPr="009D4627">
        <w:rPr>
          <w:szCs w:val="22"/>
          <w:lang w:val="en-MY"/>
        </w:rPr>
        <w:t>Recovering sixth nerve palsy</w:t>
      </w:r>
    </w:p>
    <w:p w14:paraId="542DD9BF" w14:textId="77777777" w:rsidR="00BD37F8" w:rsidRPr="009D4627" w:rsidRDefault="00BD37F8" w:rsidP="00C171FA">
      <w:pPr>
        <w:pStyle w:val="ListParagraph"/>
        <w:numPr>
          <w:ilvl w:val="0"/>
          <w:numId w:val="103"/>
        </w:numPr>
        <w:spacing w:before="0" w:after="0" w:line="240" w:lineRule="auto"/>
        <w:jc w:val="left"/>
        <w:rPr>
          <w:szCs w:val="22"/>
          <w:lang w:val="en-MY"/>
        </w:rPr>
      </w:pPr>
      <w:r w:rsidRPr="009D4627">
        <w:rPr>
          <w:szCs w:val="22"/>
          <w:lang w:val="en-MY"/>
        </w:rPr>
        <w:t>Review in 3-4/52</w:t>
      </w:r>
    </w:p>
    <w:p w14:paraId="7E07580A" w14:textId="77777777" w:rsidR="00BD37F8" w:rsidRPr="009D4627" w:rsidRDefault="00BD37F8" w:rsidP="00BD37F8">
      <w:pPr>
        <w:spacing w:before="0" w:after="0" w:line="240" w:lineRule="auto"/>
        <w:rPr>
          <w:rFonts w:eastAsia="Calibri"/>
          <w:b/>
          <w:szCs w:val="22"/>
          <w:u w:val="single"/>
          <w:lang w:val="en-MY"/>
        </w:rPr>
      </w:pPr>
    </w:p>
    <w:p w14:paraId="4DD2817A" w14:textId="77777777" w:rsidR="00BD37F8" w:rsidRPr="009D4627" w:rsidRDefault="00BD37F8" w:rsidP="00BD37F8">
      <w:pPr>
        <w:spacing w:before="0" w:after="0" w:line="240" w:lineRule="auto"/>
        <w:rPr>
          <w:bCs/>
          <w:szCs w:val="22"/>
          <w:u w:val="single"/>
          <w:lang w:val="en-MY"/>
        </w:rPr>
      </w:pPr>
      <w:r w:rsidRPr="009D4627">
        <w:rPr>
          <w:b/>
          <w:szCs w:val="22"/>
          <w:u w:val="single"/>
          <w:lang w:val="en-MY"/>
        </w:rPr>
        <w:t xml:space="preserve">Clinical visit 4: </w:t>
      </w:r>
      <w:r w:rsidRPr="009D4627">
        <w:rPr>
          <w:bCs/>
          <w:szCs w:val="22"/>
          <w:u w:val="single"/>
          <w:lang w:val="en-MY"/>
        </w:rPr>
        <w:t>28/03/2019 (11</w:t>
      </w:r>
      <w:r w:rsidRPr="009D4627">
        <w:rPr>
          <w:bCs/>
          <w:color w:val="auto"/>
          <w:szCs w:val="22"/>
          <w:u w:val="single"/>
          <w:lang w:val="en-MY"/>
        </w:rPr>
        <w:t xml:space="preserve"> weeks from onset</w:t>
      </w:r>
      <w:r w:rsidRPr="009D4627">
        <w:rPr>
          <w:bCs/>
          <w:szCs w:val="22"/>
          <w:u w:val="single"/>
          <w:lang w:val="en-MY"/>
        </w:rPr>
        <w:t>) - Orthoptic assessment</w:t>
      </w:r>
    </w:p>
    <w:p w14:paraId="1FBE065B" w14:textId="77777777" w:rsidR="00BD37F8" w:rsidRPr="009D4627" w:rsidRDefault="00BD37F8" w:rsidP="00BD37F8">
      <w:pPr>
        <w:spacing w:before="0" w:after="0" w:line="240" w:lineRule="auto"/>
        <w:rPr>
          <w:bCs/>
          <w:szCs w:val="22"/>
          <w:u w:val="single"/>
          <w:lang w:val="en-MY"/>
        </w:rPr>
      </w:pPr>
    </w:p>
    <w:p w14:paraId="58068D26" w14:textId="77777777" w:rsidR="00BD37F8" w:rsidRPr="009D4627" w:rsidRDefault="00BD37F8" w:rsidP="00BD37F8">
      <w:pPr>
        <w:spacing w:before="0" w:after="0" w:line="240" w:lineRule="auto"/>
        <w:rPr>
          <w:bCs/>
          <w:szCs w:val="22"/>
          <w:lang w:val="en-MY"/>
        </w:rPr>
      </w:pPr>
      <w:r w:rsidRPr="009D4627">
        <w:rPr>
          <w:b/>
          <w:szCs w:val="22"/>
          <w:lang w:val="en-MY"/>
        </w:rPr>
        <w:t>Visual acuity:</w:t>
      </w:r>
      <w:r w:rsidRPr="009D4627">
        <w:rPr>
          <w:bCs/>
          <w:szCs w:val="22"/>
          <w:lang w:val="en-MY"/>
        </w:rPr>
        <w:t xml:space="preserve"> </w:t>
      </w:r>
      <w:r w:rsidRPr="009D4627">
        <w:rPr>
          <w:bCs/>
          <w:szCs w:val="22"/>
          <w:lang w:val="en-MY"/>
        </w:rPr>
        <w:tab/>
        <w:t xml:space="preserve">with glasses </w:t>
      </w:r>
      <w:r w:rsidRPr="009D4627">
        <w:rPr>
          <w:bCs/>
          <w:szCs w:val="22"/>
          <w:lang w:val="en-MY"/>
        </w:rPr>
        <w:tab/>
        <w:t>RE 0.30</w:t>
      </w:r>
      <w:r w:rsidRPr="009D4627">
        <w:rPr>
          <w:bCs/>
          <w:szCs w:val="22"/>
          <w:lang w:val="en-MY"/>
        </w:rPr>
        <w:tab/>
      </w:r>
      <w:r w:rsidRPr="009D4627">
        <w:rPr>
          <w:bCs/>
          <w:szCs w:val="22"/>
          <w:lang w:val="en-MY"/>
        </w:rPr>
        <w:tab/>
        <w:t xml:space="preserve">LE 0.30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0E61DE92" w14:textId="0B0193E0" w:rsidR="00BD37F8" w:rsidRPr="009D4627" w:rsidRDefault="00BD37F8" w:rsidP="00BD37F8">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00E147BE">
        <w:rPr>
          <w:b/>
          <w:szCs w:val="22"/>
          <w:lang w:val="en-MY"/>
        </w:rPr>
        <w:tab/>
      </w:r>
      <w:r w:rsidRPr="009D4627">
        <w:rPr>
          <w:b/>
          <w:szCs w:val="22"/>
          <w:lang w:val="en-MY"/>
        </w:rPr>
        <w:t xml:space="preserve">    </w:t>
      </w:r>
      <w:r w:rsidRPr="009D4627">
        <w:rPr>
          <w:bCs/>
          <w:szCs w:val="22"/>
          <w:lang w:val="en-MY"/>
        </w:rPr>
        <w:t>6/12</w:t>
      </w:r>
      <w:r w:rsidRPr="009D4627">
        <w:rPr>
          <w:bCs/>
          <w:szCs w:val="22"/>
          <w:lang w:val="en-MY"/>
        </w:rPr>
        <w:tab/>
      </w:r>
      <w:r w:rsidRPr="009D4627">
        <w:rPr>
          <w:bCs/>
          <w:szCs w:val="22"/>
          <w:lang w:val="en-MY"/>
        </w:rPr>
        <w:tab/>
      </w:r>
      <w:r w:rsidR="00E147BE">
        <w:rPr>
          <w:bCs/>
          <w:szCs w:val="22"/>
          <w:lang w:val="en-MY"/>
        </w:rPr>
        <w:tab/>
      </w:r>
      <w:r w:rsidRPr="009D4627">
        <w:rPr>
          <w:bCs/>
          <w:szCs w:val="22"/>
          <w:lang w:val="en-MY"/>
        </w:rPr>
        <w:t xml:space="preserve">     6/12 </w:t>
      </w:r>
      <w:r w:rsidRPr="009D4627">
        <w:rPr>
          <w:bCs/>
          <w:szCs w:val="22"/>
          <w:lang w:val="en-MY"/>
        </w:rPr>
        <w:tab/>
        <w:t>Snellen equivalent</w:t>
      </w:r>
    </w:p>
    <w:p w14:paraId="5BA452DD"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p>
    <w:p w14:paraId="4A0BE198"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w:t>
      </w:r>
      <w:r w:rsidRPr="009D4627">
        <w:rPr>
          <w:bCs/>
          <w:szCs w:val="22"/>
          <w:lang w:val="en-MY"/>
        </w:rPr>
        <w:tab/>
        <w:t xml:space="preserve">1/3 m </w:t>
      </w:r>
      <w:r w:rsidRPr="009D4627">
        <w:rPr>
          <w:bCs/>
          <w:szCs w:val="22"/>
          <w:lang w:val="en-MY"/>
        </w:rPr>
        <w:tab/>
        <w:t xml:space="preserve">very </w:t>
      </w:r>
      <w:proofErr w:type="spellStart"/>
      <w:r w:rsidRPr="009D4627">
        <w:rPr>
          <w:bCs/>
          <w:szCs w:val="22"/>
          <w:lang w:val="en-MY"/>
        </w:rPr>
        <w:t>smalll</w:t>
      </w:r>
      <w:proofErr w:type="spellEnd"/>
      <w:r w:rsidRPr="009D4627">
        <w:rPr>
          <w:bCs/>
          <w:szCs w:val="22"/>
          <w:lang w:val="en-MY"/>
        </w:rPr>
        <w:t xml:space="preserve"> X with good recovery</w:t>
      </w:r>
    </w:p>
    <w:p w14:paraId="44DA60FB"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ab/>
      </w:r>
      <w:r w:rsidRPr="009D4627">
        <w:rPr>
          <w:b/>
          <w:szCs w:val="22"/>
          <w:lang w:val="en-MY"/>
        </w:rPr>
        <w:tab/>
      </w:r>
      <w:r w:rsidRPr="009D4627">
        <w:rPr>
          <w:bCs/>
          <w:szCs w:val="22"/>
          <w:lang w:val="en-MY"/>
        </w:rPr>
        <w:tab/>
      </w:r>
      <w:r w:rsidRPr="009D4627">
        <w:rPr>
          <w:bCs/>
          <w:szCs w:val="22"/>
          <w:lang w:val="en-MY"/>
        </w:rPr>
        <w:tab/>
        <w:t>6 m</w:t>
      </w:r>
      <w:r w:rsidRPr="009D4627">
        <w:rPr>
          <w:bCs/>
          <w:szCs w:val="22"/>
          <w:lang w:val="en-MY"/>
        </w:rPr>
        <w:tab/>
        <w:t>very small E with good recovery</w:t>
      </w:r>
    </w:p>
    <w:p w14:paraId="08C75215" w14:textId="77777777" w:rsidR="00BD37F8" w:rsidRPr="009D4627" w:rsidRDefault="00BD37F8" w:rsidP="00BD37F8">
      <w:pPr>
        <w:spacing w:before="0" w:after="0" w:line="240" w:lineRule="auto"/>
        <w:ind w:left="1276" w:hanging="1276"/>
        <w:rPr>
          <w:b/>
          <w:szCs w:val="22"/>
          <w:lang w:val="en-MY"/>
        </w:rPr>
      </w:pPr>
    </w:p>
    <w:p w14:paraId="61A49B63"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Convergence </w:t>
      </w:r>
      <w:r w:rsidRPr="009D4627">
        <w:rPr>
          <w:b/>
          <w:szCs w:val="22"/>
          <w:lang w:val="en-MY"/>
        </w:rPr>
        <w:tab/>
      </w:r>
      <w:r w:rsidRPr="009D4627">
        <w:rPr>
          <w:bCs/>
          <w:szCs w:val="22"/>
          <w:lang w:val="en-MY"/>
        </w:rPr>
        <w:t>with glasses</w:t>
      </w:r>
      <w:r w:rsidRPr="009D4627">
        <w:rPr>
          <w:bCs/>
          <w:szCs w:val="22"/>
          <w:lang w:val="en-MY"/>
        </w:rPr>
        <w:tab/>
        <w:t>binocular to nose</w:t>
      </w:r>
    </w:p>
    <w:p w14:paraId="02EA01CE" w14:textId="77777777" w:rsidR="00BD37F8" w:rsidRPr="009D4627" w:rsidRDefault="00BD37F8" w:rsidP="00BD37F8">
      <w:pPr>
        <w:spacing w:before="0" w:after="0" w:line="240" w:lineRule="auto"/>
        <w:ind w:left="1276" w:hanging="1276"/>
        <w:rPr>
          <w:bCs/>
          <w:szCs w:val="22"/>
          <w:lang w:val="en-MY"/>
        </w:rPr>
      </w:pPr>
    </w:p>
    <w:p w14:paraId="29E5D3D9" w14:textId="77777777" w:rsidR="00DF3144" w:rsidRDefault="00DF3144" w:rsidP="00BD37F8">
      <w:pPr>
        <w:spacing w:before="0" w:after="0" w:line="240" w:lineRule="auto"/>
        <w:rPr>
          <w:b/>
          <w:szCs w:val="22"/>
          <w:lang w:val="en-MY"/>
        </w:rPr>
      </w:pPr>
    </w:p>
    <w:p w14:paraId="32F26A23" w14:textId="77777777" w:rsidR="00DF3144" w:rsidRDefault="00DF3144" w:rsidP="00BD37F8">
      <w:pPr>
        <w:spacing w:before="0" w:after="0" w:line="240" w:lineRule="auto"/>
        <w:rPr>
          <w:b/>
          <w:szCs w:val="22"/>
          <w:lang w:val="en-MY"/>
        </w:rPr>
      </w:pPr>
    </w:p>
    <w:p w14:paraId="2B4FB420" w14:textId="77777777" w:rsidR="00DF3144" w:rsidRDefault="00DF3144" w:rsidP="00BD37F8">
      <w:pPr>
        <w:spacing w:before="0" w:after="0" w:line="240" w:lineRule="auto"/>
        <w:rPr>
          <w:b/>
          <w:szCs w:val="22"/>
          <w:lang w:val="en-MY"/>
        </w:rPr>
      </w:pPr>
    </w:p>
    <w:p w14:paraId="6653F155" w14:textId="18DE82E1" w:rsidR="00BD37F8" w:rsidRPr="009D4627" w:rsidRDefault="00BD37F8" w:rsidP="00BD37F8">
      <w:pPr>
        <w:spacing w:before="0" w:after="0" w:line="240" w:lineRule="auto"/>
        <w:rPr>
          <w:b/>
          <w:szCs w:val="22"/>
          <w:lang w:val="en-MY"/>
        </w:rPr>
      </w:pPr>
      <w:r w:rsidRPr="009D4627">
        <w:rPr>
          <w:b/>
          <w:szCs w:val="22"/>
          <w:lang w:val="en-MY"/>
        </w:rPr>
        <w:t>OMT:</w:t>
      </w:r>
    </w:p>
    <w:p w14:paraId="3D5E3E3F" w14:textId="65792BF1" w:rsidR="00BD37F8" w:rsidRPr="009D4627" w:rsidRDefault="00A2792E" w:rsidP="00BD37F8">
      <w:pPr>
        <w:spacing w:before="0" w:after="0" w:line="240" w:lineRule="auto"/>
        <w:rPr>
          <w:b/>
          <w:szCs w:val="22"/>
          <w:lang w:val="en-MY"/>
        </w:rPr>
      </w:pPr>
      <w:r w:rsidRPr="009D4627">
        <w:rPr>
          <w:noProof/>
        </w:rPr>
        <mc:AlternateContent>
          <mc:Choice Requires="wpg">
            <w:drawing>
              <wp:anchor distT="0" distB="0" distL="114300" distR="114300" simplePos="0" relativeHeight="251764736" behindDoc="0" locked="0" layoutInCell="1" allowOverlap="1" wp14:anchorId="78C80552" wp14:editId="2F36750F">
                <wp:simplePos x="0" y="0"/>
                <wp:positionH relativeFrom="column">
                  <wp:posOffset>666750</wp:posOffset>
                </wp:positionH>
                <wp:positionV relativeFrom="paragraph">
                  <wp:posOffset>170180</wp:posOffset>
                </wp:positionV>
                <wp:extent cx="2838450" cy="716915"/>
                <wp:effectExtent l="0" t="0" r="0" b="6985"/>
                <wp:wrapNone/>
                <wp:docPr id="23394" name="Group 23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716915"/>
                          <a:chOff x="0" y="0"/>
                          <a:chExt cx="28383" cy="7170"/>
                        </a:xfrm>
                      </wpg:grpSpPr>
                      <wps:wsp>
                        <wps:cNvPr id="23395" name="Rectangle 22208"/>
                        <wps:cNvSpPr>
                          <a:spLocks noChangeArrowheads="1"/>
                        </wps:cNvSpPr>
                        <wps:spPr bwMode="auto">
                          <a:xfrm>
                            <a:off x="0" y="1524"/>
                            <a:ext cx="7664" cy="4191"/>
                          </a:xfrm>
                          <a:prstGeom prst="rect">
                            <a:avLst/>
                          </a:prstGeom>
                          <a:noFill/>
                          <a:ln>
                            <a:noFill/>
                          </a:ln>
                        </wps:spPr>
                        <wps:txbx>
                          <w:txbxContent>
                            <w:p w14:paraId="09A15429" w14:textId="77777777" w:rsidR="00BD37F8"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D(&gt;6m)</w:t>
                              </w:r>
                              <w:r>
                                <w:rPr>
                                  <w:rFonts w:asciiTheme="minorHAnsi" w:hAnsiTheme="minorHAnsi"/>
                                  <w:sz w:val="20"/>
                                  <w:szCs w:val="20"/>
                                  <w:lang w:val="en-US"/>
                                </w:rPr>
                                <w:tab/>
                                <w:t>= -1</w:t>
                              </w:r>
                            </w:p>
                            <w:p w14:paraId="0D2655A1"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 xml:space="preserve">D = -½      </w:t>
                              </w:r>
                            </w:p>
                          </w:txbxContent>
                        </wps:txbx>
                        <wps:bodyPr rot="0" vert="horz" wrap="square" lIns="0" tIns="0" rIns="0" bIns="0" anchor="ctr" anchorCtr="0" upright="1">
                          <a:noAutofit/>
                        </wps:bodyPr>
                      </wps:wsp>
                      <wpg:grpSp>
                        <wpg:cNvPr id="23396" name="Group 22209"/>
                        <wpg:cNvGrpSpPr>
                          <a:grpSpLocks/>
                        </wpg:cNvGrpSpPr>
                        <wpg:grpSpPr bwMode="auto">
                          <a:xfrm>
                            <a:off x="7143" y="0"/>
                            <a:ext cx="21240" cy="7170"/>
                            <a:chOff x="0" y="0"/>
                            <a:chExt cx="21239" cy="7170"/>
                          </a:xfrm>
                        </wpg:grpSpPr>
                        <wpg:grpSp>
                          <wpg:cNvPr id="23397" name="Group 22210"/>
                          <wpg:cNvGrpSpPr>
                            <a:grpSpLocks/>
                          </wpg:cNvGrpSpPr>
                          <wpg:grpSpPr bwMode="auto">
                            <a:xfrm>
                              <a:off x="95" y="1428"/>
                              <a:ext cx="965" cy="4350"/>
                              <a:chOff x="0" y="0"/>
                              <a:chExt cx="97154" cy="434975"/>
                            </a:xfrm>
                          </wpg:grpSpPr>
                          <wps:wsp>
                            <wps:cNvPr id="23398" name="Straight Connector 22211"/>
                            <wps:cNvCnPr>
                              <a:cxnSpLocks noChangeShapeType="1"/>
                            </wps:cNvCnPr>
                            <wps:spPr bwMode="auto">
                              <a:xfrm flipH="1">
                                <a:off x="95250" y="0"/>
                                <a:ext cx="0" cy="434975"/>
                              </a:xfrm>
                              <a:prstGeom prst="line">
                                <a:avLst/>
                              </a:prstGeom>
                              <a:noFill/>
                              <a:ln w="19050">
                                <a:solidFill>
                                  <a:schemeClr val="tx1">
                                    <a:lumMod val="100000"/>
                                    <a:lumOff val="0"/>
                                  </a:schemeClr>
                                </a:solidFill>
                                <a:miter lim="800000"/>
                                <a:headEnd/>
                                <a:tailEnd/>
                              </a:ln>
                            </wps:spPr>
                            <wps:bodyPr/>
                          </wps:wsp>
                          <wpg:grpSp>
                            <wpg:cNvPr id="23399" name="Group 22212"/>
                            <wpg:cNvGrpSpPr>
                              <a:grpSpLocks/>
                            </wpg:cNvGrpSpPr>
                            <wpg:grpSpPr bwMode="auto">
                              <a:xfrm>
                                <a:off x="0" y="0"/>
                                <a:ext cx="97154" cy="419773"/>
                                <a:chOff x="0" y="0"/>
                                <a:chExt cx="97154" cy="419773"/>
                              </a:xfrm>
                            </wpg:grpSpPr>
                            <wps:wsp>
                              <wps:cNvPr id="23400" name="Straight Connector 22213"/>
                              <wps:cNvCnPr>
                                <a:cxnSpLocks noChangeShapeType="1"/>
                              </wps:cNvCnPr>
                              <wps:spPr bwMode="auto">
                                <a:xfrm flipH="1">
                                  <a:off x="19050" y="228600"/>
                                  <a:ext cx="70658" cy="137775"/>
                                </a:xfrm>
                                <a:prstGeom prst="line">
                                  <a:avLst/>
                                </a:prstGeom>
                                <a:noFill/>
                                <a:ln w="19050">
                                  <a:solidFill>
                                    <a:schemeClr val="tx1">
                                      <a:lumMod val="100000"/>
                                      <a:lumOff val="0"/>
                                    </a:schemeClr>
                                  </a:solidFill>
                                  <a:miter lim="800000"/>
                                  <a:headEnd/>
                                  <a:tailEnd/>
                                </a:ln>
                              </wps:spPr>
                              <wps:bodyPr/>
                            </wps:wsp>
                            <wps:wsp>
                              <wps:cNvPr id="23401" name="Straight Connector 22214"/>
                              <wps:cNvCnPr>
                                <a:cxnSpLocks noChangeShapeType="1"/>
                              </wps:cNvCnPr>
                              <wps:spPr bwMode="auto">
                                <a:xfrm flipH="1">
                                  <a:off x="0" y="104775"/>
                                  <a:ext cx="97154" cy="152148"/>
                                </a:xfrm>
                                <a:prstGeom prst="line">
                                  <a:avLst/>
                                </a:prstGeom>
                                <a:noFill/>
                                <a:ln w="19050">
                                  <a:solidFill>
                                    <a:schemeClr val="tx1">
                                      <a:lumMod val="100000"/>
                                      <a:lumOff val="0"/>
                                    </a:schemeClr>
                                  </a:solidFill>
                                  <a:miter lim="800000"/>
                                  <a:headEnd/>
                                  <a:tailEnd/>
                                </a:ln>
                              </wps:spPr>
                              <wps:bodyPr/>
                            </wps:wsp>
                            <wps:wsp>
                              <wps:cNvPr id="23402" name="Straight Connector 22215"/>
                              <wps:cNvCnPr>
                                <a:cxnSpLocks noChangeShapeType="1"/>
                              </wps:cNvCnPr>
                              <wps:spPr bwMode="auto">
                                <a:xfrm flipH="1">
                                  <a:off x="0" y="0"/>
                                  <a:ext cx="92738" cy="152277"/>
                                </a:xfrm>
                                <a:prstGeom prst="line">
                                  <a:avLst/>
                                </a:prstGeom>
                                <a:noFill/>
                                <a:ln w="19050">
                                  <a:solidFill>
                                    <a:schemeClr val="tx1">
                                      <a:lumMod val="100000"/>
                                      <a:lumOff val="0"/>
                                    </a:schemeClr>
                                  </a:solidFill>
                                  <a:miter lim="800000"/>
                                  <a:headEnd/>
                                  <a:tailEnd/>
                                </a:ln>
                              </wps:spPr>
                              <wps:bodyPr/>
                            </wps:wsp>
                            <wps:wsp>
                              <wps:cNvPr id="23403" name="Straight Connector 22216"/>
                              <wps:cNvCnPr>
                                <a:cxnSpLocks noChangeShapeType="1"/>
                              </wps:cNvCnPr>
                              <wps:spPr bwMode="auto">
                                <a:xfrm flipH="1">
                                  <a:off x="57150" y="323850"/>
                                  <a:ext cx="35329" cy="95923"/>
                                </a:xfrm>
                                <a:prstGeom prst="line">
                                  <a:avLst/>
                                </a:prstGeom>
                                <a:noFill/>
                                <a:ln w="19050">
                                  <a:solidFill>
                                    <a:schemeClr val="tx1">
                                      <a:lumMod val="100000"/>
                                      <a:lumOff val="0"/>
                                    </a:schemeClr>
                                  </a:solidFill>
                                  <a:miter lim="800000"/>
                                  <a:headEnd/>
                                  <a:tailEnd/>
                                </a:ln>
                              </wps:spPr>
                              <wps:bodyPr/>
                            </wps:wsp>
                          </wpg:grpSp>
                        </wpg:grpSp>
                        <wpg:grpSp>
                          <wpg:cNvPr id="23404" name="Group 22217"/>
                          <wpg:cNvGrpSpPr>
                            <a:grpSpLocks/>
                          </wpg:cNvGrpSpPr>
                          <wpg:grpSpPr bwMode="auto">
                            <a:xfrm>
                              <a:off x="0" y="0"/>
                              <a:ext cx="21239" cy="7170"/>
                              <a:chOff x="0" y="0"/>
                              <a:chExt cx="21239" cy="7170"/>
                            </a:xfrm>
                          </wpg:grpSpPr>
                          <wps:wsp>
                            <wps:cNvPr id="23405" name="Oval 22218"/>
                            <wps:cNvSpPr>
                              <a:spLocks noChangeArrowheads="1"/>
                            </wps:cNvSpPr>
                            <wps:spPr bwMode="auto">
                              <a:xfrm>
                                <a:off x="0" y="0"/>
                                <a:ext cx="9142" cy="7170"/>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3406" name="Oval 22219"/>
                            <wps:cNvSpPr>
                              <a:spLocks noChangeArrowheads="1"/>
                            </wps:cNvSpPr>
                            <wps:spPr bwMode="auto">
                              <a:xfrm>
                                <a:off x="12096" y="0"/>
                                <a:ext cx="9143" cy="7165"/>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78C80552" id="Group 23394" o:spid="_x0000_s2005" style="position:absolute;left:0;text-align:left;margin-left:52.5pt;margin-top:13.4pt;width:223.5pt;height:56.45pt;z-index:251764736;mso-position-horizontal-relative:text;mso-position-vertical-relative:text" coordsize="28383,7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">
                <v:rect id="Rectangle 22208" o:spid="_x0000_s2006" style="position:absolute;top:1524;width:7664;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" filled="f" stroked="f">
                  <v:textbox inset="0,0,0,0">
                    <w:txbxContent>
                      <w:p w14:paraId="09A15429" w14:textId="77777777" w:rsidR="00BD37F8"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D(&gt;6m)</w:t>
                        </w:r>
                        <w:r>
                          <w:rPr>
                            <w:rFonts w:asciiTheme="minorHAnsi" w:hAnsiTheme="minorHAnsi"/>
                            <w:sz w:val="20"/>
                            <w:szCs w:val="20"/>
                            <w:lang w:val="en-US"/>
                          </w:rPr>
                          <w:tab/>
                          <w:t>= -1</w:t>
                        </w:r>
                      </w:p>
                      <w:p w14:paraId="0D2655A1"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 xml:space="preserve">D = -½      </w:t>
                        </w:r>
                      </w:p>
                    </w:txbxContent>
                  </v:textbox>
                </v:rect>
                <v:group id="Group 22209" o:spid="_x0000_s2007" style="position:absolute;left:7143;width:21240;height:7170" coordsize="21239,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">
                  <v:group id="Group 22210" o:spid="_x0000_s2008" style="position:absolute;left:95;top:1428;width:965;height:4350" coordsize="97154,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">
                    <v:line id="Straight Connector 22211" o:spid="_x0000_s2009" style="position:absolute;flip:x;visibility:visible;mso-wrap-style:square" from="95250,0" to="95250,4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" strokecolor="black [3213]" strokeweight="1.5pt">
                      <v:stroke joinstyle="miter"/>
                    </v:line>
                    <v:group id="Group 22212" o:spid="_x0000_s2010" style="position:absolute;width:97154;height:419773" coordsize="97154,419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">
                      <v:line id="Straight Connector 22213" o:spid="_x0000_s2011" style="position:absolute;flip:x;visibility:visible;mso-wrap-style:square" from="19050,228600" to="89708,366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" strokecolor="black [3213]" strokeweight="1.5pt">
                        <v:stroke joinstyle="miter"/>
                      </v:line>
                      <v:line id="Straight Connector 22214" o:spid="_x0000_s2012" style="position:absolute;flip:x;visibility:visible;mso-wrap-style:square" from="0,104775" to="97154,256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" strokecolor="black [3213]" strokeweight="1.5pt">
                        <v:stroke joinstyle="miter"/>
                      </v:line>
                      <v:line id="Straight Connector 22215" o:spid="_x0000_s2013" style="position:absolute;flip:x;visibility:visible;mso-wrap-style:square" from="0,0" to="92738,15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" strokecolor="black [3213]" strokeweight="1.5pt">
                        <v:stroke joinstyle="miter"/>
                      </v:line>
                      <v:line id="Straight Connector 22216" o:spid="_x0000_s2014" style="position:absolute;flip:x;visibility:visible;mso-wrap-style:square" from="57150,323850" to="92479,419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" strokecolor="black [3213]" strokeweight="1.5pt">
                        <v:stroke joinstyle="miter"/>
                      </v:line>
                    </v:group>
                  </v:group>
                  <v:group id="Group 22217" o:spid="_x0000_s2015" style="position:absolute;width:21239;height:7170" coordsize="21239,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">
                    <v:oval id="Oval 22218" o:spid="_x0000_s2016" style="position:absolute;width:9142;height:7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" filled="f" strokecolor="black [1600]" strokeweight="1pt">
                      <v:stroke joinstyle="miter"/>
                    </v:oval>
                    <v:oval id="Oval 22219" o:spid="_x0000_s2017" style="position:absolute;left:12096;width:9143;height:7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" filled="f" strokecolor="black [1600]" strokeweight="1pt">
                      <v:stroke joinstyle="miter"/>
                    </v:oval>
                  </v:group>
                </v:group>
              </v:group>
            </w:pict>
          </mc:Fallback>
        </mc:AlternateContent>
      </w:r>
    </w:p>
    <w:p w14:paraId="6386C4BC" w14:textId="77777777" w:rsidR="00BD37F8" w:rsidRPr="009D4627" w:rsidRDefault="00BD37F8" w:rsidP="00BD37F8">
      <w:pPr>
        <w:spacing w:before="0" w:after="0" w:line="240" w:lineRule="auto"/>
        <w:rPr>
          <w:b/>
          <w:szCs w:val="22"/>
          <w:lang w:val="en-MY"/>
        </w:rPr>
      </w:pPr>
    </w:p>
    <w:p w14:paraId="443655EF" w14:textId="77777777" w:rsidR="00BD37F8" w:rsidRPr="009D4627" w:rsidRDefault="00BD37F8" w:rsidP="00BD37F8">
      <w:pPr>
        <w:spacing w:before="0" w:after="0" w:line="240" w:lineRule="auto"/>
        <w:rPr>
          <w:b/>
          <w:szCs w:val="22"/>
          <w:lang w:val="en-MY"/>
        </w:rPr>
      </w:pPr>
    </w:p>
    <w:p w14:paraId="738B9267" w14:textId="77777777" w:rsidR="00BD37F8" w:rsidRPr="009D4627" w:rsidRDefault="00BD37F8" w:rsidP="00BD37F8">
      <w:pPr>
        <w:spacing w:before="0" w:after="0" w:line="240" w:lineRule="auto"/>
        <w:rPr>
          <w:b/>
          <w:szCs w:val="22"/>
          <w:lang w:val="en-MY"/>
        </w:rPr>
      </w:pPr>
    </w:p>
    <w:p w14:paraId="4C7C7ECA" w14:textId="77777777" w:rsidR="00BD37F8" w:rsidRPr="009D4627" w:rsidRDefault="00BD37F8" w:rsidP="00BD37F8">
      <w:pPr>
        <w:spacing w:before="0" w:after="0" w:line="240" w:lineRule="auto"/>
        <w:rPr>
          <w:b/>
          <w:szCs w:val="22"/>
          <w:lang w:val="en-MY"/>
        </w:rPr>
      </w:pPr>
    </w:p>
    <w:p w14:paraId="5F18F182" w14:textId="77777777" w:rsidR="00BD37F8" w:rsidRPr="009D4627" w:rsidRDefault="00BD37F8" w:rsidP="00BD37F8">
      <w:pPr>
        <w:spacing w:before="0" w:after="0" w:line="240" w:lineRule="auto"/>
        <w:rPr>
          <w:b/>
          <w:szCs w:val="22"/>
          <w:lang w:val="en-MY"/>
        </w:rPr>
      </w:pPr>
    </w:p>
    <w:p w14:paraId="341C304D" w14:textId="77777777" w:rsidR="00DF3144" w:rsidRDefault="00DF3144" w:rsidP="00BD37F8">
      <w:pPr>
        <w:spacing w:before="0" w:after="0" w:line="240" w:lineRule="auto"/>
        <w:ind w:left="1276" w:hanging="1276"/>
        <w:rPr>
          <w:b/>
          <w:szCs w:val="22"/>
          <w:lang w:val="en-MY"/>
        </w:rPr>
      </w:pPr>
    </w:p>
    <w:p w14:paraId="5AF5F82B" w14:textId="2BBE06EB"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PCT: </w:t>
      </w:r>
      <w:r w:rsidRPr="009D4627">
        <w:rPr>
          <w:bCs/>
          <w:szCs w:val="22"/>
          <w:lang w:val="en-MY"/>
        </w:rPr>
        <w:tab/>
        <w:t xml:space="preserve">with glasses </w:t>
      </w:r>
      <w:r w:rsidRPr="009D4627">
        <w:rPr>
          <w:bCs/>
          <w:szCs w:val="22"/>
          <w:lang w:val="en-MY"/>
        </w:rPr>
        <w:tab/>
        <w:t xml:space="preserve">1/3 m </w:t>
      </w:r>
      <w:r w:rsidRPr="009D4627">
        <w:rPr>
          <w:bCs/>
          <w:szCs w:val="22"/>
          <w:lang w:val="en-MY"/>
        </w:rPr>
        <w:tab/>
        <w:t>1-2</w:t>
      </w:r>
      <w:r w:rsidRPr="009D4627">
        <w:rPr>
          <w:bCs/>
          <w:szCs w:val="22"/>
          <w:vertAlign w:val="superscript"/>
          <w:lang w:val="en-MY"/>
        </w:rPr>
        <w:t>Δ</w:t>
      </w:r>
      <w:r w:rsidRPr="009D4627">
        <w:rPr>
          <w:bCs/>
          <w:szCs w:val="22"/>
          <w:lang w:val="en-MY"/>
        </w:rPr>
        <w:t xml:space="preserve"> X </w:t>
      </w:r>
    </w:p>
    <w:p w14:paraId="293E71B3" w14:textId="77777777" w:rsidR="00BD37F8" w:rsidRPr="009D4627" w:rsidRDefault="00BD37F8" w:rsidP="00BD37F8">
      <w:pPr>
        <w:spacing w:before="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t>6 m      5</w:t>
      </w:r>
      <w:r w:rsidRPr="009D4627">
        <w:rPr>
          <w:bCs/>
          <w:szCs w:val="22"/>
          <w:vertAlign w:val="superscript"/>
          <w:lang w:val="en-MY"/>
        </w:rPr>
        <w:t xml:space="preserve">Δ </w:t>
      </w:r>
      <w:r w:rsidRPr="009D4627">
        <w:rPr>
          <w:bCs/>
          <w:szCs w:val="22"/>
          <w:lang w:val="en-MY"/>
        </w:rPr>
        <w:t>RET</w:t>
      </w:r>
      <w:r w:rsidRPr="009D4627">
        <w:rPr>
          <w:bCs/>
          <w:szCs w:val="22"/>
          <w:vertAlign w:val="superscript"/>
          <w:lang w:val="en-MY"/>
        </w:rPr>
        <w:t xml:space="preserve"> </w:t>
      </w:r>
      <w:r w:rsidRPr="009D4627">
        <w:rPr>
          <w:bCs/>
          <w:szCs w:val="22"/>
          <w:lang w:val="en-MY"/>
        </w:rPr>
        <w:sym w:font="Wingdings" w:char="F0DF"/>
      </w:r>
      <w:r w:rsidRPr="009D4627">
        <w:rPr>
          <w:bCs/>
          <w:szCs w:val="22"/>
          <w:lang w:val="en-MY"/>
        </w:rPr>
        <w:t xml:space="preserve"> 2</w:t>
      </w:r>
      <w:r w:rsidRPr="009D4627">
        <w:rPr>
          <w:bCs/>
          <w:szCs w:val="22"/>
          <w:vertAlign w:val="superscript"/>
          <w:lang w:val="en-MY"/>
        </w:rPr>
        <w:t xml:space="preserve">Δ </w:t>
      </w:r>
      <w:r w:rsidRPr="009D4627">
        <w:rPr>
          <w:bCs/>
          <w:szCs w:val="22"/>
          <w:lang w:val="en-MY"/>
        </w:rPr>
        <w:t xml:space="preserve">E </w:t>
      </w:r>
      <w:r w:rsidRPr="009D4627">
        <w:rPr>
          <w:bCs/>
          <w:szCs w:val="22"/>
          <w:lang w:val="en-MY"/>
        </w:rPr>
        <w:sym w:font="Wingdings" w:char="F0E0"/>
      </w:r>
      <w:r w:rsidRPr="009D4627">
        <w:rPr>
          <w:bCs/>
          <w:szCs w:val="22"/>
          <w:lang w:val="en-MY"/>
        </w:rPr>
        <w:t xml:space="preserve"> 1</w:t>
      </w:r>
      <w:r w:rsidRPr="009D4627">
        <w:rPr>
          <w:bCs/>
          <w:szCs w:val="22"/>
          <w:vertAlign w:val="superscript"/>
          <w:lang w:val="en-MY"/>
        </w:rPr>
        <w:t>Δ</w:t>
      </w:r>
      <w:r w:rsidRPr="009D4627">
        <w:rPr>
          <w:bCs/>
          <w:szCs w:val="22"/>
          <w:lang w:val="en-MY"/>
        </w:rPr>
        <w:t xml:space="preserve"> E</w:t>
      </w:r>
    </w:p>
    <w:p w14:paraId="5B9C9EF7" w14:textId="77777777" w:rsidR="00BD37F8" w:rsidRPr="009D4627" w:rsidRDefault="00BD37F8" w:rsidP="00BD37F8">
      <w:pPr>
        <w:spacing w:before="0" w:after="0" w:line="240" w:lineRule="auto"/>
        <w:rPr>
          <w:bCs/>
          <w:szCs w:val="22"/>
          <w:lang w:val="en-MY"/>
        </w:rPr>
      </w:pPr>
      <w:r w:rsidRPr="009D4627">
        <w:rPr>
          <w:b/>
          <w:szCs w:val="22"/>
          <w:lang w:val="en-MY"/>
        </w:rPr>
        <w:t>Frisby:</w:t>
      </w:r>
      <w:r w:rsidRPr="009D4627">
        <w:rPr>
          <w:b/>
          <w:szCs w:val="22"/>
          <w:lang w:val="en-MY"/>
        </w:rPr>
        <w:tab/>
      </w:r>
      <w:r w:rsidRPr="009D4627">
        <w:rPr>
          <w:bCs/>
          <w:szCs w:val="22"/>
          <w:lang w:val="en-MY"/>
        </w:rPr>
        <w:tab/>
        <w:t>with glasses 340”</w:t>
      </w:r>
    </w:p>
    <w:p w14:paraId="228B59C0" w14:textId="77777777" w:rsidR="00BD37F8" w:rsidRPr="009D4627" w:rsidRDefault="00BD37F8" w:rsidP="00BD37F8">
      <w:pPr>
        <w:spacing w:before="0" w:after="0" w:line="240" w:lineRule="auto"/>
        <w:rPr>
          <w:b/>
          <w:szCs w:val="22"/>
          <w:lang w:val="en-MY"/>
        </w:rPr>
      </w:pPr>
    </w:p>
    <w:p w14:paraId="56FEE36E" w14:textId="77777777" w:rsidR="00BD37F8" w:rsidRPr="009D4627" w:rsidRDefault="00BD37F8" w:rsidP="00BD37F8">
      <w:pPr>
        <w:spacing w:before="0" w:after="0" w:line="240" w:lineRule="auto"/>
        <w:ind w:left="2160" w:hanging="2160"/>
        <w:rPr>
          <w:b/>
          <w:bCs/>
          <w:szCs w:val="22"/>
          <w:lang w:val="en-MY"/>
        </w:rPr>
      </w:pPr>
      <w:r w:rsidRPr="009D4627">
        <w:rPr>
          <w:b/>
          <w:bCs/>
          <w:szCs w:val="22"/>
          <w:lang w:val="en-MY"/>
        </w:rPr>
        <w:t xml:space="preserve">Assessment &amp; plan: </w:t>
      </w:r>
      <w:r w:rsidRPr="009D4627">
        <w:rPr>
          <w:b/>
          <w:bCs/>
          <w:szCs w:val="22"/>
          <w:lang w:val="en-MY"/>
        </w:rPr>
        <w:tab/>
      </w:r>
    </w:p>
    <w:p w14:paraId="0B67D425" w14:textId="77777777" w:rsidR="00BD37F8" w:rsidRPr="009D4627" w:rsidRDefault="00BD37F8" w:rsidP="00C171FA">
      <w:pPr>
        <w:pStyle w:val="ListParagraph"/>
        <w:numPr>
          <w:ilvl w:val="0"/>
          <w:numId w:val="103"/>
        </w:numPr>
        <w:spacing w:before="0" w:after="0" w:line="240" w:lineRule="auto"/>
        <w:jc w:val="left"/>
        <w:rPr>
          <w:szCs w:val="22"/>
          <w:lang w:val="en-MY"/>
        </w:rPr>
      </w:pPr>
      <w:r w:rsidRPr="009D4627">
        <w:rPr>
          <w:szCs w:val="22"/>
          <w:lang w:val="en-MY"/>
        </w:rPr>
        <w:t>R sixth nerve palsy – resolving</w:t>
      </w:r>
    </w:p>
    <w:p w14:paraId="0AF9DD83" w14:textId="77777777" w:rsidR="00DF3144" w:rsidRDefault="00BD37F8" w:rsidP="00730570">
      <w:pPr>
        <w:pStyle w:val="ListParagraph"/>
        <w:numPr>
          <w:ilvl w:val="0"/>
          <w:numId w:val="103"/>
        </w:numPr>
        <w:spacing w:before="0" w:after="0" w:line="240" w:lineRule="auto"/>
        <w:jc w:val="left"/>
        <w:rPr>
          <w:szCs w:val="22"/>
          <w:lang w:val="en-MY"/>
        </w:rPr>
      </w:pPr>
      <w:r w:rsidRPr="009D4627">
        <w:rPr>
          <w:szCs w:val="22"/>
          <w:lang w:val="en-MY"/>
        </w:rPr>
        <w:t>No need for occlusion or ∆</w:t>
      </w:r>
    </w:p>
    <w:p w14:paraId="058C97B4" w14:textId="63FDC75C" w:rsidR="004D28C6" w:rsidRPr="00DF3144" w:rsidRDefault="00BD37F8" w:rsidP="00730570">
      <w:pPr>
        <w:pStyle w:val="ListParagraph"/>
        <w:numPr>
          <w:ilvl w:val="0"/>
          <w:numId w:val="103"/>
        </w:numPr>
        <w:spacing w:before="0" w:after="0" w:line="240" w:lineRule="auto"/>
        <w:jc w:val="left"/>
        <w:rPr>
          <w:szCs w:val="22"/>
          <w:lang w:val="en-MY"/>
        </w:rPr>
        <w:sectPr w:rsidR="004D28C6" w:rsidRPr="00DF3144" w:rsidSect="00477959">
          <w:headerReference w:type="default" r:id="rId285"/>
          <w:pgSz w:w="11906" w:h="16838" w:code="9"/>
          <w:pgMar w:top="1440" w:right="1440" w:bottom="1440" w:left="1440" w:header="708" w:footer="708" w:gutter="0"/>
          <w:cols w:space="708"/>
          <w:docGrid w:linePitch="360"/>
        </w:sectPr>
      </w:pPr>
      <w:r w:rsidRPr="009D4627">
        <w:t>Discharge</w:t>
      </w:r>
      <w:bookmarkStart w:id="667" w:name="_Hlk69898762"/>
      <w:bookmarkEnd w:id="663"/>
      <w:bookmarkEnd w:id="664"/>
      <w:bookmarkEnd w:id="666"/>
    </w:p>
    <w:p w14:paraId="543AC768" w14:textId="3688F81D" w:rsidR="00E147BE" w:rsidRDefault="00565A8C" w:rsidP="00C4130D">
      <w:pPr>
        <w:pStyle w:val="Caption"/>
        <w:rPr>
          <w:sz w:val="36"/>
          <w:szCs w:val="36"/>
        </w:rPr>
      </w:pPr>
      <w:bookmarkStart w:id="668" w:name="_Toc99356738"/>
      <w:bookmarkStart w:id="669" w:name="_Toc73355028"/>
      <w:bookmarkEnd w:id="667"/>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6</w:t>
      </w:r>
      <w:r w:rsidR="002E63E9" w:rsidRPr="009D4627">
        <w:rPr>
          <w:noProof/>
        </w:rPr>
        <w:fldChar w:fldCharType="end"/>
      </w:r>
      <w:r w:rsidRPr="009D4627">
        <w:t xml:space="preserve">: </w:t>
      </w:r>
      <w:r w:rsidR="008E22F8" w:rsidRPr="009D4627">
        <w:t>Patient ID: 6</w:t>
      </w:r>
      <w:bookmarkEnd w:id="668"/>
      <w:r w:rsidR="008E22F8" w:rsidRPr="009D4627">
        <w:rPr>
          <w:sz w:val="36"/>
          <w:szCs w:val="36"/>
        </w:rPr>
        <w:t xml:space="preserve"> </w:t>
      </w:r>
      <w:r w:rsidR="002312ED">
        <w:rPr>
          <w:sz w:val="36"/>
          <w:szCs w:val="36"/>
        </w:rPr>
        <w:t xml:space="preserve">            </w:t>
      </w:r>
    </w:p>
    <w:p w14:paraId="2BC525CA" w14:textId="77777777" w:rsidR="00E147BE" w:rsidRDefault="008E22F8" w:rsidP="00C4130D">
      <w:pPr>
        <w:pStyle w:val="Caption"/>
      </w:pPr>
      <w:r w:rsidRPr="009D4627">
        <w:t>Birth month/year</w:t>
      </w:r>
      <w:r w:rsidRPr="009D4627">
        <w:rPr>
          <w:b/>
        </w:rPr>
        <w:t>:</w:t>
      </w:r>
      <w:r w:rsidRPr="009D4627">
        <w:t xml:space="preserve"> 08/1950</w:t>
      </w:r>
      <w:r w:rsidRPr="009D4627">
        <w:tab/>
      </w:r>
      <w:r w:rsidRPr="009D4627">
        <w:tab/>
      </w:r>
      <w:r w:rsidR="002312ED">
        <w:t xml:space="preserve">     </w:t>
      </w:r>
    </w:p>
    <w:p w14:paraId="5C4AFD3D" w14:textId="6E00B24D" w:rsidR="008E22F8" w:rsidRPr="009D4627" w:rsidRDefault="008E22F8" w:rsidP="00C4130D">
      <w:pPr>
        <w:pStyle w:val="Caption"/>
      </w:pPr>
      <w:r w:rsidRPr="009D4627">
        <w:t>Age: 68 at onset</w:t>
      </w:r>
    </w:p>
    <w:p w14:paraId="43E1FEE7" w14:textId="77777777" w:rsidR="008E22F8" w:rsidRPr="009D4627" w:rsidRDefault="008E22F8" w:rsidP="008E22F8">
      <w:pPr>
        <w:spacing w:before="0" w:after="0" w:line="240" w:lineRule="auto"/>
        <w:rPr>
          <w:rFonts w:eastAsia="Calibri"/>
          <w:b/>
          <w:color w:val="000000"/>
          <w:szCs w:val="22"/>
          <w:u w:val="single"/>
          <w:lang w:val="en-MY"/>
        </w:rPr>
      </w:pPr>
    </w:p>
    <w:p w14:paraId="4FFCB36B" w14:textId="77777777" w:rsidR="008E22F8" w:rsidRPr="009D4627" w:rsidRDefault="008E22F8" w:rsidP="008E22F8">
      <w:pPr>
        <w:spacing w:before="0" w:after="0"/>
        <w:rPr>
          <w:rFonts w:eastAsia="Calibri"/>
          <w:color w:val="auto"/>
          <w:u w:val="single"/>
          <w:lang w:eastAsia="en-MY"/>
        </w:rPr>
      </w:pPr>
      <w:r w:rsidRPr="009D4627">
        <w:rPr>
          <w:rFonts w:eastAsia="Calibri"/>
          <w:b/>
          <w:color w:val="000000"/>
          <w:szCs w:val="22"/>
          <w:u w:val="single"/>
          <w:lang w:val="en-MY"/>
        </w:rPr>
        <w:t>Clinical visit 1</w:t>
      </w:r>
      <w:r w:rsidRPr="009D4627">
        <w:rPr>
          <w:rFonts w:eastAsia="Calibri"/>
          <w:b/>
          <w:color w:val="auto"/>
          <w:u w:val="single"/>
          <w:lang w:eastAsia="en-MY"/>
        </w:rPr>
        <w:t xml:space="preserve">: </w:t>
      </w:r>
      <w:r w:rsidRPr="009D4627">
        <w:rPr>
          <w:rFonts w:eastAsia="Calibri"/>
          <w:color w:val="auto"/>
          <w:u w:val="single"/>
          <w:lang w:eastAsia="en-MY"/>
        </w:rPr>
        <w:t xml:space="preserve">22/11/2018 </w:t>
      </w:r>
      <w:r w:rsidRPr="009D4627">
        <w:rPr>
          <w:rFonts w:eastAsia="Calibri"/>
          <w:bCs/>
          <w:color w:val="000000"/>
          <w:szCs w:val="22"/>
          <w:u w:val="single"/>
          <w:lang w:val="en-MY"/>
        </w:rPr>
        <w:t>(3 days post-</w:t>
      </w:r>
      <w:r w:rsidRPr="009D4627">
        <w:rPr>
          <w:rFonts w:eastAsia="Calibri"/>
          <w:bCs/>
          <w:color w:val="auto"/>
          <w:szCs w:val="22"/>
          <w:u w:val="single"/>
          <w:lang w:val="en-MY"/>
        </w:rPr>
        <w:t>onset</w:t>
      </w:r>
      <w:r w:rsidRPr="009D4627">
        <w:rPr>
          <w:rFonts w:eastAsia="Calibri"/>
          <w:bCs/>
          <w:color w:val="000000"/>
          <w:szCs w:val="22"/>
          <w:u w:val="single"/>
          <w:lang w:val="en-MY"/>
        </w:rPr>
        <w:t>) - Orthoptic assessment</w:t>
      </w:r>
    </w:p>
    <w:p w14:paraId="2C7BDEFF" w14:textId="77777777" w:rsidR="008E22F8" w:rsidRPr="009D4627" w:rsidRDefault="008E22F8" w:rsidP="008E22F8">
      <w:pPr>
        <w:spacing w:before="0" w:after="0" w:line="240" w:lineRule="auto"/>
        <w:ind w:left="851" w:hanging="851"/>
        <w:rPr>
          <w:rFonts w:eastAsia="Calibri"/>
          <w:color w:val="auto"/>
          <w:lang w:eastAsia="en-MY"/>
        </w:rPr>
      </w:pPr>
      <w:r w:rsidRPr="009D4627">
        <w:rPr>
          <w:rFonts w:eastAsia="Calibri"/>
          <w:b/>
          <w:color w:val="auto"/>
          <w:lang w:eastAsia="en-MY"/>
        </w:rPr>
        <w:t xml:space="preserve">History: </w:t>
      </w:r>
      <w:r w:rsidRPr="009D4627">
        <w:rPr>
          <w:rFonts w:eastAsia="Calibri"/>
          <w:color w:val="auto"/>
          <w:lang w:eastAsia="en-MY"/>
        </w:rPr>
        <w:t>c/o constant horizontal diplopia for the past 3/7. Sudden onset, also headache for the same length of time.</w:t>
      </w:r>
    </w:p>
    <w:p w14:paraId="2726AF49" w14:textId="77777777" w:rsidR="008E22F8" w:rsidRPr="009D4627" w:rsidRDefault="008E22F8" w:rsidP="008E22F8">
      <w:pPr>
        <w:spacing w:before="0" w:after="0" w:line="240" w:lineRule="auto"/>
        <w:rPr>
          <w:rFonts w:eastAsia="Calibri"/>
          <w:b/>
          <w:color w:val="auto"/>
          <w:lang w:eastAsia="en-MY"/>
        </w:rPr>
      </w:pPr>
    </w:p>
    <w:p w14:paraId="121F4469"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 xml:space="preserve">Previous treatment: </w:t>
      </w:r>
      <w:r w:rsidRPr="009D4627">
        <w:rPr>
          <w:rFonts w:eastAsia="Calibri"/>
          <w:color w:val="auto"/>
          <w:lang w:eastAsia="en-MY"/>
        </w:rPr>
        <w:t>No treatment apart from his distance glasses.</w:t>
      </w:r>
    </w:p>
    <w:p w14:paraId="54902F29" w14:textId="77777777" w:rsidR="008E22F8" w:rsidRPr="009D4627" w:rsidRDefault="008E22F8" w:rsidP="008E22F8">
      <w:pPr>
        <w:spacing w:before="0" w:after="0" w:line="240" w:lineRule="auto"/>
        <w:rPr>
          <w:rFonts w:eastAsia="Calibri"/>
          <w:b/>
          <w:color w:val="auto"/>
          <w:lang w:eastAsia="en-MY"/>
        </w:rPr>
      </w:pPr>
    </w:p>
    <w:p w14:paraId="3A6E0885" w14:textId="131CCBCB"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 xml:space="preserve">General health: </w:t>
      </w:r>
      <w:r w:rsidRPr="009D4627">
        <w:rPr>
          <w:rFonts w:eastAsia="Calibri"/>
          <w:color w:val="auto"/>
          <w:lang w:eastAsia="en-MY"/>
        </w:rPr>
        <w:t>Type II diabetes well-</w:t>
      </w:r>
      <w:r w:rsidR="00E147BE" w:rsidRPr="00E147BE">
        <w:rPr>
          <w:rFonts w:eastAsia="Calibri"/>
          <w:color w:val="auto"/>
          <w:lang w:eastAsia="en-MY"/>
        </w:rPr>
        <w:t xml:space="preserve"> </w:t>
      </w:r>
      <w:r w:rsidR="00E147BE" w:rsidRPr="009D4627">
        <w:rPr>
          <w:rFonts w:eastAsia="Calibri"/>
          <w:color w:val="auto"/>
          <w:lang w:eastAsia="en-MY"/>
        </w:rPr>
        <w:t>controlled with aspirin</w:t>
      </w:r>
      <w:r w:rsidRPr="009D4627">
        <w:rPr>
          <w:rFonts w:eastAsia="Calibri"/>
          <w:color w:val="auto"/>
          <w:lang w:eastAsia="en-MY"/>
        </w:rPr>
        <w:t xml:space="preserve">. </w:t>
      </w:r>
    </w:p>
    <w:p w14:paraId="2A499AE1" w14:textId="77777777" w:rsidR="008E22F8" w:rsidRPr="009D4627" w:rsidRDefault="008E22F8" w:rsidP="008E22F8">
      <w:pPr>
        <w:spacing w:before="0" w:after="0" w:line="240" w:lineRule="auto"/>
        <w:rPr>
          <w:rFonts w:eastAsia="Calibri"/>
          <w:b/>
          <w:color w:val="auto"/>
          <w:lang w:eastAsia="en-MY"/>
        </w:rPr>
      </w:pPr>
    </w:p>
    <w:p w14:paraId="64C764EE"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Visual acuity:</w:t>
      </w:r>
      <w:r w:rsidRPr="009D4627">
        <w:rPr>
          <w:rFonts w:eastAsia="Calibri"/>
          <w:color w:val="auto"/>
          <w:lang w:eastAsia="en-MY"/>
        </w:rPr>
        <w:t xml:space="preserve"> </w:t>
      </w:r>
      <w:r w:rsidRPr="009D4627">
        <w:rPr>
          <w:rFonts w:eastAsia="Calibri"/>
          <w:color w:val="auto"/>
          <w:lang w:eastAsia="en-MY"/>
        </w:rPr>
        <w:tab/>
        <w:t xml:space="preserve">with glasses </w:t>
      </w:r>
      <w:r w:rsidRPr="009D4627">
        <w:rPr>
          <w:rFonts w:eastAsia="Calibri"/>
          <w:color w:val="auto"/>
          <w:lang w:eastAsia="en-MY"/>
        </w:rPr>
        <w:tab/>
        <w:t>RE -0.10</w:t>
      </w:r>
      <w:r w:rsidRPr="009D4627">
        <w:rPr>
          <w:rFonts w:eastAsia="Calibri"/>
          <w:color w:val="auto"/>
          <w:lang w:eastAsia="en-MY"/>
        </w:rPr>
        <w:tab/>
        <w:t xml:space="preserve">LE -0.10 </w:t>
      </w:r>
      <w:r w:rsidRPr="009D4627">
        <w:rPr>
          <w:rFonts w:eastAsia="Calibri"/>
          <w:color w:val="auto"/>
          <w:lang w:eastAsia="en-MY"/>
        </w:rPr>
        <w:tab/>
      </w:r>
      <w:r w:rsidRPr="009D4627">
        <w:rPr>
          <w:rFonts w:eastAsia="Calibri"/>
          <w:bCs/>
          <w:szCs w:val="22"/>
          <w:lang w:val="en-MY"/>
        </w:rPr>
        <w:t xml:space="preserve">ETDRS </w:t>
      </w:r>
      <w:proofErr w:type="spellStart"/>
      <w:r w:rsidRPr="009D4627">
        <w:rPr>
          <w:rFonts w:eastAsia="Calibri"/>
          <w:bCs/>
          <w:szCs w:val="22"/>
          <w:lang w:val="en-MY"/>
        </w:rPr>
        <w:t>logMAR</w:t>
      </w:r>
      <w:proofErr w:type="spellEnd"/>
    </w:p>
    <w:p w14:paraId="5077EB55" w14:textId="52C2F7FF" w:rsidR="008E22F8" w:rsidRPr="009D4627" w:rsidRDefault="008E22F8" w:rsidP="008E22F8">
      <w:pPr>
        <w:spacing w:before="0" w:after="0" w:line="240" w:lineRule="auto"/>
        <w:ind w:left="2160" w:firstLine="720"/>
        <w:rPr>
          <w:rFonts w:eastAsia="Calibri"/>
          <w:color w:val="auto"/>
          <w:lang w:eastAsia="en-MY"/>
        </w:rPr>
      </w:pPr>
      <w:r w:rsidRPr="009D4627">
        <w:rPr>
          <w:rFonts w:eastAsia="Calibri"/>
          <w:color w:val="auto"/>
          <w:lang w:eastAsia="en-MY"/>
        </w:rPr>
        <w:t xml:space="preserve">     </w:t>
      </w:r>
      <w:r w:rsidR="00E147BE">
        <w:rPr>
          <w:rFonts w:eastAsia="Calibri"/>
          <w:color w:val="auto"/>
          <w:lang w:eastAsia="en-MY"/>
        </w:rPr>
        <w:tab/>
      </w:r>
      <w:r w:rsidRPr="009D4627">
        <w:rPr>
          <w:rFonts w:eastAsia="Calibri"/>
          <w:color w:val="auto"/>
          <w:lang w:eastAsia="en-MY"/>
        </w:rPr>
        <w:t xml:space="preserve">  6/5</w:t>
      </w:r>
      <w:r w:rsidRPr="009D4627">
        <w:rPr>
          <w:rFonts w:eastAsia="Calibri"/>
          <w:color w:val="auto"/>
          <w:lang w:eastAsia="en-MY"/>
        </w:rPr>
        <w:tab/>
      </w:r>
      <w:r w:rsidRPr="009D4627">
        <w:rPr>
          <w:rFonts w:eastAsia="Calibri"/>
          <w:color w:val="auto"/>
          <w:lang w:eastAsia="en-MY"/>
        </w:rPr>
        <w:tab/>
        <w:t xml:space="preserve">       6/5 </w:t>
      </w:r>
      <w:r w:rsidRPr="009D4627">
        <w:rPr>
          <w:rFonts w:eastAsia="Calibri"/>
          <w:color w:val="auto"/>
          <w:lang w:eastAsia="en-MY"/>
        </w:rPr>
        <w:tab/>
        <w:t>Snellen</w:t>
      </w:r>
    </w:p>
    <w:p w14:paraId="238BF2CC"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ab/>
      </w:r>
      <w:r w:rsidRPr="009D4627">
        <w:rPr>
          <w:rFonts w:eastAsia="Calibri"/>
          <w:b/>
          <w:color w:val="auto"/>
          <w:lang w:eastAsia="en-MY"/>
        </w:rPr>
        <w:tab/>
      </w:r>
      <w:r w:rsidRPr="009D4627">
        <w:rPr>
          <w:rFonts w:eastAsia="Calibri"/>
          <w:b/>
          <w:color w:val="auto"/>
          <w:lang w:eastAsia="en-MY"/>
        </w:rPr>
        <w:tab/>
      </w:r>
    </w:p>
    <w:p w14:paraId="4AEE4A8F" w14:textId="77777777" w:rsidR="008E22F8" w:rsidRPr="009D4627" w:rsidRDefault="008E22F8" w:rsidP="008E22F8">
      <w:pPr>
        <w:spacing w:before="0" w:after="0" w:line="240" w:lineRule="auto"/>
        <w:ind w:left="1276" w:hanging="1276"/>
        <w:rPr>
          <w:rFonts w:eastAsia="Calibri"/>
          <w:color w:val="auto"/>
          <w:lang w:eastAsia="en-MY"/>
        </w:rPr>
      </w:pPr>
      <w:r w:rsidRPr="009D4627">
        <w:rPr>
          <w:rFonts w:eastAsia="Calibri"/>
          <w:b/>
          <w:color w:val="auto"/>
          <w:lang w:eastAsia="en-MY"/>
        </w:rPr>
        <w:t xml:space="preserve">Cover test: </w:t>
      </w:r>
      <w:r w:rsidRPr="009D4627">
        <w:rPr>
          <w:rFonts w:eastAsia="Calibri"/>
          <w:b/>
          <w:color w:val="auto"/>
          <w:lang w:eastAsia="en-MY"/>
        </w:rPr>
        <w:tab/>
      </w:r>
      <w:r w:rsidRPr="009D4627">
        <w:rPr>
          <w:rFonts w:eastAsia="Calibri"/>
          <w:color w:val="auto"/>
          <w:lang w:eastAsia="en-MY"/>
        </w:rPr>
        <w:t>with glasses 1/3 m &amp; 6 m moderate left exotropia (LXT) with small left hypertropia (LHT) with diplopia</w:t>
      </w:r>
    </w:p>
    <w:p w14:paraId="32AF309C" w14:textId="77777777" w:rsidR="008E22F8" w:rsidRPr="009D4627" w:rsidRDefault="008E22F8" w:rsidP="008E22F8">
      <w:pPr>
        <w:spacing w:before="0" w:after="0" w:line="240" w:lineRule="auto"/>
        <w:rPr>
          <w:rFonts w:eastAsia="Calibri"/>
          <w:color w:val="auto"/>
          <w:lang w:eastAsia="en-MY"/>
        </w:rPr>
      </w:pPr>
    </w:p>
    <w:p w14:paraId="05E8904A"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OMT:</w:t>
      </w:r>
    </w:p>
    <w:p w14:paraId="45F42287" w14:textId="6C6EF4BC" w:rsidR="008E22F8" w:rsidRPr="009D4627" w:rsidRDefault="00A2792E" w:rsidP="008E22F8">
      <w:pPr>
        <w:spacing w:before="0" w:after="0" w:line="240" w:lineRule="auto"/>
        <w:rPr>
          <w:rFonts w:eastAsia="Calibri"/>
          <w:color w:val="auto"/>
          <w:lang w:eastAsia="en-MY"/>
        </w:rPr>
      </w:pPr>
      <w:r w:rsidRPr="009D4627">
        <w:rPr>
          <w:noProof/>
        </w:rPr>
        <mc:AlternateContent>
          <mc:Choice Requires="wpg">
            <w:drawing>
              <wp:anchor distT="0" distB="0" distL="114300" distR="114300" simplePos="0" relativeHeight="251695104" behindDoc="0" locked="0" layoutInCell="1" allowOverlap="1" wp14:anchorId="0A9BB811" wp14:editId="57358695">
                <wp:simplePos x="0" y="0"/>
                <wp:positionH relativeFrom="column">
                  <wp:posOffset>1658620</wp:posOffset>
                </wp:positionH>
                <wp:positionV relativeFrom="paragraph">
                  <wp:posOffset>97155</wp:posOffset>
                </wp:positionV>
                <wp:extent cx="2191385" cy="1019175"/>
                <wp:effectExtent l="0" t="0" r="0" b="0"/>
                <wp:wrapSquare wrapText="bothSides"/>
                <wp:docPr id="23338" name="Group 23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1385" cy="1019175"/>
                          <a:chOff x="0" y="0"/>
                          <a:chExt cx="21914" cy="10190"/>
                        </a:xfrm>
                      </wpg:grpSpPr>
                      <wpg:grpSp>
                        <wpg:cNvPr id="23339" name="Group 21282"/>
                        <wpg:cNvGrpSpPr>
                          <a:grpSpLocks/>
                        </wpg:cNvGrpSpPr>
                        <wpg:grpSpPr bwMode="auto">
                          <a:xfrm>
                            <a:off x="11164" y="106"/>
                            <a:ext cx="10750" cy="10084"/>
                            <a:chOff x="0" y="0"/>
                            <a:chExt cx="10751" cy="10087"/>
                          </a:xfrm>
                        </wpg:grpSpPr>
                        <wps:wsp>
                          <wps:cNvPr id="23340" name="Rectangle 21283"/>
                          <wps:cNvSpPr>
                            <a:spLocks noChangeArrowheads="1"/>
                          </wps:cNvSpPr>
                          <wps:spPr bwMode="auto">
                            <a:xfrm>
                              <a:off x="0" y="4040"/>
                              <a:ext cx="1703" cy="1526"/>
                            </a:xfrm>
                            <a:prstGeom prst="rect">
                              <a:avLst/>
                            </a:prstGeom>
                            <a:noFill/>
                            <a:ln>
                              <a:noFill/>
                            </a:ln>
                          </wps:spPr>
                          <wps:txbx>
                            <w:txbxContent>
                              <w:p w14:paraId="32CDF281" w14:textId="77777777" w:rsidR="008E22F8" w:rsidRDefault="008E22F8" w:rsidP="008E22F8">
                                <w:pPr>
                                  <w:spacing w:before="0"/>
                                  <w:jc w:val="center"/>
                                </w:pPr>
                                <w:r>
                                  <w:rPr>
                                    <w:rFonts w:ascii="Calibri" w:eastAsia="Calibri" w:hAnsi="Calibri" w:cs="Calibri"/>
                                    <w:color w:val="000000"/>
                                    <w:sz w:val="20"/>
                                  </w:rPr>
                                  <w:t>-2</w:t>
                                </w:r>
                              </w:p>
                            </w:txbxContent>
                          </wps:txbx>
                          <wps:bodyPr rot="0" vert="horz" wrap="square" lIns="0" tIns="0" rIns="0" bIns="0" anchor="ctr" anchorCtr="0" upright="1">
                            <a:noAutofit/>
                          </wps:bodyPr>
                        </wps:wsp>
                        <wpg:grpSp>
                          <wpg:cNvPr id="23341" name="Group 21284"/>
                          <wpg:cNvGrpSpPr>
                            <a:grpSpLocks/>
                          </wpg:cNvGrpSpPr>
                          <wpg:grpSpPr bwMode="auto">
                            <a:xfrm>
                              <a:off x="1807" y="0"/>
                              <a:ext cx="8944" cy="10087"/>
                              <a:chOff x="0" y="0"/>
                              <a:chExt cx="8944" cy="10087"/>
                            </a:xfrm>
                          </wpg:grpSpPr>
                          <wps:wsp>
                            <wps:cNvPr id="23342" name="Rectangle 21285"/>
                            <wps:cNvSpPr>
                              <a:spLocks noChangeArrowheads="1"/>
                            </wps:cNvSpPr>
                            <wps:spPr bwMode="auto">
                              <a:xfrm>
                                <a:off x="212" y="106"/>
                                <a:ext cx="1704" cy="1526"/>
                              </a:xfrm>
                              <a:prstGeom prst="rect">
                                <a:avLst/>
                              </a:prstGeom>
                              <a:noFill/>
                              <a:ln>
                                <a:noFill/>
                              </a:ln>
                            </wps:spPr>
                            <wps:txbx>
                              <w:txbxContent>
                                <w:p w14:paraId="36942AE5" w14:textId="77777777" w:rsidR="008E22F8" w:rsidRDefault="008E22F8" w:rsidP="008E22F8">
                                  <w:pPr>
                                    <w:spacing w:before="0"/>
                                    <w:jc w:val="center"/>
                                  </w:pPr>
                                  <w:r>
                                    <w:rPr>
                                      <w:rFonts w:ascii="Calibri" w:eastAsia="Calibri" w:hAnsi="Calibri" w:cs="Calibri"/>
                                      <w:color w:val="000000"/>
                                      <w:sz w:val="20"/>
                                    </w:rPr>
                                    <w:t>-2</w:t>
                                  </w:r>
                                </w:p>
                              </w:txbxContent>
                            </wps:txbx>
                            <wps:bodyPr rot="0" vert="horz" wrap="square" lIns="0" tIns="0" rIns="0" bIns="0" anchor="ctr" anchorCtr="0" upright="1">
                              <a:noAutofit/>
                            </wps:bodyPr>
                          </wps:wsp>
                          <wpg:grpSp>
                            <wpg:cNvPr id="23343" name="Group 21286"/>
                            <wpg:cNvGrpSpPr>
                              <a:grpSpLocks/>
                            </wpg:cNvGrpSpPr>
                            <wpg:grpSpPr bwMode="auto">
                              <a:xfrm>
                                <a:off x="0" y="0"/>
                                <a:ext cx="8944" cy="10087"/>
                                <a:chOff x="0" y="0"/>
                                <a:chExt cx="8944" cy="10087"/>
                              </a:xfrm>
                            </wpg:grpSpPr>
                            <wps:wsp>
                              <wps:cNvPr id="23344" name="Rectangle 21287"/>
                              <wps:cNvSpPr>
                                <a:spLocks noChangeArrowheads="1"/>
                              </wps:cNvSpPr>
                              <wps:spPr bwMode="auto">
                                <a:xfrm>
                                  <a:off x="4997" y="0"/>
                                  <a:ext cx="1468" cy="1506"/>
                                </a:xfrm>
                                <a:prstGeom prst="rect">
                                  <a:avLst/>
                                </a:prstGeom>
                                <a:noFill/>
                                <a:ln>
                                  <a:noFill/>
                                </a:ln>
                              </wps:spPr>
                              <wps:txbx>
                                <w:txbxContent>
                                  <w:p w14:paraId="0F56D8AB" w14:textId="77777777" w:rsidR="008E22F8" w:rsidRDefault="008E22F8" w:rsidP="008E22F8">
                                    <w:pPr>
                                      <w:spacing w:before="0" w:after="0"/>
                                      <w:jc w:val="center"/>
                                    </w:pPr>
                                    <w:r>
                                      <w:rPr>
                                        <w:rFonts w:ascii="Calibri" w:eastAsia="Calibri" w:hAnsi="Calibri" w:cs="Calibri"/>
                                        <w:color w:val="000000"/>
                                        <w:sz w:val="20"/>
                                      </w:rPr>
                                      <w:t>-2</w:t>
                                    </w:r>
                                  </w:p>
                                </w:txbxContent>
                              </wps:txbx>
                              <wps:bodyPr rot="0" vert="horz" wrap="square" lIns="0" tIns="0" rIns="0" bIns="0" anchor="ctr" anchorCtr="0" upright="1">
                                <a:noAutofit/>
                              </wps:bodyPr>
                            </wps:wsp>
                            <wpg:grpSp>
                              <wpg:cNvPr id="23345" name="Group 21288"/>
                              <wpg:cNvGrpSpPr>
                                <a:grpSpLocks/>
                              </wpg:cNvGrpSpPr>
                              <wpg:grpSpPr bwMode="auto">
                                <a:xfrm>
                                  <a:off x="0" y="1275"/>
                                  <a:ext cx="8944" cy="8812"/>
                                  <a:chOff x="0" y="0"/>
                                  <a:chExt cx="8944" cy="8811"/>
                                </a:xfrm>
                              </wpg:grpSpPr>
                              <wps:wsp>
                                <wps:cNvPr id="23346" name="Rectangle 21289"/>
                                <wps:cNvSpPr>
                                  <a:spLocks noChangeArrowheads="1"/>
                                </wps:cNvSpPr>
                                <wps:spPr bwMode="auto">
                                  <a:xfrm>
                                    <a:off x="5847" y="6485"/>
                                    <a:ext cx="1438" cy="1949"/>
                                  </a:xfrm>
                                  <a:prstGeom prst="rect">
                                    <a:avLst/>
                                  </a:prstGeom>
                                  <a:noFill/>
                                  <a:ln>
                                    <a:noFill/>
                                  </a:ln>
                                </wps:spPr>
                                <wps:txbx>
                                  <w:txbxContent>
                                    <w:p w14:paraId="787F8475" w14:textId="77777777" w:rsidR="008E22F8" w:rsidRDefault="008E22F8" w:rsidP="008E22F8">
                                      <w:pPr>
                                        <w:spacing w:before="0"/>
                                        <w:jc w:val="center"/>
                                      </w:pPr>
                                      <w:r>
                                        <w:rPr>
                                          <w:rFonts w:ascii="Calibri" w:eastAsia="Calibri" w:hAnsi="Calibri" w:cs="Calibri"/>
                                          <w:color w:val="000000"/>
                                          <w:sz w:val="20"/>
                                        </w:rPr>
                                        <w:t>-3</w:t>
                                      </w:r>
                                    </w:p>
                                  </w:txbxContent>
                                </wps:txbx>
                                <wps:bodyPr rot="0" vert="horz" wrap="square" lIns="0" tIns="0" rIns="0" bIns="0" anchor="ctr" anchorCtr="0" upright="1">
                                  <a:noAutofit/>
                                </wps:bodyPr>
                              </wps:wsp>
                              <wpg:grpSp>
                                <wpg:cNvPr id="23347" name="Group 21290"/>
                                <wpg:cNvGrpSpPr>
                                  <a:grpSpLocks/>
                                </wpg:cNvGrpSpPr>
                                <wpg:grpSpPr bwMode="auto">
                                  <a:xfrm>
                                    <a:off x="0" y="0"/>
                                    <a:ext cx="8944" cy="8811"/>
                                    <a:chOff x="0" y="0"/>
                                    <a:chExt cx="8944" cy="8811"/>
                                  </a:xfrm>
                                </wpg:grpSpPr>
                                <wpg:grpSp>
                                  <wpg:cNvPr id="23348" name="Group 21291"/>
                                  <wpg:cNvGrpSpPr>
                                    <a:grpSpLocks/>
                                  </wpg:cNvGrpSpPr>
                                  <wpg:grpSpPr bwMode="auto">
                                    <a:xfrm>
                                      <a:off x="0" y="0"/>
                                      <a:ext cx="8944" cy="6954"/>
                                      <a:chOff x="0" y="0"/>
                                      <a:chExt cx="8944" cy="6954"/>
                                    </a:xfrm>
                                  </wpg:grpSpPr>
                                  <wpg:grpSp>
                                    <wpg:cNvPr id="23349" name="Group 21292"/>
                                    <wpg:cNvGrpSpPr>
                                      <a:grpSpLocks/>
                                    </wpg:cNvGrpSpPr>
                                    <wpg:grpSpPr bwMode="auto">
                                      <a:xfrm>
                                        <a:off x="436" y="0"/>
                                        <a:ext cx="6966" cy="2077"/>
                                        <a:chOff x="17259" y="1905"/>
                                        <a:chExt cx="6953" cy="1571"/>
                                      </a:xfrm>
                                    </wpg:grpSpPr>
                                    <wps:wsp>
                                      <wps:cNvPr id="23350" name="Straight Arrow Connector 21293"/>
                                      <wps:cNvCnPr>
                                        <a:cxnSpLocks noChangeShapeType="1"/>
                                      </wps:cNvCnPr>
                                      <wps:spPr bwMode="auto">
                                        <a:xfrm>
                                          <a:off x="17259" y="3429"/>
                                          <a:ext cx="6953" cy="0"/>
                                        </a:xfrm>
                                        <a:prstGeom prst="straightConnector1">
                                          <a:avLst/>
                                        </a:prstGeom>
                                        <a:noFill/>
                                        <a:ln w="9525">
                                          <a:solidFill>
                                            <a:srgbClr val="000000"/>
                                          </a:solidFill>
                                          <a:miter lim="800000"/>
                                          <a:headEnd type="none" w="sm" len="sm"/>
                                          <a:tailEnd type="none" w="sm" len="sm"/>
                                        </a:ln>
                                      </wps:spPr>
                                      <wps:bodyPr/>
                                    </wps:wsp>
                                    <wpg:grpSp>
                                      <wpg:cNvPr id="23351" name="Group 21294"/>
                                      <wpg:cNvGrpSpPr>
                                        <a:grpSpLocks/>
                                      </wpg:cNvGrpSpPr>
                                      <wpg:grpSpPr bwMode="auto">
                                        <a:xfrm>
                                          <a:off x="18354" y="1905"/>
                                          <a:ext cx="5426" cy="1571"/>
                                          <a:chOff x="18354" y="1905"/>
                                          <a:chExt cx="5426" cy="1571"/>
                                        </a:xfrm>
                                      </wpg:grpSpPr>
                                      <wps:wsp>
                                        <wps:cNvPr id="23352" name="Straight Arrow Connector 21295"/>
                                        <wps:cNvCnPr>
                                          <a:cxnSpLocks noChangeShapeType="1"/>
                                        </wps:cNvCnPr>
                                        <wps:spPr bwMode="auto">
                                          <a:xfrm flipH="1">
                                            <a:off x="20021" y="1952"/>
                                            <a:ext cx="1238" cy="1524"/>
                                          </a:xfrm>
                                          <a:prstGeom prst="straightConnector1">
                                            <a:avLst/>
                                          </a:prstGeom>
                                          <a:noFill/>
                                          <a:ln w="19050">
                                            <a:solidFill>
                                              <a:srgbClr val="000000"/>
                                            </a:solidFill>
                                            <a:miter lim="800000"/>
                                            <a:headEnd type="none" w="sm" len="sm"/>
                                            <a:tailEnd type="none" w="sm" len="sm"/>
                                          </a:ln>
                                        </wps:spPr>
                                        <wps:bodyPr/>
                                      </wps:wsp>
                                      <wps:wsp>
                                        <wps:cNvPr id="23353" name="Straight Arrow Connector 21296"/>
                                        <wps:cNvCnPr>
                                          <a:cxnSpLocks noChangeShapeType="1"/>
                                        </wps:cNvCnPr>
                                        <wps:spPr bwMode="auto">
                                          <a:xfrm flipH="1">
                                            <a:off x="20878" y="1952"/>
                                            <a:ext cx="1188" cy="1524"/>
                                          </a:xfrm>
                                          <a:prstGeom prst="straightConnector1">
                                            <a:avLst/>
                                          </a:prstGeom>
                                          <a:noFill/>
                                          <a:ln w="19050">
                                            <a:solidFill>
                                              <a:srgbClr val="000000"/>
                                            </a:solidFill>
                                            <a:miter lim="800000"/>
                                            <a:headEnd type="none" w="sm" len="sm"/>
                                            <a:tailEnd type="none" w="sm" len="sm"/>
                                          </a:ln>
                                        </wps:spPr>
                                        <wps:bodyPr/>
                                      </wps:wsp>
                                      <wps:wsp>
                                        <wps:cNvPr id="23354" name="Straight Arrow Connector 21297"/>
                                        <wps:cNvCnPr>
                                          <a:cxnSpLocks noChangeShapeType="1"/>
                                        </wps:cNvCnPr>
                                        <wps:spPr bwMode="auto">
                                          <a:xfrm flipH="1">
                                            <a:off x="19211" y="1905"/>
                                            <a:ext cx="1239" cy="1524"/>
                                          </a:xfrm>
                                          <a:prstGeom prst="straightConnector1">
                                            <a:avLst/>
                                          </a:prstGeom>
                                          <a:noFill/>
                                          <a:ln w="19050">
                                            <a:solidFill>
                                              <a:srgbClr val="000000"/>
                                            </a:solidFill>
                                            <a:miter lim="800000"/>
                                            <a:headEnd type="none" w="sm" len="sm"/>
                                            <a:tailEnd type="none" w="sm" len="sm"/>
                                          </a:ln>
                                        </wps:spPr>
                                        <wps:bodyPr/>
                                      </wps:wsp>
                                      <wps:wsp>
                                        <wps:cNvPr id="23355" name="Straight Arrow Connector 21298"/>
                                        <wps:cNvCnPr>
                                          <a:cxnSpLocks noChangeShapeType="1"/>
                                        </wps:cNvCnPr>
                                        <wps:spPr bwMode="auto">
                                          <a:xfrm flipH="1">
                                            <a:off x="21783" y="2238"/>
                                            <a:ext cx="902" cy="1187"/>
                                          </a:xfrm>
                                          <a:prstGeom prst="straightConnector1">
                                            <a:avLst/>
                                          </a:prstGeom>
                                          <a:noFill/>
                                          <a:ln w="19050">
                                            <a:solidFill>
                                              <a:srgbClr val="000000"/>
                                            </a:solidFill>
                                            <a:miter lim="800000"/>
                                            <a:headEnd type="none" w="sm" len="sm"/>
                                            <a:tailEnd type="none" w="sm" len="sm"/>
                                          </a:ln>
                                        </wps:spPr>
                                        <wps:bodyPr/>
                                      </wps:wsp>
                                      <wps:wsp>
                                        <wps:cNvPr id="23356" name="Straight Arrow Connector 21299"/>
                                        <wps:cNvCnPr>
                                          <a:cxnSpLocks noChangeShapeType="1"/>
                                        </wps:cNvCnPr>
                                        <wps:spPr bwMode="auto">
                                          <a:xfrm flipH="1">
                                            <a:off x="18354" y="2095"/>
                                            <a:ext cx="1092" cy="1334"/>
                                          </a:xfrm>
                                          <a:prstGeom prst="straightConnector1">
                                            <a:avLst/>
                                          </a:prstGeom>
                                          <a:noFill/>
                                          <a:ln w="19050">
                                            <a:solidFill>
                                              <a:srgbClr val="000000"/>
                                            </a:solidFill>
                                            <a:miter lim="800000"/>
                                            <a:headEnd type="none" w="sm" len="sm"/>
                                            <a:tailEnd type="none" w="sm" len="sm"/>
                                          </a:ln>
                                        </wps:spPr>
                                        <wps:bodyPr/>
                                      </wps:wsp>
                                      <wps:wsp>
                                        <wps:cNvPr id="23357" name="Straight Arrow Connector 21302"/>
                                        <wps:cNvCnPr>
                                          <a:cxnSpLocks noChangeShapeType="1"/>
                                        </wps:cNvCnPr>
                                        <wps:spPr bwMode="auto">
                                          <a:xfrm flipH="1">
                                            <a:off x="22640" y="2571"/>
                                            <a:ext cx="616" cy="902"/>
                                          </a:xfrm>
                                          <a:prstGeom prst="straightConnector1">
                                            <a:avLst/>
                                          </a:prstGeom>
                                          <a:noFill/>
                                          <a:ln w="19050">
                                            <a:solidFill>
                                              <a:srgbClr val="000000"/>
                                            </a:solidFill>
                                            <a:miter lim="800000"/>
                                            <a:headEnd type="none" w="sm" len="sm"/>
                                            <a:tailEnd type="none" w="sm" len="sm"/>
                                          </a:ln>
                                        </wps:spPr>
                                        <wps:bodyPr/>
                                      </wps:wsp>
                                      <wps:wsp>
                                        <wps:cNvPr id="23358" name="Straight Arrow Connector 21304"/>
                                        <wps:cNvCnPr>
                                          <a:cxnSpLocks noChangeShapeType="1"/>
                                        </wps:cNvCnPr>
                                        <wps:spPr bwMode="auto">
                                          <a:xfrm flipH="1">
                                            <a:off x="23355" y="2905"/>
                                            <a:ext cx="425" cy="565"/>
                                          </a:xfrm>
                                          <a:prstGeom prst="straightConnector1">
                                            <a:avLst/>
                                          </a:prstGeom>
                                          <a:noFill/>
                                          <a:ln w="19050">
                                            <a:solidFill>
                                              <a:srgbClr val="000000"/>
                                            </a:solidFill>
                                            <a:miter lim="800000"/>
                                            <a:headEnd type="none" w="sm" len="sm"/>
                                            <a:tailEnd type="none" w="sm" len="sm"/>
                                          </a:ln>
                                        </wps:spPr>
                                        <wps:bodyPr/>
                                      </wps:wsp>
                                    </wpg:grpSp>
                                  </wpg:grpSp>
                                  <wps:wsp>
                                    <wps:cNvPr id="23359" name="Oval 21305"/>
                                    <wps:cNvSpPr>
                                      <a:spLocks noChangeArrowheads="1"/>
                                    </wps:cNvSpPr>
                                    <wps:spPr bwMode="auto">
                                      <a:xfrm>
                                        <a:off x="11" y="0"/>
                                        <a:ext cx="7844" cy="6954"/>
                                      </a:xfrm>
                                      <a:prstGeom prst="ellipse">
                                        <a:avLst/>
                                      </a:prstGeom>
                                      <a:noFill/>
                                      <a:ln w="12700">
                                        <a:solidFill>
                                          <a:srgbClr val="000000"/>
                                        </a:solidFill>
                                        <a:miter lim="800000"/>
                                        <a:headEnd type="none" w="sm" len="sm"/>
                                        <a:tailEnd type="none" w="sm" len="sm"/>
                                      </a:ln>
                                    </wps:spPr>
                                    <wps:txbx>
                                      <w:txbxContent>
                                        <w:p w14:paraId="3AD6B3EE" w14:textId="77777777" w:rsidR="008E22F8" w:rsidRDefault="008E22F8" w:rsidP="008E22F8">
                                          <w:pPr>
                                            <w:jc w:val="left"/>
                                          </w:pPr>
                                        </w:p>
                                      </w:txbxContent>
                                    </wps:txbx>
                                    <wps:bodyPr rot="0" vert="horz" wrap="square" lIns="91425" tIns="91425" rIns="91425" bIns="91425" anchor="ctr" anchorCtr="0" upright="1">
                                      <a:noAutofit/>
                                    </wps:bodyPr>
                                  </wps:wsp>
                                  <wpg:grpSp>
                                    <wpg:cNvPr id="23360" name="Group 21306"/>
                                    <wpg:cNvGrpSpPr>
                                      <a:grpSpLocks/>
                                    </wpg:cNvGrpSpPr>
                                    <wpg:grpSpPr bwMode="auto">
                                      <a:xfrm rot="9265722">
                                        <a:off x="2115" y="4501"/>
                                        <a:ext cx="6829" cy="1922"/>
                                        <a:chOff x="18688" y="7143"/>
                                        <a:chExt cx="6953" cy="1571"/>
                                      </a:xfrm>
                                    </wpg:grpSpPr>
                                    <wps:wsp>
                                      <wps:cNvPr id="23361" name="Straight Arrow Connector 21312"/>
                                      <wps:cNvCnPr>
                                        <a:cxnSpLocks noChangeShapeType="1"/>
                                      </wps:cNvCnPr>
                                      <wps:spPr bwMode="auto">
                                        <a:xfrm>
                                          <a:off x="18688" y="8667"/>
                                          <a:ext cx="6953" cy="0"/>
                                        </a:xfrm>
                                        <a:prstGeom prst="straightConnector1">
                                          <a:avLst/>
                                        </a:prstGeom>
                                        <a:noFill/>
                                        <a:ln w="9525">
                                          <a:solidFill>
                                            <a:srgbClr val="000000"/>
                                          </a:solidFill>
                                          <a:miter lim="800000"/>
                                          <a:headEnd type="none" w="sm" len="sm"/>
                                          <a:tailEnd type="none" w="sm" len="sm"/>
                                        </a:ln>
                                      </wps:spPr>
                                      <wps:bodyPr/>
                                    </wps:wsp>
                                    <wpg:grpSp>
                                      <wpg:cNvPr id="23362" name="Group 21313"/>
                                      <wpg:cNvGrpSpPr>
                                        <a:grpSpLocks/>
                                      </wpg:cNvGrpSpPr>
                                      <wpg:grpSpPr bwMode="auto">
                                        <a:xfrm>
                                          <a:off x="19783" y="7143"/>
                                          <a:ext cx="5426" cy="1572"/>
                                          <a:chOff x="19783" y="7143"/>
                                          <a:chExt cx="5426" cy="1571"/>
                                        </a:xfrm>
                                      </wpg:grpSpPr>
                                      <wps:wsp>
                                        <wps:cNvPr id="23363" name="Straight Arrow Connector 21314"/>
                                        <wps:cNvCnPr>
                                          <a:cxnSpLocks noChangeShapeType="1"/>
                                        </wps:cNvCnPr>
                                        <wps:spPr bwMode="auto">
                                          <a:xfrm flipH="1">
                                            <a:off x="21450" y="7191"/>
                                            <a:ext cx="1238" cy="1524"/>
                                          </a:xfrm>
                                          <a:prstGeom prst="straightConnector1">
                                            <a:avLst/>
                                          </a:prstGeom>
                                          <a:noFill/>
                                          <a:ln w="19050">
                                            <a:solidFill>
                                              <a:srgbClr val="000000"/>
                                            </a:solidFill>
                                            <a:miter lim="800000"/>
                                            <a:headEnd type="none" w="sm" len="sm"/>
                                            <a:tailEnd type="none" w="sm" len="sm"/>
                                          </a:ln>
                                        </wps:spPr>
                                        <wps:bodyPr/>
                                      </wps:wsp>
                                      <wps:wsp>
                                        <wps:cNvPr id="23364" name="Straight Arrow Connector 21315"/>
                                        <wps:cNvCnPr>
                                          <a:cxnSpLocks noChangeShapeType="1"/>
                                        </wps:cNvCnPr>
                                        <wps:spPr bwMode="auto">
                                          <a:xfrm flipH="1">
                                            <a:off x="22307" y="7191"/>
                                            <a:ext cx="1188" cy="1524"/>
                                          </a:xfrm>
                                          <a:prstGeom prst="straightConnector1">
                                            <a:avLst/>
                                          </a:prstGeom>
                                          <a:noFill/>
                                          <a:ln w="19050">
                                            <a:solidFill>
                                              <a:srgbClr val="000000"/>
                                            </a:solidFill>
                                            <a:miter lim="800000"/>
                                            <a:headEnd type="none" w="sm" len="sm"/>
                                            <a:tailEnd type="none" w="sm" len="sm"/>
                                          </a:ln>
                                        </wps:spPr>
                                        <wps:bodyPr/>
                                      </wps:wsp>
                                      <wps:wsp>
                                        <wps:cNvPr id="23365" name="Straight Arrow Connector 21316"/>
                                        <wps:cNvCnPr>
                                          <a:cxnSpLocks noChangeShapeType="1"/>
                                        </wps:cNvCnPr>
                                        <wps:spPr bwMode="auto">
                                          <a:xfrm flipH="1">
                                            <a:off x="20640" y="7143"/>
                                            <a:ext cx="1238" cy="1524"/>
                                          </a:xfrm>
                                          <a:prstGeom prst="straightConnector1">
                                            <a:avLst/>
                                          </a:prstGeom>
                                          <a:noFill/>
                                          <a:ln w="19050">
                                            <a:solidFill>
                                              <a:srgbClr val="000000"/>
                                            </a:solidFill>
                                            <a:miter lim="800000"/>
                                            <a:headEnd type="none" w="sm" len="sm"/>
                                            <a:tailEnd type="none" w="sm" len="sm"/>
                                          </a:ln>
                                        </wps:spPr>
                                        <wps:bodyPr/>
                                      </wps:wsp>
                                      <wps:wsp>
                                        <wps:cNvPr id="23366" name="Straight Arrow Connector 21317"/>
                                        <wps:cNvCnPr>
                                          <a:cxnSpLocks noChangeShapeType="1"/>
                                        </wps:cNvCnPr>
                                        <wps:spPr bwMode="auto">
                                          <a:xfrm flipH="1">
                                            <a:off x="23212" y="7477"/>
                                            <a:ext cx="902" cy="1187"/>
                                          </a:xfrm>
                                          <a:prstGeom prst="straightConnector1">
                                            <a:avLst/>
                                          </a:prstGeom>
                                          <a:noFill/>
                                          <a:ln w="19050">
                                            <a:solidFill>
                                              <a:srgbClr val="000000"/>
                                            </a:solidFill>
                                            <a:miter lim="800000"/>
                                            <a:headEnd type="none" w="sm" len="sm"/>
                                            <a:tailEnd type="none" w="sm" len="sm"/>
                                          </a:ln>
                                        </wps:spPr>
                                        <wps:bodyPr/>
                                      </wps:wsp>
                                      <wps:wsp>
                                        <wps:cNvPr id="23367" name="Straight Arrow Connector 21318"/>
                                        <wps:cNvCnPr>
                                          <a:cxnSpLocks noChangeShapeType="1"/>
                                        </wps:cNvCnPr>
                                        <wps:spPr bwMode="auto">
                                          <a:xfrm flipH="1">
                                            <a:off x="19783" y="7334"/>
                                            <a:ext cx="1092" cy="1333"/>
                                          </a:xfrm>
                                          <a:prstGeom prst="straightConnector1">
                                            <a:avLst/>
                                          </a:prstGeom>
                                          <a:noFill/>
                                          <a:ln w="19050">
                                            <a:solidFill>
                                              <a:srgbClr val="000000"/>
                                            </a:solidFill>
                                            <a:miter lim="800000"/>
                                            <a:headEnd type="none" w="sm" len="sm"/>
                                            <a:tailEnd type="none" w="sm" len="sm"/>
                                          </a:ln>
                                        </wps:spPr>
                                        <wps:bodyPr/>
                                      </wps:wsp>
                                      <wps:wsp>
                                        <wps:cNvPr id="23368" name="Straight Arrow Connector 21319"/>
                                        <wps:cNvCnPr>
                                          <a:cxnSpLocks noChangeShapeType="1"/>
                                        </wps:cNvCnPr>
                                        <wps:spPr bwMode="auto">
                                          <a:xfrm flipH="1">
                                            <a:off x="24069" y="7810"/>
                                            <a:ext cx="616" cy="902"/>
                                          </a:xfrm>
                                          <a:prstGeom prst="straightConnector1">
                                            <a:avLst/>
                                          </a:prstGeom>
                                          <a:noFill/>
                                          <a:ln w="19050">
                                            <a:solidFill>
                                              <a:srgbClr val="000000"/>
                                            </a:solidFill>
                                            <a:miter lim="800000"/>
                                            <a:headEnd type="none" w="sm" len="sm"/>
                                            <a:tailEnd type="none" w="sm" len="sm"/>
                                          </a:ln>
                                        </wps:spPr>
                                        <wps:bodyPr/>
                                      </wps:wsp>
                                      <wps:wsp>
                                        <wps:cNvPr id="23369" name="Straight Arrow Connector 21320"/>
                                        <wps:cNvCnPr>
                                          <a:cxnSpLocks noChangeShapeType="1"/>
                                        </wps:cNvCnPr>
                                        <wps:spPr bwMode="auto">
                                          <a:xfrm flipH="1">
                                            <a:off x="24784" y="8143"/>
                                            <a:ext cx="425" cy="566"/>
                                          </a:xfrm>
                                          <a:prstGeom prst="straightConnector1">
                                            <a:avLst/>
                                          </a:prstGeom>
                                          <a:noFill/>
                                          <a:ln w="19050">
                                            <a:solidFill>
                                              <a:srgbClr val="000000"/>
                                            </a:solidFill>
                                            <a:miter lim="800000"/>
                                            <a:headEnd type="none" w="sm" len="sm"/>
                                            <a:tailEnd type="none" w="sm" len="sm"/>
                                          </a:ln>
                                        </wps:spPr>
                                        <wps:bodyPr/>
                                      </wps:wsp>
                                    </wpg:grpSp>
                                  </wpg:grpSp>
                                  <wpg:grpSp>
                                    <wpg:cNvPr id="23370" name="Group 21321"/>
                                    <wpg:cNvGrpSpPr>
                                      <a:grpSpLocks/>
                                    </wpg:cNvGrpSpPr>
                                    <wpg:grpSpPr bwMode="auto">
                                      <a:xfrm rot="-5400000">
                                        <a:off x="-2010" y="2422"/>
                                        <a:ext cx="6477" cy="2457"/>
                                        <a:chOff x="14211" y="4857"/>
                                        <a:chExt cx="6953" cy="1571"/>
                                      </a:xfrm>
                                    </wpg:grpSpPr>
                                    <wps:wsp>
                                      <wps:cNvPr id="23371" name="Straight Arrow Connector 21322"/>
                                      <wps:cNvCnPr>
                                        <a:cxnSpLocks noChangeShapeType="1"/>
                                      </wps:cNvCnPr>
                                      <wps:spPr bwMode="auto">
                                        <a:xfrm>
                                          <a:off x="14211" y="6381"/>
                                          <a:ext cx="6953" cy="0"/>
                                        </a:xfrm>
                                        <a:prstGeom prst="straightConnector1">
                                          <a:avLst/>
                                        </a:prstGeom>
                                        <a:noFill/>
                                        <a:ln w="9525">
                                          <a:solidFill>
                                            <a:srgbClr val="000000"/>
                                          </a:solidFill>
                                          <a:miter lim="800000"/>
                                          <a:headEnd type="none" w="sm" len="sm"/>
                                          <a:tailEnd type="none" w="sm" len="sm"/>
                                        </a:ln>
                                      </wps:spPr>
                                      <wps:bodyPr/>
                                    </wps:wsp>
                                    <wpg:grpSp>
                                      <wpg:cNvPr id="23372" name="Group 21323"/>
                                      <wpg:cNvGrpSpPr>
                                        <a:grpSpLocks/>
                                      </wpg:cNvGrpSpPr>
                                      <wpg:grpSpPr bwMode="auto">
                                        <a:xfrm>
                                          <a:off x="15306" y="4857"/>
                                          <a:ext cx="5426" cy="1572"/>
                                          <a:chOff x="15306" y="4857"/>
                                          <a:chExt cx="5426" cy="1571"/>
                                        </a:xfrm>
                                      </wpg:grpSpPr>
                                      <wps:wsp>
                                        <wps:cNvPr id="23373" name="Straight Arrow Connector 21324"/>
                                        <wps:cNvCnPr>
                                          <a:cxnSpLocks noChangeShapeType="1"/>
                                        </wps:cNvCnPr>
                                        <wps:spPr bwMode="auto">
                                          <a:xfrm flipH="1">
                                            <a:off x="16973" y="4905"/>
                                            <a:ext cx="1238" cy="1524"/>
                                          </a:xfrm>
                                          <a:prstGeom prst="straightConnector1">
                                            <a:avLst/>
                                          </a:prstGeom>
                                          <a:noFill/>
                                          <a:ln w="19050">
                                            <a:solidFill>
                                              <a:srgbClr val="000000"/>
                                            </a:solidFill>
                                            <a:miter lim="800000"/>
                                            <a:headEnd type="none" w="sm" len="sm"/>
                                            <a:tailEnd type="none" w="sm" len="sm"/>
                                          </a:ln>
                                        </wps:spPr>
                                        <wps:bodyPr/>
                                      </wps:wsp>
                                      <wps:wsp>
                                        <wps:cNvPr id="23374" name="Straight Arrow Connector 21325"/>
                                        <wps:cNvCnPr>
                                          <a:cxnSpLocks noChangeShapeType="1"/>
                                        </wps:cNvCnPr>
                                        <wps:spPr bwMode="auto">
                                          <a:xfrm flipH="1">
                                            <a:off x="17830" y="4905"/>
                                            <a:ext cx="1188" cy="1524"/>
                                          </a:xfrm>
                                          <a:prstGeom prst="straightConnector1">
                                            <a:avLst/>
                                          </a:prstGeom>
                                          <a:noFill/>
                                          <a:ln w="19050">
                                            <a:solidFill>
                                              <a:srgbClr val="000000"/>
                                            </a:solidFill>
                                            <a:miter lim="800000"/>
                                            <a:headEnd type="none" w="sm" len="sm"/>
                                            <a:tailEnd type="none" w="sm" len="sm"/>
                                          </a:ln>
                                        </wps:spPr>
                                        <wps:bodyPr/>
                                      </wps:wsp>
                                      <wps:wsp>
                                        <wps:cNvPr id="23375" name="Straight Arrow Connector 21326"/>
                                        <wps:cNvCnPr>
                                          <a:cxnSpLocks noChangeShapeType="1"/>
                                        </wps:cNvCnPr>
                                        <wps:spPr bwMode="auto">
                                          <a:xfrm flipH="1">
                                            <a:off x="16163" y="4857"/>
                                            <a:ext cx="1239" cy="1524"/>
                                          </a:xfrm>
                                          <a:prstGeom prst="straightConnector1">
                                            <a:avLst/>
                                          </a:prstGeom>
                                          <a:noFill/>
                                          <a:ln w="19050">
                                            <a:solidFill>
                                              <a:srgbClr val="000000"/>
                                            </a:solidFill>
                                            <a:miter lim="800000"/>
                                            <a:headEnd type="none" w="sm" len="sm"/>
                                            <a:tailEnd type="none" w="sm" len="sm"/>
                                          </a:ln>
                                        </wps:spPr>
                                        <wps:bodyPr/>
                                      </wps:wsp>
                                      <wps:wsp>
                                        <wps:cNvPr id="23376" name="Straight Arrow Connector 21327"/>
                                        <wps:cNvCnPr>
                                          <a:cxnSpLocks noChangeShapeType="1"/>
                                        </wps:cNvCnPr>
                                        <wps:spPr bwMode="auto">
                                          <a:xfrm flipH="1">
                                            <a:off x="18735" y="5191"/>
                                            <a:ext cx="902" cy="1187"/>
                                          </a:xfrm>
                                          <a:prstGeom prst="straightConnector1">
                                            <a:avLst/>
                                          </a:prstGeom>
                                          <a:noFill/>
                                          <a:ln w="19050">
                                            <a:solidFill>
                                              <a:srgbClr val="000000"/>
                                            </a:solidFill>
                                            <a:miter lim="800000"/>
                                            <a:headEnd type="none" w="sm" len="sm"/>
                                            <a:tailEnd type="none" w="sm" len="sm"/>
                                          </a:ln>
                                        </wps:spPr>
                                        <wps:bodyPr/>
                                      </wps:wsp>
                                      <wps:wsp>
                                        <wps:cNvPr id="23377" name="Straight Arrow Connector 21328"/>
                                        <wps:cNvCnPr>
                                          <a:cxnSpLocks noChangeShapeType="1"/>
                                        </wps:cNvCnPr>
                                        <wps:spPr bwMode="auto">
                                          <a:xfrm flipH="1">
                                            <a:off x="15306" y="5048"/>
                                            <a:ext cx="1092" cy="1333"/>
                                          </a:xfrm>
                                          <a:prstGeom prst="straightConnector1">
                                            <a:avLst/>
                                          </a:prstGeom>
                                          <a:noFill/>
                                          <a:ln w="19050">
                                            <a:solidFill>
                                              <a:srgbClr val="000000"/>
                                            </a:solidFill>
                                            <a:miter lim="800000"/>
                                            <a:headEnd type="none" w="sm" len="sm"/>
                                            <a:tailEnd type="none" w="sm" len="sm"/>
                                          </a:ln>
                                        </wps:spPr>
                                        <wps:bodyPr/>
                                      </wps:wsp>
                                      <wps:wsp>
                                        <wps:cNvPr id="23378" name="Straight Arrow Connector 21329"/>
                                        <wps:cNvCnPr>
                                          <a:cxnSpLocks noChangeShapeType="1"/>
                                        </wps:cNvCnPr>
                                        <wps:spPr bwMode="auto">
                                          <a:xfrm flipH="1">
                                            <a:off x="19592" y="5524"/>
                                            <a:ext cx="616" cy="902"/>
                                          </a:xfrm>
                                          <a:prstGeom prst="straightConnector1">
                                            <a:avLst/>
                                          </a:prstGeom>
                                          <a:noFill/>
                                          <a:ln w="19050">
                                            <a:solidFill>
                                              <a:srgbClr val="000000"/>
                                            </a:solidFill>
                                            <a:miter lim="800000"/>
                                            <a:headEnd type="none" w="sm" len="sm"/>
                                            <a:tailEnd type="none" w="sm" len="sm"/>
                                          </a:ln>
                                        </wps:spPr>
                                        <wps:bodyPr/>
                                      </wps:wsp>
                                      <wps:wsp>
                                        <wps:cNvPr id="23379" name="Straight Arrow Connector 21330"/>
                                        <wps:cNvCnPr>
                                          <a:cxnSpLocks noChangeShapeType="1"/>
                                        </wps:cNvCnPr>
                                        <wps:spPr bwMode="auto">
                                          <a:xfrm flipH="1">
                                            <a:off x="20307" y="5857"/>
                                            <a:ext cx="425" cy="566"/>
                                          </a:xfrm>
                                          <a:prstGeom prst="straightConnector1">
                                            <a:avLst/>
                                          </a:prstGeom>
                                          <a:noFill/>
                                          <a:ln w="19050">
                                            <a:solidFill>
                                              <a:srgbClr val="000000"/>
                                            </a:solidFill>
                                            <a:miter lim="800000"/>
                                            <a:headEnd type="none" w="sm" len="sm"/>
                                            <a:tailEnd type="none" w="sm" len="sm"/>
                                          </a:ln>
                                        </wps:spPr>
                                        <wps:bodyPr/>
                                      </wps:wsp>
                                    </wpg:grpSp>
                                  </wpg:grpSp>
                                </wpg:grpSp>
                                <wps:wsp>
                                  <wps:cNvPr id="23380" name="Rectangle 21331"/>
                                  <wps:cNvSpPr>
                                    <a:spLocks noChangeArrowheads="1"/>
                                  </wps:cNvSpPr>
                                  <wps:spPr bwMode="auto">
                                    <a:xfrm>
                                      <a:off x="3083" y="7123"/>
                                      <a:ext cx="1430" cy="1688"/>
                                    </a:xfrm>
                                    <a:prstGeom prst="rect">
                                      <a:avLst/>
                                    </a:prstGeom>
                                    <a:noFill/>
                                    <a:ln>
                                      <a:noFill/>
                                    </a:ln>
                                  </wps:spPr>
                                  <wps:txbx>
                                    <w:txbxContent>
                                      <w:p w14:paraId="724EAC07" w14:textId="77777777" w:rsidR="008E22F8" w:rsidRDefault="008E22F8" w:rsidP="008E22F8">
                                        <w:pPr>
                                          <w:spacing w:before="0"/>
                                          <w:jc w:val="center"/>
                                        </w:pPr>
                                        <w:r>
                                          <w:rPr>
                                            <w:rFonts w:ascii="Calibri" w:eastAsia="Calibri" w:hAnsi="Calibri" w:cs="Calibri"/>
                                            <w:color w:val="000000"/>
                                            <w:sz w:val="20"/>
                                          </w:rPr>
                                          <w:t>-2</w:t>
                                        </w:r>
                                      </w:p>
                                    </w:txbxContent>
                                  </wps:txbx>
                                  <wps:bodyPr rot="0" vert="horz" wrap="square" lIns="0" tIns="0" rIns="0" bIns="0" anchor="ctr" anchorCtr="0" upright="1">
                                    <a:noAutofit/>
                                  </wps:bodyPr>
                                </wps:wsp>
                              </wpg:grpSp>
                            </wpg:grpSp>
                          </wpg:grpSp>
                        </wpg:grpSp>
                      </wpg:grpSp>
                      <wpg:grpSp>
                        <wpg:cNvPr id="23381" name="Group 21332"/>
                        <wpg:cNvGrpSpPr>
                          <a:grpSpLocks/>
                        </wpg:cNvGrpSpPr>
                        <wpg:grpSpPr bwMode="auto">
                          <a:xfrm>
                            <a:off x="0" y="0"/>
                            <a:ext cx="7829" cy="8322"/>
                            <a:chOff x="0" y="0"/>
                            <a:chExt cx="7829" cy="8322"/>
                          </a:xfrm>
                        </wpg:grpSpPr>
                        <wps:wsp>
                          <wps:cNvPr id="23382" name="Rectangle 21333"/>
                          <wps:cNvSpPr>
                            <a:spLocks noChangeArrowheads="1"/>
                          </wps:cNvSpPr>
                          <wps:spPr bwMode="auto">
                            <a:xfrm>
                              <a:off x="2339" y="0"/>
                              <a:ext cx="2774" cy="1538"/>
                            </a:xfrm>
                            <a:prstGeom prst="rect">
                              <a:avLst/>
                            </a:prstGeom>
                            <a:noFill/>
                            <a:ln>
                              <a:noFill/>
                            </a:ln>
                          </wps:spPr>
                          <wps:txbx>
                            <w:txbxContent>
                              <w:p w14:paraId="2CEF832B" w14:textId="77777777" w:rsidR="008E22F8" w:rsidRDefault="008E22F8" w:rsidP="008E22F8">
                                <w:pPr>
                                  <w:spacing w:before="0" w:after="0"/>
                                  <w:jc w:val="center"/>
                                </w:pPr>
                                <w:r>
                                  <w:rPr>
                                    <w:rFonts w:ascii="Calibri" w:eastAsia="Calibri" w:hAnsi="Calibri" w:cs="Calibri"/>
                                    <w:color w:val="000000"/>
                                    <w:sz w:val="20"/>
                                  </w:rPr>
                                  <w:t xml:space="preserve">-1 ½ </w:t>
                                </w:r>
                              </w:p>
                            </w:txbxContent>
                          </wps:txbx>
                          <wps:bodyPr rot="0" vert="horz" wrap="square" lIns="0" tIns="0" rIns="0" bIns="0" anchor="ctr" anchorCtr="0" upright="1">
                            <a:noAutofit/>
                          </wps:bodyPr>
                        </wps:wsp>
                        <wps:wsp>
                          <wps:cNvPr id="23383" name="Oval 21334"/>
                          <wps:cNvSpPr>
                            <a:spLocks noChangeArrowheads="1"/>
                          </wps:cNvSpPr>
                          <wps:spPr bwMode="auto">
                            <a:xfrm>
                              <a:off x="0" y="1382"/>
                              <a:ext cx="7829" cy="6940"/>
                            </a:xfrm>
                            <a:prstGeom prst="ellipse">
                              <a:avLst/>
                            </a:prstGeom>
                            <a:noFill/>
                            <a:ln w="12700">
                              <a:solidFill>
                                <a:srgbClr val="000000"/>
                              </a:solidFill>
                              <a:miter lim="800000"/>
                              <a:headEnd type="none" w="sm" len="sm"/>
                              <a:tailEnd type="none" w="sm" len="sm"/>
                            </a:ln>
                          </wps:spPr>
                          <wps:txbx>
                            <w:txbxContent>
                              <w:p w14:paraId="24DCD380" w14:textId="77777777" w:rsidR="008E22F8" w:rsidRDefault="008E22F8" w:rsidP="008E22F8">
                                <w:pPr>
                                  <w:spacing w:before="0" w:after="0"/>
                                  <w:jc w:val="left"/>
                                </w:pPr>
                              </w:p>
                            </w:txbxContent>
                          </wps:txbx>
                          <wps:bodyPr rot="0" vert="horz" wrap="square" lIns="91425" tIns="91425" rIns="91425" bIns="91425" anchor="ctr" anchorCtr="0" upright="1">
                            <a:noAutofit/>
                          </wps:bodyPr>
                        </wps:wsp>
                        <wpg:grpSp>
                          <wpg:cNvPr id="23384" name="Group 21335"/>
                          <wpg:cNvGrpSpPr>
                            <a:grpSpLocks/>
                          </wpg:cNvGrpSpPr>
                          <wpg:grpSpPr bwMode="auto">
                            <a:xfrm>
                              <a:off x="318" y="1807"/>
                              <a:ext cx="6954" cy="1060"/>
                              <a:chOff x="0" y="0"/>
                              <a:chExt cx="6967" cy="1346"/>
                            </a:xfrm>
                          </wpg:grpSpPr>
                          <wps:wsp>
                            <wps:cNvPr id="23385" name="Straight Arrow Connector 21336"/>
                            <wps:cNvCnPr>
                              <a:cxnSpLocks noChangeShapeType="1"/>
                            </wps:cNvCnPr>
                            <wps:spPr bwMode="auto">
                              <a:xfrm>
                                <a:off x="0" y="1275"/>
                                <a:ext cx="6967" cy="0"/>
                              </a:xfrm>
                              <a:prstGeom prst="straightConnector1">
                                <a:avLst/>
                              </a:prstGeom>
                              <a:noFill/>
                              <a:ln w="9525">
                                <a:solidFill>
                                  <a:srgbClr val="000000"/>
                                </a:solidFill>
                                <a:miter lim="800000"/>
                                <a:headEnd type="none" w="sm" len="sm"/>
                                <a:tailEnd type="none" w="sm" len="sm"/>
                              </a:ln>
                            </wps:spPr>
                            <wps:bodyPr/>
                          </wps:wsp>
                          <wpg:grpSp>
                            <wpg:cNvPr id="23386" name="Group 21337"/>
                            <wpg:cNvGrpSpPr>
                              <a:grpSpLocks/>
                            </wpg:cNvGrpSpPr>
                            <wpg:grpSpPr bwMode="auto">
                              <a:xfrm>
                                <a:off x="1063" y="0"/>
                                <a:ext cx="5423" cy="1346"/>
                                <a:chOff x="0" y="0"/>
                                <a:chExt cx="5423" cy="1348"/>
                              </a:xfrm>
                            </wpg:grpSpPr>
                            <wps:wsp>
                              <wps:cNvPr id="23387" name="Straight Arrow Connector 21338"/>
                              <wps:cNvCnPr>
                                <a:cxnSpLocks noChangeShapeType="1"/>
                              </wps:cNvCnPr>
                              <wps:spPr bwMode="auto">
                                <a:xfrm flipH="1">
                                  <a:off x="1701" y="0"/>
                                  <a:ext cx="1241" cy="1298"/>
                                </a:xfrm>
                                <a:prstGeom prst="straightConnector1">
                                  <a:avLst/>
                                </a:prstGeom>
                                <a:noFill/>
                                <a:ln w="19050">
                                  <a:solidFill>
                                    <a:srgbClr val="000000"/>
                                  </a:solidFill>
                                  <a:miter lim="800000"/>
                                  <a:headEnd type="none" w="sm" len="sm"/>
                                  <a:tailEnd type="none" w="sm" len="sm"/>
                                </a:ln>
                              </wps:spPr>
                              <wps:bodyPr/>
                            </wps:wsp>
                            <wps:wsp>
                              <wps:cNvPr id="23388" name="Straight Arrow Connector 21339"/>
                              <wps:cNvCnPr>
                                <a:cxnSpLocks noChangeShapeType="1"/>
                              </wps:cNvCnPr>
                              <wps:spPr bwMode="auto">
                                <a:xfrm flipH="1">
                                  <a:off x="2551" y="0"/>
                                  <a:ext cx="1190" cy="1298"/>
                                </a:xfrm>
                                <a:prstGeom prst="straightConnector1">
                                  <a:avLst/>
                                </a:prstGeom>
                                <a:noFill/>
                                <a:ln w="19050">
                                  <a:solidFill>
                                    <a:srgbClr val="000000"/>
                                  </a:solidFill>
                                  <a:miter lim="800000"/>
                                  <a:headEnd type="none" w="sm" len="sm"/>
                                  <a:tailEnd type="none" w="sm" len="sm"/>
                                </a:ln>
                              </wps:spPr>
                              <wps:bodyPr/>
                            </wps:wsp>
                            <wps:wsp>
                              <wps:cNvPr id="23389" name="Straight Arrow Connector 21340"/>
                              <wps:cNvCnPr>
                                <a:cxnSpLocks noChangeShapeType="1"/>
                              </wps:cNvCnPr>
                              <wps:spPr bwMode="auto">
                                <a:xfrm flipH="1">
                                  <a:off x="850" y="0"/>
                                  <a:ext cx="1241" cy="1298"/>
                                </a:xfrm>
                                <a:prstGeom prst="straightConnector1">
                                  <a:avLst/>
                                </a:prstGeom>
                                <a:noFill/>
                                <a:ln w="19050">
                                  <a:solidFill>
                                    <a:srgbClr val="000000"/>
                                  </a:solidFill>
                                  <a:miter lim="800000"/>
                                  <a:headEnd type="none" w="sm" len="sm"/>
                                  <a:tailEnd type="none" w="sm" len="sm"/>
                                </a:ln>
                              </wps:spPr>
                              <wps:bodyPr/>
                            </wps:wsp>
                            <wps:wsp>
                              <wps:cNvPr id="23390" name="Straight Arrow Connector 21341"/>
                              <wps:cNvCnPr>
                                <a:cxnSpLocks noChangeShapeType="1"/>
                              </wps:cNvCnPr>
                              <wps:spPr bwMode="auto">
                                <a:xfrm flipH="1">
                                  <a:off x="3402" y="318"/>
                                  <a:ext cx="904" cy="1012"/>
                                </a:xfrm>
                                <a:prstGeom prst="straightConnector1">
                                  <a:avLst/>
                                </a:prstGeom>
                                <a:noFill/>
                                <a:ln w="19050">
                                  <a:solidFill>
                                    <a:srgbClr val="000000"/>
                                  </a:solidFill>
                                  <a:miter lim="800000"/>
                                  <a:headEnd type="none" w="sm" len="sm"/>
                                  <a:tailEnd type="none" w="sm" len="sm"/>
                                </a:ln>
                              </wps:spPr>
                              <wps:bodyPr/>
                            </wps:wsp>
                            <wps:wsp>
                              <wps:cNvPr id="23391" name="Straight Arrow Connector 21342"/>
                              <wps:cNvCnPr>
                                <a:cxnSpLocks noChangeShapeType="1"/>
                              </wps:cNvCnPr>
                              <wps:spPr bwMode="auto">
                                <a:xfrm flipH="1">
                                  <a:off x="0" y="212"/>
                                  <a:ext cx="1094" cy="1136"/>
                                </a:xfrm>
                                <a:prstGeom prst="straightConnector1">
                                  <a:avLst/>
                                </a:prstGeom>
                                <a:noFill/>
                                <a:ln w="19050">
                                  <a:solidFill>
                                    <a:srgbClr val="000000"/>
                                  </a:solidFill>
                                  <a:miter lim="800000"/>
                                  <a:headEnd type="none" w="sm" len="sm"/>
                                  <a:tailEnd type="none" w="sm" len="sm"/>
                                </a:ln>
                              </wps:spPr>
                              <wps:bodyPr/>
                            </wps:wsp>
                            <wps:wsp>
                              <wps:cNvPr id="23392" name="Straight Arrow Connector 21343"/>
                              <wps:cNvCnPr>
                                <a:cxnSpLocks noChangeShapeType="1"/>
                              </wps:cNvCnPr>
                              <wps:spPr bwMode="auto">
                                <a:xfrm flipH="1">
                                  <a:off x="4253" y="531"/>
                                  <a:ext cx="617" cy="768"/>
                                </a:xfrm>
                                <a:prstGeom prst="straightConnector1">
                                  <a:avLst/>
                                </a:prstGeom>
                                <a:noFill/>
                                <a:ln w="19050">
                                  <a:solidFill>
                                    <a:srgbClr val="000000"/>
                                  </a:solidFill>
                                  <a:miter lim="800000"/>
                                  <a:headEnd type="none" w="sm" len="sm"/>
                                  <a:tailEnd type="none" w="sm" len="sm"/>
                                </a:ln>
                              </wps:spPr>
                              <wps:bodyPr/>
                            </wps:wsp>
                            <wps:wsp>
                              <wps:cNvPr id="23393" name="Straight Arrow Connector 21344"/>
                              <wps:cNvCnPr>
                                <a:cxnSpLocks noChangeShapeType="1"/>
                              </wps:cNvCnPr>
                              <wps:spPr bwMode="auto">
                                <a:xfrm flipH="1">
                                  <a:off x="4997" y="850"/>
                                  <a:ext cx="426" cy="482"/>
                                </a:xfrm>
                                <a:prstGeom prst="straightConnector1">
                                  <a:avLst/>
                                </a:prstGeom>
                                <a:noFill/>
                                <a:ln w="19050">
                                  <a:solidFill>
                                    <a:srgbClr val="000000"/>
                                  </a:solidFill>
                                  <a:miter lim="800000"/>
                                  <a:headEnd type="none" w="sm" len="sm"/>
                                  <a:tailEnd type="none" w="sm" len="sm"/>
                                </a:ln>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0A9BB811" id="Group 23338" o:spid="_x0000_s2018" style="position:absolute;left:0;text-align:left;margin-left:130.6pt;margin-top:7.65pt;width:172.55pt;height:80.25pt;z-index:251695104;mso-position-horizontal-relative:text;mso-position-vertical-relative:text" coordsize="21914,10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">
                <v:group id="Group 21282" o:spid="_x0000_s2019" style="position:absolute;left:11164;top:106;width:10750;height:10084" coordsize="10751,1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">
                  <v:rect id="Rectangle 21283" o:spid="_x0000_s2020" style="position:absolute;top:4040;width:1703;height: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" filled="f" stroked="f">
                    <v:textbox inset="0,0,0,0">
                      <w:txbxContent>
                        <w:p w14:paraId="32CDF281" w14:textId="77777777" w:rsidR="008E22F8" w:rsidRDefault="008E22F8" w:rsidP="008E22F8">
                          <w:pPr>
                            <w:spacing w:before="0"/>
                            <w:jc w:val="center"/>
                          </w:pPr>
                          <w:r>
                            <w:rPr>
                              <w:rFonts w:ascii="Calibri" w:eastAsia="Calibri" w:hAnsi="Calibri" w:cs="Calibri"/>
                              <w:color w:val="000000"/>
                              <w:sz w:val="20"/>
                            </w:rPr>
                            <w:t>-2</w:t>
                          </w:r>
                        </w:p>
                      </w:txbxContent>
                    </v:textbox>
                  </v:rect>
                  <v:group id="Group 21284" o:spid="_x0000_s2021" style="position:absolute;left:1807;width:8944;height:10087" coordsize="8944,1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">
                    <v:rect id="Rectangle 21285" o:spid="_x0000_s2022" style="position:absolute;left:212;top:106;width:1704;height: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" filled="f" stroked="f">
                      <v:textbox inset="0,0,0,0">
                        <w:txbxContent>
                          <w:p w14:paraId="36942AE5" w14:textId="77777777" w:rsidR="008E22F8" w:rsidRDefault="008E22F8" w:rsidP="008E22F8">
                            <w:pPr>
                              <w:spacing w:before="0"/>
                              <w:jc w:val="center"/>
                            </w:pPr>
                            <w:r>
                              <w:rPr>
                                <w:rFonts w:ascii="Calibri" w:eastAsia="Calibri" w:hAnsi="Calibri" w:cs="Calibri"/>
                                <w:color w:val="000000"/>
                                <w:sz w:val="20"/>
                              </w:rPr>
                              <w:t>-2</w:t>
                            </w:r>
                          </w:p>
                        </w:txbxContent>
                      </v:textbox>
                    </v:rect>
                    <v:group id="Group 21286" o:spid="_x0000_s2023" style="position:absolute;width:8944;height:10087" coordsize="8944,10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">
                      <v:rect id="Rectangle 21287" o:spid="_x0000_s2024" style="position:absolute;left:4997;width:1468;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" filled="f" stroked="f">
                        <v:textbox inset="0,0,0,0">
                          <w:txbxContent>
                            <w:p w14:paraId="0F56D8AB" w14:textId="77777777" w:rsidR="008E22F8" w:rsidRDefault="008E22F8" w:rsidP="008E22F8">
                              <w:pPr>
                                <w:spacing w:before="0" w:after="0"/>
                                <w:jc w:val="center"/>
                              </w:pPr>
                              <w:r>
                                <w:rPr>
                                  <w:rFonts w:ascii="Calibri" w:eastAsia="Calibri" w:hAnsi="Calibri" w:cs="Calibri"/>
                                  <w:color w:val="000000"/>
                                  <w:sz w:val="20"/>
                                </w:rPr>
                                <w:t>-2</w:t>
                              </w:r>
                            </w:p>
                          </w:txbxContent>
                        </v:textbox>
                      </v:rect>
                      <v:group id="Group 21288" o:spid="_x0000_s2025" style="position:absolute;top:1275;width:8944;height:8812" coordsize="8944,8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">
                        <v:rect id="Rectangle 21289" o:spid="_x0000_s2026" style="position:absolute;left:5847;top:6485;width:1438;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" filled="f" stroked="f">
                          <v:textbox inset="0,0,0,0">
                            <w:txbxContent>
                              <w:p w14:paraId="787F8475" w14:textId="77777777" w:rsidR="008E22F8" w:rsidRDefault="008E22F8" w:rsidP="008E22F8">
                                <w:pPr>
                                  <w:spacing w:before="0"/>
                                  <w:jc w:val="center"/>
                                </w:pPr>
                                <w:r>
                                  <w:rPr>
                                    <w:rFonts w:ascii="Calibri" w:eastAsia="Calibri" w:hAnsi="Calibri" w:cs="Calibri"/>
                                    <w:color w:val="000000"/>
                                    <w:sz w:val="20"/>
                                  </w:rPr>
                                  <w:t>-3</w:t>
                                </w:r>
                              </w:p>
                            </w:txbxContent>
                          </v:textbox>
                        </v:rect>
                        <v:group id="Group 21290" o:spid="_x0000_s2027" style="position:absolute;width:8944;height:8811" coordsize="8944,8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">
                          <v:group id="Group 21291" o:spid="_x0000_s2028" style="position:absolute;width:8944;height:6954" coordsize="8944,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">
                            <v:group id="Group 21292" o:spid="_x0000_s2029" style="position:absolute;left:436;width:6966;height:2077" coordorigin="17259,1905" coordsize="6953,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">
                              <v:shape id="Straight Arrow Connector 21293" o:spid="_x0000_s2030" type="#_x0000_t32" style="position:absolute;left:17259;top:3429;width:6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">
                                <v:stroke startarrowwidth="narrow" startarrowlength="short" endarrowwidth="narrow" endarrowlength="short" joinstyle="miter"/>
                              </v:shape>
                              <v:group id="Group 21294" o:spid="_x0000_s2031" style="position:absolute;left:18354;top:1905;width:5426;height:1571" coordorigin="18354,1905" coordsize="5426,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">
                                <v:shape id="Straight Arrow Connector 21295" o:spid="_x0000_s2032" type="#_x0000_t32" style="position:absolute;left:20021;top:1952;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" strokeweight="1.5pt">
                                  <v:stroke startarrowwidth="narrow" startarrowlength="short" endarrowwidth="narrow" endarrowlength="short" joinstyle="miter"/>
                                </v:shape>
                                <v:shape id="Straight Arrow Connector 21296" o:spid="_x0000_s2033" type="#_x0000_t32" style="position:absolute;left:20878;top:1952;width:118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" strokeweight="1.5pt">
                                  <v:stroke startarrowwidth="narrow" startarrowlength="short" endarrowwidth="narrow" endarrowlength="short" joinstyle="miter"/>
                                </v:shape>
                                <v:shape id="Straight Arrow Connector 21297" o:spid="_x0000_s2034" type="#_x0000_t32" style="position:absolute;left:19211;top:1905;width:1239;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" strokeweight="1.5pt">
                                  <v:stroke startarrowwidth="narrow" startarrowlength="short" endarrowwidth="narrow" endarrowlength="short" joinstyle="miter"/>
                                </v:shape>
                                <v:shape id="Straight Arrow Connector 21298" o:spid="_x0000_s2035" type="#_x0000_t32" style="position:absolute;left:21783;top:2238;width:902;height:11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" strokeweight="1.5pt">
                                  <v:stroke startarrowwidth="narrow" startarrowlength="short" endarrowwidth="narrow" endarrowlength="short" joinstyle="miter"/>
                                </v:shape>
                                <v:shape id="Straight Arrow Connector 21299" o:spid="_x0000_s2036" type="#_x0000_t32" style="position:absolute;left:18354;top:2095;width:1092;height:1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" strokeweight="1.5pt">
                                  <v:stroke startarrowwidth="narrow" startarrowlength="short" endarrowwidth="narrow" endarrowlength="short" joinstyle="miter"/>
                                </v:shape>
                                <v:shape id="Straight Arrow Connector 21302" o:spid="_x0000_s2037" type="#_x0000_t32" style="position:absolute;left:22640;top:2571;width:616;height: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" strokeweight="1.5pt">
                                  <v:stroke startarrowwidth="narrow" startarrowlength="short" endarrowwidth="narrow" endarrowlength="short" joinstyle="miter"/>
                                </v:shape>
                                <v:shape id="Straight Arrow Connector 21304" o:spid="_x0000_s2038" type="#_x0000_t32" style="position:absolute;left:23355;top:2905;width:425;height:5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" strokeweight="1.5pt">
                                  <v:stroke startarrowwidth="narrow" startarrowlength="short" endarrowwidth="narrow" endarrowlength="short" joinstyle="miter"/>
                                </v:shape>
                              </v:group>
                            </v:group>
                            <v:oval id="Oval 21305" o:spid="_x0000_s2039" style="position:absolute;left:11;width:7844;height:6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" filled="f" strokeweight="1pt">
                              <v:stroke startarrowwidth="narrow" startarrowlength="short" endarrowwidth="narrow" endarrowlength="short" joinstyle="miter"/>
                              <v:textbox inset="2.53958mm,2.53958mm,2.53958mm,2.53958mm">
                                <w:txbxContent>
                                  <w:p w14:paraId="3AD6B3EE" w14:textId="77777777" w:rsidR="008E22F8" w:rsidRDefault="008E22F8" w:rsidP="008E22F8">
                                    <w:pPr>
                                      <w:jc w:val="left"/>
                                    </w:pPr>
                                  </w:p>
                                </w:txbxContent>
                              </v:textbox>
                            </v:oval>
                            <v:group id="Group 21306" o:spid="_x0000_s2040" style="position:absolute;left:2115;top:4501;width:6829;height:1922;rotation:10120639fd" coordorigin="18688,7143" coordsize="6953,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">
                              <v:shape id="Straight Arrow Connector 21312" o:spid="_x0000_s2041" type="#_x0000_t32" style="position:absolute;left:18688;top:8667;width:6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">
                                <v:stroke startarrowwidth="narrow" startarrowlength="short" endarrowwidth="narrow" endarrowlength="short" joinstyle="miter"/>
                              </v:shape>
                              <v:group id="Group 21313" o:spid="_x0000_s2042" style="position:absolute;left:19783;top:7143;width:5426;height:1572" coordorigin="19783,7143" coordsize="5426,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">
                                <v:shape id="Straight Arrow Connector 21314" o:spid="_x0000_s2043" type="#_x0000_t32" style="position:absolute;left:21450;top:7191;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" strokeweight="1.5pt">
                                  <v:stroke startarrowwidth="narrow" startarrowlength="short" endarrowwidth="narrow" endarrowlength="short" joinstyle="miter"/>
                                </v:shape>
                                <v:shape id="Straight Arrow Connector 21315" o:spid="_x0000_s2044" type="#_x0000_t32" style="position:absolute;left:22307;top:7191;width:118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" strokeweight="1.5pt">
                                  <v:stroke startarrowwidth="narrow" startarrowlength="short" endarrowwidth="narrow" endarrowlength="short" joinstyle="miter"/>
                                </v:shape>
                                <v:shape id="Straight Arrow Connector 21316" o:spid="_x0000_s2045" type="#_x0000_t32" style="position:absolute;left:20640;top:7143;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" strokeweight="1.5pt">
                                  <v:stroke startarrowwidth="narrow" startarrowlength="short" endarrowwidth="narrow" endarrowlength="short" joinstyle="miter"/>
                                </v:shape>
                                <v:shape id="Straight Arrow Connector 21317" o:spid="_x0000_s2046" type="#_x0000_t32" style="position:absolute;left:23212;top:7477;width:902;height:11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" strokeweight="1.5pt">
                                  <v:stroke startarrowwidth="narrow" startarrowlength="short" endarrowwidth="narrow" endarrowlength="short" joinstyle="miter"/>
                                </v:shape>
                                <v:shape id="Straight Arrow Connector 21318" o:spid="_x0000_s2047" type="#_x0000_t32" style="position:absolute;left:19783;top:7334;width:1092;height:13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" strokeweight="1.5pt">
                                  <v:stroke startarrowwidth="narrow" startarrowlength="short" endarrowwidth="narrow" endarrowlength="short" joinstyle="miter"/>
                                </v:shape>
                                <v:shape id="Straight Arrow Connector 21319" o:spid="_x0000_s2048" type="#_x0000_t32" style="position:absolute;left:24069;top:7810;width:616;height: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" strokeweight="1.5pt">
                                  <v:stroke startarrowwidth="narrow" startarrowlength="short" endarrowwidth="narrow" endarrowlength="short" joinstyle="miter"/>
                                </v:shape>
                                <v:shape id="Straight Arrow Connector 21320" o:spid="_x0000_s2049" type="#_x0000_t32" style="position:absolute;left:24784;top:8143;width:425;height:5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" strokeweight="1.5pt">
                                  <v:stroke startarrowwidth="narrow" startarrowlength="short" endarrowwidth="narrow" endarrowlength="short" joinstyle="miter"/>
                                </v:shape>
                              </v:group>
                            </v:group>
                            <v:group id="Group 21321" o:spid="_x0000_s2050" style="position:absolute;left:-2010;top:2422;width:6477;height:2457;rotation:-90" coordorigin="14211,4857" coordsize="6953,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">
                              <v:shape id="Straight Arrow Connector 21322" o:spid="_x0000_s2051" type="#_x0000_t32" style="position:absolute;left:14211;top:6381;width:6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">
                                <v:stroke startarrowwidth="narrow" startarrowlength="short" endarrowwidth="narrow" endarrowlength="short" joinstyle="miter"/>
                              </v:shape>
                              <v:group id="Group 21323" o:spid="_x0000_s2052" style="position:absolute;left:15306;top:4857;width:5426;height:1572" coordorigin="15306,4857" coordsize="5426,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">
                                <v:shape id="Straight Arrow Connector 21324" o:spid="_x0000_s2053" type="#_x0000_t32" style="position:absolute;left:16973;top:4905;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" strokeweight="1.5pt">
                                  <v:stroke startarrowwidth="narrow" startarrowlength="short" endarrowwidth="narrow" endarrowlength="short" joinstyle="miter"/>
                                </v:shape>
                                <v:shape id="Straight Arrow Connector 21325" o:spid="_x0000_s2054" type="#_x0000_t32" style="position:absolute;left:17830;top:4905;width:118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" strokeweight="1.5pt">
                                  <v:stroke startarrowwidth="narrow" startarrowlength="short" endarrowwidth="narrow" endarrowlength="short" joinstyle="miter"/>
                                </v:shape>
                                <v:shape id="Straight Arrow Connector 21326" o:spid="_x0000_s2055" type="#_x0000_t32" style="position:absolute;left:16163;top:4857;width:1239;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" strokeweight="1.5pt">
                                  <v:stroke startarrowwidth="narrow" startarrowlength="short" endarrowwidth="narrow" endarrowlength="short" joinstyle="miter"/>
                                </v:shape>
                                <v:shape id="Straight Arrow Connector 21327" o:spid="_x0000_s2056" type="#_x0000_t32" style="position:absolute;left:18735;top:5191;width:902;height:11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" strokeweight="1.5pt">
                                  <v:stroke startarrowwidth="narrow" startarrowlength="short" endarrowwidth="narrow" endarrowlength="short" joinstyle="miter"/>
                                </v:shape>
                                <v:shape id="Straight Arrow Connector 21328" o:spid="_x0000_s2057" type="#_x0000_t32" style="position:absolute;left:15306;top:5048;width:1092;height:13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" strokeweight="1.5pt">
                                  <v:stroke startarrowwidth="narrow" startarrowlength="short" endarrowwidth="narrow" endarrowlength="short" joinstyle="miter"/>
                                </v:shape>
                                <v:shape id="Straight Arrow Connector 21329" o:spid="_x0000_s2058" type="#_x0000_t32" style="position:absolute;left:19592;top:5524;width:616;height: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" strokeweight="1.5pt">
                                  <v:stroke startarrowwidth="narrow" startarrowlength="short" endarrowwidth="narrow" endarrowlength="short" joinstyle="miter"/>
                                </v:shape>
                                <v:shape id="Straight Arrow Connector 21330" o:spid="_x0000_s2059" type="#_x0000_t32" style="position:absolute;left:20307;top:5857;width:425;height:56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" strokeweight="1.5pt">
                                  <v:stroke startarrowwidth="narrow" startarrowlength="short" endarrowwidth="narrow" endarrowlength="short" joinstyle="miter"/>
                                </v:shape>
                              </v:group>
                            </v:group>
                          </v:group>
                          <v:rect id="Rectangle 21331" o:spid="_x0000_s2060" style="position:absolute;left:3083;top:7123;width:1430;height:1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" filled="f" stroked="f">
                            <v:textbox inset="0,0,0,0">
                              <w:txbxContent>
                                <w:p w14:paraId="724EAC07" w14:textId="77777777" w:rsidR="008E22F8" w:rsidRDefault="008E22F8" w:rsidP="008E22F8">
                                  <w:pPr>
                                    <w:spacing w:before="0"/>
                                    <w:jc w:val="center"/>
                                  </w:pPr>
                                  <w:r>
                                    <w:rPr>
                                      <w:rFonts w:ascii="Calibri" w:eastAsia="Calibri" w:hAnsi="Calibri" w:cs="Calibri"/>
                                      <w:color w:val="000000"/>
                                      <w:sz w:val="20"/>
                                    </w:rPr>
                                    <w:t>-2</w:t>
                                  </w:r>
                                </w:p>
                              </w:txbxContent>
                            </v:textbox>
                          </v:rect>
                        </v:group>
                      </v:group>
                    </v:group>
                  </v:group>
                </v:group>
                <v:group id="Group 21332" o:spid="_x0000_s2061" style="position:absolute;width:7829;height:8322" coordsize="7829,8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">
                  <v:rect id="Rectangle 21333" o:spid="_x0000_s2062" style="position:absolute;left:2339;width:2774;height:1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" filled="f" stroked="f">
                    <v:textbox inset="0,0,0,0">
                      <w:txbxContent>
                        <w:p w14:paraId="2CEF832B" w14:textId="77777777" w:rsidR="008E22F8" w:rsidRDefault="008E22F8" w:rsidP="008E22F8">
                          <w:pPr>
                            <w:spacing w:before="0" w:after="0"/>
                            <w:jc w:val="center"/>
                          </w:pPr>
                          <w:r>
                            <w:rPr>
                              <w:rFonts w:ascii="Calibri" w:eastAsia="Calibri" w:hAnsi="Calibri" w:cs="Calibri"/>
                              <w:color w:val="000000"/>
                              <w:sz w:val="20"/>
                            </w:rPr>
                            <w:t xml:space="preserve">-1 ½ </w:t>
                          </w:r>
                        </w:p>
                      </w:txbxContent>
                    </v:textbox>
                  </v:rect>
                  <v:oval id="Oval 21334" o:spid="_x0000_s2063" style="position:absolute;top:1382;width:7829;height:6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" filled="f" strokeweight="1pt">
                    <v:stroke startarrowwidth="narrow" startarrowlength="short" endarrowwidth="narrow" endarrowlength="short" joinstyle="miter"/>
                    <v:textbox inset="2.53958mm,2.53958mm,2.53958mm,2.53958mm">
                      <w:txbxContent>
                        <w:p w14:paraId="24DCD380" w14:textId="77777777" w:rsidR="008E22F8" w:rsidRDefault="008E22F8" w:rsidP="008E22F8">
                          <w:pPr>
                            <w:spacing w:before="0" w:after="0"/>
                            <w:jc w:val="left"/>
                          </w:pPr>
                        </w:p>
                      </w:txbxContent>
                    </v:textbox>
                  </v:oval>
                  <v:group id="Group 21335" o:spid="_x0000_s2064" style="position:absolute;left:318;top:1807;width:6954;height:1060" coordsize="6967,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">
                    <v:shape id="Straight Arrow Connector 21336" o:spid="_x0000_s2065" type="#_x0000_t32" style="position:absolute;top:1275;width:69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">
                      <v:stroke startarrowwidth="narrow" startarrowlength="short" endarrowwidth="narrow" endarrowlength="short" joinstyle="miter"/>
                    </v:shape>
                    <v:group id="Group 21337" o:spid="_x0000_s2066" style="position:absolute;left:1063;width:5423;height:1346" coordsize="5423,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">
                      <v:shape id="Straight Arrow Connector 21338" o:spid="_x0000_s2067" type="#_x0000_t32" style="position:absolute;left:1701;width:1241;height:12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" strokeweight="1.5pt">
                        <v:stroke startarrowwidth="narrow" startarrowlength="short" endarrowwidth="narrow" endarrowlength="short" joinstyle="miter"/>
                      </v:shape>
                      <v:shape id="Straight Arrow Connector 21339" o:spid="_x0000_s2068" type="#_x0000_t32" style="position:absolute;left:2551;width:1190;height:12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" strokeweight="1.5pt">
                        <v:stroke startarrowwidth="narrow" startarrowlength="short" endarrowwidth="narrow" endarrowlength="short" joinstyle="miter"/>
                      </v:shape>
                      <v:shape id="Straight Arrow Connector 21340" o:spid="_x0000_s2069" type="#_x0000_t32" style="position:absolute;left:850;width:1241;height:12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" strokeweight="1.5pt">
                        <v:stroke startarrowwidth="narrow" startarrowlength="short" endarrowwidth="narrow" endarrowlength="short" joinstyle="miter"/>
                      </v:shape>
                      <v:shape id="Straight Arrow Connector 21341" o:spid="_x0000_s2070" type="#_x0000_t32" style="position:absolute;left:3402;top:318;width:904;height:10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" strokeweight="1.5pt">
                        <v:stroke startarrowwidth="narrow" startarrowlength="short" endarrowwidth="narrow" endarrowlength="short" joinstyle="miter"/>
                      </v:shape>
                      <v:shape id="Straight Arrow Connector 21342" o:spid="_x0000_s2071" type="#_x0000_t32" style="position:absolute;top:212;width:1094;height:11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" strokeweight="1.5pt">
                        <v:stroke startarrowwidth="narrow" startarrowlength="short" endarrowwidth="narrow" endarrowlength="short" joinstyle="miter"/>
                      </v:shape>
                      <v:shape id="Straight Arrow Connector 21343" o:spid="_x0000_s2072" type="#_x0000_t32" style="position:absolute;left:4253;top:531;width:617;height:7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" strokeweight="1.5pt">
                        <v:stroke startarrowwidth="narrow" startarrowlength="short" endarrowwidth="narrow" endarrowlength="short" joinstyle="miter"/>
                      </v:shape>
                      <v:shape id="Straight Arrow Connector 21344" o:spid="_x0000_s2073" type="#_x0000_t32" style="position:absolute;left:4997;top:850;width:426;height:4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" strokeweight="1.5pt">
                        <v:stroke startarrowwidth="narrow" startarrowlength="short" endarrowwidth="narrow" endarrowlength="short" joinstyle="miter"/>
                      </v:shape>
                    </v:group>
                  </v:group>
                </v:group>
                <w10:wrap type="square"/>
              </v:group>
            </w:pict>
          </mc:Fallback>
        </mc:AlternateContent>
      </w:r>
    </w:p>
    <w:p w14:paraId="41DD5EFF" w14:textId="77777777" w:rsidR="008E22F8" w:rsidRPr="009D4627" w:rsidRDefault="008E22F8" w:rsidP="008E22F8">
      <w:pPr>
        <w:spacing w:before="0" w:line="240" w:lineRule="auto"/>
        <w:rPr>
          <w:rFonts w:eastAsia="Calibri"/>
          <w:color w:val="auto"/>
          <w:lang w:eastAsia="en-MY"/>
        </w:rPr>
      </w:pP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p>
    <w:p w14:paraId="64924130" w14:textId="77777777" w:rsidR="008E22F8" w:rsidRPr="009D4627" w:rsidRDefault="008E22F8" w:rsidP="008E22F8">
      <w:pPr>
        <w:spacing w:before="0" w:line="240" w:lineRule="auto"/>
        <w:rPr>
          <w:rFonts w:eastAsia="Calibri"/>
          <w:color w:val="auto"/>
          <w:lang w:eastAsia="en-MY"/>
        </w:rPr>
      </w:pPr>
    </w:p>
    <w:p w14:paraId="59DBC57F" w14:textId="77777777" w:rsidR="008E22F8" w:rsidRPr="009D4627" w:rsidRDefault="008E22F8" w:rsidP="008E22F8">
      <w:pPr>
        <w:spacing w:before="0" w:line="240" w:lineRule="auto"/>
        <w:rPr>
          <w:rFonts w:eastAsia="Calibri"/>
          <w:color w:val="auto"/>
          <w:lang w:eastAsia="en-MY"/>
        </w:rPr>
      </w:pPr>
    </w:p>
    <w:p w14:paraId="5F348B07"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Prism cover test (PCT):</w:t>
      </w:r>
      <w:r w:rsidRPr="009D4627">
        <w:rPr>
          <w:rFonts w:eastAsia="Calibri"/>
          <w:b/>
          <w:color w:val="auto"/>
          <w:lang w:eastAsia="en-MY"/>
        </w:rPr>
        <w:tab/>
      </w:r>
      <w:r w:rsidRPr="009D4627">
        <w:rPr>
          <w:rFonts w:eastAsia="Calibri"/>
          <w:color w:val="auto"/>
          <w:lang w:eastAsia="en-MY"/>
        </w:rPr>
        <w:t>with glasses 1/3 m 30</w:t>
      </w:r>
      <w:r w:rsidRPr="009D4627">
        <w:rPr>
          <w:rFonts w:eastAsia="Calibri"/>
          <w:color w:val="auto"/>
          <w:vertAlign w:val="superscript"/>
          <w:lang w:eastAsia="en-MY"/>
        </w:rPr>
        <w:t>Δ</w:t>
      </w:r>
      <w:r w:rsidRPr="009D4627">
        <w:rPr>
          <w:rFonts w:eastAsia="Calibri"/>
          <w:color w:val="auto"/>
          <w:lang w:eastAsia="en-MY"/>
        </w:rPr>
        <w:t xml:space="preserve"> LXT 8</w:t>
      </w:r>
      <w:r w:rsidRPr="009D4627">
        <w:rPr>
          <w:rFonts w:eastAsia="Calibri"/>
          <w:color w:val="auto"/>
          <w:vertAlign w:val="superscript"/>
          <w:lang w:eastAsia="en-MY"/>
        </w:rPr>
        <w:t>Δ</w:t>
      </w:r>
      <w:r w:rsidRPr="009D4627">
        <w:rPr>
          <w:rFonts w:eastAsia="Calibri"/>
          <w:color w:val="auto"/>
          <w:lang w:eastAsia="en-MY"/>
        </w:rPr>
        <w:t xml:space="preserve"> LHT </w:t>
      </w:r>
    </w:p>
    <w:p w14:paraId="7DC668FA" w14:textId="77777777" w:rsidR="008E22F8" w:rsidRPr="009D4627" w:rsidRDefault="008E22F8" w:rsidP="008E22F8">
      <w:pPr>
        <w:spacing w:before="0" w:after="0" w:line="240" w:lineRule="auto"/>
        <w:rPr>
          <w:rFonts w:eastAsia="Calibri"/>
          <w:color w:val="auto"/>
          <w:lang w:eastAsia="en-MY"/>
        </w:rPr>
      </w:pPr>
      <w:r w:rsidRPr="009D4627">
        <w:rPr>
          <w:rFonts w:eastAsia="Times New Roman"/>
          <w:noProof/>
          <w:color w:val="auto"/>
          <w:lang w:val="en-US"/>
        </w:rPr>
        <w:t xml:space="preserve"> </w:t>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t xml:space="preserve">6 </w:t>
      </w:r>
      <w:proofErr w:type="gramStart"/>
      <w:r w:rsidRPr="009D4627">
        <w:rPr>
          <w:rFonts w:eastAsia="Calibri"/>
          <w:color w:val="auto"/>
          <w:lang w:eastAsia="en-MY"/>
        </w:rPr>
        <w:t>m:-</w:t>
      </w:r>
      <w:proofErr w:type="gramEnd"/>
    </w:p>
    <w:p w14:paraId="3FB62C11" w14:textId="349C78F3" w:rsidR="008E22F8" w:rsidRPr="009D4627" w:rsidRDefault="00A2792E" w:rsidP="008E22F8">
      <w:pPr>
        <w:spacing w:before="0" w:after="0" w:line="240" w:lineRule="auto"/>
        <w:rPr>
          <w:rFonts w:eastAsia="Calibri"/>
          <w:color w:val="auto"/>
          <w:lang w:eastAsia="en-MY"/>
        </w:rPr>
      </w:pPr>
      <w:r w:rsidRPr="009D4627">
        <w:rPr>
          <w:noProof/>
        </w:rPr>
        <mc:AlternateContent>
          <mc:Choice Requires="wpg">
            <w:drawing>
              <wp:anchor distT="0" distB="0" distL="114300" distR="114300" simplePos="0" relativeHeight="251694080" behindDoc="0" locked="0" layoutInCell="1" allowOverlap="1" wp14:anchorId="697DFE63" wp14:editId="3B78DC91">
                <wp:simplePos x="0" y="0"/>
                <wp:positionH relativeFrom="column">
                  <wp:posOffset>1295400</wp:posOffset>
                </wp:positionH>
                <wp:positionV relativeFrom="paragraph">
                  <wp:posOffset>178435</wp:posOffset>
                </wp:positionV>
                <wp:extent cx="3448050" cy="1495425"/>
                <wp:effectExtent l="0" t="0" r="0" b="0"/>
                <wp:wrapNone/>
                <wp:docPr id="23323" name="Group 23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8050" cy="1495425"/>
                          <a:chOff x="-571" y="0"/>
                          <a:chExt cx="34480" cy="14960"/>
                        </a:xfrm>
                      </wpg:grpSpPr>
                      <wps:wsp>
                        <wps:cNvPr id="23324" name="Rectangle 21346"/>
                        <wps:cNvSpPr>
                          <a:spLocks noChangeArrowheads="1"/>
                        </wps:cNvSpPr>
                        <wps:spPr bwMode="auto">
                          <a:xfrm>
                            <a:off x="10477" y="11239"/>
                            <a:ext cx="11335" cy="3721"/>
                          </a:xfrm>
                          <a:prstGeom prst="rect">
                            <a:avLst/>
                          </a:prstGeom>
                          <a:noFill/>
                          <a:ln>
                            <a:noFill/>
                          </a:ln>
                        </wps:spPr>
                        <wps:txbx>
                          <w:txbxContent>
                            <w:p w14:paraId="1B7D40A5" w14:textId="77777777" w:rsidR="008E22F8" w:rsidRDefault="008E22F8" w:rsidP="008E22F8">
                              <w:pPr>
                                <w:spacing w:before="0" w:after="0"/>
                                <w:jc w:val="center"/>
                              </w:pPr>
                              <w:r>
                                <w:rPr>
                                  <w:rFonts w:ascii="Calibri" w:eastAsia="Calibri" w:hAnsi="Calibri" w:cs="Calibri"/>
                                  <w:color w:val="000000"/>
                                </w:rPr>
                                <w:t>30</w:t>
                              </w:r>
                              <w:r w:rsidRPr="0087343E">
                                <w:rPr>
                                  <w:rFonts w:ascii="Calibri" w:eastAsia="Calibri" w:hAnsi="Calibri" w:cs="Calibri"/>
                                  <w:color w:val="000000"/>
                                  <w:vertAlign w:val="superscript"/>
                                </w:rPr>
                                <w:t>Δ</w:t>
                              </w:r>
                              <w:r>
                                <w:rPr>
                                  <w:rFonts w:ascii="Calibri" w:eastAsia="Calibri" w:hAnsi="Calibri" w:cs="Calibri"/>
                                  <w:color w:val="000000"/>
                                </w:rPr>
                                <w:t xml:space="preserve"> LXT 6</w:t>
                              </w:r>
                              <w:r w:rsidRPr="0087343E">
                                <w:rPr>
                                  <w:color w:val="000000"/>
                                  <w:vertAlign w:val="superscript"/>
                                </w:rPr>
                                <w:t>Δ</w:t>
                              </w:r>
                              <w:r>
                                <w:rPr>
                                  <w:rFonts w:ascii="Calibri" w:eastAsia="Calibri" w:hAnsi="Calibri" w:cs="Calibri"/>
                                  <w:color w:val="000000"/>
                                </w:rPr>
                                <w:t xml:space="preserve"> LHT</w:t>
                              </w:r>
                            </w:p>
                          </w:txbxContent>
                        </wps:txbx>
                        <wps:bodyPr rot="0" vert="horz" wrap="square" lIns="0" tIns="0" rIns="0" bIns="0" anchor="ctr" anchorCtr="0" upright="1">
                          <a:noAutofit/>
                        </wps:bodyPr>
                      </wps:wsp>
                      <wpg:grpSp>
                        <wpg:cNvPr id="23325" name="Group 21347"/>
                        <wpg:cNvGrpSpPr>
                          <a:grpSpLocks/>
                        </wpg:cNvGrpSpPr>
                        <wpg:grpSpPr bwMode="auto">
                          <a:xfrm>
                            <a:off x="-571" y="0"/>
                            <a:ext cx="34480" cy="11040"/>
                            <a:chOff x="-571" y="0"/>
                            <a:chExt cx="34480" cy="11040"/>
                          </a:xfrm>
                        </wpg:grpSpPr>
                        <wps:wsp>
                          <wps:cNvPr id="23326" name="Rectangle 21348"/>
                          <wps:cNvSpPr>
                            <a:spLocks noChangeArrowheads="1"/>
                          </wps:cNvSpPr>
                          <wps:spPr bwMode="auto">
                            <a:xfrm>
                              <a:off x="24765" y="4572"/>
                              <a:ext cx="9144" cy="3714"/>
                            </a:xfrm>
                            <a:prstGeom prst="rect">
                              <a:avLst/>
                            </a:prstGeom>
                            <a:noFill/>
                            <a:ln>
                              <a:noFill/>
                            </a:ln>
                          </wps:spPr>
                          <wps:txbx>
                            <w:txbxContent>
                              <w:p w14:paraId="54DF2381" w14:textId="77777777" w:rsidR="008E22F8" w:rsidRPr="0087343E" w:rsidRDefault="008E22F8" w:rsidP="008E22F8">
                                <w:pPr>
                                  <w:spacing w:before="0" w:after="0" w:line="240" w:lineRule="auto"/>
                                  <w:jc w:val="center"/>
                                  <w:rPr>
                                    <w:rFonts w:asciiTheme="minorHAnsi" w:hAnsiTheme="minorHAnsi" w:cstheme="minorHAnsi"/>
                                  </w:rPr>
                                </w:pPr>
                                <w:r w:rsidRPr="0087343E">
                                  <w:rPr>
                                    <w:rFonts w:asciiTheme="minorHAnsi" w:eastAsia="Calibri" w:hAnsiTheme="minorHAnsi" w:cstheme="minorHAnsi"/>
                                    <w:color w:val="000000"/>
                                  </w:rPr>
                                  <w:t>8</w:t>
                                </w:r>
                                <w:r w:rsidRPr="0087343E">
                                  <w:rPr>
                                    <w:rFonts w:asciiTheme="minorHAnsi" w:eastAsia="Calibri" w:hAnsiTheme="minorHAnsi" w:cstheme="minorHAnsi"/>
                                    <w:color w:val="000000"/>
                                    <w:vertAlign w:val="superscript"/>
                                  </w:rPr>
                                  <w:t>Δ</w:t>
                                </w:r>
                                <w:r w:rsidRPr="0087343E">
                                  <w:rPr>
                                    <w:rFonts w:asciiTheme="minorHAnsi" w:eastAsia="Calibri" w:hAnsiTheme="minorHAnsi" w:cstheme="minorHAnsi"/>
                                    <w:color w:val="000000"/>
                                  </w:rPr>
                                  <w:t xml:space="preserve"> LXT</w:t>
                                </w:r>
                                <w:r w:rsidRPr="0087343E">
                                  <w:rPr>
                                    <w:rFonts w:asciiTheme="minorHAnsi" w:hAnsiTheme="minorHAnsi" w:cstheme="minorHAnsi"/>
                                    <w:color w:val="000000"/>
                                  </w:rPr>
                                  <w:t>12</w:t>
                                </w:r>
                                <w:r w:rsidRPr="0087343E">
                                  <w:rPr>
                                    <w:rFonts w:asciiTheme="minorHAnsi" w:hAnsiTheme="minorHAnsi" w:cstheme="minorHAnsi"/>
                                    <w:color w:val="000000"/>
                                    <w:vertAlign w:val="superscript"/>
                                  </w:rPr>
                                  <w:t>Δ</w:t>
                                </w:r>
                                <w:r w:rsidRPr="0087343E">
                                  <w:rPr>
                                    <w:rFonts w:asciiTheme="minorHAnsi" w:eastAsia="Calibri" w:hAnsiTheme="minorHAnsi" w:cstheme="minorHAnsi"/>
                                    <w:color w:val="000000"/>
                                  </w:rPr>
                                  <w:t xml:space="preserve"> LHT</w:t>
                                </w:r>
                              </w:p>
                            </w:txbxContent>
                          </wps:txbx>
                          <wps:bodyPr rot="0" vert="horz" wrap="square" lIns="0" tIns="0" rIns="0" bIns="0" anchor="ctr" anchorCtr="0" upright="1">
                            <a:noAutofit/>
                          </wps:bodyPr>
                        </wps:wsp>
                        <wpg:grpSp>
                          <wpg:cNvPr id="23327" name="Group 21349"/>
                          <wpg:cNvGrpSpPr>
                            <a:grpSpLocks/>
                          </wpg:cNvGrpSpPr>
                          <wpg:grpSpPr bwMode="auto">
                            <a:xfrm>
                              <a:off x="-571" y="0"/>
                              <a:ext cx="25050" cy="11040"/>
                              <a:chOff x="-571" y="0"/>
                              <a:chExt cx="25050" cy="11040"/>
                            </a:xfrm>
                          </wpg:grpSpPr>
                          <wps:wsp>
                            <wps:cNvPr id="23328" name="Rectangle 21350"/>
                            <wps:cNvSpPr>
                              <a:spLocks noChangeArrowheads="1"/>
                            </wps:cNvSpPr>
                            <wps:spPr bwMode="auto">
                              <a:xfrm>
                                <a:off x="10477" y="0"/>
                                <a:ext cx="9144" cy="2067"/>
                              </a:xfrm>
                              <a:prstGeom prst="rect">
                                <a:avLst/>
                              </a:prstGeom>
                              <a:noFill/>
                              <a:ln>
                                <a:noFill/>
                              </a:ln>
                            </wps:spPr>
                            <wps:txbx>
                              <w:txbxContent>
                                <w:p w14:paraId="3D8D0FD5" w14:textId="77777777" w:rsidR="008E22F8" w:rsidRDefault="008E22F8" w:rsidP="008E22F8">
                                  <w:pPr>
                                    <w:spacing w:before="0"/>
                                    <w:jc w:val="center"/>
                                  </w:pPr>
                                  <w:r>
                                    <w:rPr>
                                      <w:rFonts w:ascii="Calibri" w:eastAsia="Calibri" w:hAnsi="Calibri" w:cs="Calibri"/>
                                      <w:color w:val="000000"/>
                                    </w:rPr>
                                    <w:t>35</w:t>
                                  </w:r>
                                  <w:r w:rsidRPr="0087343E">
                                    <w:rPr>
                                      <w:rFonts w:ascii="Calibri" w:eastAsia="Calibri" w:hAnsi="Calibri" w:cs="Calibri"/>
                                      <w:color w:val="000000"/>
                                      <w:vertAlign w:val="superscript"/>
                                    </w:rPr>
                                    <w:t>Δ</w:t>
                                  </w:r>
                                  <w:r>
                                    <w:rPr>
                                      <w:rFonts w:ascii="Calibri" w:eastAsia="Calibri" w:hAnsi="Calibri" w:cs="Calibri"/>
                                      <w:color w:val="000000"/>
                                    </w:rPr>
                                    <w:t xml:space="preserve"> LXT</w:t>
                                  </w:r>
                                </w:p>
                              </w:txbxContent>
                            </wps:txbx>
                            <wps:bodyPr rot="0" vert="horz" wrap="square" lIns="0" tIns="0" rIns="0" bIns="0" anchor="ctr" anchorCtr="0" upright="1">
                              <a:noAutofit/>
                            </wps:bodyPr>
                          </wps:wsp>
                          <wpg:grpSp>
                            <wpg:cNvPr id="23329" name="Group 21351"/>
                            <wpg:cNvGrpSpPr>
                              <a:grpSpLocks/>
                            </wpg:cNvGrpSpPr>
                            <wpg:grpSpPr bwMode="auto">
                              <a:xfrm>
                                <a:off x="-571" y="1809"/>
                                <a:ext cx="25050" cy="9231"/>
                                <a:chOff x="-571" y="1809"/>
                                <a:chExt cx="25050" cy="9230"/>
                              </a:xfrm>
                            </wpg:grpSpPr>
                            <wps:wsp>
                              <wps:cNvPr id="23330" name="Rectangle 21352"/>
                              <wps:cNvSpPr>
                                <a:spLocks noChangeArrowheads="1"/>
                              </wps:cNvSpPr>
                              <wps:spPr bwMode="auto">
                                <a:xfrm>
                                  <a:off x="-571" y="4572"/>
                                  <a:ext cx="9143" cy="3714"/>
                                </a:xfrm>
                                <a:prstGeom prst="rect">
                                  <a:avLst/>
                                </a:prstGeom>
                                <a:noFill/>
                                <a:ln>
                                  <a:noFill/>
                                </a:ln>
                              </wps:spPr>
                              <wps:txbx>
                                <w:txbxContent>
                                  <w:p w14:paraId="49DA7D76" w14:textId="77777777" w:rsidR="008E22F8" w:rsidRDefault="008E22F8" w:rsidP="008E22F8">
                                    <w:pPr>
                                      <w:spacing w:before="0" w:after="0" w:line="240" w:lineRule="auto"/>
                                      <w:jc w:val="center"/>
                                    </w:pPr>
                                    <w:r>
                                      <w:rPr>
                                        <w:rFonts w:ascii="Calibri" w:eastAsia="Calibri" w:hAnsi="Calibri" w:cs="Calibri"/>
                                        <w:color w:val="000000"/>
                                      </w:rPr>
                                      <w:t>35</w:t>
                                    </w:r>
                                    <w:r w:rsidRPr="0087343E">
                                      <w:rPr>
                                        <w:rFonts w:ascii="Calibri" w:eastAsia="Calibri" w:hAnsi="Calibri" w:cs="Calibri"/>
                                        <w:color w:val="000000"/>
                                        <w:vertAlign w:val="superscript"/>
                                      </w:rPr>
                                      <w:t>Δ</w:t>
                                    </w:r>
                                    <w:r>
                                      <w:rPr>
                                        <w:rFonts w:ascii="Calibri" w:eastAsia="Calibri" w:hAnsi="Calibri" w:cs="Calibri"/>
                                        <w:color w:val="000000"/>
                                      </w:rPr>
                                      <w:t xml:space="preserve"> LXT</w:t>
                                    </w:r>
                                  </w:p>
                                </w:txbxContent>
                              </wps:txbx>
                              <wps:bodyPr rot="0" vert="horz" wrap="square" lIns="0" tIns="0" rIns="0" bIns="0" anchor="ctr" anchorCtr="0" upright="1">
                                <a:noAutofit/>
                              </wps:bodyPr>
                            </wps:wsp>
                            <wpg:grpSp>
                              <wpg:cNvPr id="23331" name="Group 21353"/>
                              <wpg:cNvGrpSpPr>
                                <a:grpSpLocks/>
                              </wpg:cNvGrpSpPr>
                              <wpg:grpSpPr bwMode="auto">
                                <a:xfrm>
                                  <a:off x="6861" y="1809"/>
                                  <a:ext cx="17618" cy="9231"/>
                                  <a:chOff x="6861" y="1809"/>
                                  <a:chExt cx="17617" cy="9230"/>
                                </a:xfrm>
                              </wpg:grpSpPr>
                              <wps:wsp>
                                <wps:cNvPr id="23332" name="Rectangle 21354"/>
                                <wps:cNvSpPr>
                                  <a:spLocks noChangeArrowheads="1"/>
                                </wps:cNvSpPr>
                                <wps:spPr bwMode="auto">
                                  <a:xfrm>
                                    <a:off x="10572" y="4572"/>
                                    <a:ext cx="10366" cy="3721"/>
                                  </a:xfrm>
                                  <a:prstGeom prst="rect">
                                    <a:avLst/>
                                  </a:prstGeom>
                                  <a:noFill/>
                                  <a:ln>
                                    <a:noFill/>
                                  </a:ln>
                                </wps:spPr>
                                <wps:txbx>
                                  <w:txbxContent>
                                    <w:p w14:paraId="0CA32EA7" w14:textId="77777777" w:rsidR="008E22F8" w:rsidRDefault="008E22F8" w:rsidP="008E22F8">
                                      <w:pPr>
                                        <w:spacing w:before="0" w:after="0" w:line="240" w:lineRule="auto"/>
                                        <w:jc w:val="center"/>
                                      </w:pPr>
                                      <w:r>
                                        <w:rPr>
                                          <w:rFonts w:ascii="Calibri" w:eastAsia="Calibri" w:hAnsi="Calibri" w:cs="Calibri"/>
                                          <w:color w:val="000000"/>
                                        </w:rPr>
                                        <w:t>25</w:t>
                                      </w:r>
                                      <w:r w:rsidRPr="0087343E">
                                        <w:rPr>
                                          <w:rFonts w:ascii="Calibri" w:eastAsia="Calibri" w:hAnsi="Calibri" w:cs="Calibri"/>
                                          <w:color w:val="000000"/>
                                          <w:vertAlign w:val="superscript"/>
                                        </w:rPr>
                                        <w:t>Δ</w:t>
                                      </w:r>
                                      <w:r>
                                        <w:rPr>
                                          <w:rFonts w:ascii="Calibri" w:eastAsia="Calibri" w:hAnsi="Calibri" w:cs="Calibri"/>
                                          <w:color w:val="000000"/>
                                        </w:rPr>
                                        <w:t xml:space="preserve"> LXT 6</w:t>
                                      </w:r>
                                      <w:r w:rsidRPr="0087343E">
                                        <w:rPr>
                                          <w:color w:val="000000"/>
                                          <w:vertAlign w:val="superscript"/>
                                        </w:rPr>
                                        <w:t>Δ</w:t>
                                      </w:r>
                                      <w:r>
                                        <w:rPr>
                                          <w:rFonts w:ascii="Calibri" w:eastAsia="Calibri" w:hAnsi="Calibri" w:cs="Calibri"/>
                                          <w:color w:val="000000"/>
                                        </w:rPr>
                                        <w:t xml:space="preserve"> LHT</w:t>
                                      </w:r>
                                    </w:p>
                                  </w:txbxContent>
                                </wps:txbx>
                                <wps:bodyPr rot="0" vert="horz" wrap="square" lIns="0" tIns="0" rIns="0" bIns="0" anchor="ctr" anchorCtr="0" upright="1">
                                  <a:noAutofit/>
                                </wps:bodyPr>
                              </wps:wsp>
                              <wpg:grpSp>
                                <wpg:cNvPr id="23333" name="Group 21355"/>
                                <wpg:cNvGrpSpPr>
                                  <a:grpSpLocks/>
                                </wpg:cNvGrpSpPr>
                                <wpg:grpSpPr bwMode="auto">
                                  <a:xfrm>
                                    <a:off x="6861" y="1809"/>
                                    <a:ext cx="17618" cy="9231"/>
                                    <a:chOff x="6861" y="1809"/>
                                    <a:chExt cx="17617" cy="9230"/>
                                  </a:xfrm>
                                </wpg:grpSpPr>
                                <wps:wsp>
                                  <wps:cNvPr id="23334" name="Straight Arrow Connector 21356"/>
                                  <wps:cNvCnPr>
                                    <a:cxnSpLocks noChangeShapeType="1"/>
                                  </wps:cNvCnPr>
                                  <wps:spPr bwMode="auto">
                                    <a:xfrm rot="10800000">
                                      <a:off x="15049" y="1809"/>
                                      <a:ext cx="0" cy="2564"/>
                                    </a:xfrm>
                                    <a:prstGeom prst="straightConnector1">
                                      <a:avLst/>
                                    </a:prstGeom>
                                    <a:noFill/>
                                    <a:ln w="28575">
                                      <a:solidFill>
                                        <a:srgbClr val="000000"/>
                                      </a:solidFill>
                                      <a:miter lim="800000"/>
                                      <a:headEnd type="none" w="sm" len="sm"/>
                                      <a:tailEnd type="triangle" w="med" len="med"/>
                                    </a:ln>
                                  </wps:spPr>
                                  <wps:bodyPr/>
                                </wps:wsp>
                                <wps:wsp>
                                  <wps:cNvPr id="23335" name="Straight Arrow Connector 21357"/>
                                  <wps:cNvCnPr>
                                    <a:cxnSpLocks noChangeShapeType="1"/>
                                  </wps:cNvCnPr>
                                  <wps:spPr bwMode="auto">
                                    <a:xfrm>
                                      <a:off x="15049" y="8477"/>
                                      <a:ext cx="0" cy="2563"/>
                                    </a:xfrm>
                                    <a:prstGeom prst="straightConnector1">
                                      <a:avLst/>
                                    </a:prstGeom>
                                    <a:noFill/>
                                    <a:ln w="28575">
                                      <a:solidFill>
                                        <a:srgbClr val="000000"/>
                                      </a:solidFill>
                                      <a:miter lim="800000"/>
                                      <a:headEnd type="none" w="sm" len="sm"/>
                                      <a:tailEnd type="triangle" w="med" len="med"/>
                                    </a:ln>
                                  </wps:spPr>
                                  <wps:bodyPr/>
                                </wps:wsp>
                                <wps:wsp>
                                  <wps:cNvPr id="23336" name="Straight Arrow Connector 21358"/>
                                  <wps:cNvCnPr>
                                    <a:cxnSpLocks noChangeShapeType="1"/>
                                  </wps:cNvCnPr>
                                  <wps:spPr bwMode="auto">
                                    <a:xfrm>
                                      <a:off x="20955" y="6477"/>
                                      <a:ext cx="3524" cy="0"/>
                                    </a:xfrm>
                                    <a:prstGeom prst="straightConnector1">
                                      <a:avLst/>
                                    </a:prstGeom>
                                    <a:noFill/>
                                    <a:ln w="12700">
                                      <a:solidFill>
                                        <a:srgbClr val="000000"/>
                                      </a:solidFill>
                                      <a:miter lim="800000"/>
                                      <a:headEnd/>
                                      <a:tailEnd type="triangle" w="med" len="med"/>
                                    </a:ln>
                                  </wps:spPr>
                                  <wps:bodyPr/>
                                </wps:wsp>
                                <wps:wsp>
                                  <wps:cNvPr id="23337" name="Straight Arrow Connector 21359"/>
                                  <wps:cNvCnPr>
                                    <a:cxnSpLocks noChangeShapeType="1"/>
                                  </wps:cNvCnPr>
                                  <wps:spPr bwMode="auto">
                                    <a:xfrm flipH="1">
                                      <a:off x="6861" y="6381"/>
                                      <a:ext cx="3711" cy="0"/>
                                    </a:xfrm>
                                    <a:prstGeom prst="straightConnector1">
                                      <a:avLst/>
                                    </a:prstGeom>
                                    <a:noFill/>
                                    <a:ln w="12700">
                                      <a:solidFill>
                                        <a:srgbClr val="000000"/>
                                      </a:solidFill>
                                      <a:miter lim="800000"/>
                                      <a:headEnd/>
                                      <a:tailEnd type="triangle" w="med" len="med"/>
                                    </a:ln>
                                  </wps:spPr>
                                  <wps:bodyPr/>
                                </wps:wsp>
                              </wpg:grpSp>
                            </wpg:grpSp>
                          </wpg:grpSp>
                        </wpg:grpSp>
                      </wpg:grpSp>
                    </wpg:wgp>
                  </a:graphicData>
                </a:graphic>
                <wp14:sizeRelH relativeFrom="page">
                  <wp14:pctWidth>0</wp14:pctWidth>
                </wp14:sizeRelH>
                <wp14:sizeRelV relativeFrom="page">
                  <wp14:pctHeight>0</wp14:pctHeight>
                </wp14:sizeRelV>
              </wp:anchor>
            </w:drawing>
          </mc:Choice>
          <mc:Fallback>
            <w:pict>
              <v:group w14:anchorId="697DFE63" id="Group 23323" o:spid="_x0000_s2074" style="position:absolute;left:0;text-align:left;margin-left:102pt;margin-top:14.05pt;width:271.5pt;height:117.75pt;z-index:251694080;mso-position-horizontal-relative:text;mso-position-vertical-relative:text" coordorigin="-571" coordsize="34480,14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">
                <v:rect id="Rectangle 21346" o:spid="_x0000_s2075" style="position:absolute;left:10477;top:11239;width:11335;height: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" filled="f" stroked="f">
                  <v:textbox inset="0,0,0,0">
                    <w:txbxContent>
                      <w:p w14:paraId="1B7D40A5" w14:textId="77777777" w:rsidR="008E22F8" w:rsidRDefault="008E22F8" w:rsidP="008E22F8">
                        <w:pPr>
                          <w:spacing w:before="0" w:after="0"/>
                          <w:jc w:val="center"/>
                        </w:pPr>
                        <w:r>
                          <w:rPr>
                            <w:rFonts w:ascii="Calibri" w:eastAsia="Calibri" w:hAnsi="Calibri" w:cs="Calibri"/>
                            <w:color w:val="000000"/>
                          </w:rPr>
                          <w:t>30</w:t>
                        </w:r>
                        <w:r w:rsidRPr="0087343E">
                          <w:rPr>
                            <w:rFonts w:ascii="Calibri" w:eastAsia="Calibri" w:hAnsi="Calibri" w:cs="Calibri"/>
                            <w:color w:val="000000"/>
                            <w:vertAlign w:val="superscript"/>
                          </w:rPr>
                          <w:t>Δ</w:t>
                        </w:r>
                        <w:r>
                          <w:rPr>
                            <w:rFonts w:ascii="Calibri" w:eastAsia="Calibri" w:hAnsi="Calibri" w:cs="Calibri"/>
                            <w:color w:val="000000"/>
                          </w:rPr>
                          <w:t xml:space="preserve"> LXT 6</w:t>
                        </w:r>
                        <w:r w:rsidRPr="0087343E">
                          <w:rPr>
                            <w:color w:val="000000"/>
                            <w:vertAlign w:val="superscript"/>
                          </w:rPr>
                          <w:t>Δ</w:t>
                        </w:r>
                        <w:r>
                          <w:rPr>
                            <w:rFonts w:ascii="Calibri" w:eastAsia="Calibri" w:hAnsi="Calibri" w:cs="Calibri"/>
                            <w:color w:val="000000"/>
                          </w:rPr>
                          <w:t xml:space="preserve"> LHT</w:t>
                        </w:r>
                      </w:p>
                    </w:txbxContent>
                  </v:textbox>
                </v:rect>
                <v:group id="Group 21347" o:spid="_x0000_s2076" style="position:absolute;left:-571;width:34480;height:11040" coordorigin="-571" coordsize="34480,1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">
                  <v:rect id="Rectangle 21348" o:spid="_x0000_s2077" style="position:absolute;left:24765;top:4572;width:9144;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" filled="f" stroked="f">
                    <v:textbox inset="0,0,0,0">
                      <w:txbxContent>
                        <w:p w14:paraId="54DF2381" w14:textId="77777777" w:rsidR="008E22F8" w:rsidRPr="0087343E" w:rsidRDefault="008E22F8" w:rsidP="008E22F8">
                          <w:pPr>
                            <w:spacing w:before="0" w:after="0" w:line="240" w:lineRule="auto"/>
                            <w:jc w:val="center"/>
                            <w:rPr>
                              <w:rFonts w:asciiTheme="minorHAnsi" w:hAnsiTheme="minorHAnsi" w:cstheme="minorHAnsi"/>
                            </w:rPr>
                          </w:pPr>
                          <w:r w:rsidRPr="0087343E">
                            <w:rPr>
                              <w:rFonts w:asciiTheme="minorHAnsi" w:eastAsia="Calibri" w:hAnsiTheme="minorHAnsi" w:cstheme="minorHAnsi"/>
                              <w:color w:val="000000"/>
                            </w:rPr>
                            <w:t>8</w:t>
                          </w:r>
                          <w:r w:rsidRPr="0087343E">
                            <w:rPr>
                              <w:rFonts w:asciiTheme="minorHAnsi" w:eastAsia="Calibri" w:hAnsiTheme="minorHAnsi" w:cstheme="minorHAnsi"/>
                              <w:color w:val="000000"/>
                              <w:vertAlign w:val="superscript"/>
                            </w:rPr>
                            <w:t>Δ</w:t>
                          </w:r>
                          <w:r w:rsidRPr="0087343E">
                            <w:rPr>
                              <w:rFonts w:asciiTheme="minorHAnsi" w:eastAsia="Calibri" w:hAnsiTheme="minorHAnsi" w:cstheme="minorHAnsi"/>
                              <w:color w:val="000000"/>
                            </w:rPr>
                            <w:t xml:space="preserve"> LXT</w:t>
                          </w:r>
                          <w:r w:rsidRPr="0087343E">
                            <w:rPr>
                              <w:rFonts w:asciiTheme="minorHAnsi" w:hAnsiTheme="minorHAnsi" w:cstheme="minorHAnsi"/>
                              <w:color w:val="000000"/>
                            </w:rPr>
                            <w:t>12</w:t>
                          </w:r>
                          <w:r w:rsidRPr="0087343E">
                            <w:rPr>
                              <w:rFonts w:asciiTheme="minorHAnsi" w:hAnsiTheme="minorHAnsi" w:cstheme="minorHAnsi"/>
                              <w:color w:val="000000"/>
                              <w:vertAlign w:val="superscript"/>
                            </w:rPr>
                            <w:t>Δ</w:t>
                          </w:r>
                          <w:r w:rsidRPr="0087343E">
                            <w:rPr>
                              <w:rFonts w:asciiTheme="minorHAnsi" w:eastAsia="Calibri" w:hAnsiTheme="minorHAnsi" w:cstheme="minorHAnsi"/>
                              <w:color w:val="000000"/>
                            </w:rPr>
                            <w:t xml:space="preserve"> LHT</w:t>
                          </w:r>
                        </w:p>
                      </w:txbxContent>
                    </v:textbox>
                  </v:rect>
                  <v:group id="Group 21349" o:spid="_x0000_s2078" style="position:absolute;left:-571;width:25050;height:11040" coordorigin="-571" coordsize="25050,1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">
                    <v:rect id="Rectangle 21350" o:spid="_x0000_s2079" style="position:absolute;left:10477;width:9144;height:2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" filled="f" stroked="f">
                      <v:textbox inset="0,0,0,0">
                        <w:txbxContent>
                          <w:p w14:paraId="3D8D0FD5" w14:textId="77777777" w:rsidR="008E22F8" w:rsidRDefault="008E22F8" w:rsidP="008E22F8">
                            <w:pPr>
                              <w:spacing w:before="0"/>
                              <w:jc w:val="center"/>
                            </w:pPr>
                            <w:r>
                              <w:rPr>
                                <w:rFonts w:ascii="Calibri" w:eastAsia="Calibri" w:hAnsi="Calibri" w:cs="Calibri"/>
                                <w:color w:val="000000"/>
                              </w:rPr>
                              <w:t>35</w:t>
                            </w:r>
                            <w:r w:rsidRPr="0087343E">
                              <w:rPr>
                                <w:rFonts w:ascii="Calibri" w:eastAsia="Calibri" w:hAnsi="Calibri" w:cs="Calibri"/>
                                <w:color w:val="000000"/>
                                <w:vertAlign w:val="superscript"/>
                              </w:rPr>
                              <w:t>Δ</w:t>
                            </w:r>
                            <w:r>
                              <w:rPr>
                                <w:rFonts w:ascii="Calibri" w:eastAsia="Calibri" w:hAnsi="Calibri" w:cs="Calibri"/>
                                <w:color w:val="000000"/>
                              </w:rPr>
                              <w:t xml:space="preserve"> LXT</w:t>
                            </w:r>
                          </w:p>
                        </w:txbxContent>
                      </v:textbox>
                    </v:rect>
                    <v:group id="Group 21351" o:spid="_x0000_s2080" style="position:absolute;left:-571;top:1809;width:25050;height:9231" coordorigin="-571,1809" coordsize="25050,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">
                      <v:rect id="Rectangle 21352" o:spid="_x0000_s2081" style="position:absolute;left:-571;top:4572;width:9143;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" filled="f" stroked="f">
                        <v:textbox inset="0,0,0,0">
                          <w:txbxContent>
                            <w:p w14:paraId="49DA7D76" w14:textId="77777777" w:rsidR="008E22F8" w:rsidRDefault="008E22F8" w:rsidP="008E22F8">
                              <w:pPr>
                                <w:spacing w:before="0" w:after="0" w:line="240" w:lineRule="auto"/>
                                <w:jc w:val="center"/>
                              </w:pPr>
                              <w:r>
                                <w:rPr>
                                  <w:rFonts w:ascii="Calibri" w:eastAsia="Calibri" w:hAnsi="Calibri" w:cs="Calibri"/>
                                  <w:color w:val="000000"/>
                                </w:rPr>
                                <w:t>35</w:t>
                              </w:r>
                              <w:r w:rsidRPr="0087343E">
                                <w:rPr>
                                  <w:rFonts w:ascii="Calibri" w:eastAsia="Calibri" w:hAnsi="Calibri" w:cs="Calibri"/>
                                  <w:color w:val="000000"/>
                                  <w:vertAlign w:val="superscript"/>
                                </w:rPr>
                                <w:t>Δ</w:t>
                              </w:r>
                              <w:r>
                                <w:rPr>
                                  <w:rFonts w:ascii="Calibri" w:eastAsia="Calibri" w:hAnsi="Calibri" w:cs="Calibri"/>
                                  <w:color w:val="000000"/>
                                </w:rPr>
                                <w:t xml:space="preserve"> LXT</w:t>
                              </w:r>
                            </w:p>
                          </w:txbxContent>
                        </v:textbox>
                      </v:rect>
                      <v:group id="Group 21353" o:spid="_x0000_s2082" style="position:absolute;left:6861;top:1809;width:17618;height:9231" coordorigin="6861,1809" coordsize="17617,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">
                        <v:rect id="Rectangle 21354" o:spid="_x0000_s2083" style="position:absolute;left:10572;top:4572;width:10366;height: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" filled="f" stroked="f">
                          <v:textbox inset="0,0,0,0">
                            <w:txbxContent>
                              <w:p w14:paraId="0CA32EA7" w14:textId="77777777" w:rsidR="008E22F8" w:rsidRDefault="008E22F8" w:rsidP="008E22F8">
                                <w:pPr>
                                  <w:spacing w:before="0" w:after="0" w:line="240" w:lineRule="auto"/>
                                  <w:jc w:val="center"/>
                                </w:pPr>
                                <w:r>
                                  <w:rPr>
                                    <w:rFonts w:ascii="Calibri" w:eastAsia="Calibri" w:hAnsi="Calibri" w:cs="Calibri"/>
                                    <w:color w:val="000000"/>
                                  </w:rPr>
                                  <w:t>25</w:t>
                                </w:r>
                                <w:r w:rsidRPr="0087343E">
                                  <w:rPr>
                                    <w:rFonts w:ascii="Calibri" w:eastAsia="Calibri" w:hAnsi="Calibri" w:cs="Calibri"/>
                                    <w:color w:val="000000"/>
                                    <w:vertAlign w:val="superscript"/>
                                  </w:rPr>
                                  <w:t>Δ</w:t>
                                </w:r>
                                <w:r>
                                  <w:rPr>
                                    <w:rFonts w:ascii="Calibri" w:eastAsia="Calibri" w:hAnsi="Calibri" w:cs="Calibri"/>
                                    <w:color w:val="000000"/>
                                  </w:rPr>
                                  <w:t xml:space="preserve"> LXT 6</w:t>
                                </w:r>
                                <w:r w:rsidRPr="0087343E">
                                  <w:rPr>
                                    <w:color w:val="000000"/>
                                    <w:vertAlign w:val="superscript"/>
                                  </w:rPr>
                                  <w:t>Δ</w:t>
                                </w:r>
                                <w:r>
                                  <w:rPr>
                                    <w:rFonts w:ascii="Calibri" w:eastAsia="Calibri" w:hAnsi="Calibri" w:cs="Calibri"/>
                                    <w:color w:val="000000"/>
                                  </w:rPr>
                                  <w:t xml:space="preserve"> LHT</w:t>
                                </w:r>
                              </w:p>
                            </w:txbxContent>
                          </v:textbox>
                        </v:rect>
                        <v:group id="Group 21355" o:spid="_x0000_s2084" style="position:absolute;left:6861;top:1809;width:17618;height:9231" coordorigin="6861,1809" coordsize="17617,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">
                          <v:shape id="Straight Arrow Connector 21356" o:spid="_x0000_s2085" type="#_x0000_t32" style="position:absolute;left:15049;top:1809;width:0;height:2564;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" strokeweight="2.25pt">
                            <v:stroke startarrowwidth="narrow" startarrowlength="short" endarrow="block" joinstyle="miter"/>
                          </v:shape>
                          <v:shape id="Straight Arrow Connector 21357" o:spid="_x0000_s2086" type="#_x0000_t32" style="position:absolute;left:15049;top:8477;width:0;height:25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" strokeweight="2.25pt">
                            <v:stroke startarrowwidth="narrow" startarrowlength="short" endarrow="block" joinstyle="miter"/>
                          </v:shape>
                          <v:shape id="Straight Arrow Connector 21358" o:spid="_x0000_s2087" type="#_x0000_t32" style="position:absolute;left:20955;top:6477;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" strokeweight="1pt">
                            <v:stroke endarrow="block" joinstyle="miter"/>
                          </v:shape>
                          <v:shape id="Straight Arrow Connector 21359" o:spid="_x0000_s2088" type="#_x0000_t32" style="position:absolute;left:6861;top:6381;width:37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" strokeweight="1pt">
                            <v:stroke endarrow="block" joinstyle="miter"/>
                          </v:shape>
                        </v:group>
                      </v:group>
                    </v:group>
                  </v:group>
                </v:group>
              </v:group>
            </w:pict>
          </mc:Fallback>
        </mc:AlternateContent>
      </w:r>
    </w:p>
    <w:p w14:paraId="4AC55BB8" w14:textId="77777777" w:rsidR="008E22F8" w:rsidRPr="009D4627" w:rsidRDefault="008E22F8" w:rsidP="008E22F8">
      <w:pPr>
        <w:spacing w:before="0" w:line="240" w:lineRule="auto"/>
        <w:rPr>
          <w:rFonts w:eastAsia="Calibri"/>
          <w:color w:val="auto"/>
          <w:lang w:eastAsia="en-MY"/>
        </w:rPr>
      </w:pPr>
    </w:p>
    <w:p w14:paraId="105C8FFE" w14:textId="77777777" w:rsidR="008E22F8" w:rsidRPr="009D4627" w:rsidRDefault="008E22F8" w:rsidP="008E22F8">
      <w:pPr>
        <w:spacing w:before="0" w:line="240" w:lineRule="auto"/>
        <w:rPr>
          <w:rFonts w:eastAsia="Calibri"/>
          <w:color w:val="auto"/>
          <w:lang w:eastAsia="en-MY"/>
        </w:rPr>
      </w:pPr>
    </w:p>
    <w:p w14:paraId="4A0CB733" w14:textId="77777777" w:rsidR="008E22F8" w:rsidRPr="009D4627" w:rsidRDefault="008E22F8" w:rsidP="008E22F8">
      <w:pPr>
        <w:spacing w:before="0" w:line="240" w:lineRule="auto"/>
        <w:rPr>
          <w:rFonts w:eastAsia="Times New Roman"/>
          <w:color w:val="auto"/>
          <w:lang w:eastAsia="en-MY"/>
        </w:rPr>
      </w:pPr>
    </w:p>
    <w:p w14:paraId="64DCF4A5" w14:textId="77777777" w:rsidR="008E22F8" w:rsidRPr="009D4627" w:rsidRDefault="008E22F8" w:rsidP="008E22F8">
      <w:pPr>
        <w:spacing w:before="0" w:after="0" w:line="240" w:lineRule="auto"/>
        <w:rPr>
          <w:rFonts w:eastAsia="Times New Roman"/>
          <w:color w:val="auto"/>
          <w:lang w:eastAsia="en-MY"/>
        </w:rPr>
      </w:pPr>
    </w:p>
    <w:p w14:paraId="0BA244F9" w14:textId="77777777" w:rsidR="008E22F8" w:rsidRPr="009D4627" w:rsidRDefault="008E22F8" w:rsidP="008E22F8">
      <w:pPr>
        <w:spacing w:before="0" w:after="0" w:line="240" w:lineRule="auto"/>
        <w:rPr>
          <w:rFonts w:eastAsia="Times New Roman"/>
          <w:color w:val="auto"/>
          <w:lang w:eastAsia="en-MY"/>
        </w:rPr>
      </w:pPr>
    </w:p>
    <w:p w14:paraId="6B3CAE90" w14:textId="77777777" w:rsidR="008E22F8" w:rsidRPr="009D4627" w:rsidRDefault="008E22F8" w:rsidP="008E22F8">
      <w:pPr>
        <w:spacing w:before="0" w:after="0" w:line="240" w:lineRule="auto"/>
        <w:rPr>
          <w:rFonts w:eastAsia="Times New Roman"/>
          <w:color w:val="auto"/>
          <w:lang w:eastAsia="en-MY"/>
        </w:rPr>
      </w:pPr>
    </w:p>
    <w:p w14:paraId="1201CDAA"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 xml:space="preserve">Pupils: </w:t>
      </w:r>
      <w:r w:rsidRPr="009D4627">
        <w:rPr>
          <w:rFonts w:eastAsia="Calibri"/>
          <w:b/>
          <w:color w:val="auto"/>
          <w:lang w:eastAsia="en-MY"/>
        </w:rPr>
        <w:tab/>
      </w:r>
      <w:r w:rsidRPr="009D4627">
        <w:rPr>
          <w:rFonts w:eastAsia="Calibri"/>
          <w:b/>
          <w:color w:val="auto"/>
          <w:lang w:eastAsia="en-MY"/>
        </w:rPr>
        <w:tab/>
      </w:r>
      <w:r w:rsidRPr="009D4627">
        <w:rPr>
          <w:rFonts w:eastAsia="Calibri"/>
          <w:color w:val="auto"/>
          <w:lang w:eastAsia="en-MY"/>
        </w:rPr>
        <w:t>Normal reaction to light R&amp;L, no RAPD</w:t>
      </w:r>
    </w:p>
    <w:p w14:paraId="6A3BB644" w14:textId="77777777" w:rsidR="008E22F8" w:rsidRPr="009D4627" w:rsidRDefault="008E22F8" w:rsidP="008E22F8">
      <w:pPr>
        <w:spacing w:before="0" w:after="0" w:line="240" w:lineRule="auto"/>
        <w:rPr>
          <w:rFonts w:eastAsia="Calibri"/>
          <w:color w:val="auto"/>
          <w:lang w:eastAsia="en-MY"/>
        </w:rPr>
      </w:pPr>
    </w:p>
    <w:p w14:paraId="0FCC41CC" w14:textId="77777777" w:rsidR="008E22F8" w:rsidRPr="009D4627" w:rsidRDefault="008E22F8" w:rsidP="008E22F8">
      <w:pPr>
        <w:spacing w:before="0" w:after="0" w:line="240" w:lineRule="auto"/>
        <w:rPr>
          <w:rFonts w:eastAsia="Calibri"/>
          <w:bCs/>
          <w:color w:val="auto"/>
          <w:lang w:eastAsia="en-MY"/>
        </w:rPr>
      </w:pPr>
      <w:r w:rsidRPr="009D4627">
        <w:rPr>
          <w:rFonts w:eastAsia="Calibri"/>
          <w:b/>
          <w:color w:val="auto"/>
          <w:lang w:eastAsia="en-MY"/>
        </w:rPr>
        <w:t xml:space="preserve">Palpebral aperture: </w:t>
      </w:r>
      <w:r w:rsidRPr="009D4627">
        <w:rPr>
          <w:rFonts w:eastAsia="Calibri"/>
          <w:bCs/>
          <w:color w:val="auto"/>
          <w:lang w:eastAsia="en-MY"/>
        </w:rPr>
        <w:t>No abnormalities detected (NAD)</w:t>
      </w:r>
    </w:p>
    <w:p w14:paraId="2A04E296" w14:textId="77777777" w:rsidR="008E22F8" w:rsidRPr="009D4627" w:rsidRDefault="008E22F8" w:rsidP="008E22F8">
      <w:pPr>
        <w:spacing w:before="0" w:after="0" w:line="240" w:lineRule="auto"/>
        <w:rPr>
          <w:rFonts w:eastAsia="Calibri"/>
          <w:bCs/>
          <w:color w:val="auto"/>
          <w:lang w:eastAsia="en-MY"/>
        </w:rPr>
      </w:pPr>
    </w:p>
    <w:p w14:paraId="1875662B" w14:textId="77777777" w:rsidR="008E22F8" w:rsidRPr="009D4627" w:rsidRDefault="008E22F8" w:rsidP="008E22F8">
      <w:pPr>
        <w:spacing w:before="0" w:after="0" w:line="240" w:lineRule="auto"/>
        <w:rPr>
          <w:rFonts w:eastAsia="Calibri"/>
          <w:b/>
          <w:color w:val="auto"/>
          <w:lang w:eastAsia="en-MY"/>
        </w:rPr>
      </w:pPr>
    </w:p>
    <w:p w14:paraId="6ADD32A5" w14:textId="77777777" w:rsidR="008E22F8" w:rsidRPr="009D4627" w:rsidRDefault="008E22F8" w:rsidP="008E22F8">
      <w:pPr>
        <w:spacing w:before="0" w:after="0" w:line="240" w:lineRule="auto"/>
        <w:rPr>
          <w:rFonts w:eastAsia="Calibri"/>
          <w:bCs/>
          <w:color w:val="auto"/>
          <w:lang w:eastAsia="en-MY"/>
        </w:rPr>
      </w:pPr>
      <w:r w:rsidRPr="009D4627">
        <w:rPr>
          <w:rFonts w:eastAsia="Calibri"/>
          <w:b/>
          <w:color w:val="auto"/>
          <w:lang w:eastAsia="en-MY"/>
        </w:rPr>
        <w:t xml:space="preserve">Assessment &amp; Plan: </w:t>
      </w:r>
      <w:r w:rsidRPr="009D4627">
        <w:rPr>
          <w:rFonts w:eastAsia="Calibri"/>
          <w:bCs/>
          <w:color w:val="auto"/>
          <w:lang w:eastAsia="en-MY"/>
        </w:rPr>
        <w:tab/>
        <w:t>L partial third nerve palsy (no ptosis or pupil involvement)</w:t>
      </w:r>
    </w:p>
    <w:p w14:paraId="42ECD888" w14:textId="77777777" w:rsidR="008E22F8" w:rsidRPr="009D4627" w:rsidRDefault="008E22F8" w:rsidP="008E22F8">
      <w:pPr>
        <w:spacing w:before="0" w:after="0" w:line="240" w:lineRule="auto"/>
        <w:rPr>
          <w:rFonts w:eastAsia="Calibri"/>
          <w:bCs/>
          <w:color w:val="auto"/>
          <w:lang w:eastAsia="en-MY"/>
        </w:rPr>
      </w:pPr>
      <w:r w:rsidRPr="009D4627">
        <w:rPr>
          <w:rFonts w:eastAsia="Calibri"/>
          <w:bCs/>
          <w:color w:val="auto"/>
          <w:lang w:eastAsia="en-MY"/>
        </w:rPr>
        <w:lastRenderedPageBreak/>
        <w:tab/>
      </w:r>
      <w:r w:rsidRPr="009D4627">
        <w:rPr>
          <w:rFonts w:eastAsia="Calibri"/>
          <w:bCs/>
          <w:color w:val="auto"/>
          <w:lang w:eastAsia="en-MY"/>
        </w:rPr>
        <w:tab/>
      </w:r>
      <w:r w:rsidRPr="009D4627">
        <w:rPr>
          <w:rFonts w:eastAsia="Calibri"/>
          <w:bCs/>
          <w:color w:val="auto"/>
          <w:lang w:eastAsia="en-MY"/>
        </w:rPr>
        <w:tab/>
        <w:t>Patch LE as necessary</w:t>
      </w:r>
    </w:p>
    <w:p w14:paraId="133BA529" w14:textId="77777777" w:rsidR="008E22F8" w:rsidRPr="009D4627" w:rsidRDefault="008E22F8" w:rsidP="008E22F8">
      <w:pPr>
        <w:spacing w:before="0" w:after="0" w:line="240" w:lineRule="auto"/>
        <w:rPr>
          <w:rFonts w:eastAsia="Calibri"/>
          <w:bCs/>
          <w:color w:val="auto"/>
          <w:lang w:eastAsia="en-MY"/>
        </w:rPr>
      </w:pPr>
      <w:r w:rsidRPr="009D4627">
        <w:rPr>
          <w:rFonts w:eastAsia="Calibri"/>
          <w:bCs/>
          <w:color w:val="auto"/>
          <w:lang w:eastAsia="en-MY"/>
        </w:rPr>
        <w:tab/>
      </w:r>
      <w:r w:rsidRPr="009D4627">
        <w:rPr>
          <w:rFonts w:eastAsia="Calibri"/>
          <w:bCs/>
          <w:color w:val="auto"/>
          <w:lang w:eastAsia="en-MY"/>
        </w:rPr>
        <w:tab/>
      </w:r>
      <w:r w:rsidRPr="009D4627">
        <w:rPr>
          <w:rFonts w:eastAsia="Calibri"/>
          <w:bCs/>
          <w:color w:val="auto"/>
          <w:lang w:eastAsia="en-MY"/>
        </w:rPr>
        <w:tab/>
        <w:t>Review in Orthoptics clinic</w:t>
      </w:r>
    </w:p>
    <w:p w14:paraId="10A7F586" w14:textId="77777777" w:rsidR="00833530" w:rsidRDefault="00833530" w:rsidP="008E22F8">
      <w:pPr>
        <w:spacing w:before="0" w:after="0" w:line="240" w:lineRule="auto"/>
        <w:rPr>
          <w:rFonts w:eastAsia="Calibri"/>
          <w:b/>
          <w:color w:val="000000"/>
          <w:szCs w:val="22"/>
          <w:u w:val="single"/>
          <w:lang w:val="en-MY"/>
        </w:rPr>
      </w:pPr>
    </w:p>
    <w:p w14:paraId="1F430DCA" w14:textId="15E1C0A3" w:rsidR="008E22F8" w:rsidRPr="009D4627" w:rsidRDefault="008E22F8" w:rsidP="008E22F8">
      <w:pPr>
        <w:spacing w:before="0" w:after="0" w:line="240" w:lineRule="auto"/>
        <w:rPr>
          <w:rFonts w:eastAsia="Calibri"/>
          <w:color w:val="auto"/>
          <w:u w:val="single"/>
          <w:lang w:eastAsia="en-MY"/>
        </w:rPr>
      </w:pPr>
      <w:r w:rsidRPr="009D4627">
        <w:rPr>
          <w:rFonts w:eastAsia="Calibri"/>
          <w:b/>
          <w:color w:val="000000"/>
          <w:szCs w:val="22"/>
          <w:u w:val="single"/>
          <w:lang w:val="en-MY"/>
        </w:rPr>
        <w:t>Clinical visit 2</w:t>
      </w:r>
      <w:r w:rsidRPr="009D4627">
        <w:rPr>
          <w:rFonts w:eastAsia="Calibri"/>
          <w:b/>
          <w:color w:val="auto"/>
          <w:u w:val="single"/>
          <w:lang w:eastAsia="en-MY"/>
        </w:rPr>
        <w:t xml:space="preserve">: </w:t>
      </w:r>
      <w:r w:rsidRPr="009D4627">
        <w:rPr>
          <w:rFonts w:eastAsia="Calibri"/>
          <w:color w:val="auto"/>
          <w:u w:val="single"/>
          <w:lang w:eastAsia="en-MY"/>
        </w:rPr>
        <w:t xml:space="preserve">07/01/2019 </w:t>
      </w:r>
      <w:r w:rsidRPr="009D4627">
        <w:rPr>
          <w:rFonts w:eastAsia="Calibri"/>
          <w:bCs/>
          <w:color w:val="000000"/>
          <w:szCs w:val="22"/>
          <w:u w:val="single"/>
          <w:lang w:val="en-MY"/>
        </w:rPr>
        <w:t>(7</w:t>
      </w:r>
      <w:r w:rsidRPr="009D4627">
        <w:rPr>
          <w:rFonts w:eastAsia="Calibri"/>
          <w:bCs/>
          <w:color w:val="auto"/>
          <w:szCs w:val="22"/>
          <w:u w:val="single"/>
          <w:lang w:val="en-MY"/>
        </w:rPr>
        <w:t xml:space="preserve"> weeks post-onset</w:t>
      </w:r>
      <w:r w:rsidRPr="009D4627">
        <w:rPr>
          <w:rFonts w:eastAsia="Calibri"/>
          <w:bCs/>
          <w:color w:val="000000"/>
          <w:szCs w:val="22"/>
          <w:u w:val="single"/>
          <w:lang w:val="en-MY"/>
        </w:rPr>
        <w:t>) - Orthoptic assessment</w:t>
      </w:r>
    </w:p>
    <w:p w14:paraId="6A74B4B4" w14:textId="77777777" w:rsidR="008E22F8" w:rsidRPr="009D4627" w:rsidRDefault="008E22F8" w:rsidP="008E22F8">
      <w:pPr>
        <w:spacing w:before="0" w:after="0" w:line="240" w:lineRule="auto"/>
        <w:rPr>
          <w:rFonts w:eastAsia="Calibri"/>
          <w:b/>
          <w:color w:val="auto"/>
          <w:lang w:eastAsia="en-MY"/>
        </w:rPr>
      </w:pPr>
    </w:p>
    <w:p w14:paraId="1A4551AF" w14:textId="77777777" w:rsidR="008E22F8" w:rsidRPr="00E82E69" w:rsidRDefault="008E22F8" w:rsidP="008E22F8">
      <w:pPr>
        <w:spacing w:before="0" w:after="0" w:line="240" w:lineRule="auto"/>
        <w:rPr>
          <w:rFonts w:eastAsia="Calibri"/>
          <w:color w:val="auto"/>
          <w:lang w:val="fr-FR" w:eastAsia="en-MY"/>
        </w:rPr>
      </w:pPr>
      <w:r w:rsidRPr="00E82E69">
        <w:rPr>
          <w:rFonts w:eastAsia="Calibri"/>
          <w:b/>
          <w:color w:val="auto"/>
          <w:lang w:val="fr-FR" w:eastAsia="en-MY"/>
        </w:rPr>
        <w:t xml:space="preserve">Visual </w:t>
      </w:r>
      <w:proofErr w:type="spellStart"/>
      <w:proofErr w:type="gramStart"/>
      <w:r w:rsidRPr="00E82E69">
        <w:rPr>
          <w:rFonts w:eastAsia="Calibri"/>
          <w:b/>
          <w:color w:val="auto"/>
          <w:lang w:val="fr-FR" w:eastAsia="en-MY"/>
        </w:rPr>
        <w:t>acuity</w:t>
      </w:r>
      <w:proofErr w:type="spellEnd"/>
      <w:r w:rsidRPr="00E82E69">
        <w:rPr>
          <w:rFonts w:eastAsia="Calibri"/>
          <w:b/>
          <w:color w:val="auto"/>
          <w:lang w:val="fr-FR" w:eastAsia="en-MY"/>
        </w:rPr>
        <w:t>:</w:t>
      </w:r>
      <w:proofErr w:type="gramEnd"/>
      <w:r w:rsidRPr="00E82E69">
        <w:rPr>
          <w:rFonts w:eastAsia="Calibri"/>
          <w:color w:val="auto"/>
          <w:lang w:val="fr-FR" w:eastAsia="en-MY"/>
        </w:rPr>
        <w:t xml:space="preserve"> </w:t>
      </w:r>
      <w:r w:rsidRPr="00E82E69">
        <w:rPr>
          <w:rFonts w:eastAsia="Calibri"/>
          <w:color w:val="auto"/>
          <w:lang w:val="fr-FR" w:eastAsia="en-MY"/>
        </w:rPr>
        <w:tab/>
      </w:r>
      <w:proofErr w:type="spellStart"/>
      <w:r w:rsidRPr="00E82E69">
        <w:rPr>
          <w:rFonts w:eastAsia="Calibri"/>
          <w:color w:val="auto"/>
          <w:lang w:val="fr-FR" w:eastAsia="en-MY"/>
        </w:rPr>
        <w:t>with</w:t>
      </w:r>
      <w:proofErr w:type="spellEnd"/>
      <w:r w:rsidRPr="00E82E69">
        <w:rPr>
          <w:rFonts w:eastAsia="Calibri"/>
          <w:color w:val="auto"/>
          <w:lang w:val="fr-FR" w:eastAsia="en-MY"/>
        </w:rPr>
        <w:t xml:space="preserve"> glasses </w:t>
      </w:r>
      <w:r w:rsidRPr="00E82E69">
        <w:rPr>
          <w:rFonts w:eastAsia="Calibri"/>
          <w:color w:val="auto"/>
          <w:lang w:val="fr-FR" w:eastAsia="en-MY"/>
        </w:rPr>
        <w:tab/>
        <w:t xml:space="preserve">RE 0.06 </w:t>
      </w:r>
      <w:r w:rsidRPr="00E82E69">
        <w:rPr>
          <w:rFonts w:eastAsia="Calibri"/>
          <w:color w:val="auto"/>
          <w:lang w:val="fr-FR" w:eastAsia="en-MY"/>
        </w:rPr>
        <w:tab/>
      </w:r>
      <w:r w:rsidRPr="00E82E69">
        <w:rPr>
          <w:rFonts w:eastAsia="Calibri"/>
          <w:color w:val="auto"/>
          <w:lang w:val="fr-FR" w:eastAsia="en-MY"/>
        </w:rPr>
        <w:tab/>
        <w:t xml:space="preserve">LE 0.10 </w:t>
      </w:r>
      <w:r w:rsidRPr="00E82E69">
        <w:rPr>
          <w:rFonts w:eastAsia="Calibri"/>
          <w:color w:val="auto"/>
          <w:lang w:val="fr-FR" w:eastAsia="en-MY"/>
        </w:rPr>
        <w:tab/>
      </w:r>
      <w:r w:rsidRPr="00E82E69">
        <w:rPr>
          <w:rFonts w:eastAsia="Calibri"/>
          <w:bCs/>
          <w:szCs w:val="22"/>
          <w:lang w:val="fr-FR"/>
        </w:rPr>
        <w:t xml:space="preserve">ETDRS </w:t>
      </w:r>
      <w:proofErr w:type="spellStart"/>
      <w:r w:rsidRPr="00E82E69">
        <w:rPr>
          <w:rFonts w:eastAsia="Calibri"/>
          <w:bCs/>
          <w:szCs w:val="22"/>
          <w:lang w:val="fr-FR"/>
        </w:rPr>
        <w:t>logMAR</w:t>
      </w:r>
      <w:proofErr w:type="spellEnd"/>
    </w:p>
    <w:p w14:paraId="705B5673" w14:textId="470A6704" w:rsidR="008E22F8" w:rsidRPr="00E82E69" w:rsidRDefault="008E22F8" w:rsidP="008E22F8">
      <w:pPr>
        <w:spacing w:before="0" w:after="0" w:line="240" w:lineRule="auto"/>
        <w:ind w:left="2160" w:firstLine="720"/>
        <w:rPr>
          <w:rFonts w:eastAsia="Calibri"/>
          <w:color w:val="auto"/>
          <w:lang w:val="fr-FR" w:eastAsia="en-MY"/>
        </w:rPr>
      </w:pPr>
      <w:r w:rsidRPr="00E82E69">
        <w:rPr>
          <w:rFonts w:eastAsia="Calibri"/>
          <w:color w:val="auto"/>
          <w:lang w:val="fr-FR" w:eastAsia="en-MY"/>
        </w:rPr>
        <w:t xml:space="preserve">  </w:t>
      </w:r>
      <w:r w:rsidR="00E147BE">
        <w:rPr>
          <w:rFonts w:eastAsia="Calibri"/>
          <w:color w:val="auto"/>
          <w:lang w:val="fr-FR" w:eastAsia="en-MY"/>
        </w:rPr>
        <w:tab/>
      </w:r>
      <w:r w:rsidRPr="00E82E69">
        <w:rPr>
          <w:rFonts w:eastAsia="Calibri"/>
          <w:color w:val="auto"/>
          <w:lang w:val="fr-FR" w:eastAsia="en-MY"/>
        </w:rPr>
        <w:t xml:space="preserve">    6/6</w:t>
      </w:r>
      <w:r w:rsidRPr="00E82E69">
        <w:rPr>
          <w:rFonts w:eastAsia="Calibri"/>
          <w:color w:val="auto"/>
          <w:vertAlign w:val="superscript"/>
          <w:lang w:val="fr-FR" w:eastAsia="en-MY"/>
        </w:rPr>
        <w:t>-3</w:t>
      </w:r>
      <w:r w:rsidRPr="00E82E69">
        <w:rPr>
          <w:rFonts w:eastAsia="Calibri"/>
          <w:color w:val="auto"/>
          <w:lang w:val="fr-FR" w:eastAsia="en-MY"/>
        </w:rPr>
        <w:tab/>
      </w:r>
      <w:r w:rsidRPr="00E82E69">
        <w:rPr>
          <w:rFonts w:eastAsia="Calibri"/>
          <w:color w:val="auto"/>
          <w:lang w:val="fr-FR" w:eastAsia="en-MY"/>
        </w:rPr>
        <w:tab/>
      </w:r>
      <w:r w:rsidR="00E147BE">
        <w:rPr>
          <w:rFonts w:eastAsia="Calibri"/>
          <w:color w:val="auto"/>
          <w:lang w:val="fr-FR" w:eastAsia="en-MY"/>
        </w:rPr>
        <w:tab/>
      </w:r>
      <w:r w:rsidRPr="00E82E69">
        <w:rPr>
          <w:rFonts w:eastAsia="Calibri"/>
          <w:color w:val="auto"/>
          <w:lang w:val="fr-FR" w:eastAsia="en-MY"/>
        </w:rPr>
        <w:t xml:space="preserve">LE 6/7.5 </w:t>
      </w:r>
      <w:r w:rsidRPr="00E82E69">
        <w:rPr>
          <w:rFonts w:eastAsia="Calibri"/>
          <w:color w:val="auto"/>
          <w:lang w:val="fr-FR" w:eastAsia="en-MY"/>
        </w:rPr>
        <w:tab/>
      </w:r>
      <w:proofErr w:type="spellStart"/>
      <w:r w:rsidRPr="00E82E69">
        <w:rPr>
          <w:rFonts w:eastAsia="Calibri"/>
          <w:color w:val="auto"/>
          <w:lang w:val="fr-FR" w:eastAsia="en-MY"/>
        </w:rPr>
        <w:t>Snellen</w:t>
      </w:r>
      <w:proofErr w:type="spellEnd"/>
    </w:p>
    <w:p w14:paraId="7B107C99" w14:textId="77777777" w:rsidR="008E22F8" w:rsidRPr="00E82E69" w:rsidRDefault="008E22F8" w:rsidP="008E22F8">
      <w:pPr>
        <w:spacing w:before="0" w:after="0" w:line="240" w:lineRule="auto"/>
        <w:rPr>
          <w:rFonts w:eastAsia="Calibri"/>
          <w:b/>
          <w:color w:val="auto"/>
          <w:lang w:val="fr-FR" w:eastAsia="en-MY"/>
        </w:rPr>
      </w:pPr>
      <w:r w:rsidRPr="00E82E69">
        <w:rPr>
          <w:rFonts w:eastAsia="Calibri"/>
          <w:color w:val="auto"/>
          <w:lang w:val="fr-FR" w:eastAsia="en-MY"/>
        </w:rPr>
        <w:tab/>
      </w:r>
      <w:r w:rsidRPr="00E82E69">
        <w:rPr>
          <w:rFonts w:eastAsia="Calibri"/>
          <w:color w:val="auto"/>
          <w:lang w:val="fr-FR" w:eastAsia="en-MY"/>
        </w:rPr>
        <w:tab/>
      </w:r>
      <w:r w:rsidRPr="00E82E69">
        <w:rPr>
          <w:rFonts w:eastAsia="Calibri"/>
          <w:color w:val="auto"/>
          <w:lang w:val="fr-FR" w:eastAsia="en-MY"/>
        </w:rPr>
        <w:tab/>
      </w:r>
      <w:r w:rsidRPr="00E82E69">
        <w:rPr>
          <w:rFonts w:eastAsia="Calibri"/>
          <w:color w:val="auto"/>
          <w:lang w:val="fr-FR" w:eastAsia="en-MY"/>
        </w:rPr>
        <w:tab/>
      </w:r>
    </w:p>
    <w:p w14:paraId="4288FF7B"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 xml:space="preserve">Cover test: </w:t>
      </w:r>
      <w:r w:rsidRPr="009D4627">
        <w:rPr>
          <w:rFonts w:eastAsia="Calibri"/>
          <w:b/>
          <w:color w:val="auto"/>
          <w:lang w:eastAsia="en-MY"/>
        </w:rPr>
        <w:tab/>
      </w:r>
      <w:r w:rsidRPr="009D4627">
        <w:rPr>
          <w:rFonts w:eastAsia="Calibri"/>
          <w:color w:val="auto"/>
          <w:lang w:eastAsia="en-MY"/>
        </w:rPr>
        <w:t>with glasses 1/3 m &amp; 6 m moderate LXT with diplopia</w:t>
      </w:r>
    </w:p>
    <w:p w14:paraId="1CBDDBF1" w14:textId="77777777" w:rsidR="008E22F8" w:rsidRPr="009D4627" w:rsidRDefault="008E22F8" w:rsidP="008E22F8">
      <w:pPr>
        <w:spacing w:before="0" w:after="0" w:line="240" w:lineRule="auto"/>
        <w:rPr>
          <w:rFonts w:eastAsia="Calibri"/>
          <w:color w:val="auto"/>
          <w:lang w:eastAsia="en-MY"/>
        </w:rPr>
      </w:pPr>
    </w:p>
    <w:p w14:paraId="3AAB6041" w14:textId="77777777" w:rsidR="008E22F8" w:rsidRPr="009D4627" w:rsidRDefault="008E22F8" w:rsidP="008E22F8">
      <w:pPr>
        <w:spacing w:before="0" w:after="0" w:line="240" w:lineRule="auto"/>
        <w:rPr>
          <w:rFonts w:eastAsia="Calibri"/>
          <w:b/>
          <w:color w:val="auto"/>
          <w:lang w:eastAsia="en-MY"/>
        </w:rPr>
      </w:pPr>
      <w:r w:rsidRPr="009D4627">
        <w:rPr>
          <w:rFonts w:eastAsia="Calibri"/>
          <w:b/>
          <w:color w:val="auto"/>
          <w:lang w:eastAsia="en-MY"/>
        </w:rPr>
        <w:t>OMT:</w:t>
      </w:r>
    </w:p>
    <w:p w14:paraId="5B985DD3" w14:textId="5587FC2F" w:rsidR="008E22F8" w:rsidRPr="009D4627" w:rsidRDefault="00A2792E" w:rsidP="008E22F8">
      <w:pPr>
        <w:spacing w:before="0" w:after="0" w:line="240" w:lineRule="auto"/>
        <w:rPr>
          <w:rFonts w:eastAsia="Calibri"/>
          <w:color w:val="auto"/>
          <w:lang w:eastAsia="en-MY"/>
        </w:rPr>
      </w:pPr>
      <w:r w:rsidRPr="009D4627">
        <w:rPr>
          <w:noProof/>
        </w:rPr>
        <mc:AlternateContent>
          <mc:Choice Requires="wpg">
            <w:drawing>
              <wp:anchor distT="0" distB="0" distL="114300" distR="114300" simplePos="0" relativeHeight="251691008" behindDoc="0" locked="0" layoutInCell="1" allowOverlap="1" wp14:anchorId="250D337C" wp14:editId="26B289BC">
                <wp:simplePos x="0" y="0"/>
                <wp:positionH relativeFrom="column">
                  <wp:posOffset>2867025</wp:posOffset>
                </wp:positionH>
                <wp:positionV relativeFrom="paragraph">
                  <wp:posOffset>111760</wp:posOffset>
                </wp:positionV>
                <wp:extent cx="1141095" cy="1190625"/>
                <wp:effectExtent l="0" t="0" r="0" b="0"/>
                <wp:wrapNone/>
                <wp:docPr id="23281" name="Group 23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095" cy="1190625"/>
                          <a:chOff x="0" y="0"/>
                          <a:chExt cx="11410" cy="11906"/>
                        </a:xfrm>
                      </wpg:grpSpPr>
                      <wpg:grpSp>
                        <wpg:cNvPr id="23282" name="Group 21361"/>
                        <wpg:cNvGrpSpPr>
                          <a:grpSpLocks/>
                        </wpg:cNvGrpSpPr>
                        <wpg:grpSpPr bwMode="auto">
                          <a:xfrm>
                            <a:off x="0" y="0"/>
                            <a:ext cx="11410" cy="11906"/>
                            <a:chOff x="0" y="0"/>
                            <a:chExt cx="11410" cy="11906"/>
                          </a:xfrm>
                        </wpg:grpSpPr>
                        <wps:wsp>
                          <wps:cNvPr id="23283" name="Rectangle 258"/>
                          <wps:cNvSpPr>
                            <a:spLocks noChangeArrowheads="1"/>
                          </wps:cNvSpPr>
                          <wps:spPr bwMode="auto">
                            <a:xfrm>
                              <a:off x="5524" y="10096"/>
                              <a:ext cx="2788" cy="1810"/>
                            </a:xfrm>
                            <a:prstGeom prst="rect">
                              <a:avLst/>
                            </a:prstGeom>
                            <a:noFill/>
                            <a:ln>
                              <a:noFill/>
                            </a:ln>
                          </wps:spPr>
                          <wps:txbx>
                            <w:txbxContent>
                              <w:p w14:paraId="47CB94DF" w14:textId="77777777" w:rsidR="008E22F8" w:rsidRDefault="008E22F8" w:rsidP="008E22F8">
                                <w:pPr>
                                  <w:spacing w:before="0" w:after="0" w:line="240" w:lineRule="auto"/>
                                  <w:jc w:val="center"/>
                                </w:pPr>
                                <w:r>
                                  <w:rPr>
                                    <w:rFonts w:ascii="Calibri" w:eastAsia="Calibri" w:hAnsi="Calibri" w:cs="Calibri"/>
                                    <w:color w:val="000000"/>
                                    <w:sz w:val="20"/>
                                  </w:rPr>
                                  <w:t xml:space="preserve">-1½ </w:t>
                                </w:r>
                              </w:p>
                            </w:txbxContent>
                          </wps:txbx>
                          <wps:bodyPr rot="0" vert="horz" wrap="square" lIns="0" tIns="0" rIns="0" bIns="0" anchor="ctr" anchorCtr="0" upright="1">
                            <a:noAutofit/>
                          </wps:bodyPr>
                        </wps:wsp>
                        <wpg:grpSp>
                          <wpg:cNvPr id="23284" name="Group 21363"/>
                          <wpg:cNvGrpSpPr>
                            <a:grpSpLocks/>
                          </wpg:cNvGrpSpPr>
                          <wpg:grpSpPr bwMode="auto">
                            <a:xfrm>
                              <a:off x="0" y="0"/>
                              <a:ext cx="11410" cy="9912"/>
                              <a:chOff x="0" y="0"/>
                              <a:chExt cx="11410" cy="9912"/>
                            </a:xfrm>
                          </wpg:grpSpPr>
                          <wpg:grpSp>
                            <wpg:cNvPr id="23285" name="Group 21364"/>
                            <wpg:cNvGrpSpPr>
                              <a:grpSpLocks/>
                            </wpg:cNvGrpSpPr>
                            <wpg:grpSpPr bwMode="auto">
                              <a:xfrm>
                                <a:off x="2095" y="0"/>
                                <a:ext cx="9315" cy="9912"/>
                                <a:chOff x="0" y="0"/>
                                <a:chExt cx="9315" cy="9912"/>
                              </a:xfrm>
                            </wpg:grpSpPr>
                            <wpg:grpSp>
                              <wpg:cNvPr id="23286" name="Group 21365"/>
                              <wpg:cNvGrpSpPr>
                                <a:grpSpLocks/>
                              </wpg:cNvGrpSpPr>
                              <wpg:grpSpPr bwMode="auto">
                                <a:xfrm>
                                  <a:off x="0" y="1619"/>
                                  <a:ext cx="9315" cy="8293"/>
                                  <a:chOff x="0" y="0"/>
                                  <a:chExt cx="9315" cy="8293"/>
                                </a:xfrm>
                              </wpg:grpSpPr>
                              <wpg:grpSp>
                                <wpg:cNvPr id="23287" name="Group 223"/>
                                <wpg:cNvGrpSpPr>
                                  <a:grpSpLocks/>
                                </wpg:cNvGrpSpPr>
                                <wpg:grpSpPr bwMode="auto">
                                  <a:xfrm>
                                    <a:off x="952" y="0"/>
                                    <a:ext cx="6464" cy="1905"/>
                                    <a:chOff x="0" y="0"/>
                                    <a:chExt cx="6953" cy="1571"/>
                                  </a:xfrm>
                                </wpg:grpSpPr>
                                <wps:wsp>
                                  <wps:cNvPr id="23288" name="Straight Arrow Connector 21372"/>
                                  <wps:cNvCnPr>
                                    <a:cxnSpLocks noChangeShapeType="1"/>
                                  </wps:cNvCnPr>
                                  <wps:spPr bwMode="auto">
                                    <a:xfrm>
                                      <a:off x="0" y="1524"/>
                                      <a:ext cx="6953" cy="0"/>
                                    </a:xfrm>
                                    <a:prstGeom prst="straightConnector1">
                                      <a:avLst/>
                                    </a:prstGeom>
                                    <a:noFill/>
                                    <a:ln w="9525">
                                      <a:solidFill>
                                        <a:srgbClr val="000000"/>
                                      </a:solidFill>
                                      <a:miter lim="800000"/>
                                      <a:headEnd type="none" w="sm" len="sm"/>
                                      <a:tailEnd type="none" w="sm" len="sm"/>
                                    </a:ln>
                                  </wps:spPr>
                                  <wps:bodyPr/>
                                </wps:wsp>
                                <wpg:grpSp>
                                  <wpg:cNvPr id="23289" name="Group 21373"/>
                                  <wpg:cNvGrpSpPr>
                                    <a:grpSpLocks/>
                                  </wpg:cNvGrpSpPr>
                                  <wpg:grpSpPr bwMode="auto">
                                    <a:xfrm>
                                      <a:off x="1095" y="0"/>
                                      <a:ext cx="5426" cy="1571"/>
                                      <a:chOff x="1095" y="0"/>
                                      <a:chExt cx="5426" cy="1571"/>
                                    </a:xfrm>
                                  </wpg:grpSpPr>
                                  <wps:wsp>
                                    <wps:cNvPr id="23290" name="Straight Arrow Connector 21374"/>
                                    <wps:cNvCnPr>
                                      <a:cxnSpLocks noChangeShapeType="1"/>
                                    </wps:cNvCnPr>
                                    <wps:spPr bwMode="auto">
                                      <a:xfrm flipH="1">
                                        <a:off x="2762" y="47"/>
                                        <a:ext cx="1238" cy="1524"/>
                                      </a:xfrm>
                                      <a:prstGeom prst="straightConnector1">
                                        <a:avLst/>
                                      </a:prstGeom>
                                      <a:noFill/>
                                      <a:ln w="19050">
                                        <a:solidFill>
                                          <a:srgbClr val="000000"/>
                                        </a:solidFill>
                                        <a:miter lim="800000"/>
                                        <a:headEnd type="none" w="sm" len="sm"/>
                                        <a:tailEnd type="none" w="sm" len="sm"/>
                                      </a:ln>
                                    </wps:spPr>
                                    <wps:bodyPr/>
                                  </wps:wsp>
                                  <wps:wsp>
                                    <wps:cNvPr id="23291" name="Straight Arrow Connector 21382"/>
                                    <wps:cNvCnPr>
                                      <a:cxnSpLocks noChangeShapeType="1"/>
                                    </wps:cNvCnPr>
                                    <wps:spPr bwMode="auto">
                                      <a:xfrm flipH="1">
                                        <a:off x="3619" y="47"/>
                                        <a:ext cx="1187" cy="1524"/>
                                      </a:xfrm>
                                      <a:prstGeom prst="straightConnector1">
                                        <a:avLst/>
                                      </a:prstGeom>
                                      <a:noFill/>
                                      <a:ln w="19050">
                                        <a:solidFill>
                                          <a:srgbClr val="000000"/>
                                        </a:solidFill>
                                        <a:miter lim="800000"/>
                                        <a:headEnd type="none" w="sm" len="sm"/>
                                        <a:tailEnd type="none" w="sm" len="sm"/>
                                      </a:ln>
                                    </wps:spPr>
                                    <wps:bodyPr/>
                                  </wps:wsp>
                                  <wps:wsp>
                                    <wps:cNvPr id="23292" name="Straight Arrow Connector 21432"/>
                                    <wps:cNvCnPr>
                                      <a:cxnSpLocks noChangeShapeType="1"/>
                                    </wps:cNvCnPr>
                                    <wps:spPr bwMode="auto">
                                      <a:xfrm flipH="1">
                                        <a:off x="1952" y="0"/>
                                        <a:ext cx="1238" cy="1524"/>
                                      </a:xfrm>
                                      <a:prstGeom prst="straightConnector1">
                                        <a:avLst/>
                                      </a:prstGeom>
                                      <a:noFill/>
                                      <a:ln w="19050">
                                        <a:solidFill>
                                          <a:srgbClr val="000000"/>
                                        </a:solidFill>
                                        <a:miter lim="800000"/>
                                        <a:headEnd type="none" w="sm" len="sm"/>
                                        <a:tailEnd type="none" w="sm" len="sm"/>
                                      </a:ln>
                                    </wps:spPr>
                                    <wps:bodyPr/>
                                  </wps:wsp>
                                  <wps:wsp>
                                    <wps:cNvPr id="23293" name="Straight Arrow Connector 21433"/>
                                    <wps:cNvCnPr>
                                      <a:cxnSpLocks noChangeShapeType="1"/>
                                    </wps:cNvCnPr>
                                    <wps:spPr bwMode="auto">
                                      <a:xfrm flipH="1">
                                        <a:off x="4524" y="333"/>
                                        <a:ext cx="902" cy="1187"/>
                                      </a:xfrm>
                                      <a:prstGeom prst="straightConnector1">
                                        <a:avLst/>
                                      </a:prstGeom>
                                      <a:noFill/>
                                      <a:ln w="19050">
                                        <a:solidFill>
                                          <a:srgbClr val="000000"/>
                                        </a:solidFill>
                                        <a:miter lim="800000"/>
                                        <a:headEnd type="none" w="sm" len="sm"/>
                                        <a:tailEnd type="none" w="sm" len="sm"/>
                                      </a:ln>
                                    </wps:spPr>
                                    <wps:bodyPr/>
                                  </wps:wsp>
                                  <wps:wsp>
                                    <wps:cNvPr id="23294" name="Straight Arrow Connector 21434"/>
                                    <wps:cNvCnPr>
                                      <a:cxnSpLocks noChangeShapeType="1"/>
                                    </wps:cNvCnPr>
                                    <wps:spPr bwMode="auto">
                                      <a:xfrm flipH="1">
                                        <a:off x="1095" y="190"/>
                                        <a:ext cx="1092" cy="1334"/>
                                      </a:xfrm>
                                      <a:prstGeom prst="straightConnector1">
                                        <a:avLst/>
                                      </a:prstGeom>
                                      <a:noFill/>
                                      <a:ln w="19050">
                                        <a:solidFill>
                                          <a:srgbClr val="000000"/>
                                        </a:solidFill>
                                        <a:miter lim="800000"/>
                                        <a:headEnd type="none" w="sm" len="sm"/>
                                        <a:tailEnd type="none" w="sm" len="sm"/>
                                      </a:ln>
                                    </wps:spPr>
                                    <wps:bodyPr/>
                                  </wps:wsp>
                                  <wps:wsp>
                                    <wps:cNvPr id="23295" name="Straight Arrow Connector 21435"/>
                                    <wps:cNvCnPr>
                                      <a:cxnSpLocks noChangeShapeType="1"/>
                                    </wps:cNvCnPr>
                                    <wps:spPr bwMode="auto">
                                      <a:xfrm flipH="1">
                                        <a:off x="5381" y="666"/>
                                        <a:ext cx="616" cy="902"/>
                                      </a:xfrm>
                                      <a:prstGeom prst="straightConnector1">
                                        <a:avLst/>
                                      </a:prstGeom>
                                      <a:noFill/>
                                      <a:ln w="19050">
                                        <a:solidFill>
                                          <a:srgbClr val="000000"/>
                                        </a:solidFill>
                                        <a:miter lim="800000"/>
                                        <a:headEnd type="none" w="sm" len="sm"/>
                                        <a:tailEnd type="none" w="sm" len="sm"/>
                                      </a:ln>
                                    </wps:spPr>
                                    <wps:bodyPr/>
                                  </wps:wsp>
                                  <wps:wsp>
                                    <wps:cNvPr id="23296" name="Straight Arrow Connector 21436"/>
                                    <wps:cNvCnPr>
                                      <a:cxnSpLocks noChangeShapeType="1"/>
                                    </wps:cNvCnPr>
                                    <wps:spPr bwMode="auto">
                                      <a:xfrm flipH="1">
                                        <a:off x="6096" y="1000"/>
                                        <a:ext cx="425" cy="565"/>
                                      </a:xfrm>
                                      <a:prstGeom prst="straightConnector1">
                                        <a:avLst/>
                                      </a:prstGeom>
                                      <a:noFill/>
                                      <a:ln w="19050">
                                        <a:solidFill>
                                          <a:srgbClr val="000000"/>
                                        </a:solidFill>
                                        <a:miter lim="800000"/>
                                        <a:headEnd type="none" w="sm" len="sm"/>
                                        <a:tailEnd type="none" w="sm" len="sm"/>
                                      </a:ln>
                                    </wps:spPr>
                                    <wps:bodyPr/>
                                  </wps:wsp>
                                </wpg:grpSp>
                              </wpg:grpSp>
                              <wpg:grpSp>
                                <wpg:cNvPr id="23297" name="Group 243"/>
                                <wpg:cNvGrpSpPr>
                                  <a:grpSpLocks/>
                                </wpg:cNvGrpSpPr>
                                <wpg:grpSpPr bwMode="auto">
                                  <a:xfrm rot="-5400000">
                                    <a:off x="-1918" y="3429"/>
                                    <a:ext cx="5835" cy="2000"/>
                                    <a:chOff x="0" y="0"/>
                                    <a:chExt cx="6953" cy="1571"/>
                                  </a:xfrm>
                                </wpg:grpSpPr>
                                <wps:wsp>
                                  <wps:cNvPr id="23298" name="Straight Arrow Connector 244"/>
                                  <wps:cNvCnPr>
                                    <a:cxnSpLocks noChangeShapeType="1"/>
                                  </wps:cNvCnPr>
                                  <wps:spPr bwMode="auto">
                                    <a:xfrm>
                                      <a:off x="0" y="1524"/>
                                      <a:ext cx="6953" cy="0"/>
                                    </a:xfrm>
                                    <a:prstGeom prst="straightConnector1">
                                      <a:avLst/>
                                    </a:prstGeom>
                                    <a:noFill/>
                                    <a:ln w="9525">
                                      <a:solidFill>
                                        <a:srgbClr val="000000"/>
                                      </a:solidFill>
                                      <a:miter lim="800000"/>
                                      <a:headEnd type="none" w="sm" len="sm"/>
                                      <a:tailEnd type="none" w="sm" len="sm"/>
                                    </a:ln>
                                  </wps:spPr>
                                  <wps:bodyPr/>
                                </wps:wsp>
                                <wpg:grpSp>
                                  <wpg:cNvPr id="23299" name="Group 245"/>
                                  <wpg:cNvGrpSpPr>
                                    <a:grpSpLocks/>
                                  </wpg:cNvGrpSpPr>
                                  <wpg:grpSpPr bwMode="auto">
                                    <a:xfrm>
                                      <a:off x="1095" y="0"/>
                                      <a:ext cx="5426" cy="1571"/>
                                      <a:chOff x="0" y="0"/>
                                      <a:chExt cx="5426" cy="1571"/>
                                    </a:xfrm>
                                  </wpg:grpSpPr>
                                  <wps:wsp>
                                    <wps:cNvPr id="23300" name="Straight Arrow Connector 246"/>
                                    <wps:cNvCnPr>
                                      <a:cxnSpLocks noChangeShapeType="1"/>
                                    </wps:cNvCnPr>
                                    <wps:spPr bwMode="auto">
                                      <a:xfrm flipH="1">
                                        <a:off x="1666" y="47"/>
                                        <a:ext cx="1239" cy="1524"/>
                                      </a:xfrm>
                                      <a:prstGeom prst="straightConnector1">
                                        <a:avLst/>
                                      </a:prstGeom>
                                      <a:noFill/>
                                      <a:ln w="19050">
                                        <a:solidFill>
                                          <a:srgbClr val="000000"/>
                                        </a:solidFill>
                                        <a:miter lim="800000"/>
                                        <a:headEnd type="none" w="sm" len="sm"/>
                                        <a:tailEnd type="none" w="sm" len="sm"/>
                                      </a:ln>
                                    </wps:spPr>
                                    <wps:bodyPr/>
                                  </wps:wsp>
                                  <wps:wsp>
                                    <wps:cNvPr id="23301" name="Straight Arrow Connector 247"/>
                                    <wps:cNvCnPr>
                                      <a:cxnSpLocks noChangeShapeType="1"/>
                                    </wps:cNvCnPr>
                                    <wps:spPr bwMode="auto">
                                      <a:xfrm flipH="1">
                                        <a:off x="2524" y="47"/>
                                        <a:ext cx="1187" cy="1524"/>
                                      </a:xfrm>
                                      <a:prstGeom prst="straightConnector1">
                                        <a:avLst/>
                                      </a:prstGeom>
                                      <a:noFill/>
                                      <a:ln w="19050">
                                        <a:solidFill>
                                          <a:srgbClr val="000000"/>
                                        </a:solidFill>
                                        <a:miter lim="800000"/>
                                        <a:headEnd type="none" w="sm" len="sm"/>
                                        <a:tailEnd type="none" w="sm" len="sm"/>
                                      </a:ln>
                                    </wps:spPr>
                                    <wps:bodyPr/>
                                  </wps:wsp>
                                  <wps:wsp>
                                    <wps:cNvPr id="23302" name="Straight Arrow Connector 248"/>
                                    <wps:cNvCnPr>
                                      <a:cxnSpLocks noChangeShapeType="1"/>
                                    </wps:cNvCnPr>
                                    <wps:spPr bwMode="auto">
                                      <a:xfrm flipH="1">
                                        <a:off x="857" y="0"/>
                                        <a:ext cx="1238" cy="1524"/>
                                      </a:xfrm>
                                      <a:prstGeom prst="straightConnector1">
                                        <a:avLst/>
                                      </a:prstGeom>
                                      <a:noFill/>
                                      <a:ln w="19050">
                                        <a:solidFill>
                                          <a:srgbClr val="000000"/>
                                        </a:solidFill>
                                        <a:miter lim="800000"/>
                                        <a:headEnd type="none" w="sm" len="sm"/>
                                        <a:tailEnd type="none" w="sm" len="sm"/>
                                      </a:ln>
                                    </wps:spPr>
                                    <wps:bodyPr/>
                                  </wps:wsp>
                                  <wps:wsp>
                                    <wps:cNvPr id="23303" name="Straight Arrow Connector 249"/>
                                    <wps:cNvCnPr>
                                      <a:cxnSpLocks noChangeShapeType="1"/>
                                    </wps:cNvCnPr>
                                    <wps:spPr bwMode="auto">
                                      <a:xfrm flipH="1">
                                        <a:off x="3429" y="333"/>
                                        <a:ext cx="901" cy="1187"/>
                                      </a:xfrm>
                                      <a:prstGeom prst="straightConnector1">
                                        <a:avLst/>
                                      </a:prstGeom>
                                      <a:noFill/>
                                      <a:ln w="19050">
                                        <a:solidFill>
                                          <a:srgbClr val="000000"/>
                                        </a:solidFill>
                                        <a:miter lim="800000"/>
                                        <a:headEnd type="none" w="sm" len="sm"/>
                                        <a:tailEnd type="none" w="sm" len="sm"/>
                                      </a:ln>
                                    </wps:spPr>
                                    <wps:bodyPr/>
                                  </wps:wsp>
                                  <wps:wsp>
                                    <wps:cNvPr id="23304" name="Straight Arrow Connector 255"/>
                                    <wps:cNvCnPr>
                                      <a:cxnSpLocks noChangeShapeType="1"/>
                                    </wps:cNvCnPr>
                                    <wps:spPr bwMode="auto">
                                      <a:xfrm flipH="1">
                                        <a:off x="0" y="190"/>
                                        <a:ext cx="1092" cy="1334"/>
                                      </a:xfrm>
                                      <a:prstGeom prst="straightConnector1">
                                        <a:avLst/>
                                      </a:prstGeom>
                                      <a:noFill/>
                                      <a:ln w="19050">
                                        <a:solidFill>
                                          <a:srgbClr val="000000"/>
                                        </a:solidFill>
                                        <a:miter lim="800000"/>
                                        <a:headEnd type="none" w="sm" len="sm"/>
                                        <a:tailEnd type="none" w="sm" len="sm"/>
                                      </a:ln>
                                    </wps:spPr>
                                    <wps:bodyPr/>
                                  </wps:wsp>
                                  <wps:wsp>
                                    <wps:cNvPr id="23305" name="Straight Arrow Connector 256"/>
                                    <wps:cNvCnPr>
                                      <a:cxnSpLocks noChangeShapeType="1"/>
                                    </wps:cNvCnPr>
                                    <wps:spPr bwMode="auto">
                                      <a:xfrm flipH="1">
                                        <a:off x="4286" y="666"/>
                                        <a:ext cx="616" cy="902"/>
                                      </a:xfrm>
                                      <a:prstGeom prst="straightConnector1">
                                        <a:avLst/>
                                      </a:prstGeom>
                                      <a:noFill/>
                                      <a:ln w="19050">
                                        <a:solidFill>
                                          <a:srgbClr val="000000"/>
                                        </a:solidFill>
                                        <a:miter lim="800000"/>
                                        <a:headEnd type="none" w="sm" len="sm"/>
                                        <a:tailEnd type="none" w="sm" len="sm"/>
                                      </a:ln>
                                    </wps:spPr>
                                    <wps:bodyPr/>
                                  </wps:wsp>
                                  <wps:wsp>
                                    <wps:cNvPr id="23306" name="Straight Arrow Connector 257"/>
                                    <wps:cNvCnPr>
                                      <a:cxnSpLocks noChangeShapeType="1"/>
                                    </wps:cNvCnPr>
                                    <wps:spPr bwMode="auto">
                                      <a:xfrm flipH="1">
                                        <a:off x="5000" y="1000"/>
                                        <a:ext cx="426" cy="565"/>
                                      </a:xfrm>
                                      <a:prstGeom prst="straightConnector1">
                                        <a:avLst/>
                                      </a:prstGeom>
                                      <a:noFill/>
                                      <a:ln w="19050">
                                        <a:solidFill>
                                          <a:srgbClr val="000000"/>
                                        </a:solidFill>
                                        <a:miter lim="800000"/>
                                        <a:headEnd type="none" w="sm" len="sm"/>
                                        <a:tailEnd type="none" w="sm" len="sm"/>
                                      </a:ln>
                                    </wps:spPr>
                                    <wps:bodyPr/>
                                  </wps:wsp>
                                </wpg:grpSp>
                              </wpg:grpSp>
                              <wpg:grpSp>
                                <wpg:cNvPr id="23307" name="Group 21447"/>
                                <wpg:cNvGrpSpPr>
                                  <a:grpSpLocks/>
                                </wpg:cNvGrpSpPr>
                                <wpg:grpSpPr bwMode="auto">
                                  <a:xfrm>
                                    <a:off x="1809" y="4000"/>
                                    <a:ext cx="7506" cy="4293"/>
                                    <a:chOff x="0" y="0"/>
                                    <a:chExt cx="7505" cy="4292"/>
                                  </a:xfrm>
                                </wpg:grpSpPr>
                                <wps:wsp>
                                  <wps:cNvPr id="23308" name="Straight Arrow Connector 234"/>
                                  <wps:cNvCnPr>
                                    <a:cxnSpLocks noChangeShapeType="1"/>
                                  </wps:cNvCnPr>
                                  <wps:spPr bwMode="auto">
                                    <a:xfrm rot="8615491" flipV="1">
                                      <a:off x="0" y="1238"/>
                                      <a:ext cx="7505" cy="597"/>
                                    </a:xfrm>
                                    <a:prstGeom prst="straightConnector1">
                                      <a:avLst/>
                                    </a:prstGeom>
                                    <a:noFill/>
                                    <a:ln w="9525">
                                      <a:solidFill>
                                        <a:srgbClr val="000000"/>
                                      </a:solidFill>
                                      <a:miter lim="800000"/>
                                      <a:headEnd type="none" w="sm" len="sm"/>
                                      <a:tailEnd type="none" w="sm" len="sm"/>
                                    </a:ln>
                                  </wps:spPr>
                                  <wps:bodyPr/>
                                </wps:wsp>
                                <wps:wsp>
                                  <wps:cNvPr id="23309" name="Straight Arrow Connector 236"/>
                                  <wps:cNvCnPr>
                                    <a:cxnSpLocks noChangeShapeType="1"/>
                                  </wps:cNvCnPr>
                                  <wps:spPr bwMode="auto">
                                    <a:xfrm rot="8615491" flipH="1">
                                      <a:off x="3810" y="1428"/>
                                      <a:ext cx="1333" cy="1975"/>
                                    </a:xfrm>
                                    <a:prstGeom prst="straightConnector1">
                                      <a:avLst/>
                                    </a:prstGeom>
                                    <a:noFill/>
                                    <a:ln w="19050">
                                      <a:solidFill>
                                        <a:srgbClr val="000000"/>
                                      </a:solidFill>
                                      <a:miter lim="800000"/>
                                      <a:headEnd type="none" w="sm" len="sm"/>
                                      <a:tailEnd type="none" w="sm" len="sm"/>
                                    </a:ln>
                                  </wps:spPr>
                                  <wps:bodyPr/>
                                </wps:wsp>
                                <wps:wsp>
                                  <wps:cNvPr id="23310" name="Straight Arrow Connector 238"/>
                                  <wps:cNvCnPr>
                                    <a:cxnSpLocks noChangeShapeType="1"/>
                                  </wps:cNvCnPr>
                                  <wps:spPr bwMode="auto">
                                    <a:xfrm rot="8615491" flipH="1">
                                      <a:off x="4572" y="762"/>
                                      <a:ext cx="1333" cy="2336"/>
                                    </a:xfrm>
                                    <a:prstGeom prst="straightConnector1">
                                      <a:avLst/>
                                    </a:prstGeom>
                                    <a:noFill/>
                                    <a:ln w="19050">
                                      <a:solidFill>
                                        <a:srgbClr val="000000"/>
                                      </a:solidFill>
                                      <a:miter lim="800000"/>
                                      <a:headEnd type="none" w="sm" len="sm"/>
                                      <a:tailEnd type="none" w="sm" len="sm"/>
                                    </a:ln>
                                  </wps:spPr>
                                  <wps:bodyPr/>
                                </wps:wsp>
                                <wps:wsp>
                                  <wps:cNvPr id="23311" name="Straight Arrow Connector 240"/>
                                  <wps:cNvCnPr>
                                    <a:cxnSpLocks noChangeShapeType="1"/>
                                  </wps:cNvCnPr>
                                  <wps:spPr bwMode="auto">
                                    <a:xfrm rot="8615491" flipH="1">
                                      <a:off x="5429" y="0"/>
                                      <a:ext cx="1175" cy="2159"/>
                                    </a:xfrm>
                                    <a:prstGeom prst="straightConnector1">
                                      <a:avLst/>
                                    </a:prstGeom>
                                    <a:noFill/>
                                    <a:ln w="19050">
                                      <a:solidFill>
                                        <a:srgbClr val="000000"/>
                                      </a:solidFill>
                                      <a:miter lim="800000"/>
                                      <a:headEnd type="none" w="sm" len="sm"/>
                                      <a:tailEnd type="none" w="sm" len="sm"/>
                                    </a:ln>
                                  </wps:spPr>
                                  <wps:bodyPr/>
                                </wps:wsp>
                                <wps:wsp>
                                  <wps:cNvPr id="23312" name="Straight Arrow Connector 237"/>
                                  <wps:cNvCnPr>
                                    <a:cxnSpLocks noChangeShapeType="1"/>
                                  </wps:cNvCnPr>
                                  <wps:spPr bwMode="auto">
                                    <a:xfrm rot="8615491" flipH="1">
                                      <a:off x="3143" y="2095"/>
                                      <a:ext cx="1276" cy="1822"/>
                                    </a:xfrm>
                                    <a:prstGeom prst="straightConnector1">
                                      <a:avLst/>
                                    </a:prstGeom>
                                    <a:noFill/>
                                    <a:ln w="19050">
                                      <a:solidFill>
                                        <a:srgbClr val="000000"/>
                                      </a:solidFill>
                                      <a:miter lim="800000"/>
                                      <a:headEnd type="none" w="sm" len="sm"/>
                                      <a:tailEnd type="none" w="sm" len="sm"/>
                                    </a:ln>
                                  </wps:spPr>
                                  <wps:bodyPr/>
                                </wps:wsp>
                                <wps:wsp>
                                  <wps:cNvPr id="23313" name="Straight Arrow Connector 239"/>
                                  <wps:cNvCnPr>
                                    <a:cxnSpLocks noChangeShapeType="1"/>
                                  </wps:cNvCnPr>
                                  <wps:spPr bwMode="auto">
                                    <a:xfrm rot="8615491" flipH="1">
                                      <a:off x="2571" y="2667"/>
                                      <a:ext cx="972" cy="1416"/>
                                    </a:xfrm>
                                    <a:prstGeom prst="straightConnector1">
                                      <a:avLst/>
                                    </a:prstGeom>
                                    <a:noFill/>
                                    <a:ln w="19050">
                                      <a:solidFill>
                                        <a:srgbClr val="000000"/>
                                      </a:solidFill>
                                      <a:miter lim="800000"/>
                                      <a:headEnd type="none" w="sm" len="sm"/>
                                      <a:tailEnd type="none" w="sm" len="sm"/>
                                    </a:ln>
                                  </wps:spPr>
                                  <wps:bodyPr/>
                                </wps:wsp>
                                <wps:wsp>
                                  <wps:cNvPr id="23314" name="Straight Arrow Connector 241"/>
                                  <wps:cNvCnPr>
                                    <a:cxnSpLocks noChangeShapeType="1"/>
                                  </wps:cNvCnPr>
                                  <wps:spPr bwMode="auto">
                                    <a:xfrm rot="8615491" flipH="1">
                                      <a:off x="2000" y="3143"/>
                                      <a:ext cx="660" cy="1079"/>
                                    </a:xfrm>
                                    <a:prstGeom prst="straightConnector1">
                                      <a:avLst/>
                                    </a:prstGeom>
                                    <a:noFill/>
                                    <a:ln w="19050">
                                      <a:solidFill>
                                        <a:srgbClr val="000000"/>
                                      </a:solidFill>
                                      <a:miter lim="800000"/>
                                      <a:headEnd type="none" w="sm" len="sm"/>
                                      <a:tailEnd type="none" w="sm" len="sm"/>
                                    </a:ln>
                                  </wps:spPr>
                                  <wps:bodyPr/>
                                </wps:wsp>
                                <wps:wsp>
                                  <wps:cNvPr id="23315" name="Straight Arrow Connector 242"/>
                                  <wps:cNvCnPr>
                                    <a:cxnSpLocks noChangeShapeType="1"/>
                                  </wps:cNvCnPr>
                                  <wps:spPr bwMode="auto">
                                    <a:xfrm rot="8615491" flipH="1">
                                      <a:off x="1428" y="3619"/>
                                      <a:ext cx="457" cy="673"/>
                                    </a:xfrm>
                                    <a:prstGeom prst="straightConnector1">
                                      <a:avLst/>
                                    </a:prstGeom>
                                    <a:noFill/>
                                    <a:ln w="19050">
                                      <a:solidFill>
                                        <a:srgbClr val="000000"/>
                                      </a:solidFill>
                                      <a:miter lim="800000"/>
                                      <a:headEnd type="none" w="sm" len="sm"/>
                                      <a:tailEnd type="none" w="sm" len="sm"/>
                                    </a:ln>
                                  </wps:spPr>
                                  <wps:bodyPr/>
                                </wps:wsp>
                              </wpg:grpSp>
                            </wpg:grpSp>
                            <wps:wsp>
                              <wps:cNvPr id="23316" name="Rectangle 21456"/>
                              <wps:cNvSpPr>
                                <a:spLocks noChangeArrowheads="1"/>
                              </wps:cNvSpPr>
                              <wps:spPr bwMode="auto">
                                <a:xfrm>
                                  <a:off x="3048" y="0"/>
                                  <a:ext cx="1846" cy="1791"/>
                                </a:xfrm>
                                <a:prstGeom prst="rect">
                                  <a:avLst/>
                                </a:prstGeom>
                                <a:noFill/>
                                <a:ln>
                                  <a:noFill/>
                                </a:ln>
                              </wps:spPr>
                              <wps:txbx>
                                <w:txbxContent>
                                  <w:p w14:paraId="72B347E5" w14:textId="77777777" w:rsidR="008E22F8" w:rsidRDefault="008E22F8" w:rsidP="008E22F8">
                                    <w:pPr>
                                      <w:spacing w:before="0" w:after="0" w:line="240" w:lineRule="auto"/>
                                      <w:jc w:val="center"/>
                                    </w:pPr>
                                    <w:r>
                                      <w:rPr>
                                        <w:rFonts w:ascii="Calibri" w:eastAsia="Calibri" w:hAnsi="Calibri" w:cs="Calibri"/>
                                        <w:color w:val="000000"/>
                                        <w:sz w:val="20"/>
                                      </w:rPr>
                                      <w:t>-2</w:t>
                                    </w:r>
                                  </w:p>
                                </w:txbxContent>
                              </wps:txbx>
                              <wps:bodyPr rot="0" vert="horz" wrap="square" lIns="0" tIns="0" rIns="0" bIns="0" anchor="ctr" anchorCtr="0" upright="1">
                                <a:noAutofit/>
                              </wps:bodyPr>
                            </wps:wsp>
                          </wpg:grpSp>
                          <wps:wsp>
                            <wps:cNvPr id="23317" name="Rectangle 214"/>
                            <wps:cNvSpPr>
                              <a:spLocks noChangeArrowheads="1"/>
                            </wps:cNvSpPr>
                            <wps:spPr bwMode="auto">
                              <a:xfrm>
                                <a:off x="0" y="4857"/>
                                <a:ext cx="1841" cy="1372"/>
                              </a:xfrm>
                              <a:prstGeom prst="rect">
                                <a:avLst/>
                              </a:prstGeom>
                              <a:noFill/>
                              <a:ln>
                                <a:noFill/>
                              </a:ln>
                            </wps:spPr>
                            <wps:txbx>
                              <w:txbxContent>
                                <w:p w14:paraId="6412E55A" w14:textId="77777777" w:rsidR="008E22F8" w:rsidRDefault="008E22F8" w:rsidP="008E22F8">
                                  <w:pPr>
                                    <w:spacing w:before="0" w:after="0" w:line="240" w:lineRule="auto"/>
                                    <w:jc w:val="center"/>
                                  </w:pPr>
                                  <w:r>
                                    <w:rPr>
                                      <w:rFonts w:ascii="Calibri" w:eastAsia="Calibri" w:hAnsi="Calibri" w:cs="Calibri"/>
                                      <w:color w:val="000000"/>
                                      <w:sz w:val="20"/>
                                    </w:rPr>
                                    <w:t>-2</w:t>
                                  </w:r>
                                </w:p>
                              </w:txbxContent>
                            </wps:txbx>
                            <wps:bodyPr rot="0" vert="horz" wrap="square" lIns="0" tIns="0" rIns="0" bIns="0" anchor="ctr" anchorCtr="0" upright="1">
                              <a:noAutofit/>
                            </wps:bodyPr>
                          </wps:wsp>
                        </wpg:grpSp>
                      </wpg:grpSp>
                      <wpg:grpSp>
                        <wpg:cNvPr id="23318" name="Group 21458"/>
                        <wpg:cNvGrpSpPr>
                          <a:grpSpLocks/>
                        </wpg:cNvGrpSpPr>
                        <wpg:grpSpPr bwMode="auto">
                          <a:xfrm>
                            <a:off x="2095" y="0"/>
                            <a:ext cx="8503" cy="11620"/>
                            <a:chOff x="0" y="0"/>
                            <a:chExt cx="8502" cy="11620"/>
                          </a:xfrm>
                        </wpg:grpSpPr>
                        <wpg:grpSp>
                          <wpg:cNvPr id="23319" name="Group 21459"/>
                          <wpg:cNvGrpSpPr>
                            <a:grpSpLocks/>
                          </wpg:cNvGrpSpPr>
                          <wpg:grpSpPr bwMode="auto">
                            <a:xfrm>
                              <a:off x="0" y="0"/>
                              <a:ext cx="8502" cy="9687"/>
                              <a:chOff x="0" y="0"/>
                              <a:chExt cx="8502" cy="9687"/>
                            </a:xfrm>
                          </wpg:grpSpPr>
                          <wps:wsp>
                            <wps:cNvPr id="23320" name="Rectangle 21460"/>
                            <wps:cNvSpPr>
                              <a:spLocks noChangeArrowheads="1"/>
                            </wps:cNvSpPr>
                            <wps:spPr bwMode="auto">
                              <a:xfrm>
                                <a:off x="5905" y="0"/>
                                <a:ext cx="1591" cy="1768"/>
                              </a:xfrm>
                              <a:prstGeom prst="rect">
                                <a:avLst/>
                              </a:prstGeom>
                              <a:noFill/>
                              <a:ln>
                                <a:noFill/>
                              </a:ln>
                            </wps:spPr>
                            <wps:txbx>
                              <w:txbxContent>
                                <w:p w14:paraId="3ED033C2" w14:textId="77777777" w:rsidR="008E22F8" w:rsidRDefault="008E22F8" w:rsidP="008E22F8">
                                  <w:pPr>
                                    <w:spacing w:before="0" w:after="0" w:line="240" w:lineRule="auto"/>
                                    <w:jc w:val="center"/>
                                  </w:pPr>
                                  <w:r>
                                    <w:rPr>
                                      <w:rFonts w:ascii="Calibri" w:eastAsia="Calibri" w:hAnsi="Calibri" w:cs="Calibri"/>
                                      <w:color w:val="000000"/>
                                      <w:sz w:val="20"/>
                                    </w:rPr>
                                    <w:t>-2</w:t>
                                  </w:r>
                                </w:p>
                              </w:txbxContent>
                            </wps:txbx>
                            <wps:bodyPr rot="0" vert="horz" wrap="square" lIns="0" tIns="0" rIns="0" bIns="0" anchor="ctr" anchorCtr="0" upright="1">
                              <a:noAutofit/>
                            </wps:bodyPr>
                          </wps:wsp>
                          <wps:wsp>
                            <wps:cNvPr id="23321" name="Oval 21461"/>
                            <wps:cNvSpPr>
                              <a:spLocks noChangeArrowheads="1"/>
                            </wps:cNvSpPr>
                            <wps:spPr bwMode="auto">
                              <a:xfrm>
                                <a:off x="0" y="1524"/>
                                <a:ext cx="8502" cy="8163"/>
                              </a:xfrm>
                              <a:prstGeom prst="ellipse">
                                <a:avLst/>
                              </a:prstGeom>
                              <a:noFill/>
                              <a:ln w="12700">
                                <a:solidFill>
                                  <a:srgbClr val="000000"/>
                                </a:solidFill>
                                <a:miter lim="800000"/>
                                <a:headEnd type="none" w="sm" len="sm"/>
                                <a:tailEnd type="none" w="sm" len="sm"/>
                              </a:ln>
                            </wps:spPr>
                            <wps:txbx>
                              <w:txbxContent>
                                <w:p w14:paraId="473B536F" w14:textId="77777777" w:rsidR="008E22F8" w:rsidRDefault="008E22F8" w:rsidP="008E22F8">
                                  <w:pPr>
                                    <w:jc w:val="left"/>
                                  </w:pPr>
                                </w:p>
                              </w:txbxContent>
                            </wps:txbx>
                            <wps:bodyPr rot="0" vert="horz" wrap="square" lIns="91425" tIns="91425" rIns="91425" bIns="91425" anchor="ctr" anchorCtr="0" upright="1">
                              <a:noAutofit/>
                            </wps:bodyPr>
                          </wps:wsp>
                        </wpg:grpSp>
                        <wps:wsp>
                          <wps:cNvPr id="23322" name="Rectangle 259"/>
                          <wps:cNvSpPr>
                            <a:spLocks noChangeArrowheads="1"/>
                          </wps:cNvSpPr>
                          <wps:spPr bwMode="auto">
                            <a:xfrm>
                              <a:off x="6858" y="9334"/>
                              <a:ext cx="1555" cy="2286"/>
                            </a:xfrm>
                            <a:prstGeom prst="rect">
                              <a:avLst/>
                            </a:prstGeom>
                            <a:noFill/>
                            <a:ln>
                              <a:noFill/>
                            </a:ln>
                          </wps:spPr>
                          <wps:txbx>
                            <w:txbxContent>
                              <w:p w14:paraId="7AD8C1C4" w14:textId="77777777" w:rsidR="008E22F8" w:rsidRDefault="008E22F8" w:rsidP="008E22F8">
                                <w:pPr>
                                  <w:spacing w:before="0" w:after="0" w:line="240" w:lineRule="auto"/>
                                  <w:jc w:val="center"/>
                                </w:pPr>
                                <w:r>
                                  <w:rPr>
                                    <w:rFonts w:ascii="Calibri" w:eastAsia="Calibri" w:hAnsi="Calibri" w:cs="Calibri"/>
                                    <w:color w:val="000000"/>
                                    <w:sz w:val="20"/>
                                  </w:rPr>
                                  <w:t>-3</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0D337C" id="Group 23281" o:spid="_x0000_s2089" style="position:absolute;left:0;text-align:left;margin-left:225.75pt;margin-top:8.8pt;width:89.85pt;height:93.75pt;z-index:251691008;mso-position-horizontal-relative:text;mso-position-vertical-relative:text" coordsize="11410,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">
                <v:group id="Group 21361" o:spid="_x0000_s2090" style="position:absolute;width:11410;height:11906" coordsize="11410,1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">
                  <v:rect id="Rectangle 258" o:spid="_x0000_s2091" style="position:absolute;left:5524;top:10096;width:2788;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" filled="f" stroked="f">
                    <v:textbox inset="0,0,0,0">
                      <w:txbxContent>
                        <w:p w14:paraId="47CB94DF" w14:textId="77777777" w:rsidR="008E22F8" w:rsidRDefault="008E22F8" w:rsidP="008E22F8">
                          <w:pPr>
                            <w:spacing w:before="0" w:after="0" w:line="240" w:lineRule="auto"/>
                            <w:jc w:val="center"/>
                          </w:pPr>
                          <w:r>
                            <w:rPr>
                              <w:rFonts w:ascii="Calibri" w:eastAsia="Calibri" w:hAnsi="Calibri" w:cs="Calibri"/>
                              <w:color w:val="000000"/>
                              <w:sz w:val="20"/>
                            </w:rPr>
                            <w:t xml:space="preserve">-1½ </w:t>
                          </w:r>
                        </w:p>
                      </w:txbxContent>
                    </v:textbox>
                  </v:rect>
                  <v:group id="Group 21363" o:spid="_x0000_s2092" style="position:absolute;width:11410;height:9912" coordsize="11410,9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">
                    <v:group id="Group 21364" o:spid="_x0000_s2093" style="position:absolute;left:2095;width:9315;height:9912" coordsize="9315,9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">
                      <v:group id="Group 21365" o:spid="_x0000_s2094" style="position:absolute;top:1619;width:9315;height:8293" coordsize="9315,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">
                        <v:group id="Group 223" o:spid="_x0000_s2095" style="position:absolute;left:952;width:6464;height:1905" coordsize="6953,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">
                          <v:shape id="Straight Arrow Connector 21372" o:spid="_x0000_s2096" type="#_x0000_t32" style="position:absolute;top:1524;width:6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">
                            <v:stroke startarrowwidth="narrow" startarrowlength="short" endarrowwidth="narrow" endarrowlength="short" joinstyle="miter"/>
                          </v:shape>
                          <v:group id="Group 21373" o:spid="_x0000_s2097" style="position:absolute;left:1095;width:5426;height:1571" coordorigin="1095" coordsize="5426,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">
                            <v:shape id="Straight Arrow Connector 21374" o:spid="_x0000_s2098" type="#_x0000_t32" style="position:absolute;left:2762;top:47;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" strokeweight="1.5pt">
                              <v:stroke startarrowwidth="narrow" startarrowlength="short" endarrowwidth="narrow" endarrowlength="short" joinstyle="miter"/>
                            </v:shape>
                            <v:shape id="Straight Arrow Connector 21382" o:spid="_x0000_s2099" type="#_x0000_t32" style="position:absolute;left:3619;top:47;width:1187;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" strokeweight="1.5pt">
                              <v:stroke startarrowwidth="narrow" startarrowlength="short" endarrowwidth="narrow" endarrowlength="short" joinstyle="miter"/>
                            </v:shape>
                            <v:shape id="Straight Arrow Connector 21432" o:spid="_x0000_s2100" type="#_x0000_t32" style="position:absolute;left:1952;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" strokeweight="1.5pt">
                              <v:stroke startarrowwidth="narrow" startarrowlength="short" endarrowwidth="narrow" endarrowlength="short" joinstyle="miter"/>
                            </v:shape>
                            <v:shape id="Straight Arrow Connector 21433" o:spid="_x0000_s2101" type="#_x0000_t32" style="position:absolute;left:4524;top:333;width:902;height:11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" strokeweight="1.5pt">
                              <v:stroke startarrowwidth="narrow" startarrowlength="short" endarrowwidth="narrow" endarrowlength="short" joinstyle="miter"/>
                            </v:shape>
                            <v:shape id="Straight Arrow Connector 21434" o:spid="_x0000_s2102" type="#_x0000_t32" style="position:absolute;left:1095;top:190;width:1092;height:1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" strokeweight="1.5pt">
                              <v:stroke startarrowwidth="narrow" startarrowlength="short" endarrowwidth="narrow" endarrowlength="short" joinstyle="miter"/>
                            </v:shape>
                            <v:shape id="Straight Arrow Connector 21435" o:spid="_x0000_s2103" type="#_x0000_t32" style="position:absolute;left:5381;top:666;width:616;height: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" strokeweight="1.5pt">
                              <v:stroke startarrowwidth="narrow" startarrowlength="short" endarrowwidth="narrow" endarrowlength="short" joinstyle="miter"/>
                            </v:shape>
                            <v:shape id="Straight Arrow Connector 21436" o:spid="_x0000_s2104" type="#_x0000_t32" style="position:absolute;left:6096;top:1000;width:425;height:5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" strokeweight="1.5pt">
                              <v:stroke startarrowwidth="narrow" startarrowlength="short" endarrowwidth="narrow" endarrowlength="short" joinstyle="miter"/>
                            </v:shape>
                          </v:group>
                        </v:group>
                        <v:group id="Group 243" o:spid="_x0000_s2105" style="position:absolute;left:-1918;top:3429;width:5835;height:2000;rotation:-90" coordsize="6953,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">
                          <v:shape id="Straight Arrow Connector 244" o:spid="_x0000_s2106" type="#_x0000_t32" style="position:absolute;top:1524;width:6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">
                            <v:stroke startarrowwidth="narrow" startarrowlength="short" endarrowwidth="narrow" endarrowlength="short" joinstyle="miter"/>
                          </v:shape>
                          <v:group id="Group 245" o:spid="_x0000_s2107" style="position:absolute;left:1095;width:5426;height:1571" coordsize="5426,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">
                            <v:shape id="Straight Arrow Connector 246" o:spid="_x0000_s2108" type="#_x0000_t32" style="position:absolute;left:1666;top:47;width:1239;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" strokeweight="1.5pt">
                              <v:stroke startarrowwidth="narrow" startarrowlength="short" endarrowwidth="narrow" endarrowlength="short" joinstyle="miter"/>
                            </v:shape>
                            <v:shape id="Straight Arrow Connector 247" o:spid="_x0000_s2109" type="#_x0000_t32" style="position:absolute;left:2524;top:47;width:1187;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" strokeweight="1.5pt">
                              <v:stroke startarrowwidth="narrow" startarrowlength="short" endarrowwidth="narrow" endarrowlength="short" joinstyle="miter"/>
                            </v:shape>
                            <v:shape id="Straight Arrow Connector 248" o:spid="_x0000_s2110" type="#_x0000_t32" style="position:absolute;left:857;width:123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" strokeweight="1.5pt">
                              <v:stroke startarrowwidth="narrow" startarrowlength="short" endarrowwidth="narrow" endarrowlength="short" joinstyle="miter"/>
                            </v:shape>
                            <v:shape id="Straight Arrow Connector 249" o:spid="_x0000_s2111" type="#_x0000_t32" style="position:absolute;left:3429;top:333;width:901;height:11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" strokeweight="1.5pt">
                              <v:stroke startarrowwidth="narrow" startarrowlength="short" endarrowwidth="narrow" endarrowlength="short" joinstyle="miter"/>
                            </v:shape>
                            <v:shape id="Straight Arrow Connector 255" o:spid="_x0000_s2112" type="#_x0000_t32" style="position:absolute;top:190;width:1092;height:1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" strokeweight="1.5pt">
                              <v:stroke startarrowwidth="narrow" startarrowlength="short" endarrowwidth="narrow" endarrowlength="short" joinstyle="miter"/>
                            </v:shape>
                            <v:shape id="Straight Arrow Connector 256" o:spid="_x0000_s2113" type="#_x0000_t32" style="position:absolute;left:4286;top:666;width:616;height: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" strokeweight="1.5pt">
                              <v:stroke startarrowwidth="narrow" startarrowlength="short" endarrowwidth="narrow" endarrowlength="short" joinstyle="miter"/>
                            </v:shape>
                            <v:shape id="Straight Arrow Connector 257" o:spid="_x0000_s2114" type="#_x0000_t32" style="position:absolute;left:5000;top:1000;width:426;height:5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" strokeweight="1.5pt">
                              <v:stroke startarrowwidth="narrow" startarrowlength="short" endarrowwidth="narrow" endarrowlength="short" joinstyle="miter"/>
                            </v:shape>
                          </v:group>
                        </v:group>
                        <v:group id="Group 21447" o:spid="_x0000_s2115" style="position:absolute;left:1809;top:4000;width:7506;height:4293" coordsize="7505,4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">
                          <v:shape id="Straight Arrow Connector 234" o:spid="_x0000_s2116" type="#_x0000_t32" style="position:absolute;top:1238;width:7505;height:597;rotation:-9410414fd;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">
                            <v:stroke startarrowwidth="narrow" startarrowlength="short" endarrowwidth="narrow" endarrowlength="short" joinstyle="miter"/>
                          </v:shape>
                          <v:shape id="Straight Arrow Connector 236" o:spid="_x0000_s2117" type="#_x0000_t32" style="position:absolute;left:3810;top:1428;width:1333;height:1975;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" strokeweight="1.5pt">
                            <v:stroke startarrowwidth="narrow" startarrowlength="short" endarrowwidth="narrow" endarrowlength="short" joinstyle="miter"/>
                          </v:shape>
                          <v:shape id="Straight Arrow Connector 238" o:spid="_x0000_s2118" type="#_x0000_t32" style="position:absolute;left:4572;top:762;width:1333;height:2336;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" strokeweight="1.5pt">
                            <v:stroke startarrowwidth="narrow" startarrowlength="short" endarrowwidth="narrow" endarrowlength="short" joinstyle="miter"/>
                          </v:shape>
                          <v:shape id="Straight Arrow Connector 240" o:spid="_x0000_s2119" type="#_x0000_t32" style="position:absolute;left:5429;width:1175;height:2159;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" strokeweight="1.5pt">
                            <v:stroke startarrowwidth="narrow" startarrowlength="short" endarrowwidth="narrow" endarrowlength="short" joinstyle="miter"/>
                          </v:shape>
                          <v:shape id="Straight Arrow Connector 237" o:spid="_x0000_s2120" type="#_x0000_t32" style="position:absolute;left:3143;top:2095;width:1276;height:1822;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" strokeweight="1.5pt">
                            <v:stroke startarrowwidth="narrow" startarrowlength="short" endarrowwidth="narrow" endarrowlength="short" joinstyle="miter"/>
                          </v:shape>
                          <v:shape id="Straight Arrow Connector 239" o:spid="_x0000_s2121" type="#_x0000_t32" style="position:absolute;left:2571;top:2667;width:972;height:1416;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" strokeweight="1.5pt">
                            <v:stroke startarrowwidth="narrow" startarrowlength="short" endarrowwidth="narrow" endarrowlength="short" joinstyle="miter"/>
                          </v:shape>
                          <v:shape id="Straight Arrow Connector 241" o:spid="_x0000_s2122" type="#_x0000_t32" style="position:absolute;left:2000;top:3143;width:660;height:1079;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" strokeweight="1.5pt">
                            <v:stroke startarrowwidth="narrow" startarrowlength="short" endarrowwidth="narrow" endarrowlength="short" joinstyle="miter"/>
                          </v:shape>
                          <v:shape id="Straight Arrow Connector 242" o:spid="_x0000_s2123" type="#_x0000_t32" style="position:absolute;left:1428;top:3619;width:457;height:673;rotation:-9410414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" strokeweight="1.5pt">
                            <v:stroke startarrowwidth="narrow" startarrowlength="short" endarrowwidth="narrow" endarrowlength="short" joinstyle="miter"/>
                          </v:shape>
                        </v:group>
                      </v:group>
                      <v:rect id="Rectangle 21456" o:spid="_x0000_s2124" style="position:absolute;left:3048;width:1846;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" filled="f" stroked="f">
                        <v:textbox inset="0,0,0,0">
                          <w:txbxContent>
                            <w:p w14:paraId="72B347E5" w14:textId="77777777" w:rsidR="008E22F8" w:rsidRDefault="008E22F8" w:rsidP="008E22F8">
                              <w:pPr>
                                <w:spacing w:before="0" w:after="0" w:line="240" w:lineRule="auto"/>
                                <w:jc w:val="center"/>
                              </w:pPr>
                              <w:r>
                                <w:rPr>
                                  <w:rFonts w:ascii="Calibri" w:eastAsia="Calibri" w:hAnsi="Calibri" w:cs="Calibri"/>
                                  <w:color w:val="000000"/>
                                  <w:sz w:val="20"/>
                                </w:rPr>
                                <w:t>-2</w:t>
                              </w:r>
                            </w:p>
                          </w:txbxContent>
                        </v:textbox>
                      </v:rect>
                    </v:group>
                    <v:rect id="Rectangle 214" o:spid="_x0000_s2125" style="position:absolute;top:4857;width:1841;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" filled="f" stroked="f">
                      <v:textbox inset="0,0,0,0">
                        <w:txbxContent>
                          <w:p w14:paraId="6412E55A" w14:textId="77777777" w:rsidR="008E22F8" w:rsidRDefault="008E22F8" w:rsidP="008E22F8">
                            <w:pPr>
                              <w:spacing w:before="0" w:after="0" w:line="240" w:lineRule="auto"/>
                              <w:jc w:val="center"/>
                            </w:pPr>
                            <w:r>
                              <w:rPr>
                                <w:rFonts w:ascii="Calibri" w:eastAsia="Calibri" w:hAnsi="Calibri" w:cs="Calibri"/>
                                <w:color w:val="000000"/>
                                <w:sz w:val="20"/>
                              </w:rPr>
                              <w:t>-2</w:t>
                            </w:r>
                          </w:p>
                        </w:txbxContent>
                      </v:textbox>
                    </v:rect>
                  </v:group>
                </v:group>
                <v:group id="Group 21458" o:spid="_x0000_s2126" style="position:absolute;left:2095;width:8503;height:11620" coordsize="8502,1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">
                  <v:group id="Group 21459" o:spid="_x0000_s2127" style="position:absolute;width:8502;height:9687" coordsize="8502,9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">
                    <v:rect id="Rectangle 21460" o:spid="_x0000_s2128" style="position:absolute;left:5905;width:1591;height:1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" filled="f" stroked="f">
                      <v:textbox inset="0,0,0,0">
                        <w:txbxContent>
                          <w:p w14:paraId="3ED033C2" w14:textId="77777777" w:rsidR="008E22F8" w:rsidRDefault="008E22F8" w:rsidP="008E22F8">
                            <w:pPr>
                              <w:spacing w:before="0" w:after="0" w:line="240" w:lineRule="auto"/>
                              <w:jc w:val="center"/>
                            </w:pPr>
                            <w:r>
                              <w:rPr>
                                <w:rFonts w:ascii="Calibri" w:eastAsia="Calibri" w:hAnsi="Calibri" w:cs="Calibri"/>
                                <w:color w:val="000000"/>
                                <w:sz w:val="20"/>
                              </w:rPr>
                              <w:t>-2</w:t>
                            </w:r>
                          </w:p>
                        </w:txbxContent>
                      </v:textbox>
                    </v:rect>
                    <v:oval id="Oval 21461" o:spid="_x0000_s2129" style="position:absolute;top:1524;width:8502;height:8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" filled="f" strokeweight="1pt">
                      <v:stroke startarrowwidth="narrow" startarrowlength="short" endarrowwidth="narrow" endarrowlength="short" joinstyle="miter"/>
                      <v:textbox inset="2.53958mm,2.53958mm,2.53958mm,2.53958mm">
                        <w:txbxContent>
                          <w:p w14:paraId="473B536F" w14:textId="77777777" w:rsidR="008E22F8" w:rsidRDefault="008E22F8" w:rsidP="008E22F8">
                            <w:pPr>
                              <w:jc w:val="left"/>
                            </w:pPr>
                          </w:p>
                        </w:txbxContent>
                      </v:textbox>
                    </v:oval>
                  </v:group>
                  <v:rect id="Rectangle 259" o:spid="_x0000_s2130" style="position:absolute;left:6858;top:9334;width:155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" filled="f" stroked="f">
                    <v:textbox inset="0,0,0,0">
                      <w:txbxContent>
                        <w:p w14:paraId="7AD8C1C4" w14:textId="77777777" w:rsidR="008E22F8" w:rsidRDefault="008E22F8" w:rsidP="008E22F8">
                          <w:pPr>
                            <w:spacing w:before="0" w:after="0" w:line="240" w:lineRule="auto"/>
                            <w:jc w:val="center"/>
                          </w:pPr>
                          <w:r>
                            <w:rPr>
                              <w:rFonts w:ascii="Calibri" w:eastAsia="Calibri" w:hAnsi="Calibri" w:cs="Calibri"/>
                              <w:color w:val="000000"/>
                              <w:sz w:val="20"/>
                            </w:rPr>
                            <w:t>-3</w:t>
                          </w:r>
                        </w:p>
                      </w:txbxContent>
                    </v:textbox>
                  </v:rect>
                </v:group>
              </v:group>
            </w:pict>
          </mc:Fallback>
        </mc:AlternateContent>
      </w:r>
      <w:r w:rsidRPr="009D4627">
        <w:rPr>
          <w:noProof/>
        </w:rPr>
        <mc:AlternateContent>
          <mc:Choice Requires="wps">
            <w:drawing>
              <wp:anchor distT="0" distB="0" distL="114300" distR="114300" simplePos="0" relativeHeight="251689984" behindDoc="0" locked="0" layoutInCell="1" allowOverlap="1" wp14:anchorId="5A8E84D6" wp14:editId="2A5AA9B8">
                <wp:simplePos x="0" y="0"/>
                <wp:positionH relativeFrom="column">
                  <wp:posOffset>2867025</wp:posOffset>
                </wp:positionH>
                <wp:positionV relativeFrom="paragraph">
                  <wp:posOffset>117475</wp:posOffset>
                </wp:positionV>
                <wp:extent cx="1075055" cy="1189355"/>
                <wp:effectExtent l="0" t="0" r="0" b="0"/>
                <wp:wrapNone/>
                <wp:docPr id="23280" name="Rectangle 23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055" cy="1189355"/>
                        </a:xfrm>
                        <a:prstGeom prst="rect">
                          <a:avLst/>
                        </a:prstGeom>
                        <a:noFill/>
                        <a:ln>
                          <a:noFill/>
                        </a:ln>
                      </wps:spPr>
                      <wps:txbx>
                        <w:txbxContent>
                          <w:p w14:paraId="3A4DB5E0" w14:textId="77777777" w:rsidR="008E22F8" w:rsidRDefault="008E22F8" w:rsidP="008E22F8">
                            <w:pPr>
                              <w:jc w:val="left"/>
                            </w:pPr>
                          </w:p>
                        </w:txbxContent>
                      </wps:txbx>
                      <wps:bodyPr spcFirstLastPara="1" vert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A8E84D6" id="Rectangle 23280" o:spid="_x0000_s2131" style="position:absolute;left:0;text-align:left;margin-left:225.75pt;margin-top:9.25pt;width:84.65pt;height:93.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" filled="f" stroked="f">
                <v:textbox inset="2.53958mm,2.53958mm,2.53958mm,2.53958mm">
                  <w:txbxContent>
                    <w:p w14:paraId="3A4DB5E0" w14:textId="77777777" w:rsidR="008E22F8" w:rsidRDefault="008E22F8" w:rsidP="008E22F8">
                      <w:pPr>
                        <w:jc w:val="left"/>
                      </w:pPr>
                    </w:p>
                  </w:txbxContent>
                </v:textbox>
              </v:rect>
            </w:pict>
          </mc:Fallback>
        </mc:AlternateContent>
      </w:r>
    </w:p>
    <w:p w14:paraId="7F545B0A" w14:textId="77068153" w:rsidR="008E22F8" w:rsidRPr="009D4627" w:rsidRDefault="00A2792E" w:rsidP="008E22F8">
      <w:pPr>
        <w:spacing w:before="0" w:line="240" w:lineRule="auto"/>
        <w:rPr>
          <w:rFonts w:eastAsia="Calibri"/>
          <w:color w:val="auto"/>
          <w:lang w:eastAsia="en-MY"/>
        </w:rPr>
      </w:pPr>
      <w:r w:rsidRPr="009D4627">
        <w:rPr>
          <w:noProof/>
        </w:rPr>
        <mc:AlternateContent>
          <mc:Choice Requires="wpg">
            <w:drawing>
              <wp:anchor distT="0" distB="0" distL="114300" distR="114300" simplePos="0" relativeHeight="251692032" behindDoc="0" locked="0" layoutInCell="1" allowOverlap="1" wp14:anchorId="1F0EB84A" wp14:editId="732DC910">
                <wp:simplePos x="0" y="0"/>
                <wp:positionH relativeFrom="column">
                  <wp:posOffset>1247775</wp:posOffset>
                </wp:positionH>
                <wp:positionV relativeFrom="paragraph">
                  <wp:posOffset>97155</wp:posOffset>
                </wp:positionV>
                <wp:extent cx="1195070" cy="815975"/>
                <wp:effectExtent l="0" t="0" r="0" b="3175"/>
                <wp:wrapThrough wrapText="bothSides">
                  <wp:wrapPolygon edited="0">
                    <wp:start x="8264" y="0"/>
                    <wp:lineTo x="2066" y="1513"/>
                    <wp:lineTo x="689" y="3026"/>
                    <wp:lineTo x="0" y="8573"/>
                    <wp:lineTo x="0" y="12607"/>
                    <wp:lineTo x="689" y="19163"/>
                    <wp:lineTo x="4132" y="21684"/>
                    <wp:lineTo x="7919" y="21684"/>
                    <wp:lineTo x="13773" y="21684"/>
                    <wp:lineTo x="16871" y="21684"/>
                    <wp:lineTo x="20659" y="18658"/>
                    <wp:lineTo x="21348" y="12607"/>
                    <wp:lineTo x="21348" y="8068"/>
                    <wp:lineTo x="21003" y="3530"/>
                    <wp:lineTo x="19626" y="2017"/>
                    <wp:lineTo x="13428" y="0"/>
                    <wp:lineTo x="8264" y="0"/>
                  </wp:wrapPolygon>
                </wp:wrapThrough>
                <wp:docPr id="23274" name="Group 23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5070" cy="815975"/>
                          <a:chOff x="0" y="0"/>
                          <a:chExt cx="11950" cy="8160"/>
                        </a:xfrm>
                      </wpg:grpSpPr>
                      <wps:wsp>
                        <wps:cNvPr id="23275" name="Rectangle 21465"/>
                        <wps:cNvSpPr>
                          <a:spLocks noChangeArrowheads="1"/>
                        </wps:cNvSpPr>
                        <wps:spPr bwMode="auto">
                          <a:xfrm>
                            <a:off x="0" y="0"/>
                            <a:ext cx="11950" cy="8160"/>
                          </a:xfrm>
                          <a:prstGeom prst="rect">
                            <a:avLst/>
                          </a:prstGeom>
                          <a:noFill/>
                          <a:ln>
                            <a:noFill/>
                          </a:ln>
                        </wps:spPr>
                        <wps:txbx>
                          <w:txbxContent>
                            <w:p w14:paraId="0E6CB7AF" w14:textId="77777777" w:rsidR="008E22F8" w:rsidRDefault="008E22F8" w:rsidP="008E22F8">
                              <w:pPr>
                                <w:jc w:val="left"/>
                              </w:pPr>
                            </w:p>
                          </w:txbxContent>
                        </wps:txbx>
                        <wps:bodyPr rot="0" vert="horz" wrap="square" lIns="91425" tIns="91425" rIns="91425" bIns="91425" anchor="ctr" anchorCtr="0" upright="1">
                          <a:noAutofit/>
                        </wps:bodyPr>
                      </wps:wsp>
                      <wps:wsp>
                        <wps:cNvPr id="23276" name="Rectangle 21466"/>
                        <wps:cNvSpPr>
                          <a:spLocks noChangeArrowheads="1"/>
                        </wps:cNvSpPr>
                        <wps:spPr bwMode="auto">
                          <a:xfrm>
                            <a:off x="10096" y="3238"/>
                            <a:ext cx="1854" cy="1378"/>
                          </a:xfrm>
                          <a:prstGeom prst="rect">
                            <a:avLst/>
                          </a:prstGeom>
                          <a:noFill/>
                          <a:ln>
                            <a:noFill/>
                          </a:ln>
                        </wps:spPr>
                        <wps:txbx>
                          <w:txbxContent>
                            <w:p w14:paraId="5EB7EDD1" w14:textId="77777777" w:rsidR="008E22F8" w:rsidRDefault="008E22F8" w:rsidP="008E22F8">
                              <w:pPr>
                                <w:spacing w:before="0" w:after="0" w:line="240" w:lineRule="auto"/>
                                <w:jc w:val="center"/>
                              </w:pPr>
                              <w:r>
                                <w:rPr>
                                  <w:rFonts w:ascii="Calibri" w:eastAsia="Calibri" w:hAnsi="Calibri" w:cs="Calibri"/>
                                  <w:color w:val="000000"/>
                                  <w:sz w:val="20"/>
                                </w:rPr>
                                <w:t>0</w:t>
                              </w:r>
                            </w:p>
                          </w:txbxContent>
                        </wps:txbx>
                        <wps:bodyPr rot="0" vert="horz" wrap="square" lIns="0" tIns="0" rIns="0" bIns="0" anchor="ctr" anchorCtr="0" upright="1">
                          <a:noAutofit/>
                        </wps:bodyPr>
                      </wps:wsp>
                      <wpg:grpSp>
                        <wpg:cNvPr id="23277" name="Group 21467"/>
                        <wpg:cNvGrpSpPr>
                          <a:grpSpLocks/>
                        </wpg:cNvGrpSpPr>
                        <wpg:grpSpPr bwMode="auto">
                          <a:xfrm>
                            <a:off x="0" y="0"/>
                            <a:ext cx="10278" cy="8160"/>
                            <a:chOff x="0" y="0"/>
                            <a:chExt cx="10278" cy="8160"/>
                          </a:xfrm>
                        </wpg:grpSpPr>
                        <wps:wsp>
                          <wps:cNvPr id="23278" name="Rectangle 21468"/>
                          <wps:cNvSpPr>
                            <a:spLocks noChangeArrowheads="1"/>
                          </wps:cNvSpPr>
                          <wps:spPr bwMode="auto">
                            <a:xfrm>
                              <a:off x="0" y="3238"/>
                              <a:ext cx="1854" cy="1372"/>
                            </a:xfrm>
                            <a:prstGeom prst="rect">
                              <a:avLst/>
                            </a:prstGeom>
                            <a:noFill/>
                            <a:ln>
                              <a:noFill/>
                            </a:ln>
                          </wps:spPr>
                          <wps:txbx>
                            <w:txbxContent>
                              <w:p w14:paraId="04F6D980" w14:textId="77777777" w:rsidR="008E22F8" w:rsidRDefault="008E22F8" w:rsidP="008E22F8">
                                <w:pPr>
                                  <w:spacing w:before="0" w:after="0" w:line="240" w:lineRule="auto"/>
                                  <w:jc w:val="center"/>
                                </w:pPr>
                                <w:r>
                                  <w:rPr>
                                    <w:rFonts w:ascii="Calibri" w:eastAsia="Calibri" w:hAnsi="Calibri" w:cs="Calibri"/>
                                    <w:color w:val="000000"/>
                                    <w:sz w:val="20"/>
                                  </w:rPr>
                                  <w:t>0</w:t>
                                </w:r>
                              </w:p>
                            </w:txbxContent>
                          </wps:txbx>
                          <wps:bodyPr rot="0" vert="horz" wrap="square" lIns="0" tIns="0" rIns="0" bIns="0" anchor="ctr" anchorCtr="0" upright="1">
                            <a:noAutofit/>
                          </wps:bodyPr>
                        </wps:wsp>
                        <wps:wsp>
                          <wps:cNvPr id="23279" name="Oval 21469"/>
                          <wps:cNvSpPr>
                            <a:spLocks noChangeArrowheads="1"/>
                          </wps:cNvSpPr>
                          <wps:spPr bwMode="auto">
                            <a:xfrm>
                              <a:off x="1714" y="0"/>
                              <a:ext cx="8564" cy="8160"/>
                            </a:xfrm>
                            <a:prstGeom prst="ellipse">
                              <a:avLst/>
                            </a:prstGeom>
                            <a:noFill/>
                            <a:ln w="12700">
                              <a:solidFill>
                                <a:srgbClr val="000000"/>
                              </a:solidFill>
                              <a:miter lim="800000"/>
                              <a:headEnd type="none" w="sm" len="sm"/>
                              <a:tailEnd type="none" w="sm" len="sm"/>
                            </a:ln>
                          </wps:spPr>
                          <wps:txbx>
                            <w:txbxContent>
                              <w:p w14:paraId="39864546" w14:textId="77777777" w:rsidR="008E22F8" w:rsidRDefault="008E22F8" w:rsidP="008E22F8">
                                <w:pPr>
                                  <w:jc w:val="left"/>
                                </w:pPr>
                              </w:p>
                            </w:txbxContent>
                          </wps:txbx>
                          <wps:bodyPr rot="0" vert="horz" wrap="square" lIns="91425" tIns="91425" rIns="91425" bIns="91425"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F0EB84A" id="Group 23274" o:spid="_x0000_s2132" style="position:absolute;left:0;text-align:left;margin-left:98.25pt;margin-top:7.65pt;width:94.1pt;height:64.25pt;z-index:251692032;mso-position-horizontal-relative:text;mso-position-vertical-relative:text" coordsize="11950,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">
                <v:rect id="Rectangle 21465" o:spid="_x0000_s2133" style="position:absolute;width:11950;height:8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" filled="f" stroked="f">
                  <v:textbox inset="2.53958mm,2.53958mm,2.53958mm,2.53958mm">
                    <w:txbxContent>
                      <w:p w14:paraId="0E6CB7AF" w14:textId="77777777" w:rsidR="008E22F8" w:rsidRDefault="008E22F8" w:rsidP="008E22F8">
                        <w:pPr>
                          <w:jc w:val="left"/>
                        </w:pPr>
                      </w:p>
                    </w:txbxContent>
                  </v:textbox>
                </v:rect>
                <v:rect id="Rectangle 21466" o:spid="_x0000_s2134" style="position:absolute;left:10096;top:3238;width:1854;height:1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" filled="f" stroked="f">
                  <v:textbox inset="0,0,0,0">
                    <w:txbxContent>
                      <w:p w14:paraId="5EB7EDD1" w14:textId="77777777" w:rsidR="008E22F8" w:rsidRDefault="008E22F8" w:rsidP="008E22F8">
                        <w:pPr>
                          <w:spacing w:before="0" w:after="0" w:line="240" w:lineRule="auto"/>
                          <w:jc w:val="center"/>
                        </w:pPr>
                        <w:r>
                          <w:rPr>
                            <w:rFonts w:ascii="Calibri" w:eastAsia="Calibri" w:hAnsi="Calibri" w:cs="Calibri"/>
                            <w:color w:val="000000"/>
                            <w:sz w:val="20"/>
                          </w:rPr>
                          <w:t>0</w:t>
                        </w:r>
                      </w:p>
                    </w:txbxContent>
                  </v:textbox>
                </v:rect>
                <v:group id="Group 21467" o:spid="_x0000_s2135" style="position:absolute;width:10278;height:8160" coordsize="10278,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">
                  <v:rect id="Rectangle 21468" o:spid="_x0000_s2136" style="position:absolute;top:3238;width:1854;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" filled="f" stroked="f">
                    <v:textbox inset="0,0,0,0">
                      <w:txbxContent>
                        <w:p w14:paraId="04F6D980" w14:textId="77777777" w:rsidR="008E22F8" w:rsidRDefault="008E22F8" w:rsidP="008E22F8">
                          <w:pPr>
                            <w:spacing w:before="0" w:after="0" w:line="240" w:lineRule="auto"/>
                            <w:jc w:val="center"/>
                          </w:pPr>
                          <w:r>
                            <w:rPr>
                              <w:rFonts w:ascii="Calibri" w:eastAsia="Calibri" w:hAnsi="Calibri" w:cs="Calibri"/>
                              <w:color w:val="000000"/>
                              <w:sz w:val="20"/>
                            </w:rPr>
                            <w:t>0</w:t>
                          </w:r>
                        </w:p>
                      </w:txbxContent>
                    </v:textbox>
                  </v:rect>
                  <v:oval id="Oval 21469" o:spid="_x0000_s2137" style="position:absolute;left:1714;width:8564;height:8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" filled="f" strokeweight="1pt">
                    <v:stroke startarrowwidth="narrow" startarrowlength="short" endarrowwidth="narrow" endarrowlength="short" joinstyle="miter"/>
                    <v:textbox inset="2.53958mm,2.53958mm,2.53958mm,2.53958mm">
                      <w:txbxContent>
                        <w:p w14:paraId="39864546" w14:textId="77777777" w:rsidR="008E22F8" w:rsidRDefault="008E22F8" w:rsidP="008E22F8">
                          <w:pPr>
                            <w:jc w:val="left"/>
                          </w:pPr>
                        </w:p>
                      </w:txbxContent>
                    </v:textbox>
                  </v:oval>
                </v:group>
                <w10:wrap type="through"/>
              </v:group>
            </w:pict>
          </mc:Fallback>
        </mc:AlternateContent>
      </w:r>
      <w:r w:rsidR="008E22F8" w:rsidRPr="009D4627">
        <w:rPr>
          <w:rFonts w:eastAsia="Calibri"/>
          <w:color w:val="auto"/>
          <w:lang w:eastAsia="en-MY"/>
        </w:rPr>
        <w:tab/>
      </w:r>
      <w:r w:rsidR="008E22F8" w:rsidRPr="009D4627">
        <w:rPr>
          <w:rFonts w:eastAsia="Calibri"/>
          <w:color w:val="auto"/>
          <w:lang w:eastAsia="en-MY"/>
        </w:rPr>
        <w:tab/>
      </w:r>
      <w:r w:rsidR="008E22F8" w:rsidRPr="009D4627">
        <w:rPr>
          <w:rFonts w:eastAsia="Calibri"/>
          <w:color w:val="auto"/>
          <w:lang w:eastAsia="en-MY"/>
        </w:rPr>
        <w:tab/>
      </w:r>
      <w:r w:rsidR="008E22F8" w:rsidRPr="009D4627">
        <w:rPr>
          <w:rFonts w:eastAsia="Calibri"/>
          <w:color w:val="auto"/>
          <w:lang w:eastAsia="en-MY"/>
        </w:rPr>
        <w:tab/>
      </w:r>
    </w:p>
    <w:p w14:paraId="62358458" w14:textId="77777777" w:rsidR="008E22F8" w:rsidRPr="009D4627" w:rsidRDefault="008E22F8" w:rsidP="008E22F8">
      <w:pPr>
        <w:spacing w:before="0" w:line="240" w:lineRule="auto"/>
        <w:rPr>
          <w:rFonts w:eastAsia="Calibri"/>
          <w:color w:val="auto"/>
          <w:lang w:eastAsia="en-MY"/>
        </w:rPr>
      </w:pPr>
    </w:p>
    <w:p w14:paraId="3A230B98" w14:textId="77777777" w:rsidR="008E22F8" w:rsidRPr="009D4627" w:rsidRDefault="008E22F8" w:rsidP="008E22F8">
      <w:pPr>
        <w:spacing w:before="0" w:after="0" w:line="240" w:lineRule="auto"/>
        <w:rPr>
          <w:rFonts w:eastAsia="Calibri"/>
          <w:color w:val="auto"/>
          <w:lang w:eastAsia="en-MY"/>
        </w:rPr>
      </w:pPr>
    </w:p>
    <w:p w14:paraId="6D80A813" w14:textId="77777777" w:rsidR="008E22F8" w:rsidRPr="009D4627" w:rsidRDefault="008E22F8" w:rsidP="008E22F8">
      <w:pPr>
        <w:spacing w:before="0" w:after="0" w:line="240" w:lineRule="auto"/>
        <w:rPr>
          <w:rFonts w:eastAsia="Calibri"/>
          <w:b/>
          <w:color w:val="auto"/>
          <w:lang w:eastAsia="en-MY"/>
        </w:rPr>
      </w:pPr>
    </w:p>
    <w:p w14:paraId="7BBCC348" w14:textId="77777777" w:rsidR="008E22F8" w:rsidRPr="009D4627" w:rsidRDefault="008E22F8" w:rsidP="008E22F8">
      <w:pPr>
        <w:spacing w:before="0" w:after="0" w:line="240" w:lineRule="auto"/>
        <w:rPr>
          <w:rFonts w:eastAsia="Calibri"/>
          <w:b/>
          <w:color w:val="auto"/>
          <w:lang w:eastAsia="en-MY"/>
        </w:rPr>
      </w:pPr>
    </w:p>
    <w:p w14:paraId="139C8E08"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 xml:space="preserve">PCT: </w:t>
      </w:r>
      <w:r w:rsidRPr="009D4627">
        <w:rPr>
          <w:rFonts w:eastAsia="Calibri"/>
          <w:b/>
          <w:color w:val="auto"/>
          <w:lang w:eastAsia="en-MY"/>
        </w:rPr>
        <w:tab/>
      </w:r>
      <w:r w:rsidRPr="009D4627">
        <w:rPr>
          <w:rFonts w:eastAsia="Calibri"/>
          <w:b/>
          <w:color w:val="auto"/>
          <w:lang w:eastAsia="en-MY"/>
        </w:rPr>
        <w:tab/>
      </w:r>
      <w:r w:rsidRPr="009D4627">
        <w:rPr>
          <w:rFonts w:eastAsia="Calibri"/>
          <w:color w:val="auto"/>
          <w:lang w:eastAsia="en-MY"/>
        </w:rPr>
        <w:t xml:space="preserve">with glasses </w:t>
      </w:r>
      <w:r w:rsidRPr="009D4627">
        <w:rPr>
          <w:rFonts w:eastAsia="Calibri"/>
          <w:color w:val="auto"/>
          <w:lang w:eastAsia="en-MY"/>
        </w:rPr>
        <w:tab/>
        <w:t>1/3 m 55</w:t>
      </w:r>
      <w:r w:rsidRPr="009D4627">
        <w:rPr>
          <w:rFonts w:eastAsia="Calibri"/>
          <w:color w:val="auto"/>
          <w:vertAlign w:val="superscript"/>
          <w:lang w:eastAsia="en-MY"/>
        </w:rPr>
        <w:t>Δ</w:t>
      </w:r>
      <w:r w:rsidRPr="009D4627">
        <w:rPr>
          <w:rFonts w:eastAsia="Calibri"/>
          <w:color w:val="auto"/>
          <w:lang w:eastAsia="en-MY"/>
        </w:rPr>
        <w:t xml:space="preserve"> LXT 6</w:t>
      </w:r>
      <w:r w:rsidRPr="009D4627">
        <w:rPr>
          <w:rFonts w:eastAsia="Calibri"/>
          <w:color w:val="auto"/>
          <w:vertAlign w:val="superscript"/>
          <w:lang w:eastAsia="en-MY"/>
        </w:rPr>
        <w:t>Δ</w:t>
      </w:r>
      <w:r w:rsidRPr="009D4627">
        <w:rPr>
          <w:rFonts w:eastAsia="Calibri"/>
          <w:color w:val="auto"/>
          <w:lang w:eastAsia="en-MY"/>
        </w:rPr>
        <w:t xml:space="preserve"> LHT </w:t>
      </w:r>
    </w:p>
    <w:p w14:paraId="78017988" w14:textId="77777777" w:rsidR="008E22F8" w:rsidRPr="009D4627" w:rsidRDefault="008E22F8" w:rsidP="008E22F8">
      <w:pPr>
        <w:spacing w:before="0" w:after="0" w:line="240" w:lineRule="auto"/>
        <w:rPr>
          <w:rFonts w:eastAsia="Calibri"/>
          <w:color w:val="auto"/>
          <w:lang w:eastAsia="en-MY"/>
        </w:rPr>
      </w:pPr>
      <w:r w:rsidRPr="009D4627">
        <w:rPr>
          <w:rFonts w:eastAsia="Calibri"/>
          <w:color w:val="auto"/>
          <w:lang w:eastAsia="en-MY"/>
        </w:rPr>
        <w:tab/>
      </w:r>
      <w:r w:rsidRPr="009D4627">
        <w:rPr>
          <w:rFonts w:eastAsia="Calibri"/>
          <w:color w:val="auto"/>
          <w:lang w:eastAsia="en-MY"/>
        </w:rPr>
        <w:tab/>
        <w:t xml:space="preserve">                     </w:t>
      </w:r>
      <w:r w:rsidRPr="009D4627">
        <w:rPr>
          <w:rFonts w:eastAsia="Calibri"/>
          <w:color w:val="auto"/>
          <w:lang w:eastAsia="en-MY"/>
        </w:rPr>
        <w:tab/>
        <w:t>6 m 35-40</w:t>
      </w:r>
      <w:r w:rsidRPr="009D4627">
        <w:rPr>
          <w:rFonts w:eastAsia="Times New Roman"/>
          <w:color w:val="auto"/>
          <w:vertAlign w:val="superscript"/>
          <w:lang w:eastAsia="en-MY"/>
        </w:rPr>
        <w:t>Δ</w:t>
      </w:r>
      <w:r w:rsidRPr="009D4627">
        <w:rPr>
          <w:rFonts w:eastAsia="Times New Roman"/>
          <w:color w:val="auto"/>
          <w:lang w:eastAsia="en-MY"/>
        </w:rPr>
        <w:t xml:space="preserve"> </w:t>
      </w:r>
      <w:r w:rsidRPr="009D4627">
        <w:rPr>
          <w:rFonts w:eastAsia="Calibri"/>
          <w:color w:val="auto"/>
          <w:lang w:eastAsia="en-MY"/>
        </w:rPr>
        <w:t>LXT</w:t>
      </w:r>
    </w:p>
    <w:p w14:paraId="6BA0522F" w14:textId="77777777" w:rsidR="008E22F8" w:rsidRPr="009D4627" w:rsidRDefault="008E22F8" w:rsidP="008E22F8">
      <w:pPr>
        <w:spacing w:before="0" w:after="0" w:line="240" w:lineRule="auto"/>
        <w:rPr>
          <w:rFonts w:eastAsia="Calibri"/>
          <w:b/>
          <w:color w:val="auto"/>
          <w:u w:val="single"/>
          <w:lang w:eastAsia="en-MY"/>
        </w:rPr>
      </w:pPr>
    </w:p>
    <w:p w14:paraId="007DD7FA" w14:textId="77777777" w:rsidR="008E22F8" w:rsidRPr="009D4627" w:rsidRDefault="008E22F8" w:rsidP="008E22F8">
      <w:pPr>
        <w:spacing w:before="0" w:after="0" w:line="240" w:lineRule="auto"/>
        <w:rPr>
          <w:rFonts w:eastAsia="Calibri"/>
          <w:bCs/>
          <w:color w:val="auto"/>
          <w:lang w:eastAsia="en-MY"/>
        </w:rPr>
      </w:pPr>
      <w:r w:rsidRPr="009D4627">
        <w:rPr>
          <w:rFonts w:eastAsia="Calibri"/>
          <w:b/>
          <w:color w:val="auto"/>
          <w:lang w:eastAsia="en-MY"/>
        </w:rPr>
        <w:t xml:space="preserve">Assessment and Plan: </w:t>
      </w:r>
      <w:r w:rsidRPr="009D4627">
        <w:rPr>
          <w:rFonts w:eastAsia="Calibri"/>
          <w:b/>
          <w:color w:val="auto"/>
          <w:lang w:eastAsia="en-MY"/>
        </w:rPr>
        <w:tab/>
      </w:r>
      <w:r w:rsidRPr="009D4627">
        <w:rPr>
          <w:rFonts w:eastAsia="Calibri"/>
          <w:bCs/>
          <w:color w:val="auto"/>
          <w:lang w:eastAsia="en-MY"/>
        </w:rPr>
        <w:t>Continue occlusion on L lens</w:t>
      </w:r>
    </w:p>
    <w:p w14:paraId="76D351E2" w14:textId="77777777" w:rsidR="008E22F8" w:rsidRPr="009D4627" w:rsidRDefault="008E22F8" w:rsidP="008E22F8">
      <w:pPr>
        <w:spacing w:before="0" w:after="0" w:line="240" w:lineRule="auto"/>
        <w:ind w:left="2160" w:firstLine="720"/>
        <w:rPr>
          <w:rFonts w:eastAsia="Calibri"/>
          <w:bCs/>
          <w:color w:val="auto"/>
          <w:lang w:eastAsia="en-MY"/>
        </w:rPr>
      </w:pPr>
      <w:r w:rsidRPr="009D4627">
        <w:rPr>
          <w:rFonts w:eastAsia="Calibri"/>
          <w:bCs/>
          <w:color w:val="auto"/>
          <w:lang w:eastAsia="en-MY"/>
        </w:rPr>
        <w:t>Review in 1/12</w:t>
      </w:r>
    </w:p>
    <w:p w14:paraId="23F9308F" w14:textId="77777777" w:rsidR="008E22F8" w:rsidRPr="009D4627" w:rsidRDefault="008E22F8" w:rsidP="008E22F8">
      <w:pPr>
        <w:spacing w:before="0" w:after="0" w:line="240" w:lineRule="auto"/>
        <w:ind w:firstLine="720"/>
        <w:rPr>
          <w:rFonts w:eastAsia="Calibri"/>
          <w:b/>
          <w:color w:val="auto"/>
          <w:lang w:eastAsia="en-MY"/>
        </w:rPr>
      </w:pPr>
    </w:p>
    <w:p w14:paraId="29C89AB8" w14:textId="77777777" w:rsidR="008E22F8" w:rsidRPr="009D4627" w:rsidRDefault="008E22F8" w:rsidP="008E22F8">
      <w:pPr>
        <w:spacing w:before="0" w:after="0" w:line="240" w:lineRule="auto"/>
        <w:ind w:firstLine="720"/>
        <w:rPr>
          <w:rFonts w:eastAsia="Calibri"/>
          <w:b/>
          <w:color w:val="auto"/>
          <w:lang w:eastAsia="en-MY"/>
        </w:rPr>
      </w:pPr>
    </w:p>
    <w:p w14:paraId="0FE4443D" w14:textId="77777777" w:rsidR="008E22F8" w:rsidRPr="009D4627" w:rsidRDefault="008E22F8" w:rsidP="008E22F8">
      <w:pPr>
        <w:spacing w:before="0" w:after="0" w:line="240" w:lineRule="auto"/>
        <w:rPr>
          <w:rFonts w:eastAsia="Calibri"/>
          <w:color w:val="auto"/>
          <w:u w:val="single"/>
          <w:lang w:eastAsia="en-MY"/>
        </w:rPr>
      </w:pPr>
      <w:r w:rsidRPr="009D4627">
        <w:rPr>
          <w:rFonts w:eastAsia="Calibri"/>
          <w:b/>
          <w:color w:val="000000"/>
          <w:szCs w:val="22"/>
          <w:u w:val="single"/>
          <w:lang w:val="en-MY"/>
        </w:rPr>
        <w:t>Clinical visit 3</w:t>
      </w:r>
      <w:r w:rsidRPr="009D4627">
        <w:rPr>
          <w:rFonts w:eastAsia="Calibri"/>
          <w:b/>
          <w:color w:val="auto"/>
          <w:u w:val="single"/>
          <w:lang w:eastAsia="en-MY"/>
        </w:rPr>
        <w:t xml:space="preserve">: </w:t>
      </w:r>
      <w:r w:rsidRPr="009D4627">
        <w:rPr>
          <w:rFonts w:eastAsia="Calibri"/>
          <w:color w:val="auto"/>
          <w:u w:val="single"/>
          <w:lang w:eastAsia="en-MY"/>
        </w:rPr>
        <w:t xml:space="preserve">9/04/2019 </w:t>
      </w:r>
      <w:r w:rsidRPr="009D4627">
        <w:rPr>
          <w:rFonts w:eastAsia="Calibri"/>
          <w:bCs/>
          <w:color w:val="000000"/>
          <w:szCs w:val="22"/>
          <w:u w:val="single"/>
          <w:lang w:val="en-MY"/>
        </w:rPr>
        <w:t>(19</w:t>
      </w:r>
      <w:r w:rsidRPr="009D4627">
        <w:rPr>
          <w:rFonts w:eastAsia="Calibri"/>
          <w:bCs/>
          <w:color w:val="auto"/>
          <w:szCs w:val="22"/>
          <w:u w:val="single"/>
          <w:lang w:val="en-MY"/>
        </w:rPr>
        <w:t xml:space="preserve"> weeks from onset</w:t>
      </w:r>
      <w:r w:rsidRPr="009D4627">
        <w:rPr>
          <w:rFonts w:eastAsia="Calibri"/>
          <w:bCs/>
          <w:color w:val="000000"/>
          <w:szCs w:val="22"/>
          <w:u w:val="single"/>
          <w:lang w:val="en-MY"/>
        </w:rPr>
        <w:t>) - Orthoptic assessment</w:t>
      </w:r>
    </w:p>
    <w:p w14:paraId="431A7EE6" w14:textId="77777777" w:rsidR="008E22F8" w:rsidRPr="009D4627" w:rsidRDefault="008E22F8" w:rsidP="008E22F8">
      <w:pPr>
        <w:spacing w:before="0" w:after="0" w:line="240" w:lineRule="auto"/>
        <w:rPr>
          <w:rFonts w:eastAsia="Calibri"/>
          <w:b/>
          <w:color w:val="auto"/>
          <w:lang w:eastAsia="en-MY"/>
        </w:rPr>
      </w:pPr>
    </w:p>
    <w:p w14:paraId="6A8313DF"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Visual acuity:</w:t>
      </w:r>
      <w:r w:rsidRPr="009D4627">
        <w:rPr>
          <w:rFonts w:eastAsia="Calibri"/>
          <w:color w:val="auto"/>
          <w:lang w:eastAsia="en-MY"/>
        </w:rPr>
        <w:t xml:space="preserve"> </w:t>
      </w:r>
    </w:p>
    <w:p w14:paraId="419E3571" w14:textId="77777777" w:rsidR="008E22F8" w:rsidRPr="009D4627" w:rsidRDefault="008E22F8" w:rsidP="008E22F8">
      <w:pPr>
        <w:spacing w:before="0" w:after="0" w:line="240" w:lineRule="auto"/>
        <w:ind w:left="720" w:firstLine="720"/>
        <w:rPr>
          <w:rFonts w:eastAsia="Calibri"/>
          <w:color w:val="auto"/>
          <w:lang w:eastAsia="en-MY"/>
        </w:rPr>
      </w:pPr>
      <w:r w:rsidRPr="009D4627">
        <w:rPr>
          <w:rFonts w:eastAsia="Calibri"/>
          <w:color w:val="auto"/>
          <w:lang w:eastAsia="en-MY"/>
        </w:rPr>
        <w:t xml:space="preserve">with glasses </w:t>
      </w:r>
      <w:r w:rsidRPr="009D4627">
        <w:rPr>
          <w:rFonts w:eastAsia="Calibri"/>
          <w:color w:val="auto"/>
          <w:lang w:eastAsia="en-MY"/>
        </w:rPr>
        <w:tab/>
        <w:t>RE -0.08</w:t>
      </w:r>
      <w:r w:rsidRPr="009D4627">
        <w:rPr>
          <w:rFonts w:eastAsia="Calibri"/>
          <w:color w:val="auto"/>
          <w:lang w:eastAsia="en-MY"/>
        </w:rPr>
        <w:tab/>
        <w:t xml:space="preserve">LE -0.08 </w:t>
      </w:r>
      <w:r w:rsidRPr="009D4627">
        <w:rPr>
          <w:rFonts w:eastAsia="Calibri"/>
          <w:color w:val="auto"/>
          <w:lang w:eastAsia="en-MY"/>
        </w:rPr>
        <w:tab/>
      </w:r>
      <w:r w:rsidRPr="009D4627">
        <w:rPr>
          <w:rFonts w:eastAsia="Calibri"/>
          <w:bCs/>
          <w:szCs w:val="22"/>
          <w:lang w:val="en-MY"/>
        </w:rPr>
        <w:t xml:space="preserve">ETDRS </w:t>
      </w:r>
      <w:proofErr w:type="spellStart"/>
      <w:r w:rsidRPr="009D4627">
        <w:rPr>
          <w:rFonts w:eastAsia="Calibri"/>
          <w:bCs/>
          <w:szCs w:val="22"/>
          <w:lang w:val="en-MY"/>
        </w:rPr>
        <w:t>logMAR</w:t>
      </w:r>
      <w:proofErr w:type="spellEnd"/>
    </w:p>
    <w:p w14:paraId="6D750B50" w14:textId="77777777" w:rsidR="008E22F8" w:rsidRPr="009D4627" w:rsidRDefault="008E22F8" w:rsidP="008E22F8">
      <w:pPr>
        <w:spacing w:before="0" w:after="0" w:line="240" w:lineRule="auto"/>
        <w:ind w:left="2880"/>
        <w:rPr>
          <w:rFonts w:eastAsia="Calibri"/>
          <w:color w:val="auto"/>
          <w:lang w:eastAsia="en-MY"/>
        </w:rPr>
      </w:pPr>
      <w:r w:rsidRPr="009D4627">
        <w:rPr>
          <w:rFonts w:eastAsia="Calibri"/>
          <w:color w:val="auto"/>
          <w:lang w:eastAsia="en-MY"/>
        </w:rPr>
        <w:t xml:space="preserve">      6/5</w:t>
      </w:r>
      <w:r w:rsidRPr="009D4627">
        <w:rPr>
          <w:rFonts w:eastAsia="Calibri"/>
          <w:color w:val="auto"/>
          <w:lang w:eastAsia="en-MY"/>
        </w:rPr>
        <w:tab/>
      </w:r>
      <w:r w:rsidRPr="009D4627">
        <w:rPr>
          <w:rFonts w:eastAsia="Calibri"/>
          <w:color w:val="auto"/>
          <w:lang w:eastAsia="en-MY"/>
        </w:rPr>
        <w:tab/>
        <w:t xml:space="preserve">     6/5 </w:t>
      </w:r>
      <w:r w:rsidRPr="009D4627">
        <w:rPr>
          <w:rFonts w:eastAsia="Calibri"/>
          <w:color w:val="auto"/>
          <w:lang w:eastAsia="en-MY"/>
        </w:rPr>
        <w:tab/>
      </w:r>
      <w:r w:rsidRPr="009D4627">
        <w:rPr>
          <w:rFonts w:eastAsia="Calibri"/>
          <w:color w:val="auto"/>
          <w:lang w:eastAsia="en-MY"/>
        </w:rPr>
        <w:tab/>
        <w:t>Snellen equivalent</w:t>
      </w:r>
    </w:p>
    <w:p w14:paraId="3E3FDF0B" w14:textId="77777777" w:rsidR="008E22F8" w:rsidRPr="009D4627" w:rsidRDefault="008E22F8" w:rsidP="008E22F8">
      <w:pPr>
        <w:spacing w:before="0" w:after="0" w:line="240" w:lineRule="auto"/>
        <w:rPr>
          <w:rFonts w:eastAsia="Calibri"/>
          <w:b/>
          <w:color w:val="auto"/>
          <w:lang w:eastAsia="en-MY"/>
        </w:rPr>
      </w:pPr>
      <w:r w:rsidRPr="009D4627">
        <w:rPr>
          <w:rFonts w:eastAsia="Calibri"/>
          <w:b/>
          <w:color w:val="auto"/>
          <w:lang w:eastAsia="en-MY"/>
        </w:rPr>
        <w:t xml:space="preserve">Cover test: </w:t>
      </w:r>
    </w:p>
    <w:p w14:paraId="335C80E3" w14:textId="77777777" w:rsidR="008E22F8" w:rsidRPr="009D4627" w:rsidRDefault="008E22F8" w:rsidP="008E22F8">
      <w:pPr>
        <w:spacing w:before="0" w:after="0" w:line="240" w:lineRule="auto"/>
        <w:ind w:left="1440"/>
        <w:rPr>
          <w:rFonts w:eastAsia="Calibri"/>
          <w:color w:val="auto"/>
          <w:lang w:eastAsia="en-MY"/>
        </w:rPr>
      </w:pPr>
      <w:r w:rsidRPr="009D4627">
        <w:rPr>
          <w:rFonts w:eastAsia="Calibri"/>
          <w:color w:val="auto"/>
          <w:lang w:eastAsia="en-MY"/>
        </w:rPr>
        <w:t xml:space="preserve">with glasses </w:t>
      </w:r>
      <w:r w:rsidRPr="009D4627">
        <w:rPr>
          <w:rFonts w:eastAsia="Calibri"/>
          <w:color w:val="auto"/>
          <w:lang w:eastAsia="en-MY"/>
        </w:rPr>
        <w:tab/>
        <w:t>1/3 m small exophoria (X) with good recovery</w:t>
      </w:r>
    </w:p>
    <w:p w14:paraId="7EC960C6" w14:textId="77777777" w:rsidR="008E22F8" w:rsidRPr="009D4627" w:rsidRDefault="008E22F8" w:rsidP="008E22F8">
      <w:pPr>
        <w:spacing w:before="0" w:after="0" w:line="240" w:lineRule="auto"/>
        <w:ind w:left="2160"/>
        <w:rPr>
          <w:rFonts w:eastAsia="Calibri"/>
          <w:color w:val="auto"/>
          <w:lang w:eastAsia="en-MY"/>
        </w:rPr>
      </w:pPr>
      <w:r w:rsidRPr="009D4627">
        <w:rPr>
          <w:rFonts w:eastAsia="Calibri"/>
          <w:color w:val="auto"/>
          <w:lang w:eastAsia="en-MY"/>
        </w:rPr>
        <w:t xml:space="preserve">           </w:t>
      </w:r>
      <w:r w:rsidRPr="009D4627">
        <w:rPr>
          <w:rFonts w:eastAsia="Calibri"/>
          <w:color w:val="auto"/>
          <w:lang w:eastAsia="en-MY"/>
        </w:rPr>
        <w:tab/>
        <w:t>6 m moderate X with fast recovery</w:t>
      </w:r>
    </w:p>
    <w:p w14:paraId="0E9283BE" w14:textId="77777777" w:rsidR="008E22F8" w:rsidRPr="009D4627" w:rsidRDefault="008E22F8" w:rsidP="008E22F8">
      <w:pPr>
        <w:spacing w:before="0" w:after="0" w:line="240" w:lineRule="auto"/>
        <w:ind w:left="2160"/>
        <w:rPr>
          <w:rFonts w:eastAsia="Calibri"/>
          <w:color w:val="auto"/>
          <w:lang w:eastAsia="en-MY"/>
        </w:rPr>
      </w:pPr>
    </w:p>
    <w:p w14:paraId="25D4D496"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OMT:</w:t>
      </w:r>
      <w:r w:rsidRPr="009D4627">
        <w:rPr>
          <w:rFonts w:eastAsia="Calibri"/>
          <w:color w:val="auto"/>
          <w:lang w:eastAsia="en-MY"/>
        </w:rPr>
        <w:tab/>
        <w:t>with glasses</w:t>
      </w:r>
      <w:r w:rsidRPr="009D4627">
        <w:rPr>
          <w:rFonts w:eastAsia="Calibri"/>
          <w:color w:val="auto"/>
          <w:lang w:eastAsia="en-MY"/>
        </w:rPr>
        <w:tab/>
      </w:r>
    </w:p>
    <w:p w14:paraId="70EC39AF" w14:textId="77777777" w:rsidR="008E22F8" w:rsidRPr="009D4627" w:rsidRDefault="008E22F8" w:rsidP="008E22F8">
      <w:pPr>
        <w:spacing w:before="0" w:after="0" w:line="240" w:lineRule="auto"/>
        <w:rPr>
          <w:rFonts w:eastAsia="Calibri"/>
          <w:color w:val="auto"/>
          <w:lang w:eastAsia="en-MY"/>
        </w:rPr>
      </w:pPr>
    </w:p>
    <w:p w14:paraId="316DDB72" w14:textId="77777777" w:rsidR="008E22F8" w:rsidRPr="009D4627" w:rsidRDefault="008E22F8" w:rsidP="008E22F8">
      <w:pPr>
        <w:spacing w:before="0" w:after="0" w:line="240" w:lineRule="auto"/>
        <w:rPr>
          <w:rFonts w:eastAsia="Calibri"/>
          <w:color w:val="auto"/>
          <w:lang w:eastAsia="en-MY"/>
        </w:rPr>
      </w:pPr>
    </w:p>
    <w:p w14:paraId="5E887B67" w14:textId="77777777" w:rsidR="008E22F8" w:rsidRPr="009D4627" w:rsidRDefault="008E22F8" w:rsidP="008E22F8">
      <w:pPr>
        <w:spacing w:before="0" w:after="0" w:line="240" w:lineRule="auto"/>
        <w:rPr>
          <w:rFonts w:eastAsia="Calibri"/>
          <w:color w:val="auto"/>
          <w:lang w:eastAsia="en-MY"/>
        </w:rPr>
      </w:pPr>
    </w:p>
    <w:p w14:paraId="34F31A33" w14:textId="279E0A25" w:rsidR="008E22F8" w:rsidRPr="009D4627" w:rsidRDefault="00A2792E" w:rsidP="008E22F8">
      <w:pPr>
        <w:spacing w:before="0" w:after="0" w:line="240" w:lineRule="auto"/>
        <w:rPr>
          <w:rFonts w:eastAsia="Calibri"/>
          <w:color w:val="auto"/>
          <w:lang w:eastAsia="en-MY"/>
        </w:rPr>
      </w:pPr>
      <w:r w:rsidRPr="009D4627">
        <w:rPr>
          <w:noProof/>
        </w:rPr>
        <mc:AlternateContent>
          <mc:Choice Requires="wpg">
            <w:drawing>
              <wp:anchor distT="0" distB="0" distL="114300" distR="114300" simplePos="0" relativeHeight="251693056" behindDoc="0" locked="0" layoutInCell="1" allowOverlap="1" wp14:anchorId="3A49688A" wp14:editId="3E87671E">
                <wp:simplePos x="0" y="0"/>
                <wp:positionH relativeFrom="column">
                  <wp:posOffset>676275</wp:posOffset>
                </wp:positionH>
                <wp:positionV relativeFrom="paragraph">
                  <wp:posOffset>-462280</wp:posOffset>
                </wp:positionV>
                <wp:extent cx="3667125" cy="1171575"/>
                <wp:effectExtent l="0" t="0" r="0" b="0"/>
                <wp:wrapThrough wrapText="bothSides">
                  <wp:wrapPolygon edited="0">
                    <wp:start x="14587" y="0"/>
                    <wp:lineTo x="2693" y="702"/>
                    <wp:lineTo x="224" y="1405"/>
                    <wp:lineTo x="0" y="8429"/>
                    <wp:lineTo x="0" y="12293"/>
                    <wp:lineTo x="224" y="20020"/>
                    <wp:lineTo x="3366" y="21424"/>
                    <wp:lineTo x="9538" y="21424"/>
                    <wp:lineTo x="11894" y="21424"/>
                    <wp:lineTo x="18065" y="21424"/>
                    <wp:lineTo x="21319" y="19668"/>
                    <wp:lineTo x="21544" y="14049"/>
                    <wp:lineTo x="21544" y="9834"/>
                    <wp:lineTo x="21432" y="2107"/>
                    <wp:lineTo x="20983" y="1405"/>
                    <wp:lineTo x="17953" y="0"/>
                    <wp:lineTo x="14587" y="0"/>
                  </wp:wrapPolygon>
                </wp:wrapThrough>
                <wp:docPr id="23247" name="Group 23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7125" cy="1171575"/>
                          <a:chOff x="0" y="0"/>
                          <a:chExt cx="36671" cy="11715"/>
                        </a:xfrm>
                      </wpg:grpSpPr>
                      <wpg:grpSp>
                        <wpg:cNvPr id="23248" name="Group 21471"/>
                        <wpg:cNvGrpSpPr>
                          <a:grpSpLocks/>
                        </wpg:cNvGrpSpPr>
                        <wpg:grpSpPr bwMode="auto">
                          <a:xfrm>
                            <a:off x="0" y="0"/>
                            <a:ext cx="36671" cy="11715"/>
                            <a:chOff x="0" y="0"/>
                            <a:chExt cx="36671" cy="11715"/>
                          </a:xfrm>
                        </wpg:grpSpPr>
                        <wps:wsp>
                          <wps:cNvPr id="23249" name="Rectangle 21472"/>
                          <wps:cNvSpPr>
                            <a:spLocks noChangeArrowheads="1"/>
                          </wps:cNvSpPr>
                          <wps:spPr bwMode="auto">
                            <a:xfrm>
                              <a:off x="0" y="0"/>
                              <a:ext cx="36671" cy="11715"/>
                            </a:xfrm>
                            <a:prstGeom prst="rect">
                              <a:avLst/>
                            </a:prstGeom>
                            <a:noFill/>
                            <a:ln>
                              <a:noFill/>
                            </a:ln>
                          </wps:spPr>
                          <wps:txbx>
                            <w:txbxContent>
                              <w:p w14:paraId="2D498E3A" w14:textId="77777777" w:rsidR="008E22F8" w:rsidRDefault="008E22F8" w:rsidP="008E22F8">
                                <w:pPr>
                                  <w:jc w:val="left"/>
                                </w:pPr>
                              </w:p>
                            </w:txbxContent>
                          </wps:txbx>
                          <wps:bodyPr rot="0" vert="horz" wrap="square" lIns="91425" tIns="91425" rIns="91425" bIns="91425" anchor="ctr" anchorCtr="0" upright="1">
                            <a:noAutofit/>
                          </wps:bodyPr>
                        </wps:wsp>
                        <wps:wsp>
                          <wps:cNvPr id="23250" name="Rectangle 21473"/>
                          <wps:cNvSpPr>
                            <a:spLocks noChangeArrowheads="1"/>
                          </wps:cNvSpPr>
                          <wps:spPr bwMode="auto">
                            <a:xfrm>
                              <a:off x="16573" y="5048"/>
                              <a:ext cx="3429" cy="1714"/>
                            </a:xfrm>
                            <a:prstGeom prst="rect">
                              <a:avLst/>
                            </a:prstGeom>
                            <a:noFill/>
                            <a:ln>
                              <a:noFill/>
                            </a:ln>
                          </wps:spPr>
                          <wps:txbx>
                            <w:txbxContent>
                              <w:p w14:paraId="701E7E75" w14:textId="77777777" w:rsidR="008E22F8" w:rsidRDefault="008E22F8" w:rsidP="008E22F8">
                                <w:pPr>
                                  <w:spacing w:before="0"/>
                                  <w:jc w:val="center"/>
                                </w:pPr>
                                <w:r>
                                  <w:rPr>
                                    <w:rFonts w:ascii="Calibri" w:eastAsia="Calibri" w:hAnsi="Calibri" w:cs="Calibri"/>
                                    <w:color w:val="000000"/>
                                    <w:sz w:val="20"/>
                                  </w:rPr>
                                  <w:t>9</w:t>
                                </w:r>
                                <w:r w:rsidRPr="0087343E">
                                  <w:rPr>
                                    <w:color w:val="000000"/>
                                    <w:sz w:val="20"/>
                                    <w:vertAlign w:val="superscript"/>
                                  </w:rPr>
                                  <w:t>Δ</w:t>
                                </w:r>
                                <w:r>
                                  <w:rPr>
                                    <w:rFonts w:ascii="Calibri" w:eastAsia="Calibri" w:hAnsi="Calibri" w:cs="Calibri"/>
                                    <w:color w:val="000000"/>
                                    <w:sz w:val="20"/>
                                  </w:rPr>
                                  <w:t xml:space="preserve"> X</w:t>
                                </w:r>
                              </w:p>
                            </w:txbxContent>
                          </wps:txbx>
                          <wps:bodyPr rot="0" vert="horz" wrap="square" lIns="0" tIns="0" rIns="0" bIns="0" anchor="ctr" anchorCtr="0" upright="1">
                            <a:noAutofit/>
                          </wps:bodyPr>
                        </wps:wsp>
                        <wpg:grpSp>
                          <wpg:cNvPr id="23251" name="Group 21474"/>
                          <wpg:cNvGrpSpPr>
                            <a:grpSpLocks/>
                          </wpg:cNvGrpSpPr>
                          <wpg:grpSpPr bwMode="auto">
                            <a:xfrm>
                              <a:off x="0" y="0"/>
                              <a:ext cx="36671" cy="11715"/>
                              <a:chOff x="0" y="0"/>
                              <a:chExt cx="36671" cy="11715"/>
                            </a:xfrm>
                          </wpg:grpSpPr>
                          <wps:wsp>
                            <wps:cNvPr id="23252" name="Rectangle 21475"/>
                            <wps:cNvSpPr>
                              <a:spLocks noChangeArrowheads="1"/>
                            </wps:cNvSpPr>
                            <wps:spPr bwMode="auto">
                              <a:xfrm>
                                <a:off x="15906" y="381"/>
                                <a:ext cx="3906" cy="1809"/>
                              </a:xfrm>
                              <a:prstGeom prst="rect">
                                <a:avLst/>
                              </a:prstGeom>
                              <a:noFill/>
                              <a:ln>
                                <a:noFill/>
                              </a:ln>
                            </wps:spPr>
                            <wps:txbx>
                              <w:txbxContent>
                                <w:p w14:paraId="06ABF271" w14:textId="77777777" w:rsidR="008E22F8" w:rsidRPr="0087343E" w:rsidRDefault="008E22F8" w:rsidP="008E22F8">
                                  <w:pPr>
                                    <w:spacing w:before="0"/>
                                    <w:jc w:val="center"/>
                                    <w:rPr>
                                      <w:rFonts w:asciiTheme="minorHAnsi" w:hAnsiTheme="minorHAnsi" w:cstheme="minorHAnsi"/>
                                    </w:rPr>
                                  </w:pPr>
                                  <w:r w:rsidRPr="0087343E">
                                    <w:rPr>
                                      <w:rFonts w:asciiTheme="minorHAnsi" w:hAnsiTheme="minorHAnsi" w:cstheme="minorHAnsi"/>
                                      <w:color w:val="000000"/>
                                      <w:sz w:val="20"/>
                                    </w:rPr>
                                    <w:t>14</w:t>
                                  </w:r>
                                  <w:r w:rsidRPr="0087343E">
                                    <w:rPr>
                                      <w:rFonts w:asciiTheme="minorHAnsi" w:hAnsiTheme="minorHAnsi" w:cstheme="minorHAnsi"/>
                                      <w:color w:val="000000"/>
                                      <w:sz w:val="20"/>
                                      <w:vertAlign w:val="superscript"/>
                                    </w:rPr>
                                    <w:t>Δ</w:t>
                                  </w:r>
                                  <w:r w:rsidRPr="0087343E">
                                    <w:rPr>
                                      <w:rFonts w:asciiTheme="minorHAnsi" w:eastAsia="Calibri" w:hAnsiTheme="minorHAnsi" w:cstheme="minorHAnsi"/>
                                      <w:color w:val="000000"/>
                                      <w:sz w:val="20"/>
                                    </w:rPr>
                                    <w:t xml:space="preserve"> XT</w:t>
                                  </w:r>
                                </w:p>
                              </w:txbxContent>
                            </wps:txbx>
                            <wps:bodyPr rot="0" vert="horz" wrap="square" lIns="0" tIns="0" rIns="0" bIns="0" anchor="ctr" anchorCtr="0" upright="1">
                              <a:noAutofit/>
                            </wps:bodyPr>
                          </wps:wsp>
                          <wpg:grpSp>
                            <wpg:cNvPr id="23253" name="Group 21476"/>
                            <wpg:cNvGrpSpPr>
                              <a:grpSpLocks/>
                            </wpg:cNvGrpSpPr>
                            <wpg:grpSpPr bwMode="auto">
                              <a:xfrm>
                                <a:off x="0" y="0"/>
                                <a:ext cx="36671" cy="11715"/>
                                <a:chOff x="0" y="0"/>
                                <a:chExt cx="36671" cy="11715"/>
                              </a:xfrm>
                            </wpg:grpSpPr>
                            <wpg:grpSp>
                              <wpg:cNvPr id="23254" name="Group 21477"/>
                              <wpg:cNvGrpSpPr>
                                <a:grpSpLocks/>
                              </wpg:cNvGrpSpPr>
                              <wpg:grpSpPr bwMode="auto">
                                <a:xfrm>
                                  <a:off x="0" y="0"/>
                                  <a:ext cx="36671" cy="10007"/>
                                  <a:chOff x="0" y="0"/>
                                  <a:chExt cx="36671" cy="10007"/>
                                </a:xfrm>
                              </wpg:grpSpPr>
                              <wpg:grpSp>
                                <wpg:cNvPr id="23255" name="Group 21478"/>
                                <wpg:cNvGrpSpPr>
                                  <a:grpSpLocks/>
                                </wpg:cNvGrpSpPr>
                                <wpg:grpSpPr bwMode="auto">
                                  <a:xfrm>
                                    <a:off x="22002" y="0"/>
                                    <a:ext cx="14669" cy="10007"/>
                                    <a:chOff x="22002" y="0"/>
                                    <a:chExt cx="14668" cy="10007"/>
                                  </a:xfrm>
                                </wpg:grpSpPr>
                                <wps:wsp>
                                  <wps:cNvPr id="23256" name="Rectangle 21479"/>
                                  <wps:cNvSpPr>
                                    <a:spLocks noChangeArrowheads="1"/>
                                  </wps:cNvSpPr>
                                  <wps:spPr bwMode="auto">
                                    <a:xfrm>
                                      <a:off x="28384" y="95"/>
                                      <a:ext cx="1873" cy="1556"/>
                                    </a:xfrm>
                                    <a:prstGeom prst="rect">
                                      <a:avLst/>
                                    </a:prstGeom>
                                    <a:noFill/>
                                    <a:ln>
                                      <a:noFill/>
                                    </a:ln>
                                  </wps:spPr>
                                  <wps:txbx>
                                    <w:txbxContent>
                                      <w:p w14:paraId="16A793B6" w14:textId="77777777" w:rsidR="008E22F8" w:rsidRDefault="008E22F8" w:rsidP="008E22F8">
                                        <w:r>
                                          <w:rPr>
                                            <w:rFonts w:ascii="Calibri" w:eastAsia="Calibri" w:hAnsi="Calibri" w:cs="Calibri"/>
                                            <w:color w:val="000000"/>
                                            <w:sz w:val="20"/>
                                          </w:rPr>
                                          <w:t xml:space="preserve">-½ </w:t>
                                        </w:r>
                                      </w:p>
                                      <w:p w14:paraId="35DA652A" w14:textId="77777777" w:rsidR="008E22F8" w:rsidRDefault="008E22F8" w:rsidP="008E22F8">
                                        <w:pPr>
                                          <w:jc w:val="center"/>
                                        </w:pPr>
                                      </w:p>
                                    </w:txbxContent>
                                  </wps:txbx>
                                  <wps:bodyPr rot="0" vert="horz" wrap="square" lIns="0" tIns="0" rIns="0" bIns="0" anchor="ctr" anchorCtr="0" upright="1">
                                    <a:noAutofit/>
                                  </wps:bodyPr>
                                </wps:wsp>
                                <wpg:grpSp>
                                  <wpg:cNvPr id="23257" name="Group 21480"/>
                                  <wpg:cNvGrpSpPr>
                                    <a:grpSpLocks/>
                                  </wpg:cNvGrpSpPr>
                                  <wpg:grpSpPr bwMode="auto">
                                    <a:xfrm>
                                      <a:off x="22002" y="0"/>
                                      <a:ext cx="14669" cy="10007"/>
                                      <a:chOff x="22002" y="0"/>
                                      <a:chExt cx="14668" cy="10007"/>
                                    </a:xfrm>
                                  </wpg:grpSpPr>
                                  <wps:wsp>
                                    <wps:cNvPr id="23258" name="Rectangle 21481"/>
                                    <wps:cNvSpPr>
                                      <a:spLocks noChangeArrowheads="1"/>
                                    </wps:cNvSpPr>
                                    <wps:spPr bwMode="auto">
                                      <a:xfrm>
                                        <a:off x="33242" y="5429"/>
                                        <a:ext cx="3429" cy="2095"/>
                                      </a:xfrm>
                                      <a:prstGeom prst="rect">
                                        <a:avLst/>
                                      </a:prstGeom>
                                      <a:noFill/>
                                      <a:ln>
                                        <a:noFill/>
                                      </a:ln>
                                    </wps:spPr>
                                    <wps:txbx>
                                      <w:txbxContent>
                                        <w:p w14:paraId="27C9D78D" w14:textId="77777777" w:rsidR="008E22F8" w:rsidRDefault="008E22F8" w:rsidP="008E22F8">
                                          <w:pPr>
                                            <w:spacing w:before="0"/>
                                            <w:jc w:val="center"/>
                                          </w:pPr>
                                          <w:r>
                                            <w:rPr>
                                              <w:rFonts w:ascii="Calibri" w:eastAsia="Calibri" w:hAnsi="Calibri" w:cs="Calibri"/>
                                              <w:color w:val="000000"/>
                                              <w:sz w:val="20"/>
                                            </w:rPr>
                                            <w:t>3</w:t>
                                          </w:r>
                                          <w:r w:rsidRPr="0087343E">
                                            <w:rPr>
                                              <w:color w:val="000000"/>
                                              <w:sz w:val="20"/>
                                              <w:vertAlign w:val="superscript"/>
                                            </w:rPr>
                                            <w:t>Δ</w:t>
                                          </w:r>
                                          <w:r>
                                            <w:rPr>
                                              <w:rFonts w:ascii="Calibri" w:eastAsia="Calibri" w:hAnsi="Calibri" w:cs="Calibri"/>
                                              <w:color w:val="000000"/>
                                              <w:sz w:val="20"/>
                                            </w:rPr>
                                            <w:t xml:space="preserve"> X</w:t>
                                          </w:r>
                                        </w:p>
                                      </w:txbxContent>
                                    </wps:txbx>
                                    <wps:bodyPr rot="0" vert="horz" wrap="square" lIns="0" tIns="0" rIns="0" bIns="0" anchor="ctr" anchorCtr="0" upright="1">
                                      <a:noAutofit/>
                                    </wps:bodyPr>
                                  </wps:wsp>
                                  <wpg:grpSp>
                                    <wpg:cNvPr id="23259" name="Group 21482"/>
                                    <wpg:cNvGrpSpPr>
                                      <a:grpSpLocks/>
                                    </wpg:cNvGrpSpPr>
                                    <wpg:grpSpPr bwMode="auto">
                                      <a:xfrm>
                                        <a:off x="22002" y="0"/>
                                        <a:ext cx="10922" cy="10007"/>
                                        <a:chOff x="22002" y="0"/>
                                        <a:chExt cx="10922" cy="10007"/>
                                      </a:xfrm>
                                    </wpg:grpSpPr>
                                    <wpg:grpSp>
                                      <wpg:cNvPr id="23260" name="Group 21483"/>
                                      <wpg:cNvGrpSpPr>
                                        <a:grpSpLocks/>
                                      </wpg:cNvGrpSpPr>
                                      <wpg:grpSpPr bwMode="auto">
                                        <a:xfrm>
                                          <a:off x="22002" y="0"/>
                                          <a:ext cx="8560" cy="10007"/>
                                          <a:chOff x="22002" y="0"/>
                                          <a:chExt cx="8559" cy="10007"/>
                                        </a:xfrm>
                                      </wpg:grpSpPr>
                                      <wpg:grpSp>
                                        <wpg:cNvPr id="23261" name="Group 21484"/>
                                        <wpg:cNvGrpSpPr>
                                          <a:grpSpLocks/>
                                        </wpg:cNvGrpSpPr>
                                        <wpg:grpSpPr bwMode="auto">
                                          <a:xfrm>
                                            <a:off x="22002" y="0"/>
                                            <a:ext cx="8560" cy="10007"/>
                                            <a:chOff x="22002" y="0"/>
                                            <a:chExt cx="9144" cy="11209"/>
                                          </a:xfrm>
                                        </wpg:grpSpPr>
                                        <wps:wsp>
                                          <wps:cNvPr id="23262" name="Oval 21485"/>
                                          <wps:cNvSpPr>
                                            <a:spLocks noChangeArrowheads="1"/>
                                          </wps:cNvSpPr>
                                          <wps:spPr bwMode="auto">
                                            <a:xfrm>
                                              <a:off x="22002" y="2065"/>
                                              <a:ext cx="9144" cy="9144"/>
                                            </a:xfrm>
                                            <a:prstGeom prst="ellipse">
                                              <a:avLst/>
                                            </a:prstGeom>
                                            <a:noFill/>
                                            <a:ln w="12700">
                                              <a:solidFill>
                                                <a:srgbClr val="000000"/>
                                              </a:solidFill>
                                              <a:miter lim="800000"/>
                                              <a:headEnd type="none" w="sm" len="sm"/>
                                              <a:tailEnd type="none" w="sm" len="sm"/>
                                            </a:ln>
                                          </wps:spPr>
                                          <wps:txbx>
                                            <w:txbxContent>
                                              <w:p w14:paraId="27CDA44D" w14:textId="77777777" w:rsidR="008E22F8" w:rsidRDefault="008E22F8" w:rsidP="008E22F8">
                                                <w:pPr>
                                                  <w:jc w:val="left"/>
                                                </w:pPr>
                                              </w:p>
                                            </w:txbxContent>
                                          </wps:txbx>
                                          <wps:bodyPr rot="0" vert="horz" wrap="square" lIns="91425" tIns="91425" rIns="91425" bIns="91425" anchor="ctr" anchorCtr="0" upright="1">
                                            <a:noAutofit/>
                                          </wps:bodyPr>
                                        </wps:wsp>
                                        <wps:wsp>
                                          <wps:cNvPr id="23263" name="Rectangle 21486"/>
                                          <wps:cNvSpPr>
                                            <a:spLocks noChangeArrowheads="1"/>
                                          </wps:cNvSpPr>
                                          <wps:spPr bwMode="auto">
                                            <a:xfrm>
                                              <a:off x="25399" y="0"/>
                                              <a:ext cx="2008" cy="1745"/>
                                            </a:xfrm>
                                            <a:prstGeom prst="rect">
                                              <a:avLst/>
                                            </a:prstGeom>
                                            <a:noFill/>
                                            <a:ln>
                                              <a:noFill/>
                                            </a:ln>
                                          </wps:spPr>
                                          <wps:txbx>
                                            <w:txbxContent>
                                              <w:p w14:paraId="7F8BC082" w14:textId="77777777" w:rsidR="008E22F8" w:rsidRDefault="008E22F8" w:rsidP="008E22F8">
                                                <w:r>
                                                  <w:rPr>
                                                    <w:rFonts w:ascii="Calibri" w:eastAsia="Calibri" w:hAnsi="Calibri" w:cs="Calibri"/>
                                                    <w:color w:val="000000"/>
                                                    <w:sz w:val="20"/>
                                                  </w:rPr>
                                                  <w:t xml:space="preserve">-½ </w:t>
                                                </w:r>
                                              </w:p>
                                              <w:p w14:paraId="2F65362F" w14:textId="77777777" w:rsidR="008E22F8" w:rsidRDefault="008E22F8" w:rsidP="008E22F8">
                                                <w:pPr>
                                                  <w:jc w:val="center"/>
                                                </w:pPr>
                                              </w:p>
                                            </w:txbxContent>
                                          </wps:txbx>
                                          <wps:bodyPr rot="0" vert="horz" wrap="square" lIns="0" tIns="0" rIns="0" bIns="0" anchor="ctr" anchorCtr="0" upright="1">
                                            <a:noAutofit/>
                                          </wps:bodyPr>
                                        </wps:wsp>
                                      </wpg:grpSp>
                                      <wps:wsp>
                                        <wps:cNvPr id="23264" name="Rectangle 21487"/>
                                        <wps:cNvSpPr>
                                          <a:spLocks noChangeArrowheads="1"/>
                                        </wps:cNvSpPr>
                                        <wps:spPr bwMode="auto">
                                          <a:xfrm>
                                            <a:off x="22002" y="285"/>
                                            <a:ext cx="1874" cy="1556"/>
                                          </a:xfrm>
                                          <a:prstGeom prst="rect">
                                            <a:avLst/>
                                          </a:prstGeom>
                                          <a:noFill/>
                                          <a:ln>
                                            <a:noFill/>
                                          </a:ln>
                                        </wps:spPr>
                                        <wps:txbx>
                                          <w:txbxContent>
                                            <w:p w14:paraId="1F0457C5" w14:textId="77777777" w:rsidR="008E22F8" w:rsidRDefault="008E22F8" w:rsidP="008E22F8">
                                              <w:r>
                                                <w:rPr>
                                                  <w:rFonts w:ascii="Calibri" w:eastAsia="Calibri" w:hAnsi="Calibri" w:cs="Calibri"/>
                                                  <w:color w:val="000000"/>
                                                  <w:sz w:val="20"/>
                                                </w:rPr>
                                                <w:t xml:space="preserve">-½ </w:t>
                                              </w:r>
                                            </w:p>
                                            <w:p w14:paraId="04A7D073" w14:textId="77777777" w:rsidR="008E22F8" w:rsidRDefault="008E22F8" w:rsidP="008E22F8">
                                              <w:pPr>
                                                <w:jc w:val="center"/>
                                              </w:pPr>
                                            </w:p>
                                          </w:txbxContent>
                                        </wps:txbx>
                                        <wps:bodyPr rot="0" vert="horz" wrap="square" lIns="0" tIns="0" rIns="0" bIns="0" anchor="ctr" anchorCtr="0" upright="1">
                                          <a:noAutofit/>
                                        </wps:bodyPr>
                                      </wps:wsp>
                                    </wpg:grpSp>
                                    <wps:wsp>
                                      <wps:cNvPr id="23265" name="Rectangle 21488"/>
                                      <wps:cNvSpPr>
                                        <a:spLocks noChangeArrowheads="1"/>
                                      </wps:cNvSpPr>
                                      <wps:spPr bwMode="auto">
                                        <a:xfrm>
                                          <a:off x="31051" y="5524"/>
                                          <a:ext cx="1873" cy="1556"/>
                                        </a:xfrm>
                                        <a:prstGeom prst="rect">
                                          <a:avLst/>
                                        </a:prstGeom>
                                        <a:noFill/>
                                        <a:ln>
                                          <a:noFill/>
                                        </a:ln>
                                      </wps:spPr>
                                      <wps:txbx>
                                        <w:txbxContent>
                                          <w:p w14:paraId="23274DC3" w14:textId="77777777" w:rsidR="008E22F8" w:rsidRDefault="008E22F8" w:rsidP="008E22F8">
                                            <w:r>
                                              <w:rPr>
                                                <w:rFonts w:ascii="Calibri" w:eastAsia="Calibri" w:hAnsi="Calibri" w:cs="Calibri"/>
                                                <w:color w:val="000000"/>
                                                <w:sz w:val="20"/>
                                              </w:rPr>
                                              <w:t xml:space="preserve">-½ </w:t>
                                            </w:r>
                                          </w:p>
                                          <w:p w14:paraId="35DEEE15" w14:textId="77777777" w:rsidR="008E22F8" w:rsidRDefault="008E22F8" w:rsidP="008E22F8">
                                            <w:pPr>
                                              <w:jc w:val="center"/>
                                            </w:pPr>
                                          </w:p>
                                        </w:txbxContent>
                                      </wps:txbx>
                                      <wps:bodyPr rot="0" vert="horz" wrap="square" lIns="0" tIns="0" rIns="0" bIns="0" anchor="ctr" anchorCtr="0" upright="1">
                                        <a:noAutofit/>
                                      </wps:bodyPr>
                                    </wps:wsp>
                                  </wpg:grpSp>
                                </wpg:grpSp>
                              </wpg:grpSp>
                              <wpg:grpSp>
                                <wpg:cNvPr id="23266" name="Group 21489"/>
                                <wpg:cNvGrpSpPr>
                                  <a:grpSpLocks/>
                                </wpg:cNvGrpSpPr>
                                <wpg:grpSpPr bwMode="auto">
                                  <a:xfrm>
                                    <a:off x="0" y="381"/>
                                    <a:ext cx="13938" cy="9207"/>
                                    <a:chOff x="0" y="381"/>
                                    <a:chExt cx="13938" cy="9207"/>
                                  </a:xfrm>
                                </wpg:grpSpPr>
                                <wpg:grpSp>
                                  <wpg:cNvPr id="23267" name="Group 21490"/>
                                  <wpg:cNvGrpSpPr>
                                    <a:grpSpLocks/>
                                  </wpg:cNvGrpSpPr>
                                  <wpg:grpSpPr bwMode="auto">
                                    <a:xfrm>
                                      <a:off x="0" y="381"/>
                                      <a:ext cx="13938" cy="9207"/>
                                      <a:chOff x="0" y="381"/>
                                      <a:chExt cx="13942" cy="9207"/>
                                    </a:xfrm>
                                  </wpg:grpSpPr>
                                  <wps:wsp>
                                    <wps:cNvPr id="23268" name="Rectangle 21491"/>
                                    <wps:cNvSpPr>
                                      <a:spLocks noChangeArrowheads="1"/>
                                    </wps:cNvSpPr>
                                    <wps:spPr bwMode="auto">
                                      <a:xfrm>
                                        <a:off x="12045" y="381"/>
                                        <a:ext cx="1854" cy="1377"/>
                                      </a:xfrm>
                                      <a:prstGeom prst="rect">
                                        <a:avLst/>
                                      </a:prstGeom>
                                      <a:noFill/>
                                      <a:ln>
                                        <a:noFill/>
                                      </a:ln>
                                    </wps:spPr>
                                    <wps:txbx>
                                      <w:txbxContent>
                                        <w:p w14:paraId="43C0CBAE" w14:textId="77777777" w:rsidR="008E22F8" w:rsidRDefault="008E22F8" w:rsidP="008E22F8">
                                          <w:pPr>
                                            <w:jc w:val="center"/>
                                          </w:pPr>
                                          <w:r>
                                            <w:rPr>
                                              <w:rFonts w:ascii="Calibri" w:eastAsia="Calibri" w:hAnsi="Calibri" w:cs="Calibri"/>
                                              <w:color w:val="000000"/>
                                              <w:sz w:val="20"/>
                                            </w:rPr>
                                            <w:t xml:space="preserve">-½ </w:t>
                                          </w:r>
                                        </w:p>
                                      </w:txbxContent>
                                    </wps:txbx>
                                    <wps:bodyPr rot="0" vert="horz" wrap="square" lIns="0" tIns="0" rIns="0" bIns="0" anchor="ctr" anchorCtr="0" upright="1">
                                      <a:noAutofit/>
                                    </wps:bodyPr>
                                  </wps:wsp>
                                  <wpg:grpSp>
                                    <wpg:cNvPr id="23269" name="Group 21492"/>
                                    <wpg:cNvGrpSpPr>
                                      <a:grpSpLocks/>
                                    </wpg:cNvGrpSpPr>
                                    <wpg:grpSpPr bwMode="auto">
                                      <a:xfrm>
                                        <a:off x="0" y="1428"/>
                                        <a:ext cx="13942" cy="8160"/>
                                        <a:chOff x="0" y="1428"/>
                                        <a:chExt cx="13942" cy="8160"/>
                                      </a:xfrm>
                                    </wpg:grpSpPr>
                                    <wps:wsp>
                                      <wps:cNvPr id="23270" name="Rectangle 21493"/>
                                      <wps:cNvSpPr>
                                        <a:spLocks noChangeArrowheads="1"/>
                                      </wps:cNvSpPr>
                                      <wps:spPr bwMode="auto">
                                        <a:xfrm>
                                          <a:off x="0" y="4572"/>
                                          <a:ext cx="3664" cy="1905"/>
                                        </a:xfrm>
                                        <a:prstGeom prst="rect">
                                          <a:avLst/>
                                        </a:prstGeom>
                                        <a:noFill/>
                                        <a:ln>
                                          <a:noFill/>
                                        </a:ln>
                                      </wps:spPr>
                                      <wps:txbx>
                                        <w:txbxContent>
                                          <w:p w14:paraId="3BB38B00" w14:textId="77777777" w:rsidR="008E22F8" w:rsidRDefault="008E22F8" w:rsidP="008E22F8">
                                            <w:pPr>
                                              <w:spacing w:before="0"/>
                                              <w:jc w:val="center"/>
                                            </w:pPr>
                                            <w:r>
                                              <w:rPr>
                                                <w:rFonts w:ascii="Calibri" w:eastAsia="Calibri" w:hAnsi="Calibri" w:cs="Calibri"/>
                                                <w:color w:val="000000"/>
                                                <w:sz w:val="20"/>
                                              </w:rPr>
                                              <w:t>8</w:t>
                                            </w:r>
                                            <w:r w:rsidRPr="0087343E">
                                              <w:rPr>
                                                <w:color w:val="000000"/>
                                                <w:sz w:val="20"/>
                                                <w:vertAlign w:val="superscript"/>
                                              </w:rPr>
                                              <w:t>Δ</w:t>
                                            </w:r>
                                            <w:r>
                                              <w:rPr>
                                                <w:rFonts w:ascii="Calibri" w:eastAsia="Calibri" w:hAnsi="Calibri" w:cs="Calibri"/>
                                                <w:color w:val="000000"/>
                                                <w:sz w:val="20"/>
                                              </w:rPr>
                                              <w:t xml:space="preserve"> X</w:t>
                                            </w:r>
                                          </w:p>
                                        </w:txbxContent>
                                      </wps:txbx>
                                      <wps:bodyPr rot="0" vert="horz" wrap="square" lIns="0" tIns="0" rIns="0" bIns="0" anchor="ctr" anchorCtr="0" upright="1">
                                        <a:noAutofit/>
                                      </wps:bodyPr>
                                    </wps:wsp>
                                    <wps:wsp>
                                      <wps:cNvPr id="23271" name="Oval 21494"/>
                                      <wps:cNvSpPr>
                                        <a:spLocks noChangeArrowheads="1"/>
                                      </wps:cNvSpPr>
                                      <wps:spPr bwMode="auto">
                                        <a:xfrm>
                                          <a:off x="5378" y="1428"/>
                                          <a:ext cx="8564" cy="8160"/>
                                        </a:xfrm>
                                        <a:prstGeom prst="ellipse">
                                          <a:avLst/>
                                        </a:prstGeom>
                                        <a:noFill/>
                                        <a:ln w="12700">
                                          <a:solidFill>
                                            <a:srgbClr val="000000"/>
                                          </a:solidFill>
                                          <a:miter lim="800000"/>
                                          <a:headEnd type="none" w="sm" len="sm"/>
                                          <a:tailEnd type="none" w="sm" len="sm"/>
                                        </a:ln>
                                      </wps:spPr>
                                      <wps:txbx>
                                        <w:txbxContent>
                                          <w:p w14:paraId="787A0F39" w14:textId="77777777" w:rsidR="008E22F8" w:rsidRDefault="008E22F8" w:rsidP="008E22F8">
                                            <w:pPr>
                                              <w:jc w:val="left"/>
                                            </w:pPr>
                                          </w:p>
                                        </w:txbxContent>
                                      </wps:txbx>
                                      <wps:bodyPr rot="0" vert="horz" wrap="square" lIns="91425" tIns="91425" rIns="91425" bIns="91425" anchor="ctr" anchorCtr="0" upright="1">
                                        <a:noAutofit/>
                                      </wps:bodyPr>
                                    </wps:wsp>
                                  </wpg:grpSp>
                                </wpg:grpSp>
                                <wps:wsp>
                                  <wps:cNvPr id="23272" name="Rectangle 21495"/>
                                  <wps:cNvSpPr>
                                    <a:spLocks noChangeArrowheads="1"/>
                                  </wps:cNvSpPr>
                                  <wps:spPr bwMode="auto">
                                    <a:xfrm>
                                      <a:off x="4953" y="571"/>
                                      <a:ext cx="1854" cy="1372"/>
                                    </a:xfrm>
                                    <a:prstGeom prst="rect">
                                      <a:avLst/>
                                    </a:prstGeom>
                                    <a:noFill/>
                                    <a:ln>
                                      <a:noFill/>
                                    </a:ln>
                                  </wps:spPr>
                                  <wps:txbx>
                                    <w:txbxContent>
                                      <w:p w14:paraId="0B591A88" w14:textId="77777777" w:rsidR="008E22F8" w:rsidRDefault="008E22F8" w:rsidP="008E22F8">
                                        <w:pPr>
                                          <w:jc w:val="center"/>
                                        </w:pPr>
                                        <w:r>
                                          <w:rPr>
                                            <w:rFonts w:ascii="Calibri" w:eastAsia="Calibri" w:hAnsi="Calibri" w:cs="Calibri"/>
                                            <w:color w:val="000000"/>
                                            <w:sz w:val="20"/>
                                          </w:rPr>
                                          <w:t xml:space="preserve">-½ </w:t>
                                        </w:r>
                                      </w:p>
                                    </w:txbxContent>
                                  </wps:txbx>
                                  <wps:bodyPr rot="0" vert="horz" wrap="square" lIns="0" tIns="0" rIns="0" bIns="0" anchor="ctr" anchorCtr="0" upright="1">
                                    <a:noAutofit/>
                                  </wps:bodyPr>
                                </wps:wsp>
                              </wpg:grpSp>
                            </wpg:grpSp>
                            <wps:wsp>
                              <wps:cNvPr id="23273" name="Rectangle 21496"/>
                              <wps:cNvSpPr>
                                <a:spLocks noChangeArrowheads="1"/>
                              </wps:cNvSpPr>
                              <wps:spPr bwMode="auto">
                                <a:xfrm>
                                  <a:off x="16573" y="10001"/>
                                  <a:ext cx="3429" cy="1714"/>
                                </a:xfrm>
                                <a:prstGeom prst="rect">
                                  <a:avLst/>
                                </a:prstGeom>
                                <a:noFill/>
                                <a:ln>
                                  <a:noFill/>
                                </a:ln>
                              </wps:spPr>
                              <wps:txbx>
                                <w:txbxContent>
                                  <w:p w14:paraId="772CD3F1" w14:textId="77777777" w:rsidR="008E22F8" w:rsidRDefault="008E22F8" w:rsidP="008E22F8">
                                    <w:pPr>
                                      <w:spacing w:before="0"/>
                                      <w:jc w:val="center"/>
                                    </w:pPr>
                                    <w:r>
                                      <w:rPr>
                                        <w:rFonts w:ascii="Calibri" w:eastAsia="Calibri" w:hAnsi="Calibri" w:cs="Calibri"/>
                                        <w:color w:val="000000"/>
                                        <w:sz w:val="20"/>
                                      </w:rPr>
                                      <w:t>ortho</w:t>
                                    </w:r>
                                  </w:p>
                                </w:txbxContent>
                              </wps:txbx>
                              <wps:bodyPr rot="0" vert="horz" wrap="square" lIns="0" tIns="0" rIns="0" bIns="0" anchor="ctr"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3A49688A" id="Group 23247" o:spid="_x0000_s2138" style="position:absolute;left:0;text-align:left;margin-left:53.25pt;margin-top:-36.4pt;width:288.75pt;height:92.25pt;z-index:251693056;mso-position-horizontal-relative:text;mso-position-vertical-relative:text" coordsize="36671,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">
                <v:group id="Group 21471" o:spid="_x0000_s2139" style="position:absolute;width:36671;height:11715" coordsize="36671,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">
                  <v:rect id="Rectangle 21472" o:spid="_x0000_s2140" style="position:absolute;width:36671;height:1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" filled="f" stroked="f">
                    <v:textbox inset="2.53958mm,2.53958mm,2.53958mm,2.53958mm">
                      <w:txbxContent>
                        <w:p w14:paraId="2D498E3A" w14:textId="77777777" w:rsidR="008E22F8" w:rsidRDefault="008E22F8" w:rsidP="008E22F8">
                          <w:pPr>
                            <w:jc w:val="left"/>
                          </w:pPr>
                        </w:p>
                      </w:txbxContent>
                    </v:textbox>
                  </v:rect>
                  <v:rect id="Rectangle 21473" o:spid="_x0000_s2141" style="position:absolute;left:16573;top:5048;width:3429;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" filled="f" stroked="f">
                    <v:textbox inset="0,0,0,0">
                      <w:txbxContent>
                        <w:p w14:paraId="701E7E75" w14:textId="77777777" w:rsidR="008E22F8" w:rsidRDefault="008E22F8" w:rsidP="008E22F8">
                          <w:pPr>
                            <w:spacing w:before="0"/>
                            <w:jc w:val="center"/>
                          </w:pPr>
                          <w:r>
                            <w:rPr>
                              <w:rFonts w:ascii="Calibri" w:eastAsia="Calibri" w:hAnsi="Calibri" w:cs="Calibri"/>
                              <w:color w:val="000000"/>
                              <w:sz w:val="20"/>
                            </w:rPr>
                            <w:t>9</w:t>
                          </w:r>
                          <w:r w:rsidRPr="0087343E">
                            <w:rPr>
                              <w:color w:val="000000"/>
                              <w:sz w:val="20"/>
                              <w:vertAlign w:val="superscript"/>
                            </w:rPr>
                            <w:t>Δ</w:t>
                          </w:r>
                          <w:r>
                            <w:rPr>
                              <w:rFonts w:ascii="Calibri" w:eastAsia="Calibri" w:hAnsi="Calibri" w:cs="Calibri"/>
                              <w:color w:val="000000"/>
                              <w:sz w:val="20"/>
                            </w:rPr>
                            <w:t xml:space="preserve"> X</w:t>
                          </w:r>
                        </w:p>
                      </w:txbxContent>
                    </v:textbox>
                  </v:rect>
                  <v:group id="Group 21474" o:spid="_x0000_s2142" style="position:absolute;width:36671;height:11715" coordsize="36671,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">
                    <v:rect id="Rectangle 21475" o:spid="_x0000_s2143" style="position:absolute;left:15906;top:381;width:3906;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" filled="f" stroked="f">
                      <v:textbox inset="0,0,0,0">
                        <w:txbxContent>
                          <w:p w14:paraId="06ABF271" w14:textId="77777777" w:rsidR="008E22F8" w:rsidRPr="0087343E" w:rsidRDefault="008E22F8" w:rsidP="008E22F8">
                            <w:pPr>
                              <w:spacing w:before="0"/>
                              <w:jc w:val="center"/>
                              <w:rPr>
                                <w:rFonts w:asciiTheme="minorHAnsi" w:hAnsiTheme="minorHAnsi" w:cstheme="minorHAnsi"/>
                              </w:rPr>
                            </w:pPr>
                            <w:r w:rsidRPr="0087343E">
                              <w:rPr>
                                <w:rFonts w:asciiTheme="minorHAnsi" w:hAnsiTheme="minorHAnsi" w:cstheme="minorHAnsi"/>
                                <w:color w:val="000000"/>
                                <w:sz w:val="20"/>
                              </w:rPr>
                              <w:t>14</w:t>
                            </w:r>
                            <w:r w:rsidRPr="0087343E">
                              <w:rPr>
                                <w:rFonts w:asciiTheme="minorHAnsi" w:hAnsiTheme="minorHAnsi" w:cstheme="minorHAnsi"/>
                                <w:color w:val="000000"/>
                                <w:sz w:val="20"/>
                                <w:vertAlign w:val="superscript"/>
                              </w:rPr>
                              <w:t>Δ</w:t>
                            </w:r>
                            <w:r w:rsidRPr="0087343E">
                              <w:rPr>
                                <w:rFonts w:asciiTheme="minorHAnsi" w:eastAsia="Calibri" w:hAnsiTheme="minorHAnsi" w:cstheme="minorHAnsi"/>
                                <w:color w:val="000000"/>
                                <w:sz w:val="20"/>
                              </w:rPr>
                              <w:t xml:space="preserve"> XT</w:t>
                            </w:r>
                          </w:p>
                        </w:txbxContent>
                      </v:textbox>
                    </v:rect>
                    <v:group id="Group 21476" o:spid="_x0000_s2144" style="position:absolute;width:36671;height:11715" coordsize="36671,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">
                      <v:group id="Group 21477" o:spid="_x0000_s2145" style="position:absolute;width:36671;height:10007" coordsize="36671,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">
                        <v:group id="Group 21478" o:spid="_x0000_s2146" style="position:absolute;left:22002;width:14669;height:10007" coordorigin="22002" coordsize="14668,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">
                          <v:rect id="Rectangle 21479" o:spid="_x0000_s2147" style="position:absolute;left:28384;top:95;width:1873;height: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" filled="f" stroked="f">
                            <v:textbox inset="0,0,0,0">
                              <w:txbxContent>
                                <w:p w14:paraId="16A793B6" w14:textId="77777777" w:rsidR="008E22F8" w:rsidRDefault="008E22F8" w:rsidP="008E22F8">
                                  <w:r>
                                    <w:rPr>
                                      <w:rFonts w:ascii="Calibri" w:eastAsia="Calibri" w:hAnsi="Calibri" w:cs="Calibri"/>
                                      <w:color w:val="000000"/>
                                      <w:sz w:val="20"/>
                                    </w:rPr>
                                    <w:t xml:space="preserve">-½ </w:t>
                                  </w:r>
                                </w:p>
                                <w:p w14:paraId="35DA652A" w14:textId="77777777" w:rsidR="008E22F8" w:rsidRDefault="008E22F8" w:rsidP="008E22F8">
                                  <w:pPr>
                                    <w:jc w:val="center"/>
                                  </w:pPr>
                                </w:p>
                              </w:txbxContent>
                            </v:textbox>
                          </v:rect>
                          <v:group id="Group 21480" o:spid="_x0000_s2148" style="position:absolute;left:22002;width:14669;height:10007" coordorigin="22002" coordsize="14668,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">
                            <v:rect id="Rectangle 21481" o:spid="_x0000_s2149" style="position:absolute;left:33242;top:5429;width:3429;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" filled="f" stroked="f">
                              <v:textbox inset="0,0,0,0">
                                <w:txbxContent>
                                  <w:p w14:paraId="27C9D78D" w14:textId="77777777" w:rsidR="008E22F8" w:rsidRDefault="008E22F8" w:rsidP="008E22F8">
                                    <w:pPr>
                                      <w:spacing w:before="0"/>
                                      <w:jc w:val="center"/>
                                    </w:pPr>
                                    <w:r>
                                      <w:rPr>
                                        <w:rFonts w:ascii="Calibri" w:eastAsia="Calibri" w:hAnsi="Calibri" w:cs="Calibri"/>
                                        <w:color w:val="000000"/>
                                        <w:sz w:val="20"/>
                                      </w:rPr>
                                      <w:t>3</w:t>
                                    </w:r>
                                    <w:r w:rsidRPr="0087343E">
                                      <w:rPr>
                                        <w:color w:val="000000"/>
                                        <w:sz w:val="20"/>
                                        <w:vertAlign w:val="superscript"/>
                                      </w:rPr>
                                      <w:t>Δ</w:t>
                                    </w:r>
                                    <w:r>
                                      <w:rPr>
                                        <w:rFonts w:ascii="Calibri" w:eastAsia="Calibri" w:hAnsi="Calibri" w:cs="Calibri"/>
                                        <w:color w:val="000000"/>
                                        <w:sz w:val="20"/>
                                      </w:rPr>
                                      <w:t xml:space="preserve"> X</w:t>
                                    </w:r>
                                  </w:p>
                                </w:txbxContent>
                              </v:textbox>
                            </v:rect>
                            <v:group id="Group 21482" o:spid="_x0000_s2150" style="position:absolute;left:22002;width:10922;height:10007" coordorigin="22002" coordsize="10922,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">
                              <v:group id="Group 21483" o:spid="_x0000_s2151" style="position:absolute;left:22002;width:8560;height:10007" coordorigin="22002" coordsize="8559,1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">
                                <v:group id="Group 21484" o:spid="_x0000_s2152" style="position:absolute;left:22002;width:8560;height:10007" coordorigin="22002" coordsize="9144,1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">
                                  <v:oval id="Oval 21485" o:spid="_x0000_s2153" style="position:absolute;left:22002;top:2065;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" filled="f" strokeweight="1pt">
                                    <v:stroke startarrowwidth="narrow" startarrowlength="short" endarrowwidth="narrow" endarrowlength="short" joinstyle="miter"/>
                                    <v:textbox inset="2.53958mm,2.53958mm,2.53958mm,2.53958mm">
                                      <w:txbxContent>
                                        <w:p w14:paraId="27CDA44D" w14:textId="77777777" w:rsidR="008E22F8" w:rsidRDefault="008E22F8" w:rsidP="008E22F8">
                                          <w:pPr>
                                            <w:jc w:val="left"/>
                                          </w:pPr>
                                        </w:p>
                                      </w:txbxContent>
                                    </v:textbox>
                                  </v:oval>
                                  <v:rect id="Rectangle 21486" o:spid="_x0000_s2154" style="position:absolute;left:25399;width:2008;height:1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" filled="f" stroked="f">
                                    <v:textbox inset="0,0,0,0">
                                      <w:txbxContent>
                                        <w:p w14:paraId="7F8BC082" w14:textId="77777777" w:rsidR="008E22F8" w:rsidRDefault="008E22F8" w:rsidP="008E22F8">
                                          <w:r>
                                            <w:rPr>
                                              <w:rFonts w:ascii="Calibri" w:eastAsia="Calibri" w:hAnsi="Calibri" w:cs="Calibri"/>
                                              <w:color w:val="000000"/>
                                              <w:sz w:val="20"/>
                                            </w:rPr>
                                            <w:t xml:space="preserve">-½ </w:t>
                                          </w:r>
                                        </w:p>
                                        <w:p w14:paraId="2F65362F" w14:textId="77777777" w:rsidR="008E22F8" w:rsidRDefault="008E22F8" w:rsidP="008E22F8">
                                          <w:pPr>
                                            <w:jc w:val="center"/>
                                          </w:pPr>
                                        </w:p>
                                      </w:txbxContent>
                                    </v:textbox>
                                  </v:rect>
                                </v:group>
                                <v:rect id="Rectangle 21487" o:spid="_x0000_s2155" style="position:absolute;left:22002;top:285;width:1874;height: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" filled="f" stroked="f">
                                  <v:textbox inset="0,0,0,0">
                                    <w:txbxContent>
                                      <w:p w14:paraId="1F0457C5" w14:textId="77777777" w:rsidR="008E22F8" w:rsidRDefault="008E22F8" w:rsidP="008E22F8">
                                        <w:r>
                                          <w:rPr>
                                            <w:rFonts w:ascii="Calibri" w:eastAsia="Calibri" w:hAnsi="Calibri" w:cs="Calibri"/>
                                            <w:color w:val="000000"/>
                                            <w:sz w:val="20"/>
                                          </w:rPr>
                                          <w:t xml:space="preserve">-½ </w:t>
                                        </w:r>
                                      </w:p>
                                      <w:p w14:paraId="04A7D073" w14:textId="77777777" w:rsidR="008E22F8" w:rsidRDefault="008E22F8" w:rsidP="008E22F8">
                                        <w:pPr>
                                          <w:jc w:val="center"/>
                                        </w:pPr>
                                      </w:p>
                                    </w:txbxContent>
                                  </v:textbox>
                                </v:rect>
                              </v:group>
                              <v:rect id="Rectangle 21488" o:spid="_x0000_s2156" style="position:absolute;left:31051;top:5524;width:1873;height:1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" filled="f" stroked="f">
                                <v:textbox inset="0,0,0,0">
                                  <w:txbxContent>
                                    <w:p w14:paraId="23274DC3" w14:textId="77777777" w:rsidR="008E22F8" w:rsidRDefault="008E22F8" w:rsidP="008E22F8">
                                      <w:r>
                                        <w:rPr>
                                          <w:rFonts w:ascii="Calibri" w:eastAsia="Calibri" w:hAnsi="Calibri" w:cs="Calibri"/>
                                          <w:color w:val="000000"/>
                                          <w:sz w:val="20"/>
                                        </w:rPr>
                                        <w:t xml:space="preserve">-½ </w:t>
                                      </w:r>
                                    </w:p>
                                    <w:p w14:paraId="35DEEE15" w14:textId="77777777" w:rsidR="008E22F8" w:rsidRDefault="008E22F8" w:rsidP="008E22F8">
                                      <w:pPr>
                                        <w:jc w:val="center"/>
                                      </w:pPr>
                                    </w:p>
                                  </w:txbxContent>
                                </v:textbox>
                              </v:rect>
                            </v:group>
                          </v:group>
                        </v:group>
                        <v:group id="Group 21489" o:spid="_x0000_s2157" style="position:absolute;top:381;width:13938;height:9207" coordorigin=",381" coordsize="13938,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">
                          <v:group id="Group 21490" o:spid="_x0000_s2158" style="position:absolute;top:381;width:13938;height:9207" coordorigin=",381" coordsize="13942,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">
                            <v:rect id="Rectangle 21491" o:spid="_x0000_s2159" style="position:absolute;left:12045;top:381;width:1854;height:1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" filled="f" stroked="f">
                              <v:textbox inset="0,0,0,0">
                                <w:txbxContent>
                                  <w:p w14:paraId="43C0CBAE" w14:textId="77777777" w:rsidR="008E22F8" w:rsidRDefault="008E22F8" w:rsidP="008E22F8">
                                    <w:pPr>
                                      <w:jc w:val="center"/>
                                    </w:pPr>
                                    <w:r>
                                      <w:rPr>
                                        <w:rFonts w:ascii="Calibri" w:eastAsia="Calibri" w:hAnsi="Calibri" w:cs="Calibri"/>
                                        <w:color w:val="000000"/>
                                        <w:sz w:val="20"/>
                                      </w:rPr>
                                      <w:t xml:space="preserve">-½ </w:t>
                                    </w:r>
                                  </w:p>
                                </w:txbxContent>
                              </v:textbox>
                            </v:rect>
                            <v:group id="Group 21492" o:spid="_x0000_s2160" style="position:absolute;top:1428;width:13942;height:8160" coordorigin=",1428" coordsize="13942,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">
                              <v:rect id="Rectangle 21493" o:spid="_x0000_s2161" style="position:absolute;top:4572;width:3664;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" filled="f" stroked="f">
                                <v:textbox inset="0,0,0,0">
                                  <w:txbxContent>
                                    <w:p w14:paraId="3BB38B00" w14:textId="77777777" w:rsidR="008E22F8" w:rsidRDefault="008E22F8" w:rsidP="008E22F8">
                                      <w:pPr>
                                        <w:spacing w:before="0"/>
                                        <w:jc w:val="center"/>
                                      </w:pPr>
                                      <w:r>
                                        <w:rPr>
                                          <w:rFonts w:ascii="Calibri" w:eastAsia="Calibri" w:hAnsi="Calibri" w:cs="Calibri"/>
                                          <w:color w:val="000000"/>
                                          <w:sz w:val="20"/>
                                        </w:rPr>
                                        <w:t>8</w:t>
                                      </w:r>
                                      <w:r w:rsidRPr="0087343E">
                                        <w:rPr>
                                          <w:color w:val="000000"/>
                                          <w:sz w:val="20"/>
                                          <w:vertAlign w:val="superscript"/>
                                        </w:rPr>
                                        <w:t>Δ</w:t>
                                      </w:r>
                                      <w:r>
                                        <w:rPr>
                                          <w:rFonts w:ascii="Calibri" w:eastAsia="Calibri" w:hAnsi="Calibri" w:cs="Calibri"/>
                                          <w:color w:val="000000"/>
                                          <w:sz w:val="20"/>
                                        </w:rPr>
                                        <w:t xml:space="preserve"> X</w:t>
                                      </w:r>
                                    </w:p>
                                  </w:txbxContent>
                                </v:textbox>
                              </v:rect>
                              <v:oval id="Oval 21494" o:spid="_x0000_s2162" style="position:absolute;left:5378;top:1428;width:8564;height:8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" filled="f" strokeweight="1pt">
                                <v:stroke startarrowwidth="narrow" startarrowlength="short" endarrowwidth="narrow" endarrowlength="short" joinstyle="miter"/>
                                <v:textbox inset="2.53958mm,2.53958mm,2.53958mm,2.53958mm">
                                  <w:txbxContent>
                                    <w:p w14:paraId="787A0F39" w14:textId="77777777" w:rsidR="008E22F8" w:rsidRDefault="008E22F8" w:rsidP="008E22F8">
                                      <w:pPr>
                                        <w:jc w:val="left"/>
                                      </w:pPr>
                                    </w:p>
                                  </w:txbxContent>
                                </v:textbox>
                              </v:oval>
                            </v:group>
                          </v:group>
                          <v:rect id="Rectangle 21495" o:spid="_x0000_s2163" style="position:absolute;left:4953;top:571;width:1854;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" filled="f" stroked="f">
                            <v:textbox inset="0,0,0,0">
                              <w:txbxContent>
                                <w:p w14:paraId="0B591A88" w14:textId="77777777" w:rsidR="008E22F8" w:rsidRDefault="008E22F8" w:rsidP="008E22F8">
                                  <w:pPr>
                                    <w:jc w:val="center"/>
                                  </w:pPr>
                                  <w:r>
                                    <w:rPr>
                                      <w:rFonts w:ascii="Calibri" w:eastAsia="Calibri" w:hAnsi="Calibri" w:cs="Calibri"/>
                                      <w:color w:val="000000"/>
                                      <w:sz w:val="20"/>
                                    </w:rPr>
                                    <w:t xml:space="preserve">-½ </w:t>
                                  </w:r>
                                </w:p>
                              </w:txbxContent>
                            </v:textbox>
                          </v:rect>
                        </v:group>
                      </v:group>
                      <v:rect id="Rectangle 21496" o:spid="_x0000_s2164" style="position:absolute;left:16573;top:10001;width:3429;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" filled="f" stroked="f">
                        <v:textbox inset="0,0,0,0">
                          <w:txbxContent>
                            <w:p w14:paraId="772CD3F1" w14:textId="77777777" w:rsidR="008E22F8" w:rsidRDefault="008E22F8" w:rsidP="008E22F8">
                              <w:pPr>
                                <w:spacing w:before="0"/>
                                <w:jc w:val="center"/>
                              </w:pPr>
                              <w:r>
                                <w:rPr>
                                  <w:rFonts w:ascii="Calibri" w:eastAsia="Calibri" w:hAnsi="Calibri" w:cs="Calibri"/>
                                  <w:color w:val="000000"/>
                                  <w:sz w:val="20"/>
                                </w:rPr>
                                <w:t>ortho</w:t>
                              </w:r>
                            </w:p>
                          </w:txbxContent>
                        </v:textbox>
                      </v:rect>
                    </v:group>
                  </v:group>
                </v:group>
                <w10:wrap type="through"/>
              </v:group>
            </w:pict>
          </mc:Fallback>
        </mc:AlternateContent>
      </w:r>
      <w:r w:rsidR="008E22F8" w:rsidRPr="009D4627">
        <w:rPr>
          <w:rFonts w:eastAsia="Calibri"/>
          <w:color w:val="auto"/>
          <w:lang w:eastAsia="en-MY"/>
        </w:rPr>
        <w:tab/>
      </w:r>
    </w:p>
    <w:p w14:paraId="6D40F310" w14:textId="77777777" w:rsidR="008E22F8" w:rsidRPr="009D4627" w:rsidRDefault="008E22F8" w:rsidP="008E22F8">
      <w:pPr>
        <w:spacing w:before="0" w:line="240" w:lineRule="auto"/>
        <w:rPr>
          <w:rFonts w:eastAsia="Calibri"/>
          <w:color w:val="auto"/>
          <w:lang w:eastAsia="en-MY"/>
        </w:rPr>
      </w:pP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p>
    <w:p w14:paraId="6FB99329" w14:textId="77777777" w:rsidR="008E22F8" w:rsidRPr="009D4627" w:rsidRDefault="008E22F8" w:rsidP="008E22F8">
      <w:pPr>
        <w:spacing w:before="0" w:line="240" w:lineRule="auto"/>
        <w:rPr>
          <w:rFonts w:eastAsia="Calibri"/>
          <w:color w:val="auto"/>
          <w:lang w:eastAsia="en-MY"/>
        </w:rPr>
      </w:pPr>
    </w:p>
    <w:p w14:paraId="3D4F90E5" w14:textId="77777777" w:rsidR="008E22F8" w:rsidRPr="009D4627" w:rsidRDefault="008E22F8" w:rsidP="008E22F8">
      <w:pPr>
        <w:spacing w:before="0" w:after="0" w:line="240" w:lineRule="auto"/>
        <w:rPr>
          <w:rFonts w:eastAsia="Calibri"/>
          <w:b/>
          <w:color w:val="auto"/>
          <w:lang w:eastAsia="en-MY"/>
        </w:rPr>
      </w:pPr>
    </w:p>
    <w:p w14:paraId="3076648E"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PCT:</w:t>
      </w:r>
      <w:r w:rsidRPr="009D4627">
        <w:rPr>
          <w:rFonts w:eastAsia="Calibri"/>
          <w:b/>
          <w:color w:val="auto"/>
          <w:lang w:eastAsia="en-MY"/>
        </w:rPr>
        <w:tab/>
      </w:r>
      <w:r w:rsidRPr="009D4627">
        <w:rPr>
          <w:rFonts w:eastAsia="Calibri"/>
          <w:b/>
          <w:color w:val="auto"/>
          <w:lang w:eastAsia="en-MY"/>
        </w:rPr>
        <w:tab/>
        <w:t xml:space="preserve"> </w:t>
      </w:r>
      <w:r w:rsidRPr="009D4627">
        <w:rPr>
          <w:rFonts w:eastAsia="Calibri"/>
          <w:b/>
          <w:color w:val="auto"/>
          <w:lang w:eastAsia="en-MY"/>
        </w:rPr>
        <w:tab/>
      </w:r>
      <w:r w:rsidRPr="009D4627">
        <w:rPr>
          <w:rFonts w:eastAsia="Calibri"/>
          <w:color w:val="auto"/>
          <w:lang w:eastAsia="en-MY"/>
        </w:rPr>
        <w:t>with glasses 1/3 m 14</w:t>
      </w:r>
      <w:r w:rsidRPr="009D4627">
        <w:rPr>
          <w:rFonts w:eastAsia="Times New Roman"/>
          <w:color w:val="auto"/>
          <w:vertAlign w:val="superscript"/>
          <w:lang w:eastAsia="en-MY"/>
        </w:rPr>
        <w:t>Δ</w:t>
      </w:r>
      <w:r w:rsidRPr="009D4627">
        <w:rPr>
          <w:rFonts w:eastAsia="Calibri"/>
          <w:color w:val="auto"/>
          <w:lang w:eastAsia="en-MY"/>
        </w:rPr>
        <w:t xml:space="preserve"> X with good recovery</w:t>
      </w:r>
    </w:p>
    <w:p w14:paraId="48FC5A60" w14:textId="77777777" w:rsidR="008E22F8" w:rsidRPr="009D4627" w:rsidRDefault="008E22F8" w:rsidP="008E22F8">
      <w:pPr>
        <w:spacing w:before="0" w:after="0" w:line="240" w:lineRule="auto"/>
        <w:rPr>
          <w:rFonts w:eastAsia="Calibri"/>
          <w:color w:val="auto"/>
          <w:lang w:eastAsia="en-MY"/>
        </w:rPr>
      </w:pP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r>
      <w:r w:rsidRPr="009D4627">
        <w:rPr>
          <w:rFonts w:eastAsia="Calibri"/>
          <w:color w:val="auto"/>
          <w:lang w:eastAsia="en-MY"/>
        </w:rPr>
        <w:tab/>
        <w:t>6 m 9</w:t>
      </w:r>
      <w:r w:rsidRPr="009D4627">
        <w:rPr>
          <w:rFonts w:eastAsia="Calibri"/>
          <w:color w:val="auto"/>
          <w:vertAlign w:val="superscript"/>
          <w:lang w:eastAsia="en-MY"/>
        </w:rPr>
        <w:t>Δ</w:t>
      </w:r>
      <w:r w:rsidRPr="009D4627">
        <w:rPr>
          <w:rFonts w:eastAsia="Calibri"/>
          <w:color w:val="auto"/>
          <w:lang w:eastAsia="en-MY"/>
        </w:rPr>
        <w:t xml:space="preserve"> X with good recovery</w:t>
      </w:r>
    </w:p>
    <w:p w14:paraId="1423F6F6" w14:textId="77777777" w:rsidR="008E22F8" w:rsidRPr="009D4627" w:rsidRDefault="008E22F8" w:rsidP="008E22F8">
      <w:pPr>
        <w:spacing w:before="0" w:after="0" w:line="240" w:lineRule="auto"/>
        <w:rPr>
          <w:rFonts w:eastAsia="Calibri"/>
          <w:color w:val="auto"/>
          <w:lang w:eastAsia="en-MY"/>
        </w:rPr>
      </w:pPr>
    </w:p>
    <w:p w14:paraId="42C5E5ED" w14:textId="77777777"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 xml:space="preserve">Convergence: </w:t>
      </w:r>
      <w:r w:rsidRPr="009D4627">
        <w:rPr>
          <w:rFonts w:eastAsia="Calibri"/>
          <w:b/>
          <w:color w:val="auto"/>
          <w:lang w:eastAsia="en-MY"/>
        </w:rPr>
        <w:tab/>
      </w:r>
      <w:r w:rsidRPr="009D4627">
        <w:rPr>
          <w:rFonts w:eastAsia="Calibri"/>
          <w:color w:val="auto"/>
          <w:lang w:eastAsia="en-MY"/>
        </w:rPr>
        <w:t xml:space="preserve">with glasses </w:t>
      </w:r>
      <w:r w:rsidRPr="009D4627">
        <w:rPr>
          <w:rFonts w:eastAsia="Calibri"/>
          <w:color w:val="auto"/>
          <w:lang w:eastAsia="en-MY"/>
        </w:rPr>
        <w:tab/>
        <w:t>binocular to 7 cm</w:t>
      </w:r>
    </w:p>
    <w:p w14:paraId="070A0841" w14:textId="77777777" w:rsidR="00DF3144" w:rsidRDefault="00DF3144" w:rsidP="008E22F8">
      <w:pPr>
        <w:spacing w:before="0" w:after="0" w:line="240" w:lineRule="auto"/>
        <w:rPr>
          <w:rFonts w:eastAsia="Calibri"/>
          <w:b/>
          <w:color w:val="auto"/>
          <w:lang w:eastAsia="en-MY"/>
        </w:rPr>
      </w:pPr>
    </w:p>
    <w:p w14:paraId="3D129588" w14:textId="13FDB4B4" w:rsidR="008E22F8" w:rsidRPr="009D4627" w:rsidRDefault="008E22F8" w:rsidP="008E22F8">
      <w:pPr>
        <w:spacing w:before="0" w:after="0" w:line="240" w:lineRule="auto"/>
        <w:rPr>
          <w:rFonts w:eastAsia="Calibri"/>
          <w:color w:val="auto"/>
          <w:lang w:eastAsia="en-MY"/>
        </w:rPr>
      </w:pPr>
      <w:r w:rsidRPr="009D4627">
        <w:rPr>
          <w:rFonts w:eastAsia="Calibri"/>
          <w:b/>
          <w:color w:val="auto"/>
          <w:lang w:eastAsia="en-MY"/>
        </w:rPr>
        <w:t>Frisby:</w:t>
      </w:r>
      <w:r w:rsidRPr="009D4627">
        <w:rPr>
          <w:rFonts w:eastAsia="Calibri"/>
          <w:b/>
          <w:color w:val="auto"/>
          <w:lang w:eastAsia="en-MY"/>
        </w:rPr>
        <w:tab/>
      </w:r>
      <w:r w:rsidRPr="009D4627">
        <w:rPr>
          <w:rFonts w:eastAsia="Calibri"/>
          <w:b/>
          <w:color w:val="auto"/>
          <w:lang w:eastAsia="en-MY"/>
        </w:rPr>
        <w:tab/>
      </w:r>
      <w:r w:rsidRPr="009D4627">
        <w:rPr>
          <w:rFonts w:eastAsia="Calibri"/>
          <w:color w:val="auto"/>
          <w:lang w:eastAsia="en-MY"/>
        </w:rPr>
        <w:t>with glasses 340" arc</w:t>
      </w:r>
    </w:p>
    <w:p w14:paraId="0CFF537B" w14:textId="77777777" w:rsidR="008E22F8" w:rsidRPr="009D4627" w:rsidRDefault="008E22F8" w:rsidP="008E22F8">
      <w:pPr>
        <w:spacing w:before="0" w:after="0" w:line="240" w:lineRule="auto"/>
        <w:rPr>
          <w:rFonts w:eastAsia="Times New Roman"/>
          <w:color w:val="auto"/>
          <w:lang w:eastAsia="en-MY"/>
        </w:rPr>
      </w:pPr>
    </w:p>
    <w:p w14:paraId="3A325DB1" w14:textId="77777777" w:rsidR="008E22F8" w:rsidRPr="009D4627" w:rsidRDefault="008E22F8" w:rsidP="008E22F8">
      <w:pPr>
        <w:spacing w:before="0" w:after="0" w:line="240" w:lineRule="auto"/>
        <w:rPr>
          <w:rFonts w:eastAsia="Times New Roman"/>
          <w:b/>
          <w:bCs/>
          <w:color w:val="auto"/>
          <w:lang w:eastAsia="en-MY"/>
        </w:rPr>
      </w:pPr>
      <w:r w:rsidRPr="009D4627">
        <w:rPr>
          <w:rFonts w:eastAsia="Times New Roman"/>
          <w:b/>
          <w:bCs/>
          <w:color w:val="auto"/>
          <w:lang w:eastAsia="en-MY"/>
        </w:rPr>
        <w:t xml:space="preserve">Assessment &amp; Plan:  </w:t>
      </w:r>
    </w:p>
    <w:p w14:paraId="39411822" w14:textId="77777777" w:rsidR="008E22F8" w:rsidRPr="009D4627" w:rsidRDefault="008E22F8" w:rsidP="008E22F8">
      <w:pPr>
        <w:spacing w:before="0" w:after="0" w:line="240" w:lineRule="auto"/>
        <w:ind w:firstLine="720"/>
        <w:rPr>
          <w:rFonts w:eastAsia="Times New Roman"/>
          <w:color w:val="auto"/>
          <w:lang w:eastAsia="en-MY"/>
        </w:rPr>
      </w:pPr>
      <w:r w:rsidRPr="009D4627">
        <w:rPr>
          <w:rFonts w:eastAsia="Times New Roman"/>
          <w:color w:val="auto"/>
          <w:lang w:eastAsia="en-MY"/>
        </w:rPr>
        <w:t>Residual motility restrictions in LE.</w:t>
      </w:r>
    </w:p>
    <w:p w14:paraId="4DED6376" w14:textId="77777777" w:rsidR="00DF3144" w:rsidRDefault="008E22F8" w:rsidP="00DF3144">
      <w:pPr>
        <w:spacing w:before="0" w:after="0" w:line="240" w:lineRule="auto"/>
        <w:ind w:firstLine="720"/>
        <w:rPr>
          <w:rFonts w:eastAsia="Times New Roman"/>
          <w:color w:val="auto"/>
          <w:lang w:eastAsia="en-MY"/>
        </w:rPr>
      </w:pPr>
      <w:r w:rsidRPr="009D4627">
        <w:rPr>
          <w:rFonts w:eastAsia="Times New Roman"/>
          <w:color w:val="auto"/>
          <w:lang w:eastAsia="en-MY"/>
        </w:rPr>
        <w:t>No change – asymptomatic</w:t>
      </w:r>
    </w:p>
    <w:p w14:paraId="5C44C65D" w14:textId="6A86BC29" w:rsidR="008E22F8" w:rsidRPr="00DF3144" w:rsidRDefault="008E22F8" w:rsidP="00DF3144">
      <w:pPr>
        <w:spacing w:before="0" w:after="0" w:line="240" w:lineRule="auto"/>
        <w:ind w:firstLine="720"/>
        <w:rPr>
          <w:rFonts w:eastAsia="Times New Roman"/>
          <w:color w:val="auto"/>
          <w:lang w:eastAsia="en-MY"/>
        </w:rPr>
      </w:pPr>
      <w:r w:rsidRPr="009D4627">
        <w:t>No intervention required</w:t>
      </w:r>
      <w:r w:rsidRPr="009D4627">
        <w:tab/>
      </w:r>
    </w:p>
    <w:p w14:paraId="6922373E" w14:textId="77777777" w:rsidR="00BD37F8" w:rsidRPr="009D4627" w:rsidRDefault="00BD37F8" w:rsidP="00C4130D">
      <w:pPr>
        <w:pStyle w:val="Caption"/>
      </w:pPr>
      <w:bookmarkStart w:id="670" w:name="_Toc73355029"/>
      <w:bookmarkEnd w:id="669"/>
    </w:p>
    <w:p w14:paraId="09255FC2" w14:textId="77777777" w:rsidR="00BD37F8" w:rsidRPr="009D4627" w:rsidRDefault="00BD37F8" w:rsidP="00C4130D">
      <w:pPr>
        <w:pStyle w:val="Caption"/>
      </w:pPr>
    </w:p>
    <w:p w14:paraId="5C8AC6F3" w14:textId="77777777" w:rsidR="00BD37F8" w:rsidRPr="009D4627" w:rsidRDefault="00BD37F8" w:rsidP="00C4130D">
      <w:pPr>
        <w:pStyle w:val="Caption"/>
        <w:sectPr w:rsidR="00BD37F8" w:rsidRPr="009D4627" w:rsidSect="00477959">
          <w:headerReference w:type="default" r:id="rId286"/>
          <w:pgSz w:w="11906" w:h="16838" w:code="9"/>
          <w:pgMar w:top="1440" w:right="1440" w:bottom="1440" w:left="1440" w:header="708" w:footer="708" w:gutter="0"/>
          <w:cols w:space="708"/>
          <w:docGrid w:linePitch="360"/>
        </w:sectPr>
      </w:pPr>
    </w:p>
    <w:p w14:paraId="3C96112B" w14:textId="29C725EA" w:rsidR="00E147BE" w:rsidRDefault="00565A8C" w:rsidP="00C4130D">
      <w:pPr>
        <w:pStyle w:val="Caption"/>
      </w:pPr>
      <w:bookmarkStart w:id="671" w:name="_Toc99356739"/>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7</w:t>
      </w:r>
      <w:r w:rsidR="002E63E9" w:rsidRPr="009D4627">
        <w:rPr>
          <w:noProof/>
        </w:rPr>
        <w:fldChar w:fldCharType="end"/>
      </w:r>
      <w:r w:rsidRPr="009D4627">
        <w:t xml:space="preserve">: </w:t>
      </w:r>
      <w:r w:rsidR="00CE6626" w:rsidRPr="009D4627">
        <w:t>Patient ID: 7</w:t>
      </w:r>
      <w:bookmarkEnd w:id="671"/>
      <w:r w:rsidR="00CE6626" w:rsidRPr="009D4627">
        <w:t xml:space="preserve"> </w:t>
      </w:r>
      <w:r w:rsidR="002312ED">
        <w:t xml:space="preserve">                    </w:t>
      </w:r>
    </w:p>
    <w:p w14:paraId="4F0AB8ED" w14:textId="77777777" w:rsidR="00E147BE" w:rsidRDefault="002312ED" w:rsidP="00C4130D">
      <w:pPr>
        <w:pStyle w:val="Caption"/>
        <w:rPr>
          <w:color w:val="FF0000"/>
        </w:rPr>
      </w:pPr>
      <w:r>
        <w:t>B</w:t>
      </w:r>
      <w:r w:rsidR="00CE6626" w:rsidRPr="009D4627">
        <w:t>irth month/year: 01/1932</w:t>
      </w:r>
      <w:r w:rsidR="00CE6626" w:rsidRPr="009D4627">
        <w:rPr>
          <w:color w:val="FF0000"/>
        </w:rPr>
        <w:tab/>
      </w:r>
      <w:r>
        <w:rPr>
          <w:color w:val="FF0000"/>
        </w:rPr>
        <w:t xml:space="preserve">               </w:t>
      </w:r>
    </w:p>
    <w:p w14:paraId="7BE38D12" w14:textId="270D754B" w:rsidR="00CE6626" w:rsidRDefault="00CE6626" w:rsidP="00C4130D">
      <w:pPr>
        <w:pStyle w:val="Caption"/>
      </w:pPr>
      <w:r w:rsidRPr="009D4627">
        <w:t>Age: 86 at onset</w:t>
      </w:r>
    </w:p>
    <w:p w14:paraId="4A598667" w14:textId="77777777" w:rsidR="00DF3144" w:rsidRPr="00DF3144" w:rsidRDefault="00DF3144" w:rsidP="00DF3144">
      <w:pPr>
        <w:spacing w:before="0" w:after="0" w:line="240" w:lineRule="auto"/>
        <w:rPr>
          <w:lang w:val="en-MY" w:eastAsia="en-MY"/>
        </w:rPr>
      </w:pPr>
    </w:p>
    <w:p w14:paraId="63A7D94F" w14:textId="77777777" w:rsidR="00CE6626" w:rsidRPr="009D4627" w:rsidRDefault="00CE6626" w:rsidP="00CE6626">
      <w:pPr>
        <w:spacing w:before="0" w:after="0" w:line="240" w:lineRule="auto"/>
        <w:rPr>
          <w:rFonts w:eastAsia="Calibri"/>
          <w:bCs/>
          <w:szCs w:val="22"/>
          <w:u w:val="single"/>
          <w:lang w:val="en-MY"/>
        </w:rPr>
      </w:pPr>
      <w:r w:rsidRPr="009D4627">
        <w:rPr>
          <w:rFonts w:eastAsia="Calibri"/>
          <w:b/>
          <w:szCs w:val="22"/>
          <w:u w:val="single"/>
          <w:lang w:val="en-MY"/>
        </w:rPr>
        <w:t xml:space="preserve">Clinical visit 1: </w:t>
      </w:r>
      <w:r w:rsidRPr="009D4627">
        <w:rPr>
          <w:rFonts w:eastAsia="Calibri"/>
          <w:bCs/>
          <w:szCs w:val="22"/>
          <w:u w:val="single"/>
          <w:lang w:val="en-MY"/>
        </w:rPr>
        <w:t>19/12/2018 (4</w:t>
      </w:r>
      <w:r w:rsidRPr="009D4627">
        <w:rPr>
          <w:rFonts w:eastAsia="Calibri"/>
          <w:bCs/>
          <w:color w:val="auto"/>
          <w:szCs w:val="22"/>
          <w:u w:val="single"/>
          <w:lang w:val="en-MY"/>
        </w:rPr>
        <w:t xml:space="preserve"> day from onset</w:t>
      </w:r>
      <w:r w:rsidRPr="009D4627">
        <w:rPr>
          <w:rFonts w:eastAsia="Calibri"/>
          <w:bCs/>
          <w:szCs w:val="22"/>
          <w:u w:val="single"/>
          <w:lang w:val="en-MY"/>
        </w:rPr>
        <w:t>) - Orthoptic assessment</w:t>
      </w:r>
    </w:p>
    <w:p w14:paraId="39488996" w14:textId="77777777" w:rsidR="00CE6626" w:rsidRPr="009D4627" w:rsidRDefault="00CE6626" w:rsidP="00CE6626">
      <w:pPr>
        <w:spacing w:before="0" w:after="0" w:line="240" w:lineRule="auto"/>
        <w:rPr>
          <w:rFonts w:eastAsia="Calibri"/>
          <w:bCs/>
          <w:szCs w:val="22"/>
          <w:u w:val="single"/>
          <w:lang w:val="en-MY"/>
        </w:rPr>
      </w:pPr>
    </w:p>
    <w:p w14:paraId="2ED309D3"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
          <w:szCs w:val="22"/>
          <w:lang w:val="en-MY"/>
        </w:rPr>
        <w:t xml:space="preserve">History: </w:t>
      </w:r>
      <w:r w:rsidRPr="009D4627">
        <w:rPr>
          <w:rFonts w:eastAsia="Calibri"/>
          <w:bCs/>
          <w:szCs w:val="22"/>
          <w:lang w:val="en-MY"/>
        </w:rPr>
        <w:t>c/o aware of horizontal diplopia worsened on right gaze and over time. No headache, jaw claudication, scalp tenderness, weight loss or change in appetite. Her BP measured on that day was 194/79. She also diagnosed with RE mild non-proliferative diabetic retinopathy, while LE no sign of diabetic retinopathy. She also had dry eyes.</w:t>
      </w:r>
    </w:p>
    <w:p w14:paraId="712C9E52" w14:textId="77777777" w:rsidR="00CE6626" w:rsidRPr="009D4627" w:rsidRDefault="00CE6626" w:rsidP="00CE6626">
      <w:pPr>
        <w:spacing w:before="0" w:after="0" w:line="240" w:lineRule="auto"/>
        <w:ind w:left="851" w:hanging="131"/>
        <w:rPr>
          <w:rFonts w:eastAsia="Calibri"/>
          <w:b/>
          <w:szCs w:val="22"/>
          <w:lang w:val="en-MY"/>
        </w:rPr>
      </w:pPr>
      <w:r w:rsidRPr="009D4627">
        <w:rPr>
          <w:rFonts w:eastAsia="Calibri"/>
          <w:bCs/>
          <w:szCs w:val="22"/>
          <w:lang w:val="en-MY"/>
        </w:rPr>
        <w:t xml:space="preserve">  </w:t>
      </w:r>
    </w:p>
    <w:p w14:paraId="57C2923E"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Previous treatment: </w:t>
      </w:r>
      <w:r w:rsidRPr="009D4627">
        <w:rPr>
          <w:rFonts w:eastAsia="Calibri"/>
          <w:b/>
          <w:szCs w:val="22"/>
          <w:lang w:val="en-MY"/>
        </w:rPr>
        <w:tab/>
      </w:r>
      <w:r w:rsidRPr="009D4627">
        <w:rPr>
          <w:rFonts w:eastAsia="Calibri"/>
          <w:bCs/>
          <w:szCs w:val="22"/>
          <w:lang w:val="en-MY"/>
        </w:rPr>
        <w:t xml:space="preserve">LE </w:t>
      </w:r>
      <w:proofErr w:type="spellStart"/>
      <w:r w:rsidRPr="009D4627">
        <w:rPr>
          <w:rFonts w:eastAsia="Calibri"/>
          <w:bCs/>
          <w:szCs w:val="22"/>
          <w:lang w:val="en-MY"/>
        </w:rPr>
        <w:t>phaco</w:t>
      </w:r>
      <w:proofErr w:type="spellEnd"/>
      <w:r w:rsidRPr="009D4627">
        <w:rPr>
          <w:rFonts w:eastAsia="Calibri"/>
          <w:bCs/>
          <w:szCs w:val="22"/>
          <w:lang w:val="en-MY"/>
        </w:rPr>
        <w:t xml:space="preserve"> + IOL (May 2014)</w:t>
      </w:r>
    </w:p>
    <w:p w14:paraId="5E714870"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ab/>
      </w:r>
      <w:r w:rsidRPr="009D4627">
        <w:rPr>
          <w:rFonts w:eastAsia="Calibri"/>
          <w:b/>
          <w:szCs w:val="22"/>
          <w:lang w:val="en-MY"/>
        </w:rPr>
        <w:tab/>
        <w:t xml:space="preserve">           </w:t>
      </w:r>
    </w:p>
    <w:p w14:paraId="3AF4CA74" w14:textId="56068372"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 xml:space="preserve">General health: </w:t>
      </w:r>
      <w:r w:rsidRPr="009D4627">
        <w:rPr>
          <w:rFonts w:eastAsia="Calibri"/>
          <w:b/>
          <w:szCs w:val="22"/>
          <w:lang w:val="en-MY"/>
        </w:rPr>
        <w:tab/>
      </w:r>
      <w:r w:rsidRPr="009D4627">
        <w:rPr>
          <w:rFonts w:eastAsia="Calibri"/>
          <w:szCs w:val="22"/>
          <w:lang w:val="en-MY"/>
        </w:rPr>
        <w:t>Type II diabetes = insulin controlled,</w:t>
      </w:r>
      <w:r w:rsidR="00E147BE" w:rsidRPr="00E147BE">
        <w:rPr>
          <w:rFonts w:eastAsia="Calibri"/>
          <w:szCs w:val="22"/>
          <w:lang w:val="en-MY"/>
        </w:rPr>
        <w:t xml:space="preserve"> </w:t>
      </w:r>
      <w:r w:rsidR="00E147BE" w:rsidRPr="009D4627">
        <w:rPr>
          <w:rFonts w:eastAsia="Calibri"/>
          <w:szCs w:val="22"/>
          <w:lang w:val="en-MY"/>
        </w:rPr>
        <w:t xml:space="preserve">taking </w:t>
      </w:r>
      <w:proofErr w:type="spellStart"/>
      <w:r w:rsidR="00E147BE" w:rsidRPr="009D4627">
        <w:rPr>
          <w:rFonts w:eastAsia="Calibri"/>
          <w:szCs w:val="22"/>
          <w:lang w:val="en-MY"/>
        </w:rPr>
        <w:t>asprin</w:t>
      </w:r>
      <w:proofErr w:type="spellEnd"/>
      <w:r w:rsidRPr="009D4627">
        <w:rPr>
          <w:rFonts w:eastAsia="Calibri"/>
          <w:szCs w:val="22"/>
          <w:lang w:val="en-MY"/>
        </w:rPr>
        <w:t xml:space="preserve">. </w:t>
      </w:r>
    </w:p>
    <w:p w14:paraId="5C078ED8" w14:textId="7363D6C7" w:rsidR="00CE6626" w:rsidRPr="009D4627" w:rsidRDefault="00CE6626" w:rsidP="00CE6626">
      <w:pPr>
        <w:spacing w:before="0" w:after="0" w:line="240" w:lineRule="auto"/>
        <w:ind w:left="2160"/>
        <w:rPr>
          <w:rFonts w:eastAsia="Calibri"/>
          <w:szCs w:val="22"/>
          <w:lang w:val="en-MY"/>
        </w:rPr>
      </w:pPr>
      <w:r w:rsidRPr="009D4627">
        <w:rPr>
          <w:rFonts w:eastAsia="Calibri"/>
          <w:szCs w:val="22"/>
          <w:lang w:val="en-MY"/>
        </w:rPr>
        <w:t xml:space="preserve">Poor control HPT, </w:t>
      </w:r>
      <w:r w:rsidR="00E147BE" w:rsidRPr="009D4627">
        <w:rPr>
          <w:rFonts w:eastAsia="Calibri"/>
          <w:szCs w:val="22"/>
          <w:lang w:val="en-MY"/>
        </w:rPr>
        <w:t xml:space="preserve">taking </w:t>
      </w:r>
      <w:proofErr w:type="spellStart"/>
      <w:r w:rsidR="00E147BE" w:rsidRPr="009D4627">
        <w:rPr>
          <w:rFonts w:eastAsia="Calibri"/>
          <w:szCs w:val="22"/>
          <w:lang w:val="en-MY"/>
        </w:rPr>
        <w:t>candersatan</w:t>
      </w:r>
      <w:proofErr w:type="spellEnd"/>
      <w:r w:rsidR="00E147BE" w:rsidRPr="009D4627">
        <w:rPr>
          <w:rFonts w:eastAsia="Calibri"/>
          <w:szCs w:val="22"/>
          <w:lang w:val="en-MY"/>
        </w:rPr>
        <w:t>, amiloride, clopidogrel, bisoprolol, amias</w:t>
      </w:r>
    </w:p>
    <w:p w14:paraId="28FFD1FB" w14:textId="6CE53BFE" w:rsidR="00CE6626" w:rsidRPr="00E147BE" w:rsidRDefault="00CE6626" w:rsidP="00CE6626">
      <w:pPr>
        <w:spacing w:before="0" w:after="0" w:line="240" w:lineRule="auto"/>
        <w:rPr>
          <w:rFonts w:eastAsia="Calibri"/>
          <w:szCs w:val="22"/>
          <w:lang w:val="en-MY"/>
        </w:rPr>
      </w:pPr>
      <w:r w:rsidRPr="009D4627">
        <w:rPr>
          <w:rFonts w:eastAsia="Calibri"/>
          <w:szCs w:val="22"/>
          <w:lang w:val="en-MY"/>
        </w:rPr>
        <w:tab/>
      </w:r>
      <w:r w:rsidRPr="009D4627">
        <w:rPr>
          <w:rFonts w:eastAsia="Calibri"/>
          <w:szCs w:val="22"/>
          <w:lang w:val="en-MY"/>
        </w:rPr>
        <w:tab/>
        <w:t xml:space="preserve">    </w:t>
      </w:r>
      <w:r w:rsidRPr="009D4627">
        <w:rPr>
          <w:rFonts w:eastAsia="Calibri"/>
          <w:szCs w:val="22"/>
          <w:lang w:val="en-MY"/>
        </w:rPr>
        <w:tab/>
        <w:t>High cholesterol</w:t>
      </w:r>
      <w:r w:rsidR="00E147BE">
        <w:rPr>
          <w:rFonts w:eastAsia="Calibri"/>
          <w:szCs w:val="22"/>
          <w:lang w:val="en-MY"/>
        </w:rPr>
        <w:t>,</w:t>
      </w:r>
      <w:r w:rsidRPr="009D4627">
        <w:rPr>
          <w:rFonts w:eastAsia="Calibri"/>
          <w:szCs w:val="22"/>
          <w:lang w:val="en-MY"/>
        </w:rPr>
        <w:t xml:space="preserve"> </w:t>
      </w:r>
      <w:r w:rsidR="00E147BE" w:rsidRPr="009D4627">
        <w:rPr>
          <w:rFonts w:eastAsia="Calibri"/>
          <w:szCs w:val="22"/>
          <w:lang w:val="en-MY"/>
        </w:rPr>
        <w:t xml:space="preserve">taking </w:t>
      </w:r>
      <w:proofErr w:type="spellStart"/>
      <w:r w:rsidR="00E147BE" w:rsidRPr="009D4627">
        <w:rPr>
          <w:rFonts w:eastAsia="Calibri"/>
          <w:szCs w:val="22"/>
          <w:lang w:val="en-MY"/>
        </w:rPr>
        <w:t>azetimibe</w:t>
      </w:r>
      <w:proofErr w:type="spellEnd"/>
    </w:p>
    <w:p w14:paraId="79275808" w14:textId="77777777" w:rsidR="00CE6626" w:rsidRPr="009D4627" w:rsidRDefault="00CE6626" w:rsidP="00CE6626">
      <w:pPr>
        <w:spacing w:before="0" w:after="0" w:line="240" w:lineRule="auto"/>
        <w:rPr>
          <w:rFonts w:eastAsia="Calibri"/>
          <w:b/>
          <w:szCs w:val="22"/>
          <w:lang w:val="en-MY"/>
        </w:rPr>
      </w:pPr>
    </w:p>
    <w:p w14:paraId="7569208A"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with glasses </w:t>
      </w:r>
      <w:r w:rsidRPr="009D4627">
        <w:rPr>
          <w:rFonts w:eastAsia="Calibri"/>
          <w:bCs/>
          <w:szCs w:val="22"/>
          <w:lang w:val="en-MY"/>
        </w:rPr>
        <w:tab/>
        <w:t>RE 0.22</w:t>
      </w:r>
      <w:r w:rsidRPr="009D4627">
        <w:rPr>
          <w:rFonts w:eastAsia="Calibri"/>
          <w:bCs/>
          <w:szCs w:val="22"/>
          <w:lang w:val="en-MY"/>
        </w:rPr>
        <w:tab/>
      </w:r>
      <w:r w:rsidRPr="009D4627">
        <w:rPr>
          <w:rFonts w:eastAsia="Calibri"/>
          <w:bCs/>
          <w:szCs w:val="22"/>
          <w:lang w:val="en-MY"/>
        </w:rPr>
        <w:tab/>
        <w:t xml:space="preserve">LE 0.22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5D12553A" w14:textId="6D525E9F"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00E147BE">
        <w:rPr>
          <w:rFonts w:eastAsia="Calibri"/>
          <w:b/>
          <w:szCs w:val="22"/>
          <w:lang w:val="en-MY"/>
        </w:rPr>
        <w:tab/>
      </w:r>
      <w:r w:rsidRPr="009D4627">
        <w:rPr>
          <w:rFonts w:eastAsia="Calibri"/>
          <w:b/>
          <w:szCs w:val="22"/>
          <w:lang w:val="en-MY"/>
        </w:rPr>
        <w:t xml:space="preserve"> </w:t>
      </w:r>
      <w:r w:rsidRPr="009D4627">
        <w:rPr>
          <w:rFonts w:eastAsia="Calibri"/>
          <w:bCs/>
          <w:szCs w:val="22"/>
          <w:lang w:val="en-MY"/>
        </w:rPr>
        <w:t>6/9</w:t>
      </w:r>
      <w:r w:rsidRPr="009D4627">
        <w:rPr>
          <w:rFonts w:eastAsia="Calibri"/>
          <w:bCs/>
          <w:szCs w:val="22"/>
          <w:vertAlign w:val="superscript"/>
          <w:lang w:val="en-MY"/>
        </w:rPr>
        <w:t>-2</w:t>
      </w:r>
      <w:r w:rsidRPr="009D4627">
        <w:rPr>
          <w:rFonts w:eastAsia="Calibri"/>
          <w:bCs/>
          <w:szCs w:val="22"/>
          <w:lang w:val="en-MY"/>
        </w:rPr>
        <w:tab/>
      </w:r>
      <w:r w:rsidRPr="009D4627">
        <w:rPr>
          <w:rFonts w:eastAsia="Calibri"/>
          <w:bCs/>
          <w:szCs w:val="22"/>
          <w:lang w:val="en-MY"/>
        </w:rPr>
        <w:tab/>
        <w:t xml:space="preserve">   </w:t>
      </w:r>
      <w:proofErr w:type="gramStart"/>
      <w:r w:rsidR="00E147BE">
        <w:rPr>
          <w:rFonts w:eastAsia="Calibri"/>
          <w:bCs/>
          <w:szCs w:val="22"/>
          <w:lang w:val="en-MY"/>
        </w:rPr>
        <w:tab/>
      </w:r>
      <w:r w:rsidRPr="009D4627">
        <w:rPr>
          <w:rFonts w:eastAsia="Calibri"/>
          <w:bCs/>
          <w:szCs w:val="22"/>
          <w:lang w:val="en-MY"/>
        </w:rPr>
        <w:t xml:space="preserve">  6</w:t>
      </w:r>
      <w:proofErr w:type="gramEnd"/>
      <w:r w:rsidRPr="009D4627">
        <w:rPr>
          <w:rFonts w:eastAsia="Calibri"/>
          <w:bCs/>
          <w:szCs w:val="22"/>
          <w:lang w:val="en-MY"/>
        </w:rPr>
        <w:t>/9</w:t>
      </w:r>
      <w:r w:rsidRPr="009D4627">
        <w:rPr>
          <w:rFonts w:eastAsia="Calibri"/>
          <w:bCs/>
          <w:szCs w:val="22"/>
          <w:vertAlign w:val="superscript"/>
          <w:lang w:val="en-MY"/>
        </w:rPr>
        <w:t>-2</w:t>
      </w:r>
      <w:r w:rsidRPr="009D4627">
        <w:rPr>
          <w:rFonts w:eastAsia="Calibri"/>
          <w:bCs/>
          <w:szCs w:val="22"/>
          <w:lang w:val="en-MY"/>
        </w:rPr>
        <w:t xml:space="preserve"> </w:t>
      </w:r>
      <w:r w:rsidRPr="009D4627">
        <w:rPr>
          <w:rFonts w:eastAsia="Calibri"/>
          <w:bCs/>
          <w:szCs w:val="22"/>
          <w:lang w:val="en-MY"/>
        </w:rPr>
        <w:tab/>
      </w:r>
      <w:r w:rsidR="00E147BE">
        <w:rPr>
          <w:rFonts w:eastAsia="Calibri"/>
          <w:bCs/>
          <w:szCs w:val="22"/>
          <w:lang w:val="en-MY"/>
        </w:rPr>
        <w:tab/>
      </w:r>
      <w:r w:rsidRPr="009D4627">
        <w:rPr>
          <w:rFonts w:eastAsia="Calibri"/>
          <w:bCs/>
          <w:szCs w:val="22"/>
          <w:lang w:val="en-MY"/>
        </w:rPr>
        <w:t>Snellen equivalent</w:t>
      </w:r>
    </w:p>
    <w:p w14:paraId="235C7F18"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p>
    <w:p w14:paraId="2E847A36" w14:textId="77777777" w:rsidR="00CE6626" w:rsidRPr="009D4627" w:rsidRDefault="00CE6626" w:rsidP="00CE6626">
      <w:pPr>
        <w:spacing w:before="0" w:after="0" w:line="240" w:lineRule="auto"/>
        <w:rPr>
          <w:rFonts w:eastAsia="Calibri"/>
          <w:bCs/>
          <w:szCs w:val="22"/>
          <w:lang w:val="en-MY"/>
        </w:rPr>
      </w:pPr>
    </w:p>
    <w:p w14:paraId="2B512FD4"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 glasses </w:t>
      </w:r>
      <w:r w:rsidRPr="009D4627">
        <w:rPr>
          <w:rFonts w:eastAsia="Calibri"/>
          <w:bCs/>
          <w:szCs w:val="22"/>
          <w:lang w:val="en-MY"/>
        </w:rPr>
        <w:tab/>
        <w:t>1/3 m small right esotropia (RET) with diplopia</w:t>
      </w:r>
    </w:p>
    <w:p w14:paraId="64A4930F"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szCs w:val="22"/>
          <w:lang w:val="en-MY"/>
        </w:rPr>
        <w:t>6 m moderate RET with diplopia</w:t>
      </w:r>
    </w:p>
    <w:p w14:paraId="18AA8563"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Cs/>
          <w:szCs w:val="22"/>
          <w:lang w:val="en-MY"/>
        </w:rPr>
        <w:t xml:space="preserve">                        </w:t>
      </w:r>
    </w:p>
    <w:p w14:paraId="60CBDFC2" w14:textId="53B593D2" w:rsidR="00CE6626" w:rsidRPr="009D4627" w:rsidRDefault="00A2792E" w:rsidP="00CE6626">
      <w:pPr>
        <w:spacing w:before="0" w:after="0" w:line="240" w:lineRule="auto"/>
        <w:rPr>
          <w:rFonts w:eastAsia="Calibri"/>
          <w:bCs/>
          <w:szCs w:val="22"/>
          <w:lang w:val="en-MY"/>
        </w:rPr>
      </w:pPr>
      <w:r w:rsidRPr="009D4627">
        <w:rPr>
          <w:noProof/>
        </w:rPr>
        <mc:AlternateContent>
          <mc:Choice Requires="wpg">
            <w:drawing>
              <wp:anchor distT="0" distB="0" distL="114300" distR="114300" simplePos="0" relativeHeight="251703296" behindDoc="0" locked="0" layoutInCell="1" allowOverlap="1" wp14:anchorId="4DD3E5CA" wp14:editId="6B8BD0EC">
                <wp:simplePos x="0" y="0"/>
                <wp:positionH relativeFrom="column">
                  <wp:posOffset>685800</wp:posOffset>
                </wp:positionH>
                <wp:positionV relativeFrom="paragraph">
                  <wp:posOffset>140970</wp:posOffset>
                </wp:positionV>
                <wp:extent cx="3914775" cy="790575"/>
                <wp:effectExtent l="0" t="0" r="0" b="9525"/>
                <wp:wrapThrough wrapText="bothSides">
                  <wp:wrapPolygon edited="0">
                    <wp:start x="7042" y="0"/>
                    <wp:lineTo x="0" y="6766"/>
                    <wp:lineTo x="0" y="13012"/>
                    <wp:lineTo x="5781" y="16655"/>
                    <wp:lineTo x="5781" y="20819"/>
                    <wp:lineTo x="7673" y="21860"/>
                    <wp:lineTo x="15346" y="21860"/>
                    <wp:lineTo x="16923" y="21860"/>
                    <wp:lineTo x="17133" y="21860"/>
                    <wp:lineTo x="18289" y="17176"/>
                    <wp:lineTo x="18289" y="16655"/>
                    <wp:lineTo x="21547" y="13012"/>
                    <wp:lineTo x="21547" y="6766"/>
                    <wp:lineTo x="16923" y="0"/>
                    <wp:lineTo x="7042" y="0"/>
                  </wp:wrapPolygon>
                </wp:wrapThrough>
                <wp:docPr id="23227" name="Group 23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14775" cy="790575"/>
                          <a:chOff x="0" y="0"/>
                          <a:chExt cx="39147" cy="7905"/>
                        </a:xfrm>
                      </wpg:grpSpPr>
                      <wpg:grpSp>
                        <wpg:cNvPr id="23228" name="Group 21606"/>
                        <wpg:cNvGrpSpPr>
                          <a:grpSpLocks/>
                        </wpg:cNvGrpSpPr>
                        <wpg:grpSpPr bwMode="auto">
                          <a:xfrm>
                            <a:off x="0" y="0"/>
                            <a:ext cx="18014" cy="7715"/>
                            <a:chOff x="0" y="0"/>
                            <a:chExt cx="18014" cy="7715"/>
                          </a:xfrm>
                        </wpg:grpSpPr>
                        <wps:wsp>
                          <wps:cNvPr id="23229" name="Oval 21607"/>
                          <wps:cNvSpPr>
                            <a:spLocks noChangeArrowheads="1"/>
                          </wps:cNvSpPr>
                          <wps:spPr bwMode="auto">
                            <a:xfrm flipH="1">
                              <a:off x="10287" y="0"/>
                              <a:ext cx="7727" cy="7715"/>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g:cNvPr id="23230" name="Group 21608"/>
                          <wpg:cNvGrpSpPr>
                            <a:grpSpLocks/>
                          </wpg:cNvGrpSpPr>
                          <wpg:grpSpPr bwMode="auto">
                            <a:xfrm>
                              <a:off x="0" y="190"/>
                              <a:ext cx="13239" cy="7239"/>
                              <a:chOff x="0" y="190"/>
                              <a:chExt cx="13239" cy="7239"/>
                            </a:xfrm>
                          </wpg:grpSpPr>
                          <wpg:grpSp>
                            <wpg:cNvPr id="23231" name="Group 21609"/>
                            <wpg:cNvGrpSpPr>
                              <a:grpSpLocks/>
                            </wpg:cNvGrpSpPr>
                            <wpg:grpSpPr bwMode="auto">
                              <a:xfrm>
                                <a:off x="6762" y="190"/>
                                <a:ext cx="6477" cy="7239"/>
                                <a:chOff x="6762" y="190"/>
                                <a:chExt cx="6477" cy="7239"/>
                              </a:xfrm>
                            </wpg:grpSpPr>
                            <wps:wsp>
                              <wps:cNvPr id="23232" name="Rectangle 21610"/>
                              <wps:cNvSpPr>
                                <a:spLocks noChangeArrowheads="1"/>
                              </wps:cNvSpPr>
                              <wps:spPr bwMode="auto">
                                <a:xfrm>
                                  <a:off x="6762" y="2857"/>
                                  <a:ext cx="3048" cy="2000"/>
                                </a:xfrm>
                                <a:prstGeom prst="rect">
                                  <a:avLst/>
                                </a:prstGeom>
                                <a:noFill/>
                                <a:ln>
                                  <a:noFill/>
                                </a:ln>
                              </wps:spPr>
                              <wps:txbx>
                                <w:txbxContent>
                                  <w:p w14:paraId="5FCC6BAD" w14:textId="77777777" w:rsidR="00CE6626" w:rsidRDefault="00CE6626" w:rsidP="00CE6626">
                                    <w:pPr>
                                      <w:spacing w:before="0" w:after="0" w:line="240" w:lineRule="auto"/>
                                      <w:jc w:val="right"/>
                                      <w:rPr>
                                        <w:rFonts w:ascii="Calibri" w:hAnsi="Calibri" w:cs="Calibri"/>
                                        <w:sz w:val="20"/>
                                        <w:szCs w:val="20"/>
                                        <w:lang w:val="en-US"/>
                                      </w:rPr>
                                    </w:pPr>
                                    <w:r>
                                      <w:rPr>
                                        <w:rFonts w:ascii="Calibri" w:hAnsi="Calibri" w:cs="Calibri"/>
                                        <w:sz w:val="20"/>
                                        <w:szCs w:val="20"/>
                                        <w:lang w:val="en-US"/>
                                      </w:rPr>
                                      <w:t>-2 ½</w:t>
                                    </w:r>
                                  </w:p>
                                  <w:p w14:paraId="404BB9EB" w14:textId="77777777" w:rsidR="00CE6626" w:rsidRDefault="00CE6626" w:rsidP="00CE6626">
                                    <w:pPr>
                                      <w:spacing w:before="0" w:after="0" w:line="240" w:lineRule="auto"/>
                                      <w:jc w:val="right"/>
                                      <w:rPr>
                                        <w:rFonts w:ascii="Calibri" w:hAnsi="Calibri" w:cs="Calibri"/>
                                        <w:sz w:val="20"/>
                                        <w:szCs w:val="20"/>
                                        <w:lang w:val="en-US"/>
                                      </w:rPr>
                                    </w:pPr>
                                  </w:p>
                                </w:txbxContent>
                              </wps:txbx>
                              <wps:bodyPr rot="0" vert="horz" wrap="square" lIns="0" tIns="0" rIns="0" bIns="0" anchor="ctr" anchorCtr="0" upright="1">
                                <a:noAutofit/>
                              </wps:bodyPr>
                            </wps:wsp>
                            <wpg:grpSp>
                              <wpg:cNvPr id="23233" name="Group 21611"/>
                              <wpg:cNvGrpSpPr>
                                <a:grpSpLocks/>
                              </wpg:cNvGrpSpPr>
                              <wpg:grpSpPr bwMode="auto">
                                <a:xfrm>
                                  <a:off x="10477" y="190"/>
                                  <a:ext cx="2762" cy="7239"/>
                                  <a:chOff x="10477" y="190"/>
                                  <a:chExt cx="2762" cy="7239"/>
                                </a:xfrm>
                              </wpg:grpSpPr>
                              <wps:wsp>
                                <wps:cNvPr id="23234" name="Straight Connector 21612"/>
                                <wps:cNvCnPr>
                                  <a:cxnSpLocks noChangeShapeType="1"/>
                                </wps:cNvCnPr>
                                <wps:spPr bwMode="auto">
                                  <a:xfrm flipV="1">
                                    <a:off x="13049" y="190"/>
                                    <a:ext cx="44" cy="7239"/>
                                  </a:xfrm>
                                  <a:prstGeom prst="line">
                                    <a:avLst/>
                                  </a:prstGeom>
                                  <a:noFill/>
                                  <a:ln w="6350">
                                    <a:solidFill>
                                      <a:srgbClr val="000000"/>
                                    </a:solidFill>
                                    <a:miter lim="800000"/>
                                    <a:headEnd/>
                                    <a:tailEnd/>
                                  </a:ln>
                                </wps:spPr>
                                <wps:bodyPr/>
                              </wps:wsp>
                              <wpg:grpSp>
                                <wpg:cNvPr id="23235" name="Group 21613"/>
                                <wpg:cNvGrpSpPr>
                                  <a:grpSpLocks/>
                                </wpg:cNvGrpSpPr>
                                <wpg:grpSpPr bwMode="auto">
                                  <a:xfrm>
                                    <a:off x="10477" y="1333"/>
                                    <a:ext cx="2762" cy="4648"/>
                                    <a:chOff x="10477" y="1333"/>
                                    <a:chExt cx="2392" cy="4648"/>
                                  </a:xfrm>
                                </wpg:grpSpPr>
                                <wpg:grpSp>
                                  <wpg:cNvPr id="23236" name="Group 21614"/>
                                  <wpg:cNvGrpSpPr>
                                    <a:grpSpLocks/>
                                  </wpg:cNvGrpSpPr>
                                  <wpg:grpSpPr bwMode="auto">
                                    <a:xfrm>
                                      <a:off x="10477" y="2095"/>
                                      <a:ext cx="2393" cy="3886"/>
                                      <a:chOff x="10477" y="2095"/>
                                      <a:chExt cx="2392" cy="3886"/>
                                    </a:xfrm>
                                  </wpg:grpSpPr>
                                  <wps:wsp>
                                    <wps:cNvPr id="23237" name="Straight Connector 21615"/>
                                    <wps:cNvCnPr>
                                      <a:cxnSpLocks noChangeShapeType="1"/>
                                    </wps:cNvCnPr>
                                    <wps:spPr bwMode="auto">
                                      <a:xfrm flipH="1" flipV="1">
                                        <a:off x="10477" y="3333"/>
                                        <a:ext cx="2393" cy="1693"/>
                                      </a:xfrm>
                                      <a:prstGeom prst="line">
                                        <a:avLst/>
                                      </a:prstGeom>
                                      <a:noFill/>
                                      <a:ln w="19050">
                                        <a:solidFill>
                                          <a:srgbClr val="000000"/>
                                        </a:solidFill>
                                        <a:miter lim="800000"/>
                                        <a:headEnd/>
                                        <a:tailEnd/>
                                      </a:ln>
                                    </wps:spPr>
                                    <wps:bodyPr/>
                                  </wps:wsp>
                                  <wps:wsp>
                                    <wps:cNvPr id="23238" name="Straight Connector 21616"/>
                                    <wps:cNvCnPr>
                                      <a:cxnSpLocks noChangeShapeType="1"/>
                                    </wps:cNvCnPr>
                                    <wps:spPr bwMode="auto">
                                      <a:xfrm flipH="1" flipV="1">
                                        <a:off x="10762" y="2095"/>
                                        <a:ext cx="1923" cy="1238"/>
                                      </a:xfrm>
                                      <a:prstGeom prst="line">
                                        <a:avLst/>
                                      </a:prstGeom>
                                      <a:noFill/>
                                      <a:ln w="19050">
                                        <a:solidFill>
                                          <a:srgbClr val="000000"/>
                                        </a:solidFill>
                                        <a:miter lim="800000"/>
                                        <a:headEnd/>
                                        <a:tailEnd/>
                                      </a:ln>
                                    </wps:spPr>
                                    <wps:bodyPr/>
                                  </wps:wsp>
                                  <wps:wsp>
                                    <wps:cNvPr id="23239" name="Straight Connector 21617"/>
                                    <wps:cNvCnPr>
                                      <a:cxnSpLocks noChangeShapeType="1"/>
                                    </wps:cNvCnPr>
                                    <wps:spPr bwMode="auto">
                                      <a:xfrm flipH="1" flipV="1">
                                        <a:off x="10668" y="4667"/>
                                        <a:ext cx="2022" cy="1314"/>
                                      </a:xfrm>
                                      <a:prstGeom prst="line">
                                        <a:avLst/>
                                      </a:prstGeom>
                                      <a:noFill/>
                                      <a:ln w="19050">
                                        <a:solidFill>
                                          <a:srgbClr val="000000"/>
                                        </a:solidFill>
                                        <a:miter lim="800000"/>
                                        <a:headEnd/>
                                        <a:tailEnd/>
                                      </a:ln>
                                    </wps:spPr>
                                    <wps:bodyPr/>
                                  </wps:wsp>
                                </wpg:grpSp>
                                <wps:wsp>
                                  <wps:cNvPr id="23240" name="Straight Connector 21618"/>
                                  <wps:cNvCnPr>
                                    <a:cxnSpLocks noChangeShapeType="1"/>
                                  </wps:cNvCnPr>
                                  <wps:spPr bwMode="auto">
                                    <a:xfrm flipH="1" flipV="1">
                                      <a:off x="11525" y="1333"/>
                                      <a:ext cx="1340" cy="889"/>
                                    </a:xfrm>
                                    <a:prstGeom prst="line">
                                      <a:avLst/>
                                    </a:prstGeom>
                                    <a:noFill/>
                                    <a:ln w="19050">
                                      <a:solidFill>
                                        <a:srgbClr val="000000"/>
                                      </a:solidFill>
                                      <a:miter lim="800000"/>
                                      <a:headEnd/>
                                      <a:tailEnd/>
                                    </a:ln>
                                  </wps:spPr>
                                  <wps:bodyPr/>
                                </wps:wsp>
                              </wpg:grpSp>
                            </wpg:grpSp>
                          </wpg:grpSp>
                          <wps:wsp>
                            <wps:cNvPr id="23241" name="Rectangle 21619"/>
                            <wps:cNvSpPr>
                              <a:spLocks noChangeArrowheads="1"/>
                            </wps:cNvSpPr>
                            <wps:spPr bwMode="auto">
                              <a:xfrm>
                                <a:off x="0" y="2762"/>
                                <a:ext cx="7239" cy="1810"/>
                              </a:xfrm>
                              <a:prstGeom prst="rect">
                                <a:avLst/>
                              </a:prstGeom>
                              <a:noFill/>
                              <a:ln>
                                <a:noFill/>
                              </a:ln>
                            </wps:spPr>
                            <wps:txbx>
                              <w:txbxContent>
                                <w:p w14:paraId="34283FB1" w14:textId="77777777" w:rsidR="00CE6626" w:rsidRDefault="00CE6626" w:rsidP="00CE6626">
                                  <w:pPr>
                                    <w:jc w:val="right"/>
                                    <w:rPr>
                                      <w:rFonts w:ascii="Calibri" w:hAnsi="Calibri" w:cs="Calibri"/>
                                      <w:sz w:val="20"/>
                                      <w:szCs w:val="20"/>
                                      <w:lang w:val="en-US"/>
                                    </w:rPr>
                                  </w:pPr>
                                  <w:r>
                                    <w:rPr>
                                      <w:rFonts w:ascii="Calibri" w:hAnsi="Calibri" w:cs="Calibri"/>
                                      <w:sz w:val="20"/>
                                      <w:szCs w:val="20"/>
                                      <w:lang w:val="en-US"/>
                                    </w:rPr>
                                    <w:t>(35-40</w:t>
                                  </w:r>
                                  <w:r>
                                    <w:rPr>
                                      <w:sz w:val="20"/>
                                      <w:szCs w:val="20"/>
                                      <w:lang w:val="en-US"/>
                                    </w:rPr>
                                    <w:t xml:space="preserve">Δ </w:t>
                                  </w:r>
                                  <w:r>
                                    <w:rPr>
                                      <w:rFonts w:ascii="Calibri" w:hAnsi="Calibri" w:cs="Calibri"/>
                                      <w:sz w:val="20"/>
                                      <w:szCs w:val="20"/>
                                      <w:lang w:val="en-US"/>
                                    </w:rPr>
                                    <w:t>ET)</w:t>
                                  </w:r>
                                </w:p>
                                <w:p w14:paraId="0720428B"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g:grpSp>
                      <wpg:grpSp>
                        <wpg:cNvPr id="23242" name="Group 21620"/>
                        <wpg:cNvGrpSpPr>
                          <a:grpSpLocks/>
                        </wpg:cNvGrpSpPr>
                        <wpg:grpSpPr bwMode="auto">
                          <a:xfrm>
                            <a:off x="17240" y="95"/>
                            <a:ext cx="21907" cy="7810"/>
                            <a:chOff x="17240" y="95"/>
                            <a:chExt cx="21907" cy="7810"/>
                          </a:xfrm>
                        </wpg:grpSpPr>
                        <wps:wsp>
                          <wps:cNvPr id="23243" name="Rectangle 21621"/>
                          <wps:cNvSpPr>
                            <a:spLocks noChangeArrowheads="1"/>
                          </wps:cNvSpPr>
                          <wps:spPr bwMode="auto">
                            <a:xfrm>
                              <a:off x="17240" y="2857"/>
                              <a:ext cx="7236" cy="1810"/>
                            </a:xfrm>
                            <a:prstGeom prst="rect">
                              <a:avLst/>
                            </a:prstGeom>
                            <a:noFill/>
                            <a:ln>
                              <a:noFill/>
                            </a:ln>
                          </wps:spPr>
                          <wps:txbx>
                            <w:txbxContent>
                              <w:p w14:paraId="7BA58EC8" w14:textId="77777777" w:rsidR="00CE6626" w:rsidRDefault="00CE6626" w:rsidP="00CE6626">
                                <w:pPr>
                                  <w:spacing w:before="0" w:after="0" w:line="240" w:lineRule="auto"/>
                                  <w:jc w:val="right"/>
                                  <w:rPr>
                                    <w:rFonts w:ascii="Calibri" w:hAnsi="Calibri" w:cs="Calibri"/>
                                    <w:sz w:val="20"/>
                                    <w:szCs w:val="20"/>
                                    <w:lang w:val="en-US"/>
                                  </w:rPr>
                                </w:pPr>
                                <w:r>
                                  <w:rPr>
                                    <w:rFonts w:ascii="Calibri" w:hAnsi="Calibri" w:cs="Calibri"/>
                                    <w:sz w:val="20"/>
                                    <w:szCs w:val="20"/>
                                    <w:lang w:val="en-US"/>
                                  </w:rPr>
                                  <w:t>20-25</w:t>
                                </w:r>
                                <w:r w:rsidRPr="00951418">
                                  <w:rPr>
                                    <w:sz w:val="20"/>
                                    <w:szCs w:val="20"/>
                                    <w:vertAlign w:val="superscript"/>
                                    <w:lang w:val="en-US"/>
                                  </w:rPr>
                                  <w:t>Δ</w:t>
                                </w:r>
                                <w:r>
                                  <w:rPr>
                                    <w:sz w:val="20"/>
                                    <w:szCs w:val="20"/>
                                    <w:lang w:val="en-US"/>
                                  </w:rPr>
                                  <w:t xml:space="preserve"> </w:t>
                                </w:r>
                                <w:r>
                                  <w:rPr>
                                    <w:rFonts w:ascii="Calibri" w:hAnsi="Calibri" w:cs="Calibri"/>
                                    <w:sz w:val="20"/>
                                    <w:szCs w:val="20"/>
                                    <w:lang w:val="en-US"/>
                                  </w:rPr>
                                  <w:t>ET</w:t>
                                </w:r>
                              </w:p>
                              <w:p w14:paraId="19638904" w14:textId="77777777" w:rsidR="00CE6626" w:rsidRDefault="00CE6626" w:rsidP="00CE6626">
                                <w:pPr>
                                  <w:spacing w:before="0" w:after="0" w:line="240" w:lineRule="auto"/>
                                  <w:jc w:val="right"/>
                                  <w:rPr>
                                    <w:rFonts w:ascii="Calibri" w:hAnsi="Calibri" w:cs="Calibri"/>
                                    <w:sz w:val="20"/>
                                    <w:szCs w:val="20"/>
                                    <w:lang w:val="en-US"/>
                                  </w:rPr>
                                </w:pPr>
                              </w:p>
                            </w:txbxContent>
                          </wps:txbx>
                          <wps:bodyPr rot="0" vert="horz" wrap="square" lIns="0" tIns="0" rIns="0" bIns="0" anchor="ctr" anchorCtr="0" upright="1">
                            <a:noAutofit/>
                          </wps:bodyPr>
                        </wps:wsp>
                        <wpg:grpSp>
                          <wpg:cNvPr id="23244" name="Group 21622"/>
                          <wpg:cNvGrpSpPr>
                            <a:grpSpLocks/>
                          </wpg:cNvGrpSpPr>
                          <wpg:grpSpPr bwMode="auto">
                            <a:xfrm>
                              <a:off x="25431" y="95"/>
                              <a:ext cx="13716" cy="7810"/>
                              <a:chOff x="25431" y="95"/>
                              <a:chExt cx="13716" cy="7810"/>
                            </a:xfrm>
                          </wpg:grpSpPr>
                          <wps:wsp>
                            <wps:cNvPr id="23245" name="Oval 21623"/>
                            <wps:cNvSpPr>
                              <a:spLocks noChangeArrowheads="1"/>
                            </wps:cNvSpPr>
                            <wps:spPr bwMode="auto">
                              <a:xfrm flipH="1">
                                <a:off x="25431" y="95"/>
                                <a:ext cx="7722" cy="7810"/>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246" name="Rectangle 21624"/>
                            <wps:cNvSpPr>
                              <a:spLocks noChangeArrowheads="1"/>
                            </wps:cNvSpPr>
                            <wps:spPr bwMode="auto">
                              <a:xfrm>
                                <a:off x="33623" y="2762"/>
                                <a:ext cx="5524" cy="2000"/>
                              </a:xfrm>
                              <a:prstGeom prst="rect">
                                <a:avLst/>
                              </a:prstGeom>
                              <a:noFill/>
                              <a:ln>
                                <a:noFill/>
                              </a:ln>
                            </wps:spPr>
                            <wps:txbx>
                              <w:txbxContent>
                                <w:p w14:paraId="1A8C29C2"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12</w:t>
                                  </w:r>
                                  <w:r w:rsidRPr="00951418">
                                    <w:rPr>
                                      <w:sz w:val="20"/>
                                      <w:szCs w:val="20"/>
                                      <w:vertAlign w:val="superscript"/>
                                      <w:lang w:val="en-US"/>
                                    </w:rPr>
                                    <w:t>Δ</w:t>
                                  </w:r>
                                  <w:r>
                                    <w:rPr>
                                      <w:sz w:val="20"/>
                                      <w:szCs w:val="20"/>
                                      <w:lang w:val="en-US"/>
                                    </w:rPr>
                                    <w:t xml:space="preserve"> </w:t>
                                  </w:r>
                                  <w:r>
                                    <w:rPr>
                                      <w:rFonts w:ascii="Calibri" w:hAnsi="Calibri" w:cs="Calibri"/>
                                      <w:sz w:val="20"/>
                                      <w:szCs w:val="20"/>
                                      <w:lang w:val="en-US"/>
                                    </w:rPr>
                                    <w:t>ET</w:t>
                                  </w:r>
                                </w:p>
                                <w:p w14:paraId="0E2AC003" w14:textId="77777777" w:rsidR="00CE6626" w:rsidRDefault="00CE6626" w:rsidP="00CE6626">
                                  <w:pPr>
                                    <w:jc w:val="left"/>
                                    <w:rPr>
                                      <w:rFonts w:ascii="Calibri" w:hAnsi="Calibri" w:cs="Calibri"/>
                                      <w:sz w:val="20"/>
                                      <w:szCs w:val="20"/>
                                      <w:lang w:val="en-US"/>
                                    </w:rPr>
                                  </w:pPr>
                                </w:p>
                              </w:txbxContent>
                            </wps:txbx>
                            <wps:bodyPr rot="0" vert="horz" wrap="square" lIns="0" tIns="0" rIns="0" bIns="0"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DD3E5CA" id="Group 23227" o:spid="_x0000_s2165" style="position:absolute;left:0;text-align:left;margin-left:54pt;margin-top:11.1pt;width:308.25pt;height:62.25pt;z-index:251703296;mso-position-horizontal-relative:text;mso-position-vertical-relative:text" coordsize="39147,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">
                <v:group id="Group 21606" o:spid="_x0000_s2166" style="position:absolute;width:18014;height:7715" coordsize="18014,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">
                  <v:oval id="Oval 21607" o:spid="_x0000_s2167" style="position:absolute;left:10287;width:7727;height:7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" filled="f" strokeweight="1pt">
                    <v:stroke joinstyle="miter"/>
                  </v:oval>
                  <v:group id="Group 21608" o:spid="_x0000_s2168" style="position:absolute;top:190;width:13239;height:7239" coordorigin=",190" coordsize="13239,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">
                    <v:group id="Group 21609" o:spid="_x0000_s2169" style="position:absolute;left:6762;top:190;width:6477;height:7239" coordorigin="6762,190" coordsize="6477,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">
                      <v:rect id="Rectangle 21610" o:spid="_x0000_s2170" style="position:absolute;left:6762;top:2857;width:3048;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" filled="f" stroked="f">
                        <v:textbox inset="0,0,0,0">
                          <w:txbxContent>
                            <w:p w14:paraId="5FCC6BAD" w14:textId="77777777" w:rsidR="00CE6626" w:rsidRDefault="00CE6626" w:rsidP="00CE6626">
                              <w:pPr>
                                <w:spacing w:before="0" w:after="0" w:line="240" w:lineRule="auto"/>
                                <w:jc w:val="right"/>
                                <w:rPr>
                                  <w:rFonts w:ascii="Calibri" w:hAnsi="Calibri" w:cs="Calibri"/>
                                  <w:sz w:val="20"/>
                                  <w:szCs w:val="20"/>
                                  <w:lang w:val="en-US"/>
                                </w:rPr>
                              </w:pPr>
                              <w:r>
                                <w:rPr>
                                  <w:rFonts w:ascii="Calibri" w:hAnsi="Calibri" w:cs="Calibri"/>
                                  <w:sz w:val="20"/>
                                  <w:szCs w:val="20"/>
                                  <w:lang w:val="en-US"/>
                                </w:rPr>
                                <w:t>-2 ½</w:t>
                              </w:r>
                            </w:p>
                            <w:p w14:paraId="404BB9EB" w14:textId="77777777" w:rsidR="00CE6626" w:rsidRDefault="00CE6626" w:rsidP="00CE6626">
                              <w:pPr>
                                <w:spacing w:before="0" w:after="0" w:line="240" w:lineRule="auto"/>
                                <w:jc w:val="right"/>
                                <w:rPr>
                                  <w:rFonts w:ascii="Calibri" w:hAnsi="Calibri" w:cs="Calibri"/>
                                  <w:sz w:val="20"/>
                                  <w:szCs w:val="20"/>
                                  <w:lang w:val="en-US"/>
                                </w:rPr>
                              </w:pPr>
                            </w:p>
                          </w:txbxContent>
                        </v:textbox>
                      </v:rect>
                      <v:group id="Group 21611" o:spid="_x0000_s2171" style="position:absolute;left:10477;top:190;width:2762;height:7239" coordorigin="10477,190" coordsize="276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">
                        <v:line id="Straight Connector 21612" o:spid="_x0000_s2172" style="position:absolute;flip:y;visibility:visible;mso-wrap-style:square" from="13049,190" to="13093,7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" strokeweight=".5pt">
                          <v:stroke joinstyle="miter"/>
                        </v:line>
                        <v:group id="Group 21613" o:spid="_x0000_s2173" style="position:absolute;left:10477;top:1333;width:2762;height:4648" coordorigin="10477,1333" coordsize="239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">
                          <v:group id="Group 21614" o:spid="_x0000_s2174" style="position:absolute;left:10477;top:2095;width:2393;height:3886" coordorigin="10477,2095" coordsize="2392,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">
                            <v:line id="Straight Connector 21615" o:spid="_x0000_s2175" style="position:absolute;flip:x y;visibility:visible;mso-wrap-style:square" from="10477,3333" to="12870,5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" strokeweight="1.5pt">
                              <v:stroke joinstyle="miter"/>
                            </v:line>
                            <v:line id="Straight Connector 21616" o:spid="_x0000_s2176" style="position:absolute;flip:x y;visibility:visible;mso-wrap-style:square" from="10762,2095" to="1268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" strokeweight="1.5pt">
                              <v:stroke joinstyle="miter"/>
                            </v:line>
                            <v:line id="Straight Connector 21617" o:spid="_x0000_s2177" style="position:absolute;flip:x y;visibility:visible;mso-wrap-style:square" from="10668,4667" to="12690,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" strokeweight="1.5pt">
                              <v:stroke joinstyle="miter"/>
                            </v:line>
                          </v:group>
                          <v:line id="Straight Connector 21618" o:spid="_x0000_s2178" style="position:absolute;flip:x y;visibility:visible;mso-wrap-style:square" from="11525,1333" to="12865,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" strokeweight="1.5pt">
                            <v:stroke joinstyle="miter"/>
                          </v:line>
                        </v:group>
                      </v:group>
                    </v:group>
                    <v:rect id="Rectangle 21619" o:spid="_x0000_s2179" style="position:absolute;top:2762;width:7239;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" filled="f" stroked="f">
                      <v:textbox inset="0,0,0,0">
                        <w:txbxContent>
                          <w:p w14:paraId="34283FB1" w14:textId="77777777" w:rsidR="00CE6626" w:rsidRDefault="00CE6626" w:rsidP="00CE6626">
                            <w:pPr>
                              <w:jc w:val="right"/>
                              <w:rPr>
                                <w:rFonts w:ascii="Calibri" w:hAnsi="Calibri" w:cs="Calibri"/>
                                <w:sz w:val="20"/>
                                <w:szCs w:val="20"/>
                                <w:lang w:val="en-US"/>
                              </w:rPr>
                            </w:pPr>
                            <w:r>
                              <w:rPr>
                                <w:rFonts w:ascii="Calibri" w:hAnsi="Calibri" w:cs="Calibri"/>
                                <w:sz w:val="20"/>
                                <w:szCs w:val="20"/>
                                <w:lang w:val="en-US"/>
                              </w:rPr>
                              <w:t>(35-40</w:t>
                            </w:r>
                            <w:r>
                              <w:rPr>
                                <w:sz w:val="20"/>
                                <w:szCs w:val="20"/>
                                <w:lang w:val="en-US"/>
                              </w:rPr>
                              <w:t xml:space="preserve">Δ </w:t>
                            </w:r>
                            <w:r>
                              <w:rPr>
                                <w:rFonts w:ascii="Calibri" w:hAnsi="Calibri" w:cs="Calibri"/>
                                <w:sz w:val="20"/>
                                <w:szCs w:val="20"/>
                                <w:lang w:val="en-US"/>
                              </w:rPr>
                              <w:t>ET)</w:t>
                            </w:r>
                          </w:p>
                          <w:p w14:paraId="0720428B" w14:textId="77777777" w:rsidR="00CE6626" w:rsidRDefault="00CE6626" w:rsidP="00CE6626">
                            <w:pPr>
                              <w:jc w:val="right"/>
                              <w:rPr>
                                <w:rFonts w:ascii="Calibri" w:hAnsi="Calibri" w:cs="Calibri"/>
                                <w:sz w:val="20"/>
                                <w:szCs w:val="20"/>
                                <w:lang w:val="en-US"/>
                              </w:rPr>
                            </w:pPr>
                          </w:p>
                        </w:txbxContent>
                      </v:textbox>
                    </v:rect>
                  </v:group>
                </v:group>
                <v:group id="Group 21620" o:spid="_x0000_s2180" style="position:absolute;left:17240;top:95;width:21907;height:7810" coordorigin="17240,95" coordsize="21907,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">
                  <v:rect id="Rectangle 21621" o:spid="_x0000_s2181" style="position:absolute;left:17240;top:2857;width:7236;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" filled="f" stroked="f">
                    <v:textbox inset="0,0,0,0">
                      <w:txbxContent>
                        <w:p w14:paraId="7BA58EC8" w14:textId="77777777" w:rsidR="00CE6626" w:rsidRDefault="00CE6626" w:rsidP="00CE6626">
                          <w:pPr>
                            <w:spacing w:before="0" w:after="0" w:line="240" w:lineRule="auto"/>
                            <w:jc w:val="right"/>
                            <w:rPr>
                              <w:rFonts w:ascii="Calibri" w:hAnsi="Calibri" w:cs="Calibri"/>
                              <w:sz w:val="20"/>
                              <w:szCs w:val="20"/>
                              <w:lang w:val="en-US"/>
                            </w:rPr>
                          </w:pPr>
                          <w:r>
                            <w:rPr>
                              <w:rFonts w:ascii="Calibri" w:hAnsi="Calibri" w:cs="Calibri"/>
                              <w:sz w:val="20"/>
                              <w:szCs w:val="20"/>
                              <w:lang w:val="en-US"/>
                            </w:rPr>
                            <w:t>20-25</w:t>
                          </w:r>
                          <w:r w:rsidRPr="00951418">
                            <w:rPr>
                              <w:sz w:val="20"/>
                              <w:szCs w:val="20"/>
                              <w:vertAlign w:val="superscript"/>
                              <w:lang w:val="en-US"/>
                            </w:rPr>
                            <w:t>Δ</w:t>
                          </w:r>
                          <w:r>
                            <w:rPr>
                              <w:sz w:val="20"/>
                              <w:szCs w:val="20"/>
                              <w:lang w:val="en-US"/>
                            </w:rPr>
                            <w:t xml:space="preserve"> </w:t>
                          </w:r>
                          <w:r>
                            <w:rPr>
                              <w:rFonts w:ascii="Calibri" w:hAnsi="Calibri" w:cs="Calibri"/>
                              <w:sz w:val="20"/>
                              <w:szCs w:val="20"/>
                              <w:lang w:val="en-US"/>
                            </w:rPr>
                            <w:t>ET</w:t>
                          </w:r>
                        </w:p>
                        <w:p w14:paraId="19638904" w14:textId="77777777" w:rsidR="00CE6626" w:rsidRDefault="00CE6626" w:rsidP="00CE6626">
                          <w:pPr>
                            <w:spacing w:before="0" w:after="0" w:line="240" w:lineRule="auto"/>
                            <w:jc w:val="right"/>
                            <w:rPr>
                              <w:rFonts w:ascii="Calibri" w:hAnsi="Calibri" w:cs="Calibri"/>
                              <w:sz w:val="20"/>
                              <w:szCs w:val="20"/>
                              <w:lang w:val="en-US"/>
                            </w:rPr>
                          </w:pPr>
                        </w:p>
                      </w:txbxContent>
                    </v:textbox>
                  </v:rect>
                  <v:group id="Group 21622" o:spid="_x0000_s2182" style="position:absolute;left:25431;top:95;width:13716;height:7810" coordorigin="25431,95" coordsize="13716,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">
                    <v:oval id="Oval 21623" o:spid="_x0000_s2183" style="position:absolute;left:25431;top:95;width:7722;height:78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" filled="f" strokeweight="1pt">
                      <v:stroke joinstyle="miter"/>
                    </v:oval>
                    <v:rect id="Rectangle 21624" o:spid="_x0000_s2184" style="position:absolute;left:33623;top:2762;width:552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" filled="f" stroked="f">
                      <v:textbox inset="0,0,0,0">
                        <w:txbxContent>
                          <w:p w14:paraId="1A8C29C2" w14:textId="77777777" w:rsidR="00CE6626" w:rsidRDefault="00CE6626" w:rsidP="00CE6626">
                            <w:pPr>
                              <w:spacing w:before="0" w:after="0" w:line="240" w:lineRule="auto"/>
                              <w:jc w:val="left"/>
                              <w:rPr>
                                <w:rFonts w:ascii="Calibri" w:hAnsi="Calibri" w:cs="Calibri"/>
                                <w:sz w:val="20"/>
                                <w:szCs w:val="20"/>
                                <w:lang w:val="en-US"/>
                              </w:rPr>
                            </w:pPr>
                            <w:r>
                              <w:rPr>
                                <w:rFonts w:ascii="Calibri" w:hAnsi="Calibri" w:cs="Calibri"/>
                                <w:sz w:val="20"/>
                                <w:szCs w:val="20"/>
                                <w:lang w:val="en-US"/>
                              </w:rPr>
                              <w:t>12</w:t>
                            </w:r>
                            <w:r w:rsidRPr="00951418">
                              <w:rPr>
                                <w:sz w:val="20"/>
                                <w:szCs w:val="20"/>
                                <w:vertAlign w:val="superscript"/>
                                <w:lang w:val="en-US"/>
                              </w:rPr>
                              <w:t>Δ</w:t>
                            </w:r>
                            <w:r>
                              <w:rPr>
                                <w:sz w:val="20"/>
                                <w:szCs w:val="20"/>
                                <w:lang w:val="en-US"/>
                              </w:rPr>
                              <w:t xml:space="preserve"> </w:t>
                            </w:r>
                            <w:r>
                              <w:rPr>
                                <w:rFonts w:ascii="Calibri" w:hAnsi="Calibri" w:cs="Calibri"/>
                                <w:sz w:val="20"/>
                                <w:szCs w:val="20"/>
                                <w:lang w:val="en-US"/>
                              </w:rPr>
                              <w:t>ET</w:t>
                            </w:r>
                          </w:p>
                          <w:p w14:paraId="0E2AC003" w14:textId="77777777" w:rsidR="00CE6626" w:rsidRDefault="00CE6626" w:rsidP="00CE6626">
                            <w:pPr>
                              <w:jc w:val="left"/>
                              <w:rPr>
                                <w:rFonts w:ascii="Calibri" w:hAnsi="Calibri" w:cs="Calibri"/>
                                <w:sz w:val="20"/>
                                <w:szCs w:val="20"/>
                                <w:lang w:val="en-US"/>
                              </w:rPr>
                            </w:pPr>
                          </w:p>
                        </w:txbxContent>
                      </v:textbox>
                    </v:rect>
                  </v:group>
                </v:group>
                <w10:wrap type="through"/>
              </v:group>
            </w:pict>
          </mc:Fallback>
        </mc:AlternateContent>
      </w:r>
      <w:r w:rsidR="00CE6626" w:rsidRPr="009D4627">
        <w:rPr>
          <w:rFonts w:eastAsia="Calibri"/>
          <w:b/>
          <w:szCs w:val="22"/>
          <w:lang w:val="en-MY"/>
        </w:rPr>
        <w:t>OMT:</w:t>
      </w:r>
    </w:p>
    <w:p w14:paraId="0854098B" w14:textId="77777777" w:rsidR="00CE6626" w:rsidRPr="009D4627" w:rsidRDefault="00CE6626" w:rsidP="00CE6626">
      <w:pPr>
        <w:spacing w:before="0" w:line="240" w:lineRule="auto"/>
        <w:rPr>
          <w:rFonts w:eastAsia="Calibri"/>
          <w:bCs/>
          <w:szCs w:val="22"/>
          <w:lang w:val="en-MY"/>
        </w:rPr>
      </w:pPr>
    </w:p>
    <w:p w14:paraId="1AFEDAD6" w14:textId="77777777" w:rsidR="00CE6626" w:rsidRPr="009D4627" w:rsidRDefault="00CE6626" w:rsidP="00CE6626">
      <w:pPr>
        <w:spacing w:before="0" w:after="0" w:line="240" w:lineRule="auto"/>
        <w:rPr>
          <w:rFonts w:eastAsia="Calibri"/>
          <w:bCs/>
          <w:szCs w:val="22"/>
          <w:lang w:val="en-MY"/>
        </w:rPr>
      </w:pPr>
    </w:p>
    <w:p w14:paraId="3E1E0634" w14:textId="77777777" w:rsidR="00CE6626" w:rsidRPr="009D4627" w:rsidRDefault="00CE6626" w:rsidP="00CE6626">
      <w:pPr>
        <w:spacing w:before="0" w:after="0" w:line="240" w:lineRule="auto"/>
        <w:rPr>
          <w:rFonts w:eastAsia="Calibri"/>
          <w:b/>
          <w:szCs w:val="22"/>
          <w:lang w:val="en-MY"/>
        </w:rPr>
      </w:pPr>
    </w:p>
    <w:p w14:paraId="20E0D727" w14:textId="77777777" w:rsidR="00CE6626" w:rsidRPr="009D4627" w:rsidRDefault="00CE6626" w:rsidP="00CE6626">
      <w:pPr>
        <w:spacing w:before="0" w:after="0" w:line="240" w:lineRule="auto"/>
        <w:rPr>
          <w:rFonts w:eastAsia="Calibri"/>
          <w:b/>
          <w:szCs w:val="22"/>
          <w:lang w:val="en-MY"/>
        </w:rPr>
      </w:pPr>
    </w:p>
    <w:p w14:paraId="6CAAB9F9" w14:textId="77777777" w:rsidR="00CE6626" w:rsidRPr="009D4627" w:rsidRDefault="00CE6626" w:rsidP="00CE6626">
      <w:pPr>
        <w:spacing w:before="0" w:after="0" w:line="240" w:lineRule="auto"/>
        <w:rPr>
          <w:rFonts w:eastAsia="Calibri"/>
          <w:b/>
          <w:szCs w:val="22"/>
          <w:lang w:val="en-MY"/>
        </w:rPr>
      </w:pPr>
    </w:p>
    <w:p w14:paraId="6CAD783F"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PCT:</w:t>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Cs/>
          <w:szCs w:val="22"/>
          <w:lang w:val="en-MY"/>
        </w:rPr>
        <w:t xml:space="preserve">with glasses </w:t>
      </w:r>
      <w:r w:rsidRPr="009D4627">
        <w:rPr>
          <w:rFonts w:eastAsia="Calibri"/>
          <w:bCs/>
          <w:szCs w:val="22"/>
          <w:lang w:val="en-MY"/>
        </w:rPr>
        <w:tab/>
        <w:t>1/3 m 3</w:t>
      </w:r>
      <w:r w:rsidRPr="009D4627">
        <w:rPr>
          <w:rFonts w:eastAsia="Calibri"/>
          <w:bCs/>
          <w:szCs w:val="22"/>
          <w:vertAlign w:val="superscript"/>
          <w:lang w:val="en-MY"/>
        </w:rPr>
        <w:t xml:space="preserve">Δ </w:t>
      </w:r>
      <w:r w:rsidRPr="009D4627">
        <w:rPr>
          <w:rFonts w:eastAsia="Calibri"/>
          <w:bCs/>
          <w:szCs w:val="22"/>
          <w:lang w:val="en-MY"/>
        </w:rPr>
        <w:t xml:space="preserve">RE(T) </w:t>
      </w:r>
    </w:p>
    <w:p w14:paraId="55EAED37"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6 m 20-25</w:t>
      </w:r>
      <w:r w:rsidRPr="009D4627">
        <w:rPr>
          <w:rFonts w:eastAsia="Calibri"/>
          <w:bCs/>
          <w:szCs w:val="22"/>
          <w:vertAlign w:val="superscript"/>
          <w:lang w:val="en-MY"/>
        </w:rPr>
        <w:t>Δ</w:t>
      </w:r>
      <w:r w:rsidRPr="009D4627">
        <w:rPr>
          <w:rFonts w:eastAsia="Calibri"/>
          <w:bCs/>
          <w:szCs w:val="22"/>
          <w:lang w:val="en-MY"/>
        </w:rPr>
        <w:t xml:space="preserve"> RET               </w:t>
      </w:r>
    </w:p>
    <w:p w14:paraId="309B3936" w14:textId="77777777" w:rsidR="00CE6626" w:rsidRPr="009D4627" w:rsidRDefault="00CE6626" w:rsidP="00CE6626">
      <w:pPr>
        <w:spacing w:before="0" w:line="240" w:lineRule="auto"/>
        <w:ind w:left="1440" w:firstLine="720"/>
        <w:rPr>
          <w:rFonts w:eastAsia="Calibri"/>
          <w:szCs w:val="22"/>
          <w:lang w:val="en-MY"/>
        </w:rPr>
      </w:pPr>
      <w:r w:rsidRPr="009D4627">
        <w:rPr>
          <w:rFonts w:eastAsia="Calibri"/>
          <w:szCs w:val="22"/>
          <w:lang w:val="en-MY"/>
        </w:rPr>
        <w:t>Diplopia joined with 25</w:t>
      </w:r>
      <w:r w:rsidRPr="009D4627">
        <w:rPr>
          <w:rFonts w:eastAsia="Calibri"/>
          <w:szCs w:val="22"/>
          <w:vertAlign w:val="superscript"/>
          <w:lang w:val="en-MY"/>
        </w:rPr>
        <w:t>Δ</w:t>
      </w:r>
      <w:r w:rsidRPr="009D4627">
        <w:rPr>
          <w:rFonts w:eastAsia="Calibri"/>
          <w:szCs w:val="22"/>
          <w:lang w:val="en-MY"/>
        </w:rPr>
        <w:t xml:space="preserve"> over the RE.</w:t>
      </w:r>
    </w:p>
    <w:p w14:paraId="4DEEAB7A"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Assessment &amp; Plan:</w:t>
      </w:r>
    </w:p>
    <w:p w14:paraId="58353F82" w14:textId="77777777"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R sixth nerve palsy presumed microvascular.</w:t>
      </w:r>
    </w:p>
    <w:p w14:paraId="0DD2566A" w14:textId="77777777"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 xml:space="preserve">Prescribed </w:t>
      </w:r>
      <w:r w:rsidRPr="009D4627">
        <w:rPr>
          <w:rFonts w:eastAsia="Calibri"/>
          <w:szCs w:val="22"/>
          <w:lang w:val="en-MY"/>
        </w:rPr>
        <w:t>25</w:t>
      </w:r>
      <w:r w:rsidRPr="009D4627">
        <w:rPr>
          <w:rFonts w:eastAsia="Calibri"/>
          <w:szCs w:val="22"/>
          <w:vertAlign w:val="superscript"/>
          <w:lang w:val="en-MY"/>
        </w:rPr>
        <w:t>Δ</w:t>
      </w:r>
      <w:r w:rsidRPr="009D4627">
        <w:rPr>
          <w:rFonts w:eastAsia="Calibri"/>
          <w:szCs w:val="22"/>
          <w:lang w:val="en-MY"/>
        </w:rPr>
        <w:t>BO over the RE of distance glasses.</w:t>
      </w:r>
    </w:p>
    <w:p w14:paraId="5949E178" w14:textId="77777777" w:rsidR="00CE6626" w:rsidRPr="009D4627" w:rsidRDefault="00CE6626" w:rsidP="00CE6626">
      <w:pPr>
        <w:spacing w:before="0" w:after="0" w:line="240" w:lineRule="auto"/>
        <w:ind w:firstLine="720"/>
        <w:rPr>
          <w:rFonts w:eastAsia="Calibri"/>
          <w:bCs/>
          <w:szCs w:val="22"/>
          <w:lang w:val="en-MY"/>
        </w:rPr>
      </w:pPr>
      <w:r w:rsidRPr="009D4627">
        <w:rPr>
          <w:rFonts w:eastAsia="Calibri"/>
          <w:bCs/>
          <w:szCs w:val="22"/>
          <w:lang w:val="en-MY"/>
        </w:rPr>
        <w:t>To monitor in 2-3/52.</w:t>
      </w:r>
    </w:p>
    <w:p w14:paraId="025BA4F2" w14:textId="77777777" w:rsidR="00CE6626" w:rsidRPr="009D4627" w:rsidRDefault="00CE6626" w:rsidP="00CE6626">
      <w:pPr>
        <w:spacing w:before="0" w:after="0" w:line="240" w:lineRule="auto"/>
        <w:ind w:firstLine="720"/>
        <w:rPr>
          <w:rFonts w:eastAsia="Calibri"/>
          <w:bCs/>
          <w:szCs w:val="22"/>
          <w:lang w:val="en-MY"/>
        </w:rPr>
      </w:pPr>
    </w:p>
    <w:p w14:paraId="10D37E0E" w14:textId="77777777" w:rsidR="00CE6626" w:rsidRPr="009D4627" w:rsidRDefault="00CE6626" w:rsidP="00CE6626">
      <w:pPr>
        <w:spacing w:before="0" w:line="240" w:lineRule="auto"/>
        <w:ind w:firstLine="720"/>
        <w:rPr>
          <w:rFonts w:eastAsia="Calibri"/>
          <w:bCs/>
          <w:szCs w:val="22"/>
          <w:lang w:val="en-MY"/>
        </w:rPr>
      </w:pPr>
    </w:p>
    <w:p w14:paraId="1C97A406" w14:textId="77777777" w:rsidR="00CE6626" w:rsidRPr="009D4627" w:rsidRDefault="00CE6626" w:rsidP="00CE6626">
      <w:pPr>
        <w:spacing w:before="0" w:after="0" w:line="240" w:lineRule="auto"/>
        <w:rPr>
          <w:rFonts w:eastAsia="Calibri"/>
          <w:b/>
          <w:szCs w:val="22"/>
          <w:u w:val="single"/>
          <w:lang w:val="en-MY"/>
        </w:rPr>
        <w:sectPr w:rsidR="00CE6626" w:rsidRPr="009D4627" w:rsidSect="00477959">
          <w:headerReference w:type="default" r:id="rId287"/>
          <w:pgSz w:w="11906" w:h="16838" w:code="9"/>
          <w:pgMar w:top="1440" w:right="1440" w:bottom="1440" w:left="1440" w:header="708" w:footer="708" w:gutter="0"/>
          <w:cols w:space="708"/>
          <w:docGrid w:linePitch="360"/>
        </w:sectPr>
      </w:pPr>
    </w:p>
    <w:p w14:paraId="007C48DC" w14:textId="77777777" w:rsidR="00CE6626" w:rsidRPr="009D4627" w:rsidRDefault="00CE6626" w:rsidP="00CE6626">
      <w:pPr>
        <w:spacing w:before="0" w:after="0" w:line="240" w:lineRule="auto"/>
        <w:rPr>
          <w:rFonts w:eastAsia="Calibri"/>
          <w:color w:val="FF0000"/>
          <w:szCs w:val="22"/>
          <w:lang w:val="en-MY"/>
        </w:rPr>
      </w:pPr>
      <w:r w:rsidRPr="009D4627">
        <w:rPr>
          <w:rFonts w:eastAsia="Calibri"/>
          <w:b/>
          <w:szCs w:val="22"/>
          <w:u w:val="single"/>
          <w:lang w:val="en-MY"/>
        </w:rPr>
        <w:lastRenderedPageBreak/>
        <w:t xml:space="preserve">Clinical visit 2: </w:t>
      </w:r>
      <w:r w:rsidRPr="009D4627">
        <w:rPr>
          <w:rFonts w:eastAsia="Calibri"/>
          <w:bCs/>
          <w:szCs w:val="22"/>
          <w:u w:val="single"/>
          <w:lang w:val="en-MY"/>
        </w:rPr>
        <w:t>10/01/19 (4 weeks from onset)</w:t>
      </w:r>
    </w:p>
    <w:p w14:paraId="3B03C8C2" w14:textId="77777777" w:rsidR="00CE6626" w:rsidRPr="009D4627" w:rsidRDefault="00CE6626" w:rsidP="00CE6626">
      <w:pPr>
        <w:spacing w:before="0" w:after="0" w:line="240" w:lineRule="auto"/>
        <w:rPr>
          <w:rFonts w:eastAsia="Calibri"/>
          <w:color w:val="FF0000"/>
          <w:szCs w:val="22"/>
          <w:lang w:val="en-MY"/>
        </w:rPr>
      </w:pPr>
    </w:p>
    <w:p w14:paraId="1B399418" w14:textId="77777777" w:rsidR="00CE6626" w:rsidRPr="009D4627" w:rsidRDefault="00CE6626" w:rsidP="00CE6626">
      <w:pPr>
        <w:spacing w:before="0" w:after="0" w:line="240" w:lineRule="auto"/>
        <w:rPr>
          <w:rFonts w:eastAsia="Calibri"/>
          <w:color w:val="auto"/>
          <w:szCs w:val="22"/>
          <w:lang w:val="en-MY"/>
        </w:rPr>
      </w:pPr>
      <w:r w:rsidRPr="009D4627">
        <w:rPr>
          <w:rFonts w:eastAsia="Calibri"/>
          <w:color w:val="auto"/>
          <w:szCs w:val="22"/>
          <w:lang w:val="en-MY"/>
        </w:rPr>
        <w:t>Happy with prism (</w:t>
      </w:r>
      <w:r w:rsidRPr="009D4627">
        <w:rPr>
          <w:rFonts w:eastAsia="Calibri"/>
          <w:szCs w:val="22"/>
          <w:lang w:val="en-MY"/>
        </w:rPr>
        <w:t>25</w:t>
      </w:r>
      <w:r w:rsidRPr="009D4627">
        <w:rPr>
          <w:rFonts w:eastAsia="Calibri"/>
          <w:szCs w:val="22"/>
          <w:vertAlign w:val="superscript"/>
          <w:lang w:val="en-MY"/>
        </w:rPr>
        <w:t>Δ</w:t>
      </w:r>
      <w:r w:rsidRPr="009D4627">
        <w:rPr>
          <w:rFonts w:eastAsia="Calibri"/>
          <w:szCs w:val="22"/>
          <w:lang w:val="en-MY"/>
        </w:rPr>
        <w:t>BO R lens of distance glasses)</w:t>
      </w:r>
    </w:p>
    <w:p w14:paraId="0AF324F4" w14:textId="77777777" w:rsidR="00CE6626" w:rsidRPr="009D4627" w:rsidRDefault="00CE6626" w:rsidP="00CE6626">
      <w:pPr>
        <w:spacing w:before="0" w:after="0" w:line="240" w:lineRule="auto"/>
        <w:rPr>
          <w:rFonts w:eastAsia="Calibri"/>
          <w:b/>
          <w:szCs w:val="22"/>
          <w:lang w:val="en-MY"/>
        </w:rPr>
      </w:pPr>
    </w:p>
    <w:p w14:paraId="2CDD5C04" w14:textId="7104C0E3"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with </w:t>
      </w:r>
      <w:proofErr w:type="spellStart"/>
      <w:r w:rsidRPr="009D4627">
        <w:rPr>
          <w:rFonts w:eastAsia="Calibri"/>
          <w:bCs/>
          <w:szCs w:val="22"/>
          <w:lang w:val="en-MY"/>
        </w:rPr>
        <w:t>glasses+</w:t>
      </w:r>
      <w:proofErr w:type="gramStart"/>
      <w:r w:rsidRPr="009D4627">
        <w:rPr>
          <w:rFonts w:eastAsia="Calibri"/>
          <w:bCs/>
          <w:szCs w:val="22"/>
          <w:vertAlign w:val="superscript"/>
          <w:lang w:val="en-MY"/>
        </w:rPr>
        <w:t>Δ</w:t>
      </w:r>
      <w:proofErr w:type="spellEnd"/>
      <w:r w:rsidRPr="009D4627">
        <w:rPr>
          <w:rFonts w:eastAsia="Calibri"/>
          <w:bCs/>
          <w:szCs w:val="22"/>
          <w:lang w:val="en-MY"/>
        </w:rPr>
        <w:t xml:space="preserve">  RE</w:t>
      </w:r>
      <w:proofErr w:type="gramEnd"/>
      <w:r w:rsidRPr="009D4627">
        <w:rPr>
          <w:rFonts w:eastAsia="Calibri"/>
          <w:bCs/>
          <w:szCs w:val="22"/>
          <w:lang w:val="en-MY"/>
        </w:rPr>
        <w:t xml:space="preserve"> 0.36</w:t>
      </w:r>
      <w:r w:rsidRPr="009D4627">
        <w:rPr>
          <w:rFonts w:eastAsia="Calibri"/>
          <w:bCs/>
          <w:szCs w:val="22"/>
          <w:lang w:val="en-MY"/>
        </w:rPr>
        <w:tab/>
        <w:t xml:space="preserve">  LE 0.1    </w:t>
      </w:r>
      <w:r w:rsidR="00A11E21">
        <w:rPr>
          <w:rFonts w:eastAsia="Calibri"/>
          <w:bCs/>
          <w:szCs w:val="22"/>
          <w:lang w:val="en-MY"/>
        </w:rPr>
        <w:tab/>
      </w:r>
      <w:r w:rsidRPr="009D4627">
        <w:rPr>
          <w:rFonts w:eastAsia="Calibri"/>
          <w:bCs/>
          <w:szCs w:val="22"/>
          <w:lang w:val="en-MY"/>
        </w:rPr>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431FC1D8" w14:textId="1C37BADB"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00E147BE">
        <w:rPr>
          <w:rFonts w:eastAsia="Calibri"/>
          <w:b/>
          <w:szCs w:val="22"/>
          <w:lang w:val="en-MY"/>
        </w:rPr>
        <w:tab/>
      </w:r>
      <w:r w:rsidRPr="009D4627">
        <w:rPr>
          <w:rFonts w:eastAsia="Calibri"/>
          <w:b/>
          <w:szCs w:val="22"/>
          <w:lang w:val="en-MY"/>
        </w:rPr>
        <w:t xml:space="preserve"> </w:t>
      </w:r>
      <w:r w:rsidRPr="009D4627">
        <w:rPr>
          <w:rFonts w:eastAsia="Calibri"/>
          <w:bCs/>
          <w:szCs w:val="22"/>
          <w:lang w:val="en-MY"/>
        </w:rPr>
        <w:t>6/15</w:t>
      </w:r>
      <w:r w:rsidRPr="009D4627">
        <w:rPr>
          <w:rFonts w:eastAsia="Calibri"/>
          <w:bCs/>
          <w:szCs w:val="22"/>
          <w:vertAlign w:val="superscript"/>
          <w:lang w:val="en-MY"/>
        </w:rPr>
        <w:t>+2</w:t>
      </w:r>
      <w:r w:rsidRPr="009D4627">
        <w:rPr>
          <w:rFonts w:eastAsia="Calibri"/>
          <w:bCs/>
          <w:szCs w:val="22"/>
          <w:lang w:val="en-MY"/>
        </w:rPr>
        <w:tab/>
      </w:r>
      <w:proofErr w:type="gramStart"/>
      <w:r w:rsidRPr="009D4627">
        <w:rPr>
          <w:rFonts w:eastAsia="Calibri"/>
          <w:bCs/>
          <w:szCs w:val="22"/>
          <w:lang w:val="en-MY"/>
        </w:rPr>
        <w:tab/>
        <w:t xml:space="preserve">  </w:t>
      </w:r>
      <w:r w:rsidR="00A11E21">
        <w:rPr>
          <w:rFonts w:eastAsia="Calibri"/>
          <w:bCs/>
          <w:szCs w:val="22"/>
          <w:lang w:val="en-MY"/>
        </w:rPr>
        <w:t>6</w:t>
      </w:r>
      <w:proofErr w:type="gramEnd"/>
      <w:r w:rsidRPr="009D4627">
        <w:rPr>
          <w:rFonts w:eastAsia="Calibri"/>
          <w:bCs/>
          <w:szCs w:val="22"/>
          <w:lang w:val="en-MY"/>
        </w:rPr>
        <w:t xml:space="preserve">/7.5 </w:t>
      </w:r>
      <w:r w:rsidR="00A11E21">
        <w:rPr>
          <w:rFonts w:eastAsia="Calibri"/>
          <w:bCs/>
          <w:szCs w:val="22"/>
          <w:lang w:val="en-MY"/>
        </w:rPr>
        <w:tab/>
      </w:r>
      <w:r w:rsidR="00A11E21">
        <w:rPr>
          <w:rFonts w:eastAsia="Calibri"/>
          <w:bCs/>
          <w:szCs w:val="22"/>
          <w:lang w:val="en-MY"/>
        </w:rPr>
        <w:tab/>
      </w:r>
      <w:r w:rsidRPr="009D4627">
        <w:rPr>
          <w:rFonts w:eastAsia="Calibri"/>
          <w:bCs/>
          <w:szCs w:val="22"/>
          <w:lang w:val="en-MY"/>
        </w:rPr>
        <w:t>Snellen equivalent</w:t>
      </w:r>
    </w:p>
    <w:p w14:paraId="345C64BE"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p>
    <w:p w14:paraId="5791AEBB"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 readers </w:t>
      </w:r>
      <w:r w:rsidRPr="009D4627">
        <w:rPr>
          <w:rFonts w:eastAsia="Calibri"/>
          <w:bCs/>
          <w:szCs w:val="22"/>
          <w:lang w:val="en-MY"/>
        </w:rPr>
        <w:tab/>
        <w:t>1/3 m small esophoria (E) with good recovery</w:t>
      </w:r>
    </w:p>
    <w:p w14:paraId="0AE91062"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Cs/>
          <w:szCs w:val="22"/>
          <w:lang w:val="en-MY"/>
        </w:rPr>
        <w:t xml:space="preserve">with </w:t>
      </w:r>
      <w:proofErr w:type="spellStart"/>
      <w:r w:rsidRPr="009D4627">
        <w:rPr>
          <w:rFonts w:eastAsia="Calibri"/>
          <w:bCs/>
          <w:szCs w:val="22"/>
          <w:lang w:val="en-MY"/>
        </w:rPr>
        <w:t>glasses+</w:t>
      </w:r>
      <w:r w:rsidRPr="009D4627">
        <w:rPr>
          <w:rFonts w:eastAsia="Calibri"/>
          <w:bCs/>
          <w:szCs w:val="22"/>
          <w:vertAlign w:val="superscript"/>
          <w:lang w:val="en-MY"/>
        </w:rPr>
        <w:t>Δ</w:t>
      </w:r>
      <w:proofErr w:type="spellEnd"/>
      <w:r w:rsidRPr="009D4627">
        <w:rPr>
          <w:rFonts w:eastAsia="Calibri"/>
          <w:bCs/>
          <w:szCs w:val="22"/>
          <w:lang w:val="en-MY"/>
        </w:rPr>
        <w:tab/>
        <w:t>6 m small exophoria (X) with good recovery</w:t>
      </w:r>
      <w:r w:rsidRPr="009D4627">
        <w:rPr>
          <w:rFonts w:eastAsia="Calibri"/>
          <w:szCs w:val="22"/>
          <w:lang w:val="en-MY"/>
        </w:rPr>
        <w:t xml:space="preserve"> </w:t>
      </w:r>
    </w:p>
    <w:p w14:paraId="2A2627EA"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Cs/>
          <w:szCs w:val="22"/>
          <w:lang w:val="en-MY"/>
        </w:rPr>
        <w:t xml:space="preserve">                        </w:t>
      </w:r>
    </w:p>
    <w:p w14:paraId="14D60B36" w14:textId="77777777" w:rsidR="00CE6626" w:rsidRPr="009D4627" w:rsidRDefault="00CE6626" w:rsidP="00CE6626">
      <w:pPr>
        <w:spacing w:before="0" w:after="0" w:line="240" w:lineRule="auto"/>
        <w:rPr>
          <w:rFonts w:eastAsia="Calibri"/>
          <w:b/>
          <w:lang w:val="en-MY"/>
        </w:rPr>
      </w:pPr>
      <w:r w:rsidRPr="009D4627">
        <w:rPr>
          <w:rFonts w:eastAsia="Calibri"/>
          <w:b/>
          <w:lang w:val="en-MY"/>
        </w:rPr>
        <w:t>OMT/PCT:</w:t>
      </w:r>
    </w:p>
    <w:p w14:paraId="7278C9DE" w14:textId="6B8F84C1" w:rsidR="00CE6626" w:rsidRPr="009D4627" w:rsidRDefault="00A2792E" w:rsidP="00CE6626">
      <w:pPr>
        <w:spacing w:before="0" w:line="240" w:lineRule="auto"/>
        <w:rPr>
          <w:rFonts w:eastAsia="Calibri"/>
          <w:bCs/>
          <w:lang w:val="en-MY"/>
        </w:rPr>
      </w:pPr>
      <w:r w:rsidRPr="009D4627">
        <w:rPr>
          <w:noProof/>
        </w:rPr>
        <mc:AlternateContent>
          <mc:Choice Requires="wpg">
            <w:drawing>
              <wp:anchor distT="0" distB="0" distL="114300" distR="114300" simplePos="0" relativeHeight="251704320" behindDoc="0" locked="0" layoutInCell="1" allowOverlap="1" wp14:anchorId="4DA0BEDC" wp14:editId="6DDAE491">
                <wp:simplePos x="0" y="0"/>
                <wp:positionH relativeFrom="margin">
                  <wp:align>center</wp:align>
                </wp:positionH>
                <wp:positionV relativeFrom="paragraph">
                  <wp:posOffset>5080</wp:posOffset>
                </wp:positionV>
                <wp:extent cx="3810000" cy="962025"/>
                <wp:effectExtent l="0" t="0" r="0" b="9525"/>
                <wp:wrapThrough wrapText="bothSides">
                  <wp:wrapPolygon edited="0">
                    <wp:start x="5940" y="0"/>
                    <wp:lineTo x="5400" y="6844"/>
                    <wp:lineTo x="0" y="9838"/>
                    <wp:lineTo x="0" y="14543"/>
                    <wp:lineTo x="6264" y="20531"/>
                    <wp:lineTo x="6264" y="21386"/>
                    <wp:lineTo x="15228" y="21814"/>
                    <wp:lineTo x="16848" y="21814"/>
                    <wp:lineTo x="21600" y="14970"/>
                    <wp:lineTo x="21600" y="9410"/>
                    <wp:lineTo x="17928" y="6844"/>
                    <wp:lineTo x="17280" y="0"/>
                    <wp:lineTo x="5940" y="0"/>
                  </wp:wrapPolygon>
                </wp:wrapThrough>
                <wp:docPr id="23180" name="Group 23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0000" cy="962025"/>
                          <a:chOff x="0" y="0"/>
                          <a:chExt cx="38100" cy="9620"/>
                        </a:xfrm>
                      </wpg:grpSpPr>
                      <wpg:grpSp>
                        <wpg:cNvPr id="23181" name="Group 21626"/>
                        <wpg:cNvGrpSpPr>
                          <a:grpSpLocks/>
                        </wpg:cNvGrpSpPr>
                        <wpg:grpSpPr bwMode="auto">
                          <a:xfrm>
                            <a:off x="0" y="0"/>
                            <a:ext cx="16966" cy="9429"/>
                            <a:chOff x="0" y="0"/>
                            <a:chExt cx="16966" cy="9429"/>
                          </a:xfrm>
                        </wpg:grpSpPr>
                        <wpg:grpSp>
                          <wpg:cNvPr id="23182" name="Group 21627"/>
                          <wpg:cNvGrpSpPr>
                            <a:grpSpLocks/>
                          </wpg:cNvGrpSpPr>
                          <wpg:grpSpPr bwMode="auto">
                            <a:xfrm>
                              <a:off x="0" y="1714"/>
                              <a:ext cx="16966" cy="7715"/>
                              <a:chOff x="0" y="1714"/>
                              <a:chExt cx="16966" cy="7715"/>
                            </a:xfrm>
                          </wpg:grpSpPr>
                          <wps:wsp>
                            <wps:cNvPr id="23183" name="Rectangle 21628"/>
                            <wps:cNvSpPr>
                              <a:spLocks noChangeArrowheads="1"/>
                            </wps:cNvSpPr>
                            <wps:spPr bwMode="auto">
                              <a:xfrm>
                                <a:off x="0" y="4572"/>
                                <a:ext cx="8763" cy="1905"/>
                              </a:xfrm>
                              <a:prstGeom prst="rect">
                                <a:avLst/>
                              </a:prstGeom>
                              <a:noFill/>
                              <a:ln>
                                <a:noFill/>
                              </a:ln>
                            </wps:spPr>
                            <wps:txbx>
                              <w:txbxContent>
                                <w:p w14:paraId="1914DFF9"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 xml:space="preserve">   20</w:t>
                                  </w:r>
                                  <w:r w:rsidRPr="00281F61">
                                    <w:rPr>
                                      <w:rFonts w:ascii="Calibri" w:hAnsi="Calibri" w:cs="Calibri"/>
                                      <w:sz w:val="20"/>
                                      <w:szCs w:val="20"/>
                                      <w:vertAlign w:val="superscript"/>
                                      <w:lang w:val="en-US"/>
                                    </w:rPr>
                                    <w:t>Δ</w:t>
                                  </w:r>
                                  <w:r>
                                    <w:rPr>
                                      <w:rFonts w:ascii="Calibri" w:hAnsi="Calibri" w:cs="Calibri"/>
                                      <w:sz w:val="20"/>
                                      <w:szCs w:val="20"/>
                                      <w:lang w:val="en-US"/>
                                    </w:rPr>
                                    <w:t>ET     -1 ½</w:t>
                                  </w:r>
                                </w:p>
                                <w:p w14:paraId="50E125BA"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g:cNvPr id="23184" name="Group 21629"/>
                            <wpg:cNvGrpSpPr>
                              <a:grpSpLocks/>
                            </wpg:cNvGrpSpPr>
                            <wpg:grpSpPr bwMode="auto">
                              <a:xfrm>
                                <a:off x="9239" y="1714"/>
                                <a:ext cx="7727" cy="7715"/>
                                <a:chOff x="9239" y="1714"/>
                                <a:chExt cx="7727" cy="7715"/>
                              </a:xfrm>
                            </wpg:grpSpPr>
                            <wps:wsp>
                              <wps:cNvPr id="23185" name="Oval 21630"/>
                              <wps:cNvSpPr>
                                <a:spLocks noChangeArrowheads="1"/>
                              </wps:cNvSpPr>
                              <wps:spPr bwMode="auto">
                                <a:xfrm flipH="1">
                                  <a:off x="9239" y="1714"/>
                                  <a:ext cx="7727" cy="7715"/>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g:grpSp>
                              <wpg:cNvPr id="23186" name="Group 21631"/>
                              <wpg:cNvGrpSpPr>
                                <a:grpSpLocks/>
                              </wpg:cNvGrpSpPr>
                              <wpg:grpSpPr bwMode="auto">
                                <a:xfrm>
                                  <a:off x="9429" y="2381"/>
                                  <a:ext cx="1729" cy="6191"/>
                                  <a:chOff x="9429" y="2381"/>
                                  <a:chExt cx="2762" cy="7239"/>
                                </a:xfrm>
                              </wpg:grpSpPr>
                              <wps:wsp>
                                <wps:cNvPr id="23187" name="Straight Connector 21632"/>
                                <wps:cNvCnPr>
                                  <a:cxnSpLocks noChangeShapeType="1"/>
                                </wps:cNvCnPr>
                                <wps:spPr bwMode="auto">
                                  <a:xfrm flipV="1">
                                    <a:off x="12001" y="2381"/>
                                    <a:ext cx="44" cy="7239"/>
                                  </a:xfrm>
                                  <a:prstGeom prst="line">
                                    <a:avLst/>
                                  </a:prstGeom>
                                  <a:noFill/>
                                  <a:ln w="6350">
                                    <a:solidFill>
                                      <a:srgbClr val="000000"/>
                                    </a:solidFill>
                                    <a:miter lim="800000"/>
                                    <a:headEnd/>
                                    <a:tailEnd/>
                                  </a:ln>
                                </wps:spPr>
                                <wps:bodyPr/>
                              </wps:wsp>
                              <wpg:grpSp>
                                <wpg:cNvPr id="23188" name="Group 21633"/>
                                <wpg:cNvGrpSpPr>
                                  <a:grpSpLocks/>
                                </wpg:cNvGrpSpPr>
                                <wpg:grpSpPr bwMode="auto">
                                  <a:xfrm>
                                    <a:off x="9429" y="3524"/>
                                    <a:ext cx="2763" cy="4648"/>
                                    <a:chOff x="9429" y="3524"/>
                                    <a:chExt cx="2392" cy="4648"/>
                                  </a:xfrm>
                                </wpg:grpSpPr>
                                <wpg:grpSp>
                                  <wpg:cNvPr id="23189" name="Group 21634"/>
                                  <wpg:cNvGrpSpPr>
                                    <a:grpSpLocks/>
                                  </wpg:cNvGrpSpPr>
                                  <wpg:grpSpPr bwMode="auto">
                                    <a:xfrm>
                                      <a:off x="9429" y="4286"/>
                                      <a:ext cx="2393" cy="3886"/>
                                      <a:chOff x="9429" y="4286"/>
                                      <a:chExt cx="2392" cy="3886"/>
                                    </a:xfrm>
                                  </wpg:grpSpPr>
                                  <wps:wsp>
                                    <wps:cNvPr id="23190" name="Straight Connector 21635"/>
                                    <wps:cNvCnPr>
                                      <a:cxnSpLocks noChangeShapeType="1"/>
                                    </wps:cNvCnPr>
                                    <wps:spPr bwMode="auto">
                                      <a:xfrm flipH="1" flipV="1">
                                        <a:off x="9429" y="5524"/>
                                        <a:ext cx="2393" cy="1693"/>
                                      </a:xfrm>
                                      <a:prstGeom prst="line">
                                        <a:avLst/>
                                      </a:prstGeom>
                                      <a:noFill/>
                                      <a:ln w="19050">
                                        <a:solidFill>
                                          <a:srgbClr val="000000"/>
                                        </a:solidFill>
                                        <a:miter lim="800000"/>
                                        <a:headEnd/>
                                        <a:tailEnd/>
                                      </a:ln>
                                    </wps:spPr>
                                    <wps:bodyPr/>
                                  </wps:wsp>
                                  <wps:wsp>
                                    <wps:cNvPr id="23191" name="Straight Connector 21636"/>
                                    <wps:cNvCnPr>
                                      <a:cxnSpLocks noChangeShapeType="1"/>
                                    </wps:cNvCnPr>
                                    <wps:spPr bwMode="auto">
                                      <a:xfrm flipH="1" flipV="1">
                                        <a:off x="9714" y="4286"/>
                                        <a:ext cx="1923" cy="1238"/>
                                      </a:xfrm>
                                      <a:prstGeom prst="line">
                                        <a:avLst/>
                                      </a:prstGeom>
                                      <a:noFill/>
                                      <a:ln w="19050">
                                        <a:solidFill>
                                          <a:srgbClr val="000000"/>
                                        </a:solidFill>
                                        <a:miter lim="800000"/>
                                        <a:headEnd/>
                                        <a:tailEnd/>
                                      </a:ln>
                                    </wps:spPr>
                                    <wps:bodyPr/>
                                  </wps:wsp>
                                  <wps:wsp>
                                    <wps:cNvPr id="23192" name="Straight Connector 21637"/>
                                    <wps:cNvCnPr>
                                      <a:cxnSpLocks noChangeShapeType="1"/>
                                    </wps:cNvCnPr>
                                    <wps:spPr bwMode="auto">
                                      <a:xfrm flipH="1" flipV="1">
                                        <a:off x="9620" y="6858"/>
                                        <a:ext cx="2022" cy="1314"/>
                                      </a:xfrm>
                                      <a:prstGeom prst="line">
                                        <a:avLst/>
                                      </a:prstGeom>
                                      <a:noFill/>
                                      <a:ln w="19050">
                                        <a:solidFill>
                                          <a:srgbClr val="000000"/>
                                        </a:solidFill>
                                        <a:miter lim="800000"/>
                                        <a:headEnd/>
                                        <a:tailEnd/>
                                      </a:ln>
                                    </wps:spPr>
                                    <wps:bodyPr/>
                                  </wps:wsp>
                                </wpg:grpSp>
                                <wps:wsp>
                                  <wps:cNvPr id="23193" name="Straight Connector 21638"/>
                                  <wps:cNvCnPr>
                                    <a:cxnSpLocks noChangeShapeType="1"/>
                                  </wps:cNvCnPr>
                                  <wps:spPr bwMode="auto">
                                    <a:xfrm flipH="1" flipV="1">
                                      <a:off x="10477" y="3524"/>
                                      <a:ext cx="1340" cy="889"/>
                                    </a:xfrm>
                                    <a:prstGeom prst="line">
                                      <a:avLst/>
                                    </a:prstGeom>
                                    <a:noFill/>
                                    <a:ln w="19050">
                                      <a:solidFill>
                                        <a:srgbClr val="000000"/>
                                      </a:solidFill>
                                      <a:miter lim="800000"/>
                                      <a:headEnd/>
                                      <a:tailEnd/>
                                    </a:ln>
                                  </wps:spPr>
                                  <wps:bodyPr/>
                                </wps:wsp>
                              </wpg:grpSp>
                            </wpg:grpSp>
                            <wpg:grpSp>
                              <wpg:cNvPr id="23194" name="Group 21639"/>
                              <wpg:cNvGrpSpPr>
                                <a:grpSpLocks/>
                              </wpg:cNvGrpSpPr>
                              <wpg:grpSpPr bwMode="auto">
                                <a:xfrm rot="5400000">
                                  <a:off x="12779" y="-176"/>
                                  <a:ext cx="788" cy="5055"/>
                                  <a:chOff x="12779" y="-174"/>
                                  <a:chExt cx="2762" cy="6444"/>
                                </a:xfrm>
                              </wpg:grpSpPr>
                              <wps:wsp>
                                <wps:cNvPr id="23195" name="Straight Connector 21640"/>
                                <wps:cNvCnPr>
                                  <a:cxnSpLocks noChangeShapeType="1"/>
                                </wps:cNvCnPr>
                                <wps:spPr bwMode="auto">
                                  <a:xfrm rot="-5400000">
                                    <a:off x="12139" y="3014"/>
                                    <a:ext cx="6444" cy="67"/>
                                  </a:xfrm>
                                  <a:prstGeom prst="line">
                                    <a:avLst/>
                                  </a:prstGeom>
                                  <a:noFill/>
                                  <a:ln w="6350">
                                    <a:solidFill>
                                      <a:srgbClr val="000000"/>
                                    </a:solidFill>
                                    <a:miter lim="800000"/>
                                    <a:headEnd/>
                                    <a:tailEnd/>
                                  </a:ln>
                                </wps:spPr>
                                <wps:bodyPr/>
                              </wps:wsp>
                              <wpg:grpSp>
                                <wpg:cNvPr id="23196" name="Group 21641"/>
                                <wpg:cNvGrpSpPr>
                                  <a:grpSpLocks/>
                                </wpg:cNvGrpSpPr>
                                <wpg:grpSpPr bwMode="auto">
                                  <a:xfrm>
                                    <a:off x="12779" y="968"/>
                                    <a:ext cx="2762" cy="4648"/>
                                    <a:chOff x="12779" y="968"/>
                                    <a:chExt cx="2392" cy="4648"/>
                                  </a:xfrm>
                                </wpg:grpSpPr>
                                <wpg:grpSp>
                                  <wpg:cNvPr id="23197" name="Group 21642"/>
                                  <wpg:cNvGrpSpPr>
                                    <a:grpSpLocks/>
                                  </wpg:cNvGrpSpPr>
                                  <wpg:grpSpPr bwMode="auto">
                                    <a:xfrm>
                                      <a:off x="12779" y="1730"/>
                                      <a:ext cx="2393" cy="3886"/>
                                      <a:chOff x="12779" y="1730"/>
                                      <a:chExt cx="2392" cy="3886"/>
                                    </a:xfrm>
                                  </wpg:grpSpPr>
                                  <wps:wsp>
                                    <wps:cNvPr id="23198" name="Straight Connector 21643"/>
                                    <wps:cNvCnPr>
                                      <a:cxnSpLocks noChangeShapeType="1"/>
                                    </wps:cNvCnPr>
                                    <wps:spPr bwMode="auto">
                                      <a:xfrm flipH="1" flipV="1">
                                        <a:off x="12779" y="2968"/>
                                        <a:ext cx="2393" cy="1693"/>
                                      </a:xfrm>
                                      <a:prstGeom prst="line">
                                        <a:avLst/>
                                      </a:prstGeom>
                                      <a:noFill/>
                                      <a:ln w="19050">
                                        <a:solidFill>
                                          <a:srgbClr val="000000"/>
                                        </a:solidFill>
                                        <a:miter lim="800000"/>
                                        <a:headEnd/>
                                        <a:tailEnd/>
                                      </a:ln>
                                    </wps:spPr>
                                    <wps:bodyPr/>
                                  </wps:wsp>
                                  <wps:wsp>
                                    <wps:cNvPr id="23199" name="Straight Connector 21644"/>
                                    <wps:cNvCnPr>
                                      <a:cxnSpLocks noChangeShapeType="1"/>
                                    </wps:cNvCnPr>
                                    <wps:spPr bwMode="auto">
                                      <a:xfrm flipH="1" flipV="1">
                                        <a:off x="13064" y="1730"/>
                                        <a:ext cx="1923" cy="1238"/>
                                      </a:xfrm>
                                      <a:prstGeom prst="line">
                                        <a:avLst/>
                                      </a:prstGeom>
                                      <a:noFill/>
                                      <a:ln w="19050">
                                        <a:solidFill>
                                          <a:srgbClr val="000000"/>
                                        </a:solidFill>
                                        <a:miter lim="800000"/>
                                        <a:headEnd/>
                                        <a:tailEnd/>
                                      </a:ln>
                                    </wps:spPr>
                                    <wps:bodyPr/>
                                  </wps:wsp>
                                  <wps:wsp>
                                    <wps:cNvPr id="23200" name="Straight Connector 21645"/>
                                    <wps:cNvCnPr>
                                      <a:cxnSpLocks noChangeShapeType="1"/>
                                    </wps:cNvCnPr>
                                    <wps:spPr bwMode="auto">
                                      <a:xfrm flipH="1" flipV="1">
                                        <a:off x="12969" y="4301"/>
                                        <a:ext cx="2023" cy="1315"/>
                                      </a:xfrm>
                                      <a:prstGeom prst="line">
                                        <a:avLst/>
                                      </a:prstGeom>
                                      <a:noFill/>
                                      <a:ln w="19050">
                                        <a:solidFill>
                                          <a:srgbClr val="000000"/>
                                        </a:solidFill>
                                        <a:miter lim="800000"/>
                                        <a:headEnd/>
                                        <a:tailEnd/>
                                      </a:ln>
                                    </wps:spPr>
                                    <wps:bodyPr/>
                                  </wps:wsp>
                                </wpg:grpSp>
                                <wps:wsp>
                                  <wps:cNvPr id="23201" name="Straight Connector 21646"/>
                                  <wps:cNvCnPr>
                                    <a:cxnSpLocks noChangeShapeType="1"/>
                                  </wps:cNvCnPr>
                                  <wps:spPr bwMode="auto">
                                    <a:xfrm flipH="1" flipV="1">
                                      <a:off x="13827" y="968"/>
                                      <a:ext cx="1339" cy="889"/>
                                    </a:xfrm>
                                    <a:prstGeom prst="line">
                                      <a:avLst/>
                                    </a:prstGeom>
                                    <a:noFill/>
                                    <a:ln w="19050">
                                      <a:solidFill>
                                        <a:srgbClr val="000000"/>
                                      </a:solidFill>
                                      <a:miter lim="800000"/>
                                      <a:headEnd/>
                                      <a:tailEnd/>
                                    </a:ln>
                                  </wps:spPr>
                                  <wps:bodyPr/>
                                </wps:wsp>
                              </wpg:grpSp>
                            </wpg:grpSp>
                          </wpg:grpSp>
                        </wpg:grpSp>
                        <wps:wsp>
                          <wps:cNvPr id="23202" name="Rectangle 21647"/>
                          <wps:cNvSpPr>
                            <a:spLocks noChangeArrowheads="1"/>
                          </wps:cNvSpPr>
                          <wps:spPr bwMode="auto">
                            <a:xfrm>
                              <a:off x="10858" y="0"/>
                              <a:ext cx="4185" cy="1428"/>
                            </a:xfrm>
                            <a:prstGeom prst="rect">
                              <a:avLst/>
                            </a:prstGeom>
                            <a:noFill/>
                            <a:ln>
                              <a:noFill/>
                            </a:ln>
                          </wps:spPr>
                          <wps:txbx>
                            <w:txbxContent>
                              <w:p w14:paraId="68713B57"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w:t>
                                </w:r>
                              </w:p>
                            </w:txbxContent>
                          </wps:txbx>
                          <wps:bodyPr rot="0" vert="horz" wrap="square" lIns="0" tIns="0" rIns="0" bIns="0" anchor="ctr" anchorCtr="0" upright="1">
                            <a:noAutofit/>
                          </wps:bodyPr>
                        </wps:wsp>
                      </wpg:grpSp>
                      <wpg:grpSp>
                        <wpg:cNvPr id="23203" name="Group 21648"/>
                        <wpg:cNvGrpSpPr>
                          <a:grpSpLocks/>
                        </wpg:cNvGrpSpPr>
                        <wpg:grpSpPr bwMode="auto">
                          <a:xfrm>
                            <a:off x="18192" y="95"/>
                            <a:ext cx="19908" cy="9525"/>
                            <a:chOff x="18192" y="95"/>
                            <a:chExt cx="19907" cy="9525"/>
                          </a:xfrm>
                        </wpg:grpSpPr>
                        <wpg:grpSp>
                          <wpg:cNvPr id="23204" name="Group 21649"/>
                          <wpg:cNvGrpSpPr>
                            <a:grpSpLocks/>
                          </wpg:cNvGrpSpPr>
                          <wpg:grpSpPr bwMode="auto">
                            <a:xfrm>
                              <a:off x="18192" y="1809"/>
                              <a:ext cx="19908" cy="7811"/>
                              <a:chOff x="18192" y="1809"/>
                              <a:chExt cx="19907" cy="7810"/>
                            </a:xfrm>
                          </wpg:grpSpPr>
                          <wpg:grpSp>
                            <wpg:cNvPr id="23205" name="Group 21650"/>
                            <wpg:cNvGrpSpPr>
                              <a:grpSpLocks/>
                            </wpg:cNvGrpSpPr>
                            <wpg:grpSpPr bwMode="auto">
                              <a:xfrm>
                                <a:off x="18192" y="1809"/>
                                <a:ext cx="19908" cy="7811"/>
                                <a:chOff x="18192" y="1809"/>
                                <a:chExt cx="19907" cy="7810"/>
                              </a:xfrm>
                            </wpg:grpSpPr>
                            <wps:wsp>
                              <wps:cNvPr id="23206" name="Rectangle 21651"/>
                              <wps:cNvSpPr>
                                <a:spLocks noChangeArrowheads="1"/>
                              </wps:cNvSpPr>
                              <wps:spPr bwMode="auto">
                                <a:xfrm>
                                  <a:off x="18192" y="4571"/>
                                  <a:ext cx="4858" cy="1810"/>
                                </a:xfrm>
                                <a:prstGeom prst="rect">
                                  <a:avLst/>
                                </a:prstGeom>
                                <a:noFill/>
                                <a:ln>
                                  <a:noFill/>
                                </a:ln>
                              </wps:spPr>
                              <wps:txbx>
                                <w:txbxContent>
                                  <w:p w14:paraId="5AFE7296"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16</w:t>
                                    </w:r>
                                    <w:r w:rsidRPr="00281F61">
                                      <w:rPr>
                                        <w:rFonts w:ascii="Calibri" w:hAnsi="Calibri" w:cs="Calibri"/>
                                        <w:sz w:val="20"/>
                                        <w:szCs w:val="20"/>
                                        <w:vertAlign w:val="superscript"/>
                                        <w:lang w:val="en-US"/>
                                      </w:rPr>
                                      <w:t>Δ</w:t>
                                    </w:r>
                                    <w:r>
                                      <w:rPr>
                                        <w:rFonts w:ascii="Calibri" w:hAnsi="Calibri" w:cs="Calibri"/>
                                        <w:sz w:val="20"/>
                                        <w:szCs w:val="20"/>
                                        <w:lang w:val="en-US"/>
                                      </w:rPr>
                                      <w:t xml:space="preserve"> ET</w:t>
                                    </w:r>
                                  </w:p>
                                  <w:p w14:paraId="6E7ED99A" w14:textId="77777777" w:rsidR="00CE6626" w:rsidRDefault="00CE6626" w:rsidP="00CE6626">
                                    <w:pPr>
                                      <w:spacing w:before="0"/>
                                      <w:jc w:val="center"/>
                                      <w:rPr>
                                        <w:rFonts w:ascii="Calibri" w:hAnsi="Calibri" w:cs="Calibri"/>
                                        <w:sz w:val="20"/>
                                        <w:szCs w:val="20"/>
                                        <w:lang w:val="en-US"/>
                                      </w:rPr>
                                    </w:pPr>
                                  </w:p>
                                </w:txbxContent>
                              </wps:txbx>
                              <wps:bodyPr rot="0" vert="horz" wrap="square" lIns="0" tIns="0" rIns="0" bIns="0" anchor="ctr" anchorCtr="0" upright="1">
                                <a:noAutofit/>
                              </wps:bodyPr>
                            </wps:wsp>
                            <wpg:grpSp>
                              <wpg:cNvPr id="23207" name="Group 21652"/>
                              <wpg:cNvGrpSpPr>
                                <a:grpSpLocks/>
                              </wpg:cNvGrpSpPr>
                              <wpg:grpSpPr bwMode="auto">
                                <a:xfrm>
                                  <a:off x="24384" y="1809"/>
                                  <a:ext cx="13716" cy="7811"/>
                                  <a:chOff x="24384" y="1809"/>
                                  <a:chExt cx="13716" cy="7810"/>
                                </a:xfrm>
                              </wpg:grpSpPr>
                              <wps:wsp>
                                <wps:cNvPr id="23208" name="Oval 21653"/>
                                <wps:cNvSpPr>
                                  <a:spLocks noChangeArrowheads="1"/>
                                </wps:cNvSpPr>
                                <wps:spPr bwMode="auto">
                                  <a:xfrm flipH="1">
                                    <a:off x="24384" y="1809"/>
                                    <a:ext cx="7721" cy="7811"/>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3209" name="Rectangle 21654"/>
                                <wps:cNvSpPr>
                                  <a:spLocks noChangeArrowheads="1"/>
                                </wps:cNvSpPr>
                                <wps:spPr bwMode="auto">
                                  <a:xfrm>
                                    <a:off x="32575" y="4476"/>
                                    <a:ext cx="5525" cy="2001"/>
                                  </a:xfrm>
                                  <a:prstGeom prst="rect">
                                    <a:avLst/>
                                  </a:prstGeom>
                                  <a:noFill/>
                                  <a:ln>
                                    <a:noFill/>
                                  </a:ln>
                                </wps:spPr>
                                <wps:txbx>
                                  <w:txbxContent>
                                    <w:p w14:paraId="136EE57B" w14:textId="77777777" w:rsidR="00CE6626" w:rsidRDefault="00CE6626" w:rsidP="00C171FA">
                                      <w:pPr>
                                        <w:pStyle w:val="ListParagraph"/>
                                        <w:numPr>
                                          <w:ilvl w:val="0"/>
                                          <w:numId w:val="95"/>
                                        </w:numPr>
                                        <w:spacing w:before="0"/>
                                        <w:ind w:left="0" w:hanging="66"/>
                                        <w:jc w:val="left"/>
                                        <w:rPr>
                                          <w:rFonts w:ascii="Calibri" w:hAnsi="Calibri" w:cs="Calibri"/>
                                          <w:sz w:val="20"/>
                                          <w:szCs w:val="20"/>
                                          <w:lang w:val="en-US"/>
                                        </w:rPr>
                                      </w:pPr>
                                      <w:r>
                                        <w:rPr>
                                          <w:rFonts w:ascii="Calibri" w:hAnsi="Calibri" w:cs="Calibri"/>
                                          <w:sz w:val="20"/>
                                          <w:szCs w:val="20"/>
                                          <w:lang w:val="en-US"/>
                                        </w:rPr>
                                        <w:t>½   8</w:t>
                                      </w:r>
                                      <w:r w:rsidRPr="00281F61">
                                        <w:rPr>
                                          <w:rFonts w:ascii="Calibri" w:hAnsi="Calibri" w:cs="Calibri"/>
                                          <w:sz w:val="20"/>
                                          <w:szCs w:val="20"/>
                                          <w:vertAlign w:val="superscript"/>
                                          <w:lang w:val="en-US"/>
                                        </w:rPr>
                                        <w:t>Δ</w:t>
                                      </w:r>
                                      <w:r>
                                        <w:rPr>
                                          <w:rFonts w:ascii="Calibri" w:hAnsi="Calibri" w:cs="Calibri"/>
                                          <w:sz w:val="20"/>
                                          <w:szCs w:val="20"/>
                                          <w:lang w:val="en-US"/>
                                        </w:rPr>
                                        <w:t>E</w:t>
                                      </w:r>
                                    </w:p>
                                    <w:p w14:paraId="20664EF7" w14:textId="77777777" w:rsidR="00CE6626" w:rsidRDefault="00CE6626" w:rsidP="00C171FA">
                                      <w:pPr>
                                        <w:pStyle w:val="ListParagraph"/>
                                        <w:numPr>
                                          <w:ilvl w:val="0"/>
                                          <w:numId w:val="95"/>
                                        </w:numPr>
                                        <w:jc w:val="left"/>
                                        <w:rPr>
                                          <w:rFonts w:ascii="Calibri" w:hAnsi="Calibri" w:cs="Calibri"/>
                                          <w:sz w:val="20"/>
                                          <w:szCs w:val="20"/>
                                          <w:lang w:val="en-US"/>
                                        </w:rPr>
                                      </w:pPr>
                                    </w:p>
                                    <w:p w14:paraId="0FF024D0"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Δ ET</w:t>
                                      </w:r>
                                    </w:p>
                                    <w:p w14:paraId="0AC0F331" w14:textId="77777777" w:rsidR="00CE6626" w:rsidRDefault="00CE6626" w:rsidP="00CE6626">
                                      <w:pPr>
                                        <w:jc w:val="left"/>
                                        <w:rPr>
                                          <w:rFonts w:ascii="Calibri" w:hAnsi="Calibri" w:cs="Calibri"/>
                                          <w:sz w:val="20"/>
                                          <w:szCs w:val="20"/>
                                          <w:lang w:val="en-US"/>
                                        </w:rPr>
                                      </w:pPr>
                                    </w:p>
                                  </w:txbxContent>
                                </wps:txbx>
                                <wps:bodyPr rot="0" vert="horz" wrap="square" lIns="0" tIns="0" rIns="0" bIns="0" anchor="ctr" anchorCtr="0" upright="1">
                                  <a:noAutofit/>
                                </wps:bodyPr>
                              </wps:wsp>
                            </wpg:grpSp>
                          </wpg:grpSp>
                          <wpg:grpSp>
                            <wpg:cNvPr id="23210" name="Group 21655"/>
                            <wpg:cNvGrpSpPr>
                              <a:grpSpLocks/>
                            </wpg:cNvGrpSpPr>
                            <wpg:grpSpPr bwMode="auto">
                              <a:xfrm rot="5400000">
                                <a:off x="27733" y="-175"/>
                                <a:ext cx="788" cy="5048"/>
                                <a:chOff x="27733" y="-174"/>
                                <a:chExt cx="2762" cy="6444"/>
                              </a:xfrm>
                            </wpg:grpSpPr>
                            <wps:wsp>
                              <wps:cNvPr id="23211" name="Straight Connector 21656"/>
                              <wps:cNvCnPr>
                                <a:cxnSpLocks noChangeShapeType="1"/>
                              </wps:cNvCnPr>
                              <wps:spPr bwMode="auto">
                                <a:xfrm rot="-5400000">
                                  <a:off x="27094" y="3014"/>
                                  <a:ext cx="6444" cy="67"/>
                                </a:xfrm>
                                <a:prstGeom prst="line">
                                  <a:avLst/>
                                </a:prstGeom>
                                <a:noFill/>
                                <a:ln w="6350">
                                  <a:solidFill>
                                    <a:srgbClr val="000000"/>
                                  </a:solidFill>
                                  <a:miter lim="800000"/>
                                  <a:headEnd/>
                                  <a:tailEnd/>
                                </a:ln>
                              </wps:spPr>
                              <wps:bodyPr/>
                            </wps:wsp>
                            <wpg:grpSp>
                              <wpg:cNvPr id="23212" name="Group 21657"/>
                              <wpg:cNvGrpSpPr>
                                <a:grpSpLocks/>
                              </wpg:cNvGrpSpPr>
                              <wpg:grpSpPr bwMode="auto">
                                <a:xfrm>
                                  <a:off x="27733" y="968"/>
                                  <a:ext cx="2762" cy="4648"/>
                                  <a:chOff x="27733" y="968"/>
                                  <a:chExt cx="2392" cy="4648"/>
                                </a:xfrm>
                              </wpg:grpSpPr>
                              <wpg:grpSp>
                                <wpg:cNvPr id="23213" name="Group 21658"/>
                                <wpg:cNvGrpSpPr>
                                  <a:grpSpLocks/>
                                </wpg:cNvGrpSpPr>
                                <wpg:grpSpPr bwMode="auto">
                                  <a:xfrm>
                                    <a:off x="27733" y="1730"/>
                                    <a:ext cx="2393" cy="3886"/>
                                    <a:chOff x="27733" y="1730"/>
                                    <a:chExt cx="2392" cy="3886"/>
                                  </a:xfrm>
                                </wpg:grpSpPr>
                                <wps:wsp>
                                  <wps:cNvPr id="23214" name="Straight Connector 21659"/>
                                  <wps:cNvCnPr>
                                    <a:cxnSpLocks noChangeShapeType="1"/>
                                  </wps:cNvCnPr>
                                  <wps:spPr bwMode="auto">
                                    <a:xfrm flipH="1" flipV="1">
                                      <a:off x="27733" y="2968"/>
                                      <a:ext cx="2393" cy="1693"/>
                                    </a:xfrm>
                                    <a:prstGeom prst="line">
                                      <a:avLst/>
                                    </a:prstGeom>
                                    <a:noFill/>
                                    <a:ln w="19050">
                                      <a:solidFill>
                                        <a:srgbClr val="000000"/>
                                      </a:solidFill>
                                      <a:miter lim="800000"/>
                                      <a:headEnd/>
                                      <a:tailEnd/>
                                    </a:ln>
                                  </wps:spPr>
                                  <wps:bodyPr/>
                                </wps:wsp>
                                <wps:wsp>
                                  <wps:cNvPr id="23215" name="Straight Connector 21660"/>
                                  <wps:cNvCnPr>
                                    <a:cxnSpLocks noChangeShapeType="1"/>
                                  </wps:cNvCnPr>
                                  <wps:spPr bwMode="auto">
                                    <a:xfrm flipH="1" flipV="1">
                                      <a:off x="28018" y="1730"/>
                                      <a:ext cx="1923" cy="1238"/>
                                    </a:xfrm>
                                    <a:prstGeom prst="line">
                                      <a:avLst/>
                                    </a:prstGeom>
                                    <a:noFill/>
                                    <a:ln w="19050">
                                      <a:solidFill>
                                        <a:srgbClr val="000000"/>
                                      </a:solidFill>
                                      <a:miter lim="800000"/>
                                      <a:headEnd/>
                                      <a:tailEnd/>
                                    </a:ln>
                                  </wps:spPr>
                                  <wps:bodyPr/>
                                </wps:wsp>
                                <wps:wsp>
                                  <wps:cNvPr id="23216" name="Straight Connector 21661"/>
                                  <wps:cNvCnPr>
                                    <a:cxnSpLocks noChangeShapeType="1"/>
                                  </wps:cNvCnPr>
                                  <wps:spPr bwMode="auto">
                                    <a:xfrm flipH="1" flipV="1">
                                      <a:off x="27924" y="4301"/>
                                      <a:ext cx="2022" cy="1315"/>
                                    </a:xfrm>
                                    <a:prstGeom prst="line">
                                      <a:avLst/>
                                    </a:prstGeom>
                                    <a:noFill/>
                                    <a:ln w="19050">
                                      <a:solidFill>
                                        <a:srgbClr val="000000"/>
                                      </a:solidFill>
                                      <a:miter lim="800000"/>
                                      <a:headEnd/>
                                      <a:tailEnd/>
                                    </a:ln>
                                  </wps:spPr>
                                  <wps:bodyPr/>
                                </wps:wsp>
                              </wpg:grpSp>
                              <wps:wsp>
                                <wps:cNvPr id="23217" name="Straight Connector 21662"/>
                                <wps:cNvCnPr>
                                  <a:cxnSpLocks noChangeShapeType="1"/>
                                </wps:cNvCnPr>
                                <wps:spPr bwMode="auto">
                                  <a:xfrm flipH="1" flipV="1">
                                    <a:off x="28781" y="968"/>
                                    <a:ext cx="1340" cy="889"/>
                                  </a:xfrm>
                                  <a:prstGeom prst="line">
                                    <a:avLst/>
                                  </a:prstGeom>
                                  <a:noFill/>
                                  <a:ln w="19050">
                                    <a:solidFill>
                                      <a:srgbClr val="000000"/>
                                    </a:solidFill>
                                    <a:miter lim="800000"/>
                                    <a:headEnd/>
                                    <a:tailEnd/>
                                  </a:ln>
                                </wps:spPr>
                                <wps:bodyPr/>
                              </wps:wsp>
                            </wpg:grpSp>
                          </wpg:grpSp>
                          <wpg:grpSp>
                            <wpg:cNvPr id="23218" name="Group 21663"/>
                            <wpg:cNvGrpSpPr>
                              <a:grpSpLocks/>
                            </wpg:cNvGrpSpPr>
                            <wpg:grpSpPr bwMode="auto">
                              <a:xfrm rot="10800000">
                                <a:off x="31432" y="3524"/>
                                <a:ext cx="610" cy="4477"/>
                                <a:chOff x="31432" y="3524"/>
                                <a:chExt cx="2762" cy="6444"/>
                              </a:xfrm>
                            </wpg:grpSpPr>
                            <wps:wsp>
                              <wps:cNvPr id="23219" name="Straight Connector 21664"/>
                              <wps:cNvCnPr>
                                <a:cxnSpLocks noChangeShapeType="1"/>
                              </wps:cNvCnPr>
                              <wps:spPr bwMode="auto">
                                <a:xfrm rot="-5400000">
                                  <a:off x="30791" y="6713"/>
                                  <a:ext cx="6445" cy="68"/>
                                </a:xfrm>
                                <a:prstGeom prst="line">
                                  <a:avLst/>
                                </a:prstGeom>
                                <a:noFill/>
                                <a:ln w="6350">
                                  <a:solidFill>
                                    <a:srgbClr val="000000"/>
                                  </a:solidFill>
                                  <a:miter lim="800000"/>
                                  <a:headEnd/>
                                  <a:tailEnd/>
                                </a:ln>
                              </wps:spPr>
                              <wps:bodyPr/>
                            </wps:wsp>
                            <wpg:grpSp>
                              <wpg:cNvPr id="23220" name="Group 21665"/>
                              <wpg:cNvGrpSpPr>
                                <a:grpSpLocks/>
                              </wpg:cNvGrpSpPr>
                              <wpg:grpSpPr bwMode="auto">
                                <a:xfrm>
                                  <a:off x="31432" y="4667"/>
                                  <a:ext cx="2762" cy="4648"/>
                                  <a:chOff x="31432" y="4667"/>
                                  <a:chExt cx="2392" cy="4648"/>
                                </a:xfrm>
                              </wpg:grpSpPr>
                              <wpg:grpSp>
                                <wpg:cNvPr id="23221" name="Group 21666"/>
                                <wpg:cNvGrpSpPr>
                                  <a:grpSpLocks/>
                                </wpg:cNvGrpSpPr>
                                <wpg:grpSpPr bwMode="auto">
                                  <a:xfrm>
                                    <a:off x="31432" y="5429"/>
                                    <a:ext cx="2393" cy="3886"/>
                                    <a:chOff x="31432" y="5429"/>
                                    <a:chExt cx="2392" cy="3886"/>
                                  </a:xfrm>
                                </wpg:grpSpPr>
                                <wps:wsp>
                                  <wps:cNvPr id="23222" name="Straight Connector 21667"/>
                                  <wps:cNvCnPr>
                                    <a:cxnSpLocks noChangeShapeType="1"/>
                                  </wps:cNvCnPr>
                                  <wps:spPr bwMode="auto">
                                    <a:xfrm flipH="1" flipV="1">
                                      <a:off x="31432" y="6667"/>
                                      <a:ext cx="2393" cy="1692"/>
                                    </a:xfrm>
                                    <a:prstGeom prst="line">
                                      <a:avLst/>
                                    </a:prstGeom>
                                    <a:noFill/>
                                    <a:ln w="19050">
                                      <a:solidFill>
                                        <a:srgbClr val="000000"/>
                                      </a:solidFill>
                                      <a:miter lim="800000"/>
                                      <a:headEnd/>
                                      <a:tailEnd/>
                                    </a:ln>
                                  </wps:spPr>
                                  <wps:bodyPr/>
                                </wps:wsp>
                                <wps:wsp>
                                  <wps:cNvPr id="23223" name="Straight Connector 21668"/>
                                  <wps:cNvCnPr>
                                    <a:cxnSpLocks noChangeShapeType="1"/>
                                  </wps:cNvCnPr>
                                  <wps:spPr bwMode="auto">
                                    <a:xfrm flipH="1" flipV="1">
                                      <a:off x="31717" y="5429"/>
                                      <a:ext cx="1923" cy="1238"/>
                                    </a:xfrm>
                                    <a:prstGeom prst="line">
                                      <a:avLst/>
                                    </a:prstGeom>
                                    <a:noFill/>
                                    <a:ln w="19050">
                                      <a:solidFill>
                                        <a:srgbClr val="000000"/>
                                      </a:solidFill>
                                      <a:miter lim="800000"/>
                                      <a:headEnd/>
                                      <a:tailEnd/>
                                    </a:ln>
                                  </wps:spPr>
                                  <wps:bodyPr/>
                                </wps:wsp>
                                <wps:wsp>
                                  <wps:cNvPr id="23224" name="Straight Connector 21669"/>
                                  <wps:cNvCnPr>
                                    <a:cxnSpLocks noChangeShapeType="1"/>
                                  </wps:cNvCnPr>
                                  <wps:spPr bwMode="auto">
                                    <a:xfrm flipH="1" flipV="1">
                                      <a:off x="31623" y="8000"/>
                                      <a:ext cx="2022" cy="1315"/>
                                    </a:xfrm>
                                    <a:prstGeom prst="line">
                                      <a:avLst/>
                                    </a:prstGeom>
                                    <a:noFill/>
                                    <a:ln w="19050">
                                      <a:solidFill>
                                        <a:srgbClr val="000000"/>
                                      </a:solidFill>
                                      <a:miter lim="800000"/>
                                      <a:headEnd/>
                                      <a:tailEnd/>
                                    </a:ln>
                                  </wps:spPr>
                                  <wps:bodyPr/>
                                </wps:wsp>
                              </wpg:grpSp>
                              <wps:wsp>
                                <wps:cNvPr id="23225" name="Straight Connector 21670"/>
                                <wps:cNvCnPr>
                                  <a:cxnSpLocks noChangeShapeType="1"/>
                                </wps:cNvCnPr>
                                <wps:spPr bwMode="auto">
                                  <a:xfrm flipH="1" flipV="1">
                                    <a:off x="32480" y="4667"/>
                                    <a:ext cx="1340" cy="889"/>
                                  </a:xfrm>
                                  <a:prstGeom prst="line">
                                    <a:avLst/>
                                  </a:prstGeom>
                                  <a:noFill/>
                                  <a:ln w="19050">
                                    <a:solidFill>
                                      <a:srgbClr val="000000"/>
                                    </a:solidFill>
                                    <a:miter lim="800000"/>
                                    <a:headEnd/>
                                    <a:tailEnd/>
                                  </a:ln>
                                </wps:spPr>
                                <wps:bodyPr/>
                              </wps:wsp>
                            </wpg:grpSp>
                          </wpg:grpSp>
                        </wpg:grpSp>
                        <wps:wsp>
                          <wps:cNvPr id="23226" name="Rectangle 21671"/>
                          <wps:cNvSpPr>
                            <a:spLocks noChangeArrowheads="1"/>
                          </wps:cNvSpPr>
                          <wps:spPr bwMode="auto">
                            <a:xfrm>
                              <a:off x="26003" y="95"/>
                              <a:ext cx="4184" cy="1429"/>
                            </a:xfrm>
                            <a:prstGeom prst="rect">
                              <a:avLst/>
                            </a:prstGeom>
                            <a:noFill/>
                            <a:ln>
                              <a:noFill/>
                            </a:ln>
                          </wps:spPr>
                          <wps:txbx>
                            <w:txbxContent>
                              <w:p w14:paraId="273E580C"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A0BEDC" id="Group 23180" o:spid="_x0000_s2185" style="position:absolute;left:0;text-align:left;margin-left:0;margin-top:.4pt;width:300pt;height:75.75pt;z-index:251704320;mso-position-horizontal:center;mso-position-horizontal-relative:margin;mso-position-vertical-relative:text" coordsize="38100,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">
                <v:group id="Group 21626" o:spid="_x0000_s2186" style="position:absolute;width:16966;height:9429" coordsize="16966,9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">
                  <v:group id="Group 21627" o:spid="_x0000_s2187" style="position:absolute;top:1714;width:16966;height:7715" coordorigin=",1714" coordsize="16966,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">
                    <v:rect id="Rectangle 21628" o:spid="_x0000_s2188" style="position:absolute;top:4572;width:8763;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" filled="f" stroked="f">
                      <v:textbox inset="0,0,0,0">
                        <w:txbxContent>
                          <w:p w14:paraId="1914DFF9"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 xml:space="preserve">   20</w:t>
                            </w:r>
                            <w:r w:rsidRPr="00281F61">
                              <w:rPr>
                                <w:rFonts w:ascii="Calibri" w:hAnsi="Calibri" w:cs="Calibri"/>
                                <w:sz w:val="20"/>
                                <w:szCs w:val="20"/>
                                <w:vertAlign w:val="superscript"/>
                                <w:lang w:val="en-US"/>
                              </w:rPr>
                              <w:t>Δ</w:t>
                            </w:r>
                            <w:r>
                              <w:rPr>
                                <w:rFonts w:ascii="Calibri" w:hAnsi="Calibri" w:cs="Calibri"/>
                                <w:sz w:val="20"/>
                                <w:szCs w:val="20"/>
                                <w:lang w:val="en-US"/>
                              </w:rPr>
                              <w:t>ET     -1 ½</w:t>
                            </w:r>
                          </w:p>
                          <w:p w14:paraId="50E125BA" w14:textId="77777777" w:rsidR="00CE6626" w:rsidRDefault="00CE6626" w:rsidP="00CE6626">
                            <w:pPr>
                              <w:jc w:val="right"/>
                              <w:rPr>
                                <w:rFonts w:ascii="Calibri" w:hAnsi="Calibri" w:cs="Calibri"/>
                                <w:sz w:val="20"/>
                                <w:szCs w:val="20"/>
                                <w:lang w:val="en-US"/>
                              </w:rPr>
                            </w:pPr>
                          </w:p>
                        </w:txbxContent>
                      </v:textbox>
                    </v:rect>
                    <v:group id="Group 21629" o:spid="_x0000_s2189" style="position:absolute;left:9239;top:1714;width:7727;height:7715" coordorigin="9239,1714" coordsize="7727,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">
                      <v:oval id="Oval 21630" o:spid="_x0000_s2190" style="position:absolute;left:9239;top:1714;width:7727;height:771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" filled="f" strokeweight="1pt">
                        <v:stroke joinstyle="miter"/>
                      </v:oval>
                      <v:group id="Group 21631" o:spid="_x0000_s2191" style="position:absolute;left:9429;top:2381;width:1729;height:6191" coordorigin="9429,2381" coordsize="276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">
                        <v:line id="Straight Connector 21632" o:spid="_x0000_s2192" style="position:absolute;flip:y;visibility:visible;mso-wrap-style:square" from="12001,2381" to="12045,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" strokeweight=".5pt">
                          <v:stroke joinstyle="miter"/>
                        </v:line>
                        <v:group id="Group 21633" o:spid="_x0000_s2193" style="position:absolute;left:9429;top:3524;width:2763;height:4648" coordorigin="9429,3524" coordsize="239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">
                          <v:group id="Group 21634" o:spid="_x0000_s2194" style="position:absolute;left:9429;top:4286;width:2393;height:3886" coordorigin="9429,4286" coordsize="2392,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">
                            <v:line id="Straight Connector 21635" o:spid="_x0000_s2195" style="position:absolute;flip:x y;visibility:visible;mso-wrap-style:square" from="9429,5524" to="11822,7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" strokeweight="1.5pt">
                              <v:stroke joinstyle="miter"/>
                            </v:line>
                            <v:line id="Straight Connector 21636" o:spid="_x0000_s2196" style="position:absolute;flip:x y;visibility:visible;mso-wrap-style:square" from="9714,4286" to="11637,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" strokeweight="1.5pt">
                              <v:stroke joinstyle="miter"/>
                            </v:line>
                            <v:line id="Straight Connector 21637" o:spid="_x0000_s2197" style="position:absolute;flip:x y;visibility:visible;mso-wrap-style:square" from="9620,6858" to="11642,8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" strokeweight="1.5pt">
                              <v:stroke joinstyle="miter"/>
                            </v:line>
                          </v:group>
                          <v:line id="Straight Connector 21638" o:spid="_x0000_s2198" style="position:absolute;flip:x y;visibility:visible;mso-wrap-style:square" from="10477,3524" to="11817,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" strokeweight="1.5pt">
                            <v:stroke joinstyle="miter"/>
                          </v:line>
                        </v:group>
                      </v:group>
                      <v:group id="Group 21639" o:spid="_x0000_s2199" style="position:absolute;left:12779;top:-176;width:788;height:5055;rotation:90" coordorigin="12779,-174" coordsize="2762,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">
                        <v:line id="Straight Connector 21640" o:spid="_x0000_s2200" style="position:absolute;rotation:-90;visibility:visible;mso-wrap-style:square" from="12139,3014" to="18583,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" strokeweight=".5pt">
                          <v:stroke joinstyle="miter"/>
                        </v:line>
                        <v:group id="Group 21641" o:spid="_x0000_s2201" style="position:absolute;left:12779;top:968;width:2762;height:4648" coordorigin="12779,968" coordsize="239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">
                          <v:group id="Group 21642" o:spid="_x0000_s2202" style="position:absolute;left:12779;top:1730;width:2393;height:3886" coordorigin="12779,1730" coordsize="2392,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">
                            <v:line id="Straight Connector 21643" o:spid="_x0000_s2203" style="position:absolute;flip:x y;visibility:visible;mso-wrap-style:square" from="12779,2968" to="15172,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" strokeweight="1.5pt">
                              <v:stroke joinstyle="miter"/>
                            </v:line>
                            <v:line id="Straight Connector 21644" o:spid="_x0000_s2204" style="position:absolute;flip:x y;visibility:visible;mso-wrap-style:square" from="13064,1730" to="14987,2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" strokeweight="1.5pt">
                              <v:stroke joinstyle="miter"/>
                            </v:line>
                            <v:line id="Straight Connector 21645" o:spid="_x0000_s2205" style="position:absolute;flip:x y;visibility:visible;mso-wrap-style:square" from="12969,4301" to="14992,5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" strokeweight="1.5pt">
                              <v:stroke joinstyle="miter"/>
                            </v:line>
                          </v:group>
                          <v:line id="Straight Connector 21646" o:spid="_x0000_s2206" style="position:absolute;flip:x y;visibility:visible;mso-wrap-style:square" from="13827,968" to="15166,1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" strokeweight="1.5pt">
                            <v:stroke joinstyle="miter"/>
                          </v:line>
                        </v:group>
                      </v:group>
                    </v:group>
                  </v:group>
                  <v:rect id="Rectangle 21647" o:spid="_x0000_s2207" style="position:absolute;left:10858;width:4185;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" filled="f" stroked="f">
                    <v:textbox inset="0,0,0,0">
                      <w:txbxContent>
                        <w:p w14:paraId="68713B57"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w:t>
                          </w:r>
                        </w:p>
                      </w:txbxContent>
                    </v:textbox>
                  </v:rect>
                </v:group>
                <v:group id="Group 21648" o:spid="_x0000_s2208" style="position:absolute;left:18192;top:95;width:19908;height:9525" coordorigin="18192,95" coordsize="19907,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">
                  <v:group id="Group 21649" o:spid="_x0000_s2209" style="position:absolute;left:18192;top:1809;width:19908;height:7811" coordorigin="18192,1809" coordsize="19907,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">
                    <v:group id="Group 21650" o:spid="_x0000_s2210" style="position:absolute;left:18192;top:1809;width:19908;height:7811" coordorigin="18192,1809" coordsize="19907,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">
                      <v:rect id="Rectangle 21651" o:spid="_x0000_s2211" style="position:absolute;left:18192;top:4571;width:4858;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" filled="f" stroked="f">
                        <v:textbox inset="0,0,0,0">
                          <w:txbxContent>
                            <w:p w14:paraId="5AFE7296"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16</w:t>
                              </w:r>
                              <w:r w:rsidRPr="00281F61">
                                <w:rPr>
                                  <w:rFonts w:ascii="Calibri" w:hAnsi="Calibri" w:cs="Calibri"/>
                                  <w:sz w:val="20"/>
                                  <w:szCs w:val="20"/>
                                  <w:vertAlign w:val="superscript"/>
                                  <w:lang w:val="en-US"/>
                                </w:rPr>
                                <w:t>Δ</w:t>
                              </w:r>
                              <w:r>
                                <w:rPr>
                                  <w:rFonts w:ascii="Calibri" w:hAnsi="Calibri" w:cs="Calibri"/>
                                  <w:sz w:val="20"/>
                                  <w:szCs w:val="20"/>
                                  <w:lang w:val="en-US"/>
                                </w:rPr>
                                <w:t xml:space="preserve"> ET</w:t>
                              </w:r>
                            </w:p>
                            <w:p w14:paraId="6E7ED99A" w14:textId="77777777" w:rsidR="00CE6626" w:rsidRDefault="00CE6626" w:rsidP="00CE6626">
                              <w:pPr>
                                <w:spacing w:before="0"/>
                                <w:jc w:val="center"/>
                                <w:rPr>
                                  <w:rFonts w:ascii="Calibri" w:hAnsi="Calibri" w:cs="Calibri"/>
                                  <w:sz w:val="20"/>
                                  <w:szCs w:val="20"/>
                                  <w:lang w:val="en-US"/>
                                </w:rPr>
                              </w:pPr>
                            </w:p>
                          </w:txbxContent>
                        </v:textbox>
                      </v:rect>
                      <v:group id="Group 21652" o:spid="_x0000_s2212" style="position:absolute;left:24384;top:1809;width:13716;height:7811" coordorigin="24384,1809" coordsize="13716,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">
                        <v:oval id="Oval 21653" o:spid="_x0000_s2213" style="position:absolute;left:24384;top:1809;width:7721;height:781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" filled="f" strokeweight="1pt">
                          <v:stroke joinstyle="miter"/>
                        </v:oval>
                        <v:rect id="Rectangle 21654" o:spid="_x0000_s2214" style="position:absolute;left:32575;top:4476;width:5525;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" filled="f" stroked="f">
                          <v:textbox inset="0,0,0,0">
                            <w:txbxContent>
                              <w:p w14:paraId="136EE57B" w14:textId="77777777" w:rsidR="00CE6626" w:rsidRDefault="00CE6626" w:rsidP="00C171FA">
                                <w:pPr>
                                  <w:pStyle w:val="ListParagraph"/>
                                  <w:numPr>
                                    <w:ilvl w:val="0"/>
                                    <w:numId w:val="95"/>
                                  </w:numPr>
                                  <w:spacing w:before="0"/>
                                  <w:ind w:left="0" w:hanging="66"/>
                                  <w:jc w:val="left"/>
                                  <w:rPr>
                                    <w:rFonts w:ascii="Calibri" w:hAnsi="Calibri" w:cs="Calibri"/>
                                    <w:sz w:val="20"/>
                                    <w:szCs w:val="20"/>
                                    <w:lang w:val="en-US"/>
                                  </w:rPr>
                                </w:pPr>
                                <w:r>
                                  <w:rPr>
                                    <w:rFonts w:ascii="Calibri" w:hAnsi="Calibri" w:cs="Calibri"/>
                                    <w:sz w:val="20"/>
                                    <w:szCs w:val="20"/>
                                    <w:lang w:val="en-US"/>
                                  </w:rPr>
                                  <w:t>½   8</w:t>
                                </w:r>
                                <w:r w:rsidRPr="00281F61">
                                  <w:rPr>
                                    <w:rFonts w:ascii="Calibri" w:hAnsi="Calibri" w:cs="Calibri"/>
                                    <w:sz w:val="20"/>
                                    <w:szCs w:val="20"/>
                                    <w:vertAlign w:val="superscript"/>
                                    <w:lang w:val="en-US"/>
                                  </w:rPr>
                                  <w:t>Δ</w:t>
                                </w:r>
                                <w:r>
                                  <w:rPr>
                                    <w:rFonts w:ascii="Calibri" w:hAnsi="Calibri" w:cs="Calibri"/>
                                    <w:sz w:val="20"/>
                                    <w:szCs w:val="20"/>
                                    <w:lang w:val="en-US"/>
                                  </w:rPr>
                                  <w:t>E</w:t>
                                </w:r>
                              </w:p>
                              <w:p w14:paraId="20664EF7" w14:textId="77777777" w:rsidR="00CE6626" w:rsidRDefault="00CE6626" w:rsidP="00C171FA">
                                <w:pPr>
                                  <w:pStyle w:val="ListParagraph"/>
                                  <w:numPr>
                                    <w:ilvl w:val="0"/>
                                    <w:numId w:val="95"/>
                                  </w:numPr>
                                  <w:jc w:val="left"/>
                                  <w:rPr>
                                    <w:rFonts w:ascii="Calibri" w:hAnsi="Calibri" w:cs="Calibri"/>
                                    <w:sz w:val="20"/>
                                    <w:szCs w:val="20"/>
                                    <w:lang w:val="en-US"/>
                                  </w:rPr>
                                </w:pPr>
                              </w:p>
                              <w:p w14:paraId="0FF024D0"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Δ ET</w:t>
                                </w:r>
                              </w:p>
                              <w:p w14:paraId="0AC0F331" w14:textId="77777777" w:rsidR="00CE6626" w:rsidRDefault="00CE6626" w:rsidP="00CE6626">
                                <w:pPr>
                                  <w:jc w:val="left"/>
                                  <w:rPr>
                                    <w:rFonts w:ascii="Calibri" w:hAnsi="Calibri" w:cs="Calibri"/>
                                    <w:sz w:val="20"/>
                                    <w:szCs w:val="20"/>
                                    <w:lang w:val="en-US"/>
                                  </w:rPr>
                                </w:pPr>
                              </w:p>
                            </w:txbxContent>
                          </v:textbox>
                        </v:rect>
                      </v:group>
                    </v:group>
                    <v:group id="Group 21655" o:spid="_x0000_s2215" style="position:absolute;left:27733;top:-175;width:788;height:5048;rotation:90" coordorigin="27733,-174" coordsize="2762,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">
                      <v:line id="Straight Connector 21656" o:spid="_x0000_s2216" style="position:absolute;rotation:-90;visibility:visible;mso-wrap-style:square" from="27094,3014" to="33538,3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" strokeweight=".5pt">
                        <v:stroke joinstyle="miter"/>
                      </v:line>
                      <v:group id="Group 21657" o:spid="_x0000_s2217" style="position:absolute;left:27733;top:968;width:2762;height:4648" coordorigin="27733,968" coordsize="239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">
                        <v:group id="Group 21658" o:spid="_x0000_s2218" style="position:absolute;left:27733;top:1730;width:2393;height:3886" coordorigin="27733,1730" coordsize="2392,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">
                          <v:line id="Straight Connector 21659" o:spid="_x0000_s2219" style="position:absolute;flip:x y;visibility:visible;mso-wrap-style:square" from="27733,2968" to="30126,4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" strokeweight="1.5pt">
                            <v:stroke joinstyle="miter"/>
                          </v:line>
                          <v:line id="Straight Connector 21660" o:spid="_x0000_s2220" style="position:absolute;flip:x y;visibility:visible;mso-wrap-style:square" from="28018,1730" to="29941,2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" strokeweight="1.5pt">
                            <v:stroke joinstyle="miter"/>
                          </v:line>
                          <v:line id="Straight Connector 21661" o:spid="_x0000_s2221" style="position:absolute;flip:x y;visibility:visible;mso-wrap-style:square" from="27924,4301" to="29946,5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" strokeweight="1.5pt">
                            <v:stroke joinstyle="miter"/>
                          </v:line>
                        </v:group>
                        <v:line id="Straight Connector 21662" o:spid="_x0000_s2222" style="position:absolute;flip:x y;visibility:visible;mso-wrap-style:square" from="28781,968" to="30121,1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" strokeweight="1.5pt">
                          <v:stroke joinstyle="miter"/>
                        </v:line>
                      </v:group>
                    </v:group>
                    <v:group id="Group 21663" o:spid="_x0000_s2223" style="position:absolute;left:31432;top:3524;width:610;height:4477;rotation:180" coordorigin="31432,3524" coordsize="2762,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">
                      <v:line id="Straight Connector 21664" o:spid="_x0000_s2224" style="position:absolute;rotation:-90;visibility:visible;mso-wrap-style:square" from="30791,6713" to="37236,6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" strokeweight=".5pt">
                        <v:stroke joinstyle="miter"/>
                      </v:line>
                      <v:group id="Group 21665" o:spid="_x0000_s2225" style="position:absolute;left:31432;top:4667;width:2762;height:4648" coordorigin="31432,4667" coordsize="2392,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">
                        <v:group id="Group 21666" o:spid="_x0000_s2226" style="position:absolute;left:31432;top:5429;width:2393;height:3886" coordorigin="31432,5429" coordsize="2392,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">
                          <v:line id="Straight Connector 21667" o:spid="_x0000_s2227" style="position:absolute;flip:x y;visibility:visible;mso-wrap-style:square" from="31432,6667" to="33825,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" strokeweight="1.5pt">
                            <v:stroke joinstyle="miter"/>
                          </v:line>
                          <v:line id="Straight Connector 21668" o:spid="_x0000_s2228" style="position:absolute;flip:x y;visibility:visible;mso-wrap-style:square" from="31717,5429" to="33640,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" strokeweight="1.5pt">
                            <v:stroke joinstyle="miter"/>
                          </v:line>
                          <v:line id="Straight Connector 21669" o:spid="_x0000_s2229" style="position:absolute;flip:x y;visibility:visible;mso-wrap-style:square" from="31623,8000" to="33645,9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" strokeweight="1.5pt">
                            <v:stroke joinstyle="miter"/>
                          </v:line>
                        </v:group>
                        <v:line id="Straight Connector 21670" o:spid="_x0000_s2230" style="position:absolute;flip:x y;visibility:visible;mso-wrap-style:square" from="32480,4667" to="33820,5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" strokeweight="1.5pt">
                          <v:stroke joinstyle="miter"/>
                        </v:line>
                      </v:group>
                    </v:group>
                  </v:group>
                  <v:rect id="Rectangle 21671" o:spid="_x0000_s2231" style="position:absolute;left:26003;top:95;width:4184;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" filled="f" stroked="f">
                    <v:textbox inset="0,0,0,0">
                      <w:txbxContent>
                        <w:p w14:paraId="273E580C"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w:t>
                          </w:r>
                        </w:p>
                      </w:txbxContent>
                    </v:textbox>
                  </v:rect>
                </v:group>
                <w10:wrap type="through" anchorx="margin"/>
              </v:group>
            </w:pict>
          </mc:Fallback>
        </mc:AlternateContent>
      </w:r>
    </w:p>
    <w:p w14:paraId="1EE52CC8" w14:textId="77777777" w:rsidR="00CE6626" w:rsidRPr="009D4627" w:rsidRDefault="00CE6626" w:rsidP="00CE6626">
      <w:pPr>
        <w:spacing w:before="0" w:line="240" w:lineRule="auto"/>
        <w:rPr>
          <w:rFonts w:eastAsia="Calibri"/>
          <w:bCs/>
          <w:lang w:val="en-MY"/>
        </w:rPr>
      </w:pPr>
    </w:p>
    <w:p w14:paraId="58F3B41F" w14:textId="77777777" w:rsidR="00CE6626" w:rsidRPr="009D4627" w:rsidRDefault="00CE6626" w:rsidP="00CE6626">
      <w:pPr>
        <w:spacing w:before="0" w:after="0" w:line="240" w:lineRule="auto"/>
        <w:rPr>
          <w:rFonts w:eastAsia="Calibri"/>
          <w:bCs/>
          <w:lang w:val="en-MY"/>
        </w:rPr>
      </w:pPr>
    </w:p>
    <w:p w14:paraId="1851DD56" w14:textId="77777777" w:rsidR="00CE6626" w:rsidRPr="009D4627" w:rsidRDefault="00CE6626" w:rsidP="00CE6626">
      <w:pPr>
        <w:spacing w:before="0" w:after="0" w:line="240" w:lineRule="auto"/>
        <w:rPr>
          <w:rFonts w:eastAsia="Calibri"/>
          <w:bCs/>
          <w:lang w:val="en-MY"/>
        </w:rPr>
      </w:pPr>
    </w:p>
    <w:p w14:paraId="17A4D814" w14:textId="77777777" w:rsidR="00CE6626" w:rsidRPr="009D4627" w:rsidRDefault="00CE6626" w:rsidP="00CE6626">
      <w:pPr>
        <w:spacing w:before="0" w:after="0" w:line="240" w:lineRule="auto"/>
        <w:rPr>
          <w:rFonts w:eastAsia="Calibri"/>
          <w:bCs/>
          <w:lang w:val="en-MY"/>
        </w:rPr>
      </w:pPr>
      <w:r w:rsidRPr="009D4627">
        <w:rPr>
          <w:rFonts w:eastAsia="Calibri"/>
          <w:bCs/>
          <w:lang w:val="en-MY"/>
        </w:rPr>
        <w:tab/>
      </w:r>
      <w:r w:rsidRPr="009D4627">
        <w:rPr>
          <w:rFonts w:eastAsia="Calibri"/>
          <w:bCs/>
          <w:lang w:val="en-MY"/>
        </w:rPr>
        <w:tab/>
      </w:r>
      <w:r w:rsidRPr="009D4627">
        <w:rPr>
          <w:rFonts w:eastAsia="Calibri"/>
          <w:bCs/>
          <w:lang w:val="en-MY"/>
        </w:rPr>
        <w:tab/>
        <w:t>with readers 1/3 m    8</w:t>
      </w:r>
      <w:r w:rsidRPr="009D4627">
        <w:rPr>
          <w:rFonts w:eastAsia="Calibri"/>
          <w:bCs/>
          <w:vertAlign w:val="superscript"/>
          <w:lang w:val="en-MY"/>
        </w:rPr>
        <w:t>Δ</w:t>
      </w:r>
      <w:r w:rsidRPr="009D4627">
        <w:rPr>
          <w:rFonts w:eastAsia="Calibri"/>
          <w:bCs/>
          <w:lang w:val="en-MY"/>
        </w:rPr>
        <w:t xml:space="preserve"> BO </w:t>
      </w:r>
    </w:p>
    <w:p w14:paraId="2A0234B5" w14:textId="77777777" w:rsidR="00CE6626" w:rsidRPr="009D4627" w:rsidRDefault="00CE6626" w:rsidP="00CE6626">
      <w:pPr>
        <w:spacing w:before="0" w:after="0" w:line="240" w:lineRule="auto"/>
        <w:rPr>
          <w:rFonts w:eastAsia="Calibri"/>
          <w:bCs/>
          <w:lang w:val="en-MY"/>
        </w:rPr>
      </w:pPr>
    </w:p>
    <w:p w14:paraId="31ACDB7F" w14:textId="77777777" w:rsidR="00CE6626" w:rsidRPr="009D4627" w:rsidRDefault="00CE6626" w:rsidP="00CE6626">
      <w:pPr>
        <w:spacing w:before="0" w:line="240" w:lineRule="auto"/>
        <w:rPr>
          <w:rFonts w:eastAsia="Calibri"/>
          <w:bCs/>
          <w:lang w:val="en-MY"/>
        </w:rPr>
      </w:pPr>
      <w:r w:rsidRPr="009D4627">
        <w:rPr>
          <w:rFonts w:eastAsia="Calibri"/>
          <w:b/>
          <w:lang w:val="en-MY"/>
        </w:rPr>
        <w:t xml:space="preserve">Worth Lights: </w:t>
      </w:r>
      <w:r w:rsidRPr="009D4627">
        <w:rPr>
          <w:rFonts w:eastAsia="Calibri"/>
          <w:b/>
          <w:lang w:val="en-MY"/>
        </w:rPr>
        <w:tab/>
      </w:r>
      <w:r w:rsidRPr="009D4627">
        <w:rPr>
          <w:rFonts w:eastAsia="Calibri"/>
          <w:bCs/>
          <w:lang w:val="en-MY"/>
        </w:rPr>
        <w:t xml:space="preserve">BSV at N (with readers) and D (with </w:t>
      </w:r>
      <w:proofErr w:type="spellStart"/>
      <w:r w:rsidRPr="009D4627">
        <w:rPr>
          <w:rFonts w:eastAsia="Calibri"/>
          <w:bCs/>
          <w:lang w:val="en-MY"/>
        </w:rPr>
        <w:t>glasses+</w:t>
      </w:r>
      <w:r w:rsidRPr="009D4627">
        <w:rPr>
          <w:rFonts w:eastAsia="Calibri"/>
          <w:bCs/>
          <w:vertAlign w:val="superscript"/>
          <w:lang w:val="en-MY"/>
        </w:rPr>
        <w:t>Δ</w:t>
      </w:r>
      <w:proofErr w:type="spellEnd"/>
      <w:r w:rsidRPr="009D4627">
        <w:rPr>
          <w:rFonts w:eastAsia="Calibri"/>
          <w:bCs/>
          <w:lang w:val="en-MY"/>
        </w:rPr>
        <w:t xml:space="preserve">) </w:t>
      </w:r>
    </w:p>
    <w:p w14:paraId="4F6D6583" w14:textId="77777777" w:rsidR="00CE6626" w:rsidRPr="009D4627" w:rsidRDefault="00CE6626" w:rsidP="00CE6626">
      <w:pPr>
        <w:spacing w:before="0" w:after="0" w:line="240" w:lineRule="auto"/>
        <w:rPr>
          <w:rFonts w:eastAsia="Calibri"/>
          <w:bCs/>
          <w:lang w:val="en-MY"/>
        </w:rPr>
      </w:pPr>
      <w:r w:rsidRPr="009D4627">
        <w:rPr>
          <w:rFonts w:eastAsia="Calibri"/>
          <w:b/>
          <w:lang w:val="en-MY"/>
        </w:rPr>
        <w:t xml:space="preserve">PFR: </w:t>
      </w:r>
      <w:r w:rsidRPr="009D4627">
        <w:rPr>
          <w:rFonts w:eastAsia="Calibri"/>
          <w:b/>
          <w:lang w:val="en-MY"/>
        </w:rPr>
        <w:tab/>
      </w:r>
      <w:r w:rsidRPr="009D4627">
        <w:rPr>
          <w:rFonts w:eastAsia="Calibri"/>
          <w:bCs/>
          <w:lang w:val="en-MY"/>
        </w:rPr>
        <w:t xml:space="preserve">with readers </w:t>
      </w:r>
      <w:r w:rsidRPr="009D4627">
        <w:rPr>
          <w:rFonts w:eastAsia="Calibri"/>
          <w:bCs/>
          <w:lang w:val="en-MY"/>
        </w:rPr>
        <w:tab/>
        <w:t>1/3m 40</w:t>
      </w:r>
      <w:r w:rsidRPr="009D4627">
        <w:rPr>
          <w:rFonts w:eastAsia="Calibri"/>
          <w:bCs/>
          <w:vertAlign w:val="superscript"/>
          <w:lang w:val="en-MY"/>
        </w:rPr>
        <w:t>Δ</w:t>
      </w:r>
      <w:r w:rsidRPr="009D4627">
        <w:rPr>
          <w:rFonts w:eastAsia="Calibri"/>
          <w:bCs/>
          <w:lang w:val="en-MY"/>
        </w:rPr>
        <w:t xml:space="preserve"> BO – 6</w:t>
      </w:r>
      <w:r w:rsidRPr="009D4627">
        <w:rPr>
          <w:rFonts w:eastAsia="Calibri"/>
          <w:bCs/>
          <w:vertAlign w:val="superscript"/>
          <w:lang w:val="en-MY"/>
        </w:rPr>
        <w:t xml:space="preserve">Δ </w:t>
      </w:r>
      <w:r w:rsidRPr="009D4627">
        <w:rPr>
          <w:rFonts w:eastAsia="Calibri"/>
          <w:bCs/>
          <w:lang w:val="en-MY"/>
        </w:rPr>
        <w:t>BI</w:t>
      </w:r>
    </w:p>
    <w:p w14:paraId="32DC2C48" w14:textId="77777777" w:rsidR="00CE6626" w:rsidRPr="009D4627" w:rsidRDefault="00CE6626" w:rsidP="00CE6626">
      <w:pPr>
        <w:spacing w:before="0" w:line="240" w:lineRule="auto"/>
        <w:rPr>
          <w:rFonts w:eastAsia="Calibri"/>
          <w:bCs/>
          <w:lang w:val="en-MY"/>
        </w:rPr>
      </w:pPr>
      <w:r w:rsidRPr="009D4627">
        <w:rPr>
          <w:rFonts w:eastAsia="Calibri"/>
          <w:bCs/>
          <w:lang w:val="en-MY"/>
        </w:rPr>
        <w:tab/>
        <w:t xml:space="preserve">with </w:t>
      </w:r>
      <w:proofErr w:type="spellStart"/>
      <w:r w:rsidRPr="009D4627">
        <w:rPr>
          <w:rFonts w:eastAsia="Calibri"/>
          <w:bCs/>
          <w:lang w:val="en-MY"/>
        </w:rPr>
        <w:t>glasses+</w:t>
      </w:r>
      <w:r w:rsidRPr="009D4627">
        <w:rPr>
          <w:rFonts w:eastAsia="Calibri"/>
          <w:bCs/>
          <w:vertAlign w:val="superscript"/>
          <w:lang w:val="en-MY"/>
        </w:rPr>
        <w:t>Δ</w:t>
      </w:r>
      <w:proofErr w:type="spellEnd"/>
      <w:r w:rsidRPr="009D4627">
        <w:rPr>
          <w:rFonts w:eastAsia="Calibri"/>
          <w:bCs/>
          <w:lang w:val="en-MY"/>
        </w:rPr>
        <w:t xml:space="preserve"> 6 m 12</w:t>
      </w:r>
      <w:r w:rsidRPr="009D4627">
        <w:rPr>
          <w:rFonts w:eastAsia="Calibri"/>
          <w:bCs/>
          <w:vertAlign w:val="superscript"/>
          <w:lang w:val="en-MY"/>
        </w:rPr>
        <w:t>Δ</w:t>
      </w:r>
      <w:r w:rsidRPr="009D4627">
        <w:rPr>
          <w:rFonts w:eastAsia="Calibri"/>
          <w:bCs/>
          <w:lang w:val="en-MY"/>
        </w:rPr>
        <w:t xml:space="preserve"> BO – 6</w:t>
      </w:r>
      <w:r w:rsidRPr="009D4627">
        <w:rPr>
          <w:rFonts w:eastAsia="Calibri"/>
          <w:bCs/>
          <w:vertAlign w:val="superscript"/>
          <w:lang w:val="en-MY"/>
        </w:rPr>
        <w:t>Δ</w:t>
      </w:r>
      <w:r w:rsidRPr="009D4627">
        <w:rPr>
          <w:rFonts w:eastAsia="Calibri"/>
          <w:bCs/>
          <w:lang w:val="en-MY"/>
        </w:rPr>
        <w:t xml:space="preserve"> BI</w:t>
      </w:r>
    </w:p>
    <w:p w14:paraId="439B89E4" w14:textId="77777777" w:rsidR="00CE6626" w:rsidRPr="009D4627" w:rsidRDefault="00CE6626" w:rsidP="00CE6626">
      <w:pPr>
        <w:spacing w:before="0" w:after="0" w:line="240" w:lineRule="auto"/>
        <w:rPr>
          <w:rFonts w:eastAsia="Calibri"/>
          <w:color w:val="auto"/>
          <w:lang w:val="en-MY"/>
        </w:rPr>
      </w:pPr>
      <w:r w:rsidRPr="009D4627">
        <w:rPr>
          <w:rFonts w:eastAsia="Calibri"/>
          <w:b/>
          <w:bCs/>
          <w:color w:val="auto"/>
          <w:lang w:val="en-MY"/>
        </w:rPr>
        <w:t xml:space="preserve">Frisby: </w:t>
      </w:r>
      <w:r w:rsidRPr="009D4627">
        <w:rPr>
          <w:rFonts w:eastAsia="Calibri"/>
          <w:color w:val="auto"/>
          <w:lang w:val="en-MY"/>
        </w:rPr>
        <w:t>negative</w:t>
      </w:r>
    </w:p>
    <w:p w14:paraId="4105D176" w14:textId="77777777" w:rsidR="00CE6626" w:rsidRPr="009D4627" w:rsidRDefault="00CE6626" w:rsidP="00CE6626">
      <w:pPr>
        <w:spacing w:before="0" w:after="0" w:line="240" w:lineRule="auto"/>
        <w:rPr>
          <w:rFonts w:eastAsia="Calibri"/>
          <w:color w:val="auto"/>
          <w:lang w:val="en-MY"/>
        </w:rPr>
      </w:pPr>
      <w:r w:rsidRPr="009D4627">
        <w:rPr>
          <w:rFonts w:eastAsia="Calibri"/>
          <w:color w:val="auto"/>
          <w:lang w:val="en-MY"/>
        </w:rPr>
        <w:t xml:space="preserve"> </w:t>
      </w:r>
    </w:p>
    <w:p w14:paraId="17416959"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Assessment &amp; Plan: </w:t>
      </w:r>
    </w:p>
    <w:p w14:paraId="437327C4" w14:textId="77777777" w:rsidR="00CE6626" w:rsidRPr="009D4627" w:rsidRDefault="00CE6626" w:rsidP="00CE6626">
      <w:pPr>
        <w:spacing w:before="0" w:after="0" w:line="240" w:lineRule="auto"/>
        <w:ind w:firstLine="720"/>
        <w:rPr>
          <w:rFonts w:eastAsia="Calibri"/>
          <w:color w:val="auto"/>
          <w:lang w:val="en-MY"/>
        </w:rPr>
      </w:pPr>
      <w:r w:rsidRPr="009D4627">
        <w:rPr>
          <w:rFonts w:eastAsia="Calibri"/>
          <w:color w:val="auto"/>
          <w:lang w:val="en-MY"/>
        </w:rPr>
        <w:t>Recovering R sixth nerve palsy.</w:t>
      </w:r>
    </w:p>
    <w:p w14:paraId="33C95907" w14:textId="77777777" w:rsidR="00CE6626" w:rsidRPr="009D4627" w:rsidRDefault="00CE6626" w:rsidP="00CE6626">
      <w:pPr>
        <w:spacing w:before="0" w:after="0" w:line="240" w:lineRule="auto"/>
        <w:ind w:firstLine="720"/>
        <w:rPr>
          <w:rFonts w:eastAsia="Calibri"/>
          <w:color w:val="auto"/>
          <w:lang w:val="en-MY"/>
        </w:rPr>
      </w:pPr>
      <w:r w:rsidRPr="009D4627">
        <w:rPr>
          <w:rFonts w:eastAsia="Calibri"/>
          <w:color w:val="auto"/>
          <w:lang w:val="en-MY"/>
        </w:rPr>
        <w:t>Prism reduced to 12</w:t>
      </w:r>
      <w:r w:rsidRPr="009D4627">
        <w:rPr>
          <w:rFonts w:eastAsia="Calibri"/>
          <w:bCs/>
          <w:vertAlign w:val="superscript"/>
          <w:lang w:val="en-MY"/>
        </w:rPr>
        <w:t>Δ</w:t>
      </w:r>
      <w:r w:rsidRPr="009D4627">
        <w:rPr>
          <w:rFonts w:eastAsia="Calibri"/>
          <w:bCs/>
          <w:lang w:val="en-MY"/>
        </w:rPr>
        <w:t xml:space="preserve"> BO over R lens of distance glasses.</w:t>
      </w:r>
    </w:p>
    <w:p w14:paraId="4E693EAE" w14:textId="77777777" w:rsidR="00CE6626" w:rsidRPr="009D4627" w:rsidRDefault="00CE6626" w:rsidP="00CE6626">
      <w:pPr>
        <w:spacing w:before="0" w:after="0" w:line="240" w:lineRule="auto"/>
        <w:ind w:left="720"/>
        <w:rPr>
          <w:rFonts w:eastAsia="Calibri"/>
          <w:color w:val="auto"/>
          <w:lang w:val="en-MY"/>
        </w:rPr>
      </w:pPr>
      <w:r w:rsidRPr="009D4627">
        <w:rPr>
          <w:rFonts w:eastAsia="Calibri"/>
          <w:color w:val="auto"/>
          <w:lang w:val="en-MY"/>
        </w:rPr>
        <w:t>Review 3-4/52.</w:t>
      </w:r>
    </w:p>
    <w:p w14:paraId="2F83BD70" w14:textId="77777777" w:rsidR="00CE6626" w:rsidRPr="009D4627" w:rsidRDefault="00CE6626" w:rsidP="00CE6626">
      <w:pPr>
        <w:spacing w:before="0" w:after="0" w:line="240" w:lineRule="auto"/>
        <w:rPr>
          <w:rFonts w:eastAsia="Calibri"/>
          <w:b/>
          <w:szCs w:val="22"/>
          <w:u w:val="single"/>
          <w:lang w:val="en-MY"/>
        </w:rPr>
      </w:pPr>
    </w:p>
    <w:p w14:paraId="6C073BF0" w14:textId="77777777"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3: </w:t>
      </w:r>
      <w:r w:rsidRPr="009D4627">
        <w:rPr>
          <w:rFonts w:eastAsia="Calibri"/>
          <w:bCs/>
          <w:szCs w:val="22"/>
          <w:u w:val="single"/>
          <w:lang w:val="en-MY"/>
        </w:rPr>
        <w:t>27/02/</w:t>
      </w:r>
      <w:r w:rsidRPr="009D4627">
        <w:rPr>
          <w:rFonts w:eastAsia="Calibri"/>
          <w:bCs/>
          <w:color w:val="auto"/>
          <w:szCs w:val="22"/>
          <w:u w:val="single"/>
          <w:lang w:val="en-MY"/>
        </w:rPr>
        <w:t xml:space="preserve">19 (8 weeks from onset) – </w:t>
      </w:r>
      <w:r w:rsidRPr="009D4627">
        <w:rPr>
          <w:rFonts w:eastAsia="Calibri"/>
          <w:szCs w:val="22"/>
          <w:lang w:val="en-MY"/>
        </w:rPr>
        <w:t xml:space="preserve">Orthoptic assessment </w:t>
      </w:r>
    </w:p>
    <w:p w14:paraId="6C93669D" w14:textId="77777777" w:rsidR="00CE6626" w:rsidRPr="009D4627" w:rsidRDefault="00CE6626" w:rsidP="00CE6626">
      <w:pPr>
        <w:spacing w:before="0" w:after="0" w:line="240" w:lineRule="auto"/>
        <w:rPr>
          <w:rFonts w:eastAsia="Calibri"/>
          <w:b/>
          <w:szCs w:val="22"/>
          <w:lang w:val="en-MY"/>
        </w:rPr>
      </w:pPr>
    </w:p>
    <w:p w14:paraId="6DD47BC2" w14:textId="77777777" w:rsidR="00CE6626" w:rsidRPr="009D4627" w:rsidRDefault="00CE6626" w:rsidP="00CE6626">
      <w:pPr>
        <w:spacing w:before="0" w:line="240" w:lineRule="auto"/>
        <w:rPr>
          <w:rFonts w:eastAsia="Calibri"/>
          <w:bCs/>
          <w:i/>
          <w:iCs/>
          <w:szCs w:val="22"/>
          <w:lang w:val="en-MY"/>
        </w:rPr>
      </w:pPr>
      <w:r w:rsidRPr="009D4627">
        <w:rPr>
          <w:rFonts w:eastAsia="Calibri"/>
          <w:bCs/>
          <w:i/>
          <w:iCs/>
          <w:szCs w:val="22"/>
          <w:lang w:val="en-MY"/>
        </w:rPr>
        <w:t>Only a few BSV tests performed on this follow-up visit</w:t>
      </w:r>
    </w:p>
    <w:p w14:paraId="0B9CC2E2" w14:textId="77777777" w:rsidR="00CE6626" w:rsidRPr="009D4627" w:rsidRDefault="00CE6626" w:rsidP="00CE6626">
      <w:pPr>
        <w:spacing w:before="0" w:after="0" w:line="240" w:lineRule="auto"/>
        <w:rPr>
          <w:rFonts w:eastAsia="Calibri"/>
          <w:bCs/>
          <w:lang w:val="en-MY"/>
        </w:rPr>
      </w:pPr>
      <w:r w:rsidRPr="009D4627">
        <w:rPr>
          <w:rFonts w:eastAsia="Calibri"/>
          <w:b/>
          <w:lang w:val="en-MY"/>
        </w:rPr>
        <w:t xml:space="preserve">PFR: </w:t>
      </w:r>
      <w:r w:rsidRPr="009D4627">
        <w:rPr>
          <w:rFonts w:eastAsia="Calibri"/>
          <w:b/>
          <w:lang w:val="en-MY"/>
        </w:rPr>
        <w:tab/>
      </w:r>
      <w:r w:rsidRPr="009D4627">
        <w:rPr>
          <w:rFonts w:eastAsia="Calibri"/>
          <w:bCs/>
          <w:lang w:val="en-MY"/>
        </w:rPr>
        <w:t xml:space="preserve">with readers </w:t>
      </w:r>
      <w:r w:rsidRPr="009D4627">
        <w:rPr>
          <w:rFonts w:eastAsia="Calibri"/>
          <w:bCs/>
          <w:lang w:val="en-MY"/>
        </w:rPr>
        <w:tab/>
        <w:t>1/3m 40</w:t>
      </w:r>
      <w:r w:rsidRPr="009D4627">
        <w:rPr>
          <w:rFonts w:eastAsia="Calibri"/>
          <w:bCs/>
          <w:vertAlign w:val="superscript"/>
          <w:lang w:val="en-MY"/>
        </w:rPr>
        <w:t>Δ</w:t>
      </w:r>
      <w:r w:rsidRPr="009D4627">
        <w:rPr>
          <w:rFonts w:eastAsia="Calibri"/>
          <w:bCs/>
          <w:lang w:val="en-MY"/>
        </w:rPr>
        <w:t xml:space="preserve"> BO – 18</w:t>
      </w:r>
      <w:r w:rsidRPr="009D4627">
        <w:rPr>
          <w:rFonts w:eastAsia="Calibri"/>
          <w:bCs/>
          <w:vertAlign w:val="superscript"/>
          <w:lang w:val="en-MY"/>
        </w:rPr>
        <w:t>Δ</w:t>
      </w:r>
      <w:r w:rsidRPr="009D4627">
        <w:rPr>
          <w:rFonts w:eastAsia="Calibri"/>
          <w:bCs/>
          <w:lang w:val="en-MY"/>
        </w:rPr>
        <w:t xml:space="preserve"> </w:t>
      </w:r>
      <w:proofErr w:type="gramStart"/>
      <w:r w:rsidRPr="009D4627">
        <w:rPr>
          <w:rFonts w:eastAsia="Calibri"/>
          <w:bCs/>
          <w:lang w:val="en-MY"/>
        </w:rPr>
        <w:t>BI }</w:t>
      </w:r>
      <w:proofErr w:type="gramEnd"/>
      <w:r w:rsidRPr="009D4627">
        <w:rPr>
          <w:rFonts w:eastAsia="Calibri"/>
          <w:bCs/>
          <w:lang w:val="en-MY"/>
        </w:rPr>
        <w:t xml:space="preserve"> no appreciation of diplopia</w:t>
      </w:r>
    </w:p>
    <w:p w14:paraId="17ECFFE4" w14:textId="77777777" w:rsidR="00CE6626" w:rsidRPr="009D4627" w:rsidRDefault="00CE6626" w:rsidP="00CE6626">
      <w:pPr>
        <w:spacing w:before="0" w:line="240" w:lineRule="auto"/>
        <w:rPr>
          <w:rFonts w:eastAsia="Calibri"/>
          <w:bCs/>
          <w:lang w:val="en-MY"/>
        </w:rPr>
      </w:pPr>
      <w:r w:rsidRPr="009D4627">
        <w:rPr>
          <w:rFonts w:eastAsia="Calibri"/>
          <w:bCs/>
          <w:lang w:val="en-MY"/>
        </w:rPr>
        <w:tab/>
        <w:t>with glasses</w:t>
      </w:r>
      <w:r w:rsidRPr="009D4627">
        <w:rPr>
          <w:rFonts w:eastAsia="Calibri"/>
          <w:bCs/>
          <w:lang w:val="en-MY"/>
        </w:rPr>
        <w:tab/>
        <w:t>6 m 20</w:t>
      </w:r>
      <w:r w:rsidRPr="009D4627">
        <w:rPr>
          <w:rFonts w:eastAsia="Calibri"/>
          <w:bCs/>
          <w:vertAlign w:val="superscript"/>
          <w:lang w:val="en-MY"/>
        </w:rPr>
        <w:t xml:space="preserve">Δ </w:t>
      </w:r>
      <w:r w:rsidRPr="009D4627">
        <w:rPr>
          <w:rFonts w:eastAsia="Calibri"/>
          <w:bCs/>
          <w:lang w:val="en-MY"/>
        </w:rPr>
        <w:t>BI – 20</w:t>
      </w:r>
      <w:r w:rsidRPr="009D4627">
        <w:rPr>
          <w:rFonts w:eastAsia="Calibri"/>
          <w:bCs/>
          <w:vertAlign w:val="superscript"/>
          <w:lang w:val="en-MY"/>
        </w:rPr>
        <w:t>Δ</w:t>
      </w:r>
      <w:r w:rsidRPr="009D4627">
        <w:rPr>
          <w:rFonts w:eastAsia="Calibri"/>
          <w:bCs/>
          <w:lang w:val="en-MY"/>
        </w:rPr>
        <w:t xml:space="preserve"> </w:t>
      </w:r>
      <w:proofErr w:type="gramStart"/>
      <w:r w:rsidRPr="009D4627">
        <w:rPr>
          <w:rFonts w:eastAsia="Calibri"/>
          <w:bCs/>
          <w:lang w:val="en-MY"/>
        </w:rPr>
        <w:t>BO }</w:t>
      </w:r>
      <w:proofErr w:type="gramEnd"/>
      <w:r w:rsidRPr="009D4627">
        <w:rPr>
          <w:rFonts w:eastAsia="Calibri"/>
          <w:bCs/>
          <w:lang w:val="en-MY"/>
        </w:rPr>
        <w:t xml:space="preserve"> no appreciation of diplopia</w:t>
      </w:r>
    </w:p>
    <w:p w14:paraId="7A21929C" w14:textId="77777777" w:rsidR="00CE6626" w:rsidRPr="009D4627" w:rsidRDefault="00CE6626" w:rsidP="00CE6626">
      <w:pPr>
        <w:spacing w:before="0" w:line="240" w:lineRule="auto"/>
        <w:rPr>
          <w:rFonts w:eastAsia="Calibri"/>
          <w:bCs/>
          <w:szCs w:val="22"/>
          <w:lang w:val="en-MY"/>
        </w:rPr>
      </w:pPr>
      <w:r w:rsidRPr="009D4627">
        <w:rPr>
          <w:rFonts w:eastAsia="Calibri"/>
          <w:b/>
          <w:szCs w:val="22"/>
          <w:lang w:val="en-MY"/>
        </w:rPr>
        <w:t xml:space="preserve">Convergence: </w:t>
      </w:r>
      <w:r w:rsidRPr="009D4627">
        <w:rPr>
          <w:rFonts w:eastAsia="Calibri"/>
          <w:bCs/>
          <w:szCs w:val="22"/>
          <w:lang w:val="en-MY"/>
        </w:rPr>
        <w:t xml:space="preserve">binocular to 8 cm then each eye </w:t>
      </w:r>
      <w:proofErr w:type="gramStart"/>
      <w:r w:rsidRPr="009D4627">
        <w:rPr>
          <w:rFonts w:eastAsia="Calibri"/>
          <w:bCs/>
          <w:szCs w:val="22"/>
          <w:lang w:val="en-MY"/>
        </w:rPr>
        <w:t>diverge</w:t>
      </w:r>
      <w:proofErr w:type="gramEnd"/>
      <w:r w:rsidRPr="009D4627">
        <w:rPr>
          <w:rFonts w:eastAsia="Calibri"/>
          <w:bCs/>
          <w:szCs w:val="22"/>
          <w:lang w:val="en-MY"/>
        </w:rPr>
        <w:t xml:space="preserve"> without diplopia</w:t>
      </w:r>
    </w:p>
    <w:p w14:paraId="75026121" w14:textId="77777777" w:rsidR="00CE6626" w:rsidRPr="009D4627" w:rsidRDefault="00CE6626" w:rsidP="00CE6626">
      <w:pPr>
        <w:spacing w:before="0" w:line="240" w:lineRule="auto"/>
        <w:rPr>
          <w:rFonts w:eastAsia="Calibri"/>
          <w:bCs/>
          <w:szCs w:val="22"/>
          <w:lang w:val="en-MY"/>
        </w:rPr>
      </w:pPr>
      <w:r w:rsidRPr="009D4627">
        <w:rPr>
          <w:rFonts w:eastAsia="Calibri"/>
          <w:b/>
          <w:szCs w:val="22"/>
          <w:lang w:val="en-MY"/>
        </w:rPr>
        <w:t xml:space="preserve">Frisby: </w:t>
      </w:r>
      <w:r w:rsidRPr="009D4627">
        <w:rPr>
          <w:rFonts w:eastAsia="Calibri"/>
          <w:bCs/>
          <w:szCs w:val="22"/>
          <w:lang w:val="en-MY"/>
        </w:rPr>
        <w:t>340”</w:t>
      </w:r>
    </w:p>
    <w:p w14:paraId="1B02F0E9"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Assessment &amp; Plan: </w:t>
      </w:r>
    </w:p>
    <w:p w14:paraId="5AE0E173" w14:textId="77777777" w:rsidR="00CE6626" w:rsidRPr="009D4627" w:rsidRDefault="00CE6626" w:rsidP="00CE6626">
      <w:pPr>
        <w:spacing w:before="0" w:after="0" w:line="240" w:lineRule="auto"/>
        <w:ind w:firstLine="720"/>
        <w:rPr>
          <w:rFonts w:eastAsia="Calibri"/>
          <w:color w:val="auto"/>
          <w:lang w:val="en-MY"/>
        </w:rPr>
      </w:pPr>
      <w:r w:rsidRPr="009D4627">
        <w:rPr>
          <w:rFonts w:eastAsia="Calibri"/>
          <w:color w:val="auto"/>
          <w:lang w:val="en-MY"/>
        </w:rPr>
        <w:t>Recovered R sixth nerve palsy.</w:t>
      </w:r>
    </w:p>
    <w:p w14:paraId="0035EB92" w14:textId="77777777" w:rsidR="00CE6626" w:rsidRPr="009D4627" w:rsidRDefault="00CE6626" w:rsidP="00CE6626">
      <w:pPr>
        <w:spacing w:before="0" w:after="0" w:line="240" w:lineRule="auto"/>
        <w:ind w:firstLine="720"/>
        <w:rPr>
          <w:rFonts w:eastAsia="Calibri"/>
          <w:color w:val="auto"/>
          <w:lang w:val="en-MY"/>
        </w:rPr>
      </w:pPr>
      <w:r w:rsidRPr="009D4627">
        <w:rPr>
          <w:rFonts w:eastAsia="Calibri"/>
          <w:color w:val="auto"/>
          <w:lang w:val="en-MY"/>
        </w:rPr>
        <w:t xml:space="preserve">Appears to be eye-related OM defects. </w:t>
      </w:r>
    </w:p>
    <w:p w14:paraId="2F9AFE02" w14:textId="77777777" w:rsidR="00CE6626" w:rsidRPr="009D4627" w:rsidRDefault="00CE6626" w:rsidP="00CE6626">
      <w:pPr>
        <w:spacing w:before="0" w:after="0" w:line="240" w:lineRule="auto"/>
        <w:ind w:firstLine="720"/>
        <w:rPr>
          <w:rFonts w:eastAsia="Calibri"/>
          <w:color w:val="auto"/>
          <w:lang w:val="en-MY"/>
        </w:rPr>
      </w:pPr>
      <w:r w:rsidRPr="009D4627">
        <w:rPr>
          <w:rFonts w:eastAsia="Calibri"/>
          <w:color w:val="auto"/>
          <w:lang w:val="en-MY"/>
        </w:rPr>
        <w:t>Patient is asymptomatic. No Δ given this time.</w:t>
      </w:r>
    </w:p>
    <w:p w14:paraId="4D59787C" w14:textId="77777777" w:rsidR="00CE6626" w:rsidRPr="009D4627" w:rsidRDefault="00CE6626" w:rsidP="00CE6626">
      <w:pPr>
        <w:spacing w:before="0" w:line="240" w:lineRule="auto"/>
        <w:ind w:firstLine="720"/>
        <w:rPr>
          <w:rFonts w:eastAsia="Calibri"/>
          <w:color w:val="auto"/>
          <w:lang w:val="en-MY"/>
        </w:rPr>
      </w:pPr>
      <w:r w:rsidRPr="009D4627">
        <w:rPr>
          <w:rFonts w:eastAsia="Calibri"/>
          <w:color w:val="auto"/>
          <w:lang w:val="en-MY"/>
        </w:rPr>
        <w:t>Review once more 4/12 then discharge.</w:t>
      </w:r>
    </w:p>
    <w:p w14:paraId="2E442A98" w14:textId="77777777"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lastRenderedPageBreak/>
        <w:t xml:space="preserve">Clinical visit 4: </w:t>
      </w:r>
      <w:r w:rsidRPr="009D4627">
        <w:rPr>
          <w:rFonts w:eastAsia="Calibri"/>
          <w:bCs/>
          <w:szCs w:val="22"/>
          <w:u w:val="single"/>
          <w:lang w:val="en-MY"/>
        </w:rPr>
        <w:t>27/06/</w:t>
      </w:r>
      <w:r w:rsidRPr="009D4627">
        <w:rPr>
          <w:rFonts w:eastAsia="Calibri"/>
          <w:bCs/>
          <w:color w:val="auto"/>
          <w:szCs w:val="22"/>
          <w:u w:val="single"/>
          <w:lang w:val="en-MY"/>
        </w:rPr>
        <w:t xml:space="preserve">19 (27 weeks from onset) – </w:t>
      </w:r>
      <w:r w:rsidRPr="009D4627">
        <w:rPr>
          <w:rFonts w:eastAsia="Calibri"/>
          <w:szCs w:val="22"/>
          <w:lang w:val="en-MY"/>
        </w:rPr>
        <w:t xml:space="preserve">Orthoptic assessment </w:t>
      </w:r>
    </w:p>
    <w:p w14:paraId="0822E0BD" w14:textId="77777777" w:rsidR="00CE6626" w:rsidRPr="009D4627" w:rsidRDefault="00CE6626" w:rsidP="00CE6626">
      <w:pPr>
        <w:spacing w:before="0" w:after="0" w:line="240" w:lineRule="auto"/>
        <w:rPr>
          <w:rFonts w:eastAsia="Calibri"/>
          <w:b/>
          <w:szCs w:val="22"/>
          <w:lang w:val="en-MY"/>
        </w:rPr>
      </w:pPr>
    </w:p>
    <w:p w14:paraId="3D146C21"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 xml:space="preserve">No diplopia since the last visit (recovered R sixth nerve palsy). </w:t>
      </w:r>
    </w:p>
    <w:p w14:paraId="5385140A"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 xml:space="preserve"> </w:t>
      </w:r>
    </w:p>
    <w:p w14:paraId="335EAC9C"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with glasses </w:t>
      </w:r>
      <w:r w:rsidRPr="009D4627">
        <w:rPr>
          <w:rFonts w:eastAsia="Calibri"/>
          <w:bCs/>
          <w:szCs w:val="22"/>
          <w:lang w:val="en-MY"/>
        </w:rPr>
        <w:tab/>
        <w:t>RE 0.36</w:t>
      </w:r>
      <w:r w:rsidRPr="009D4627">
        <w:rPr>
          <w:rFonts w:eastAsia="Calibri"/>
          <w:bCs/>
          <w:szCs w:val="22"/>
          <w:lang w:val="en-MY"/>
        </w:rPr>
        <w:tab/>
        <w:t xml:space="preserve">LE 0.18     </w:t>
      </w:r>
      <w:r w:rsidRPr="009D4627">
        <w:rPr>
          <w:rFonts w:eastAsia="Calibri"/>
          <w:bCs/>
          <w:szCs w:val="22"/>
          <w:lang w:val="en-MY"/>
        </w:rPr>
        <w:tab/>
        <w:t>ETDRS (</w:t>
      </w:r>
      <w:proofErr w:type="spellStart"/>
      <w:r w:rsidRPr="009D4627">
        <w:rPr>
          <w:rFonts w:eastAsia="Calibri"/>
          <w:bCs/>
          <w:szCs w:val="22"/>
          <w:lang w:val="en-MY"/>
        </w:rPr>
        <w:t>logMAR</w:t>
      </w:r>
      <w:proofErr w:type="spellEnd"/>
      <w:r w:rsidRPr="009D4627">
        <w:rPr>
          <w:rFonts w:eastAsia="Calibri"/>
          <w:bCs/>
          <w:szCs w:val="22"/>
          <w:lang w:val="en-MY"/>
        </w:rPr>
        <w:t>)</w:t>
      </w:r>
    </w:p>
    <w:p w14:paraId="5210A281" w14:textId="7142A8D6"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w:t>
      </w:r>
      <w:r w:rsidR="00A11E21">
        <w:rPr>
          <w:rFonts w:eastAsia="Calibri"/>
          <w:bCs/>
          <w:szCs w:val="22"/>
          <w:lang w:val="en-MY"/>
        </w:rPr>
        <w:tab/>
      </w:r>
      <w:r w:rsidRPr="009D4627">
        <w:rPr>
          <w:rFonts w:eastAsia="Calibri"/>
          <w:bCs/>
          <w:szCs w:val="22"/>
          <w:lang w:val="en-MY"/>
        </w:rPr>
        <w:t>6/12</w:t>
      </w:r>
      <w:r w:rsidRPr="009D4627">
        <w:rPr>
          <w:rFonts w:eastAsia="Calibri"/>
          <w:bCs/>
          <w:szCs w:val="22"/>
          <w:vertAlign w:val="superscript"/>
          <w:lang w:val="en-MY"/>
        </w:rPr>
        <w:t>-3</w:t>
      </w:r>
      <w:r w:rsidRPr="009D4627">
        <w:rPr>
          <w:rFonts w:eastAsia="Calibri"/>
          <w:bCs/>
          <w:szCs w:val="22"/>
          <w:lang w:val="en-MY"/>
        </w:rPr>
        <w:tab/>
        <w:t xml:space="preserve">    </w:t>
      </w:r>
      <w:r w:rsidR="00A11E21">
        <w:rPr>
          <w:rFonts w:eastAsia="Calibri"/>
          <w:bCs/>
          <w:szCs w:val="22"/>
          <w:lang w:val="en-MY"/>
        </w:rPr>
        <w:tab/>
      </w:r>
      <w:r w:rsidRPr="009D4627">
        <w:rPr>
          <w:rFonts w:eastAsia="Calibri"/>
          <w:bCs/>
          <w:szCs w:val="22"/>
          <w:lang w:val="en-MY"/>
        </w:rPr>
        <w:t xml:space="preserve">6/9   </w:t>
      </w:r>
      <w:r w:rsidRPr="009D4627">
        <w:rPr>
          <w:rFonts w:eastAsia="Calibri"/>
          <w:bCs/>
          <w:szCs w:val="22"/>
          <w:lang w:val="en-MY"/>
        </w:rPr>
        <w:tab/>
      </w:r>
      <w:r w:rsidRPr="009D4627">
        <w:rPr>
          <w:rFonts w:eastAsia="Calibri"/>
          <w:bCs/>
          <w:szCs w:val="22"/>
          <w:lang w:val="en-MY"/>
        </w:rPr>
        <w:tab/>
        <w:t>Snellen equivalent</w:t>
      </w:r>
    </w:p>
    <w:p w14:paraId="633713CA" w14:textId="77777777" w:rsidR="00CE6626" w:rsidRPr="009D4627" w:rsidRDefault="00CE6626" w:rsidP="00CE6626">
      <w:pPr>
        <w:spacing w:before="0" w:after="0" w:line="240" w:lineRule="auto"/>
        <w:rPr>
          <w:rFonts w:eastAsia="Calibri"/>
          <w:b/>
          <w:szCs w:val="22"/>
          <w:lang w:val="en-MY"/>
        </w:rPr>
      </w:pPr>
    </w:p>
    <w:p w14:paraId="52FF1FEC"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 glasses </w:t>
      </w:r>
      <w:r w:rsidRPr="009D4627">
        <w:rPr>
          <w:rFonts w:eastAsia="Calibri"/>
          <w:bCs/>
          <w:szCs w:val="22"/>
          <w:lang w:val="en-MY"/>
        </w:rPr>
        <w:tab/>
        <w:t>1/3 m no deviation</w:t>
      </w:r>
    </w:p>
    <w:p w14:paraId="20787E06"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 xml:space="preserve">                                            </w:t>
      </w:r>
      <w:r w:rsidRPr="009D4627">
        <w:rPr>
          <w:rFonts w:eastAsia="Calibri"/>
          <w:bCs/>
          <w:szCs w:val="22"/>
          <w:lang w:val="en-MY"/>
        </w:rPr>
        <w:tab/>
        <w:t xml:space="preserve"> 6 m no deviation </w:t>
      </w:r>
    </w:p>
    <w:p w14:paraId="49876520" w14:textId="77777777" w:rsidR="00CE6626" w:rsidRPr="009D4627" w:rsidRDefault="00CE6626" w:rsidP="00CE6626">
      <w:pPr>
        <w:spacing w:before="0" w:after="0" w:line="240" w:lineRule="auto"/>
        <w:rPr>
          <w:rFonts w:eastAsia="Calibri"/>
          <w:bCs/>
          <w:szCs w:val="22"/>
          <w:lang w:val="en-MY"/>
        </w:rPr>
      </w:pPr>
    </w:p>
    <w:p w14:paraId="6A3F5843" w14:textId="33654B16"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OMT:</w:t>
      </w:r>
      <w:r w:rsidR="00A2792E" w:rsidRPr="009D4627">
        <w:rPr>
          <w:noProof/>
        </w:rPr>
        <mc:AlternateContent>
          <mc:Choice Requires="wpg">
            <w:drawing>
              <wp:anchor distT="0" distB="0" distL="114300" distR="114300" simplePos="0" relativeHeight="251702272" behindDoc="0" locked="0" layoutInCell="1" allowOverlap="1" wp14:anchorId="3E189E77" wp14:editId="017F922E">
                <wp:simplePos x="0" y="0"/>
                <wp:positionH relativeFrom="column">
                  <wp:posOffset>2295525</wp:posOffset>
                </wp:positionH>
                <wp:positionV relativeFrom="line">
                  <wp:posOffset>622300</wp:posOffset>
                </wp:positionV>
                <wp:extent cx="66675" cy="440690"/>
                <wp:effectExtent l="0" t="0" r="9525" b="0"/>
                <wp:wrapNone/>
                <wp:docPr id="23175" name="Group 23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 cy="440690"/>
                          <a:chOff x="0" y="0"/>
                          <a:chExt cx="104775" cy="440944"/>
                        </a:xfrm>
                      </wpg:grpSpPr>
                      <wps:wsp>
                        <wps:cNvPr id="23176" name="Straight Connector 315"/>
                        <wps:cNvCnPr>
                          <a:cxnSpLocks noChangeShapeType="1"/>
                        </wps:cNvCnPr>
                        <wps:spPr bwMode="auto">
                          <a:xfrm rot="16200000" flipV="1">
                            <a:off x="-211773" y="214599"/>
                            <a:ext cx="440944" cy="11745"/>
                          </a:xfrm>
                          <a:prstGeom prst="line">
                            <a:avLst/>
                          </a:prstGeom>
                          <a:noFill/>
                          <a:ln w="6350">
                            <a:solidFill>
                              <a:sysClr val="windowText" lastClr="000000">
                                <a:lumMod val="100000"/>
                                <a:lumOff val="0"/>
                              </a:sysClr>
                            </a:solidFill>
                            <a:miter lim="800000"/>
                            <a:headEnd/>
                            <a:tailEnd/>
                          </a:ln>
                        </wps:spPr>
                        <wps:bodyPr/>
                      </wps:wsp>
                      <wps:wsp>
                        <wps:cNvPr id="23177" name="Straight Connector 320"/>
                        <wps:cNvCnPr>
                          <a:cxnSpLocks noChangeShapeType="1"/>
                        </wps:cNvCnPr>
                        <wps:spPr bwMode="auto">
                          <a:xfrm flipH="1">
                            <a:off x="38100" y="273971"/>
                            <a:ext cx="66675" cy="78105"/>
                          </a:xfrm>
                          <a:prstGeom prst="line">
                            <a:avLst/>
                          </a:prstGeom>
                          <a:noFill/>
                          <a:ln w="19050">
                            <a:solidFill>
                              <a:sysClr val="windowText" lastClr="000000">
                                <a:lumMod val="100000"/>
                                <a:lumOff val="0"/>
                              </a:sysClr>
                            </a:solidFill>
                            <a:miter lim="800000"/>
                            <a:headEnd/>
                            <a:tailEnd/>
                          </a:ln>
                        </wps:spPr>
                        <wps:bodyPr/>
                      </wps:wsp>
                      <wps:wsp>
                        <wps:cNvPr id="23178" name="Straight Connector 309"/>
                        <wps:cNvCnPr>
                          <a:cxnSpLocks noChangeShapeType="1"/>
                        </wps:cNvCnPr>
                        <wps:spPr bwMode="auto">
                          <a:xfrm flipH="1">
                            <a:off x="9525" y="178721"/>
                            <a:ext cx="66675" cy="78105"/>
                          </a:xfrm>
                          <a:prstGeom prst="line">
                            <a:avLst/>
                          </a:prstGeom>
                          <a:noFill/>
                          <a:ln w="19050">
                            <a:solidFill>
                              <a:sysClr val="windowText" lastClr="000000">
                                <a:lumMod val="100000"/>
                                <a:lumOff val="0"/>
                              </a:sysClr>
                            </a:solidFill>
                            <a:miter lim="800000"/>
                            <a:headEnd/>
                            <a:tailEnd/>
                          </a:ln>
                        </wps:spPr>
                        <wps:bodyPr/>
                      </wps:wsp>
                      <wps:wsp>
                        <wps:cNvPr id="23179" name="Straight Connector 310"/>
                        <wps:cNvCnPr>
                          <a:cxnSpLocks noChangeShapeType="1"/>
                        </wps:cNvCnPr>
                        <wps:spPr bwMode="auto">
                          <a:xfrm flipH="1">
                            <a:off x="0" y="92996"/>
                            <a:ext cx="66675" cy="78105"/>
                          </a:xfrm>
                          <a:prstGeom prst="line">
                            <a:avLst/>
                          </a:prstGeom>
                          <a:noFill/>
                          <a:ln w="19050">
                            <a:solidFill>
                              <a:sysClr val="windowText" lastClr="000000">
                                <a:lumMod val="100000"/>
                                <a:lumOff val="0"/>
                              </a:sysClr>
                            </a:solidFill>
                            <a:miter lim="800000"/>
                            <a:headEnd/>
                            <a:tailEnd/>
                          </a:ln>
                        </wps:spPr>
                        <wps:bodyPr/>
                      </wps:wsp>
                    </wpg:wgp>
                  </a:graphicData>
                </a:graphic>
                <wp14:sizeRelH relativeFrom="margin">
                  <wp14:pctWidth>0</wp14:pctWidth>
                </wp14:sizeRelH>
                <wp14:sizeRelV relativeFrom="page">
                  <wp14:pctHeight>0</wp14:pctHeight>
                </wp14:sizeRelV>
              </wp:anchor>
            </w:drawing>
          </mc:Choice>
          <mc:Fallback>
            <w:pict>
              <v:group w14:anchorId="13E88928" id="Group 23175" o:spid="_x0000_s1026" style="position:absolute;margin-left:180.75pt;margin-top:49pt;width:5.25pt;height:34.7pt;z-index:251702272;mso-position-vertical-relative:line;mso-width-relative:margin" coordsize="104775,440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">
                <v:line id="Straight Connector 315" o:spid="_x0000_s1027" style="position:absolute;rotation:90;flip:y;visibility:visible;mso-wrap-style:square" from="-211773,214599" to="229171,226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" strokeweight=".5pt">
                  <v:stroke joinstyle="miter"/>
                </v:line>
                <v:line id="Straight Connector 320" o:spid="_x0000_s1028" style="position:absolute;flip:x;visibility:visible;mso-wrap-style:square" from="38100,273971" to="104775,35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" strokeweight="1.5pt">
                  <v:stroke joinstyle="miter"/>
                </v:line>
                <v:line id="Straight Connector 309" o:spid="_x0000_s1029" style="position:absolute;flip:x;visibility:visible;mso-wrap-style:square" from="9525,178721" to="76200,256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" strokeweight="1.5pt">
                  <v:stroke joinstyle="miter"/>
                </v:line>
                <v:line id="Straight Connector 310" o:spid="_x0000_s1030" style="position:absolute;flip:x;visibility:visible;mso-wrap-style:square" from="0,92996" to="66675,17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" strokeweight="1.5pt">
                  <v:stroke joinstyle="miter"/>
                </v:line>
                <w10:wrap anchory="line"/>
              </v:group>
            </w:pict>
          </mc:Fallback>
        </mc:AlternateContent>
      </w:r>
      <w:r w:rsidR="00A2792E" w:rsidRPr="009D4627">
        <w:rPr>
          <w:noProof/>
        </w:rPr>
        <mc:AlternateContent>
          <mc:Choice Requires="wpg">
            <w:drawing>
              <wp:anchor distT="0" distB="0" distL="114300" distR="114300" simplePos="0" relativeHeight="251705344" behindDoc="0" locked="0" layoutInCell="1" allowOverlap="1" wp14:anchorId="1EC74213" wp14:editId="161799CC">
                <wp:simplePos x="0" y="0"/>
                <wp:positionH relativeFrom="column">
                  <wp:posOffset>3971925</wp:posOffset>
                </wp:positionH>
                <wp:positionV relativeFrom="line">
                  <wp:posOffset>588645</wp:posOffset>
                </wp:positionV>
                <wp:extent cx="66675" cy="440690"/>
                <wp:effectExtent l="0" t="0" r="9525" b="0"/>
                <wp:wrapNone/>
                <wp:docPr id="23170" name="Group 23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 cy="440690"/>
                          <a:chOff x="0" y="0"/>
                          <a:chExt cx="104775" cy="440944"/>
                        </a:xfrm>
                      </wpg:grpSpPr>
                      <wps:wsp>
                        <wps:cNvPr id="23171" name="Straight Connector 178"/>
                        <wps:cNvCnPr>
                          <a:cxnSpLocks noChangeShapeType="1"/>
                        </wps:cNvCnPr>
                        <wps:spPr bwMode="auto">
                          <a:xfrm rot="16200000" flipV="1">
                            <a:off x="-211773" y="214599"/>
                            <a:ext cx="440944" cy="11745"/>
                          </a:xfrm>
                          <a:prstGeom prst="line">
                            <a:avLst/>
                          </a:prstGeom>
                          <a:noFill/>
                          <a:ln w="6350">
                            <a:solidFill>
                              <a:sysClr val="windowText" lastClr="000000">
                                <a:lumMod val="100000"/>
                                <a:lumOff val="0"/>
                              </a:sysClr>
                            </a:solidFill>
                            <a:miter lim="800000"/>
                            <a:headEnd/>
                            <a:tailEnd/>
                          </a:ln>
                        </wps:spPr>
                        <wps:bodyPr/>
                      </wps:wsp>
                      <wps:wsp>
                        <wps:cNvPr id="23172" name="Straight Connector 179"/>
                        <wps:cNvCnPr>
                          <a:cxnSpLocks noChangeShapeType="1"/>
                        </wps:cNvCnPr>
                        <wps:spPr bwMode="auto">
                          <a:xfrm flipH="1">
                            <a:off x="38100" y="273971"/>
                            <a:ext cx="66675" cy="78105"/>
                          </a:xfrm>
                          <a:prstGeom prst="line">
                            <a:avLst/>
                          </a:prstGeom>
                          <a:noFill/>
                          <a:ln w="19050">
                            <a:solidFill>
                              <a:sysClr val="windowText" lastClr="000000">
                                <a:lumMod val="100000"/>
                                <a:lumOff val="0"/>
                              </a:sysClr>
                            </a:solidFill>
                            <a:miter lim="800000"/>
                            <a:headEnd/>
                            <a:tailEnd/>
                          </a:ln>
                        </wps:spPr>
                        <wps:bodyPr/>
                      </wps:wsp>
                      <wps:wsp>
                        <wps:cNvPr id="23173" name="Straight Connector 180"/>
                        <wps:cNvCnPr>
                          <a:cxnSpLocks noChangeShapeType="1"/>
                        </wps:cNvCnPr>
                        <wps:spPr bwMode="auto">
                          <a:xfrm flipH="1">
                            <a:off x="9525" y="178721"/>
                            <a:ext cx="66675" cy="78105"/>
                          </a:xfrm>
                          <a:prstGeom prst="line">
                            <a:avLst/>
                          </a:prstGeom>
                          <a:noFill/>
                          <a:ln w="19050">
                            <a:solidFill>
                              <a:sysClr val="windowText" lastClr="000000">
                                <a:lumMod val="100000"/>
                                <a:lumOff val="0"/>
                              </a:sysClr>
                            </a:solidFill>
                            <a:miter lim="800000"/>
                            <a:headEnd/>
                            <a:tailEnd/>
                          </a:ln>
                        </wps:spPr>
                        <wps:bodyPr/>
                      </wps:wsp>
                      <wps:wsp>
                        <wps:cNvPr id="23174" name="Straight Connector 181"/>
                        <wps:cNvCnPr>
                          <a:cxnSpLocks noChangeShapeType="1"/>
                        </wps:cNvCnPr>
                        <wps:spPr bwMode="auto">
                          <a:xfrm flipH="1">
                            <a:off x="0" y="92996"/>
                            <a:ext cx="66675" cy="78105"/>
                          </a:xfrm>
                          <a:prstGeom prst="line">
                            <a:avLst/>
                          </a:prstGeom>
                          <a:noFill/>
                          <a:ln w="19050">
                            <a:solidFill>
                              <a:sysClr val="windowText" lastClr="000000">
                                <a:lumMod val="100000"/>
                                <a:lumOff val="0"/>
                              </a:sysClr>
                            </a:solidFill>
                            <a:miter lim="800000"/>
                            <a:headEnd/>
                            <a:tailEnd/>
                          </a:ln>
                        </wps:spPr>
                        <wps:bodyPr/>
                      </wps:wsp>
                    </wpg:wgp>
                  </a:graphicData>
                </a:graphic>
                <wp14:sizeRelH relativeFrom="margin">
                  <wp14:pctWidth>0</wp14:pctWidth>
                </wp14:sizeRelH>
                <wp14:sizeRelV relativeFrom="page">
                  <wp14:pctHeight>0</wp14:pctHeight>
                </wp14:sizeRelV>
              </wp:anchor>
            </w:drawing>
          </mc:Choice>
          <mc:Fallback>
            <w:pict>
              <v:group w14:anchorId="542ED9AE" id="Group 23170" o:spid="_x0000_s1026" style="position:absolute;margin-left:312.75pt;margin-top:46.35pt;width:5.25pt;height:34.7pt;z-index:251705344;mso-position-vertical-relative:line;mso-width-relative:margin" coordsize="104775,440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">
                <v:line id="Straight Connector 178" o:spid="_x0000_s1027" style="position:absolute;rotation:90;flip:y;visibility:visible;mso-wrap-style:square" from="-211773,214599" to="229171,226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" strokeweight=".5pt">
                  <v:stroke joinstyle="miter"/>
                </v:line>
                <v:line id="Straight Connector 179" o:spid="_x0000_s1028" style="position:absolute;flip:x;visibility:visible;mso-wrap-style:square" from="38100,273971" to="104775,35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" strokeweight="1.5pt">
                  <v:stroke joinstyle="miter"/>
                </v:line>
                <v:line id="Straight Connector 180" o:spid="_x0000_s1029" style="position:absolute;flip:x;visibility:visible;mso-wrap-style:square" from="9525,178721" to="76200,256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" strokeweight="1.5pt">
                  <v:stroke joinstyle="miter"/>
                </v:line>
                <v:line id="Straight Connector 181" o:spid="_x0000_s1030" style="position:absolute;flip:x;visibility:visible;mso-wrap-style:square" from="0,92996" to="66675,17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" strokeweight="1.5pt">
                  <v:stroke joinstyle="miter"/>
                </v:line>
                <w10:wrap anchory="line"/>
              </v:group>
            </w:pict>
          </mc:Fallback>
        </mc:AlternateContent>
      </w:r>
      <w:r w:rsidR="00A2792E" w:rsidRPr="009D4627">
        <w:rPr>
          <w:noProof/>
        </w:rPr>
        <mc:AlternateContent>
          <mc:Choice Requires="wpg">
            <w:drawing>
              <wp:anchor distT="0" distB="0" distL="114300" distR="114300" simplePos="0" relativeHeight="251707392" behindDoc="0" locked="0" layoutInCell="1" allowOverlap="1" wp14:anchorId="3A19AA0A" wp14:editId="2273EB99">
                <wp:simplePos x="0" y="0"/>
                <wp:positionH relativeFrom="column">
                  <wp:posOffset>1524000</wp:posOffset>
                </wp:positionH>
                <wp:positionV relativeFrom="line">
                  <wp:posOffset>622300</wp:posOffset>
                </wp:positionV>
                <wp:extent cx="45720" cy="432435"/>
                <wp:effectExtent l="0" t="0" r="11430" b="5715"/>
                <wp:wrapNone/>
                <wp:docPr id="20343" name="Group 20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720" cy="432435"/>
                          <a:chOff x="0" y="3057"/>
                          <a:chExt cx="95765" cy="379465"/>
                        </a:xfrm>
                      </wpg:grpSpPr>
                      <wps:wsp>
                        <wps:cNvPr id="20344" name="Straight Connector 205"/>
                        <wps:cNvCnPr>
                          <a:cxnSpLocks noChangeShapeType="1"/>
                        </wps:cNvCnPr>
                        <wps:spPr bwMode="auto">
                          <a:xfrm rot="10800000" flipH="1">
                            <a:off x="1322" y="3057"/>
                            <a:ext cx="2713" cy="379465"/>
                          </a:xfrm>
                          <a:prstGeom prst="line">
                            <a:avLst/>
                          </a:prstGeom>
                          <a:noFill/>
                          <a:ln w="6350">
                            <a:solidFill>
                              <a:sysClr val="windowText" lastClr="000000">
                                <a:lumMod val="100000"/>
                                <a:lumOff val="0"/>
                              </a:sysClr>
                            </a:solidFill>
                            <a:miter lim="800000"/>
                            <a:headEnd/>
                            <a:tailEnd/>
                          </a:ln>
                        </wps:spPr>
                        <wps:bodyPr/>
                      </wps:wsp>
                      <wps:wsp>
                        <wps:cNvPr id="20350" name="Straight Connector 206"/>
                        <wps:cNvCnPr>
                          <a:cxnSpLocks noChangeShapeType="1"/>
                        </wps:cNvCnPr>
                        <wps:spPr bwMode="auto">
                          <a:xfrm flipH="1">
                            <a:off x="26711" y="273971"/>
                            <a:ext cx="66676" cy="78105"/>
                          </a:xfrm>
                          <a:prstGeom prst="line">
                            <a:avLst/>
                          </a:prstGeom>
                          <a:noFill/>
                          <a:ln w="19050">
                            <a:solidFill>
                              <a:sysClr val="windowText" lastClr="000000">
                                <a:lumMod val="100000"/>
                                <a:lumOff val="0"/>
                              </a:sysClr>
                            </a:solidFill>
                            <a:miter lim="800000"/>
                            <a:headEnd/>
                            <a:tailEnd/>
                          </a:ln>
                        </wps:spPr>
                        <wps:bodyPr/>
                      </wps:wsp>
                      <wps:wsp>
                        <wps:cNvPr id="23168" name="Straight Connector 207"/>
                        <wps:cNvCnPr>
                          <a:cxnSpLocks noChangeShapeType="1"/>
                        </wps:cNvCnPr>
                        <wps:spPr bwMode="auto">
                          <a:xfrm rot="5400000">
                            <a:off x="9783" y="170845"/>
                            <a:ext cx="85724" cy="86240"/>
                          </a:xfrm>
                          <a:prstGeom prst="line">
                            <a:avLst/>
                          </a:prstGeom>
                          <a:noFill/>
                          <a:ln w="19050">
                            <a:solidFill>
                              <a:sysClr val="windowText" lastClr="000000">
                                <a:lumMod val="100000"/>
                                <a:lumOff val="0"/>
                              </a:sysClr>
                            </a:solidFill>
                            <a:miter lim="800000"/>
                            <a:headEnd/>
                            <a:tailEnd/>
                          </a:ln>
                        </wps:spPr>
                        <wps:bodyPr/>
                      </wps:wsp>
                      <wps:wsp>
                        <wps:cNvPr id="23169" name="Straight Connector 210"/>
                        <wps:cNvCnPr>
                          <a:cxnSpLocks noChangeShapeType="1"/>
                        </wps:cNvCnPr>
                        <wps:spPr bwMode="auto">
                          <a:xfrm flipH="1">
                            <a:off x="0" y="92996"/>
                            <a:ext cx="66675" cy="78105"/>
                          </a:xfrm>
                          <a:prstGeom prst="line">
                            <a:avLst/>
                          </a:prstGeom>
                          <a:noFill/>
                          <a:ln w="19050">
                            <a:solidFill>
                              <a:sysClr val="windowText" lastClr="000000">
                                <a:lumMod val="100000"/>
                                <a:lumOff val="0"/>
                              </a:sysClr>
                            </a:solidFill>
                            <a:miter lim="800000"/>
                            <a:headEnd/>
                            <a:tailEnd/>
                          </a:ln>
                        </wps:spPr>
                        <wps:bodyPr/>
                      </wps:wsp>
                    </wpg:wgp>
                  </a:graphicData>
                </a:graphic>
                <wp14:sizeRelH relativeFrom="margin">
                  <wp14:pctWidth>0</wp14:pctWidth>
                </wp14:sizeRelH>
                <wp14:sizeRelV relativeFrom="margin">
                  <wp14:pctHeight>0</wp14:pctHeight>
                </wp14:sizeRelV>
              </wp:anchor>
            </w:drawing>
          </mc:Choice>
          <mc:Fallback>
            <w:pict>
              <v:group w14:anchorId="14E7D6A9" id="Group 20343" o:spid="_x0000_s1026" style="position:absolute;margin-left:120pt;margin-top:49pt;width:3.6pt;height:34.05pt;rotation:180;z-index:251707392;mso-position-vertical-relative:line;mso-width-relative:margin;mso-height-relative:margin" coordorigin=",3057" coordsize="95765,37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">
                <v:line id="Straight Connector 205" o:spid="_x0000_s1027" style="position:absolute;rotation:180;flip:x;visibility:visible;mso-wrap-style:square" from="1322,3057" to="4035,38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" strokeweight=".5pt">
                  <v:stroke joinstyle="miter"/>
                </v:line>
                <v:line id="Straight Connector 206" o:spid="_x0000_s1028" style="position:absolute;flip:x;visibility:visible;mso-wrap-style:square" from="26711,273971" to="93387,35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" strokeweight="1.5pt">
                  <v:stroke joinstyle="miter"/>
                </v:line>
                <v:line id="Straight Connector 207" o:spid="_x0000_s1029" style="position:absolute;rotation:90;visibility:visible;mso-wrap-style:square" from="9783,170845" to="95507,25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" strokeweight="1.5pt">
                  <v:stroke joinstyle="miter"/>
                </v:line>
                <v:line id="Straight Connector 210" o:spid="_x0000_s1030" style="position:absolute;flip:x;visibility:visible;mso-wrap-style:square" from="0,92996" to="66675,17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" strokeweight="1.5pt">
                  <v:stroke joinstyle="miter"/>
                </v:line>
                <w10:wrap anchory="line"/>
              </v:group>
            </w:pict>
          </mc:Fallback>
        </mc:AlternateContent>
      </w:r>
      <w:r w:rsidR="00A2792E" w:rsidRPr="009D4627">
        <w:rPr>
          <w:noProof/>
        </w:rPr>
        <mc:AlternateContent>
          <mc:Choice Requires="wpg">
            <w:drawing>
              <wp:anchor distT="0" distB="0" distL="114300" distR="114300" simplePos="0" relativeHeight="251708416" behindDoc="0" locked="0" layoutInCell="1" allowOverlap="1" wp14:anchorId="511CD8BE" wp14:editId="54220C4F">
                <wp:simplePos x="0" y="0"/>
                <wp:positionH relativeFrom="column">
                  <wp:posOffset>3204845</wp:posOffset>
                </wp:positionH>
                <wp:positionV relativeFrom="line">
                  <wp:posOffset>602615</wp:posOffset>
                </wp:positionV>
                <wp:extent cx="45720" cy="432435"/>
                <wp:effectExtent l="0" t="0" r="11430" b="5715"/>
                <wp:wrapNone/>
                <wp:docPr id="20338" name="Group 20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720" cy="432435"/>
                          <a:chOff x="0" y="3057"/>
                          <a:chExt cx="95765" cy="379465"/>
                        </a:xfrm>
                      </wpg:grpSpPr>
                      <wps:wsp>
                        <wps:cNvPr id="20339" name="Straight Connector 217"/>
                        <wps:cNvCnPr>
                          <a:cxnSpLocks noChangeShapeType="1"/>
                        </wps:cNvCnPr>
                        <wps:spPr bwMode="auto">
                          <a:xfrm rot="10800000" flipH="1">
                            <a:off x="1322" y="3057"/>
                            <a:ext cx="2713" cy="379465"/>
                          </a:xfrm>
                          <a:prstGeom prst="line">
                            <a:avLst/>
                          </a:prstGeom>
                          <a:noFill/>
                          <a:ln w="6350">
                            <a:solidFill>
                              <a:sysClr val="windowText" lastClr="000000">
                                <a:lumMod val="100000"/>
                                <a:lumOff val="0"/>
                              </a:sysClr>
                            </a:solidFill>
                            <a:miter lim="800000"/>
                            <a:headEnd/>
                            <a:tailEnd/>
                          </a:ln>
                        </wps:spPr>
                        <wps:bodyPr/>
                      </wps:wsp>
                      <wps:wsp>
                        <wps:cNvPr id="20340" name="Straight Connector 218"/>
                        <wps:cNvCnPr>
                          <a:cxnSpLocks noChangeShapeType="1"/>
                        </wps:cNvCnPr>
                        <wps:spPr bwMode="auto">
                          <a:xfrm flipH="1">
                            <a:off x="26711" y="273971"/>
                            <a:ext cx="66676" cy="78105"/>
                          </a:xfrm>
                          <a:prstGeom prst="line">
                            <a:avLst/>
                          </a:prstGeom>
                          <a:noFill/>
                          <a:ln w="19050">
                            <a:solidFill>
                              <a:sysClr val="windowText" lastClr="000000">
                                <a:lumMod val="100000"/>
                                <a:lumOff val="0"/>
                              </a:sysClr>
                            </a:solidFill>
                            <a:miter lim="800000"/>
                            <a:headEnd/>
                            <a:tailEnd/>
                          </a:ln>
                        </wps:spPr>
                        <wps:bodyPr/>
                      </wps:wsp>
                      <wps:wsp>
                        <wps:cNvPr id="20341" name="Straight Connector 223"/>
                        <wps:cNvCnPr>
                          <a:cxnSpLocks noChangeShapeType="1"/>
                        </wps:cNvCnPr>
                        <wps:spPr bwMode="auto">
                          <a:xfrm rot="5400000">
                            <a:off x="9783" y="170845"/>
                            <a:ext cx="85724" cy="86240"/>
                          </a:xfrm>
                          <a:prstGeom prst="line">
                            <a:avLst/>
                          </a:prstGeom>
                          <a:noFill/>
                          <a:ln w="19050">
                            <a:solidFill>
                              <a:sysClr val="windowText" lastClr="000000">
                                <a:lumMod val="100000"/>
                                <a:lumOff val="0"/>
                              </a:sysClr>
                            </a:solidFill>
                            <a:miter lim="800000"/>
                            <a:headEnd/>
                            <a:tailEnd/>
                          </a:ln>
                        </wps:spPr>
                        <wps:bodyPr/>
                      </wps:wsp>
                      <wps:wsp>
                        <wps:cNvPr id="20342" name="Straight Connector 224"/>
                        <wps:cNvCnPr>
                          <a:cxnSpLocks noChangeShapeType="1"/>
                        </wps:cNvCnPr>
                        <wps:spPr bwMode="auto">
                          <a:xfrm flipH="1">
                            <a:off x="0" y="92996"/>
                            <a:ext cx="66675" cy="78105"/>
                          </a:xfrm>
                          <a:prstGeom prst="line">
                            <a:avLst/>
                          </a:prstGeom>
                          <a:noFill/>
                          <a:ln w="19050">
                            <a:solidFill>
                              <a:sysClr val="windowText" lastClr="000000">
                                <a:lumMod val="100000"/>
                                <a:lumOff val="0"/>
                              </a:sysClr>
                            </a:solidFill>
                            <a:miter lim="800000"/>
                            <a:headEnd/>
                            <a:tailEnd/>
                          </a:ln>
                        </wps:spPr>
                        <wps:bodyPr/>
                      </wps:wsp>
                    </wpg:wgp>
                  </a:graphicData>
                </a:graphic>
                <wp14:sizeRelH relativeFrom="margin">
                  <wp14:pctWidth>0</wp14:pctWidth>
                </wp14:sizeRelH>
                <wp14:sizeRelV relativeFrom="margin">
                  <wp14:pctHeight>0</wp14:pctHeight>
                </wp14:sizeRelV>
              </wp:anchor>
            </w:drawing>
          </mc:Choice>
          <mc:Fallback>
            <w:pict>
              <v:group w14:anchorId="3715FED9" id="Group 20338" o:spid="_x0000_s1026" style="position:absolute;margin-left:252.35pt;margin-top:47.45pt;width:3.6pt;height:34.05pt;rotation:180;z-index:251708416;mso-position-vertical-relative:line;mso-width-relative:margin;mso-height-relative:margin" coordorigin=",3057" coordsize="95765,37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">
                <v:line id="Straight Connector 217" o:spid="_x0000_s1027" style="position:absolute;rotation:180;flip:x;visibility:visible;mso-wrap-style:square" from="1322,3057" to="4035,38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" strokeweight=".5pt">
                  <v:stroke joinstyle="miter"/>
                </v:line>
                <v:line id="Straight Connector 218" o:spid="_x0000_s1028" style="position:absolute;flip:x;visibility:visible;mso-wrap-style:square" from="26711,273971" to="93387,35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" strokeweight="1.5pt">
                  <v:stroke joinstyle="miter"/>
                </v:line>
                <v:line id="Straight Connector 223" o:spid="_x0000_s1029" style="position:absolute;rotation:90;visibility:visible;mso-wrap-style:square" from="9783,170845" to="95507,25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" strokeweight="1.5pt">
                  <v:stroke joinstyle="miter"/>
                </v:line>
                <v:line id="Straight Connector 224" o:spid="_x0000_s1030" style="position:absolute;flip:x;visibility:visible;mso-wrap-style:square" from="0,92996" to="66675,17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" strokeweight="1.5pt">
                  <v:stroke joinstyle="miter"/>
                </v:line>
                <w10:wrap anchory="line"/>
              </v:group>
            </w:pict>
          </mc:Fallback>
        </mc:AlternateContent>
      </w:r>
      <w:r w:rsidR="00A2792E" w:rsidRPr="009D4627">
        <w:rPr>
          <w:noProof/>
        </w:rPr>
        <mc:AlternateContent>
          <mc:Choice Requires="wps">
            <w:drawing>
              <wp:anchor distT="0" distB="0" distL="114300" distR="114300" simplePos="0" relativeHeight="251710464" behindDoc="0" locked="0" layoutInCell="1" allowOverlap="1" wp14:anchorId="66E76369" wp14:editId="393F0BFA">
                <wp:simplePos x="0" y="0"/>
                <wp:positionH relativeFrom="column">
                  <wp:posOffset>3495675</wp:posOffset>
                </wp:positionH>
                <wp:positionV relativeFrom="paragraph">
                  <wp:posOffset>235585</wp:posOffset>
                </wp:positionV>
                <wp:extent cx="228600" cy="169545"/>
                <wp:effectExtent l="0" t="0" r="0" b="0"/>
                <wp:wrapNone/>
                <wp:docPr id="20337" name="Rectangle 20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9545"/>
                        </a:xfrm>
                        <a:prstGeom prst="rect">
                          <a:avLst/>
                        </a:prstGeom>
                        <a:noFill/>
                        <a:ln w="12700" cap="flat" cmpd="sng" algn="ctr">
                          <a:noFill/>
                          <a:prstDash val="solid"/>
                          <a:miter lim="800000"/>
                        </a:ln>
                        <a:effectLst/>
                      </wps:spPr>
                      <wps:txbx>
                        <w:txbxContent>
                          <w:p w14:paraId="1DC49582"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w:t>
                            </w:r>
                          </w:p>
                        </w:txbxContent>
                      </wps:txbx>
                      <wps:bodyPr rot="0" spcFirstLastPara="0" vertOverflow="clip"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6E76369" id="Rectangle 20337" o:spid="_x0000_s2232" style="position:absolute;left:0;text-align:left;margin-left:275.25pt;margin-top:18.55pt;width:18pt;height:13.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" filled="f" stroked="f" strokeweight="1pt">
                <v:textbox inset="0,0,0,0">
                  <w:txbxContent>
                    <w:p w14:paraId="1DC49582"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-1</w:t>
                      </w:r>
                    </w:p>
                  </w:txbxContent>
                </v:textbox>
              </v:rect>
            </w:pict>
          </mc:Fallback>
        </mc:AlternateContent>
      </w:r>
      <w:r w:rsidR="00A2792E" w:rsidRPr="009D4627">
        <w:rPr>
          <w:noProof/>
        </w:rPr>
        <mc:AlternateContent>
          <mc:Choice Requires="wpg">
            <w:drawing>
              <wp:anchor distT="0" distB="0" distL="114300" distR="114300" simplePos="0" relativeHeight="251711488" behindDoc="0" locked="0" layoutInCell="1" allowOverlap="1" wp14:anchorId="7031149F" wp14:editId="42BB4CBD">
                <wp:simplePos x="0" y="0"/>
                <wp:positionH relativeFrom="column">
                  <wp:posOffset>923925</wp:posOffset>
                </wp:positionH>
                <wp:positionV relativeFrom="paragraph">
                  <wp:posOffset>232410</wp:posOffset>
                </wp:positionV>
                <wp:extent cx="3724275" cy="977265"/>
                <wp:effectExtent l="0" t="0" r="0" b="0"/>
                <wp:wrapThrough wrapText="bothSides">
                  <wp:wrapPolygon edited="0">
                    <wp:start x="4530" y="0"/>
                    <wp:lineTo x="3646" y="6737"/>
                    <wp:lineTo x="0" y="9684"/>
                    <wp:lineTo x="0" y="15158"/>
                    <wp:lineTo x="4198" y="20211"/>
                    <wp:lineTo x="4751" y="21474"/>
                    <wp:lineTo x="4861" y="21474"/>
                    <wp:lineTo x="16462" y="21474"/>
                    <wp:lineTo x="16573" y="21474"/>
                    <wp:lineTo x="17125" y="20211"/>
                    <wp:lineTo x="21545" y="15158"/>
                    <wp:lineTo x="21545" y="9263"/>
                    <wp:lineTo x="17788" y="6737"/>
                    <wp:lineTo x="18009" y="4211"/>
                    <wp:lineTo x="15799" y="2947"/>
                    <wp:lineTo x="6740" y="0"/>
                    <wp:lineTo x="4530" y="0"/>
                  </wp:wrapPolygon>
                </wp:wrapThrough>
                <wp:docPr id="20316" name="Group 20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4275" cy="977265"/>
                          <a:chOff x="0" y="0"/>
                          <a:chExt cx="37242" cy="9772"/>
                        </a:xfrm>
                      </wpg:grpSpPr>
                      <wpg:grpSp>
                        <wpg:cNvPr id="20317" name="Group 21694"/>
                        <wpg:cNvGrpSpPr>
                          <a:grpSpLocks/>
                        </wpg:cNvGrpSpPr>
                        <wpg:grpSpPr bwMode="auto">
                          <a:xfrm>
                            <a:off x="0" y="0"/>
                            <a:ext cx="37242" cy="9772"/>
                            <a:chOff x="0" y="0"/>
                            <a:chExt cx="37244" cy="9775"/>
                          </a:xfrm>
                        </wpg:grpSpPr>
                        <wps:wsp>
                          <wps:cNvPr id="20318" name="Rectangle 21695"/>
                          <wps:cNvSpPr>
                            <a:spLocks noChangeArrowheads="1"/>
                          </wps:cNvSpPr>
                          <wps:spPr bwMode="auto">
                            <a:xfrm>
                              <a:off x="31528" y="4476"/>
                              <a:ext cx="5716" cy="2288"/>
                            </a:xfrm>
                            <a:prstGeom prst="rect">
                              <a:avLst/>
                            </a:prstGeom>
                            <a:noFill/>
                            <a:ln>
                              <a:noFill/>
                            </a:ln>
                          </wps:spPr>
                          <wps:txbx>
                            <w:txbxContent>
                              <w:p w14:paraId="19A86B34"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 ½     2</w:t>
                                </w:r>
                                <w:r>
                                  <w:rPr>
                                    <w:rFonts w:ascii="Calibri" w:hAnsi="Calibri" w:cs="Calibri"/>
                                    <w:bCs/>
                                    <w:sz w:val="20"/>
                                    <w:szCs w:val="20"/>
                                  </w:rPr>
                                  <w:t>Δ E</w:t>
                                </w:r>
                              </w:p>
                            </w:txbxContent>
                          </wps:txbx>
                          <wps:bodyPr rot="0" vert="horz" wrap="square" lIns="0" tIns="0" rIns="0" bIns="0" anchor="ctr" anchorCtr="0" upright="1">
                            <a:noAutofit/>
                          </wps:bodyPr>
                        </wps:wsp>
                        <wpg:grpSp>
                          <wpg:cNvPr id="20319" name="Group 21696"/>
                          <wpg:cNvGrpSpPr>
                            <a:grpSpLocks/>
                          </wpg:cNvGrpSpPr>
                          <wpg:grpSpPr bwMode="auto">
                            <a:xfrm>
                              <a:off x="0" y="0"/>
                              <a:ext cx="31137" cy="9775"/>
                              <a:chOff x="0" y="0"/>
                              <a:chExt cx="31137" cy="9775"/>
                            </a:xfrm>
                          </wpg:grpSpPr>
                          <wps:wsp>
                            <wps:cNvPr id="20320" name="Rectangle 21697"/>
                            <wps:cNvSpPr>
                              <a:spLocks noChangeArrowheads="1"/>
                            </wps:cNvSpPr>
                            <wps:spPr bwMode="auto">
                              <a:xfrm>
                                <a:off x="8286" y="0"/>
                                <a:ext cx="2998" cy="1910"/>
                              </a:xfrm>
                              <a:prstGeom prst="rect">
                                <a:avLst/>
                              </a:prstGeom>
                              <a:noFill/>
                              <a:ln>
                                <a:noFill/>
                              </a:ln>
                            </wps:spPr>
                            <wps:txbx>
                              <w:txbxContent>
                                <w:p w14:paraId="6D256E99"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- 1</w:t>
                                  </w:r>
                                </w:p>
                              </w:txbxContent>
                            </wps:txbx>
                            <wps:bodyPr rot="0" vert="horz" wrap="square" lIns="0" tIns="0" rIns="0" bIns="0" anchor="ctr" anchorCtr="0" upright="1">
                              <a:noAutofit/>
                            </wps:bodyPr>
                          </wps:wsp>
                          <wpg:grpSp>
                            <wpg:cNvPr id="20321" name="Group 21698"/>
                            <wpg:cNvGrpSpPr>
                              <a:grpSpLocks/>
                            </wpg:cNvGrpSpPr>
                            <wpg:grpSpPr bwMode="auto">
                              <a:xfrm>
                                <a:off x="0" y="1619"/>
                                <a:ext cx="31137" cy="8156"/>
                                <a:chOff x="0" y="1619"/>
                                <a:chExt cx="31137" cy="8156"/>
                              </a:xfrm>
                            </wpg:grpSpPr>
                            <wps:wsp>
                              <wps:cNvPr id="20322" name="Rectangle 21699"/>
                              <wps:cNvSpPr>
                                <a:spLocks noChangeArrowheads="1"/>
                              </wps:cNvSpPr>
                              <wps:spPr bwMode="auto">
                                <a:xfrm>
                                  <a:off x="0" y="4667"/>
                                  <a:ext cx="6173" cy="2097"/>
                                </a:xfrm>
                                <a:prstGeom prst="rect">
                                  <a:avLst/>
                                </a:prstGeom>
                                <a:noFill/>
                                <a:ln>
                                  <a:noFill/>
                                </a:ln>
                              </wps:spPr>
                              <wps:txbx>
                                <w:txbxContent>
                                  <w:p w14:paraId="5010D313"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2</w:t>
                                    </w:r>
                                    <w:r>
                                      <w:rPr>
                                        <w:rFonts w:ascii="Calibri" w:hAnsi="Calibri" w:cs="Calibri"/>
                                        <w:bCs/>
                                        <w:sz w:val="20"/>
                                        <w:szCs w:val="20"/>
                                      </w:rPr>
                                      <w:t xml:space="preserve">Δ E    </w:t>
                                    </w:r>
                                    <w:r>
                                      <w:rPr>
                                        <w:rFonts w:ascii="Calibri" w:hAnsi="Calibri" w:cs="Calibri"/>
                                        <w:sz w:val="20"/>
                                        <w:szCs w:val="20"/>
                                        <w:lang w:val="en-US"/>
                                      </w:rPr>
                                      <w:t xml:space="preserve"> - ½ </w:t>
                                    </w:r>
                                  </w:p>
                                </w:txbxContent>
                              </wps:txbx>
                              <wps:bodyPr rot="0" vert="horz" wrap="square" lIns="0" tIns="0" rIns="0" bIns="0" anchor="ctr" anchorCtr="0" upright="1">
                                <a:noAutofit/>
                              </wps:bodyPr>
                            </wps:wsp>
                            <wpg:grpSp>
                              <wpg:cNvPr id="20323" name="Group 21700"/>
                              <wpg:cNvGrpSpPr>
                                <a:grpSpLocks/>
                              </wpg:cNvGrpSpPr>
                              <wpg:grpSpPr bwMode="auto">
                                <a:xfrm>
                                  <a:off x="5810" y="1619"/>
                                  <a:ext cx="25327" cy="8156"/>
                                  <a:chOff x="5810" y="1619"/>
                                  <a:chExt cx="25327" cy="8156"/>
                                </a:xfrm>
                              </wpg:grpSpPr>
                              <wps:wsp>
                                <wps:cNvPr id="20324" name="Oval 21701"/>
                                <wps:cNvSpPr>
                                  <a:spLocks noChangeArrowheads="1"/>
                                </wps:cNvSpPr>
                                <wps:spPr bwMode="auto">
                                  <a:xfrm>
                                    <a:off x="5810" y="1619"/>
                                    <a:ext cx="8563" cy="8149"/>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0325" name="Oval 21702"/>
                                <wps:cNvSpPr>
                                  <a:spLocks noChangeArrowheads="1"/>
                                </wps:cNvSpPr>
                                <wps:spPr bwMode="auto">
                                  <a:xfrm>
                                    <a:off x="22574" y="1619"/>
                                    <a:ext cx="8563" cy="8156"/>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0326" name="Rectangle 21703"/>
                                <wps:cNvSpPr>
                                  <a:spLocks noChangeArrowheads="1"/>
                                </wps:cNvSpPr>
                                <wps:spPr bwMode="auto">
                                  <a:xfrm>
                                    <a:off x="14191" y="4951"/>
                                    <a:ext cx="8383" cy="2438"/>
                                  </a:xfrm>
                                  <a:prstGeom prst="rect">
                                    <a:avLst/>
                                  </a:prstGeom>
                                  <a:noFill/>
                                  <a:ln>
                                    <a:noFill/>
                                  </a:ln>
                                </wps:spPr>
                                <wps:txbx>
                                  <w:txbxContent>
                                    <w:p w14:paraId="307E6488"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 xml:space="preserve">  -½                 -½</w:t>
                                      </w:r>
                                    </w:p>
                                  </w:txbxContent>
                                </wps:txbx>
                                <wps:bodyPr rot="0" vert="horz" wrap="square" lIns="0" tIns="0" rIns="0" bIns="0" anchor="ctr" anchorCtr="0" upright="1">
                                  <a:noAutofit/>
                                </wps:bodyPr>
                              </wps:wsp>
                            </wpg:grpSp>
                          </wpg:grpSp>
                        </wpg:grpSp>
                      </wpg:grpSp>
                      <wpg:grpSp>
                        <wpg:cNvPr id="20327" name="Group 21704"/>
                        <wpg:cNvGrpSpPr>
                          <a:grpSpLocks/>
                        </wpg:cNvGrpSpPr>
                        <wpg:grpSpPr bwMode="auto">
                          <a:xfrm>
                            <a:off x="17335" y="5334"/>
                            <a:ext cx="1714" cy="1524"/>
                            <a:chOff x="17335" y="5334"/>
                            <a:chExt cx="1714" cy="1524"/>
                          </a:xfrm>
                        </wpg:grpSpPr>
                        <wps:wsp>
                          <wps:cNvPr id="20333" name="Straight Connector 21705"/>
                          <wps:cNvCnPr>
                            <a:cxnSpLocks noChangeShapeType="1"/>
                          </wps:cNvCnPr>
                          <wps:spPr bwMode="auto">
                            <a:xfrm>
                              <a:off x="18192" y="5334"/>
                              <a:ext cx="0" cy="1524"/>
                            </a:xfrm>
                            <a:prstGeom prst="line">
                              <a:avLst/>
                            </a:prstGeom>
                            <a:noFill/>
                            <a:ln w="6350">
                              <a:solidFill>
                                <a:srgbClr val="000000"/>
                              </a:solidFill>
                              <a:miter lim="800000"/>
                              <a:headEnd/>
                              <a:tailEnd/>
                            </a:ln>
                          </wps:spPr>
                          <wps:bodyPr/>
                        </wps:wsp>
                        <wpg:grpSp>
                          <wpg:cNvPr id="20334" name="Group 21706"/>
                          <wpg:cNvGrpSpPr>
                            <a:grpSpLocks/>
                          </wpg:cNvGrpSpPr>
                          <wpg:grpSpPr bwMode="auto">
                            <a:xfrm>
                              <a:off x="17335" y="5619"/>
                              <a:ext cx="1714" cy="900"/>
                              <a:chOff x="17335" y="5619"/>
                              <a:chExt cx="1714" cy="900"/>
                            </a:xfrm>
                          </wpg:grpSpPr>
                          <wps:wsp>
                            <wps:cNvPr id="20335" name="Oval 21707"/>
                            <wps:cNvSpPr>
                              <a:spLocks noChangeArrowheads="1"/>
                            </wps:cNvSpPr>
                            <wps:spPr bwMode="auto">
                              <a:xfrm>
                                <a:off x="17811" y="5619"/>
                                <a:ext cx="900" cy="900"/>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0336" name="Straight Connector 21708"/>
                            <wps:cNvCnPr>
                              <a:cxnSpLocks noChangeShapeType="1"/>
                            </wps:cNvCnPr>
                            <wps:spPr bwMode="auto">
                              <a:xfrm>
                                <a:off x="17335" y="6000"/>
                                <a:ext cx="1714" cy="0"/>
                              </a:xfrm>
                              <a:prstGeom prst="line">
                                <a:avLst/>
                              </a:prstGeom>
                              <a:noFill/>
                              <a:ln w="6350">
                                <a:solidFill>
                                  <a:srgbClr val="000000"/>
                                </a:solidFill>
                                <a:miter lim="800000"/>
                                <a:headEnd/>
                                <a:tailEnd/>
                              </a:ln>
                            </wps:spPr>
                            <wps:bodyPr/>
                          </wps:wsp>
                        </wpg:grpSp>
                      </wpg:grpSp>
                    </wpg:wgp>
                  </a:graphicData>
                </a:graphic>
                <wp14:sizeRelH relativeFrom="margin">
                  <wp14:pctWidth>0</wp14:pctWidth>
                </wp14:sizeRelH>
                <wp14:sizeRelV relativeFrom="page">
                  <wp14:pctHeight>0</wp14:pctHeight>
                </wp14:sizeRelV>
              </wp:anchor>
            </w:drawing>
          </mc:Choice>
          <mc:Fallback>
            <w:pict>
              <v:group w14:anchorId="7031149F" id="Group 20316" o:spid="_x0000_s2233" style="position:absolute;left:0;text-align:left;margin-left:72.75pt;margin-top:18.3pt;width:293.25pt;height:76.95pt;z-index:251711488;mso-position-horizontal-relative:text;mso-position-vertical-relative:text;mso-width-relative:margin" coordsize="37242,9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">
                <v:group id="Group 21694" o:spid="_x0000_s2234" style="position:absolute;width:37242;height:9772" coordsize="37244,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">
                  <v:rect id="Rectangle 21695" o:spid="_x0000_s2235" style="position:absolute;left:31528;top:4476;width:5716;height: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" filled="f" stroked="f">
                    <v:textbox inset="0,0,0,0">
                      <w:txbxContent>
                        <w:p w14:paraId="19A86B34"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 ½     2</w:t>
                          </w:r>
                          <w:r>
                            <w:rPr>
                              <w:rFonts w:ascii="Calibri" w:hAnsi="Calibri" w:cs="Calibri"/>
                              <w:bCs/>
                              <w:sz w:val="20"/>
                              <w:szCs w:val="20"/>
                            </w:rPr>
                            <w:t>Δ E</w:t>
                          </w:r>
                        </w:p>
                      </w:txbxContent>
                    </v:textbox>
                  </v:rect>
                  <v:group id="Group 21696" o:spid="_x0000_s2236" style="position:absolute;width:31137;height:9775" coordsize="31137,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">
                    <v:rect id="Rectangle 21697" o:spid="_x0000_s2237" style="position:absolute;left:8286;width:2998;height:1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" filled="f" stroked="f">
                      <v:textbox inset="0,0,0,0">
                        <w:txbxContent>
                          <w:p w14:paraId="6D256E99" w14:textId="77777777" w:rsidR="00CE6626" w:rsidRDefault="00CE6626" w:rsidP="00CE6626">
                            <w:pPr>
                              <w:spacing w:before="0"/>
                              <w:jc w:val="center"/>
                              <w:rPr>
                                <w:rFonts w:ascii="Calibri" w:hAnsi="Calibri" w:cs="Calibri"/>
                                <w:sz w:val="20"/>
                                <w:szCs w:val="20"/>
                                <w:lang w:val="en-US"/>
                              </w:rPr>
                            </w:pPr>
                            <w:r>
                              <w:rPr>
                                <w:rFonts w:ascii="Calibri" w:hAnsi="Calibri" w:cs="Calibri"/>
                                <w:sz w:val="20"/>
                                <w:szCs w:val="20"/>
                                <w:lang w:val="en-US"/>
                              </w:rPr>
                              <w:t>- 1</w:t>
                            </w:r>
                          </w:p>
                        </w:txbxContent>
                      </v:textbox>
                    </v:rect>
                    <v:group id="Group 21698" o:spid="_x0000_s2238" style="position:absolute;top:1619;width:31137;height:8156" coordorigin=",1619" coordsize="31137,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">
                      <v:rect id="Rectangle 21699" o:spid="_x0000_s2239" style="position:absolute;top:4667;width:6173;height:2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" filled="f" stroked="f">
                        <v:textbox inset="0,0,0,0">
                          <w:txbxContent>
                            <w:p w14:paraId="5010D313"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2</w:t>
                              </w:r>
                              <w:r>
                                <w:rPr>
                                  <w:rFonts w:ascii="Calibri" w:hAnsi="Calibri" w:cs="Calibri"/>
                                  <w:bCs/>
                                  <w:sz w:val="20"/>
                                  <w:szCs w:val="20"/>
                                </w:rPr>
                                <w:t xml:space="preserve">Δ E    </w:t>
                              </w:r>
                              <w:r>
                                <w:rPr>
                                  <w:rFonts w:ascii="Calibri" w:hAnsi="Calibri" w:cs="Calibri"/>
                                  <w:sz w:val="20"/>
                                  <w:szCs w:val="20"/>
                                  <w:lang w:val="en-US"/>
                                </w:rPr>
                                <w:t xml:space="preserve"> - ½ </w:t>
                              </w:r>
                            </w:p>
                          </w:txbxContent>
                        </v:textbox>
                      </v:rect>
                      <v:group id="Group 21700" o:spid="_x0000_s2240" style="position:absolute;left:5810;top:1619;width:25327;height:8156" coordorigin="5810,1619" coordsize="25327,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">
                        <v:oval id="Oval 21701" o:spid="_x0000_s2241" style="position:absolute;left:5810;top:1619;width:8563;height:8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" filled="f" strokeweight="1pt">
                          <v:stroke joinstyle="miter"/>
                        </v:oval>
                        <v:oval id="Oval 21702" o:spid="_x0000_s2242" style="position:absolute;left:22574;top:1619;width:8563;height:8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" filled="f" strokeweight="1pt">
                          <v:stroke joinstyle="miter"/>
                        </v:oval>
                        <v:rect id="Rectangle 21703" o:spid="_x0000_s2243" style="position:absolute;left:14191;top:4951;width:8383;height:2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" filled="f" stroked="f">
                          <v:textbox inset="0,0,0,0">
                            <w:txbxContent>
                              <w:p w14:paraId="307E6488"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 xml:space="preserve">  -½                 -½</w:t>
                                </w:r>
                              </w:p>
                            </w:txbxContent>
                          </v:textbox>
                        </v:rect>
                      </v:group>
                    </v:group>
                  </v:group>
                </v:group>
                <v:group id="Group 21704" o:spid="_x0000_s2244" style="position:absolute;left:17335;top:5334;width:1714;height:1524" coordorigin="17335,5334" coordsize="1714,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">
                  <v:line id="Straight Connector 21705" o:spid="_x0000_s2245" style="position:absolute;visibility:visible;mso-wrap-style:square" from="18192,5334" to="18192,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" strokeweight=".5pt">
                    <v:stroke joinstyle="miter"/>
                  </v:line>
                  <v:group id="Group 21706" o:spid="_x0000_s2246" style="position:absolute;left:17335;top:5619;width:1714;height:900" coordorigin="17335,5619" coordsize="171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">
                    <v:oval id="Oval 21707" o:spid="_x0000_s2247" style="position:absolute;left:17811;top:5619;width:900;height: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" filled="f" strokeweight="1pt">
                      <v:stroke joinstyle="miter"/>
                    </v:oval>
                    <v:line id="Straight Connector 21708" o:spid="_x0000_s2248" style="position:absolute;visibility:visible;mso-wrap-style:square" from="17335,6000" to="19049,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" strokeweight=".5pt">
                      <v:stroke joinstyle="miter"/>
                    </v:line>
                  </v:group>
                </v:group>
                <w10:wrap type="through"/>
              </v:group>
            </w:pict>
          </mc:Fallback>
        </mc:AlternateContent>
      </w:r>
      <w:r w:rsidR="00A2792E" w:rsidRPr="009D4627">
        <w:rPr>
          <w:noProof/>
        </w:rPr>
        <mc:AlternateContent>
          <mc:Choice Requires="wpg">
            <w:drawing>
              <wp:anchor distT="0" distB="0" distL="114300" distR="114300" simplePos="0" relativeHeight="251709440" behindDoc="0" locked="0" layoutInCell="1" allowOverlap="1" wp14:anchorId="08D1BB1F" wp14:editId="267BBD1D">
                <wp:simplePos x="0" y="0"/>
                <wp:positionH relativeFrom="column">
                  <wp:posOffset>3545205</wp:posOffset>
                </wp:positionH>
                <wp:positionV relativeFrom="paragraph">
                  <wp:posOffset>179070</wp:posOffset>
                </wp:positionV>
                <wp:extent cx="100330" cy="511810"/>
                <wp:effectExtent l="209550" t="0" r="204470" b="0"/>
                <wp:wrapNone/>
                <wp:docPr id="20306" name="Group 20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100330" cy="511810"/>
                          <a:chOff x="205740" y="-205740"/>
                          <a:chExt cx="120717" cy="440944"/>
                        </a:xfrm>
                      </wpg:grpSpPr>
                      <wps:wsp>
                        <wps:cNvPr id="20307" name="Straight Connector 21710"/>
                        <wps:cNvCnPr/>
                        <wps:spPr>
                          <a:xfrm rot="16200000" flipV="1">
                            <a:off x="-6033" y="8859"/>
                            <a:ext cx="440944" cy="11745"/>
                          </a:xfrm>
                          <a:prstGeom prst="line">
                            <a:avLst/>
                          </a:prstGeom>
                          <a:noFill/>
                          <a:ln w="6350" cap="flat" cmpd="sng" algn="ctr">
                            <a:solidFill>
                              <a:sysClr val="windowText" lastClr="000000"/>
                            </a:solidFill>
                            <a:prstDash val="solid"/>
                            <a:miter lim="800000"/>
                          </a:ln>
                          <a:effectLst/>
                        </wps:spPr>
                        <wps:bodyPr/>
                      </wps:wsp>
                      <wps:wsp>
                        <wps:cNvPr id="20308" name="Straight Connector 21711"/>
                        <wps:cNvCnPr/>
                        <wps:spPr>
                          <a:xfrm flipH="1">
                            <a:off x="232379" y="68231"/>
                            <a:ext cx="66675" cy="78105"/>
                          </a:xfrm>
                          <a:prstGeom prst="line">
                            <a:avLst/>
                          </a:prstGeom>
                          <a:noFill/>
                          <a:ln w="19050" cap="flat" cmpd="sng" algn="ctr">
                            <a:solidFill>
                              <a:sysClr val="windowText" lastClr="000000"/>
                            </a:solidFill>
                            <a:prstDash val="solid"/>
                            <a:miter lim="800000"/>
                          </a:ln>
                          <a:effectLst/>
                        </wps:spPr>
                        <wps:bodyPr/>
                      </wps:wsp>
                      <wps:wsp>
                        <wps:cNvPr id="20309" name="Straight Connector 21712"/>
                        <wps:cNvCnPr/>
                        <wps:spPr>
                          <a:xfrm rot="5400000">
                            <a:off x="220954" y="-54416"/>
                            <a:ext cx="99814" cy="111192"/>
                          </a:xfrm>
                          <a:prstGeom prst="line">
                            <a:avLst/>
                          </a:prstGeom>
                          <a:noFill/>
                          <a:ln w="19050" cap="flat" cmpd="sng" algn="ctr">
                            <a:solidFill>
                              <a:sysClr val="windowText" lastClr="000000"/>
                            </a:solidFill>
                            <a:prstDash val="solid"/>
                            <a:miter lim="800000"/>
                          </a:ln>
                          <a:effectLst/>
                        </wps:spPr>
                        <wps:bodyPr/>
                      </wps:wsp>
                      <wps:wsp>
                        <wps:cNvPr id="20310" name="Straight Connector 21713"/>
                        <wps:cNvCnPr/>
                        <wps:spPr>
                          <a:xfrm flipH="1">
                            <a:off x="205740" y="-112744"/>
                            <a:ext cx="66675" cy="78105"/>
                          </a:xfrm>
                          <a:prstGeom prst="line">
                            <a:avLst/>
                          </a:prstGeom>
                          <a:noFill/>
                          <a:ln w="190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32707BD9" id="Group 20306" o:spid="_x0000_s1026" style="position:absolute;margin-left:279.15pt;margin-top:14.1pt;width:7.9pt;height:40.3pt;rotation:-90;z-index:251709440" coordorigin="205740,-205740" coordsize="120717,440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">
                <v:line id="Straight Connector 21710" o:spid="_x0000_s1027" style="position:absolute;rotation:90;flip:y;visibility:visible;mso-wrap-style:square" from="-6033,8859" to="434911,20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" strokecolor="windowText" strokeweight=".5pt">
                  <v:stroke joinstyle="miter"/>
                </v:line>
                <v:line id="Straight Connector 21711" o:spid="_x0000_s1028" style="position:absolute;flip:x;visibility:visible;mso-wrap-style:square" from="232379,68231" to="299054,146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" strokecolor="windowText" strokeweight="1.5pt">
                  <v:stroke joinstyle="miter"/>
                </v:line>
                <v:line id="Straight Connector 21712" o:spid="_x0000_s1029" style="position:absolute;rotation:90;visibility:visible;mso-wrap-style:square" from="220954,-54416" to="320768,56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" strokecolor="windowText" strokeweight="1.5pt">
                  <v:stroke joinstyle="miter"/>
                </v:line>
                <v:line id="Straight Connector 21713" o:spid="_x0000_s1030" style="position:absolute;flip:x;visibility:visible;mso-wrap-style:square" from="205740,-112744" to="272415,-3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" strokecolor="windowText" strokeweight="1.5pt">
                  <v:stroke joinstyle="miter"/>
                </v:line>
              </v:group>
            </w:pict>
          </mc:Fallback>
        </mc:AlternateContent>
      </w:r>
      <w:r w:rsidR="00A2792E" w:rsidRPr="009D4627">
        <w:rPr>
          <w:noProof/>
        </w:rPr>
        <mc:AlternateContent>
          <mc:Choice Requires="wpg">
            <w:drawing>
              <wp:anchor distT="0" distB="0" distL="114300" distR="114300" simplePos="0" relativeHeight="251706368" behindDoc="0" locked="0" layoutInCell="1" allowOverlap="1" wp14:anchorId="0938AF4D" wp14:editId="7412BBD4">
                <wp:simplePos x="0" y="0"/>
                <wp:positionH relativeFrom="column">
                  <wp:posOffset>1891030</wp:posOffset>
                </wp:positionH>
                <wp:positionV relativeFrom="paragraph">
                  <wp:posOffset>189230</wp:posOffset>
                </wp:positionV>
                <wp:extent cx="80010" cy="511810"/>
                <wp:effectExtent l="209550" t="0" r="224790" b="0"/>
                <wp:wrapNone/>
                <wp:docPr id="20301" name="Group 20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80010" cy="511810"/>
                          <a:chOff x="215900" y="-215900"/>
                          <a:chExt cx="95765" cy="440944"/>
                        </a:xfrm>
                      </wpg:grpSpPr>
                      <wps:wsp>
                        <wps:cNvPr id="20302" name="Straight Connector 21715"/>
                        <wps:cNvCnPr/>
                        <wps:spPr>
                          <a:xfrm rot="16200000" flipV="1">
                            <a:off x="4127" y="-1301"/>
                            <a:ext cx="440944" cy="11745"/>
                          </a:xfrm>
                          <a:prstGeom prst="line">
                            <a:avLst/>
                          </a:prstGeom>
                          <a:noFill/>
                          <a:ln w="6350" cap="flat" cmpd="sng" algn="ctr">
                            <a:solidFill>
                              <a:sysClr val="windowText" lastClr="000000"/>
                            </a:solidFill>
                            <a:prstDash val="solid"/>
                            <a:miter lim="800000"/>
                          </a:ln>
                          <a:effectLst/>
                        </wps:spPr>
                        <wps:bodyPr/>
                      </wps:wsp>
                      <wps:wsp>
                        <wps:cNvPr id="20303" name="Straight Connector 21716"/>
                        <wps:cNvCnPr/>
                        <wps:spPr>
                          <a:xfrm flipH="1">
                            <a:off x="242611" y="58071"/>
                            <a:ext cx="66676" cy="78105"/>
                          </a:xfrm>
                          <a:prstGeom prst="line">
                            <a:avLst/>
                          </a:prstGeom>
                          <a:noFill/>
                          <a:ln w="19050" cap="flat" cmpd="sng" algn="ctr">
                            <a:solidFill>
                              <a:sysClr val="windowText" lastClr="000000"/>
                            </a:solidFill>
                            <a:prstDash val="solid"/>
                            <a:miter lim="800000"/>
                          </a:ln>
                          <a:effectLst/>
                        </wps:spPr>
                        <wps:bodyPr/>
                      </wps:wsp>
                      <wps:wsp>
                        <wps:cNvPr id="20304" name="Straight Connector 21717"/>
                        <wps:cNvCnPr/>
                        <wps:spPr>
                          <a:xfrm rot="5400000">
                            <a:off x="225683" y="-45055"/>
                            <a:ext cx="85724" cy="86240"/>
                          </a:xfrm>
                          <a:prstGeom prst="line">
                            <a:avLst/>
                          </a:prstGeom>
                          <a:noFill/>
                          <a:ln w="19050" cap="flat" cmpd="sng" algn="ctr">
                            <a:solidFill>
                              <a:sysClr val="windowText" lastClr="000000"/>
                            </a:solidFill>
                            <a:prstDash val="solid"/>
                            <a:miter lim="800000"/>
                          </a:ln>
                          <a:effectLst/>
                        </wps:spPr>
                        <wps:bodyPr/>
                      </wps:wsp>
                      <wps:wsp>
                        <wps:cNvPr id="20305" name="Straight Connector 21718"/>
                        <wps:cNvCnPr/>
                        <wps:spPr>
                          <a:xfrm flipH="1">
                            <a:off x="215900" y="-122904"/>
                            <a:ext cx="66675" cy="78105"/>
                          </a:xfrm>
                          <a:prstGeom prst="line">
                            <a:avLst/>
                          </a:prstGeom>
                          <a:noFill/>
                          <a:ln w="190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F98C78F" id="Group 20301" o:spid="_x0000_s1026" style="position:absolute;margin-left:148.9pt;margin-top:14.9pt;width:6.3pt;height:40.3pt;rotation:-90;z-index:251706368;mso-width-relative:margin;mso-height-relative:margin" coordorigin="215900,-215900" coordsize="95765,440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">
                <v:line id="Straight Connector 21715" o:spid="_x0000_s1027" style="position:absolute;rotation:90;flip:y;visibility:visible;mso-wrap-style:square" from="4127,-1301" to="445071,10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" strokecolor="windowText" strokeweight=".5pt">
                  <v:stroke joinstyle="miter"/>
                </v:line>
                <v:line id="Straight Connector 21716" o:spid="_x0000_s1028" style="position:absolute;flip:x;visibility:visible;mso-wrap-style:square" from="242611,58071" to="309287,13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" strokecolor="windowText" strokeweight="1.5pt">
                  <v:stroke joinstyle="miter"/>
                </v:line>
                <v:line id="Straight Connector 21717" o:spid="_x0000_s1029" style="position:absolute;rotation:90;visibility:visible;mso-wrap-style:square" from="225683,-45055" to="311407,4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" strokecolor="windowText" strokeweight="1.5pt">
                  <v:stroke joinstyle="miter"/>
                </v:line>
                <v:line id="Straight Connector 21718" o:spid="_x0000_s1030" style="position:absolute;flip:x;visibility:visible;mso-wrap-style:square" from="215900,-122904" to="282575,-44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" strokecolor="windowText" strokeweight="1.5pt">
                  <v:stroke joinstyle="miter"/>
                </v:line>
              </v:group>
            </w:pict>
          </mc:Fallback>
        </mc:AlternateContent>
      </w:r>
    </w:p>
    <w:p w14:paraId="1B29E1CD" w14:textId="77777777" w:rsidR="00CE6626" w:rsidRPr="009D4627" w:rsidRDefault="00CE6626" w:rsidP="00CE6626">
      <w:pPr>
        <w:spacing w:before="0" w:line="240" w:lineRule="auto"/>
        <w:rPr>
          <w:rFonts w:eastAsia="Calibri"/>
          <w:bCs/>
          <w:szCs w:val="22"/>
          <w:lang w:val="en-MY"/>
        </w:rPr>
      </w:pPr>
    </w:p>
    <w:p w14:paraId="30C838AF" w14:textId="77777777" w:rsidR="00CE6626" w:rsidRPr="009D4627" w:rsidRDefault="00CE6626" w:rsidP="00CE6626">
      <w:pPr>
        <w:spacing w:before="0" w:line="240" w:lineRule="auto"/>
        <w:rPr>
          <w:rFonts w:eastAsia="Calibri"/>
          <w:b/>
          <w:bCs/>
          <w:szCs w:val="22"/>
          <w:lang w:val="en-MY"/>
        </w:rPr>
      </w:pPr>
    </w:p>
    <w:p w14:paraId="0C3368CB" w14:textId="77777777" w:rsidR="00CE6626" w:rsidRPr="009D4627" w:rsidRDefault="00CE6626" w:rsidP="00CE6626">
      <w:pPr>
        <w:spacing w:before="0" w:line="240" w:lineRule="auto"/>
        <w:rPr>
          <w:rFonts w:eastAsia="Calibri"/>
          <w:b/>
          <w:bCs/>
          <w:szCs w:val="22"/>
          <w:lang w:val="en-MY"/>
        </w:rPr>
      </w:pPr>
    </w:p>
    <w:p w14:paraId="2B47F7B5" w14:textId="77777777" w:rsidR="00CE6626" w:rsidRPr="009D4627" w:rsidRDefault="00CE6626" w:rsidP="00CE6626">
      <w:pPr>
        <w:spacing w:before="0" w:after="0" w:line="240" w:lineRule="auto"/>
        <w:rPr>
          <w:rFonts w:eastAsia="Calibri"/>
          <w:b/>
          <w:bCs/>
          <w:szCs w:val="22"/>
          <w:lang w:val="en-MY"/>
        </w:rPr>
      </w:pPr>
    </w:p>
    <w:p w14:paraId="02F6AAEE"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PCT:</w:t>
      </w:r>
      <w:r w:rsidRPr="009D4627">
        <w:rPr>
          <w:rFonts w:eastAsia="Calibri"/>
          <w:b/>
          <w:szCs w:val="22"/>
          <w:lang w:val="en-MY"/>
        </w:rPr>
        <w:tab/>
      </w:r>
      <w:r w:rsidRPr="009D4627">
        <w:rPr>
          <w:rFonts w:eastAsia="Calibri"/>
          <w:bCs/>
          <w:szCs w:val="22"/>
          <w:lang w:val="en-MY"/>
        </w:rPr>
        <w:t>with glasses 1/3 m and 6 m orthophoria</w:t>
      </w:r>
    </w:p>
    <w:p w14:paraId="4C082D93"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t xml:space="preserve"> </w:t>
      </w:r>
    </w:p>
    <w:p w14:paraId="70C93452" w14:textId="77777777" w:rsidR="00CE6626" w:rsidRPr="009D4627" w:rsidRDefault="00CE6626" w:rsidP="00CE6626">
      <w:pPr>
        <w:spacing w:before="0" w:line="240" w:lineRule="auto"/>
        <w:rPr>
          <w:rFonts w:eastAsia="Calibri"/>
          <w:bCs/>
          <w:szCs w:val="22"/>
          <w:lang w:val="en-MY"/>
        </w:rPr>
      </w:pPr>
      <w:r w:rsidRPr="009D4627">
        <w:rPr>
          <w:rFonts w:eastAsia="Calibri"/>
          <w:b/>
          <w:bCs/>
          <w:szCs w:val="22"/>
          <w:lang w:val="en-MY"/>
        </w:rPr>
        <w:t xml:space="preserve">Convergence: </w:t>
      </w:r>
      <w:r w:rsidRPr="009D4627">
        <w:rPr>
          <w:rFonts w:eastAsia="Calibri"/>
          <w:bCs/>
          <w:szCs w:val="22"/>
          <w:lang w:val="en-MY"/>
        </w:rPr>
        <w:t>binocular to 9 cm</w:t>
      </w:r>
    </w:p>
    <w:p w14:paraId="71E92F6A" w14:textId="77777777" w:rsidR="00CE6626" w:rsidRPr="009D4627" w:rsidRDefault="00CE6626" w:rsidP="00CE6626">
      <w:pPr>
        <w:spacing w:before="0" w:line="240" w:lineRule="auto"/>
        <w:rPr>
          <w:rFonts w:eastAsia="Calibri"/>
          <w:bCs/>
          <w:szCs w:val="22"/>
          <w:lang w:val="en-MY"/>
        </w:rPr>
      </w:pPr>
      <w:r w:rsidRPr="009D4627">
        <w:rPr>
          <w:rFonts w:eastAsia="Calibri"/>
          <w:b/>
          <w:bCs/>
          <w:szCs w:val="22"/>
          <w:lang w:val="en-MY"/>
        </w:rPr>
        <w:t>Frisby:</w:t>
      </w:r>
      <w:r w:rsidRPr="009D4627">
        <w:rPr>
          <w:rFonts w:eastAsia="Calibri"/>
          <w:bCs/>
          <w:szCs w:val="22"/>
          <w:lang w:val="en-MY"/>
        </w:rPr>
        <w:t xml:space="preserve"> 340” of arc</w:t>
      </w:r>
    </w:p>
    <w:p w14:paraId="19CCD8A4"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Assessment &amp; Plan: </w:t>
      </w:r>
    </w:p>
    <w:p w14:paraId="629FCB0A"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 xml:space="preserve"> </w:t>
      </w:r>
      <w:r w:rsidRPr="009D4627">
        <w:rPr>
          <w:rFonts w:eastAsia="Calibri"/>
          <w:bCs/>
          <w:szCs w:val="22"/>
          <w:lang w:val="en-MY"/>
        </w:rPr>
        <w:tab/>
        <w:t>Recovered R sixth nerve palsy</w:t>
      </w:r>
    </w:p>
    <w:p w14:paraId="273D3911" w14:textId="77777777" w:rsidR="00CE6626" w:rsidRPr="009D4627" w:rsidRDefault="00CE6626" w:rsidP="00CE6626">
      <w:pPr>
        <w:spacing w:before="0" w:line="240" w:lineRule="auto"/>
        <w:rPr>
          <w:rFonts w:eastAsia="Calibri"/>
          <w:bCs/>
          <w:szCs w:val="22"/>
          <w:lang w:val="en-MY"/>
        </w:rPr>
      </w:pPr>
      <w:r w:rsidRPr="009D4627">
        <w:rPr>
          <w:rFonts w:eastAsia="Calibri"/>
          <w:bCs/>
          <w:szCs w:val="22"/>
          <w:lang w:val="en-MY"/>
        </w:rPr>
        <w:tab/>
        <w:t xml:space="preserve">Discharge </w:t>
      </w:r>
    </w:p>
    <w:p w14:paraId="1C312950" w14:textId="72C3135F" w:rsidR="00CE6626" w:rsidRPr="009D4627" w:rsidRDefault="00CE6626" w:rsidP="00C4130D">
      <w:pPr>
        <w:pStyle w:val="Caption"/>
      </w:pPr>
    </w:p>
    <w:p w14:paraId="21AFAB2A" w14:textId="77777777" w:rsidR="00BD37F8" w:rsidRPr="009D4627" w:rsidRDefault="00BD37F8" w:rsidP="00C4130D">
      <w:pPr>
        <w:pStyle w:val="Caption"/>
        <w:sectPr w:rsidR="00BD37F8" w:rsidRPr="009D4627" w:rsidSect="00477959">
          <w:pgSz w:w="11906" w:h="16838" w:code="9"/>
          <w:pgMar w:top="1440" w:right="1440" w:bottom="1440" w:left="1440" w:header="708" w:footer="708" w:gutter="0"/>
          <w:cols w:space="708"/>
          <w:docGrid w:linePitch="360"/>
        </w:sectPr>
      </w:pPr>
      <w:bookmarkStart w:id="672" w:name="_Toc73355030"/>
      <w:bookmarkEnd w:id="670"/>
    </w:p>
    <w:p w14:paraId="2706C424" w14:textId="123549F5" w:rsidR="00A11E21" w:rsidRDefault="00565A8C" w:rsidP="00C4130D">
      <w:pPr>
        <w:pStyle w:val="Caption"/>
      </w:pPr>
      <w:bookmarkStart w:id="673" w:name="_Toc99356740"/>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8</w:t>
      </w:r>
      <w:r w:rsidR="002E63E9" w:rsidRPr="009D4627">
        <w:rPr>
          <w:noProof/>
        </w:rPr>
        <w:fldChar w:fldCharType="end"/>
      </w:r>
      <w:r w:rsidRPr="009D4627">
        <w:t xml:space="preserve">: </w:t>
      </w:r>
      <w:r w:rsidR="00CE6626" w:rsidRPr="009D4627">
        <w:t>Patient ID: 8</w:t>
      </w:r>
      <w:bookmarkEnd w:id="673"/>
      <w:r w:rsidR="00CE6626" w:rsidRPr="009D4627">
        <w:t xml:space="preserve"> </w:t>
      </w:r>
      <w:r w:rsidR="002312ED">
        <w:t xml:space="preserve">                  </w:t>
      </w:r>
    </w:p>
    <w:p w14:paraId="044D9B74" w14:textId="77777777" w:rsidR="00A11E21" w:rsidRDefault="00CE6626" w:rsidP="00C4130D">
      <w:pPr>
        <w:pStyle w:val="Caption"/>
        <w:rPr>
          <w:color w:val="FF0000"/>
        </w:rPr>
      </w:pPr>
      <w:r w:rsidRPr="009D4627">
        <w:t>Birth month/year: 04/1957</w:t>
      </w:r>
      <w:r w:rsidRPr="009D4627">
        <w:rPr>
          <w:color w:val="FF0000"/>
        </w:rPr>
        <w:tab/>
      </w:r>
      <w:r w:rsidRPr="009D4627">
        <w:rPr>
          <w:color w:val="FF0000"/>
        </w:rPr>
        <w:tab/>
      </w:r>
      <w:r w:rsidR="002312ED">
        <w:rPr>
          <w:color w:val="FF0000"/>
        </w:rPr>
        <w:t xml:space="preserve">     </w:t>
      </w:r>
    </w:p>
    <w:p w14:paraId="634707F2" w14:textId="204E6564" w:rsidR="00CE6626" w:rsidRDefault="00CE6626" w:rsidP="00C4130D">
      <w:pPr>
        <w:pStyle w:val="Caption"/>
      </w:pPr>
      <w:r w:rsidRPr="009D4627">
        <w:t>Age: 61 at onset</w:t>
      </w:r>
    </w:p>
    <w:p w14:paraId="7A947C4D" w14:textId="77777777" w:rsidR="00DF3144" w:rsidRPr="00DF3144" w:rsidRDefault="00DF3144" w:rsidP="00DF3144">
      <w:pPr>
        <w:spacing w:before="0" w:after="0" w:line="240" w:lineRule="auto"/>
        <w:rPr>
          <w:lang w:val="en-MY" w:eastAsia="en-MY"/>
        </w:rPr>
      </w:pPr>
    </w:p>
    <w:p w14:paraId="3708CC92" w14:textId="77777777" w:rsidR="00CE6626" w:rsidRPr="009D4627" w:rsidRDefault="00CE6626" w:rsidP="00CE6626">
      <w:pPr>
        <w:spacing w:before="0" w:after="0" w:line="240" w:lineRule="auto"/>
        <w:rPr>
          <w:rFonts w:eastAsia="Calibri"/>
          <w:bCs/>
          <w:szCs w:val="22"/>
          <w:u w:val="single"/>
          <w:lang w:val="en-MY"/>
        </w:rPr>
      </w:pPr>
      <w:r w:rsidRPr="009D4627">
        <w:rPr>
          <w:rFonts w:eastAsia="Calibri"/>
          <w:b/>
          <w:szCs w:val="22"/>
          <w:u w:val="single"/>
          <w:lang w:val="en-MY"/>
        </w:rPr>
        <w:t xml:space="preserve">Clinical visit 1: </w:t>
      </w:r>
      <w:r w:rsidRPr="009D4627">
        <w:rPr>
          <w:rFonts w:eastAsia="Calibri"/>
          <w:bCs/>
          <w:szCs w:val="22"/>
          <w:u w:val="single"/>
          <w:lang w:val="en-MY"/>
        </w:rPr>
        <w:t>11/01/2019 (</w:t>
      </w:r>
      <w:r w:rsidRPr="009D4627">
        <w:rPr>
          <w:rFonts w:eastAsia="Calibri"/>
          <w:bCs/>
          <w:color w:val="auto"/>
          <w:szCs w:val="22"/>
          <w:u w:val="single"/>
          <w:lang w:val="en-MY"/>
        </w:rPr>
        <w:t>2 days from onset</w:t>
      </w:r>
      <w:r w:rsidRPr="009D4627">
        <w:rPr>
          <w:rFonts w:eastAsia="Calibri"/>
          <w:bCs/>
          <w:szCs w:val="22"/>
          <w:u w:val="single"/>
          <w:lang w:val="en-MY"/>
        </w:rPr>
        <w:t>) - Orthoptic assessment</w:t>
      </w:r>
    </w:p>
    <w:p w14:paraId="679CC7F7" w14:textId="77777777" w:rsidR="00CE6626" w:rsidRPr="009D4627" w:rsidRDefault="00CE6626" w:rsidP="00CE6626">
      <w:pPr>
        <w:spacing w:before="0" w:after="0" w:line="240" w:lineRule="auto"/>
        <w:rPr>
          <w:rFonts w:eastAsia="Calibri"/>
          <w:bCs/>
          <w:szCs w:val="22"/>
          <w:u w:val="single"/>
          <w:lang w:val="en-MY"/>
        </w:rPr>
      </w:pPr>
    </w:p>
    <w:p w14:paraId="04B04126"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
          <w:szCs w:val="22"/>
          <w:lang w:val="en-MY"/>
        </w:rPr>
        <w:t xml:space="preserve">History: </w:t>
      </w:r>
      <w:r w:rsidRPr="009D4627">
        <w:rPr>
          <w:rFonts w:eastAsia="Calibri"/>
          <w:bCs/>
          <w:szCs w:val="22"/>
          <w:lang w:val="en-MY"/>
        </w:rPr>
        <w:t xml:space="preserve">c/o sudden onset horizontal and vertical diplopia. Associated with headaches and tingling on the L side of the face. He never </w:t>
      </w:r>
      <w:proofErr w:type="gramStart"/>
      <w:r w:rsidRPr="009D4627">
        <w:rPr>
          <w:rFonts w:eastAsia="Calibri"/>
          <w:bCs/>
          <w:szCs w:val="22"/>
          <w:lang w:val="en-MY"/>
        </w:rPr>
        <w:t>smoke</w:t>
      </w:r>
      <w:proofErr w:type="gramEnd"/>
      <w:r w:rsidRPr="009D4627">
        <w:rPr>
          <w:rFonts w:eastAsia="Calibri"/>
          <w:bCs/>
          <w:szCs w:val="22"/>
          <w:lang w:val="en-MY"/>
        </w:rPr>
        <w:t xml:space="preserve">. </w:t>
      </w:r>
    </w:p>
    <w:p w14:paraId="78C0104A" w14:textId="77777777" w:rsidR="00CE6626" w:rsidRPr="009D4627" w:rsidRDefault="00CE6626" w:rsidP="00CE6626">
      <w:pPr>
        <w:spacing w:before="0" w:after="0" w:line="240" w:lineRule="auto"/>
        <w:ind w:left="851" w:hanging="131"/>
        <w:rPr>
          <w:rFonts w:eastAsia="Calibri"/>
          <w:b/>
          <w:szCs w:val="22"/>
          <w:lang w:val="en-MY"/>
        </w:rPr>
      </w:pPr>
      <w:r w:rsidRPr="009D4627">
        <w:rPr>
          <w:rFonts w:eastAsia="Calibri"/>
          <w:bCs/>
          <w:szCs w:val="22"/>
          <w:lang w:val="en-MY"/>
        </w:rPr>
        <w:t xml:space="preserve">  </w:t>
      </w:r>
    </w:p>
    <w:p w14:paraId="7B3DDDA4"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Previous treatment: </w:t>
      </w:r>
      <w:r w:rsidRPr="009D4627">
        <w:rPr>
          <w:rFonts w:eastAsia="Calibri"/>
          <w:bCs/>
          <w:szCs w:val="22"/>
          <w:lang w:val="en-MY"/>
        </w:rPr>
        <w:t>NIL</w:t>
      </w:r>
    </w:p>
    <w:p w14:paraId="0F6CD90A" w14:textId="77777777" w:rsidR="00CE6626" w:rsidRPr="009D4627" w:rsidRDefault="00CE6626" w:rsidP="00CE6626">
      <w:pPr>
        <w:spacing w:before="0" w:after="0" w:line="240" w:lineRule="auto"/>
        <w:rPr>
          <w:rFonts w:eastAsia="Calibri"/>
          <w:szCs w:val="22"/>
          <w:lang w:val="en-MY"/>
        </w:rPr>
      </w:pPr>
    </w:p>
    <w:p w14:paraId="5DCEFCDE"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General health: </w:t>
      </w:r>
      <w:r w:rsidRPr="009D4627">
        <w:rPr>
          <w:rFonts w:eastAsia="Calibri"/>
          <w:szCs w:val="22"/>
          <w:lang w:val="en-MY"/>
        </w:rPr>
        <w:t>Good. No medication and no known allergies.</w:t>
      </w:r>
    </w:p>
    <w:p w14:paraId="68C7BF3E" w14:textId="77777777" w:rsidR="00CE6626" w:rsidRPr="009D4627" w:rsidRDefault="00CE6626" w:rsidP="00CE6626">
      <w:pPr>
        <w:spacing w:before="0" w:after="0" w:line="240" w:lineRule="auto"/>
        <w:rPr>
          <w:rFonts w:eastAsia="Calibri"/>
          <w:b/>
          <w:szCs w:val="22"/>
          <w:lang w:val="en-MY"/>
        </w:rPr>
      </w:pPr>
    </w:p>
    <w:p w14:paraId="52008B42" w14:textId="293186D2"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unaided </w:t>
      </w:r>
      <w:r w:rsidRPr="009D4627">
        <w:rPr>
          <w:rFonts w:eastAsia="Calibri"/>
          <w:bCs/>
          <w:szCs w:val="22"/>
          <w:lang w:val="en-MY"/>
        </w:rPr>
        <w:tab/>
        <w:t>RE -0.08</w:t>
      </w:r>
      <w:r w:rsidRPr="009D4627">
        <w:rPr>
          <w:rFonts w:eastAsia="Calibri"/>
          <w:bCs/>
          <w:szCs w:val="22"/>
          <w:lang w:val="en-MY"/>
        </w:rPr>
        <w:tab/>
        <w:t>LE 0.0</w:t>
      </w:r>
      <w:r w:rsidR="00A11E21">
        <w:rPr>
          <w:rFonts w:eastAsia="Calibri"/>
          <w:bCs/>
          <w:szCs w:val="22"/>
          <w:lang w:val="en-MY"/>
        </w:rPr>
        <w:tab/>
      </w:r>
      <w:r w:rsidRPr="009D4627">
        <w:rPr>
          <w:rFonts w:eastAsia="Calibri"/>
          <w:bCs/>
          <w:szCs w:val="22"/>
          <w:lang w:val="en-MY"/>
        </w:rPr>
        <w:t xml:space="preserve">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79EB45BB" w14:textId="6C0DE141"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00A11E21">
        <w:rPr>
          <w:rFonts w:eastAsia="Calibri"/>
          <w:b/>
          <w:szCs w:val="22"/>
          <w:lang w:val="en-MY"/>
        </w:rPr>
        <w:tab/>
      </w:r>
      <w:r w:rsidRPr="009D4627">
        <w:rPr>
          <w:rFonts w:eastAsia="Calibri"/>
          <w:bCs/>
          <w:szCs w:val="22"/>
          <w:lang w:val="en-MY"/>
        </w:rPr>
        <w:t>(6/5)</w:t>
      </w:r>
      <w:r w:rsidRPr="009D4627">
        <w:rPr>
          <w:rFonts w:eastAsia="Calibri"/>
          <w:bCs/>
          <w:szCs w:val="22"/>
          <w:lang w:val="en-MY"/>
        </w:rPr>
        <w:tab/>
      </w:r>
      <w:r w:rsidRPr="009D4627">
        <w:rPr>
          <w:rFonts w:eastAsia="Calibri"/>
          <w:bCs/>
          <w:szCs w:val="22"/>
          <w:lang w:val="en-MY"/>
        </w:rPr>
        <w:tab/>
        <w:t xml:space="preserve">(6/6) </w:t>
      </w:r>
      <w:r w:rsidRPr="009D4627">
        <w:rPr>
          <w:rFonts w:eastAsia="Calibri"/>
          <w:bCs/>
          <w:szCs w:val="22"/>
          <w:lang w:val="en-MY"/>
        </w:rPr>
        <w:tab/>
      </w:r>
      <w:r w:rsidR="00A11E21">
        <w:rPr>
          <w:rFonts w:eastAsia="Calibri"/>
          <w:bCs/>
          <w:szCs w:val="22"/>
          <w:lang w:val="en-MY"/>
        </w:rPr>
        <w:tab/>
      </w:r>
      <w:r w:rsidRPr="009D4627">
        <w:rPr>
          <w:rFonts w:eastAsia="Calibri"/>
          <w:bCs/>
          <w:szCs w:val="22"/>
          <w:lang w:val="en-MY"/>
        </w:rPr>
        <w:t>Snellen equivalent</w:t>
      </w:r>
    </w:p>
    <w:p w14:paraId="51DF0035"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w:t>
      </w:r>
    </w:p>
    <w:p w14:paraId="7317D308"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Cs/>
          <w:szCs w:val="22"/>
          <w:lang w:val="en-MY"/>
        </w:rPr>
        <w:t xml:space="preserve">without glasses 1/3 m &amp; 6 m small right </w:t>
      </w:r>
      <w:proofErr w:type="spellStart"/>
      <w:r w:rsidRPr="009D4627">
        <w:rPr>
          <w:rFonts w:eastAsia="Calibri"/>
          <w:bCs/>
          <w:szCs w:val="22"/>
          <w:lang w:val="en-MY"/>
        </w:rPr>
        <w:t>hypertopia</w:t>
      </w:r>
      <w:proofErr w:type="spellEnd"/>
      <w:r w:rsidRPr="009D4627">
        <w:rPr>
          <w:rFonts w:eastAsia="Calibri"/>
          <w:bCs/>
          <w:szCs w:val="22"/>
          <w:lang w:val="en-MY"/>
        </w:rPr>
        <w:t xml:space="preserve"> (RHT) with diplopia.</w:t>
      </w:r>
    </w:p>
    <w:p w14:paraId="7407DBAE"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Cs/>
          <w:szCs w:val="22"/>
          <w:lang w:val="en-MY"/>
        </w:rPr>
        <w:t xml:space="preserve">                        </w:t>
      </w:r>
    </w:p>
    <w:p w14:paraId="6C839320"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OMT:</w:t>
      </w:r>
    </w:p>
    <w:p w14:paraId="0EB028A4" w14:textId="77777777" w:rsidR="00CE6626" w:rsidRPr="009D4627" w:rsidRDefault="00CE6626" w:rsidP="00CE6626">
      <w:pPr>
        <w:spacing w:before="0" w:line="240" w:lineRule="auto"/>
        <w:rPr>
          <w:rFonts w:eastAsia="Calibri"/>
          <w:bCs/>
          <w:szCs w:val="22"/>
          <w:lang w:val="en-MY"/>
        </w:rPr>
      </w:pPr>
      <w:r w:rsidRPr="009D4627">
        <w:rPr>
          <w:rFonts w:eastAsia="Calibri"/>
          <w:bCs/>
          <w:noProof/>
          <w:szCs w:val="22"/>
          <w:lang w:val="en-US"/>
        </w:rPr>
        <w:drawing>
          <wp:anchor distT="0" distB="0" distL="114300" distR="114300" simplePos="0" relativeHeight="251564544" behindDoc="1" locked="0" layoutInCell="1" allowOverlap="1" wp14:anchorId="2B867C87" wp14:editId="0DBC99FF">
            <wp:simplePos x="0" y="0"/>
            <wp:positionH relativeFrom="column">
              <wp:posOffset>1619250</wp:posOffset>
            </wp:positionH>
            <wp:positionV relativeFrom="paragraph">
              <wp:posOffset>33655</wp:posOffset>
            </wp:positionV>
            <wp:extent cx="2381885" cy="742950"/>
            <wp:effectExtent l="0" t="0" r="0" b="0"/>
            <wp:wrapThrough wrapText="bothSides">
              <wp:wrapPolygon edited="0">
                <wp:start x="1555" y="0"/>
                <wp:lineTo x="0" y="3877"/>
                <wp:lineTo x="0" y="14400"/>
                <wp:lineTo x="518" y="17723"/>
                <wp:lineTo x="1728" y="20492"/>
                <wp:lineTo x="1900" y="21046"/>
                <wp:lineTo x="17448" y="21046"/>
                <wp:lineTo x="21421" y="19385"/>
                <wp:lineTo x="21421" y="17723"/>
                <wp:lineTo x="20730" y="12738"/>
                <wp:lineTo x="20212" y="7754"/>
                <wp:lineTo x="19003" y="2769"/>
                <wp:lineTo x="17966" y="0"/>
                <wp:lineTo x="1555" y="0"/>
              </wp:wrapPolygon>
            </wp:wrapThrough>
            <wp:docPr id="21594" name="Picture 2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381885" cy="742950"/>
                    </a:xfrm>
                    <a:prstGeom prst="rect">
                      <a:avLst/>
                    </a:prstGeom>
                    <a:noFill/>
                  </pic:spPr>
                </pic:pic>
              </a:graphicData>
            </a:graphic>
          </wp:anchor>
        </w:drawing>
      </w:r>
    </w:p>
    <w:p w14:paraId="1713D25B" w14:textId="77777777" w:rsidR="00CE6626" w:rsidRPr="009D4627" w:rsidRDefault="00CE6626" w:rsidP="00CE6626">
      <w:pPr>
        <w:spacing w:before="0" w:after="0" w:line="240" w:lineRule="auto"/>
        <w:rPr>
          <w:rFonts w:eastAsia="Calibri"/>
          <w:bCs/>
          <w:szCs w:val="22"/>
          <w:lang w:val="en-MY"/>
        </w:rPr>
      </w:pPr>
    </w:p>
    <w:p w14:paraId="6E799811" w14:textId="77777777" w:rsidR="00CE6626" w:rsidRPr="009D4627" w:rsidRDefault="00CE6626" w:rsidP="00CE6626">
      <w:pPr>
        <w:spacing w:before="0" w:after="0" w:line="240" w:lineRule="auto"/>
        <w:rPr>
          <w:rFonts w:eastAsia="Calibri"/>
          <w:b/>
          <w:szCs w:val="22"/>
          <w:lang w:val="en-MY"/>
        </w:rPr>
      </w:pPr>
    </w:p>
    <w:p w14:paraId="49CBA80E" w14:textId="77777777" w:rsidR="00CE6626" w:rsidRPr="009D4627" w:rsidRDefault="00CE6626" w:rsidP="00CE6626">
      <w:pPr>
        <w:spacing w:before="0" w:after="0" w:line="240" w:lineRule="auto"/>
        <w:rPr>
          <w:rFonts w:eastAsia="Calibri"/>
          <w:b/>
          <w:szCs w:val="22"/>
          <w:lang w:val="en-MY"/>
        </w:rPr>
      </w:pPr>
    </w:p>
    <w:p w14:paraId="24FAFFDF" w14:textId="77777777" w:rsidR="00CE6626" w:rsidRPr="009D4627" w:rsidRDefault="00CE6626" w:rsidP="00CE6626">
      <w:pPr>
        <w:spacing w:before="0" w:after="0" w:line="240" w:lineRule="auto"/>
        <w:jc w:val="left"/>
        <w:rPr>
          <w:rFonts w:eastAsia="Calibri"/>
          <w:bCs/>
          <w:lang w:val="en-US"/>
        </w:rPr>
      </w:pPr>
      <w:r w:rsidRPr="009D4627">
        <w:rPr>
          <w:rFonts w:eastAsia="Calibri"/>
          <w:b/>
          <w:szCs w:val="22"/>
          <w:lang w:val="en-MY"/>
        </w:rPr>
        <w:t>PCT:</w:t>
      </w:r>
      <w:r w:rsidRPr="009D4627">
        <w:rPr>
          <w:rFonts w:eastAsia="Calibri"/>
          <w:b/>
          <w:szCs w:val="22"/>
          <w:lang w:val="en-MY"/>
        </w:rPr>
        <w:tab/>
      </w:r>
      <w:r w:rsidRPr="009D4627">
        <w:rPr>
          <w:rFonts w:eastAsia="Calibri"/>
          <w:b/>
          <w:szCs w:val="22"/>
          <w:lang w:val="en-MY"/>
        </w:rPr>
        <w:tab/>
        <w:t xml:space="preserve"> </w:t>
      </w:r>
      <w:r w:rsidRPr="009D4627">
        <w:rPr>
          <w:rFonts w:eastAsia="Calibri"/>
          <w:b/>
          <w:szCs w:val="22"/>
          <w:lang w:val="en-MY"/>
        </w:rPr>
        <w:tab/>
      </w:r>
      <w:r w:rsidRPr="009D4627">
        <w:rPr>
          <w:rFonts w:eastAsia="Calibri"/>
          <w:bCs/>
          <w:szCs w:val="22"/>
          <w:lang w:val="en-MY"/>
        </w:rPr>
        <w:t>without glasses at 1/3m 2</w:t>
      </w:r>
      <w:r w:rsidRPr="009D4627">
        <w:rPr>
          <w:rFonts w:eastAsia="Calibri"/>
          <w:bCs/>
          <w:vertAlign w:val="superscript"/>
          <w:lang w:val="en-US"/>
        </w:rPr>
        <w:t>Δ</w:t>
      </w:r>
      <w:r w:rsidRPr="009D4627">
        <w:rPr>
          <w:rFonts w:eastAsia="Calibri"/>
          <w:bCs/>
          <w:lang w:val="en-US"/>
        </w:rPr>
        <w:t xml:space="preserve"> BO 5</w:t>
      </w:r>
      <w:r w:rsidRPr="009D4627">
        <w:rPr>
          <w:rFonts w:eastAsia="Calibri"/>
          <w:bCs/>
          <w:vertAlign w:val="superscript"/>
          <w:lang w:val="en-US"/>
        </w:rPr>
        <w:t>Δ</w:t>
      </w:r>
      <w:r w:rsidRPr="009D4627">
        <w:rPr>
          <w:rFonts w:eastAsia="Calibri"/>
          <w:bCs/>
          <w:lang w:val="en-US"/>
        </w:rPr>
        <w:t xml:space="preserve"> RHT</w:t>
      </w:r>
    </w:p>
    <w:p w14:paraId="4C36DF3C" w14:textId="77777777" w:rsidR="00CE6626" w:rsidRPr="009D4627" w:rsidRDefault="00CE6626" w:rsidP="00CE6626">
      <w:pPr>
        <w:spacing w:before="0" w:after="0" w:line="240" w:lineRule="auto"/>
        <w:ind w:left="2880" w:firstLine="720"/>
        <w:jc w:val="left"/>
        <w:rPr>
          <w:rFonts w:eastAsia="Calibri"/>
          <w:bCs/>
          <w:szCs w:val="22"/>
          <w:lang w:val="en-MY"/>
        </w:rPr>
      </w:pPr>
      <w:r w:rsidRPr="009D4627">
        <w:rPr>
          <w:rFonts w:eastAsia="Calibri"/>
          <w:bCs/>
          <w:szCs w:val="22"/>
          <w:lang w:val="en-MY"/>
        </w:rPr>
        <w:t xml:space="preserve">   at 6 m,</w:t>
      </w:r>
    </w:p>
    <w:p w14:paraId="701ED6BD" w14:textId="77777777" w:rsidR="00CE6626" w:rsidRPr="009D4627" w:rsidRDefault="00CE6626" w:rsidP="00CE6626">
      <w:pPr>
        <w:spacing w:before="0" w:after="0" w:line="240" w:lineRule="auto"/>
        <w:ind w:left="2880" w:firstLine="720"/>
        <w:jc w:val="left"/>
        <w:rPr>
          <w:rFonts w:eastAsia="Calibri"/>
          <w:bCs/>
          <w:szCs w:val="22"/>
          <w:lang w:val="en-MY"/>
        </w:rPr>
      </w:pPr>
      <w:r w:rsidRPr="009D4627">
        <w:rPr>
          <w:rFonts w:eastAsia="Calibri"/>
          <w:bCs/>
          <w:szCs w:val="22"/>
          <w:lang w:val="en-MY"/>
        </w:rPr>
        <w:t xml:space="preserve"> </w:t>
      </w:r>
      <w:r w:rsidRPr="009D4627">
        <w:rPr>
          <w:rFonts w:eastAsia="Calibri"/>
          <w:bCs/>
          <w:szCs w:val="22"/>
          <w:lang w:val="en-MY"/>
        </w:rPr>
        <w:tab/>
      </w:r>
    </w:p>
    <w:tbl>
      <w:tblPr>
        <w:tblStyle w:val="TableGrid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
        <w:gridCol w:w="979"/>
        <w:gridCol w:w="979"/>
      </w:tblGrid>
      <w:tr w:rsidR="00CE6626" w:rsidRPr="009D4627" w14:paraId="053D775F" w14:textId="77777777" w:rsidTr="00C66837">
        <w:trPr>
          <w:trHeight w:val="454"/>
          <w:jc w:val="center"/>
        </w:trPr>
        <w:tc>
          <w:tcPr>
            <w:tcW w:w="0" w:type="auto"/>
            <w:tcBorders>
              <w:top w:val="nil"/>
              <w:left w:val="nil"/>
              <w:bottom w:val="single" w:sz="4" w:space="0" w:color="auto"/>
              <w:right w:val="single" w:sz="4" w:space="0" w:color="auto"/>
            </w:tcBorders>
            <w:vAlign w:val="center"/>
          </w:tcPr>
          <w:p w14:paraId="6A20F79C" w14:textId="77777777" w:rsidR="00CE6626" w:rsidRPr="009D4627" w:rsidRDefault="00CE6626" w:rsidP="00C66837">
            <w:pPr>
              <w:spacing w:before="0" w:line="240" w:lineRule="auto"/>
              <w:jc w:val="center"/>
              <w:rPr>
                <w:bCs/>
              </w:rPr>
            </w:pPr>
          </w:p>
        </w:tc>
        <w:tc>
          <w:tcPr>
            <w:tcW w:w="0" w:type="auto"/>
            <w:tcBorders>
              <w:top w:val="nil"/>
              <w:left w:val="single" w:sz="4" w:space="0" w:color="auto"/>
              <w:bottom w:val="single" w:sz="4" w:space="0" w:color="auto"/>
              <w:right w:val="single" w:sz="4" w:space="0" w:color="auto"/>
            </w:tcBorders>
            <w:vAlign w:val="center"/>
            <w:hideMark/>
          </w:tcPr>
          <w:p w14:paraId="0DC80BB1" w14:textId="77777777" w:rsidR="00CE6626" w:rsidRPr="009D4627" w:rsidRDefault="00CE6626" w:rsidP="00C66837">
            <w:pPr>
              <w:spacing w:before="0" w:line="240" w:lineRule="auto"/>
              <w:jc w:val="center"/>
              <w:rPr>
                <w:bCs/>
              </w:rPr>
            </w:pPr>
            <w:r w:rsidRPr="009D4627">
              <w:rPr>
                <w:bCs/>
                <w:lang w:val="en-US"/>
              </w:rPr>
              <w:t>2</w:t>
            </w:r>
            <w:r w:rsidRPr="009D4627">
              <w:rPr>
                <w:bCs/>
                <w:vertAlign w:val="superscript"/>
                <w:lang w:val="en-US"/>
              </w:rPr>
              <w:t>Δ</w:t>
            </w:r>
            <w:r w:rsidRPr="009D4627">
              <w:rPr>
                <w:bCs/>
                <w:lang w:val="en-US"/>
              </w:rPr>
              <w:t xml:space="preserve"> RHT</w:t>
            </w:r>
          </w:p>
        </w:tc>
        <w:tc>
          <w:tcPr>
            <w:tcW w:w="0" w:type="auto"/>
            <w:tcBorders>
              <w:top w:val="nil"/>
              <w:left w:val="single" w:sz="4" w:space="0" w:color="auto"/>
              <w:bottom w:val="single" w:sz="4" w:space="0" w:color="auto"/>
              <w:right w:val="nil"/>
            </w:tcBorders>
            <w:vAlign w:val="center"/>
          </w:tcPr>
          <w:p w14:paraId="4E754DFB" w14:textId="77777777" w:rsidR="00CE6626" w:rsidRPr="009D4627" w:rsidRDefault="00CE6626" w:rsidP="00C66837">
            <w:pPr>
              <w:spacing w:before="0" w:line="240" w:lineRule="auto"/>
              <w:jc w:val="center"/>
              <w:rPr>
                <w:bCs/>
              </w:rPr>
            </w:pPr>
          </w:p>
        </w:tc>
      </w:tr>
      <w:tr w:rsidR="00CE6626" w:rsidRPr="009D4627" w14:paraId="3CE19FC2" w14:textId="77777777" w:rsidTr="00C66837">
        <w:trPr>
          <w:trHeight w:val="454"/>
          <w:jc w:val="center"/>
        </w:trPr>
        <w:tc>
          <w:tcPr>
            <w:tcW w:w="0" w:type="auto"/>
            <w:tcBorders>
              <w:top w:val="single" w:sz="4" w:space="0" w:color="auto"/>
              <w:left w:val="nil"/>
              <w:bottom w:val="single" w:sz="4" w:space="0" w:color="auto"/>
              <w:right w:val="single" w:sz="4" w:space="0" w:color="auto"/>
            </w:tcBorders>
            <w:vAlign w:val="center"/>
            <w:hideMark/>
          </w:tcPr>
          <w:p w14:paraId="22191B2E" w14:textId="77777777" w:rsidR="00CE6626" w:rsidRPr="009D4627" w:rsidRDefault="00CE6626" w:rsidP="00C66837">
            <w:pPr>
              <w:spacing w:before="0" w:line="240" w:lineRule="auto"/>
              <w:jc w:val="center"/>
              <w:rPr>
                <w:bCs/>
              </w:rPr>
            </w:pPr>
            <w:r w:rsidRPr="009D4627">
              <w:rPr>
                <w:bCs/>
                <w:lang w:val="en-US"/>
              </w:rPr>
              <w:t>4</w:t>
            </w:r>
            <w:r w:rsidRPr="009D4627">
              <w:rPr>
                <w:bCs/>
                <w:vertAlign w:val="superscript"/>
                <w:lang w:val="en-US"/>
              </w:rPr>
              <w:t>Δ</w:t>
            </w:r>
            <w:r w:rsidRPr="009D4627">
              <w:rPr>
                <w:bCs/>
                <w:lang w:val="en-US"/>
              </w:rPr>
              <w:t xml:space="preserve"> RHT</w:t>
            </w:r>
          </w:p>
        </w:tc>
        <w:tc>
          <w:tcPr>
            <w:tcW w:w="0" w:type="auto"/>
            <w:tcBorders>
              <w:top w:val="single" w:sz="4" w:space="0" w:color="auto"/>
              <w:left w:val="single" w:sz="4" w:space="0" w:color="auto"/>
              <w:bottom w:val="single" w:sz="4" w:space="0" w:color="auto"/>
              <w:right w:val="single" w:sz="4" w:space="0" w:color="auto"/>
            </w:tcBorders>
            <w:vAlign w:val="center"/>
            <w:hideMark/>
          </w:tcPr>
          <w:p w14:paraId="383478DF" w14:textId="77777777" w:rsidR="00CE6626" w:rsidRPr="009D4627" w:rsidRDefault="00CE6626" w:rsidP="00C66837">
            <w:pPr>
              <w:spacing w:before="0" w:line="240" w:lineRule="auto"/>
              <w:jc w:val="center"/>
              <w:rPr>
                <w:bCs/>
              </w:rPr>
            </w:pPr>
            <w:r w:rsidRPr="009D4627">
              <w:rPr>
                <w:bCs/>
                <w:lang w:val="en-US"/>
              </w:rPr>
              <w:t>6</w:t>
            </w:r>
            <w:r w:rsidRPr="009D4627">
              <w:rPr>
                <w:bCs/>
                <w:vertAlign w:val="superscript"/>
                <w:lang w:val="en-US"/>
              </w:rPr>
              <w:t>Δ</w:t>
            </w:r>
            <w:r w:rsidRPr="009D4627">
              <w:rPr>
                <w:bCs/>
                <w:lang w:val="en-US"/>
              </w:rPr>
              <w:t xml:space="preserve"> RHT</w:t>
            </w:r>
          </w:p>
        </w:tc>
        <w:tc>
          <w:tcPr>
            <w:tcW w:w="0" w:type="auto"/>
            <w:tcBorders>
              <w:top w:val="single" w:sz="4" w:space="0" w:color="auto"/>
              <w:left w:val="single" w:sz="4" w:space="0" w:color="auto"/>
              <w:bottom w:val="single" w:sz="4" w:space="0" w:color="auto"/>
              <w:right w:val="nil"/>
            </w:tcBorders>
            <w:vAlign w:val="center"/>
            <w:hideMark/>
          </w:tcPr>
          <w:p w14:paraId="500DCF96" w14:textId="77777777" w:rsidR="00CE6626" w:rsidRPr="009D4627" w:rsidRDefault="00CE6626" w:rsidP="00C66837">
            <w:pPr>
              <w:spacing w:before="0" w:line="240" w:lineRule="auto"/>
              <w:jc w:val="center"/>
              <w:rPr>
                <w:bCs/>
              </w:rPr>
            </w:pPr>
            <w:r w:rsidRPr="009D4627">
              <w:rPr>
                <w:bCs/>
                <w:lang w:val="en-US"/>
              </w:rPr>
              <w:t>4</w:t>
            </w:r>
            <w:r w:rsidRPr="009D4627">
              <w:rPr>
                <w:bCs/>
                <w:vertAlign w:val="superscript"/>
                <w:lang w:val="en-US"/>
              </w:rPr>
              <w:t>Δ</w:t>
            </w:r>
            <w:r w:rsidRPr="009D4627">
              <w:rPr>
                <w:bCs/>
                <w:lang w:val="en-US"/>
              </w:rPr>
              <w:t xml:space="preserve"> RHT</w:t>
            </w:r>
          </w:p>
        </w:tc>
      </w:tr>
      <w:tr w:rsidR="00CE6626" w:rsidRPr="009D4627" w14:paraId="0FD94063" w14:textId="77777777" w:rsidTr="00C66837">
        <w:trPr>
          <w:trHeight w:val="454"/>
          <w:jc w:val="center"/>
        </w:trPr>
        <w:tc>
          <w:tcPr>
            <w:tcW w:w="0" w:type="auto"/>
            <w:tcBorders>
              <w:top w:val="single" w:sz="4" w:space="0" w:color="auto"/>
              <w:left w:val="nil"/>
              <w:bottom w:val="nil"/>
              <w:right w:val="single" w:sz="4" w:space="0" w:color="auto"/>
            </w:tcBorders>
            <w:vAlign w:val="center"/>
          </w:tcPr>
          <w:p w14:paraId="36BAAF64" w14:textId="77777777" w:rsidR="00CE6626" w:rsidRPr="009D4627" w:rsidRDefault="00CE6626" w:rsidP="00C66837">
            <w:pPr>
              <w:spacing w:before="0" w:line="240" w:lineRule="auto"/>
              <w:jc w:val="center"/>
              <w:rPr>
                <w:bCs/>
              </w:rPr>
            </w:pPr>
          </w:p>
        </w:tc>
        <w:tc>
          <w:tcPr>
            <w:tcW w:w="0" w:type="auto"/>
            <w:tcBorders>
              <w:top w:val="single" w:sz="4" w:space="0" w:color="auto"/>
              <w:left w:val="single" w:sz="4" w:space="0" w:color="auto"/>
              <w:bottom w:val="nil"/>
              <w:right w:val="single" w:sz="4" w:space="0" w:color="auto"/>
            </w:tcBorders>
            <w:vAlign w:val="center"/>
            <w:hideMark/>
          </w:tcPr>
          <w:p w14:paraId="32E767F8" w14:textId="77777777" w:rsidR="00CE6626" w:rsidRPr="009D4627" w:rsidRDefault="00CE6626" w:rsidP="00C66837">
            <w:pPr>
              <w:spacing w:before="0" w:line="240" w:lineRule="auto"/>
              <w:jc w:val="center"/>
              <w:rPr>
                <w:bCs/>
              </w:rPr>
            </w:pPr>
            <w:r w:rsidRPr="009D4627">
              <w:rPr>
                <w:bCs/>
                <w:lang w:val="en-US"/>
              </w:rPr>
              <w:t>6</w:t>
            </w:r>
            <w:r w:rsidRPr="009D4627">
              <w:rPr>
                <w:bCs/>
                <w:vertAlign w:val="superscript"/>
                <w:lang w:val="en-US"/>
              </w:rPr>
              <w:t>Δ</w:t>
            </w:r>
            <w:r w:rsidRPr="009D4627">
              <w:rPr>
                <w:bCs/>
                <w:lang w:val="en-US"/>
              </w:rPr>
              <w:t xml:space="preserve"> RHT</w:t>
            </w:r>
          </w:p>
        </w:tc>
        <w:tc>
          <w:tcPr>
            <w:tcW w:w="0" w:type="auto"/>
            <w:tcBorders>
              <w:top w:val="single" w:sz="4" w:space="0" w:color="auto"/>
              <w:left w:val="single" w:sz="4" w:space="0" w:color="auto"/>
              <w:bottom w:val="nil"/>
              <w:right w:val="nil"/>
            </w:tcBorders>
            <w:vAlign w:val="center"/>
          </w:tcPr>
          <w:p w14:paraId="728C6A5C" w14:textId="77777777" w:rsidR="00CE6626" w:rsidRPr="009D4627" w:rsidRDefault="00CE6626" w:rsidP="00C66837">
            <w:pPr>
              <w:spacing w:before="0" w:line="240" w:lineRule="auto"/>
              <w:jc w:val="center"/>
              <w:rPr>
                <w:bCs/>
              </w:rPr>
            </w:pPr>
          </w:p>
        </w:tc>
      </w:tr>
    </w:tbl>
    <w:p w14:paraId="1C87DE46" w14:textId="77777777" w:rsidR="00CE6626" w:rsidRPr="009D4627" w:rsidRDefault="00CE6626" w:rsidP="00CE6626">
      <w:pPr>
        <w:spacing w:before="0" w:after="0" w:line="240" w:lineRule="auto"/>
        <w:ind w:left="1440" w:firstLine="720"/>
        <w:rPr>
          <w:rFonts w:eastAsia="Calibri"/>
          <w:szCs w:val="22"/>
          <w:lang w:val="en-MY"/>
        </w:rPr>
      </w:pPr>
      <w:r w:rsidRPr="009D4627">
        <w:rPr>
          <w:rFonts w:eastAsia="Calibri"/>
          <w:szCs w:val="22"/>
          <w:lang w:val="en-MY"/>
        </w:rPr>
        <w:t>Diplopia joins with 4</w:t>
      </w:r>
      <w:r w:rsidRPr="009D4627">
        <w:rPr>
          <w:rFonts w:eastAsia="Calibri"/>
          <w:szCs w:val="22"/>
          <w:vertAlign w:val="superscript"/>
          <w:lang w:val="en-MY"/>
        </w:rPr>
        <w:t>Δ</w:t>
      </w:r>
      <w:r w:rsidRPr="009D4627">
        <w:rPr>
          <w:rFonts w:eastAsia="Calibri"/>
          <w:szCs w:val="22"/>
          <w:lang w:val="en-MY"/>
        </w:rPr>
        <w:t xml:space="preserve"> BD over the RE.</w:t>
      </w:r>
    </w:p>
    <w:p w14:paraId="2366E1C6"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w:t>
      </w:r>
    </w:p>
    <w:p w14:paraId="3CF02134" w14:textId="77777777" w:rsidR="00CE6626" w:rsidRPr="009D4627" w:rsidRDefault="00CE6626" w:rsidP="00CE6626">
      <w:pPr>
        <w:spacing w:before="0" w:after="0" w:line="240" w:lineRule="auto"/>
        <w:rPr>
          <w:rFonts w:eastAsia="Calibri"/>
          <w:szCs w:val="22"/>
          <w:lang w:val="en-MY"/>
        </w:rPr>
      </w:pPr>
      <w:proofErr w:type="spellStart"/>
      <w:r w:rsidRPr="009D4627">
        <w:rPr>
          <w:rFonts w:eastAsia="Calibri"/>
          <w:b/>
          <w:szCs w:val="22"/>
          <w:lang w:val="en-MY"/>
        </w:rPr>
        <w:t>Bagolini</w:t>
      </w:r>
      <w:proofErr w:type="spellEnd"/>
      <w:r w:rsidRPr="009D4627">
        <w:rPr>
          <w:rFonts w:eastAsia="Calibri"/>
          <w:b/>
          <w:szCs w:val="22"/>
          <w:lang w:val="en-MY"/>
        </w:rPr>
        <w:t xml:space="preserve"> glasses:</w:t>
      </w:r>
      <w:r w:rsidRPr="009D4627">
        <w:rPr>
          <w:rFonts w:eastAsia="Calibri"/>
          <w:szCs w:val="22"/>
          <w:lang w:val="en-MY"/>
        </w:rPr>
        <w:t xml:space="preserve"> at 1/3 m and 6 m </w:t>
      </w:r>
      <w:r w:rsidRPr="009D4627">
        <w:rPr>
          <w:rFonts w:eastAsia="Calibri"/>
          <w:szCs w:val="22"/>
          <w:lang w:val="en-MY"/>
        </w:rPr>
        <w:sym w:font="Wingdings" w:char="F0E0"/>
      </w:r>
      <w:r w:rsidRPr="009D4627">
        <w:rPr>
          <w:rFonts w:eastAsia="Calibri"/>
          <w:szCs w:val="22"/>
          <w:lang w:val="en-MY"/>
        </w:rPr>
        <w:t xml:space="preserve"> diplopia</w:t>
      </w:r>
    </w:p>
    <w:p w14:paraId="63368B2D" w14:textId="77777777" w:rsidR="00CE6626" w:rsidRPr="009D4627" w:rsidRDefault="00CE6626" w:rsidP="00CE6626">
      <w:pPr>
        <w:spacing w:before="0" w:after="0" w:line="240" w:lineRule="auto"/>
        <w:rPr>
          <w:rFonts w:eastAsia="Calibri"/>
          <w:szCs w:val="22"/>
          <w:lang w:val="en-MY"/>
        </w:rPr>
      </w:pPr>
    </w:p>
    <w:p w14:paraId="3E861B88"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Hess</w:t>
      </w:r>
      <w:r w:rsidRPr="009D4627">
        <w:rPr>
          <w:rFonts w:eastAsia="Calibri"/>
          <w:szCs w:val="22"/>
          <w:lang w:val="en-MY"/>
        </w:rPr>
        <w:t xml:space="preserve">: </w:t>
      </w:r>
    </w:p>
    <w:p w14:paraId="39DB169C" w14:textId="679FB980" w:rsidR="00CE6626" w:rsidRPr="009D4627" w:rsidRDefault="00A2792E" w:rsidP="00CE6626">
      <w:pPr>
        <w:spacing w:before="0" w:after="0" w:line="240" w:lineRule="auto"/>
        <w:rPr>
          <w:rFonts w:eastAsia="Calibri"/>
          <w:szCs w:val="22"/>
          <w:lang w:val="en-MY"/>
        </w:rPr>
      </w:pPr>
      <w:r w:rsidRPr="009D4627">
        <w:rPr>
          <w:noProof/>
        </w:rPr>
        <mc:AlternateContent>
          <mc:Choice Requires="wpg">
            <w:drawing>
              <wp:anchor distT="0" distB="0" distL="114300" distR="114300" simplePos="0" relativeHeight="251700224" behindDoc="0" locked="0" layoutInCell="1" allowOverlap="1" wp14:anchorId="36DB374E" wp14:editId="176C875B">
                <wp:simplePos x="0" y="0"/>
                <wp:positionH relativeFrom="column">
                  <wp:posOffset>581025</wp:posOffset>
                </wp:positionH>
                <wp:positionV relativeFrom="paragraph">
                  <wp:posOffset>7620</wp:posOffset>
                </wp:positionV>
                <wp:extent cx="2571750" cy="1274445"/>
                <wp:effectExtent l="0" t="0" r="0" b="0"/>
                <wp:wrapThrough wrapText="bothSides">
                  <wp:wrapPolygon edited="0">
                    <wp:start x="0" y="0"/>
                    <wp:lineTo x="0" y="20341"/>
                    <wp:lineTo x="3200" y="21309"/>
                    <wp:lineTo x="18720" y="21309"/>
                    <wp:lineTo x="21440" y="20341"/>
                    <wp:lineTo x="21440" y="0"/>
                    <wp:lineTo x="0" y="0"/>
                  </wp:wrapPolygon>
                </wp:wrapThrough>
                <wp:docPr id="20295" name="Group 20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1750" cy="1274445"/>
                          <a:chOff x="0" y="0"/>
                          <a:chExt cx="41040" cy="23418"/>
                        </a:xfrm>
                      </wpg:grpSpPr>
                      <wpg:grpSp>
                        <wpg:cNvPr id="20296" name="Group 21581"/>
                        <wpg:cNvGrpSpPr>
                          <a:grpSpLocks/>
                        </wpg:cNvGrpSpPr>
                        <wpg:grpSpPr bwMode="auto">
                          <a:xfrm>
                            <a:off x="0" y="0"/>
                            <a:ext cx="41040" cy="23289"/>
                            <a:chOff x="0" y="0"/>
                            <a:chExt cx="41040" cy="23289"/>
                          </a:xfrm>
                        </wpg:grpSpPr>
                        <pic:pic xmlns:pic="http://schemas.openxmlformats.org/drawingml/2006/picture">
                          <pic:nvPicPr>
                            <pic:cNvPr id="20297" name="Picture 21582"/>
                            <pic:cNvPicPr>
                              <a:picLocks noChangeAspect="1" noChangeArrowheads="1"/>
                            </pic:cNvPicPr>
                          </pic:nvPicPr>
                          <pic:blipFill>
                            <a:blip r:embed="rId289" cstate="screen">
                              <a:extLst>
                                <a:ext uri="{28A0092B-C50C-407E-A947-70E740481C1C}">
                                  <a14:useLocalDpi xmlns:a14="http://schemas.microsoft.com/office/drawing/2010/main" val="0"/>
                                </a:ext>
                              </a:extLst>
                            </a:blip>
                            <a:srcRect/>
                            <a:stretch>
                              <a:fillRect/>
                            </a:stretch>
                          </pic:blipFill>
                          <pic:spPr bwMode="auto">
                            <a:xfrm>
                              <a:off x="0" y="0"/>
                              <a:ext cx="41040" cy="21920"/>
                            </a:xfrm>
                            <a:prstGeom prst="rect">
                              <a:avLst/>
                            </a:prstGeom>
                            <a:noFill/>
                          </pic:spPr>
                        </pic:pic>
                        <wps:wsp>
                          <wps:cNvPr id="20299" name="Rectangle 21583"/>
                          <wps:cNvSpPr>
                            <a:spLocks noChangeArrowheads="1"/>
                          </wps:cNvSpPr>
                          <wps:spPr bwMode="auto">
                            <a:xfrm>
                              <a:off x="26574" y="20383"/>
                              <a:ext cx="8478" cy="2906"/>
                            </a:xfrm>
                            <a:prstGeom prst="rect">
                              <a:avLst/>
                            </a:prstGeom>
                            <a:noFill/>
                            <a:ln>
                              <a:noFill/>
                            </a:ln>
                          </wps:spPr>
                          <wps:txbx>
                            <w:txbxContent>
                              <w:p w14:paraId="388CB241" w14:textId="77777777" w:rsidR="00CE6626" w:rsidRDefault="00CE6626" w:rsidP="00CE6626">
                                <w:pPr>
                                  <w:shd w:val="clear" w:color="auto" w:fill="FFFFFF" w:themeFill="background1"/>
                                  <w:spacing w:before="0" w:after="0" w:line="240" w:lineRule="auto"/>
                                  <w:jc w:val="center"/>
                                  <w:rPr>
                                    <w:rFonts w:ascii="Calibri" w:hAnsi="Calibri" w:cs="Calibri"/>
                                    <w:sz w:val="20"/>
                                    <w:szCs w:val="20"/>
                                    <w:lang w:val="en-US"/>
                                  </w:rPr>
                                </w:pPr>
                                <w:r>
                                  <w:rPr>
                                    <w:rFonts w:ascii="Calibri" w:hAnsi="Calibri" w:cs="Calibri"/>
                                    <w:sz w:val="20"/>
                                    <w:szCs w:val="20"/>
                                    <w:lang w:val="en-US"/>
                                  </w:rPr>
                                  <w:t>RE</w:t>
                                </w:r>
                              </w:p>
                            </w:txbxContent>
                          </wps:txbx>
                          <wps:bodyPr rot="0" vert="horz" wrap="square" lIns="0" tIns="0" rIns="0" bIns="0" anchor="ctr" anchorCtr="0" upright="1">
                            <a:noAutofit/>
                          </wps:bodyPr>
                        </wps:wsp>
                      </wpg:grpSp>
                      <wps:wsp>
                        <wps:cNvPr id="20300" name="Rectangle 21584"/>
                        <wps:cNvSpPr>
                          <a:spLocks noChangeArrowheads="1"/>
                        </wps:cNvSpPr>
                        <wps:spPr bwMode="auto">
                          <a:xfrm>
                            <a:off x="6953" y="20383"/>
                            <a:ext cx="8477" cy="3035"/>
                          </a:xfrm>
                          <a:prstGeom prst="rect">
                            <a:avLst/>
                          </a:prstGeom>
                          <a:noFill/>
                          <a:ln>
                            <a:noFill/>
                          </a:ln>
                        </wps:spPr>
                        <wps:txbx>
                          <w:txbxContent>
                            <w:p w14:paraId="089F2FB3" w14:textId="77777777" w:rsidR="00CE6626" w:rsidRDefault="00CE6626" w:rsidP="00CE6626">
                              <w:pPr>
                                <w:shd w:val="clear" w:color="auto" w:fill="FFFFFF" w:themeFill="background1"/>
                                <w:spacing w:before="0" w:after="0" w:line="240" w:lineRule="auto"/>
                                <w:jc w:val="center"/>
                                <w:rPr>
                                  <w:rFonts w:ascii="Calibri" w:hAnsi="Calibri" w:cs="Calibri"/>
                                  <w:sz w:val="20"/>
                                  <w:szCs w:val="20"/>
                                  <w:lang w:val="en-US"/>
                                </w:rPr>
                              </w:pPr>
                              <w:r>
                                <w:rPr>
                                  <w:rFonts w:ascii="Calibri" w:hAnsi="Calibri" w:cs="Calibri"/>
                                  <w:sz w:val="20"/>
                                  <w:szCs w:val="20"/>
                                  <w:lang w:val="en-US"/>
                                </w:rPr>
                                <w:t>LE</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6DB374E" id="Group 20295" o:spid="_x0000_s2249" style="position:absolute;left:0;text-align:left;margin-left:45.75pt;margin-top:.6pt;width:202.5pt;height:100.35pt;z-index:251700224;mso-position-horizontal-relative:text;mso-position-vertical-relative:text;mso-width-relative:margin;mso-height-relative:margin" coordsize="41040,2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">
                <v:group id="Group 21581" o:spid="_x0000_s2250" style="position:absolute;width:41040;height:23289" coordsize="41040,2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">
                  <v:shape id="Picture 21582" o:spid="_x0000_s2251" type="#_x0000_t75" style="position:absolute;width:41040;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">
                    <v:imagedata r:id="rId290" o:title=""/>
                  </v:shape>
                  <v:rect id="Rectangle 21583" o:spid="_x0000_s2252" style="position:absolute;left:26574;top:20383;width:8478;height:2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" filled="f" stroked="f">
                    <v:textbox inset="0,0,0,0">
                      <w:txbxContent>
                        <w:p w14:paraId="388CB241" w14:textId="77777777" w:rsidR="00CE6626" w:rsidRDefault="00CE6626" w:rsidP="00CE6626">
                          <w:pPr>
                            <w:shd w:val="clear" w:color="auto" w:fill="FFFFFF" w:themeFill="background1"/>
                            <w:spacing w:before="0" w:after="0" w:line="240" w:lineRule="auto"/>
                            <w:jc w:val="center"/>
                            <w:rPr>
                              <w:rFonts w:ascii="Calibri" w:hAnsi="Calibri" w:cs="Calibri"/>
                              <w:sz w:val="20"/>
                              <w:szCs w:val="20"/>
                              <w:lang w:val="en-US"/>
                            </w:rPr>
                          </w:pPr>
                          <w:r>
                            <w:rPr>
                              <w:rFonts w:ascii="Calibri" w:hAnsi="Calibri" w:cs="Calibri"/>
                              <w:sz w:val="20"/>
                              <w:szCs w:val="20"/>
                              <w:lang w:val="en-US"/>
                            </w:rPr>
                            <w:t>RE</w:t>
                          </w:r>
                        </w:p>
                      </w:txbxContent>
                    </v:textbox>
                  </v:rect>
                </v:group>
                <v:rect id="Rectangle 21584" o:spid="_x0000_s2253" style="position:absolute;left:6953;top:20383;width:8477;height: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" filled="f" stroked="f">
                  <v:textbox inset="0,0,0,0">
                    <w:txbxContent>
                      <w:p w14:paraId="089F2FB3" w14:textId="77777777" w:rsidR="00CE6626" w:rsidRDefault="00CE6626" w:rsidP="00CE6626">
                        <w:pPr>
                          <w:shd w:val="clear" w:color="auto" w:fill="FFFFFF" w:themeFill="background1"/>
                          <w:spacing w:before="0" w:after="0" w:line="240" w:lineRule="auto"/>
                          <w:jc w:val="center"/>
                          <w:rPr>
                            <w:rFonts w:ascii="Calibri" w:hAnsi="Calibri" w:cs="Calibri"/>
                            <w:sz w:val="20"/>
                            <w:szCs w:val="20"/>
                            <w:lang w:val="en-US"/>
                          </w:rPr>
                        </w:pPr>
                        <w:r>
                          <w:rPr>
                            <w:rFonts w:ascii="Calibri" w:hAnsi="Calibri" w:cs="Calibri"/>
                            <w:sz w:val="20"/>
                            <w:szCs w:val="20"/>
                            <w:lang w:val="en-US"/>
                          </w:rPr>
                          <w:t>LE</w:t>
                        </w:r>
                      </w:p>
                    </w:txbxContent>
                  </v:textbox>
                </v:rect>
                <w10:wrap type="through"/>
              </v:group>
            </w:pict>
          </mc:Fallback>
        </mc:AlternateContent>
      </w:r>
    </w:p>
    <w:p w14:paraId="24FF2F39" w14:textId="77777777" w:rsidR="00CE6626" w:rsidRPr="009D4627" w:rsidRDefault="00CE6626" w:rsidP="00CE6626">
      <w:pPr>
        <w:spacing w:before="0" w:after="0" w:line="240" w:lineRule="auto"/>
        <w:rPr>
          <w:rFonts w:eastAsia="Calibri"/>
          <w:szCs w:val="22"/>
          <w:lang w:val="en-MY"/>
        </w:rPr>
      </w:pPr>
    </w:p>
    <w:p w14:paraId="6CC35B4C" w14:textId="77777777" w:rsidR="00CE6626" w:rsidRPr="009D4627" w:rsidRDefault="00CE6626" w:rsidP="00CE6626">
      <w:pPr>
        <w:spacing w:before="0" w:after="0" w:line="240" w:lineRule="auto"/>
        <w:rPr>
          <w:rFonts w:eastAsia="Calibri"/>
          <w:szCs w:val="22"/>
          <w:lang w:val="en-MY"/>
        </w:rPr>
      </w:pPr>
    </w:p>
    <w:p w14:paraId="1D92584A" w14:textId="77777777" w:rsidR="00CE6626" w:rsidRPr="009D4627" w:rsidRDefault="00CE6626" w:rsidP="00CE6626">
      <w:pPr>
        <w:spacing w:before="0" w:after="0" w:line="240" w:lineRule="auto"/>
        <w:rPr>
          <w:rFonts w:eastAsia="Calibri"/>
          <w:szCs w:val="22"/>
          <w:lang w:val="en-MY"/>
        </w:rPr>
      </w:pPr>
    </w:p>
    <w:p w14:paraId="1251D518" w14:textId="77777777" w:rsidR="00CE6626" w:rsidRPr="009D4627" w:rsidRDefault="00CE6626" w:rsidP="00CE6626">
      <w:pPr>
        <w:spacing w:before="0" w:after="0" w:line="240" w:lineRule="auto"/>
        <w:rPr>
          <w:rFonts w:eastAsia="Calibri"/>
          <w:szCs w:val="22"/>
          <w:lang w:val="en-MY"/>
        </w:rPr>
      </w:pPr>
    </w:p>
    <w:p w14:paraId="6868B4C3" w14:textId="77777777" w:rsidR="00CE6626" w:rsidRPr="009D4627" w:rsidRDefault="00CE6626" w:rsidP="00CE6626">
      <w:pPr>
        <w:spacing w:before="0" w:after="0" w:line="240" w:lineRule="auto"/>
        <w:rPr>
          <w:rFonts w:eastAsia="Calibri"/>
          <w:szCs w:val="22"/>
          <w:lang w:val="en-MY"/>
        </w:rPr>
      </w:pPr>
    </w:p>
    <w:p w14:paraId="13EB7BC7" w14:textId="77777777" w:rsidR="00CE6626" w:rsidRPr="009D4627" w:rsidRDefault="00CE6626" w:rsidP="00CE6626">
      <w:pPr>
        <w:spacing w:before="0" w:after="0" w:line="240" w:lineRule="auto"/>
        <w:rPr>
          <w:rFonts w:eastAsia="Calibri"/>
          <w:szCs w:val="22"/>
          <w:lang w:val="en-MY"/>
        </w:rPr>
      </w:pPr>
    </w:p>
    <w:p w14:paraId="4BF83A17" w14:textId="77777777" w:rsidR="00CE6626" w:rsidRPr="009D4627" w:rsidRDefault="00CE6626" w:rsidP="00CE6626">
      <w:pPr>
        <w:spacing w:before="0" w:after="0" w:line="240" w:lineRule="auto"/>
        <w:rPr>
          <w:rFonts w:eastAsia="Calibri"/>
          <w:szCs w:val="22"/>
          <w:lang w:val="en-MY"/>
        </w:rPr>
      </w:pPr>
    </w:p>
    <w:p w14:paraId="0CD9520F" w14:textId="6C1764A5" w:rsidR="00CE6626" w:rsidRPr="009D4627" w:rsidRDefault="00CE6626" w:rsidP="00CE6626">
      <w:pPr>
        <w:spacing w:before="0" w:after="0" w:line="240" w:lineRule="auto"/>
        <w:rPr>
          <w:rFonts w:eastAsia="Calibri"/>
          <w:szCs w:val="22"/>
          <w:lang w:val="en-MY"/>
        </w:rPr>
      </w:pPr>
      <w:r w:rsidRPr="009D4627">
        <w:rPr>
          <w:rFonts w:eastAsia="Calibri"/>
          <w:b/>
          <w:bCs/>
          <w:szCs w:val="22"/>
          <w:lang w:val="en-MY"/>
        </w:rPr>
        <w:lastRenderedPageBreak/>
        <w:t xml:space="preserve">Assessment &amp; Plan: </w:t>
      </w:r>
      <w:r w:rsidRPr="009D4627">
        <w:rPr>
          <w:rFonts w:eastAsia="Calibri"/>
          <w:b/>
          <w:bCs/>
          <w:szCs w:val="22"/>
          <w:lang w:val="en-MY"/>
        </w:rPr>
        <w:tab/>
      </w:r>
      <w:r w:rsidRPr="009D4627">
        <w:rPr>
          <w:rFonts w:eastAsia="Calibri"/>
          <w:szCs w:val="22"/>
          <w:lang w:val="en-MY"/>
        </w:rPr>
        <w:t>R fourth nerve palsy (unknown cause)</w:t>
      </w:r>
    </w:p>
    <w:p w14:paraId="082DCACA" w14:textId="77777777" w:rsidR="00CE6626" w:rsidRPr="009D4627" w:rsidRDefault="00CE6626" w:rsidP="00CE6626">
      <w:pPr>
        <w:spacing w:before="0" w:after="0" w:line="240" w:lineRule="auto"/>
        <w:rPr>
          <w:rFonts w:eastAsia="Calibri"/>
          <w:szCs w:val="22"/>
          <w:lang w:val="en-MY"/>
        </w:rPr>
      </w:pPr>
      <w:r w:rsidRPr="009D4627">
        <w:rPr>
          <w:rFonts w:eastAsia="Calibri"/>
          <w:szCs w:val="22"/>
          <w:lang w:val="en-MY"/>
        </w:rPr>
        <w:tab/>
      </w:r>
      <w:r w:rsidRPr="009D4627">
        <w:rPr>
          <w:rFonts w:eastAsia="Calibri"/>
          <w:szCs w:val="22"/>
          <w:lang w:val="en-MY"/>
        </w:rPr>
        <w:tab/>
      </w:r>
      <w:r w:rsidRPr="009D4627">
        <w:rPr>
          <w:rFonts w:eastAsia="Calibri"/>
          <w:szCs w:val="22"/>
          <w:lang w:val="en-MY"/>
        </w:rPr>
        <w:tab/>
        <w:t>4</w:t>
      </w:r>
      <w:r w:rsidRPr="009D4627">
        <w:rPr>
          <w:rFonts w:eastAsia="Calibri"/>
          <w:szCs w:val="22"/>
          <w:vertAlign w:val="superscript"/>
          <w:lang w:val="en-MY"/>
        </w:rPr>
        <w:t>Δ</w:t>
      </w:r>
      <w:r w:rsidRPr="009D4627">
        <w:rPr>
          <w:rFonts w:eastAsia="Calibri"/>
          <w:szCs w:val="22"/>
          <w:lang w:val="en-MY"/>
        </w:rPr>
        <w:t xml:space="preserve"> BD fitted over R lens of </w:t>
      </w:r>
      <w:proofErr w:type="spellStart"/>
      <w:r w:rsidRPr="009D4627">
        <w:rPr>
          <w:rFonts w:eastAsia="Calibri"/>
          <w:szCs w:val="22"/>
          <w:lang w:val="en-MY"/>
        </w:rPr>
        <w:t>plano</w:t>
      </w:r>
      <w:proofErr w:type="spellEnd"/>
      <w:r w:rsidRPr="009D4627">
        <w:rPr>
          <w:rFonts w:eastAsia="Calibri"/>
          <w:szCs w:val="22"/>
          <w:lang w:val="en-MY"/>
        </w:rPr>
        <w:t xml:space="preserve"> glasses to help with diplopia.</w:t>
      </w:r>
    </w:p>
    <w:p w14:paraId="5FC969D8" w14:textId="6B8778F1" w:rsidR="00CE6626" w:rsidRDefault="00CE6626" w:rsidP="00CE6626">
      <w:pPr>
        <w:spacing w:before="0" w:after="0" w:line="240" w:lineRule="auto"/>
        <w:ind w:left="1440" w:firstLine="720"/>
        <w:rPr>
          <w:rFonts w:eastAsia="Calibri"/>
          <w:szCs w:val="22"/>
          <w:lang w:val="en-MY"/>
        </w:rPr>
      </w:pPr>
      <w:r w:rsidRPr="009D4627">
        <w:rPr>
          <w:rFonts w:eastAsia="Calibri"/>
          <w:szCs w:val="22"/>
          <w:lang w:val="en-MY"/>
        </w:rPr>
        <w:t>Review 2-3/52.</w:t>
      </w:r>
    </w:p>
    <w:p w14:paraId="702809BD" w14:textId="77777777"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2: </w:t>
      </w:r>
      <w:r w:rsidRPr="009D4627">
        <w:rPr>
          <w:rFonts w:eastAsia="Calibri"/>
          <w:bCs/>
          <w:szCs w:val="22"/>
          <w:u w:val="single"/>
          <w:lang w:val="en-MY"/>
        </w:rPr>
        <w:t>30/01/19 (3</w:t>
      </w:r>
      <w:r w:rsidRPr="009D4627">
        <w:rPr>
          <w:rFonts w:eastAsia="Calibri"/>
          <w:bCs/>
          <w:color w:val="FF0000"/>
          <w:szCs w:val="22"/>
          <w:u w:val="single"/>
          <w:lang w:val="en-MY"/>
        </w:rPr>
        <w:t xml:space="preserve"> </w:t>
      </w:r>
      <w:r w:rsidRPr="009D4627">
        <w:rPr>
          <w:rFonts w:eastAsia="Calibri"/>
          <w:bCs/>
          <w:szCs w:val="22"/>
          <w:u w:val="single"/>
          <w:lang w:val="en-MY"/>
        </w:rPr>
        <w:t>weeks from onset)</w:t>
      </w:r>
    </w:p>
    <w:p w14:paraId="4B0A8A73" w14:textId="77777777" w:rsidR="00CE6626" w:rsidRPr="009D4627" w:rsidRDefault="00CE6626" w:rsidP="00CE6626">
      <w:pPr>
        <w:spacing w:before="0" w:after="0" w:line="240" w:lineRule="auto"/>
        <w:rPr>
          <w:rFonts w:eastAsia="Calibri"/>
          <w:szCs w:val="22"/>
          <w:lang w:val="en-MY"/>
        </w:rPr>
      </w:pPr>
    </w:p>
    <w:p w14:paraId="6E6E421B" w14:textId="77777777" w:rsidR="00CE6626" w:rsidRPr="009D4627" w:rsidRDefault="00CE6626" w:rsidP="00CE6626">
      <w:pPr>
        <w:spacing w:before="0" w:after="0" w:line="240" w:lineRule="auto"/>
        <w:rPr>
          <w:rFonts w:eastAsia="Calibri"/>
          <w:color w:val="auto"/>
          <w:szCs w:val="22"/>
          <w:lang w:val="en-MY"/>
        </w:rPr>
      </w:pPr>
      <w:r w:rsidRPr="009D4627">
        <w:rPr>
          <w:rFonts w:eastAsia="Calibri"/>
          <w:color w:val="auto"/>
          <w:szCs w:val="22"/>
          <w:lang w:val="en-MY"/>
        </w:rPr>
        <w:t>Patient happy with distance glasses prism (4</w:t>
      </w:r>
      <w:r w:rsidRPr="009D4627">
        <w:rPr>
          <w:rFonts w:eastAsia="Calibri"/>
          <w:color w:val="auto"/>
          <w:szCs w:val="22"/>
          <w:vertAlign w:val="superscript"/>
          <w:lang w:val="en-MY"/>
        </w:rPr>
        <w:t>Δ</w:t>
      </w:r>
      <w:r w:rsidRPr="009D4627">
        <w:rPr>
          <w:rFonts w:eastAsia="Calibri"/>
          <w:color w:val="auto"/>
          <w:szCs w:val="22"/>
          <w:lang w:val="en-MY"/>
        </w:rPr>
        <w:t xml:space="preserve"> BD RE). To review for near prism prescription.</w:t>
      </w:r>
    </w:p>
    <w:p w14:paraId="16EAE7F8" w14:textId="77777777" w:rsidR="00CE6626" w:rsidRPr="009D4627" w:rsidRDefault="00CE6626" w:rsidP="00CE6626">
      <w:pPr>
        <w:spacing w:before="0" w:after="0" w:line="240" w:lineRule="auto"/>
        <w:rPr>
          <w:rFonts w:eastAsia="Calibri"/>
          <w:b/>
          <w:szCs w:val="22"/>
          <w:lang w:val="en-MY"/>
        </w:rPr>
      </w:pPr>
    </w:p>
    <w:p w14:paraId="4CD1C6C5" w14:textId="71999AC5"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with </w:t>
      </w:r>
      <w:proofErr w:type="spellStart"/>
      <w:r w:rsidRPr="009D4627">
        <w:rPr>
          <w:rFonts w:eastAsia="Calibri"/>
          <w:bCs/>
          <w:szCs w:val="22"/>
          <w:lang w:val="en-MY"/>
        </w:rPr>
        <w:t>glasses+</w:t>
      </w:r>
      <w:r w:rsidRPr="009D4627">
        <w:rPr>
          <w:rFonts w:eastAsia="Calibri"/>
          <w:bCs/>
          <w:szCs w:val="22"/>
          <w:vertAlign w:val="superscript"/>
          <w:lang w:val="en-MY"/>
        </w:rPr>
        <w:t>Δ</w:t>
      </w:r>
      <w:proofErr w:type="spellEnd"/>
      <w:proofErr w:type="gramStart"/>
      <w:r w:rsidRPr="009D4627">
        <w:rPr>
          <w:rFonts w:eastAsia="Calibri"/>
          <w:bCs/>
          <w:szCs w:val="22"/>
          <w:lang w:val="en-MY"/>
        </w:rPr>
        <w:tab/>
        <w:t xml:space="preserve">  RE</w:t>
      </w:r>
      <w:proofErr w:type="gramEnd"/>
      <w:r w:rsidRPr="009D4627">
        <w:rPr>
          <w:rFonts w:eastAsia="Calibri"/>
          <w:bCs/>
          <w:szCs w:val="22"/>
          <w:lang w:val="en-MY"/>
        </w:rPr>
        <w:t xml:space="preserve"> 0.24</w:t>
      </w:r>
      <w:r w:rsidRPr="009D4627">
        <w:rPr>
          <w:rFonts w:eastAsia="Calibri"/>
          <w:bCs/>
          <w:szCs w:val="22"/>
          <w:lang w:val="en-MY"/>
        </w:rPr>
        <w:tab/>
        <w:t xml:space="preserve">LE -0.06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26C35DD1" w14:textId="5B1AFD66"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00A11E21">
        <w:rPr>
          <w:rFonts w:eastAsia="Calibri"/>
          <w:b/>
          <w:szCs w:val="22"/>
          <w:lang w:val="en-MY"/>
        </w:rPr>
        <w:tab/>
      </w:r>
      <w:r w:rsidRPr="009D4627">
        <w:rPr>
          <w:rFonts w:eastAsia="Calibri"/>
          <w:bCs/>
          <w:szCs w:val="22"/>
          <w:lang w:val="en-MY"/>
        </w:rPr>
        <w:t>6/9</w:t>
      </w:r>
      <w:r w:rsidRPr="009D4627">
        <w:rPr>
          <w:rFonts w:eastAsia="Calibri"/>
          <w:bCs/>
          <w:szCs w:val="22"/>
          <w:lang w:val="en-MY"/>
        </w:rPr>
        <w:tab/>
      </w:r>
      <w:r w:rsidRPr="009D4627">
        <w:rPr>
          <w:rFonts w:eastAsia="Calibri"/>
          <w:bCs/>
          <w:szCs w:val="22"/>
          <w:lang w:val="en-MY"/>
        </w:rPr>
        <w:tab/>
        <w:t>6/5</w:t>
      </w:r>
      <w:r w:rsidRPr="009D4627">
        <w:rPr>
          <w:rFonts w:eastAsia="Calibri"/>
          <w:bCs/>
          <w:szCs w:val="22"/>
          <w:vertAlign w:val="superscript"/>
          <w:lang w:val="en-MY"/>
        </w:rPr>
        <w:t>-1</w:t>
      </w:r>
      <w:r w:rsidRPr="009D4627">
        <w:rPr>
          <w:rFonts w:eastAsia="Calibri"/>
          <w:bCs/>
          <w:szCs w:val="22"/>
          <w:lang w:val="en-MY"/>
        </w:rPr>
        <w:t xml:space="preserve"> </w:t>
      </w:r>
      <w:r w:rsidRPr="009D4627">
        <w:rPr>
          <w:rFonts w:eastAsia="Calibri"/>
          <w:bCs/>
          <w:szCs w:val="22"/>
          <w:lang w:val="en-MY"/>
        </w:rPr>
        <w:tab/>
      </w:r>
      <w:r w:rsidR="00A11E21">
        <w:rPr>
          <w:rFonts w:eastAsia="Calibri"/>
          <w:bCs/>
          <w:szCs w:val="22"/>
          <w:lang w:val="en-MY"/>
        </w:rPr>
        <w:tab/>
      </w:r>
      <w:r w:rsidRPr="009D4627">
        <w:rPr>
          <w:rFonts w:eastAsia="Calibri"/>
          <w:bCs/>
          <w:szCs w:val="22"/>
          <w:lang w:val="en-MY"/>
        </w:rPr>
        <w:t>Snellen equivalent</w:t>
      </w:r>
    </w:p>
    <w:p w14:paraId="2FF2E422"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p>
    <w:p w14:paraId="1426B197" w14:textId="77777777" w:rsidR="00CE6626" w:rsidRPr="009D4627" w:rsidRDefault="00CE6626" w:rsidP="00CE6626">
      <w:pPr>
        <w:spacing w:before="0" w:after="0" w:line="240" w:lineRule="auto"/>
        <w:ind w:left="1276" w:hanging="1276"/>
        <w:rPr>
          <w:rFonts w:eastAsia="Calibri"/>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szCs w:val="22"/>
          <w:lang w:val="en-MY"/>
        </w:rPr>
        <w:t xml:space="preserve"> </w:t>
      </w:r>
      <w:r w:rsidRPr="009D4627">
        <w:rPr>
          <w:rFonts w:eastAsia="Calibri"/>
          <w:szCs w:val="22"/>
          <w:lang w:val="en-MY"/>
        </w:rPr>
        <w:tab/>
        <w:t>with readers at 1/3 slight + RHT with diplopia</w:t>
      </w:r>
    </w:p>
    <w:p w14:paraId="2B779B0A"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
          <w:szCs w:val="22"/>
          <w:lang w:val="en-MY"/>
        </w:rPr>
        <w:tab/>
      </w:r>
    </w:p>
    <w:p w14:paraId="2683966A"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PCT: </w:t>
      </w:r>
      <w:r w:rsidRPr="009D4627">
        <w:rPr>
          <w:rFonts w:eastAsia="Calibri"/>
          <w:b/>
          <w:szCs w:val="22"/>
          <w:lang w:val="en-MY"/>
        </w:rPr>
        <w:tab/>
      </w:r>
      <w:r w:rsidRPr="009D4627">
        <w:rPr>
          <w:rFonts w:eastAsia="Calibri"/>
          <w:b/>
          <w:szCs w:val="22"/>
          <w:lang w:val="en-MY"/>
        </w:rPr>
        <w:tab/>
      </w:r>
      <w:r w:rsidRPr="009D4627">
        <w:rPr>
          <w:rFonts w:eastAsia="Calibri"/>
          <w:szCs w:val="22"/>
          <w:lang w:val="en-MY"/>
        </w:rPr>
        <w:t>with readers 4</w:t>
      </w:r>
      <w:r w:rsidRPr="009D4627">
        <w:rPr>
          <w:rFonts w:eastAsia="Calibri"/>
          <w:szCs w:val="22"/>
          <w:vertAlign w:val="superscript"/>
          <w:lang w:val="en-MY"/>
        </w:rPr>
        <w:t>Δ</w:t>
      </w:r>
      <w:r w:rsidRPr="009D4627">
        <w:rPr>
          <w:rFonts w:eastAsia="Calibri"/>
          <w:szCs w:val="22"/>
          <w:lang w:val="en-MY"/>
        </w:rPr>
        <w:t xml:space="preserve"> XT with 6</w:t>
      </w:r>
      <w:r w:rsidRPr="009D4627">
        <w:rPr>
          <w:rFonts w:eastAsia="Calibri"/>
          <w:szCs w:val="22"/>
          <w:vertAlign w:val="superscript"/>
          <w:lang w:val="en-MY"/>
        </w:rPr>
        <w:t>Δ</w:t>
      </w:r>
      <w:r w:rsidRPr="009D4627">
        <w:rPr>
          <w:rFonts w:eastAsia="Calibri"/>
          <w:szCs w:val="22"/>
          <w:lang w:val="en-MY"/>
        </w:rPr>
        <w:t xml:space="preserve"> RHT</w:t>
      </w:r>
    </w:p>
    <w:p w14:paraId="212E3ACC" w14:textId="77777777" w:rsidR="00CE6626" w:rsidRPr="009D4627" w:rsidRDefault="00CE6626" w:rsidP="00CE6626">
      <w:pPr>
        <w:spacing w:before="0" w:after="0" w:line="240" w:lineRule="auto"/>
        <w:rPr>
          <w:rFonts w:eastAsia="Calibri"/>
          <w:b/>
          <w:szCs w:val="22"/>
          <w:lang w:val="en-MY"/>
        </w:rPr>
      </w:pPr>
    </w:p>
    <w:p w14:paraId="0592793B" w14:textId="35782B97" w:rsidR="00CE6626" w:rsidRPr="009D4627" w:rsidRDefault="00CE6626" w:rsidP="00CE6626">
      <w:pPr>
        <w:spacing w:before="0" w:after="0" w:line="240" w:lineRule="auto"/>
        <w:ind w:left="1440" w:hanging="1440"/>
        <w:rPr>
          <w:rFonts w:eastAsia="Calibri"/>
          <w:color w:val="auto"/>
          <w:szCs w:val="22"/>
          <w:lang w:val="en-MY"/>
        </w:rPr>
      </w:pPr>
      <w:r w:rsidRPr="009D4627">
        <w:rPr>
          <w:rFonts w:eastAsia="Calibri"/>
          <w:b/>
          <w:bCs/>
          <w:color w:val="auto"/>
          <w:szCs w:val="22"/>
          <w:lang w:val="en-MY"/>
        </w:rPr>
        <w:t xml:space="preserve">Join diplopia: </w:t>
      </w:r>
      <w:r w:rsidRPr="009D4627">
        <w:rPr>
          <w:rFonts w:eastAsia="Calibri"/>
          <w:color w:val="auto"/>
          <w:szCs w:val="22"/>
          <w:lang w:val="en-MY"/>
        </w:rPr>
        <w:t>With readers 1/3 m 4</w:t>
      </w:r>
      <w:r w:rsidRPr="009D4627">
        <w:rPr>
          <w:rFonts w:eastAsia="Calibri"/>
          <w:color w:val="auto"/>
          <w:szCs w:val="22"/>
          <w:vertAlign w:val="superscript"/>
          <w:lang w:val="en-MY"/>
        </w:rPr>
        <w:t>Δ</w:t>
      </w:r>
      <w:r w:rsidRPr="009D4627">
        <w:rPr>
          <w:rFonts w:eastAsia="Calibri"/>
          <w:color w:val="auto"/>
          <w:szCs w:val="22"/>
          <w:lang w:val="en-MY"/>
        </w:rPr>
        <w:t xml:space="preserve"> BD RE single and clear – therefore fitted Fresnel to R lens of readers 4</w:t>
      </w:r>
      <w:r w:rsidRPr="009D4627">
        <w:rPr>
          <w:rFonts w:eastAsia="Calibri"/>
          <w:color w:val="auto"/>
          <w:szCs w:val="22"/>
          <w:vertAlign w:val="superscript"/>
          <w:lang w:val="en-MY"/>
        </w:rPr>
        <w:t xml:space="preserve">Δ </w:t>
      </w:r>
      <w:r w:rsidRPr="009D4627">
        <w:rPr>
          <w:rFonts w:eastAsia="Calibri"/>
          <w:color w:val="auto"/>
          <w:szCs w:val="22"/>
          <w:lang w:val="en-MY"/>
        </w:rPr>
        <w:t>BD RE (same as for distance)</w:t>
      </w:r>
    </w:p>
    <w:p w14:paraId="5F418D18" w14:textId="77777777" w:rsidR="00CE6626" w:rsidRPr="009D4627" w:rsidRDefault="00CE6626" w:rsidP="00CE6626">
      <w:pPr>
        <w:spacing w:before="0" w:after="0" w:line="240" w:lineRule="auto"/>
        <w:rPr>
          <w:rFonts w:eastAsia="Calibri"/>
          <w:color w:val="auto"/>
          <w:szCs w:val="22"/>
          <w:lang w:val="en-MY"/>
        </w:rPr>
      </w:pPr>
    </w:p>
    <w:p w14:paraId="70CEC88D" w14:textId="77777777" w:rsidR="00CE6626" w:rsidRPr="009D4627" w:rsidRDefault="00CE6626" w:rsidP="00CE6626">
      <w:pPr>
        <w:spacing w:before="0" w:after="0" w:line="240" w:lineRule="auto"/>
        <w:rPr>
          <w:rFonts w:eastAsia="Calibri"/>
          <w:color w:val="auto"/>
          <w:szCs w:val="22"/>
          <w:lang w:val="en-MY"/>
        </w:rPr>
      </w:pPr>
      <w:r w:rsidRPr="009D4627">
        <w:rPr>
          <w:rFonts w:eastAsia="Calibri"/>
          <w:b/>
          <w:bCs/>
          <w:color w:val="auto"/>
          <w:szCs w:val="22"/>
          <w:lang w:val="en-MY"/>
        </w:rPr>
        <w:t>Plan:</w:t>
      </w:r>
      <w:r w:rsidRPr="009D4627">
        <w:rPr>
          <w:rFonts w:eastAsia="Calibri"/>
          <w:b/>
          <w:bCs/>
          <w:color w:val="auto"/>
          <w:szCs w:val="22"/>
          <w:lang w:val="en-MY"/>
        </w:rPr>
        <w:tab/>
      </w:r>
      <w:r w:rsidRPr="009D4627">
        <w:rPr>
          <w:rFonts w:eastAsia="Calibri"/>
          <w:color w:val="auto"/>
          <w:szCs w:val="22"/>
          <w:lang w:val="en-MY"/>
        </w:rPr>
        <w:t>MRI booked 19/02/2019</w:t>
      </w:r>
      <w:r w:rsidRPr="009D4627">
        <w:rPr>
          <w:rFonts w:eastAsia="Calibri"/>
          <w:color w:val="auto"/>
          <w:szCs w:val="22"/>
          <w:lang w:val="en-MY"/>
        </w:rPr>
        <w:tab/>
      </w:r>
    </w:p>
    <w:p w14:paraId="47F0CC92"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Review after MRI.</w:t>
      </w:r>
    </w:p>
    <w:p w14:paraId="7BE4E6E9" w14:textId="77777777" w:rsidR="00CE6626" w:rsidRPr="009D4627" w:rsidRDefault="00CE6626" w:rsidP="00CE6626">
      <w:pPr>
        <w:spacing w:before="0" w:after="0" w:line="240" w:lineRule="auto"/>
        <w:rPr>
          <w:rFonts w:eastAsia="Calibri"/>
          <w:b/>
          <w:szCs w:val="22"/>
          <w:u w:val="single"/>
          <w:lang w:val="en-MY"/>
        </w:rPr>
      </w:pPr>
    </w:p>
    <w:p w14:paraId="74E0E522" w14:textId="77777777" w:rsidR="00CE6626" w:rsidRPr="009D4627" w:rsidRDefault="00CE6626" w:rsidP="00CE6626">
      <w:pPr>
        <w:spacing w:before="0" w:after="0" w:line="240" w:lineRule="auto"/>
        <w:rPr>
          <w:rFonts w:eastAsia="Calibri"/>
          <w:b/>
          <w:szCs w:val="22"/>
          <w:u w:val="single"/>
          <w:lang w:val="en-MY"/>
        </w:rPr>
      </w:pPr>
    </w:p>
    <w:p w14:paraId="72C34162" w14:textId="77777777"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3: </w:t>
      </w:r>
      <w:r w:rsidRPr="009D4627">
        <w:rPr>
          <w:rFonts w:eastAsia="Calibri"/>
          <w:bCs/>
          <w:szCs w:val="22"/>
          <w:u w:val="single"/>
          <w:lang w:val="en-MY"/>
        </w:rPr>
        <w:t xml:space="preserve">27/02/19 (7 weeks from onset) </w:t>
      </w:r>
    </w:p>
    <w:p w14:paraId="47B04C81" w14:textId="77777777" w:rsidR="00CE6626" w:rsidRPr="009D4627" w:rsidRDefault="00CE6626" w:rsidP="00CE6626">
      <w:pPr>
        <w:spacing w:before="0" w:after="0" w:line="240" w:lineRule="auto"/>
        <w:rPr>
          <w:rFonts w:eastAsia="Calibri"/>
          <w:szCs w:val="22"/>
          <w:lang w:val="en-MY"/>
        </w:rPr>
      </w:pPr>
    </w:p>
    <w:p w14:paraId="5173CD19" w14:textId="77777777" w:rsidR="00CE6626" w:rsidRPr="009D4627" w:rsidRDefault="00CE6626" w:rsidP="00CE6626">
      <w:pPr>
        <w:spacing w:before="0" w:after="0" w:line="240" w:lineRule="auto"/>
        <w:rPr>
          <w:rFonts w:eastAsia="Calibri"/>
          <w:szCs w:val="22"/>
          <w:lang w:val="en-MY"/>
        </w:rPr>
      </w:pPr>
      <w:r w:rsidRPr="009D4627">
        <w:rPr>
          <w:rFonts w:eastAsia="Calibri"/>
          <w:szCs w:val="22"/>
          <w:lang w:val="en-MY"/>
        </w:rPr>
        <w:t>No abnormalities detected from MRI scan.</w:t>
      </w:r>
    </w:p>
    <w:p w14:paraId="629028EC" w14:textId="77777777" w:rsidR="00CE6626" w:rsidRPr="009D4627" w:rsidRDefault="00CE6626" w:rsidP="00CE6626">
      <w:pPr>
        <w:spacing w:before="0" w:after="0" w:line="240" w:lineRule="auto"/>
        <w:rPr>
          <w:rFonts w:eastAsia="Calibri"/>
          <w:szCs w:val="22"/>
          <w:lang w:val="en-MY"/>
        </w:rPr>
      </w:pPr>
    </w:p>
    <w:p w14:paraId="4F7ED4B4" w14:textId="6F0304BD"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w:t>
      </w:r>
      <w:r w:rsidRPr="009D4627">
        <w:rPr>
          <w:rFonts w:eastAsia="Calibri"/>
          <w:bCs/>
          <w:szCs w:val="22"/>
          <w:lang w:val="en-MY"/>
        </w:rPr>
        <w:tab/>
        <w:t xml:space="preserve">with glasses </w:t>
      </w:r>
      <w:r w:rsidRPr="009D4627">
        <w:rPr>
          <w:rFonts w:eastAsia="Calibri"/>
          <w:bCs/>
          <w:szCs w:val="22"/>
          <w:lang w:val="en-MY"/>
        </w:rPr>
        <w:tab/>
        <w:t>RE -0.02</w:t>
      </w:r>
      <w:r w:rsidRPr="009D4627">
        <w:rPr>
          <w:rFonts w:eastAsia="Calibri"/>
          <w:bCs/>
          <w:szCs w:val="22"/>
          <w:lang w:val="en-MY"/>
        </w:rPr>
        <w:tab/>
        <w:t xml:space="preserve">LE -0.04      </w:t>
      </w:r>
      <w:r w:rsidR="00A11E21">
        <w:rPr>
          <w:rFonts w:eastAsia="Calibri"/>
          <w:bCs/>
          <w:szCs w:val="22"/>
          <w:lang w:val="en-MY"/>
        </w:rPr>
        <w:tab/>
      </w:r>
      <w:r w:rsidRPr="009D4627">
        <w:rPr>
          <w:rFonts w:eastAsia="Calibri"/>
          <w:bCs/>
          <w:szCs w:val="22"/>
          <w:lang w:val="en-MY"/>
        </w:rPr>
        <w:t>ETDRS (</w:t>
      </w:r>
      <w:proofErr w:type="spellStart"/>
      <w:r w:rsidRPr="009D4627">
        <w:rPr>
          <w:rFonts w:eastAsia="Calibri"/>
          <w:bCs/>
          <w:szCs w:val="22"/>
          <w:lang w:val="en-MY"/>
        </w:rPr>
        <w:t>logMAR</w:t>
      </w:r>
      <w:proofErr w:type="spellEnd"/>
      <w:r w:rsidRPr="009D4627">
        <w:rPr>
          <w:rFonts w:eastAsia="Calibri"/>
          <w:bCs/>
          <w:szCs w:val="22"/>
          <w:lang w:val="en-MY"/>
        </w:rPr>
        <w:t>)</w:t>
      </w:r>
    </w:p>
    <w:p w14:paraId="4FB2D79B" w14:textId="27A7E4D8"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w:t>
      </w:r>
      <w:r w:rsidR="00A11E21">
        <w:rPr>
          <w:rFonts w:eastAsia="Calibri"/>
          <w:bCs/>
          <w:szCs w:val="22"/>
          <w:lang w:val="en-MY"/>
        </w:rPr>
        <w:tab/>
      </w:r>
      <w:r w:rsidRPr="009D4627">
        <w:rPr>
          <w:rFonts w:eastAsia="Calibri"/>
          <w:bCs/>
          <w:szCs w:val="22"/>
          <w:lang w:val="en-MY"/>
        </w:rPr>
        <w:t>6/5</w:t>
      </w:r>
      <w:r w:rsidRPr="009D4627">
        <w:rPr>
          <w:rFonts w:eastAsia="Calibri"/>
          <w:bCs/>
          <w:szCs w:val="22"/>
          <w:vertAlign w:val="superscript"/>
          <w:lang w:val="en-MY"/>
        </w:rPr>
        <w:t>-3</w:t>
      </w:r>
      <w:r w:rsidRPr="009D4627">
        <w:rPr>
          <w:rFonts w:eastAsia="Calibri"/>
          <w:bCs/>
          <w:szCs w:val="22"/>
          <w:lang w:val="en-MY"/>
        </w:rPr>
        <w:tab/>
        <w:t xml:space="preserve">    </w:t>
      </w:r>
      <w:r w:rsidR="00A11E21">
        <w:rPr>
          <w:rFonts w:eastAsia="Calibri"/>
          <w:bCs/>
          <w:szCs w:val="22"/>
          <w:lang w:val="en-MY"/>
        </w:rPr>
        <w:tab/>
      </w:r>
      <w:r w:rsidRPr="009D4627">
        <w:rPr>
          <w:rFonts w:eastAsia="Calibri"/>
          <w:bCs/>
          <w:szCs w:val="22"/>
          <w:lang w:val="en-MY"/>
        </w:rPr>
        <w:t>6/5</w:t>
      </w:r>
      <w:r w:rsidRPr="009D4627">
        <w:rPr>
          <w:rFonts w:eastAsia="Calibri"/>
          <w:bCs/>
          <w:szCs w:val="22"/>
          <w:vertAlign w:val="superscript"/>
          <w:lang w:val="en-MY"/>
        </w:rPr>
        <w:t>-2</w:t>
      </w:r>
      <w:r w:rsidRPr="009D4627">
        <w:rPr>
          <w:rFonts w:eastAsia="Calibri"/>
          <w:bCs/>
          <w:szCs w:val="22"/>
          <w:lang w:val="en-MY"/>
        </w:rPr>
        <w:t xml:space="preserve">        </w:t>
      </w:r>
      <w:r w:rsidR="00A11E21">
        <w:rPr>
          <w:rFonts w:eastAsia="Calibri"/>
          <w:bCs/>
          <w:szCs w:val="22"/>
          <w:lang w:val="en-MY"/>
        </w:rPr>
        <w:tab/>
      </w:r>
      <w:r w:rsidRPr="009D4627">
        <w:rPr>
          <w:rFonts w:eastAsia="Calibri"/>
          <w:bCs/>
          <w:szCs w:val="22"/>
          <w:lang w:val="en-MY"/>
        </w:rPr>
        <w:t>Snellen equivalent</w:t>
      </w:r>
    </w:p>
    <w:p w14:paraId="1B062376" w14:textId="77777777" w:rsidR="00CE6626" w:rsidRPr="009D4627" w:rsidRDefault="00CE6626" w:rsidP="00CE6626">
      <w:pPr>
        <w:spacing w:before="0" w:after="0" w:line="240" w:lineRule="auto"/>
        <w:rPr>
          <w:rFonts w:eastAsia="Calibri"/>
          <w:b/>
          <w:szCs w:val="22"/>
          <w:lang w:val="en-MY"/>
        </w:rPr>
      </w:pPr>
    </w:p>
    <w:p w14:paraId="558B2AA6"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Cover test:</w:t>
      </w:r>
      <w:r w:rsidRPr="009D4627">
        <w:rPr>
          <w:rFonts w:eastAsia="Calibri"/>
          <w:b/>
          <w:szCs w:val="22"/>
          <w:lang w:val="en-MY"/>
        </w:rPr>
        <w:tab/>
      </w:r>
      <w:r w:rsidRPr="009D4627">
        <w:rPr>
          <w:rFonts w:eastAsia="Calibri"/>
          <w:bCs/>
          <w:szCs w:val="22"/>
          <w:lang w:val="en-MY"/>
        </w:rPr>
        <w:t xml:space="preserve">with glasses 1/3m small RH           </w:t>
      </w:r>
    </w:p>
    <w:p w14:paraId="56F018C4"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 xml:space="preserve">                                             6 m moderate RH</w:t>
      </w:r>
    </w:p>
    <w:p w14:paraId="53F2F7B6" w14:textId="77777777" w:rsidR="00CE6626" w:rsidRPr="009D4627" w:rsidRDefault="00CE6626" w:rsidP="00CE6626">
      <w:pPr>
        <w:spacing w:before="0" w:after="0" w:line="240" w:lineRule="auto"/>
        <w:rPr>
          <w:rFonts w:eastAsia="Calibri"/>
          <w:bCs/>
          <w:szCs w:val="22"/>
          <w:lang w:val="en-MY"/>
        </w:rPr>
      </w:pPr>
    </w:p>
    <w:p w14:paraId="2B15D929" w14:textId="77777777" w:rsidR="00CE6626" w:rsidRPr="009D4627" w:rsidRDefault="00CE6626" w:rsidP="00CE6626">
      <w:pPr>
        <w:spacing w:before="0" w:after="0" w:line="240" w:lineRule="auto"/>
        <w:rPr>
          <w:rFonts w:eastAsia="Calibri"/>
          <w:b/>
          <w:color w:val="auto"/>
          <w:szCs w:val="22"/>
          <w:lang w:val="en-MY"/>
        </w:rPr>
      </w:pPr>
      <w:r w:rsidRPr="009D4627">
        <w:rPr>
          <w:rFonts w:eastAsia="Calibri"/>
          <w:b/>
          <w:color w:val="auto"/>
          <w:szCs w:val="22"/>
          <w:lang w:val="en-MY"/>
        </w:rPr>
        <w:t>OMT:</w:t>
      </w:r>
    </w:p>
    <w:p w14:paraId="0038BDC9" w14:textId="77777777" w:rsidR="00CE6626" w:rsidRPr="009D4627" w:rsidRDefault="00CE6626" w:rsidP="00CE6626">
      <w:pPr>
        <w:spacing w:before="0" w:line="240" w:lineRule="auto"/>
        <w:rPr>
          <w:rFonts w:eastAsia="Calibri"/>
          <w:bCs/>
          <w:color w:val="FF0000"/>
          <w:szCs w:val="22"/>
          <w:lang w:val="en-MY"/>
        </w:rPr>
      </w:pPr>
      <w:r w:rsidRPr="009D4627">
        <w:rPr>
          <w:rFonts w:eastAsia="Calibri"/>
          <w:bCs/>
          <w:noProof/>
          <w:color w:val="FF0000"/>
          <w:szCs w:val="22"/>
          <w:lang w:val="en-US"/>
        </w:rPr>
        <w:drawing>
          <wp:anchor distT="0" distB="0" distL="114300" distR="114300" simplePos="0" relativeHeight="251569664" behindDoc="1" locked="0" layoutInCell="1" allowOverlap="1" wp14:anchorId="2FB1106C" wp14:editId="39917EFB">
            <wp:simplePos x="0" y="0"/>
            <wp:positionH relativeFrom="column">
              <wp:posOffset>1323975</wp:posOffset>
            </wp:positionH>
            <wp:positionV relativeFrom="paragraph">
              <wp:posOffset>18415</wp:posOffset>
            </wp:positionV>
            <wp:extent cx="2019300" cy="762000"/>
            <wp:effectExtent l="0" t="0" r="0" b="0"/>
            <wp:wrapThrough wrapText="bothSides">
              <wp:wrapPolygon edited="0">
                <wp:start x="1834" y="0"/>
                <wp:lineTo x="0" y="3240"/>
                <wp:lineTo x="0" y="14040"/>
                <wp:lineTo x="815" y="17280"/>
                <wp:lineTo x="2853" y="20520"/>
                <wp:lineTo x="18340" y="20520"/>
                <wp:lineTo x="18747" y="19440"/>
                <wp:lineTo x="20581" y="17280"/>
                <wp:lineTo x="21396" y="11340"/>
                <wp:lineTo x="21396" y="6480"/>
                <wp:lineTo x="20785" y="3780"/>
                <wp:lineTo x="19358" y="0"/>
                <wp:lineTo x="1834" y="0"/>
              </wp:wrapPolygon>
            </wp:wrapThrough>
            <wp:docPr id="21595" name="Picture 2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19300" cy="762000"/>
                    </a:xfrm>
                    <a:prstGeom prst="rect">
                      <a:avLst/>
                    </a:prstGeom>
                    <a:noFill/>
                  </pic:spPr>
                </pic:pic>
              </a:graphicData>
            </a:graphic>
          </wp:anchor>
        </w:drawing>
      </w:r>
    </w:p>
    <w:p w14:paraId="1BD56ADD" w14:textId="77777777" w:rsidR="00CE6626" w:rsidRPr="009D4627" w:rsidRDefault="00CE6626" w:rsidP="00CE6626">
      <w:pPr>
        <w:spacing w:before="0" w:line="240" w:lineRule="auto"/>
        <w:rPr>
          <w:rFonts w:eastAsia="Calibri"/>
          <w:b/>
          <w:bCs/>
          <w:color w:val="FF0000"/>
          <w:szCs w:val="22"/>
          <w:lang w:val="en-MY"/>
        </w:rPr>
      </w:pPr>
    </w:p>
    <w:p w14:paraId="65716585" w14:textId="77777777" w:rsidR="00CE6626" w:rsidRPr="009D4627" w:rsidRDefault="00CE6626" w:rsidP="00CE6626">
      <w:pPr>
        <w:spacing w:before="0" w:line="240" w:lineRule="auto"/>
        <w:rPr>
          <w:rFonts w:eastAsia="Calibri"/>
          <w:b/>
          <w:bCs/>
          <w:szCs w:val="22"/>
          <w:lang w:val="en-MY"/>
        </w:rPr>
      </w:pPr>
    </w:p>
    <w:p w14:paraId="4A50813F"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PCT: </w:t>
      </w:r>
      <w:r w:rsidRPr="009D4627">
        <w:rPr>
          <w:rFonts w:eastAsia="Calibri"/>
          <w:b/>
          <w:szCs w:val="22"/>
          <w:lang w:val="en-MY"/>
        </w:rPr>
        <w:tab/>
      </w:r>
      <w:r w:rsidRPr="009D4627">
        <w:rPr>
          <w:rFonts w:eastAsia="Calibri"/>
          <w:b/>
          <w:szCs w:val="22"/>
          <w:lang w:val="en-MY"/>
        </w:rPr>
        <w:tab/>
      </w:r>
      <w:r w:rsidRPr="009D4627">
        <w:rPr>
          <w:rFonts w:eastAsia="Calibri"/>
          <w:bCs/>
          <w:szCs w:val="22"/>
          <w:lang w:val="en-MY"/>
        </w:rPr>
        <w:t>with glasses 1/3 m and 6 m 2</w:t>
      </w:r>
      <w:r w:rsidRPr="009D4627">
        <w:rPr>
          <w:rFonts w:eastAsia="Calibri"/>
          <w:bCs/>
          <w:szCs w:val="22"/>
          <w:vertAlign w:val="superscript"/>
          <w:lang w:val="en-US"/>
        </w:rPr>
        <w:t>Δ</w:t>
      </w:r>
      <w:r w:rsidRPr="009D4627">
        <w:rPr>
          <w:rFonts w:eastAsia="Calibri"/>
          <w:bCs/>
          <w:szCs w:val="22"/>
          <w:lang w:val="en-US"/>
        </w:rPr>
        <w:t xml:space="preserve"> </w:t>
      </w:r>
      <w:r w:rsidRPr="009D4627">
        <w:rPr>
          <w:rFonts w:eastAsia="Calibri"/>
          <w:bCs/>
          <w:szCs w:val="22"/>
          <w:lang w:val="en-MY"/>
        </w:rPr>
        <w:t>RH</w:t>
      </w:r>
    </w:p>
    <w:p w14:paraId="0D7B373D" w14:textId="77777777" w:rsidR="00CE6626" w:rsidRPr="009D4627" w:rsidRDefault="00CE6626" w:rsidP="00CE6626">
      <w:pPr>
        <w:spacing w:before="0" w:after="0" w:line="240" w:lineRule="auto"/>
        <w:rPr>
          <w:rFonts w:eastAsia="Calibri"/>
          <w:bCs/>
          <w:szCs w:val="22"/>
          <w:lang w:val="en-US"/>
        </w:rPr>
      </w:pPr>
    </w:p>
    <w:p w14:paraId="4B02E179" w14:textId="0B3BE832" w:rsidR="00CE6626" w:rsidRPr="009D4627" w:rsidRDefault="00A2792E" w:rsidP="00CE6626">
      <w:pPr>
        <w:spacing w:before="0" w:after="0" w:line="240" w:lineRule="auto"/>
        <w:ind w:left="1440"/>
        <w:rPr>
          <w:rFonts w:eastAsia="Calibri"/>
          <w:bCs/>
          <w:szCs w:val="22"/>
          <w:lang w:val="en-US"/>
        </w:rPr>
      </w:pPr>
      <w:r w:rsidRPr="009D4627">
        <w:rPr>
          <w:noProof/>
        </w:rPr>
        <mc:AlternateContent>
          <mc:Choice Requires="wpg">
            <w:drawing>
              <wp:anchor distT="0" distB="0" distL="114300" distR="114300" simplePos="0" relativeHeight="251699200" behindDoc="0" locked="0" layoutInCell="1" allowOverlap="1" wp14:anchorId="02DAFFAE" wp14:editId="1DC1439E">
                <wp:simplePos x="0" y="0"/>
                <wp:positionH relativeFrom="margin">
                  <wp:posOffset>1038225</wp:posOffset>
                </wp:positionH>
                <wp:positionV relativeFrom="paragraph">
                  <wp:posOffset>13335</wp:posOffset>
                </wp:positionV>
                <wp:extent cx="3361690" cy="266700"/>
                <wp:effectExtent l="0" t="0" r="0" b="0"/>
                <wp:wrapThrough wrapText="bothSides">
                  <wp:wrapPolygon edited="0">
                    <wp:start x="0" y="0"/>
                    <wp:lineTo x="0" y="20057"/>
                    <wp:lineTo x="21543" y="20057"/>
                    <wp:lineTo x="21543" y="0"/>
                    <wp:lineTo x="0" y="0"/>
                  </wp:wrapPolygon>
                </wp:wrapThrough>
                <wp:docPr id="22823" name="Group 22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1690" cy="266700"/>
                          <a:chOff x="0" y="0"/>
                          <a:chExt cx="29644" cy="2967"/>
                        </a:xfrm>
                      </wpg:grpSpPr>
                      <wps:wsp>
                        <wps:cNvPr id="22824" name="Rectangle 21586"/>
                        <wps:cNvSpPr>
                          <a:spLocks noChangeArrowheads="1"/>
                        </wps:cNvSpPr>
                        <wps:spPr bwMode="auto">
                          <a:xfrm>
                            <a:off x="10701" y="549"/>
                            <a:ext cx="9144" cy="2308"/>
                          </a:xfrm>
                          <a:prstGeom prst="rect">
                            <a:avLst/>
                          </a:prstGeom>
                          <a:noFill/>
                          <a:ln>
                            <a:noFill/>
                          </a:ln>
                        </wps:spPr>
                        <wps:txbx>
                          <w:txbxContent>
                            <w:p w14:paraId="5DF58F76" w14:textId="77777777" w:rsidR="00CE6626" w:rsidRPr="00A11E21" w:rsidRDefault="00CE6626" w:rsidP="00CE6626">
                              <w:pPr>
                                <w:spacing w:before="0"/>
                                <w:jc w:val="center"/>
                                <w:rPr>
                                  <w:lang w:val="en-US"/>
                                </w:rPr>
                              </w:pPr>
                              <w:r w:rsidRPr="00A11E21">
                                <w:rPr>
                                  <w:lang w:val="en-US"/>
                                </w:rPr>
                                <w:t>2</w:t>
                              </w:r>
                              <w:r w:rsidRPr="00A11E21">
                                <w:rPr>
                                  <w:vertAlign w:val="superscript"/>
                                  <w:lang w:val="en-US"/>
                                </w:rPr>
                                <w:t>Δ</w:t>
                              </w:r>
                              <w:r w:rsidRPr="00A11E21">
                                <w:rPr>
                                  <w:lang w:val="en-US"/>
                                </w:rPr>
                                <w:t xml:space="preserve"> RH(T)</w:t>
                              </w:r>
                            </w:p>
                          </w:txbxContent>
                        </wps:txbx>
                        <wps:bodyPr rot="0" vert="horz" wrap="square" lIns="0" tIns="0" rIns="0" bIns="0" anchor="ctr" anchorCtr="0" upright="1">
                          <a:noAutofit/>
                        </wps:bodyPr>
                      </wps:wsp>
                      <wpg:grpSp>
                        <wpg:cNvPr id="20288" name="Group 21587"/>
                        <wpg:cNvGrpSpPr>
                          <a:grpSpLocks/>
                        </wpg:cNvGrpSpPr>
                        <wpg:grpSpPr bwMode="auto">
                          <a:xfrm>
                            <a:off x="0" y="0"/>
                            <a:ext cx="29644" cy="2967"/>
                            <a:chOff x="0" y="0"/>
                            <a:chExt cx="29644" cy="2967"/>
                          </a:xfrm>
                        </wpg:grpSpPr>
                        <wpg:grpSp>
                          <wpg:cNvPr id="20289" name="Group 21588"/>
                          <wpg:cNvGrpSpPr>
                            <a:grpSpLocks/>
                          </wpg:cNvGrpSpPr>
                          <wpg:grpSpPr bwMode="auto">
                            <a:xfrm>
                              <a:off x="19039" y="0"/>
                              <a:ext cx="10605" cy="2857"/>
                              <a:chOff x="19039" y="0"/>
                              <a:chExt cx="10604" cy="2857"/>
                            </a:xfrm>
                          </wpg:grpSpPr>
                          <wps:wsp>
                            <wps:cNvPr id="20290" name="Rectangle 21589"/>
                            <wps:cNvSpPr>
                              <a:spLocks noChangeArrowheads="1"/>
                            </wps:cNvSpPr>
                            <wps:spPr bwMode="auto">
                              <a:xfrm>
                                <a:off x="22674" y="0"/>
                                <a:ext cx="6970" cy="2857"/>
                              </a:xfrm>
                              <a:prstGeom prst="rect">
                                <a:avLst/>
                              </a:prstGeom>
                              <a:noFill/>
                              <a:ln>
                                <a:noFill/>
                              </a:ln>
                            </wps:spPr>
                            <wps:txbx>
                              <w:txbxContent>
                                <w:p w14:paraId="308D8CDE" w14:textId="77777777" w:rsidR="00CE6626" w:rsidRPr="00A11E21" w:rsidRDefault="00CE6626" w:rsidP="00CE6626">
                                  <w:pPr>
                                    <w:spacing w:before="0"/>
                                    <w:jc w:val="center"/>
                                    <w:rPr>
                                      <w:lang w:val="en-US"/>
                                    </w:rPr>
                                  </w:pPr>
                                  <w:r w:rsidRPr="00A11E21">
                                    <w:rPr>
                                      <w:lang w:val="en-US"/>
                                    </w:rPr>
                                    <w:t>2</w:t>
                                  </w:r>
                                  <w:r w:rsidRPr="00A11E21">
                                    <w:rPr>
                                      <w:vertAlign w:val="superscript"/>
                                      <w:lang w:val="en-US"/>
                                    </w:rPr>
                                    <w:t>Δ</w:t>
                                  </w:r>
                                  <w:r w:rsidRPr="00A11E21">
                                    <w:rPr>
                                      <w:lang w:val="en-US"/>
                                    </w:rPr>
                                    <w:t xml:space="preserve"> RH(T)</w:t>
                                  </w:r>
                                </w:p>
                              </w:txbxContent>
                            </wps:txbx>
                            <wps:bodyPr rot="0" vert="horz" wrap="square" lIns="0" tIns="0" rIns="0" bIns="0" anchor="ctr" anchorCtr="0" upright="1">
                              <a:noAutofit/>
                            </wps:bodyPr>
                          </wps:wsp>
                          <wps:wsp>
                            <wps:cNvPr id="20291" name="Straight Arrow Connector 21590"/>
                            <wps:cNvCnPr>
                              <a:cxnSpLocks noChangeShapeType="1"/>
                            </wps:cNvCnPr>
                            <wps:spPr bwMode="auto">
                              <a:xfrm rot="5400000" flipV="1">
                                <a:off x="20516" y="257"/>
                                <a:ext cx="0" cy="2953"/>
                              </a:xfrm>
                              <a:prstGeom prst="straightConnector1">
                                <a:avLst/>
                              </a:prstGeom>
                              <a:noFill/>
                              <a:ln w="19050">
                                <a:solidFill>
                                  <a:srgbClr val="000000"/>
                                </a:solidFill>
                                <a:miter lim="800000"/>
                                <a:headEnd/>
                                <a:tailEnd type="triangle" w="med" len="med"/>
                              </a:ln>
                            </wps:spPr>
                            <wps:bodyPr/>
                          </wps:wsp>
                        </wpg:grpSp>
                        <wpg:grpSp>
                          <wpg:cNvPr id="20292" name="Group 21591"/>
                          <wpg:cNvGrpSpPr>
                            <a:grpSpLocks/>
                          </wpg:cNvGrpSpPr>
                          <wpg:grpSpPr bwMode="auto">
                            <a:xfrm>
                              <a:off x="0" y="0"/>
                              <a:ext cx="11428" cy="2967"/>
                              <a:chOff x="0" y="0"/>
                              <a:chExt cx="11428" cy="2967"/>
                            </a:xfrm>
                          </wpg:grpSpPr>
                          <wps:wsp>
                            <wps:cNvPr id="20293" name="Rectangle 21592"/>
                            <wps:cNvSpPr>
                              <a:spLocks noChangeArrowheads="1"/>
                            </wps:cNvSpPr>
                            <wps:spPr bwMode="auto">
                              <a:xfrm>
                                <a:off x="0" y="0"/>
                                <a:ext cx="9144" cy="2967"/>
                              </a:xfrm>
                              <a:prstGeom prst="rect">
                                <a:avLst/>
                              </a:prstGeom>
                              <a:noFill/>
                              <a:ln>
                                <a:noFill/>
                              </a:ln>
                            </wps:spPr>
                            <wps:txbx>
                              <w:txbxContent>
                                <w:p w14:paraId="4161E2CF" w14:textId="77777777" w:rsidR="00CE6626" w:rsidRPr="00A11E21" w:rsidRDefault="00CE6626" w:rsidP="00CE6626">
                                  <w:pPr>
                                    <w:spacing w:before="0"/>
                                    <w:jc w:val="center"/>
                                    <w:rPr>
                                      <w:lang w:val="en-US"/>
                                    </w:rPr>
                                  </w:pPr>
                                  <w:r w:rsidRPr="00A11E21">
                                    <w:rPr>
                                      <w:lang w:val="en-US"/>
                                    </w:rPr>
                                    <w:t>3-4</w:t>
                                  </w:r>
                                  <w:r w:rsidRPr="00A11E21">
                                    <w:rPr>
                                      <w:vertAlign w:val="superscript"/>
                                      <w:lang w:val="en-US"/>
                                    </w:rPr>
                                    <w:t>Δ</w:t>
                                  </w:r>
                                  <w:r w:rsidRPr="00A11E21">
                                    <w:rPr>
                                      <w:lang w:val="en-US"/>
                                    </w:rPr>
                                    <w:t xml:space="preserve"> RH(T)</w:t>
                                  </w:r>
                                </w:p>
                              </w:txbxContent>
                            </wps:txbx>
                            <wps:bodyPr rot="0" vert="horz" wrap="square" lIns="0" tIns="0" rIns="0" bIns="0" anchor="ctr" anchorCtr="0" upright="1">
                              <a:noAutofit/>
                            </wps:bodyPr>
                          </wps:wsp>
                          <wps:wsp>
                            <wps:cNvPr id="20294" name="Straight Arrow Connector 21593"/>
                            <wps:cNvCnPr>
                              <a:cxnSpLocks noChangeShapeType="1"/>
                            </wps:cNvCnPr>
                            <wps:spPr bwMode="auto">
                              <a:xfrm rot="16200000" flipV="1">
                                <a:off x="9952" y="253"/>
                                <a:ext cx="0" cy="2953"/>
                              </a:xfrm>
                              <a:prstGeom prst="straightConnector1">
                                <a:avLst/>
                              </a:prstGeom>
                              <a:noFill/>
                              <a:ln w="19050">
                                <a:solidFill>
                                  <a:srgbClr val="000000"/>
                                </a:solidFill>
                                <a:miter lim="800000"/>
                                <a:headEnd/>
                                <a:tailEnd type="triangle" w="med" len="med"/>
                              </a:ln>
                            </wps:spPr>
                            <wps:bodyPr/>
                          </wps:wsp>
                        </wpg:grpSp>
                      </wpg:grpSp>
                    </wpg:wgp>
                  </a:graphicData>
                </a:graphic>
                <wp14:sizeRelH relativeFrom="margin">
                  <wp14:pctWidth>0</wp14:pctWidth>
                </wp14:sizeRelH>
                <wp14:sizeRelV relativeFrom="margin">
                  <wp14:pctHeight>0</wp14:pctHeight>
                </wp14:sizeRelV>
              </wp:anchor>
            </w:drawing>
          </mc:Choice>
          <mc:Fallback>
            <w:pict>
              <v:group w14:anchorId="02DAFFAE" id="Group 22823" o:spid="_x0000_s2254" style="position:absolute;left:0;text-align:left;margin-left:81.75pt;margin-top:1.05pt;width:264.7pt;height:21pt;z-index:251699200;mso-position-horizontal-relative:margin;mso-position-vertical-relative:text;mso-width-relative:margin;mso-height-relative:margin" coordsize="29644,2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">
                <v:rect id="Rectangle 21586" o:spid="_x0000_s2255" style="position:absolute;left:10701;top:549;width:9144;height:2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" filled="f" stroked="f">
                  <v:textbox inset="0,0,0,0">
                    <w:txbxContent>
                      <w:p w14:paraId="5DF58F76" w14:textId="77777777" w:rsidR="00CE6626" w:rsidRPr="00A11E21" w:rsidRDefault="00CE6626" w:rsidP="00CE6626">
                        <w:pPr>
                          <w:spacing w:before="0"/>
                          <w:jc w:val="center"/>
                          <w:rPr>
                            <w:lang w:val="en-US"/>
                          </w:rPr>
                        </w:pPr>
                        <w:r w:rsidRPr="00A11E21">
                          <w:rPr>
                            <w:lang w:val="en-US"/>
                          </w:rPr>
                          <w:t>2</w:t>
                        </w:r>
                        <w:r w:rsidRPr="00A11E21">
                          <w:rPr>
                            <w:vertAlign w:val="superscript"/>
                            <w:lang w:val="en-US"/>
                          </w:rPr>
                          <w:t>Δ</w:t>
                        </w:r>
                        <w:r w:rsidRPr="00A11E21">
                          <w:rPr>
                            <w:lang w:val="en-US"/>
                          </w:rPr>
                          <w:t xml:space="preserve"> RH(T)</w:t>
                        </w:r>
                      </w:p>
                    </w:txbxContent>
                  </v:textbox>
                </v:rect>
                <v:group id="Group 21587" o:spid="_x0000_s2256" style="position:absolute;width:29644;height:2967" coordsize="29644,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">
                  <v:group id="Group 21588" o:spid="_x0000_s2257" style="position:absolute;left:19039;width:10605;height:2857" coordorigin="19039" coordsize="10604,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">
                    <v:rect id="Rectangle 21589" o:spid="_x0000_s2258" style="position:absolute;left:22674;width:6970;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" filled="f" stroked="f">
                      <v:textbox inset="0,0,0,0">
                        <w:txbxContent>
                          <w:p w14:paraId="308D8CDE" w14:textId="77777777" w:rsidR="00CE6626" w:rsidRPr="00A11E21" w:rsidRDefault="00CE6626" w:rsidP="00CE6626">
                            <w:pPr>
                              <w:spacing w:before="0"/>
                              <w:jc w:val="center"/>
                              <w:rPr>
                                <w:lang w:val="en-US"/>
                              </w:rPr>
                            </w:pPr>
                            <w:r w:rsidRPr="00A11E21">
                              <w:rPr>
                                <w:lang w:val="en-US"/>
                              </w:rPr>
                              <w:t>2</w:t>
                            </w:r>
                            <w:r w:rsidRPr="00A11E21">
                              <w:rPr>
                                <w:vertAlign w:val="superscript"/>
                                <w:lang w:val="en-US"/>
                              </w:rPr>
                              <w:t>Δ</w:t>
                            </w:r>
                            <w:r w:rsidRPr="00A11E21">
                              <w:rPr>
                                <w:lang w:val="en-US"/>
                              </w:rPr>
                              <w:t xml:space="preserve"> RH(T)</w:t>
                            </w:r>
                          </w:p>
                        </w:txbxContent>
                      </v:textbox>
                    </v:rect>
                    <v:shape id="Straight Arrow Connector 21590" o:spid="_x0000_s2259" type="#_x0000_t32" style="position:absolute;left:20516;top:257;width:0;height:295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" strokeweight="1.5pt">
                      <v:stroke endarrow="block" joinstyle="miter"/>
                    </v:shape>
                  </v:group>
                  <v:group id="Group 21591" o:spid="_x0000_s2260" style="position:absolute;width:11428;height:2967" coordsize="11428,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">
                    <v:rect id="Rectangle 21592" o:spid="_x0000_s2261" style="position:absolute;width:9144;height:2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" filled="f" stroked="f">
                      <v:textbox inset="0,0,0,0">
                        <w:txbxContent>
                          <w:p w14:paraId="4161E2CF" w14:textId="77777777" w:rsidR="00CE6626" w:rsidRPr="00A11E21" w:rsidRDefault="00CE6626" w:rsidP="00CE6626">
                            <w:pPr>
                              <w:spacing w:before="0"/>
                              <w:jc w:val="center"/>
                              <w:rPr>
                                <w:lang w:val="en-US"/>
                              </w:rPr>
                            </w:pPr>
                            <w:r w:rsidRPr="00A11E21">
                              <w:rPr>
                                <w:lang w:val="en-US"/>
                              </w:rPr>
                              <w:t>3-4</w:t>
                            </w:r>
                            <w:r w:rsidRPr="00A11E21">
                              <w:rPr>
                                <w:vertAlign w:val="superscript"/>
                                <w:lang w:val="en-US"/>
                              </w:rPr>
                              <w:t>Δ</w:t>
                            </w:r>
                            <w:r w:rsidRPr="00A11E21">
                              <w:rPr>
                                <w:lang w:val="en-US"/>
                              </w:rPr>
                              <w:t xml:space="preserve"> RH(T)</w:t>
                            </w:r>
                          </w:p>
                        </w:txbxContent>
                      </v:textbox>
                    </v:rect>
                    <v:shape id="Straight Arrow Connector 21593" o:spid="_x0000_s2262" type="#_x0000_t32" style="position:absolute;left:9952;top:253;width:0;height:295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" strokeweight="1.5pt">
                      <v:stroke endarrow="block" joinstyle="miter"/>
                    </v:shape>
                  </v:group>
                </v:group>
                <w10:wrap type="through" anchorx="margin"/>
              </v:group>
            </w:pict>
          </mc:Fallback>
        </mc:AlternateContent>
      </w:r>
    </w:p>
    <w:p w14:paraId="4890AF48" w14:textId="77777777" w:rsidR="00CE6626" w:rsidRPr="009D4627" w:rsidRDefault="00CE6626" w:rsidP="00CE6626">
      <w:pPr>
        <w:spacing w:before="0" w:after="0" w:line="240" w:lineRule="auto"/>
        <w:ind w:left="1440"/>
        <w:rPr>
          <w:rFonts w:eastAsia="Calibri"/>
          <w:bCs/>
          <w:szCs w:val="22"/>
          <w:lang w:val="en-MY"/>
        </w:rPr>
      </w:pPr>
      <w:r w:rsidRPr="009D4627">
        <w:rPr>
          <w:rFonts w:eastAsia="Calibri"/>
          <w:bCs/>
          <w:szCs w:val="22"/>
          <w:lang w:val="en-US"/>
        </w:rPr>
        <w:t xml:space="preserve"> </w:t>
      </w:r>
    </w:p>
    <w:p w14:paraId="71A12C34" w14:textId="77777777" w:rsidR="00CE6626" w:rsidRPr="009D4627" w:rsidRDefault="00CE6626" w:rsidP="00CE6626">
      <w:pPr>
        <w:spacing w:before="0" w:after="0" w:line="240" w:lineRule="auto"/>
        <w:jc w:val="left"/>
        <w:rPr>
          <w:rFonts w:eastAsia="Calibri"/>
          <w:b/>
          <w:bCs/>
          <w:szCs w:val="22"/>
          <w:lang w:val="en-MY"/>
        </w:rPr>
      </w:pPr>
    </w:p>
    <w:p w14:paraId="4F29B8EE" w14:textId="77777777" w:rsidR="00CE6626" w:rsidRPr="009D4627" w:rsidRDefault="00CE6626" w:rsidP="00CE6626">
      <w:pPr>
        <w:spacing w:before="0" w:after="0" w:line="240" w:lineRule="auto"/>
        <w:jc w:val="left"/>
        <w:rPr>
          <w:rFonts w:eastAsia="Calibri"/>
          <w:bCs/>
          <w:szCs w:val="22"/>
          <w:lang w:val="en-MY"/>
        </w:rPr>
      </w:pPr>
      <w:r w:rsidRPr="009D4627">
        <w:rPr>
          <w:rFonts w:eastAsia="Calibri"/>
          <w:b/>
          <w:bCs/>
          <w:szCs w:val="22"/>
          <w:lang w:val="en-MY"/>
        </w:rPr>
        <w:t>Assessment &amp; Plan:</w:t>
      </w:r>
      <w:r w:rsidRPr="009D4627">
        <w:rPr>
          <w:rFonts w:eastAsia="Calibri"/>
          <w:b/>
          <w:bCs/>
          <w:szCs w:val="22"/>
          <w:lang w:val="en-MY"/>
        </w:rPr>
        <w:tab/>
      </w:r>
      <w:r w:rsidRPr="009D4627">
        <w:rPr>
          <w:rFonts w:eastAsia="Calibri"/>
          <w:bCs/>
          <w:szCs w:val="22"/>
          <w:lang w:val="en-MY"/>
        </w:rPr>
        <w:t>Small vertical angle is recovering.</w:t>
      </w:r>
    </w:p>
    <w:p w14:paraId="0E661E1D" w14:textId="77777777" w:rsidR="00833530" w:rsidRDefault="00CE6626" w:rsidP="00833530">
      <w:pPr>
        <w:spacing w:before="0" w:after="0" w:line="240" w:lineRule="auto"/>
        <w:ind w:left="1440" w:firstLine="720"/>
        <w:rPr>
          <w:rFonts w:eastAsia="Calibri"/>
          <w:bCs/>
          <w:szCs w:val="22"/>
          <w:lang w:val="en-MY"/>
        </w:rPr>
      </w:pPr>
      <w:r w:rsidRPr="009D4627">
        <w:rPr>
          <w:rFonts w:eastAsia="Calibri"/>
          <w:bCs/>
          <w:szCs w:val="22"/>
          <w:lang w:val="en-MY"/>
        </w:rPr>
        <w:t>Reduced Fresnel to 2</w:t>
      </w:r>
      <w:r w:rsidRPr="009D4627">
        <w:rPr>
          <w:rFonts w:eastAsia="Calibri"/>
          <w:bCs/>
          <w:szCs w:val="22"/>
          <w:vertAlign w:val="superscript"/>
          <w:lang w:val="en-MY"/>
        </w:rPr>
        <w:t>Δ</w:t>
      </w:r>
      <w:r w:rsidRPr="009D4627">
        <w:rPr>
          <w:rFonts w:eastAsia="Calibri"/>
          <w:bCs/>
          <w:szCs w:val="22"/>
          <w:lang w:val="en-MY"/>
        </w:rPr>
        <w:t xml:space="preserve"> BD over R lens.</w:t>
      </w:r>
    </w:p>
    <w:p w14:paraId="112BF2EF" w14:textId="72D5C7FD" w:rsidR="00CE6626" w:rsidRPr="00833530" w:rsidRDefault="00CE6626" w:rsidP="00833530">
      <w:pPr>
        <w:spacing w:before="0" w:after="0" w:line="240" w:lineRule="auto"/>
        <w:ind w:left="1440" w:firstLine="720"/>
        <w:rPr>
          <w:rFonts w:eastAsia="Calibri"/>
          <w:bCs/>
          <w:szCs w:val="22"/>
          <w:lang w:val="en-MY"/>
        </w:rPr>
      </w:pPr>
      <w:r w:rsidRPr="009D4627">
        <w:t>Review in 2 months.</w:t>
      </w:r>
    </w:p>
    <w:bookmarkEnd w:id="672"/>
    <w:p w14:paraId="1775E561" w14:textId="77777777" w:rsidR="002D0CA7" w:rsidRPr="009D4627" w:rsidRDefault="002D0CA7" w:rsidP="00FC34E1">
      <w:pPr>
        <w:spacing w:before="0" w:line="240" w:lineRule="auto"/>
        <w:rPr>
          <w:bCs/>
          <w:szCs w:val="22"/>
          <w:lang w:val="en-MY"/>
        </w:rPr>
        <w:sectPr w:rsidR="002D0CA7" w:rsidRPr="009D4627" w:rsidSect="00477959">
          <w:headerReference w:type="default" r:id="rId292"/>
          <w:pgSz w:w="11906" w:h="16838" w:code="9"/>
          <w:pgMar w:top="1440" w:right="1440" w:bottom="1440" w:left="1440" w:header="708" w:footer="708" w:gutter="0"/>
          <w:cols w:space="708"/>
          <w:docGrid w:linePitch="360"/>
        </w:sectPr>
      </w:pPr>
    </w:p>
    <w:p w14:paraId="7244AD78" w14:textId="02FF1A48" w:rsidR="00A11E21" w:rsidRDefault="007325F6" w:rsidP="00C4130D">
      <w:pPr>
        <w:pStyle w:val="Caption"/>
      </w:pPr>
      <w:bookmarkStart w:id="674" w:name="_Toc99356741"/>
      <w:bookmarkStart w:id="675" w:name="_Toc73355031"/>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9</w:t>
      </w:r>
      <w:r w:rsidR="002E63E9" w:rsidRPr="009D4627">
        <w:rPr>
          <w:noProof/>
        </w:rPr>
        <w:fldChar w:fldCharType="end"/>
      </w:r>
      <w:r w:rsidRPr="009D4627">
        <w:t xml:space="preserve">: </w:t>
      </w:r>
      <w:r w:rsidR="00BD37F8" w:rsidRPr="009D4627">
        <w:t>Patient ID: 9</w:t>
      </w:r>
      <w:bookmarkEnd w:id="674"/>
      <w:r w:rsidR="00BD37F8" w:rsidRPr="009D4627">
        <w:t xml:space="preserve"> </w:t>
      </w:r>
      <w:r w:rsidR="002312ED">
        <w:t xml:space="preserve">                  </w:t>
      </w:r>
    </w:p>
    <w:p w14:paraId="0E44DCFF" w14:textId="77777777" w:rsidR="00A11E21" w:rsidRDefault="00BD37F8" w:rsidP="00C4130D">
      <w:pPr>
        <w:pStyle w:val="Caption"/>
      </w:pPr>
      <w:r w:rsidRPr="009D4627">
        <w:t>Birth month/year: 02/1937</w:t>
      </w:r>
      <w:r w:rsidRPr="009D4627">
        <w:tab/>
      </w:r>
      <w:r w:rsidRPr="009D4627">
        <w:tab/>
      </w:r>
      <w:r w:rsidR="002312ED">
        <w:t xml:space="preserve">     </w:t>
      </w:r>
    </w:p>
    <w:p w14:paraId="6EB5AF53" w14:textId="4FBFDB17" w:rsidR="00BD37F8" w:rsidRPr="009D4627" w:rsidRDefault="00BD37F8" w:rsidP="00C4130D">
      <w:pPr>
        <w:pStyle w:val="Caption"/>
        <w:rPr>
          <w:b/>
          <w:szCs w:val="22"/>
        </w:rPr>
      </w:pPr>
      <w:r w:rsidRPr="009D4627">
        <w:t>Age: 81 at onset</w:t>
      </w:r>
    </w:p>
    <w:p w14:paraId="4B13EFA6" w14:textId="77777777" w:rsidR="00BD37F8" w:rsidRPr="009D4627" w:rsidRDefault="00BD37F8" w:rsidP="00BD37F8">
      <w:pPr>
        <w:spacing w:before="0" w:after="0" w:line="240" w:lineRule="auto"/>
        <w:rPr>
          <w:b/>
          <w:szCs w:val="22"/>
          <w:u w:val="single"/>
          <w:lang w:val="en-MY"/>
        </w:rPr>
      </w:pPr>
    </w:p>
    <w:p w14:paraId="56DD8DBE" w14:textId="77777777" w:rsidR="00BD37F8" w:rsidRPr="009D4627" w:rsidRDefault="00BD37F8" w:rsidP="00BD37F8">
      <w:pPr>
        <w:spacing w:before="0" w:after="0" w:line="240" w:lineRule="auto"/>
        <w:rPr>
          <w:bCs/>
          <w:szCs w:val="22"/>
          <w:u w:val="single"/>
          <w:lang w:val="en-MY"/>
        </w:rPr>
      </w:pPr>
      <w:r w:rsidRPr="009D4627">
        <w:rPr>
          <w:b/>
          <w:szCs w:val="22"/>
          <w:u w:val="single"/>
          <w:lang w:val="en-MY"/>
        </w:rPr>
        <w:t xml:space="preserve">Clinical visit 1: </w:t>
      </w:r>
      <w:r w:rsidRPr="009D4627">
        <w:rPr>
          <w:bCs/>
          <w:szCs w:val="22"/>
          <w:u w:val="single"/>
          <w:lang w:val="en-MY"/>
        </w:rPr>
        <w:t>15/01/2019 (3</w:t>
      </w:r>
      <w:r w:rsidRPr="009D4627">
        <w:rPr>
          <w:bCs/>
          <w:color w:val="auto"/>
          <w:szCs w:val="22"/>
          <w:u w:val="single"/>
          <w:lang w:val="en-MY"/>
        </w:rPr>
        <w:t xml:space="preserve"> days from onset</w:t>
      </w:r>
      <w:r w:rsidRPr="009D4627">
        <w:rPr>
          <w:bCs/>
          <w:szCs w:val="22"/>
          <w:u w:val="single"/>
          <w:lang w:val="en-MY"/>
        </w:rPr>
        <w:t>) - Orthoptic assessment</w:t>
      </w:r>
    </w:p>
    <w:p w14:paraId="0C939515" w14:textId="77777777" w:rsidR="00BD37F8" w:rsidRPr="009D4627" w:rsidRDefault="00BD37F8" w:rsidP="00BD37F8">
      <w:pPr>
        <w:spacing w:before="0" w:after="0" w:line="240" w:lineRule="auto"/>
        <w:rPr>
          <w:bCs/>
          <w:szCs w:val="22"/>
          <w:u w:val="single"/>
          <w:lang w:val="en-MY"/>
        </w:rPr>
      </w:pPr>
    </w:p>
    <w:p w14:paraId="14CAFF0E" w14:textId="77777777" w:rsidR="00BD37F8" w:rsidRPr="009D4627" w:rsidRDefault="00BD37F8" w:rsidP="00BD37F8">
      <w:pPr>
        <w:spacing w:before="0" w:after="0" w:line="240" w:lineRule="auto"/>
        <w:ind w:left="851" w:hanging="851"/>
        <w:rPr>
          <w:bCs/>
          <w:szCs w:val="22"/>
          <w:lang w:val="en-MY"/>
        </w:rPr>
      </w:pPr>
      <w:r w:rsidRPr="009D4627">
        <w:rPr>
          <w:b/>
          <w:szCs w:val="22"/>
          <w:lang w:val="en-MY"/>
        </w:rPr>
        <w:t xml:space="preserve">History: </w:t>
      </w:r>
      <w:r w:rsidRPr="009D4627">
        <w:rPr>
          <w:bCs/>
          <w:szCs w:val="22"/>
          <w:lang w:val="en-MY"/>
        </w:rPr>
        <w:t>Patient reports sudden diplopia 3/7 ago – no change since.</w:t>
      </w:r>
    </w:p>
    <w:p w14:paraId="4AA766F2" w14:textId="77777777" w:rsidR="00BD37F8" w:rsidRPr="009D4627" w:rsidRDefault="00BD37F8" w:rsidP="00BD37F8">
      <w:pPr>
        <w:spacing w:before="0" w:after="0" w:line="240" w:lineRule="auto"/>
        <w:ind w:left="851" w:hanging="131"/>
        <w:rPr>
          <w:b/>
          <w:szCs w:val="22"/>
          <w:lang w:val="en-MY"/>
        </w:rPr>
      </w:pPr>
      <w:r w:rsidRPr="009D4627">
        <w:rPr>
          <w:bCs/>
          <w:szCs w:val="22"/>
          <w:lang w:val="en-MY"/>
        </w:rPr>
        <w:t xml:space="preserve">  </w:t>
      </w:r>
    </w:p>
    <w:p w14:paraId="132527DC" w14:textId="77777777" w:rsidR="00BD37F8" w:rsidRPr="009D4627" w:rsidRDefault="00BD37F8" w:rsidP="00BD37F8">
      <w:pPr>
        <w:spacing w:before="0" w:after="0" w:line="240" w:lineRule="auto"/>
        <w:rPr>
          <w:szCs w:val="22"/>
          <w:lang w:val="en-MY"/>
        </w:rPr>
      </w:pPr>
      <w:r w:rsidRPr="009D4627">
        <w:rPr>
          <w:b/>
          <w:szCs w:val="22"/>
          <w:lang w:val="en-MY"/>
        </w:rPr>
        <w:t xml:space="preserve">General health: </w:t>
      </w:r>
      <w:r w:rsidRPr="009D4627">
        <w:rPr>
          <w:b/>
          <w:szCs w:val="22"/>
          <w:lang w:val="en-MY"/>
        </w:rPr>
        <w:tab/>
      </w:r>
      <w:r w:rsidRPr="009D4627">
        <w:rPr>
          <w:bCs/>
          <w:szCs w:val="22"/>
          <w:lang w:val="en-MY"/>
        </w:rPr>
        <w:t>A</w:t>
      </w:r>
      <w:r w:rsidRPr="009D4627">
        <w:rPr>
          <w:szCs w:val="22"/>
          <w:lang w:val="en-MY"/>
        </w:rPr>
        <w:t xml:space="preserve">sthma – inhaler </w:t>
      </w:r>
    </w:p>
    <w:p w14:paraId="1376E383" w14:textId="77777777" w:rsidR="00BD37F8" w:rsidRPr="009D4627" w:rsidRDefault="00BD37F8" w:rsidP="00BD37F8">
      <w:pPr>
        <w:spacing w:before="0" w:after="0" w:line="240" w:lineRule="auto"/>
        <w:rPr>
          <w:szCs w:val="22"/>
          <w:lang w:val="en-MY"/>
        </w:rPr>
      </w:pPr>
      <w:r w:rsidRPr="009D4627">
        <w:rPr>
          <w:szCs w:val="22"/>
          <w:lang w:val="en-MY"/>
        </w:rPr>
        <w:tab/>
      </w:r>
      <w:r w:rsidRPr="009D4627">
        <w:rPr>
          <w:szCs w:val="22"/>
          <w:lang w:val="en-MY"/>
        </w:rPr>
        <w:tab/>
      </w:r>
      <w:r w:rsidRPr="009D4627">
        <w:rPr>
          <w:szCs w:val="22"/>
          <w:lang w:val="en-MY"/>
        </w:rPr>
        <w:tab/>
        <w:t>Not diabetic</w:t>
      </w:r>
    </w:p>
    <w:p w14:paraId="5302E218" w14:textId="77777777" w:rsidR="00BD37F8" w:rsidRPr="009D4627" w:rsidRDefault="00BD37F8" w:rsidP="00BD37F8">
      <w:pPr>
        <w:spacing w:before="0" w:after="0" w:line="240" w:lineRule="auto"/>
        <w:rPr>
          <w:szCs w:val="22"/>
          <w:lang w:val="en-MY"/>
        </w:rPr>
      </w:pPr>
    </w:p>
    <w:p w14:paraId="30A893D4" w14:textId="77777777" w:rsidR="00BD37F8" w:rsidRPr="009D4627" w:rsidRDefault="00BD37F8" w:rsidP="00BD37F8">
      <w:pPr>
        <w:spacing w:before="0" w:after="0" w:line="240" w:lineRule="auto"/>
        <w:rPr>
          <w:szCs w:val="22"/>
          <w:lang w:val="en-MY"/>
        </w:rPr>
      </w:pPr>
      <w:r w:rsidRPr="009D4627">
        <w:rPr>
          <w:b/>
          <w:bCs/>
          <w:szCs w:val="22"/>
          <w:lang w:val="en-MY"/>
        </w:rPr>
        <w:t xml:space="preserve">Previous treatment: </w:t>
      </w:r>
      <w:r w:rsidRPr="009D4627">
        <w:rPr>
          <w:szCs w:val="22"/>
          <w:lang w:val="en-MY"/>
        </w:rPr>
        <w:t>NIL</w:t>
      </w:r>
    </w:p>
    <w:p w14:paraId="4E3BEF13" w14:textId="77777777" w:rsidR="00BD37F8" w:rsidRPr="009D4627" w:rsidRDefault="00BD37F8" w:rsidP="00BD37F8">
      <w:pPr>
        <w:spacing w:before="0" w:after="0" w:line="240" w:lineRule="auto"/>
        <w:rPr>
          <w:b/>
          <w:szCs w:val="22"/>
          <w:lang w:val="en-MY"/>
        </w:rPr>
      </w:pPr>
    </w:p>
    <w:p w14:paraId="6C4F9B8B" w14:textId="3A221872" w:rsidR="00BD37F8" w:rsidRPr="009D4627" w:rsidRDefault="00BD37F8" w:rsidP="00BD37F8">
      <w:pPr>
        <w:spacing w:before="0" w:after="0" w:line="240" w:lineRule="auto"/>
        <w:rPr>
          <w:bCs/>
          <w:szCs w:val="22"/>
          <w:lang w:val="en-MY"/>
        </w:rPr>
      </w:pPr>
      <w:r w:rsidRPr="009D4627">
        <w:rPr>
          <w:b/>
          <w:szCs w:val="22"/>
          <w:lang w:val="en-MY"/>
        </w:rPr>
        <w:t>Visual acuity:</w:t>
      </w:r>
      <w:r w:rsidRPr="009D4627">
        <w:rPr>
          <w:bCs/>
          <w:szCs w:val="22"/>
          <w:lang w:val="en-MY"/>
        </w:rPr>
        <w:t xml:space="preserve"> unaided </w:t>
      </w:r>
      <w:r w:rsidR="00A11E21">
        <w:rPr>
          <w:bCs/>
          <w:szCs w:val="22"/>
          <w:lang w:val="en-MY"/>
        </w:rPr>
        <w:tab/>
      </w:r>
      <w:r w:rsidRPr="009D4627">
        <w:rPr>
          <w:bCs/>
          <w:szCs w:val="22"/>
          <w:lang w:val="en-MY"/>
        </w:rPr>
        <w:t>RE 0.20</w:t>
      </w:r>
      <w:r w:rsidRPr="009D4627">
        <w:rPr>
          <w:bCs/>
          <w:szCs w:val="22"/>
          <w:lang w:val="en-MY"/>
        </w:rPr>
        <w:tab/>
      </w:r>
      <w:r w:rsidRPr="009D4627">
        <w:rPr>
          <w:bCs/>
          <w:szCs w:val="22"/>
          <w:lang w:val="en-MY"/>
        </w:rPr>
        <w:tab/>
        <w:t xml:space="preserve">LE 0.34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450F1610" w14:textId="77777777" w:rsidR="00BD37F8" w:rsidRPr="009D4627" w:rsidRDefault="00BD37F8" w:rsidP="00BD37F8">
      <w:pPr>
        <w:spacing w:before="0" w:after="0" w:line="240" w:lineRule="auto"/>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
          <w:szCs w:val="22"/>
          <w:lang w:val="en-MY"/>
        </w:rPr>
        <w:tab/>
        <w:t xml:space="preserve">      </w:t>
      </w:r>
      <w:r w:rsidRPr="009D4627">
        <w:rPr>
          <w:bCs/>
          <w:szCs w:val="22"/>
          <w:lang w:val="en-MY"/>
        </w:rPr>
        <w:t>6/9</w:t>
      </w:r>
      <w:r w:rsidRPr="009D4627">
        <w:rPr>
          <w:bCs/>
          <w:szCs w:val="22"/>
          <w:vertAlign w:val="superscript"/>
          <w:lang w:val="en-MY"/>
        </w:rPr>
        <w:t>-1</w:t>
      </w:r>
      <w:r w:rsidRPr="009D4627">
        <w:rPr>
          <w:bCs/>
          <w:szCs w:val="22"/>
          <w:lang w:val="en-MY"/>
        </w:rPr>
        <w:tab/>
      </w:r>
      <w:r w:rsidRPr="009D4627">
        <w:rPr>
          <w:bCs/>
          <w:szCs w:val="22"/>
          <w:lang w:val="en-MY"/>
        </w:rPr>
        <w:tab/>
        <w:t xml:space="preserve">     6/12</w:t>
      </w:r>
      <w:r w:rsidRPr="009D4627">
        <w:rPr>
          <w:bCs/>
          <w:szCs w:val="22"/>
          <w:vertAlign w:val="superscript"/>
          <w:lang w:val="en-MY"/>
        </w:rPr>
        <w:t>-2</w:t>
      </w:r>
      <w:r w:rsidRPr="009D4627">
        <w:rPr>
          <w:bCs/>
          <w:szCs w:val="22"/>
          <w:lang w:val="en-MY"/>
        </w:rPr>
        <w:t xml:space="preserve"> </w:t>
      </w:r>
      <w:r w:rsidRPr="009D4627">
        <w:rPr>
          <w:bCs/>
          <w:szCs w:val="22"/>
          <w:lang w:val="en-MY"/>
        </w:rPr>
        <w:tab/>
        <w:t>Snellen equivalent</w:t>
      </w:r>
    </w:p>
    <w:p w14:paraId="6ECE334F" w14:textId="7E44A04C"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r w:rsidRPr="009D4627">
        <w:rPr>
          <w:bCs/>
          <w:szCs w:val="22"/>
          <w:lang w:val="en-MY"/>
        </w:rPr>
        <w:tab/>
      </w:r>
      <w:r w:rsidR="00A11E21">
        <w:rPr>
          <w:bCs/>
          <w:szCs w:val="22"/>
          <w:lang w:val="en-MY"/>
        </w:rPr>
        <w:t xml:space="preserve">  </w:t>
      </w:r>
      <w:r w:rsidRPr="009D4627">
        <w:rPr>
          <w:bCs/>
          <w:szCs w:val="22"/>
          <w:lang w:val="en-MY"/>
        </w:rPr>
        <w:t>with PH 0.18 (6/9)</w:t>
      </w:r>
    </w:p>
    <w:p w14:paraId="7793532F"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r w:rsidRPr="009D4627">
        <w:rPr>
          <w:bCs/>
          <w:szCs w:val="22"/>
          <w:lang w:val="en-MY"/>
        </w:rPr>
        <w:tab/>
        <w:t xml:space="preserve">   </w:t>
      </w:r>
    </w:p>
    <w:p w14:paraId="69EB2B15"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w:t>
      </w:r>
      <w:r w:rsidRPr="009D4627">
        <w:rPr>
          <w:bCs/>
          <w:szCs w:val="22"/>
          <w:lang w:val="en-MY"/>
        </w:rPr>
        <w:tab/>
        <w:t xml:space="preserve">1/3 m </w:t>
      </w:r>
      <w:r w:rsidRPr="009D4627">
        <w:rPr>
          <w:bCs/>
          <w:szCs w:val="22"/>
          <w:lang w:val="en-MY"/>
        </w:rPr>
        <w:tab/>
        <w:t>NAD</w:t>
      </w:r>
    </w:p>
    <w:p w14:paraId="7DE0ABF4"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ab/>
      </w:r>
      <w:r w:rsidRPr="009D4627">
        <w:rPr>
          <w:bCs/>
          <w:szCs w:val="22"/>
          <w:lang w:val="en-MY"/>
        </w:rPr>
        <w:t>unaided</w:t>
      </w:r>
      <w:r w:rsidRPr="009D4627">
        <w:rPr>
          <w:b/>
          <w:szCs w:val="22"/>
          <w:lang w:val="en-MY"/>
        </w:rPr>
        <w:tab/>
      </w:r>
      <w:r w:rsidRPr="009D4627">
        <w:rPr>
          <w:bCs/>
          <w:szCs w:val="22"/>
          <w:lang w:val="en-MY"/>
        </w:rPr>
        <w:tab/>
        <w:t>6 m</w:t>
      </w:r>
      <w:r w:rsidRPr="009D4627">
        <w:rPr>
          <w:bCs/>
          <w:szCs w:val="22"/>
          <w:lang w:val="en-MY"/>
        </w:rPr>
        <w:tab/>
        <w:t>small LET with diplopia</w:t>
      </w:r>
    </w:p>
    <w:p w14:paraId="2F319BFD" w14:textId="77777777" w:rsidR="00BD37F8" w:rsidRPr="009D4627" w:rsidRDefault="00BD37F8" w:rsidP="00BD37F8">
      <w:pPr>
        <w:spacing w:before="0" w:after="0" w:line="240" w:lineRule="auto"/>
        <w:ind w:left="1276" w:hanging="1276"/>
        <w:rPr>
          <w:bCs/>
          <w:szCs w:val="22"/>
          <w:lang w:val="en-MY"/>
        </w:rPr>
      </w:pPr>
      <w:r w:rsidRPr="009D4627">
        <w:rPr>
          <w:bCs/>
          <w:szCs w:val="22"/>
          <w:lang w:val="en-MY"/>
        </w:rPr>
        <w:t xml:space="preserve"> </w:t>
      </w:r>
    </w:p>
    <w:p w14:paraId="1D3A0590" w14:textId="77777777" w:rsidR="00BD37F8" w:rsidRPr="009D4627" w:rsidRDefault="00BD37F8" w:rsidP="00BD37F8">
      <w:pPr>
        <w:spacing w:before="0" w:after="0" w:line="240" w:lineRule="auto"/>
        <w:rPr>
          <w:b/>
          <w:szCs w:val="22"/>
          <w:lang w:val="en-MY"/>
        </w:rPr>
      </w:pPr>
      <w:r w:rsidRPr="009D4627">
        <w:rPr>
          <w:b/>
          <w:szCs w:val="22"/>
          <w:lang w:val="en-MY"/>
        </w:rPr>
        <w:t>OMT/PCT:</w:t>
      </w:r>
    </w:p>
    <w:p w14:paraId="55F4382F" w14:textId="77777777" w:rsidR="00BD37F8" w:rsidRPr="009D4627" w:rsidRDefault="00BD37F8" w:rsidP="00BD37F8">
      <w:pPr>
        <w:spacing w:before="0" w:after="0" w:line="240" w:lineRule="auto"/>
        <w:rPr>
          <w:b/>
          <w:szCs w:val="22"/>
          <w:lang w:val="en-MY"/>
        </w:rPr>
      </w:pPr>
    </w:p>
    <w:p w14:paraId="151C38DF" w14:textId="737FB281" w:rsidR="00BD37F8" w:rsidRPr="009D4627" w:rsidRDefault="00A2792E" w:rsidP="00BD37F8">
      <w:pPr>
        <w:spacing w:before="0" w:after="0" w:line="240" w:lineRule="auto"/>
        <w:rPr>
          <w:b/>
          <w:szCs w:val="22"/>
          <w:lang w:val="en-MY"/>
        </w:rPr>
      </w:pPr>
      <w:r w:rsidRPr="009D4627">
        <w:rPr>
          <w:noProof/>
        </w:rPr>
        <mc:AlternateContent>
          <mc:Choice Requires="wpg">
            <w:drawing>
              <wp:anchor distT="0" distB="0" distL="114300" distR="114300" simplePos="0" relativeHeight="251758592" behindDoc="0" locked="0" layoutInCell="1" allowOverlap="1" wp14:anchorId="63240B44" wp14:editId="1A4BD579">
                <wp:simplePos x="0" y="0"/>
                <wp:positionH relativeFrom="column">
                  <wp:posOffset>704850</wp:posOffset>
                </wp:positionH>
                <wp:positionV relativeFrom="paragraph">
                  <wp:posOffset>24130</wp:posOffset>
                </wp:positionV>
                <wp:extent cx="3648075" cy="716915"/>
                <wp:effectExtent l="0" t="0" r="0" b="6985"/>
                <wp:wrapNone/>
                <wp:docPr id="22803" name="Group 22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8075" cy="716915"/>
                          <a:chOff x="0" y="0"/>
                          <a:chExt cx="36480" cy="7169"/>
                        </a:xfrm>
                      </wpg:grpSpPr>
                      <wpg:grpSp>
                        <wpg:cNvPr id="22804" name="Group 22052"/>
                        <wpg:cNvGrpSpPr>
                          <a:grpSpLocks/>
                        </wpg:cNvGrpSpPr>
                        <wpg:grpSpPr bwMode="auto">
                          <a:xfrm>
                            <a:off x="0" y="0"/>
                            <a:ext cx="16859" cy="7169"/>
                            <a:chOff x="0" y="0"/>
                            <a:chExt cx="16859" cy="7169"/>
                          </a:xfrm>
                        </wpg:grpSpPr>
                        <wpg:grpSp>
                          <wpg:cNvPr id="22805" name="Group 22053"/>
                          <wpg:cNvGrpSpPr>
                            <a:grpSpLocks/>
                          </wpg:cNvGrpSpPr>
                          <wpg:grpSpPr bwMode="auto">
                            <a:xfrm>
                              <a:off x="0" y="2762"/>
                              <a:ext cx="1619" cy="1620"/>
                              <a:chOff x="57150" y="0"/>
                              <a:chExt cx="161925" cy="162000"/>
                            </a:xfrm>
                          </wpg:grpSpPr>
                          <wps:wsp>
                            <wps:cNvPr id="22806" name="Oval 22054"/>
                            <wps:cNvSpPr>
                              <a:spLocks noChangeArrowheads="1"/>
                            </wps:cNvSpPr>
                            <wps:spPr bwMode="auto">
                              <a:xfrm>
                                <a:off x="104775" y="47625"/>
                                <a:ext cx="90000" cy="90000"/>
                              </a:xfrm>
                              <a:prstGeom prst="ellipse">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2807" name="Group 22055"/>
                            <wpg:cNvGrpSpPr>
                              <a:grpSpLocks/>
                            </wpg:cNvGrpSpPr>
                            <wpg:grpSpPr bwMode="auto">
                              <a:xfrm>
                                <a:off x="57150" y="0"/>
                                <a:ext cx="161925" cy="162000"/>
                                <a:chOff x="0" y="0"/>
                                <a:chExt cx="161925" cy="162000"/>
                              </a:xfrm>
                            </wpg:grpSpPr>
                            <wps:wsp>
                              <wps:cNvPr id="22808" name="Straight Connector 22056"/>
                              <wps:cNvCnPr>
                                <a:cxnSpLocks noChangeShapeType="1"/>
                              </wps:cNvCnPr>
                              <wps:spPr bwMode="auto">
                                <a:xfrm>
                                  <a:off x="80963" y="0"/>
                                  <a:ext cx="0" cy="162000"/>
                                </a:xfrm>
                                <a:prstGeom prst="line">
                                  <a:avLst/>
                                </a:prstGeom>
                                <a:noFill/>
                                <a:ln w="6350">
                                  <a:solidFill>
                                    <a:schemeClr val="dk1">
                                      <a:lumMod val="100000"/>
                                      <a:lumOff val="0"/>
                                    </a:schemeClr>
                                  </a:solidFill>
                                  <a:miter lim="800000"/>
                                  <a:headEnd/>
                                  <a:tailEnd/>
                                </a:ln>
                              </wps:spPr>
                              <wps:bodyPr/>
                            </wps:wsp>
                            <wps:wsp>
                              <wps:cNvPr id="22809" name="Straight Connector 22057"/>
                              <wps:cNvCnPr>
                                <a:cxnSpLocks noChangeShapeType="1"/>
                              </wps:cNvCnPr>
                              <wps:spPr bwMode="auto">
                                <a:xfrm rot="-5400000">
                                  <a:off x="80963" y="9525"/>
                                  <a:ext cx="0" cy="161925"/>
                                </a:xfrm>
                                <a:prstGeom prst="line">
                                  <a:avLst/>
                                </a:prstGeom>
                                <a:noFill/>
                                <a:ln w="6350">
                                  <a:solidFill>
                                    <a:schemeClr val="dk1">
                                      <a:lumMod val="100000"/>
                                      <a:lumOff val="0"/>
                                    </a:schemeClr>
                                  </a:solidFill>
                                  <a:miter lim="800000"/>
                                  <a:headEnd/>
                                  <a:tailEnd/>
                                </a:ln>
                              </wps:spPr>
                              <wps:bodyPr/>
                            </wps:wsp>
                          </wpg:grpSp>
                        </wpg:grpSp>
                        <wps:wsp>
                          <wps:cNvPr id="22810" name="Oval 22058"/>
                          <wps:cNvSpPr>
                            <a:spLocks noChangeArrowheads="1"/>
                          </wps:cNvSpPr>
                          <wps:spPr bwMode="auto">
                            <a:xfrm>
                              <a:off x="2571" y="0"/>
                              <a:ext cx="9141" cy="7169"/>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2811" name="Rectangle 22059"/>
                          <wps:cNvSpPr>
                            <a:spLocks noChangeArrowheads="1"/>
                          </wps:cNvSpPr>
                          <wps:spPr bwMode="auto">
                            <a:xfrm>
                              <a:off x="12954" y="1333"/>
                              <a:ext cx="3905" cy="4185"/>
                            </a:xfrm>
                            <a:prstGeom prst="rect">
                              <a:avLst/>
                            </a:prstGeom>
                            <a:noFill/>
                            <a:ln>
                              <a:noFill/>
                            </a:ln>
                          </wps:spPr>
                          <wps:txbx>
                            <w:txbxContent>
                              <w:p w14:paraId="5CF8D0EB"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10</w:t>
                                </w:r>
                                <w:r w:rsidRPr="00E355F3">
                                  <w:rPr>
                                    <w:rFonts w:asciiTheme="minorHAnsi" w:hAnsiTheme="minorHAnsi" w:cstheme="minorHAnsi"/>
                                    <w:sz w:val="20"/>
                                    <w:szCs w:val="20"/>
                                    <w:vertAlign w:val="superscript"/>
                                    <w:lang w:val="en-US"/>
                                  </w:rPr>
                                  <w:t>∆</w:t>
                                </w:r>
                                <w:r>
                                  <w:rPr>
                                    <w:rFonts w:asciiTheme="minorHAnsi" w:hAnsiTheme="minorHAnsi" w:cstheme="minorHAnsi"/>
                                    <w:sz w:val="20"/>
                                    <w:szCs w:val="20"/>
                                    <w:lang w:val="en-US"/>
                                  </w:rPr>
                                  <w:t xml:space="preserve"> ET</w:t>
                                </w:r>
                              </w:p>
                            </w:txbxContent>
                          </wps:txbx>
                          <wps:bodyPr rot="0" vert="horz" wrap="square" lIns="0" tIns="0" rIns="0" bIns="0" anchor="ctr" anchorCtr="0" upright="1">
                            <a:noAutofit/>
                          </wps:bodyPr>
                        </wps:wsp>
                      </wpg:grpSp>
                      <wpg:grpSp>
                        <wpg:cNvPr id="22812" name="Group 22060"/>
                        <wpg:cNvGrpSpPr>
                          <a:grpSpLocks/>
                        </wpg:cNvGrpSpPr>
                        <wpg:grpSpPr bwMode="auto">
                          <a:xfrm>
                            <a:off x="18669" y="0"/>
                            <a:ext cx="17811" cy="7164"/>
                            <a:chOff x="0" y="0"/>
                            <a:chExt cx="17811" cy="7164"/>
                          </a:xfrm>
                        </wpg:grpSpPr>
                        <wpg:grpSp>
                          <wpg:cNvPr id="22813" name="Group 22061"/>
                          <wpg:cNvGrpSpPr>
                            <a:grpSpLocks/>
                          </wpg:cNvGrpSpPr>
                          <wpg:grpSpPr bwMode="auto">
                            <a:xfrm>
                              <a:off x="0" y="0"/>
                              <a:ext cx="9140" cy="7164"/>
                              <a:chOff x="0" y="0"/>
                              <a:chExt cx="9140" cy="7164"/>
                            </a:xfrm>
                          </wpg:grpSpPr>
                          <wpg:grpSp>
                            <wpg:cNvPr id="22814" name="Group 22062"/>
                            <wpg:cNvGrpSpPr>
                              <a:grpSpLocks/>
                            </wpg:cNvGrpSpPr>
                            <wpg:grpSpPr bwMode="auto">
                              <a:xfrm flipH="1">
                                <a:off x="6191" y="381"/>
                                <a:ext cx="2880" cy="6477"/>
                                <a:chOff x="0" y="0"/>
                                <a:chExt cx="97154" cy="434975"/>
                              </a:xfrm>
                            </wpg:grpSpPr>
                            <wps:wsp>
                              <wps:cNvPr id="22815" name="Straight Connector 22063"/>
                              <wps:cNvCnPr>
                                <a:cxnSpLocks noChangeShapeType="1"/>
                              </wps:cNvCnPr>
                              <wps:spPr bwMode="auto">
                                <a:xfrm flipH="1">
                                  <a:off x="95250" y="0"/>
                                  <a:ext cx="0" cy="434975"/>
                                </a:xfrm>
                                <a:prstGeom prst="line">
                                  <a:avLst/>
                                </a:prstGeom>
                                <a:noFill/>
                                <a:ln w="19050">
                                  <a:solidFill>
                                    <a:schemeClr val="tx1">
                                      <a:lumMod val="100000"/>
                                      <a:lumOff val="0"/>
                                    </a:schemeClr>
                                  </a:solidFill>
                                  <a:miter lim="800000"/>
                                  <a:headEnd/>
                                  <a:tailEnd/>
                                </a:ln>
                              </wps:spPr>
                              <wps:bodyPr/>
                            </wps:wsp>
                            <wpg:grpSp>
                              <wpg:cNvPr id="22816" name="Group 22064"/>
                              <wpg:cNvGrpSpPr>
                                <a:grpSpLocks/>
                              </wpg:cNvGrpSpPr>
                              <wpg:grpSpPr bwMode="auto">
                                <a:xfrm>
                                  <a:off x="0" y="0"/>
                                  <a:ext cx="97154" cy="419773"/>
                                  <a:chOff x="0" y="0"/>
                                  <a:chExt cx="97154" cy="419773"/>
                                </a:xfrm>
                              </wpg:grpSpPr>
                              <wps:wsp>
                                <wps:cNvPr id="22817" name="Straight Connector 22065"/>
                                <wps:cNvCnPr>
                                  <a:cxnSpLocks noChangeShapeType="1"/>
                                </wps:cNvCnPr>
                                <wps:spPr bwMode="auto">
                                  <a:xfrm flipH="1">
                                    <a:off x="19050" y="228600"/>
                                    <a:ext cx="70658" cy="137775"/>
                                  </a:xfrm>
                                  <a:prstGeom prst="line">
                                    <a:avLst/>
                                  </a:prstGeom>
                                  <a:noFill/>
                                  <a:ln w="19050">
                                    <a:solidFill>
                                      <a:schemeClr val="tx1">
                                        <a:lumMod val="100000"/>
                                        <a:lumOff val="0"/>
                                      </a:schemeClr>
                                    </a:solidFill>
                                    <a:miter lim="800000"/>
                                    <a:headEnd/>
                                    <a:tailEnd/>
                                  </a:ln>
                                </wps:spPr>
                                <wps:bodyPr/>
                              </wps:wsp>
                              <wps:wsp>
                                <wps:cNvPr id="22818" name="Straight Connector 22066"/>
                                <wps:cNvCnPr>
                                  <a:cxnSpLocks noChangeShapeType="1"/>
                                </wps:cNvCnPr>
                                <wps:spPr bwMode="auto">
                                  <a:xfrm flipH="1">
                                    <a:off x="0" y="104775"/>
                                    <a:ext cx="97154" cy="152148"/>
                                  </a:xfrm>
                                  <a:prstGeom prst="line">
                                    <a:avLst/>
                                  </a:prstGeom>
                                  <a:noFill/>
                                  <a:ln w="19050">
                                    <a:solidFill>
                                      <a:schemeClr val="tx1">
                                        <a:lumMod val="100000"/>
                                        <a:lumOff val="0"/>
                                      </a:schemeClr>
                                    </a:solidFill>
                                    <a:miter lim="800000"/>
                                    <a:headEnd/>
                                    <a:tailEnd/>
                                  </a:ln>
                                </wps:spPr>
                                <wps:bodyPr/>
                              </wps:wsp>
                              <wps:wsp>
                                <wps:cNvPr id="22819" name="Straight Connector 22067"/>
                                <wps:cNvCnPr>
                                  <a:cxnSpLocks noChangeShapeType="1"/>
                                </wps:cNvCnPr>
                                <wps:spPr bwMode="auto">
                                  <a:xfrm flipH="1">
                                    <a:off x="0" y="0"/>
                                    <a:ext cx="92738" cy="152277"/>
                                  </a:xfrm>
                                  <a:prstGeom prst="line">
                                    <a:avLst/>
                                  </a:prstGeom>
                                  <a:noFill/>
                                  <a:ln w="19050">
                                    <a:solidFill>
                                      <a:schemeClr val="tx1">
                                        <a:lumMod val="100000"/>
                                        <a:lumOff val="0"/>
                                      </a:schemeClr>
                                    </a:solidFill>
                                    <a:miter lim="800000"/>
                                    <a:headEnd/>
                                    <a:tailEnd/>
                                  </a:ln>
                                </wps:spPr>
                                <wps:bodyPr/>
                              </wps:wsp>
                              <wps:wsp>
                                <wps:cNvPr id="22820" name="Straight Connector 22068"/>
                                <wps:cNvCnPr>
                                  <a:cxnSpLocks noChangeShapeType="1"/>
                                </wps:cNvCnPr>
                                <wps:spPr bwMode="auto">
                                  <a:xfrm flipH="1">
                                    <a:off x="57150" y="323850"/>
                                    <a:ext cx="35329" cy="95923"/>
                                  </a:xfrm>
                                  <a:prstGeom prst="line">
                                    <a:avLst/>
                                  </a:prstGeom>
                                  <a:noFill/>
                                  <a:ln w="19050">
                                    <a:solidFill>
                                      <a:schemeClr val="tx1">
                                        <a:lumMod val="100000"/>
                                        <a:lumOff val="0"/>
                                      </a:schemeClr>
                                    </a:solidFill>
                                    <a:miter lim="800000"/>
                                    <a:headEnd/>
                                    <a:tailEnd/>
                                  </a:ln>
                                </wps:spPr>
                                <wps:bodyPr/>
                              </wps:wsp>
                            </wpg:grpSp>
                          </wpg:grpSp>
                          <wps:wsp>
                            <wps:cNvPr id="22821" name="Oval 22069"/>
                            <wps:cNvSpPr>
                              <a:spLocks noChangeArrowheads="1"/>
                            </wps:cNvSpPr>
                            <wps:spPr bwMode="auto">
                              <a:xfrm>
                                <a:off x="0" y="0"/>
                                <a:ext cx="9140" cy="7164"/>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grpSp>
                        <wps:wsp>
                          <wps:cNvPr id="22822" name="Rectangle 22070"/>
                          <wps:cNvSpPr>
                            <a:spLocks noChangeArrowheads="1"/>
                          </wps:cNvSpPr>
                          <wps:spPr bwMode="auto">
                            <a:xfrm>
                              <a:off x="9620" y="1333"/>
                              <a:ext cx="8191" cy="4185"/>
                            </a:xfrm>
                            <a:prstGeom prst="rect">
                              <a:avLst/>
                            </a:prstGeom>
                            <a:noFill/>
                            <a:ln>
                              <a:noFill/>
                            </a:ln>
                          </wps:spPr>
                          <wps:txbx>
                            <w:txbxContent>
                              <w:p w14:paraId="0099F7A9"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-3      20</w:t>
                                </w:r>
                                <w:r w:rsidRPr="00E355F3">
                                  <w:rPr>
                                    <w:rFonts w:asciiTheme="minorHAnsi" w:hAnsiTheme="minorHAnsi" w:cstheme="minorHAnsi"/>
                                    <w:sz w:val="20"/>
                                    <w:szCs w:val="20"/>
                                    <w:vertAlign w:val="superscript"/>
                                    <w:lang w:val="en-US"/>
                                  </w:rPr>
                                  <w:t>∆</w:t>
                                </w:r>
                                <w:r>
                                  <w:rPr>
                                    <w:rFonts w:asciiTheme="minorHAnsi" w:hAnsiTheme="minorHAnsi" w:cstheme="minorHAnsi"/>
                                    <w:sz w:val="20"/>
                                    <w:szCs w:val="20"/>
                                    <w:lang w:val="en-US"/>
                                  </w:rPr>
                                  <w:t xml:space="preserve"> ET</w:t>
                                </w:r>
                              </w:p>
                            </w:txbxContent>
                          </wps:txbx>
                          <wps:bodyPr rot="0" vert="horz" wrap="square" lIns="0" tIns="0" rIns="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240B44" id="Group 22803" o:spid="_x0000_s2263" style="position:absolute;left:0;text-align:left;margin-left:55.5pt;margin-top:1.9pt;width:287.25pt;height:56.45pt;z-index:251758592;mso-position-horizontal-relative:text;mso-position-vertical-relative:text" coordsize="36480,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">
                <v:group id="Group 22052" o:spid="_x0000_s2264" style="position:absolute;width:16859;height:7169" coordsize="16859,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">
                  <v:group id="Group 22053" o:spid="_x0000_s2265" style="position:absolute;top:2762;width:1619;height:1620" coordorigin="5715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">
                    <v:oval id="Oval 22054" o:spid="_x0000_s2266" style="position:absolute;left:104775;top:47625;width:90000;height:9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" filled="f" strokecolor="black [3213]" strokeweight="1pt">
                      <v:stroke joinstyle="miter"/>
                    </v:oval>
                    <v:group id="Group 22055" o:spid="_x0000_s2267" style="position:absolute;left:57150;width:161925;height:16200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">
                      <v:line id="Straight Connector 22056" o:spid="_x0000_s2268" style="position:absolute;visibility:visible;mso-wrap-style:square" from="80963,0" to="80963,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" strokecolor="black [3200]" strokeweight=".5pt">
                        <v:stroke joinstyle="miter"/>
                      </v:line>
                      <v:line id="Straight Connector 22057" o:spid="_x0000_s2269" style="position:absolute;rotation:-90;visibility:visible;mso-wrap-style:square" from="80963,9525" to="80963,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" strokecolor="black [3200]" strokeweight=".5pt">
                        <v:stroke joinstyle="miter"/>
                      </v:line>
                    </v:group>
                  </v:group>
                  <v:oval id="Oval 22058" o:spid="_x0000_s2270" style="position:absolute;left:2571;width:9141;height:7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" filled="f" strokecolor="black [1600]" strokeweight="1pt">
                    <v:stroke joinstyle="miter"/>
                  </v:oval>
                  <v:rect id="Rectangle 22059" o:spid="_x0000_s2271" style="position:absolute;left:12954;top:1333;width:3905;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" filled="f" stroked="f">
                    <v:textbox inset="0,0,0,0">
                      <w:txbxContent>
                        <w:p w14:paraId="5CF8D0EB"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10</w:t>
                          </w:r>
                          <w:r w:rsidRPr="00E355F3">
                            <w:rPr>
                              <w:rFonts w:asciiTheme="minorHAnsi" w:hAnsiTheme="minorHAnsi" w:cstheme="minorHAnsi"/>
                              <w:sz w:val="20"/>
                              <w:szCs w:val="20"/>
                              <w:vertAlign w:val="superscript"/>
                              <w:lang w:val="en-US"/>
                            </w:rPr>
                            <w:t>∆</w:t>
                          </w:r>
                          <w:r>
                            <w:rPr>
                              <w:rFonts w:asciiTheme="minorHAnsi" w:hAnsiTheme="minorHAnsi" w:cstheme="minorHAnsi"/>
                              <w:sz w:val="20"/>
                              <w:szCs w:val="20"/>
                              <w:lang w:val="en-US"/>
                            </w:rPr>
                            <w:t xml:space="preserve"> ET</w:t>
                          </w:r>
                        </w:p>
                      </w:txbxContent>
                    </v:textbox>
                  </v:rect>
                </v:group>
                <v:group id="Group 22060" o:spid="_x0000_s2272" style="position:absolute;left:18669;width:17811;height:7164" coordsize="17811,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">
                  <v:group id="Group 22061" o:spid="_x0000_s2273" style="position:absolute;width:9140;height:7164" coordsize="9140,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">
                    <v:group id="Group 22062" o:spid="_x0000_s2274" style="position:absolute;left:6191;top:381;width:2880;height:6477;flip:x" coordsize="97154,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">
                      <v:line id="Straight Connector 22063" o:spid="_x0000_s2275" style="position:absolute;flip:x;visibility:visible;mso-wrap-style:square" from="95250,0" to="95250,4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" strokecolor="black [3213]" strokeweight="1.5pt">
                        <v:stroke joinstyle="miter"/>
                      </v:line>
                      <v:group id="Group 22064" o:spid="_x0000_s2276" style="position:absolute;width:97154;height:419773" coordsize="97154,419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">
                        <v:line id="Straight Connector 22065" o:spid="_x0000_s2277" style="position:absolute;flip:x;visibility:visible;mso-wrap-style:square" from="19050,228600" to="89708,366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" strokecolor="black [3213]" strokeweight="1.5pt">
                          <v:stroke joinstyle="miter"/>
                        </v:line>
                        <v:line id="Straight Connector 22066" o:spid="_x0000_s2278" style="position:absolute;flip:x;visibility:visible;mso-wrap-style:square" from="0,104775" to="97154,256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" strokecolor="black [3213]" strokeweight="1.5pt">
                          <v:stroke joinstyle="miter"/>
                        </v:line>
                        <v:line id="Straight Connector 22067" o:spid="_x0000_s2279" style="position:absolute;flip:x;visibility:visible;mso-wrap-style:square" from="0,0" to="92738,15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" strokecolor="black [3213]" strokeweight="1.5pt">
                          <v:stroke joinstyle="miter"/>
                        </v:line>
                        <v:line id="Straight Connector 22068" o:spid="_x0000_s2280" style="position:absolute;flip:x;visibility:visible;mso-wrap-style:square" from="57150,323850" to="92479,419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" strokecolor="black [3213]" strokeweight="1.5pt">
                          <v:stroke joinstyle="miter"/>
                        </v:line>
                      </v:group>
                    </v:group>
                    <v:oval id="Oval 22069" o:spid="_x0000_s2281" style="position:absolute;width:9140;height:7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" filled="f" strokecolor="black [1600]" strokeweight="1pt">
                      <v:stroke joinstyle="miter"/>
                    </v:oval>
                  </v:group>
                  <v:rect id="Rectangle 22070" o:spid="_x0000_s2282" style="position:absolute;left:9620;top:1333;width:8191;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" filled="f" stroked="f">
                    <v:textbox inset="0,0,0,0">
                      <w:txbxContent>
                        <w:p w14:paraId="0099F7A9"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-3      20</w:t>
                          </w:r>
                          <w:r w:rsidRPr="00E355F3">
                            <w:rPr>
                              <w:rFonts w:asciiTheme="minorHAnsi" w:hAnsiTheme="minorHAnsi" w:cstheme="minorHAnsi"/>
                              <w:sz w:val="20"/>
                              <w:szCs w:val="20"/>
                              <w:vertAlign w:val="superscript"/>
                              <w:lang w:val="en-US"/>
                            </w:rPr>
                            <w:t>∆</w:t>
                          </w:r>
                          <w:r>
                            <w:rPr>
                              <w:rFonts w:asciiTheme="minorHAnsi" w:hAnsiTheme="minorHAnsi" w:cstheme="minorHAnsi"/>
                              <w:sz w:val="20"/>
                              <w:szCs w:val="20"/>
                              <w:lang w:val="en-US"/>
                            </w:rPr>
                            <w:t xml:space="preserve"> ET</w:t>
                          </w:r>
                        </w:p>
                      </w:txbxContent>
                    </v:textbox>
                  </v:rect>
                </v:group>
              </v:group>
            </w:pict>
          </mc:Fallback>
        </mc:AlternateContent>
      </w:r>
    </w:p>
    <w:p w14:paraId="76BE75A9" w14:textId="77777777" w:rsidR="00BD37F8" w:rsidRPr="009D4627" w:rsidRDefault="00BD37F8" w:rsidP="00BD37F8">
      <w:pPr>
        <w:spacing w:before="0" w:after="0" w:line="240" w:lineRule="auto"/>
        <w:rPr>
          <w:b/>
          <w:szCs w:val="22"/>
          <w:lang w:val="en-MY"/>
        </w:rPr>
      </w:pPr>
    </w:p>
    <w:p w14:paraId="03B4CC82" w14:textId="77777777" w:rsidR="00BD37F8" w:rsidRPr="009D4627" w:rsidRDefault="00BD37F8" w:rsidP="00BD37F8">
      <w:pPr>
        <w:spacing w:before="0" w:after="0" w:line="240" w:lineRule="auto"/>
        <w:rPr>
          <w:b/>
          <w:szCs w:val="22"/>
          <w:lang w:val="en-MY"/>
        </w:rPr>
      </w:pPr>
    </w:p>
    <w:p w14:paraId="4A16514C" w14:textId="77777777" w:rsidR="00BD37F8" w:rsidRPr="009D4627" w:rsidRDefault="00BD37F8" w:rsidP="00BD37F8">
      <w:pPr>
        <w:spacing w:before="0" w:after="0" w:line="240" w:lineRule="auto"/>
        <w:rPr>
          <w:b/>
          <w:szCs w:val="22"/>
          <w:lang w:val="en-MY"/>
        </w:rPr>
      </w:pPr>
    </w:p>
    <w:p w14:paraId="5539A1AE" w14:textId="77777777" w:rsidR="00BD37F8" w:rsidRPr="009D4627" w:rsidRDefault="00BD37F8" w:rsidP="00BD37F8">
      <w:pPr>
        <w:spacing w:before="0" w:after="0" w:line="240" w:lineRule="auto"/>
        <w:rPr>
          <w:b/>
          <w:szCs w:val="22"/>
          <w:lang w:val="en-MY"/>
        </w:rPr>
      </w:pPr>
    </w:p>
    <w:p w14:paraId="1EFC7E95" w14:textId="71050AEB" w:rsidR="00BD37F8" w:rsidRPr="009D4627" w:rsidRDefault="00A2792E" w:rsidP="00BD37F8">
      <w:pPr>
        <w:spacing w:before="0" w:after="0" w:line="240" w:lineRule="auto"/>
        <w:rPr>
          <w:bCs/>
          <w:szCs w:val="22"/>
          <w:lang w:val="en-MY"/>
        </w:rPr>
      </w:pPr>
      <w:r w:rsidRPr="009D4627">
        <w:rPr>
          <w:noProof/>
        </w:rPr>
        <mc:AlternateContent>
          <mc:Choice Requires="wpg">
            <w:drawing>
              <wp:anchor distT="0" distB="0" distL="114300" distR="114300" simplePos="0" relativeHeight="251759616" behindDoc="1" locked="0" layoutInCell="1" allowOverlap="1" wp14:anchorId="316A8129" wp14:editId="6A494AF6">
                <wp:simplePos x="0" y="0"/>
                <wp:positionH relativeFrom="column">
                  <wp:posOffset>2470785</wp:posOffset>
                </wp:positionH>
                <wp:positionV relativeFrom="paragraph">
                  <wp:posOffset>189230</wp:posOffset>
                </wp:positionV>
                <wp:extent cx="161925" cy="161925"/>
                <wp:effectExtent l="0" t="0" r="9525" b="9525"/>
                <wp:wrapTight wrapText="bothSides">
                  <wp:wrapPolygon edited="0">
                    <wp:start x="5082" y="0"/>
                    <wp:lineTo x="0" y="12706"/>
                    <wp:lineTo x="0" y="15247"/>
                    <wp:lineTo x="5082" y="22871"/>
                    <wp:lineTo x="15247" y="22871"/>
                    <wp:lineTo x="22871" y="12706"/>
                    <wp:lineTo x="15247" y="0"/>
                    <wp:lineTo x="5082" y="0"/>
                  </wp:wrapPolygon>
                </wp:wrapTight>
                <wp:docPr id="22798" name="Group 22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 cy="161925"/>
                          <a:chOff x="57150" y="0"/>
                          <a:chExt cx="161925" cy="162000"/>
                        </a:xfrm>
                      </wpg:grpSpPr>
                      <wps:wsp>
                        <wps:cNvPr id="22799" name="Oval 22072"/>
                        <wps:cNvSpPr/>
                        <wps:spPr>
                          <a:xfrm>
                            <a:off x="104775" y="47625"/>
                            <a:ext cx="90000" cy="9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00" name="Group 22073"/>
                        <wpg:cNvGrpSpPr/>
                        <wpg:grpSpPr>
                          <a:xfrm>
                            <a:off x="57150" y="0"/>
                            <a:ext cx="161925" cy="162000"/>
                            <a:chOff x="0" y="0"/>
                            <a:chExt cx="161925" cy="162000"/>
                          </a:xfrm>
                        </wpg:grpSpPr>
                        <wps:wsp>
                          <wps:cNvPr id="22801" name="Straight Connector 22074"/>
                          <wps:cNvCnPr/>
                          <wps:spPr>
                            <a:xfrm>
                              <a:off x="80963" y="0"/>
                              <a:ext cx="0" cy="162000"/>
                            </a:xfrm>
                            <a:prstGeom prst="line">
                              <a:avLst/>
                            </a:prstGeom>
                          </wps:spPr>
                          <wps:style>
                            <a:lnRef idx="1">
                              <a:schemeClr val="dk1"/>
                            </a:lnRef>
                            <a:fillRef idx="0">
                              <a:schemeClr val="dk1"/>
                            </a:fillRef>
                            <a:effectRef idx="0">
                              <a:schemeClr val="dk1"/>
                            </a:effectRef>
                            <a:fontRef idx="minor">
                              <a:schemeClr val="tx1"/>
                            </a:fontRef>
                          </wps:style>
                          <wps:bodyPr/>
                        </wps:wsp>
                        <wps:wsp>
                          <wps:cNvPr id="22802" name="Straight Connector 22075"/>
                          <wps:cNvCnPr/>
                          <wps:spPr>
                            <a:xfrm rot="16200000">
                              <a:off x="80963" y="9525"/>
                              <a:ext cx="0" cy="16192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64158501" id="Group 22798" o:spid="_x0000_s1026" style="position:absolute;margin-left:194.55pt;margin-top:14.9pt;width:12.75pt;height:12.75pt;z-index:-251556864" coordorigin="57150" coordsize="161925,1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">
                <v:oval id="Oval 22072" o:spid="_x0000_s1027" style="position:absolute;left:104775;top:47625;width:90000;height:9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" filled="f" strokecolor="black [3213]" strokeweight="1pt">
                  <v:stroke joinstyle="miter"/>
                </v:oval>
                <v:group id="Group 22073" o:spid="_x0000_s1028" style="position:absolute;left:57150;width:161925;height:16200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">
                  <v:line id="Straight Connector 22074" o:spid="_x0000_s1029" style="position:absolute;visibility:visible;mso-wrap-style:square" from="80963,0" to="80963,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" strokecolor="black [3200]" strokeweight=".5pt">
                    <v:stroke joinstyle="miter"/>
                  </v:line>
                  <v:line id="Straight Connector 22075" o:spid="_x0000_s1030" style="position:absolute;rotation:-90;visibility:visible;mso-wrap-style:square" from="80963,9525" to="80963,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" strokecolor="black [3200]" strokeweight=".5pt">
                    <v:stroke joinstyle="miter"/>
                  </v:line>
                </v:group>
                <w10:wrap type="tight"/>
              </v:group>
            </w:pict>
          </mc:Fallback>
        </mc:AlternateContent>
      </w:r>
      <w:r w:rsidR="00BD37F8" w:rsidRPr="009D4627">
        <w:rPr>
          <w:bCs/>
          <w:szCs w:val="22"/>
          <w:lang w:val="en-MY"/>
        </w:rPr>
        <w:tab/>
      </w:r>
      <w:r w:rsidR="00BD37F8" w:rsidRPr="009D4627">
        <w:rPr>
          <w:bCs/>
          <w:szCs w:val="22"/>
          <w:lang w:val="en-MY"/>
        </w:rPr>
        <w:tab/>
      </w:r>
    </w:p>
    <w:p w14:paraId="5790E2F5" w14:textId="77777777" w:rsidR="00BD37F8" w:rsidRPr="009D4627" w:rsidRDefault="00BD37F8" w:rsidP="00BD37F8">
      <w:pPr>
        <w:spacing w:before="0" w:after="0" w:line="240" w:lineRule="auto"/>
        <w:ind w:left="720" w:firstLine="720"/>
        <w:rPr>
          <w:bCs/>
          <w:szCs w:val="22"/>
          <w:lang w:val="en-MY"/>
        </w:rPr>
      </w:pPr>
      <w:r w:rsidRPr="009D4627">
        <w:rPr>
          <w:bCs/>
          <w:szCs w:val="22"/>
          <w:lang w:val="en-MY"/>
        </w:rPr>
        <w:t xml:space="preserve">with glasses </w:t>
      </w:r>
      <w:r w:rsidRPr="009D4627">
        <w:rPr>
          <w:bCs/>
          <w:szCs w:val="22"/>
          <w:lang w:val="en-MY"/>
        </w:rPr>
        <w:tab/>
        <w:t xml:space="preserve">1/3 m </w:t>
      </w:r>
      <w:r w:rsidRPr="009D4627">
        <w:rPr>
          <w:bCs/>
          <w:szCs w:val="22"/>
          <w:lang w:val="en-MY"/>
        </w:rPr>
        <w:tab/>
        <w:t xml:space="preserve"> </w:t>
      </w:r>
    </w:p>
    <w:p w14:paraId="6C5FC01F" w14:textId="77777777" w:rsidR="00BD37F8" w:rsidRPr="009D4627" w:rsidRDefault="00BD37F8" w:rsidP="00BD37F8">
      <w:pPr>
        <w:spacing w:before="0" w:after="0" w:line="240" w:lineRule="auto"/>
        <w:rPr>
          <w:bCs/>
          <w:szCs w:val="22"/>
          <w:lang w:val="en-MY"/>
        </w:rPr>
      </w:pPr>
      <w:r w:rsidRPr="009D4627">
        <w:rPr>
          <w:bCs/>
          <w:szCs w:val="22"/>
          <w:lang w:val="en-MY"/>
        </w:rPr>
        <w:tab/>
      </w:r>
      <w:r w:rsidRPr="009D4627">
        <w:rPr>
          <w:bCs/>
          <w:szCs w:val="22"/>
          <w:lang w:val="en-MY"/>
        </w:rPr>
        <w:tab/>
      </w:r>
    </w:p>
    <w:p w14:paraId="305A4D6A" w14:textId="77777777" w:rsidR="00BD37F8" w:rsidRPr="009D4627" w:rsidRDefault="00BD37F8" w:rsidP="00BD37F8">
      <w:pPr>
        <w:spacing w:before="0" w:after="0" w:line="240" w:lineRule="auto"/>
        <w:ind w:left="720" w:firstLine="720"/>
        <w:rPr>
          <w:bCs/>
          <w:szCs w:val="22"/>
          <w:lang w:val="en-MY"/>
        </w:rPr>
      </w:pPr>
      <w:r w:rsidRPr="009D4627">
        <w:rPr>
          <w:bCs/>
          <w:szCs w:val="22"/>
          <w:lang w:val="en-MY"/>
        </w:rPr>
        <w:t>Diplopia joins with 10</w:t>
      </w:r>
      <w:r w:rsidRPr="009D4627">
        <w:rPr>
          <w:bCs/>
          <w:szCs w:val="22"/>
          <w:vertAlign w:val="superscript"/>
          <w:lang w:val="en-MY"/>
        </w:rPr>
        <w:t>∆</w:t>
      </w:r>
      <w:r w:rsidRPr="009D4627">
        <w:rPr>
          <w:bCs/>
          <w:szCs w:val="22"/>
          <w:lang w:val="en-MY"/>
        </w:rPr>
        <w:t xml:space="preserve"> BO.</w:t>
      </w:r>
    </w:p>
    <w:p w14:paraId="1358A192" w14:textId="77777777" w:rsidR="00BD37F8" w:rsidRPr="009D4627" w:rsidRDefault="00BD37F8" w:rsidP="00BD37F8">
      <w:pPr>
        <w:spacing w:before="0" w:after="0" w:line="240" w:lineRule="auto"/>
        <w:ind w:left="720" w:firstLine="720"/>
        <w:rPr>
          <w:bCs/>
          <w:szCs w:val="22"/>
          <w:lang w:val="en-MY"/>
        </w:rPr>
      </w:pPr>
      <w:r w:rsidRPr="009D4627">
        <w:rPr>
          <w:bCs/>
          <w:szCs w:val="22"/>
          <w:lang w:val="en-MY"/>
        </w:rPr>
        <w:tab/>
      </w:r>
      <w:r w:rsidRPr="009D4627">
        <w:rPr>
          <w:bCs/>
          <w:szCs w:val="22"/>
          <w:lang w:val="en-MY"/>
        </w:rPr>
        <w:tab/>
      </w:r>
    </w:p>
    <w:p w14:paraId="4A3B0B25" w14:textId="77777777" w:rsidR="00BD37F8" w:rsidRPr="009D4627" w:rsidRDefault="00BD37F8" w:rsidP="00BD37F8">
      <w:pPr>
        <w:spacing w:before="0" w:after="0" w:line="240" w:lineRule="auto"/>
        <w:ind w:left="2160" w:hanging="2160"/>
        <w:rPr>
          <w:b/>
          <w:bCs/>
          <w:szCs w:val="22"/>
          <w:lang w:val="en-MY"/>
        </w:rPr>
      </w:pPr>
      <w:r w:rsidRPr="009D4627">
        <w:rPr>
          <w:b/>
          <w:bCs/>
          <w:szCs w:val="22"/>
          <w:lang w:val="en-MY"/>
        </w:rPr>
        <w:t xml:space="preserve">Assessment &amp; plan: </w:t>
      </w:r>
      <w:r w:rsidRPr="009D4627">
        <w:rPr>
          <w:b/>
          <w:bCs/>
          <w:szCs w:val="22"/>
          <w:lang w:val="en-MY"/>
        </w:rPr>
        <w:tab/>
      </w:r>
    </w:p>
    <w:p w14:paraId="5627719E"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L sixth nerve palsy</w:t>
      </w:r>
      <w:proofErr w:type="gramStart"/>
      <w:r w:rsidRPr="009D4627">
        <w:rPr>
          <w:szCs w:val="22"/>
          <w:lang w:val="en-MY"/>
        </w:rPr>
        <w:t>. ?</w:t>
      </w:r>
      <w:proofErr w:type="gramEnd"/>
      <w:r w:rsidRPr="009D4627">
        <w:rPr>
          <w:szCs w:val="22"/>
          <w:lang w:val="en-MY"/>
        </w:rPr>
        <w:t xml:space="preserve"> cause</w:t>
      </w:r>
    </w:p>
    <w:p w14:paraId="423E98CF"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10</w:t>
      </w:r>
      <w:r w:rsidRPr="009D4627">
        <w:rPr>
          <w:szCs w:val="22"/>
          <w:vertAlign w:val="superscript"/>
          <w:lang w:val="en-MY"/>
        </w:rPr>
        <w:t>∆</w:t>
      </w:r>
      <w:r w:rsidRPr="009D4627">
        <w:rPr>
          <w:szCs w:val="22"/>
          <w:lang w:val="en-MY"/>
        </w:rPr>
        <w:t xml:space="preserve"> BO </w:t>
      </w:r>
      <w:proofErr w:type="spellStart"/>
      <w:r w:rsidRPr="009D4627">
        <w:rPr>
          <w:szCs w:val="22"/>
          <w:lang w:val="en-MY"/>
        </w:rPr>
        <w:t>fresnel</w:t>
      </w:r>
      <w:proofErr w:type="spellEnd"/>
      <w:r w:rsidRPr="009D4627">
        <w:rPr>
          <w:szCs w:val="22"/>
          <w:lang w:val="en-MY"/>
        </w:rPr>
        <w:t xml:space="preserve"> fitted to L </w:t>
      </w:r>
      <w:proofErr w:type="spellStart"/>
      <w:r w:rsidRPr="009D4627">
        <w:rPr>
          <w:szCs w:val="22"/>
          <w:lang w:val="en-MY"/>
        </w:rPr>
        <w:t>plano</w:t>
      </w:r>
      <w:proofErr w:type="spellEnd"/>
      <w:r w:rsidRPr="009D4627">
        <w:rPr>
          <w:szCs w:val="22"/>
          <w:lang w:val="en-MY"/>
        </w:rPr>
        <w:t xml:space="preserve"> lens</w:t>
      </w:r>
    </w:p>
    <w:p w14:paraId="767911F1"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Review 2-3/52</w:t>
      </w:r>
    </w:p>
    <w:p w14:paraId="1DB2351A" w14:textId="77777777" w:rsidR="00BD37F8" w:rsidRPr="009D4627" w:rsidRDefault="00BD37F8" w:rsidP="00BD37F8">
      <w:pPr>
        <w:pStyle w:val="ListParagraph"/>
        <w:spacing w:before="0" w:after="0" w:line="240" w:lineRule="auto"/>
        <w:rPr>
          <w:szCs w:val="22"/>
          <w:lang w:val="en-MY"/>
        </w:rPr>
      </w:pPr>
    </w:p>
    <w:p w14:paraId="58ABE54F" w14:textId="77777777" w:rsidR="00BD37F8" w:rsidRPr="009D4627" w:rsidRDefault="00BD37F8" w:rsidP="00BD37F8">
      <w:pPr>
        <w:pStyle w:val="ListParagraph"/>
        <w:spacing w:before="0" w:after="0" w:line="240" w:lineRule="auto"/>
        <w:rPr>
          <w:szCs w:val="22"/>
          <w:lang w:val="en-MY"/>
        </w:rPr>
      </w:pPr>
    </w:p>
    <w:p w14:paraId="6C4F0C75" w14:textId="46E89E72" w:rsidR="00BD37F8" w:rsidRPr="009D4627" w:rsidRDefault="00A11E21" w:rsidP="00BD37F8">
      <w:pPr>
        <w:spacing w:before="0" w:after="0" w:line="240" w:lineRule="auto"/>
        <w:rPr>
          <w:bCs/>
          <w:szCs w:val="22"/>
          <w:u w:val="single"/>
          <w:lang w:val="en-MY"/>
        </w:rPr>
      </w:pPr>
      <w:r>
        <w:rPr>
          <w:b/>
          <w:szCs w:val="22"/>
          <w:u w:val="single"/>
          <w:lang w:val="en-MY"/>
        </w:rPr>
        <w:t>C</w:t>
      </w:r>
      <w:r w:rsidR="00BD37F8" w:rsidRPr="009D4627">
        <w:rPr>
          <w:b/>
          <w:szCs w:val="22"/>
          <w:u w:val="single"/>
          <w:lang w:val="en-MY"/>
        </w:rPr>
        <w:t xml:space="preserve">linical visit 2: </w:t>
      </w:r>
      <w:r w:rsidR="00BD37F8" w:rsidRPr="009D4627">
        <w:rPr>
          <w:bCs/>
          <w:szCs w:val="22"/>
          <w:u w:val="single"/>
          <w:lang w:val="en-MY"/>
        </w:rPr>
        <w:t>14/03/2019 (3</w:t>
      </w:r>
      <w:r w:rsidR="00BD37F8" w:rsidRPr="009D4627">
        <w:rPr>
          <w:bCs/>
          <w:color w:val="auto"/>
          <w:szCs w:val="22"/>
          <w:u w:val="single"/>
          <w:lang w:val="en-MY"/>
        </w:rPr>
        <w:t xml:space="preserve"> days from onset</w:t>
      </w:r>
      <w:r w:rsidR="00BD37F8" w:rsidRPr="009D4627">
        <w:rPr>
          <w:bCs/>
          <w:szCs w:val="22"/>
          <w:u w:val="single"/>
          <w:lang w:val="en-MY"/>
        </w:rPr>
        <w:t>) - Orthoptic assessment</w:t>
      </w:r>
    </w:p>
    <w:p w14:paraId="2F9DC9E2" w14:textId="77777777" w:rsidR="00BD37F8" w:rsidRPr="009D4627" w:rsidRDefault="00BD37F8" w:rsidP="00BD37F8">
      <w:pPr>
        <w:spacing w:before="0" w:after="0" w:line="240" w:lineRule="auto"/>
        <w:rPr>
          <w:bCs/>
          <w:szCs w:val="22"/>
          <w:u w:val="single"/>
          <w:lang w:val="en-MY"/>
        </w:rPr>
      </w:pPr>
    </w:p>
    <w:p w14:paraId="5356B3CC" w14:textId="77777777" w:rsidR="00BD37F8" w:rsidRPr="009D4627" w:rsidRDefault="00BD37F8" w:rsidP="00BD37F8">
      <w:pPr>
        <w:spacing w:before="0" w:after="0" w:line="240" w:lineRule="auto"/>
        <w:ind w:left="851" w:hanging="851"/>
        <w:jc w:val="left"/>
        <w:rPr>
          <w:szCs w:val="22"/>
          <w:lang w:val="en-MY"/>
        </w:rPr>
      </w:pPr>
      <w:r w:rsidRPr="009D4627">
        <w:rPr>
          <w:b/>
          <w:szCs w:val="22"/>
          <w:lang w:val="en-MY"/>
        </w:rPr>
        <w:t>History:</w:t>
      </w:r>
      <w:r w:rsidRPr="009D4627">
        <w:rPr>
          <w:bCs/>
          <w:szCs w:val="22"/>
          <w:lang w:val="en-MY"/>
        </w:rPr>
        <w:t xml:space="preserve"> L sixth nerve palsy (15/1/2019). Fitted with 10</w:t>
      </w:r>
      <w:r w:rsidRPr="009D4627">
        <w:rPr>
          <w:szCs w:val="22"/>
          <w:vertAlign w:val="superscript"/>
          <w:lang w:val="en-MY"/>
        </w:rPr>
        <w:t>∆</w:t>
      </w:r>
      <w:r w:rsidRPr="009D4627">
        <w:rPr>
          <w:szCs w:val="22"/>
          <w:lang w:val="en-MY"/>
        </w:rPr>
        <w:t xml:space="preserve"> BO LE on </w:t>
      </w:r>
      <w:proofErr w:type="spellStart"/>
      <w:r w:rsidRPr="009D4627">
        <w:rPr>
          <w:szCs w:val="22"/>
          <w:lang w:val="en-MY"/>
        </w:rPr>
        <w:t>plano</w:t>
      </w:r>
      <w:proofErr w:type="spellEnd"/>
      <w:r w:rsidRPr="009D4627">
        <w:rPr>
          <w:szCs w:val="22"/>
          <w:lang w:val="en-MY"/>
        </w:rPr>
        <w:t xml:space="preserve"> lens. Very happy now, no diplopia for past 2-3/52. Not wearing glasses with prism as recovered quick. Has old glasses from 10 year ago.</w:t>
      </w:r>
    </w:p>
    <w:p w14:paraId="403C8B00" w14:textId="77777777" w:rsidR="00BD37F8" w:rsidRPr="009D4627" w:rsidRDefault="00BD37F8" w:rsidP="00BD37F8">
      <w:pPr>
        <w:spacing w:before="0" w:after="0" w:line="240" w:lineRule="auto"/>
        <w:ind w:left="851" w:hanging="851"/>
        <w:jc w:val="left"/>
        <w:rPr>
          <w:bCs/>
          <w:szCs w:val="22"/>
          <w:lang w:val="en-MY"/>
        </w:rPr>
      </w:pPr>
    </w:p>
    <w:p w14:paraId="4699C6B1" w14:textId="77777777" w:rsidR="00A11E21" w:rsidRPr="009D4627" w:rsidRDefault="00A11E21" w:rsidP="00A11E21">
      <w:pPr>
        <w:spacing w:before="0" w:after="0" w:line="240" w:lineRule="auto"/>
        <w:ind w:left="851" w:hanging="851"/>
        <w:jc w:val="left"/>
        <w:rPr>
          <w:b/>
          <w:szCs w:val="22"/>
          <w:lang w:val="en-MY"/>
        </w:rPr>
      </w:pPr>
      <w:r w:rsidRPr="009D4627">
        <w:rPr>
          <w:b/>
          <w:szCs w:val="22"/>
          <w:lang w:val="en-MY"/>
        </w:rPr>
        <w:t xml:space="preserve">Current medications: </w:t>
      </w:r>
      <w:r w:rsidRPr="009D4627">
        <w:rPr>
          <w:bCs/>
          <w:szCs w:val="22"/>
          <w:lang w:val="en-MY"/>
        </w:rPr>
        <w:t xml:space="preserve">Candesartan, Felodipine, </w:t>
      </w:r>
      <w:proofErr w:type="spellStart"/>
      <w:r w:rsidRPr="009D4627">
        <w:rPr>
          <w:bCs/>
          <w:szCs w:val="22"/>
          <w:lang w:val="en-MY"/>
        </w:rPr>
        <w:t>Sirdupla</w:t>
      </w:r>
      <w:proofErr w:type="spellEnd"/>
      <w:r w:rsidRPr="009D4627">
        <w:rPr>
          <w:bCs/>
          <w:szCs w:val="22"/>
          <w:lang w:val="en-MY"/>
        </w:rPr>
        <w:t xml:space="preserve"> + Ventolin</w:t>
      </w:r>
    </w:p>
    <w:p w14:paraId="2EBFFB92" w14:textId="77777777" w:rsidR="00BD37F8" w:rsidRPr="009D4627" w:rsidRDefault="00BD37F8" w:rsidP="00BD37F8">
      <w:pPr>
        <w:spacing w:before="0" w:after="0" w:line="240" w:lineRule="auto"/>
        <w:ind w:left="851" w:hanging="851"/>
        <w:jc w:val="left"/>
        <w:rPr>
          <w:b/>
          <w:szCs w:val="22"/>
          <w:lang w:val="en-MY"/>
        </w:rPr>
      </w:pPr>
    </w:p>
    <w:p w14:paraId="1622E396" w14:textId="6DFC5287" w:rsidR="00BD37F8" w:rsidRPr="009D4627" w:rsidRDefault="00BD37F8" w:rsidP="00BD37F8">
      <w:pPr>
        <w:spacing w:before="0" w:after="0" w:line="240" w:lineRule="auto"/>
        <w:rPr>
          <w:bCs/>
          <w:szCs w:val="22"/>
          <w:lang w:val="en-MY"/>
        </w:rPr>
      </w:pPr>
      <w:r w:rsidRPr="009D4627">
        <w:rPr>
          <w:b/>
          <w:szCs w:val="22"/>
          <w:lang w:val="en-MY"/>
        </w:rPr>
        <w:t>Visual acuity:</w:t>
      </w:r>
      <w:r w:rsidRPr="009D4627">
        <w:rPr>
          <w:bCs/>
          <w:szCs w:val="22"/>
          <w:lang w:val="en-MY"/>
        </w:rPr>
        <w:t xml:space="preserve"> unaided </w:t>
      </w:r>
      <w:r w:rsidRPr="009D4627">
        <w:rPr>
          <w:bCs/>
          <w:szCs w:val="22"/>
          <w:lang w:val="en-MY"/>
        </w:rPr>
        <w:tab/>
        <w:t>RE 0.40</w:t>
      </w:r>
      <w:r w:rsidRPr="009D4627">
        <w:rPr>
          <w:bCs/>
          <w:szCs w:val="22"/>
          <w:lang w:val="en-MY"/>
        </w:rPr>
        <w:tab/>
        <w:t xml:space="preserve">LE 0.50 </w:t>
      </w:r>
      <w:r w:rsidRPr="009D4627">
        <w:rPr>
          <w:bCs/>
          <w:szCs w:val="22"/>
          <w:lang w:val="en-MY"/>
        </w:rPr>
        <w:tab/>
        <w:t xml:space="preserve">ETDRS </w:t>
      </w:r>
      <w:proofErr w:type="spellStart"/>
      <w:r w:rsidRPr="009D4627">
        <w:rPr>
          <w:bCs/>
          <w:szCs w:val="22"/>
          <w:lang w:val="en-MY"/>
        </w:rPr>
        <w:t>logMAR</w:t>
      </w:r>
      <w:proofErr w:type="spellEnd"/>
      <w:r w:rsidRPr="009D4627">
        <w:rPr>
          <w:bCs/>
          <w:szCs w:val="22"/>
          <w:lang w:val="en-MY"/>
        </w:rPr>
        <w:t xml:space="preserve"> </w:t>
      </w:r>
    </w:p>
    <w:p w14:paraId="5381B946" w14:textId="1D20F142" w:rsidR="00BD37F8" w:rsidRPr="009D4627" w:rsidRDefault="00BD37F8" w:rsidP="00BD37F8">
      <w:pPr>
        <w:spacing w:before="0" w:after="0" w:line="240" w:lineRule="auto"/>
        <w:rPr>
          <w:bCs/>
          <w:szCs w:val="22"/>
          <w:lang w:val="en-MY"/>
        </w:rPr>
      </w:pPr>
      <w:r w:rsidRPr="009D4627">
        <w:rPr>
          <w:b/>
          <w:szCs w:val="22"/>
          <w:lang w:val="en-MY"/>
        </w:rPr>
        <w:lastRenderedPageBreak/>
        <w:tab/>
      </w:r>
      <w:r w:rsidRPr="009D4627">
        <w:rPr>
          <w:b/>
          <w:szCs w:val="22"/>
          <w:lang w:val="en-MY"/>
        </w:rPr>
        <w:tab/>
      </w:r>
      <w:r w:rsidRPr="009D4627">
        <w:rPr>
          <w:b/>
          <w:szCs w:val="22"/>
          <w:lang w:val="en-MY"/>
        </w:rPr>
        <w:tab/>
      </w:r>
      <w:r w:rsidRPr="009D4627">
        <w:rPr>
          <w:b/>
          <w:szCs w:val="22"/>
          <w:lang w:val="en-MY"/>
        </w:rPr>
        <w:tab/>
        <w:t xml:space="preserve">      </w:t>
      </w:r>
      <w:r w:rsidRPr="009D4627">
        <w:rPr>
          <w:bCs/>
          <w:szCs w:val="22"/>
          <w:lang w:val="en-MY"/>
        </w:rPr>
        <w:t>6/15</w:t>
      </w:r>
      <w:r w:rsidRPr="009D4627">
        <w:rPr>
          <w:bCs/>
          <w:szCs w:val="22"/>
          <w:lang w:val="en-MY"/>
        </w:rPr>
        <w:tab/>
        <w:t xml:space="preserve">     6/19 </w:t>
      </w:r>
      <w:r w:rsidRPr="009D4627">
        <w:rPr>
          <w:bCs/>
          <w:szCs w:val="22"/>
          <w:lang w:val="en-MY"/>
        </w:rPr>
        <w:tab/>
        <w:t>Snellen equivalent</w:t>
      </w:r>
    </w:p>
    <w:p w14:paraId="46FC43F6" w14:textId="7E9DF2E8" w:rsidR="00BD37F8" w:rsidRPr="009D4627" w:rsidRDefault="00BD37F8" w:rsidP="00833530">
      <w:pPr>
        <w:spacing w:before="0" w:after="0" w:line="240" w:lineRule="auto"/>
        <w:rPr>
          <w:bCs/>
          <w:szCs w:val="22"/>
          <w:lang w:val="en-MY"/>
        </w:rPr>
      </w:pPr>
      <w:r w:rsidRPr="009D4627">
        <w:rPr>
          <w:bCs/>
          <w:szCs w:val="22"/>
          <w:lang w:val="en-MY"/>
        </w:rPr>
        <w:tab/>
      </w:r>
      <w:r w:rsidRPr="009D4627">
        <w:rPr>
          <w:bCs/>
          <w:szCs w:val="22"/>
          <w:lang w:val="en-MY"/>
        </w:rPr>
        <w:tab/>
        <w:t>with glasses</w:t>
      </w:r>
      <w:r w:rsidRPr="009D4627">
        <w:rPr>
          <w:bCs/>
          <w:szCs w:val="22"/>
          <w:lang w:val="en-MY"/>
        </w:rPr>
        <w:tab/>
        <w:t>RE 0.20</w:t>
      </w:r>
      <w:r w:rsidRPr="009D4627">
        <w:rPr>
          <w:bCs/>
          <w:szCs w:val="22"/>
          <w:lang w:val="en-MY"/>
        </w:rPr>
        <w:tab/>
        <w:t>LE 0.10</w:t>
      </w:r>
      <w:r w:rsidRPr="009D4627">
        <w:rPr>
          <w:bCs/>
          <w:szCs w:val="22"/>
          <w:lang w:val="en-MY"/>
        </w:rPr>
        <w:tab/>
        <w:t xml:space="preserve">ETDRS </w:t>
      </w:r>
      <w:proofErr w:type="spellStart"/>
      <w:r w:rsidRPr="009D4627">
        <w:rPr>
          <w:bCs/>
          <w:szCs w:val="22"/>
          <w:lang w:val="en-MY"/>
        </w:rPr>
        <w:t>logMAR</w:t>
      </w:r>
      <w:proofErr w:type="spellEnd"/>
    </w:p>
    <w:p w14:paraId="56C81B64" w14:textId="57C34078" w:rsidR="00BD37F8" w:rsidRPr="009D4627" w:rsidRDefault="00BD37F8" w:rsidP="00BD37F8">
      <w:pPr>
        <w:spacing w:before="0" w:after="0" w:line="240" w:lineRule="auto"/>
        <w:ind w:left="2880"/>
        <w:rPr>
          <w:bCs/>
          <w:szCs w:val="22"/>
          <w:lang w:val="en-MY"/>
        </w:rPr>
      </w:pPr>
      <w:r w:rsidRPr="009D4627">
        <w:rPr>
          <w:bCs/>
          <w:szCs w:val="22"/>
          <w:lang w:val="en-MY"/>
        </w:rPr>
        <w:t xml:space="preserve">     6/9.5</w:t>
      </w:r>
      <w:r w:rsidRPr="009D4627">
        <w:rPr>
          <w:bCs/>
          <w:szCs w:val="22"/>
          <w:lang w:val="en-MY"/>
        </w:rPr>
        <w:tab/>
        <w:t xml:space="preserve">     6/7.5 </w:t>
      </w:r>
      <w:r w:rsidRPr="009D4627">
        <w:rPr>
          <w:bCs/>
          <w:szCs w:val="22"/>
          <w:lang w:val="en-MY"/>
        </w:rPr>
        <w:tab/>
        <w:t>Snellen equivalent</w:t>
      </w:r>
    </w:p>
    <w:p w14:paraId="1E58A23F" w14:textId="716E1665" w:rsidR="00BD37F8" w:rsidRPr="009D4627" w:rsidRDefault="00BD37F8" w:rsidP="00833530">
      <w:pPr>
        <w:spacing w:before="0" w:after="0" w:line="240" w:lineRule="auto"/>
        <w:rPr>
          <w:bCs/>
          <w:szCs w:val="22"/>
          <w:lang w:val="en-MY"/>
        </w:rPr>
      </w:pPr>
      <w:r w:rsidRPr="009D4627">
        <w:rPr>
          <w:b/>
          <w:szCs w:val="22"/>
          <w:lang w:val="en-MY"/>
        </w:rPr>
        <w:t xml:space="preserve">Cover test: </w:t>
      </w:r>
      <w:r w:rsidRPr="009D4627">
        <w:rPr>
          <w:b/>
          <w:szCs w:val="22"/>
          <w:lang w:val="en-MY"/>
        </w:rPr>
        <w:tab/>
      </w:r>
      <w:r w:rsidRPr="009D4627">
        <w:rPr>
          <w:bCs/>
          <w:szCs w:val="22"/>
          <w:lang w:val="en-MY"/>
        </w:rPr>
        <w:t xml:space="preserve">with glasses </w:t>
      </w:r>
      <w:r w:rsidRPr="009D4627">
        <w:rPr>
          <w:bCs/>
          <w:szCs w:val="22"/>
          <w:lang w:val="en-MY"/>
        </w:rPr>
        <w:tab/>
        <w:t xml:space="preserve">1/3 m </w:t>
      </w:r>
      <w:r w:rsidRPr="009D4627">
        <w:rPr>
          <w:bCs/>
          <w:szCs w:val="22"/>
          <w:lang w:val="en-MY"/>
        </w:rPr>
        <w:tab/>
        <w:t>very small X with good recovery</w:t>
      </w:r>
    </w:p>
    <w:p w14:paraId="49550E52"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ab/>
      </w:r>
      <w:r w:rsidRPr="009D4627">
        <w:rPr>
          <w:bCs/>
          <w:szCs w:val="22"/>
          <w:lang w:val="en-MY"/>
        </w:rPr>
        <w:tab/>
      </w:r>
      <w:r w:rsidRPr="009D4627">
        <w:rPr>
          <w:b/>
          <w:szCs w:val="22"/>
          <w:lang w:val="en-MY"/>
        </w:rPr>
        <w:tab/>
      </w:r>
      <w:r w:rsidRPr="009D4627">
        <w:rPr>
          <w:bCs/>
          <w:szCs w:val="22"/>
          <w:lang w:val="en-MY"/>
        </w:rPr>
        <w:tab/>
        <w:t>6 m</w:t>
      </w:r>
      <w:r w:rsidRPr="009D4627">
        <w:rPr>
          <w:bCs/>
          <w:szCs w:val="22"/>
          <w:lang w:val="en-MY"/>
        </w:rPr>
        <w:tab/>
        <w:t>NAD</w:t>
      </w:r>
    </w:p>
    <w:p w14:paraId="5F134BE9" w14:textId="77777777" w:rsidR="00BD37F8" w:rsidRPr="009D4627" w:rsidRDefault="00BD37F8" w:rsidP="00BD37F8">
      <w:pPr>
        <w:spacing w:before="0" w:after="0" w:line="240" w:lineRule="auto"/>
        <w:ind w:left="1276" w:hanging="1276"/>
        <w:rPr>
          <w:b/>
          <w:szCs w:val="22"/>
          <w:lang w:val="en-MY"/>
        </w:rPr>
      </w:pPr>
    </w:p>
    <w:p w14:paraId="0254079C" w14:textId="61B94830" w:rsidR="00BD37F8" w:rsidRPr="009D4627" w:rsidRDefault="00A2792E" w:rsidP="00BD37F8">
      <w:pPr>
        <w:spacing w:before="0" w:after="0" w:line="240" w:lineRule="auto"/>
        <w:ind w:left="1276" w:hanging="1276"/>
        <w:rPr>
          <w:lang w:val="en-US"/>
        </w:rPr>
      </w:pPr>
      <w:r w:rsidRPr="009D4627">
        <w:rPr>
          <w:noProof/>
        </w:rPr>
        <mc:AlternateContent>
          <mc:Choice Requires="wpg">
            <w:drawing>
              <wp:anchor distT="0" distB="0" distL="114300" distR="114300" simplePos="0" relativeHeight="251760640" behindDoc="1" locked="0" layoutInCell="1" allowOverlap="1" wp14:anchorId="771C9CC7" wp14:editId="18CDAE90">
                <wp:simplePos x="0" y="0"/>
                <wp:positionH relativeFrom="column">
                  <wp:posOffset>2286000</wp:posOffset>
                </wp:positionH>
                <wp:positionV relativeFrom="paragraph">
                  <wp:posOffset>186055</wp:posOffset>
                </wp:positionV>
                <wp:extent cx="161925" cy="161925"/>
                <wp:effectExtent l="0" t="0" r="9525" b="9525"/>
                <wp:wrapTight wrapText="bothSides">
                  <wp:wrapPolygon edited="0">
                    <wp:start x="5082" y="0"/>
                    <wp:lineTo x="0" y="12706"/>
                    <wp:lineTo x="0" y="15247"/>
                    <wp:lineTo x="5082" y="22871"/>
                    <wp:lineTo x="15247" y="22871"/>
                    <wp:lineTo x="22871" y="12706"/>
                    <wp:lineTo x="15247" y="0"/>
                    <wp:lineTo x="5082" y="0"/>
                  </wp:wrapPolygon>
                </wp:wrapTight>
                <wp:docPr id="22793" name="Group 22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 cy="161925"/>
                          <a:chOff x="57150" y="0"/>
                          <a:chExt cx="161925" cy="162000"/>
                        </a:xfrm>
                      </wpg:grpSpPr>
                      <wps:wsp>
                        <wps:cNvPr id="22794" name="Oval 22077"/>
                        <wps:cNvSpPr/>
                        <wps:spPr>
                          <a:xfrm>
                            <a:off x="104775" y="47625"/>
                            <a:ext cx="90000" cy="90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795" name="Group 22078"/>
                        <wpg:cNvGrpSpPr/>
                        <wpg:grpSpPr>
                          <a:xfrm>
                            <a:off x="57150" y="0"/>
                            <a:ext cx="161925" cy="162000"/>
                            <a:chOff x="0" y="0"/>
                            <a:chExt cx="161925" cy="162000"/>
                          </a:xfrm>
                        </wpg:grpSpPr>
                        <wps:wsp>
                          <wps:cNvPr id="22796" name="Straight Connector 22079"/>
                          <wps:cNvCnPr/>
                          <wps:spPr>
                            <a:xfrm>
                              <a:off x="80963" y="0"/>
                              <a:ext cx="0" cy="162000"/>
                            </a:xfrm>
                            <a:prstGeom prst="line">
                              <a:avLst/>
                            </a:prstGeom>
                          </wps:spPr>
                          <wps:style>
                            <a:lnRef idx="1">
                              <a:schemeClr val="dk1"/>
                            </a:lnRef>
                            <a:fillRef idx="0">
                              <a:schemeClr val="dk1"/>
                            </a:fillRef>
                            <a:effectRef idx="0">
                              <a:schemeClr val="dk1"/>
                            </a:effectRef>
                            <a:fontRef idx="minor">
                              <a:schemeClr val="tx1"/>
                            </a:fontRef>
                          </wps:style>
                          <wps:bodyPr/>
                        </wps:wsp>
                        <wps:wsp>
                          <wps:cNvPr id="22797" name="Straight Connector 22080"/>
                          <wps:cNvCnPr/>
                          <wps:spPr>
                            <a:xfrm rot="16200000">
                              <a:off x="80963" y="9525"/>
                              <a:ext cx="0" cy="161925"/>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10DA7FBD" id="Group 22793" o:spid="_x0000_s1026" style="position:absolute;margin-left:180pt;margin-top:14.65pt;width:12.75pt;height:12.75pt;z-index:-251555840" coordorigin="57150" coordsize="161925,1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">
                <v:oval id="Oval 22077" o:spid="_x0000_s1027" style="position:absolute;left:104775;top:47625;width:90000;height:9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" filled="f" strokecolor="black [3213]" strokeweight="1pt">
                  <v:stroke joinstyle="miter"/>
                </v:oval>
                <v:group id="Group 22078" o:spid="_x0000_s1028" style="position:absolute;left:57150;width:161925;height:16200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">
                  <v:line id="Straight Connector 22079" o:spid="_x0000_s1029" style="position:absolute;visibility:visible;mso-wrap-style:square" from="80963,0" to="80963,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" strokecolor="black [3200]" strokeweight=".5pt">
                    <v:stroke joinstyle="miter"/>
                  </v:line>
                  <v:line id="Straight Connector 22080" o:spid="_x0000_s1030" style="position:absolute;rotation:-90;visibility:visible;mso-wrap-style:square" from="80963,9525" to="80963,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" strokecolor="black [3200]" strokeweight=".5pt">
                    <v:stroke joinstyle="miter"/>
                  </v:line>
                </v:group>
                <w10:wrap type="tight"/>
              </v:group>
            </w:pict>
          </mc:Fallback>
        </mc:AlternateContent>
      </w:r>
      <w:r w:rsidR="00BD37F8" w:rsidRPr="009D4627">
        <w:rPr>
          <w:b/>
          <w:szCs w:val="22"/>
          <w:lang w:val="en-MY"/>
        </w:rPr>
        <w:t>PCT:</w:t>
      </w:r>
      <w:r w:rsidR="00BD37F8" w:rsidRPr="009D4627">
        <w:rPr>
          <w:b/>
          <w:szCs w:val="22"/>
          <w:lang w:val="en-MY"/>
        </w:rPr>
        <w:tab/>
      </w:r>
      <w:r w:rsidR="00BD37F8" w:rsidRPr="009D4627">
        <w:rPr>
          <w:bCs/>
          <w:szCs w:val="22"/>
          <w:lang w:val="en-MY"/>
        </w:rPr>
        <w:t xml:space="preserve">with glasses </w:t>
      </w:r>
      <w:r w:rsidR="00BD37F8" w:rsidRPr="009D4627">
        <w:rPr>
          <w:bCs/>
          <w:szCs w:val="22"/>
          <w:lang w:val="en-MY"/>
        </w:rPr>
        <w:tab/>
        <w:t xml:space="preserve">1/3 m </w:t>
      </w:r>
      <w:r w:rsidR="00BD37F8" w:rsidRPr="009D4627">
        <w:rPr>
          <w:b/>
          <w:szCs w:val="22"/>
          <w:lang w:val="en-MY"/>
        </w:rPr>
        <w:tab/>
      </w:r>
      <w:r w:rsidR="00BD37F8" w:rsidRPr="009D4627">
        <w:rPr>
          <w:bCs/>
          <w:szCs w:val="22"/>
          <w:lang w:val="en-MY"/>
        </w:rPr>
        <w:t>2</w:t>
      </w:r>
      <w:r w:rsidR="00BD37F8" w:rsidRPr="009D4627">
        <w:rPr>
          <w:vertAlign w:val="superscript"/>
          <w:lang w:val="en-US"/>
        </w:rPr>
        <w:t>∆</w:t>
      </w:r>
      <w:r w:rsidR="00BD37F8" w:rsidRPr="009D4627">
        <w:rPr>
          <w:lang w:val="en-US"/>
        </w:rPr>
        <w:t xml:space="preserve"> X</w:t>
      </w:r>
    </w:p>
    <w:p w14:paraId="6CB4969A" w14:textId="77777777" w:rsidR="00BD37F8" w:rsidRPr="009D4627" w:rsidRDefault="00BD37F8" w:rsidP="00BD37F8">
      <w:pPr>
        <w:spacing w:before="0" w:after="0" w:line="240" w:lineRule="auto"/>
        <w:ind w:left="1276" w:hanging="1276"/>
        <w:rPr>
          <w:bCs/>
          <w:szCs w:val="22"/>
          <w:lang w:val="en-MY"/>
        </w:rPr>
      </w:pPr>
      <w:r w:rsidRPr="009D4627">
        <w:rPr>
          <w:b/>
          <w:szCs w:val="22"/>
          <w:lang w:val="en-MY"/>
        </w:rPr>
        <w:tab/>
      </w:r>
      <w:r w:rsidRPr="009D4627">
        <w:rPr>
          <w:b/>
          <w:szCs w:val="22"/>
          <w:lang w:val="en-MY"/>
        </w:rPr>
        <w:tab/>
      </w:r>
      <w:r w:rsidRPr="009D4627">
        <w:rPr>
          <w:b/>
          <w:szCs w:val="22"/>
          <w:lang w:val="en-MY"/>
        </w:rPr>
        <w:tab/>
      </w:r>
      <w:r w:rsidRPr="009D4627">
        <w:rPr>
          <w:bCs/>
          <w:szCs w:val="22"/>
          <w:lang w:val="en-MY"/>
        </w:rPr>
        <w:tab/>
        <w:t>6 m</w:t>
      </w:r>
    </w:p>
    <w:p w14:paraId="67029538" w14:textId="77777777" w:rsidR="00BD37F8" w:rsidRPr="009D4627" w:rsidRDefault="00BD37F8" w:rsidP="00BD37F8">
      <w:pPr>
        <w:spacing w:before="0" w:after="0" w:line="240" w:lineRule="auto"/>
        <w:ind w:left="1276" w:hanging="1276"/>
        <w:rPr>
          <w:bCs/>
          <w:szCs w:val="22"/>
          <w:lang w:val="en-MY"/>
        </w:rPr>
      </w:pPr>
      <w:r w:rsidRPr="009D4627">
        <w:rPr>
          <w:bCs/>
          <w:szCs w:val="22"/>
          <w:lang w:val="en-MY"/>
        </w:rPr>
        <w:t xml:space="preserve"> </w:t>
      </w:r>
    </w:p>
    <w:p w14:paraId="69237F40" w14:textId="77777777" w:rsidR="00BD37F8" w:rsidRPr="009D4627" w:rsidRDefault="00BD37F8" w:rsidP="00BD37F8">
      <w:pPr>
        <w:spacing w:before="0" w:after="0" w:line="240" w:lineRule="auto"/>
        <w:rPr>
          <w:b/>
          <w:szCs w:val="22"/>
          <w:lang w:val="en-MY"/>
        </w:rPr>
      </w:pPr>
      <w:r w:rsidRPr="009D4627">
        <w:rPr>
          <w:b/>
          <w:szCs w:val="22"/>
          <w:lang w:val="en-MY"/>
        </w:rPr>
        <w:t>OMT:</w:t>
      </w:r>
    </w:p>
    <w:p w14:paraId="11D5A866" w14:textId="77777777" w:rsidR="00BD37F8" w:rsidRPr="009D4627" w:rsidRDefault="00BD37F8" w:rsidP="00BD37F8">
      <w:pPr>
        <w:spacing w:before="0" w:after="0" w:line="240" w:lineRule="auto"/>
        <w:rPr>
          <w:b/>
          <w:szCs w:val="22"/>
          <w:lang w:val="en-MY"/>
        </w:rPr>
      </w:pPr>
    </w:p>
    <w:p w14:paraId="4CAA04FB" w14:textId="0C08F531" w:rsidR="00BD37F8" w:rsidRPr="009D4627" w:rsidRDefault="00A2792E" w:rsidP="00BD37F8">
      <w:pPr>
        <w:spacing w:before="0" w:after="0" w:line="240" w:lineRule="auto"/>
        <w:rPr>
          <w:b/>
          <w:szCs w:val="22"/>
          <w:lang w:val="en-MY"/>
        </w:rPr>
      </w:pPr>
      <w:r w:rsidRPr="009D4627">
        <w:rPr>
          <w:noProof/>
        </w:rPr>
        <mc:AlternateContent>
          <mc:Choice Requires="wpg">
            <w:drawing>
              <wp:anchor distT="0" distB="0" distL="114300" distR="114300" simplePos="0" relativeHeight="251761664" behindDoc="0" locked="0" layoutInCell="1" allowOverlap="1" wp14:anchorId="6CA045A0" wp14:editId="25AE9312">
                <wp:simplePos x="0" y="0"/>
                <wp:positionH relativeFrom="column">
                  <wp:posOffset>704850</wp:posOffset>
                </wp:positionH>
                <wp:positionV relativeFrom="paragraph">
                  <wp:posOffset>22225</wp:posOffset>
                </wp:positionV>
                <wp:extent cx="3314700" cy="716915"/>
                <wp:effectExtent l="0" t="0" r="0" b="6985"/>
                <wp:wrapNone/>
                <wp:docPr id="22390" name="Group 22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0" cy="716915"/>
                          <a:chOff x="0" y="0"/>
                          <a:chExt cx="33147" cy="7169"/>
                        </a:xfrm>
                      </wpg:grpSpPr>
                      <wpg:grpSp>
                        <wpg:cNvPr id="22391" name="Group 22082"/>
                        <wpg:cNvGrpSpPr>
                          <a:grpSpLocks/>
                        </wpg:cNvGrpSpPr>
                        <wpg:grpSpPr bwMode="auto">
                          <a:xfrm>
                            <a:off x="0" y="0"/>
                            <a:ext cx="30099" cy="7169"/>
                            <a:chOff x="0" y="0"/>
                            <a:chExt cx="30099" cy="7169"/>
                          </a:xfrm>
                        </wpg:grpSpPr>
                        <wpg:grpSp>
                          <wpg:cNvPr id="22392" name="Group 22083"/>
                          <wpg:cNvGrpSpPr>
                            <a:grpSpLocks/>
                          </wpg:cNvGrpSpPr>
                          <wpg:grpSpPr bwMode="auto">
                            <a:xfrm>
                              <a:off x="0" y="0"/>
                              <a:ext cx="14284" cy="7169"/>
                              <a:chOff x="0" y="0"/>
                              <a:chExt cx="14284" cy="7169"/>
                            </a:xfrm>
                          </wpg:grpSpPr>
                          <wpg:grpSp>
                            <wpg:cNvPr id="22393" name="Group 22084"/>
                            <wpg:cNvGrpSpPr>
                              <a:grpSpLocks/>
                            </wpg:cNvGrpSpPr>
                            <wpg:grpSpPr bwMode="auto">
                              <a:xfrm>
                                <a:off x="0" y="2762"/>
                                <a:ext cx="1619" cy="1620"/>
                                <a:chOff x="57150" y="0"/>
                                <a:chExt cx="161925" cy="162000"/>
                              </a:xfrm>
                            </wpg:grpSpPr>
                            <wps:wsp>
                              <wps:cNvPr id="22394" name="Oval 22085"/>
                              <wps:cNvSpPr>
                                <a:spLocks noChangeArrowheads="1"/>
                              </wps:cNvSpPr>
                              <wps:spPr bwMode="auto">
                                <a:xfrm>
                                  <a:off x="104775" y="47625"/>
                                  <a:ext cx="90000" cy="90000"/>
                                </a:xfrm>
                                <a:prstGeom prst="ellipse">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2395" name="Group 22086"/>
                              <wpg:cNvGrpSpPr>
                                <a:grpSpLocks/>
                              </wpg:cNvGrpSpPr>
                              <wpg:grpSpPr bwMode="auto">
                                <a:xfrm>
                                  <a:off x="57150" y="0"/>
                                  <a:ext cx="161925" cy="162000"/>
                                  <a:chOff x="0" y="0"/>
                                  <a:chExt cx="161925" cy="162000"/>
                                </a:xfrm>
                              </wpg:grpSpPr>
                              <wps:wsp>
                                <wps:cNvPr id="22396" name="Straight Connector 22087"/>
                                <wps:cNvCnPr>
                                  <a:cxnSpLocks noChangeShapeType="1"/>
                                </wps:cNvCnPr>
                                <wps:spPr bwMode="auto">
                                  <a:xfrm>
                                    <a:off x="80963" y="0"/>
                                    <a:ext cx="0" cy="162000"/>
                                  </a:xfrm>
                                  <a:prstGeom prst="line">
                                    <a:avLst/>
                                  </a:prstGeom>
                                  <a:noFill/>
                                  <a:ln w="6350">
                                    <a:solidFill>
                                      <a:schemeClr val="dk1">
                                        <a:lumMod val="100000"/>
                                        <a:lumOff val="0"/>
                                      </a:schemeClr>
                                    </a:solidFill>
                                    <a:miter lim="800000"/>
                                    <a:headEnd/>
                                    <a:tailEnd/>
                                  </a:ln>
                                </wps:spPr>
                                <wps:bodyPr/>
                              </wps:wsp>
                              <wps:wsp>
                                <wps:cNvPr id="22397" name="Straight Connector 22088"/>
                                <wps:cNvCnPr>
                                  <a:cxnSpLocks noChangeShapeType="1"/>
                                </wps:cNvCnPr>
                                <wps:spPr bwMode="auto">
                                  <a:xfrm rot="-5400000">
                                    <a:off x="80963" y="9525"/>
                                    <a:ext cx="0" cy="161925"/>
                                  </a:xfrm>
                                  <a:prstGeom prst="line">
                                    <a:avLst/>
                                  </a:prstGeom>
                                  <a:noFill/>
                                  <a:ln w="6350">
                                    <a:solidFill>
                                      <a:schemeClr val="dk1">
                                        <a:lumMod val="100000"/>
                                        <a:lumOff val="0"/>
                                      </a:schemeClr>
                                    </a:solidFill>
                                    <a:miter lim="800000"/>
                                    <a:headEnd/>
                                    <a:tailEnd/>
                                  </a:ln>
                                </wps:spPr>
                                <wps:bodyPr/>
                              </wps:wsp>
                            </wpg:grpSp>
                          </wpg:grpSp>
                          <wps:wsp>
                            <wps:cNvPr id="22398" name="Oval 22089"/>
                            <wps:cNvSpPr>
                              <a:spLocks noChangeArrowheads="1"/>
                            </wps:cNvSpPr>
                            <wps:spPr bwMode="auto">
                              <a:xfrm>
                                <a:off x="5143" y="0"/>
                                <a:ext cx="9141" cy="7169"/>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22399" name="Rectangle 22090"/>
                            <wps:cNvSpPr>
                              <a:spLocks noChangeArrowheads="1"/>
                            </wps:cNvSpPr>
                            <wps:spPr bwMode="auto">
                              <a:xfrm>
                                <a:off x="1809" y="1517"/>
                                <a:ext cx="2953" cy="4185"/>
                              </a:xfrm>
                              <a:prstGeom prst="rect">
                                <a:avLst/>
                              </a:prstGeom>
                              <a:noFill/>
                              <a:ln>
                                <a:noFill/>
                              </a:ln>
                            </wps:spPr>
                            <wps:txbx>
                              <w:txbxContent>
                                <w:p w14:paraId="070CBD20" w14:textId="77777777" w:rsidR="00BD37F8" w:rsidRPr="00176DD4" w:rsidRDefault="00BD37F8" w:rsidP="00BD37F8">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-¼ </w:t>
                                  </w:r>
                                </w:p>
                              </w:txbxContent>
                            </wps:txbx>
                            <wps:bodyPr rot="0" vert="horz" wrap="square" lIns="0" tIns="0" rIns="0" bIns="0" anchor="ctr" anchorCtr="0" upright="1">
                              <a:noAutofit/>
                            </wps:bodyPr>
                          </wps:wsp>
                        </wpg:grpSp>
                        <wpg:grpSp>
                          <wpg:cNvPr id="574" name="Group 22091"/>
                          <wpg:cNvGrpSpPr>
                            <a:grpSpLocks/>
                          </wpg:cNvGrpSpPr>
                          <wpg:grpSpPr bwMode="auto">
                            <a:xfrm>
                              <a:off x="18669" y="0"/>
                              <a:ext cx="11430" cy="7164"/>
                              <a:chOff x="0" y="0"/>
                              <a:chExt cx="11430" cy="7164"/>
                            </a:xfrm>
                          </wpg:grpSpPr>
                          <wpg:grpSp>
                            <wpg:cNvPr id="575" name="Group 22092"/>
                            <wpg:cNvGrpSpPr>
                              <a:grpSpLocks/>
                            </wpg:cNvGrpSpPr>
                            <wpg:grpSpPr bwMode="auto">
                              <a:xfrm>
                                <a:off x="0" y="0"/>
                                <a:ext cx="9140" cy="7164"/>
                                <a:chOff x="0" y="0"/>
                                <a:chExt cx="9140" cy="7164"/>
                              </a:xfrm>
                            </wpg:grpSpPr>
                            <wpg:grpSp>
                              <wpg:cNvPr id="576" name="Group 22093"/>
                              <wpg:cNvGrpSpPr>
                                <a:grpSpLocks/>
                              </wpg:cNvGrpSpPr>
                              <wpg:grpSpPr bwMode="auto">
                                <a:xfrm flipH="1">
                                  <a:off x="6191" y="381"/>
                                  <a:ext cx="2880" cy="6477"/>
                                  <a:chOff x="0" y="0"/>
                                  <a:chExt cx="97154" cy="434975"/>
                                </a:xfrm>
                              </wpg:grpSpPr>
                              <wps:wsp>
                                <wps:cNvPr id="577" name="Straight Connector 22094"/>
                                <wps:cNvCnPr>
                                  <a:cxnSpLocks noChangeShapeType="1"/>
                                </wps:cNvCnPr>
                                <wps:spPr bwMode="auto">
                                  <a:xfrm flipH="1">
                                    <a:off x="95250" y="0"/>
                                    <a:ext cx="0" cy="434975"/>
                                  </a:xfrm>
                                  <a:prstGeom prst="line">
                                    <a:avLst/>
                                  </a:prstGeom>
                                  <a:noFill/>
                                  <a:ln w="19050">
                                    <a:solidFill>
                                      <a:schemeClr val="tx1">
                                        <a:lumMod val="100000"/>
                                        <a:lumOff val="0"/>
                                      </a:schemeClr>
                                    </a:solidFill>
                                    <a:miter lim="800000"/>
                                    <a:headEnd/>
                                    <a:tailEnd/>
                                  </a:ln>
                                </wps:spPr>
                                <wps:bodyPr/>
                              </wps:wsp>
                              <wpg:grpSp>
                                <wpg:cNvPr id="578" name="Group 22095"/>
                                <wpg:cNvGrpSpPr>
                                  <a:grpSpLocks/>
                                </wpg:cNvGrpSpPr>
                                <wpg:grpSpPr bwMode="auto">
                                  <a:xfrm>
                                    <a:off x="0" y="0"/>
                                    <a:ext cx="97154" cy="419773"/>
                                    <a:chOff x="0" y="0"/>
                                    <a:chExt cx="97154" cy="419773"/>
                                  </a:xfrm>
                                </wpg:grpSpPr>
                                <wps:wsp>
                                  <wps:cNvPr id="579" name="Straight Connector 22096"/>
                                  <wps:cNvCnPr>
                                    <a:cxnSpLocks noChangeShapeType="1"/>
                                  </wps:cNvCnPr>
                                  <wps:spPr bwMode="auto">
                                    <a:xfrm flipH="1">
                                      <a:off x="19050" y="228600"/>
                                      <a:ext cx="70658" cy="137775"/>
                                    </a:xfrm>
                                    <a:prstGeom prst="line">
                                      <a:avLst/>
                                    </a:prstGeom>
                                    <a:noFill/>
                                    <a:ln w="19050">
                                      <a:solidFill>
                                        <a:schemeClr val="tx1">
                                          <a:lumMod val="100000"/>
                                          <a:lumOff val="0"/>
                                        </a:schemeClr>
                                      </a:solidFill>
                                      <a:miter lim="800000"/>
                                      <a:headEnd/>
                                      <a:tailEnd/>
                                    </a:ln>
                                  </wps:spPr>
                                  <wps:bodyPr/>
                                </wps:wsp>
                                <wps:wsp>
                                  <wps:cNvPr id="580" name="Straight Connector 22097"/>
                                  <wps:cNvCnPr>
                                    <a:cxnSpLocks noChangeShapeType="1"/>
                                  </wps:cNvCnPr>
                                  <wps:spPr bwMode="auto">
                                    <a:xfrm flipH="1">
                                      <a:off x="0" y="104775"/>
                                      <a:ext cx="97154" cy="152148"/>
                                    </a:xfrm>
                                    <a:prstGeom prst="line">
                                      <a:avLst/>
                                    </a:prstGeom>
                                    <a:noFill/>
                                    <a:ln w="19050">
                                      <a:solidFill>
                                        <a:schemeClr val="tx1">
                                          <a:lumMod val="100000"/>
                                          <a:lumOff val="0"/>
                                        </a:schemeClr>
                                      </a:solidFill>
                                      <a:miter lim="800000"/>
                                      <a:headEnd/>
                                      <a:tailEnd/>
                                    </a:ln>
                                  </wps:spPr>
                                  <wps:bodyPr/>
                                </wps:wsp>
                                <wps:wsp>
                                  <wps:cNvPr id="581" name="Straight Connector 22098"/>
                                  <wps:cNvCnPr>
                                    <a:cxnSpLocks noChangeShapeType="1"/>
                                  </wps:cNvCnPr>
                                  <wps:spPr bwMode="auto">
                                    <a:xfrm flipH="1">
                                      <a:off x="0" y="0"/>
                                      <a:ext cx="92738" cy="152277"/>
                                    </a:xfrm>
                                    <a:prstGeom prst="line">
                                      <a:avLst/>
                                    </a:prstGeom>
                                    <a:noFill/>
                                    <a:ln w="19050">
                                      <a:solidFill>
                                        <a:schemeClr val="tx1">
                                          <a:lumMod val="100000"/>
                                          <a:lumOff val="0"/>
                                        </a:schemeClr>
                                      </a:solidFill>
                                      <a:miter lim="800000"/>
                                      <a:headEnd/>
                                      <a:tailEnd/>
                                    </a:ln>
                                  </wps:spPr>
                                  <wps:bodyPr/>
                                </wps:wsp>
                                <wps:wsp>
                                  <wps:cNvPr id="582" name="Straight Connector 22099"/>
                                  <wps:cNvCnPr>
                                    <a:cxnSpLocks noChangeShapeType="1"/>
                                  </wps:cNvCnPr>
                                  <wps:spPr bwMode="auto">
                                    <a:xfrm flipH="1">
                                      <a:off x="57150" y="323850"/>
                                      <a:ext cx="35329" cy="95923"/>
                                    </a:xfrm>
                                    <a:prstGeom prst="line">
                                      <a:avLst/>
                                    </a:prstGeom>
                                    <a:noFill/>
                                    <a:ln w="19050">
                                      <a:solidFill>
                                        <a:schemeClr val="tx1">
                                          <a:lumMod val="100000"/>
                                          <a:lumOff val="0"/>
                                        </a:schemeClr>
                                      </a:solidFill>
                                      <a:miter lim="800000"/>
                                      <a:headEnd/>
                                      <a:tailEnd/>
                                    </a:ln>
                                  </wps:spPr>
                                  <wps:bodyPr/>
                                </wps:wsp>
                              </wpg:grpSp>
                            </wpg:grpSp>
                            <wps:wsp>
                              <wps:cNvPr id="583" name="Oval 22100"/>
                              <wps:cNvSpPr>
                                <a:spLocks noChangeArrowheads="1"/>
                              </wps:cNvSpPr>
                              <wps:spPr bwMode="auto">
                                <a:xfrm>
                                  <a:off x="0" y="0"/>
                                  <a:ext cx="9140" cy="7164"/>
                                </a:xfrm>
                                <a:prstGeom prst="ellipse">
                                  <a:avLst/>
                                </a:prstGeom>
                                <a:no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grpSp>
                          <wps:wsp>
                            <wps:cNvPr id="584" name="Rectangle 22101"/>
                            <wps:cNvSpPr>
                              <a:spLocks noChangeArrowheads="1"/>
                            </wps:cNvSpPr>
                            <wps:spPr bwMode="auto">
                              <a:xfrm>
                                <a:off x="9620" y="1333"/>
                                <a:ext cx="1810" cy="4185"/>
                              </a:xfrm>
                              <a:prstGeom prst="rect">
                                <a:avLst/>
                              </a:prstGeom>
                              <a:noFill/>
                              <a:ln>
                                <a:noFill/>
                              </a:ln>
                            </wps:spPr>
                            <wps:txbx>
                              <w:txbxContent>
                                <w:p w14:paraId="7B35A18B"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-½</w:t>
                                  </w:r>
                                </w:p>
                              </w:txbxContent>
                            </wps:txbx>
                            <wps:bodyPr rot="0" vert="horz" wrap="square" lIns="0" tIns="0" rIns="0" bIns="0" anchor="ctr" anchorCtr="0" upright="1">
                              <a:noAutofit/>
                            </wps:bodyPr>
                          </wps:wsp>
                        </wpg:grpSp>
                      </wpg:grpSp>
                      <wpg:grpSp>
                        <wpg:cNvPr id="585" name="Group 22102"/>
                        <wpg:cNvGrpSpPr>
                          <a:grpSpLocks/>
                        </wpg:cNvGrpSpPr>
                        <wpg:grpSpPr bwMode="auto">
                          <a:xfrm>
                            <a:off x="15335" y="2571"/>
                            <a:ext cx="1619" cy="1620"/>
                            <a:chOff x="57150" y="0"/>
                            <a:chExt cx="161925" cy="162000"/>
                          </a:xfrm>
                        </wpg:grpSpPr>
                        <wps:wsp>
                          <wps:cNvPr id="22784" name="Oval 22103"/>
                          <wps:cNvSpPr>
                            <a:spLocks noChangeArrowheads="1"/>
                          </wps:cNvSpPr>
                          <wps:spPr bwMode="auto">
                            <a:xfrm>
                              <a:off x="104775" y="47625"/>
                              <a:ext cx="90000" cy="90000"/>
                            </a:xfrm>
                            <a:prstGeom prst="ellipse">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2785" name="Group 22104"/>
                          <wpg:cNvGrpSpPr>
                            <a:grpSpLocks/>
                          </wpg:cNvGrpSpPr>
                          <wpg:grpSpPr bwMode="auto">
                            <a:xfrm>
                              <a:off x="57150" y="0"/>
                              <a:ext cx="161925" cy="162000"/>
                              <a:chOff x="0" y="0"/>
                              <a:chExt cx="161925" cy="162000"/>
                            </a:xfrm>
                          </wpg:grpSpPr>
                          <wps:wsp>
                            <wps:cNvPr id="22786" name="Straight Connector 22105"/>
                            <wps:cNvCnPr>
                              <a:cxnSpLocks noChangeShapeType="1"/>
                            </wps:cNvCnPr>
                            <wps:spPr bwMode="auto">
                              <a:xfrm>
                                <a:off x="80963" y="0"/>
                                <a:ext cx="0" cy="162000"/>
                              </a:xfrm>
                              <a:prstGeom prst="line">
                                <a:avLst/>
                              </a:prstGeom>
                              <a:noFill/>
                              <a:ln w="6350">
                                <a:solidFill>
                                  <a:schemeClr val="dk1">
                                    <a:lumMod val="100000"/>
                                    <a:lumOff val="0"/>
                                  </a:schemeClr>
                                </a:solidFill>
                                <a:miter lim="800000"/>
                                <a:headEnd/>
                                <a:tailEnd/>
                              </a:ln>
                            </wps:spPr>
                            <wps:bodyPr/>
                          </wps:wsp>
                          <wps:wsp>
                            <wps:cNvPr id="22787" name="Straight Connector 22106"/>
                            <wps:cNvCnPr>
                              <a:cxnSpLocks noChangeShapeType="1"/>
                            </wps:cNvCnPr>
                            <wps:spPr bwMode="auto">
                              <a:xfrm rot="-5400000">
                                <a:off x="80963" y="9525"/>
                                <a:ext cx="0" cy="161925"/>
                              </a:xfrm>
                              <a:prstGeom prst="line">
                                <a:avLst/>
                              </a:prstGeom>
                              <a:noFill/>
                              <a:ln w="6350">
                                <a:solidFill>
                                  <a:schemeClr val="dk1">
                                    <a:lumMod val="100000"/>
                                    <a:lumOff val="0"/>
                                  </a:schemeClr>
                                </a:solidFill>
                                <a:miter lim="800000"/>
                                <a:headEnd/>
                                <a:tailEnd/>
                              </a:ln>
                            </wps:spPr>
                            <wps:bodyPr/>
                          </wps:wsp>
                        </wpg:grpSp>
                      </wpg:grpSp>
                      <wpg:grpSp>
                        <wpg:cNvPr id="22788" name="Group 22107"/>
                        <wpg:cNvGrpSpPr>
                          <a:grpSpLocks/>
                        </wpg:cNvGrpSpPr>
                        <wpg:grpSpPr bwMode="auto">
                          <a:xfrm>
                            <a:off x="31527" y="2381"/>
                            <a:ext cx="1620" cy="1619"/>
                            <a:chOff x="57150" y="0"/>
                            <a:chExt cx="161925" cy="162000"/>
                          </a:xfrm>
                        </wpg:grpSpPr>
                        <wps:wsp>
                          <wps:cNvPr id="22789" name="Oval 22108"/>
                          <wps:cNvSpPr>
                            <a:spLocks noChangeArrowheads="1"/>
                          </wps:cNvSpPr>
                          <wps:spPr bwMode="auto">
                            <a:xfrm>
                              <a:off x="104775" y="47625"/>
                              <a:ext cx="90000" cy="90000"/>
                            </a:xfrm>
                            <a:prstGeom prst="ellipse">
                              <a:avLst/>
                            </a:prstGeom>
                            <a:no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g:grpSp>
                          <wpg:cNvPr id="22790" name="Group 22109"/>
                          <wpg:cNvGrpSpPr>
                            <a:grpSpLocks/>
                          </wpg:cNvGrpSpPr>
                          <wpg:grpSpPr bwMode="auto">
                            <a:xfrm>
                              <a:off x="57150" y="0"/>
                              <a:ext cx="161925" cy="162000"/>
                              <a:chOff x="0" y="0"/>
                              <a:chExt cx="161925" cy="162000"/>
                            </a:xfrm>
                          </wpg:grpSpPr>
                          <wps:wsp>
                            <wps:cNvPr id="22791" name="Straight Connector 22110"/>
                            <wps:cNvCnPr>
                              <a:cxnSpLocks noChangeShapeType="1"/>
                            </wps:cNvCnPr>
                            <wps:spPr bwMode="auto">
                              <a:xfrm>
                                <a:off x="80963" y="0"/>
                                <a:ext cx="0" cy="162000"/>
                              </a:xfrm>
                              <a:prstGeom prst="line">
                                <a:avLst/>
                              </a:prstGeom>
                              <a:noFill/>
                              <a:ln w="6350">
                                <a:solidFill>
                                  <a:schemeClr val="dk1">
                                    <a:lumMod val="100000"/>
                                    <a:lumOff val="0"/>
                                  </a:schemeClr>
                                </a:solidFill>
                                <a:miter lim="800000"/>
                                <a:headEnd/>
                                <a:tailEnd/>
                              </a:ln>
                            </wps:spPr>
                            <wps:bodyPr/>
                          </wps:wsp>
                          <wps:wsp>
                            <wps:cNvPr id="22792" name="Straight Connector 22111"/>
                            <wps:cNvCnPr>
                              <a:cxnSpLocks noChangeShapeType="1"/>
                            </wps:cNvCnPr>
                            <wps:spPr bwMode="auto">
                              <a:xfrm rot="-5400000">
                                <a:off x="80963" y="9525"/>
                                <a:ext cx="0" cy="161925"/>
                              </a:xfrm>
                              <a:prstGeom prst="line">
                                <a:avLst/>
                              </a:prstGeom>
                              <a:noFill/>
                              <a:ln w="6350">
                                <a:solidFill>
                                  <a:schemeClr val="dk1">
                                    <a:lumMod val="100000"/>
                                    <a:lumOff val="0"/>
                                  </a:schemeClr>
                                </a:solidFill>
                                <a:miter lim="800000"/>
                                <a:headEnd/>
                                <a:tailEnd/>
                              </a:ln>
                            </wps:spPr>
                            <wps:bodyPr/>
                          </wps:wsp>
                        </wpg:grpSp>
                      </wpg:grpSp>
                    </wpg:wgp>
                  </a:graphicData>
                </a:graphic>
                <wp14:sizeRelH relativeFrom="page">
                  <wp14:pctWidth>0</wp14:pctWidth>
                </wp14:sizeRelH>
                <wp14:sizeRelV relativeFrom="page">
                  <wp14:pctHeight>0</wp14:pctHeight>
                </wp14:sizeRelV>
              </wp:anchor>
            </w:drawing>
          </mc:Choice>
          <mc:Fallback>
            <w:pict>
              <v:group w14:anchorId="6CA045A0" id="Group 22390" o:spid="_x0000_s2283" style="position:absolute;left:0;text-align:left;margin-left:55.5pt;margin-top:1.75pt;width:261pt;height:56.45pt;z-index:251761664;mso-position-horizontal-relative:text;mso-position-vertical-relative:text" coordsize="33147,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">
                <v:group id="Group 22082" o:spid="_x0000_s2284" style="position:absolute;width:30099;height:7169" coordsize="30099,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">
                  <v:group id="Group 22083" o:spid="_x0000_s2285" style="position:absolute;width:14284;height:7169" coordsize="1428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">
                    <v:group id="Group 22084" o:spid="_x0000_s2286" style="position:absolute;top:2762;width:1619;height:1620" coordorigin="5715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">
                      <v:oval id="Oval 22085" o:spid="_x0000_s2287" style="position:absolute;left:104775;top:47625;width:90000;height:9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" filled="f" strokecolor="black [3213]" strokeweight="1pt">
                        <v:stroke joinstyle="miter"/>
                      </v:oval>
                      <v:group id="Group 22086" o:spid="_x0000_s2288" style="position:absolute;left:57150;width:161925;height:16200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">
                        <v:line id="Straight Connector 22087" o:spid="_x0000_s2289" style="position:absolute;visibility:visible;mso-wrap-style:square" from="80963,0" to="80963,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" strokecolor="black [3200]" strokeweight=".5pt">
                          <v:stroke joinstyle="miter"/>
                        </v:line>
                        <v:line id="Straight Connector 22088" o:spid="_x0000_s2290" style="position:absolute;rotation:-90;visibility:visible;mso-wrap-style:square" from="80963,9525" to="80963,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" strokecolor="black [3200]" strokeweight=".5pt">
                          <v:stroke joinstyle="miter"/>
                        </v:line>
                      </v:group>
                    </v:group>
                    <v:oval id="Oval 22089" o:spid="_x0000_s2291" style="position:absolute;left:5143;width:9141;height:7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" filled="f" strokecolor="black [1600]" strokeweight="1pt">
                      <v:stroke joinstyle="miter"/>
                    </v:oval>
                    <v:rect id="Rectangle 22090" o:spid="_x0000_s2292" style="position:absolute;left:1809;top:1517;width:2953;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" filled="f" stroked="f">
                      <v:textbox inset="0,0,0,0">
                        <w:txbxContent>
                          <w:p w14:paraId="070CBD20" w14:textId="77777777" w:rsidR="00BD37F8" w:rsidRPr="00176DD4" w:rsidRDefault="00BD37F8" w:rsidP="00BD37F8">
                            <w:pPr>
                              <w:spacing w:before="0" w:after="0" w:line="240" w:lineRule="auto"/>
                              <w:jc w:val="center"/>
                              <w:rPr>
                                <w:rFonts w:asciiTheme="minorHAnsi" w:hAnsiTheme="minorHAnsi" w:cstheme="minorHAnsi"/>
                                <w:sz w:val="20"/>
                                <w:szCs w:val="20"/>
                                <w:lang w:val="en-US"/>
                              </w:rPr>
                            </w:pPr>
                            <w:r>
                              <w:rPr>
                                <w:rFonts w:asciiTheme="minorHAnsi" w:hAnsiTheme="minorHAnsi" w:cstheme="minorHAnsi"/>
                                <w:sz w:val="20"/>
                                <w:szCs w:val="20"/>
                                <w:lang w:val="en-US"/>
                              </w:rPr>
                              <w:t xml:space="preserve">-¼ </w:t>
                            </w:r>
                          </w:p>
                        </w:txbxContent>
                      </v:textbox>
                    </v:rect>
                  </v:group>
                  <v:group id="Group 22091" o:spid="_x0000_s2293" style="position:absolute;left:18669;width:11430;height:7164" coordsize="11430,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group id="Group 22092" o:spid="_x0000_s2294" style="position:absolute;width:9140;height:7164" coordsize="9140,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group id="Group 22093" o:spid="_x0000_s2295" style="position:absolute;left:6191;top:381;width:2880;height:6477;flip:x" coordsize="97154,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">
                        <v:line id="Straight Connector 22094" o:spid="_x0000_s2296" style="position:absolute;flip:x;visibility:visible;mso-wrap-style:square" from="95250,0" to="95250,4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" strokecolor="black [3213]" strokeweight="1.5pt">
                          <v:stroke joinstyle="miter"/>
                        </v:line>
                        <v:group id="Group 22095" o:spid="_x0000_s2297" style="position:absolute;width:97154;height:419773" coordsize="97154,419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v:line id="Straight Connector 22096" o:spid="_x0000_s2298" style="position:absolute;flip:x;visibility:visible;mso-wrap-style:square" from="19050,228600" to="89708,366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" strokecolor="black [3213]" strokeweight="1.5pt">
                            <v:stroke joinstyle="miter"/>
                          </v:line>
                          <v:line id="Straight Connector 22097" o:spid="_x0000_s2299" style="position:absolute;flip:x;visibility:visible;mso-wrap-style:square" from="0,104775" to="97154,256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" strokecolor="black [3213]" strokeweight="1.5pt">
                            <v:stroke joinstyle="miter"/>
                          </v:line>
                          <v:line id="Straight Connector 22098" o:spid="_x0000_s2300" style="position:absolute;flip:x;visibility:visible;mso-wrap-style:square" from="0,0" to="92738,15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" strokecolor="black [3213]" strokeweight="1.5pt">
                            <v:stroke joinstyle="miter"/>
                          </v:line>
                          <v:line id="Straight Connector 22099" o:spid="_x0000_s2301" style="position:absolute;flip:x;visibility:visible;mso-wrap-style:square" from="57150,323850" to="92479,419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" strokecolor="black [3213]" strokeweight="1.5pt">
                            <v:stroke joinstyle="miter"/>
                          </v:line>
                        </v:group>
                      </v:group>
                      <v:oval id="Oval 22100" o:spid="_x0000_s2302" style="position:absolute;width:9140;height:7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" filled="f" strokecolor="black [1600]" strokeweight="1pt">
                        <v:stroke joinstyle="miter"/>
                      </v:oval>
                    </v:group>
                    <v:rect id="Rectangle 22101" o:spid="_x0000_s2303" style="position:absolute;left:9620;top:1333;width:1810;height:4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" filled="f" stroked="f">
                      <v:textbox inset="0,0,0,0">
                        <w:txbxContent>
                          <w:p w14:paraId="7B35A18B" w14:textId="77777777" w:rsidR="00BD37F8" w:rsidRPr="001062E7" w:rsidRDefault="00BD37F8" w:rsidP="00BD37F8">
                            <w:pPr>
                              <w:spacing w:before="0" w:after="0" w:line="240" w:lineRule="auto"/>
                              <w:jc w:val="left"/>
                              <w:rPr>
                                <w:rFonts w:asciiTheme="minorHAnsi" w:hAnsiTheme="minorHAnsi"/>
                                <w:sz w:val="20"/>
                                <w:szCs w:val="20"/>
                                <w:lang w:val="en-US"/>
                              </w:rPr>
                            </w:pPr>
                            <w:r>
                              <w:rPr>
                                <w:rFonts w:asciiTheme="minorHAnsi" w:hAnsiTheme="minorHAnsi"/>
                                <w:sz w:val="20"/>
                                <w:szCs w:val="20"/>
                                <w:lang w:val="en-US"/>
                              </w:rPr>
                              <w:t>-½</w:t>
                            </w:r>
                          </w:p>
                        </w:txbxContent>
                      </v:textbox>
                    </v:rect>
                  </v:group>
                </v:group>
                <v:group id="Group 22102" o:spid="_x0000_s2304" style="position:absolute;left:15335;top:2571;width:1619;height:1620" coordorigin="5715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oval id="Oval 22103" o:spid="_x0000_s2305" style="position:absolute;left:104775;top:47625;width:90000;height:9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" filled="f" strokecolor="black [3213]" strokeweight="1pt">
                    <v:stroke joinstyle="miter"/>
                  </v:oval>
                  <v:group id="Group 22104" o:spid="_x0000_s2306" style="position:absolute;left:57150;width:161925;height:16200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">
                    <v:line id="Straight Connector 22105" o:spid="_x0000_s2307" style="position:absolute;visibility:visible;mso-wrap-style:square" from="80963,0" to="80963,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" strokecolor="black [3200]" strokeweight=".5pt">
                      <v:stroke joinstyle="miter"/>
                    </v:line>
                    <v:line id="Straight Connector 22106" o:spid="_x0000_s2308" style="position:absolute;rotation:-90;visibility:visible;mso-wrap-style:square" from="80963,9525" to="80963,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" strokecolor="black [3200]" strokeweight=".5pt">
                      <v:stroke joinstyle="miter"/>
                    </v:line>
                  </v:group>
                </v:group>
                <v:group id="Group 22107" o:spid="_x0000_s2309" style="position:absolute;left:31527;top:2381;width:1620;height:1619" coordorigin="5715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">
                  <v:oval id="Oval 22108" o:spid="_x0000_s2310" style="position:absolute;left:104775;top:47625;width:90000;height:9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" filled="f" strokecolor="black [3213]" strokeweight="1pt">
                    <v:stroke joinstyle="miter"/>
                  </v:oval>
                  <v:group id="Group 22109" o:spid="_x0000_s2311" style="position:absolute;left:57150;width:161925;height:162000" coordsize="161925,1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">
                    <v:line id="Straight Connector 22110" o:spid="_x0000_s2312" style="position:absolute;visibility:visible;mso-wrap-style:square" from="80963,0" to="80963,1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" strokecolor="black [3200]" strokeweight=".5pt">
                      <v:stroke joinstyle="miter"/>
                    </v:line>
                    <v:line id="Straight Connector 22111" o:spid="_x0000_s2313" style="position:absolute;rotation:-90;visibility:visible;mso-wrap-style:square" from="80963,9525" to="80963,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" strokecolor="black [3200]" strokeweight=".5pt">
                      <v:stroke joinstyle="miter"/>
                    </v:line>
                  </v:group>
                </v:group>
              </v:group>
            </w:pict>
          </mc:Fallback>
        </mc:AlternateContent>
      </w:r>
    </w:p>
    <w:p w14:paraId="318DE64E" w14:textId="77777777" w:rsidR="00BD37F8" w:rsidRPr="009D4627" w:rsidRDefault="00BD37F8" w:rsidP="00BD37F8">
      <w:pPr>
        <w:spacing w:before="0" w:after="0" w:line="240" w:lineRule="auto"/>
        <w:rPr>
          <w:b/>
          <w:szCs w:val="22"/>
          <w:lang w:val="en-MY"/>
        </w:rPr>
      </w:pPr>
    </w:p>
    <w:p w14:paraId="2BC8FF00" w14:textId="77777777" w:rsidR="00BD37F8" w:rsidRPr="009D4627" w:rsidRDefault="00BD37F8" w:rsidP="00BD37F8">
      <w:pPr>
        <w:spacing w:before="0" w:after="0" w:line="240" w:lineRule="auto"/>
        <w:rPr>
          <w:b/>
          <w:szCs w:val="22"/>
          <w:lang w:val="en-MY"/>
        </w:rPr>
      </w:pPr>
    </w:p>
    <w:p w14:paraId="58EB7379" w14:textId="77777777" w:rsidR="00BD37F8" w:rsidRPr="009D4627" w:rsidRDefault="00BD37F8" w:rsidP="00BD37F8">
      <w:pPr>
        <w:spacing w:before="0" w:after="0" w:line="240" w:lineRule="auto"/>
        <w:rPr>
          <w:b/>
          <w:szCs w:val="22"/>
          <w:lang w:val="en-MY"/>
        </w:rPr>
      </w:pPr>
    </w:p>
    <w:p w14:paraId="5BB9C5F1" w14:textId="77777777" w:rsidR="00BD37F8" w:rsidRPr="009D4627" w:rsidRDefault="00BD37F8" w:rsidP="00BD37F8">
      <w:pPr>
        <w:spacing w:before="0" w:after="0" w:line="240" w:lineRule="auto"/>
        <w:rPr>
          <w:b/>
          <w:szCs w:val="22"/>
          <w:lang w:val="en-MY"/>
        </w:rPr>
      </w:pPr>
    </w:p>
    <w:p w14:paraId="00EB985B" w14:textId="77777777" w:rsidR="00BD37F8" w:rsidRPr="009D4627" w:rsidRDefault="00BD37F8" w:rsidP="00BD37F8">
      <w:pPr>
        <w:spacing w:before="0" w:after="0" w:line="240" w:lineRule="auto"/>
        <w:rPr>
          <w:bCs/>
          <w:szCs w:val="22"/>
          <w:lang w:val="en-MY"/>
        </w:rPr>
      </w:pPr>
      <w:r w:rsidRPr="009D4627">
        <w:rPr>
          <w:bCs/>
          <w:szCs w:val="22"/>
          <w:lang w:val="en-MY"/>
        </w:rPr>
        <w:t xml:space="preserve">Patient very talkative + laughing throughout OMT </w:t>
      </w:r>
      <w:proofErr w:type="spellStart"/>
      <w:r w:rsidRPr="009D4627">
        <w:rPr>
          <w:bCs/>
          <w:szCs w:val="22"/>
          <w:lang w:val="en-MY"/>
        </w:rPr>
        <w:t>measuremets</w:t>
      </w:r>
      <w:proofErr w:type="spellEnd"/>
    </w:p>
    <w:p w14:paraId="69407A74" w14:textId="77777777" w:rsidR="00BD37F8" w:rsidRPr="009D4627" w:rsidRDefault="00BD37F8" w:rsidP="00BD37F8">
      <w:pPr>
        <w:spacing w:before="0" w:after="0" w:line="240" w:lineRule="auto"/>
        <w:ind w:left="720" w:firstLine="720"/>
        <w:rPr>
          <w:bCs/>
          <w:szCs w:val="22"/>
          <w:lang w:val="en-MY"/>
        </w:rPr>
      </w:pPr>
      <w:r w:rsidRPr="009D4627">
        <w:rPr>
          <w:bCs/>
          <w:szCs w:val="22"/>
          <w:lang w:val="en-MY"/>
        </w:rPr>
        <w:tab/>
      </w:r>
    </w:p>
    <w:p w14:paraId="69A6921A" w14:textId="77777777" w:rsidR="00BD37F8" w:rsidRPr="009D4627" w:rsidRDefault="00BD37F8" w:rsidP="00BD37F8">
      <w:pPr>
        <w:spacing w:before="0" w:after="0" w:line="240" w:lineRule="auto"/>
        <w:ind w:left="2160" w:hanging="2160"/>
        <w:rPr>
          <w:b/>
          <w:bCs/>
          <w:szCs w:val="22"/>
          <w:lang w:val="en-MY"/>
        </w:rPr>
      </w:pPr>
      <w:r w:rsidRPr="009D4627">
        <w:rPr>
          <w:b/>
          <w:bCs/>
          <w:szCs w:val="22"/>
          <w:lang w:val="en-MY"/>
        </w:rPr>
        <w:t xml:space="preserve">Assessment &amp; plan: </w:t>
      </w:r>
      <w:r w:rsidRPr="009D4627">
        <w:rPr>
          <w:b/>
          <w:bCs/>
          <w:szCs w:val="22"/>
          <w:lang w:val="en-MY"/>
        </w:rPr>
        <w:tab/>
      </w:r>
    </w:p>
    <w:p w14:paraId="363FCC35" w14:textId="77777777" w:rsidR="00BD37F8" w:rsidRPr="009D4627" w:rsidRDefault="00BD37F8" w:rsidP="00C171FA">
      <w:pPr>
        <w:pStyle w:val="ListParagraph"/>
        <w:numPr>
          <w:ilvl w:val="0"/>
          <w:numId w:val="103"/>
        </w:numPr>
        <w:spacing w:before="0" w:after="0" w:line="240" w:lineRule="auto"/>
        <w:rPr>
          <w:szCs w:val="22"/>
          <w:lang w:val="en-MY"/>
        </w:rPr>
      </w:pPr>
      <w:r w:rsidRPr="009D4627">
        <w:rPr>
          <w:szCs w:val="22"/>
          <w:lang w:val="en-MY"/>
        </w:rPr>
        <w:t>L sixth nerve palsy</w:t>
      </w:r>
      <w:proofErr w:type="gramStart"/>
      <w:r w:rsidRPr="009D4627">
        <w:rPr>
          <w:szCs w:val="22"/>
          <w:lang w:val="en-MY"/>
        </w:rPr>
        <w:t>. ?</w:t>
      </w:r>
      <w:proofErr w:type="gramEnd"/>
      <w:r w:rsidRPr="009D4627">
        <w:rPr>
          <w:szCs w:val="22"/>
          <w:lang w:val="en-MY"/>
        </w:rPr>
        <w:t xml:space="preserve"> cause</w:t>
      </w:r>
    </w:p>
    <w:p w14:paraId="17EFA028" w14:textId="77777777" w:rsidR="00A11E21" w:rsidRPr="00A11E21" w:rsidRDefault="00BD37F8" w:rsidP="00E35807">
      <w:pPr>
        <w:pStyle w:val="ListParagraph"/>
        <w:numPr>
          <w:ilvl w:val="0"/>
          <w:numId w:val="103"/>
        </w:numPr>
        <w:spacing w:before="0" w:after="0" w:line="240" w:lineRule="auto"/>
      </w:pPr>
      <w:r w:rsidRPr="00A11E21">
        <w:rPr>
          <w:szCs w:val="22"/>
          <w:lang w:val="en-MY"/>
        </w:rPr>
        <w:t>10</w:t>
      </w:r>
      <w:r w:rsidRPr="00A11E21">
        <w:rPr>
          <w:szCs w:val="22"/>
          <w:vertAlign w:val="superscript"/>
          <w:lang w:val="en-MY"/>
        </w:rPr>
        <w:t>∆</w:t>
      </w:r>
      <w:r w:rsidRPr="00A11E21">
        <w:rPr>
          <w:szCs w:val="22"/>
          <w:lang w:val="en-MY"/>
        </w:rPr>
        <w:t xml:space="preserve"> BO </w:t>
      </w:r>
      <w:proofErr w:type="spellStart"/>
      <w:r w:rsidRPr="00A11E21">
        <w:rPr>
          <w:szCs w:val="22"/>
          <w:lang w:val="en-MY"/>
        </w:rPr>
        <w:t>fresnel</w:t>
      </w:r>
      <w:proofErr w:type="spellEnd"/>
      <w:r w:rsidRPr="00A11E21">
        <w:rPr>
          <w:szCs w:val="22"/>
          <w:lang w:val="en-MY"/>
        </w:rPr>
        <w:t xml:space="preserve"> fitted to L </w:t>
      </w:r>
      <w:proofErr w:type="spellStart"/>
      <w:r w:rsidRPr="00A11E21">
        <w:rPr>
          <w:szCs w:val="22"/>
          <w:lang w:val="en-MY"/>
        </w:rPr>
        <w:t>plano</w:t>
      </w:r>
      <w:proofErr w:type="spellEnd"/>
      <w:r w:rsidRPr="00A11E21">
        <w:rPr>
          <w:szCs w:val="22"/>
          <w:lang w:val="en-MY"/>
        </w:rPr>
        <w:t xml:space="preserve"> lens</w:t>
      </w:r>
    </w:p>
    <w:p w14:paraId="44436C56" w14:textId="428F8BB6" w:rsidR="00BD37F8" w:rsidRPr="009D4627" w:rsidRDefault="00BD37F8" w:rsidP="00E35807">
      <w:pPr>
        <w:pStyle w:val="ListParagraph"/>
        <w:numPr>
          <w:ilvl w:val="0"/>
          <w:numId w:val="103"/>
        </w:numPr>
        <w:spacing w:before="0" w:after="0" w:line="240" w:lineRule="auto"/>
      </w:pPr>
      <w:r w:rsidRPr="009D4627">
        <w:t>Review 2-3/52</w:t>
      </w:r>
    </w:p>
    <w:bookmarkEnd w:id="675"/>
    <w:p w14:paraId="24A7F221" w14:textId="5EDFEC9B" w:rsidR="00A76311" w:rsidRPr="009D4627" w:rsidRDefault="00A76311" w:rsidP="00A11E21">
      <w:pPr>
        <w:pStyle w:val="ListParagraph"/>
        <w:spacing w:before="0" w:after="0" w:line="240" w:lineRule="auto"/>
        <w:jc w:val="left"/>
      </w:pPr>
    </w:p>
    <w:p w14:paraId="0CF1644A" w14:textId="77777777" w:rsidR="00A76311" w:rsidRPr="009D4627" w:rsidRDefault="00A76311" w:rsidP="00A76311">
      <w:pPr>
        <w:spacing w:before="0" w:after="0" w:line="240" w:lineRule="auto"/>
        <w:jc w:val="left"/>
      </w:pPr>
    </w:p>
    <w:p w14:paraId="4501CAEE" w14:textId="77777777" w:rsidR="00A76311" w:rsidRPr="009D4627" w:rsidRDefault="00A76311" w:rsidP="00A76311">
      <w:pPr>
        <w:spacing w:before="0" w:after="0" w:line="240" w:lineRule="auto"/>
        <w:sectPr w:rsidR="00A76311" w:rsidRPr="009D4627" w:rsidSect="00477959">
          <w:headerReference w:type="default" r:id="rId293"/>
          <w:pgSz w:w="11906" w:h="16838" w:code="9"/>
          <w:pgMar w:top="1440" w:right="1440" w:bottom="1440" w:left="1440" w:header="708" w:footer="708" w:gutter="0"/>
          <w:cols w:space="708"/>
          <w:docGrid w:linePitch="360"/>
        </w:sectPr>
      </w:pPr>
    </w:p>
    <w:p w14:paraId="36BEC1A1" w14:textId="51EA5412" w:rsidR="00A11E21" w:rsidRDefault="007325F6" w:rsidP="00C4130D">
      <w:pPr>
        <w:pStyle w:val="Caption"/>
      </w:pPr>
      <w:bookmarkStart w:id="676" w:name="_Toc99356742"/>
      <w:bookmarkStart w:id="677" w:name="_Toc73355032"/>
      <w:r w:rsidRPr="009D4627">
        <w:lastRenderedPageBreak/>
        <w:t>Appendix 6.</w:t>
      </w:r>
      <w:r w:rsidR="002E63E9" w:rsidRPr="009D4627">
        <w:fldChar w:fldCharType="begin"/>
      </w:r>
      <w:r w:rsidR="002E63E9" w:rsidRPr="009D4627">
        <w:instrText xml:space="preserve"> SEQ Appendix_6. \* ARABIC </w:instrText>
      </w:r>
      <w:r w:rsidR="002E63E9" w:rsidRPr="009D4627">
        <w:fldChar w:fldCharType="separate"/>
      </w:r>
      <w:r w:rsidR="00E268F6">
        <w:rPr>
          <w:noProof/>
        </w:rPr>
        <w:t>10</w:t>
      </w:r>
      <w:r w:rsidR="002E63E9" w:rsidRPr="009D4627">
        <w:rPr>
          <w:noProof/>
        </w:rPr>
        <w:fldChar w:fldCharType="end"/>
      </w:r>
      <w:r w:rsidR="00A76311" w:rsidRPr="009D4627">
        <w:t xml:space="preserve">: </w:t>
      </w:r>
      <w:r w:rsidR="00CE6626" w:rsidRPr="009D4627">
        <w:t>Patient ID: 10</w:t>
      </w:r>
      <w:bookmarkEnd w:id="676"/>
      <w:r w:rsidR="00CE6626" w:rsidRPr="009D4627">
        <w:t xml:space="preserve"> </w:t>
      </w:r>
      <w:r w:rsidR="002312ED">
        <w:t xml:space="preserve">               </w:t>
      </w:r>
      <w:r w:rsidR="005D77C1">
        <w:t xml:space="preserve">   </w:t>
      </w:r>
    </w:p>
    <w:p w14:paraId="44D83853" w14:textId="77777777" w:rsidR="00A11E21" w:rsidRDefault="00CE6626" w:rsidP="00C4130D">
      <w:pPr>
        <w:pStyle w:val="Caption"/>
      </w:pPr>
      <w:r w:rsidRPr="009D4627">
        <w:t>Birth month/year: 01/1954</w:t>
      </w:r>
      <w:r w:rsidRPr="009D4627">
        <w:tab/>
      </w:r>
      <w:r w:rsidR="005D77C1">
        <w:t xml:space="preserve">     </w:t>
      </w:r>
    </w:p>
    <w:p w14:paraId="12F23B9B" w14:textId="4F171D9F" w:rsidR="00CE6626" w:rsidRPr="009D4627" w:rsidRDefault="00CE6626" w:rsidP="00C4130D">
      <w:pPr>
        <w:pStyle w:val="Caption"/>
      </w:pPr>
      <w:r w:rsidRPr="009D4627">
        <w:t>Age: 65 at onset</w:t>
      </w:r>
    </w:p>
    <w:p w14:paraId="71E56852" w14:textId="77777777" w:rsidR="00CE6626" w:rsidRPr="009D4627" w:rsidRDefault="00CE6626" w:rsidP="00CE6626">
      <w:pPr>
        <w:spacing w:before="0" w:after="0" w:line="240" w:lineRule="auto"/>
        <w:rPr>
          <w:rFonts w:eastAsia="Calibri"/>
          <w:b/>
          <w:szCs w:val="22"/>
          <w:lang w:val="en-MY"/>
        </w:rPr>
      </w:pPr>
    </w:p>
    <w:p w14:paraId="08E008C7" w14:textId="77777777" w:rsidR="00CE6626" w:rsidRPr="009D4627" w:rsidRDefault="00CE6626" w:rsidP="00CE6626">
      <w:pPr>
        <w:spacing w:before="0" w:after="0" w:line="240" w:lineRule="auto"/>
        <w:rPr>
          <w:rFonts w:eastAsia="Calibri"/>
          <w:bCs/>
          <w:szCs w:val="22"/>
          <w:u w:val="single"/>
          <w:lang w:val="en-MY"/>
        </w:rPr>
      </w:pPr>
      <w:r w:rsidRPr="009D4627">
        <w:rPr>
          <w:rFonts w:eastAsia="Calibri"/>
          <w:b/>
          <w:szCs w:val="22"/>
          <w:u w:val="single"/>
          <w:lang w:val="en-MY"/>
        </w:rPr>
        <w:t xml:space="preserve">Clinical visit 1: </w:t>
      </w:r>
      <w:r w:rsidRPr="009D4627">
        <w:rPr>
          <w:rFonts w:eastAsia="Calibri"/>
          <w:bCs/>
          <w:szCs w:val="22"/>
          <w:u w:val="single"/>
          <w:lang w:val="en-MY"/>
        </w:rPr>
        <w:t>14/06/2019 (</w:t>
      </w:r>
      <w:r w:rsidRPr="009D4627">
        <w:rPr>
          <w:rFonts w:eastAsia="Calibri"/>
          <w:bCs/>
          <w:color w:val="auto"/>
          <w:szCs w:val="22"/>
          <w:u w:val="single"/>
          <w:lang w:val="en-MY"/>
        </w:rPr>
        <w:t>3 days from onset</w:t>
      </w:r>
      <w:r w:rsidRPr="009D4627">
        <w:rPr>
          <w:rFonts w:eastAsia="Calibri"/>
          <w:bCs/>
          <w:szCs w:val="22"/>
          <w:u w:val="single"/>
          <w:lang w:val="en-MY"/>
        </w:rPr>
        <w:t>) - Orthoptic assessment</w:t>
      </w:r>
    </w:p>
    <w:p w14:paraId="15BD7EDB" w14:textId="77777777" w:rsidR="00CE6626" w:rsidRPr="009D4627" w:rsidRDefault="00CE6626" w:rsidP="00CE6626">
      <w:pPr>
        <w:spacing w:before="0" w:after="0" w:line="240" w:lineRule="auto"/>
        <w:rPr>
          <w:rFonts w:eastAsia="Calibri"/>
          <w:bCs/>
          <w:szCs w:val="22"/>
          <w:u w:val="single"/>
          <w:lang w:val="en-MY"/>
        </w:rPr>
      </w:pPr>
    </w:p>
    <w:p w14:paraId="21B852C1" w14:textId="77777777" w:rsidR="00CE6626" w:rsidRPr="009D4627" w:rsidRDefault="00CE6626" w:rsidP="00CE6626">
      <w:pPr>
        <w:spacing w:before="0" w:after="0" w:line="240" w:lineRule="auto"/>
        <w:ind w:left="851" w:hanging="851"/>
        <w:rPr>
          <w:rFonts w:eastAsia="Calibri"/>
          <w:bCs/>
          <w:szCs w:val="22"/>
          <w:lang w:val="en-MY"/>
        </w:rPr>
      </w:pPr>
      <w:r w:rsidRPr="009D4627">
        <w:rPr>
          <w:rFonts w:eastAsia="Calibri"/>
          <w:b/>
          <w:szCs w:val="22"/>
          <w:lang w:val="en-MY"/>
        </w:rPr>
        <w:t xml:space="preserve">History: </w:t>
      </w:r>
      <w:r w:rsidRPr="009D4627">
        <w:rPr>
          <w:rFonts w:eastAsia="Calibri"/>
          <w:bCs/>
          <w:szCs w:val="22"/>
          <w:lang w:val="en-MY"/>
        </w:rPr>
        <w:t xml:space="preserve">c/o constant horizontal diplopia, worse at distance fixation.  </w:t>
      </w:r>
    </w:p>
    <w:p w14:paraId="374B7C9F" w14:textId="77777777" w:rsidR="00CE6626" w:rsidRPr="009D4627" w:rsidRDefault="00CE6626" w:rsidP="00CE6626">
      <w:pPr>
        <w:spacing w:before="0" w:after="0" w:line="240" w:lineRule="auto"/>
        <w:ind w:left="851" w:hanging="131"/>
        <w:rPr>
          <w:rFonts w:eastAsia="Calibri"/>
          <w:b/>
          <w:szCs w:val="22"/>
          <w:lang w:val="en-MY"/>
        </w:rPr>
      </w:pPr>
      <w:r w:rsidRPr="009D4627">
        <w:rPr>
          <w:rFonts w:eastAsia="Calibri"/>
          <w:bCs/>
          <w:szCs w:val="22"/>
          <w:lang w:val="en-MY"/>
        </w:rPr>
        <w:t xml:space="preserve">  </w:t>
      </w:r>
    </w:p>
    <w:p w14:paraId="65F8B6AD"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 xml:space="preserve">Previous treatment: </w:t>
      </w:r>
      <w:r w:rsidRPr="009D4627">
        <w:rPr>
          <w:rFonts w:eastAsia="Calibri"/>
          <w:bCs/>
          <w:szCs w:val="22"/>
          <w:lang w:val="en-MY"/>
        </w:rPr>
        <w:t>NIL</w:t>
      </w:r>
    </w:p>
    <w:p w14:paraId="1184FFAA" w14:textId="77777777" w:rsidR="00CE6626" w:rsidRPr="009D4627" w:rsidRDefault="00CE6626" w:rsidP="00CE6626">
      <w:pPr>
        <w:spacing w:before="0" w:after="0" w:line="240" w:lineRule="auto"/>
        <w:rPr>
          <w:rFonts w:eastAsia="Calibri"/>
          <w:szCs w:val="22"/>
          <w:lang w:val="en-MY"/>
        </w:rPr>
      </w:pPr>
    </w:p>
    <w:p w14:paraId="3650D70E"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General health: </w:t>
      </w:r>
      <w:r w:rsidRPr="009D4627">
        <w:rPr>
          <w:rFonts w:eastAsia="Calibri"/>
          <w:szCs w:val="22"/>
          <w:lang w:val="en-MY"/>
        </w:rPr>
        <w:t xml:space="preserve">Diabetes mellitus and paroxysmal </w:t>
      </w:r>
      <w:proofErr w:type="spellStart"/>
      <w:r w:rsidRPr="009D4627">
        <w:rPr>
          <w:rFonts w:eastAsia="Calibri"/>
          <w:szCs w:val="22"/>
          <w:lang w:val="en-MY"/>
        </w:rPr>
        <w:t>strial</w:t>
      </w:r>
      <w:proofErr w:type="spellEnd"/>
      <w:r w:rsidRPr="009D4627">
        <w:rPr>
          <w:rFonts w:eastAsia="Calibri"/>
          <w:szCs w:val="22"/>
          <w:lang w:val="en-MY"/>
        </w:rPr>
        <w:t xml:space="preserve"> fibrillation.</w:t>
      </w:r>
    </w:p>
    <w:p w14:paraId="5656F3B3" w14:textId="77777777" w:rsidR="00CE6626" w:rsidRPr="009D4627" w:rsidRDefault="00CE6626" w:rsidP="00CE6626">
      <w:pPr>
        <w:spacing w:before="0" w:after="0" w:line="240" w:lineRule="auto"/>
        <w:rPr>
          <w:rFonts w:eastAsia="Calibri"/>
          <w:b/>
          <w:szCs w:val="22"/>
          <w:lang w:val="en-MY"/>
        </w:rPr>
      </w:pPr>
    </w:p>
    <w:p w14:paraId="60CFFC08" w14:textId="49CAEF81"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unaided </w:t>
      </w:r>
      <w:r w:rsidRPr="009D4627">
        <w:rPr>
          <w:rFonts w:eastAsia="Calibri"/>
          <w:bCs/>
          <w:szCs w:val="22"/>
          <w:lang w:val="en-MY"/>
        </w:rPr>
        <w:tab/>
        <w:t>RE 0.18</w:t>
      </w:r>
      <w:r w:rsidRPr="009D4627">
        <w:rPr>
          <w:rFonts w:eastAsia="Calibri"/>
          <w:bCs/>
          <w:szCs w:val="22"/>
          <w:lang w:val="en-MY"/>
        </w:rPr>
        <w:tab/>
      </w:r>
      <w:r w:rsidRPr="009D4627">
        <w:rPr>
          <w:rFonts w:eastAsia="Calibri"/>
          <w:bCs/>
          <w:szCs w:val="22"/>
          <w:lang w:val="en-MY"/>
        </w:rPr>
        <w:tab/>
        <w:t xml:space="preserve">LE 0.10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2604AF3A"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Pr="009D4627">
        <w:rPr>
          <w:rFonts w:eastAsia="Calibri"/>
          <w:bCs/>
          <w:szCs w:val="22"/>
          <w:lang w:val="en-MY"/>
        </w:rPr>
        <w:t>6/9.5</w:t>
      </w:r>
      <w:r w:rsidRPr="009D4627">
        <w:rPr>
          <w:rFonts w:eastAsia="Calibri"/>
          <w:bCs/>
          <w:szCs w:val="22"/>
          <w:vertAlign w:val="superscript"/>
          <w:lang w:val="en-MY"/>
        </w:rPr>
        <w:t>-1</w:t>
      </w:r>
      <w:r w:rsidRPr="009D4627">
        <w:rPr>
          <w:rFonts w:eastAsia="Calibri"/>
          <w:bCs/>
          <w:szCs w:val="22"/>
          <w:lang w:val="en-MY"/>
        </w:rPr>
        <w:tab/>
      </w:r>
      <w:r w:rsidRPr="009D4627">
        <w:rPr>
          <w:rFonts w:eastAsia="Calibri"/>
          <w:bCs/>
          <w:szCs w:val="22"/>
          <w:lang w:val="en-MY"/>
        </w:rPr>
        <w:tab/>
        <w:t xml:space="preserve">     6/7.5 </w:t>
      </w:r>
      <w:r w:rsidRPr="009D4627">
        <w:rPr>
          <w:rFonts w:eastAsia="Calibri"/>
          <w:bCs/>
          <w:szCs w:val="22"/>
          <w:lang w:val="en-MY"/>
        </w:rPr>
        <w:tab/>
        <w:t>Snellen equivalent</w:t>
      </w:r>
    </w:p>
    <w:p w14:paraId="1CC30243" w14:textId="77777777" w:rsidR="00CE6626" w:rsidRPr="009D4627" w:rsidRDefault="00CE6626" w:rsidP="00CE6626">
      <w:pPr>
        <w:spacing w:before="0" w:after="0" w:line="240" w:lineRule="auto"/>
        <w:rPr>
          <w:rFonts w:eastAsia="Calibri"/>
          <w:bCs/>
          <w:szCs w:val="22"/>
          <w:lang w:val="en-MY"/>
        </w:rPr>
      </w:pPr>
    </w:p>
    <w:p w14:paraId="003A950B"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t>with PH</w:t>
      </w:r>
      <w:r w:rsidRPr="009D4627">
        <w:rPr>
          <w:rFonts w:eastAsia="Calibri"/>
          <w:bCs/>
          <w:szCs w:val="22"/>
          <w:lang w:val="en-MY"/>
        </w:rPr>
        <w:tab/>
        <w:t>RE 0.12</w:t>
      </w:r>
    </w:p>
    <w:p w14:paraId="62746C29"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6/7.5-1 </w:t>
      </w:r>
    </w:p>
    <w:p w14:paraId="27663E55" w14:textId="77777777" w:rsidR="00CE6626" w:rsidRPr="009D4627" w:rsidRDefault="00CE6626" w:rsidP="00CE6626">
      <w:pPr>
        <w:spacing w:before="0" w:after="0" w:line="240" w:lineRule="auto"/>
        <w:rPr>
          <w:rFonts w:eastAsia="Calibri"/>
          <w:bCs/>
          <w:szCs w:val="22"/>
          <w:lang w:val="en-MY"/>
        </w:rPr>
      </w:pPr>
    </w:p>
    <w:p w14:paraId="18721826" w14:textId="58830D3C" w:rsidR="00CE6626" w:rsidRPr="009D4627" w:rsidRDefault="00CE6626" w:rsidP="00CE6626">
      <w:pPr>
        <w:spacing w:before="0" w:after="0" w:line="240" w:lineRule="auto"/>
        <w:ind w:left="1276" w:hanging="1276"/>
        <w:rPr>
          <w:rFonts w:eastAsia="Calibri"/>
          <w:b/>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b/>
          <w:szCs w:val="22"/>
          <w:lang w:val="en-MY"/>
        </w:rPr>
        <w:tab/>
      </w:r>
      <w:r w:rsidRPr="009D4627">
        <w:rPr>
          <w:rFonts w:eastAsia="Calibri"/>
          <w:bCs/>
          <w:szCs w:val="22"/>
          <w:lang w:val="en-MY"/>
        </w:rPr>
        <w:t>with readers</w:t>
      </w:r>
      <w:r w:rsidR="00730570">
        <w:rPr>
          <w:rFonts w:eastAsia="Calibri"/>
          <w:bCs/>
          <w:szCs w:val="22"/>
          <w:lang w:val="en-MY"/>
        </w:rPr>
        <w:tab/>
      </w:r>
      <w:r w:rsidRPr="009D4627">
        <w:rPr>
          <w:rFonts w:eastAsia="Calibri"/>
          <w:bCs/>
          <w:szCs w:val="22"/>
          <w:lang w:val="en-MY"/>
        </w:rPr>
        <w:t xml:space="preserve">1/3 m </w:t>
      </w:r>
      <w:r w:rsidR="00730570">
        <w:rPr>
          <w:rFonts w:eastAsia="Calibri"/>
          <w:bCs/>
          <w:szCs w:val="22"/>
          <w:lang w:val="en-MY"/>
        </w:rPr>
        <w:tab/>
      </w:r>
      <w:r w:rsidRPr="009D4627">
        <w:rPr>
          <w:rFonts w:eastAsia="Calibri"/>
          <w:bCs/>
          <w:szCs w:val="22"/>
          <w:lang w:val="en-MY"/>
        </w:rPr>
        <w:t>small LET with diplopia</w:t>
      </w:r>
    </w:p>
    <w:p w14:paraId="6C153867" w14:textId="242062B6" w:rsidR="00CE6626" w:rsidRPr="009D4627" w:rsidRDefault="00CE6626" w:rsidP="00CE6626">
      <w:pPr>
        <w:spacing w:before="0" w:after="0" w:line="240" w:lineRule="auto"/>
        <w:ind w:left="1276"/>
        <w:rPr>
          <w:rFonts w:eastAsia="Calibri"/>
          <w:bCs/>
          <w:szCs w:val="22"/>
          <w:lang w:val="en-MY"/>
        </w:rPr>
      </w:pPr>
      <w:r w:rsidRPr="009D4627">
        <w:rPr>
          <w:rFonts w:eastAsia="Calibri"/>
          <w:bCs/>
          <w:szCs w:val="22"/>
          <w:lang w:val="en-MY"/>
        </w:rPr>
        <w:t xml:space="preserve">   unaided </w:t>
      </w:r>
      <w:r w:rsidR="00730570">
        <w:rPr>
          <w:rFonts w:eastAsia="Calibri"/>
          <w:bCs/>
          <w:szCs w:val="22"/>
          <w:lang w:val="en-MY"/>
        </w:rPr>
        <w:tab/>
      </w:r>
      <w:r w:rsidRPr="009D4627">
        <w:rPr>
          <w:rFonts w:eastAsia="Calibri"/>
          <w:bCs/>
          <w:szCs w:val="22"/>
          <w:lang w:val="en-MY"/>
        </w:rPr>
        <w:t>6 m</w:t>
      </w:r>
      <w:r w:rsidR="00730570">
        <w:rPr>
          <w:rFonts w:eastAsia="Calibri"/>
          <w:bCs/>
          <w:szCs w:val="22"/>
          <w:lang w:val="en-MY"/>
        </w:rPr>
        <w:tab/>
      </w:r>
      <w:r w:rsidRPr="009D4627">
        <w:rPr>
          <w:rFonts w:eastAsia="Calibri"/>
          <w:bCs/>
          <w:szCs w:val="22"/>
          <w:lang w:val="en-MY"/>
        </w:rPr>
        <w:t>small to moderate L/A ET with diplopia.</w:t>
      </w:r>
    </w:p>
    <w:p w14:paraId="0521B604" w14:textId="77777777" w:rsidR="00CE6626" w:rsidRPr="009D4627" w:rsidRDefault="00CE6626" w:rsidP="00CE6626">
      <w:pPr>
        <w:spacing w:before="0" w:after="0" w:line="240" w:lineRule="auto"/>
        <w:rPr>
          <w:rFonts w:eastAsia="Calibri"/>
          <w:bCs/>
          <w:szCs w:val="22"/>
          <w:lang w:val="en-MY"/>
        </w:rPr>
      </w:pPr>
    </w:p>
    <w:p w14:paraId="79506ED2" w14:textId="77777777" w:rsidR="00CE6626" w:rsidRPr="009D4627" w:rsidRDefault="00CE6626" w:rsidP="00CE6626">
      <w:pPr>
        <w:spacing w:before="0" w:after="0" w:line="240" w:lineRule="auto"/>
        <w:jc w:val="left"/>
        <w:rPr>
          <w:rFonts w:eastAsia="Calibri"/>
          <w:b/>
          <w:szCs w:val="22"/>
          <w:lang w:val="en-MY"/>
        </w:rPr>
      </w:pPr>
      <w:r w:rsidRPr="009D4627">
        <w:rPr>
          <w:rFonts w:eastAsia="Calibri"/>
          <w:b/>
          <w:szCs w:val="22"/>
          <w:lang w:val="en-MY"/>
        </w:rPr>
        <w:t>PCT/OMT:</w:t>
      </w:r>
    </w:p>
    <w:p w14:paraId="1DB87769" w14:textId="77777777" w:rsidR="00CE6626" w:rsidRPr="009D4627" w:rsidRDefault="00CE6626" w:rsidP="00CE6626">
      <w:pPr>
        <w:spacing w:before="0" w:after="0" w:line="240" w:lineRule="auto"/>
        <w:ind w:left="720" w:firstLine="720"/>
        <w:jc w:val="left"/>
        <w:rPr>
          <w:rFonts w:eastAsia="Calibri"/>
          <w:bCs/>
          <w:lang w:val="en-US"/>
        </w:rPr>
      </w:pPr>
      <w:r w:rsidRPr="009D4627">
        <w:rPr>
          <w:rFonts w:eastAsia="Calibri"/>
          <w:bCs/>
          <w:szCs w:val="22"/>
          <w:lang w:val="en-MY"/>
        </w:rPr>
        <w:t xml:space="preserve">with readers </w:t>
      </w:r>
      <w:r w:rsidRPr="009D4627">
        <w:rPr>
          <w:rFonts w:eastAsia="Calibri"/>
          <w:bCs/>
          <w:szCs w:val="22"/>
          <w:lang w:val="en-MY"/>
        </w:rPr>
        <w:tab/>
        <w:t xml:space="preserve">1/3 m </w:t>
      </w:r>
      <w:r w:rsidRPr="009D4627">
        <w:rPr>
          <w:rFonts w:eastAsia="Calibri"/>
          <w:bCs/>
          <w:szCs w:val="22"/>
          <w:lang w:val="en-MY"/>
        </w:rPr>
        <w:tab/>
        <w:t>5-6</w:t>
      </w:r>
      <w:r w:rsidRPr="009D4627">
        <w:rPr>
          <w:rFonts w:eastAsia="Calibri"/>
          <w:bCs/>
          <w:vertAlign w:val="superscript"/>
          <w:lang w:val="en-US"/>
        </w:rPr>
        <w:t xml:space="preserve">Δ </w:t>
      </w:r>
      <w:r w:rsidRPr="009D4627">
        <w:rPr>
          <w:rFonts w:eastAsia="Calibri"/>
          <w:bCs/>
          <w:lang w:val="en-US"/>
        </w:rPr>
        <w:t>LET</w:t>
      </w:r>
    </w:p>
    <w:p w14:paraId="48C9BA35" w14:textId="77777777" w:rsidR="00CE6626" w:rsidRPr="009D4627" w:rsidRDefault="00CE6626" w:rsidP="00CE6626">
      <w:pPr>
        <w:spacing w:before="0" w:after="0" w:line="240" w:lineRule="auto"/>
        <w:ind w:left="720" w:firstLine="720"/>
        <w:jc w:val="left"/>
        <w:rPr>
          <w:rFonts w:eastAsia="Calibri"/>
          <w:bCs/>
          <w:szCs w:val="22"/>
          <w:lang w:val="en-MY"/>
        </w:rPr>
      </w:pPr>
      <w:r w:rsidRPr="009D4627">
        <w:rPr>
          <w:rFonts w:eastAsia="Calibri"/>
          <w:bCs/>
          <w:szCs w:val="22"/>
          <w:lang w:val="en-MY"/>
        </w:rPr>
        <w:t>unaided</w:t>
      </w:r>
      <w:r w:rsidRPr="009D4627">
        <w:rPr>
          <w:rFonts w:eastAsia="Calibri"/>
          <w:bCs/>
          <w:szCs w:val="22"/>
          <w:lang w:val="en-MY"/>
        </w:rPr>
        <w:tab/>
        <w:t xml:space="preserve">   6 m</w:t>
      </w:r>
      <w:r w:rsidRPr="009D4627">
        <w:rPr>
          <w:rFonts w:eastAsia="Calibri"/>
          <w:bCs/>
          <w:szCs w:val="22"/>
          <w:lang w:val="en-MY"/>
        </w:rPr>
        <w:tab/>
        <w:t xml:space="preserve"> 30-35</w:t>
      </w:r>
      <w:r w:rsidRPr="009D4627">
        <w:rPr>
          <w:rFonts w:eastAsia="Calibri"/>
          <w:bCs/>
          <w:szCs w:val="22"/>
          <w:vertAlign w:val="superscript"/>
          <w:lang w:val="en-MY"/>
        </w:rPr>
        <w:t>Δ</w:t>
      </w:r>
      <w:r w:rsidRPr="009D4627">
        <w:rPr>
          <w:rFonts w:eastAsia="Calibri"/>
          <w:bCs/>
          <w:szCs w:val="22"/>
          <w:lang w:val="en-MY"/>
        </w:rPr>
        <w:t xml:space="preserve"> LET</w:t>
      </w:r>
      <w:r w:rsidRPr="009D4627">
        <w:rPr>
          <w:rFonts w:eastAsia="Calibri"/>
          <w:bCs/>
          <w:szCs w:val="22"/>
          <w:lang w:val="en-MY"/>
        </w:rPr>
        <w:tab/>
      </w:r>
    </w:p>
    <w:p w14:paraId="7DF94C88"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Cs/>
          <w:szCs w:val="22"/>
          <w:lang w:val="en-MY"/>
        </w:rPr>
        <w:t xml:space="preserve">                        </w:t>
      </w:r>
    </w:p>
    <w:p w14:paraId="5FF9EFF8" w14:textId="7EB58443" w:rsidR="00CE6626" w:rsidRPr="009D4627" w:rsidRDefault="00A2792E" w:rsidP="00CE6626">
      <w:pPr>
        <w:spacing w:before="0" w:line="240" w:lineRule="auto"/>
        <w:rPr>
          <w:rFonts w:eastAsia="Calibri"/>
          <w:bCs/>
          <w:szCs w:val="22"/>
          <w:lang w:val="en-MY"/>
        </w:rPr>
      </w:pPr>
      <w:r w:rsidRPr="009D4627">
        <w:rPr>
          <w:noProof/>
        </w:rPr>
        <mc:AlternateContent>
          <mc:Choice Requires="wpg">
            <w:drawing>
              <wp:anchor distT="0" distB="0" distL="114300" distR="114300" simplePos="0" relativeHeight="251755520" behindDoc="0" locked="0" layoutInCell="1" allowOverlap="1" wp14:anchorId="4B540D23" wp14:editId="354CDB54">
                <wp:simplePos x="0" y="0"/>
                <wp:positionH relativeFrom="column">
                  <wp:posOffset>1019175</wp:posOffset>
                </wp:positionH>
                <wp:positionV relativeFrom="paragraph">
                  <wp:posOffset>13970</wp:posOffset>
                </wp:positionV>
                <wp:extent cx="3381375" cy="722630"/>
                <wp:effectExtent l="0" t="0" r="0" b="1270"/>
                <wp:wrapThrough wrapText="bothSides">
                  <wp:wrapPolygon edited="0">
                    <wp:start x="4381" y="0"/>
                    <wp:lineTo x="0" y="7402"/>
                    <wp:lineTo x="0" y="13666"/>
                    <wp:lineTo x="3286" y="18221"/>
                    <wp:lineTo x="3286" y="18791"/>
                    <wp:lineTo x="4259" y="21638"/>
                    <wp:lineTo x="4381" y="21638"/>
                    <wp:lineTo x="14968" y="21638"/>
                    <wp:lineTo x="15090" y="21638"/>
                    <wp:lineTo x="16185" y="18221"/>
                    <wp:lineTo x="21539" y="14805"/>
                    <wp:lineTo x="21539" y="7402"/>
                    <wp:lineTo x="14968" y="0"/>
                    <wp:lineTo x="4381" y="0"/>
                  </wp:wrapPolygon>
                </wp:wrapThrough>
                <wp:docPr id="22371" name="Group 22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1375" cy="722630"/>
                          <a:chOff x="-1238" y="0"/>
                          <a:chExt cx="33813" cy="7232"/>
                        </a:xfrm>
                      </wpg:grpSpPr>
                      <wpg:grpSp>
                        <wpg:cNvPr id="22372" name="Group 54"/>
                        <wpg:cNvGrpSpPr>
                          <a:grpSpLocks/>
                        </wpg:cNvGrpSpPr>
                        <wpg:grpSpPr bwMode="auto">
                          <a:xfrm>
                            <a:off x="-1238" y="0"/>
                            <a:ext cx="33813" cy="7232"/>
                            <a:chOff x="-1238" y="0"/>
                            <a:chExt cx="33813" cy="7237"/>
                          </a:xfrm>
                        </wpg:grpSpPr>
                        <wpg:grpSp>
                          <wpg:cNvPr id="22373" name="Group 21992"/>
                          <wpg:cNvGrpSpPr>
                            <a:grpSpLocks/>
                          </wpg:cNvGrpSpPr>
                          <wpg:grpSpPr bwMode="auto">
                            <a:xfrm rot="5400000" flipH="1">
                              <a:off x="19166" y="2195"/>
                              <a:ext cx="7216" cy="2826"/>
                              <a:chOff x="19161" y="1847"/>
                              <a:chExt cx="8165" cy="2826"/>
                            </a:xfrm>
                          </wpg:grpSpPr>
                          <wps:wsp>
                            <wps:cNvPr id="22374" name="Straight Connector 21993"/>
                            <wps:cNvCnPr>
                              <a:cxnSpLocks noChangeShapeType="1"/>
                            </wps:cNvCnPr>
                            <wps:spPr bwMode="auto">
                              <a:xfrm>
                                <a:off x="19161" y="4673"/>
                                <a:ext cx="8165" cy="0"/>
                              </a:xfrm>
                              <a:prstGeom prst="line">
                                <a:avLst/>
                              </a:prstGeom>
                              <a:noFill/>
                              <a:ln w="6350">
                                <a:solidFill>
                                  <a:srgbClr val="000000"/>
                                </a:solidFill>
                                <a:miter lim="800000"/>
                                <a:headEnd/>
                                <a:tailEnd/>
                              </a:ln>
                            </wps:spPr>
                            <wps:bodyPr/>
                          </wps:wsp>
                          <wpg:grpSp>
                            <wpg:cNvPr id="22375" name="Group 21994"/>
                            <wpg:cNvGrpSpPr>
                              <a:grpSpLocks/>
                            </wpg:cNvGrpSpPr>
                            <wpg:grpSpPr bwMode="auto">
                              <a:xfrm>
                                <a:off x="21178" y="1847"/>
                                <a:ext cx="4692" cy="2826"/>
                                <a:chOff x="21178" y="1847"/>
                                <a:chExt cx="4691" cy="2826"/>
                              </a:xfrm>
                            </wpg:grpSpPr>
                            <wps:wsp>
                              <wps:cNvPr id="22376" name="Straight Connector 21995"/>
                              <wps:cNvCnPr>
                                <a:cxnSpLocks noChangeShapeType="1"/>
                              </wps:cNvCnPr>
                              <wps:spPr bwMode="auto">
                                <a:xfrm flipH="1">
                                  <a:off x="22873" y="2084"/>
                                  <a:ext cx="2235" cy="2520"/>
                                </a:xfrm>
                                <a:prstGeom prst="line">
                                  <a:avLst/>
                                </a:prstGeom>
                                <a:noFill/>
                                <a:ln w="19050">
                                  <a:solidFill>
                                    <a:srgbClr val="000000"/>
                                  </a:solidFill>
                                  <a:miter lim="800000"/>
                                  <a:headEnd/>
                                  <a:tailEnd/>
                                </a:ln>
                              </wps:spPr>
                              <wps:bodyPr/>
                            </wps:wsp>
                            <wps:wsp>
                              <wps:cNvPr id="22377" name="Straight Connector 21996"/>
                              <wps:cNvCnPr>
                                <a:cxnSpLocks noChangeShapeType="1"/>
                              </wps:cNvCnPr>
                              <wps:spPr bwMode="auto">
                                <a:xfrm rot="5400000">
                                  <a:off x="20926" y="2099"/>
                                  <a:ext cx="2826" cy="2322"/>
                                </a:xfrm>
                                <a:prstGeom prst="line">
                                  <a:avLst/>
                                </a:prstGeom>
                                <a:noFill/>
                                <a:ln w="19050">
                                  <a:solidFill>
                                    <a:srgbClr val="000000"/>
                                  </a:solidFill>
                                  <a:miter lim="800000"/>
                                  <a:headEnd/>
                                  <a:tailEnd/>
                                </a:ln>
                              </wps:spPr>
                              <wps:bodyPr/>
                            </wps:wsp>
                            <wps:wsp>
                              <wps:cNvPr id="22378" name="Straight Connector 21997"/>
                              <wps:cNvCnPr>
                                <a:cxnSpLocks noChangeShapeType="1"/>
                              </wps:cNvCnPr>
                              <wps:spPr bwMode="auto">
                                <a:xfrm rot="5400000">
                                  <a:off x="24243" y="2875"/>
                                  <a:ext cx="1798" cy="1456"/>
                                </a:xfrm>
                                <a:prstGeom prst="line">
                                  <a:avLst/>
                                </a:prstGeom>
                                <a:noFill/>
                                <a:ln w="19050">
                                  <a:solidFill>
                                    <a:srgbClr val="000000"/>
                                  </a:solidFill>
                                  <a:miter lim="800000"/>
                                  <a:headEnd/>
                                  <a:tailEnd/>
                                </a:ln>
                              </wps:spPr>
                              <wps:bodyPr/>
                            </wps:wsp>
                          </wpg:grpSp>
                        </wpg:grpSp>
                        <wpg:grpSp>
                          <wpg:cNvPr id="22379" name="Group 21998"/>
                          <wpg:cNvGrpSpPr>
                            <a:grpSpLocks/>
                          </wpg:cNvGrpSpPr>
                          <wpg:grpSpPr bwMode="auto">
                            <a:xfrm>
                              <a:off x="-1238" y="20"/>
                              <a:ext cx="33813" cy="7218"/>
                              <a:chOff x="-1238" y="20"/>
                              <a:chExt cx="33813" cy="7217"/>
                            </a:xfrm>
                          </wpg:grpSpPr>
                          <wps:wsp>
                            <wps:cNvPr id="22380" name="Rectangle 21999"/>
                            <wps:cNvSpPr>
                              <a:spLocks noChangeArrowheads="1"/>
                            </wps:cNvSpPr>
                            <wps:spPr bwMode="auto">
                              <a:xfrm flipH="1">
                                <a:off x="10953" y="2685"/>
                                <a:ext cx="6025" cy="1894"/>
                              </a:xfrm>
                              <a:prstGeom prst="rect">
                                <a:avLst/>
                              </a:prstGeom>
                              <a:noFill/>
                              <a:ln>
                                <a:noFill/>
                              </a:ln>
                            </wps:spPr>
                            <wps:txbx>
                              <w:txbxContent>
                                <w:p w14:paraId="4C516ADA"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35-40</w:t>
                                  </w:r>
                                  <w:r w:rsidRPr="00DC6030">
                                    <w:rPr>
                                      <w:rFonts w:ascii="Calibri" w:hAnsi="Calibri" w:cs="Calibri"/>
                                      <w:sz w:val="20"/>
                                      <w:szCs w:val="20"/>
                                      <w:vertAlign w:val="superscript"/>
                                      <w:lang w:val="en-US"/>
                                    </w:rPr>
                                    <w:t>Δ</w:t>
                                  </w:r>
                                  <w:r>
                                    <w:rPr>
                                      <w:rFonts w:ascii="Calibri" w:hAnsi="Calibri" w:cs="Calibri"/>
                                      <w:sz w:val="20"/>
                                      <w:szCs w:val="20"/>
                                      <w:lang w:val="en-US"/>
                                    </w:rPr>
                                    <w:t xml:space="preserve"> LET</w:t>
                                  </w:r>
                                </w:p>
                              </w:txbxContent>
                            </wps:txbx>
                            <wps:bodyPr rot="0" vert="horz" wrap="square" lIns="0" tIns="0" rIns="0" bIns="0" anchor="ctr" anchorCtr="0" upright="1">
                              <a:noAutofit/>
                            </wps:bodyPr>
                          </wps:wsp>
                          <wpg:grpSp>
                            <wpg:cNvPr id="22381" name="Group 22000"/>
                            <wpg:cNvGrpSpPr>
                              <a:grpSpLocks/>
                            </wpg:cNvGrpSpPr>
                            <wpg:grpSpPr bwMode="auto">
                              <a:xfrm>
                                <a:off x="-1238" y="20"/>
                                <a:ext cx="11936" cy="7218"/>
                                <a:chOff x="-1238" y="20"/>
                                <a:chExt cx="11936" cy="7217"/>
                              </a:xfrm>
                            </wpg:grpSpPr>
                            <wps:wsp>
                              <wps:cNvPr id="22382" name="Oval 22001"/>
                              <wps:cNvSpPr>
                                <a:spLocks noChangeArrowheads="1"/>
                              </wps:cNvSpPr>
                              <wps:spPr bwMode="auto">
                                <a:xfrm flipH="1">
                                  <a:off x="3333" y="20"/>
                                  <a:ext cx="7365" cy="7218"/>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2383" name="Rectangle 22002"/>
                              <wps:cNvSpPr>
                                <a:spLocks noChangeArrowheads="1"/>
                              </wps:cNvSpPr>
                              <wps:spPr bwMode="auto">
                                <a:xfrm flipH="1">
                                  <a:off x="-1238" y="2687"/>
                                  <a:ext cx="4095" cy="1701"/>
                                </a:xfrm>
                                <a:prstGeom prst="rect">
                                  <a:avLst/>
                                </a:prstGeom>
                                <a:noFill/>
                                <a:ln>
                                  <a:noFill/>
                                </a:ln>
                              </wps:spPr>
                              <wps:txbx>
                                <w:txbxContent>
                                  <w:p w14:paraId="5AEDE5A5"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3-4</w:t>
                                    </w:r>
                                    <w:r w:rsidRPr="00DC6030">
                                      <w:rPr>
                                        <w:rFonts w:ascii="Calibri" w:hAnsi="Calibri" w:cs="Calibri"/>
                                        <w:sz w:val="20"/>
                                        <w:szCs w:val="20"/>
                                        <w:vertAlign w:val="superscript"/>
                                        <w:lang w:val="en-US"/>
                                      </w:rPr>
                                      <w:t>Δ</w:t>
                                    </w:r>
                                    <w:r>
                                      <w:rPr>
                                        <w:rFonts w:ascii="Calibri" w:hAnsi="Calibri" w:cs="Calibri"/>
                                        <w:sz w:val="20"/>
                                        <w:szCs w:val="20"/>
                                        <w:lang w:val="en-US"/>
                                      </w:rPr>
                                      <w:t xml:space="preserve"> E</w:t>
                                    </w:r>
                                  </w:p>
                                  <w:p w14:paraId="738FD629" w14:textId="77777777" w:rsidR="00CE6626" w:rsidRDefault="00CE6626" w:rsidP="00CE6626">
                                    <w:pPr>
                                      <w:jc w:val="right"/>
                                      <w:rPr>
                                        <w:rFonts w:ascii="Calibri" w:hAnsi="Calibri" w:cs="Calibri"/>
                                        <w:sz w:val="20"/>
                                        <w:szCs w:val="20"/>
                                        <w:lang w:val="en-US"/>
                                      </w:rPr>
                                    </w:pPr>
                                  </w:p>
                                </w:txbxContent>
                              </wps:txbx>
                              <wps:bodyPr rot="0" vert="horz" wrap="square" lIns="0" tIns="0" rIns="0" bIns="0" anchor="ctr" anchorCtr="0" upright="1">
                                <a:noAutofit/>
                              </wps:bodyPr>
                            </wps:wsp>
                          </wpg:grpSp>
                          <wpg:grpSp>
                            <wpg:cNvPr id="22384" name="Group 22003"/>
                            <wpg:cNvGrpSpPr>
                              <a:grpSpLocks/>
                            </wpg:cNvGrpSpPr>
                            <wpg:grpSpPr bwMode="auto">
                              <a:xfrm>
                                <a:off x="17049" y="30"/>
                                <a:ext cx="15526" cy="7208"/>
                                <a:chOff x="17049" y="30"/>
                                <a:chExt cx="15525" cy="7207"/>
                              </a:xfrm>
                            </wpg:grpSpPr>
                            <wpg:grpSp>
                              <wpg:cNvPr id="22385" name="Group 22004"/>
                              <wpg:cNvGrpSpPr>
                                <a:grpSpLocks/>
                              </wpg:cNvGrpSpPr>
                              <wpg:grpSpPr bwMode="auto">
                                <a:xfrm>
                                  <a:off x="17049" y="30"/>
                                  <a:ext cx="10141" cy="7208"/>
                                  <a:chOff x="17054" y="30"/>
                                  <a:chExt cx="10641" cy="8146"/>
                                </a:xfrm>
                              </wpg:grpSpPr>
                              <wps:wsp>
                                <wps:cNvPr id="22386" name="Oval 22005"/>
                                <wps:cNvSpPr>
                                  <a:spLocks noChangeArrowheads="1"/>
                                </wps:cNvSpPr>
                                <wps:spPr bwMode="auto">
                                  <a:xfrm flipH="1">
                                    <a:off x="17054" y="30"/>
                                    <a:ext cx="7727"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2387" name="Rectangle 22006"/>
                                <wps:cNvSpPr>
                                  <a:spLocks noChangeArrowheads="1"/>
                                </wps:cNvSpPr>
                                <wps:spPr bwMode="auto">
                                  <a:xfrm flipH="1">
                                    <a:off x="25002" y="3071"/>
                                    <a:ext cx="2694" cy="2285"/>
                                  </a:xfrm>
                                  <a:prstGeom prst="rect">
                                    <a:avLst/>
                                  </a:prstGeom>
                                  <a:noFill/>
                                  <a:ln>
                                    <a:noFill/>
                                  </a:ln>
                                </wps:spPr>
                                <wps:txbx>
                                  <w:txbxContent>
                                    <w:p w14:paraId="5F05ACB0"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wps:txbx>
                                <wps:bodyPr rot="0" vert="horz" wrap="square" lIns="0" tIns="0" rIns="0" bIns="0" anchor="ctr" anchorCtr="0" upright="1">
                                  <a:noAutofit/>
                                </wps:bodyPr>
                              </wps:wsp>
                            </wpg:grpSp>
                            <wps:wsp>
                              <wps:cNvPr id="22388" name="Rectangle 22007"/>
                              <wps:cNvSpPr>
                                <a:spLocks noChangeArrowheads="1"/>
                              </wps:cNvSpPr>
                              <wps:spPr bwMode="auto">
                                <a:xfrm flipH="1">
                                  <a:off x="24669" y="2687"/>
                                  <a:ext cx="7906" cy="2096"/>
                                </a:xfrm>
                                <a:prstGeom prst="rect">
                                  <a:avLst/>
                                </a:prstGeom>
                                <a:noFill/>
                                <a:ln>
                                  <a:noFill/>
                                </a:ln>
                              </wps:spPr>
                              <wps:txbx>
                                <w:txbxContent>
                                  <w:p w14:paraId="6C334F3C"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(45-50</w:t>
                                    </w:r>
                                    <w:r w:rsidRPr="00DC6030">
                                      <w:rPr>
                                        <w:rFonts w:ascii="Calibri" w:hAnsi="Calibri" w:cs="Calibri"/>
                                        <w:sz w:val="20"/>
                                        <w:szCs w:val="20"/>
                                        <w:vertAlign w:val="superscript"/>
                                        <w:lang w:val="en-US"/>
                                      </w:rPr>
                                      <w:t>Δ</w:t>
                                    </w:r>
                                    <w:r>
                                      <w:rPr>
                                        <w:rFonts w:ascii="Calibri" w:hAnsi="Calibri" w:cs="Calibri"/>
                                        <w:sz w:val="20"/>
                                        <w:szCs w:val="20"/>
                                        <w:lang w:val="en-US"/>
                                      </w:rPr>
                                      <w:t xml:space="preserve"> LET)</w:t>
                                    </w:r>
                                  </w:p>
                                  <w:p w14:paraId="0773AEE8" w14:textId="77777777" w:rsidR="00CE6626" w:rsidRDefault="00CE6626" w:rsidP="00CE6626">
                                    <w:pPr>
                                      <w:spacing w:before="0"/>
                                      <w:jc w:val="center"/>
                                      <w:rPr>
                                        <w:rFonts w:ascii="Calibri" w:hAnsi="Calibri" w:cs="Calibri"/>
                                        <w:sz w:val="20"/>
                                        <w:szCs w:val="20"/>
                                        <w:lang w:val="en-US"/>
                                      </w:rPr>
                                    </w:pPr>
                                  </w:p>
                                </w:txbxContent>
                              </wps:txbx>
                              <wps:bodyPr rot="0" vert="horz" wrap="square" lIns="0" tIns="0" rIns="0" bIns="0" anchor="ctr" anchorCtr="0" upright="1">
                                <a:noAutofit/>
                              </wps:bodyPr>
                            </wps:wsp>
                          </wpg:grpSp>
                        </wpg:grpSp>
                      </wpg:grpSp>
                      <wps:wsp>
                        <wps:cNvPr id="22389" name="Straight Connector 22008"/>
                        <wps:cNvCnPr>
                          <a:cxnSpLocks noChangeShapeType="1"/>
                        </wps:cNvCnPr>
                        <wps:spPr bwMode="auto">
                          <a:xfrm rot="5400000">
                            <a:off x="21877" y="4351"/>
                            <a:ext cx="1848" cy="2520"/>
                          </a:xfrm>
                          <a:prstGeom prst="line">
                            <a:avLst/>
                          </a:prstGeom>
                          <a:noFill/>
                          <a:ln w="19050">
                            <a:solidFill>
                              <a:srgbClr val="000000"/>
                            </a:solidFill>
                            <a:miter lim="800000"/>
                            <a:headEnd/>
                            <a:tailEnd/>
                          </a:ln>
                        </wps:spPr>
                        <wps:bodyPr/>
                      </wps:wsp>
                    </wpg:wgp>
                  </a:graphicData>
                </a:graphic>
                <wp14:sizeRelH relativeFrom="margin">
                  <wp14:pctWidth>0</wp14:pctWidth>
                </wp14:sizeRelH>
                <wp14:sizeRelV relativeFrom="page">
                  <wp14:pctHeight>0</wp14:pctHeight>
                </wp14:sizeRelV>
              </wp:anchor>
            </w:drawing>
          </mc:Choice>
          <mc:Fallback>
            <w:pict>
              <v:group w14:anchorId="4B540D23" id="Group 22371" o:spid="_x0000_s2314" style="position:absolute;left:0;text-align:left;margin-left:80.25pt;margin-top:1.1pt;width:266.25pt;height:56.9pt;z-index:251755520;mso-position-horizontal-relative:text;mso-position-vertical-relative:text;mso-width-relative:margin" coordorigin="-1238" coordsize="33813,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">
                <v:group id="Group 54" o:spid="_x0000_s2315" style="position:absolute;left:-1238;width:33813;height:7232" coordorigin="-1238" coordsize="33813,7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">
                  <v:group id="Group 21992" o:spid="_x0000_s2316" style="position:absolute;left:19166;top:2195;width:7216;height:2826;rotation:-90;flip:x" coordorigin="19161,1847" coordsize="8165,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">
                    <v:line id="Straight Connector 21993" o:spid="_x0000_s2317" style="position:absolute;visibility:visible;mso-wrap-style:square" from="19161,4673" to="27326,4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" strokeweight=".5pt">
                      <v:stroke joinstyle="miter"/>
                    </v:line>
                    <v:group id="Group 21994" o:spid="_x0000_s2318" style="position:absolute;left:21178;top:1847;width:4692;height:2826" coordorigin="21178,1847" coordsize="4691,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">
                      <v:line id="Straight Connector 21995" o:spid="_x0000_s2319" style="position:absolute;flip:x;visibility:visible;mso-wrap-style:square" from="22873,2084" to="25108,4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" strokeweight="1.5pt">
                        <v:stroke joinstyle="miter"/>
                      </v:line>
                      <v:line id="Straight Connector 21996" o:spid="_x0000_s2320" style="position:absolute;rotation:90;visibility:visible;mso-wrap-style:square" from="20926,2099" to="23752,4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" strokeweight="1.5pt">
                        <v:stroke joinstyle="miter"/>
                      </v:line>
                      <v:line id="Straight Connector 21997" o:spid="_x0000_s2321" style="position:absolute;rotation:90;visibility:visible;mso-wrap-style:square" from="24243,2875" to="26041,4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" strokeweight="1.5pt">
                        <v:stroke joinstyle="miter"/>
                      </v:line>
                    </v:group>
                  </v:group>
                  <v:group id="Group 21998" o:spid="_x0000_s2322" style="position:absolute;left:-1238;top:20;width:33813;height:7218" coordorigin="-1238,20" coordsize="33813,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">
                    <v:rect id="Rectangle 21999" o:spid="_x0000_s2323" style="position:absolute;left:10953;top:2685;width:6025;height:189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" filled="f" stroked="f">
                      <v:textbox inset="0,0,0,0">
                        <w:txbxContent>
                          <w:p w14:paraId="4C516ADA" w14:textId="77777777" w:rsidR="00CE6626" w:rsidRDefault="00CE6626" w:rsidP="00CE6626">
                            <w:pPr>
                              <w:spacing w:before="0" w:after="0" w:line="240" w:lineRule="auto"/>
                              <w:jc w:val="center"/>
                              <w:rPr>
                                <w:rFonts w:ascii="Calibri" w:hAnsi="Calibri" w:cs="Calibri"/>
                                <w:sz w:val="20"/>
                                <w:szCs w:val="20"/>
                                <w:lang w:val="en-US"/>
                              </w:rPr>
                            </w:pPr>
                            <w:r>
                              <w:rPr>
                                <w:rFonts w:ascii="Calibri" w:hAnsi="Calibri" w:cs="Calibri"/>
                                <w:sz w:val="20"/>
                                <w:szCs w:val="20"/>
                                <w:lang w:val="en-US"/>
                              </w:rPr>
                              <w:t>35-40</w:t>
                            </w:r>
                            <w:r w:rsidRPr="00DC6030">
                              <w:rPr>
                                <w:rFonts w:ascii="Calibri" w:hAnsi="Calibri" w:cs="Calibri"/>
                                <w:sz w:val="20"/>
                                <w:szCs w:val="20"/>
                                <w:vertAlign w:val="superscript"/>
                                <w:lang w:val="en-US"/>
                              </w:rPr>
                              <w:t>Δ</w:t>
                            </w:r>
                            <w:r>
                              <w:rPr>
                                <w:rFonts w:ascii="Calibri" w:hAnsi="Calibri" w:cs="Calibri"/>
                                <w:sz w:val="20"/>
                                <w:szCs w:val="20"/>
                                <w:lang w:val="en-US"/>
                              </w:rPr>
                              <w:t xml:space="preserve"> LET</w:t>
                            </w:r>
                          </w:p>
                        </w:txbxContent>
                      </v:textbox>
                    </v:rect>
                    <v:group id="Group 22000" o:spid="_x0000_s2324" style="position:absolute;left:-1238;top:20;width:11936;height:7218" coordorigin="-1238,20" coordsize="11936,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">
                      <v:oval id="Oval 22001" o:spid="_x0000_s2325" style="position:absolute;left:3333;top:20;width:7365;height:721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" filled="f" strokeweight="1pt">
                        <v:stroke joinstyle="miter"/>
                      </v:oval>
                      <v:rect id="Rectangle 22002" o:spid="_x0000_s2326" style="position:absolute;left:-1238;top:2687;width:4095;height:170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" filled="f" stroked="f">
                        <v:textbox inset="0,0,0,0">
                          <w:txbxContent>
                            <w:p w14:paraId="5AEDE5A5" w14:textId="77777777" w:rsidR="00CE6626" w:rsidRDefault="00CE6626" w:rsidP="00CE6626">
                              <w:pPr>
                                <w:spacing w:before="0"/>
                                <w:jc w:val="right"/>
                                <w:rPr>
                                  <w:rFonts w:ascii="Calibri" w:hAnsi="Calibri" w:cs="Calibri"/>
                                  <w:sz w:val="20"/>
                                  <w:szCs w:val="20"/>
                                  <w:lang w:val="en-US"/>
                                </w:rPr>
                              </w:pPr>
                              <w:r>
                                <w:rPr>
                                  <w:rFonts w:ascii="Calibri" w:hAnsi="Calibri" w:cs="Calibri"/>
                                  <w:sz w:val="20"/>
                                  <w:szCs w:val="20"/>
                                  <w:lang w:val="en-US"/>
                                </w:rPr>
                                <w:t>3-4</w:t>
                              </w:r>
                              <w:r w:rsidRPr="00DC6030">
                                <w:rPr>
                                  <w:rFonts w:ascii="Calibri" w:hAnsi="Calibri" w:cs="Calibri"/>
                                  <w:sz w:val="20"/>
                                  <w:szCs w:val="20"/>
                                  <w:vertAlign w:val="superscript"/>
                                  <w:lang w:val="en-US"/>
                                </w:rPr>
                                <w:t>Δ</w:t>
                              </w:r>
                              <w:r>
                                <w:rPr>
                                  <w:rFonts w:ascii="Calibri" w:hAnsi="Calibri" w:cs="Calibri"/>
                                  <w:sz w:val="20"/>
                                  <w:szCs w:val="20"/>
                                  <w:lang w:val="en-US"/>
                                </w:rPr>
                                <w:t xml:space="preserve"> E</w:t>
                              </w:r>
                            </w:p>
                            <w:p w14:paraId="738FD629" w14:textId="77777777" w:rsidR="00CE6626" w:rsidRDefault="00CE6626" w:rsidP="00CE6626">
                              <w:pPr>
                                <w:jc w:val="right"/>
                                <w:rPr>
                                  <w:rFonts w:ascii="Calibri" w:hAnsi="Calibri" w:cs="Calibri"/>
                                  <w:sz w:val="20"/>
                                  <w:szCs w:val="20"/>
                                  <w:lang w:val="en-US"/>
                                </w:rPr>
                              </w:pPr>
                            </w:p>
                          </w:txbxContent>
                        </v:textbox>
                      </v:rect>
                    </v:group>
                    <v:group id="Group 22003" o:spid="_x0000_s2327" style="position:absolute;left:17049;top:30;width:15526;height:7208" coordorigin="17049,30" coordsize="15525,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">
                      <v:group id="Group 22004" o:spid="_x0000_s2328" style="position:absolute;left:17049;top:30;width:10141;height:7208" coordorigin="17054,30" coordsize="10641,8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">
                        <v:oval id="Oval 22005" o:spid="_x0000_s2329" style="position:absolute;left:17054;top:30;width:7727;height:814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" filled="f" strokeweight="1pt">
                          <v:stroke joinstyle="miter"/>
                        </v:oval>
                        <v:rect id="Rectangle 22006" o:spid="_x0000_s2330" style="position:absolute;left:25002;top:3071;width:2694;height:228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" filled="f" stroked="f">
                          <v:textbox inset="0,0,0,0">
                            <w:txbxContent>
                              <w:p w14:paraId="5F05ACB0" w14:textId="77777777" w:rsidR="00CE6626" w:rsidRDefault="00CE6626" w:rsidP="00CE6626">
                                <w:pPr>
                                  <w:jc w:val="left"/>
                                  <w:rPr>
                                    <w:rFonts w:ascii="Calibri" w:hAnsi="Calibri" w:cs="Calibri"/>
                                    <w:sz w:val="20"/>
                                    <w:szCs w:val="20"/>
                                    <w:lang w:val="en-US"/>
                                  </w:rPr>
                                </w:pPr>
                                <w:r>
                                  <w:rPr>
                                    <w:rFonts w:ascii="Calibri" w:hAnsi="Calibri" w:cs="Calibri"/>
                                    <w:sz w:val="20"/>
                                    <w:szCs w:val="20"/>
                                    <w:lang w:val="en-US"/>
                                  </w:rPr>
                                  <w:t>-3</w:t>
                                </w:r>
                              </w:p>
                            </w:txbxContent>
                          </v:textbox>
                        </v:rect>
                      </v:group>
                      <v:rect id="Rectangle 22007" o:spid="_x0000_s2331" style="position:absolute;left:24669;top:2687;width:7906;height:2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" filled="f" stroked="f">
                        <v:textbox inset="0,0,0,0">
                          <w:txbxContent>
                            <w:p w14:paraId="6C334F3C" w14:textId="77777777" w:rsidR="00CE6626" w:rsidRDefault="00CE6626" w:rsidP="00CE6626">
                              <w:pPr>
                                <w:spacing w:before="0"/>
                                <w:jc w:val="left"/>
                                <w:rPr>
                                  <w:rFonts w:ascii="Calibri" w:hAnsi="Calibri" w:cs="Calibri"/>
                                  <w:sz w:val="20"/>
                                  <w:szCs w:val="20"/>
                                  <w:lang w:val="en-US"/>
                                </w:rPr>
                              </w:pPr>
                              <w:r>
                                <w:rPr>
                                  <w:rFonts w:ascii="Calibri" w:hAnsi="Calibri" w:cs="Calibri"/>
                                  <w:sz w:val="20"/>
                                  <w:szCs w:val="20"/>
                                  <w:lang w:val="en-US"/>
                                </w:rPr>
                                <w:t>(45-50</w:t>
                              </w:r>
                              <w:r w:rsidRPr="00DC6030">
                                <w:rPr>
                                  <w:rFonts w:ascii="Calibri" w:hAnsi="Calibri" w:cs="Calibri"/>
                                  <w:sz w:val="20"/>
                                  <w:szCs w:val="20"/>
                                  <w:vertAlign w:val="superscript"/>
                                  <w:lang w:val="en-US"/>
                                </w:rPr>
                                <w:t>Δ</w:t>
                              </w:r>
                              <w:r>
                                <w:rPr>
                                  <w:rFonts w:ascii="Calibri" w:hAnsi="Calibri" w:cs="Calibri"/>
                                  <w:sz w:val="20"/>
                                  <w:szCs w:val="20"/>
                                  <w:lang w:val="en-US"/>
                                </w:rPr>
                                <w:t xml:space="preserve"> LET)</w:t>
                              </w:r>
                            </w:p>
                            <w:p w14:paraId="0773AEE8" w14:textId="77777777" w:rsidR="00CE6626" w:rsidRDefault="00CE6626" w:rsidP="00CE6626">
                              <w:pPr>
                                <w:spacing w:before="0"/>
                                <w:jc w:val="center"/>
                                <w:rPr>
                                  <w:rFonts w:ascii="Calibri" w:hAnsi="Calibri" w:cs="Calibri"/>
                                  <w:sz w:val="20"/>
                                  <w:szCs w:val="20"/>
                                  <w:lang w:val="en-US"/>
                                </w:rPr>
                              </w:pPr>
                            </w:p>
                          </w:txbxContent>
                        </v:textbox>
                      </v:rect>
                    </v:group>
                  </v:group>
                </v:group>
                <v:line id="Straight Connector 22008" o:spid="_x0000_s2332" style="position:absolute;rotation:90;visibility:visible;mso-wrap-style:square" from="21877,4351" to="23725,6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" strokeweight="1.5pt">
                  <v:stroke joinstyle="miter"/>
                </v:line>
                <w10:wrap type="through"/>
              </v:group>
            </w:pict>
          </mc:Fallback>
        </mc:AlternateContent>
      </w:r>
    </w:p>
    <w:p w14:paraId="1277F2F6" w14:textId="77777777" w:rsidR="00CE6626" w:rsidRPr="009D4627" w:rsidRDefault="00CE6626" w:rsidP="00CE6626">
      <w:pPr>
        <w:spacing w:before="0" w:after="0" w:line="240" w:lineRule="auto"/>
        <w:rPr>
          <w:rFonts w:eastAsia="Calibri"/>
          <w:bCs/>
          <w:szCs w:val="22"/>
          <w:lang w:val="en-MY"/>
        </w:rPr>
      </w:pPr>
    </w:p>
    <w:p w14:paraId="1EB07021" w14:textId="77777777" w:rsidR="00CE6626" w:rsidRPr="009D4627" w:rsidRDefault="00CE6626" w:rsidP="00CE6626">
      <w:pPr>
        <w:spacing w:before="0" w:after="0" w:line="240" w:lineRule="auto"/>
        <w:rPr>
          <w:rFonts w:eastAsia="Calibri"/>
          <w:b/>
          <w:szCs w:val="22"/>
          <w:lang w:val="en-MY"/>
        </w:rPr>
      </w:pPr>
    </w:p>
    <w:p w14:paraId="71CA74A2" w14:textId="77777777" w:rsidR="00CE6626" w:rsidRPr="009D4627" w:rsidRDefault="00CE6626" w:rsidP="00CE6626">
      <w:pPr>
        <w:spacing w:before="0" w:after="0" w:line="240" w:lineRule="auto"/>
        <w:rPr>
          <w:rFonts w:eastAsia="Calibri"/>
          <w:b/>
          <w:szCs w:val="22"/>
          <w:lang w:val="en-MY"/>
        </w:rPr>
      </w:pPr>
    </w:p>
    <w:p w14:paraId="7EE95219" w14:textId="77777777" w:rsidR="00CE6626" w:rsidRPr="009D4627" w:rsidRDefault="00CE6626" w:rsidP="00CE6626">
      <w:pPr>
        <w:spacing w:before="0" w:after="0" w:line="240" w:lineRule="auto"/>
        <w:rPr>
          <w:rFonts w:eastAsia="Calibri"/>
          <w:b/>
          <w:szCs w:val="22"/>
          <w:lang w:val="en-MY"/>
        </w:rPr>
      </w:pPr>
    </w:p>
    <w:p w14:paraId="57FF94F9" w14:textId="2708C57B" w:rsidR="00CE6626" w:rsidRPr="009D4627" w:rsidRDefault="00CE6626" w:rsidP="00CE6626">
      <w:pPr>
        <w:spacing w:before="0" w:after="0" w:line="240" w:lineRule="auto"/>
        <w:rPr>
          <w:rFonts w:eastAsia="Calibri"/>
          <w:szCs w:val="22"/>
          <w:lang w:val="en-MY"/>
        </w:rPr>
      </w:pPr>
      <w:proofErr w:type="spellStart"/>
      <w:r w:rsidRPr="009D4627">
        <w:rPr>
          <w:rFonts w:eastAsia="Calibri"/>
          <w:b/>
          <w:szCs w:val="22"/>
          <w:lang w:val="en-MY"/>
        </w:rPr>
        <w:t>Bagolini</w:t>
      </w:r>
      <w:proofErr w:type="spellEnd"/>
      <w:r w:rsidRPr="009D4627">
        <w:rPr>
          <w:rFonts w:eastAsia="Calibri"/>
          <w:b/>
          <w:szCs w:val="22"/>
          <w:lang w:val="en-MY"/>
        </w:rPr>
        <w:t xml:space="preserve"> glasses:</w:t>
      </w:r>
      <w:r w:rsidRPr="009D4627">
        <w:rPr>
          <w:rFonts w:eastAsia="Calibri"/>
          <w:szCs w:val="22"/>
          <w:lang w:val="en-MY"/>
        </w:rPr>
        <w:t xml:space="preserve"> with readers 1/3 m </w:t>
      </w:r>
      <w:r w:rsidRPr="009D4627">
        <w:rPr>
          <w:rFonts w:eastAsia="Calibri"/>
          <w:szCs w:val="22"/>
          <w:lang w:val="en-MY"/>
        </w:rPr>
        <w:tab/>
        <w:t>diplopia</w:t>
      </w:r>
    </w:p>
    <w:p w14:paraId="0302F318" w14:textId="29F51131" w:rsidR="00CE6626" w:rsidRPr="009D4627" w:rsidRDefault="00CE6626" w:rsidP="00CE6626">
      <w:pPr>
        <w:spacing w:before="0" w:after="0" w:line="240" w:lineRule="auto"/>
        <w:rPr>
          <w:rFonts w:eastAsia="Calibri"/>
          <w:szCs w:val="22"/>
          <w:lang w:val="en-MY"/>
        </w:rPr>
      </w:pPr>
      <w:r w:rsidRPr="009D4627">
        <w:rPr>
          <w:rFonts w:eastAsia="Calibri"/>
          <w:szCs w:val="22"/>
          <w:lang w:val="en-MY"/>
        </w:rPr>
        <w:tab/>
      </w:r>
      <w:r w:rsidRPr="009D4627">
        <w:rPr>
          <w:rFonts w:eastAsia="Calibri"/>
          <w:szCs w:val="22"/>
          <w:lang w:val="en-MY"/>
        </w:rPr>
        <w:tab/>
      </w:r>
      <w:r w:rsidR="00730570">
        <w:rPr>
          <w:rFonts w:eastAsia="Calibri"/>
          <w:szCs w:val="22"/>
          <w:lang w:val="en-MY"/>
        </w:rPr>
        <w:t xml:space="preserve">     U</w:t>
      </w:r>
      <w:r w:rsidRPr="009D4627">
        <w:rPr>
          <w:rFonts w:eastAsia="Calibri"/>
          <w:szCs w:val="22"/>
          <w:lang w:val="en-MY"/>
        </w:rPr>
        <w:t>naide</w:t>
      </w:r>
      <w:r w:rsidR="00730570">
        <w:rPr>
          <w:rFonts w:eastAsia="Calibri"/>
          <w:szCs w:val="22"/>
          <w:lang w:val="en-MY"/>
        </w:rPr>
        <w:t>d</w:t>
      </w:r>
      <w:r w:rsidR="00730570">
        <w:rPr>
          <w:rFonts w:eastAsia="Calibri"/>
          <w:szCs w:val="22"/>
          <w:lang w:val="en-MY"/>
        </w:rPr>
        <w:tab/>
        <w:t xml:space="preserve">    </w:t>
      </w:r>
      <w:r w:rsidRPr="009D4627">
        <w:rPr>
          <w:rFonts w:eastAsia="Calibri"/>
          <w:szCs w:val="22"/>
          <w:lang w:val="en-MY"/>
        </w:rPr>
        <w:t xml:space="preserve">6 m </w:t>
      </w:r>
      <w:r w:rsidRPr="009D4627">
        <w:rPr>
          <w:rFonts w:eastAsia="Calibri"/>
          <w:szCs w:val="22"/>
          <w:lang w:val="en-MY"/>
        </w:rPr>
        <w:tab/>
        <w:t>diplopia/suppression</w:t>
      </w:r>
    </w:p>
    <w:p w14:paraId="2334A302" w14:textId="77777777" w:rsidR="00CE6626" w:rsidRPr="009D4627" w:rsidRDefault="00CE6626" w:rsidP="00CE6626">
      <w:pPr>
        <w:spacing w:before="0" w:after="0" w:line="240" w:lineRule="auto"/>
        <w:rPr>
          <w:rFonts w:eastAsia="Calibri"/>
          <w:b/>
          <w:szCs w:val="22"/>
          <w:lang w:val="en-MY"/>
        </w:rPr>
      </w:pPr>
    </w:p>
    <w:p w14:paraId="355E3B8D"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Hess</w:t>
      </w:r>
      <w:r w:rsidRPr="009D4627">
        <w:rPr>
          <w:rFonts w:eastAsia="Calibri"/>
          <w:szCs w:val="22"/>
          <w:lang w:val="en-MY"/>
        </w:rPr>
        <w:t xml:space="preserve">: </w:t>
      </w:r>
    </w:p>
    <w:p w14:paraId="7B1F6710" w14:textId="440DF820" w:rsidR="00CE6626" w:rsidRPr="009D4627" w:rsidRDefault="00A2792E" w:rsidP="00CE6626">
      <w:pPr>
        <w:spacing w:before="0" w:after="0" w:line="240" w:lineRule="auto"/>
        <w:rPr>
          <w:rFonts w:eastAsia="Calibri"/>
          <w:szCs w:val="22"/>
          <w:lang w:val="en-MY"/>
        </w:rPr>
      </w:pPr>
      <w:r w:rsidRPr="009D4627">
        <w:rPr>
          <w:noProof/>
        </w:rPr>
        <mc:AlternateContent>
          <mc:Choice Requires="wpg">
            <w:drawing>
              <wp:anchor distT="0" distB="0" distL="114300" distR="114300" simplePos="0" relativeHeight="251754496" behindDoc="0" locked="0" layoutInCell="1" allowOverlap="1" wp14:anchorId="554E9E3F" wp14:editId="6086EB6C">
                <wp:simplePos x="0" y="0"/>
                <wp:positionH relativeFrom="margin">
                  <wp:align>right</wp:align>
                </wp:positionH>
                <wp:positionV relativeFrom="paragraph">
                  <wp:posOffset>186055</wp:posOffset>
                </wp:positionV>
                <wp:extent cx="5724525" cy="1803400"/>
                <wp:effectExtent l="0" t="0" r="0" b="0"/>
                <wp:wrapThrough wrapText="bothSides">
                  <wp:wrapPolygon edited="0">
                    <wp:start x="2013" y="0"/>
                    <wp:lineTo x="0" y="2738"/>
                    <wp:lineTo x="0" y="21448"/>
                    <wp:lineTo x="10998" y="21448"/>
                    <wp:lineTo x="21564" y="21448"/>
                    <wp:lineTo x="21564" y="3879"/>
                    <wp:lineTo x="17107" y="3651"/>
                    <wp:lineTo x="19551" y="2738"/>
                    <wp:lineTo x="19480" y="0"/>
                    <wp:lineTo x="2013" y="0"/>
                  </wp:wrapPolygon>
                </wp:wrapThrough>
                <wp:docPr id="22364" name="Group 22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4525" cy="1803400"/>
                          <a:chOff x="0" y="0"/>
                          <a:chExt cx="57245" cy="18034"/>
                        </a:xfrm>
                      </wpg:grpSpPr>
                      <wpg:grpSp>
                        <wpg:cNvPr id="22365" name="Group 22010"/>
                        <wpg:cNvGrpSpPr>
                          <a:grpSpLocks/>
                        </wpg:cNvGrpSpPr>
                        <wpg:grpSpPr bwMode="auto">
                          <a:xfrm>
                            <a:off x="0" y="0"/>
                            <a:ext cx="57245" cy="18034"/>
                            <a:chOff x="0" y="0"/>
                            <a:chExt cx="57245" cy="18034"/>
                          </a:xfrm>
                        </wpg:grpSpPr>
                        <wpg:grpSp>
                          <wpg:cNvPr id="22366" name="Group 22011"/>
                          <wpg:cNvGrpSpPr>
                            <a:grpSpLocks/>
                          </wpg:cNvGrpSpPr>
                          <wpg:grpSpPr bwMode="auto">
                            <a:xfrm>
                              <a:off x="0" y="2571"/>
                              <a:ext cx="57245" cy="15463"/>
                              <a:chOff x="0" y="2571"/>
                              <a:chExt cx="57245" cy="15462"/>
                            </a:xfrm>
                          </wpg:grpSpPr>
                          <pic:pic xmlns:pic="http://schemas.openxmlformats.org/drawingml/2006/picture">
                            <pic:nvPicPr>
                              <pic:cNvPr id="22367" name="Picture 22012"/>
                              <pic:cNvPicPr>
                                <a:picLocks noChangeAspect="1" noChangeArrowheads="1"/>
                              </pic:cNvPicPr>
                            </pic:nvPicPr>
                            <pic:blipFill>
                              <a:blip r:embed="rId294" cstate="screen">
                                <a:extLst>
                                  <a:ext uri="{28A0092B-C50C-407E-A947-70E740481C1C}">
                                    <a14:useLocalDpi xmlns:a14="http://schemas.microsoft.com/office/drawing/2010/main" val="0"/>
                                  </a:ext>
                                </a:extLst>
                              </a:blip>
                              <a:srcRect/>
                              <a:stretch>
                                <a:fillRect/>
                              </a:stretch>
                            </pic:blipFill>
                            <pic:spPr bwMode="auto">
                              <a:xfrm>
                                <a:off x="0" y="2571"/>
                                <a:ext cx="28054" cy="15240"/>
                              </a:xfrm>
                              <a:prstGeom prst="rect">
                                <a:avLst/>
                              </a:prstGeom>
                              <a:noFill/>
                            </pic:spPr>
                          </pic:pic>
                          <pic:pic xmlns:pic="http://schemas.openxmlformats.org/drawingml/2006/picture">
                            <pic:nvPicPr>
                              <pic:cNvPr id="22368" name="Picture 22013"/>
                              <pic:cNvPicPr>
                                <a:picLocks noChangeAspect="1" noChangeArrowheads="1"/>
                              </pic:cNvPicPr>
                            </pic:nvPicPr>
                            <pic:blipFill>
                              <a:blip r:embed="rId295" cstate="screen">
                                <a:extLst>
                                  <a:ext uri="{28A0092B-C50C-407E-A947-70E740481C1C}">
                                    <a14:useLocalDpi xmlns:a14="http://schemas.microsoft.com/office/drawing/2010/main" val="0"/>
                                  </a:ext>
                                </a:extLst>
                              </a:blip>
                              <a:srcRect/>
                              <a:stretch>
                                <a:fillRect/>
                              </a:stretch>
                            </pic:blipFill>
                            <pic:spPr bwMode="auto">
                              <a:xfrm>
                                <a:off x="29527" y="3524"/>
                                <a:ext cx="27718" cy="14510"/>
                              </a:xfrm>
                              <a:prstGeom prst="rect">
                                <a:avLst/>
                              </a:prstGeom>
                              <a:noFill/>
                            </pic:spPr>
                          </pic:pic>
                        </wpg:grpSp>
                        <wps:wsp>
                          <wps:cNvPr id="22369" name="Rectangle 22014"/>
                          <wps:cNvSpPr>
                            <a:spLocks noChangeArrowheads="1"/>
                          </wps:cNvSpPr>
                          <wps:spPr bwMode="auto">
                            <a:xfrm>
                              <a:off x="5715" y="0"/>
                              <a:ext cx="18097" cy="2381"/>
                            </a:xfrm>
                            <a:prstGeom prst="rect">
                              <a:avLst/>
                            </a:prstGeom>
                            <a:solidFill>
                              <a:srgbClr val="FFFFFF"/>
                            </a:solidFill>
                            <a:ln>
                              <a:noFill/>
                            </a:ln>
                          </wps:spPr>
                          <wps:txbx>
                            <w:txbxContent>
                              <w:p w14:paraId="18A6D0CF" w14:textId="77777777" w:rsidR="00CE6626" w:rsidRDefault="00CE6626" w:rsidP="00CE6626">
                                <w:pPr>
                                  <w:spacing w:before="0" w:line="240" w:lineRule="auto"/>
                                  <w:jc w:val="center"/>
                                </w:pPr>
                                <w:r>
                                  <w:rPr>
                                    <w:rFonts w:ascii="Calibri" w:hAnsi="Calibri" w:cs="Calibri"/>
                                    <w:bCs/>
                                  </w:rPr>
                                  <w:t>1</w:t>
                                </w:r>
                                <w:r>
                                  <w:rPr>
                                    <w:rFonts w:ascii="Calibri" w:hAnsi="Calibri" w:cs="Calibri"/>
                                    <w:bCs/>
                                    <w:vertAlign w:val="superscript"/>
                                  </w:rPr>
                                  <w:t>st</w:t>
                                </w:r>
                                <w:r>
                                  <w:rPr>
                                    <w:rFonts w:ascii="Calibri" w:hAnsi="Calibri" w:cs="Calibri"/>
                                    <w:bCs/>
                                  </w:rPr>
                                  <w:t xml:space="preserve"> attempt: 14/06/2019</w:t>
                                </w:r>
                              </w:p>
                            </w:txbxContent>
                          </wps:txbx>
                          <wps:bodyPr rot="0" vert="horz" wrap="square" lIns="0" tIns="0" rIns="0" bIns="0" anchor="ctr" anchorCtr="0" upright="1">
                            <a:noAutofit/>
                          </wps:bodyPr>
                        </wps:wsp>
                      </wpg:grpSp>
                      <wps:wsp>
                        <wps:cNvPr id="22370" name="Rectangle 22015"/>
                        <wps:cNvSpPr>
                          <a:spLocks noChangeArrowheads="1"/>
                        </wps:cNvSpPr>
                        <wps:spPr bwMode="auto">
                          <a:xfrm>
                            <a:off x="33337" y="0"/>
                            <a:ext cx="18098" cy="2381"/>
                          </a:xfrm>
                          <a:prstGeom prst="rect">
                            <a:avLst/>
                          </a:prstGeom>
                          <a:solidFill>
                            <a:srgbClr val="FFFFFF"/>
                          </a:solidFill>
                          <a:ln>
                            <a:noFill/>
                          </a:ln>
                        </wps:spPr>
                        <wps:txbx>
                          <w:txbxContent>
                            <w:p w14:paraId="2BB95150" w14:textId="77777777" w:rsidR="00CE6626" w:rsidRDefault="00CE6626" w:rsidP="00CE6626">
                              <w:pPr>
                                <w:spacing w:before="0"/>
                                <w:rPr>
                                  <w:rFonts w:ascii="Calibri" w:hAnsi="Calibri" w:cs="Calibri"/>
                                </w:rPr>
                              </w:pPr>
                              <w:r>
                                <w:rPr>
                                  <w:rFonts w:ascii="Calibri" w:hAnsi="Calibri" w:cs="Calibri"/>
                                  <w:bCs/>
                                </w:rPr>
                                <w:t>2</w:t>
                              </w:r>
                              <w:r>
                                <w:rPr>
                                  <w:rFonts w:ascii="Calibri" w:hAnsi="Calibri" w:cs="Calibri"/>
                                  <w:bCs/>
                                  <w:vertAlign w:val="superscript"/>
                                </w:rPr>
                                <w:t>nd</w:t>
                              </w:r>
                              <w:r>
                                <w:rPr>
                                  <w:rFonts w:ascii="Calibri" w:hAnsi="Calibri" w:cs="Calibri"/>
                                  <w:bCs/>
                                </w:rPr>
                                <w:t xml:space="preserve"> attempt: 28/06/2019</w:t>
                              </w:r>
                            </w:p>
                            <w:p w14:paraId="7F712BC5" w14:textId="77777777" w:rsidR="00CE6626" w:rsidRDefault="00CE6626" w:rsidP="00CE6626">
                              <w:pPr>
                                <w:jc w:val="center"/>
                                <w:rPr>
                                  <w:bCs/>
                                </w:rPr>
                              </w:pP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4E9E3F" id="Group 22364" o:spid="_x0000_s2333" style="position:absolute;left:0;text-align:left;margin-left:399.55pt;margin-top:14.65pt;width:450.75pt;height:142pt;z-index:251754496;mso-position-horizontal:right;mso-position-horizontal-relative:margin;mso-position-vertical-relative:text" coordsize="57245,18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">
                <v:group id="Group 22010" o:spid="_x0000_s2334" style="position:absolute;width:57245;height:18034" coordsize="57245,1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">
                  <v:group id="Group 22011" o:spid="_x0000_s2335" style="position:absolute;top:2571;width:57245;height:15463" coordorigin=",2571" coordsize="57245,15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">
                    <v:shape id="Picture 22012" o:spid="_x0000_s2336" type="#_x0000_t75" style="position:absolute;top:2571;width:28054;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">
                      <v:imagedata r:id="rId296" o:title=""/>
                    </v:shape>
                    <v:shape id="Picture 22013" o:spid="_x0000_s2337" type="#_x0000_t75" style="position:absolute;left:29527;top:3524;width:27718;height:1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">
                      <v:imagedata r:id="rId297" o:title=""/>
                    </v:shape>
                  </v:group>
                  <v:rect id="Rectangle 22014" o:spid="_x0000_s2338" style="position:absolute;left:5715;width:18097;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" stroked="f">
                    <v:textbox inset="0,0,0,0">
                      <w:txbxContent>
                        <w:p w14:paraId="18A6D0CF" w14:textId="77777777" w:rsidR="00CE6626" w:rsidRDefault="00CE6626" w:rsidP="00CE6626">
                          <w:pPr>
                            <w:spacing w:before="0" w:line="240" w:lineRule="auto"/>
                            <w:jc w:val="center"/>
                          </w:pPr>
                          <w:r>
                            <w:rPr>
                              <w:rFonts w:ascii="Calibri" w:hAnsi="Calibri" w:cs="Calibri"/>
                              <w:bCs/>
                            </w:rPr>
                            <w:t>1</w:t>
                          </w:r>
                          <w:r>
                            <w:rPr>
                              <w:rFonts w:ascii="Calibri" w:hAnsi="Calibri" w:cs="Calibri"/>
                              <w:bCs/>
                              <w:vertAlign w:val="superscript"/>
                            </w:rPr>
                            <w:t>st</w:t>
                          </w:r>
                          <w:r>
                            <w:rPr>
                              <w:rFonts w:ascii="Calibri" w:hAnsi="Calibri" w:cs="Calibri"/>
                              <w:bCs/>
                            </w:rPr>
                            <w:t xml:space="preserve"> attempt: 14/06/2019</w:t>
                          </w:r>
                        </w:p>
                      </w:txbxContent>
                    </v:textbox>
                  </v:rect>
                </v:group>
                <v:rect id="Rectangle 22015" o:spid="_x0000_s2339" style="position:absolute;left:33337;width:1809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" stroked="f">
                  <v:textbox inset="0,0,0,0">
                    <w:txbxContent>
                      <w:p w14:paraId="2BB95150" w14:textId="77777777" w:rsidR="00CE6626" w:rsidRDefault="00CE6626" w:rsidP="00CE6626">
                        <w:pPr>
                          <w:spacing w:before="0"/>
                          <w:rPr>
                            <w:rFonts w:ascii="Calibri" w:hAnsi="Calibri" w:cs="Calibri"/>
                          </w:rPr>
                        </w:pPr>
                        <w:r>
                          <w:rPr>
                            <w:rFonts w:ascii="Calibri" w:hAnsi="Calibri" w:cs="Calibri"/>
                            <w:bCs/>
                          </w:rPr>
                          <w:t>2</w:t>
                        </w:r>
                        <w:r>
                          <w:rPr>
                            <w:rFonts w:ascii="Calibri" w:hAnsi="Calibri" w:cs="Calibri"/>
                            <w:bCs/>
                            <w:vertAlign w:val="superscript"/>
                          </w:rPr>
                          <w:t>nd</w:t>
                        </w:r>
                        <w:r>
                          <w:rPr>
                            <w:rFonts w:ascii="Calibri" w:hAnsi="Calibri" w:cs="Calibri"/>
                            <w:bCs/>
                          </w:rPr>
                          <w:t xml:space="preserve"> attempt: 28/06/2019</w:t>
                        </w:r>
                      </w:p>
                      <w:p w14:paraId="7F712BC5" w14:textId="77777777" w:rsidR="00CE6626" w:rsidRDefault="00CE6626" w:rsidP="00CE6626">
                        <w:pPr>
                          <w:jc w:val="center"/>
                          <w:rPr>
                            <w:bCs/>
                          </w:rPr>
                        </w:pPr>
                      </w:p>
                    </w:txbxContent>
                  </v:textbox>
                </v:rect>
                <w10:wrap type="through" anchorx="margin"/>
              </v:group>
            </w:pict>
          </mc:Fallback>
        </mc:AlternateContent>
      </w:r>
      <w:r w:rsidR="00CE6626" w:rsidRPr="009D4627">
        <w:rPr>
          <w:rFonts w:eastAsia="Calibri"/>
          <w:szCs w:val="22"/>
          <w:lang w:val="en-MY"/>
        </w:rPr>
        <w:tab/>
      </w:r>
      <w:r w:rsidR="00CE6626" w:rsidRPr="009D4627">
        <w:rPr>
          <w:rFonts w:eastAsia="Calibri"/>
          <w:szCs w:val="22"/>
          <w:lang w:val="en-MY"/>
        </w:rPr>
        <w:tab/>
      </w:r>
      <w:r w:rsidR="00CE6626" w:rsidRPr="009D4627">
        <w:rPr>
          <w:rFonts w:eastAsia="Calibri"/>
          <w:szCs w:val="22"/>
          <w:lang w:val="en-MY"/>
        </w:rPr>
        <w:tab/>
      </w:r>
    </w:p>
    <w:p w14:paraId="7EC1BEA7" w14:textId="77777777" w:rsidR="00CE6626" w:rsidRPr="009D4627" w:rsidRDefault="00CE6626" w:rsidP="00CE6626">
      <w:pPr>
        <w:spacing w:before="0" w:after="0" w:line="240" w:lineRule="auto"/>
        <w:rPr>
          <w:rFonts w:eastAsia="Calibri"/>
          <w:szCs w:val="22"/>
          <w:lang w:val="en-MY"/>
        </w:rPr>
      </w:pPr>
    </w:p>
    <w:p w14:paraId="37197C02" w14:textId="77777777" w:rsidR="00CE6626" w:rsidRPr="009D4627" w:rsidRDefault="00CE6626" w:rsidP="00CE6626">
      <w:pPr>
        <w:spacing w:before="0" w:after="0" w:line="240" w:lineRule="auto"/>
        <w:rPr>
          <w:rFonts w:eastAsia="Calibri"/>
          <w:b/>
          <w:bCs/>
          <w:szCs w:val="22"/>
          <w:lang w:val="en-MY"/>
        </w:rPr>
      </w:pPr>
      <w:r w:rsidRPr="009D4627">
        <w:rPr>
          <w:rFonts w:eastAsia="Calibri"/>
          <w:b/>
          <w:bCs/>
          <w:szCs w:val="22"/>
          <w:lang w:val="en-MY"/>
        </w:rPr>
        <w:lastRenderedPageBreak/>
        <w:t xml:space="preserve">Assessment &amp; Plan: </w:t>
      </w:r>
      <w:r w:rsidRPr="009D4627">
        <w:rPr>
          <w:rFonts w:eastAsia="Calibri"/>
          <w:b/>
          <w:bCs/>
          <w:szCs w:val="22"/>
          <w:lang w:val="en-MY"/>
        </w:rPr>
        <w:tab/>
      </w:r>
    </w:p>
    <w:p w14:paraId="67B71C4F" w14:textId="77777777" w:rsidR="00CE6626" w:rsidRPr="009D4627" w:rsidRDefault="00CE6626" w:rsidP="00CE6626">
      <w:pPr>
        <w:spacing w:before="0" w:after="0" w:line="240" w:lineRule="auto"/>
        <w:ind w:left="720" w:firstLine="720"/>
        <w:rPr>
          <w:rFonts w:eastAsia="Calibri"/>
          <w:szCs w:val="22"/>
          <w:lang w:val="en-MY"/>
        </w:rPr>
      </w:pPr>
      <w:r w:rsidRPr="009D4627">
        <w:rPr>
          <w:rFonts w:eastAsia="Calibri"/>
          <w:szCs w:val="22"/>
          <w:lang w:val="en-MY"/>
        </w:rPr>
        <w:t>Recent onset</w:t>
      </w:r>
      <w:r w:rsidRPr="009D4627">
        <w:rPr>
          <w:rFonts w:eastAsia="Calibri"/>
          <w:b/>
          <w:bCs/>
          <w:szCs w:val="22"/>
          <w:lang w:val="en-MY"/>
        </w:rPr>
        <w:t xml:space="preserve"> </w:t>
      </w:r>
      <w:r w:rsidRPr="009D4627">
        <w:rPr>
          <w:rFonts w:eastAsia="Calibri"/>
          <w:szCs w:val="22"/>
          <w:lang w:val="en-MY"/>
        </w:rPr>
        <w:t>L sixth nerve palsy (likely microvascular aetiology)</w:t>
      </w:r>
    </w:p>
    <w:p w14:paraId="76C5FCC1" w14:textId="77777777" w:rsidR="00CE6626" w:rsidRPr="009D4627" w:rsidRDefault="00CE6626" w:rsidP="00CE6626">
      <w:pPr>
        <w:spacing w:before="0" w:after="0" w:line="240" w:lineRule="auto"/>
        <w:rPr>
          <w:rFonts w:eastAsia="Calibri"/>
          <w:szCs w:val="22"/>
          <w:lang w:val="en-MY"/>
        </w:rPr>
      </w:pPr>
      <w:r w:rsidRPr="009D4627">
        <w:rPr>
          <w:rFonts w:eastAsia="Calibri"/>
          <w:szCs w:val="22"/>
          <w:lang w:val="en-MY"/>
        </w:rPr>
        <w:tab/>
      </w:r>
      <w:r w:rsidRPr="009D4627">
        <w:rPr>
          <w:rFonts w:eastAsia="Calibri"/>
          <w:szCs w:val="22"/>
          <w:lang w:val="en-MY"/>
        </w:rPr>
        <w:tab/>
        <w:t>Huge LLR restriction.</w:t>
      </w:r>
    </w:p>
    <w:p w14:paraId="247E7432" w14:textId="77777777" w:rsidR="00CE6626" w:rsidRPr="009D4627" w:rsidRDefault="00CE6626" w:rsidP="00CE6626">
      <w:pPr>
        <w:spacing w:before="0" w:after="0" w:line="240" w:lineRule="auto"/>
        <w:ind w:left="720" w:firstLine="720"/>
        <w:rPr>
          <w:rFonts w:eastAsia="Calibri"/>
          <w:szCs w:val="22"/>
          <w:lang w:val="en-MY"/>
        </w:rPr>
      </w:pPr>
      <w:r w:rsidRPr="009D4627">
        <w:rPr>
          <w:rFonts w:eastAsia="Calibri"/>
          <w:szCs w:val="22"/>
          <w:lang w:val="en-MY"/>
        </w:rPr>
        <w:t>Unable to join diplopia with Δ due to large deviation angle.</w:t>
      </w:r>
    </w:p>
    <w:p w14:paraId="223C7436" w14:textId="77777777" w:rsidR="00CE6626" w:rsidRPr="009D4627" w:rsidRDefault="00CE6626" w:rsidP="00CE6626">
      <w:pPr>
        <w:spacing w:before="0" w:after="0" w:line="240" w:lineRule="auto"/>
        <w:ind w:left="720" w:firstLine="720"/>
        <w:rPr>
          <w:rFonts w:eastAsia="Calibri"/>
          <w:szCs w:val="22"/>
          <w:lang w:val="en-MY"/>
        </w:rPr>
      </w:pPr>
      <w:r w:rsidRPr="009D4627">
        <w:rPr>
          <w:rFonts w:eastAsia="Calibri"/>
          <w:szCs w:val="22"/>
          <w:lang w:val="en-MY"/>
        </w:rPr>
        <w:t>Given eye patch to relieve diplopia.</w:t>
      </w:r>
    </w:p>
    <w:p w14:paraId="0443117D" w14:textId="77777777" w:rsidR="00CE6626" w:rsidRPr="009D4627" w:rsidRDefault="00CE6626" w:rsidP="00CE6626">
      <w:pPr>
        <w:spacing w:before="0" w:after="0" w:line="240" w:lineRule="auto"/>
        <w:ind w:left="720" w:firstLine="720"/>
        <w:rPr>
          <w:rFonts w:eastAsia="Calibri"/>
          <w:szCs w:val="22"/>
          <w:lang w:val="en-MY"/>
        </w:rPr>
      </w:pPr>
      <w:r w:rsidRPr="009D4627">
        <w:rPr>
          <w:rFonts w:eastAsia="Calibri"/>
          <w:szCs w:val="22"/>
          <w:lang w:val="en-MY"/>
        </w:rPr>
        <w:t>Review 2-4/52 to monitor recovery.</w:t>
      </w:r>
    </w:p>
    <w:p w14:paraId="1C02A208" w14:textId="77777777" w:rsidR="00CE6626" w:rsidRPr="009D4627" w:rsidRDefault="00CE6626" w:rsidP="00CE6626">
      <w:pPr>
        <w:spacing w:before="0" w:after="0" w:line="240" w:lineRule="auto"/>
        <w:rPr>
          <w:rFonts w:eastAsia="Calibri"/>
          <w:b/>
          <w:szCs w:val="22"/>
          <w:u w:val="single"/>
          <w:lang w:val="en-MY"/>
        </w:rPr>
      </w:pPr>
    </w:p>
    <w:p w14:paraId="2C0EDA89" w14:textId="77777777" w:rsidR="00CE6626" w:rsidRPr="009D4627" w:rsidRDefault="00CE6626" w:rsidP="00CE6626">
      <w:pPr>
        <w:spacing w:before="0" w:after="0" w:line="240" w:lineRule="auto"/>
        <w:rPr>
          <w:rFonts w:eastAsia="Calibri"/>
          <w:b/>
          <w:szCs w:val="22"/>
          <w:u w:val="single"/>
          <w:lang w:val="en-MY"/>
        </w:rPr>
      </w:pPr>
    </w:p>
    <w:p w14:paraId="50E27423" w14:textId="77777777"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2: </w:t>
      </w:r>
      <w:r w:rsidRPr="009D4627">
        <w:rPr>
          <w:rFonts w:eastAsia="Calibri"/>
          <w:bCs/>
          <w:szCs w:val="22"/>
          <w:u w:val="single"/>
          <w:lang w:val="en-MY"/>
        </w:rPr>
        <w:t>28/06/19 (2</w:t>
      </w:r>
      <w:r w:rsidRPr="009D4627">
        <w:rPr>
          <w:rFonts w:eastAsia="Calibri"/>
          <w:bCs/>
          <w:color w:val="FF0000"/>
          <w:szCs w:val="22"/>
          <w:u w:val="single"/>
          <w:lang w:val="en-MY"/>
        </w:rPr>
        <w:t xml:space="preserve"> </w:t>
      </w:r>
      <w:r w:rsidRPr="009D4627">
        <w:rPr>
          <w:rFonts w:eastAsia="Calibri"/>
          <w:bCs/>
          <w:szCs w:val="22"/>
          <w:u w:val="single"/>
          <w:lang w:val="en-MY"/>
        </w:rPr>
        <w:t>weeks from onset)</w:t>
      </w:r>
    </w:p>
    <w:p w14:paraId="1A8E4FAA" w14:textId="77777777" w:rsidR="00CE6626" w:rsidRPr="009D4627" w:rsidRDefault="00CE6626" w:rsidP="00CE6626">
      <w:pPr>
        <w:spacing w:before="0" w:after="0" w:line="240" w:lineRule="auto"/>
        <w:rPr>
          <w:rFonts w:eastAsia="Calibri"/>
          <w:szCs w:val="22"/>
          <w:lang w:val="en-MY"/>
        </w:rPr>
      </w:pPr>
    </w:p>
    <w:p w14:paraId="6092E447" w14:textId="77777777" w:rsidR="00CE6626" w:rsidRPr="009D4627" w:rsidRDefault="00CE6626" w:rsidP="00CE6626">
      <w:pPr>
        <w:spacing w:before="0" w:after="0" w:line="240" w:lineRule="auto"/>
        <w:rPr>
          <w:rFonts w:eastAsia="Calibri"/>
          <w:color w:val="auto"/>
          <w:szCs w:val="22"/>
          <w:lang w:val="en-MY"/>
        </w:rPr>
      </w:pPr>
      <w:r w:rsidRPr="009D4627">
        <w:rPr>
          <w:rFonts w:eastAsia="Calibri"/>
          <w:color w:val="auto"/>
          <w:szCs w:val="22"/>
          <w:lang w:val="en-MY"/>
        </w:rPr>
        <w:t xml:space="preserve">He said that eye patch not helping the double vision, instead giving him headaches. </w:t>
      </w:r>
    </w:p>
    <w:p w14:paraId="7E4C687B" w14:textId="77777777" w:rsidR="00CE6626" w:rsidRPr="009D4627" w:rsidRDefault="00CE6626" w:rsidP="00CE6626">
      <w:pPr>
        <w:spacing w:before="0" w:after="0" w:line="240" w:lineRule="auto"/>
        <w:rPr>
          <w:rFonts w:eastAsia="Calibri"/>
          <w:b/>
          <w:szCs w:val="22"/>
          <w:lang w:val="en-MY"/>
        </w:rPr>
      </w:pPr>
    </w:p>
    <w:p w14:paraId="54513E14" w14:textId="7B37B399"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unaided</w:t>
      </w:r>
      <w:r w:rsidRPr="009D4627">
        <w:rPr>
          <w:rFonts w:eastAsia="Calibri"/>
          <w:bCs/>
          <w:szCs w:val="22"/>
          <w:lang w:val="en-MY"/>
        </w:rPr>
        <w:tab/>
        <w:t>RE 0.32</w:t>
      </w:r>
      <w:r w:rsidRPr="009D4627">
        <w:rPr>
          <w:rFonts w:eastAsia="Calibri"/>
          <w:bCs/>
          <w:szCs w:val="22"/>
          <w:lang w:val="en-MY"/>
        </w:rPr>
        <w:tab/>
        <w:t>LE 0.22</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4BC767CC"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Pr="009D4627">
        <w:rPr>
          <w:rFonts w:eastAsia="Calibri"/>
          <w:bCs/>
          <w:szCs w:val="22"/>
          <w:lang w:val="en-MY"/>
        </w:rPr>
        <w:t>6/12</w:t>
      </w:r>
      <w:r w:rsidRPr="009D4627">
        <w:rPr>
          <w:rFonts w:eastAsia="Calibri"/>
          <w:bCs/>
          <w:szCs w:val="22"/>
          <w:vertAlign w:val="superscript"/>
          <w:lang w:val="en-MY"/>
        </w:rPr>
        <w:t>-1</w:t>
      </w:r>
      <w:r w:rsidRPr="009D4627">
        <w:rPr>
          <w:rFonts w:eastAsia="Calibri"/>
          <w:bCs/>
          <w:szCs w:val="22"/>
          <w:lang w:val="en-MY"/>
        </w:rPr>
        <w:tab/>
        <w:t xml:space="preserve">     6/9.5</w:t>
      </w:r>
      <w:r w:rsidRPr="009D4627">
        <w:rPr>
          <w:rFonts w:eastAsia="Calibri"/>
          <w:bCs/>
          <w:szCs w:val="22"/>
          <w:vertAlign w:val="superscript"/>
          <w:lang w:val="en-MY"/>
        </w:rPr>
        <w:t>-1</w:t>
      </w:r>
      <w:r w:rsidRPr="009D4627">
        <w:rPr>
          <w:rFonts w:eastAsia="Calibri"/>
          <w:bCs/>
          <w:szCs w:val="22"/>
          <w:lang w:val="en-MY"/>
        </w:rPr>
        <w:t xml:space="preserve"> </w:t>
      </w:r>
      <w:r w:rsidRPr="009D4627">
        <w:rPr>
          <w:rFonts w:eastAsia="Calibri"/>
          <w:bCs/>
          <w:szCs w:val="22"/>
          <w:lang w:val="en-MY"/>
        </w:rPr>
        <w:tab/>
        <w:t>Snellen equivalent</w:t>
      </w:r>
    </w:p>
    <w:p w14:paraId="3BE5D17B" w14:textId="77777777" w:rsidR="00CE6626" w:rsidRPr="009D4627" w:rsidRDefault="00CE6626" w:rsidP="00CE6626">
      <w:pPr>
        <w:spacing w:before="0" w:after="0" w:line="240" w:lineRule="auto"/>
        <w:rPr>
          <w:rFonts w:eastAsia="Calibri"/>
          <w:bCs/>
          <w:szCs w:val="22"/>
          <w:lang w:val="en-MY"/>
        </w:rPr>
      </w:pPr>
    </w:p>
    <w:p w14:paraId="7AA22363"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t>with PH</w:t>
      </w:r>
      <w:r w:rsidRPr="009D4627">
        <w:rPr>
          <w:rFonts w:eastAsia="Calibri"/>
          <w:bCs/>
          <w:szCs w:val="22"/>
          <w:lang w:val="en-MY"/>
        </w:rPr>
        <w:tab/>
        <w:t>RE 0.12</w:t>
      </w:r>
      <w:r w:rsidRPr="009D4627">
        <w:rPr>
          <w:rFonts w:eastAsia="Calibri"/>
          <w:bCs/>
          <w:szCs w:val="22"/>
          <w:lang w:val="en-MY"/>
        </w:rPr>
        <w:tab/>
        <w:t xml:space="preserve"> LE 0.1</w:t>
      </w:r>
      <w:r w:rsidRPr="009D4627">
        <w:rPr>
          <w:rFonts w:eastAsia="Calibri"/>
          <w:bCs/>
          <w:szCs w:val="22"/>
          <w:lang w:val="en-MY"/>
        </w:rPr>
        <w:tab/>
        <w:t xml:space="preserve"> </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p>
    <w:p w14:paraId="393486A6"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6/9</w:t>
      </w:r>
      <w:r w:rsidRPr="009D4627">
        <w:rPr>
          <w:rFonts w:eastAsia="Calibri"/>
          <w:bCs/>
          <w:szCs w:val="22"/>
          <w:vertAlign w:val="superscript"/>
          <w:lang w:val="en-MY"/>
        </w:rPr>
        <w:t>+3</w:t>
      </w:r>
      <w:r w:rsidRPr="009D4627">
        <w:rPr>
          <w:rFonts w:eastAsia="Calibri"/>
          <w:bCs/>
          <w:szCs w:val="22"/>
          <w:lang w:val="en-MY"/>
        </w:rPr>
        <w:tab/>
        <w:t xml:space="preserve">      6/7.5</w:t>
      </w:r>
      <w:r w:rsidRPr="009D4627">
        <w:rPr>
          <w:rFonts w:eastAsia="Calibri"/>
          <w:bCs/>
          <w:szCs w:val="22"/>
          <w:lang w:val="en-MY"/>
        </w:rPr>
        <w:tab/>
        <w:t>Snellen equivalent</w:t>
      </w:r>
    </w:p>
    <w:p w14:paraId="2F1E678C"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p>
    <w:p w14:paraId="3C772626" w14:textId="77777777" w:rsidR="00CE6626" w:rsidRPr="009D4627" w:rsidRDefault="00CE6626" w:rsidP="00CE6626">
      <w:pPr>
        <w:spacing w:before="0" w:after="0" w:line="240" w:lineRule="auto"/>
        <w:ind w:left="1276" w:hanging="1276"/>
        <w:rPr>
          <w:rFonts w:eastAsia="Calibri"/>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szCs w:val="22"/>
          <w:lang w:val="en-MY"/>
        </w:rPr>
        <w:t xml:space="preserve"> </w:t>
      </w:r>
      <w:r w:rsidRPr="009D4627">
        <w:rPr>
          <w:rFonts w:eastAsia="Calibri"/>
          <w:szCs w:val="22"/>
          <w:lang w:val="en-MY"/>
        </w:rPr>
        <w:tab/>
        <w:t xml:space="preserve">with readers 1/3 </w:t>
      </w:r>
      <w:proofErr w:type="gramStart"/>
      <w:r w:rsidRPr="009D4627">
        <w:rPr>
          <w:rFonts w:eastAsia="Calibri"/>
          <w:szCs w:val="22"/>
          <w:lang w:val="en-MY"/>
        </w:rPr>
        <w:t>m  Mod</w:t>
      </w:r>
      <w:proofErr w:type="gramEnd"/>
      <w:r w:rsidRPr="009D4627">
        <w:rPr>
          <w:rFonts w:eastAsia="Calibri"/>
          <w:szCs w:val="22"/>
          <w:lang w:val="en-MY"/>
        </w:rPr>
        <w:t xml:space="preserve">. L Alt ET </w:t>
      </w:r>
    </w:p>
    <w:p w14:paraId="41FF53CD" w14:textId="77777777" w:rsidR="00CE6626" w:rsidRPr="009D4627" w:rsidRDefault="00CE6626" w:rsidP="00CE6626">
      <w:pPr>
        <w:spacing w:before="0" w:after="0" w:line="240" w:lineRule="auto"/>
        <w:ind w:left="1276" w:firstLine="164"/>
        <w:rPr>
          <w:rFonts w:eastAsia="Calibri"/>
          <w:bCs/>
          <w:szCs w:val="22"/>
          <w:lang w:val="en-MY"/>
        </w:rPr>
      </w:pPr>
      <w:r w:rsidRPr="009D4627">
        <w:rPr>
          <w:rFonts w:eastAsia="Calibri"/>
          <w:bCs/>
          <w:szCs w:val="22"/>
          <w:lang w:val="en-MY"/>
        </w:rPr>
        <w:t>unaided</w:t>
      </w:r>
      <w:r w:rsidRPr="009D4627">
        <w:rPr>
          <w:rFonts w:eastAsia="Calibri"/>
          <w:bCs/>
          <w:szCs w:val="22"/>
          <w:lang w:val="en-MY"/>
        </w:rPr>
        <w:tab/>
        <w:t xml:space="preserve">6 </w:t>
      </w:r>
      <w:proofErr w:type="gramStart"/>
      <w:r w:rsidRPr="009D4627">
        <w:rPr>
          <w:rFonts w:eastAsia="Calibri"/>
          <w:bCs/>
          <w:szCs w:val="22"/>
          <w:lang w:val="en-MY"/>
        </w:rPr>
        <w:t>m  Mod</w:t>
      </w:r>
      <w:proofErr w:type="gramEnd"/>
      <w:r w:rsidRPr="009D4627">
        <w:rPr>
          <w:rFonts w:eastAsia="Calibri"/>
          <w:bCs/>
          <w:szCs w:val="22"/>
          <w:lang w:val="en-MY"/>
        </w:rPr>
        <w:t xml:space="preserve">. L Alt ET </w:t>
      </w:r>
    </w:p>
    <w:p w14:paraId="7B3EAAB3"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
          <w:szCs w:val="22"/>
          <w:lang w:val="en-MY"/>
        </w:rPr>
        <w:tab/>
      </w:r>
    </w:p>
    <w:p w14:paraId="2E277CF4" w14:textId="77777777" w:rsidR="00CE6626" w:rsidRPr="009D4627" w:rsidRDefault="00CE6626" w:rsidP="00CE6626">
      <w:pPr>
        <w:spacing w:before="0" w:after="0" w:line="240" w:lineRule="auto"/>
        <w:rPr>
          <w:rFonts w:eastAsia="Calibri"/>
          <w:szCs w:val="22"/>
          <w:lang w:val="en-MY"/>
        </w:rPr>
      </w:pPr>
      <w:r w:rsidRPr="009D4627">
        <w:rPr>
          <w:rFonts w:eastAsia="Calibri"/>
          <w:b/>
          <w:szCs w:val="22"/>
          <w:lang w:val="en-MY"/>
        </w:rPr>
        <w:t>PCT:</w:t>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szCs w:val="22"/>
          <w:lang w:val="en-MY"/>
        </w:rPr>
        <w:t>6 m very variable angle (20</w:t>
      </w:r>
      <w:r w:rsidRPr="009D4627">
        <w:rPr>
          <w:rFonts w:eastAsia="Calibri"/>
          <w:szCs w:val="22"/>
          <w:vertAlign w:val="superscript"/>
          <w:lang w:val="en-MY"/>
        </w:rPr>
        <w:t>Δ</w:t>
      </w:r>
      <w:r w:rsidRPr="009D4627">
        <w:rPr>
          <w:rFonts w:eastAsia="Calibri"/>
          <w:szCs w:val="22"/>
          <w:lang w:val="en-MY"/>
        </w:rPr>
        <w:t xml:space="preserve"> BO </w:t>
      </w:r>
      <w:r w:rsidRPr="009D4627">
        <w:rPr>
          <w:rFonts w:eastAsia="Calibri"/>
          <w:szCs w:val="22"/>
          <w:lang w:val="en-MY"/>
        </w:rPr>
        <w:sym w:font="Wingdings" w:char="F0E0"/>
      </w:r>
      <w:r w:rsidRPr="009D4627">
        <w:rPr>
          <w:rFonts w:eastAsia="Calibri"/>
          <w:szCs w:val="22"/>
          <w:lang w:val="en-MY"/>
        </w:rPr>
        <w:t xml:space="preserve"> &gt;50</w:t>
      </w:r>
      <w:r w:rsidRPr="009D4627">
        <w:rPr>
          <w:rFonts w:eastAsia="Calibri"/>
          <w:szCs w:val="22"/>
          <w:vertAlign w:val="superscript"/>
          <w:lang w:val="en-MY"/>
        </w:rPr>
        <w:t>Δ</w:t>
      </w:r>
      <w:r w:rsidRPr="009D4627">
        <w:rPr>
          <w:rFonts w:eastAsia="Calibri"/>
          <w:szCs w:val="22"/>
          <w:lang w:val="en-MY"/>
        </w:rPr>
        <w:t xml:space="preserve"> BO)</w:t>
      </w:r>
    </w:p>
    <w:p w14:paraId="3BF17415" w14:textId="77777777" w:rsidR="00CE6626" w:rsidRPr="009D4627" w:rsidRDefault="00CE6626" w:rsidP="00CE6626">
      <w:pPr>
        <w:spacing w:before="0" w:after="0" w:line="240" w:lineRule="auto"/>
        <w:rPr>
          <w:rFonts w:eastAsia="Calibri"/>
          <w:szCs w:val="22"/>
          <w:lang w:val="en-MY"/>
        </w:rPr>
      </w:pPr>
    </w:p>
    <w:p w14:paraId="38FF227F" w14:textId="77777777" w:rsidR="00CE6626" w:rsidRPr="009D4627" w:rsidRDefault="00CE6626" w:rsidP="00CE6626">
      <w:pPr>
        <w:spacing w:before="0" w:after="0" w:line="240" w:lineRule="auto"/>
        <w:ind w:left="1440" w:hanging="1440"/>
        <w:rPr>
          <w:rFonts w:eastAsia="Calibri"/>
          <w:bCs/>
          <w:noProof/>
          <w:szCs w:val="22"/>
          <w:lang w:val="en-MY"/>
        </w:rPr>
      </w:pPr>
      <w:r w:rsidRPr="009D4627">
        <w:rPr>
          <w:rFonts w:eastAsia="Calibri"/>
          <w:b/>
          <w:bCs/>
          <w:color w:val="auto"/>
          <w:szCs w:val="22"/>
          <w:lang w:val="en-MY"/>
        </w:rPr>
        <w:t xml:space="preserve">Hess: </w:t>
      </w:r>
    </w:p>
    <w:p w14:paraId="2EDB25F3" w14:textId="77777777" w:rsidR="00CE6626" w:rsidRPr="009D4627" w:rsidRDefault="00CE6626" w:rsidP="00CE6626">
      <w:pPr>
        <w:spacing w:before="0" w:after="0" w:line="240" w:lineRule="auto"/>
        <w:ind w:left="1440" w:hanging="1440"/>
        <w:rPr>
          <w:rFonts w:eastAsia="Calibri"/>
          <w:b/>
          <w:bCs/>
          <w:color w:val="auto"/>
          <w:szCs w:val="22"/>
          <w:lang w:val="en-MY"/>
        </w:rPr>
      </w:pPr>
      <w:r w:rsidRPr="009D4627">
        <w:rPr>
          <w:rFonts w:eastAsia="Calibri"/>
          <w:bCs/>
          <w:noProof/>
          <w:szCs w:val="22"/>
          <w:lang w:val="en-US"/>
        </w:rPr>
        <w:drawing>
          <wp:anchor distT="0" distB="0" distL="114300" distR="114300" simplePos="0" relativeHeight="251574784" behindDoc="1" locked="0" layoutInCell="1" allowOverlap="1" wp14:anchorId="28E67C5B" wp14:editId="33027A22">
            <wp:simplePos x="0" y="0"/>
            <wp:positionH relativeFrom="margin">
              <wp:align>center</wp:align>
            </wp:positionH>
            <wp:positionV relativeFrom="paragraph">
              <wp:posOffset>8890</wp:posOffset>
            </wp:positionV>
            <wp:extent cx="4362450" cy="2242820"/>
            <wp:effectExtent l="0" t="0" r="0" b="5080"/>
            <wp:wrapTight wrapText="bothSides">
              <wp:wrapPolygon edited="0">
                <wp:start x="0" y="0"/>
                <wp:lineTo x="0" y="21465"/>
                <wp:lineTo x="21506" y="21465"/>
                <wp:lineTo x="21506" y="0"/>
                <wp:lineTo x="0" y="0"/>
              </wp:wrapPolygon>
            </wp:wrapTight>
            <wp:docPr id="22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cstate="screen">
                      <a:extLst>
                        <a:ext uri="{28A0092B-C50C-407E-A947-70E740481C1C}">
                          <a14:useLocalDpi xmlns:a14="http://schemas.microsoft.com/office/drawing/2010/main" val="0"/>
                        </a:ext>
                      </a:extLst>
                    </a:blip>
                    <a:srcRect/>
                    <a:stretch>
                      <a:fillRect/>
                    </a:stretch>
                  </pic:blipFill>
                  <pic:spPr bwMode="auto">
                    <a:xfrm>
                      <a:off x="0" y="0"/>
                      <a:ext cx="4362450" cy="2242820"/>
                    </a:xfrm>
                    <a:prstGeom prst="rect">
                      <a:avLst/>
                    </a:prstGeom>
                    <a:noFill/>
                  </pic:spPr>
                </pic:pic>
              </a:graphicData>
            </a:graphic>
            <wp14:sizeRelH relativeFrom="page">
              <wp14:pctWidth>0</wp14:pctWidth>
            </wp14:sizeRelH>
            <wp14:sizeRelV relativeFrom="page">
              <wp14:pctHeight>0</wp14:pctHeight>
            </wp14:sizeRelV>
          </wp:anchor>
        </w:drawing>
      </w:r>
      <w:r w:rsidRPr="009D4627">
        <w:rPr>
          <w:rFonts w:eastAsia="Calibri"/>
          <w:b/>
          <w:bCs/>
          <w:color w:val="auto"/>
          <w:szCs w:val="22"/>
          <w:lang w:val="en-MY"/>
        </w:rPr>
        <w:tab/>
      </w:r>
    </w:p>
    <w:p w14:paraId="284B9D84" w14:textId="77777777" w:rsidR="00CE6626" w:rsidRPr="009D4627" w:rsidRDefault="00CE6626" w:rsidP="00CE6626">
      <w:pPr>
        <w:spacing w:before="0" w:after="0" w:line="240" w:lineRule="auto"/>
        <w:ind w:left="1440" w:hanging="1440"/>
        <w:rPr>
          <w:rFonts w:eastAsia="Calibri"/>
          <w:b/>
          <w:bCs/>
          <w:color w:val="auto"/>
          <w:szCs w:val="22"/>
          <w:lang w:val="en-MY"/>
        </w:rPr>
      </w:pPr>
    </w:p>
    <w:p w14:paraId="77E69A4E" w14:textId="77777777" w:rsidR="00CE6626" w:rsidRPr="009D4627" w:rsidRDefault="00CE6626" w:rsidP="00CE6626">
      <w:pPr>
        <w:spacing w:before="0" w:after="0" w:line="240" w:lineRule="auto"/>
        <w:ind w:left="1440" w:hanging="1440"/>
        <w:rPr>
          <w:rFonts w:eastAsia="Calibri"/>
          <w:b/>
          <w:bCs/>
          <w:color w:val="auto"/>
          <w:szCs w:val="22"/>
          <w:lang w:val="en-MY"/>
        </w:rPr>
      </w:pPr>
    </w:p>
    <w:p w14:paraId="64BA9BDE" w14:textId="77777777" w:rsidR="00CE6626" w:rsidRPr="009D4627" w:rsidRDefault="00CE6626" w:rsidP="00CE6626">
      <w:pPr>
        <w:spacing w:before="0" w:after="0" w:line="240" w:lineRule="auto"/>
        <w:ind w:left="1440" w:hanging="1440"/>
        <w:rPr>
          <w:rFonts w:eastAsia="Calibri"/>
          <w:b/>
          <w:bCs/>
          <w:color w:val="auto"/>
          <w:szCs w:val="22"/>
          <w:lang w:val="en-MY"/>
        </w:rPr>
      </w:pPr>
    </w:p>
    <w:p w14:paraId="65FA8576" w14:textId="77777777" w:rsidR="00CE6626" w:rsidRPr="009D4627" w:rsidRDefault="00CE6626" w:rsidP="00CE6626">
      <w:pPr>
        <w:spacing w:before="0" w:after="0" w:line="240" w:lineRule="auto"/>
        <w:ind w:left="1440" w:hanging="1440"/>
        <w:rPr>
          <w:rFonts w:eastAsia="Calibri"/>
          <w:b/>
          <w:bCs/>
          <w:color w:val="auto"/>
          <w:szCs w:val="22"/>
          <w:lang w:val="en-MY"/>
        </w:rPr>
      </w:pPr>
    </w:p>
    <w:p w14:paraId="56DEFCB2" w14:textId="77777777" w:rsidR="00CE6626" w:rsidRPr="009D4627" w:rsidRDefault="00CE6626" w:rsidP="00CE6626">
      <w:pPr>
        <w:spacing w:before="0" w:after="0" w:line="240" w:lineRule="auto"/>
        <w:ind w:left="1440" w:hanging="1440"/>
        <w:rPr>
          <w:rFonts w:eastAsia="Calibri"/>
          <w:color w:val="auto"/>
          <w:szCs w:val="22"/>
          <w:lang w:val="en-MY"/>
        </w:rPr>
      </w:pPr>
    </w:p>
    <w:p w14:paraId="43912A08" w14:textId="77777777" w:rsidR="00CE6626" w:rsidRPr="009D4627" w:rsidRDefault="00CE6626" w:rsidP="00CE6626">
      <w:pPr>
        <w:spacing w:before="0" w:after="0" w:line="240" w:lineRule="auto"/>
        <w:rPr>
          <w:rFonts w:eastAsia="Calibri"/>
          <w:color w:val="auto"/>
          <w:szCs w:val="22"/>
          <w:lang w:val="en-MY"/>
        </w:rPr>
      </w:pPr>
    </w:p>
    <w:p w14:paraId="330647EE" w14:textId="77777777" w:rsidR="00CE6626" w:rsidRPr="009D4627" w:rsidRDefault="00CE6626" w:rsidP="00CE6626">
      <w:pPr>
        <w:spacing w:before="0" w:after="0" w:line="240" w:lineRule="auto"/>
        <w:rPr>
          <w:rFonts w:eastAsia="Calibri"/>
          <w:b/>
          <w:bCs/>
          <w:color w:val="auto"/>
          <w:szCs w:val="22"/>
          <w:lang w:val="en-MY"/>
        </w:rPr>
      </w:pPr>
    </w:p>
    <w:p w14:paraId="130232D5" w14:textId="77777777" w:rsidR="00CE6626" w:rsidRPr="009D4627" w:rsidRDefault="00CE6626" w:rsidP="00CE6626">
      <w:pPr>
        <w:spacing w:before="0" w:after="0" w:line="240" w:lineRule="auto"/>
        <w:rPr>
          <w:rFonts w:eastAsia="Calibri"/>
          <w:b/>
          <w:bCs/>
          <w:color w:val="auto"/>
          <w:szCs w:val="22"/>
          <w:lang w:val="en-MY"/>
        </w:rPr>
      </w:pPr>
    </w:p>
    <w:p w14:paraId="5664BFCA" w14:textId="77777777" w:rsidR="00CE6626" w:rsidRPr="009D4627" w:rsidRDefault="00CE6626" w:rsidP="00CE6626">
      <w:pPr>
        <w:spacing w:before="0" w:after="0" w:line="240" w:lineRule="auto"/>
        <w:rPr>
          <w:rFonts w:eastAsia="Calibri"/>
          <w:b/>
          <w:bCs/>
          <w:color w:val="auto"/>
          <w:szCs w:val="22"/>
          <w:lang w:val="en-MY"/>
        </w:rPr>
      </w:pPr>
    </w:p>
    <w:p w14:paraId="721E7AE0" w14:textId="77777777" w:rsidR="00CE6626" w:rsidRPr="009D4627" w:rsidRDefault="00CE6626" w:rsidP="00CE6626">
      <w:pPr>
        <w:spacing w:before="0" w:after="0" w:line="240" w:lineRule="auto"/>
        <w:rPr>
          <w:rFonts w:eastAsia="Calibri"/>
          <w:b/>
          <w:bCs/>
          <w:color w:val="auto"/>
          <w:szCs w:val="22"/>
          <w:lang w:val="en-MY"/>
        </w:rPr>
      </w:pPr>
    </w:p>
    <w:p w14:paraId="165CE30E" w14:textId="77777777" w:rsidR="00CE6626" w:rsidRPr="009D4627" w:rsidRDefault="00CE6626" w:rsidP="00CE6626">
      <w:pPr>
        <w:spacing w:before="0" w:after="0" w:line="240" w:lineRule="auto"/>
        <w:rPr>
          <w:rFonts w:eastAsia="Calibri"/>
          <w:b/>
          <w:bCs/>
          <w:color w:val="auto"/>
          <w:szCs w:val="22"/>
          <w:lang w:val="en-MY"/>
        </w:rPr>
      </w:pPr>
    </w:p>
    <w:p w14:paraId="047F5759" w14:textId="77777777" w:rsidR="00CE6626" w:rsidRPr="009D4627" w:rsidRDefault="00CE6626" w:rsidP="00CE6626">
      <w:pPr>
        <w:spacing w:before="0" w:after="0" w:line="240" w:lineRule="auto"/>
        <w:rPr>
          <w:rFonts w:eastAsia="Calibri"/>
          <w:b/>
          <w:bCs/>
          <w:color w:val="auto"/>
          <w:szCs w:val="22"/>
          <w:lang w:val="en-MY"/>
        </w:rPr>
      </w:pPr>
    </w:p>
    <w:p w14:paraId="24469AD8" w14:textId="77777777" w:rsidR="00CE6626" w:rsidRPr="009D4627" w:rsidRDefault="00CE6626" w:rsidP="00CE6626">
      <w:pPr>
        <w:spacing w:before="0" w:after="0" w:line="240" w:lineRule="auto"/>
        <w:rPr>
          <w:rFonts w:eastAsia="Calibri"/>
          <w:b/>
          <w:bCs/>
          <w:color w:val="auto"/>
          <w:szCs w:val="22"/>
          <w:lang w:val="en-MY"/>
        </w:rPr>
      </w:pPr>
    </w:p>
    <w:p w14:paraId="43AF1C12" w14:textId="77777777" w:rsidR="00CE6626" w:rsidRPr="009D4627" w:rsidRDefault="00CE6626" w:rsidP="00CE6626">
      <w:pPr>
        <w:spacing w:before="0" w:after="0" w:line="240" w:lineRule="auto"/>
        <w:rPr>
          <w:rFonts w:eastAsia="Calibri"/>
          <w:b/>
          <w:bCs/>
          <w:color w:val="auto"/>
          <w:szCs w:val="22"/>
          <w:lang w:val="en-MY"/>
        </w:rPr>
      </w:pPr>
      <w:r w:rsidRPr="009D4627">
        <w:rPr>
          <w:rFonts w:eastAsia="Calibri"/>
          <w:b/>
          <w:bCs/>
          <w:color w:val="auto"/>
          <w:szCs w:val="22"/>
          <w:lang w:val="en-MY"/>
        </w:rPr>
        <w:t>Assessment &amp; Plan:</w:t>
      </w:r>
      <w:r w:rsidRPr="009D4627">
        <w:rPr>
          <w:rFonts w:eastAsia="Calibri"/>
          <w:b/>
          <w:bCs/>
          <w:color w:val="auto"/>
          <w:szCs w:val="22"/>
          <w:lang w:val="en-MY"/>
        </w:rPr>
        <w:tab/>
      </w:r>
    </w:p>
    <w:p w14:paraId="2FD4C2F2"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Left sixth nerve palsy, aetiology is under investigation.</w:t>
      </w:r>
    </w:p>
    <w:p w14:paraId="104780AE"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Given fabric patch for glasses to occlude LE and review in Orthoptic clinic 1/12.</w:t>
      </w:r>
    </w:p>
    <w:p w14:paraId="2220409F" w14:textId="77777777" w:rsidR="00CE6626" w:rsidRPr="009D4627" w:rsidRDefault="00CE6626" w:rsidP="00CE6626">
      <w:pPr>
        <w:spacing w:before="0" w:after="0" w:line="240" w:lineRule="auto"/>
        <w:rPr>
          <w:rFonts w:eastAsia="Calibri"/>
          <w:b/>
          <w:szCs w:val="22"/>
          <w:u w:val="single"/>
          <w:lang w:val="en-MY"/>
        </w:rPr>
      </w:pPr>
    </w:p>
    <w:p w14:paraId="4A5BCA16" w14:textId="77777777" w:rsidR="00CE6626" w:rsidRPr="009D4627" w:rsidRDefault="00CE6626" w:rsidP="00CE6626">
      <w:pPr>
        <w:spacing w:before="0" w:after="0" w:line="240" w:lineRule="auto"/>
        <w:rPr>
          <w:rFonts w:eastAsia="Calibri"/>
          <w:b/>
          <w:szCs w:val="22"/>
          <w:u w:val="single"/>
          <w:lang w:val="en-MY"/>
        </w:rPr>
      </w:pPr>
    </w:p>
    <w:p w14:paraId="424822EC" w14:textId="2AE5C3F5"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3: </w:t>
      </w:r>
      <w:r w:rsidRPr="009D4627">
        <w:rPr>
          <w:rFonts w:eastAsia="Calibri"/>
          <w:bCs/>
          <w:szCs w:val="22"/>
          <w:u w:val="single"/>
          <w:lang w:val="en-MY"/>
        </w:rPr>
        <w:t>02/07/19 (3 weeks from onset) for Neuro-</w:t>
      </w:r>
      <w:proofErr w:type="spellStart"/>
      <w:r w:rsidRPr="009D4627">
        <w:rPr>
          <w:rFonts w:eastAsia="Calibri"/>
          <w:bCs/>
          <w:szCs w:val="22"/>
          <w:u w:val="single"/>
          <w:lang w:val="en-MY"/>
        </w:rPr>
        <w:t>Ophtahlmology</w:t>
      </w:r>
      <w:proofErr w:type="spellEnd"/>
      <w:r w:rsidRPr="009D4627">
        <w:rPr>
          <w:rFonts w:eastAsia="Calibri"/>
          <w:bCs/>
          <w:szCs w:val="22"/>
          <w:u w:val="single"/>
          <w:lang w:val="en-MY"/>
        </w:rPr>
        <w:t xml:space="preserve"> review</w:t>
      </w:r>
    </w:p>
    <w:p w14:paraId="64709312" w14:textId="77777777" w:rsidR="00CE6626" w:rsidRPr="009D4627" w:rsidRDefault="00CE6626" w:rsidP="00CE6626">
      <w:pPr>
        <w:spacing w:before="0" w:after="0" w:line="240" w:lineRule="auto"/>
        <w:rPr>
          <w:rFonts w:eastAsia="Calibri"/>
          <w:szCs w:val="22"/>
          <w:lang w:val="en-MY"/>
        </w:rPr>
      </w:pPr>
    </w:p>
    <w:p w14:paraId="4DC7037D" w14:textId="77777777" w:rsidR="00CE6626" w:rsidRPr="009D4627" w:rsidRDefault="00CE6626" w:rsidP="00CE6626">
      <w:pPr>
        <w:spacing w:before="0" w:after="0" w:line="240" w:lineRule="auto"/>
        <w:rPr>
          <w:rFonts w:eastAsia="Calibri"/>
          <w:szCs w:val="22"/>
          <w:lang w:val="en-MY"/>
        </w:rPr>
      </w:pPr>
      <w:r w:rsidRPr="009D4627">
        <w:rPr>
          <w:rFonts w:eastAsia="Calibri"/>
          <w:szCs w:val="22"/>
          <w:lang w:val="en-MY"/>
        </w:rPr>
        <w:t>He was seen on this day only at Neuro-ophthalmology clinic.</w:t>
      </w:r>
    </w:p>
    <w:p w14:paraId="66DDA61A" w14:textId="77777777" w:rsidR="00CE6626" w:rsidRPr="009D4627" w:rsidRDefault="00CE6626" w:rsidP="00CE6626">
      <w:pPr>
        <w:spacing w:before="0" w:after="0" w:line="240" w:lineRule="auto"/>
        <w:rPr>
          <w:rFonts w:eastAsia="Calibri"/>
          <w:szCs w:val="22"/>
          <w:lang w:val="en-MY"/>
        </w:rPr>
      </w:pPr>
    </w:p>
    <w:p w14:paraId="603A2F86" w14:textId="77777777" w:rsidR="00CE6626" w:rsidRPr="009D4627" w:rsidRDefault="00CE6626" w:rsidP="00CE6626">
      <w:pPr>
        <w:spacing w:before="0" w:after="0" w:line="240" w:lineRule="auto"/>
        <w:jc w:val="left"/>
        <w:rPr>
          <w:rFonts w:eastAsia="Calibri"/>
          <w:b/>
          <w:bCs/>
          <w:szCs w:val="22"/>
          <w:lang w:val="en-MY"/>
        </w:rPr>
      </w:pPr>
      <w:r w:rsidRPr="009D4627">
        <w:rPr>
          <w:rFonts w:eastAsia="Calibri"/>
          <w:b/>
          <w:bCs/>
          <w:szCs w:val="22"/>
          <w:lang w:val="en-MY"/>
        </w:rPr>
        <w:t>Assessment &amp; Plan:</w:t>
      </w:r>
      <w:r w:rsidRPr="009D4627">
        <w:rPr>
          <w:rFonts w:eastAsia="Calibri"/>
          <w:b/>
          <w:bCs/>
          <w:szCs w:val="22"/>
          <w:lang w:val="en-MY"/>
        </w:rPr>
        <w:tab/>
      </w:r>
    </w:p>
    <w:p w14:paraId="333E2017" w14:textId="77777777" w:rsidR="00CE6626" w:rsidRPr="009D4627" w:rsidRDefault="00CE6626" w:rsidP="00CE6626">
      <w:pPr>
        <w:spacing w:before="0" w:after="0" w:line="240" w:lineRule="auto"/>
        <w:jc w:val="left"/>
        <w:rPr>
          <w:rFonts w:eastAsia="Calibri"/>
          <w:szCs w:val="22"/>
          <w:lang w:val="en-MY"/>
        </w:rPr>
      </w:pPr>
      <w:r w:rsidRPr="009D4627">
        <w:rPr>
          <w:rFonts w:eastAsia="Calibri"/>
          <w:b/>
          <w:bCs/>
          <w:szCs w:val="22"/>
          <w:lang w:val="en-MY"/>
        </w:rPr>
        <w:tab/>
      </w:r>
      <w:r w:rsidRPr="009D4627">
        <w:rPr>
          <w:rFonts w:eastAsia="Calibri"/>
          <w:szCs w:val="22"/>
          <w:lang w:val="en-MY"/>
        </w:rPr>
        <w:t>No abnormalities detected from the</w:t>
      </w:r>
      <w:r w:rsidRPr="009D4627">
        <w:rPr>
          <w:rFonts w:eastAsia="Calibri"/>
          <w:b/>
          <w:bCs/>
          <w:szCs w:val="22"/>
          <w:lang w:val="en-MY"/>
        </w:rPr>
        <w:t xml:space="preserve"> </w:t>
      </w:r>
      <w:r w:rsidRPr="009D4627">
        <w:rPr>
          <w:rFonts w:eastAsia="Calibri"/>
          <w:szCs w:val="22"/>
          <w:lang w:val="en-MY"/>
        </w:rPr>
        <w:t>MRI with contrast and lumbar puncture.</w:t>
      </w:r>
    </w:p>
    <w:p w14:paraId="7161E838" w14:textId="77777777" w:rsidR="00CE6626" w:rsidRPr="009D4627" w:rsidRDefault="00CE6626" w:rsidP="00CE6626">
      <w:pPr>
        <w:spacing w:before="0" w:after="0" w:line="240" w:lineRule="auto"/>
        <w:ind w:left="720"/>
        <w:jc w:val="left"/>
        <w:rPr>
          <w:rFonts w:eastAsia="Calibri"/>
          <w:szCs w:val="22"/>
          <w:lang w:val="en-MY"/>
        </w:rPr>
      </w:pPr>
      <w:r w:rsidRPr="009D4627">
        <w:rPr>
          <w:rFonts w:eastAsia="Calibri"/>
          <w:szCs w:val="22"/>
          <w:lang w:val="en-MY"/>
        </w:rPr>
        <w:lastRenderedPageBreak/>
        <w:t xml:space="preserve">It is very likely the condition has been a microvascular sixth nerve palsy related to his seniority, diabetes mellitus and paroxysmal atrial fibrillation. </w:t>
      </w:r>
    </w:p>
    <w:p w14:paraId="5416B2B0" w14:textId="77777777" w:rsidR="00CE6626" w:rsidRPr="009D4627" w:rsidRDefault="00CE6626" w:rsidP="00CE6626">
      <w:pPr>
        <w:spacing w:before="0" w:after="0" w:line="240" w:lineRule="auto"/>
        <w:ind w:left="720"/>
        <w:jc w:val="left"/>
        <w:rPr>
          <w:rFonts w:eastAsia="Calibri"/>
          <w:szCs w:val="22"/>
          <w:lang w:val="en-MY"/>
        </w:rPr>
      </w:pPr>
      <w:r w:rsidRPr="009D4627">
        <w:rPr>
          <w:rFonts w:eastAsia="Calibri"/>
          <w:szCs w:val="22"/>
          <w:lang w:val="en-MY"/>
        </w:rPr>
        <w:t>Therefore, continue with patching of his LE.</w:t>
      </w:r>
    </w:p>
    <w:p w14:paraId="26FBCB32" w14:textId="77777777" w:rsidR="000672B2" w:rsidRDefault="000672B2" w:rsidP="00CE6626">
      <w:pPr>
        <w:spacing w:before="0" w:after="0" w:line="240" w:lineRule="auto"/>
        <w:rPr>
          <w:rFonts w:eastAsia="Calibri"/>
          <w:b/>
          <w:szCs w:val="22"/>
          <w:u w:val="single"/>
          <w:lang w:val="en-MY"/>
        </w:rPr>
      </w:pPr>
    </w:p>
    <w:p w14:paraId="0094CD76" w14:textId="24AF06D2"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4: </w:t>
      </w:r>
      <w:r w:rsidRPr="009D4627">
        <w:rPr>
          <w:rFonts w:eastAsia="Calibri"/>
          <w:bCs/>
          <w:szCs w:val="22"/>
          <w:u w:val="single"/>
          <w:lang w:val="en-MY"/>
        </w:rPr>
        <w:t>05/09/19 (12</w:t>
      </w:r>
      <w:r w:rsidRPr="009D4627">
        <w:rPr>
          <w:rFonts w:eastAsia="Calibri"/>
          <w:bCs/>
          <w:color w:val="FF0000"/>
          <w:szCs w:val="22"/>
          <w:u w:val="single"/>
          <w:lang w:val="en-MY"/>
        </w:rPr>
        <w:t xml:space="preserve"> </w:t>
      </w:r>
      <w:r w:rsidRPr="009D4627">
        <w:rPr>
          <w:rFonts w:eastAsia="Calibri"/>
          <w:bCs/>
          <w:szCs w:val="22"/>
          <w:u w:val="single"/>
          <w:lang w:val="en-MY"/>
        </w:rPr>
        <w:t>weeks from onset)</w:t>
      </w:r>
    </w:p>
    <w:p w14:paraId="679AC875" w14:textId="77777777" w:rsidR="00CE6626" w:rsidRPr="009D4627" w:rsidRDefault="00CE6626" w:rsidP="00CE6626">
      <w:pPr>
        <w:spacing w:before="0" w:after="0" w:line="240" w:lineRule="auto"/>
        <w:rPr>
          <w:rFonts w:eastAsia="Calibri"/>
          <w:szCs w:val="22"/>
          <w:lang w:val="en-MY"/>
        </w:rPr>
      </w:pPr>
    </w:p>
    <w:p w14:paraId="3809313C" w14:textId="77777777" w:rsidR="00CE6626" w:rsidRPr="009D4627" w:rsidRDefault="00CE6626" w:rsidP="00CE6626">
      <w:pPr>
        <w:spacing w:before="0" w:after="0" w:line="240" w:lineRule="auto"/>
        <w:rPr>
          <w:rFonts w:eastAsia="Calibri"/>
          <w:color w:val="auto"/>
          <w:szCs w:val="22"/>
          <w:lang w:val="en-MY"/>
        </w:rPr>
      </w:pPr>
      <w:r w:rsidRPr="009D4627">
        <w:rPr>
          <w:rFonts w:eastAsia="Calibri"/>
          <w:color w:val="auto"/>
          <w:szCs w:val="22"/>
          <w:lang w:val="en-MY"/>
        </w:rPr>
        <w:t xml:space="preserve">Pt still using the patch over the L </w:t>
      </w:r>
      <w:proofErr w:type="spellStart"/>
      <w:r w:rsidRPr="009D4627">
        <w:rPr>
          <w:rFonts w:eastAsia="Calibri"/>
          <w:color w:val="auto"/>
          <w:szCs w:val="22"/>
          <w:lang w:val="en-MY"/>
        </w:rPr>
        <w:t>plano</w:t>
      </w:r>
      <w:proofErr w:type="spellEnd"/>
      <w:r w:rsidRPr="009D4627">
        <w:rPr>
          <w:rFonts w:eastAsia="Calibri"/>
          <w:color w:val="auto"/>
          <w:szCs w:val="22"/>
          <w:lang w:val="en-MY"/>
        </w:rPr>
        <w:t xml:space="preserve"> lens. Feels there has been a big improvement since last visit.</w:t>
      </w:r>
    </w:p>
    <w:p w14:paraId="53B28BFC" w14:textId="77777777" w:rsidR="00CE6626" w:rsidRPr="009D4627" w:rsidRDefault="00CE6626" w:rsidP="00CE6626">
      <w:pPr>
        <w:spacing w:before="0" w:after="0" w:line="240" w:lineRule="auto"/>
        <w:rPr>
          <w:rFonts w:eastAsia="Calibri"/>
          <w:b/>
          <w:szCs w:val="22"/>
          <w:lang w:val="en-MY"/>
        </w:rPr>
      </w:pPr>
    </w:p>
    <w:p w14:paraId="03B11D70" w14:textId="5490D499"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unaided</w:t>
      </w:r>
      <w:r w:rsidRPr="009D4627">
        <w:rPr>
          <w:rFonts w:eastAsia="Calibri"/>
          <w:bCs/>
          <w:szCs w:val="22"/>
          <w:lang w:val="en-MY"/>
        </w:rPr>
        <w:tab/>
        <w:t>RE 0.24</w:t>
      </w:r>
      <w:r w:rsidRPr="009D4627">
        <w:rPr>
          <w:rFonts w:eastAsia="Calibri"/>
          <w:bCs/>
          <w:szCs w:val="22"/>
          <w:lang w:val="en-MY"/>
        </w:rPr>
        <w:tab/>
        <w:t>LE 0.22</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3CC311D4"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Pr="009D4627">
        <w:rPr>
          <w:rFonts w:eastAsia="Calibri"/>
          <w:bCs/>
          <w:szCs w:val="22"/>
          <w:lang w:val="en-MY"/>
        </w:rPr>
        <w:t>6/9.5</w:t>
      </w:r>
      <w:r w:rsidRPr="009D4627">
        <w:rPr>
          <w:rFonts w:eastAsia="Calibri"/>
          <w:bCs/>
          <w:szCs w:val="22"/>
          <w:vertAlign w:val="superscript"/>
          <w:lang w:val="en-MY"/>
        </w:rPr>
        <w:t>-2</w:t>
      </w:r>
      <w:r w:rsidRPr="009D4627">
        <w:rPr>
          <w:rFonts w:eastAsia="Calibri"/>
          <w:bCs/>
          <w:szCs w:val="22"/>
          <w:lang w:val="en-MY"/>
        </w:rPr>
        <w:tab/>
        <w:t xml:space="preserve">     6/9.5 </w:t>
      </w:r>
      <w:r w:rsidRPr="009D4627">
        <w:rPr>
          <w:rFonts w:eastAsia="Calibri"/>
          <w:bCs/>
          <w:szCs w:val="22"/>
          <w:lang w:val="en-MY"/>
        </w:rPr>
        <w:tab/>
        <w:t>Snellen equivalent</w:t>
      </w:r>
    </w:p>
    <w:p w14:paraId="228FB813" w14:textId="77777777" w:rsidR="00CE6626" w:rsidRPr="009D4627" w:rsidRDefault="00CE6626" w:rsidP="00CE6626">
      <w:pPr>
        <w:spacing w:before="0" w:after="0" w:line="240" w:lineRule="auto"/>
        <w:rPr>
          <w:rFonts w:eastAsia="Calibri"/>
          <w:bCs/>
          <w:szCs w:val="22"/>
          <w:lang w:val="en-MY"/>
        </w:rPr>
      </w:pPr>
    </w:p>
    <w:p w14:paraId="7E95845E" w14:textId="4622B16C"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t>with PH</w:t>
      </w:r>
      <w:r w:rsidRPr="009D4627">
        <w:rPr>
          <w:rFonts w:eastAsia="Calibri"/>
          <w:bCs/>
          <w:szCs w:val="22"/>
          <w:lang w:val="en-MY"/>
        </w:rPr>
        <w:tab/>
        <w:t>RE 0.12</w:t>
      </w:r>
      <w:r w:rsidRPr="009D4627">
        <w:rPr>
          <w:rFonts w:eastAsia="Calibri"/>
          <w:bCs/>
          <w:szCs w:val="22"/>
          <w:lang w:val="en-MY"/>
        </w:rPr>
        <w:tab/>
        <w:t>LE 0.10</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p>
    <w:p w14:paraId="490417B0"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6/7.5</w:t>
      </w:r>
      <w:r w:rsidRPr="009D4627">
        <w:rPr>
          <w:rFonts w:eastAsia="Calibri"/>
          <w:bCs/>
          <w:szCs w:val="22"/>
          <w:vertAlign w:val="superscript"/>
          <w:lang w:val="en-MY"/>
        </w:rPr>
        <w:t>-1</w:t>
      </w:r>
      <w:r w:rsidRPr="009D4627">
        <w:rPr>
          <w:rFonts w:eastAsia="Calibri"/>
          <w:bCs/>
          <w:szCs w:val="22"/>
          <w:lang w:val="en-MY"/>
        </w:rPr>
        <w:tab/>
        <w:t xml:space="preserve">     6/7.5</w:t>
      </w:r>
      <w:r w:rsidRPr="009D4627">
        <w:rPr>
          <w:rFonts w:eastAsia="Calibri"/>
          <w:bCs/>
          <w:szCs w:val="22"/>
          <w:lang w:val="en-MY"/>
        </w:rPr>
        <w:tab/>
        <w:t>Snellen equivalent</w:t>
      </w:r>
    </w:p>
    <w:p w14:paraId="3D0D996C"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p>
    <w:p w14:paraId="4DC39FF2" w14:textId="77777777" w:rsidR="00CE6626" w:rsidRPr="009D4627" w:rsidRDefault="00CE6626" w:rsidP="00CE6626">
      <w:pPr>
        <w:spacing w:before="0" w:after="0" w:line="240" w:lineRule="auto"/>
        <w:ind w:left="1276" w:hanging="1276"/>
        <w:rPr>
          <w:rFonts w:eastAsia="Calibri"/>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szCs w:val="22"/>
          <w:lang w:val="en-MY"/>
        </w:rPr>
        <w:t xml:space="preserve"> </w:t>
      </w:r>
      <w:r w:rsidRPr="009D4627">
        <w:rPr>
          <w:rFonts w:eastAsia="Calibri"/>
          <w:szCs w:val="22"/>
          <w:lang w:val="en-MY"/>
        </w:rPr>
        <w:tab/>
        <w:t xml:space="preserve">with readers 1/3 m Small LET with diplopia </w:t>
      </w:r>
    </w:p>
    <w:p w14:paraId="64DBED57" w14:textId="741AF39D" w:rsidR="00CE6626" w:rsidRPr="009D4627" w:rsidRDefault="00CE6626" w:rsidP="00CE6626">
      <w:pPr>
        <w:spacing w:before="0" w:after="0" w:line="240" w:lineRule="auto"/>
        <w:ind w:left="1276" w:firstLine="164"/>
        <w:rPr>
          <w:rFonts w:eastAsia="Calibri"/>
          <w:bCs/>
          <w:szCs w:val="22"/>
          <w:lang w:val="en-MY"/>
        </w:rPr>
      </w:pPr>
      <w:r w:rsidRPr="009D4627">
        <w:rPr>
          <w:rFonts w:eastAsia="Calibri"/>
          <w:bCs/>
          <w:szCs w:val="22"/>
          <w:lang w:val="en-MY"/>
        </w:rPr>
        <w:tab/>
        <w:t xml:space="preserve"> </w:t>
      </w:r>
      <w:r w:rsidR="00730570">
        <w:rPr>
          <w:rFonts w:eastAsia="Calibri"/>
          <w:bCs/>
          <w:szCs w:val="22"/>
          <w:lang w:val="en-MY"/>
        </w:rPr>
        <w:tab/>
      </w:r>
      <w:r w:rsidRPr="009D4627">
        <w:rPr>
          <w:rFonts w:eastAsia="Calibri"/>
          <w:bCs/>
          <w:szCs w:val="22"/>
          <w:lang w:val="en-MY"/>
        </w:rPr>
        <w:t>6 m Small</w:t>
      </w:r>
      <w:r w:rsidRPr="009D4627">
        <w:rPr>
          <w:rFonts w:eastAsia="Calibri"/>
          <w:bCs/>
          <w:szCs w:val="22"/>
          <w:vertAlign w:val="superscript"/>
          <w:lang w:val="en-MY"/>
        </w:rPr>
        <w:t xml:space="preserve"> </w:t>
      </w:r>
      <w:r w:rsidRPr="009D4627">
        <w:rPr>
          <w:rFonts w:eastAsia="Calibri"/>
          <w:bCs/>
          <w:szCs w:val="22"/>
          <w:lang w:val="en-MY"/>
        </w:rPr>
        <w:t xml:space="preserve">LET with diplopia </w:t>
      </w:r>
    </w:p>
    <w:p w14:paraId="642D080E"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
          <w:szCs w:val="22"/>
          <w:lang w:val="en-MY"/>
        </w:rPr>
        <w:tab/>
      </w:r>
    </w:p>
    <w:p w14:paraId="2E9AFF0B" w14:textId="77777777"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PCT: </w:t>
      </w:r>
      <w:r w:rsidRPr="009D4627">
        <w:rPr>
          <w:rFonts w:eastAsia="Calibri"/>
          <w:b/>
          <w:szCs w:val="22"/>
          <w:lang w:val="en-MY"/>
        </w:rPr>
        <w:tab/>
      </w:r>
      <w:r w:rsidRPr="009D4627">
        <w:rPr>
          <w:rFonts w:eastAsia="Calibri"/>
          <w:b/>
          <w:szCs w:val="22"/>
          <w:lang w:val="en-MY"/>
        </w:rPr>
        <w:tab/>
      </w:r>
      <w:r w:rsidRPr="009D4627">
        <w:rPr>
          <w:rFonts w:eastAsia="Calibri"/>
          <w:szCs w:val="22"/>
          <w:lang w:val="en-MY"/>
        </w:rPr>
        <w:t xml:space="preserve">with readers </w:t>
      </w:r>
      <w:r w:rsidRPr="009D4627">
        <w:rPr>
          <w:rFonts w:eastAsia="Calibri"/>
          <w:szCs w:val="22"/>
          <w:lang w:val="en-MY"/>
        </w:rPr>
        <w:tab/>
        <w:t xml:space="preserve">1/3 m </w:t>
      </w:r>
      <w:r w:rsidRPr="009D4627">
        <w:rPr>
          <w:rFonts w:eastAsia="Calibri"/>
          <w:szCs w:val="22"/>
          <w:lang w:val="en-MY"/>
        </w:rPr>
        <w:tab/>
        <w:t>8</w:t>
      </w:r>
      <w:r w:rsidRPr="009D4627">
        <w:rPr>
          <w:rFonts w:eastAsia="Calibri"/>
          <w:szCs w:val="22"/>
          <w:vertAlign w:val="superscript"/>
          <w:lang w:val="en-MY"/>
        </w:rPr>
        <w:t>Δ</w:t>
      </w:r>
      <w:r w:rsidRPr="009D4627">
        <w:rPr>
          <w:rFonts w:eastAsia="Calibri"/>
          <w:szCs w:val="22"/>
          <w:lang w:val="en-MY"/>
        </w:rPr>
        <w:t xml:space="preserve"> ET</w:t>
      </w:r>
    </w:p>
    <w:p w14:paraId="0B370970" w14:textId="77777777" w:rsidR="00CE6626" w:rsidRPr="009D4627" w:rsidRDefault="00CE6626" w:rsidP="00CE6626">
      <w:pPr>
        <w:spacing w:before="0" w:after="0" w:line="240" w:lineRule="auto"/>
        <w:ind w:left="720" w:firstLine="720"/>
        <w:rPr>
          <w:rFonts w:eastAsia="Calibri"/>
          <w:szCs w:val="22"/>
          <w:lang w:val="fr-FR"/>
        </w:rPr>
      </w:pPr>
      <w:r w:rsidRPr="009D4627">
        <w:rPr>
          <w:rFonts w:eastAsia="Calibri"/>
          <w:szCs w:val="22"/>
          <w:lang w:val="en-MY"/>
        </w:rPr>
        <w:t xml:space="preserve">      </w:t>
      </w:r>
      <w:r w:rsidRPr="009D4627">
        <w:rPr>
          <w:rFonts w:eastAsia="Calibri"/>
          <w:szCs w:val="22"/>
          <w:lang w:val="en-MY"/>
        </w:rPr>
        <w:tab/>
      </w:r>
      <w:r w:rsidRPr="009D4627">
        <w:rPr>
          <w:rFonts w:eastAsia="Calibri"/>
          <w:szCs w:val="22"/>
          <w:lang w:val="en-MY"/>
        </w:rPr>
        <w:tab/>
      </w:r>
      <w:r w:rsidRPr="009D4627">
        <w:rPr>
          <w:rFonts w:eastAsia="Calibri"/>
          <w:szCs w:val="22"/>
          <w:lang w:val="fr-FR"/>
        </w:rPr>
        <w:t xml:space="preserve">6 m </w:t>
      </w:r>
      <w:r w:rsidRPr="009D4627">
        <w:rPr>
          <w:rFonts w:eastAsia="Calibri"/>
          <w:szCs w:val="22"/>
          <w:lang w:val="fr-FR"/>
        </w:rPr>
        <w:tab/>
        <w:t>14-16</w:t>
      </w:r>
      <w:r w:rsidRPr="009D4627">
        <w:rPr>
          <w:rFonts w:eastAsia="Calibri"/>
          <w:szCs w:val="22"/>
          <w:vertAlign w:val="superscript"/>
          <w:lang w:val="en-MY"/>
        </w:rPr>
        <w:t>Δ</w:t>
      </w:r>
      <w:r w:rsidRPr="009D4627">
        <w:rPr>
          <w:rFonts w:eastAsia="Calibri"/>
          <w:szCs w:val="22"/>
          <w:lang w:val="fr-FR"/>
        </w:rPr>
        <w:t xml:space="preserve"> ET</w:t>
      </w:r>
    </w:p>
    <w:p w14:paraId="5971C941" w14:textId="77777777" w:rsidR="00CE6626" w:rsidRPr="009D4627" w:rsidRDefault="00CE6626" w:rsidP="00CE6626">
      <w:pPr>
        <w:spacing w:before="0" w:after="0" w:line="240" w:lineRule="auto"/>
        <w:rPr>
          <w:rFonts w:eastAsia="Calibri"/>
          <w:szCs w:val="22"/>
          <w:lang w:val="fr-FR"/>
        </w:rPr>
      </w:pPr>
    </w:p>
    <w:p w14:paraId="7D42ABF6" w14:textId="77777777" w:rsidR="00CE6626" w:rsidRPr="009D4627" w:rsidRDefault="00CE6626" w:rsidP="00CE6626">
      <w:pPr>
        <w:spacing w:before="0" w:after="0" w:line="240" w:lineRule="auto"/>
        <w:rPr>
          <w:rFonts w:eastAsia="Calibri"/>
          <w:b/>
          <w:bCs/>
          <w:color w:val="auto"/>
          <w:szCs w:val="22"/>
          <w:lang w:val="fr-FR"/>
        </w:rPr>
      </w:pPr>
      <w:proofErr w:type="gramStart"/>
      <w:r w:rsidRPr="009D4627">
        <w:rPr>
          <w:rFonts w:eastAsia="Calibri"/>
          <w:b/>
          <w:bCs/>
          <w:color w:val="auto"/>
          <w:szCs w:val="22"/>
          <w:lang w:val="fr-FR"/>
        </w:rPr>
        <w:t>OMT:</w:t>
      </w:r>
      <w:proofErr w:type="gramEnd"/>
    </w:p>
    <w:p w14:paraId="01CBE50C" w14:textId="77777777" w:rsidR="00CE6626" w:rsidRPr="009D4627" w:rsidRDefault="00CE6626" w:rsidP="00CE6626">
      <w:pPr>
        <w:spacing w:before="0" w:after="0" w:line="240" w:lineRule="auto"/>
        <w:rPr>
          <w:rFonts w:eastAsia="Calibri"/>
          <w:b/>
          <w:bCs/>
          <w:color w:val="auto"/>
          <w:szCs w:val="22"/>
          <w:lang w:val="fr-FR"/>
        </w:rPr>
      </w:pPr>
    </w:p>
    <w:p w14:paraId="061EA766" w14:textId="725BB5B6" w:rsidR="00CE6626" w:rsidRPr="009D4627" w:rsidRDefault="00A2792E" w:rsidP="00CE6626">
      <w:pPr>
        <w:spacing w:before="0" w:after="0" w:line="240" w:lineRule="auto"/>
        <w:rPr>
          <w:rFonts w:eastAsia="Calibri"/>
          <w:b/>
          <w:bCs/>
          <w:color w:val="auto"/>
          <w:szCs w:val="22"/>
          <w:lang w:val="fr-FR"/>
        </w:rPr>
      </w:pPr>
      <w:r w:rsidRPr="009D4627">
        <w:rPr>
          <w:noProof/>
        </w:rPr>
        <mc:AlternateContent>
          <mc:Choice Requires="wpg">
            <w:drawing>
              <wp:anchor distT="0" distB="0" distL="114300" distR="114300" simplePos="0" relativeHeight="251757568" behindDoc="1" locked="0" layoutInCell="1" allowOverlap="1" wp14:anchorId="01DC3AAE" wp14:editId="2B1ED7D6">
                <wp:simplePos x="0" y="0"/>
                <wp:positionH relativeFrom="margin">
                  <wp:align>center</wp:align>
                </wp:positionH>
                <wp:positionV relativeFrom="paragraph">
                  <wp:posOffset>11430</wp:posOffset>
                </wp:positionV>
                <wp:extent cx="3342640" cy="720725"/>
                <wp:effectExtent l="0" t="0" r="0" b="3175"/>
                <wp:wrapThrough wrapText="bothSides">
                  <wp:wrapPolygon edited="0">
                    <wp:start x="4309" y="0"/>
                    <wp:lineTo x="0" y="7422"/>
                    <wp:lineTo x="0" y="13702"/>
                    <wp:lineTo x="3078" y="18270"/>
                    <wp:lineTo x="4062" y="21695"/>
                    <wp:lineTo x="4185" y="21695"/>
                    <wp:lineTo x="15141" y="21695"/>
                    <wp:lineTo x="15264" y="21695"/>
                    <wp:lineTo x="16372" y="18270"/>
                    <wp:lineTo x="21543" y="15415"/>
                    <wp:lineTo x="21543" y="7422"/>
                    <wp:lineTo x="15141" y="0"/>
                    <wp:lineTo x="4309" y="0"/>
                  </wp:wrapPolygon>
                </wp:wrapThrough>
                <wp:docPr id="22349" name="Group 22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2640" cy="720725"/>
                          <a:chOff x="-4667" y="0"/>
                          <a:chExt cx="33432" cy="7213"/>
                        </a:xfrm>
                      </wpg:grpSpPr>
                      <wpg:grpSp>
                        <wpg:cNvPr id="22350" name="Group 24"/>
                        <wpg:cNvGrpSpPr>
                          <a:grpSpLocks/>
                        </wpg:cNvGrpSpPr>
                        <wpg:grpSpPr bwMode="auto">
                          <a:xfrm rot="5400000" flipH="1">
                            <a:off x="17888" y="3123"/>
                            <a:ext cx="5210" cy="757"/>
                            <a:chOff x="-601" y="0"/>
                            <a:chExt cx="8165" cy="3017"/>
                          </a:xfrm>
                        </wpg:grpSpPr>
                        <wps:wsp>
                          <wps:cNvPr id="22351" name="Straight Connector 61"/>
                          <wps:cNvCnPr>
                            <a:cxnSpLocks noChangeShapeType="1"/>
                          </wps:cNvCnPr>
                          <wps:spPr bwMode="auto">
                            <a:xfrm>
                              <a:off x="-601" y="3017"/>
                              <a:ext cx="8164" cy="0"/>
                            </a:xfrm>
                            <a:prstGeom prst="line">
                              <a:avLst/>
                            </a:prstGeom>
                            <a:noFill/>
                            <a:ln w="6350">
                              <a:solidFill>
                                <a:srgbClr val="000000"/>
                              </a:solidFill>
                              <a:miter lim="800000"/>
                              <a:headEnd/>
                              <a:tailEnd/>
                            </a:ln>
                          </wps:spPr>
                          <wps:bodyPr/>
                        </wps:wsp>
                        <wpg:grpSp>
                          <wpg:cNvPr id="22352" name="Group 62"/>
                          <wpg:cNvGrpSpPr>
                            <a:grpSpLocks/>
                          </wpg:cNvGrpSpPr>
                          <wpg:grpSpPr bwMode="auto">
                            <a:xfrm>
                              <a:off x="1098" y="0"/>
                              <a:ext cx="4899" cy="3017"/>
                              <a:chOff x="317" y="0"/>
                              <a:chExt cx="489904" cy="301780"/>
                            </a:xfrm>
                          </wpg:grpSpPr>
                          <wps:wsp>
                            <wps:cNvPr id="22353" name="Straight Connector 63"/>
                            <wps:cNvCnPr>
                              <a:cxnSpLocks noChangeShapeType="1"/>
                            </wps:cNvCnPr>
                            <wps:spPr bwMode="auto">
                              <a:xfrm flipH="1">
                                <a:off x="147627" y="4763"/>
                                <a:ext cx="223532" cy="276374"/>
                              </a:xfrm>
                              <a:prstGeom prst="line">
                                <a:avLst/>
                              </a:prstGeom>
                              <a:noFill/>
                              <a:ln w="19050">
                                <a:solidFill>
                                  <a:srgbClr val="000000"/>
                                </a:solidFill>
                                <a:miter lim="800000"/>
                                <a:headEnd/>
                                <a:tailEnd/>
                              </a:ln>
                            </wps:spPr>
                            <wps:bodyPr/>
                          </wps:wsp>
                          <wps:wsp>
                            <wps:cNvPr id="22354" name="Straight Connector 64"/>
                            <wps:cNvCnPr>
                              <a:cxnSpLocks noChangeShapeType="1"/>
                            </wps:cNvCnPr>
                            <wps:spPr bwMode="auto">
                              <a:xfrm flipH="1">
                                <a:off x="317" y="0"/>
                                <a:ext cx="209233" cy="281137"/>
                              </a:xfrm>
                              <a:prstGeom prst="line">
                                <a:avLst/>
                              </a:prstGeom>
                              <a:noFill/>
                              <a:ln w="19050">
                                <a:solidFill>
                                  <a:srgbClr val="000000"/>
                                </a:solidFill>
                                <a:miter lim="800000"/>
                                <a:headEnd/>
                                <a:tailEnd/>
                              </a:ln>
                            </wps:spPr>
                            <wps:bodyPr/>
                          </wps:wsp>
                          <wps:wsp>
                            <wps:cNvPr id="22355" name="Straight Connector 65"/>
                            <wps:cNvCnPr>
                              <a:cxnSpLocks noChangeShapeType="1"/>
                            </wps:cNvCnPr>
                            <wps:spPr bwMode="auto">
                              <a:xfrm flipH="1">
                                <a:off x="304053" y="66675"/>
                                <a:ext cx="186168" cy="235105"/>
                              </a:xfrm>
                              <a:prstGeom prst="line">
                                <a:avLst/>
                              </a:prstGeom>
                              <a:noFill/>
                              <a:ln w="19050">
                                <a:solidFill>
                                  <a:srgbClr val="000000"/>
                                </a:solidFill>
                                <a:miter lim="800000"/>
                                <a:headEnd/>
                                <a:tailEnd/>
                              </a:ln>
                            </wps:spPr>
                            <wps:bodyPr/>
                          </wps:wsp>
                        </wpg:grpSp>
                      </wpg:grpSp>
                      <wpg:grpSp>
                        <wpg:cNvPr id="22356" name="Group 66"/>
                        <wpg:cNvGrpSpPr>
                          <a:grpSpLocks/>
                        </wpg:cNvGrpSpPr>
                        <wpg:grpSpPr bwMode="auto">
                          <a:xfrm>
                            <a:off x="-4667" y="0"/>
                            <a:ext cx="33432" cy="7213"/>
                            <a:chOff x="1428" y="0"/>
                            <a:chExt cx="33432" cy="7218"/>
                          </a:xfrm>
                        </wpg:grpSpPr>
                        <wps:wsp>
                          <wps:cNvPr id="22357" name="Rectangle 67"/>
                          <wps:cNvSpPr>
                            <a:spLocks noChangeArrowheads="1"/>
                          </wps:cNvSpPr>
                          <wps:spPr bwMode="auto">
                            <a:xfrm flipH="1">
                              <a:off x="13240" y="2466"/>
                              <a:ext cx="6310" cy="2681"/>
                            </a:xfrm>
                            <a:prstGeom prst="rect">
                              <a:avLst/>
                            </a:prstGeom>
                            <a:noFill/>
                            <a:ln>
                              <a:noFill/>
                            </a:ln>
                          </wps:spPr>
                          <wps:txbx>
                            <w:txbxContent>
                              <w:p w14:paraId="7CAC3773" w14:textId="77777777" w:rsidR="00CE6626" w:rsidRPr="00DC6030" w:rsidRDefault="00CE6626" w:rsidP="00CE6626">
                                <w:pPr>
                                  <w:spacing w:before="0" w:line="240" w:lineRule="auto"/>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14-16</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LET</w:t>
                                </w:r>
                              </w:p>
                              <w:p w14:paraId="75D825D1" w14:textId="77777777" w:rsidR="00CE6626" w:rsidRPr="00DC6030"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cNvPr id="22358" name="Group 68"/>
                          <wpg:cNvGrpSpPr>
                            <a:grpSpLocks/>
                          </wpg:cNvGrpSpPr>
                          <wpg:grpSpPr bwMode="auto">
                            <a:xfrm>
                              <a:off x="1428" y="0"/>
                              <a:ext cx="11652" cy="7217"/>
                              <a:chOff x="1428" y="0"/>
                              <a:chExt cx="11652" cy="7217"/>
                            </a:xfrm>
                          </wpg:grpSpPr>
                          <wps:wsp>
                            <wps:cNvPr id="22359" name="Oval 69"/>
                            <wps:cNvSpPr>
                              <a:spLocks noChangeArrowheads="1"/>
                            </wps:cNvSpPr>
                            <wps:spPr bwMode="auto">
                              <a:xfrm flipH="1">
                                <a:off x="5716" y="0"/>
                                <a:ext cx="7364" cy="721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2360" name="Rectangle 70"/>
                            <wps:cNvSpPr>
                              <a:spLocks noChangeArrowheads="1"/>
                            </wps:cNvSpPr>
                            <wps:spPr bwMode="auto">
                              <a:xfrm flipH="1">
                                <a:off x="1428" y="2660"/>
                                <a:ext cx="4375" cy="1817"/>
                              </a:xfrm>
                              <a:prstGeom prst="rect">
                                <a:avLst/>
                              </a:prstGeom>
                              <a:noFill/>
                              <a:ln>
                                <a:noFill/>
                              </a:ln>
                            </wps:spPr>
                            <wps:txbx>
                              <w:txbxContent>
                                <w:p w14:paraId="447D0DCD" w14:textId="77777777" w:rsidR="00CE6626" w:rsidRDefault="00CE6626" w:rsidP="00CE6626">
                                  <w:pPr>
                                    <w:jc w:val="center"/>
                                    <w:rPr>
                                      <w:rFonts w:cstheme="minorHAnsi"/>
                                      <w:sz w:val="20"/>
                                      <w:szCs w:val="20"/>
                                      <w:lang w:val="en-US"/>
                                    </w:rPr>
                                  </w:pPr>
                                  <w:r>
                                    <w:rPr>
                                      <w:rFonts w:cstheme="minorHAnsi"/>
                                      <w:sz w:val="20"/>
                                      <w:szCs w:val="20"/>
                                      <w:lang w:val="en-US"/>
                                    </w:rPr>
                                    <w:t>5Δ LET</w:t>
                                  </w:r>
                                </w:p>
                              </w:txbxContent>
                            </wps:txbx>
                            <wps:bodyPr rot="0" vert="horz" wrap="square" lIns="0" tIns="0" rIns="0" bIns="0" anchor="ctr" anchorCtr="0" upright="1">
                              <a:noAutofit/>
                            </wps:bodyPr>
                          </wps:wsp>
                        </wpg:grpSp>
                        <wpg:grpSp>
                          <wpg:cNvPr id="22361" name="Group 72"/>
                          <wpg:cNvGrpSpPr>
                            <a:grpSpLocks/>
                          </wpg:cNvGrpSpPr>
                          <wpg:grpSpPr bwMode="auto">
                            <a:xfrm>
                              <a:off x="19812" y="10"/>
                              <a:ext cx="15048" cy="7208"/>
                              <a:chOff x="0" y="11"/>
                              <a:chExt cx="15791" cy="8147"/>
                            </a:xfrm>
                          </wpg:grpSpPr>
                          <wps:wsp>
                            <wps:cNvPr id="22362" name="Oval 73"/>
                            <wps:cNvSpPr>
                              <a:spLocks noChangeArrowheads="1"/>
                            </wps:cNvSpPr>
                            <wps:spPr bwMode="auto">
                              <a:xfrm flipH="1">
                                <a:off x="0" y="11"/>
                                <a:ext cx="7727"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2363" name="Rectangle 74"/>
                            <wps:cNvSpPr>
                              <a:spLocks noChangeArrowheads="1"/>
                            </wps:cNvSpPr>
                            <wps:spPr bwMode="auto">
                              <a:xfrm flipH="1">
                                <a:off x="8047" y="3052"/>
                                <a:ext cx="7744" cy="2628"/>
                              </a:xfrm>
                              <a:prstGeom prst="rect">
                                <a:avLst/>
                              </a:prstGeom>
                              <a:noFill/>
                              <a:ln>
                                <a:noFill/>
                              </a:ln>
                            </wps:spPr>
                            <wps:txbx>
                              <w:txbxContent>
                                <w:p w14:paraId="3FD69FCC" w14:textId="77777777" w:rsidR="00CE6626" w:rsidRPr="00DC6030" w:rsidRDefault="00CE6626" w:rsidP="00CE6626">
                                  <w:pPr>
                                    <w:spacing w:before="0"/>
                                    <w:jc w:val="left"/>
                                    <w:rPr>
                                      <w:rFonts w:asciiTheme="minorHAnsi" w:hAnsiTheme="minorHAnsi" w:cstheme="minorHAnsi"/>
                                      <w:sz w:val="20"/>
                                      <w:szCs w:val="20"/>
                                      <w:lang w:val="en-US"/>
                                    </w:rPr>
                                  </w:pPr>
                                  <w:r w:rsidRPr="00DC6030">
                                    <w:rPr>
                                      <w:rFonts w:asciiTheme="minorHAnsi" w:hAnsiTheme="minorHAnsi" w:cstheme="minorHAnsi"/>
                                      <w:sz w:val="20"/>
                                      <w:szCs w:val="20"/>
                                      <w:lang w:val="en-US"/>
                                    </w:rPr>
                                    <w:t>-1 (20</w:t>
                                  </w:r>
                                  <w:r w:rsidRPr="00DC6030">
                                    <w:rPr>
                                      <w:rFonts w:asciiTheme="minorHAnsi" w:hAnsiTheme="minorHAnsi" w:cstheme="minorHAnsi"/>
                                      <w:sz w:val="20"/>
                                      <w:szCs w:val="20"/>
                                      <w:vertAlign w:val="superscript"/>
                                      <w:lang w:val="en-US"/>
                                    </w:rPr>
                                    <w:t>∆</w:t>
                                  </w:r>
                                  <w:r w:rsidRPr="00DC6030">
                                    <w:rPr>
                                      <w:rFonts w:asciiTheme="minorHAnsi" w:hAnsiTheme="minorHAnsi" w:cstheme="minorHAnsi"/>
                                      <w:sz w:val="20"/>
                                      <w:szCs w:val="20"/>
                                      <w:lang w:val="en-US"/>
                                    </w:rPr>
                                    <w:t xml:space="preserve"> LET)</w:t>
                                  </w:r>
                                </w:p>
                              </w:txbxContent>
                            </wps:txbx>
                            <wps:bodyPr rot="0" vert="horz" wrap="square" lIns="0" tIns="0" rIns="0" bIns="0" anchor="ctr" anchorCtr="0" upright="1">
                              <a:noAutofit/>
                            </wps:bodyPr>
                          </wps:wsp>
                        </wpg:grpSp>
                      </wpg:grpSp>
                    </wpg:wgp>
                  </a:graphicData>
                </a:graphic>
                <wp14:sizeRelH relativeFrom="margin">
                  <wp14:pctWidth>0</wp14:pctWidth>
                </wp14:sizeRelH>
                <wp14:sizeRelV relativeFrom="page">
                  <wp14:pctHeight>0</wp14:pctHeight>
                </wp14:sizeRelV>
              </wp:anchor>
            </w:drawing>
          </mc:Choice>
          <mc:Fallback>
            <w:pict>
              <v:group w14:anchorId="01DC3AAE" id="Group 22349" o:spid="_x0000_s2340" style="position:absolute;left:0;text-align:left;margin-left:0;margin-top:.9pt;width:263.2pt;height:56.75pt;z-index:-251558912;mso-position-horizontal:center;mso-position-horizontal-relative:margin;mso-position-vertical-relative:text;mso-width-relative:margin" coordorigin="-4667" coordsize="33432,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">
                <v:group id="Group 24" o:spid="_x0000_s2341" style="position:absolute;left:17888;top:3123;width:5210;height:757;rotation:-90;flip:x" coordorigin="-601" coordsize="8165,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">
                  <v:line id="Straight Connector 61" o:spid="_x0000_s2342" style="position:absolute;visibility:visible;mso-wrap-style:square" from="-601,3017" to="7563,3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" strokeweight=".5pt">
                    <v:stroke joinstyle="miter"/>
                  </v:line>
                  <v:group id="Group 62" o:spid="_x0000_s2343" style="position:absolute;left:1098;width:4899;height:3017" coordorigin="317" coordsize="489904,3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">
                    <v:line id="Straight Connector 63" o:spid="_x0000_s2344" style="position:absolute;flip:x;visibility:visible;mso-wrap-style:square" from="147627,4763" to="371159,28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" strokeweight="1.5pt">
                      <v:stroke joinstyle="miter"/>
                    </v:line>
                    <v:line id="Straight Connector 64" o:spid="_x0000_s2345" style="position:absolute;flip:x;visibility:visible;mso-wrap-style:square" from="317,0" to="209550,28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" strokeweight="1.5pt">
                      <v:stroke joinstyle="miter"/>
                    </v:line>
                    <v:line id="Straight Connector 65" o:spid="_x0000_s2346" style="position:absolute;flip:x;visibility:visible;mso-wrap-style:square" from="304053,66675" to="490221,30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" strokeweight="1.5pt">
                      <v:stroke joinstyle="miter"/>
                    </v:line>
                  </v:group>
                </v:group>
                <v:group id="Group 66" o:spid="_x0000_s2347" style="position:absolute;left:-4667;width:33432;height:7213" coordorigin="1428" coordsize="33432,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">
                  <v:rect id="Rectangle 67" o:spid="_x0000_s2348" style="position:absolute;left:13240;top:2466;width:6310;height:26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" filled="f" stroked="f">
                    <v:textbox inset="0,0,0,0">
                      <w:txbxContent>
                        <w:p w14:paraId="7CAC3773" w14:textId="77777777" w:rsidR="00CE6626" w:rsidRPr="00DC6030" w:rsidRDefault="00CE6626" w:rsidP="00CE6626">
                          <w:pPr>
                            <w:spacing w:before="0" w:line="240" w:lineRule="auto"/>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14-16</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LET</w:t>
                          </w:r>
                        </w:p>
                        <w:p w14:paraId="75D825D1" w14:textId="77777777" w:rsidR="00CE6626" w:rsidRPr="00DC6030" w:rsidRDefault="00CE6626" w:rsidP="00CE6626">
                          <w:pPr>
                            <w:jc w:val="center"/>
                            <w:rPr>
                              <w:rFonts w:asciiTheme="minorHAnsi" w:hAnsiTheme="minorHAnsi" w:cstheme="minorHAnsi"/>
                              <w:sz w:val="20"/>
                              <w:szCs w:val="20"/>
                              <w:lang w:val="en-US"/>
                            </w:rPr>
                          </w:pPr>
                        </w:p>
                      </w:txbxContent>
                    </v:textbox>
                  </v:rect>
                  <v:group id="Group 68" o:spid="_x0000_s2349" style="position:absolute;left:1428;width:11652;height:7217" coordorigin="1428" coordsize="11652,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">
                    <v:oval id="Oval 69" o:spid="_x0000_s2350" style="position:absolute;left:5716;width:7364;height:72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" filled="f" strokeweight="1pt">
                      <v:stroke joinstyle="miter"/>
                    </v:oval>
                    <v:rect id="Rectangle 70" o:spid="_x0000_s2351" style="position:absolute;left:1428;top:2660;width:4375;height:18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" filled="f" stroked="f">
                      <v:textbox inset="0,0,0,0">
                        <w:txbxContent>
                          <w:p w14:paraId="447D0DCD" w14:textId="77777777" w:rsidR="00CE6626" w:rsidRDefault="00CE6626" w:rsidP="00CE6626">
                            <w:pPr>
                              <w:jc w:val="center"/>
                              <w:rPr>
                                <w:rFonts w:cstheme="minorHAnsi"/>
                                <w:sz w:val="20"/>
                                <w:szCs w:val="20"/>
                                <w:lang w:val="en-US"/>
                              </w:rPr>
                            </w:pPr>
                            <w:r>
                              <w:rPr>
                                <w:rFonts w:cstheme="minorHAnsi"/>
                                <w:sz w:val="20"/>
                                <w:szCs w:val="20"/>
                                <w:lang w:val="en-US"/>
                              </w:rPr>
                              <w:t>5Δ LET</w:t>
                            </w:r>
                          </w:p>
                        </w:txbxContent>
                      </v:textbox>
                    </v:rect>
                  </v:group>
                  <v:group id="Group 72" o:spid="_x0000_s2352" style="position:absolute;left:19812;top:10;width:15048;height:7208" coordorigin=",11" coordsize="15791,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">
                    <v:oval id="Oval 73" o:spid="_x0000_s2353" style="position:absolute;top:11;width:7727;height:814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" filled="f" strokeweight="1pt">
                      <v:stroke joinstyle="miter"/>
                    </v:oval>
                    <v:rect id="Rectangle 74" o:spid="_x0000_s2354" style="position:absolute;left:8047;top:3052;width:7744;height:262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" filled="f" stroked="f">
                      <v:textbox inset="0,0,0,0">
                        <w:txbxContent>
                          <w:p w14:paraId="3FD69FCC" w14:textId="77777777" w:rsidR="00CE6626" w:rsidRPr="00DC6030" w:rsidRDefault="00CE6626" w:rsidP="00CE6626">
                            <w:pPr>
                              <w:spacing w:before="0"/>
                              <w:jc w:val="left"/>
                              <w:rPr>
                                <w:rFonts w:asciiTheme="minorHAnsi" w:hAnsiTheme="minorHAnsi" w:cstheme="minorHAnsi"/>
                                <w:sz w:val="20"/>
                                <w:szCs w:val="20"/>
                                <w:lang w:val="en-US"/>
                              </w:rPr>
                            </w:pPr>
                            <w:r w:rsidRPr="00DC6030">
                              <w:rPr>
                                <w:rFonts w:asciiTheme="minorHAnsi" w:hAnsiTheme="minorHAnsi" w:cstheme="minorHAnsi"/>
                                <w:sz w:val="20"/>
                                <w:szCs w:val="20"/>
                                <w:lang w:val="en-US"/>
                              </w:rPr>
                              <w:t>-1 (20</w:t>
                            </w:r>
                            <w:r w:rsidRPr="00DC6030">
                              <w:rPr>
                                <w:rFonts w:asciiTheme="minorHAnsi" w:hAnsiTheme="minorHAnsi" w:cstheme="minorHAnsi"/>
                                <w:sz w:val="20"/>
                                <w:szCs w:val="20"/>
                                <w:vertAlign w:val="superscript"/>
                                <w:lang w:val="en-US"/>
                              </w:rPr>
                              <w:t>∆</w:t>
                            </w:r>
                            <w:r w:rsidRPr="00DC6030">
                              <w:rPr>
                                <w:rFonts w:asciiTheme="minorHAnsi" w:hAnsiTheme="minorHAnsi" w:cstheme="minorHAnsi"/>
                                <w:sz w:val="20"/>
                                <w:szCs w:val="20"/>
                                <w:lang w:val="en-US"/>
                              </w:rPr>
                              <w:t xml:space="preserve"> LET)</w:t>
                            </w:r>
                          </w:p>
                        </w:txbxContent>
                      </v:textbox>
                    </v:rect>
                  </v:group>
                </v:group>
                <w10:wrap type="through" anchorx="margin"/>
              </v:group>
            </w:pict>
          </mc:Fallback>
        </mc:AlternateContent>
      </w:r>
    </w:p>
    <w:p w14:paraId="6108A3B6" w14:textId="77777777" w:rsidR="00CE6626" w:rsidRPr="009D4627" w:rsidRDefault="00CE6626" w:rsidP="00CE6626">
      <w:pPr>
        <w:spacing w:before="0" w:after="0" w:line="240" w:lineRule="auto"/>
        <w:rPr>
          <w:rFonts w:eastAsia="Calibri"/>
          <w:b/>
          <w:bCs/>
          <w:color w:val="auto"/>
          <w:szCs w:val="22"/>
          <w:lang w:val="fr-FR"/>
        </w:rPr>
      </w:pPr>
    </w:p>
    <w:p w14:paraId="237D5BAB" w14:textId="77777777" w:rsidR="00CE6626" w:rsidRPr="009D4627" w:rsidRDefault="00CE6626" w:rsidP="00CE6626">
      <w:pPr>
        <w:spacing w:before="0" w:after="0" w:line="240" w:lineRule="auto"/>
        <w:rPr>
          <w:rFonts w:eastAsia="Calibri"/>
          <w:b/>
          <w:bCs/>
          <w:color w:val="auto"/>
          <w:szCs w:val="22"/>
          <w:lang w:val="fr-FR"/>
        </w:rPr>
      </w:pPr>
    </w:p>
    <w:p w14:paraId="1B328285" w14:textId="77777777" w:rsidR="00CE6626" w:rsidRPr="009D4627" w:rsidRDefault="00CE6626" w:rsidP="00CE6626">
      <w:pPr>
        <w:spacing w:before="0" w:after="0" w:line="240" w:lineRule="auto"/>
        <w:rPr>
          <w:rFonts w:eastAsia="Calibri"/>
          <w:b/>
          <w:bCs/>
          <w:color w:val="auto"/>
          <w:szCs w:val="22"/>
          <w:lang w:val="fr-FR"/>
        </w:rPr>
      </w:pPr>
    </w:p>
    <w:p w14:paraId="7BC5E228" w14:textId="77777777" w:rsidR="00CE6626" w:rsidRPr="009D4627" w:rsidRDefault="00CE6626" w:rsidP="00CE6626">
      <w:pPr>
        <w:spacing w:before="0" w:after="0" w:line="240" w:lineRule="auto"/>
        <w:rPr>
          <w:rFonts w:eastAsia="Calibri"/>
          <w:b/>
          <w:bCs/>
          <w:color w:val="auto"/>
          <w:szCs w:val="22"/>
          <w:lang w:val="fr-FR"/>
        </w:rPr>
      </w:pPr>
    </w:p>
    <w:p w14:paraId="7182216C" w14:textId="77777777" w:rsidR="00CE6626" w:rsidRPr="00E82E69" w:rsidRDefault="00CE6626" w:rsidP="00CE6626">
      <w:pPr>
        <w:spacing w:before="0" w:after="0" w:line="240" w:lineRule="auto"/>
        <w:rPr>
          <w:rFonts w:eastAsia="Calibri"/>
          <w:b/>
          <w:bCs/>
          <w:color w:val="auto"/>
          <w:szCs w:val="22"/>
          <w:lang w:val="fr-FR"/>
        </w:rPr>
      </w:pPr>
      <w:proofErr w:type="spellStart"/>
      <w:r w:rsidRPr="00E82E69">
        <w:rPr>
          <w:rFonts w:eastAsia="Calibri"/>
          <w:b/>
          <w:bCs/>
          <w:color w:val="auto"/>
          <w:szCs w:val="22"/>
          <w:lang w:val="fr-FR"/>
        </w:rPr>
        <w:t>Prism</w:t>
      </w:r>
      <w:proofErr w:type="spellEnd"/>
      <w:r w:rsidRPr="00E82E69">
        <w:rPr>
          <w:rFonts w:eastAsia="Calibri"/>
          <w:b/>
          <w:bCs/>
          <w:color w:val="auto"/>
          <w:szCs w:val="22"/>
          <w:lang w:val="fr-FR"/>
        </w:rPr>
        <w:t xml:space="preserve"> </w:t>
      </w:r>
      <w:proofErr w:type="spellStart"/>
      <w:proofErr w:type="gramStart"/>
      <w:r w:rsidRPr="00E82E69">
        <w:rPr>
          <w:rFonts w:eastAsia="Calibri"/>
          <w:b/>
          <w:bCs/>
          <w:color w:val="auto"/>
          <w:szCs w:val="22"/>
          <w:lang w:val="fr-FR"/>
        </w:rPr>
        <w:t>measurement</w:t>
      </w:r>
      <w:proofErr w:type="spellEnd"/>
      <w:r w:rsidRPr="00E82E69">
        <w:rPr>
          <w:rFonts w:eastAsia="Calibri"/>
          <w:b/>
          <w:bCs/>
          <w:color w:val="auto"/>
          <w:szCs w:val="22"/>
          <w:lang w:val="fr-FR"/>
        </w:rPr>
        <w:t>:</w:t>
      </w:r>
      <w:proofErr w:type="gramEnd"/>
      <w:r w:rsidRPr="00E82E69">
        <w:rPr>
          <w:rFonts w:eastAsia="Calibri"/>
          <w:b/>
          <w:bCs/>
          <w:color w:val="auto"/>
          <w:szCs w:val="22"/>
          <w:lang w:val="fr-FR"/>
        </w:rPr>
        <w:t xml:space="preserve"> </w:t>
      </w:r>
    </w:p>
    <w:p w14:paraId="2849270B"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Seen single at distance with 15</w:t>
      </w:r>
      <w:r w:rsidRPr="009D4627">
        <w:rPr>
          <w:rFonts w:eastAsia="Calibri"/>
          <w:color w:val="auto"/>
          <w:szCs w:val="22"/>
          <w:vertAlign w:val="superscript"/>
          <w:lang w:val="en-MY"/>
        </w:rPr>
        <w:t>Δ</w:t>
      </w:r>
      <w:r w:rsidRPr="009D4627">
        <w:rPr>
          <w:rFonts w:eastAsia="Calibri"/>
          <w:color w:val="auto"/>
          <w:szCs w:val="22"/>
          <w:lang w:val="en-MY"/>
        </w:rPr>
        <w:t xml:space="preserve"> BO over the RE. Patient prefers prism over the R lens.</w:t>
      </w:r>
    </w:p>
    <w:p w14:paraId="196B9FC0" w14:textId="77777777" w:rsidR="00CE6626" w:rsidRPr="009D4627" w:rsidRDefault="00CE6626" w:rsidP="00CE6626">
      <w:pPr>
        <w:spacing w:before="0" w:after="0" w:line="240" w:lineRule="auto"/>
        <w:rPr>
          <w:rFonts w:eastAsia="Calibri"/>
          <w:b/>
          <w:bCs/>
          <w:color w:val="auto"/>
          <w:szCs w:val="22"/>
          <w:lang w:val="en-MY"/>
        </w:rPr>
      </w:pPr>
    </w:p>
    <w:p w14:paraId="50DC388E" w14:textId="77777777" w:rsidR="00CE6626" w:rsidRPr="009D4627" w:rsidRDefault="00CE6626" w:rsidP="00CE6626">
      <w:pPr>
        <w:spacing w:before="0" w:after="0" w:line="240" w:lineRule="auto"/>
        <w:rPr>
          <w:rFonts w:eastAsia="Calibri"/>
          <w:color w:val="auto"/>
          <w:szCs w:val="22"/>
          <w:lang w:val="en-MY"/>
        </w:rPr>
      </w:pPr>
      <w:r w:rsidRPr="009D4627">
        <w:rPr>
          <w:rFonts w:eastAsia="Calibri"/>
          <w:b/>
          <w:bCs/>
          <w:color w:val="auto"/>
          <w:szCs w:val="22"/>
          <w:lang w:val="en-MY"/>
        </w:rPr>
        <w:t>Assessment &amp; Plan:</w:t>
      </w:r>
      <w:r w:rsidRPr="009D4627">
        <w:rPr>
          <w:rFonts w:eastAsia="Calibri"/>
          <w:b/>
          <w:bCs/>
          <w:color w:val="auto"/>
          <w:szCs w:val="22"/>
          <w:lang w:val="en-MY"/>
        </w:rPr>
        <w:tab/>
      </w:r>
      <w:r w:rsidRPr="009D4627">
        <w:rPr>
          <w:rFonts w:eastAsia="Calibri"/>
          <w:color w:val="auto"/>
          <w:szCs w:val="22"/>
          <w:lang w:val="en-MY"/>
        </w:rPr>
        <w:t>Improving L sixth nerve palsy presumed microvascular.</w:t>
      </w:r>
    </w:p>
    <w:p w14:paraId="2B727515" w14:textId="77777777" w:rsidR="00CE6626" w:rsidRPr="009D4627" w:rsidRDefault="00CE6626" w:rsidP="00CE6626">
      <w:pPr>
        <w:spacing w:before="0" w:after="0" w:line="240" w:lineRule="auto"/>
        <w:ind w:left="1440" w:firstLine="720"/>
        <w:rPr>
          <w:rFonts w:eastAsia="Calibri"/>
          <w:color w:val="auto"/>
          <w:szCs w:val="22"/>
          <w:lang w:val="en-MY"/>
        </w:rPr>
      </w:pPr>
      <w:r w:rsidRPr="009D4627">
        <w:rPr>
          <w:rFonts w:eastAsia="Calibri"/>
          <w:color w:val="auto"/>
          <w:szCs w:val="22"/>
          <w:lang w:val="en-MY"/>
        </w:rPr>
        <w:t>Good further improvement to smaller deviation angle.</w:t>
      </w:r>
    </w:p>
    <w:p w14:paraId="610263C5" w14:textId="77777777" w:rsidR="00CE6626" w:rsidRPr="009D4627" w:rsidRDefault="00CE6626" w:rsidP="00CE6626">
      <w:pPr>
        <w:spacing w:before="0" w:after="0" w:line="240" w:lineRule="auto"/>
        <w:ind w:left="1440" w:firstLine="720"/>
        <w:rPr>
          <w:rFonts w:eastAsia="Calibri"/>
          <w:color w:val="auto"/>
          <w:szCs w:val="22"/>
          <w:lang w:val="en-MY"/>
        </w:rPr>
      </w:pPr>
      <w:r w:rsidRPr="009D4627">
        <w:rPr>
          <w:rFonts w:eastAsia="Calibri"/>
          <w:color w:val="auto"/>
          <w:szCs w:val="22"/>
          <w:lang w:val="en-MY"/>
        </w:rPr>
        <w:t>Fitted 15</w:t>
      </w:r>
      <w:r w:rsidRPr="009D4627">
        <w:rPr>
          <w:rFonts w:eastAsia="Calibri"/>
          <w:color w:val="auto"/>
          <w:szCs w:val="22"/>
          <w:vertAlign w:val="superscript"/>
          <w:lang w:val="en-MY"/>
        </w:rPr>
        <w:t>Δ</w:t>
      </w:r>
      <w:r w:rsidRPr="009D4627">
        <w:rPr>
          <w:rFonts w:eastAsia="Calibri"/>
          <w:color w:val="auto"/>
          <w:szCs w:val="22"/>
          <w:lang w:val="en-MY"/>
        </w:rPr>
        <w:t xml:space="preserve"> BO Fresnel to R </w:t>
      </w:r>
      <w:proofErr w:type="spellStart"/>
      <w:r w:rsidRPr="009D4627">
        <w:rPr>
          <w:rFonts w:eastAsia="Calibri"/>
          <w:color w:val="auto"/>
          <w:szCs w:val="22"/>
          <w:lang w:val="en-MY"/>
        </w:rPr>
        <w:t>plano</w:t>
      </w:r>
      <w:proofErr w:type="spellEnd"/>
      <w:r w:rsidRPr="009D4627">
        <w:rPr>
          <w:rFonts w:eastAsia="Calibri"/>
          <w:color w:val="auto"/>
          <w:szCs w:val="22"/>
          <w:lang w:val="en-MY"/>
        </w:rPr>
        <w:t xml:space="preserve"> lens. </w:t>
      </w:r>
    </w:p>
    <w:p w14:paraId="33BA5ECC" w14:textId="77777777" w:rsidR="00CE6626" w:rsidRPr="009D4627" w:rsidRDefault="00CE6626" w:rsidP="00CE6626">
      <w:pPr>
        <w:spacing w:before="0" w:after="0" w:line="240" w:lineRule="auto"/>
        <w:ind w:left="1440" w:firstLine="720"/>
        <w:rPr>
          <w:rFonts w:eastAsia="Calibri"/>
          <w:color w:val="auto"/>
          <w:szCs w:val="22"/>
          <w:lang w:val="en-MY"/>
        </w:rPr>
      </w:pPr>
      <w:r w:rsidRPr="009D4627">
        <w:rPr>
          <w:rFonts w:eastAsia="Calibri"/>
          <w:color w:val="auto"/>
          <w:szCs w:val="22"/>
          <w:lang w:val="en-MY"/>
        </w:rPr>
        <w:t>No prism for readers.</w:t>
      </w:r>
    </w:p>
    <w:p w14:paraId="0FD396F9" w14:textId="77777777" w:rsidR="00CE6626" w:rsidRPr="009D4627" w:rsidRDefault="00CE6626" w:rsidP="00CE6626">
      <w:pPr>
        <w:spacing w:before="0" w:after="0" w:line="240" w:lineRule="auto"/>
        <w:ind w:left="1440" w:firstLine="720"/>
        <w:rPr>
          <w:rFonts w:eastAsia="Calibri"/>
          <w:color w:val="auto"/>
          <w:szCs w:val="22"/>
          <w:lang w:val="en-MY"/>
        </w:rPr>
      </w:pPr>
      <w:r w:rsidRPr="009D4627">
        <w:rPr>
          <w:rFonts w:eastAsia="Calibri"/>
          <w:color w:val="auto"/>
          <w:szCs w:val="22"/>
          <w:lang w:val="en-MY"/>
        </w:rPr>
        <w:t>Patient also has a patch at home.</w:t>
      </w:r>
    </w:p>
    <w:p w14:paraId="43538049" w14:textId="77777777" w:rsidR="00CE6626" w:rsidRPr="009D4627" w:rsidRDefault="00CE6626" w:rsidP="00CE6626">
      <w:pPr>
        <w:spacing w:before="0" w:after="0" w:line="240" w:lineRule="auto"/>
        <w:ind w:left="1440" w:firstLine="720"/>
        <w:rPr>
          <w:rFonts w:eastAsia="Calibri"/>
          <w:color w:val="auto"/>
          <w:szCs w:val="22"/>
          <w:lang w:val="en-MY"/>
        </w:rPr>
      </w:pPr>
      <w:r w:rsidRPr="009D4627">
        <w:rPr>
          <w:rFonts w:eastAsia="Calibri"/>
          <w:color w:val="auto"/>
          <w:szCs w:val="22"/>
          <w:lang w:val="en-MY"/>
        </w:rPr>
        <w:t>Review 4-5/52 to check for further recovery.</w:t>
      </w:r>
    </w:p>
    <w:p w14:paraId="7B96EAEE" w14:textId="77777777" w:rsidR="00CE6626" w:rsidRPr="009D4627" w:rsidRDefault="00CE6626" w:rsidP="00CE6626">
      <w:pPr>
        <w:spacing w:before="0" w:after="0" w:line="240" w:lineRule="auto"/>
        <w:rPr>
          <w:rFonts w:eastAsia="Calibri"/>
          <w:b/>
          <w:szCs w:val="22"/>
          <w:u w:val="single"/>
          <w:lang w:val="en-MY"/>
        </w:rPr>
      </w:pPr>
    </w:p>
    <w:p w14:paraId="67BF98E1" w14:textId="699FF5FA" w:rsidR="00CE6626" w:rsidRPr="009D4627" w:rsidRDefault="00CE6626" w:rsidP="00CE6626">
      <w:pPr>
        <w:spacing w:before="0" w:after="0" w:line="240" w:lineRule="auto"/>
        <w:rPr>
          <w:rFonts w:eastAsia="Calibri"/>
          <w:szCs w:val="22"/>
          <w:lang w:val="en-MY"/>
        </w:rPr>
      </w:pPr>
      <w:r w:rsidRPr="009D4627">
        <w:rPr>
          <w:rFonts w:eastAsia="Calibri"/>
          <w:b/>
          <w:szCs w:val="22"/>
          <w:u w:val="single"/>
          <w:lang w:val="en-MY"/>
        </w:rPr>
        <w:t xml:space="preserve">Clinical visit 5: </w:t>
      </w:r>
      <w:r w:rsidRPr="009D4627">
        <w:rPr>
          <w:rFonts w:eastAsia="Calibri"/>
          <w:bCs/>
          <w:szCs w:val="22"/>
          <w:u w:val="single"/>
          <w:lang w:val="en-MY"/>
        </w:rPr>
        <w:t>07/10/19 (17</w:t>
      </w:r>
      <w:r w:rsidRPr="009D4627">
        <w:rPr>
          <w:rFonts w:eastAsia="Calibri"/>
          <w:bCs/>
          <w:color w:val="FF0000"/>
          <w:szCs w:val="22"/>
          <w:u w:val="single"/>
          <w:lang w:val="en-MY"/>
        </w:rPr>
        <w:t xml:space="preserve"> </w:t>
      </w:r>
      <w:r w:rsidRPr="009D4627">
        <w:rPr>
          <w:rFonts w:eastAsia="Calibri"/>
          <w:bCs/>
          <w:szCs w:val="22"/>
          <w:u w:val="single"/>
          <w:lang w:val="en-MY"/>
        </w:rPr>
        <w:t>weeks from onset)</w:t>
      </w:r>
    </w:p>
    <w:p w14:paraId="3C58E9A6" w14:textId="77777777" w:rsidR="00CE6626" w:rsidRPr="009D4627" w:rsidRDefault="00CE6626" w:rsidP="00CE6626">
      <w:pPr>
        <w:spacing w:before="0" w:after="0" w:line="240" w:lineRule="auto"/>
        <w:rPr>
          <w:rFonts w:eastAsia="Calibri"/>
          <w:szCs w:val="22"/>
          <w:lang w:val="en-MY"/>
        </w:rPr>
      </w:pPr>
    </w:p>
    <w:p w14:paraId="3A084D16" w14:textId="77777777" w:rsidR="00CE6626" w:rsidRPr="009D4627" w:rsidRDefault="00CE6626" w:rsidP="00CE6626">
      <w:pPr>
        <w:spacing w:before="0" w:after="0" w:line="240" w:lineRule="auto"/>
        <w:rPr>
          <w:rFonts w:eastAsia="Calibri"/>
          <w:color w:val="auto"/>
          <w:szCs w:val="22"/>
          <w:lang w:val="en-MY"/>
        </w:rPr>
      </w:pPr>
      <w:r w:rsidRPr="009D4627">
        <w:rPr>
          <w:rFonts w:eastAsia="Calibri"/>
          <w:color w:val="auto"/>
          <w:szCs w:val="22"/>
          <w:lang w:val="en-MY"/>
        </w:rPr>
        <w:t xml:space="preserve">Pt broke his </w:t>
      </w:r>
      <w:proofErr w:type="spellStart"/>
      <w:r w:rsidRPr="009D4627">
        <w:rPr>
          <w:rFonts w:eastAsia="Calibri"/>
          <w:color w:val="auto"/>
          <w:szCs w:val="22"/>
          <w:lang w:val="en-MY"/>
        </w:rPr>
        <w:t>plano</w:t>
      </w:r>
      <w:proofErr w:type="spellEnd"/>
      <w:r w:rsidRPr="009D4627">
        <w:rPr>
          <w:rFonts w:eastAsia="Calibri"/>
          <w:color w:val="auto"/>
          <w:szCs w:val="22"/>
          <w:lang w:val="en-MY"/>
        </w:rPr>
        <w:t xml:space="preserve"> glasses. Seen slight diplopia at 6 m without prism. Patient feels improvement. </w:t>
      </w:r>
    </w:p>
    <w:p w14:paraId="6B821F47" w14:textId="77777777" w:rsidR="00CE6626" w:rsidRPr="009D4627" w:rsidRDefault="00CE6626" w:rsidP="00CE6626">
      <w:pPr>
        <w:spacing w:before="0" w:after="0" w:line="240" w:lineRule="auto"/>
        <w:rPr>
          <w:rFonts w:eastAsia="Calibri"/>
          <w:b/>
          <w:szCs w:val="22"/>
          <w:lang w:val="en-MY"/>
        </w:rPr>
      </w:pPr>
    </w:p>
    <w:p w14:paraId="79F6E246" w14:textId="695CEEFF"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Visual acuity:</w:t>
      </w:r>
      <w:r w:rsidRPr="009D4627">
        <w:rPr>
          <w:rFonts w:eastAsia="Calibri"/>
          <w:bCs/>
          <w:szCs w:val="22"/>
          <w:lang w:val="en-MY"/>
        </w:rPr>
        <w:t xml:space="preserve"> unaided</w:t>
      </w:r>
      <w:r w:rsidRPr="009D4627">
        <w:rPr>
          <w:rFonts w:eastAsia="Calibri"/>
          <w:bCs/>
          <w:szCs w:val="22"/>
          <w:lang w:val="en-MY"/>
        </w:rPr>
        <w:tab/>
        <w:t>RE 0.24</w:t>
      </w:r>
      <w:r w:rsidRPr="009D4627">
        <w:rPr>
          <w:rFonts w:eastAsia="Calibri"/>
          <w:bCs/>
          <w:szCs w:val="22"/>
          <w:lang w:val="en-MY"/>
        </w:rPr>
        <w:tab/>
        <w:t>LE 0.24</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r w:rsidRPr="009D4627">
        <w:rPr>
          <w:rFonts w:eastAsia="Calibri"/>
          <w:bCs/>
          <w:szCs w:val="22"/>
          <w:lang w:val="en-MY"/>
        </w:rPr>
        <w:t xml:space="preserve"> </w:t>
      </w:r>
    </w:p>
    <w:p w14:paraId="0F537E76" w14:textId="77777777" w:rsidR="00CE6626" w:rsidRPr="009D4627" w:rsidRDefault="00CE6626" w:rsidP="00CE6626">
      <w:pPr>
        <w:spacing w:before="0" w:after="0" w:line="240" w:lineRule="auto"/>
        <w:rPr>
          <w:rFonts w:eastAsia="Calibri"/>
          <w:bCs/>
          <w:szCs w:val="22"/>
          <w:lang w:val="en-MY"/>
        </w:rPr>
      </w:pP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r>
      <w:r w:rsidRPr="009D4627">
        <w:rPr>
          <w:rFonts w:eastAsia="Calibri"/>
          <w:b/>
          <w:szCs w:val="22"/>
          <w:lang w:val="en-MY"/>
        </w:rPr>
        <w:tab/>
        <w:t xml:space="preserve">      </w:t>
      </w:r>
      <w:r w:rsidRPr="009D4627">
        <w:rPr>
          <w:rFonts w:eastAsia="Calibri"/>
          <w:bCs/>
          <w:szCs w:val="22"/>
          <w:lang w:val="en-MY"/>
        </w:rPr>
        <w:t>6/9.5</w:t>
      </w:r>
      <w:r w:rsidRPr="009D4627">
        <w:rPr>
          <w:rFonts w:eastAsia="Calibri"/>
          <w:bCs/>
          <w:szCs w:val="22"/>
          <w:vertAlign w:val="superscript"/>
          <w:lang w:val="en-MY"/>
        </w:rPr>
        <w:t>-2</w:t>
      </w:r>
      <w:r w:rsidRPr="009D4627">
        <w:rPr>
          <w:rFonts w:eastAsia="Calibri"/>
          <w:bCs/>
          <w:szCs w:val="22"/>
          <w:lang w:val="en-MY"/>
        </w:rPr>
        <w:tab/>
        <w:t xml:space="preserve">     6/9.5</w:t>
      </w:r>
      <w:r w:rsidRPr="009D4627">
        <w:rPr>
          <w:rFonts w:eastAsia="Calibri"/>
          <w:bCs/>
          <w:szCs w:val="22"/>
          <w:vertAlign w:val="superscript"/>
          <w:lang w:val="en-MY"/>
        </w:rPr>
        <w:t>-2</w:t>
      </w:r>
      <w:r w:rsidRPr="009D4627">
        <w:rPr>
          <w:rFonts w:eastAsia="Calibri"/>
          <w:bCs/>
          <w:szCs w:val="22"/>
          <w:lang w:val="en-MY"/>
        </w:rPr>
        <w:t xml:space="preserve"> </w:t>
      </w:r>
      <w:r w:rsidRPr="009D4627">
        <w:rPr>
          <w:rFonts w:eastAsia="Calibri"/>
          <w:bCs/>
          <w:szCs w:val="22"/>
          <w:lang w:val="en-MY"/>
        </w:rPr>
        <w:tab/>
        <w:t>Snellen equivalent</w:t>
      </w:r>
    </w:p>
    <w:p w14:paraId="11271F0E" w14:textId="77777777" w:rsidR="00CE6626" w:rsidRPr="009D4627" w:rsidRDefault="00CE6626" w:rsidP="00CE6626">
      <w:pPr>
        <w:spacing w:before="0" w:after="0" w:line="240" w:lineRule="auto"/>
        <w:rPr>
          <w:rFonts w:eastAsia="Calibri"/>
          <w:bCs/>
          <w:szCs w:val="22"/>
          <w:lang w:val="en-MY"/>
        </w:rPr>
      </w:pPr>
    </w:p>
    <w:p w14:paraId="24DF19AE" w14:textId="79F4F9C3"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t>with PH</w:t>
      </w:r>
      <w:r w:rsidRPr="009D4627">
        <w:rPr>
          <w:rFonts w:eastAsia="Calibri"/>
          <w:bCs/>
          <w:szCs w:val="22"/>
          <w:lang w:val="en-MY"/>
        </w:rPr>
        <w:tab/>
        <w:t>RE 0.10</w:t>
      </w:r>
      <w:r w:rsidRPr="009D4627">
        <w:rPr>
          <w:rFonts w:eastAsia="Calibri"/>
          <w:bCs/>
          <w:szCs w:val="22"/>
          <w:lang w:val="en-MY"/>
        </w:rPr>
        <w:tab/>
        <w:t>LE 0.12</w:t>
      </w:r>
      <w:r w:rsidRPr="009D4627">
        <w:rPr>
          <w:rFonts w:eastAsia="Calibri"/>
          <w:bCs/>
          <w:szCs w:val="22"/>
          <w:lang w:val="en-MY"/>
        </w:rPr>
        <w:tab/>
        <w:t xml:space="preserve">ETDRS </w:t>
      </w:r>
      <w:proofErr w:type="spellStart"/>
      <w:r w:rsidRPr="009D4627">
        <w:rPr>
          <w:rFonts w:eastAsia="Calibri"/>
          <w:bCs/>
          <w:szCs w:val="22"/>
          <w:lang w:val="en-MY"/>
        </w:rPr>
        <w:t>logMAR</w:t>
      </w:r>
      <w:proofErr w:type="spellEnd"/>
    </w:p>
    <w:p w14:paraId="1DE8E787"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t xml:space="preserve">      6/7.5</w:t>
      </w:r>
      <w:r w:rsidRPr="009D4627">
        <w:rPr>
          <w:rFonts w:eastAsia="Calibri"/>
          <w:bCs/>
          <w:szCs w:val="22"/>
          <w:lang w:val="en-MY"/>
        </w:rPr>
        <w:tab/>
        <w:t xml:space="preserve">     6/7.5</w:t>
      </w:r>
      <w:r w:rsidRPr="009D4627">
        <w:rPr>
          <w:rFonts w:eastAsia="Calibri"/>
          <w:bCs/>
          <w:szCs w:val="22"/>
          <w:vertAlign w:val="superscript"/>
          <w:lang w:val="en-MY"/>
        </w:rPr>
        <w:t>-1</w:t>
      </w:r>
      <w:r w:rsidRPr="009D4627">
        <w:rPr>
          <w:rFonts w:eastAsia="Calibri"/>
          <w:bCs/>
          <w:szCs w:val="22"/>
          <w:lang w:val="en-MY"/>
        </w:rPr>
        <w:tab/>
        <w:t>Snellen equivalent</w:t>
      </w:r>
    </w:p>
    <w:p w14:paraId="0B06EC2E" w14:textId="77777777" w:rsidR="00CE6626" w:rsidRPr="009D4627" w:rsidRDefault="00CE6626" w:rsidP="00CE6626">
      <w:pPr>
        <w:spacing w:before="0" w:after="0" w:line="240" w:lineRule="auto"/>
        <w:rPr>
          <w:rFonts w:eastAsia="Calibri"/>
          <w:bCs/>
          <w:szCs w:val="22"/>
          <w:lang w:val="en-MY"/>
        </w:rPr>
      </w:pPr>
      <w:r w:rsidRPr="009D4627">
        <w:rPr>
          <w:rFonts w:eastAsia="Calibri"/>
          <w:bCs/>
          <w:szCs w:val="22"/>
          <w:lang w:val="en-MY"/>
        </w:rPr>
        <w:tab/>
      </w:r>
      <w:r w:rsidRPr="009D4627">
        <w:rPr>
          <w:rFonts w:eastAsia="Calibri"/>
          <w:bCs/>
          <w:szCs w:val="22"/>
          <w:lang w:val="en-MY"/>
        </w:rPr>
        <w:tab/>
      </w:r>
      <w:r w:rsidRPr="009D4627">
        <w:rPr>
          <w:rFonts w:eastAsia="Calibri"/>
          <w:bCs/>
          <w:szCs w:val="22"/>
          <w:lang w:val="en-MY"/>
        </w:rPr>
        <w:tab/>
      </w:r>
    </w:p>
    <w:p w14:paraId="239F54CA" w14:textId="7994D27B" w:rsidR="00CE6626" w:rsidRPr="009D4627" w:rsidRDefault="00CE6626" w:rsidP="00CE6626">
      <w:pPr>
        <w:spacing w:before="0" w:after="0" w:line="240" w:lineRule="auto"/>
        <w:ind w:left="1276" w:hanging="1276"/>
        <w:rPr>
          <w:rFonts w:eastAsia="Calibri"/>
          <w:szCs w:val="22"/>
          <w:lang w:val="en-MY"/>
        </w:rPr>
      </w:pPr>
      <w:r w:rsidRPr="009D4627">
        <w:rPr>
          <w:rFonts w:eastAsia="Calibri"/>
          <w:b/>
          <w:szCs w:val="22"/>
          <w:lang w:val="en-MY"/>
        </w:rPr>
        <w:t xml:space="preserve">Cover test: </w:t>
      </w:r>
      <w:r w:rsidRPr="009D4627">
        <w:rPr>
          <w:rFonts w:eastAsia="Calibri"/>
          <w:b/>
          <w:szCs w:val="22"/>
          <w:lang w:val="en-MY"/>
        </w:rPr>
        <w:tab/>
      </w:r>
      <w:r w:rsidRPr="009D4627">
        <w:rPr>
          <w:rFonts w:eastAsia="Calibri"/>
          <w:szCs w:val="22"/>
          <w:lang w:val="en-MY"/>
        </w:rPr>
        <w:t xml:space="preserve"> </w:t>
      </w:r>
      <w:r w:rsidRPr="009D4627">
        <w:rPr>
          <w:rFonts w:eastAsia="Calibri"/>
          <w:szCs w:val="22"/>
          <w:lang w:val="en-MY"/>
        </w:rPr>
        <w:tab/>
        <w:t>with readers</w:t>
      </w:r>
      <w:r w:rsidR="00730570">
        <w:rPr>
          <w:rFonts w:eastAsia="Calibri"/>
          <w:szCs w:val="22"/>
          <w:lang w:val="en-MY"/>
        </w:rPr>
        <w:tab/>
      </w:r>
      <w:r w:rsidRPr="009D4627">
        <w:rPr>
          <w:rFonts w:eastAsia="Calibri"/>
          <w:szCs w:val="22"/>
          <w:lang w:val="en-MY"/>
        </w:rPr>
        <w:t xml:space="preserve">1/3 m </w:t>
      </w:r>
      <w:r w:rsidR="00730570">
        <w:rPr>
          <w:rFonts w:eastAsia="Calibri"/>
          <w:szCs w:val="22"/>
          <w:lang w:val="en-MY"/>
        </w:rPr>
        <w:tab/>
      </w:r>
      <w:r w:rsidRPr="009D4627">
        <w:rPr>
          <w:rFonts w:eastAsia="Calibri"/>
          <w:szCs w:val="22"/>
          <w:lang w:val="en-MY"/>
        </w:rPr>
        <w:t xml:space="preserve">Small E with good recovery </w:t>
      </w:r>
    </w:p>
    <w:p w14:paraId="32848613" w14:textId="5D5BB3D4" w:rsidR="00CE6626" w:rsidRPr="009D4627" w:rsidRDefault="00730570" w:rsidP="00CE6626">
      <w:pPr>
        <w:spacing w:before="0" w:after="0" w:line="240" w:lineRule="auto"/>
        <w:ind w:left="1276" w:firstLine="164"/>
        <w:rPr>
          <w:rFonts w:eastAsia="Calibri"/>
          <w:bCs/>
          <w:szCs w:val="22"/>
          <w:lang w:val="en-MY"/>
        </w:rPr>
      </w:pPr>
      <w:r>
        <w:rPr>
          <w:rFonts w:eastAsia="Calibri"/>
          <w:bCs/>
          <w:szCs w:val="22"/>
          <w:lang w:val="en-MY"/>
        </w:rPr>
        <w:lastRenderedPageBreak/>
        <w:tab/>
      </w:r>
      <w:r w:rsidR="00CE6626" w:rsidRPr="009D4627">
        <w:rPr>
          <w:rFonts w:eastAsia="Calibri"/>
          <w:bCs/>
          <w:szCs w:val="22"/>
          <w:lang w:val="en-MY"/>
        </w:rPr>
        <w:tab/>
        <w:t xml:space="preserve">6 m </w:t>
      </w:r>
      <w:r>
        <w:rPr>
          <w:rFonts w:eastAsia="Calibri"/>
          <w:bCs/>
          <w:szCs w:val="22"/>
          <w:lang w:val="en-MY"/>
        </w:rPr>
        <w:tab/>
      </w:r>
      <w:r w:rsidR="00CE6626" w:rsidRPr="009D4627">
        <w:rPr>
          <w:rFonts w:eastAsia="Calibri"/>
          <w:bCs/>
          <w:szCs w:val="22"/>
          <w:lang w:val="en-MY"/>
        </w:rPr>
        <w:t xml:space="preserve">Small LET with diplopia </w:t>
      </w:r>
    </w:p>
    <w:p w14:paraId="211865B0" w14:textId="77777777" w:rsidR="00CE6626" w:rsidRPr="009D4627" w:rsidRDefault="00CE6626" w:rsidP="00CE6626">
      <w:pPr>
        <w:spacing w:before="0" w:after="0" w:line="240" w:lineRule="auto"/>
        <w:ind w:left="1276" w:hanging="1276"/>
        <w:rPr>
          <w:rFonts w:eastAsia="Calibri"/>
          <w:bCs/>
          <w:szCs w:val="22"/>
          <w:lang w:val="en-MY"/>
        </w:rPr>
      </w:pPr>
      <w:r w:rsidRPr="009D4627">
        <w:rPr>
          <w:rFonts w:eastAsia="Calibri"/>
          <w:b/>
          <w:szCs w:val="22"/>
          <w:lang w:val="en-MY"/>
        </w:rPr>
        <w:tab/>
      </w:r>
      <w:r w:rsidRPr="009D4627">
        <w:rPr>
          <w:rFonts w:eastAsia="Calibri"/>
          <w:b/>
          <w:szCs w:val="22"/>
          <w:lang w:val="en-MY"/>
        </w:rPr>
        <w:tab/>
      </w:r>
    </w:p>
    <w:p w14:paraId="4001E229" w14:textId="2725D26C" w:rsidR="00CE6626" w:rsidRPr="009D4627" w:rsidRDefault="00CE6626" w:rsidP="00CE6626">
      <w:pPr>
        <w:spacing w:before="0" w:after="0" w:line="240" w:lineRule="auto"/>
        <w:rPr>
          <w:rFonts w:eastAsia="Calibri"/>
          <w:b/>
          <w:szCs w:val="22"/>
          <w:lang w:val="en-MY"/>
        </w:rPr>
      </w:pPr>
      <w:r w:rsidRPr="009D4627">
        <w:rPr>
          <w:rFonts w:eastAsia="Calibri"/>
          <w:b/>
          <w:szCs w:val="22"/>
          <w:lang w:val="en-MY"/>
        </w:rPr>
        <w:t xml:space="preserve">PCT: </w:t>
      </w:r>
      <w:r w:rsidRPr="009D4627">
        <w:rPr>
          <w:rFonts w:eastAsia="Calibri"/>
          <w:b/>
          <w:szCs w:val="22"/>
          <w:lang w:val="en-MY"/>
        </w:rPr>
        <w:tab/>
      </w:r>
      <w:r w:rsidR="00730570">
        <w:rPr>
          <w:rFonts w:eastAsia="Calibri"/>
          <w:b/>
          <w:szCs w:val="22"/>
          <w:lang w:val="en-MY"/>
        </w:rPr>
        <w:tab/>
      </w:r>
      <w:r w:rsidRPr="009D4627">
        <w:rPr>
          <w:rFonts w:eastAsia="Calibri"/>
          <w:szCs w:val="22"/>
          <w:lang w:val="en-MY"/>
        </w:rPr>
        <w:t xml:space="preserve">with readers </w:t>
      </w:r>
      <w:r w:rsidRPr="009D4627">
        <w:rPr>
          <w:rFonts w:eastAsia="Calibri"/>
          <w:szCs w:val="22"/>
          <w:lang w:val="en-MY"/>
        </w:rPr>
        <w:tab/>
        <w:t xml:space="preserve">1/3 m </w:t>
      </w:r>
      <w:r w:rsidRPr="009D4627">
        <w:rPr>
          <w:rFonts w:eastAsia="Calibri"/>
          <w:szCs w:val="22"/>
          <w:lang w:val="en-MY"/>
        </w:rPr>
        <w:tab/>
        <w:t>3</w:t>
      </w:r>
      <w:r w:rsidRPr="009D4627">
        <w:rPr>
          <w:rFonts w:eastAsia="Calibri"/>
          <w:szCs w:val="22"/>
          <w:vertAlign w:val="superscript"/>
          <w:lang w:val="en-MY"/>
        </w:rPr>
        <w:t>Δ</w:t>
      </w:r>
      <w:r w:rsidRPr="009D4627">
        <w:rPr>
          <w:rFonts w:eastAsia="Calibri"/>
          <w:szCs w:val="22"/>
          <w:lang w:val="en-MY"/>
        </w:rPr>
        <w:t xml:space="preserve"> E</w:t>
      </w:r>
    </w:p>
    <w:p w14:paraId="234E14D7" w14:textId="71063F4A" w:rsidR="00CE6626" w:rsidRPr="009D4627" w:rsidRDefault="00CE6626" w:rsidP="00730570">
      <w:pPr>
        <w:spacing w:before="0" w:after="0" w:line="240" w:lineRule="auto"/>
        <w:ind w:left="720" w:firstLine="720"/>
        <w:rPr>
          <w:rFonts w:eastAsia="Calibri"/>
          <w:szCs w:val="22"/>
          <w:lang w:val="en-MY"/>
        </w:rPr>
      </w:pPr>
      <w:r w:rsidRPr="009D4627">
        <w:rPr>
          <w:rFonts w:eastAsia="Calibri"/>
          <w:szCs w:val="22"/>
          <w:lang w:val="en-MY"/>
        </w:rPr>
        <w:t xml:space="preserve">      </w:t>
      </w:r>
      <w:r w:rsidRPr="009D4627">
        <w:rPr>
          <w:rFonts w:eastAsia="Calibri"/>
          <w:szCs w:val="22"/>
          <w:lang w:val="en-MY"/>
        </w:rPr>
        <w:tab/>
      </w:r>
      <w:r w:rsidR="00730570">
        <w:rPr>
          <w:rFonts w:eastAsia="Calibri"/>
          <w:szCs w:val="22"/>
          <w:lang w:val="en-MY"/>
        </w:rPr>
        <w:tab/>
      </w:r>
      <w:r w:rsidRPr="009D4627">
        <w:rPr>
          <w:rFonts w:eastAsia="Calibri"/>
          <w:szCs w:val="22"/>
          <w:lang w:val="en-MY"/>
        </w:rPr>
        <w:t xml:space="preserve">6 m </w:t>
      </w:r>
      <w:r w:rsidRPr="009D4627">
        <w:rPr>
          <w:rFonts w:eastAsia="Calibri"/>
          <w:szCs w:val="22"/>
          <w:lang w:val="en-MY"/>
        </w:rPr>
        <w:tab/>
        <w:t>12</w:t>
      </w:r>
      <w:r w:rsidRPr="009D4627">
        <w:rPr>
          <w:rFonts w:eastAsia="Calibri"/>
          <w:szCs w:val="22"/>
          <w:vertAlign w:val="superscript"/>
          <w:lang w:val="en-MY"/>
        </w:rPr>
        <w:t>Δ</w:t>
      </w:r>
      <w:r w:rsidRPr="009D4627">
        <w:rPr>
          <w:rFonts w:eastAsia="Calibri"/>
          <w:szCs w:val="22"/>
          <w:lang w:val="en-MY"/>
        </w:rPr>
        <w:t xml:space="preserve"> LET</w:t>
      </w:r>
    </w:p>
    <w:p w14:paraId="705F422B" w14:textId="461EB4A3" w:rsidR="00CE6626" w:rsidRPr="009D4627" w:rsidRDefault="00CE6626" w:rsidP="00CE6626">
      <w:pPr>
        <w:spacing w:before="0" w:after="0" w:line="240" w:lineRule="auto"/>
        <w:ind w:left="1440" w:hanging="1440"/>
        <w:rPr>
          <w:rFonts w:eastAsia="Calibri"/>
          <w:color w:val="auto"/>
          <w:szCs w:val="22"/>
          <w:lang w:val="en-MY"/>
        </w:rPr>
      </w:pPr>
      <w:r w:rsidRPr="009D4627">
        <w:rPr>
          <w:rFonts w:eastAsia="Calibri"/>
          <w:b/>
          <w:bCs/>
          <w:color w:val="auto"/>
          <w:szCs w:val="22"/>
          <w:lang w:val="en-MY"/>
        </w:rPr>
        <w:t xml:space="preserve">Frisby: </w:t>
      </w:r>
      <w:r w:rsidRPr="009D4627">
        <w:rPr>
          <w:rFonts w:eastAsia="Calibri"/>
          <w:color w:val="auto"/>
          <w:szCs w:val="22"/>
          <w:lang w:val="en-MY"/>
        </w:rPr>
        <w:t xml:space="preserve">with </w:t>
      </w:r>
      <w:proofErr w:type="gramStart"/>
      <w:r w:rsidRPr="009D4627">
        <w:rPr>
          <w:rFonts w:eastAsia="Calibri"/>
          <w:color w:val="auto"/>
          <w:szCs w:val="22"/>
          <w:lang w:val="en-MY"/>
        </w:rPr>
        <w:t>readers  110</w:t>
      </w:r>
      <w:proofErr w:type="gramEnd"/>
      <w:r w:rsidRPr="009D4627">
        <w:rPr>
          <w:rFonts w:eastAsia="Calibri"/>
          <w:color w:val="auto"/>
          <w:szCs w:val="22"/>
          <w:lang w:val="en-MY"/>
        </w:rPr>
        <w:t>”</w:t>
      </w:r>
    </w:p>
    <w:p w14:paraId="117A4CBB" w14:textId="77777777" w:rsidR="00CE6626" w:rsidRPr="009D4627" w:rsidRDefault="00CE6626" w:rsidP="00CE6626">
      <w:pPr>
        <w:spacing w:before="0" w:after="0" w:line="240" w:lineRule="auto"/>
        <w:ind w:left="1440" w:hanging="1440"/>
        <w:rPr>
          <w:rFonts w:eastAsia="Calibri"/>
          <w:noProof/>
          <w:szCs w:val="22"/>
          <w:lang w:val="en-MY"/>
        </w:rPr>
      </w:pPr>
    </w:p>
    <w:p w14:paraId="1BDE64FF" w14:textId="77777777" w:rsidR="00CE6626" w:rsidRPr="009D4627" w:rsidRDefault="00CE6626" w:rsidP="00CE6626">
      <w:pPr>
        <w:spacing w:before="0" w:after="0" w:line="240" w:lineRule="auto"/>
        <w:ind w:left="1440" w:hanging="1440"/>
        <w:rPr>
          <w:rFonts w:eastAsia="Calibri"/>
          <w:noProof/>
          <w:szCs w:val="22"/>
          <w:lang w:val="en-MY"/>
        </w:rPr>
      </w:pPr>
      <w:r w:rsidRPr="009D4627">
        <w:rPr>
          <w:rFonts w:eastAsia="Calibri"/>
          <w:b/>
          <w:bCs/>
          <w:color w:val="auto"/>
          <w:szCs w:val="22"/>
          <w:lang w:val="en-MY"/>
        </w:rPr>
        <w:t>Convergence:</w:t>
      </w:r>
      <w:r w:rsidRPr="009D4627">
        <w:rPr>
          <w:rFonts w:eastAsia="Calibri"/>
          <w:b/>
          <w:bCs/>
          <w:color w:val="auto"/>
          <w:szCs w:val="22"/>
          <w:lang w:val="en-MY"/>
        </w:rPr>
        <w:tab/>
      </w:r>
      <w:r w:rsidRPr="009D4627">
        <w:rPr>
          <w:rFonts w:eastAsia="Calibri"/>
          <w:color w:val="auto"/>
          <w:szCs w:val="22"/>
          <w:lang w:val="en-MY"/>
        </w:rPr>
        <w:t>with readers binocular to 6 cm</w:t>
      </w:r>
    </w:p>
    <w:p w14:paraId="3DD553EB" w14:textId="77777777" w:rsidR="00CE6626" w:rsidRPr="009D4627" w:rsidRDefault="00CE6626" w:rsidP="00CE6626">
      <w:pPr>
        <w:spacing w:before="0" w:after="0" w:line="240" w:lineRule="auto"/>
        <w:rPr>
          <w:rFonts w:eastAsia="Calibri"/>
          <w:color w:val="auto"/>
          <w:szCs w:val="22"/>
          <w:lang w:val="en-MY"/>
        </w:rPr>
      </w:pPr>
    </w:p>
    <w:p w14:paraId="3C012A93" w14:textId="77777777" w:rsidR="00CE6626" w:rsidRPr="009D4627" w:rsidRDefault="00CE6626" w:rsidP="00CE6626">
      <w:pPr>
        <w:spacing w:before="0" w:after="0" w:line="240" w:lineRule="auto"/>
        <w:rPr>
          <w:rFonts w:eastAsia="Calibri"/>
          <w:b/>
          <w:bCs/>
          <w:color w:val="auto"/>
          <w:szCs w:val="22"/>
          <w:lang w:val="en-MY"/>
        </w:rPr>
      </w:pPr>
      <w:r w:rsidRPr="009D4627">
        <w:rPr>
          <w:rFonts w:eastAsia="Calibri"/>
          <w:b/>
          <w:bCs/>
          <w:color w:val="auto"/>
          <w:szCs w:val="22"/>
          <w:lang w:val="en-MY"/>
        </w:rPr>
        <w:t>OMT:</w:t>
      </w:r>
    </w:p>
    <w:p w14:paraId="13CB18D4" w14:textId="2F0F7F00" w:rsidR="00CE6626" w:rsidRPr="009D4627" w:rsidRDefault="00A2792E" w:rsidP="00CE6626">
      <w:pPr>
        <w:spacing w:before="0" w:after="0" w:line="240" w:lineRule="auto"/>
        <w:rPr>
          <w:rFonts w:eastAsia="Calibri"/>
          <w:b/>
          <w:bCs/>
          <w:color w:val="auto"/>
          <w:szCs w:val="22"/>
          <w:lang w:val="en-MY"/>
        </w:rPr>
      </w:pPr>
      <w:r w:rsidRPr="009D4627">
        <w:rPr>
          <w:noProof/>
        </w:rPr>
        <mc:AlternateContent>
          <mc:Choice Requires="wpg">
            <w:drawing>
              <wp:anchor distT="0" distB="0" distL="114300" distR="114300" simplePos="0" relativeHeight="251756544" behindDoc="1" locked="0" layoutInCell="1" allowOverlap="1" wp14:anchorId="23CDFF68" wp14:editId="594AF26D">
                <wp:simplePos x="0" y="0"/>
                <wp:positionH relativeFrom="column">
                  <wp:posOffset>809625</wp:posOffset>
                </wp:positionH>
                <wp:positionV relativeFrom="paragraph">
                  <wp:posOffset>23495</wp:posOffset>
                </wp:positionV>
                <wp:extent cx="3199130" cy="1427480"/>
                <wp:effectExtent l="0" t="0" r="0" b="0"/>
                <wp:wrapTight wrapText="bothSides">
                  <wp:wrapPolygon edited="0">
                    <wp:start x="5659" y="0"/>
                    <wp:lineTo x="5659" y="2883"/>
                    <wp:lineTo x="3216" y="4900"/>
                    <wp:lineTo x="0" y="6342"/>
                    <wp:lineTo x="0" y="12395"/>
                    <wp:lineTo x="1286" y="13836"/>
                    <wp:lineTo x="1286" y="14701"/>
                    <wp:lineTo x="4888" y="18448"/>
                    <wp:lineTo x="5659" y="18448"/>
                    <wp:lineTo x="5659" y="21331"/>
                    <wp:lineTo x="9389" y="21331"/>
                    <wp:lineTo x="9389" y="18448"/>
                    <wp:lineTo x="10547" y="18448"/>
                    <wp:lineTo x="14148" y="14989"/>
                    <wp:lineTo x="14148" y="13836"/>
                    <wp:lineTo x="21480" y="12683"/>
                    <wp:lineTo x="21480" y="8936"/>
                    <wp:lineTo x="12219" y="4900"/>
                    <wp:lineTo x="10676" y="4612"/>
                    <wp:lineTo x="9389" y="0"/>
                    <wp:lineTo x="5659" y="0"/>
                  </wp:wrapPolygon>
                </wp:wrapTight>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9130" cy="1427480"/>
                          <a:chOff x="0" y="-2012"/>
                          <a:chExt cx="32012" cy="14322"/>
                        </a:xfrm>
                      </wpg:grpSpPr>
                      <wpg:grpSp>
                        <wpg:cNvPr id="131" name="Group 55"/>
                        <wpg:cNvGrpSpPr>
                          <a:grpSpLocks/>
                        </wpg:cNvGrpSpPr>
                        <wpg:grpSpPr bwMode="auto">
                          <a:xfrm>
                            <a:off x="0" y="-2012"/>
                            <a:ext cx="32012" cy="10653"/>
                            <a:chOff x="0" y="-2012"/>
                            <a:chExt cx="32012" cy="10653"/>
                          </a:xfrm>
                        </wpg:grpSpPr>
                        <wpg:grpSp>
                          <wpg:cNvPr id="132" name="Group 52"/>
                          <wpg:cNvGrpSpPr>
                            <a:grpSpLocks/>
                          </wpg:cNvGrpSpPr>
                          <wpg:grpSpPr bwMode="auto">
                            <a:xfrm>
                              <a:off x="0" y="1428"/>
                              <a:ext cx="32012" cy="7213"/>
                              <a:chOff x="0" y="0"/>
                              <a:chExt cx="32012" cy="7213"/>
                            </a:xfrm>
                          </wpg:grpSpPr>
                          <wpg:grpSp>
                            <wpg:cNvPr id="151" name="Group 19"/>
                            <wpg:cNvGrpSpPr>
                              <a:grpSpLocks/>
                            </wpg:cNvGrpSpPr>
                            <wpg:grpSpPr bwMode="auto">
                              <a:xfrm rot="5400000" flipH="1">
                                <a:off x="17888" y="3123"/>
                                <a:ext cx="5210" cy="757"/>
                                <a:chOff x="-601" y="0"/>
                                <a:chExt cx="8165" cy="3017"/>
                              </a:xfrm>
                            </wpg:grpSpPr>
                            <wps:wsp>
                              <wps:cNvPr id="186" name="Straight Connector 21"/>
                              <wps:cNvCnPr>
                                <a:cxnSpLocks noChangeShapeType="1"/>
                              </wps:cNvCnPr>
                              <wps:spPr bwMode="auto">
                                <a:xfrm>
                                  <a:off x="-601" y="3017"/>
                                  <a:ext cx="8164" cy="0"/>
                                </a:xfrm>
                                <a:prstGeom prst="line">
                                  <a:avLst/>
                                </a:prstGeom>
                                <a:noFill/>
                                <a:ln w="6350">
                                  <a:solidFill>
                                    <a:srgbClr val="000000"/>
                                  </a:solidFill>
                                  <a:miter lim="800000"/>
                                  <a:headEnd/>
                                  <a:tailEnd/>
                                </a:ln>
                              </wps:spPr>
                              <wps:bodyPr/>
                            </wps:wsp>
                            <wpg:grpSp>
                              <wpg:cNvPr id="189" name="Group 22"/>
                              <wpg:cNvGrpSpPr>
                                <a:grpSpLocks/>
                              </wpg:cNvGrpSpPr>
                              <wpg:grpSpPr bwMode="auto">
                                <a:xfrm>
                                  <a:off x="1098" y="0"/>
                                  <a:ext cx="4899" cy="3017"/>
                                  <a:chOff x="317" y="0"/>
                                  <a:chExt cx="489904" cy="301780"/>
                                </a:xfrm>
                              </wpg:grpSpPr>
                              <wps:wsp>
                                <wps:cNvPr id="190" name="Straight Connector 23"/>
                                <wps:cNvCnPr>
                                  <a:cxnSpLocks noChangeShapeType="1"/>
                                </wps:cNvCnPr>
                                <wps:spPr bwMode="auto">
                                  <a:xfrm flipH="1">
                                    <a:off x="147627" y="4763"/>
                                    <a:ext cx="223532" cy="276374"/>
                                  </a:xfrm>
                                  <a:prstGeom prst="line">
                                    <a:avLst/>
                                  </a:prstGeom>
                                  <a:noFill/>
                                  <a:ln w="19050">
                                    <a:solidFill>
                                      <a:srgbClr val="000000"/>
                                    </a:solidFill>
                                    <a:miter lim="800000"/>
                                    <a:headEnd/>
                                    <a:tailEnd/>
                                  </a:ln>
                                </wps:spPr>
                                <wps:bodyPr/>
                              </wps:wsp>
                              <wps:wsp>
                                <wps:cNvPr id="22220" name="Straight Connector 24"/>
                                <wps:cNvCnPr>
                                  <a:cxnSpLocks noChangeShapeType="1"/>
                                </wps:cNvCnPr>
                                <wps:spPr bwMode="auto">
                                  <a:xfrm flipH="1">
                                    <a:off x="317" y="0"/>
                                    <a:ext cx="209233" cy="281137"/>
                                  </a:xfrm>
                                  <a:prstGeom prst="line">
                                    <a:avLst/>
                                  </a:prstGeom>
                                  <a:noFill/>
                                  <a:ln w="19050">
                                    <a:solidFill>
                                      <a:srgbClr val="000000"/>
                                    </a:solidFill>
                                    <a:miter lim="800000"/>
                                    <a:headEnd/>
                                    <a:tailEnd/>
                                  </a:ln>
                                </wps:spPr>
                                <wps:bodyPr/>
                              </wps:wsp>
                              <wps:wsp>
                                <wps:cNvPr id="22227" name="Straight Connector 25"/>
                                <wps:cNvCnPr>
                                  <a:cxnSpLocks noChangeShapeType="1"/>
                                </wps:cNvCnPr>
                                <wps:spPr bwMode="auto">
                                  <a:xfrm flipH="1">
                                    <a:off x="304053" y="66675"/>
                                    <a:ext cx="186168" cy="235105"/>
                                  </a:xfrm>
                                  <a:prstGeom prst="line">
                                    <a:avLst/>
                                  </a:prstGeom>
                                  <a:noFill/>
                                  <a:ln w="19050">
                                    <a:solidFill>
                                      <a:srgbClr val="000000"/>
                                    </a:solidFill>
                                    <a:miter lim="800000"/>
                                    <a:headEnd/>
                                    <a:tailEnd/>
                                  </a:ln>
                                </wps:spPr>
                                <wps:bodyPr/>
                              </wps:wsp>
                            </wpg:grpSp>
                          </wpg:grpSp>
                          <wpg:grpSp>
                            <wpg:cNvPr id="22318" name="Group 26"/>
                            <wpg:cNvGrpSpPr>
                              <a:grpSpLocks/>
                            </wpg:cNvGrpSpPr>
                            <wpg:grpSpPr bwMode="auto">
                              <a:xfrm>
                                <a:off x="0" y="0"/>
                                <a:ext cx="32012" cy="7213"/>
                                <a:chOff x="6096" y="0"/>
                                <a:chExt cx="32012" cy="7218"/>
                              </a:xfrm>
                            </wpg:grpSpPr>
                            <wps:wsp>
                              <wps:cNvPr id="22320" name="Rectangle 27"/>
                              <wps:cNvSpPr>
                                <a:spLocks noChangeArrowheads="1"/>
                              </wps:cNvSpPr>
                              <wps:spPr bwMode="auto">
                                <a:xfrm flipH="1">
                                  <a:off x="15174" y="2476"/>
                                  <a:ext cx="4852" cy="2018"/>
                                </a:xfrm>
                                <a:prstGeom prst="rect">
                                  <a:avLst/>
                                </a:prstGeom>
                                <a:noFill/>
                                <a:ln>
                                  <a:noFill/>
                                </a:ln>
                              </wps:spPr>
                              <wps:txbx>
                                <w:txbxContent>
                                  <w:p w14:paraId="21B03B94" w14:textId="77777777" w:rsidR="00CE6626" w:rsidRPr="00DC6030" w:rsidRDefault="00CE6626" w:rsidP="00CE6626">
                                    <w:pPr>
                                      <w:spacing w:before="0"/>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12</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ET</w:t>
                                    </w:r>
                                  </w:p>
                                  <w:p w14:paraId="00EA5FC1" w14:textId="77777777" w:rsidR="00CE6626" w:rsidRPr="00DC6030"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g:cNvPr id="22341" name="Group 28"/>
                              <wpg:cNvGrpSpPr>
                                <a:grpSpLocks/>
                              </wpg:cNvGrpSpPr>
                              <wpg:grpSpPr bwMode="auto">
                                <a:xfrm>
                                  <a:off x="6096" y="0"/>
                                  <a:ext cx="9078" cy="7217"/>
                                  <a:chOff x="6096" y="0"/>
                                  <a:chExt cx="9078" cy="7217"/>
                                </a:xfrm>
                              </wpg:grpSpPr>
                              <wps:wsp>
                                <wps:cNvPr id="22342" name="Oval 29"/>
                                <wps:cNvSpPr>
                                  <a:spLocks noChangeArrowheads="1"/>
                                </wps:cNvSpPr>
                                <wps:spPr bwMode="auto">
                                  <a:xfrm flipH="1">
                                    <a:off x="7810" y="0"/>
                                    <a:ext cx="7364" cy="721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2343" name="Rectangle 30"/>
                                <wps:cNvSpPr>
                                  <a:spLocks noChangeArrowheads="1"/>
                                </wps:cNvSpPr>
                                <wps:spPr bwMode="auto">
                                  <a:xfrm flipH="1">
                                    <a:off x="6096" y="2665"/>
                                    <a:ext cx="1612" cy="2094"/>
                                  </a:xfrm>
                                  <a:prstGeom prst="rect">
                                    <a:avLst/>
                                  </a:prstGeom>
                                  <a:noFill/>
                                  <a:ln>
                                    <a:noFill/>
                                  </a:ln>
                                </wps:spPr>
                                <wps:txbx>
                                  <w:txbxContent>
                                    <w:p w14:paraId="4A3CF2EC" w14:textId="77777777" w:rsidR="00CE6626" w:rsidRDefault="00CE6626" w:rsidP="00CE6626">
                                      <w:pPr>
                                        <w:spacing w:before="0"/>
                                        <w:jc w:val="center"/>
                                        <w:rPr>
                                          <w:rFonts w:cstheme="minorHAnsi"/>
                                          <w:sz w:val="20"/>
                                          <w:szCs w:val="20"/>
                                          <w:lang w:val="en-US"/>
                                        </w:rPr>
                                      </w:pPr>
                                      <w:r>
                                        <w:rPr>
                                          <w:rFonts w:cstheme="minorHAnsi"/>
                                          <w:sz w:val="20"/>
                                          <w:szCs w:val="20"/>
                                          <w:lang w:val="en-US"/>
                                        </w:rPr>
                                        <w:t>0</w:t>
                                      </w:r>
                                    </w:p>
                                  </w:txbxContent>
                                </wps:txbx>
                                <wps:bodyPr rot="0" vert="horz" wrap="square" lIns="0" tIns="0" rIns="0" bIns="0" anchor="ctr" anchorCtr="0" upright="1">
                                  <a:noAutofit/>
                                </wps:bodyPr>
                              </wps:wsp>
                            </wpg:grpSp>
                            <wpg:grpSp>
                              <wpg:cNvPr id="22344" name="Group 18"/>
                              <wpg:cNvGrpSpPr>
                                <a:grpSpLocks/>
                              </wpg:cNvGrpSpPr>
                              <wpg:grpSpPr bwMode="auto">
                                <a:xfrm>
                                  <a:off x="19812" y="10"/>
                                  <a:ext cx="18296" cy="7208"/>
                                  <a:chOff x="0" y="11"/>
                                  <a:chExt cx="19199" cy="8147"/>
                                </a:xfrm>
                              </wpg:grpSpPr>
                              <wps:wsp>
                                <wps:cNvPr id="22345" name="Oval 33"/>
                                <wps:cNvSpPr>
                                  <a:spLocks noChangeArrowheads="1"/>
                                </wps:cNvSpPr>
                                <wps:spPr bwMode="auto">
                                  <a:xfrm flipH="1">
                                    <a:off x="0" y="11"/>
                                    <a:ext cx="7727" cy="8147"/>
                                  </a:xfrm>
                                  <a:prstGeom prst="ellipse">
                                    <a:avLst/>
                                  </a:prstGeom>
                                  <a:noFill/>
                                  <a:ln w="12700">
                                    <a:solidFill>
                                      <a:srgbClr val="000000"/>
                                    </a:solidFill>
                                    <a:miter lim="800000"/>
                                    <a:headEnd/>
                                    <a:tailEnd/>
                                  </a:ln>
                                </wps:spPr>
                                <wps:bodyPr rot="0" vert="horz" wrap="square" lIns="91440" tIns="45720" rIns="91440" bIns="45720" anchor="ctr" anchorCtr="0" upright="1">
                                  <a:noAutofit/>
                                </wps:bodyPr>
                              </wps:wsp>
                              <wps:wsp>
                                <wps:cNvPr id="22346" name="Rectangle 35"/>
                                <wps:cNvSpPr>
                                  <a:spLocks noChangeArrowheads="1"/>
                                </wps:cNvSpPr>
                                <wps:spPr bwMode="auto">
                                  <a:xfrm flipH="1">
                                    <a:off x="8247" y="3052"/>
                                    <a:ext cx="10952" cy="2461"/>
                                  </a:xfrm>
                                  <a:prstGeom prst="rect">
                                    <a:avLst/>
                                  </a:prstGeom>
                                  <a:noFill/>
                                  <a:ln>
                                    <a:noFill/>
                                  </a:ln>
                                </wps:spPr>
                                <wps:txbx>
                                  <w:txbxContent>
                                    <w:p w14:paraId="7A6EB4E8" w14:textId="77777777" w:rsidR="00CE6626" w:rsidRPr="00DC6030" w:rsidRDefault="00CE6626" w:rsidP="00CE6626">
                                      <w:pPr>
                                        <w:spacing w:before="0"/>
                                        <w:jc w:val="left"/>
                                        <w:rPr>
                                          <w:rFonts w:asciiTheme="minorHAnsi" w:hAnsiTheme="minorHAnsi" w:cstheme="minorHAnsi"/>
                                          <w:sz w:val="20"/>
                                          <w:szCs w:val="20"/>
                                          <w:lang w:val="en-US"/>
                                        </w:rPr>
                                      </w:pPr>
                                      <w:r w:rsidRPr="00DC6030">
                                        <w:rPr>
                                          <w:rFonts w:asciiTheme="minorHAnsi" w:hAnsiTheme="minorHAnsi" w:cstheme="minorHAnsi"/>
                                          <w:sz w:val="20"/>
                                          <w:szCs w:val="20"/>
                                          <w:lang w:val="en-US"/>
                                        </w:rPr>
                                        <w:t>-1 (14</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LET)</w:t>
                                      </w:r>
                                    </w:p>
                                    <w:p w14:paraId="041F2950" w14:textId="77777777" w:rsidR="00CE6626" w:rsidRPr="00DC6030" w:rsidRDefault="00CE6626" w:rsidP="00CE6626">
                                      <w:pPr>
                                        <w:spacing w:before="0"/>
                                        <w:jc w:val="left"/>
                                        <w:rPr>
                                          <w:rFonts w:asciiTheme="minorHAnsi" w:hAnsiTheme="minorHAnsi" w:cstheme="minorHAnsi"/>
                                          <w:sz w:val="20"/>
                                          <w:szCs w:val="20"/>
                                          <w:lang w:val="en-US"/>
                                        </w:rPr>
                                      </w:pPr>
                                    </w:p>
                                  </w:txbxContent>
                                </wps:txbx>
                                <wps:bodyPr rot="0" vert="horz" wrap="square" lIns="0" tIns="0" rIns="0" bIns="0" anchor="ctr" anchorCtr="0" upright="1">
                                  <a:noAutofit/>
                                </wps:bodyPr>
                              </wps:wsp>
                            </wpg:grpSp>
                          </wpg:grpSp>
                        </wpg:grpSp>
                        <wps:wsp>
                          <wps:cNvPr id="22347" name="Rectangle 46"/>
                          <wps:cNvSpPr>
                            <a:spLocks noChangeArrowheads="1"/>
                          </wps:cNvSpPr>
                          <wps:spPr bwMode="auto">
                            <a:xfrm flipH="1">
                              <a:off x="8865" y="-2012"/>
                              <a:ext cx="4852" cy="2012"/>
                            </a:xfrm>
                            <a:prstGeom prst="rect">
                              <a:avLst/>
                            </a:prstGeom>
                            <a:noFill/>
                            <a:ln>
                              <a:noFill/>
                            </a:ln>
                          </wps:spPr>
                          <wps:txbx>
                            <w:txbxContent>
                              <w:p w14:paraId="70BF2EC5" w14:textId="77777777" w:rsidR="00CE6626" w:rsidRPr="00DC6030" w:rsidRDefault="00CE6626" w:rsidP="00CE6626">
                                <w:pPr>
                                  <w:spacing w:before="0"/>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3</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ET</w:t>
                                </w:r>
                              </w:p>
                              <w:p w14:paraId="71722C08" w14:textId="77777777" w:rsidR="00CE6626" w:rsidRPr="00DC6030" w:rsidRDefault="00CE6626" w:rsidP="00CE6626">
                                <w:pPr>
                                  <w:spacing w:before="0"/>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grpSp>
                      <wps:wsp>
                        <wps:cNvPr id="22348" name="Rectangle 48"/>
                        <wps:cNvSpPr>
                          <a:spLocks noChangeArrowheads="1"/>
                        </wps:cNvSpPr>
                        <wps:spPr bwMode="auto">
                          <a:xfrm flipH="1">
                            <a:off x="8865" y="10293"/>
                            <a:ext cx="4851" cy="2017"/>
                          </a:xfrm>
                          <a:prstGeom prst="rect">
                            <a:avLst/>
                          </a:prstGeom>
                          <a:noFill/>
                          <a:ln>
                            <a:noFill/>
                          </a:ln>
                        </wps:spPr>
                        <wps:txbx>
                          <w:txbxContent>
                            <w:p w14:paraId="39E0EE75" w14:textId="77777777" w:rsidR="00CE6626" w:rsidRPr="00DC6030" w:rsidRDefault="00CE6626" w:rsidP="00CE6626">
                              <w:pPr>
                                <w:spacing w:before="0"/>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10</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ET</w:t>
                              </w:r>
                            </w:p>
                            <w:p w14:paraId="0528CDA2" w14:textId="77777777" w:rsidR="00CE6626" w:rsidRPr="00DC6030" w:rsidRDefault="00CE6626" w:rsidP="00CE6626">
                              <w:pPr>
                                <w:jc w:val="center"/>
                                <w:rPr>
                                  <w:rFonts w:asciiTheme="minorHAnsi" w:hAnsiTheme="minorHAnsi" w:cstheme="minorHAnsi"/>
                                  <w:sz w:val="20"/>
                                  <w:szCs w:val="20"/>
                                  <w:lang w:val="en-US"/>
                                </w:rPr>
                              </w:pP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CDFF68" id="Group 11" o:spid="_x0000_s2355" style="position:absolute;left:0;text-align:left;margin-left:63.75pt;margin-top:1.85pt;width:251.9pt;height:112.4pt;z-index:-251559936;mso-position-horizontal-relative:text;mso-position-vertical-relative:text;mso-width-relative:margin;mso-height-relative:margin" coordorigin=",-2012" coordsize="32012,14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">
                <v:group id="Group 55" o:spid="_x0000_s2356" style="position:absolute;top:-2012;width:32012;height:10653" coordorigin=",-2012" coordsize="32012,1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52" o:spid="_x0000_s2357" style="position:absolute;top:1428;width:32012;height:7213" coordsize="32012,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9" o:spid="_x0000_s2358" style="position:absolute;left:17888;top:3123;width:5210;height:757;rotation:-90;flip:x" coordorigin="-601" coordsize="8165,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">
                      <v:line id="Straight Connector 21" o:spid="_x0000_s2359" style="position:absolute;visibility:visible;mso-wrap-style:square" from="-601,3017" to="7563,3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" strokeweight=".5pt">
                        <v:stroke joinstyle="miter"/>
                      </v:line>
                      <v:group id="Group 22" o:spid="_x0000_s2360" style="position:absolute;left:1098;width:4899;height:3017" coordorigin="317" coordsize="489904,3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line id="Straight Connector 23" o:spid="_x0000_s2361" style="position:absolute;flip:x;visibility:visible;mso-wrap-style:square" from="147627,4763" to="371159,28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" strokeweight="1.5pt">
                          <v:stroke joinstyle="miter"/>
                        </v:line>
                        <v:line id="Straight Connector 24" o:spid="_x0000_s2362" style="position:absolute;flip:x;visibility:visible;mso-wrap-style:square" from="317,0" to="209550,28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" strokeweight="1.5pt">
                          <v:stroke joinstyle="miter"/>
                        </v:line>
                        <v:line id="Straight Connector 25" o:spid="_x0000_s2363" style="position:absolute;flip:x;visibility:visible;mso-wrap-style:square" from="304053,66675" to="490221,30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" strokeweight="1.5pt">
                          <v:stroke joinstyle="miter"/>
                        </v:line>
                      </v:group>
                    </v:group>
                    <v:group id="Group 26" o:spid="_x0000_s2364" style="position:absolute;width:32012;height:7213" coordorigin="6096" coordsize="32012,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">
                      <v:rect id="Rectangle 27" o:spid="_x0000_s2365" style="position:absolute;left:15174;top:2476;width:4852;height:201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" filled="f" stroked="f">
                        <v:textbox inset="0,0,0,0">
                          <w:txbxContent>
                            <w:p w14:paraId="21B03B94" w14:textId="77777777" w:rsidR="00CE6626" w:rsidRPr="00DC6030" w:rsidRDefault="00CE6626" w:rsidP="00CE6626">
                              <w:pPr>
                                <w:spacing w:before="0"/>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12</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ET</w:t>
                              </w:r>
                            </w:p>
                            <w:p w14:paraId="00EA5FC1" w14:textId="77777777" w:rsidR="00CE6626" w:rsidRPr="00DC6030" w:rsidRDefault="00CE6626" w:rsidP="00CE6626">
                              <w:pPr>
                                <w:jc w:val="center"/>
                                <w:rPr>
                                  <w:rFonts w:asciiTheme="minorHAnsi" w:hAnsiTheme="minorHAnsi" w:cstheme="minorHAnsi"/>
                                  <w:sz w:val="20"/>
                                  <w:szCs w:val="20"/>
                                  <w:lang w:val="en-US"/>
                                </w:rPr>
                              </w:pPr>
                            </w:p>
                          </w:txbxContent>
                        </v:textbox>
                      </v:rect>
                      <v:group id="Group 28" o:spid="_x0000_s2366" style="position:absolute;left:6096;width:9078;height:7217" coordorigin="6096" coordsize="9078,7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">
                        <v:oval id="Oval 29" o:spid="_x0000_s2367" style="position:absolute;left:7810;width:7364;height:72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" filled="f" strokeweight="1pt">
                          <v:stroke joinstyle="miter"/>
                        </v:oval>
                        <v:rect id="Rectangle 30" o:spid="_x0000_s2368" style="position:absolute;left:6096;top:2665;width:1612;height:209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" filled="f" stroked="f">
                          <v:textbox inset="0,0,0,0">
                            <w:txbxContent>
                              <w:p w14:paraId="4A3CF2EC" w14:textId="77777777" w:rsidR="00CE6626" w:rsidRDefault="00CE6626" w:rsidP="00CE6626">
                                <w:pPr>
                                  <w:spacing w:before="0"/>
                                  <w:jc w:val="center"/>
                                  <w:rPr>
                                    <w:rFonts w:cstheme="minorHAnsi"/>
                                    <w:sz w:val="20"/>
                                    <w:szCs w:val="20"/>
                                    <w:lang w:val="en-US"/>
                                  </w:rPr>
                                </w:pPr>
                                <w:r>
                                  <w:rPr>
                                    <w:rFonts w:cstheme="minorHAnsi"/>
                                    <w:sz w:val="20"/>
                                    <w:szCs w:val="20"/>
                                    <w:lang w:val="en-US"/>
                                  </w:rPr>
                                  <w:t>0</w:t>
                                </w:r>
                              </w:p>
                            </w:txbxContent>
                          </v:textbox>
                        </v:rect>
                      </v:group>
                      <v:group id="Group 18" o:spid="_x0000_s2369" style="position:absolute;left:19812;top:10;width:18296;height:7208" coordorigin=",11" coordsize="19199,8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">
                        <v:oval id="Oval 33" o:spid="_x0000_s2370" style="position:absolute;top:11;width:7727;height:814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" filled="f" strokeweight="1pt">
                          <v:stroke joinstyle="miter"/>
                        </v:oval>
                        <v:rect id="_x0000_s2371" style="position:absolute;left:8247;top:3052;width:10952;height:246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" filled="f" stroked="f">
                          <v:textbox inset="0,0,0,0">
                            <w:txbxContent>
                              <w:p w14:paraId="7A6EB4E8" w14:textId="77777777" w:rsidR="00CE6626" w:rsidRPr="00DC6030" w:rsidRDefault="00CE6626" w:rsidP="00CE6626">
                                <w:pPr>
                                  <w:spacing w:before="0"/>
                                  <w:jc w:val="left"/>
                                  <w:rPr>
                                    <w:rFonts w:asciiTheme="minorHAnsi" w:hAnsiTheme="minorHAnsi" w:cstheme="minorHAnsi"/>
                                    <w:sz w:val="20"/>
                                    <w:szCs w:val="20"/>
                                    <w:lang w:val="en-US"/>
                                  </w:rPr>
                                </w:pPr>
                                <w:r w:rsidRPr="00DC6030">
                                  <w:rPr>
                                    <w:rFonts w:asciiTheme="minorHAnsi" w:hAnsiTheme="minorHAnsi" w:cstheme="minorHAnsi"/>
                                    <w:sz w:val="20"/>
                                    <w:szCs w:val="20"/>
                                    <w:lang w:val="en-US"/>
                                  </w:rPr>
                                  <w:t>-1 (14</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LET)</w:t>
                                </w:r>
                              </w:p>
                              <w:p w14:paraId="041F2950" w14:textId="77777777" w:rsidR="00CE6626" w:rsidRPr="00DC6030" w:rsidRDefault="00CE6626" w:rsidP="00CE6626">
                                <w:pPr>
                                  <w:spacing w:before="0"/>
                                  <w:jc w:val="left"/>
                                  <w:rPr>
                                    <w:rFonts w:asciiTheme="minorHAnsi" w:hAnsiTheme="minorHAnsi" w:cstheme="minorHAnsi"/>
                                    <w:sz w:val="20"/>
                                    <w:szCs w:val="20"/>
                                    <w:lang w:val="en-US"/>
                                  </w:rPr>
                                </w:pPr>
                              </w:p>
                            </w:txbxContent>
                          </v:textbox>
                        </v:rect>
                      </v:group>
                    </v:group>
                  </v:group>
                  <v:rect id="Rectangle 46" o:spid="_x0000_s2372" style="position:absolute;left:8865;top:-2012;width:4852;height:20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" filled="f" stroked="f">
                    <v:textbox inset="0,0,0,0">
                      <w:txbxContent>
                        <w:p w14:paraId="70BF2EC5" w14:textId="77777777" w:rsidR="00CE6626" w:rsidRPr="00DC6030" w:rsidRDefault="00CE6626" w:rsidP="00CE6626">
                          <w:pPr>
                            <w:spacing w:before="0"/>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3</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ET</w:t>
                          </w:r>
                        </w:p>
                        <w:p w14:paraId="71722C08" w14:textId="77777777" w:rsidR="00CE6626" w:rsidRPr="00DC6030" w:rsidRDefault="00CE6626" w:rsidP="00CE6626">
                          <w:pPr>
                            <w:spacing w:before="0"/>
                            <w:jc w:val="center"/>
                            <w:rPr>
                              <w:rFonts w:asciiTheme="minorHAnsi" w:hAnsiTheme="minorHAnsi" w:cstheme="minorHAnsi"/>
                              <w:sz w:val="20"/>
                              <w:szCs w:val="20"/>
                              <w:lang w:val="en-US"/>
                            </w:rPr>
                          </w:pPr>
                        </w:p>
                      </w:txbxContent>
                    </v:textbox>
                  </v:rect>
                </v:group>
                <v:rect id="Rectangle 48" o:spid="_x0000_s2373" style="position:absolute;left:8865;top:10293;width:4851;height:20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" filled="f" stroked="f">
                  <v:textbox inset="0,0,0,0">
                    <w:txbxContent>
                      <w:p w14:paraId="39E0EE75" w14:textId="77777777" w:rsidR="00CE6626" w:rsidRPr="00DC6030" w:rsidRDefault="00CE6626" w:rsidP="00CE6626">
                        <w:pPr>
                          <w:spacing w:before="0"/>
                          <w:jc w:val="center"/>
                          <w:rPr>
                            <w:rFonts w:asciiTheme="minorHAnsi" w:hAnsiTheme="minorHAnsi" w:cstheme="minorHAnsi"/>
                            <w:sz w:val="20"/>
                            <w:szCs w:val="20"/>
                            <w:lang w:val="en-US"/>
                          </w:rPr>
                        </w:pPr>
                        <w:r w:rsidRPr="00DC6030">
                          <w:rPr>
                            <w:rFonts w:asciiTheme="minorHAnsi" w:hAnsiTheme="minorHAnsi" w:cstheme="minorHAnsi"/>
                            <w:sz w:val="20"/>
                            <w:szCs w:val="20"/>
                            <w:lang w:val="en-US"/>
                          </w:rPr>
                          <w:t>10</w:t>
                        </w:r>
                        <w:r w:rsidRPr="00DC6030">
                          <w:rPr>
                            <w:rFonts w:asciiTheme="minorHAnsi" w:hAnsiTheme="minorHAnsi" w:cstheme="minorHAnsi"/>
                            <w:sz w:val="20"/>
                            <w:szCs w:val="20"/>
                            <w:vertAlign w:val="superscript"/>
                            <w:lang w:val="en-US"/>
                          </w:rPr>
                          <w:t>Δ</w:t>
                        </w:r>
                        <w:r w:rsidRPr="00DC6030">
                          <w:rPr>
                            <w:rFonts w:asciiTheme="minorHAnsi" w:hAnsiTheme="minorHAnsi" w:cstheme="minorHAnsi"/>
                            <w:sz w:val="20"/>
                            <w:szCs w:val="20"/>
                            <w:lang w:val="en-US"/>
                          </w:rPr>
                          <w:t xml:space="preserve"> ET</w:t>
                        </w:r>
                      </w:p>
                      <w:p w14:paraId="0528CDA2" w14:textId="77777777" w:rsidR="00CE6626" w:rsidRPr="00DC6030" w:rsidRDefault="00CE6626" w:rsidP="00CE6626">
                        <w:pPr>
                          <w:jc w:val="center"/>
                          <w:rPr>
                            <w:rFonts w:asciiTheme="minorHAnsi" w:hAnsiTheme="minorHAnsi" w:cstheme="minorHAnsi"/>
                            <w:sz w:val="20"/>
                            <w:szCs w:val="20"/>
                            <w:lang w:val="en-US"/>
                          </w:rPr>
                        </w:pPr>
                      </w:p>
                    </w:txbxContent>
                  </v:textbox>
                </v:rect>
                <w10:wrap type="tight"/>
              </v:group>
            </w:pict>
          </mc:Fallback>
        </mc:AlternateContent>
      </w:r>
    </w:p>
    <w:p w14:paraId="7184452B" w14:textId="77777777" w:rsidR="00CE6626" w:rsidRPr="009D4627" w:rsidRDefault="00CE6626" w:rsidP="00CE6626">
      <w:pPr>
        <w:spacing w:before="0" w:after="0" w:line="240" w:lineRule="auto"/>
        <w:rPr>
          <w:rFonts w:eastAsia="Calibri"/>
          <w:b/>
          <w:bCs/>
          <w:color w:val="auto"/>
          <w:szCs w:val="22"/>
          <w:lang w:val="en-MY"/>
        </w:rPr>
      </w:pPr>
    </w:p>
    <w:p w14:paraId="7A5E7FC0" w14:textId="77777777" w:rsidR="00CE6626" w:rsidRPr="009D4627" w:rsidRDefault="00CE6626" w:rsidP="00CE6626">
      <w:pPr>
        <w:spacing w:before="0" w:after="0" w:line="240" w:lineRule="auto"/>
        <w:rPr>
          <w:rFonts w:eastAsia="Calibri"/>
          <w:b/>
          <w:bCs/>
          <w:color w:val="auto"/>
          <w:szCs w:val="22"/>
          <w:lang w:val="en-MY"/>
        </w:rPr>
      </w:pPr>
    </w:p>
    <w:p w14:paraId="1657CFC7" w14:textId="77777777" w:rsidR="00CE6626" w:rsidRPr="009D4627" w:rsidRDefault="00CE6626" w:rsidP="00CE6626">
      <w:pPr>
        <w:spacing w:before="0" w:after="0" w:line="240" w:lineRule="auto"/>
        <w:rPr>
          <w:rFonts w:eastAsia="Calibri"/>
          <w:b/>
          <w:bCs/>
          <w:color w:val="auto"/>
          <w:szCs w:val="22"/>
          <w:lang w:val="en-MY"/>
        </w:rPr>
      </w:pPr>
    </w:p>
    <w:p w14:paraId="41CAD5D7" w14:textId="77777777" w:rsidR="00CE6626" w:rsidRPr="009D4627" w:rsidRDefault="00CE6626" w:rsidP="00CE6626">
      <w:pPr>
        <w:spacing w:after="0" w:line="240" w:lineRule="auto"/>
        <w:rPr>
          <w:rFonts w:eastAsia="Calibri"/>
          <w:b/>
          <w:bCs/>
          <w:color w:val="auto"/>
          <w:szCs w:val="22"/>
          <w:lang w:val="en-MY"/>
        </w:rPr>
      </w:pPr>
    </w:p>
    <w:p w14:paraId="1D7A7D10" w14:textId="77777777" w:rsidR="00CE6626" w:rsidRPr="009D4627" w:rsidRDefault="00CE6626" w:rsidP="00CE6626">
      <w:pPr>
        <w:spacing w:after="0" w:line="240" w:lineRule="auto"/>
        <w:rPr>
          <w:rFonts w:eastAsia="Calibri"/>
          <w:b/>
          <w:bCs/>
          <w:color w:val="auto"/>
          <w:szCs w:val="22"/>
          <w:lang w:val="en-MY"/>
        </w:rPr>
      </w:pPr>
    </w:p>
    <w:p w14:paraId="7F1C8E20" w14:textId="77777777" w:rsidR="00CE6626" w:rsidRPr="009D4627" w:rsidRDefault="00CE6626" w:rsidP="00CE6626">
      <w:pPr>
        <w:spacing w:before="0" w:after="0" w:line="240" w:lineRule="auto"/>
        <w:rPr>
          <w:rFonts w:eastAsia="Calibri"/>
          <w:b/>
          <w:bCs/>
          <w:color w:val="auto"/>
          <w:szCs w:val="22"/>
          <w:lang w:val="en-MY"/>
        </w:rPr>
      </w:pPr>
    </w:p>
    <w:p w14:paraId="05854E20" w14:textId="77777777" w:rsidR="00CE6626" w:rsidRPr="009D4627" w:rsidRDefault="00CE6626" w:rsidP="00CE6626">
      <w:pPr>
        <w:spacing w:before="0" w:after="0" w:line="240" w:lineRule="auto"/>
        <w:rPr>
          <w:rFonts w:eastAsia="Calibri"/>
          <w:b/>
          <w:bCs/>
          <w:color w:val="auto"/>
          <w:szCs w:val="22"/>
          <w:lang w:val="en-MY"/>
        </w:rPr>
      </w:pPr>
      <w:r w:rsidRPr="009D4627">
        <w:rPr>
          <w:rFonts w:eastAsia="Calibri"/>
          <w:b/>
          <w:bCs/>
          <w:color w:val="auto"/>
          <w:szCs w:val="22"/>
          <w:lang w:val="en-MY"/>
        </w:rPr>
        <w:t>Assessment &amp; Plan:</w:t>
      </w:r>
      <w:r w:rsidRPr="009D4627">
        <w:rPr>
          <w:rFonts w:eastAsia="Calibri"/>
          <w:b/>
          <w:bCs/>
          <w:color w:val="auto"/>
          <w:szCs w:val="22"/>
          <w:lang w:val="en-MY"/>
        </w:rPr>
        <w:tab/>
      </w:r>
    </w:p>
    <w:p w14:paraId="6612D5B3"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Diplopia joined with 12</w:t>
      </w:r>
      <w:r w:rsidRPr="009D4627">
        <w:rPr>
          <w:rFonts w:eastAsia="Calibri"/>
          <w:color w:val="auto"/>
          <w:szCs w:val="22"/>
          <w:vertAlign w:val="superscript"/>
          <w:lang w:val="en-MY"/>
        </w:rPr>
        <w:t>Δ</w:t>
      </w:r>
      <w:r w:rsidRPr="009D4627">
        <w:rPr>
          <w:rFonts w:eastAsia="Calibri"/>
          <w:color w:val="auto"/>
          <w:szCs w:val="22"/>
          <w:lang w:val="en-MY"/>
        </w:rPr>
        <w:t xml:space="preserve"> BO prism.</w:t>
      </w:r>
    </w:p>
    <w:p w14:paraId="7B9D1714"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 xml:space="preserve">Recovering L sixth nerve palsy </w:t>
      </w:r>
      <w:r w:rsidRPr="009D4627">
        <w:rPr>
          <w:rFonts w:eastAsia="Calibri"/>
          <w:color w:val="auto"/>
          <w:szCs w:val="22"/>
          <w:lang w:val="en-MY"/>
        </w:rPr>
        <w:sym w:font="Wingdings" w:char="F0E0"/>
      </w:r>
      <w:r w:rsidRPr="009D4627">
        <w:rPr>
          <w:rFonts w:eastAsia="Calibri"/>
          <w:color w:val="auto"/>
          <w:szCs w:val="22"/>
          <w:lang w:val="en-MY"/>
        </w:rPr>
        <w:t xml:space="preserve"> 2° microvascular cause.</w:t>
      </w:r>
    </w:p>
    <w:p w14:paraId="548B5F6A"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Good further improvement to smaller deviation angle.</w:t>
      </w:r>
    </w:p>
    <w:p w14:paraId="01D836CF"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Fitted 12</w:t>
      </w:r>
      <w:r w:rsidRPr="009D4627">
        <w:rPr>
          <w:rFonts w:eastAsia="Calibri"/>
          <w:color w:val="auto"/>
          <w:szCs w:val="22"/>
          <w:vertAlign w:val="superscript"/>
          <w:lang w:val="en-MY"/>
        </w:rPr>
        <w:t>Δ</w:t>
      </w:r>
      <w:r w:rsidRPr="009D4627">
        <w:rPr>
          <w:rFonts w:eastAsia="Calibri"/>
          <w:color w:val="auto"/>
          <w:szCs w:val="22"/>
          <w:lang w:val="en-MY"/>
        </w:rPr>
        <w:t xml:space="preserve"> BO Fresnel to R </w:t>
      </w:r>
      <w:proofErr w:type="spellStart"/>
      <w:r w:rsidRPr="009D4627">
        <w:rPr>
          <w:rFonts w:eastAsia="Calibri"/>
          <w:color w:val="auto"/>
          <w:szCs w:val="22"/>
          <w:lang w:val="en-MY"/>
        </w:rPr>
        <w:t>plano</w:t>
      </w:r>
      <w:proofErr w:type="spellEnd"/>
      <w:r w:rsidRPr="009D4627">
        <w:rPr>
          <w:rFonts w:eastAsia="Calibri"/>
          <w:color w:val="auto"/>
          <w:szCs w:val="22"/>
          <w:lang w:val="en-MY"/>
        </w:rPr>
        <w:t xml:space="preserve"> lens. </w:t>
      </w:r>
    </w:p>
    <w:p w14:paraId="5EBB59BF" w14:textId="77777777" w:rsidR="00CE6626" w:rsidRPr="009D4627" w:rsidRDefault="00CE6626" w:rsidP="00CE6626">
      <w:pPr>
        <w:spacing w:before="0" w:after="0" w:line="240" w:lineRule="auto"/>
        <w:ind w:firstLine="720"/>
        <w:rPr>
          <w:rFonts w:eastAsia="Calibri"/>
          <w:color w:val="auto"/>
          <w:szCs w:val="22"/>
          <w:lang w:val="en-MY"/>
        </w:rPr>
      </w:pPr>
      <w:r w:rsidRPr="009D4627">
        <w:rPr>
          <w:rFonts w:eastAsia="Calibri"/>
          <w:color w:val="auto"/>
          <w:szCs w:val="22"/>
          <w:lang w:val="en-MY"/>
        </w:rPr>
        <w:t>Review 4-5/52 to check for further recovery.</w:t>
      </w:r>
    </w:p>
    <w:p w14:paraId="546ED738" w14:textId="77777777" w:rsidR="00CE6626" w:rsidRPr="009D4627" w:rsidRDefault="00CE6626" w:rsidP="00CE6626">
      <w:pPr>
        <w:spacing w:before="0" w:after="0" w:line="240" w:lineRule="auto"/>
        <w:rPr>
          <w:rFonts w:eastAsia="Calibri"/>
          <w:color w:val="auto"/>
          <w:szCs w:val="22"/>
          <w:lang w:val="en-MY"/>
        </w:rPr>
      </w:pPr>
    </w:p>
    <w:p w14:paraId="3B43603A" w14:textId="77777777" w:rsidR="00CE6626" w:rsidRPr="009D4627" w:rsidRDefault="00CE6626" w:rsidP="00CE6626">
      <w:pPr>
        <w:spacing w:before="0" w:after="0" w:line="240" w:lineRule="auto"/>
        <w:rPr>
          <w:rFonts w:eastAsia="Calibri"/>
          <w:color w:val="auto"/>
          <w:szCs w:val="22"/>
          <w:lang w:val="en-MY"/>
        </w:rPr>
      </w:pPr>
    </w:p>
    <w:p w14:paraId="10E31076" w14:textId="22CF6597" w:rsidR="00CE6626" w:rsidRPr="009D4627" w:rsidRDefault="00CE6626" w:rsidP="00C4130D">
      <w:pPr>
        <w:pStyle w:val="Caption"/>
      </w:pPr>
      <w:r w:rsidRPr="009D4627">
        <w:t>* Note: the next follow-up was not included in this study since it was beyond the period of eye movement tracking study. He completed his fifth visit for EMR before the next follow-up at the Orthoptics clinics.</w:t>
      </w:r>
    </w:p>
    <w:bookmarkEnd w:id="677"/>
    <w:p w14:paraId="62FC2C5B" w14:textId="2526C9D5" w:rsidR="00AC6699" w:rsidRPr="009D4627" w:rsidRDefault="00AC6699" w:rsidP="00C171FA">
      <w:pPr>
        <w:pStyle w:val="ListParagraph"/>
        <w:numPr>
          <w:ilvl w:val="0"/>
          <w:numId w:val="103"/>
        </w:numPr>
        <w:spacing w:before="0" w:after="0" w:line="240" w:lineRule="auto"/>
        <w:rPr>
          <w:szCs w:val="22"/>
          <w:lang w:val="en-MY"/>
        </w:rPr>
      </w:pPr>
    </w:p>
    <w:p w14:paraId="647823C9" w14:textId="77777777" w:rsidR="00A76311" w:rsidRPr="009D4627" w:rsidRDefault="00A76311" w:rsidP="00061086"/>
    <w:p w14:paraId="53F59C58" w14:textId="77777777" w:rsidR="00E00B43" w:rsidRPr="009D4627" w:rsidRDefault="00E00B43" w:rsidP="00E00B43">
      <w:pPr>
        <w:spacing w:before="0" w:after="0"/>
        <w:sectPr w:rsidR="00E00B43" w:rsidRPr="009D4627" w:rsidSect="00477959">
          <w:headerReference w:type="default" r:id="rId299"/>
          <w:pgSz w:w="11906" w:h="16838" w:code="9"/>
          <w:pgMar w:top="1440" w:right="1440" w:bottom="1440" w:left="1440" w:header="708" w:footer="708" w:gutter="0"/>
          <w:cols w:space="708"/>
          <w:docGrid w:linePitch="360"/>
        </w:sectPr>
      </w:pPr>
    </w:p>
    <w:p w14:paraId="431979CB" w14:textId="17F1A24A" w:rsidR="00455B58" w:rsidRPr="009D4627" w:rsidRDefault="00455B58" w:rsidP="0071060C">
      <w:pPr>
        <w:pStyle w:val="Heading1"/>
        <w:numPr>
          <w:ilvl w:val="0"/>
          <w:numId w:val="0"/>
        </w:numPr>
      </w:pPr>
      <w:bookmarkStart w:id="678" w:name="_Toc98964741"/>
      <w:bookmarkStart w:id="679" w:name="_Toc103344785"/>
      <w:r w:rsidRPr="009D4627">
        <w:lastRenderedPageBreak/>
        <w:t>Abbreviations</w:t>
      </w:r>
      <w:bookmarkEnd w:id="678"/>
      <w:bookmarkEnd w:id="6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6"/>
        <w:gridCol w:w="6954"/>
        <w:gridCol w:w="106"/>
      </w:tblGrid>
      <w:tr w:rsidR="00F2479E" w:rsidRPr="009D4627" w14:paraId="21469D3A" w14:textId="77777777" w:rsidTr="00455B58">
        <w:trPr>
          <w:gridAfter w:val="1"/>
          <w:wAfter w:w="108" w:type="dxa"/>
        </w:trPr>
        <w:tc>
          <w:tcPr>
            <w:tcW w:w="1980" w:type="dxa"/>
          </w:tcPr>
          <w:p w14:paraId="12767E7E" w14:textId="77777777" w:rsidR="00F2479E" w:rsidRPr="009D4627" w:rsidRDefault="00F2479E" w:rsidP="00455B58">
            <w:pPr>
              <w:spacing w:before="0" w:after="0" w:line="360" w:lineRule="auto"/>
              <w:jc w:val="left"/>
            </w:pPr>
            <w:r w:rsidRPr="009D4627">
              <w:rPr>
                <w:vertAlign w:val="superscript"/>
              </w:rPr>
              <w:t>∆</w:t>
            </w:r>
            <w:r w:rsidRPr="009D4627">
              <w:t xml:space="preserve">D </w:t>
            </w:r>
            <w:r w:rsidRPr="009D4627">
              <w:tab/>
            </w:r>
            <w:r w:rsidRPr="009D4627">
              <w:tab/>
            </w:r>
          </w:p>
        </w:tc>
        <w:tc>
          <w:tcPr>
            <w:tcW w:w="7036" w:type="dxa"/>
          </w:tcPr>
          <w:p w14:paraId="66DF582D" w14:textId="77777777" w:rsidR="00F2479E" w:rsidRPr="009D4627" w:rsidRDefault="00F2479E" w:rsidP="00455B58">
            <w:pPr>
              <w:spacing w:before="0" w:after="0" w:line="360" w:lineRule="auto"/>
              <w:jc w:val="left"/>
            </w:pPr>
            <w:r w:rsidRPr="009D4627">
              <w:t xml:space="preserve">prism </w:t>
            </w:r>
            <w:proofErr w:type="spellStart"/>
            <w:r w:rsidRPr="009D4627">
              <w:t>dioptres</w:t>
            </w:r>
            <w:proofErr w:type="spellEnd"/>
          </w:p>
        </w:tc>
      </w:tr>
      <w:tr w:rsidR="00F2479E" w:rsidRPr="009D4627" w14:paraId="72A20FD1" w14:textId="77777777" w:rsidTr="00455B58">
        <w:trPr>
          <w:gridAfter w:val="1"/>
          <w:wAfter w:w="108" w:type="dxa"/>
        </w:trPr>
        <w:tc>
          <w:tcPr>
            <w:tcW w:w="1980" w:type="dxa"/>
          </w:tcPr>
          <w:p w14:paraId="2D0A7C9C" w14:textId="77777777" w:rsidR="00F2479E" w:rsidRPr="009D4627" w:rsidRDefault="00F2479E" w:rsidP="00455B58">
            <w:pPr>
              <w:spacing w:before="0" w:after="0" w:line="360" w:lineRule="auto"/>
              <w:jc w:val="left"/>
            </w:pPr>
            <w:r w:rsidRPr="009D4627">
              <w:t>2D-VOG</w:t>
            </w:r>
            <w:r w:rsidRPr="009D4627">
              <w:tab/>
            </w:r>
          </w:p>
        </w:tc>
        <w:tc>
          <w:tcPr>
            <w:tcW w:w="7036" w:type="dxa"/>
          </w:tcPr>
          <w:p w14:paraId="065B2B8A" w14:textId="77777777" w:rsidR="00F2479E" w:rsidRPr="009D4627" w:rsidRDefault="00F2479E" w:rsidP="00455B58">
            <w:pPr>
              <w:spacing w:before="0" w:after="0" w:line="360" w:lineRule="auto"/>
              <w:jc w:val="left"/>
            </w:pPr>
            <w:r w:rsidRPr="009D4627">
              <w:t>two-dimensional video-oculography</w:t>
            </w:r>
          </w:p>
        </w:tc>
      </w:tr>
      <w:tr w:rsidR="00F2479E" w:rsidRPr="009D4627" w14:paraId="11EB97AF" w14:textId="77777777" w:rsidTr="00455B58">
        <w:trPr>
          <w:gridAfter w:val="1"/>
          <w:wAfter w:w="108" w:type="dxa"/>
        </w:trPr>
        <w:tc>
          <w:tcPr>
            <w:tcW w:w="1980" w:type="dxa"/>
          </w:tcPr>
          <w:p w14:paraId="4E45B817" w14:textId="77777777" w:rsidR="00F2479E" w:rsidRPr="009D4627" w:rsidRDefault="00F2479E" w:rsidP="00455B58">
            <w:pPr>
              <w:spacing w:before="0" w:after="0" w:line="360" w:lineRule="auto"/>
              <w:jc w:val="left"/>
            </w:pPr>
            <w:r w:rsidRPr="009D4627">
              <w:t>ANOVA</w:t>
            </w:r>
          </w:p>
        </w:tc>
        <w:tc>
          <w:tcPr>
            <w:tcW w:w="7036" w:type="dxa"/>
          </w:tcPr>
          <w:p w14:paraId="63B42B3C" w14:textId="77777777" w:rsidR="00F2479E" w:rsidRPr="009D4627" w:rsidRDefault="00F2479E" w:rsidP="00455B58">
            <w:pPr>
              <w:spacing w:before="0" w:after="0" w:line="360" w:lineRule="auto"/>
              <w:jc w:val="left"/>
            </w:pPr>
            <w:r w:rsidRPr="009D4627">
              <w:t>analysis of variance</w:t>
            </w:r>
          </w:p>
        </w:tc>
      </w:tr>
      <w:tr w:rsidR="00F2479E" w:rsidRPr="009D4627" w14:paraId="3F450E34" w14:textId="77777777" w:rsidTr="00455B58">
        <w:trPr>
          <w:gridAfter w:val="1"/>
          <w:wAfter w:w="108" w:type="dxa"/>
        </w:trPr>
        <w:tc>
          <w:tcPr>
            <w:tcW w:w="1980" w:type="dxa"/>
          </w:tcPr>
          <w:p w14:paraId="1626C3DB" w14:textId="77777777" w:rsidR="00F2479E" w:rsidRPr="009D4627" w:rsidRDefault="00F2479E" w:rsidP="00455B58">
            <w:pPr>
              <w:spacing w:before="0" w:after="0" w:line="360" w:lineRule="auto"/>
              <w:jc w:val="left"/>
            </w:pPr>
            <w:r w:rsidRPr="009D4627">
              <w:t>AOI</w:t>
            </w:r>
            <w:r w:rsidRPr="009D4627">
              <w:tab/>
            </w:r>
            <w:r w:rsidRPr="009D4627">
              <w:tab/>
            </w:r>
          </w:p>
        </w:tc>
        <w:tc>
          <w:tcPr>
            <w:tcW w:w="7036" w:type="dxa"/>
          </w:tcPr>
          <w:p w14:paraId="683473A2" w14:textId="77777777" w:rsidR="00F2479E" w:rsidRPr="009D4627" w:rsidRDefault="00F2479E" w:rsidP="00455B58">
            <w:pPr>
              <w:spacing w:before="0" w:after="0" w:line="360" w:lineRule="auto"/>
              <w:jc w:val="left"/>
            </w:pPr>
            <w:r w:rsidRPr="009D4627">
              <w:t>area of interest</w:t>
            </w:r>
          </w:p>
        </w:tc>
      </w:tr>
      <w:tr w:rsidR="00F2479E" w:rsidRPr="009D4627" w14:paraId="49A41247" w14:textId="77777777" w:rsidTr="00455B58">
        <w:trPr>
          <w:gridAfter w:val="1"/>
          <w:wAfter w:w="108" w:type="dxa"/>
        </w:trPr>
        <w:tc>
          <w:tcPr>
            <w:tcW w:w="1980" w:type="dxa"/>
          </w:tcPr>
          <w:p w14:paraId="573EC07F" w14:textId="77777777" w:rsidR="00F2479E" w:rsidRPr="009D4627" w:rsidRDefault="00F2479E" w:rsidP="00455B58">
            <w:pPr>
              <w:spacing w:before="0" w:after="0" w:line="360" w:lineRule="auto"/>
              <w:jc w:val="left"/>
            </w:pPr>
            <w:r w:rsidRPr="009D4627">
              <w:t xml:space="preserve">BCEA </w:t>
            </w:r>
            <w:r w:rsidRPr="009D4627">
              <w:tab/>
            </w:r>
            <w:r w:rsidRPr="009D4627">
              <w:tab/>
            </w:r>
          </w:p>
        </w:tc>
        <w:tc>
          <w:tcPr>
            <w:tcW w:w="7036" w:type="dxa"/>
          </w:tcPr>
          <w:p w14:paraId="1D6BBFA6" w14:textId="77777777" w:rsidR="00F2479E" w:rsidRPr="009D4627" w:rsidRDefault="00F2479E" w:rsidP="00455B58">
            <w:pPr>
              <w:spacing w:before="0" w:after="0" w:line="360" w:lineRule="auto"/>
              <w:jc w:val="left"/>
            </w:pPr>
            <w:r w:rsidRPr="009D4627">
              <w:t>bivariate contour ellipse area</w:t>
            </w:r>
          </w:p>
        </w:tc>
      </w:tr>
      <w:tr w:rsidR="00F2479E" w:rsidRPr="009D4627" w14:paraId="606C47EC" w14:textId="77777777" w:rsidTr="00455B58">
        <w:trPr>
          <w:gridAfter w:val="1"/>
          <w:wAfter w:w="108" w:type="dxa"/>
        </w:trPr>
        <w:tc>
          <w:tcPr>
            <w:tcW w:w="1980" w:type="dxa"/>
          </w:tcPr>
          <w:p w14:paraId="365E18DE" w14:textId="77777777" w:rsidR="00F2479E" w:rsidRPr="009D4627" w:rsidRDefault="00F2479E" w:rsidP="00455B58">
            <w:pPr>
              <w:spacing w:before="0" w:after="0" w:line="360" w:lineRule="auto"/>
              <w:jc w:val="left"/>
            </w:pPr>
            <w:r w:rsidRPr="009D4627">
              <w:t>BSV</w:t>
            </w:r>
          </w:p>
        </w:tc>
        <w:tc>
          <w:tcPr>
            <w:tcW w:w="7036" w:type="dxa"/>
          </w:tcPr>
          <w:p w14:paraId="52ECC5C7" w14:textId="77777777" w:rsidR="00F2479E" w:rsidRPr="009D4627" w:rsidRDefault="00F2479E" w:rsidP="00455B58">
            <w:pPr>
              <w:spacing w:before="0" w:after="0" w:line="360" w:lineRule="auto"/>
              <w:jc w:val="left"/>
            </w:pPr>
            <w:r w:rsidRPr="009D4627">
              <w:t>binocular single vision</w:t>
            </w:r>
          </w:p>
        </w:tc>
      </w:tr>
      <w:tr w:rsidR="007C64BF" w:rsidRPr="009D4627" w14:paraId="72409678" w14:textId="77777777" w:rsidTr="00455B58">
        <w:trPr>
          <w:gridAfter w:val="1"/>
          <w:wAfter w:w="108" w:type="dxa"/>
        </w:trPr>
        <w:tc>
          <w:tcPr>
            <w:tcW w:w="1980" w:type="dxa"/>
          </w:tcPr>
          <w:p w14:paraId="73CA2BEE" w14:textId="65BCEE51" w:rsidR="007C64BF" w:rsidRPr="009D4627" w:rsidRDefault="007C64BF" w:rsidP="00455B58">
            <w:pPr>
              <w:spacing w:before="0" w:after="0" w:line="360" w:lineRule="auto"/>
              <w:jc w:val="left"/>
            </w:pPr>
            <w:r w:rsidRPr="009D4627">
              <w:t>CUS</w:t>
            </w:r>
          </w:p>
        </w:tc>
        <w:tc>
          <w:tcPr>
            <w:tcW w:w="7036" w:type="dxa"/>
          </w:tcPr>
          <w:p w14:paraId="2E0433B6" w14:textId="32D97321" w:rsidR="007C64BF" w:rsidRPr="009D4627" w:rsidRDefault="007C64BF" w:rsidP="00455B58">
            <w:pPr>
              <w:spacing w:before="0" w:after="0" w:line="360" w:lineRule="auto"/>
              <w:jc w:val="left"/>
            </w:pPr>
            <w:r w:rsidRPr="009D4627">
              <w:t>catch-up saccades</w:t>
            </w:r>
          </w:p>
        </w:tc>
      </w:tr>
      <w:tr w:rsidR="00F2479E" w:rsidRPr="009D4627" w14:paraId="1E001A77" w14:textId="77777777" w:rsidTr="00455B58">
        <w:trPr>
          <w:gridAfter w:val="1"/>
          <w:wAfter w:w="108" w:type="dxa"/>
        </w:trPr>
        <w:tc>
          <w:tcPr>
            <w:tcW w:w="1980" w:type="dxa"/>
          </w:tcPr>
          <w:p w14:paraId="35100067" w14:textId="77777777" w:rsidR="00F2479E" w:rsidRPr="009D4627" w:rsidRDefault="00F2479E" w:rsidP="00455B58">
            <w:pPr>
              <w:spacing w:before="0" w:after="0" w:line="360" w:lineRule="auto"/>
            </w:pPr>
            <w:r w:rsidRPr="009D4627">
              <w:t>CBGD</w:t>
            </w:r>
            <w:r w:rsidRPr="009D4627">
              <w:tab/>
            </w:r>
          </w:p>
        </w:tc>
        <w:tc>
          <w:tcPr>
            <w:tcW w:w="7036" w:type="dxa"/>
          </w:tcPr>
          <w:p w14:paraId="41EC36D3" w14:textId="77777777" w:rsidR="00F2479E" w:rsidRPr="009D4627" w:rsidRDefault="00F2479E" w:rsidP="00455B58">
            <w:pPr>
              <w:spacing w:before="0" w:after="0" w:line="360" w:lineRule="auto"/>
              <w:jc w:val="left"/>
            </w:pPr>
            <w:r w:rsidRPr="009D4627">
              <w:t>cortico-basal ganglionic degeneration</w:t>
            </w:r>
          </w:p>
        </w:tc>
      </w:tr>
      <w:tr w:rsidR="00F2479E" w:rsidRPr="009D4627" w14:paraId="1E66B6CF" w14:textId="77777777" w:rsidTr="00455B58">
        <w:trPr>
          <w:gridAfter w:val="1"/>
          <w:wAfter w:w="108" w:type="dxa"/>
        </w:trPr>
        <w:tc>
          <w:tcPr>
            <w:tcW w:w="1980" w:type="dxa"/>
          </w:tcPr>
          <w:p w14:paraId="05040A98" w14:textId="77777777" w:rsidR="00F2479E" w:rsidRPr="009D4627" w:rsidRDefault="00F2479E" w:rsidP="00455B58">
            <w:pPr>
              <w:spacing w:before="0" w:after="0" w:line="360" w:lineRule="auto"/>
            </w:pPr>
            <w:r w:rsidRPr="009D4627">
              <w:t>CN III</w:t>
            </w:r>
          </w:p>
        </w:tc>
        <w:tc>
          <w:tcPr>
            <w:tcW w:w="7036" w:type="dxa"/>
          </w:tcPr>
          <w:p w14:paraId="07172803" w14:textId="77777777" w:rsidR="00F2479E" w:rsidRPr="009D4627" w:rsidRDefault="00F2479E" w:rsidP="00455B58">
            <w:pPr>
              <w:spacing w:before="0" w:after="0" w:line="360" w:lineRule="auto"/>
              <w:jc w:val="left"/>
            </w:pPr>
            <w:r w:rsidRPr="009D4627">
              <w:t xml:space="preserve">third cranial nerve </w:t>
            </w:r>
          </w:p>
        </w:tc>
      </w:tr>
      <w:tr w:rsidR="00F2479E" w:rsidRPr="009D4627" w14:paraId="3EDD62BD" w14:textId="77777777" w:rsidTr="00455B58">
        <w:trPr>
          <w:gridAfter w:val="1"/>
          <w:wAfter w:w="108" w:type="dxa"/>
        </w:trPr>
        <w:tc>
          <w:tcPr>
            <w:tcW w:w="1980" w:type="dxa"/>
          </w:tcPr>
          <w:p w14:paraId="657FF41F" w14:textId="77777777" w:rsidR="00F2479E" w:rsidRPr="009D4627" w:rsidRDefault="00F2479E" w:rsidP="00455B58">
            <w:pPr>
              <w:spacing w:before="0" w:after="0" w:line="360" w:lineRule="auto"/>
            </w:pPr>
            <w:r w:rsidRPr="009D4627">
              <w:t>CN IV</w:t>
            </w:r>
          </w:p>
        </w:tc>
        <w:tc>
          <w:tcPr>
            <w:tcW w:w="7036" w:type="dxa"/>
          </w:tcPr>
          <w:p w14:paraId="78C529B1" w14:textId="77777777" w:rsidR="00F2479E" w:rsidRPr="009D4627" w:rsidRDefault="00F2479E" w:rsidP="00455B58">
            <w:pPr>
              <w:spacing w:before="0" w:after="0" w:line="360" w:lineRule="auto"/>
              <w:jc w:val="left"/>
            </w:pPr>
            <w:r w:rsidRPr="009D4627">
              <w:t>fourth cranial nerve</w:t>
            </w:r>
          </w:p>
        </w:tc>
      </w:tr>
      <w:tr w:rsidR="00F2479E" w:rsidRPr="009D4627" w14:paraId="0E7C492E" w14:textId="77777777" w:rsidTr="00455B58">
        <w:trPr>
          <w:gridAfter w:val="1"/>
          <w:wAfter w:w="108" w:type="dxa"/>
        </w:trPr>
        <w:tc>
          <w:tcPr>
            <w:tcW w:w="1980" w:type="dxa"/>
          </w:tcPr>
          <w:p w14:paraId="4E21B4D1" w14:textId="77777777" w:rsidR="00F2479E" w:rsidRPr="009D4627" w:rsidRDefault="00F2479E" w:rsidP="00455B58">
            <w:pPr>
              <w:spacing w:before="0" w:after="0" w:line="360" w:lineRule="auto"/>
            </w:pPr>
            <w:r w:rsidRPr="009D4627">
              <w:t>CN VI</w:t>
            </w:r>
          </w:p>
        </w:tc>
        <w:tc>
          <w:tcPr>
            <w:tcW w:w="7036" w:type="dxa"/>
          </w:tcPr>
          <w:p w14:paraId="7E228CB0" w14:textId="77777777" w:rsidR="00F2479E" w:rsidRPr="009D4627" w:rsidRDefault="00F2479E" w:rsidP="00455B58">
            <w:pPr>
              <w:spacing w:before="0" w:after="0" w:line="360" w:lineRule="auto"/>
              <w:jc w:val="left"/>
            </w:pPr>
            <w:r w:rsidRPr="009D4627">
              <w:t>sixth cranial nerve</w:t>
            </w:r>
          </w:p>
        </w:tc>
      </w:tr>
      <w:tr w:rsidR="00F2479E" w:rsidRPr="009D4627" w14:paraId="1B67757A" w14:textId="77777777" w:rsidTr="00455B58">
        <w:trPr>
          <w:gridAfter w:val="1"/>
          <w:wAfter w:w="108" w:type="dxa"/>
        </w:trPr>
        <w:tc>
          <w:tcPr>
            <w:tcW w:w="1980" w:type="dxa"/>
          </w:tcPr>
          <w:p w14:paraId="51102C52" w14:textId="77777777" w:rsidR="00F2479E" w:rsidRPr="009D4627" w:rsidRDefault="00F2479E" w:rsidP="00455B58">
            <w:pPr>
              <w:spacing w:before="0" w:after="0" w:line="360" w:lineRule="auto"/>
              <w:jc w:val="left"/>
            </w:pPr>
            <w:r w:rsidRPr="009D4627">
              <w:t>CR</w:t>
            </w:r>
            <w:r w:rsidRPr="009D4627">
              <w:tab/>
            </w:r>
            <w:r w:rsidRPr="009D4627">
              <w:tab/>
            </w:r>
          </w:p>
        </w:tc>
        <w:tc>
          <w:tcPr>
            <w:tcW w:w="7036" w:type="dxa"/>
          </w:tcPr>
          <w:p w14:paraId="748131FC" w14:textId="77777777" w:rsidR="00F2479E" w:rsidRPr="009D4627" w:rsidRDefault="00F2479E" w:rsidP="00455B58">
            <w:pPr>
              <w:spacing w:before="0" w:after="0" w:line="360" w:lineRule="auto"/>
              <w:jc w:val="left"/>
            </w:pPr>
            <w:r w:rsidRPr="009D4627">
              <w:t>corneal reflection</w:t>
            </w:r>
          </w:p>
        </w:tc>
      </w:tr>
      <w:tr w:rsidR="00F2479E" w:rsidRPr="009D4627" w14:paraId="544D6F95" w14:textId="77777777" w:rsidTr="00455B58">
        <w:trPr>
          <w:gridAfter w:val="1"/>
          <w:wAfter w:w="108" w:type="dxa"/>
        </w:trPr>
        <w:tc>
          <w:tcPr>
            <w:tcW w:w="1980" w:type="dxa"/>
          </w:tcPr>
          <w:p w14:paraId="6B129692" w14:textId="77777777" w:rsidR="00F2479E" w:rsidRPr="009D4627" w:rsidRDefault="00F2479E" w:rsidP="00455B58">
            <w:pPr>
              <w:spacing w:before="0" w:after="0" w:line="360" w:lineRule="auto"/>
              <w:jc w:val="left"/>
            </w:pPr>
            <w:r w:rsidRPr="009D4627">
              <w:t>CT</w:t>
            </w:r>
            <w:r w:rsidRPr="009D4627">
              <w:tab/>
            </w:r>
            <w:r w:rsidRPr="009D4627">
              <w:tab/>
            </w:r>
          </w:p>
        </w:tc>
        <w:tc>
          <w:tcPr>
            <w:tcW w:w="7036" w:type="dxa"/>
          </w:tcPr>
          <w:p w14:paraId="4327434B" w14:textId="77777777" w:rsidR="00F2479E" w:rsidRPr="009D4627" w:rsidRDefault="00F2479E" w:rsidP="00455B58">
            <w:pPr>
              <w:spacing w:before="0" w:after="0" w:line="360" w:lineRule="auto"/>
              <w:jc w:val="left"/>
            </w:pPr>
            <w:r w:rsidRPr="009D4627">
              <w:t>computerized tomography</w:t>
            </w:r>
          </w:p>
        </w:tc>
      </w:tr>
      <w:tr w:rsidR="00F2479E" w:rsidRPr="009D4627" w14:paraId="7FC9D615" w14:textId="77777777" w:rsidTr="00455B58">
        <w:trPr>
          <w:gridAfter w:val="1"/>
          <w:wAfter w:w="108" w:type="dxa"/>
        </w:trPr>
        <w:tc>
          <w:tcPr>
            <w:tcW w:w="1980" w:type="dxa"/>
          </w:tcPr>
          <w:p w14:paraId="39BE9114" w14:textId="77777777" w:rsidR="00F2479E" w:rsidRPr="009D4627" w:rsidRDefault="00F2479E" w:rsidP="00455B58">
            <w:pPr>
              <w:spacing w:before="0" w:after="0" w:line="360" w:lineRule="auto"/>
              <w:jc w:val="left"/>
            </w:pPr>
            <w:r w:rsidRPr="009D4627">
              <w:t>DM</w:t>
            </w:r>
          </w:p>
        </w:tc>
        <w:tc>
          <w:tcPr>
            <w:tcW w:w="7036" w:type="dxa"/>
          </w:tcPr>
          <w:p w14:paraId="5ED07FF5" w14:textId="77777777" w:rsidR="00F2479E" w:rsidRPr="009D4627" w:rsidRDefault="00F2479E" w:rsidP="00455B58">
            <w:pPr>
              <w:spacing w:before="0" w:after="0" w:line="360" w:lineRule="auto"/>
              <w:jc w:val="left"/>
            </w:pPr>
            <w:r w:rsidRPr="009D4627">
              <w:rPr>
                <w:rFonts w:eastAsia="Times New Roman"/>
                <w:color w:val="auto"/>
                <w:lang w:eastAsia="en-MY"/>
              </w:rPr>
              <w:t>diabetes mellitus</w:t>
            </w:r>
          </w:p>
        </w:tc>
      </w:tr>
      <w:tr w:rsidR="00F2479E" w:rsidRPr="009D4627" w14:paraId="27E48B6E" w14:textId="77777777" w:rsidTr="00455B58">
        <w:trPr>
          <w:gridAfter w:val="1"/>
          <w:wAfter w:w="108" w:type="dxa"/>
        </w:trPr>
        <w:tc>
          <w:tcPr>
            <w:tcW w:w="1980" w:type="dxa"/>
          </w:tcPr>
          <w:p w14:paraId="7D26DC09" w14:textId="77777777" w:rsidR="00F2479E" w:rsidRPr="009D4627" w:rsidRDefault="00F2479E" w:rsidP="00455B58">
            <w:pPr>
              <w:spacing w:before="0" w:after="0" w:line="360" w:lineRule="auto"/>
              <w:jc w:val="left"/>
            </w:pPr>
            <w:r w:rsidRPr="009D4627">
              <w:t>DT</w:t>
            </w:r>
            <w:r w:rsidRPr="009D4627">
              <w:tab/>
            </w:r>
            <w:r w:rsidRPr="009D4627">
              <w:tab/>
            </w:r>
          </w:p>
        </w:tc>
        <w:tc>
          <w:tcPr>
            <w:tcW w:w="7036" w:type="dxa"/>
          </w:tcPr>
          <w:p w14:paraId="56D44193" w14:textId="77777777" w:rsidR="00F2479E" w:rsidRPr="009D4627" w:rsidRDefault="00F2479E" w:rsidP="00455B58">
            <w:pPr>
              <w:spacing w:before="0" w:after="0" w:line="360" w:lineRule="auto"/>
              <w:jc w:val="left"/>
            </w:pPr>
            <w:r w:rsidRPr="009D4627">
              <w:t>dwell time</w:t>
            </w:r>
          </w:p>
        </w:tc>
      </w:tr>
      <w:tr w:rsidR="00B5211D" w:rsidRPr="009D4627" w14:paraId="1E3D3232" w14:textId="77777777" w:rsidTr="00455B58">
        <w:tc>
          <w:tcPr>
            <w:tcW w:w="1980" w:type="dxa"/>
          </w:tcPr>
          <w:p w14:paraId="69F9367C" w14:textId="0729841E" w:rsidR="00B5211D" w:rsidRPr="009D4627" w:rsidRDefault="00B5211D" w:rsidP="00455B58">
            <w:pPr>
              <w:spacing w:before="0" w:after="0" w:line="360" w:lineRule="auto"/>
              <w:jc w:val="left"/>
            </w:pPr>
            <w:r w:rsidRPr="009D4627">
              <w:t>DW</w:t>
            </w:r>
          </w:p>
        </w:tc>
        <w:tc>
          <w:tcPr>
            <w:tcW w:w="7036" w:type="dxa"/>
            <w:gridSpan w:val="2"/>
          </w:tcPr>
          <w:p w14:paraId="18AC1F65" w14:textId="27F5A28F" w:rsidR="00B5211D" w:rsidRPr="009D4627" w:rsidRDefault="00B5211D" w:rsidP="00455B58">
            <w:pPr>
              <w:spacing w:before="0" w:after="0" w:line="360" w:lineRule="auto"/>
              <w:jc w:val="left"/>
            </w:pPr>
            <w:r w:rsidRPr="009D4627">
              <w:t>Durbin-Watson</w:t>
            </w:r>
          </w:p>
        </w:tc>
      </w:tr>
      <w:tr w:rsidR="00F2479E" w:rsidRPr="009D4627" w14:paraId="59D5467F" w14:textId="77777777" w:rsidTr="00455B58">
        <w:trPr>
          <w:gridAfter w:val="1"/>
          <w:wAfter w:w="108" w:type="dxa"/>
        </w:trPr>
        <w:tc>
          <w:tcPr>
            <w:tcW w:w="1980" w:type="dxa"/>
          </w:tcPr>
          <w:p w14:paraId="05C5CB70" w14:textId="77777777" w:rsidR="00F2479E" w:rsidRPr="009D4627" w:rsidRDefault="00F2479E" w:rsidP="00455B58">
            <w:pPr>
              <w:spacing w:before="0" w:after="0" w:line="360" w:lineRule="auto"/>
              <w:jc w:val="left"/>
            </w:pPr>
            <w:r w:rsidRPr="009D4627">
              <w:t>DV</w:t>
            </w:r>
            <w:r w:rsidRPr="009D4627">
              <w:tab/>
            </w:r>
            <w:r w:rsidRPr="009D4627">
              <w:tab/>
            </w:r>
          </w:p>
        </w:tc>
        <w:tc>
          <w:tcPr>
            <w:tcW w:w="7036" w:type="dxa"/>
          </w:tcPr>
          <w:p w14:paraId="101A3E50" w14:textId="77777777" w:rsidR="00F2479E" w:rsidRPr="009D4627" w:rsidRDefault="00F2479E" w:rsidP="00455B58">
            <w:pPr>
              <w:spacing w:before="0" w:after="0" w:line="360" w:lineRule="auto"/>
              <w:jc w:val="left"/>
            </w:pPr>
            <w:r w:rsidRPr="009D4627">
              <w:t>Data Viewer</w:t>
            </w:r>
          </w:p>
        </w:tc>
      </w:tr>
      <w:tr w:rsidR="00F2479E" w:rsidRPr="009D4627" w14:paraId="542FD77C" w14:textId="77777777" w:rsidTr="00455B58">
        <w:trPr>
          <w:gridAfter w:val="1"/>
          <w:wAfter w:w="108" w:type="dxa"/>
        </w:trPr>
        <w:tc>
          <w:tcPr>
            <w:tcW w:w="1980" w:type="dxa"/>
          </w:tcPr>
          <w:p w14:paraId="65FE6242" w14:textId="77777777" w:rsidR="00F2479E" w:rsidRPr="009D4627" w:rsidRDefault="00F2479E" w:rsidP="00455B58">
            <w:pPr>
              <w:spacing w:before="0" w:after="0" w:line="360" w:lineRule="auto"/>
              <w:jc w:val="left"/>
            </w:pPr>
            <w:r w:rsidRPr="009D4627">
              <w:t>E</w:t>
            </w:r>
          </w:p>
        </w:tc>
        <w:tc>
          <w:tcPr>
            <w:tcW w:w="7036" w:type="dxa"/>
          </w:tcPr>
          <w:p w14:paraId="6B0C5BEF" w14:textId="77777777" w:rsidR="00F2479E" w:rsidRPr="009D4627" w:rsidRDefault="00F2479E" w:rsidP="00455B58">
            <w:pPr>
              <w:spacing w:before="0" w:after="0" w:line="360" w:lineRule="auto"/>
              <w:jc w:val="left"/>
            </w:pPr>
            <w:r w:rsidRPr="009D4627">
              <w:t>esophoria</w:t>
            </w:r>
          </w:p>
        </w:tc>
      </w:tr>
      <w:tr w:rsidR="00F2479E" w:rsidRPr="009D4627" w14:paraId="5231C683" w14:textId="77777777" w:rsidTr="00455B58">
        <w:trPr>
          <w:gridAfter w:val="1"/>
          <w:wAfter w:w="108" w:type="dxa"/>
        </w:trPr>
        <w:tc>
          <w:tcPr>
            <w:tcW w:w="1980" w:type="dxa"/>
          </w:tcPr>
          <w:p w14:paraId="4A6A8D08" w14:textId="77777777" w:rsidR="00F2479E" w:rsidRPr="009D4627" w:rsidRDefault="00F2479E" w:rsidP="00455B58">
            <w:pPr>
              <w:spacing w:before="0" w:after="0" w:line="360" w:lineRule="auto"/>
              <w:jc w:val="left"/>
            </w:pPr>
            <w:r w:rsidRPr="009D4627">
              <w:t>EEC</w:t>
            </w:r>
          </w:p>
        </w:tc>
        <w:tc>
          <w:tcPr>
            <w:tcW w:w="7036" w:type="dxa"/>
          </w:tcPr>
          <w:p w14:paraId="74B155B4" w14:textId="77777777" w:rsidR="00F2479E" w:rsidRPr="009D4627" w:rsidRDefault="00F2479E" w:rsidP="00455B58">
            <w:pPr>
              <w:spacing w:before="0" w:after="0" w:line="360" w:lineRule="auto"/>
              <w:jc w:val="left"/>
            </w:pPr>
            <w:r w:rsidRPr="009D4627">
              <w:rPr>
                <w:rFonts w:eastAsia="Times New Roman"/>
                <w:color w:val="auto"/>
                <w:lang w:eastAsia="en-MY"/>
              </w:rPr>
              <w:t>Eye Emergency Clinic</w:t>
            </w:r>
          </w:p>
        </w:tc>
      </w:tr>
      <w:tr w:rsidR="00F2479E" w:rsidRPr="009D4627" w14:paraId="2997B41F" w14:textId="77777777" w:rsidTr="00455B58">
        <w:trPr>
          <w:gridAfter w:val="1"/>
          <w:wAfter w:w="108" w:type="dxa"/>
        </w:trPr>
        <w:tc>
          <w:tcPr>
            <w:tcW w:w="1980" w:type="dxa"/>
          </w:tcPr>
          <w:p w14:paraId="5A996DA0" w14:textId="77777777" w:rsidR="00F2479E" w:rsidRPr="009D4627" w:rsidRDefault="00F2479E" w:rsidP="00455B58">
            <w:pPr>
              <w:spacing w:before="0" w:after="0" w:line="360" w:lineRule="auto"/>
              <w:jc w:val="left"/>
            </w:pPr>
            <w:r w:rsidRPr="009D4627">
              <w:t>EMR</w:t>
            </w:r>
            <w:r w:rsidRPr="009D4627">
              <w:tab/>
            </w:r>
            <w:r w:rsidRPr="009D4627">
              <w:tab/>
            </w:r>
          </w:p>
        </w:tc>
        <w:tc>
          <w:tcPr>
            <w:tcW w:w="7036" w:type="dxa"/>
          </w:tcPr>
          <w:p w14:paraId="4B0F6B64" w14:textId="77777777" w:rsidR="00F2479E" w:rsidRPr="009D4627" w:rsidRDefault="00F2479E" w:rsidP="00455B58">
            <w:pPr>
              <w:spacing w:before="0" w:after="0" w:line="360" w:lineRule="auto"/>
              <w:jc w:val="left"/>
            </w:pPr>
            <w:r w:rsidRPr="009D4627">
              <w:t>eye movement recording</w:t>
            </w:r>
          </w:p>
        </w:tc>
      </w:tr>
      <w:tr w:rsidR="00F2479E" w:rsidRPr="009D4627" w14:paraId="53F1FA9A" w14:textId="77777777" w:rsidTr="00455B58">
        <w:trPr>
          <w:gridAfter w:val="1"/>
          <w:wAfter w:w="108" w:type="dxa"/>
        </w:trPr>
        <w:tc>
          <w:tcPr>
            <w:tcW w:w="1980" w:type="dxa"/>
          </w:tcPr>
          <w:p w14:paraId="3BE5C61B" w14:textId="77777777" w:rsidR="00F2479E" w:rsidRPr="009D4627" w:rsidRDefault="00F2479E" w:rsidP="00455B58">
            <w:pPr>
              <w:spacing w:before="0" w:after="0" w:line="360" w:lineRule="auto"/>
            </w:pPr>
            <w:r w:rsidRPr="009D4627">
              <w:t xml:space="preserve">EOG </w:t>
            </w:r>
            <w:r w:rsidRPr="009D4627">
              <w:tab/>
            </w:r>
            <w:r w:rsidRPr="009D4627">
              <w:tab/>
            </w:r>
          </w:p>
        </w:tc>
        <w:tc>
          <w:tcPr>
            <w:tcW w:w="7036" w:type="dxa"/>
          </w:tcPr>
          <w:p w14:paraId="78EDC02A" w14:textId="77777777" w:rsidR="00F2479E" w:rsidRPr="009D4627" w:rsidRDefault="00F2479E" w:rsidP="00455B58">
            <w:pPr>
              <w:spacing w:before="0" w:after="0" w:line="360" w:lineRule="auto"/>
              <w:jc w:val="left"/>
            </w:pPr>
            <w:r w:rsidRPr="009D4627">
              <w:t>electrooculography</w:t>
            </w:r>
          </w:p>
        </w:tc>
      </w:tr>
      <w:tr w:rsidR="00F2479E" w:rsidRPr="009D4627" w14:paraId="0397FB11" w14:textId="77777777" w:rsidTr="00455B58">
        <w:trPr>
          <w:gridAfter w:val="1"/>
          <w:wAfter w:w="108" w:type="dxa"/>
        </w:trPr>
        <w:tc>
          <w:tcPr>
            <w:tcW w:w="1980" w:type="dxa"/>
          </w:tcPr>
          <w:p w14:paraId="0527BCCB" w14:textId="77777777" w:rsidR="00F2479E" w:rsidRPr="009D4627" w:rsidRDefault="00F2479E" w:rsidP="00455B58">
            <w:pPr>
              <w:spacing w:before="0" w:after="0" w:line="360" w:lineRule="auto"/>
            </w:pPr>
            <w:r w:rsidRPr="009D4627">
              <w:t>EOM</w:t>
            </w:r>
          </w:p>
        </w:tc>
        <w:tc>
          <w:tcPr>
            <w:tcW w:w="7036" w:type="dxa"/>
          </w:tcPr>
          <w:p w14:paraId="608258DD" w14:textId="77777777" w:rsidR="00F2479E" w:rsidRPr="009D4627" w:rsidRDefault="00F2479E" w:rsidP="00455B58">
            <w:pPr>
              <w:spacing w:before="0" w:after="0" w:line="360" w:lineRule="auto"/>
              <w:jc w:val="left"/>
            </w:pPr>
            <w:r w:rsidRPr="009D4627">
              <w:rPr>
                <w:rFonts w:eastAsia="Times New Roman"/>
                <w:color w:val="auto"/>
                <w:lang w:eastAsia="en-MY"/>
              </w:rPr>
              <w:t>extraocular muscles</w:t>
            </w:r>
          </w:p>
        </w:tc>
      </w:tr>
      <w:tr w:rsidR="00F2479E" w:rsidRPr="009D4627" w14:paraId="67A3A9E7" w14:textId="77777777" w:rsidTr="00455B58">
        <w:trPr>
          <w:gridAfter w:val="1"/>
          <w:wAfter w:w="108" w:type="dxa"/>
        </w:trPr>
        <w:tc>
          <w:tcPr>
            <w:tcW w:w="1980" w:type="dxa"/>
          </w:tcPr>
          <w:p w14:paraId="78877A6A" w14:textId="77777777" w:rsidR="00F2479E" w:rsidRPr="009D4627" w:rsidRDefault="00F2479E" w:rsidP="00455B58">
            <w:pPr>
              <w:spacing w:before="0" w:after="0" w:line="360" w:lineRule="auto"/>
              <w:jc w:val="left"/>
            </w:pPr>
            <w:r w:rsidRPr="009D4627">
              <w:t>ERT</w:t>
            </w:r>
            <w:r w:rsidRPr="009D4627">
              <w:tab/>
            </w:r>
            <w:r w:rsidRPr="009D4627">
              <w:tab/>
            </w:r>
          </w:p>
        </w:tc>
        <w:tc>
          <w:tcPr>
            <w:tcW w:w="7036" w:type="dxa"/>
          </w:tcPr>
          <w:p w14:paraId="00701A0A" w14:textId="77777777" w:rsidR="00F2479E" w:rsidRPr="009D4627" w:rsidRDefault="00F2479E" w:rsidP="00455B58">
            <w:pPr>
              <w:spacing w:before="0" w:after="0" w:line="360" w:lineRule="auto"/>
              <w:jc w:val="left"/>
            </w:pPr>
            <w:r w:rsidRPr="009D4627">
              <w:t>enzyme replacement therapy</w:t>
            </w:r>
          </w:p>
        </w:tc>
      </w:tr>
      <w:tr w:rsidR="00F2479E" w:rsidRPr="009D4627" w14:paraId="703D2E56" w14:textId="77777777" w:rsidTr="00455B58">
        <w:trPr>
          <w:gridAfter w:val="1"/>
          <w:wAfter w:w="108" w:type="dxa"/>
        </w:trPr>
        <w:tc>
          <w:tcPr>
            <w:tcW w:w="1980" w:type="dxa"/>
          </w:tcPr>
          <w:p w14:paraId="0CB9EC92" w14:textId="77777777" w:rsidR="00F2479E" w:rsidRPr="009D4627" w:rsidRDefault="00F2479E" w:rsidP="00455B58">
            <w:pPr>
              <w:spacing w:before="0" w:after="0" w:line="360" w:lineRule="auto"/>
              <w:jc w:val="left"/>
            </w:pPr>
            <w:r w:rsidRPr="009D4627">
              <w:t>ETDRS</w:t>
            </w:r>
          </w:p>
        </w:tc>
        <w:tc>
          <w:tcPr>
            <w:tcW w:w="7036" w:type="dxa"/>
          </w:tcPr>
          <w:p w14:paraId="53B56053" w14:textId="77777777" w:rsidR="00F2479E" w:rsidRPr="009D4627" w:rsidRDefault="00F2479E" w:rsidP="00455B58">
            <w:pPr>
              <w:spacing w:before="0" w:after="0" w:line="360" w:lineRule="auto"/>
              <w:jc w:val="left"/>
            </w:pPr>
            <w:r w:rsidRPr="009D4627">
              <w:t>Early Treatment Diabetic Retinopathy Study</w:t>
            </w:r>
          </w:p>
        </w:tc>
      </w:tr>
      <w:tr w:rsidR="00F2479E" w:rsidRPr="009D4627" w14:paraId="13D1A966" w14:textId="77777777" w:rsidTr="00455B58">
        <w:trPr>
          <w:gridAfter w:val="1"/>
          <w:wAfter w:w="108" w:type="dxa"/>
        </w:trPr>
        <w:tc>
          <w:tcPr>
            <w:tcW w:w="1980" w:type="dxa"/>
          </w:tcPr>
          <w:p w14:paraId="76277F71" w14:textId="77777777" w:rsidR="00F2479E" w:rsidRPr="009D4627" w:rsidRDefault="00F2479E" w:rsidP="00455B58">
            <w:pPr>
              <w:spacing w:before="0" w:after="0" w:line="360" w:lineRule="auto"/>
              <w:jc w:val="left"/>
            </w:pPr>
            <w:r w:rsidRPr="009D4627">
              <w:t>GD</w:t>
            </w:r>
            <w:r w:rsidRPr="009D4627">
              <w:tab/>
            </w:r>
            <w:r w:rsidRPr="009D4627">
              <w:tab/>
            </w:r>
          </w:p>
        </w:tc>
        <w:tc>
          <w:tcPr>
            <w:tcW w:w="7036" w:type="dxa"/>
          </w:tcPr>
          <w:p w14:paraId="645108F6" w14:textId="77777777" w:rsidR="00F2479E" w:rsidRPr="009D4627" w:rsidRDefault="00F2479E" w:rsidP="00455B58">
            <w:pPr>
              <w:spacing w:before="0" w:after="0" w:line="360" w:lineRule="auto"/>
              <w:jc w:val="left"/>
            </w:pPr>
            <w:r w:rsidRPr="009D4627">
              <w:t>Gaucher disease</w:t>
            </w:r>
          </w:p>
        </w:tc>
      </w:tr>
      <w:tr w:rsidR="00F2479E" w:rsidRPr="009D4627" w14:paraId="72E05B49" w14:textId="77777777" w:rsidTr="00455B58">
        <w:trPr>
          <w:gridAfter w:val="1"/>
          <w:wAfter w:w="108" w:type="dxa"/>
        </w:trPr>
        <w:tc>
          <w:tcPr>
            <w:tcW w:w="1980" w:type="dxa"/>
          </w:tcPr>
          <w:p w14:paraId="6D5C7456" w14:textId="77777777" w:rsidR="00F2479E" w:rsidRPr="009D4627" w:rsidRDefault="00F2479E" w:rsidP="00455B58">
            <w:pPr>
              <w:spacing w:before="0" w:after="0" w:line="360" w:lineRule="auto"/>
              <w:jc w:val="left"/>
            </w:pPr>
            <w:r w:rsidRPr="009D4627">
              <w:rPr>
                <w:rFonts w:eastAsia="Times New Roman"/>
                <w:color w:val="auto"/>
                <w:lang w:eastAsia="en-MY"/>
              </w:rPr>
              <w:t>HPT</w:t>
            </w:r>
          </w:p>
        </w:tc>
        <w:tc>
          <w:tcPr>
            <w:tcW w:w="7036" w:type="dxa"/>
          </w:tcPr>
          <w:p w14:paraId="0EE7EF9F" w14:textId="77777777" w:rsidR="00F2479E" w:rsidRPr="009D4627" w:rsidRDefault="00F2479E" w:rsidP="00455B58">
            <w:pPr>
              <w:spacing w:before="0" w:after="0" w:line="360" w:lineRule="auto"/>
              <w:jc w:val="left"/>
            </w:pPr>
            <w:r w:rsidRPr="009D4627">
              <w:rPr>
                <w:rFonts w:eastAsia="Times New Roman"/>
                <w:color w:val="auto"/>
                <w:lang w:eastAsia="en-MY"/>
              </w:rPr>
              <w:t xml:space="preserve">hypertension </w:t>
            </w:r>
          </w:p>
        </w:tc>
      </w:tr>
      <w:tr w:rsidR="00F2479E" w:rsidRPr="009D4627" w14:paraId="458209A1" w14:textId="77777777" w:rsidTr="00455B58">
        <w:trPr>
          <w:gridAfter w:val="1"/>
          <w:wAfter w:w="108" w:type="dxa"/>
        </w:trPr>
        <w:tc>
          <w:tcPr>
            <w:tcW w:w="1980" w:type="dxa"/>
          </w:tcPr>
          <w:p w14:paraId="241AE606" w14:textId="77777777" w:rsidR="00F2479E" w:rsidRPr="009D4627" w:rsidRDefault="00F2479E" w:rsidP="00455B58">
            <w:pPr>
              <w:spacing w:before="0" w:after="0" w:line="360" w:lineRule="auto"/>
              <w:jc w:val="left"/>
            </w:pPr>
            <w:r w:rsidRPr="009D4627">
              <w:t>HT</w:t>
            </w:r>
          </w:p>
        </w:tc>
        <w:tc>
          <w:tcPr>
            <w:tcW w:w="7036" w:type="dxa"/>
          </w:tcPr>
          <w:p w14:paraId="36F73A3D" w14:textId="77777777" w:rsidR="00F2479E" w:rsidRPr="009D4627" w:rsidRDefault="00F2479E" w:rsidP="00455B58">
            <w:pPr>
              <w:spacing w:before="0" w:after="0" w:line="360" w:lineRule="auto"/>
              <w:jc w:val="left"/>
            </w:pPr>
            <w:r w:rsidRPr="009D4627">
              <w:t>hypertropia</w:t>
            </w:r>
          </w:p>
        </w:tc>
      </w:tr>
      <w:tr w:rsidR="00F2479E" w:rsidRPr="009D4627" w14:paraId="65E0EA5D" w14:textId="77777777" w:rsidTr="00455B58">
        <w:trPr>
          <w:gridAfter w:val="1"/>
          <w:wAfter w:w="108" w:type="dxa"/>
        </w:trPr>
        <w:tc>
          <w:tcPr>
            <w:tcW w:w="1980" w:type="dxa"/>
          </w:tcPr>
          <w:p w14:paraId="28B84CAB" w14:textId="77777777" w:rsidR="00F2479E" w:rsidRPr="009D4627" w:rsidRDefault="00F2479E" w:rsidP="00455B58">
            <w:pPr>
              <w:spacing w:before="0" w:after="0" w:line="360" w:lineRule="auto"/>
              <w:jc w:val="left"/>
            </w:pPr>
            <w:r w:rsidRPr="009D4627">
              <w:t>Hz</w:t>
            </w:r>
            <w:r w:rsidRPr="009D4627">
              <w:tab/>
            </w:r>
            <w:r w:rsidRPr="009D4627">
              <w:tab/>
            </w:r>
          </w:p>
        </w:tc>
        <w:tc>
          <w:tcPr>
            <w:tcW w:w="7036" w:type="dxa"/>
          </w:tcPr>
          <w:p w14:paraId="4161F42B" w14:textId="77777777" w:rsidR="00F2479E" w:rsidRPr="009D4627" w:rsidRDefault="00F2479E" w:rsidP="00455B58">
            <w:pPr>
              <w:spacing w:before="0" w:after="0" w:line="360" w:lineRule="auto"/>
              <w:jc w:val="left"/>
            </w:pPr>
            <w:r w:rsidRPr="009D4627">
              <w:t>hertz</w:t>
            </w:r>
          </w:p>
        </w:tc>
      </w:tr>
      <w:tr w:rsidR="00F2479E" w:rsidRPr="009D4627" w14:paraId="14A2CB1F" w14:textId="77777777" w:rsidTr="00455B58">
        <w:trPr>
          <w:gridAfter w:val="1"/>
          <w:wAfter w:w="108" w:type="dxa"/>
        </w:trPr>
        <w:tc>
          <w:tcPr>
            <w:tcW w:w="1980" w:type="dxa"/>
          </w:tcPr>
          <w:p w14:paraId="008BDC56" w14:textId="77777777" w:rsidR="00F2479E" w:rsidRPr="009D4627" w:rsidRDefault="00F2479E" w:rsidP="00455B58">
            <w:pPr>
              <w:spacing w:before="0" w:after="0" w:line="360" w:lineRule="auto"/>
            </w:pPr>
            <w:r w:rsidRPr="009D4627">
              <w:t xml:space="preserve">INS </w:t>
            </w:r>
            <w:r w:rsidRPr="009D4627">
              <w:tab/>
            </w:r>
            <w:r w:rsidRPr="009D4627">
              <w:tab/>
            </w:r>
          </w:p>
        </w:tc>
        <w:tc>
          <w:tcPr>
            <w:tcW w:w="7036" w:type="dxa"/>
          </w:tcPr>
          <w:p w14:paraId="10908DF6" w14:textId="77777777" w:rsidR="00F2479E" w:rsidRPr="009D4627" w:rsidRDefault="00F2479E" w:rsidP="00455B58">
            <w:pPr>
              <w:spacing w:before="0" w:after="0" w:line="360" w:lineRule="auto"/>
              <w:jc w:val="left"/>
            </w:pPr>
            <w:r w:rsidRPr="009D4627">
              <w:t>infantile nystagmus syndrome</w:t>
            </w:r>
          </w:p>
        </w:tc>
      </w:tr>
      <w:tr w:rsidR="00F2479E" w:rsidRPr="009D4627" w14:paraId="3F5DBE72" w14:textId="77777777" w:rsidTr="00455B58">
        <w:trPr>
          <w:gridAfter w:val="1"/>
          <w:wAfter w:w="108" w:type="dxa"/>
        </w:trPr>
        <w:tc>
          <w:tcPr>
            <w:tcW w:w="1980" w:type="dxa"/>
          </w:tcPr>
          <w:p w14:paraId="44571E72" w14:textId="77777777" w:rsidR="00F2479E" w:rsidRPr="009D4627" w:rsidRDefault="00F2479E" w:rsidP="00455B58">
            <w:pPr>
              <w:spacing w:before="0" w:after="0" w:line="360" w:lineRule="auto"/>
            </w:pPr>
            <w:r w:rsidRPr="009D4627">
              <w:t>IR</w:t>
            </w:r>
            <w:r w:rsidRPr="009D4627">
              <w:tab/>
            </w:r>
            <w:r w:rsidRPr="009D4627">
              <w:tab/>
            </w:r>
          </w:p>
        </w:tc>
        <w:tc>
          <w:tcPr>
            <w:tcW w:w="7036" w:type="dxa"/>
          </w:tcPr>
          <w:p w14:paraId="5D37C3C2" w14:textId="77777777" w:rsidR="00F2479E" w:rsidRPr="009D4627" w:rsidRDefault="00F2479E" w:rsidP="00455B58">
            <w:pPr>
              <w:spacing w:before="0" w:after="0" w:line="360" w:lineRule="auto"/>
              <w:jc w:val="left"/>
            </w:pPr>
            <w:r w:rsidRPr="009D4627">
              <w:t>infrared</w:t>
            </w:r>
          </w:p>
        </w:tc>
      </w:tr>
      <w:tr w:rsidR="00F2479E" w:rsidRPr="009D4627" w14:paraId="44FBF701" w14:textId="77777777" w:rsidTr="00455B58">
        <w:trPr>
          <w:gridAfter w:val="1"/>
          <w:wAfter w:w="108" w:type="dxa"/>
        </w:trPr>
        <w:tc>
          <w:tcPr>
            <w:tcW w:w="1980" w:type="dxa"/>
          </w:tcPr>
          <w:p w14:paraId="0A5FF482" w14:textId="77777777" w:rsidR="00F2479E" w:rsidRPr="009D4627" w:rsidRDefault="00F2479E" w:rsidP="00455B58">
            <w:pPr>
              <w:spacing w:before="0" w:after="0" w:line="360" w:lineRule="auto"/>
            </w:pPr>
            <w:r w:rsidRPr="009D4627">
              <w:t>LE</w:t>
            </w:r>
            <w:r w:rsidRPr="009D4627">
              <w:tab/>
            </w:r>
            <w:r w:rsidRPr="009D4627">
              <w:tab/>
            </w:r>
          </w:p>
        </w:tc>
        <w:tc>
          <w:tcPr>
            <w:tcW w:w="7036" w:type="dxa"/>
          </w:tcPr>
          <w:p w14:paraId="1E33D195" w14:textId="77777777" w:rsidR="00F2479E" w:rsidRPr="009D4627" w:rsidRDefault="00F2479E" w:rsidP="00455B58">
            <w:pPr>
              <w:spacing w:before="0" w:after="0" w:line="360" w:lineRule="auto"/>
              <w:jc w:val="left"/>
            </w:pPr>
            <w:r w:rsidRPr="009D4627">
              <w:t>left eye</w:t>
            </w:r>
          </w:p>
        </w:tc>
      </w:tr>
      <w:tr w:rsidR="00F2479E" w:rsidRPr="009D4627" w14:paraId="4F7D211E" w14:textId="77777777" w:rsidTr="00455B58">
        <w:trPr>
          <w:gridAfter w:val="1"/>
          <w:wAfter w:w="108" w:type="dxa"/>
        </w:trPr>
        <w:tc>
          <w:tcPr>
            <w:tcW w:w="1980" w:type="dxa"/>
          </w:tcPr>
          <w:p w14:paraId="113FABD8" w14:textId="77777777" w:rsidR="00F2479E" w:rsidRPr="009D4627" w:rsidRDefault="00F2479E" w:rsidP="00455B58">
            <w:pPr>
              <w:spacing w:before="0" w:after="0" w:line="360" w:lineRule="auto"/>
            </w:pPr>
            <w:r w:rsidRPr="009D4627">
              <w:lastRenderedPageBreak/>
              <w:t>LED</w:t>
            </w:r>
            <w:r w:rsidRPr="009D4627">
              <w:tab/>
            </w:r>
            <w:r w:rsidRPr="009D4627">
              <w:tab/>
            </w:r>
          </w:p>
        </w:tc>
        <w:tc>
          <w:tcPr>
            <w:tcW w:w="7036" w:type="dxa"/>
          </w:tcPr>
          <w:p w14:paraId="52B04613" w14:textId="77777777" w:rsidR="00F2479E" w:rsidRPr="009D4627" w:rsidRDefault="00F2479E" w:rsidP="00455B58">
            <w:pPr>
              <w:spacing w:before="0" w:after="0" w:line="360" w:lineRule="auto"/>
              <w:jc w:val="left"/>
            </w:pPr>
            <w:r w:rsidRPr="009D4627">
              <w:t>light-emitting diodes</w:t>
            </w:r>
          </w:p>
        </w:tc>
      </w:tr>
      <w:tr w:rsidR="00F2479E" w:rsidRPr="009D4627" w14:paraId="1A4AE054" w14:textId="77777777" w:rsidTr="00455B58">
        <w:trPr>
          <w:gridAfter w:val="1"/>
          <w:wAfter w:w="108" w:type="dxa"/>
        </w:trPr>
        <w:tc>
          <w:tcPr>
            <w:tcW w:w="1980" w:type="dxa"/>
          </w:tcPr>
          <w:p w14:paraId="0E6C4A0D" w14:textId="77777777" w:rsidR="00F2479E" w:rsidRPr="009D4627" w:rsidRDefault="00F2479E" w:rsidP="00455B58">
            <w:pPr>
              <w:spacing w:before="0" w:after="0" w:line="360" w:lineRule="auto"/>
            </w:pPr>
            <w:r w:rsidRPr="009D4627">
              <w:t>LMM</w:t>
            </w:r>
          </w:p>
        </w:tc>
        <w:tc>
          <w:tcPr>
            <w:tcW w:w="7036" w:type="dxa"/>
          </w:tcPr>
          <w:p w14:paraId="6B619981" w14:textId="77777777" w:rsidR="00F2479E" w:rsidRPr="009D4627" w:rsidRDefault="00F2479E" w:rsidP="00455B58">
            <w:pPr>
              <w:spacing w:before="0" w:after="0" w:line="360" w:lineRule="auto"/>
              <w:jc w:val="left"/>
            </w:pPr>
            <w:r w:rsidRPr="009D4627">
              <w:t>linear mixed model</w:t>
            </w:r>
          </w:p>
        </w:tc>
      </w:tr>
      <w:tr w:rsidR="00F2479E" w:rsidRPr="009D4627" w14:paraId="5A09C576" w14:textId="77777777" w:rsidTr="00455B58">
        <w:trPr>
          <w:gridAfter w:val="1"/>
          <w:wAfter w:w="108" w:type="dxa"/>
        </w:trPr>
        <w:tc>
          <w:tcPr>
            <w:tcW w:w="1980" w:type="dxa"/>
          </w:tcPr>
          <w:p w14:paraId="458CB0BC" w14:textId="77777777" w:rsidR="00F2479E" w:rsidRPr="009D4627" w:rsidRDefault="00F2479E" w:rsidP="00455B58">
            <w:pPr>
              <w:spacing w:before="0" w:after="0" w:line="360" w:lineRule="auto"/>
              <w:jc w:val="left"/>
            </w:pPr>
            <w:r w:rsidRPr="009D4627">
              <w:t>LSD</w:t>
            </w:r>
            <w:r w:rsidRPr="009D4627">
              <w:tab/>
            </w:r>
            <w:r w:rsidRPr="009D4627">
              <w:tab/>
            </w:r>
          </w:p>
        </w:tc>
        <w:tc>
          <w:tcPr>
            <w:tcW w:w="7036" w:type="dxa"/>
          </w:tcPr>
          <w:p w14:paraId="4164FB4E" w14:textId="77777777" w:rsidR="00F2479E" w:rsidRPr="009D4627" w:rsidRDefault="00F2479E" w:rsidP="00455B58">
            <w:pPr>
              <w:spacing w:before="0" w:after="0" w:line="360" w:lineRule="auto"/>
              <w:jc w:val="left"/>
            </w:pPr>
            <w:r w:rsidRPr="009D4627">
              <w:t>least significant difference</w:t>
            </w:r>
          </w:p>
        </w:tc>
      </w:tr>
      <w:tr w:rsidR="00F2479E" w:rsidRPr="009D4627" w14:paraId="0A0362BD" w14:textId="77777777" w:rsidTr="00455B58">
        <w:trPr>
          <w:gridAfter w:val="1"/>
          <w:wAfter w:w="108" w:type="dxa"/>
        </w:trPr>
        <w:tc>
          <w:tcPr>
            <w:tcW w:w="1980" w:type="dxa"/>
          </w:tcPr>
          <w:p w14:paraId="43E92FCF" w14:textId="77777777" w:rsidR="00F2479E" w:rsidRPr="009D4627" w:rsidRDefault="00F2479E" w:rsidP="00455B58">
            <w:pPr>
              <w:spacing w:before="0" w:after="0" w:line="360" w:lineRule="auto"/>
              <w:jc w:val="left"/>
            </w:pPr>
            <w:r w:rsidRPr="009D4627">
              <w:t>MF</w:t>
            </w:r>
          </w:p>
        </w:tc>
        <w:tc>
          <w:tcPr>
            <w:tcW w:w="7036" w:type="dxa"/>
          </w:tcPr>
          <w:p w14:paraId="63DC0046" w14:textId="77777777" w:rsidR="00F2479E" w:rsidRPr="009D4627" w:rsidRDefault="00F2479E" w:rsidP="00455B58">
            <w:pPr>
              <w:spacing w:before="0" w:after="0" w:line="360" w:lineRule="auto"/>
              <w:jc w:val="left"/>
            </w:pPr>
            <w:r w:rsidRPr="009D4627">
              <w:t>multifocal</w:t>
            </w:r>
          </w:p>
        </w:tc>
      </w:tr>
      <w:tr w:rsidR="00F2479E" w:rsidRPr="009D4627" w14:paraId="46E6C6F9" w14:textId="77777777" w:rsidTr="00455B58">
        <w:trPr>
          <w:gridAfter w:val="1"/>
          <w:wAfter w:w="108" w:type="dxa"/>
        </w:trPr>
        <w:tc>
          <w:tcPr>
            <w:tcW w:w="1980" w:type="dxa"/>
          </w:tcPr>
          <w:p w14:paraId="3EEF8FF4" w14:textId="77777777" w:rsidR="00F2479E" w:rsidRPr="009D4627" w:rsidRDefault="00F2479E" w:rsidP="00455B58">
            <w:pPr>
              <w:spacing w:before="0" w:after="0" w:line="360" w:lineRule="auto"/>
              <w:jc w:val="left"/>
            </w:pPr>
            <w:r w:rsidRPr="009D4627">
              <w:t>MLF</w:t>
            </w:r>
          </w:p>
        </w:tc>
        <w:tc>
          <w:tcPr>
            <w:tcW w:w="7036" w:type="dxa"/>
          </w:tcPr>
          <w:p w14:paraId="07724C53" w14:textId="77777777" w:rsidR="00F2479E" w:rsidRPr="009D4627" w:rsidRDefault="00F2479E" w:rsidP="00455B58">
            <w:pPr>
              <w:spacing w:before="0" w:after="0" w:line="360" w:lineRule="auto"/>
              <w:jc w:val="left"/>
            </w:pPr>
            <w:r w:rsidRPr="009D4627">
              <w:rPr>
                <w:rFonts w:eastAsia="Times New Roman"/>
                <w:color w:val="auto"/>
                <w:lang w:eastAsia="en-MY"/>
              </w:rPr>
              <w:t>medial longitudinal fasciculus</w:t>
            </w:r>
          </w:p>
        </w:tc>
      </w:tr>
      <w:tr w:rsidR="00DE69C0" w:rsidRPr="009D4627" w14:paraId="2C7971EF" w14:textId="77777777" w:rsidTr="00455B58">
        <w:trPr>
          <w:gridAfter w:val="1"/>
          <w:wAfter w:w="108" w:type="dxa"/>
        </w:trPr>
        <w:tc>
          <w:tcPr>
            <w:tcW w:w="1980" w:type="dxa"/>
          </w:tcPr>
          <w:p w14:paraId="769FD3A7" w14:textId="7E1B94F1" w:rsidR="00DE69C0" w:rsidRPr="009D4627" w:rsidRDefault="00DE69C0" w:rsidP="00455B58">
            <w:pPr>
              <w:spacing w:before="0" w:after="0" w:line="360" w:lineRule="auto"/>
              <w:jc w:val="left"/>
            </w:pPr>
            <w:r w:rsidRPr="009D4627">
              <w:t>MRA</w:t>
            </w:r>
          </w:p>
        </w:tc>
        <w:tc>
          <w:tcPr>
            <w:tcW w:w="7036" w:type="dxa"/>
          </w:tcPr>
          <w:p w14:paraId="6C87B00A" w14:textId="4A14B2DE" w:rsidR="00DE69C0" w:rsidRPr="009D4627" w:rsidRDefault="00DE69C0" w:rsidP="00455B58">
            <w:pPr>
              <w:spacing w:before="0" w:after="0" w:line="360" w:lineRule="auto"/>
              <w:jc w:val="left"/>
              <w:rPr>
                <w:rFonts w:eastAsia="Times New Roman"/>
                <w:color w:val="auto"/>
                <w:lang w:eastAsia="en-MY"/>
              </w:rPr>
            </w:pPr>
            <w:r w:rsidRPr="009D4627">
              <w:t>magnetic resonance angiography</w:t>
            </w:r>
          </w:p>
        </w:tc>
      </w:tr>
      <w:tr w:rsidR="00F2479E" w:rsidRPr="009D4627" w14:paraId="0CA51E1C" w14:textId="77777777" w:rsidTr="00455B58">
        <w:trPr>
          <w:gridAfter w:val="1"/>
          <w:wAfter w:w="108" w:type="dxa"/>
        </w:trPr>
        <w:tc>
          <w:tcPr>
            <w:tcW w:w="1980" w:type="dxa"/>
          </w:tcPr>
          <w:p w14:paraId="4002FA4D" w14:textId="77777777" w:rsidR="00F2479E" w:rsidRPr="009D4627" w:rsidRDefault="00F2479E" w:rsidP="004F5AF6">
            <w:pPr>
              <w:spacing w:before="0" w:after="0" w:line="360" w:lineRule="auto"/>
              <w:jc w:val="left"/>
            </w:pPr>
            <w:r w:rsidRPr="009D4627">
              <w:t>MRI</w:t>
            </w:r>
            <w:r w:rsidRPr="009D4627">
              <w:tab/>
            </w:r>
          </w:p>
        </w:tc>
        <w:tc>
          <w:tcPr>
            <w:tcW w:w="7036" w:type="dxa"/>
          </w:tcPr>
          <w:p w14:paraId="4D4935E3" w14:textId="77777777" w:rsidR="00F2479E" w:rsidRPr="009D4627" w:rsidRDefault="00F2479E" w:rsidP="004F5AF6">
            <w:pPr>
              <w:spacing w:before="0" w:after="0" w:line="360" w:lineRule="auto"/>
              <w:jc w:val="left"/>
            </w:pPr>
            <w:r w:rsidRPr="009D4627">
              <w:t>magnetic resonance imaging</w:t>
            </w:r>
          </w:p>
        </w:tc>
      </w:tr>
      <w:tr w:rsidR="00F2479E" w:rsidRPr="009D4627" w14:paraId="5660C4E1" w14:textId="77777777" w:rsidTr="00455B58">
        <w:trPr>
          <w:gridAfter w:val="1"/>
          <w:wAfter w:w="108" w:type="dxa"/>
        </w:trPr>
        <w:tc>
          <w:tcPr>
            <w:tcW w:w="1980" w:type="dxa"/>
          </w:tcPr>
          <w:p w14:paraId="3580C714" w14:textId="77777777" w:rsidR="00F2479E" w:rsidRPr="009D4627" w:rsidRDefault="00F2479E" w:rsidP="004F5AF6">
            <w:pPr>
              <w:spacing w:before="0" w:after="0" w:line="360" w:lineRule="auto"/>
              <w:jc w:val="left"/>
            </w:pPr>
            <w:proofErr w:type="spellStart"/>
            <w:r w:rsidRPr="009D4627">
              <w:t>ms</w:t>
            </w:r>
            <w:proofErr w:type="spellEnd"/>
            <w:r w:rsidRPr="009D4627">
              <w:tab/>
            </w:r>
            <w:r w:rsidRPr="009D4627">
              <w:tab/>
            </w:r>
          </w:p>
        </w:tc>
        <w:tc>
          <w:tcPr>
            <w:tcW w:w="7036" w:type="dxa"/>
          </w:tcPr>
          <w:p w14:paraId="286218DE" w14:textId="77777777" w:rsidR="00F2479E" w:rsidRPr="009D4627" w:rsidRDefault="00F2479E" w:rsidP="004F5AF6">
            <w:pPr>
              <w:spacing w:before="0" w:after="0" w:line="360" w:lineRule="auto"/>
              <w:jc w:val="left"/>
            </w:pPr>
            <w:r w:rsidRPr="009D4627">
              <w:t>milliseconds</w:t>
            </w:r>
          </w:p>
        </w:tc>
      </w:tr>
      <w:tr w:rsidR="00F2479E" w:rsidRPr="009D4627" w14:paraId="4B9C7464" w14:textId="77777777" w:rsidTr="00455B58">
        <w:trPr>
          <w:gridAfter w:val="1"/>
          <w:wAfter w:w="108" w:type="dxa"/>
        </w:trPr>
        <w:tc>
          <w:tcPr>
            <w:tcW w:w="1980" w:type="dxa"/>
          </w:tcPr>
          <w:p w14:paraId="596DC979" w14:textId="77777777" w:rsidR="00F2479E" w:rsidRPr="009D4627" w:rsidRDefault="00F2479E" w:rsidP="004F5AF6">
            <w:pPr>
              <w:spacing w:before="0" w:after="0" w:line="360" w:lineRule="auto"/>
            </w:pPr>
            <w:r w:rsidRPr="009D4627">
              <w:t>MSA</w:t>
            </w:r>
            <w:r w:rsidRPr="009D4627">
              <w:tab/>
            </w:r>
            <w:r w:rsidRPr="009D4627">
              <w:tab/>
              <w:t xml:space="preserve"> </w:t>
            </w:r>
          </w:p>
        </w:tc>
        <w:tc>
          <w:tcPr>
            <w:tcW w:w="7036" w:type="dxa"/>
          </w:tcPr>
          <w:p w14:paraId="63D709B6" w14:textId="77777777" w:rsidR="00F2479E" w:rsidRPr="009D4627" w:rsidRDefault="00F2479E" w:rsidP="004F5AF6">
            <w:pPr>
              <w:spacing w:before="0" w:after="0" w:line="360" w:lineRule="auto"/>
              <w:jc w:val="left"/>
            </w:pPr>
            <w:r w:rsidRPr="009D4627">
              <w:t>multiple system atrophy</w:t>
            </w:r>
          </w:p>
        </w:tc>
      </w:tr>
      <w:tr w:rsidR="00F2479E" w:rsidRPr="009D4627" w14:paraId="58722627" w14:textId="77777777" w:rsidTr="00455B58">
        <w:trPr>
          <w:gridAfter w:val="1"/>
          <w:wAfter w:w="108" w:type="dxa"/>
        </w:trPr>
        <w:tc>
          <w:tcPr>
            <w:tcW w:w="1980" w:type="dxa"/>
          </w:tcPr>
          <w:p w14:paraId="4C2A0209" w14:textId="77777777" w:rsidR="00F2479E" w:rsidRPr="009D4627" w:rsidRDefault="00F2479E" w:rsidP="004F5AF6">
            <w:pPr>
              <w:spacing w:before="0" w:after="0" w:line="360" w:lineRule="auto"/>
            </w:pPr>
            <w:r w:rsidRPr="009D4627">
              <w:t>OKN</w:t>
            </w:r>
            <w:r w:rsidRPr="009D4627">
              <w:tab/>
            </w:r>
            <w:r w:rsidRPr="009D4627">
              <w:tab/>
            </w:r>
          </w:p>
        </w:tc>
        <w:tc>
          <w:tcPr>
            <w:tcW w:w="7036" w:type="dxa"/>
          </w:tcPr>
          <w:p w14:paraId="029CE7B8" w14:textId="2AA1B434" w:rsidR="005C5883" w:rsidRPr="009D4627" w:rsidRDefault="00F2479E" w:rsidP="004F5AF6">
            <w:pPr>
              <w:spacing w:before="0" w:after="0" w:line="360" w:lineRule="auto"/>
              <w:jc w:val="left"/>
            </w:pPr>
            <w:r w:rsidRPr="009D4627">
              <w:t>optokinetic nystagmus</w:t>
            </w:r>
          </w:p>
        </w:tc>
      </w:tr>
      <w:tr w:rsidR="005C5883" w:rsidRPr="009D4627" w14:paraId="42960E65" w14:textId="77777777" w:rsidTr="00455B58">
        <w:trPr>
          <w:gridAfter w:val="1"/>
          <w:wAfter w:w="108" w:type="dxa"/>
        </w:trPr>
        <w:tc>
          <w:tcPr>
            <w:tcW w:w="1980" w:type="dxa"/>
          </w:tcPr>
          <w:p w14:paraId="68892A20" w14:textId="059676D1" w:rsidR="005C5883" w:rsidRPr="009D4627" w:rsidRDefault="005C5883" w:rsidP="004F5AF6">
            <w:pPr>
              <w:spacing w:before="0" w:after="0" w:line="360" w:lineRule="auto"/>
            </w:pPr>
            <w:r w:rsidRPr="009D4627">
              <w:t>ONP</w:t>
            </w:r>
          </w:p>
        </w:tc>
        <w:tc>
          <w:tcPr>
            <w:tcW w:w="7036" w:type="dxa"/>
          </w:tcPr>
          <w:p w14:paraId="71220E93" w14:textId="5136A189" w:rsidR="005C5883" w:rsidRPr="009D4627" w:rsidRDefault="005C5883" w:rsidP="004F5AF6">
            <w:pPr>
              <w:spacing w:before="0" w:after="0" w:line="360" w:lineRule="auto"/>
              <w:jc w:val="left"/>
            </w:pPr>
            <w:r w:rsidRPr="009D4627">
              <w:t>Ocular nerve palsy</w:t>
            </w:r>
          </w:p>
        </w:tc>
      </w:tr>
      <w:tr w:rsidR="00F2479E" w:rsidRPr="009D4627" w14:paraId="5D8E0C49" w14:textId="77777777" w:rsidTr="00455B58">
        <w:trPr>
          <w:gridAfter w:val="1"/>
          <w:wAfter w:w="108" w:type="dxa"/>
        </w:trPr>
        <w:tc>
          <w:tcPr>
            <w:tcW w:w="1980" w:type="dxa"/>
          </w:tcPr>
          <w:p w14:paraId="2E2E9BBC" w14:textId="77777777" w:rsidR="00F2479E" w:rsidRPr="009D4627" w:rsidRDefault="00F2479E" w:rsidP="004F5AF6">
            <w:pPr>
              <w:spacing w:before="0" w:after="0" w:line="360" w:lineRule="auto"/>
            </w:pPr>
            <w:r w:rsidRPr="009D4627">
              <w:t>OMT</w:t>
            </w:r>
          </w:p>
        </w:tc>
        <w:tc>
          <w:tcPr>
            <w:tcW w:w="7036" w:type="dxa"/>
          </w:tcPr>
          <w:p w14:paraId="4D19458D" w14:textId="77777777" w:rsidR="00F2479E" w:rsidRPr="009D4627" w:rsidRDefault="00F2479E" w:rsidP="004F5AF6">
            <w:pPr>
              <w:spacing w:before="0" w:after="0" w:line="360" w:lineRule="auto"/>
              <w:jc w:val="left"/>
            </w:pPr>
            <w:r w:rsidRPr="009D4627">
              <w:t>ocular motility test</w:t>
            </w:r>
          </w:p>
        </w:tc>
      </w:tr>
      <w:tr w:rsidR="00F2479E" w:rsidRPr="009D4627" w14:paraId="5E74E885" w14:textId="77777777" w:rsidTr="00455B58">
        <w:trPr>
          <w:gridAfter w:val="1"/>
          <w:wAfter w:w="108" w:type="dxa"/>
        </w:trPr>
        <w:tc>
          <w:tcPr>
            <w:tcW w:w="1980" w:type="dxa"/>
          </w:tcPr>
          <w:p w14:paraId="2D7A3319" w14:textId="77777777" w:rsidR="00F2479E" w:rsidRPr="009D4627" w:rsidRDefault="00F2479E" w:rsidP="004F5AF6">
            <w:pPr>
              <w:spacing w:before="0" w:after="0" w:line="360" w:lineRule="auto"/>
            </w:pPr>
            <w:r w:rsidRPr="009D4627">
              <w:t>PALs</w:t>
            </w:r>
          </w:p>
        </w:tc>
        <w:tc>
          <w:tcPr>
            <w:tcW w:w="7036" w:type="dxa"/>
          </w:tcPr>
          <w:p w14:paraId="4407131C" w14:textId="77777777" w:rsidR="00F2479E" w:rsidRPr="009D4627" w:rsidRDefault="00F2479E" w:rsidP="004F5AF6">
            <w:pPr>
              <w:spacing w:before="0" w:after="0" w:line="360" w:lineRule="auto"/>
              <w:jc w:val="left"/>
            </w:pPr>
            <w:r w:rsidRPr="009D4627">
              <w:t>progressive added lenses</w:t>
            </w:r>
          </w:p>
        </w:tc>
      </w:tr>
      <w:tr w:rsidR="00F2479E" w:rsidRPr="009D4627" w14:paraId="2E0D7646" w14:textId="77777777" w:rsidTr="00455B58">
        <w:trPr>
          <w:gridAfter w:val="1"/>
          <w:wAfter w:w="108" w:type="dxa"/>
        </w:trPr>
        <w:tc>
          <w:tcPr>
            <w:tcW w:w="1980" w:type="dxa"/>
          </w:tcPr>
          <w:p w14:paraId="46091DDE" w14:textId="77777777" w:rsidR="00F2479E" w:rsidRPr="009D4627" w:rsidRDefault="00F2479E" w:rsidP="004F5AF6">
            <w:pPr>
              <w:spacing w:before="0" w:after="0" w:line="360" w:lineRule="auto"/>
              <w:jc w:val="left"/>
            </w:pPr>
            <w:r w:rsidRPr="009D4627">
              <w:t>PC</w:t>
            </w:r>
            <w:r w:rsidRPr="009D4627">
              <w:tab/>
            </w:r>
            <w:r w:rsidRPr="009D4627">
              <w:tab/>
            </w:r>
          </w:p>
        </w:tc>
        <w:tc>
          <w:tcPr>
            <w:tcW w:w="7036" w:type="dxa"/>
          </w:tcPr>
          <w:p w14:paraId="66CBA889" w14:textId="77777777" w:rsidR="00F2479E" w:rsidRPr="009D4627" w:rsidRDefault="00F2479E" w:rsidP="004F5AF6">
            <w:pPr>
              <w:spacing w:before="0" w:after="0" w:line="360" w:lineRule="auto"/>
              <w:jc w:val="left"/>
            </w:pPr>
            <w:r w:rsidRPr="009D4627">
              <w:t>personal computer</w:t>
            </w:r>
          </w:p>
        </w:tc>
      </w:tr>
      <w:tr w:rsidR="00F2479E" w:rsidRPr="009D4627" w14:paraId="3FE71DEA" w14:textId="77777777" w:rsidTr="00455B58">
        <w:trPr>
          <w:gridAfter w:val="1"/>
          <w:wAfter w:w="108" w:type="dxa"/>
        </w:trPr>
        <w:tc>
          <w:tcPr>
            <w:tcW w:w="1980" w:type="dxa"/>
          </w:tcPr>
          <w:p w14:paraId="557F217D" w14:textId="77777777" w:rsidR="00F2479E" w:rsidRPr="009D4627" w:rsidRDefault="00F2479E" w:rsidP="004F5AF6">
            <w:pPr>
              <w:spacing w:before="0" w:after="0" w:line="360" w:lineRule="auto"/>
              <w:jc w:val="left"/>
            </w:pPr>
            <w:r w:rsidRPr="009D4627">
              <w:t>PCT</w:t>
            </w:r>
          </w:p>
        </w:tc>
        <w:tc>
          <w:tcPr>
            <w:tcW w:w="7036" w:type="dxa"/>
          </w:tcPr>
          <w:p w14:paraId="09348BE2" w14:textId="77777777" w:rsidR="00F2479E" w:rsidRPr="009D4627" w:rsidRDefault="00F2479E" w:rsidP="004F5AF6">
            <w:pPr>
              <w:spacing w:before="0" w:after="0" w:line="360" w:lineRule="auto"/>
              <w:jc w:val="left"/>
            </w:pPr>
            <w:r w:rsidRPr="009D4627">
              <w:t>prism cover test</w:t>
            </w:r>
          </w:p>
        </w:tc>
      </w:tr>
      <w:tr w:rsidR="00F2479E" w:rsidRPr="009D4627" w14:paraId="7FAFF294" w14:textId="77777777" w:rsidTr="00455B58">
        <w:trPr>
          <w:gridAfter w:val="1"/>
          <w:wAfter w:w="108" w:type="dxa"/>
        </w:trPr>
        <w:tc>
          <w:tcPr>
            <w:tcW w:w="1980" w:type="dxa"/>
          </w:tcPr>
          <w:p w14:paraId="2073786B" w14:textId="77777777" w:rsidR="00F2479E" w:rsidRPr="009D4627" w:rsidRDefault="00F2479E" w:rsidP="004F5AF6">
            <w:pPr>
              <w:spacing w:before="0" w:after="0" w:line="360" w:lineRule="auto"/>
            </w:pPr>
            <w:r w:rsidRPr="009D4627">
              <w:t>PD</w:t>
            </w:r>
            <w:r w:rsidRPr="009D4627">
              <w:tab/>
            </w:r>
            <w:r w:rsidRPr="009D4627">
              <w:tab/>
              <w:t xml:space="preserve"> </w:t>
            </w:r>
          </w:p>
        </w:tc>
        <w:tc>
          <w:tcPr>
            <w:tcW w:w="7036" w:type="dxa"/>
          </w:tcPr>
          <w:p w14:paraId="08DF759E" w14:textId="77777777" w:rsidR="00F2479E" w:rsidRPr="009D4627" w:rsidRDefault="00F2479E" w:rsidP="004F5AF6">
            <w:pPr>
              <w:spacing w:before="0" w:after="0" w:line="360" w:lineRule="auto"/>
              <w:jc w:val="left"/>
            </w:pPr>
            <w:r w:rsidRPr="009D4627">
              <w:t>Parkinson's disease</w:t>
            </w:r>
          </w:p>
        </w:tc>
      </w:tr>
      <w:tr w:rsidR="00455335" w:rsidRPr="009D4627" w14:paraId="2614BE69" w14:textId="77777777" w:rsidTr="00455B58">
        <w:tc>
          <w:tcPr>
            <w:tcW w:w="1980" w:type="dxa"/>
          </w:tcPr>
          <w:p w14:paraId="486B5CCA" w14:textId="0B999800" w:rsidR="00455335" w:rsidRPr="009D4627" w:rsidRDefault="00455335" w:rsidP="004F5AF6">
            <w:pPr>
              <w:spacing w:before="0" w:after="0" w:line="360" w:lineRule="auto"/>
            </w:pPr>
            <w:r w:rsidRPr="009D4627">
              <w:t>POG</w:t>
            </w:r>
          </w:p>
        </w:tc>
        <w:tc>
          <w:tcPr>
            <w:tcW w:w="7036" w:type="dxa"/>
            <w:gridSpan w:val="2"/>
          </w:tcPr>
          <w:p w14:paraId="59D39C01" w14:textId="74C3C8DA" w:rsidR="00455335" w:rsidRPr="009D4627" w:rsidRDefault="00455335" w:rsidP="004F5AF6">
            <w:pPr>
              <w:spacing w:before="0" w:after="0" w:line="360" w:lineRule="auto"/>
              <w:jc w:val="left"/>
            </w:pPr>
            <w:r w:rsidRPr="009D4627">
              <w:t>Position of gaze</w:t>
            </w:r>
          </w:p>
        </w:tc>
      </w:tr>
      <w:tr w:rsidR="00F2479E" w:rsidRPr="009D4627" w14:paraId="48306210" w14:textId="77777777" w:rsidTr="00455B58">
        <w:trPr>
          <w:gridAfter w:val="1"/>
          <w:wAfter w:w="108" w:type="dxa"/>
        </w:trPr>
        <w:tc>
          <w:tcPr>
            <w:tcW w:w="1980" w:type="dxa"/>
          </w:tcPr>
          <w:p w14:paraId="1BFA2336" w14:textId="77777777" w:rsidR="00F2479E" w:rsidRPr="009D4627" w:rsidRDefault="00F2479E" w:rsidP="004F5AF6">
            <w:pPr>
              <w:spacing w:before="0" w:after="0" w:line="360" w:lineRule="auto"/>
              <w:jc w:val="left"/>
            </w:pPr>
            <w:r w:rsidRPr="009D4627">
              <w:t>PP</w:t>
            </w:r>
            <w:r w:rsidRPr="009D4627">
              <w:tab/>
            </w:r>
            <w:r w:rsidRPr="009D4627">
              <w:tab/>
            </w:r>
          </w:p>
        </w:tc>
        <w:tc>
          <w:tcPr>
            <w:tcW w:w="7036" w:type="dxa"/>
          </w:tcPr>
          <w:p w14:paraId="66258371" w14:textId="77777777" w:rsidR="00F2479E" w:rsidRPr="009D4627" w:rsidRDefault="00F2479E" w:rsidP="004F5AF6">
            <w:pPr>
              <w:spacing w:before="0" w:after="0" w:line="360" w:lineRule="auto"/>
              <w:jc w:val="left"/>
            </w:pPr>
            <w:r w:rsidRPr="009D4627">
              <w:t>primary position</w:t>
            </w:r>
          </w:p>
        </w:tc>
      </w:tr>
      <w:tr w:rsidR="00F2479E" w:rsidRPr="009D4627" w14:paraId="229A50F0" w14:textId="77777777" w:rsidTr="00455B58">
        <w:trPr>
          <w:gridAfter w:val="1"/>
          <w:wAfter w:w="108" w:type="dxa"/>
        </w:trPr>
        <w:tc>
          <w:tcPr>
            <w:tcW w:w="1980" w:type="dxa"/>
          </w:tcPr>
          <w:p w14:paraId="032EDBC1" w14:textId="77777777" w:rsidR="00F2479E" w:rsidRPr="009D4627" w:rsidRDefault="00F2479E" w:rsidP="004F5AF6">
            <w:pPr>
              <w:spacing w:before="0" w:after="0" w:line="360" w:lineRule="auto"/>
              <w:jc w:val="left"/>
            </w:pPr>
            <w:r w:rsidRPr="009D4627">
              <w:t>PPD</w:t>
            </w:r>
            <w:r w:rsidRPr="009D4627">
              <w:tab/>
            </w:r>
            <w:r w:rsidRPr="009D4627">
              <w:tab/>
            </w:r>
          </w:p>
        </w:tc>
        <w:tc>
          <w:tcPr>
            <w:tcW w:w="7036" w:type="dxa"/>
          </w:tcPr>
          <w:p w14:paraId="37B129B8" w14:textId="77777777" w:rsidR="00F2479E" w:rsidRPr="009D4627" w:rsidRDefault="00F2479E" w:rsidP="004F5AF6">
            <w:pPr>
              <w:spacing w:before="0" w:after="0" w:line="360" w:lineRule="auto"/>
              <w:jc w:val="left"/>
            </w:pPr>
            <w:r w:rsidRPr="009D4627">
              <w:t>pixels per degree</w:t>
            </w:r>
          </w:p>
        </w:tc>
      </w:tr>
      <w:tr w:rsidR="00F2479E" w:rsidRPr="009D4627" w14:paraId="37B4666D" w14:textId="77777777" w:rsidTr="00455B58">
        <w:trPr>
          <w:gridAfter w:val="1"/>
          <w:wAfter w:w="108" w:type="dxa"/>
        </w:trPr>
        <w:tc>
          <w:tcPr>
            <w:tcW w:w="1980" w:type="dxa"/>
          </w:tcPr>
          <w:p w14:paraId="151FD08C" w14:textId="77777777" w:rsidR="00F2479E" w:rsidRPr="009D4627" w:rsidRDefault="00F2479E" w:rsidP="004F5AF6">
            <w:pPr>
              <w:spacing w:before="0" w:after="0" w:line="360" w:lineRule="auto"/>
            </w:pPr>
            <w:r w:rsidRPr="009D4627">
              <w:t>PSP</w:t>
            </w:r>
            <w:r w:rsidRPr="009D4627">
              <w:tab/>
            </w:r>
            <w:r w:rsidRPr="009D4627">
              <w:tab/>
              <w:t xml:space="preserve"> </w:t>
            </w:r>
          </w:p>
        </w:tc>
        <w:tc>
          <w:tcPr>
            <w:tcW w:w="7036" w:type="dxa"/>
          </w:tcPr>
          <w:p w14:paraId="009037AC" w14:textId="77777777" w:rsidR="00F2479E" w:rsidRPr="009D4627" w:rsidRDefault="00F2479E" w:rsidP="004F5AF6">
            <w:pPr>
              <w:spacing w:before="0" w:after="0" w:line="360" w:lineRule="auto"/>
              <w:jc w:val="left"/>
            </w:pPr>
            <w:r w:rsidRPr="009D4627">
              <w:t>progressive supranuclear palsy</w:t>
            </w:r>
          </w:p>
        </w:tc>
      </w:tr>
      <w:tr w:rsidR="00F2479E" w:rsidRPr="009D4627" w14:paraId="58B8B948" w14:textId="77777777" w:rsidTr="00455B58">
        <w:trPr>
          <w:gridAfter w:val="1"/>
          <w:wAfter w:w="108" w:type="dxa"/>
        </w:trPr>
        <w:tc>
          <w:tcPr>
            <w:tcW w:w="1980" w:type="dxa"/>
          </w:tcPr>
          <w:p w14:paraId="1ECA2C22" w14:textId="77777777" w:rsidR="00F2479E" w:rsidRPr="009D4627" w:rsidRDefault="00F2479E" w:rsidP="004F5AF6">
            <w:pPr>
              <w:spacing w:before="0" w:after="0" w:line="360" w:lineRule="auto"/>
              <w:jc w:val="left"/>
            </w:pPr>
            <w:r w:rsidRPr="009D4627">
              <w:t>RE</w:t>
            </w:r>
          </w:p>
        </w:tc>
        <w:tc>
          <w:tcPr>
            <w:tcW w:w="7036" w:type="dxa"/>
          </w:tcPr>
          <w:p w14:paraId="4D0BCCB2" w14:textId="77777777" w:rsidR="00F2479E" w:rsidRPr="009D4627" w:rsidRDefault="00F2479E" w:rsidP="004F5AF6">
            <w:pPr>
              <w:spacing w:before="0" w:after="0" w:line="360" w:lineRule="auto"/>
              <w:jc w:val="left"/>
            </w:pPr>
            <w:r w:rsidRPr="009D4627">
              <w:t>right eye</w:t>
            </w:r>
          </w:p>
        </w:tc>
      </w:tr>
      <w:tr w:rsidR="00F2479E" w:rsidRPr="009D4627" w14:paraId="37AF6DC3" w14:textId="77777777" w:rsidTr="00455B58">
        <w:trPr>
          <w:gridAfter w:val="1"/>
          <w:wAfter w:w="108" w:type="dxa"/>
        </w:trPr>
        <w:tc>
          <w:tcPr>
            <w:tcW w:w="1980" w:type="dxa"/>
          </w:tcPr>
          <w:p w14:paraId="41A8D938" w14:textId="77777777" w:rsidR="00F2479E" w:rsidRPr="009D4627" w:rsidRDefault="00F2479E" w:rsidP="004F5AF6">
            <w:pPr>
              <w:spacing w:before="0" w:after="0" w:line="360" w:lineRule="auto"/>
            </w:pPr>
            <w:r w:rsidRPr="009D4627">
              <w:t>RMS</w:t>
            </w:r>
            <w:r w:rsidRPr="009D4627">
              <w:tab/>
            </w:r>
            <w:r w:rsidRPr="009D4627">
              <w:tab/>
            </w:r>
          </w:p>
        </w:tc>
        <w:tc>
          <w:tcPr>
            <w:tcW w:w="7036" w:type="dxa"/>
          </w:tcPr>
          <w:p w14:paraId="05A21FED" w14:textId="77777777" w:rsidR="00F2479E" w:rsidRPr="009D4627" w:rsidRDefault="00F2479E" w:rsidP="004F5AF6">
            <w:pPr>
              <w:spacing w:before="0" w:after="0" w:line="360" w:lineRule="auto"/>
              <w:jc w:val="left"/>
            </w:pPr>
            <w:r w:rsidRPr="009D4627">
              <w:t>root mean square</w:t>
            </w:r>
          </w:p>
        </w:tc>
      </w:tr>
      <w:tr w:rsidR="00F2479E" w:rsidRPr="009D4627" w14:paraId="3B8CE5CC" w14:textId="77777777" w:rsidTr="00455B58">
        <w:trPr>
          <w:gridAfter w:val="1"/>
          <w:wAfter w:w="108" w:type="dxa"/>
        </w:trPr>
        <w:tc>
          <w:tcPr>
            <w:tcW w:w="1980" w:type="dxa"/>
          </w:tcPr>
          <w:p w14:paraId="6012A130" w14:textId="77777777" w:rsidR="00F2479E" w:rsidRPr="009D4627" w:rsidRDefault="00F2479E" w:rsidP="004F5AF6">
            <w:pPr>
              <w:spacing w:before="0" w:after="0" w:line="360" w:lineRule="auto"/>
            </w:pPr>
            <w:r w:rsidRPr="009D4627">
              <w:t>RMSE</w:t>
            </w:r>
            <w:r w:rsidRPr="009D4627">
              <w:tab/>
            </w:r>
            <w:r w:rsidRPr="009D4627">
              <w:tab/>
            </w:r>
          </w:p>
        </w:tc>
        <w:tc>
          <w:tcPr>
            <w:tcW w:w="7036" w:type="dxa"/>
          </w:tcPr>
          <w:p w14:paraId="45BE95FD" w14:textId="77777777" w:rsidR="00F2479E" w:rsidRPr="009D4627" w:rsidRDefault="00F2479E" w:rsidP="004F5AF6">
            <w:pPr>
              <w:spacing w:before="0" w:after="0" w:line="360" w:lineRule="auto"/>
              <w:jc w:val="left"/>
            </w:pPr>
            <w:r w:rsidRPr="009D4627">
              <w:t>root mean square error</w:t>
            </w:r>
          </w:p>
        </w:tc>
      </w:tr>
      <w:tr w:rsidR="00F2479E" w:rsidRPr="009D4627" w14:paraId="4B101630" w14:textId="77777777" w:rsidTr="00455B58">
        <w:trPr>
          <w:gridAfter w:val="1"/>
          <w:wAfter w:w="108" w:type="dxa"/>
        </w:trPr>
        <w:tc>
          <w:tcPr>
            <w:tcW w:w="1980" w:type="dxa"/>
          </w:tcPr>
          <w:p w14:paraId="2758A99D" w14:textId="77777777" w:rsidR="00F2479E" w:rsidRPr="009D4627" w:rsidRDefault="00F2479E" w:rsidP="004F5AF6">
            <w:pPr>
              <w:spacing w:before="0" w:after="0" w:line="360" w:lineRule="auto"/>
            </w:pPr>
            <w:r w:rsidRPr="009D4627">
              <w:t>SD</w:t>
            </w:r>
          </w:p>
        </w:tc>
        <w:tc>
          <w:tcPr>
            <w:tcW w:w="7036" w:type="dxa"/>
          </w:tcPr>
          <w:p w14:paraId="0F6FB219" w14:textId="77777777" w:rsidR="00F2479E" w:rsidRPr="009D4627" w:rsidRDefault="00F2479E" w:rsidP="004F5AF6">
            <w:pPr>
              <w:spacing w:before="0" w:after="0" w:line="360" w:lineRule="auto"/>
              <w:jc w:val="left"/>
            </w:pPr>
            <w:r w:rsidRPr="009D4627">
              <w:t>standard deviation</w:t>
            </w:r>
          </w:p>
        </w:tc>
      </w:tr>
      <w:tr w:rsidR="00F2479E" w:rsidRPr="009D4627" w14:paraId="0953E129" w14:textId="77777777" w:rsidTr="00455B58">
        <w:trPr>
          <w:gridAfter w:val="1"/>
          <w:wAfter w:w="108" w:type="dxa"/>
        </w:trPr>
        <w:tc>
          <w:tcPr>
            <w:tcW w:w="1980" w:type="dxa"/>
          </w:tcPr>
          <w:p w14:paraId="4330169D" w14:textId="77777777" w:rsidR="00F2479E" w:rsidRPr="009D4627" w:rsidRDefault="00F2479E" w:rsidP="004F5AF6">
            <w:pPr>
              <w:spacing w:before="0" w:after="0" w:line="360" w:lineRule="auto"/>
            </w:pPr>
            <w:r w:rsidRPr="009D4627">
              <w:t>SE</w:t>
            </w:r>
          </w:p>
        </w:tc>
        <w:tc>
          <w:tcPr>
            <w:tcW w:w="7036" w:type="dxa"/>
          </w:tcPr>
          <w:p w14:paraId="26E06372" w14:textId="77777777" w:rsidR="00F2479E" w:rsidRPr="009D4627" w:rsidRDefault="00F2479E" w:rsidP="004F5AF6">
            <w:pPr>
              <w:spacing w:before="0" w:after="0" w:line="360" w:lineRule="auto"/>
              <w:jc w:val="left"/>
            </w:pPr>
            <w:r w:rsidRPr="009D4627">
              <w:t>standard error</w:t>
            </w:r>
          </w:p>
        </w:tc>
      </w:tr>
      <w:tr w:rsidR="00F2479E" w:rsidRPr="009D4627" w14:paraId="04013529" w14:textId="77777777" w:rsidTr="00455B58">
        <w:trPr>
          <w:gridAfter w:val="1"/>
          <w:wAfter w:w="108" w:type="dxa"/>
        </w:trPr>
        <w:tc>
          <w:tcPr>
            <w:tcW w:w="1980" w:type="dxa"/>
          </w:tcPr>
          <w:p w14:paraId="71F1A614" w14:textId="77777777" w:rsidR="00F2479E" w:rsidRPr="009D4627" w:rsidRDefault="00F2479E" w:rsidP="004F5AF6">
            <w:pPr>
              <w:spacing w:before="0" w:after="0" w:line="360" w:lineRule="auto"/>
              <w:jc w:val="left"/>
            </w:pPr>
            <w:r w:rsidRPr="009D4627">
              <w:t>SP</w:t>
            </w:r>
            <w:r w:rsidRPr="009D4627">
              <w:tab/>
            </w:r>
            <w:r w:rsidRPr="009D4627">
              <w:tab/>
            </w:r>
          </w:p>
        </w:tc>
        <w:tc>
          <w:tcPr>
            <w:tcW w:w="7036" w:type="dxa"/>
          </w:tcPr>
          <w:p w14:paraId="5E7D3258" w14:textId="77777777" w:rsidR="00F2479E" w:rsidRPr="009D4627" w:rsidRDefault="00F2479E" w:rsidP="004F5AF6">
            <w:pPr>
              <w:spacing w:before="0" w:after="0" w:line="360" w:lineRule="auto"/>
              <w:jc w:val="left"/>
            </w:pPr>
            <w:r w:rsidRPr="009D4627">
              <w:t>smooth pursuits</w:t>
            </w:r>
          </w:p>
        </w:tc>
      </w:tr>
      <w:tr w:rsidR="00F2479E" w:rsidRPr="009D4627" w14:paraId="7DA79A4A" w14:textId="77777777" w:rsidTr="00455B58">
        <w:trPr>
          <w:gridAfter w:val="1"/>
          <w:wAfter w:w="108" w:type="dxa"/>
        </w:trPr>
        <w:tc>
          <w:tcPr>
            <w:tcW w:w="1980" w:type="dxa"/>
          </w:tcPr>
          <w:p w14:paraId="3D611B8B" w14:textId="77777777" w:rsidR="00F2479E" w:rsidRPr="009D4627" w:rsidRDefault="00F2479E" w:rsidP="004F5AF6">
            <w:pPr>
              <w:spacing w:before="0" w:after="0" w:line="360" w:lineRule="auto"/>
            </w:pPr>
            <w:r w:rsidRPr="009D4627">
              <w:t>SWJ</w:t>
            </w:r>
            <w:r w:rsidRPr="009D4627">
              <w:tab/>
            </w:r>
            <w:r w:rsidRPr="009D4627">
              <w:tab/>
              <w:t xml:space="preserve"> </w:t>
            </w:r>
          </w:p>
        </w:tc>
        <w:tc>
          <w:tcPr>
            <w:tcW w:w="7036" w:type="dxa"/>
          </w:tcPr>
          <w:p w14:paraId="516A7F6F" w14:textId="77777777" w:rsidR="00F2479E" w:rsidRPr="009D4627" w:rsidRDefault="00F2479E" w:rsidP="004F5AF6">
            <w:pPr>
              <w:spacing w:before="0" w:after="0" w:line="360" w:lineRule="auto"/>
              <w:jc w:val="left"/>
            </w:pPr>
            <w:r w:rsidRPr="009D4627">
              <w:t>square wave jerk</w:t>
            </w:r>
          </w:p>
        </w:tc>
      </w:tr>
      <w:tr w:rsidR="00F2479E" w:rsidRPr="009D4627" w14:paraId="100CAA1D" w14:textId="77777777" w:rsidTr="00455B58">
        <w:trPr>
          <w:gridAfter w:val="1"/>
          <w:wAfter w:w="108" w:type="dxa"/>
        </w:trPr>
        <w:tc>
          <w:tcPr>
            <w:tcW w:w="1980" w:type="dxa"/>
          </w:tcPr>
          <w:p w14:paraId="21D70857" w14:textId="77777777" w:rsidR="00F2479E" w:rsidRPr="009D4627" w:rsidRDefault="00F2479E" w:rsidP="004F5AF6">
            <w:pPr>
              <w:spacing w:before="0" w:after="0" w:line="360" w:lineRule="auto"/>
            </w:pPr>
            <w:r w:rsidRPr="009D4627">
              <w:t>VA</w:t>
            </w:r>
            <w:r w:rsidRPr="009D4627">
              <w:tab/>
            </w:r>
            <w:r w:rsidRPr="009D4627">
              <w:tab/>
            </w:r>
          </w:p>
        </w:tc>
        <w:tc>
          <w:tcPr>
            <w:tcW w:w="7036" w:type="dxa"/>
          </w:tcPr>
          <w:p w14:paraId="5167A408" w14:textId="77777777" w:rsidR="00F2479E" w:rsidRPr="009D4627" w:rsidRDefault="00F2479E" w:rsidP="004F5AF6">
            <w:pPr>
              <w:spacing w:before="0" w:after="0" w:line="360" w:lineRule="auto"/>
              <w:jc w:val="left"/>
            </w:pPr>
            <w:r w:rsidRPr="009D4627">
              <w:t>visual acuity</w:t>
            </w:r>
          </w:p>
        </w:tc>
      </w:tr>
      <w:tr w:rsidR="00B5211D" w:rsidRPr="009D4627" w14:paraId="348F85B7" w14:textId="77777777" w:rsidTr="00455B58">
        <w:tc>
          <w:tcPr>
            <w:tcW w:w="1980" w:type="dxa"/>
          </w:tcPr>
          <w:p w14:paraId="42F09987" w14:textId="67B32263" w:rsidR="00B5211D" w:rsidRPr="009D4627" w:rsidRDefault="00B5211D" w:rsidP="004F5AF6">
            <w:pPr>
              <w:spacing w:before="0" w:after="0" w:line="360" w:lineRule="auto"/>
            </w:pPr>
            <w:r w:rsidRPr="009D4627">
              <w:t>VIF</w:t>
            </w:r>
          </w:p>
        </w:tc>
        <w:tc>
          <w:tcPr>
            <w:tcW w:w="7036" w:type="dxa"/>
            <w:gridSpan w:val="2"/>
          </w:tcPr>
          <w:p w14:paraId="233EA012" w14:textId="07B6ACCD" w:rsidR="00B5211D" w:rsidRPr="009D4627" w:rsidRDefault="00B5211D" w:rsidP="004F5AF6">
            <w:pPr>
              <w:spacing w:before="0" w:after="0" w:line="360" w:lineRule="auto"/>
              <w:jc w:val="left"/>
            </w:pPr>
            <w:r w:rsidRPr="009D4627">
              <w:rPr>
                <w:color w:val="000000"/>
                <w:shd w:val="clear" w:color="auto" w:fill="FFFFFF"/>
              </w:rPr>
              <w:t>variance inflation factor</w:t>
            </w:r>
          </w:p>
        </w:tc>
      </w:tr>
      <w:tr w:rsidR="00F2479E" w:rsidRPr="009D4627" w14:paraId="11B1C0AE" w14:textId="77777777" w:rsidTr="00455B58">
        <w:trPr>
          <w:gridAfter w:val="1"/>
          <w:wAfter w:w="108" w:type="dxa"/>
        </w:trPr>
        <w:tc>
          <w:tcPr>
            <w:tcW w:w="1980" w:type="dxa"/>
          </w:tcPr>
          <w:p w14:paraId="50E6E0E4" w14:textId="77777777" w:rsidR="00F2479E" w:rsidRPr="009D4627" w:rsidRDefault="00F2479E" w:rsidP="004F5AF6">
            <w:pPr>
              <w:spacing w:before="0" w:after="0" w:line="360" w:lineRule="auto"/>
            </w:pPr>
            <w:r w:rsidRPr="009D4627">
              <w:t>X</w:t>
            </w:r>
          </w:p>
        </w:tc>
        <w:tc>
          <w:tcPr>
            <w:tcW w:w="7036" w:type="dxa"/>
          </w:tcPr>
          <w:p w14:paraId="444E7A2C" w14:textId="77777777" w:rsidR="00F2479E" w:rsidRPr="009D4627" w:rsidRDefault="00F2479E" w:rsidP="004F5AF6">
            <w:pPr>
              <w:spacing w:before="0" w:after="0" w:line="360" w:lineRule="auto"/>
              <w:jc w:val="left"/>
            </w:pPr>
            <w:r w:rsidRPr="009D4627">
              <w:t xml:space="preserve">exophoria </w:t>
            </w:r>
          </w:p>
        </w:tc>
      </w:tr>
      <w:tr w:rsidR="00F2479E" w:rsidRPr="009D4627" w14:paraId="5006BE48" w14:textId="77777777" w:rsidTr="00455B58">
        <w:trPr>
          <w:gridAfter w:val="1"/>
          <w:wAfter w:w="108" w:type="dxa"/>
        </w:trPr>
        <w:tc>
          <w:tcPr>
            <w:tcW w:w="1980" w:type="dxa"/>
          </w:tcPr>
          <w:p w14:paraId="6B398CC1" w14:textId="77777777" w:rsidR="00F2479E" w:rsidRPr="009D4627" w:rsidRDefault="00F2479E" w:rsidP="004F5AF6">
            <w:pPr>
              <w:spacing w:before="0" w:after="0" w:line="360" w:lineRule="auto"/>
            </w:pPr>
            <w:r w:rsidRPr="009D4627">
              <w:t>XT</w:t>
            </w:r>
          </w:p>
        </w:tc>
        <w:tc>
          <w:tcPr>
            <w:tcW w:w="7036" w:type="dxa"/>
          </w:tcPr>
          <w:p w14:paraId="19D9B523" w14:textId="77777777" w:rsidR="00F2479E" w:rsidRPr="009D4627" w:rsidRDefault="00F2479E" w:rsidP="004F5AF6">
            <w:pPr>
              <w:spacing w:before="0" w:after="0" w:line="360" w:lineRule="auto"/>
              <w:jc w:val="left"/>
            </w:pPr>
            <w:r w:rsidRPr="009D4627">
              <w:t>exotropia</w:t>
            </w:r>
          </w:p>
        </w:tc>
      </w:tr>
    </w:tbl>
    <w:p w14:paraId="46E2D51D" w14:textId="77777777" w:rsidR="00455B58" w:rsidRPr="009D4627" w:rsidRDefault="00455B58" w:rsidP="002A7EB3">
      <w:pPr>
        <w:pStyle w:val="Heading1"/>
        <w:sectPr w:rsidR="00455B58" w:rsidRPr="009D4627" w:rsidSect="00477959">
          <w:headerReference w:type="default" r:id="rId300"/>
          <w:pgSz w:w="11906" w:h="16838" w:code="9"/>
          <w:pgMar w:top="1440" w:right="1440" w:bottom="1440" w:left="1440" w:header="708" w:footer="708" w:gutter="0"/>
          <w:cols w:space="708"/>
          <w:docGrid w:linePitch="360"/>
        </w:sectPr>
      </w:pPr>
    </w:p>
    <w:p w14:paraId="558E9B4C" w14:textId="290BD54D" w:rsidR="00BF47CE" w:rsidRPr="009D4627" w:rsidRDefault="002726F1" w:rsidP="0071060C">
      <w:pPr>
        <w:pStyle w:val="Heading1"/>
        <w:numPr>
          <w:ilvl w:val="0"/>
          <w:numId w:val="0"/>
        </w:numPr>
      </w:pPr>
      <w:bookmarkStart w:id="680" w:name="_Toc98964742"/>
      <w:bookmarkStart w:id="681" w:name="_Toc103344786"/>
      <w:r w:rsidRPr="009D4627">
        <w:lastRenderedPageBreak/>
        <w:t>References</w:t>
      </w:r>
      <w:bookmarkEnd w:id="680"/>
      <w:bookmarkEnd w:id="681"/>
    </w:p>
    <w:p w14:paraId="0FBBE8C6" w14:textId="4093C8C2" w:rsidR="005D77C1" w:rsidRPr="00CE0149" w:rsidRDefault="00BF47CE" w:rsidP="005D77C1">
      <w:pPr>
        <w:pStyle w:val="EndNoteBibliography"/>
        <w:spacing w:after="0"/>
        <w:ind w:left="720" w:hanging="720"/>
        <w:rPr>
          <w:rFonts w:ascii="Times New Roman" w:hAnsi="Times New Roman" w:cs="Times New Roman"/>
          <w:sz w:val="24"/>
        </w:rPr>
      </w:pPr>
      <w:r w:rsidRPr="009D4627">
        <w:rPr>
          <w:rFonts w:ascii="Times New Roman" w:hAnsi="Times New Roman" w:cs="Times New Roman"/>
          <w:sz w:val="24"/>
        </w:rPr>
        <w:fldChar w:fldCharType="begin"/>
      </w:r>
      <w:r w:rsidRPr="00720FD7">
        <w:rPr>
          <w:rFonts w:ascii="Times New Roman" w:hAnsi="Times New Roman" w:cs="Times New Roman"/>
          <w:sz w:val="24"/>
          <w:lang w:val="de-DE"/>
        </w:rPr>
        <w:instrText xml:space="preserve"> ADDIN EN.REFLIST </w:instrText>
      </w:r>
      <w:r w:rsidRPr="009D4627">
        <w:rPr>
          <w:rFonts w:ascii="Times New Roman" w:hAnsi="Times New Roman" w:cs="Times New Roman"/>
          <w:sz w:val="24"/>
        </w:rPr>
        <w:fldChar w:fldCharType="separate"/>
      </w:r>
      <w:r w:rsidR="005D77C1" w:rsidRPr="00CE0149">
        <w:rPr>
          <w:rFonts w:ascii="Times New Roman" w:hAnsi="Times New Roman" w:cs="Times New Roman"/>
          <w:sz w:val="24"/>
        </w:rPr>
        <w:t xml:space="preserve">Abel, L. A., Friedman, L., Jesberger, J., Malki, A., &amp; Meltzer, H. Y. (1991). Quantitative assessment of smooth pursuit gain and catch- up saccades in schizophrenia and affective disorders. </w:t>
      </w:r>
      <w:r w:rsidR="005D77C1" w:rsidRPr="00CE0149">
        <w:rPr>
          <w:rFonts w:ascii="Times New Roman" w:hAnsi="Times New Roman" w:cs="Times New Roman"/>
          <w:i/>
          <w:sz w:val="24"/>
        </w:rPr>
        <w:t>Biological Psychiatry</w:t>
      </w:r>
      <w:r w:rsidR="005D77C1" w:rsidRPr="00CE0149">
        <w:rPr>
          <w:rFonts w:ascii="Times New Roman" w:hAnsi="Times New Roman" w:cs="Times New Roman"/>
          <w:sz w:val="24"/>
        </w:rPr>
        <w:t>,</w:t>
      </w:r>
      <w:r w:rsidR="005D77C1" w:rsidRPr="00CE0149">
        <w:rPr>
          <w:rFonts w:ascii="Times New Roman" w:hAnsi="Times New Roman" w:cs="Times New Roman"/>
          <w:i/>
          <w:sz w:val="24"/>
        </w:rPr>
        <w:t xml:space="preserve"> 29</w:t>
      </w:r>
      <w:r w:rsidR="005D77C1" w:rsidRPr="00CE0149">
        <w:rPr>
          <w:rFonts w:ascii="Times New Roman" w:hAnsi="Times New Roman" w:cs="Times New Roman"/>
          <w:sz w:val="24"/>
        </w:rPr>
        <w:t xml:space="preserve">(11), 1063-1072. </w:t>
      </w:r>
      <w:hyperlink r:id="rId301" w:history="1">
        <w:r w:rsidR="005D77C1" w:rsidRPr="00CE0149">
          <w:rPr>
            <w:rStyle w:val="Hyperlink"/>
            <w:rFonts w:ascii="Times New Roman" w:hAnsi="Times New Roman" w:cs="Times New Roman"/>
            <w:sz w:val="24"/>
          </w:rPr>
          <w:t>https://doi.org/10.1016/0006-3223(91)90248-K</w:t>
        </w:r>
      </w:hyperlink>
      <w:r w:rsidR="005D77C1" w:rsidRPr="00CE0149">
        <w:rPr>
          <w:rFonts w:ascii="Times New Roman" w:hAnsi="Times New Roman" w:cs="Times New Roman"/>
          <w:sz w:val="24"/>
        </w:rPr>
        <w:t xml:space="preserve"> </w:t>
      </w:r>
      <w:r w:rsidR="005D77C1" w:rsidRPr="00CE0149">
        <w:rPr>
          <w:rFonts w:ascii="Times New Roman" w:hAnsi="Times New Roman" w:cs="Times New Roman"/>
          <w:sz w:val="24"/>
        </w:rPr>
        <w:tab/>
      </w:r>
    </w:p>
    <w:p w14:paraId="72859A44" w14:textId="31A3D4A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Abel, L. A., Troost, B. T., Dell, amp, Amp, Apos, &amp; Osso, L. F. (1983). The effects of age on normal saccadic characteristics and their variability.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23</w:t>
      </w:r>
      <w:r w:rsidRPr="00CE0149">
        <w:rPr>
          <w:rFonts w:ascii="Times New Roman" w:hAnsi="Times New Roman" w:cs="Times New Roman"/>
          <w:sz w:val="24"/>
        </w:rPr>
        <w:t xml:space="preserve">(1), 33-37. </w:t>
      </w:r>
      <w:hyperlink r:id="rId302" w:history="1">
        <w:r w:rsidRPr="00CE0149">
          <w:rPr>
            <w:rStyle w:val="Hyperlink"/>
            <w:rFonts w:ascii="Times New Roman" w:hAnsi="Times New Roman" w:cs="Times New Roman"/>
            <w:sz w:val="24"/>
          </w:rPr>
          <w:t>https://doi.org/10.1016/0042-6989(83)90038-X</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2E32FCB" w14:textId="1CC2D3CB"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Akagi, T., Miyamoto, K., Kashii, S., &amp; Yoshimura, N. (2008). Cause and prognosis of neurologically isolated third, fourth, or sixth cranial nerve dysfunction in cases of oculomotor palsy [Article]. </w:t>
      </w:r>
      <w:r w:rsidRPr="00CE0149">
        <w:rPr>
          <w:rFonts w:ascii="Times New Roman" w:hAnsi="Times New Roman" w:cs="Times New Roman"/>
          <w:i/>
          <w:sz w:val="24"/>
        </w:rPr>
        <w:t>Japanese Journal of Ophthalmology</w:t>
      </w:r>
      <w:r w:rsidRPr="00CE0149">
        <w:rPr>
          <w:rFonts w:ascii="Times New Roman" w:hAnsi="Times New Roman" w:cs="Times New Roman"/>
          <w:sz w:val="24"/>
        </w:rPr>
        <w:t>,</w:t>
      </w:r>
      <w:r w:rsidRPr="00CE0149">
        <w:rPr>
          <w:rFonts w:ascii="Times New Roman" w:hAnsi="Times New Roman" w:cs="Times New Roman"/>
          <w:i/>
          <w:sz w:val="24"/>
        </w:rPr>
        <w:t xml:space="preserve"> 52</w:t>
      </w:r>
      <w:r w:rsidRPr="00CE0149">
        <w:rPr>
          <w:rFonts w:ascii="Times New Roman" w:hAnsi="Times New Roman" w:cs="Times New Roman"/>
          <w:sz w:val="24"/>
        </w:rPr>
        <w:t xml:space="preserve">(1), 32-35. </w:t>
      </w:r>
      <w:hyperlink r:id="rId303" w:history="1">
        <w:r w:rsidRPr="00CE0149">
          <w:rPr>
            <w:rStyle w:val="Hyperlink"/>
            <w:rFonts w:ascii="Times New Roman" w:hAnsi="Times New Roman" w:cs="Times New Roman"/>
            <w:sz w:val="24"/>
          </w:rPr>
          <w:t>https://doi.org/10.1007/s10384-007-0489-3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BB4C008" w14:textId="55281AC2"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Alessandrini, M., Parisi, V., Bruno, E., &amp; Giacomini, P. G. (1999). Impaired saccadic eye movement in diabetic patients: the relationship with visual pathways function. </w:t>
      </w:r>
      <w:r w:rsidRPr="00CE0149">
        <w:rPr>
          <w:rFonts w:ascii="Times New Roman" w:hAnsi="Times New Roman" w:cs="Times New Roman"/>
          <w:i/>
          <w:sz w:val="24"/>
        </w:rPr>
        <w:t>Doc Ophthalmol</w:t>
      </w:r>
      <w:r w:rsidRPr="00CE0149">
        <w:rPr>
          <w:rFonts w:ascii="Times New Roman" w:hAnsi="Times New Roman" w:cs="Times New Roman"/>
          <w:sz w:val="24"/>
        </w:rPr>
        <w:t>,</w:t>
      </w:r>
      <w:r w:rsidRPr="00CE0149">
        <w:rPr>
          <w:rFonts w:ascii="Times New Roman" w:hAnsi="Times New Roman" w:cs="Times New Roman"/>
          <w:i/>
          <w:sz w:val="24"/>
        </w:rPr>
        <w:t xml:space="preserve"> 99</w:t>
      </w:r>
      <w:r w:rsidRPr="00CE0149">
        <w:rPr>
          <w:rFonts w:ascii="Times New Roman" w:hAnsi="Times New Roman" w:cs="Times New Roman"/>
          <w:sz w:val="24"/>
        </w:rPr>
        <w:t xml:space="preserve">(1), 11-20. </w:t>
      </w:r>
      <w:hyperlink r:id="rId304" w:history="1">
        <w:r w:rsidRPr="00CE0149">
          <w:rPr>
            <w:rStyle w:val="Hyperlink"/>
            <w:rFonts w:ascii="Times New Roman" w:hAnsi="Times New Roman" w:cs="Times New Roman"/>
            <w:sz w:val="24"/>
          </w:rPr>
          <w:t>https://doi.org/10.1023/A:1002464316347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22A8CF2"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Ansons, A. M., &amp; Davis, H. (2014). </w:t>
      </w:r>
      <w:r w:rsidRPr="00CE0149">
        <w:rPr>
          <w:rFonts w:ascii="Times New Roman" w:hAnsi="Times New Roman" w:cs="Times New Roman"/>
          <w:i/>
          <w:sz w:val="24"/>
        </w:rPr>
        <w:t>Clinical assessment of ocular movement range. In:  Diagnosis and management of ocular motility disorders</w:t>
      </w:r>
      <w:r w:rsidRPr="00CE0149">
        <w:rPr>
          <w:rFonts w:ascii="Times New Roman" w:hAnsi="Times New Roman" w:cs="Times New Roman"/>
          <w:sz w:val="24"/>
        </w:rPr>
        <w:t xml:space="preserve"> (Fourth ed.). John Wiley &amp; Sons, Ltd. </w:t>
      </w:r>
      <w:r w:rsidRPr="00CE0149">
        <w:rPr>
          <w:rFonts w:ascii="Times New Roman" w:hAnsi="Times New Roman" w:cs="Times New Roman"/>
          <w:sz w:val="24"/>
        </w:rPr>
        <w:tab/>
      </w:r>
    </w:p>
    <w:p w14:paraId="0643B75A" w14:textId="569AF0F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Ayman, K., Emma, D., &amp; John, L. (2012). Clinical Course and Characteristics of Acute Presentation of Fourth Nerve Paresis. </w:t>
      </w:r>
      <w:r w:rsidRPr="00CE0149">
        <w:rPr>
          <w:rFonts w:ascii="Times New Roman" w:hAnsi="Times New Roman" w:cs="Times New Roman"/>
          <w:i/>
          <w:sz w:val="24"/>
        </w:rPr>
        <w:t>J Pediatr Ophthalmol Strabismus</w:t>
      </w:r>
      <w:r w:rsidRPr="00CE0149">
        <w:rPr>
          <w:rFonts w:ascii="Times New Roman" w:hAnsi="Times New Roman" w:cs="Times New Roman"/>
          <w:sz w:val="24"/>
        </w:rPr>
        <w:t>,</w:t>
      </w:r>
      <w:r w:rsidRPr="00CE0149">
        <w:rPr>
          <w:rFonts w:ascii="Times New Roman" w:hAnsi="Times New Roman" w:cs="Times New Roman"/>
          <w:i/>
          <w:sz w:val="24"/>
        </w:rPr>
        <w:t xml:space="preserve"> 49</w:t>
      </w:r>
      <w:r w:rsidRPr="00CE0149">
        <w:rPr>
          <w:rFonts w:ascii="Times New Roman" w:hAnsi="Times New Roman" w:cs="Times New Roman"/>
          <w:sz w:val="24"/>
        </w:rPr>
        <w:t xml:space="preserve">(6), 366-369. </w:t>
      </w:r>
      <w:hyperlink r:id="rId305" w:history="1">
        <w:r w:rsidRPr="00CE0149">
          <w:rPr>
            <w:rStyle w:val="Hyperlink"/>
            <w:rFonts w:ascii="Times New Roman" w:hAnsi="Times New Roman" w:cs="Times New Roman"/>
            <w:sz w:val="24"/>
          </w:rPr>
          <w:t>https://doi.org/10.3928/01913913-20120710-05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20A204A" w14:textId="0ACD310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Azami, M., Sharifi, H., &amp; Alvandpur, S. (2020). Evaluating the relationship between information literacy and evidence-based nursing and their impact on knowledge and attitude of nurses working in hospitals affiliated to Kerman University of Medical Sciences on medication errors. </w:t>
      </w:r>
      <w:r w:rsidRPr="00CE0149">
        <w:rPr>
          <w:rFonts w:ascii="Times New Roman" w:hAnsi="Times New Roman" w:cs="Times New Roman"/>
          <w:i/>
          <w:sz w:val="24"/>
        </w:rPr>
        <w:t>Journal of family medicine and primary care</w:t>
      </w:r>
      <w:r w:rsidRPr="00CE0149">
        <w:rPr>
          <w:rFonts w:ascii="Times New Roman" w:hAnsi="Times New Roman" w:cs="Times New Roman"/>
          <w:sz w:val="24"/>
        </w:rPr>
        <w:t>,</w:t>
      </w:r>
      <w:r w:rsidRPr="00CE0149">
        <w:rPr>
          <w:rFonts w:ascii="Times New Roman" w:hAnsi="Times New Roman" w:cs="Times New Roman"/>
          <w:i/>
          <w:sz w:val="24"/>
        </w:rPr>
        <w:t xml:space="preserve"> 9</w:t>
      </w:r>
      <w:r w:rsidRPr="00CE0149">
        <w:rPr>
          <w:rFonts w:ascii="Times New Roman" w:hAnsi="Times New Roman" w:cs="Times New Roman"/>
          <w:sz w:val="24"/>
        </w:rPr>
        <w:t xml:space="preserve">(8), 4097-4106. </w:t>
      </w:r>
      <w:hyperlink r:id="rId306" w:history="1">
        <w:r w:rsidRPr="00CE0149">
          <w:rPr>
            <w:rStyle w:val="Hyperlink"/>
            <w:rFonts w:ascii="Times New Roman" w:hAnsi="Times New Roman" w:cs="Times New Roman"/>
            <w:sz w:val="24"/>
          </w:rPr>
          <w:t>https://doi.org/10.4103/jfmpc.jfmpc_5_20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37E2159"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Bahill, A. T., Adler, D., &amp; Stark, L. (1975). Most naturally occurring human saccades have magnitudes of 15 degrees or less.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14</w:t>
      </w:r>
      <w:r w:rsidRPr="00CE0149">
        <w:rPr>
          <w:rFonts w:ascii="Times New Roman" w:hAnsi="Times New Roman" w:cs="Times New Roman"/>
          <w:sz w:val="24"/>
        </w:rPr>
        <w:t>(6), 468-469    </w:t>
      </w:r>
    </w:p>
    <w:p w14:paraId="13CFD449" w14:textId="39ADF1DB"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Bahill, A. T., Clark, M. R., &amp; Stark, L. (1975). The main sequence, a tool for studying human eye movements. </w:t>
      </w:r>
      <w:r w:rsidRPr="00CE0149">
        <w:rPr>
          <w:rFonts w:ascii="Times New Roman" w:hAnsi="Times New Roman" w:cs="Times New Roman"/>
          <w:i/>
          <w:sz w:val="24"/>
        </w:rPr>
        <w:t>Mathematical Biosciences</w:t>
      </w:r>
      <w:r w:rsidRPr="00CE0149">
        <w:rPr>
          <w:rFonts w:ascii="Times New Roman" w:hAnsi="Times New Roman" w:cs="Times New Roman"/>
          <w:sz w:val="24"/>
        </w:rPr>
        <w:t>,</w:t>
      </w:r>
      <w:r w:rsidRPr="00CE0149">
        <w:rPr>
          <w:rFonts w:ascii="Times New Roman" w:hAnsi="Times New Roman" w:cs="Times New Roman"/>
          <w:i/>
          <w:sz w:val="24"/>
        </w:rPr>
        <w:t xml:space="preserve"> 24</w:t>
      </w:r>
      <w:r w:rsidRPr="00CE0149">
        <w:rPr>
          <w:rFonts w:ascii="Times New Roman" w:hAnsi="Times New Roman" w:cs="Times New Roman"/>
          <w:sz w:val="24"/>
        </w:rPr>
        <w:t xml:space="preserve">(3-4), 191-204. </w:t>
      </w:r>
      <w:hyperlink r:id="rId307" w:history="1">
        <w:r w:rsidRPr="00CE0149">
          <w:rPr>
            <w:rStyle w:val="Hyperlink"/>
            <w:rFonts w:ascii="Times New Roman" w:hAnsi="Times New Roman" w:cs="Times New Roman"/>
            <w:sz w:val="24"/>
          </w:rPr>
          <w:t>https://doi.org/10.1016/0025-5564(75)90075-9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DFE5D6D" w14:textId="51D59319"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Bahill, A. T., &amp; McDonald, J. D. (1983). Smooth pursuit eye movements in response to predictable target motions.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23</w:t>
      </w:r>
      <w:r w:rsidRPr="00CE0149">
        <w:rPr>
          <w:rFonts w:ascii="Times New Roman" w:hAnsi="Times New Roman" w:cs="Times New Roman"/>
          <w:sz w:val="24"/>
        </w:rPr>
        <w:t xml:space="preserve">(12), 1573-1583. </w:t>
      </w:r>
      <w:hyperlink r:id="rId308" w:history="1">
        <w:r w:rsidRPr="00CE0149">
          <w:rPr>
            <w:rStyle w:val="Hyperlink"/>
            <w:rFonts w:ascii="Times New Roman" w:hAnsi="Times New Roman" w:cs="Times New Roman"/>
            <w:sz w:val="24"/>
          </w:rPr>
          <w:t>https://doi.org/10.1016/0042-6989(83)90171-2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19BDF6A" w14:textId="60E4481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Barabino, S. (2022). Is dry eye disease the same in young and old patients? A narrative review of the literature. </w:t>
      </w:r>
      <w:r w:rsidRPr="00CE0149">
        <w:rPr>
          <w:rFonts w:ascii="Times New Roman" w:hAnsi="Times New Roman" w:cs="Times New Roman"/>
          <w:i/>
          <w:sz w:val="24"/>
        </w:rPr>
        <w:t>BMC Ophthalmol</w:t>
      </w:r>
      <w:r w:rsidRPr="00CE0149">
        <w:rPr>
          <w:rFonts w:ascii="Times New Roman" w:hAnsi="Times New Roman" w:cs="Times New Roman"/>
          <w:sz w:val="24"/>
        </w:rPr>
        <w:t>,</w:t>
      </w:r>
      <w:r w:rsidRPr="00CE0149">
        <w:rPr>
          <w:rFonts w:ascii="Times New Roman" w:hAnsi="Times New Roman" w:cs="Times New Roman"/>
          <w:i/>
          <w:sz w:val="24"/>
        </w:rPr>
        <w:t xml:space="preserve"> 22</w:t>
      </w:r>
      <w:r w:rsidRPr="00CE0149">
        <w:rPr>
          <w:rFonts w:ascii="Times New Roman" w:hAnsi="Times New Roman" w:cs="Times New Roman"/>
          <w:sz w:val="24"/>
        </w:rPr>
        <w:t xml:space="preserve">(1), 85-85. </w:t>
      </w:r>
      <w:hyperlink r:id="rId309" w:history="1">
        <w:r w:rsidRPr="00CE0149">
          <w:rPr>
            <w:rStyle w:val="Hyperlink"/>
            <w:rFonts w:ascii="Times New Roman" w:hAnsi="Times New Roman" w:cs="Times New Roman"/>
            <w:sz w:val="24"/>
          </w:rPr>
          <w:t>https://doi.org/10.1186/s12886-022-02269-2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F89B68B" w14:textId="7EE2C6A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Barsingerhorn, A., Boonstra, F., &amp; Goossens, J. (2018). Development and validation of a high-speed stereoscopic eyetracker. </w:t>
      </w:r>
      <w:r w:rsidRPr="00CE0149">
        <w:rPr>
          <w:rFonts w:ascii="Times New Roman" w:hAnsi="Times New Roman" w:cs="Times New Roman"/>
          <w:i/>
          <w:sz w:val="24"/>
        </w:rPr>
        <w:t>Behavior Research Methods</w:t>
      </w:r>
      <w:r w:rsidRPr="00CE0149">
        <w:rPr>
          <w:rFonts w:ascii="Times New Roman" w:hAnsi="Times New Roman" w:cs="Times New Roman"/>
          <w:sz w:val="24"/>
        </w:rPr>
        <w:t>,</w:t>
      </w:r>
      <w:r w:rsidRPr="00CE0149">
        <w:rPr>
          <w:rFonts w:ascii="Times New Roman" w:hAnsi="Times New Roman" w:cs="Times New Roman"/>
          <w:i/>
          <w:sz w:val="24"/>
        </w:rPr>
        <w:t xml:space="preserve"> 50</w:t>
      </w:r>
      <w:r w:rsidRPr="00CE0149">
        <w:rPr>
          <w:rFonts w:ascii="Times New Roman" w:hAnsi="Times New Roman" w:cs="Times New Roman"/>
          <w:sz w:val="24"/>
        </w:rPr>
        <w:t xml:space="preserve">(6), 2480-2497. </w:t>
      </w:r>
      <w:hyperlink r:id="rId310" w:history="1">
        <w:r w:rsidRPr="00CE0149">
          <w:rPr>
            <w:rStyle w:val="Hyperlink"/>
            <w:rFonts w:ascii="Times New Roman" w:hAnsi="Times New Roman" w:cs="Times New Roman"/>
            <w:sz w:val="24"/>
          </w:rPr>
          <w:t>https://doi.org/10.3758/s13428-018-1026-7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FA4C588" w14:textId="72A3A59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Bedell, H. E., &amp; Stevenson, S. B. (2013). Eye movement testing in clinical examination [Article].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90</w:t>
      </w:r>
      <w:r w:rsidRPr="00CE0149">
        <w:rPr>
          <w:rFonts w:ascii="Times New Roman" w:hAnsi="Times New Roman" w:cs="Times New Roman"/>
          <w:sz w:val="24"/>
        </w:rPr>
        <w:t xml:space="preserve">, 32-37. </w:t>
      </w:r>
      <w:hyperlink r:id="rId311" w:history="1">
        <w:r w:rsidRPr="00CE0149">
          <w:rPr>
            <w:rStyle w:val="Hyperlink"/>
            <w:rFonts w:ascii="Times New Roman" w:hAnsi="Times New Roman" w:cs="Times New Roman"/>
            <w:sz w:val="24"/>
          </w:rPr>
          <w:t>https://doi.org/10.1016/j.visres.2013.02.001</w:t>
        </w:r>
      </w:hyperlink>
      <w:r w:rsidRPr="00CE0149">
        <w:rPr>
          <w:rFonts w:ascii="Times New Roman" w:hAnsi="Times New Roman" w:cs="Times New Roman"/>
          <w:sz w:val="24"/>
        </w:rPr>
        <w:t xml:space="preserve"> </w:t>
      </w:r>
    </w:p>
    <w:p w14:paraId="75B49729" w14:textId="763AEA3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Benson, P. J., Beedie, S. A., Shephard, E., Giegling, I., Rujescu, D., &amp; St. Clair, D. (2012). Simple Viewing Tests Can Detect Eye Movement Abnormalities That Distinguish Schizophrenia Cases from Controls with Exceptional Accuracy. </w:t>
      </w:r>
      <w:r w:rsidRPr="00CE0149">
        <w:rPr>
          <w:rFonts w:ascii="Times New Roman" w:hAnsi="Times New Roman" w:cs="Times New Roman"/>
          <w:i/>
          <w:sz w:val="24"/>
        </w:rPr>
        <w:t>Biological Psychiatry</w:t>
      </w:r>
      <w:r w:rsidRPr="00CE0149">
        <w:rPr>
          <w:rFonts w:ascii="Times New Roman" w:hAnsi="Times New Roman" w:cs="Times New Roman"/>
          <w:sz w:val="24"/>
        </w:rPr>
        <w:t>,</w:t>
      </w:r>
      <w:r w:rsidRPr="00CE0149">
        <w:rPr>
          <w:rFonts w:ascii="Times New Roman" w:hAnsi="Times New Roman" w:cs="Times New Roman"/>
          <w:i/>
          <w:sz w:val="24"/>
        </w:rPr>
        <w:t xml:space="preserve"> 72</w:t>
      </w:r>
      <w:r w:rsidRPr="00CE0149">
        <w:rPr>
          <w:rFonts w:ascii="Times New Roman" w:hAnsi="Times New Roman" w:cs="Times New Roman"/>
          <w:sz w:val="24"/>
        </w:rPr>
        <w:t xml:space="preserve">(9), 716-724. </w:t>
      </w:r>
      <w:hyperlink r:id="rId312" w:history="1">
        <w:r w:rsidRPr="00CE0149">
          <w:rPr>
            <w:rStyle w:val="Hyperlink"/>
            <w:rFonts w:ascii="Times New Roman" w:hAnsi="Times New Roman" w:cs="Times New Roman"/>
            <w:sz w:val="24"/>
          </w:rPr>
          <w:t>https://doi.org/10.1016/j.biopsych.2012.04.019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4DB7182" w14:textId="2EBC68AE"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Berlit, P. (1991). Isolated and combined pareses of cranial nerve-III, nerve-IV and nerve-VI - A retrospective study of 412 patients [Article]. </w:t>
      </w:r>
      <w:r w:rsidRPr="00CE0149">
        <w:rPr>
          <w:rFonts w:ascii="Times New Roman" w:hAnsi="Times New Roman" w:cs="Times New Roman"/>
          <w:i/>
          <w:sz w:val="24"/>
        </w:rPr>
        <w:t>Journal of the Neurological Sciences</w:t>
      </w:r>
      <w:r w:rsidRPr="00CE0149">
        <w:rPr>
          <w:rFonts w:ascii="Times New Roman" w:hAnsi="Times New Roman" w:cs="Times New Roman"/>
          <w:sz w:val="24"/>
        </w:rPr>
        <w:t>,</w:t>
      </w:r>
      <w:r w:rsidRPr="00CE0149">
        <w:rPr>
          <w:rFonts w:ascii="Times New Roman" w:hAnsi="Times New Roman" w:cs="Times New Roman"/>
          <w:i/>
          <w:sz w:val="24"/>
        </w:rPr>
        <w:t xml:space="preserve"> 103</w:t>
      </w:r>
      <w:r w:rsidRPr="00CE0149">
        <w:rPr>
          <w:rFonts w:ascii="Times New Roman" w:hAnsi="Times New Roman" w:cs="Times New Roman"/>
          <w:sz w:val="24"/>
        </w:rPr>
        <w:t xml:space="preserve">(1), 10-15. </w:t>
      </w:r>
      <w:hyperlink r:id="rId313" w:history="1">
        <w:r w:rsidRPr="00CE0149">
          <w:rPr>
            <w:rStyle w:val="Hyperlink"/>
            <w:rFonts w:ascii="Times New Roman" w:hAnsi="Times New Roman" w:cs="Times New Roman"/>
            <w:sz w:val="24"/>
          </w:rPr>
          <w:t>https://doi.org/10.1016/0022-510x(91)90276-d</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D06EAA6" w14:textId="37CA555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Bhidayasiri, R., Riley, D. E., Somers, J. T., Lerner, A. J., Büttner-Ennever, J. A., &amp; Leigh, R. J. (2001). Pathophysiology of slow vertical saccades in progressive supranuclear palsy. </w:t>
      </w:r>
      <w:r w:rsidRPr="00CE0149">
        <w:rPr>
          <w:rFonts w:ascii="Times New Roman" w:hAnsi="Times New Roman" w:cs="Times New Roman"/>
          <w:i/>
          <w:sz w:val="24"/>
        </w:rPr>
        <w:t>Neurology: Journal of the American Heart Association</w:t>
      </w:r>
      <w:r w:rsidRPr="00CE0149">
        <w:rPr>
          <w:rFonts w:ascii="Times New Roman" w:hAnsi="Times New Roman" w:cs="Times New Roman"/>
          <w:sz w:val="24"/>
        </w:rPr>
        <w:t>,</w:t>
      </w:r>
      <w:r w:rsidRPr="00CE0149">
        <w:rPr>
          <w:rFonts w:ascii="Times New Roman" w:hAnsi="Times New Roman" w:cs="Times New Roman"/>
          <w:i/>
          <w:sz w:val="24"/>
        </w:rPr>
        <w:t xml:space="preserve"> 57</w:t>
      </w:r>
      <w:r w:rsidRPr="00CE0149">
        <w:rPr>
          <w:rFonts w:ascii="Times New Roman" w:hAnsi="Times New Roman" w:cs="Times New Roman"/>
          <w:sz w:val="24"/>
        </w:rPr>
        <w:t xml:space="preserve">(11), 2070-2077. </w:t>
      </w:r>
      <w:hyperlink r:id="rId314" w:history="1">
        <w:r w:rsidRPr="00CE0149">
          <w:rPr>
            <w:rStyle w:val="Hyperlink"/>
            <w:rFonts w:ascii="Times New Roman" w:hAnsi="Times New Roman" w:cs="Times New Roman"/>
            <w:sz w:val="24"/>
          </w:rPr>
          <w:t>https://doi.org/10.1212/WNL.57.11.2070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AB5B0E8" w14:textId="18E469B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Bonnet, C., Hanuska, J., Rusz, J., Rivaud-Pechoux, S., Sieger, T., Majerova, V., . . . Ruzicka, E. (2013). Horizontal and vertical eye movement metrics: What is important? [Article]. </w:t>
      </w:r>
      <w:r w:rsidRPr="00CE0149">
        <w:rPr>
          <w:rFonts w:ascii="Times New Roman" w:hAnsi="Times New Roman" w:cs="Times New Roman"/>
          <w:i/>
          <w:sz w:val="24"/>
        </w:rPr>
        <w:t>Clinical Neurophysiology</w:t>
      </w:r>
      <w:r w:rsidRPr="00CE0149">
        <w:rPr>
          <w:rFonts w:ascii="Times New Roman" w:hAnsi="Times New Roman" w:cs="Times New Roman"/>
          <w:sz w:val="24"/>
        </w:rPr>
        <w:t>,</w:t>
      </w:r>
      <w:r w:rsidRPr="00CE0149">
        <w:rPr>
          <w:rFonts w:ascii="Times New Roman" w:hAnsi="Times New Roman" w:cs="Times New Roman"/>
          <w:i/>
          <w:sz w:val="24"/>
        </w:rPr>
        <w:t xml:space="preserve"> 124</w:t>
      </w:r>
      <w:r w:rsidRPr="00CE0149">
        <w:rPr>
          <w:rFonts w:ascii="Times New Roman" w:hAnsi="Times New Roman" w:cs="Times New Roman"/>
          <w:sz w:val="24"/>
        </w:rPr>
        <w:t xml:space="preserve">(11), 2216-2229. </w:t>
      </w:r>
      <w:hyperlink r:id="rId315" w:history="1">
        <w:r w:rsidRPr="00CE0149">
          <w:rPr>
            <w:rStyle w:val="Hyperlink"/>
            <w:rFonts w:ascii="Times New Roman" w:hAnsi="Times New Roman" w:cs="Times New Roman"/>
            <w:sz w:val="24"/>
          </w:rPr>
          <w:t>https://doi.org/10.1016/j.clinph.2013.05.002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6652BC7" w14:textId="670E777E"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Bono, F., Oliveri, R. L., Zappia, M., Aguglia, U., Puccio, G., &amp; Quattrone, A. (1996). Computerized analysis of eye movements as a function of age. </w:t>
      </w:r>
      <w:r w:rsidRPr="00CE0149">
        <w:rPr>
          <w:rFonts w:ascii="Times New Roman" w:hAnsi="Times New Roman" w:cs="Times New Roman"/>
          <w:i/>
          <w:sz w:val="24"/>
        </w:rPr>
        <w:t>Archives of Gerontology and Geriatrics</w:t>
      </w:r>
      <w:r w:rsidRPr="00CE0149">
        <w:rPr>
          <w:rFonts w:ascii="Times New Roman" w:hAnsi="Times New Roman" w:cs="Times New Roman"/>
          <w:sz w:val="24"/>
        </w:rPr>
        <w:t>,</w:t>
      </w:r>
      <w:r w:rsidRPr="00CE0149">
        <w:rPr>
          <w:rFonts w:ascii="Times New Roman" w:hAnsi="Times New Roman" w:cs="Times New Roman"/>
          <w:i/>
          <w:sz w:val="24"/>
        </w:rPr>
        <w:t xml:space="preserve"> 22</w:t>
      </w:r>
      <w:r w:rsidRPr="00CE0149">
        <w:rPr>
          <w:rFonts w:ascii="Times New Roman" w:hAnsi="Times New Roman" w:cs="Times New Roman"/>
          <w:sz w:val="24"/>
        </w:rPr>
        <w:t xml:space="preserve">(3), 261-269. </w:t>
      </w:r>
      <w:hyperlink r:id="rId316" w:history="1">
        <w:r w:rsidRPr="00CE0149">
          <w:rPr>
            <w:rStyle w:val="Hyperlink"/>
            <w:rFonts w:ascii="Times New Roman" w:hAnsi="Times New Roman" w:cs="Times New Roman"/>
            <w:sz w:val="24"/>
          </w:rPr>
          <w:t>https://doi.org/10.1016/0167-4943(96)00698-X</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DF3B909" w14:textId="77777777" w:rsidR="00CE0149" w:rsidRPr="00CE0149" w:rsidRDefault="00CE0149" w:rsidP="00CE0149">
      <w:pPr>
        <w:pStyle w:val="EndNoteBibliography"/>
        <w:spacing w:after="0"/>
        <w:ind w:left="720" w:hanging="720"/>
        <w:rPr>
          <w:rFonts w:ascii="Times New Roman" w:hAnsi="Times New Roman" w:cs="Times New Roman"/>
          <w:sz w:val="24"/>
        </w:rPr>
      </w:pPr>
      <w:r w:rsidRPr="00CE0149">
        <w:rPr>
          <w:rFonts w:ascii="Times New Roman" w:hAnsi="Times New Roman" w:cs="Times New Roman"/>
          <w:color w:val="212121"/>
          <w:sz w:val="24"/>
          <w:shd w:val="clear" w:color="auto" w:fill="FFFFFF"/>
        </w:rPr>
        <w:t>Bucci MP, Pouvreau N, Yang Q, Kapoula Z.</w:t>
      </w:r>
      <w:r>
        <w:rPr>
          <w:rFonts w:ascii="Times New Roman" w:hAnsi="Times New Roman" w:cs="Times New Roman"/>
          <w:color w:val="212121"/>
          <w:sz w:val="24"/>
          <w:shd w:val="clear" w:color="auto" w:fill="FFFFFF"/>
        </w:rPr>
        <w:t>(2005)</w:t>
      </w:r>
      <w:r w:rsidRPr="00CE0149">
        <w:rPr>
          <w:rFonts w:ascii="Times New Roman" w:hAnsi="Times New Roman" w:cs="Times New Roman"/>
          <w:color w:val="212121"/>
          <w:sz w:val="24"/>
          <w:shd w:val="clear" w:color="auto" w:fill="FFFFFF"/>
        </w:rPr>
        <w:t xml:space="preserve"> Influence of gap and overlap paradigms on saccade latencies and vergence eye movements in seven-year-old children. </w:t>
      </w:r>
      <w:r w:rsidRPr="00CE0149">
        <w:rPr>
          <w:rFonts w:ascii="Times New Roman" w:hAnsi="Times New Roman" w:cs="Times New Roman"/>
          <w:i/>
          <w:iCs/>
          <w:color w:val="212121"/>
          <w:sz w:val="24"/>
          <w:shd w:val="clear" w:color="auto" w:fill="FFFFFF"/>
        </w:rPr>
        <w:t>Exp Brain Res</w:t>
      </w:r>
      <w:r>
        <w:rPr>
          <w:rFonts w:ascii="Times New Roman" w:hAnsi="Times New Roman" w:cs="Times New Roman"/>
          <w:i/>
          <w:iCs/>
          <w:color w:val="212121"/>
          <w:sz w:val="24"/>
          <w:shd w:val="clear" w:color="auto" w:fill="FFFFFF"/>
        </w:rPr>
        <w:t>,</w:t>
      </w:r>
      <w:r w:rsidRPr="00CE0149">
        <w:rPr>
          <w:rFonts w:ascii="Times New Roman" w:hAnsi="Times New Roman" w:cs="Times New Roman"/>
          <w:color w:val="212121"/>
          <w:sz w:val="24"/>
          <w:shd w:val="clear" w:color="auto" w:fill="FFFFFF"/>
        </w:rPr>
        <w:t xml:space="preserve">164(1):48-57. doi: 10.1007/s00221-005-2214-0. </w:t>
      </w:r>
    </w:p>
    <w:p w14:paraId="3F27E25A" w14:textId="71D0A35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Campana, A., Duci, A., Gambini, O., &amp; Scarone, S. (1999). An Artificial Neural Network That Uses Eye-Tracking Performance to Identify Patients With Schizophrenia. </w:t>
      </w:r>
      <w:r w:rsidRPr="00CE0149">
        <w:rPr>
          <w:rFonts w:ascii="Times New Roman" w:hAnsi="Times New Roman" w:cs="Times New Roman"/>
          <w:i/>
          <w:sz w:val="24"/>
        </w:rPr>
        <w:t>Schizophr Bull</w:t>
      </w:r>
      <w:r w:rsidRPr="00CE0149">
        <w:rPr>
          <w:rFonts w:ascii="Times New Roman" w:hAnsi="Times New Roman" w:cs="Times New Roman"/>
          <w:sz w:val="24"/>
        </w:rPr>
        <w:t>,</w:t>
      </w:r>
      <w:r w:rsidRPr="00CE0149">
        <w:rPr>
          <w:rFonts w:ascii="Times New Roman" w:hAnsi="Times New Roman" w:cs="Times New Roman"/>
          <w:i/>
          <w:sz w:val="24"/>
        </w:rPr>
        <w:t xml:space="preserve"> 25</w:t>
      </w:r>
      <w:r w:rsidRPr="00CE0149">
        <w:rPr>
          <w:rFonts w:ascii="Times New Roman" w:hAnsi="Times New Roman" w:cs="Times New Roman"/>
          <w:sz w:val="24"/>
        </w:rPr>
        <w:t xml:space="preserve">(4), 789-799. </w:t>
      </w:r>
      <w:hyperlink r:id="rId317" w:history="1">
        <w:r w:rsidRPr="00CE0149">
          <w:rPr>
            <w:rStyle w:val="Hyperlink"/>
            <w:rFonts w:ascii="Times New Roman" w:hAnsi="Times New Roman" w:cs="Times New Roman"/>
            <w:sz w:val="24"/>
          </w:rPr>
          <w:t>https://doi.org/10.1093/oxfordjournals.schbul.a033419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F59AF33"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Chamberlain, W. (1970). Restriction in upward gaze with advancing age. </w:t>
      </w:r>
      <w:r w:rsidRPr="00CE0149">
        <w:rPr>
          <w:rFonts w:ascii="Times New Roman" w:hAnsi="Times New Roman" w:cs="Times New Roman"/>
          <w:i/>
          <w:sz w:val="24"/>
        </w:rPr>
        <w:t>Transactions of the American Ophthalmological Society</w:t>
      </w:r>
      <w:r w:rsidRPr="00CE0149">
        <w:rPr>
          <w:rFonts w:ascii="Times New Roman" w:hAnsi="Times New Roman" w:cs="Times New Roman"/>
          <w:sz w:val="24"/>
        </w:rPr>
        <w:t>,</w:t>
      </w:r>
      <w:r w:rsidRPr="00CE0149">
        <w:rPr>
          <w:rFonts w:ascii="Times New Roman" w:hAnsi="Times New Roman" w:cs="Times New Roman"/>
          <w:i/>
          <w:sz w:val="24"/>
        </w:rPr>
        <w:t xml:space="preserve"> 68</w:t>
      </w:r>
      <w:r w:rsidRPr="00CE0149">
        <w:rPr>
          <w:rFonts w:ascii="Times New Roman" w:hAnsi="Times New Roman" w:cs="Times New Roman"/>
          <w:sz w:val="24"/>
        </w:rPr>
        <w:t xml:space="preserve">, 234-244. </w:t>
      </w:r>
      <w:r w:rsidRPr="00CE0149">
        <w:rPr>
          <w:rFonts w:ascii="Times New Roman" w:hAnsi="Times New Roman" w:cs="Times New Roman"/>
          <w:sz w:val="24"/>
        </w:rPr>
        <w:tab/>
      </w:r>
    </w:p>
    <w:p w14:paraId="72445973"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Ciuffreda, K. J., &amp; Tannen, B. (1995). </w:t>
      </w:r>
      <w:r w:rsidRPr="00CE0149">
        <w:rPr>
          <w:rFonts w:ascii="Times New Roman" w:hAnsi="Times New Roman" w:cs="Times New Roman"/>
          <w:i/>
          <w:sz w:val="24"/>
        </w:rPr>
        <w:t>Eye movement basics for the clinician</w:t>
      </w:r>
      <w:r w:rsidRPr="00CE0149">
        <w:rPr>
          <w:rFonts w:ascii="Times New Roman" w:hAnsi="Times New Roman" w:cs="Times New Roman"/>
          <w:sz w:val="24"/>
        </w:rPr>
        <w:t xml:space="preserve">. Mosby. </w:t>
      </w:r>
      <w:r w:rsidRPr="00CE0149">
        <w:rPr>
          <w:rFonts w:ascii="Times New Roman" w:hAnsi="Times New Roman" w:cs="Times New Roman"/>
          <w:sz w:val="24"/>
        </w:rPr>
        <w:tab/>
      </w:r>
    </w:p>
    <w:p w14:paraId="53A1AF26" w14:textId="1154ABC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Clark, R., Blundell, J., Dunn, M., Erichsen, J., Giardini, M., Gottlob, I., . . . Williams, C. (2019). The potential and value of objective eye tracking in the ophthalmology clinic. </w:t>
      </w:r>
      <w:r w:rsidRPr="00CE0149">
        <w:rPr>
          <w:rFonts w:ascii="Times New Roman" w:hAnsi="Times New Roman" w:cs="Times New Roman"/>
          <w:i/>
          <w:sz w:val="24"/>
        </w:rPr>
        <w:t>Eye</w:t>
      </w:r>
      <w:r w:rsidRPr="00CE0149">
        <w:rPr>
          <w:rFonts w:ascii="Times New Roman" w:hAnsi="Times New Roman" w:cs="Times New Roman"/>
          <w:sz w:val="24"/>
        </w:rPr>
        <w:t>,</w:t>
      </w:r>
      <w:r w:rsidRPr="00CE0149">
        <w:rPr>
          <w:rFonts w:ascii="Times New Roman" w:hAnsi="Times New Roman" w:cs="Times New Roman"/>
          <w:i/>
          <w:sz w:val="24"/>
        </w:rPr>
        <w:t xml:space="preserve"> 33</w:t>
      </w:r>
      <w:r w:rsidRPr="00CE0149">
        <w:rPr>
          <w:rFonts w:ascii="Times New Roman" w:hAnsi="Times New Roman" w:cs="Times New Roman"/>
          <w:sz w:val="24"/>
        </w:rPr>
        <w:t xml:space="preserve">(8), 1200-1202. </w:t>
      </w:r>
      <w:hyperlink r:id="rId318" w:history="1">
        <w:r w:rsidRPr="00CE0149">
          <w:rPr>
            <w:rStyle w:val="Hyperlink"/>
            <w:rFonts w:ascii="Times New Roman" w:hAnsi="Times New Roman" w:cs="Times New Roman"/>
            <w:sz w:val="24"/>
          </w:rPr>
          <w:t>https://doi.org/10.1038/s41433-019-0417-z</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DABE5F5" w14:textId="44CA9CC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Clark, R. A., &amp; Demer, J. L. (2002). Effect of aging on human rectus extraocular muscle paths demonstrated by magnetic resonance imaging. </w:t>
      </w:r>
      <w:r w:rsidRPr="00CE0149">
        <w:rPr>
          <w:rFonts w:ascii="Times New Roman" w:hAnsi="Times New Roman" w:cs="Times New Roman"/>
          <w:i/>
          <w:sz w:val="24"/>
        </w:rPr>
        <w:t>Am J Ophthalmol</w:t>
      </w:r>
      <w:r w:rsidRPr="00CE0149">
        <w:rPr>
          <w:rFonts w:ascii="Times New Roman" w:hAnsi="Times New Roman" w:cs="Times New Roman"/>
          <w:sz w:val="24"/>
        </w:rPr>
        <w:t>,</w:t>
      </w:r>
      <w:r w:rsidRPr="00CE0149">
        <w:rPr>
          <w:rFonts w:ascii="Times New Roman" w:hAnsi="Times New Roman" w:cs="Times New Roman"/>
          <w:i/>
          <w:sz w:val="24"/>
        </w:rPr>
        <w:t xml:space="preserve"> 134</w:t>
      </w:r>
      <w:r w:rsidRPr="00CE0149">
        <w:rPr>
          <w:rFonts w:ascii="Times New Roman" w:hAnsi="Times New Roman" w:cs="Times New Roman"/>
          <w:sz w:val="24"/>
        </w:rPr>
        <w:t xml:space="preserve">(6), 872-878. </w:t>
      </w:r>
      <w:hyperlink r:id="rId319" w:history="1">
        <w:r w:rsidRPr="00CE0149">
          <w:rPr>
            <w:rStyle w:val="Hyperlink"/>
            <w:rFonts w:ascii="Times New Roman" w:hAnsi="Times New Roman" w:cs="Times New Roman"/>
            <w:sz w:val="24"/>
          </w:rPr>
          <w:t>https://doi.org/10.1016/S0002-9394(02)01695-1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E26C56F" w14:textId="38CA66A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Clementz, B. A., Iacono, W. G., &amp; Grove, W. M. (1996). The construct validity of root-mean-square error for quantifying smooth-pursuit eye tracking abnormalities in schizophrenia. </w:t>
      </w:r>
      <w:r w:rsidRPr="00CE0149">
        <w:rPr>
          <w:rFonts w:ascii="Times New Roman" w:hAnsi="Times New Roman" w:cs="Times New Roman"/>
          <w:i/>
          <w:sz w:val="24"/>
        </w:rPr>
        <w:t>Biological Psychiatry</w:t>
      </w:r>
      <w:r w:rsidRPr="00CE0149">
        <w:rPr>
          <w:rFonts w:ascii="Times New Roman" w:hAnsi="Times New Roman" w:cs="Times New Roman"/>
          <w:sz w:val="24"/>
        </w:rPr>
        <w:t>,</w:t>
      </w:r>
      <w:r w:rsidRPr="00CE0149">
        <w:rPr>
          <w:rFonts w:ascii="Times New Roman" w:hAnsi="Times New Roman" w:cs="Times New Roman"/>
          <w:i/>
          <w:sz w:val="24"/>
        </w:rPr>
        <w:t xml:space="preserve"> 39</w:t>
      </w:r>
      <w:r w:rsidRPr="00CE0149">
        <w:rPr>
          <w:rFonts w:ascii="Times New Roman" w:hAnsi="Times New Roman" w:cs="Times New Roman"/>
          <w:sz w:val="24"/>
        </w:rPr>
        <w:t xml:space="preserve">(6), 448-450. </w:t>
      </w:r>
      <w:hyperlink r:id="rId320" w:history="1">
        <w:r w:rsidRPr="00CE0149">
          <w:rPr>
            <w:rStyle w:val="Hyperlink"/>
            <w:rFonts w:ascii="Times New Roman" w:hAnsi="Times New Roman" w:cs="Times New Roman"/>
            <w:sz w:val="24"/>
          </w:rPr>
          <w:t>https://doi.org/10.1016/0006-3223(95)00549-8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D1655A8"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Cohen, J. (1988). </w:t>
      </w:r>
      <w:r w:rsidRPr="00CE0149">
        <w:rPr>
          <w:rFonts w:ascii="Times New Roman" w:hAnsi="Times New Roman" w:cs="Times New Roman"/>
          <w:i/>
          <w:sz w:val="24"/>
        </w:rPr>
        <w:t>Statistical power analysis for the behavioral sciences.</w:t>
      </w:r>
      <w:r w:rsidRPr="00CE0149">
        <w:rPr>
          <w:rFonts w:ascii="Times New Roman" w:hAnsi="Times New Roman" w:cs="Times New Roman"/>
          <w:sz w:val="24"/>
        </w:rPr>
        <w:t xml:space="preserve"> New York: NY: Psychology Press. </w:t>
      </w:r>
      <w:r w:rsidRPr="00CE0149">
        <w:rPr>
          <w:rFonts w:ascii="Times New Roman" w:hAnsi="Times New Roman" w:cs="Times New Roman"/>
          <w:sz w:val="24"/>
        </w:rPr>
        <w:tab/>
      </w:r>
    </w:p>
    <w:p w14:paraId="3AE3C4E8" w14:textId="26F5AE24"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Collewijn, H., Erkelens, C. J., &amp; Steinman, R. M. (1988). Binocular co-ordination of human vertical saccadic eye movements. </w:t>
      </w:r>
      <w:r w:rsidRPr="00CE0149">
        <w:rPr>
          <w:rFonts w:ascii="Times New Roman" w:hAnsi="Times New Roman" w:cs="Times New Roman"/>
          <w:i/>
          <w:sz w:val="24"/>
        </w:rPr>
        <w:t>The Journal of physiology.</w:t>
      </w:r>
      <w:r w:rsidRPr="00CE0149">
        <w:rPr>
          <w:rFonts w:ascii="Times New Roman" w:hAnsi="Times New Roman" w:cs="Times New Roman"/>
          <w:sz w:val="24"/>
        </w:rPr>
        <w:t>,</w:t>
      </w:r>
      <w:r w:rsidRPr="00CE0149">
        <w:rPr>
          <w:rFonts w:ascii="Times New Roman" w:hAnsi="Times New Roman" w:cs="Times New Roman"/>
          <w:i/>
          <w:sz w:val="24"/>
        </w:rPr>
        <w:t xml:space="preserve"> 404</w:t>
      </w:r>
      <w:r w:rsidRPr="00CE0149">
        <w:rPr>
          <w:rFonts w:ascii="Times New Roman" w:hAnsi="Times New Roman" w:cs="Times New Roman"/>
          <w:sz w:val="24"/>
        </w:rPr>
        <w:t xml:space="preserve">(1), 183-197. </w:t>
      </w:r>
      <w:hyperlink r:id="rId321" w:history="1">
        <w:r w:rsidRPr="00CE0149">
          <w:rPr>
            <w:rStyle w:val="Hyperlink"/>
            <w:rFonts w:ascii="Times New Roman" w:hAnsi="Times New Roman" w:cs="Times New Roman"/>
            <w:sz w:val="24"/>
          </w:rPr>
          <w:t>https://doi.org/10.1113/jphysiol.1988.sp017285</w:t>
        </w:r>
      </w:hyperlink>
    </w:p>
    <w:p w14:paraId="23FE63B4" w14:textId="7732F25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Collewijn, H., &amp; Tamminga, E. P. (1984). Human smooth and saccadic eye movements during voluntary pursuit of different target motions on different backgrounds. </w:t>
      </w:r>
      <w:r w:rsidRPr="00CE0149">
        <w:rPr>
          <w:rFonts w:ascii="Times New Roman" w:hAnsi="Times New Roman" w:cs="Times New Roman"/>
          <w:i/>
          <w:sz w:val="24"/>
        </w:rPr>
        <w:t>J Physiol</w:t>
      </w:r>
      <w:r w:rsidRPr="00CE0149">
        <w:rPr>
          <w:rFonts w:ascii="Times New Roman" w:hAnsi="Times New Roman" w:cs="Times New Roman"/>
          <w:sz w:val="24"/>
        </w:rPr>
        <w:t>,</w:t>
      </w:r>
      <w:r w:rsidRPr="00CE0149">
        <w:rPr>
          <w:rFonts w:ascii="Times New Roman" w:hAnsi="Times New Roman" w:cs="Times New Roman"/>
          <w:i/>
          <w:sz w:val="24"/>
        </w:rPr>
        <w:t xml:space="preserve"> 351</w:t>
      </w:r>
      <w:r w:rsidRPr="00CE0149">
        <w:rPr>
          <w:rFonts w:ascii="Times New Roman" w:hAnsi="Times New Roman" w:cs="Times New Roman"/>
          <w:sz w:val="24"/>
        </w:rPr>
        <w:t xml:space="preserve">(1), 217-250. </w:t>
      </w:r>
      <w:hyperlink r:id="rId322" w:history="1">
        <w:r w:rsidRPr="00CE0149">
          <w:rPr>
            <w:rStyle w:val="Hyperlink"/>
            <w:rFonts w:ascii="Times New Roman" w:hAnsi="Times New Roman" w:cs="Times New Roman"/>
            <w:sz w:val="24"/>
          </w:rPr>
          <w:t>https://doi.org/10.1113/jphysiol.1984.sp015242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9AD4F69" w14:textId="4CFD201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Collewijn, H., van Der Mark, F., &amp; Jansen, T. C. (1975). Precise recording of human eye movements.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15</w:t>
      </w:r>
      <w:r w:rsidRPr="00CE0149">
        <w:rPr>
          <w:rFonts w:ascii="Times New Roman" w:hAnsi="Times New Roman" w:cs="Times New Roman"/>
          <w:sz w:val="24"/>
        </w:rPr>
        <w:t xml:space="preserve">(3), 447,IN445-450,IN445. </w:t>
      </w:r>
      <w:hyperlink r:id="rId323" w:history="1">
        <w:r w:rsidRPr="00CE0149">
          <w:rPr>
            <w:rStyle w:val="Hyperlink"/>
            <w:rFonts w:ascii="Times New Roman" w:hAnsi="Times New Roman" w:cs="Times New Roman"/>
            <w:sz w:val="24"/>
          </w:rPr>
          <w:t>https://doi.org/10.1016/0042-6989(75)90098-X</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EDF6B50" w14:textId="777B611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Connell, C. J. W., Thompson, B., Turuwhenua, J., Hess, R. F., &amp; Gant, N. (2017). Caffeine increases the velocity of rapid eye movements in unfatigued humans. </w:t>
      </w:r>
      <w:r w:rsidRPr="00CE0149">
        <w:rPr>
          <w:rFonts w:ascii="Times New Roman" w:hAnsi="Times New Roman" w:cs="Times New Roman"/>
          <w:i/>
          <w:sz w:val="24"/>
        </w:rPr>
        <w:t>Psychopharmacology (Berl)</w:t>
      </w:r>
      <w:r w:rsidRPr="00CE0149">
        <w:rPr>
          <w:rFonts w:ascii="Times New Roman" w:hAnsi="Times New Roman" w:cs="Times New Roman"/>
          <w:sz w:val="24"/>
        </w:rPr>
        <w:t>,</w:t>
      </w:r>
      <w:r w:rsidRPr="00CE0149">
        <w:rPr>
          <w:rFonts w:ascii="Times New Roman" w:hAnsi="Times New Roman" w:cs="Times New Roman"/>
          <w:i/>
          <w:sz w:val="24"/>
        </w:rPr>
        <w:t xml:space="preserve"> 234</w:t>
      </w:r>
      <w:r w:rsidRPr="00CE0149">
        <w:rPr>
          <w:rFonts w:ascii="Times New Roman" w:hAnsi="Times New Roman" w:cs="Times New Roman"/>
          <w:sz w:val="24"/>
        </w:rPr>
        <w:t xml:space="preserve">(15), 2311-2323. </w:t>
      </w:r>
      <w:hyperlink r:id="rId324" w:history="1">
        <w:r w:rsidRPr="00CE0149">
          <w:rPr>
            <w:rStyle w:val="Hyperlink"/>
            <w:rFonts w:ascii="Times New Roman" w:hAnsi="Times New Roman" w:cs="Times New Roman"/>
            <w:sz w:val="24"/>
          </w:rPr>
          <w:t>https://doi.org/10.1007/s00213-017-4638-1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B65626B" w14:textId="2D682C36"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Cornsweet, T. N., Riggs, L. A., &amp; Krauskopf, J. (1960). Analysis of Eye Movements during Monocular and Binocular Fixation*. </w:t>
      </w:r>
      <w:r w:rsidRPr="00CE0149">
        <w:rPr>
          <w:rFonts w:ascii="Times New Roman" w:hAnsi="Times New Roman" w:cs="Times New Roman"/>
          <w:i/>
          <w:sz w:val="24"/>
        </w:rPr>
        <w:t>Journal of the Optical Society of America</w:t>
      </w:r>
      <w:r w:rsidRPr="00CE0149">
        <w:rPr>
          <w:rFonts w:ascii="Times New Roman" w:hAnsi="Times New Roman" w:cs="Times New Roman"/>
          <w:sz w:val="24"/>
        </w:rPr>
        <w:t>,</w:t>
      </w:r>
      <w:r w:rsidRPr="00CE0149">
        <w:rPr>
          <w:rFonts w:ascii="Times New Roman" w:hAnsi="Times New Roman" w:cs="Times New Roman"/>
          <w:i/>
          <w:sz w:val="24"/>
        </w:rPr>
        <w:t xml:space="preserve"> 50</w:t>
      </w:r>
      <w:r w:rsidRPr="00CE0149">
        <w:rPr>
          <w:rFonts w:ascii="Times New Roman" w:hAnsi="Times New Roman" w:cs="Times New Roman"/>
          <w:sz w:val="24"/>
        </w:rPr>
        <w:t xml:space="preserve">(6), 572-578. </w:t>
      </w:r>
      <w:hyperlink r:id="rId325" w:history="1">
        <w:r w:rsidRPr="00CE0149">
          <w:rPr>
            <w:rStyle w:val="Hyperlink"/>
            <w:rFonts w:ascii="Times New Roman" w:hAnsi="Times New Roman" w:cs="Times New Roman"/>
            <w:sz w:val="24"/>
          </w:rPr>
          <w:t>https://doi.org/10.1364/JOSA.50.000572</w:t>
        </w:r>
      </w:hyperlink>
    </w:p>
    <w:p w14:paraId="5D067D3D" w14:textId="3AEB043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Crossland, D. M., &amp; Rubin, S. A. G. (2002). The Use of an Infrared Eyetracker to Measure Fixation Stability. </w:t>
      </w:r>
      <w:r w:rsidRPr="00CE0149">
        <w:rPr>
          <w:rFonts w:ascii="Times New Roman" w:hAnsi="Times New Roman" w:cs="Times New Roman"/>
          <w:i/>
          <w:sz w:val="24"/>
        </w:rPr>
        <w:t>Optometry and Vision Science</w:t>
      </w:r>
      <w:r w:rsidRPr="00CE0149">
        <w:rPr>
          <w:rFonts w:ascii="Times New Roman" w:hAnsi="Times New Roman" w:cs="Times New Roman"/>
          <w:sz w:val="24"/>
        </w:rPr>
        <w:t>,</w:t>
      </w:r>
      <w:r w:rsidRPr="00CE0149">
        <w:rPr>
          <w:rFonts w:ascii="Times New Roman" w:hAnsi="Times New Roman" w:cs="Times New Roman"/>
          <w:i/>
          <w:sz w:val="24"/>
        </w:rPr>
        <w:t xml:space="preserve"> 79</w:t>
      </w:r>
      <w:r w:rsidRPr="00CE0149">
        <w:rPr>
          <w:rFonts w:ascii="Times New Roman" w:hAnsi="Times New Roman" w:cs="Times New Roman"/>
          <w:sz w:val="24"/>
        </w:rPr>
        <w:t xml:space="preserve">(11), 735-739. </w:t>
      </w:r>
      <w:hyperlink r:id="rId326" w:history="1">
        <w:r w:rsidRPr="00CE0149">
          <w:rPr>
            <w:rStyle w:val="Hyperlink"/>
            <w:rFonts w:ascii="Times New Roman" w:hAnsi="Times New Roman" w:cs="Times New Roman"/>
            <w:sz w:val="24"/>
          </w:rPr>
          <w:t>https://doi.org/10.1097/00006324-200211000-00011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54D3768" w14:textId="03C9D1E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Crossland, M. D., Culham, L. E., &amp; Rubin, G. S. (2004). Fixation stability and reading speed in patients with newly developed macular disease. </w:t>
      </w:r>
      <w:r w:rsidRPr="00CE0149">
        <w:rPr>
          <w:rFonts w:ascii="Times New Roman" w:hAnsi="Times New Roman" w:cs="Times New Roman"/>
          <w:i/>
          <w:sz w:val="24"/>
        </w:rPr>
        <w:t>Ophthalmic Physiol Opt</w:t>
      </w:r>
      <w:r w:rsidRPr="00CE0149">
        <w:rPr>
          <w:rFonts w:ascii="Times New Roman" w:hAnsi="Times New Roman" w:cs="Times New Roman"/>
          <w:sz w:val="24"/>
        </w:rPr>
        <w:t>,</w:t>
      </w:r>
      <w:r w:rsidRPr="00CE0149">
        <w:rPr>
          <w:rFonts w:ascii="Times New Roman" w:hAnsi="Times New Roman" w:cs="Times New Roman"/>
          <w:i/>
          <w:sz w:val="24"/>
        </w:rPr>
        <w:t xml:space="preserve"> 24</w:t>
      </w:r>
      <w:r w:rsidRPr="00CE0149">
        <w:rPr>
          <w:rFonts w:ascii="Times New Roman" w:hAnsi="Times New Roman" w:cs="Times New Roman"/>
          <w:sz w:val="24"/>
        </w:rPr>
        <w:t xml:space="preserve">(4), 327-333. </w:t>
      </w:r>
      <w:hyperlink r:id="rId327" w:history="1">
        <w:r w:rsidRPr="00CE0149">
          <w:rPr>
            <w:rStyle w:val="Hyperlink"/>
            <w:rFonts w:ascii="Times New Roman" w:hAnsi="Times New Roman" w:cs="Times New Roman"/>
            <w:sz w:val="24"/>
          </w:rPr>
          <w:t>https://doi.org/10.1111/j.1475-1313.2004.00213.x</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937633E" w14:textId="3AD8539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Damasceno, R., Osaki, M., Dantas, P., &amp; Belfort, R. J. (2011). Involutional entropian and ectropian of the lower eyelid: prevalence and associated risk factors in the elderly population. </w:t>
      </w:r>
      <w:r w:rsidRPr="00CE0149">
        <w:rPr>
          <w:rFonts w:ascii="Times New Roman" w:hAnsi="Times New Roman" w:cs="Times New Roman"/>
          <w:i/>
          <w:sz w:val="24"/>
        </w:rPr>
        <w:t>Ophthalmic Plast Reconstr Surg</w:t>
      </w:r>
      <w:r w:rsidRPr="00CE0149">
        <w:rPr>
          <w:rFonts w:ascii="Times New Roman" w:hAnsi="Times New Roman" w:cs="Times New Roman"/>
          <w:sz w:val="24"/>
        </w:rPr>
        <w:t>,</w:t>
      </w:r>
      <w:r w:rsidRPr="00CE0149">
        <w:rPr>
          <w:rFonts w:ascii="Times New Roman" w:hAnsi="Times New Roman" w:cs="Times New Roman"/>
          <w:i/>
          <w:sz w:val="24"/>
        </w:rPr>
        <w:t xml:space="preserve"> 27 (5)</w:t>
      </w:r>
      <w:r w:rsidRPr="00CE0149">
        <w:rPr>
          <w:rFonts w:ascii="Times New Roman" w:hAnsi="Times New Roman" w:cs="Times New Roman"/>
          <w:sz w:val="24"/>
        </w:rPr>
        <w:t xml:space="preserve">, 317-320. </w:t>
      </w:r>
      <w:hyperlink r:id="rId328" w:history="1">
        <w:r w:rsidRPr="00CE0149">
          <w:rPr>
            <w:rStyle w:val="Hyperlink"/>
            <w:rFonts w:ascii="Times New Roman" w:hAnsi="Times New Roman" w:cs="Times New Roman"/>
            <w:sz w:val="24"/>
          </w:rPr>
          <w:t>https://doi.org/https://doi.org/10.1097/IOP.0b013e3182115229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ACC0B81" w14:textId="03DB2C0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Danchaivijitr, C., &amp; Kennard, C. (2004). Diplopia and eye movement disorders. </w:t>
      </w:r>
      <w:r w:rsidRPr="00CE0149">
        <w:rPr>
          <w:rFonts w:ascii="Times New Roman" w:hAnsi="Times New Roman" w:cs="Times New Roman"/>
          <w:i/>
          <w:sz w:val="24"/>
        </w:rPr>
        <w:t>Neurology in Practice</w:t>
      </w:r>
      <w:r w:rsidRPr="00CE0149">
        <w:rPr>
          <w:rFonts w:ascii="Times New Roman" w:hAnsi="Times New Roman" w:cs="Times New Roman"/>
          <w:sz w:val="24"/>
        </w:rPr>
        <w:t>,</w:t>
      </w:r>
      <w:r w:rsidRPr="00CE0149">
        <w:rPr>
          <w:rFonts w:ascii="Times New Roman" w:hAnsi="Times New Roman" w:cs="Times New Roman"/>
          <w:i/>
          <w:sz w:val="24"/>
        </w:rPr>
        <w:t xml:space="preserve"> 75</w:t>
      </w:r>
      <w:r w:rsidRPr="00CE0149">
        <w:rPr>
          <w:rFonts w:ascii="Times New Roman" w:hAnsi="Times New Roman" w:cs="Times New Roman"/>
          <w:sz w:val="24"/>
        </w:rPr>
        <w:t xml:space="preserve">(4), iv24-iv31. </w:t>
      </w:r>
      <w:hyperlink r:id="rId329" w:history="1">
        <w:r w:rsidRPr="00CE0149">
          <w:rPr>
            <w:rStyle w:val="Hyperlink"/>
            <w:rFonts w:ascii="Times New Roman" w:hAnsi="Times New Roman" w:cs="Times New Roman"/>
            <w:sz w:val="24"/>
          </w:rPr>
          <w:t>https://doi.org/10.1136/jnnp.2004.053413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86FF657" w14:textId="4C4CB5ED"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De Santi, L., Lanzafame, P., Spanò, B., D’Aleo, G., Bramanti, A., Bramanti, P., &amp; Marino, S. (2010). Pursuit ocular movements in multiple sclerosis: a video-based eye-tracking study. </w:t>
      </w:r>
      <w:r w:rsidRPr="00CE0149">
        <w:rPr>
          <w:rFonts w:ascii="Times New Roman" w:hAnsi="Times New Roman" w:cs="Times New Roman"/>
          <w:i/>
          <w:sz w:val="24"/>
        </w:rPr>
        <w:t>Neurol Sci</w:t>
      </w:r>
      <w:r w:rsidRPr="00CE0149">
        <w:rPr>
          <w:rFonts w:ascii="Times New Roman" w:hAnsi="Times New Roman" w:cs="Times New Roman"/>
          <w:sz w:val="24"/>
        </w:rPr>
        <w:t>,</w:t>
      </w:r>
      <w:r w:rsidRPr="00CE0149">
        <w:rPr>
          <w:rFonts w:ascii="Times New Roman" w:hAnsi="Times New Roman" w:cs="Times New Roman"/>
          <w:i/>
          <w:sz w:val="24"/>
        </w:rPr>
        <w:t xml:space="preserve"> 32</w:t>
      </w:r>
      <w:r w:rsidRPr="00CE0149">
        <w:rPr>
          <w:rFonts w:ascii="Times New Roman" w:hAnsi="Times New Roman" w:cs="Times New Roman"/>
          <w:sz w:val="24"/>
        </w:rPr>
        <w:t xml:space="preserve">(1), 67-71. </w:t>
      </w:r>
      <w:hyperlink r:id="rId330" w:history="1">
        <w:r w:rsidRPr="00CE0149">
          <w:rPr>
            <w:rStyle w:val="Hyperlink"/>
            <w:rFonts w:ascii="Times New Roman" w:hAnsi="Times New Roman" w:cs="Times New Roman"/>
            <w:sz w:val="24"/>
          </w:rPr>
          <w:t>https://doi.org/10.1007/s10072-010-0395-1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36D72FD" w14:textId="2D63AF3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Di Russo, F., Pitzalis, S., &amp; Spinelli, D. (2003). Fixation stability and saccadic latency in élite shooters. </w:t>
      </w:r>
      <w:r w:rsidRPr="00CE0149">
        <w:rPr>
          <w:rFonts w:ascii="Times New Roman" w:hAnsi="Times New Roman" w:cs="Times New Roman"/>
          <w:i/>
          <w:sz w:val="24"/>
        </w:rPr>
        <w:t>Vision research : an international journal in visual science.</w:t>
      </w:r>
      <w:r w:rsidRPr="00CE0149">
        <w:rPr>
          <w:rFonts w:ascii="Times New Roman" w:hAnsi="Times New Roman" w:cs="Times New Roman"/>
          <w:sz w:val="24"/>
        </w:rPr>
        <w:t>,</w:t>
      </w:r>
      <w:r w:rsidRPr="00CE0149">
        <w:rPr>
          <w:rFonts w:ascii="Times New Roman" w:hAnsi="Times New Roman" w:cs="Times New Roman"/>
          <w:i/>
          <w:sz w:val="24"/>
        </w:rPr>
        <w:t xml:space="preserve"> 43</w:t>
      </w:r>
      <w:r w:rsidRPr="00CE0149">
        <w:rPr>
          <w:rFonts w:ascii="Times New Roman" w:hAnsi="Times New Roman" w:cs="Times New Roman"/>
          <w:sz w:val="24"/>
        </w:rPr>
        <w:t xml:space="preserve">(17), 1837-1845. </w:t>
      </w:r>
      <w:hyperlink r:id="rId331" w:history="1">
        <w:r w:rsidRPr="00CE0149">
          <w:rPr>
            <w:rStyle w:val="Hyperlink"/>
            <w:rFonts w:ascii="Times New Roman" w:hAnsi="Times New Roman" w:cs="Times New Roman"/>
            <w:sz w:val="24"/>
          </w:rPr>
          <w:t>https://doi.org/10.1016/s0042-6989(03)00299-2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477A3A1" w14:textId="7103250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Dolman, P. J. M. D. F., Cahill, K. M. D., Czyz, C. N. D. O. F., Douglas, R. S. M. D. P., Elner, V. M. M. D. P., Feldon, S. M. D. M. B. A., . . . Uddin, J. M. A. (2012). Reliability of Estimating Ductions in Thyroid Eye Disease. </w:t>
      </w:r>
      <w:r w:rsidRPr="00CE0149">
        <w:rPr>
          <w:rFonts w:ascii="Times New Roman" w:hAnsi="Times New Roman" w:cs="Times New Roman"/>
          <w:i/>
          <w:sz w:val="24"/>
        </w:rPr>
        <w:t>Ophthalmology (Rochester, Minn.)</w:t>
      </w:r>
      <w:r w:rsidRPr="00CE0149">
        <w:rPr>
          <w:rFonts w:ascii="Times New Roman" w:hAnsi="Times New Roman" w:cs="Times New Roman"/>
          <w:sz w:val="24"/>
        </w:rPr>
        <w:t>,</w:t>
      </w:r>
      <w:r w:rsidRPr="00CE0149">
        <w:rPr>
          <w:rFonts w:ascii="Times New Roman" w:hAnsi="Times New Roman" w:cs="Times New Roman"/>
          <w:i/>
          <w:sz w:val="24"/>
        </w:rPr>
        <w:t xml:space="preserve"> 119</w:t>
      </w:r>
      <w:r w:rsidRPr="00CE0149">
        <w:rPr>
          <w:rFonts w:ascii="Times New Roman" w:hAnsi="Times New Roman" w:cs="Times New Roman"/>
          <w:sz w:val="24"/>
        </w:rPr>
        <w:t xml:space="preserve">(2), 382-389. </w:t>
      </w:r>
      <w:hyperlink r:id="rId332" w:history="1">
        <w:r w:rsidRPr="00CE0149">
          <w:rPr>
            <w:rStyle w:val="Hyperlink"/>
            <w:rFonts w:ascii="Times New Roman" w:hAnsi="Times New Roman" w:cs="Times New Roman"/>
            <w:sz w:val="24"/>
          </w:rPr>
          <w:t>https://doi.org/10.1016/j.ophtha.2011.07.011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89E7DCB"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Enderle, J. D. (2010). </w:t>
      </w:r>
      <w:r w:rsidRPr="00CE0149">
        <w:rPr>
          <w:rFonts w:ascii="Times New Roman" w:hAnsi="Times New Roman" w:cs="Times New Roman"/>
          <w:i/>
          <w:sz w:val="24"/>
        </w:rPr>
        <w:t>Models of horizontal eye movements. Part I, Early models of saccades and smooth pursuit [electronic resource]</w:t>
      </w:r>
      <w:r w:rsidRPr="00CE0149">
        <w:rPr>
          <w:rFonts w:ascii="Times New Roman" w:hAnsi="Times New Roman" w:cs="Times New Roman"/>
          <w:sz w:val="24"/>
        </w:rPr>
        <w:t xml:space="preserve">. San Rafael, Calif. 1537 Fourth Street, San Rafael, CA 94901 USA : Morgan &amp; Claypool, c2010. </w:t>
      </w:r>
      <w:r w:rsidRPr="00CE0149">
        <w:rPr>
          <w:rFonts w:ascii="Times New Roman" w:hAnsi="Times New Roman" w:cs="Times New Roman"/>
          <w:sz w:val="24"/>
        </w:rPr>
        <w:tab/>
      </w:r>
    </w:p>
    <w:p w14:paraId="3FAEE35C" w14:textId="01A0DC2E"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Erikson, A., Forsberg, H., Nilsson, M., Astrom, M., &amp; Mansson, J.-E. (2006). Ten years' experience of enzyme infusion therapy of Norrbottnian (type 3) Gaucher disease. </w:t>
      </w:r>
      <w:r w:rsidRPr="00CE0149">
        <w:rPr>
          <w:rFonts w:ascii="Times New Roman" w:hAnsi="Times New Roman" w:cs="Times New Roman"/>
          <w:i/>
          <w:sz w:val="24"/>
        </w:rPr>
        <w:t>Acta Paediatr</w:t>
      </w:r>
      <w:r w:rsidRPr="00CE0149">
        <w:rPr>
          <w:rFonts w:ascii="Times New Roman" w:hAnsi="Times New Roman" w:cs="Times New Roman"/>
          <w:sz w:val="24"/>
        </w:rPr>
        <w:t>,</w:t>
      </w:r>
      <w:r w:rsidRPr="00CE0149">
        <w:rPr>
          <w:rFonts w:ascii="Times New Roman" w:hAnsi="Times New Roman" w:cs="Times New Roman"/>
          <w:i/>
          <w:sz w:val="24"/>
        </w:rPr>
        <w:t xml:space="preserve"> 95</w:t>
      </w:r>
      <w:r w:rsidRPr="00CE0149">
        <w:rPr>
          <w:rFonts w:ascii="Times New Roman" w:hAnsi="Times New Roman" w:cs="Times New Roman"/>
          <w:sz w:val="24"/>
        </w:rPr>
        <w:t xml:space="preserve">(3), 312-317. </w:t>
      </w:r>
      <w:hyperlink r:id="rId333" w:history="1">
        <w:r w:rsidRPr="00CE0149">
          <w:rPr>
            <w:rStyle w:val="Hyperlink"/>
            <w:rFonts w:ascii="Times New Roman" w:hAnsi="Times New Roman" w:cs="Times New Roman"/>
            <w:sz w:val="24"/>
          </w:rPr>
          <w:t>https://doi.org/10.1080/08035250500423804</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13CAD03" w14:textId="59C6AFC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Fang, C., Leavitt, J. A., Hodge, D. O., Holmes, J. M., Mohney, B. G., &amp; Chen, J. J. (2016). Incidence and Etiologies of Acquired Third Nerve Palsy Using a Population-Based Method. </w:t>
      </w:r>
      <w:r w:rsidRPr="00CE0149">
        <w:rPr>
          <w:rFonts w:ascii="Times New Roman" w:hAnsi="Times New Roman" w:cs="Times New Roman"/>
          <w:i/>
          <w:sz w:val="24"/>
        </w:rPr>
        <w:t>JAMA Ophthalmol</w:t>
      </w:r>
      <w:r w:rsidRPr="00CE0149">
        <w:rPr>
          <w:rFonts w:ascii="Times New Roman" w:hAnsi="Times New Roman" w:cs="Times New Roman"/>
          <w:sz w:val="24"/>
        </w:rPr>
        <w:t>,</w:t>
      </w:r>
      <w:r w:rsidRPr="00CE0149">
        <w:rPr>
          <w:rFonts w:ascii="Times New Roman" w:hAnsi="Times New Roman" w:cs="Times New Roman"/>
          <w:i/>
          <w:sz w:val="24"/>
        </w:rPr>
        <w:t xml:space="preserve"> 135</w:t>
      </w:r>
      <w:r w:rsidRPr="00CE0149">
        <w:rPr>
          <w:rFonts w:ascii="Times New Roman" w:hAnsi="Times New Roman" w:cs="Times New Roman"/>
          <w:sz w:val="24"/>
        </w:rPr>
        <w:t xml:space="preserve">(1), 23-28. </w:t>
      </w:r>
      <w:hyperlink r:id="rId334" w:history="1">
        <w:r w:rsidRPr="00CE0149">
          <w:rPr>
            <w:rStyle w:val="Hyperlink"/>
            <w:rFonts w:ascii="Times New Roman" w:hAnsi="Times New Roman" w:cs="Times New Roman"/>
            <w:sz w:val="24"/>
          </w:rPr>
          <w:t>https://doi.org/10.1001/jamaophthalmol.2016.4456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EB92252" w14:textId="6E94121D"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Friedman, L., Jesberger, J. A., &amp; Meltzer, H. Y. (1991). A model of smooth pursuit performance illustrates the relationship between gain catch-up saccade rate and catch-up saccade amplitude in normal controls and patients with schizophrenia. </w:t>
      </w:r>
      <w:r w:rsidRPr="00CE0149">
        <w:rPr>
          <w:rFonts w:ascii="Times New Roman" w:hAnsi="Times New Roman" w:cs="Times New Roman"/>
          <w:i/>
          <w:sz w:val="24"/>
        </w:rPr>
        <w:t>Biological psychiatry.</w:t>
      </w:r>
      <w:r w:rsidRPr="00CE0149">
        <w:rPr>
          <w:rFonts w:ascii="Times New Roman" w:hAnsi="Times New Roman" w:cs="Times New Roman"/>
          <w:sz w:val="24"/>
        </w:rPr>
        <w:t>,</w:t>
      </w:r>
      <w:r w:rsidRPr="00CE0149">
        <w:rPr>
          <w:rFonts w:ascii="Times New Roman" w:hAnsi="Times New Roman" w:cs="Times New Roman"/>
          <w:i/>
          <w:sz w:val="24"/>
        </w:rPr>
        <w:t xml:space="preserve"> 30</w:t>
      </w:r>
      <w:r w:rsidRPr="00CE0149">
        <w:rPr>
          <w:rFonts w:ascii="Times New Roman" w:hAnsi="Times New Roman" w:cs="Times New Roman"/>
          <w:sz w:val="24"/>
        </w:rPr>
        <w:t xml:space="preserve">, 537-556. </w:t>
      </w:r>
      <w:hyperlink r:id="rId335" w:history="1">
        <w:r w:rsidRPr="00CE0149">
          <w:rPr>
            <w:rStyle w:val="Hyperlink"/>
            <w:rFonts w:ascii="Times New Roman" w:hAnsi="Times New Roman" w:cs="Times New Roman"/>
            <w:sz w:val="24"/>
          </w:rPr>
          <w:t>https://doi.org/10.1016/0006-3223(91)90024-G</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BFA241B" w14:textId="46D7E8E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Friedman, L., Jesberger, J. A., Siever, L. J., Thompson, P., Mohs, R., &amp; Meltzer, H. Y. (1995). Smooth pursuit performance in patients with affective disorders or schizophrenia and normal controls: analysis with specific oculomotor measures, RMS error and qualitative ratings. </w:t>
      </w:r>
      <w:r w:rsidRPr="00CE0149">
        <w:rPr>
          <w:rFonts w:ascii="Times New Roman" w:hAnsi="Times New Roman" w:cs="Times New Roman"/>
          <w:i/>
          <w:sz w:val="24"/>
        </w:rPr>
        <w:t>Psychol. Med.</w:t>
      </w:r>
      <w:r w:rsidRPr="00CE0149">
        <w:rPr>
          <w:rFonts w:ascii="Times New Roman" w:hAnsi="Times New Roman" w:cs="Times New Roman"/>
          <w:sz w:val="24"/>
        </w:rPr>
        <w:t>,</w:t>
      </w:r>
      <w:r w:rsidRPr="00CE0149">
        <w:rPr>
          <w:rFonts w:ascii="Times New Roman" w:hAnsi="Times New Roman" w:cs="Times New Roman"/>
          <w:i/>
          <w:sz w:val="24"/>
        </w:rPr>
        <w:t xml:space="preserve"> 25</w:t>
      </w:r>
      <w:r w:rsidRPr="00CE0149">
        <w:rPr>
          <w:rFonts w:ascii="Times New Roman" w:hAnsi="Times New Roman" w:cs="Times New Roman"/>
          <w:sz w:val="24"/>
        </w:rPr>
        <w:t xml:space="preserve">(2), 387-403. </w:t>
      </w:r>
      <w:hyperlink r:id="rId336" w:history="1">
        <w:r w:rsidRPr="00CE0149">
          <w:rPr>
            <w:rStyle w:val="Hyperlink"/>
            <w:rFonts w:ascii="Times New Roman" w:hAnsi="Times New Roman" w:cs="Times New Roman"/>
            <w:sz w:val="24"/>
          </w:rPr>
          <w:t>https://doi.org/10.1017/S003329170003628X</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27AA465"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Hain, T. C. (1997). Interpretation and usefulness of ocular motility testing. In </w:t>
      </w:r>
      <w:r w:rsidRPr="00CE0149">
        <w:rPr>
          <w:rFonts w:ascii="Times New Roman" w:hAnsi="Times New Roman" w:cs="Times New Roman"/>
          <w:i/>
          <w:sz w:val="24"/>
        </w:rPr>
        <w:t>Handbook of balance function testing</w:t>
      </w:r>
      <w:r w:rsidRPr="00CE0149">
        <w:rPr>
          <w:rFonts w:ascii="Times New Roman" w:hAnsi="Times New Roman" w:cs="Times New Roman"/>
          <w:sz w:val="24"/>
        </w:rPr>
        <w:t xml:space="preserve"> (pp. 101-122). </w:t>
      </w:r>
      <w:r w:rsidRPr="00CE0149">
        <w:rPr>
          <w:rFonts w:ascii="Times New Roman" w:hAnsi="Times New Roman" w:cs="Times New Roman"/>
          <w:sz w:val="24"/>
        </w:rPr>
        <w:tab/>
      </w:r>
    </w:p>
    <w:p w14:paraId="02D9D39C" w14:textId="73A00D5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Hakim, F. E., &amp; Farooq, A. V. (2022). Dry Eye Disease: An Update in 2022. </w:t>
      </w:r>
      <w:r w:rsidRPr="00CE0149">
        <w:rPr>
          <w:rFonts w:ascii="Times New Roman" w:hAnsi="Times New Roman" w:cs="Times New Roman"/>
          <w:i/>
          <w:sz w:val="24"/>
        </w:rPr>
        <w:t>JAMA</w:t>
      </w:r>
      <w:r w:rsidRPr="00CE0149">
        <w:rPr>
          <w:rFonts w:ascii="Times New Roman" w:hAnsi="Times New Roman" w:cs="Times New Roman"/>
          <w:sz w:val="24"/>
        </w:rPr>
        <w:t>,</w:t>
      </w:r>
      <w:r w:rsidRPr="00CE0149">
        <w:rPr>
          <w:rFonts w:ascii="Times New Roman" w:hAnsi="Times New Roman" w:cs="Times New Roman"/>
          <w:i/>
          <w:sz w:val="24"/>
        </w:rPr>
        <w:t xml:space="preserve"> 327</w:t>
      </w:r>
      <w:r w:rsidRPr="00CE0149">
        <w:rPr>
          <w:rFonts w:ascii="Times New Roman" w:hAnsi="Times New Roman" w:cs="Times New Roman"/>
          <w:sz w:val="24"/>
        </w:rPr>
        <w:t xml:space="preserve">(5), 478-479. </w:t>
      </w:r>
      <w:hyperlink r:id="rId337" w:history="1">
        <w:r w:rsidRPr="00CE0149">
          <w:rPr>
            <w:rStyle w:val="Hyperlink"/>
            <w:rFonts w:ascii="Times New Roman" w:hAnsi="Times New Roman" w:cs="Times New Roman"/>
            <w:sz w:val="24"/>
          </w:rPr>
          <w:t>https://doi.org/10.1001/jama.2021.19963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B2C7D99" w14:textId="313753C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Harris, C. M., Taylor, D. S. I., &amp; Vellodi, A. (1999). Ocular Motor Abnormalities in Gaucher Disease. </w:t>
      </w:r>
      <w:r w:rsidRPr="00CE0149">
        <w:rPr>
          <w:rFonts w:ascii="Times New Roman" w:hAnsi="Times New Roman" w:cs="Times New Roman"/>
          <w:i/>
          <w:sz w:val="24"/>
        </w:rPr>
        <w:t>Neuropediatrics</w:t>
      </w:r>
      <w:r w:rsidRPr="00CE0149">
        <w:rPr>
          <w:rFonts w:ascii="Times New Roman" w:hAnsi="Times New Roman" w:cs="Times New Roman"/>
          <w:sz w:val="24"/>
        </w:rPr>
        <w:t>,</w:t>
      </w:r>
      <w:r w:rsidRPr="00CE0149">
        <w:rPr>
          <w:rFonts w:ascii="Times New Roman" w:hAnsi="Times New Roman" w:cs="Times New Roman"/>
          <w:i/>
          <w:sz w:val="24"/>
        </w:rPr>
        <w:t xml:space="preserve"> 30</w:t>
      </w:r>
      <w:r w:rsidRPr="00CE0149">
        <w:rPr>
          <w:rFonts w:ascii="Times New Roman" w:hAnsi="Times New Roman" w:cs="Times New Roman"/>
          <w:sz w:val="24"/>
        </w:rPr>
        <w:t xml:space="preserve">(06), 289-293. </w:t>
      </w:r>
      <w:hyperlink r:id="rId338" w:history="1">
        <w:r w:rsidRPr="00CE0149">
          <w:rPr>
            <w:rStyle w:val="Hyperlink"/>
            <w:rFonts w:ascii="Times New Roman" w:hAnsi="Times New Roman" w:cs="Times New Roman"/>
            <w:sz w:val="24"/>
          </w:rPr>
          <w:t>https://doi.org/10.1055/s-2007-973507</w:t>
        </w:r>
      </w:hyperlink>
      <w:r w:rsidRPr="00CE0149">
        <w:rPr>
          <w:rFonts w:ascii="Times New Roman" w:hAnsi="Times New Roman" w:cs="Times New Roman"/>
          <w:sz w:val="24"/>
        </w:rPr>
        <w:t xml:space="preserve"> </w:t>
      </w:r>
    </w:p>
    <w:p w14:paraId="0933A9BB" w14:textId="077B7C2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Henderson, J. M., Weeks, P. A., &amp; Hollingworth, A. (1999). The Effects of Semantic Consistency on Eye Movements During Complex Scene Viewing. </w:t>
      </w:r>
      <w:r w:rsidRPr="00CE0149">
        <w:rPr>
          <w:rFonts w:ascii="Times New Roman" w:hAnsi="Times New Roman" w:cs="Times New Roman"/>
          <w:i/>
          <w:sz w:val="24"/>
        </w:rPr>
        <w:t>Journal of experimental psychology. Human perception and performance</w:t>
      </w:r>
      <w:r w:rsidRPr="00CE0149">
        <w:rPr>
          <w:rFonts w:ascii="Times New Roman" w:hAnsi="Times New Roman" w:cs="Times New Roman"/>
          <w:sz w:val="24"/>
        </w:rPr>
        <w:t>,</w:t>
      </w:r>
      <w:r w:rsidRPr="00CE0149">
        <w:rPr>
          <w:rFonts w:ascii="Times New Roman" w:hAnsi="Times New Roman" w:cs="Times New Roman"/>
          <w:i/>
          <w:sz w:val="24"/>
        </w:rPr>
        <w:t xml:space="preserve"> 25</w:t>
      </w:r>
      <w:r w:rsidRPr="00CE0149">
        <w:rPr>
          <w:rFonts w:ascii="Times New Roman" w:hAnsi="Times New Roman" w:cs="Times New Roman"/>
          <w:sz w:val="24"/>
        </w:rPr>
        <w:t xml:space="preserve">(1), 210-228. </w:t>
      </w:r>
      <w:hyperlink r:id="rId339" w:history="1">
        <w:r w:rsidRPr="00CE0149">
          <w:rPr>
            <w:rStyle w:val="Hyperlink"/>
            <w:rFonts w:ascii="Times New Roman" w:hAnsi="Times New Roman" w:cs="Times New Roman"/>
            <w:sz w:val="24"/>
          </w:rPr>
          <w:t>https://doi.org/10.1037/0096-1523.25.1.210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BA391EE" w14:textId="6DB3C9A4"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Henriksson, N. G., Pyykko, I., Schalen, L., &amp; Wennmo, C. (1980). Velocity Patterns of Rapid Eye Movements. </w:t>
      </w:r>
      <w:r w:rsidRPr="00CE0149">
        <w:rPr>
          <w:rFonts w:ascii="Times New Roman" w:hAnsi="Times New Roman" w:cs="Times New Roman"/>
          <w:i/>
          <w:sz w:val="24"/>
        </w:rPr>
        <w:t>Acta oto-laryngologica.</w:t>
      </w:r>
      <w:r w:rsidRPr="00CE0149">
        <w:rPr>
          <w:rFonts w:ascii="Times New Roman" w:hAnsi="Times New Roman" w:cs="Times New Roman"/>
          <w:sz w:val="24"/>
        </w:rPr>
        <w:t>,</w:t>
      </w:r>
      <w:r w:rsidRPr="00CE0149">
        <w:rPr>
          <w:rFonts w:ascii="Times New Roman" w:hAnsi="Times New Roman" w:cs="Times New Roman"/>
          <w:i/>
          <w:sz w:val="24"/>
        </w:rPr>
        <w:t xml:space="preserve"> 89</w:t>
      </w:r>
      <w:r w:rsidRPr="00CE0149">
        <w:rPr>
          <w:rFonts w:ascii="Times New Roman" w:hAnsi="Times New Roman" w:cs="Times New Roman"/>
          <w:sz w:val="24"/>
        </w:rPr>
        <w:t xml:space="preserve">(5-6), 504-512. </w:t>
      </w:r>
      <w:hyperlink r:id="rId340" w:history="1">
        <w:r w:rsidRPr="00CE0149">
          <w:rPr>
            <w:rStyle w:val="Hyperlink"/>
            <w:rFonts w:ascii="Times New Roman" w:hAnsi="Times New Roman" w:cs="Times New Roman"/>
            <w:sz w:val="24"/>
          </w:rPr>
          <w:t>https://doi.org/10.3109/00016488009127168</w:t>
        </w:r>
      </w:hyperlink>
    </w:p>
    <w:p w14:paraId="15EC492C" w14:textId="2F64DC85"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Hertle, R. W. (2017). Nystagmus in Infancy and Childhood: Clinical and Eye Movement Characteristics. </w:t>
      </w:r>
      <w:r w:rsidRPr="00CE0149">
        <w:rPr>
          <w:rFonts w:ascii="Times New Roman" w:hAnsi="Times New Roman" w:cs="Times New Roman"/>
          <w:i/>
          <w:sz w:val="24"/>
        </w:rPr>
        <w:t>American Orthoptic Journal</w:t>
      </w:r>
      <w:r w:rsidRPr="00CE0149">
        <w:rPr>
          <w:rFonts w:ascii="Times New Roman" w:hAnsi="Times New Roman" w:cs="Times New Roman"/>
          <w:sz w:val="24"/>
        </w:rPr>
        <w:t>,</w:t>
      </w:r>
      <w:r w:rsidRPr="00CE0149">
        <w:rPr>
          <w:rFonts w:ascii="Times New Roman" w:hAnsi="Times New Roman" w:cs="Times New Roman"/>
          <w:i/>
          <w:sz w:val="24"/>
        </w:rPr>
        <w:t xml:space="preserve"> 67</w:t>
      </w:r>
      <w:r w:rsidRPr="00CE0149">
        <w:rPr>
          <w:rFonts w:ascii="Times New Roman" w:hAnsi="Times New Roman" w:cs="Times New Roman"/>
          <w:sz w:val="24"/>
        </w:rPr>
        <w:t xml:space="preserve">(1), 8-21. </w:t>
      </w:r>
      <w:hyperlink r:id="rId341" w:history="1">
        <w:r w:rsidRPr="00CE0149">
          <w:rPr>
            <w:rStyle w:val="Hyperlink"/>
            <w:rFonts w:ascii="Times New Roman" w:hAnsi="Times New Roman" w:cs="Times New Roman"/>
            <w:sz w:val="24"/>
          </w:rPr>
          <w:t>https://doi.org/10.1080/0065955X.2017.12023626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BFD8AA8" w14:textId="0B14029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Hirasawa, K., Okano, K., Koshiji, R., Funaki, W., &amp; Shoji, N. (2016). Smaller fixation target size is associated with more stable fixation and less variance in threshold sensitivity. </w:t>
      </w:r>
      <w:r w:rsidRPr="00CE0149">
        <w:rPr>
          <w:rFonts w:ascii="Times New Roman" w:hAnsi="Times New Roman" w:cs="Times New Roman"/>
          <w:i/>
          <w:sz w:val="24"/>
        </w:rPr>
        <w:t>PLoS One</w:t>
      </w:r>
      <w:r w:rsidRPr="00CE0149">
        <w:rPr>
          <w:rFonts w:ascii="Times New Roman" w:hAnsi="Times New Roman" w:cs="Times New Roman"/>
          <w:sz w:val="24"/>
        </w:rPr>
        <w:t>,</w:t>
      </w:r>
      <w:r w:rsidRPr="00CE0149">
        <w:rPr>
          <w:rFonts w:ascii="Times New Roman" w:hAnsi="Times New Roman" w:cs="Times New Roman"/>
          <w:i/>
          <w:sz w:val="24"/>
        </w:rPr>
        <w:t xml:space="preserve"> 11</w:t>
      </w:r>
      <w:r w:rsidRPr="00CE0149">
        <w:rPr>
          <w:rFonts w:ascii="Times New Roman" w:hAnsi="Times New Roman" w:cs="Times New Roman"/>
          <w:sz w:val="24"/>
        </w:rPr>
        <w:t xml:space="preserve">(11), e0165046-e0165046. </w:t>
      </w:r>
      <w:hyperlink r:id="rId342" w:history="1">
        <w:r w:rsidRPr="00CE0149">
          <w:rPr>
            <w:rStyle w:val="Hyperlink"/>
            <w:rFonts w:ascii="Times New Roman" w:hAnsi="Times New Roman" w:cs="Times New Roman"/>
            <w:sz w:val="24"/>
          </w:rPr>
          <w:t>https://doi.org/10.1371/journal.pone.0165046</w:t>
        </w:r>
      </w:hyperlink>
      <w:r w:rsidRPr="00CE0149">
        <w:rPr>
          <w:rFonts w:ascii="Times New Roman" w:hAnsi="Times New Roman" w:cs="Times New Roman"/>
          <w:sz w:val="24"/>
        </w:rPr>
        <w:t xml:space="preserve"> </w:t>
      </w:r>
    </w:p>
    <w:p w14:paraId="7DF6036F"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Holmqvist, K. (2011). </w:t>
      </w:r>
      <w:r w:rsidRPr="00CE0149">
        <w:rPr>
          <w:rFonts w:ascii="Times New Roman" w:hAnsi="Times New Roman" w:cs="Times New Roman"/>
          <w:i/>
          <w:sz w:val="24"/>
        </w:rPr>
        <w:t>Eye tracking : a comprehensive guide to methods and measures</w:t>
      </w:r>
      <w:r w:rsidRPr="00CE0149">
        <w:rPr>
          <w:rFonts w:ascii="Times New Roman" w:hAnsi="Times New Roman" w:cs="Times New Roman"/>
          <w:sz w:val="24"/>
        </w:rPr>
        <w:t xml:space="preserve">. Oxford : Oxford University Press, 2011. </w:t>
      </w:r>
      <w:r w:rsidRPr="00CE0149">
        <w:rPr>
          <w:rFonts w:ascii="Times New Roman" w:hAnsi="Times New Roman" w:cs="Times New Roman"/>
          <w:sz w:val="24"/>
        </w:rPr>
        <w:tab/>
      </w:r>
    </w:p>
    <w:p w14:paraId="7C12F5ED" w14:textId="4EF6768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Hooge, I. T. C., Holleman, G. A., Haukes, N. C., &amp; Hessels, R. S. (2019). Gaze tracking accuracy in humans : One eye is sometimes better than two. </w:t>
      </w:r>
      <w:r w:rsidRPr="00CE0149">
        <w:rPr>
          <w:rFonts w:ascii="Times New Roman" w:hAnsi="Times New Roman" w:cs="Times New Roman"/>
          <w:i/>
          <w:sz w:val="24"/>
        </w:rPr>
        <w:t>Behav Res Methods</w:t>
      </w:r>
      <w:r w:rsidRPr="00CE0149">
        <w:rPr>
          <w:rFonts w:ascii="Times New Roman" w:hAnsi="Times New Roman" w:cs="Times New Roman"/>
          <w:sz w:val="24"/>
        </w:rPr>
        <w:t>,</w:t>
      </w:r>
      <w:r w:rsidRPr="00CE0149">
        <w:rPr>
          <w:rFonts w:ascii="Times New Roman" w:hAnsi="Times New Roman" w:cs="Times New Roman"/>
          <w:i/>
          <w:sz w:val="24"/>
        </w:rPr>
        <w:t xml:space="preserve"> 51</w:t>
      </w:r>
      <w:r w:rsidRPr="00CE0149">
        <w:rPr>
          <w:rFonts w:ascii="Times New Roman" w:hAnsi="Times New Roman" w:cs="Times New Roman"/>
          <w:sz w:val="24"/>
        </w:rPr>
        <w:t xml:space="preserve">(6), 2712-2721. </w:t>
      </w:r>
      <w:hyperlink r:id="rId343" w:history="1">
        <w:r w:rsidRPr="00CE0149">
          <w:rPr>
            <w:rStyle w:val="Hyperlink"/>
            <w:rFonts w:ascii="Times New Roman" w:hAnsi="Times New Roman" w:cs="Times New Roman"/>
            <w:sz w:val="24"/>
          </w:rPr>
          <w:t>https://doi.org/10.3758/s13428-018-1135-3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096122F" w14:textId="28A92C9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Hopf, S., Schmidtmann, I., Ashayer, S., &amp; Pitz, S. (2018). Age dependent normative data of vertical and horizontal reflexive saccades. </w:t>
      </w:r>
      <w:r w:rsidRPr="00CE0149">
        <w:rPr>
          <w:rFonts w:ascii="Times New Roman" w:hAnsi="Times New Roman" w:cs="Times New Roman"/>
          <w:i/>
          <w:sz w:val="24"/>
        </w:rPr>
        <w:t>PLoS One</w:t>
      </w:r>
      <w:r w:rsidRPr="00CE0149">
        <w:rPr>
          <w:rFonts w:ascii="Times New Roman" w:hAnsi="Times New Roman" w:cs="Times New Roman"/>
          <w:sz w:val="24"/>
        </w:rPr>
        <w:t>,</w:t>
      </w:r>
      <w:r w:rsidRPr="00CE0149">
        <w:rPr>
          <w:rFonts w:ascii="Times New Roman" w:hAnsi="Times New Roman" w:cs="Times New Roman"/>
          <w:i/>
          <w:sz w:val="24"/>
        </w:rPr>
        <w:t xml:space="preserve"> 13</w:t>
      </w:r>
      <w:r w:rsidRPr="00CE0149">
        <w:rPr>
          <w:rFonts w:ascii="Times New Roman" w:hAnsi="Times New Roman" w:cs="Times New Roman"/>
          <w:sz w:val="24"/>
        </w:rPr>
        <w:t xml:space="preserve">(9), e0204008. </w:t>
      </w:r>
      <w:hyperlink r:id="rId344" w:history="1">
        <w:r w:rsidRPr="00CE0149">
          <w:rPr>
            <w:rStyle w:val="Hyperlink"/>
            <w:rFonts w:ascii="Times New Roman" w:hAnsi="Times New Roman" w:cs="Times New Roman"/>
            <w:sz w:val="24"/>
          </w:rPr>
          <w:t>https://doi.org/10.1371/journal.pone.0204008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F9AADED" w14:textId="7CD34E9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Houben, M. M. J., Goumans, J., &amp; van der Steen, J. (2006). Recording three-dimensional eye movements: Scleral search coils versus video oculography [Article].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47</w:t>
      </w:r>
      <w:r w:rsidRPr="00CE0149">
        <w:rPr>
          <w:rFonts w:ascii="Times New Roman" w:hAnsi="Times New Roman" w:cs="Times New Roman"/>
          <w:sz w:val="24"/>
        </w:rPr>
        <w:t xml:space="preserve">(1), 179-187. </w:t>
      </w:r>
      <w:hyperlink r:id="rId345" w:history="1">
        <w:r w:rsidRPr="00CE0149">
          <w:rPr>
            <w:rStyle w:val="Hyperlink"/>
            <w:rFonts w:ascii="Times New Roman" w:hAnsi="Times New Roman" w:cs="Times New Roman"/>
            <w:sz w:val="24"/>
          </w:rPr>
          <w:t>https://doi.org/10.1167/iovs.05-0234</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EFAA403"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Huaman, A. G., &amp; Sharpe, J. A. (1993). Vertical saccades in senescence.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34</w:t>
      </w:r>
      <w:r w:rsidRPr="00CE0149">
        <w:rPr>
          <w:rFonts w:ascii="Times New Roman" w:hAnsi="Times New Roman" w:cs="Times New Roman"/>
          <w:sz w:val="24"/>
        </w:rPr>
        <w:t xml:space="preserve">(8), 2588-2595. </w:t>
      </w:r>
      <w:r w:rsidRPr="00CE0149">
        <w:rPr>
          <w:rFonts w:ascii="Times New Roman" w:hAnsi="Times New Roman" w:cs="Times New Roman"/>
          <w:sz w:val="24"/>
        </w:rPr>
        <w:tab/>
      </w:r>
    </w:p>
    <w:p w14:paraId="6FB01A9F" w14:textId="789455B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Hussain, N. (2016). Diagnosis, assessment and management of nystagmus in childhood. </w:t>
      </w:r>
      <w:r w:rsidRPr="00CE0149">
        <w:rPr>
          <w:rFonts w:ascii="Times New Roman" w:hAnsi="Times New Roman" w:cs="Times New Roman"/>
          <w:i/>
          <w:sz w:val="24"/>
        </w:rPr>
        <w:t>Paediatrics and Child Health</w:t>
      </w:r>
      <w:r w:rsidRPr="00CE0149">
        <w:rPr>
          <w:rFonts w:ascii="Times New Roman" w:hAnsi="Times New Roman" w:cs="Times New Roman"/>
          <w:sz w:val="24"/>
        </w:rPr>
        <w:t>,</w:t>
      </w:r>
      <w:r w:rsidRPr="00CE0149">
        <w:rPr>
          <w:rFonts w:ascii="Times New Roman" w:hAnsi="Times New Roman" w:cs="Times New Roman"/>
          <w:i/>
          <w:sz w:val="24"/>
        </w:rPr>
        <w:t xml:space="preserve"> 26</w:t>
      </w:r>
      <w:r w:rsidRPr="00CE0149">
        <w:rPr>
          <w:rFonts w:ascii="Times New Roman" w:hAnsi="Times New Roman" w:cs="Times New Roman"/>
          <w:sz w:val="24"/>
        </w:rPr>
        <w:t xml:space="preserve">(1), 31-36. </w:t>
      </w:r>
      <w:hyperlink r:id="rId346" w:history="1">
        <w:r w:rsidRPr="00CE0149">
          <w:rPr>
            <w:rStyle w:val="Hyperlink"/>
            <w:rFonts w:ascii="Times New Roman" w:hAnsi="Times New Roman" w:cs="Times New Roman"/>
            <w:sz w:val="24"/>
          </w:rPr>
          <w:t>https://doi.org/10.1016/j.paed.2015.09.009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7AD266B" w14:textId="232401A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Hutton, J. T., Nagel, J. A., &amp; Loewenson, R. B. (1983). Variables affecting eye tracking performance. </w:t>
      </w:r>
      <w:r w:rsidRPr="00CE0149">
        <w:rPr>
          <w:rFonts w:ascii="Times New Roman" w:hAnsi="Times New Roman" w:cs="Times New Roman"/>
          <w:i/>
          <w:sz w:val="24"/>
        </w:rPr>
        <w:t>Electroencephalography and Clinical Neurophysiology</w:t>
      </w:r>
      <w:r w:rsidRPr="00CE0149">
        <w:rPr>
          <w:rFonts w:ascii="Times New Roman" w:hAnsi="Times New Roman" w:cs="Times New Roman"/>
          <w:sz w:val="24"/>
        </w:rPr>
        <w:t>,</w:t>
      </w:r>
      <w:r w:rsidRPr="00CE0149">
        <w:rPr>
          <w:rFonts w:ascii="Times New Roman" w:hAnsi="Times New Roman" w:cs="Times New Roman"/>
          <w:i/>
          <w:sz w:val="24"/>
        </w:rPr>
        <w:t xml:space="preserve"> 56</w:t>
      </w:r>
      <w:r w:rsidRPr="00CE0149">
        <w:rPr>
          <w:rFonts w:ascii="Times New Roman" w:hAnsi="Times New Roman" w:cs="Times New Roman"/>
          <w:sz w:val="24"/>
        </w:rPr>
        <w:t xml:space="preserve">(5), 414-419. </w:t>
      </w:r>
      <w:hyperlink r:id="rId347" w:history="1">
        <w:r w:rsidRPr="00CE0149">
          <w:rPr>
            <w:rStyle w:val="Hyperlink"/>
            <w:rFonts w:ascii="Times New Roman" w:hAnsi="Times New Roman" w:cs="Times New Roman"/>
            <w:sz w:val="24"/>
          </w:rPr>
          <w:t>https://doi.org/10.1016/0013-4694(83)90223-7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F703363"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Hutton, S. B., Crawford, T. J., Puri, B. K., Duncan, L. J., Chapman, M., Kennard, C., . . . Joyce, E. M. (1998). Smooth pursuit and saccadic abnormalities in first-episode schizophrenia. </w:t>
      </w:r>
      <w:r w:rsidRPr="00CE0149">
        <w:rPr>
          <w:rFonts w:ascii="Times New Roman" w:hAnsi="Times New Roman" w:cs="Times New Roman"/>
          <w:i/>
          <w:sz w:val="24"/>
        </w:rPr>
        <w:t>Psychological Medicine</w:t>
      </w:r>
      <w:r w:rsidRPr="00CE0149">
        <w:rPr>
          <w:rFonts w:ascii="Times New Roman" w:hAnsi="Times New Roman" w:cs="Times New Roman"/>
          <w:sz w:val="24"/>
        </w:rPr>
        <w:t>,</w:t>
      </w:r>
      <w:r w:rsidRPr="00CE0149">
        <w:rPr>
          <w:rFonts w:ascii="Times New Roman" w:hAnsi="Times New Roman" w:cs="Times New Roman"/>
          <w:i/>
          <w:sz w:val="24"/>
        </w:rPr>
        <w:t xml:space="preserve"> 28</w:t>
      </w:r>
      <w:r w:rsidRPr="00CE0149">
        <w:rPr>
          <w:rFonts w:ascii="Times New Roman" w:hAnsi="Times New Roman" w:cs="Times New Roman"/>
          <w:sz w:val="24"/>
        </w:rPr>
        <w:t xml:space="preserve">(3), 685-692. </w:t>
      </w:r>
      <w:r w:rsidRPr="00CE0149">
        <w:rPr>
          <w:rFonts w:ascii="Times New Roman" w:hAnsi="Times New Roman" w:cs="Times New Roman"/>
          <w:sz w:val="24"/>
        </w:rPr>
        <w:tab/>
      </w:r>
    </w:p>
    <w:p w14:paraId="1F1EEF1A" w14:textId="585FD349"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Ignace Th, C. H., &amp; Berg, A. V. v. d. (2000). Visually Evoked Cyclovergence and Extended Listing's Law. </w:t>
      </w:r>
      <w:r w:rsidRPr="00CE0149">
        <w:rPr>
          <w:rFonts w:ascii="Times New Roman" w:hAnsi="Times New Roman" w:cs="Times New Roman"/>
          <w:i/>
          <w:sz w:val="24"/>
        </w:rPr>
        <w:t>J Neurophysiol</w:t>
      </w:r>
      <w:r w:rsidRPr="00CE0149">
        <w:rPr>
          <w:rFonts w:ascii="Times New Roman" w:hAnsi="Times New Roman" w:cs="Times New Roman"/>
          <w:sz w:val="24"/>
        </w:rPr>
        <w:t>,</w:t>
      </w:r>
      <w:r w:rsidRPr="00CE0149">
        <w:rPr>
          <w:rFonts w:ascii="Times New Roman" w:hAnsi="Times New Roman" w:cs="Times New Roman"/>
          <w:i/>
          <w:sz w:val="24"/>
        </w:rPr>
        <w:t xml:space="preserve"> 83</w:t>
      </w:r>
      <w:r w:rsidRPr="00CE0149">
        <w:rPr>
          <w:rFonts w:ascii="Times New Roman" w:hAnsi="Times New Roman" w:cs="Times New Roman"/>
          <w:sz w:val="24"/>
        </w:rPr>
        <w:t xml:space="preserve">(5), 2757-2775. </w:t>
      </w:r>
      <w:hyperlink r:id="rId348" w:history="1">
        <w:r w:rsidRPr="00CE0149">
          <w:rPr>
            <w:rStyle w:val="Hyperlink"/>
            <w:rFonts w:ascii="Times New Roman" w:hAnsi="Times New Roman" w:cs="Times New Roman"/>
            <w:sz w:val="24"/>
          </w:rPr>
          <w:t>https://doi.org/10.1152/jn.2000.83.5.2757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A69EDE4" w14:textId="5B0C93B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Imai, T., Sekine, K., Hattori, K., Takeda, N., Koizuka, I., Nakamae, K., . . . Kubo, T. (2005). Comparing the accuracy of video-oculography and the scleral search coil system in human eye movement analysis. </w:t>
      </w:r>
      <w:r w:rsidRPr="00CE0149">
        <w:rPr>
          <w:rFonts w:ascii="Times New Roman" w:hAnsi="Times New Roman" w:cs="Times New Roman"/>
          <w:i/>
          <w:sz w:val="24"/>
        </w:rPr>
        <w:t>Auris Nasus Larynx</w:t>
      </w:r>
      <w:r w:rsidRPr="00CE0149">
        <w:rPr>
          <w:rFonts w:ascii="Times New Roman" w:hAnsi="Times New Roman" w:cs="Times New Roman"/>
          <w:sz w:val="24"/>
        </w:rPr>
        <w:t>,</w:t>
      </w:r>
      <w:r w:rsidRPr="00CE0149">
        <w:rPr>
          <w:rFonts w:ascii="Times New Roman" w:hAnsi="Times New Roman" w:cs="Times New Roman"/>
          <w:i/>
          <w:sz w:val="24"/>
        </w:rPr>
        <w:t xml:space="preserve"> 32</w:t>
      </w:r>
      <w:r w:rsidRPr="00CE0149">
        <w:rPr>
          <w:rFonts w:ascii="Times New Roman" w:hAnsi="Times New Roman" w:cs="Times New Roman"/>
          <w:sz w:val="24"/>
        </w:rPr>
        <w:t xml:space="preserve">, 3-9. </w:t>
      </w:r>
      <w:hyperlink r:id="rId349" w:history="1">
        <w:r w:rsidRPr="00CE0149">
          <w:rPr>
            <w:rStyle w:val="Hyperlink"/>
            <w:rFonts w:ascii="Times New Roman" w:hAnsi="Times New Roman" w:cs="Times New Roman"/>
            <w:sz w:val="24"/>
          </w:rPr>
          <w:t>https://doi.org/10.1016/j.anl.2004.11.009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04222BD" w14:textId="7789CF4D"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Irving, E. L., González, E. G., Lillakas, L., Wareham, J., &amp; McCarthy, T. (2011). Effect of stimulus type on the eye movements of children.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52</w:t>
      </w:r>
      <w:r w:rsidRPr="00CE0149">
        <w:rPr>
          <w:rFonts w:ascii="Times New Roman" w:hAnsi="Times New Roman" w:cs="Times New Roman"/>
          <w:sz w:val="24"/>
        </w:rPr>
        <w:t xml:space="preserve">(2), 658-664. </w:t>
      </w:r>
      <w:hyperlink r:id="rId350" w:history="1">
        <w:r w:rsidRPr="00CE0149">
          <w:rPr>
            <w:rStyle w:val="Hyperlink"/>
            <w:rFonts w:ascii="Times New Roman" w:hAnsi="Times New Roman" w:cs="Times New Roman"/>
            <w:sz w:val="24"/>
          </w:rPr>
          <w:t>https://doi.org/10.1167/iovs.10-5480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85E3447" w14:textId="1D97A214"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Irving, E. L., &amp; Lillakas, L. (2018). Difference between vertical and horizontal saccades across the human lifespan. </w:t>
      </w:r>
      <w:r w:rsidRPr="00CE0149">
        <w:rPr>
          <w:rFonts w:ascii="Times New Roman" w:hAnsi="Times New Roman" w:cs="Times New Roman"/>
          <w:i/>
          <w:sz w:val="24"/>
        </w:rPr>
        <w:t>Experimental eye research.</w:t>
      </w:r>
      <w:r w:rsidRPr="00CE0149">
        <w:rPr>
          <w:rFonts w:ascii="Times New Roman" w:hAnsi="Times New Roman" w:cs="Times New Roman"/>
          <w:sz w:val="24"/>
        </w:rPr>
        <w:t>,</w:t>
      </w:r>
      <w:r w:rsidRPr="00CE0149">
        <w:rPr>
          <w:rFonts w:ascii="Times New Roman" w:hAnsi="Times New Roman" w:cs="Times New Roman"/>
          <w:i/>
          <w:sz w:val="24"/>
        </w:rPr>
        <w:t xml:space="preserve"> 183</w:t>
      </w:r>
      <w:r w:rsidRPr="00CE0149">
        <w:rPr>
          <w:rFonts w:ascii="Times New Roman" w:hAnsi="Times New Roman" w:cs="Times New Roman"/>
          <w:sz w:val="24"/>
        </w:rPr>
        <w:t xml:space="preserve">, 38-45. </w:t>
      </w:r>
      <w:hyperlink r:id="rId351" w:history="1">
        <w:r w:rsidRPr="00CE0149">
          <w:rPr>
            <w:rStyle w:val="Hyperlink"/>
            <w:rFonts w:ascii="Times New Roman" w:hAnsi="Times New Roman" w:cs="Times New Roman"/>
            <w:sz w:val="24"/>
          </w:rPr>
          <w:t>https://doi.org/10.1016/j.exer.2018.08.020</w:t>
        </w:r>
      </w:hyperlink>
    </w:p>
    <w:p w14:paraId="1B5B3E1A" w14:textId="6ECCD302"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Irving, E. L., Lillakas, L., Babu, R. J., Hutchings, N., &amp; Steinbach, M. J. (2006). Horizontal saccade dynamics across the human life span. </w:t>
      </w:r>
      <w:r w:rsidRPr="00CE0149">
        <w:rPr>
          <w:rFonts w:ascii="Times New Roman" w:hAnsi="Times New Roman" w:cs="Times New Roman"/>
          <w:i/>
          <w:sz w:val="24"/>
        </w:rPr>
        <w:t>Investigative Ophthalmology and Visual Science</w:t>
      </w:r>
      <w:r w:rsidRPr="00CE0149">
        <w:rPr>
          <w:rFonts w:ascii="Times New Roman" w:hAnsi="Times New Roman" w:cs="Times New Roman"/>
          <w:sz w:val="24"/>
        </w:rPr>
        <w:t>,</w:t>
      </w:r>
      <w:r w:rsidRPr="00CE0149">
        <w:rPr>
          <w:rFonts w:ascii="Times New Roman" w:hAnsi="Times New Roman" w:cs="Times New Roman"/>
          <w:i/>
          <w:sz w:val="24"/>
        </w:rPr>
        <w:t xml:space="preserve"> 47</w:t>
      </w:r>
      <w:r w:rsidRPr="00CE0149">
        <w:rPr>
          <w:rFonts w:ascii="Times New Roman" w:hAnsi="Times New Roman" w:cs="Times New Roman"/>
          <w:sz w:val="24"/>
        </w:rPr>
        <w:t xml:space="preserve">(6), 2478-2484. </w:t>
      </w:r>
      <w:hyperlink r:id="rId352" w:history="1">
        <w:r w:rsidRPr="00CE0149">
          <w:rPr>
            <w:rStyle w:val="Hyperlink"/>
            <w:rFonts w:ascii="Times New Roman" w:hAnsi="Times New Roman" w:cs="Times New Roman"/>
            <w:sz w:val="24"/>
          </w:rPr>
          <w:t>https://doi.org/10.1167/iovs.05-1311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FC18DDC" w14:textId="13B42B8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Irving, E. L., Zacher, J. E., Allison, R. S., &amp; Callender, M. G. (2003). Effects of scleral search coil wear on visual function.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44</w:t>
      </w:r>
      <w:r w:rsidRPr="00CE0149">
        <w:rPr>
          <w:rFonts w:ascii="Times New Roman" w:hAnsi="Times New Roman" w:cs="Times New Roman"/>
          <w:sz w:val="24"/>
        </w:rPr>
        <w:t xml:space="preserve">(5), 1933-1938. </w:t>
      </w:r>
      <w:hyperlink r:id="rId353" w:history="1">
        <w:r w:rsidRPr="00CE0149">
          <w:rPr>
            <w:rStyle w:val="Hyperlink"/>
            <w:rFonts w:ascii="Times New Roman" w:hAnsi="Times New Roman" w:cs="Times New Roman"/>
            <w:sz w:val="24"/>
          </w:rPr>
          <w:t>https://doi.org/10.1167/iovs.01-0926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638B83F" w14:textId="034DC37B"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Jivraj, I., &amp; Patel, V. (2015). Treatment of ocular motor palsies. </w:t>
      </w:r>
      <w:r w:rsidRPr="00CE0149">
        <w:rPr>
          <w:rFonts w:ascii="Times New Roman" w:hAnsi="Times New Roman" w:cs="Times New Roman"/>
          <w:i/>
          <w:sz w:val="24"/>
        </w:rPr>
        <w:t>Current Treatment Options in Neurology</w:t>
      </w:r>
      <w:r w:rsidRPr="00CE0149">
        <w:rPr>
          <w:rFonts w:ascii="Times New Roman" w:hAnsi="Times New Roman" w:cs="Times New Roman"/>
          <w:sz w:val="24"/>
        </w:rPr>
        <w:t>,</w:t>
      </w:r>
      <w:r w:rsidRPr="00CE0149">
        <w:rPr>
          <w:rFonts w:ascii="Times New Roman" w:hAnsi="Times New Roman" w:cs="Times New Roman"/>
          <w:i/>
          <w:sz w:val="24"/>
        </w:rPr>
        <w:t xml:space="preserve"> 17</w:t>
      </w:r>
      <w:r w:rsidRPr="00CE0149">
        <w:rPr>
          <w:rFonts w:ascii="Times New Roman" w:hAnsi="Times New Roman" w:cs="Times New Roman"/>
          <w:sz w:val="24"/>
        </w:rPr>
        <w:t xml:space="preserve">(3), 1-15. </w:t>
      </w:r>
      <w:hyperlink r:id="rId354" w:history="1">
        <w:r w:rsidRPr="00CE0149">
          <w:rPr>
            <w:rStyle w:val="Hyperlink"/>
            <w:rFonts w:ascii="Times New Roman" w:hAnsi="Times New Roman" w:cs="Times New Roman"/>
            <w:sz w:val="24"/>
          </w:rPr>
          <w:t>https://doi.org/10.1007/s11940-015-0338-5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A72EC44" w14:textId="3DB116FE"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Jukes, C., Bjerre, A., Codina, C., &amp; Griffiths, H. (2021). Measurement of ductions and fields of binocular single vision (BSV): orthoptic practice in the UK and Ireland. </w:t>
      </w:r>
      <w:r w:rsidRPr="00CE0149">
        <w:rPr>
          <w:rFonts w:ascii="Times New Roman" w:hAnsi="Times New Roman" w:cs="Times New Roman"/>
          <w:i/>
          <w:sz w:val="24"/>
        </w:rPr>
        <w:t>Strabismus</w:t>
      </w:r>
      <w:r w:rsidRPr="00CE0149">
        <w:rPr>
          <w:rFonts w:ascii="Times New Roman" w:hAnsi="Times New Roman" w:cs="Times New Roman"/>
          <w:sz w:val="24"/>
        </w:rPr>
        <w:t>,</w:t>
      </w:r>
      <w:r w:rsidRPr="00CE0149">
        <w:rPr>
          <w:rFonts w:ascii="Times New Roman" w:hAnsi="Times New Roman" w:cs="Times New Roman"/>
          <w:i/>
          <w:sz w:val="24"/>
        </w:rPr>
        <w:t xml:space="preserve"> 29</w:t>
      </w:r>
      <w:r w:rsidRPr="00CE0149">
        <w:rPr>
          <w:rFonts w:ascii="Times New Roman" w:hAnsi="Times New Roman" w:cs="Times New Roman"/>
          <w:sz w:val="24"/>
        </w:rPr>
        <w:t xml:space="preserve">(2), 95-101. </w:t>
      </w:r>
      <w:hyperlink r:id="rId355" w:history="1">
        <w:r w:rsidRPr="00CE0149">
          <w:rPr>
            <w:rStyle w:val="Hyperlink"/>
            <w:rFonts w:ascii="Times New Roman" w:hAnsi="Times New Roman" w:cs="Times New Roman"/>
            <w:sz w:val="24"/>
          </w:rPr>
          <w:t>https://doi.org/10.1080/09273972.2021.1914679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EA170C3" w14:textId="6A76891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Kimmel, D. L., Mammo, D., &amp; Newsome, W. T. (2012). Tracking the eye non-invasively: Simultaneous comparison of the scleral search coil and optical tracking techniques in the macaque monkey [Article]. </w:t>
      </w:r>
      <w:r w:rsidRPr="00CE0149">
        <w:rPr>
          <w:rFonts w:ascii="Times New Roman" w:hAnsi="Times New Roman" w:cs="Times New Roman"/>
          <w:i/>
          <w:sz w:val="24"/>
        </w:rPr>
        <w:t>Frontiers in Behavioral Neuroscience</w:t>
      </w:r>
      <w:r w:rsidRPr="00CE0149">
        <w:rPr>
          <w:rFonts w:ascii="Times New Roman" w:hAnsi="Times New Roman" w:cs="Times New Roman"/>
          <w:sz w:val="24"/>
        </w:rPr>
        <w:t>,</w:t>
      </w:r>
      <w:r w:rsidRPr="00CE0149">
        <w:rPr>
          <w:rFonts w:ascii="Times New Roman" w:hAnsi="Times New Roman" w:cs="Times New Roman"/>
          <w:i/>
          <w:sz w:val="24"/>
        </w:rPr>
        <w:t xml:space="preserve"> 6</w:t>
      </w:r>
      <w:r w:rsidRPr="00CE0149">
        <w:rPr>
          <w:rFonts w:ascii="Times New Roman" w:hAnsi="Times New Roman" w:cs="Times New Roman"/>
          <w:sz w:val="24"/>
        </w:rPr>
        <w:t xml:space="preserve">, 17, Article 49. </w:t>
      </w:r>
      <w:hyperlink r:id="rId356" w:history="1">
        <w:r w:rsidRPr="00CE0149">
          <w:rPr>
            <w:rStyle w:val="Hyperlink"/>
            <w:rFonts w:ascii="Times New Roman" w:hAnsi="Times New Roman" w:cs="Times New Roman"/>
            <w:sz w:val="24"/>
          </w:rPr>
          <w:t>https://doi.org/10.3389/fnbeh.2012.00049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D7DA92F" w14:textId="3295FE7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King, A. J., Stacey, E., Stephenson, G., &amp; Trimble, R. B. (1995). Spontaneous recovery rates for unilateral sixth nerve palsies. </w:t>
      </w:r>
      <w:r w:rsidRPr="00CE0149">
        <w:rPr>
          <w:rFonts w:ascii="Times New Roman" w:hAnsi="Times New Roman" w:cs="Times New Roman"/>
          <w:i/>
          <w:sz w:val="24"/>
        </w:rPr>
        <w:t>Eye</w:t>
      </w:r>
      <w:r w:rsidRPr="00CE0149">
        <w:rPr>
          <w:rFonts w:ascii="Times New Roman" w:hAnsi="Times New Roman" w:cs="Times New Roman"/>
          <w:sz w:val="24"/>
        </w:rPr>
        <w:t>,</w:t>
      </w:r>
      <w:r w:rsidRPr="00CE0149">
        <w:rPr>
          <w:rFonts w:ascii="Times New Roman" w:hAnsi="Times New Roman" w:cs="Times New Roman"/>
          <w:i/>
          <w:sz w:val="24"/>
        </w:rPr>
        <w:t xml:space="preserve"> 9</w:t>
      </w:r>
      <w:r w:rsidRPr="00CE0149">
        <w:rPr>
          <w:rFonts w:ascii="Times New Roman" w:hAnsi="Times New Roman" w:cs="Times New Roman"/>
          <w:sz w:val="24"/>
        </w:rPr>
        <w:t xml:space="preserve">(4), 476. </w:t>
      </w:r>
      <w:hyperlink r:id="rId357" w:history="1">
        <w:r w:rsidRPr="00CE0149">
          <w:rPr>
            <w:rStyle w:val="Hyperlink"/>
            <w:rFonts w:ascii="Times New Roman" w:hAnsi="Times New Roman" w:cs="Times New Roman"/>
            <w:sz w:val="24"/>
          </w:rPr>
          <w:t>https://doi.org/10.1038/eye.1995.110</w:t>
        </w:r>
      </w:hyperlink>
      <w:r w:rsidRPr="00CE0149">
        <w:rPr>
          <w:rFonts w:ascii="Times New Roman" w:hAnsi="Times New Roman" w:cs="Times New Roman"/>
          <w:sz w:val="24"/>
        </w:rPr>
        <w:t xml:space="preserve"> </w:t>
      </w:r>
    </w:p>
    <w:p w14:paraId="4C008D1D" w14:textId="6FAD266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Knox, P., Davidson, J., &amp; Anderson, D. (2005). Age- related changes in smooth pursuit initiation. </w:t>
      </w:r>
      <w:r w:rsidRPr="00CE0149">
        <w:rPr>
          <w:rFonts w:ascii="Times New Roman" w:hAnsi="Times New Roman" w:cs="Times New Roman"/>
          <w:i/>
          <w:sz w:val="24"/>
        </w:rPr>
        <w:t>Experimental Brain Research</w:t>
      </w:r>
      <w:r w:rsidRPr="00CE0149">
        <w:rPr>
          <w:rFonts w:ascii="Times New Roman" w:hAnsi="Times New Roman" w:cs="Times New Roman"/>
          <w:sz w:val="24"/>
        </w:rPr>
        <w:t>,</w:t>
      </w:r>
      <w:r w:rsidRPr="00CE0149">
        <w:rPr>
          <w:rFonts w:ascii="Times New Roman" w:hAnsi="Times New Roman" w:cs="Times New Roman"/>
          <w:i/>
          <w:sz w:val="24"/>
        </w:rPr>
        <w:t xml:space="preserve"> 165</w:t>
      </w:r>
      <w:r w:rsidRPr="00CE0149">
        <w:rPr>
          <w:rFonts w:ascii="Times New Roman" w:hAnsi="Times New Roman" w:cs="Times New Roman"/>
          <w:sz w:val="24"/>
        </w:rPr>
        <w:t xml:space="preserve">(1), 1-7. </w:t>
      </w:r>
      <w:hyperlink r:id="rId358" w:history="1">
        <w:r w:rsidRPr="00CE0149">
          <w:rPr>
            <w:rStyle w:val="Hyperlink"/>
            <w:rFonts w:ascii="Times New Roman" w:hAnsi="Times New Roman" w:cs="Times New Roman"/>
            <w:sz w:val="24"/>
          </w:rPr>
          <w:t>https://doi.org/10.1007/s00221-005-2265-2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B176AF3" w14:textId="2BDD92F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Komogortsev, O. V., &amp; Karpov, A. (2013). Automated classification and scoring of smooth pursuit eye movements in the presence of fixations and saccades. </w:t>
      </w:r>
      <w:r w:rsidRPr="00CE0149">
        <w:rPr>
          <w:rFonts w:ascii="Times New Roman" w:hAnsi="Times New Roman" w:cs="Times New Roman"/>
          <w:i/>
          <w:sz w:val="24"/>
        </w:rPr>
        <w:t>Behav Res</w:t>
      </w:r>
      <w:r w:rsidRPr="00CE0149">
        <w:rPr>
          <w:rFonts w:ascii="Times New Roman" w:hAnsi="Times New Roman" w:cs="Times New Roman"/>
          <w:sz w:val="24"/>
        </w:rPr>
        <w:t>,</w:t>
      </w:r>
      <w:r w:rsidRPr="00CE0149">
        <w:rPr>
          <w:rFonts w:ascii="Times New Roman" w:hAnsi="Times New Roman" w:cs="Times New Roman"/>
          <w:i/>
          <w:sz w:val="24"/>
        </w:rPr>
        <w:t xml:space="preserve"> 45</w:t>
      </w:r>
      <w:r w:rsidRPr="00CE0149">
        <w:rPr>
          <w:rFonts w:ascii="Times New Roman" w:hAnsi="Times New Roman" w:cs="Times New Roman"/>
          <w:sz w:val="24"/>
        </w:rPr>
        <w:t xml:space="preserve">, 203-215. </w:t>
      </w:r>
      <w:hyperlink r:id="rId359" w:history="1">
        <w:r w:rsidRPr="00CE0149">
          <w:rPr>
            <w:rStyle w:val="Hyperlink"/>
            <w:rFonts w:ascii="Times New Roman" w:hAnsi="Times New Roman" w:cs="Times New Roman"/>
            <w:sz w:val="24"/>
          </w:rPr>
          <w:t>https://doi.org/10.3758/s13428-012-0234-9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A8A39DC"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Kosnik, W., Fikre, J., &amp; Sekuler, R. (1986). Visual fixation stability in older adults.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27</w:t>
      </w:r>
      <w:r w:rsidRPr="00CE0149">
        <w:rPr>
          <w:rFonts w:ascii="Times New Roman" w:hAnsi="Times New Roman" w:cs="Times New Roman"/>
          <w:sz w:val="24"/>
        </w:rPr>
        <w:t xml:space="preserve">(12), 1720-1725. </w:t>
      </w:r>
      <w:r w:rsidRPr="00CE0149">
        <w:rPr>
          <w:rFonts w:ascii="Times New Roman" w:hAnsi="Times New Roman" w:cs="Times New Roman"/>
          <w:sz w:val="24"/>
        </w:rPr>
        <w:tab/>
      </w:r>
    </w:p>
    <w:p w14:paraId="531185C2" w14:textId="6275C2C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Kowler, E., &amp; Blaser, E. (1995). The accuracy and precision of saccades to small and large targets.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35</w:t>
      </w:r>
      <w:r w:rsidRPr="00CE0149">
        <w:rPr>
          <w:rFonts w:ascii="Times New Roman" w:hAnsi="Times New Roman" w:cs="Times New Roman"/>
          <w:sz w:val="24"/>
        </w:rPr>
        <w:t xml:space="preserve">(12), 1741-1754. </w:t>
      </w:r>
      <w:hyperlink r:id="rId360" w:history="1">
        <w:r w:rsidRPr="00CE0149">
          <w:rPr>
            <w:rStyle w:val="Hyperlink"/>
            <w:rFonts w:ascii="Times New Roman" w:hAnsi="Times New Roman" w:cs="Times New Roman"/>
            <w:sz w:val="24"/>
          </w:rPr>
          <w:t>https://doi.org/10.1016/0042-6989(94)00255-K</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4EEC567" w14:textId="2E3ADBE9"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Laerd. (2013). </w:t>
      </w:r>
      <w:r w:rsidRPr="00CE0149">
        <w:rPr>
          <w:rFonts w:ascii="Times New Roman" w:hAnsi="Times New Roman" w:cs="Times New Roman"/>
          <w:i/>
          <w:sz w:val="24"/>
        </w:rPr>
        <w:t>Laerd Statistics</w:t>
      </w:r>
      <w:r w:rsidRPr="00CE0149">
        <w:rPr>
          <w:rFonts w:ascii="Times New Roman" w:hAnsi="Times New Roman" w:cs="Times New Roman"/>
          <w:sz w:val="24"/>
        </w:rPr>
        <w:t xml:space="preserve">. Lund Research Ltd. </w:t>
      </w:r>
      <w:hyperlink r:id="rId361" w:history="1">
        <w:r w:rsidRPr="00CE0149">
          <w:rPr>
            <w:rStyle w:val="Hyperlink"/>
            <w:rFonts w:ascii="Times New Roman" w:hAnsi="Times New Roman" w:cs="Times New Roman"/>
            <w:sz w:val="24"/>
          </w:rPr>
          <w:t>https://statistics.laerd.com/premium/spss/lr/linear-regression-in-spss.php</w:t>
        </w:r>
      </w:hyperlink>
    </w:p>
    <w:p w14:paraId="46F5BAD3" w14:textId="51A6A5AD"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Leigh, R. J., &amp; Kennard, C. (2004). Using saccades as a research tool in the clinical neurosciences. </w:t>
      </w:r>
      <w:r w:rsidRPr="00CE0149">
        <w:rPr>
          <w:rFonts w:ascii="Times New Roman" w:hAnsi="Times New Roman" w:cs="Times New Roman"/>
          <w:i/>
          <w:sz w:val="24"/>
        </w:rPr>
        <w:t>Brain</w:t>
      </w:r>
      <w:r w:rsidRPr="00CE0149">
        <w:rPr>
          <w:rFonts w:ascii="Times New Roman" w:hAnsi="Times New Roman" w:cs="Times New Roman"/>
          <w:sz w:val="24"/>
        </w:rPr>
        <w:t>,</w:t>
      </w:r>
      <w:r w:rsidRPr="00CE0149">
        <w:rPr>
          <w:rFonts w:ascii="Times New Roman" w:hAnsi="Times New Roman" w:cs="Times New Roman"/>
          <w:i/>
          <w:sz w:val="24"/>
        </w:rPr>
        <w:t xml:space="preserve"> 127</w:t>
      </w:r>
      <w:r w:rsidRPr="00CE0149">
        <w:rPr>
          <w:rFonts w:ascii="Times New Roman" w:hAnsi="Times New Roman" w:cs="Times New Roman"/>
          <w:sz w:val="24"/>
        </w:rPr>
        <w:t xml:space="preserve">(3), 460-477. </w:t>
      </w:r>
      <w:hyperlink r:id="rId362" w:history="1">
        <w:r w:rsidRPr="00CE0149">
          <w:rPr>
            <w:rStyle w:val="Hyperlink"/>
            <w:rFonts w:ascii="Times New Roman" w:hAnsi="Times New Roman" w:cs="Times New Roman"/>
            <w:sz w:val="24"/>
          </w:rPr>
          <w:t>https://doi.org/10.1093/brain/awh035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CB9E589"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Leigh, R. J., &amp; Zee, D. S. (2015). </w:t>
      </w:r>
      <w:r w:rsidRPr="00CE0149">
        <w:rPr>
          <w:rFonts w:ascii="Times New Roman" w:hAnsi="Times New Roman" w:cs="Times New Roman"/>
          <w:i/>
          <w:sz w:val="24"/>
        </w:rPr>
        <w:t>The neurology of eye movements</w:t>
      </w:r>
      <w:r w:rsidRPr="00CE0149">
        <w:rPr>
          <w:rFonts w:ascii="Times New Roman" w:hAnsi="Times New Roman" w:cs="Times New Roman"/>
          <w:sz w:val="24"/>
        </w:rPr>
        <w:t xml:space="preserve"> (5th ed.). New York, NY : Oxford University Press, 2015. </w:t>
      </w:r>
      <w:r w:rsidRPr="00CE0149">
        <w:rPr>
          <w:rFonts w:ascii="Times New Roman" w:hAnsi="Times New Roman" w:cs="Times New Roman"/>
          <w:sz w:val="24"/>
        </w:rPr>
        <w:tab/>
      </w:r>
    </w:p>
    <w:p w14:paraId="143A0BF5" w14:textId="487503E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Lemp, M. A. (2007). The Definition and Classification of Dry Eye Disease: Report of the Definition and Classification Subcommittee of the International Dry Eye Workshop (2007). </w:t>
      </w:r>
      <w:r w:rsidRPr="00CE0149">
        <w:rPr>
          <w:rFonts w:ascii="Times New Roman" w:hAnsi="Times New Roman" w:cs="Times New Roman"/>
          <w:i/>
          <w:sz w:val="24"/>
        </w:rPr>
        <w:t>Ocul Surf</w:t>
      </w:r>
      <w:r w:rsidRPr="00CE0149">
        <w:rPr>
          <w:rFonts w:ascii="Times New Roman" w:hAnsi="Times New Roman" w:cs="Times New Roman"/>
          <w:sz w:val="24"/>
        </w:rPr>
        <w:t>,</w:t>
      </w:r>
      <w:r w:rsidRPr="00CE0149">
        <w:rPr>
          <w:rFonts w:ascii="Times New Roman" w:hAnsi="Times New Roman" w:cs="Times New Roman"/>
          <w:i/>
          <w:sz w:val="24"/>
        </w:rPr>
        <w:t xml:space="preserve"> 5</w:t>
      </w:r>
      <w:r w:rsidRPr="00CE0149">
        <w:rPr>
          <w:rFonts w:ascii="Times New Roman" w:hAnsi="Times New Roman" w:cs="Times New Roman"/>
          <w:sz w:val="24"/>
        </w:rPr>
        <w:t xml:space="preserve">(2), 75-92. </w:t>
      </w:r>
      <w:hyperlink r:id="rId363" w:history="1">
        <w:r w:rsidRPr="00CE0149">
          <w:rPr>
            <w:rStyle w:val="Hyperlink"/>
            <w:rFonts w:ascii="Times New Roman" w:hAnsi="Times New Roman" w:cs="Times New Roman"/>
            <w:sz w:val="24"/>
          </w:rPr>
          <w:t>https://doi.org/10.1016/S1542-0124(12)70081-2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77E679C" w14:textId="3742747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Levy, D. L., Sereno, A. B., Gooding, D. C., &amp; O'Driscoll, G. A. (2010). Eye tracking dysfunction in schizophrenia: characterization and pathophysiology. . </w:t>
      </w:r>
      <w:r w:rsidRPr="00CE0149">
        <w:rPr>
          <w:rFonts w:ascii="Times New Roman" w:hAnsi="Times New Roman" w:cs="Times New Roman"/>
          <w:i/>
          <w:sz w:val="24"/>
        </w:rPr>
        <w:t>Current topics in behavioral neurosciences</w:t>
      </w:r>
      <w:r w:rsidRPr="00CE0149">
        <w:rPr>
          <w:rFonts w:ascii="Times New Roman" w:hAnsi="Times New Roman" w:cs="Times New Roman"/>
          <w:sz w:val="24"/>
        </w:rPr>
        <w:t>,</w:t>
      </w:r>
      <w:r w:rsidRPr="00CE0149">
        <w:rPr>
          <w:rFonts w:ascii="Times New Roman" w:hAnsi="Times New Roman" w:cs="Times New Roman"/>
          <w:i/>
          <w:sz w:val="24"/>
        </w:rPr>
        <w:t xml:space="preserve"> 4</w:t>
      </w:r>
      <w:r w:rsidRPr="00CE0149">
        <w:rPr>
          <w:rFonts w:ascii="Times New Roman" w:hAnsi="Times New Roman" w:cs="Times New Roman"/>
          <w:sz w:val="24"/>
        </w:rPr>
        <w:t xml:space="preserve">, 311–347. </w:t>
      </w:r>
      <w:hyperlink r:id="rId364" w:history="1">
        <w:r w:rsidRPr="00CE0149">
          <w:rPr>
            <w:rStyle w:val="Hyperlink"/>
            <w:rFonts w:ascii="Times New Roman" w:hAnsi="Times New Roman" w:cs="Times New Roman"/>
            <w:sz w:val="24"/>
          </w:rPr>
          <w:t>https://doi.org/10.1007/7854_2010_60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C767575"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Liversedge, S. P., Gilchrist, I. D., &amp; Everling, S. (2011). </w:t>
      </w:r>
      <w:r w:rsidRPr="00CE0149">
        <w:rPr>
          <w:rFonts w:ascii="Times New Roman" w:hAnsi="Times New Roman" w:cs="Times New Roman"/>
          <w:i/>
          <w:sz w:val="24"/>
        </w:rPr>
        <w:t>Oxford handbook of eye movements</w:t>
      </w:r>
      <w:r w:rsidRPr="00CE0149">
        <w:rPr>
          <w:rFonts w:ascii="Times New Roman" w:hAnsi="Times New Roman" w:cs="Times New Roman"/>
          <w:sz w:val="24"/>
        </w:rPr>
        <w:t xml:space="preserve">. Oxford : Oxford University Press, 2011. </w:t>
      </w:r>
      <w:r w:rsidRPr="00CE0149">
        <w:rPr>
          <w:rFonts w:ascii="Times New Roman" w:hAnsi="Times New Roman" w:cs="Times New Roman"/>
          <w:sz w:val="24"/>
        </w:rPr>
        <w:tab/>
      </w:r>
    </w:p>
    <w:p w14:paraId="2DA59494" w14:textId="3E23B76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Lueck, C. J. (2005). Nystagmus. </w:t>
      </w:r>
      <w:r w:rsidRPr="00CE0149">
        <w:rPr>
          <w:rFonts w:ascii="Times New Roman" w:hAnsi="Times New Roman" w:cs="Times New Roman"/>
          <w:i/>
          <w:sz w:val="24"/>
        </w:rPr>
        <w:t>Practical Neurology</w:t>
      </w:r>
      <w:r w:rsidRPr="00CE0149">
        <w:rPr>
          <w:rFonts w:ascii="Times New Roman" w:hAnsi="Times New Roman" w:cs="Times New Roman"/>
          <w:sz w:val="24"/>
        </w:rPr>
        <w:t>,</w:t>
      </w:r>
      <w:r w:rsidRPr="00CE0149">
        <w:rPr>
          <w:rFonts w:ascii="Times New Roman" w:hAnsi="Times New Roman" w:cs="Times New Roman"/>
          <w:i/>
          <w:sz w:val="24"/>
        </w:rPr>
        <w:t xml:space="preserve"> 5</w:t>
      </w:r>
      <w:r w:rsidRPr="00CE0149">
        <w:rPr>
          <w:rFonts w:ascii="Times New Roman" w:hAnsi="Times New Roman" w:cs="Times New Roman"/>
          <w:sz w:val="24"/>
        </w:rPr>
        <w:t xml:space="preserve">(5), 288-291. </w:t>
      </w:r>
      <w:hyperlink r:id="rId365" w:history="1">
        <w:r w:rsidRPr="00CE0149">
          <w:rPr>
            <w:rStyle w:val="Hyperlink"/>
            <w:rFonts w:ascii="Times New Roman" w:hAnsi="Times New Roman" w:cs="Times New Roman"/>
            <w:sz w:val="24"/>
          </w:rPr>
          <w:t>https://doi.org/10.1111/j.1474-7766.2005.00336.x</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A9499D7" w14:textId="453B636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Martinez-Conde, S., Macknik, S., L., &amp; Hubel, D., H. (2004). The role of fixational eye movements in visual perception. </w:t>
      </w:r>
      <w:r w:rsidRPr="00CE0149">
        <w:rPr>
          <w:rFonts w:ascii="Times New Roman" w:hAnsi="Times New Roman" w:cs="Times New Roman"/>
          <w:i/>
          <w:sz w:val="24"/>
        </w:rPr>
        <w:t>Nature Reviews Neuroscience</w:t>
      </w:r>
      <w:r w:rsidRPr="00CE0149">
        <w:rPr>
          <w:rFonts w:ascii="Times New Roman" w:hAnsi="Times New Roman" w:cs="Times New Roman"/>
          <w:sz w:val="24"/>
        </w:rPr>
        <w:t>,</w:t>
      </w:r>
      <w:r w:rsidRPr="00CE0149">
        <w:rPr>
          <w:rFonts w:ascii="Times New Roman" w:hAnsi="Times New Roman" w:cs="Times New Roman"/>
          <w:i/>
          <w:sz w:val="24"/>
        </w:rPr>
        <w:t xml:space="preserve"> 5</w:t>
      </w:r>
      <w:r w:rsidRPr="00CE0149">
        <w:rPr>
          <w:rFonts w:ascii="Times New Roman" w:hAnsi="Times New Roman" w:cs="Times New Roman"/>
          <w:sz w:val="24"/>
        </w:rPr>
        <w:t xml:space="preserve">(3), 229. </w:t>
      </w:r>
      <w:hyperlink r:id="rId366" w:history="1">
        <w:r w:rsidRPr="00CE0149">
          <w:rPr>
            <w:rStyle w:val="Hyperlink"/>
            <w:rFonts w:ascii="Times New Roman" w:hAnsi="Times New Roman" w:cs="Times New Roman"/>
            <w:sz w:val="24"/>
          </w:rPr>
          <w:t>https://doi.org/10.1038/nrn1348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8C5143D" w14:textId="3D4069D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Marx, S., Respondek, G., Stamelou, M., Dowiasch, S., Stoll, J., Bremmer, F., . . . Einhäuser, W. (2012). Validation of mobile eye-tracking as novel and efficient means for differentiating progressive supranuclear palsy from Parkinson's disease. </w:t>
      </w:r>
      <w:r w:rsidRPr="00CE0149">
        <w:rPr>
          <w:rFonts w:ascii="Times New Roman" w:hAnsi="Times New Roman" w:cs="Times New Roman"/>
          <w:i/>
          <w:sz w:val="24"/>
        </w:rPr>
        <w:t>Front Behav Neurosci</w:t>
      </w:r>
      <w:r w:rsidRPr="00CE0149">
        <w:rPr>
          <w:rFonts w:ascii="Times New Roman" w:hAnsi="Times New Roman" w:cs="Times New Roman"/>
          <w:sz w:val="24"/>
        </w:rPr>
        <w:t>,</w:t>
      </w:r>
      <w:r w:rsidRPr="00CE0149">
        <w:rPr>
          <w:rFonts w:ascii="Times New Roman" w:hAnsi="Times New Roman" w:cs="Times New Roman"/>
          <w:i/>
          <w:sz w:val="24"/>
        </w:rPr>
        <w:t xml:space="preserve"> 6</w:t>
      </w:r>
      <w:r w:rsidRPr="00CE0149">
        <w:rPr>
          <w:rFonts w:ascii="Times New Roman" w:hAnsi="Times New Roman" w:cs="Times New Roman"/>
          <w:sz w:val="24"/>
        </w:rPr>
        <w:t xml:space="preserve">, 88-88. </w:t>
      </w:r>
      <w:hyperlink r:id="rId367" w:history="1">
        <w:r w:rsidRPr="00CE0149">
          <w:rPr>
            <w:rStyle w:val="Hyperlink"/>
            <w:rFonts w:ascii="Times New Roman" w:hAnsi="Times New Roman" w:cs="Times New Roman"/>
            <w:sz w:val="24"/>
          </w:rPr>
          <w:t>https://doi.org/10.3389/fnbeh.2012.00088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6DDF89C" w14:textId="369D06B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Mattay, V. S., Fera, F., Tessitore, A., Hariri, A. R., Das, S., Callicott, J. H., &amp; Weinberger, D. R. (2002). Neurophysiological correlates of age-related changes in human motor function. </w:t>
      </w:r>
      <w:r w:rsidRPr="00CE0149">
        <w:rPr>
          <w:rFonts w:ascii="Times New Roman" w:hAnsi="Times New Roman" w:cs="Times New Roman"/>
          <w:i/>
          <w:sz w:val="24"/>
        </w:rPr>
        <w:t>Neurology</w:t>
      </w:r>
      <w:r w:rsidRPr="00CE0149">
        <w:rPr>
          <w:rFonts w:ascii="Times New Roman" w:hAnsi="Times New Roman" w:cs="Times New Roman"/>
          <w:sz w:val="24"/>
        </w:rPr>
        <w:t>,</w:t>
      </w:r>
      <w:r w:rsidRPr="00CE0149">
        <w:rPr>
          <w:rFonts w:ascii="Times New Roman" w:hAnsi="Times New Roman" w:cs="Times New Roman"/>
          <w:i/>
          <w:sz w:val="24"/>
        </w:rPr>
        <w:t xml:space="preserve"> 58</w:t>
      </w:r>
      <w:r w:rsidRPr="00CE0149">
        <w:rPr>
          <w:rFonts w:ascii="Times New Roman" w:hAnsi="Times New Roman" w:cs="Times New Roman"/>
          <w:sz w:val="24"/>
        </w:rPr>
        <w:t xml:space="preserve">(4), 630-635. </w:t>
      </w:r>
      <w:hyperlink r:id="rId368" w:history="1">
        <w:r w:rsidRPr="00CE0149">
          <w:rPr>
            <w:rStyle w:val="Hyperlink"/>
            <w:rFonts w:ascii="Times New Roman" w:hAnsi="Times New Roman" w:cs="Times New Roman"/>
            <w:sz w:val="24"/>
          </w:rPr>
          <w:t>https://doi.org/10.1212/WNL.58.4.630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61B7A4C" w14:textId="30092AB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Mazumdar, D., Kadavath Meethal, N. S., Panday, M., Asokan, R., Thepass, G., George, R. J.,  Pel, J. J. M. (2019). Effect of age, sex, stimulus intensity, and eccentricity on saccadic reaction time in eye movement perimetry. </w:t>
      </w:r>
      <w:r w:rsidRPr="00CE0149">
        <w:rPr>
          <w:rFonts w:ascii="Times New Roman" w:hAnsi="Times New Roman" w:cs="Times New Roman"/>
          <w:i/>
          <w:sz w:val="24"/>
        </w:rPr>
        <w:t>Transl Vis Sci Technol</w:t>
      </w:r>
      <w:r w:rsidRPr="00CE0149">
        <w:rPr>
          <w:rFonts w:ascii="Times New Roman" w:hAnsi="Times New Roman" w:cs="Times New Roman"/>
          <w:sz w:val="24"/>
        </w:rPr>
        <w:t>,</w:t>
      </w:r>
      <w:r w:rsidRPr="00CE0149">
        <w:rPr>
          <w:rFonts w:ascii="Times New Roman" w:hAnsi="Times New Roman" w:cs="Times New Roman"/>
          <w:i/>
          <w:sz w:val="24"/>
        </w:rPr>
        <w:t xml:space="preserve"> 8</w:t>
      </w:r>
      <w:r w:rsidRPr="00CE0149">
        <w:rPr>
          <w:rFonts w:ascii="Times New Roman" w:hAnsi="Times New Roman" w:cs="Times New Roman"/>
          <w:sz w:val="24"/>
        </w:rPr>
        <w:t xml:space="preserve">(4), 13-13. </w:t>
      </w:r>
      <w:hyperlink r:id="rId369" w:history="1">
        <w:r w:rsidRPr="00CE0149">
          <w:rPr>
            <w:rStyle w:val="Hyperlink"/>
            <w:rFonts w:ascii="Times New Roman" w:hAnsi="Times New Roman" w:cs="Times New Roman"/>
            <w:sz w:val="24"/>
          </w:rPr>
          <w:t>https://doi.org/10.1167/tvst.8.4.13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4169415" w14:textId="0BA6333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Metz, H. S., Scott, A. B., Meara, D., &amp; Stewart, H. L. (1970). Ocular saccades in lateral rectus palsy. </w:t>
      </w:r>
      <w:r w:rsidRPr="00CE0149">
        <w:rPr>
          <w:rFonts w:ascii="Times New Roman" w:hAnsi="Times New Roman" w:cs="Times New Roman"/>
          <w:i/>
          <w:sz w:val="24"/>
        </w:rPr>
        <w:t>Archives of Ophthalmology</w:t>
      </w:r>
      <w:r w:rsidRPr="00CE0149">
        <w:rPr>
          <w:rFonts w:ascii="Times New Roman" w:hAnsi="Times New Roman" w:cs="Times New Roman"/>
          <w:sz w:val="24"/>
        </w:rPr>
        <w:t>,</w:t>
      </w:r>
      <w:r w:rsidRPr="00CE0149">
        <w:rPr>
          <w:rFonts w:ascii="Times New Roman" w:hAnsi="Times New Roman" w:cs="Times New Roman"/>
          <w:i/>
          <w:sz w:val="24"/>
        </w:rPr>
        <w:t xml:space="preserve"> 84</w:t>
      </w:r>
      <w:r w:rsidRPr="00CE0149">
        <w:rPr>
          <w:rFonts w:ascii="Times New Roman" w:hAnsi="Times New Roman" w:cs="Times New Roman"/>
          <w:sz w:val="24"/>
        </w:rPr>
        <w:t xml:space="preserve">(4), 453-460. </w:t>
      </w:r>
      <w:hyperlink r:id="rId370" w:history="1">
        <w:r w:rsidRPr="00CE0149">
          <w:rPr>
            <w:rStyle w:val="Hyperlink"/>
            <w:rFonts w:ascii="Times New Roman" w:hAnsi="Times New Roman" w:cs="Times New Roman"/>
            <w:sz w:val="24"/>
          </w:rPr>
          <w:t>https://doi.org/10.1001/archopht.1970.00990040455010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4A98BC9" w14:textId="24B4AEB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Miller, A. (2014). Introduction to Using Excel® Pivot Tables and Pivot Charts to Increase Efficiency in Library Data Analysis and Illustration. </w:t>
      </w:r>
      <w:r w:rsidRPr="00CE0149">
        <w:rPr>
          <w:rFonts w:ascii="Times New Roman" w:hAnsi="Times New Roman" w:cs="Times New Roman"/>
          <w:i/>
          <w:sz w:val="24"/>
        </w:rPr>
        <w:t>Journal of library administration</w:t>
      </w:r>
      <w:r w:rsidRPr="00CE0149">
        <w:rPr>
          <w:rFonts w:ascii="Times New Roman" w:hAnsi="Times New Roman" w:cs="Times New Roman"/>
          <w:sz w:val="24"/>
        </w:rPr>
        <w:t>,</w:t>
      </w:r>
      <w:r w:rsidRPr="00CE0149">
        <w:rPr>
          <w:rFonts w:ascii="Times New Roman" w:hAnsi="Times New Roman" w:cs="Times New Roman"/>
          <w:i/>
          <w:sz w:val="24"/>
        </w:rPr>
        <w:t xml:space="preserve"> 54</w:t>
      </w:r>
      <w:r w:rsidRPr="00CE0149">
        <w:rPr>
          <w:rFonts w:ascii="Times New Roman" w:hAnsi="Times New Roman" w:cs="Times New Roman"/>
          <w:sz w:val="24"/>
        </w:rPr>
        <w:t xml:space="preserve">(2), 94-106. </w:t>
      </w:r>
      <w:hyperlink r:id="rId371" w:history="1">
        <w:r w:rsidRPr="00CE0149">
          <w:rPr>
            <w:rStyle w:val="Hyperlink"/>
            <w:rFonts w:ascii="Times New Roman" w:hAnsi="Times New Roman" w:cs="Times New Roman"/>
            <w:sz w:val="24"/>
          </w:rPr>
          <w:t>https://doi.org/10.1080/01930826.2014.903365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1567303" w14:textId="079B7E1E"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Mishra, P., Pandey, C., Singh, U., Gupta, A., Sahu, C., &amp; Keshri, A. (2019). Descriptive statistics and normality tests for statistical data. </w:t>
      </w:r>
      <w:r w:rsidRPr="00CE0149">
        <w:rPr>
          <w:rFonts w:ascii="Times New Roman" w:hAnsi="Times New Roman" w:cs="Times New Roman"/>
          <w:i/>
          <w:sz w:val="24"/>
        </w:rPr>
        <w:t>Annals of cardiac anaesthesia</w:t>
      </w:r>
      <w:r w:rsidRPr="00CE0149">
        <w:rPr>
          <w:rFonts w:ascii="Times New Roman" w:hAnsi="Times New Roman" w:cs="Times New Roman"/>
          <w:sz w:val="24"/>
        </w:rPr>
        <w:t>,</w:t>
      </w:r>
      <w:r w:rsidRPr="00CE0149">
        <w:rPr>
          <w:rFonts w:ascii="Times New Roman" w:hAnsi="Times New Roman" w:cs="Times New Roman"/>
          <w:i/>
          <w:sz w:val="24"/>
        </w:rPr>
        <w:t xml:space="preserve"> 22</w:t>
      </w:r>
      <w:r w:rsidRPr="00CE0149">
        <w:rPr>
          <w:rFonts w:ascii="Times New Roman" w:hAnsi="Times New Roman" w:cs="Times New Roman"/>
          <w:sz w:val="24"/>
        </w:rPr>
        <w:t xml:space="preserve">(1), 67-72. </w:t>
      </w:r>
      <w:hyperlink r:id="rId372" w:history="1">
        <w:r w:rsidRPr="00CE0149">
          <w:rPr>
            <w:rStyle w:val="Hyperlink"/>
            <w:rFonts w:ascii="Times New Roman" w:hAnsi="Times New Roman" w:cs="Times New Roman"/>
            <w:sz w:val="24"/>
          </w:rPr>
          <w:t>https://doi.org/10.4103/aca.ACA_157_18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DA48BC8" w14:textId="6FC3B17B"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Morrow, M. J., &amp; Sharpe, J. A. (1993). Smooth pursuit initiation in young and elderly subjects.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33</w:t>
      </w:r>
      <w:r w:rsidRPr="00CE0149">
        <w:rPr>
          <w:rFonts w:ascii="Times New Roman" w:hAnsi="Times New Roman" w:cs="Times New Roman"/>
          <w:sz w:val="24"/>
        </w:rPr>
        <w:t xml:space="preserve">(2), 203-210. </w:t>
      </w:r>
      <w:hyperlink r:id="rId373" w:history="1">
        <w:r w:rsidRPr="00CE0149">
          <w:rPr>
            <w:rStyle w:val="Hyperlink"/>
            <w:rFonts w:ascii="Times New Roman" w:hAnsi="Times New Roman" w:cs="Times New Roman"/>
            <w:sz w:val="24"/>
          </w:rPr>
          <w:t>https://doi.org/10.1016/0042-6989(93)90158-S</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D1A0ABF" w14:textId="27E3B48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Moschner, &amp; Baloh, R. W. (1994). Age- related changes in visual tracking. </w:t>
      </w:r>
      <w:r w:rsidRPr="00CE0149">
        <w:rPr>
          <w:rFonts w:ascii="Times New Roman" w:hAnsi="Times New Roman" w:cs="Times New Roman"/>
          <w:i/>
          <w:sz w:val="24"/>
        </w:rPr>
        <w:t>Journal of Gerontology</w:t>
      </w:r>
      <w:r w:rsidRPr="00CE0149">
        <w:rPr>
          <w:rFonts w:ascii="Times New Roman" w:hAnsi="Times New Roman" w:cs="Times New Roman"/>
          <w:sz w:val="24"/>
        </w:rPr>
        <w:t>,</w:t>
      </w:r>
      <w:r w:rsidRPr="00CE0149">
        <w:rPr>
          <w:rFonts w:ascii="Times New Roman" w:hAnsi="Times New Roman" w:cs="Times New Roman"/>
          <w:i/>
          <w:sz w:val="24"/>
        </w:rPr>
        <w:t xml:space="preserve"> 49</w:t>
      </w:r>
      <w:r w:rsidRPr="00CE0149">
        <w:rPr>
          <w:rFonts w:ascii="Times New Roman" w:hAnsi="Times New Roman" w:cs="Times New Roman"/>
          <w:sz w:val="24"/>
        </w:rPr>
        <w:t xml:space="preserve">(5), M235. </w:t>
      </w:r>
      <w:hyperlink r:id="rId374" w:history="1">
        <w:r w:rsidRPr="00CE0149">
          <w:rPr>
            <w:rStyle w:val="Hyperlink"/>
            <w:rFonts w:ascii="Times New Roman" w:hAnsi="Times New Roman" w:cs="Times New Roman"/>
            <w:sz w:val="24"/>
          </w:rPr>
          <w:t>https://doi.org/10.1093/geronj/49.5.M235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01A7F74" w14:textId="2AAF6CD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Munoz, D. P., Broughton, J. R., Goldring, J. E., &amp; Armstrong, I. T. (1998). Age- related performance of human subjects on saccadic eye movement tasks. </w:t>
      </w:r>
      <w:r w:rsidRPr="00CE0149">
        <w:rPr>
          <w:rFonts w:ascii="Times New Roman" w:hAnsi="Times New Roman" w:cs="Times New Roman"/>
          <w:i/>
          <w:sz w:val="24"/>
        </w:rPr>
        <w:t>Experimental brain research</w:t>
      </w:r>
      <w:r w:rsidRPr="00CE0149">
        <w:rPr>
          <w:rFonts w:ascii="Times New Roman" w:hAnsi="Times New Roman" w:cs="Times New Roman"/>
          <w:sz w:val="24"/>
        </w:rPr>
        <w:t>,</w:t>
      </w:r>
      <w:r w:rsidRPr="00CE0149">
        <w:rPr>
          <w:rFonts w:ascii="Times New Roman" w:hAnsi="Times New Roman" w:cs="Times New Roman"/>
          <w:i/>
          <w:sz w:val="24"/>
        </w:rPr>
        <w:t xml:space="preserve"> 121</w:t>
      </w:r>
      <w:r w:rsidRPr="00CE0149">
        <w:rPr>
          <w:rFonts w:ascii="Times New Roman" w:hAnsi="Times New Roman" w:cs="Times New Roman"/>
          <w:sz w:val="24"/>
        </w:rPr>
        <w:t xml:space="preserve">(4), 391-400. </w:t>
      </w:r>
      <w:hyperlink r:id="rId375" w:history="1">
        <w:r w:rsidRPr="00CE0149">
          <w:rPr>
            <w:rStyle w:val="Hyperlink"/>
            <w:rFonts w:ascii="Times New Roman" w:hAnsi="Times New Roman" w:cs="Times New Roman"/>
            <w:sz w:val="24"/>
          </w:rPr>
          <w:t>https://doi.org/10.1007/s002210050473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EF5A223" w14:textId="0E9337B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Murchison, A. P., Gilbert, M. E., &amp; Savino, P. J. (2011). Neuroimaging and acute ocular motor mononeuropathies: A prospective study. </w:t>
      </w:r>
      <w:r w:rsidRPr="00CE0149">
        <w:rPr>
          <w:rFonts w:ascii="Times New Roman" w:hAnsi="Times New Roman" w:cs="Times New Roman"/>
          <w:i/>
          <w:sz w:val="24"/>
        </w:rPr>
        <w:t>Archives of Ophthalmology</w:t>
      </w:r>
      <w:r w:rsidRPr="00CE0149">
        <w:rPr>
          <w:rFonts w:ascii="Times New Roman" w:hAnsi="Times New Roman" w:cs="Times New Roman"/>
          <w:sz w:val="24"/>
        </w:rPr>
        <w:t>,</w:t>
      </w:r>
      <w:r w:rsidRPr="00CE0149">
        <w:rPr>
          <w:rFonts w:ascii="Times New Roman" w:hAnsi="Times New Roman" w:cs="Times New Roman"/>
          <w:i/>
          <w:sz w:val="24"/>
        </w:rPr>
        <w:t xml:space="preserve"> 129</w:t>
      </w:r>
      <w:r w:rsidRPr="00CE0149">
        <w:rPr>
          <w:rFonts w:ascii="Times New Roman" w:hAnsi="Times New Roman" w:cs="Times New Roman"/>
          <w:sz w:val="24"/>
        </w:rPr>
        <w:t xml:space="preserve">(3), 301-305. </w:t>
      </w:r>
      <w:hyperlink r:id="rId376" w:history="1">
        <w:r w:rsidRPr="00CE0149">
          <w:rPr>
            <w:rStyle w:val="Hyperlink"/>
            <w:rFonts w:ascii="Times New Roman" w:hAnsi="Times New Roman" w:cs="Times New Roman"/>
            <w:sz w:val="24"/>
          </w:rPr>
          <w:t>https://doi.org/10.1001/archophthalmol.2011.25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259B742" w14:textId="0A167DC2"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Murphy, P. J., Duncan, A. L., Glennie, A. J., &amp; Knox, P. C. (2001). The effect of scleral search coil lens wear on the eye. </w:t>
      </w:r>
      <w:r w:rsidRPr="00CE0149">
        <w:rPr>
          <w:rFonts w:ascii="Times New Roman" w:hAnsi="Times New Roman" w:cs="Times New Roman"/>
          <w:i/>
          <w:sz w:val="24"/>
        </w:rPr>
        <w:t>British Journal of Ophthalmology</w:t>
      </w:r>
      <w:r w:rsidRPr="00CE0149">
        <w:rPr>
          <w:rFonts w:ascii="Times New Roman" w:hAnsi="Times New Roman" w:cs="Times New Roman"/>
          <w:sz w:val="24"/>
        </w:rPr>
        <w:t>,</w:t>
      </w:r>
      <w:r w:rsidRPr="00CE0149">
        <w:rPr>
          <w:rFonts w:ascii="Times New Roman" w:hAnsi="Times New Roman" w:cs="Times New Roman"/>
          <w:i/>
          <w:sz w:val="24"/>
        </w:rPr>
        <w:t xml:space="preserve"> 85</w:t>
      </w:r>
      <w:r w:rsidRPr="00CE0149">
        <w:rPr>
          <w:rFonts w:ascii="Times New Roman" w:hAnsi="Times New Roman" w:cs="Times New Roman"/>
          <w:sz w:val="24"/>
        </w:rPr>
        <w:t xml:space="preserve">(3), 332-335. </w:t>
      </w:r>
      <w:hyperlink r:id="rId377" w:history="1">
        <w:r w:rsidRPr="00CE0149">
          <w:rPr>
            <w:rStyle w:val="Hyperlink"/>
            <w:rFonts w:ascii="Times New Roman" w:hAnsi="Times New Roman" w:cs="Times New Roman"/>
            <w:sz w:val="24"/>
          </w:rPr>
          <w:t>https://doi.org/10.1136/bjo.85.3.332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B3CC763" w14:textId="4B3CA1CB"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Murphy, P. J., Patel, S., Kong, N., Ryder, R. E. J., &amp; Marshall, J. (2004). Noninvasive Assessment of Corneal Sensitivity in Young and Elderly Diabetic and Nondiabetic </w:t>
      </w:r>
      <w:r w:rsidRPr="00CE0149">
        <w:rPr>
          <w:rFonts w:ascii="Times New Roman" w:hAnsi="Times New Roman" w:cs="Times New Roman"/>
          <w:sz w:val="24"/>
        </w:rPr>
        <w:lastRenderedPageBreak/>
        <w:t xml:space="preserve">Subjects. </w:t>
      </w:r>
      <w:r w:rsidRPr="00CE0149">
        <w:rPr>
          <w:rFonts w:ascii="Times New Roman" w:hAnsi="Times New Roman" w:cs="Times New Roman"/>
          <w:i/>
          <w:sz w:val="24"/>
        </w:rPr>
        <w:t>Invest Ophthalmol Vis Sci</w:t>
      </w:r>
      <w:r w:rsidRPr="00CE0149">
        <w:rPr>
          <w:rFonts w:ascii="Times New Roman" w:hAnsi="Times New Roman" w:cs="Times New Roman"/>
          <w:sz w:val="24"/>
        </w:rPr>
        <w:t>,</w:t>
      </w:r>
      <w:r w:rsidRPr="00CE0149">
        <w:rPr>
          <w:rFonts w:ascii="Times New Roman" w:hAnsi="Times New Roman" w:cs="Times New Roman"/>
          <w:i/>
          <w:sz w:val="24"/>
        </w:rPr>
        <w:t xml:space="preserve"> 45</w:t>
      </w:r>
      <w:r w:rsidRPr="00CE0149">
        <w:rPr>
          <w:rFonts w:ascii="Times New Roman" w:hAnsi="Times New Roman" w:cs="Times New Roman"/>
          <w:sz w:val="24"/>
        </w:rPr>
        <w:t xml:space="preserve">(6), 1737-1742. </w:t>
      </w:r>
      <w:hyperlink r:id="rId378" w:history="1">
        <w:r w:rsidRPr="00CE0149">
          <w:rPr>
            <w:rStyle w:val="Hyperlink"/>
            <w:rFonts w:ascii="Times New Roman" w:hAnsi="Times New Roman" w:cs="Times New Roman"/>
            <w:sz w:val="24"/>
          </w:rPr>
          <w:t>https://doi.org/10.1167/iovs.03-0689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0387896" w14:textId="2D9DF40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Møller, F., Laursen, M., Tygesen, J., &amp; Sjølie, A. (2002). Binocular quantification and characterization of microsaccades. </w:t>
      </w:r>
      <w:r w:rsidRPr="00CE0149">
        <w:rPr>
          <w:rFonts w:ascii="Times New Roman" w:hAnsi="Times New Roman" w:cs="Times New Roman"/>
          <w:i/>
          <w:sz w:val="24"/>
        </w:rPr>
        <w:t>Graefe’s Archive for Clinical and Experimental Ophthalmology</w:t>
      </w:r>
      <w:r w:rsidRPr="00CE0149">
        <w:rPr>
          <w:rFonts w:ascii="Times New Roman" w:hAnsi="Times New Roman" w:cs="Times New Roman"/>
          <w:sz w:val="24"/>
        </w:rPr>
        <w:t>,</w:t>
      </w:r>
      <w:r w:rsidRPr="00CE0149">
        <w:rPr>
          <w:rFonts w:ascii="Times New Roman" w:hAnsi="Times New Roman" w:cs="Times New Roman"/>
          <w:i/>
          <w:sz w:val="24"/>
        </w:rPr>
        <w:t xml:space="preserve"> 240</w:t>
      </w:r>
      <w:r w:rsidRPr="00CE0149">
        <w:rPr>
          <w:rFonts w:ascii="Times New Roman" w:hAnsi="Times New Roman" w:cs="Times New Roman"/>
          <w:sz w:val="24"/>
        </w:rPr>
        <w:t xml:space="preserve">(9), 765-770. </w:t>
      </w:r>
      <w:hyperlink r:id="rId379" w:history="1">
        <w:r w:rsidRPr="00CE0149">
          <w:rPr>
            <w:rStyle w:val="Hyperlink"/>
            <w:rFonts w:ascii="Times New Roman" w:hAnsi="Times New Roman" w:cs="Times New Roman"/>
            <w:sz w:val="24"/>
          </w:rPr>
          <w:t>https://doi.org/10.1007/s00417-002-0519-2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95071A6" w14:textId="211D595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Nelles, G., de Greiff, A., Pscherer, A., &amp; Esser, J. (2009). Age- related differences of saccade induced cortical activation. </w:t>
      </w:r>
      <w:r w:rsidRPr="00CE0149">
        <w:rPr>
          <w:rFonts w:ascii="Times New Roman" w:hAnsi="Times New Roman" w:cs="Times New Roman"/>
          <w:i/>
          <w:sz w:val="24"/>
        </w:rPr>
        <w:t>Neuroscience Letters</w:t>
      </w:r>
      <w:r w:rsidRPr="00CE0149">
        <w:rPr>
          <w:rFonts w:ascii="Times New Roman" w:hAnsi="Times New Roman" w:cs="Times New Roman"/>
          <w:sz w:val="24"/>
        </w:rPr>
        <w:t>,</w:t>
      </w:r>
      <w:r w:rsidRPr="00CE0149">
        <w:rPr>
          <w:rFonts w:ascii="Times New Roman" w:hAnsi="Times New Roman" w:cs="Times New Roman"/>
          <w:i/>
          <w:sz w:val="24"/>
        </w:rPr>
        <w:t xml:space="preserve"> 458</w:t>
      </w:r>
      <w:r w:rsidRPr="00CE0149">
        <w:rPr>
          <w:rFonts w:ascii="Times New Roman" w:hAnsi="Times New Roman" w:cs="Times New Roman"/>
          <w:sz w:val="24"/>
        </w:rPr>
        <w:t xml:space="preserve">(1), 15-18. </w:t>
      </w:r>
      <w:hyperlink r:id="rId380" w:history="1">
        <w:r w:rsidRPr="00CE0149">
          <w:rPr>
            <w:rStyle w:val="Hyperlink"/>
            <w:rFonts w:ascii="Times New Roman" w:hAnsi="Times New Roman" w:cs="Times New Roman"/>
            <w:sz w:val="24"/>
          </w:rPr>
          <w:t>https://doi.org/10.1016/j.neulet.2009.04.026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CB906F1" w14:textId="38778CA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Oh, S. Y., &amp; Oh, S. Y. (2020). Clinical outcomes and aetiology of fourth cranial nerve palsy with acute vertical diplopia in adults. </w:t>
      </w:r>
      <w:r w:rsidRPr="00CE0149">
        <w:rPr>
          <w:rFonts w:ascii="Times New Roman" w:hAnsi="Times New Roman" w:cs="Times New Roman"/>
          <w:i/>
          <w:sz w:val="24"/>
        </w:rPr>
        <w:t>Eye (Lond)</w:t>
      </w:r>
      <w:r w:rsidRPr="00CE0149">
        <w:rPr>
          <w:rFonts w:ascii="Times New Roman" w:hAnsi="Times New Roman" w:cs="Times New Roman"/>
          <w:sz w:val="24"/>
        </w:rPr>
        <w:t>,</w:t>
      </w:r>
      <w:r w:rsidRPr="00CE0149">
        <w:rPr>
          <w:rFonts w:ascii="Times New Roman" w:hAnsi="Times New Roman" w:cs="Times New Roman"/>
          <w:i/>
          <w:sz w:val="24"/>
        </w:rPr>
        <w:t xml:space="preserve"> 34</w:t>
      </w:r>
      <w:r w:rsidRPr="00CE0149">
        <w:rPr>
          <w:rFonts w:ascii="Times New Roman" w:hAnsi="Times New Roman" w:cs="Times New Roman"/>
          <w:sz w:val="24"/>
        </w:rPr>
        <w:t xml:space="preserve">(10), 1842-1847. </w:t>
      </w:r>
      <w:hyperlink r:id="rId381" w:history="1">
        <w:r w:rsidRPr="00CE0149">
          <w:rPr>
            <w:rStyle w:val="Hyperlink"/>
            <w:rFonts w:ascii="Times New Roman" w:hAnsi="Times New Roman" w:cs="Times New Roman"/>
            <w:sz w:val="24"/>
          </w:rPr>
          <w:t>https://doi.org/10.1038/s41433-019-0749-8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4F11F5C" w14:textId="361B110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Ohashi, N., Watanabe, Y., Kobayashi, H., &amp; Mizukoshi, K. (1985). Quantitative measurement of smooth pursuit using a continuously changing sinusoidal wave in normal subjects. </w:t>
      </w:r>
      <w:r w:rsidRPr="00CE0149">
        <w:rPr>
          <w:rFonts w:ascii="Times New Roman" w:hAnsi="Times New Roman" w:cs="Times New Roman"/>
          <w:i/>
          <w:sz w:val="24"/>
        </w:rPr>
        <w:t>ORL; journal for oto-rhino-laryngology and its related specialties</w:t>
      </w:r>
      <w:r w:rsidRPr="00CE0149">
        <w:rPr>
          <w:rFonts w:ascii="Times New Roman" w:hAnsi="Times New Roman" w:cs="Times New Roman"/>
          <w:sz w:val="24"/>
        </w:rPr>
        <w:t>,</w:t>
      </w:r>
      <w:r w:rsidRPr="00CE0149">
        <w:rPr>
          <w:rFonts w:ascii="Times New Roman" w:hAnsi="Times New Roman" w:cs="Times New Roman"/>
          <w:i/>
          <w:sz w:val="24"/>
        </w:rPr>
        <w:t xml:space="preserve"> 47</w:t>
      </w:r>
      <w:r w:rsidRPr="00CE0149">
        <w:rPr>
          <w:rFonts w:ascii="Times New Roman" w:hAnsi="Times New Roman" w:cs="Times New Roman"/>
          <w:sz w:val="24"/>
        </w:rPr>
        <w:t xml:space="preserve">(1), 49-56. </w:t>
      </w:r>
      <w:hyperlink r:id="rId382" w:history="1">
        <w:r w:rsidRPr="00CE0149">
          <w:rPr>
            <w:rStyle w:val="Hyperlink"/>
            <w:rFonts w:ascii="Times New Roman" w:hAnsi="Times New Roman" w:cs="Times New Roman"/>
            <w:sz w:val="24"/>
          </w:rPr>
          <w:t>https://doi.org/10.1159/000275745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48B20A1" w14:textId="6CD575E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Otero-Millan, J., Macknik, S., &amp; Martinez-Conde, S. (2014). Fixational eye movements and binocular vision. </w:t>
      </w:r>
      <w:r w:rsidRPr="00CE0149">
        <w:rPr>
          <w:rFonts w:ascii="Times New Roman" w:hAnsi="Times New Roman" w:cs="Times New Roman"/>
          <w:i/>
          <w:sz w:val="24"/>
        </w:rPr>
        <w:t>Frontiers in Integrative Neuroscience</w:t>
      </w:r>
      <w:r w:rsidRPr="00CE0149">
        <w:rPr>
          <w:rFonts w:ascii="Times New Roman" w:hAnsi="Times New Roman" w:cs="Times New Roman"/>
          <w:sz w:val="24"/>
        </w:rPr>
        <w:t>,</w:t>
      </w:r>
      <w:r w:rsidRPr="00CE0149">
        <w:rPr>
          <w:rFonts w:ascii="Times New Roman" w:hAnsi="Times New Roman" w:cs="Times New Roman"/>
          <w:i/>
          <w:sz w:val="24"/>
        </w:rPr>
        <w:t xml:space="preserve"> 8</w:t>
      </w:r>
      <w:r w:rsidRPr="00CE0149">
        <w:rPr>
          <w:rFonts w:ascii="Times New Roman" w:hAnsi="Times New Roman" w:cs="Times New Roman"/>
          <w:sz w:val="24"/>
        </w:rPr>
        <w:t xml:space="preserve">. </w:t>
      </w:r>
      <w:hyperlink r:id="rId383" w:history="1">
        <w:r w:rsidRPr="00CE0149">
          <w:rPr>
            <w:rStyle w:val="Hyperlink"/>
            <w:rFonts w:ascii="Times New Roman" w:hAnsi="Times New Roman" w:cs="Times New Roman"/>
            <w:sz w:val="24"/>
          </w:rPr>
          <w:t>https://doi.org/10.3389/fnint.2014.00052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ACB6A30" w14:textId="4A2E60A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Papageorgiou, E., McLean, R. J., &amp; Gottlob, I. (2014). Nystagmus in Childhood. </w:t>
      </w:r>
      <w:r w:rsidRPr="00CE0149">
        <w:rPr>
          <w:rFonts w:ascii="Times New Roman" w:hAnsi="Times New Roman" w:cs="Times New Roman"/>
          <w:i/>
          <w:sz w:val="24"/>
        </w:rPr>
        <w:t>Pediatrics &amp; Neonatology</w:t>
      </w:r>
      <w:r w:rsidRPr="00CE0149">
        <w:rPr>
          <w:rFonts w:ascii="Times New Roman" w:hAnsi="Times New Roman" w:cs="Times New Roman"/>
          <w:sz w:val="24"/>
        </w:rPr>
        <w:t>,</w:t>
      </w:r>
      <w:r w:rsidRPr="00CE0149">
        <w:rPr>
          <w:rFonts w:ascii="Times New Roman" w:hAnsi="Times New Roman" w:cs="Times New Roman"/>
          <w:i/>
          <w:sz w:val="24"/>
        </w:rPr>
        <w:t xml:space="preserve"> 55</w:t>
      </w:r>
      <w:r w:rsidRPr="00CE0149">
        <w:rPr>
          <w:rFonts w:ascii="Times New Roman" w:hAnsi="Times New Roman" w:cs="Times New Roman"/>
          <w:sz w:val="24"/>
        </w:rPr>
        <w:t xml:space="preserve">(5), 341-351. </w:t>
      </w:r>
      <w:hyperlink r:id="rId384" w:history="1">
        <w:r w:rsidRPr="00CE0149">
          <w:rPr>
            <w:rStyle w:val="Hyperlink"/>
            <w:rFonts w:ascii="Times New Roman" w:hAnsi="Times New Roman" w:cs="Times New Roman"/>
            <w:sz w:val="24"/>
          </w:rPr>
          <w:t>https://doi.org/10.1016/j.pedneo.2014.02.007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2AD0A3F" w14:textId="4CE4E10B"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Park, J. E., Jung, S. C., Lee, S. H., Jeon, J. Y., Lee, J. Y., Kim, H. S., . . . Kim, J. S. (2017). Comparison of 3D magnetic resonance imaging and digital subtraction angiography for intracranial artery stenosis. </w:t>
      </w:r>
      <w:r w:rsidRPr="00CE0149">
        <w:rPr>
          <w:rFonts w:ascii="Times New Roman" w:hAnsi="Times New Roman" w:cs="Times New Roman"/>
          <w:i/>
          <w:sz w:val="24"/>
        </w:rPr>
        <w:t>Eur Radiol</w:t>
      </w:r>
      <w:r w:rsidRPr="00CE0149">
        <w:rPr>
          <w:rFonts w:ascii="Times New Roman" w:hAnsi="Times New Roman" w:cs="Times New Roman"/>
          <w:sz w:val="24"/>
        </w:rPr>
        <w:t>,</w:t>
      </w:r>
      <w:r w:rsidRPr="00CE0149">
        <w:rPr>
          <w:rFonts w:ascii="Times New Roman" w:hAnsi="Times New Roman" w:cs="Times New Roman"/>
          <w:i/>
          <w:sz w:val="24"/>
        </w:rPr>
        <w:t xml:space="preserve"> 27</w:t>
      </w:r>
      <w:r w:rsidRPr="00CE0149">
        <w:rPr>
          <w:rFonts w:ascii="Times New Roman" w:hAnsi="Times New Roman" w:cs="Times New Roman"/>
          <w:sz w:val="24"/>
        </w:rPr>
        <w:t xml:space="preserve">(11), 4737-4746. </w:t>
      </w:r>
      <w:hyperlink r:id="rId385" w:history="1">
        <w:r w:rsidRPr="00CE0149">
          <w:rPr>
            <w:rStyle w:val="Hyperlink"/>
            <w:rFonts w:ascii="Times New Roman" w:hAnsi="Times New Roman" w:cs="Times New Roman"/>
            <w:sz w:val="24"/>
          </w:rPr>
          <w:t>https://doi.org/10.1007/s00330-017-4860-6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4F45499" w14:textId="7E06C07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Park, U. C., Kim, S. J., Hwang, J. M., &amp; Yu, Y. S. (2008). Clinical features and natural history of acquired third, fourth, and sixth cranial nerve palsy [Article]. </w:t>
      </w:r>
      <w:r w:rsidRPr="00CE0149">
        <w:rPr>
          <w:rFonts w:ascii="Times New Roman" w:hAnsi="Times New Roman" w:cs="Times New Roman"/>
          <w:i/>
          <w:sz w:val="24"/>
        </w:rPr>
        <w:t>Eye</w:t>
      </w:r>
      <w:r w:rsidRPr="00CE0149">
        <w:rPr>
          <w:rFonts w:ascii="Times New Roman" w:hAnsi="Times New Roman" w:cs="Times New Roman"/>
          <w:sz w:val="24"/>
        </w:rPr>
        <w:t>,</w:t>
      </w:r>
      <w:r w:rsidRPr="00CE0149">
        <w:rPr>
          <w:rFonts w:ascii="Times New Roman" w:hAnsi="Times New Roman" w:cs="Times New Roman"/>
          <w:i/>
          <w:sz w:val="24"/>
        </w:rPr>
        <w:t xml:space="preserve"> 22</w:t>
      </w:r>
      <w:r w:rsidRPr="00CE0149">
        <w:rPr>
          <w:rFonts w:ascii="Times New Roman" w:hAnsi="Times New Roman" w:cs="Times New Roman"/>
          <w:sz w:val="24"/>
        </w:rPr>
        <w:t xml:space="preserve">(5), 691-696. </w:t>
      </w:r>
      <w:hyperlink r:id="rId386" w:history="1">
        <w:r w:rsidRPr="00CE0149">
          <w:rPr>
            <w:rStyle w:val="Hyperlink"/>
            <w:rFonts w:ascii="Times New Roman" w:hAnsi="Times New Roman" w:cs="Times New Roman"/>
            <w:sz w:val="24"/>
          </w:rPr>
          <w:t>https://doi.org/10.1038/sj.eye.6702720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A2FCA0E" w14:textId="1EED325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Peltsch, A., Hemraj, A., Garcia, A., &amp; Munoz, D. P. (2011a). Age- related trends in saccade characteristics among the elderly. </w:t>
      </w:r>
      <w:r w:rsidRPr="00CE0149">
        <w:rPr>
          <w:rFonts w:ascii="Times New Roman" w:hAnsi="Times New Roman" w:cs="Times New Roman"/>
          <w:i/>
          <w:sz w:val="24"/>
        </w:rPr>
        <w:t>Neurobiology of Aging</w:t>
      </w:r>
      <w:r w:rsidRPr="00CE0149">
        <w:rPr>
          <w:rFonts w:ascii="Times New Roman" w:hAnsi="Times New Roman" w:cs="Times New Roman"/>
          <w:sz w:val="24"/>
        </w:rPr>
        <w:t>,</w:t>
      </w:r>
      <w:r w:rsidRPr="00CE0149">
        <w:rPr>
          <w:rFonts w:ascii="Times New Roman" w:hAnsi="Times New Roman" w:cs="Times New Roman"/>
          <w:i/>
          <w:sz w:val="24"/>
        </w:rPr>
        <w:t xml:space="preserve"> 32</w:t>
      </w:r>
      <w:r w:rsidRPr="00CE0149">
        <w:rPr>
          <w:rFonts w:ascii="Times New Roman" w:hAnsi="Times New Roman" w:cs="Times New Roman"/>
          <w:sz w:val="24"/>
        </w:rPr>
        <w:t xml:space="preserve">(4), 669-679. </w:t>
      </w:r>
      <w:hyperlink r:id="rId387" w:history="1">
        <w:r w:rsidRPr="00CE0149">
          <w:rPr>
            <w:rStyle w:val="Hyperlink"/>
            <w:rFonts w:ascii="Times New Roman" w:hAnsi="Times New Roman" w:cs="Times New Roman"/>
            <w:sz w:val="24"/>
          </w:rPr>
          <w:t>https://doi.org/10.1016/j.neurobiolaging.2009.04.001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4CE15D7" w14:textId="41D9A92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Peltsch, A., Hemraj, A., Garcia, A., &amp; Munoz, D. P. (2011b). Age-related trends in saccade characteristics among the elderly. </w:t>
      </w:r>
      <w:r w:rsidRPr="00CE0149">
        <w:rPr>
          <w:rFonts w:ascii="Times New Roman" w:hAnsi="Times New Roman" w:cs="Times New Roman"/>
          <w:i/>
          <w:sz w:val="24"/>
        </w:rPr>
        <w:t>Neurobiology of Aging</w:t>
      </w:r>
      <w:r w:rsidRPr="00CE0149">
        <w:rPr>
          <w:rFonts w:ascii="Times New Roman" w:hAnsi="Times New Roman" w:cs="Times New Roman"/>
          <w:sz w:val="24"/>
        </w:rPr>
        <w:t>,</w:t>
      </w:r>
      <w:r w:rsidRPr="00CE0149">
        <w:rPr>
          <w:rFonts w:ascii="Times New Roman" w:hAnsi="Times New Roman" w:cs="Times New Roman"/>
          <w:i/>
          <w:sz w:val="24"/>
        </w:rPr>
        <w:t xml:space="preserve"> 32</w:t>
      </w:r>
      <w:r w:rsidRPr="00CE0149">
        <w:rPr>
          <w:rFonts w:ascii="Times New Roman" w:hAnsi="Times New Roman" w:cs="Times New Roman"/>
          <w:sz w:val="24"/>
        </w:rPr>
        <w:t xml:space="preserve">(4), 669-679. </w:t>
      </w:r>
      <w:hyperlink r:id="rId388" w:history="1">
        <w:r w:rsidRPr="00CE0149">
          <w:rPr>
            <w:rStyle w:val="Hyperlink"/>
            <w:rFonts w:ascii="Times New Roman" w:hAnsi="Times New Roman" w:cs="Times New Roman"/>
            <w:sz w:val="24"/>
          </w:rPr>
          <w:t>https://doi.org/10.1016/j.neurobiolaging.2009.04.001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25FD455" w14:textId="14E5D84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Pineles, S. L., &amp; Velez, F. G. (2018). Isolated Ocular Motor Nerve Palsies. </w:t>
      </w:r>
      <w:r w:rsidRPr="00CE0149">
        <w:rPr>
          <w:rFonts w:ascii="Times New Roman" w:hAnsi="Times New Roman" w:cs="Times New Roman"/>
          <w:i/>
          <w:sz w:val="24"/>
        </w:rPr>
        <w:t>J Binocul Vis Ocul Motil</w:t>
      </w:r>
      <w:r w:rsidRPr="00CE0149">
        <w:rPr>
          <w:rFonts w:ascii="Times New Roman" w:hAnsi="Times New Roman" w:cs="Times New Roman"/>
          <w:sz w:val="24"/>
        </w:rPr>
        <w:t>,</w:t>
      </w:r>
      <w:r w:rsidRPr="00CE0149">
        <w:rPr>
          <w:rFonts w:ascii="Times New Roman" w:hAnsi="Times New Roman" w:cs="Times New Roman"/>
          <w:i/>
          <w:sz w:val="24"/>
        </w:rPr>
        <w:t xml:space="preserve"> 68</w:t>
      </w:r>
      <w:r w:rsidRPr="00CE0149">
        <w:rPr>
          <w:rFonts w:ascii="Times New Roman" w:hAnsi="Times New Roman" w:cs="Times New Roman"/>
          <w:sz w:val="24"/>
        </w:rPr>
        <w:t xml:space="preserve">(3), 70-77. </w:t>
      </w:r>
      <w:hyperlink r:id="rId389" w:history="1">
        <w:r w:rsidRPr="00CE0149">
          <w:rPr>
            <w:rStyle w:val="Hyperlink"/>
            <w:rFonts w:ascii="Times New Roman" w:hAnsi="Times New Roman" w:cs="Times New Roman"/>
            <w:sz w:val="24"/>
          </w:rPr>
          <w:t>https://doi.org/10.1080/2576117X.2018.1481266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0B0140D" w14:textId="72CBBA4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Pinkhardt, E. H., Jürgens, R., Becker, W., Valdarno, F., Ludolph, A. C., &amp; Kassubek, J. (2008). Differential diagnostic value of eye movement recording in PSP-parkinsonism, Richardson's syndrome, and idiopathic Parkinson's disease. </w:t>
      </w:r>
      <w:r w:rsidRPr="00CE0149">
        <w:rPr>
          <w:rFonts w:ascii="Times New Roman" w:hAnsi="Times New Roman" w:cs="Times New Roman"/>
          <w:i/>
          <w:sz w:val="24"/>
        </w:rPr>
        <w:t>Journal of neurology</w:t>
      </w:r>
      <w:r w:rsidRPr="00CE0149">
        <w:rPr>
          <w:rFonts w:ascii="Times New Roman" w:hAnsi="Times New Roman" w:cs="Times New Roman"/>
          <w:sz w:val="24"/>
        </w:rPr>
        <w:t>,</w:t>
      </w:r>
      <w:r w:rsidRPr="00CE0149">
        <w:rPr>
          <w:rFonts w:ascii="Times New Roman" w:hAnsi="Times New Roman" w:cs="Times New Roman"/>
          <w:i/>
          <w:sz w:val="24"/>
        </w:rPr>
        <w:t xml:space="preserve"> 255</w:t>
      </w:r>
      <w:r w:rsidRPr="00CE0149">
        <w:rPr>
          <w:rFonts w:ascii="Times New Roman" w:hAnsi="Times New Roman" w:cs="Times New Roman"/>
          <w:sz w:val="24"/>
        </w:rPr>
        <w:t xml:space="preserve">(12), 1916-1925. </w:t>
      </w:r>
      <w:hyperlink r:id="rId390" w:history="1">
        <w:r w:rsidRPr="00CE0149">
          <w:rPr>
            <w:rStyle w:val="Hyperlink"/>
            <w:rFonts w:ascii="Times New Roman" w:hAnsi="Times New Roman" w:cs="Times New Roman"/>
            <w:sz w:val="24"/>
          </w:rPr>
          <w:t>https://doi.org/10.1007/s00415-009-0027-y</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B602158"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Pitt, M. C., &amp; Rawles, J. M. (1988). The effect of age on saccadic latency and velocity. </w:t>
      </w:r>
      <w:r w:rsidRPr="00CE0149">
        <w:rPr>
          <w:rFonts w:ascii="Times New Roman" w:hAnsi="Times New Roman" w:cs="Times New Roman"/>
          <w:i/>
          <w:sz w:val="24"/>
        </w:rPr>
        <w:t>Neuro-Ophthalmology</w:t>
      </w:r>
      <w:r w:rsidRPr="00CE0149">
        <w:rPr>
          <w:rFonts w:ascii="Times New Roman" w:hAnsi="Times New Roman" w:cs="Times New Roman"/>
          <w:sz w:val="24"/>
        </w:rPr>
        <w:t>,</w:t>
      </w:r>
      <w:r w:rsidRPr="00CE0149">
        <w:rPr>
          <w:rFonts w:ascii="Times New Roman" w:hAnsi="Times New Roman" w:cs="Times New Roman"/>
          <w:i/>
          <w:sz w:val="24"/>
        </w:rPr>
        <w:t xml:space="preserve"> 8</w:t>
      </w:r>
      <w:r w:rsidRPr="00CE0149">
        <w:rPr>
          <w:rFonts w:ascii="Times New Roman" w:hAnsi="Times New Roman" w:cs="Times New Roman"/>
          <w:sz w:val="24"/>
        </w:rPr>
        <w:t xml:space="preserve">, 123-129. </w:t>
      </w:r>
      <w:r w:rsidRPr="00CE0149">
        <w:rPr>
          <w:rFonts w:ascii="Times New Roman" w:hAnsi="Times New Roman" w:cs="Times New Roman"/>
          <w:sz w:val="24"/>
        </w:rPr>
        <w:tab/>
      </w:r>
    </w:p>
    <w:p w14:paraId="79202B70" w14:textId="7CC73CA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Ploner, C. J., Ostendorf, F., &amp; Dick, S. (2004). Target size modulates saccadic eye movements in humans. </w:t>
      </w:r>
      <w:r w:rsidRPr="00CE0149">
        <w:rPr>
          <w:rFonts w:ascii="Times New Roman" w:hAnsi="Times New Roman" w:cs="Times New Roman"/>
          <w:i/>
          <w:sz w:val="24"/>
        </w:rPr>
        <w:t>Behavioral Neuroscience</w:t>
      </w:r>
      <w:r w:rsidRPr="00CE0149">
        <w:rPr>
          <w:rFonts w:ascii="Times New Roman" w:hAnsi="Times New Roman" w:cs="Times New Roman"/>
          <w:sz w:val="24"/>
        </w:rPr>
        <w:t>,</w:t>
      </w:r>
      <w:r w:rsidRPr="00CE0149">
        <w:rPr>
          <w:rFonts w:ascii="Times New Roman" w:hAnsi="Times New Roman" w:cs="Times New Roman"/>
          <w:i/>
          <w:sz w:val="24"/>
        </w:rPr>
        <w:t xml:space="preserve"> 118</w:t>
      </w:r>
      <w:r w:rsidRPr="00CE0149">
        <w:rPr>
          <w:rFonts w:ascii="Times New Roman" w:hAnsi="Times New Roman" w:cs="Times New Roman"/>
          <w:sz w:val="24"/>
        </w:rPr>
        <w:t xml:space="preserve">(1), 237-242. </w:t>
      </w:r>
      <w:hyperlink r:id="rId391" w:history="1">
        <w:r w:rsidRPr="00CE0149">
          <w:rPr>
            <w:rStyle w:val="Hyperlink"/>
            <w:rFonts w:ascii="Times New Roman" w:hAnsi="Times New Roman" w:cs="Times New Roman"/>
            <w:sz w:val="24"/>
          </w:rPr>
          <w:t>https://doi.org/10.1037/0735-7044.118.1.237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4D2C4CB" w14:textId="56276F5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Radia, M., Stahl, M., Arunakirinathan, M., &amp; Kadhim, M. (2017). Examination of a third nerve palsy. </w:t>
      </w:r>
      <w:r w:rsidRPr="00CE0149">
        <w:rPr>
          <w:rFonts w:ascii="Times New Roman" w:hAnsi="Times New Roman" w:cs="Times New Roman"/>
          <w:i/>
          <w:sz w:val="24"/>
        </w:rPr>
        <w:t>Br J Hosp Med (Lond)</w:t>
      </w:r>
      <w:r w:rsidRPr="00CE0149">
        <w:rPr>
          <w:rFonts w:ascii="Times New Roman" w:hAnsi="Times New Roman" w:cs="Times New Roman"/>
          <w:sz w:val="24"/>
        </w:rPr>
        <w:t>,</w:t>
      </w:r>
      <w:r w:rsidRPr="00CE0149">
        <w:rPr>
          <w:rFonts w:ascii="Times New Roman" w:hAnsi="Times New Roman" w:cs="Times New Roman"/>
          <w:i/>
          <w:sz w:val="24"/>
        </w:rPr>
        <w:t xml:space="preserve"> 78</w:t>
      </w:r>
      <w:r w:rsidRPr="00CE0149">
        <w:rPr>
          <w:rFonts w:ascii="Times New Roman" w:hAnsi="Times New Roman" w:cs="Times New Roman"/>
          <w:sz w:val="24"/>
        </w:rPr>
        <w:t xml:space="preserve">(12), C188-C192. </w:t>
      </w:r>
      <w:hyperlink r:id="rId392" w:history="1">
        <w:r w:rsidRPr="00CE0149">
          <w:rPr>
            <w:rStyle w:val="Hyperlink"/>
            <w:rFonts w:ascii="Times New Roman" w:hAnsi="Times New Roman" w:cs="Times New Roman"/>
            <w:sz w:val="24"/>
          </w:rPr>
          <w:t>https://doi.org/10.12968/hmed.2017.78.12.C188</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B6CA105" w14:textId="77777777" w:rsidR="00D01B07" w:rsidRPr="00D01B07" w:rsidRDefault="00D01B07" w:rsidP="00D01B07">
      <w:pPr>
        <w:spacing w:line="240" w:lineRule="auto"/>
        <w:ind w:left="709" w:hanging="709"/>
      </w:pPr>
      <w:r w:rsidRPr="00D01B07">
        <w:rPr>
          <w:color w:val="333333"/>
          <w:shd w:val="clear" w:color="auto" w:fill="FCFCFC"/>
        </w:rPr>
        <w:t>Reuter-Lorenz, P.A., Hughes, H.C. &amp; Fendrich, R.</w:t>
      </w:r>
      <w:r>
        <w:rPr>
          <w:color w:val="333333"/>
          <w:shd w:val="clear" w:color="auto" w:fill="FCFCFC"/>
        </w:rPr>
        <w:t xml:space="preserve"> (1991)</w:t>
      </w:r>
      <w:r w:rsidRPr="00D01B07">
        <w:rPr>
          <w:color w:val="333333"/>
          <w:shd w:val="clear" w:color="auto" w:fill="FCFCFC"/>
        </w:rPr>
        <w:t xml:space="preserve"> The reduction of saccadic latency by prior offset of the fixation point: An analysis of the gap effect. </w:t>
      </w:r>
      <w:r w:rsidRPr="00D01B07">
        <w:rPr>
          <w:i/>
          <w:iCs/>
          <w:color w:val="333333"/>
          <w:shd w:val="clear" w:color="auto" w:fill="FCFCFC"/>
        </w:rPr>
        <w:t>Perception &amp; Psychophysics</w:t>
      </w:r>
      <w:r>
        <w:rPr>
          <w:i/>
          <w:iCs/>
          <w:color w:val="333333"/>
          <w:shd w:val="clear" w:color="auto" w:fill="FCFCFC"/>
        </w:rPr>
        <w:t>,</w:t>
      </w:r>
      <w:r w:rsidRPr="00D01B07">
        <w:rPr>
          <w:color w:val="333333"/>
          <w:shd w:val="clear" w:color="auto" w:fill="FCFCFC"/>
        </w:rPr>
        <w:t> </w:t>
      </w:r>
      <w:r w:rsidRPr="00D01B07">
        <w:rPr>
          <w:b/>
          <w:bCs/>
          <w:color w:val="333333"/>
          <w:shd w:val="clear" w:color="auto" w:fill="FCFCFC"/>
        </w:rPr>
        <w:t>49, </w:t>
      </w:r>
      <w:r w:rsidRPr="00D01B07">
        <w:rPr>
          <w:color w:val="333333"/>
          <w:shd w:val="clear" w:color="auto" w:fill="FCFCFC"/>
        </w:rPr>
        <w:t>167–175</w:t>
      </w:r>
      <w:r>
        <w:rPr>
          <w:color w:val="333333"/>
          <w:shd w:val="clear" w:color="auto" w:fill="FCFCFC"/>
        </w:rPr>
        <w:t>.</w:t>
      </w:r>
      <w:r w:rsidRPr="00D01B07">
        <w:rPr>
          <w:color w:val="333333"/>
          <w:shd w:val="clear" w:color="auto" w:fill="FCFCFC"/>
        </w:rPr>
        <w:t xml:space="preserve"> https://doi.org/10.3758/BF03205036</w:t>
      </w:r>
    </w:p>
    <w:p w14:paraId="32541EC5" w14:textId="35D1A689"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Richards, B. W., Jones, F. R., &amp; Younge, B. R. (1992). Causes and prognosis in 4,278 cases of paralysis of the oculomotor, trochlear, and abducens cranial nerves [Article]. </w:t>
      </w:r>
      <w:r w:rsidRPr="00CE0149">
        <w:rPr>
          <w:rFonts w:ascii="Times New Roman" w:hAnsi="Times New Roman" w:cs="Times New Roman"/>
          <w:i/>
          <w:sz w:val="24"/>
        </w:rPr>
        <w:t>American Journal of Ophthalmology</w:t>
      </w:r>
      <w:r w:rsidRPr="00CE0149">
        <w:rPr>
          <w:rFonts w:ascii="Times New Roman" w:hAnsi="Times New Roman" w:cs="Times New Roman"/>
          <w:sz w:val="24"/>
        </w:rPr>
        <w:t>,</w:t>
      </w:r>
      <w:r w:rsidRPr="00CE0149">
        <w:rPr>
          <w:rFonts w:ascii="Times New Roman" w:hAnsi="Times New Roman" w:cs="Times New Roman"/>
          <w:i/>
          <w:sz w:val="24"/>
        </w:rPr>
        <w:t xml:space="preserve"> 113</w:t>
      </w:r>
      <w:r w:rsidRPr="00CE0149">
        <w:rPr>
          <w:rFonts w:ascii="Times New Roman" w:hAnsi="Times New Roman" w:cs="Times New Roman"/>
          <w:sz w:val="24"/>
        </w:rPr>
        <w:t xml:space="preserve">(5), 489-496. </w:t>
      </w:r>
      <w:r w:rsidRPr="00CE0149">
        <w:rPr>
          <w:rFonts w:ascii="Times New Roman" w:hAnsi="Times New Roman" w:cs="Times New Roman"/>
          <w:sz w:val="24"/>
        </w:rPr>
        <w:tab/>
      </w:r>
    </w:p>
    <w:p w14:paraId="695F5019" w14:textId="3F4F064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Riecker, A., Gröschel, K., Ackermann, H., Steinbrink, C., Witte, O., &amp; Kastrup, A. (2006). Functional significance of age-related differences in motor activation patterns. </w:t>
      </w:r>
      <w:r w:rsidRPr="00CE0149">
        <w:rPr>
          <w:rFonts w:ascii="Times New Roman" w:hAnsi="Times New Roman" w:cs="Times New Roman"/>
          <w:i/>
          <w:sz w:val="24"/>
        </w:rPr>
        <w:t>Neuroimage</w:t>
      </w:r>
      <w:r w:rsidRPr="00CE0149">
        <w:rPr>
          <w:rFonts w:ascii="Times New Roman" w:hAnsi="Times New Roman" w:cs="Times New Roman"/>
          <w:sz w:val="24"/>
        </w:rPr>
        <w:t>,</w:t>
      </w:r>
      <w:r w:rsidRPr="00CE0149">
        <w:rPr>
          <w:rFonts w:ascii="Times New Roman" w:hAnsi="Times New Roman" w:cs="Times New Roman"/>
          <w:i/>
          <w:sz w:val="24"/>
        </w:rPr>
        <w:t xml:space="preserve"> 32</w:t>
      </w:r>
      <w:r w:rsidRPr="00CE0149">
        <w:rPr>
          <w:rFonts w:ascii="Times New Roman" w:hAnsi="Times New Roman" w:cs="Times New Roman"/>
          <w:sz w:val="24"/>
        </w:rPr>
        <w:t xml:space="preserve">(3), 1345-1354. </w:t>
      </w:r>
      <w:hyperlink r:id="rId393" w:history="1">
        <w:r w:rsidRPr="00CE0149">
          <w:rPr>
            <w:rStyle w:val="Hyperlink"/>
            <w:rFonts w:ascii="Times New Roman" w:hAnsi="Times New Roman" w:cs="Times New Roman"/>
            <w:sz w:val="24"/>
          </w:rPr>
          <w:t>https://doi.org/10.1016/j.neuroimage.2006.05.021</w:t>
        </w:r>
      </w:hyperlink>
      <w:r w:rsidRPr="00CE0149">
        <w:rPr>
          <w:rFonts w:ascii="Times New Roman" w:hAnsi="Times New Roman" w:cs="Times New Roman"/>
          <w:sz w:val="24"/>
        </w:rPr>
        <w:t xml:space="preserve"> </w:t>
      </w:r>
    </w:p>
    <w:p w14:paraId="328A61F0" w14:textId="7501BE5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Rosengren, W., Nystrom, M., Hammar, B., &amp; Stridh, M. (2020). A robustmethod for calibration of eye tracking data recorded during nystagmus. </w:t>
      </w:r>
      <w:r w:rsidRPr="00CE0149">
        <w:rPr>
          <w:rFonts w:ascii="Times New Roman" w:hAnsi="Times New Roman" w:cs="Times New Roman"/>
          <w:i/>
          <w:sz w:val="24"/>
        </w:rPr>
        <w:t>Behavior research methods</w:t>
      </w:r>
      <w:r w:rsidRPr="00CE0149">
        <w:rPr>
          <w:rFonts w:ascii="Times New Roman" w:hAnsi="Times New Roman" w:cs="Times New Roman"/>
          <w:sz w:val="24"/>
        </w:rPr>
        <w:t>,</w:t>
      </w:r>
      <w:r w:rsidRPr="00CE0149">
        <w:rPr>
          <w:rFonts w:ascii="Times New Roman" w:hAnsi="Times New Roman" w:cs="Times New Roman"/>
          <w:i/>
          <w:sz w:val="24"/>
        </w:rPr>
        <w:t xml:space="preserve"> 52</w:t>
      </w:r>
      <w:r w:rsidRPr="00CE0149">
        <w:rPr>
          <w:rFonts w:ascii="Times New Roman" w:hAnsi="Times New Roman" w:cs="Times New Roman"/>
          <w:sz w:val="24"/>
        </w:rPr>
        <w:t xml:space="preserve">(1), 36-50. </w:t>
      </w:r>
      <w:hyperlink r:id="rId394" w:history="1">
        <w:r w:rsidRPr="00CE0149">
          <w:rPr>
            <w:rStyle w:val="Hyperlink"/>
            <w:rFonts w:ascii="Times New Roman" w:hAnsi="Times New Roman" w:cs="Times New Roman"/>
            <w:sz w:val="24"/>
          </w:rPr>
          <w:t>https://doi.org/10.3758/s13428-019-01199-0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60D20F6" w14:textId="35FD150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Ross, R. G., Olincy, A., Harris, J. G., Radant, A., Adler, L. E., Compagnon, N., &amp; Freedman, R. (1999). The effects of age on a smooth pursuit tracking task in adults with schizophrenia and normal subjects. </w:t>
      </w:r>
      <w:r w:rsidRPr="00CE0149">
        <w:rPr>
          <w:rFonts w:ascii="Times New Roman" w:hAnsi="Times New Roman" w:cs="Times New Roman"/>
          <w:i/>
          <w:sz w:val="24"/>
        </w:rPr>
        <w:t>Biological Psychiatry</w:t>
      </w:r>
      <w:r w:rsidRPr="00CE0149">
        <w:rPr>
          <w:rFonts w:ascii="Times New Roman" w:hAnsi="Times New Roman" w:cs="Times New Roman"/>
          <w:sz w:val="24"/>
        </w:rPr>
        <w:t>,</w:t>
      </w:r>
      <w:r w:rsidRPr="00CE0149">
        <w:rPr>
          <w:rFonts w:ascii="Times New Roman" w:hAnsi="Times New Roman" w:cs="Times New Roman"/>
          <w:i/>
          <w:sz w:val="24"/>
        </w:rPr>
        <w:t xml:space="preserve"> 46</w:t>
      </w:r>
      <w:r w:rsidRPr="00CE0149">
        <w:rPr>
          <w:rFonts w:ascii="Times New Roman" w:hAnsi="Times New Roman" w:cs="Times New Roman"/>
          <w:sz w:val="24"/>
        </w:rPr>
        <w:t xml:space="preserve">(3), 383-391. </w:t>
      </w:r>
      <w:hyperlink r:id="rId395" w:history="1">
        <w:r w:rsidRPr="00CE0149">
          <w:rPr>
            <w:rStyle w:val="Hyperlink"/>
            <w:rFonts w:ascii="Times New Roman" w:hAnsi="Times New Roman" w:cs="Times New Roman"/>
            <w:sz w:val="24"/>
          </w:rPr>
          <w:t>https://doi.org/10.1016/S0006-3223(98)00369-2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E595188" w14:textId="38A9F2E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Rottach, K. G., Zivotofsky, A. Z., Das, V. E., Averbuch-Heller, L., Discenna, A. O., Poonyathalang, A., &amp; Leigh, R. J. (1996). Comparison of Horizontal, Vertical and Diagonal Smooth Pursuit Eye Movements in Normal Human Subjects.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36</w:t>
      </w:r>
      <w:r w:rsidRPr="00CE0149">
        <w:rPr>
          <w:rFonts w:ascii="Times New Roman" w:hAnsi="Times New Roman" w:cs="Times New Roman"/>
          <w:sz w:val="24"/>
        </w:rPr>
        <w:t xml:space="preserve">(14), 2189-2195. </w:t>
      </w:r>
      <w:hyperlink r:id="rId396" w:history="1">
        <w:r w:rsidRPr="00CE0149">
          <w:rPr>
            <w:rStyle w:val="Hyperlink"/>
            <w:rFonts w:ascii="Times New Roman" w:hAnsi="Times New Roman" w:cs="Times New Roman"/>
            <w:sz w:val="24"/>
          </w:rPr>
          <w:t>https://doi.org/10.1016/0042-6989(95)00302-9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E5E8B01" w14:textId="55B0815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Rucker, J. C. (2007). Oculomotor Disorders. </w:t>
      </w:r>
      <w:r w:rsidRPr="00CE0149">
        <w:rPr>
          <w:rFonts w:ascii="Times New Roman" w:hAnsi="Times New Roman" w:cs="Times New Roman"/>
          <w:i/>
          <w:sz w:val="24"/>
        </w:rPr>
        <w:t>Seminars in Neurology</w:t>
      </w:r>
      <w:r w:rsidRPr="00CE0149">
        <w:rPr>
          <w:rFonts w:ascii="Times New Roman" w:hAnsi="Times New Roman" w:cs="Times New Roman"/>
          <w:sz w:val="24"/>
        </w:rPr>
        <w:t>,</w:t>
      </w:r>
      <w:r w:rsidRPr="00CE0149">
        <w:rPr>
          <w:rFonts w:ascii="Times New Roman" w:hAnsi="Times New Roman" w:cs="Times New Roman"/>
          <w:i/>
          <w:sz w:val="24"/>
        </w:rPr>
        <w:t xml:space="preserve"> 27</w:t>
      </w:r>
      <w:r w:rsidRPr="00CE0149">
        <w:rPr>
          <w:rFonts w:ascii="Times New Roman" w:hAnsi="Times New Roman" w:cs="Times New Roman"/>
          <w:sz w:val="24"/>
        </w:rPr>
        <w:t xml:space="preserve">(3), 14, Article 3. </w:t>
      </w:r>
      <w:hyperlink r:id="rId397" w:history="1">
        <w:r w:rsidRPr="00CE0149">
          <w:rPr>
            <w:rStyle w:val="Hyperlink"/>
            <w:rFonts w:ascii="Times New Roman" w:hAnsi="Times New Roman" w:cs="Times New Roman"/>
            <w:sz w:val="24"/>
          </w:rPr>
          <w:t>https://doi.org/10.1055/s-2007-979682</w:t>
        </w:r>
      </w:hyperlink>
      <w:r w:rsidRPr="00CE0149">
        <w:rPr>
          <w:rFonts w:ascii="Times New Roman" w:hAnsi="Times New Roman" w:cs="Times New Roman"/>
          <w:sz w:val="24"/>
        </w:rPr>
        <w:t xml:space="preserve"> </w:t>
      </w:r>
    </w:p>
    <w:p w14:paraId="118B86A5" w14:textId="05949A1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Rush, J. A., &amp; Younge, B. R. (1981). Paralysis of cranial nerves III, IV, and VI. Cause and prognosis in 1,000 cases. </w:t>
      </w:r>
      <w:r w:rsidRPr="00CE0149">
        <w:rPr>
          <w:rFonts w:ascii="Times New Roman" w:hAnsi="Times New Roman" w:cs="Times New Roman"/>
          <w:i/>
          <w:sz w:val="24"/>
        </w:rPr>
        <w:t>Archives of ophthalmology (Chicago, Ill. : 1960)</w:t>
      </w:r>
      <w:r w:rsidRPr="00CE0149">
        <w:rPr>
          <w:rFonts w:ascii="Times New Roman" w:hAnsi="Times New Roman" w:cs="Times New Roman"/>
          <w:sz w:val="24"/>
        </w:rPr>
        <w:t>,</w:t>
      </w:r>
      <w:r w:rsidRPr="00CE0149">
        <w:rPr>
          <w:rFonts w:ascii="Times New Roman" w:hAnsi="Times New Roman" w:cs="Times New Roman"/>
          <w:i/>
          <w:sz w:val="24"/>
        </w:rPr>
        <w:t xml:space="preserve"> 99</w:t>
      </w:r>
      <w:r w:rsidRPr="00CE0149">
        <w:rPr>
          <w:rFonts w:ascii="Times New Roman" w:hAnsi="Times New Roman" w:cs="Times New Roman"/>
          <w:sz w:val="24"/>
        </w:rPr>
        <w:t xml:space="preserve">(1), 76. </w:t>
      </w:r>
      <w:hyperlink r:id="rId398" w:history="1">
        <w:r w:rsidRPr="00CE0149">
          <w:rPr>
            <w:rStyle w:val="Hyperlink"/>
            <w:rFonts w:ascii="Times New Roman" w:hAnsi="Times New Roman" w:cs="Times New Roman"/>
            <w:sz w:val="24"/>
          </w:rPr>
          <w:t>https://doi.org/10.1001/archopht.1981.03930010078006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3329C2D" w14:textId="1A1E1F8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Sagara, H., Sekiryu, T., Imaizumi, K., Shintake, H., Sugiyama, U., &amp; Maehara, H. (2019). Impact of tear metrics on the reliability of perimetry in patients with dry eye. </w:t>
      </w:r>
      <w:r w:rsidRPr="00CE0149">
        <w:rPr>
          <w:rFonts w:ascii="Times New Roman" w:hAnsi="Times New Roman" w:cs="Times New Roman"/>
          <w:i/>
          <w:sz w:val="24"/>
        </w:rPr>
        <w:t>PloS one</w:t>
      </w:r>
      <w:r w:rsidRPr="00CE0149">
        <w:rPr>
          <w:rFonts w:ascii="Times New Roman" w:hAnsi="Times New Roman" w:cs="Times New Roman"/>
          <w:sz w:val="24"/>
        </w:rPr>
        <w:t>,</w:t>
      </w:r>
      <w:r w:rsidRPr="00CE0149">
        <w:rPr>
          <w:rFonts w:ascii="Times New Roman" w:hAnsi="Times New Roman" w:cs="Times New Roman"/>
          <w:i/>
          <w:sz w:val="24"/>
        </w:rPr>
        <w:t xml:space="preserve"> 14</w:t>
      </w:r>
      <w:r w:rsidRPr="00CE0149">
        <w:rPr>
          <w:rFonts w:ascii="Times New Roman" w:hAnsi="Times New Roman" w:cs="Times New Roman"/>
          <w:sz w:val="24"/>
        </w:rPr>
        <w:t xml:space="preserve">(9), e0222467-e0222467. </w:t>
      </w:r>
      <w:hyperlink r:id="rId399" w:history="1">
        <w:r w:rsidRPr="00CE0149">
          <w:rPr>
            <w:rStyle w:val="Hyperlink"/>
            <w:rFonts w:ascii="Times New Roman" w:hAnsi="Times New Roman" w:cs="Times New Roman"/>
            <w:sz w:val="24"/>
          </w:rPr>
          <w:t>https://doi.org/10.1371/journal.pone.0222467</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DBC9EE5" w14:textId="21D5DB3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Sakuma, A., Ogino, S., Takahashi, K., &amp; Kato, I. (2000). Aging effects upon smooth pursuit induced by step–ramp stimulation. </w:t>
      </w:r>
      <w:r w:rsidRPr="00CE0149">
        <w:rPr>
          <w:rFonts w:ascii="Times New Roman" w:hAnsi="Times New Roman" w:cs="Times New Roman"/>
          <w:i/>
          <w:sz w:val="24"/>
        </w:rPr>
        <w:t>Auris Nasus Larynx</w:t>
      </w:r>
      <w:r w:rsidRPr="00CE0149">
        <w:rPr>
          <w:rFonts w:ascii="Times New Roman" w:hAnsi="Times New Roman" w:cs="Times New Roman"/>
          <w:sz w:val="24"/>
        </w:rPr>
        <w:t>,</w:t>
      </w:r>
      <w:r w:rsidRPr="00CE0149">
        <w:rPr>
          <w:rFonts w:ascii="Times New Roman" w:hAnsi="Times New Roman" w:cs="Times New Roman"/>
          <w:i/>
          <w:sz w:val="24"/>
        </w:rPr>
        <w:t xml:space="preserve"> 27</w:t>
      </w:r>
      <w:r w:rsidRPr="00CE0149">
        <w:rPr>
          <w:rFonts w:ascii="Times New Roman" w:hAnsi="Times New Roman" w:cs="Times New Roman"/>
          <w:sz w:val="24"/>
        </w:rPr>
        <w:t xml:space="preserve">(3), 195-200. </w:t>
      </w:r>
      <w:hyperlink r:id="rId400" w:history="1">
        <w:r w:rsidRPr="00CE0149">
          <w:rPr>
            <w:rStyle w:val="Hyperlink"/>
            <w:rFonts w:ascii="Times New Roman" w:hAnsi="Times New Roman" w:cs="Times New Roman"/>
            <w:sz w:val="24"/>
          </w:rPr>
          <w:t>https://doi.org/10.1016/S0385-8146(00)00051-1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06E430F9" w14:textId="09893882"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Samadani, U., Farooq, S., Ritlop, R., Warren, F., Reyes, M., Lamm, E., Smith, R. T. (2015). Detection of third and sixth cranial nerve palsies with a novel method for eye tracking while watching a short film clip. </w:t>
      </w:r>
      <w:r w:rsidRPr="00CE0149">
        <w:rPr>
          <w:rFonts w:ascii="Times New Roman" w:hAnsi="Times New Roman" w:cs="Times New Roman"/>
          <w:i/>
          <w:sz w:val="24"/>
        </w:rPr>
        <w:t>Journal of neurosurgery</w:t>
      </w:r>
      <w:r w:rsidRPr="00CE0149">
        <w:rPr>
          <w:rFonts w:ascii="Times New Roman" w:hAnsi="Times New Roman" w:cs="Times New Roman"/>
          <w:sz w:val="24"/>
        </w:rPr>
        <w:t>,</w:t>
      </w:r>
      <w:r w:rsidRPr="00CE0149">
        <w:rPr>
          <w:rFonts w:ascii="Times New Roman" w:hAnsi="Times New Roman" w:cs="Times New Roman"/>
          <w:i/>
          <w:sz w:val="24"/>
        </w:rPr>
        <w:t xml:space="preserve"> 122</w:t>
      </w:r>
      <w:r w:rsidRPr="00CE0149">
        <w:rPr>
          <w:rFonts w:ascii="Times New Roman" w:hAnsi="Times New Roman" w:cs="Times New Roman"/>
          <w:sz w:val="24"/>
        </w:rPr>
        <w:t xml:space="preserve">(3), 707. </w:t>
      </w:r>
      <w:hyperlink r:id="rId401" w:history="1">
        <w:r w:rsidRPr="00CE0149">
          <w:rPr>
            <w:rStyle w:val="Hyperlink"/>
            <w:rFonts w:ascii="Times New Roman" w:hAnsi="Times New Roman" w:cs="Times New Roman"/>
            <w:sz w:val="24"/>
          </w:rPr>
          <w:t>https://doi.org/10.3171/2014.10.JNS14762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F361A58" w14:textId="0418448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Schein, O. D., Hochberg, M. C., Muñoz, B., Tielsch, J. M., Bandeen-Roche, K., Provost, T., . . . West, S. (1999). Dry Eye and Dry Mouth in the Elderly: A Population-Based Assessment. </w:t>
      </w:r>
      <w:r w:rsidRPr="00CE0149">
        <w:rPr>
          <w:rFonts w:ascii="Times New Roman" w:hAnsi="Times New Roman" w:cs="Times New Roman"/>
          <w:i/>
          <w:sz w:val="24"/>
        </w:rPr>
        <w:t>Arch Intern Med</w:t>
      </w:r>
      <w:r w:rsidRPr="00CE0149">
        <w:rPr>
          <w:rFonts w:ascii="Times New Roman" w:hAnsi="Times New Roman" w:cs="Times New Roman"/>
          <w:sz w:val="24"/>
        </w:rPr>
        <w:t>,</w:t>
      </w:r>
      <w:r w:rsidRPr="00CE0149">
        <w:rPr>
          <w:rFonts w:ascii="Times New Roman" w:hAnsi="Times New Roman" w:cs="Times New Roman"/>
          <w:i/>
          <w:sz w:val="24"/>
        </w:rPr>
        <w:t xml:space="preserve"> 159</w:t>
      </w:r>
      <w:r w:rsidRPr="00CE0149">
        <w:rPr>
          <w:rFonts w:ascii="Times New Roman" w:hAnsi="Times New Roman" w:cs="Times New Roman"/>
          <w:sz w:val="24"/>
        </w:rPr>
        <w:t xml:space="preserve">(12), 1359-1363. </w:t>
      </w:r>
      <w:hyperlink r:id="rId402" w:history="1">
        <w:r w:rsidRPr="00CE0149">
          <w:rPr>
            <w:rStyle w:val="Hyperlink"/>
            <w:rFonts w:ascii="Times New Roman" w:hAnsi="Times New Roman" w:cs="Times New Roman"/>
            <w:sz w:val="24"/>
          </w:rPr>
          <w:t>https://doi.org/10.1001/archinte.159.12.1359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249C2EB" w14:textId="21CCD992"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Schein, O. D., MuÑOz, B., Tielsch, J. M., Bandeen-Roche, K., &amp; West, S. (1997). Prevalence of Dry Eye Among the Elderly. </w:t>
      </w:r>
      <w:r w:rsidRPr="00CE0149">
        <w:rPr>
          <w:rFonts w:ascii="Times New Roman" w:hAnsi="Times New Roman" w:cs="Times New Roman"/>
          <w:i/>
          <w:sz w:val="24"/>
        </w:rPr>
        <w:t>Am J Ophthalmol</w:t>
      </w:r>
      <w:r w:rsidRPr="00CE0149">
        <w:rPr>
          <w:rFonts w:ascii="Times New Roman" w:hAnsi="Times New Roman" w:cs="Times New Roman"/>
          <w:sz w:val="24"/>
        </w:rPr>
        <w:t>,</w:t>
      </w:r>
      <w:r w:rsidRPr="00CE0149">
        <w:rPr>
          <w:rFonts w:ascii="Times New Roman" w:hAnsi="Times New Roman" w:cs="Times New Roman"/>
          <w:i/>
          <w:sz w:val="24"/>
        </w:rPr>
        <w:t xml:space="preserve"> 124</w:t>
      </w:r>
      <w:r w:rsidRPr="00CE0149">
        <w:rPr>
          <w:rFonts w:ascii="Times New Roman" w:hAnsi="Times New Roman" w:cs="Times New Roman"/>
          <w:sz w:val="24"/>
        </w:rPr>
        <w:t xml:space="preserve">(6), 723-728. </w:t>
      </w:r>
      <w:hyperlink r:id="rId403" w:history="1">
        <w:r w:rsidRPr="00CE0149">
          <w:rPr>
            <w:rStyle w:val="Hyperlink"/>
            <w:rFonts w:ascii="Times New Roman" w:hAnsi="Times New Roman" w:cs="Times New Roman"/>
            <w:sz w:val="24"/>
          </w:rPr>
          <w:t>https://doi.org/10.1016/S0002-9394(14)71688-5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57CE4E54" w14:textId="5D4F97B1"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Schmitt, K.-U., Muser, M., Lanz, C., Walz, F., &amp; Schwarz, U. (2007). Comparing eye movements recorded by search coil and infrared eye tracking. </w:t>
      </w:r>
      <w:r w:rsidRPr="00CE0149">
        <w:rPr>
          <w:rFonts w:ascii="Times New Roman" w:hAnsi="Times New Roman" w:cs="Times New Roman"/>
          <w:i/>
          <w:sz w:val="24"/>
        </w:rPr>
        <w:t>J Clin Monit Comput</w:t>
      </w:r>
      <w:r w:rsidRPr="00CE0149">
        <w:rPr>
          <w:rFonts w:ascii="Times New Roman" w:hAnsi="Times New Roman" w:cs="Times New Roman"/>
          <w:sz w:val="24"/>
        </w:rPr>
        <w:t>,</w:t>
      </w:r>
      <w:r w:rsidRPr="00CE0149">
        <w:rPr>
          <w:rFonts w:ascii="Times New Roman" w:hAnsi="Times New Roman" w:cs="Times New Roman"/>
          <w:i/>
          <w:sz w:val="24"/>
        </w:rPr>
        <w:t xml:space="preserve"> 21</w:t>
      </w:r>
      <w:r w:rsidRPr="00CE0149">
        <w:rPr>
          <w:rFonts w:ascii="Times New Roman" w:hAnsi="Times New Roman" w:cs="Times New Roman"/>
          <w:sz w:val="24"/>
        </w:rPr>
        <w:t xml:space="preserve">(1), 49-53. </w:t>
      </w:r>
      <w:hyperlink r:id="rId404" w:history="1">
        <w:r w:rsidRPr="00CE0149">
          <w:rPr>
            <w:rStyle w:val="Hyperlink"/>
            <w:rFonts w:ascii="Times New Roman" w:hAnsi="Times New Roman" w:cs="Times New Roman"/>
            <w:sz w:val="24"/>
          </w:rPr>
          <w:t>https://doi.org/10.1007/s10877-006-9057-5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E82BA81" w14:textId="68A6223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Schuitemaker, A., van der Doef, T. F., Boellaard, R., van der Flier, W. M., Yaqub, M., Windhorst, A. D., van Berckel, B. N. M. (2012). Microglial activation in healthy aging. </w:t>
      </w:r>
      <w:r w:rsidRPr="00CE0149">
        <w:rPr>
          <w:rFonts w:ascii="Times New Roman" w:hAnsi="Times New Roman" w:cs="Times New Roman"/>
          <w:i/>
          <w:sz w:val="24"/>
        </w:rPr>
        <w:t>Neurobiol Aging</w:t>
      </w:r>
      <w:r w:rsidRPr="00CE0149">
        <w:rPr>
          <w:rFonts w:ascii="Times New Roman" w:hAnsi="Times New Roman" w:cs="Times New Roman"/>
          <w:sz w:val="24"/>
        </w:rPr>
        <w:t>,</w:t>
      </w:r>
      <w:r w:rsidRPr="00CE0149">
        <w:rPr>
          <w:rFonts w:ascii="Times New Roman" w:hAnsi="Times New Roman" w:cs="Times New Roman"/>
          <w:i/>
          <w:sz w:val="24"/>
        </w:rPr>
        <w:t xml:space="preserve"> 33</w:t>
      </w:r>
      <w:r w:rsidRPr="00CE0149">
        <w:rPr>
          <w:rFonts w:ascii="Times New Roman" w:hAnsi="Times New Roman" w:cs="Times New Roman"/>
          <w:sz w:val="24"/>
        </w:rPr>
        <w:t xml:space="preserve">(6), 1067-1072. </w:t>
      </w:r>
      <w:hyperlink r:id="rId405" w:history="1">
        <w:r w:rsidRPr="00CE0149">
          <w:rPr>
            <w:rStyle w:val="Hyperlink"/>
            <w:rFonts w:ascii="Times New Roman" w:hAnsi="Times New Roman" w:cs="Times New Roman"/>
            <w:sz w:val="24"/>
          </w:rPr>
          <w:t>https://doi.org/10.1016/j.neurobiolaging.2010.09.016</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23D7730"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Sharma, P., Aslam, B. S., &amp; Saxena, S. (2000). Eye tracking disturbances in schizophrenia. </w:t>
      </w:r>
      <w:r w:rsidRPr="00CE0149">
        <w:rPr>
          <w:rFonts w:ascii="Times New Roman" w:hAnsi="Times New Roman" w:cs="Times New Roman"/>
          <w:i/>
          <w:sz w:val="24"/>
        </w:rPr>
        <w:t>Indian J Ophthalmol</w:t>
      </w:r>
      <w:r w:rsidRPr="00CE0149">
        <w:rPr>
          <w:rFonts w:ascii="Times New Roman" w:hAnsi="Times New Roman" w:cs="Times New Roman"/>
          <w:sz w:val="24"/>
        </w:rPr>
        <w:t>,</w:t>
      </w:r>
      <w:r w:rsidRPr="00CE0149">
        <w:rPr>
          <w:rFonts w:ascii="Times New Roman" w:hAnsi="Times New Roman" w:cs="Times New Roman"/>
          <w:i/>
          <w:sz w:val="24"/>
        </w:rPr>
        <w:t xml:space="preserve"> 48</w:t>
      </w:r>
      <w:r w:rsidRPr="00CE0149">
        <w:rPr>
          <w:rFonts w:ascii="Times New Roman" w:hAnsi="Times New Roman" w:cs="Times New Roman"/>
          <w:sz w:val="24"/>
        </w:rPr>
        <w:t xml:space="preserve">(1), 15-19. </w:t>
      </w:r>
      <w:r w:rsidRPr="00CE0149">
        <w:rPr>
          <w:rFonts w:ascii="Times New Roman" w:hAnsi="Times New Roman" w:cs="Times New Roman"/>
          <w:sz w:val="24"/>
        </w:rPr>
        <w:tab/>
      </w:r>
    </w:p>
    <w:p w14:paraId="62E33438"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Sharpe, J. A., &amp; Sylvester, T. O. (1978). EFFECT OF AGING ON HORIZONTAL SMOOTH PURSUIT. </w:t>
      </w:r>
      <w:r w:rsidRPr="00CE0149">
        <w:rPr>
          <w:rFonts w:ascii="Times New Roman" w:hAnsi="Times New Roman" w:cs="Times New Roman"/>
          <w:i/>
          <w:sz w:val="24"/>
        </w:rPr>
        <w:t>Investigative Ophthalmology &amp; Visual Science</w:t>
      </w:r>
      <w:r w:rsidRPr="00CE0149">
        <w:rPr>
          <w:rFonts w:ascii="Times New Roman" w:hAnsi="Times New Roman" w:cs="Times New Roman"/>
          <w:sz w:val="24"/>
        </w:rPr>
        <w:t>,</w:t>
      </w:r>
      <w:r w:rsidRPr="00CE0149">
        <w:rPr>
          <w:rFonts w:ascii="Times New Roman" w:hAnsi="Times New Roman" w:cs="Times New Roman"/>
          <w:i/>
          <w:sz w:val="24"/>
        </w:rPr>
        <w:t xml:space="preserve"> 17</w:t>
      </w:r>
      <w:r w:rsidRPr="00CE0149">
        <w:rPr>
          <w:rFonts w:ascii="Times New Roman" w:hAnsi="Times New Roman" w:cs="Times New Roman"/>
          <w:sz w:val="24"/>
        </w:rPr>
        <w:t xml:space="preserve">(5), 465-468. </w:t>
      </w:r>
      <w:r w:rsidRPr="00CE0149">
        <w:rPr>
          <w:rFonts w:ascii="Times New Roman" w:hAnsi="Times New Roman" w:cs="Times New Roman"/>
          <w:sz w:val="24"/>
        </w:rPr>
        <w:tab/>
      </w:r>
    </w:p>
    <w:p w14:paraId="2609158E" w14:textId="7382F6E9"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Sharpe, J. A., Wong, A. M., &amp; Fouladvand, M. (2008). Ocular motor nerve palsies: implications for diagnosis and mechanisms of repair. . </w:t>
      </w:r>
      <w:r w:rsidRPr="00CE0149">
        <w:rPr>
          <w:rFonts w:ascii="Times New Roman" w:hAnsi="Times New Roman" w:cs="Times New Roman"/>
          <w:i/>
          <w:sz w:val="24"/>
        </w:rPr>
        <w:t>Progress in brain research</w:t>
      </w:r>
      <w:r w:rsidRPr="00CE0149">
        <w:rPr>
          <w:rFonts w:ascii="Times New Roman" w:hAnsi="Times New Roman" w:cs="Times New Roman"/>
          <w:sz w:val="24"/>
        </w:rPr>
        <w:t>,</w:t>
      </w:r>
      <w:r w:rsidRPr="00CE0149">
        <w:rPr>
          <w:rFonts w:ascii="Times New Roman" w:hAnsi="Times New Roman" w:cs="Times New Roman"/>
          <w:i/>
          <w:sz w:val="24"/>
        </w:rPr>
        <w:t xml:space="preserve"> 171</w:t>
      </w:r>
      <w:r w:rsidRPr="00CE0149">
        <w:rPr>
          <w:rFonts w:ascii="Times New Roman" w:hAnsi="Times New Roman" w:cs="Times New Roman"/>
          <w:sz w:val="24"/>
        </w:rPr>
        <w:t>, 59–66   </w:t>
      </w:r>
      <w:hyperlink r:id="rId406" w:history="1">
        <w:r w:rsidRPr="00CE0149">
          <w:rPr>
            <w:rStyle w:val="Hyperlink"/>
            <w:rFonts w:ascii="Times New Roman" w:hAnsi="Times New Roman" w:cs="Times New Roman"/>
            <w:sz w:val="24"/>
          </w:rPr>
          <w:t>https://doi.org/https://doi.org/10.1016/S0079-6123(08)00609-2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E8A3238" w14:textId="5C224B62"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Shechtman, D., Shallo-Hoffmann, J., Rumsey, J., Riordan-Eva, P., &amp; Hardigan, P. (2005). Maximum Angle of Ocular Duction During Visual Fixation as a Function of Age. </w:t>
      </w:r>
      <w:r w:rsidRPr="00CE0149">
        <w:rPr>
          <w:rFonts w:ascii="Times New Roman" w:hAnsi="Times New Roman" w:cs="Times New Roman"/>
          <w:i/>
          <w:sz w:val="24"/>
        </w:rPr>
        <w:t>Strabismus</w:t>
      </w:r>
      <w:r w:rsidRPr="00CE0149">
        <w:rPr>
          <w:rFonts w:ascii="Times New Roman" w:hAnsi="Times New Roman" w:cs="Times New Roman"/>
          <w:sz w:val="24"/>
        </w:rPr>
        <w:t>,</w:t>
      </w:r>
      <w:r w:rsidRPr="00CE0149">
        <w:rPr>
          <w:rFonts w:ascii="Times New Roman" w:hAnsi="Times New Roman" w:cs="Times New Roman"/>
          <w:i/>
          <w:sz w:val="24"/>
        </w:rPr>
        <w:t xml:space="preserve"> 13</w:t>
      </w:r>
      <w:r w:rsidRPr="00CE0149">
        <w:rPr>
          <w:rFonts w:ascii="Times New Roman" w:hAnsi="Times New Roman" w:cs="Times New Roman"/>
          <w:sz w:val="24"/>
        </w:rPr>
        <w:t xml:space="preserve">(1), 21-26. </w:t>
      </w:r>
      <w:hyperlink r:id="rId407" w:history="1">
        <w:r w:rsidRPr="00CE0149">
          <w:rPr>
            <w:rStyle w:val="Hyperlink"/>
            <w:rFonts w:ascii="Times New Roman" w:hAnsi="Times New Roman" w:cs="Times New Roman"/>
            <w:sz w:val="24"/>
          </w:rPr>
          <w:t>https://doi.org/10.1080/09273970590901810</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A61AE44" w14:textId="6AB761A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SR_Research. (2018). </w:t>
      </w:r>
      <w:r w:rsidRPr="00CE0149">
        <w:rPr>
          <w:rFonts w:ascii="Times New Roman" w:hAnsi="Times New Roman" w:cs="Times New Roman"/>
          <w:i/>
          <w:sz w:val="24"/>
        </w:rPr>
        <w:t>EyeLink Data Viewer 3.1.246 [Computer software]</w:t>
      </w:r>
      <w:r w:rsidRPr="00CE0149">
        <w:rPr>
          <w:rFonts w:ascii="Times New Roman" w:hAnsi="Times New Roman" w:cs="Times New Roman"/>
          <w:sz w:val="24"/>
        </w:rPr>
        <w:t>.</w:t>
      </w:r>
      <w:r w:rsidRPr="00CE0149">
        <w:rPr>
          <w:rFonts w:ascii="Times New Roman" w:hAnsi="Times New Roman" w:cs="Times New Roman"/>
          <w:i/>
          <w:sz w:val="24"/>
        </w:rPr>
        <w:t xml:space="preserve"> </w:t>
      </w:r>
      <w:r w:rsidRPr="00CE0149">
        <w:rPr>
          <w:rFonts w:ascii="Times New Roman" w:hAnsi="Times New Roman" w:cs="Times New Roman"/>
          <w:sz w:val="24"/>
        </w:rPr>
        <w:t xml:space="preserve">In SR Research Ltd. </w:t>
      </w:r>
    </w:p>
    <w:p w14:paraId="55EB57E1" w14:textId="1829201A"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Stuve, T. A., Friedman, L., Jesberger, J. A., Gilmore, G. C., Strauss, M. E., &amp; Meltzer, H. Y. (1997). The relationship between smooth pursuit performance, motion perception and sustained visual attention in patients with schizophrenia and normal controls. </w:t>
      </w:r>
      <w:r w:rsidRPr="00CE0149">
        <w:rPr>
          <w:rFonts w:ascii="Times New Roman" w:hAnsi="Times New Roman" w:cs="Times New Roman"/>
          <w:i/>
          <w:sz w:val="24"/>
        </w:rPr>
        <w:t>Psychological Medicine</w:t>
      </w:r>
      <w:r w:rsidRPr="00CE0149">
        <w:rPr>
          <w:rFonts w:ascii="Times New Roman" w:hAnsi="Times New Roman" w:cs="Times New Roman"/>
          <w:sz w:val="24"/>
        </w:rPr>
        <w:t>,</w:t>
      </w:r>
      <w:r w:rsidRPr="00CE0149">
        <w:rPr>
          <w:rFonts w:ascii="Times New Roman" w:hAnsi="Times New Roman" w:cs="Times New Roman"/>
          <w:i/>
          <w:sz w:val="24"/>
        </w:rPr>
        <w:t xml:space="preserve"> 27</w:t>
      </w:r>
      <w:r w:rsidRPr="00CE0149">
        <w:rPr>
          <w:rFonts w:ascii="Times New Roman" w:hAnsi="Times New Roman" w:cs="Times New Roman"/>
          <w:sz w:val="24"/>
        </w:rPr>
        <w:t xml:space="preserve">(1), 143-152. </w:t>
      </w:r>
      <w:hyperlink r:id="rId408" w:history="1">
        <w:r w:rsidRPr="00CE0149">
          <w:rPr>
            <w:rStyle w:val="Hyperlink"/>
            <w:rFonts w:ascii="Times New Roman" w:hAnsi="Times New Roman" w:cs="Times New Roman"/>
            <w:sz w:val="24"/>
          </w:rPr>
          <w:t>https://doi.org/10.1017/S0033291796004230</w:t>
        </w:r>
      </w:hyperlink>
      <w:r w:rsidRPr="00CE0149">
        <w:rPr>
          <w:rFonts w:ascii="Times New Roman" w:hAnsi="Times New Roman" w:cs="Times New Roman"/>
          <w:sz w:val="24"/>
        </w:rPr>
        <w:t xml:space="preserve"> </w:t>
      </w:r>
    </w:p>
    <w:p w14:paraId="6031FFA8" w14:textId="77777777" w:rsidR="000C7D39" w:rsidRPr="005D77C1" w:rsidRDefault="000C7D39" w:rsidP="000C7D39">
      <w:pPr>
        <w:pStyle w:val="EndNoteBibliography"/>
        <w:ind w:left="720" w:hanging="720"/>
        <w:rPr>
          <w:rFonts w:ascii="Times New Roman" w:hAnsi="Times New Roman" w:cs="Times New Roman"/>
        </w:rPr>
      </w:pPr>
      <w:r w:rsidRPr="005D77C1">
        <w:rPr>
          <w:rFonts w:ascii="Times New Roman" w:hAnsi="Times New Roman" w:cs="Times New Roman"/>
        </w:rPr>
        <w:t xml:space="preserve">Švede, A., Treija, E., Jaschinski, W., &amp; Krūmiņa, G. (2015). Monocular Versus Binocular Calibrations in Evaluating Fixation Disparity With a Video-Based Eye-Tracker. </w:t>
      </w:r>
      <w:r w:rsidRPr="005D77C1">
        <w:rPr>
          <w:rFonts w:ascii="Times New Roman" w:hAnsi="Times New Roman" w:cs="Times New Roman"/>
          <w:i/>
        </w:rPr>
        <w:t>Perception</w:t>
      </w:r>
      <w:r w:rsidRPr="005D77C1">
        <w:rPr>
          <w:rFonts w:ascii="Times New Roman" w:hAnsi="Times New Roman" w:cs="Times New Roman"/>
        </w:rPr>
        <w:t>,</w:t>
      </w:r>
      <w:r w:rsidRPr="005D77C1">
        <w:rPr>
          <w:rFonts w:ascii="Times New Roman" w:hAnsi="Times New Roman" w:cs="Times New Roman"/>
          <w:i/>
        </w:rPr>
        <w:t xml:space="preserve"> 44</w:t>
      </w:r>
      <w:r w:rsidRPr="005D77C1">
        <w:rPr>
          <w:rFonts w:ascii="Times New Roman" w:hAnsi="Times New Roman" w:cs="Times New Roman"/>
        </w:rPr>
        <w:t xml:space="preserve">(8-9), 1110-1128. </w:t>
      </w:r>
      <w:hyperlink r:id="rId409" w:history="1">
        <w:r w:rsidRPr="005D77C1">
          <w:rPr>
            <w:rStyle w:val="Hyperlink"/>
            <w:rFonts w:ascii="Times New Roman" w:hAnsi="Times New Roman" w:cs="Times New Roman"/>
          </w:rPr>
          <w:t>https://doi.org/10.1177/0301006615596886</w:t>
        </w:r>
      </w:hyperlink>
    </w:p>
    <w:p w14:paraId="065BCFFD" w14:textId="05BBDDC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Tegetmeyer, H., Blaschke, T., &amp; Sterker, I. (2002). Smooth pursuit eye movements in patients with ocular motor nerve palsies: a preliminary report. </w:t>
      </w:r>
      <w:r w:rsidRPr="00CE0149">
        <w:rPr>
          <w:rFonts w:ascii="Times New Roman" w:hAnsi="Times New Roman" w:cs="Times New Roman"/>
          <w:i/>
          <w:sz w:val="24"/>
        </w:rPr>
        <w:t>Strabismus</w:t>
      </w:r>
      <w:r w:rsidRPr="00CE0149">
        <w:rPr>
          <w:rFonts w:ascii="Times New Roman" w:hAnsi="Times New Roman" w:cs="Times New Roman"/>
          <w:sz w:val="24"/>
        </w:rPr>
        <w:t>,</w:t>
      </w:r>
      <w:r w:rsidRPr="00CE0149">
        <w:rPr>
          <w:rFonts w:ascii="Times New Roman" w:hAnsi="Times New Roman" w:cs="Times New Roman"/>
          <w:i/>
          <w:sz w:val="24"/>
        </w:rPr>
        <w:t xml:space="preserve"> 10</w:t>
      </w:r>
      <w:r w:rsidRPr="00CE0149">
        <w:rPr>
          <w:rFonts w:ascii="Times New Roman" w:hAnsi="Times New Roman" w:cs="Times New Roman"/>
          <w:sz w:val="24"/>
        </w:rPr>
        <w:t xml:space="preserve">(2), 75-78. </w:t>
      </w:r>
      <w:r w:rsidRPr="00CE0149">
        <w:rPr>
          <w:rFonts w:ascii="Times New Roman" w:hAnsi="Times New Roman" w:cs="Times New Roman"/>
          <w:sz w:val="24"/>
        </w:rPr>
        <w:tab/>
      </w:r>
    </w:p>
    <w:p w14:paraId="1E49EB83" w14:textId="527F8250"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Tegetmeyer, H., Blaschke, T., &amp; Sterker, I. (2007). Effects of Unilateral Ocular Motor Nerve Palsies on Smooth Pursuit Eye Movements in Adult Patients. </w:t>
      </w:r>
      <w:r w:rsidRPr="00CE0149">
        <w:rPr>
          <w:rFonts w:ascii="Times New Roman" w:hAnsi="Times New Roman" w:cs="Times New Roman"/>
          <w:i/>
          <w:sz w:val="24"/>
        </w:rPr>
        <w:t>Strabismus</w:t>
      </w:r>
      <w:r w:rsidRPr="00CE0149">
        <w:rPr>
          <w:rFonts w:ascii="Times New Roman" w:hAnsi="Times New Roman" w:cs="Times New Roman"/>
          <w:sz w:val="24"/>
        </w:rPr>
        <w:t>,</w:t>
      </w:r>
      <w:r w:rsidRPr="00CE0149">
        <w:rPr>
          <w:rFonts w:ascii="Times New Roman" w:hAnsi="Times New Roman" w:cs="Times New Roman"/>
          <w:i/>
          <w:sz w:val="24"/>
        </w:rPr>
        <w:t xml:space="preserve"> 15</w:t>
      </w:r>
      <w:r w:rsidRPr="00CE0149">
        <w:rPr>
          <w:rFonts w:ascii="Times New Roman" w:hAnsi="Times New Roman" w:cs="Times New Roman"/>
          <w:sz w:val="24"/>
        </w:rPr>
        <w:t xml:space="preserve">(1), 55-61. </w:t>
      </w:r>
      <w:hyperlink r:id="rId410" w:history="1">
        <w:r w:rsidRPr="00CE0149">
          <w:rPr>
            <w:rStyle w:val="Hyperlink"/>
            <w:rFonts w:ascii="Times New Roman" w:hAnsi="Times New Roman" w:cs="Times New Roman"/>
            <w:sz w:val="24"/>
          </w:rPr>
          <w:t>https://doi.org/10.1080/09273970601180289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4FAB77B5" w14:textId="2854DBD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Terry Bahill, A., &amp; McDonald, J. D. (1983). Smooth pursuit eye movements in response to predictable target motions. </w:t>
      </w:r>
      <w:r w:rsidRPr="00CE0149">
        <w:rPr>
          <w:rFonts w:ascii="Times New Roman" w:hAnsi="Times New Roman" w:cs="Times New Roman"/>
          <w:i/>
          <w:sz w:val="24"/>
        </w:rPr>
        <w:t>Vision Research</w:t>
      </w:r>
      <w:r w:rsidRPr="00CE0149">
        <w:rPr>
          <w:rFonts w:ascii="Times New Roman" w:hAnsi="Times New Roman" w:cs="Times New Roman"/>
          <w:sz w:val="24"/>
        </w:rPr>
        <w:t>,</w:t>
      </w:r>
      <w:r w:rsidRPr="00CE0149">
        <w:rPr>
          <w:rFonts w:ascii="Times New Roman" w:hAnsi="Times New Roman" w:cs="Times New Roman"/>
          <w:i/>
          <w:sz w:val="24"/>
        </w:rPr>
        <w:t xml:space="preserve"> 23</w:t>
      </w:r>
      <w:r w:rsidRPr="00CE0149">
        <w:rPr>
          <w:rFonts w:ascii="Times New Roman" w:hAnsi="Times New Roman" w:cs="Times New Roman"/>
          <w:sz w:val="24"/>
        </w:rPr>
        <w:t xml:space="preserve">(12), 1573-1583. </w:t>
      </w:r>
      <w:hyperlink r:id="rId411" w:history="1">
        <w:r w:rsidRPr="00CE0149">
          <w:rPr>
            <w:rStyle w:val="Hyperlink"/>
            <w:rFonts w:ascii="Times New Roman" w:hAnsi="Times New Roman" w:cs="Times New Roman"/>
            <w:sz w:val="24"/>
          </w:rPr>
          <w:t>https://doi.org/10.1016/0042-6989(83)90171-2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139E19C" w14:textId="7258173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Thaler, L., Schütz, A. C., Goodale, M. A., &amp; Gegenfurtner, K. R. (2013). What is the best fixation target? The effect of target shape on stability of fixational eye movements. </w:t>
      </w:r>
      <w:r w:rsidRPr="00CE0149">
        <w:rPr>
          <w:rFonts w:ascii="Times New Roman" w:hAnsi="Times New Roman" w:cs="Times New Roman"/>
          <w:i/>
          <w:sz w:val="24"/>
        </w:rPr>
        <w:t>Vision Res</w:t>
      </w:r>
      <w:r w:rsidRPr="00CE0149">
        <w:rPr>
          <w:rFonts w:ascii="Times New Roman" w:hAnsi="Times New Roman" w:cs="Times New Roman"/>
          <w:sz w:val="24"/>
        </w:rPr>
        <w:t>,</w:t>
      </w:r>
      <w:r w:rsidRPr="00CE0149">
        <w:rPr>
          <w:rFonts w:ascii="Times New Roman" w:hAnsi="Times New Roman" w:cs="Times New Roman"/>
          <w:i/>
          <w:sz w:val="24"/>
        </w:rPr>
        <w:t xml:space="preserve"> 76</w:t>
      </w:r>
      <w:r w:rsidRPr="00CE0149">
        <w:rPr>
          <w:rFonts w:ascii="Times New Roman" w:hAnsi="Times New Roman" w:cs="Times New Roman"/>
          <w:sz w:val="24"/>
        </w:rPr>
        <w:t xml:space="preserve">, 31-42. </w:t>
      </w:r>
      <w:hyperlink r:id="rId412" w:history="1">
        <w:r w:rsidRPr="00CE0149">
          <w:rPr>
            <w:rStyle w:val="Hyperlink"/>
            <w:rFonts w:ascii="Times New Roman" w:hAnsi="Times New Roman" w:cs="Times New Roman"/>
            <w:sz w:val="24"/>
          </w:rPr>
          <w:t>https://doi.org/10.1016/j.visres.2012.10.012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A10DE9B"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Tiffin, P. A. C., MacEwen, C. J., Craig, E. A., &amp; Clayton, G. (1996). Acquired palsy of the oculomotor, trochlear and abducens nerves [Article]. </w:t>
      </w:r>
      <w:r w:rsidRPr="00CE0149">
        <w:rPr>
          <w:rFonts w:ascii="Times New Roman" w:hAnsi="Times New Roman" w:cs="Times New Roman"/>
          <w:i/>
          <w:sz w:val="24"/>
        </w:rPr>
        <w:t>Eye</w:t>
      </w:r>
      <w:r w:rsidRPr="00CE0149">
        <w:rPr>
          <w:rFonts w:ascii="Times New Roman" w:hAnsi="Times New Roman" w:cs="Times New Roman"/>
          <w:sz w:val="24"/>
        </w:rPr>
        <w:t>,</w:t>
      </w:r>
      <w:r w:rsidRPr="00CE0149">
        <w:rPr>
          <w:rFonts w:ascii="Times New Roman" w:hAnsi="Times New Roman" w:cs="Times New Roman"/>
          <w:i/>
          <w:sz w:val="24"/>
        </w:rPr>
        <w:t xml:space="preserve"> 10</w:t>
      </w:r>
      <w:r w:rsidRPr="00CE0149">
        <w:rPr>
          <w:rFonts w:ascii="Times New Roman" w:hAnsi="Times New Roman" w:cs="Times New Roman"/>
          <w:sz w:val="24"/>
        </w:rPr>
        <w:t xml:space="preserve">, 377-384. </w:t>
      </w:r>
      <w:r w:rsidRPr="00CE0149">
        <w:rPr>
          <w:rFonts w:ascii="Times New Roman" w:hAnsi="Times New Roman" w:cs="Times New Roman"/>
          <w:sz w:val="24"/>
        </w:rPr>
        <w:tab/>
      </w:r>
    </w:p>
    <w:p w14:paraId="60E0578A" w14:textId="54340CC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Traisk, F., Bolzani, R., &amp; Ygge, J. (2005). A comparison between the magnetic scleral search coil and infrared reflection methods for saccadic eye movement analysis [Article]. </w:t>
      </w:r>
      <w:r w:rsidRPr="00CE0149">
        <w:rPr>
          <w:rFonts w:ascii="Times New Roman" w:hAnsi="Times New Roman" w:cs="Times New Roman"/>
          <w:i/>
          <w:sz w:val="24"/>
        </w:rPr>
        <w:t>Graefes Archive for Clinical and Experimental Ophthalmology</w:t>
      </w:r>
      <w:r w:rsidRPr="00CE0149">
        <w:rPr>
          <w:rFonts w:ascii="Times New Roman" w:hAnsi="Times New Roman" w:cs="Times New Roman"/>
          <w:sz w:val="24"/>
        </w:rPr>
        <w:t>,</w:t>
      </w:r>
      <w:r w:rsidRPr="00CE0149">
        <w:rPr>
          <w:rFonts w:ascii="Times New Roman" w:hAnsi="Times New Roman" w:cs="Times New Roman"/>
          <w:i/>
          <w:sz w:val="24"/>
        </w:rPr>
        <w:t xml:space="preserve"> 243</w:t>
      </w:r>
      <w:r w:rsidRPr="00CE0149">
        <w:rPr>
          <w:rFonts w:ascii="Times New Roman" w:hAnsi="Times New Roman" w:cs="Times New Roman"/>
          <w:sz w:val="24"/>
        </w:rPr>
        <w:t xml:space="preserve">(8), 791-797. </w:t>
      </w:r>
      <w:hyperlink r:id="rId413" w:history="1">
        <w:r w:rsidRPr="00CE0149">
          <w:rPr>
            <w:rStyle w:val="Hyperlink"/>
            <w:rFonts w:ascii="Times New Roman" w:hAnsi="Times New Roman" w:cs="Times New Roman"/>
            <w:sz w:val="24"/>
          </w:rPr>
          <w:t>https://doi.org/10.1007/s00417-005-1148-3</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155A8267" w14:textId="28A1F6AE"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Trojano, L., Moretta, P., Loreto, V., Cozzolino, A., Santoro, L., &amp; Estraneo, A. (2012). Quantitative assessment of visual behavior in disorders of consciousness. </w:t>
      </w:r>
      <w:r w:rsidRPr="00CE0149">
        <w:rPr>
          <w:rFonts w:ascii="Times New Roman" w:hAnsi="Times New Roman" w:cs="Times New Roman"/>
          <w:i/>
          <w:sz w:val="24"/>
        </w:rPr>
        <w:t>J Neurol</w:t>
      </w:r>
      <w:r w:rsidRPr="00CE0149">
        <w:rPr>
          <w:rFonts w:ascii="Times New Roman" w:hAnsi="Times New Roman" w:cs="Times New Roman"/>
          <w:sz w:val="24"/>
        </w:rPr>
        <w:t>,</w:t>
      </w:r>
      <w:r w:rsidRPr="00CE0149">
        <w:rPr>
          <w:rFonts w:ascii="Times New Roman" w:hAnsi="Times New Roman" w:cs="Times New Roman"/>
          <w:i/>
          <w:sz w:val="24"/>
        </w:rPr>
        <w:t xml:space="preserve"> 259</w:t>
      </w:r>
      <w:r w:rsidRPr="00CE0149">
        <w:rPr>
          <w:rFonts w:ascii="Times New Roman" w:hAnsi="Times New Roman" w:cs="Times New Roman"/>
          <w:sz w:val="24"/>
        </w:rPr>
        <w:t xml:space="preserve">(9), 1888-1895. </w:t>
      </w:r>
      <w:hyperlink r:id="rId414" w:history="1">
        <w:r w:rsidRPr="00CE0149">
          <w:rPr>
            <w:rStyle w:val="Hyperlink"/>
            <w:rFonts w:ascii="Times New Roman" w:hAnsi="Times New Roman" w:cs="Times New Roman"/>
            <w:sz w:val="24"/>
          </w:rPr>
          <w:t>https://doi.org/10.1007/s00415-012-6435-4</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DD1FFB4" w14:textId="6B814CBD"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Tzelepi, A., Laskaris, N., Amditis, A., &amp; Kapoula, Z. (2009). Cortical activity preceding vertical saccades: A MEG study. </w:t>
      </w:r>
      <w:r w:rsidRPr="00CE0149">
        <w:rPr>
          <w:rFonts w:ascii="Times New Roman" w:hAnsi="Times New Roman" w:cs="Times New Roman"/>
          <w:i/>
          <w:sz w:val="24"/>
        </w:rPr>
        <w:t>Brain Res</w:t>
      </w:r>
      <w:r w:rsidRPr="00CE0149">
        <w:rPr>
          <w:rFonts w:ascii="Times New Roman" w:hAnsi="Times New Roman" w:cs="Times New Roman"/>
          <w:sz w:val="24"/>
        </w:rPr>
        <w:t>,</w:t>
      </w:r>
      <w:r w:rsidRPr="00CE0149">
        <w:rPr>
          <w:rFonts w:ascii="Times New Roman" w:hAnsi="Times New Roman" w:cs="Times New Roman"/>
          <w:i/>
          <w:sz w:val="24"/>
        </w:rPr>
        <w:t xml:space="preserve"> 1321</w:t>
      </w:r>
      <w:r w:rsidRPr="00CE0149">
        <w:rPr>
          <w:rFonts w:ascii="Times New Roman" w:hAnsi="Times New Roman" w:cs="Times New Roman"/>
          <w:sz w:val="24"/>
        </w:rPr>
        <w:t xml:space="preserve">, 105-116. </w:t>
      </w:r>
      <w:hyperlink r:id="rId415" w:history="1">
        <w:r w:rsidRPr="00CE0149">
          <w:rPr>
            <w:rStyle w:val="Hyperlink"/>
            <w:rFonts w:ascii="Times New Roman" w:hAnsi="Times New Roman" w:cs="Times New Roman"/>
            <w:sz w:val="24"/>
          </w:rPr>
          <w:t>https://doi.org/10.1016/j.brainres.2010.01.002</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B086D72" w14:textId="00E3CFF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van der Geest, J. N., &amp; Frens, M. A. (2002). Recording eye movements with video-oculography and scleral search coils: A direct comparison of two methods. </w:t>
      </w:r>
      <w:r w:rsidRPr="00CE0149">
        <w:rPr>
          <w:rFonts w:ascii="Times New Roman" w:hAnsi="Times New Roman" w:cs="Times New Roman"/>
          <w:i/>
          <w:sz w:val="24"/>
        </w:rPr>
        <w:t>J Neurosci Methods</w:t>
      </w:r>
      <w:r w:rsidRPr="00CE0149">
        <w:rPr>
          <w:rFonts w:ascii="Times New Roman" w:hAnsi="Times New Roman" w:cs="Times New Roman"/>
          <w:sz w:val="24"/>
        </w:rPr>
        <w:t>,</w:t>
      </w:r>
      <w:r w:rsidRPr="00CE0149">
        <w:rPr>
          <w:rFonts w:ascii="Times New Roman" w:hAnsi="Times New Roman" w:cs="Times New Roman"/>
          <w:i/>
          <w:sz w:val="24"/>
        </w:rPr>
        <w:t xml:space="preserve"> 114</w:t>
      </w:r>
      <w:r w:rsidRPr="00CE0149">
        <w:rPr>
          <w:rFonts w:ascii="Times New Roman" w:hAnsi="Times New Roman" w:cs="Times New Roman"/>
          <w:sz w:val="24"/>
        </w:rPr>
        <w:t xml:space="preserve">(2), 185-195. </w:t>
      </w:r>
      <w:hyperlink r:id="rId416" w:history="1">
        <w:r w:rsidRPr="00CE0149">
          <w:rPr>
            <w:rStyle w:val="Hyperlink"/>
            <w:rFonts w:ascii="Times New Roman" w:hAnsi="Times New Roman" w:cs="Times New Roman"/>
            <w:sz w:val="24"/>
          </w:rPr>
          <w:t>https://doi.org/10.1016/S0165-0270(01)00527-1</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75831379" w14:textId="418C23D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Vansteenkiste, P., Cardon, G., Philippaerts, R., &amp; Lenoir, M. (2015). Measuring dwell time percentage from head-mounted eye-tracking data - comparison of a frame-by-frame and a fixation-by-fixation analysis. </w:t>
      </w:r>
      <w:r w:rsidRPr="00CE0149">
        <w:rPr>
          <w:rFonts w:ascii="Times New Roman" w:hAnsi="Times New Roman" w:cs="Times New Roman"/>
          <w:i/>
          <w:sz w:val="24"/>
        </w:rPr>
        <w:t>Ergonomics</w:t>
      </w:r>
      <w:r w:rsidRPr="00CE0149">
        <w:rPr>
          <w:rFonts w:ascii="Times New Roman" w:hAnsi="Times New Roman" w:cs="Times New Roman"/>
          <w:sz w:val="24"/>
        </w:rPr>
        <w:t>,</w:t>
      </w:r>
      <w:r w:rsidRPr="00CE0149">
        <w:rPr>
          <w:rFonts w:ascii="Times New Roman" w:hAnsi="Times New Roman" w:cs="Times New Roman"/>
          <w:i/>
          <w:sz w:val="24"/>
        </w:rPr>
        <w:t xml:space="preserve"> 58</w:t>
      </w:r>
      <w:r w:rsidRPr="00CE0149">
        <w:rPr>
          <w:rFonts w:ascii="Times New Roman" w:hAnsi="Times New Roman" w:cs="Times New Roman"/>
          <w:sz w:val="24"/>
        </w:rPr>
        <w:t xml:space="preserve">(5), 712-721. </w:t>
      </w:r>
      <w:hyperlink r:id="rId417" w:history="1">
        <w:r w:rsidRPr="00CE0149">
          <w:rPr>
            <w:rStyle w:val="Hyperlink"/>
            <w:rFonts w:ascii="Times New Roman" w:hAnsi="Times New Roman" w:cs="Times New Roman"/>
            <w:sz w:val="24"/>
          </w:rPr>
          <w:t>https://doi.org/10.1080/00140139.2014.990524</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C8466F6" w14:textId="7CC14B4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Vinuela-Navarro, T. V., Erichsen, M. J., Williams, M. C., &amp; Woodhouse, M. J. (2017). Effect of Stimulus Type and Motion on Smooth Pursuit in Adults and Children. </w:t>
      </w:r>
      <w:r w:rsidRPr="00CE0149">
        <w:rPr>
          <w:rFonts w:ascii="Times New Roman" w:hAnsi="Times New Roman" w:cs="Times New Roman"/>
          <w:i/>
          <w:sz w:val="24"/>
        </w:rPr>
        <w:t>Optometry and Vision Science</w:t>
      </w:r>
      <w:r w:rsidRPr="00CE0149">
        <w:rPr>
          <w:rFonts w:ascii="Times New Roman" w:hAnsi="Times New Roman" w:cs="Times New Roman"/>
          <w:sz w:val="24"/>
        </w:rPr>
        <w:t>,</w:t>
      </w:r>
      <w:r w:rsidRPr="00CE0149">
        <w:rPr>
          <w:rFonts w:ascii="Times New Roman" w:hAnsi="Times New Roman" w:cs="Times New Roman"/>
          <w:i/>
          <w:sz w:val="24"/>
        </w:rPr>
        <w:t xml:space="preserve"> 94</w:t>
      </w:r>
      <w:r w:rsidRPr="00CE0149">
        <w:rPr>
          <w:rFonts w:ascii="Times New Roman" w:hAnsi="Times New Roman" w:cs="Times New Roman"/>
          <w:sz w:val="24"/>
        </w:rPr>
        <w:t xml:space="preserve">(7), 760-769. </w:t>
      </w:r>
      <w:hyperlink r:id="rId418" w:history="1">
        <w:r w:rsidRPr="00CE0149">
          <w:rPr>
            <w:rStyle w:val="Hyperlink"/>
            <w:rFonts w:ascii="Times New Roman" w:hAnsi="Times New Roman" w:cs="Times New Roman"/>
            <w:sz w:val="24"/>
          </w:rPr>
          <w:t>https://doi.org/10.1097/OPX.0000000000001090</w:t>
        </w:r>
      </w:hyperlink>
      <w:r w:rsidRPr="00CE0149">
        <w:rPr>
          <w:rFonts w:ascii="Times New Roman" w:hAnsi="Times New Roman" w:cs="Times New Roman"/>
          <w:sz w:val="24"/>
        </w:rPr>
        <w:t xml:space="preserve"> </w:t>
      </w:r>
    </w:p>
    <w:p w14:paraId="70BD4CDE" w14:textId="77777777"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Von Noorden, G. K. (2002). </w:t>
      </w:r>
      <w:r w:rsidRPr="00CE0149">
        <w:rPr>
          <w:rFonts w:ascii="Times New Roman" w:hAnsi="Times New Roman" w:cs="Times New Roman"/>
          <w:i/>
          <w:sz w:val="24"/>
        </w:rPr>
        <w:t>Binocular vision and ocular motility : theory and management of strabismus</w:t>
      </w:r>
      <w:r w:rsidRPr="00CE0149">
        <w:rPr>
          <w:rFonts w:ascii="Times New Roman" w:hAnsi="Times New Roman" w:cs="Times New Roman"/>
          <w:sz w:val="24"/>
        </w:rPr>
        <w:t xml:space="preserve"> (6th ed. ed.). St. Louis, Mo. ; London : Mosby, c2002. </w:t>
      </w:r>
      <w:r w:rsidRPr="00CE0149">
        <w:rPr>
          <w:rFonts w:ascii="Times New Roman" w:hAnsi="Times New Roman" w:cs="Times New Roman"/>
          <w:sz w:val="24"/>
        </w:rPr>
        <w:tab/>
      </w:r>
    </w:p>
    <w:p w14:paraId="1416A71F" w14:textId="2D13161F"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Wade, N. J. (2010). Pioneers of eye movement research [Article]. </w:t>
      </w:r>
      <w:r w:rsidRPr="00CE0149">
        <w:rPr>
          <w:rFonts w:ascii="Times New Roman" w:hAnsi="Times New Roman" w:cs="Times New Roman"/>
          <w:i/>
          <w:sz w:val="24"/>
        </w:rPr>
        <w:t>I-Perception</w:t>
      </w:r>
      <w:r w:rsidRPr="00CE0149">
        <w:rPr>
          <w:rFonts w:ascii="Times New Roman" w:hAnsi="Times New Roman" w:cs="Times New Roman"/>
          <w:sz w:val="24"/>
        </w:rPr>
        <w:t>,</w:t>
      </w:r>
      <w:r w:rsidRPr="00CE0149">
        <w:rPr>
          <w:rFonts w:ascii="Times New Roman" w:hAnsi="Times New Roman" w:cs="Times New Roman"/>
          <w:i/>
          <w:sz w:val="24"/>
        </w:rPr>
        <w:t xml:space="preserve"> 1</w:t>
      </w:r>
      <w:r w:rsidRPr="00CE0149">
        <w:rPr>
          <w:rFonts w:ascii="Times New Roman" w:hAnsi="Times New Roman" w:cs="Times New Roman"/>
          <w:sz w:val="24"/>
        </w:rPr>
        <w:t xml:space="preserve">(2), 33-68. </w:t>
      </w:r>
      <w:hyperlink r:id="rId419" w:history="1">
        <w:r w:rsidRPr="00CE0149">
          <w:rPr>
            <w:rStyle w:val="Hyperlink"/>
            <w:rFonts w:ascii="Times New Roman" w:hAnsi="Times New Roman" w:cs="Times New Roman"/>
            <w:sz w:val="24"/>
          </w:rPr>
          <w:t>https://doi.org/10.1068/i0389</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2E23F99E" w14:textId="4AD490D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Walters, A. J., Lithopoulos, A., Tennant, E. M., Weissman, S., &amp; Latimer-Cheung, A. E. (2022). Exploring attention to the Canadian 24-Hour Movement Guidelines for Children and Youth using eye-tracking: A randomized control trial. </w:t>
      </w:r>
      <w:r w:rsidRPr="00CE0149">
        <w:rPr>
          <w:rFonts w:ascii="Times New Roman" w:hAnsi="Times New Roman" w:cs="Times New Roman"/>
          <w:i/>
          <w:sz w:val="24"/>
        </w:rPr>
        <w:t>Public Health Nurs</w:t>
      </w:r>
      <w:r w:rsidRPr="00CE0149">
        <w:rPr>
          <w:rFonts w:ascii="Times New Roman" w:hAnsi="Times New Roman" w:cs="Times New Roman"/>
          <w:sz w:val="24"/>
        </w:rPr>
        <w:t xml:space="preserve">. </w:t>
      </w:r>
      <w:hyperlink r:id="rId420" w:history="1">
        <w:r w:rsidRPr="00CE0149">
          <w:rPr>
            <w:rStyle w:val="Hyperlink"/>
            <w:rFonts w:ascii="Times New Roman" w:hAnsi="Times New Roman" w:cs="Times New Roman"/>
            <w:sz w:val="24"/>
          </w:rPr>
          <w:t>https://doi.org/10.1111/phn.13064</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63E8826D" w14:textId="6F600076"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Wannez, S., Hoyoux, T., Langohr, T., Bodart, O., Martial, C., Wertz, J., . . . Laureys, S. (2017). Objective assessment of visual pursuit in patients with disorders of consciousness: an exploratory study. </w:t>
      </w:r>
      <w:r w:rsidRPr="00CE0149">
        <w:rPr>
          <w:rFonts w:ascii="Times New Roman" w:hAnsi="Times New Roman" w:cs="Times New Roman"/>
          <w:i/>
          <w:sz w:val="24"/>
        </w:rPr>
        <w:t>J Neurol</w:t>
      </w:r>
      <w:r w:rsidRPr="00CE0149">
        <w:rPr>
          <w:rFonts w:ascii="Times New Roman" w:hAnsi="Times New Roman" w:cs="Times New Roman"/>
          <w:sz w:val="24"/>
        </w:rPr>
        <w:t>,</w:t>
      </w:r>
      <w:r w:rsidRPr="00CE0149">
        <w:rPr>
          <w:rFonts w:ascii="Times New Roman" w:hAnsi="Times New Roman" w:cs="Times New Roman"/>
          <w:i/>
          <w:sz w:val="24"/>
        </w:rPr>
        <w:t xml:space="preserve"> 264</w:t>
      </w:r>
      <w:r w:rsidRPr="00CE0149">
        <w:rPr>
          <w:rFonts w:ascii="Times New Roman" w:hAnsi="Times New Roman" w:cs="Times New Roman"/>
          <w:sz w:val="24"/>
        </w:rPr>
        <w:t xml:space="preserve">(5), 928-937. </w:t>
      </w:r>
      <w:hyperlink r:id="rId421" w:history="1">
        <w:r w:rsidRPr="00CE0149">
          <w:rPr>
            <w:rStyle w:val="Hyperlink"/>
            <w:rFonts w:ascii="Times New Roman" w:hAnsi="Times New Roman" w:cs="Times New Roman"/>
            <w:sz w:val="24"/>
          </w:rPr>
          <w:t>https://doi.org/10.1007/s00415-017-8469-0</w:t>
        </w:r>
      </w:hyperlink>
      <w:r w:rsidRPr="00CE0149">
        <w:rPr>
          <w:rFonts w:ascii="Times New Roman" w:hAnsi="Times New Roman" w:cs="Times New Roman"/>
          <w:sz w:val="24"/>
        </w:rPr>
        <w:t xml:space="preserve"> </w:t>
      </w:r>
    </w:p>
    <w:p w14:paraId="2C266C23" w14:textId="5995CD1F"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Warabi, T., Kase, M., &amp; Kato, T. (1984). Effect of aging on the accuracy of visually guided saccadic eye movement. </w:t>
      </w:r>
      <w:r w:rsidRPr="00CE0149">
        <w:rPr>
          <w:rFonts w:ascii="Times New Roman" w:hAnsi="Times New Roman" w:cs="Times New Roman"/>
          <w:i/>
          <w:sz w:val="24"/>
        </w:rPr>
        <w:t>Annals of neurology.</w:t>
      </w:r>
      <w:r w:rsidRPr="00CE0149">
        <w:rPr>
          <w:rFonts w:ascii="Times New Roman" w:hAnsi="Times New Roman" w:cs="Times New Roman"/>
          <w:sz w:val="24"/>
        </w:rPr>
        <w:t>,</w:t>
      </w:r>
      <w:r w:rsidRPr="00CE0149">
        <w:rPr>
          <w:rFonts w:ascii="Times New Roman" w:hAnsi="Times New Roman" w:cs="Times New Roman"/>
          <w:i/>
          <w:sz w:val="24"/>
        </w:rPr>
        <w:t xml:space="preserve"> 16</w:t>
      </w:r>
      <w:r w:rsidRPr="00CE0149">
        <w:rPr>
          <w:rFonts w:ascii="Times New Roman" w:hAnsi="Times New Roman" w:cs="Times New Roman"/>
          <w:sz w:val="24"/>
        </w:rPr>
        <w:t xml:space="preserve">(4), 449-454. </w:t>
      </w:r>
      <w:hyperlink r:id="rId422" w:history="1">
        <w:r w:rsidRPr="00CE0149">
          <w:rPr>
            <w:rStyle w:val="Hyperlink"/>
            <w:rFonts w:ascii="Times New Roman" w:hAnsi="Times New Roman" w:cs="Times New Roman"/>
            <w:sz w:val="24"/>
          </w:rPr>
          <w:t>https://doi.org/10.1002/ana.410160405</w:t>
        </w:r>
      </w:hyperlink>
    </w:p>
    <w:p w14:paraId="40BE6FE9" w14:textId="50FE9EBC"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Warren, D. E., Thurtell, M. J., Carroll, J. N., &amp; Wall, M. (2013). Perimetric evaluation of saccadic latency, saccadic accuracy, and visual threshold for peripheral visual stimuli in young compared with older adults. </w:t>
      </w:r>
      <w:r w:rsidRPr="00CE0149">
        <w:rPr>
          <w:rFonts w:ascii="Times New Roman" w:hAnsi="Times New Roman" w:cs="Times New Roman"/>
          <w:i/>
          <w:sz w:val="24"/>
        </w:rPr>
        <w:t>Investigative Ophthalmology and Visual Science</w:t>
      </w:r>
      <w:r w:rsidRPr="00CE0149">
        <w:rPr>
          <w:rFonts w:ascii="Times New Roman" w:hAnsi="Times New Roman" w:cs="Times New Roman"/>
          <w:sz w:val="24"/>
        </w:rPr>
        <w:t>,</w:t>
      </w:r>
      <w:r w:rsidRPr="00CE0149">
        <w:rPr>
          <w:rFonts w:ascii="Times New Roman" w:hAnsi="Times New Roman" w:cs="Times New Roman"/>
          <w:i/>
          <w:sz w:val="24"/>
        </w:rPr>
        <w:t xml:space="preserve"> 54</w:t>
      </w:r>
      <w:r w:rsidRPr="00CE0149">
        <w:rPr>
          <w:rFonts w:ascii="Times New Roman" w:hAnsi="Times New Roman" w:cs="Times New Roman"/>
          <w:sz w:val="24"/>
        </w:rPr>
        <w:t xml:space="preserve">(8), 5778-5787. </w:t>
      </w:r>
      <w:hyperlink r:id="rId423" w:history="1">
        <w:r w:rsidRPr="00CE0149">
          <w:rPr>
            <w:rStyle w:val="Hyperlink"/>
            <w:rFonts w:ascii="Times New Roman" w:hAnsi="Times New Roman" w:cs="Times New Roman"/>
            <w:sz w:val="24"/>
          </w:rPr>
          <w:t>https://doi.org/10.1167/iovs.13-12032</w:t>
        </w:r>
      </w:hyperlink>
      <w:r w:rsidRPr="00CE0149">
        <w:rPr>
          <w:rFonts w:ascii="Times New Roman" w:hAnsi="Times New Roman" w:cs="Times New Roman"/>
          <w:sz w:val="24"/>
        </w:rPr>
        <w:t xml:space="preserve"> </w:t>
      </w:r>
    </w:p>
    <w:p w14:paraId="51E6506B" w14:textId="531C737A" w:rsidR="00BC6600" w:rsidRPr="00BC6600" w:rsidRDefault="005D77C1" w:rsidP="00BC6600">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Wilson, S. J., Glue, P., Ball, D., &amp; Nutt, D. J. (1993). Saccadic eye movement parameters in normal subjects. </w:t>
      </w:r>
      <w:r w:rsidRPr="00CE0149">
        <w:rPr>
          <w:rFonts w:ascii="Times New Roman" w:hAnsi="Times New Roman" w:cs="Times New Roman"/>
          <w:i/>
          <w:sz w:val="24"/>
        </w:rPr>
        <w:t>Electroencephalography and Clinical Neurophysiology</w:t>
      </w:r>
      <w:r w:rsidRPr="00CE0149">
        <w:rPr>
          <w:rFonts w:ascii="Times New Roman" w:hAnsi="Times New Roman" w:cs="Times New Roman"/>
          <w:sz w:val="24"/>
        </w:rPr>
        <w:t>,</w:t>
      </w:r>
      <w:r w:rsidRPr="00CE0149">
        <w:rPr>
          <w:rFonts w:ascii="Times New Roman" w:hAnsi="Times New Roman" w:cs="Times New Roman"/>
          <w:i/>
          <w:sz w:val="24"/>
        </w:rPr>
        <w:t xml:space="preserve"> 86</w:t>
      </w:r>
      <w:r w:rsidRPr="00CE0149">
        <w:rPr>
          <w:rFonts w:ascii="Times New Roman" w:hAnsi="Times New Roman" w:cs="Times New Roman"/>
          <w:sz w:val="24"/>
        </w:rPr>
        <w:t xml:space="preserve">(1), 69-74. </w:t>
      </w:r>
      <w:hyperlink r:id="rId424" w:history="1">
        <w:r w:rsidRPr="00CE0149">
          <w:rPr>
            <w:rStyle w:val="Hyperlink"/>
            <w:rFonts w:ascii="Times New Roman" w:hAnsi="Times New Roman" w:cs="Times New Roman"/>
            <w:sz w:val="24"/>
          </w:rPr>
          <w:t>https://doi.org/10.1016/0013-4694(93)90068-7</w:t>
        </w:r>
      </w:hyperlink>
      <w:r w:rsidRPr="00CE0149">
        <w:rPr>
          <w:rFonts w:ascii="Times New Roman" w:hAnsi="Times New Roman" w:cs="Times New Roman"/>
          <w:sz w:val="24"/>
        </w:rPr>
        <w:t xml:space="preserve"> </w:t>
      </w:r>
    </w:p>
    <w:p w14:paraId="3829E22C" w14:textId="0BA7F5C9" w:rsidR="00BC6600" w:rsidRPr="00CE0149" w:rsidRDefault="00BC6600" w:rsidP="00BC6600">
      <w:pPr>
        <w:pStyle w:val="EndNoteBibliography"/>
        <w:spacing w:after="0"/>
        <w:ind w:left="720" w:hanging="720"/>
        <w:rPr>
          <w:rFonts w:ascii="Times New Roman" w:hAnsi="Times New Roman" w:cs="Times New Roman"/>
          <w:sz w:val="24"/>
        </w:rPr>
      </w:pPr>
      <w:r w:rsidRPr="00BC6600">
        <w:rPr>
          <w:rFonts w:ascii="Times New Roman" w:hAnsi="Times New Roman" w:cs="Times New Roman"/>
          <w:sz w:val="24"/>
        </w:rPr>
        <w:t xml:space="preserve">  Wilson-Pauwels, L. (2002) </w:t>
      </w:r>
      <w:r w:rsidRPr="00BC6600">
        <w:rPr>
          <w:rFonts w:ascii="Times New Roman" w:hAnsi="Times New Roman" w:cs="Times New Roman"/>
          <w:i/>
          <w:iCs/>
          <w:sz w:val="24"/>
        </w:rPr>
        <w:t>Cranial nerves : in health and disease.</w:t>
      </w:r>
      <w:r w:rsidRPr="00BC6600">
        <w:rPr>
          <w:rFonts w:ascii="Times New Roman" w:hAnsi="Times New Roman" w:cs="Times New Roman"/>
          <w:sz w:val="24"/>
        </w:rPr>
        <w:t xml:space="preserve"> 2nd ed. / Linda Wilson-Pauwels ... [et al.]. Hamilton, Ont. ; London: BC Decker.</w:t>
      </w:r>
    </w:p>
    <w:p w14:paraId="34D434BB" w14:textId="43468863"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lastRenderedPageBreak/>
        <w:t xml:space="preserve">Witthayaweerasak, J., Tansuebchueasai, N., &amp; Aui-Aree, N. (2020). Clinical prediction score for early neuroimaging in acquired isolated oculomotor nerve palsy. </w:t>
      </w:r>
      <w:r w:rsidRPr="00CE0149">
        <w:rPr>
          <w:rFonts w:ascii="Times New Roman" w:hAnsi="Times New Roman" w:cs="Times New Roman"/>
          <w:i/>
          <w:sz w:val="24"/>
        </w:rPr>
        <w:t>Eye and brain</w:t>
      </w:r>
      <w:r w:rsidRPr="00CE0149">
        <w:rPr>
          <w:rFonts w:ascii="Times New Roman" w:hAnsi="Times New Roman" w:cs="Times New Roman"/>
          <w:sz w:val="24"/>
        </w:rPr>
        <w:t>,</w:t>
      </w:r>
      <w:r w:rsidRPr="00CE0149">
        <w:rPr>
          <w:rFonts w:ascii="Times New Roman" w:hAnsi="Times New Roman" w:cs="Times New Roman"/>
          <w:i/>
          <w:sz w:val="24"/>
        </w:rPr>
        <w:t xml:space="preserve"> 12</w:t>
      </w:r>
      <w:r w:rsidRPr="00CE0149">
        <w:rPr>
          <w:rFonts w:ascii="Times New Roman" w:hAnsi="Times New Roman" w:cs="Times New Roman"/>
          <w:sz w:val="24"/>
        </w:rPr>
        <w:t xml:space="preserve">, 89-95. </w:t>
      </w:r>
      <w:hyperlink r:id="rId425" w:history="1">
        <w:r w:rsidRPr="00CE0149">
          <w:rPr>
            <w:rStyle w:val="Hyperlink"/>
            <w:rFonts w:ascii="Times New Roman" w:hAnsi="Times New Roman" w:cs="Times New Roman"/>
            <w:sz w:val="24"/>
          </w:rPr>
          <w:t>https://doi.org/10.2147/EB.S253305</w:t>
        </w:r>
      </w:hyperlink>
      <w:r w:rsidRPr="00CE0149">
        <w:rPr>
          <w:rFonts w:ascii="Times New Roman" w:hAnsi="Times New Roman" w:cs="Times New Roman"/>
          <w:sz w:val="24"/>
        </w:rPr>
        <w:t xml:space="preserve"> </w:t>
      </w:r>
      <w:r w:rsidRPr="00CE0149">
        <w:rPr>
          <w:rFonts w:ascii="Times New Roman" w:hAnsi="Times New Roman" w:cs="Times New Roman"/>
          <w:sz w:val="24"/>
        </w:rPr>
        <w:tab/>
      </w:r>
    </w:p>
    <w:p w14:paraId="36B5BBE3" w14:textId="32466428"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Wong, A. M. F., McReelis, K., &amp; Sharpe, J. A. (2006). Saccade dynamics in peripheral vs central sixth nerve palsies. </w:t>
      </w:r>
      <w:r w:rsidRPr="00CE0149">
        <w:rPr>
          <w:rFonts w:ascii="Times New Roman" w:hAnsi="Times New Roman" w:cs="Times New Roman"/>
          <w:i/>
          <w:sz w:val="24"/>
        </w:rPr>
        <w:t>NEUROLOGY</w:t>
      </w:r>
      <w:r w:rsidRPr="00CE0149">
        <w:rPr>
          <w:rFonts w:ascii="Times New Roman" w:hAnsi="Times New Roman" w:cs="Times New Roman"/>
          <w:sz w:val="24"/>
        </w:rPr>
        <w:t>,</w:t>
      </w:r>
      <w:r w:rsidRPr="00CE0149">
        <w:rPr>
          <w:rFonts w:ascii="Times New Roman" w:hAnsi="Times New Roman" w:cs="Times New Roman"/>
          <w:i/>
          <w:sz w:val="24"/>
        </w:rPr>
        <w:t xml:space="preserve"> 66</w:t>
      </w:r>
      <w:r w:rsidRPr="00CE0149">
        <w:rPr>
          <w:rFonts w:ascii="Times New Roman" w:hAnsi="Times New Roman" w:cs="Times New Roman"/>
          <w:sz w:val="24"/>
        </w:rPr>
        <w:t xml:space="preserve">(9), 1390-1398. </w:t>
      </w:r>
      <w:hyperlink r:id="rId426" w:history="1">
        <w:r w:rsidRPr="00CE0149">
          <w:rPr>
            <w:rStyle w:val="Hyperlink"/>
            <w:rFonts w:ascii="Times New Roman" w:hAnsi="Times New Roman" w:cs="Times New Roman"/>
            <w:sz w:val="24"/>
          </w:rPr>
          <w:t>https://doi.org/10.1212/01.wnl.0000210448.47652.50</w:t>
        </w:r>
      </w:hyperlink>
      <w:r w:rsidRPr="00CE0149">
        <w:rPr>
          <w:rFonts w:ascii="Times New Roman" w:hAnsi="Times New Roman" w:cs="Times New Roman"/>
          <w:sz w:val="24"/>
        </w:rPr>
        <w:t xml:space="preserve"> </w:t>
      </w:r>
    </w:p>
    <w:p w14:paraId="1298D49E" w14:textId="270CD4A4" w:rsidR="005D77C1" w:rsidRPr="00CE0149" w:rsidRDefault="005D77C1" w:rsidP="005D77C1">
      <w:pPr>
        <w:pStyle w:val="EndNoteBibliography"/>
        <w:spacing w:after="0"/>
        <w:ind w:left="720" w:hanging="720"/>
        <w:rPr>
          <w:rFonts w:ascii="Times New Roman" w:hAnsi="Times New Roman" w:cs="Times New Roman"/>
          <w:sz w:val="24"/>
        </w:rPr>
      </w:pPr>
      <w:r w:rsidRPr="00CE0149">
        <w:rPr>
          <w:rFonts w:ascii="Times New Roman" w:hAnsi="Times New Roman" w:cs="Times New Roman"/>
          <w:sz w:val="24"/>
        </w:rPr>
        <w:t xml:space="preserve">Wray, S. H. (2014). </w:t>
      </w:r>
      <w:r w:rsidRPr="00CE0149">
        <w:rPr>
          <w:rFonts w:ascii="Times New Roman" w:hAnsi="Times New Roman" w:cs="Times New Roman"/>
          <w:i/>
          <w:sz w:val="24"/>
        </w:rPr>
        <w:t>Eye movement disorders in clinical practice</w:t>
      </w:r>
      <w:r w:rsidRPr="00CE0149">
        <w:rPr>
          <w:rFonts w:ascii="Times New Roman" w:hAnsi="Times New Roman" w:cs="Times New Roman"/>
          <w:sz w:val="24"/>
        </w:rPr>
        <w:t>. Oxford ; New York : Oxford University Press, c2014.</w:t>
      </w:r>
    </w:p>
    <w:p w14:paraId="02F4BA52" w14:textId="70333214" w:rsidR="005D77C1" w:rsidRPr="00CE0149" w:rsidRDefault="005D77C1" w:rsidP="005D77C1">
      <w:pPr>
        <w:pStyle w:val="EndNoteBibliography"/>
        <w:ind w:left="720" w:hanging="720"/>
        <w:rPr>
          <w:rFonts w:ascii="Times New Roman" w:hAnsi="Times New Roman" w:cs="Times New Roman"/>
          <w:sz w:val="24"/>
        </w:rPr>
      </w:pPr>
      <w:r w:rsidRPr="00CE0149">
        <w:rPr>
          <w:rFonts w:ascii="Times New Roman" w:hAnsi="Times New Roman" w:cs="Times New Roman"/>
          <w:sz w:val="24"/>
        </w:rPr>
        <w:t xml:space="preserve">Yang, Q., &amp; Kapoula, Z. (2006). The control of vertical saccades in aged subjects. </w:t>
      </w:r>
      <w:r w:rsidRPr="00CE0149">
        <w:rPr>
          <w:rFonts w:ascii="Times New Roman" w:hAnsi="Times New Roman" w:cs="Times New Roman"/>
          <w:i/>
          <w:sz w:val="24"/>
        </w:rPr>
        <w:t>Experimental brain research.</w:t>
      </w:r>
      <w:r w:rsidRPr="00CE0149">
        <w:rPr>
          <w:rFonts w:ascii="Times New Roman" w:hAnsi="Times New Roman" w:cs="Times New Roman"/>
          <w:sz w:val="24"/>
        </w:rPr>
        <w:t>,</w:t>
      </w:r>
      <w:r w:rsidRPr="00CE0149">
        <w:rPr>
          <w:rFonts w:ascii="Times New Roman" w:hAnsi="Times New Roman" w:cs="Times New Roman"/>
          <w:i/>
          <w:sz w:val="24"/>
        </w:rPr>
        <w:t xml:space="preserve"> 171</w:t>
      </w:r>
      <w:r w:rsidRPr="00CE0149">
        <w:rPr>
          <w:rFonts w:ascii="Times New Roman" w:hAnsi="Times New Roman" w:cs="Times New Roman"/>
          <w:sz w:val="24"/>
        </w:rPr>
        <w:t xml:space="preserve">(1), 67-77. </w:t>
      </w:r>
      <w:hyperlink r:id="rId427" w:history="1">
        <w:r w:rsidRPr="00CE0149">
          <w:rPr>
            <w:rStyle w:val="Hyperlink"/>
            <w:rFonts w:ascii="Times New Roman" w:hAnsi="Times New Roman" w:cs="Times New Roman"/>
            <w:sz w:val="24"/>
          </w:rPr>
          <w:t>https://doi.org/10.1007/s00221-005-0249-x</w:t>
        </w:r>
      </w:hyperlink>
    </w:p>
    <w:p w14:paraId="675BB47F" w14:textId="119696CE" w:rsidR="005D77C1" w:rsidRPr="005D77C1" w:rsidRDefault="005D77C1" w:rsidP="005D77C1">
      <w:pPr>
        <w:pStyle w:val="EndNoteBibliography"/>
        <w:spacing w:after="0"/>
        <w:ind w:left="720" w:hanging="720"/>
        <w:rPr>
          <w:rFonts w:ascii="Times New Roman" w:hAnsi="Times New Roman" w:cs="Times New Roman"/>
        </w:rPr>
      </w:pPr>
      <w:r w:rsidRPr="005D77C1">
        <w:rPr>
          <w:rFonts w:ascii="Times New Roman" w:hAnsi="Times New Roman" w:cs="Times New Roman"/>
        </w:rPr>
        <w:t xml:space="preserve">Zacher, J. E., Irving, E. L., Allison, R. A., &amp; Callender, M. E. (1998). The effects of scleral search coil wear on visual function and acuity. </w:t>
      </w:r>
      <w:r w:rsidRPr="005D77C1">
        <w:rPr>
          <w:rFonts w:ascii="Times New Roman" w:hAnsi="Times New Roman" w:cs="Times New Roman"/>
          <w:i/>
        </w:rPr>
        <w:t>Iovs</w:t>
      </w:r>
      <w:r w:rsidRPr="005D77C1">
        <w:rPr>
          <w:rFonts w:ascii="Times New Roman" w:hAnsi="Times New Roman" w:cs="Times New Roman"/>
        </w:rPr>
        <w:t>,</w:t>
      </w:r>
      <w:r w:rsidRPr="005D77C1">
        <w:rPr>
          <w:rFonts w:ascii="Times New Roman" w:hAnsi="Times New Roman" w:cs="Times New Roman"/>
          <w:i/>
        </w:rPr>
        <w:t xml:space="preserve"> 39</w:t>
      </w:r>
      <w:r w:rsidRPr="005D77C1">
        <w:rPr>
          <w:rFonts w:ascii="Times New Roman" w:hAnsi="Times New Roman" w:cs="Times New Roman"/>
        </w:rPr>
        <w:t>(4), S767-S767</w:t>
      </w:r>
    </w:p>
    <w:p w14:paraId="794139DC" w14:textId="1C196092" w:rsidR="008816D4" w:rsidRPr="009D4627" w:rsidRDefault="00BF47CE" w:rsidP="00C40138">
      <w:pPr>
        <w:pStyle w:val="EndNoteBibliography"/>
        <w:spacing w:before="0"/>
        <w:rPr>
          <w:rFonts w:ascii="Times New Roman" w:hAnsi="Times New Roman" w:cs="Times New Roman"/>
          <w:sz w:val="24"/>
        </w:rPr>
      </w:pPr>
      <w:r w:rsidRPr="009D4627">
        <w:rPr>
          <w:rFonts w:ascii="Times New Roman" w:hAnsi="Times New Roman" w:cs="Times New Roman"/>
          <w:sz w:val="24"/>
        </w:rPr>
        <w:fldChar w:fldCharType="end"/>
      </w:r>
      <w:bookmarkEnd w:id="1"/>
    </w:p>
    <w:sectPr w:rsidR="008816D4" w:rsidRPr="009D4627" w:rsidSect="00477959">
      <w:headerReference w:type="default" r:id="rId428"/>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B8914D" w14:textId="77777777" w:rsidR="007E7CC8" w:rsidRDefault="007E7CC8" w:rsidP="00390EBC">
      <w:r>
        <w:separator/>
      </w:r>
    </w:p>
  </w:endnote>
  <w:endnote w:type="continuationSeparator" w:id="0">
    <w:p w14:paraId="0A3B7512" w14:textId="77777777" w:rsidR="007E7CC8" w:rsidRDefault="007E7CC8" w:rsidP="00390E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Garamond-Book">
    <w:altName w:val="Times New Roman"/>
    <w:panose1 w:val="00000000000000000000"/>
    <w:charset w:val="00"/>
    <w:family w:val="roman"/>
    <w:notTrueType/>
    <w:pitch w:val="default"/>
  </w:font>
  <w:font w:name="TimesCUP-Italic">
    <w:altName w:val="Times New Roman"/>
    <w:panose1 w:val="00000000000000000000"/>
    <w:charset w:val="00"/>
    <w:family w:val="roman"/>
    <w:notTrueType/>
    <w:pitch w:val="default"/>
  </w:font>
  <w:font w:name="Times-Italic">
    <w:altName w:val="Times New Roman"/>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roxima-nova">
    <w:altName w:val="Cambria"/>
    <w:panose1 w:val="00000000000000000000"/>
    <w:charset w:val="00"/>
    <w:family w:val="roman"/>
    <w:notTrueType/>
    <w:pitch w:val="default"/>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BCBE5" w14:textId="49CCE288" w:rsidR="00143DBD" w:rsidRDefault="00525C37" w:rsidP="00143DBD">
    <w:pPr>
      <w:pStyle w:val="Footer"/>
      <w:spacing w:before="0" w:after="0" w:line="240" w:lineRule="auto"/>
      <w:jc w:val="center"/>
    </w:pPr>
    <w:r>
      <w:fldChar w:fldCharType="begin"/>
    </w:r>
    <w:r>
      <w:instrText xml:space="preserve"> PAGE   \* MERGEFORMAT </w:instrText>
    </w:r>
    <w:r>
      <w:fldChar w:fldCharType="separate"/>
    </w:r>
    <w:r>
      <w:rPr>
        <w:noProof/>
      </w:rPr>
      <w:t>1</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66E34" w14:textId="059A330A" w:rsidR="00527127" w:rsidRDefault="00527127" w:rsidP="00764862">
    <w:pPr>
      <w:pStyle w:val="Footer"/>
      <w:spacing w:before="0" w:after="0" w:line="240" w:lineRule="auto"/>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462116"/>
      <w:docPartObj>
        <w:docPartGallery w:val="Page Numbers (Bottom of Page)"/>
        <w:docPartUnique/>
      </w:docPartObj>
    </w:sdtPr>
    <w:sdtEndPr>
      <w:rPr>
        <w:noProof/>
      </w:rPr>
    </w:sdtEndPr>
    <w:sdtContent>
      <w:p w14:paraId="34DEDDB2" w14:textId="77777777" w:rsidR="00744F79" w:rsidRDefault="00744F79" w:rsidP="00764862">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7E60C" w14:textId="1FABEC02" w:rsidR="00E773E0" w:rsidRDefault="00E773E0" w:rsidP="00764862">
    <w:pPr>
      <w:pStyle w:val="Footer"/>
      <w:spacing w:before="0" w:after="0" w:line="240" w:lineRule="auto"/>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7426926"/>
      <w:docPartObj>
        <w:docPartGallery w:val="Page Numbers (Bottom of Page)"/>
        <w:docPartUnique/>
      </w:docPartObj>
    </w:sdtPr>
    <w:sdtEndPr>
      <w:rPr>
        <w:noProof/>
      </w:rPr>
    </w:sdtEndPr>
    <w:sdtContent>
      <w:p w14:paraId="72840224" w14:textId="77777777" w:rsidR="00527127" w:rsidRDefault="00527127" w:rsidP="00764862">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A3B2A" w14:textId="0C8D1563" w:rsidR="00E773E0" w:rsidRDefault="00E773E0" w:rsidP="00764862">
    <w:pPr>
      <w:pStyle w:val="Footer"/>
      <w:spacing w:before="0" w:after="0" w:line="240" w:lineRule="auto"/>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7487980"/>
      <w:docPartObj>
        <w:docPartGallery w:val="Page Numbers (Bottom of Page)"/>
        <w:docPartUnique/>
      </w:docPartObj>
    </w:sdtPr>
    <w:sdtEndPr>
      <w:rPr>
        <w:noProof/>
      </w:rPr>
    </w:sdtEndPr>
    <w:sdtContent>
      <w:p w14:paraId="201DA0C2" w14:textId="77777777" w:rsidR="00E773E0" w:rsidRDefault="00E773E0" w:rsidP="00764862">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9213475"/>
      <w:docPartObj>
        <w:docPartGallery w:val="Page Numbers (Bottom of Page)"/>
        <w:docPartUnique/>
      </w:docPartObj>
    </w:sdtPr>
    <w:sdtEndPr>
      <w:rPr>
        <w:noProof/>
      </w:rPr>
    </w:sdtEndPr>
    <w:sdtContent>
      <w:p w14:paraId="32F6F489" w14:textId="77777777" w:rsidR="00527127" w:rsidRDefault="00527127" w:rsidP="00764862">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302322"/>
      <w:docPartObj>
        <w:docPartGallery w:val="Page Numbers (Bottom of Page)"/>
        <w:docPartUnique/>
      </w:docPartObj>
    </w:sdtPr>
    <w:sdtEndPr>
      <w:rPr>
        <w:noProof/>
      </w:rPr>
    </w:sdtEndPr>
    <w:sdtContent>
      <w:p w14:paraId="5E747938" w14:textId="7449E76A" w:rsidR="00527127" w:rsidRDefault="00613DA1" w:rsidP="00260641">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140943"/>
      <w:docPartObj>
        <w:docPartGallery w:val="Page Numbers (Bottom of Page)"/>
        <w:docPartUnique/>
      </w:docPartObj>
    </w:sdtPr>
    <w:sdtEndPr>
      <w:rPr>
        <w:noProof/>
      </w:rPr>
    </w:sdtEndPr>
    <w:sdtContent>
      <w:p w14:paraId="33DD037F" w14:textId="77777777" w:rsidR="00527127" w:rsidRDefault="00527127" w:rsidP="00764862">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9EAA7" w14:textId="2370B4D8" w:rsidR="00143DBD" w:rsidRDefault="00143DBD" w:rsidP="00143DBD">
    <w:pPr>
      <w:pStyle w:val="Footer"/>
      <w:spacing w:before="0" w:after="0" w:line="240" w:lineRule="auto"/>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904947"/>
      <w:docPartObj>
        <w:docPartGallery w:val="Page Numbers (Bottom of Page)"/>
        <w:docPartUnique/>
      </w:docPartObj>
    </w:sdtPr>
    <w:sdtEndPr>
      <w:rPr>
        <w:noProof/>
      </w:rPr>
    </w:sdtEndPr>
    <w:sdtContent>
      <w:p w14:paraId="4CD6E16A" w14:textId="77777777" w:rsidR="00527127" w:rsidRDefault="00527127" w:rsidP="00855A73">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D9E70" w14:textId="670FB4AC" w:rsidR="00527127" w:rsidRPr="003B5592" w:rsidRDefault="00527127" w:rsidP="003B5592">
    <w:pPr>
      <w:pStyle w:val="Footer"/>
      <w:tabs>
        <w:tab w:val="clear" w:pos="4513"/>
        <w:tab w:val="clear" w:pos="9026"/>
        <w:tab w:val="left" w:pos="3300"/>
      </w:tabs>
      <w:spacing w:before="0" w:after="0" w:line="240" w:lineRule="auto"/>
      <w:jc w:val="center"/>
      <w:rPr>
        <w:lang w:val="en-U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594725"/>
      <w:docPartObj>
        <w:docPartGallery w:val="Page Numbers (Bottom of Page)"/>
        <w:docPartUnique/>
      </w:docPartObj>
    </w:sdtPr>
    <w:sdtEndPr>
      <w:rPr>
        <w:noProof/>
      </w:rPr>
    </w:sdtEndPr>
    <w:sdtContent>
      <w:p w14:paraId="65DE6897" w14:textId="77777777" w:rsidR="00527127" w:rsidRDefault="00527127" w:rsidP="00855A73">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AAFF8" w14:textId="15C8ABD0" w:rsidR="00527127" w:rsidRDefault="00527127" w:rsidP="00764862">
    <w:pPr>
      <w:pStyle w:val="Footer"/>
      <w:spacing w:before="0" w:after="0" w:line="240" w:lineRule="auto"/>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704293"/>
      <w:docPartObj>
        <w:docPartGallery w:val="Page Numbers (Bottom of Page)"/>
        <w:docPartUnique/>
      </w:docPartObj>
    </w:sdtPr>
    <w:sdtEndPr>
      <w:rPr>
        <w:noProof/>
      </w:rPr>
    </w:sdtEndPr>
    <w:sdtContent>
      <w:p w14:paraId="1F346DE0" w14:textId="77777777" w:rsidR="00527127" w:rsidRDefault="00527127" w:rsidP="00855A73">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B8916" w14:textId="610D2400" w:rsidR="00527127" w:rsidRDefault="00527127" w:rsidP="00764862">
    <w:pPr>
      <w:pStyle w:val="Footer"/>
      <w:spacing w:before="0" w:after="0" w:line="240" w:lineRule="auto"/>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5113386"/>
      <w:docPartObj>
        <w:docPartGallery w:val="Page Numbers (Bottom of Page)"/>
        <w:docPartUnique/>
      </w:docPartObj>
    </w:sdtPr>
    <w:sdtEndPr>
      <w:rPr>
        <w:noProof/>
      </w:rPr>
    </w:sdtEndPr>
    <w:sdtContent>
      <w:p w14:paraId="4C8FC420" w14:textId="77777777" w:rsidR="00527127" w:rsidRDefault="00527127" w:rsidP="00764862">
        <w:pPr>
          <w:pStyle w:val="Footer"/>
          <w:spacing w:before="0" w:after="0" w:line="240" w:lineRule="auto"/>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32D78" w14:textId="77777777" w:rsidR="007E7CC8" w:rsidRDefault="007E7CC8" w:rsidP="00390EBC">
      <w:r>
        <w:separator/>
      </w:r>
    </w:p>
  </w:footnote>
  <w:footnote w:type="continuationSeparator" w:id="0">
    <w:p w14:paraId="3D6D07DB" w14:textId="77777777" w:rsidR="007E7CC8" w:rsidRDefault="007E7CC8" w:rsidP="00390E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72928" w14:textId="50C1D8DE" w:rsidR="00527127" w:rsidRPr="00D91AAB" w:rsidRDefault="00527127" w:rsidP="00D91AAB">
    <w:pPr>
      <w:pStyle w:val="Header"/>
      <w:pBdr>
        <w:bottom w:val="single" w:sz="6" w:space="1" w:color="auto"/>
      </w:pBdr>
      <w:spacing w:line="240" w:lineRule="auto"/>
      <w:jc w:val="right"/>
      <w:rPr>
        <w:lang w:val="en-US"/>
      </w:rPr>
    </w:pPr>
    <w:r>
      <w:rPr>
        <w:lang w:val="en-US"/>
      </w:rPr>
      <w:t>Acknowledgements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84AF5" w14:textId="4125A9B5" w:rsidR="00E773E0" w:rsidRDefault="00E773E0" w:rsidP="00D91AAB">
    <w:pPr>
      <w:pStyle w:val="Header"/>
      <w:pBdr>
        <w:bottom w:val="single" w:sz="6" w:space="1" w:color="auto"/>
      </w:pBdr>
      <w:spacing w:before="0" w:line="240" w:lineRule="auto"/>
    </w:pPr>
    <w:sdt>
      <w:sdtPr>
        <w:id w:val="-1176967087"/>
        <w:docPartObj>
          <w:docPartGallery w:val="Page Numbers (Margins)"/>
          <w:docPartUnique/>
        </w:docPartObj>
      </w:sdtPr>
      <w:sdtContent>
        <w:r>
          <w:rPr>
            <w:noProof/>
          </w:rPr>
          <mc:AlternateContent>
            <mc:Choice Requires="wps">
              <w:drawing>
                <wp:anchor distT="0" distB="0" distL="114300" distR="114300" simplePos="0" relativeHeight="251716608" behindDoc="0" locked="0" layoutInCell="0" allowOverlap="1" wp14:anchorId="3C77AEA4" wp14:editId="237FBC83">
                  <wp:simplePos x="0" y="0"/>
                  <wp:positionH relativeFrom="leftMargin">
                    <wp:align>center</wp:align>
                  </wp:positionH>
                  <wp:positionV relativeFrom="page">
                    <wp:align>center</wp:align>
                  </wp:positionV>
                  <wp:extent cx="762000" cy="89535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4"/>
                                  <w:szCs w:val="24"/>
                                </w:rPr>
                              </w:sdtEndPr>
                              <w:sdtContent>
                                <w:sdt>
                                  <w:sdtPr>
                                    <w:rPr>
                                      <w:rFonts w:eastAsiaTheme="majorEastAsia"/>
                                    </w:rPr>
                                    <w:id w:val="107640144"/>
                                    <w:docPartObj>
                                      <w:docPartGallery w:val="Page Numbers (Margins)"/>
                                      <w:docPartUnique/>
                                    </w:docPartObj>
                                  </w:sdtPr>
                                  <w:sdtContent>
                                    <w:p w14:paraId="56738F09"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7AEA4" id="Rectangle 21" o:spid="_x0000_s2374" style="position:absolute;left:0;text-align:left;margin-left:0;margin-top:0;width:60pt;height:70.5pt;z-index:25171660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Theme="majorHAnsi" w:eastAsiaTheme="majorEastAsia" w:hAnsiTheme="majorHAnsi" w:cstheme="majorBidi"/>
                            <w:sz w:val="48"/>
                            <w:szCs w:val="48"/>
                          </w:rPr>
                          <w:id w:val="14478487"/>
                          <w:docPartObj>
                            <w:docPartGallery w:val="Page Numbers (Margins)"/>
                            <w:docPartUnique/>
                          </w:docPartObj>
                        </w:sdtPr>
                        <w:sdtEndPr>
                          <w:rPr>
                            <w:rFonts w:ascii="Times New Roman" w:hAnsi="Times New Roman" w:cs="Times New Roman"/>
                            <w:sz w:val="24"/>
                            <w:szCs w:val="24"/>
                          </w:rPr>
                        </w:sdtEndPr>
                        <w:sdtContent>
                          <w:sdt>
                            <w:sdtPr>
                              <w:rPr>
                                <w:rFonts w:eastAsiaTheme="majorEastAsia"/>
                              </w:rPr>
                              <w:id w:val="107640144"/>
                              <w:docPartObj>
                                <w:docPartGallery w:val="Page Numbers (Margins)"/>
                                <w:docPartUnique/>
                              </w:docPartObj>
                            </w:sdtPr>
                            <w:sdtContent>
                              <w:p w14:paraId="56738F09"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v:textbox>
                  <w10:wrap anchorx="margin" anchory="page"/>
                </v:rect>
              </w:pict>
            </mc:Fallback>
          </mc:AlternateContent>
        </w:r>
      </w:sdtContent>
    </w:sdt>
    <w:r>
      <w:t>Chapter 1</w:t>
    </w:r>
    <w:r>
      <w:tab/>
    </w:r>
    <w:r>
      <w:tab/>
    </w:r>
    <w:r>
      <w:tab/>
    </w:r>
    <w:r>
      <w:tab/>
    </w:r>
    <w:r>
      <w:tab/>
      <w:t xml:space="preserve">                       Literature Review</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0160F" w14:textId="205D7FBB" w:rsidR="00527127" w:rsidRDefault="007E7CC8" w:rsidP="00DB6112">
    <w:pPr>
      <w:pStyle w:val="Header"/>
      <w:pBdr>
        <w:bottom w:val="single" w:sz="6" w:space="1" w:color="auto"/>
      </w:pBdr>
      <w:spacing w:before="0" w:after="0" w:line="240" w:lineRule="auto"/>
    </w:pPr>
    <w:sdt>
      <w:sdtPr>
        <w:id w:val="1113553323"/>
        <w:docPartObj>
          <w:docPartGallery w:val="Page Numbers (Margins)"/>
          <w:docPartUnique/>
        </w:docPartObj>
      </w:sdtPr>
      <w:sdtEndPr/>
      <w:sdtContent/>
    </w:sdt>
    <w:r w:rsidR="00527127">
      <w:t>Chapter 1</w:t>
    </w:r>
    <w:r w:rsidR="00527127">
      <w:tab/>
    </w:r>
    <w:r w:rsidR="00527127">
      <w:tab/>
      <w:t xml:space="preserve"> Literature review</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4626867"/>
      <w:docPartObj>
        <w:docPartGallery w:val="Page Numbers (Margins)"/>
        <w:docPartUnique/>
      </w:docPartObj>
    </w:sdtPr>
    <w:sdtEndPr/>
    <w:sdtContent>
      <w:p w14:paraId="678A3401" w14:textId="05F07179" w:rsidR="00527127" w:rsidRPr="005F451A" w:rsidRDefault="00A2792E" w:rsidP="005F451A">
        <w:pPr>
          <w:pStyle w:val="Header"/>
          <w:spacing w:before="0" w:after="0" w:line="240" w:lineRule="auto"/>
        </w:pPr>
        <w:r>
          <w:rPr>
            <w:noProof/>
          </w:rPr>
          <mc:AlternateContent>
            <mc:Choice Requires="wps">
              <w:drawing>
                <wp:anchor distT="0" distB="0" distL="114300" distR="114300" simplePos="0" relativeHeight="251714560" behindDoc="0" locked="0" layoutInCell="0" allowOverlap="1" wp14:anchorId="20192984" wp14:editId="6BC52A30">
                  <wp:simplePos x="0" y="0"/>
                  <wp:positionH relativeFrom="leftMargin">
                    <wp:align>center</wp:align>
                  </wp:positionH>
                  <wp:positionV relativeFrom="page">
                    <wp:align>center</wp:align>
                  </wp:positionV>
                  <wp:extent cx="179705" cy="153035"/>
                  <wp:effectExtent l="0" t="0" r="0" b="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53035"/>
                          </a:xfrm>
                          <a:prstGeom prst="rect">
                            <a:avLst/>
                          </a:prstGeom>
                          <a:solidFill>
                            <a:srgbClr val="FFFFFF"/>
                          </a:solidFill>
                          <a:ln>
                            <a:noFill/>
                          </a:ln>
                        </wps:spPr>
                        <wps:txbx>
                          <w:txbxContent>
                            <w:sdt>
                              <w:sdtPr>
                                <w:rPr>
                                  <w:rFonts w:eastAsiaTheme="majorEastAsia"/>
                                </w:rPr>
                                <w:id w:val="703533461"/>
                                <w:docPartObj>
                                  <w:docPartGallery w:val="Page Numbers (Margins)"/>
                                  <w:docPartUnique/>
                                </w:docPartObj>
                              </w:sdtPr>
                              <w:sdtEndPr/>
                              <w:sdtContent>
                                <w:sdt>
                                  <w:sdtPr>
                                    <w:rPr>
                                      <w:rFonts w:eastAsiaTheme="majorEastAsia"/>
                                    </w:rPr>
                                    <w:id w:val="-841543188"/>
                                    <w:docPartObj>
                                      <w:docPartGallery w:val="Page Numbers (Margins)"/>
                                      <w:docPartUnique/>
                                    </w:docPartObj>
                                  </w:sdtPr>
                                  <w:sdtEndPr/>
                                  <w:sdtContent>
                                    <w:p w14:paraId="2F8CC12D" w14:textId="77777777" w:rsidR="00527127" w:rsidRPr="005F451A" w:rsidRDefault="00527127" w:rsidP="005F451A">
                                      <w:pPr>
                                        <w:spacing w:before="0" w:after="0" w:line="240" w:lineRule="auto"/>
                                        <w:jc w:val="center"/>
                                        <w:rPr>
                                          <w:rFonts w:eastAsiaTheme="majorEastAsia"/>
                                        </w:rPr>
                                      </w:pPr>
                                      <w:r w:rsidRPr="005F451A">
                                        <w:rPr>
                                          <w:rFonts w:eastAsiaTheme="minorEastAsia"/>
                                        </w:rPr>
                                        <w:fldChar w:fldCharType="begin"/>
                                      </w:r>
                                      <w:r w:rsidRPr="005F451A">
                                        <w:instrText xml:space="preserve"> PAGE   \* MERGEFORMAT </w:instrText>
                                      </w:r>
                                      <w:r w:rsidRPr="005F451A">
                                        <w:rPr>
                                          <w:rFonts w:eastAsiaTheme="minorEastAsia"/>
                                        </w:rPr>
                                        <w:fldChar w:fldCharType="separate"/>
                                      </w:r>
                                      <w:r w:rsidRPr="005F451A">
                                        <w:rPr>
                                          <w:rFonts w:eastAsiaTheme="majorEastAsia"/>
                                          <w:noProof/>
                                        </w:rPr>
                                        <w:t>2</w:t>
                                      </w:r>
                                      <w:r w:rsidRPr="005F451A">
                                        <w:rPr>
                                          <w:rFonts w:eastAsiaTheme="majorEastAsia"/>
                                          <w:noProof/>
                                        </w:rPr>
                                        <w:fldChar w:fldCharType="end"/>
                                      </w:r>
                                    </w:p>
                                  </w:sdtContent>
                                </w:sdt>
                              </w:sdtContent>
                            </w:sdt>
                          </w:txbxContent>
                        </wps:txbx>
                        <wps:bodyPr rot="0" vert="vert"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0192984" id="Rectangle 9" o:spid="_x0000_s2375" style="position:absolute;left:0;text-align:left;margin-left:0;margin-top:0;width:14.15pt;height:12.05pt;z-index:251714560;visibility:visible;mso-wrap-style:non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" o:allowincell="f" stroked="f">
                  <v:textbox style="layout-flow:vertical;mso-fit-shape-to-text:t" inset="0,0,0,0">
                    <w:txbxContent>
                      <w:sdt>
                        <w:sdtPr>
                          <w:rPr>
                            <w:rFonts w:eastAsiaTheme="majorEastAsia"/>
                          </w:rPr>
                          <w:id w:val="703533461"/>
                          <w:docPartObj>
                            <w:docPartGallery w:val="Page Numbers (Margins)"/>
                            <w:docPartUnique/>
                          </w:docPartObj>
                        </w:sdtPr>
                        <w:sdtEndPr/>
                        <w:sdtContent>
                          <w:sdt>
                            <w:sdtPr>
                              <w:rPr>
                                <w:rFonts w:eastAsiaTheme="majorEastAsia"/>
                              </w:rPr>
                              <w:id w:val="-841543188"/>
                              <w:docPartObj>
                                <w:docPartGallery w:val="Page Numbers (Margins)"/>
                                <w:docPartUnique/>
                              </w:docPartObj>
                            </w:sdtPr>
                            <w:sdtEndPr/>
                            <w:sdtContent>
                              <w:p w14:paraId="2F8CC12D" w14:textId="77777777" w:rsidR="00527127" w:rsidRPr="005F451A" w:rsidRDefault="00527127" w:rsidP="005F451A">
                                <w:pPr>
                                  <w:spacing w:before="0" w:after="0" w:line="240" w:lineRule="auto"/>
                                  <w:jc w:val="center"/>
                                  <w:rPr>
                                    <w:rFonts w:eastAsiaTheme="majorEastAsia"/>
                                  </w:rPr>
                                </w:pPr>
                                <w:r w:rsidRPr="005F451A">
                                  <w:rPr>
                                    <w:rFonts w:eastAsiaTheme="minorEastAsia"/>
                                  </w:rPr>
                                  <w:fldChar w:fldCharType="begin"/>
                                </w:r>
                                <w:r w:rsidRPr="005F451A">
                                  <w:instrText xml:space="preserve"> PAGE   \* MERGEFORMAT </w:instrText>
                                </w:r>
                                <w:r w:rsidRPr="005F451A">
                                  <w:rPr>
                                    <w:rFonts w:eastAsiaTheme="minorEastAsia"/>
                                  </w:rPr>
                                  <w:fldChar w:fldCharType="separate"/>
                                </w:r>
                                <w:r w:rsidRPr="005F451A">
                                  <w:rPr>
                                    <w:rFonts w:eastAsiaTheme="majorEastAsia"/>
                                    <w:noProof/>
                                  </w:rPr>
                                  <w:t>2</w:t>
                                </w:r>
                                <w:r w:rsidRPr="005F451A">
                                  <w:rPr>
                                    <w:rFonts w:eastAsiaTheme="majorEastAsia"/>
                                    <w:noProof/>
                                  </w:rPr>
                                  <w:fldChar w:fldCharType="end"/>
                                </w:r>
                              </w:p>
                            </w:sdtContent>
                          </w:sdt>
                        </w:sdtContent>
                      </w:sdt>
                    </w:txbxContent>
                  </v:textbox>
                  <w10:wrap anchorx="margin" anchory="page"/>
                </v:rect>
              </w:pict>
            </mc:Fallback>
          </mc:AlternateContent>
        </w:r>
      </w:p>
    </w:sdtContent>
  </w:sdt>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8ACC2" w14:textId="77777777" w:rsidR="00527127" w:rsidRDefault="007E7CC8" w:rsidP="00DB6112">
    <w:pPr>
      <w:pStyle w:val="Header"/>
      <w:pBdr>
        <w:bottom w:val="single" w:sz="6" w:space="1" w:color="auto"/>
      </w:pBdr>
      <w:spacing w:before="0" w:after="0" w:line="240" w:lineRule="auto"/>
    </w:pPr>
    <w:sdt>
      <w:sdtPr>
        <w:id w:val="-1152434791"/>
        <w:docPartObj>
          <w:docPartGallery w:val="Page Numbers (Margins)"/>
          <w:docPartUnique/>
        </w:docPartObj>
      </w:sdtPr>
      <w:sdtEndPr/>
      <w:sdtContent/>
    </w:sdt>
    <w:r w:rsidR="00527127">
      <w:t>Chapter 1</w:t>
    </w:r>
    <w:r w:rsidR="00527127">
      <w:tab/>
    </w:r>
    <w:r w:rsidR="00527127">
      <w:tab/>
      <w:t xml:space="preserve"> Literature review</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B6FB8" w14:textId="1BCB8138" w:rsidR="00527127" w:rsidRDefault="007E7CC8" w:rsidP="000D2571">
    <w:pPr>
      <w:pStyle w:val="Header"/>
      <w:pBdr>
        <w:bottom w:val="single" w:sz="6" w:space="1" w:color="auto"/>
      </w:pBdr>
      <w:spacing w:before="0" w:after="0" w:line="240" w:lineRule="auto"/>
    </w:pPr>
    <w:sdt>
      <w:sdtPr>
        <w:id w:val="1515255924"/>
        <w:docPartObj>
          <w:docPartGallery w:val="Page Numbers (Margins)"/>
          <w:docPartUnique/>
        </w:docPartObj>
      </w:sdtPr>
      <w:sdtEndPr/>
      <w:sdtContent/>
    </w:sdt>
    <w:r w:rsidR="00527127">
      <w:t>Chapter 2</w:t>
    </w:r>
    <w:r w:rsidR="00527127">
      <w:tab/>
    </w:r>
    <w:r w:rsidR="00527127">
      <w:tab/>
      <w:t>Materials and methods</w:t>
    </w:r>
  </w:p>
  <w:p w14:paraId="5139872E" w14:textId="77777777" w:rsidR="00527127" w:rsidRDefault="00527127" w:rsidP="000D2571">
    <w:pPr>
      <w:pStyle w:val="Header"/>
      <w:spacing w:before="0" w:after="0" w:line="240" w:lineRule="aut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1791357"/>
      <w:docPartObj>
        <w:docPartGallery w:val="Page Numbers (Margins)"/>
        <w:docPartUnique/>
      </w:docPartObj>
    </w:sdtPr>
    <w:sdtEndPr/>
    <w:sdtContent>
      <w:p w14:paraId="2B18B3DB" w14:textId="3E843582" w:rsidR="00527127" w:rsidRPr="0007333B" w:rsidRDefault="00A2792E" w:rsidP="00CC31A9">
        <w:pPr>
          <w:pStyle w:val="Header"/>
          <w:spacing w:before="0" w:after="0" w:line="240" w:lineRule="auto"/>
        </w:pPr>
        <w:r>
          <w:rPr>
            <w:noProof/>
          </w:rPr>
          <mc:AlternateContent>
            <mc:Choice Requires="wps">
              <w:drawing>
                <wp:anchor distT="0" distB="0" distL="114300" distR="114300" simplePos="0" relativeHeight="251704320" behindDoc="0" locked="0" layoutInCell="0" allowOverlap="1" wp14:anchorId="761B153C" wp14:editId="183B85AE">
                  <wp:simplePos x="0" y="0"/>
                  <wp:positionH relativeFrom="leftMargin">
                    <wp:align>center</wp:align>
                  </wp:positionH>
                  <wp:positionV relativeFrom="page">
                    <wp:align>center</wp:align>
                  </wp:positionV>
                  <wp:extent cx="179705" cy="895350"/>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895350"/>
                          </a:xfrm>
                          <a:prstGeom prst="rect">
                            <a:avLst/>
                          </a:prstGeom>
                          <a:solidFill>
                            <a:srgbClr val="FFFFFF"/>
                          </a:solidFill>
                          <a:ln>
                            <a:noFill/>
                          </a:ln>
                        </wps:spPr>
                        <wps:txbx>
                          <w:txbxContent>
                            <w:sdt>
                              <w:sdtPr>
                                <w:rPr>
                                  <w:rFonts w:eastAsiaTheme="majorEastAsia"/>
                                </w:rPr>
                                <w:id w:val="-420715241"/>
                                <w:docPartObj>
                                  <w:docPartGallery w:val="Page Numbers (Margins)"/>
                                  <w:docPartUnique/>
                                </w:docPartObj>
                              </w:sdtPr>
                              <w:sdtEndPr/>
                              <w:sdtContent>
                                <w:sdt>
                                  <w:sdtPr>
                                    <w:rPr>
                                      <w:rFonts w:eastAsiaTheme="majorEastAsia"/>
                                    </w:rPr>
                                    <w:id w:val="2141530117"/>
                                    <w:docPartObj>
                                      <w:docPartGallery w:val="Page Numbers (Margins)"/>
                                      <w:docPartUnique/>
                                    </w:docPartObj>
                                  </w:sdtPr>
                                  <w:sdtEndPr/>
                                  <w:sdtContent>
                                    <w:p w14:paraId="2F19490C" w14:textId="77777777" w:rsidR="00527127" w:rsidRPr="0007333B" w:rsidRDefault="00527127" w:rsidP="0007333B">
                                      <w:pPr>
                                        <w:spacing w:before="0" w:after="0" w:line="240" w:lineRule="auto"/>
                                        <w:jc w:val="center"/>
                                        <w:rPr>
                                          <w:rFonts w:eastAsiaTheme="majorEastAsia"/>
                                        </w:rPr>
                                      </w:pPr>
                                      <w:r w:rsidRPr="0007333B">
                                        <w:rPr>
                                          <w:rFonts w:eastAsiaTheme="minorEastAsia"/>
                                        </w:rPr>
                                        <w:fldChar w:fldCharType="begin"/>
                                      </w:r>
                                      <w:r w:rsidRPr="0007333B">
                                        <w:instrText xml:space="preserve"> PAGE   \* MERGEFORMAT </w:instrText>
                                      </w:r>
                                      <w:r w:rsidRPr="0007333B">
                                        <w:rPr>
                                          <w:rFonts w:eastAsiaTheme="minorEastAsia"/>
                                        </w:rPr>
                                        <w:fldChar w:fldCharType="separate"/>
                                      </w:r>
                                      <w:r w:rsidRPr="0007333B">
                                        <w:rPr>
                                          <w:rFonts w:eastAsiaTheme="majorEastAsia"/>
                                          <w:noProof/>
                                        </w:rPr>
                                        <w:t>2</w:t>
                                      </w:r>
                                      <w:r w:rsidRPr="0007333B">
                                        <w:rPr>
                                          <w:rFonts w:eastAsiaTheme="majorEastAsia"/>
                                          <w:noProof/>
                                        </w:rPr>
                                        <w:fldChar w:fldCharType="end"/>
                                      </w:r>
                                    </w:p>
                                  </w:sdtContent>
                                </w:sdt>
                              </w:sdtContent>
                            </w:sdt>
                          </w:txbxContent>
                        </wps:txbx>
                        <wps:bodyPr rot="0" vert="vert"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761B153C" id="Rectangle 8" o:spid="_x0000_s2376" style="position:absolute;left:0;text-align:left;margin-left:0;margin-top:0;width:14.15pt;height:70.5pt;z-index:25170432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" o:allowincell="f" stroked="f">
                  <v:textbox style="layout-flow:vertical;mso-fit-shape-to-text:t" inset="0,0,0,0">
                    <w:txbxContent>
                      <w:sdt>
                        <w:sdtPr>
                          <w:rPr>
                            <w:rFonts w:eastAsiaTheme="majorEastAsia"/>
                          </w:rPr>
                          <w:id w:val="-420715241"/>
                          <w:docPartObj>
                            <w:docPartGallery w:val="Page Numbers (Margins)"/>
                            <w:docPartUnique/>
                          </w:docPartObj>
                        </w:sdtPr>
                        <w:sdtEndPr/>
                        <w:sdtContent>
                          <w:sdt>
                            <w:sdtPr>
                              <w:rPr>
                                <w:rFonts w:eastAsiaTheme="majorEastAsia"/>
                              </w:rPr>
                              <w:id w:val="2141530117"/>
                              <w:docPartObj>
                                <w:docPartGallery w:val="Page Numbers (Margins)"/>
                                <w:docPartUnique/>
                              </w:docPartObj>
                            </w:sdtPr>
                            <w:sdtEndPr/>
                            <w:sdtContent>
                              <w:p w14:paraId="2F19490C" w14:textId="77777777" w:rsidR="00527127" w:rsidRPr="0007333B" w:rsidRDefault="00527127" w:rsidP="0007333B">
                                <w:pPr>
                                  <w:spacing w:before="0" w:after="0" w:line="240" w:lineRule="auto"/>
                                  <w:jc w:val="center"/>
                                  <w:rPr>
                                    <w:rFonts w:eastAsiaTheme="majorEastAsia"/>
                                  </w:rPr>
                                </w:pPr>
                                <w:r w:rsidRPr="0007333B">
                                  <w:rPr>
                                    <w:rFonts w:eastAsiaTheme="minorEastAsia"/>
                                  </w:rPr>
                                  <w:fldChar w:fldCharType="begin"/>
                                </w:r>
                                <w:r w:rsidRPr="0007333B">
                                  <w:instrText xml:space="preserve"> PAGE   \* MERGEFORMAT </w:instrText>
                                </w:r>
                                <w:r w:rsidRPr="0007333B">
                                  <w:rPr>
                                    <w:rFonts w:eastAsiaTheme="minorEastAsia"/>
                                  </w:rPr>
                                  <w:fldChar w:fldCharType="separate"/>
                                </w:r>
                                <w:r w:rsidRPr="0007333B">
                                  <w:rPr>
                                    <w:rFonts w:eastAsiaTheme="majorEastAsia"/>
                                    <w:noProof/>
                                  </w:rPr>
                                  <w:t>2</w:t>
                                </w:r>
                                <w:r w:rsidRPr="0007333B">
                                  <w:rPr>
                                    <w:rFonts w:eastAsiaTheme="majorEastAsia"/>
                                    <w:noProof/>
                                  </w:rPr>
                                  <w:fldChar w:fldCharType="end"/>
                                </w:r>
                              </w:p>
                            </w:sdtContent>
                          </w:sdt>
                        </w:sdtContent>
                      </w:sdt>
                    </w:txbxContent>
                  </v:textbox>
                  <w10:wrap anchorx="margin" anchory="page"/>
                </v:rect>
              </w:pict>
            </mc:Fallback>
          </mc:AlternateContent>
        </w:r>
      </w:p>
    </w:sdtContent>
  </w:sdt>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4CC05" w14:textId="242517DF" w:rsidR="00527127" w:rsidRDefault="007E7CC8" w:rsidP="000D2571">
    <w:pPr>
      <w:pStyle w:val="Header"/>
      <w:pBdr>
        <w:bottom w:val="single" w:sz="6" w:space="1" w:color="auto"/>
      </w:pBdr>
      <w:spacing w:before="0" w:after="0" w:line="240" w:lineRule="auto"/>
    </w:pPr>
    <w:sdt>
      <w:sdtPr>
        <w:id w:val="742301575"/>
        <w:docPartObj>
          <w:docPartGallery w:val="Page Numbers (Margins)"/>
          <w:docPartUnique/>
        </w:docPartObj>
      </w:sdtPr>
      <w:sdtEndPr/>
      <w:sdtContent/>
    </w:sdt>
    <w:r w:rsidR="00527127">
      <w:t xml:space="preserve">Chapter 2                                </w:t>
    </w:r>
    <w:r w:rsidR="00527127">
      <w:tab/>
      <w:t xml:space="preserve">                   </w:t>
    </w:r>
    <w:r w:rsidR="00527127">
      <w:tab/>
      <w:t>Materials and methods</w:t>
    </w:r>
  </w:p>
  <w:p w14:paraId="1C442769" w14:textId="77777777" w:rsidR="00527127" w:rsidRDefault="00527127" w:rsidP="009D6465">
    <w:pPr>
      <w:pStyle w:val="Header"/>
      <w:spacing w:before="0" w:after="0" w:line="240" w:lineRule="aut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12BCC" w14:textId="710D831B" w:rsidR="00527127" w:rsidRDefault="007E7CC8" w:rsidP="009D6465">
    <w:pPr>
      <w:pStyle w:val="Header"/>
      <w:pBdr>
        <w:bottom w:val="single" w:sz="6" w:space="1" w:color="auto"/>
      </w:pBdr>
      <w:spacing w:before="0" w:after="0" w:line="240" w:lineRule="auto"/>
    </w:pPr>
    <w:sdt>
      <w:sdtPr>
        <w:id w:val="398247030"/>
        <w:docPartObj>
          <w:docPartGallery w:val="Page Numbers (Margins)"/>
          <w:docPartUnique/>
        </w:docPartObj>
      </w:sdtPr>
      <w:sdtEndPr/>
      <w:sdtContent/>
    </w:sdt>
    <w:r w:rsidR="00527127">
      <w:t xml:space="preserve">Chapter 3 – Experiment 1                                </w:t>
    </w:r>
    <w:r w:rsidR="00527127">
      <w:tab/>
      <w:t xml:space="preserve">                   </w:t>
    </w:r>
    <w:r w:rsidR="00527127">
      <w:tab/>
      <w:t>Normative Eye Movements</w:t>
    </w:r>
  </w:p>
  <w:p w14:paraId="7501C4BE" w14:textId="77777777" w:rsidR="00527127" w:rsidRDefault="00527127" w:rsidP="009D6465">
    <w:pPr>
      <w:pStyle w:val="Header"/>
      <w:spacing w:before="0" w:after="0" w:line="240" w:lineRule="aut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0511118"/>
      <w:docPartObj>
        <w:docPartGallery w:val="Page Numbers (Margins)"/>
        <w:docPartUnique/>
      </w:docPartObj>
    </w:sdtPr>
    <w:sdtEndPr/>
    <w:sdtContent>
      <w:p w14:paraId="03DFFFC3" w14:textId="533BE6CD" w:rsidR="00527127" w:rsidRPr="0007333B" w:rsidRDefault="00A2792E" w:rsidP="00CC31A9">
        <w:pPr>
          <w:pStyle w:val="Header"/>
          <w:spacing w:before="0" w:after="0" w:line="240" w:lineRule="auto"/>
        </w:pPr>
        <w:r>
          <w:rPr>
            <w:noProof/>
          </w:rPr>
          <mc:AlternateContent>
            <mc:Choice Requires="wps">
              <w:drawing>
                <wp:anchor distT="0" distB="0" distL="114300" distR="114300" simplePos="0" relativeHeight="251706368" behindDoc="0" locked="0" layoutInCell="0" allowOverlap="1" wp14:anchorId="6AA3520B" wp14:editId="472AE264">
                  <wp:simplePos x="0" y="0"/>
                  <wp:positionH relativeFrom="leftMargin">
                    <wp:align>center</wp:align>
                  </wp:positionH>
                  <wp:positionV relativeFrom="page">
                    <wp:align>center</wp:align>
                  </wp:positionV>
                  <wp:extent cx="179705" cy="153035"/>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53035"/>
                          </a:xfrm>
                          <a:prstGeom prst="rect">
                            <a:avLst/>
                          </a:prstGeom>
                          <a:solidFill>
                            <a:srgbClr val="FFFFFF"/>
                          </a:solidFill>
                          <a:ln>
                            <a:noFill/>
                          </a:ln>
                        </wps:spPr>
                        <wps:txbx>
                          <w:txbxContent>
                            <w:sdt>
                              <w:sdtPr>
                                <w:rPr>
                                  <w:rFonts w:eastAsiaTheme="majorEastAsia"/>
                                </w:rPr>
                                <w:id w:val="-1891651316"/>
                                <w:docPartObj>
                                  <w:docPartGallery w:val="Page Numbers (Margins)"/>
                                  <w:docPartUnique/>
                                </w:docPartObj>
                              </w:sdtPr>
                              <w:sdtEndPr/>
                              <w:sdtContent>
                                <w:sdt>
                                  <w:sdtPr>
                                    <w:rPr>
                                      <w:rFonts w:eastAsiaTheme="majorEastAsia"/>
                                    </w:rPr>
                                    <w:id w:val="-1885169722"/>
                                    <w:docPartObj>
                                      <w:docPartGallery w:val="Page Numbers (Margins)"/>
                                      <w:docPartUnique/>
                                    </w:docPartObj>
                                  </w:sdtPr>
                                  <w:sdtEndPr/>
                                  <w:sdtContent>
                                    <w:p w14:paraId="725B7C44" w14:textId="77777777" w:rsidR="00527127" w:rsidRPr="0007333B" w:rsidRDefault="00527127" w:rsidP="0007333B">
                                      <w:pPr>
                                        <w:spacing w:before="0" w:after="0" w:line="240" w:lineRule="auto"/>
                                        <w:jc w:val="center"/>
                                        <w:rPr>
                                          <w:rFonts w:eastAsiaTheme="majorEastAsia"/>
                                        </w:rPr>
                                      </w:pPr>
                                      <w:r w:rsidRPr="0007333B">
                                        <w:rPr>
                                          <w:rFonts w:eastAsiaTheme="minorEastAsia"/>
                                        </w:rPr>
                                        <w:fldChar w:fldCharType="begin"/>
                                      </w:r>
                                      <w:r w:rsidRPr="0007333B">
                                        <w:instrText xml:space="preserve"> PAGE   \* MERGEFORMAT </w:instrText>
                                      </w:r>
                                      <w:r w:rsidRPr="0007333B">
                                        <w:rPr>
                                          <w:rFonts w:eastAsiaTheme="minorEastAsia"/>
                                        </w:rPr>
                                        <w:fldChar w:fldCharType="separate"/>
                                      </w:r>
                                      <w:r w:rsidRPr="0007333B">
                                        <w:rPr>
                                          <w:rFonts w:eastAsiaTheme="majorEastAsia"/>
                                          <w:noProof/>
                                        </w:rPr>
                                        <w:t>2</w:t>
                                      </w:r>
                                      <w:r w:rsidRPr="0007333B">
                                        <w:rPr>
                                          <w:rFonts w:eastAsiaTheme="majorEastAsia"/>
                                          <w:noProof/>
                                        </w:rPr>
                                        <w:fldChar w:fldCharType="end"/>
                                      </w:r>
                                    </w:p>
                                  </w:sdtContent>
                                </w:sdt>
                              </w:sdtContent>
                            </w:sdt>
                          </w:txbxContent>
                        </wps:txbx>
                        <wps:bodyPr rot="0" vert="vert"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AA3520B" id="Rectangle 4" o:spid="_x0000_s2377" style="position:absolute;left:0;text-align:left;margin-left:0;margin-top:0;width:14.15pt;height:12.05pt;z-index:251706368;visibility:visible;mso-wrap-style:non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" o:allowincell="f" stroked="f">
                  <v:textbox style="layout-flow:vertical;mso-fit-shape-to-text:t" inset="0,0,0,0">
                    <w:txbxContent>
                      <w:sdt>
                        <w:sdtPr>
                          <w:rPr>
                            <w:rFonts w:eastAsiaTheme="majorEastAsia"/>
                          </w:rPr>
                          <w:id w:val="-1891651316"/>
                          <w:docPartObj>
                            <w:docPartGallery w:val="Page Numbers (Margins)"/>
                            <w:docPartUnique/>
                          </w:docPartObj>
                        </w:sdtPr>
                        <w:sdtEndPr/>
                        <w:sdtContent>
                          <w:sdt>
                            <w:sdtPr>
                              <w:rPr>
                                <w:rFonts w:eastAsiaTheme="majorEastAsia"/>
                              </w:rPr>
                              <w:id w:val="-1885169722"/>
                              <w:docPartObj>
                                <w:docPartGallery w:val="Page Numbers (Margins)"/>
                                <w:docPartUnique/>
                              </w:docPartObj>
                            </w:sdtPr>
                            <w:sdtEndPr/>
                            <w:sdtContent>
                              <w:p w14:paraId="725B7C44" w14:textId="77777777" w:rsidR="00527127" w:rsidRPr="0007333B" w:rsidRDefault="00527127" w:rsidP="0007333B">
                                <w:pPr>
                                  <w:spacing w:before="0" w:after="0" w:line="240" w:lineRule="auto"/>
                                  <w:jc w:val="center"/>
                                  <w:rPr>
                                    <w:rFonts w:eastAsiaTheme="majorEastAsia"/>
                                  </w:rPr>
                                </w:pPr>
                                <w:r w:rsidRPr="0007333B">
                                  <w:rPr>
                                    <w:rFonts w:eastAsiaTheme="minorEastAsia"/>
                                  </w:rPr>
                                  <w:fldChar w:fldCharType="begin"/>
                                </w:r>
                                <w:r w:rsidRPr="0007333B">
                                  <w:instrText xml:space="preserve"> PAGE   \* MERGEFORMAT </w:instrText>
                                </w:r>
                                <w:r w:rsidRPr="0007333B">
                                  <w:rPr>
                                    <w:rFonts w:eastAsiaTheme="minorEastAsia"/>
                                  </w:rPr>
                                  <w:fldChar w:fldCharType="separate"/>
                                </w:r>
                                <w:r w:rsidRPr="0007333B">
                                  <w:rPr>
                                    <w:rFonts w:eastAsiaTheme="majorEastAsia"/>
                                    <w:noProof/>
                                  </w:rPr>
                                  <w:t>2</w:t>
                                </w:r>
                                <w:r w:rsidRPr="0007333B">
                                  <w:rPr>
                                    <w:rFonts w:eastAsiaTheme="majorEastAsia"/>
                                    <w:noProof/>
                                  </w:rPr>
                                  <w:fldChar w:fldCharType="end"/>
                                </w:r>
                              </w:p>
                            </w:sdtContent>
                          </w:sdt>
                        </w:sdtContent>
                      </w:sdt>
                    </w:txbxContent>
                  </v:textbox>
                  <w10:wrap anchorx="margin" anchory="page"/>
                </v:rect>
              </w:pict>
            </mc:Fallback>
          </mc:AlternateContent>
        </w:r>
      </w:p>
    </w:sdtContent>
  </w:sdt>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607A1" w14:textId="77777777" w:rsidR="00744F79" w:rsidRDefault="007E7CC8" w:rsidP="00A706AE">
    <w:pPr>
      <w:pStyle w:val="Header"/>
      <w:pBdr>
        <w:bottom w:val="single" w:sz="6" w:space="1" w:color="auto"/>
      </w:pBdr>
      <w:spacing w:before="0" w:after="0" w:line="240" w:lineRule="auto"/>
    </w:pPr>
    <w:sdt>
      <w:sdtPr>
        <w:id w:val="-600104933"/>
        <w:docPartObj>
          <w:docPartGallery w:val="Page Numbers (Margins)"/>
          <w:docPartUnique/>
        </w:docPartObj>
      </w:sdtPr>
      <w:sdtEndPr/>
      <w:sdtContent/>
    </w:sdt>
    <w:r w:rsidR="00744F79">
      <w:t xml:space="preserve">Chapter 3 – Experiment 1                                </w:t>
    </w:r>
    <w:r w:rsidR="00744F79">
      <w:tab/>
      <w:t xml:space="preserve">                   </w:t>
    </w:r>
    <w:r w:rsidR="00744F79">
      <w:tab/>
      <w:t>Normative Eye Movements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2AC67" w14:textId="77777777" w:rsidR="00143DBD" w:rsidRDefault="00143DBD" w:rsidP="00143DBD">
    <w:pPr>
      <w:pStyle w:val="Header"/>
      <w:spacing w:before="0" w:after="0" w:line="240" w:lineRule="aut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18D32" w14:textId="37C6FD3A" w:rsidR="007C6B74" w:rsidRDefault="00E773E0" w:rsidP="00A706AE">
    <w:pPr>
      <w:pStyle w:val="Header"/>
      <w:pBdr>
        <w:bottom w:val="single" w:sz="6" w:space="1" w:color="auto"/>
      </w:pBdr>
      <w:spacing w:before="0" w:after="0" w:line="240" w:lineRule="auto"/>
    </w:pPr>
    <w:sdt>
      <w:sdtPr>
        <w:id w:val="-807850225"/>
        <w:docPartObj>
          <w:docPartGallery w:val="Page Numbers (Margins)"/>
          <w:docPartUnique/>
        </w:docPartObj>
      </w:sdtPr>
      <w:sdtContent>
        <w:r>
          <w:rPr>
            <w:noProof/>
          </w:rPr>
          <mc:AlternateContent>
            <mc:Choice Requires="wps">
              <w:drawing>
                <wp:anchor distT="0" distB="0" distL="114300" distR="114300" simplePos="0" relativeHeight="251718656" behindDoc="0" locked="0" layoutInCell="0" allowOverlap="1" wp14:anchorId="039EEECB" wp14:editId="4B438BF9">
                  <wp:simplePos x="0" y="0"/>
                  <wp:positionH relativeFrom="leftMargin">
                    <wp:align>center</wp:align>
                  </wp:positionH>
                  <wp:positionV relativeFrom="page">
                    <wp:align>center</wp:align>
                  </wp:positionV>
                  <wp:extent cx="762000" cy="895350"/>
                  <wp:effectExtent l="0" t="0" r="0" b="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rPr>
                                <w:id w:val="108478580"/>
                                <w:docPartObj>
                                  <w:docPartGallery w:val="Page Numbers (Margins)"/>
                                  <w:docPartUnique/>
                                </w:docPartObj>
                              </w:sdtPr>
                              <w:sdtContent>
                                <w:sdt>
                                  <w:sdtPr>
                                    <w:rPr>
                                      <w:rFonts w:eastAsiaTheme="majorEastAsia"/>
                                    </w:rPr>
                                    <w:id w:val="-380626414"/>
                                    <w:docPartObj>
                                      <w:docPartGallery w:val="Page Numbers (Margins)"/>
                                      <w:docPartUnique/>
                                    </w:docPartObj>
                                  </w:sdtPr>
                                  <w:sdtContent>
                                    <w:p w14:paraId="3D722427"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EEECB" id="Rectangle 41" o:spid="_x0000_s2378" style="position:absolute;left:0;text-align:left;margin-left:0;margin-top:0;width:60pt;height:70.5pt;z-index:25171865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9Fd8Q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" o:allowincell="f" stroked="f">
                  <v:textbox>
                    <w:txbxContent>
                      <w:sdt>
                        <w:sdtPr>
                          <w:rPr>
                            <w:rFonts w:eastAsiaTheme="majorEastAsia"/>
                          </w:rPr>
                          <w:id w:val="108478580"/>
                          <w:docPartObj>
                            <w:docPartGallery w:val="Page Numbers (Margins)"/>
                            <w:docPartUnique/>
                          </w:docPartObj>
                        </w:sdtPr>
                        <w:sdtContent>
                          <w:sdt>
                            <w:sdtPr>
                              <w:rPr>
                                <w:rFonts w:eastAsiaTheme="majorEastAsia"/>
                              </w:rPr>
                              <w:id w:val="-380626414"/>
                              <w:docPartObj>
                                <w:docPartGallery w:val="Page Numbers (Margins)"/>
                                <w:docPartUnique/>
                              </w:docPartObj>
                            </w:sdtPr>
                            <w:sdtContent>
                              <w:p w14:paraId="3D722427"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v:textbox>
                  <w10:wrap anchorx="margin" anchory="page"/>
                </v:rect>
              </w:pict>
            </mc:Fallback>
          </mc:AlternateContent>
        </w:r>
      </w:sdtContent>
    </w:sdt>
    <w:r w:rsidR="007C6B74">
      <w:t xml:space="preserve">Chapter 3 – Experiment 1                                </w:t>
    </w:r>
    <w:r w:rsidR="007C6B74">
      <w:tab/>
      <w:t xml:space="preserve">                   </w:t>
    </w:r>
    <w:r w:rsidR="007C6B74">
      <w:tab/>
    </w:r>
    <w:r w:rsidR="007C6B74">
      <w:tab/>
    </w:r>
    <w:r w:rsidR="007C6B74">
      <w:tab/>
      <w:t xml:space="preserve">        </w:t>
    </w:r>
    <w:r w:rsidR="007C6B74">
      <w:tab/>
      <w:t xml:space="preserve">        Normative Eye Movements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DAA0B" w14:textId="286789C2" w:rsidR="00527127" w:rsidRDefault="00E773E0" w:rsidP="00A706AE">
    <w:pPr>
      <w:pStyle w:val="Header"/>
      <w:pBdr>
        <w:bottom w:val="single" w:sz="6" w:space="1" w:color="auto"/>
      </w:pBdr>
      <w:spacing w:before="0" w:after="0" w:line="240" w:lineRule="auto"/>
    </w:pPr>
    <w:sdt>
      <w:sdtPr>
        <w:id w:val="1312367401"/>
        <w:docPartObj>
          <w:docPartGallery w:val="Page Numbers (Margins)"/>
          <w:docPartUnique/>
        </w:docPartObj>
      </w:sdtPr>
      <w:sdtContent>
        <w:r>
          <w:rPr>
            <w:noProof/>
          </w:rPr>
          <mc:AlternateContent>
            <mc:Choice Requires="wps">
              <w:drawing>
                <wp:anchor distT="0" distB="0" distL="114300" distR="114300" simplePos="0" relativeHeight="251720704" behindDoc="0" locked="0" layoutInCell="0" allowOverlap="1" wp14:anchorId="0C287990" wp14:editId="0F197CC9">
                  <wp:simplePos x="0" y="0"/>
                  <wp:positionH relativeFrom="leftMargin">
                    <wp:align>center</wp:align>
                  </wp:positionH>
                  <wp:positionV relativeFrom="page">
                    <wp:align>center</wp:align>
                  </wp:positionV>
                  <wp:extent cx="762000" cy="895350"/>
                  <wp:effectExtent l="0" t="0" r="0" b="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rPr>
                                <w:id w:val="261653870"/>
                                <w:docPartObj>
                                  <w:docPartGallery w:val="Page Numbers (Margins)"/>
                                  <w:docPartUnique/>
                                </w:docPartObj>
                              </w:sdtPr>
                              <w:sdtContent>
                                <w:sdt>
                                  <w:sdtPr>
                                    <w:rPr>
                                      <w:rFonts w:eastAsiaTheme="majorEastAsia"/>
                                    </w:rPr>
                                    <w:id w:val="948277556"/>
                                    <w:docPartObj>
                                      <w:docPartGallery w:val="Page Numbers (Margins)"/>
                                      <w:docPartUnique/>
                                    </w:docPartObj>
                                  </w:sdtPr>
                                  <w:sdtContent>
                                    <w:p w14:paraId="6FD3BC36"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87990" id="Rectangle 52" o:spid="_x0000_s2379" style="position:absolute;left:0;text-align:left;margin-left:0;margin-top:0;width:60pt;height:70.5pt;z-index:25172070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SSx8QEAAMY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" o:allowincell="f" stroked="f">
                  <v:textbox>
                    <w:txbxContent>
                      <w:sdt>
                        <w:sdtPr>
                          <w:rPr>
                            <w:rFonts w:eastAsiaTheme="majorEastAsia"/>
                          </w:rPr>
                          <w:id w:val="261653870"/>
                          <w:docPartObj>
                            <w:docPartGallery w:val="Page Numbers (Margins)"/>
                            <w:docPartUnique/>
                          </w:docPartObj>
                        </w:sdtPr>
                        <w:sdtContent>
                          <w:sdt>
                            <w:sdtPr>
                              <w:rPr>
                                <w:rFonts w:eastAsiaTheme="majorEastAsia"/>
                              </w:rPr>
                              <w:id w:val="948277556"/>
                              <w:docPartObj>
                                <w:docPartGallery w:val="Page Numbers (Margins)"/>
                                <w:docPartUnique/>
                              </w:docPartObj>
                            </w:sdtPr>
                            <w:sdtContent>
                              <w:p w14:paraId="6FD3BC36"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v:textbox>
                  <w10:wrap anchorx="margin" anchory="page"/>
                </v:rect>
              </w:pict>
            </mc:Fallback>
          </mc:AlternateContent>
        </w:r>
      </w:sdtContent>
    </w:sdt>
    <w:r w:rsidR="00527127">
      <w:t xml:space="preserve">Chapter 3 – Experiment 1                                </w:t>
    </w:r>
    <w:r w:rsidR="00527127">
      <w:tab/>
      <w:t xml:space="preserve">                   </w:t>
    </w:r>
    <w:r w:rsidR="00527127">
      <w:tab/>
      <w:t>Normative Eye Movements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FB94B" w14:textId="205AC560" w:rsidR="00E773E0" w:rsidRDefault="00E773E0" w:rsidP="00A706AE">
    <w:pPr>
      <w:pStyle w:val="Header"/>
      <w:pBdr>
        <w:bottom w:val="single" w:sz="6" w:space="1" w:color="auto"/>
      </w:pBdr>
      <w:spacing w:before="0" w:after="0" w:line="240" w:lineRule="auto"/>
    </w:pPr>
    <w:sdt>
      <w:sdtPr>
        <w:id w:val="1018661335"/>
        <w:docPartObj>
          <w:docPartGallery w:val="Page Numbers (Margins)"/>
          <w:docPartUnique/>
        </w:docPartObj>
      </w:sdtPr>
      <w:sdtContent>
        <w:r>
          <w:rPr>
            <w:noProof/>
          </w:rPr>
          <mc:AlternateContent>
            <mc:Choice Requires="wps">
              <w:drawing>
                <wp:anchor distT="0" distB="0" distL="114300" distR="114300" simplePos="0" relativeHeight="251722752" behindDoc="0" locked="0" layoutInCell="0" allowOverlap="1" wp14:anchorId="0CE457ED" wp14:editId="2F0DE53B">
                  <wp:simplePos x="0" y="0"/>
                  <wp:positionH relativeFrom="leftMargin">
                    <wp:align>center</wp:align>
                  </wp:positionH>
                  <wp:positionV relativeFrom="page">
                    <wp:align>center</wp:align>
                  </wp:positionV>
                  <wp:extent cx="762000" cy="895350"/>
                  <wp:effectExtent l="0" t="0" r="0" b="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rPr>
                                <w:id w:val="1818690641"/>
                                <w:docPartObj>
                                  <w:docPartGallery w:val="Page Numbers (Margins)"/>
                                  <w:docPartUnique/>
                                </w:docPartObj>
                              </w:sdtPr>
                              <w:sdtContent>
                                <w:sdt>
                                  <w:sdtPr>
                                    <w:rPr>
                                      <w:rFonts w:eastAsiaTheme="majorEastAsia"/>
                                    </w:rPr>
                                    <w:id w:val="-758824442"/>
                                    <w:docPartObj>
                                      <w:docPartGallery w:val="Page Numbers (Margins)"/>
                                      <w:docPartUnique/>
                                    </w:docPartObj>
                                  </w:sdtPr>
                                  <w:sdtContent>
                                    <w:p w14:paraId="22A09823"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457ED" id="Rectangle 72" o:spid="_x0000_s2380" style="position:absolute;left:0;text-align:left;margin-left:0;margin-top:0;width:60pt;height:70.5pt;z-index:25172275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" o:allowincell="f" stroked="f">
                  <v:textbox>
                    <w:txbxContent>
                      <w:sdt>
                        <w:sdtPr>
                          <w:rPr>
                            <w:rFonts w:eastAsiaTheme="majorEastAsia"/>
                          </w:rPr>
                          <w:id w:val="1818690641"/>
                          <w:docPartObj>
                            <w:docPartGallery w:val="Page Numbers (Margins)"/>
                            <w:docPartUnique/>
                          </w:docPartObj>
                        </w:sdtPr>
                        <w:sdtContent>
                          <w:sdt>
                            <w:sdtPr>
                              <w:rPr>
                                <w:rFonts w:eastAsiaTheme="majorEastAsia"/>
                              </w:rPr>
                              <w:id w:val="-758824442"/>
                              <w:docPartObj>
                                <w:docPartGallery w:val="Page Numbers (Margins)"/>
                                <w:docPartUnique/>
                              </w:docPartObj>
                            </w:sdtPr>
                            <w:sdtContent>
                              <w:p w14:paraId="22A09823" w14:textId="77777777" w:rsidR="00E773E0" w:rsidRPr="00E773E0" w:rsidRDefault="00E773E0">
                                <w:pPr>
                                  <w:jc w:val="center"/>
                                  <w:rPr>
                                    <w:rFonts w:eastAsiaTheme="majorEastAsia"/>
                                  </w:rPr>
                                </w:pPr>
                                <w:r w:rsidRPr="00E773E0">
                                  <w:rPr>
                                    <w:rFonts w:eastAsiaTheme="minorEastAsia"/>
                                  </w:rPr>
                                  <w:fldChar w:fldCharType="begin"/>
                                </w:r>
                                <w:r w:rsidRPr="00E773E0">
                                  <w:instrText xml:space="preserve"> PAGE   \* MERGEFORMAT </w:instrText>
                                </w:r>
                                <w:r w:rsidRPr="00E773E0">
                                  <w:rPr>
                                    <w:rFonts w:eastAsiaTheme="minorEastAsia"/>
                                  </w:rPr>
                                  <w:fldChar w:fldCharType="separate"/>
                                </w:r>
                                <w:r w:rsidRPr="00E773E0">
                                  <w:rPr>
                                    <w:rFonts w:eastAsiaTheme="majorEastAsia"/>
                                    <w:noProof/>
                                  </w:rPr>
                                  <w:t>2</w:t>
                                </w:r>
                                <w:r w:rsidRPr="00E773E0">
                                  <w:rPr>
                                    <w:rFonts w:eastAsiaTheme="majorEastAsia"/>
                                    <w:noProof/>
                                  </w:rPr>
                                  <w:fldChar w:fldCharType="end"/>
                                </w:r>
                              </w:p>
                            </w:sdtContent>
                          </w:sdt>
                        </w:sdtContent>
                      </w:sdt>
                    </w:txbxContent>
                  </v:textbox>
                  <w10:wrap anchorx="margin" anchory="page"/>
                </v:rect>
              </w:pict>
            </mc:Fallback>
          </mc:AlternateContent>
        </w:r>
      </w:sdtContent>
    </w:sdt>
    <w:r>
      <w:t xml:space="preserve">Chapter 3 – Experiment 1                                </w:t>
    </w:r>
    <w:r>
      <w:tab/>
      <w:t xml:space="preserve">                   </w:t>
    </w:r>
    <w:r>
      <w:tab/>
    </w:r>
    <w:r>
      <w:tab/>
    </w:r>
    <w:r>
      <w:tab/>
    </w:r>
    <w:r>
      <w:tab/>
      <w:t xml:space="preserve">        Normative Eye Movements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A07F4" w14:textId="294AC155" w:rsidR="00E773E0" w:rsidRDefault="00E773E0" w:rsidP="00A706AE">
    <w:pPr>
      <w:pStyle w:val="Header"/>
      <w:pBdr>
        <w:bottom w:val="single" w:sz="6" w:space="1" w:color="auto"/>
      </w:pBdr>
      <w:spacing w:before="0" w:after="0" w:line="240" w:lineRule="auto"/>
    </w:pPr>
    <w:sdt>
      <w:sdtPr>
        <w:id w:val="-1538274907"/>
        <w:docPartObj>
          <w:docPartGallery w:val="Page Numbers (Margins)"/>
          <w:docPartUnique/>
        </w:docPartObj>
      </w:sdtPr>
      <w:sdtContent/>
    </w:sdt>
    <w:r>
      <w:t xml:space="preserve">Chapter 3 – Experiment 1                                </w:t>
    </w:r>
    <w:r>
      <w:tab/>
      <w:t xml:space="preserve">                   </w:t>
    </w:r>
    <w:r>
      <w:tab/>
      <w:t>Normative Eye Movements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243B7" w14:textId="3BEFBE7D" w:rsidR="00035F01" w:rsidRDefault="007E7CC8" w:rsidP="00C56448">
    <w:pPr>
      <w:pStyle w:val="Header"/>
      <w:pBdr>
        <w:bottom w:val="single" w:sz="6" w:space="1" w:color="auto"/>
      </w:pBdr>
      <w:spacing w:before="0" w:after="0" w:line="240" w:lineRule="auto"/>
      <w:jc w:val="left"/>
    </w:pPr>
    <w:sdt>
      <w:sdtPr>
        <w:id w:val="843212768"/>
        <w:docPartObj>
          <w:docPartGallery w:val="Page Numbers (Margins)"/>
          <w:docPartUnique/>
        </w:docPartObj>
      </w:sdtPr>
      <w:sdtEndPr/>
      <w:sdtContent/>
    </w:sdt>
    <w:r w:rsidR="00035F01">
      <w:t xml:space="preserve">Chapter 3 – Experiment 1                                </w:t>
    </w:r>
    <w:r w:rsidR="00035F01">
      <w:tab/>
      <w:t xml:space="preserve">                   </w:t>
    </w:r>
    <w:r w:rsidR="00035F01">
      <w:tab/>
      <w:t>Normative Eye Movements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CA632" w14:textId="61F089AE" w:rsidR="00527127" w:rsidRDefault="007E7CC8" w:rsidP="00A706AE">
    <w:pPr>
      <w:pStyle w:val="Header"/>
      <w:pBdr>
        <w:bottom w:val="single" w:sz="6" w:space="1" w:color="auto"/>
      </w:pBdr>
      <w:spacing w:before="0" w:after="0" w:line="240" w:lineRule="auto"/>
    </w:pPr>
    <w:sdt>
      <w:sdtPr>
        <w:id w:val="1864159204"/>
        <w:docPartObj>
          <w:docPartGallery w:val="Page Numbers (Margins)"/>
          <w:docPartUnique/>
        </w:docPartObj>
      </w:sdtPr>
      <w:sdtEndPr/>
      <w:sdtContent/>
    </w:sdt>
    <w:r w:rsidR="00527127">
      <w:t>Chapter 4</w:t>
    </w:r>
    <w:r w:rsidR="00527127">
      <w:tab/>
    </w:r>
    <w:r w:rsidR="00527127">
      <w:tab/>
      <w:t>Validation of recording techniques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6BC3B" w14:textId="3521BA75" w:rsidR="00527127" w:rsidRDefault="007E7CC8" w:rsidP="009660C0">
    <w:pPr>
      <w:pStyle w:val="Header"/>
      <w:pBdr>
        <w:bottom w:val="single" w:sz="6" w:space="1" w:color="auto"/>
      </w:pBdr>
      <w:spacing w:before="0" w:after="0" w:line="240" w:lineRule="auto"/>
    </w:pPr>
    <w:sdt>
      <w:sdtPr>
        <w:id w:val="-1046294809"/>
        <w:docPartObj>
          <w:docPartGallery w:val="Page Numbers (Margins)"/>
          <w:docPartUnique/>
        </w:docPartObj>
      </w:sdtPr>
      <w:sdtEndPr/>
      <w:sdtContent/>
    </w:sdt>
    <w:r w:rsidR="00527127">
      <w:t>Chapter 4 – Experiment 2</w:t>
    </w:r>
    <w:r w:rsidR="00527127">
      <w:tab/>
    </w:r>
    <w:r w:rsidR="00527127">
      <w:tab/>
      <w:t>Validation of recording techniques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9680C" w14:textId="10E05D2E" w:rsidR="00260641" w:rsidRPr="004F7C91" w:rsidRDefault="004F7C91" w:rsidP="00260641">
    <w:pPr>
      <w:pStyle w:val="Header"/>
      <w:pBdr>
        <w:bottom w:val="single" w:sz="12" w:space="1" w:color="auto"/>
      </w:pBdr>
      <w:spacing w:before="0" w:after="0" w:line="240" w:lineRule="auto"/>
      <w:rPr>
        <w:lang w:val="en-US"/>
      </w:rPr>
    </w:pPr>
    <w:r>
      <w:rPr>
        <w:lang w:val="en-US"/>
      </w:rPr>
      <w:t>Chapter 4 – Experiment 3</w:t>
    </w:r>
    <w:r>
      <w:rPr>
        <w:lang w:val="en-US"/>
      </w:rPr>
      <w:tab/>
    </w:r>
    <w:r>
      <w:rPr>
        <w:lang w:val="en-US"/>
      </w:rPr>
      <w:tab/>
      <w:t>Validation of recording techniqu</w:t>
    </w:r>
    <w:r w:rsidR="00260641">
      <w:rPr>
        <w:lang w:val="en-US"/>
      </w:rPr>
      <w:t>e</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C7E7C" w14:textId="6BC0A6AC" w:rsidR="004F7C91" w:rsidRPr="004F7C91" w:rsidRDefault="004F7C91" w:rsidP="001E5E66">
    <w:pPr>
      <w:pStyle w:val="Header"/>
      <w:spacing w:before="0" w:after="0" w:line="240" w:lineRule="auto"/>
      <w:rPr>
        <w:lang w:val="en-US"/>
      </w:rPr>
    </w:pPr>
    <w:r>
      <w:rPr>
        <w:lang w:val="en-US"/>
      </w:rPr>
      <w:t>Chapter 5</w:t>
    </w:r>
    <w:r>
      <w:rPr>
        <w:lang w:val="en-US"/>
      </w:rPr>
      <w:tab/>
      <w:t xml:space="preserve">                                                 Eye movements in recent-onset ocular nerve palsies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76DB2" w14:textId="738FE561" w:rsidR="00EC0341" w:rsidRPr="004F7C91" w:rsidRDefault="00EC0341" w:rsidP="00EC0341">
    <w:pPr>
      <w:pStyle w:val="Header"/>
      <w:spacing w:before="0" w:after="0" w:line="240" w:lineRule="auto"/>
      <w:rPr>
        <w:lang w:val="en-US"/>
      </w:rPr>
    </w:pPr>
    <w:r>
      <w:rPr>
        <w:lang w:val="en-US"/>
      </w:rPr>
      <w:t>Chapter 5</w:t>
    </w:r>
    <w:r>
      <w:rPr>
        <w:lang w:val="en-US"/>
      </w:rPr>
      <w:tab/>
      <w:t xml:space="preserve">                                                 </w:t>
    </w:r>
    <w:r>
      <w:rPr>
        <w:lang w:val="en-US"/>
      </w:rPr>
      <w:tab/>
      <w:t xml:space="preserve">                     Eye movements in recent-onset ocular nerve palsies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4CCEB" w14:textId="3A0AE4F1" w:rsidR="00943092" w:rsidRPr="00D91AAB" w:rsidRDefault="00943092" w:rsidP="00D91AAB">
    <w:pPr>
      <w:pStyle w:val="Header"/>
      <w:pBdr>
        <w:bottom w:val="single" w:sz="6" w:space="1" w:color="auto"/>
      </w:pBdr>
      <w:spacing w:line="240" w:lineRule="auto"/>
      <w:jc w:val="right"/>
      <w:rPr>
        <w:lang w:val="en-US"/>
      </w:rPr>
    </w:pPr>
    <w:r>
      <w:rPr>
        <w:lang w:val="en-US"/>
      </w:rPr>
      <w:t>Acknowledgements</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A60A0" w14:textId="0EF98630" w:rsidR="00260641" w:rsidRPr="004F7C91" w:rsidRDefault="00EC0341" w:rsidP="00260641">
    <w:pPr>
      <w:pStyle w:val="Header"/>
      <w:pBdr>
        <w:bottom w:val="single" w:sz="12" w:space="1" w:color="auto"/>
      </w:pBdr>
      <w:spacing w:before="0" w:after="0" w:line="240" w:lineRule="auto"/>
      <w:rPr>
        <w:lang w:val="en-US"/>
      </w:rPr>
    </w:pPr>
    <w:r>
      <w:rPr>
        <w:lang w:val="en-US"/>
      </w:rPr>
      <w:t xml:space="preserve">Chapter 5                               </w:t>
    </w:r>
    <w:r>
      <w:rPr>
        <w:lang w:val="en-US"/>
      </w:rPr>
      <w:tab/>
      <w:t xml:space="preserve">                     Eye movements in recent-onset ocular nerve palsies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32437" w14:textId="77777777" w:rsidR="00527127" w:rsidRDefault="00527127" w:rsidP="00F74481">
    <w:pPr>
      <w:pStyle w:val="Header"/>
      <w:pBdr>
        <w:bottom w:val="single" w:sz="6" w:space="1" w:color="auto"/>
      </w:pBdr>
      <w:spacing w:before="0" w:after="0" w:line="240" w:lineRule="auto"/>
      <w:rPr>
        <w:lang w:val="en-MY"/>
      </w:rPr>
    </w:pPr>
    <w:r>
      <w:rPr>
        <w:lang w:val="en-MY"/>
      </w:rPr>
      <w:t>Chapter 6</w:t>
    </w:r>
    <w:r>
      <w:rPr>
        <w:lang w:val="en-MY"/>
      </w:rPr>
      <w:tab/>
    </w:r>
    <w:r>
      <w:rPr>
        <w:lang w:val="en-MY"/>
      </w:rPr>
      <w:tab/>
      <w:t>Final discussion and conclusions</w:t>
    </w:r>
  </w:p>
  <w:p w14:paraId="2C8112A5" w14:textId="77777777" w:rsidR="00527127" w:rsidRPr="00A11B1C" w:rsidRDefault="00527127" w:rsidP="00F74481">
    <w:pPr>
      <w:pStyle w:val="Header"/>
      <w:spacing w:before="0" w:after="0" w:line="240" w:lineRule="auto"/>
      <w:rPr>
        <w:lang w:val="en-MY"/>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8EEAF" w14:textId="61D3C023" w:rsidR="00527127" w:rsidRPr="00A11B1C" w:rsidRDefault="00527127" w:rsidP="00255548">
    <w:pPr>
      <w:pStyle w:val="Header"/>
      <w:pBdr>
        <w:bottom w:val="single" w:sz="6" w:space="1" w:color="auto"/>
      </w:pBdr>
      <w:spacing w:before="0" w:after="0" w:line="240" w:lineRule="auto"/>
      <w:rPr>
        <w:lang w:val="en-MY"/>
      </w:rPr>
    </w:pPr>
    <w:r>
      <w:rPr>
        <w:lang w:val="en-MY"/>
      </w:rPr>
      <w:t>Appendices 1</w:t>
    </w:r>
    <w:r>
      <w:rPr>
        <w:lang w:val="en-MY"/>
      </w:rPr>
      <w:tab/>
    </w:r>
    <w:r>
      <w:rPr>
        <w:lang w:val="en-MY"/>
      </w:rPr>
      <w:tab/>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F8B70" w14:textId="5D11981C" w:rsidR="00527127" w:rsidRPr="00A11B1C" w:rsidRDefault="00527127" w:rsidP="00387897">
    <w:pPr>
      <w:pStyle w:val="Header"/>
      <w:pBdr>
        <w:bottom w:val="single" w:sz="6" w:space="1" w:color="auto"/>
      </w:pBdr>
      <w:spacing w:before="0" w:after="0" w:line="240" w:lineRule="auto"/>
      <w:rPr>
        <w:lang w:val="en-MY"/>
      </w:rPr>
    </w:pPr>
    <w:r>
      <w:rPr>
        <w:lang w:val="en-MY"/>
      </w:rPr>
      <w:t>Appendices 2</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7F4C3" w14:textId="6A6601E3" w:rsidR="00527127" w:rsidRPr="00A11B1C" w:rsidRDefault="00527127" w:rsidP="00255548">
    <w:pPr>
      <w:pStyle w:val="Header"/>
      <w:pBdr>
        <w:bottom w:val="single" w:sz="6" w:space="1" w:color="auto"/>
      </w:pBdr>
      <w:spacing w:before="0" w:after="0" w:line="240" w:lineRule="auto"/>
      <w:rPr>
        <w:lang w:val="en-MY"/>
      </w:rPr>
    </w:pPr>
    <w:r>
      <w:rPr>
        <w:lang w:val="en-MY"/>
      </w:rPr>
      <w:t>Appendices 3</w:t>
    </w:r>
    <w:r>
      <w:rPr>
        <w:lang w:val="en-MY"/>
      </w:rPr>
      <w:tab/>
    </w:r>
    <w:r>
      <w:rPr>
        <w:lang w:val="en-MY"/>
      </w:rPr>
      <w:tab/>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C5D94" w14:textId="7545EA0D" w:rsidR="00527127" w:rsidRPr="00A11B1C" w:rsidRDefault="00527127" w:rsidP="009E1B3C">
    <w:pPr>
      <w:pStyle w:val="Header"/>
      <w:pBdr>
        <w:bottom w:val="single" w:sz="6" w:space="1" w:color="auto"/>
      </w:pBdr>
      <w:spacing w:before="0" w:after="0" w:line="240" w:lineRule="auto"/>
      <w:rPr>
        <w:lang w:val="en-MY"/>
      </w:rPr>
    </w:pPr>
    <w:r>
      <w:rPr>
        <w:lang w:val="en-MY"/>
      </w:rPr>
      <w:t>Appendices 4</w:t>
    </w:r>
    <w:r>
      <w:rPr>
        <w:lang w:val="en-MY"/>
      </w:rPr>
      <w:tab/>
    </w:r>
    <w:r>
      <w:rPr>
        <w:lang w:val="en-MY"/>
      </w:rPr>
      <w:tab/>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0138B" w14:textId="5FC005C7" w:rsidR="00527127" w:rsidRPr="00A11B1C" w:rsidRDefault="00527127" w:rsidP="007C715E">
    <w:pPr>
      <w:pStyle w:val="Header"/>
      <w:pBdr>
        <w:bottom w:val="single" w:sz="6" w:space="1" w:color="auto"/>
      </w:pBdr>
      <w:spacing w:before="0" w:after="0" w:line="240" w:lineRule="auto"/>
      <w:rPr>
        <w:lang w:val="en-MY"/>
      </w:rPr>
    </w:pPr>
    <w:r>
      <w:rPr>
        <w:lang w:val="en-MY"/>
      </w:rPr>
      <w:t>Appendices 5</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345AB" w14:textId="6B990845" w:rsidR="00527127" w:rsidRPr="00A11B1C" w:rsidRDefault="00527127"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 xml:space="preserve">Patient </w:t>
    </w:r>
    <w:r w:rsidR="00CE6626">
      <w:rPr>
        <w:lang w:val="en-MY"/>
      </w:rPr>
      <w:t>1</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17228" w14:textId="1417CEDD" w:rsidR="00527127" w:rsidRDefault="00527127"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Patient 2</w:t>
    </w:r>
  </w:p>
  <w:p w14:paraId="429FFF66" w14:textId="77777777" w:rsidR="00527127" w:rsidRPr="00A11B1C" w:rsidRDefault="00527127" w:rsidP="00255548">
    <w:pPr>
      <w:pStyle w:val="Header"/>
      <w:spacing w:before="0" w:after="0" w:line="240" w:lineRule="auto"/>
      <w:rPr>
        <w:lang w:val="en-MY"/>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EC29A" w14:textId="77777777" w:rsidR="00CE6626" w:rsidRDefault="00CE6626"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Patient 3</w:t>
    </w:r>
  </w:p>
  <w:p w14:paraId="6E1C483D" w14:textId="77777777" w:rsidR="00CE6626" w:rsidRPr="00A11B1C" w:rsidRDefault="00CE6626" w:rsidP="00255548">
    <w:pPr>
      <w:pStyle w:val="Header"/>
      <w:spacing w:before="0" w:after="0" w:line="240" w:lineRule="auto"/>
      <w:rPr>
        <w:lang w:val="en-MY"/>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D1ECB" w14:textId="396A11F0" w:rsidR="00527127" w:rsidRDefault="00005D3D" w:rsidP="00005D3D">
    <w:pPr>
      <w:pStyle w:val="Header"/>
      <w:pBdr>
        <w:bottom w:val="single" w:sz="12" w:space="1" w:color="auto"/>
      </w:pBdr>
      <w:spacing w:before="0" w:after="0" w:line="240" w:lineRule="auto"/>
      <w:jc w:val="right"/>
      <w:rPr>
        <w:lang w:val="en-US"/>
      </w:rPr>
    </w:pPr>
    <w:r>
      <w:rPr>
        <w:lang w:val="en-US"/>
      </w:rPr>
      <w:t>Declaration</w:t>
    </w:r>
  </w:p>
  <w:p w14:paraId="69D0671D" w14:textId="77777777" w:rsidR="00005D3D" w:rsidRPr="00005D3D" w:rsidRDefault="00005D3D" w:rsidP="00005D3D">
    <w:pPr>
      <w:pStyle w:val="Header"/>
      <w:spacing w:before="0" w:after="0" w:line="240" w:lineRule="auto"/>
      <w:jc w:val="left"/>
      <w:rPr>
        <w:lang w:val="en-US"/>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DD512" w14:textId="417A0DB6" w:rsidR="00527127" w:rsidRDefault="00527127"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Patient</w:t>
    </w:r>
    <w:r w:rsidR="00CE6626">
      <w:rPr>
        <w:lang w:val="en-MY"/>
      </w:rPr>
      <w:t xml:space="preserve"> 4</w:t>
    </w:r>
  </w:p>
  <w:p w14:paraId="4D18247F" w14:textId="77777777" w:rsidR="00527127" w:rsidRPr="00A11B1C" w:rsidRDefault="00527127" w:rsidP="00255548">
    <w:pPr>
      <w:pStyle w:val="Header"/>
      <w:spacing w:before="0" w:after="0" w:line="240" w:lineRule="auto"/>
      <w:rPr>
        <w:lang w:val="en-MY"/>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DF438" w14:textId="652E144B" w:rsidR="00527127" w:rsidRDefault="00527127"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 xml:space="preserve">Patient </w:t>
    </w:r>
    <w:r w:rsidR="00BD37F8">
      <w:rPr>
        <w:lang w:val="en-MY"/>
      </w:rPr>
      <w:t>5</w:t>
    </w:r>
  </w:p>
  <w:p w14:paraId="759A7AA6" w14:textId="77777777" w:rsidR="00527127" w:rsidRPr="00A11B1C" w:rsidRDefault="00527127" w:rsidP="00255548">
    <w:pPr>
      <w:pStyle w:val="Header"/>
      <w:spacing w:before="0" w:after="0" w:line="240" w:lineRule="auto"/>
      <w:rPr>
        <w:lang w:val="en-MY"/>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0C98A" w14:textId="2BB39818" w:rsidR="00CE6626" w:rsidRDefault="00CE6626"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 xml:space="preserve">Patient </w:t>
    </w:r>
    <w:r w:rsidR="00BD37F8">
      <w:rPr>
        <w:lang w:val="en-MY"/>
      </w:rPr>
      <w:t>6</w:t>
    </w:r>
  </w:p>
  <w:p w14:paraId="46E071D9" w14:textId="77777777" w:rsidR="00CE6626" w:rsidRPr="00A11B1C" w:rsidRDefault="00CE6626" w:rsidP="00255548">
    <w:pPr>
      <w:pStyle w:val="Header"/>
      <w:spacing w:before="0" w:after="0" w:line="240" w:lineRule="auto"/>
      <w:rPr>
        <w:lang w:val="en-MY"/>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B6A89" w14:textId="2A8CD840" w:rsidR="00BD37F8" w:rsidRDefault="00BD37F8"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Patient 7</w:t>
    </w:r>
  </w:p>
  <w:p w14:paraId="2682F2D2" w14:textId="77777777" w:rsidR="00BD37F8" w:rsidRPr="00A11B1C" w:rsidRDefault="00BD37F8" w:rsidP="00255548">
    <w:pPr>
      <w:pStyle w:val="Header"/>
      <w:spacing w:before="0" w:after="0" w:line="240" w:lineRule="auto"/>
      <w:rPr>
        <w:lang w:val="en-MY"/>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3AFA1" w14:textId="3A6B480D" w:rsidR="00BD37F8" w:rsidRDefault="00BD37F8"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Patient 8</w:t>
    </w:r>
  </w:p>
  <w:p w14:paraId="7FD5A467" w14:textId="77777777" w:rsidR="00BD37F8" w:rsidRPr="00A11B1C" w:rsidRDefault="00BD37F8" w:rsidP="00255548">
    <w:pPr>
      <w:pStyle w:val="Header"/>
      <w:spacing w:before="0" w:after="0" w:line="240" w:lineRule="auto"/>
      <w:rPr>
        <w:lang w:val="en-MY"/>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114D" w14:textId="13C6A772" w:rsidR="00527127" w:rsidRDefault="00527127"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 xml:space="preserve">Patient </w:t>
    </w:r>
    <w:r w:rsidR="00BD37F8">
      <w:rPr>
        <w:lang w:val="en-MY"/>
      </w:rPr>
      <w:t>9</w:t>
    </w:r>
  </w:p>
  <w:p w14:paraId="165DEA16" w14:textId="77777777" w:rsidR="00527127" w:rsidRPr="00A11B1C" w:rsidRDefault="00527127" w:rsidP="00255548">
    <w:pPr>
      <w:pStyle w:val="Header"/>
      <w:spacing w:before="0" w:after="0" w:line="240" w:lineRule="auto"/>
      <w:rPr>
        <w:lang w:val="en-MY"/>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10BF1" w14:textId="3267E570" w:rsidR="00527127" w:rsidRDefault="00527127" w:rsidP="00255548">
    <w:pPr>
      <w:pStyle w:val="Header"/>
      <w:pBdr>
        <w:bottom w:val="single" w:sz="6" w:space="1" w:color="auto"/>
      </w:pBdr>
      <w:spacing w:before="0" w:after="0" w:line="240" w:lineRule="auto"/>
      <w:rPr>
        <w:lang w:val="en-MY"/>
      </w:rPr>
    </w:pPr>
    <w:r>
      <w:rPr>
        <w:lang w:val="en-MY"/>
      </w:rPr>
      <w:t>Appendices 6</w:t>
    </w:r>
    <w:r>
      <w:rPr>
        <w:lang w:val="en-MY"/>
      </w:rPr>
      <w:tab/>
    </w:r>
    <w:r>
      <w:rPr>
        <w:lang w:val="en-MY"/>
      </w:rPr>
      <w:tab/>
      <w:t xml:space="preserve">Patient </w:t>
    </w:r>
    <w:r w:rsidR="00CE6626">
      <w:rPr>
        <w:lang w:val="en-MY"/>
      </w:rPr>
      <w:t>10</w:t>
    </w:r>
  </w:p>
  <w:p w14:paraId="6AF0BBCB" w14:textId="77777777" w:rsidR="00527127" w:rsidRPr="00A11B1C" w:rsidRDefault="00527127" w:rsidP="00255548">
    <w:pPr>
      <w:pStyle w:val="Header"/>
      <w:spacing w:before="0" w:after="0" w:line="240" w:lineRule="auto"/>
      <w:rPr>
        <w:lang w:val="en-MY"/>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40A2A" w14:textId="77055016" w:rsidR="00527127" w:rsidRDefault="00527127" w:rsidP="007325F6">
    <w:pPr>
      <w:pStyle w:val="Header"/>
      <w:pBdr>
        <w:bottom w:val="single" w:sz="6" w:space="1" w:color="auto"/>
      </w:pBdr>
      <w:spacing w:before="0" w:after="0" w:line="240" w:lineRule="auto"/>
      <w:rPr>
        <w:lang w:val="en-US"/>
      </w:rPr>
    </w:pPr>
    <w:r>
      <w:rPr>
        <w:lang w:val="en-US"/>
      </w:rPr>
      <w:t>Abbreviations</w:t>
    </w:r>
  </w:p>
  <w:p w14:paraId="2DCA4082" w14:textId="77777777" w:rsidR="00527127" w:rsidRPr="00E00B43" w:rsidRDefault="00527127" w:rsidP="007325F6">
    <w:pPr>
      <w:pStyle w:val="Header"/>
      <w:spacing w:before="0" w:after="0" w:line="240" w:lineRule="auto"/>
      <w:rPr>
        <w:lang w:val="en-US"/>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FBAEE" w14:textId="77777777" w:rsidR="00527127" w:rsidRDefault="00527127" w:rsidP="007325F6">
    <w:pPr>
      <w:pStyle w:val="Header"/>
      <w:pBdr>
        <w:bottom w:val="single" w:sz="6" w:space="1" w:color="auto"/>
      </w:pBdr>
      <w:spacing w:before="0" w:after="0" w:line="240" w:lineRule="auto"/>
      <w:rPr>
        <w:lang w:val="en-US"/>
      </w:rPr>
    </w:pPr>
    <w:r>
      <w:rPr>
        <w:lang w:val="en-US"/>
      </w:rPr>
      <w:t>References</w:t>
    </w:r>
  </w:p>
  <w:p w14:paraId="464304FE" w14:textId="77777777" w:rsidR="00527127" w:rsidRPr="00E00B43" w:rsidRDefault="00527127" w:rsidP="007325F6">
    <w:pPr>
      <w:pStyle w:val="Header"/>
      <w:spacing w:before="0" w:after="0" w:line="240" w:lineRule="auto"/>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E4A49" w14:textId="75A92B19" w:rsidR="00527127" w:rsidRPr="00D91AAB" w:rsidRDefault="00066A4C" w:rsidP="00D91AAB">
    <w:pPr>
      <w:pStyle w:val="Header"/>
      <w:pBdr>
        <w:bottom w:val="single" w:sz="6" w:space="1" w:color="auto"/>
      </w:pBdr>
      <w:spacing w:line="240" w:lineRule="auto"/>
      <w:jc w:val="right"/>
      <w:rPr>
        <w:lang w:val="en-US"/>
      </w:rPr>
    </w:pPr>
    <w:r>
      <w:rPr>
        <w:lang w:val="en-US"/>
      </w:rPr>
      <w:t>Abstract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8C8C4" w14:textId="6440F550" w:rsidR="001543C7" w:rsidRDefault="001543C7" w:rsidP="001543C7">
    <w:pPr>
      <w:pStyle w:val="Header"/>
      <w:spacing w:before="0" w:after="0" w:line="240" w:lineRule="auto"/>
      <w:jc w:val="right"/>
    </w:pPr>
    <w:r>
      <w:t>Table of Contents</w:t>
    </w:r>
  </w:p>
  <w:p w14:paraId="3F71A4BC" w14:textId="12FD8AF9" w:rsidR="001543C7" w:rsidRPr="001543C7" w:rsidRDefault="001543C7" w:rsidP="001543C7">
    <w:pPr>
      <w:pStyle w:val="Header"/>
      <w:spacing w:before="0" w:after="0" w:line="240" w:lineRule="auto"/>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FDC7A" w14:textId="389C8A0A" w:rsidR="001543C7" w:rsidRDefault="001543C7" w:rsidP="001543C7">
    <w:pPr>
      <w:pStyle w:val="Header"/>
      <w:spacing w:before="0" w:after="0" w:line="240" w:lineRule="auto"/>
      <w:jc w:val="right"/>
    </w:pPr>
    <w:r>
      <w:t>List of Figures</w:t>
    </w:r>
  </w:p>
  <w:p w14:paraId="7F99F581" w14:textId="77777777" w:rsidR="001543C7" w:rsidRPr="001543C7" w:rsidRDefault="001543C7" w:rsidP="001543C7">
    <w:pPr>
      <w:pStyle w:val="Header"/>
      <w:spacing w:before="0" w:after="0" w:line="240" w:lineRule="auto"/>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9AF13" w14:textId="5E6F218C" w:rsidR="001543C7" w:rsidRPr="00D91AAB" w:rsidRDefault="001543C7" w:rsidP="00D91AAB">
    <w:pPr>
      <w:pStyle w:val="Header"/>
      <w:pBdr>
        <w:bottom w:val="single" w:sz="6" w:space="1" w:color="auto"/>
      </w:pBdr>
      <w:spacing w:line="240" w:lineRule="auto"/>
      <w:jc w:val="right"/>
      <w:rPr>
        <w:lang w:val="en-US"/>
      </w:rPr>
    </w:pPr>
    <w:r>
      <w:rPr>
        <w:lang w:val="en-US"/>
      </w:rPr>
      <w:t xml:space="preserve">List of </w:t>
    </w:r>
    <w:r w:rsidR="007515C8">
      <w:rPr>
        <w:lang w:val="en-US"/>
      </w:rPr>
      <w:t>Tables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2F363" w14:textId="3C031727" w:rsidR="00527127" w:rsidRDefault="00527127" w:rsidP="00D91AAB">
    <w:pPr>
      <w:pStyle w:val="Header"/>
      <w:pBdr>
        <w:bottom w:val="single" w:sz="6" w:space="1" w:color="auto"/>
      </w:pBdr>
      <w:spacing w:before="0" w:line="240" w:lineRule="auto"/>
    </w:pPr>
    <w:r>
      <w:t>Chapter 1</w:t>
    </w:r>
    <w:r>
      <w:tab/>
    </w:r>
    <w:r>
      <w:tab/>
      <w:t>Literature Review</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D7E96"/>
    <w:multiLevelType w:val="hybridMultilevel"/>
    <w:tmpl w:val="7F903F6C"/>
    <w:lvl w:ilvl="0" w:tplc="84B0DEFC">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 w15:restartNumberingAfterBreak="0">
    <w:nsid w:val="007C3903"/>
    <w:multiLevelType w:val="multilevel"/>
    <w:tmpl w:val="A89A9224"/>
    <w:styleLink w:val="Style311"/>
    <w:lvl w:ilvl="0">
      <w:start w:val="1"/>
      <w:numFmt w:val="decimal"/>
      <w:lvlText w:val="3.%1.3"/>
      <w:lvlJc w:val="left"/>
      <w:pPr>
        <w:ind w:left="360" w:hanging="360"/>
      </w:pPr>
      <w:rPr>
        <w:rFonts w:hint="default"/>
      </w:rPr>
    </w:lvl>
    <w:lvl w:ilvl="1">
      <w:start w:val="1"/>
      <w:numFmt w:val="none"/>
      <w:lvlText w:val="3.1"/>
      <w:lvlJc w:val="left"/>
      <w:pPr>
        <w:ind w:left="792" w:hanging="432"/>
      </w:pPr>
      <w:rPr>
        <w:rFonts w:hint="default"/>
      </w:rPr>
    </w:lvl>
    <w:lvl w:ilvl="2">
      <w:start w:val="1"/>
      <w:numFmt w:val="decimal"/>
      <w:lvlText w:val="3.%3.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CF25C8"/>
    <w:multiLevelType w:val="multilevel"/>
    <w:tmpl w:val="2E90CE7C"/>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1B34DDD"/>
    <w:multiLevelType w:val="hybridMultilevel"/>
    <w:tmpl w:val="8F94A044"/>
    <w:lvl w:ilvl="0" w:tplc="08090001">
      <w:start w:val="1"/>
      <w:numFmt w:val="bullet"/>
      <w:lvlText w:val=""/>
      <w:lvlJc w:val="left"/>
      <w:pPr>
        <w:ind w:left="720" w:hanging="360"/>
      </w:pPr>
      <w:rPr>
        <w:rFonts w:ascii="Symbol" w:hAnsi="Symbol" w:hint="default"/>
      </w:rPr>
    </w:lvl>
    <w:lvl w:ilvl="1" w:tplc="EE2A828A">
      <w:start w:val="1"/>
      <w:numFmt w:val="bullet"/>
      <w:lvlText w:val=""/>
      <w:lvlJc w:val="right"/>
      <w:pPr>
        <w:ind w:left="1440" w:hanging="360"/>
      </w:pPr>
      <w:rPr>
        <w:rFonts w:ascii="Wingdings 3" w:hAnsi="Wingdings 3"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E66616"/>
    <w:multiLevelType w:val="hybridMultilevel"/>
    <w:tmpl w:val="55122F38"/>
    <w:lvl w:ilvl="0" w:tplc="243A3E2A">
      <w:start w:val="6"/>
      <w:numFmt w:val="bullet"/>
      <w:lvlText w:val="-"/>
      <w:lvlJc w:val="left"/>
      <w:pPr>
        <w:ind w:left="720" w:hanging="360"/>
      </w:pPr>
      <w:rPr>
        <w:rFonts w:ascii="Calibri" w:eastAsiaTheme="minorHAnsi" w:hAnsi="Calibri" w:cstheme="minorHAnsi"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63679A3"/>
    <w:multiLevelType w:val="hybridMultilevel"/>
    <w:tmpl w:val="7062E44E"/>
    <w:lvl w:ilvl="0" w:tplc="4409001B">
      <w:start w:val="1"/>
      <w:numFmt w:val="lowerRoman"/>
      <w:lvlText w:val="%1."/>
      <w:lvlJc w:val="right"/>
      <w:pPr>
        <w:ind w:left="1080" w:hanging="360"/>
      </w:p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6" w15:restartNumberingAfterBreak="0">
    <w:nsid w:val="09F368D3"/>
    <w:multiLevelType w:val="hybridMultilevel"/>
    <w:tmpl w:val="738064D0"/>
    <w:lvl w:ilvl="0" w:tplc="853483EA">
      <w:start w:val="122"/>
      <w:numFmt w:val="bullet"/>
      <w:lvlText w:val="-"/>
      <w:lvlJc w:val="left"/>
      <w:pPr>
        <w:ind w:left="720" w:hanging="360"/>
      </w:pPr>
      <w:rPr>
        <w:rFonts w:ascii="Times New Roman" w:eastAsiaTheme="minorEastAsia"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0A5172C7"/>
    <w:multiLevelType w:val="hybridMultilevel"/>
    <w:tmpl w:val="03D8B7C6"/>
    <w:lvl w:ilvl="0" w:tplc="6AFA89FC">
      <w:start w:val="1"/>
      <w:numFmt w:val="decimal"/>
      <w:pStyle w:val="Style4131"/>
      <w:lvlText w:val="4.1.3.%1"/>
      <w:lvlJc w:val="left"/>
      <w:pPr>
        <w:ind w:left="720" w:hanging="360"/>
      </w:pPr>
      <w:rPr>
        <w:rFonts w:ascii="Times New Roman" w:hAnsi="Times New Roman" w:hint="default"/>
        <w:b/>
        <w:i w:val="0"/>
        <w:sz w:val="24"/>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 w15:restartNumberingAfterBreak="0">
    <w:nsid w:val="0ECC59C1"/>
    <w:multiLevelType w:val="hybridMultilevel"/>
    <w:tmpl w:val="12F21A74"/>
    <w:lvl w:ilvl="0" w:tplc="EE2A828A">
      <w:start w:val="1"/>
      <w:numFmt w:val="bullet"/>
      <w:lvlText w:val=""/>
      <w:lvlJc w:val="right"/>
      <w:pPr>
        <w:ind w:left="1080" w:hanging="360"/>
      </w:pPr>
      <w:rPr>
        <w:rFonts w:ascii="Wingdings 3" w:hAnsi="Wingdings 3"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9" w15:restartNumberingAfterBreak="0">
    <w:nsid w:val="0F124AFB"/>
    <w:multiLevelType w:val="hybridMultilevel"/>
    <w:tmpl w:val="939443C0"/>
    <w:lvl w:ilvl="0" w:tplc="4409001B">
      <w:start w:val="1"/>
      <w:numFmt w:val="lowerRoman"/>
      <w:lvlText w:val="%1."/>
      <w:lvlJc w:val="right"/>
      <w:pPr>
        <w:ind w:left="780" w:hanging="360"/>
      </w:pPr>
      <w:rPr>
        <w:rFonts w:hint="default"/>
      </w:rPr>
    </w:lvl>
    <w:lvl w:ilvl="1" w:tplc="44090003" w:tentative="1">
      <w:start w:val="1"/>
      <w:numFmt w:val="bullet"/>
      <w:lvlText w:val="o"/>
      <w:lvlJc w:val="left"/>
      <w:pPr>
        <w:ind w:left="1500" w:hanging="360"/>
      </w:pPr>
      <w:rPr>
        <w:rFonts w:ascii="Courier New" w:hAnsi="Courier New" w:cs="Courier New" w:hint="default"/>
      </w:rPr>
    </w:lvl>
    <w:lvl w:ilvl="2" w:tplc="44090005" w:tentative="1">
      <w:start w:val="1"/>
      <w:numFmt w:val="bullet"/>
      <w:lvlText w:val=""/>
      <w:lvlJc w:val="left"/>
      <w:pPr>
        <w:ind w:left="2220" w:hanging="360"/>
      </w:pPr>
      <w:rPr>
        <w:rFonts w:ascii="Wingdings" w:hAnsi="Wingdings" w:hint="default"/>
      </w:rPr>
    </w:lvl>
    <w:lvl w:ilvl="3" w:tplc="44090001" w:tentative="1">
      <w:start w:val="1"/>
      <w:numFmt w:val="bullet"/>
      <w:lvlText w:val=""/>
      <w:lvlJc w:val="left"/>
      <w:pPr>
        <w:ind w:left="2940" w:hanging="360"/>
      </w:pPr>
      <w:rPr>
        <w:rFonts w:ascii="Symbol" w:hAnsi="Symbol" w:hint="default"/>
      </w:rPr>
    </w:lvl>
    <w:lvl w:ilvl="4" w:tplc="44090003" w:tentative="1">
      <w:start w:val="1"/>
      <w:numFmt w:val="bullet"/>
      <w:lvlText w:val="o"/>
      <w:lvlJc w:val="left"/>
      <w:pPr>
        <w:ind w:left="3660" w:hanging="360"/>
      </w:pPr>
      <w:rPr>
        <w:rFonts w:ascii="Courier New" w:hAnsi="Courier New" w:cs="Courier New" w:hint="default"/>
      </w:rPr>
    </w:lvl>
    <w:lvl w:ilvl="5" w:tplc="44090005" w:tentative="1">
      <w:start w:val="1"/>
      <w:numFmt w:val="bullet"/>
      <w:lvlText w:val=""/>
      <w:lvlJc w:val="left"/>
      <w:pPr>
        <w:ind w:left="4380" w:hanging="360"/>
      </w:pPr>
      <w:rPr>
        <w:rFonts w:ascii="Wingdings" w:hAnsi="Wingdings" w:hint="default"/>
      </w:rPr>
    </w:lvl>
    <w:lvl w:ilvl="6" w:tplc="44090001" w:tentative="1">
      <w:start w:val="1"/>
      <w:numFmt w:val="bullet"/>
      <w:lvlText w:val=""/>
      <w:lvlJc w:val="left"/>
      <w:pPr>
        <w:ind w:left="5100" w:hanging="360"/>
      </w:pPr>
      <w:rPr>
        <w:rFonts w:ascii="Symbol" w:hAnsi="Symbol" w:hint="default"/>
      </w:rPr>
    </w:lvl>
    <w:lvl w:ilvl="7" w:tplc="44090003" w:tentative="1">
      <w:start w:val="1"/>
      <w:numFmt w:val="bullet"/>
      <w:lvlText w:val="o"/>
      <w:lvlJc w:val="left"/>
      <w:pPr>
        <w:ind w:left="5820" w:hanging="360"/>
      </w:pPr>
      <w:rPr>
        <w:rFonts w:ascii="Courier New" w:hAnsi="Courier New" w:cs="Courier New" w:hint="default"/>
      </w:rPr>
    </w:lvl>
    <w:lvl w:ilvl="8" w:tplc="44090005" w:tentative="1">
      <w:start w:val="1"/>
      <w:numFmt w:val="bullet"/>
      <w:lvlText w:val=""/>
      <w:lvlJc w:val="left"/>
      <w:pPr>
        <w:ind w:left="6540" w:hanging="360"/>
      </w:pPr>
      <w:rPr>
        <w:rFonts w:ascii="Wingdings" w:hAnsi="Wingdings" w:hint="default"/>
      </w:rPr>
    </w:lvl>
  </w:abstractNum>
  <w:abstractNum w:abstractNumId="10" w15:restartNumberingAfterBreak="0">
    <w:nsid w:val="0FB53D8F"/>
    <w:multiLevelType w:val="hybridMultilevel"/>
    <w:tmpl w:val="E488BCCE"/>
    <w:lvl w:ilvl="0" w:tplc="853483EA">
      <w:start w:val="122"/>
      <w:numFmt w:val="bullet"/>
      <w:lvlText w:val="-"/>
      <w:lvlJc w:val="left"/>
      <w:pPr>
        <w:ind w:left="720" w:hanging="360"/>
      </w:pPr>
      <w:rPr>
        <w:rFonts w:ascii="Times New Roman" w:eastAsiaTheme="minorEastAsia"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0176BF7"/>
    <w:multiLevelType w:val="hybridMultilevel"/>
    <w:tmpl w:val="53A682B2"/>
    <w:lvl w:ilvl="0" w:tplc="6DD025CA">
      <w:start w:val="1"/>
      <w:numFmt w:val="decimal"/>
      <w:pStyle w:val="Style14"/>
      <w:lvlText w:val="3.1.2.%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07F1D47"/>
    <w:multiLevelType w:val="hybridMultilevel"/>
    <w:tmpl w:val="71763EC0"/>
    <w:lvl w:ilvl="0" w:tplc="A0A446C0">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 w15:restartNumberingAfterBreak="0">
    <w:nsid w:val="109B2ADB"/>
    <w:multiLevelType w:val="hybridMultilevel"/>
    <w:tmpl w:val="29C60344"/>
    <w:lvl w:ilvl="0" w:tplc="A7584AF4">
      <w:start w:val="1"/>
      <w:numFmt w:val="decimal"/>
      <w:pStyle w:val="Style36"/>
      <w:lvlText w:val="4.1.3.%1"/>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44090019">
      <w:start w:val="1"/>
      <w:numFmt w:val="lowerLetter"/>
      <w:lvlText w:val="%2."/>
      <w:lvlJc w:val="left"/>
      <w:pPr>
        <w:ind w:left="1083" w:hanging="360"/>
      </w:pPr>
    </w:lvl>
    <w:lvl w:ilvl="2" w:tplc="4409001B" w:tentative="1">
      <w:start w:val="1"/>
      <w:numFmt w:val="lowerRoman"/>
      <w:lvlText w:val="%3."/>
      <w:lvlJc w:val="right"/>
      <w:pPr>
        <w:ind w:left="1803" w:hanging="180"/>
      </w:pPr>
    </w:lvl>
    <w:lvl w:ilvl="3" w:tplc="4409000F" w:tentative="1">
      <w:start w:val="1"/>
      <w:numFmt w:val="decimal"/>
      <w:lvlText w:val="%4."/>
      <w:lvlJc w:val="left"/>
      <w:pPr>
        <w:ind w:left="2523" w:hanging="360"/>
      </w:pPr>
    </w:lvl>
    <w:lvl w:ilvl="4" w:tplc="44090019" w:tentative="1">
      <w:start w:val="1"/>
      <w:numFmt w:val="lowerLetter"/>
      <w:lvlText w:val="%5."/>
      <w:lvlJc w:val="left"/>
      <w:pPr>
        <w:ind w:left="3243" w:hanging="360"/>
      </w:pPr>
    </w:lvl>
    <w:lvl w:ilvl="5" w:tplc="4409001B" w:tentative="1">
      <w:start w:val="1"/>
      <w:numFmt w:val="lowerRoman"/>
      <w:lvlText w:val="%6."/>
      <w:lvlJc w:val="right"/>
      <w:pPr>
        <w:ind w:left="3963" w:hanging="180"/>
      </w:pPr>
    </w:lvl>
    <w:lvl w:ilvl="6" w:tplc="4409000F" w:tentative="1">
      <w:start w:val="1"/>
      <w:numFmt w:val="decimal"/>
      <w:lvlText w:val="%7."/>
      <w:lvlJc w:val="left"/>
      <w:pPr>
        <w:ind w:left="4683" w:hanging="360"/>
      </w:pPr>
    </w:lvl>
    <w:lvl w:ilvl="7" w:tplc="44090019" w:tentative="1">
      <w:start w:val="1"/>
      <w:numFmt w:val="lowerLetter"/>
      <w:lvlText w:val="%8."/>
      <w:lvlJc w:val="left"/>
      <w:pPr>
        <w:ind w:left="5403" w:hanging="360"/>
      </w:pPr>
    </w:lvl>
    <w:lvl w:ilvl="8" w:tplc="4409001B" w:tentative="1">
      <w:start w:val="1"/>
      <w:numFmt w:val="lowerRoman"/>
      <w:lvlText w:val="%9."/>
      <w:lvlJc w:val="right"/>
      <w:pPr>
        <w:ind w:left="6123" w:hanging="180"/>
      </w:pPr>
    </w:lvl>
  </w:abstractNum>
  <w:abstractNum w:abstractNumId="14" w15:restartNumberingAfterBreak="0">
    <w:nsid w:val="115F1E72"/>
    <w:multiLevelType w:val="hybridMultilevel"/>
    <w:tmpl w:val="69D8F6C0"/>
    <w:lvl w:ilvl="0" w:tplc="4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1897808"/>
    <w:multiLevelType w:val="hybridMultilevel"/>
    <w:tmpl w:val="3AA2AD7E"/>
    <w:lvl w:ilvl="0" w:tplc="853483EA">
      <w:start w:val="122"/>
      <w:numFmt w:val="bullet"/>
      <w:lvlText w:val="-"/>
      <w:lvlJc w:val="left"/>
      <w:pPr>
        <w:ind w:left="720" w:hanging="360"/>
      </w:pPr>
      <w:rPr>
        <w:rFonts w:ascii="Times New Roman" w:eastAsiaTheme="minorEastAsia"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45E1AF7"/>
    <w:multiLevelType w:val="hybridMultilevel"/>
    <w:tmpl w:val="640A5234"/>
    <w:lvl w:ilvl="0" w:tplc="4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157F61FC"/>
    <w:multiLevelType w:val="hybridMultilevel"/>
    <w:tmpl w:val="9F949BF8"/>
    <w:lvl w:ilvl="0" w:tplc="ECE6CBEC">
      <w:start w:val="1"/>
      <w:numFmt w:val="decimal"/>
      <w:pStyle w:val="Style3-04"/>
      <w:lvlText w:val="3.1.3.%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167A01B7"/>
    <w:multiLevelType w:val="hybridMultilevel"/>
    <w:tmpl w:val="9C54CA12"/>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16863B5A"/>
    <w:multiLevelType w:val="hybridMultilevel"/>
    <w:tmpl w:val="36EC88EA"/>
    <w:lvl w:ilvl="0" w:tplc="853483EA">
      <w:start w:val="122"/>
      <w:numFmt w:val="bullet"/>
      <w:lvlText w:val="-"/>
      <w:lvlJc w:val="left"/>
      <w:pPr>
        <w:ind w:left="720" w:hanging="360"/>
      </w:pPr>
      <w:rPr>
        <w:rFonts w:ascii="Times New Roman" w:eastAsiaTheme="minorEastAsia"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15:restartNumberingAfterBreak="0">
    <w:nsid w:val="17FB266E"/>
    <w:multiLevelType w:val="multilevel"/>
    <w:tmpl w:val="75FCE35C"/>
    <w:lvl w:ilvl="0">
      <w:start w:val="1"/>
      <w:numFmt w:val="decimal"/>
      <w:suff w:val="space"/>
      <w:lvlText w:val="Chapter %1: "/>
      <w:lvlJc w:val="left"/>
      <w:rPr>
        <w:rFonts w:hint="default"/>
        <w:b/>
        <w:bCs w:val="0"/>
        <w:i w:val="0"/>
        <w:iCs w:val="0"/>
        <w:caps w:val="0"/>
        <w:smallCaps w:val="0"/>
        <w:strike w:val="0"/>
        <w:dstrike w:val="0"/>
        <w:noProof w:val="0"/>
        <w:vanish w:val="0"/>
        <w:color w:val="000000"/>
        <w:spacing w:val="0"/>
        <w:kern w:val="0"/>
        <w:position w:val="0"/>
        <w:sz w:val="40"/>
        <w:szCs w:val="40"/>
        <w:u w:val="none"/>
        <w:effect w:val="none"/>
        <w:vertAlign w:val="baseline"/>
        <w:em w:val="none"/>
        <w:specVanish w:val="0"/>
      </w:rPr>
    </w:lvl>
    <w:lvl w:ilvl="1">
      <w:start w:val="1"/>
      <w:numFmt w:val="decimal"/>
      <w:suff w:val="space"/>
      <w:lvlText w:val="%1.%2"/>
      <w:lvlJc w:val="left"/>
      <w:pPr>
        <w:ind w:left="0" w:firstLine="0"/>
      </w:pPr>
      <w:rPr>
        <w:rFonts w:ascii="Times New Roman" w:hAnsi="Times New Roman" w:hint="default"/>
        <w:b/>
        <w:i w:val="0"/>
        <w:sz w:val="24"/>
      </w:rPr>
    </w:lvl>
    <w:lvl w:ilvl="2">
      <w:start w:val="1"/>
      <w:numFmt w:val="decimal"/>
      <w:suff w:val="space"/>
      <w:lvlText w:val="%1.%2.%3   "/>
      <w:lvlJc w:val="left"/>
      <w:pPr>
        <w:ind w:left="0" w:firstLine="0"/>
      </w:pPr>
      <w:rPr>
        <w:rFonts w:ascii="Times New Roman" w:hAnsi="Times New Roman" w:hint="default"/>
        <w:b/>
        <w:bCs w:val="0"/>
        <w:i w:val="0"/>
        <w:color w:val="000000" w:themeColor="text1"/>
        <w:sz w:val="24"/>
      </w:rPr>
    </w:lvl>
    <w:lvl w:ilvl="3">
      <w:start w:val="1"/>
      <w:numFmt w:val="decimal"/>
      <w:suff w:val="space"/>
      <w:lvlText w:val="%1.%2.%3.%4   "/>
      <w:lvlJc w:val="left"/>
      <w:pPr>
        <w:ind w:left="0" w:firstLine="0"/>
      </w:pPr>
      <w:rPr>
        <w:rFonts w:ascii="Times New Roman" w:hAnsi="Times New Roman" w:hint="default"/>
        <w:b/>
        <w:bCs/>
        <w:i w:val="0"/>
        <w:color w:val="000000" w:themeColor="text1"/>
        <w:sz w:val="24"/>
      </w:rPr>
    </w:lvl>
    <w:lvl w:ilvl="4">
      <w:start w:val="1"/>
      <w:numFmt w:val="lowerLetter"/>
      <w:suff w:val="space"/>
      <w:lvlText w:val="%1.%2.%3.%4 (%5)  EMR:"/>
      <w:lvlJc w:val="left"/>
      <w:pPr>
        <w:ind w:left="0" w:firstLine="0"/>
      </w:pPr>
      <w:rPr>
        <w:rFonts w:hint="default"/>
        <w:b/>
        <w:bCs/>
      </w:rPr>
    </w:lvl>
    <w:lvl w:ilvl="5">
      <w:start w:val="1"/>
      <w:numFmt w:val="none"/>
      <w:suff w:val="space"/>
      <w:lvlText w:val=""/>
      <w:lvlJc w:val="left"/>
      <w:pPr>
        <w:ind w:left="0" w:firstLine="0"/>
      </w:pPr>
      <w:rPr>
        <w:rFonts w:hint="default"/>
      </w:rPr>
    </w:lvl>
    <w:lvl w:ilvl="6">
      <w:start w:val="1"/>
      <w:numFmt w:val="decimal"/>
      <w:pStyle w:val="Heading7"/>
      <w:suff w:val="space"/>
      <w:lvlText w:val="Appendix %7:  "/>
      <w:lvlJc w:val="left"/>
      <w:pPr>
        <w:ind w:left="0" w:firstLine="0"/>
      </w:pPr>
      <w:rPr>
        <w:rFonts w:ascii="Times New Roman" w:hAnsi="Times New Roman" w:hint="default"/>
        <w:b w:val="0"/>
        <w:i w:val="0"/>
        <w:color w:val="000000" w:themeColor="text1"/>
        <w:sz w:val="24"/>
      </w:rPr>
    </w:lvl>
    <w:lvl w:ilvl="7">
      <w:start w:val="1"/>
      <w:numFmt w:val="none"/>
      <w:pStyle w:val="Heading8"/>
      <w:suff w:val="space"/>
      <w:lvlText w:val=""/>
      <w:lvlJc w:val="left"/>
      <w:pPr>
        <w:ind w:left="0" w:firstLine="0"/>
      </w:pPr>
      <w:rPr>
        <w:rFonts w:ascii="Times New Roman" w:hAnsi="Times New Roman" w:hint="default"/>
        <w:b/>
        <w:i w:val="0"/>
        <w:color w:val="000000" w:themeColor="text1"/>
        <w:sz w:val="24"/>
      </w:rPr>
    </w:lvl>
    <w:lvl w:ilvl="8">
      <w:start w:val="1"/>
      <w:numFmt w:val="lowerRoman"/>
      <w:lvlText w:val="%9."/>
      <w:lvlJc w:val="left"/>
      <w:pPr>
        <w:ind w:left="3240" w:hanging="360"/>
      </w:pPr>
      <w:rPr>
        <w:rFonts w:hint="default"/>
      </w:rPr>
    </w:lvl>
  </w:abstractNum>
  <w:abstractNum w:abstractNumId="21" w15:restartNumberingAfterBreak="0">
    <w:nsid w:val="18AE01D9"/>
    <w:multiLevelType w:val="hybridMultilevel"/>
    <w:tmpl w:val="68B2E8DE"/>
    <w:lvl w:ilvl="0" w:tplc="15FCB1F0">
      <w:start w:val="1"/>
      <w:numFmt w:val="decimal"/>
      <w:pStyle w:val="Style8"/>
      <w:lvlText w:val="3.1.%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8090019" w:tentative="1">
      <w:start w:val="1"/>
      <w:numFmt w:val="lowerLetter"/>
      <w:pStyle w:val="Style8"/>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1AB42146"/>
    <w:multiLevelType w:val="hybridMultilevel"/>
    <w:tmpl w:val="51F6B3C2"/>
    <w:lvl w:ilvl="0" w:tplc="96220264">
      <w:start w:val="1"/>
      <w:numFmt w:val="decimal"/>
      <w:pStyle w:val="Style26"/>
      <w:lvlText w:val="3.2.1.%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pStyle w:val="Style26"/>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1B205EDD"/>
    <w:multiLevelType w:val="multilevel"/>
    <w:tmpl w:val="496878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B4A2816"/>
    <w:multiLevelType w:val="hybridMultilevel"/>
    <w:tmpl w:val="DEC48B04"/>
    <w:lvl w:ilvl="0" w:tplc="C358A2E0">
      <w:start w:val="122"/>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BDE52FC"/>
    <w:multiLevelType w:val="hybridMultilevel"/>
    <w:tmpl w:val="0BCAA87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D0F7DCA"/>
    <w:multiLevelType w:val="multilevel"/>
    <w:tmpl w:val="24F63DDA"/>
    <w:styleLink w:val="firstheading5"/>
    <w:lvl w:ilvl="0">
      <w:start w:val="1"/>
      <w:numFmt w:val="decimal"/>
      <w:lvlText w:val="3.%1"/>
      <w:lvlJc w:val="left"/>
      <w:pPr>
        <w:ind w:left="360" w:hanging="360"/>
      </w:pPr>
      <w:rPr>
        <w:rFonts w:asciiTheme="majorBidi" w:hAnsiTheme="majorBidi" w:cs="Times New Roman" w:hint="default"/>
        <w:sz w:val="24"/>
      </w:rPr>
    </w:lvl>
    <w:lvl w:ilvl="1">
      <w:start w:val="1"/>
      <w:numFmt w:val="lowerLetter"/>
      <w:pStyle w:val="Style7"/>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E8C1197"/>
    <w:multiLevelType w:val="hybridMultilevel"/>
    <w:tmpl w:val="B268EC06"/>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1EEC732E"/>
    <w:multiLevelType w:val="multilevel"/>
    <w:tmpl w:val="5CD6E920"/>
    <w:lvl w:ilvl="0">
      <w:start w:val="1"/>
      <w:numFmt w:val="decimal"/>
      <w:suff w:val="space"/>
      <w:lvlText w:val="Appendix 3.%1:"/>
      <w:lvlJc w:val="left"/>
      <w:pPr>
        <w:ind w:left="0" w:firstLine="0"/>
      </w:pPr>
      <w:rPr>
        <w:rFonts w:ascii="Times New Roman" w:hAnsi="Times New Roman" w:hint="default"/>
        <w:b/>
        <w:i w:val="0"/>
        <w:color w:val="000000" w:themeColor="text1"/>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2"/>
      <w:numFmt w:val="none"/>
      <w:suff w:val="space"/>
      <w:lvlText w:val=""/>
      <w:lvlJc w:val="left"/>
      <w:pPr>
        <w:ind w:left="0" w:firstLine="2160"/>
      </w:pPr>
      <w:rPr>
        <w:rFonts w:ascii="Times New Roman" w:hAnsi="Times New Roman" w:hint="default"/>
        <w:b/>
        <w:i w:val="0"/>
        <w:sz w:val="24"/>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1FCE6165"/>
    <w:multiLevelType w:val="hybridMultilevel"/>
    <w:tmpl w:val="364AFE5E"/>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15:restartNumberingAfterBreak="0">
    <w:nsid w:val="1FE71B0B"/>
    <w:multiLevelType w:val="hybridMultilevel"/>
    <w:tmpl w:val="D9926738"/>
    <w:lvl w:ilvl="0" w:tplc="271E3846">
      <w:start w:val="1"/>
      <w:numFmt w:val="decimal"/>
      <w:pStyle w:val="Style22"/>
      <w:lvlText w:val="3.1.5.%1"/>
      <w:lvlJc w:val="left"/>
      <w:rPr>
        <w:rFonts w:ascii="Times New Roman" w:hAnsi="Times New Roman" w:cs="Times New Roman" w:hint="default"/>
        <w:b/>
        <w:bCs/>
        <w:i w:val="0"/>
        <w:iCs w:val="0"/>
        <w:caps w:val="0"/>
        <w:strike w:val="0"/>
        <w:dstrike w:val="0"/>
        <w:vanish w:val="0"/>
        <w:color w:val="000000"/>
        <w:spacing w:val="0"/>
        <w:kern w:val="0"/>
        <w:position w:val="0"/>
        <w:sz w:val="24"/>
        <w:szCs w:val="24"/>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207273BC"/>
    <w:multiLevelType w:val="hybridMultilevel"/>
    <w:tmpl w:val="8C9822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20A50C28"/>
    <w:multiLevelType w:val="hybridMultilevel"/>
    <w:tmpl w:val="264EC802"/>
    <w:lvl w:ilvl="0" w:tplc="853483EA">
      <w:start w:val="122"/>
      <w:numFmt w:val="bullet"/>
      <w:lvlText w:val="-"/>
      <w:lvlJc w:val="left"/>
      <w:pPr>
        <w:ind w:left="720" w:hanging="360"/>
      </w:pPr>
      <w:rPr>
        <w:rFonts w:ascii="Times New Roman" w:eastAsiaTheme="minorEastAsia"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15:restartNumberingAfterBreak="0">
    <w:nsid w:val="20CD7F6B"/>
    <w:multiLevelType w:val="multilevel"/>
    <w:tmpl w:val="267E17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1514CB1"/>
    <w:multiLevelType w:val="multilevel"/>
    <w:tmpl w:val="DD86015E"/>
    <w:lvl w:ilvl="0">
      <w:start w:val="1"/>
      <w:numFmt w:val="upperLetter"/>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5" w15:restartNumberingAfterBreak="0">
    <w:nsid w:val="215B512D"/>
    <w:multiLevelType w:val="hybridMultilevel"/>
    <w:tmpl w:val="F57C5144"/>
    <w:lvl w:ilvl="0" w:tplc="853483EA">
      <w:start w:val="122"/>
      <w:numFmt w:val="bullet"/>
      <w:lvlText w:val="-"/>
      <w:lvlJc w:val="left"/>
      <w:pPr>
        <w:ind w:left="720" w:hanging="360"/>
      </w:pPr>
      <w:rPr>
        <w:rFonts w:ascii="Times New Roman" w:eastAsiaTheme="minorEastAsia"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15:restartNumberingAfterBreak="0">
    <w:nsid w:val="21822187"/>
    <w:multiLevelType w:val="hybridMultilevel"/>
    <w:tmpl w:val="04A6C84E"/>
    <w:lvl w:ilvl="0" w:tplc="4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26E00A5"/>
    <w:multiLevelType w:val="multilevel"/>
    <w:tmpl w:val="24F63DDA"/>
    <w:styleLink w:val="firstheading2"/>
    <w:lvl w:ilvl="0">
      <w:start w:val="1"/>
      <w:numFmt w:val="decimal"/>
      <w:lvlText w:val="3.%1"/>
      <w:lvlJc w:val="left"/>
      <w:pPr>
        <w:ind w:left="360" w:hanging="360"/>
      </w:pPr>
      <w:rPr>
        <w:rFonts w:asciiTheme="majorBidi" w:hAnsiTheme="majorBidi" w:cs="Times New Roman"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233D0992"/>
    <w:multiLevelType w:val="hybridMultilevel"/>
    <w:tmpl w:val="A3300EBC"/>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9" w15:restartNumberingAfterBreak="0">
    <w:nsid w:val="236044F8"/>
    <w:multiLevelType w:val="hybridMultilevel"/>
    <w:tmpl w:val="EE0A7F76"/>
    <w:lvl w:ilvl="0" w:tplc="4CA81828">
      <w:start w:val="1"/>
      <w:numFmt w:val="decimal"/>
      <w:pStyle w:val="Style3-05"/>
      <w:lvlText w:val="3.1.3.2.%1"/>
      <w:lvlJc w:val="left"/>
      <w:rPr>
        <w:rFonts w:hint="default"/>
        <w:b/>
        <w:bCs/>
        <w:i w:val="0"/>
        <w:iCs w:val="0"/>
        <w:caps w:val="0"/>
        <w:smallCaps w:val="0"/>
        <w:strike w:val="0"/>
        <w:dstrike w:val="0"/>
        <w:vanish w:val="0"/>
        <w:color w:val="auto"/>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pStyle w:val="Style3-05"/>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2394298D"/>
    <w:multiLevelType w:val="hybridMultilevel"/>
    <w:tmpl w:val="C276D262"/>
    <w:lvl w:ilvl="0" w:tplc="08090001">
      <w:start w:val="1"/>
      <w:numFmt w:val="bullet"/>
      <w:lvlText w:val=""/>
      <w:lvlJc w:val="left"/>
      <w:pPr>
        <w:ind w:left="1440" w:hanging="360"/>
      </w:pPr>
      <w:rPr>
        <w:rFonts w:ascii="Symbol" w:hAnsi="Symbol" w:hint="default"/>
      </w:rPr>
    </w:lvl>
    <w:lvl w:ilvl="1" w:tplc="EE2A828A">
      <w:start w:val="1"/>
      <w:numFmt w:val="bullet"/>
      <w:lvlText w:val=""/>
      <w:lvlJc w:val="right"/>
      <w:pPr>
        <w:ind w:left="1440" w:hanging="360"/>
      </w:pPr>
      <w:rPr>
        <w:rFonts w:ascii="Wingdings 3" w:hAnsi="Wingdings 3"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4784101"/>
    <w:multiLevelType w:val="hybridMultilevel"/>
    <w:tmpl w:val="15C22446"/>
    <w:lvl w:ilvl="0" w:tplc="2C40F908">
      <w:start w:val="1"/>
      <w:numFmt w:val="decimal"/>
      <w:pStyle w:val="Style16"/>
      <w:lvlText w:val="3.2.%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26D4532F"/>
    <w:multiLevelType w:val="hybridMultilevel"/>
    <w:tmpl w:val="108887B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3" w15:restartNumberingAfterBreak="0">
    <w:nsid w:val="27187575"/>
    <w:multiLevelType w:val="hybridMultilevel"/>
    <w:tmpl w:val="49826C48"/>
    <w:lvl w:ilvl="0" w:tplc="64D2607E">
      <w:start w:val="1"/>
      <w:numFmt w:val="decimal"/>
      <w:pStyle w:val="Style37"/>
      <w:lvlText w:val="5.%1"/>
      <w:lvlJc w:val="left"/>
      <w:pPr>
        <w:ind w:left="720" w:hanging="360"/>
      </w:pPr>
      <w:rPr>
        <w:rFonts w:ascii="Calibri Light" w:hAnsi="Calibri Light" w:cstheme="majorHAnsi" w:hint="default"/>
        <w:b/>
        <w:i w:val="0"/>
        <w:sz w:val="28"/>
        <w:szCs w:val="28"/>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4" w15:restartNumberingAfterBreak="0">
    <w:nsid w:val="286311EC"/>
    <w:multiLevelType w:val="hybridMultilevel"/>
    <w:tmpl w:val="66764E02"/>
    <w:lvl w:ilvl="0" w:tplc="24FE9CB4">
      <w:start w:val="1"/>
      <w:numFmt w:val="decimal"/>
      <w:pStyle w:val="Style27"/>
      <w:lvlText w:val="3.3.1.%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pStyle w:val="Style27"/>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2A4C7129"/>
    <w:multiLevelType w:val="hybridMultilevel"/>
    <w:tmpl w:val="EE0ABC7E"/>
    <w:lvl w:ilvl="0" w:tplc="C6A68C22">
      <w:start w:val="1"/>
      <w:numFmt w:val="none"/>
      <w:lvlText w:val="5."/>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6" w15:restartNumberingAfterBreak="0">
    <w:nsid w:val="2B9106CB"/>
    <w:multiLevelType w:val="hybridMultilevel"/>
    <w:tmpl w:val="92CC1216"/>
    <w:lvl w:ilvl="0" w:tplc="6AD61530">
      <w:start w:val="1"/>
      <w:numFmt w:val="decimal"/>
      <w:pStyle w:val="Style23"/>
      <w:lvlText w:val="3.3.1.%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440" w:hanging="360"/>
      </w:pPr>
    </w:lvl>
    <w:lvl w:ilvl="2" w:tplc="0809001B" w:tentative="1">
      <w:start w:val="1"/>
      <w:numFmt w:val="lowerRoman"/>
      <w:pStyle w:val="Style23"/>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AA3A63"/>
    <w:multiLevelType w:val="hybridMultilevel"/>
    <w:tmpl w:val="47CA9DF8"/>
    <w:lvl w:ilvl="0" w:tplc="44090001">
      <w:start w:val="1"/>
      <w:numFmt w:val="bullet"/>
      <w:lvlText w:val=""/>
      <w:lvlJc w:val="left"/>
      <w:pPr>
        <w:ind w:left="785" w:hanging="360"/>
      </w:pPr>
      <w:rPr>
        <w:rFonts w:ascii="Symbol" w:hAnsi="Symbol" w:hint="default"/>
      </w:r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48" w15:restartNumberingAfterBreak="0">
    <w:nsid w:val="2D19618B"/>
    <w:multiLevelType w:val="hybridMultilevel"/>
    <w:tmpl w:val="0D04B0D2"/>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8F074E"/>
    <w:multiLevelType w:val="hybridMultilevel"/>
    <w:tmpl w:val="E5E2CC00"/>
    <w:lvl w:ilvl="0" w:tplc="CDA26042">
      <w:start w:val="1"/>
      <w:numFmt w:val="decimal"/>
      <w:pStyle w:val="Style13"/>
      <w:lvlText w:val="3.3.%1"/>
      <w:lvlJc w:val="left"/>
      <w:rPr>
        <w:rFonts w:ascii="Times New Roman" w:hAnsi="Times New Roman" w:cs="Times New Roman" w:hint="default"/>
        <w:b/>
        <w:bCs/>
        <w:i w:val="0"/>
        <w:iCs w:val="0"/>
        <w:caps w:val="0"/>
        <w:strike w:val="0"/>
        <w:dstrike w:val="0"/>
        <w:vanish w:val="0"/>
        <w:color w:val="000000"/>
        <w:spacing w:val="0"/>
        <w:kern w:val="0"/>
        <w:position w:val="0"/>
        <w:sz w:val="24"/>
        <w:szCs w:val="24"/>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2E77394E"/>
    <w:multiLevelType w:val="hybridMultilevel"/>
    <w:tmpl w:val="106666FA"/>
    <w:lvl w:ilvl="0" w:tplc="0F78F36A">
      <w:start w:val="1"/>
      <w:numFmt w:val="decimal"/>
      <w:pStyle w:val="Style33"/>
      <w:lvlText w:val="4.3.%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51" w15:restartNumberingAfterBreak="0">
    <w:nsid w:val="2EDC7954"/>
    <w:multiLevelType w:val="hybridMultilevel"/>
    <w:tmpl w:val="037039FC"/>
    <w:lvl w:ilvl="0" w:tplc="4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F2607A4"/>
    <w:multiLevelType w:val="hybridMultilevel"/>
    <w:tmpl w:val="733C2A0E"/>
    <w:lvl w:ilvl="0" w:tplc="04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2F446EC7"/>
    <w:multiLevelType w:val="hybridMultilevel"/>
    <w:tmpl w:val="F5BE0D46"/>
    <w:lvl w:ilvl="0" w:tplc="9F7E3E8C">
      <w:start w:val="1"/>
      <w:numFmt w:val="decimal"/>
      <w:pStyle w:val="Style25"/>
      <w:lvlText w:val="3.3.%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304E5787"/>
    <w:multiLevelType w:val="hybridMultilevel"/>
    <w:tmpl w:val="32EE5574"/>
    <w:lvl w:ilvl="0" w:tplc="8DEE775A">
      <w:start w:val="1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1460FB4"/>
    <w:multiLevelType w:val="hybridMultilevel"/>
    <w:tmpl w:val="2D80DB92"/>
    <w:lvl w:ilvl="0" w:tplc="9F5891AE">
      <w:start w:val="1"/>
      <w:numFmt w:val="decimal"/>
      <w:pStyle w:val="Style28"/>
      <w:lvlText w:val="3.2.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1DA4600"/>
    <w:multiLevelType w:val="hybridMultilevel"/>
    <w:tmpl w:val="CEA08054"/>
    <w:lvl w:ilvl="0" w:tplc="853483EA">
      <w:start w:val="122"/>
      <w:numFmt w:val="bullet"/>
      <w:lvlText w:val="-"/>
      <w:lvlJc w:val="left"/>
      <w:pPr>
        <w:ind w:left="720" w:hanging="360"/>
      </w:pPr>
      <w:rPr>
        <w:rFonts w:ascii="Times New Roman" w:eastAsiaTheme="minorEastAsia"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7" w15:restartNumberingAfterBreak="0">
    <w:nsid w:val="32CC7E93"/>
    <w:multiLevelType w:val="multilevel"/>
    <w:tmpl w:val="87EABB44"/>
    <w:styleLink w:val="Style213"/>
    <w:lvl w:ilvl="0">
      <w:start w:val="1"/>
      <w:numFmt w:val="decimal"/>
      <w:lvlText w:val="3.%1.3"/>
      <w:lvlJc w:val="left"/>
      <w:pPr>
        <w:ind w:left="360" w:hanging="360"/>
      </w:pPr>
      <w:rPr>
        <w:rFonts w:hint="default"/>
      </w:rPr>
    </w:lvl>
    <w:lvl w:ilvl="1">
      <w:start w:val="1"/>
      <w:numFmt w:val="none"/>
      <w:lvlText w:val="3.1"/>
      <w:lvlJc w:val="left"/>
      <w:pPr>
        <w:ind w:left="792" w:hanging="432"/>
      </w:pPr>
      <w:rPr>
        <w:rFonts w:hint="default"/>
      </w:rPr>
    </w:lvl>
    <w:lvl w:ilvl="2">
      <w:start w:val="1"/>
      <w:numFmt w:val="decimal"/>
      <w:lvlText w:val="3.%3.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38646DB"/>
    <w:multiLevelType w:val="hybridMultilevel"/>
    <w:tmpl w:val="21F63770"/>
    <w:lvl w:ilvl="0" w:tplc="4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34845BE8"/>
    <w:multiLevelType w:val="hybridMultilevel"/>
    <w:tmpl w:val="E08262C8"/>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35B34332"/>
    <w:multiLevelType w:val="hybridMultilevel"/>
    <w:tmpl w:val="760E7726"/>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1" w15:restartNumberingAfterBreak="0">
    <w:nsid w:val="364D5C54"/>
    <w:multiLevelType w:val="hybridMultilevel"/>
    <w:tmpl w:val="E89661DC"/>
    <w:styleLink w:val="firstheading1"/>
    <w:lvl w:ilvl="0" w:tplc="E89661DC">
      <w:start w:val="1"/>
      <w:numFmt w:val="decimal"/>
      <w:pStyle w:val="Style6"/>
      <w:lvlText w:val="3.2.%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start w:val="1"/>
      <w:numFmt w:val="decimal"/>
      <w:pStyle w:val="Style6"/>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38CB0ADD"/>
    <w:multiLevelType w:val="hybridMultilevel"/>
    <w:tmpl w:val="7EC24562"/>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93014B7"/>
    <w:multiLevelType w:val="hybridMultilevel"/>
    <w:tmpl w:val="A8E00C14"/>
    <w:lvl w:ilvl="0" w:tplc="0809001B">
      <w:start w:val="1"/>
      <w:numFmt w:val="lowerRoman"/>
      <w:lvlText w:val="%1."/>
      <w:lvlJc w:val="righ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64" w15:restartNumberingAfterBreak="0">
    <w:nsid w:val="3AE10620"/>
    <w:multiLevelType w:val="hybridMultilevel"/>
    <w:tmpl w:val="B4687CB2"/>
    <w:lvl w:ilvl="0" w:tplc="44090001">
      <w:start w:val="1"/>
      <w:numFmt w:val="bullet"/>
      <w:lvlText w:val=""/>
      <w:lvlJc w:val="left"/>
      <w:pPr>
        <w:ind w:left="1079" w:hanging="360"/>
      </w:pPr>
      <w:rPr>
        <w:rFonts w:ascii="Symbol" w:hAnsi="Symbol" w:hint="default"/>
      </w:rPr>
    </w:lvl>
    <w:lvl w:ilvl="1" w:tplc="44090003" w:tentative="1">
      <w:start w:val="1"/>
      <w:numFmt w:val="bullet"/>
      <w:lvlText w:val="o"/>
      <w:lvlJc w:val="left"/>
      <w:pPr>
        <w:ind w:left="1799" w:hanging="360"/>
      </w:pPr>
      <w:rPr>
        <w:rFonts w:ascii="Courier New" w:hAnsi="Courier New" w:cs="Courier New" w:hint="default"/>
      </w:rPr>
    </w:lvl>
    <w:lvl w:ilvl="2" w:tplc="44090005" w:tentative="1">
      <w:start w:val="1"/>
      <w:numFmt w:val="bullet"/>
      <w:lvlText w:val=""/>
      <w:lvlJc w:val="left"/>
      <w:pPr>
        <w:ind w:left="2519" w:hanging="360"/>
      </w:pPr>
      <w:rPr>
        <w:rFonts w:ascii="Wingdings" w:hAnsi="Wingdings" w:hint="default"/>
      </w:rPr>
    </w:lvl>
    <w:lvl w:ilvl="3" w:tplc="44090001" w:tentative="1">
      <w:start w:val="1"/>
      <w:numFmt w:val="bullet"/>
      <w:lvlText w:val=""/>
      <w:lvlJc w:val="left"/>
      <w:pPr>
        <w:ind w:left="3239" w:hanging="360"/>
      </w:pPr>
      <w:rPr>
        <w:rFonts w:ascii="Symbol" w:hAnsi="Symbol" w:hint="default"/>
      </w:rPr>
    </w:lvl>
    <w:lvl w:ilvl="4" w:tplc="44090003" w:tentative="1">
      <w:start w:val="1"/>
      <w:numFmt w:val="bullet"/>
      <w:lvlText w:val="o"/>
      <w:lvlJc w:val="left"/>
      <w:pPr>
        <w:ind w:left="3959" w:hanging="360"/>
      </w:pPr>
      <w:rPr>
        <w:rFonts w:ascii="Courier New" w:hAnsi="Courier New" w:cs="Courier New" w:hint="default"/>
      </w:rPr>
    </w:lvl>
    <w:lvl w:ilvl="5" w:tplc="44090005" w:tentative="1">
      <w:start w:val="1"/>
      <w:numFmt w:val="bullet"/>
      <w:lvlText w:val=""/>
      <w:lvlJc w:val="left"/>
      <w:pPr>
        <w:ind w:left="4679" w:hanging="360"/>
      </w:pPr>
      <w:rPr>
        <w:rFonts w:ascii="Wingdings" w:hAnsi="Wingdings" w:hint="default"/>
      </w:rPr>
    </w:lvl>
    <w:lvl w:ilvl="6" w:tplc="44090001" w:tentative="1">
      <w:start w:val="1"/>
      <w:numFmt w:val="bullet"/>
      <w:lvlText w:val=""/>
      <w:lvlJc w:val="left"/>
      <w:pPr>
        <w:ind w:left="5399" w:hanging="360"/>
      </w:pPr>
      <w:rPr>
        <w:rFonts w:ascii="Symbol" w:hAnsi="Symbol" w:hint="default"/>
      </w:rPr>
    </w:lvl>
    <w:lvl w:ilvl="7" w:tplc="44090003" w:tentative="1">
      <w:start w:val="1"/>
      <w:numFmt w:val="bullet"/>
      <w:lvlText w:val="o"/>
      <w:lvlJc w:val="left"/>
      <w:pPr>
        <w:ind w:left="6119" w:hanging="360"/>
      </w:pPr>
      <w:rPr>
        <w:rFonts w:ascii="Courier New" w:hAnsi="Courier New" w:cs="Courier New" w:hint="default"/>
      </w:rPr>
    </w:lvl>
    <w:lvl w:ilvl="8" w:tplc="44090005" w:tentative="1">
      <w:start w:val="1"/>
      <w:numFmt w:val="bullet"/>
      <w:lvlText w:val=""/>
      <w:lvlJc w:val="left"/>
      <w:pPr>
        <w:ind w:left="6839" w:hanging="360"/>
      </w:pPr>
      <w:rPr>
        <w:rFonts w:ascii="Wingdings" w:hAnsi="Wingdings" w:hint="default"/>
      </w:rPr>
    </w:lvl>
  </w:abstractNum>
  <w:abstractNum w:abstractNumId="65" w15:restartNumberingAfterBreak="0">
    <w:nsid w:val="3B0456A3"/>
    <w:multiLevelType w:val="hybridMultilevel"/>
    <w:tmpl w:val="C93A2D28"/>
    <w:lvl w:ilvl="0" w:tplc="9CD4EF60">
      <w:start w:val="1"/>
      <w:numFmt w:val="decimal"/>
      <w:pStyle w:val="Style29"/>
      <w:lvlText w:val="3.1.3.%1"/>
      <w:lvlJc w:val="left"/>
      <w:rPr>
        <w:rFonts w:ascii="Times New Roman" w:hAnsi="Times New Roman" w:cs="Times New Roman" w:hint="default"/>
        <w:b/>
        <w:bCs/>
        <w:i w:val="0"/>
        <w:iCs w:val="0"/>
        <w:caps w:val="0"/>
        <w:strike w:val="0"/>
        <w:dstrike w:val="0"/>
        <w:vanish w:val="0"/>
        <w:color w:val="000000"/>
        <w:spacing w:val="0"/>
        <w:kern w:val="0"/>
        <w:position w:val="0"/>
        <w:sz w:val="24"/>
        <w:szCs w:val="24"/>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 w15:restartNumberingAfterBreak="0">
    <w:nsid w:val="3B4620F2"/>
    <w:multiLevelType w:val="hybridMultilevel"/>
    <w:tmpl w:val="9376A9F0"/>
    <w:lvl w:ilvl="0" w:tplc="E8E8D392">
      <w:start w:val="1"/>
      <w:numFmt w:val="decimal"/>
      <w:pStyle w:val="Style51"/>
      <w:lvlText w:val="1.2.%1"/>
      <w:lvlJc w:val="left"/>
      <w:pPr>
        <w:ind w:left="360" w:hanging="360"/>
      </w:pPr>
      <w:rPr>
        <w:rFonts w:ascii="Times New Roman" w:hAnsi="Times New Roman" w:cs="Times New Roman"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3B5B5580"/>
    <w:multiLevelType w:val="hybridMultilevel"/>
    <w:tmpl w:val="0E8A3ECC"/>
    <w:lvl w:ilvl="0" w:tplc="961E9484">
      <w:start w:val="1"/>
      <w:numFmt w:val="decimal"/>
      <w:pStyle w:val="Style19"/>
      <w:lvlText w:val="3.1.3.3.%1"/>
      <w:lvlJc w:val="left"/>
      <w:rPr>
        <w:rFonts w:hint="default"/>
        <w:b/>
        <w:bCs/>
        <w:i w:val="0"/>
        <w:iCs w:val="0"/>
        <w:caps w:val="0"/>
        <w:smallCaps w:val="0"/>
        <w:strike w:val="0"/>
        <w:dstrike w:val="0"/>
        <w:vanish w:val="0"/>
        <w:color w:val="auto"/>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pStyle w:val="Style19"/>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8" w15:restartNumberingAfterBreak="0">
    <w:nsid w:val="3BC07A01"/>
    <w:multiLevelType w:val="multilevel"/>
    <w:tmpl w:val="7832B46E"/>
    <w:lvl w:ilvl="0">
      <w:start w:val="1"/>
      <w:numFmt w:val="none"/>
      <w:pStyle w:val="style1"/>
      <w:lvlText w:val="Appendices "/>
      <w:lvlJc w:val="left"/>
      <w:pPr>
        <w:ind w:left="0" w:firstLine="0"/>
      </w:pPr>
      <w:rPr>
        <w:rFonts w:ascii="Times New Roman" w:hAnsi="Times New Roman" w:hint="default"/>
        <w:b/>
        <w:i w:val="0"/>
        <w:sz w:val="3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3E190BA4"/>
    <w:multiLevelType w:val="hybridMultilevel"/>
    <w:tmpl w:val="8DC8950C"/>
    <w:lvl w:ilvl="0" w:tplc="08090011">
      <w:start w:val="1"/>
      <w:numFmt w:val="decimal"/>
      <w:lvlText w:val="%1)"/>
      <w:lvlJc w:val="left"/>
      <w:pPr>
        <w:ind w:left="1859" w:hanging="360"/>
      </w:pPr>
    </w:lvl>
    <w:lvl w:ilvl="1" w:tplc="08090019" w:tentative="1">
      <w:start w:val="1"/>
      <w:numFmt w:val="lowerLetter"/>
      <w:lvlText w:val="%2."/>
      <w:lvlJc w:val="left"/>
      <w:pPr>
        <w:ind w:left="2579" w:hanging="360"/>
      </w:pPr>
    </w:lvl>
    <w:lvl w:ilvl="2" w:tplc="0809001B" w:tentative="1">
      <w:start w:val="1"/>
      <w:numFmt w:val="lowerRoman"/>
      <w:lvlText w:val="%3."/>
      <w:lvlJc w:val="right"/>
      <w:pPr>
        <w:ind w:left="3299" w:hanging="180"/>
      </w:pPr>
    </w:lvl>
    <w:lvl w:ilvl="3" w:tplc="0809000F" w:tentative="1">
      <w:start w:val="1"/>
      <w:numFmt w:val="decimal"/>
      <w:lvlText w:val="%4."/>
      <w:lvlJc w:val="left"/>
      <w:pPr>
        <w:ind w:left="4019" w:hanging="360"/>
      </w:pPr>
    </w:lvl>
    <w:lvl w:ilvl="4" w:tplc="08090019" w:tentative="1">
      <w:start w:val="1"/>
      <w:numFmt w:val="lowerLetter"/>
      <w:lvlText w:val="%5."/>
      <w:lvlJc w:val="left"/>
      <w:pPr>
        <w:ind w:left="4739" w:hanging="360"/>
      </w:pPr>
    </w:lvl>
    <w:lvl w:ilvl="5" w:tplc="0809001B" w:tentative="1">
      <w:start w:val="1"/>
      <w:numFmt w:val="lowerRoman"/>
      <w:lvlText w:val="%6."/>
      <w:lvlJc w:val="right"/>
      <w:pPr>
        <w:ind w:left="5459" w:hanging="180"/>
      </w:pPr>
    </w:lvl>
    <w:lvl w:ilvl="6" w:tplc="0809000F" w:tentative="1">
      <w:start w:val="1"/>
      <w:numFmt w:val="decimal"/>
      <w:lvlText w:val="%7."/>
      <w:lvlJc w:val="left"/>
      <w:pPr>
        <w:ind w:left="6179" w:hanging="360"/>
      </w:pPr>
    </w:lvl>
    <w:lvl w:ilvl="7" w:tplc="08090019" w:tentative="1">
      <w:start w:val="1"/>
      <w:numFmt w:val="lowerLetter"/>
      <w:lvlText w:val="%8."/>
      <w:lvlJc w:val="left"/>
      <w:pPr>
        <w:ind w:left="6899" w:hanging="360"/>
      </w:pPr>
    </w:lvl>
    <w:lvl w:ilvl="8" w:tplc="0809001B" w:tentative="1">
      <w:start w:val="1"/>
      <w:numFmt w:val="lowerRoman"/>
      <w:lvlText w:val="%9."/>
      <w:lvlJc w:val="right"/>
      <w:pPr>
        <w:ind w:left="7619" w:hanging="180"/>
      </w:pPr>
    </w:lvl>
  </w:abstractNum>
  <w:abstractNum w:abstractNumId="70" w15:restartNumberingAfterBreak="0">
    <w:nsid w:val="3E7F560C"/>
    <w:multiLevelType w:val="hybridMultilevel"/>
    <w:tmpl w:val="90EC1300"/>
    <w:lvl w:ilvl="0" w:tplc="537E8FD8">
      <w:start w:val="1"/>
      <w:numFmt w:val="decimal"/>
      <w:pStyle w:val="Style39"/>
      <w:lvlText w:val="5.3.1.%1"/>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71" w15:restartNumberingAfterBreak="0">
    <w:nsid w:val="40635281"/>
    <w:multiLevelType w:val="hybridMultilevel"/>
    <w:tmpl w:val="A68CEC44"/>
    <w:lvl w:ilvl="0" w:tplc="A342869A">
      <w:start w:val="1"/>
      <w:numFmt w:val="decimal"/>
      <w:pStyle w:val="TOC6"/>
      <w:lvlText w:val="%1."/>
      <w:lvlJc w:val="left"/>
      <w:pPr>
        <w:ind w:left="1600" w:hanging="360"/>
      </w:pPr>
    </w:lvl>
    <w:lvl w:ilvl="1" w:tplc="44090019" w:tentative="1">
      <w:start w:val="1"/>
      <w:numFmt w:val="lowerLetter"/>
      <w:lvlText w:val="%2."/>
      <w:lvlJc w:val="left"/>
      <w:pPr>
        <w:ind w:left="2320" w:hanging="360"/>
      </w:pPr>
    </w:lvl>
    <w:lvl w:ilvl="2" w:tplc="4409001B" w:tentative="1">
      <w:start w:val="1"/>
      <w:numFmt w:val="lowerRoman"/>
      <w:lvlText w:val="%3."/>
      <w:lvlJc w:val="right"/>
      <w:pPr>
        <w:ind w:left="3040" w:hanging="180"/>
      </w:pPr>
    </w:lvl>
    <w:lvl w:ilvl="3" w:tplc="4409000F" w:tentative="1">
      <w:start w:val="1"/>
      <w:numFmt w:val="decimal"/>
      <w:lvlText w:val="%4."/>
      <w:lvlJc w:val="left"/>
      <w:pPr>
        <w:ind w:left="3760" w:hanging="360"/>
      </w:pPr>
    </w:lvl>
    <w:lvl w:ilvl="4" w:tplc="44090019" w:tentative="1">
      <w:start w:val="1"/>
      <w:numFmt w:val="lowerLetter"/>
      <w:lvlText w:val="%5."/>
      <w:lvlJc w:val="left"/>
      <w:pPr>
        <w:ind w:left="4480" w:hanging="360"/>
      </w:pPr>
    </w:lvl>
    <w:lvl w:ilvl="5" w:tplc="4409001B" w:tentative="1">
      <w:start w:val="1"/>
      <w:numFmt w:val="lowerRoman"/>
      <w:lvlText w:val="%6."/>
      <w:lvlJc w:val="right"/>
      <w:pPr>
        <w:ind w:left="5200" w:hanging="180"/>
      </w:pPr>
    </w:lvl>
    <w:lvl w:ilvl="6" w:tplc="4409000F" w:tentative="1">
      <w:start w:val="1"/>
      <w:numFmt w:val="decimal"/>
      <w:lvlText w:val="%7."/>
      <w:lvlJc w:val="left"/>
      <w:pPr>
        <w:ind w:left="5920" w:hanging="360"/>
      </w:pPr>
    </w:lvl>
    <w:lvl w:ilvl="7" w:tplc="44090019" w:tentative="1">
      <w:start w:val="1"/>
      <w:numFmt w:val="lowerLetter"/>
      <w:lvlText w:val="%8."/>
      <w:lvlJc w:val="left"/>
      <w:pPr>
        <w:ind w:left="6640" w:hanging="360"/>
      </w:pPr>
    </w:lvl>
    <w:lvl w:ilvl="8" w:tplc="4409001B" w:tentative="1">
      <w:start w:val="1"/>
      <w:numFmt w:val="lowerRoman"/>
      <w:lvlText w:val="%9."/>
      <w:lvlJc w:val="right"/>
      <w:pPr>
        <w:ind w:left="7360" w:hanging="180"/>
      </w:pPr>
    </w:lvl>
  </w:abstractNum>
  <w:abstractNum w:abstractNumId="72" w15:restartNumberingAfterBreak="0">
    <w:nsid w:val="406653ED"/>
    <w:multiLevelType w:val="multilevel"/>
    <w:tmpl w:val="6414C810"/>
    <w:lvl w:ilvl="0">
      <w:start w:val="1"/>
      <w:numFmt w:val="decimal"/>
      <w:suff w:val="space"/>
      <w:lvlText w:val="Appendix %1"/>
      <w:lvlJc w:val="left"/>
      <w:pPr>
        <w:ind w:left="0" w:firstLine="0"/>
      </w:pPr>
      <w:rPr>
        <w:rFonts w:hint="default"/>
      </w:rPr>
    </w:lvl>
    <w:lvl w:ilvl="1">
      <w:start w:val="1"/>
      <w:numFmt w:val="decimal"/>
      <w:suff w:val="space"/>
      <w:lvlText w:val="%1.%2"/>
      <w:lvlJc w:val="left"/>
      <w:pPr>
        <w:ind w:left="0" w:firstLine="0"/>
      </w:pPr>
      <w:rPr>
        <w:rFonts w:ascii="Times New Roman" w:hAnsi="Times New Roman" w:hint="default"/>
        <w:b/>
        <w:i w:val="0"/>
        <w:color w:val="auto"/>
        <w:sz w:val="24"/>
      </w:rPr>
    </w:lvl>
    <w:lvl w:ilvl="2">
      <w:start w:val="1"/>
      <w:numFmt w:val="decimal"/>
      <w:suff w:val="space"/>
      <w:lvlText w:val="%1.%2.%3"/>
      <w:lvlJc w:val="right"/>
      <w:pPr>
        <w:ind w:left="113" w:firstLine="738"/>
      </w:pPr>
      <w:rPr>
        <w:rFonts w:ascii="Times New Roman" w:hAnsi="Times New Roman" w:hint="default"/>
        <w:b/>
        <w:i w:val="0"/>
        <w:sz w:val="24"/>
      </w:rPr>
    </w:lvl>
    <w:lvl w:ilvl="3">
      <w:start w:val="1"/>
      <w:numFmt w:val="decimal"/>
      <w:pStyle w:val="Heading5"/>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pStyle w:val="Heading6"/>
      <w:suff w:val="space"/>
      <w:lvlText w:val="Appendix %6"/>
      <w:lvlJc w:val="right"/>
      <w:pPr>
        <w:ind w:left="0" w:firstLine="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3" w15:restartNumberingAfterBreak="0">
    <w:nsid w:val="40A069D5"/>
    <w:multiLevelType w:val="multilevel"/>
    <w:tmpl w:val="BC384388"/>
    <w:styleLink w:val="Style40"/>
    <w:lvl w:ilvl="0">
      <w:start w:val="1"/>
      <w:numFmt w:val="decimal"/>
      <w:lvlText w:val="2.3.%1"/>
      <w:lvlJc w:val="left"/>
      <w:pPr>
        <w:ind w:left="360" w:hanging="360"/>
      </w:pPr>
      <w:rPr>
        <w:rFonts w:hint="default"/>
      </w:rPr>
    </w:lvl>
    <w:lvl w:ilvl="1">
      <w:start w:val="1"/>
      <w:numFmt w:val="decimal"/>
      <w:suff w:val="space"/>
      <w:lvlText w:val="%1.%2"/>
      <w:lvlJc w:val="left"/>
      <w:pPr>
        <w:ind w:left="1080" w:hanging="360"/>
      </w:pPr>
      <w:rPr>
        <w:rFonts w:ascii="Times New Roman" w:hAnsi="Times New Roman" w:hint="default"/>
        <w:b/>
        <w:i w:val="0"/>
        <w:color w:val="auto"/>
        <w:sz w:val="24"/>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4" w15:restartNumberingAfterBreak="0">
    <w:nsid w:val="416A38F1"/>
    <w:multiLevelType w:val="hybridMultilevel"/>
    <w:tmpl w:val="5FA22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1A816F2"/>
    <w:multiLevelType w:val="hybridMultilevel"/>
    <w:tmpl w:val="0BB8F37E"/>
    <w:lvl w:ilvl="0" w:tplc="20B8A828">
      <w:start w:val="1"/>
      <w:numFmt w:val="decimal"/>
      <w:pStyle w:val="Subtitle1"/>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42481680"/>
    <w:multiLevelType w:val="hybridMultilevel"/>
    <w:tmpl w:val="CC30E676"/>
    <w:lvl w:ilvl="0" w:tplc="04090001">
      <w:start w:val="1"/>
      <w:numFmt w:val="bullet"/>
      <w:lvlText w:val=""/>
      <w:lvlJc w:val="left"/>
      <w:pPr>
        <w:ind w:left="649" w:hanging="360"/>
      </w:pPr>
      <w:rPr>
        <w:rFonts w:ascii="Symbol" w:hAnsi="Symbol" w:hint="default"/>
      </w:rPr>
    </w:lvl>
    <w:lvl w:ilvl="1" w:tplc="08090019" w:tentative="1">
      <w:start w:val="1"/>
      <w:numFmt w:val="lowerLetter"/>
      <w:lvlText w:val="%2."/>
      <w:lvlJc w:val="left"/>
      <w:pPr>
        <w:ind w:left="1369" w:hanging="360"/>
      </w:pPr>
    </w:lvl>
    <w:lvl w:ilvl="2" w:tplc="0809001B" w:tentative="1">
      <w:start w:val="1"/>
      <w:numFmt w:val="lowerRoman"/>
      <w:lvlText w:val="%3."/>
      <w:lvlJc w:val="right"/>
      <w:pPr>
        <w:ind w:left="2089" w:hanging="180"/>
      </w:pPr>
    </w:lvl>
    <w:lvl w:ilvl="3" w:tplc="0809000F" w:tentative="1">
      <w:start w:val="1"/>
      <w:numFmt w:val="decimal"/>
      <w:lvlText w:val="%4."/>
      <w:lvlJc w:val="left"/>
      <w:pPr>
        <w:ind w:left="2809" w:hanging="360"/>
      </w:pPr>
    </w:lvl>
    <w:lvl w:ilvl="4" w:tplc="08090019" w:tentative="1">
      <w:start w:val="1"/>
      <w:numFmt w:val="lowerLetter"/>
      <w:lvlText w:val="%5."/>
      <w:lvlJc w:val="left"/>
      <w:pPr>
        <w:ind w:left="3529" w:hanging="360"/>
      </w:pPr>
    </w:lvl>
    <w:lvl w:ilvl="5" w:tplc="0809001B" w:tentative="1">
      <w:start w:val="1"/>
      <w:numFmt w:val="lowerRoman"/>
      <w:lvlText w:val="%6."/>
      <w:lvlJc w:val="right"/>
      <w:pPr>
        <w:ind w:left="4249" w:hanging="180"/>
      </w:pPr>
    </w:lvl>
    <w:lvl w:ilvl="6" w:tplc="0809000F" w:tentative="1">
      <w:start w:val="1"/>
      <w:numFmt w:val="decimal"/>
      <w:lvlText w:val="%7."/>
      <w:lvlJc w:val="left"/>
      <w:pPr>
        <w:ind w:left="4969" w:hanging="360"/>
      </w:pPr>
    </w:lvl>
    <w:lvl w:ilvl="7" w:tplc="08090019" w:tentative="1">
      <w:start w:val="1"/>
      <w:numFmt w:val="lowerLetter"/>
      <w:lvlText w:val="%8."/>
      <w:lvlJc w:val="left"/>
      <w:pPr>
        <w:ind w:left="5689" w:hanging="360"/>
      </w:pPr>
    </w:lvl>
    <w:lvl w:ilvl="8" w:tplc="0809001B" w:tentative="1">
      <w:start w:val="1"/>
      <w:numFmt w:val="lowerRoman"/>
      <w:lvlText w:val="%9."/>
      <w:lvlJc w:val="right"/>
      <w:pPr>
        <w:ind w:left="6409" w:hanging="180"/>
      </w:pPr>
    </w:lvl>
  </w:abstractNum>
  <w:abstractNum w:abstractNumId="77" w15:restartNumberingAfterBreak="0">
    <w:nsid w:val="43152F38"/>
    <w:multiLevelType w:val="hybridMultilevel"/>
    <w:tmpl w:val="B45E0EC8"/>
    <w:lvl w:ilvl="0" w:tplc="6FB4E182">
      <w:start w:val="1"/>
      <w:numFmt w:val="decimal"/>
      <w:pStyle w:val="Style4-1"/>
      <w:lvlText w:val="4.%1"/>
      <w:lvlJc w:val="left"/>
      <w:rPr>
        <w:rFonts w:ascii="Times New Roman" w:hAnsi="Times New Roman" w:cstheme="majorHAnsi" w:hint="default"/>
        <w:b/>
        <w:bCs w:val="0"/>
        <w:i w:val="0"/>
        <w:iCs w:val="0"/>
        <w:caps w:val="0"/>
        <w:smallCaps w:val="0"/>
        <w:strike w:val="0"/>
        <w:dstrike w:val="0"/>
        <w:noProof w:val="0"/>
        <w:snapToGrid w:val="0"/>
        <w:vanish w:val="0"/>
        <w:color w:val="000000"/>
        <w:spacing w:val="0"/>
        <w:w w:val="0"/>
        <w:kern w:val="0"/>
        <w:position w:val="0"/>
        <w:sz w:val="24"/>
        <w:szCs w:val="28"/>
        <w:u w:val="none" w:color="000000"/>
        <w:effect w:val="none"/>
        <w:bdr w:val="none" w:sz="0" w:space="0" w:color="000000"/>
        <w:shd w:val="clear" w:color="000000" w:fill="000000"/>
        <w:vertAlign w:val="baseline"/>
        <w:em w:val="none"/>
        <w:lang w:val="x-none" w:eastAsia="x-none" w:bidi="x-none"/>
        <w:specVanish w:val="0"/>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8" w15:restartNumberingAfterBreak="0">
    <w:nsid w:val="44245618"/>
    <w:multiLevelType w:val="multilevel"/>
    <w:tmpl w:val="BD1C6146"/>
    <w:styleLink w:val="Style113"/>
    <w:lvl w:ilvl="0">
      <w:start w:val="1"/>
      <w:numFmt w:val="decimal"/>
      <w:lvlText w:val="3.%1"/>
      <w:lvlJc w:val="left"/>
      <w:pPr>
        <w:ind w:left="360" w:hanging="360"/>
      </w:pPr>
      <w:rPr>
        <w:rFonts w:hint="default"/>
      </w:rPr>
    </w:lvl>
    <w:lvl w:ilvl="1">
      <w:start w:val="2"/>
      <w:numFmt w:val="decimal"/>
      <w:lvlText w:val="3.%2"/>
      <w:lvlJc w:val="left"/>
      <w:pPr>
        <w:ind w:left="1080" w:hanging="360"/>
      </w:pPr>
      <w:rPr>
        <w:rFonts w:hint="default"/>
      </w:r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9" w15:restartNumberingAfterBreak="0">
    <w:nsid w:val="44564DAF"/>
    <w:multiLevelType w:val="hybridMultilevel"/>
    <w:tmpl w:val="7B20DBAE"/>
    <w:lvl w:ilvl="0" w:tplc="27F2CFCC">
      <w:start w:val="5"/>
      <w:numFmt w:val="bullet"/>
      <w:lvlText w:val="—"/>
      <w:lvlJc w:val="left"/>
      <w:pPr>
        <w:ind w:left="720" w:hanging="360"/>
      </w:pPr>
      <w:rPr>
        <w:rFonts w:ascii="Times New Roman" w:eastAsia="Calibri"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0" w15:restartNumberingAfterBreak="0">
    <w:nsid w:val="44D56B5A"/>
    <w:multiLevelType w:val="hybridMultilevel"/>
    <w:tmpl w:val="B4521CC6"/>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465C7E94"/>
    <w:multiLevelType w:val="hybridMultilevel"/>
    <w:tmpl w:val="2C287812"/>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2" w15:restartNumberingAfterBreak="0">
    <w:nsid w:val="4672532C"/>
    <w:multiLevelType w:val="hybridMultilevel"/>
    <w:tmpl w:val="C468804E"/>
    <w:lvl w:ilvl="0" w:tplc="AFAE243E">
      <w:start w:val="1"/>
      <w:numFmt w:val="upperLetter"/>
      <w:lvlText w:val="%1)"/>
      <w:lvlJc w:val="left"/>
      <w:pPr>
        <w:ind w:left="360" w:hanging="360"/>
      </w:pPr>
      <w:rPr>
        <w:rFonts w:ascii="Times New Roman" w:eastAsia="Times New Roman" w:hAnsi="Times New Roman" w:cs="Times New Roman" w:hint="default"/>
        <w:sz w:val="24"/>
      </w:rPr>
    </w:lvl>
    <w:lvl w:ilvl="1" w:tplc="44090019" w:tentative="1">
      <w:start w:val="1"/>
      <w:numFmt w:val="lowerLetter"/>
      <w:pStyle w:val="Style12"/>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83" w15:restartNumberingAfterBreak="0">
    <w:nsid w:val="477C2A50"/>
    <w:multiLevelType w:val="hybridMultilevel"/>
    <w:tmpl w:val="A3B6FCA4"/>
    <w:lvl w:ilvl="0" w:tplc="36C44ECE">
      <w:start w:val="1"/>
      <w:numFmt w:val="lowerLetter"/>
      <w:lvlText w:val="%1)"/>
      <w:lvlJc w:val="left"/>
      <w:pPr>
        <w:ind w:left="720" w:hanging="360"/>
      </w:pPr>
      <w:rPr>
        <w:rFonts w:hint="default"/>
        <w:sz w:val="24"/>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4" w15:restartNumberingAfterBreak="0">
    <w:nsid w:val="477F0483"/>
    <w:multiLevelType w:val="hybridMultilevel"/>
    <w:tmpl w:val="701C6BF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5" w15:restartNumberingAfterBreak="0">
    <w:nsid w:val="47B94B5A"/>
    <w:multiLevelType w:val="hybridMultilevel"/>
    <w:tmpl w:val="04FA4E64"/>
    <w:lvl w:ilvl="0" w:tplc="A8D8D37C">
      <w:start w:val="1"/>
      <w:numFmt w:val="decimal"/>
      <w:pStyle w:val="Style10"/>
      <w:lvlText w:val="3.1.1.%1"/>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619ADFE6">
      <w:start w:val="1"/>
      <w:numFmt w:val="lowerLetter"/>
      <w:lvlText w:val="%2."/>
      <w:lvlJc w:val="left"/>
      <w:pPr>
        <w:ind w:left="1080" w:hanging="360"/>
      </w:pPr>
    </w:lvl>
    <w:lvl w:ilvl="2" w:tplc="153626CE" w:tentative="1">
      <w:start w:val="1"/>
      <w:numFmt w:val="lowerRoman"/>
      <w:pStyle w:val="Style10"/>
      <w:lvlText w:val="%3."/>
      <w:lvlJc w:val="right"/>
      <w:pPr>
        <w:ind w:left="1800" w:hanging="180"/>
      </w:pPr>
    </w:lvl>
    <w:lvl w:ilvl="3" w:tplc="FB26A87E" w:tentative="1">
      <w:start w:val="1"/>
      <w:numFmt w:val="decimal"/>
      <w:lvlText w:val="%4."/>
      <w:lvlJc w:val="left"/>
      <w:pPr>
        <w:ind w:left="2520" w:hanging="360"/>
      </w:pPr>
    </w:lvl>
    <w:lvl w:ilvl="4" w:tplc="61568D68" w:tentative="1">
      <w:start w:val="1"/>
      <w:numFmt w:val="lowerLetter"/>
      <w:lvlText w:val="%5."/>
      <w:lvlJc w:val="left"/>
      <w:pPr>
        <w:ind w:left="3240" w:hanging="360"/>
      </w:pPr>
    </w:lvl>
    <w:lvl w:ilvl="5" w:tplc="657E28BC" w:tentative="1">
      <w:start w:val="1"/>
      <w:numFmt w:val="lowerRoman"/>
      <w:lvlText w:val="%6."/>
      <w:lvlJc w:val="right"/>
      <w:pPr>
        <w:ind w:left="3960" w:hanging="180"/>
      </w:pPr>
    </w:lvl>
    <w:lvl w:ilvl="6" w:tplc="14767BC0" w:tentative="1">
      <w:start w:val="1"/>
      <w:numFmt w:val="decimal"/>
      <w:lvlText w:val="%7."/>
      <w:lvlJc w:val="left"/>
      <w:pPr>
        <w:ind w:left="4680" w:hanging="360"/>
      </w:pPr>
    </w:lvl>
    <w:lvl w:ilvl="7" w:tplc="D0945334" w:tentative="1">
      <w:start w:val="1"/>
      <w:numFmt w:val="lowerLetter"/>
      <w:lvlText w:val="%8."/>
      <w:lvlJc w:val="left"/>
      <w:pPr>
        <w:ind w:left="5400" w:hanging="360"/>
      </w:pPr>
    </w:lvl>
    <w:lvl w:ilvl="8" w:tplc="6C06891E" w:tentative="1">
      <w:start w:val="1"/>
      <w:numFmt w:val="lowerRoman"/>
      <w:lvlText w:val="%9."/>
      <w:lvlJc w:val="right"/>
      <w:pPr>
        <w:ind w:left="6120" w:hanging="180"/>
      </w:pPr>
    </w:lvl>
  </w:abstractNum>
  <w:abstractNum w:abstractNumId="86" w15:restartNumberingAfterBreak="0">
    <w:nsid w:val="481E68CE"/>
    <w:multiLevelType w:val="hybridMultilevel"/>
    <w:tmpl w:val="FE9A0312"/>
    <w:styleLink w:val="ImportedStyle19"/>
    <w:lvl w:ilvl="0" w:tplc="0D386E8C">
      <w:start w:val="1"/>
      <w:numFmt w:val="lowerRoman"/>
      <w:lvlText w:val="%1."/>
      <w:lvlJc w:val="left"/>
      <w:rPr>
        <w:rFonts w:hAnsi="Arial Unicode MS"/>
        <w:caps w:val="0"/>
        <w:smallCaps w:val="0"/>
        <w:strike w:val="0"/>
        <w:dstrike w:val="0"/>
        <w:color w:val="000000"/>
        <w:spacing w:val="0"/>
        <w:w w:val="100"/>
        <w:kern w:val="0"/>
        <w:position w:val="0"/>
        <w:highlight w:val="none"/>
        <w:vertAlign w:val="baseline"/>
      </w:rPr>
    </w:lvl>
    <w:lvl w:ilvl="1" w:tplc="84CE3E2C">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rPr>
    </w:lvl>
    <w:lvl w:ilvl="2" w:tplc="855EF914">
      <w:start w:val="1"/>
      <w:numFmt w:val="lowerRoman"/>
      <w:lvlText w:val="%3."/>
      <w:lvlJc w:val="left"/>
      <w:rPr>
        <w:rFonts w:hAnsi="Arial Unicode MS"/>
        <w:caps w:val="0"/>
        <w:smallCaps w:val="0"/>
        <w:strike w:val="0"/>
        <w:dstrike w:val="0"/>
        <w:color w:val="000000"/>
        <w:spacing w:val="0"/>
        <w:w w:val="100"/>
        <w:kern w:val="0"/>
        <w:position w:val="0"/>
        <w:highlight w:val="none"/>
        <w:vertAlign w:val="baseline"/>
      </w:rPr>
    </w:lvl>
    <w:lvl w:ilvl="3" w:tplc="2E363758">
      <w:start w:val="1"/>
      <w:numFmt w:val="decimal"/>
      <w:lvlText w:val="%4."/>
      <w:lvlJc w:val="left"/>
      <w:rPr>
        <w:rFonts w:hAnsi="Arial Unicode MS"/>
        <w:caps w:val="0"/>
        <w:smallCaps w:val="0"/>
        <w:strike w:val="0"/>
        <w:dstrike w:val="0"/>
        <w:color w:val="000000"/>
        <w:spacing w:val="0"/>
        <w:w w:val="100"/>
        <w:kern w:val="0"/>
        <w:position w:val="0"/>
        <w:highlight w:val="none"/>
        <w:vertAlign w:val="baseline"/>
      </w:rPr>
    </w:lvl>
    <w:lvl w:ilvl="4" w:tplc="B1FCB33C">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rPr>
    </w:lvl>
    <w:lvl w:ilvl="5" w:tplc="BA5E2240">
      <w:start w:val="1"/>
      <w:numFmt w:val="lowerRoman"/>
      <w:lvlText w:val="%6."/>
      <w:lvlJc w:val="left"/>
      <w:rPr>
        <w:rFonts w:hAnsi="Arial Unicode MS"/>
        <w:caps w:val="0"/>
        <w:smallCaps w:val="0"/>
        <w:strike w:val="0"/>
        <w:dstrike w:val="0"/>
        <w:color w:val="000000"/>
        <w:spacing w:val="0"/>
        <w:w w:val="100"/>
        <w:kern w:val="0"/>
        <w:position w:val="0"/>
        <w:highlight w:val="none"/>
        <w:vertAlign w:val="baseline"/>
      </w:rPr>
    </w:lvl>
    <w:lvl w:ilvl="6" w:tplc="7D28F380">
      <w:start w:val="1"/>
      <w:numFmt w:val="decimal"/>
      <w:lvlText w:val="%7."/>
      <w:lvlJc w:val="left"/>
      <w:rPr>
        <w:rFonts w:hAnsi="Arial Unicode MS"/>
        <w:caps w:val="0"/>
        <w:smallCaps w:val="0"/>
        <w:strike w:val="0"/>
        <w:dstrike w:val="0"/>
        <w:color w:val="000000"/>
        <w:spacing w:val="0"/>
        <w:w w:val="100"/>
        <w:kern w:val="0"/>
        <w:position w:val="0"/>
        <w:highlight w:val="none"/>
        <w:vertAlign w:val="baseline"/>
      </w:rPr>
    </w:lvl>
    <w:lvl w:ilvl="7" w:tplc="07A224F4">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rPr>
    </w:lvl>
    <w:lvl w:ilvl="8" w:tplc="09962890">
      <w:start w:val="1"/>
      <w:numFmt w:val="lowerRoman"/>
      <w:lvlText w:val="%9."/>
      <w:lvlJc w:val="left"/>
      <w:rPr>
        <w:rFonts w:hAnsi="Arial Unicode MS"/>
        <w:caps w:val="0"/>
        <w:smallCaps w:val="0"/>
        <w:strike w:val="0"/>
        <w:dstrike w:val="0"/>
        <w:color w:val="000000"/>
        <w:spacing w:val="0"/>
        <w:w w:val="100"/>
        <w:kern w:val="0"/>
        <w:position w:val="0"/>
        <w:highlight w:val="none"/>
        <w:vertAlign w:val="baseline"/>
      </w:rPr>
    </w:lvl>
  </w:abstractNum>
  <w:abstractNum w:abstractNumId="87" w15:restartNumberingAfterBreak="0">
    <w:nsid w:val="48396BC9"/>
    <w:multiLevelType w:val="hybridMultilevel"/>
    <w:tmpl w:val="24900964"/>
    <w:lvl w:ilvl="0" w:tplc="89588BB2">
      <w:start w:val="1"/>
      <w:numFmt w:val="decimal"/>
      <w:pStyle w:val="Style411"/>
      <w:lvlText w:val="4.1.%1"/>
      <w:lvlJc w:val="left"/>
      <w:pPr>
        <w:ind w:left="360" w:hanging="360"/>
      </w:pPr>
      <w:rPr>
        <w:rFonts w:ascii="Times New Roman" w:hAnsi="Times New Roman" w:cstheme="majorHAnsi" w:hint="default"/>
        <w:b/>
        <w:i w:val="0"/>
        <w:sz w:val="24"/>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88" w15:restartNumberingAfterBreak="0">
    <w:nsid w:val="4851026F"/>
    <w:multiLevelType w:val="hybridMultilevel"/>
    <w:tmpl w:val="0F4AC7D2"/>
    <w:lvl w:ilvl="0" w:tplc="853483EA">
      <w:start w:val="122"/>
      <w:numFmt w:val="bullet"/>
      <w:lvlText w:val="-"/>
      <w:lvlJc w:val="left"/>
      <w:pPr>
        <w:ind w:left="720" w:hanging="360"/>
      </w:pPr>
      <w:rPr>
        <w:rFonts w:ascii="Times New Roman" w:eastAsiaTheme="minorEastAsia"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9" w15:restartNumberingAfterBreak="0">
    <w:nsid w:val="487B6B2B"/>
    <w:multiLevelType w:val="hybridMultilevel"/>
    <w:tmpl w:val="1C1E24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4B4E3E74"/>
    <w:multiLevelType w:val="hybridMultilevel"/>
    <w:tmpl w:val="34564CF0"/>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91" w15:restartNumberingAfterBreak="0">
    <w:nsid w:val="4C4E1F99"/>
    <w:multiLevelType w:val="multilevel"/>
    <w:tmpl w:val="5CD6E920"/>
    <w:lvl w:ilvl="0">
      <w:start w:val="1"/>
      <w:numFmt w:val="decimal"/>
      <w:suff w:val="space"/>
      <w:lvlText w:val="Appendix 3.%1:"/>
      <w:lvlJc w:val="left"/>
      <w:pPr>
        <w:ind w:left="0" w:firstLine="0"/>
      </w:pPr>
      <w:rPr>
        <w:rFonts w:ascii="Times New Roman" w:hAnsi="Times New Roman" w:hint="default"/>
        <w:b/>
        <w:i w:val="0"/>
        <w:color w:val="000000" w:themeColor="text1"/>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2"/>
      <w:numFmt w:val="none"/>
      <w:suff w:val="space"/>
      <w:lvlText w:val=""/>
      <w:lvlJc w:val="left"/>
      <w:pPr>
        <w:ind w:left="0" w:firstLine="2160"/>
      </w:pPr>
      <w:rPr>
        <w:rFonts w:ascii="Times New Roman" w:hAnsi="Times New Roman" w:hint="default"/>
        <w:b/>
        <w:i w:val="0"/>
        <w:sz w:val="24"/>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15:restartNumberingAfterBreak="0">
    <w:nsid w:val="4CA23027"/>
    <w:multiLevelType w:val="hybridMultilevel"/>
    <w:tmpl w:val="229E4DA4"/>
    <w:lvl w:ilvl="0" w:tplc="D95642AE">
      <w:start w:val="1"/>
      <w:numFmt w:val="decimal"/>
      <w:pStyle w:val="BodyText"/>
      <w:lvlText w:val="4.%1"/>
      <w:lvlJc w:val="left"/>
      <w:rPr>
        <w:rFonts w:ascii="Times New Roman" w:hAnsi="Times New Roman" w:hint="default"/>
        <w:b/>
        <w:i w:val="0"/>
        <w:iCs w:val="0"/>
        <w:caps w:val="0"/>
        <w:strike w:val="0"/>
        <w:dstrike w:val="0"/>
        <w:vanish w:val="0"/>
        <w:color w:val="000000"/>
        <w:spacing w:val="0"/>
        <w:kern w:val="0"/>
        <w:position w:val="0"/>
        <w:u w:val="none"/>
        <w:effect w:val="none"/>
        <w:vertAlign w:val="baseline"/>
        <w:em w:val="none"/>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3" w15:restartNumberingAfterBreak="0">
    <w:nsid w:val="4D7D7475"/>
    <w:multiLevelType w:val="hybridMultilevel"/>
    <w:tmpl w:val="D78A6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ED57708"/>
    <w:multiLevelType w:val="hybridMultilevel"/>
    <w:tmpl w:val="9F980EC4"/>
    <w:lvl w:ilvl="0" w:tplc="08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5" w15:restartNumberingAfterBreak="0">
    <w:nsid w:val="4F1779B8"/>
    <w:multiLevelType w:val="hybridMultilevel"/>
    <w:tmpl w:val="C7D867EC"/>
    <w:lvl w:ilvl="0" w:tplc="361898D0">
      <w:start w:val="1"/>
      <w:numFmt w:val="decimal"/>
      <w:pStyle w:val="Style34"/>
      <w:lvlText w:val="4.3.1.%1"/>
      <w:lvlJc w:val="left"/>
      <w:pPr>
        <w:ind w:left="360" w:hanging="360"/>
      </w:pPr>
      <w:rPr>
        <w:rFonts w:ascii="Calibri Light" w:hAnsi="Calibri Light" w:hint="default"/>
        <w:b/>
        <w:i w:val="0"/>
        <w:sz w:val="24"/>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6" w15:restartNumberingAfterBreak="0">
    <w:nsid w:val="4F47290C"/>
    <w:multiLevelType w:val="hybridMultilevel"/>
    <w:tmpl w:val="E9B09E42"/>
    <w:lvl w:ilvl="0" w:tplc="44090001">
      <w:start w:val="1"/>
      <w:numFmt w:val="bullet"/>
      <w:lvlText w:val=""/>
      <w:lvlJc w:val="left"/>
      <w:pPr>
        <w:ind w:left="787" w:hanging="360"/>
      </w:pPr>
      <w:rPr>
        <w:rFonts w:ascii="Symbol" w:hAnsi="Symbol" w:hint="default"/>
      </w:rPr>
    </w:lvl>
    <w:lvl w:ilvl="1" w:tplc="44090003" w:tentative="1">
      <w:start w:val="1"/>
      <w:numFmt w:val="bullet"/>
      <w:lvlText w:val="o"/>
      <w:lvlJc w:val="left"/>
      <w:pPr>
        <w:ind w:left="1507" w:hanging="360"/>
      </w:pPr>
      <w:rPr>
        <w:rFonts w:ascii="Courier New" w:hAnsi="Courier New" w:cs="Courier New" w:hint="default"/>
      </w:rPr>
    </w:lvl>
    <w:lvl w:ilvl="2" w:tplc="44090005" w:tentative="1">
      <w:start w:val="1"/>
      <w:numFmt w:val="bullet"/>
      <w:lvlText w:val=""/>
      <w:lvlJc w:val="left"/>
      <w:pPr>
        <w:ind w:left="2227" w:hanging="360"/>
      </w:pPr>
      <w:rPr>
        <w:rFonts w:ascii="Wingdings" w:hAnsi="Wingdings" w:hint="default"/>
      </w:rPr>
    </w:lvl>
    <w:lvl w:ilvl="3" w:tplc="44090001" w:tentative="1">
      <w:start w:val="1"/>
      <w:numFmt w:val="bullet"/>
      <w:lvlText w:val=""/>
      <w:lvlJc w:val="left"/>
      <w:pPr>
        <w:ind w:left="2947" w:hanging="360"/>
      </w:pPr>
      <w:rPr>
        <w:rFonts w:ascii="Symbol" w:hAnsi="Symbol" w:hint="default"/>
      </w:rPr>
    </w:lvl>
    <w:lvl w:ilvl="4" w:tplc="44090003" w:tentative="1">
      <w:start w:val="1"/>
      <w:numFmt w:val="bullet"/>
      <w:lvlText w:val="o"/>
      <w:lvlJc w:val="left"/>
      <w:pPr>
        <w:ind w:left="3667" w:hanging="360"/>
      </w:pPr>
      <w:rPr>
        <w:rFonts w:ascii="Courier New" w:hAnsi="Courier New" w:cs="Courier New" w:hint="default"/>
      </w:rPr>
    </w:lvl>
    <w:lvl w:ilvl="5" w:tplc="44090005" w:tentative="1">
      <w:start w:val="1"/>
      <w:numFmt w:val="bullet"/>
      <w:lvlText w:val=""/>
      <w:lvlJc w:val="left"/>
      <w:pPr>
        <w:ind w:left="4387" w:hanging="360"/>
      </w:pPr>
      <w:rPr>
        <w:rFonts w:ascii="Wingdings" w:hAnsi="Wingdings" w:hint="default"/>
      </w:rPr>
    </w:lvl>
    <w:lvl w:ilvl="6" w:tplc="44090001" w:tentative="1">
      <w:start w:val="1"/>
      <w:numFmt w:val="bullet"/>
      <w:lvlText w:val=""/>
      <w:lvlJc w:val="left"/>
      <w:pPr>
        <w:ind w:left="5107" w:hanging="360"/>
      </w:pPr>
      <w:rPr>
        <w:rFonts w:ascii="Symbol" w:hAnsi="Symbol" w:hint="default"/>
      </w:rPr>
    </w:lvl>
    <w:lvl w:ilvl="7" w:tplc="44090003" w:tentative="1">
      <w:start w:val="1"/>
      <w:numFmt w:val="bullet"/>
      <w:lvlText w:val="o"/>
      <w:lvlJc w:val="left"/>
      <w:pPr>
        <w:ind w:left="5827" w:hanging="360"/>
      </w:pPr>
      <w:rPr>
        <w:rFonts w:ascii="Courier New" w:hAnsi="Courier New" w:cs="Courier New" w:hint="default"/>
      </w:rPr>
    </w:lvl>
    <w:lvl w:ilvl="8" w:tplc="44090005" w:tentative="1">
      <w:start w:val="1"/>
      <w:numFmt w:val="bullet"/>
      <w:lvlText w:val=""/>
      <w:lvlJc w:val="left"/>
      <w:pPr>
        <w:ind w:left="6547" w:hanging="360"/>
      </w:pPr>
      <w:rPr>
        <w:rFonts w:ascii="Wingdings" w:hAnsi="Wingdings" w:hint="default"/>
      </w:rPr>
    </w:lvl>
  </w:abstractNum>
  <w:abstractNum w:abstractNumId="97" w15:restartNumberingAfterBreak="0">
    <w:nsid w:val="4FBD5044"/>
    <w:multiLevelType w:val="hybridMultilevel"/>
    <w:tmpl w:val="E1E2488A"/>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98" w15:restartNumberingAfterBreak="0">
    <w:nsid w:val="518C2DC8"/>
    <w:multiLevelType w:val="hybridMultilevel"/>
    <w:tmpl w:val="B7CCB23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51CB2410"/>
    <w:multiLevelType w:val="hybridMultilevel"/>
    <w:tmpl w:val="B1D2713A"/>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51FB51FC"/>
    <w:multiLevelType w:val="multilevel"/>
    <w:tmpl w:val="E63AC9A8"/>
    <w:lvl w:ilvl="0">
      <w:start w:val="1"/>
      <w:numFmt w:val="decimal"/>
      <w:suff w:val="space"/>
      <w:lvlText w:val="Appendix 2.%1:"/>
      <w:lvlJc w:val="left"/>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start w:val="1"/>
      <w:numFmt w:val="decimal"/>
      <w:suff w:val="space"/>
      <w:lvlText w:val="Appendix 3.%2: "/>
      <w:lvlJc w:val="left"/>
      <w:pPr>
        <w:ind w:left="0" w:firstLine="0"/>
      </w:pPr>
      <w:rPr>
        <w:rFonts w:ascii="Times New Roman" w:hAnsi="Times New Roman" w:hint="default"/>
        <w:b/>
        <w:bCs/>
        <w:i w:val="0"/>
        <w:color w:val="000000" w:themeColor="text1"/>
        <w:sz w:val="24"/>
      </w:rPr>
    </w:lvl>
    <w:lvl w:ilvl="2">
      <w:start w:val="1"/>
      <w:numFmt w:val="decimal"/>
      <w:suff w:val="space"/>
      <w:lvlText w:val="Appendix 4.%3: "/>
      <w:lvlJc w:val="left"/>
      <w:pPr>
        <w:ind w:left="0" w:firstLine="0"/>
      </w:pPr>
      <w:rPr>
        <w:rFonts w:ascii="Times New Roman" w:hAnsi="Times New Roman" w:hint="default"/>
        <w:b/>
        <w:i w:val="0"/>
        <w:color w:val="000000" w:themeColor="text1"/>
        <w:sz w:val="24"/>
      </w:rPr>
    </w:lvl>
    <w:lvl w:ilvl="3">
      <w:start w:val="1"/>
      <w:numFmt w:val="decimal"/>
      <w:pStyle w:val="AppendixA5"/>
      <w:suff w:val="space"/>
      <w:lvlText w:val="Appendix 5.%4:"/>
      <w:lvlJc w:val="left"/>
      <w:pPr>
        <w:ind w:left="0" w:firstLine="0"/>
      </w:pPr>
      <w:rPr>
        <w:rFonts w:ascii="Times New Roman" w:hAnsi="Times New Roman" w:hint="default"/>
        <w:b/>
        <w:i w:val="0"/>
        <w:color w:val="000000" w:themeColor="text1"/>
        <w:sz w:val="24"/>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01" w15:restartNumberingAfterBreak="0">
    <w:nsid w:val="52111D82"/>
    <w:multiLevelType w:val="hybridMultilevel"/>
    <w:tmpl w:val="31ECB012"/>
    <w:lvl w:ilvl="0" w:tplc="15DE64E6">
      <w:start w:val="6"/>
      <w:numFmt w:val="bullet"/>
      <w:lvlText w:val="-"/>
      <w:lvlJc w:val="left"/>
      <w:pPr>
        <w:ind w:left="720" w:hanging="360"/>
      </w:pPr>
      <w:rPr>
        <w:rFonts w:ascii="Calibri" w:eastAsia="Calibri" w:hAnsi="Calibri" w:cs="Calibri" w:hint="default"/>
      </w:rPr>
    </w:lvl>
    <w:lvl w:ilvl="1" w:tplc="44090003">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start w:val="1"/>
      <w:numFmt w:val="bullet"/>
      <w:lvlText w:val=""/>
      <w:lvlJc w:val="left"/>
      <w:pPr>
        <w:ind w:left="2880" w:hanging="360"/>
      </w:pPr>
      <w:rPr>
        <w:rFonts w:ascii="Symbol" w:hAnsi="Symbol" w:hint="default"/>
      </w:rPr>
    </w:lvl>
    <w:lvl w:ilvl="4" w:tplc="44090003">
      <w:start w:val="1"/>
      <w:numFmt w:val="bullet"/>
      <w:lvlText w:val="o"/>
      <w:lvlJc w:val="left"/>
      <w:pPr>
        <w:ind w:left="3600" w:hanging="360"/>
      </w:pPr>
      <w:rPr>
        <w:rFonts w:ascii="Courier New" w:hAnsi="Courier New" w:cs="Courier New" w:hint="default"/>
      </w:rPr>
    </w:lvl>
    <w:lvl w:ilvl="5" w:tplc="44090005">
      <w:start w:val="1"/>
      <w:numFmt w:val="bullet"/>
      <w:lvlText w:val=""/>
      <w:lvlJc w:val="left"/>
      <w:pPr>
        <w:ind w:left="4320" w:hanging="360"/>
      </w:pPr>
      <w:rPr>
        <w:rFonts w:ascii="Wingdings" w:hAnsi="Wingdings" w:hint="default"/>
      </w:rPr>
    </w:lvl>
    <w:lvl w:ilvl="6" w:tplc="44090001">
      <w:start w:val="1"/>
      <w:numFmt w:val="bullet"/>
      <w:lvlText w:val=""/>
      <w:lvlJc w:val="left"/>
      <w:pPr>
        <w:ind w:left="5040" w:hanging="360"/>
      </w:pPr>
      <w:rPr>
        <w:rFonts w:ascii="Symbol" w:hAnsi="Symbol" w:hint="default"/>
      </w:rPr>
    </w:lvl>
    <w:lvl w:ilvl="7" w:tplc="44090003">
      <w:start w:val="1"/>
      <w:numFmt w:val="bullet"/>
      <w:lvlText w:val="o"/>
      <w:lvlJc w:val="left"/>
      <w:pPr>
        <w:ind w:left="5760" w:hanging="360"/>
      </w:pPr>
      <w:rPr>
        <w:rFonts w:ascii="Courier New" w:hAnsi="Courier New" w:cs="Courier New" w:hint="default"/>
      </w:rPr>
    </w:lvl>
    <w:lvl w:ilvl="8" w:tplc="44090005">
      <w:start w:val="1"/>
      <w:numFmt w:val="bullet"/>
      <w:lvlText w:val=""/>
      <w:lvlJc w:val="left"/>
      <w:pPr>
        <w:ind w:left="6480" w:hanging="360"/>
      </w:pPr>
      <w:rPr>
        <w:rFonts w:ascii="Wingdings" w:hAnsi="Wingdings" w:hint="default"/>
      </w:rPr>
    </w:lvl>
  </w:abstractNum>
  <w:abstractNum w:abstractNumId="102" w15:restartNumberingAfterBreak="0">
    <w:nsid w:val="54A21E16"/>
    <w:multiLevelType w:val="hybridMultilevel"/>
    <w:tmpl w:val="E3C6DC8E"/>
    <w:lvl w:ilvl="0" w:tplc="92B47526">
      <w:start w:val="1"/>
      <w:numFmt w:val="decimal"/>
      <w:pStyle w:val="Style30"/>
      <w:lvlText w:val="3.3.2.%1"/>
      <w:lvlJc w:val="left"/>
      <w:pPr>
        <w:ind w:left="360" w:hanging="360"/>
      </w:pPr>
      <w:rPr>
        <w:rFonts w:ascii="Times New Roman" w:hAnsi="Times New Roman" w:hint="default"/>
        <w:b/>
        <w:i w:val="0"/>
        <w:sz w:val="24"/>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03" w15:restartNumberingAfterBreak="0">
    <w:nsid w:val="55363A01"/>
    <w:multiLevelType w:val="hybridMultilevel"/>
    <w:tmpl w:val="3606FAA2"/>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56122E7D"/>
    <w:multiLevelType w:val="hybridMultilevel"/>
    <w:tmpl w:val="96C691DC"/>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56431E65"/>
    <w:multiLevelType w:val="hybridMultilevel"/>
    <w:tmpl w:val="03D6737A"/>
    <w:lvl w:ilvl="0" w:tplc="9BDA952A">
      <w:start w:val="1"/>
      <w:numFmt w:val="decimal"/>
      <w:pStyle w:val="Style3-02"/>
      <w:lvlText w:val="3.1.%1"/>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58F44163"/>
    <w:multiLevelType w:val="hybridMultilevel"/>
    <w:tmpl w:val="A8E00C14"/>
    <w:lvl w:ilvl="0" w:tplc="0809001B">
      <w:start w:val="1"/>
      <w:numFmt w:val="lowerRoman"/>
      <w:lvlText w:val="%1."/>
      <w:lvlJc w:val="righ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07" w15:restartNumberingAfterBreak="0">
    <w:nsid w:val="58F86997"/>
    <w:multiLevelType w:val="hybridMultilevel"/>
    <w:tmpl w:val="45CE7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598B66A5"/>
    <w:multiLevelType w:val="hybridMultilevel"/>
    <w:tmpl w:val="F08A740A"/>
    <w:lvl w:ilvl="0" w:tplc="12C80194">
      <w:start w:val="1"/>
      <w:numFmt w:val="decimal"/>
      <w:pStyle w:val="Style17"/>
      <w:lvlText w:val="3.1.3.%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8090019" w:tentative="1">
      <w:start w:val="1"/>
      <w:numFmt w:val="lowerLetter"/>
      <w:lvlText w:val="%2."/>
      <w:lvlJc w:val="left"/>
      <w:pPr>
        <w:ind w:left="1080" w:hanging="360"/>
      </w:pPr>
    </w:lvl>
    <w:lvl w:ilvl="2" w:tplc="0809001B" w:tentative="1">
      <w:start w:val="1"/>
      <w:numFmt w:val="lowerRoman"/>
      <w:pStyle w:val="Style17"/>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59AE42A4"/>
    <w:multiLevelType w:val="hybridMultilevel"/>
    <w:tmpl w:val="C11014E0"/>
    <w:lvl w:ilvl="0" w:tplc="D916BD2C">
      <w:start w:val="1"/>
      <w:numFmt w:val="decimal"/>
      <w:pStyle w:val="Style38"/>
      <w:lvlText w:val="5.1.%1"/>
      <w:lvlJc w:val="left"/>
      <w:pPr>
        <w:ind w:left="6" w:hanging="360"/>
      </w:pPr>
      <w:rPr>
        <w:rFonts w:ascii="Calibri Light" w:hAnsi="Calibri Light" w:cstheme="majorHAnsi" w:hint="default"/>
        <w:b/>
        <w:i w:val="0"/>
        <w:sz w:val="24"/>
        <w:szCs w:val="28"/>
      </w:rPr>
    </w:lvl>
    <w:lvl w:ilvl="1" w:tplc="44090019" w:tentative="1">
      <w:start w:val="1"/>
      <w:numFmt w:val="lowerLetter"/>
      <w:lvlText w:val="%2."/>
      <w:lvlJc w:val="left"/>
      <w:pPr>
        <w:ind w:left="726" w:hanging="360"/>
      </w:pPr>
    </w:lvl>
    <w:lvl w:ilvl="2" w:tplc="4409001B" w:tentative="1">
      <w:start w:val="1"/>
      <w:numFmt w:val="lowerRoman"/>
      <w:lvlText w:val="%3."/>
      <w:lvlJc w:val="right"/>
      <w:pPr>
        <w:ind w:left="1446" w:hanging="180"/>
      </w:pPr>
    </w:lvl>
    <w:lvl w:ilvl="3" w:tplc="4409000F" w:tentative="1">
      <w:start w:val="1"/>
      <w:numFmt w:val="decimal"/>
      <w:lvlText w:val="%4."/>
      <w:lvlJc w:val="left"/>
      <w:pPr>
        <w:ind w:left="2166" w:hanging="360"/>
      </w:pPr>
    </w:lvl>
    <w:lvl w:ilvl="4" w:tplc="44090019" w:tentative="1">
      <w:start w:val="1"/>
      <w:numFmt w:val="lowerLetter"/>
      <w:lvlText w:val="%5."/>
      <w:lvlJc w:val="left"/>
      <w:pPr>
        <w:ind w:left="2886" w:hanging="360"/>
      </w:pPr>
    </w:lvl>
    <w:lvl w:ilvl="5" w:tplc="4409001B" w:tentative="1">
      <w:start w:val="1"/>
      <w:numFmt w:val="lowerRoman"/>
      <w:lvlText w:val="%6."/>
      <w:lvlJc w:val="right"/>
      <w:pPr>
        <w:ind w:left="3606" w:hanging="180"/>
      </w:pPr>
    </w:lvl>
    <w:lvl w:ilvl="6" w:tplc="4409000F" w:tentative="1">
      <w:start w:val="1"/>
      <w:numFmt w:val="decimal"/>
      <w:lvlText w:val="%7."/>
      <w:lvlJc w:val="left"/>
      <w:pPr>
        <w:ind w:left="4326" w:hanging="360"/>
      </w:pPr>
    </w:lvl>
    <w:lvl w:ilvl="7" w:tplc="44090019" w:tentative="1">
      <w:start w:val="1"/>
      <w:numFmt w:val="lowerLetter"/>
      <w:lvlText w:val="%8."/>
      <w:lvlJc w:val="left"/>
      <w:pPr>
        <w:ind w:left="5046" w:hanging="360"/>
      </w:pPr>
    </w:lvl>
    <w:lvl w:ilvl="8" w:tplc="4409001B" w:tentative="1">
      <w:start w:val="1"/>
      <w:numFmt w:val="lowerRoman"/>
      <w:lvlText w:val="%9."/>
      <w:lvlJc w:val="right"/>
      <w:pPr>
        <w:ind w:left="5766" w:hanging="180"/>
      </w:pPr>
    </w:lvl>
  </w:abstractNum>
  <w:abstractNum w:abstractNumId="110" w15:restartNumberingAfterBreak="0">
    <w:nsid w:val="5AAE08B5"/>
    <w:multiLevelType w:val="multilevel"/>
    <w:tmpl w:val="58D2D7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5BDF4498"/>
    <w:multiLevelType w:val="hybridMultilevel"/>
    <w:tmpl w:val="8F6CB67E"/>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2" w15:restartNumberingAfterBreak="0">
    <w:nsid w:val="5CF577EA"/>
    <w:multiLevelType w:val="hybridMultilevel"/>
    <w:tmpl w:val="1A06CBD8"/>
    <w:lvl w:ilvl="0" w:tplc="243A3E2A">
      <w:start w:val="6"/>
      <w:numFmt w:val="bullet"/>
      <w:lvlText w:val="-"/>
      <w:lvlJc w:val="left"/>
      <w:pPr>
        <w:ind w:left="720" w:hanging="360"/>
      </w:pPr>
      <w:rPr>
        <w:rFonts w:ascii="Calibri" w:eastAsiaTheme="minorHAnsi" w:hAnsi="Calibri" w:cstheme="minorHAnsi"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3" w15:restartNumberingAfterBreak="0">
    <w:nsid w:val="5D863102"/>
    <w:multiLevelType w:val="hybridMultilevel"/>
    <w:tmpl w:val="0BCAA87E"/>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4" w15:restartNumberingAfterBreak="0">
    <w:nsid w:val="5F730C3F"/>
    <w:multiLevelType w:val="hybridMultilevel"/>
    <w:tmpl w:val="20FCC8F4"/>
    <w:lvl w:ilvl="0" w:tplc="08D887CA">
      <w:start w:val="1"/>
      <w:numFmt w:val="decimal"/>
      <w:pStyle w:val="Style20"/>
      <w:lvlText w:val="3.3.3.%1"/>
      <w:lvlJc w:val="left"/>
      <w:rPr>
        <w:rFonts w:ascii="Times New Roman" w:hAnsi="Times New Roman" w:cs="Times New Roman" w:hint="default"/>
        <w:b/>
        <w:bCs/>
        <w:i w:val="0"/>
        <w:iCs w:val="0"/>
        <w:caps w:val="0"/>
        <w:strike w:val="0"/>
        <w:dstrike w:val="0"/>
        <w:vanish w:val="0"/>
        <w:color w:val="000000"/>
        <w:spacing w:val="0"/>
        <w:kern w:val="0"/>
        <w:position w:val="0"/>
        <w:sz w:val="24"/>
        <w:szCs w:val="24"/>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 w15:restartNumberingAfterBreak="0">
    <w:nsid w:val="5FFA4B72"/>
    <w:multiLevelType w:val="hybridMultilevel"/>
    <w:tmpl w:val="98429C30"/>
    <w:lvl w:ilvl="0" w:tplc="44090017">
      <w:start w:val="1"/>
      <w:numFmt w:val="lowerLetter"/>
      <w:lvlText w:val="%1)"/>
      <w:lvlJc w:val="left"/>
      <w:pPr>
        <w:ind w:left="644" w:hanging="360"/>
      </w:pPr>
      <w:rPr>
        <w:rFonts w:hint="default"/>
      </w:rPr>
    </w:lvl>
    <w:lvl w:ilvl="1" w:tplc="44090019" w:tentative="1">
      <w:start w:val="1"/>
      <w:numFmt w:val="lowerLetter"/>
      <w:lvlText w:val="%2."/>
      <w:lvlJc w:val="left"/>
      <w:pPr>
        <w:ind w:left="1364" w:hanging="360"/>
      </w:pPr>
    </w:lvl>
    <w:lvl w:ilvl="2" w:tplc="4409001B" w:tentative="1">
      <w:start w:val="1"/>
      <w:numFmt w:val="lowerRoman"/>
      <w:lvlText w:val="%3."/>
      <w:lvlJc w:val="right"/>
      <w:pPr>
        <w:ind w:left="2084" w:hanging="180"/>
      </w:pPr>
    </w:lvl>
    <w:lvl w:ilvl="3" w:tplc="4409000F" w:tentative="1">
      <w:start w:val="1"/>
      <w:numFmt w:val="decimal"/>
      <w:lvlText w:val="%4."/>
      <w:lvlJc w:val="left"/>
      <w:pPr>
        <w:ind w:left="2804" w:hanging="360"/>
      </w:pPr>
    </w:lvl>
    <w:lvl w:ilvl="4" w:tplc="44090019" w:tentative="1">
      <w:start w:val="1"/>
      <w:numFmt w:val="lowerLetter"/>
      <w:lvlText w:val="%5."/>
      <w:lvlJc w:val="left"/>
      <w:pPr>
        <w:ind w:left="3524" w:hanging="360"/>
      </w:pPr>
    </w:lvl>
    <w:lvl w:ilvl="5" w:tplc="4409001B" w:tentative="1">
      <w:start w:val="1"/>
      <w:numFmt w:val="lowerRoman"/>
      <w:lvlText w:val="%6."/>
      <w:lvlJc w:val="right"/>
      <w:pPr>
        <w:ind w:left="4244" w:hanging="180"/>
      </w:pPr>
    </w:lvl>
    <w:lvl w:ilvl="6" w:tplc="4409000F" w:tentative="1">
      <w:start w:val="1"/>
      <w:numFmt w:val="decimal"/>
      <w:lvlText w:val="%7."/>
      <w:lvlJc w:val="left"/>
      <w:pPr>
        <w:ind w:left="4964" w:hanging="360"/>
      </w:pPr>
    </w:lvl>
    <w:lvl w:ilvl="7" w:tplc="44090019" w:tentative="1">
      <w:start w:val="1"/>
      <w:numFmt w:val="lowerLetter"/>
      <w:lvlText w:val="%8."/>
      <w:lvlJc w:val="left"/>
      <w:pPr>
        <w:ind w:left="5684" w:hanging="360"/>
      </w:pPr>
    </w:lvl>
    <w:lvl w:ilvl="8" w:tplc="4409001B" w:tentative="1">
      <w:start w:val="1"/>
      <w:numFmt w:val="lowerRoman"/>
      <w:lvlText w:val="%9."/>
      <w:lvlJc w:val="right"/>
      <w:pPr>
        <w:ind w:left="6404" w:hanging="180"/>
      </w:pPr>
    </w:lvl>
  </w:abstractNum>
  <w:abstractNum w:abstractNumId="116" w15:restartNumberingAfterBreak="0">
    <w:nsid w:val="63A20C44"/>
    <w:multiLevelType w:val="hybridMultilevel"/>
    <w:tmpl w:val="F3EE8A84"/>
    <w:lvl w:ilvl="0" w:tplc="736C7B6E">
      <w:start w:val="1"/>
      <w:numFmt w:val="decimal"/>
      <w:pStyle w:val="Style15"/>
      <w:lvlText w:val="3.1.3.%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pStyle w:val="Style15"/>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644B53F2"/>
    <w:multiLevelType w:val="multilevel"/>
    <w:tmpl w:val="5324E1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8" w15:restartNumberingAfterBreak="0">
    <w:nsid w:val="64BF516A"/>
    <w:multiLevelType w:val="hybridMultilevel"/>
    <w:tmpl w:val="24F2AD68"/>
    <w:lvl w:ilvl="0" w:tplc="853483EA">
      <w:start w:val="122"/>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65890CF9"/>
    <w:multiLevelType w:val="hybridMultilevel"/>
    <w:tmpl w:val="91D41096"/>
    <w:lvl w:ilvl="0" w:tplc="853483EA">
      <w:start w:val="122"/>
      <w:numFmt w:val="bullet"/>
      <w:lvlText w:val="-"/>
      <w:lvlJc w:val="left"/>
      <w:pPr>
        <w:ind w:left="720" w:hanging="360"/>
      </w:pPr>
      <w:rPr>
        <w:rFonts w:ascii="Times New Roman" w:eastAsiaTheme="minorEastAsia"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668B3728"/>
    <w:multiLevelType w:val="multilevel"/>
    <w:tmpl w:val="5C8E34B4"/>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21" w15:restartNumberingAfterBreak="0">
    <w:nsid w:val="66AD4433"/>
    <w:multiLevelType w:val="hybridMultilevel"/>
    <w:tmpl w:val="1B7A5C0E"/>
    <w:lvl w:ilvl="0" w:tplc="541AE0FE">
      <w:start w:val="1"/>
      <w:numFmt w:val="decimal"/>
      <w:pStyle w:val="Style3-06"/>
      <w:lvlText w:val="3.1.3.3.%1"/>
      <w:lvlJc w:val="left"/>
      <w:rPr>
        <w:rFonts w:hint="default"/>
        <w:b/>
        <w:bCs/>
        <w:i w:val="0"/>
        <w:iCs w:val="0"/>
        <w:caps w:val="0"/>
        <w:smallCaps w:val="0"/>
        <w:strike w:val="0"/>
        <w:dstrike w:val="0"/>
        <w:vanish w:val="0"/>
        <w:color w:val="auto"/>
        <w:spacing w:val="0"/>
        <w:kern w:val="0"/>
        <w:position w:val="0"/>
        <w:sz w:val="24"/>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2" w15:restartNumberingAfterBreak="0">
    <w:nsid w:val="67777DA0"/>
    <w:multiLevelType w:val="hybridMultilevel"/>
    <w:tmpl w:val="64F0B5C8"/>
    <w:lvl w:ilvl="0" w:tplc="08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3" w15:restartNumberingAfterBreak="0">
    <w:nsid w:val="687B0FA3"/>
    <w:multiLevelType w:val="hybridMultilevel"/>
    <w:tmpl w:val="FE9A0312"/>
    <w:numStyleLink w:val="ImportedStyle19"/>
  </w:abstractNum>
  <w:abstractNum w:abstractNumId="124" w15:restartNumberingAfterBreak="0">
    <w:nsid w:val="689315C0"/>
    <w:multiLevelType w:val="hybridMultilevel"/>
    <w:tmpl w:val="3E92F59C"/>
    <w:lvl w:ilvl="0" w:tplc="B548129C">
      <w:start w:val="122"/>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68A67AA8"/>
    <w:multiLevelType w:val="hybridMultilevel"/>
    <w:tmpl w:val="CB92194A"/>
    <w:lvl w:ilvl="0" w:tplc="8FF07874">
      <w:start w:val="1"/>
      <w:numFmt w:val="decimal"/>
      <w:pStyle w:val="Style18"/>
      <w:lvlText w:val="3.4.%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6" w15:restartNumberingAfterBreak="0">
    <w:nsid w:val="69E252C1"/>
    <w:multiLevelType w:val="hybridMultilevel"/>
    <w:tmpl w:val="A59E3F3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7" w15:restartNumberingAfterBreak="0">
    <w:nsid w:val="6A534662"/>
    <w:multiLevelType w:val="hybridMultilevel"/>
    <w:tmpl w:val="BE683C0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8" w15:restartNumberingAfterBreak="0">
    <w:nsid w:val="6AE21F9D"/>
    <w:multiLevelType w:val="hybridMultilevel"/>
    <w:tmpl w:val="A03A4C46"/>
    <w:lvl w:ilvl="0" w:tplc="692AD246">
      <w:start w:val="1"/>
      <w:numFmt w:val="decimal"/>
      <w:pStyle w:val="Style4111"/>
      <w:lvlText w:val="4.1.1.%1"/>
      <w:lvlJc w:val="left"/>
      <w:pPr>
        <w:ind w:left="6" w:hanging="360"/>
      </w:pPr>
      <w:rPr>
        <w:rFonts w:ascii="Times New Roman" w:hAnsi="Times New Roman" w:cstheme="majorHAnsi" w:hint="default"/>
        <w:b/>
        <w:i w:val="0"/>
        <w:sz w:val="24"/>
      </w:rPr>
    </w:lvl>
    <w:lvl w:ilvl="1" w:tplc="28CC70B2">
      <w:start w:val="1"/>
      <w:numFmt w:val="lowerRoman"/>
      <w:lvlText w:val="%2)"/>
      <w:lvlJc w:val="left"/>
      <w:pPr>
        <w:ind w:left="1086" w:hanging="720"/>
      </w:pPr>
      <w:rPr>
        <w:rFonts w:hint="default"/>
      </w:rPr>
    </w:lvl>
    <w:lvl w:ilvl="2" w:tplc="4409001B" w:tentative="1">
      <w:start w:val="1"/>
      <w:numFmt w:val="lowerRoman"/>
      <w:lvlText w:val="%3."/>
      <w:lvlJc w:val="right"/>
      <w:pPr>
        <w:ind w:left="1446" w:hanging="180"/>
      </w:pPr>
    </w:lvl>
    <w:lvl w:ilvl="3" w:tplc="4409000F" w:tentative="1">
      <w:start w:val="1"/>
      <w:numFmt w:val="decimal"/>
      <w:lvlText w:val="%4."/>
      <w:lvlJc w:val="left"/>
      <w:pPr>
        <w:ind w:left="2166" w:hanging="360"/>
      </w:pPr>
    </w:lvl>
    <w:lvl w:ilvl="4" w:tplc="44090019" w:tentative="1">
      <w:start w:val="1"/>
      <w:numFmt w:val="lowerLetter"/>
      <w:lvlText w:val="%5."/>
      <w:lvlJc w:val="left"/>
      <w:pPr>
        <w:ind w:left="2886" w:hanging="360"/>
      </w:pPr>
    </w:lvl>
    <w:lvl w:ilvl="5" w:tplc="4409001B" w:tentative="1">
      <w:start w:val="1"/>
      <w:numFmt w:val="lowerRoman"/>
      <w:lvlText w:val="%6."/>
      <w:lvlJc w:val="right"/>
      <w:pPr>
        <w:ind w:left="3606" w:hanging="180"/>
      </w:pPr>
    </w:lvl>
    <w:lvl w:ilvl="6" w:tplc="4409000F" w:tentative="1">
      <w:start w:val="1"/>
      <w:numFmt w:val="decimal"/>
      <w:lvlText w:val="%7."/>
      <w:lvlJc w:val="left"/>
      <w:pPr>
        <w:ind w:left="4326" w:hanging="360"/>
      </w:pPr>
    </w:lvl>
    <w:lvl w:ilvl="7" w:tplc="44090019" w:tentative="1">
      <w:start w:val="1"/>
      <w:numFmt w:val="lowerLetter"/>
      <w:lvlText w:val="%8."/>
      <w:lvlJc w:val="left"/>
      <w:pPr>
        <w:ind w:left="5046" w:hanging="360"/>
      </w:pPr>
    </w:lvl>
    <w:lvl w:ilvl="8" w:tplc="4409001B" w:tentative="1">
      <w:start w:val="1"/>
      <w:numFmt w:val="lowerRoman"/>
      <w:lvlText w:val="%9."/>
      <w:lvlJc w:val="right"/>
      <w:pPr>
        <w:ind w:left="5766" w:hanging="180"/>
      </w:pPr>
    </w:lvl>
  </w:abstractNum>
  <w:abstractNum w:abstractNumId="129" w15:restartNumberingAfterBreak="0">
    <w:nsid w:val="6B586E64"/>
    <w:multiLevelType w:val="hybridMultilevel"/>
    <w:tmpl w:val="9C3C56D2"/>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0" w15:restartNumberingAfterBreak="0">
    <w:nsid w:val="6B864F30"/>
    <w:multiLevelType w:val="hybridMultilevel"/>
    <w:tmpl w:val="65783B98"/>
    <w:lvl w:ilvl="0" w:tplc="4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1" w15:restartNumberingAfterBreak="0">
    <w:nsid w:val="6BCA6BA6"/>
    <w:multiLevelType w:val="hybridMultilevel"/>
    <w:tmpl w:val="207C9CD6"/>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2" w15:restartNumberingAfterBreak="0">
    <w:nsid w:val="6E323475"/>
    <w:multiLevelType w:val="hybridMultilevel"/>
    <w:tmpl w:val="56349D48"/>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6EBB3E7F"/>
    <w:multiLevelType w:val="hybridMultilevel"/>
    <w:tmpl w:val="7A300672"/>
    <w:lvl w:ilvl="0" w:tplc="82F0A6CE">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4" w15:restartNumberingAfterBreak="0">
    <w:nsid w:val="6FC93CBC"/>
    <w:multiLevelType w:val="hybridMultilevel"/>
    <w:tmpl w:val="FC7A6162"/>
    <w:lvl w:ilvl="0" w:tplc="48347312">
      <w:start w:val="1"/>
      <w:numFmt w:val="decimal"/>
      <w:pStyle w:val="Style24"/>
      <w:lvlText w:val="3.1.8.%1"/>
      <w:lvlJc w:val="left"/>
      <w:rPr>
        <w:rFonts w:hint="default"/>
        <w:b/>
        <w:bCs/>
        <w:i w:val="0"/>
        <w:iCs w:val="0"/>
        <w:caps w:val="0"/>
        <w:smallCaps w:val="0"/>
        <w:strike w:val="0"/>
        <w:dstrike w:val="0"/>
        <w:vanish w:val="0"/>
        <w:color w:val="000000"/>
        <w:spacing w:val="0"/>
        <w:kern w:val="0"/>
        <w:position w:val="0"/>
        <w:u w:val="none"/>
        <w:effect w:val="none"/>
        <w:vertAlign w:val="baseline"/>
        <w:em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5" w15:restartNumberingAfterBreak="0">
    <w:nsid w:val="6FE456CA"/>
    <w:multiLevelType w:val="hybridMultilevel"/>
    <w:tmpl w:val="ADC4D002"/>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36" w15:restartNumberingAfterBreak="0">
    <w:nsid w:val="70385B22"/>
    <w:multiLevelType w:val="multilevel"/>
    <w:tmpl w:val="5CD6E920"/>
    <w:lvl w:ilvl="0">
      <w:start w:val="1"/>
      <w:numFmt w:val="decimal"/>
      <w:suff w:val="space"/>
      <w:lvlText w:val="Appendix 3.%1:"/>
      <w:lvlJc w:val="left"/>
      <w:pPr>
        <w:ind w:left="0" w:firstLine="0"/>
      </w:pPr>
      <w:rPr>
        <w:rFonts w:ascii="Times New Roman" w:hAnsi="Times New Roman" w:hint="default"/>
        <w:b/>
        <w:i w:val="0"/>
        <w:color w:val="000000" w:themeColor="text1"/>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2"/>
      <w:numFmt w:val="none"/>
      <w:suff w:val="space"/>
      <w:lvlText w:val=""/>
      <w:lvlJc w:val="left"/>
      <w:pPr>
        <w:ind w:left="0" w:firstLine="2160"/>
      </w:pPr>
      <w:rPr>
        <w:rFonts w:ascii="Times New Roman" w:hAnsi="Times New Roman" w:hint="default"/>
        <w:b/>
        <w:i w:val="0"/>
        <w:sz w:val="24"/>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7" w15:restartNumberingAfterBreak="0">
    <w:nsid w:val="72353336"/>
    <w:multiLevelType w:val="hybridMultilevel"/>
    <w:tmpl w:val="BD4CA114"/>
    <w:lvl w:ilvl="0" w:tplc="8C2E32BE">
      <w:start w:val="1"/>
      <w:numFmt w:val="decimal"/>
      <w:lvlText w:val="2.3.%1"/>
      <w:lvlJc w:val="left"/>
      <w:pPr>
        <w:ind w:left="360" w:hanging="360"/>
      </w:pPr>
      <w:rPr>
        <w:rFonts w:hint="default"/>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38" w15:restartNumberingAfterBreak="0">
    <w:nsid w:val="723C3807"/>
    <w:multiLevelType w:val="hybridMultilevel"/>
    <w:tmpl w:val="C4187846"/>
    <w:lvl w:ilvl="0" w:tplc="8DEE775A">
      <w:start w:val="1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2934575"/>
    <w:multiLevelType w:val="hybridMultilevel"/>
    <w:tmpl w:val="9AD8C5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4327875"/>
    <w:multiLevelType w:val="hybridMultilevel"/>
    <w:tmpl w:val="87EE40E2"/>
    <w:lvl w:ilvl="0" w:tplc="715A01F2">
      <w:start w:val="1"/>
      <w:numFmt w:val="decimal"/>
      <w:pStyle w:val="Style421"/>
      <w:lvlText w:val="4.2.%1"/>
      <w:lvlJc w:val="left"/>
      <w:pPr>
        <w:ind w:left="360" w:hanging="360"/>
      </w:pPr>
      <w:rPr>
        <w:rFonts w:ascii="Times New Roman" w:hAnsi="Times New Roman" w:cstheme="majorHAnsi" w:hint="default"/>
        <w:b/>
        <w:i w:val="0"/>
        <w:sz w:val="24"/>
        <w:szCs w:val="28"/>
      </w:r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41" w15:restartNumberingAfterBreak="0">
    <w:nsid w:val="74884569"/>
    <w:multiLevelType w:val="hybridMultilevel"/>
    <w:tmpl w:val="1BC26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554727C"/>
    <w:multiLevelType w:val="hybridMultilevel"/>
    <w:tmpl w:val="4B569170"/>
    <w:lvl w:ilvl="0" w:tplc="8DEE775A">
      <w:start w:val="14"/>
      <w:numFmt w:val="bullet"/>
      <w:lvlText w:val="-"/>
      <w:lvlJc w:val="left"/>
      <w:pPr>
        <w:ind w:left="720" w:hanging="360"/>
      </w:pPr>
      <w:rPr>
        <w:rFonts w:ascii="Times New Roman" w:eastAsiaTheme="minorHAnsi" w:hAnsi="Times New Roman" w:cs="Times New Roman"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588400F"/>
    <w:multiLevelType w:val="multilevel"/>
    <w:tmpl w:val="C5FC07A6"/>
    <w:lvl w:ilvl="0">
      <w:start w:val="1"/>
      <w:numFmt w:val="decimal"/>
      <w:suff w:val="space"/>
      <w:lvlText w:val="Appendix 2.%1:"/>
      <w:lvlJc w:val="left"/>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suff w:val="space"/>
      <w:lvlText w:val="Appendix 3.%2: "/>
      <w:lvlJc w:val="left"/>
      <w:pPr>
        <w:ind w:left="0" w:firstLine="0"/>
      </w:pPr>
      <w:rPr>
        <w:rFonts w:ascii="Times New Roman" w:hAnsi="Times New Roman" w:hint="default"/>
        <w:b/>
        <w:bCs/>
        <w:i w:val="0"/>
        <w:color w:val="000000" w:themeColor="text1"/>
        <w:sz w:val="24"/>
      </w:rPr>
    </w:lvl>
    <w:lvl w:ilvl="2">
      <w:start w:val="1"/>
      <w:numFmt w:val="decimal"/>
      <w:pStyle w:val="Heading9"/>
      <w:suff w:val="space"/>
      <w:lvlText w:val="Appendix 4.%3: "/>
      <w:lvlJc w:val="left"/>
      <w:pPr>
        <w:ind w:left="0" w:firstLine="0"/>
      </w:pPr>
      <w:rPr>
        <w:rFonts w:ascii="Times New Roman" w:hAnsi="Times New Roman" w:hint="default"/>
        <w:b/>
        <w:i w:val="0"/>
        <w:color w:val="000000" w:themeColor="text1"/>
        <w:sz w:val="24"/>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44" w15:restartNumberingAfterBreak="0">
    <w:nsid w:val="759C31CD"/>
    <w:multiLevelType w:val="hybridMultilevel"/>
    <w:tmpl w:val="5F54830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5" w15:restartNumberingAfterBreak="0">
    <w:nsid w:val="76060863"/>
    <w:multiLevelType w:val="hybridMultilevel"/>
    <w:tmpl w:val="6666F82A"/>
    <w:lvl w:ilvl="0" w:tplc="8DEE775A">
      <w:start w:val="14"/>
      <w:numFmt w:val="bullet"/>
      <w:lvlText w:val="-"/>
      <w:lvlJc w:val="left"/>
      <w:pPr>
        <w:ind w:left="720" w:hanging="360"/>
      </w:pPr>
      <w:rPr>
        <w:rFonts w:ascii="Times New Roman" w:eastAsiaTheme="minorHAnsi"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779A13F1"/>
    <w:multiLevelType w:val="hybridMultilevel"/>
    <w:tmpl w:val="AC7C9D60"/>
    <w:lvl w:ilvl="0" w:tplc="853483EA">
      <w:start w:val="122"/>
      <w:numFmt w:val="bullet"/>
      <w:lvlText w:val="-"/>
      <w:lvlJc w:val="left"/>
      <w:pPr>
        <w:ind w:left="720" w:hanging="360"/>
      </w:pPr>
      <w:rPr>
        <w:rFonts w:ascii="Times New Roman" w:eastAsiaTheme="minorEastAsia"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79F62E2F"/>
    <w:multiLevelType w:val="hybridMultilevel"/>
    <w:tmpl w:val="9ABCC7BA"/>
    <w:lvl w:ilvl="0" w:tplc="A7E8E7EE">
      <w:start w:val="1"/>
      <w:numFmt w:val="lowerLetter"/>
      <w:lvlText w:val="%1)"/>
      <w:lvlJc w:val="left"/>
      <w:pPr>
        <w:ind w:left="720" w:hanging="360"/>
      </w:pPr>
      <w:rPr>
        <w:rFonts w:eastAsia="Calibri" w:hint="default"/>
        <w:color w:val="000000" w:themeColor="text1"/>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8" w15:restartNumberingAfterBreak="0">
    <w:nsid w:val="7B872FBF"/>
    <w:multiLevelType w:val="hybridMultilevel"/>
    <w:tmpl w:val="CD0CC5A2"/>
    <w:lvl w:ilvl="0" w:tplc="4409001B">
      <w:start w:val="1"/>
      <w:numFmt w:val="lowerRoman"/>
      <w:lvlText w:val="%1."/>
      <w:lvlJc w:val="righ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9" w15:restartNumberingAfterBreak="0">
    <w:nsid w:val="7C720160"/>
    <w:multiLevelType w:val="hybridMultilevel"/>
    <w:tmpl w:val="B7CCB238"/>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0" w15:restartNumberingAfterBreak="0">
    <w:nsid w:val="7DA61C34"/>
    <w:multiLevelType w:val="multilevel"/>
    <w:tmpl w:val="56B2795C"/>
    <w:lvl w:ilvl="0">
      <w:start w:val="1"/>
      <w:numFmt w:val="decimal"/>
      <w:pStyle w:val="Heading1"/>
      <w:suff w:val="space"/>
      <w:lvlText w:val="Chapter %1: "/>
      <w:lvlJc w:val="left"/>
      <w:pPr>
        <w:ind w:left="0" w:firstLine="0"/>
      </w:pPr>
      <w:rPr>
        <w:rFonts w:hint="default"/>
        <w:b/>
        <w:bCs/>
        <w:i w:val="0"/>
        <w:iCs w:val="0"/>
        <w:caps w:val="0"/>
        <w:smallCaps w:val="0"/>
        <w:strike w:val="0"/>
        <w:dstrike w:val="0"/>
        <w:vanish w:val="0"/>
        <w:color w:val="000000"/>
        <w:spacing w:val="0"/>
        <w:kern w:val="0"/>
        <w:position w:val="0"/>
        <w:u w:val="none"/>
        <w:effect w:val="none"/>
        <w:vertAlign w:val="baseline"/>
        <w:em w:val="none"/>
      </w:rPr>
    </w:lvl>
    <w:lvl w:ilvl="1">
      <w:start w:val="1"/>
      <w:numFmt w:val="decimal"/>
      <w:pStyle w:val="Heading2"/>
      <w:suff w:val="space"/>
      <w:lvlText w:val="%1.%2"/>
      <w:lvlJc w:val="left"/>
      <w:pPr>
        <w:ind w:left="0" w:firstLine="0"/>
      </w:pPr>
      <w:rPr>
        <w:rFonts w:ascii="Times New Roman" w:hAnsi="Times New Roman" w:hint="default"/>
        <w:b/>
        <w:i w:val="0"/>
        <w:color w:val="000000" w:themeColor="text1"/>
        <w:sz w:val="24"/>
      </w:rPr>
    </w:lvl>
    <w:lvl w:ilvl="2">
      <w:start w:val="1"/>
      <w:numFmt w:val="decimal"/>
      <w:pStyle w:val="Heading3"/>
      <w:suff w:val="space"/>
      <w:lvlText w:val="%1.%2.%3"/>
      <w:lvlJc w:val="left"/>
      <w:pPr>
        <w:ind w:left="0" w:firstLine="0"/>
      </w:pPr>
      <w:rPr>
        <w:rFonts w:ascii="Times New Roman" w:hAnsi="Times New Roman" w:hint="default"/>
        <w:b/>
        <w:bCs w:val="0"/>
        <w:i w:val="0"/>
        <w:color w:val="000000" w:themeColor="text1"/>
        <w:sz w:val="24"/>
      </w:rPr>
    </w:lvl>
    <w:lvl w:ilvl="3">
      <w:start w:val="1"/>
      <w:numFmt w:val="decimal"/>
      <w:pStyle w:val="Heading4"/>
      <w:suff w:val="space"/>
      <w:lvlText w:val="%1.%2.%3.%4   "/>
      <w:lvlJc w:val="left"/>
      <w:pPr>
        <w:ind w:left="0" w:firstLine="0"/>
      </w:pPr>
      <w:rPr>
        <w:rFonts w:ascii="Times New Roman" w:hAnsi="Times New Roman" w:hint="default"/>
        <w:b/>
        <w:bCs/>
        <w:i w:val="0"/>
        <w:color w:val="000000" w:themeColor="text1"/>
        <w:sz w:val="24"/>
      </w:rPr>
    </w:lvl>
    <w:lvl w:ilvl="4">
      <w:start w:val="1"/>
      <w:numFmt w:val="lowerLetter"/>
      <w:suff w:val="space"/>
      <w:lvlText w:val="%5)  EMR:"/>
      <w:lvlJc w:val="left"/>
      <w:pPr>
        <w:ind w:left="0" w:firstLine="0"/>
      </w:pPr>
      <w:rPr>
        <w:rFonts w:ascii="Times New Roman" w:hAnsi="Times New Roman" w:hint="default"/>
        <w:b/>
        <w:bCs/>
        <w:i w:val="0"/>
        <w:color w:val="000000" w:themeColor="text1"/>
        <w:sz w:val="24"/>
      </w:rPr>
    </w:lvl>
    <w:lvl w:ilvl="5">
      <w:start w:val="1"/>
      <w:numFmt w:val="none"/>
      <w:suff w:val="space"/>
      <w:lvlText w:val=""/>
      <w:lvlJc w:val="left"/>
      <w:pPr>
        <w:ind w:left="0" w:firstLine="0"/>
      </w:pPr>
      <w:rPr>
        <w:rFonts w:hint="default"/>
      </w:rPr>
    </w:lvl>
    <w:lvl w:ilvl="6">
      <w:start w:val="1"/>
      <w:numFmt w:val="decimal"/>
      <w:suff w:val="space"/>
      <w:lvlText w:val="Appendix %7:  "/>
      <w:lvlJc w:val="left"/>
      <w:pPr>
        <w:ind w:left="0" w:firstLine="0"/>
      </w:pPr>
      <w:rPr>
        <w:rFonts w:ascii="Times New Roman" w:hAnsi="Times New Roman" w:hint="default"/>
        <w:b w:val="0"/>
        <w:i w:val="0"/>
        <w:color w:val="000000" w:themeColor="text1"/>
        <w:sz w:val="24"/>
      </w:rPr>
    </w:lvl>
    <w:lvl w:ilvl="7">
      <w:start w:val="1"/>
      <w:numFmt w:val="none"/>
      <w:suff w:val="space"/>
      <w:lvlText w:val=""/>
      <w:lvlJc w:val="left"/>
      <w:pPr>
        <w:ind w:left="0" w:firstLine="0"/>
      </w:pPr>
      <w:rPr>
        <w:rFonts w:ascii="Times New Roman" w:hAnsi="Times New Roman" w:hint="default"/>
        <w:b/>
        <w:i w:val="0"/>
        <w:color w:val="000000" w:themeColor="text1"/>
        <w:sz w:val="24"/>
      </w:rPr>
    </w:lvl>
    <w:lvl w:ilvl="8">
      <w:start w:val="1"/>
      <w:numFmt w:val="lowerRoman"/>
      <w:lvlText w:val="%9."/>
      <w:lvlJc w:val="left"/>
      <w:pPr>
        <w:ind w:left="3240" w:hanging="360"/>
      </w:pPr>
      <w:rPr>
        <w:rFonts w:hint="default"/>
      </w:rPr>
    </w:lvl>
  </w:abstractNum>
  <w:abstractNum w:abstractNumId="151" w15:restartNumberingAfterBreak="0">
    <w:nsid w:val="7E0612A4"/>
    <w:multiLevelType w:val="hybridMultilevel"/>
    <w:tmpl w:val="9C3C56D2"/>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52" w15:restartNumberingAfterBreak="0">
    <w:nsid w:val="7EB7766E"/>
    <w:multiLevelType w:val="hybridMultilevel"/>
    <w:tmpl w:val="4B9875A4"/>
    <w:lvl w:ilvl="0" w:tplc="4409001B">
      <w:start w:val="1"/>
      <w:numFmt w:val="lowerRoman"/>
      <w:lvlText w:val="%1."/>
      <w:lvlJc w:val="righ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53" w15:restartNumberingAfterBreak="0">
    <w:nsid w:val="7F040115"/>
    <w:multiLevelType w:val="hybridMultilevel"/>
    <w:tmpl w:val="7C5071A0"/>
    <w:lvl w:ilvl="0" w:tplc="9E00FA0A">
      <w:start w:val="1"/>
      <w:numFmt w:val="decimal"/>
      <w:pStyle w:val="Style4231"/>
      <w:lvlText w:val="4.2.3.%1"/>
      <w:lvlJc w:val="left"/>
      <w:rPr>
        <w:rFonts w:ascii="Times New Roman" w:hAnsi="Times New Roman" w:hint="default"/>
        <w:b/>
        <w:bCs/>
        <w:i w:val="0"/>
        <w:iCs w:val="0"/>
        <w:caps w:val="0"/>
        <w:strike w:val="0"/>
        <w:dstrike w:val="0"/>
        <w:vanish w:val="0"/>
        <w:color w:val="000000"/>
        <w:spacing w:val="0"/>
        <w:kern w:val="0"/>
        <w:position w:val="0"/>
        <w:sz w:val="24"/>
        <w:u w:val="none"/>
        <w:effect w:val="none"/>
        <w:vertAlign w:val="baseline"/>
        <w:em w:val="none"/>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78"/>
  </w:num>
  <w:num w:numId="2">
    <w:abstractNumId w:val="57"/>
  </w:num>
  <w:num w:numId="3">
    <w:abstractNumId w:val="1"/>
  </w:num>
  <w:num w:numId="4">
    <w:abstractNumId w:val="37"/>
  </w:num>
  <w:num w:numId="5">
    <w:abstractNumId w:val="26"/>
    <w:lvlOverride w:ilvl="0">
      <w:lvl w:ilvl="0">
        <w:start w:val="1"/>
        <w:numFmt w:val="decimal"/>
        <w:lvlText w:val="3.%1"/>
        <w:lvlJc w:val="left"/>
        <w:pPr>
          <w:ind w:left="360" w:hanging="360"/>
        </w:pPr>
        <w:rPr>
          <w:rFonts w:ascii="Calibri Light" w:hAnsi="Calibri Light" w:hint="default"/>
          <w:b/>
          <w:i w:val="0"/>
          <w:sz w:val="28"/>
        </w:rPr>
      </w:lvl>
    </w:lvlOverride>
    <w:lvlOverride w:ilvl="1">
      <w:lvl w:ilvl="1">
        <w:start w:val="1"/>
        <w:numFmt w:val="lowerLetter"/>
        <w:pStyle w:val="Style7"/>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6">
    <w:abstractNumId w:val="21"/>
  </w:num>
  <w:num w:numId="7">
    <w:abstractNumId w:val="61"/>
  </w:num>
  <w:num w:numId="8">
    <w:abstractNumId w:val="82"/>
  </w:num>
  <w:num w:numId="9">
    <w:abstractNumId w:val="107"/>
  </w:num>
  <w:num w:numId="10">
    <w:abstractNumId w:val="74"/>
  </w:num>
  <w:num w:numId="11">
    <w:abstractNumId w:val="3"/>
  </w:num>
  <w:num w:numId="12">
    <w:abstractNumId w:val="40"/>
  </w:num>
  <w:num w:numId="13">
    <w:abstractNumId w:val="66"/>
  </w:num>
  <w:num w:numId="14">
    <w:abstractNumId w:val="63"/>
  </w:num>
  <w:num w:numId="15">
    <w:abstractNumId w:val="52"/>
  </w:num>
  <w:num w:numId="16">
    <w:abstractNumId w:val="145"/>
  </w:num>
  <w:num w:numId="17">
    <w:abstractNumId w:val="119"/>
  </w:num>
  <w:num w:numId="18">
    <w:abstractNumId w:val="48"/>
  </w:num>
  <w:num w:numId="19">
    <w:abstractNumId w:val="118"/>
  </w:num>
  <w:num w:numId="20">
    <w:abstractNumId w:val="24"/>
  </w:num>
  <w:num w:numId="21">
    <w:abstractNumId w:val="124"/>
  </w:num>
  <w:num w:numId="22">
    <w:abstractNumId w:val="15"/>
  </w:num>
  <w:num w:numId="23">
    <w:abstractNumId w:val="80"/>
  </w:num>
  <w:num w:numId="24">
    <w:abstractNumId w:val="103"/>
  </w:num>
  <w:num w:numId="25">
    <w:abstractNumId w:val="146"/>
  </w:num>
  <w:num w:numId="26">
    <w:abstractNumId w:val="104"/>
  </w:num>
  <w:num w:numId="27">
    <w:abstractNumId w:val="132"/>
  </w:num>
  <w:num w:numId="28">
    <w:abstractNumId w:val="59"/>
  </w:num>
  <w:num w:numId="29">
    <w:abstractNumId w:val="47"/>
  </w:num>
  <w:num w:numId="30">
    <w:abstractNumId w:val="27"/>
  </w:num>
  <w:num w:numId="31">
    <w:abstractNumId w:val="62"/>
  </w:num>
  <w:num w:numId="32">
    <w:abstractNumId w:val="10"/>
  </w:num>
  <w:num w:numId="33">
    <w:abstractNumId w:val="142"/>
  </w:num>
  <w:num w:numId="34">
    <w:abstractNumId w:val="138"/>
  </w:num>
  <w:num w:numId="35">
    <w:abstractNumId w:val="76"/>
  </w:num>
  <w:num w:numId="36">
    <w:abstractNumId w:val="99"/>
  </w:num>
  <w:num w:numId="37">
    <w:abstractNumId w:val="51"/>
  </w:num>
  <w:num w:numId="38">
    <w:abstractNumId w:val="93"/>
  </w:num>
  <w:num w:numId="39">
    <w:abstractNumId w:val="31"/>
  </w:num>
  <w:num w:numId="40">
    <w:abstractNumId w:val="141"/>
  </w:num>
  <w:num w:numId="41">
    <w:abstractNumId w:val="54"/>
  </w:num>
  <w:num w:numId="42">
    <w:abstractNumId w:val="32"/>
  </w:num>
  <w:num w:numId="43">
    <w:abstractNumId w:val="6"/>
  </w:num>
  <w:num w:numId="44">
    <w:abstractNumId w:val="14"/>
  </w:num>
  <w:num w:numId="45">
    <w:abstractNumId w:val="36"/>
  </w:num>
  <w:num w:numId="46">
    <w:abstractNumId w:val="88"/>
  </w:num>
  <w:num w:numId="47">
    <w:abstractNumId w:val="75"/>
  </w:num>
  <w:num w:numId="48">
    <w:abstractNumId w:val="85"/>
  </w:num>
  <w:num w:numId="49">
    <w:abstractNumId w:val="11"/>
  </w:num>
  <w:num w:numId="50">
    <w:abstractNumId w:val="116"/>
  </w:num>
  <w:num w:numId="51">
    <w:abstractNumId w:val="41"/>
  </w:num>
  <w:num w:numId="52">
    <w:abstractNumId w:val="108"/>
  </w:num>
  <w:num w:numId="53">
    <w:abstractNumId w:val="39"/>
  </w:num>
  <w:num w:numId="54">
    <w:abstractNumId w:val="67"/>
  </w:num>
  <w:num w:numId="55">
    <w:abstractNumId w:val="17"/>
  </w:num>
  <w:num w:numId="56">
    <w:abstractNumId w:val="46"/>
  </w:num>
  <w:num w:numId="57">
    <w:abstractNumId w:val="105"/>
  </w:num>
  <w:num w:numId="58">
    <w:abstractNumId w:val="121"/>
  </w:num>
  <w:num w:numId="59">
    <w:abstractNumId w:val="49"/>
  </w:num>
  <w:num w:numId="60">
    <w:abstractNumId w:val="125"/>
  </w:num>
  <w:num w:numId="61">
    <w:abstractNumId w:val="114"/>
  </w:num>
  <w:num w:numId="62">
    <w:abstractNumId w:val="30"/>
  </w:num>
  <w:num w:numId="63">
    <w:abstractNumId w:val="134"/>
  </w:num>
  <w:num w:numId="64">
    <w:abstractNumId w:val="53"/>
  </w:num>
  <w:num w:numId="65">
    <w:abstractNumId w:val="22"/>
  </w:num>
  <w:num w:numId="66">
    <w:abstractNumId w:val="44"/>
  </w:num>
  <w:num w:numId="67">
    <w:abstractNumId w:val="55"/>
  </w:num>
  <w:num w:numId="68">
    <w:abstractNumId w:val="65"/>
  </w:num>
  <w:num w:numId="69">
    <w:abstractNumId w:val="102"/>
  </w:num>
  <w:num w:numId="70">
    <w:abstractNumId w:val="129"/>
  </w:num>
  <w:num w:numId="71">
    <w:abstractNumId w:val="151"/>
  </w:num>
  <w:num w:numId="72">
    <w:abstractNumId w:val="92"/>
  </w:num>
  <w:num w:numId="73">
    <w:abstractNumId w:val="77"/>
  </w:num>
  <w:num w:numId="74">
    <w:abstractNumId w:val="87"/>
  </w:num>
  <w:num w:numId="75">
    <w:abstractNumId w:val="50"/>
  </w:num>
  <w:num w:numId="76">
    <w:abstractNumId w:val="95"/>
  </w:num>
  <w:num w:numId="77">
    <w:abstractNumId w:val="140"/>
  </w:num>
  <w:num w:numId="78">
    <w:abstractNumId w:val="13"/>
  </w:num>
  <w:num w:numId="79">
    <w:abstractNumId w:val="43"/>
  </w:num>
  <w:num w:numId="80">
    <w:abstractNumId w:val="109"/>
  </w:num>
  <w:num w:numId="81">
    <w:abstractNumId w:val="70"/>
  </w:num>
  <w:num w:numId="82">
    <w:abstractNumId w:val="7"/>
  </w:num>
  <w:num w:numId="83">
    <w:abstractNumId w:val="153"/>
  </w:num>
  <w:num w:numId="84">
    <w:abstractNumId w:val="128"/>
  </w:num>
  <w:num w:numId="85">
    <w:abstractNumId w:val="33"/>
  </w:num>
  <w:num w:numId="86">
    <w:abstractNumId w:val="120"/>
  </w:num>
  <w:num w:numId="87">
    <w:abstractNumId w:val="23"/>
  </w:num>
  <w:num w:numId="88">
    <w:abstractNumId w:val="34"/>
  </w:num>
  <w:num w:numId="89">
    <w:abstractNumId w:val="110"/>
  </w:num>
  <w:num w:numId="90">
    <w:abstractNumId w:val="69"/>
  </w:num>
  <w:num w:numId="91">
    <w:abstractNumId w:val="89"/>
  </w:num>
  <w:num w:numId="92">
    <w:abstractNumId w:val="45"/>
  </w:num>
  <w:num w:numId="93">
    <w:abstractNumId w:val="91"/>
  </w:num>
  <w:num w:numId="94">
    <w:abstractNumId w:val="115"/>
  </w:num>
  <w:num w:numId="95">
    <w:abstractNumId w:val="101"/>
  </w:num>
  <w:num w:numId="96">
    <w:abstractNumId w:val="26"/>
  </w:num>
  <w:num w:numId="97">
    <w:abstractNumId w:val="71"/>
  </w:num>
  <w:num w:numId="98">
    <w:abstractNumId w:val="143"/>
  </w:num>
  <w:num w:numId="99">
    <w:abstractNumId w:val="100"/>
  </w:num>
  <w:num w:numId="100">
    <w:abstractNumId w:val="68"/>
  </w:num>
  <w:num w:numId="101">
    <w:abstractNumId w:val="139"/>
  </w:num>
  <w:num w:numId="102">
    <w:abstractNumId w:val="9"/>
  </w:num>
  <w:num w:numId="103">
    <w:abstractNumId w:val="112"/>
  </w:num>
  <w:num w:numId="104">
    <w:abstractNumId w:val="4"/>
  </w:num>
  <w:num w:numId="105">
    <w:abstractNumId w:val="152"/>
  </w:num>
  <w:num w:numId="106">
    <w:abstractNumId w:val="5"/>
  </w:num>
  <w:num w:numId="107">
    <w:abstractNumId w:val="20"/>
  </w:num>
  <w:num w:numId="108">
    <w:abstractNumId w:val="106"/>
  </w:num>
  <w:num w:numId="109">
    <w:abstractNumId w:val="113"/>
  </w:num>
  <w:num w:numId="110">
    <w:abstractNumId w:val="81"/>
  </w:num>
  <w:num w:numId="111">
    <w:abstractNumId w:val="136"/>
  </w:num>
  <w:num w:numId="112">
    <w:abstractNumId w:val="56"/>
  </w:num>
  <w:num w:numId="113">
    <w:abstractNumId w:val="19"/>
  </w:num>
  <w:num w:numId="114">
    <w:abstractNumId w:val="35"/>
  </w:num>
  <w:num w:numId="115">
    <w:abstractNumId w:val="18"/>
  </w:num>
  <w:num w:numId="116">
    <w:abstractNumId w:val="86"/>
  </w:num>
  <w:num w:numId="117">
    <w:abstractNumId w:val="123"/>
  </w:num>
  <w:num w:numId="118">
    <w:abstractNumId w:val="94"/>
  </w:num>
  <w:num w:numId="119">
    <w:abstractNumId w:val="135"/>
  </w:num>
  <w:num w:numId="120">
    <w:abstractNumId w:val="83"/>
  </w:num>
  <w:num w:numId="121">
    <w:abstractNumId w:val="144"/>
  </w:num>
  <w:num w:numId="122">
    <w:abstractNumId w:val="122"/>
  </w:num>
  <w:num w:numId="123">
    <w:abstractNumId w:val="150"/>
  </w:num>
  <w:num w:numId="124">
    <w:abstractNumId w:val="60"/>
  </w:num>
  <w:num w:numId="125">
    <w:abstractNumId w:val="137"/>
    <w:lvlOverride w:ilvl="0">
      <w:startOverride w:val="1"/>
    </w:lvlOverride>
  </w:num>
  <w:num w:numId="126">
    <w:abstractNumId w:val="73"/>
  </w:num>
  <w:num w:numId="127">
    <w:abstractNumId w:val="72"/>
  </w:num>
  <w:num w:numId="12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7"/>
  </w:num>
  <w:num w:numId="130">
    <w:abstractNumId w:val="96"/>
  </w:num>
  <w:num w:numId="131">
    <w:abstractNumId w:val="126"/>
  </w:num>
  <w:num w:numId="132">
    <w:abstractNumId w:val="64"/>
  </w:num>
  <w:num w:numId="133">
    <w:abstractNumId w:val="147"/>
  </w:num>
  <w:num w:numId="134">
    <w:abstractNumId w:val="2"/>
  </w:num>
  <w:num w:numId="135">
    <w:abstractNumId w:val="8"/>
  </w:num>
  <w:num w:numId="136">
    <w:abstractNumId w:val="16"/>
  </w:num>
  <w:num w:numId="137">
    <w:abstractNumId w:val="42"/>
  </w:num>
  <w:num w:numId="138">
    <w:abstractNumId w:val="111"/>
  </w:num>
  <w:num w:numId="139">
    <w:abstractNumId w:val="131"/>
  </w:num>
  <w:num w:numId="140">
    <w:abstractNumId w:val="148"/>
  </w:num>
  <w:num w:numId="141">
    <w:abstractNumId w:val="38"/>
  </w:num>
  <w:num w:numId="142">
    <w:abstractNumId w:val="90"/>
  </w:num>
  <w:num w:numId="143">
    <w:abstractNumId w:val="58"/>
  </w:num>
  <w:num w:numId="144">
    <w:abstractNumId w:val="130"/>
  </w:num>
  <w:num w:numId="145">
    <w:abstractNumId w:val="29"/>
  </w:num>
  <w:num w:numId="146">
    <w:abstractNumId w:val="79"/>
  </w:num>
  <w:num w:numId="147">
    <w:abstractNumId w:val="84"/>
  </w:num>
  <w:num w:numId="148">
    <w:abstractNumId w:val="127"/>
  </w:num>
  <w:num w:numId="149">
    <w:abstractNumId w:val="0"/>
  </w:num>
  <w:num w:numId="150">
    <w:abstractNumId w:val="133"/>
  </w:num>
  <w:num w:numId="151">
    <w:abstractNumId w:val="12"/>
  </w:num>
  <w:num w:numId="152">
    <w:abstractNumId w:val="25"/>
  </w:num>
  <w:num w:numId="153">
    <w:abstractNumId w:val="28"/>
  </w:num>
  <w:num w:numId="154">
    <w:abstractNumId w:val="149"/>
  </w:num>
  <w:num w:numId="155">
    <w:abstractNumId w:val="98"/>
  </w:num>
  <w:num w:numId="156">
    <w:abstractNumId w:val="97"/>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1"/>
  <w:activeWritingStyle w:appName="MSWord" w:lang="en-MY" w:vendorID="64" w:dllVersion="6" w:nlCheck="1" w:checkStyle="1"/>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1"/>
  <w:activeWritingStyle w:appName="MSWord" w:lang="en-MY"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n-MY" w:vendorID="64" w:dllVersion="0"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WzMDEytzA0sjAzMzRU0lEKTi0uzszPAykwNDKtBQDwqNSyLgAAAA=="/>
    <w:docVar w:name="EN.InstantFormat" w:val="&lt;ENInstantFormat&gt;&lt;Enabled&gt;1&lt;/Enabled&gt;&lt;ScanUnformatted&gt;1&lt;/ScanUnformatted&gt;&lt;ScanChanges&gt;1&lt;/ScanChanges&gt;&lt;Suspended&gt;0&lt;/Suspended&gt;&lt;/ENInstantFormat&gt;"/>
    <w:docVar w:name="EN.Layout" w:val="&lt;ENLayout&gt;&lt;Style&gt;APA 7th-Annotat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F76F12"/>
    <w:rsid w:val="00000294"/>
    <w:rsid w:val="000004B4"/>
    <w:rsid w:val="00000985"/>
    <w:rsid w:val="00002150"/>
    <w:rsid w:val="00002357"/>
    <w:rsid w:val="00002717"/>
    <w:rsid w:val="000044DE"/>
    <w:rsid w:val="00005390"/>
    <w:rsid w:val="00005737"/>
    <w:rsid w:val="00005A07"/>
    <w:rsid w:val="00005D3D"/>
    <w:rsid w:val="00006DBA"/>
    <w:rsid w:val="00006EB7"/>
    <w:rsid w:val="000078A4"/>
    <w:rsid w:val="00007CAB"/>
    <w:rsid w:val="00007DB6"/>
    <w:rsid w:val="0001066B"/>
    <w:rsid w:val="000110D8"/>
    <w:rsid w:val="0001202D"/>
    <w:rsid w:val="00013806"/>
    <w:rsid w:val="000142B2"/>
    <w:rsid w:val="000164C3"/>
    <w:rsid w:val="000165EA"/>
    <w:rsid w:val="0001728A"/>
    <w:rsid w:val="000172A6"/>
    <w:rsid w:val="00017656"/>
    <w:rsid w:val="0001790E"/>
    <w:rsid w:val="00020777"/>
    <w:rsid w:val="00020963"/>
    <w:rsid w:val="00020FFC"/>
    <w:rsid w:val="0002106D"/>
    <w:rsid w:val="00021A3A"/>
    <w:rsid w:val="00021B95"/>
    <w:rsid w:val="00021EB6"/>
    <w:rsid w:val="00022B2A"/>
    <w:rsid w:val="00022C54"/>
    <w:rsid w:val="000233A2"/>
    <w:rsid w:val="00023E47"/>
    <w:rsid w:val="000243F1"/>
    <w:rsid w:val="0002457A"/>
    <w:rsid w:val="000245A4"/>
    <w:rsid w:val="0002466D"/>
    <w:rsid w:val="00025011"/>
    <w:rsid w:val="00025D65"/>
    <w:rsid w:val="00025F72"/>
    <w:rsid w:val="0002755B"/>
    <w:rsid w:val="000275D7"/>
    <w:rsid w:val="00027C86"/>
    <w:rsid w:val="000304C9"/>
    <w:rsid w:val="00030AE7"/>
    <w:rsid w:val="00032DFB"/>
    <w:rsid w:val="000334C0"/>
    <w:rsid w:val="00034021"/>
    <w:rsid w:val="00034492"/>
    <w:rsid w:val="00034E17"/>
    <w:rsid w:val="00035595"/>
    <w:rsid w:val="0003580E"/>
    <w:rsid w:val="00035D4A"/>
    <w:rsid w:val="00035F01"/>
    <w:rsid w:val="000362AD"/>
    <w:rsid w:val="0003660C"/>
    <w:rsid w:val="00036A6C"/>
    <w:rsid w:val="00036AA2"/>
    <w:rsid w:val="000403B0"/>
    <w:rsid w:val="00040C08"/>
    <w:rsid w:val="00040EBA"/>
    <w:rsid w:val="000410F4"/>
    <w:rsid w:val="000417A0"/>
    <w:rsid w:val="00041875"/>
    <w:rsid w:val="00041E24"/>
    <w:rsid w:val="00042BFF"/>
    <w:rsid w:val="00043002"/>
    <w:rsid w:val="000441E4"/>
    <w:rsid w:val="000476CF"/>
    <w:rsid w:val="00047E1F"/>
    <w:rsid w:val="00047E41"/>
    <w:rsid w:val="000503DA"/>
    <w:rsid w:val="0005091A"/>
    <w:rsid w:val="0005194D"/>
    <w:rsid w:val="00051EE7"/>
    <w:rsid w:val="00052B5B"/>
    <w:rsid w:val="00052C3D"/>
    <w:rsid w:val="00052DB7"/>
    <w:rsid w:val="00053337"/>
    <w:rsid w:val="00053A11"/>
    <w:rsid w:val="00054AA8"/>
    <w:rsid w:val="00054C10"/>
    <w:rsid w:val="00055FC6"/>
    <w:rsid w:val="00056407"/>
    <w:rsid w:val="000566E5"/>
    <w:rsid w:val="00056746"/>
    <w:rsid w:val="0006032D"/>
    <w:rsid w:val="00060429"/>
    <w:rsid w:val="00060483"/>
    <w:rsid w:val="00060A62"/>
    <w:rsid w:val="00060EF2"/>
    <w:rsid w:val="00060F97"/>
    <w:rsid w:val="00061086"/>
    <w:rsid w:val="00061523"/>
    <w:rsid w:val="00062FEB"/>
    <w:rsid w:val="000632BE"/>
    <w:rsid w:val="000639E5"/>
    <w:rsid w:val="000641DF"/>
    <w:rsid w:val="0006459F"/>
    <w:rsid w:val="00064DD3"/>
    <w:rsid w:val="00064DFA"/>
    <w:rsid w:val="00065050"/>
    <w:rsid w:val="000652B7"/>
    <w:rsid w:val="0006547D"/>
    <w:rsid w:val="000657EB"/>
    <w:rsid w:val="00065BB5"/>
    <w:rsid w:val="00065C77"/>
    <w:rsid w:val="00065FBD"/>
    <w:rsid w:val="0006640B"/>
    <w:rsid w:val="00066A4C"/>
    <w:rsid w:val="00067115"/>
    <w:rsid w:val="000672B2"/>
    <w:rsid w:val="00067764"/>
    <w:rsid w:val="000703EC"/>
    <w:rsid w:val="0007089C"/>
    <w:rsid w:val="000709F8"/>
    <w:rsid w:val="000723DF"/>
    <w:rsid w:val="000730C8"/>
    <w:rsid w:val="0007333B"/>
    <w:rsid w:val="000745B3"/>
    <w:rsid w:val="00074652"/>
    <w:rsid w:val="000749CA"/>
    <w:rsid w:val="00074F3B"/>
    <w:rsid w:val="00074FBF"/>
    <w:rsid w:val="00075773"/>
    <w:rsid w:val="0007577A"/>
    <w:rsid w:val="000758C2"/>
    <w:rsid w:val="00075DC8"/>
    <w:rsid w:val="00077976"/>
    <w:rsid w:val="000779B6"/>
    <w:rsid w:val="00077D31"/>
    <w:rsid w:val="00080985"/>
    <w:rsid w:val="00080B55"/>
    <w:rsid w:val="00081064"/>
    <w:rsid w:val="000814FB"/>
    <w:rsid w:val="00081575"/>
    <w:rsid w:val="00081777"/>
    <w:rsid w:val="000820E8"/>
    <w:rsid w:val="00083A7F"/>
    <w:rsid w:val="000844F8"/>
    <w:rsid w:val="0008488D"/>
    <w:rsid w:val="00085387"/>
    <w:rsid w:val="0008599D"/>
    <w:rsid w:val="00085D9F"/>
    <w:rsid w:val="00086DF8"/>
    <w:rsid w:val="0008734F"/>
    <w:rsid w:val="00087500"/>
    <w:rsid w:val="00087659"/>
    <w:rsid w:val="00090221"/>
    <w:rsid w:val="000908F5"/>
    <w:rsid w:val="000919B0"/>
    <w:rsid w:val="000931E3"/>
    <w:rsid w:val="0009337F"/>
    <w:rsid w:val="000939C0"/>
    <w:rsid w:val="000947FF"/>
    <w:rsid w:val="00095F77"/>
    <w:rsid w:val="00096162"/>
    <w:rsid w:val="00096B16"/>
    <w:rsid w:val="000975EB"/>
    <w:rsid w:val="00097911"/>
    <w:rsid w:val="00097A2B"/>
    <w:rsid w:val="00097C16"/>
    <w:rsid w:val="000A0163"/>
    <w:rsid w:val="000A094B"/>
    <w:rsid w:val="000A0ED1"/>
    <w:rsid w:val="000A11F9"/>
    <w:rsid w:val="000A165A"/>
    <w:rsid w:val="000A1B1F"/>
    <w:rsid w:val="000A1D2F"/>
    <w:rsid w:val="000A1FC3"/>
    <w:rsid w:val="000A2567"/>
    <w:rsid w:val="000A256C"/>
    <w:rsid w:val="000A2671"/>
    <w:rsid w:val="000A2C05"/>
    <w:rsid w:val="000A3A75"/>
    <w:rsid w:val="000A3D66"/>
    <w:rsid w:val="000A4332"/>
    <w:rsid w:val="000A440B"/>
    <w:rsid w:val="000A4F85"/>
    <w:rsid w:val="000A6669"/>
    <w:rsid w:val="000A66A5"/>
    <w:rsid w:val="000A673F"/>
    <w:rsid w:val="000A696B"/>
    <w:rsid w:val="000A6EA1"/>
    <w:rsid w:val="000A71F1"/>
    <w:rsid w:val="000A72BF"/>
    <w:rsid w:val="000A7774"/>
    <w:rsid w:val="000A77DB"/>
    <w:rsid w:val="000B0A8E"/>
    <w:rsid w:val="000B0E66"/>
    <w:rsid w:val="000B1422"/>
    <w:rsid w:val="000B1BED"/>
    <w:rsid w:val="000B26AB"/>
    <w:rsid w:val="000B3339"/>
    <w:rsid w:val="000B38E7"/>
    <w:rsid w:val="000B3B57"/>
    <w:rsid w:val="000B4707"/>
    <w:rsid w:val="000B4B47"/>
    <w:rsid w:val="000B4EF9"/>
    <w:rsid w:val="000B5608"/>
    <w:rsid w:val="000B56E5"/>
    <w:rsid w:val="000B6073"/>
    <w:rsid w:val="000B624A"/>
    <w:rsid w:val="000C0EE2"/>
    <w:rsid w:val="000C16B4"/>
    <w:rsid w:val="000C2103"/>
    <w:rsid w:val="000C27EE"/>
    <w:rsid w:val="000C291F"/>
    <w:rsid w:val="000C2C96"/>
    <w:rsid w:val="000C3065"/>
    <w:rsid w:val="000C41FD"/>
    <w:rsid w:val="000C47B1"/>
    <w:rsid w:val="000C49C2"/>
    <w:rsid w:val="000C4B51"/>
    <w:rsid w:val="000C4BE8"/>
    <w:rsid w:val="000C4E5B"/>
    <w:rsid w:val="000C5478"/>
    <w:rsid w:val="000C5782"/>
    <w:rsid w:val="000C61CD"/>
    <w:rsid w:val="000C62B3"/>
    <w:rsid w:val="000C6726"/>
    <w:rsid w:val="000C6C80"/>
    <w:rsid w:val="000C774A"/>
    <w:rsid w:val="000C776F"/>
    <w:rsid w:val="000C7905"/>
    <w:rsid w:val="000C7B9E"/>
    <w:rsid w:val="000C7C3E"/>
    <w:rsid w:val="000C7D39"/>
    <w:rsid w:val="000C7F68"/>
    <w:rsid w:val="000D1311"/>
    <w:rsid w:val="000D22EE"/>
    <w:rsid w:val="000D2544"/>
    <w:rsid w:val="000D2571"/>
    <w:rsid w:val="000D2E28"/>
    <w:rsid w:val="000D2E6E"/>
    <w:rsid w:val="000D36BA"/>
    <w:rsid w:val="000D373F"/>
    <w:rsid w:val="000D377D"/>
    <w:rsid w:val="000D42B8"/>
    <w:rsid w:val="000D45F5"/>
    <w:rsid w:val="000D4D65"/>
    <w:rsid w:val="000D5570"/>
    <w:rsid w:val="000D562E"/>
    <w:rsid w:val="000D684E"/>
    <w:rsid w:val="000D691E"/>
    <w:rsid w:val="000D6F1F"/>
    <w:rsid w:val="000D75C8"/>
    <w:rsid w:val="000E2440"/>
    <w:rsid w:val="000E3485"/>
    <w:rsid w:val="000E3A0E"/>
    <w:rsid w:val="000E3F97"/>
    <w:rsid w:val="000E3FCE"/>
    <w:rsid w:val="000E4C82"/>
    <w:rsid w:val="000E4CC4"/>
    <w:rsid w:val="000E50CD"/>
    <w:rsid w:val="000E510D"/>
    <w:rsid w:val="000E514D"/>
    <w:rsid w:val="000E5835"/>
    <w:rsid w:val="000E5B81"/>
    <w:rsid w:val="000E659B"/>
    <w:rsid w:val="000E7031"/>
    <w:rsid w:val="000E7200"/>
    <w:rsid w:val="000E77F9"/>
    <w:rsid w:val="000E7AA9"/>
    <w:rsid w:val="000E7B36"/>
    <w:rsid w:val="000F0391"/>
    <w:rsid w:val="000F067D"/>
    <w:rsid w:val="000F0A8C"/>
    <w:rsid w:val="000F1FE0"/>
    <w:rsid w:val="000F2730"/>
    <w:rsid w:val="000F2940"/>
    <w:rsid w:val="000F3BFD"/>
    <w:rsid w:val="000F51B1"/>
    <w:rsid w:val="000F5F61"/>
    <w:rsid w:val="000F6058"/>
    <w:rsid w:val="000F6BCC"/>
    <w:rsid w:val="000F732F"/>
    <w:rsid w:val="000F7969"/>
    <w:rsid w:val="000F7EE1"/>
    <w:rsid w:val="0010034C"/>
    <w:rsid w:val="00100CE9"/>
    <w:rsid w:val="001010A3"/>
    <w:rsid w:val="00101A54"/>
    <w:rsid w:val="001027C1"/>
    <w:rsid w:val="00102C13"/>
    <w:rsid w:val="00103A06"/>
    <w:rsid w:val="001053C5"/>
    <w:rsid w:val="001058D9"/>
    <w:rsid w:val="00105C38"/>
    <w:rsid w:val="00105FA0"/>
    <w:rsid w:val="001062E7"/>
    <w:rsid w:val="00106CDB"/>
    <w:rsid w:val="001073AE"/>
    <w:rsid w:val="00107B44"/>
    <w:rsid w:val="001101F6"/>
    <w:rsid w:val="00110BE0"/>
    <w:rsid w:val="00111489"/>
    <w:rsid w:val="00112169"/>
    <w:rsid w:val="00112C55"/>
    <w:rsid w:val="0011327E"/>
    <w:rsid w:val="001135DA"/>
    <w:rsid w:val="00115773"/>
    <w:rsid w:val="001162FA"/>
    <w:rsid w:val="00116E52"/>
    <w:rsid w:val="0011707F"/>
    <w:rsid w:val="001171AC"/>
    <w:rsid w:val="001171CD"/>
    <w:rsid w:val="001172BB"/>
    <w:rsid w:val="00117E39"/>
    <w:rsid w:val="001203D5"/>
    <w:rsid w:val="00120593"/>
    <w:rsid w:val="00120AA4"/>
    <w:rsid w:val="00120C9D"/>
    <w:rsid w:val="00122772"/>
    <w:rsid w:val="0012284F"/>
    <w:rsid w:val="00123237"/>
    <w:rsid w:val="001235A8"/>
    <w:rsid w:val="001236E3"/>
    <w:rsid w:val="00123BF9"/>
    <w:rsid w:val="00124AA4"/>
    <w:rsid w:val="00125448"/>
    <w:rsid w:val="001262AA"/>
    <w:rsid w:val="00126733"/>
    <w:rsid w:val="001269F6"/>
    <w:rsid w:val="00126D1B"/>
    <w:rsid w:val="0012733C"/>
    <w:rsid w:val="0012799A"/>
    <w:rsid w:val="00130324"/>
    <w:rsid w:val="00131822"/>
    <w:rsid w:val="00131B42"/>
    <w:rsid w:val="00132390"/>
    <w:rsid w:val="00132ED9"/>
    <w:rsid w:val="00134019"/>
    <w:rsid w:val="001342E1"/>
    <w:rsid w:val="001348F0"/>
    <w:rsid w:val="00134A94"/>
    <w:rsid w:val="0013515F"/>
    <w:rsid w:val="00135AD0"/>
    <w:rsid w:val="00137769"/>
    <w:rsid w:val="00137A78"/>
    <w:rsid w:val="00137E53"/>
    <w:rsid w:val="0014014E"/>
    <w:rsid w:val="00140D14"/>
    <w:rsid w:val="0014293F"/>
    <w:rsid w:val="00142C5C"/>
    <w:rsid w:val="0014323B"/>
    <w:rsid w:val="001435A0"/>
    <w:rsid w:val="00143854"/>
    <w:rsid w:val="00143DBD"/>
    <w:rsid w:val="00143E37"/>
    <w:rsid w:val="001444F2"/>
    <w:rsid w:val="0014498F"/>
    <w:rsid w:val="00144B08"/>
    <w:rsid w:val="00146605"/>
    <w:rsid w:val="0014672D"/>
    <w:rsid w:val="00147455"/>
    <w:rsid w:val="00147523"/>
    <w:rsid w:val="00147755"/>
    <w:rsid w:val="00147CC9"/>
    <w:rsid w:val="00147D1F"/>
    <w:rsid w:val="00147D9E"/>
    <w:rsid w:val="001516E1"/>
    <w:rsid w:val="00151C83"/>
    <w:rsid w:val="00152B42"/>
    <w:rsid w:val="0015318A"/>
    <w:rsid w:val="001543C7"/>
    <w:rsid w:val="0015449D"/>
    <w:rsid w:val="00154EB0"/>
    <w:rsid w:val="001551D4"/>
    <w:rsid w:val="00155800"/>
    <w:rsid w:val="001560B0"/>
    <w:rsid w:val="00156B9E"/>
    <w:rsid w:val="00156D95"/>
    <w:rsid w:val="00156F60"/>
    <w:rsid w:val="001574F7"/>
    <w:rsid w:val="00157C73"/>
    <w:rsid w:val="0016055E"/>
    <w:rsid w:val="00160637"/>
    <w:rsid w:val="00160B34"/>
    <w:rsid w:val="00160E96"/>
    <w:rsid w:val="00162B5A"/>
    <w:rsid w:val="00163A78"/>
    <w:rsid w:val="00164809"/>
    <w:rsid w:val="001659CA"/>
    <w:rsid w:val="0016631D"/>
    <w:rsid w:val="001663A2"/>
    <w:rsid w:val="00166CC0"/>
    <w:rsid w:val="0016744E"/>
    <w:rsid w:val="0017033E"/>
    <w:rsid w:val="00170AFE"/>
    <w:rsid w:val="00170EE1"/>
    <w:rsid w:val="0017131A"/>
    <w:rsid w:val="001715DE"/>
    <w:rsid w:val="00172406"/>
    <w:rsid w:val="001726FF"/>
    <w:rsid w:val="001729A3"/>
    <w:rsid w:val="001729C8"/>
    <w:rsid w:val="00172B9D"/>
    <w:rsid w:val="00173CB8"/>
    <w:rsid w:val="00173E05"/>
    <w:rsid w:val="0017426C"/>
    <w:rsid w:val="00174E0B"/>
    <w:rsid w:val="00174E63"/>
    <w:rsid w:val="001756C3"/>
    <w:rsid w:val="001756DE"/>
    <w:rsid w:val="001758B2"/>
    <w:rsid w:val="00175E07"/>
    <w:rsid w:val="001761CA"/>
    <w:rsid w:val="00176DD4"/>
    <w:rsid w:val="00176FC5"/>
    <w:rsid w:val="001772EF"/>
    <w:rsid w:val="00177724"/>
    <w:rsid w:val="0017792E"/>
    <w:rsid w:val="00177A0D"/>
    <w:rsid w:val="0018032F"/>
    <w:rsid w:val="001803B2"/>
    <w:rsid w:val="00180791"/>
    <w:rsid w:val="001808A8"/>
    <w:rsid w:val="00180F9A"/>
    <w:rsid w:val="0018130A"/>
    <w:rsid w:val="00182115"/>
    <w:rsid w:val="00182217"/>
    <w:rsid w:val="00182C9A"/>
    <w:rsid w:val="001834BC"/>
    <w:rsid w:val="00185433"/>
    <w:rsid w:val="00185AF4"/>
    <w:rsid w:val="001862F4"/>
    <w:rsid w:val="00186DF5"/>
    <w:rsid w:val="00187B17"/>
    <w:rsid w:val="00187FC2"/>
    <w:rsid w:val="0019143A"/>
    <w:rsid w:val="00191DDF"/>
    <w:rsid w:val="0019293D"/>
    <w:rsid w:val="001941C9"/>
    <w:rsid w:val="00194855"/>
    <w:rsid w:val="00195496"/>
    <w:rsid w:val="0019636F"/>
    <w:rsid w:val="0019680A"/>
    <w:rsid w:val="00197A80"/>
    <w:rsid w:val="001A001B"/>
    <w:rsid w:val="001A024C"/>
    <w:rsid w:val="001A10D6"/>
    <w:rsid w:val="001A1422"/>
    <w:rsid w:val="001A14AC"/>
    <w:rsid w:val="001A19CF"/>
    <w:rsid w:val="001A1B73"/>
    <w:rsid w:val="001A1D10"/>
    <w:rsid w:val="001A21BF"/>
    <w:rsid w:val="001A2FE4"/>
    <w:rsid w:val="001A3E43"/>
    <w:rsid w:val="001A41BC"/>
    <w:rsid w:val="001A45F4"/>
    <w:rsid w:val="001A460A"/>
    <w:rsid w:val="001A514C"/>
    <w:rsid w:val="001A5AE4"/>
    <w:rsid w:val="001A71FA"/>
    <w:rsid w:val="001A7292"/>
    <w:rsid w:val="001A72BB"/>
    <w:rsid w:val="001B035C"/>
    <w:rsid w:val="001B04EE"/>
    <w:rsid w:val="001B0FCF"/>
    <w:rsid w:val="001B10A5"/>
    <w:rsid w:val="001B162E"/>
    <w:rsid w:val="001B217B"/>
    <w:rsid w:val="001B3E11"/>
    <w:rsid w:val="001B3F93"/>
    <w:rsid w:val="001B404A"/>
    <w:rsid w:val="001B40E9"/>
    <w:rsid w:val="001B4115"/>
    <w:rsid w:val="001B44F9"/>
    <w:rsid w:val="001B492A"/>
    <w:rsid w:val="001B4A57"/>
    <w:rsid w:val="001B4EAE"/>
    <w:rsid w:val="001B5674"/>
    <w:rsid w:val="001B59FE"/>
    <w:rsid w:val="001C0003"/>
    <w:rsid w:val="001C0F70"/>
    <w:rsid w:val="001C14C7"/>
    <w:rsid w:val="001C158A"/>
    <w:rsid w:val="001C15D0"/>
    <w:rsid w:val="001C23B8"/>
    <w:rsid w:val="001C2B86"/>
    <w:rsid w:val="001C2F68"/>
    <w:rsid w:val="001C35C4"/>
    <w:rsid w:val="001C3959"/>
    <w:rsid w:val="001C3ACA"/>
    <w:rsid w:val="001C3F36"/>
    <w:rsid w:val="001C43E8"/>
    <w:rsid w:val="001C44D0"/>
    <w:rsid w:val="001C470F"/>
    <w:rsid w:val="001C4840"/>
    <w:rsid w:val="001C5007"/>
    <w:rsid w:val="001C58AC"/>
    <w:rsid w:val="001C5972"/>
    <w:rsid w:val="001C5CDB"/>
    <w:rsid w:val="001C5ECE"/>
    <w:rsid w:val="001C61B0"/>
    <w:rsid w:val="001C61F8"/>
    <w:rsid w:val="001C6399"/>
    <w:rsid w:val="001C69B9"/>
    <w:rsid w:val="001D0334"/>
    <w:rsid w:val="001D05C6"/>
    <w:rsid w:val="001D06A8"/>
    <w:rsid w:val="001D12B4"/>
    <w:rsid w:val="001D16F5"/>
    <w:rsid w:val="001D1FC8"/>
    <w:rsid w:val="001D2673"/>
    <w:rsid w:val="001D26EF"/>
    <w:rsid w:val="001D28D6"/>
    <w:rsid w:val="001D2B3A"/>
    <w:rsid w:val="001D3EB3"/>
    <w:rsid w:val="001D4D81"/>
    <w:rsid w:val="001D5913"/>
    <w:rsid w:val="001D6A5A"/>
    <w:rsid w:val="001D6B55"/>
    <w:rsid w:val="001D6EF8"/>
    <w:rsid w:val="001D7594"/>
    <w:rsid w:val="001E074B"/>
    <w:rsid w:val="001E0EB2"/>
    <w:rsid w:val="001E1B6C"/>
    <w:rsid w:val="001E1F74"/>
    <w:rsid w:val="001E395B"/>
    <w:rsid w:val="001E3A8D"/>
    <w:rsid w:val="001E4F27"/>
    <w:rsid w:val="001E5253"/>
    <w:rsid w:val="001E5E66"/>
    <w:rsid w:val="001E6989"/>
    <w:rsid w:val="001E6EC3"/>
    <w:rsid w:val="001F018F"/>
    <w:rsid w:val="001F03BC"/>
    <w:rsid w:val="001F1843"/>
    <w:rsid w:val="001F19C4"/>
    <w:rsid w:val="001F1EA0"/>
    <w:rsid w:val="001F24D6"/>
    <w:rsid w:val="001F255F"/>
    <w:rsid w:val="001F2F57"/>
    <w:rsid w:val="001F32DC"/>
    <w:rsid w:val="001F38FA"/>
    <w:rsid w:val="001F3FDA"/>
    <w:rsid w:val="001F4E4A"/>
    <w:rsid w:val="001F53D0"/>
    <w:rsid w:val="001F5B40"/>
    <w:rsid w:val="001F5E62"/>
    <w:rsid w:val="001F602F"/>
    <w:rsid w:val="001F6136"/>
    <w:rsid w:val="001F61AA"/>
    <w:rsid w:val="001F6A9D"/>
    <w:rsid w:val="001F6AF6"/>
    <w:rsid w:val="001F7EC6"/>
    <w:rsid w:val="00200BB5"/>
    <w:rsid w:val="00200D1F"/>
    <w:rsid w:val="0020169B"/>
    <w:rsid w:val="002023C4"/>
    <w:rsid w:val="00202E82"/>
    <w:rsid w:val="00203301"/>
    <w:rsid w:val="00203728"/>
    <w:rsid w:val="00206014"/>
    <w:rsid w:val="00206086"/>
    <w:rsid w:val="0020671F"/>
    <w:rsid w:val="00207ADE"/>
    <w:rsid w:val="00207F1F"/>
    <w:rsid w:val="00207F68"/>
    <w:rsid w:val="002101E6"/>
    <w:rsid w:val="002107E5"/>
    <w:rsid w:val="00210AB2"/>
    <w:rsid w:val="00210C99"/>
    <w:rsid w:val="0021100D"/>
    <w:rsid w:val="002112ED"/>
    <w:rsid w:val="00211645"/>
    <w:rsid w:val="0021173C"/>
    <w:rsid w:val="00211E13"/>
    <w:rsid w:val="00212698"/>
    <w:rsid w:val="00212836"/>
    <w:rsid w:val="00212AC0"/>
    <w:rsid w:val="00212B06"/>
    <w:rsid w:val="00212D8C"/>
    <w:rsid w:val="00212E5C"/>
    <w:rsid w:val="00214514"/>
    <w:rsid w:val="002145F8"/>
    <w:rsid w:val="00215DA4"/>
    <w:rsid w:val="00216252"/>
    <w:rsid w:val="00216991"/>
    <w:rsid w:val="002176C1"/>
    <w:rsid w:val="00217774"/>
    <w:rsid w:val="00217DA2"/>
    <w:rsid w:val="0022013F"/>
    <w:rsid w:val="00221657"/>
    <w:rsid w:val="00221F25"/>
    <w:rsid w:val="00222740"/>
    <w:rsid w:val="00222A28"/>
    <w:rsid w:val="00222C57"/>
    <w:rsid w:val="00223590"/>
    <w:rsid w:val="002235FD"/>
    <w:rsid w:val="002236AF"/>
    <w:rsid w:val="00223E08"/>
    <w:rsid w:val="00224132"/>
    <w:rsid w:val="0022466D"/>
    <w:rsid w:val="002250FE"/>
    <w:rsid w:val="00225CBB"/>
    <w:rsid w:val="00225FAE"/>
    <w:rsid w:val="002264D8"/>
    <w:rsid w:val="002266BC"/>
    <w:rsid w:val="00226F3C"/>
    <w:rsid w:val="00226F42"/>
    <w:rsid w:val="00227478"/>
    <w:rsid w:val="00227A82"/>
    <w:rsid w:val="00227DFD"/>
    <w:rsid w:val="00230017"/>
    <w:rsid w:val="00230D97"/>
    <w:rsid w:val="00230ED5"/>
    <w:rsid w:val="002311E7"/>
    <w:rsid w:val="002312ED"/>
    <w:rsid w:val="00231406"/>
    <w:rsid w:val="002317BC"/>
    <w:rsid w:val="002319B2"/>
    <w:rsid w:val="0023231F"/>
    <w:rsid w:val="00232956"/>
    <w:rsid w:val="00232E9D"/>
    <w:rsid w:val="00233A25"/>
    <w:rsid w:val="00233AAA"/>
    <w:rsid w:val="00233BAB"/>
    <w:rsid w:val="00233EB0"/>
    <w:rsid w:val="00234144"/>
    <w:rsid w:val="002342FE"/>
    <w:rsid w:val="00234900"/>
    <w:rsid w:val="00234DEA"/>
    <w:rsid w:val="00234EDD"/>
    <w:rsid w:val="002351A5"/>
    <w:rsid w:val="002353F0"/>
    <w:rsid w:val="00235CD7"/>
    <w:rsid w:val="00236517"/>
    <w:rsid w:val="00236F30"/>
    <w:rsid w:val="00237D91"/>
    <w:rsid w:val="00240140"/>
    <w:rsid w:val="00240CFC"/>
    <w:rsid w:val="002421E6"/>
    <w:rsid w:val="0024227D"/>
    <w:rsid w:val="002425BE"/>
    <w:rsid w:val="002427CF"/>
    <w:rsid w:val="00242B80"/>
    <w:rsid w:val="00242F00"/>
    <w:rsid w:val="00243586"/>
    <w:rsid w:val="002435C3"/>
    <w:rsid w:val="00243F02"/>
    <w:rsid w:val="002459AD"/>
    <w:rsid w:val="00246914"/>
    <w:rsid w:val="0024721D"/>
    <w:rsid w:val="00247659"/>
    <w:rsid w:val="00247C7C"/>
    <w:rsid w:val="00247CD7"/>
    <w:rsid w:val="002500D9"/>
    <w:rsid w:val="00250E03"/>
    <w:rsid w:val="00251481"/>
    <w:rsid w:val="002518C3"/>
    <w:rsid w:val="00251A0B"/>
    <w:rsid w:val="002531A5"/>
    <w:rsid w:val="002533E7"/>
    <w:rsid w:val="00253E9F"/>
    <w:rsid w:val="00253F76"/>
    <w:rsid w:val="002540A9"/>
    <w:rsid w:val="00254AFE"/>
    <w:rsid w:val="00254C23"/>
    <w:rsid w:val="00255548"/>
    <w:rsid w:val="00255B08"/>
    <w:rsid w:val="0025672F"/>
    <w:rsid w:val="00256D39"/>
    <w:rsid w:val="00256DC9"/>
    <w:rsid w:val="002575F4"/>
    <w:rsid w:val="00260178"/>
    <w:rsid w:val="00260356"/>
    <w:rsid w:val="00260641"/>
    <w:rsid w:val="00260F99"/>
    <w:rsid w:val="0026118D"/>
    <w:rsid w:val="00261432"/>
    <w:rsid w:val="00263DE1"/>
    <w:rsid w:val="0026496D"/>
    <w:rsid w:val="00265A46"/>
    <w:rsid w:val="00265B5C"/>
    <w:rsid w:val="002660A2"/>
    <w:rsid w:val="0026697B"/>
    <w:rsid w:val="00267A45"/>
    <w:rsid w:val="002702DE"/>
    <w:rsid w:val="00271E1F"/>
    <w:rsid w:val="002726F1"/>
    <w:rsid w:val="0027330F"/>
    <w:rsid w:val="00273B53"/>
    <w:rsid w:val="00273E8E"/>
    <w:rsid w:val="00274209"/>
    <w:rsid w:val="002748C2"/>
    <w:rsid w:val="00274E10"/>
    <w:rsid w:val="00275BE3"/>
    <w:rsid w:val="00275D3C"/>
    <w:rsid w:val="00275FC5"/>
    <w:rsid w:val="002762BE"/>
    <w:rsid w:val="002763AC"/>
    <w:rsid w:val="002772AD"/>
    <w:rsid w:val="002773DC"/>
    <w:rsid w:val="00281A92"/>
    <w:rsid w:val="00281F61"/>
    <w:rsid w:val="00283437"/>
    <w:rsid w:val="00283543"/>
    <w:rsid w:val="00284555"/>
    <w:rsid w:val="00285DEE"/>
    <w:rsid w:val="002861B9"/>
    <w:rsid w:val="0028649D"/>
    <w:rsid w:val="002868B2"/>
    <w:rsid w:val="00286A91"/>
    <w:rsid w:val="00286CEB"/>
    <w:rsid w:val="00287277"/>
    <w:rsid w:val="00287DC1"/>
    <w:rsid w:val="00290337"/>
    <w:rsid w:val="00290360"/>
    <w:rsid w:val="00290A38"/>
    <w:rsid w:val="00291108"/>
    <w:rsid w:val="00291915"/>
    <w:rsid w:val="00291BAB"/>
    <w:rsid w:val="0029216D"/>
    <w:rsid w:val="00292696"/>
    <w:rsid w:val="0029341F"/>
    <w:rsid w:val="00293605"/>
    <w:rsid w:val="00293803"/>
    <w:rsid w:val="0029399F"/>
    <w:rsid w:val="00295263"/>
    <w:rsid w:val="0029628B"/>
    <w:rsid w:val="002970AA"/>
    <w:rsid w:val="00297184"/>
    <w:rsid w:val="002971C6"/>
    <w:rsid w:val="00297A88"/>
    <w:rsid w:val="00297DD4"/>
    <w:rsid w:val="002A02F8"/>
    <w:rsid w:val="002A0673"/>
    <w:rsid w:val="002A07EA"/>
    <w:rsid w:val="002A0A87"/>
    <w:rsid w:val="002A0DB0"/>
    <w:rsid w:val="002A1263"/>
    <w:rsid w:val="002A1997"/>
    <w:rsid w:val="002A1D0E"/>
    <w:rsid w:val="002A2B38"/>
    <w:rsid w:val="002A2F99"/>
    <w:rsid w:val="002A3804"/>
    <w:rsid w:val="002A3B7D"/>
    <w:rsid w:val="002A3D67"/>
    <w:rsid w:val="002A401B"/>
    <w:rsid w:val="002A498C"/>
    <w:rsid w:val="002A4DA4"/>
    <w:rsid w:val="002A599B"/>
    <w:rsid w:val="002A5A3A"/>
    <w:rsid w:val="002A5CBB"/>
    <w:rsid w:val="002A6834"/>
    <w:rsid w:val="002A6FE6"/>
    <w:rsid w:val="002A769F"/>
    <w:rsid w:val="002A7EB3"/>
    <w:rsid w:val="002B0B7B"/>
    <w:rsid w:val="002B1030"/>
    <w:rsid w:val="002B1147"/>
    <w:rsid w:val="002B376E"/>
    <w:rsid w:val="002B3C59"/>
    <w:rsid w:val="002B3CE1"/>
    <w:rsid w:val="002B3F9D"/>
    <w:rsid w:val="002B4590"/>
    <w:rsid w:val="002B533F"/>
    <w:rsid w:val="002B5741"/>
    <w:rsid w:val="002B5990"/>
    <w:rsid w:val="002B5B61"/>
    <w:rsid w:val="002B69AA"/>
    <w:rsid w:val="002B6C31"/>
    <w:rsid w:val="002B7C01"/>
    <w:rsid w:val="002C09C4"/>
    <w:rsid w:val="002C1040"/>
    <w:rsid w:val="002C1CC3"/>
    <w:rsid w:val="002C2160"/>
    <w:rsid w:val="002C2928"/>
    <w:rsid w:val="002C3386"/>
    <w:rsid w:val="002C3E6E"/>
    <w:rsid w:val="002C448B"/>
    <w:rsid w:val="002C451C"/>
    <w:rsid w:val="002C4B76"/>
    <w:rsid w:val="002C4CFF"/>
    <w:rsid w:val="002C4ECA"/>
    <w:rsid w:val="002C5013"/>
    <w:rsid w:val="002C5164"/>
    <w:rsid w:val="002C52CE"/>
    <w:rsid w:val="002C58DB"/>
    <w:rsid w:val="002C5E78"/>
    <w:rsid w:val="002C5F31"/>
    <w:rsid w:val="002C67A7"/>
    <w:rsid w:val="002C6ED2"/>
    <w:rsid w:val="002C75CB"/>
    <w:rsid w:val="002D0770"/>
    <w:rsid w:val="002D0CA7"/>
    <w:rsid w:val="002D0F13"/>
    <w:rsid w:val="002D1072"/>
    <w:rsid w:val="002D1C05"/>
    <w:rsid w:val="002D1D7F"/>
    <w:rsid w:val="002D2598"/>
    <w:rsid w:val="002D272A"/>
    <w:rsid w:val="002D2D9A"/>
    <w:rsid w:val="002D2ED0"/>
    <w:rsid w:val="002D3768"/>
    <w:rsid w:val="002D38A3"/>
    <w:rsid w:val="002D3A2F"/>
    <w:rsid w:val="002D42C1"/>
    <w:rsid w:val="002D48BF"/>
    <w:rsid w:val="002D49AA"/>
    <w:rsid w:val="002D4C93"/>
    <w:rsid w:val="002D4E73"/>
    <w:rsid w:val="002D5211"/>
    <w:rsid w:val="002D530C"/>
    <w:rsid w:val="002D5D7A"/>
    <w:rsid w:val="002D6DD5"/>
    <w:rsid w:val="002D6DE6"/>
    <w:rsid w:val="002D7233"/>
    <w:rsid w:val="002D7325"/>
    <w:rsid w:val="002D7710"/>
    <w:rsid w:val="002E14F2"/>
    <w:rsid w:val="002E2E12"/>
    <w:rsid w:val="002E3F12"/>
    <w:rsid w:val="002E400D"/>
    <w:rsid w:val="002E44C2"/>
    <w:rsid w:val="002E4BE8"/>
    <w:rsid w:val="002E60EF"/>
    <w:rsid w:val="002E63E9"/>
    <w:rsid w:val="002E6649"/>
    <w:rsid w:val="002F09D2"/>
    <w:rsid w:val="002F1148"/>
    <w:rsid w:val="002F14F0"/>
    <w:rsid w:val="002F1515"/>
    <w:rsid w:val="002F15E8"/>
    <w:rsid w:val="002F179D"/>
    <w:rsid w:val="002F20DB"/>
    <w:rsid w:val="002F3895"/>
    <w:rsid w:val="002F5602"/>
    <w:rsid w:val="002F613E"/>
    <w:rsid w:val="002F6AAD"/>
    <w:rsid w:val="002F6AEF"/>
    <w:rsid w:val="002F711E"/>
    <w:rsid w:val="002F7C1C"/>
    <w:rsid w:val="002F7E66"/>
    <w:rsid w:val="002F7EEE"/>
    <w:rsid w:val="00300557"/>
    <w:rsid w:val="00300B79"/>
    <w:rsid w:val="003016A7"/>
    <w:rsid w:val="003017D0"/>
    <w:rsid w:val="00301E8A"/>
    <w:rsid w:val="00302D14"/>
    <w:rsid w:val="003037B6"/>
    <w:rsid w:val="00303846"/>
    <w:rsid w:val="00303B4D"/>
    <w:rsid w:val="003042C4"/>
    <w:rsid w:val="003046FB"/>
    <w:rsid w:val="00304DA3"/>
    <w:rsid w:val="00304E19"/>
    <w:rsid w:val="00304FAE"/>
    <w:rsid w:val="0030534C"/>
    <w:rsid w:val="00305C71"/>
    <w:rsid w:val="00306A92"/>
    <w:rsid w:val="00307699"/>
    <w:rsid w:val="00310812"/>
    <w:rsid w:val="00310D14"/>
    <w:rsid w:val="00311977"/>
    <w:rsid w:val="003126C1"/>
    <w:rsid w:val="0031393E"/>
    <w:rsid w:val="003143F4"/>
    <w:rsid w:val="00314BCF"/>
    <w:rsid w:val="00315180"/>
    <w:rsid w:val="0031528E"/>
    <w:rsid w:val="003152AF"/>
    <w:rsid w:val="003162F0"/>
    <w:rsid w:val="00316A01"/>
    <w:rsid w:val="00316ACB"/>
    <w:rsid w:val="00320066"/>
    <w:rsid w:val="003202F9"/>
    <w:rsid w:val="003213B7"/>
    <w:rsid w:val="00322068"/>
    <w:rsid w:val="00322080"/>
    <w:rsid w:val="0032283D"/>
    <w:rsid w:val="00322B94"/>
    <w:rsid w:val="003235F1"/>
    <w:rsid w:val="00323D92"/>
    <w:rsid w:val="00324275"/>
    <w:rsid w:val="00324295"/>
    <w:rsid w:val="0032585C"/>
    <w:rsid w:val="00326110"/>
    <w:rsid w:val="0032624B"/>
    <w:rsid w:val="003262CB"/>
    <w:rsid w:val="003264B6"/>
    <w:rsid w:val="0032657A"/>
    <w:rsid w:val="00326871"/>
    <w:rsid w:val="00327059"/>
    <w:rsid w:val="00327717"/>
    <w:rsid w:val="00327838"/>
    <w:rsid w:val="00331DDE"/>
    <w:rsid w:val="00331E25"/>
    <w:rsid w:val="003329DB"/>
    <w:rsid w:val="00332FEF"/>
    <w:rsid w:val="003332A0"/>
    <w:rsid w:val="003339B3"/>
    <w:rsid w:val="00333E43"/>
    <w:rsid w:val="0033446A"/>
    <w:rsid w:val="00334AF3"/>
    <w:rsid w:val="00334D71"/>
    <w:rsid w:val="00335418"/>
    <w:rsid w:val="0033556B"/>
    <w:rsid w:val="00336C06"/>
    <w:rsid w:val="00336F1C"/>
    <w:rsid w:val="00337014"/>
    <w:rsid w:val="00337158"/>
    <w:rsid w:val="003375A5"/>
    <w:rsid w:val="00337889"/>
    <w:rsid w:val="00337DA0"/>
    <w:rsid w:val="00337FBF"/>
    <w:rsid w:val="00342F85"/>
    <w:rsid w:val="00344830"/>
    <w:rsid w:val="00344C7B"/>
    <w:rsid w:val="00345387"/>
    <w:rsid w:val="0034552B"/>
    <w:rsid w:val="00345854"/>
    <w:rsid w:val="00346715"/>
    <w:rsid w:val="003467FE"/>
    <w:rsid w:val="00347109"/>
    <w:rsid w:val="003475F0"/>
    <w:rsid w:val="00347ADB"/>
    <w:rsid w:val="00347D6C"/>
    <w:rsid w:val="00347F97"/>
    <w:rsid w:val="00350D18"/>
    <w:rsid w:val="0035354E"/>
    <w:rsid w:val="0035364C"/>
    <w:rsid w:val="00353AD9"/>
    <w:rsid w:val="00353B68"/>
    <w:rsid w:val="003540E0"/>
    <w:rsid w:val="0035477C"/>
    <w:rsid w:val="0035495C"/>
    <w:rsid w:val="00354C10"/>
    <w:rsid w:val="00355A31"/>
    <w:rsid w:val="00356704"/>
    <w:rsid w:val="00356A10"/>
    <w:rsid w:val="0035721D"/>
    <w:rsid w:val="00357833"/>
    <w:rsid w:val="00357ADB"/>
    <w:rsid w:val="00360DB3"/>
    <w:rsid w:val="00360EB3"/>
    <w:rsid w:val="003611E7"/>
    <w:rsid w:val="00361C2C"/>
    <w:rsid w:val="0036217F"/>
    <w:rsid w:val="00362826"/>
    <w:rsid w:val="0036294F"/>
    <w:rsid w:val="00362D52"/>
    <w:rsid w:val="00363428"/>
    <w:rsid w:val="00363710"/>
    <w:rsid w:val="00364E21"/>
    <w:rsid w:val="0036507F"/>
    <w:rsid w:val="00365EB1"/>
    <w:rsid w:val="00366D70"/>
    <w:rsid w:val="003676F3"/>
    <w:rsid w:val="00371649"/>
    <w:rsid w:val="00371972"/>
    <w:rsid w:val="003719E2"/>
    <w:rsid w:val="00371B83"/>
    <w:rsid w:val="0037260A"/>
    <w:rsid w:val="00372775"/>
    <w:rsid w:val="0037283F"/>
    <w:rsid w:val="00373801"/>
    <w:rsid w:val="00374315"/>
    <w:rsid w:val="0037557C"/>
    <w:rsid w:val="00375C42"/>
    <w:rsid w:val="003760FD"/>
    <w:rsid w:val="00376245"/>
    <w:rsid w:val="0037675B"/>
    <w:rsid w:val="00376CCD"/>
    <w:rsid w:val="003772B3"/>
    <w:rsid w:val="0038012B"/>
    <w:rsid w:val="0038095E"/>
    <w:rsid w:val="00380ABB"/>
    <w:rsid w:val="00381292"/>
    <w:rsid w:val="003815E6"/>
    <w:rsid w:val="00382002"/>
    <w:rsid w:val="00382DF8"/>
    <w:rsid w:val="00382F33"/>
    <w:rsid w:val="00383174"/>
    <w:rsid w:val="00383864"/>
    <w:rsid w:val="003847F2"/>
    <w:rsid w:val="00384F2F"/>
    <w:rsid w:val="003856B1"/>
    <w:rsid w:val="00385D8D"/>
    <w:rsid w:val="0038626E"/>
    <w:rsid w:val="003870FF"/>
    <w:rsid w:val="00387897"/>
    <w:rsid w:val="0038796A"/>
    <w:rsid w:val="00390A32"/>
    <w:rsid w:val="00390BE2"/>
    <w:rsid w:val="00390EBC"/>
    <w:rsid w:val="00391448"/>
    <w:rsid w:val="00391959"/>
    <w:rsid w:val="003919BF"/>
    <w:rsid w:val="00391D39"/>
    <w:rsid w:val="00392C11"/>
    <w:rsid w:val="00392D64"/>
    <w:rsid w:val="00393AC7"/>
    <w:rsid w:val="00393BEB"/>
    <w:rsid w:val="00393DBC"/>
    <w:rsid w:val="00394A4C"/>
    <w:rsid w:val="00394AB0"/>
    <w:rsid w:val="0039611A"/>
    <w:rsid w:val="00396336"/>
    <w:rsid w:val="0039657F"/>
    <w:rsid w:val="003967A7"/>
    <w:rsid w:val="00397774"/>
    <w:rsid w:val="003977B3"/>
    <w:rsid w:val="00397DD6"/>
    <w:rsid w:val="00397E1A"/>
    <w:rsid w:val="003A020B"/>
    <w:rsid w:val="003A0DFC"/>
    <w:rsid w:val="003A13A3"/>
    <w:rsid w:val="003A14E3"/>
    <w:rsid w:val="003A179F"/>
    <w:rsid w:val="003A2734"/>
    <w:rsid w:val="003A283E"/>
    <w:rsid w:val="003A36F2"/>
    <w:rsid w:val="003A4A10"/>
    <w:rsid w:val="003A4F9A"/>
    <w:rsid w:val="003A646C"/>
    <w:rsid w:val="003A74E5"/>
    <w:rsid w:val="003A77ED"/>
    <w:rsid w:val="003B0024"/>
    <w:rsid w:val="003B0934"/>
    <w:rsid w:val="003B305F"/>
    <w:rsid w:val="003B40FC"/>
    <w:rsid w:val="003B46EB"/>
    <w:rsid w:val="003B4A9F"/>
    <w:rsid w:val="003B4E4F"/>
    <w:rsid w:val="003B5592"/>
    <w:rsid w:val="003B6C60"/>
    <w:rsid w:val="003B6F74"/>
    <w:rsid w:val="003B7FB7"/>
    <w:rsid w:val="003B7FDC"/>
    <w:rsid w:val="003C0A15"/>
    <w:rsid w:val="003C18FB"/>
    <w:rsid w:val="003C2A92"/>
    <w:rsid w:val="003C35E3"/>
    <w:rsid w:val="003C37FF"/>
    <w:rsid w:val="003C4416"/>
    <w:rsid w:val="003C4D5A"/>
    <w:rsid w:val="003C4E09"/>
    <w:rsid w:val="003C6254"/>
    <w:rsid w:val="003C703F"/>
    <w:rsid w:val="003C740C"/>
    <w:rsid w:val="003D06B2"/>
    <w:rsid w:val="003D0701"/>
    <w:rsid w:val="003D0E7A"/>
    <w:rsid w:val="003D1110"/>
    <w:rsid w:val="003D16C7"/>
    <w:rsid w:val="003D18F0"/>
    <w:rsid w:val="003D2BE4"/>
    <w:rsid w:val="003D2C05"/>
    <w:rsid w:val="003D2C95"/>
    <w:rsid w:val="003D41D2"/>
    <w:rsid w:val="003D43F3"/>
    <w:rsid w:val="003D4979"/>
    <w:rsid w:val="003D49BB"/>
    <w:rsid w:val="003D49E0"/>
    <w:rsid w:val="003D4B27"/>
    <w:rsid w:val="003D4E3B"/>
    <w:rsid w:val="003D53B7"/>
    <w:rsid w:val="003D576B"/>
    <w:rsid w:val="003D5778"/>
    <w:rsid w:val="003D661B"/>
    <w:rsid w:val="003D67B6"/>
    <w:rsid w:val="003D6F39"/>
    <w:rsid w:val="003D6F86"/>
    <w:rsid w:val="003E02AC"/>
    <w:rsid w:val="003E0B37"/>
    <w:rsid w:val="003E0BFC"/>
    <w:rsid w:val="003E0F9E"/>
    <w:rsid w:val="003E1E0A"/>
    <w:rsid w:val="003E1F00"/>
    <w:rsid w:val="003E1F04"/>
    <w:rsid w:val="003E2158"/>
    <w:rsid w:val="003E21C9"/>
    <w:rsid w:val="003E2719"/>
    <w:rsid w:val="003E31C3"/>
    <w:rsid w:val="003E36B2"/>
    <w:rsid w:val="003E3AE0"/>
    <w:rsid w:val="003E3DEF"/>
    <w:rsid w:val="003E5B02"/>
    <w:rsid w:val="003E6471"/>
    <w:rsid w:val="003E7678"/>
    <w:rsid w:val="003E79CB"/>
    <w:rsid w:val="003E7DD0"/>
    <w:rsid w:val="003F0650"/>
    <w:rsid w:val="003F0AD2"/>
    <w:rsid w:val="003F1303"/>
    <w:rsid w:val="003F1642"/>
    <w:rsid w:val="003F1D28"/>
    <w:rsid w:val="003F243C"/>
    <w:rsid w:val="003F2691"/>
    <w:rsid w:val="003F2C9E"/>
    <w:rsid w:val="003F301B"/>
    <w:rsid w:val="003F3308"/>
    <w:rsid w:val="003F35DB"/>
    <w:rsid w:val="003F408B"/>
    <w:rsid w:val="003F53B5"/>
    <w:rsid w:val="003F686A"/>
    <w:rsid w:val="003F6ACF"/>
    <w:rsid w:val="003F6AE5"/>
    <w:rsid w:val="003F6F04"/>
    <w:rsid w:val="004000DD"/>
    <w:rsid w:val="00400564"/>
    <w:rsid w:val="0040082A"/>
    <w:rsid w:val="004010CD"/>
    <w:rsid w:val="004012B0"/>
    <w:rsid w:val="004023AB"/>
    <w:rsid w:val="00402475"/>
    <w:rsid w:val="00402ACB"/>
    <w:rsid w:val="00402C7A"/>
    <w:rsid w:val="004038B9"/>
    <w:rsid w:val="00404A28"/>
    <w:rsid w:val="00404A2A"/>
    <w:rsid w:val="0040559E"/>
    <w:rsid w:val="00405773"/>
    <w:rsid w:val="004059D8"/>
    <w:rsid w:val="004073AF"/>
    <w:rsid w:val="00407A39"/>
    <w:rsid w:val="00411152"/>
    <w:rsid w:val="004111C6"/>
    <w:rsid w:val="004115EB"/>
    <w:rsid w:val="00411AD8"/>
    <w:rsid w:val="00412E55"/>
    <w:rsid w:val="00413933"/>
    <w:rsid w:val="00413F63"/>
    <w:rsid w:val="00414244"/>
    <w:rsid w:val="00414732"/>
    <w:rsid w:val="0041514E"/>
    <w:rsid w:val="00415382"/>
    <w:rsid w:val="00415641"/>
    <w:rsid w:val="00415BD0"/>
    <w:rsid w:val="00416DC2"/>
    <w:rsid w:val="0041738D"/>
    <w:rsid w:val="0042102E"/>
    <w:rsid w:val="004210CB"/>
    <w:rsid w:val="0042191B"/>
    <w:rsid w:val="00421DD5"/>
    <w:rsid w:val="00422EA7"/>
    <w:rsid w:val="00422F4D"/>
    <w:rsid w:val="004238D5"/>
    <w:rsid w:val="00423CA3"/>
    <w:rsid w:val="00424033"/>
    <w:rsid w:val="004246CB"/>
    <w:rsid w:val="00424DCD"/>
    <w:rsid w:val="00425343"/>
    <w:rsid w:val="004253E6"/>
    <w:rsid w:val="004254D4"/>
    <w:rsid w:val="004258CF"/>
    <w:rsid w:val="004261B2"/>
    <w:rsid w:val="00426AAC"/>
    <w:rsid w:val="00426CBC"/>
    <w:rsid w:val="00427ADA"/>
    <w:rsid w:val="00427BB8"/>
    <w:rsid w:val="0043014C"/>
    <w:rsid w:val="00430308"/>
    <w:rsid w:val="004306CC"/>
    <w:rsid w:val="00430A4C"/>
    <w:rsid w:val="00430BC5"/>
    <w:rsid w:val="0043189F"/>
    <w:rsid w:val="00432054"/>
    <w:rsid w:val="0043223F"/>
    <w:rsid w:val="00432672"/>
    <w:rsid w:val="0043354F"/>
    <w:rsid w:val="00433B4D"/>
    <w:rsid w:val="00434110"/>
    <w:rsid w:val="00434401"/>
    <w:rsid w:val="004351AE"/>
    <w:rsid w:val="004353C8"/>
    <w:rsid w:val="00435C31"/>
    <w:rsid w:val="00435FA1"/>
    <w:rsid w:val="00440F8E"/>
    <w:rsid w:val="00441A7B"/>
    <w:rsid w:val="00442829"/>
    <w:rsid w:val="0044412F"/>
    <w:rsid w:val="004446D1"/>
    <w:rsid w:val="00444E5B"/>
    <w:rsid w:val="004458F3"/>
    <w:rsid w:val="0044626A"/>
    <w:rsid w:val="00446D19"/>
    <w:rsid w:val="00446F75"/>
    <w:rsid w:val="0044771B"/>
    <w:rsid w:val="00447B08"/>
    <w:rsid w:val="00447BF8"/>
    <w:rsid w:val="00450970"/>
    <w:rsid w:val="00451D67"/>
    <w:rsid w:val="0045227A"/>
    <w:rsid w:val="00453B3D"/>
    <w:rsid w:val="00454251"/>
    <w:rsid w:val="00454EE1"/>
    <w:rsid w:val="00455335"/>
    <w:rsid w:val="00455AFE"/>
    <w:rsid w:val="00455B58"/>
    <w:rsid w:val="00455BAF"/>
    <w:rsid w:val="00455C4E"/>
    <w:rsid w:val="00456234"/>
    <w:rsid w:val="00456BA5"/>
    <w:rsid w:val="00456EE7"/>
    <w:rsid w:val="0045721B"/>
    <w:rsid w:val="00457679"/>
    <w:rsid w:val="0046038C"/>
    <w:rsid w:val="00460797"/>
    <w:rsid w:val="00461FAE"/>
    <w:rsid w:val="00462465"/>
    <w:rsid w:val="004625EF"/>
    <w:rsid w:val="0046338C"/>
    <w:rsid w:val="00463AB4"/>
    <w:rsid w:val="00463B08"/>
    <w:rsid w:val="00463B0C"/>
    <w:rsid w:val="00464806"/>
    <w:rsid w:val="00464F05"/>
    <w:rsid w:val="00465885"/>
    <w:rsid w:val="00466A8F"/>
    <w:rsid w:val="004673BD"/>
    <w:rsid w:val="00467B42"/>
    <w:rsid w:val="0047053B"/>
    <w:rsid w:val="00470A70"/>
    <w:rsid w:val="00470D4B"/>
    <w:rsid w:val="00471194"/>
    <w:rsid w:val="0047275B"/>
    <w:rsid w:val="004728FC"/>
    <w:rsid w:val="00472A20"/>
    <w:rsid w:val="00472CAF"/>
    <w:rsid w:val="00472F7D"/>
    <w:rsid w:val="00473497"/>
    <w:rsid w:val="004734AD"/>
    <w:rsid w:val="00473EFA"/>
    <w:rsid w:val="00475723"/>
    <w:rsid w:val="00475B6E"/>
    <w:rsid w:val="00476FC7"/>
    <w:rsid w:val="00477158"/>
    <w:rsid w:val="004775BF"/>
    <w:rsid w:val="00477959"/>
    <w:rsid w:val="00477A18"/>
    <w:rsid w:val="00477EA5"/>
    <w:rsid w:val="00477F31"/>
    <w:rsid w:val="00480560"/>
    <w:rsid w:val="004808A2"/>
    <w:rsid w:val="004816F9"/>
    <w:rsid w:val="00482D63"/>
    <w:rsid w:val="00482F0C"/>
    <w:rsid w:val="00482F69"/>
    <w:rsid w:val="00484409"/>
    <w:rsid w:val="00485784"/>
    <w:rsid w:val="00485CD6"/>
    <w:rsid w:val="00486896"/>
    <w:rsid w:val="0048714D"/>
    <w:rsid w:val="0048715D"/>
    <w:rsid w:val="00487243"/>
    <w:rsid w:val="00490522"/>
    <w:rsid w:val="00490708"/>
    <w:rsid w:val="00490898"/>
    <w:rsid w:val="00490A9B"/>
    <w:rsid w:val="00490E79"/>
    <w:rsid w:val="0049166B"/>
    <w:rsid w:val="00492B78"/>
    <w:rsid w:val="00493BE4"/>
    <w:rsid w:val="00495A86"/>
    <w:rsid w:val="00495AB8"/>
    <w:rsid w:val="004962C8"/>
    <w:rsid w:val="0049779E"/>
    <w:rsid w:val="00497AAC"/>
    <w:rsid w:val="004A09E8"/>
    <w:rsid w:val="004A125D"/>
    <w:rsid w:val="004A2ABE"/>
    <w:rsid w:val="004A3D39"/>
    <w:rsid w:val="004A3D78"/>
    <w:rsid w:val="004A4136"/>
    <w:rsid w:val="004A479C"/>
    <w:rsid w:val="004A4B59"/>
    <w:rsid w:val="004A4BBF"/>
    <w:rsid w:val="004A4BC3"/>
    <w:rsid w:val="004A4DB9"/>
    <w:rsid w:val="004A5047"/>
    <w:rsid w:val="004A50AA"/>
    <w:rsid w:val="004A54AB"/>
    <w:rsid w:val="004A5F00"/>
    <w:rsid w:val="004A6FDF"/>
    <w:rsid w:val="004A7F7D"/>
    <w:rsid w:val="004B073F"/>
    <w:rsid w:val="004B0997"/>
    <w:rsid w:val="004B0B31"/>
    <w:rsid w:val="004B1B52"/>
    <w:rsid w:val="004B217D"/>
    <w:rsid w:val="004B3ECD"/>
    <w:rsid w:val="004B3FE2"/>
    <w:rsid w:val="004B4F56"/>
    <w:rsid w:val="004B50AA"/>
    <w:rsid w:val="004B52DF"/>
    <w:rsid w:val="004B55D6"/>
    <w:rsid w:val="004B5758"/>
    <w:rsid w:val="004B58D7"/>
    <w:rsid w:val="004B58DE"/>
    <w:rsid w:val="004B5F9C"/>
    <w:rsid w:val="004B61AE"/>
    <w:rsid w:val="004B6698"/>
    <w:rsid w:val="004B6AEB"/>
    <w:rsid w:val="004B6FD8"/>
    <w:rsid w:val="004B70FC"/>
    <w:rsid w:val="004B7FF7"/>
    <w:rsid w:val="004C0867"/>
    <w:rsid w:val="004C0F82"/>
    <w:rsid w:val="004C0FB0"/>
    <w:rsid w:val="004C18C1"/>
    <w:rsid w:val="004C2B36"/>
    <w:rsid w:val="004C2ECE"/>
    <w:rsid w:val="004C3EB1"/>
    <w:rsid w:val="004C4284"/>
    <w:rsid w:val="004C434C"/>
    <w:rsid w:val="004C4E7C"/>
    <w:rsid w:val="004C526A"/>
    <w:rsid w:val="004C54A2"/>
    <w:rsid w:val="004C5CF7"/>
    <w:rsid w:val="004C640A"/>
    <w:rsid w:val="004C643E"/>
    <w:rsid w:val="004C7B5A"/>
    <w:rsid w:val="004D087E"/>
    <w:rsid w:val="004D0F78"/>
    <w:rsid w:val="004D2331"/>
    <w:rsid w:val="004D28C6"/>
    <w:rsid w:val="004D2AB3"/>
    <w:rsid w:val="004D2BD3"/>
    <w:rsid w:val="004D445E"/>
    <w:rsid w:val="004D4F0E"/>
    <w:rsid w:val="004D6647"/>
    <w:rsid w:val="004D6A1D"/>
    <w:rsid w:val="004D6DC6"/>
    <w:rsid w:val="004D72CB"/>
    <w:rsid w:val="004E0620"/>
    <w:rsid w:val="004E0A62"/>
    <w:rsid w:val="004E11E6"/>
    <w:rsid w:val="004E1794"/>
    <w:rsid w:val="004E1C10"/>
    <w:rsid w:val="004E2687"/>
    <w:rsid w:val="004E2DA6"/>
    <w:rsid w:val="004E2F08"/>
    <w:rsid w:val="004E2F92"/>
    <w:rsid w:val="004E4A95"/>
    <w:rsid w:val="004E584C"/>
    <w:rsid w:val="004E6898"/>
    <w:rsid w:val="004E6A31"/>
    <w:rsid w:val="004E6B0B"/>
    <w:rsid w:val="004E7080"/>
    <w:rsid w:val="004E78EE"/>
    <w:rsid w:val="004F01DD"/>
    <w:rsid w:val="004F05A9"/>
    <w:rsid w:val="004F091F"/>
    <w:rsid w:val="004F104A"/>
    <w:rsid w:val="004F11C9"/>
    <w:rsid w:val="004F23C2"/>
    <w:rsid w:val="004F3507"/>
    <w:rsid w:val="004F3E65"/>
    <w:rsid w:val="004F4097"/>
    <w:rsid w:val="004F42CD"/>
    <w:rsid w:val="004F4430"/>
    <w:rsid w:val="004F494B"/>
    <w:rsid w:val="004F4FB6"/>
    <w:rsid w:val="004F51B2"/>
    <w:rsid w:val="004F534F"/>
    <w:rsid w:val="004F55DF"/>
    <w:rsid w:val="004F5AF6"/>
    <w:rsid w:val="004F5B42"/>
    <w:rsid w:val="004F62A1"/>
    <w:rsid w:val="004F63BE"/>
    <w:rsid w:val="004F6D82"/>
    <w:rsid w:val="004F7C91"/>
    <w:rsid w:val="00500C77"/>
    <w:rsid w:val="00500FA3"/>
    <w:rsid w:val="00501BEE"/>
    <w:rsid w:val="005020DC"/>
    <w:rsid w:val="00502BFB"/>
    <w:rsid w:val="00503440"/>
    <w:rsid w:val="00504695"/>
    <w:rsid w:val="0050496A"/>
    <w:rsid w:val="00504C89"/>
    <w:rsid w:val="00504D3A"/>
    <w:rsid w:val="005050D4"/>
    <w:rsid w:val="00505450"/>
    <w:rsid w:val="00505B9D"/>
    <w:rsid w:val="0050764D"/>
    <w:rsid w:val="00507F70"/>
    <w:rsid w:val="005109B4"/>
    <w:rsid w:val="00510D49"/>
    <w:rsid w:val="00510E08"/>
    <w:rsid w:val="00512A82"/>
    <w:rsid w:val="00513B35"/>
    <w:rsid w:val="00513EB9"/>
    <w:rsid w:val="00514DED"/>
    <w:rsid w:val="005152B6"/>
    <w:rsid w:val="005152CE"/>
    <w:rsid w:val="0051646F"/>
    <w:rsid w:val="00517380"/>
    <w:rsid w:val="0051757B"/>
    <w:rsid w:val="005202C7"/>
    <w:rsid w:val="0052039C"/>
    <w:rsid w:val="005214CD"/>
    <w:rsid w:val="005214D9"/>
    <w:rsid w:val="00521834"/>
    <w:rsid w:val="00521D51"/>
    <w:rsid w:val="0052219D"/>
    <w:rsid w:val="00523628"/>
    <w:rsid w:val="00523CDD"/>
    <w:rsid w:val="0052419F"/>
    <w:rsid w:val="0052496C"/>
    <w:rsid w:val="00524BB8"/>
    <w:rsid w:val="0052552B"/>
    <w:rsid w:val="00525751"/>
    <w:rsid w:val="0052587A"/>
    <w:rsid w:val="00525C37"/>
    <w:rsid w:val="005261D5"/>
    <w:rsid w:val="00526632"/>
    <w:rsid w:val="00526A7C"/>
    <w:rsid w:val="00526C98"/>
    <w:rsid w:val="00527127"/>
    <w:rsid w:val="00527411"/>
    <w:rsid w:val="00527642"/>
    <w:rsid w:val="00527DBE"/>
    <w:rsid w:val="005300F7"/>
    <w:rsid w:val="00530310"/>
    <w:rsid w:val="00530651"/>
    <w:rsid w:val="005309BD"/>
    <w:rsid w:val="00531B91"/>
    <w:rsid w:val="005327FB"/>
    <w:rsid w:val="00533BD5"/>
    <w:rsid w:val="00533E48"/>
    <w:rsid w:val="00534119"/>
    <w:rsid w:val="00536D3D"/>
    <w:rsid w:val="005377A4"/>
    <w:rsid w:val="00537D04"/>
    <w:rsid w:val="00537FDE"/>
    <w:rsid w:val="00540043"/>
    <w:rsid w:val="0054009A"/>
    <w:rsid w:val="00541203"/>
    <w:rsid w:val="005413BB"/>
    <w:rsid w:val="00541D81"/>
    <w:rsid w:val="0054247B"/>
    <w:rsid w:val="00542CE0"/>
    <w:rsid w:val="00543390"/>
    <w:rsid w:val="005442F1"/>
    <w:rsid w:val="00544BA5"/>
    <w:rsid w:val="00545879"/>
    <w:rsid w:val="005459C0"/>
    <w:rsid w:val="00545B64"/>
    <w:rsid w:val="00546314"/>
    <w:rsid w:val="00546547"/>
    <w:rsid w:val="00546AAE"/>
    <w:rsid w:val="005473B6"/>
    <w:rsid w:val="00547D87"/>
    <w:rsid w:val="00550115"/>
    <w:rsid w:val="00550CF8"/>
    <w:rsid w:val="00551D69"/>
    <w:rsid w:val="00551E03"/>
    <w:rsid w:val="00552CB8"/>
    <w:rsid w:val="005531BA"/>
    <w:rsid w:val="0055386B"/>
    <w:rsid w:val="005554B7"/>
    <w:rsid w:val="00555945"/>
    <w:rsid w:val="0055610C"/>
    <w:rsid w:val="005565D0"/>
    <w:rsid w:val="00556845"/>
    <w:rsid w:val="00557BBC"/>
    <w:rsid w:val="00560911"/>
    <w:rsid w:val="00560FF7"/>
    <w:rsid w:val="0056176B"/>
    <w:rsid w:val="00561AA1"/>
    <w:rsid w:val="00561E05"/>
    <w:rsid w:val="005622C2"/>
    <w:rsid w:val="00562F19"/>
    <w:rsid w:val="005640CC"/>
    <w:rsid w:val="0056461C"/>
    <w:rsid w:val="00565305"/>
    <w:rsid w:val="005653C8"/>
    <w:rsid w:val="0056595D"/>
    <w:rsid w:val="00565A8C"/>
    <w:rsid w:val="00565D7C"/>
    <w:rsid w:val="00566011"/>
    <w:rsid w:val="00566019"/>
    <w:rsid w:val="0056674B"/>
    <w:rsid w:val="00566D31"/>
    <w:rsid w:val="00567C02"/>
    <w:rsid w:val="00567E2A"/>
    <w:rsid w:val="005702FC"/>
    <w:rsid w:val="0057128E"/>
    <w:rsid w:val="00574235"/>
    <w:rsid w:val="0057427C"/>
    <w:rsid w:val="0057504E"/>
    <w:rsid w:val="00575C14"/>
    <w:rsid w:val="00575EE6"/>
    <w:rsid w:val="00576B74"/>
    <w:rsid w:val="00577135"/>
    <w:rsid w:val="0057720B"/>
    <w:rsid w:val="00577D8D"/>
    <w:rsid w:val="00580C70"/>
    <w:rsid w:val="0058131F"/>
    <w:rsid w:val="00581EE6"/>
    <w:rsid w:val="00582F2F"/>
    <w:rsid w:val="00583F3E"/>
    <w:rsid w:val="00584396"/>
    <w:rsid w:val="0058450B"/>
    <w:rsid w:val="005855FF"/>
    <w:rsid w:val="00585AB3"/>
    <w:rsid w:val="00585AC2"/>
    <w:rsid w:val="00585F5A"/>
    <w:rsid w:val="00586B56"/>
    <w:rsid w:val="0058748A"/>
    <w:rsid w:val="00590D6A"/>
    <w:rsid w:val="00590DD3"/>
    <w:rsid w:val="00591100"/>
    <w:rsid w:val="0059170C"/>
    <w:rsid w:val="005922E0"/>
    <w:rsid w:val="0059239B"/>
    <w:rsid w:val="00593933"/>
    <w:rsid w:val="00594BEE"/>
    <w:rsid w:val="005950A1"/>
    <w:rsid w:val="00595BAE"/>
    <w:rsid w:val="005962BC"/>
    <w:rsid w:val="0059727D"/>
    <w:rsid w:val="00597480"/>
    <w:rsid w:val="00597EEB"/>
    <w:rsid w:val="00597FB8"/>
    <w:rsid w:val="00597FDD"/>
    <w:rsid w:val="005A12E1"/>
    <w:rsid w:val="005A2691"/>
    <w:rsid w:val="005A2D83"/>
    <w:rsid w:val="005A3D05"/>
    <w:rsid w:val="005A41C7"/>
    <w:rsid w:val="005A41D1"/>
    <w:rsid w:val="005A4680"/>
    <w:rsid w:val="005A49F3"/>
    <w:rsid w:val="005A4B26"/>
    <w:rsid w:val="005A5255"/>
    <w:rsid w:val="005A5B4A"/>
    <w:rsid w:val="005A6B66"/>
    <w:rsid w:val="005A719C"/>
    <w:rsid w:val="005A766D"/>
    <w:rsid w:val="005A7741"/>
    <w:rsid w:val="005A7965"/>
    <w:rsid w:val="005A7CD2"/>
    <w:rsid w:val="005B0CD2"/>
    <w:rsid w:val="005B0DE3"/>
    <w:rsid w:val="005B1541"/>
    <w:rsid w:val="005B1A0D"/>
    <w:rsid w:val="005B2BCA"/>
    <w:rsid w:val="005B2F6E"/>
    <w:rsid w:val="005B3A24"/>
    <w:rsid w:val="005B3AD2"/>
    <w:rsid w:val="005B4A9F"/>
    <w:rsid w:val="005B5292"/>
    <w:rsid w:val="005B5FE0"/>
    <w:rsid w:val="005B643A"/>
    <w:rsid w:val="005B6865"/>
    <w:rsid w:val="005B6C4E"/>
    <w:rsid w:val="005B7450"/>
    <w:rsid w:val="005B784D"/>
    <w:rsid w:val="005C0FFE"/>
    <w:rsid w:val="005C10B3"/>
    <w:rsid w:val="005C1147"/>
    <w:rsid w:val="005C11AC"/>
    <w:rsid w:val="005C1315"/>
    <w:rsid w:val="005C16BE"/>
    <w:rsid w:val="005C2108"/>
    <w:rsid w:val="005C2FCA"/>
    <w:rsid w:val="005C5072"/>
    <w:rsid w:val="005C5883"/>
    <w:rsid w:val="005C6214"/>
    <w:rsid w:val="005C698A"/>
    <w:rsid w:val="005C6BB6"/>
    <w:rsid w:val="005C6E58"/>
    <w:rsid w:val="005C7AF5"/>
    <w:rsid w:val="005D05F0"/>
    <w:rsid w:val="005D103B"/>
    <w:rsid w:val="005D28BC"/>
    <w:rsid w:val="005D2C45"/>
    <w:rsid w:val="005D3961"/>
    <w:rsid w:val="005D3E5C"/>
    <w:rsid w:val="005D4CEF"/>
    <w:rsid w:val="005D5E2D"/>
    <w:rsid w:val="005D5F4D"/>
    <w:rsid w:val="005D62DB"/>
    <w:rsid w:val="005D6CA1"/>
    <w:rsid w:val="005D7398"/>
    <w:rsid w:val="005D77C1"/>
    <w:rsid w:val="005D7921"/>
    <w:rsid w:val="005E0B75"/>
    <w:rsid w:val="005E0C31"/>
    <w:rsid w:val="005E0DE5"/>
    <w:rsid w:val="005E0ED0"/>
    <w:rsid w:val="005E305F"/>
    <w:rsid w:val="005E3B23"/>
    <w:rsid w:val="005E579F"/>
    <w:rsid w:val="005E64E8"/>
    <w:rsid w:val="005E6931"/>
    <w:rsid w:val="005E6987"/>
    <w:rsid w:val="005E6B3F"/>
    <w:rsid w:val="005F07D7"/>
    <w:rsid w:val="005F0D26"/>
    <w:rsid w:val="005F109A"/>
    <w:rsid w:val="005F10A6"/>
    <w:rsid w:val="005F1305"/>
    <w:rsid w:val="005F15ED"/>
    <w:rsid w:val="005F18B1"/>
    <w:rsid w:val="005F1A63"/>
    <w:rsid w:val="005F2168"/>
    <w:rsid w:val="005F2FC5"/>
    <w:rsid w:val="005F31D9"/>
    <w:rsid w:val="005F3DE0"/>
    <w:rsid w:val="005F451A"/>
    <w:rsid w:val="005F4532"/>
    <w:rsid w:val="005F4686"/>
    <w:rsid w:val="005F554B"/>
    <w:rsid w:val="005F566E"/>
    <w:rsid w:val="005F56A0"/>
    <w:rsid w:val="005F57C0"/>
    <w:rsid w:val="005F5844"/>
    <w:rsid w:val="005F6A4C"/>
    <w:rsid w:val="005F77FA"/>
    <w:rsid w:val="005F7B40"/>
    <w:rsid w:val="005F7FAD"/>
    <w:rsid w:val="00600AD3"/>
    <w:rsid w:val="00601013"/>
    <w:rsid w:val="00601EFE"/>
    <w:rsid w:val="00601F4C"/>
    <w:rsid w:val="00601F9E"/>
    <w:rsid w:val="00602407"/>
    <w:rsid w:val="0060271D"/>
    <w:rsid w:val="0060336A"/>
    <w:rsid w:val="00603B29"/>
    <w:rsid w:val="00603C09"/>
    <w:rsid w:val="00604123"/>
    <w:rsid w:val="006045BB"/>
    <w:rsid w:val="0060470C"/>
    <w:rsid w:val="00604C36"/>
    <w:rsid w:val="00604E58"/>
    <w:rsid w:val="0060509E"/>
    <w:rsid w:val="00605A90"/>
    <w:rsid w:val="00605B5B"/>
    <w:rsid w:val="00606F44"/>
    <w:rsid w:val="0060768E"/>
    <w:rsid w:val="00610629"/>
    <w:rsid w:val="006107FE"/>
    <w:rsid w:val="006111B2"/>
    <w:rsid w:val="0061161C"/>
    <w:rsid w:val="00613DA1"/>
    <w:rsid w:val="006144CD"/>
    <w:rsid w:val="006145C1"/>
    <w:rsid w:val="00615606"/>
    <w:rsid w:val="0061675D"/>
    <w:rsid w:val="0061775D"/>
    <w:rsid w:val="00617787"/>
    <w:rsid w:val="00620B75"/>
    <w:rsid w:val="00620F5A"/>
    <w:rsid w:val="0062188B"/>
    <w:rsid w:val="00621EDC"/>
    <w:rsid w:val="006221E2"/>
    <w:rsid w:val="0062282C"/>
    <w:rsid w:val="00622C9D"/>
    <w:rsid w:val="00622DD9"/>
    <w:rsid w:val="00623329"/>
    <w:rsid w:val="0062361F"/>
    <w:rsid w:val="00625DD1"/>
    <w:rsid w:val="006267AA"/>
    <w:rsid w:val="00627B9B"/>
    <w:rsid w:val="00627DAB"/>
    <w:rsid w:val="00630C55"/>
    <w:rsid w:val="00630CA6"/>
    <w:rsid w:val="006315E1"/>
    <w:rsid w:val="00631A26"/>
    <w:rsid w:val="00631CCF"/>
    <w:rsid w:val="006323BA"/>
    <w:rsid w:val="00633171"/>
    <w:rsid w:val="0063319D"/>
    <w:rsid w:val="006344D0"/>
    <w:rsid w:val="00634E48"/>
    <w:rsid w:val="00634F45"/>
    <w:rsid w:val="006354F0"/>
    <w:rsid w:val="00637036"/>
    <w:rsid w:val="006372EF"/>
    <w:rsid w:val="00637A39"/>
    <w:rsid w:val="00637D6F"/>
    <w:rsid w:val="006406A5"/>
    <w:rsid w:val="006409FE"/>
    <w:rsid w:val="00640BB5"/>
    <w:rsid w:val="00640E1F"/>
    <w:rsid w:val="00640E2F"/>
    <w:rsid w:val="006413A2"/>
    <w:rsid w:val="006415D3"/>
    <w:rsid w:val="00641E31"/>
    <w:rsid w:val="00642C20"/>
    <w:rsid w:val="00642E69"/>
    <w:rsid w:val="006436CE"/>
    <w:rsid w:val="0064435B"/>
    <w:rsid w:val="0064443F"/>
    <w:rsid w:val="006446DE"/>
    <w:rsid w:val="0064535C"/>
    <w:rsid w:val="00645CBB"/>
    <w:rsid w:val="00645D8A"/>
    <w:rsid w:val="00646972"/>
    <w:rsid w:val="00647419"/>
    <w:rsid w:val="00647630"/>
    <w:rsid w:val="00647B0A"/>
    <w:rsid w:val="00647BA2"/>
    <w:rsid w:val="00650CD4"/>
    <w:rsid w:val="00650D4B"/>
    <w:rsid w:val="006533D3"/>
    <w:rsid w:val="00653F22"/>
    <w:rsid w:val="00654720"/>
    <w:rsid w:val="00655126"/>
    <w:rsid w:val="00655244"/>
    <w:rsid w:val="00657045"/>
    <w:rsid w:val="00657486"/>
    <w:rsid w:val="00657D57"/>
    <w:rsid w:val="00660401"/>
    <w:rsid w:val="00660CE2"/>
    <w:rsid w:val="00661081"/>
    <w:rsid w:val="00661E87"/>
    <w:rsid w:val="00662007"/>
    <w:rsid w:val="00662E55"/>
    <w:rsid w:val="00662FC1"/>
    <w:rsid w:val="00663063"/>
    <w:rsid w:val="006637F0"/>
    <w:rsid w:val="0066391C"/>
    <w:rsid w:val="006640C1"/>
    <w:rsid w:val="0066527A"/>
    <w:rsid w:val="006654E1"/>
    <w:rsid w:val="00666286"/>
    <w:rsid w:val="00666F37"/>
    <w:rsid w:val="00667054"/>
    <w:rsid w:val="00667BED"/>
    <w:rsid w:val="006706CA"/>
    <w:rsid w:val="006708A1"/>
    <w:rsid w:val="00670DBD"/>
    <w:rsid w:val="0067115E"/>
    <w:rsid w:val="00671A61"/>
    <w:rsid w:val="006722E2"/>
    <w:rsid w:val="006727D8"/>
    <w:rsid w:val="00672859"/>
    <w:rsid w:val="00672F34"/>
    <w:rsid w:val="006731F1"/>
    <w:rsid w:val="00673CE6"/>
    <w:rsid w:val="00673D1A"/>
    <w:rsid w:val="0067426B"/>
    <w:rsid w:val="00674FD1"/>
    <w:rsid w:val="00676ADE"/>
    <w:rsid w:val="00677A93"/>
    <w:rsid w:val="00680A74"/>
    <w:rsid w:val="006810BC"/>
    <w:rsid w:val="00682204"/>
    <w:rsid w:val="006822EF"/>
    <w:rsid w:val="00682355"/>
    <w:rsid w:val="006823D9"/>
    <w:rsid w:val="0068287F"/>
    <w:rsid w:val="00682DEB"/>
    <w:rsid w:val="0068330D"/>
    <w:rsid w:val="00683752"/>
    <w:rsid w:val="00684A44"/>
    <w:rsid w:val="0068564A"/>
    <w:rsid w:val="00686098"/>
    <w:rsid w:val="006866CC"/>
    <w:rsid w:val="00686CCC"/>
    <w:rsid w:val="006877D6"/>
    <w:rsid w:val="006900CE"/>
    <w:rsid w:val="00690193"/>
    <w:rsid w:val="00690903"/>
    <w:rsid w:val="00690A6A"/>
    <w:rsid w:val="006910C9"/>
    <w:rsid w:val="00691350"/>
    <w:rsid w:val="00691AF4"/>
    <w:rsid w:val="006929EA"/>
    <w:rsid w:val="00692ADA"/>
    <w:rsid w:val="00694595"/>
    <w:rsid w:val="00694A68"/>
    <w:rsid w:val="006958C4"/>
    <w:rsid w:val="0069590A"/>
    <w:rsid w:val="00695A4B"/>
    <w:rsid w:val="006965A1"/>
    <w:rsid w:val="006970CF"/>
    <w:rsid w:val="0069797F"/>
    <w:rsid w:val="00697DFC"/>
    <w:rsid w:val="00697E08"/>
    <w:rsid w:val="006A010A"/>
    <w:rsid w:val="006A012D"/>
    <w:rsid w:val="006A1E42"/>
    <w:rsid w:val="006A22E3"/>
    <w:rsid w:val="006A321F"/>
    <w:rsid w:val="006A32BA"/>
    <w:rsid w:val="006A3E9E"/>
    <w:rsid w:val="006A3ED7"/>
    <w:rsid w:val="006A3F46"/>
    <w:rsid w:val="006A47DD"/>
    <w:rsid w:val="006A48D4"/>
    <w:rsid w:val="006A4D75"/>
    <w:rsid w:val="006A5022"/>
    <w:rsid w:val="006A57A2"/>
    <w:rsid w:val="006A58E9"/>
    <w:rsid w:val="006A59A1"/>
    <w:rsid w:val="006A5FD8"/>
    <w:rsid w:val="006A60B7"/>
    <w:rsid w:val="006A7441"/>
    <w:rsid w:val="006A7BDF"/>
    <w:rsid w:val="006B04A4"/>
    <w:rsid w:val="006B19EC"/>
    <w:rsid w:val="006B1C0A"/>
    <w:rsid w:val="006B1CFB"/>
    <w:rsid w:val="006B1EAB"/>
    <w:rsid w:val="006B24FC"/>
    <w:rsid w:val="006B27E8"/>
    <w:rsid w:val="006B28BF"/>
    <w:rsid w:val="006B2FA7"/>
    <w:rsid w:val="006B32A6"/>
    <w:rsid w:val="006B33F5"/>
    <w:rsid w:val="006B4AAA"/>
    <w:rsid w:val="006B4F3B"/>
    <w:rsid w:val="006B7D32"/>
    <w:rsid w:val="006C0253"/>
    <w:rsid w:val="006C09DC"/>
    <w:rsid w:val="006C179D"/>
    <w:rsid w:val="006C1D64"/>
    <w:rsid w:val="006C22BE"/>
    <w:rsid w:val="006C25C7"/>
    <w:rsid w:val="006C278F"/>
    <w:rsid w:val="006C4909"/>
    <w:rsid w:val="006C49F7"/>
    <w:rsid w:val="006C5394"/>
    <w:rsid w:val="006C5522"/>
    <w:rsid w:val="006C59BE"/>
    <w:rsid w:val="006C59DA"/>
    <w:rsid w:val="006C5A41"/>
    <w:rsid w:val="006C5ABC"/>
    <w:rsid w:val="006C65A6"/>
    <w:rsid w:val="006C6EBD"/>
    <w:rsid w:val="006C72C6"/>
    <w:rsid w:val="006D0606"/>
    <w:rsid w:val="006D0C47"/>
    <w:rsid w:val="006D0F5C"/>
    <w:rsid w:val="006D10E1"/>
    <w:rsid w:val="006D60F3"/>
    <w:rsid w:val="006D72B8"/>
    <w:rsid w:val="006D72DD"/>
    <w:rsid w:val="006E0662"/>
    <w:rsid w:val="006E0C8E"/>
    <w:rsid w:val="006E0D9C"/>
    <w:rsid w:val="006E14F2"/>
    <w:rsid w:val="006E1CE1"/>
    <w:rsid w:val="006E1F55"/>
    <w:rsid w:val="006E3427"/>
    <w:rsid w:val="006E3594"/>
    <w:rsid w:val="006E4077"/>
    <w:rsid w:val="006E4B85"/>
    <w:rsid w:val="006E5165"/>
    <w:rsid w:val="006E5A42"/>
    <w:rsid w:val="006E5F08"/>
    <w:rsid w:val="006E60BE"/>
    <w:rsid w:val="006E60F2"/>
    <w:rsid w:val="006E63F6"/>
    <w:rsid w:val="006E6584"/>
    <w:rsid w:val="006E71C0"/>
    <w:rsid w:val="006E7404"/>
    <w:rsid w:val="006E7BDE"/>
    <w:rsid w:val="006F0A42"/>
    <w:rsid w:val="006F1218"/>
    <w:rsid w:val="006F1D69"/>
    <w:rsid w:val="006F216C"/>
    <w:rsid w:val="006F23DD"/>
    <w:rsid w:val="006F24E3"/>
    <w:rsid w:val="006F284B"/>
    <w:rsid w:val="006F2AA6"/>
    <w:rsid w:val="006F2D26"/>
    <w:rsid w:val="006F31BC"/>
    <w:rsid w:val="006F4306"/>
    <w:rsid w:val="006F530E"/>
    <w:rsid w:val="006F5A6E"/>
    <w:rsid w:val="006F7695"/>
    <w:rsid w:val="0070083E"/>
    <w:rsid w:val="007013D9"/>
    <w:rsid w:val="00701E67"/>
    <w:rsid w:val="00702339"/>
    <w:rsid w:val="0070270D"/>
    <w:rsid w:val="00702DC4"/>
    <w:rsid w:val="007032E8"/>
    <w:rsid w:val="00703F33"/>
    <w:rsid w:val="00703FC7"/>
    <w:rsid w:val="00704A70"/>
    <w:rsid w:val="0070591A"/>
    <w:rsid w:val="00705AEF"/>
    <w:rsid w:val="00706F44"/>
    <w:rsid w:val="00706F82"/>
    <w:rsid w:val="0071017C"/>
    <w:rsid w:val="0071038E"/>
    <w:rsid w:val="0071060C"/>
    <w:rsid w:val="00710E16"/>
    <w:rsid w:val="00712745"/>
    <w:rsid w:val="007129D1"/>
    <w:rsid w:val="00712B2E"/>
    <w:rsid w:val="007132B4"/>
    <w:rsid w:val="00713636"/>
    <w:rsid w:val="00714E0B"/>
    <w:rsid w:val="007151E1"/>
    <w:rsid w:val="0071538A"/>
    <w:rsid w:val="007158D7"/>
    <w:rsid w:val="007159D7"/>
    <w:rsid w:val="00715FA1"/>
    <w:rsid w:val="00715FA7"/>
    <w:rsid w:val="00717B4F"/>
    <w:rsid w:val="00720228"/>
    <w:rsid w:val="007208F0"/>
    <w:rsid w:val="00720FD7"/>
    <w:rsid w:val="00721198"/>
    <w:rsid w:val="00721FA1"/>
    <w:rsid w:val="0072270D"/>
    <w:rsid w:val="007227C3"/>
    <w:rsid w:val="00722EA4"/>
    <w:rsid w:val="007233E2"/>
    <w:rsid w:val="00723ACD"/>
    <w:rsid w:val="007241E4"/>
    <w:rsid w:val="00724739"/>
    <w:rsid w:val="00724DBD"/>
    <w:rsid w:val="00725283"/>
    <w:rsid w:val="00726ECA"/>
    <w:rsid w:val="00727F9E"/>
    <w:rsid w:val="00730570"/>
    <w:rsid w:val="007305C1"/>
    <w:rsid w:val="00730BCD"/>
    <w:rsid w:val="00730E50"/>
    <w:rsid w:val="00731472"/>
    <w:rsid w:val="007318AD"/>
    <w:rsid w:val="00731EDE"/>
    <w:rsid w:val="00732434"/>
    <w:rsid w:val="00732470"/>
    <w:rsid w:val="007325B6"/>
    <w:rsid w:val="007325F6"/>
    <w:rsid w:val="00732876"/>
    <w:rsid w:val="00732C36"/>
    <w:rsid w:val="007335C3"/>
    <w:rsid w:val="00733F5D"/>
    <w:rsid w:val="00734601"/>
    <w:rsid w:val="0073466A"/>
    <w:rsid w:val="00735159"/>
    <w:rsid w:val="00736B21"/>
    <w:rsid w:val="00736BF7"/>
    <w:rsid w:val="00736C19"/>
    <w:rsid w:val="00736E14"/>
    <w:rsid w:val="00737278"/>
    <w:rsid w:val="007375CD"/>
    <w:rsid w:val="00737F7A"/>
    <w:rsid w:val="00741177"/>
    <w:rsid w:val="00741213"/>
    <w:rsid w:val="007414B4"/>
    <w:rsid w:val="00741DFB"/>
    <w:rsid w:val="00742F31"/>
    <w:rsid w:val="00742F3C"/>
    <w:rsid w:val="0074410C"/>
    <w:rsid w:val="00744F79"/>
    <w:rsid w:val="007474B4"/>
    <w:rsid w:val="0074765D"/>
    <w:rsid w:val="00750629"/>
    <w:rsid w:val="0075094A"/>
    <w:rsid w:val="007515C8"/>
    <w:rsid w:val="00751944"/>
    <w:rsid w:val="00752D64"/>
    <w:rsid w:val="00752FD8"/>
    <w:rsid w:val="007535BB"/>
    <w:rsid w:val="00754609"/>
    <w:rsid w:val="0075585B"/>
    <w:rsid w:val="0075585E"/>
    <w:rsid w:val="00755C8D"/>
    <w:rsid w:val="00756B48"/>
    <w:rsid w:val="0075753B"/>
    <w:rsid w:val="00760658"/>
    <w:rsid w:val="007607B4"/>
    <w:rsid w:val="00760A77"/>
    <w:rsid w:val="00760F23"/>
    <w:rsid w:val="007610D4"/>
    <w:rsid w:val="00761EBE"/>
    <w:rsid w:val="00761ED9"/>
    <w:rsid w:val="00762210"/>
    <w:rsid w:val="007632C4"/>
    <w:rsid w:val="00763B69"/>
    <w:rsid w:val="007647F7"/>
    <w:rsid w:val="00764862"/>
    <w:rsid w:val="00764E4B"/>
    <w:rsid w:val="007661C1"/>
    <w:rsid w:val="0076652C"/>
    <w:rsid w:val="00767CBD"/>
    <w:rsid w:val="00772963"/>
    <w:rsid w:val="0077468D"/>
    <w:rsid w:val="00774FC2"/>
    <w:rsid w:val="00776C54"/>
    <w:rsid w:val="00777380"/>
    <w:rsid w:val="00777559"/>
    <w:rsid w:val="007776FB"/>
    <w:rsid w:val="00780179"/>
    <w:rsid w:val="00782558"/>
    <w:rsid w:val="00782714"/>
    <w:rsid w:val="00783453"/>
    <w:rsid w:val="007836FD"/>
    <w:rsid w:val="007838BB"/>
    <w:rsid w:val="00783D5A"/>
    <w:rsid w:val="007840BE"/>
    <w:rsid w:val="00784C02"/>
    <w:rsid w:val="007861CB"/>
    <w:rsid w:val="0078659C"/>
    <w:rsid w:val="00787038"/>
    <w:rsid w:val="00790ACB"/>
    <w:rsid w:val="007913D8"/>
    <w:rsid w:val="007914B2"/>
    <w:rsid w:val="00791A19"/>
    <w:rsid w:val="00791C86"/>
    <w:rsid w:val="00793E49"/>
    <w:rsid w:val="00793FAE"/>
    <w:rsid w:val="007946DA"/>
    <w:rsid w:val="00794C1F"/>
    <w:rsid w:val="007951B7"/>
    <w:rsid w:val="00795273"/>
    <w:rsid w:val="007968CC"/>
    <w:rsid w:val="00797900"/>
    <w:rsid w:val="00797921"/>
    <w:rsid w:val="007A00FB"/>
    <w:rsid w:val="007A06CC"/>
    <w:rsid w:val="007A128A"/>
    <w:rsid w:val="007A15E7"/>
    <w:rsid w:val="007A27AF"/>
    <w:rsid w:val="007A30EC"/>
    <w:rsid w:val="007A3139"/>
    <w:rsid w:val="007A3B21"/>
    <w:rsid w:val="007A44E5"/>
    <w:rsid w:val="007A4896"/>
    <w:rsid w:val="007A4E58"/>
    <w:rsid w:val="007A6564"/>
    <w:rsid w:val="007A66B3"/>
    <w:rsid w:val="007A6AFF"/>
    <w:rsid w:val="007A6D00"/>
    <w:rsid w:val="007B0457"/>
    <w:rsid w:val="007B0F1C"/>
    <w:rsid w:val="007B12F4"/>
    <w:rsid w:val="007B19DE"/>
    <w:rsid w:val="007B201D"/>
    <w:rsid w:val="007B2096"/>
    <w:rsid w:val="007B3585"/>
    <w:rsid w:val="007B3846"/>
    <w:rsid w:val="007B5856"/>
    <w:rsid w:val="007B5988"/>
    <w:rsid w:val="007B59F7"/>
    <w:rsid w:val="007B6639"/>
    <w:rsid w:val="007B6922"/>
    <w:rsid w:val="007B6EBD"/>
    <w:rsid w:val="007B7D8D"/>
    <w:rsid w:val="007B7D9D"/>
    <w:rsid w:val="007C0686"/>
    <w:rsid w:val="007C1256"/>
    <w:rsid w:val="007C19FE"/>
    <w:rsid w:val="007C30FA"/>
    <w:rsid w:val="007C3677"/>
    <w:rsid w:val="007C444B"/>
    <w:rsid w:val="007C4EF9"/>
    <w:rsid w:val="007C5470"/>
    <w:rsid w:val="007C640F"/>
    <w:rsid w:val="007C64BF"/>
    <w:rsid w:val="007C6B74"/>
    <w:rsid w:val="007C715E"/>
    <w:rsid w:val="007D02B5"/>
    <w:rsid w:val="007D0DBD"/>
    <w:rsid w:val="007D0FA4"/>
    <w:rsid w:val="007D1F93"/>
    <w:rsid w:val="007D2CB6"/>
    <w:rsid w:val="007D37DE"/>
    <w:rsid w:val="007D386E"/>
    <w:rsid w:val="007D45CB"/>
    <w:rsid w:val="007D4692"/>
    <w:rsid w:val="007D4B35"/>
    <w:rsid w:val="007D6DD8"/>
    <w:rsid w:val="007D7CF5"/>
    <w:rsid w:val="007E06B6"/>
    <w:rsid w:val="007E07B0"/>
    <w:rsid w:val="007E1C0F"/>
    <w:rsid w:val="007E1E69"/>
    <w:rsid w:val="007E20D0"/>
    <w:rsid w:val="007E2C9E"/>
    <w:rsid w:val="007E3489"/>
    <w:rsid w:val="007E3596"/>
    <w:rsid w:val="007E4099"/>
    <w:rsid w:val="007E51E4"/>
    <w:rsid w:val="007E5281"/>
    <w:rsid w:val="007E54AB"/>
    <w:rsid w:val="007E584D"/>
    <w:rsid w:val="007E6288"/>
    <w:rsid w:val="007E6CF8"/>
    <w:rsid w:val="007E792F"/>
    <w:rsid w:val="007E7CC8"/>
    <w:rsid w:val="007E7F6C"/>
    <w:rsid w:val="007F00D3"/>
    <w:rsid w:val="007F0439"/>
    <w:rsid w:val="007F045C"/>
    <w:rsid w:val="007F0E80"/>
    <w:rsid w:val="007F0EE0"/>
    <w:rsid w:val="007F1639"/>
    <w:rsid w:val="007F2404"/>
    <w:rsid w:val="007F2C8F"/>
    <w:rsid w:val="007F2FD5"/>
    <w:rsid w:val="007F3703"/>
    <w:rsid w:val="007F3886"/>
    <w:rsid w:val="007F417E"/>
    <w:rsid w:val="007F4BE9"/>
    <w:rsid w:val="007F4DA6"/>
    <w:rsid w:val="007F563B"/>
    <w:rsid w:val="007F57EC"/>
    <w:rsid w:val="007F65F3"/>
    <w:rsid w:val="007F69C7"/>
    <w:rsid w:val="007F75F6"/>
    <w:rsid w:val="0080001F"/>
    <w:rsid w:val="008004A0"/>
    <w:rsid w:val="00800788"/>
    <w:rsid w:val="00800E68"/>
    <w:rsid w:val="00803A36"/>
    <w:rsid w:val="00804023"/>
    <w:rsid w:val="00804782"/>
    <w:rsid w:val="00805E17"/>
    <w:rsid w:val="0080776A"/>
    <w:rsid w:val="00807B4E"/>
    <w:rsid w:val="00810C57"/>
    <w:rsid w:val="00811232"/>
    <w:rsid w:val="00811918"/>
    <w:rsid w:val="008125F8"/>
    <w:rsid w:val="00814D26"/>
    <w:rsid w:val="00815484"/>
    <w:rsid w:val="00816C2F"/>
    <w:rsid w:val="00816E79"/>
    <w:rsid w:val="00817363"/>
    <w:rsid w:val="008178F4"/>
    <w:rsid w:val="00820432"/>
    <w:rsid w:val="00821263"/>
    <w:rsid w:val="00821322"/>
    <w:rsid w:val="008218AA"/>
    <w:rsid w:val="00821C91"/>
    <w:rsid w:val="00823275"/>
    <w:rsid w:val="00823370"/>
    <w:rsid w:val="00823AE1"/>
    <w:rsid w:val="00824797"/>
    <w:rsid w:val="00824C9C"/>
    <w:rsid w:val="00824FC2"/>
    <w:rsid w:val="0082511A"/>
    <w:rsid w:val="0082581A"/>
    <w:rsid w:val="0082650E"/>
    <w:rsid w:val="00826D0C"/>
    <w:rsid w:val="00827A53"/>
    <w:rsid w:val="00832264"/>
    <w:rsid w:val="00832EEF"/>
    <w:rsid w:val="00833214"/>
    <w:rsid w:val="00833530"/>
    <w:rsid w:val="0083365F"/>
    <w:rsid w:val="00834DB6"/>
    <w:rsid w:val="00834E3A"/>
    <w:rsid w:val="00835BD9"/>
    <w:rsid w:val="00836340"/>
    <w:rsid w:val="00836ECB"/>
    <w:rsid w:val="00840004"/>
    <w:rsid w:val="00840339"/>
    <w:rsid w:val="0084103B"/>
    <w:rsid w:val="0084105F"/>
    <w:rsid w:val="008427F0"/>
    <w:rsid w:val="00843CFB"/>
    <w:rsid w:val="00844072"/>
    <w:rsid w:val="0084541B"/>
    <w:rsid w:val="00845E68"/>
    <w:rsid w:val="00846448"/>
    <w:rsid w:val="0084660B"/>
    <w:rsid w:val="008505A5"/>
    <w:rsid w:val="008508D5"/>
    <w:rsid w:val="00850AF8"/>
    <w:rsid w:val="00850E9C"/>
    <w:rsid w:val="008512B4"/>
    <w:rsid w:val="008514CC"/>
    <w:rsid w:val="008520FB"/>
    <w:rsid w:val="008523A5"/>
    <w:rsid w:val="008529F3"/>
    <w:rsid w:val="00852AAB"/>
    <w:rsid w:val="008537A9"/>
    <w:rsid w:val="00854431"/>
    <w:rsid w:val="00855A73"/>
    <w:rsid w:val="00856168"/>
    <w:rsid w:val="008562BE"/>
    <w:rsid w:val="00856707"/>
    <w:rsid w:val="008567DA"/>
    <w:rsid w:val="00856E49"/>
    <w:rsid w:val="00857417"/>
    <w:rsid w:val="00857A41"/>
    <w:rsid w:val="00857DB7"/>
    <w:rsid w:val="008601B1"/>
    <w:rsid w:val="00861FB9"/>
    <w:rsid w:val="00862388"/>
    <w:rsid w:val="00862A23"/>
    <w:rsid w:val="0086329F"/>
    <w:rsid w:val="0086370D"/>
    <w:rsid w:val="00863B14"/>
    <w:rsid w:val="008646BD"/>
    <w:rsid w:val="00864D4C"/>
    <w:rsid w:val="008666B7"/>
    <w:rsid w:val="00867CBE"/>
    <w:rsid w:val="00870027"/>
    <w:rsid w:val="00870680"/>
    <w:rsid w:val="00870740"/>
    <w:rsid w:val="00870877"/>
    <w:rsid w:val="00871111"/>
    <w:rsid w:val="00871C30"/>
    <w:rsid w:val="00872289"/>
    <w:rsid w:val="0087318B"/>
    <w:rsid w:val="0087343E"/>
    <w:rsid w:val="008739DA"/>
    <w:rsid w:val="00873A5C"/>
    <w:rsid w:val="008749CC"/>
    <w:rsid w:val="00874A6F"/>
    <w:rsid w:val="00874F63"/>
    <w:rsid w:val="00875AF2"/>
    <w:rsid w:val="00876C7C"/>
    <w:rsid w:val="00876D32"/>
    <w:rsid w:val="00876D6E"/>
    <w:rsid w:val="00876DD7"/>
    <w:rsid w:val="00877436"/>
    <w:rsid w:val="00877447"/>
    <w:rsid w:val="00881102"/>
    <w:rsid w:val="0088133A"/>
    <w:rsid w:val="008816D4"/>
    <w:rsid w:val="00881A2E"/>
    <w:rsid w:val="0088217F"/>
    <w:rsid w:val="00882592"/>
    <w:rsid w:val="008828F9"/>
    <w:rsid w:val="00883594"/>
    <w:rsid w:val="008836F9"/>
    <w:rsid w:val="00883EEC"/>
    <w:rsid w:val="0088452D"/>
    <w:rsid w:val="00884600"/>
    <w:rsid w:val="00884699"/>
    <w:rsid w:val="00884F7C"/>
    <w:rsid w:val="008855C1"/>
    <w:rsid w:val="00886096"/>
    <w:rsid w:val="00886CC5"/>
    <w:rsid w:val="00887403"/>
    <w:rsid w:val="0088750A"/>
    <w:rsid w:val="00887642"/>
    <w:rsid w:val="008876DF"/>
    <w:rsid w:val="0089009A"/>
    <w:rsid w:val="008904C9"/>
    <w:rsid w:val="0089054B"/>
    <w:rsid w:val="008905A5"/>
    <w:rsid w:val="00890A0F"/>
    <w:rsid w:val="00890C39"/>
    <w:rsid w:val="00890DBC"/>
    <w:rsid w:val="008919EA"/>
    <w:rsid w:val="00892456"/>
    <w:rsid w:val="0089369E"/>
    <w:rsid w:val="00893983"/>
    <w:rsid w:val="00893B1E"/>
    <w:rsid w:val="00894589"/>
    <w:rsid w:val="008959F5"/>
    <w:rsid w:val="00895E66"/>
    <w:rsid w:val="008964B2"/>
    <w:rsid w:val="00896B60"/>
    <w:rsid w:val="00896F38"/>
    <w:rsid w:val="008974D9"/>
    <w:rsid w:val="00897D6F"/>
    <w:rsid w:val="008A0A70"/>
    <w:rsid w:val="008A256C"/>
    <w:rsid w:val="008A25B3"/>
    <w:rsid w:val="008A262A"/>
    <w:rsid w:val="008A2F21"/>
    <w:rsid w:val="008A3689"/>
    <w:rsid w:val="008A3714"/>
    <w:rsid w:val="008A3843"/>
    <w:rsid w:val="008A4BD4"/>
    <w:rsid w:val="008A4C12"/>
    <w:rsid w:val="008A52B8"/>
    <w:rsid w:val="008A5AA5"/>
    <w:rsid w:val="008A721E"/>
    <w:rsid w:val="008A76A8"/>
    <w:rsid w:val="008A7B98"/>
    <w:rsid w:val="008B0266"/>
    <w:rsid w:val="008B09D4"/>
    <w:rsid w:val="008B0C5F"/>
    <w:rsid w:val="008B0D55"/>
    <w:rsid w:val="008B1232"/>
    <w:rsid w:val="008B12BA"/>
    <w:rsid w:val="008B1721"/>
    <w:rsid w:val="008B21FD"/>
    <w:rsid w:val="008B3533"/>
    <w:rsid w:val="008B3C40"/>
    <w:rsid w:val="008B4296"/>
    <w:rsid w:val="008B4515"/>
    <w:rsid w:val="008B5393"/>
    <w:rsid w:val="008B547A"/>
    <w:rsid w:val="008B5C2B"/>
    <w:rsid w:val="008B7083"/>
    <w:rsid w:val="008B7149"/>
    <w:rsid w:val="008B71B4"/>
    <w:rsid w:val="008B7985"/>
    <w:rsid w:val="008C028B"/>
    <w:rsid w:val="008C0788"/>
    <w:rsid w:val="008C13B4"/>
    <w:rsid w:val="008C1769"/>
    <w:rsid w:val="008C1978"/>
    <w:rsid w:val="008C1F6C"/>
    <w:rsid w:val="008C1FB2"/>
    <w:rsid w:val="008C2677"/>
    <w:rsid w:val="008C2873"/>
    <w:rsid w:val="008C328E"/>
    <w:rsid w:val="008C3E05"/>
    <w:rsid w:val="008C4259"/>
    <w:rsid w:val="008C43BD"/>
    <w:rsid w:val="008C4954"/>
    <w:rsid w:val="008C501A"/>
    <w:rsid w:val="008C5CAE"/>
    <w:rsid w:val="008C619E"/>
    <w:rsid w:val="008C6954"/>
    <w:rsid w:val="008C6E1B"/>
    <w:rsid w:val="008C7868"/>
    <w:rsid w:val="008C78D5"/>
    <w:rsid w:val="008D0D6F"/>
    <w:rsid w:val="008D0D8E"/>
    <w:rsid w:val="008D106C"/>
    <w:rsid w:val="008D1130"/>
    <w:rsid w:val="008D1A5A"/>
    <w:rsid w:val="008D2CC5"/>
    <w:rsid w:val="008D2F62"/>
    <w:rsid w:val="008D37EF"/>
    <w:rsid w:val="008D401E"/>
    <w:rsid w:val="008D54F4"/>
    <w:rsid w:val="008D5712"/>
    <w:rsid w:val="008D6B29"/>
    <w:rsid w:val="008D6CC6"/>
    <w:rsid w:val="008D7429"/>
    <w:rsid w:val="008D77A0"/>
    <w:rsid w:val="008E0E5C"/>
    <w:rsid w:val="008E1CAC"/>
    <w:rsid w:val="008E22F8"/>
    <w:rsid w:val="008E2831"/>
    <w:rsid w:val="008E2ED5"/>
    <w:rsid w:val="008E3126"/>
    <w:rsid w:val="008E393B"/>
    <w:rsid w:val="008E46B2"/>
    <w:rsid w:val="008E46CA"/>
    <w:rsid w:val="008E4D43"/>
    <w:rsid w:val="008E4ED6"/>
    <w:rsid w:val="008E579B"/>
    <w:rsid w:val="008E5865"/>
    <w:rsid w:val="008E6D5D"/>
    <w:rsid w:val="008E6FBC"/>
    <w:rsid w:val="008E74CF"/>
    <w:rsid w:val="008F02B3"/>
    <w:rsid w:val="008F0C18"/>
    <w:rsid w:val="008F1986"/>
    <w:rsid w:val="008F2600"/>
    <w:rsid w:val="008F2711"/>
    <w:rsid w:val="008F2994"/>
    <w:rsid w:val="008F3D58"/>
    <w:rsid w:val="008F3F08"/>
    <w:rsid w:val="008F425B"/>
    <w:rsid w:val="008F4B4A"/>
    <w:rsid w:val="008F4DAA"/>
    <w:rsid w:val="008F4E92"/>
    <w:rsid w:val="008F51DB"/>
    <w:rsid w:val="008F5D7F"/>
    <w:rsid w:val="008F638A"/>
    <w:rsid w:val="008F63E1"/>
    <w:rsid w:val="008F6DB9"/>
    <w:rsid w:val="008F7746"/>
    <w:rsid w:val="0090000E"/>
    <w:rsid w:val="0090031F"/>
    <w:rsid w:val="0090042A"/>
    <w:rsid w:val="00900A77"/>
    <w:rsid w:val="00900EB4"/>
    <w:rsid w:val="00900FEF"/>
    <w:rsid w:val="00901611"/>
    <w:rsid w:val="0090173F"/>
    <w:rsid w:val="0090286E"/>
    <w:rsid w:val="00902E71"/>
    <w:rsid w:val="009037BF"/>
    <w:rsid w:val="00903D0C"/>
    <w:rsid w:val="009043F0"/>
    <w:rsid w:val="0090613E"/>
    <w:rsid w:val="00906321"/>
    <w:rsid w:val="009067B5"/>
    <w:rsid w:val="0090724E"/>
    <w:rsid w:val="0090727A"/>
    <w:rsid w:val="00907D57"/>
    <w:rsid w:val="00910337"/>
    <w:rsid w:val="00910714"/>
    <w:rsid w:val="0091194F"/>
    <w:rsid w:val="009120FF"/>
    <w:rsid w:val="00912E30"/>
    <w:rsid w:val="009135E0"/>
    <w:rsid w:val="00914898"/>
    <w:rsid w:val="00915397"/>
    <w:rsid w:val="009157F4"/>
    <w:rsid w:val="00915828"/>
    <w:rsid w:val="00915834"/>
    <w:rsid w:val="009163D6"/>
    <w:rsid w:val="00917A13"/>
    <w:rsid w:val="00917CD6"/>
    <w:rsid w:val="00920AFB"/>
    <w:rsid w:val="00920DD4"/>
    <w:rsid w:val="00921018"/>
    <w:rsid w:val="00921333"/>
    <w:rsid w:val="009213E3"/>
    <w:rsid w:val="00921630"/>
    <w:rsid w:val="009229BF"/>
    <w:rsid w:val="00922DA2"/>
    <w:rsid w:val="00923495"/>
    <w:rsid w:val="00923662"/>
    <w:rsid w:val="00923AD1"/>
    <w:rsid w:val="00926DEC"/>
    <w:rsid w:val="00927444"/>
    <w:rsid w:val="009276AB"/>
    <w:rsid w:val="009279D5"/>
    <w:rsid w:val="00927D28"/>
    <w:rsid w:val="0093064C"/>
    <w:rsid w:val="00930736"/>
    <w:rsid w:val="00931752"/>
    <w:rsid w:val="00931A76"/>
    <w:rsid w:val="0093258D"/>
    <w:rsid w:val="00933340"/>
    <w:rsid w:val="00933A21"/>
    <w:rsid w:val="00933B98"/>
    <w:rsid w:val="00933D8C"/>
    <w:rsid w:val="009340BF"/>
    <w:rsid w:val="00934D27"/>
    <w:rsid w:val="009359DC"/>
    <w:rsid w:val="0093712C"/>
    <w:rsid w:val="00937713"/>
    <w:rsid w:val="00937ACE"/>
    <w:rsid w:val="00937DFD"/>
    <w:rsid w:val="009403DF"/>
    <w:rsid w:val="00940A8B"/>
    <w:rsid w:val="00940AE5"/>
    <w:rsid w:val="00940BCC"/>
    <w:rsid w:val="009416EC"/>
    <w:rsid w:val="0094182C"/>
    <w:rsid w:val="00941CD1"/>
    <w:rsid w:val="009424F8"/>
    <w:rsid w:val="00942B17"/>
    <w:rsid w:val="00943092"/>
    <w:rsid w:val="00943790"/>
    <w:rsid w:val="00943820"/>
    <w:rsid w:val="0094450C"/>
    <w:rsid w:val="00944720"/>
    <w:rsid w:val="009448DC"/>
    <w:rsid w:val="00945A16"/>
    <w:rsid w:val="00945F5D"/>
    <w:rsid w:val="00946489"/>
    <w:rsid w:val="00946AC5"/>
    <w:rsid w:val="00946EA4"/>
    <w:rsid w:val="009471A8"/>
    <w:rsid w:val="009478EA"/>
    <w:rsid w:val="009502C3"/>
    <w:rsid w:val="009505D5"/>
    <w:rsid w:val="00950AD3"/>
    <w:rsid w:val="00950FEC"/>
    <w:rsid w:val="009511DC"/>
    <w:rsid w:val="00951418"/>
    <w:rsid w:val="00951916"/>
    <w:rsid w:val="00951B37"/>
    <w:rsid w:val="009524CF"/>
    <w:rsid w:val="0095256A"/>
    <w:rsid w:val="00952797"/>
    <w:rsid w:val="00952A3B"/>
    <w:rsid w:val="00952FC2"/>
    <w:rsid w:val="00953556"/>
    <w:rsid w:val="00953586"/>
    <w:rsid w:val="009538F0"/>
    <w:rsid w:val="00954715"/>
    <w:rsid w:val="00954FBF"/>
    <w:rsid w:val="00955476"/>
    <w:rsid w:val="00955757"/>
    <w:rsid w:val="00955769"/>
    <w:rsid w:val="00955C6B"/>
    <w:rsid w:val="00955F32"/>
    <w:rsid w:val="00956011"/>
    <w:rsid w:val="009566C3"/>
    <w:rsid w:val="00956F5A"/>
    <w:rsid w:val="00956FC7"/>
    <w:rsid w:val="00956FF8"/>
    <w:rsid w:val="00957106"/>
    <w:rsid w:val="0095791C"/>
    <w:rsid w:val="00957BE4"/>
    <w:rsid w:val="00960390"/>
    <w:rsid w:val="00960636"/>
    <w:rsid w:val="00960C43"/>
    <w:rsid w:val="009610A3"/>
    <w:rsid w:val="00962E31"/>
    <w:rsid w:val="009636C0"/>
    <w:rsid w:val="0096601F"/>
    <w:rsid w:val="009660C0"/>
    <w:rsid w:val="009665D1"/>
    <w:rsid w:val="00966F1B"/>
    <w:rsid w:val="00967807"/>
    <w:rsid w:val="00967EEF"/>
    <w:rsid w:val="00967F8F"/>
    <w:rsid w:val="00970135"/>
    <w:rsid w:val="00970762"/>
    <w:rsid w:val="0097076D"/>
    <w:rsid w:val="00970C47"/>
    <w:rsid w:val="00970F73"/>
    <w:rsid w:val="00970FC7"/>
    <w:rsid w:val="00971A8B"/>
    <w:rsid w:val="00971F41"/>
    <w:rsid w:val="00971FF7"/>
    <w:rsid w:val="009726D9"/>
    <w:rsid w:val="00972AB0"/>
    <w:rsid w:val="00972B75"/>
    <w:rsid w:val="0097430A"/>
    <w:rsid w:val="00974322"/>
    <w:rsid w:val="009747F0"/>
    <w:rsid w:val="00974B3E"/>
    <w:rsid w:val="00975B02"/>
    <w:rsid w:val="00977820"/>
    <w:rsid w:val="00977A81"/>
    <w:rsid w:val="00977B31"/>
    <w:rsid w:val="00977C0F"/>
    <w:rsid w:val="00977CD1"/>
    <w:rsid w:val="00980BD7"/>
    <w:rsid w:val="00980DEB"/>
    <w:rsid w:val="0098140A"/>
    <w:rsid w:val="009814C4"/>
    <w:rsid w:val="00982850"/>
    <w:rsid w:val="00982C0D"/>
    <w:rsid w:val="00983796"/>
    <w:rsid w:val="009837DE"/>
    <w:rsid w:val="0098388E"/>
    <w:rsid w:val="00983FFA"/>
    <w:rsid w:val="00984008"/>
    <w:rsid w:val="009840B5"/>
    <w:rsid w:val="00984301"/>
    <w:rsid w:val="00984432"/>
    <w:rsid w:val="00985BFE"/>
    <w:rsid w:val="00986751"/>
    <w:rsid w:val="00986C22"/>
    <w:rsid w:val="00986EDA"/>
    <w:rsid w:val="00986F8B"/>
    <w:rsid w:val="009871A1"/>
    <w:rsid w:val="00987FA7"/>
    <w:rsid w:val="0099065C"/>
    <w:rsid w:val="009906BB"/>
    <w:rsid w:val="009908E9"/>
    <w:rsid w:val="00991972"/>
    <w:rsid w:val="00991A6C"/>
    <w:rsid w:val="00991EC1"/>
    <w:rsid w:val="00992BB2"/>
    <w:rsid w:val="00993368"/>
    <w:rsid w:val="009938D8"/>
    <w:rsid w:val="00995715"/>
    <w:rsid w:val="00995825"/>
    <w:rsid w:val="009962E8"/>
    <w:rsid w:val="009970B7"/>
    <w:rsid w:val="009972B9"/>
    <w:rsid w:val="009974EE"/>
    <w:rsid w:val="00997DAD"/>
    <w:rsid w:val="009A10C2"/>
    <w:rsid w:val="009A1162"/>
    <w:rsid w:val="009A140A"/>
    <w:rsid w:val="009A1B2A"/>
    <w:rsid w:val="009A2702"/>
    <w:rsid w:val="009A30EA"/>
    <w:rsid w:val="009A324E"/>
    <w:rsid w:val="009A3489"/>
    <w:rsid w:val="009A36D2"/>
    <w:rsid w:val="009A3C57"/>
    <w:rsid w:val="009A4EC9"/>
    <w:rsid w:val="009A504A"/>
    <w:rsid w:val="009A53B1"/>
    <w:rsid w:val="009A5E58"/>
    <w:rsid w:val="009A6527"/>
    <w:rsid w:val="009A6BE1"/>
    <w:rsid w:val="009A6C87"/>
    <w:rsid w:val="009B0687"/>
    <w:rsid w:val="009B0AEC"/>
    <w:rsid w:val="009B1638"/>
    <w:rsid w:val="009B2604"/>
    <w:rsid w:val="009B27B2"/>
    <w:rsid w:val="009B27DE"/>
    <w:rsid w:val="009B2977"/>
    <w:rsid w:val="009B311B"/>
    <w:rsid w:val="009B3204"/>
    <w:rsid w:val="009B33C7"/>
    <w:rsid w:val="009B37FA"/>
    <w:rsid w:val="009B4904"/>
    <w:rsid w:val="009B4DF8"/>
    <w:rsid w:val="009B55F7"/>
    <w:rsid w:val="009B6A74"/>
    <w:rsid w:val="009B736E"/>
    <w:rsid w:val="009C0BD9"/>
    <w:rsid w:val="009C0EE9"/>
    <w:rsid w:val="009C122D"/>
    <w:rsid w:val="009C13A4"/>
    <w:rsid w:val="009C209F"/>
    <w:rsid w:val="009C2EAC"/>
    <w:rsid w:val="009C2F77"/>
    <w:rsid w:val="009C33A3"/>
    <w:rsid w:val="009C383F"/>
    <w:rsid w:val="009C4277"/>
    <w:rsid w:val="009C4D65"/>
    <w:rsid w:val="009C536E"/>
    <w:rsid w:val="009C5EDE"/>
    <w:rsid w:val="009C7F0C"/>
    <w:rsid w:val="009D0C19"/>
    <w:rsid w:val="009D0C7F"/>
    <w:rsid w:val="009D1030"/>
    <w:rsid w:val="009D231C"/>
    <w:rsid w:val="009D2386"/>
    <w:rsid w:val="009D3A22"/>
    <w:rsid w:val="009D41C9"/>
    <w:rsid w:val="009D4627"/>
    <w:rsid w:val="009D4A9E"/>
    <w:rsid w:val="009D595C"/>
    <w:rsid w:val="009D5EBC"/>
    <w:rsid w:val="009D5FE5"/>
    <w:rsid w:val="009D60E8"/>
    <w:rsid w:val="009D6465"/>
    <w:rsid w:val="009D6821"/>
    <w:rsid w:val="009D6C23"/>
    <w:rsid w:val="009E0108"/>
    <w:rsid w:val="009E0649"/>
    <w:rsid w:val="009E06B4"/>
    <w:rsid w:val="009E0885"/>
    <w:rsid w:val="009E0BDB"/>
    <w:rsid w:val="009E1B3C"/>
    <w:rsid w:val="009E2105"/>
    <w:rsid w:val="009E2462"/>
    <w:rsid w:val="009E28E8"/>
    <w:rsid w:val="009E2966"/>
    <w:rsid w:val="009E329B"/>
    <w:rsid w:val="009E3584"/>
    <w:rsid w:val="009E3716"/>
    <w:rsid w:val="009E4488"/>
    <w:rsid w:val="009E530B"/>
    <w:rsid w:val="009E59C5"/>
    <w:rsid w:val="009E666F"/>
    <w:rsid w:val="009E76DF"/>
    <w:rsid w:val="009E7852"/>
    <w:rsid w:val="009E7A9C"/>
    <w:rsid w:val="009F0B16"/>
    <w:rsid w:val="009F1339"/>
    <w:rsid w:val="009F1766"/>
    <w:rsid w:val="009F1900"/>
    <w:rsid w:val="009F1CB9"/>
    <w:rsid w:val="009F1F71"/>
    <w:rsid w:val="009F2412"/>
    <w:rsid w:val="009F2C10"/>
    <w:rsid w:val="009F4116"/>
    <w:rsid w:val="009F4350"/>
    <w:rsid w:val="009F5521"/>
    <w:rsid w:val="009F59FB"/>
    <w:rsid w:val="009F68CC"/>
    <w:rsid w:val="00A00868"/>
    <w:rsid w:val="00A0138C"/>
    <w:rsid w:val="00A014D4"/>
    <w:rsid w:val="00A015F6"/>
    <w:rsid w:val="00A02661"/>
    <w:rsid w:val="00A02BFF"/>
    <w:rsid w:val="00A0309A"/>
    <w:rsid w:val="00A03B57"/>
    <w:rsid w:val="00A043A1"/>
    <w:rsid w:val="00A04934"/>
    <w:rsid w:val="00A0582F"/>
    <w:rsid w:val="00A059BC"/>
    <w:rsid w:val="00A05F23"/>
    <w:rsid w:val="00A070EA"/>
    <w:rsid w:val="00A07451"/>
    <w:rsid w:val="00A07D88"/>
    <w:rsid w:val="00A07F6C"/>
    <w:rsid w:val="00A106BD"/>
    <w:rsid w:val="00A10BDA"/>
    <w:rsid w:val="00A11085"/>
    <w:rsid w:val="00A11B1C"/>
    <w:rsid w:val="00A11BE4"/>
    <w:rsid w:val="00A11E21"/>
    <w:rsid w:val="00A11FF9"/>
    <w:rsid w:val="00A12D67"/>
    <w:rsid w:val="00A13666"/>
    <w:rsid w:val="00A14EE0"/>
    <w:rsid w:val="00A15108"/>
    <w:rsid w:val="00A15B7A"/>
    <w:rsid w:val="00A163B5"/>
    <w:rsid w:val="00A168FA"/>
    <w:rsid w:val="00A1700F"/>
    <w:rsid w:val="00A1712F"/>
    <w:rsid w:val="00A21AD5"/>
    <w:rsid w:val="00A22C4D"/>
    <w:rsid w:val="00A22EFA"/>
    <w:rsid w:val="00A23883"/>
    <w:rsid w:val="00A23B14"/>
    <w:rsid w:val="00A2401B"/>
    <w:rsid w:val="00A24DD6"/>
    <w:rsid w:val="00A2610D"/>
    <w:rsid w:val="00A26136"/>
    <w:rsid w:val="00A2633C"/>
    <w:rsid w:val="00A26EB0"/>
    <w:rsid w:val="00A26EC6"/>
    <w:rsid w:val="00A271F6"/>
    <w:rsid w:val="00A2792E"/>
    <w:rsid w:val="00A30813"/>
    <w:rsid w:val="00A3082C"/>
    <w:rsid w:val="00A30BA6"/>
    <w:rsid w:val="00A312EA"/>
    <w:rsid w:val="00A31677"/>
    <w:rsid w:val="00A31912"/>
    <w:rsid w:val="00A32475"/>
    <w:rsid w:val="00A3307F"/>
    <w:rsid w:val="00A338B5"/>
    <w:rsid w:val="00A339B0"/>
    <w:rsid w:val="00A33E11"/>
    <w:rsid w:val="00A342F9"/>
    <w:rsid w:val="00A34411"/>
    <w:rsid w:val="00A35C71"/>
    <w:rsid w:val="00A36A7A"/>
    <w:rsid w:val="00A36DA8"/>
    <w:rsid w:val="00A4000E"/>
    <w:rsid w:val="00A40900"/>
    <w:rsid w:val="00A40E32"/>
    <w:rsid w:val="00A42141"/>
    <w:rsid w:val="00A42142"/>
    <w:rsid w:val="00A42763"/>
    <w:rsid w:val="00A42B22"/>
    <w:rsid w:val="00A42D6B"/>
    <w:rsid w:val="00A42EA9"/>
    <w:rsid w:val="00A4367C"/>
    <w:rsid w:val="00A4376B"/>
    <w:rsid w:val="00A439AC"/>
    <w:rsid w:val="00A43D83"/>
    <w:rsid w:val="00A4565A"/>
    <w:rsid w:val="00A45865"/>
    <w:rsid w:val="00A46C57"/>
    <w:rsid w:val="00A4723B"/>
    <w:rsid w:val="00A47AAC"/>
    <w:rsid w:val="00A47B01"/>
    <w:rsid w:val="00A501EF"/>
    <w:rsid w:val="00A50862"/>
    <w:rsid w:val="00A51BB3"/>
    <w:rsid w:val="00A51F81"/>
    <w:rsid w:val="00A51FF5"/>
    <w:rsid w:val="00A543F9"/>
    <w:rsid w:val="00A57023"/>
    <w:rsid w:val="00A579DD"/>
    <w:rsid w:val="00A60449"/>
    <w:rsid w:val="00A60686"/>
    <w:rsid w:val="00A61B2F"/>
    <w:rsid w:val="00A61F03"/>
    <w:rsid w:val="00A62230"/>
    <w:rsid w:val="00A62294"/>
    <w:rsid w:val="00A623DA"/>
    <w:rsid w:val="00A628A6"/>
    <w:rsid w:val="00A6360F"/>
    <w:rsid w:val="00A63F43"/>
    <w:rsid w:val="00A64CC6"/>
    <w:rsid w:val="00A65923"/>
    <w:rsid w:val="00A6592F"/>
    <w:rsid w:val="00A65DDC"/>
    <w:rsid w:val="00A67076"/>
    <w:rsid w:val="00A701E4"/>
    <w:rsid w:val="00A703DF"/>
    <w:rsid w:val="00A706AE"/>
    <w:rsid w:val="00A70A8A"/>
    <w:rsid w:val="00A70EBB"/>
    <w:rsid w:val="00A71A5E"/>
    <w:rsid w:val="00A728C8"/>
    <w:rsid w:val="00A72A99"/>
    <w:rsid w:val="00A730C6"/>
    <w:rsid w:val="00A751A3"/>
    <w:rsid w:val="00A76311"/>
    <w:rsid w:val="00A7671A"/>
    <w:rsid w:val="00A77414"/>
    <w:rsid w:val="00A80E2A"/>
    <w:rsid w:val="00A81309"/>
    <w:rsid w:val="00A81AC7"/>
    <w:rsid w:val="00A81BCB"/>
    <w:rsid w:val="00A826BF"/>
    <w:rsid w:val="00A82880"/>
    <w:rsid w:val="00A828BE"/>
    <w:rsid w:val="00A83A2D"/>
    <w:rsid w:val="00A83C0C"/>
    <w:rsid w:val="00A83F3E"/>
    <w:rsid w:val="00A84B9C"/>
    <w:rsid w:val="00A84E7E"/>
    <w:rsid w:val="00A854E6"/>
    <w:rsid w:val="00A86811"/>
    <w:rsid w:val="00A86E16"/>
    <w:rsid w:val="00A86EA4"/>
    <w:rsid w:val="00A86FE6"/>
    <w:rsid w:val="00A87F7A"/>
    <w:rsid w:val="00A9080A"/>
    <w:rsid w:val="00A91744"/>
    <w:rsid w:val="00A91B33"/>
    <w:rsid w:val="00A92026"/>
    <w:rsid w:val="00A934F8"/>
    <w:rsid w:val="00A9367C"/>
    <w:rsid w:val="00A93F1F"/>
    <w:rsid w:val="00A943CA"/>
    <w:rsid w:val="00A97E80"/>
    <w:rsid w:val="00AA0C9A"/>
    <w:rsid w:val="00AA10F7"/>
    <w:rsid w:val="00AA11BD"/>
    <w:rsid w:val="00AA193B"/>
    <w:rsid w:val="00AA1DE0"/>
    <w:rsid w:val="00AA1FC5"/>
    <w:rsid w:val="00AA2F73"/>
    <w:rsid w:val="00AA32B3"/>
    <w:rsid w:val="00AA3EDA"/>
    <w:rsid w:val="00AA41DC"/>
    <w:rsid w:val="00AA4472"/>
    <w:rsid w:val="00AA4BA1"/>
    <w:rsid w:val="00AA4BA5"/>
    <w:rsid w:val="00AA5704"/>
    <w:rsid w:val="00AA63BD"/>
    <w:rsid w:val="00AA6D45"/>
    <w:rsid w:val="00AB00F8"/>
    <w:rsid w:val="00AB1EF1"/>
    <w:rsid w:val="00AB21FC"/>
    <w:rsid w:val="00AB2B27"/>
    <w:rsid w:val="00AB3B15"/>
    <w:rsid w:val="00AB3F81"/>
    <w:rsid w:val="00AB4682"/>
    <w:rsid w:val="00AB5A75"/>
    <w:rsid w:val="00AB6A44"/>
    <w:rsid w:val="00AB7467"/>
    <w:rsid w:val="00AC00B3"/>
    <w:rsid w:val="00AC071D"/>
    <w:rsid w:val="00AC0A4E"/>
    <w:rsid w:val="00AC0E63"/>
    <w:rsid w:val="00AC1E4C"/>
    <w:rsid w:val="00AC21C4"/>
    <w:rsid w:val="00AC22BB"/>
    <w:rsid w:val="00AC2D4B"/>
    <w:rsid w:val="00AC32CF"/>
    <w:rsid w:val="00AC35AF"/>
    <w:rsid w:val="00AC3BBB"/>
    <w:rsid w:val="00AC4764"/>
    <w:rsid w:val="00AC5B4F"/>
    <w:rsid w:val="00AC5BE8"/>
    <w:rsid w:val="00AC5C7E"/>
    <w:rsid w:val="00AC6699"/>
    <w:rsid w:val="00AC7169"/>
    <w:rsid w:val="00AC7637"/>
    <w:rsid w:val="00AD08DD"/>
    <w:rsid w:val="00AD1698"/>
    <w:rsid w:val="00AD1C1C"/>
    <w:rsid w:val="00AD243B"/>
    <w:rsid w:val="00AD26F8"/>
    <w:rsid w:val="00AD2B6D"/>
    <w:rsid w:val="00AD3077"/>
    <w:rsid w:val="00AD3875"/>
    <w:rsid w:val="00AD4025"/>
    <w:rsid w:val="00AD52C1"/>
    <w:rsid w:val="00AD533F"/>
    <w:rsid w:val="00AD5C66"/>
    <w:rsid w:val="00AD6393"/>
    <w:rsid w:val="00AD6609"/>
    <w:rsid w:val="00AD6B9F"/>
    <w:rsid w:val="00AD6FF8"/>
    <w:rsid w:val="00AD7BBF"/>
    <w:rsid w:val="00AE0A2E"/>
    <w:rsid w:val="00AE0C25"/>
    <w:rsid w:val="00AE2666"/>
    <w:rsid w:val="00AE299D"/>
    <w:rsid w:val="00AE3476"/>
    <w:rsid w:val="00AE4512"/>
    <w:rsid w:val="00AE47A5"/>
    <w:rsid w:val="00AE4AD1"/>
    <w:rsid w:val="00AE4FEE"/>
    <w:rsid w:val="00AE54E4"/>
    <w:rsid w:val="00AE5DDD"/>
    <w:rsid w:val="00AE6C5F"/>
    <w:rsid w:val="00AE6F60"/>
    <w:rsid w:val="00AE776B"/>
    <w:rsid w:val="00AF00F6"/>
    <w:rsid w:val="00AF08A4"/>
    <w:rsid w:val="00AF09F4"/>
    <w:rsid w:val="00AF1142"/>
    <w:rsid w:val="00AF11DD"/>
    <w:rsid w:val="00AF1226"/>
    <w:rsid w:val="00AF2762"/>
    <w:rsid w:val="00AF2883"/>
    <w:rsid w:val="00AF2EB4"/>
    <w:rsid w:val="00AF34A9"/>
    <w:rsid w:val="00AF36E2"/>
    <w:rsid w:val="00AF3BBD"/>
    <w:rsid w:val="00AF4415"/>
    <w:rsid w:val="00AF4548"/>
    <w:rsid w:val="00AF5129"/>
    <w:rsid w:val="00AF5A90"/>
    <w:rsid w:val="00AF6628"/>
    <w:rsid w:val="00AF7655"/>
    <w:rsid w:val="00AF7F32"/>
    <w:rsid w:val="00B00533"/>
    <w:rsid w:val="00B0072D"/>
    <w:rsid w:val="00B01C13"/>
    <w:rsid w:val="00B01D69"/>
    <w:rsid w:val="00B03009"/>
    <w:rsid w:val="00B03526"/>
    <w:rsid w:val="00B03E96"/>
    <w:rsid w:val="00B040C1"/>
    <w:rsid w:val="00B040E0"/>
    <w:rsid w:val="00B04E83"/>
    <w:rsid w:val="00B06428"/>
    <w:rsid w:val="00B065C8"/>
    <w:rsid w:val="00B0676A"/>
    <w:rsid w:val="00B075BE"/>
    <w:rsid w:val="00B1007E"/>
    <w:rsid w:val="00B10980"/>
    <w:rsid w:val="00B1129A"/>
    <w:rsid w:val="00B11AD3"/>
    <w:rsid w:val="00B11E02"/>
    <w:rsid w:val="00B1249B"/>
    <w:rsid w:val="00B12A4A"/>
    <w:rsid w:val="00B133ED"/>
    <w:rsid w:val="00B13688"/>
    <w:rsid w:val="00B13820"/>
    <w:rsid w:val="00B1399A"/>
    <w:rsid w:val="00B144E7"/>
    <w:rsid w:val="00B14565"/>
    <w:rsid w:val="00B1486B"/>
    <w:rsid w:val="00B14BB8"/>
    <w:rsid w:val="00B15538"/>
    <w:rsid w:val="00B15831"/>
    <w:rsid w:val="00B16E27"/>
    <w:rsid w:val="00B1721D"/>
    <w:rsid w:val="00B17D95"/>
    <w:rsid w:val="00B17F19"/>
    <w:rsid w:val="00B20056"/>
    <w:rsid w:val="00B2203C"/>
    <w:rsid w:val="00B22092"/>
    <w:rsid w:val="00B2308A"/>
    <w:rsid w:val="00B230DE"/>
    <w:rsid w:val="00B233D3"/>
    <w:rsid w:val="00B235EF"/>
    <w:rsid w:val="00B24B0A"/>
    <w:rsid w:val="00B25554"/>
    <w:rsid w:val="00B259EA"/>
    <w:rsid w:val="00B25D47"/>
    <w:rsid w:val="00B25EF3"/>
    <w:rsid w:val="00B26E8D"/>
    <w:rsid w:val="00B27213"/>
    <w:rsid w:val="00B27249"/>
    <w:rsid w:val="00B27317"/>
    <w:rsid w:val="00B27604"/>
    <w:rsid w:val="00B27949"/>
    <w:rsid w:val="00B306D3"/>
    <w:rsid w:val="00B3091B"/>
    <w:rsid w:val="00B30C67"/>
    <w:rsid w:val="00B316C4"/>
    <w:rsid w:val="00B3231E"/>
    <w:rsid w:val="00B326FA"/>
    <w:rsid w:val="00B34CAB"/>
    <w:rsid w:val="00B34FBD"/>
    <w:rsid w:val="00B36072"/>
    <w:rsid w:val="00B367FC"/>
    <w:rsid w:val="00B37C82"/>
    <w:rsid w:val="00B403E9"/>
    <w:rsid w:val="00B405F6"/>
    <w:rsid w:val="00B40C65"/>
    <w:rsid w:val="00B42C04"/>
    <w:rsid w:val="00B43A0B"/>
    <w:rsid w:val="00B43CB0"/>
    <w:rsid w:val="00B43F10"/>
    <w:rsid w:val="00B44521"/>
    <w:rsid w:val="00B4467C"/>
    <w:rsid w:val="00B45487"/>
    <w:rsid w:val="00B45700"/>
    <w:rsid w:val="00B46505"/>
    <w:rsid w:val="00B46D08"/>
    <w:rsid w:val="00B476DD"/>
    <w:rsid w:val="00B47A50"/>
    <w:rsid w:val="00B47B51"/>
    <w:rsid w:val="00B50107"/>
    <w:rsid w:val="00B5029F"/>
    <w:rsid w:val="00B50478"/>
    <w:rsid w:val="00B50D71"/>
    <w:rsid w:val="00B50E0C"/>
    <w:rsid w:val="00B51842"/>
    <w:rsid w:val="00B5185B"/>
    <w:rsid w:val="00B5188D"/>
    <w:rsid w:val="00B51A44"/>
    <w:rsid w:val="00B51EEC"/>
    <w:rsid w:val="00B51EEE"/>
    <w:rsid w:val="00B5211D"/>
    <w:rsid w:val="00B522C2"/>
    <w:rsid w:val="00B53321"/>
    <w:rsid w:val="00B535D4"/>
    <w:rsid w:val="00B56F40"/>
    <w:rsid w:val="00B577BE"/>
    <w:rsid w:val="00B578E3"/>
    <w:rsid w:val="00B579B4"/>
    <w:rsid w:val="00B57B5E"/>
    <w:rsid w:val="00B6027F"/>
    <w:rsid w:val="00B60BC5"/>
    <w:rsid w:val="00B60F3C"/>
    <w:rsid w:val="00B61650"/>
    <w:rsid w:val="00B6224A"/>
    <w:rsid w:val="00B622F2"/>
    <w:rsid w:val="00B62953"/>
    <w:rsid w:val="00B64417"/>
    <w:rsid w:val="00B65CCD"/>
    <w:rsid w:val="00B663AB"/>
    <w:rsid w:val="00B66AF4"/>
    <w:rsid w:val="00B66E92"/>
    <w:rsid w:val="00B67B5E"/>
    <w:rsid w:val="00B702D3"/>
    <w:rsid w:val="00B7032C"/>
    <w:rsid w:val="00B70945"/>
    <w:rsid w:val="00B714B3"/>
    <w:rsid w:val="00B71549"/>
    <w:rsid w:val="00B72017"/>
    <w:rsid w:val="00B7277B"/>
    <w:rsid w:val="00B72AD4"/>
    <w:rsid w:val="00B73F41"/>
    <w:rsid w:val="00B73F99"/>
    <w:rsid w:val="00B74315"/>
    <w:rsid w:val="00B74670"/>
    <w:rsid w:val="00B74EFA"/>
    <w:rsid w:val="00B754BA"/>
    <w:rsid w:val="00B75E10"/>
    <w:rsid w:val="00B767A3"/>
    <w:rsid w:val="00B76879"/>
    <w:rsid w:val="00B77612"/>
    <w:rsid w:val="00B77948"/>
    <w:rsid w:val="00B804DC"/>
    <w:rsid w:val="00B826BD"/>
    <w:rsid w:val="00B82A7F"/>
    <w:rsid w:val="00B82D3C"/>
    <w:rsid w:val="00B83167"/>
    <w:rsid w:val="00B833CC"/>
    <w:rsid w:val="00B835C5"/>
    <w:rsid w:val="00B8383D"/>
    <w:rsid w:val="00B839D0"/>
    <w:rsid w:val="00B84287"/>
    <w:rsid w:val="00B847F9"/>
    <w:rsid w:val="00B84E49"/>
    <w:rsid w:val="00B8531A"/>
    <w:rsid w:val="00B85EB1"/>
    <w:rsid w:val="00B85EFC"/>
    <w:rsid w:val="00B870D7"/>
    <w:rsid w:val="00B871D8"/>
    <w:rsid w:val="00B878AA"/>
    <w:rsid w:val="00B87DF6"/>
    <w:rsid w:val="00B9074A"/>
    <w:rsid w:val="00B90784"/>
    <w:rsid w:val="00B9144A"/>
    <w:rsid w:val="00B916E6"/>
    <w:rsid w:val="00B91EFA"/>
    <w:rsid w:val="00B928E9"/>
    <w:rsid w:val="00B9330C"/>
    <w:rsid w:val="00B93D14"/>
    <w:rsid w:val="00B94036"/>
    <w:rsid w:val="00B94333"/>
    <w:rsid w:val="00B943DC"/>
    <w:rsid w:val="00B94C8F"/>
    <w:rsid w:val="00B94CE7"/>
    <w:rsid w:val="00B95A28"/>
    <w:rsid w:val="00B96920"/>
    <w:rsid w:val="00B96F94"/>
    <w:rsid w:val="00B97044"/>
    <w:rsid w:val="00BA0C8A"/>
    <w:rsid w:val="00BA1223"/>
    <w:rsid w:val="00BA1B6D"/>
    <w:rsid w:val="00BA1E89"/>
    <w:rsid w:val="00BA2043"/>
    <w:rsid w:val="00BA24FD"/>
    <w:rsid w:val="00BA2DCA"/>
    <w:rsid w:val="00BA430B"/>
    <w:rsid w:val="00BA4388"/>
    <w:rsid w:val="00BA49A0"/>
    <w:rsid w:val="00BA4D6B"/>
    <w:rsid w:val="00BA5069"/>
    <w:rsid w:val="00BA5BB6"/>
    <w:rsid w:val="00BA63A4"/>
    <w:rsid w:val="00BA649F"/>
    <w:rsid w:val="00BA670E"/>
    <w:rsid w:val="00BA68D1"/>
    <w:rsid w:val="00BA6E9B"/>
    <w:rsid w:val="00BA6F59"/>
    <w:rsid w:val="00BA7360"/>
    <w:rsid w:val="00BA75F3"/>
    <w:rsid w:val="00BA775D"/>
    <w:rsid w:val="00BB0447"/>
    <w:rsid w:val="00BB0FFE"/>
    <w:rsid w:val="00BB103E"/>
    <w:rsid w:val="00BB10CF"/>
    <w:rsid w:val="00BB37D3"/>
    <w:rsid w:val="00BB399A"/>
    <w:rsid w:val="00BB3DD0"/>
    <w:rsid w:val="00BB44B8"/>
    <w:rsid w:val="00BB4554"/>
    <w:rsid w:val="00BB4792"/>
    <w:rsid w:val="00BB4E10"/>
    <w:rsid w:val="00BB4EED"/>
    <w:rsid w:val="00BB6062"/>
    <w:rsid w:val="00BB634D"/>
    <w:rsid w:val="00BB68B4"/>
    <w:rsid w:val="00BB79FC"/>
    <w:rsid w:val="00BB7BD3"/>
    <w:rsid w:val="00BC04EF"/>
    <w:rsid w:val="00BC1344"/>
    <w:rsid w:val="00BC13E1"/>
    <w:rsid w:val="00BC17FD"/>
    <w:rsid w:val="00BC193A"/>
    <w:rsid w:val="00BC2066"/>
    <w:rsid w:val="00BC2479"/>
    <w:rsid w:val="00BC2DC2"/>
    <w:rsid w:val="00BC4CEE"/>
    <w:rsid w:val="00BC5092"/>
    <w:rsid w:val="00BC5446"/>
    <w:rsid w:val="00BC5611"/>
    <w:rsid w:val="00BC5D74"/>
    <w:rsid w:val="00BC5FD0"/>
    <w:rsid w:val="00BC6600"/>
    <w:rsid w:val="00BC6B0E"/>
    <w:rsid w:val="00BC6F6C"/>
    <w:rsid w:val="00BC701E"/>
    <w:rsid w:val="00BC7355"/>
    <w:rsid w:val="00BC7D51"/>
    <w:rsid w:val="00BD00CD"/>
    <w:rsid w:val="00BD127B"/>
    <w:rsid w:val="00BD1281"/>
    <w:rsid w:val="00BD1478"/>
    <w:rsid w:val="00BD28BD"/>
    <w:rsid w:val="00BD37E8"/>
    <w:rsid w:val="00BD37F8"/>
    <w:rsid w:val="00BD487D"/>
    <w:rsid w:val="00BD4CC4"/>
    <w:rsid w:val="00BD4E57"/>
    <w:rsid w:val="00BD5064"/>
    <w:rsid w:val="00BD56B0"/>
    <w:rsid w:val="00BD5A15"/>
    <w:rsid w:val="00BD6222"/>
    <w:rsid w:val="00BD6356"/>
    <w:rsid w:val="00BD6818"/>
    <w:rsid w:val="00BD719C"/>
    <w:rsid w:val="00BD7C1E"/>
    <w:rsid w:val="00BD7DB2"/>
    <w:rsid w:val="00BE0D92"/>
    <w:rsid w:val="00BE2BE3"/>
    <w:rsid w:val="00BE2E42"/>
    <w:rsid w:val="00BE2F67"/>
    <w:rsid w:val="00BE3625"/>
    <w:rsid w:val="00BE37BB"/>
    <w:rsid w:val="00BE4680"/>
    <w:rsid w:val="00BE49EF"/>
    <w:rsid w:val="00BE5902"/>
    <w:rsid w:val="00BE62E6"/>
    <w:rsid w:val="00BE630B"/>
    <w:rsid w:val="00BE6A13"/>
    <w:rsid w:val="00BE7A57"/>
    <w:rsid w:val="00BF1183"/>
    <w:rsid w:val="00BF1348"/>
    <w:rsid w:val="00BF16C7"/>
    <w:rsid w:val="00BF183C"/>
    <w:rsid w:val="00BF1BE9"/>
    <w:rsid w:val="00BF1C1B"/>
    <w:rsid w:val="00BF1C3D"/>
    <w:rsid w:val="00BF41E6"/>
    <w:rsid w:val="00BF47CE"/>
    <w:rsid w:val="00BF584B"/>
    <w:rsid w:val="00BF598C"/>
    <w:rsid w:val="00BF6D62"/>
    <w:rsid w:val="00BF71F1"/>
    <w:rsid w:val="00BF7679"/>
    <w:rsid w:val="00BF7D9B"/>
    <w:rsid w:val="00C00E47"/>
    <w:rsid w:val="00C019C4"/>
    <w:rsid w:val="00C01B90"/>
    <w:rsid w:val="00C0255B"/>
    <w:rsid w:val="00C02C71"/>
    <w:rsid w:val="00C02F31"/>
    <w:rsid w:val="00C0449B"/>
    <w:rsid w:val="00C044EF"/>
    <w:rsid w:val="00C04A6D"/>
    <w:rsid w:val="00C0568A"/>
    <w:rsid w:val="00C05960"/>
    <w:rsid w:val="00C06581"/>
    <w:rsid w:val="00C0671D"/>
    <w:rsid w:val="00C0685B"/>
    <w:rsid w:val="00C0691D"/>
    <w:rsid w:val="00C0718C"/>
    <w:rsid w:val="00C071CB"/>
    <w:rsid w:val="00C07EC4"/>
    <w:rsid w:val="00C102F8"/>
    <w:rsid w:val="00C111FE"/>
    <w:rsid w:val="00C117DC"/>
    <w:rsid w:val="00C120E1"/>
    <w:rsid w:val="00C12B55"/>
    <w:rsid w:val="00C12BF4"/>
    <w:rsid w:val="00C13D54"/>
    <w:rsid w:val="00C13D63"/>
    <w:rsid w:val="00C15828"/>
    <w:rsid w:val="00C16B79"/>
    <w:rsid w:val="00C1719E"/>
    <w:rsid w:val="00C171FA"/>
    <w:rsid w:val="00C175E2"/>
    <w:rsid w:val="00C17DD4"/>
    <w:rsid w:val="00C21E4B"/>
    <w:rsid w:val="00C22FB8"/>
    <w:rsid w:val="00C23145"/>
    <w:rsid w:val="00C2314C"/>
    <w:rsid w:val="00C2392C"/>
    <w:rsid w:val="00C247AA"/>
    <w:rsid w:val="00C24D51"/>
    <w:rsid w:val="00C25543"/>
    <w:rsid w:val="00C25767"/>
    <w:rsid w:val="00C25A02"/>
    <w:rsid w:val="00C25B7F"/>
    <w:rsid w:val="00C262B2"/>
    <w:rsid w:val="00C2693A"/>
    <w:rsid w:val="00C278E9"/>
    <w:rsid w:val="00C27CDE"/>
    <w:rsid w:val="00C27F89"/>
    <w:rsid w:val="00C301C2"/>
    <w:rsid w:val="00C312A2"/>
    <w:rsid w:val="00C31D58"/>
    <w:rsid w:val="00C31FD4"/>
    <w:rsid w:val="00C327E5"/>
    <w:rsid w:val="00C32CA4"/>
    <w:rsid w:val="00C3327D"/>
    <w:rsid w:val="00C33A9D"/>
    <w:rsid w:val="00C33CD3"/>
    <w:rsid w:val="00C3443C"/>
    <w:rsid w:val="00C352F8"/>
    <w:rsid w:val="00C36786"/>
    <w:rsid w:val="00C3699C"/>
    <w:rsid w:val="00C36E30"/>
    <w:rsid w:val="00C37BD1"/>
    <w:rsid w:val="00C40138"/>
    <w:rsid w:val="00C403F4"/>
    <w:rsid w:val="00C4130D"/>
    <w:rsid w:val="00C41404"/>
    <w:rsid w:val="00C414EF"/>
    <w:rsid w:val="00C424B2"/>
    <w:rsid w:val="00C42594"/>
    <w:rsid w:val="00C42A04"/>
    <w:rsid w:val="00C43A49"/>
    <w:rsid w:val="00C43AA2"/>
    <w:rsid w:val="00C43FE6"/>
    <w:rsid w:val="00C44472"/>
    <w:rsid w:val="00C4451A"/>
    <w:rsid w:val="00C44598"/>
    <w:rsid w:val="00C449DF"/>
    <w:rsid w:val="00C45773"/>
    <w:rsid w:val="00C47282"/>
    <w:rsid w:val="00C50147"/>
    <w:rsid w:val="00C50E14"/>
    <w:rsid w:val="00C522CA"/>
    <w:rsid w:val="00C52574"/>
    <w:rsid w:val="00C52683"/>
    <w:rsid w:val="00C53234"/>
    <w:rsid w:val="00C5351C"/>
    <w:rsid w:val="00C53FA2"/>
    <w:rsid w:val="00C543E1"/>
    <w:rsid w:val="00C54C96"/>
    <w:rsid w:val="00C55430"/>
    <w:rsid w:val="00C55E61"/>
    <w:rsid w:val="00C56448"/>
    <w:rsid w:val="00C56963"/>
    <w:rsid w:val="00C60B18"/>
    <w:rsid w:val="00C60F4E"/>
    <w:rsid w:val="00C6301A"/>
    <w:rsid w:val="00C639DA"/>
    <w:rsid w:val="00C6427E"/>
    <w:rsid w:val="00C65289"/>
    <w:rsid w:val="00C65321"/>
    <w:rsid w:val="00C658E6"/>
    <w:rsid w:val="00C65A01"/>
    <w:rsid w:val="00C65DBE"/>
    <w:rsid w:val="00C66503"/>
    <w:rsid w:val="00C667D2"/>
    <w:rsid w:val="00C66837"/>
    <w:rsid w:val="00C704F3"/>
    <w:rsid w:val="00C70A6B"/>
    <w:rsid w:val="00C71294"/>
    <w:rsid w:val="00C725ED"/>
    <w:rsid w:val="00C73F6E"/>
    <w:rsid w:val="00C73FAB"/>
    <w:rsid w:val="00C7402B"/>
    <w:rsid w:val="00C759D1"/>
    <w:rsid w:val="00C76388"/>
    <w:rsid w:val="00C77158"/>
    <w:rsid w:val="00C809D2"/>
    <w:rsid w:val="00C80D14"/>
    <w:rsid w:val="00C80E1C"/>
    <w:rsid w:val="00C824D2"/>
    <w:rsid w:val="00C834D1"/>
    <w:rsid w:val="00C83B0A"/>
    <w:rsid w:val="00C83B46"/>
    <w:rsid w:val="00C83BC6"/>
    <w:rsid w:val="00C84292"/>
    <w:rsid w:val="00C84B58"/>
    <w:rsid w:val="00C853E7"/>
    <w:rsid w:val="00C85A23"/>
    <w:rsid w:val="00C85D76"/>
    <w:rsid w:val="00C86150"/>
    <w:rsid w:val="00C86968"/>
    <w:rsid w:val="00C90AA6"/>
    <w:rsid w:val="00C913C1"/>
    <w:rsid w:val="00C93EDD"/>
    <w:rsid w:val="00C9405C"/>
    <w:rsid w:val="00C9434A"/>
    <w:rsid w:val="00C94531"/>
    <w:rsid w:val="00C945BF"/>
    <w:rsid w:val="00C949E5"/>
    <w:rsid w:val="00C9509F"/>
    <w:rsid w:val="00C95998"/>
    <w:rsid w:val="00C95A4D"/>
    <w:rsid w:val="00C95CDC"/>
    <w:rsid w:val="00C9625A"/>
    <w:rsid w:val="00C96BF5"/>
    <w:rsid w:val="00C97798"/>
    <w:rsid w:val="00CA0549"/>
    <w:rsid w:val="00CA05DC"/>
    <w:rsid w:val="00CA0658"/>
    <w:rsid w:val="00CA2B78"/>
    <w:rsid w:val="00CA2C6F"/>
    <w:rsid w:val="00CA2F8A"/>
    <w:rsid w:val="00CA4E90"/>
    <w:rsid w:val="00CA549A"/>
    <w:rsid w:val="00CA5501"/>
    <w:rsid w:val="00CA55A6"/>
    <w:rsid w:val="00CA5C71"/>
    <w:rsid w:val="00CA6913"/>
    <w:rsid w:val="00CA6A1F"/>
    <w:rsid w:val="00CA6CD9"/>
    <w:rsid w:val="00CB1AEA"/>
    <w:rsid w:val="00CB1E8B"/>
    <w:rsid w:val="00CB226E"/>
    <w:rsid w:val="00CB28CB"/>
    <w:rsid w:val="00CB2A79"/>
    <w:rsid w:val="00CB30B6"/>
    <w:rsid w:val="00CB36D1"/>
    <w:rsid w:val="00CB370F"/>
    <w:rsid w:val="00CB3DC8"/>
    <w:rsid w:val="00CB4859"/>
    <w:rsid w:val="00CB54B7"/>
    <w:rsid w:val="00CB5E01"/>
    <w:rsid w:val="00CB6D9A"/>
    <w:rsid w:val="00CB6EF0"/>
    <w:rsid w:val="00CB73A3"/>
    <w:rsid w:val="00CB74CB"/>
    <w:rsid w:val="00CB79D0"/>
    <w:rsid w:val="00CC01F2"/>
    <w:rsid w:val="00CC0CCA"/>
    <w:rsid w:val="00CC0ED4"/>
    <w:rsid w:val="00CC115E"/>
    <w:rsid w:val="00CC1B0C"/>
    <w:rsid w:val="00CC203F"/>
    <w:rsid w:val="00CC2194"/>
    <w:rsid w:val="00CC297D"/>
    <w:rsid w:val="00CC2CD3"/>
    <w:rsid w:val="00CC31A9"/>
    <w:rsid w:val="00CC445B"/>
    <w:rsid w:val="00CC47DA"/>
    <w:rsid w:val="00CC54BF"/>
    <w:rsid w:val="00CC5988"/>
    <w:rsid w:val="00CC5CFF"/>
    <w:rsid w:val="00CC63DF"/>
    <w:rsid w:val="00CC69A1"/>
    <w:rsid w:val="00CD195D"/>
    <w:rsid w:val="00CD2E3F"/>
    <w:rsid w:val="00CD372A"/>
    <w:rsid w:val="00CD390F"/>
    <w:rsid w:val="00CD3D73"/>
    <w:rsid w:val="00CD50A9"/>
    <w:rsid w:val="00CD5257"/>
    <w:rsid w:val="00CD5413"/>
    <w:rsid w:val="00CD5DE2"/>
    <w:rsid w:val="00CD6253"/>
    <w:rsid w:val="00CD69ED"/>
    <w:rsid w:val="00CD7B77"/>
    <w:rsid w:val="00CD7C81"/>
    <w:rsid w:val="00CE0149"/>
    <w:rsid w:val="00CE0BD7"/>
    <w:rsid w:val="00CE1066"/>
    <w:rsid w:val="00CE2E82"/>
    <w:rsid w:val="00CE300E"/>
    <w:rsid w:val="00CE35B1"/>
    <w:rsid w:val="00CE3DFB"/>
    <w:rsid w:val="00CE3EF7"/>
    <w:rsid w:val="00CE4B1E"/>
    <w:rsid w:val="00CE5463"/>
    <w:rsid w:val="00CE5D2C"/>
    <w:rsid w:val="00CE6538"/>
    <w:rsid w:val="00CE6626"/>
    <w:rsid w:val="00CE727B"/>
    <w:rsid w:val="00CF069F"/>
    <w:rsid w:val="00CF0A8F"/>
    <w:rsid w:val="00CF2348"/>
    <w:rsid w:val="00CF23FA"/>
    <w:rsid w:val="00CF2D3C"/>
    <w:rsid w:val="00CF2EFF"/>
    <w:rsid w:val="00CF3344"/>
    <w:rsid w:val="00CF3CB5"/>
    <w:rsid w:val="00CF3D23"/>
    <w:rsid w:val="00CF5066"/>
    <w:rsid w:val="00CF5CCA"/>
    <w:rsid w:val="00CF6CD2"/>
    <w:rsid w:val="00CF7A7D"/>
    <w:rsid w:val="00CF7FAB"/>
    <w:rsid w:val="00D000BA"/>
    <w:rsid w:val="00D003C2"/>
    <w:rsid w:val="00D00532"/>
    <w:rsid w:val="00D005F8"/>
    <w:rsid w:val="00D01314"/>
    <w:rsid w:val="00D01354"/>
    <w:rsid w:val="00D01B07"/>
    <w:rsid w:val="00D0206B"/>
    <w:rsid w:val="00D031FE"/>
    <w:rsid w:val="00D03588"/>
    <w:rsid w:val="00D035A5"/>
    <w:rsid w:val="00D03654"/>
    <w:rsid w:val="00D03EAB"/>
    <w:rsid w:val="00D047CD"/>
    <w:rsid w:val="00D04E3B"/>
    <w:rsid w:val="00D0572A"/>
    <w:rsid w:val="00D05C01"/>
    <w:rsid w:val="00D0688A"/>
    <w:rsid w:val="00D07581"/>
    <w:rsid w:val="00D077D6"/>
    <w:rsid w:val="00D101FD"/>
    <w:rsid w:val="00D10351"/>
    <w:rsid w:val="00D10A2F"/>
    <w:rsid w:val="00D110F1"/>
    <w:rsid w:val="00D1152E"/>
    <w:rsid w:val="00D1160D"/>
    <w:rsid w:val="00D1255E"/>
    <w:rsid w:val="00D1285C"/>
    <w:rsid w:val="00D136F3"/>
    <w:rsid w:val="00D13CF7"/>
    <w:rsid w:val="00D13EFF"/>
    <w:rsid w:val="00D13F0F"/>
    <w:rsid w:val="00D1406B"/>
    <w:rsid w:val="00D14420"/>
    <w:rsid w:val="00D155C3"/>
    <w:rsid w:val="00D1699E"/>
    <w:rsid w:val="00D16AA5"/>
    <w:rsid w:val="00D16C80"/>
    <w:rsid w:val="00D171E1"/>
    <w:rsid w:val="00D173D3"/>
    <w:rsid w:val="00D17732"/>
    <w:rsid w:val="00D17827"/>
    <w:rsid w:val="00D2052E"/>
    <w:rsid w:val="00D2070D"/>
    <w:rsid w:val="00D20BCA"/>
    <w:rsid w:val="00D20CCD"/>
    <w:rsid w:val="00D21CB6"/>
    <w:rsid w:val="00D21EB2"/>
    <w:rsid w:val="00D2285D"/>
    <w:rsid w:val="00D23050"/>
    <w:rsid w:val="00D232B4"/>
    <w:rsid w:val="00D23897"/>
    <w:rsid w:val="00D23DF7"/>
    <w:rsid w:val="00D246BF"/>
    <w:rsid w:val="00D246DA"/>
    <w:rsid w:val="00D24D58"/>
    <w:rsid w:val="00D24EAC"/>
    <w:rsid w:val="00D2577A"/>
    <w:rsid w:val="00D25DDA"/>
    <w:rsid w:val="00D263D1"/>
    <w:rsid w:val="00D26693"/>
    <w:rsid w:val="00D27372"/>
    <w:rsid w:val="00D2757D"/>
    <w:rsid w:val="00D27D5C"/>
    <w:rsid w:val="00D27D65"/>
    <w:rsid w:val="00D30020"/>
    <w:rsid w:val="00D314DC"/>
    <w:rsid w:val="00D3196D"/>
    <w:rsid w:val="00D319C5"/>
    <w:rsid w:val="00D320A6"/>
    <w:rsid w:val="00D321D7"/>
    <w:rsid w:val="00D33042"/>
    <w:rsid w:val="00D33A11"/>
    <w:rsid w:val="00D347F5"/>
    <w:rsid w:val="00D351DF"/>
    <w:rsid w:val="00D35695"/>
    <w:rsid w:val="00D35D01"/>
    <w:rsid w:val="00D3623F"/>
    <w:rsid w:val="00D368ED"/>
    <w:rsid w:val="00D376F4"/>
    <w:rsid w:val="00D37C18"/>
    <w:rsid w:val="00D40280"/>
    <w:rsid w:val="00D41D8B"/>
    <w:rsid w:val="00D42CAC"/>
    <w:rsid w:val="00D430F0"/>
    <w:rsid w:val="00D43560"/>
    <w:rsid w:val="00D43B26"/>
    <w:rsid w:val="00D43F30"/>
    <w:rsid w:val="00D44283"/>
    <w:rsid w:val="00D44860"/>
    <w:rsid w:val="00D44F02"/>
    <w:rsid w:val="00D4519F"/>
    <w:rsid w:val="00D457FB"/>
    <w:rsid w:val="00D45D5B"/>
    <w:rsid w:val="00D460BE"/>
    <w:rsid w:val="00D46323"/>
    <w:rsid w:val="00D466EB"/>
    <w:rsid w:val="00D47318"/>
    <w:rsid w:val="00D47417"/>
    <w:rsid w:val="00D50498"/>
    <w:rsid w:val="00D504A2"/>
    <w:rsid w:val="00D50A4B"/>
    <w:rsid w:val="00D50C28"/>
    <w:rsid w:val="00D50D6E"/>
    <w:rsid w:val="00D50E04"/>
    <w:rsid w:val="00D50EDE"/>
    <w:rsid w:val="00D511E4"/>
    <w:rsid w:val="00D529FE"/>
    <w:rsid w:val="00D532BA"/>
    <w:rsid w:val="00D533C1"/>
    <w:rsid w:val="00D54505"/>
    <w:rsid w:val="00D54E4C"/>
    <w:rsid w:val="00D559BB"/>
    <w:rsid w:val="00D561FF"/>
    <w:rsid w:val="00D569CD"/>
    <w:rsid w:val="00D579DD"/>
    <w:rsid w:val="00D57BD2"/>
    <w:rsid w:val="00D57C37"/>
    <w:rsid w:val="00D60790"/>
    <w:rsid w:val="00D60DE5"/>
    <w:rsid w:val="00D6136C"/>
    <w:rsid w:val="00D61F70"/>
    <w:rsid w:val="00D61FA4"/>
    <w:rsid w:val="00D62672"/>
    <w:rsid w:val="00D6276B"/>
    <w:rsid w:val="00D62A0D"/>
    <w:rsid w:val="00D63152"/>
    <w:rsid w:val="00D6328A"/>
    <w:rsid w:val="00D63AE7"/>
    <w:rsid w:val="00D63F58"/>
    <w:rsid w:val="00D64351"/>
    <w:rsid w:val="00D6502A"/>
    <w:rsid w:val="00D65881"/>
    <w:rsid w:val="00D65C9C"/>
    <w:rsid w:val="00D66484"/>
    <w:rsid w:val="00D66A17"/>
    <w:rsid w:val="00D67203"/>
    <w:rsid w:val="00D67222"/>
    <w:rsid w:val="00D67C88"/>
    <w:rsid w:val="00D67CFF"/>
    <w:rsid w:val="00D70281"/>
    <w:rsid w:val="00D70553"/>
    <w:rsid w:val="00D70847"/>
    <w:rsid w:val="00D71CD9"/>
    <w:rsid w:val="00D72B70"/>
    <w:rsid w:val="00D72F6D"/>
    <w:rsid w:val="00D73C75"/>
    <w:rsid w:val="00D7413C"/>
    <w:rsid w:val="00D7435B"/>
    <w:rsid w:val="00D7511E"/>
    <w:rsid w:val="00D75398"/>
    <w:rsid w:val="00D7613B"/>
    <w:rsid w:val="00D80280"/>
    <w:rsid w:val="00D802B0"/>
    <w:rsid w:val="00D80405"/>
    <w:rsid w:val="00D80ABA"/>
    <w:rsid w:val="00D82A31"/>
    <w:rsid w:val="00D82AD6"/>
    <w:rsid w:val="00D836A2"/>
    <w:rsid w:val="00D83B5A"/>
    <w:rsid w:val="00D83EC6"/>
    <w:rsid w:val="00D84C01"/>
    <w:rsid w:val="00D85EB2"/>
    <w:rsid w:val="00D863AB"/>
    <w:rsid w:val="00D871A6"/>
    <w:rsid w:val="00D87320"/>
    <w:rsid w:val="00D87DC8"/>
    <w:rsid w:val="00D87FAA"/>
    <w:rsid w:val="00D9156F"/>
    <w:rsid w:val="00D91855"/>
    <w:rsid w:val="00D91AAB"/>
    <w:rsid w:val="00D91DC7"/>
    <w:rsid w:val="00D93953"/>
    <w:rsid w:val="00D9486D"/>
    <w:rsid w:val="00D9639E"/>
    <w:rsid w:val="00D96483"/>
    <w:rsid w:val="00D97AFE"/>
    <w:rsid w:val="00DA08AE"/>
    <w:rsid w:val="00DA0D84"/>
    <w:rsid w:val="00DA3E47"/>
    <w:rsid w:val="00DA4701"/>
    <w:rsid w:val="00DA60EE"/>
    <w:rsid w:val="00DA6109"/>
    <w:rsid w:val="00DA63C7"/>
    <w:rsid w:val="00DA73CA"/>
    <w:rsid w:val="00DA7B2F"/>
    <w:rsid w:val="00DA7C7A"/>
    <w:rsid w:val="00DB035B"/>
    <w:rsid w:val="00DB0E02"/>
    <w:rsid w:val="00DB1151"/>
    <w:rsid w:val="00DB1692"/>
    <w:rsid w:val="00DB177B"/>
    <w:rsid w:val="00DB1DEB"/>
    <w:rsid w:val="00DB1DFB"/>
    <w:rsid w:val="00DB234F"/>
    <w:rsid w:val="00DB2714"/>
    <w:rsid w:val="00DB2A8E"/>
    <w:rsid w:val="00DB2ADB"/>
    <w:rsid w:val="00DB2D04"/>
    <w:rsid w:val="00DB3A02"/>
    <w:rsid w:val="00DB4A8D"/>
    <w:rsid w:val="00DB4AAF"/>
    <w:rsid w:val="00DB4AFA"/>
    <w:rsid w:val="00DB5349"/>
    <w:rsid w:val="00DB58E1"/>
    <w:rsid w:val="00DB5AC8"/>
    <w:rsid w:val="00DB6112"/>
    <w:rsid w:val="00DB61ED"/>
    <w:rsid w:val="00DB6EE6"/>
    <w:rsid w:val="00DB713A"/>
    <w:rsid w:val="00DB7C4B"/>
    <w:rsid w:val="00DC0971"/>
    <w:rsid w:val="00DC09AB"/>
    <w:rsid w:val="00DC0E0E"/>
    <w:rsid w:val="00DC11E0"/>
    <w:rsid w:val="00DC154D"/>
    <w:rsid w:val="00DC190C"/>
    <w:rsid w:val="00DC1B45"/>
    <w:rsid w:val="00DC1BBB"/>
    <w:rsid w:val="00DC27E1"/>
    <w:rsid w:val="00DC3011"/>
    <w:rsid w:val="00DC340E"/>
    <w:rsid w:val="00DC3412"/>
    <w:rsid w:val="00DC3F56"/>
    <w:rsid w:val="00DC453A"/>
    <w:rsid w:val="00DC48D6"/>
    <w:rsid w:val="00DC4CA6"/>
    <w:rsid w:val="00DC567B"/>
    <w:rsid w:val="00DC5A29"/>
    <w:rsid w:val="00DC6030"/>
    <w:rsid w:val="00DC7499"/>
    <w:rsid w:val="00DD06C9"/>
    <w:rsid w:val="00DD09E2"/>
    <w:rsid w:val="00DD0F22"/>
    <w:rsid w:val="00DD1212"/>
    <w:rsid w:val="00DD1B16"/>
    <w:rsid w:val="00DD1B35"/>
    <w:rsid w:val="00DD387F"/>
    <w:rsid w:val="00DD47C7"/>
    <w:rsid w:val="00DD4BFE"/>
    <w:rsid w:val="00DD4EAD"/>
    <w:rsid w:val="00DD505B"/>
    <w:rsid w:val="00DD54B2"/>
    <w:rsid w:val="00DD5805"/>
    <w:rsid w:val="00DD5E58"/>
    <w:rsid w:val="00DD5F67"/>
    <w:rsid w:val="00DD642D"/>
    <w:rsid w:val="00DD7321"/>
    <w:rsid w:val="00DD7908"/>
    <w:rsid w:val="00DD7EA7"/>
    <w:rsid w:val="00DE022A"/>
    <w:rsid w:val="00DE0605"/>
    <w:rsid w:val="00DE1B40"/>
    <w:rsid w:val="00DE330E"/>
    <w:rsid w:val="00DE3AD6"/>
    <w:rsid w:val="00DE41B6"/>
    <w:rsid w:val="00DE43BD"/>
    <w:rsid w:val="00DE57B5"/>
    <w:rsid w:val="00DE5A6C"/>
    <w:rsid w:val="00DE5E3B"/>
    <w:rsid w:val="00DE69C0"/>
    <w:rsid w:val="00DE6A3C"/>
    <w:rsid w:val="00DF068A"/>
    <w:rsid w:val="00DF1045"/>
    <w:rsid w:val="00DF14DE"/>
    <w:rsid w:val="00DF2201"/>
    <w:rsid w:val="00DF3070"/>
    <w:rsid w:val="00DF3144"/>
    <w:rsid w:val="00DF3DF3"/>
    <w:rsid w:val="00DF4628"/>
    <w:rsid w:val="00DF4B40"/>
    <w:rsid w:val="00DF4E51"/>
    <w:rsid w:val="00DF571A"/>
    <w:rsid w:val="00DF6D1C"/>
    <w:rsid w:val="00DF7519"/>
    <w:rsid w:val="00DF7F24"/>
    <w:rsid w:val="00E000D4"/>
    <w:rsid w:val="00E00B43"/>
    <w:rsid w:val="00E00BB8"/>
    <w:rsid w:val="00E01045"/>
    <w:rsid w:val="00E0110A"/>
    <w:rsid w:val="00E014A2"/>
    <w:rsid w:val="00E014FD"/>
    <w:rsid w:val="00E02274"/>
    <w:rsid w:val="00E02313"/>
    <w:rsid w:val="00E024ED"/>
    <w:rsid w:val="00E027E5"/>
    <w:rsid w:val="00E028E8"/>
    <w:rsid w:val="00E041EE"/>
    <w:rsid w:val="00E0424F"/>
    <w:rsid w:val="00E04967"/>
    <w:rsid w:val="00E04F58"/>
    <w:rsid w:val="00E04FAE"/>
    <w:rsid w:val="00E066B1"/>
    <w:rsid w:val="00E071DE"/>
    <w:rsid w:val="00E07F9A"/>
    <w:rsid w:val="00E104B9"/>
    <w:rsid w:val="00E10CFC"/>
    <w:rsid w:val="00E11C09"/>
    <w:rsid w:val="00E12669"/>
    <w:rsid w:val="00E127D2"/>
    <w:rsid w:val="00E12D81"/>
    <w:rsid w:val="00E1356D"/>
    <w:rsid w:val="00E1440C"/>
    <w:rsid w:val="00E147BE"/>
    <w:rsid w:val="00E15A49"/>
    <w:rsid w:val="00E15EF1"/>
    <w:rsid w:val="00E16CA0"/>
    <w:rsid w:val="00E16EC5"/>
    <w:rsid w:val="00E17DFE"/>
    <w:rsid w:val="00E203EC"/>
    <w:rsid w:val="00E2146D"/>
    <w:rsid w:val="00E21DB5"/>
    <w:rsid w:val="00E21E55"/>
    <w:rsid w:val="00E22516"/>
    <w:rsid w:val="00E231D1"/>
    <w:rsid w:val="00E23D20"/>
    <w:rsid w:val="00E24241"/>
    <w:rsid w:val="00E24243"/>
    <w:rsid w:val="00E24A8E"/>
    <w:rsid w:val="00E24BE0"/>
    <w:rsid w:val="00E251A5"/>
    <w:rsid w:val="00E262FB"/>
    <w:rsid w:val="00E263F4"/>
    <w:rsid w:val="00E26763"/>
    <w:rsid w:val="00E268F6"/>
    <w:rsid w:val="00E27CC8"/>
    <w:rsid w:val="00E30603"/>
    <w:rsid w:val="00E307A6"/>
    <w:rsid w:val="00E313DB"/>
    <w:rsid w:val="00E31976"/>
    <w:rsid w:val="00E32073"/>
    <w:rsid w:val="00E3260D"/>
    <w:rsid w:val="00E33348"/>
    <w:rsid w:val="00E33957"/>
    <w:rsid w:val="00E33ACE"/>
    <w:rsid w:val="00E34B8C"/>
    <w:rsid w:val="00E34C7B"/>
    <w:rsid w:val="00E34EA9"/>
    <w:rsid w:val="00E35552"/>
    <w:rsid w:val="00E355F3"/>
    <w:rsid w:val="00E377C0"/>
    <w:rsid w:val="00E403D6"/>
    <w:rsid w:val="00E40751"/>
    <w:rsid w:val="00E407F4"/>
    <w:rsid w:val="00E40851"/>
    <w:rsid w:val="00E417A1"/>
    <w:rsid w:val="00E421EF"/>
    <w:rsid w:val="00E43B94"/>
    <w:rsid w:val="00E44E28"/>
    <w:rsid w:val="00E4570F"/>
    <w:rsid w:val="00E457D5"/>
    <w:rsid w:val="00E459CC"/>
    <w:rsid w:val="00E45F24"/>
    <w:rsid w:val="00E46B3D"/>
    <w:rsid w:val="00E473D5"/>
    <w:rsid w:val="00E47D4D"/>
    <w:rsid w:val="00E47FB4"/>
    <w:rsid w:val="00E516D1"/>
    <w:rsid w:val="00E522F0"/>
    <w:rsid w:val="00E5294A"/>
    <w:rsid w:val="00E52B45"/>
    <w:rsid w:val="00E547B6"/>
    <w:rsid w:val="00E549CF"/>
    <w:rsid w:val="00E54C64"/>
    <w:rsid w:val="00E54DDE"/>
    <w:rsid w:val="00E5550F"/>
    <w:rsid w:val="00E55535"/>
    <w:rsid w:val="00E55863"/>
    <w:rsid w:val="00E57C1C"/>
    <w:rsid w:val="00E60023"/>
    <w:rsid w:val="00E604D3"/>
    <w:rsid w:val="00E6087C"/>
    <w:rsid w:val="00E60B56"/>
    <w:rsid w:val="00E617D8"/>
    <w:rsid w:val="00E62422"/>
    <w:rsid w:val="00E62C29"/>
    <w:rsid w:val="00E631B7"/>
    <w:rsid w:val="00E637E1"/>
    <w:rsid w:val="00E640DE"/>
    <w:rsid w:val="00E648E0"/>
    <w:rsid w:val="00E64E9E"/>
    <w:rsid w:val="00E65902"/>
    <w:rsid w:val="00E65D92"/>
    <w:rsid w:val="00E66545"/>
    <w:rsid w:val="00E6658D"/>
    <w:rsid w:val="00E66C26"/>
    <w:rsid w:val="00E66E01"/>
    <w:rsid w:val="00E67890"/>
    <w:rsid w:val="00E678E2"/>
    <w:rsid w:val="00E70B48"/>
    <w:rsid w:val="00E71A4A"/>
    <w:rsid w:val="00E71B72"/>
    <w:rsid w:val="00E72589"/>
    <w:rsid w:val="00E726C3"/>
    <w:rsid w:val="00E72A13"/>
    <w:rsid w:val="00E73957"/>
    <w:rsid w:val="00E74297"/>
    <w:rsid w:val="00E74985"/>
    <w:rsid w:val="00E74999"/>
    <w:rsid w:val="00E74E8E"/>
    <w:rsid w:val="00E756C8"/>
    <w:rsid w:val="00E75C5E"/>
    <w:rsid w:val="00E75CB7"/>
    <w:rsid w:val="00E770B2"/>
    <w:rsid w:val="00E773E0"/>
    <w:rsid w:val="00E804CF"/>
    <w:rsid w:val="00E8197C"/>
    <w:rsid w:val="00E81B40"/>
    <w:rsid w:val="00E81E03"/>
    <w:rsid w:val="00E82494"/>
    <w:rsid w:val="00E82A11"/>
    <w:rsid w:val="00E82BB8"/>
    <w:rsid w:val="00E82E69"/>
    <w:rsid w:val="00E83178"/>
    <w:rsid w:val="00E8366A"/>
    <w:rsid w:val="00E8382A"/>
    <w:rsid w:val="00E83934"/>
    <w:rsid w:val="00E84136"/>
    <w:rsid w:val="00E842B6"/>
    <w:rsid w:val="00E84460"/>
    <w:rsid w:val="00E84E18"/>
    <w:rsid w:val="00E84FBA"/>
    <w:rsid w:val="00E8543D"/>
    <w:rsid w:val="00E85496"/>
    <w:rsid w:val="00E85BF3"/>
    <w:rsid w:val="00E866BF"/>
    <w:rsid w:val="00E87535"/>
    <w:rsid w:val="00E9074B"/>
    <w:rsid w:val="00E91FE7"/>
    <w:rsid w:val="00E924DF"/>
    <w:rsid w:val="00E9280B"/>
    <w:rsid w:val="00E92D6A"/>
    <w:rsid w:val="00E9375A"/>
    <w:rsid w:val="00E94302"/>
    <w:rsid w:val="00E943FE"/>
    <w:rsid w:val="00E948C6"/>
    <w:rsid w:val="00E94CEE"/>
    <w:rsid w:val="00E94F6B"/>
    <w:rsid w:val="00E9517C"/>
    <w:rsid w:val="00E95234"/>
    <w:rsid w:val="00E96C9C"/>
    <w:rsid w:val="00E972C7"/>
    <w:rsid w:val="00E97D1A"/>
    <w:rsid w:val="00EA01EF"/>
    <w:rsid w:val="00EA0B72"/>
    <w:rsid w:val="00EA111F"/>
    <w:rsid w:val="00EA14B1"/>
    <w:rsid w:val="00EA24C2"/>
    <w:rsid w:val="00EA2823"/>
    <w:rsid w:val="00EA2928"/>
    <w:rsid w:val="00EA2D71"/>
    <w:rsid w:val="00EA3290"/>
    <w:rsid w:val="00EA3AD2"/>
    <w:rsid w:val="00EA3BEA"/>
    <w:rsid w:val="00EA3FF5"/>
    <w:rsid w:val="00EA4333"/>
    <w:rsid w:val="00EA457C"/>
    <w:rsid w:val="00EA4DBB"/>
    <w:rsid w:val="00EA4EF3"/>
    <w:rsid w:val="00EA5E3D"/>
    <w:rsid w:val="00EA5FF0"/>
    <w:rsid w:val="00EA644E"/>
    <w:rsid w:val="00EA69DB"/>
    <w:rsid w:val="00EA6DFE"/>
    <w:rsid w:val="00EB044F"/>
    <w:rsid w:val="00EB0E22"/>
    <w:rsid w:val="00EB1327"/>
    <w:rsid w:val="00EB1469"/>
    <w:rsid w:val="00EB15D8"/>
    <w:rsid w:val="00EB1B0C"/>
    <w:rsid w:val="00EB1D7F"/>
    <w:rsid w:val="00EB2BD9"/>
    <w:rsid w:val="00EB300E"/>
    <w:rsid w:val="00EB3395"/>
    <w:rsid w:val="00EB33B4"/>
    <w:rsid w:val="00EB345E"/>
    <w:rsid w:val="00EB3A6F"/>
    <w:rsid w:val="00EB4CF0"/>
    <w:rsid w:val="00EB5DD2"/>
    <w:rsid w:val="00EB5EC2"/>
    <w:rsid w:val="00EB64CE"/>
    <w:rsid w:val="00EB691C"/>
    <w:rsid w:val="00EB6B97"/>
    <w:rsid w:val="00EB6D26"/>
    <w:rsid w:val="00EB72AC"/>
    <w:rsid w:val="00EB77C2"/>
    <w:rsid w:val="00EB79BF"/>
    <w:rsid w:val="00EC00C4"/>
    <w:rsid w:val="00EC0341"/>
    <w:rsid w:val="00EC231D"/>
    <w:rsid w:val="00EC2C6F"/>
    <w:rsid w:val="00EC415C"/>
    <w:rsid w:val="00EC4402"/>
    <w:rsid w:val="00EC4597"/>
    <w:rsid w:val="00EC5269"/>
    <w:rsid w:val="00EC5DC5"/>
    <w:rsid w:val="00EC675D"/>
    <w:rsid w:val="00EC6D22"/>
    <w:rsid w:val="00EC6EFC"/>
    <w:rsid w:val="00EC745C"/>
    <w:rsid w:val="00EC755A"/>
    <w:rsid w:val="00EC7E92"/>
    <w:rsid w:val="00ED0E8C"/>
    <w:rsid w:val="00ED15C2"/>
    <w:rsid w:val="00ED1C96"/>
    <w:rsid w:val="00ED1EE6"/>
    <w:rsid w:val="00ED23BC"/>
    <w:rsid w:val="00ED327C"/>
    <w:rsid w:val="00ED3B70"/>
    <w:rsid w:val="00ED3C16"/>
    <w:rsid w:val="00ED3C96"/>
    <w:rsid w:val="00ED44EF"/>
    <w:rsid w:val="00ED6237"/>
    <w:rsid w:val="00ED630C"/>
    <w:rsid w:val="00ED664F"/>
    <w:rsid w:val="00ED6927"/>
    <w:rsid w:val="00ED7CAB"/>
    <w:rsid w:val="00ED7DBD"/>
    <w:rsid w:val="00EE0947"/>
    <w:rsid w:val="00EE0AD3"/>
    <w:rsid w:val="00EE0D97"/>
    <w:rsid w:val="00EE1467"/>
    <w:rsid w:val="00EE1586"/>
    <w:rsid w:val="00EE17B9"/>
    <w:rsid w:val="00EE1CFA"/>
    <w:rsid w:val="00EE233A"/>
    <w:rsid w:val="00EE2A22"/>
    <w:rsid w:val="00EE3798"/>
    <w:rsid w:val="00EE3D71"/>
    <w:rsid w:val="00EE3F2E"/>
    <w:rsid w:val="00EE3F54"/>
    <w:rsid w:val="00EE42FA"/>
    <w:rsid w:val="00EE47E9"/>
    <w:rsid w:val="00EE5176"/>
    <w:rsid w:val="00EE522B"/>
    <w:rsid w:val="00EE54F1"/>
    <w:rsid w:val="00EE5850"/>
    <w:rsid w:val="00EE5A21"/>
    <w:rsid w:val="00EE5A7B"/>
    <w:rsid w:val="00EE5E2D"/>
    <w:rsid w:val="00EE5F66"/>
    <w:rsid w:val="00EE6C52"/>
    <w:rsid w:val="00EE7258"/>
    <w:rsid w:val="00EE74A2"/>
    <w:rsid w:val="00EE7B02"/>
    <w:rsid w:val="00EF0311"/>
    <w:rsid w:val="00EF13AB"/>
    <w:rsid w:val="00EF154E"/>
    <w:rsid w:val="00EF18DC"/>
    <w:rsid w:val="00EF1AF0"/>
    <w:rsid w:val="00EF2F31"/>
    <w:rsid w:val="00EF301F"/>
    <w:rsid w:val="00EF312C"/>
    <w:rsid w:val="00EF33F9"/>
    <w:rsid w:val="00EF5204"/>
    <w:rsid w:val="00EF5354"/>
    <w:rsid w:val="00EF553D"/>
    <w:rsid w:val="00EF59FD"/>
    <w:rsid w:val="00EF674E"/>
    <w:rsid w:val="00EF69B1"/>
    <w:rsid w:val="00EF6C8C"/>
    <w:rsid w:val="00EF71B2"/>
    <w:rsid w:val="00F00E6E"/>
    <w:rsid w:val="00F01FFF"/>
    <w:rsid w:val="00F02477"/>
    <w:rsid w:val="00F02C7C"/>
    <w:rsid w:val="00F038AF"/>
    <w:rsid w:val="00F03F78"/>
    <w:rsid w:val="00F04395"/>
    <w:rsid w:val="00F05A9B"/>
    <w:rsid w:val="00F06577"/>
    <w:rsid w:val="00F06C99"/>
    <w:rsid w:val="00F0763A"/>
    <w:rsid w:val="00F07FC1"/>
    <w:rsid w:val="00F10A4F"/>
    <w:rsid w:val="00F11259"/>
    <w:rsid w:val="00F114EA"/>
    <w:rsid w:val="00F11500"/>
    <w:rsid w:val="00F11D75"/>
    <w:rsid w:val="00F1247C"/>
    <w:rsid w:val="00F12B8F"/>
    <w:rsid w:val="00F13B33"/>
    <w:rsid w:val="00F1478A"/>
    <w:rsid w:val="00F147BD"/>
    <w:rsid w:val="00F14E4E"/>
    <w:rsid w:val="00F14E57"/>
    <w:rsid w:val="00F152EC"/>
    <w:rsid w:val="00F158D1"/>
    <w:rsid w:val="00F1590B"/>
    <w:rsid w:val="00F15EC0"/>
    <w:rsid w:val="00F16096"/>
    <w:rsid w:val="00F167CC"/>
    <w:rsid w:val="00F16804"/>
    <w:rsid w:val="00F168F1"/>
    <w:rsid w:val="00F17EB1"/>
    <w:rsid w:val="00F2229C"/>
    <w:rsid w:val="00F222F3"/>
    <w:rsid w:val="00F223AB"/>
    <w:rsid w:val="00F22BF9"/>
    <w:rsid w:val="00F22C53"/>
    <w:rsid w:val="00F23691"/>
    <w:rsid w:val="00F23AD4"/>
    <w:rsid w:val="00F2413C"/>
    <w:rsid w:val="00F2479E"/>
    <w:rsid w:val="00F24AB7"/>
    <w:rsid w:val="00F25C8B"/>
    <w:rsid w:val="00F26E72"/>
    <w:rsid w:val="00F2748F"/>
    <w:rsid w:val="00F2784E"/>
    <w:rsid w:val="00F30129"/>
    <w:rsid w:val="00F308E9"/>
    <w:rsid w:val="00F31214"/>
    <w:rsid w:val="00F32127"/>
    <w:rsid w:val="00F32F88"/>
    <w:rsid w:val="00F32FD5"/>
    <w:rsid w:val="00F33D6A"/>
    <w:rsid w:val="00F3510F"/>
    <w:rsid w:val="00F357EA"/>
    <w:rsid w:val="00F35C89"/>
    <w:rsid w:val="00F3611C"/>
    <w:rsid w:val="00F3663B"/>
    <w:rsid w:val="00F366AD"/>
    <w:rsid w:val="00F36BB3"/>
    <w:rsid w:val="00F375DC"/>
    <w:rsid w:val="00F3797F"/>
    <w:rsid w:val="00F37DBA"/>
    <w:rsid w:val="00F402CD"/>
    <w:rsid w:val="00F409E0"/>
    <w:rsid w:val="00F40B2D"/>
    <w:rsid w:val="00F418D9"/>
    <w:rsid w:val="00F41DEC"/>
    <w:rsid w:val="00F4256A"/>
    <w:rsid w:val="00F427F6"/>
    <w:rsid w:val="00F43E98"/>
    <w:rsid w:val="00F44A92"/>
    <w:rsid w:val="00F44B39"/>
    <w:rsid w:val="00F44BCC"/>
    <w:rsid w:val="00F44C18"/>
    <w:rsid w:val="00F45049"/>
    <w:rsid w:val="00F45054"/>
    <w:rsid w:val="00F46312"/>
    <w:rsid w:val="00F46790"/>
    <w:rsid w:val="00F4766B"/>
    <w:rsid w:val="00F5065A"/>
    <w:rsid w:val="00F507C6"/>
    <w:rsid w:val="00F507D7"/>
    <w:rsid w:val="00F50AA9"/>
    <w:rsid w:val="00F50E78"/>
    <w:rsid w:val="00F514BA"/>
    <w:rsid w:val="00F51592"/>
    <w:rsid w:val="00F51AE2"/>
    <w:rsid w:val="00F52031"/>
    <w:rsid w:val="00F522B2"/>
    <w:rsid w:val="00F52B26"/>
    <w:rsid w:val="00F52B32"/>
    <w:rsid w:val="00F52F3C"/>
    <w:rsid w:val="00F530DF"/>
    <w:rsid w:val="00F53553"/>
    <w:rsid w:val="00F53ECF"/>
    <w:rsid w:val="00F54131"/>
    <w:rsid w:val="00F54B3D"/>
    <w:rsid w:val="00F54C22"/>
    <w:rsid w:val="00F55163"/>
    <w:rsid w:val="00F563DD"/>
    <w:rsid w:val="00F57D01"/>
    <w:rsid w:val="00F60B37"/>
    <w:rsid w:val="00F6127B"/>
    <w:rsid w:val="00F612DE"/>
    <w:rsid w:val="00F619C7"/>
    <w:rsid w:val="00F61A10"/>
    <w:rsid w:val="00F61E7B"/>
    <w:rsid w:val="00F62280"/>
    <w:rsid w:val="00F62A4F"/>
    <w:rsid w:val="00F636DD"/>
    <w:rsid w:val="00F646FC"/>
    <w:rsid w:val="00F6470E"/>
    <w:rsid w:val="00F64D88"/>
    <w:rsid w:val="00F669F9"/>
    <w:rsid w:val="00F67660"/>
    <w:rsid w:val="00F6774D"/>
    <w:rsid w:val="00F679AE"/>
    <w:rsid w:val="00F705BE"/>
    <w:rsid w:val="00F71338"/>
    <w:rsid w:val="00F726AF"/>
    <w:rsid w:val="00F728BE"/>
    <w:rsid w:val="00F72DE8"/>
    <w:rsid w:val="00F7408A"/>
    <w:rsid w:val="00F740FF"/>
    <w:rsid w:val="00F74481"/>
    <w:rsid w:val="00F7450E"/>
    <w:rsid w:val="00F75A6B"/>
    <w:rsid w:val="00F76364"/>
    <w:rsid w:val="00F76F12"/>
    <w:rsid w:val="00F77355"/>
    <w:rsid w:val="00F803C8"/>
    <w:rsid w:val="00F8071E"/>
    <w:rsid w:val="00F816CE"/>
    <w:rsid w:val="00F818E8"/>
    <w:rsid w:val="00F81CAE"/>
    <w:rsid w:val="00F8212B"/>
    <w:rsid w:val="00F8250B"/>
    <w:rsid w:val="00F8458C"/>
    <w:rsid w:val="00F85919"/>
    <w:rsid w:val="00F85E8E"/>
    <w:rsid w:val="00F85EDC"/>
    <w:rsid w:val="00F85FE3"/>
    <w:rsid w:val="00F87370"/>
    <w:rsid w:val="00F87758"/>
    <w:rsid w:val="00F90104"/>
    <w:rsid w:val="00F91A5C"/>
    <w:rsid w:val="00F923A6"/>
    <w:rsid w:val="00F937E9"/>
    <w:rsid w:val="00F93C91"/>
    <w:rsid w:val="00F93DEB"/>
    <w:rsid w:val="00F93F80"/>
    <w:rsid w:val="00F95603"/>
    <w:rsid w:val="00F9566F"/>
    <w:rsid w:val="00F959FD"/>
    <w:rsid w:val="00F95DF2"/>
    <w:rsid w:val="00F96034"/>
    <w:rsid w:val="00F96BE0"/>
    <w:rsid w:val="00F96CBD"/>
    <w:rsid w:val="00F97500"/>
    <w:rsid w:val="00F9794F"/>
    <w:rsid w:val="00FA01F7"/>
    <w:rsid w:val="00FA1F53"/>
    <w:rsid w:val="00FA3219"/>
    <w:rsid w:val="00FA3BBF"/>
    <w:rsid w:val="00FA51DE"/>
    <w:rsid w:val="00FA544C"/>
    <w:rsid w:val="00FA6886"/>
    <w:rsid w:val="00FA699E"/>
    <w:rsid w:val="00FA7532"/>
    <w:rsid w:val="00FB1D89"/>
    <w:rsid w:val="00FB23E5"/>
    <w:rsid w:val="00FB2C5B"/>
    <w:rsid w:val="00FB3425"/>
    <w:rsid w:val="00FB3BFE"/>
    <w:rsid w:val="00FB45AA"/>
    <w:rsid w:val="00FB48AC"/>
    <w:rsid w:val="00FB4981"/>
    <w:rsid w:val="00FB4EB6"/>
    <w:rsid w:val="00FB50CF"/>
    <w:rsid w:val="00FB510B"/>
    <w:rsid w:val="00FB638D"/>
    <w:rsid w:val="00FB6619"/>
    <w:rsid w:val="00FB673E"/>
    <w:rsid w:val="00FB6B17"/>
    <w:rsid w:val="00FB7BE2"/>
    <w:rsid w:val="00FC0A8A"/>
    <w:rsid w:val="00FC0FE1"/>
    <w:rsid w:val="00FC29F3"/>
    <w:rsid w:val="00FC34E1"/>
    <w:rsid w:val="00FC360C"/>
    <w:rsid w:val="00FC371D"/>
    <w:rsid w:val="00FC4ED4"/>
    <w:rsid w:val="00FC5242"/>
    <w:rsid w:val="00FC63C4"/>
    <w:rsid w:val="00FC695D"/>
    <w:rsid w:val="00FC6E8A"/>
    <w:rsid w:val="00FC7ABF"/>
    <w:rsid w:val="00FD002F"/>
    <w:rsid w:val="00FD028F"/>
    <w:rsid w:val="00FD0D40"/>
    <w:rsid w:val="00FD1B07"/>
    <w:rsid w:val="00FD1C4C"/>
    <w:rsid w:val="00FD253F"/>
    <w:rsid w:val="00FD2B89"/>
    <w:rsid w:val="00FD2BC9"/>
    <w:rsid w:val="00FD3399"/>
    <w:rsid w:val="00FD353D"/>
    <w:rsid w:val="00FD4446"/>
    <w:rsid w:val="00FD5A46"/>
    <w:rsid w:val="00FD689F"/>
    <w:rsid w:val="00FD701F"/>
    <w:rsid w:val="00FD729D"/>
    <w:rsid w:val="00FD7633"/>
    <w:rsid w:val="00FD776A"/>
    <w:rsid w:val="00FD77CD"/>
    <w:rsid w:val="00FE0492"/>
    <w:rsid w:val="00FE0726"/>
    <w:rsid w:val="00FE0831"/>
    <w:rsid w:val="00FE1A63"/>
    <w:rsid w:val="00FE1BD9"/>
    <w:rsid w:val="00FE1D18"/>
    <w:rsid w:val="00FE3E89"/>
    <w:rsid w:val="00FE422B"/>
    <w:rsid w:val="00FE47A7"/>
    <w:rsid w:val="00FE533F"/>
    <w:rsid w:val="00FE5D0E"/>
    <w:rsid w:val="00FE619B"/>
    <w:rsid w:val="00FE6F7E"/>
    <w:rsid w:val="00FE71A5"/>
    <w:rsid w:val="00FE7BFE"/>
    <w:rsid w:val="00FE7D5F"/>
    <w:rsid w:val="00FE7DFF"/>
    <w:rsid w:val="00FF024B"/>
    <w:rsid w:val="00FF08BB"/>
    <w:rsid w:val="00FF12C6"/>
    <w:rsid w:val="00FF1A7E"/>
    <w:rsid w:val="00FF1CF8"/>
    <w:rsid w:val="00FF2832"/>
    <w:rsid w:val="00FF4179"/>
    <w:rsid w:val="00FF4249"/>
    <w:rsid w:val="00FF6D80"/>
    <w:rsid w:val="00FF7289"/>
    <w:rsid w:val="00FF7513"/>
    <w:rsid w:val="00FF7734"/>
    <w:rsid w:val="00FF7EB5"/>
    <w:rsid w:val="00FF7F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684386"/>
  <w14:discardImageEditingData/>
  <w14:defaultImageDpi w14:val="150"/>
  <w15:docId w15:val="{A51E5772-4ECE-485B-9E11-82A79F065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40"/>
        <w:ind w:left="1134" w:hanging="113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qFormat="1"/>
    <w:lsdException w:name="index 4" w:semiHidden="1" w:unhideWhenUsed="1" w:qFormat="1"/>
    <w:lsdException w:name="index 5" w:semiHidden="1" w:unhideWhenUsed="1" w:qFormat="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qFormat="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289"/>
    <w:pPr>
      <w:spacing w:before="360" w:after="360" w:line="480" w:lineRule="auto"/>
      <w:ind w:left="0" w:firstLine="0"/>
    </w:pPr>
    <w:rPr>
      <w:rFonts w:ascii="Times New Roman" w:hAnsi="Times New Roman" w:cs="Times New Roman"/>
      <w:color w:val="000000" w:themeColor="text1"/>
      <w:sz w:val="24"/>
      <w:szCs w:val="24"/>
    </w:rPr>
  </w:style>
  <w:style w:type="paragraph" w:styleId="Heading1">
    <w:name w:val="heading 1"/>
    <w:basedOn w:val="Normal"/>
    <w:next w:val="Normal"/>
    <w:link w:val="Heading1Char"/>
    <w:autoRedefine/>
    <w:uiPriority w:val="9"/>
    <w:qFormat/>
    <w:rsid w:val="002A7EB3"/>
    <w:pPr>
      <w:keepNext/>
      <w:keepLines/>
      <w:numPr>
        <w:numId w:val="123"/>
      </w:numPr>
      <w:spacing w:before="0"/>
      <w:jc w:val="left"/>
      <w:outlineLvl w:val="0"/>
    </w:pPr>
    <w:rPr>
      <w:rFonts w:eastAsiaTheme="majorEastAsia"/>
      <w:b/>
      <w:sz w:val="32"/>
      <w:szCs w:val="32"/>
      <w:lang w:eastAsia="en-MY"/>
    </w:rPr>
  </w:style>
  <w:style w:type="paragraph" w:styleId="Heading2">
    <w:name w:val="heading 2"/>
    <w:basedOn w:val="Normal"/>
    <w:next w:val="Normal"/>
    <w:link w:val="Heading2Char"/>
    <w:autoRedefine/>
    <w:uiPriority w:val="9"/>
    <w:qFormat/>
    <w:rsid w:val="00D04E3B"/>
    <w:pPr>
      <w:keepNext/>
      <w:keepLines/>
      <w:numPr>
        <w:ilvl w:val="1"/>
        <w:numId w:val="123"/>
      </w:numPr>
      <w:spacing w:before="40"/>
      <w:outlineLvl w:val="1"/>
    </w:pPr>
    <w:rPr>
      <w:rFonts w:asciiTheme="majorBidi" w:eastAsiaTheme="majorEastAsia" w:hAnsiTheme="majorBidi" w:cstheme="majorBidi"/>
      <w:b/>
      <w:bCs/>
      <w:lang w:eastAsia="en-MY"/>
    </w:rPr>
  </w:style>
  <w:style w:type="paragraph" w:styleId="Heading3">
    <w:name w:val="heading 3"/>
    <w:basedOn w:val="Normal"/>
    <w:next w:val="Normal"/>
    <w:link w:val="Heading3Char"/>
    <w:autoRedefine/>
    <w:uiPriority w:val="9"/>
    <w:qFormat/>
    <w:rsid w:val="00DC4CA6"/>
    <w:pPr>
      <w:keepNext/>
      <w:keepLines/>
      <w:numPr>
        <w:ilvl w:val="2"/>
        <w:numId w:val="123"/>
      </w:numPr>
      <w:tabs>
        <w:tab w:val="left" w:pos="4820"/>
      </w:tabs>
      <w:spacing w:before="240" w:after="240"/>
      <w:outlineLvl w:val="2"/>
    </w:pPr>
    <w:rPr>
      <w:rFonts w:eastAsiaTheme="majorEastAsia"/>
      <w:b/>
      <w:bCs/>
      <w:lang w:eastAsia="en-MY"/>
    </w:rPr>
  </w:style>
  <w:style w:type="paragraph" w:styleId="Heading4">
    <w:name w:val="heading 4"/>
    <w:basedOn w:val="Normal"/>
    <w:next w:val="Normal"/>
    <w:link w:val="Heading4Char"/>
    <w:autoRedefine/>
    <w:uiPriority w:val="9"/>
    <w:qFormat/>
    <w:rsid w:val="00CA4E90"/>
    <w:pPr>
      <w:keepNext/>
      <w:keepLines/>
      <w:numPr>
        <w:ilvl w:val="3"/>
        <w:numId w:val="123"/>
      </w:numPr>
      <w:tabs>
        <w:tab w:val="right" w:leader="dot" w:pos="9015"/>
      </w:tabs>
      <w:spacing w:before="40"/>
      <w:outlineLvl w:val="3"/>
    </w:pPr>
    <w:rPr>
      <w:rFonts w:eastAsiaTheme="majorEastAsia"/>
      <w:b/>
    </w:rPr>
  </w:style>
  <w:style w:type="paragraph" w:styleId="Heading5">
    <w:name w:val="heading 5"/>
    <w:basedOn w:val="Normal"/>
    <w:next w:val="Normal"/>
    <w:link w:val="Heading5Char"/>
    <w:autoRedefine/>
    <w:uiPriority w:val="9"/>
    <w:qFormat/>
    <w:rsid w:val="0071060C"/>
    <w:pPr>
      <w:keepNext/>
      <w:keepLines/>
      <w:numPr>
        <w:ilvl w:val="3"/>
        <w:numId w:val="127"/>
      </w:numPr>
      <w:spacing w:before="460" w:after="280"/>
      <w:jc w:val="left"/>
      <w:outlineLvl w:val="4"/>
    </w:pPr>
    <w:rPr>
      <w:rFonts w:eastAsia="Calibri" w:cs="Calibri"/>
      <w:b/>
      <w:bCs/>
      <w:szCs w:val="22"/>
      <w:lang w:eastAsia="zh-CN"/>
    </w:rPr>
  </w:style>
  <w:style w:type="paragraph" w:styleId="Heading6">
    <w:name w:val="heading 6"/>
    <w:basedOn w:val="Normal"/>
    <w:next w:val="Normal"/>
    <w:link w:val="Heading6Char"/>
    <w:autoRedefine/>
    <w:uiPriority w:val="9"/>
    <w:qFormat/>
    <w:rsid w:val="00CC1B0C"/>
    <w:pPr>
      <w:keepNext/>
      <w:keepLines/>
      <w:numPr>
        <w:ilvl w:val="5"/>
        <w:numId w:val="127"/>
      </w:numPr>
      <w:spacing w:before="100" w:beforeAutospacing="1" w:after="100" w:afterAutospacing="1" w:line="360" w:lineRule="auto"/>
      <w:jc w:val="left"/>
      <w:outlineLvl w:val="5"/>
    </w:pPr>
    <w:rPr>
      <w:rFonts w:eastAsia="Calibri" w:cs="Calibri"/>
      <w:b/>
      <w:bCs/>
      <w:sz w:val="28"/>
      <w:szCs w:val="28"/>
      <w:lang w:eastAsia="zh-CN"/>
    </w:rPr>
  </w:style>
  <w:style w:type="paragraph" w:styleId="Heading7">
    <w:name w:val="heading 7"/>
    <w:aliases w:val="Heading 7_A2"/>
    <w:basedOn w:val="Normal"/>
    <w:next w:val="Normal"/>
    <w:link w:val="Heading7Char"/>
    <w:autoRedefine/>
    <w:uiPriority w:val="9"/>
    <w:unhideWhenUsed/>
    <w:qFormat/>
    <w:rsid w:val="00686CCC"/>
    <w:pPr>
      <w:keepNext/>
      <w:keepLines/>
      <w:numPr>
        <w:ilvl w:val="6"/>
        <w:numId w:val="107"/>
      </w:numPr>
      <w:tabs>
        <w:tab w:val="right" w:leader="dot" w:pos="9015"/>
      </w:tabs>
      <w:spacing w:before="40" w:line="259" w:lineRule="auto"/>
      <w:jc w:val="left"/>
      <w:outlineLvl w:val="6"/>
    </w:pPr>
    <w:rPr>
      <w:rFonts w:eastAsiaTheme="majorEastAsia" w:cstheme="majorBidi"/>
      <w:iCs/>
      <w:lang w:eastAsia="zh-CN"/>
    </w:rPr>
  </w:style>
  <w:style w:type="paragraph" w:styleId="Heading8">
    <w:name w:val="heading 8"/>
    <w:aliases w:val="References"/>
    <w:basedOn w:val="Normal"/>
    <w:next w:val="Normal"/>
    <w:link w:val="Heading8Char"/>
    <w:uiPriority w:val="9"/>
    <w:unhideWhenUsed/>
    <w:qFormat/>
    <w:rsid w:val="004A3D78"/>
    <w:pPr>
      <w:keepNext/>
      <w:keepLines/>
      <w:numPr>
        <w:ilvl w:val="7"/>
        <w:numId w:val="107"/>
      </w:numPr>
      <w:spacing w:before="100" w:beforeAutospacing="1" w:line="360" w:lineRule="auto"/>
      <w:jc w:val="left"/>
      <w:outlineLvl w:val="7"/>
    </w:pPr>
    <w:rPr>
      <w:rFonts w:eastAsiaTheme="majorEastAsia" w:cstheme="majorBidi"/>
      <w:b/>
      <w:color w:val="272727" w:themeColor="text1" w:themeTint="D8"/>
      <w:sz w:val="36"/>
      <w:szCs w:val="21"/>
      <w:lang w:eastAsia="zh-CN"/>
    </w:rPr>
  </w:style>
  <w:style w:type="paragraph" w:styleId="Heading9">
    <w:name w:val="heading 9"/>
    <w:aliases w:val="Heading 9_A4"/>
    <w:basedOn w:val="Normal"/>
    <w:next w:val="Normal"/>
    <w:link w:val="Heading9Char"/>
    <w:uiPriority w:val="9"/>
    <w:unhideWhenUsed/>
    <w:rsid w:val="00446D19"/>
    <w:pPr>
      <w:keepNext/>
      <w:keepLines/>
      <w:numPr>
        <w:ilvl w:val="2"/>
        <w:numId w:val="98"/>
      </w:numPr>
      <w:spacing w:before="40" w:line="259" w:lineRule="auto"/>
      <w:outlineLvl w:val="8"/>
    </w:pPr>
    <w:rPr>
      <w:rFonts w:eastAsiaTheme="majorEastAsia" w:cstheme="majorBidi"/>
      <w:iCs/>
      <w:noProof/>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6C59BE"/>
    <w:pPr>
      <w:ind w:left="720"/>
      <w:contextualSpacing/>
    </w:pPr>
  </w:style>
  <w:style w:type="character" w:styleId="Strong">
    <w:name w:val="Strong"/>
    <w:basedOn w:val="DefaultParagraphFont"/>
    <w:uiPriority w:val="22"/>
    <w:qFormat/>
    <w:rsid w:val="006C59BE"/>
    <w:rPr>
      <w:b/>
      <w:bCs/>
    </w:rPr>
  </w:style>
  <w:style w:type="character" w:styleId="CommentReference">
    <w:name w:val="annotation reference"/>
    <w:basedOn w:val="DefaultParagraphFont"/>
    <w:uiPriority w:val="99"/>
    <w:semiHidden/>
    <w:unhideWhenUsed/>
    <w:rsid w:val="00971A8B"/>
    <w:rPr>
      <w:sz w:val="16"/>
      <w:szCs w:val="16"/>
    </w:rPr>
  </w:style>
  <w:style w:type="paragraph" w:styleId="CommentText">
    <w:name w:val="annotation text"/>
    <w:basedOn w:val="Normal"/>
    <w:link w:val="CommentTextChar"/>
    <w:uiPriority w:val="99"/>
    <w:rsid w:val="00971A8B"/>
    <w:rPr>
      <w:sz w:val="20"/>
      <w:szCs w:val="20"/>
    </w:rPr>
  </w:style>
  <w:style w:type="character" w:customStyle="1" w:styleId="CommentTextChar">
    <w:name w:val="Comment Text Char"/>
    <w:basedOn w:val="DefaultParagraphFont"/>
    <w:link w:val="CommentText"/>
    <w:uiPriority w:val="99"/>
    <w:rsid w:val="00816C2F"/>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71A8B"/>
    <w:rPr>
      <w:b/>
      <w:bCs/>
    </w:rPr>
  </w:style>
  <w:style w:type="character" w:customStyle="1" w:styleId="CommentSubjectChar">
    <w:name w:val="Comment Subject Char"/>
    <w:basedOn w:val="CommentTextChar"/>
    <w:link w:val="CommentSubject"/>
    <w:uiPriority w:val="99"/>
    <w:semiHidden/>
    <w:rsid w:val="00971A8B"/>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971A8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1A8B"/>
    <w:rPr>
      <w:rFonts w:ascii="Segoe UI" w:hAnsi="Segoe UI" w:cs="Segoe UI"/>
      <w:sz w:val="18"/>
      <w:szCs w:val="18"/>
    </w:rPr>
  </w:style>
  <w:style w:type="character" w:customStyle="1" w:styleId="ListParagraphChar">
    <w:name w:val="List Paragraph Char"/>
    <w:basedOn w:val="DefaultParagraphFont"/>
    <w:link w:val="ListParagraph"/>
    <w:uiPriority w:val="34"/>
    <w:rsid w:val="00816C2F"/>
    <w:rPr>
      <w:rFonts w:ascii="Times New Roman" w:hAnsi="Times New Roman" w:cs="Times New Roman"/>
      <w:sz w:val="24"/>
      <w:szCs w:val="24"/>
    </w:rPr>
  </w:style>
  <w:style w:type="table" w:styleId="TableGrid">
    <w:name w:val="Table Grid"/>
    <w:basedOn w:val="TableNormal"/>
    <w:uiPriority w:val="39"/>
    <w:rsid w:val="000A71F1"/>
    <w:pPr>
      <w:spacing w:after="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F409E0"/>
    <w:pPr>
      <w:jc w:val="center"/>
    </w:pPr>
    <w:rPr>
      <w:rFonts w:ascii="Calibri" w:hAnsi="Calibri" w:cs="Calibri"/>
      <w:noProof/>
      <w:sz w:val="22"/>
      <w:lang w:val="en-US"/>
    </w:rPr>
  </w:style>
  <w:style w:type="character" w:customStyle="1" w:styleId="EndNoteBibliographyTitleChar">
    <w:name w:val="EndNote Bibliography Title Char"/>
    <w:basedOn w:val="ListParagraphChar"/>
    <w:link w:val="EndNoteBibliographyTitle"/>
    <w:rsid w:val="00F409E0"/>
    <w:rPr>
      <w:rFonts w:ascii="Calibri" w:hAnsi="Calibri" w:cs="Calibri"/>
      <w:noProof/>
      <w:color w:val="000000" w:themeColor="text1"/>
      <w:sz w:val="24"/>
      <w:szCs w:val="24"/>
      <w:lang w:val="en-US"/>
    </w:rPr>
  </w:style>
  <w:style w:type="paragraph" w:customStyle="1" w:styleId="EndNoteBibliography">
    <w:name w:val="EndNote Bibliography"/>
    <w:basedOn w:val="Normal"/>
    <w:link w:val="EndNoteBibliographyChar"/>
    <w:rsid w:val="00657D57"/>
    <w:pPr>
      <w:spacing w:after="480" w:line="240" w:lineRule="auto"/>
    </w:pPr>
    <w:rPr>
      <w:rFonts w:ascii="Calibri" w:hAnsi="Calibri" w:cs="Calibri"/>
      <w:noProof/>
      <w:sz w:val="22"/>
      <w:lang w:val="en-US"/>
    </w:rPr>
  </w:style>
  <w:style w:type="character" w:customStyle="1" w:styleId="EndNoteBibliographyChar">
    <w:name w:val="EndNote Bibliography Char"/>
    <w:basedOn w:val="ListParagraphChar"/>
    <w:link w:val="EndNoteBibliography"/>
    <w:rsid w:val="00657D57"/>
    <w:rPr>
      <w:rFonts w:ascii="Calibri" w:hAnsi="Calibri" w:cs="Calibri"/>
      <w:noProof/>
      <w:color w:val="000000" w:themeColor="text1"/>
      <w:sz w:val="24"/>
      <w:szCs w:val="24"/>
      <w:lang w:val="en-US"/>
    </w:rPr>
  </w:style>
  <w:style w:type="numbering" w:customStyle="1" w:styleId="Style11">
    <w:name w:val="Style1"/>
    <w:uiPriority w:val="99"/>
    <w:rsid w:val="00D01314"/>
  </w:style>
  <w:style w:type="numbering" w:customStyle="1" w:styleId="Style2">
    <w:name w:val="Style2"/>
    <w:uiPriority w:val="99"/>
    <w:rsid w:val="00347D6C"/>
  </w:style>
  <w:style w:type="paragraph" w:styleId="NormalWeb">
    <w:name w:val="Normal (Web)"/>
    <w:basedOn w:val="Normal"/>
    <w:uiPriority w:val="99"/>
    <w:unhideWhenUsed/>
    <w:rsid w:val="004A2ABE"/>
    <w:pPr>
      <w:spacing w:before="100" w:beforeAutospacing="1" w:after="100" w:afterAutospacing="1"/>
    </w:pPr>
    <w:rPr>
      <w:rFonts w:eastAsia="Times New Roman"/>
      <w:lang w:eastAsia="zh-CN"/>
    </w:rPr>
  </w:style>
  <w:style w:type="character" w:styleId="Hyperlink">
    <w:name w:val="Hyperlink"/>
    <w:basedOn w:val="DefaultParagraphFont"/>
    <w:uiPriority w:val="99"/>
    <w:rsid w:val="000044DE"/>
    <w:rPr>
      <w:color w:val="0563C1" w:themeColor="hyperlink"/>
      <w:u w:val="single"/>
    </w:rPr>
  </w:style>
  <w:style w:type="character" w:styleId="FollowedHyperlink">
    <w:name w:val="FollowedHyperlink"/>
    <w:basedOn w:val="DefaultParagraphFont"/>
    <w:uiPriority w:val="99"/>
    <w:semiHidden/>
    <w:unhideWhenUsed/>
    <w:rsid w:val="00FF6D80"/>
    <w:rPr>
      <w:color w:val="954F72" w:themeColor="followedHyperlink"/>
      <w:u w:val="single"/>
    </w:rPr>
  </w:style>
  <w:style w:type="numbering" w:customStyle="1" w:styleId="Style3">
    <w:name w:val="Style3"/>
    <w:uiPriority w:val="99"/>
    <w:rsid w:val="009D41C9"/>
  </w:style>
  <w:style w:type="paragraph" w:styleId="Header">
    <w:name w:val="header"/>
    <w:basedOn w:val="Normal"/>
    <w:link w:val="HeaderChar"/>
    <w:uiPriority w:val="99"/>
    <w:rsid w:val="00B1007E"/>
    <w:pPr>
      <w:tabs>
        <w:tab w:val="center" w:pos="4513"/>
        <w:tab w:val="right" w:pos="9026"/>
      </w:tabs>
    </w:pPr>
  </w:style>
  <w:style w:type="character" w:customStyle="1" w:styleId="HeaderChar">
    <w:name w:val="Header Char"/>
    <w:basedOn w:val="DefaultParagraphFont"/>
    <w:link w:val="Header"/>
    <w:uiPriority w:val="99"/>
    <w:rsid w:val="00816C2F"/>
    <w:rPr>
      <w:rFonts w:ascii="Times New Roman" w:hAnsi="Times New Roman" w:cs="Times New Roman"/>
      <w:sz w:val="24"/>
      <w:szCs w:val="24"/>
    </w:rPr>
  </w:style>
  <w:style w:type="paragraph" w:styleId="Footer">
    <w:name w:val="footer"/>
    <w:basedOn w:val="Normal"/>
    <w:link w:val="FooterChar"/>
    <w:uiPriority w:val="99"/>
    <w:rsid w:val="00B1007E"/>
    <w:pPr>
      <w:tabs>
        <w:tab w:val="center" w:pos="4513"/>
        <w:tab w:val="right" w:pos="9026"/>
      </w:tabs>
    </w:pPr>
  </w:style>
  <w:style w:type="character" w:customStyle="1" w:styleId="FooterChar">
    <w:name w:val="Footer Char"/>
    <w:basedOn w:val="DefaultParagraphFont"/>
    <w:link w:val="Footer"/>
    <w:uiPriority w:val="99"/>
    <w:rsid w:val="00816C2F"/>
    <w:rPr>
      <w:rFonts w:ascii="Times New Roman" w:hAnsi="Times New Roman" w:cs="Times New Roman"/>
      <w:sz w:val="24"/>
      <w:szCs w:val="24"/>
    </w:rPr>
  </w:style>
  <w:style w:type="character" w:styleId="PlaceholderText">
    <w:name w:val="Placeholder Text"/>
    <w:basedOn w:val="DefaultParagraphFont"/>
    <w:uiPriority w:val="99"/>
    <w:rsid w:val="00857DB7"/>
    <w:rPr>
      <w:color w:val="808080"/>
    </w:rPr>
  </w:style>
  <w:style w:type="paragraph" w:styleId="Caption">
    <w:name w:val="caption"/>
    <w:basedOn w:val="Normal"/>
    <w:next w:val="Normal"/>
    <w:link w:val="CaptionChar"/>
    <w:autoRedefine/>
    <w:uiPriority w:val="35"/>
    <w:qFormat/>
    <w:rsid w:val="00C4130D"/>
    <w:pPr>
      <w:keepNext/>
      <w:tabs>
        <w:tab w:val="left" w:pos="4678"/>
        <w:tab w:val="left" w:pos="5387"/>
      </w:tabs>
      <w:spacing w:before="240" w:after="240" w:line="240" w:lineRule="auto"/>
    </w:pPr>
    <w:rPr>
      <w:rFonts w:eastAsia="Calibri"/>
      <w:iCs/>
      <w:lang w:val="en-MY" w:eastAsia="en-MY"/>
    </w:rPr>
  </w:style>
  <w:style w:type="paragraph" w:styleId="Title">
    <w:name w:val="Title"/>
    <w:basedOn w:val="Normal"/>
    <w:next w:val="Normal"/>
    <w:link w:val="TitleChar"/>
    <w:uiPriority w:val="10"/>
    <w:rsid w:val="00B702D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6C2F"/>
    <w:rPr>
      <w:rFonts w:asciiTheme="majorHAnsi" w:eastAsiaTheme="majorEastAsia" w:hAnsiTheme="majorHAnsi" w:cstheme="majorBidi"/>
      <w:spacing w:val="-10"/>
      <w:kern w:val="28"/>
      <w:sz w:val="56"/>
      <w:szCs w:val="56"/>
    </w:rPr>
  </w:style>
  <w:style w:type="paragraph" w:customStyle="1" w:styleId="Style4">
    <w:name w:val="Style4"/>
    <w:basedOn w:val="Title"/>
    <w:link w:val="Style4Char"/>
    <w:rsid w:val="00B702D3"/>
    <w:pPr>
      <w:jc w:val="center"/>
    </w:pPr>
    <w:rPr>
      <w:b/>
    </w:rPr>
  </w:style>
  <w:style w:type="paragraph" w:customStyle="1" w:styleId="Chapter">
    <w:name w:val="Chapter"/>
    <w:basedOn w:val="Style4"/>
    <w:link w:val="ChapterChar"/>
    <w:qFormat/>
    <w:rsid w:val="00DC27E1"/>
    <w:pPr>
      <w:jc w:val="left"/>
    </w:pPr>
    <w:rPr>
      <w:rFonts w:ascii="Times New Roman" w:hAnsi="Times New Roman" w:cs="Times New Roman"/>
      <w:b w:val="0"/>
      <w:bCs/>
    </w:rPr>
  </w:style>
  <w:style w:type="character" w:customStyle="1" w:styleId="Style4Char">
    <w:name w:val="Style4 Char"/>
    <w:basedOn w:val="TitleChar"/>
    <w:link w:val="Style4"/>
    <w:rsid w:val="00816C2F"/>
    <w:rPr>
      <w:rFonts w:asciiTheme="majorHAnsi" w:eastAsiaTheme="majorEastAsia" w:hAnsiTheme="majorHAnsi" w:cstheme="majorBidi"/>
      <w:b/>
      <w:spacing w:val="-10"/>
      <w:kern w:val="28"/>
      <w:sz w:val="56"/>
      <w:szCs w:val="56"/>
    </w:rPr>
  </w:style>
  <w:style w:type="paragraph" w:customStyle="1" w:styleId="Style5">
    <w:name w:val="Style5"/>
    <w:basedOn w:val="Chapter"/>
    <w:link w:val="Style5Char"/>
    <w:rsid w:val="00B702D3"/>
    <w:rPr>
      <w:sz w:val="72"/>
    </w:rPr>
  </w:style>
  <w:style w:type="character" w:customStyle="1" w:styleId="ChapterChar">
    <w:name w:val="Chapter Char"/>
    <w:basedOn w:val="Style4Char"/>
    <w:link w:val="Chapter"/>
    <w:rsid w:val="00DC27E1"/>
    <w:rPr>
      <w:rFonts w:ascii="Times New Roman" w:eastAsiaTheme="majorEastAsia" w:hAnsi="Times New Roman" w:cs="Times New Roman"/>
      <w:b w:val="0"/>
      <w:bCs/>
      <w:color w:val="000000" w:themeColor="text1"/>
      <w:spacing w:val="-10"/>
      <w:kern w:val="28"/>
      <w:sz w:val="56"/>
      <w:szCs w:val="56"/>
    </w:rPr>
  </w:style>
  <w:style w:type="character" w:customStyle="1" w:styleId="Heading1Char">
    <w:name w:val="Heading 1 Char"/>
    <w:basedOn w:val="DefaultParagraphFont"/>
    <w:link w:val="Heading1"/>
    <w:uiPriority w:val="9"/>
    <w:rsid w:val="002A7EB3"/>
    <w:rPr>
      <w:rFonts w:ascii="Times New Roman" w:eastAsiaTheme="majorEastAsia" w:hAnsi="Times New Roman" w:cs="Times New Roman"/>
      <w:b/>
      <w:color w:val="000000" w:themeColor="text1"/>
      <w:sz w:val="32"/>
      <w:szCs w:val="32"/>
      <w:lang w:eastAsia="en-MY"/>
    </w:rPr>
  </w:style>
  <w:style w:type="character" w:customStyle="1" w:styleId="Style5Char">
    <w:name w:val="Style5 Char"/>
    <w:basedOn w:val="ChapterChar"/>
    <w:link w:val="Style5"/>
    <w:rsid w:val="00816C2F"/>
    <w:rPr>
      <w:rFonts w:ascii="Times New Roman" w:eastAsiaTheme="majorEastAsia" w:hAnsi="Times New Roman" w:cs="Times New Roman"/>
      <w:b w:val="0"/>
      <w:bCs/>
      <w:color w:val="000000" w:themeColor="text1"/>
      <w:spacing w:val="-10"/>
      <w:kern w:val="28"/>
      <w:sz w:val="72"/>
      <w:szCs w:val="56"/>
    </w:rPr>
  </w:style>
  <w:style w:type="character" w:styleId="IntenseReference">
    <w:name w:val="Intense Reference"/>
    <w:basedOn w:val="DefaultParagraphFont"/>
    <w:uiPriority w:val="32"/>
    <w:rsid w:val="00E066B1"/>
    <w:rPr>
      <w:b/>
      <w:bCs/>
      <w:smallCaps/>
      <w:color w:val="4472C4" w:themeColor="accent1"/>
      <w:spacing w:val="5"/>
    </w:rPr>
  </w:style>
  <w:style w:type="paragraph" w:styleId="NoSpacing">
    <w:name w:val="No Spacing"/>
    <w:uiPriority w:val="1"/>
    <w:rsid w:val="00B702D3"/>
    <w:pPr>
      <w:spacing w:after="0"/>
    </w:pPr>
  </w:style>
  <w:style w:type="numbering" w:customStyle="1" w:styleId="firstheading">
    <w:name w:val="first heading"/>
    <w:basedOn w:val="NoList"/>
    <w:uiPriority w:val="99"/>
    <w:rsid w:val="00E066B1"/>
  </w:style>
  <w:style w:type="character" w:styleId="IntenseEmphasis">
    <w:name w:val="Intense Emphasis"/>
    <w:basedOn w:val="DefaultParagraphFont"/>
    <w:uiPriority w:val="21"/>
    <w:rsid w:val="00E066B1"/>
    <w:rPr>
      <w:i/>
      <w:iCs/>
      <w:color w:val="4472C4" w:themeColor="accent1"/>
    </w:rPr>
  </w:style>
  <w:style w:type="character" w:styleId="Emphasis">
    <w:name w:val="Emphasis"/>
    <w:basedOn w:val="DefaultParagraphFont"/>
    <w:uiPriority w:val="20"/>
    <w:qFormat/>
    <w:rsid w:val="00E066B1"/>
    <w:rPr>
      <w:i/>
      <w:iCs/>
    </w:rPr>
  </w:style>
  <w:style w:type="paragraph" w:customStyle="1" w:styleId="Style7">
    <w:name w:val="Style7"/>
    <w:basedOn w:val="Normal"/>
    <w:link w:val="Style7Char"/>
    <w:autoRedefine/>
    <w:rsid w:val="00816C2F"/>
    <w:pPr>
      <w:numPr>
        <w:ilvl w:val="1"/>
        <w:numId w:val="5"/>
      </w:numPr>
      <w:contextualSpacing/>
    </w:pPr>
    <w:rPr>
      <w:b/>
      <w:bCs/>
      <w:sz w:val="28"/>
    </w:rPr>
  </w:style>
  <w:style w:type="character" w:customStyle="1" w:styleId="Heading2Char">
    <w:name w:val="Heading 2 Char"/>
    <w:basedOn w:val="DefaultParagraphFont"/>
    <w:link w:val="Heading2"/>
    <w:uiPriority w:val="9"/>
    <w:rsid w:val="00D04E3B"/>
    <w:rPr>
      <w:rFonts w:asciiTheme="majorBidi" w:eastAsiaTheme="majorEastAsia" w:hAnsiTheme="majorBidi" w:cstheme="majorBidi"/>
      <w:b/>
      <w:bCs/>
      <w:color w:val="000000" w:themeColor="text1"/>
      <w:sz w:val="24"/>
      <w:szCs w:val="24"/>
      <w:lang w:eastAsia="en-MY"/>
    </w:rPr>
  </w:style>
  <w:style w:type="character" w:customStyle="1" w:styleId="Style7Char">
    <w:name w:val="Style7 Char"/>
    <w:basedOn w:val="DefaultParagraphFont"/>
    <w:link w:val="Style7"/>
    <w:rsid w:val="00816C2F"/>
    <w:rPr>
      <w:rFonts w:ascii="Times New Roman" w:hAnsi="Times New Roman" w:cs="Times New Roman"/>
      <w:b/>
      <w:bCs/>
      <w:color w:val="000000" w:themeColor="text1"/>
      <w:sz w:val="28"/>
      <w:szCs w:val="24"/>
    </w:rPr>
  </w:style>
  <w:style w:type="paragraph" w:customStyle="1" w:styleId="Style8">
    <w:name w:val="Style8"/>
    <w:basedOn w:val="Heading2"/>
    <w:link w:val="Style8Char"/>
    <w:rsid w:val="00E066B1"/>
    <w:pPr>
      <w:numPr>
        <w:ilvl w:val="0"/>
        <w:numId w:val="6"/>
      </w:numPr>
    </w:pPr>
    <w:rPr>
      <w:color w:val="auto"/>
    </w:rPr>
  </w:style>
  <w:style w:type="paragraph" w:customStyle="1" w:styleId="Style9">
    <w:name w:val="Style9"/>
    <w:basedOn w:val="Heading1"/>
    <w:link w:val="Style9Char"/>
    <w:rsid w:val="00E066B1"/>
    <w:rPr>
      <w:rFonts w:asciiTheme="majorBidi" w:hAnsiTheme="majorBidi"/>
      <w:b w:val="0"/>
      <w:bCs/>
      <w:color w:val="auto"/>
    </w:rPr>
  </w:style>
  <w:style w:type="character" w:customStyle="1" w:styleId="Style8Char">
    <w:name w:val="Style8 Char"/>
    <w:basedOn w:val="Heading2Char"/>
    <w:link w:val="Style8"/>
    <w:rsid w:val="00816C2F"/>
    <w:rPr>
      <w:rFonts w:asciiTheme="majorBidi" w:eastAsiaTheme="majorEastAsia" w:hAnsiTheme="majorBidi" w:cstheme="majorBidi"/>
      <w:b/>
      <w:bCs/>
      <w:color w:val="000000" w:themeColor="text1"/>
      <w:sz w:val="24"/>
      <w:szCs w:val="24"/>
      <w:lang w:eastAsia="en-MY"/>
    </w:rPr>
  </w:style>
  <w:style w:type="character" w:customStyle="1" w:styleId="Heading3Char">
    <w:name w:val="Heading 3 Char"/>
    <w:basedOn w:val="DefaultParagraphFont"/>
    <w:link w:val="Heading3"/>
    <w:uiPriority w:val="9"/>
    <w:rsid w:val="00DC4CA6"/>
    <w:rPr>
      <w:rFonts w:ascii="Times New Roman" w:eastAsiaTheme="majorEastAsia" w:hAnsi="Times New Roman" w:cs="Times New Roman"/>
      <w:b/>
      <w:bCs/>
      <w:color w:val="000000" w:themeColor="text1"/>
      <w:sz w:val="24"/>
      <w:szCs w:val="24"/>
      <w:lang w:eastAsia="en-MY"/>
    </w:rPr>
  </w:style>
  <w:style w:type="character" w:customStyle="1" w:styleId="Style9Char">
    <w:name w:val="Style9 Char"/>
    <w:basedOn w:val="Heading1Char"/>
    <w:link w:val="Style9"/>
    <w:rsid w:val="00816C2F"/>
    <w:rPr>
      <w:rFonts w:asciiTheme="majorBidi" w:eastAsiaTheme="majorEastAsia" w:hAnsiTheme="majorBidi" w:cs="Times New Roman"/>
      <w:b w:val="0"/>
      <w:bCs/>
      <w:color w:val="000000" w:themeColor="text1"/>
      <w:sz w:val="32"/>
      <w:szCs w:val="32"/>
      <w:lang w:eastAsia="en-MY"/>
    </w:rPr>
  </w:style>
  <w:style w:type="paragraph" w:styleId="TableofFigures">
    <w:name w:val="table of figures"/>
    <w:basedOn w:val="Normal"/>
    <w:next w:val="Normal"/>
    <w:autoRedefine/>
    <w:uiPriority w:val="99"/>
    <w:rsid w:val="009B2977"/>
    <w:pPr>
      <w:tabs>
        <w:tab w:val="left" w:pos="567"/>
        <w:tab w:val="left" w:pos="1276"/>
        <w:tab w:val="left" w:pos="1418"/>
        <w:tab w:val="left" w:pos="1653"/>
        <w:tab w:val="right" w:leader="dot" w:pos="9026"/>
      </w:tabs>
      <w:spacing w:before="120" w:line="240" w:lineRule="auto"/>
      <w:mirrorIndents/>
    </w:pPr>
    <w:rPr>
      <w:rFonts w:asciiTheme="majorBidi" w:eastAsia="Times New Roman" w:hAnsiTheme="majorBidi" w:cstheme="majorBidi"/>
      <w:bCs/>
      <w:noProof/>
      <w:lang w:eastAsia="en-MY"/>
    </w:rPr>
  </w:style>
  <w:style w:type="paragraph" w:styleId="TOCHeading">
    <w:name w:val="TOC Heading"/>
    <w:basedOn w:val="Heading1"/>
    <w:next w:val="Normal"/>
    <w:uiPriority w:val="39"/>
    <w:qFormat/>
    <w:rsid w:val="0011327E"/>
    <w:pPr>
      <w:outlineLvl w:val="9"/>
    </w:pPr>
    <w:rPr>
      <w:lang w:val="en-US"/>
    </w:rPr>
  </w:style>
  <w:style w:type="paragraph" w:styleId="TOC2">
    <w:name w:val="toc 2"/>
    <w:basedOn w:val="Normal"/>
    <w:next w:val="Normal"/>
    <w:autoRedefine/>
    <w:uiPriority w:val="39"/>
    <w:rsid w:val="003B5592"/>
    <w:pPr>
      <w:tabs>
        <w:tab w:val="right" w:leader="dot" w:pos="8897"/>
      </w:tabs>
      <w:spacing w:before="240" w:line="240" w:lineRule="auto"/>
    </w:pPr>
    <w:rPr>
      <w:rFonts w:cstheme="minorHAnsi"/>
      <w:bCs/>
    </w:rPr>
  </w:style>
  <w:style w:type="paragraph" w:styleId="TOC3">
    <w:name w:val="toc 3"/>
    <w:basedOn w:val="Normal"/>
    <w:next w:val="Normal"/>
    <w:autoRedefine/>
    <w:uiPriority w:val="39"/>
    <w:rsid w:val="00D72B70"/>
    <w:pPr>
      <w:tabs>
        <w:tab w:val="right" w:leader="dot" w:pos="8897"/>
      </w:tabs>
      <w:spacing w:before="240" w:after="0" w:line="240" w:lineRule="auto"/>
    </w:pPr>
    <w:rPr>
      <w:rFonts w:cstheme="minorHAnsi"/>
    </w:rPr>
  </w:style>
  <w:style w:type="paragraph" w:styleId="TOC1">
    <w:name w:val="toc 1"/>
    <w:basedOn w:val="Normal"/>
    <w:next w:val="Normal"/>
    <w:autoRedefine/>
    <w:uiPriority w:val="39"/>
    <w:rsid w:val="00876DD7"/>
    <w:pPr>
      <w:tabs>
        <w:tab w:val="right" w:leader="dot" w:pos="8897"/>
      </w:tabs>
      <w:spacing w:before="240" w:after="0" w:line="240" w:lineRule="auto"/>
    </w:pPr>
    <w:rPr>
      <w:b/>
      <w:caps/>
      <w:noProof/>
      <w:szCs w:val="32"/>
    </w:rPr>
  </w:style>
  <w:style w:type="paragraph" w:styleId="TOC4">
    <w:name w:val="toc 4"/>
    <w:basedOn w:val="Normal"/>
    <w:next w:val="Normal"/>
    <w:autoRedefine/>
    <w:uiPriority w:val="39"/>
    <w:rsid w:val="001A460A"/>
    <w:pPr>
      <w:tabs>
        <w:tab w:val="left" w:pos="9015"/>
      </w:tabs>
      <w:spacing w:before="0" w:after="0" w:line="240" w:lineRule="auto"/>
      <w:ind w:left="440"/>
      <w:jc w:val="left"/>
    </w:pPr>
    <w:rPr>
      <w:rFonts w:cstheme="minorHAnsi"/>
    </w:rPr>
  </w:style>
  <w:style w:type="paragraph" w:styleId="TOC5">
    <w:name w:val="toc 5"/>
    <w:basedOn w:val="Normal"/>
    <w:next w:val="Normal"/>
    <w:autoRedefine/>
    <w:uiPriority w:val="39"/>
    <w:rsid w:val="0050496A"/>
    <w:pPr>
      <w:ind w:left="660"/>
    </w:pPr>
    <w:rPr>
      <w:rFonts w:cstheme="minorHAnsi"/>
    </w:rPr>
  </w:style>
  <w:style w:type="paragraph" w:styleId="TOC6">
    <w:name w:val="toc 6"/>
    <w:basedOn w:val="Normal"/>
    <w:next w:val="Normal"/>
    <w:autoRedefine/>
    <w:uiPriority w:val="39"/>
    <w:rsid w:val="0050496A"/>
    <w:pPr>
      <w:numPr>
        <w:numId w:val="97"/>
      </w:numPr>
    </w:pPr>
    <w:rPr>
      <w:rFonts w:cstheme="minorHAnsi"/>
      <w:noProof/>
    </w:rPr>
  </w:style>
  <w:style w:type="paragraph" w:styleId="TOC7">
    <w:name w:val="toc 7"/>
    <w:basedOn w:val="Normal"/>
    <w:next w:val="Normal"/>
    <w:autoRedefine/>
    <w:uiPriority w:val="39"/>
    <w:rsid w:val="00400564"/>
    <w:pPr>
      <w:ind w:left="1100"/>
    </w:pPr>
    <w:rPr>
      <w:rFonts w:cstheme="minorHAnsi"/>
      <w:sz w:val="20"/>
    </w:rPr>
  </w:style>
  <w:style w:type="paragraph" w:styleId="TOC8">
    <w:name w:val="toc 8"/>
    <w:basedOn w:val="Normal"/>
    <w:next w:val="Normal"/>
    <w:autoRedefine/>
    <w:uiPriority w:val="39"/>
    <w:rsid w:val="00400564"/>
    <w:pPr>
      <w:ind w:left="1320"/>
    </w:pPr>
    <w:rPr>
      <w:rFonts w:cstheme="minorHAnsi"/>
      <w:sz w:val="20"/>
    </w:rPr>
  </w:style>
  <w:style w:type="paragraph" w:styleId="TOC9">
    <w:name w:val="toc 9"/>
    <w:basedOn w:val="Normal"/>
    <w:next w:val="Normal"/>
    <w:autoRedefine/>
    <w:uiPriority w:val="39"/>
    <w:rsid w:val="00400564"/>
    <w:pPr>
      <w:ind w:left="1540"/>
    </w:pPr>
    <w:rPr>
      <w:rFonts w:cstheme="minorHAnsi"/>
      <w:sz w:val="20"/>
    </w:rPr>
  </w:style>
  <w:style w:type="character" w:styleId="SubtleEmphasis">
    <w:name w:val="Subtle Emphasis"/>
    <w:basedOn w:val="DefaultParagraphFont"/>
    <w:uiPriority w:val="19"/>
    <w:rsid w:val="00064DD3"/>
    <w:rPr>
      <w:i/>
      <w:iCs/>
      <w:color w:val="404040" w:themeColor="text1" w:themeTint="BF"/>
    </w:rPr>
  </w:style>
  <w:style w:type="character" w:customStyle="1" w:styleId="Heading4Char">
    <w:name w:val="Heading 4 Char"/>
    <w:basedOn w:val="DefaultParagraphFont"/>
    <w:link w:val="Heading4"/>
    <w:uiPriority w:val="9"/>
    <w:rsid w:val="00CA4E90"/>
    <w:rPr>
      <w:rFonts w:ascii="Times New Roman" w:eastAsiaTheme="majorEastAsia" w:hAnsi="Times New Roman" w:cs="Times New Roman"/>
      <w:b/>
      <w:color w:val="000000" w:themeColor="text1"/>
      <w:sz w:val="24"/>
      <w:szCs w:val="24"/>
    </w:rPr>
  </w:style>
  <w:style w:type="paragraph" w:customStyle="1" w:styleId="Style3-07">
    <w:name w:val="Style3-07"/>
    <w:basedOn w:val="Normal"/>
    <w:link w:val="Style3-07Char"/>
    <w:rsid w:val="002351A5"/>
    <w:pPr>
      <w:spacing w:line="360" w:lineRule="auto"/>
    </w:pPr>
    <w:rPr>
      <w:b/>
    </w:rPr>
  </w:style>
  <w:style w:type="character" w:customStyle="1" w:styleId="Style3-07Char">
    <w:name w:val="Style3-07 Char"/>
    <w:basedOn w:val="DefaultParagraphFont"/>
    <w:link w:val="Style3-07"/>
    <w:rsid w:val="00816C2F"/>
    <w:rPr>
      <w:rFonts w:ascii="Times New Roman" w:hAnsi="Times New Roman" w:cs="Times New Roman"/>
      <w:b/>
      <w:sz w:val="24"/>
      <w:szCs w:val="24"/>
    </w:rPr>
  </w:style>
  <w:style w:type="paragraph" w:customStyle="1" w:styleId="Style6">
    <w:name w:val="Style6"/>
    <w:basedOn w:val="Normal"/>
    <w:link w:val="Style6Char"/>
    <w:rsid w:val="00816C2F"/>
    <w:pPr>
      <w:keepNext/>
      <w:keepLines/>
      <w:numPr>
        <w:ilvl w:val="3"/>
        <w:numId w:val="7"/>
      </w:numPr>
      <w:spacing w:before="40"/>
      <w:outlineLvl w:val="2"/>
    </w:pPr>
    <w:rPr>
      <w:rFonts w:asciiTheme="majorBidi" w:eastAsiaTheme="majorEastAsia" w:hAnsiTheme="majorBidi" w:cstheme="majorBidi"/>
      <w:b/>
      <w:lang w:eastAsia="en-GB"/>
    </w:rPr>
  </w:style>
  <w:style w:type="character" w:customStyle="1" w:styleId="Style6Char">
    <w:name w:val="Style6 Char"/>
    <w:basedOn w:val="DefaultParagraphFont"/>
    <w:link w:val="Style6"/>
    <w:rsid w:val="00816C2F"/>
    <w:rPr>
      <w:rFonts w:asciiTheme="majorBidi" w:eastAsiaTheme="majorEastAsia" w:hAnsiTheme="majorBidi" w:cstheme="majorBidi"/>
      <w:b/>
      <w:color w:val="000000" w:themeColor="text1"/>
      <w:sz w:val="24"/>
      <w:szCs w:val="24"/>
      <w:lang w:eastAsia="en-GB"/>
    </w:rPr>
  </w:style>
  <w:style w:type="table" w:customStyle="1" w:styleId="TableGrid2">
    <w:name w:val="Table Grid2"/>
    <w:basedOn w:val="TableNormal"/>
    <w:next w:val="TableGrid"/>
    <w:uiPriority w:val="39"/>
    <w:rsid w:val="00B30C6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B30C6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30C6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F85E8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71060C"/>
    <w:rPr>
      <w:rFonts w:ascii="Times New Roman" w:eastAsia="Calibri" w:hAnsi="Times New Roman" w:cs="Calibri"/>
      <w:b/>
      <w:bCs/>
      <w:color w:val="000000" w:themeColor="text1"/>
      <w:sz w:val="24"/>
      <w:lang w:eastAsia="zh-CN"/>
    </w:rPr>
  </w:style>
  <w:style w:type="character" w:customStyle="1" w:styleId="Heading6Char">
    <w:name w:val="Heading 6 Char"/>
    <w:basedOn w:val="DefaultParagraphFont"/>
    <w:link w:val="Heading6"/>
    <w:uiPriority w:val="9"/>
    <w:rsid w:val="00CC1B0C"/>
    <w:rPr>
      <w:rFonts w:ascii="Times New Roman" w:eastAsia="Calibri" w:hAnsi="Times New Roman" w:cs="Calibri"/>
      <w:b/>
      <w:bCs/>
      <w:color w:val="000000" w:themeColor="text1"/>
      <w:sz w:val="28"/>
      <w:szCs w:val="28"/>
      <w:lang w:eastAsia="zh-CN"/>
    </w:rPr>
  </w:style>
  <w:style w:type="character" w:customStyle="1" w:styleId="Heading7Char">
    <w:name w:val="Heading 7 Char"/>
    <w:aliases w:val="Heading 7_A2 Char"/>
    <w:basedOn w:val="DefaultParagraphFont"/>
    <w:link w:val="Heading7"/>
    <w:uiPriority w:val="9"/>
    <w:rsid w:val="00686CCC"/>
    <w:rPr>
      <w:rFonts w:ascii="Times New Roman" w:eastAsiaTheme="majorEastAsia" w:hAnsi="Times New Roman" w:cstheme="majorBidi"/>
      <w:iCs/>
      <w:color w:val="000000" w:themeColor="text1"/>
      <w:sz w:val="24"/>
      <w:szCs w:val="24"/>
      <w:lang w:eastAsia="zh-CN"/>
    </w:rPr>
  </w:style>
  <w:style w:type="character" w:customStyle="1" w:styleId="Heading8Char">
    <w:name w:val="Heading 8 Char"/>
    <w:aliases w:val="References Char"/>
    <w:basedOn w:val="DefaultParagraphFont"/>
    <w:link w:val="Heading8"/>
    <w:uiPriority w:val="9"/>
    <w:rsid w:val="004A3D78"/>
    <w:rPr>
      <w:rFonts w:ascii="Times New Roman" w:eastAsiaTheme="majorEastAsia" w:hAnsi="Times New Roman" w:cstheme="majorBidi"/>
      <w:b/>
      <w:color w:val="272727" w:themeColor="text1" w:themeTint="D8"/>
      <w:sz w:val="36"/>
      <w:szCs w:val="21"/>
      <w:lang w:eastAsia="zh-CN"/>
    </w:rPr>
  </w:style>
  <w:style w:type="character" w:customStyle="1" w:styleId="UnresolvedMention1">
    <w:name w:val="Unresolved Mention1"/>
    <w:basedOn w:val="DefaultParagraphFont"/>
    <w:uiPriority w:val="99"/>
    <w:semiHidden/>
    <w:unhideWhenUsed/>
    <w:rsid w:val="00547D87"/>
    <w:rPr>
      <w:color w:val="605E5C"/>
      <w:shd w:val="clear" w:color="auto" w:fill="E1DFDD"/>
    </w:rPr>
  </w:style>
  <w:style w:type="character" w:customStyle="1" w:styleId="CaptionChar">
    <w:name w:val="Caption Char"/>
    <w:basedOn w:val="DefaultParagraphFont"/>
    <w:link w:val="Caption"/>
    <w:uiPriority w:val="35"/>
    <w:rsid w:val="00C4130D"/>
    <w:rPr>
      <w:rFonts w:ascii="Times New Roman" w:eastAsia="Calibri" w:hAnsi="Times New Roman" w:cs="Times New Roman"/>
      <w:iCs/>
      <w:color w:val="000000" w:themeColor="text1"/>
      <w:sz w:val="24"/>
      <w:szCs w:val="24"/>
      <w:lang w:val="en-MY" w:eastAsia="en-MY"/>
    </w:rPr>
  </w:style>
  <w:style w:type="paragraph" w:styleId="Revision">
    <w:name w:val="Revision"/>
    <w:hidden/>
    <w:uiPriority w:val="99"/>
    <w:semiHidden/>
    <w:rsid w:val="00547D87"/>
    <w:pPr>
      <w:spacing w:after="0"/>
    </w:pPr>
    <w:rPr>
      <w:rFonts w:eastAsiaTheme="minorEastAsia"/>
      <w:lang w:eastAsia="zh-CN"/>
    </w:rPr>
  </w:style>
  <w:style w:type="character" w:customStyle="1" w:styleId="UnresolvedMention2">
    <w:name w:val="Unresolved Mention2"/>
    <w:basedOn w:val="DefaultParagraphFont"/>
    <w:uiPriority w:val="99"/>
    <w:semiHidden/>
    <w:unhideWhenUsed/>
    <w:rsid w:val="00547D87"/>
    <w:rPr>
      <w:color w:val="808080"/>
      <w:shd w:val="clear" w:color="auto" w:fill="E6E6E6"/>
    </w:rPr>
  </w:style>
  <w:style w:type="character" w:customStyle="1" w:styleId="UnresolvedMention3">
    <w:name w:val="Unresolved Mention3"/>
    <w:basedOn w:val="DefaultParagraphFont"/>
    <w:uiPriority w:val="99"/>
    <w:semiHidden/>
    <w:unhideWhenUsed/>
    <w:rsid w:val="00547D87"/>
    <w:rPr>
      <w:color w:val="808080"/>
      <w:shd w:val="clear" w:color="auto" w:fill="E6E6E6"/>
    </w:rPr>
  </w:style>
  <w:style w:type="paragraph" w:styleId="EndnoteText">
    <w:name w:val="endnote text"/>
    <w:basedOn w:val="Normal"/>
    <w:link w:val="EndnoteTextChar"/>
    <w:uiPriority w:val="99"/>
    <w:semiHidden/>
    <w:unhideWhenUsed/>
    <w:rsid w:val="00547D87"/>
    <w:rPr>
      <w:rFonts w:eastAsiaTheme="minorEastAsia" w:cstheme="minorBidi"/>
      <w:sz w:val="20"/>
      <w:szCs w:val="20"/>
      <w:lang w:eastAsia="zh-CN"/>
    </w:rPr>
  </w:style>
  <w:style w:type="character" w:customStyle="1" w:styleId="EndnoteTextChar">
    <w:name w:val="Endnote Text Char"/>
    <w:basedOn w:val="DefaultParagraphFont"/>
    <w:link w:val="EndnoteText"/>
    <w:uiPriority w:val="99"/>
    <w:semiHidden/>
    <w:rsid w:val="00547D87"/>
    <w:rPr>
      <w:rFonts w:ascii="Times New Roman" w:eastAsiaTheme="minorEastAsia" w:hAnsi="Times New Roman"/>
      <w:sz w:val="20"/>
      <w:szCs w:val="20"/>
      <w:lang w:eastAsia="zh-CN"/>
    </w:rPr>
  </w:style>
  <w:style w:type="character" w:styleId="EndnoteReference">
    <w:name w:val="endnote reference"/>
    <w:basedOn w:val="DefaultParagraphFont"/>
    <w:uiPriority w:val="99"/>
    <w:semiHidden/>
    <w:unhideWhenUsed/>
    <w:rsid w:val="00547D87"/>
    <w:rPr>
      <w:vertAlign w:val="superscript"/>
    </w:rPr>
  </w:style>
  <w:style w:type="paragraph" w:styleId="Date">
    <w:name w:val="Date"/>
    <w:basedOn w:val="Normal"/>
    <w:next w:val="Normal"/>
    <w:link w:val="DateChar"/>
    <w:uiPriority w:val="99"/>
    <w:semiHidden/>
    <w:unhideWhenUsed/>
    <w:rsid w:val="00547D87"/>
    <w:pPr>
      <w:spacing w:after="160" w:line="259" w:lineRule="auto"/>
    </w:pPr>
    <w:rPr>
      <w:rFonts w:eastAsiaTheme="minorEastAsia" w:cstheme="minorBidi"/>
      <w:szCs w:val="22"/>
      <w:lang w:eastAsia="zh-CN"/>
    </w:rPr>
  </w:style>
  <w:style w:type="character" w:customStyle="1" w:styleId="DateChar">
    <w:name w:val="Date Char"/>
    <w:basedOn w:val="DefaultParagraphFont"/>
    <w:link w:val="Date"/>
    <w:uiPriority w:val="99"/>
    <w:semiHidden/>
    <w:rsid w:val="00547D87"/>
    <w:rPr>
      <w:rFonts w:ascii="Times New Roman" w:eastAsiaTheme="minorEastAsia" w:hAnsi="Times New Roman"/>
      <w:sz w:val="24"/>
      <w:lang w:eastAsia="zh-CN"/>
    </w:rPr>
  </w:style>
  <w:style w:type="table" w:customStyle="1" w:styleId="TableGrid1">
    <w:name w:val="Table Grid1"/>
    <w:basedOn w:val="TableNormal"/>
    <w:next w:val="TableGrid"/>
    <w:uiPriority w:val="39"/>
    <w:rsid w:val="00547D8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547D87"/>
    <w:rPr>
      <w:color w:val="808080"/>
      <w:shd w:val="clear" w:color="auto" w:fill="E6E6E6"/>
    </w:rPr>
  </w:style>
  <w:style w:type="character" w:customStyle="1" w:styleId="UnresolvedMention5">
    <w:name w:val="Unresolved Mention5"/>
    <w:basedOn w:val="DefaultParagraphFont"/>
    <w:uiPriority w:val="99"/>
    <w:semiHidden/>
    <w:unhideWhenUsed/>
    <w:rsid w:val="00547D87"/>
    <w:rPr>
      <w:color w:val="808080"/>
      <w:shd w:val="clear" w:color="auto" w:fill="E6E6E6"/>
    </w:rPr>
  </w:style>
  <w:style w:type="table" w:customStyle="1" w:styleId="TableGrid22">
    <w:name w:val="Table Grid22"/>
    <w:basedOn w:val="TableNormal"/>
    <w:next w:val="TableGrid"/>
    <w:uiPriority w:val="39"/>
    <w:rsid w:val="00547D8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547D8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547D87"/>
  </w:style>
  <w:style w:type="character" w:customStyle="1" w:styleId="UnresolvedMention6">
    <w:name w:val="Unresolved Mention6"/>
    <w:basedOn w:val="DefaultParagraphFont"/>
    <w:uiPriority w:val="99"/>
    <w:semiHidden/>
    <w:unhideWhenUsed/>
    <w:rsid w:val="00547D87"/>
    <w:rPr>
      <w:color w:val="808080"/>
      <w:shd w:val="clear" w:color="auto" w:fill="E6E6E6"/>
    </w:rPr>
  </w:style>
  <w:style w:type="paragraph" w:customStyle="1" w:styleId="Style61">
    <w:name w:val="Style61"/>
    <w:basedOn w:val="ListParagraph"/>
    <w:next w:val="Style6"/>
    <w:semiHidden/>
    <w:rsid w:val="00547D87"/>
    <w:pPr>
      <w:spacing w:line="360" w:lineRule="auto"/>
      <w:ind w:right="-188" w:hanging="360"/>
    </w:pPr>
    <w:rPr>
      <w:rFonts w:eastAsia="Arial"/>
      <w:b/>
      <w:lang w:eastAsia="zh-CN"/>
    </w:rPr>
  </w:style>
  <w:style w:type="paragraph" w:customStyle="1" w:styleId="Style51">
    <w:name w:val="Style51"/>
    <w:next w:val="Style5"/>
    <w:semiHidden/>
    <w:rsid w:val="00547D87"/>
    <w:pPr>
      <w:numPr>
        <w:numId w:val="13"/>
      </w:numPr>
      <w:tabs>
        <w:tab w:val="num" w:pos="360"/>
        <w:tab w:val="left" w:pos="2127"/>
      </w:tabs>
      <w:ind w:left="561" w:hanging="561"/>
      <w:contextualSpacing/>
    </w:pPr>
    <w:rPr>
      <w:rFonts w:eastAsiaTheme="minorEastAsia" w:cs="Arial"/>
      <w:b/>
      <w:sz w:val="24"/>
      <w:szCs w:val="24"/>
      <w:lang w:eastAsia="en-GB"/>
    </w:rPr>
  </w:style>
  <w:style w:type="paragraph" w:customStyle="1" w:styleId="Style71">
    <w:name w:val="Style71"/>
    <w:next w:val="Style7"/>
    <w:semiHidden/>
    <w:rsid w:val="00547D87"/>
    <w:pPr>
      <w:tabs>
        <w:tab w:val="left" w:pos="2127"/>
      </w:tabs>
      <w:ind w:left="567" w:hanging="567"/>
      <w:contextualSpacing/>
    </w:pPr>
    <w:rPr>
      <w:rFonts w:eastAsiaTheme="minorEastAsia" w:cs="Arial"/>
      <w:b/>
      <w:bCs/>
      <w:sz w:val="24"/>
      <w:szCs w:val="24"/>
      <w:lang w:eastAsia="en-GB"/>
    </w:rPr>
  </w:style>
  <w:style w:type="character" w:customStyle="1" w:styleId="UnresolvedMention7">
    <w:name w:val="Unresolved Mention7"/>
    <w:basedOn w:val="DefaultParagraphFont"/>
    <w:uiPriority w:val="99"/>
    <w:semiHidden/>
    <w:unhideWhenUsed/>
    <w:rsid w:val="00547D87"/>
    <w:rPr>
      <w:color w:val="605E5C"/>
      <w:shd w:val="clear" w:color="auto" w:fill="E1DFDD"/>
    </w:rPr>
  </w:style>
  <w:style w:type="character" w:customStyle="1" w:styleId="UnresolvedMention8">
    <w:name w:val="Unresolved Mention8"/>
    <w:basedOn w:val="DefaultParagraphFont"/>
    <w:uiPriority w:val="99"/>
    <w:semiHidden/>
    <w:unhideWhenUsed/>
    <w:rsid w:val="00547D87"/>
    <w:rPr>
      <w:color w:val="605E5C"/>
      <w:shd w:val="clear" w:color="auto" w:fill="E1DFDD"/>
    </w:rPr>
  </w:style>
  <w:style w:type="character" w:styleId="HTMLCite">
    <w:name w:val="HTML Cite"/>
    <w:basedOn w:val="DefaultParagraphFont"/>
    <w:uiPriority w:val="99"/>
    <w:semiHidden/>
    <w:unhideWhenUsed/>
    <w:rsid w:val="00547D87"/>
    <w:rPr>
      <w:i/>
      <w:iCs/>
    </w:rPr>
  </w:style>
  <w:style w:type="numbering" w:customStyle="1" w:styleId="NoList1">
    <w:name w:val="No List1"/>
    <w:next w:val="NoList"/>
    <w:uiPriority w:val="99"/>
    <w:semiHidden/>
    <w:unhideWhenUsed/>
    <w:rsid w:val="008816D4"/>
  </w:style>
  <w:style w:type="numbering" w:customStyle="1" w:styleId="Style110">
    <w:name w:val="Style11"/>
    <w:uiPriority w:val="99"/>
    <w:rsid w:val="008816D4"/>
  </w:style>
  <w:style w:type="numbering" w:customStyle="1" w:styleId="Style21">
    <w:name w:val="Style21"/>
    <w:uiPriority w:val="99"/>
    <w:rsid w:val="008816D4"/>
  </w:style>
  <w:style w:type="numbering" w:customStyle="1" w:styleId="Style31">
    <w:name w:val="Style31"/>
    <w:uiPriority w:val="99"/>
    <w:rsid w:val="008816D4"/>
  </w:style>
  <w:style w:type="character" w:customStyle="1" w:styleId="fontstyle01">
    <w:name w:val="fontstyle01"/>
    <w:basedOn w:val="DefaultParagraphFont"/>
    <w:rsid w:val="008816D4"/>
    <w:rPr>
      <w:rFonts w:ascii="Garamond-Book" w:hAnsi="Garamond-Book" w:hint="default"/>
      <w:b w:val="0"/>
      <w:bCs w:val="0"/>
      <w:i w:val="0"/>
      <w:iCs w:val="0"/>
      <w:color w:val="242021"/>
      <w:sz w:val="16"/>
      <w:szCs w:val="16"/>
    </w:rPr>
  </w:style>
  <w:style w:type="paragraph" w:customStyle="1" w:styleId="Subtitle1">
    <w:name w:val="Subtitle 1"/>
    <w:basedOn w:val="Subtitle"/>
    <w:next w:val="NoSpacing"/>
    <w:link w:val="Subtitle1Char"/>
    <w:rsid w:val="008816D4"/>
    <w:pPr>
      <w:numPr>
        <w:ilvl w:val="0"/>
        <w:numId w:val="47"/>
      </w:numPr>
    </w:pPr>
  </w:style>
  <w:style w:type="paragraph" w:styleId="Subtitle">
    <w:name w:val="Subtitle"/>
    <w:basedOn w:val="Normal"/>
    <w:next w:val="Normal"/>
    <w:link w:val="SubtitleChar"/>
    <w:uiPriority w:val="11"/>
    <w:rsid w:val="008816D4"/>
    <w:pPr>
      <w:numPr>
        <w:ilvl w:val="1"/>
      </w:numPr>
      <w:spacing w:after="160"/>
      <w:ind w:left="1134" w:hanging="1134"/>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8816D4"/>
    <w:rPr>
      <w:rFonts w:ascii="Times New Roman" w:eastAsiaTheme="minorEastAsia" w:hAnsi="Times New Roman"/>
      <w:color w:val="5A5A5A" w:themeColor="text1" w:themeTint="A5"/>
      <w:spacing w:val="15"/>
      <w:sz w:val="24"/>
    </w:rPr>
  </w:style>
  <w:style w:type="character" w:customStyle="1" w:styleId="Subtitle1Char">
    <w:name w:val="Subtitle 1 Char"/>
    <w:basedOn w:val="SubtitleChar"/>
    <w:link w:val="Subtitle1"/>
    <w:rsid w:val="008816D4"/>
    <w:rPr>
      <w:rFonts w:ascii="Times New Roman" w:eastAsiaTheme="minorEastAsia" w:hAnsi="Times New Roman"/>
      <w:color w:val="5A5A5A" w:themeColor="text1" w:themeTint="A5"/>
      <w:spacing w:val="15"/>
      <w:sz w:val="24"/>
    </w:rPr>
  </w:style>
  <w:style w:type="numbering" w:customStyle="1" w:styleId="firstheading1">
    <w:name w:val="first heading1"/>
    <w:basedOn w:val="NoList"/>
    <w:uiPriority w:val="99"/>
    <w:rsid w:val="008816D4"/>
    <w:pPr>
      <w:numPr>
        <w:numId w:val="7"/>
      </w:numPr>
    </w:pPr>
  </w:style>
  <w:style w:type="paragraph" w:customStyle="1" w:styleId="Style3-01">
    <w:name w:val="Style3-01"/>
    <w:basedOn w:val="ListParagraph"/>
    <w:link w:val="Style3-01Char"/>
    <w:rsid w:val="008816D4"/>
    <w:pPr>
      <w:spacing w:after="160"/>
      <w:ind w:left="567" w:hanging="567"/>
    </w:pPr>
    <w:rPr>
      <w:rFonts w:ascii="Calibri Light" w:hAnsi="Calibri Light" w:cstheme="majorBidi"/>
      <w:b/>
      <w:bCs/>
      <w:sz w:val="28"/>
    </w:rPr>
  </w:style>
  <w:style w:type="character" w:customStyle="1" w:styleId="Style3-01Char">
    <w:name w:val="Style3-01 Char"/>
    <w:basedOn w:val="ListParagraphChar"/>
    <w:link w:val="Style3-01"/>
    <w:rsid w:val="008816D4"/>
    <w:rPr>
      <w:rFonts w:ascii="Calibri Light" w:hAnsi="Calibri Light" w:cstheme="majorBidi"/>
      <w:b/>
      <w:bCs/>
      <w:color w:val="000000" w:themeColor="text1"/>
      <w:sz w:val="28"/>
      <w:szCs w:val="24"/>
    </w:rPr>
  </w:style>
  <w:style w:type="paragraph" w:customStyle="1" w:styleId="Style10">
    <w:name w:val="Style10"/>
    <w:basedOn w:val="Heading3"/>
    <w:link w:val="Style10Char"/>
    <w:rsid w:val="008816D4"/>
    <w:pPr>
      <w:numPr>
        <w:numId w:val="48"/>
      </w:numPr>
    </w:pPr>
    <w:rPr>
      <w:rFonts w:asciiTheme="majorBidi" w:hAnsiTheme="majorBidi"/>
    </w:rPr>
  </w:style>
  <w:style w:type="character" w:customStyle="1" w:styleId="Style10Char">
    <w:name w:val="Style10 Char"/>
    <w:basedOn w:val="Heading3Char"/>
    <w:link w:val="Style10"/>
    <w:rsid w:val="008816D4"/>
    <w:rPr>
      <w:rFonts w:asciiTheme="majorBidi" w:eastAsiaTheme="majorEastAsia" w:hAnsiTheme="majorBidi" w:cs="Times New Roman"/>
      <w:b/>
      <w:bCs/>
      <w:color w:val="000000" w:themeColor="text1"/>
      <w:sz w:val="24"/>
      <w:szCs w:val="24"/>
      <w:lang w:eastAsia="en-MY"/>
    </w:rPr>
  </w:style>
  <w:style w:type="paragraph" w:customStyle="1" w:styleId="Style12">
    <w:name w:val="Style12"/>
    <w:basedOn w:val="Normal"/>
    <w:link w:val="Style12Char"/>
    <w:rsid w:val="008816D4"/>
    <w:pPr>
      <w:keepNext/>
      <w:keepLines/>
      <w:numPr>
        <w:ilvl w:val="1"/>
        <w:numId w:val="8"/>
      </w:numPr>
      <w:spacing w:before="40"/>
      <w:outlineLvl w:val="1"/>
    </w:pPr>
    <w:rPr>
      <w:rFonts w:asciiTheme="majorBidi" w:eastAsiaTheme="majorEastAsia" w:hAnsiTheme="majorBidi"/>
      <w:bCs/>
      <w:color w:val="2F5496" w:themeColor="accent1" w:themeShade="BF"/>
    </w:rPr>
  </w:style>
  <w:style w:type="character" w:customStyle="1" w:styleId="Style11Char">
    <w:name w:val="Style11 Char"/>
    <w:basedOn w:val="Style8Char"/>
    <w:rsid w:val="008816D4"/>
    <w:rPr>
      <w:rFonts w:asciiTheme="majorBidi" w:eastAsiaTheme="majorEastAsia" w:hAnsiTheme="majorBidi" w:cstheme="majorBidi"/>
      <w:b/>
      <w:bCs/>
      <w:color w:val="2F5496" w:themeColor="accent1" w:themeShade="BF"/>
      <w:sz w:val="24"/>
      <w:szCs w:val="26"/>
      <w:lang w:eastAsia="en-MY"/>
    </w:rPr>
  </w:style>
  <w:style w:type="paragraph" w:customStyle="1" w:styleId="Style3-03">
    <w:name w:val="Style3-03"/>
    <w:basedOn w:val="Style10"/>
    <w:link w:val="Style3-03Char"/>
    <w:rsid w:val="008816D4"/>
    <w:rPr>
      <w:b w:val="0"/>
      <w:lang w:eastAsia="en-GB"/>
    </w:rPr>
  </w:style>
  <w:style w:type="character" w:customStyle="1" w:styleId="Style12Char">
    <w:name w:val="Style12 Char"/>
    <w:basedOn w:val="Style11Char"/>
    <w:link w:val="Style12"/>
    <w:rsid w:val="008816D4"/>
    <w:rPr>
      <w:rFonts w:asciiTheme="majorBidi" w:eastAsiaTheme="majorEastAsia" w:hAnsiTheme="majorBidi" w:cs="Times New Roman"/>
      <w:b w:val="0"/>
      <w:bCs/>
      <w:color w:val="2F5496" w:themeColor="accent1" w:themeShade="BF"/>
      <w:sz w:val="24"/>
      <w:szCs w:val="24"/>
      <w:lang w:eastAsia="en-MY"/>
    </w:rPr>
  </w:style>
  <w:style w:type="paragraph" w:customStyle="1" w:styleId="Style14">
    <w:name w:val="Style14"/>
    <w:basedOn w:val="Style7"/>
    <w:link w:val="Style14Char"/>
    <w:rsid w:val="008816D4"/>
    <w:pPr>
      <w:numPr>
        <w:ilvl w:val="0"/>
        <w:numId w:val="49"/>
      </w:numPr>
      <w:spacing w:after="0"/>
    </w:pPr>
  </w:style>
  <w:style w:type="character" w:customStyle="1" w:styleId="Style3-03Char">
    <w:name w:val="Style3-03 Char"/>
    <w:basedOn w:val="Style10Char"/>
    <w:link w:val="Style3-03"/>
    <w:rsid w:val="008816D4"/>
    <w:rPr>
      <w:rFonts w:asciiTheme="majorBidi" w:eastAsiaTheme="majorEastAsia" w:hAnsiTheme="majorBidi" w:cs="Times New Roman"/>
      <w:b w:val="0"/>
      <w:bCs/>
      <w:color w:val="000000" w:themeColor="text1"/>
      <w:sz w:val="24"/>
      <w:szCs w:val="24"/>
      <w:lang w:eastAsia="en-GB"/>
    </w:rPr>
  </w:style>
  <w:style w:type="paragraph" w:customStyle="1" w:styleId="Style15">
    <w:name w:val="Style15"/>
    <w:basedOn w:val="Style10"/>
    <w:link w:val="Style15Char"/>
    <w:rsid w:val="008816D4"/>
    <w:pPr>
      <w:numPr>
        <w:numId w:val="50"/>
      </w:numPr>
    </w:pPr>
    <w:rPr>
      <w:b w:val="0"/>
    </w:rPr>
  </w:style>
  <w:style w:type="character" w:customStyle="1" w:styleId="Style14Char">
    <w:name w:val="Style14 Char"/>
    <w:basedOn w:val="Style7Char"/>
    <w:link w:val="Style14"/>
    <w:rsid w:val="008816D4"/>
    <w:rPr>
      <w:rFonts w:ascii="Times New Roman" w:hAnsi="Times New Roman" w:cs="Times New Roman"/>
      <w:b/>
      <w:bCs/>
      <w:color w:val="000000" w:themeColor="text1"/>
      <w:sz w:val="28"/>
      <w:szCs w:val="24"/>
    </w:rPr>
  </w:style>
  <w:style w:type="character" w:customStyle="1" w:styleId="Style15Char">
    <w:name w:val="Style15 Char"/>
    <w:basedOn w:val="Style10Char"/>
    <w:link w:val="Style15"/>
    <w:rsid w:val="008816D4"/>
    <w:rPr>
      <w:rFonts w:asciiTheme="majorBidi" w:eastAsiaTheme="majorEastAsia" w:hAnsiTheme="majorBidi" w:cs="Times New Roman"/>
      <w:b w:val="0"/>
      <w:bCs/>
      <w:color w:val="000000" w:themeColor="text1"/>
      <w:sz w:val="24"/>
      <w:szCs w:val="24"/>
      <w:lang w:eastAsia="en-MY"/>
    </w:rPr>
  </w:style>
  <w:style w:type="paragraph" w:customStyle="1" w:styleId="Style16">
    <w:name w:val="Style16"/>
    <w:basedOn w:val="Style14"/>
    <w:link w:val="Style16Char"/>
    <w:rsid w:val="008816D4"/>
    <w:pPr>
      <w:numPr>
        <w:numId w:val="51"/>
      </w:numPr>
    </w:pPr>
  </w:style>
  <w:style w:type="paragraph" w:customStyle="1" w:styleId="Style17">
    <w:name w:val="Style17"/>
    <w:basedOn w:val="Style15"/>
    <w:link w:val="Style17Char"/>
    <w:rsid w:val="008816D4"/>
    <w:pPr>
      <w:numPr>
        <w:numId w:val="52"/>
      </w:numPr>
    </w:pPr>
  </w:style>
  <w:style w:type="character" w:customStyle="1" w:styleId="Style16Char">
    <w:name w:val="Style16 Char"/>
    <w:basedOn w:val="Style14Char"/>
    <w:link w:val="Style16"/>
    <w:rsid w:val="008816D4"/>
    <w:rPr>
      <w:rFonts w:ascii="Times New Roman" w:hAnsi="Times New Roman" w:cs="Times New Roman"/>
      <w:b/>
      <w:bCs/>
      <w:color w:val="000000" w:themeColor="text1"/>
      <w:sz w:val="28"/>
      <w:szCs w:val="24"/>
    </w:rPr>
  </w:style>
  <w:style w:type="paragraph" w:customStyle="1" w:styleId="Style3-05">
    <w:name w:val="Style3-05"/>
    <w:basedOn w:val="Style15"/>
    <w:link w:val="Style3-05Char"/>
    <w:rsid w:val="008816D4"/>
    <w:pPr>
      <w:numPr>
        <w:numId w:val="53"/>
      </w:numPr>
      <w:ind w:left="170" w:hanging="170"/>
    </w:pPr>
    <w:rPr>
      <w:lang w:eastAsia="zh-CN"/>
    </w:rPr>
  </w:style>
  <w:style w:type="character" w:customStyle="1" w:styleId="Style17Char">
    <w:name w:val="Style17 Char"/>
    <w:basedOn w:val="Style15Char"/>
    <w:link w:val="Style17"/>
    <w:rsid w:val="008816D4"/>
    <w:rPr>
      <w:rFonts w:asciiTheme="majorBidi" w:eastAsiaTheme="majorEastAsia" w:hAnsiTheme="majorBidi" w:cs="Times New Roman"/>
      <w:b w:val="0"/>
      <w:bCs/>
      <w:color w:val="000000" w:themeColor="text1"/>
      <w:sz w:val="24"/>
      <w:szCs w:val="24"/>
      <w:lang w:eastAsia="en-MY"/>
    </w:rPr>
  </w:style>
  <w:style w:type="character" w:customStyle="1" w:styleId="Style3-05Char">
    <w:name w:val="Style3-05 Char"/>
    <w:basedOn w:val="Style15Char"/>
    <w:link w:val="Style3-05"/>
    <w:rsid w:val="008816D4"/>
    <w:rPr>
      <w:rFonts w:asciiTheme="majorBidi" w:eastAsiaTheme="majorEastAsia" w:hAnsiTheme="majorBidi" w:cs="Times New Roman"/>
      <w:b w:val="0"/>
      <w:bCs/>
      <w:color w:val="000000" w:themeColor="text1"/>
      <w:sz w:val="24"/>
      <w:szCs w:val="24"/>
      <w:lang w:eastAsia="zh-CN"/>
    </w:rPr>
  </w:style>
  <w:style w:type="paragraph" w:customStyle="1" w:styleId="experiment">
    <w:name w:val="experiment"/>
    <w:basedOn w:val="Style4"/>
    <w:link w:val="experimentChar"/>
    <w:rsid w:val="008816D4"/>
    <w:pPr>
      <w:spacing w:before="120" w:after="120"/>
      <w:jc w:val="left"/>
    </w:pPr>
    <w:rPr>
      <w:rFonts w:asciiTheme="majorBidi" w:hAnsiTheme="majorBidi"/>
      <w:sz w:val="24"/>
    </w:rPr>
  </w:style>
  <w:style w:type="paragraph" w:customStyle="1" w:styleId="30">
    <w:name w:val="3.0"/>
    <w:basedOn w:val="Normal"/>
    <w:link w:val="30Char"/>
    <w:rsid w:val="008816D4"/>
    <w:pPr>
      <w:spacing w:after="160"/>
    </w:pPr>
    <w:rPr>
      <w:rFonts w:cstheme="minorBidi"/>
      <w:szCs w:val="22"/>
    </w:rPr>
  </w:style>
  <w:style w:type="character" w:customStyle="1" w:styleId="experimentChar">
    <w:name w:val="experiment Char"/>
    <w:basedOn w:val="Style4Char"/>
    <w:link w:val="experiment"/>
    <w:rsid w:val="008816D4"/>
    <w:rPr>
      <w:rFonts w:asciiTheme="majorBidi" w:eastAsiaTheme="majorEastAsia" w:hAnsiTheme="majorBidi" w:cstheme="majorBidi"/>
      <w:b/>
      <w:color w:val="000000" w:themeColor="text1"/>
      <w:spacing w:val="-10"/>
      <w:kern w:val="28"/>
      <w:sz w:val="24"/>
      <w:szCs w:val="56"/>
    </w:rPr>
  </w:style>
  <w:style w:type="character" w:customStyle="1" w:styleId="30Char">
    <w:name w:val="3.0 Char"/>
    <w:basedOn w:val="DefaultParagraphFont"/>
    <w:link w:val="30"/>
    <w:rsid w:val="008816D4"/>
    <w:rPr>
      <w:rFonts w:ascii="Times New Roman" w:hAnsi="Times New Roman"/>
      <w:color w:val="000000" w:themeColor="text1"/>
      <w:sz w:val="24"/>
    </w:rPr>
  </w:style>
  <w:style w:type="paragraph" w:customStyle="1" w:styleId="Style19">
    <w:name w:val="Style19"/>
    <w:basedOn w:val="Style17"/>
    <w:link w:val="Style19Char"/>
    <w:rsid w:val="008816D4"/>
    <w:pPr>
      <w:numPr>
        <w:numId w:val="54"/>
      </w:numPr>
    </w:pPr>
    <w:rPr>
      <w:lang w:eastAsia="zh-CN"/>
    </w:rPr>
  </w:style>
  <w:style w:type="character" w:customStyle="1" w:styleId="Style19Char">
    <w:name w:val="Style19 Char"/>
    <w:basedOn w:val="Style17Char"/>
    <w:link w:val="Style19"/>
    <w:rsid w:val="008816D4"/>
    <w:rPr>
      <w:rFonts w:asciiTheme="majorBidi" w:eastAsiaTheme="majorEastAsia" w:hAnsiTheme="majorBidi" w:cs="Times New Roman"/>
      <w:b w:val="0"/>
      <w:bCs/>
      <w:color w:val="000000" w:themeColor="text1"/>
      <w:sz w:val="24"/>
      <w:szCs w:val="24"/>
      <w:lang w:eastAsia="zh-CN"/>
    </w:rPr>
  </w:style>
  <w:style w:type="paragraph" w:customStyle="1" w:styleId="Style3-04">
    <w:name w:val="Style3-04"/>
    <w:basedOn w:val="Normal"/>
    <w:link w:val="Style3-04Char"/>
    <w:rsid w:val="008816D4"/>
    <w:pPr>
      <w:numPr>
        <w:numId w:val="55"/>
      </w:numPr>
      <w:spacing w:after="0" w:line="360" w:lineRule="auto"/>
    </w:pPr>
  </w:style>
  <w:style w:type="character" w:customStyle="1" w:styleId="Style3-04Char">
    <w:name w:val="Style3-04 Char"/>
    <w:basedOn w:val="DefaultParagraphFont"/>
    <w:link w:val="Style3-04"/>
    <w:rsid w:val="008816D4"/>
    <w:rPr>
      <w:rFonts w:ascii="Times New Roman" w:hAnsi="Times New Roman" w:cs="Times New Roman"/>
      <w:color w:val="000000" w:themeColor="text1"/>
      <w:sz w:val="24"/>
      <w:szCs w:val="24"/>
    </w:rPr>
  </w:style>
  <w:style w:type="character" w:customStyle="1" w:styleId="Style21Char">
    <w:name w:val="Style21 Char"/>
    <w:basedOn w:val="Style3-01Char"/>
    <w:rsid w:val="008816D4"/>
    <w:rPr>
      <w:rFonts w:asciiTheme="majorBidi" w:hAnsiTheme="majorBidi" w:cstheme="majorBidi"/>
      <w:b/>
      <w:bCs/>
      <w:color w:val="000000" w:themeColor="text1"/>
      <w:sz w:val="24"/>
      <w:szCs w:val="24"/>
    </w:rPr>
  </w:style>
  <w:style w:type="character" w:customStyle="1" w:styleId="fontstyle21">
    <w:name w:val="fontstyle21"/>
    <w:basedOn w:val="DefaultParagraphFont"/>
    <w:rsid w:val="008816D4"/>
    <w:rPr>
      <w:rFonts w:ascii="TimesCUP-Italic" w:hAnsi="TimesCUP-Italic" w:hint="default"/>
      <w:b w:val="0"/>
      <w:bCs w:val="0"/>
      <w:i/>
      <w:iCs/>
      <w:color w:val="000000"/>
      <w:sz w:val="20"/>
      <w:szCs w:val="20"/>
    </w:rPr>
  </w:style>
  <w:style w:type="paragraph" w:customStyle="1" w:styleId="Style23">
    <w:name w:val="Style23"/>
    <w:basedOn w:val="Style17"/>
    <w:link w:val="Style23Char"/>
    <w:rsid w:val="008816D4"/>
    <w:pPr>
      <w:numPr>
        <w:numId w:val="56"/>
      </w:numPr>
    </w:pPr>
    <w:rPr>
      <w:noProof/>
      <w:lang w:eastAsia="zh-CN"/>
    </w:rPr>
  </w:style>
  <w:style w:type="character" w:customStyle="1" w:styleId="Style23Char">
    <w:name w:val="Style23 Char"/>
    <w:basedOn w:val="Style17Char"/>
    <w:link w:val="Style23"/>
    <w:rsid w:val="008816D4"/>
    <w:rPr>
      <w:rFonts w:asciiTheme="majorBidi" w:eastAsiaTheme="majorEastAsia" w:hAnsiTheme="majorBidi" w:cs="Times New Roman"/>
      <w:b w:val="0"/>
      <w:bCs/>
      <w:noProof/>
      <w:color w:val="000000" w:themeColor="text1"/>
      <w:sz w:val="24"/>
      <w:szCs w:val="24"/>
      <w:lang w:eastAsia="zh-CN"/>
    </w:rPr>
  </w:style>
  <w:style w:type="paragraph" w:customStyle="1" w:styleId="Style3-02">
    <w:name w:val="Style3-02"/>
    <w:basedOn w:val="Normal"/>
    <w:link w:val="Style3-02Char"/>
    <w:rsid w:val="008816D4"/>
    <w:pPr>
      <w:numPr>
        <w:numId w:val="57"/>
      </w:numPr>
      <w:spacing w:after="160"/>
    </w:pPr>
    <w:rPr>
      <w:rFonts w:cstheme="minorBidi"/>
      <w:b/>
      <w:szCs w:val="22"/>
    </w:rPr>
  </w:style>
  <w:style w:type="paragraph" w:customStyle="1" w:styleId="Style3-06">
    <w:name w:val="Style3-06"/>
    <w:basedOn w:val="Normal"/>
    <w:link w:val="Style3-06Char"/>
    <w:rsid w:val="008816D4"/>
    <w:pPr>
      <w:numPr>
        <w:numId w:val="58"/>
      </w:numPr>
      <w:spacing w:after="160"/>
    </w:pPr>
    <w:rPr>
      <w:rFonts w:asciiTheme="majorBidi" w:hAnsiTheme="majorBidi" w:cstheme="minorBidi"/>
      <w:b/>
      <w:szCs w:val="22"/>
    </w:rPr>
  </w:style>
  <w:style w:type="character" w:customStyle="1" w:styleId="Style3-02Char">
    <w:name w:val="Style3-02 Char"/>
    <w:basedOn w:val="DefaultParagraphFont"/>
    <w:link w:val="Style3-02"/>
    <w:rsid w:val="008816D4"/>
    <w:rPr>
      <w:rFonts w:ascii="Times New Roman" w:hAnsi="Times New Roman"/>
      <w:b/>
      <w:color w:val="000000" w:themeColor="text1"/>
      <w:sz w:val="24"/>
    </w:rPr>
  </w:style>
  <w:style w:type="character" w:customStyle="1" w:styleId="Style3-06Char">
    <w:name w:val="Style3-06 Char"/>
    <w:basedOn w:val="DefaultParagraphFont"/>
    <w:link w:val="Style3-06"/>
    <w:rsid w:val="008816D4"/>
    <w:rPr>
      <w:rFonts w:asciiTheme="majorBidi" w:hAnsiTheme="majorBidi"/>
      <w:b/>
      <w:color w:val="000000" w:themeColor="text1"/>
      <w:sz w:val="24"/>
    </w:rPr>
  </w:style>
  <w:style w:type="character" w:customStyle="1" w:styleId="fontstyle31">
    <w:name w:val="fontstyle31"/>
    <w:basedOn w:val="DefaultParagraphFont"/>
    <w:rsid w:val="008816D4"/>
    <w:rPr>
      <w:rFonts w:ascii="Times-Italic" w:hAnsi="Times-Italic" w:hint="default"/>
      <w:b w:val="0"/>
      <w:bCs w:val="0"/>
      <w:i/>
      <w:iCs/>
      <w:color w:val="000000"/>
      <w:sz w:val="20"/>
      <w:szCs w:val="20"/>
    </w:rPr>
  </w:style>
  <w:style w:type="paragraph" w:customStyle="1" w:styleId="Style13">
    <w:name w:val="Style13"/>
    <w:basedOn w:val="Style3-04"/>
    <w:link w:val="Style13Char"/>
    <w:rsid w:val="008816D4"/>
    <w:pPr>
      <w:numPr>
        <w:numId w:val="59"/>
      </w:numPr>
    </w:pPr>
    <w:rPr>
      <w:b/>
      <w:bCs/>
    </w:rPr>
  </w:style>
  <w:style w:type="paragraph" w:customStyle="1" w:styleId="Style18">
    <w:name w:val="Style18"/>
    <w:basedOn w:val="Style3-07"/>
    <w:link w:val="Style18Char"/>
    <w:rsid w:val="008816D4"/>
    <w:pPr>
      <w:numPr>
        <w:numId w:val="60"/>
      </w:numPr>
      <w:spacing w:after="160"/>
    </w:pPr>
    <w:rPr>
      <w:rFonts w:asciiTheme="majorBidi" w:hAnsiTheme="majorBidi" w:cstheme="majorBidi"/>
      <w:bCs/>
    </w:rPr>
  </w:style>
  <w:style w:type="character" w:customStyle="1" w:styleId="Style13Char">
    <w:name w:val="Style13 Char"/>
    <w:basedOn w:val="Style3-04Char"/>
    <w:link w:val="Style13"/>
    <w:rsid w:val="008816D4"/>
    <w:rPr>
      <w:rFonts w:ascii="Times New Roman" w:hAnsi="Times New Roman" w:cs="Times New Roman"/>
      <w:b/>
      <w:bCs/>
      <w:color w:val="000000" w:themeColor="text1"/>
      <w:sz w:val="24"/>
      <w:szCs w:val="24"/>
    </w:rPr>
  </w:style>
  <w:style w:type="character" w:customStyle="1" w:styleId="Style18Char">
    <w:name w:val="Style18 Char"/>
    <w:basedOn w:val="Style3-07Char"/>
    <w:link w:val="Style18"/>
    <w:rsid w:val="008816D4"/>
    <w:rPr>
      <w:rFonts w:asciiTheme="majorBidi" w:hAnsiTheme="majorBidi" w:cstheme="majorBidi"/>
      <w:b/>
      <w:bCs/>
      <w:color w:val="000000" w:themeColor="text1"/>
      <w:sz w:val="24"/>
      <w:szCs w:val="24"/>
    </w:rPr>
  </w:style>
  <w:style w:type="paragraph" w:customStyle="1" w:styleId="Style20">
    <w:name w:val="Style20"/>
    <w:basedOn w:val="Style13"/>
    <w:link w:val="Style20Char"/>
    <w:rsid w:val="008816D4"/>
    <w:pPr>
      <w:numPr>
        <w:numId w:val="61"/>
      </w:numPr>
    </w:pPr>
  </w:style>
  <w:style w:type="character" w:customStyle="1" w:styleId="Style20Char">
    <w:name w:val="Style20 Char"/>
    <w:basedOn w:val="Style13Char"/>
    <w:link w:val="Style20"/>
    <w:rsid w:val="008816D4"/>
    <w:rPr>
      <w:rFonts w:ascii="Times New Roman" w:hAnsi="Times New Roman" w:cs="Times New Roman"/>
      <w:b/>
      <w:bCs/>
      <w:color w:val="000000" w:themeColor="text1"/>
      <w:sz w:val="24"/>
      <w:szCs w:val="24"/>
    </w:rPr>
  </w:style>
  <w:style w:type="paragraph" w:customStyle="1" w:styleId="Style22">
    <w:name w:val="Style22"/>
    <w:basedOn w:val="Style13"/>
    <w:link w:val="Style22Char"/>
    <w:rsid w:val="008816D4"/>
    <w:pPr>
      <w:numPr>
        <w:numId w:val="62"/>
      </w:numPr>
      <w:spacing w:line="480" w:lineRule="auto"/>
    </w:pPr>
  </w:style>
  <w:style w:type="paragraph" w:customStyle="1" w:styleId="Style24">
    <w:name w:val="Style24"/>
    <w:basedOn w:val="Style3-07"/>
    <w:link w:val="Style24Char"/>
    <w:rsid w:val="008816D4"/>
    <w:pPr>
      <w:numPr>
        <w:numId w:val="63"/>
      </w:numPr>
      <w:spacing w:after="160" w:line="480" w:lineRule="auto"/>
    </w:pPr>
    <w:rPr>
      <w:rFonts w:asciiTheme="majorBidi" w:hAnsiTheme="majorBidi" w:cstheme="majorBidi"/>
    </w:rPr>
  </w:style>
  <w:style w:type="character" w:customStyle="1" w:styleId="Style22Char">
    <w:name w:val="Style22 Char"/>
    <w:basedOn w:val="Style13Char"/>
    <w:link w:val="Style22"/>
    <w:rsid w:val="008816D4"/>
    <w:rPr>
      <w:rFonts w:ascii="Times New Roman" w:hAnsi="Times New Roman" w:cs="Times New Roman"/>
      <w:b/>
      <w:bCs/>
      <w:color w:val="000000" w:themeColor="text1"/>
      <w:sz w:val="24"/>
      <w:szCs w:val="24"/>
    </w:rPr>
  </w:style>
  <w:style w:type="paragraph" w:customStyle="1" w:styleId="Style25">
    <w:name w:val="Style25"/>
    <w:basedOn w:val="Normal"/>
    <w:link w:val="Style25Char"/>
    <w:rsid w:val="008816D4"/>
    <w:pPr>
      <w:numPr>
        <w:numId w:val="64"/>
      </w:numPr>
      <w:spacing w:after="160"/>
    </w:pPr>
    <w:rPr>
      <w:rFonts w:asciiTheme="majorBidi" w:hAnsiTheme="majorBidi" w:cstheme="majorBidi"/>
      <w:bCs/>
    </w:rPr>
  </w:style>
  <w:style w:type="character" w:customStyle="1" w:styleId="Style24Char">
    <w:name w:val="Style24 Char"/>
    <w:basedOn w:val="Style3-07Char"/>
    <w:link w:val="Style24"/>
    <w:rsid w:val="008816D4"/>
    <w:rPr>
      <w:rFonts w:asciiTheme="majorBidi" w:hAnsiTheme="majorBidi" w:cstheme="majorBidi"/>
      <w:b/>
      <w:color w:val="000000" w:themeColor="text1"/>
      <w:sz w:val="24"/>
      <w:szCs w:val="24"/>
    </w:rPr>
  </w:style>
  <w:style w:type="paragraph" w:customStyle="1" w:styleId="Style26">
    <w:name w:val="Style26"/>
    <w:basedOn w:val="Style6"/>
    <w:link w:val="Style26Char"/>
    <w:rsid w:val="008816D4"/>
    <w:pPr>
      <w:numPr>
        <w:ilvl w:val="2"/>
        <w:numId w:val="65"/>
      </w:numPr>
    </w:pPr>
    <w:rPr>
      <w:rFonts w:cs="Times New Roman"/>
      <w:b w:val="0"/>
      <w:bCs/>
      <w:color w:val="auto"/>
    </w:rPr>
  </w:style>
  <w:style w:type="character" w:customStyle="1" w:styleId="Style25Char">
    <w:name w:val="Style25 Char"/>
    <w:basedOn w:val="DefaultParagraphFont"/>
    <w:link w:val="Style25"/>
    <w:rsid w:val="008816D4"/>
    <w:rPr>
      <w:rFonts w:asciiTheme="majorBidi" w:hAnsiTheme="majorBidi" w:cstheme="majorBidi"/>
      <w:bCs/>
      <w:color w:val="000000" w:themeColor="text1"/>
      <w:sz w:val="24"/>
      <w:szCs w:val="24"/>
    </w:rPr>
  </w:style>
  <w:style w:type="paragraph" w:customStyle="1" w:styleId="Style27">
    <w:name w:val="Style27"/>
    <w:basedOn w:val="Style6"/>
    <w:link w:val="Style27Char"/>
    <w:rsid w:val="008816D4"/>
    <w:pPr>
      <w:numPr>
        <w:ilvl w:val="2"/>
        <w:numId w:val="66"/>
      </w:numPr>
    </w:pPr>
    <w:rPr>
      <w:rFonts w:cs="Times New Roman"/>
      <w:color w:val="auto"/>
    </w:rPr>
  </w:style>
  <w:style w:type="character" w:customStyle="1" w:styleId="Style26Char">
    <w:name w:val="Style26 Char"/>
    <w:basedOn w:val="Style6Char"/>
    <w:link w:val="Style26"/>
    <w:rsid w:val="008816D4"/>
    <w:rPr>
      <w:rFonts w:asciiTheme="majorBidi" w:eastAsiaTheme="majorEastAsia" w:hAnsiTheme="majorBidi" w:cs="Times New Roman"/>
      <w:b w:val="0"/>
      <w:bCs/>
      <w:color w:val="000000" w:themeColor="text1"/>
      <w:sz w:val="24"/>
      <w:szCs w:val="24"/>
      <w:lang w:eastAsia="en-GB"/>
    </w:rPr>
  </w:style>
  <w:style w:type="character" w:customStyle="1" w:styleId="Style27Char">
    <w:name w:val="Style27 Char"/>
    <w:basedOn w:val="Style6Char"/>
    <w:link w:val="Style27"/>
    <w:rsid w:val="008816D4"/>
    <w:rPr>
      <w:rFonts w:asciiTheme="majorBidi" w:eastAsiaTheme="majorEastAsia" w:hAnsiTheme="majorBidi" w:cs="Times New Roman"/>
      <w:b/>
      <w:color w:val="000000" w:themeColor="text1"/>
      <w:sz w:val="24"/>
      <w:szCs w:val="24"/>
      <w:lang w:eastAsia="en-GB"/>
    </w:rPr>
  </w:style>
  <w:style w:type="paragraph" w:customStyle="1" w:styleId="Style28">
    <w:name w:val="Style28"/>
    <w:basedOn w:val="Normal"/>
    <w:link w:val="Style28Char"/>
    <w:rsid w:val="008816D4"/>
    <w:pPr>
      <w:numPr>
        <w:numId w:val="67"/>
      </w:numPr>
      <w:spacing w:after="160"/>
      <w:ind w:left="360"/>
    </w:pPr>
  </w:style>
  <w:style w:type="character" w:customStyle="1" w:styleId="Style28Char">
    <w:name w:val="Style28 Char"/>
    <w:basedOn w:val="DefaultParagraphFont"/>
    <w:link w:val="Style28"/>
    <w:rsid w:val="008816D4"/>
    <w:rPr>
      <w:rFonts w:ascii="Times New Roman" w:hAnsi="Times New Roman" w:cs="Times New Roman"/>
      <w:color w:val="000000" w:themeColor="text1"/>
      <w:sz w:val="24"/>
      <w:szCs w:val="24"/>
    </w:rPr>
  </w:style>
  <w:style w:type="paragraph" w:customStyle="1" w:styleId="Style29">
    <w:name w:val="Style29"/>
    <w:basedOn w:val="Style22"/>
    <w:link w:val="Style29Char"/>
    <w:rsid w:val="008816D4"/>
    <w:pPr>
      <w:numPr>
        <w:numId w:val="68"/>
      </w:numPr>
    </w:pPr>
  </w:style>
  <w:style w:type="character" w:customStyle="1" w:styleId="Style29Char">
    <w:name w:val="Style29 Char"/>
    <w:basedOn w:val="Style22Char"/>
    <w:link w:val="Style29"/>
    <w:rsid w:val="008816D4"/>
    <w:rPr>
      <w:rFonts w:ascii="Times New Roman" w:hAnsi="Times New Roman" w:cs="Times New Roman"/>
      <w:b/>
      <w:bCs/>
      <w:color w:val="000000" w:themeColor="text1"/>
      <w:sz w:val="24"/>
      <w:szCs w:val="24"/>
    </w:rPr>
  </w:style>
  <w:style w:type="paragraph" w:customStyle="1" w:styleId="Style30">
    <w:name w:val="Style30"/>
    <w:basedOn w:val="Style29"/>
    <w:link w:val="Style30Char"/>
    <w:rsid w:val="008816D4"/>
    <w:pPr>
      <w:numPr>
        <w:numId w:val="69"/>
      </w:numPr>
      <w:spacing w:line="240" w:lineRule="auto"/>
    </w:pPr>
    <w:rPr>
      <w:b w:val="0"/>
      <w:bCs w:val="0"/>
      <w:i/>
      <w:iCs/>
    </w:rPr>
  </w:style>
  <w:style w:type="character" w:customStyle="1" w:styleId="Style30Char">
    <w:name w:val="Style30 Char"/>
    <w:basedOn w:val="Style29Char"/>
    <w:link w:val="Style30"/>
    <w:rsid w:val="008816D4"/>
    <w:rPr>
      <w:rFonts w:ascii="Times New Roman" w:hAnsi="Times New Roman" w:cs="Times New Roman"/>
      <w:b w:val="0"/>
      <w:bCs w:val="0"/>
      <w:i/>
      <w:iCs/>
      <w:color w:val="000000" w:themeColor="text1"/>
      <w:sz w:val="24"/>
      <w:szCs w:val="24"/>
    </w:rPr>
  </w:style>
  <w:style w:type="character" w:customStyle="1" w:styleId="Heading9Char">
    <w:name w:val="Heading 9 Char"/>
    <w:aliases w:val="Heading 9_A4 Char"/>
    <w:basedOn w:val="DefaultParagraphFont"/>
    <w:link w:val="Heading9"/>
    <w:uiPriority w:val="9"/>
    <w:rsid w:val="00446D19"/>
    <w:rPr>
      <w:rFonts w:ascii="Times New Roman" w:eastAsiaTheme="majorEastAsia" w:hAnsi="Times New Roman" w:cstheme="majorBidi"/>
      <w:iCs/>
      <w:noProof/>
      <w:color w:val="000000" w:themeColor="text1"/>
      <w:sz w:val="24"/>
      <w:szCs w:val="21"/>
      <w:lang w:val="en-US"/>
    </w:rPr>
  </w:style>
  <w:style w:type="paragraph" w:styleId="BodyText">
    <w:name w:val="Body Text"/>
    <w:basedOn w:val="Normal"/>
    <w:link w:val="BodyTextChar"/>
    <w:uiPriority w:val="99"/>
    <w:unhideWhenUsed/>
    <w:rsid w:val="008816D4"/>
    <w:pPr>
      <w:numPr>
        <w:numId w:val="72"/>
      </w:numPr>
      <w:spacing w:after="120"/>
      <w:ind w:left="360"/>
    </w:pPr>
    <w:rPr>
      <w:b/>
      <w:color w:val="auto"/>
    </w:rPr>
  </w:style>
  <w:style w:type="character" w:customStyle="1" w:styleId="BodyTextChar">
    <w:name w:val="Body Text Char"/>
    <w:basedOn w:val="DefaultParagraphFont"/>
    <w:link w:val="BodyText"/>
    <w:uiPriority w:val="99"/>
    <w:rsid w:val="008816D4"/>
    <w:rPr>
      <w:rFonts w:ascii="Times New Roman" w:hAnsi="Times New Roman" w:cs="Times New Roman"/>
      <w:b/>
      <w:sz w:val="24"/>
      <w:szCs w:val="24"/>
    </w:rPr>
  </w:style>
  <w:style w:type="paragraph" w:customStyle="1" w:styleId="Heading">
    <w:name w:val="Heading"/>
    <w:basedOn w:val="TOCHeading"/>
    <w:next w:val="Heading4"/>
    <w:unhideWhenUsed/>
    <w:rsid w:val="008816D4"/>
    <w:rPr>
      <w:rFonts w:cstheme="majorBidi"/>
      <w:b w:val="0"/>
      <w:color w:val="auto"/>
    </w:rPr>
  </w:style>
  <w:style w:type="character" w:styleId="SubtleReference">
    <w:name w:val="Subtle Reference"/>
    <w:basedOn w:val="DefaultParagraphFont"/>
    <w:uiPriority w:val="31"/>
    <w:unhideWhenUsed/>
    <w:qFormat/>
    <w:rsid w:val="008816D4"/>
    <w:rPr>
      <w:rFonts w:ascii="Times New Roman" w:hAnsi="Times New Roman"/>
      <w:b/>
      <w:caps w:val="0"/>
      <w:smallCaps w:val="0"/>
      <w:strike w:val="0"/>
      <w:dstrike w:val="0"/>
      <w:vanish w:val="0"/>
      <w:color w:val="000000" w:themeColor="text1"/>
      <w:sz w:val="24"/>
      <w:vertAlign w:val="baseline"/>
    </w:rPr>
  </w:style>
  <w:style w:type="paragraph" w:customStyle="1" w:styleId="xl82">
    <w:name w:val="xl82"/>
    <w:basedOn w:val="Normal"/>
    <w:unhideWhenUsed/>
    <w:rsid w:val="008816D4"/>
    <w:pPr>
      <w:pBdr>
        <w:right w:val="single" w:sz="4" w:space="0" w:color="auto"/>
      </w:pBdr>
      <w:spacing w:before="100" w:beforeAutospacing="1" w:after="100" w:afterAutospacing="1"/>
      <w:jc w:val="left"/>
    </w:pPr>
    <w:rPr>
      <w:rFonts w:eastAsia="Times New Roman"/>
      <w:b/>
      <w:bCs/>
      <w:color w:val="auto"/>
      <w:lang w:val="en-MY" w:eastAsia="en-MY"/>
    </w:rPr>
  </w:style>
  <w:style w:type="paragraph" w:customStyle="1" w:styleId="xl83">
    <w:name w:val="xl83"/>
    <w:basedOn w:val="Normal"/>
    <w:unhideWhenUsed/>
    <w:rsid w:val="008816D4"/>
    <w:pPr>
      <w:pBdr>
        <w:bottom w:val="single" w:sz="4" w:space="0" w:color="auto"/>
        <w:right w:val="single" w:sz="4" w:space="0" w:color="auto"/>
      </w:pBdr>
      <w:spacing w:before="100" w:beforeAutospacing="1" w:after="100" w:afterAutospacing="1"/>
      <w:jc w:val="left"/>
    </w:pPr>
    <w:rPr>
      <w:rFonts w:eastAsia="Times New Roman"/>
      <w:b/>
      <w:bCs/>
      <w:color w:val="auto"/>
      <w:lang w:val="en-MY" w:eastAsia="en-MY"/>
    </w:rPr>
  </w:style>
  <w:style w:type="paragraph" w:customStyle="1" w:styleId="xl84">
    <w:name w:val="xl84"/>
    <w:basedOn w:val="Normal"/>
    <w:unhideWhenUsed/>
    <w:rsid w:val="008816D4"/>
    <w:pPr>
      <w:pBdr>
        <w:top w:val="single" w:sz="4" w:space="0" w:color="auto"/>
        <w:right w:val="single" w:sz="4" w:space="0" w:color="auto"/>
      </w:pBdr>
      <w:spacing w:before="100" w:beforeAutospacing="1" w:after="100" w:afterAutospacing="1"/>
      <w:jc w:val="center"/>
    </w:pPr>
    <w:rPr>
      <w:rFonts w:eastAsia="Times New Roman"/>
      <w:b/>
      <w:bCs/>
      <w:color w:val="auto"/>
      <w:lang w:val="en-MY" w:eastAsia="en-MY"/>
    </w:rPr>
  </w:style>
  <w:style w:type="paragraph" w:customStyle="1" w:styleId="xl85">
    <w:name w:val="xl85"/>
    <w:basedOn w:val="Normal"/>
    <w:unhideWhenUsed/>
    <w:rsid w:val="008816D4"/>
    <w:pPr>
      <w:pBdr>
        <w:right w:val="single" w:sz="4" w:space="0" w:color="auto"/>
      </w:pBdr>
      <w:spacing w:before="100" w:beforeAutospacing="1" w:after="100" w:afterAutospacing="1"/>
      <w:jc w:val="center"/>
    </w:pPr>
    <w:rPr>
      <w:rFonts w:eastAsia="Times New Roman"/>
      <w:b/>
      <w:bCs/>
      <w:color w:val="auto"/>
      <w:lang w:val="en-MY" w:eastAsia="en-MY"/>
    </w:rPr>
  </w:style>
  <w:style w:type="paragraph" w:styleId="BodyText2">
    <w:name w:val="Body Text 2"/>
    <w:basedOn w:val="Normal"/>
    <w:link w:val="BodyText2Char"/>
    <w:unhideWhenUsed/>
    <w:rsid w:val="00BF47CE"/>
    <w:pPr>
      <w:spacing w:after="120"/>
    </w:pPr>
  </w:style>
  <w:style w:type="character" w:customStyle="1" w:styleId="BodyText2Char">
    <w:name w:val="Body Text 2 Char"/>
    <w:basedOn w:val="DefaultParagraphFont"/>
    <w:link w:val="BodyText2"/>
    <w:rsid w:val="00BF47CE"/>
    <w:rPr>
      <w:rFonts w:ascii="Times New Roman" w:hAnsi="Times New Roman" w:cs="Times New Roman"/>
      <w:color w:val="000000" w:themeColor="text1"/>
      <w:sz w:val="24"/>
      <w:szCs w:val="24"/>
    </w:rPr>
  </w:style>
  <w:style w:type="paragraph" w:customStyle="1" w:styleId="Style3-1">
    <w:name w:val="Style3-1"/>
    <w:basedOn w:val="ListParagraph"/>
    <w:link w:val="Style3-1Char"/>
    <w:unhideWhenUsed/>
    <w:rsid w:val="00BF47CE"/>
    <w:pPr>
      <w:spacing w:after="0"/>
      <w:ind w:left="360" w:hanging="360"/>
    </w:pPr>
    <w:rPr>
      <w:rFonts w:asciiTheme="majorBidi" w:hAnsiTheme="majorBidi" w:cstheme="majorBidi"/>
      <w:b/>
      <w:bCs/>
      <w:color w:val="auto"/>
    </w:rPr>
  </w:style>
  <w:style w:type="character" w:customStyle="1" w:styleId="Style3-1Char">
    <w:name w:val="Style3-1 Char"/>
    <w:basedOn w:val="ListParagraphChar"/>
    <w:link w:val="Style3-1"/>
    <w:rsid w:val="00BF47CE"/>
    <w:rPr>
      <w:rFonts w:asciiTheme="majorBidi" w:hAnsiTheme="majorBidi" w:cstheme="majorBidi"/>
      <w:b/>
      <w:bCs/>
      <w:sz w:val="24"/>
      <w:szCs w:val="24"/>
    </w:rPr>
  </w:style>
  <w:style w:type="paragraph" w:customStyle="1" w:styleId="Style4-1">
    <w:name w:val="Style4-1"/>
    <w:basedOn w:val="Style3-1"/>
    <w:link w:val="Style4-1Char"/>
    <w:autoRedefine/>
    <w:unhideWhenUsed/>
    <w:rsid w:val="00BF47CE"/>
    <w:pPr>
      <w:numPr>
        <w:numId w:val="73"/>
      </w:numPr>
    </w:pPr>
    <w:rPr>
      <w:rFonts w:ascii="Times New Roman" w:hAnsi="Times New Roman"/>
    </w:rPr>
  </w:style>
  <w:style w:type="paragraph" w:customStyle="1" w:styleId="Style411">
    <w:name w:val="Style4.1.1"/>
    <w:basedOn w:val="Style26"/>
    <w:link w:val="Style411Char"/>
    <w:unhideWhenUsed/>
    <w:rsid w:val="00BF47CE"/>
    <w:pPr>
      <w:keepNext w:val="0"/>
      <w:keepLines w:val="0"/>
      <w:numPr>
        <w:ilvl w:val="0"/>
        <w:numId w:val="74"/>
      </w:numPr>
    </w:pPr>
    <w:rPr>
      <w:rFonts w:ascii="Times New Roman" w:hAnsi="Times New Roman" w:cstheme="majorBidi"/>
      <w:b/>
      <w:bCs w:val="0"/>
      <w:color w:val="1F3763" w:themeColor="accent1" w:themeShade="7F"/>
    </w:rPr>
  </w:style>
  <w:style w:type="character" w:customStyle="1" w:styleId="Style4-1Char">
    <w:name w:val="Style4-1 Char"/>
    <w:basedOn w:val="Style3-1Char"/>
    <w:link w:val="Style4-1"/>
    <w:rsid w:val="00BF47CE"/>
    <w:rPr>
      <w:rFonts w:ascii="Times New Roman" w:hAnsi="Times New Roman" w:cstheme="majorBidi"/>
      <w:b/>
      <w:bCs/>
      <w:sz w:val="24"/>
      <w:szCs w:val="24"/>
    </w:rPr>
  </w:style>
  <w:style w:type="paragraph" w:customStyle="1" w:styleId="Style33">
    <w:name w:val="Style33"/>
    <w:basedOn w:val="Style28"/>
    <w:link w:val="Style33Char"/>
    <w:unhideWhenUsed/>
    <w:rsid w:val="00BF47CE"/>
    <w:pPr>
      <w:numPr>
        <w:numId w:val="75"/>
      </w:numPr>
      <w:spacing w:after="0"/>
    </w:pPr>
    <w:rPr>
      <w:rFonts w:asciiTheme="majorHAnsi" w:hAnsiTheme="majorHAnsi"/>
      <w:b/>
      <w:bCs/>
    </w:rPr>
  </w:style>
  <w:style w:type="character" w:customStyle="1" w:styleId="Style411Char">
    <w:name w:val="Style4.1.1 Char"/>
    <w:basedOn w:val="Style26Char"/>
    <w:link w:val="Style411"/>
    <w:rsid w:val="00BF47CE"/>
    <w:rPr>
      <w:rFonts w:ascii="Times New Roman" w:eastAsiaTheme="majorEastAsia" w:hAnsi="Times New Roman" w:cstheme="majorBidi"/>
      <w:b/>
      <w:bCs w:val="0"/>
      <w:color w:val="1F3763" w:themeColor="accent1" w:themeShade="7F"/>
      <w:sz w:val="24"/>
      <w:szCs w:val="24"/>
      <w:lang w:eastAsia="en-GB"/>
    </w:rPr>
  </w:style>
  <w:style w:type="character" w:customStyle="1" w:styleId="Style33Char">
    <w:name w:val="Style33 Char"/>
    <w:basedOn w:val="Style28Char"/>
    <w:link w:val="Style33"/>
    <w:rsid w:val="00BF47CE"/>
    <w:rPr>
      <w:rFonts w:asciiTheme="majorHAnsi" w:hAnsiTheme="majorHAnsi" w:cs="Times New Roman"/>
      <w:b/>
      <w:bCs/>
      <w:color w:val="000000" w:themeColor="text1"/>
      <w:sz w:val="24"/>
      <w:szCs w:val="24"/>
    </w:rPr>
  </w:style>
  <w:style w:type="paragraph" w:customStyle="1" w:styleId="Style34">
    <w:name w:val="Style34"/>
    <w:basedOn w:val="Style33"/>
    <w:link w:val="Style34Char"/>
    <w:unhideWhenUsed/>
    <w:rsid w:val="00BF47CE"/>
    <w:pPr>
      <w:numPr>
        <w:numId w:val="76"/>
      </w:numPr>
      <w:ind w:left="851" w:hanging="851"/>
    </w:pPr>
  </w:style>
  <w:style w:type="character" w:customStyle="1" w:styleId="Style34Char">
    <w:name w:val="Style34 Char"/>
    <w:basedOn w:val="Style33Char"/>
    <w:link w:val="Style34"/>
    <w:rsid w:val="00BF47CE"/>
    <w:rPr>
      <w:rFonts w:asciiTheme="majorHAnsi" w:hAnsiTheme="majorHAnsi" w:cs="Times New Roman"/>
      <w:b/>
      <w:bCs/>
      <w:color w:val="000000" w:themeColor="text1"/>
      <w:sz w:val="24"/>
      <w:szCs w:val="24"/>
    </w:rPr>
  </w:style>
  <w:style w:type="paragraph" w:customStyle="1" w:styleId="Style421">
    <w:name w:val="Style4.2.1"/>
    <w:basedOn w:val="Style4-1"/>
    <w:link w:val="Style421Char"/>
    <w:unhideWhenUsed/>
    <w:rsid w:val="00BF47CE"/>
    <w:pPr>
      <w:numPr>
        <w:numId w:val="77"/>
      </w:numPr>
    </w:pPr>
    <w:rPr>
      <w:rFonts w:eastAsiaTheme="majorEastAsia" w:cs="Times New Roman"/>
      <w:lang w:eastAsia="en-GB"/>
    </w:rPr>
  </w:style>
  <w:style w:type="character" w:customStyle="1" w:styleId="Style421Char">
    <w:name w:val="Style4.2.1 Char"/>
    <w:basedOn w:val="Style4-1Char"/>
    <w:link w:val="Style421"/>
    <w:rsid w:val="00BF47CE"/>
    <w:rPr>
      <w:rFonts w:ascii="Times New Roman" w:eastAsiaTheme="majorEastAsia" w:hAnsi="Times New Roman" w:cs="Times New Roman"/>
      <w:b/>
      <w:bCs/>
      <w:sz w:val="24"/>
      <w:szCs w:val="24"/>
      <w:lang w:eastAsia="en-GB"/>
    </w:rPr>
  </w:style>
  <w:style w:type="paragraph" w:customStyle="1" w:styleId="Style36">
    <w:name w:val="Style36"/>
    <w:basedOn w:val="Style28"/>
    <w:link w:val="Style36Char"/>
    <w:unhideWhenUsed/>
    <w:rsid w:val="00BF47CE"/>
    <w:pPr>
      <w:numPr>
        <w:numId w:val="78"/>
      </w:numPr>
      <w:spacing w:after="0"/>
      <w:ind w:left="851" w:hanging="851"/>
    </w:pPr>
    <w:rPr>
      <w:b/>
      <w:iCs/>
    </w:rPr>
  </w:style>
  <w:style w:type="character" w:customStyle="1" w:styleId="Style36Char">
    <w:name w:val="Style36 Char"/>
    <w:basedOn w:val="Style28Char"/>
    <w:link w:val="Style36"/>
    <w:rsid w:val="00BF47CE"/>
    <w:rPr>
      <w:rFonts w:ascii="Times New Roman" w:hAnsi="Times New Roman" w:cs="Times New Roman"/>
      <w:b/>
      <w:iCs/>
      <w:color w:val="000000" w:themeColor="text1"/>
      <w:sz w:val="24"/>
      <w:szCs w:val="24"/>
    </w:rPr>
  </w:style>
  <w:style w:type="paragraph" w:customStyle="1" w:styleId="Style37">
    <w:name w:val="Style37"/>
    <w:basedOn w:val="Style4-1"/>
    <w:link w:val="Style37Char"/>
    <w:unhideWhenUsed/>
    <w:rsid w:val="00BF47CE"/>
    <w:pPr>
      <w:numPr>
        <w:numId w:val="79"/>
      </w:numPr>
      <w:ind w:left="360"/>
    </w:pPr>
    <w:rPr>
      <w:rFonts w:cstheme="majorHAnsi"/>
      <w:szCs w:val="28"/>
    </w:rPr>
  </w:style>
  <w:style w:type="paragraph" w:customStyle="1" w:styleId="Style38">
    <w:name w:val="Style38"/>
    <w:basedOn w:val="Style37"/>
    <w:link w:val="Style38Char"/>
    <w:unhideWhenUsed/>
    <w:rsid w:val="00BF47CE"/>
    <w:pPr>
      <w:numPr>
        <w:numId w:val="80"/>
      </w:numPr>
      <w:ind w:left="1208" w:hanging="851"/>
    </w:pPr>
  </w:style>
  <w:style w:type="character" w:customStyle="1" w:styleId="Style37Char">
    <w:name w:val="Style37 Char"/>
    <w:basedOn w:val="Style4-1Char"/>
    <w:link w:val="Style37"/>
    <w:rsid w:val="00BF47CE"/>
    <w:rPr>
      <w:rFonts w:ascii="Times New Roman" w:hAnsi="Times New Roman" w:cstheme="majorHAnsi"/>
      <w:b/>
      <w:bCs/>
      <w:sz w:val="24"/>
      <w:szCs w:val="28"/>
    </w:rPr>
  </w:style>
  <w:style w:type="character" w:customStyle="1" w:styleId="Style38Char">
    <w:name w:val="Style38 Char"/>
    <w:basedOn w:val="Style37Char"/>
    <w:link w:val="Style38"/>
    <w:rsid w:val="00BF47CE"/>
    <w:rPr>
      <w:rFonts w:ascii="Times New Roman" w:hAnsi="Times New Roman" w:cstheme="majorHAnsi"/>
      <w:b/>
      <w:bCs/>
      <w:sz w:val="24"/>
      <w:szCs w:val="28"/>
    </w:rPr>
  </w:style>
  <w:style w:type="paragraph" w:customStyle="1" w:styleId="Style39">
    <w:name w:val="Style39"/>
    <w:basedOn w:val="Style34"/>
    <w:link w:val="Style39Char"/>
    <w:unhideWhenUsed/>
    <w:rsid w:val="00BF47CE"/>
    <w:pPr>
      <w:numPr>
        <w:numId w:val="81"/>
      </w:numPr>
      <w:ind w:left="851" w:hanging="851"/>
    </w:pPr>
  </w:style>
  <w:style w:type="character" w:customStyle="1" w:styleId="Style39Char">
    <w:name w:val="Style39 Char"/>
    <w:basedOn w:val="Style34Char"/>
    <w:link w:val="Style39"/>
    <w:rsid w:val="00BF47CE"/>
    <w:rPr>
      <w:rFonts w:asciiTheme="majorHAnsi" w:hAnsiTheme="majorHAnsi" w:cs="Times New Roman"/>
      <w:b/>
      <w:bCs/>
      <w:color w:val="000000" w:themeColor="text1"/>
      <w:sz w:val="24"/>
      <w:szCs w:val="24"/>
    </w:rPr>
  </w:style>
  <w:style w:type="paragraph" w:customStyle="1" w:styleId="msonormal0">
    <w:name w:val="msonormal"/>
    <w:basedOn w:val="Normal"/>
    <w:unhideWhenUsed/>
    <w:rsid w:val="00BF47CE"/>
    <w:pPr>
      <w:spacing w:before="100" w:beforeAutospacing="1" w:after="100" w:afterAutospacing="1"/>
    </w:pPr>
    <w:rPr>
      <w:rFonts w:eastAsia="Times New Roman"/>
      <w:color w:val="auto"/>
      <w:lang w:val="en-MY" w:eastAsia="en-MY"/>
    </w:rPr>
  </w:style>
  <w:style w:type="paragraph" w:customStyle="1" w:styleId="xl65">
    <w:name w:val="xl65"/>
    <w:basedOn w:val="Normal"/>
    <w:unhideWhenUsed/>
    <w:rsid w:val="00BF4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olor w:val="auto"/>
      <w:lang w:val="en-MY" w:eastAsia="en-MY"/>
    </w:rPr>
  </w:style>
  <w:style w:type="paragraph" w:customStyle="1" w:styleId="xl66">
    <w:name w:val="xl66"/>
    <w:basedOn w:val="Normal"/>
    <w:unhideWhenUsed/>
    <w:rsid w:val="00BF4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olor w:val="auto"/>
      <w:lang w:val="en-MY" w:eastAsia="en-MY"/>
    </w:rPr>
  </w:style>
  <w:style w:type="paragraph" w:customStyle="1" w:styleId="Style4131">
    <w:name w:val="Style4.1.3.1"/>
    <w:basedOn w:val="Style36"/>
    <w:link w:val="Style4131Char"/>
    <w:unhideWhenUsed/>
    <w:rsid w:val="00BF47CE"/>
    <w:pPr>
      <w:numPr>
        <w:numId w:val="82"/>
      </w:numPr>
      <w:ind w:left="851" w:hanging="851"/>
    </w:pPr>
  </w:style>
  <w:style w:type="paragraph" w:customStyle="1" w:styleId="Style4231">
    <w:name w:val="Style4.2.3.1"/>
    <w:basedOn w:val="Style6"/>
    <w:link w:val="Style4231Char"/>
    <w:unhideWhenUsed/>
    <w:rsid w:val="00BF47CE"/>
    <w:pPr>
      <w:numPr>
        <w:ilvl w:val="0"/>
        <w:numId w:val="83"/>
      </w:numPr>
      <w:spacing w:before="0" w:after="0"/>
      <w:ind w:left="851" w:hanging="851"/>
    </w:pPr>
    <w:rPr>
      <w:rFonts w:ascii="Times New Roman" w:hAnsi="Times New Roman"/>
      <w:color w:val="1F3763" w:themeColor="accent1" w:themeShade="7F"/>
    </w:rPr>
  </w:style>
  <w:style w:type="character" w:customStyle="1" w:styleId="Style4131Char">
    <w:name w:val="Style4.1.3.1 Char"/>
    <w:basedOn w:val="Style36Char"/>
    <w:link w:val="Style4131"/>
    <w:rsid w:val="00BF47CE"/>
    <w:rPr>
      <w:rFonts w:ascii="Times New Roman" w:hAnsi="Times New Roman" w:cs="Times New Roman"/>
      <w:b/>
      <w:iCs/>
      <w:color w:val="000000" w:themeColor="text1"/>
      <w:sz w:val="24"/>
      <w:szCs w:val="24"/>
    </w:rPr>
  </w:style>
  <w:style w:type="character" w:customStyle="1" w:styleId="Style4231Char">
    <w:name w:val="Style4.2.3.1 Char"/>
    <w:basedOn w:val="Style6Char"/>
    <w:link w:val="Style4231"/>
    <w:rsid w:val="00BF47CE"/>
    <w:rPr>
      <w:rFonts w:ascii="Times New Roman" w:eastAsiaTheme="majorEastAsia" w:hAnsi="Times New Roman" w:cstheme="majorBidi"/>
      <w:b/>
      <w:color w:val="1F3763" w:themeColor="accent1" w:themeShade="7F"/>
      <w:sz w:val="24"/>
      <w:szCs w:val="24"/>
      <w:lang w:eastAsia="en-GB"/>
    </w:rPr>
  </w:style>
  <w:style w:type="paragraph" w:customStyle="1" w:styleId="Style4111">
    <w:name w:val="Style4.1.1.1"/>
    <w:basedOn w:val="Style411"/>
    <w:link w:val="Style4111Char"/>
    <w:unhideWhenUsed/>
    <w:rsid w:val="00BF47CE"/>
    <w:pPr>
      <w:numPr>
        <w:numId w:val="84"/>
      </w:numPr>
      <w:tabs>
        <w:tab w:val="left" w:pos="851"/>
      </w:tabs>
      <w:spacing w:before="0"/>
      <w:ind w:left="357" w:hanging="357"/>
    </w:pPr>
  </w:style>
  <w:style w:type="character" w:customStyle="1" w:styleId="Style4111Char">
    <w:name w:val="Style4.1.1.1 Char"/>
    <w:basedOn w:val="Style411Char"/>
    <w:link w:val="Style4111"/>
    <w:rsid w:val="00BF47CE"/>
    <w:rPr>
      <w:rFonts w:ascii="Times New Roman" w:eastAsiaTheme="majorEastAsia" w:hAnsi="Times New Roman" w:cstheme="majorBidi"/>
      <w:b/>
      <w:bCs w:val="0"/>
      <w:color w:val="1F3763" w:themeColor="accent1" w:themeShade="7F"/>
      <w:sz w:val="24"/>
      <w:szCs w:val="24"/>
      <w:lang w:eastAsia="en-GB"/>
    </w:rPr>
  </w:style>
  <w:style w:type="paragraph" w:customStyle="1" w:styleId="Style31-subtitles">
    <w:name w:val="Style31-subtitles"/>
    <w:basedOn w:val="Chapter"/>
    <w:link w:val="Style31-subtitlesChar"/>
    <w:unhideWhenUsed/>
    <w:rsid w:val="00BF47CE"/>
    <w:pPr>
      <w:spacing w:after="0"/>
    </w:pPr>
    <w:rPr>
      <w:rFonts w:asciiTheme="majorHAnsi" w:hAnsiTheme="majorHAnsi" w:cstheme="majorBidi"/>
      <w:b/>
      <w:bCs w:val="0"/>
      <w:color w:val="2E74B5" w:themeColor="accent5" w:themeShade="BF"/>
      <w:sz w:val="52"/>
    </w:rPr>
  </w:style>
  <w:style w:type="character" w:customStyle="1" w:styleId="Style31-subtitlesChar">
    <w:name w:val="Style31-subtitles Char"/>
    <w:basedOn w:val="ChapterChar"/>
    <w:link w:val="Style31-subtitles"/>
    <w:rsid w:val="00BF47CE"/>
    <w:rPr>
      <w:rFonts w:asciiTheme="majorHAnsi" w:eastAsiaTheme="majorEastAsia" w:hAnsiTheme="majorHAnsi" w:cstheme="majorBidi"/>
      <w:b/>
      <w:bCs w:val="0"/>
      <w:color w:val="2E74B5" w:themeColor="accent5" w:themeShade="BF"/>
      <w:spacing w:val="-10"/>
      <w:kern w:val="28"/>
      <w:sz w:val="52"/>
      <w:szCs w:val="56"/>
    </w:rPr>
  </w:style>
  <w:style w:type="paragraph" w:customStyle="1" w:styleId="font5">
    <w:name w:val="font5"/>
    <w:basedOn w:val="Normal"/>
    <w:unhideWhenUsed/>
    <w:rsid w:val="00BF47CE"/>
    <w:pPr>
      <w:spacing w:before="100" w:beforeAutospacing="1" w:after="100" w:afterAutospacing="1"/>
      <w:jc w:val="left"/>
    </w:pPr>
    <w:rPr>
      <w:rFonts w:eastAsia="Times New Roman"/>
      <w:color w:val="000000"/>
      <w:sz w:val="22"/>
      <w:szCs w:val="22"/>
      <w:lang w:val="en-MY" w:eastAsia="en-MY"/>
    </w:rPr>
  </w:style>
  <w:style w:type="paragraph" w:customStyle="1" w:styleId="xl67">
    <w:name w:val="xl67"/>
    <w:basedOn w:val="Normal"/>
    <w:unhideWhenUsed/>
    <w:rsid w:val="00BF47CE"/>
    <w:pPr>
      <w:pBdr>
        <w:top w:val="single" w:sz="4" w:space="0" w:color="auto"/>
        <w:left w:val="single" w:sz="4" w:space="0" w:color="auto"/>
        <w:right w:val="single" w:sz="4" w:space="0" w:color="auto"/>
      </w:pBdr>
      <w:spacing w:before="100" w:beforeAutospacing="1" w:after="100" w:afterAutospacing="1"/>
      <w:jc w:val="left"/>
    </w:pPr>
    <w:rPr>
      <w:rFonts w:eastAsia="Times New Roman"/>
      <w:color w:val="auto"/>
      <w:lang w:val="en-MY" w:eastAsia="en-MY"/>
    </w:rPr>
  </w:style>
  <w:style w:type="paragraph" w:customStyle="1" w:styleId="xl68">
    <w:name w:val="xl68"/>
    <w:basedOn w:val="Normal"/>
    <w:unhideWhenUsed/>
    <w:rsid w:val="00BF47CE"/>
    <w:pPr>
      <w:pBdr>
        <w:left w:val="single" w:sz="4" w:space="0" w:color="auto"/>
        <w:right w:val="single" w:sz="4" w:space="0" w:color="auto"/>
      </w:pBdr>
      <w:spacing w:before="100" w:beforeAutospacing="1" w:after="100" w:afterAutospacing="1"/>
      <w:jc w:val="left"/>
    </w:pPr>
    <w:rPr>
      <w:rFonts w:eastAsia="Times New Roman"/>
      <w:color w:val="auto"/>
      <w:lang w:val="en-MY" w:eastAsia="en-MY"/>
    </w:rPr>
  </w:style>
  <w:style w:type="paragraph" w:customStyle="1" w:styleId="xl69">
    <w:name w:val="xl69"/>
    <w:basedOn w:val="Normal"/>
    <w:unhideWhenUsed/>
    <w:rsid w:val="00BF47CE"/>
    <w:pPr>
      <w:pBdr>
        <w:top w:val="single" w:sz="4" w:space="0" w:color="auto"/>
        <w:bottom w:val="single" w:sz="4" w:space="0" w:color="auto"/>
        <w:right w:val="single" w:sz="4" w:space="0" w:color="auto"/>
      </w:pBdr>
      <w:spacing w:before="100" w:beforeAutospacing="1" w:after="100" w:afterAutospacing="1"/>
      <w:jc w:val="left"/>
    </w:pPr>
    <w:rPr>
      <w:rFonts w:eastAsia="Times New Roman"/>
      <w:color w:val="auto"/>
      <w:lang w:val="en-MY" w:eastAsia="en-MY"/>
    </w:rPr>
  </w:style>
  <w:style w:type="paragraph" w:customStyle="1" w:styleId="xl70">
    <w:name w:val="xl70"/>
    <w:basedOn w:val="Normal"/>
    <w:unhideWhenUsed/>
    <w:rsid w:val="00BF47CE"/>
    <w:pPr>
      <w:pBdr>
        <w:right w:val="single" w:sz="4" w:space="0" w:color="auto"/>
      </w:pBdr>
      <w:spacing w:before="100" w:beforeAutospacing="1" w:after="100" w:afterAutospacing="1"/>
      <w:jc w:val="left"/>
    </w:pPr>
    <w:rPr>
      <w:rFonts w:eastAsia="Times New Roman"/>
      <w:color w:val="auto"/>
      <w:lang w:val="en-MY" w:eastAsia="en-MY"/>
    </w:rPr>
  </w:style>
  <w:style w:type="paragraph" w:customStyle="1" w:styleId="xl71">
    <w:name w:val="xl71"/>
    <w:basedOn w:val="Normal"/>
    <w:unhideWhenUsed/>
    <w:rsid w:val="00BF47CE"/>
    <w:pPr>
      <w:pBdr>
        <w:top w:val="single" w:sz="4" w:space="0" w:color="auto"/>
        <w:left w:val="single" w:sz="4" w:space="0" w:color="auto"/>
        <w:bottom w:val="single" w:sz="4" w:space="0" w:color="auto"/>
      </w:pBdr>
      <w:spacing w:before="100" w:beforeAutospacing="1" w:after="100" w:afterAutospacing="1"/>
      <w:jc w:val="left"/>
    </w:pPr>
    <w:rPr>
      <w:rFonts w:eastAsia="Times New Roman"/>
      <w:color w:val="auto"/>
      <w:lang w:val="en-MY" w:eastAsia="en-MY"/>
    </w:rPr>
  </w:style>
  <w:style w:type="paragraph" w:customStyle="1" w:styleId="xl72">
    <w:name w:val="xl72"/>
    <w:basedOn w:val="Normal"/>
    <w:unhideWhenUsed/>
    <w:rsid w:val="00BF47CE"/>
    <w:pPr>
      <w:pBdr>
        <w:left w:val="single" w:sz="4" w:space="0" w:color="auto"/>
      </w:pBdr>
      <w:spacing w:before="100" w:beforeAutospacing="1" w:after="100" w:afterAutospacing="1"/>
      <w:jc w:val="left"/>
    </w:pPr>
    <w:rPr>
      <w:rFonts w:eastAsia="Times New Roman"/>
      <w:color w:val="auto"/>
      <w:lang w:val="en-MY" w:eastAsia="en-MY"/>
    </w:rPr>
  </w:style>
  <w:style w:type="paragraph" w:customStyle="1" w:styleId="xl74">
    <w:name w:val="xl74"/>
    <w:basedOn w:val="Normal"/>
    <w:unhideWhenUsed/>
    <w:rsid w:val="00BF47CE"/>
    <w:pPr>
      <w:pBdr>
        <w:right w:val="single" w:sz="4" w:space="0" w:color="auto"/>
      </w:pBdr>
      <w:spacing w:before="100" w:beforeAutospacing="1" w:after="100" w:afterAutospacing="1"/>
      <w:jc w:val="left"/>
    </w:pPr>
    <w:rPr>
      <w:rFonts w:eastAsia="Times New Roman"/>
      <w:color w:val="auto"/>
      <w:lang w:val="en-MY" w:eastAsia="en-MY"/>
    </w:rPr>
  </w:style>
  <w:style w:type="paragraph" w:customStyle="1" w:styleId="xl75">
    <w:name w:val="xl75"/>
    <w:basedOn w:val="Normal"/>
    <w:unhideWhenUsed/>
    <w:rsid w:val="00BF47CE"/>
    <w:pPr>
      <w:pBdr>
        <w:top w:val="single" w:sz="4" w:space="0" w:color="auto"/>
        <w:left w:val="single" w:sz="4" w:space="0" w:color="auto"/>
        <w:bottom w:val="single" w:sz="4" w:space="0" w:color="auto"/>
      </w:pBdr>
      <w:spacing w:before="100" w:beforeAutospacing="1" w:after="100" w:afterAutospacing="1"/>
      <w:jc w:val="center"/>
    </w:pPr>
    <w:rPr>
      <w:rFonts w:eastAsia="Times New Roman"/>
      <w:color w:val="auto"/>
      <w:lang w:val="en-MY" w:eastAsia="en-MY"/>
    </w:rPr>
  </w:style>
  <w:style w:type="paragraph" w:customStyle="1" w:styleId="xl76">
    <w:name w:val="xl76"/>
    <w:basedOn w:val="Normal"/>
    <w:unhideWhenUsed/>
    <w:rsid w:val="00BF47CE"/>
    <w:pPr>
      <w:pBdr>
        <w:top w:val="single" w:sz="4" w:space="0" w:color="auto"/>
        <w:bottom w:val="single" w:sz="4" w:space="0" w:color="auto"/>
      </w:pBdr>
      <w:spacing w:before="100" w:beforeAutospacing="1" w:after="100" w:afterAutospacing="1"/>
      <w:jc w:val="center"/>
    </w:pPr>
    <w:rPr>
      <w:rFonts w:eastAsia="Times New Roman"/>
      <w:color w:val="auto"/>
      <w:lang w:val="en-MY" w:eastAsia="en-MY"/>
    </w:rPr>
  </w:style>
  <w:style w:type="paragraph" w:customStyle="1" w:styleId="xl77">
    <w:name w:val="xl77"/>
    <w:basedOn w:val="Normal"/>
    <w:unhideWhenUsed/>
    <w:rsid w:val="00BF47CE"/>
    <w:pPr>
      <w:pBdr>
        <w:top w:val="single" w:sz="4" w:space="0" w:color="auto"/>
        <w:bottom w:val="single" w:sz="4" w:space="0" w:color="auto"/>
        <w:right w:val="single" w:sz="4" w:space="0" w:color="auto"/>
      </w:pBdr>
      <w:spacing w:before="100" w:beforeAutospacing="1" w:after="100" w:afterAutospacing="1"/>
      <w:jc w:val="center"/>
    </w:pPr>
    <w:rPr>
      <w:rFonts w:eastAsia="Times New Roman"/>
      <w:color w:val="auto"/>
      <w:lang w:val="en-MY" w:eastAsia="en-MY"/>
    </w:rPr>
  </w:style>
  <w:style w:type="paragraph" w:customStyle="1" w:styleId="xl78">
    <w:name w:val="xl78"/>
    <w:basedOn w:val="Normal"/>
    <w:unhideWhenUsed/>
    <w:rsid w:val="00BF47CE"/>
    <w:pPr>
      <w:spacing w:before="100" w:beforeAutospacing="1" w:after="100" w:afterAutospacing="1"/>
      <w:jc w:val="left"/>
    </w:pPr>
    <w:rPr>
      <w:rFonts w:eastAsia="Times New Roman"/>
      <w:b/>
      <w:bCs/>
      <w:color w:val="auto"/>
      <w:lang w:val="en-MY" w:eastAsia="en-MY"/>
    </w:rPr>
  </w:style>
  <w:style w:type="paragraph" w:customStyle="1" w:styleId="xl79">
    <w:name w:val="xl79"/>
    <w:basedOn w:val="Normal"/>
    <w:unhideWhenUsed/>
    <w:rsid w:val="00BF47CE"/>
    <w:pPr>
      <w:pBdr>
        <w:bottom w:val="single" w:sz="4" w:space="0" w:color="auto"/>
      </w:pBdr>
      <w:spacing w:before="100" w:beforeAutospacing="1" w:after="100" w:afterAutospacing="1"/>
      <w:jc w:val="left"/>
    </w:pPr>
    <w:rPr>
      <w:rFonts w:eastAsia="Times New Roman"/>
      <w:b/>
      <w:bCs/>
      <w:color w:val="auto"/>
      <w:lang w:val="en-MY" w:eastAsia="en-MY"/>
    </w:rPr>
  </w:style>
  <w:style w:type="paragraph" w:customStyle="1" w:styleId="xl80">
    <w:name w:val="xl80"/>
    <w:basedOn w:val="Normal"/>
    <w:unhideWhenUsed/>
    <w:rsid w:val="00BF47CE"/>
    <w:pPr>
      <w:pBdr>
        <w:top w:val="single" w:sz="4" w:space="0" w:color="auto"/>
      </w:pBdr>
      <w:spacing w:before="100" w:beforeAutospacing="1" w:after="100" w:afterAutospacing="1"/>
      <w:jc w:val="left"/>
    </w:pPr>
    <w:rPr>
      <w:rFonts w:eastAsia="Times New Roman"/>
      <w:b/>
      <w:bCs/>
      <w:color w:val="auto"/>
      <w:lang w:val="en-MY" w:eastAsia="en-MY"/>
    </w:rPr>
  </w:style>
  <w:style w:type="paragraph" w:customStyle="1" w:styleId="xl81">
    <w:name w:val="xl81"/>
    <w:basedOn w:val="Normal"/>
    <w:unhideWhenUsed/>
    <w:rsid w:val="00BF47CE"/>
    <w:pPr>
      <w:pBdr>
        <w:top w:val="single" w:sz="4" w:space="0" w:color="auto"/>
        <w:right w:val="single" w:sz="4" w:space="0" w:color="auto"/>
      </w:pBdr>
      <w:spacing w:before="100" w:beforeAutospacing="1" w:after="100" w:afterAutospacing="1"/>
      <w:jc w:val="left"/>
    </w:pPr>
    <w:rPr>
      <w:rFonts w:eastAsia="Times New Roman"/>
      <w:b/>
      <w:bCs/>
      <w:color w:val="auto"/>
      <w:lang w:val="en-MY" w:eastAsia="en-MY"/>
    </w:rPr>
  </w:style>
  <w:style w:type="paragraph" w:customStyle="1" w:styleId="xl86">
    <w:name w:val="xl86"/>
    <w:basedOn w:val="Normal"/>
    <w:unhideWhenUsed/>
    <w:rsid w:val="00BF47CE"/>
    <w:pPr>
      <w:pBdr>
        <w:bottom w:val="single" w:sz="4" w:space="0" w:color="auto"/>
        <w:right w:val="single" w:sz="4" w:space="0" w:color="auto"/>
      </w:pBdr>
      <w:spacing w:before="100" w:beforeAutospacing="1" w:after="100" w:afterAutospacing="1"/>
      <w:jc w:val="center"/>
    </w:pPr>
    <w:rPr>
      <w:rFonts w:eastAsia="Times New Roman"/>
      <w:b/>
      <w:bCs/>
      <w:color w:val="auto"/>
      <w:lang w:val="en-MY" w:eastAsia="en-MY"/>
    </w:rPr>
  </w:style>
  <w:style w:type="table" w:customStyle="1" w:styleId="TableGrid3">
    <w:name w:val="Table Grid3"/>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F47CE"/>
  </w:style>
  <w:style w:type="table" w:customStyle="1" w:styleId="TableGrid8">
    <w:name w:val="Table Grid8"/>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BF47CE"/>
  </w:style>
  <w:style w:type="table" w:customStyle="1" w:styleId="TableGrid9">
    <w:name w:val="Table Grid9"/>
    <w:basedOn w:val="TableNormal"/>
    <w:next w:val="TableGrid"/>
    <w:uiPriority w:val="39"/>
    <w:rsid w:val="00BF47CE"/>
    <w:pPr>
      <w:spacing w:after="0"/>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BF47CE"/>
  </w:style>
  <w:style w:type="paragraph" w:customStyle="1" w:styleId="xl73">
    <w:name w:val="xl73"/>
    <w:basedOn w:val="Normal"/>
    <w:rsid w:val="00BF47CE"/>
    <w:pPr>
      <w:pBdr>
        <w:top w:val="single" w:sz="4" w:space="0" w:color="auto"/>
        <w:left w:val="single" w:sz="4" w:space="0" w:color="auto"/>
      </w:pBdr>
      <w:spacing w:before="100" w:beforeAutospacing="1" w:after="100" w:afterAutospacing="1"/>
      <w:jc w:val="left"/>
    </w:pPr>
    <w:rPr>
      <w:rFonts w:eastAsia="Times New Roman"/>
      <w:color w:val="auto"/>
      <w:sz w:val="20"/>
      <w:szCs w:val="20"/>
      <w:lang w:val="en-MY" w:eastAsia="en-MY"/>
    </w:rPr>
  </w:style>
  <w:style w:type="paragraph" w:customStyle="1" w:styleId="xl87">
    <w:name w:val="xl87"/>
    <w:basedOn w:val="Normal"/>
    <w:rsid w:val="00BF47CE"/>
    <w:pPr>
      <w:pBdr>
        <w:left w:val="single" w:sz="4" w:space="0" w:color="auto"/>
        <w:right w:val="single" w:sz="4" w:space="0" w:color="auto"/>
      </w:pBdr>
      <w:spacing w:before="100" w:beforeAutospacing="1" w:after="100" w:afterAutospacing="1"/>
      <w:jc w:val="left"/>
      <w:textAlignment w:val="top"/>
    </w:pPr>
    <w:rPr>
      <w:rFonts w:eastAsia="Times New Roman"/>
      <w:color w:val="auto"/>
      <w:sz w:val="20"/>
      <w:szCs w:val="20"/>
      <w:lang w:val="en-MY" w:eastAsia="en-MY"/>
    </w:rPr>
  </w:style>
  <w:style w:type="paragraph" w:customStyle="1" w:styleId="xl88">
    <w:name w:val="xl88"/>
    <w:basedOn w:val="Normal"/>
    <w:rsid w:val="00BF47CE"/>
    <w:pPr>
      <w:pBdr>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olor w:val="auto"/>
      <w:sz w:val="20"/>
      <w:szCs w:val="20"/>
      <w:lang w:val="en-MY" w:eastAsia="en-MY"/>
    </w:rPr>
  </w:style>
  <w:style w:type="paragraph" w:customStyle="1" w:styleId="xl89">
    <w:name w:val="xl89"/>
    <w:basedOn w:val="Normal"/>
    <w:rsid w:val="00BF47CE"/>
    <w:pPr>
      <w:pBdr>
        <w:top w:val="single" w:sz="4" w:space="0" w:color="auto"/>
        <w:left w:val="single" w:sz="4" w:space="0" w:color="auto"/>
        <w:bottom w:val="single" w:sz="4" w:space="0" w:color="auto"/>
      </w:pBdr>
      <w:spacing w:before="100" w:beforeAutospacing="1" w:after="100" w:afterAutospacing="1"/>
      <w:jc w:val="center"/>
    </w:pPr>
    <w:rPr>
      <w:rFonts w:eastAsia="Times New Roman"/>
      <w:b/>
      <w:bCs/>
      <w:color w:val="auto"/>
      <w:sz w:val="20"/>
      <w:szCs w:val="20"/>
      <w:lang w:val="en-MY" w:eastAsia="en-MY"/>
    </w:rPr>
  </w:style>
  <w:style w:type="paragraph" w:customStyle="1" w:styleId="xl90">
    <w:name w:val="xl90"/>
    <w:basedOn w:val="Normal"/>
    <w:rsid w:val="00BF47CE"/>
    <w:pPr>
      <w:pBdr>
        <w:top w:val="single" w:sz="4" w:space="0" w:color="auto"/>
        <w:bottom w:val="single" w:sz="4" w:space="0" w:color="auto"/>
      </w:pBdr>
      <w:spacing w:before="100" w:beforeAutospacing="1" w:after="100" w:afterAutospacing="1"/>
      <w:jc w:val="center"/>
    </w:pPr>
    <w:rPr>
      <w:rFonts w:eastAsia="Times New Roman"/>
      <w:b/>
      <w:bCs/>
      <w:color w:val="auto"/>
      <w:sz w:val="20"/>
      <w:szCs w:val="20"/>
      <w:lang w:val="en-MY" w:eastAsia="en-MY"/>
    </w:rPr>
  </w:style>
  <w:style w:type="paragraph" w:customStyle="1" w:styleId="xl91">
    <w:name w:val="xl91"/>
    <w:basedOn w:val="Normal"/>
    <w:rsid w:val="00BF47CE"/>
    <w:pPr>
      <w:pBdr>
        <w:top w:val="single" w:sz="4" w:space="0" w:color="auto"/>
        <w:bottom w:val="single" w:sz="4" w:space="0" w:color="auto"/>
        <w:right w:val="single" w:sz="4" w:space="0" w:color="auto"/>
      </w:pBdr>
      <w:spacing w:before="100" w:beforeAutospacing="1" w:after="100" w:afterAutospacing="1"/>
      <w:jc w:val="center"/>
    </w:pPr>
    <w:rPr>
      <w:rFonts w:eastAsia="Times New Roman"/>
      <w:b/>
      <w:bCs/>
      <w:color w:val="auto"/>
      <w:sz w:val="20"/>
      <w:szCs w:val="20"/>
      <w:lang w:val="en-MY" w:eastAsia="en-MY"/>
    </w:rPr>
  </w:style>
  <w:style w:type="paragraph" w:customStyle="1" w:styleId="xl92">
    <w:name w:val="xl92"/>
    <w:basedOn w:val="Normal"/>
    <w:rsid w:val="00BF47CE"/>
    <w:pPr>
      <w:pBdr>
        <w:left w:val="single" w:sz="4" w:space="0" w:color="auto"/>
        <w:bottom w:val="single" w:sz="4" w:space="0" w:color="auto"/>
      </w:pBdr>
      <w:spacing w:before="100" w:beforeAutospacing="1" w:after="100" w:afterAutospacing="1"/>
      <w:jc w:val="left"/>
    </w:pPr>
    <w:rPr>
      <w:rFonts w:eastAsia="Times New Roman"/>
      <w:b/>
      <w:bCs/>
      <w:color w:val="auto"/>
      <w:sz w:val="20"/>
      <w:szCs w:val="20"/>
      <w:lang w:val="en-MY" w:eastAsia="en-MY"/>
    </w:rPr>
  </w:style>
  <w:style w:type="paragraph" w:customStyle="1" w:styleId="xl93">
    <w:name w:val="xl93"/>
    <w:basedOn w:val="Normal"/>
    <w:rsid w:val="00BF47CE"/>
    <w:pPr>
      <w:pBdr>
        <w:bottom w:val="single" w:sz="4" w:space="0" w:color="auto"/>
      </w:pBdr>
      <w:spacing w:before="100" w:beforeAutospacing="1" w:after="100" w:afterAutospacing="1"/>
      <w:jc w:val="left"/>
    </w:pPr>
    <w:rPr>
      <w:rFonts w:eastAsia="Times New Roman"/>
      <w:b/>
      <w:bCs/>
      <w:color w:val="auto"/>
      <w:sz w:val="20"/>
      <w:szCs w:val="20"/>
      <w:lang w:val="en-MY" w:eastAsia="en-MY"/>
    </w:rPr>
  </w:style>
  <w:style w:type="paragraph" w:customStyle="1" w:styleId="xl94">
    <w:name w:val="xl94"/>
    <w:basedOn w:val="Normal"/>
    <w:rsid w:val="00BF47CE"/>
    <w:pPr>
      <w:pBdr>
        <w:bottom w:val="single" w:sz="4" w:space="0" w:color="auto"/>
        <w:right w:val="single" w:sz="4" w:space="0" w:color="auto"/>
      </w:pBdr>
      <w:spacing w:before="100" w:beforeAutospacing="1" w:after="100" w:afterAutospacing="1"/>
      <w:jc w:val="left"/>
    </w:pPr>
    <w:rPr>
      <w:rFonts w:eastAsia="Times New Roman"/>
      <w:b/>
      <w:bCs/>
      <w:color w:val="auto"/>
      <w:sz w:val="20"/>
      <w:szCs w:val="20"/>
      <w:lang w:val="en-MY" w:eastAsia="en-MY"/>
    </w:rPr>
  </w:style>
  <w:style w:type="paragraph" w:customStyle="1" w:styleId="xl95">
    <w:name w:val="xl95"/>
    <w:basedOn w:val="Normal"/>
    <w:rsid w:val="00BF47CE"/>
    <w:pPr>
      <w:pBdr>
        <w:left w:val="single" w:sz="4" w:space="0" w:color="auto"/>
        <w:bottom w:val="single" w:sz="4" w:space="0" w:color="auto"/>
        <w:right w:val="single" w:sz="4" w:space="0" w:color="auto"/>
      </w:pBdr>
      <w:spacing w:before="100" w:beforeAutospacing="1" w:after="100" w:afterAutospacing="1"/>
      <w:jc w:val="left"/>
    </w:pPr>
    <w:rPr>
      <w:rFonts w:eastAsia="Times New Roman"/>
      <w:b/>
      <w:bCs/>
      <w:color w:val="auto"/>
      <w:sz w:val="20"/>
      <w:szCs w:val="20"/>
      <w:lang w:val="en-MY" w:eastAsia="en-MY"/>
    </w:rPr>
  </w:style>
  <w:style w:type="paragraph" w:customStyle="1" w:styleId="xl96">
    <w:name w:val="xl96"/>
    <w:basedOn w:val="Normal"/>
    <w:rsid w:val="00BF47CE"/>
    <w:pPr>
      <w:pBdr>
        <w:left w:val="single" w:sz="4" w:space="0" w:color="auto"/>
        <w:right w:val="single" w:sz="4" w:space="0" w:color="auto"/>
      </w:pBdr>
      <w:spacing w:before="100" w:beforeAutospacing="1" w:after="100" w:afterAutospacing="1"/>
      <w:jc w:val="left"/>
    </w:pPr>
    <w:rPr>
      <w:rFonts w:eastAsia="Times New Roman"/>
      <w:b/>
      <w:bCs/>
      <w:color w:val="auto"/>
      <w:sz w:val="20"/>
      <w:szCs w:val="20"/>
      <w:lang w:val="en-MY" w:eastAsia="en-MY"/>
    </w:rPr>
  </w:style>
  <w:style w:type="table" w:customStyle="1" w:styleId="5">
    <w:name w:val="5"/>
    <w:basedOn w:val="TableNormal"/>
    <w:rsid w:val="00BF47CE"/>
    <w:pPr>
      <w:spacing w:after="0"/>
    </w:pPr>
    <w:rPr>
      <w:rFonts w:ascii="Times New Roman" w:eastAsia="Times New Roman" w:hAnsi="Times New Roman" w:cs="Times New Roman"/>
      <w:sz w:val="24"/>
      <w:szCs w:val="24"/>
      <w:lang w:eastAsia="en-MY"/>
    </w:rPr>
    <w:tblPr>
      <w:tblStyleRowBandSize w:val="1"/>
      <w:tblStyleColBandSize w:val="1"/>
    </w:tblPr>
  </w:style>
  <w:style w:type="character" w:customStyle="1" w:styleId="UnresolvedMention9">
    <w:name w:val="Unresolved Mention9"/>
    <w:basedOn w:val="DefaultParagraphFont"/>
    <w:uiPriority w:val="99"/>
    <w:semiHidden/>
    <w:unhideWhenUsed/>
    <w:rsid w:val="00BF47CE"/>
    <w:rPr>
      <w:color w:val="605E5C"/>
      <w:shd w:val="clear" w:color="auto" w:fill="E1DFDD"/>
    </w:rPr>
  </w:style>
  <w:style w:type="table" w:customStyle="1" w:styleId="1">
    <w:name w:val="1"/>
    <w:basedOn w:val="TableNormal"/>
    <w:rsid w:val="00BF47CE"/>
    <w:pPr>
      <w:spacing w:after="0"/>
    </w:pPr>
    <w:rPr>
      <w:rFonts w:ascii="Times New Roman" w:eastAsia="Times New Roman" w:hAnsi="Times New Roman" w:cs="Times New Roman"/>
      <w:sz w:val="24"/>
      <w:szCs w:val="24"/>
      <w:lang w:eastAsia="en-MY"/>
    </w:rPr>
    <w:tblPr>
      <w:tblStyleRowBandSize w:val="1"/>
      <w:tblStyleColBandSize w:val="1"/>
    </w:tblPr>
  </w:style>
  <w:style w:type="table" w:customStyle="1" w:styleId="TableGrid10">
    <w:name w:val="Table Grid10"/>
    <w:basedOn w:val="TableNormal"/>
    <w:next w:val="TableGrid"/>
    <w:uiPriority w:val="39"/>
    <w:rsid w:val="00BF47CE"/>
    <w:pPr>
      <w:spacing w:after="0"/>
    </w:pPr>
    <w:rPr>
      <w:rFonts w:ascii="Calibri" w:eastAsia="Calibri" w:hAnsi="Calibri" w:cs="Times New Roman"/>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BF47CE"/>
  </w:style>
  <w:style w:type="table" w:customStyle="1" w:styleId="TableGrid12">
    <w:name w:val="Table Grid12"/>
    <w:basedOn w:val="TableNormal"/>
    <w:next w:val="TableGrid"/>
    <w:uiPriority w:val="39"/>
    <w:rsid w:val="00BF47CE"/>
    <w:pPr>
      <w:spacing w:after="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00">
    <w:name w:val="Style110"/>
    <w:uiPriority w:val="99"/>
    <w:rsid w:val="00BF47CE"/>
  </w:style>
  <w:style w:type="numbering" w:customStyle="1" w:styleId="Style210">
    <w:name w:val="Style210"/>
    <w:uiPriority w:val="99"/>
    <w:rsid w:val="00BF47CE"/>
  </w:style>
  <w:style w:type="numbering" w:customStyle="1" w:styleId="Style32">
    <w:name w:val="Style32"/>
    <w:uiPriority w:val="99"/>
    <w:rsid w:val="00BF47CE"/>
  </w:style>
  <w:style w:type="numbering" w:customStyle="1" w:styleId="firstheading2">
    <w:name w:val="first heading2"/>
    <w:basedOn w:val="NoList"/>
    <w:uiPriority w:val="99"/>
    <w:rsid w:val="00BF47CE"/>
    <w:pPr>
      <w:numPr>
        <w:numId w:val="4"/>
      </w:numPr>
    </w:pPr>
  </w:style>
  <w:style w:type="table" w:customStyle="1" w:styleId="TableGrid25">
    <w:name w:val="Table Grid25"/>
    <w:basedOn w:val="TableNormal"/>
    <w:next w:val="TableGrid"/>
    <w:uiPriority w:val="39"/>
    <w:rsid w:val="00BF47C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BF47C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BF47C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BF47CE"/>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4238D5"/>
  </w:style>
  <w:style w:type="table" w:customStyle="1" w:styleId="4">
    <w:name w:val="4"/>
    <w:basedOn w:val="TableNormal"/>
    <w:rsid w:val="004238D5"/>
    <w:pPr>
      <w:spacing w:line="480" w:lineRule="auto"/>
    </w:pPr>
    <w:rPr>
      <w:rFonts w:ascii="Times New Roman" w:eastAsia="Times New Roman" w:hAnsi="Times New Roman" w:cs="Times New Roman"/>
      <w:sz w:val="24"/>
      <w:szCs w:val="24"/>
      <w:lang w:eastAsia="en-MY"/>
    </w:rPr>
    <w:tblPr>
      <w:tblStyleRowBandSize w:val="1"/>
      <w:tblStyleColBandSize w:val="1"/>
      <w:tblCellMar>
        <w:left w:w="0" w:type="dxa"/>
        <w:right w:w="0" w:type="dxa"/>
      </w:tblCellMar>
    </w:tblPr>
  </w:style>
  <w:style w:type="table" w:customStyle="1" w:styleId="3">
    <w:name w:val="3"/>
    <w:basedOn w:val="TableNormal"/>
    <w:rsid w:val="004238D5"/>
    <w:pPr>
      <w:spacing w:line="480" w:lineRule="auto"/>
    </w:pPr>
    <w:rPr>
      <w:rFonts w:ascii="Times New Roman" w:eastAsia="Times New Roman" w:hAnsi="Times New Roman" w:cs="Times New Roman"/>
      <w:sz w:val="24"/>
      <w:szCs w:val="24"/>
      <w:lang w:eastAsia="en-MY"/>
    </w:rPr>
    <w:tblPr>
      <w:tblStyleRowBandSize w:val="1"/>
      <w:tblStyleColBandSize w:val="1"/>
      <w:tblCellMar>
        <w:left w:w="0" w:type="dxa"/>
        <w:right w:w="0" w:type="dxa"/>
      </w:tblCellMar>
    </w:tblPr>
  </w:style>
  <w:style w:type="table" w:customStyle="1" w:styleId="2">
    <w:name w:val="2"/>
    <w:basedOn w:val="TableNormal"/>
    <w:rsid w:val="004238D5"/>
    <w:pPr>
      <w:spacing w:line="480" w:lineRule="auto"/>
    </w:pPr>
    <w:rPr>
      <w:rFonts w:ascii="Times New Roman" w:eastAsia="Times New Roman" w:hAnsi="Times New Roman" w:cs="Times New Roman"/>
      <w:sz w:val="24"/>
      <w:szCs w:val="24"/>
      <w:lang w:eastAsia="en-MY"/>
    </w:rPr>
    <w:tblPr>
      <w:tblStyleRowBandSize w:val="1"/>
      <w:tblStyleColBandSize w:val="1"/>
      <w:tblCellMar>
        <w:left w:w="0" w:type="dxa"/>
        <w:right w:w="0" w:type="dxa"/>
      </w:tblCellMar>
    </w:tblPr>
  </w:style>
  <w:style w:type="table" w:customStyle="1" w:styleId="TableGrid13">
    <w:name w:val="Table Grid13"/>
    <w:basedOn w:val="TableNormal"/>
    <w:next w:val="TableGrid"/>
    <w:uiPriority w:val="39"/>
    <w:rsid w:val="004238D5"/>
    <w:pPr>
      <w:spacing w:after="0"/>
    </w:pPr>
    <w:rPr>
      <w:rFonts w:ascii="Times New Roman" w:eastAsia="Times New Roman" w:hAnsi="Times New Roman" w:cs="Times New Roman"/>
      <w:sz w:val="24"/>
      <w:szCs w:val="24"/>
      <w:lang w:eastAsia="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4238D5"/>
    <w:pPr>
      <w:spacing w:after="0"/>
    </w:pPr>
    <w:rPr>
      <w:rFonts w:ascii="Consolas" w:eastAsia="Times New Roman" w:hAnsi="Consolas"/>
      <w:color w:val="auto"/>
      <w:sz w:val="20"/>
      <w:szCs w:val="20"/>
      <w:lang w:eastAsia="en-MY"/>
    </w:rPr>
  </w:style>
  <w:style w:type="character" w:customStyle="1" w:styleId="HTMLPreformattedChar">
    <w:name w:val="HTML Preformatted Char"/>
    <w:basedOn w:val="DefaultParagraphFont"/>
    <w:link w:val="HTMLPreformatted"/>
    <w:uiPriority w:val="99"/>
    <w:semiHidden/>
    <w:rsid w:val="004238D5"/>
    <w:rPr>
      <w:rFonts w:ascii="Consolas" w:eastAsia="Times New Roman" w:hAnsi="Consolas" w:cs="Times New Roman"/>
      <w:sz w:val="20"/>
      <w:szCs w:val="20"/>
      <w:lang w:eastAsia="en-MY"/>
    </w:rPr>
  </w:style>
  <w:style w:type="numbering" w:customStyle="1" w:styleId="NoList7">
    <w:name w:val="No List7"/>
    <w:next w:val="NoList"/>
    <w:uiPriority w:val="99"/>
    <w:semiHidden/>
    <w:unhideWhenUsed/>
    <w:rsid w:val="004808A2"/>
  </w:style>
  <w:style w:type="table" w:customStyle="1" w:styleId="TableGrid14">
    <w:name w:val="Table Grid14"/>
    <w:basedOn w:val="TableNormal"/>
    <w:next w:val="TableGrid"/>
    <w:uiPriority w:val="39"/>
    <w:rsid w:val="004808A2"/>
    <w:pPr>
      <w:spacing w:after="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1">
    <w:name w:val="Style111"/>
    <w:uiPriority w:val="99"/>
    <w:rsid w:val="004808A2"/>
  </w:style>
  <w:style w:type="numbering" w:customStyle="1" w:styleId="Style211">
    <w:name w:val="Style211"/>
    <w:uiPriority w:val="99"/>
    <w:rsid w:val="004808A2"/>
  </w:style>
  <w:style w:type="numbering" w:customStyle="1" w:styleId="Style35">
    <w:name w:val="Style35"/>
    <w:uiPriority w:val="99"/>
    <w:rsid w:val="004808A2"/>
  </w:style>
  <w:style w:type="numbering" w:customStyle="1" w:styleId="firstheading3">
    <w:name w:val="first heading3"/>
    <w:basedOn w:val="NoList"/>
    <w:uiPriority w:val="99"/>
    <w:rsid w:val="004808A2"/>
  </w:style>
  <w:style w:type="table" w:customStyle="1" w:styleId="TableGrid26">
    <w:name w:val="Table Grid26"/>
    <w:basedOn w:val="TableNormal"/>
    <w:next w:val="TableGrid"/>
    <w:uiPriority w:val="39"/>
    <w:rsid w:val="004808A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4808A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4808A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4808A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4808A2"/>
  </w:style>
  <w:style w:type="numbering" w:customStyle="1" w:styleId="NoList21">
    <w:name w:val="No List21"/>
    <w:next w:val="NoList"/>
    <w:uiPriority w:val="99"/>
    <w:semiHidden/>
    <w:unhideWhenUsed/>
    <w:rsid w:val="004808A2"/>
  </w:style>
  <w:style w:type="numbering" w:customStyle="1" w:styleId="NoList31">
    <w:name w:val="No List31"/>
    <w:next w:val="NoList"/>
    <w:uiPriority w:val="99"/>
    <w:semiHidden/>
    <w:unhideWhenUsed/>
    <w:rsid w:val="004808A2"/>
  </w:style>
  <w:style w:type="numbering" w:customStyle="1" w:styleId="NoList41">
    <w:name w:val="No List41"/>
    <w:next w:val="NoList"/>
    <w:uiPriority w:val="99"/>
    <w:semiHidden/>
    <w:unhideWhenUsed/>
    <w:rsid w:val="004808A2"/>
  </w:style>
  <w:style w:type="paragraph" w:styleId="Index1">
    <w:name w:val="index 1"/>
    <w:basedOn w:val="Normal"/>
    <w:next w:val="Normal"/>
    <w:link w:val="Index1Char"/>
    <w:autoRedefine/>
    <w:uiPriority w:val="99"/>
    <w:unhideWhenUsed/>
    <w:rsid w:val="006F530E"/>
  </w:style>
  <w:style w:type="paragraph" w:styleId="Index2">
    <w:name w:val="index 2"/>
    <w:basedOn w:val="Normal"/>
    <w:next w:val="Normal"/>
    <w:autoRedefine/>
    <w:uiPriority w:val="99"/>
    <w:unhideWhenUsed/>
    <w:rsid w:val="006344D0"/>
    <w:pPr>
      <w:spacing w:after="0"/>
    </w:pPr>
  </w:style>
  <w:style w:type="paragraph" w:customStyle="1" w:styleId="AppendixA5">
    <w:name w:val="Appendix_A5"/>
    <w:basedOn w:val="Title"/>
    <w:link w:val="AppendixA5Char"/>
    <w:qFormat/>
    <w:rsid w:val="00446D19"/>
    <w:pPr>
      <w:numPr>
        <w:ilvl w:val="3"/>
        <w:numId w:val="99"/>
      </w:numPr>
    </w:pPr>
    <w:rPr>
      <w:rFonts w:ascii="Times New Roman" w:hAnsi="Times New Roman"/>
      <w:iCs/>
      <w:sz w:val="24"/>
    </w:rPr>
  </w:style>
  <w:style w:type="character" w:customStyle="1" w:styleId="Index1Char">
    <w:name w:val="Index 1 Char"/>
    <w:basedOn w:val="DefaultParagraphFont"/>
    <w:link w:val="Index1"/>
    <w:uiPriority w:val="99"/>
    <w:rsid w:val="00446D19"/>
    <w:rPr>
      <w:rFonts w:ascii="Times New Roman" w:hAnsi="Times New Roman" w:cs="Times New Roman"/>
      <w:color w:val="000000" w:themeColor="text1"/>
      <w:sz w:val="24"/>
      <w:szCs w:val="24"/>
    </w:rPr>
  </w:style>
  <w:style w:type="character" w:customStyle="1" w:styleId="AppendixA5Char">
    <w:name w:val="Appendix_A5 Char"/>
    <w:basedOn w:val="Index1Char"/>
    <w:link w:val="AppendixA5"/>
    <w:rsid w:val="00446D19"/>
    <w:rPr>
      <w:rFonts w:ascii="Times New Roman" w:eastAsiaTheme="majorEastAsia" w:hAnsi="Times New Roman" w:cstheme="majorBidi"/>
      <w:iCs/>
      <w:color w:val="000000" w:themeColor="text1"/>
      <w:spacing w:val="-10"/>
      <w:kern w:val="28"/>
      <w:sz w:val="24"/>
      <w:szCs w:val="56"/>
    </w:rPr>
  </w:style>
  <w:style w:type="paragraph" w:customStyle="1" w:styleId="style1">
    <w:name w:val="style 1"/>
    <w:basedOn w:val="Normal"/>
    <w:rsid w:val="00D01314"/>
    <w:pPr>
      <w:numPr>
        <w:numId w:val="100"/>
      </w:numPr>
    </w:pPr>
  </w:style>
  <w:style w:type="numbering" w:customStyle="1" w:styleId="NoList8">
    <w:name w:val="No List8"/>
    <w:next w:val="NoList"/>
    <w:uiPriority w:val="99"/>
    <w:semiHidden/>
    <w:unhideWhenUsed/>
    <w:rsid w:val="004B70FC"/>
  </w:style>
  <w:style w:type="table" w:customStyle="1" w:styleId="TableGrid15">
    <w:name w:val="Table Grid15"/>
    <w:basedOn w:val="TableNormal"/>
    <w:next w:val="TableGrid"/>
    <w:uiPriority w:val="39"/>
    <w:rsid w:val="004B70FC"/>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2">
    <w:name w:val="Style112"/>
    <w:uiPriority w:val="99"/>
    <w:rsid w:val="004B70FC"/>
  </w:style>
  <w:style w:type="numbering" w:customStyle="1" w:styleId="Style212">
    <w:name w:val="Style212"/>
    <w:uiPriority w:val="99"/>
    <w:rsid w:val="004B70FC"/>
  </w:style>
  <w:style w:type="numbering" w:customStyle="1" w:styleId="Style310">
    <w:name w:val="Style310"/>
    <w:uiPriority w:val="99"/>
    <w:rsid w:val="004B70FC"/>
  </w:style>
  <w:style w:type="numbering" w:customStyle="1" w:styleId="firstheading4">
    <w:name w:val="first heading4"/>
    <w:basedOn w:val="NoList"/>
    <w:uiPriority w:val="99"/>
    <w:rsid w:val="004B70FC"/>
  </w:style>
  <w:style w:type="table" w:customStyle="1" w:styleId="TableGrid27">
    <w:name w:val="Table Grid27"/>
    <w:basedOn w:val="TableNormal"/>
    <w:next w:val="TableGrid"/>
    <w:uiPriority w:val="39"/>
    <w:rsid w:val="004B70FC"/>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4B70FC"/>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4B70FC"/>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4B70FC"/>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4B70FC"/>
  </w:style>
  <w:style w:type="table" w:customStyle="1" w:styleId="TableGrid71">
    <w:name w:val="Table Grid7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4B70FC"/>
  </w:style>
  <w:style w:type="table" w:customStyle="1" w:styleId="TableGrid81">
    <w:name w:val="Table Grid8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4B70FC"/>
  </w:style>
  <w:style w:type="table" w:customStyle="1" w:styleId="TableGrid91">
    <w:name w:val="Table Grid91"/>
    <w:basedOn w:val="TableNormal"/>
    <w:next w:val="TableGrid"/>
    <w:uiPriority w:val="39"/>
    <w:rsid w:val="004B70F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4B70FC"/>
  </w:style>
  <w:style w:type="table" w:customStyle="1" w:styleId="51">
    <w:name w:val="51"/>
    <w:basedOn w:val="TableNormal"/>
    <w:rsid w:val="004B70FC"/>
    <w:pPr>
      <w:spacing w:after="0"/>
      <w:ind w:left="0" w:firstLine="0"/>
    </w:pPr>
    <w:rPr>
      <w:rFonts w:ascii="Times New Roman" w:eastAsia="Times New Roman" w:hAnsi="Times New Roman" w:cs="Times New Roman"/>
      <w:sz w:val="24"/>
      <w:szCs w:val="24"/>
      <w:lang w:eastAsia="en-MY"/>
    </w:rPr>
    <w:tblPr>
      <w:tblStyleRowBandSize w:val="1"/>
      <w:tblStyleColBandSize w:val="1"/>
    </w:tblPr>
  </w:style>
  <w:style w:type="character" w:customStyle="1" w:styleId="UnresolvedMention10">
    <w:name w:val="Unresolved Mention10"/>
    <w:basedOn w:val="DefaultParagraphFont"/>
    <w:uiPriority w:val="99"/>
    <w:semiHidden/>
    <w:unhideWhenUsed/>
    <w:rsid w:val="004B70FC"/>
    <w:rPr>
      <w:color w:val="605E5C"/>
      <w:shd w:val="clear" w:color="auto" w:fill="E1DFDD"/>
    </w:rPr>
  </w:style>
  <w:style w:type="table" w:customStyle="1" w:styleId="11">
    <w:name w:val="11"/>
    <w:basedOn w:val="TableNormal"/>
    <w:rsid w:val="004B70FC"/>
    <w:pPr>
      <w:spacing w:after="0"/>
      <w:ind w:left="0" w:firstLine="0"/>
    </w:pPr>
    <w:rPr>
      <w:rFonts w:ascii="Times New Roman" w:eastAsia="Times New Roman" w:hAnsi="Times New Roman" w:cs="Times New Roman"/>
      <w:sz w:val="24"/>
      <w:szCs w:val="24"/>
      <w:lang w:eastAsia="en-MY"/>
    </w:rPr>
    <w:tblPr>
      <w:tblStyleRowBandSize w:val="1"/>
      <w:tblStyleColBandSize w:val="1"/>
    </w:tblPr>
  </w:style>
  <w:style w:type="table" w:customStyle="1" w:styleId="TableGrid101">
    <w:name w:val="Table Grid101"/>
    <w:basedOn w:val="TableNormal"/>
    <w:next w:val="TableGrid"/>
    <w:uiPriority w:val="39"/>
    <w:rsid w:val="004B70FC"/>
    <w:pPr>
      <w:spacing w:after="0"/>
      <w:ind w:left="0" w:firstLine="0"/>
      <w:jc w:val="left"/>
    </w:pPr>
    <w:rPr>
      <w:rFonts w:ascii="Calibri" w:eastAsia="Calibri" w:hAnsi="Calibri" w:cs="Times New Roman"/>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45A16"/>
    <w:rPr>
      <w:color w:val="605E5C"/>
      <w:shd w:val="clear" w:color="auto" w:fill="E1DFDD"/>
    </w:rPr>
  </w:style>
  <w:style w:type="numbering" w:customStyle="1" w:styleId="NoList9">
    <w:name w:val="No List9"/>
    <w:next w:val="NoList"/>
    <w:uiPriority w:val="99"/>
    <w:semiHidden/>
    <w:unhideWhenUsed/>
    <w:rsid w:val="00C80D14"/>
  </w:style>
  <w:style w:type="table" w:customStyle="1" w:styleId="TableGrid17">
    <w:name w:val="Table Grid17"/>
    <w:basedOn w:val="TableNormal"/>
    <w:next w:val="TableGrid"/>
    <w:uiPriority w:val="39"/>
    <w:rsid w:val="00C80D14"/>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uiPriority w:val="99"/>
    <w:rsid w:val="00C80D14"/>
    <w:pPr>
      <w:numPr>
        <w:numId w:val="1"/>
      </w:numPr>
    </w:pPr>
  </w:style>
  <w:style w:type="numbering" w:customStyle="1" w:styleId="Style213">
    <w:name w:val="Style213"/>
    <w:uiPriority w:val="99"/>
    <w:rsid w:val="00C80D14"/>
    <w:pPr>
      <w:numPr>
        <w:numId w:val="2"/>
      </w:numPr>
    </w:pPr>
  </w:style>
  <w:style w:type="numbering" w:customStyle="1" w:styleId="Style311">
    <w:name w:val="Style311"/>
    <w:uiPriority w:val="99"/>
    <w:rsid w:val="00C80D14"/>
    <w:pPr>
      <w:numPr>
        <w:numId w:val="3"/>
      </w:numPr>
    </w:pPr>
  </w:style>
  <w:style w:type="numbering" w:customStyle="1" w:styleId="firstheading5">
    <w:name w:val="first heading5"/>
    <w:basedOn w:val="NoList"/>
    <w:uiPriority w:val="99"/>
    <w:rsid w:val="00C80D14"/>
    <w:pPr>
      <w:numPr>
        <w:numId w:val="96"/>
      </w:numPr>
    </w:pPr>
  </w:style>
  <w:style w:type="table" w:customStyle="1" w:styleId="TableGrid28">
    <w:name w:val="Table Grid28"/>
    <w:basedOn w:val="TableNormal"/>
    <w:next w:val="TableGrid"/>
    <w:uiPriority w:val="39"/>
    <w:rsid w:val="00C80D14"/>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C80D14"/>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39"/>
    <w:rsid w:val="00C80D14"/>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next w:val="TableGrid"/>
    <w:uiPriority w:val="39"/>
    <w:rsid w:val="00C80D14"/>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C80D14"/>
  </w:style>
  <w:style w:type="table" w:customStyle="1" w:styleId="TableGrid72">
    <w:name w:val="Table Grid7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C80D14"/>
  </w:style>
  <w:style w:type="table" w:customStyle="1" w:styleId="TableGrid82">
    <w:name w:val="Table Grid8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C80D14"/>
  </w:style>
  <w:style w:type="table" w:customStyle="1" w:styleId="TableGrid92">
    <w:name w:val="Table Grid92"/>
    <w:basedOn w:val="TableNormal"/>
    <w:next w:val="TableGrid"/>
    <w:uiPriority w:val="39"/>
    <w:rsid w:val="00C80D14"/>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C80D14"/>
  </w:style>
  <w:style w:type="table" w:customStyle="1" w:styleId="52">
    <w:name w:val="52"/>
    <w:basedOn w:val="TableNormal"/>
    <w:rsid w:val="00C80D14"/>
    <w:pPr>
      <w:spacing w:after="0"/>
      <w:ind w:left="0" w:firstLine="0"/>
    </w:pPr>
    <w:rPr>
      <w:rFonts w:ascii="Times New Roman" w:eastAsia="Times New Roman" w:hAnsi="Times New Roman" w:cs="Times New Roman"/>
      <w:sz w:val="24"/>
      <w:szCs w:val="24"/>
      <w:lang w:eastAsia="en-MY"/>
    </w:rPr>
    <w:tblPr>
      <w:tblStyleRowBandSize w:val="1"/>
      <w:tblStyleColBandSize w:val="1"/>
    </w:tblPr>
  </w:style>
  <w:style w:type="table" w:customStyle="1" w:styleId="12">
    <w:name w:val="12"/>
    <w:basedOn w:val="TableNormal"/>
    <w:rsid w:val="00C80D14"/>
    <w:pPr>
      <w:spacing w:after="0"/>
      <w:ind w:left="0" w:firstLine="0"/>
    </w:pPr>
    <w:rPr>
      <w:rFonts w:ascii="Times New Roman" w:eastAsia="Times New Roman" w:hAnsi="Times New Roman" w:cs="Times New Roman"/>
      <w:sz w:val="24"/>
      <w:szCs w:val="24"/>
      <w:lang w:eastAsia="en-MY"/>
    </w:rPr>
    <w:tblPr>
      <w:tblStyleRowBandSize w:val="1"/>
      <w:tblStyleColBandSize w:val="1"/>
    </w:tblPr>
  </w:style>
  <w:style w:type="table" w:customStyle="1" w:styleId="TableGrid102">
    <w:name w:val="Table Grid102"/>
    <w:basedOn w:val="TableNormal"/>
    <w:next w:val="TableGrid"/>
    <w:uiPriority w:val="39"/>
    <w:rsid w:val="00C80D14"/>
    <w:pPr>
      <w:spacing w:after="0"/>
      <w:ind w:left="0" w:firstLine="0"/>
      <w:jc w:val="left"/>
    </w:pPr>
    <w:rPr>
      <w:rFonts w:ascii="Calibri" w:eastAsia="Calibri" w:hAnsi="Calibri" w:cs="Times New Roman"/>
      <w:lang w:val="en-MY"/>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03580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03580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03580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529F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B0C5F"/>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056407"/>
    <w:pPr>
      <w:pBdr>
        <w:top w:val="nil"/>
        <w:left w:val="nil"/>
        <w:bottom w:val="nil"/>
        <w:right w:val="nil"/>
        <w:between w:val="nil"/>
        <w:bar w:val="nil"/>
      </w:pBdr>
      <w:spacing w:before="240" w:line="480" w:lineRule="auto"/>
      <w:ind w:left="0" w:firstLine="0"/>
    </w:pPr>
    <w:rPr>
      <w:rFonts w:ascii="Times New Roman" w:eastAsia="Times New Roman" w:hAnsi="Times New Roman" w:cs="Times New Roman"/>
      <w:color w:val="000000"/>
      <w:sz w:val="24"/>
      <w:szCs w:val="24"/>
      <w:u w:color="000000"/>
      <w:bdr w:val="nil"/>
      <w:lang w:val="en-MY" w:eastAsia="en-MY"/>
    </w:rPr>
  </w:style>
  <w:style w:type="numbering" w:customStyle="1" w:styleId="ImportedStyle19">
    <w:name w:val="Imported Style 19"/>
    <w:rsid w:val="002D48BF"/>
    <w:pPr>
      <w:numPr>
        <w:numId w:val="116"/>
      </w:numPr>
    </w:pPr>
  </w:style>
  <w:style w:type="table" w:customStyle="1" w:styleId="TableGrid93">
    <w:name w:val="Table Grid93"/>
    <w:basedOn w:val="TableNormal"/>
    <w:next w:val="TableGrid"/>
    <w:uiPriority w:val="39"/>
    <w:rsid w:val="00E96C9C"/>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5B4A9F"/>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5B4A9F"/>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5B4A9F"/>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AE4FE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AE4FE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AE4FEE"/>
  </w:style>
  <w:style w:type="table" w:customStyle="1" w:styleId="TableGrid36">
    <w:name w:val="Table Grid36"/>
    <w:basedOn w:val="TableNormal"/>
    <w:next w:val="TableGrid"/>
    <w:uiPriority w:val="39"/>
    <w:rsid w:val="00AE4FE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uiPriority w:val="99"/>
    <w:rsid w:val="00AE4FEE"/>
  </w:style>
  <w:style w:type="numbering" w:customStyle="1" w:styleId="Style214">
    <w:name w:val="Style214"/>
    <w:uiPriority w:val="99"/>
    <w:rsid w:val="00AE4FEE"/>
  </w:style>
  <w:style w:type="numbering" w:customStyle="1" w:styleId="Style312">
    <w:name w:val="Style312"/>
    <w:uiPriority w:val="99"/>
    <w:rsid w:val="00AE4FEE"/>
  </w:style>
  <w:style w:type="numbering" w:customStyle="1" w:styleId="firstheading6">
    <w:name w:val="first heading6"/>
    <w:basedOn w:val="NoList"/>
    <w:uiPriority w:val="99"/>
    <w:rsid w:val="00AE4FEE"/>
  </w:style>
  <w:style w:type="table" w:customStyle="1" w:styleId="TableGrid210">
    <w:name w:val="Table Grid210"/>
    <w:basedOn w:val="TableNormal"/>
    <w:next w:val="TableGrid"/>
    <w:uiPriority w:val="39"/>
    <w:rsid w:val="00AE4FEE"/>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AE4FEE"/>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39"/>
    <w:rsid w:val="00AE4FEE"/>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AE4FEE"/>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AE4FEE"/>
  </w:style>
  <w:style w:type="table" w:customStyle="1" w:styleId="TableGrid76">
    <w:name w:val="Table Grid76"/>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AE4FEE"/>
  </w:style>
  <w:style w:type="table" w:customStyle="1" w:styleId="TableGrid83">
    <w:name w:val="Table Grid83"/>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AE4FEE"/>
  </w:style>
  <w:style w:type="table" w:customStyle="1" w:styleId="TableGrid94">
    <w:name w:val="Table Grid94"/>
    <w:basedOn w:val="TableNormal"/>
    <w:next w:val="TableGrid"/>
    <w:uiPriority w:val="39"/>
    <w:rsid w:val="00AE4FEE"/>
    <w:pPr>
      <w:spacing w:after="0"/>
      <w:ind w:left="0" w:firstLine="0"/>
      <w:jc w:val="left"/>
    </w:pPr>
    <w:rPr>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AE4FEE"/>
  </w:style>
  <w:style w:type="table" w:customStyle="1" w:styleId="53">
    <w:name w:val="53"/>
    <w:basedOn w:val="TableNormal"/>
    <w:rsid w:val="00AE4FEE"/>
    <w:pPr>
      <w:spacing w:after="0"/>
      <w:ind w:left="0" w:firstLine="0"/>
    </w:pPr>
    <w:rPr>
      <w:rFonts w:ascii="Times New Roman" w:eastAsia="Times New Roman" w:hAnsi="Times New Roman" w:cs="Times New Roman"/>
      <w:sz w:val="24"/>
      <w:szCs w:val="24"/>
      <w:lang w:eastAsia="en-MY"/>
    </w:rPr>
    <w:tblPr>
      <w:tblStyleRowBandSize w:val="1"/>
      <w:tblStyleColBandSize w:val="1"/>
    </w:tblPr>
  </w:style>
  <w:style w:type="table" w:customStyle="1" w:styleId="13">
    <w:name w:val="13"/>
    <w:basedOn w:val="TableNormal"/>
    <w:rsid w:val="00AE4FEE"/>
    <w:pPr>
      <w:spacing w:after="0"/>
      <w:ind w:left="0" w:firstLine="0"/>
    </w:pPr>
    <w:rPr>
      <w:rFonts w:ascii="Times New Roman" w:eastAsia="Times New Roman" w:hAnsi="Times New Roman" w:cs="Times New Roman"/>
      <w:sz w:val="24"/>
      <w:szCs w:val="24"/>
      <w:lang w:eastAsia="en-MY"/>
    </w:rPr>
    <w:tblPr>
      <w:tblStyleRowBandSize w:val="1"/>
      <w:tblStyleColBandSize w:val="1"/>
    </w:tblPr>
  </w:style>
  <w:style w:type="table" w:customStyle="1" w:styleId="TableGrid103">
    <w:name w:val="Table Grid103"/>
    <w:basedOn w:val="TableNormal"/>
    <w:next w:val="TableGrid"/>
    <w:uiPriority w:val="39"/>
    <w:rsid w:val="00AE4FEE"/>
    <w:pPr>
      <w:spacing w:after="0"/>
      <w:ind w:left="0" w:firstLine="0"/>
      <w:jc w:val="left"/>
    </w:pPr>
    <w:rPr>
      <w:rFonts w:ascii="Calibri" w:eastAsia="Calibri" w:hAnsi="Calibri" w:cs="Times New Roman"/>
      <w:lang w:val="en-MY"/>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AE4FE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AE4FEE"/>
    <w:pPr>
      <w:spacing w:after="0"/>
      <w:ind w:left="0" w:firstLine="0"/>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unhideWhenUsed/>
    <w:rsid w:val="005214CD"/>
  </w:style>
  <w:style w:type="table" w:styleId="ListTable3">
    <w:name w:val="List Table 3"/>
    <w:basedOn w:val="TableNormal"/>
    <w:uiPriority w:val="48"/>
    <w:rsid w:val="0090724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2-Accent6">
    <w:name w:val="List Table 2 Accent 6"/>
    <w:basedOn w:val="TableNormal"/>
    <w:uiPriority w:val="47"/>
    <w:rsid w:val="0090724E"/>
    <w:pPr>
      <w:spacing w:after="0"/>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90724E"/>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Style40">
    <w:name w:val="Style40"/>
    <w:uiPriority w:val="99"/>
    <w:rsid w:val="00B27213"/>
    <w:pPr>
      <w:numPr>
        <w:numId w:val="126"/>
      </w:numPr>
    </w:pPr>
  </w:style>
  <w:style w:type="table" w:styleId="ListTable7Colorful">
    <w:name w:val="List Table 7 Colorful"/>
    <w:basedOn w:val="TableNormal"/>
    <w:uiPriority w:val="52"/>
    <w:rsid w:val="00921333"/>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820432"/>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820432"/>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superscript">
    <w:name w:val="superscript"/>
    <w:basedOn w:val="DefaultParagraphFont"/>
    <w:rsid w:val="00AE47A5"/>
  </w:style>
  <w:style w:type="character" w:customStyle="1" w:styleId="strong-blue">
    <w:name w:val="strong-blue"/>
    <w:basedOn w:val="DefaultParagraphFont"/>
    <w:rsid w:val="008F2600"/>
  </w:style>
  <w:style w:type="character" w:customStyle="1" w:styleId="Subtitle10">
    <w:name w:val="Subtitle1"/>
    <w:basedOn w:val="DefaultParagraphFont"/>
    <w:rsid w:val="00B46D08"/>
  </w:style>
  <w:style w:type="character" w:customStyle="1" w:styleId="colon-for-citation-subtitle">
    <w:name w:val="colon-for-citation-subtitle"/>
    <w:basedOn w:val="DefaultParagraphFont"/>
    <w:rsid w:val="00B46D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2443">
      <w:bodyDiv w:val="1"/>
      <w:marLeft w:val="0"/>
      <w:marRight w:val="0"/>
      <w:marTop w:val="0"/>
      <w:marBottom w:val="0"/>
      <w:divBdr>
        <w:top w:val="none" w:sz="0" w:space="0" w:color="auto"/>
        <w:left w:val="none" w:sz="0" w:space="0" w:color="auto"/>
        <w:bottom w:val="none" w:sz="0" w:space="0" w:color="auto"/>
        <w:right w:val="none" w:sz="0" w:space="0" w:color="auto"/>
      </w:divBdr>
    </w:div>
    <w:div w:id="16657727">
      <w:bodyDiv w:val="1"/>
      <w:marLeft w:val="0"/>
      <w:marRight w:val="0"/>
      <w:marTop w:val="0"/>
      <w:marBottom w:val="0"/>
      <w:divBdr>
        <w:top w:val="none" w:sz="0" w:space="0" w:color="auto"/>
        <w:left w:val="none" w:sz="0" w:space="0" w:color="auto"/>
        <w:bottom w:val="none" w:sz="0" w:space="0" w:color="auto"/>
        <w:right w:val="none" w:sz="0" w:space="0" w:color="auto"/>
      </w:divBdr>
    </w:div>
    <w:div w:id="37517470">
      <w:bodyDiv w:val="1"/>
      <w:marLeft w:val="0"/>
      <w:marRight w:val="0"/>
      <w:marTop w:val="0"/>
      <w:marBottom w:val="0"/>
      <w:divBdr>
        <w:top w:val="none" w:sz="0" w:space="0" w:color="auto"/>
        <w:left w:val="none" w:sz="0" w:space="0" w:color="auto"/>
        <w:bottom w:val="none" w:sz="0" w:space="0" w:color="auto"/>
        <w:right w:val="none" w:sz="0" w:space="0" w:color="auto"/>
      </w:divBdr>
    </w:div>
    <w:div w:id="91245997">
      <w:bodyDiv w:val="1"/>
      <w:marLeft w:val="0"/>
      <w:marRight w:val="0"/>
      <w:marTop w:val="0"/>
      <w:marBottom w:val="0"/>
      <w:divBdr>
        <w:top w:val="none" w:sz="0" w:space="0" w:color="auto"/>
        <w:left w:val="none" w:sz="0" w:space="0" w:color="auto"/>
        <w:bottom w:val="none" w:sz="0" w:space="0" w:color="auto"/>
        <w:right w:val="none" w:sz="0" w:space="0" w:color="auto"/>
      </w:divBdr>
    </w:div>
    <w:div w:id="117530969">
      <w:bodyDiv w:val="1"/>
      <w:marLeft w:val="0"/>
      <w:marRight w:val="0"/>
      <w:marTop w:val="0"/>
      <w:marBottom w:val="0"/>
      <w:divBdr>
        <w:top w:val="none" w:sz="0" w:space="0" w:color="auto"/>
        <w:left w:val="none" w:sz="0" w:space="0" w:color="auto"/>
        <w:bottom w:val="none" w:sz="0" w:space="0" w:color="auto"/>
        <w:right w:val="none" w:sz="0" w:space="0" w:color="auto"/>
      </w:divBdr>
    </w:div>
    <w:div w:id="120806152">
      <w:bodyDiv w:val="1"/>
      <w:marLeft w:val="0"/>
      <w:marRight w:val="0"/>
      <w:marTop w:val="0"/>
      <w:marBottom w:val="0"/>
      <w:divBdr>
        <w:top w:val="none" w:sz="0" w:space="0" w:color="auto"/>
        <w:left w:val="none" w:sz="0" w:space="0" w:color="auto"/>
        <w:bottom w:val="none" w:sz="0" w:space="0" w:color="auto"/>
        <w:right w:val="none" w:sz="0" w:space="0" w:color="auto"/>
      </w:divBdr>
    </w:div>
    <w:div w:id="134570473">
      <w:bodyDiv w:val="1"/>
      <w:marLeft w:val="0"/>
      <w:marRight w:val="0"/>
      <w:marTop w:val="0"/>
      <w:marBottom w:val="0"/>
      <w:divBdr>
        <w:top w:val="none" w:sz="0" w:space="0" w:color="auto"/>
        <w:left w:val="none" w:sz="0" w:space="0" w:color="auto"/>
        <w:bottom w:val="none" w:sz="0" w:space="0" w:color="auto"/>
        <w:right w:val="none" w:sz="0" w:space="0" w:color="auto"/>
      </w:divBdr>
    </w:div>
    <w:div w:id="144590472">
      <w:bodyDiv w:val="1"/>
      <w:marLeft w:val="0"/>
      <w:marRight w:val="0"/>
      <w:marTop w:val="0"/>
      <w:marBottom w:val="0"/>
      <w:divBdr>
        <w:top w:val="none" w:sz="0" w:space="0" w:color="auto"/>
        <w:left w:val="none" w:sz="0" w:space="0" w:color="auto"/>
        <w:bottom w:val="none" w:sz="0" w:space="0" w:color="auto"/>
        <w:right w:val="none" w:sz="0" w:space="0" w:color="auto"/>
      </w:divBdr>
    </w:div>
    <w:div w:id="191848488">
      <w:bodyDiv w:val="1"/>
      <w:marLeft w:val="0"/>
      <w:marRight w:val="0"/>
      <w:marTop w:val="0"/>
      <w:marBottom w:val="0"/>
      <w:divBdr>
        <w:top w:val="none" w:sz="0" w:space="0" w:color="auto"/>
        <w:left w:val="none" w:sz="0" w:space="0" w:color="auto"/>
        <w:bottom w:val="none" w:sz="0" w:space="0" w:color="auto"/>
        <w:right w:val="none" w:sz="0" w:space="0" w:color="auto"/>
      </w:divBdr>
      <w:divsChild>
        <w:div w:id="57482873">
          <w:marLeft w:val="0"/>
          <w:marRight w:val="0"/>
          <w:marTop w:val="0"/>
          <w:marBottom w:val="0"/>
          <w:divBdr>
            <w:top w:val="none" w:sz="0" w:space="0" w:color="auto"/>
            <w:left w:val="none" w:sz="0" w:space="0" w:color="auto"/>
            <w:bottom w:val="none" w:sz="0" w:space="0" w:color="auto"/>
            <w:right w:val="none" w:sz="0" w:space="0" w:color="auto"/>
          </w:divBdr>
        </w:div>
      </w:divsChild>
    </w:div>
    <w:div w:id="210456659">
      <w:bodyDiv w:val="1"/>
      <w:marLeft w:val="0"/>
      <w:marRight w:val="0"/>
      <w:marTop w:val="0"/>
      <w:marBottom w:val="0"/>
      <w:divBdr>
        <w:top w:val="none" w:sz="0" w:space="0" w:color="auto"/>
        <w:left w:val="none" w:sz="0" w:space="0" w:color="auto"/>
        <w:bottom w:val="none" w:sz="0" w:space="0" w:color="auto"/>
        <w:right w:val="none" w:sz="0" w:space="0" w:color="auto"/>
      </w:divBdr>
    </w:div>
    <w:div w:id="258416183">
      <w:bodyDiv w:val="1"/>
      <w:marLeft w:val="0"/>
      <w:marRight w:val="0"/>
      <w:marTop w:val="0"/>
      <w:marBottom w:val="0"/>
      <w:divBdr>
        <w:top w:val="none" w:sz="0" w:space="0" w:color="auto"/>
        <w:left w:val="none" w:sz="0" w:space="0" w:color="auto"/>
        <w:bottom w:val="none" w:sz="0" w:space="0" w:color="auto"/>
        <w:right w:val="none" w:sz="0" w:space="0" w:color="auto"/>
      </w:divBdr>
    </w:div>
    <w:div w:id="265114414">
      <w:bodyDiv w:val="1"/>
      <w:marLeft w:val="0"/>
      <w:marRight w:val="0"/>
      <w:marTop w:val="0"/>
      <w:marBottom w:val="0"/>
      <w:divBdr>
        <w:top w:val="none" w:sz="0" w:space="0" w:color="auto"/>
        <w:left w:val="none" w:sz="0" w:space="0" w:color="auto"/>
        <w:bottom w:val="none" w:sz="0" w:space="0" w:color="auto"/>
        <w:right w:val="none" w:sz="0" w:space="0" w:color="auto"/>
      </w:divBdr>
    </w:div>
    <w:div w:id="309603980">
      <w:bodyDiv w:val="1"/>
      <w:marLeft w:val="0"/>
      <w:marRight w:val="0"/>
      <w:marTop w:val="0"/>
      <w:marBottom w:val="0"/>
      <w:divBdr>
        <w:top w:val="none" w:sz="0" w:space="0" w:color="auto"/>
        <w:left w:val="none" w:sz="0" w:space="0" w:color="auto"/>
        <w:bottom w:val="none" w:sz="0" w:space="0" w:color="auto"/>
        <w:right w:val="none" w:sz="0" w:space="0" w:color="auto"/>
      </w:divBdr>
    </w:div>
    <w:div w:id="322661537">
      <w:bodyDiv w:val="1"/>
      <w:marLeft w:val="0"/>
      <w:marRight w:val="0"/>
      <w:marTop w:val="0"/>
      <w:marBottom w:val="0"/>
      <w:divBdr>
        <w:top w:val="none" w:sz="0" w:space="0" w:color="auto"/>
        <w:left w:val="none" w:sz="0" w:space="0" w:color="auto"/>
        <w:bottom w:val="none" w:sz="0" w:space="0" w:color="auto"/>
        <w:right w:val="none" w:sz="0" w:space="0" w:color="auto"/>
      </w:divBdr>
    </w:div>
    <w:div w:id="335351765">
      <w:bodyDiv w:val="1"/>
      <w:marLeft w:val="0"/>
      <w:marRight w:val="0"/>
      <w:marTop w:val="0"/>
      <w:marBottom w:val="0"/>
      <w:divBdr>
        <w:top w:val="none" w:sz="0" w:space="0" w:color="auto"/>
        <w:left w:val="none" w:sz="0" w:space="0" w:color="auto"/>
        <w:bottom w:val="none" w:sz="0" w:space="0" w:color="auto"/>
        <w:right w:val="none" w:sz="0" w:space="0" w:color="auto"/>
      </w:divBdr>
    </w:div>
    <w:div w:id="336925926">
      <w:bodyDiv w:val="1"/>
      <w:marLeft w:val="0"/>
      <w:marRight w:val="0"/>
      <w:marTop w:val="0"/>
      <w:marBottom w:val="0"/>
      <w:divBdr>
        <w:top w:val="none" w:sz="0" w:space="0" w:color="auto"/>
        <w:left w:val="none" w:sz="0" w:space="0" w:color="auto"/>
        <w:bottom w:val="none" w:sz="0" w:space="0" w:color="auto"/>
        <w:right w:val="none" w:sz="0" w:space="0" w:color="auto"/>
      </w:divBdr>
    </w:div>
    <w:div w:id="342981244">
      <w:bodyDiv w:val="1"/>
      <w:marLeft w:val="0"/>
      <w:marRight w:val="0"/>
      <w:marTop w:val="0"/>
      <w:marBottom w:val="0"/>
      <w:divBdr>
        <w:top w:val="none" w:sz="0" w:space="0" w:color="auto"/>
        <w:left w:val="none" w:sz="0" w:space="0" w:color="auto"/>
        <w:bottom w:val="none" w:sz="0" w:space="0" w:color="auto"/>
        <w:right w:val="none" w:sz="0" w:space="0" w:color="auto"/>
      </w:divBdr>
    </w:div>
    <w:div w:id="354700727">
      <w:bodyDiv w:val="1"/>
      <w:marLeft w:val="0"/>
      <w:marRight w:val="0"/>
      <w:marTop w:val="0"/>
      <w:marBottom w:val="0"/>
      <w:divBdr>
        <w:top w:val="none" w:sz="0" w:space="0" w:color="auto"/>
        <w:left w:val="none" w:sz="0" w:space="0" w:color="auto"/>
        <w:bottom w:val="none" w:sz="0" w:space="0" w:color="auto"/>
        <w:right w:val="none" w:sz="0" w:space="0" w:color="auto"/>
      </w:divBdr>
    </w:div>
    <w:div w:id="381757173">
      <w:bodyDiv w:val="1"/>
      <w:marLeft w:val="0"/>
      <w:marRight w:val="0"/>
      <w:marTop w:val="0"/>
      <w:marBottom w:val="0"/>
      <w:divBdr>
        <w:top w:val="none" w:sz="0" w:space="0" w:color="auto"/>
        <w:left w:val="none" w:sz="0" w:space="0" w:color="auto"/>
        <w:bottom w:val="none" w:sz="0" w:space="0" w:color="auto"/>
        <w:right w:val="none" w:sz="0" w:space="0" w:color="auto"/>
      </w:divBdr>
    </w:div>
    <w:div w:id="386495719">
      <w:bodyDiv w:val="1"/>
      <w:marLeft w:val="0"/>
      <w:marRight w:val="0"/>
      <w:marTop w:val="0"/>
      <w:marBottom w:val="0"/>
      <w:divBdr>
        <w:top w:val="none" w:sz="0" w:space="0" w:color="auto"/>
        <w:left w:val="none" w:sz="0" w:space="0" w:color="auto"/>
        <w:bottom w:val="none" w:sz="0" w:space="0" w:color="auto"/>
        <w:right w:val="none" w:sz="0" w:space="0" w:color="auto"/>
      </w:divBdr>
      <w:divsChild>
        <w:div w:id="564608205">
          <w:marLeft w:val="0"/>
          <w:marRight w:val="0"/>
          <w:marTop w:val="0"/>
          <w:marBottom w:val="0"/>
          <w:divBdr>
            <w:top w:val="none" w:sz="0" w:space="0" w:color="auto"/>
            <w:left w:val="none" w:sz="0" w:space="0" w:color="auto"/>
            <w:bottom w:val="none" w:sz="0" w:space="0" w:color="auto"/>
            <w:right w:val="none" w:sz="0" w:space="0" w:color="auto"/>
          </w:divBdr>
        </w:div>
        <w:div w:id="2015103961">
          <w:marLeft w:val="0"/>
          <w:marRight w:val="0"/>
          <w:marTop w:val="0"/>
          <w:marBottom w:val="0"/>
          <w:divBdr>
            <w:top w:val="none" w:sz="0" w:space="0" w:color="auto"/>
            <w:left w:val="none" w:sz="0" w:space="0" w:color="auto"/>
            <w:bottom w:val="none" w:sz="0" w:space="0" w:color="auto"/>
            <w:right w:val="none" w:sz="0" w:space="0" w:color="auto"/>
          </w:divBdr>
        </w:div>
      </w:divsChild>
    </w:div>
    <w:div w:id="391779312">
      <w:bodyDiv w:val="1"/>
      <w:marLeft w:val="0"/>
      <w:marRight w:val="0"/>
      <w:marTop w:val="0"/>
      <w:marBottom w:val="0"/>
      <w:divBdr>
        <w:top w:val="none" w:sz="0" w:space="0" w:color="auto"/>
        <w:left w:val="none" w:sz="0" w:space="0" w:color="auto"/>
        <w:bottom w:val="none" w:sz="0" w:space="0" w:color="auto"/>
        <w:right w:val="none" w:sz="0" w:space="0" w:color="auto"/>
      </w:divBdr>
    </w:div>
    <w:div w:id="401487675">
      <w:bodyDiv w:val="1"/>
      <w:marLeft w:val="0"/>
      <w:marRight w:val="0"/>
      <w:marTop w:val="0"/>
      <w:marBottom w:val="0"/>
      <w:divBdr>
        <w:top w:val="none" w:sz="0" w:space="0" w:color="auto"/>
        <w:left w:val="none" w:sz="0" w:space="0" w:color="auto"/>
        <w:bottom w:val="none" w:sz="0" w:space="0" w:color="auto"/>
        <w:right w:val="none" w:sz="0" w:space="0" w:color="auto"/>
      </w:divBdr>
    </w:div>
    <w:div w:id="405957592">
      <w:bodyDiv w:val="1"/>
      <w:marLeft w:val="0"/>
      <w:marRight w:val="0"/>
      <w:marTop w:val="0"/>
      <w:marBottom w:val="0"/>
      <w:divBdr>
        <w:top w:val="none" w:sz="0" w:space="0" w:color="auto"/>
        <w:left w:val="none" w:sz="0" w:space="0" w:color="auto"/>
        <w:bottom w:val="none" w:sz="0" w:space="0" w:color="auto"/>
        <w:right w:val="none" w:sz="0" w:space="0" w:color="auto"/>
      </w:divBdr>
    </w:div>
    <w:div w:id="438111791">
      <w:bodyDiv w:val="1"/>
      <w:marLeft w:val="0"/>
      <w:marRight w:val="0"/>
      <w:marTop w:val="0"/>
      <w:marBottom w:val="0"/>
      <w:divBdr>
        <w:top w:val="none" w:sz="0" w:space="0" w:color="auto"/>
        <w:left w:val="none" w:sz="0" w:space="0" w:color="auto"/>
        <w:bottom w:val="none" w:sz="0" w:space="0" w:color="auto"/>
        <w:right w:val="none" w:sz="0" w:space="0" w:color="auto"/>
      </w:divBdr>
    </w:div>
    <w:div w:id="475529860">
      <w:bodyDiv w:val="1"/>
      <w:marLeft w:val="0"/>
      <w:marRight w:val="0"/>
      <w:marTop w:val="0"/>
      <w:marBottom w:val="0"/>
      <w:divBdr>
        <w:top w:val="none" w:sz="0" w:space="0" w:color="auto"/>
        <w:left w:val="none" w:sz="0" w:space="0" w:color="auto"/>
        <w:bottom w:val="none" w:sz="0" w:space="0" w:color="auto"/>
        <w:right w:val="none" w:sz="0" w:space="0" w:color="auto"/>
      </w:divBdr>
    </w:div>
    <w:div w:id="564533216">
      <w:bodyDiv w:val="1"/>
      <w:marLeft w:val="0"/>
      <w:marRight w:val="0"/>
      <w:marTop w:val="0"/>
      <w:marBottom w:val="0"/>
      <w:divBdr>
        <w:top w:val="none" w:sz="0" w:space="0" w:color="auto"/>
        <w:left w:val="none" w:sz="0" w:space="0" w:color="auto"/>
        <w:bottom w:val="none" w:sz="0" w:space="0" w:color="auto"/>
        <w:right w:val="none" w:sz="0" w:space="0" w:color="auto"/>
      </w:divBdr>
    </w:div>
    <w:div w:id="603390009">
      <w:bodyDiv w:val="1"/>
      <w:marLeft w:val="0"/>
      <w:marRight w:val="0"/>
      <w:marTop w:val="0"/>
      <w:marBottom w:val="0"/>
      <w:divBdr>
        <w:top w:val="none" w:sz="0" w:space="0" w:color="auto"/>
        <w:left w:val="none" w:sz="0" w:space="0" w:color="auto"/>
        <w:bottom w:val="none" w:sz="0" w:space="0" w:color="auto"/>
        <w:right w:val="none" w:sz="0" w:space="0" w:color="auto"/>
      </w:divBdr>
    </w:div>
    <w:div w:id="610943625">
      <w:bodyDiv w:val="1"/>
      <w:marLeft w:val="0"/>
      <w:marRight w:val="0"/>
      <w:marTop w:val="0"/>
      <w:marBottom w:val="0"/>
      <w:divBdr>
        <w:top w:val="none" w:sz="0" w:space="0" w:color="auto"/>
        <w:left w:val="none" w:sz="0" w:space="0" w:color="auto"/>
        <w:bottom w:val="none" w:sz="0" w:space="0" w:color="auto"/>
        <w:right w:val="none" w:sz="0" w:space="0" w:color="auto"/>
      </w:divBdr>
    </w:div>
    <w:div w:id="617834373">
      <w:bodyDiv w:val="1"/>
      <w:marLeft w:val="0"/>
      <w:marRight w:val="0"/>
      <w:marTop w:val="0"/>
      <w:marBottom w:val="0"/>
      <w:divBdr>
        <w:top w:val="none" w:sz="0" w:space="0" w:color="auto"/>
        <w:left w:val="none" w:sz="0" w:space="0" w:color="auto"/>
        <w:bottom w:val="none" w:sz="0" w:space="0" w:color="auto"/>
        <w:right w:val="none" w:sz="0" w:space="0" w:color="auto"/>
      </w:divBdr>
    </w:div>
    <w:div w:id="656611536">
      <w:bodyDiv w:val="1"/>
      <w:marLeft w:val="0"/>
      <w:marRight w:val="0"/>
      <w:marTop w:val="0"/>
      <w:marBottom w:val="0"/>
      <w:divBdr>
        <w:top w:val="none" w:sz="0" w:space="0" w:color="auto"/>
        <w:left w:val="none" w:sz="0" w:space="0" w:color="auto"/>
        <w:bottom w:val="none" w:sz="0" w:space="0" w:color="auto"/>
        <w:right w:val="none" w:sz="0" w:space="0" w:color="auto"/>
      </w:divBdr>
    </w:div>
    <w:div w:id="676230352">
      <w:bodyDiv w:val="1"/>
      <w:marLeft w:val="0"/>
      <w:marRight w:val="0"/>
      <w:marTop w:val="0"/>
      <w:marBottom w:val="0"/>
      <w:divBdr>
        <w:top w:val="none" w:sz="0" w:space="0" w:color="auto"/>
        <w:left w:val="none" w:sz="0" w:space="0" w:color="auto"/>
        <w:bottom w:val="none" w:sz="0" w:space="0" w:color="auto"/>
        <w:right w:val="none" w:sz="0" w:space="0" w:color="auto"/>
      </w:divBdr>
    </w:div>
    <w:div w:id="702633485">
      <w:bodyDiv w:val="1"/>
      <w:marLeft w:val="0"/>
      <w:marRight w:val="0"/>
      <w:marTop w:val="0"/>
      <w:marBottom w:val="0"/>
      <w:divBdr>
        <w:top w:val="none" w:sz="0" w:space="0" w:color="auto"/>
        <w:left w:val="none" w:sz="0" w:space="0" w:color="auto"/>
        <w:bottom w:val="none" w:sz="0" w:space="0" w:color="auto"/>
        <w:right w:val="none" w:sz="0" w:space="0" w:color="auto"/>
      </w:divBdr>
    </w:div>
    <w:div w:id="732236772">
      <w:bodyDiv w:val="1"/>
      <w:marLeft w:val="0"/>
      <w:marRight w:val="0"/>
      <w:marTop w:val="0"/>
      <w:marBottom w:val="0"/>
      <w:divBdr>
        <w:top w:val="none" w:sz="0" w:space="0" w:color="auto"/>
        <w:left w:val="none" w:sz="0" w:space="0" w:color="auto"/>
        <w:bottom w:val="none" w:sz="0" w:space="0" w:color="auto"/>
        <w:right w:val="none" w:sz="0" w:space="0" w:color="auto"/>
      </w:divBdr>
    </w:div>
    <w:div w:id="755827565">
      <w:bodyDiv w:val="1"/>
      <w:marLeft w:val="0"/>
      <w:marRight w:val="0"/>
      <w:marTop w:val="0"/>
      <w:marBottom w:val="0"/>
      <w:divBdr>
        <w:top w:val="none" w:sz="0" w:space="0" w:color="auto"/>
        <w:left w:val="none" w:sz="0" w:space="0" w:color="auto"/>
        <w:bottom w:val="none" w:sz="0" w:space="0" w:color="auto"/>
        <w:right w:val="none" w:sz="0" w:space="0" w:color="auto"/>
      </w:divBdr>
    </w:div>
    <w:div w:id="757676121">
      <w:bodyDiv w:val="1"/>
      <w:marLeft w:val="0"/>
      <w:marRight w:val="0"/>
      <w:marTop w:val="0"/>
      <w:marBottom w:val="0"/>
      <w:divBdr>
        <w:top w:val="none" w:sz="0" w:space="0" w:color="auto"/>
        <w:left w:val="none" w:sz="0" w:space="0" w:color="auto"/>
        <w:bottom w:val="none" w:sz="0" w:space="0" w:color="auto"/>
        <w:right w:val="none" w:sz="0" w:space="0" w:color="auto"/>
      </w:divBdr>
    </w:div>
    <w:div w:id="759109111">
      <w:bodyDiv w:val="1"/>
      <w:marLeft w:val="0"/>
      <w:marRight w:val="0"/>
      <w:marTop w:val="0"/>
      <w:marBottom w:val="0"/>
      <w:divBdr>
        <w:top w:val="none" w:sz="0" w:space="0" w:color="auto"/>
        <w:left w:val="none" w:sz="0" w:space="0" w:color="auto"/>
        <w:bottom w:val="none" w:sz="0" w:space="0" w:color="auto"/>
        <w:right w:val="none" w:sz="0" w:space="0" w:color="auto"/>
      </w:divBdr>
    </w:div>
    <w:div w:id="832986520">
      <w:bodyDiv w:val="1"/>
      <w:marLeft w:val="0"/>
      <w:marRight w:val="0"/>
      <w:marTop w:val="0"/>
      <w:marBottom w:val="0"/>
      <w:divBdr>
        <w:top w:val="none" w:sz="0" w:space="0" w:color="auto"/>
        <w:left w:val="none" w:sz="0" w:space="0" w:color="auto"/>
        <w:bottom w:val="none" w:sz="0" w:space="0" w:color="auto"/>
        <w:right w:val="none" w:sz="0" w:space="0" w:color="auto"/>
      </w:divBdr>
    </w:div>
    <w:div w:id="839546566">
      <w:bodyDiv w:val="1"/>
      <w:marLeft w:val="0"/>
      <w:marRight w:val="0"/>
      <w:marTop w:val="0"/>
      <w:marBottom w:val="0"/>
      <w:divBdr>
        <w:top w:val="none" w:sz="0" w:space="0" w:color="auto"/>
        <w:left w:val="none" w:sz="0" w:space="0" w:color="auto"/>
        <w:bottom w:val="none" w:sz="0" w:space="0" w:color="auto"/>
        <w:right w:val="none" w:sz="0" w:space="0" w:color="auto"/>
      </w:divBdr>
    </w:div>
    <w:div w:id="852065904">
      <w:bodyDiv w:val="1"/>
      <w:marLeft w:val="0"/>
      <w:marRight w:val="0"/>
      <w:marTop w:val="0"/>
      <w:marBottom w:val="0"/>
      <w:divBdr>
        <w:top w:val="none" w:sz="0" w:space="0" w:color="auto"/>
        <w:left w:val="none" w:sz="0" w:space="0" w:color="auto"/>
        <w:bottom w:val="none" w:sz="0" w:space="0" w:color="auto"/>
        <w:right w:val="none" w:sz="0" w:space="0" w:color="auto"/>
      </w:divBdr>
    </w:div>
    <w:div w:id="852652233">
      <w:bodyDiv w:val="1"/>
      <w:marLeft w:val="0"/>
      <w:marRight w:val="0"/>
      <w:marTop w:val="0"/>
      <w:marBottom w:val="0"/>
      <w:divBdr>
        <w:top w:val="none" w:sz="0" w:space="0" w:color="auto"/>
        <w:left w:val="none" w:sz="0" w:space="0" w:color="auto"/>
        <w:bottom w:val="none" w:sz="0" w:space="0" w:color="auto"/>
        <w:right w:val="none" w:sz="0" w:space="0" w:color="auto"/>
      </w:divBdr>
    </w:div>
    <w:div w:id="886456574">
      <w:bodyDiv w:val="1"/>
      <w:marLeft w:val="0"/>
      <w:marRight w:val="0"/>
      <w:marTop w:val="0"/>
      <w:marBottom w:val="0"/>
      <w:divBdr>
        <w:top w:val="none" w:sz="0" w:space="0" w:color="auto"/>
        <w:left w:val="none" w:sz="0" w:space="0" w:color="auto"/>
        <w:bottom w:val="none" w:sz="0" w:space="0" w:color="auto"/>
        <w:right w:val="none" w:sz="0" w:space="0" w:color="auto"/>
      </w:divBdr>
    </w:div>
    <w:div w:id="887452219">
      <w:bodyDiv w:val="1"/>
      <w:marLeft w:val="0"/>
      <w:marRight w:val="0"/>
      <w:marTop w:val="0"/>
      <w:marBottom w:val="0"/>
      <w:divBdr>
        <w:top w:val="none" w:sz="0" w:space="0" w:color="auto"/>
        <w:left w:val="none" w:sz="0" w:space="0" w:color="auto"/>
        <w:bottom w:val="none" w:sz="0" w:space="0" w:color="auto"/>
        <w:right w:val="none" w:sz="0" w:space="0" w:color="auto"/>
      </w:divBdr>
    </w:div>
    <w:div w:id="887566123">
      <w:bodyDiv w:val="1"/>
      <w:marLeft w:val="0"/>
      <w:marRight w:val="0"/>
      <w:marTop w:val="0"/>
      <w:marBottom w:val="0"/>
      <w:divBdr>
        <w:top w:val="none" w:sz="0" w:space="0" w:color="auto"/>
        <w:left w:val="none" w:sz="0" w:space="0" w:color="auto"/>
        <w:bottom w:val="none" w:sz="0" w:space="0" w:color="auto"/>
        <w:right w:val="none" w:sz="0" w:space="0" w:color="auto"/>
      </w:divBdr>
    </w:div>
    <w:div w:id="923880481">
      <w:bodyDiv w:val="1"/>
      <w:marLeft w:val="0"/>
      <w:marRight w:val="0"/>
      <w:marTop w:val="0"/>
      <w:marBottom w:val="0"/>
      <w:divBdr>
        <w:top w:val="none" w:sz="0" w:space="0" w:color="auto"/>
        <w:left w:val="none" w:sz="0" w:space="0" w:color="auto"/>
        <w:bottom w:val="none" w:sz="0" w:space="0" w:color="auto"/>
        <w:right w:val="none" w:sz="0" w:space="0" w:color="auto"/>
      </w:divBdr>
    </w:div>
    <w:div w:id="945619877">
      <w:bodyDiv w:val="1"/>
      <w:marLeft w:val="0"/>
      <w:marRight w:val="0"/>
      <w:marTop w:val="0"/>
      <w:marBottom w:val="0"/>
      <w:divBdr>
        <w:top w:val="none" w:sz="0" w:space="0" w:color="auto"/>
        <w:left w:val="none" w:sz="0" w:space="0" w:color="auto"/>
        <w:bottom w:val="none" w:sz="0" w:space="0" w:color="auto"/>
        <w:right w:val="none" w:sz="0" w:space="0" w:color="auto"/>
      </w:divBdr>
    </w:div>
    <w:div w:id="946086812">
      <w:bodyDiv w:val="1"/>
      <w:marLeft w:val="0"/>
      <w:marRight w:val="0"/>
      <w:marTop w:val="0"/>
      <w:marBottom w:val="0"/>
      <w:divBdr>
        <w:top w:val="none" w:sz="0" w:space="0" w:color="auto"/>
        <w:left w:val="none" w:sz="0" w:space="0" w:color="auto"/>
        <w:bottom w:val="none" w:sz="0" w:space="0" w:color="auto"/>
        <w:right w:val="none" w:sz="0" w:space="0" w:color="auto"/>
      </w:divBdr>
    </w:div>
    <w:div w:id="964235224">
      <w:bodyDiv w:val="1"/>
      <w:marLeft w:val="0"/>
      <w:marRight w:val="0"/>
      <w:marTop w:val="0"/>
      <w:marBottom w:val="0"/>
      <w:divBdr>
        <w:top w:val="none" w:sz="0" w:space="0" w:color="auto"/>
        <w:left w:val="none" w:sz="0" w:space="0" w:color="auto"/>
        <w:bottom w:val="none" w:sz="0" w:space="0" w:color="auto"/>
        <w:right w:val="none" w:sz="0" w:space="0" w:color="auto"/>
      </w:divBdr>
    </w:div>
    <w:div w:id="1008171454">
      <w:bodyDiv w:val="1"/>
      <w:marLeft w:val="0"/>
      <w:marRight w:val="0"/>
      <w:marTop w:val="0"/>
      <w:marBottom w:val="0"/>
      <w:divBdr>
        <w:top w:val="none" w:sz="0" w:space="0" w:color="auto"/>
        <w:left w:val="none" w:sz="0" w:space="0" w:color="auto"/>
        <w:bottom w:val="none" w:sz="0" w:space="0" w:color="auto"/>
        <w:right w:val="none" w:sz="0" w:space="0" w:color="auto"/>
      </w:divBdr>
    </w:div>
    <w:div w:id="1017535537">
      <w:bodyDiv w:val="1"/>
      <w:marLeft w:val="0"/>
      <w:marRight w:val="0"/>
      <w:marTop w:val="0"/>
      <w:marBottom w:val="0"/>
      <w:divBdr>
        <w:top w:val="none" w:sz="0" w:space="0" w:color="auto"/>
        <w:left w:val="none" w:sz="0" w:space="0" w:color="auto"/>
        <w:bottom w:val="none" w:sz="0" w:space="0" w:color="auto"/>
        <w:right w:val="none" w:sz="0" w:space="0" w:color="auto"/>
      </w:divBdr>
    </w:div>
    <w:div w:id="1023823298">
      <w:bodyDiv w:val="1"/>
      <w:marLeft w:val="0"/>
      <w:marRight w:val="0"/>
      <w:marTop w:val="0"/>
      <w:marBottom w:val="0"/>
      <w:divBdr>
        <w:top w:val="none" w:sz="0" w:space="0" w:color="auto"/>
        <w:left w:val="none" w:sz="0" w:space="0" w:color="auto"/>
        <w:bottom w:val="none" w:sz="0" w:space="0" w:color="auto"/>
        <w:right w:val="none" w:sz="0" w:space="0" w:color="auto"/>
      </w:divBdr>
    </w:div>
    <w:div w:id="1027440104">
      <w:bodyDiv w:val="1"/>
      <w:marLeft w:val="0"/>
      <w:marRight w:val="0"/>
      <w:marTop w:val="0"/>
      <w:marBottom w:val="0"/>
      <w:divBdr>
        <w:top w:val="none" w:sz="0" w:space="0" w:color="auto"/>
        <w:left w:val="none" w:sz="0" w:space="0" w:color="auto"/>
        <w:bottom w:val="none" w:sz="0" w:space="0" w:color="auto"/>
        <w:right w:val="none" w:sz="0" w:space="0" w:color="auto"/>
      </w:divBdr>
    </w:div>
    <w:div w:id="1034501989">
      <w:bodyDiv w:val="1"/>
      <w:marLeft w:val="0"/>
      <w:marRight w:val="0"/>
      <w:marTop w:val="0"/>
      <w:marBottom w:val="0"/>
      <w:divBdr>
        <w:top w:val="none" w:sz="0" w:space="0" w:color="auto"/>
        <w:left w:val="none" w:sz="0" w:space="0" w:color="auto"/>
        <w:bottom w:val="none" w:sz="0" w:space="0" w:color="auto"/>
        <w:right w:val="none" w:sz="0" w:space="0" w:color="auto"/>
      </w:divBdr>
    </w:div>
    <w:div w:id="1049961167">
      <w:bodyDiv w:val="1"/>
      <w:marLeft w:val="0"/>
      <w:marRight w:val="0"/>
      <w:marTop w:val="0"/>
      <w:marBottom w:val="0"/>
      <w:divBdr>
        <w:top w:val="none" w:sz="0" w:space="0" w:color="auto"/>
        <w:left w:val="none" w:sz="0" w:space="0" w:color="auto"/>
        <w:bottom w:val="none" w:sz="0" w:space="0" w:color="auto"/>
        <w:right w:val="none" w:sz="0" w:space="0" w:color="auto"/>
      </w:divBdr>
    </w:div>
    <w:div w:id="1050569302">
      <w:bodyDiv w:val="1"/>
      <w:marLeft w:val="0"/>
      <w:marRight w:val="0"/>
      <w:marTop w:val="0"/>
      <w:marBottom w:val="0"/>
      <w:divBdr>
        <w:top w:val="none" w:sz="0" w:space="0" w:color="auto"/>
        <w:left w:val="none" w:sz="0" w:space="0" w:color="auto"/>
        <w:bottom w:val="none" w:sz="0" w:space="0" w:color="auto"/>
        <w:right w:val="none" w:sz="0" w:space="0" w:color="auto"/>
      </w:divBdr>
    </w:div>
    <w:div w:id="1057557533">
      <w:bodyDiv w:val="1"/>
      <w:marLeft w:val="0"/>
      <w:marRight w:val="0"/>
      <w:marTop w:val="0"/>
      <w:marBottom w:val="0"/>
      <w:divBdr>
        <w:top w:val="none" w:sz="0" w:space="0" w:color="auto"/>
        <w:left w:val="none" w:sz="0" w:space="0" w:color="auto"/>
        <w:bottom w:val="none" w:sz="0" w:space="0" w:color="auto"/>
        <w:right w:val="none" w:sz="0" w:space="0" w:color="auto"/>
      </w:divBdr>
    </w:div>
    <w:div w:id="1116145842">
      <w:bodyDiv w:val="1"/>
      <w:marLeft w:val="0"/>
      <w:marRight w:val="0"/>
      <w:marTop w:val="0"/>
      <w:marBottom w:val="0"/>
      <w:divBdr>
        <w:top w:val="none" w:sz="0" w:space="0" w:color="auto"/>
        <w:left w:val="none" w:sz="0" w:space="0" w:color="auto"/>
        <w:bottom w:val="none" w:sz="0" w:space="0" w:color="auto"/>
        <w:right w:val="none" w:sz="0" w:space="0" w:color="auto"/>
      </w:divBdr>
    </w:div>
    <w:div w:id="1151555747">
      <w:bodyDiv w:val="1"/>
      <w:marLeft w:val="0"/>
      <w:marRight w:val="0"/>
      <w:marTop w:val="0"/>
      <w:marBottom w:val="0"/>
      <w:divBdr>
        <w:top w:val="none" w:sz="0" w:space="0" w:color="auto"/>
        <w:left w:val="none" w:sz="0" w:space="0" w:color="auto"/>
        <w:bottom w:val="none" w:sz="0" w:space="0" w:color="auto"/>
        <w:right w:val="none" w:sz="0" w:space="0" w:color="auto"/>
      </w:divBdr>
    </w:div>
    <w:div w:id="1167131332">
      <w:bodyDiv w:val="1"/>
      <w:marLeft w:val="0"/>
      <w:marRight w:val="0"/>
      <w:marTop w:val="0"/>
      <w:marBottom w:val="0"/>
      <w:divBdr>
        <w:top w:val="none" w:sz="0" w:space="0" w:color="auto"/>
        <w:left w:val="none" w:sz="0" w:space="0" w:color="auto"/>
        <w:bottom w:val="none" w:sz="0" w:space="0" w:color="auto"/>
        <w:right w:val="none" w:sz="0" w:space="0" w:color="auto"/>
      </w:divBdr>
    </w:div>
    <w:div w:id="1208368890">
      <w:bodyDiv w:val="1"/>
      <w:marLeft w:val="0"/>
      <w:marRight w:val="0"/>
      <w:marTop w:val="0"/>
      <w:marBottom w:val="0"/>
      <w:divBdr>
        <w:top w:val="none" w:sz="0" w:space="0" w:color="auto"/>
        <w:left w:val="none" w:sz="0" w:space="0" w:color="auto"/>
        <w:bottom w:val="none" w:sz="0" w:space="0" w:color="auto"/>
        <w:right w:val="none" w:sz="0" w:space="0" w:color="auto"/>
      </w:divBdr>
    </w:div>
    <w:div w:id="1230077700">
      <w:bodyDiv w:val="1"/>
      <w:marLeft w:val="0"/>
      <w:marRight w:val="0"/>
      <w:marTop w:val="0"/>
      <w:marBottom w:val="0"/>
      <w:divBdr>
        <w:top w:val="none" w:sz="0" w:space="0" w:color="auto"/>
        <w:left w:val="none" w:sz="0" w:space="0" w:color="auto"/>
        <w:bottom w:val="none" w:sz="0" w:space="0" w:color="auto"/>
        <w:right w:val="none" w:sz="0" w:space="0" w:color="auto"/>
      </w:divBdr>
    </w:div>
    <w:div w:id="1232228727">
      <w:bodyDiv w:val="1"/>
      <w:marLeft w:val="0"/>
      <w:marRight w:val="0"/>
      <w:marTop w:val="0"/>
      <w:marBottom w:val="0"/>
      <w:divBdr>
        <w:top w:val="none" w:sz="0" w:space="0" w:color="auto"/>
        <w:left w:val="none" w:sz="0" w:space="0" w:color="auto"/>
        <w:bottom w:val="none" w:sz="0" w:space="0" w:color="auto"/>
        <w:right w:val="none" w:sz="0" w:space="0" w:color="auto"/>
      </w:divBdr>
    </w:div>
    <w:div w:id="1243179270">
      <w:bodyDiv w:val="1"/>
      <w:marLeft w:val="0"/>
      <w:marRight w:val="0"/>
      <w:marTop w:val="0"/>
      <w:marBottom w:val="0"/>
      <w:divBdr>
        <w:top w:val="none" w:sz="0" w:space="0" w:color="auto"/>
        <w:left w:val="none" w:sz="0" w:space="0" w:color="auto"/>
        <w:bottom w:val="none" w:sz="0" w:space="0" w:color="auto"/>
        <w:right w:val="none" w:sz="0" w:space="0" w:color="auto"/>
      </w:divBdr>
    </w:div>
    <w:div w:id="1258556655">
      <w:bodyDiv w:val="1"/>
      <w:marLeft w:val="0"/>
      <w:marRight w:val="0"/>
      <w:marTop w:val="0"/>
      <w:marBottom w:val="0"/>
      <w:divBdr>
        <w:top w:val="none" w:sz="0" w:space="0" w:color="auto"/>
        <w:left w:val="none" w:sz="0" w:space="0" w:color="auto"/>
        <w:bottom w:val="none" w:sz="0" w:space="0" w:color="auto"/>
        <w:right w:val="none" w:sz="0" w:space="0" w:color="auto"/>
      </w:divBdr>
    </w:div>
    <w:div w:id="1295062817">
      <w:bodyDiv w:val="1"/>
      <w:marLeft w:val="0"/>
      <w:marRight w:val="0"/>
      <w:marTop w:val="0"/>
      <w:marBottom w:val="0"/>
      <w:divBdr>
        <w:top w:val="none" w:sz="0" w:space="0" w:color="auto"/>
        <w:left w:val="none" w:sz="0" w:space="0" w:color="auto"/>
        <w:bottom w:val="none" w:sz="0" w:space="0" w:color="auto"/>
        <w:right w:val="none" w:sz="0" w:space="0" w:color="auto"/>
      </w:divBdr>
    </w:div>
    <w:div w:id="1311515520">
      <w:bodyDiv w:val="1"/>
      <w:marLeft w:val="0"/>
      <w:marRight w:val="0"/>
      <w:marTop w:val="0"/>
      <w:marBottom w:val="0"/>
      <w:divBdr>
        <w:top w:val="none" w:sz="0" w:space="0" w:color="auto"/>
        <w:left w:val="none" w:sz="0" w:space="0" w:color="auto"/>
        <w:bottom w:val="none" w:sz="0" w:space="0" w:color="auto"/>
        <w:right w:val="none" w:sz="0" w:space="0" w:color="auto"/>
      </w:divBdr>
    </w:div>
    <w:div w:id="1337078370">
      <w:bodyDiv w:val="1"/>
      <w:marLeft w:val="0"/>
      <w:marRight w:val="0"/>
      <w:marTop w:val="0"/>
      <w:marBottom w:val="0"/>
      <w:divBdr>
        <w:top w:val="none" w:sz="0" w:space="0" w:color="auto"/>
        <w:left w:val="none" w:sz="0" w:space="0" w:color="auto"/>
        <w:bottom w:val="none" w:sz="0" w:space="0" w:color="auto"/>
        <w:right w:val="none" w:sz="0" w:space="0" w:color="auto"/>
      </w:divBdr>
    </w:div>
    <w:div w:id="1354187300">
      <w:bodyDiv w:val="1"/>
      <w:marLeft w:val="0"/>
      <w:marRight w:val="0"/>
      <w:marTop w:val="0"/>
      <w:marBottom w:val="0"/>
      <w:divBdr>
        <w:top w:val="none" w:sz="0" w:space="0" w:color="auto"/>
        <w:left w:val="none" w:sz="0" w:space="0" w:color="auto"/>
        <w:bottom w:val="none" w:sz="0" w:space="0" w:color="auto"/>
        <w:right w:val="none" w:sz="0" w:space="0" w:color="auto"/>
      </w:divBdr>
    </w:div>
    <w:div w:id="1363285451">
      <w:bodyDiv w:val="1"/>
      <w:marLeft w:val="0"/>
      <w:marRight w:val="0"/>
      <w:marTop w:val="0"/>
      <w:marBottom w:val="0"/>
      <w:divBdr>
        <w:top w:val="none" w:sz="0" w:space="0" w:color="auto"/>
        <w:left w:val="none" w:sz="0" w:space="0" w:color="auto"/>
        <w:bottom w:val="none" w:sz="0" w:space="0" w:color="auto"/>
        <w:right w:val="none" w:sz="0" w:space="0" w:color="auto"/>
      </w:divBdr>
    </w:div>
    <w:div w:id="1364407976">
      <w:bodyDiv w:val="1"/>
      <w:marLeft w:val="0"/>
      <w:marRight w:val="0"/>
      <w:marTop w:val="0"/>
      <w:marBottom w:val="0"/>
      <w:divBdr>
        <w:top w:val="none" w:sz="0" w:space="0" w:color="auto"/>
        <w:left w:val="none" w:sz="0" w:space="0" w:color="auto"/>
        <w:bottom w:val="none" w:sz="0" w:space="0" w:color="auto"/>
        <w:right w:val="none" w:sz="0" w:space="0" w:color="auto"/>
      </w:divBdr>
    </w:div>
    <w:div w:id="1373384286">
      <w:bodyDiv w:val="1"/>
      <w:marLeft w:val="0"/>
      <w:marRight w:val="0"/>
      <w:marTop w:val="0"/>
      <w:marBottom w:val="0"/>
      <w:divBdr>
        <w:top w:val="none" w:sz="0" w:space="0" w:color="auto"/>
        <w:left w:val="none" w:sz="0" w:space="0" w:color="auto"/>
        <w:bottom w:val="none" w:sz="0" w:space="0" w:color="auto"/>
        <w:right w:val="none" w:sz="0" w:space="0" w:color="auto"/>
      </w:divBdr>
    </w:div>
    <w:div w:id="1379235930">
      <w:bodyDiv w:val="1"/>
      <w:marLeft w:val="0"/>
      <w:marRight w:val="0"/>
      <w:marTop w:val="0"/>
      <w:marBottom w:val="0"/>
      <w:divBdr>
        <w:top w:val="none" w:sz="0" w:space="0" w:color="auto"/>
        <w:left w:val="none" w:sz="0" w:space="0" w:color="auto"/>
        <w:bottom w:val="none" w:sz="0" w:space="0" w:color="auto"/>
        <w:right w:val="none" w:sz="0" w:space="0" w:color="auto"/>
      </w:divBdr>
    </w:div>
    <w:div w:id="1396275807">
      <w:bodyDiv w:val="1"/>
      <w:marLeft w:val="0"/>
      <w:marRight w:val="0"/>
      <w:marTop w:val="0"/>
      <w:marBottom w:val="0"/>
      <w:divBdr>
        <w:top w:val="none" w:sz="0" w:space="0" w:color="auto"/>
        <w:left w:val="none" w:sz="0" w:space="0" w:color="auto"/>
        <w:bottom w:val="none" w:sz="0" w:space="0" w:color="auto"/>
        <w:right w:val="none" w:sz="0" w:space="0" w:color="auto"/>
      </w:divBdr>
    </w:div>
    <w:div w:id="1408843348">
      <w:bodyDiv w:val="1"/>
      <w:marLeft w:val="0"/>
      <w:marRight w:val="0"/>
      <w:marTop w:val="0"/>
      <w:marBottom w:val="0"/>
      <w:divBdr>
        <w:top w:val="none" w:sz="0" w:space="0" w:color="auto"/>
        <w:left w:val="none" w:sz="0" w:space="0" w:color="auto"/>
        <w:bottom w:val="none" w:sz="0" w:space="0" w:color="auto"/>
        <w:right w:val="none" w:sz="0" w:space="0" w:color="auto"/>
      </w:divBdr>
      <w:divsChild>
        <w:div w:id="181936746">
          <w:marLeft w:val="547"/>
          <w:marRight w:val="0"/>
          <w:marTop w:val="154"/>
          <w:marBottom w:val="0"/>
          <w:divBdr>
            <w:top w:val="none" w:sz="0" w:space="0" w:color="auto"/>
            <w:left w:val="none" w:sz="0" w:space="0" w:color="auto"/>
            <w:bottom w:val="none" w:sz="0" w:space="0" w:color="auto"/>
            <w:right w:val="none" w:sz="0" w:space="0" w:color="auto"/>
          </w:divBdr>
        </w:div>
        <w:div w:id="1979189048">
          <w:marLeft w:val="547"/>
          <w:marRight w:val="0"/>
          <w:marTop w:val="154"/>
          <w:marBottom w:val="0"/>
          <w:divBdr>
            <w:top w:val="none" w:sz="0" w:space="0" w:color="auto"/>
            <w:left w:val="none" w:sz="0" w:space="0" w:color="auto"/>
            <w:bottom w:val="none" w:sz="0" w:space="0" w:color="auto"/>
            <w:right w:val="none" w:sz="0" w:space="0" w:color="auto"/>
          </w:divBdr>
        </w:div>
      </w:divsChild>
    </w:div>
    <w:div w:id="1445465683">
      <w:bodyDiv w:val="1"/>
      <w:marLeft w:val="0"/>
      <w:marRight w:val="0"/>
      <w:marTop w:val="0"/>
      <w:marBottom w:val="0"/>
      <w:divBdr>
        <w:top w:val="none" w:sz="0" w:space="0" w:color="auto"/>
        <w:left w:val="none" w:sz="0" w:space="0" w:color="auto"/>
        <w:bottom w:val="none" w:sz="0" w:space="0" w:color="auto"/>
        <w:right w:val="none" w:sz="0" w:space="0" w:color="auto"/>
      </w:divBdr>
    </w:div>
    <w:div w:id="1446119611">
      <w:bodyDiv w:val="1"/>
      <w:marLeft w:val="0"/>
      <w:marRight w:val="0"/>
      <w:marTop w:val="0"/>
      <w:marBottom w:val="0"/>
      <w:divBdr>
        <w:top w:val="none" w:sz="0" w:space="0" w:color="auto"/>
        <w:left w:val="none" w:sz="0" w:space="0" w:color="auto"/>
        <w:bottom w:val="none" w:sz="0" w:space="0" w:color="auto"/>
        <w:right w:val="none" w:sz="0" w:space="0" w:color="auto"/>
      </w:divBdr>
    </w:div>
    <w:div w:id="1448312821">
      <w:bodyDiv w:val="1"/>
      <w:marLeft w:val="0"/>
      <w:marRight w:val="0"/>
      <w:marTop w:val="0"/>
      <w:marBottom w:val="0"/>
      <w:divBdr>
        <w:top w:val="none" w:sz="0" w:space="0" w:color="auto"/>
        <w:left w:val="none" w:sz="0" w:space="0" w:color="auto"/>
        <w:bottom w:val="none" w:sz="0" w:space="0" w:color="auto"/>
        <w:right w:val="none" w:sz="0" w:space="0" w:color="auto"/>
      </w:divBdr>
    </w:div>
    <w:div w:id="1456021001">
      <w:bodyDiv w:val="1"/>
      <w:marLeft w:val="0"/>
      <w:marRight w:val="0"/>
      <w:marTop w:val="0"/>
      <w:marBottom w:val="0"/>
      <w:divBdr>
        <w:top w:val="none" w:sz="0" w:space="0" w:color="auto"/>
        <w:left w:val="none" w:sz="0" w:space="0" w:color="auto"/>
        <w:bottom w:val="none" w:sz="0" w:space="0" w:color="auto"/>
        <w:right w:val="none" w:sz="0" w:space="0" w:color="auto"/>
      </w:divBdr>
    </w:div>
    <w:div w:id="1473598135">
      <w:bodyDiv w:val="1"/>
      <w:marLeft w:val="0"/>
      <w:marRight w:val="0"/>
      <w:marTop w:val="0"/>
      <w:marBottom w:val="0"/>
      <w:divBdr>
        <w:top w:val="none" w:sz="0" w:space="0" w:color="auto"/>
        <w:left w:val="none" w:sz="0" w:space="0" w:color="auto"/>
        <w:bottom w:val="none" w:sz="0" w:space="0" w:color="auto"/>
        <w:right w:val="none" w:sz="0" w:space="0" w:color="auto"/>
      </w:divBdr>
      <w:divsChild>
        <w:div w:id="1257136427">
          <w:marLeft w:val="547"/>
          <w:marRight w:val="0"/>
          <w:marTop w:val="134"/>
          <w:marBottom w:val="0"/>
          <w:divBdr>
            <w:top w:val="none" w:sz="0" w:space="0" w:color="auto"/>
            <w:left w:val="none" w:sz="0" w:space="0" w:color="auto"/>
            <w:bottom w:val="none" w:sz="0" w:space="0" w:color="auto"/>
            <w:right w:val="none" w:sz="0" w:space="0" w:color="auto"/>
          </w:divBdr>
        </w:div>
      </w:divsChild>
    </w:div>
    <w:div w:id="1487014215">
      <w:bodyDiv w:val="1"/>
      <w:marLeft w:val="0"/>
      <w:marRight w:val="0"/>
      <w:marTop w:val="0"/>
      <w:marBottom w:val="0"/>
      <w:divBdr>
        <w:top w:val="none" w:sz="0" w:space="0" w:color="auto"/>
        <w:left w:val="none" w:sz="0" w:space="0" w:color="auto"/>
        <w:bottom w:val="none" w:sz="0" w:space="0" w:color="auto"/>
        <w:right w:val="none" w:sz="0" w:space="0" w:color="auto"/>
      </w:divBdr>
      <w:divsChild>
        <w:div w:id="1510486996">
          <w:marLeft w:val="0"/>
          <w:marRight w:val="0"/>
          <w:marTop w:val="0"/>
          <w:marBottom w:val="0"/>
          <w:divBdr>
            <w:top w:val="none" w:sz="0" w:space="0" w:color="auto"/>
            <w:left w:val="none" w:sz="0" w:space="0" w:color="auto"/>
            <w:bottom w:val="none" w:sz="0" w:space="0" w:color="auto"/>
            <w:right w:val="none" w:sz="0" w:space="0" w:color="auto"/>
          </w:divBdr>
        </w:div>
        <w:div w:id="1769155663">
          <w:marLeft w:val="0"/>
          <w:marRight w:val="0"/>
          <w:marTop w:val="0"/>
          <w:marBottom w:val="0"/>
          <w:divBdr>
            <w:top w:val="none" w:sz="0" w:space="0" w:color="auto"/>
            <w:left w:val="none" w:sz="0" w:space="0" w:color="auto"/>
            <w:bottom w:val="none" w:sz="0" w:space="0" w:color="auto"/>
            <w:right w:val="none" w:sz="0" w:space="0" w:color="auto"/>
          </w:divBdr>
        </w:div>
      </w:divsChild>
    </w:div>
    <w:div w:id="1492911555">
      <w:bodyDiv w:val="1"/>
      <w:marLeft w:val="0"/>
      <w:marRight w:val="0"/>
      <w:marTop w:val="0"/>
      <w:marBottom w:val="0"/>
      <w:divBdr>
        <w:top w:val="none" w:sz="0" w:space="0" w:color="auto"/>
        <w:left w:val="none" w:sz="0" w:space="0" w:color="auto"/>
        <w:bottom w:val="none" w:sz="0" w:space="0" w:color="auto"/>
        <w:right w:val="none" w:sz="0" w:space="0" w:color="auto"/>
      </w:divBdr>
    </w:div>
    <w:div w:id="1496846357">
      <w:bodyDiv w:val="1"/>
      <w:marLeft w:val="0"/>
      <w:marRight w:val="0"/>
      <w:marTop w:val="0"/>
      <w:marBottom w:val="0"/>
      <w:divBdr>
        <w:top w:val="none" w:sz="0" w:space="0" w:color="auto"/>
        <w:left w:val="none" w:sz="0" w:space="0" w:color="auto"/>
        <w:bottom w:val="none" w:sz="0" w:space="0" w:color="auto"/>
        <w:right w:val="none" w:sz="0" w:space="0" w:color="auto"/>
      </w:divBdr>
    </w:div>
    <w:div w:id="1499149306">
      <w:bodyDiv w:val="1"/>
      <w:marLeft w:val="0"/>
      <w:marRight w:val="0"/>
      <w:marTop w:val="0"/>
      <w:marBottom w:val="0"/>
      <w:divBdr>
        <w:top w:val="none" w:sz="0" w:space="0" w:color="auto"/>
        <w:left w:val="none" w:sz="0" w:space="0" w:color="auto"/>
        <w:bottom w:val="none" w:sz="0" w:space="0" w:color="auto"/>
        <w:right w:val="none" w:sz="0" w:space="0" w:color="auto"/>
      </w:divBdr>
    </w:div>
    <w:div w:id="1503542595">
      <w:bodyDiv w:val="1"/>
      <w:marLeft w:val="0"/>
      <w:marRight w:val="0"/>
      <w:marTop w:val="0"/>
      <w:marBottom w:val="0"/>
      <w:divBdr>
        <w:top w:val="none" w:sz="0" w:space="0" w:color="auto"/>
        <w:left w:val="none" w:sz="0" w:space="0" w:color="auto"/>
        <w:bottom w:val="none" w:sz="0" w:space="0" w:color="auto"/>
        <w:right w:val="none" w:sz="0" w:space="0" w:color="auto"/>
      </w:divBdr>
    </w:div>
    <w:div w:id="1508983743">
      <w:bodyDiv w:val="1"/>
      <w:marLeft w:val="0"/>
      <w:marRight w:val="0"/>
      <w:marTop w:val="0"/>
      <w:marBottom w:val="0"/>
      <w:divBdr>
        <w:top w:val="none" w:sz="0" w:space="0" w:color="auto"/>
        <w:left w:val="none" w:sz="0" w:space="0" w:color="auto"/>
        <w:bottom w:val="none" w:sz="0" w:space="0" w:color="auto"/>
        <w:right w:val="none" w:sz="0" w:space="0" w:color="auto"/>
      </w:divBdr>
    </w:div>
    <w:div w:id="1544441016">
      <w:bodyDiv w:val="1"/>
      <w:marLeft w:val="0"/>
      <w:marRight w:val="0"/>
      <w:marTop w:val="0"/>
      <w:marBottom w:val="0"/>
      <w:divBdr>
        <w:top w:val="none" w:sz="0" w:space="0" w:color="auto"/>
        <w:left w:val="none" w:sz="0" w:space="0" w:color="auto"/>
        <w:bottom w:val="none" w:sz="0" w:space="0" w:color="auto"/>
        <w:right w:val="none" w:sz="0" w:space="0" w:color="auto"/>
      </w:divBdr>
    </w:div>
    <w:div w:id="1553736094">
      <w:bodyDiv w:val="1"/>
      <w:marLeft w:val="0"/>
      <w:marRight w:val="0"/>
      <w:marTop w:val="0"/>
      <w:marBottom w:val="0"/>
      <w:divBdr>
        <w:top w:val="none" w:sz="0" w:space="0" w:color="auto"/>
        <w:left w:val="none" w:sz="0" w:space="0" w:color="auto"/>
        <w:bottom w:val="none" w:sz="0" w:space="0" w:color="auto"/>
        <w:right w:val="none" w:sz="0" w:space="0" w:color="auto"/>
      </w:divBdr>
    </w:div>
    <w:div w:id="1595477775">
      <w:bodyDiv w:val="1"/>
      <w:marLeft w:val="0"/>
      <w:marRight w:val="0"/>
      <w:marTop w:val="0"/>
      <w:marBottom w:val="0"/>
      <w:divBdr>
        <w:top w:val="none" w:sz="0" w:space="0" w:color="auto"/>
        <w:left w:val="none" w:sz="0" w:space="0" w:color="auto"/>
        <w:bottom w:val="none" w:sz="0" w:space="0" w:color="auto"/>
        <w:right w:val="none" w:sz="0" w:space="0" w:color="auto"/>
      </w:divBdr>
    </w:div>
    <w:div w:id="1599946999">
      <w:bodyDiv w:val="1"/>
      <w:marLeft w:val="0"/>
      <w:marRight w:val="0"/>
      <w:marTop w:val="0"/>
      <w:marBottom w:val="0"/>
      <w:divBdr>
        <w:top w:val="none" w:sz="0" w:space="0" w:color="auto"/>
        <w:left w:val="none" w:sz="0" w:space="0" w:color="auto"/>
        <w:bottom w:val="none" w:sz="0" w:space="0" w:color="auto"/>
        <w:right w:val="none" w:sz="0" w:space="0" w:color="auto"/>
      </w:divBdr>
    </w:div>
    <w:div w:id="1641576556">
      <w:bodyDiv w:val="1"/>
      <w:marLeft w:val="0"/>
      <w:marRight w:val="0"/>
      <w:marTop w:val="0"/>
      <w:marBottom w:val="0"/>
      <w:divBdr>
        <w:top w:val="none" w:sz="0" w:space="0" w:color="auto"/>
        <w:left w:val="none" w:sz="0" w:space="0" w:color="auto"/>
        <w:bottom w:val="none" w:sz="0" w:space="0" w:color="auto"/>
        <w:right w:val="none" w:sz="0" w:space="0" w:color="auto"/>
      </w:divBdr>
    </w:div>
    <w:div w:id="1651323126">
      <w:bodyDiv w:val="1"/>
      <w:marLeft w:val="0"/>
      <w:marRight w:val="0"/>
      <w:marTop w:val="0"/>
      <w:marBottom w:val="0"/>
      <w:divBdr>
        <w:top w:val="none" w:sz="0" w:space="0" w:color="auto"/>
        <w:left w:val="none" w:sz="0" w:space="0" w:color="auto"/>
        <w:bottom w:val="none" w:sz="0" w:space="0" w:color="auto"/>
        <w:right w:val="none" w:sz="0" w:space="0" w:color="auto"/>
      </w:divBdr>
    </w:div>
    <w:div w:id="1654601788">
      <w:bodyDiv w:val="1"/>
      <w:marLeft w:val="0"/>
      <w:marRight w:val="0"/>
      <w:marTop w:val="0"/>
      <w:marBottom w:val="0"/>
      <w:divBdr>
        <w:top w:val="none" w:sz="0" w:space="0" w:color="auto"/>
        <w:left w:val="none" w:sz="0" w:space="0" w:color="auto"/>
        <w:bottom w:val="none" w:sz="0" w:space="0" w:color="auto"/>
        <w:right w:val="none" w:sz="0" w:space="0" w:color="auto"/>
      </w:divBdr>
    </w:div>
    <w:div w:id="1656688712">
      <w:bodyDiv w:val="1"/>
      <w:marLeft w:val="0"/>
      <w:marRight w:val="0"/>
      <w:marTop w:val="0"/>
      <w:marBottom w:val="0"/>
      <w:divBdr>
        <w:top w:val="none" w:sz="0" w:space="0" w:color="auto"/>
        <w:left w:val="none" w:sz="0" w:space="0" w:color="auto"/>
        <w:bottom w:val="none" w:sz="0" w:space="0" w:color="auto"/>
        <w:right w:val="none" w:sz="0" w:space="0" w:color="auto"/>
      </w:divBdr>
    </w:div>
    <w:div w:id="1657760394">
      <w:bodyDiv w:val="1"/>
      <w:marLeft w:val="0"/>
      <w:marRight w:val="0"/>
      <w:marTop w:val="0"/>
      <w:marBottom w:val="0"/>
      <w:divBdr>
        <w:top w:val="none" w:sz="0" w:space="0" w:color="auto"/>
        <w:left w:val="none" w:sz="0" w:space="0" w:color="auto"/>
        <w:bottom w:val="none" w:sz="0" w:space="0" w:color="auto"/>
        <w:right w:val="none" w:sz="0" w:space="0" w:color="auto"/>
      </w:divBdr>
    </w:div>
    <w:div w:id="1691368244">
      <w:bodyDiv w:val="1"/>
      <w:marLeft w:val="0"/>
      <w:marRight w:val="0"/>
      <w:marTop w:val="0"/>
      <w:marBottom w:val="0"/>
      <w:divBdr>
        <w:top w:val="none" w:sz="0" w:space="0" w:color="auto"/>
        <w:left w:val="none" w:sz="0" w:space="0" w:color="auto"/>
        <w:bottom w:val="none" w:sz="0" w:space="0" w:color="auto"/>
        <w:right w:val="none" w:sz="0" w:space="0" w:color="auto"/>
      </w:divBdr>
    </w:div>
    <w:div w:id="1737782791">
      <w:bodyDiv w:val="1"/>
      <w:marLeft w:val="0"/>
      <w:marRight w:val="0"/>
      <w:marTop w:val="0"/>
      <w:marBottom w:val="0"/>
      <w:divBdr>
        <w:top w:val="none" w:sz="0" w:space="0" w:color="auto"/>
        <w:left w:val="none" w:sz="0" w:space="0" w:color="auto"/>
        <w:bottom w:val="none" w:sz="0" w:space="0" w:color="auto"/>
        <w:right w:val="none" w:sz="0" w:space="0" w:color="auto"/>
      </w:divBdr>
    </w:div>
    <w:div w:id="1744638397">
      <w:bodyDiv w:val="1"/>
      <w:marLeft w:val="0"/>
      <w:marRight w:val="0"/>
      <w:marTop w:val="0"/>
      <w:marBottom w:val="0"/>
      <w:divBdr>
        <w:top w:val="none" w:sz="0" w:space="0" w:color="auto"/>
        <w:left w:val="none" w:sz="0" w:space="0" w:color="auto"/>
        <w:bottom w:val="none" w:sz="0" w:space="0" w:color="auto"/>
        <w:right w:val="none" w:sz="0" w:space="0" w:color="auto"/>
      </w:divBdr>
    </w:div>
    <w:div w:id="1788500368">
      <w:bodyDiv w:val="1"/>
      <w:marLeft w:val="0"/>
      <w:marRight w:val="0"/>
      <w:marTop w:val="0"/>
      <w:marBottom w:val="0"/>
      <w:divBdr>
        <w:top w:val="none" w:sz="0" w:space="0" w:color="auto"/>
        <w:left w:val="none" w:sz="0" w:space="0" w:color="auto"/>
        <w:bottom w:val="none" w:sz="0" w:space="0" w:color="auto"/>
        <w:right w:val="none" w:sz="0" w:space="0" w:color="auto"/>
      </w:divBdr>
    </w:div>
    <w:div w:id="1800107769">
      <w:bodyDiv w:val="1"/>
      <w:marLeft w:val="0"/>
      <w:marRight w:val="0"/>
      <w:marTop w:val="0"/>
      <w:marBottom w:val="0"/>
      <w:divBdr>
        <w:top w:val="none" w:sz="0" w:space="0" w:color="auto"/>
        <w:left w:val="none" w:sz="0" w:space="0" w:color="auto"/>
        <w:bottom w:val="none" w:sz="0" w:space="0" w:color="auto"/>
        <w:right w:val="none" w:sz="0" w:space="0" w:color="auto"/>
      </w:divBdr>
    </w:div>
    <w:div w:id="1807695740">
      <w:bodyDiv w:val="1"/>
      <w:marLeft w:val="0"/>
      <w:marRight w:val="0"/>
      <w:marTop w:val="0"/>
      <w:marBottom w:val="0"/>
      <w:divBdr>
        <w:top w:val="none" w:sz="0" w:space="0" w:color="auto"/>
        <w:left w:val="none" w:sz="0" w:space="0" w:color="auto"/>
        <w:bottom w:val="none" w:sz="0" w:space="0" w:color="auto"/>
        <w:right w:val="none" w:sz="0" w:space="0" w:color="auto"/>
      </w:divBdr>
    </w:div>
    <w:div w:id="1913394186">
      <w:bodyDiv w:val="1"/>
      <w:marLeft w:val="0"/>
      <w:marRight w:val="0"/>
      <w:marTop w:val="0"/>
      <w:marBottom w:val="0"/>
      <w:divBdr>
        <w:top w:val="none" w:sz="0" w:space="0" w:color="auto"/>
        <w:left w:val="none" w:sz="0" w:space="0" w:color="auto"/>
        <w:bottom w:val="none" w:sz="0" w:space="0" w:color="auto"/>
        <w:right w:val="none" w:sz="0" w:space="0" w:color="auto"/>
      </w:divBdr>
    </w:div>
    <w:div w:id="1940209725">
      <w:bodyDiv w:val="1"/>
      <w:marLeft w:val="0"/>
      <w:marRight w:val="0"/>
      <w:marTop w:val="0"/>
      <w:marBottom w:val="0"/>
      <w:divBdr>
        <w:top w:val="none" w:sz="0" w:space="0" w:color="auto"/>
        <w:left w:val="none" w:sz="0" w:space="0" w:color="auto"/>
        <w:bottom w:val="none" w:sz="0" w:space="0" w:color="auto"/>
        <w:right w:val="none" w:sz="0" w:space="0" w:color="auto"/>
      </w:divBdr>
    </w:div>
    <w:div w:id="1954702224">
      <w:bodyDiv w:val="1"/>
      <w:marLeft w:val="0"/>
      <w:marRight w:val="0"/>
      <w:marTop w:val="0"/>
      <w:marBottom w:val="0"/>
      <w:divBdr>
        <w:top w:val="none" w:sz="0" w:space="0" w:color="auto"/>
        <w:left w:val="none" w:sz="0" w:space="0" w:color="auto"/>
        <w:bottom w:val="none" w:sz="0" w:space="0" w:color="auto"/>
        <w:right w:val="none" w:sz="0" w:space="0" w:color="auto"/>
      </w:divBdr>
      <w:divsChild>
        <w:div w:id="63527962">
          <w:marLeft w:val="547"/>
          <w:marRight w:val="0"/>
          <w:marTop w:val="134"/>
          <w:marBottom w:val="0"/>
          <w:divBdr>
            <w:top w:val="none" w:sz="0" w:space="0" w:color="auto"/>
            <w:left w:val="none" w:sz="0" w:space="0" w:color="auto"/>
            <w:bottom w:val="none" w:sz="0" w:space="0" w:color="auto"/>
            <w:right w:val="none" w:sz="0" w:space="0" w:color="auto"/>
          </w:divBdr>
        </w:div>
        <w:div w:id="651252697">
          <w:marLeft w:val="547"/>
          <w:marRight w:val="0"/>
          <w:marTop w:val="134"/>
          <w:marBottom w:val="0"/>
          <w:divBdr>
            <w:top w:val="none" w:sz="0" w:space="0" w:color="auto"/>
            <w:left w:val="none" w:sz="0" w:space="0" w:color="auto"/>
            <w:bottom w:val="none" w:sz="0" w:space="0" w:color="auto"/>
            <w:right w:val="none" w:sz="0" w:space="0" w:color="auto"/>
          </w:divBdr>
        </w:div>
        <w:div w:id="1509759364">
          <w:marLeft w:val="547"/>
          <w:marRight w:val="0"/>
          <w:marTop w:val="134"/>
          <w:marBottom w:val="0"/>
          <w:divBdr>
            <w:top w:val="none" w:sz="0" w:space="0" w:color="auto"/>
            <w:left w:val="none" w:sz="0" w:space="0" w:color="auto"/>
            <w:bottom w:val="none" w:sz="0" w:space="0" w:color="auto"/>
            <w:right w:val="none" w:sz="0" w:space="0" w:color="auto"/>
          </w:divBdr>
        </w:div>
      </w:divsChild>
    </w:div>
    <w:div w:id="2067223331">
      <w:bodyDiv w:val="1"/>
      <w:marLeft w:val="0"/>
      <w:marRight w:val="0"/>
      <w:marTop w:val="0"/>
      <w:marBottom w:val="0"/>
      <w:divBdr>
        <w:top w:val="none" w:sz="0" w:space="0" w:color="auto"/>
        <w:left w:val="none" w:sz="0" w:space="0" w:color="auto"/>
        <w:bottom w:val="none" w:sz="0" w:space="0" w:color="auto"/>
        <w:right w:val="none" w:sz="0" w:space="0" w:color="auto"/>
      </w:divBdr>
    </w:div>
    <w:div w:id="2145149646">
      <w:bodyDiv w:val="1"/>
      <w:marLeft w:val="0"/>
      <w:marRight w:val="0"/>
      <w:marTop w:val="0"/>
      <w:marBottom w:val="0"/>
      <w:divBdr>
        <w:top w:val="none" w:sz="0" w:space="0" w:color="auto"/>
        <w:left w:val="none" w:sz="0" w:space="0" w:color="auto"/>
        <w:bottom w:val="none" w:sz="0" w:space="0" w:color="auto"/>
        <w:right w:val="none" w:sz="0" w:space="0" w:color="auto"/>
      </w:divBdr>
    </w:div>
    <w:div w:id="21467705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99" Type="http://schemas.openxmlformats.org/officeDocument/2006/relationships/header" Target="header46.xml"/><Relationship Id="rId21" Type="http://schemas.openxmlformats.org/officeDocument/2006/relationships/image" Target="media/image3.png"/><Relationship Id="rId63" Type="http://schemas.openxmlformats.org/officeDocument/2006/relationships/header" Target="header11.xml"/><Relationship Id="rId159" Type="http://schemas.openxmlformats.org/officeDocument/2006/relationships/image" Target="media/image103.png"/><Relationship Id="rId324" Type="http://schemas.openxmlformats.org/officeDocument/2006/relationships/hyperlink" Target="https://doi.org/10.1007/s00213-017-4638-1" TargetMode="External"/><Relationship Id="rId366" Type="http://schemas.openxmlformats.org/officeDocument/2006/relationships/hyperlink" Target="https://doi.org/10.1038/nrn1348" TargetMode="External"/><Relationship Id="rId170" Type="http://schemas.openxmlformats.org/officeDocument/2006/relationships/footer" Target="footer16.xml"/><Relationship Id="rId226" Type="http://schemas.openxmlformats.org/officeDocument/2006/relationships/image" Target="media/image154.emf"/><Relationship Id="rId268" Type="http://schemas.openxmlformats.org/officeDocument/2006/relationships/image" Target="media/image188.png"/><Relationship Id="rId32" Type="http://schemas.openxmlformats.org/officeDocument/2006/relationships/image" Target="media/image13.png"/><Relationship Id="rId74" Type="http://schemas.openxmlformats.org/officeDocument/2006/relationships/image" Target="media/image43.png"/><Relationship Id="rId128" Type="http://schemas.openxmlformats.org/officeDocument/2006/relationships/image" Target="media/image78.png"/><Relationship Id="rId335" Type="http://schemas.openxmlformats.org/officeDocument/2006/relationships/hyperlink" Target="https://doi.org/10.1016/0006-3223(91)90024-G" TargetMode="External"/><Relationship Id="rId377" Type="http://schemas.openxmlformats.org/officeDocument/2006/relationships/hyperlink" Target="https://doi.org/10.1136/bjo.85.3.332" TargetMode="External"/><Relationship Id="rId5" Type="http://schemas.openxmlformats.org/officeDocument/2006/relationships/webSettings" Target="webSettings.xml"/><Relationship Id="rId181" Type="http://schemas.openxmlformats.org/officeDocument/2006/relationships/chart" Target="charts/chart13.xml"/><Relationship Id="rId237" Type="http://schemas.openxmlformats.org/officeDocument/2006/relationships/header" Target="header30.xml"/><Relationship Id="rId402" Type="http://schemas.openxmlformats.org/officeDocument/2006/relationships/hyperlink" Target="https://doi.org/10.1001/archinte.159.12.1359" TargetMode="External"/><Relationship Id="rId279" Type="http://schemas.openxmlformats.org/officeDocument/2006/relationships/image" Target="media/image194.png"/><Relationship Id="rId43" Type="http://schemas.openxmlformats.org/officeDocument/2006/relationships/image" Target="media/image24.png"/><Relationship Id="rId139" Type="http://schemas.openxmlformats.org/officeDocument/2006/relationships/image" Target="media/image87.png"/><Relationship Id="rId290" Type="http://schemas.openxmlformats.org/officeDocument/2006/relationships/image" Target="media/image197.png"/><Relationship Id="rId304" Type="http://schemas.openxmlformats.org/officeDocument/2006/relationships/hyperlink" Target="https://doi.org/10.1023/A:1002464316347" TargetMode="External"/><Relationship Id="rId346" Type="http://schemas.openxmlformats.org/officeDocument/2006/relationships/hyperlink" Target="https://doi.org/10.1016/j.paed.2015.09.009" TargetMode="External"/><Relationship Id="rId388" Type="http://schemas.openxmlformats.org/officeDocument/2006/relationships/hyperlink" Target="https://doi.org/10.1016/j.neurobiolaging.2009.04.001" TargetMode="External"/><Relationship Id="rId85" Type="http://schemas.openxmlformats.org/officeDocument/2006/relationships/header" Target="header14.xml"/><Relationship Id="rId150" Type="http://schemas.openxmlformats.org/officeDocument/2006/relationships/footer" Target="footer15.xml"/><Relationship Id="rId192" Type="http://schemas.openxmlformats.org/officeDocument/2006/relationships/image" Target="media/image120.emf"/><Relationship Id="rId206" Type="http://schemas.openxmlformats.org/officeDocument/2006/relationships/image" Target="media/image134.emf"/><Relationship Id="rId413" Type="http://schemas.openxmlformats.org/officeDocument/2006/relationships/hyperlink" Target="https://doi.org/10.1007/s00417-005-1148-3" TargetMode="External"/><Relationship Id="rId248" Type="http://schemas.openxmlformats.org/officeDocument/2006/relationships/image" Target="media/image172.png"/><Relationship Id="rId12" Type="http://schemas.openxmlformats.org/officeDocument/2006/relationships/footer" Target="footer2.xml"/><Relationship Id="rId108" Type="http://schemas.openxmlformats.org/officeDocument/2006/relationships/image" Target="media/image62.png"/><Relationship Id="rId315" Type="http://schemas.openxmlformats.org/officeDocument/2006/relationships/hyperlink" Target="https://doi.org/10.1016/j.clinph.2013.05.002" TargetMode="External"/><Relationship Id="rId357" Type="http://schemas.openxmlformats.org/officeDocument/2006/relationships/hyperlink" Target="https://doi.org/10.1038/eye.1995.110" TargetMode="External"/><Relationship Id="rId54" Type="http://schemas.openxmlformats.org/officeDocument/2006/relationships/image" Target="media/image31.png"/><Relationship Id="rId96" Type="http://schemas.openxmlformats.org/officeDocument/2006/relationships/footer" Target="footer9.xml"/><Relationship Id="rId161" Type="http://schemas.openxmlformats.org/officeDocument/2006/relationships/image" Target="media/image105.png"/><Relationship Id="rId217" Type="http://schemas.openxmlformats.org/officeDocument/2006/relationships/image" Target="media/image145.emf"/><Relationship Id="rId399" Type="http://schemas.openxmlformats.org/officeDocument/2006/relationships/hyperlink" Target="https://doi.org/10.1371/journal.pone.0222467" TargetMode="External"/><Relationship Id="rId259" Type="http://schemas.openxmlformats.org/officeDocument/2006/relationships/image" Target="media/image179.png"/><Relationship Id="rId424" Type="http://schemas.openxmlformats.org/officeDocument/2006/relationships/hyperlink" Target="https://doi.org/10.1016/0013-4694(93)90068-7" TargetMode="External"/><Relationship Id="rId23" Type="http://schemas.openxmlformats.org/officeDocument/2006/relationships/image" Target="media/image30.png"/><Relationship Id="rId119" Type="http://schemas.openxmlformats.org/officeDocument/2006/relationships/image" Target="media/image73.png"/><Relationship Id="rId270" Type="http://schemas.openxmlformats.org/officeDocument/2006/relationships/image" Target="media/image190.png"/><Relationship Id="rId326" Type="http://schemas.openxmlformats.org/officeDocument/2006/relationships/hyperlink" Target="https://doi.org/10.1097/00006324-200211000-00011" TargetMode="External"/><Relationship Id="rId65" Type="http://schemas.openxmlformats.org/officeDocument/2006/relationships/header" Target="header12.xml"/><Relationship Id="rId130" Type="http://schemas.openxmlformats.org/officeDocument/2006/relationships/image" Target="media/image80.png"/><Relationship Id="rId368" Type="http://schemas.openxmlformats.org/officeDocument/2006/relationships/hyperlink" Target="https://doi.org/10.1212/WNL.58.4.630" TargetMode="External"/><Relationship Id="rId172" Type="http://schemas.openxmlformats.org/officeDocument/2006/relationships/chart" Target="charts/chart7.xml"/><Relationship Id="rId228" Type="http://schemas.openxmlformats.org/officeDocument/2006/relationships/image" Target="media/image156.emf"/><Relationship Id="rId281" Type="http://schemas.openxmlformats.org/officeDocument/2006/relationships/header" Target="header37.xml"/><Relationship Id="rId337" Type="http://schemas.openxmlformats.org/officeDocument/2006/relationships/hyperlink" Target="https://doi.org/10.1001/jama.2021.19963" TargetMode="External"/><Relationship Id="rId34" Type="http://schemas.openxmlformats.org/officeDocument/2006/relationships/image" Target="media/image15.png"/><Relationship Id="rId76" Type="http://schemas.openxmlformats.org/officeDocument/2006/relationships/image" Target="media/image45.jpeg"/><Relationship Id="rId141" Type="http://schemas.openxmlformats.org/officeDocument/2006/relationships/image" Target="media/image89.png"/><Relationship Id="rId379" Type="http://schemas.openxmlformats.org/officeDocument/2006/relationships/hyperlink" Target="https://doi.org/10.1007/s00417-002-0519-2" TargetMode="External"/><Relationship Id="rId7" Type="http://schemas.openxmlformats.org/officeDocument/2006/relationships/endnotes" Target="endnotes.xml"/><Relationship Id="rId183" Type="http://schemas.openxmlformats.org/officeDocument/2006/relationships/image" Target="media/image111.png"/><Relationship Id="rId239" Type="http://schemas.openxmlformats.org/officeDocument/2006/relationships/image" Target="media/image165.png"/><Relationship Id="rId390" Type="http://schemas.openxmlformats.org/officeDocument/2006/relationships/hyperlink" Target="https://doi.org/10.1007/s00415-009-0027-y" TargetMode="External"/><Relationship Id="rId404" Type="http://schemas.openxmlformats.org/officeDocument/2006/relationships/hyperlink" Target="https://doi.org/10.1007/s10877-006-9057-5" TargetMode="External"/><Relationship Id="rId250" Type="http://schemas.openxmlformats.org/officeDocument/2006/relationships/hyperlink" Target="mailto:h.griffiths@sheffield.ac.uk" TargetMode="External"/><Relationship Id="rId292" Type="http://schemas.openxmlformats.org/officeDocument/2006/relationships/header" Target="header44.xml"/><Relationship Id="rId306" Type="http://schemas.openxmlformats.org/officeDocument/2006/relationships/hyperlink" Target="https://doi.org/10.4103/jfmpc.jfmpc_5_20" TargetMode="External"/><Relationship Id="rId45" Type="http://schemas.openxmlformats.org/officeDocument/2006/relationships/image" Target="media/image26.png"/><Relationship Id="rId87" Type="http://schemas.openxmlformats.org/officeDocument/2006/relationships/image" Target="media/image55.png"/><Relationship Id="rId110" Type="http://schemas.openxmlformats.org/officeDocument/2006/relationships/image" Target="media/image64.png"/><Relationship Id="rId348" Type="http://schemas.openxmlformats.org/officeDocument/2006/relationships/hyperlink" Target="https://doi.org/10.1152/jn.2000.83.5.2757" TargetMode="External"/><Relationship Id="rId152" Type="http://schemas.openxmlformats.org/officeDocument/2006/relationships/image" Target="media/image98.png"/><Relationship Id="rId194" Type="http://schemas.openxmlformats.org/officeDocument/2006/relationships/image" Target="media/image122.emf"/><Relationship Id="rId208" Type="http://schemas.openxmlformats.org/officeDocument/2006/relationships/image" Target="media/image136.emf"/><Relationship Id="rId415" Type="http://schemas.openxmlformats.org/officeDocument/2006/relationships/hyperlink" Target="https://doi.org/10.1016/j.brainres.2010.01.002" TargetMode="External"/><Relationship Id="rId261" Type="http://schemas.openxmlformats.org/officeDocument/2006/relationships/image" Target="media/image181.png"/><Relationship Id="rId14" Type="http://schemas.openxmlformats.org/officeDocument/2006/relationships/header" Target="header4.xml"/><Relationship Id="rId56" Type="http://schemas.openxmlformats.org/officeDocument/2006/relationships/image" Target="media/image32.png"/><Relationship Id="rId317" Type="http://schemas.openxmlformats.org/officeDocument/2006/relationships/hyperlink" Target="https://doi.org/10.1093/oxfordjournals.schbul.a033419" TargetMode="External"/><Relationship Id="rId359" Type="http://schemas.openxmlformats.org/officeDocument/2006/relationships/hyperlink" Target="https://doi.org/10.3758/s13428-012-0234-9" TargetMode="External"/><Relationship Id="rId98" Type="http://schemas.openxmlformats.org/officeDocument/2006/relationships/chart" Target="charts/chart1.xml"/><Relationship Id="rId121" Type="http://schemas.openxmlformats.org/officeDocument/2006/relationships/header" Target="header20.xml"/><Relationship Id="rId163" Type="http://schemas.openxmlformats.org/officeDocument/2006/relationships/image" Target="media/image1050.png"/><Relationship Id="rId219" Type="http://schemas.openxmlformats.org/officeDocument/2006/relationships/image" Target="media/image147.emf"/><Relationship Id="rId370" Type="http://schemas.openxmlformats.org/officeDocument/2006/relationships/hyperlink" Target="https://doi.org/10.1001/archopht.1970.00990040455010" TargetMode="External"/><Relationship Id="rId426" Type="http://schemas.openxmlformats.org/officeDocument/2006/relationships/hyperlink" Target="https://doi.org/10.1212/01.wnl.0000210448.47652.50" TargetMode="External"/><Relationship Id="rId230" Type="http://schemas.openxmlformats.org/officeDocument/2006/relationships/image" Target="media/image158.emf"/><Relationship Id="rId25" Type="http://schemas.openxmlformats.org/officeDocument/2006/relationships/image" Target="media/image6.png"/><Relationship Id="rId67" Type="http://schemas.openxmlformats.org/officeDocument/2006/relationships/header" Target="header13.xml"/><Relationship Id="rId272" Type="http://schemas.openxmlformats.org/officeDocument/2006/relationships/hyperlink" Target="http://is.na/" TargetMode="External"/><Relationship Id="rId328" Type="http://schemas.openxmlformats.org/officeDocument/2006/relationships/hyperlink" Target="https://doi.org/https://doi.org/10.1097/IOP.0b013e3182115229" TargetMode="External"/><Relationship Id="rId132" Type="http://schemas.openxmlformats.org/officeDocument/2006/relationships/image" Target="media/image82.png"/><Relationship Id="rId174" Type="http://schemas.openxmlformats.org/officeDocument/2006/relationships/chart" Target="charts/chart9.xml"/><Relationship Id="rId381" Type="http://schemas.openxmlformats.org/officeDocument/2006/relationships/hyperlink" Target="https://doi.org/10.1038/s41433-019-0749-8" TargetMode="External"/><Relationship Id="rId241" Type="http://schemas.openxmlformats.org/officeDocument/2006/relationships/image" Target="media/image167.png"/><Relationship Id="rId36" Type="http://schemas.openxmlformats.org/officeDocument/2006/relationships/image" Target="media/image17.png"/><Relationship Id="rId283" Type="http://schemas.openxmlformats.org/officeDocument/2006/relationships/header" Target="header39.xml"/><Relationship Id="rId339" Type="http://schemas.openxmlformats.org/officeDocument/2006/relationships/hyperlink" Target="https://doi.org/10.1037/0096-1523.25.1.210" TargetMode="External"/><Relationship Id="rId78" Type="http://schemas.openxmlformats.org/officeDocument/2006/relationships/image" Target="media/image47.png"/><Relationship Id="rId101" Type="http://schemas.openxmlformats.org/officeDocument/2006/relationships/chart" Target="charts/chart4.xml"/><Relationship Id="rId143" Type="http://schemas.openxmlformats.org/officeDocument/2006/relationships/image" Target="media/image91.png"/><Relationship Id="rId185" Type="http://schemas.openxmlformats.org/officeDocument/2006/relationships/image" Target="media/image113.png"/><Relationship Id="rId350" Type="http://schemas.openxmlformats.org/officeDocument/2006/relationships/hyperlink" Target="https://doi.org/10.1167/iovs.10-5480" TargetMode="External"/><Relationship Id="rId406" Type="http://schemas.openxmlformats.org/officeDocument/2006/relationships/hyperlink" Target="https://doi.org/https://doi.org/10.1016/S0079-6123(08)00609-2" TargetMode="External"/><Relationship Id="rId9" Type="http://schemas.openxmlformats.org/officeDocument/2006/relationships/header" Target="header1.xml"/><Relationship Id="rId210" Type="http://schemas.openxmlformats.org/officeDocument/2006/relationships/image" Target="media/image138.emf"/><Relationship Id="rId392" Type="http://schemas.openxmlformats.org/officeDocument/2006/relationships/hyperlink" Target="https://doi.org/10.12968/hmed.2017.78.12.C188" TargetMode="External"/><Relationship Id="rId252" Type="http://schemas.openxmlformats.org/officeDocument/2006/relationships/hyperlink" Target="mailto:nwshafee1@sheffield.ac.uk" TargetMode="External"/><Relationship Id="rId294" Type="http://schemas.openxmlformats.org/officeDocument/2006/relationships/image" Target="media/image199.png"/><Relationship Id="rId308" Type="http://schemas.openxmlformats.org/officeDocument/2006/relationships/hyperlink" Target="https://doi.org/10.1016/0042-6989(83)90171-2" TargetMode="External"/><Relationship Id="rId47" Type="http://schemas.openxmlformats.org/officeDocument/2006/relationships/footer" Target="footer3.xml"/><Relationship Id="rId89" Type="http://schemas.openxmlformats.org/officeDocument/2006/relationships/footer" Target="footer8.xml"/><Relationship Id="rId112" Type="http://schemas.openxmlformats.org/officeDocument/2006/relationships/image" Target="media/image66.png"/><Relationship Id="rId154" Type="http://schemas.openxmlformats.org/officeDocument/2006/relationships/image" Target="media/image100.png"/><Relationship Id="rId361" Type="http://schemas.openxmlformats.org/officeDocument/2006/relationships/hyperlink" Target="https://statistics.laerd.com/premium/spss/lr/linear-regression-in-spss.php" TargetMode="External"/><Relationship Id="rId196" Type="http://schemas.openxmlformats.org/officeDocument/2006/relationships/image" Target="media/image124.emf"/><Relationship Id="rId417" Type="http://schemas.openxmlformats.org/officeDocument/2006/relationships/hyperlink" Target="https://doi.org/10.1080/00140139.2014.990524" TargetMode="External"/><Relationship Id="rId16" Type="http://schemas.openxmlformats.org/officeDocument/2006/relationships/header" Target="header5.xml"/><Relationship Id="rId221" Type="http://schemas.openxmlformats.org/officeDocument/2006/relationships/image" Target="media/image149.emf"/><Relationship Id="rId263" Type="http://schemas.openxmlformats.org/officeDocument/2006/relationships/image" Target="media/image183.png"/><Relationship Id="rId319" Type="http://schemas.openxmlformats.org/officeDocument/2006/relationships/hyperlink" Target="https://doi.org/10.1016/S0002-9394(02)01695-1" TargetMode="External"/><Relationship Id="rId58" Type="http://schemas.openxmlformats.org/officeDocument/2006/relationships/image" Target="media/image33.jpeg"/><Relationship Id="rId123" Type="http://schemas.openxmlformats.org/officeDocument/2006/relationships/header" Target="header21.xml"/><Relationship Id="rId330" Type="http://schemas.openxmlformats.org/officeDocument/2006/relationships/hyperlink" Target="https://doi.org/10.1007/s10072-010-0395-1" TargetMode="External"/><Relationship Id="rId165" Type="http://schemas.openxmlformats.org/officeDocument/2006/relationships/image" Target="media/image107.png"/><Relationship Id="rId372" Type="http://schemas.openxmlformats.org/officeDocument/2006/relationships/hyperlink" Target="https://doi.org/10.4103/aca.ACA_157_18" TargetMode="External"/><Relationship Id="rId428" Type="http://schemas.openxmlformats.org/officeDocument/2006/relationships/header" Target="header48.xml"/><Relationship Id="rId232" Type="http://schemas.openxmlformats.org/officeDocument/2006/relationships/image" Target="media/image160.emf"/><Relationship Id="rId274" Type="http://schemas.openxmlformats.org/officeDocument/2006/relationships/image" Target="media/image192.png"/><Relationship Id="rId27" Type="http://schemas.openxmlformats.org/officeDocument/2006/relationships/image" Target="media/image8.png"/><Relationship Id="rId69" Type="http://schemas.openxmlformats.org/officeDocument/2006/relationships/image" Target="media/image38.png"/><Relationship Id="rId134" Type="http://schemas.openxmlformats.org/officeDocument/2006/relationships/image" Target="media/image84.png"/><Relationship Id="rId80" Type="http://schemas.openxmlformats.org/officeDocument/2006/relationships/image" Target="media/image49.png"/><Relationship Id="rId176" Type="http://schemas.openxmlformats.org/officeDocument/2006/relationships/chart" Target="charts/chart11.xml"/><Relationship Id="rId341" Type="http://schemas.openxmlformats.org/officeDocument/2006/relationships/hyperlink" Target="https://doi.org/10.1080/0065955X.2017.12023626" TargetMode="External"/><Relationship Id="rId383" Type="http://schemas.openxmlformats.org/officeDocument/2006/relationships/hyperlink" Target="https://doi.org/10.3389/fnint.2014.00052" TargetMode="External"/><Relationship Id="rId201" Type="http://schemas.openxmlformats.org/officeDocument/2006/relationships/image" Target="media/image129.emf"/><Relationship Id="rId243" Type="http://schemas.openxmlformats.org/officeDocument/2006/relationships/image" Target="media/image169.png"/><Relationship Id="rId285" Type="http://schemas.openxmlformats.org/officeDocument/2006/relationships/header" Target="header41.xml"/><Relationship Id="rId38" Type="http://schemas.openxmlformats.org/officeDocument/2006/relationships/image" Target="media/image19.png"/><Relationship Id="rId103" Type="http://schemas.openxmlformats.org/officeDocument/2006/relationships/header" Target="header18.xml"/><Relationship Id="rId310" Type="http://schemas.openxmlformats.org/officeDocument/2006/relationships/hyperlink" Target="https://doi.org/10.3758/s13428-018-1026-7" TargetMode="External"/><Relationship Id="rId91" Type="http://schemas.openxmlformats.org/officeDocument/2006/relationships/image" Target="media/image57.png"/><Relationship Id="rId145" Type="http://schemas.openxmlformats.org/officeDocument/2006/relationships/image" Target="media/image93.png"/><Relationship Id="rId187" Type="http://schemas.openxmlformats.org/officeDocument/2006/relationships/image" Target="media/image115.png"/><Relationship Id="rId352" Type="http://schemas.openxmlformats.org/officeDocument/2006/relationships/hyperlink" Target="https://doi.org/10.1167/iovs.05-1311" TargetMode="External"/><Relationship Id="rId394" Type="http://schemas.openxmlformats.org/officeDocument/2006/relationships/hyperlink" Target="https://doi.org/10.3758/s13428-019-01199-0" TargetMode="External"/><Relationship Id="rId408" Type="http://schemas.openxmlformats.org/officeDocument/2006/relationships/hyperlink" Target="https://doi.org/10.1017/S0033291796004230" TargetMode="External"/><Relationship Id="rId1" Type="http://schemas.openxmlformats.org/officeDocument/2006/relationships/customXml" Target="../customXml/item1.xml"/><Relationship Id="rId212" Type="http://schemas.openxmlformats.org/officeDocument/2006/relationships/image" Target="media/image140.emf"/><Relationship Id="rId233" Type="http://schemas.openxmlformats.org/officeDocument/2006/relationships/image" Target="media/image161.emf"/><Relationship Id="rId254" Type="http://schemas.openxmlformats.org/officeDocument/2006/relationships/image" Target="media/image174.png"/><Relationship Id="rId28" Type="http://schemas.openxmlformats.org/officeDocument/2006/relationships/image" Target="media/image9.png"/><Relationship Id="rId49" Type="http://schemas.openxmlformats.org/officeDocument/2006/relationships/footer" Target="footer4.xml"/><Relationship Id="rId114" Type="http://schemas.openxmlformats.org/officeDocument/2006/relationships/image" Target="media/image68.png"/><Relationship Id="rId275" Type="http://schemas.openxmlformats.org/officeDocument/2006/relationships/image" Target="media/image193.png"/><Relationship Id="rId296" Type="http://schemas.openxmlformats.org/officeDocument/2006/relationships/image" Target="media/image201.png"/><Relationship Id="rId300" Type="http://schemas.openxmlformats.org/officeDocument/2006/relationships/header" Target="header47.xml"/><Relationship Id="rId60" Type="http://schemas.openxmlformats.org/officeDocument/2006/relationships/image" Target="media/image35.png"/><Relationship Id="rId81" Type="http://schemas.openxmlformats.org/officeDocument/2006/relationships/image" Target="media/image50.png"/><Relationship Id="rId135" Type="http://schemas.openxmlformats.org/officeDocument/2006/relationships/image" Target="media/image85.png"/><Relationship Id="rId156" Type="http://schemas.openxmlformats.org/officeDocument/2006/relationships/image" Target="media/image102.png"/><Relationship Id="rId177" Type="http://schemas.openxmlformats.org/officeDocument/2006/relationships/header" Target="header27.xml"/><Relationship Id="rId198" Type="http://schemas.openxmlformats.org/officeDocument/2006/relationships/image" Target="media/image126.emf"/><Relationship Id="rId321" Type="http://schemas.openxmlformats.org/officeDocument/2006/relationships/hyperlink" Target="https://doi.org/10.1113/jphysiol.1988.sp017285" TargetMode="External"/><Relationship Id="rId342" Type="http://schemas.openxmlformats.org/officeDocument/2006/relationships/hyperlink" Target="https://doi.org/10.1371/journal.pone.0165046" TargetMode="External"/><Relationship Id="rId363" Type="http://schemas.openxmlformats.org/officeDocument/2006/relationships/hyperlink" Target="https://doi.org/10.1016/S1542-0124(12)70081-2" TargetMode="External"/><Relationship Id="rId384" Type="http://schemas.openxmlformats.org/officeDocument/2006/relationships/hyperlink" Target="https://doi.org/10.1016/j.pedneo.2014.02.007" TargetMode="External"/><Relationship Id="rId419" Type="http://schemas.openxmlformats.org/officeDocument/2006/relationships/hyperlink" Target="https://doi.org/10.1068/i0389" TargetMode="External"/><Relationship Id="rId202" Type="http://schemas.openxmlformats.org/officeDocument/2006/relationships/image" Target="media/image130.emf"/><Relationship Id="rId223" Type="http://schemas.openxmlformats.org/officeDocument/2006/relationships/image" Target="media/image151.emf"/><Relationship Id="rId244" Type="http://schemas.openxmlformats.org/officeDocument/2006/relationships/image" Target="media/image170.png"/><Relationship Id="rId430" Type="http://schemas.openxmlformats.org/officeDocument/2006/relationships/theme" Target="theme/theme1.xml"/><Relationship Id="rId18" Type="http://schemas.openxmlformats.org/officeDocument/2006/relationships/header" Target="header7.xml"/><Relationship Id="rId39" Type="http://schemas.openxmlformats.org/officeDocument/2006/relationships/image" Target="media/image20.png"/><Relationship Id="rId265" Type="http://schemas.openxmlformats.org/officeDocument/2006/relationships/image" Target="media/image185.png"/><Relationship Id="rId286" Type="http://schemas.openxmlformats.org/officeDocument/2006/relationships/header" Target="header42.xml"/><Relationship Id="rId50" Type="http://schemas.openxmlformats.org/officeDocument/2006/relationships/image" Target="media/image27.png"/><Relationship Id="rId104" Type="http://schemas.openxmlformats.org/officeDocument/2006/relationships/footer" Target="footer10.xml"/><Relationship Id="rId125" Type="http://schemas.openxmlformats.org/officeDocument/2006/relationships/image" Target="media/image75.png"/><Relationship Id="rId146" Type="http://schemas.openxmlformats.org/officeDocument/2006/relationships/image" Target="media/image94.png"/><Relationship Id="rId167" Type="http://schemas.openxmlformats.org/officeDocument/2006/relationships/image" Target="media/image109.png"/><Relationship Id="rId188" Type="http://schemas.openxmlformats.org/officeDocument/2006/relationships/image" Target="media/image116.emf"/><Relationship Id="rId311" Type="http://schemas.openxmlformats.org/officeDocument/2006/relationships/hyperlink" Target="https://doi.org/10.1016/j.visres.2013.02.001" TargetMode="External"/><Relationship Id="rId332" Type="http://schemas.openxmlformats.org/officeDocument/2006/relationships/hyperlink" Target="https://doi.org/10.1016/j.ophtha.2011.07.011" TargetMode="External"/><Relationship Id="rId353" Type="http://schemas.openxmlformats.org/officeDocument/2006/relationships/hyperlink" Target="https://doi.org/10.1167/iovs.01-0926" TargetMode="External"/><Relationship Id="rId374" Type="http://schemas.openxmlformats.org/officeDocument/2006/relationships/hyperlink" Target="https://doi.org/10.1093/geronj/49.5.M235" TargetMode="External"/><Relationship Id="rId395" Type="http://schemas.openxmlformats.org/officeDocument/2006/relationships/hyperlink" Target="https://doi.org/10.1016/S0006-3223(98)00369-2" TargetMode="External"/><Relationship Id="rId409" Type="http://schemas.openxmlformats.org/officeDocument/2006/relationships/hyperlink" Target="https://doi.org/10.1177/0301006615596886" TargetMode="External"/><Relationship Id="rId71" Type="http://schemas.openxmlformats.org/officeDocument/2006/relationships/image" Target="media/image40.jpeg"/><Relationship Id="rId92" Type="http://schemas.openxmlformats.org/officeDocument/2006/relationships/image" Target="media/image58.png"/><Relationship Id="rId213" Type="http://schemas.openxmlformats.org/officeDocument/2006/relationships/image" Target="media/image141.emf"/><Relationship Id="rId234" Type="http://schemas.openxmlformats.org/officeDocument/2006/relationships/image" Target="media/image162.emf"/><Relationship Id="rId420" Type="http://schemas.openxmlformats.org/officeDocument/2006/relationships/hyperlink" Target="https://doi.org/10.1111/phn.13064" TargetMode="External"/><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image" Target="media/image175.png"/><Relationship Id="rId276" Type="http://schemas.openxmlformats.org/officeDocument/2006/relationships/header" Target="header34.xml"/><Relationship Id="rId297" Type="http://schemas.openxmlformats.org/officeDocument/2006/relationships/image" Target="media/image202.png"/><Relationship Id="rId40" Type="http://schemas.openxmlformats.org/officeDocument/2006/relationships/image" Target="media/image21.png"/><Relationship Id="rId115" Type="http://schemas.openxmlformats.org/officeDocument/2006/relationships/image" Target="media/image69.png"/><Relationship Id="rId136" Type="http://schemas.openxmlformats.org/officeDocument/2006/relationships/image" Target="media/image86.png"/><Relationship Id="rId157" Type="http://schemas.openxmlformats.org/officeDocument/2006/relationships/header" Target="header24.xml"/><Relationship Id="rId178" Type="http://schemas.openxmlformats.org/officeDocument/2006/relationships/footer" Target="footer17.xml"/><Relationship Id="rId301" Type="http://schemas.openxmlformats.org/officeDocument/2006/relationships/hyperlink" Target="https://doi.org/10.1016/0006-3223(91)90248-K" TargetMode="External"/><Relationship Id="rId322" Type="http://schemas.openxmlformats.org/officeDocument/2006/relationships/hyperlink" Target="https://doi.org/10.1113/jphysiol.1984.sp015242" TargetMode="External"/><Relationship Id="rId343" Type="http://schemas.openxmlformats.org/officeDocument/2006/relationships/hyperlink" Target="https://doi.org/10.3758/s13428-018-1135-3" TargetMode="External"/><Relationship Id="rId364" Type="http://schemas.openxmlformats.org/officeDocument/2006/relationships/hyperlink" Target="https://doi.org/10.1007/7854_2010_60" TargetMode="External"/><Relationship Id="rId61" Type="http://schemas.openxmlformats.org/officeDocument/2006/relationships/image" Target="media/image36.png"/><Relationship Id="rId82" Type="http://schemas.openxmlformats.org/officeDocument/2006/relationships/image" Target="media/image51.png"/><Relationship Id="rId199" Type="http://schemas.openxmlformats.org/officeDocument/2006/relationships/image" Target="media/image127.emf"/><Relationship Id="rId203" Type="http://schemas.openxmlformats.org/officeDocument/2006/relationships/image" Target="media/image131.emf"/><Relationship Id="rId385" Type="http://schemas.openxmlformats.org/officeDocument/2006/relationships/hyperlink" Target="https://doi.org/10.1007/s00330-017-4860-6" TargetMode="External"/><Relationship Id="rId19" Type="http://schemas.openxmlformats.org/officeDocument/2006/relationships/header" Target="header8.xml"/><Relationship Id="rId224" Type="http://schemas.openxmlformats.org/officeDocument/2006/relationships/image" Target="media/image152.emf"/><Relationship Id="rId245" Type="http://schemas.openxmlformats.org/officeDocument/2006/relationships/image" Target="media/image171.png"/><Relationship Id="rId266" Type="http://schemas.openxmlformats.org/officeDocument/2006/relationships/image" Target="media/image186.png"/><Relationship Id="rId287" Type="http://schemas.openxmlformats.org/officeDocument/2006/relationships/header" Target="header43.xml"/><Relationship Id="rId410" Type="http://schemas.openxmlformats.org/officeDocument/2006/relationships/hyperlink" Target="https://doi.org/10.1080/09273970601180289" TargetMode="External"/><Relationship Id="rId30" Type="http://schemas.openxmlformats.org/officeDocument/2006/relationships/image" Target="media/image11.png"/><Relationship Id="rId105" Type="http://schemas.openxmlformats.org/officeDocument/2006/relationships/header" Target="header19.xml"/><Relationship Id="rId126" Type="http://schemas.openxmlformats.org/officeDocument/2006/relationships/image" Target="media/image76.png"/><Relationship Id="rId147" Type="http://schemas.openxmlformats.org/officeDocument/2006/relationships/image" Target="media/image95.png"/><Relationship Id="rId168" Type="http://schemas.openxmlformats.org/officeDocument/2006/relationships/image" Target="media/image110.png"/><Relationship Id="rId312" Type="http://schemas.openxmlformats.org/officeDocument/2006/relationships/hyperlink" Target="https://doi.org/10.1016/j.biopsych.2012.04.019" TargetMode="External"/><Relationship Id="rId333" Type="http://schemas.openxmlformats.org/officeDocument/2006/relationships/hyperlink" Target="https://doi.org/10.1080/08035250500423804" TargetMode="External"/><Relationship Id="rId354" Type="http://schemas.openxmlformats.org/officeDocument/2006/relationships/hyperlink" Target="https://doi.org/10.1007/s11940-015-0338-5" TargetMode="External"/><Relationship Id="rId51" Type="http://schemas.openxmlformats.org/officeDocument/2006/relationships/image" Target="media/image28.jpeg"/><Relationship Id="rId72" Type="http://schemas.openxmlformats.org/officeDocument/2006/relationships/image" Target="media/image41.png"/><Relationship Id="rId93" Type="http://schemas.openxmlformats.org/officeDocument/2006/relationships/image" Target="media/image59.png"/><Relationship Id="rId189" Type="http://schemas.openxmlformats.org/officeDocument/2006/relationships/image" Target="media/image117.emf"/><Relationship Id="rId375" Type="http://schemas.openxmlformats.org/officeDocument/2006/relationships/hyperlink" Target="https://doi.org/10.1007/s002210050473" TargetMode="External"/><Relationship Id="rId396" Type="http://schemas.openxmlformats.org/officeDocument/2006/relationships/hyperlink" Target="https://doi.org/10.1016/0042-6989(95)00302-9" TargetMode="External"/><Relationship Id="rId3" Type="http://schemas.openxmlformats.org/officeDocument/2006/relationships/styles" Target="styles.xml"/><Relationship Id="rId214" Type="http://schemas.openxmlformats.org/officeDocument/2006/relationships/image" Target="media/image142.emf"/><Relationship Id="rId235" Type="http://schemas.openxmlformats.org/officeDocument/2006/relationships/image" Target="media/image163.emf"/><Relationship Id="rId256" Type="http://schemas.openxmlformats.org/officeDocument/2006/relationships/image" Target="media/image176.png"/><Relationship Id="rId277" Type="http://schemas.openxmlformats.org/officeDocument/2006/relationships/header" Target="header35.xml"/><Relationship Id="rId298" Type="http://schemas.openxmlformats.org/officeDocument/2006/relationships/image" Target="media/image203.png"/><Relationship Id="rId400" Type="http://schemas.openxmlformats.org/officeDocument/2006/relationships/hyperlink" Target="https://doi.org/10.1016/S0385-8146(00)00051-1" TargetMode="External"/><Relationship Id="rId421" Type="http://schemas.openxmlformats.org/officeDocument/2006/relationships/hyperlink" Target="https://doi.org/10.1007/s00415-017-8469-0" TargetMode="External"/><Relationship Id="rId116" Type="http://schemas.openxmlformats.org/officeDocument/2006/relationships/image" Target="media/image70.png"/><Relationship Id="rId137" Type="http://schemas.openxmlformats.org/officeDocument/2006/relationships/header" Target="header22.xml"/><Relationship Id="rId158" Type="http://schemas.openxmlformats.org/officeDocument/2006/relationships/header" Target="header25.xml"/><Relationship Id="rId302" Type="http://schemas.openxmlformats.org/officeDocument/2006/relationships/hyperlink" Target="https://doi.org/10.1016/0042-6989(83)90038-X" TargetMode="External"/><Relationship Id="rId323" Type="http://schemas.openxmlformats.org/officeDocument/2006/relationships/hyperlink" Target="https://doi.org/10.1016/0042-6989(75)90098-X" TargetMode="External"/><Relationship Id="rId344" Type="http://schemas.openxmlformats.org/officeDocument/2006/relationships/hyperlink" Target="https://doi.org/10.1371/journal.pone.0204008" TargetMode="External"/><Relationship Id="rId20" Type="http://schemas.openxmlformats.org/officeDocument/2006/relationships/image" Target="media/image2.png"/><Relationship Id="rId41" Type="http://schemas.openxmlformats.org/officeDocument/2006/relationships/image" Target="media/image22.png"/><Relationship Id="rId62" Type="http://schemas.openxmlformats.org/officeDocument/2006/relationships/image" Target="media/image37.png"/><Relationship Id="rId83" Type="http://schemas.openxmlformats.org/officeDocument/2006/relationships/image" Target="media/image52.png"/><Relationship Id="rId179" Type="http://schemas.openxmlformats.org/officeDocument/2006/relationships/header" Target="header28.xml"/><Relationship Id="rId365" Type="http://schemas.openxmlformats.org/officeDocument/2006/relationships/hyperlink" Target="https://doi.org/10.1111/j.1474-7766.2005.00336.x" TargetMode="External"/><Relationship Id="rId386" Type="http://schemas.openxmlformats.org/officeDocument/2006/relationships/hyperlink" Target="https://doi.org/10.1038/sj.eye.6702720" TargetMode="External"/><Relationship Id="rId190" Type="http://schemas.openxmlformats.org/officeDocument/2006/relationships/image" Target="media/image118.emf"/><Relationship Id="rId204" Type="http://schemas.openxmlformats.org/officeDocument/2006/relationships/image" Target="media/image132.emf"/><Relationship Id="rId225" Type="http://schemas.openxmlformats.org/officeDocument/2006/relationships/image" Target="media/image153.emf"/><Relationship Id="rId246" Type="http://schemas.openxmlformats.org/officeDocument/2006/relationships/header" Target="header31.xml"/><Relationship Id="rId267" Type="http://schemas.openxmlformats.org/officeDocument/2006/relationships/image" Target="media/image187.png"/><Relationship Id="rId288" Type="http://schemas.openxmlformats.org/officeDocument/2006/relationships/image" Target="media/image195.png"/><Relationship Id="rId411" Type="http://schemas.openxmlformats.org/officeDocument/2006/relationships/hyperlink" Target="https://doi.org/10.1016/0042-6989(83)90171-2" TargetMode="External"/><Relationship Id="rId106" Type="http://schemas.openxmlformats.org/officeDocument/2006/relationships/footer" Target="footer11.xml"/><Relationship Id="rId127" Type="http://schemas.openxmlformats.org/officeDocument/2006/relationships/image" Target="media/image77.png"/><Relationship Id="rId313" Type="http://schemas.openxmlformats.org/officeDocument/2006/relationships/hyperlink" Target="https://doi.org/10.1016/0022-510x(91)90276-d" TargetMode="External"/><Relationship Id="rId10" Type="http://schemas.openxmlformats.org/officeDocument/2006/relationships/footer" Target="footer1.xml"/><Relationship Id="rId31" Type="http://schemas.openxmlformats.org/officeDocument/2006/relationships/image" Target="media/image12.png"/><Relationship Id="rId52" Type="http://schemas.openxmlformats.org/officeDocument/2006/relationships/image" Target="media/image29.png"/><Relationship Id="rId73" Type="http://schemas.openxmlformats.org/officeDocument/2006/relationships/image" Target="media/image42.png"/><Relationship Id="rId94" Type="http://schemas.openxmlformats.org/officeDocument/2006/relationships/image" Target="media/image60.png"/><Relationship Id="rId148" Type="http://schemas.openxmlformats.org/officeDocument/2006/relationships/image" Target="media/image96.png"/><Relationship Id="rId169" Type="http://schemas.openxmlformats.org/officeDocument/2006/relationships/header" Target="header26.xml"/><Relationship Id="rId334" Type="http://schemas.openxmlformats.org/officeDocument/2006/relationships/hyperlink" Target="https://doi.org/10.1001/jamaophthalmol.2016.4456" TargetMode="External"/><Relationship Id="rId355" Type="http://schemas.openxmlformats.org/officeDocument/2006/relationships/hyperlink" Target="https://doi.org/10.1080/09273972.2021.1914679" TargetMode="External"/><Relationship Id="rId376" Type="http://schemas.openxmlformats.org/officeDocument/2006/relationships/hyperlink" Target="https://doi.org/10.1001/archophthalmol.2011.25" TargetMode="External"/><Relationship Id="rId397" Type="http://schemas.openxmlformats.org/officeDocument/2006/relationships/hyperlink" Target="https://doi.org/10.1055/s-2007-979682" TargetMode="External"/><Relationship Id="rId4" Type="http://schemas.openxmlformats.org/officeDocument/2006/relationships/settings" Target="settings.xml"/><Relationship Id="rId180" Type="http://schemas.openxmlformats.org/officeDocument/2006/relationships/chart" Target="charts/chart12.xml"/><Relationship Id="rId215" Type="http://schemas.openxmlformats.org/officeDocument/2006/relationships/image" Target="media/image143.emf"/><Relationship Id="rId236" Type="http://schemas.openxmlformats.org/officeDocument/2006/relationships/header" Target="header29.xml"/><Relationship Id="rId257" Type="http://schemas.openxmlformats.org/officeDocument/2006/relationships/image" Target="media/image177.png"/><Relationship Id="rId278" Type="http://schemas.openxmlformats.org/officeDocument/2006/relationships/header" Target="header36.xml"/><Relationship Id="rId401" Type="http://schemas.openxmlformats.org/officeDocument/2006/relationships/hyperlink" Target="https://doi.org/10.3171/2014.10.JNS14762" TargetMode="External"/><Relationship Id="rId422" Type="http://schemas.openxmlformats.org/officeDocument/2006/relationships/hyperlink" Target="https://doi.org/10.1002/ana.410160405" TargetMode="External"/><Relationship Id="rId303" Type="http://schemas.openxmlformats.org/officeDocument/2006/relationships/hyperlink" Target="https://doi.org/10.1007/s10384-007-0489-3" TargetMode="External"/><Relationship Id="rId42" Type="http://schemas.openxmlformats.org/officeDocument/2006/relationships/image" Target="media/image23.jpeg"/><Relationship Id="rId84" Type="http://schemas.openxmlformats.org/officeDocument/2006/relationships/image" Target="media/image53.png"/><Relationship Id="rId138" Type="http://schemas.openxmlformats.org/officeDocument/2006/relationships/footer" Target="footer14.xml"/><Relationship Id="rId345" Type="http://schemas.openxmlformats.org/officeDocument/2006/relationships/hyperlink" Target="https://doi.org/10.1167/iovs.05-0234" TargetMode="External"/><Relationship Id="rId387" Type="http://schemas.openxmlformats.org/officeDocument/2006/relationships/hyperlink" Target="https://doi.org/10.1016/j.neurobiolaging.2009.04.001" TargetMode="External"/><Relationship Id="rId191" Type="http://schemas.openxmlformats.org/officeDocument/2006/relationships/image" Target="media/image119.emf"/><Relationship Id="rId205" Type="http://schemas.openxmlformats.org/officeDocument/2006/relationships/image" Target="media/image133.emf"/><Relationship Id="rId247" Type="http://schemas.openxmlformats.org/officeDocument/2006/relationships/footer" Target="footer18.xml"/><Relationship Id="rId412" Type="http://schemas.openxmlformats.org/officeDocument/2006/relationships/hyperlink" Target="https://doi.org/10.1016/j.visres.2012.10.012" TargetMode="External"/><Relationship Id="rId107" Type="http://schemas.openxmlformats.org/officeDocument/2006/relationships/image" Target="media/image61.png"/><Relationship Id="rId289" Type="http://schemas.openxmlformats.org/officeDocument/2006/relationships/image" Target="media/image196.png"/><Relationship Id="rId11" Type="http://schemas.openxmlformats.org/officeDocument/2006/relationships/header" Target="header2.xml"/><Relationship Id="rId53" Type="http://schemas.openxmlformats.org/officeDocument/2006/relationships/image" Target="media/image30.jpeg"/><Relationship Id="rId149" Type="http://schemas.openxmlformats.org/officeDocument/2006/relationships/header" Target="header23.xml"/><Relationship Id="rId314" Type="http://schemas.openxmlformats.org/officeDocument/2006/relationships/hyperlink" Target="https://doi.org/10.1212/WNL.57.11.2070" TargetMode="External"/><Relationship Id="rId356" Type="http://schemas.openxmlformats.org/officeDocument/2006/relationships/hyperlink" Target="https://doi.org/10.3389/fnbeh.2012.00049" TargetMode="External"/><Relationship Id="rId398" Type="http://schemas.openxmlformats.org/officeDocument/2006/relationships/hyperlink" Target="https://doi.org/10.1001/archopht.1981.03930010078006" TargetMode="External"/><Relationship Id="rId95" Type="http://schemas.openxmlformats.org/officeDocument/2006/relationships/header" Target="header16.xml"/><Relationship Id="rId160" Type="http://schemas.openxmlformats.org/officeDocument/2006/relationships/image" Target="media/image104.png"/><Relationship Id="rId216" Type="http://schemas.openxmlformats.org/officeDocument/2006/relationships/image" Target="media/image144.emf"/><Relationship Id="rId423" Type="http://schemas.openxmlformats.org/officeDocument/2006/relationships/hyperlink" Target="https://doi.org/10.1167/iovs.13-12032" TargetMode="External"/><Relationship Id="rId258" Type="http://schemas.openxmlformats.org/officeDocument/2006/relationships/image" Target="media/image178.png"/><Relationship Id="rId22" Type="http://schemas.openxmlformats.org/officeDocument/2006/relationships/image" Target="media/image4.png"/><Relationship Id="rId64" Type="http://schemas.openxmlformats.org/officeDocument/2006/relationships/footer" Target="footer5.xml"/><Relationship Id="rId118" Type="http://schemas.openxmlformats.org/officeDocument/2006/relationships/image" Target="media/image72.png"/><Relationship Id="rId325" Type="http://schemas.openxmlformats.org/officeDocument/2006/relationships/hyperlink" Target="https://doi.org/10.1364/JOSA.50.000572" TargetMode="External"/><Relationship Id="rId367" Type="http://schemas.openxmlformats.org/officeDocument/2006/relationships/hyperlink" Target="https://doi.org/10.3389/fnbeh.2012.00088" TargetMode="External"/><Relationship Id="rId171" Type="http://schemas.openxmlformats.org/officeDocument/2006/relationships/chart" Target="charts/chart6.xml"/><Relationship Id="rId227" Type="http://schemas.openxmlformats.org/officeDocument/2006/relationships/image" Target="media/image155.emf"/><Relationship Id="rId269" Type="http://schemas.openxmlformats.org/officeDocument/2006/relationships/image" Target="media/image189.png"/><Relationship Id="rId33" Type="http://schemas.openxmlformats.org/officeDocument/2006/relationships/image" Target="media/image14.png"/><Relationship Id="rId129" Type="http://schemas.openxmlformats.org/officeDocument/2006/relationships/image" Target="media/image79.png"/><Relationship Id="rId280" Type="http://schemas.openxmlformats.org/officeDocument/2006/relationships/hyperlink" Target="https://www.surveysystem.com/sscalc.htm" TargetMode="External"/><Relationship Id="rId336" Type="http://schemas.openxmlformats.org/officeDocument/2006/relationships/hyperlink" Target="https://doi.org/10.1017/S003329170003628X" TargetMode="External"/><Relationship Id="rId75" Type="http://schemas.openxmlformats.org/officeDocument/2006/relationships/image" Target="media/image44.png"/><Relationship Id="rId140" Type="http://schemas.openxmlformats.org/officeDocument/2006/relationships/image" Target="media/image88.png"/><Relationship Id="rId182" Type="http://schemas.openxmlformats.org/officeDocument/2006/relationships/chart" Target="charts/chart14.xml"/><Relationship Id="rId378" Type="http://schemas.openxmlformats.org/officeDocument/2006/relationships/hyperlink" Target="https://doi.org/10.1167/iovs.03-0689" TargetMode="External"/><Relationship Id="rId403" Type="http://schemas.openxmlformats.org/officeDocument/2006/relationships/hyperlink" Target="https://doi.org/10.1016/S0002-9394(14)71688-5" TargetMode="External"/><Relationship Id="rId6" Type="http://schemas.openxmlformats.org/officeDocument/2006/relationships/footnotes" Target="footnotes.xml"/><Relationship Id="rId238" Type="http://schemas.openxmlformats.org/officeDocument/2006/relationships/image" Target="media/image164.png"/><Relationship Id="rId291" Type="http://schemas.openxmlformats.org/officeDocument/2006/relationships/image" Target="media/image198.png"/><Relationship Id="rId305" Type="http://schemas.openxmlformats.org/officeDocument/2006/relationships/hyperlink" Target="https://doi.org/10.3928/01913913-20120710-05" TargetMode="External"/><Relationship Id="rId347" Type="http://schemas.openxmlformats.org/officeDocument/2006/relationships/hyperlink" Target="https://doi.org/10.1016/0013-4694(83)90223-7" TargetMode="External"/><Relationship Id="rId44" Type="http://schemas.openxmlformats.org/officeDocument/2006/relationships/image" Target="media/image25.gif"/><Relationship Id="rId86" Type="http://schemas.openxmlformats.org/officeDocument/2006/relationships/image" Target="media/image54.png"/><Relationship Id="rId151" Type="http://schemas.openxmlformats.org/officeDocument/2006/relationships/image" Target="media/image97.png"/><Relationship Id="rId389" Type="http://schemas.openxmlformats.org/officeDocument/2006/relationships/hyperlink" Target="https://doi.org/10.1080/2576117X.2018.1481266" TargetMode="External"/><Relationship Id="rId193" Type="http://schemas.openxmlformats.org/officeDocument/2006/relationships/image" Target="media/image121.emf"/><Relationship Id="rId207" Type="http://schemas.openxmlformats.org/officeDocument/2006/relationships/image" Target="media/image135.emf"/><Relationship Id="rId249" Type="http://schemas.openxmlformats.org/officeDocument/2006/relationships/header" Target="header32.xml"/><Relationship Id="rId414" Type="http://schemas.openxmlformats.org/officeDocument/2006/relationships/hyperlink" Target="https://doi.org/10.1007/s00415-012-6435-4" TargetMode="External"/><Relationship Id="rId13" Type="http://schemas.openxmlformats.org/officeDocument/2006/relationships/header" Target="header3.xml"/><Relationship Id="rId109" Type="http://schemas.openxmlformats.org/officeDocument/2006/relationships/image" Target="media/image63.png"/><Relationship Id="rId260" Type="http://schemas.openxmlformats.org/officeDocument/2006/relationships/image" Target="media/image180.png"/><Relationship Id="rId316" Type="http://schemas.openxmlformats.org/officeDocument/2006/relationships/hyperlink" Target="https://doi.org/10.1016/0167-4943(96)00698-X" TargetMode="External"/><Relationship Id="rId55" Type="http://schemas.openxmlformats.org/officeDocument/2006/relationships/oleObject" Target="embeddings/oleObject1.bin"/><Relationship Id="rId97" Type="http://schemas.openxmlformats.org/officeDocument/2006/relationships/header" Target="header17.xml"/><Relationship Id="rId120" Type="http://schemas.openxmlformats.org/officeDocument/2006/relationships/image" Target="media/image74.png"/><Relationship Id="rId358" Type="http://schemas.openxmlformats.org/officeDocument/2006/relationships/hyperlink" Target="https://doi.org/10.1007/s00221-005-2265-2" TargetMode="External"/><Relationship Id="rId162" Type="http://schemas.openxmlformats.org/officeDocument/2006/relationships/image" Target="media/image106.png"/><Relationship Id="rId218" Type="http://schemas.openxmlformats.org/officeDocument/2006/relationships/image" Target="media/image146.emf"/><Relationship Id="rId425" Type="http://schemas.openxmlformats.org/officeDocument/2006/relationships/hyperlink" Target="https://doi.org/10.2147/EB.S253305" TargetMode="External"/><Relationship Id="rId271" Type="http://schemas.openxmlformats.org/officeDocument/2006/relationships/header" Target="header33.xml"/><Relationship Id="rId24" Type="http://schemas.openxmlformats.org/officeDocument/2006/relationships/image" Target="media/image5.png"/><Relationship Id="rId66" Type="http://schemas.openxmlformats.org/officeDocument/2006/relationships/footer" Target="footer6.xml"/><Relationship Id="rId131" Type="http://schemas.openxmlformats.org/officeDocument/2006/relationships/image" Target="media/image81.png"/><Relationship Id="rId327" Type="http://schemas.openxmlformats.org/officeDocument/2006/relationships/hyperlink" Target="https://doi.org/10.1111/j.1475-1313.2004.00213.x" TargetMode="External"/><Relationship Id="rId369" Type="http://schemas.openxmlformats.org/officeDocument/2006/relationships/hyperlink" Target="https://doi.org/10.1167/tvst.8.4.13" TargetMode="External"/><Relationship Id="rId173" Type="http://schemas.openxmlformats.org/officeDocument/2006/relationships/chart" Target="charts/chart8.xml"/><Relationship Id="rId229" Type="http://schemas.openxmlformats.org/officeDocument/2006/relationships/image" Target="media/image157.emf"/><Relationship Id="rId380" Type="http://schemas.openxmlformats.org/officeDocument/2006/relationships/hyperlink" Target="https://doi.org/10.1016/j.neulet.2009.04.026" TargetMode="External"/><Relationship Id="rId240" Type="http://schemas.openxmlformats.org/officeDocument/2006/relationships/image" Target="media/image166.png"/><Relationship Id="rId35" Type="http://schemas.openxmlformats.org/officeDocument/2006/relationships/image" Target="media/image16.png"/><Relationship Id="rId77" Type="http://schemas.openxmlformats.org/officeDocument/2006/relationships/image" Target="media/image46.png"/><Relationship Id="rId100" Type="http://schemas.openxmlformats.org/officeDocument/2006/relationships/chart" Target="charts/chart3.xml"/><Relationship Id="rId282" Type="http://schemas.openxmlformats.org/officeDocument/2006/relationships/header" Target="header38.xml"/><Relationship Id="rId338" Type="http://schemas.openxmlformats.org/officeDocument/2006/relationships/hyperlink" Target="https://doi.org/10.1055/s-2007-973507" TargetMode="External"/><Relationship Id="rId8" Type="http://schemas.openxmlformats.org/officeDocument/2006/relationships/image" Target="media/image1.jpeg"/><Relationship Id="rId142" Type="http://schemas.openxmlformats.org/officeDocument/2006/relationships/image" Target="media/image90.png"/><Relationship Id="rId184" Type="http://schemas.openxmlformats.org/officeDocument/2006/relationships/image" Target="media/image112.png"/><Relationship Id="rId391" Type="http://schemas.openxmlformats.org/officeDocument/2006/relationships/hyperlink" Target="https://doi.org/10.1037/0735-7044.118.1.237" TargetMode="External"/><Relationship Id="rId405" Type="http://schemas.openxmlformats.org/officeDocument/2006/relationships/hyperlink" Target="https://doi.org/10.1016/j.neurobiolaging.2010.09.016" TargetMode="External"/><Relationship Id="rId251" Type="http://schemas.openxmlformats.org/officeDocument/2006/relationships/hyperlink" Target="mailto:h.davis@sheffield.ac.uk" TargetMode="External"/><Relationship Id="rId46" Type="http://schemas.openxmlformats.org/officeDocument/2006/relationships/header" Target="header9.xml"/><Relationship Id="rId293" Type="http://schemas.openxmlformats.org/officeDocument/2006/relationships/header" Target="header45.xml"/><Relationship Id="rId307" Type="http://schemas.openxmlformats.org/officeDocument/2006/relationships/hyperlink" Target="https://doi.org/10.1016/0025-5564(75)90075-9" TargetMode="External"/><Relationship Id="rId349" Type="http://schemas.openxmlformats.org/officeDocument/2006/relationships/hyperlink" Target="https://doi.org/10.1016/j.anl.2004.11.009" TargetMode="External"/><Relationship Id="rId88" Type="http://schemas.openxmlformats.org/officeDocument/2006/relationships/header" Target="header15.xml"/><Relationship Id="rId111" Type="http://schemas.openxmlformats.org/officeDocument/2006/relationships/image" Target="media/image65.png"/><Relationship Id="rId153" Type="http://schemas.openxmlformats.org/officeDocument/2006/relationships/image" Target="media/image99.png"/><Relationship Id="rId195" Type="http://schemas.openxmlformats.org/officeDocument/2006/relationships/image" Target="media/image123.emf"/><Relationship Id="rId209" Type="http://schemas.openxmlformats.org/officeDocument/2006/relationships/image" Target="media/image137.emf"/><Relationship Id="rId360" Type="http://schemas.openxmlformats.org/officeDocument/2006/relationships/hyperlink" Target="https://doi.org/10.1016/0042-6989(94)00255-K" TargetMode="External"/><Relationship Id="rId416" Type="http://schemas.openxmlformats.org/officeDocument/2006/relationships/hyperlink" Target="https://doi.org/10.1016/S0165-0270(01)00527-1" TargetMode="External"/><Relationship Id="rId220" Type="http://schemas.openxmlformats.org/officeDocument/2006/relationships/image" Target="media/image148.emf"/><Relationship Id="rId15" Type="http://schemas.openxmlformats.org/officeDocument/2006/relationships/hyperlink" Target="http://www.sheffield.ac.uk/ssid/unfair-means" TargetMode="External"/><Relationship Id="rId57" Type="http://schemas.openxmlformats.org/officeDocument/2006/relationships/oleObject" Target="embeddings/oleObject2.bin"/><Relationship Id="rId262" Type="http://schemas.openxmlformats.org/officeDocument/2006/relationships/image" Target="media/image182.png"/><Relationship Id="rId318" Type="http://schemas.openxmlformats.org/officeDocument/2006/relationships/hyperlink" Target="https://doi.org/10.1038/s41433-019-0417-z" TargetMode="External"/><Relationship Id="rId99" Type="http://schemas.openxmlformats.org/officeDocument/2006/relationships/chart" Target="charts/chart2.xml"/><Relationship Id="rId122" Type="http://schemas.openxmlformats.org/officeDocument/2006/relationships/footer" Target="footer12.xml"/><Relationship Id="rId164" Type="http://schemas.openxmlformats.org/officeDocument/2006/relationships/image" Target="media/image1060.png"/><Relationship Id="rId371" Type="http://schemas.openxmlformats.org/officeDocument/2006/relationships/hyperlink" Target="https://doi.org/10.1080/01930826.2014.903365" TargetMode="External"/><Relationship Id="rId427" Type="http://schemas.openxmlformats.org/officeDocument/2006/relationships/hyperlink" Target="https://doi.org/10.1007/s00221-005-0249-x" TargetMode="External"/><Relationship Id="rId26" Type="http://schemas.openxmlformats.org/officeDocument/2006/relationships/image" Target="media/image7.png"/><Relationship Id="rId231" Type="http://schemas.openxmlformats.org/officeDocument/2006/relationships/image" Target="media/image159.emf"/><Relationship Id="rId273" Type="http://schemas.openxmlformats.org/officeDocument/2006/relationships/image" Target="media/image191.png"/><Relationship Id="rId329" Type="http://schemas.openxmlformats.org/officeDocument/2006/relationships/hyperlink" Target="https://doi.org/10.1136/jnnp.2004.053413" TargetMode="External"/><Relationship Id="rId68" Type="http://schemas.openxmlformats.org/officeDocument/2006/relationships/footer" Target="footer7.xml"/><Relationship Id="rId133" Type="http://schemas.openxmlformats.org/officeDocument/2006/relationships/image" Target="media/image83.png"/><Relationship Id="rId175" Type="http://schemas.openxmlformats.org/officeDocument/2006/relationships/chart" Target="charts/chart10.xml"/><Relationship Id="rId340" Type="http://schemas.openxmlformats.org/officeDocument/2006/relationships/hyperlink" Target="https://doi.org/10.3109/00016488009127168" TargetMode="External"/><Relationship Id="rId200" Type="http://schemas.openxmlformats.org/officeDocument/2006/relationships/image" Target="media/image128.emf"/><Relationship Id="rId382" Type="http://schemas.openxmlformats.org/officeDocument/2006/relationships/hyperlink" Target="https://doi.org/10.1159/000275745" TargetMode="External"/><Relationship Id="rId242" Type="http://schemas.openxmlformats.org/officeDocument/2006/relationships/image" Target="media/image168.png"/><Relationship Id="rId284" Type="http://schemas.openxmlformats.org/officeDocument/2006/relationships/header" Target="header40.xml"/><Relationship Id="rId37" Type="http://schemas.openxmlformats.org/officeDocument/2006/relationships/image" Target="media/image18.emf"/><Relationship Id="rId79" Type="http://schemas.openxmlformats.org/officeDocument/2006/relationships/image" Target="media/image48.png"/><Relationship Id="rId102" Type="http://schemas.openxmlformats.org/officeDocument/2006/relationships/chart" Target="charts/chart5.xml"/><Relationship Id="rId144" Type="http://schemas.openxmlformats.org/officeDocument/2006/relationships/image" Target="media/image92.png"/><Relationship Id="rId90" Type="http://schemas.openxmlformats.org/officeDocument/2006/relationships/image" Target="media/image56.png"/><Relationship Id="rId186" Type="http://schemas.openxmlformats.org/officeDocument/2006/relationships/image" Target="media/image114.png"/><Relationship Id="rId351" Type="http://schemas.openxmlformats.org/officeDocument/2006/relationships/hyperlink" Target="https://doi.org/10.1016/j.exer.2018.08.020" TargetMode="External"/><Relationship Id="rId393" Type="http://schemas.openxmlformats.org/officeDocument/2006/relationships/hyperlink" Target="https://doi.org/10.1016/j.neuroimage.2006.05.021" TargetMode="External"/><Relationship Id="rId407" Type="http://schemas.openxmlformats.org/officeDocument/2006/relationships/hyperlink" Target="https://doi.org/10.1080/09273970590901810" TargetMode="External"/><Relationship Id="rId211" Type="http://schemas.openxmlformats.org/officeDocument/2006/relationships/image" Target="media/image139.emf"/><Relationship Id="rId253" Type="http://schemas.openxmlformats.org/officeDocument/2006/relationships/image" Target="media/image173.png"/><Relationship Id="rId295" Type="http://schemas.openxmlformats.org/officeDocument/2006/relationships/image" Target="media/image200.png"/><Relationship Id="rId309" Type="http://schemas.openxmlformats.org/officeDocument/2006/relationships/hyperlink" Target="https://doi.org/10.1186/s12886-022-02269-2" TargetMode="External"/><Relationship Id="rId48" Type="http://schemas.openxmlformats.org/officeDocument/2006/relationships/header" Target="header10.xml"/><Relationship Id="rId113" Type="http://schemas.openxmlformats.org/officeDocument/2006/relationships/image" Target="media/image67.png"/><Relationship Id="rId320" Type="http://schemas.openxmlformats.org/officeDocument/2006/relationships/hyperlink" Target="https://doi.org/10.1016/0006-3223(95)00549-8" TargetMode="External"/><Relationship Id="rId155" Type="http://schemas.openxmlformats.org/officeDocument/2006/relationships/image" Target="media/image101.png"/><Relationship Id="rId197" Type="http://schemas.openxmlformats.org/officeDocument/2006/relationships/image" Target="media/image125.emf"/><Relationship Id="rId362" Type="http://schemas.openxmlformats.org/officeDocument/2006/relationships/hyperlink" Target="https://doi.org/10.1093/brain/awh035" TargetMode="External"/><Relationship Id="rId418" Type="http://schemas.openxmlformats.org/officeDocument/2006/relationships/hyperlink" Target="https://doi.org/10.1097/OPX.0000000000001090" TargetMode="External"/><Relationship Id="rId222" Type="http://schemas.openxmlformats.org/officeDocument/2006/relationships/image" Target="media/image150.emf"/><Relationship Id="rId264" Type="http://schemas.openxmlformats.org/officeDocument/2006/relationships/image" Target="media/image184.png"/><Relationship Id="rId17" Type="http://schemas.openxmlformats.org/officeDocument/2006/relationships/header" Target="header6.xml"/><Relationship Id="rId59" Type="http://schemas.openxmlformats.org/officeDocument/2006/relationships/image" Target="media/image34.png"/><Relationship Id="rId124" Type="http://schemas.openxmlformats.org/officeDocument/2006/relationships/footer" Target="footer13.xml"/><Relationship Id="rId70" Type="http://schemas.openxmlformats.org/officeDocument/2006/relationships/image" Target="media/image39.png"/><Relationship Id="rId166" Type="http://schemas.openxmlformats.org/officeDocument/2006/relationships/image" Target="media/image108.png"/><Relationship Id="rId331" Type="http://schemas.openxmlformats.org/officeDocument/2006/relationships/hyperlink" Target="https://doi.org/10.1016/s0042-6989(03)00299-2" TargetMode="External"/><Relationship Id="rId373" Type="http://schemas.openxmlformats.org/officeDocument/2006/relationships/hyperlink" Target="https://doi.org/10.1016/0042-6989(93)90158-S" TargetMode="External"/><Relationship Id="rId429"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PHD-Y4\Post-viva\Feb2022\Data.SH_SV.study2.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5.xml"/></Relationships>
</file>

<file path=word/charts/_rels/chart11.xml.rels><?xml version="1.0" encoding="UTF-8" standalone="yes"?>
<Relationships xmlns="http://schemas.openxmlformats.org/package/2006/relationships"><Relationship Id="rId3" Type="http://schemas.openxmlformats.org/officeDocument/2006/relationships/oleObject" Target="file:///F:\PHD-Y4\Post-viva\Feb2022\Data.SH_SV.study2.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6.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PHD-Y4\Post-viva\Feb2022\Data.SH_SV.study2.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file:///F:\PHD-Y4\Post-viva\Feb2022\Data.SH_SV.study2.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8.xml.rels><?xml version="1.0" encoding="UTF-8" standalone="yes"?>
<Relationships xmlns="http://schemas.openxmlformats.org/package/2006/relationships"><Relationship Id="rId3" Type="http://schemas.openxmlformats.org/officeDocument/2006/relationships/oleObject" Target="file:///F:\PHD-Y4\Post-viva\Feb2022\Data.SH_SV.study2.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3.xml"/></Relationships>
</file>

<file path=word/charts/_rels/chart9.xml.rels><?xml version="1.0" encoding="UTF-8" standalone="yes"?>
<Relationships xmlns="http://schemas.openxmlformats.org/package/2006/relationships"><Relationship Id="rId3" Type="http://schemas.openxmlformats.org/officeDocument/2006/relationships/oleObject" Target="file:///F:\PHD-Y4\Post-viva\Feb2022\Data.SH_SV.study2.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US" sz="1000"/>
              <a:t>8° Up</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v>Young</c:v>
          </c:tx>
          <c:spPr>
            <a:solidFill>
              <a:schemeClr val="accent1"/>
            </a:solidFill>
            <a:ln>
              <a:noFill/>
            </a:ln>
            <a:effectLst/>
          </c:spPr>
          <c:invertIfNegative val="0"/>
          <c:cat>
            <c:strRef>
              <c:f>'Graph for Median_study 1'!$B$12:$B$14</c:f>
              <c:strCache>
                <c:ptCount val="3"/>
                <c:pt idx="0">
                  <c:v>1</c:v>
                </c:pt>
                <c:pt idx="1">
                  <c:v>2</c:v>
                </c:pt>
                <c:pt idx="2">
                  <c:v>&gt;2</c:v>
                </c:pt>
              </c:strCache>
            </c:strRef>
          </c:cat>
          <c:val>
            <c:numRef>
              <c:f>'Graph for Median_study 1'!$C$12:$C$14</c:f>
              <c:numCache>
                <c:formatCode>General</c:formatCode>
                <c:ptCount val="3"/>
                <c:pt idx="0">
                  <c:v>57.379999999999903</c:v>
                </c:pt>
                <c:pt idx="1">
                  <c:v>24.58</c:v>
                </c:pt>
                <c:pt idx="2">
                  <c:v>1.61</c:v>
                </c:pt>
              </c:numCache>
            </c:numRef>
          </c:val>
          <c:extLst>
            <c:ext xmlns:c16="http://schemas.microsoft.com/office/drawing/2014/chart" uri="{C3380CC4-5D6E-409C-BE32-E72D297353CC}">
              <c16:uniqueId val="{00000000-05F7-48F5-A526-15077DCCD48F}"/>
            </c:ext>
          </c:extLst>
        </c:ser>
        <c:ser>
          <c:idx val="1"/>
          <c:order val="1"/>
          <c:tx>
            <c:v>Middle</c:v>
          </c:tx>
          <c:spPr>
            <a:solidFill>
              <a:schemeClr val="accent2"/>
            </a:solidFill>
            <a:ln>
              <a:noFill/>
            </a:ln>
            <a:effectLst/>
          </c:spPr>
          <c:invertIfNegative val="0"/>
          <c:cat>
            <c:strRef>
              <c:f>'Graph for Median_study 1'!$B$12:$B$14</c:f>
              <c:strCache>
                <c:ptCount val="3"/>
                <c:pt idx="0">
                  <c:v>1</c:v>
                </c:pt>
                <c:pt idx="1">
                  <c:v>2</c:v>
                </c:pt>
                <c:pt idx="2">
                  <c:v>&gt;2</c:v>
                </c:pt>
              </c:strCache>
            </c:strRef>
          </c:cat>
          <c:val>
            <c:numRef>
              <c:f>'Graph for Median_study 1'!$D$12:$D$14</c:f>
              <c:numCache>
                <c:formatCode>General</c:formatCode>
                <c:ptCount val="3"/>
                <c:pt idx="0">
                  <c:v>63.365000000000002</c:v>
                </c:pt>
                <c:pt idx="1">
                  <c:v>33.634999999999998</c:v>
                </c:pt>
                <c:pt idx="2">
                  <c:v>1.21</c:v>
                </c:pt>
              </c:numCache>
            </c:numRef>
          </c:val>
          <c:extLst>
            <c:ext xmlns:c16="http://schemas.microsoft.com/office/drawing/2014/chart" uri="{C3380CC4-5D6E-409C-BE32-E72D297353CC}">
              <c16:uniqueId val="{00000001-05F7-48F5-A526-15077DCCD48F}"/>
            </c:ext>
          </c:extLst>
        </c:ser>
        <c:ser>
          <c:idx val="2"/>
          <c:order val="2"/>
          <c:tx>
            <c:v>Older</c:v>
          </c:tx>
          <c:spPr>
            <a:solidFill>
              <a:schemeClr val="accent3"/>
            </a:solidFill>
            <a:ln>
              <a:noFill/>
            </a:ln>
            <a:effectLst/>
          </c:spPr>
          <c:invertIfNegative val="0"/>
          <c:cat>
            <c:strRef>
              <c:f>'Graph for Median_study 1'!$B$12:$B$14</c:f>
              <c:strCache>
                <c:ptCount val="3"/>
                <c:pt idx="0">
                  <c:v>1</c:v>
                </c:pt>
                <c:pt idx="1">
                  <c:v>2</c:v>
                </c:pt>
                <c:pt idx="2">
                  <c:v>&gt;2</c:v>
                </c:pt>
              </c:strCache>
            </c:strRef>
          </c:cat>
          <c:val>
            <c:numRef>
              <c:f>'Graph for Median_study 1'!$E$12:$E$14</c:f>
              <c:numCache>
                <c:formatCode>General</c:formatCode>
                <c:ptCount val="3"/>
                <c:pt idx="0">
                  <c:v>70.7</c:v>
                </c:pt>
                <c:pt idx="1">
                  <c:v>19.439999999999898</c:v>
                </c:pt>
                <c:pt idx="2">
                  <c:v>1.41</c:v>
                </c:pt>
              </c:numCache>
            </c:numRef>
          </c:val>
          <c:extLst>
            <c:ext xmlns:c16="http://schemas.microsoft.com/office/drawing/2014/chart" uri="{C3380CC4-5D6E-409C-BE32-E72D297353CC}">
              <c16:uniqueId val="{00000002-05F7-48F5-A526-15077DCCD48F}"/>
            </c:ext>
          </c:extLst>
        </c:ser>
        <c:dLbls>
          <c:showLegendKey val="0"/>
          <c:showVal val="0"/>
          <c:showCatName val="0"/>
          <c:showSerName val="0"/>
          <c:showPercent val="0"/>
          <c:showBubbleSize val="0"/>
        </c:dLbls>
        <c:gapWidth val="219"/>
        <c:overlap val="-27"/>
        <c:axId val="1547590416"/>
        <c:axId val="1752753152"/>
      </c:barChart>
      <c:catAx>
        <c:axId val="1547590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AOI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52753152"/>
        <c:crosses val="autoZero"/>
        <c:auto val="1"/>
        <c:lblAlgn val="ctr"/>
        <c:lblOffset val="100"/>
        <c:noMultiLvlLbl val="0"/>
      </c:catAx>
      <c:valAx>
        <c:axId val="175275315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Median DT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475904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SV!$B$15</c:f>
              <c:strCache>
                <c:ptCount val="1"/>
                <c:pt idx="0">
                  <c:v>0.5°</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SV!$A$16:$A$17</c:f>
              <c:strCache>
                <c:ptCount val="2"/>
                <c:pt idx="0">
                  <c:v>Down</c:v>
                </c:pt>
                <c:pt idx="1">
                  <c:v>Up</c:v>
                </c:pt>
              </c:strCache>
            </c:strRef>
          </c:cat>
          <c:val>
            <c:numRef>
              <c:f>SV!$B$16:$B$17</c:f>
              <c:numCache>
                <c:formatCode>General</c:formatCode>
                <c:ptCount val="2"/>
                <c:pt idx="0">
                  <c:v>277.96199999999999</c:v>
                </c:pt>
                <c:pt idx="1">
                  <c:v>272.072</c:v>
                </c:pt>
              </c:numCache>
            </c:numRef>
          </c:val>
          <c:extLst>
            <c:ext xmlns:c16="http://schemas.microsoft.com/office/drawing/2014/chart" uri="{C3380CC4-5D6E-409C-BE32-E72D297353CC}">
              <c16:uniqueId val="{00000000-25BA-41A3-BF72-B16868235780}"/>
            </c:ext>
          </c:extLst>
        </c:ser>
        <c:ser>
          <c:idx val="1"/>
          <c:order val="1"/>
          <c:tx>
            <c:strRef>
              <c:f>SV!$C$15</c:f>
              <c:strCache>
                <c:ptCount val="1"/>
                <c:pt idx="0">
                  <c:v>1.0°</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SV!$A$16:$A$17</c:f>
              <c:strCache>
                <c:ptCount val="2"/>
                <c:pt idx="0">
                  <c:v>Down</c:v>
                </c:pt>
                <c:pt idx="1">
                  <c:v>Up</c:v>
                </c:pt>
              </c:strCache>
            </c:strRef>
          </c:cat>
          <c:val>
            <c:numRef>
              <c:f>SV!$C$16:$C$17</c:f>
              <c:numCache>
                <c:formatCode>General</c:formatCode>
                <c:ptCount val="2"/>
                <c:pt idx="0">
                  <c:v>283.14</c:v>
                </c:pt>
                <c:pt idx="1">
                  <c:v>280.95499999999998</c:v>
                </c:pt>
              </c:numCache>
            </c:numRef>
          </c:val>
          <c:extLst>
            <c:ext xmlns:c16="http://schemas.microsoft.com/office/drawing/2014/chart" uri="{C3380CC4-5D6E-409C-BE32-E72D297353CC}">
              <c16:uniqueId val="{00000001-25BA-41A3-BF72-B16868235780}"/>
            </c:ext>
          </c:extLst>
        </c:ser>
        <c:ser>
          <c:idx val="2"/>
          <c:order val="2"/>
          <c:tx>
            <c:strRef>
              <c:f>SV!$D$15</c:f>
              <c:strCache>
                <c:ptCount val="1"/>
                <c:pt idx="0">
                  <c:v>2.0°</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SV!$A$16:$A$17</c:f>
              <c:strCache>
                <c:ptCount val="2"/>
                <c:pt idx="0">
                  <c:v>Down</c:v>
                </c:pt>
                <c:pt idx="1">
                  <c:v>Up</c:v>
                </c:pt>
              </c:strCache>
            </c:strRef>
          </c:cat>
          <c:val>
            <c:numRef>
              <c:f>SV!$D$16:$D$17</c:f>
              <c:numCache>
                <c:formatCode>General</c:formatCode>
                <c:ptCount val="2"/>
                <c:pt idx="0">
                  <c:v>280.428</c:v>
                </c:pt>
                <c:pt idx="1">
                  <c:v>281.05599999999998</c:v>
                </c:pt>
              </c:numCache>
            </c:numRef>
          </c:val>
          <c:extLst>
            <c:ext xmlns:c16="http://schemas.microsoft.com/office/drawing/2014/chart" uri="{C3380CC4-5D6E-409C-BE32-E72D297353CC}">
              <c16:uniqueId val="{00000002-25BA-41A3-BF72-B16868235780}"/>
            </c:ext>
          </c:extLst>
        </c:ser>
        <c:dLbls>
          <c:showLegendKey val="0"/>
          <c:showVal val="0"/>
          <c:showCatName val="0"/>
          <c:showSerName val="0"/>
          <c:showPercent val="0"/>
          <c:showBubbleSize val="0"/>
        </c:dLbls>
        <c:gapWidth val="219"/>
        <c:overlap val="-27"/>
        <c:axId val="89439583"/>
        <c:axId val="89438335"/>
      </c:barChart>
      <c:catAx>
        <c:axId val="89439583"/>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direction</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89438335"/>
        <c:crosses val="autoZero"/>
        <c:auto val="1"/>
        <c:lblAlgn val="ctr"/>
        <c:lblOffset val="100"/>
        <c:noMultiLvlLbl val="0"/>
      </c:catAx>
      <c:valAx>
        <c:axId val="894383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peak velocity (°/s)</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894395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SV!$B$30</c:f>
              <c:strCache>
                <c:ptCount val="1"/>
                <c:pt idx="0">
                  <c:v>0.5°</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SV!$A$31:$A$32</c:f>
              <c:strCache>
                <c:ptCount val="2"/>
                <c:pt idx="0">
                  <c:v>Down</c:v>
                </c:pt>
                <c:pt idx="1">
                  <c:v>Up</c:v>
                </c:pt>
              </c:strCache>
            </c:strRef>
          </c:cat>
          <c:val>
            <c:numRef>
              <c:f>SV!$B$31:$B$32</c:f>
              <c:numCache>
                <c:formatCode>General</c:formatCode>
                <c:ptCount val="2"/>
                <c:pt idx="0">
                  <c:v>0.96399999999999997</c:v>
                </c:pt>
                <c:pt idx="1">
                  <c:v>0.86499999999999999</c:v>
                </c:pt>
              </c:numCache>
            </c:numRef>
          </c:val>
          <c:extLst>
            <c:ext xmlns:c16="http://schemas.microsoft.com/office/drawing/2014/chart" uri="{C3380CC4-5D6E-409C-BE32-E72D297353CC}">
              <c16:uniqueId val="{00000000-83F9-437C-A439-9AFC93C7B3C9}"/>
            </c:ext>
          </c:extLst>
        </c:ser>
        <c:ser>
          <c:idx val="1"/>
          <c:order val="1"/>
          <c:tx>
            <c:strRef>
              <c:f>SV!$C$30</c:f>
              <c:strCache>
                <c:ptCount val="1"/>
                <c:pt idx="0">
                  <c:v>1.0°</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SV!$A$31:$A$32</c:f>
              <c:strCache>
                <c:ptCount val="2"/>
                <c:pt idx="0">
                  <c:v>Down</c:v>
                </c:pt>
                <c:pt idx="1">
                  <c:v>Up</c:v>
                </c:pt>
              </c:strCache>
            </c:strRef>
          </c:cat>
          <c:val>
            <c:numRef>
              <c:f>SV!$C$31:$C$32</c:f>
              <c:numCache>
                <c:formatCode>General</c:formatCode>
                <c:ptCount val="2"/>
                <c:pt idx="0">
                  <c:v>0.98</c:v>
                </c:pt>
                <c:pt idx="1">
                  <c:v>0.89200000000000002</c:v>
                </c:pt>
              </c:numCache>
            </c:numRef>
          </c:val>
          <c:extLst>
            <c:ext xmlns:c16="http://schemas.microsoft.com/office/drawing/2014/chart" uri="{C3380CC4-5D6E-409C-BE32-E72D297353CC}">
              <c16:uniqueId val="{00000001-83F9-437C-A439-9AFC93C7B3C9}"/>
            </c:ext>
          </c:extLst>
        </c:ser>
        <c:ser>
          <c:idx val="2"/>
          <c:order val="2"/>
          <c:tx>
            <c:strRef>
              <c:f>SV!$D$30</c:f>
              <c:strCache>
                <c:ptCount val="1"/>
                <c:pt idx="0">
                  <c:v>2.0°</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SV!$A$31:$A$32</c:f>
              <c:strCache>
                <c:ptCount val="2"/>
                <c:pt idx="0">
                  <c:v>Down</c:v>
                </c:pt>
                <c:pt idx="1">
                  <c:v>Up</c:v>
                </c:pt>
              </c:strCache>
            </c:strRef>
          </c:cat>
          <c:val>
            <c:numRef>
              <c:f>SV!$D$31:$D$32</c:f>
              <c:numCache>
                <c:formatCode>General</c:formatCode>
                <c:ptCount val="2"/>
                <c:pt idx="0">
                  <c:v>0.97399999999999998</c:v>
                </c:pt>
                <c:pt idx="1">
                  <c:v>0.89200000000000002</c:v>
                </c:pt>
              </c:numCache>
            </c:numRef>
          </c:val>
          <c:extLst>
            <c:ext xmlns:c16="http://schemas.microsoft.com/office/drawing/2014/chart" uri="{C3380CC4-5D6E-409C-BE32-E72D297353CC}">
              <c16:uniqueId val="{00000002-83F9-437C-A439-9AFC93C7B3C9}"/>
            </c:ext>
          </c:extLst>
        </c:ser>
        <c:dLbls>
          <c:showLegendKey val="0"/>
          <c:showVal val="0"/>
          <c:showCatName val="0"/>
          <c:showSerName val="0"/>
          <c:showPercent val="0"/>
          <c:showBubbleSize val="0"/>
        </c:dLbls>
        <c:gapWidth val="219"/>
        <c:overlap val="-27"/>
        <c:axId val="96333455"/>
        <c:axId val="96335951"/>
      </c:barChart>
      <c:catAx>
        <c:axId val="96333455"/>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direction</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96335951"/>
        <c:crosses val="autoZero"/>
        <c:auto val="1"/>
        <c:lblAlgn val="ctr"/>
        <c:lblOffset val="100"/>
        <c:noMultiLvlLbl val="0"/>
      </c:catAx>
      <c:valAx>
        <c:axId val="96335951"/>
        <c:scaling>
          <c:orientation val="minMax"/>
          <c:max val="1.100000000000000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gain</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9633345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[Book1]Sheet1!PivotTable2</c:name>
    <c:fmtId val="-1"/>
  </c:pivotSource>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MY" sz="1000"/>
              <a:t>a.</a:t>
            </a:r>
          </a:p>
        </c:rich>
      </c:tx>
      <c:layout>
        <c:manualLayout>
          <c:xMode val="edge"/>
          <c:yMode val="edge"/>
          <c:x val="1.5154844305368956E-2"/>
          <c:y val="0.8820935019112027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endParaRPr lang="en-US"/>
        </a:p>
      </c:txPr>
    </c:title>
    <c:autoTitleDeleted val="0"/>
    <c:pivotFmts>
      <c:pivotFmt>
        <c:idx val="0"/>
        <c:spPr>
          <a:solidFill>
            <a:schemeClr val="accent1"/>
          </a:solidFill>
          <a:ln w="28575" cap="rnd">
            <a:solidFill>
              <a:srgbClr val="0000FF"/>
            </a:solidFill>
            <a:round/>
          </a:ln>
          <a:effectLst/>
        </c:spPr>
        <c:marker>
          <c:spPr>
            <a:solidFill>
              <a:srgbClr val="0000FF"/>
            </a:solidFill>
            <a:ln w="9525">
              <a:solidFill>
                <a:srgbClr val="0000FF"/>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rgbClr val="FF0000"/>
            </a:solidFill>
            <a:round/>
          </a:ln>
          <a:effectLst/>
        </c:spPr>
        <c:marker>
          <c:symbol val="circle"/>
          <c:size val="5"/>
          <c:spPr>
            <a:solidFill>
              <a:srgbClr val="FF0000"/>
            </a:solidFill>
            <a:ln w="9525">
              <a:solidFill>
                <a:srgbClr val="FF0000"/>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rgbClr val="FF0000"/>
            </a:solidFill>
            <a:round/>
          </a:ln>
          <a:effectLst/>
        </c:spPr>
        <c:marker>
          <c:symbol val="circle"/>
          <c:size val="5"/>
          <c:spPr>
            <a:solidFill>
              <a:srgbClr val="FF0000"/>
            </a:solidFill>
            <a:ln w="9525">
              <a:solidFill>
                <a:srgbClr val="FF0000"/>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rgbClr val="00CC00"/>
            </a:solidFill>
            <a:round/>
          </a:ln>
          <a:effectLst/>
        </c:spPr>
        <c:marker>
          <c:symbol val="circle"/>
          <c:size val="5"/>
          <c:spPr>
            <a:solidFill>
              <a:srgbClr val="00CC00"/>
            </a:solidFill>
            <a:ln w="9525">
              <a:solidFill>
                <a:srgbClr val="00CC00"/>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rgbClr val="FF0000"/>
            </a:solidFill>
            <a:round/>
          </a:ln>
          <a:effectLst/>
        </c:spPr>
        <c:marker>
          <c:symbol val="circle"/>
          <c:size val="5"/>
          <c:spPr>
            <a:solidFill>
              <a:srgbClr val="FF0000"/>
            </a:solidFill>
            <a:ln w="9525">
              <a:solidFill>
                <a:srgbClr val="FF0000"/>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rgbClr val="00CC00"/>
            </a:solidFill>
            <a:round/>
          </a:ln>
          <a:effectLst/>
        </c:spPr>
        <c:marker>
          <c:symbol val="circle"/>
          <c:size val="5"/>
          <c:spPr>
            <a:solidFill>
              <a:srgbClr val="00CC00"/>
            </a:solidFill>
            <a:ln w="9525">
              <a:solidFill>
                <a:srgbClr val="00CC00"/>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5029767067453501"/>
          <c:y val="0.10177923584309385"/>
          <c:w val="0.52755610732243785"/>
          <c:h val="0.62620257589824202"/>
        </c:manualLayout>
      </c:layout>
      <c:lineChart>
        <c:grouping val="standard"/>
        <c:varyColors val="0"/>
        <c:ser>
          <c:idx val="0"/>
          <c:order val="0"/>
          <c:tx>
            <c:strRef>
              <c:f>Sheet1!$I$1:$I$2</c:f>
              <c:strCache>
                <c:ptCount val="1"/>
                <c:pt idx="0">
                  <c:v>unaffected gaze</c:v>
                </c:pt>
              </c:strCache>
            </c:strRef>
          </c:tx>
          <c:spPr>
            <a:ln w="28575" cap="rnd">
              <a:solidFill>
                <a:srgbClr val="00CC00"/>
              </a:solidFill>
              <a:round/>
            </a:ln>
            <a:effectLst/>
          </c:spPr>
          <c:marker>
            <c:symbol val="circle"/>
            <c:size val="5"/>
            <c:spPr>
              <a:solidFill>
                <a:srgbClr val="00CC00"/>
              </a:solidFill>
              <a:ln w="9525">
                <a:solidFill>
                  <a:srgbClr val="00CC00"/>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Sheet1!$H$3:$H$7</c:f>
              <c:strCache>
                <c:ptCount val="5"/>
                <c:pt idx="0">
                  <c:v>1=2w</c:v>
                </c:pt>
                <c:pt idx="1">
                  <c:v>2=4w</c:v>
                </c:pt>
                <c:pt idx="2">
                  <c:v>3=8w</c:v>
                </c:pt>
                <c:pt idx="3">
                  <c:v>4=12w</c:v>
                </c:pt>
                <c:pt idx="4">
                  <c:v>5=16w</c:v>
                </c:pt>
              </c:strCache>
            </c:strRef>
          </c:cat>
          <c:val>
            <c:numRef>
              <c:f>Sheet1!$I$3:$I$7</c:f>
              <c:numCache>
                <c:formatCode>General</c:formatCode>
                <c:ptCount val="5"/>
                <c:pt idx="0">
                  <c:v>217.767</c:v>
                </c:pt>
                <c:pt idx="1">
                  <c:v>229.767</c:v>
                </c:pt>
                <c:pt idx="2">
                  <c:v>232.36699999999999</c:v>
                </c:pt>
                <c:pt idx="3">
                  <c:v>204</c:v>
                </c:pt>
                <c:pt idx="4">
                  <c:v>213.63300000000001</c:v>
                </c:pt>
              </c:numCache>
            </c:numRef>
          </c:val>
          <c:smooth val="0"/>
          <c:extLst>
            <c:ext xmlns:c16="http://schemas.microsoft.com/office/drawing/2014/chart" uri="{C3380CC4-5D6E-409C-BE32-E72D297353CC}">
              <c16:uniqueId val="{00000000-294E-4079-863B-2D3064EFDFA6}"/>
            </c:ext>
          </c:extLst>
        </c:ser>
        <c:ser>
          <c:idx val="1"/>
          <c:order val="1"/>
          <c:tx>
            <c:strRef>
              <c:f>Sheet1!$J$1:$J$2</c:f>
              <c:strCache>
                <c:ptCount val="1"/>
                <c:pt idx="0">
                  <c:v>affected gaze</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Sheet1!$H$3:$H$7</c:f>
              <c:strCache>
                <c:ptCount val="5"/>
                <c:pt idx="0">
                  <c:v>1=2w</c:v>
                </c:pt>
                <c:pt idx="1">
                  <c:v>2=4w</c:v>
                </c:pt>
                <c:pt idx="2">
                  <c:v>3=8w</c:v>
                </c:pt>
                <c:pt idx="3">
                  <c:v>4=12w</c:v>
                </c:pt>
                <c:pt idx="4">
                  <c:v>5=16w</c:v>
                </c:pt>
              </c:strCache>
            </c:strRef>
          </c:cat>
          <c:val>
            <c:numRef>
              <c:f>Sheet1!$J$3:$J$7</c:f>
              <c:numCache>
                <c:formatCode>General</c:formatCode>
                <c:ptCount val="5"/>
                <c:pt idx="0">
                  <c:v>244.8</c:v>
                </c:pt>
                <c:pt idx="1">
                  <c:v>248.7</c:v>
                </c:pt>
                <c:pt idx="2">
                  <c:v>222.36699999999999</c:v>
                </c:pt>
                <c:pt idx="3">
                  <c:v>226.733</c:v>
                </c:pt>
                <c:pt idx="4">
                  <c:v>202.6</c:v>
                </c:pt>
              </c:numCache>
            </c:numRef>
          </c:val>
          <c:smooth val="0"/>
          <c:extLst>
            <c:ext xmlns:c16="http://schemas.microsoft.com/office/drawing/2014/chart" uri="{C3380CC4-5D6E-409C-BE32-E72D297353CC}">
              <c16:uniqueId val="{00000001-294E-4079-863B-2D3064EFDFA6}"/>
            </c:ext>
          </c:extLst>
        </c:ser>
        <c:dLbls>
          <c:showLegendKey val="0"/>
          <c:showVal val="0"/>
          <c:showCatName val="0"/>
          <c:showSerName val="0"/>
          <c:showPercent val="0"/>
          <c:showBubbleSize val="0"/>
        </c:dLbls>
        <c:marker val="1"/>
        <c:smooth val="0"/>
        <c:axId val="876153440"/>
        <c:axId val="876150112"/>
      </c:lineChart>
      <c:catAx>
        <c:axId val="8761534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Follow-up visits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876150112"/>
        <c:crosses val="autoZero"/>
        <c:auto val="1"/>
        <c:lblAlgn val="ctr"/>
        <c:lblOffset val="100"/>
        <c:noMultiLvlLbl val="0"/>
      </c:catAx>
      <c:valAx>
        <c:axId val="876150112"/>
        <c:scaling>
          <c:orientation val="minMax"/>
          <c:min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Mean latency (ms)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876153440"/>
        <c:crosses val="autoZero"/>
        <c:crossBetween val="between"/>
        <c:majorUnit val="40"/>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[Book1]SH_Veloc!PivotTable3</c:name>
    <c:fmtId val="-1"/>
  </c:pivotSource>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MY" sz="1000"/>
              <a:t>b.</a:t>
            </a:r>
          </a:p>
        </c:rich>
      </c:tx>
      <c:layout>
        <c:manualLayout>
          <c:xMode val="edge"/>
          <c:yMode val="edge"/>
          <c:x val="1.6972222222222222E-2"/>
          <c:y val="0.88797412525727726"/>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ivotFmts>
      <c:pivotFmt>
        <c:idx val="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4497462817147858"/>
          <c:y val="0.11354048253524324"/>
          <c:w val="0.55938560804899384"/>
          <c:h val="0.61444132920609262"/>
        </c:manualLayout>
      </c:layout>
      <c:lineChart>
        <c:grouping val="standard"/>
        <c:varyColors val="0"/>
        <c:ser>
          <c:idx val="0"/>
          <c:order val="0"/>
          <c:tx>
            <c:strRef>
              <c:f>SH_Veloc!$I$1:$I$2</c:f>
              <c:strCache>
                <c:ptCount val="1"/>
                <c:pt idx="0">
                  <c:v>Affected gaze</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SH_Veloc!$H$3:$H$7</c:f>
              <c:strCache>
                <c:ptCount val="5"/>
                <c:pt idx="0">
                  <c:v>1=2w</c:v>
                </c:pt>
                <c:pt idx="1">
                  <c:v>2=4w</c:v>
                </c:pt>
                <c:pt idx="2">
                  <c:v>3=8w</c:v>
                </c:pt>
                <c:pt idx="3">
                  <c:v>4=12w</c:v>
                </c:pt>
                <c:pt idx="4">
                  <c:v>5=16w</c:v>
                </c:pt>
              </c:strCache>
            </c:strRef>
          </c:cat>
          <c:val>
            <c:numRef>
              <c:f>SH_Veloc!$I$3:$I$7</c:f>
              <c:numCache>
                <c:formatCode>General</c:formatCode>
                <c:ptCount val="5"/>
                <c:pt idx="0">
                  <c:v>163.642</c:v>
                </c:pt>
                <c:pt idx="1">
                  <c:v>196.27799999999999</c:v>
                </c:pt>
                <c:pt idx="2">
                  <c:v>230.43700000000001</c:v>
                </c:pt>
                <c:pt idx="3">
                  <c:v>276.43099999999998</c:v>
                </c:pt>
                <c:pt idx="4">
                  <c:v>268.2</c:v>
                </c:pt>
              </c:numCache>
            </c:numRef>
          </c:val>
          <c:smooth val="0"/>
          <c:extLst>
            <c:ext xmlns:c16="http://schemas.microsoft.com/office/drawing/2014/chart" uri="{C3380CC4-5D6E-409C-BE32-E72D297353CC}">
              <c16:uniqueId val="{00000000-B0CB-4332-82C5-4EA49C4DC552}"/>
            </c:ext>
          </c:extLst>
        </c:ser>
        <c:ser>
          <c:idx val="1"/>
          <c:order val="1"/>
          <c:tx>
            <c:strRef>
              <c:f>SH_Veloc!$J$1:$J$2</c:f>
              <c:strCache>
                <c:ptCount val="1"/>
                <c:pt idx="0">
                  <c:v>Unaffected gaze</c:v>
                </c:pt>
              </c:strCache>
            </c:strRef>
          </c:tx>
          <c:spPr>
            <a:ln w="28575" cap="rnd">
              <a:solidFill>
                <a:srgbClr val="00CC00"/>
              </a:solidFill>
              <a:round/>
            </a:ln>
            <a:effectLst/>
          </c:spPr>
          <c:marker>
            <c:symbol val="circle"/>
            <c:size val="5"/>
            <c:spPr>
              <a:solidFill>
                <a:srgbClr val="00CC00"/>
              </a:solidFill>
              <a:ln w="9525">
                <a:solidFill>
                  <a:srgbClr val="00CC00"/>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SH_Veloc!$H$3:$H$7</c:f>
              <c:strCache>
                <c:ptCount val="5"/>
                <c:pt idx="0">
                  <c:v>1=2w</c:v>
                </c:pt>
                <c:pt idx="1">
                  <c:v>2=4w</c:v>
                </c:pt>
                <c:pt idx="2">
                  <c:v>3=8w</c:v>
                </c:pt>
                <c:pt idx="3">
                  <c:v>4=12w</c:v>
                </c:pt>
                <c:pt idx="4">
                  <c:v>5=16w</c:v>
                </c:pt>
              </c:strCache>
            </c:strRef>
          </c:cat>
          <c:val>
            <c:numRef>
              <c:f>SH_Veloc!$J$3:$J$7</c:f>
              <c:numCache>
                <c:formatCode>General</c:formatCode>
                <c:ptCount val="5"/>
                <c:pt idx="0">
                  <c:v>236.262</c:v>
                </c:pt>
                <c:pt idx="1">
                  <c:v>249.059</c:v>
                </c:pt>
                <c:pt idx="2">
                  <c:v>217.863</c:v>
                </c:pt>
                <c:pt idx="3">
                  <c:v>239.81899999999999</c:v>
                </c:pt>
                <c:pt idx="4">
                  <c:v>249.74299999999999</c:v>
                </c:pt>
              </c:numCache>
            </c:numRef>
          </c:val>
          <c:smooth val="0"/>
          <c:extLst>
            <c:ext xmlns:c16="http://schemas.microsoft.com/office/drawing/2014/chart" uri="{C3380CC4-5D6E-409C-BE32-E72D297353CC}">
              <c16:uniqueId val="{00000001-B0CB-4332-82C5-4EA49C4DC552}"/>
            </c:ext>
          </c:extLst>
        </c:ser>
        <c:dLbls>
          <c:showLegendKey val="0"/>
          <c:showVal val="0"/>
          <c:showCatName val="0"/>
          <c:showSerName val="0"/>
          <c:showPercent val="0"/>
          <c:showBubbleSize val="0"/>
        </c:dLbls>
        <c:marker val="1"/>
        <c:smooth val="0"/>
        <c:axId val="757887120"/>
        <c:axId val="757884208"/>
      </c:lineChart>
      <c:catAx>
        <c:axId val="757887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MY"/>
                  <a:t>Follow-up visits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757884208"/>
        <c:crosses val="autoZero"/>
        <c:auto val="1"/>
        <c:lblAlgn val="ctr"/>
        <c:lblOffset val="100"/>
        <c:noMultiLvlLbl val="0"/>
      </c:catAx>
      <c:valAx>
        <c:axId val="757884208"/>
        <c:scaling>
          <c:orientation val="minMax"/>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MY"/>
                  <a:t>Mean peak velocity (</a:t>
                </a:r>
                <a:r>
                  <a:rPr lang="en-MY">
                    <a:latin typeface="Times New Roman" panose="02020603050405020304" pitchFamily="18" charset="0"/>
                    <a:cs typeface="Times New Roman" panose="02020603050405020304" pitchFamily="18" charset="0"/>
                  </a:rPr>
                  <a:t>°/s)</a:t>
                </a:r>
                <a:endParaRPr lang="en-MY"/>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757887120"/>
        <c:crosses val="autoZero"/>
        <c:crossBetween val="between"/>
        <c:majorUnit val="50"/>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[Book1]SH_gain!PivotTable4</c:name>
    <c:fmtId val="-1"/>
  </c:pivotSource>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MY" sz="1000"/>
              <a:t>c.</a:t>
            </a:r>
          </a:p>
        </c:rich>
      </c:tx>
      <c:layout>
        <c:manualLayout>
          <c:xMode val="edge"/>
          <c:yMode val="edge"/>
          <c:x val="1.9083333333333345E-2"/>
          <c:y val="0.88797412525727726"/>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ivotFmts>
      <c:pivotFmt>
        <c:idx val="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3790529308836397"/>
          <c:y val="0.10177923584309385"/>
          <c:w val="0.56645494313210853"/>
          <c:h val="0.62620257589824202"/>
        </c:manualLayout>
      </c:layout>
      <c:lineChart>
        <c:grouping val="standard"/>
        <c:varyColors val="0"/>
        <c:ser>
          <c:idx val="0"/>
          <c:order val="0"/>
          <c:tx>
            <c:strRef>
              <c:f>SH_gain!$I$1:$I$2</c:f>
              <c:strCache>
                <c:ptCount val="1"/>
                <c:pt idx="0">
                  <c:v>Affected gaze</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SH_gain!$H$3:$H$7</c:f>
              <c:strCache>
                <c:ptCount val="5"/>
                <c:pt idx="0">
                  <c:v>1=2w</c:v>
                </c:pt>
                <c:pt idx="1">
                  <c:v>2=4w</c:v>
                </c:pt>
                <c:pt idx="2">
                  <c:v>3=8w</c:v>
                </c:pt>
                <c:pt idx="3">
                  <c:v>4=12w</c:v>
                </c:pt>
                <c:pt idx="4">
                  <c:v>5=16w</c:v>
                </c:pt>
              </c:strCache>
            </c:strRef>
          </c:cat>
          <c:val>
            <c:numRef>
              <c:f>SH_gain!$I$3:$I$7</c:f>
              <c:numCache>
                <c:formatCode>General</c:formatCode>
                <c:ptCount val="5"/>
                <c:pt idx="0">
                  <c:v>0.504</c:v>
                </c:pt>
                <c:pt idx="1">
                  <c:v>0.60799999999999998</c:v>
                </c:pt>
                <c:pt idx="2">
                  <c:v>0.80600000000000005</c:v>
                </c:pt>
                <c:pt idx="3">
                  <c:v>0.90700000000000003</c:v>
                </c:pt>
                <c:pt idx="4">
                  <c:v>0.86799999999999999</c:v>
                </c:pt>
              </c:numCache>
            </c:numRef>
          </c:val>
          <c:smooth val="0"/>
          <c:extLst>
            <c:ext xmlns:c16="http://schemas.microsoft.com/office/drawing/2014/chart" uri="{C3380CC4-5D6E-409C-BE32-E72D297353CC}">
              <c16:uniqueId val="{00000000-C31E-4DA6-A255-CE7607466F70}"/>
            </c:ext>
          </c:extLst>
        </c:ser>
        <c:ser>
          <c:idx val="1"/>
          <c:order val="1"/>
          <c:tx>
            <c:strRef>
              <c:f>SH_gain!$J$1:$J$2</c:f>
              <c:strCache>
                <c:ptCount val="1"/>
                <c:pt idx="0">
                  <c:v>Unaffected gaze</c:v>
                </c:pt>
              </c:strCache>
            </c:strRef>
          </c:tx>
          <c:spPr>
            <a:ln w="28575" cap="rnd">
              <a:solidFill>
                <a:srgbClr val="00CC00"/>
              </a:solidFill>
              <a:round/>
            </a:ln>
            <a:effectLst/>
          </c:spPr>
          <c:marker>
            <c:symbol val="circle"/>
            <c:size val="5"/>
            <c:spPr>
              <a:solidFill>
                <a:srgbClr val="00CC00"/>
              </a:solidFill>
              <a:ln w="9525">
                <a:solidFill>
                  <a:srgbClr val="00CC00"/>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SH_gain!$H$3:$H$7</c:f>
              <c:strCache>
                <c:ptCount val="5"/>
                <c:pt idx="0">
                  <c:v>1=2w</c:v>
                </c:pt>
                <c:pt idx="1">
                  <c:v>2=4w</c:v>
                </c:pt>
                <c:pt idx="2">
                  <c:v>3=8w</c:v>
                </c:pt>
                <c:pt idx="3">
                  <c:v>4=12w</c:v>
                </c:pt>
                <c:pt idx="4">
                  <c:v>5=16w</c:v>
                </c:pt>
              </c:strCache>
            </c:strRef>
          </c:cat>
          <c:val>
            <c:numRef>
              <c:f>SH_gain!$J$3:$J$7</c:f>
              <c:numCache>
                <c:formatCode>General</c:formatCode>
                <c:ptCount val="5"/>
                <c:pt idx="0">
                  <c:v>0.70099999999999996</c:v>
                </c:pt>
                <c:pt idx="1">
                  <c:v>0.69499999999999995</c:v>
                </c:pt>
                <c:pt idx="2">
                  <c:v>0.71</c:v>
                </c:pt>
                <c:pt idx="3">
                  <c:v>0.79600000000000004</c:v>
                </c:pt>
                <c:pt idx="4">
                  <c:v>0.79</c:v>
                </c:pt>
              </c:numCache>
            </c:numRef>
          </c:val>
          <c:smooth val="0"/>
          <c:extLst>
            <c:ext xmlns:c16="http://schemas.microsoft.com/office/drawing/2014/chart" uri="{C3380CC4-5D6E-409C-BE32-E72D297353CC}">
              <c16:uniqueId val="{00000001-C31E-4DA6-A255-CE7607466F70}"/>
            </c:ext>
          </c:extLst>
        </c:ser>
        <c:dLbls>
          <c:showLegendKey val="0"/>
          <c:showVal val="0"/>
          <c:showCatName val="0"/>
          <c:showSerName val="0"/>
          <c:showPercent val="0"/>
          <c:showBubbleSize val="0"/>
        </c:dLbls>
        <c:marker val="1"/>
        <c:smooth val="0"/>
        <c:axId val="500885536"/>
        <c:axId val="500885952"/>
      </c:lineChart>
      <c:catAx>
        <c:axId val="5008855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MY"/>
                  <a:t>Follow-up visits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00885952"/>
        <c:crosses val="autoZero"/>
        <c:auto val="1"/>
        <c:lblAlgn val="ctr"/>
        <c:lblOffset val="100"/>
        <c:noMultiLvlLbl val="0"/>
      </c:catAx>
      <c:valAx>
        <c:axId val="500885952"/>
        <c:scaling>
          <c:orientation val="minMax"/>
          <c:max val="1"/>
          <c:min val="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MY"/>
                  <a:t>Mean gain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008855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US" sz="1000"/>
              <a:t>PP</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'Graph for Median_study 1'!$C$2</c:f>
              <c:strCache>
                <c:ptCount val="1"/>
                <c:pt idx="0">
                  <c:v>Young</c:v>
                </c:pt>
              </c:strCache>
            </c:strRef>
          </c:tx>
          <c:spPr>
            <a:solidFill>
              <a:schemeClr val="accent1"/>
            </a:solidFill>
            <a:ln>
              <a:noFill/>
            </a:ln>
            <a:effectLst/>
          </c:spPr>
          <c:invertIfNegative val="0"/>
          <c:cat>
            <c:strRef>
              <c:f>'Graph for Median_study 1'!$B$3:$B$5</c:f>
              <c:strCache>
                <c:ptCount val="3"/>
                <c:pt idx="0">
                  <c:v>1</c:v>
                </c:pt>
                <c:pt idx="1">
                  <c:v>2</c:v>
                </c:pt>
                <c:pt idx="2">
                  <c:v>&gt;2</c:v>
                </c:pt>
              </c:strCache>
            </c:strRef>
          </c:cat>
          <c:val>
            <c:numRef>
              <c:f>'Graph for Median_study 1'!$C$3:$C$5</c:f>
              <c:numCache>
                <c:formatCode>General</c:formatCode>
                <c:ptCount val="3"/>
                <c:pt idx="0">
                  <c:v>97.56</c:v>
                </c:pt>
                <c:pt idx="1">
                  <c:v>0.989999999999991</c:v>
                </c:pt>
                <c:pt idx="2">
                  <c:v>0.91</c:v>
                </c:pt>
              </c:numCache>
            </c:numRef>
          </c:val>
          <c:extLst>
            <c:ext xmlns:c16="http://schemas.microsoft.com/office/drawing/2014/chart" uri="{C3380CC4-5D6E-409C-BE32-E72D297353CC}">
              <c16:uniqueId val="{00000000-E9B4-4492-AA69-99EFD7944634}"/>
            </c:ext>
          </c:extLst>
        </c:ser>
        <c:ser>
          <c:idx val="1"/>
          <c:order val="1"/>
          <c:tx>
            <c:strRef>
              <c:f>'Graph for Median_study 1'!$D$2</c:f>
              <c:strCache>
                <c:ptCount val="1"/>
                <c:pt idx="0">
                  <c:v>Middle</c:v>
                </c:pt>
              </c:strCache>
            </c:strRef>
          </c:tx>
          <c:spPr>
            <a:solidFill>
              <a:schemeClr val="accent2"/>
            </a:solidFill>
            <a:ln>
              <a:noFill/>
            </a:ln>
            <a:effectLst/>
          </c:spPr>
          <c:invertIfNegative val="0"/>
          <c:cat>
            <c:strRef>
              <c:f>'Graph for Median_study 1'!$B$3:$B$5</c:f>
              <c:strCache>
                <c:ptCount val="3"/>
                <c:pt idx="0">
                  <c:v>1</c:v>
                </c:pt>
                <c:pt idx="1">
                  <c:v>2</c:v>
                </c:pt>
                <c:pt idx="2">
                  <c:v>&gt;2</c:v>
                </c:pt>
              </c:strCache>
            </c:strRef>
          </c:cat>
          <c:val>
            <c:numRef>
              <c:f>'Graph for Median_study 1'!$D$3:$D$5</c:f>
              <c:numCache>
                <c:formatCode>General</c:formatCode>
                <c:ptCount val="3"/>
                <c:pt idx="0">
                  <c:v>95.105000000000004</c:v>
                </c:pt>
                <c:pt idx="1">
                  <c:v>3.88</c:v>
                </c:pt>
                <c:pt idx="2">
                  <c:v>0.97999999999999798</c:v>
                </c:pt>
              </c:numCache>
            </c:numRef>
          </c:val>
          <c:extLst>
            <c:ext xmlns:c16="http://schemas.microsoft.com/office/drawing/2014/chart" uri="{C3380CC4-5D6E-409C-BE32-E72D297353CC}">
              <c16:uniqueId val="{00000001-E9B4-4492-AA69-99EFD7944634}"/>
            </c:ext>
          </c:extLst>
        </c:ser>
        <c:ser>
          <c:idx val="2"/>
          <c:order val="2"/>
          <c:tx>
            <c:strRef>
              <c:f>'Graph for Median_study 1'!$E$2</c:f>
              <c:strCache>
                <c:ptCount val="1"/>
                <c:pt idx="0">
                  <c:v>Older</c:v>
                </c:pt>
              </c:strCache>
            </c:strRef>
          </c:tx>
          <c:spPr>
            <a:solidFill>
              <a:schemeClr val="accent3"/>
            </a:solidFill>
            <a:ln>
              <a:noFill/>
            </a:ln>
            <a:effectLst/>
          </c:spPr>
          <c:invertIfNegative val="0"/>
          <c:cat>
            <c:strRef>
              <c:f>'Graph for Median_study 1'!$B$3:$B$5</c:f>
              <c:strCache>
                <c:ptCount val="3"/>
                <c:pt idx="0">
                  <c:v>1</c:v>
                </c:pt>
                <c:pt idx="1">
                  <c:v>2</c:v>
                </c:pt>
                <c:pt idx="2">
                  <c:v>&gt;2</c:v>
                </c:pt>
              </c:strCache>
            </c:strRef>
          </c:cat>
          <c:val>
            <c:numRef>
              <c:f>'Graph for Median_study 1'!$E$3:$E$5</c:f>
              <c:numCache>
                <c:formatCode>General</c:formatCode>
                <c:ptCount val="3"/>
                <c:pt idx="0">
                  <c:v>54.23</c:v>
                </c:pt>
                <c:pt idx="1">
                  <c:v>36.270000000000003</c:v>
                </c:pt>
                <c:pt idx="2">
                  <c:v>1.08</c:v>
                </c:pt>
              </c:numCache>
            </c:numRef>
          </c:val>
          <c:extLst>
            <c:ext xmlns:c16="http://schemas.microsoft.com/office/drawing/2014/chart" uri="{C3380CC4-5D6E-409C-BE32-E72D297353CC}">
              <c16:uniqueId val="{00000002-E9B4-4492-AA69-99EFD7944634}"/>
            </c:ext>
          </c:extLst>
        </c:ser>
        <c:dLbls>
          <c:showLegendKey val="0"/>
          <c:showVal val="0"/>
          <c:showCatName val="0"/>
          <c:showSerName val="0"/>
          <c:showPercent val="0"/>
          <c:showBubbleSize val="0"/>
        </c:dLbls>
        <c:gapWidth val="219"/>
        <c:overlap val="-27"/>
        <c:axId val="1202103312"/>
        <c:axId val="1552023984"/>
      </c:barChart>
      <c:catAx>
        <c:axId val="1202103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AOI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52023984"/>
        <c:crosses val="autoZero"/>
        <c:auto val="1"/>
        <c:lblAlgn val="ctr"/>
        <c:lblOffset val="100"/>
        <c:noMultiLvlLbl val="0"/>
      </c:catAx>
      <c:valAx>
        <c:axId val="155202398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Median DT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21033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US" sz="1000"/>
              <a:t>10° right</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v>Young</c:v>
          </c:tx>
          <c:spPr>
            <a:solidFill>
              <a:schemeClr val="accent1"/>
            </a:solidFill>
            <a:ln>
              <a:noFill/>
            </a:ln>
            <a:effectLst/>
          </c:spPr>
          <c:invertIfNegative val="0"/>
          <c:cat>
            <c:strRef>
              <c:f>'Graph for Median_study 1'!$B$9:$B$11</c:f>
              <c:strCache>
                <c:ptCount val="3"/>
                <c:pt idx="0">
                  <c:v>1</c:v>
                </c:pt>
                <c:pt idx="1">
                  <c:v>2</c:v>
                </c:pt>
                <c:pt idx="2">
                  <c:v>&gt;2</c:v>
                </c:pt>
              </c:strCache>
            </c:strRef>
          </c:cat>
          <c:val>
            <c:numRef>
              <c:f>'Graph for Median_study 1'!$C$9:$C$11</c:f>
              <c:numCache>
                <c:formatCode>General</c:formatCode>
                <c:ptCount val="3"/>
                <c:pt idx="0">
                  <c:v>82.28</c:v>
                </c:pt>
                <c:pt idx="1">
                  <c:v>15.49</c:v>
                </c:pt>
                <c:pt idx="2">
                  <c:v>1.03</c:v>
                </c:pt>
              </c:numCache>
            </c:numRef>
          </c:val>
          <c:extLst>
            <c:ext xmlns:c16="http://schemas.microsoft.com/office/drawing/2014/chart" uri="{C3380CC4-5D6E-409C-BE32-E72D297353CC}">
              <c16:uniqueId val="{00000000-450D-4B08-8A9F-962FCF807ABA}"/>
            </c:ext>
          </c:extLst>
        </c:ser>
        <c:ser>
          <c:idx val="1"/>
          <c:order val="1"/>
          <c:tx>
            <c:v>Middle</c:v>
          </c:tx>
          <c:spPr>
            <a:solidFill>
              <a:schemeClr val="accent2"/>
            </a:solidFill>
            <a:ln>
              <a:noFill/>
            </a:ln>
            <a:effectLst/>
          </c:spPr>
          <c:invertIfNegative val="0"/>
          <c:cat>
            <c:strRef>
              <c:f>'Graph for Median_study 1'!$B$9:$B$11</c:f>
              <c:strCache>
                <c:ptCount val="3"/>
                <c:pt idx="0">
                  <c:v>1</c:v>
                </c:pt>
                <c:pt idx="1">
                  <c:v>2</c:v>
                </c:pt>
                <c:pt idx="2">
                  <c:v>&gt;2</c:v>
                </c:pt>
              </c:strCache>
            </c:strRef>
          </c:cat>
          <c:val>
            <c:numRef>
              <c:f>'Graph for Median_study 1'!$D$9:$D$11</c:f>
              <c:numCache>
                <c:formatCode>General</c:formatCode>
                <c:ptCount val="3"/>
                <c:pt idx="0">
                  <c:v>54.25</c:v>
                </c:pt>
                <c:pt idx="1">
                  <c:v>31.41</c:v>
                </c:pt>
                <c:pt idx="2">
                  <c:v>1.4450000000000001</c:v>
                </c:pt>
              </c:numCache>
            </c:numRef>
          </c:val>
          <c:extLst>
            <c:ext xmlns:c16="http://schemas.microsoft.com/office/drawing/2014/chart" uri="{C3380CC4-5D6E-409C-BE32-E72D297353CC}">
              <c16:uniqueId val="{00000001-450D-4B08-8A9F-962FCF807ABA}"/>
            </c:ext>
          </c:extLst>
        </c:ser>
        <c:ser>
          <c:idx val="2"/>
          <c:order val="2"/>
          <c:tx>
            <c:v>Older</c:v>
          </c:tx>
          <c:spPr>
            <a:solidFill>
              <a:schemeClr val="accent3"/>
            </a:solidFill>
            <a:ln>
              <a:noFill/>
            </a:ln>
            <a:effectLst/>
          </c:spPr>
          <c:invertIfNegative val="0"/>
          <c:cat>
            <c:strRef>
              <c:f>'Graph for Median_study 1'!$B$9:$B$11</c:f>
              <c:strCache>
                <c:ptCount val="3"/>
                <c:pt idx="0">
                  <c:v>1</c:v>
                </c:pt>
                <c:pt idx="1">
                  <c:v>2</c:v>
                </c:pt>
                <c:pt idx="2">
                  <c:v>&gt;2</c:v>
                </c:pt>
              </c:strCache>
            </c:strRef>
          </c:cat>
          <c:val>
            <c:numRef>
              <c:f>'Graph for Median_study 1'!$E$9:$E$11</c:f>
              <c:numCache>
                <c:formatCode>General</c:formatCode>
                <c:ptCount val="3"/>
                <c:pt idx="0">
                  <c:v>41.64</c:v>
                </c:pt>
                <c:pt idx="1">
                  <c:v>42.91</c:v>
                </c:pt>
                <c:pt idx="2">
                  <c:v>4.2799999999999896</c:v>
                </c:pt>
              </c:numCache>
            </c:numRef>
          </c:val>
          <c:extLst>
            <c:ext xmlns:c16="http://schemas.microsoft.com/office/drawing/2014/chart" uri="{C3380CC4-5D6E-409C-BE32-E72D297353CC}">
              <c16:uniqueId val="{00000002-450D-4B08-8A9F-962FCF807ABA}"/>
            </c:ext>
          </c:extLst>
        </c:ser>
        <c:dLbls>
          <c:showLegendKey val="0"/>
          <c:showVal val="0"/>
          <c:showCatName val="0"/>
          <c:showSerName val="0"/>
          <c:showPercent val="0"/>
          <c:showBubbleSize val="0"/>
        </c:dLbls>
        <c:gapWidth val="219"/>
        <c:overlap val="-27"/>
        <c:axId val="1401415008"/>
        <c:axId val="1423298912"/>
      </c:barChart>
      <c:catAx>
        <c:axId val="1401415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AOI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23298912"/>
        <c:crosses val="autoZero"/>
        <c:auto val="1"/>
        <c:lblAlgn val="ctr"/>
        <c:lblOffset val="100"/>
        <c:noMultiLvlLbl val="0"/>
      </c:catAx>
      <c:valAx>
        <c:axId val="142329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Median DT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014150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US" sz="1000"/>
              <a:t>10° left</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v>Young</c:v>
          </c:tx>
          <c:spPr>
            <a:solidFill>
              <a:schemeClr val="accent1"/>
            </a:solidFill>
            <a:ln>
              <a:noFill/>
            </a:ln>
            <a:effectLst/>
          </c:spPr>
          <c:invertIfNegative val="0"/>
          <c:cat>
            <c:strRef>
              <c:f>'Graph for Median_study 1'!$B$6:$B$8</c:f>
              <c:strCache>
                <c:ptCount val="3"/>
                <c:pt idx="0">
                  <c:v>1</c:v>
                </c:pt>
                <c:pt idx="1">
                  <c:v>2</c:v>
                </c:pt>
                <c:pt idx="2">
                  <c:v>&gt;2</c:v>
                </c:pt>
              </c:strCache>
            </c:strRef>
          </c:cat>
          <c:val>
            <c:numRef>
              <c:f>'Graph for Median_study 1'!$C$6:$C$8</c:f>
              <c:numCache>
                <c:formatCode>General</c:formatCode>
                <c:ptCount val="3"/>
                <c:pt idx="0">
                  <c:v>64.099999999999994</c:v>
                </c:pt>
                <c:pt idx="1">
                  <c:v>4.7999999999999901</c:v>
                </c:pt>
                <c:pt idx="2">
                  <c:v>1.25</c:v>
                </c:pt>
              </c:numCache>
            </c:numRef>
          </c:val>
          <c:extLst>
            <c:ext xmlns:c16="http://schemas.microsoft.com/office/drawing/2014/chart" uri="{C3380CC4-5D6E-409C-BE32-E72D297353CC}">
              <c16:uniqueId val="{00000000-C724-43F9-B680-4423A64A5664}"/>
            </c:ext>
          </c:extLst>
        </c:ser>
        <c:ser>
          <c:idx val="1"/>
          <c:order val="1"/>
          <c:tx>
            <c:v>Middle</c:v>
          </c:tx>
          <c:spPr>
            <a:solidFill>
              <a:schemeClr val="accent2"/>
            </a:solidFill>
            <a:ln>
              <a:noFill/>
            </a:ln>
            <a:effectLst/>
          </c:spPr>
          <c:invertIfNegative val="0"/>
          <c:cat>
            <c:strRef>
              <c:f>'Graph for Median_study 1'!$B$6:$B$8</c:f>
              <c:strCache>
                <c:ptCount val="3"/>
                <c:pt idx="0">
                  <c:v>1</c:v>
                </c:pt>
                <c:pt idx="1">
                  <c:v>2</c:v>
                </c:pt>
                <c:pt idx="2">
                  <c:v>&gt;2</c:v>
                </c:pt>
              </c:strCache>
            </c:strRef>
          </c:cat>
          <c:val>
            <c:numRef>
              <c:f>'Graph for Median_study 1'!$D$6:$D$8</c:f>
              <c:numCache>
                <c:formatCode>General</c:formatCode>
                <c:ptCount val="3"/>
                <c:pt idx="0">
                  <c:v>90.92</c:v>
                </c:pt>
                <c:pt idx="1">
                  <c:v>7.9050000000000002</c:v>
                </c:pt>
                <c:pt idx="2">
                  <c:v>1.095</c:v>
                </c:pt>
              </c:numCache>
            </c:numRef>
          </c:val>
          <c:extLst>
            <c:ext xmlns:c16="http://schemas.microsoft.com/office/drawing/2014/chart" uri="{C3380CC4-5D6E-409C-BE32-E72D297353CC}">
              <c16:uniqueId val="{00000001-C724-43F9-B680-4423A64A5664}"/>
            </c:ext>
          </c:extLst>
        </c:ser>
        <c:ser>
          <c:idx val="2"/>
          <c:order val="2"/>
          <c:tx>
            <c:v>Older</c:v>
          </c:tx>
          <c:spPr>
            <a:solidFill>
              <a:schemeClr val="accent3"/>
            </a:solidFill>
            <a:ln>
              <a:noFill/>
            </a:ln>
            <a:effectLst/>
          </c:spPr>
          <c:invertIfNegative val="0"/>
          <c:cat>
            <c:strRef>
              <c:f>'Graph for Median_study 1'!$B$6:$B$8</c:f>
              <c:strCache>
                <c:ptCount val="3"/>
                <c:pt idx="0">
                  <c:v>1</c:v>
                </c:pt>
                <c:pt idx="1">
                  <c:v>2</c:v>
                </c:pt>
                <c:pt idx="2">
                  <c:v>&gt;2</c:v>
                </c:pt>
              </c:strCache>
            </c:strRef>
          </c:cat>
          <c:val>
            <c:numRef>
              <c:f>'Graph for Median_study 1'!$E$6:$E$8</c:f>
              <c:numCache>
                <c:formatCode>General</c:formatCode>
                <c:ptCount val="3"/>
                <c:pt idx="0">
                  <c:v>57.48</c:v>
                </c:pt>
                <c:pt idx="1">
                  <c:v>16.499999999999901</c:v>
                </c:pt>
                <c:pt idx="2">
                  <c:v>2.16</c:v>
                </c:pt>
              </c:numCache>
            </c:numRef>
          </c:val>
          <c:extLst>
            <c:ext xmlns:c16="http://schemas.microsoft.com/office/drawing/2014/chart" uri="{C3380CC4-5D6E-409C-BE32-E72D297353CC}">
              <c16:uniqueId val="{00000002-C724-43F9-B680-4423A64A5664}"/>
            </c:ext>
          </c:extLst>
        </c:ser>
        <c:dLbls>
          <c:showLegendKey val="0"/>
          <c:showVal val="0"/>
          <c:showCatName val="0"/>
          <c:showSerName val="0"/>
          <c:showPercent val="0"/>
          <c:showBubbleSize val="0"/>
        </c:dLbls>
        <c:gapWidth val="219"/>
        <c:overlap val="-27"/>
        <c:axId val="1429199024"/>
        <c:axId val="1426046320"/>
      </c:barChart>
      <c:catAx>
        <c:axId val="1429199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AOI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26046320"/>
        <c:crosses val="autoZero"/>
        <c:auto val="1"/>
        <c:lblAlgn val="ctr"/>
        <c:lblOffset val="100"/>
        <c:noMultiLvlLbl val="0"/>
      </c:catAx>
      <c:valAx>
        <c:axId val="1426046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Median DT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4291990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US" sz="1000"/>
              <a:t>8° Down</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v>Young</c:v>
          </c:tx>
          <c:spPr>
            <a:solidFill>
              <a:schemeClr val="accent1"/>
            </a:solidFill>
            <a:ln>
              <a:noFill/>
            </a:ln>
            <a:effectLst/>
          </c:spPr>
          <c:invertIfNegative val="0"/>
          <c:cat>
            <c:strRef>
              <c:f>'Graph for Median_study 1'!$B$15:$B$17</c:f>
              <c:strCache>
                <c:ptCount val="3"/>
                <c:pt idx="0">
                  <c:v>1</c:v>
                </c:pt>
                <c:pt idx="1">
                  <c:v>2</c:v>
                </c:pt>
                <c:pt idx="2">
                  <c:v>&gt;2</c:v>
                </c:pt>
              </c:strCache>
            </c:strRef>
          </c:cat>
          <c:val>
            <c:numRef>
              <c:f>'Graph for Median_study 1'!$C$15:$C$17</c:f>
              <c:numCache>
                <c:formatCode>General</c:formatCode>
                <c:ptCount val="3"/>
                <c:pt idx="0">
                  <c:v>94.86</c:v>
                </c:pt>
                <c:pt idx="1">
                  <c:v>4.53</c:v>
                </c:pt>
                <c:pt idx="2">
                  <c:v>1.25</c:v>
                </c:pt>
              </c:numCache>
            </c:numRef>
          </c:val>
          <c:extLst>
            <c:ext xmlns:c16="http://schemas.microsoft.com/office/drawing/2014/chart" uri="{C3380CC4-5D6E-409C-BE32-E72D297353CC}">
              <c16:uniqueId val="{00000000-F212-452D-BE4C-0B9BE90BB983}"/>
            </c:ext>
          </c:extLst>
        </c:ser>
        <c:ser>
          <c:idx val="1"/>
          <c:order val="1"/>
          <c:tx>
            <c:v>Middle</c:v>
          </c:tx>
          <c:spPr>
            <a:solidFill>
              <a:schemeClr val="accent2"/>
            </a:solidFill>
            <a:ln>
              <a:noFill/>
            </a:ln>
            <a:effectLst/>
          </c:spPr>
          <c:invertIfNegative val="0"/>
          <c:cat>
            <c:strRef>
              <c:f>'Graph for Median_study 1'!$B$15:$B$17</c:f>
              <c:strCache>
                <c:ptCount val="3"/>
                <c:pt idx="0">
                  <c:v>1</c:v>
                </c:pt>
                <c:pt idx="1">
                  <c:v>2</c:v>
                </c:pt>
                <c:pt idx="2">
                  <c:v>&gt;2</c:v>
                </c:pt>
              </c:strCache>
            </c:strRef>
          </c:cat>
          <c:val>
            <c:numRef>
              <c:f>'Graph for Median_study 1'!$D$15:$D$17</c:f>
              <c:numCache>
                <c:formatCode>General</c:formatCode>
                <c:ptCount val="3"/>
                <c:pt idx="0">
                  <c:v>77.454999999999998</c:v>
                </c:pt>
                <c:pt idx="1">
                  <c:v>17.405000000000001</c:v>
                </c:pt>
                <c:pt idx="2">
                  <c:v>1.125</c:v>
                </c:pt>
              </c:numCache>
            </c:numRef>
          </c:val>
          <c:extLst>
            <c:ext xmlns:c16="http://schemas.microsoft.com/office/drawing/2014/chart" uri="{C3380CC4-5D6E-409C-BE32-E72D297353CC}">
              <c16:uniqueId val="{00000001-F212-452D-BE4C-0B9BE90BB983}"/>
            </c:ext>
          </c:extLst>
        </c:ser>
        <c:ser>
          <c:idx val="2"/>
          <c:order val="2"/>
          <c:tx>
            <c:v>Older</c:v>
          </c:tx>
          <c:spPr>
            <a:solidFill>
              <a:schemeClr val="accent3"/>
            </a:solidFill>
            <a:ln>
              <a:noFill/>
            </a:ln>
            <a:effectLst/>
          </c:spPr>
          <c:invertIfNegative val="0"/>
          <c:cat>
            <c:strRef>
              <c:f>'Graph for Median_study 1'!$B$15:$B$17</c:f>
              <c:strCache>
                <c:ptCount val="3"/>
                <c:pt idx="0">
                  <c:v>1</c:v>
                </c:pt>
                <c:pt idx="1">
                  <c:v>2</c:v>
                </c:pt>
                <c:pt idx="2">
                  <c:v>&gt;2</c:v>
                </c:pt>
              </c:strCache>
            </c:strRef>
          </c:cat>
          <c:val>
            <c:numRef>
              <c:f>'Graph for Median_study 1'!$E$15:$E$17</c:f>
              <c:numCache>
                <c:formatCode>General</c:formatCode>
                <c:ptCount val="3"/>
                <c:pt idx="0">
                  <c:v>17.37</c:v>
                </c:pt>
                <c:pt idx="1">
                  <c:v>51.76</c:v>
                </c:pt>
                <c:pt idx="2">
                  <c:v>6.54</c:v>
                </c:pt>
              </c:numCache>
            </c:numRef>
          </c:val>
          <c:extLst>
            <c:ext xmlns:c16="http://schemas.microsoft.com/office/drawing/2014/chart" uri="{C3380CC4-5D6E-409C-BE32-E72D297353CC}">
              <c16:uniqueId val="{00000002-F212-452D-BE4C-0B9BE90BB983}"/>
            </c:ext>
          </c:extLst>
        </c:ser>
        <c:dLbls>
          <c:showLegendKey val="0"/>
          <c:showVal val="0"/>
          <c:showCatName val="0"/>
          <c:showSerName val="0"/>
          <c:showPercent val="0"/>
          <c:showBubbleSize val="0"/>
        </c:dLbls>
        <c:gapWidth val="219"/>
        <c:overlap val="-27"/>
        <c:axId val="1548251504"/>
        <c:axId val="1752721952"/>
      </c:barChart>
      <c:catAx>
        <c:axId val="1548251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AOI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52721952"/>
        <c:crosses val="autoZero"/>
        <c:auto val="1"/>
        <c:lblAlgn val="ctr"/>
        <c:lblOffset val="100"/>
        <c:noMultiLvlLbl val="0"/>
      </c:catAx>
      <c:valAx>
        <c:axId val="1752721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Median DT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48251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SH!$B$1</c:f>
              <c:strCache>
                <c:ptCount val="1"/>
                <c:pt idx="0">
                  <c:v>0.5°</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SH!$A$2:$A$4</c:f>
              <c:strCache>
                <c:ptCount val="3"/>
                <c:pt idx="0">
                  <c:v>small (±5°)</c:v>
                </c:pt>
                <c:pt idx="1">
                  <c:v>moderate (±10°)</c:v>
                </c:pt>
                <c:pt idx="2">
                  <c:v>large (±15°)</c:v>
                </c:pt>
              </c:strCache>
            </c:strRef>
          </c:cat>
          <c:val>
            <c:numRef>
              <c:f>SH!$B$2:$B$4</c:f>
              <c:numCache>
                <c:formatCode>0</c:formatCode>
                <c:ptCount val="3"/>
                <c:pt idx="0">
                  <c:v>153.44399999999999</c:v>
                </c:pt>
                <c:pt idx="1">
                  <c:v>163.09549999999999</c:v>
                </c:pt>
                <c:pt idx="2">
                  <c:v>191.36760000000001</c:v>
                </c:pt>
              </c:numCache>
            </c:numRef>
          </c:val>
          <c:extLst>
            <c:ext xmlns:c16="http://schemas.microsoft.com/office/drawing/2014/chart" uri="{C3380CC4-5D6E-409C-BE32-E72D297353CC}">
              <c16:uniqueId val="{00000000-75C6-43B3-9572-AC2D2E58E3DB}"/>
            </c:ext>
          </c:extLst>
        </c:ser>
        <c:ser>
          <c:idx val="1"/>
          <c:order val="1"/>
          <c:tx>
            <c:strRef>
              <c:f>SH!$C$1</c:f>
              <c:strCache>
                <c:ptCount val="1"/>
                <c:pt idx="0">
                  <c:v>1.0°</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SH!$A$2:$A$4</c:f>
              <c:strCache>
                <c:ptCount val="3"/>
                <c:pt idx="0">
                  <c:v>small (±5°)</c:v>
                </c:pt>
                <c:pt idx="1">
                  <c:v>moderate (±10°)</c:v>
                </c:pt>
                <c:pt idx="2">
                  <c:v>large (±15°)</c:v>
                </c:pt>
              </c:strCache>
            </c:strRef>
          </c:cat>
          <c:val>
            <c:numRef>
              <c:f>SH!$C$2:$C$4</c:f>
              <c:numCache>
                <c:formatCode>0</c:formatCode>
                <c:ptCount val="3"/>
                <c:pt idx="0">
                  <c:v>148.631</c:v>
                </c:pt>
                <c:pt idx="1">
                  <c:v>152.13059999999999</c:v>
                </c:pt>
                <c:pt idx="2">
                  <c:v>171.45400000000001</c:v>
                </c:pt>
              </c:numCache>
            </c:numRef>
          </c:val>
          <c:extLst>
            <c:ext xmlns:c16="http://schemas.microsoft.com/office/drawing/2014/chart" uri="{C3380CC4-5D6E-409C-BE32-E72D297353CC}">
              <c16:uniqueId val="{00000001-75C6-43B3-9572-AC2D2E58E3DB}"/>
            </c:ext>
          </c:extLst>
        </c:ser>
        <c:ser>
          <c:idx val="2"/>
          <c:order val="2"/>
          <c:tx>
            <c:strRef>
              <c:f>SH!$D$1</c:f>
              <c:strCache>
                <c:ptCount val="1"/>
                <c:pt idx="0">
                  <c:v>2.0°</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SH!$A$2:$A$4</c:f>
              <c:strCache>
                <c:ptCount val="3"/>
                <c:pt idx="0">
                  <c:v>small (±5°)</c:v>
                </c:pt>
                <c:pt idx="1">
                  <c:v>moderate (±10°)</c:v>
                </c:pt>
                <c:pt idx="2">
                  <c:v>large (±15°)</c:v>
                </c:pt>
              </c:strCache>
            </c:strRef>
          </c:cat>
          <c:val>
            <c:numRef>
              <c:f>SH!$D$2:$D$4</c:f>
              <c:numCache>
                <c:formatCode>0</c:formatCode>
                <c:ptCount val="3"/>
                <c:pt idx="0">
                  <c:v>150.56489999999999</c:v>
                </c:pt>
                <c:pt idx="1">
                  <c:v>153.74629999999999</c:v>
                </c:pt>
                <c:pt idx="2">
                  <c:v>167.7176</c:v>
                </c:pt>
              </c:numCache>
            </c:numRef>
          </c:val>
          <c:extLst>
            <c:ext xmlns:c16="http://schemas.microsoft.com/office/drawing/2014/chart" uri="{C3380CC4-5D6E-409C-BE32-E72D297353CC}">
              <c16:uniqueId val="{00000002-75C6-43B3-9572-AC2D2E58E3DB}"/>
            </c:ext>
          </c:extLst>
        </c:ser>
        <c:dLbls>
          <c:showLegendKey val="0"/>
          <c:showVal val="0"/>
          <c:showCatName val="0"/>
          <c:showSerName val="0"/>
          <c:showPercent val="0"/>
          <c:showBubbleSize val="0"/>
        </c:dLbls>
        <c:gapWidth val="219"/>
        <c:overlap val="-27"/>
        <c:axId val="91117343"/>
        <c:axId val="91117759"/>
      </c:barChart>
      <c:catAx>
        <c:axId val="91117343"/>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r>
                  <a:rPr lang="en-US"/>
                  <a:t>saccadic amplitude</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endParaRPr lang="en-US"/>
          </a:p>
        </c:txPr>
        <c:crossAx val="91117759"/>
        <c:crosses val="autoZero"/>
        <c:auto val="1"/>
        <c:lblAlgn val="ctr"/>
        <c:lblOffset val="100"/>
        <c:noMultiLvlLbl val="0"/>
      </c:catAx>
      <c:valAx>
        <c:axId val="911177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r>
                  <a:rPr lang="en-US"/>
                  <a:t>Mean saccadic latency (ms)</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endParaRPr lang="en-US"/>
          </a:p>
        </c:txPr>
        <c:crossAx val="9111734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mj-lt"/>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SH!$B$12</c:f>
              <c:strCache>
                <c:ptCount val="1"/>
                <c:pt idx="0">
                  <c:v>0.5°</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SH!$A$13:$A$15</c:f>
              <c:strCache>
                <c:ptCount val="3"/>
                <c:pt idx="0">
                  <c:v>small (±5°)</c:v>
                </c:pt>
                <c:pt idx="1">
                  <c:v>moderate (±10°)</c:v>
                </c:pt>
                <c:pt idx="2">
                  <c:v>large (±15°)</c:v>
                </c:pt>
              </c:strCache>
            </c:strRef>
          </c:cat>
          <c:val>
            <c:numRef>
              <c:f>SH!$B$13:$B$15</c:f>
              <c:numCache>
                <c:formatCode>0.0</c:formatCode>
                <c:ptCount val="3"/>
                <c:pt idx="0">
                  <c:v>275.62270000000001</c:v>
                </c:pt>
                <c:pt idx="1">
                  <c:v>363.2568</c:v>
                </c:pt>
                <c:pt idx="2">
                  <c:v>395.79469999999998</c:v>
                </c:pt>
              </c:numCache>
            </c:numRef>
          </c:val>
          <c:extLst>
            <c:ext xmlns:c16="http://schemas.microsoft.com/office/drawing/2014/chart" uri="{C3380CC4-5D6E-409C-BE32-E72D297353CC}">
              <c16:uniqueId val="{00000000-6D1C-48D8-B108-EE25C14349CF}"/>
            </c:ext>
          </c:extLst>
        </c:ser>
        <c:ser>
          <c:idx val="1"/>
          <c:order val="1"/>
          <c:tx>
            <c:strRef>
              <c:f>SH!$C$12</c:f>
              <c:strCache>
                <c:ptCount val="1"/>
                <c:pt idx="0">
                  <c:v>1.0°</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SH!$A$13:$A$15</c:f>
              <c:strCache>
                <c:ptCount val="3"/>
                <c:pt idx="0">
                  <c:v>small (±5°)</c:v>
                </c:pt>
                <c:pt idx="1">
                  <c:v>moderate (±10°)</c:v>
                </c:pt>
                <c:pt idx="2">
                  <c:v>large (±15°)</c:v>
                </c:pt>
              </c:strCache>
            </c:strRef>
          </c:cat>
          <c:val>
            <c:numRef>
              <c:f>SH!$C$13:$C$15</c:f>
              <c:numCache>
                <c:formatCode>0.0</c:formatCode>
                <c:ptCount val="3"/>
                <c:pt idx="0">
                  <c:v>276.57240000000002</c:v>
                </c:pt>
                <c:pt idx="1">
                  <c:v>362.61079999999998</c:v>
                </c:pt>
                <c:pt idx="2">
                  <c:v>399.56029999999998</c:v>
                </c:pt>
              </c:numCache>
            </c:numRef>
          </c:val>
          <c:extLst>
            <c:ext xmlns:c16="http://schemas.microsoft.com/office/drawing/2014/chart" uri="{C3380CC4-5D6E-409C-BE32-E72D297353CC}">
              <c16:uniqueId val="{00000001-6D1C-48D8-B108-EE25C14349CF}"/>
            </c:ext>
          </c:extLst>
        </c:ser>
        <c:ser>
          <c:idx val="2"/>
          <c:order val="2"/>
          <c:tx>
            <c:strRef>
              <c:f>SH!$D$12</c:f>
              <c:strCache>
                <c:ptCount val="1"/>
                <c:pt idx="0">
                  <c:v>2.0°</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SH!$A$13:$A$15</c:f>
              <c:strCache>
                <c:ptCount val="3"/>
                <c:pt idx="0">
                  <c:v>small (±5°)</c:v>
                </c:pt>
                <c:pt idx="1">
                  <c:v>moderate (±10°)</c:v>
                </c:pt>
                <c:pt idx="2">
                  <c:v>large (±15°)</c:v>
                </c:pt>
              </c:strCache>
            </c:strRef>
          </c:cat>
          <c:val>
            <c:numRef>
              <c:f>SH!$D$13:$D$15</c:f>
              <c:numCache>
                <c:formatCode>0.0</c:formatCode>
                <c:ptCount val="3"/>
                <c:pt idx="0">
                  <c:v>289.1592</c:v>
                </c:pt>
                <c:pt idx="1">
                  <c:v>362.01900000000001</c:v>
                </c:pt>
                <c:pt idx="2">
                  <c:v>395.14179999999999</c:v>
                </c:pt>
              </c:numCache>
            </c:numRef>
          </c:val>
          <c:extLst>
            <c:ext xmlns:c16="http://schemas.microsoft.com/office/drawing/2014/chart" uri="{C3380CC4-5D6E-409C-BE32-E72D297353CC}">
              <c16:uniqueId val="{00000002-6D1C-48D8-B108-EE25C14349CF}"/>
            </c:ext>
          </c:extLst>
        </c:ser>
        <c:dLbls>
          <c:showLegendKey val="0"/>
          <c:showVal val="0"/>
          <c:showCatName val="0"/>
          <c:showSerName val="0"/>
          <c:showPercent val="0"/>
          <c:showBubbleSize val="0"/>
        </c:dLbls>
        <c:gapWidth val="219"/>
        <c:overlap val="-27"/>
        <c:axId val="96335535"/>
        <c:axId val="96333039"/>
      </c:barChart>
      <c:catAx>
        <c:axId val="96335535"/>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amplitude</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96333039"/>
        <c:crosses val="autoZero"/>
        <c:auto val="1"/>
        <c:lblAlgn val="ctr"/>
        <c:lblOffset val="100"/>
        <c:noMultiLvlLbl val="0"/>
      </c:catAx>
      <c:valAx>
        <c:axId val="963330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Mean</a:t>
                </a:r>
                <a:r>
                  <a:rPr lang="en-US" baseline="0"/>
                  <a:t> s</a:t>
                </a:r>
                <a:r>
                  <a:rPr lang="en-US"/>
                  <a:t>accadic peak velocity (°/s)</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96335535"/>
        <c:crosses val="autoZero"/>
        <c:crossBetween val="between"/>
        <c:majorUnit val="100"/>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SH!$B$26</c:f>
              <c:strCache>
                <c:ptCount val="1"/>
                <c:pt idx="0">
                  <c:v>0.5°</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SH!$A$27:$A$29</c:f>
              <c:strCache>
                <c:ptCount val="3"/>
                <c:pt idx="0">
                  <c:v>small (±5°)</c:v>
                </c:pt>
                <c:pt idx="1">
                  <c:v>moderate (±10°)</c:v>
                </c:pt>
                <c:pt idx="2">
                  <c:v>large (±15°)</c:v>
                </c:pt>
              </c:strCache>
            </c:strRef>
          </c:cat>
          <c:val>
            <c:numRef>
              <c:f>SH!$B$27:$B$29</c:f>
              <c:numCache>
                <c:formatCode>0.00</c:formatCode>
                <c:ptCount val="3"/>
                <c:pt idx="0">
                  <c:v>0.99099999999999999</c:v>
                </c:pt>
                <c:pt idx="1">
                  <c:v>0.94720000000000004</c:v>
                </c:pt>
                <c:pt idx="2">
                  <c:v>0.89770000000000005</c:v>
                </c:pt>
              </c:numCache>
            </c:numRef>
          </c:val>
          <c:extLst>
            <c:ext xmlns:c16="http://schemas.microsoft.com/office/drawing/2014/chart" uri="{C3380CC4-5D6E-409C-BE32-E72D297353CC}">
              <c16:uniqueId val="{00000000-5711-4AA5-A047-B9518654247C}"/>
            </c:ext>
          </c:extLst>
        </c:ser>
        <c:ser>
          <c:idx val="1"/>
          <c:order val="1"/>
          <c:tx>
            <c:strRef>
              <c:f>SH!$C$26</c:f>
              <c:strCache>
                <c:ptCount val="1"/>
                <c:pt idx="0">
                  <c:v>1.0°</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SH!$A$27:$A$29</c:f>
              <c:strCache>
                <c:ptCount val="3"/>
                <c:pt idx="0">
                  <c:v>small (±5°)</c:v>
                </c:pt>
                <c:pt idx="1">
                  <c:v>moderate (±10°)</c:v>
                </c:pt>
                <c:pt idx="2">
                  <c:v>large (±15°)</c:v>
                </c:pt>
              </c:strCache>
            </c:strRef>
          </c:cat>
          <c:val>
            <c:numRef>
              <c:f>SH!$C$27:$C$29</c:f>
              <c:numCache>
                <c:formatCode>0.00</c:formatCode>
                <c:ptCount val="3"/>
                <c:pt idx="0">
                  <c:v>1.0055000000000001</c:v>
                </c:pt>
                <c:pt idx="1">
                  <c:v>0.96209999999999996</c:v>
                </c:pt>
                <c:pt idx="2">
                  <c:v>0.91039999999999999</c:v>
                </c:pt>
              </c:numCache>
            </c:numRef>
          </c:val>
          <c:extLst>
            <c:ext xmlns:c16="http://schemas.microsoft.com/office/drawing/2014/chart" uri="{C3380CC4-5D6E-409C-BE32-E72D297353CC}">
              <c16:uniqueId val="{00000001-5711-4AA5-A047-B9518654247C}"/>
            </c:ext>
          </c:extLst>
        </c:ser>
        <c:ser>
          <c:idx val="2"/>
          <c:order val="2"/>
          <c:tx>
            <c:strRef>
              <c:f>SH!$D$26</c:f>
              <c:strCache>
                <c:ptCount val="1"/>
                <c:pt idx="0">
                  <c:v>2.0°</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SH!$A$27:$A$29</c:f>
              <c:strCache>
                <c:ptCount val="3"/>
                <c:pt idx="0">
                  <c:v>small (±5°)</c:v>
                </c:pt>
                <c:pt idx="1">
                  <c:v>moderate (±10°)</c:v>
                </c:pt>
                <c:pt idx="2">
                  <c:v>large (±15°)</c:v>
                </c:pt>
              </c:strCache>
            </c:strRef>
          </c:cat>
          <c:val>
            <c:numRef>
              <c:f>SH!$D$27:$D$29</c:f>
              <c:numCache>
                <c:formatCode>0.00</c:formatCode>
                <c:ptCount val="3"/>
                <c:pt idx="0">
                  <c:v>1.0109999999999999</c:v>
                </c:pt>
                <c:pt idx="1">
                  <c:v>0.96060000000000001</c:v>
                </c:pt>
                <c:pt idx="2">
                  <c:v>0.90410000000000001</c:v>
                </c:pt>
              </c:numCache>
            </c:numRef>
          </c:val>
          <c:extLst>
            <c:ext xmlns:c16="http://schemas.microsoft.com/office/drawing/2014/chart" uri="{C3380CC4-5D6E-409C-BE32-E72D297353CC}">
              <c16:uniqueId val="{00000002-5711-4AA5-A047-B9518654247C}"/>
            </c:ext>
          </c:extLst>
        </c:ser>
        <c:dLbls>
          <c:showLegendKey val="0"/>
          <c:showVal val="0"/>
          <c:showCatName val="0"/>
          <c:showSerName val="0"/>
          <c:showPercent val="0"/>
          <c:showBubbleSize val="0"/>
        </c:dLbls>
        <c:gapWidth val="219"/>
        <c:overlap val="-27"/>
        <c:axId val="209539711"/>
        <c:axId val="209540127"/>
      </c:barChart>
      <c:catAx>
        <c:axId val="209539711"/>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amplitude</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209540127"/>
        <c:crosses val="autoZero"/>
        <c:auto val="1"/>
        <c:lblAlgn val="ctr"/>
        <c:lblOffset val="100"/>
        <c:noMultiLvlLbl val="0"/>
      </c:catAx>
      <c:valAx>
        <c:axId val="209540127"/>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Mean saccadic gain</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2095397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SV!$B$1</c:f>
              <c:strCache>
                <c:ptCount val="1"/>
                <c:pt idx="0">
                  <c:v>0.5°</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SV!$A$2:$A$3</c:f>
              <c:strCache>
                <c:ptCount val="2"/>
                <c:pt idx="0">
                  <c:v>Down</c:v>
                </c:pt>
                <c:pt idx="1">
                  <c:v>Up</c:v>
                </c:pt>
              </c:strCache>
            </c:strRef>
          </c:cat>
          <c:val>
            <c:numRef>
              <c:f>SV!$B$2:$B$3</c:f>
              <c:numCache>
                <c:formatCode>General</c:formatCode>
                <c:ptCount val="2"/>
                <c:pt idx="0" formatCode="0.00">
                  <c:v>180.83799999999999</c:v>
                </c:pt>
                <c:pt idx="1">
                  <c:v>164.87700000000001</c:v>
                </c:pt>
              </c:numCache>
            </c:numRef>
          </c:val>
          <c:extLst>
            <c:ext xmlns:c16="http://schemas.microsoft.com/office/drawing/2014/chart" uri="{C3380CC4-5D6E-409C-BE32-E72D297353CC}">
              <c16:uniqueId val="{00000000-03D5-4BB0-A58A-AC45E6D45F9C}"/>
            </c:ext>
          </c:extLst>
        </c:ser>
        <c:ser>
          <c:idx val="1"/>
          <c:order val="1"/>
          <c:tx>
            <c:strRef>
              <c:f>SV!$C$1</c:f>
              <c:strCache>
                <c:ptCount val="1"/>
                <c:pt idx="0">
                  <c:v>1.0°</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SV!$A$2:$A$3</c:f>
              <c:strCache>
                <c:ptCount val="2"/>
                <c:pt idx="0">
                  <c:v>Down</c:v>
                </c:pt>
                <c:pt idx="1">
                  <c:v>Up</c:v>
                </c:pt>
              </c:strCache>
            </c:strRef>
          </c:cat>
          <c:val>
            <c:numRef>
              <c:f>SV!$C$2:$C$3</c:f>
              <c:numCache>
                <c:formatCode>General</c:formatCode>
                <c:ptCount val="2"/>
                <c:pt idx="0" formatCode="0.00">
                  <c:v>171.447</c:v>
                </c:pt>
                <c:pt idx="1">
                  <c:v>152.13999999999999</c:v>
                </c:pt>
              </c:numCache>
            </c:numRef>
          </c:val>
          <c:extLst>
            <c:ext xmlns:c16="http://schemas.microsoft.com/office/drawing/2014/chart" uri="{C3380CC4-5D6E-409C-BE32-E72D297353CC}">
              <c16:uniqueId val="{00000001-03D5-4BB0-A58A-AC45E6D45F9C}"/>
            </c:ext>
          </c:extLst>
        </c:ser>
        <c:ser>
          <c:idx val="2"/>
          <c:order val="2"/>
          <c:tx>
            <c:strRef>
              <c:f>SV!$D$1</c:f>
              <c:strCache>
                <c:ptCount val="1"/>
                <c:pt idx="0">
                  <c:v>2.0°</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SV!$A$2:$A$3</c:f>
              <c:strCache>
                <c:ptCount val="2"/>
                <c:pt idx="0">
                  <c:v>Down</c:v>
                </c:pt>
                <c:pt idx="1">
                  <c:v>Up</c:v>
                </c:pt>
              </c:strCache>
            </c:strRef>
          </c:cat>
          <c:val>
            <c:numRef>
              <c:f>SV!$D$2:$D$3</c:f>
              <c:numCache>
                <c:formatCode>General</c:formatCode>
                <c:ptCount val="2"/>
                <c:pt idx="0">
                  <c:v>168.613</c:v>
                </c:pt>
                <c:pt idx="1">
                  <c:v>155.38999999999999</c:v>
                </c:pt>
              </c:numCache>
            </c:numRef>
          </c:val>
          <c:extLst>
            <c:ext xmlns:c16="http://schemas.microsoft.com/office/drawing/2014/chart" uri="{C3380CC4-5D6E-409C-BE32-E72D297353CC}">
              <c16:uniqueId val="{00000002-03D5-4BB0-A58A-AC45E6D45F9C}"/>
            </c:ext>
          </c:extLst>
        </c:ser>
        <c:dLbls>
          <c:showLegendKey val="0"/>
          <c:showVal val="0"/>
          <c:showCatName val="0"/>
          <c:showSerName val="0"/>
          <c:showPercent val="0"/>
          <c:showBubbleSize val="0"/>
        </c:dLbls>
        <c:gapWidth val="219"/>
        <c:overlap val="-27"/>
        <c:axId val="89442495"/>
        <c:axId val="89441663"/>
      </c:barChart>
      <c:catAx>
        <c:axId val="89442495"/>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direction</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89441663"/>
        <c:crosses val="autoZero"/>
        <c:auto val="1"/>
        <c:lblAlgn val="ctr"/>
        <c:lblOffset val="100"/>
        <c:noMultiLvlLbl val="0"/>
      </c:catAx>
      <c:valAx>
        <c:axId val="89441663"/>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t>Saccadic latency (ms)</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89442495"/>
        <c:crosses val="autoZero"/>
        <c:crossBetween val="between"/>
        <c:majorUnit val="50"/>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sz="1100">
          <a:solidFill>
            <a:sysClr val="windowText" lastClr="000000"/>
          </a:solidFill>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0.00441</cdr:x>
      <cdr:y>0.89091</cdr:y>
    </cdr:from>
    <cdr:to>
      <cdr:x>0.05512</cdr:x>
      <cdr:y>0.99559</cdr:y>
    </cdr:to>
    <cdr:sp macro="" textlink="">
      <cdr:nvSpPr>
        <cdr:cNvPr id="2" name="Rectangle 1"/>
        <cdr:cNvSpPr/>
      </cdr:nvSpPr>
      <cdr:spPr>
        <a:xfrm xmlns:a="http://schemas.openxmlformats.org/drawingml/2006/main">
          <a:off x="19050" y="1924050"/>
          <a:ext cx="219075" cy="2260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b="0">
              <a:ln>
                <a:solidFill>
                  <a:schemeClr val="tx1"/>
                </a:solidFill>
              </a:ln>
              <a:solidFill>
                <a:sysClr val="windowText" lastClr="000000"/>
              </a:solidFill>
            </a:rPr>
            <a:t>a</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0.89533</cdr:y>
    </cdr:from>
    <cdr:to>
      <cdr:x>0.05071</cdr:x>
      <cdr:y>1</cdr:y>
    </cdr:to>
    <cdr:sp macro="" textlink="">
      <cdr:nvSpPr>
        <cdr:cNvPr id="2" name="Rectangle 1"/>
        <cdr:cNvSpPr/>
      </cdr:nvSpPr>
      <cdr:spPr>
        <a:xfrm xmlns:a="http://schemas.openxmlformats.org/drawingml/2006/main">
          <a:off x="0" y="1933576"/>
          <a:ext cx="219075" cy="2260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b="0">
              <a:ln>
                <a:solidFill>
                  <a:schemeClr val="tx1"/>
                </a:solidFill>
              </a:ln>
              <a:solidFill>
                <a:sysClr val="windowText" lastClr="000000"/>
              </a:solidFill>
            </a:rPr>
            <a:t>b</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0.89533</cdr:y>
    </cdr:from>
    <cdr:to>
      <cdr:x>0.05071</cdr:x>
      <cdr:y>1</cdr:y>
    </cdr:to>
    <cdr:sp macro="" textlink="">
      <cdr:nvSpPr>
        <cdr:cNvPr id="2" name="Rectangle 1"/>
        <cdr:cNvSpPr/>
      </cdr:nvSpPr>
      <cdr:spPr>
        <a:xfrm xmlns:a="http://schemas.openxmlformats.org/drawingml/2006/main">
          <a:off x="-1619250" y="1933576"/>
          <a:ext cx="219075" cy="22605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b="0">
              <a:ln>
                <a:solidFill>
                  <a:schemeClr val="tx1"/>
                </a:solidFill>
              </a:ln>
              <a:solidFill>
                <a:sysClr val="windowText" lastClr="000000"/>
              </a:solidFill>
            </a:rPr>
            <a:t>c</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0.82255</cdr:y>
    </cdr:from>
    <cdr:to>
      <cdr:x>0.05532</cdr:x>
      <cdr:y>0.92722</cdr:y>
    </cdr:to>
    <cdr:sp macro="" textlink="">
      <cdr:nvSpPr>
        <cdr:cNvPr id="2" name="Rectangle 1"/>
        <cdr:cNvSpPr/>
      </cdr:nvSpPr>
      <cdr:spPr>
        <a:xfrm xmlns:a="http://schemas.openxmlformats.org/drawingml/2006/main">
          <a:off x="0" y="1184098"/>
          <a:ext cx="219060" cy="15067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b="0">
              <a:ln>
                <a:solidFill>
                  <a:schemeClr val="tx1"/>
                </a:solidFill>
              </a:ln>
              <a:solidFill>
                <a:sysClr val="windowText" lastClr="000000"/>
              </a:solidFill>
            </a:rPr>
            <a:t>a</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0.81593</cdr:y>
    </cdr:from>
    <cdr:to>
      <cdr:x>0.05533</cdr:x>
      <cdr:y>0.9206</cdr:y>
    </cdr:to>
    <cdr:sp macro="" textlink="">
      <cdr:nvSpPr>
        <cdr:cNvPr id="2" name="Rectangle 1"/>
        <cdr:cNvSpPr/>
      </cdr:nvSpPr>
      <cdr:spPr>
        <a:xfrm xmlns:a="http://schemas.openxmlformats.org/drawingml/2006/main">
          <a:off x="0" y="1174568"/>
          <a:ext cx="219099" cy="15067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b="0">
              <a:ln>
                <a:solidFill>
                  <a:schemeClr val="tx1"/>
                </a:solidFill>
              </a:ln>
              <a:solidFill>
                <a:sysClr val="windowText" lastClr="000000"/>
              </a:solidFill>
            </a:rPr>
            <a:t>b</a:t>
          </a:r>
        </a:p>
      </cdr:txBody>
    </cdr:sp>
  </cdr:relSizeAnchor>
</c:userShapes>
</file>

<file path=word/drawings/drawing6.xml><?xml version="1.0" encoding="utf-8"?>
<c:userShapes xmlns:c="http://schemas.openxmlformats.org/drawingml/2006/chart">
  <cdr:relSizeAnchor xmlns:cdr="http://schemas.openxmlformats.org/drawingml/2006/chartDrawing">
    <cdr:from>
      <cdr:x>0.00562</cdr:x>
      <cdr:y>0.78065</cdr:y>
    </cdr:from>
    <cdr:to>
      <cdr:x>0.06094</cdr:x>
      <cdr:y>0.88533</cdr:y>
    </cdr:to>
    <cdr:sp macro="" textlink="">
      <cdr:nvSpPr>
        <cdr:cNvPr id="2" name="Rectangle 1"/>
        <cdr:cNvSpPr/>
      </cdr:nvSpPr>
      <cdr:spPr>
        <a:xfrm xmlns:a="http://schemas.openxmlformats.org/drawingml/2006/main">
          <a:off x="22236" y="1685915"/>
          <a:ext cx="219060" cy="22607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b="0">
              <a:ln>
                <a:solidFill>
                  <a:schemeClr val="tx1"/>
                </a:solidFill>
              </a:ln>
              <a:solidFill>
                <a:sysClr val="windowText" lastClr="000000"/>
              </a:solidFill>
            </a:rPr>
            <a:t>c</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ABF49739-75AA-440E-B664-575BE09CA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99371</Words>
  <Characters>566421</Characters>
  <Application>Microsoft Office Word</Application>
  <DocSecurity>0</DocSecurity>
  <Lines>4720</Lines>
  <Paragraphs>1328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Noor Wafirah Shafee</dc:creator>
  <cp:keywords/>
  <dc:description/>
  <cp:lastModifiedBy>Noor Wafirah Shafee</cp:lastModifiedBy>
  <cp:revision>3</cp:revision>
  <cp:lastPrinted>2022-05-13T06:25:00Z</cp:lastPrinted>
  <dcterms:created xsi:type="dcterms:W3CDTF">2022-05-13T07:15:00Z</dcterms:created>
  <dcterms:modified xsi:type="dcterms:W3CDTF">2022-05-13T07:15:00Z</dcterms:modified>
</cp:coreProperties>
</file>